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CB" w:rsidRPr="00AD35E5" w:rsidRDefault="00E36ECB" w:rsidP="00E36ECB">
      <w:pPr>
        <w:spacing w:line="60" w:lineRule="exact"/>
        <w:rPr>
          <w:color w:val="010000"/>
          <w:sz w:val="6"/>
        </w:rPr>
        <w:sectPr w:rsidR="00E36ECB" w:rsidRPr="00AD35E5" w:rsidSect="00E36E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D35E5">
        <w:rPr>
          <w:rStyle w:val="CommentReference"/>
        </w:rPr>
        <w:commentReference w:id="0"/>
      </w:r>
      <w:bookmarkStart w:id="1" w:name="_GoBack"/>
      <w:bookmarkEnd w:id="1"/>
    </w:p>
    <w:p w:rsidR="00AD35E5" w:rsidRPr="00AD35E5" w:rsidRDefault="00AD35E5" w:rsidP="00AD35E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AD35E5">
        <w:rPr>
          <w:b/>
          <w:sz w:val="24"/>
          <w:szCs w:val="24"/>
        </w:rPr>
        <w:lastRenderedPageBreak/>
        <w:t>Комитет по правам человека</w:t>
      </w:r>
    </w:p>
    <w:p w:rsidR="00AD35E5" w:rsidRPr="002768DA" w:rsidRDefault="00AD35E5" w:rsidP="00AD35E5">
      <w:pPr>
        <w:pStyle w:val="SingleTxt"/>
        <w:spacing w:after="0" w:line="120" w:lineRule="exact"/>
        <w:rPr>
          <w:b/>
          <w:sz w:val="10"/>
        </w:rPr>
      </w:pPr>
    </w:p>
    <w:p w:rsidR="00AD35E5" w:rsidRPr="00AD35E5" w:rsidRDefault="00AD35E5" w:rsidP="00AD35E5">
      <w:pPr>
        <w:pStyle w:val="SingleTxt"/>
        <w:spacing w:after="0" w:line="120" w:lineRule="exact"/>
        <w:rPr>
          <w:b/>
          <w:sz w:val="10"/>
        </w:rPr>
      </w:pPr>
    </w:p>
    <w:p w:rsidR="00AD35E5" w:rsidRPr="00AD35E5" w:rsidRDefault="00AD35E5" w:rsidP="00AD35E5">
      <w:pPr>
        <w:pStyle w:val="SingleTxt"/>
        <w:spacing w:after="0" w:line="120" w:lineRule="exact"/>
        <w:rPr>
          <w:b/>
          <w:sz w:val="10"/>
        </w:rPr>
      </w:pPr>
    </w:p>
    <w:p w:rsidR="00AD35E5" w:rsidRPr="00AD35E5" w:rsidRDefault="00AD35E5" w:rsidP="00AD35E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8DA">
        <w:tab/>
      </w:r>
      <w:r w:rsidRPr="002768DA">
        <w:tab/>
      </w:r>
      <w:r w:rsidRPr="00AD35E5">
        <w:t>Сообщение № 1984/2010</w:t>
      </w:r>
    </w:p>
    <w:p w:rsidR="00AD35E5" w:rsidRPr="00AD35E5" w:rsidRDefault="00AD35E5" w:rsidP="00AD35E5">
      <w:pPr>
        <w:pStyle w:val="SingleTxt"/>
        <w:spacing w:after="0" w:line="120" w:lineRule="exact"/>
        <w:rPr>
          <w:sz w:val="10"/>
        </w:rPr>
      </w:pPr>
    </w:p>
    <w:p w:rsidR="00AD35E5" w:rsidRPr="002768DA" w:rsidRDefault="00AD35E5" w:rsidP="00AD35E5">
      <w:pPr>
        <w:pStyle w:val="SingleTxt"/>
        <w:spacing w:after="0" w:line="120" w:lineRule="exact"/>
        <w:rPr>
          <w:sz w:val="10"/>
        </w:rPr>
      </w:pPr>
    </w:p>
    <w:p w:rsidR="00E36ECB" w:rsidRPr="002768DA" w:rsidRDefault="00AD35E5" w:rsidP="00AD35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68DA">
        <w:tab/>
      </w:r>
      <w:r w:rsidRPr="002768DA">
        <w:tab/>
      </w:r>
      <w:r w:rsidRPr="00AD35E5">
        <w:t>Соображения, принятые Комитетом на его 114-й сессии (29 июня – 24 июля 2015 года)</w:t>
      </w:r>
    </w:p>
    <w:p w:rsidR="00454C79" w:rsidRPr="002768DA" w:rsidRDefault="00454C79" w:rsidP="00454C79">
      <w:pPr>
        <w:pStyle w:val="SingleTxt"/>
        <w:spacing w:after="0" w:line="120" w:lineRule="exact"/>
        <w:rPr>
          <w:sz w:val="10"/>
        </w:rPr>
      </w:pPr>
    </w:p>
    <w:p w:rsidR="00454C79" w:rsidRPr="002768DA" w:rsidRDefault="00454C79" w:rsidP="00454C79">
      <w:pPr>
        <w:pStyle w:val="SingleTxt"/>
        <w:spacing w:after="0" w:line="120" w:lineRule="exact"/>
        <w:rPr>
          <w:sz w:val="10"/>
        </w:rPr>
      </w:pP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760"/>
      </w:tblGrid>
      <w:tr w:rsidR="00454C79" w:rsidRPr="00001A5A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Представлено: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454C79">
              <w:rPr>
                <w:rFonts w:eastAsia="Times New Roman"/>
              </w:rPr>
              <w:t>Евгением Пугачом (адвокатом не представлен)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Предполагаемая жертва: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454C79">
              <w:rPr>
                <w:rFonts w:eastAsia="Times New Roman"/>
              </w:rPr>
              <w:t>автор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Государство-участник: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454C79">
              <w:rPr>
                <w:rFonts w:eastAsia="Times New Roman"/>
              </w:rPr>
              <w:t>Беларусь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Дата сообщения: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454C79">
              <w:rPr>
                <w:rFonts w:eastAsia="Times New Roman"/>
              </w:rPr>
              <w:t>13 марта 2010 года (первоначальное представление)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Справочная документация: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454C79">
              <w:rPr>
                <w:rFonts w:eastAsia="Times New Roman"/>
              </w:rPr>
              <w:t>решение Специального докладчика согласно правилу 97, препровожденное государству-участнику 27 сентября 2010</w:t>
            </w: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года (в виде документа не</w:t>
            </w:r>
            <w:r>
              <w:rPr>
                <w:rFonts w:eastAsia="Times New Roman"/>
                <w:lang w:val="en-US"/>
              </w:rPr>
              <w:t> </w:t>
            </w:r>
            <w:r w:rsidRPr="00454C79">
              <w:rPr>
                <w:rFonts w:eastAsia="Times New Roman"/>
              </w:rPr>
              <w:t>издавалось)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</w:rPr>
              <w:t>Дата принятия Cоображений: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15 июля 2015 года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</w:rPr>
            </w:pPr>
            <w:r w:rsidRPr="00B93E3B">
              <w:rPr>
                <w:rFonts w:eastAsia="Times New Roman"/>
                <w:i/>
                <w:iCs/>
              </w:rPr>
              <w:t>Тема сообщения: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право на свободу выражения мнений; право на мирные собрания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Процедурные вопросы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отсутствие сотрудничества со стороны государства-участника; исчерпание внутренних средств правовой защиты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Вопросы существа: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свобода выражения мнений; мирн</w:t>
            </w:r>
            <w:r>
              <w:t>ы</w:t>
            </w:r>
            <w:r w:rsidRPr="00F34215">
              <w:t>е собрани</w:t>
            </w:r>
            <w:r>
              <w:t>я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Статьи Пакта</w:t>
            </w:r>
            <w:r w:rsidRPr="00B93E3B">
              <w:rPr>
                <w:rFonts w:eastAsia="Times New Roman"/>
                <w:i/>
              </w:rPr>
              <w:t>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19 (2) и 21</w:t>
            </w:r>
          </w:p>
        </w:tc>
      </w:tr>
      <w:tr w:rsidR="00454C79" w:rsidTr="00847A88">
        <w:tc>
          <w:tcPr>
            <w:tcW w:w="3044" w:type="dxa"/>
            <w:shd w:val="clear" w:color="auto" w:fill="auto"/>
            <w:tcMar>
              <w:left w:w="29" w:type="dxa"/>
            </w:tcMar>
          </w:tcPr>
          <w:p w:rsidR="00454C79" w:rsidRPr="00B93E3B" w:rsidRDefault="00454C79" w:rsidP="00847A88">
            <w:pPr>
              <w:spacing w:after="120"/>
              <w:ind w:right="72"/>
              <w:rPr>
                <w:rFonts w:eastAsia="Times New Roman"/>
                <w:i/>
                <w:iCs/>
              </w:rPr>
            </w:pPr>
            <w:r w:rsidRPr="00B93E3B">
              <w:rPr>
                <w:rFonts w:eastAsia="Times New Roman"/>
                <w:i/>
                <w:iCs/>
              </w:rPr>
              <w:t>Статьи Факультативного протокола:</w:t>
            </w:r>
          </w:p>
        </w:tc>
        <w:tc>
          <w:tcPr>
            <w:tcW w:w="3760" w:type="dxa"/>
            <w:shd w:val="clear" w:color="auto" w:fill="auto"/>
          </w:tcPr>
          <w:p w:rsidR="00454C79" w:rsidRPr="00B93E3B" w:rsidRDefault="00454C79" w:rsidP="00454C79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2 и 5 (2</w:t>
            </w:r>
            <w:r>
              <w:t>)</w:t>
            </w:r>
            <w:r w:rsidRPr="00F34215">
              <w:t xml:space="preserve"> b)</w:t>
            </w:r>
          </w:p>
        </w:tc>
      </w:tr>
    </w:tbl>
    <w:p w:rsidR="00222AE7" w:rsidRPr="00222AE7" w:rsidRDefault="00222AE7" w:rsidP="00222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br w:type="page"/>
      </w:r>
      <w:r w:rsidRPr="00222AE7">
        <w:lastRenderedPageBreak/>
        <w:t>Приложение</w:t>
      </w:r>
    </w:p>
    <w:p w:rsidR="00222AE7" w:rsidRPr="00222AE7" w:rsidRDefault="00222AE7" w:rsidP="00222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222AE7" w:rsidRPr="00222AE7" w:rsidRDefault="00222AE7" w:rsidP="00222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2AE7" w:rsidRPr="00222AE7" w:rsidRDefault="00222AE7" w:rsidP="00222A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2768DA">
        <w:tab/>
      </w:r>
      <w:r w:rsidRPr="002768DA">
        <w:tab/>
      </w:r>
      <w:r w:rsidRPr="00222AE7">
        <w:t>Соображени</w:t>
      </w:r>
      <w:r>
        <w:t>я Комитета по правам человека в</w:t>
      </w:r>
      <w:r>
        <w:rPr>
          <w:lang w:val="en-US"/>
        </w:rPr>
        <w:t> </w:t>
      </w:r>
      <w:r w:rsidRPr="00222AE7">
        <w:t>соответствии с пунктом 4 статьи 5 Факультативного протокола к Между</w:t>
      </w:r>
      <w:r>
        <w:t>народному пакту о гражданских и</w:t>
      </w:r>
      <w:r>
        <w:rPr>
          <w:lang w:val="en-US"/>
        </w:rPr>
        <w:t> </w:t>
      </w:r>
      <w:r w:rsidRPr="00222AE7">
        <w:t>политических правах (114-я сессия)</w:t>
      </w:r>
    </w:p>
    <w:p w:rsidR="000618E4" w:rsidRPr="002768DA" w:rsidRDefault="000618E4" w:rsidP="000618E4">
      <w:pPr>
        <w:pStyle w:val="SingleTxt"/>
        <w:spacing w:after="0" w:line="120" w:lineRule="exact"/>
        <w:rPr>
          <w:sz w:val="10"/>
        </w:rPr>
      </w:pPr>
    </w:p>
    <w:p w:rsidR="000618E4" w:rsidRPr="000618E4" w:rsidRDefault="000618E4" w:rsidP="000618E4">
      <w:pPr>
        <w:pStyle w:val="SingleTxt"/>
        <w:spacing w:after="0" w:line="120" w:lineRule="exact"/>
        <w:rPr>
          <w:sz w:val="10"/>
        </w:rPr>
      </w:pPr>
    </w:p>
    <w:p w:rsidR="00222AE7" w:rsidRPr="00222AE7" w:rsidRDefault="00222AE7" w:rsidP="00222AE7">
      <w:pPr>
        <w:pStyle w:val="SingleTxt"/>
        <w:rPr>
          <w:b/>
          <w:bCs/>
        </w:rPr>
      </w:pPr>
      <w:r w:rsidRPr="00222AE7">
        <w:t>относительно</w:t>
      </w:r>
    </w:p>
    <w:p w:rsidR="000618E4" w:rsidRPr="000618E4" w:rsidRDefault="000618E4" w:rsidP="000618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0618E4" w:rsidRPr="000618E4" w:rsidRDefault="000618E4" w:rsidP="000618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22AE7" w:rsidRDefault="000618E4" w:rsidP="000618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22AE7" w:rsidRPr="00222AE7">
        <w:t>Сообщения № 1984/2010</w:t>
      </w:r>
      <w:r w:rsidR="00F17FBA" w:rsidRPr="00E538D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618E4" w:rsidRPr="000618E4" w:rsidRDefault="000618E4" w:rsidP="000618E4">
      <w:pPr>
        <w:pStyle w:val="SingleTxt"/>
        <w:spacing w:after="0" w:line="120" w:lineRule="exact"/>
        <w:rPr>
          <w:sz w:val="10"/>
          <w:lang w:val="en-US"/>
        </w:rPr>
      </w:pPr>
    </w:p>
    <w:p w:rsidR="000618E4" w:rsidRPr="000618E4" w:rsidRDefault="000618E4" w:rsidP="000618E4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685"/>
      </w:tblGrid>
      <w:tr w:rsidR="00222AE7" w:rsidTr="00847A88">
        <w:tc>
          <w:tcPr>
            <w:tcW w:w="3119" w:type="dxa"/>
            <w:shd w:val="clear" w:color="auto" w:fill="auto"/>
            <w:tcMar>
              <w:left w:w="29" w:type="dxa"/>
            </w:tcMar>
          </w:tcPr>
          <w:p w:rsidR="00222AE7" w:rsidRPr="00CE1BB9" w:rsidRDefault="00222AE7" w:rsidP="00E9650C">
            <w:pPr>
              <w:spacing w:after="120"/>
              <w:rPr>
                <w:rFonts w:eastAsia="Times New Roman"/>
                <w:i/>
              </w:rPr>
            </w:pPr>
            <w:r w:rsidRPr="00CE1BB9">
              <w:rPr>
                <w:rFonts w:eastAsia="Times New Roman"/>
                <w:i/>
              </w:rPr>
              <w:t>Представлено:</w:t>
            </w:r>
          </w:p>
        </w:tc>
        <w:tc>
          <w:tcPr>
            <w:tcW w:w="3685" w:type="dxa"/>
            <w:shd w:val="clear" w:color="auto" w:fill="auto"/>
          </w:tcPr>
          <w:p w:rsidR="00222AE7" w:rsidRPr="00CE1BB9" w:rsidRDefault="00683F30" w:rsidP="000618E4">
            <w:pPr>
              <w:suppressAutoHyphens/>
              <w:spacing w:after="120"/>
              <w:rPr>
                <w:rFonts w:eastAsia="Times New Roman"/>
              </w:rPr>
            </w:pPr>
            <w:r>
              <w:t>Евгением Пугачом (адвокатом не</w:t>
            </w:r>
            <w:r>
              <w:rPr>
                <w:lang w:val="en-US"/>
              </w:rPr>
              <w:t> </w:t>
            </w:r>
            <w:r w:rsidR="000618E4" w:rsidRPr="00F34215">
              <w:t>представлен)</w:t>
            </w:r>
          </w:p>
        </w:tc>
      </w:tr>
      <w:tr w:rsidR="00222AE7" w:rsidTr="00847A88">
        <w:tc>
          <w:tcPr>
            <w:tcW w:w="3119" w:type="dxa"/>
            <w:shd w:val="clear" w:color="auto" w:fill="auto"/>
            <w:tcMar>
              <w:left w:w="29" w:type="dxa"/>
            </w:tcMar>
          </w:tcPr>
          <w:p w:rsidR="00222AE7" w:rsidRPr="00CE1BB9" w:rsidRDefault="00222AE7" w:rsidP="00E9650C">
            <w:pPr>
              <w:spacing w:after="120"/>
              <w:rPr>
                <w:rFonts w:eastAsia="Times New Roman"/>
                <w:i/>
              </w:rPr>
            </w:pPr>
            <w:r w:rsidRPr="00CE1BB9">
              <w:rPr>
                <w:rFonts w:eastAsia="Times New Roman"/>
                <w:i/>
              </w:rPr>
              <w:t>Предполагаемая жертва:</w:t>
            </w:r>
          </w:p>
        </w:tc>
        <w:tc>
          <w:tcPr>
            <w:tcW w:w="3685" w:type="dxa"/>
            <w:shd w:val="clear" w:color="auto" w:fill="auto"/>
          </w:tcPr>
          <w:p w:rsidR="00222AE7" w:rsidRPr="00CE1BB9" w:rsidRDefault="000618E4" w:rsidP="000618E4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автор</w:t>
            </w:r>
          </w:p>
        </w:tc>
      </w:tr>
      <w:tr w:rsidR="00222AE7" w:rsidTr="00847A88">
        <w:tc>
          <w:tcPr>
            <w:tcW w:w="3119" w:type="dxa"/>
            <w:shd w:val="clear" w:color="auto" w:fill="auto"/>
            <w:tcMar>
              <w:left w:w="29" w:type="dxa"/>
            </w:tcMar>
          </w:tcPr>
          <w:p w:rsidR="00222AE7" w:rsidRPr="00CE1BB9" w:rsidRDefault="00222AE7" w:rsidP="00E9650C">
            <w:pPr>
              <w:spacing w:after="120"/>
              <w:rPr>
                <w:rFonts w:eastAsia="Times New Roman"/>
              </w:rPr>
            </w:pPr>
            <w:r w:rsidRPr="00CE1BB9">
              <w:rPr>
                <w:rFonts w:eastAsia="Times New Roman"/>
                <w:i/>
              </w:rPr>
              <w:t>Государство-участник:</w:t>
            </w:r>
          </w:p>
        </w:tc>
        <w:tc>
          <w:tcPr>
            <w:tcW w:w="3685" w:type="dxa"/>
            <w:shd w:val="clear" w:color="auto" w:fill="auto"/>
          </w:tcPr>
          <w:p w:rsidR="00222AE7" w:rsidRPr="00CE1BB9" w:rsidRDefault="000618E4" w:rsidP="000618E4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Беларусь</w:t>
            </w:r>
          </w:p>
        </w:tc>
      </w:tr>
      <w:tr w:rsidR="00222AE7" w:rsidTr="00847A88">
        <w:tc>
          <w:tcPr>
            <w:tcW w:w="3119" w:type="dxa"/>
            <w:shd w:val="clear" w:color="auto" w:fill="auto"/>
            <w:tcMar>
              <w:left w:w="29" w:type="dxa"/>
            </w:tcMar>
          </w:tcPr>
          <w:p w:rsidR="00222AE7" w:rsidRPr="00CE1BB9" w:rsidRDefault="00222AE7" w:rsidP="00E9650C">
            <w:pPr>
              <w:spacing w:after="120"/>
              <w:rPr>
                <w:rFonts w:eastAsia="Times New Roman"/>
              </w:rPr>
            </w:pPr>
            <w:r w:rsidRPr="00CE1BB9">
              <w:rPr>
                <w:rFonts w:eastAsia="Times New Roman"/>
                <w:i/>
              </w:rPr>
              <w:t>Дата сообщения:</w:t>
            </w:r>
          </w:p>
        </w:tc>
        <w:tc>
          <w:tcPr>
            <w:tcW w:w="3685" w:type="dxa"/>
            <w:shd w:val="clear" w:color="auto" w:fill="auto"/>
          </w:tcPr>
          <w:p w:rsidR="00222AE7" w:rsidRPr="00CE1BB9" w:rsidRDefault="000618E4" w:rsidP="000618E4">
            <w:pPr>
              <w:suppressAutoHyphens/>
              <w:spacing w:after="120"/>
              <w:rPr>
                <w:rFonts w:eastAsia="Times New Roman"/>
              </w:rPr>
            </w:pPr>
            <w:r w:rsidRPr="00F34215">
              <w:t>13 марта 2010 года (первоначальное представление)</w:t>
            </w:r>
          </w:p>
        </w:tc>
      </w:tr>
    </w:tbl>
    <w:p w:rsidR="00222AE7" w:rsidRPr="000618E4" w:rsidRDefault="00222AE7" w:rsidP="000618E4">
      <w:pPr>
        <w:spacing w:line="120" w:lineRule="exact"/>
        <w:rPr>
          <w:sz w:val="10"/>
        </w:rPr>
      </w:pPr>
    </w:p>
    <w:p w:rsidR="002768DA" w:rsidRPr="002768DA" w:rsidRDefault="002768DA" w:rsidP="002768DA">
      <w:pPr>
        <w:pStyle w:val="SingleTxt"/>
      </w:pPr>
      <w:r w:rsidRPr="00847A88">
        <w:rPr>
          <w:i/>
          <w:iCs/>
        </w:rPr>
        <w:tab/>
      </w:r>
      <w:r w:rsidRPr="002768DA">
        <w:rPr>
          <w:i/>
          <w:iCs/>
        </w:rPr>
        <w:t>Комитет по правам человека</w:t>
      </w:r>
      <w:r w:rsidRPr="002768DA">
        <w:t>, учрежденный в соответствии со статьей 28 Международного пакта о гражданских и политических правах,</w:t>
      </w:r>
    </w:p>
    <w:p w:rsidR="002768DA" w:rsidRPr="002768DA" w:rsidRDefault="002768DA" w:rsidP="002768DA">
      <w:pPr>
        <w:pStyle w:val="SingleTxt"/>
      </w:pPr>
      <w:r w:rsidRPr="002768DA">
        <w:tab/>
      </w:r>
      <w:r w:rsidRPr="002768DA">
        <w:rPr>
          <w:i/>
          <w:iCs/>
        </w:rPr>
        <w:t>на своем заседании</w:t>
      </w:r>
      <w:r w:rsidRPr="002768DA">
        <w:t xml:space="preserve"> 15 июля 2015 года,</w:t>
      </w:r>
    </w:p>
    <w:p w:rsidR="002768DA" w:rsidRPr="002768DA" w:rsidRDefault="002768DA" w:rsidP="002768DA">
      <w:pPr>
        <w:pStyle w:val="SingleTxt"/>
      </w:pPr>
      <w:r w:rsidRPr="002768DA">
        <w:tab/>
      </w:r>
      <w:r w:rsidRPr="002768DA">
        <w:rPr>
          <w:i/>
          <w:iCs/>
        </w:rPr>
        <w:t>завершив</w:t>
      </w:r>
      <w:r w:rsidRPr="002768DA">
        <w:t xml:space="preserve"> рассмотрение сообщения № 1984/2010, представленного Комитету по правам человека Евгением Пугачом в соответствии с Факультативным прот</w:t>
      </w:r>
      <w:r w:rsidRPr="002768DA">
        <w:t>о</w:t>
      </w:r>
      <w:r w:rsidRPr="002768DA">
        <w:t>колом к Международному пакту о гражданских и политических правах,</w:t>
      </w:r>
    </w:p>
    <w:p w:rsidR="002768DA" w:rsidRPr="002768DA" w:rsidRDefault="002768DA" w:rsidP="002768DA">
      <w:pPr>
        <w:pStyle w:val="SingleTxt"/>
      </w:pPr>
      <w:r w:rsidRPr="002768DA">
        <w:tab/>
      </w:r>
      <w:r w:rsidRPr="002768DA">
        <w:rPr>
          <w:i/>
          <w:iCs/>
        </w:rPr>
        <w:t>приняв во внимание</w:t>
      </w:r>
      <w:r w:rsidRPr="002768DA">
        <w:t xml:space="preserve"> всю письменную информацию, представленную ему а</w:t>
      </w:r>
      <w:r w:rsidRPr="002768DA">
        <w:t>в</w:t>
      </w:r>
      <w:r w:rsidRPr="002768DA">
        <w:t>тором сообщения и государством-участником,</w:t>
      </w:r>
    </w:p>
    <w:p w:rsidR="002768DA" w:rsidRPr="002768DA" w:rsidRDefault="002768DA" w:rsidP="002768DA">
      <w:pPr>
        <w:pStyle w:val="SingleTxt"/>
      </w:pPr>
      <w:r w:rsidRPr="002768DA">
        <w:tab/>
      </w:r>
      <w:r w:rsidRPr="002768DA">
        <w:rPr>
          <w:i/>
          <w:iCs/>
        </w:rPr>
        <w:t>принимает</w:t>
      </w:r>
      <w:r w:rsidRPr="002768DA">
        <w:t xml:space="preserve"> следующие:</w:t>
      </w:r>
    </w:p>
    <w:p w:rsidR="007C6222" w:rsidRPr="00F17FBA" w:rsidRDefault="007C6222" w:rsidP="007C62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C6222" w:rsidRPr="007C6222" w:rsidRDefault="007C6222" w:rsidP="007C622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768DA" w:rsidRPr="002768DA" w:rsidRDefault="007C6222" w:rsidP="002768D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7FBA">
        <w:tab/>
      </w:r>
      <w:r w:rsidRPr="00F17FBA">
        <w:tab/>
      </w:r>
      <w:r w:rsidR="002768DA" w:rsidRPr="002768DA">
        <w:t>Соображения в соответствии с пунктом 4 статьи 5 Факультативного протокола</w:t>
      </w:r>
    </w:p>
    <w:p w:rsidR="007C6222" w:rsidRPr="007C6222" w:rsidRDefault="007C6222" w:rsidP="007C6222">
      <w:pPr>
        <w:pStyle w:val="SingleTxt"/>
        <w:spacing w:after="0" w:line="120" w:lineRule="exact"/>
        <w:rPr>
          <w:sz w:val="10"/>
        </w:rPr>
      </w:pPr>
    </w:p>
    <w:p w:rsidR="007C6222" w:rsidRPr="007C6222" w:rsidRDefault="007C6222" w:rsidP="007C6222">
      <w:pPr>
        <w:pStyle w:val="SingleTxt"/>
        <w:spacing w:after="0" w:line="120" w:lineRule="exact"/>
        <w:rPr>
          <w:sz w:val="10"/>
        </w:rPr>
      </w:pPr>
    </w:p>
    <w:p w:rsidR="00222AE7" w:rsidRPr="00476048" w:rsidRDefault="002768DA" w:rsidP="002768DA">
      <w:pPr>
        <w:pStyle w:val="SingleTxt"/>
      </w:pPr>
      <w:r w:rsidRPr="002768DA">
        <w:t>1.</w:t>
      </w:r>
      <w:r w:rsidRPr="002768DA">
        <w:tab/>
        <w:t>Автором является гражданин Беларуси Евгений Пугач 1984 года рождения. Он утверждает, что является жертвой нарушени</w:t>
      </w:r>
      <w:r w:rsidR="005E7961">
        <w:t>я Беларусью его прав по стат</w:t>
      </w:r>
      <w:r w:rsidR="005E7961">
        <w:t>ь</w:t>
      </w:r>
      <w:r w:rsidR="005E7961">
        <w:t>ям</w:t>
      </w:r>
      <w:r w:rsidR="005E7961">
        <w:rPr>
          <w:lang w:val="en-US"/>
        </w:rPr>
        <w:t> </w:t>
      </w:r>
      <w:r w:rsidRPr="002768DA">
        <w:t>19 (2) и 21 Международного пакта о гражданских и политических правах</w:t>
      </w:r>
      <w:r w:rsidR="00F17FBA" w:rsidRPr="00E538DC">
        <w:rPr>
          <w:rStyle w:val="FootnoteReference"/>
        </w:rPr>
        <w:footnoteReference w:id="3"/>
      </w:r>
      <w:r w:rsidR="00476048" w:rsidRPr="00476048">
        <w:t>.</w:t>
      </w:r>
    </w:p>
    <w:p w:rsidR="00B17638" w:rsidRPr="00B17638" w:rsidRDefault="00B17638" w:rsidP="00B176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17638" w:rsidRPr="00B17638" w:rsidRDefault="00B17638" w:rsidP="00B1763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47A88">
        <w:tab/>
      </w:r>
      <w:r w:rsidRPr="00847A88">
        <w:tab/>
      </w:r>
      <w:r w:rsidRPr="00B17638">
        <w:t>Факты в изложении автора</w:t>
      </w:r>
    </w:p>
    <w:p w:rsidR="00B17638" w:rsidRPr="00B17638" w:rsidRDefault="00B17638" w:rsidP="00B17638">
      <w:pPr>
        <w:pStyle w:val="SingleTxt"/>
        <w:spacing w:after="0" w:line="120" w:lineRule="exact"/>
        <w:rPr>
          <w:sz w:val="10"/>
        </w:rPr>
      </w:pPr>
    </w:p>
    <w:p w:rsidR="00B17638" w:rsidRPr="00B17638" w:rsidRDefault="00B17638" w:rsidP="00B17638">
      <w:pPr>
        <w:pStyle w:val="SingleTxt"/>
      </w:pPr>
      <w:r>
        <w:t>2.1</w:t>
      </w:r>
      <w:r w:rsidRPr="00B17638">
        <w:tab/>
        <w:t>30 июля 2009 года автор запросил разрешение Минского городского Испо</w:t>
      </w:r>
      <w:r w:rsidRPr="00B17638">
        <w:t>л</w:t>
      </w:r>
      <w:r w:rsidRPr="00B17638">
        <w:t>нительного комитета провести 22 августа 2009 года мирный пикет с целью пр</w:t>
      </w:r>
      <w:r w:rsidRPr="00B17638">
        <w:t>и</w:t>
      </w:r>
      <w:r w:rsidRPr="00B17638">
        <w:t>влечь внимание граждан к проблеме бездомных животных, заявить протест пр</w:t>
      </w:r>
      <w:r w:rsidRPr="00B17638">
        <w:t>о</w:t>
      </w:r>
      <w:r w:rsidRPr="00B17638">
        <w:t>тив жестокого обращения с животными и выразить несогласие с методами раб</w:t>
      </w:r>
      <w:r w:rsidRPr="00B17638">
        <w:t>о</w:t>
      </w:r>
      <w:r w:rsidRPr="00B17638">
        <w:lastRenderedPageBreak/>
        <w:t xml:space="preserve">ты нового директора государственного предприятия </w:t>
      </w:r>
      <w:r w:rsidR="00683F30">
        <w:t>«</w:t>
      </w:r>
      <w:r w:rsidRPr="00B17638">
        <w:t>Фауна города</w:t>
      </w:r>
      <w:r w:rsidR="00683F30">
        <w:t>»</w:t>
      </w:r>
      <w:r w:rsidRPr="00B17638">
        <w:t>, которое о</w:t>
      </w:r>
      <w:r w:rsidRPr="00B17638">
        <w:t>т</w:t>
      </w:r>
      <w:r w:rsidRPr="00B17638">
        <w:t xml:space="preserve">вечает за отлов бездомных животных. В заявке он </w:t>
      </w:r>
      <w:r>
        <w:t>указал, что в пикете с</w:t>
      </w:r>
      <w:r>
        <w:rPr>
          <w:lang w:val="en-US"/>
        </w:rPr>
        <w:t> </w:t>
      </w:r>
      <w:r>
        <w:t>15</w:t>
      </w:r>
      <w:r>
        <w:rPr>
          <w:lang w:val="en-US"/>
        </w:rPr>
        <w:t> </w:t>
      </w:r>
      <w:r>
        <w:t>ч.</w:t>
      </w:r>
      <w:r>
        <w:rPr>
          <w:lang w:val="en-US"/>
        </w:rPr>
        <w:t> </w:t>
      </w:r>
      <w:r>
        <w:t>00</w:t>
      </w:r>
      <w:r>
        <w:rPr>
          <w:lang w:val="en-US"/>
        </w:rPr>
        <w:t> </w:t>
      </w:r>
      <w:r w:rsidRPr="00B17638">
        <w:t>м. до 18 ч. 00 м. будут участвовать приблизительно 50 человек, и он х</w:t>
      </w:r>
      <w:r w:rsidRPr="00B17638">
        <w:t>о</w:t>
      </w:r>
      <w:r w:rsidRPr="00B17638">
        <w:t xml:space="preserve">тел бы провести пикет на пешеходной площади перед зданием, размещающем предприятие </w:t>
      </w:r>
      <w:r>
        <w:t>«</w:t>
      </w:r>
      <w:r w:rsidRPr="00B17638">
        <w:t>Фауна города</w:t>
      </w:r>
      <w:r>
        <w:t>»</w:t>
      </w:r>
      <w:r w:rsidRPr="00B17638">
        <w:t xml:space="preserve"> на улице Гурского в Минске.</w:t>
      </w:r>
    </w:p>
    <w:p w:rsidR="00B17638" w:rsidRPr="00B17638" w:rsidRDefault="00B17638" w:rsidP="00B17638">
      <w:pPr>
        <w:pStyle w:val="SingleTxt"/>
      </w:pPr>
      <w:r w:rsidRPr="00B17638">
        <w:t>2.2</w:t>
      </w:r>
      <w:r w:rsidRPr="00B17638">
        <w:tab/>
        <w:t>14 августа 2009 года Минский Исполнительный комитет отказался санкц</w:t>
      </w:r>
      <w:r w:rsidRPr="00B17638">
        <w:t>и</w:t>
      </w:r>
      <w:r w:rsidRPr="00B17638">
        <w:t>онировать пикет, отметив, что сбор в указанном места помешал бы работе пре</w:t>
      </w:r>
      <w:r w:rsidRPr="00B17638">
        <w:t>д</w:t>
      </w:r>
      <w:r w:rsidRPr="00B17638">
        <w:t xml:space="preserve">приятия </w:t>
      </w:r>
      <w:r>
        <w:t>«</w:t>
      </w:r>
      <w:r w:rsidRPr="00B17638">
        <w:t>Фауна города</w:t>
      </w:r>
      <w:r>
        <w:t>»</w:t>
      </w:r>
      <w:r w:rsidRPr="00B17638">
        <w:t xml:space="preserve"> и еще двух предприятий, расположенных в том же ра</w:t>
      </w:r>
      <w:r w:rsidRPr="00B17638">
        <w:t>й</w:t>
      </w:r>
      <w:r w:rsidRPr="00B17638">
        <w:t>оне.</w:t>
      </w:r>
    </w:p>
    <w:p w:rsidR="00B17638" w:rsidRPr="00B17638" w:rsidRDefault="00B17638" w:rsidP="00B17638">
      <w:pPr>
        <w:pStyle w:val="SingleTxt"/>
      </w:pPr>
      <w:r w:rsidRPr="00B17638">
        <w:t>2.3</w:t>
      </w:r>
      <w:r w:rsidRPr="00B17638">
        <w:tab/>
        <w:t>7 сентября 2009 года автор подал апелляцию на решение Минского горо</w:t>
      </w:r>
      <w:r w:rsidRPr="00B17638">
        <w:t>д</w:t>
      </w:r>
      <w:r w:rsidRPr="00B17638">
        <w:t>ского Исполнительного комитета в суд Московского района города Минска, з</w:t>
      </w:r>
      <w:r w:rsidRPr="00B17638">
        <w:t>а</w:t>
      </w:r>
      <w:r w:rsidRPr="00B17638">
        <w:t>явив о нарушении его права на свободу выражения мнений и мирные собрания, как они гарантированы Конституцией Республики Беларусь и статьями 19 и 21 Международного пакта о гражданских и поли</w:t>
      </w:r>
      <w:r>
        <w:t>тических правах. 1 октября 2009 </w:t>
      </w:r>
      <w:r w:rsidRPr="00B17638">
        <w:t xml:space="preserve">года суд счел, что решение Минского городского Исполнительного комитета соответствует положениям Закона </w:t>
      </w:r>
      <w:r>
        <w:t>«</w:t>
      </w:r>
      <w:r w:rsidRPr="00B17638">
        <w:t>О массовых мероприятиях</w:t>
      </w:r>
      <w:r>
        <w:t>»</w:t>
      </w:r>
      <w:r w:rsidRPr="00B17638">
        <w:t xml:space="preserve"> (1997 года), и о</w:t>
      </w:r>
      <w:r w:rsidRPr="00B17638">
        <w:t>т</w:t>
      </w:r>
      <w:r w:rsidRPr="00B17638">
        <w:t>клонил апелляцию автора.</w:t>
      </w:r>
    </w:p>
    <w:p w:rsidR="00B17638" w:rsidRPr="00B17638" w:rsidRDefault="00B17638" w:rsidP="00B17638">
      <w:pPr>
        <w:pStyle w:val="SingleTxt"/>
      </w:pPr>
      <w:r w:rsidRPr="00B17638">
        <w:t>2.4</w:t>
      </w:r>
      <w:r w:rsidRPr="00B17638">
        <w:tab/>
        <w:t>23 октября 2009 года автор подал кассационную жалобу в Минский горо</w:t>
      </w:r>
      <w:r w:rsidRPr="00B17638">
        <w:t>д</w:t>
      </w:r>
      <w:r w:rsidRPr="00B17638">
        <w:t>ской суд, заявив, что решение районного суда носило незаконный характер и нарушило его права на мирные собрания и свободу выражения мнений. Он док</w:t>
      </w:r>
      <w:r w:rsidRPr="00B17638">
        <w:t>а</w:t>
      </w:r>
      <w:r w:rsidRPr="00B17638">
        <w:t xml:space="preserve">зывал, что решение Исполнительного комитета </w:t>
      </w:r>
      <w:r>
        <w:t>запретить пикет 22 августа 2009 </w:t>
      </w:r>
      <w:r w:rsidRPr="00B17638">
        <w:t>года не было ни оправданным, ни необходимым в демократическом общ</w:t>
      </w:r>
      <w:r w:rsidRPr="00B17638">
        <w:t>е</w:t>
      </w:r>
      <w:r w:rsidRPr="00B17638">
        <w:t>стве. Он далее отметил, что районный суд проигнорировал фотодоказательства, которые показывали, что проведение пикета на данной площади не мешало бы ни работе предприятий, ни движению пешеходов или транспорта, ибо она и не ра</w:t>
      </w:r>
      <w:r w:rsidRPr="00B17638">
        <w:t>с</w:t>
      </w:r>
      <w:r w:rsidRPr="00B17638">
        <w:t>положена рядом с дорогами и не пересекается пешеходными дорожками. 19 н</w:t>
      </w:r>
      <w:r w:rsidRPr="00B17638">
        <w:t>о</w:t>
      </w:r>
      <w:r w:rsidRPr="00B17638">
        <w:t>ября 2009 года Минский городской суд поддер</w:t>
      </w:r>
      <w:r>
        <w:t>жал решение районного суда от 1 </w:t>
      </w:r>
      <w:r w:rsidRPr="00B17638">
        <w:t>октября 2009 года и отклонил жалобу автора.</w:t>
      </w:r>
    </w:p>
    <w:p w:rsidR="00B17638" w:rsidRPr="00B17638" w:rsidRDefault="00B17638" w:rsidP="00B17638">
      <w:pPr>
        <w:pStyle w:val="SingleTxt"/>
      </w:pPr>
      <w:r w:rsidRPr="00B17638">
        <w:t>2.5</w:t>
      </w:r>
      <w:r w:rsidRPr="00B17638">
        <w:tab/>
        <w:t>Автор не продолжал это дело далее путем подачи жалобы в Верховный суд Беларуси в порядке надзорного производства, ибо он счел неэффективным это средство правовой защиты. На его взгляд, пересмотр дела повлекла бы только кассационная жалоба.</w:t>
      </w:r>
    </w:p>
    <w:p w:rsidR="00526D6E" w:rsidRPr="00526D6E" w:rsidRDefault="00526D6E" w:rsidP="00526D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17638" w:rsidRPr="00B17638" w:rsidRDefault="00B17638" w:rsidP="00526D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17638">
        <w:tab/>
      </w:r>
      <w:r w:rsidRPr="00B17638">
        <w:tab/>
        <w:t>Жалоба</w:t>
      </w:r>
    </w:p>
    <w:p w:rsidR="00526D6E" w:rsidRPr="00526D6E" w:rsidRDefault="00526D6E" w:rsidP="00526D6E">
      <w:pPr>
        <w:pStyle w:val="SingleTxt"/>
        <w:spacing w:after="0" w:line="120" w:lineRule="exact"/>
        <w:rPr>
          <w:sz w:val="10"/>
        </w:rPr>
      </w:pPr>
    </w:p>
    <w:p w:rsidR="00B17638" w:rsidRPr="00B17638" w:rsidRDefault="00526D6E" w:rsidP="00B17638">
      <w:pPr>
        <w:pStyle w:val="SingleTxt"/>
      </w:pPr>
      <w:r>
        <w:t>3.1</w:t>
      </w:r>
      <w:r w:rsidR="00B17638" w:rsidRPr="00B17638">
        <w:tab/>
        <w:t>Автор утверждает, что отказ позволить ему организовать пикет произвольно ограничил его свободу выражения мнений в нарушение статьи 19 (2) Пакта, п</w:t>
      </w:r>
      <w:r w:rsidR="00B17638" w:rsidRPr="00B17638">
        <w:t>о</w:t>
      </w:r>
      <w:r w:rsidR="00B17638" w:rsidRPr="00B17638">
        <w:t>скольку это лишило его возможности привлечь внимание граждан к проблеме бездомных животных и помешало ему выразить свое несогласие с методами р</w:t>
      </w:r>
      <w:r w:rsidR="00B17638" w:rsidRPr="00B17638">
        <w:t>а</w:t>
      </w:r>
      <w:r w:rsidR="00B17638" w:rsidRPr="00B17638">
        <w:t xml:space="preserve">боты государственного предприятия </w:t>
      </w:r>
      <w:r>
        <w:t>«</w:t>
      </w:r>
      <w:r w:rsidR="00B17638" w:rsidRPr="00B17638">
        <w:t>Фауна города</w:t>
      </w:r>
      <w:r>
        <w:t>»</w:t>
      </w:r>
      <w:r w:rsidR="00B17638" w:rsidRPr="00B17638">
        <w:t>.</w:t>
      </w:r>
    </w:p>
    <w:p w:rsidR="00B17638" w:rsidRPr="00B17638" w:rsidRDefault="00B17638" w:rsidP="00B17638">
      <w:pPr>
        <w:pStyle w:val="SingleTxt"/>
      </w:pPr>
      <w:r w:rsidRPr="00B17638">
        <w:t>3.2</w:t>
      </w:r>
      <w:r w:rsidRPr="00B17638">
        <w:tab/>
        <w:t>Автор также утверждает, что в нарушение статьи 21 Пакта было ограничено его право на мирные собрания, так как введенное ограничение было основано на необоснованном предположении, будто пикет, который он собирался организ</w:t>
      </w:r>
      <w:r w:rsidRPr="00B17638">
        <w:t>о</w:t>
      </w:r>
      <w:r w:rsidRPr="00B17638">
        <w:t>вать, нарушил бы работу близлежащих предприятий. Он заявляет, что власти не привели никакого обоснования на тот счет, почему такое ограничение необход</w:t>
      </w:r>
      <w:r w:rsidRPr="00B17638">
        <w:t>и</w:t>
      </w:r>
      <w:r w:rsidRPr="00B17638">
        <w:t>мо в демократическом обществе в интересах национальной безопасности или общественного порядка, защиты здоровья и нравственности населения или защ</w:t>
      </w:r>
      <w:r w:rsidRPr="00B17638">
        <w:t>и</w:t>
      </w:r>
      <w:r w:rsidRPr="00B17638">
        <w:t>ты прав и свобод других лиц.</w:t>
      </w:r>
    </w:p>
    <w:p w:rsidR="00526D6E" w:rsidRPr="00526D6E" w:rsidRDefault="00526D6E" w:rsidP="00526D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17638" w:rsidRPr="00B17638" w:rsidRDefault="00526D6E" w:rsidP="00526D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17638" w:rsidRPr="00B17638">
        <w:t>Замечания государства-участника относительно приемлемости сообщения</w:t>
      </w:r>
    </w:p>
    <w:p w:rsidR="00526D6E" w:rsidRPr="00526D6E" w:rsidRDefault="00526D6E" w:rsidP="00526D6E">
      <w:pPr>
        <w:pStyle w:val="SingleTxt"/>
        <w:spacing w:after="0" w:line="120" w:lineRule="exact"/>
        <w:rPr>
          <w:sz w:val="10"/>
        </w:rPr>
      </w:pPr>
    </w:p>
    <w:p w:rsidR="00B17638" w:rsidRPr="00B17638" w:rsidRDefault="00B17638" w:rsidP="00B17638">
      <w:pPr>
        <w:pStyle w:val="SingleTxt"/>
      </w:pPr>
      <w:r w:rsidRPr="00B17638">
        <w:t>4.1</w:t>
      </w:r>
      <w:r w:rsidRPr="00B17638">
        <w:tab/>
        <w:t>Вербальной нотой от 6 января 2011 года государство-участник выразило в отношении настоящего сообщения и еще нескольких сообщений, представле</w:t>
      </w:r>
      <w:r w:rsidRPr="00B17638">
        <w:t>н</w:t>
      </w:r>
      <w:r w:rsidRPr="00B17638">
        <w:lastRenderedPageBreak/>
        <w:t>ных Комитету, свою озабоченность в связи среди прочего с необоснованной р</w:t>
      </w:r>
      <w:r w:rsidRPr="00B17638">
        <w:t>е</w:t>
      </w:r>
      <w:r w:rsidRPr="00B17638">
        <w:t>гистрацией сообщений, представленных лицами, находящимися под его юри</w:t>
      </w:r>
      <w:r w:rsidRPr="00B17638">
        <w:t>с</w:t>
      </w:r>
      <w:r w:rsidRPr="00B17638">
        <w:t>дикцией, которые, как оно считает, не исчерпали, в нарушение статьи 2 Факул</w:t>
      </w:r>
      <w:r w:rsidRPr="00B17638">
        <w:t>ь</w:t>
      </w:r>
      <w:r w:rsidRPr="00B17638">
        <w:t>тативного протокола, все доступные внутренние средства правовой защиты, включая ходатайство в прокуратуру о проверке в порядке надзорного произво</w:t>
      </w:r>
      <w:r w:rsidRPr="00B17638">
        <w:t>д</w:t>
      </w:r>
      <w:r w:rsidRPr="00B17638">
        <w:t>ства судебного решения, вступившего в законную силу. Как полагает госуда</w:t>
      </w:r>
      <w:r w:rsidRPr="00B17638">
        <w:t>р</w:t>
      </w:r>
      <w:r w:rsidRPr="00B17638">
        <w:t>ство-участник, настоящее сообщение и еще несколько сообщений были зарег</w:t>
      </w:r>
      <w:r w:rsidRPr="00B17638">
        <w:t>и</w:t>
      </w:r>
      <w:r w:rsidRPr="00B17638">
        <w:t>стрированы в нарушение положений Факультативного протокола; для рассмотр</w:t>
      </w:r>
      <w:r w:rsidRPr="00B17638">
        <w:t>е</w:t>
      </w:r>
      <w:r w:rsidRPr="00B17638">
        <w:t>ния подобных сообщения государством-участником нет юридических оснований; и любое решение, принятое Комитетом по такому сообщению, будет рассматр</w:t>
      </w:r>
      <w:r w:rsidRPr="00B17638">
        <w:t>и</w:t>
      </w:r>
      <w:r w:rsidRPr="00B17638">
        <w:t>ваться как недействительное. Оно далее заявляет, что любые ссылки в этой связи на давнюю практику Комитета не носят для него юридически обязывающий х</w:t>
      </w:r>
      <w:r w:rsidRPr="00B17638">
        <w:t>а</w:t>
      </w:r>
      <w:r w:rsidRPr="00B17638">
        <w:t>рактер.</w:t>
      </w:r>
    </w:p>
    <w:p w:rsidR="00B17638" w:rsidRPr="00B17638" w:rsidRDefault="00B17638" w:rsidP="00B17638">
      <w:pPr>
        <w:pStyle w:val="SingleTxt"/>
      </w:pPr>
      <w:r w:rsidRPr="00B17638">
        <w:t>4.2</w:t>
      </w:r>
      <w:r w:rsidRPr="00B17638">
        <w:tab/>
        <w:t>Письмом от 19 апреля 2011 года Председатель Комитета информировал го</w:t>
      </w:r>
      <w:r w:rsidRPr="00B17638">
        <w:t>с</w:t>
      </w:r>
      <w:r w:rsidRPr="00B17638">
        <w:t>ударство-участник, что, как имплицитно вытекает из пункта 2 статьи 4 Факульт</w:t>
      </w:r>
      <w:r w:rsidRPr="00B17638">
        <w:t>а</w:t>
      </w:r>
      <w:r w:rsidRPr="00B17638">
        <w:t>тивного протокола к Пакту, государство-участник должно предоставить Комитету всю имеющуюся в его распоряжении информацию относительно любого пре</w:t>
      </w:r>
      <w:r w:rsidRPr="00B17638">
        <w:t>д</w:t>
      </w:r>
      <w:r w:rsidRPr="00B17638">
        <w:t>ставленного ему сообщения. Председатель попросил государство-участник пре</w:t>
      </w:r>
      <w:r w:rsidRPr="00B17638">
        <w:t>д</w:t>
      </w:r>
      <w:r w:rsidRPr="00B17638">
        <w:t>ставить дальнейшие замечания относительно приемлемости и по существу дела. Он также проинформировал государство-участник, что в отсутствие его замеч</w:t>
      </w:r>
      <w:r w:rsidRPr="00B17638">
        <w:t>а</w:t>
      </w:r>
      <w:r w:rsidRPr="00B17638">
        <w:t>ний по имеющемуся сообщению Комитет будет рассматривать сообщение исходя из имеющейся у него информации. 30 сентября 2011 года государству-участнику было вновь предложено представить свои замечания относительно приемлемости и по существу сообщения.</w:t>
      </w:r>
    </w:p>
    <w:p w:rsidR="00B17638" w:rsidRPr="00B17638" w:rsidRDefault="00B17638" w:rsidP="00B17638">
      <w:pPr>
        <w:pStyle w:val="SingleTxt"/>
      </w:pPr>
      <w:r w:rsidRPr="00B17638">
        <w:t>4.3</w:t>
      </w:r>
      <w:r w:rsidRPr="00B17638">
        <w:tab/>
        <w:t>Вербальной нотой от 5 октября 2011 года государство-участник заявляет в отношении настоящего сообщения, что, как оно полагает, среди прочего для его рассмотрения нет юридических оснований, поскольку сообщение было зарег</w:t>
      </w:r>
      <w:r w:rsidRPr="00B17638">
        <w:t>и</w:t>
      </w:r>
      <w:r w:rsidRPr="00B17638">
        <w:t>стрировано в нарушение статьи 1 Факультативного протокола. Оно заявляет, что не были исчерпаны все наличные внутренние средства правовой защиты, как это требуется статьей 2 Факультативного протокола, поскольку не была подана апе</w:t>
      </w:r>
      <w:r w:rsidRPr="00B17638">
        <w:t>л</w:t>
      </w:r>
      <w:r w:rsidRPr="00B17638">
        <w:t>ляция в прокуратуру в порядке надзорного производства.</w:t>
      </w:r>
    </w:p>
    <w:p w:rsidR="00B17638" w:rsidRPr="00B17638" w:rsidRDefault="00B17638" w:rsidP="00B17638">
      <w:pPr>
        <w:pStyle w:val="SingleTxt"/>
      </w:pPr>
      <w:r w:rsidRPr="00B17638">
        <w:t>4.4</w:t>
      </w:r>
      <w:r w:rsidRPr="00B17638">
        <w:tab/>
        <w:t>25 октября 2011 года государству-участнику было вновь предложено пре</w:t>
      </w:r>
      <w:r w:rsidRPr="00B17638">
        <w:t>д</w:t>
      </w:r>
      <w:r w:rsidRPr="00B17638">
        <w:t>ставить свои замечания относительно приемлемости и по существу сообщения. Оно была проинформировано, что в отсутствие дальнейшей информации Ком</w:t>
      </w:r>
      <w:r w:rsidRPr="00B17638">
        <w:t>и</w:t>
      </w:r>
      <w:r w:rsidRPr="00B17638">
        <w:t>тет рассмотрит сообщение исходя из информации, имеющейся в деле.</w:t>
      </w:r>
    </w:p>
    <w:p w:rsidR="00B17638" w:rsidRPr="00B17638" w:rsidRDefault="00B17638" w:rsidP="00B17638">
      <w:pPr>
        <w:pStyle w:val="SingleTxt"/>
      </w:pPr>
      <w:r w:rsidRPr="00B17638">
        <w:t>4.5</w:t>
      </w:r>
      <w:r w:rsidRPr="00B17638">
        <w:tab/>
        <w:t xml:space="preserve">В вербальной ноте от 25 января 2012 года государство-участник указывает, что, став участником Факультативного протокола, оно согласилось по его </w:t>
      </w:r>
      <w:r w:rsidR="00526D6E">
        <w:t>ст</w:t>
      </w:r>
      <w:r w:rsidR="00526D6E">
        <w:t>а</w:t>
      </w:r>
      <w:r w:rsidR="00526D6E">
        <w:t>тье </w:t>
      </w:r>
      <w:r w:rsidRPr="00B17638">
        <w:t>1 признать компетенцию Комитета принимать и рассматривать сообщения от находящихся под его юрисдикцией лиц, утверждающих, что они являются жер</w:t>
      </w:r>
      <w:r w:rsidRPr="00B17638">
        <w:t>т</w:t>
      </w:r>
      <w:r w:rsidRPr="00B17638">
        <w:t>вами нарушения государством-участником какого-либо из прав, защищаемых Пактом. Оно, однако, замечает, что это признание было произведено в связи с другими положениями Факультативного протокола, включая и те положения, к</w:t>
      </w:r>
      <w:r w:rsidRPr="00B17638">
        <w:t>о</w:t>
      </w:r>
      <w:r w:rsidRPr="00B17638">
        <w:t>торые устанавливают критерии, касающиеся заявителей и приемлемости их с</w:t>
      </w:r>
      <w:r w:rsidRPr="00B17638">
        <w:t>о</w:t>
      </w:r>
      <w:r w:rsidRPr="00B17638">
        <w:t>общений, и в особенности статьи 2 и 5. Государство-участник утверждает, что по Факультативному протоколу государства-участники не несут обязательство пр</w:t>
      </w:r>
      <w:r w:rsidRPr="00B17638">
        <w:t>и</w:t>
      </w:r>
      <w:r w:rsidRPr="00B17638">
        <w:t>знавать правила процедуры Комитета или толкование им положений Факульт</w:t>
      </w:r>
      <w:r w:rsidRPr="00B17638">
        <w:t>а</w:t>
      </w:r>
      <w:r w:rsidRPr="00B17638">
        <w:t>тивного протокола, что могло бы быть эффективным только тогда, когда это д</w:t>
      </w:r>
      <w:r w:rsidRPr="00B17638">
        <w:t>е</w:t>
      </w:r>
      <w:r w:rsidRPr="00B17638">
        <w:t>лается в соответствии с Венской конвенцией о праве международных договоров. Оно заявляет, что в отношении процедуры подачи и рассмотрения жалоб гос</w:t>
      </w:r>
      <w:r w:rsidRPr="00B17638">
        <w:t>у</w:t>
      </w:r>
      <w:r w:rsidRPr="00B17638">
        <w:t>дарства-участники должны руководствоваться прежде всего положениями Ф</w:t>
      </w:r>
      <w:r w:rsidRPr="00B17638">
        <w:t>а</w:t>
      </w:r>
      <w:r w:rsidRPr="00B17638">
        <w:t>культативного протокола, и ссылки на давнишнюю практику Комитета, его мет</w:t>
      </w:r>
      <w:r w:rsidRPr="00B17638">
        <w:t>о</w:t>
      </w:r>
      <w:r w:rsidRPr="00B17638">
        <w:t xml:space="preserve">ды работы и решения не являются предметом Факультативного протокола. Оно </w:t>
      </w:r>
      <w:r w:rsidRPr="00B17638">
        <w:lastRenderedPageBreak/>
        <w:t>также заявляет, что любое сообщение, зарегистрированное в нарушение полож</w:t>
      </w:r>
      <w:r w:rsidRPr="00B17638">
        <w:t>е</w:t>
      </w:r>
      <w:r w:rsidRPr="00B17638">
        <w:t>ний Факультативного протокола, будет рассматриваться государством-участником как несовместимое с Протоколом и будет отклоняться без коммент</w:t>
      </w:r>
      <w:r w:rsidRPr="00B17638">
        <w:t>а</w:t>
      </w:r>
      <w:r w:rsidRPr="00B17638">
        <w:t>риев относительно приемлемости или по существу сообщения, а любое решение, принятое Комитетом в отношении таких отклоненных сообщений, будет ра</w:t>
      </w:r>
      <w:r w:rsidRPr="00B17638">
        <w:t>с</w:t>
      </w:r>
      <w:r w:rsidRPr="00B17638">
        <w:t xml:space="preserve">сматриваться властями как </w:t>
      </w:r>
      <w:r w:rsidR="00683F30">
        <w:t>«</w:t>
      </w:r>
      <w:r w:rsidRPr="00B17638">
        <w:t>недействительное</w:t>
      </w:r>
      <w:r w:rsidR="00683F30">
        <w:t>»</w:t>
      </w:r>
      <w:r w:rsidRPr="00B17638">
        <w:t>. Как считает государство-участник, настоящее сообщение, а также еще несколько сообщений, предста</w:t>
      </w:r>
      <w:r w:rsidRPr="00B17638">
        <w:t>в</w:t>
      </w:r>
      <w:r w:rsidRPr="00B17638">
        <w:t>ленных Комитету, были зарегистрированы в нарушение Факультативного прот</w:t>
      </w:r>
      <w:r w:rsidRPr="00B17638">
        <w:t>о</w:t>
      </w:r>
      <w:r w:rsidRPr="00B17638">
        <w:t>кола.</w:t>
      </w:r>
    </w:p>
    <w:p w:rsidR="00526D6E" w:rsidRPr="00526D6E" w:rsidRDefault="00B17638" w:rsidP="00526D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B17638">
        <w:tab/>
      </w:r>
    </w:p>
    <w:p w:rsidR="00B17638" w:rsidRPr="00B17638" w:rsidRDefault="00526D6E" w:rsidP="00526D6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17638" w:rsidRPr="00B17638">
        <w:tab/>
        <w:t>Вопросы и процедура их рассмотрения в Комитете</w:t>
      </w:r>
    </w:p>
    <w:p w:rsidR="00526D6E" w:rsidRPr="00526D6E" w:rsidRDefault="00526D6E" w:rsidP="00526D6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17638" w:rsidRPr="00B17638" w:rsidRDefault="00526D6E" w:rsidP="00526D6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17638" w:rsidRPr="00B17638">
        <w:t>Отсутствие сотрудничества со стороны государства-участника</w:t>
      </w:r>
    </w:p>
    <w:p w:rsidR="00526D6E" w:rsidRPr="00526D6E" w:rsidRDefault="00526D6E" w:rsidP="00526D6E">
      <w:pPr>
        <w:pStyle w:val="SingleTxt"/>
        <w:spacing w:after="0" w:line="120" w:lineRule="exact"/>
        <w:rPr>
          <w:sz w:val="10"/>
        </w:rPr>
      </w:pPr>
    </w:p>
    <w:p w:rsidR="00B17638" w:rsidRPr="00B17638" w:rsidRDefault="00B17638" w:rsidP="00B17638">
      <w:pPr>
        <w:pStyle w:val="SingleTxt"/>
      </w:pPr>
      <w:r w:rsidRPr="00B17638">
        <w:t>5.1</w:t>
      </w:r>
      <w:r w:rsidRPr="00B17638">
        <w:tab/>
        <w:t>Комитет отмечает утверждение государства-участника, что для рассмотр</w:t>
      </w:r>
      <w:r w:rsidRPr="00B17638">
        <w:t>е</w:t>
      </w:r>
      <w:r w:rsidRPr="00B17638">
        <w:t>ния сообщения автора нет правовых оснований, поскольку оно было зарегистр</w:t>
      </w:r>
      <w:r w:rsidRPr="00B17638">
        <w:t>и</w:t>
      </w:r>
      <w:r w:rsidRPr="00B17638">
        <w:t>ровано в нарушение положений Факультативного протокола; что оно не обязано признавать правила процедуры Комитета или толкование Комитетом положений Факультативного протокола; и что любое решение, принятое Комитетом в отн</w:t>
      </w:r>
      <w:r w:rsidRPr="00B17638">
        <w:t>о</w:t>
      </w:r>
      <w:r w:rsidRPr="00B17638">
        <w:t xml:space="preserve">шении настоящего сообщения, будет рассматриваться его властями как </w:t>
      </w:r>
      <w:r w:rsidR="00526D6E">
        <w:t>«</w:t>
      </w:r>
      <w:r w:rsidRPr="00B17638">
        <w:t>неде</w:t>
      </w:r>
      <w:r w:rsidRPr="00B17638">
        <w:t>й</w:t>
      </w:r>
      <w:r w:rsidRPr="00B17638">
        <w:t>ствительное</w:t>
      </w:r>
      <w:r w:rsidR="00526D6E">
        <w:t>»</w:t>
      </w:r>
      <w:r w:rsidRPr="00B17638">
        <w:t>.</w:t>
      </w:r>
    </w:p>
    <w:p w:rsidR="00B17638" w:rsidRPr="00B17638" w:rsidRDefault="00B17638" w:rsidP="00B17638">
      <w:pPr>
        <w:pStyle w:val="SingleTxt"/>
      </w:pPr>
      <w:r w:rsidRPr="00B17638">
        <w:t>5.2</w:t>
      </w:r>
      <w:r w:rsidRPr="00B17638">
        <w:tab/>
        <w:t>Комитет напоминает, что по статье 39 (2) Пакта он вправе устанавливать свои собственные правила процедуры, которые государства-участники соглас</w:t>
      </w:r>
      <w:r w:rsidRPr="00B17638">
        <w:t>и</w:t>
      </w:r>
      <w:r w:rsidRPr="00B17638">
        <w:t>лись признавать. Он далее отмечает, что в силу присоединения к Факультативн</w:t>
      </w:r>
      <w:r w:rsidRPr="00B17638">
        <w:t>о</w:t>
      </w:r>
      <w:r w:rsidRPr="00B17638">
        <w:t>му протоколу государство − участник Пакта признает компетенцию Комитета принимать и рассматривать сообщения от лиц, которые утверждают, что они я</w:t>
      </w:r>
      <w:r w:rsidRPr="00B17638">
        <w:t>в</w:t>
      </w:r>
      <w:r w:rsidRPr="00B17638">
        <w:t>ляются жертвами нарушения какого-либо из прав, изложенных в Пакте (преамб</w:t>
      </w:r>
      <w:r w:rsidRPr="00B17638">
        <w:t>у</w:t>
      </w:r>
      <w:r w:rsidRPr="00B17638">
        <w:t>ла и статья 1 Факультативного протокола). Из присоединения к Факультативному протоколу вытекает обязанность государства добросовестно сотрудничать с К</w:t>
      </w:r>
      <w:r w:rsidRPr="00B17638">
        <w:t>о</w:t>
      </w:r>
      <w:r w:rsidRPr="00B17638">
        <w:t>митетом, с тем чтобы он мог рассматривать такие сообщения и после их изуч</w:t>
      </w:r>
      <w:r w:rsidRPr="00B17638">
        <w:t>е</w:t>
      </w:r>
      <w:r w:rsidRPr="00B17638">
        <w:t>ния направлять свои Соображения государству-участнику и заинтересованному лицу (пункты 1 и 4 статьи 5). И с этими обязательствами несовместимы любые действия государства-участника, которые будут мешать или препятствовать К</w:t>
      </w:r>
      <w:r w:rsidRPr="00B17638">
        <w:t>о</w:t>
      </w:r>
      <w:r w:rsidRPr="00B17638">
        <w:t>митету в рассмотрении и изучении сообщения, а также в формулировании им своих Соображений</w:t>
      </w:r>
      <w:r w:rsidRPr="00E538DC">
        <w:rPr>
          <w:vertAlign w:val="superscript"/>
        </w:rPr>
        <w:footnoteReference w:id="4"/>
      </w:r>
      <w:r w:rsidRPr="00B17638">
        <w:t>. И определять, регистрировать или нет то или иное сообщ</w:t>
      </w:r>
      <w:r w:rsidRPr="00B17638">
        <w:t>е</w:t>
      </w:r>
      <w:r w:rsidRPr="00B17638">
        <w:t>ние, входит в прерогативу Комитета. Комитет отмечает, что, отказываясь пр</w:t>
      </w:r>
      <w:r w:rsidRPr="00B17638">
        <w:t>и</w:t>
      </w:r>
      <w:r w:rsidRPr="00B17638">
        <w:t>знать компетенцию Комитета определять, следует ли регистрировать то или иное сообщение, и заранее объявляя, что оно не будет принимать заключение Комит</w:t>
      </w:r>
      <w:r w:rsidRPr="00B17638">
        <w:t>е</w:t>
      </w:r>
      <w:r w:rsidRPr="00B17638">
        <w:t>та относительно приемлемости или по существу сообщения, государство-участник нарушает свои обязательства по стать</w:t>
      </w:r>
      <w:r w:rsidR="00526D6E">
        <w:t>е 1 Факультативного протокола к </w:t>
      </w:r>
      <w:r w:rsidRPr="00B17638">
        <w:t>Международному пакту о гражданских и политических правах</w:t>
      </w:r>
      <w:r w:rsidRPr="00E538DC">
        <w:rPr>
          <w:vertAlign w:val="superscript"/>
        </w:rPr>
        <w:footnoteReference w:id="5"/>
      </w:r>
      <w:r w:rsidRPr="00B17638">
        <w:t>.</w:t>
      </w:r>
    </w:p>
    <w:p w:rsidR="00E538DC" w:rsidRPr="00E538DC" w:rsidRDefault="00E538DC" w:rsidP="00E538D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17638" w:rsidRPr="00B17638" w:rsidRDefault="00B17638" w:rsidP="00E538D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17638">
        <w:tab/>
      </w:r>
      <w:r w:rsidRPr="00B17638">
        <w:tab/>
        <w:t>Рассмотрение вопроса о приемлемости</w:t>
      </w:r>
    </w:p>
    <w:p w:rsidR="00E538DC" w:rsidRPr="00E538DC" w:rsidRDefault="00E538DC" w:rsidP="00E538DC">
      <w:pPr>
        <w:pStyle w:val="SingleTxt"/>
        <w:spacing w:after="0" w:line="120" w:lineRule="exact"/>
        <w:rPr>
          <w:sz w:val="10"/>
        </w:rPr>
      </w:pPr>
    </w:p>
    <w:p w:rsidR="00B17638" w:rsidRPr="00B17638" w:rsidRDefault="00B17638" w:rsidP="00B17638">
      <w:pPr>
        <w:pStyle w:val="SingleTxt"/>
      </w:pPr>
      <w:r w:rsidRPr="00B17638">
        <w:t>6.1</w:t>
      </w:r>
      <w:r w:rsidRPr="00B17638">
        <w:tab/>
        <w:t>Прежде чем рассматривать какую-либо жалобу, содержащуюся в сообщ</w:t>
      </w:r>
      <w:r w:rsidRPr="00B17638">
        <w:t>е</w:t>
      </w:r>
      <w:r w:rsidRPr="00B17638">
        <w:t>нии, Комитет по правам человека должен в соответствии с правилом 93 своих правил процедуры решить, является ли дело приемлемым по Факультативному протоколу к Пакту.</w:t>
      </w:r>
    </w:p>
    <w:p w:rsidR="00B17638" w:rsidRPr="00B17638" w:rsidRDefault="00B17638" w:rsidP="00B17638">
      <w:pPr>
        <w:pStyle w:val="SingleTxt"/>
      </w:pPr>
      <w:r w:rsidRPr="00B17638">
        <w:lastRenderedPageBreak/>
        <w:t>6.2</w:t>
      </w:r>
      <w:r w:rsidRPr="00B17638">
        <w:tab/>
        <w:t>Комитет удостоверился, как того требует пункт 2 а) статьи 5 Факультати</w:t>
      </w:r>
      <w:r w:rsidRPr="00B17638">
        <w:t>в</w:t>
      </w:r>
      <w:r w:rsidRPr="00B17638">
        <w:t>ного протокола, в том, что этот же вопрос не рассматривается в рамках другой процедуры международного разбирательства или урегулирования.</w:t>
      </w:r>
    </w:p>
    <w:p w:rsidR="00B17638" w:rsidRPr="00B17638" w:rsidRDefault="00B17638" w:rsidP="00B17638">
      <w:pPr>
        <w:pStyle w:val="SingleTxt"/>
      </w:pPr>
      <w:r w:rsidRPr="00B17638">
        <w:t>6.3</w:t>
      </w:r>
      <w:r w:rsidRPr="00B17638">
        <w:tab/>
        <w:t>Что касается требования, изложенного в статье 5 (2) b) Факультативного протокола, то Комитет отмечает, что автор не подавал жалобу в Верховный суд Беларуси в порядке надзорного производства, так как он счел, что это средство правовой защиты неэффективно. В этой связи Комитет напоминает свою юри</w:t>
      </w:r>
      <w:r w:rsidRPr="00B17638">
        <w:t>с</w:t>
      </w:r>
      <w:r w:rsidRPr="00B17638">
        <w:t>пруденцию</w:t>
      </w:r>
      <w:r w:rsidRPr="00E538DC">
        <w:rPr>
          <w:vertAlign w:val="superscript"/>
        </w:rPr>
        <w:footnoteReference w:id="6"/>
      </w:r>
      <w:r w:rsidRPr="00B17638">
        <w:t>, в которой он заявил, что подача Председателю Суда ходатайств о надзорном производстве в отношении судебных решений, которые уже вступили в силу и зависят от дискреционных полномочий судьи, является чрезвычайным средством правовой защиты и государство-участник должно продемонстрир</w:t>
      </w:r>
      <w:r w:rsidRPr="00B17638">
        <w:t>о</w:t>
      </w:r>
      <w:r w:rsidRPr="00B17638">
        <w:t>вать, что имеется разумная перспектива того, что такие ходатайства станут э</w:t>
      </w:r>
      <w:r w:rsidRPr="00B17638">
        <w:t>ф</w:t>
      </w:r>
      <w:r w:rsidRPr="00B17638">
        <w:t>фективным средством правовой защиты в обстоятельствах данного дела. В да</w:t>
      </w:r>
      <w:r w:rsidRPr="00B17638">
        <w:t>н</w:t>
      </w:r>
      <w:r w:rsidRPr="00B17638">
        <w:t>ном же случае государство-участник не показало, однако, когда и в скольких сл</w:t>
      </w:r>
      <w:r w:rsidRPr="00B17638">
        <w:t>у</w:t>
      </w:r>
      <w:r w:rsidRPr="00B17638">
        <w:t>чаях ходатайства на имя председателя Верховного суда в порядке надзорного производства увенчались успехом по делам о правах на свободу выражения мн</w:t>
      </w:r>
      <w:r w:rsidRPr="00B17638">
        <w:t>е</w:t>
      </w:r>
      <w:r w:rsidRPr="00B17638">
        <w:t>ний и мирные собрания. Комитет далее отмечает, что государство-участник оспаривает приемлемость сообщения по мотивам неисчерпанности внутренних средств правовой защиты, ибо автор не обращался в прокуратуру в порядке надзорного производства. Комитет напоминает свою юриспруденцию, согласно которой обращение в прокуратуру в порядке надзорного производства, допуск</w:t>
      </w:r>
      <w:r w:rsidRPr="00B17638">
        <w:t>а</w:t>
      </w:r>
      <w:r w:rsidRPr="00B17638">
        <w:t>ющее пересмотр вступивших в силу судебных решений, не является средством правовой защиты, которое должно быть исчерпано для целей пункта 2 b) статьи 5 Факультативного протокола</w:t>
      </w:r>
      <w:r w:rsidRPr="00E538DC">
        <w:rPr>
          <w:vertAlign w:val="superscript"/>
        </w:rPr>
        <w:footnoteReference w:id="7"/>
      </w:r>
      <w:r w:rsidRPr="00B17638">
        <w:t>. Соответственно, К</w:t>
      </w:r>
      <w:r w:rsidR="00E538DC">
        <w:t>омитет считает, что он ст</w:t>
      </w:r>
      <w:r w:rsidR="00E538DC">
        <w:t>а</w:t>
      </w:r>
      <w:r w:rsidR="00E538DC">
        <w:t>тья 5 </w:t>
      </w:r>
      <w:r w:rsidRPr="00B17638">
        <w:t>(2) b) Факультативного протокола не возбраняет ему рассмотрение насто</w:t>
      </w:r>
      <w:r w:rsidRPr="00B17638">
        <w:t>я</w:t>
      </w:r>
      <w:r w:rsidRPr="00B17638">
        <w:t>щего сообщения.</w:t>
      </w:r>
    </w:p>
    <w:p w:rsidR="00B17638" w:rsidRPr="00B17638" w:rsidRDefault="00B17638" w:rsidP="00B17638">
      <w:pPr>
        <w:pStyle w:val="SingleTxt"/>
      </w:pPr>
      <w:r w:rsidRPr="00B17638">
        <w:t>6.4</w:t>
      </w:r>
      <w:r w:rsidRPr="00B17638">
        <w:tab/>
        <w:t>Комитет считает, что автор достаточно обосновал свои утверждения по ст</w:t>
      </w:r>
      <w:r w:rsidRPr="00B17638">
        <w:t>а</w:t>
      </w:r>
      <w:r w:rsidRPr="00B17638">
        <w:t>тьям 19 (2) и 21 Пакта для целей приемлемости. Он признает сообщение прие</w:t>
      </w:r>
      <w:r w:rsidRPr="00B17638">
        <w:t>м</w:t>
      </w:r>
      <w:r w:rsidRPr="00B17638">
        <w:t>лемым в отношении этих положений Пакта и переходит к его рассмотрению по существу.</w:t>
      </w:r>
    </w:p>
    <w:p w:rsidR="00E538DC" w:rsidRPr="00E538DC" w:rsidRDefault="00E538DC" w:rsidP="00E538D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17638" w:rsidRPr="00B17638" w:rsidRDefault="00E538DC" w:rsidP="00E538DC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17638" w:rsidRPr="00B17638">
        <w:tab/>
        <w:t>Рассмотрение сообщения по существу</w:t>
      </w:r>
    </w:p>
    <w:p w:rsidR="00E538DC" w:rsidRPr="00E538DC" w:rsidRDefault="00E538DC" w:rsidP="00E538DC">
      <w:pPr>
        <w:pStyle w:val="SingleTxt"/>
        <w:spacing w:after="0" w:line="120" w:lineRule="exact"/>
        <w:rPr>
          <w:sz w:val="10"/>
        </w:rPr>
      </w:pPr>
    </w:p>
    <w:p w:rsidR="00B17638" w:rsidRPr="00B17638" w:rsidRDefault="00B17638" w:rsidP="00B17638">
      <w:pPr>
        <w:pStyle w:val="SingleTxt"/>
      </w:pPr>
      <w:r w:rsidRPr="00B17638">
        <w:t>7.1</w:t>
      </w:r>
      <w:r w:rsidRPr="00B17638">
        <w:tab/>
        <w:t>Комитет по правам человека рассмотрел настоящее сообщение в свете всей информации, представленной ему сторонами в соответствии с пунктом 1 статьи 5 Факультативного протокола.</w:t>
      </w:r>
    </w:p>
    <w:p w:rsidR="00B17638" w:rsidRPr="00B17638" w:rsidRDefault="00B17638" w:rsidP="00B17638">
      <w:pPr>
        <w:pStyle w:val="SingleTxt"/>
      </w:pPr>
      <w:r w:rsidRPr="00B17638">
        <w:t>7.2</w:t>
      </w:r>
      <w:r w:rsidRPr="00B17638">
        <w:tab/>
        <w:t>Вопрос, стоящий перед Комитетом, заключается в том, составляет ли з</w:t>
      </w:r>
      <w:r w:rsidRPr="00B17638">
        <w:t>а</w:t>
      </w:r>
      <w:r w:rsidRPr="00B17638">
        <w:t>прещение на проведение 22 августа 2009 года пикета с целью привлечь внимание общественности к проблеме бездомных животных, заявить протест против ж</w:t>
      </w:r>
      <w:r w:rsidRPr="00B17638">
        <w:t>е</w:t>
      </w:r>
      <w:r w:rsidRPr="00B17638">
        <w:t>стокого обращения с животными и выразить несогласие с методами работы гос</w:t>
      </w:r>
      <w:r w:rsidRPr="00B17638">
        <w:t>у</w:t>
      </w:r>
      <w:r w:rsidRPr="00B17638">
        <w:t xml:space="preserve">дарственного предприятия </w:t>
      </w:r>
      <w:r w:rsidR="00E538DC">
        <w:t>«</w:t>
      </w:r>
      <w:r w:rsidRPr="00B17638">
        <w:t>Фауна города</w:t>
      </w:r>
      <w:r w:rsidR="00E538DC">
        <w:t>»</w:t>
      </w:r>
      <w:r w:rsidRPr="00B17638">
        <w:t xml:space="preserve"> нарушение прав автора по статьям 19 и 21 Пакта.</w:t>
      </w:r>
    </w:p>
    <w:p w:rsidR="00B17638" w:rsidRPr="00B17638" w:rsidRDefault="00B17638" w:rsidP="00B17638">
      <w:pPr>
        <w:pStyle w:val="SingleTxt"/>
        <w:rPr>
          <w:vertAlign w:val="superscript"/>
        </w:rPr>
      </w:pPr>
      <w:r w:rsidRPr="00B17638">
        <w:lastRenderedPageBreak/>
        <w:t>7.3</w:t>
      </w:r>
      <w:r w:rsidRPr="00B17638">
        <w:tab/>
        <w:t>Комитет напоминает, что пункт 2 статьи 19 Пакта требует от государств-участников гарантировать право на свободу выражение мнений, включая свободу искать, получать и распространять всякого рода информацию и идеи, независимо от государственных границ, устно, письменно или посредством печати. Комитет ссылается на свое замечание общего порядка № 34 (2011) о свободе мнений и свободе их выражения, в котором он заявляет, что свобода мнений и свобода их выражения являются неотъемлемыми условиями всестороннего развития личн</w:t>
      </w:r>
      <w:r w:rsidRPr="00B17638">
        <w:t>о</w:t>
      </w:r>
      <w:r w:rsidRPr="00B17638">
        <w:t>сти. Они имеют существенное значение для любого общества и представляют собой краеугольный камень каждого свободного и демократического общества</w:t>
      </w:r>
      <w:r w:rsidRPr="00E538DC">
        <w:rPr>
          <w:vertAlign w:val="superscript"/>
        </w:rPr>
        <w:footnoteReference w:id="8"/>
      </w:r>
      <w:r w:rsidRPr="00B17638">
        <w:t>.</w:t>
      </w:r>
    </w:p>
    <w:p w:rsidR="00B17638" w:rsidRPr="00B17638" w:rsidRDefault="00B17638" w:rsidP="00B17638">
      <w:pPr>
        <w:pStyle w:val="SingleTxt"/>
      </w:pPr>
      <w:r w:rsidRPr="00B17638">
        <w:t>7.4</w:t>
      </w:r>
      <w:r w:rsidRPr="00B17638">
        <w:tab/>
        <w:t>Комитет также отмечает, что право на мирные собрания, как оно гарантир</w:t>
      </w:r>
      <w:r w:rsidRPr="00B17638">
        <w:t>о</w:t>
      </w:r>
      <w:r w:rsidRPr="00B17638">
        <w:t>вано по статье 21 Пакта, является фундаментальным правом человека, имея с</w:t>
      </w:r>
      <w:r w:rsidRPr="00B17638">
        <w:t>у</w:t>
      </w:r>
      <w:r w:rsidRPr="00B17638">
        <w:t>щественное значение для публичного выражения своих взглядов и мнений, и н</w:t>
      </w:r>
      <w:r w:rsidRPr="00B17638">
        <w:t>е</w:t>
      </w:r>
      <w:r w:rsidRPr="00B17638">
        <w:t>заменимо в демократическом обществе</w:t>
      </w:r>
      <w:r w:rsidRPr="00E538DC">
        <w:rPr>
          <w:vertAlign w:val="superscript"/>
        </w:rPr>
        <w:footnoteReference w:id="9"/>
      </w:r>
      <w:r w:rsidRPr="00B17638">
        <w:t>. Это право включает право на организ</w:t>
      </w:r>
      <w:r w:rsidRPr="00B17638">
        <w:t>а</w:t>
      </w:r>
      <w:r w:rsidRPr="00B17638">
        <w:t>цию мирных собраний и манифестаций и на участие в них с целью выразить поддержку или неодобрение по тому или иному конкретному вопросу.</w:t>
      </w:r>
    </w:p>
    <w:p w:rsidR="00B17638" w:rsidRPr="00B17638" w:rsidRDefault="00B17638" w:rsidP="00B17638">
      <w:pPr>
        <w:pStyle w:val="SingleTxt"/>
      </w:pPr>
      <w:r w:rsidRPr="00B17638">
        <w:t>7.5</w:t>
      </w:r>
      <w:r w:rsidRPr="00B17638">
        <w:tab/>
        <w:t>Комитет отмечает, что отказ разрешить проведение пикета с целью пр</w:t>
      </w:r>
      <w:r w:rsidRPr="00B17638">
        <w:t>и</w:t>
      </w:r>
      <w:r w:rsidRPr="00B17638">
        <w:t>влечь внимание общественности к проблеме бездомных животных, заявить пр</w:t>
      </w:r>
      <w:r w:rsidRPr="00B17638">
        <w:t>о</w:t>
      </w:r>
      <w:r w:rsidRPr="00B17638">
        <w:t>тест против жестокого обращения с животными и выразить несогласие с метод</w:t>
      </w:r>
      <w:r w:rsidRPr="00B17638">
        <w:t>а</w:t>
      </w:r>
      <w:r w:rsidRPr="00B17638">
        <w:t xml:space="preserve">ми работы государственного предприятия </w:t>
      </w:r>
      <w:r w:rsidR="00683F30">
        <w:t>«</w:t>
      </w:r>
      <w:r w:rsidRPr="00B17638">
        <w:t>Фауна города</w:t>
      </w:r>
      <w:r w:rsidR="00683F30">
        <w:t>»</w:t>
      </w:r>
      <w:r w:rsidRPr="00B17638">
        <w:t>, равносилен огранич</w:t>
      </w:r>
      <w:r w:rsidRPr="00B17638">
        <w:t>е</w:t>
      </w:r>
      <w:r w:rsidRPr="00B17638">
        <w:t xml:space="preserve">нию права автора на распространение информации и его свободы собраний. </w:t>
      </w:r>
      <w:r w:rsidR="0034288C">
        <w:t>И </w:t>
      </w:r>
      <w:r w:rsidRPr="00B17638">
        <w:t>Комитет должен проверить, оправданны ли установленные ограничения на права автора в рамках настоящего сообщения по статье 19 (3) и второй фразе ст</w:t>
      </w:r>
      <w:r w:rsidRPr="00B17638">
        <w:t>а</w:t>
      </w:r>
      <w:r w:rsidRPr="00B17638">
        <w:t>тьи 21 Пакта.</w:t>
      </w:r>
    </w:p>
    <w:p w:rsidR="00B17638" w:rsidRPr="00B17638" w:rsidRDefault="00B17638" w:rsidP="00B17638">
      <w:pPr>
        <w:pStyle w:val="SingleTxt"/>
      </w:pPr>
      <w:r w:rsidRPr="00B17638">
        <w:t>7.6</w:t>
      </w:r>
      <w:r w:rsidRPr="00B17638">
        <w:tab/>
        <w:t>Комитет напоминает, что права, изложенные в статье 19 (1) Пакта, не носят абсолютный характер, и статья 19 (3) предусматривает определенные огранич</w:t>
      </w:r>
      <w:r w:rsidRPr="00B17638">
        <w:t>е</w:t>
      </w:r>
      <w:r w:rsidRPr="00B17638">
        <w:t>ния, но только установленные законом и необходимые: a) для уважения прав или репутации других; или b) для охраны государственной безопасности, обществе</w:t>
      </w:r>
      <w:r w:rsidRPr="00B17638">
        <w:t>н</w:t>
      </w:r>
      <w:r w:rsidRPr="00B17638">
        <w:t>ного порядка (ordre public), здоровья или нравственности населения. Он отмеч</w:t>
      </w:r>
      <w:r w:rsidRPr="00B17638">
        <w:t>а</w:t>
      </w:r>
      <w:r w:rsidRPr="00B17638">
        <w:t>ет, что любые ограничения на осуществление прав, предусмотренных в пункте 2 статьи 19, должны сообразовываться со строгими критериями необходимости и соразмерности и должны быть прямо связаны с конкретной необходимостью, из которой они исходят</w:t>
      </w:r>
      <w:r w:rsidRPr="00E538DC">
        <w:rPr>
          <w:vertAlign w:val="superscript"/>
        </w:rPr>
        <w:footnoteReference w:id="10"/>
      </w:r>
      <w:r w:rsidRPr="00B17638">
        <w:t>.</w:t>
      </w:r>
    </w:p>
    <w:p w:rsidR="00B17638" w:rsidRPr="00B17638" w:rsidRDefault="00B17638" w:rsidP="00B17638">
      <w:pPr>
        <w:pStyle w:val="SingleTxt"/>
      </w:pPr>
      <w:r w:rsidRPr="00B17638">
        <w:t>7.7</w:t>
      </w:r>
      <w:r w:rsidRPr="00B17638">
        <w:tab/>
        <w:t>Комитет далее отмечает, что право, гарантируемое по статье 21, не подл</w:t>
      </w:r>
      <w:r w:rsidRPr="00B17638">
        <w:t>е</w:t>
      </w:r>
      <w:r w:rsidRPr="00B17638">
        <w:t>жит никаким ограничениям, кроме тех, которые налагаются в соответствии с з</w:t>
      </w:r>
      <w:r w:rsidRPr="00B17638">
        <w:t>а</w:t>
      </w:r>
      <w:r w:rsidRPr="00B17638">
        <w:t>коном и которые необходимы в демократическом обществе в интересах госуда</w:t>
      </w:r>
      <w:r w:rsidRPr="00B17638">
        <w:t>р</w:t>
      </w:r>
      <w:r w:rsidRPr="00B17638">
        <w:t>ственной или общественной безопасности, общественного порядка, охраны зд</w:t>
      </w:r>
      <w:r w:rsidRPr="00B17638">
        <w:t>о</w:t>
      </w:r>
      <w:r w:rsidRPr="00B17638">
        <w:t>ровья или нравственности населения или защиты прав и свобод других лиц</w:t>
      </w:r>
      <w:r w:rsidRPr="00E538DC">
        <w:rPr>
          <w:vertAlign w:val="superscript"/>
        </w:rPr>
        <w:footnoteReference w:id="11"/>
      </w:r>
      <w:r w:rsidRPr="00B17638">
        <w:t>. К</w:t>
      </w:r>
      <w:r w:rsidRPr="00B17638">
        <w:t>о</w:t>
      </w:r>
      <w:r w:rsidRPr="00B17638">
        <w:t>гда государство-участник вводит ограничения с целью увязать право индивида на собрания с вышеупомянутыми общими интересами, оно должно руководств</w:t>
      </w:r>
      <w:r w:rsidRPr="00B17638">
        <w:t>о</w:t>
      </w:r>
      <w:r w:rsidRPr="00B17638">
        <w:t>ваться целью содействия осуществлению данного права, вместо того чтобы стремиться избыточно или несоразмерно ограничить его. Таким образом, гос</w:t>
      </w:r>
      <w:r w:rsidRPr="00B17638">
        <w:t>у</w:t>
      </w:r>
      <w:r w:rsidRPr="00B17638">
        <w:t>дарство-участник несет обязанность мотивировать вводимое ограничение права, защищаемого статьей 21 Пакта</w:t>
      </w:r>
      <w:r w:rsidRPr="00E538DC">
        <w:rPr>
          <w:vertAlign w:val="superscript"/>
        </w:rPr>
        <w:footnoteReference w:id="12"/>
      </w:r>
      <w:r w:rsidRPr="00B17638">
        <w:t>.</w:t>
      </w:r>
    </w:p>
    <w:p w:rsidR="00B17638" w:rsidRPr="00B17638" w:rsidRDefault="00B17638" w:rsidP="00B17638">
      <w:pPr>
        <w:pStyle w:val="SingleTxt"/>
      </w:pPr>
      <w:r w:rsidRPr="00B17638">
        <w:lastRenderedPageBreak/>
        <w:t>7.8</w:t>
      </w:r>
      <w:r w:rsidRPr="00B17638">
        <w:tab/>
        <w:t>В этой связи Комитет отмечает, что государство-участник не представило замечаний по существу настоящего сообщения, и в этих обстоятельствах надо придать должный вес утверждениям автора. Комитет отмечает, что властями г</w:t>
      </w:r>
      <w:r w:rsidRPr="00B17638">
        <w:t>о</w:t>
      </w:r>
      <w:r w:rsidRPr="00B17638">
        <w:t>рода Минска автору было отказано в разрешении провести 22 августа 2009 года пикет в месте по своему выбору, что ограничило его права на свободу собраний и на распространение своих мнений вместе с другими относительно бездомных животных и методов работы государственног</w:t>
      </w:r>
      <w:r w:rsidR="0034288C">
        <w:t>о предприятия «Фауна города». В </w:t>
      </w:r>
      <w:r w:rsidRPr="00B17638">
        <w:t>этой связи он отмечает, что национальные ведомства отказались позволить а</w:t>
      </w:r>
      <w:r w:rsidRPr="00B17638">
        <w:t>в</w:t>
      </w:r>
      <w:r w:rsidRPr="00B17638">
        <w:t>тору провести пикет в месте по своему выбору и тем самым ограничили его пр</w:t>
      </w:r>
      <w:r w:rsidRPr="00B17638">
        <w:t>а</w:t>
      </w:r>
      <w:r w:rsidRPr="00B17638">
        <w:t>во выразить свои озабоченности вместе с другими исключительно по тем мот</w:t>
      </w:r>
      <w:r w:rsidRPr="00B17638">
        <w:t>и</w:t>
      </w:r>
      <w:r w:rsidRPr="00B17638">
        <w:t xml:space="preserve">вам, что пикет будет мешать работе государственного предприятия </w:t>
      </w:r>
      <w:r w:rsidR="0034288C">
        <w:t>«</w:t>
      </w:r>
      <w:r w:rsidRPr="00B17638">
        <w:t>Фауна гор</w:t>
      </w:r>
      <w:r w:rsidRPr="00B17638">
        <w:t>о</w:t>
      </w:r>
      <w:r w:rsidRPr="00B17638">
        <w:t>да</w:t>
      </w:r>
      <w:r w:rsidR="0034288C">
        <w:t>»</w:t>
      </w:r>
      <w:r w:rsidRPr="00B17638">
        <w:t xml:space="preserve"> и других предприятий в районе, а также автомобильному движению. Между тем, в свете информации, предоставленной автором, Комитет отмечает, что вл</w:t>
      </w:r>
      <w:r w:rsidRPr="00B17638">
        <w:t>а</w:t>
      </w:r>
      <w:r w:rsidRPr="00B17638">
        <w:t>сти не объяснили, каким образом на практике пикет, проводимый в пешеходной зоне вне территории соответствующего государственного предприятия, мешал бы работе указанного предприятия, а также дорожному движению; не объяснили они и каким образом введенные ограничения прав автора на свободу выражения мнений и мирные собрания оправданны по статье 19 (3) и второй фразе статьи 21 Пакта</w:t>
      </w:r>
      <w:r w:rsidRPr="00E538DC">
        <w:rPr>
          <w:vertAlign w:val="superscript"/>
        </w:rPr>
        <w:footnoteReference w:id="13"/>
      </w:r>
      <w:r w:rsidRPr="00B17638">
        <w:t>. Комитет напоминает, что как раз государству-участнику и надлежит продемонстрировать необходимость установленных ограничений в данном сл</w:t>
      </w:r>
      <w:r w:rsidRPr="00B17638">
        <w:t>у</w:t>
      </w:r>
      <w:r w:rsidRPr="00B17638">
        <w:t>чае</w:t>
      </w:r>
      <w:r w:rsidRPr="00E538DC">
        <w:rPr>
          <w:vertAlign w:val="superscript"/>
        </w:rPr>
        <w:footnoteReference w:id="14"/>
      </w:r>
      <w:r w:rsidRPr="00B17638">
        <w:t>.</w:t>
      </w:r>
    </w:p>
    <w:p w:rsidR="00B17638" w:rsidRPr="00B17638" w:rsidRDefault="00B17638" w:rsidP="00B17638">
      <w:pPr>
        <w:pStyle w:val="SingleTxt"/>
      </w:pPr>
      <w:r w:rsidRPr="00B17638">
        <w:t>7.9</w:t>
      </w:r>
      <w:r w:rsidRPr="00B17638">
        <w:tab/>
        <w:t>В обстоятельствах данного дела и в отсутствие любой другой соответств</w:t>
      </w:r>
      <w:r w:rsidRPr="00B17638">
        <w:t>у</w:t>
      </w:r>
      <w:r w:rsidRPr="00B17638">
        <w:t>ющей информации от государства-участника в порядке оправдания ограничения для целей статьи 19 (3) и второй фразы статьи 21 Пакта Комитет заключает, что были нарушены права автора по статье 19 (2) и по статье 21 Пакта.</w:t>
      </w:r>
    </w:p>
    <w:p w:rsidR="00B17638" w:rsidRPr="00B17638" w:rsidRDefault="00B17638" w:rsidP="00B17638">
      <w:pPr>
        <w:pStyle w:val="SingleTxt"/>
      </w:pPr>
      <w:r w:rsidRPr="00B17638">
        <w:t>8.</w:t>
      </w:r>
      <w:r w:rsidRPr="00B17638">
        <w:tab/>
        <w:t>Комитет по правам человека, действуя в соответствии с пунктом 4 статьи 5 Факультативного протокола к Международному пакту о гражданских и полит</w:t>
      </w:r>
      <w:r w:rsidRPr="00B17638">
        <w:t>и</w:t>
      </w:r>
      <w:r w:rsidRPr="00B17638">
        <w:t>ческих правах, считает, что факты, которыми он располагает, вскрывают наруш</w:t>
      </w:r>
      <w:r w:rsidRPr="00B17638">
        <w:t>е</w:t>
      </w:r>
      <w:r w:rsidRPr="00B17638">
        <w:t>ние Беларусью прав г-на Пугача по статьям 19 (2) и 21 Пакта.</w:t>
      </w:r>
    </w:p>
    <w:p w:rsidR="00B17638" w:rsidRPr="00B17638" w:rsidRDefault="00B17638" w:rsidP="00B17638">
      <w:pPr>
        <w:pStyle w:val="SingleTxt"/>
      </w:pPr>
      <w:r w:rsidRPr="00B17638">
        <w:t>9.</w:t>
      </w:r>
      <w:r w:rsidRPr="00B17638">
        <w:tab/>
        <w:t>В соответствии со статьей 2 (3) а) Пакта государство-участник несет об</w:t>
      </w:r>
      <w:r w:rsidRPr="00B17638">
        <w:t>я</w:t>
      </w:r>
      <w:r w:rsidRPr="00B17638">
        <w:t>занность предоставить автору эффективное средство правовой защиты, включая возмещение любых судебных издержек, понесенных автором, вместе с адеква</w:t>
      </w:r>
      <w:r w:rsidRPr="00B17638">
        <w:t>т</w:t>
      </w:r>
      <w:r w:rsidRPr="00B17638">
        <w:t>ной компенсацией. Государство-участник также несет обязанность предпринять шаги по недопущению подобных нарушений в будущем. В этом отношении К</w:t>
      </w:r>
      <w:r w:rsidRPr="00B17638">
        <w:t>о</w:t>
      </w:r>
      <w:r w:rsidRPr="00B17638">
        <w:t>митет повторяет, что государству-участнику следует пересмотреть свое законод</w:t>
      </w:r>
      <w:r w:rsidRPr="00B17638">
        <w:t>а</w:t>
      </w:r>
      <w:r w:rsidRPr="00B17638">
        <w:t xml:space="preserve">тельство, и в особенности Закон </w:t>
      </w:r>
      <w:r w:rsidR="00683F30">
        <w:t>«</w:t>
      </w:r>
      <w:r w:rsidRPr="00B17638">
        <w:t>О массовых мероприятиях</w:t>
      </w:r>
      <w:r w:rsidR="00683F30">
        <w:t>»</w:t>
      </w:r>
      <w:r w:rsidRPr="00B17638">
        <w:t xml:space="preserve"> о</w:t>
      </w:r>
      <w:r w:rsidR="000875F5">
        <w:t>т 30 декабря 1997 </w:t>
      </w:r>
      <w:r w:rsidRPr="00B17638">
        <w:t>года, как он был применен в настоящем де</w:t>
      </w:r>
      <w:r w:rsidR="000875F5">
        <w:t>ле, с целью обеспечить, чтобы в </w:t>
      </w:r>
      <w:r w:rsidRPr="00B17638">
        <w:t>государстве-участнике можно было в полной мере пользоваться правами по статьям 19 и 21 Пакта</w:t>
      </w:r>
      <w:r w:rsidRPr="00E538DC">
        <w:rPr>
          <w:vertAlign w:val="superscript"/>
        </w:rPr>
        <w:footnoteReference w:id="15"/>
      </w:r>
      <w:r w:rsidRPr="00B17638">
        <w:t>.</w:t>
      </w:r>
    </w:p>
    <w:p w:rsidR="00476048" w:rsidRDefault="00B17638" w:rsidP="00B17638">
      <w:pPr>
        <w:pStyle w:val="SingleTxt"/>
      </w:pPr>
      <w:r w:rsidRPr="00B17638">
        <w:t>10.</w:t>
      </w:r>
      <w:r w:rsidRPr="00B17638">
        <w:tab/>
        <w:t>Учитывая, что, став участником Факультативного протокола, государство-участник признало компетенцию Комитета устанавливать, имело ли место нар</w:t>
      </w:r>
      <w:r w:rsidRPr="00B17638">
        <w:t>у</w:t>
      </w:r>
      <w:r w:rsidRPr="00B17638">
        <w:t>шение Пакта,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эффективные и имеющие исковую силу средства правовой защиты в случае установления нар</w:t>
      </w:r>
      <w:r w:rsidRPr="00B17638">
        <w:t>у</w:t>
      </w:r>
      <w:r w:rsidRPr="00B17638">
        <w:t xml:space="preserve">шения, Комитет хотел бы получить от государства-участника в течение 180 дней </w:t>
      </w:r>
      <w:r w:rsidRPr="00B17638">
        <w:lastRenderedPageBreak/>
        <w:t>информацию о принятых мерах по осуществлению настоящих Соображений К</w:t>
      </w:r>
      <w:r w:rsidRPr="00B17638">
        <w:t>о</w:t>
      </w:r>
      <w:r w:rsidRPr="00B17638">
        <w:t>митета. Государству-участнику также предлагается опубликовать настоящие С</w:t>
      </w:r>
      <w:r w:rsidRPr="00B17638">
        <w:t>о</w:t>
      </w:r>
      <w:r w:rsidRPr="00B17638">
        <w:t>ображения и обеспечить их широкое распространение в государстве-участнике на белорусском и русском языках.</w:t>
      </w:r>
    </w:p>
    <w:p w:rsidR="00E7246B" w:rsidRPr="00E7246B" w:rsidRDefault="00E7246B" w:rsidP="00E7246B">
      <w:pPr>
        <w:pStyle w:val="SingleTxt"/>
        <w:spacing w:after="0" w:line="240" w:lineRule="auto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7246B" w:rsidRPr="00E7246B" w:rsidSect="00E36EC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7T11:56:00Z" w:initials="Start">
    <w:p w:rsidR="00E36ECB" w:rsidRPr="00AD35E5" w:rsidRDefault="00E36ECB">
      <w:pPr>
        <w:pStyle w:val="CommentText"/>
        <w:rPr>
          <w:lang w:val="en-US"/>
        </w:rPr>
      </w:pPr>
      <w:r>
        <w:fldChar w:fldCharType="begin"/>
      </w:r>
      <w:r w:rsidRPr="00AD35E5">
        <w:rPr>
          <w:rStyle w:val="CommentReference"/>
          <w:lang w:val="en-US"/>
        </w:rPr>
        <w:instrText xml:space="preserve"> </w:instrText>
      </w:r>
      <w:r w:rsidRPr="00AD35E5">
        <w:rPr>
          <w:lang w:val="en-US"/>
        </w:rPr>
        <w:instrText>PAGE \# "'Page: '#'</w:instrText>
      </w:r>
      <w:r w:rsidRPr="00AD35E5">
        <w:rPr>
          <w:lang w:val="en-US"/>
        </w:rPr>
        <w:br/>
        <w:instrText>'"</w:instrText>
      </w:r>
      <w:r w:rsidRPr="00AD35E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D35E5">
        <w:rPr>
          <w:lang w:val="en-US"/>
        </w:rPr>
        <w:t>&lt;&lt;ODS JOB NO&gt;&gt;N1517797R&lt;&lt;ODS JOB NO&gt;&gt;</w:t>
      </w:r>
    </w:p>
    <w:p w:rsidR="00E36ECB" w:rsidRPr="00AD35E5" w:rsidRDefault="00E36ECB">
      <w:pPr>
        <w:pStyle w:val="CommentText"/>
        <w:rPr>
          <w:lang w:val="fr-CH"/>
        </w:rPr>
      </w:pPr>
      <w:r w:rsidRPr="00AD35E5">
        <w:rPr>
          <w:lang w:val="fr-CH"/>
        </w:rPr>
        <w:t>&lt;&lt;ODS DOC SYMBOL1&gt;&gt;CCPR/C/114/D/1984/2010&lt;&lt;ODS DOC SYMBOL1&gt;&gt;</w:t>
      </w:r>
    </w:p>
    <w:p w:rsidR="00E36ECB" w:rsidRDefault="00E36EC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7F" w:rsidRDefault="006A607F" w:rsidP="008A1A7A">
      <w:pPr>
        <w:spacing w:line="240" w:lineRule="auto"/>
      </w:pPr>
      <w:r>
        <w:separator/>
      </w:r>
    </w:p>
  </w:endnote>
  <w:endnote w:type="continuationSeparator" w:id="0">
    <w:p w:rsidR="006A607F" w:rsidRDefault="006A607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36ECB" w:rsidTr="00E36E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6ECB" w:rsidRPr="00E36ECB" w:rsidRDefault="00E36ECB" w:rsidP="00E36EC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E61E5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5E61E5">
              <w:rPr>
                <w:noProof/>
              </w:rPr>
              <w:t>9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36ECB" w:rsidRPr="00E36ECB" w:rsidRDefault="00E36ECB" w:rsidP="00E36EC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61E5">
            <w:rPr>
              <w:b w:val="0"/>
              <w:color w:val="000000"/>
              <w:sz w:val="14"/>
            </w:rPr>
            <w:t>GE.15-13573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36ECB" w:rsidRPr="00E36ECB" w:rsidRDefault="00E36ECB" w:rsidP="00E36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36ECB" w:rsidTr="00E36EC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6ECB" w:rsidRPr="00E36ECB" w:rsidRDefault="00E36ECB" w:rsidP="00E36EC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E61E5">
            <w:rPr>
              <w:b w:val="0"/>
              <w:color w:val="000000"/>
              <w:sz w:val="14"/>
            </w:rPr>
            <w:t>GE.15-13573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6ECB" w:rsidRPr="00E36ECB" w:rsidRDefault="00E36ECB" w:rsidP="00E36EC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E61E5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5E61E5">
              <w:rPr>
                <w:noProof/>
              </w:rPr>
              <w:t>9</w:t>
            </w:r>
          </w:fldSimple>
        </w:p>
      </w:tc>
    </w:tr>
  </w:tbl>
  <w:p w:rsidR="00E36ECB" w:rsidRPr="00E36ECB" w:rsidRDefault="00E36ECB" w:rsidP="00E36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36ECB" w:rsidTr="00E36ECB">
      <w:tc>
        <w:tcPr>
          <w:tcW w:w="3873" w:type="dxa"/>
        </w:tcPr>
        <w:p w:rsidR="00E36ECB" w:rsidRDefault="00E36ECB" w:rsidP="00E36ECB">
          <w:pPr>
            <w:pStyle w:val="ReleaseDate"/>
            <w:rPr>
              <w:color w:val="01000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3C755386" wp14:editId="7C120B0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CCPR/C/114/D/1984/20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CPR/C/114/D/1984/20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GE.15-13573 (R)</w:t>
          </w:r>
          <w:r>
            <w:rPr>
              <w:color w:val="010000"/>
            </w:rPr>
            <w:t xml:space="preserve">    271015    271015</w:t>
          </w:r>
        </w:p>
        <w:p w:rsidR="00E36ECB" w:rsidRPr="00E36ECB" w:rsidRDefault="00E36ECB" w:rsidP="00E36EC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*1513573*</w:t>
          </w:r>
        </w:p>
      </w:tc>
      <w:tc>
        <w:tcPr>
          <w:tcW w:w="5127" w:type="dxa"/>
        </w:tcPr>
        <w:p w:rsidR="00E36ECB" w:rsidRDefault="00E36ECB" w:rsidP="00E36EC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ru-RU"/>
            </w:rPr>
            <w:drawing>
              <wp:inline distT="0" distB="0" distL="0" distR="0" wp14:anchorId="5B3DF318" wp14:editId="72A3BA9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6ECB" w:rsidRPr="00E36ECB" w:rsidRDefault="00E36ECB" w:rsidP="00E36EC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7F" w:rsidRPr="00E538DC" w:rsidRDefault="00E538DC" w:rsidP="00E538DC">
      <w:pPr>
        <w:pStyle w:val="Footer"/>
        <w:spacing w:after="80"/>
        <w:ind w:left="792"/>
        <w:rPr>
          <w:sz w:val="16"/>
        </w:rPr>
      </w:pPr>
      <w:r w:rsidRPr="00E538DC">
        <w:rPr>
          <w:sz w:val="16"/>
        </w:rPr>
        <w:t>__________________</w:t>
      </w:r>
    </w:p>
  </w:footnote>
  <w:footnote w:type="continuationSeparator" w:id="0">
    <w:p w:rsidR="006A607F" w:rsidRPr="00E538DC" w:rsidRDefault="00E538DC" w:rsidP="00E538DC">
      <w:pPr>
        <w:pStyle w:val="Footer"/>
        <w:spacing w:after="80"/>
        <w:ind w:left="792"/>
        <w:rPr>
          <w:sz w:val="16"/>
        </w:rPr>
      </w:pPr>
      <w:r w:rsidRPr="00E538DC">
        <w:rPr>
          <w:sz w:val="16"/>
        </w:rPr>
        <w:t>__________________</w:t>
      </w:r>
    </w:p>
  </w:footnote>
  <w:footnote w:type="continuationNotice" w:id="1">
    <w:p w:rsidR="002768DA" w:rsidRPr="002768DA" w:rsidRDefault="002768DA" w:rsidP="002768DA">
      <w:pPr>
        <w:pStyle w:val="Footer"/>
      </w:pPr>
    </w:p>
  </w:footnote>
  <w:footnote w:id="2">
    <w:p w:rsidR="00F17FBA" w:rsidRPr="00476048" w:rsidRDefault="00F17FBA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rPr>
          <w:lang w:val="en-US"/>
        </w:rPr>
        <w:tab/>
      </w:r>
      <w:r w:rsidRPr="00476048">
        <w:rPr>
          <w:rStyle w:val="FootnoteReference"/>
          <w:vertAlign w:val="baseline"/>
          <w:lang w:val="en-US"/>
        </w:rPr>
        <w:t>*</w:t>
      </w:r>
      <w:r>
        <w:rPr>
          <w:lang w:val="en-US"/>
        </w:rPr>
        <w:tab/>
      </w:r>
      <w:r w:rsidR="00476048" w:rsidRPr="00476048">
        <w:t>В</w:t>
      </w:r>
      <w:r w:rsidR="00476048" w:rsidRPr="00476048">
        <w:rPr>
          <w:lang w:val="en-US"/>
        </w:rPr>
        <w:t xml:space="preserve"> </w:t>
      </w:r>
      <w:r w:rsidR="00476048" w:rsidRPr="00476048">
        <w:t>рассмотрении</w:t>
      </w:r>
      <w:r w:rsidR="00476048" w:rsidRPr="00476048">
        <w:rPr>
          <w:lang w:val="en-US"/>
        </w:rPr>
        <w:t xml:space="preserve"> </w:t>
      </w:r>
      <w:r w:rsidR="00476048" w:rsidRPr="00476048">
        <w:t>настоящего</w:t>
      </w:r>
      <w:r w:rsidR="00476048" w:rsidRPr="00476048">
        <w:rPr>
          <w:lang w:val="en-US"/>
        </w:rPr>
        <w:t xml:space="preserve"> </w:t>
      </w:r>
      <w:r w:rsidR="00476048" w:rsidRPr="00476048">
        <w:t>сообщения</w:t>
      </w:r>
      <w:r w:rsidR="00476048" w:rsidRPr="00476048">
        <w:rPr>
          <w:lang w:val="en-US"/>
        </w:rPr>
        <w:t xml:space="preserve"> </w:t>
      </w:r>
      <w:r w:rsidR="00476048" w:rsidRPr="00476048">
        <w:t>участвовали</w:t>
      </w:r>
      <w:r w:rsidR="00476048" w:rsidRPr="00476048">
        <w:rPr>
          <w:lang w:val="en-US"/>
        </w:rPr>
        <w:t xml:space="preserve"> </w:t>
      </w:r>
      <w:r w:rsidR="00476048" w:rsidRPr="00476048">
        <w:t>следующие</w:t>
      </w:r>
      <w:r w:rsidR="00476048" w:rsidRPr="00476048">
        <w:rPr>
          <w:lang w:val="en-US"/>
        </w:rPr>
        <w:t xml:space="preserve"> </w:t>
      </w:r>
      <w:r w:rsidR="00476048" w:rsidRPr="00476048">
        <w:t>члены</w:t>
      </w:r>
      <w:r w:rsidR="00476048" w:rsidRPr="00476048">
        <w:rPr>
          <w:lang w:val="en-US"/>
        </w:rPr>
        <w:t xml:space="preserve"> </w:t>
      </w:r>
      <w:r w:rsidR="00476048" w:rsidRPr="00476048">
        <w:t>Комитета</w:t>
      </w:r>
      <w:r w:rsidR="00476048" w:rsidRPr="00476048">
        <w:rPr>
          <w:lang w:val="en-US"/>
        </w:rPr>
        <w:t xml:space="preserve">: </w:t>
      </w:r>
      <w:r w:rsidR="00476048" w:rsidRPr="00476048">
        <w:t>Ядх</w:t>
      </w:r>
      <w:r w:rsidR="00476048" w:rsidRPr="00476048">
        <w:rPr>
          <w:lang w:val="en-US"/>
        </w:rPr>
        <w:t xml:space="preserve"> </w:t>
      </w:r>
      <w:r w:rsidR="00476048" w:rsidRPr="00476048">
        <w:t>Бен</w:t>
      </w:r>
      <w:r w:rsidR="00476048" w:rsidRPr="00476048">
        <w:rPr>
          <w:lang w:val="en-US"/>
        </w:rPr>
        <w:t xml:space="preserve"> </w:t>
      </w:r>
      <w:r w:rsidR="00476048" w:rsidRPr="00476048">
        <w:t>Ашур</w:t>
      </w:r>
      <w:r w:rsidR="00476048" w:rsidRPr="00476048">
        <w:rPr>
          <w:lang w:val="en-US"/>
        </w:rPr>
        <w:t xml:space="preserve">, </w:t>
      </w:r>
      <w:r w:rsidR="00476048" w:rsidRPr="00476048">
        <w:t>Лазхари</w:t>
      </w:r>
      <w:r w:rsidR="00476048" w:rsidRPr="00476048">
        <w:rPr>
          <w:lang w:val="en-US"/>
        </w:rPr>
        <w:t xml:space="preserve"> </w:t>
      </w:r>
      <w:r w:rsidR="00476048" w:rsidRPr="00476048">
        <w:t>Бузид</w:t>
      </w:r>
      <w:r w:rsidR="00476048" w:rsidRPr="00476048">
        <w:rPr>
          <w:lang w:val="en-US"/>
        </w:rPr>
        <w:t xml:space="preserve">, </w:t>
      </w:r>
      <w:r w:rsidR="00476048" w:rsidRPr="00476048">
        <w:t>Константин</w:t>
      </w:r>
      <w:r w:rsidR="00476048" w:rsidRPr="00476048">
        <w:rPr>
          <w:lang w:val="en-US"/>
        </w:rPr>
        <w:t xml:space="preserve"> </w:t>
      </w:r>
      <w:r w:rsidR="00476048" w:rsidRPr="00476048">
        <w:t>Вардзелашвили</w:t>
      </w:r>
      <w:r w:rsidR="00476048" w:rsidRPr="00476048">
        <w:rPr>
          <w:lang w:val="en-US"/>
        </w:rPr>
        <w:t xml:space="preserve">, </w:t>
      </w:r>
      <w:r w:rsidR="00476048" w:rsidRPr="00476048">
        <w:t>Марго</w:t>
      </w:r>
      <w:r w:rsidR="00476048" w:rsidRPr="00476048">
        <w:rPr>
          <w:lang w:val="en-US"/>
        </w:rPr>
        <w:t xml:space="preserve"> </w:t>
      </w:r>
      <w:r w:rsidR="00476048" w:rsidRPr="00476048">
        <w:t>Ватервал</w:t>
      </w:r>
      <w:r w:rsidR="00476048" w:rsidRPr="00476048">
        <w:rPr>
          <w:lang w:val="en-US"/>
        </w:rPr>
        <w:t xml:space="preserve">, </w:t>
      </w:r>
      <w:r w:rsidR="00476048" w:rsidRPr="00476048">
        <w:t>Ивана</w:t>
      </w:r>
      <w:r w:rsidR="00476048" w:rsidRPr="00476048">
        <w:rPr>
          <w:lang w:val="en-US"/>
        </w:rPr>
        <w:t xml:space="preserve"> </w:t>
      </w:r>
      <w:r w:rsidR="00476048" w:rsidRPr="00476048">
        <w:t>Елич</w:t>
      </w:r>
      <w:r w:rsidR="00476048" w:rsidRPr="00476048">
        <w:rPr>
          <w:lang w:val="en-US"/>
        </w:rPr>
        <w:t xml:space="preserve">, </w:t>
      </w:r>
      <w:r w:rsidR="00476048" w:rsidRPr="00476048">
        <w:t>Аня</w:t>
      </w:r>
      <w:r w:rsidR="00476048" w:rsidRPr="00476048">
        <w:rPr>
          <w:lang w:val="en-US"/>
        </w:rPr>
        <w:t xml:space="preserve"> </w:t>
      </w:r>
      <w:r w:rsidR="00476048" w:rsidRPr="00476048">
        <w:t>Зайберт</w:t>
      </w:r>
      <w:r w:rsidR="00476048" w:rsidRPr="00476048">
        <w:rPr>
          <w:lang w:val="en-US"/>
        </w:rPr>
        <w:t>-</w:t>
      </w:r>
      <w:r w:rsidR="00476048" w:rsidRPr="00476048">
        <w:t>Фор</w:t>
      </w:r>
      <w:r w:rsidR="00476048" w:rsidRPr="00476048">
        <w:rPr>
          <w:lang w:val="en-US"/>
        </w:rPr>
        <w:t xml:space="preserve">, </w:t>
      </w:r>
      <w:r w:rsidR="00476048" w:rsidRPr="00476048">
        <w:t>Юдзи</w:t>
      </w:r>
      <w:r w:rsidR="00476048" w:rsidRPr="00476048">
        <w:rPr>
          <w:lang w:val="en-US"/>
        </w:rPr>
        <w:t xml:space="preserve"> </w:t>
      </w:r>
      <w:r w:rsidR="00476048" w:rsidRPr="00476048">
        <w:t>Ивасава</w:t>
      </w:r>
      <w:r w:rsidR="00476048" w:rsidRPr="00476048">
        <w:rPr>
          <w:lang w:val="en-US"/>
        </w:rPr>
        <w:t xml:space="preserve">, </w:t>
      </w:r>
      <w:r w:rsidR="00476048" w:rsidRPr="00476048">
        <w:t>Сара</w:t>
      </w:r>
      <w:r w:rsidR="00476048" w:rsidRPr="00476048">
        <w:rPr>
          <w:lang w:val="en-US"/>
        </w:rPr>
        <w:t xml:space="preserve"> </w:t>
      </w:r>
      <w:r w:rsidR="00476048" w:rsidRPr="00476048">
        <w:t>Кливленд</w:t>
      </w:r>
      <w:r w:rsidR="00476048" w:rsidRPr="00476048">
        <w:rPr>
          <w:lang w:val="en-US"/>
        </w:rPr>
        <w:t xml:space="preserve">, </w:t>
      </w:r>
      <w:r w:rsidR="00476048" w:rsidRPr="00476048">
        <w:t>Дункан</w:t>
      </w:r>
      <w:r w:rsidR="00476048" w:rsidRPr="00476048">
        <w:rPr>
          <w:lang w:val="en-US"/>
        </w:rPr>
        <w:t xml:space="preserve"> </w:t>
      </w:r>
      <w:r w:rsidR="00476048" w:rsidRPr="00476048">
        <w:t>Мухумуза</w:t>
      </w:r>
      <w:r w:rsidR="00476048" w:rsidRPr="00476048">
        <w:rPr>
          <w:lang w:val="en-US"/>
        </w:rPr>
        <w:t xml:space="preserve"> </w:t>
      </w:r>
      <w:r w:rsidR="00476048" w:rsidRPr="00476048">
        <w:t>Лаки</w:t>
      </w:r>
      <w:r w:rsidR="00476048" w:rsidRPr="00476048">
        <w:rPr>
          <w:lang w:val="en-US"/>
        </w:rPr>
        <w:t xml:space="preserve">, </w:t>
      </w:r>
      <w:r w:rsidR="00476048" w:rsidRPr="00476048">
        <w:t>Фотини</w:t>
      </w:r>
      <w:r w:rsidR="00476048" w:rsidRPr="00476048">
        <w:rPr>
          <w:lang w:val="en-US"/>
        </w:rPr>
        <w:t xml:space="preserve"> </w:t>
      </w:r>
      <w:r w:rsidR="00476048" w:rsidRPr="00476048">
        <w:t>Пазарцис</w:t>
      </w:r>
      <w:r w:rsidR="00476048" w:rsidRPr="00476048">
        <w:rPr>
          <w:lang w:val="en-US"/>
        </w:rPr>
        <w:t xml:space="preserve">, </w:t>
      </w:r>
      <w:r w:rsidR="00476048" w:rsidRPr="00476048">
        <w:t>Мауро</w:t>
      </w:r>
      <w:r w:rsidR="00476048" w:rsidRPr="00476048">
        <w:rPr>
          <w:lang w:val="en-US"/>
        </w:rPr>
        <w:t xml:space="preserve"> </w:t>
      </w:r>
      <w:r w:rsidR="00476048" w:rsidRPr="00476048">
        <w:t>Полити</w:t>
      </w:r>
      <w:r w:rsidR="00476048" w:rsidRPr="00476048">
        <w:rPr>
          <w:lang w:val="en-US"/>
        </w:rPr>
        <w:t xml:space="preserve">, </w:t>
      </w:r>
      <w:r w:rsidR="00476048" w:rsidRPr="00476048">
        <w:t>сэр</w:t>
      </w:r>
      <w:r w:rsidR="00476048" w:rsidRPr="00476048">
        <w:rPr>
          <w:lang w:val="en-US"/>
        </w:rPr>
        <w:t xml:space="preserve"> </w:t>
      </w:r>
      <w:r w:rsidR="00476048" w:rsidRPr="00476048">
        <w:t>Найджел</w:t>
      </w:r>
      <w:r w:rsidR="00476048" w:rsidRPr="00476048">
        <w:rPr>
          <w:lang w:val="en-US"/>
        </w:rPr>
        <w:t xml:space="preserve"> </w:t>
      </w:r>
      <w:r w:rsidR="00476048" w:rsidRPr="00476048">
        <w:t>Родли</w:t>
      </w:r>
      <w:r w:rsidR="00476048" w:rsidRPr="00476048">
        <w:rPr>
          <w:lang w:val="en-US"/>
        </w:rPr>
        <w:t xml:space="preserve">, </w:t>
      </w:r>
      <w:r w:rsidR="00476048" w:rsidRPr="00476048">
        <w:t>Виктор</w:t>
      </w:r>
      <w:r w:rsidR="00476048" w:rsidRPr="00476048">
        <w:rPr>
          <w:lang w:val="en-US"/>
        </w:rPr>
        <w:t xml:space="preserve"> </w:t>
      </w:r>
      <w:r w:rsidR="00476048" w:rsidRPr="00476048">
        <w:t>Мануэль</w:t>
      </w:r>
      <w:r w:rsidR="00476048" w:rsidRPr="00476048">
        <w:rPr>
          <w:lang w:val="en-US"/>
        </w:rPr>
        <w:t xml:space="preserve"> </w:t>
      </w:r>
      <w:r w:rsidR="00476048" w:rsidRPr="00476048">
        <w:t>Родригес</w:t>
      </w:r>
      <w:r w:rsidR="00476048" w:rsidRPr="00476048">
        <w:rPr>
          <w:lang w:val="en-US"/>
        </w:rPr>
        <w:t>-</w:t>
      </w:r>
      <w:r w:rsidR="00476048" w:rsidRPr="00476048">
        <w:t>Ресиа</w:t>
      </w:r>
      <w:r w:rsidR="00476048" w:rsidRPr="00476048">
        <w:rPr>
          <w:lang w:val="en-US"/>
        </w:rPr>
        <w:t xml:space="preserve">, </w:t>
      </w:r>
      <w:r w:rsidR="00476048" w:rsidRPr="00476048">
        <w:t>Фабиан</w:t>
      </w:r>
      <w:r w:rsidR="00476048" w:rsidRPr="00476048">
        <w:rPr>
          <w:lang w:val="en-US"/>
        </w:rPr>
        <w:t xml:space="preserve"> </w:t>
      </w:r>
      <w:r w:rsidR="00476048" w:rsidRPr="00476048">
        <w:t>Омар</w:t>
      </w:r>
      <w:r w:rsidR="00476048" w:rsidRPr="00476048">
        <w:rPr>
          <w:lang w:val="en-US"/>
        </w:rPr>
        <w:t xml:space="preserve"> </w:t>
      </w:r>
      <w:r w:rsidR="00476048" w:rsidRPr="00476048">
        <w:t>Сальвиоли</w:t>
      </w:r>
      <w:r w:rsidR="00476048" w:rsidRPr="00476048">
        <w:rPr>
          <w:lang w:val="en-US"/>
        </w:rPr>
        <w:t xml:space="preserve">, </w:t>
      </w:r>
      <w:r w:rsidR="00476048" w:rsidRPr="00476048">
        <w:t>Дируджлалл</w:t>
      </w:r>
      <w:r w:rsidR="00476048" w:rsidRPr="00476048">
        <w:rPr>
          <w:lang w:val="en-US"/>
        </w:rPr>
        <w:t xml:space="preserve"> </w:t>
      </w:r>
      <w:r w:rsidR="00476048" w:rsidRPr="00476048">
        <w:t>Ситулсингх</w:t>
      </w:r>
      <w:r w:rsidR="00476048" w:rsidRPr="00476048">
        <w:rPr>
          <w:lang w:val="en-US"/>
        </w:rPr>
        <w:t xml:space="preserve">, </w:t>
      </w:r>
      <w:r w:rsidR="00476048" w:rsidRPr="00476048">
        <w:t>Ахмед</w:t>
      </w:r>
      <w:r w:rsidR="00476048" w:rsidRPr="00476048">
        <w:rPr>
          <w:lang w:val="en-US"/>
        </w:rPr>
        <w:t xml:space="preserve"> </w:t>
      </w:r>
      <w:r w:rsidR="00476048" w:rsidRPr="00476048">
        <w:t>Амин</w:t>
      </w:r>
      <w:r w:rsidR="00476048" w:rsidRPr="00476048">
        <w:rPr>
          <w:lang w:val="en-US"/>
        </w:rPr>
        <w:t xml:space="preserve"> </w:t>
      </w:r>
      <w:r w:rsidR="00476048" w:rsidRPr="00476048">
        <w:t>Фатхалла</w:t>
      </w:r>
      <w:r w:rsidR="00476048" w:rsidRPr="00476048">
        <w:rPr>
          <w:lang w:val="en-US"/>
        </w:rPr>
        <w:t xml:space="preserve">, </w:t>
      </w:r>
      <w:r w:rsidR="00476048" w:rsidRPr="00476048">
        <w:t>Оливье</w:t>
      </w:r>
      <w:r w:rsidR="00476048" w:rsidRPr="00476048">
        <w:rPr>
          <w:lang w:val="en-US"/>
        </w:rPr>
        <w:t xml:space="preserve"> </w:t>
      </w:r>
      <w:r w:rsidR="00476048" w:rsidRPr="00476048">
        <w:t>де</w:t>
      </w:r>
      <w:r w:rsidR="00476048" w:rsidRPr="00476048">
        <w:rPr>
          <w:lang w:val="en-US"/>
        </w:rPr>
        <w:t xml:space="preserve"> </w:t>
      </w:r>
      <w:r w:rsidR="00476048" w:rsidRPr="00476048">
        <w:t>Фрувиль</w:t>
      </w:r>
      <w:r w:rsidR="00476048" w:rsidRPr="00476048">
        <w:rPr>
          <w:lang w:val="en-US"/>
        </w:rPr>
        <w:t xml:space="preserve"> </w:t>
      </w:r>
      <w:r w:rsidR="00476048" w:rsidRPr="00476048">
        <w:t>и</w:t>
      </w:r>
      <w:r w:rsidR="00476048" w:rsidRPr="00476048">
        <w:rPr>
          <w:lang w:val="en-US"/>
        </w:rPr>
        <w:t xml:space="preserve"> </w:t>
      </w:r>
      <w:r w:rsidR="00476048" w:rsidRPr="00476048">
        <w:t>Юваль</w:t>
      </w:r>
      <w:r w:rsidR="00476048" w:rsidRPr="00476048">
        <w:rPr>
          <w:lang w:val="en-US"/>
        </w:rPr>
        <w:t xml:space="preserve"> </w:t>
      </w:r>
      <w:r w:rsidR="00476048" w:rsidRPr="00476048">
        <w:t>Шани</w:t>
      </w:r>
      <w:r w:rsidR="00476048" w:rsidRPr="00476048">
        <w:rPr>
          <w:lang w:val="en-US"/>
        </w:rPr>
        <w:t>.</w:t>
      </w:r>
    </w:p>
  </w:footnote>
  <w:footnote w:id="3">
    <w:p w:rsidR="00F17FBA" w:rsidRPr="00476048" w:rsidRDefault="00F17FBA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476048">
        <w:rPr>
          <w:rStyle w:val="FootnoteReference"/>
        </w:rPr>
        <w:footnoteRef/>
      </w:r>
      <w:r w:rsidRPr="00476048">
        <w:rPr>
          <w:vertAlign w:val="superscript"/>
        </w:rPr>
        <w:tab/>
      </w:r>
      <w:r w:rsidR="00476048">
        <w:t>Факультативный протокол вступил в силу для государства-участника 30 декабря 1992 года.</w:t>
      </w:r>
    </w:p>
  </w:footnote>
  <w:footnote w:id="4">
    <w:p w:rsidR="00B17638" w:rsidRPr="002D7094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  <w:rPr>
          <w:highlight w:val="yellow"/>
        </w:rPr>
      </w:pPr>
      <w:r>
        <w:tab/>
      </w:r>
      <w:r>
        <w:rPr>
          <w:rStyle w:val="FootnoteReference"/>
        </w:rPr>
        <w:footnoteRef/>
      </w:r>
      <w:r>
        <w:tab/>
        <w:t xml:space="preserve">См. среди прочего сообщение № 869/1999, </w:t>
      </w:r>
      <w:r>
        <w:rPr>
          <w:i/>
          <w:iCs/>
        </w:rPr>
        <w:t>Пиандионг и др. против Филиппин</w:t>
      </w:r>
      <w:r>
        <w:t>, соображения, принятые 19 октября 2000 года, пункт 5.1.</w:t>
      </w:r>
    </w:p>
  </w:footnote>
  <w:footnote w:id="5">
    <w:p w:rsidR="00B17638" w:rsidRPr="002D7094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  <w:rPr>
          <w:highlight w:val="yellow"/>
        </w:rPr>
      </w:pPr>
      <w:r>
        <w:tab/>
      </w:r>
      <w:r w:rsidRPr="003E00B8">
        <w:rPr>
          <w:rStyle w:val="FootnoteReference"/>
        </w:rPr>
        <w:footnoteRef/>
      </w:r>
      <w:r>
        <w:tab/>
        <w:t xml:space="preserve">См. также сообщения № 1949/2010, </w:t>
      </w:r>
      <w:r>
        <w:rPr>
          <w:i/>
          <w:iCs/>
        </w:rPr>
        <w:t>Козлов и др. против Беларуси</w:t>
      </w:r>
      <w:r>
        <w:t xml:space="preserve">, соображения, принятые 25 марта 2015 года, пункты 5.1 и 5.2; № 1226/2003, </w:t>
      </w:r>
      <w:r>
        <w:rPr>
          <w:i/>
          <w:iCs/>
        </w:rPr>
        <w:t>Корнеенко против Беларуси</w:t>
      </w:r>
      <w:r>
        <w:t>, соображения, принятые 20 июля 2012 года, пункты 8.1 и 8.2; и № 1948/2010, Т</w:t>
      </w:r>
      <w:r>
        <w:rPr>
          <w:i/>
          <w:iCs/>
        </w:rPr>
        <w:t>урченяк и др. против Беларуси,</w:t>
      </w:r>
      <w:r>
        <w:t xml:space="preserve"> соображения, принятые 24 июля 2013 года, пункты 5.1 и 5.2.</w:t>
      </w:r>
    </w:p>
  </w:footnote>
  <w:footnote w:id="6">
    <w:p w:rsidR="00B17638" w:rsidRPr="0086457A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 w:rsidRPr="00A04011">
        <w:tab/>
      </w:r>
      <w:r>
        <w:rPr>
          <w:rStyle w:val="FootnoteReference"/>
        </w:rPr>
        <w:footnoteRef/>
      </w:r>
      <w:r>
        <w:tab/>
        <w:t xml:space="preserve">Сообщения № 836/1998, </w:t>
      </w:r>
      <w:r>
        <w:rPr>
          <w:i/>
          <w:iCs/>
        </w:rPr>
        <w:t>Гелазаускас против Литвы</w:t>
      </w:r>
      <w:r>
        <w:t>, сооб</w:t>
      </w:r>
      <w:r w:rsidR="00E538DC">
        <w:t>ражения, принятые 17 марта 2003 </w:t>
      </w:r>
      <w:r>
        <w:t xml:space="preserve">года, пункт 7.4; № 1851/2008, </w:t>
      </w:r>
      <w:r>
        <w:rPr>
          <w:i/>
          <w:iCs/>
        </w:rPr>
        <w:t>Секерко против Беларуси</w:t>
      </w:r>
      <w:r w:rsidR="00E538DC">
        <w:t>, соображения, принятые 28 </w:t>
      </w:r>
      <w:r>
        <w:t xml:space="preserve">октября 2013 года, пункт 8.3; №№ 1919-1920/2009, </w:t>
      </w:r>
      <w:r>
        <w:rPr>
          <w:i/>
          <w:iCs/>
        </w:rPr>
        <w:t>Процко и Толчин против Беларуси</w:t>
      </w:r>
      <w:r>
        <w:t xml:space="preserve">, соображения, принятые 1 ноября 2013 года, пункт 6.5; № 1784/2008, </w:t>
      </w:r>
      <w:r>
        <w:rPr>
          <w:i/>
          <w:iCs/>
        </w:rPr>
        <w:t>Шумилин против Беларуси</w:t>
      </w:r>
      <w:r>
        <w:t xml:space="preserve">, соображения, принятые 23 июля 2012 года, пункт 8.3; № 1814/2008, </w:t>
      </w:r>
      <w:r>
        <w:rPr>
          <w:i/>
          <w:iCs/>
        </w:rPr>
        <w:t>П.Л.</w:t>
      </w:r>
      <w:r>
        <w:t xml:space="preserve"> </w:t>
      </w:r>
      <w:r>
        <w:rPr>
          <w:i/>
          <w:iCs/>
        </w:rPr>
        <w:t>против Беларуси</w:t>
      </w:r>
      <w:r>
        <w:t>, решение о неприемлемости, принятое 26 июля 2011 года, пункт 6.2; № 2021/2010</w:t>
      </w:r>
      <w:r w:rsidR="00E538DC">
        <w:t>,</w:t>
      </w:r>
      <w:r>
        <w:t xml:space="preserve"> </w:t>
      </w:r>
      <w:r>
        <w:rPr>
          <w:i/>
          <w:iCs/>
        </w:rPr>
        <w:t>Е.Ж</w:t>
      </w:r>
      <w:r>
        <w:t xml:space="preserve">. </w:t>
      </w:r>
      <w:r>
        <w:rPr>
          <w:i/>
          <w:iCs/>
        </w:rPr>
        <w:t>против Казахстана</w:t>
      </w:r>
      <w:r>
        <w:t>, решение о неприемлемости, принятое 1 апреля 2015 года, пункт</w:t>
      </w:r>
      <w:r w:rsidR="00E538DC">
        <w:t> </w:t>
      </w:r>
      <w:r>
        <w:t>7.3.</w:t>
      </w:r>
    </w:p>
  </w:footnote>
  <w:footnote w:id="7">
    <w:p w:rsidR="00B17638" w:rsidRPr="0008278D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574EB0">
        <w:rPr>
          <w:rStyle w:val="FootnoteReference"/>
        </w:rPr>
        <w:footnoteRef/>
      </w:r>
      <w:r>
        <w:tab/>
        <w:t xml:space="preserve">См. среди прочего сообщение № 1992/2010, </w:t>
      </w:r>
      <w:r>
        <w:rPr>
          <w:i/>
          <w:iCs/>
        </w:rPr>
        <w:t>Судаленко против Беларуси</w:t>
      </w:r>
      <w:r>
        <w:t>, соображения, принятые 27 марта 2015 года, пункт 7.3.</w:t>
      </w:r>
    </w:p>
  </w:footnote>
  <w:footnote w:id="8">
    <w:p w:rsidR="00B17638" w:rsidRPr="002E0420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853700">
        <w:rPr>
          <w:rStyle w:val="FootnoteReference"/>
        </w:rPr>
        <w:footnoteRef/>
      </w:r>
      <w:r>
        <w:tab/>
        <w:t>См. замечание общего порядка № 34 (2011) Комитета о свободе мнений и их выражения, пункт 2.</w:t>
      </w:r>
    </w:p>
  </w:footnote>
  <w:footnote w:id="9">
    <w:p w:rsidR="00B17638" w:rsidRPr="002E0420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853700">
        <w:rPr>
          <w:rStyle w:val="FootnoteReference"/>
        </w:rPr>
        <w:footnoteRef/>
      </w:r>
      <w:r>
        <w:tab/>
        <w:t xml:space="preserve">См. сообщение № 1948/2010, </w:t>
      </w:r>
      <w:r>
        <w:rPr>
          <w:i/>
          <w:iCs/>
        </w:rPr>
        <w:t>Турченяк и др. против Беларуси</w:t>
      </w:r>
      <w:r>
        <w:t xml:space="preserve"> (см. сноску 3), пункт 7.4.</w:t>
      </w:r>
    </w:p>
  </w:footnote>
  <w:footnote w:id="10">
    <w:p w:rsidR="00B17638" w:rsidRPr="002E0420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853700">
        <w:rPr>
          <w:rStyle w:val="FootnoteReference"/>
        </w:rPr>
        <w:footnoteRef/>
      </w:r>
      <w:r>
        <w:tab/>
        <w:t xml:space="preserve">См. замечание общего порядка № 34 (см. сноску 6 выше), пункт 22; см. также, например, </w:t>
      </w:r>
      <w:r>
        <w:rPr>
          <w:i/>
          <w:iCs/>
        </w:rPr>
        <w:t>Турченяк и др. против Беларуси</w:t>
      </w:r>
      <w:r>
        <w:t xml:space="preserve"> (см. сноску 3 выше), пункт 7.7.</w:t>
      </w:r>
    </w:p>
  </w:footnote>
  <w:footnote w:id="11">
    <w:p w:rsidR="00B17638" w:rsidRPr="00FA65E3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См., например, сообщение № 1929/2010, </w:t>
      </w:r>
      <w:r>
        <w:rPr>
          <w:i/>
          <w:iCs/>
        </w:rPr>
        <w:t>Лозенко против Беларуси</w:t>
      </w:r>
      <w:r>
        <w:t>, соображения, принятые 24 октября 2014 года, пункт 7.6.</w:t>
      </w:r>
    </w:p>
  </w:footnote>
  <w:footnote w:id="12">
    <w:p w:rsidR="00B17638" w:rsidRPr="00054DCF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См., например, </w:t>
      </w:r>
      <w:r>
        <w:rPr>
          <w:i/>
          <w:iCs/>
        </w:rPr>
        <w:t>Турченяк и др. против Беларуси</w:t>
      </w:r>
      <w:r>
        <w:t xml:space="preserve"> (см. сноску 3 выше), пункт 7.4.</w:t>
      </w:r>
    </w:p>
  </w:footnote>
  <w:footnote w:id="13">
    <w:p w:rsidR="00B17638" w:rsidRPr="00E9372B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 w:rsidRPr="00417C1F">
        <w:rPr>
          <w:rStyle w:val="FootnoteReference"/>
        </w:rPr>
        <w:footnoteRef/>
      </w:r>
      <w:r>
        <w:tab/>
        <w:t>Там же, пункт 7.8.</w:t>
      </w:r>
    </w:p>
  </w:footnote>
  <w:footnote w:id="14">
    <w:p w:rsidR="00B17638" w:rsidRPr="00E9372B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 w:rsidRPr="00E9372B">
        <w:tab/>
      </w:r>
      <w:r w:rsidRPr="00B27E31">
        <w:rPr>
          <w:rStyle w:val="FootnoteReference"/>
        </w:rPr>
        <w:footnoteRef/>
      </w:r>
      <w:r>
        <w:tab/>
        <w:t>Там же.</w:t>
      </w:r>
    </w:p>
  </w:footnote>
  <w:footnote w:id="15">
    <w:p w:rsidR="00B17638" w:rsidRDefault="00B17638" w:rsidP="00E538D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textDirection w:val="tbLrV"/>
      </w:pPr>
      <w:r>
        <w:tab/>
      </w:r>
      <w:r>
        <w:rPr>
          <w:rStyle w:val="FootnoteReference"/>
        </w:rPr>
        <w:footnoteRef/>
      </w:r>
      <w:r>
        <w:tab/>
        <w:t xml:space="preserve">См. например, </w:t>
      </w:r>
      <w:r>
        <w:rPr>
          <w:i/>
          <w:iCs/>
        </w:rPr>
        <w:t>Секерко против Беларуси</w:t>
      </w:r>
      <w:r>
        <w:t xml:space="preserve"> (см. примечание 4 выше), пункт 11; </w:t>
      </w:r>
      <w:r>
        <w:rPr>
          <w:i/>
          <w:iCs/>
        </w:rPr>
        <w:t>Турченяк и др. против Беларуси</w:t>
      </w:r>
      <w:r>
        <w:t xml:space="preserve"> (см. сноску 3 выше), пункт 9; сообщение № 1790/2008, </w:t>
      </w:r>
      <w:r>
        <w:rPr>
          <w:i/>
          <w:iCs/>
        </w:rPr>
        <w:t>Говша, Сырица и Мезяк против Беларуси</w:t>
      </w:r>
      <w:r>
        <w:t>, соображения, принятые 27 июля 2012 года, пункт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36ECB" w:rsidTr="00E36E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6ECB" w:rsidRPr="00E36ECB" w:rsidRDefault="00E36ECB" w:rsidP="00E36EC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61E5">
            <w:rPr>
              <w:b/>
            </w:rPr>
            <w:t>CCPR/C/114/D/1984/2010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6ECB" w:rsidRDefault="00E36ECB" w:rsidP="00E36ECB">
          <w:pPr>
            <w:pStyle w:val="Header"/>
          </w:pPr>
        </w:p>
      </w:tc>
    </w:tr>
  </w:tbl>
  <w:p w:rsidR="00E36ECB" w:rsidRPr="00E36ECB" w:rsidRDefault="00E36ECB" w:rsidP="00E36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36ECB" w:rsidTr="00E36EC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6ECB" w:rsidRDefault="00E36ECB" w:rsidP="00E36EC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36ECB" w:rsidRPr="00E36ECB" w:rsidRDefault="00E36ECB" w:rsidP="00E36EC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E61E5">
            <w:rPr>
              <w:b/>
            </w:rPr>
            <w:t>CCPR/C/114/D/1984/2010</w:t>
          </w:r>
          <w:r>
            <w:rPr>
              <w:b/>
            </w:rPr>
            <w:fldChar w:fldCharType="end"/>
          </w:r>
        </w:p>
      </w:tc>
    </w:tr>
  </w:tbl>
  <w:p w:rsidR="00E36ECB" w:rsidRPr="00E36ECB" w:rsidRDefault="00E36ECB" w:rsidP="00E36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36ECB" w:rsidTr="00E36EC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36ECB" w:rsidRPr="00E36ECB" w:rsidRDefault="00E36ECB" w:rsidP="00E36EC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36ECB" w:rsidRDefault="00E36ECB" w:rsidP="00E36EC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36ECB" w:rsidRPr="00E36ECB" w:rsidRDefault="00E36ECB" w:rsidP="00E36EC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CCPR</w:t>
          </w:r>
          <w:r>
            <w:rPr>
              <w:sz w:val="20"/>
            </w:rPr>
            <w:t>/C/114/D/1984/2010</w:t>
          </w:r>
        </w:p>
      </w:tc>
    </w:tr>
    <w:tr w:rsidR="00E36ECB" w:rsidRPr="00847A88" w:rsidTr="00E36EC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ECB" w:rsidRPr="00E36ECB" w:rsidRDefault="00E36ECB" w:rsidP="00E36EC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5DD03663" wp14:editId="17C35A8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ECB" w:rsidRPr="00E36ECB" w:rsidRDefault="00E36ECB" w:rsidP="00E36ECB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Международный пакт о</w:t>
          </w:r>
          <w:r>
            <w:rPr>
              <w:sz w:val="34"/>
            </w:rPr>
            <w:br/>
            <w:t>гражданских и политических правах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ECB" w:rsidRPr="00E36ECB" w:rsidRDefault="00E36ECB" w:rsidP="00E36EC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ECB" w:rsidRPr="00AD35E5" w:rsidRDefault="00E36ECB" w:rsidP="00E36ECB">
          <w:pPr>
            <w:pStyle w:val="Distribution"/>
            <w:rPr>
              <w:color w:val="000000"/>
              <w:lang w:val="en-US"/>
            </w:rPr>
          </w:pPr>
          <w:r w:rsidRPr="00AD35E5">
            <w:rPr>
              <w:color w:val="000000"/>
              <w:lang w:val="en-US"/>
            </w:rPr>
            <w:t>Distr.: General</w:t>
          </w:r>
        </w:p>
        <w:p w:rsidR="00E36ECB" w:rsidRPr="00AD35E5" w:rsidRDefault="00E36ECB" w:rsidP="00E36ECB">
          <w:pPr>
            <w:pStyle w:val="Publication"/>
            <w:rPr>
              <w:color w:val="000000"/>
              <w:lang w:val="en-US"/>
            </w:rPr>
          </w:pPr>
          <w:r w:rsidRPr="00AD35E5">
            <w:rPr>
              <w:color w:val="000000"/>
              <w:lang w:val="en-US"/>
            </w:rPr>
            <w:t>11 August 2015</w:t>
          </w:r>
        </w:p>
        <w:p w:rsidR="00E36ECB" w:rsidRPr="00AD35E5" w:rsidRDefault="00E36ECB" w:rsidP="00E36ECB">
          <w:pPr>
            <w:rPr>
              <w:color w:val="000000"/>
              <w:lang w:val="en-US"/>
            </w:rPr>
          </w:pPr>
          <w:r w:rsidRPr="00AD35E5">
            <w:rPr>
              <w:color w:val="000000"/>
              <w:lang w:val="en-US"/>
            </w:rPr>
            <w:t>Russian</w:t>
          </w:r>
        </w:p>
        <w:p w:rsidR="00E36ECB" w:rsidRPr="00AD35E5" w:rsidRDefault="00E36ECB" w:rsidP="00E36ECB">
          <w:pPr>
            <w:pStyle w:val="Original"/>
            <w:rPr>
              <w:color w:val="000000"/>
              <w:lang w:val="en-US"/>
            </w:rPr>
          </w:pPr>
          <w:r w:rsidRPr="00AD35E5">
            <w:rPr>
              <w:color w:val="000000"/>
              <w:lang w:val="en-US"/>
            </w:rPr>
            <w:t>Original: English</w:t>
          </w:r>
        </w:p>
        <w:p w:rsidR="00E36ECB" w:rsidRPr="00AD35E5" w:rsidRDefault="00E36ECB" w:rsidP="00E36ECB">
          <w:pPr>
            <w:rPr>
              <w:lang w:val="en-US"/>
            </w:rPr>
          </w:pPr>
        </w:p>
      </w:tc>
    </w:tr>
  </w:tbl>
  <w:p w:rsidR="00E36ECB" w:rsidRPr="00AD35E5" w:rsidRDefault="00E36ECB" w:rsidP="00E36EC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573*"/>
    <w:docVar w:name="CreationDt" w:val="10/27/2015 11:56 AM"/>
    <w:docVar w:name="DocCategory" w:val="Doc"/>
    <w:docVar w:name="DocType" w:val="Final"/>
    <w:docVar w:name="DutyStation" w:val="Geneva"/>
    <w:docVar w:name="FooterJN" w:val="GE.15-13573"/>
    <w:docVar w:name="jobn" w:val="GE.15-13573 (R)"/>
    <w:docVar w:name="jobnDT" w:val="GE.15-13573 (R)   271015"/>
    <w:docVar w:name="jobnDTDT" w:val="GE.15-13573 (R)   271015   271015"/>
    <w:docVar w:name="JobNo" w:val="GE.1513573R"/>
    <w:docVar w:name="JobNo2" w:val="1517797R"/>
    <w:docVar w:name="LocalDrive" w:val="0"/>
    <w:docVar w:name="OandT" w:val=" "/>
    <w:docVar w:name="PaperSize" w:val="A4"/>
    <w:docVar w:name="sss1" w:val="CCPR/C/114/D/1984/2010"/>
    <w:docVar w:name="sss2" w:val="-"/>
    <w:docVar w:name="Symbol1" w:val="CCPR/C/114/D/1984/2010"/>
    <w:docVar w:name="Symbol2" w:val="-"/>
  </w:docVars>
  <w:rsids>
    <w:rsidRoot w:val="006A607F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18E4"/>
    <w:rsid w:val="00067A5A"/>
    <w:rsid w:val="00067A90"/>
    <w:rsid w:val="00070C37"/>
    <w:rsid w:val="000738BD"/>
    <w:rsid w:val="00076F88"/>
    <w:rsid w:val="0007796A"/>
    <w:rsid w:val="0008067C"/>
    <w:rsid w:val="000875F5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2AE7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4C16"/>
    <w:rsid w:val="002768D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288C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4C79"/>
    <w:rsid w:val="00460D23"/>
    <w:rsid w:val="004645DD"/>
    <w:rsid w:val="0046710A"/>
    <w:rsid w:val="00476048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D6E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61E5"/>
    <w:rsid w:val="005E7961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3F30"/>
    <w:rsid w:val="00684FCA"/>
    <w:rsid w:val="0069689E"/>
    <w:rsid w:val="006A1698"/>
    <w:rsid w:val="006A1D06"/>
    <w:rsid w:val="006A3F10"/>
    <w:rsid w:val="006A607F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1626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22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47A88"/>
    <w:rsid w:val="00853E2A"/>
    <w:rsid w:val="008541E9"/>
    <w:rsid w:val="00856EEB"/>
    <w:rsid w:val="00873020"/>
    <w:rsid w:val="008739EB"/>
    <w:rsid w:val="008776BB"/>
    <w:rsid w:val="008802AB"/>
    <w:rsid w:val="00880540"/>
    <w:rsid w:val="0088396E"/>
    <w:rsid w:val="00884EB1"/>
    <w:rsid w:val="008862E4"/>
    <w:rsid w:val="00892E0F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B73B7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35E5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638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809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279E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36ECB"/>
    <w:rsid w:val="00E4741B"/>
    <w:rsid w:val="00E478DE"/>
    <w:rsid w:val="00E5157F"/>
    <w:rsid w:val="00E5226F"/>
    <w:rsid w:val="00E53135"/>
    <w:rsid w:val="00E538DC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246B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17FBA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6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6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num" w:pos="360"/>
        <w:tab w:val="left" w:pos="1210"/>
      </w:tabs>
      <w:suppressAutoHyphens/>
      <w:ind w:left="1210" w:firstLine="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6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C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C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6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3518-FD36-48ED-82A0-2147196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Goussarova</dc:creator>
  <cp:lastModifiedBy>Goussarova</cp:lastModifiedBy>
  <cp:revision>3</cp:revision>
  <cp:lastPrinted>2015-10-27T13:16:00Z</cp:lastPrinted>
  <dcterms:created xsi:type="dcterms:W3CDTF">2015-10-27T13:16:00Z</dcterms:created>
  <dcterms:modified xsi:type="dcterms:W3CDTF">2015-10-27T13:16:00Z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1513573R</vt:lpwstr>
  </property>
  <property fmtid="{D5CDD505-2E9C-101B-9397-08002B2CF9AE}" pid="3" name="ODSRefJobNo">
    <vt:lpwstr>1517797R</vt:lpwstr>
  </property>
  <property fmtid="{D5CDD505-2E9C-101B-9397-08002B2CF9AE}" pid="4" name="Symbol1">
    <vt:lpwstr>CCPR/C/114/D/1984/2010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11 August 2015</vt:lpwstr>
  </property>
  <property fmtid="{D5CDD505-2E9C-101B-9397-08002B2CF9AE}" pid="12" name="Original">
    <vt:lpwstr>English</vt:lpwstr>
  </property>
  <property fmtid="{D5CDD505-2E9C-101B-9397-08002B2CF9AE}" pid="13" name="Release Date">
    <vt:lpwstr>271015</vt:lpwstr>
  </property>
</Properties>
</file>