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6B745F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613B" w:rsidRPr="006B745F" w:rsidRDefault="0084613B" w:rsidP="006B745F">
            <w:pPr>
              <w:suppressAutoHyphens/>
              <w:spacing w:after="80" w:line="300" w:lineRule="exact"/>
              <w:rPr>
                <w:b/>
                <w:sz w:val="24"/>
                <w:szCs w:val="24"/>
              </w:rPr>
            </w:pPr>
            <w:r w:rsidRPr="006B745F"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613B" w:rsidRPr="00EA2819" w:rsidRDefault="0084613B" w:rsidP="006B745F">
            <w:pPr>
              <w:suppressAutoHyphens/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4613B" w:rsidRPr="006B745F" w:rsidRDefault="0084613B" w:rsidP="006B745F">
            <w:pPr>
              <w:suppressAutoHyphens/>
              <w:spacing w:after="80"/>
              <w:jc w:val="right"/>
              <w:rPr>
                <w:lang w:val="en-US"/>
              </w:rPr>
            </w:pPr>
            <w:r w:rsidRPr="006B745F">
              <w:rPr>
                <w:sz w:val="40"/>
                <w:szCs w:val="40"/>
                <w:lang w:val="en-US"/>
              </w:rPr>
              <w:t>CCPR</w:t>
            </w:r>
            <w:r w:rsidRPr="006B745F"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6B745F">
                <w:t>C/112/D/2083/2011</w:t>
              </w:r>
            </w:fldSimple>
          </w:p>
        </w:tc>
      </w:tr>
      <w:tr w:rsidR="0084613B" w:rsidRPr="002C048B" w:rsidTr="006B745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4613B" w:rsidRDefault="006B745F" w:rsidP="006B745F">
            <w:pPr>
              <w:suppressAutoHyphens/>
              <w:spacing w:before="120"/>
              <w:jc w:val="center"/>
            </w:pPr>
            <w:r w:rsidRPr="00604AB2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_unlogo" style="width:56.25pt;height:46.5pt;visibility:visible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4613B" w:rsidRPr="006B745F" w:rsidRDefault="0084613B" w:rsidP="006B745F">
            <w:pPr>
              <w:suppressAutoHyphens/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6B745F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6B745F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4613B" w:rsidRPr="006B745F" w:rsidRDefault="0084613B" w:rsidP="006B745F">
            <w:pPr>
              <w:suppressAutoHyphens/>
              <w:spacing w:before="240"/>
              <w:rPr>
                <w:lang w:val="en-US"/>
              </w:rPr>
            </w:pPr>
            <w:r w:rsidRPr="006B745F">
              <w:rPr>
                <w:lang w:val="en-US"/>
              </w:rPr>
              <w:t>Distr</w:t>
            </w:r>
            <w:r>
              <w:t>.:</w:t>
            </w:r>
            <w:r w:rsidRPr="006B745F"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6B745F">
              <w:rPr>
                <w:lang w:val="en-US"/>
              </w:rPr>
              <w:instrText xml:space="preserve"> FORMDROPDOWN </w:instrText>
            </w:r>
            <w:r w:rsidR="00954101">
              <w:fldChar w:fldCharType="separate"/>
            </w:r>
            <w:r>
              <w:fldChar w:fldCharType="end"/>
            </w:r>
            <w:bookmarkEnd w:id="0"/>
          </w:p>
          <w:p w:rsidR="0084613B" w:rsidRPr="006B745F" w:rsidRDefault="0084613B" w:rsidP="006B745F">
            <w:pPr>
              <w:suppressAutoHyphens/>
              <w:rPr>
                <w:lang w:val="en-US"/>
              </w:rPr>
            </w:pPr>
            <w:fldSimple w:instr=" FILLIN  &quot;Введите дату документа&quot; \* MERGEFORMAT ">
              <w:r w:rsidR="006B745F" w:rsidRPr="006B745F">
                <w:rPr>
                  <w:lang w:val="en-US"/>
                </w:rPr>
                <w:t>19 November 2014</w:t>
              </w:r>
            </w:fldSimple>
          </w:p>
          <w:p w:rsidR="0084613B" w:rsidRDefault="0084613B" w:rsidP="006B745F">
            <w:pPr>
              <w:suppressAutoHyphens/>
            </w:pPr>
            <w:r w:rsidRPr="006B745F">
              <w:rPr>
                <w:lang w:val="en-US"/>
              </w:rPr>
              <w:t>Russian</w:t>
            </w:r>
          </w:p>
          <w:p w:rsidR="0084613B" w:rsidRDefault="0084613B" w:rsidP="006B745F">
            <w:pPr>
              <w:suppressAutoHyphens/>
            </w:pPr>
            <w:r w:rsidRPr="006B745F"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6B745F">
              <w:rPr>
                <w:lang w:val="en-US"/>
              </w:rPr>
              <w:instrText xml:space="preserve"> FORMDROPDOWN </w:instrText>
            </w:r>
            <w:r w:rsidR="00954101">
              <w:fldChar w:fldCharType="separate"/>
            </w:r>
            <w:r>
              <w:fldChar w:fldCharType="end"/>
            </w:r>
            <w:bookmarkEnd w:id="1"/>
          </w:p>
          <w:p w:rsidR="0084613B" w:rsidRPr="002C048B" w:rsidRDefault="0084613B" w:rsidP="006B745F">
            <w:pPr>
              <w:suppressAutoHyphens/>
            </w:pPr>
          </w:p>
        </w:tc>
      </w:tr>
    </w:tbl>
    <w:p w:rsidR="001D677D" w:rsidRPr="00813AE4" w:rsidRDefault="001D677D" w:rsidP="001D677D">
      <w:pPr>
        <w:spacing w:before="120"/>
        <w:rPr>
          <w:b/>
          <w:sz w:val="24"/>
          <w:szCs w:val="24"/>
        </w:rPr>
      </w:pPr>
      <w:r w:rsidRPr="00813AE4">
        <w:rPr>
          <w:b/>
          <w:sz w:val="24"/>
          <w:szCs w:val="24"/>
        </w:rPr>
        <w:t>Комитет по правам человека</w:t>
      </w:r>
    </w:p>
    <w:p w:rsidR="001D677D" w:rsidRPr="00813AE4" w:rsidRDefault="001D677D" w:rsidP="001D677D">
      <w:pPr>
        <w:pStyle w:val="HChGR"/>
      </w:pPr>
      <w:r w:rsidRPr="00813AE4">
        <w:tab/>
      </w:r>
      <w:r w:rsidRPr="00813AE4">
        <w:tab/>
        <w:t>Сообщение</w:t>
      </w:r>
      <w:r w:rsidR="00B14339">
        <w:t> № </w:t>
      </w:r>
      <w:r w:rsidRPr="00813AE4">
        <w:t>2083/2011</w:t>
      </w:r>
    </w:p>
    <w:p w:rsidR="001D677D" w:rsidRPr="00813AE4" w:rsidRDefault="001D677D" w:rsidP="001D677D">
      <w:pPr>
        <w:pStyle w:val="H1GR"/>
      </w:pPr>
      <w:r w:rsidRPr="00813AE4">
        <w:tab/>
      </w:r>
      <w:r w:rsidRPr="00813AE4">
        <w:tab/>
        <w:t xml:space="preserve">Соображения, принятые Комитетом на его 112-й сессии </w:t>
      </w:r>
      <w:r w:rsidRPr="00813AE4">
        <w:br/>
        <w:t>(7–31</w:t>
      </w:r>
      <w:r w:rsidR="00B14339">
        <w:t> октября</w:t>
      </w:r>
      <w:r w:rsidRPr="00813AE4">
        <w:t xml:space="preserve"> 2014</w:t>
      </w:r>
      <w:r w:rsidR="00B14339">
        <w:t> года</w:t>
      </w:r>
      <w:r w:rsidRPr="00813AE4">
        <w:t>)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90"/>
        <w:gridCol w:w="4081"/>
      </w:tblGrid>
      <w:tr w:rsidR="001D677D" w:rsidRPr="00813AE4" w:rsidTr="003E3C72">
        <w:tc>
          <w:tcPr>
            <w:tcW w:w="3290" w:type="dxa"/>
            <w:shd w:val="clear" w:color="auto" w:fill="auto"/>
          </w:tcPr>
          <w:p w:rsidR="001D677D" w:rsidRPr="001D677D" w:rsidRDefault="00CF2D62" w:rsidP="00CF2D62">
            <w:pPr>
              <w:spacing w:after="80"/>
              <w:rPr>
                <w:i/>
              </w:rPr>
            </w:pPr>
            <w:r>
              <w:rPr>
                <w:i/>
              </w:rPr>
              <w:tab/>
            </w:r>
            <w:r w:rsidR="001D677D" w:rsidRPr="001D677D">
              <w:rPr>
                <w:i/>
              </w:rPr>
              <w:t>Предста</w:t>
            </w:r>
            <w:r w:rsidR="001D677D" w:rsidRPr="001D677D">
              <w:rPr>
                <w:i/>
              </w:rPr>
              <w:t>в</w:t>
            </w:r>
            <w:r w:rsidR="001D677D" w:rsidRPr="001D677D">
              <w:rPr>
                <w:i/>
              </w:rPr>
              <w:t>лено:</w:t>
            </w:r>
          </w:p>
        </w:tc>
        <w:tc>
          <w:tcPr>
            <w:tcW w:w="4081" w:type="dxa"/>
          </w:tcPr>
          <w:p w:rsidR="001D677D" w:rsidRPr="00813AE4" w:rsidRDefault="001D677D" w:rsidP="003E3C72">
            <w:pPr>
              <w:spacing w:after="80"/>
            </w:pPr>
            <w:r w:rsidRPr="00813AE4">
              <w:t xml:space="preserve">Бугерой Круми (представлена </w:t>
            </w:r>
            <w:r w:rsidR="003E3C72">
              <w:br/>
            </w:r>
            <w:r w:rsidRPr="00813AE4">
              <w:t xml:space="preserve">Филиппом Грантом, швейцарская </w:t>
            </w:r>
            <w:r w:rsidR="003E3C72">
              <w:br/>
            </w:r>
            <w:r w:rsidRPr="00813AE4">
              <w:t>ассоци</w:t>
            </w:r>
            <w:r w:rsidRPr="00813AE4">
              <w:t>а</w:t>
            </w:r>
            <w:r w:rsidRPr="00813AE4">
              <w:t xml:space="preserve">ция по борьбе с безнаказанностью </w:t>
            </w:r>
            <w:r w:rsidR="003E3C72">
              <w:br/>
            </w:r>
            <w:r w:rsidRPr="00813AE4">
              <w:t>ТРИАЛ − "Борьба с бе</w:t>
            </w:r>
            <w:r w:rsidRPr="00813AE4">
              <w:t>з</w:t>
            </w:r>
            <w:r w:rsidRPr="00813AE4">
              <w:t>наказанностью")</w:t>
            </w:r>
          </w:p>
        </w:tc>
      </w:tr>
      <w:tr w:rsidR="001D677D" w:rsidRPr="00813AE4" w:rsidTr="003E3C72">
        <w:tc>
          <w:tcPr>
            <w:tcW w:w="3290" w:type="dxa"/>
            <w:shd w:val="clear" w:color="auto" w:fill="auto"/>
          </w:tcPr>
          <w:p w:rsidR="001D677D" w:rsidRPr="001D677D" w:rsidRDefault="00CF2D62" w:rsidP="00CF2D62">
            <w:pPr>
              <w:spacing w:after="80"/>
              <w:rPr>
                <w:i/>
              </w:rPr>
            </w:pPr>
            <w:r>
              <w:rPr>
                <w:i/>
              </w:rPr>
              <w:tab/>
            </w:r>
            <w:r w:rsidR="001D677D" w:rsidRPr="001D677D">
              <w:rPr>
                <w:i/>
              </w:rPr>
              <w:t>Предполагаемые жертвы:</w:t>
            </w:r>
          </w:p>
        </w:tc>
        <w:tc>
          <w:tcPr>
            <w:tcW w:w="4081" w:type="dxa"/>
          </w:tcPr>
          <w:p w:rsidR="001D677D" w:rsidRPr="00813AE4" w:rsidRDefault="001D677D" w:rsidP="00CF2D62">
            <w:pPr>
              <w:spacing w:after="80"/>
            </w:pPr>
            <w:r w:rsidRPr="00813AE4">
              <w:t xml:space="preserve">Яхья Круми (сын автора сообщения) </w:t>
            </w:r>
            <w:r w:rsidR="00CF2D62">
              <w:br/>
            </w:r>
            <w:r w:rsidRPr="00813AE4">
              <w:t>и автор соо</w:t>
            </w:r>
            <w:r w:rsidRPr="00813AE4">
              <w:t>б</w:t>
            </w:r>
            <w:r w:rsidRPr="00813AE4">
              <w:t>щения</w:t>
            </w:r>
          </w:p>
        </w:tc>
      </w:tr>
      <w:tr w:rsidR="001D677D" w:rsidRPr="00813AE4" w:rsidTr="003E3C72">
        <w:tc>
          <w:tcPr>
            <w:tcW w:w="3290" w:type="dxa"/>
            <w:shd w:val="clear" w:color="auto" w:fill="auto"/>
          </w:tcPr>
          <w:p w:rsidR="001D677D" w:rsidRPr="001D677D" w:rsidRDefault="00CF2D62" w:rsidP="00CF2D62">
            <w:pPr>
              <w:spacing w:after="80"/>
              <w:rPr>
                <w:i/>
              </w:rPr>
            </w:pPr>
            <w:r>
              <w:rPr>
                <w:i/>
              </w:rPr>
              <w:tab/>
            </w:r>
            <w:r w:rsidR="001D677D" w:rsidRPr="001D677D">
              <w:rPr>
                <w:i/>
              </w:rPr>
              <w:t>Госуда</w:t>
            </w:r>
            <w:r w:rsidR="001D677D" w:rsidRPr="001D677D">
              <w:rPr>
                <w:i/>
              </w:rPr>
              <w:t>р</w:t>
            </w:r>
            <w:r w:rsidR="001D677D" w:rsidRPr="001D677D">
              <w:rPr>
                <w:i/>
              </w:rPr>
              <w:t>ство-участник:</w:t>
            </w:r>
          </w:p>
        </w:tc>
        <w:tc>
          <w:tcPr>
            <w:tcW w:w="4081" w:type="dxa"/>
          </w:tcPr>
          <w:p w:rsidR="001D677D" w:rsidRPr="00813AE4" w:rsidRDefault="001D677D" w:rsidP="00CF2D62">
            <w:pPr>
              <w:spacing w:after="80"/>
            </w:pPr>
            <w:r w:rsidRPr="00813AE4">
              <w:t>Алжир</w:t>
            </w:r>
          </w:p>
        </w:tc>
      </w:tr>
      <w:tr w:rsidR="001D677D" w:rsidRPr="00813AE4" w:rsidTr="003E3C72">
        <w:tc>
          <w:tcPr>
            <w:tcW w:w="3290" w:type="dxa"/>
            <w:shd w:val="clear" w:color="auto" w:fill="auto"/>
          </w:tcPr>
          <w:p w:rsidR="001D677D" w:rsidRPr="001D677D" w:rsidRDefault="00CF2D62" w:rsidP="00CF2D62">
            <w:pPr>
              <w:spacing w:after="80"/>
              <w:rPr>
                <w:i/>
              </w:rPr>
            </w:pPr>
            <w:r>
              <w:rPr>
                <w:i/>
              </w:rPr>
              <w:tab/>
            </w:r>
            <w:r w:rsidR="001D677D" w:rsidRPr="001D677D">
              <w:rPr>
                <w:i/>
              </w:rPr>
              <w:t>Дата с</w:t>
            </w:r>
            <w:r w:rsidR="001D677D" w:rsidRPr="001D677D">
              <w:rPr>
                <w:i/>
              </w:rPr>
              <w:t>о</w:t>
            </w:r>
            <w:r w:rsidR="001D677D" w:rsidRPr="001D677D">
              <w:rPr>
                <w:i/>
              </w:rPr>
              <w:t>общения:</w:t>
            </w:r>
          </w:p>
        </w:tc>
        <w:tc>
          <w:tcPr>
            <w:tcW w:w="4081" w:type="dxa"/>
          </w:tcPr>
          <w:p w:rsidR="001D677D" w:rsidRPr="00813AE4" w:rsidRDefault="001D677D" w:rsidP="00CF2D62">
            <w:pPr>
              <w:spacing w:after="80"/>
            </w:pPr>
            <w:r w:rsidRPr="00813AE4">
              <w:t>28</w:t>
            </w:r>
            <w:r w:rsidR="00B14339">
              <w:t> июля</w:t>
            </w:r>
            <w:r w:rsidRPr="00813AE4">
              <w:t xml:space="preserve"> 2011</w:t>
            </w:r>
            <w:r w:rsidR="00B14339">
              <w:t> года</w:t>
            </w:r>
            <w:r w:rsidRPr="00813AE4">
              <w:t xml:space="preserve"> (первоначальное </w:t>
            </w:r>
            <w:r w:rsidR="00CF2D62">
              <w:br/>
            </w:r>
            <w:r w:rsidRPr="00813AE4">
              <w:t>пре</w:t>
            </w:r>
            <w:r w:rsidRPr="00813AE4">
              <w:t>д</w:t>
            </w:r>
            <w:r w:rsidRPr="00813AE4">
              <w:t>ставление)</w:t>
            </w:r>
          </w:p>
        </w:tc>
      </w:tr>
      <w:tr w:rsidR="001D677D" w:rsidRPr="00813AE4" w:rsidTr="003E3C72">
        <w:tc>
          <w:tcPr>
            <w:tcW w:w="3290" w:type="dxa"/>
            <w:shd w:val="clear" w:color="auto" w:fill="auto"/>
          </w:tcPr>
          <w:p w:rsidR="001D677D" w:rsidRPr="001D677D" w:rsidRDefault="00CF2D62" w:rsidP="00CF2D62">
            <w:pPr>
              <w:spacing w:after="80"/>
              <w:rPr>
                <w:i/>
              </w:rPr>
            </w:pPr>
            <w:r>
              <w:rPr>
                <w:i/>
              </w:rPr>
              <w:tab/>
            </w:r>
            <w:r w:rsidR="001D677D" w:rsidRPr="001D677D">
              <w:rPr>
                <w:i/>
              </w:rPr>
              <w:t>Справочная документ</w:t>
            </w:r>
            <w:r w:rsidR="001D677D" w:rsidRPr="001D677D">
              <w:rPr>
                <w:i/>
              </w:rPr>
              <w:t>а</w:t>
            </w:r>
            <w:r w:rsidR="001D677D" w:rsidRPr="001D677D">
              <w:rPr>
                <w:i/>
              </w:rPr>
              <w:t>ция:</w:t>
            </w:r>
          </w:p>
        </w:tc>
        <w:tc>
          <w:tcPr>
            <w:tcW w:w="4081" w:type="dxa"/>
          </w:tcPr>
          <w:p w:rsidR="001D677D" w:rsidRPr="00813AE4" w:rsidRDefault="001D677D" w:rsidP="00CF2D62">
            <w:pPr>
              <w:spacing w:after="80"/>
            </w:pPr>
            <w:r w:rsidRPr="00813AE4">
              <w:t xml:space="preserve">решение Специального докладчика </w:t>
            </w:r>
            <w:r w:rsidR="00CF2D62">
              <w:br/>
            </w:r>
            <w:r w:rsidRPr="00813AE4">
              <w:t>в соответ</w:t>
            </w:r>
            <w:r w:rsidR="00CF2D62">
              <w:t xml:space="preserve">ствии с </w:t>
            </w:r>
            <w:r w:rsidRPr="00813AE4">
              <w:t>правилом</w:t>
            </w:r>
            <w:r w:rsidR="00CF2D62">
              <w:t> </w:t>
            </w:r>
            <w:r w:rsidRPr="00813AE4">
              <w:t xml:space="preserve">97 правил </w:t>
            </w:r>
            <w:r w:rsidR="00CF2D62">
              <w:br/>
            </w:r>
            <w:r w:rsidRPr="00813AE4">
              <w:t>процедуры, пр</w:t>
            </w:r>
            <w:r w:rsidRPr="00813AE4">
              <w:t>е</w:t>
            </w:r>
            <w:r w:rsidRPr="00813AE4">
              <w:t xml:space="preserve">провожденное </w:t>
            </w:r>
            <w:r w:rsidR="00CF2D62">
              <w:br/>
            </w:r>
            <w:r w:rsidRPr="00813AE4">
              <w:t>государству-участнику 12</w:t>
            </w:r>
            <w:r w:rsidR="00B14339">
              <w:t> августа</w:t>
            </w:r>
            <w:r w:rsidRPr="00813AE4">
              <w:t xml:space="preserve"> 2011</w:t>
            </w:r>
            <w:r w:rsidR="00B14339">
              <w:t> года</w:t>
            </w:r>
            <w:r>
              <w:t xml:space="preserve"> (в</w:t>
            </w:r>
            <w:r>
              <w:rPr>
                <w:lang w:val="en-US"/>
              </w:rPr>
              <w:t> </w:t>
            </w:r>
            <w:r w:rsidRPr="00813AE4">
              <w:t>виде документа не издав</w:t>
            </w:r>
            <w:r w:rsidRPr="00813AE4">
              <w:t>а</w:t>
            </w:r>
            <w:r w:rsidRPr="00813AE4">
              <w:t xml:space="preserve">лось) </w:t>
            </w:r>
          </w:p>
        </w:tc>
      </w:tr>
      <w:tr w:rsidR="001D677D" w:rsidRPr="00813AE4" w:rsidTr="003E3C72">
        <w:tc>
          <w:tcPr>
            <w:tcW w:w="3290" w:type="dxa"/>
            <w:shd w:val="clear" w:color="auto" w:fill="auto"/>
          </w:tcPr>
          <w:p w:rsidR="001D677D" w:rsidRPr="001D677D" w:rsidRDefault="00CF2D62" w:rsidP="00CF2D62">
            <w:pPr>
              <w:spacing w:after="80"/>
              <w:rPr>
                <w:i/>
              </w:rPr>
            </w:pPr>
            <w:r>
              <w:rPr>
                <w:i/>
              </w:rPr>
              <w:tab/>
            </w:r>
            <w:r w:rsidR="001D677D" w:rsidRPr="001D677D">
              <w:rPr>
                <w:i/>
              </w:rPr>
              <w:t>Дата принятия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>
              <w:rPr>
                <w:i/>
              </w:rPr>
              <w:tab/>
            </w:r>
            <w:r w:rsidR="001D677D" w:rsidRPr="001D677D">
              <w:rPr>
                <w:i/>
              </w:rPr>
              <w:t>Соображ</w:t>
            </w:r>
            <w:r w:rsidR="001D677D" w:rsidRPr="001D677D">
              <w:rPr>
                <w:i/>
              </w:rPr>
              <w:t>е</w:t>
            </w:r>
            <w:r w:rsidR="001D677D" w:rsidRPr="001D677D">
              <w:rPr>
                <w:i/>
              </w:rPr>
              <w:t>ний:</w:t>
            </w:r>
          </w:p>
        </w:tc>
        <w:tc>
          <w:tcPr>
            <w:tcW w:w="4081" w:type="dxa"/>
            <w:vAlign w:val="bottom"/>
          </w:tcPr>
          <w:p w:rsidR="001D677D" w:rsidRPr="00813AE4" w:rsidRDefault="001D677D" w:rsidP="00CF2D62">
            <w:pPr>
              <w:spacing w:after="80"/>
            </w:pPr>
            <w:r w:rsidRPr="00813AE4">
              <w:t>30</w:t>
            </w:r>
            <w:r w:rsidR="00B14339">
              <w:t> октября</w:t>
            </w:r>
            <w:r w:rsidRPr="00813AE4">
              <w:t xml:space="preserve"> 2014</w:t>
            </w:r>
            <w:r w:rsidR="00B14339">
              <w:t> года</w:t>
            </w:r>
          </w:p>
        </w:tc>
      </w:tr>
      <w:tr w:rsidR="001D677D" w:rsidRPr="00813AE4" w:rsidTr="003E3C72">
        <w:tc>
          <w:tcPr>
            <w:tcW w:w="3290" w:type="dxa"/>
            <w:shd w:val="clear" w:color="auto" w:fill="auto"/>
          </w:tcPr>
          <w:p w:rsidR="001D677D" w:rsidRPr="001D677D" w:rsidRDefault="001D677D" w:rsidP="00CF2D62">
            <w:pPr>
              <w:spacing w:after="80"/>
              <w:rPr>
                <w:i/>
              </w:rPr>
            </w:pPr>
            <w:r w:rsidRPr="001D677D">
              <w:rPr>
                <w:i/>
              </w:rPr>
              <w:br w:type="page"/>
            </w:r>
            <w:r w:rsidR="00CF2D62">
              <w:rPr>
                <w:i/>
              </w:rPr>
              <w:tab/>
            </w:r>
            <w:r w:rsidRPr="001D677D">
              <w:rPr>
                <w:i/>
              </w:rPr>
              <w:t>Тема соо</w:t>
            </w:r>
            <w:r w:rsidRPr="001D677D">
              <w:rPr>
                <w:i/>
              </w:rPr>
              <w:t>б</w:t>
            </w:r>
            <w:r w:rsidRPr="001D677D">
              <w:rPr>
                <w:i/>
              </w:rPr>
              <w:t>щения:</w:t>
            </w:r>
          </w:p>
        </w:tc>
        <w:tc>
          <w:tcPr>
            <w:tcW w:w="4081" w:type="dxa"/>
          </w:tcPr>
          <w:p w:rsidR="001D677D" w:rsidRPr="00813AE4" w:rsidRDefault="001D677D" w:rsidP="00CF2D62">
            <w:pPr>
              <w:spacing w:after="80"/>
            </w:pPr>
            <w:r w:rsidRPr="00813AE4">
              <w:t>насильственное исчезновение</w:t>
            </w:r>
          </w:p>
        </w:tc>
      </w:tr>
      <w:tr w:rsidR="001D677D" w:rsidRPr="00813AE4" w:rsidTr="003E3C72">
        <w:tc>
          <w:tcPr>
            <w:tcW w:w="3290" w:type="dxa"/>
            <w:shd w:val="clear" w:color="auto" w:fill="auto"/>
          </w:tcPr>
          <w:p w:rsidR="001D677D" w:rsidRPr="001D677D" w:rsidRDefault="00CF2D62" w:rsidP="00CF2D62">
            <w:pPr>
              <w:spacing w:after="80"/>
              <w:rPr>
                <w:i/>
              </w:rPr>
            </w:pPr>
            <w:r>
              <w:rPr>
                <w:i/>
              </w:rPr>
              <w:tab/>
            </w:r>
            <w:r w:rsidR="001D677D" w:rsidRPr="001D677D">
              <w:rPr>
                <w:i/>
              </w:rPr>
              <w:t>Вопросы существа:</w:t>
            </w:r>
          </w:p>
        </w:tc>
        <w:tc>
          <w:tcPr>
            <w:tcW w:w="4081" w:type="dxa"/>
          </w:tcPr>
          <w:p w:rsidR="001D677D" w:rsidRPr="00813AE4" w:rsidRDefault="001D677D" w:rsidP="003E3C72">
            <w:pPr>
              <w:spacing w:after="80"/>
            </w:pPr>
            <w:r w:rsidRPr="00813AE4">
              <w:t>право на эффективные средства правовой защиты, право на жизнь, з</w:t>
            </w:r>
            <w:r>
              <w:t>апрет пыток, а</w:t>
            </w:r>
            <w:r w:rsidR="00CF2D62">
              <w:t> </w:t>
            </w:r>
            <w:r>
              <w:t>также жестоких и </w:t>
            </w:r>
            <w:r w:rsidRPr="00813AE4">
              <w:t xml:space="preserve">бесчеловечных видов обращения, право на свободу и личную неприкосновенность, уважение </w:t>
            </w:r>
            <w:r w:rsidR="003E3C72">
              <w:br/>
            </w:r>
            <w:r w:rsidRPr="00813AE4">
              <w:t xml:space="preserve">достоинства, присущего человеческой </w:t>
            </w:r>
            <w:r w:rsidR="003E3C72">
              <w:br/>
            </w:r>
            <w:r w:rsidRPr="00813AE4">
              <w:t>личности, призн</w:t>
            </w:r>
            <w:r w:rsidRPr="00813AE4">
              <w:t>а</w:t>
            </w:r>
            <w:r w:rsidRPr="00813AE4">
              <w:t xml:space="preserve">ние правосубъектности, незаконное посягательство </w:t>
            </w:r>
            <w:r w:rsidR="003E3C72">
              <w:br/>
            </w:r>
            <w:r w:rsidRPr="00813AE4">
              <w:t>на неприкосновенность ж</w:t>
            </w:r>
            <w:r w:rsidRPr="00813AE4">
              <w:t>и</w:t>
            </w:r>
            <w:r w:rsidRPr="00813AE4">
              <w:t xml:space="preserve">лища </w:t>
            </w:r>
          </w:p>
        </w:tc>
      </w:tr>
      <w:tr w:rsidR="001D677D" w:rsidRPr="00813AE4" w:rsidTr="003E3C72">
        <w:tc>
          <w:tcPr>
            <w:tcW w:w="3290" w:type="dxa"/>
            <w:shd w:val="clear" w:color="auto" w:fill="auto"/>
          </w:tcPr>
          <w:p w:rsidR="001D677D" w:rsidRPr="001D677D" w:rsidRDefault="00CF2D62" w:rsidP="00CF2D62">
            <w:pPr>
              <w:spacing w:after="80"/>
              <w:rPr>
                <w:i/>
              </w:rPr>
            </w:pPr>
            <w:r>
              <w:rPr>
                <w:i/>
              </w:rPr>
              <w:tab/>
            </w:r>
            <w:r w:rsidR="001D677D" w:rsidRPr="001D677D">
              <w:rPr>
                <w:i/>
              </w:rPr>
              <w:t>Процедурные вопр</w:t>
            </w:r>
            <w:r w:rsidR="001D677D" w:rsidRPr="001D677D">
              <w:rPr>
                <w:i/>
              </w:rPr>
              <w:t>о</w:t>
            </w:r>
            <w:r w:rsidR="001D677D" w:rsidRPr="001D677D">
              <w:rPr>
                <w:i/>
              </w:rPr>
              <w:t>сы:</w:t>
            </w:r>
          </w:p>
        </w:tc>
        <w:tc>
          <w:tcPr>
            <w:tcW w:w="4081" w:type="dxa"/>
          </w:tcPr>
          <w:p w:rsidR="001D677D" w:rsidRPr="00813AE4" w:rsidRDefault="001D677D" w:rsidP="00CF2D62">
            <w:pPr>
              <w:spacing w:after="80"/>
            </w:pPr>
            <w:r w:rsidRPr="00813AE4">
              <w:t>исчерпание внутренних средств правовой з</w:t>
            </w:r>
            <w:r w:rsidRPr="00813AE4">
              <w:t>а</w:t>
            </w:r>
            <w:r w:rsidRPr="00813AE4">
              <w:t>щиты</w:t>
            </w:r>
          </w:p>
        </w:tc>
      </w:tr>
      <w:tr w:rsidR="001D677D" w:rsidRPr="00813AE4" w:rsidTr="003E3C72">
        <w:tc>
          <w:tcPr>
            <w:tcW w:w="3290" w:type="dxa"/>
            <w:shd w:val="clear" w:color="auto" w:fill="auto"/>
          </w:tcPr>
          <w:p w:rsidR="001D677D" w:rsidRPr="001D677D" w:rsidRDefault="00CF2D62" w:rsidP="00CF2D62">
            <w:pPr>
              <w:spacing w:after="80"/>
              <w:rPr>
                <w:i/>
              </w:rPr>
            </w:pPr>
            <w:r>
              <w:rPr>
                <w:i/>
              </w:rPr>
              <w:tab/>
            </w:r>
            <w:r w:rsidR="001D677D" w:rsidRPr="001D677D">
              <w:rPr>
                <w:i/>
              </w:rPr>
              <w:t>Статьи Пакта:</w:t>
            </w:r>
          </w:p>
        </w:tc>
        <w:tc>
          <w:tcPr>
            <w:tcW w:w="4081" w:type="dxa"/>
          </w:tcPr>
          <w:p w:rsidR="001D677D" w:rsidRPr="00813AE4" w:rsidRDefault="001D677D" w:rsidP="00CF2D62">
            <w:pPr>
              <w:spacing w:after="80"/>
            </w:pPr>
            <w:r w:rsidRPr="00813AE4">
              <w:t>2 (пункт</w:t>
            </w:r>
            <w:r>
              <w:t> </w:t>
            </w:r>
            <w:r w:rsidRPr="00813AE4">
              <w:t>3), 6 (пункт</w:t>
            </w:r>
            <w:r>
              <w:t> </w:t>
            </w:r>
            <w:r w:rsidRPr="00813AE4">
              <w:t>1), 7, 9,10 (пункт</w:t>
            </w:r>
            <w:r>
              <w:t> </w:t>
            </w:r>
            <w:r w:rsidRPr="00813AE4">
              <w:t xml:space="preserve">1), </w:t>
            </w:r>
            <w:r w:rsidR="003E3C72">
              <w:br/>
            </w:r>
            <w:r w:rsidRPr="00813AE4">
              <w:t xml:space="preserve">16 и 17 </w:t>
            </w:r>
          </w:p>
        </w:tc>
      </w:tr>
      <w:tr w:rsidR="001D677D" w:rsidRPr="00813AE4" w:rsidTr="003E3C72">
        <w:tc>
          <w:tcPr>
            <w:tcW w:w="3290" w:type="dxa"/>
            <w:shd w:val="clear" w:color="auto" w:fill="auto"/>
          </w:tcPr>
          <w:p w:rsidR="001D677D" w:rsidRPr="001D677D" w:rsidRDefault="00CF2D62" w:rsidP="00CF2D62">
            <w:pPr>
              <w:spacing w:after="80"/>
              <w:rPr>
                <w:i/>
              </w:rPr>
            </w:pPr>
            <w:r>
              <w:rPr>
                <w:i/>
              </w:rPr>
              <w:tab/>
            </w:r>
            <w:r w:rsidR="001D677D" w:rsidRPr="001D677D">
              <w:rPr>
                <w:i/>
              </w:rPr>
              <w:t>Статья Факульт</w:t>
            </w:r>
            <w:r w:rsidR="001D677D" w:rsidRPr="001D677D">
              <w:rPr>
                <w:i/>
              </w:rPr>
              <w:t>а</w:t>
            </w:r>
            <w:r w:rsidR="001D677D" w:rsidRPr="001D677D">
              <w:rPr>
                <w:i/>
              </w:rPr>
              <w:t xml:space="preserve">тивного </w:t>
            </w:r>
            <w:r w:rsidR="001D677D" w:rsidRPr="001D677D">
              <w:rPr>
                <w:i/>
              </w:rPr>
              <w:br/>
            </w:r>
            <w:r>
              <w:rPr>
                <w:i/>
              </w:rPr>
              <w:tab/>
            </w:r>
            <w:r w:rsidR="001D677D" w:rsidRPr="001D677D">
              <w:rPr>
                <w:i/>
              </w:rPr>
              <w:t>проток</w:t>
            </w:r>
            <w:r w:rsidR="001D677D" w:rsidRPr="001D677D">
              <w:rPr>
                <w:i/>
              </w:rPr>
              <w:t>о</w:t>
            </w:r>
            <w:r w:rsidR="001D677D" w:rsidRPr="001D677D">
              <w:rPr>
                <w:i/>
              </w:rPr>
              <w:t>ла:</w:t>
            </w:r>
          </w:p>
        </w:tc>
        <w:tc>
          <w:tcPr>
            <w:tcW w:w="4081" w:type="dxa"/>
          </w:tcPr>
          <w:p w:rsidR="001D677D" w:rsidRPr="00813AE4" w:rsidRDefault="001D677D" w:rsidP="00CF2D62">
            <w:pPr>
              <w:spacing w:after="80"/>
            </w:pPr>
            <w:r w:rsidRPr="00813AE4">
              <w:br/>
              <w:t>5 (пункт</w:t>
            </w:r>
            <w:r>
              <w:t> </w:t>
            </w:r>
            <w:r w:rsidRPr="00813AE4">
              <w:t>2 b))</w:t>
            </w:r>
          </w:p>
        </w:tc>
      </w:tr>
    </w:tbl>
    <w:p w:rsidR="001D677D" w:rsidRPr="00813AE4" w:rsidRDefault="001D677D" w:rsidP="001D677D">
      <w:pPr>
        <w:pStyle w:val="HChGR"/>
      </w:pPr>
      <w:r w:rsidRPr="00813AE4">
        <w:t>Приложение</w:t>
      </w:r>
    </w:p>
    <w:p w:rsidR="001D677D" w:rsidRPr="00813AE4" w:rsidRDefault="001D677D" w:rsidP="001D677D">
      <w:pPr>
        <w:pStyle w:val="HChGR"/>
      </w:pPr>
      <w:r w:rsidRPr="00813AE4">
        <w:tab/>
      </w:r>
      <w:r w:rsidRPr="00813AE4">
        <w:tab/>
        <w:t>Соображения Комитета по правам человека в соответствии с пунктом 4</w:t>
      </w:r>
      <w:r w:rsidR="00B14339">
        <w:t xml:space="preserve"> статьи </w:t>
      </w:r>
      <w:r w:rsidRPr="00813AE4">
        <w:t>5 Факультативного протокола к Международному пакту о гражданских и политических правах (112-я сессия)</w:t>
      </w:r>
    </w:p>
    <w:p w:rsidR="001D677D" w:rsidRPr="00813AE4" w:rsidRDefault="001D677D" w:rsidP="001D677D">
      <w:pPr>
        <w:pStyle w:val="SingleTxtGR"/>
      </w:pPr>
      <w:r w:rsidRPr="00813AE4">
        <w:t>относительно</w:t>
      </w:r>
    </w:p>
    <w:p w:rsidR="001D677D" w:rsidRPr="00813AE4" w:rsidRDefault="001D677D" w:rsidP="001D677D">
      <w:pPr>
        <w:pStyle w:val="H1GR"/>
      </w:pPr>
      <w:r w:rsidRPr="00813AE4">
        <w:tab/>
      </w:r>
      <w:r w:rsidRPr="00813AE4">
        <w:tab/>
        <w:t>Сообщения</w:t>
      </w:r>
      <w:r w:rsidR="00B14339">
        <w:t> № </w:t>
      </w:r>
      <w:r w:rsidRPr="00813AE4">
        <w:t>2083/2011</w:t>
      </w:r>
      <w:r w:rsidRPr="001D677D">
        <w:rPr>
          <w:rStyle w:val="FootnoteReference"/>
          <w:b w:val="0"/>
          <w:sz w:val="20"/>
        </w:rPr>
        <w:footnoteReference w:id="1"/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95"/>
        <w:gridCol w:w="4076"/>
      </w:tblGrid>
      <w:tr w:rsidR="001D677D" w:rsidRPr="00813AE4" w:rsidTr="003E3C72">
        <w:tc>
          <w:tcPr>
            <w:tcW w:w="3295" w:type="dxa"/>
            <w:shd w:val="clear" w:color="auto" w:fill="auto"/>
          </w:tcPr>
          <w:p w:rsidR="001D677D" w:rsidRPr="00813AE4" w:rsidRDefault="00CF2D62" w:rsidP="00EE64D7">
            <w:pPr>
              <w:spacing w:after="120"/>
              <w:rPr>
                <w:i/>
              </w:rPr>
            </w:pPr>
            <w:r>
              <w:rPr>
                <w:i/>
              </w:rPr>
              <w:tab/>
            </w:r>
            <w:r w:rsidR="001D677D" w:rsidRPr="00813AE4">
              <w:rPr>
                <w:i/>
              </w:rPr>
              <w:t>Предста</w:t>
            </w:r>
            <w:r w:rsidR="001D677D" w:rsidRPr="00813AE4">
              <w:rPr>
                <w:i/>
              </w:rPr>
              <w:t>в</w:t>
            </w:r>
            <w:r w:rsidR="001D677D" w:rsidRPr="00813AE4">
              <w:rPr>
                <w:i/>
              </w:rPr>
              <w:t>лено:</w:t>
            </w:r>
          </w:p>
        </w:tc>
        <w:tc>
          <w:tcPr>
            <w:tcW w:w="4076" w:type="dxa"/>
          </w:tcPr>
          <w:p w:rsidR="001D677D" w:rsidRPr="00813AE4" w:rsidRDefault="001D677D" w:rsidP="003E3C72">
            <w:pPr>
              <w:spacing w:after="120"/>
            </w:pPr>
            <w:r w:rsidRPr="00813AE4">
              <w:t xml:space="preserve">Бугерой Круми (представлен </w:t>
            </w:r>
            <w:r w:rsidR="003E3C72">
              <w:br/>
            </w:r>
            <w:r w:rsidRPr="00813AE4">
              <w:t xml:space="preserve">Филиппом Грантом, швейцарская </w:t>
            </w:r>
            <w:r w:rsidR="003E3C72">
              <w:br/>
            </w:r>
            <w:r w:rsidRPr="00813AE4">
              <w:t>ассоциация по бор</w:t>
            </w:r>
            <w:r w:rsidRPr="00813AE4">
              <w:t>ь</w:t>
            </w:r>
            <w:r w:rsidRPr="00813AE4">
              <w:t>бе с безнаказанностью ТРИАЛ − "Борьба с бе</w:t>
            </w:r>
            <w:r w:rsidRPr="00813AE4">
              <w:t>з</w:t>
            </w:r>
            <w:r w:rsidRPr="00813AE4">
              <w:t>наказанностью")</w:t>
            </w:r>
          </w:p>
        </w:tc>
      </w:tr>
      <w:tr w:rsidR="001D677D" w:rsidRPr="00813AE4" w:rsidTr="003E3C72">
        <w:tc>
          <w:tcPr>
            <w:tcW w:w="3295" w:type="dxa"/>
            <w:shd w:val="clear" w:color="auto" w:fill="auto"/>
          </w:tcPr>
          <w:p w:rsidR="001D677D" w:rsidRPr="00813AE4" w:rsidRDefault="00CF2D62" w:rsidP="00EE64D7">
            <w:pPr>
              <w:spacing w:after="120"/>
              <w:rPr>
                <w:i/>
              </w:rPr>
            </w:pPr>
            <w:r>
              <w:rPr>
                <w:i/>
              </w:rPr>
              <w:tab/>
            </w:r>
            <w:r w:rsidR="001D677D" w:rsidRPr="00813AE4">
              <w:rPr>
                <w:i/>
              </w:rPr>
              <w:t>Предпол</w:t>
            </w:r>
            <w:r w:rsidR="001D677D" w:rsidRPr="00813AE4">
              <w:rPr>
                <w:i/>
              </w:rPr>
              <w:t>а</w:t>
            </w:r>
            <w:r w:rsidR="001D677D" w:rsidRPr="00813AE4">
              <w:rPr>
                <w:i/>
              </w:rPr>
              <w:t>гаемые жертвы:</w:t>
            </w:r>
          </w:p>
        </w:tc>
        <w:tc>
          <w:tcPr>
            <w:tcW w:w="4076" w:type="dxa"/>
          </w:tcPr>
          <w:p w:rsidR="001D677D" w:rsidRPr="00813AE4" w:rsidRDefault="001D677D" w:rsidP="00EE64D7">
            <w:pPr>
              <w:spacing w:after="120"/>
            </w:pPr>
            <w:r w:rsidRPr="00813AE4">
              <w:t xml:space="preserve">Яхья Круми (сын автора сообщения) </w:t>
            </w:r>
            <w:r w:rsidR="003E3C72">
              <w:br/>
            </w:r>
            <w:r w:rsidRPr="00813AE4">
              <w:t>и автор соо</w:t>
            </w:r>
            <w:r w:rsidRPr="00813AE4">
              <w:t>б</w:t>
            </w:r>
            <w:r w:rsidRPr="00813AE4">
              <w:t>щения</w:t>
            </w:r>
          </w:p>
        </w:tc>
      </w:tr>
      <w:tr w:rsidR="001D677D" w:rsidRPr="00813AE4" w:rsidTr="003E3C72">
        <w:tc>
          <w:tcPr>
            <w:tcW w:w="3295" w:type="dxa"/>
            <w:shd w:val="clear" w:color="auto" w:fill="auto"/>
          </w:tcPr>
          <w:p w:rsidR="001D677D" w:rsidRPr="00813AE4" w:rsidRDefault="00CF2D62" w:rsidP="00EE64D7">
            <w:pPr>
              <w:spacing w:after="120"/>
              <w:rPr>
                <w:i/>
              </w:rPr>
            </w:pPr>
            <w:r>
              <w:rPr>
                <w:i/>
              </w:rPr>
              <w:tab/>
            </w:r>
            <w:r w:rsidR="001D677D" w:rsidRPr="00813AE4">
              <w:rPr>
                <w:i/>
              </w:rPr>
              <w:t>Госуда</w:t>
            </w:r>
            <w:r w:rsidR="001D677D" w:rsidRPr="00813AE4">
              <w:rPr>
                <w:i/>
              </w:rPr>
              <w:t>р</w:t>
            </w:r>
            <w:r w:rsidR="001D677D" w:rsidRPr="00813AE4">
              <w:rPr>
                <w:i/>
              </w:rPr>
              <w:t>ство-участник:</w:t>
            </w:r>
          </w:p>
        </w:tc>
        <w:tc>
          <w:tcPr>
            <w:tcW w:w="4076" w:type="dxa"/>
          </w:tcPr>
          <w:p w:rsidR="001D677D" w:rsidRPr="00813AE4" w:rsidRDefault="001D677D" w:rsidP="00EE64D7">
            <w:pPr>
              <w:spacing w:after="120"/>
            </w:pPr>
            <w:r w:rsidRPr="00813AE4">
              <w:t>Алжир</w:t>
            </w:r>
          </w:p>
        </w:tc>
      </w:tr>
      <w:tr w:rsidR="001D677D" w:rsidRPr="00813AE4" w:rsidTr="003E3C72">
        <w:tc>
          <w:tcPr>
            <w:tcW w:w="3295" w:type="dxa"/>
            <w:shd w:val="clear" w:color="auto" w:fill="auto"/>
          </w:tcPr>
          <w:p w:rsidR="001D677D" w:rsidRPr="00813AE4" w:rsidRDefault="00CF2D62" w:rsidP="00EE64D7">
            <w:pPr>
              <w:spacing w:after="240"/>
              <w:rPr>
                <w:i/>
              </w:rPr>
            </w:pPr>
            <w:r>
              <w:rPr>
                <w:i/>
              </w:rPr>
              <w:tab/>
            </w:r>
            <w:r w:rsidR="001D677D" w:rsidRPr="00813AE4">
              <w:rPr>
                <w:i/>
              </w:rPr>
              <w:t>Дата соо</w:t>
            </w:r>
            <w:r w:rsidR="001D677D" w:rsidRPr="00813AE4">
              <w:rPr>
                <w:i/>
              </w:rPr>
              <w:t>б</w:t>
            </w:r>
            <w:r w:rsidR="001D677D" w:rsidRPr="00813AE4">
              <w:rPr>
                <w:i/>
              </w:rPr>
              <w:t>щения:</w:t>
            </w:r>
          </w:p>
        </w:tc>
        <w:tc>
          <w:tcPr>
            <w:tcW w:w="4076" w:type="dxa"/>
          </w:tcPr>
          <w:p w:rsidR="001D677D" w:rsidRPr="00813AE4" w:rsidRDefault="001D677D" w:rsidP="00EE64D7">
            <w:pPr>
              <w:spacing w:after="240"/>
            </w:pPr>
            <w:r w:rsidRPr="00813AE4">
              <w:t>28</w:t>
            </w:r>
            <w:r w:rsidR="00B14339">
              <w:t> июля</w:t>
            </w:r>
            <w:r w:rsidRPr="00813AE4">
              <w:t xml:space="preserve"> 2011</w:t>
            </w:r>
            <w:r w:rsidR="00B14339">
              <w:t> года</w:t>
            </w:r>
            <w:r w:rsidRPr="00813AE4">
              <w:t xml:space="preserve"> (первоначальное </w:t>
            </w:r>
            <w:r w:rsidR="00CF2D62">
              <w:br/>
            </w:r>
            <w:r w:rsidRPr="00813AE4">
              <w:t>предста</w:t>
            </w:r>
            <w:r w:rsidRPr="00813AE4">
              <w:t>в</w:t>
            </w:r>
            <w:r w:rsidRPr="00813AE4">
              <w:t>ление)</w:t>
            </w:r>
          </w:p>
        </w:tc>
      </w:tr>
    </w:tbl>
    <w:p w:rsidR="001D677D" w:rsidRPr="00813AE4" w:rsidRDefault="001D677D" w:rsidP="001D677D">
      <w:pPr>
        <w:pStyle w:val="SingleTxtGR"/>
      </w:pPr>
      <w:r w:rsidRPr="00813AE4">
        <w:rPr>
          <w:i/>
        </w:rPr>
        <w:tab/>
        <w:t>Комитет по правам человека</w:t>
      </w:r>
      <w:r w:rsidRPr="00813AE4">
        <w:t>, учрежденный в соответствии со статьей 28 Международного пакта о гра</w:t>
      </w:r>
      <w:r w:rsidRPr="00813AE4">
        <w:t>ж</w:t>
      </w:r>
      <w:r w:rsidRPr="00813AE4">
        <w:t>данских и политических правах,</w:t>
      </w:r>
    </w:p>
    <w:p w:rsidR="001D677D" w:rsidRPr="00813AE4" w:rsidRDefault="001D677D" w:rsidP="001D677D">
      <w:pPr>
        <w:pStyle w:val="SingleTxtGR"/>
      </w:pPr>
      <w:r w:rsidRPr="00813AE4">
        <w:rPr>
          <w:i/>
        </w:rPr>
        <w:tab/>
        <w:t>на своем заседании</w:t>
      </w:r>
      <w:r w:rsidRPr="00813AE4">
        <w:t xml:space="preserve"> 30</w:t>
      </w:r>
      <w:r w:rsidR="00B14339">
        <w:t> октября</w:t>
      </w:r>
      <w:r w:rsidRPr="00813AE4">
        <w:t xml:space="preserve"> 2014</w:t>
      </w:r>
      <w:r w:rsidR="00B14339">
        <w:t> года</w:t>
      </w:r>
      <w:r w:rsidRPr="00813AE4">
        <w:t>,</w:t>
      </w:r>
    </w:p>
    <w:p w:rsidR="001D677D" w:rsidRPr="00813AE4" w:rsidRDefault="001D677D" w:rsidP="001D677D">
      <w:pPr>
        <w:pStyle w:val="SingleTxtGR"/>
      </w:pPr>
      <w:r w:rsidRPr="00813AE4">
        <w:tab/>
      </w:r>
      <w:r w:rsidRPr="00813AE4">
        <w:rPr>
          <w:i/>
        </w:rPr>
        <w:t>завершив</w:t>
      </w:r>
      <w:r w:rsidRPr="00813AE4">
        <w:t xml:space="preserve"> рассмотрение сообщения</w:t>
      </w:r>
      <w:r w:rsidR="00B14339">
        <w:t> № </w:t>
      </w:r>
      <w:r w:rsidRPr="00813AE4">
        <w:t>2083/2011, представленного Буг</w:t>
      </w:r>
      <w:r w:rsidRPr="00813AE4">
        <w:t>е</w:t>
      </w:r>
      <w:r w:rsidRPr="00813AE4">
        <w:t>рой Круми в соответствии с Факультативным протоколом к Международному пакту о гражданских и политических правах,</w:t>
      </w:r>
    </w:p>
    <w:p w:rsidR="001D677D" w:rsidRPr="00813AE4" w:rsidRDefault="001D677D" w:rsidP="001D677D">
      <w:pPr>
        <w:pStyle w:val="SingleTxtGR"/>
      </w:pPr>
      <w:r w:rsidRPr="00813AE4">
        <w:tab/>
      </w:r>
      <w:r w:rsidRPr="00813AE4">
        <w:rPr>
          <w:i/>
        </w:rPr>
        <w:t>приняв во внимание</w:t>
      </w:r>
      <w:r w:rsidRPr="00813AE4">
        <w:t xml:space="preserve"> всю письменную информацию, представленную ему авторами сообщения и гос</w:t>
      </w:r>
      <w:r w:rsidRPr="00813AE4">
        <w:t>у</w:t>
      </w:r>
      <w:r w:rsidRPr="00813AE4">
        <w:t>дарством-участником,</w:t>
      </w:r>
    </w:p>
    <w:p w:rsidR="001D677D" w:rsidRPr="00813AE4" w:rsidRDefault="001D677D" w:rsidP="001D677D">
      <w:pPr>
        <w:pStyle w:val="SingleTxtGR"/>
      </w:pPr>
      <w:r w:rsidRPr="00813AE4">
        <w:tab/>
      </w:r>
      <w:r w:rsidRPr="00813AE4">
        <w:rPr>
          <w:i/>
        </w:rPr>
        <w:t>принимает</w:t>
      </w:r>
      <w:r w:rsidRPr="00813AE4">
        <w:t xml:space="preserve"> следующее:</w:t>
      </w:r>
    </w:p>
    <w:p w:rsidR="001D677D" w:rsidRPr="00813AE4" w:rsidRDefault="001D677D" w:rsidP="001D677D">
      <w:pPr>
        <w:pStyle w:val="H1GR"/>
      </w:pPr>
      <w:r w:rsidRPr="00813AE4">
        <w:tab/>
      </w:r>
      <w:r w:rsidRPr="00813AE4">
        <w:tab/>
        <w:t>Соображения в соответствии с пунктом 4</w:t>
      </w:r>
      <w:r w:rsidR="00B14339">
        <w:t xml:space="preserve"> статьи </w:t>
      </w:r>
      <w:r w:rsidRPr="00813AE4">
        <w:t>5 Факультативного протокола</w:t>
      </w:r>
    </w:p>
    <w:p w:rsidR="001D677D" w:rsidRPr="00813AE4" w:rsidRDefault="001D677D" w:rsidP="001D677D">
      <w:pPr>
        <w:pStyle w:val="SingleTxtGR"/>
      </w:pPr>
      <w:r>
        <w:t>1.1</w:t>
      </w:r>
      <w:r>
        <w:tab/>
      </w:r>
      <w:r w:rsidRPr="00813AE4">
        <w:t>Автором сообщения от 28</w:t>
      </w:r>
      <w:r w:rsidR="00B14339">
        <w:t> июля</w:t>
      </w:r>
      <w:r w:rsidRPr="00813AE4">
        <w:t xml:space="preserve"> 2011</w:t>
      </w:r>
      <w:r w:rsidR="00B14339">
        <w:t> года</w:t>
      </w:r>
      <w:r w:rsidRPr="00813AE4">
        <w:t xml:space="preserve"> является Бугера Круми, 1932</w:t>
      </w:r>
      <w:r w:rsidR="00B14339">
        <w:t> года</w:t>
      </w:r>
      <w:r w:rsidRPr="00813AE4">
        <w:t xml:space="preserve"> рождения, гражданин Алжира. Он представляет данное сообщение от своего имени, а также от имени своего сына Яхьи Круми, родившегося 6</w:t>
      </w:r>
      <w:r w:rsidR="00B14339">
        <w:t> сентября</w:t>
      </w:r>
      <w:r w:rsidRPr="00813AE4">
        <w:t xml:space="preserve"> 1967</w:t>
      </w:r>
      <w:r w:rsidR="00B14339">
        <w:t> года</w:t>
      </w:r>
      <w:r w:rsidRPr="00813AE4">
        <w:t>, не женатого, бездетного. Автор утверждает, что его сын стал жертвой насильственного исчезновения по вине государства-участника, нарушившего пункт</w:t>
      </w:r>
      <w:r>
        <w:t> </w:t>
      </w:r>
      <w:r w:rsidRPr="00813AE4">
        <w:t>3</w:t>
      </w:r>
      <w:r w:rsidR="00B14339">
        <w:t xml:space="preserve"> статьи </w:t>
      </w:r>
      <w:r w:rsidRPr="00813AE4">
        <w:t>2, пункт</w:t>
      </w:r>
      <w:r>
        <w:t> </w:t>
      </w:r>
      <w:r w:rsidRPr="00813AE4">
        <w:t>1</w:t>
      </w:r>
      <w:r w:rsidR="00B14339">
        <w:t xml:space="preserve"> статьи </w:t>
      </w:r>
      <w:r w:rsidRPr="00813AE4">
        <w:t>6,</w:t>
      </w:r>
      <w:r w:rsidR="00B14339">
        <w:t xml:space="preserve"> статьи </w:t>
      </w:r>
      <w:r w:rsidRPr="00813AE4">
        <w:t>7, 9, пункт</w:t>
      </w:r>
      <w:r>
        <w:t> </w:t>
      </w:r>
      <w:r w:rsidRPr="00813AE4">
        <w:t>1</w:t>
      </w:r>
      <w:r w:rsidR="00B14339">
        <w:t xml:space="preserve"> статьи </w:t>
      </w:r>
      <w:r w:rsidRPr="00813AE4">
        <w:t>10,</w:t>
      </w:r>
      <w:r w:rsidR="00B14339">
        <w:t xml:space="preserve"> статьи </w:t>
      </w:r>
      <w:r w:rsidRPr="00813AE4">
        <w:t>16 и 17 Пакта, а он сам – жертвой нарушения прав, гарантируемых пун</w:t>
      </w:r>
      <w:r w:rsidRPr="00813AE4">
        <w:t>к</w:t>
      </w:r>
      <w:r w:rsidRPr="00813AE4">
        <w:t>том</w:t>
      </w:r>
      <w:r>
        <w:t> </w:t>
      </w:r>
      <w:r w:rsidRPr="00813AE4">
        <w:t>3</w:t>
      </w:r>
      <w:r w:rsidR="00B14339">
        <w:t xml:space="preserve"> статьи </w:t>
      </w:r>
      <w:r w:rsidRPr="00813AE4">
        <w:t>2 и статьей</w:t>
      </w:r>
      <w:r>
        <w:t> </w:t>
      </w:r>
      <w:r w:rsidRPr="00813AE4">
        <w:t>7 Пакта. Автор представлен Филиппом Грантом (орг</w:t>
      </w:r>
      <w:r w:rsidRPr="00813AE4">
        <w:t>а</w:t>
      </w:r>
      <w:r w:rsidRPr="00813AE4">
        <w:t xml:space="preserve">низация "ТРИАЛ"). </w:t>
      </w:r>
    </w:p>
    <w:p w:rsidR="001D677D" w:rsidRPr="00B14339" w:rsidRDefault="001D677D" w:rsidP="001D677D">
      <w:pPr>
        <w:pStyle w:val="SingleTxtGR"/>
      </w:pPr>
      <w:r>
        <w:t>1.2</w:t>
      </w:r>
      <w:r>
        <w:tab/>
      </w:r>
      <w:r w:rsidRPr="00813AE4">
        <w:t>12</w:t>
      </w:r>
      <w:r w:rsidR="00B14339">
        <w:t> августа</w:t>
      </w:r>
      <w:r w:rsidRPr="00813AE4">
        <w:t xml:space="preserve"> 2011</w:t>
      </w:r>
      <w:r w:rsidR="00B14339">
        <w:t> года</w:t>
      </w:r>
      <w:r w:rsidRPr="00813AE4">
        <w:t xml:space="preserve"> Специальный докладчик по новым сообщениям и</w:t>
      </w:r>
      <w:r>
        <w:t> </w:t>
      </w:r>
      <w:r w:rsidRPr="00813AE4">
        <w:t>временным мерам от имени Комитета постановил принять меры защиты, о</w:t>
      </w:r>
      <w:r>
        <w:t> </w:t>
      </w:r>
      <w:r w:rsidRPr="00813AE4">
        <w:t>которых ходатайствовал автор сообщения, и обратился к государству-участнику с просьбой не применять свое национальное законодательство, в</w:t>
      </w:r>
      <w:r>
        <w:t> </w:t>
      </w:r>
      <w:r w:rsidRPr="00813AE4">
        <w:t>частности постановление</w:t>
      </w:r>
      <w:r w:rsidR="00B14339">
        <w:t> № </w:t>
      </w:r>
      <w:r w:rsidRPr="00813AE4">
        <w:t>06-01 от 27</w:t>
      </w:r>
      <w:r w:rsidR="00B14339">
        <w:t> февраля</w:t>
      </w:r>
      <w:r w:rsidRPr="00813AE4">
        <w:t xml:space="preserve"> 2006</w:t>
      </w:r>
      <w:r w:rsidR="00B14339">
        <w:t> года</w:t>
      </w:r>
      <w:r w:rsidRPr="00813AE4">
        <w:t xml:space="preserve"> об осуществлении Хартии мира и национального примирения, в отношении автора сообщения и</w:t>
      </w:r>
      <w:r>
        <w:t> </w:t>
      </w:r>
      <w:r w:rsidRPr="00813AE4">
        <w:t>членов его семьи в связи с настоящим сообщением. 26</w:t>
      </w:r>
      <w:r w:rsidR="00B14339">
        <w:t> октября</w:t>
      </w:r>
      <w:r w:rsidRPr="00813AE4">
        <w:t xml:space="preserve"> 2011</w:t>
      </w:r>
      <w:r w:rsidR="00B14339">
        <w:t> года</w:t>
      </w:r>
      <w:r w:rsidRPr="00813AE4">
        <w:t xml:space="preserve"> Специальный докладчик по новым сообщениям и временным мерам, действуя от имени Комитета, постановил не отделять рассмотрение вопроса о приемл</w:t>
      </w:r>
      <w:r w:rsidRPr="00813AE4">
        <w:t>е</w:t>
      </w:r>
      <w:r w:rsidRPr="00813AE4">
        <w:t>мости сообщения от его рассмотрения по существу.</w:t>
      </w:r>
    </w:p>
    <w:p w:rsidR="001D677D" w:rsidRPr="00B14339" w:rsidRDefault="001D677D" w:rsidP="001D677D">
      <w:pPr>
        <w:pStyle w:val="SingleTxtGR"/>
        <w:sectPr w:rsidR="001D677D" w:rsidRPr="00B14339" w:rsidSect="0084613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numFmt w:val="chicago"/>
            <w:numRestart w:val="eachSect"/>
          </w:footnotePr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</w:p>
    <w:p w:rsidR="001D677D" w:rsidRPr="00813AE4" w:rsidRDefault="001D677D" w:rsidP="001D677D">
      <w:pPr>
        <w:pStyle w:val="H23GR"/>
      </w:pPr>
      <w:r w:rsidRPr="00B14339">
        <w:tab/>
      </w:r>
      <w:r w:rsidRPr="00B14339">
        <w:tab/>
      </w:r>
      <w:r w:rsidRPr="00813AE4">
        <w:t>Факты в изложении автора</w:t>
      </w:r>
    </w:p>
    <w:p w:rsidR="001D677D" w:rsidRPr="00813AE4" w:rsidRDefault="001D677D" w:rsidP="001D677D">
      <w:pPr>
        <w:pStyle w:val="SingleTxtGR"/>
      </w:pPr>
      <w:r w:rsidRPr="00813AE4">
        <w:t>2.1</w:t>
      </w:r>
      <w:r>
        <w:tab/>
      </w:r>
      <w:r w:rsidRPr="00813AE4">
        <w:t>12</w:t>
      </w:r>
      <w:r w:rsidR="00B14339">
        <w:t> августа</w:t>
      </w:r>
      <w:r w:rsidRPr="00813AE4">
        <w:t xml:space="preserve"> 1994</w:t>
      </w:r>
      <w:r w:rsidR="00B14339">
        <w:t> года</w:t>
      </w:r>
      <w:r w:rsidRPr="00813AE4">
        <w:t>, в 7</w:t>
      </w:r>
      <w:r>
        <w:t> </w:t>
      </w:r>
      <w:r w:rsidRPr="00813AE4">
        <w:t>часов утра, сын автора сообщения Яхья Круми был арестован у себя дома в городе Константина группой военнослужащих в</w:t>
      </w:r>
      <w:r>
        <w:t> </w:t>
      </w:r>
      <w:r w:rsidRPr="00813AE4">
        <w:t>форме и сотрудников военной службы безопасности в штатском, которые пр</w:t>
      </w:r>
      <w:r w:rsidRPr="00813AE4">
        <w:t>о</w:t>
      </w:r>
      <w:r w:rsidRPr="00813AE4">
        <w:t>водили облаву в связи с убийством в окрестностях Константины двух военн</w:t>
      </w:r>
      <w:r w:rsidRPr="00813AE4">
        <w:t>о</w:t>
      </w:r>
      <w:r w:rsidRPr="00813AE4">
        <w:t>служащих. Сотрудники службы безопасности заходили во все дома квартала, где проживал Яхья Круми, и приказывали всем мужчинам выходить с поднятым руками. З</w:t>
      </w:r>
      <w:r w:rsidRPr="00813AE4">
        <w:t>а</w:t>
      </w:r>
      <w:r w:rsidRPr="00813AE4">
        <w:t>держанных собрали вместе на улице, и некоторых из них, в том числе Яхью Круми, посадили в грузовики и увезли в неизвестном направлении. По словам автора сообщения, который присутствовал при аресте, сотрудники службы безопасности не предъявляли ордер на арест его сына и не сообщили о</w:t>
      </w:r>
      <w:r>
        <w:t> </w:t>
      </w:r>
      <w:r w:rsidRPr="00813AE4">
        <w:t>причине его задержания.</w:t>
      </w:r>
    </w:p>
    <w:p w:rsidR="001D677D" w:rsidRPr="00813AE4" w:rsidRDefault="001D677D" w:rsidP="001D677D">
      <w:pPr>
        <w:pStyle w:val="SingleTxtGR"/>
      </w:pPr>
      <w:r w:rsidRPr="00813AE4">
        <w:t>2.2</w:t>
      </w:r>
      <w:r w:rsidRPr="00813AE4">
        <w:tab/>
        <w:t>Как сообщает автор, Яхья Круми и 17</w:t>
      </w:r>
      <w:r>
        <w:t> </w:t>
      </w:r>
      <w:r w:rsidRPr="00813AE4">
        <w:t>человек, задержанных вместе с</w:t>
      </w:r>
      <w:r>
        <w:t> </w:t>
      </w:r>
      <w:r w:rsidRPr="00813AE4">
        <w:t>ним, содержались в ужасных условиях: 18</w:t>
      </w:r>
      <w:r>
        <w:t> </w:t>
      </w:r>
      <w:r w:rsidRPr="00813AE4">
        <w:t>человек были брошены в камеру площадью четыре квадратных метра, где в условиях страшной тесноты им пр</w:t>
      </w:r>
      <w:r w:rsidRPr="00813AE4">
        <w:t>и</w:t>
      </w:r>
      <w:r w:rsidRPr="00813AE4">
        <w:t>ходилось все время находиться в стоячем положении при изнуряющей авг</w:t>
      </w:r>
      <w:r w:rsidRPr="00813AE4">
        <w:t>у</w:t>
      </w:r>
      <w:r w:rsidRPr="00813AE4">
        <w:t>стовской жаре. В таких условиях содержания под стражей уже на следующий день большая часть з</w:t>
      </w:r>
      <w:r w:rsidRPr="00813AE4">
        <w:t>а</w:t>
      </w:r>
      <w:r w:rsidRPr="00813AE4">
        <w:t>держанных скончалась. Их тела, завернутые в покрывала, сваливали в армейский грузовик. В живых остались очень немногие, и автор отмечает, что его сын в тот момент вполне мог погибнуть. Несмотря на все хлопоты близких Яхьи Круми, его судьба по сей день не известна.</w:t>
      </w:r>
    </w:p>
    <w:p w:rsidR="001D677D" w:rsidRDefault="001D677D" w:rsidP="001D677D">
      <w:pPr>
        <w:pStyle w:val="SingleTxtGR"/>
        <w:rPr>
          <w:lang w:val="en-US"/>
        </w:rPr>
      </w:pPr>
      <w:r w:rsidRPr="00813AE4">
        <w:t>2.3</w:t>
      </w:r>
      <w:r w:rsidRPr="00813AE4">
        <w:tab/>
        <w:t>Чтобы выяснить, что случилось с Яхьей Круми, автор сообщения и его семья неоднократно обращались в различные судебные и административные органы, но их обращения оказались безрезультатны. Автор и его супруга об</w:t>
      </w:r>
      <w:r w:rsidRPr="00813AE4">
        <w:t>о</w:t>
      </w:r>
      <w:r w:rsidRPr="00813AE4">
        <w:t>шли самые разные службы полиции и жандармерии Константины, пытаясь в</w:t>
      </w:r>
      <w:r w:rsidRPr="00813AE4">
        <w:t>ы</w:t>
      </w:r>
      <w:r w:rsidRPr="00813AE4">
        <w:t>яснить, не содержится ли там их сын. 24</w:t>
      </w:r>
      <w:r w:rsidR="00B14339">
        <w:t> декабря</w:t>
      </w:r>
      <w:r w:rsidRPr="00813AE4">
        <w:t xml:space="preserve"> 1995</w:t>
      </w:r>
      <w:r w:rsidR="00B14339">
        <w:t> года</w:t>
      </w:r>
      <w:r w:rsidRPr="00813AE4">
        <w:t xml:space="preserve"> и 25</w:t>
      </w:r>
      <w:r w:rsidR="00B14339">
        <w:t> февраля</w:t>
      </w:r>
      <w:r w:rsidRPr="00813AE4">
        <w:t xml:space="preserve"> 1996</w:t>
      </w:r>
      <w:r w:rsidR="00B14339">
        <w:t> года</w:t>
      </w:r>
      <w:r w:rsidRPr="00813AE4">
        <w:t xml:space="preserve"> семья подала в Генеральную прокуратуру при суде Константины з</w:t>
      </w:r>
      <w:r w:rsidRPr="00813AE4">
        <w:t>а</w:t>
      </w:r>
      <w:r w:rsidRPr="00813AE4">
        <w:t>явление о проведении расследования по факту исчезновения Яхьи Круми. 29</w:t>
      </w:r>
      <w:r w:rsidR="00B14339">
        <w:t> марта</w:t>
      </w:r>
      <w:r w:rsidRPr="00813AE4">
        <w:t xml:space="preserve"> 1997</w:t>
      </w:r>
      <w:r w:rsidR="00B14339">
        <w:t> года</w:t>
      </w:r>
      <w:r w:rsidRPr="00813AE4">
        <w:t xml:space="preserve"> по запросу Генерального прокурора при суде Константины бригада уголовного розыска вилайета Константина представила протокол, в к</w:t>
      </w:r>
      <w:r w:rsidRPr="00813AE4">
        <w:t>о</w:t>
      </w:r>
      <w:r w:rsidRPr="00813AE4">
        <w:t>тором она официально отрицала какое-либо участие в задержании Яхьи Круми. В 2000</w:t>
      </w:r>
      <w:r w:rsidR="00B14339">
        <w:t> году</w:t>
      </w:r>
      <w:r w:rsidRPr="00813AE4">
        <w:t xml:space="preserve"> автор подал ходатайство в Министерство внутренних дел и пол</w:t>
      </w:r>
      <w:r w:rsidRPr="00813AE4">
        <w:t>у</w:t>
      </w:r>
      <w:r w:rsidRPr="00813AE4">
        <w:t>чил ответ, в котором сообщалось, что проведенные поиски не позволили уст</w:t>
      </w:r>
      <w:r w:rsidRPr="00813AE4">
        <w:t>а</w:t>
      </w:r>
      <w:r w:rsidRPr="00813AE4">
        <w:t>новить местонахождение его сына. 26</w:t>
      </w:r>
      <w:r w:rsidR="00B14339">
        <w:t> августа</w:t>
      </w:r>
      <w:r w:rsidRPr="00813AE4">
        <w:t xml:space="preserve"> 2000</w:t>
      </w:r>
      <w:r w:rsidR="00B14339">
        <w:t> года</w:t>
      </w:r>
      <w:r w:rsidRPr="00813AE4">
        <w:t xml:space="preserve"> автор и его супруга направили также письмо Генеральному прокурору и к Прокурору Республики, проинформировав их об исчезновении сына. Несмотря на все эти ходатайства, тщательного ра</w:t>
      </w:r>
      <w:r w:rsidRPr="00813AE4">
        <w:t>с</w:t>
      </w:r>
      <w:r w:rsidRPr="00813AE4">
        <w:t>следования обстоятельств исчезновения Яхьи Круми проведено не было, и а</w:t>
      </w:r>
      <w:r w:rsidRPr="00813AE4">
        <w:t>в</w:t>
      </w:r>
      <w:r w:rsidRPr="00813AE4">
        <w:t>тор так и не получил информации о том, что стало с его сыном.</w:t>
      </w:r>
    </w:p>
    <w:p w:rsidR="001D677D" w:rsidRPr="00813AE4" w:rsidRDefault="001D677D" w:rsidP="001D677D">
      <w:pPr>
        <w:pStyle w:val="SingleTxtGR"/>
      </w:pPr>
      <w:r w:rsidRPr="00813AE4">
        <w:t>2.4</w:t>
      </w:r>
      <w:r w:rsidRPr="00813AE4">
        <w:tab/>
        <w:t>28</w:t>
      </w:r>
      <w:r w:rsidR="00B14339">
        <w:t> июня</w:t>
      </w:r>
      <w:r w:rsidRPr="00813AE4">
        <w:t xml:space="preserve"> 2000</w:t>
      </w:r>
      <w:r w:rsidR="00B14339">
        <w:t> года</w:t>
      </w:r>
      <w:r w:rsidRPr="00813AE4">
        <w:t xml:space="preserve"> автор также направил заказное письмо в адрес Пре</w:t>
      </w:r>
      <w:r w:rsidRPr="00813AE4">
        <w:t>д</w:t>
      </w:r>
      <w:r w:rsidRPr="00813AE4">
        <w:t>седателя Национального совета по правам человека (НСПЧ). 5</w:t>
      </w:r>
      <w:r w:rsidR="00B14339">
        <w:t> декабря</w:t>
      </w:r>
      <w:r w:rsidRPr="00813AE4">
        <w:t xml:space="preserve"> 2001</w:t>
      </w:r>
      <w:r w:rsidR="00B14339">
        <w:t> года</w:t>
      </w:r>
      <w:r w:rsidRPr="00813AE4">
        <w:t xml:space="preserve"> семья Круми получила от Национальной консультативной комиссии по поощрению и защите прав человека</w:t>
      </w:r>
      <w:r w:rsidRPr="00813AE4">
        <w:rPr>
          <w:rStyle w:val="FootnoteReference"/>
        </w:rPr>
        <w:footnoteReference w:id="2"/>
      </w:r>
      <w:r w:rsidRPr="00813AE4">
        <w:t xml:space="preserve"> (НККПЗПЧ) ответ, в котором сообщ</w:t>
      </w:r>
      <w:r w:rsidRPr="00813AE4">
        <w:t>а</w:t>
      </w:r>
      <w:r w:rsidRPr="00813AE4">
        <w:t>лось, что Яхья Круми в поле зрения правоохранительных органов не попадал и</w:t>
      </w:r>
      <w:r>
        <w:t> </w:t>
      </w:r>
      <w:r w:rsidRPr="00813AE4">
        <w:t>нико</w:t>
      </w:r>
      <w:r>
        <w:t>гда ими не задерживался. 9</w:t>
      </w:r>
      <w:r w:rsidR="00B14339">
        <w:t> сентября</w:t>
      </w:r>
      <w:r w:rsidRPr="00813AE4">
        <w:t xml:space="preserve"> 2004</w:t>
      </w:r>
      <w:r w:rsidR="00B14339">
        <w:t> года</w:t>
      </w:r>
      <w:r w:rsidRPr="00813AE4">
        <w:t xml:space="preserve"> семья Круми получила из Комиссии приглашение принять участие во встрече родственников исчезну</w:t>
      </w:r>
      <w:r w:rsidRPr="00813AE4">
        <w:t>в</w:t>
      </w:r>
      <w:r w:rsidRPr="00813AE4">
        <w:t>ших лиц с членами Комиссии. Никакой информации о судьбе Яхьи Круми</w:t>
      </w:r>
      <w:r>
        <w:t xml:space="preserve"> на этой встрече не прозвучало.</w:t>
      </w:r>
    </w:p>
    <w:p w:rsidR="001D677D" w:rsidRPr="00813AE4" w:rsidRDefault="001D677D" w:rsidP="001D677D">
      <w:pPr>
        <w:pStyle w:val="SingleTxtGR"/>
      </w:pPr>
      <w:r w:rsidRPr="00813AE4">
        <w:t>2.5</w:t>
      </w:r>
      <w:r w:rsidRPr="00813AE4">
        <w:tab/>
        <w:t>Столкнувшись с бездействием алжирских государственных органов и о</w:t>
      </w:r>
      <w:r w:rsidRPr="00813AE4">
        <w:t>т</w:t>
      </w:r>
      <w:r w:rsidRPr="00813AE4">
        <w:t>сутствием прозрачности в их работе, а также с финансовыми трудностями п</w:t>
      </w:r>
      <w:r w:rsidRPr="00813AE4">
        <w:t>о</w:t>
      </w:r>
      <w:r w:rsidRPr="00813AE4">
        <w:t>сле исчезновения сына, которое самым серьезным образом сказалось на их со</w:t>
      </w:r>
      <w:r w:rsidRPr="00813AE4">
        <w:t>в</w:t>
      </w:r>
      <w:r w:rsidRPr="00813AE4">
        <w:t>местной деятельности по перевозке грузов, автор решился на действия, пред</w:t>
      </w:r>
      <w:r w:rsidRPr="00813AE4">
        <w:t>у</w:t>
      </w:r>
      <w:r w:rsidRPr="00813AE4">
        <w:t>смотренные постановлением</w:t>
      </w:r>
      <w:r w:rsidR="00B14339">
        <w:t> № </w:t>
      </w:r>
      <w:r w:rsidRPr="00813AE4">
        <w:t>06-01 об осуществлении Хартии мира и наци</w:t>
      </w:r>
      <w:r w:rsidRPr="00813AE4">
        <w:t>о</w:t>
      </w:r>
      <w:r w:rsidRPr="00813AE4">
        <w:t>нального примир</w:t>
      </w:r>
      <w:r w:rsidRPr="00813AE4">
        <w:t>е</w:t>
      </w:r>
      <w:r w:rsidRPr="00813AE4">
        <w:t>ния. Это постановление требует от родственников, желающих получить возмещение, подтвердить смерть исчезнувшего лица. Соответственно, 2</w:t>
      </w:r>
      <w:r w:rsidR="00B14339">
        <w:t> апреля</w:t>
      </w:r>
      <w:r w:rsidRPr="00813AE4">
        <w:t xml:space="preserve"> 2006</w:t>
      </w:r>
      <w:r w:rsidR="00B14339">
        <w:t> года</w:t>
      </w:r>
      <w:r w:rsidRPr="00813AE4">
        <w:t xml:space="preserve"> автор подал в жандармерию Константины заявление с</w:t>
      </w:r>
      <w:r>
        <w:t> </w:t>
      </w:r>
      <w:r w:rsidRPr="00813AE4">
        <w:t>просьбой предоставить информацию о судьбе Яхьи Круми. 5</w:t>
      </w:r>
      <w:r w:rsidR="00B14339">
        <w:t> июня</w:t>
      </w:r>
      <w:r w:rsidRPr="00813AE4">
        <w:t xml:space="preserve"> 2006</w:t>
      </w:r>
      <w:r w:rsidR="00B14339">
        <w:t> года</w:t>
      </w:r>
      <w:r w:rsidRPr="00813AE4">
        <w:t xml:space="preserve"> по заявлению была выдана справка об исчезновении "при особых обстоятел</w:t>
      </w:r>
      <w:r w:rsidRPr="00813AE4">
        <w:t>ь</w:t>
      </w:r>
      <w:r w:rsidRPr="00813AE4">
        <w:t>ствах, сложившихся в результате общенациональной трагедии", что позволило автору и его супруге получить сумму в 9,6</w:t>
      </w:r>
      <w:r>
        <w:t> млн. </w:t>
      </w:r>
      <w:r w:rsidRPr="00813AE4">
        <w:t>а</w:t>
      </w:r>
      <w:r w:rsidRPr="00813AE4">
        <w:t>л</w:t>
      </w:r>
      <w:r w:rsidRPr="00813AE4">
        <w:t>жирских динаров</w:t>
      </w:r>
      <w:r w:rsidRPr="00813AE4">
        <w:rPr>
          <w:rStyle w:val="FootnoteReference"/>
        </w:rPr>
        <w:footnoteReference w:id="3"/>
      </w:r>
      <w:r w:rsidRPr="00813AE4">
        <w:t>.</w:t>
      </w:r>
    </w:p>
    <w:p w:rsidR="001D677D" w:rsidRPr="00813AE4" w:rsidRDefault="001D677D" w:rsidP="001D677D">
      <w:pPr>
        <w:pStyle w:val="H23GR"/>
      </w:pPr>
      <w:r w:rsidRPr="00813AE4">
        <w:tab/>
      </w:r>
      <w:r w:rsidRPr="00813AE4">
        <w:tab/>
      </w:r>
      <w:r w:rsidR="00CF2D62">
        <w:t>Жалоба</w:t>
      </w:r>
    </w:p>
    <w:p w:rsidR="001D677D" w:rsidRPr="00813AE4" w:rsidRDefault="001D677D" w:rsidP="001D677D">
      <w:pPr>
        <w:pStyle w:val="SingleTxtGR"/>
      </w:pPr>
      <w:r w:rsidRPr="00813AE4">
        <w:t>3.1</w:t>
      </w:r>
      <w:r w:rsidRPr="00813AE4">
        <w:tab/>
        <w:t>Автор утверждает, что в соответствии с определением, содержащимся в</w:t>
      </w:r>
      <w:r>
        <w:t> </w:t>
      </w:r>
      <w:r w:rsidRPr="00813AE4">
        <w:t>пункте</w:t>
      </w:r>
      <w:r>
        <w:t> </w:t>
      </w:r>
      <w:r w:rsidRPr="00813AE4">
        <w:t>2 i)</w:t>
      </w:r>
      <w:r w:rsidR="00B14339">
        <w:t xml:space="preserve"> статьи </w:t>
      </w:r>
      <w:r w:rsidRPr="00813AE4">
        <w:t>7 Статута Международного уголовного суда (Римского ст</w:t>
      </w:r>
      <w:r w:rsidRPr="00813AE4">
        <w:t>а</w:t>
      </w:r>
      <w:r w:rsidRPr="00813AE4">
        <w:t>тута) и</w:t>
      </w:r>
      <w:r w:rsidR="00B14339">
        <w:t xml:space="preserve"> статьи </w:t>
      </w:r>
      <w:r w:rsidRPr="00813AE4">
        <w:t>2 Международной конвенции для защиты всех лиц от насил</w:t>
      </w:r>
      <w:r w:rsidRPr="00813AE4">
        <w:t>ь</w:t>
      </w:r>
      <w:r w:rsidRPr="00813AE4">
        <w:t>ственных исчезновений, его сын стал жертвой насильственного исчезновения по вине государства-участника, поскольку это исчезновение последовало за з</w:t>
      </w:r>
      <w:r w:rsidRPr="00813AE4">
        <w:t>а</w:t>
      </w:r>
      <w:r w:rsidRPr="00813AE4">
        <w:t>держанием сотрудниками правоохранительных органов государства-участника, находившимися при исполнении служебных об</w:t>
      </w:r>
      <w:r w:rsidRPr="00813AE4">
        <w:t>я</w:t>
      </w:r>
      <w:r>
        <w:t>занностей.</w:t>
      </w:r>
    </w:p>
    <w:p w:rsidR="001D677D" w:rsidRPr="00813AE4" w:rsidRDefault="001D677D" w:rsidP="001D677D">
      <w:pPr>
        <w:pStyle w:val="SingleTxtGR"/>
      </w:pPr>
      <w:r w:rsidRPr="00813AE4">
        <w:t>3.2</w:t>
      </w:r>
      <w:r w:rsidRPr="00813AE4">
        <w:tab/>
        <w:t>Автор считает вполне вероятным, что его сын скончался во время соде</w:t>
      </w:r>
      <w:r w:rsidRPr="00813AE4">
        <w:t>р</w:t>
      </w:r>
      <w:r w:rsidRPr="00813AE4">
        <w:t>жания под стражей, возможно, уже в первую ночь, когда умерли многие соде</w:t>
      </w:r>
      <w:r w:rsidRPr="00813AE4">
        <w:t>р</w:t>
      </w:r>
      <w:r w:rsidRPr="00813AE4">
        <w:t>жавшиеся вместе с ним задержанные. Он считает, что его сын, содержавшийся под стражей в неизвестном месте, находился под ответственностью госуда</w:t>
      </w:r>
      <w:r w:rsidRPr="00813AE4">
        <w:t>р</w:t>
      </w:r>
      <w:r w:rsidRPr="00813AE4">
        <w:t>ства-участника, которое обязано гарантировать право на жизнь всех содерж</w:t>
      </w:r>
      <w:r w:rsidRPr="00813AE4">
        <w:t>а</w:t>
      </w:r>
      <w:r w:rsidRPr="00813AE4">
        <w:t>щихся под стражей лиц. Тот факт, что государство-участник не способно пред</w:t>
      </w:r>
      <w:r w:rsidRPr="00813AE4">
        <w:t>о</w:t>
      </w:r>
      <w:r w:rsidRPr="00813AE4">
        <w:t>ставить точную и непротиворечивую информацию о том, что произошло с</w:t>
      </w:r>
      <w:r>
        <w:t> </w:t>
      </w:r>
      <w:r w:rsidRPr="00813AE4">
        <w:t>находившимся под его ответственностью человеком, указывает на то, что в</w:t>
      </w:r>
      <w:r>
        <w:t> </w:t>
      </w:r>
      <w:r w:rsidRPr="00813AE4">
        <w:t>нарушение</w:t>
      </w:r>
      <w:r w:rsidR="00B14339">
        <w:t xml:space="preserve"> пункта </w:t>
      </w:r>
      <w:r w:rsidRPr="00813AE4">
        <w:t>1</w:t>
      </w:r>
      <w:r w:rsidR="00B14339">
        <w:t xml:space="preserve"> статьи </w:t>
      </w:r>
      <w:r w:rsidRPr="00813AE4">
        <w:t>6 Пакта оно не принимало необходимых мер для его защиты в период содержания под стражей. Кроме того, автор утверждает, что если насильственное исчезновение продолжается длительное время, как в</w:t>
      </w:r>
      <w:r>
        <w:t> </w:t>
      </w:r>
      <w:r w:rsidRPr="00813AE4">
        <w:t>случае Яхьи Круми, пропавшего без вести свыше 20</w:t>
      </w:r>
      <w:r>
        <w:t> </w:t>
      </w:r>
      <w:r w:rsidRPr="00813AE4">
        <w:t>лет назад, то сам этот факт является нарушением права на жизнь, гарантируемого пунктом</w:t>
      </w:r>
      <w:r>
        <w:t> </w:t>
      </w:r>
      <w:r w:rsidRPr="00813AE4">
        <w:t>1</w:t>
      </w:r>
      <w:r w:rsidR="00B14339">
        <w:t xml:space="preserve"> статьи </w:t>
      </w:r>
      <w:r w:rsidRPr="00813AE4">
        <w:t>6 Па</w:t>
      </w:r>
      <w:r w:rsidRPr="00813AE4">
        <w:t>к</w:t>
      </w:r>
      <w:r w:rsidRPr="00813AE4">
        <w:t>та</w:t>
      </w:r>
      <w:r w:rsidRPr="00813AE4">
        <w:rPr>
          <w:rStyle w:val="FootnoteReference"/>
        </w:rPr>
        <w:footnoteReference w:id="4"/>
      </w:r>
      <w:r w:rsidRPr="00813AE4">
        <w:t>.</w:t>
      </w:r>
    </w:p>
    <w:p w:rsidR="001D677D" w:rsidRPr="00813AE4" w:rsidRDefault="001D677D" w:rsidP="001D677D">
      <w:pPr>
        <w:pStyle w:val="SingleTxtGR"/>
      </w:pPr>
      <w:r w:rsidRPr="00813AE4">
        <w:t>3.3</w:t>
      </w:r>
      <w:r w:rsidRPr="00813AE4">
        <w:tab/>
        <w:t>Ссылаясь на правовую практику Комитета</w:t>
      </w:r>
      <w:r w:rsidRPr="00813AE4">
        <w:rPr>
          <w:rStyle w:val="FootnoteReference"/>
        </w:rPr>
        <w:footnoteReference w:id="5"/>
      </w:r>
      <w:r w:rsidRPr="00813AE4">
        <w:t>, автор утверждает, что насильственное исчезновение само по себе является нарушением</w:t>
      </w:r>
      <w:r w:rsidR="00B14339">
        <w:t xml:space="preserve"> статьи </w:t>
      </w:r>
      <w:r w:rsidRPr="00813AE4">
        <w:t>7 Па</w:t>
      </w:r>
      <w:r w:rsidRPr="00813AE4">
        <w:t>к</w:t>
      </w:r>
      <w:r w:rsidRPr="00813AE4">
        <w:t>та, поскольку похищение и исчезновение его сына, которому не дали возможн</w:t>
      </w:r>
      <w:r w:rsidRPr="00813AE4">
        <w:t>о</w:t>
      </w:r>
      <w:r w:rsidRPr="00813AE4">
        <w:t>сти поддерживать контакты с родными и с внешним миром, представляют с</w:t>
      </w:r>
      <w:r w:rsidRPr="00813AE4">
        <w:t>о</w:t>
      </w:r>
      <w:r w:rsidRPr="00813AE4">
        <w:t>бой жестокое и бесчеловечное обращение. Автор настаивает на том, что насильственное исчезновение является комплексным преступлением, которое складывается из широкого спектра нарушений прав человека, и его нельзя св</w:t>
      </w:r>
      <w:r w:rsidRPr="00813AE4">
        <w:t>о</w:t>
      </w:r>
      <w:r w:rsidRPr="00813AE4">
        <w:t>дить лишь к содержанию под стражей без связи с внешним миром, как это, по всей видимости, старался сделать Комитет в своих последних решениях. Автор полагает, что, хотя содержание под стражей без связи с внешним миром являе</w:t>
      </w:r>
      <w:r w:rsidRPr="00813AE4">
        <w:t>т</w:t>
      </w:r>
      <w:r w:rsidRPr="00813AE4">
        <w:t>ся самостоятельным нарушением</w:t>
      </w:r>
      <w:r w:rsidR="00B14339">
        <w:t xml:space="preserve"> статьи </w:t>
      </w:r>
      <w:r w:rsidRPr="00813AE4">
        <w:t>7 Пакта, Комитету не следует огран</w:t>
      </w:r>
      <w:r w:rsidRPr="00813AE4">
        <w:t>и</w:t>
      </w:r>
      <w:r w:rsidRPr="00813AE4">
        <w:t>чиваться одним этим аспектом</w:t>
      </w:r>
      <w:r w:rsidRPr="00813AE4">
        <w:rPr>
          <w:rStyle w:val="FootnoteReference"/>
        </w:rPr>
        <w:footnoteReference w:id="6"/>
      </w:r>
      <w:r w:rsidRPr="00813AE4">
        <w:t>. Автор также напоминает, что его сын изн</w:t>
      </w:r>
      <w:r w:rsidRPr="00813AE4">
        <w:t>а</w:t>
      </w:r>
      <w:r w:rsidRPr="00813AE4">
        <w:t>чально содержался в ужасных условиях, которые стали причиной смерти мн</w:t>
      </w:r>
      <w:r w:rsidRPr="00813AE4">
        <w:t>о</w:t>
      </w:r>
      <w:r w:rsidRPr="00813AE4">
        <w:t>гих людей. Он считает, что подобные условия содержания под стражей пре</w:t>
      </w:r>
      <w:r w:rsidRPr="00813AE4">
        <w:t>д</w:t>
      </w:r>
      <w:r w:rsidRPr="00813AE4">
        <w:t>ставляют собой бесчеловечное обращение, которое выходит далеко за рамки простого нарушения</w:t>
      </w:r>
      <w:r w:rsidR="00B14339">
        <w:t xml:space="preserve"> статьи </w:t>
      </w:r>
      <w:r w:rsidRPr="00813AE4">
        <w:t>10 Пакта, как правило, признаваемого Комитетом, и</w:t>
      </w:r>
      <w:r>
        <w:t> </w:t>
      </w:r>
      <w:r w:rsidRPr="00813AE4">
        <w:t>действительно является нарушением</w:t>
      </w:r>
      <w:r w:rsidR="00B14339">
        <w:t xml:space="preserve"> статьи </w:t>
      </w:r>
      <w:r w:rsidRPr="00813AE4">
        <w:t>7</w:t>
      </w:r>
      <w:r w:rsidRPr="00813AE4">
        <w:rPr>
          <w:rStyle w:val="FootnoteReference"/>
        </w:rPr>
        <w:footnoteReference w:id="7"/>
      </w:r>
      <w:r w:rsidRPr="00813AE4">
        <w:t>.</w:t>
      </w:r>
    </w:p>
    <w:p w:rsidR="001D677D" w:rsidRPr="00813AE4" w:rsidRDefault="001D677D" w:rsidP="001D677D">
      <w:pPr>
        <w:pStyle w:val="SingleTxtGR"/>
      </w:pPr>
      <w:r w:rsidRPr="00813AE4">
        <w:t>3.4</w:t>
      </w:r>
      <w:r w:rsidRPr="00813AE4">
        <w:tab/>
        <w:t>Ссылаясь на решения Комитета</w:t>
      </w:r>
      <w:r w:rsidRPr="00813AE4">
        <w:rPr>
          <w:rStyle w:val="FootnoteReference"/>
        </w:rPr>
        <w:footnoteReference w:id="8"/>
      </w:r>
      <w:r w:rsidRPr="00813AE4">
        <w:t>, автор называет и себя жертвой наруш</w:t>
      </w:r>
      <w:r w:rsidRPr="00813AE4">
        <w:t>е</w:t>
      </w:r>
      <w:r w:rsidRPr="00813AE4">
        <w:t>ния</w:t>
      </w:r>
      <w:r w:rsidR="00B14339">
        <w:t xml:space="preserve"> статьи </w:t>
      </w:r>
      <w:r w:rsidRPr="00813AE4">
        <w:t>7 Пакта вследствие той неопределенности, которая окружает обсто</w:t>
      </w:r>
      <w:r w:rsidRPr="00813AE4">
        <w:t>я</w:t>
      </w:r>
      <w:r>
        <w:t>тельства исчезновения</w:t>
      </w:r>
      <w:r w:rsidRPr="00813AE4">
        <w:t xml:space="preserve"> и дальнейшую судьбу его сына, и которая является для него постоянным источником душевной боли и страданий. Автор утверждает, что отрицание государственными органами факта задержания Яхьи Круми, при котором он лично присутствовал, их бездействие и безнаказанность виновных, а также необходимость признать сына умершим без прояснения обстоятельств его смерти в рамках осуществления постановления</w:t>
      </w:r>
      <w:r w:rsidR="00B14339">
        <w:t> № </w:t>
      </w:r>
      <w:r w:rsidRPr="00813AE4">
        <w:t>06-01 также представл</w:t>
      </w:r>
      <w:r w:rsidRPr="00813AE4">
        <w:t>я</w:t>
      </w:r>
      <w:r w:rsidRPr="00813AE4">
        <w:t>ют собой нарушения</w:t>
      </w:r>
      <w:r w:rsidR="00B14339">
        <w:t xml:space="preserve"> статьи </w:t>
      </w:r>
      <w:r w:rsidRPr="00813AE4">
        <w:t>7 Пакта в отношении автора.</w:t>
      </w:r>
    </w:p>
    <w:p w:rsidR="001D677D" w:rsidRPr="00813AE4" w:rsidRDefault="001D677D" w:rsidP="001D677D">
      <w:pPr>
        <w:pStyle w:val="SingleTxtGR"/>
      </w:pPr>
      <w:r w:rsidRPr="00813AE4">
        <w:t>3.5</w:t>
      </w:r>
      <w:r w:rsidRPr="00813AE4">
        <w:tab/>
        <w:t>Автор также утверждает, что задержание его сына и содержание его под стражей без связи с внешним миром, которые до сих пор не признаны госуда</w:t>
      </w:r>
      <w:r w:rsidRPr="00813AE4">
        <w:t>р</w:t>
      </w:r>
      <w:r w:rsidRPr="00813AE4">
        <w:t>ством-участником, являются произволом и представляют собой нарушения пунктов</w:t>
      </w:r>
      <w:r>
        <w:t> 1–</w:t>
      </w:r>
      <w:r w:rsidRPr="00813AE4">
        <w:t>5</w:t>
      </w:r>
      <w:r w:rsidR="00B14339">
        <w:t xml:space="preserve"> статьи </w:t>
      </w:r>
      <w:r w:rsidRPr="00813AE4">
        <w:t>9 Пакта: исчезнувший был арестован без ордера на арест, ему не сообщили ни оснований для ареста, ни предъявляемые ему обвинения. Его ни разу не доставили в судебны</w:t>
      </w:r>
      <w:r>
        <w:t>й орган, и он</w:t>
      </w:r>
      <w:r w:rsidRPr="00813AE4">
        <w:t xml:space="preserve"> не имел возможности осп</w:t>
      </w:r>
      <w:r w:rsidRPr="00813AE4">
        <w:t>о</w:t>
      </w:r>
      <w:r w:rsidRPr="00813AE4">
        <w:t>рить законность своего заключения под стражу. Не имел он возможности ход</w:t>
      </w:r>
      <w:r w:rsidRPr="00813AE4">
        <w:t>а</w:t>
      </w:r>
      <w:r w:rsidRPr="00813AE4">
        <w:t>тайствовать и о возмещении того вреда, который был причинен ему в результ</w:t>
      </w:r>
      <w:r w:rsidRPr="00813AE4">
        <w:t>а</w:t>
      </w:r>
      <w:r w:rsidRPr="00813AE4">
        <w:t xml:space="preserve">те произвольного ареста </w:t>
      </w:r>
      <w:r>
        <w:t>и задержания, причем его родным</w:t>
      </w:r>
      <w:r w:rsidRPr="00813AE4">
        <w:t xml:space="preserve"> также не было предоставл</w:t>
      </w:r>
      <w:r w:rsidRPr="00813AE4">
        <w:t>е</w:t>
      </w:r>
      <w:r w:rsidRPr="00813AE4">
        <w:t>но в этой связи никакого возмещения.</w:t>
      </w:r>
    </w:p>
    <w:p w:rsidR="001D677D" w:rsidRPr="00813AE4" w:rsidRDefault="001D677D" w:rsidP="001D677D">
      <w:pPr>
        <w:pStyle w:val="SingleTxtGR"/>
      </w:pPr>
      <w:r w:rsidRPr="00813AE4">
        <w:t>3.6</w:t>
      </w:r>
      <w:r w:rsidRPr="00813AE4">
        <w:tab/>
        <w:t>По мнению автора, во время содержания под стражей его сын вопреки требованиям</w:t>
      </w:r>
      <w:r w:rsidR="00B14339">
        <w:t xml:space="preserve"> пункта </w:t>
      </w:r>
      <w:r w:rsidRPr="00813AE4">
        <w:t>1</w:t>
      </w:r>
      <w:r w:rsidR="00B14339">
        <w:t xml:space="preserve"> статьи </w:t>
      </w:r>
      <w:r w:rsidRPr="00813AE4">
        <w:t>10 Пакта также стал жертвой нарушения права на гуманное обращение и уважение достоинства, присущего человеческой личн</w:t>
      </w:r>
      <w:r w:rsidRPr="00813AE4">
        <w:t>о</w:t>
      </w:r>
      <w:r w:rsidRPr="00813AE4">
        <w:t>сти. В этой связи автор напоминает о решениях Комитета, в которых он пр</w:t>
      </w:r>
      <w:r w:rsidRPr="00813AE4">
        <w:t>и</w:t>
      </w:r>
      <w:r w:rsidRPr="00813AE4">
        <w:t>знал, что насильственное исчезновение является нарушением</w:t>
      </w:r>
      <w:r w:rsidR="00B14339">
        <w:t xml:space="preserve"> статьи </w:t>
      </w:r>
      <w:r w:rsidRPr="00813AE4">
        <w:t>10 Па</w:t>
      </w:r>
      <w:r w:rsidRPr="00813AE4">
        <w:t>к</w:t>
      </w:r>
      <w:r w:rsidRPr="00813AE4">
        <w:t>та</w:t>
      </w:r>
      <w:r w:rsidRPr="00813AE4">
        <w:rPr>
          <w:rStyle w:val="FootnoteReference"/>
        </w:rPr>
        <w:footnoteReference w:id="9"/>
      </w:r>
      <w:r w:rsidRPr="00813AE4">
        <w:t>. Ссылаясь на условия содержания своего сына под стражей, автор считает та</w:t>
      </w:r>
      <w:r w:rsidRPr="00813AE4">
        <w:t>к</w:t>
      </w:r>
      <w:r w:rsidRPr="00813AE4">
        <w:t>же, что государство-участник нарушило права его сына, гарантируемые стат</w:t>
      </w:r>
      <w:r w:rsidRPr="00813AE4">
        <w:t>ь</w:t>
      </w:r>
      <w:r w:rsidRPr="00813AE4">
        <w:t>ей</w:t>
      </w:r>
      <w:r>
        <w:t> </w:t>
      </w:r>
      <w:r w:rsidRPr="00813AE4">
        <w:t>10.</w:t>
      </w:r>
    </w:p>
    <w:p w:rsidR="001D677D" w:rsidRPr="00813AE4" w:rsidRDefault="001D677D" w:rsidP="001D677D">
      <w:pPr>
        <w:pStyle w:val="SingleTxtGR"/>
      </w:pPr>
      <w:r w:rsidRPr="00813AE4">
        <w:t>3.7</w:t>
      </w:r>
      <w:r w:rsidRPr="00813AE4">
        <w:tab/>
        <w:t>Автор полагает, что его сын был лишен возможности пользоваться сво</w:t>
      </w:r>
      <w:r w:rsidRPr="00813AE4">
        <w:t>и</w:t>
      </w:r>
      <w:r w:rsidRPr="00813AE4">
        <w:t>ми основными правами вследствие содержания под стражей без связи с вне</w:t>
      </w:r>
      <w:r w:rsidRPr="00813AE4">
        <w:t>ш</w:t>
      </w:r>
      <w:r w:rsidRPr="00813AE4">
        <w:t>ним миром и что это является нарушением его права на признание правосуб</w:t>
      </w:r>
      <w:r w:rsidRPr="00813AE4">
        <w:t>ъ</w:t>
      </w:r>
      <w:r w:rsidRPr="00813AE4">
        <w:t>ектности, гарантированного статьей</w:t>
      </w:r>
      <w:r>
        <w:t> </w:t>
      </w:r>
      <w:r w:rsidRPr="00813AE4">
        <w:t>16 Пакта. В этой связи автор ссылается на соответствующие решения Комитета, согласно которым преднамеренное лиш</w:t>
      </w:r>
      <w:r w:rsidRPr="00813AE4">
        <w:t>е</w:t>
      </w:r>
      <w:r w:rsidRPr="00813AE4">
        <w:t>ние какого-либо лица защиты закона на продолжительный период времени м</w:t>
      </w:r>
      <w:r w:rsidRPr="00813AE4">
        <w:t>о</w:t>
      </w:r>
      <w:r w:rsidRPr="00813AE4">
        <w:t>жет представлять собой отказ в признании пр</w:t>
      </w:r>
      <w:r w:rsidRPr="00813AE4">
        <w:t>а</w:t>
      </w:r>
      <w:r w:rsidRPr="00813AE4">
        <w:t>восубъектности этого лица, если в тот момент, когда потерпевшее лицо видели в последний раз, оно находилось в руках представителей властей государства и если, в то же время, его близким систематически препятствуют в получении доступа к потенциально эффекти</w:t>
      </w:r>
      <w:r w:rsidRPr="00813AE4">
        <w:t>в</w:t>
      </w:r>
      <w:r w:rsidRPr="00813AE4">
        <w:t>ным средствам правовой защиты, в том числе к судебным. В подобных случаях исчезнувшие лица фактически лишаются возможности осуществлять свои пр</w:t>
      </w:r>
      <w:r w:rsidRPr="00813AE4">
        <w:t>а</w:t>
      </w:r>
      <w:r w:rsidRPr="00813AE4">
        <w:t>ва и пользоваться средствами правовой защиты непосредственно из-за действий го</w:t>
      </w:r>
      <w:r w:rsidRPr="00813AE4">
        <w:t>с</w:t>
      </w:r>
      <w:r w:rsidRPr="00813AE4">
        <w:t>ударства, что надлежит толковать как отказ от признания правосубъектности таких потерпевших</w:t>
      </w:r>
      <w:r w:rsidRPr="00813AE4">
        <w:rPr>
          <w:rStyle w:val="FootnoteReference"/>
        </w:rPr>
        <w:footnoteReference w:id="10"/>
      </w:r>
      <w:r w:rsidRPr="00813AE4">
        <w:t>.</w:t>
      </w:r>
    </w:p>
    <w:p w:rsidR="001D677D" w:rsidRPr="00813AE4" w:rsidRDefault="001D677D" w:rsidP="001D677D">
      <w:pPr>
        <w:pStyle w:val="SingleTxtGR"/>
      </w:pPr>
      <w:r w:rsidRPr="00813AE4">
        <w:t>3.8</w:t>
      </w:r>
      <w:r w:rsidRPr="00813AE4">
        <w:tab/>
        <w:t>Автор утверждает, что обстоятельства ареста его сына сотрудниками пр</w:t>
      </w:r>
      <w:r w:rsidRPr="00813AE4">
        <w:t>а</w:t>
      </w:r>
      <w:r w:rsidRPr="00813AE4">
        <w:t>воохранительных органов ранним утром и у него дома, куда они проникли без ордера на обыск, свидетельствуют о произвольном и незаконном посягател</w:t>
      </w:r>
      <w:r w:rsidRPr="00813AE4">
        <w:t>ь</w:t>
      </w:r>
      <w:r w:rsidRPr="00813AE4">
        <w:t>стве на неприкосновенность жилища исчезнувшего лица в нарушение</w:t>
      </w:r>
      <w:r w:rsidR="00B14339">
        <w:t xml:space="preserve"> статьи </w:t>
      </w:r>
      <w:r w:rsidRPr="00813AE4">
        <w:t>17 Пакта</w:t>
      </w:r>
      <w:r w:rsidRPr="00813AE4">
        <w:rPr>
          <w:rStyle w:val="FootnoteReference"/>
        </w:rPr>
        <w:footnoteReference w:id="11"/>
      </w:r>
      <w:r w:rsidRPr="00813AE4">
        <w:t>.</w:t>
      </w:r>
    </w:p>
    <w:p w:rsidR="001D677D" w:rsidRPr="00813AE4" w:rsidRDefault="001D677D" w:rsidP="001D677D">
      <w:pPr>
        <w:pStyle w:val="SingleTxtGR"/>
      </w:pPr>
      <w:r w:rsidRPr="00813AE4">
        <w:t>3.9</w:t>
      </w:r>
      <w:r w:rsidRPr="00813AE4">
        <w:tab/>
        <w:t>Наконец, автор подчеркивает, чт</w:t>
      </w:r>
      <w:r>
        <w:t>о в нарушение</w:t>
      </w:r>
      <w:r w:rsidR="00B14339">
        <w:t xml:space="preserve"> пункта </w:t>
      </w:r>
      <w:r>
        <w:t>3</w:t>
      </w:r>
      <w:r w:rsidR="00B14339">
        <w:t xml:space="preserve"> статьи </w:t>
      </w:r>
      <w:r>
        <w:t>2</w:t>
      </w:r>
      <w:r w:rsidRPr="00813AE4">
        <w:t xml:space="preserve"> Пакта его сын был лишен во</w:t>
      </w:r>
      <w:r w:rsidRPr="00813AE4">
        <w:t>з</w:t>
      </w:r>
      <w:r w:rsidRPr="00813AE4">
        <w:t>можности воспользоваться правом оспорить законность своего задержания и пожаловат</w:t>
      </w:r>
      <w:r>
        <w:t>ься на предполагаемые нарушения</w:t>
      </w:r>
      <w:r w:rsidRPr="00813AE4">
        <w:t xml:space="preserve"> статей 7, 9,</w:t>
      </w:r>
      <w:r w:rsidR="00B14339">
        <w:t xml:space="preserve"> пункта </w:t>
      </w:r>
      <w:r w:rsidRPr="00813AE4">
        <w:t>1</w:t>
      </w:r>
      <w:r w:rsidR="00B14339">
        <w:t xml:space="preserve"> статьи </w:t>
      </w:r>
      <w:r w:rsidRPr="00813AE4">
        <w:t>10, статей</w:t>
      </w:r>
      <w:r>
        <w:t> </w:t>
      </w:r>
      <w:r w:rsidRPr="00813AE4">
        <w:t>16 и 17 Пакта. Автор также утверждает, что до тех пор, пока судьба исчезнувшего лица остается неизвестной, в соответствии с</w:t>
      </w:r>
      <w:r>
        <w:t> </w:t>
      </w:r>
      <w:r w:rsidRPr="00813AE4">
        <w:t>пунктом</w:t>
      </w:r>
      <w:r>
        <w:t> </w:t>
      </w:r>
      <w:r w:rsidRPr="00813AE4">
        <w:t>3</w:t>
      </w:r>
      <w:r w:rsidR="00B14339">
        <w:t xml:space="preserve"> статьи </w:t>
      </w:r>
      <w:r w:rsidRPr="00813AE4">
        <w:t>2 Пакта, рассматриваемым в совокупности с пунктом</w:t>
      </w:r>
      <w:r>
        <w:t> </w:t>
      </w:r>
      <w:r w:rsidRPr="00813AE4">
        <w:t>1</w:t>
      </w:r>
      <w:r w:rsidR="00B14339">
        <w:t xml:space="preserve"> ст</w:t>
      </w:r>
      <w:r w:rsidR="00B14339">
        <w:t>а</w:t>
      </w:r>
      <w:r w:rsidR="00B14339">
        <w:t>тьи </w:t>
      </w:r>
      <w:r w:rsidRPr="00813AE4">
        <w:t>6, государство-участник обязано вести тщательное расследование насил</w:t>
      </w:r>
      <w:r w:rsidRPr="00813AE4">
        <w:t>ь</w:t>
      </w:r>
      <w:r w:rsidRPr="00813AE4">
        <w:t>ственного исчезновения, информировать близких пропавшего лица о ходе и р</w:t>
      </w:r>
      <w:r w:rsidRPr="00813AE4">
        <w:t>е</w:t>
      </w:r>
      <w:r w:rsidRPr="00813AE4">
        <w:t>зультатах расследования и привлекать к ответственности виновных в насил</w:t>
      </w:r>
      <w:r w:rsidRPr="00813AE4">
        <w:t>ь</w:t>
      </w:r>
      <w:r w:rsidRPr="00813AE4">
        <w:t>ственном исчезновении. Что же касается автора сообщения и его семьи, то они сделали все возможное</w:t>
      </w:r>
      <w:r w:rsidR="00B14339">
        <w:t>, для того</w:t>
      </w:r>
      <w:r w:rsidRPr="00813AE4">
        <w:t xml:space="preserve"> чтобы выяснить судьбу исчезнувшего лица, но государство-участник никак не отреагировало на их обращения. Автор полаг</w:t>
      </w:r>
      <w:r w:rsidRPr="00813AE4">
        <w:t>а</w:t>
      </w:r>
      <w:r w:rsidRPr="00813AE4">
        <w:t>ет, что нежелание государства-участника проводить расследование и уделить должное внимания заявлениям о незаконном заключении под стражу и насил</w:t>
      </w:r>
      <w:r w:rsidRPr="00813AE4">
        <w:t>ь</w:t>
      </w:r>
      <w:r w:rsidRPr="00813AE4">
        <w:t>ственном исчезновении также является нарушением</w:t>
      </w:r>
      <w:r w:rsidR="00B14339">
        <w:t xml:space="preserve"> пункта </w:t>
      </w:r>
      <w:r w:rsidRPr="00813AE4">
        <w:t>3</w:t>
      </w:r>
      <w:r w:rsidR="00B14339">
        <w:t xml:space="preserve"> статьи </w:t>
      </w:r>
      <w:r w:rsidRPr="00813AE4">
        <w:t>2 по отн</w:t>
      </w:r>
      <w:r w:rsidRPr="00813AE4">
        <w:t>о</w:t>
      </w:r>
      <w:r>
        <w:t>шению к автору и его семье.</w:t>
      </w:r>
    </w:p>
    <w:p w:rsidR="001D677D" w:rsidRPr="00813AE4" w:rsidRDefault="001D677D" w:rsidP="001D677D">
      <w:pPr>
        <w:pStyle w:val="SingleTxtGR"/>
      </w:pPr>
      <w:r w:rsidRPr="00813AE4">
        <w:t>3.10</w:t>
      </w:r>
      <w:r w:rsidRPr="00813AE4">
        <w:tab/>
        <w:t>Автор утверждает, что все внутренние средства правовой защиты оказ</w:t>
      </w:r>
      <w:r w:rsidRPr="00813AE4">
        <w:t>а</w:t>
      </w:r>
      <w:r w:rsidRPr="00813AE4">
        <w:t>лись недоступными, бесполезными или неэффективными и что, соответстве</w:t>
      </w:r>
      <w:r w:rsidRPr="00813AE4">
        <w:t>н</w:t>
      </w:r>
      <w:r w:rsidRPr="00813AE4">
        <w:t>но, условия</w:t>
      </w:r>
      <w:r w:rsidR="00B14339">
        <w:t xml:space="preserve"> пункта </w:t>
      </w:r>
      <w:r w:rsidRPr="00813AE4">
        <w:t>2 b)</w:t>
      </w:r>
      <w:r w:rsidR="00B14339">
        <w:t xml:space="preserve"> статьи </w:t>
      </w:r>
      <w:r w:rsidRPr="00813AE4">
        <w:t>5 Факультативного протокола были соблюдены. После многочисленных безрезультатных обращений в правоохранительные о</w:t>
      </w:r>
      <w:r w:rsidRPr="00813AE4">
        <w:t>р</w:t>
      </w:r>
      <w:r w:rsidRPr="00813AE4">
        <w:t>ганы в целях получения информации о судьбе сына автор неоднократно заявлял о его исчезновении в судебные</w:t>
      </w:r>
      <w:r>
        <w:t xml:space="preserve"> инстанции и безуспешно просил </w:t>
      </w:r>
      <w:r w:rsidRPr="00813AE4">
        <w:t>начать рассл</w:t>
      </w:r>
      <w:r w:rsidRPr="00813AE4">
        <w:t>е</w:t>
      </w:r>
      <w:r w:rsidRPr="00813AE4">
        <w:t xml:space="preserve">дование. Однако его официальным жалобам так и не был дан ход. </w:t>
      </w:r>
    </w:p>
    <w:p w:rsidR="001D677D" w:rsidRPr="00813AE4" w:rsidRDefault="001D677D" w:rsidP="001D677D">
      <w:pPr>
        <w:pStyle w:val="SingleTxtGR"/>
      </w:pPr>
      <w:r w:rsidRPr="00813AE4">
        <w:t>3.11</w:t>
      </w:r>
      <w:r w:rsidRPr="00813AE4">
        <w:tab/>
        <w:t>В заключение автор указывает на то, что с</w:t>
      </w:r>
      <w:r w:rsidR="00B14339">
        <w:t> февраля</w:t>
      </w:r>
      <w:r w:rsidRPr="00813AE4">
        <w:t xml:space="preserve"> 2006</w:t>
      </w:r>
      <w:r w:rsidR="00B14339">
        <w:t> года</w:t>
      </w:r>
      <w:r w:rsidRPr="00813AE4">
        <w:t>, когда вст</w:t>
      </w:r>
      <w:r w:rsidRPr="00813AE4">
        <w:t>у</w:t>
      </w:r>
      <w:r w:rsidRPr="00813AE4">
        <w:t>пило в силу постановление</w:t>
      </w:r>
      <w:r w:rsidR="00B14339">
        <w:t> № </w:t>
      </w:r>
      <w:r w:rsidRPr="00813AE4">
        <w:t>06-01 об осуществлении Хартии мира и наци</w:t>
      </w:r>
      <w:r w:rsidRPr="00813AE4">
        <w:t>о</w:t>
      </w:r>
      <w:r w:rsidRPr="00813AE4">
        <w:t>нального примирения, любое преследование военнослужащих и сотрудников правоохранительных органов в Алжире запрещено. Автор напоминает, что К</w:t>
      </w:r>
      <w:r w:rsidRPr="00813AE4">
        <w:t>о</w:t>
      </w:r>
      <w:r w:rsidRPr="00813AE4">
        <w:t>митет высказывал мнение о том, что это постановление поощряет безнаказа</w:t>
      </w:r>
      <w:r w:rsidRPr="00813AE4">
        <w:t>н</w:t>
      </w:r>
      <w:r w:rsidRPr="00813AE4">
        <w:t>ность и ущемляет право на эффективные средства правовой защиты</w:t>
      </w:r>
      <w:r w:rsidRPr="00813AE4">
        <w:rPr>
          <w:rStyle w:val="FootnoteReference"/>
        </w:rPr>
        <w:footnoteReference w:id="12"/>
      </w:r>
      <w:r w:rsidRPr="00813AE4">
        <w:t>. Таким образом, автор утверждает, что он не имеет во</w:t>
      </w:r>
      <w:r w:rsidRPr="00813AE4">
        <w:t>з</w:t>
      </w:r>
      <w:r w:rsidRPr="00813AE4">
        <w:t xml:space="preserve">можности отстаивать свое право на эффективные средства правовой защиты. </w:t>
      </w:r>
    </w:p>
    <w:p w:rsidR="001D677D" w:rsidRPr="00813AE4" w:rsidRDefault="001D677D" w:rsidP="001D677D">
      <w:pPr>
        <w:pStyle w:val="SingleTxtGR"/>
      </w:pPr>
      <w:r w:rsidRPr="00813AE4">
        <w:t>3.12</w:t>
      </w:r>
      <w:r w:rsidRPr="00813AE4">
        <w:tab/>
        <w:t>Автор просит Комитет обязать государство-участника: a) освободить Яхью Круми, если он все еще жив; b) оперативно провести тщательное и э</w:t>
      </w:r>
      <w:r w:rsidRPr="00813AE4">
        <w:t>ф</w:t>
      </w:r>
      <w:r w:rsidRPr="00813AE4">
        <w:t>фективное расследование его исчезновения; c) сообщить автору и его семье р</w:t>
      </w:r>
      <w:r w:rsidRPr="00813AE4">
        <w:t>е</w:t>
      </w:r>
      <w:r w:rsidRPr="00813AE4">
        <w:t>зультаты такого расследования; d) возбудить иск против виновных в исчезнов</w:t>
      </w:r>
      <w:r w:rsidRPr="00813AE4">
        <w:t>е</w:t>
      </w:r>
      <w:r w:rsidRPr="00813AE4">
        <w:t>нии Яхьи Круми, предать их суду и назначить им наказание в соответствии с</w:t>
      </w:r>
      <w:r>
        <w:t> </w:t>
      </w:r>
      <w:r w:rsidRPr="00813AE4">
        <w:t>международными обязательствами государства-участника; e) адекватно во</w:t>
      </w:r>
      <w:r w:rsidRPr="00813AE4">
        <w:t>з</w:t>
      </w:r>
      <w:r w:rsidRPr="00813AE4">
        <w:t>местить правопреемникам Яхьи Круми тот серьезный моральный и материал</w:t>
      </w:r>
      <w:r w:rsidRPr="00813AE4">
        <w:t>ь</w:t>
      </w:r>
      <w:r w:rsidRPr="00813AE4">
        <w:t>ного ущерб, который был причинен им с момента его исчезновения, включая компенсацию, реституцию, реабилитацию, сатисфакцию и гарантии неповтор</w:t>
      </w:r>
      <w:r w:rsidRPr="00813AE4">
        <w:t>е</w:t>
      </w:r>
      <w:r w:rsidRPr="00813AE4">
        <w:t>ния нарушений.</w:t>
      </w:r>
    </w:p>
    <w:p w:rsidR="001D677D" w:rsidRPr="00813AE4" w:rsidRDefault="001D677D" w:rsidP="001D677D">
      <w:pPr>
        <w:pStyle w:val="H23GR"/>
      </w:pPr>
      <w:r w:rsidRPr="00813AE4">
        <w:tab/>
      </w:r>
      <w:r w:rsidRPr="00813AE4">
        <w:tab/>
        <w:t>Замечания государства-участника относительно приемлемости сообщ</w:t>
      </w:r>
      <w:r w:rsidRPr="00813AE4">
        <w:t>е</w:t>
      </w:r>
      <w:r>
        <w:t>ния</w:t>
      </w:r>
    </w:p>
    <w:p w:rsidR="001D677D" w:rsidRPr="00813AE4" w:rsidRDefault="001D677D" w:rsidP="001D677D">
      <w:pPr>
        <w:pStyle w:val="SingleTxtGR"/>
      </w:pPr>
      <w:r w:rsidRPr="00813AE4">
        <w:t>4.1</w:t>
      </w:r>
      <w:r w:rsidRPr="00813AE4">
        <w:tab/>
        <w:t>4</w:t>
      </w:r>
      <w:r w:rsidR="00B14339">
        <w:t> октября</w:t>
      </w:r>
      <w:r w:rsidRPr="00813AE4">
        <w:t xml:space="preserve"> 2011</w:t>
      </w:r>
      <w:r w:rsidR="00B14339">
        <w:t> года</w:t>
      </w:r>
      <w:r w:rsidRPr="00813AE4">
        <w:t xml:space="preserve"> государство-участник оспорило приемлемость данн</w:t>
      </w:r>
      <w:r w:rsidRPr="00813AE4">
        <w:t>о</w:t>
      </w:r>
      <w:r w:rsidRPr="00813AE4">
        <w:t>го сообщения, представив текст "Основного меморандума о неприемлемости индивидуальных сообщений, представляемых в Комитет по правам человека в</w:t>
      </w:r>
      <w:r>
        <w:t> </w:t>
      </w:r>
      <w:r w:rsidRPr="00813AE4">
        <w:t>связи с осуществлением Хартии мира и национального примирения". Оно п</w:t>
      </w:r>
      <w:r w:rsidRPr="00813AE4">
        <w:t>о</w:t>
      </w:r>
      <w:r w:rsidRPr="00813AE4">
        <w:t>лагает, что настоящее сообщение, в котором говорится об ответственности го</w:t>
      </w:r>
      <w:r w:rsidRPr="00813AE4">
        <w:t>с</w:t>
      </w:r>
      <w:r w:rsidRPr="00813AE4">
        <w:t>ударственных должностных лиц или лиц, действовавших от имени госуда</w:t>
      </w:r>
      <w:r w:rsidRPr="00813AE4">
        <w:t>р</w:t>
      </w:r>
      <w:r w:rsidRPr="00813AE4">
        <w:t>ственных органов, за случаи насильственных исчезновений, которые имели м</w:t>
      </w:r>
      <w:r w:rsidRPr="00813AE4">
        <w:t>е</w:t>
      </w:r>
      <w:r w:rsidRPr="00813AE4">
        <w:t>сто в период с 1993 по 1998</w:t>
      </w:r>
      <w:r>
        <w:t> </w:t>
      </w:r>
      <w:r w:rsidRPr="00813AE4">
        <w:t>год, должно рассматриваться "с использованием глобального подхода" и быть объявлено неприемлемым. По мнению госуда</w:t>
      </w:r>
      <w:r w:rsidRPr="00813AE4">
        <w:t>р</w:t>
      </w:r>
      <w:r w:rsidRPr="00813AE4">
        <w:t>ства-участника, сообщения такого рода следует рассматривать в более общем контексте с учетом социально-политической ситуации и уровня безопасности в</w:t>
      </w:r>
      <w:r>
        <w:t> </w:t>
      </w:r>
      <w:r w:rsidRPr="00813AE4">
        <w:t>стране в период, когда правительство вело борьбу с терроризмом, целью кот</w:t>
      </w:r>
      <w:r w:rsidRPr="00813AE4">
        <w:t>о</w:t>
      </w:r>
      <w:r w:rsidRPr="00813AE4">
        <w:t>рого было спровоцировать "крушение республиканского государства". Именно в этом контексте и в соответствии со статьями</w:t>
      </w:r>
      <w:r>
        <w:t> </w:t>
      </w:r>
      <w:r w:rsidRPr="00813AE4">
        <w:t>87 и 91 Конституции правител</w:t>
      </w:r>
      <w:r w:rsidRPr="00813AE4">
        <w:t>ь</w:t>
      </w:r>
      <w:r w:rsidRPr="00813AE4">
        <w:t>ство Алжира приняло защитные меры и уведомило Секретариат Организации Объединенных Наций о введении чрезвычайного положения с</w:t>
      </w:r>
      <w:r w:rsidRPr="00813AE4">
        <w:t>о</w:t>
      </w:r>
      <w:r w:rsidRPr="00813AE4">
        <w:t>гласно пункту</w:t>
      </w:r>
      <w:r>
        <w:t> </w:t>
      </w:r>
      <w:r w:rsidRPr="00813AE4">
        <w:t>3</w:t>
      </w:r>
      <w:r w:rsidR="00B14339">
        <w:t xml:space="preserve"> статьи </w:t>
      </w:r>
      <w:r w:rsidRPr="00813AE4">
        <w:t>4 Пакта.</w:t>
      </w:r>
    </w:p>
    <w:p w:rsidR="001D677D" w:rsidRPr="00813AE4" w:rsidRDefault="001D677D" w:rsidP="001D677D">
      <w:pPr>
        <w:pStyle w:val="SingleTxtGR"/>
      </w:pPr>
      <w:r w:rsidRPr="00813AE4">
        <w:t>4.2</w:t>
      </w:r>
      <w:r w:rsidRPr="00813AE4">
        <w:tab/>
        <w:t>Государство-участник подчеркивает, что в некоторых районах, где велико число неформальных поселений, гражданским лицам было трудно отличать действия террористических групп от действий правоохранительных органов, которым они часто приписывали насильственные исчезновения. По мнению государства-участника, значительное число насильственных исчезновений сл</w:t>
      </w:r>
      <w:r w:rsidRPr="00813AE4">
        <w:t>е</w:t>
      </w:r>
      <w:r w:rsidRPr="00813AE4">
        <w:t>дует рассматривать именно в этом контексте. В ходе рассматриваемого периода общий термин "исчезновение" в Алжире мог означать од</w:t>
      </w:r>
      <w:r>
        <w:t xml:space="preserve">ну из шести типичных ситуаций. </w:t>
      </w:r>
      <w:r w:rsidRPr="00813AE4">
        <w:t>В первом случае лица, объявленные пропавшими без вести их бли</w:t>
      </w:r>
      <w:r w:rsidRPr="00813AE4">
        <w:t>з</w:t>
      </w:r>
      <w:r w:rsidRPr="00813AE4">
        <w:t>кими, на самом деле уходили по своей собственной воле в подполье, чтобы присоединиться к вооруженным группировкам. При этом, чтобы "замести сл</w:t>
      </w:r>
      <w:r w:rsidRPr="00813AE4">
        <w:t>е</w:t>
      </w:r>
      <w:r w:rsidRPr="00813AE4">
        <w:t>ды" и избежать "репрессий" со стороны полиции, они предлагали родственн</w:t>
      </w:r>
      <w:r w:rsidRPr="00813AE4">
        <w:t>и</w:t>
      </w:r>
      <w:r w:rsidRPr="00813AE4">
        <w:t>кам заявить о том, что они были арестованы сотрудниками прав</w:t>
      </w:r>
      <w:r w:rsidRPr="00813AE4">
        <w:t>о</w:t>
      </w:r>
      <w:r w:rsidRPr="00813AE4">
        <w:t>охранительных органов. Во втором случае лица, объявленные пропавшими без вести после т</w:t>
      </w:r>
      <w:r w:rsidRPr="00813AE4">
        <w:t>о</w:t>
      </w:r>
      <w:r w:rsidRPr="00813AE4">
        <w:t>го, как они были арестованы правоохранительными органами, на самом деле уходили в подполье после своего освобождения. В третьем случае пропавшие без вести лица похищались членами вооруженных группировок, которых они ошибочно принимали за военнослужащих или сотрудников правоохранител</w:t>
      </w:r>
      <w:r w:rsidRPr="00813AE4">
        <w:t>ь</w:t>
      </w:r>
      <w:r w:rsidRPr="00813AE4">
        <w:t>ных органов, поскольку те не говорили, кем они являются в действительности или же пользовались формой и удостоверениями полицейских или военносл</w:t>
      </w:r>
      <w:r w:rsidRPr="00813AE4">
        <w:t>у</w:t>
      </w:r>
      <w:r w:rsidRPr="00813AE4">
        <w:t>жащих. В четвертом случае речь идет о людях, разыск</w:t>
      </w:r>
      <w:r w:rsidRPr="00813AE4">
        <w:t>и</w:t>
      </w:r>
      <w:r w:rsidRPr="00813AE4">
        <w:t>в</w:t>
      </w:r>
      <w:r>
        <w:t xml:space="preserve">аемых родственниками. Эти люди </w:t>
      </w:r>
      <w:r w:rsidRPr="00813AE4">
        <w:t>принимали решение оставить близких, а иногда даже покинуть стр</w:t>
      </w:r>
      <w:r w:rsidRPr="00813AE4">
        <w:t>а</w:t>
      </w:r>
      <w:r w:rsidRPr="00813AE4">
        <w:t>ну по собственной инициативе из-за личных проблем или семейных разногл</w:t>
      </w:r>
      <w:r w:rsidRPr="00813AE4">
        <w:t>а</w:t>
      </w:r>
      <w:r w:rsidRPr="00813AE4">
        <w:t>сий. В пятом случае лица, объявленные пропавшими без вести своими ро</w:t>
      </w:r>
      <w:r w:rsidRPr="00813AE4">
        <w:t>д</w:t>
      </w:r>
      <w:r w:rsidRPr="00813AE4">
        <w:t>ственниками, на самом деле являлись разыскива</w:t>
      </w:r>
      <w:r w:rsidRPr="00813AE4">
        <w:t>е</w:t>
      </w:r>
      <w:r w:rsidRPr="00813AE4">
        <w:t>мыми террористами, которые были убиты и похоронены самими боевиками в результате внутренних распрей, столкновений на идейной почве или споров по поводу дележа военных трофеев между соперничающими вооруженными группировками. И наконец, госуда</w:t>
      </w:r>
      <w:r w:rsidRPr="00813AE4">
        <w:t>р</w:t>
      </w:r>
      <w:r w:rsidRPr="00813AE4">
        <w:t>ство-участник упоминает о шестом типичном случае, когда исчезнувшие лица на самом деле проживают на территории страны или за границей под чужим именем, воспользовавшись услугами сети, занимающейся подделкой докуме</w:t>
      </w:r>
      <w:r w:rsidRPr="00813AE4">
        <w:t>н</w:t>
      </w:r>
      <w:r w:rsidRPr="00813AE4">
        <w:t>тов.</w:t>
      </w:r>
    </w:p>
    <w:p w:rsidR="001D677D" w:rsidRPr="00813AE4" w:rsidRDefault="001D677D" w:rsidP="001D677D">
      <w:pPr>
        <w:pStyle w:val="SingleTxtGR"/>
      </w:pPr>
      <w:r w:rsidRPr="00813AE4">
        <w:t>4.3</w:t>
      </w:r>
      <w:r w:rsidRPr="00813AE4">
        <w:tab/>
        <w:t>Государство-участник подчеркивает также, что, учитывая разнообразие и</w:t>
      </w:r>
      <w:r>
        <w:t> </w:t>
      </w:r>
      <w:r w:rsidRPr="00813AE4">
        <w:t>сложность ситуаций, охватываемых общим понятием "исчезновение", алжи</w:t>
      </w:r>
      <w:r w:rsidRPr="00813AE4">
        <w:t>р</w:t>
      </w:r>
      <w:r w:rsidRPr="00813AE4">
        <w:t>ские законодатели после проведения всенародного референдума по вопросу о</w:t>
      </w:r>
      <w:r>
        <w:t> </w:t>
      </w:r>
      <w:r w:rsidRPr="00813AE4">
        <w:t>принятии Хартии мира и национального примирения предложили рассматр</w:t>
      </w:r>
      <w:r w:rsidRPr="00813AE4">
        <w:t>и</w:t>
      </w:r>
      <w:r w:rsidRPr="00813AE4">
        <w:t>вать вопрос об исчезнувших лицах в рамках глобального подхода, который предполагает выяснение судьбы всех исчезнувших в период "общенационал</w:t>
      </w:r>
      <w:r w:rsidRPr="00813AE4">
        <w:t>ь</w:t>
      </w:r>
      <w:r w:rsidRPr="00813AE4">
        <w:t>ной трагедии" лиц, оказание помощи всем жертвам для преодоления этого и</w:t>
      </w:r>
      <w:r w:rsidRPr="00813AE4">
        <w:t>с</w:t>
      </w:r>
      <w:r w:rsidRPr="00813AE4">
        <w:t>пытания и предоставление всем жертвам исчезновений и их правопреемникам права на возмещение ущерба. Согласно статистике служб Министерства вну</w:t>
      </w:r>
      <w:r w:rsidRPr="00813AE4">
        <w:t>т</w:t>
      </w:r>
      <w:r w:rsidRPr="00813AE4">
        <w:t>ренних дел, было заявлено 8 023</w:t>
      </w:r>
      <w:r>
        <w:t> </w:t>
      </w:r>
      <w:r w:rsidRPr="00813AE4">
        <w:t>случая исчезновения и рассмотрены 6 774</w:t>
      </w:r>
      <w:r>
        <w:t> </w:t>
      </w:r>
      <w:r w:rsidRPr="00813AE4">
        <w:t>дела, по 5 704 из которых было принято решение о возмещении ущерба, 934 были отклонены и еще 136 находятся на стадии рассмотрения. В порядке возмещения ущерба всем жертвам было выплачено в общей сложности 371 459 390</w:t>
      </w:r>
      <w:r>
        <w:t> </w:t>
      </w:r>
      <w:r w:rsidRPr="00813AE4">
        <w:t>алжирских динаров и еще 1 320 824 683</w:t>
      </w:r>
      <w:r>
        <w:t> </w:t>
      </w:r>
      <w:r w:rsidRPr="00813AE4">
        <w:t>алжирских динара пошли на выплату ежем</w:t>
      </w:r>
      <w:r w:rsidRPr="00813AE4">
        <w:t>е</w:t>
      </w:r>
      <w:r w:rsidRPr="00813AE4">
        <w:t>сячных пенсий.</w:t>
      </w:r>
    </w:p>
    <w:p w:rsidR="001D677D" w:rsidRPr="00813AE4" w:rsidRDefault="001D677D" w:rsidP="001D677D">
      <w:pPr>
        <w:pStyle w:val="SingleTxtGR"/>
      </w:pPr>
      <w:r w:rsidRPr="00813AE4">
        <w:t>4.4</w:t>
      </w:r>
      <w:r w:rsidRPr="00813AE4">
        <w:tab/>
        <w:t>Государство-участник полагает, что автор не исчерпал все внутренние средства правовой защиты. Оно настаивает на важности проведения различий между простыми обращениями в политические или административные органы, жалобами в консультативные или посреднические инстанции, которые не им</w:t>
      </w:r>
      <w:r w:rsidRPr="00813AE4">
        <w:t>е</w:t>
      </w:r>
      <w:r w:rsidRPr="00813AE4">
        <w:t>ют исковой силы, и исковыми заявлениями, подаваемыми в различные комп</w:t>
      </w:r>
      <w:r w:rsidRPr="00813AE4">
        <w:t>е</w:t>
      </w:r>
      <w:r w:rsidRPr="00813AE4">
        <w:t>тентные судебные орг</w:t>
      </w:r>
      <w:r w:rsidRPr="00813AE4">
        <w:t>а</w:t>
      </w:r>
      <w:r w:rsidRPr="00813AE4">
        <w:t>ны. Государство-участник отмечает, что, как следует из жалобы автора сообщения, он направлял письма в политические или админ</w:t>
      </w:r>
      <w:r w:rsidRPr="00813AE4">
        <w:t>и</w:t>
      </w:r>
      <w:r w:rsidRPr="00813AE4">
        <w:t>стративные органы, обращался в консультативные или посреднические инста</w:t>
      </w:r>
      <w:r w:rsidRPr="00813AE4">
        <w:t>н</w:t>
      </w:r>
      <w:r w:rsidRPr="00813AE4">
        <w:t>ции и подал ходатайство в прокуратуру (в Генеральную прокуратуру или Пр</w:t>
      </w:r>
      <w:r w:rsidRPr="00813AE4">
        <w:t>о</w:t>
      </w:r>
      <w:r w:rsidRPr="00813AE4">
        <w:t>куратуру Республики), не возбудив при этом судебного иска или не доведя его до конца с использованием всех имеющихся апелляционных и кассационных возможностей. Из всех перечисленных органов власти лишь представители прокуратуры по закону имеют право проводить предварительное расследование и передавать дело следственному судье. В алжирской системе правосудия именно прокурор Республики принимает жалобы и при необходимости возбу</w:t>
      </w:r>
      <w:r w:rsidRPr="00813AE4">
        <w:t>ж</w:t>
      </w:r>
      <w:r w:rsidRPr="00813AE4">
        <w:t>дает уголовное преследование. В то же время для защиты прав жертвы или ее правопреемников Уголовно-процессуальный кодекс наделяет последних правом подавать гражданский иск непосредственно следственному судье. В этом сл</w:t>
      </w:r>
      <w:r w:rsidRPr="00813AE4">
        <w:t>у</w:t>
      </w:r>
      <w:r w:rsidRPr="00813AE4">
        <w:t>чае именно жертва, а не прокурор становится инициатором уголовного пресл</w:t>
      </w:r>
      <w:r w:rsidRPr="00813AE4">
        <w:t>е</w:t>
      </w:r>
      <w:r w:rsidRPr="00813AE4">
        <w:t>дования, направляя исковое заявление следственному судье. Этот средство пр</w:t>
      </w:r>
      <w:r w:rsidRPr="00813AE4">
        <w:t>а</w:t>
      </w:r>
      <w:r w:rsidRPr="00813AE4">
        <w:t>вовой защиты, предусмотренное статьями</w:t>
      </w:r>
      <w:r>
        <w:t> </w:t>
      </w:r>
      <w:r w:rsidRPr="00813AE4">
        <w:t>72 и 73 Уголовно-процессуального кодекса, не было использовано, хотя оно позволило бы автору инициировать уголовное дело и обязать следственного судью провести расследование, даже если прокуратура приняла бы иное решение.</w:t>
      </w:r>
    </w:p>
    <w:p w:rsidR="001D677D" w:rsidRPr="00813AE4" w:rsidRDefault="001D677D" w:rsidP="001D677D">
      <w:pPr>
        <w:pStyle w:val="SingleTxtGR"/>
      </w:pPr>
      <w:r w:rsidRPr="00813AE4">
        <w:t>4.5</w:t>
      </w:r>
      <w:r w:rsidRPr="00813AE4">
        <w:tab/>
        <w:t>Кроме того, государство-участник отмечает, что, по утверждению автора, принятие на референдуме Хартии мира и национального примирения, а также нормативно-правовых актов, определяющих порядок ее осуществления, в час</w:t>
      </w:r>
      <w:r w:rsidRPr="00813AE4">
        <w:t>т</w:t>
      </w:r>
      <w:r w:rsidRPr="00813AE4">
        <w:t>ности</w:t>
      </w:r>
      <w:r w:rsidR="00B14339">
        <w:t xml:space="preserve"> статьи </w:t>
      </w:r>
      <w:r w:rsidRPr="00813AE4">
        <w:t>45 постановления</w:t>
      </w:r>
      <w:r w:rsidR="00B14339">
        <w:t> № </w:t>
      </w:r>
      <w:r w:rsidRPr="00813AE4">
        <w:t>06-01, не позволяет говорить о том, что в</w:t>
      </w:r>
      <w:r>
        <w:t> </w:t>
      </w:r>
      <w:r w:rsidRPr="00813AE4">
        <w:t>Алжире имеются действенные, эффективные и доступные семьям жертв и</w:t>
      </w:r>
      <w:r w:rsidRPr="00813AE4">
        <w:t>с</w:t>
      </w:r>
      <w:r w:rsidRPr="00813AE4">
        <w:t>чезновений внутренние средства правовой защиты. На этом основании автор счел себя свободным от необходимости обратиться в компетентные судебные органы, заранее предвосхищая их позицию и суждения по поводу применения упомянутого постановления. Однако автор не вправе ссылаться на это пост</w:t>
      </w:r>
      <w:r w:rsidRPr="00813AE4">
        <w:t>а</w:t>
      </w:r>
      <w:r w:rsidRPr="00813AE4">
        <w:t>новление и на нормативно-правовые акты о порядке его применения для обо</w:t>
      </w:r>
      <w:r w:rsidRPr="00813AE4">
        <w:t>с</w:t>
      </w:r>
      <w:r w:rsidRPr="00813AE4">
        <w:t>нования своего отказа от использования доступных судебно-процессуальных средств. Государство-участник ссылается на решения Комитета, согласно кот</w:t>
      </w:r>
      <w:r w:rsidRPr="00813AE4">
        <w:t>о</w:t>
      </w:r>
      <w:r w:rsidRPr="00813AE4">
        <w:t>рым ув</w:t>
      </w:r>
      <w:r w:rsidRPr="00813AE4">
        <w:t>е</w:t>
      </w:r>
      <w:r w:rsidRPr="00813AE4">
        <w:t>ренность или субъективная презумпция какого-либо лица в отношении бесполезности обращения за юридической помощью не избавляет это лицо от необходимости исчерпания всех внутренних средств правовой защиты</w:t>
      </w:r>
      <w:r w:rsidRPr="00813AE4">
        <w:rPr>
          <w:rStyle w:val="FootnoteReference"/>
        </w:rPr>
        <w:footnoteReference w:id="13"/>
      </w:r>
      <w:r w:rsidRPr="00813AE4">
        <w:t>.</w:t>
      </w:r>
    </w:p>
    <w:p w:rsidR="001D677D" w:rsidRPr="00813AE4" w:rsidRDefault="001D677D" w:rsidP="001D677D">
      <w:pPr>
        <w:pStyle w:val="SingleTxtGR"/>
      </w:pPr>
      <w:r w:rsidRPr="00813AE4">
        <w:t>4.6</w:t>
      </w:r>
      <w:r w:rsidRPr="00813AE4">
        <w:tab/>
        <w:t>Государство-участник далее отдельно освещает сущность, основы и с</w:t>
      </w:r>
      <w:r w:rsidRPr="00813AE4">
        <w:t>о</w:t>
      </w:r>
      <w:r w:rsidRPr="00813AE4">
        <w:t>держание Хартии мира и национального примирения, а также нормативно-правовых актов, определяющих порядок ее осуществления. Оно утверждает, что в соответствии с принципом неотчуждаемости мира, который стал пр</w:t>
      </w:r>
      <w:r w:rsidRPr="00813AE4">
        <w:t>и</w:t>
      </w:r>
      <w:r w:rsidRPr="00813AE4">
        <w:t>знанным на международном уровне правом на мир, Комитету следовало бы с</w:t>
      </w:r>
      <w:r w:rsidRPr="00813AE4">
        <w:t>о</w:t>
      </w:r>
      <w:r w:rsidRPr="00813AE4">
        <w:t>действовать поддержанию и укреплению этого мира, а также национальному примирению, с тем чтобы дать государствам, где разразился внутренний кр</w:t>
      </w:r>
      <w:r w:rsidRPr="00813AE4">
        <w:t>и</w:t>
      </w:r>
      <w:r w:rsidRPr="00813AE4">
        <w:t>зис, возможность укрепить свой потенциал. Стремясь к достижению наци</w:t>
      </w:r>
      <w:r w:rsidRPr="00813AE4">
        <w:t>о</w:t>
      </w:r>
      <w:r w:rsidRPr="00813AE4">
        <w:t>нального примирения, государство-участник приняло Хартию, предусмотрев в</w:t>
      </w:r>
      <w:r>
        <w:t> </w:t>
      </w:r>
      <w:r w:rsidRPr="00813AE4">
        <w:t>постановлении о ее осуществлении правовые требования о прекращении уг</w:t>
      </w:r>
      <w:r w:rsidRPr="00813AE4">
        <w:t>о</w:t>
      </w:r>
      <w:r w:rsidRPr="00813AE4">
        <w:t>ловных дел и замене или смягчении наказаний для всех лиц, которые виновны в</w:t>
      </w:r>
      <w:r>
        <w:t> </w:t>
      </w:r>
      <w:r w:rsidRPr="00813AE4">
        <w:t>совершении террористических актов или на которых распространяются пол</w:t>
      </w:r>
      <w:r w:rsidRPr="00813AE4">
        <w:t>о</w:t>
      </w:r>
      <w:r w:rsidRPr="00813AE4">
        <w:t>жения, касающиеся гражданских беспорядков, за исключением лиц, являвши</w:t>
      </w:r>
      <w:r w:rsidRPr="00813AE4">
        <w:t>х</w:t>
      </w:r>
      <w:r w:rsidRPr="00813AE4">
        <w:t>ся организаторами или соучастниками массовых убийств, изнасилований или взрывов в общественных местах. В этом постановлении предусмотрена также процедура признания в судебном порядке факта смерти, позволяющая прав</w:t>
      </w:r>
      <w:r w:rsidRPr="00813AE4">
        <w:t>о</w:t>
      </w:r>
      <w:r w:rsidRPr="00813AE4">
        <w:t>преемникам пропавших без вести лиц получить компенсацию в качестве жертв "общенационал</w:t>
      </w:r>
      <w:r w:rsidRPr="00813AE4">
        <w:t>ь</w:t>
      </w:r>
      <w:r w:rsidRPr="00813AE4">
        <w:t>ной трагедии". Помимо этого, разработаны меры социально-экономического характера, в частности, для содействия возвращению к труд</w:t>
      </w:r>
      <w:r w:rsidRPr="00813AE4">
        <w:t>о</w:t>
      </w:r>
      <w:r w:rsidRPr="00813AE4">
        <w:t>вой жизни или выплаты компенсации всем лицам, ставшим жертвами "общен</w:t>
      </w:r>
      <w:r w:rsidRPr="00813AE4">
        <w:t>а</w:t>
      </w:r>
      <w:r w:rsidRPr="00813AE4">
        <w:t>циональной трагедии". Наконец, в постановлении предусмотрены такие пол</w:t>
      </w:r>
      <w:r w:rsidRPr="00813AE4">
        <w:t>и</w:t>
      </w:r>
      <w:r w:rsidRPr="00813AE4">
        <w:t>тические меры, как запрет на участие в политической деятельности всем лицам, которые, используя религию, внесли свою лепту в "общенациональную траг</w:t>
      </w:r>
      <w:r w:rsidRPr="00813AE4">
        <w:t>е</w:t>
      </w:r>
      <w:r w:rsidRPr="00813AE4">
        <w:t>дию", а также запрет любых преследований, как индивидуальных, так и колле</w:t>
      </w:r>
      <w:r w:rsidRPr="00813AE4">
        <w:t>к</w:t>
      </w:r>
      <w:r w:rsidRPr="00813AE4">
        <w:t>тивных, военнослужащих или сотрудников правоохранительных органов Ре</w:t>
      </w:r>
      <w:r w:rsidRPr="00813AE4">
        <w:t>с</w:t>
      </w:r>
      <w:r w:rsidRPr="00813AE4">
        <w:t>публики за действия, совершенные в целях защиты населения и имущества, с</w:t>
      </w:r>
      <w:r w:rsidRPr="00813AE4">
        <w:t>о</w:t>
      </w:r>
      <w:r w:rsidRPr="00813AE4">
        <w:t>хранения государства и охраны институтов Республики.</w:t>
      </w:r>
    </w:p>
    <w:p w:rsidR="001D677D" w:rsidRPr="00813AE4" w:rsidRDefault="001D677D" w:rsidP="001D677D">
      <w:pPr>
        <w:pStyle w:val="SingleTxtGR"/>
      </w:pPr>
      <w:r w:rsidRPr="00813AE4">
        <w:t>4.7</w:t>
      </w:r>
      <w:r w:rsidRPr="00813AE4">
        <w:tab/>
        <w:t>Помимо создания компенсационных фондов для всех жертв "общенаци</w:t>
      </w:r>
      <w:r w:rsidRPr="00813AE4">
        <w:t>о</w:t>
      </w:r>
      <w:r w:rsidRPr="00813AE4">
        <w:t>нальной трагедии" суверенный народ Алжира согласился, по утверждению го</w:t>
      </w:r>
      <w:r w:rsidRPr="00813AE4">
        <w:t>с</w:t>
      </w:r>
      <w:r w:rsidRPr="00813AE4">
        <w:t>ударства-участника, встать на путь национального примирения, которое являе</w:t>
      </w:r>
      <w:r w:rsidRPr="00813AE4">
        <w:t>т</w:t>
      </w:r>
      <w:r w:rsidRPr="00813AE4">
        <w:t>ся единственным способом залечить существующие раны. Государство-участник настаивает на том, что провозглашение Хартии мира и национального примирения свидетельствует о стремлении избежать судебных споров, разобл</w:t>
      </w:r>
      <w:r w:rsidRPr="00813AE4">
        <w:t>а</w:t>
      </w:r>
      <w:r w:rsidRPr="00813AE4">
        <w:t>чений со стороны средств массовой информации и сведения политических сч</w:t>
      </w:r>
      <w:r w:rsidRPr="00813AE4">
        <w:t>е</w:t>
      </w:r>
      <w:r w:rsidRPr="00813AE4">
        <w:t>тов. В этой связи государство-участник полагает, что претензии автора вполне могут быть урегулированы в рамках внутреннего глобального механизма, предусмотренного п</w:t>
      </w:r>
      <w:r w:rsidRPr="00813AE4">
        <w:t>о</w:t>
      </w:r>
      <w:r w:rsidRPr="00813AE4">
        <w:t>ложениями Хартии.</w:t>
      </w:r>
    </w:p>
    <w:p w:rsidR="001D677D" w:rsidRPr="00813AE4" w:rsidRDefault="001D677D" w:rsidP="001D677D">
      <w:pPr>
        <w:pStyle w:val="SingleTxtGR"/>
      </w:pPr>
      <w:r w:rsidRPr="00813AE4">
        <w:t>4.8</w:t>
      </w:r>
      <w:r w:rsidRPr="00813AE4">
        <w:tab/>
        <w:t>Государство-участник просит Комитет констатировать сходство описа</w:t>
      </w:r>
      <w:r w:rsidRPr="00813AE4">
        <w:t>н</w:t>
      </w:r>
      <w:r w:rsidRPr="00813AE4">
        <w:t>ных автором фактов и ситуаций с фактами и ситуациями, которые описывали авторы представленных ранее сообщений, упоминаемых в первоначальной з</w:t>
      </w:r>
      <w:r w:rsidRPr="00813AE4">
        <w:t>а</w:t>
      </w:r>
      <w:r w:rsidRPr="00813AE4">
        <w:t>писке от 3</w:t>
      </w:r>
      <w:r w:rsidR="00B14339">
        <w:t> марта</w:t>
      </w:r>
      <w:r w:rsidRPr="00813AE4">
        <w:t xml:space="preserve"> 2009</w:t>
      </w:r>
      <w:r w:rsidR="00B14339">
        <w:t> года</w:t>
      </w:r>
      <w:r w:rsidRPr="00813AE4">
        <w:t>, и принять во внимание социально-политическую ситуацию и уровень безопасности в тот период, когда эти факты имели место. Оно также просит сделать вывод о том, что автор не исчерпал все внутренние средства правовой защиты, признать, что власти государства-участника создали внутренний механизм для рассмотрения и глобального урег</w:t>
      </w:r>
      <w:r w:rsidRPr="00813AE4">
        <w:t>у</w:t>
      </w:r>
      <w:r w:rsidRPr="00813AE4">
        <w:t>лирования случаев, о которых говорится в сообщениях, в соответствии с положениями о мире и</w:t>
      </w:r>
      <w:r w:rsidR="00B14339">
        <w:t> </w:t>
      </w:r>
      <w:r w:rsidRPr="00813AE4">
        <w:t>национальном примирении, которые согласуются с принципами Устава Орг</w:t>
      </w:r>
      <w:r w:rsidRPr="00813AE4">
        <w:t>а</w:t>
      </w:r>
      <w:r w:rsidRPr="00813AE4">
        <w:t>низации Объединенных Наций, а также последующих пактов и конвенций, об</w:t>
      </w:r>
      <w:r w:rsidRPr="00813AE4">
        <w:t>ъ</w:t>
      </w:r>
      <w:r w:rsidRPr="00813AE4">
        <w:t>явить сообщение неприемлемым и предложить автору лучше обосновать свою жалобу.</w:t>
      </w:r>
    </w:p>
    <w:p w:rsidR="001D677D" w:rsidRPr="00813AE4" w:rsidRDefault="001D677D" w:rsidP="001D677D">
      <w:pPr>
        <w:pStyle w:val="H23GR"/>
      </w:pPr>
      <w:r w:rsidRPr="00813AE4">
        <w:tab/>
      </w:r>
      <w:r w:rsidRPr="00813AE4">
        <w:tab/>
        <w:t>Дополнительные замечания государства-участника относительно приемлемости сообщения</w:t>
      </w:r>
    </w:p>
    <w:p w:rsidR="001D677D" w:rsidRPr="00813AE4" w:rsidRDefault="001D677D" w:rsidP="001D677D">
      <w:pPr>
        <w:pStyle w:val="SingleTxtGR"/>
      </w:pPr>
      <w:r w:rsidRPr="00813AE4">
        <w:t>5.1</w:t>
      </w:r>
      <w:r w:rsidRPr="00813AE4">
        <w:tab/>
        <w:t>4</w:t>
      </w:r>
      <w:r w:rsidR="00B14339">
        <w:t> октября</w:t>
      </w:r>
      <w:r w:rsidRPr="00813AE4">
        <w:t xml:space="preserve"> 2011</w:t>
      </w:r>
      <w:r w:rsidR="00B14339">
        <w:t> года</w:t>
      </w:r>
      <w:r w:rsidRPr="00813AE4">
        <w:t xml:space="preserve"> в дополнение к Основному меморандуму госуда</w:t>
      </w:r>
      <w:r w:rsidRPr="00813AE4">
        <w:t>р</w:t>
      </w:r>
      <w:r w:rsidRPr="00813AE4">
        <w:t>ство-участник также направило Комитету памятную записку, в которой оно з</w:t>
      </w:r>
      <w:r w:rsidRPr="00813AE4">
        <w:t>а</w:t>
      </w:r>
      <w:r w:rsidRPr="00813AE4">
        <w:t>давалось вопросом о конечной цели представления в Комитет с начала 2009</w:t>
      </w:r>
      <w:r w:rsidR="00B14339">
        <w:t> года</w:t>
      </w:r>
      <w:r w:rsidRPr="00813AE4">
        <w:t xml:space="preserve"> целого ряда индивидуальных сообщений, что, по мнению госуда</w:t>
      </w:r>
      <w:r w:rsidRPr="00813AE4">
        <w:t>р</w:t>
      </w:r>
      <w:r w:rsidRPr="00813AE4">
        <w:t>ства-участника, является процессуальным злоупотреблением, направленным на то, чтобы заставить Комитет заняться глобальным историческим вопросом, причины и обстоятельства возникновения которого Комитету неизвестны. Гос</w:t>
      </w:r>
      <w:r w:rsidRPr="00813AE4">
        <w:t>у</w:t>
      </w:r>
      <w:r w:rsidRPr="00813AE4">
        <w:t>дарство-участник обращает внимание на то, что все эти "индивидуальные" с</w:t>
      </w:r>
      <w:r w:rsidRPr="00813AE4">
        <w:t>о</w:t>
      </w:r>
      <w:r w:rsidRPr="00813AE4">
        <w:t>общения посвящены описанию общего контекста, на фоне которого имели м</w:t>
      </w:r>
      <w:r w:rsidRPr="00813AE4">
        <w:t>е</w:t>
      </w:r>
      <w:r w:rsidRPr="00813AE4">
        <w:t>сто исчезнов</w:t>
      </w:r>
      <w:r>
        <w:t>ения, и действиям исключительно</w:t>
      </w:r>
      <w:r w:rsidRPr="00813AE4">
        <w:t xml:space="preserve"> правоохранительных органов. В</w:t>
      </w:r>
      <w:r>
        <w:t> </w:t>
      </w:r>
      <w:r w:rsidRPr="00813AE4">
        <w:t>них никогда ничего не говорится о действиях различных вооруженных гру</w:t>
      </w:r>
      <w:r w:rsidRPr="00813AE4">
        <w:t>п</w:t>
      </w:r>
      <w:r w:rsidRPr="00813AE4">
        <w:t>пировок, использовавших преступные методы фальсификации</w:t>
      </w:r>
      <w:r w:rsidR="00B14339">
        <w:t>, для того</w:t>
      </w:r>
      <w:r w:rsidRPr="00813AE4">
        <w:t xml:space="preserve"> чтобы п</w:t>
      </w:r>
      <w:r w:rsidRPr="00813AE4">
        <w:t>е</w:t>
      </w:r>
      <w:r w:rsidRPr="00813AE4">
        <w:t>реложить ответственность на вооруженные силы.</w:t>
      </w:r>
    </w:p>
    <w:p w:rsidR="001D677D" w:rsidRPr="00813AE4" w:rsidRDefault="001D677D" w:rsidP="001D677D">
      <w:pPr>
        <w:pStyle w:val="SingleTxtGR"/>
      </w:pPr>
      <w:r w:rsidRPr="00813AE4">
        <w:t>5.2</w:t>
      </w:r>
      <w:r w:rsidRPr="00813AE4">
        <w:tab/>
        <w:t>Государство-участник сообщает, что оно не намерено высказываться по существу вышеупомянутых сообщений до тех пор, пока не будет принято р</w:t>
      </w:r>
      <w:r w:rsidRPr="00813AE4">
        <w:t>е</w:t>
      </w:r>
      <w:r w:rsidRPr="00813AE4">
        <w:t>шение относительно их приемлемости. Оно доба</w:t>
      </w:r>
      <w:r w:rsidRPr="00813AE4">
        <w:t>в</w:t>
      </w:r>
      <w:r w:rsidRPr="00813AE4">
        <w:t>ляет, что любой судебный или квазисудебный орган обязан сначала рассмотреть преюдициальные вопросы и</w:t>
      </w:r>
      <w:r>
        <w:t> </w:t>
      </w:r>
      <w:r w:rsidRPr="00813AE4">
        <w:t>только затем приступить к рассмотрению вопросов существа. По мнению го</w:t>
      </w:r>
      <w:r w:rsidRPr="00813AE4">
        <w:t>с</w:t>
      </w:r>
      <w:r w:rsidRPr="00813AE4">
        <w:t>ударства-участника, принятое в настоящем случае решение о совместном и о</w:t>
      </w:r>
      <w:r w:rsidRPr="00813AE4">
        <w:t>д</w:t>
      </w:r>
      <w:r w:rsidRPr="00813AE4">
        <w:t>новременном рассмотрении приемлемости и существа сообщения, которое к</w:t>
      </w:r>
      <w:r>
        <w:t> </w:t>
      </w:r>
      <w:r w:rsidRPr="00813AE4">
        <w:t>тому же не было согласовано, ставит под сомнение возможность надлежащего рассмотрения представленных сообщений с точки зрения как их глобального характера, так и присущих им индивидуальных особенностей. Ссылаясь на правила процедуры Комитета, государство-участник отмечает, что положения о</w:t>
      </w:r>
      <w:r>
        <w:t> </w:t>
      </w:r>
      <w:r w:rsidRPr="00813AE4">
        <w:t>рассмотрении Комитетом приемлемости сообщений и вопросов существа с</w:t>
      </w:r>
      <w:r w:rsidRPr="00813AE4">
        <w:t>о</w:t>
      </w:r>
      <w:r w:rsidRPr="00813AE4">
        <w:t>держатся в разных разделах и что, соответственно, эти вопросы можно было бы рассматривать отдельно. Что касается исчерпания внутренних средств правовой защиты, государство-участник подчеркивает, что жалобы и запросы автора не были поданы в том порядке, который позволил бы рассматривать их в наци</w:t>
      </w:r>
      <w:r w:rsidRPr="00813AE4">
        <w:t>о</w:t>
      </w:r>
      <w:r w:rsidRPr="00813AE4">
        <w:t>нальных судебных органах.</w:t>
      </w:r>
    </w:p>
    <w:p w:rsidR="001D677D" w:rsidRPr="00813AE4" w:rsidRDefault="001D677D" w:rsidP="001D677D">
      <w:pPr>
        <w:pStyle w:val="SingleTxtGR"/>
      </w:pPr>
      <w:r w:rsidRPr="00813AE4">
        <w:t>5.3</w:t>
      </w:r>
      <w:r w:rsidRPr="00813AE4">
        <w:tab/>
        <w:t>Ссылаясь на предыдущие решения Комитета, касающиеся обязанности исчерпать внутренние средства правовой защиты, государство-участник вновь подчеркивает, что сомнения в перспективах успеха, а также опасения по поводу затяжного характера разбирательства не освобождают авторов сообщений от необходимости исчерпать эти средства. Что касается утверждения о полной н</w:t>
      </w:r>
      <w:r w:rsidRPr="00813AE4">
        <w:t>е</w:t>
      </w:r>
      <w:r w:rsidRPr="00813AE4">
        <w:t>возможности использования каких-либо средств правовой защиты в подобных случаях вследствие принятия Хартии, государство-участник заявляет, что, п</w:t>
      </w:r>
      <w:r w:rsidRPr="00813AE4">
        <w:t>о</w:t>
      </w:r>
      <w:r w:rsidRPr="00813AE4">
        <w:t>скольку автор не предпринял никаких попыток представить свои утверждения на рассмотрение, алжирские государственные органы не могли сформировать мнение о сфере действия и пределах применимости положений Хартии. Кроме того, согласно указанному пост</w:t>
      </w:r>
      <w:r w:rsidRPr="00813AE4">
        <w:t>а</w:t>
      </w:r>
      <w:r w:rsidRPr="00813AE4">
        <w:t>новлению, неприемлемыми следует признавать только те жалобы, которые были поданы в отношении "представителей сил обороны и безопасности Республики" в связи с действиями, совершенными ими в соответствии с поставленными перед ними основными задачами по защите Республики, такими как защита людей и имущества, сохранение государства и</w:t>
      </w:r>
      <w:r>
        <w:t> </w:t>
      </w:r>
      <w:r w:rsidRPr="00813AE4">
        <w:t>охра</w:t>
      </w:r>
      <w:r w:rsidR="00B14339">
        <w:t>на его институтов. Вместе с тем</w:t>
      </w:r>
      <w:r w:rsidRPr="00813AE4">
        <w:t xml:space="preserve"> любые заявления о действиях, которые вменяются в вину военнослужащим и сотрудникам правоохранительных орг</w:t>
      </w:r>
      <w:r w:rsidRPr="00813AE4">
        <w:t>а</w:t>
      </w:r>
      <w:r w:rsidRPr="00813AE4">
        <w:t>нов и которые выходят за эти рамки (и могут быть доказаны), подлежат рассл</w:t>
      </w:r>
      <w:r w:rsidRPr="00813AE4">
        <w:t>е</w:t>
      </w:r>
      <w:r w:rsidRPr="00813AE4">
        <w:t>дованию компетен</w:t>
      </w:r>
      <w:r w:rsidRPr="00813AE4">
        <w:t>т</w:t>
      </w:r>
      <w:r w:rsidRPr="00813AE4">
        <w:t>ными судебными органами.</w:t>
      </w:r>
    </w:p>
    <w:p w:rsidR="001D677D" w:rsidRPr="00813AE4" w:rsidRDefault="001D677D" w:rsidP="001D677D">
      <w:pPr>
        <w:pStyle w:val="SingleTxtGR"/>
      </w:pPr>
      <w:r w:rsidRPr="00813AE4">
        <w:t>5.4</w:t>
      </w:r>
      <w:r w:rsidRPr="00813AE4">
        <w:tab/>
        <w:t>12</w:t>
      </w:r>
      <w:r w:rsidR="00B14339">
        <w:t> января</w:t>
      </w:r>
      <w:r w:rsidRPr="00813AE4">
        <w:t xml:space="preserve"> 2012</w:t>
      </w:r>
      <w:r w:rsidR="00B14339">
        <w:t> года</w:t>
      </w:r>
      <w:r w:rsidRPr="00813AE4">
        <w:t xml:space="preserve"> государство-участник вновь заявило о том, что оно оспаривает приемлемость данного сообщения, сославшись на свой "Основной меморандум о неприемлемости индивидуальных сообщений, представляемых в</w:t>
      </w:r>
      <w:r>
        <w:t> </w:t>
      </w:r>
      <w:r w:rsidRPr="00813AE4">
        <w:t>Комитет по правам человека в связи с осуществлением Хартии мира и наци</w:t>
      </w:r>
      <w:r w:rsidRPr="00813AE4">
        <w:t>о</w:t>
      </w:r>
      <w:r w:rsidRPr="00813AE4">
        <w:t>нального примирения" и на дополнительную записку к нему.</w:t>
      </w:r>
    </w:p>
    <w:p w:rsidR="001D677D" w:rsidRPr="00813AE4" w:rsidRDefault="001D677D" w:rsidP="001D677D">
      <w:pPr>
        <w:pStyle w:val="H23GR"/>
      </w:pPr>
      <w:r w:rsidRPr="00813AE4">
        <w:tab/>
      </w:r>
      <w:r w:rsidRPr="00813AE4">
        <w:tab/>
        <w:t xml:space="preserve">Комментарии автора </w:t>
      </w:r>
      <w:r w:rsidR="00CF2D62">
        <w:t>по</w:t>
      </w:r>
      <w:r w:rsidRPr="00813AE4">
        <w:t xml:space="preserve"> замечаниям государства-участника</w:t>
      </w:r>
    </w:p>
    <w:p w:rsidR="001D677D" w:rsidRPr="00813AE4" w:rsidRDefault="001D677D" w:rsidP="001D677D">
      <w:pPr>
        <w:pStyle w:val="SingleTxtGR"/>
      </w:pPr>
      <w:r w:rsidRPr="00813AE4">
        <w:t>6.1</w:t>
      </w:r>
      <w:r w:rsidRPr="00813AE4">
        <w:tab/>
        <w:t>12</w:t>
      </w:r>
      <w:r w:rsidR="00B14339">
        <w:t> марта</w:t>
      </w:r>
      <w:r w:rsidRPr="00813AE4">
        <w:t xml:space="preserve"> 2012</w:t>
      </w:r>
      <w:r w:rsidR="00B14339">
        <w:t> года</w:t>
      </w:r>
      <w:r w:rsidRPr="00813AE4">
        <w:t xml:space="preserve"> автор представил комментарии к замечаниям госуда</w:t>
      </w:r>
      <w:r w:rsidRPr="00813AE4">
        <w:t>р</w:t>
      </w:r>
      <w:r w:rsidRPr="00813AE4">
        <w:t>ства-участника, касающимся приемлемости сообщения, а также дополнител</w:t>
      </w:r>
      <w:r w:rsidRPr="00813AE4">
        <w:t>ь</w:t>
      </w:r>
      <w:r w:rsidRPr="00813AE4">
        <w:t>ные аргументы по существу жалобы.</w:t>
      </w:r>
    </w:p>
    <w:p w:rsidR="001D677D" w:rsidRPr="00813AE4" w:rsidRDefault="001D677D" w:rsidP="001D677D">
      <w:pPr>
        <w:pStyle w:val="SingleTxtGR"/>
      </w:pPr>
      <w:r w:rsidRPr="00813AE4">
        <w:t>6.2</w:t>
      </w:r>
      <w:r w:rsidRPr="00813AE4">
        <w:tab/>
        <w:t>Автор отмечает, что государство-участник признало компетенцию Ком</w:t>
      </w:r>
      <w:r w:rsidRPr="00813AE4">
        <w:t>и</w:t>
      </w:r>
      <w:r w:rsidRPr="00813AE4">
        <w:t>тета рассматривать сообщения, представленные отдельными лицами. Эта ко</w:t>
      </w:r>
      <w:r w:rsidRPr="00813AE4">
        <w:t>м</w:t>
      </w:r>
      <w:r w:rsidRPr="00813AE4">
        <w:t>петенция носит общий характер, и ее осуществление Комитетом не подлежит оценке со стороны государства-участника. В частности, государство-участник не может судить об уместности рассмотрения Комитетом того или иного ко</w:t>
      </w:r>
      <w:r w:rsidRPr="00813AE4">
        <w:t>н</w:t>
      </w:r>
      <w:r w:rsidRPr="00813AE4">
        <w:t>кретного дела. Такая оценка является прерогативой Комитета, и она проводи</w:t>
      </w:r>
      <w:r w:rsidRPr="00813AE4">
        <w:t>т</w:t>
      </w:r>
      <w:r w:rsidRPr="00813AE4">
        <w:t>ся, когда Комитет приступает к рассмотрению сообщения. По мнению автора, создание государством-участником внутреннего глобального механизма урег</w:t>
      </w:r>
      <w:r w:rsidRPr="00813AE4">
        <w:t>у</w:t>
      </w:r>
      <w:r w:rsidRPr="00813AE4">
        <w:t>лирования не может противопоставляться работе Комитета по правам человека и служить основанием для признания того или иного сообщения неприемл</w:t>
      </w:r>
      <w:r w:rsidRPr="00813AE4">
        <w:t>е</w:t>
      </w:r>
      <w:r w:rsidRPr="00813AE4">
        <w:t>мым. Применительно к рассматриваемому случаю, принятие законодательных мер само по себе стало нарушением прав, предусмотренных Пактом, на что уже обращал внимание Комитет</w:t>
      </w:r>
      <w:r w:rsidRPr="00813AE4">
        <w:rPr>
          <w:rStyle w:val="FootnoteReference"/>
        </w:rPr>
        <w:footnoteReference w:id="14"/>
      </w:r>
      <w:r w:rsidRPr="00813AE4">
        <w:t>.</w:t>
      </w:r>
    </w:p>
    <w:p w:rsidR="001D677D" w:rsidRPr="00813AE4" w:rsidRDefault="001D677D" w:rsidP="001D677D">
      <w:pPr>
        <w:pStyle w:val="SingleTxtGR"/>
      </w:pPr>
      <w:r w:rsidRPr="00813AE4">
        <w:t>6.3</w:t>
      </w:r>
      <w:r w:rsidRPr="00813AE4">
        <w:tab/>
        <w:t>Автор напоминает, что объявление государством-участником чрезвыча</w:t>
      </w:r>
      <w:r w:rsidRPr="00813AE4">
        <w:t>й</w:t>
      </w:r>
      <w:r w:rsidRPr="00813AE4">
        <w:t>ного положения 9</w:t>
      </w:r>
      <w:r w:rsidR="00B14339">
        <w:t> февраля</w:t>
      </w:r>
      <w:r w:rsidRPr="00813AE4">
        <w:t xml:space="preserve"> 1992</w:t>
      </w:r>
      <w:r w:rsidR="00B14339">
        <w:t> года</w:t>
      </w:r>
      <w:r w:rsidRPr="00813AE4">
        <w:t xml:space="preserve"> никоим образом не затрагивает право о</w:t>
      </w:r>
      <w:r w:rsidRPr="00813AE4">
        <w:t>т</w:t>
      </w:r>
      <w:r w:rsidRPr="00813AE4">
        <w:t>дельных лиц направлять сообщения в Комитет. Действительно, статья</w:t>
      </w:r>
      <w:r>
        <w:t> </w:t>
      </w:r>
      <w:r w:rsidRPr="00813AE4">
        <w:t>4 Пакта предусматривает, что объявление чрезвычайного положения может служить о</w:t>
      </w:r>
      <w:r w:rsidRPr="00813AE4">
        <w:t>с</w:t>
      </w:r>
      <w:r w:rsidRPr="00813AE4">
        <w:t>нованием для отступления лишь от отдельных положений самого Пакта и не з</w:t>
      </w:r>
      <w:r w:rsidRPr="00813AE4">
        <w:t>а</w:t>
      </w:r>
      <w:r w:rsidRPr="00813AE4">
        <w:t>трагивает осуществления прав, закрепленных в Факультативном протоколе к</w:t>
      </w:r>
      <w:r>
        <w:t> </w:t>
      </w:r>
      <w:r w:rsidRPr="00813AE4">
        <w:t xml:space="preserve">нему. </w:t>
      </w:r>
    </w:p>
    <w:p w:rsidR="001D677D" w:rsidRPr="00813AE4" w:rsidRDefault="001D677D" w:rsidP="001D677D">
      <w:pPr>
        <w:pStyle w:val="SingleTxtGR"/>
      </w:pPr>
      <w:r w:rsidRPr="00813AE4">
        <w:t>6.4</w:t>
      </w:r>
      <w:r w:rsidRPr="00813AE4">
        <w:tab/>
        <w:t>Кроме того, автор возвращается к ар</w:t>
      </w:r>
      <w:r w:rsidR="007605A6">
        <w:t>гументу государства-участника о </w:t>
      </w:r>
      <w:r w:rsidRPr="00813AE4">
        <w:t>том, что в соответствии с требованием, касающимся исчерпания внутренних средств правовой защиты, автор был обязан потребовать возбуждения уголо</w:t>
      </w:r>
      <w:r w:rsidRPr="00813AE4">
        <w:t>в</w:t>
      </w:r>
      <w:r w:rsidRPr="00813AE4">
        <w:t>ного дела путем подачи жалобы следственному судье и одновременно пред</w:t>
      </w:r>
      <w:r w:rsidRPr="00813AE4">
        <w:t>ъ</w:t>
      </w:r>
      <w:r w:rsidRPr="00813AE4">
        <w:t>явить гра</w:t>
      </w:r>
      <w:r w:rsidRPr="00813AE4">
        <w:t>ж</w:t>
      </w:r>
      <w:r w:rsidRPr="00813AE4">
        <w:t>данский иск согласно статье</w:t>
      </w:r>
      <w:r>
        <w:t> </w:t>
      </w:r>
      <w:r w:rsidRPr="00813AE4">
        <w:t>72 и последующим статьям Уголовно-процессуального кодекса. Он напоминает, что под угрозой признания жалобы неприемлемой эта процедура предусматривает об</w:t>
      </w:r>
      <w:r w:rsidRPr="00813AE4">
        <w:t>я</w:t>
      </w:r>
      <w:r w:rsidRPr="00813AE4">
        <w:t>зательное внесение залога на оплату "процессуальных издержек", размер которых произвольно определяет следственный судья. Автор полагает, что такая процедура остается сдержива</w:t>
      </w:r>
      <w:r w:rsidRPr="00813AE4">
        <w:t>ю</w:t>
      </w:r>
      <w:r w:rsidRPr="00813AE4">
        <w:t>щим финансовым фактором для граждан, которые не имеют к тому же никаких гарантий, что она действительно приведет к уголовному преследованию вино</w:t>
      </w:r>
      <w:r w:rsidRPr="00813AE4">
        <w:t>в</w:t>
      </w:r>
      <w:r w:rsidRPr="00813AE4">
        <w:t>ных. По мнению автора, возбуждение уголовного дела в связи со столь тяжкими преступлениями, о которых идет речь в рассматриваемом случае, должно ос</w:t>
      </w:r>
      <w:r w:rsidRPr="00813AE4">
        <w:t>у</w:t>
      </w:r>
      <w:r w:rsidRPr="00813AE4">
        <w:t>ществляться компетентными органами. Автор ссылается на соответствующие решения Комитета</w:t>
      </w:r>
      <w:r w:rsidRPr="00813AE4">
        <w:rPr>
          <w:rStyle w:val="FootnoteReference"/>
        </w:rPr>
        <w:footnoteReference w:id="15"/>
      </w:r>
      <w:r w:rsidRPr="00813AE4">
        <w:t xml:space="preserve">. </w:t>
      </w:r>
    </w:p>
    <w:p w:rsidR="001D677D" w:rsidRPr="00813AE4" w:rsidRDefault="001D677D" w:rsidP="001D677D">
      <w:pPr>
        <w:pStyle w:val="SingleTxtGR"/>
      </w:pPr>
      <w:r w:rsidRPr="00813AE4">
        <w:t>6.5 Автор напоминает, что после ареста сына он пытался узнать о его судьбе в</w:t>
      </w:r>
      <w:r>
        <w:t> </w:t>
      </w:r>
      <w:r w:rsidRPr="00813AE4">
        <w:t>правоохранительных органах, но безуспешно. Он также обращался в прокур</w:t>
      </w:r>
      <w:r w:rsidRPr="00813AE4">
        <w:t>а</w:t>
      </w:r>
      <w:r w:rsidRPr="00813AE4">
        <w:t>туру при суде Константины, в национальные судебные и государственные орг</w:t>
      </w:r>
      <w:r w:rsidRPr="00813AE4">
        <w:t>а</w:t>
      </w:r>
      <w:r w:rsidRPr="00813AE4">
        <w:t>ны, правозащитные учреждения</w:t>
      </w:r>
      <w:r w:rsidR="00B14339">
        <w:t>, с тем</w:t>
      </w:r>
      <w:r w:rsidRPr="00813AE4">
        <w:t xml:space="preserve"> чтобы были проведены расследования. Однако эти органы так и не провели никакого расследования предполагаемых нарушений. Следовательно, упрекнуть автора и его семью в том, что они не и</w:t>
      </w:r>
      <w:r w:rsidRPr="00813AE4">
        <w:t>с</w:t>
      </w:r>
      <w:r w:rsidRPr="00813AE4">
        <w:t>черпали внутренние средства правовой защиты, нельзя, поскольку именно го</w:t>
      </w:r>
      <w:r w:rsidRPr="00813AE4">
        <w:t>с</w:t>
      </w:r>
      <w:r w:rsidRPr="00813AE4">
        <w:t>ударство-участник не провело расследования, которые оно должно было пров</w:t>
      </w:r>
      <w:r w:rsidRPr="00813AE4">
        <w:t>е</w:t>
      </w:r>
      <w:r w:rsidRPr="00813AE4">
        <w:t>сти.</w:t>
      </w:r>
    </w:p>
    <w:p w:rsidR="001D677D" w:rsidRPr="00813AE4" w:rsidRDefault="001D677D" w:rsidP="001D677D">
      <w:pPr>
        <w:pStyle w:val="SingleTxtGR"/>
      </w:pPr>
      <w:r w:rsidRPr="00813AE4">
        <w:t>6.6</w:t>
      </w:r>
      <w:r w:rsidRPr="00813AE4">
        <w:tab/>
        <w:t>Автор также напоминает о запрете на возбуждение индивидуальных или коллективных уголовных исков против военнослужащих и сотрудников прав</w:t>
      </w:r>
      <w:r w:rsidRPr="00813AE4">
        <w:t>о</w:t>
      </w:r>
      <w:r w:rsidRPr="00813AE4">
        <w:t>охранительных органов в соответствии со статьей</w:t>
      </w:r>
      <w:r>
        <w:t> </w:t>
      </w:r>
      <w:r w:rsidRPr="00813AE4">
        <w:t>45 постановления</w:t>
      </w:r>
      <w:r w:rsidR="00B14339">
        <w:t> № </w:t>
      </w:r>
      <w:r w:rsidRPr="00813AE4">
        <w:t>06-01. Отсюда автор делает вывод о том, что постановление</w:t>
      </w:r>
      <w:r w:rsidR="00B14339">
        <w:t> № </w:t>
      </w:r>
      <w:r w:rsidRPr="00813AE4">
        <w:t>06-01 действительно исключает</w:t>
      </w:r>
      <w:r>
        <w:t xml:space="preserve"> любую возможность возбуждения </w:t>
      </w:r>
      <w:r w:rsidRPr="00813AE4">
        <w:t>гражданского или уголовного и</w:t>
      </w:r>
      <w:r w:rsidRPr="00813AE4">
        <w:t>с</w:t>
      </w:r>
      <w:r w:rsidRPr="00813AE4">
        <w:t>ка в связи с преступлениями, совершенными силовыми структурами во время гражданской войны, и что алжирские судебные органы обязаны признавать н</w:t>
      </w:r>
      <w:r w:rsidRPr="00813AE4">
        <w:t>е</w:t>
      </w:r>
      <w:r w:rsidRPr="00813AE4">
        <w:t>приемлемыми любые иски в этом отношении.</w:t>
      </w:r>
    </w:p>
    <w:p w:rsidR="001D677D" w:rsidRPr="00813AE4" w:rsidRDefault="001D677D" w:rsidP="001D677D">
      <w:pPr>
        <w:pStyle w:val="SingleTxtGR"/>
      </w:pPr>
      <w:r w:rsidRPr="00813AE4">
        <w:t>6.7</w:t>
      </w:r>
      <w:r w:rsidRPr="00813AE4">
        <w:tab/>
        <w:t>Что же касается аргумента государства-участника о том, что оно вправе требовать рассмотрения вопроса о приемлемости сообщения отдельно от в</w:t>
      </w:r>
      <w:r w:rsidRPr="00813AE4">
        <w:t>о</w:t>
      </w:r>
      <w:r w:rsidRPr="00813AE4">
        <w:t>просов существа, автор ссылается на пункт</w:t>
      </w:r>
      <w:r>
        <w:t> </w:t>
      </w:r>
      <w:r w:rsidRPr="00813AE4">
        <w:t>2</w:t>
      </w:r>
      <w:r w:rsidR="00B14339">
        <w:t xml:space="preserve"> статьи </w:t>
      </w:r>
      <w:r w:rsidRPr="00813AE4">
        <w:t>97 правил процедуры К</w:t>
      </w:r>
      <w:r w:rsidRPr="00813AE4">
        <w:t>о</w:t>
      </w:r>
      <w:r w:rsidRPr="00813AE4">
        <w:t>митета, где предусмотрено, что Рабочая группа или Специальный докладчик в</w:t>
      </w:r>
      <w:r>
        <w:t> </w:t>
      </w:r>
      <w:r w:rsidRPr="00813AE4">
        <w:t>силу исключительного характера дела могут запросить письменный ответ, к</w:t>
      </w:r>
      <w:r w:rsidRPr="00813AE4">
        <w:t>а</w:t>
      </w:r>
      <w:r w:rsidRPr="00813AE4">
        <w:t>сающийся только вопроса о приемлемости. Таким образом, эта прерогатива не принадлежит ни автору сообщения, ни государству-участнику, а относится только к компетенции Рабочей группы или Специального докладчика. Автор полагает, что государство-участник должно было представить объяснения или замечания, которые касались бы как приемлемости сообщения, так и его сущ</w:t>
      </w:r>
      <w:r w:rsidRPr="00813AE4">
        <w:t>е</w:t>
      </w:r>
      <w:r w:rsidRPr="00813AE4">
        <w:t>ства.</w:t>
      </w:r>
    </w:p>
    <w:p w:rsidR="001D677D" w:rsidRPr="00813AE4" w:rsidRDefault="001D677D" w:rsidP="001D677D">
      <w:pPr>
        <w:pStyle w:val="SingleTxtGR"/>
      </w:pPr>
      <w:r w:rsidRPr="00813AE4">
        <w:t>6.8</w:t>
      </w:r>
      <w:r w:rsidRPr="00813AE4">
        <w:tab/>
        <w:t>Наконец, автор отмечает, что, поскольку государство-участник не пре</w:t>
      </w:r>
      <w:r w:rsidRPr="00813AE4">
        <w:t>д</w:t>
      </w:r>
      <w:r w:rsidRPr="00813AE4">
        <w:t>ставило никаких замечаний по существу сообщения, Комитету предстоит пр</w:t>
      </w:r>
      <w:r w:rsidRPr="00813AE4">
        <w:t>и</w:t>
      </w:r>
      <w:r w:rsidRPr="00813AE4">
        <w:t>нять решение на основе имеющейся информации, и что в отсутствие опрове</w:t>
      </w:r>
      <w:r w:rsidRPr="00813AE4">
        <w:t>р</w:t>
      </w:r>
      <w:r w:rsidRPr="00813AE4">
        <w:t>жения со стороны государства-участника утверждения автора должны считат</w:t>
      </w:r>
      <w:r w:rsidRPr="00813AE4">
        <w:t>ь</w:t>
      </w:r>
      <w:r w:rsidRPr="00813AE4">
        <w:t>ся доказанными</w:t>
      </w:r>
      <w:r w:rsidRPr="00813AE4">
        <w:rPr>
          <w:rStyle w:val="FootnoteReference"/>
        </w:rPr>
        <w:footnoteReference w:id="16"/>
      </w:r>
      <w:r w:rsidRPr="00813AE4">
        <w:t>.</w:t>
      </w:r>
    </w:p>
    <w:p w:rsidR="001D677D" w:rsidRPr="00813AE4" w:rsidRDefault="001D677D" w:rsidP="001D677D">
      <w:pPr>
        <w:pStyle w:val="H23GR"/>
      </w:pPr>
      <w:r w:rsidRPr="00813AE4">
        <w:tab/>
      </w:r>
      <w:r w:rsidRPr="00813AE4">
        <w:tab/>
        <w:t>Вопросы и процедура их рассмотрения в Комитете</w:t>
      </w:r>
    </w:p>
    <w:p w:rsidR="001D677D" w:rsidRPr="00813AE4" w:rsidRDefault="001D677D" w:rsidP="001D677D">
      <w:pPr>
        <w:pStyle w:val="H4GR"/>
        <w:spacing w:before="240"/>
      </w:pPr>
      <w:r w:rsidRPr="00813AE4">
        <w:tab/>
      </w:r>
      <w:r w:rsidRPr="00813AE4">
        <w:tab/>
        <w:t>Рассмотрение вопроса о приемлемости</w:t>
      </w:r>
    </w:p>
    <w:p w:rsidR="001D677D" w:rsidRPr="00813AE4" w:rsidRDefault="001D677D" w:rsidP="001D677D">
      <w:pPr>
        <w:pStyle w:val="SingleTxtGR"/>
      </w:pPr>
      <w:r w:rsidRPr="00813AE4">
        <w:t>7.1</w:t>
      </w:r>
      <w:r w:rsidRPr="00813AE4">
        <w:tab/>
        <w:t>Комитет напоминает, что решение Специального докладчика не отделять рассмотрение вопроса о приемлемости сообщения от его рассмотрения по с</w:t>
      </w:r>
      <w:r w:rsidRPr="00813AE4">
        <w:t>у</w:t>
      </w:r>
      <w:r w:rsidRPr="00813AE4">
        <w:t>ществу (см.</w:t>
      </w:r>
      <w:r>
        <w:t> </w:t>
      </w:r>
      <w:r w:rsidRPr="00813AE4">
        <w:t>пункт</w:t>
      </w:r>
      <w:r>
        <w:t> </w:t>
      </w:r>
      <w:r w:rsidRPr="00813AE4">
        <w:t>1.2) не исключает возможность раздельного рассмотрения этих вопросов Комитетом. Прежде чем рассматривать какую-либо жалобу, и</w:t>
      </w:r>
      <w:r w:rsidRPr="00813AE4">
        <w:t>з</w:t>
      </w:r>
      <w:r w:rsidRPr="00813AE4">
        <w:t>ложенную в том или ином сообщении, Комитет по правам человека должен в</w:t>
      </w:r>
      <w:r>
        <w:t> </w:t>
      </w:r>
      <w:r w:rsidRPr="00813AE4">
        <w:t>соответствии с правилом</w:t>
      </w:r>
      <w:r>
        <w:t> </w:t>
      </w:r>
      <w:r w:rsidRPr="00813AE4">
        <w:t>93 своих правил процедуры определить, является ли данное сообщение приемлемым согласно Факул</w:t>
      </w:r>
      <w:r w:rsidRPr="00813AE4">
        <w:t>ь</w:t>
      </w:r>
      <w:r w:rsidRPr="00813AE4">
        <w:t>тативному протоколу к Пакту.</w:t>
      </w:r>
    </w:p>
    <w:p w:rsidR="001D677D" w:rsidRPr="00813AE4" w:rsidRDefault="001D677D" w:rsidP="001D677D">
      <w:pPr>
        <w:pStyle w:val="SingleTxtGR"/>
      </w:pPr>
      <w:r w:rsidRPr="00813AE4">
        <w:t>7.2</w:t>
      </w:r>
      <w:r w:rsidRPr="00813AE4">
        <w:tab/>
        <w:t>Во исполнение</w:t>
      </w:r>
      <w:r w:rsidR="00B14339">
        <w:t xml:space="preserve"> пункта </w:t>
      </w:r>
      <w:r w:rsidRPr="00813AE4">
        <w:t>2 а)</w:t>
      </w:r>
      <w:r w:rsidR="00B14339">
        <w:t xml:space="preserve"> статьи </w:t>
      </w:r>
      <w:r w:rsidRPr="00813AE4">
        <w:t xml:space="preserve">5 Факультативного протокола Комитет удостоверился в том, что это дело не рассматривается в соответствии с другой процедурой международного разбирательства или урегулирования. </w:t>
      </w:r>
    </w:p>
    <w:p w:rsidR="001D677D" w:rsidRPr="00813AE4" w:rsidRDefault="001D677D" w:rsidP="001D677D">
      <w:pPr>
        <w:pStyle w:val="SingleTxtGR"/>
      </w:pPr>
      <w:r w:rsidRPr="00813AE4">
        <w:t>7.3</w:t>
      </w:r>
      <w:r w:rsidRPr="00813AE4">
        <w:tab/>
        <w:t>Комитет отмечает, что, по мнению государства-участника, автор и его с</w:t>
      </w:r>
      <w:r w:rsidRPr="00813AE4">
        <w:t>е</w:t>
      </w:r>
      <w:r w:rsidRPr="00813AE4">
        <w:t>мья не исчерпали внутренние средства правовой защиты, поскольку они не п</w:t>
      </w:r>
      <w:r w:rsidRPr="00813AE4">
        <w:t>о</w:t>
      </w:r>
      <w:r w:rsidRPr="00813AE4">
        <w:t>дали гражданский иск следственному судье в соответствии со статьями</w:t>
      </w:r>
      <w:r>
        <w:t> </w:t>
      </w:r>
      <w:r w:rsidRPr="00813AE4">
        <w:t>72 и 73 Уголовно-процессуального кодекса. Кроме того, Комитет констатир</w:t>
      </w:r>
      <w:r w:rsidRPr="00813AE4">
        <w:t>у</w:t>
      </w:r>
      <w:r w:rsidRPr="00813AE4">
        <w:t>ет, что, как утверждает государство-участник, автор на</w:t>
      </w:r>
      <w:r w:rsidR="007605A6">
        <w:t>правлял письма в политические и </w:t>
      </w:r>
      <w:r w:rsidRPr="00813AE4">
        <w:t>административные органы и подавал жалобу представителям прокуратуры (в</w:t>
      </w:r>
      <w:r>
        <w:t> </w:t>
      </w:r>
      <w:r w:rsidRPr="00813AE4">
        <w:t>прокуратуру Республики), не возбудив при этом исковое производство или не доведя его до конца с использованием всех имеющихся возможностей обжал</w:t>
      </w:r>
      <w:r w:rsidRPr="00813AE4">
        <w:t>о</w:t>
      </w:r>
      <w:r w:rsidRPr="00813AE4">
        <w:t>вания. Комитет принимает к сведению заявление автора о том, что несколько жалоб были поданы в прокуратуру при суде Константины, однако расследов</w:t>
      </w:r>
      <w:r w:rsidRPr="00813AE4">
        <w:t>а</w:t>
      </w:r>
      <w:r w:rsidRPr="00813AE4">
        <w:t>ния предполагаемых нарушений эти органы так и не провели. Наконец, Ком</w:t>
      </w:r>
      <w:r w:rsidRPr="00813AE4">
        <w:t>и</w:t>
      </w:r>
      <w:r w:rsidRPr="00813AE4">
        <w:t>тет отмечает, что, по словам автора, статья</w:t>
      </w:r>
      <w:r>
        <w:t> </w:t>
      </w:r>
      <w:r w:rsidRPr="00813AE4">
        <w:t>46 постановления</w:t>
      </w:r>
      <w:r w:rsidR="00B14339">
        <w:t> № </w:t>
      </w:r>
      <w:r w:rsidRPr="00813AE4">
        <w:t>06-01 пред</w:t>
      </w:r>
      <w:r w:rsidRPr="00813AE4">
        <w:t>у</w:t>
      </w:r>
      <w:r w:rsidRPr="00813AE4">
        <w:t>сматривает наказание любого лица, которое обратилось с жалобой на действия, предусмо</w:t>
      </w:r>
      <w:r w:rsidRPr="00813AE4">
        <w:t>т</w:t>
      </w:r>
      <w:r w:rsidRPr="00813AE4">
        <w:t>ренные в статье</w:t>
      </w:r>
      <w:r>
        <w:t> </w:t>
      </w:r>
      <w:r w:rsidRPr="00813AE4">
        <w:t>45 этого постановления.</w:t>
      </w:r>
    </w:p>
    <w:p w:rsidR="001D677D" w:rsidRPr="00813AE4" w:rsidRDefault="001D677D" w:rsidP="001D677D">
      <w:pPr>
        <w:pStyle w:val="SingleTxtGR"/>
      </w:pPr>
      <w:r w:rsidRPr="00813AE4">
        <w:t>7.4</w:t>
      </w:r>
      <w:r w:rsidRPr="00813AE4">
        <w:tab/>
        <w:t>Комитет напоминает, что государство-участник обязано не только пров</w:t>
      </w:r>
      <w:r w:rsidRPr="00813AE4">
        <w:t>о</w:t>
      </w:r>
      <w:r w:rsidRPr="00813AE4">
        <w:t>дить тщательные расследования предполагаемых нарушений прав человека, д</w:t>
      </w:r>
      <w:r w:rsidRPr="00813AE4">
        <w:t>о</w:t>
      </w:r>
      <w:r w:rsidRPr="00813AE4">
        <w:t>веденных до сведения соответствующих органов, в частности насильственных исчезновений или посягательств на право на жизнь, но и возбуждать уг</w:t>
      </w:r>
      <w:r w:rsidRPr="00813AE4">
        <w:t>о</w:t>
      </w:r>
      <w:r w:rsidRPr="00813AE4">
        <w:t>ловные дела против всех лиц, которые могут быть виновны в этих нарушениях, прид</w:t>
      </w:r>
      <w:r w:rsidRPr="00813AE4">
        <w:t>а</w:t>
      </w:r>
      <w:r w:rsidRPr="00813AE4">
        <w:t>вать их суду и назначать им наказание</w:t>
      </w:r>
      <w:r w:rsidRPr="00813AE4">
        <w:rPr>
          <w:rStyle w:val="FootnoteReference"/>
        </w:rPr>
        <w:footnoteReference w:id="17"/>
      </w:r>
      <w:r w:rsidRPr="00813AE4">
        <w:t>. Родственники Яхьи Круми неодн</w:t>
      </w:r>
      <w:r w:rsidRPr="00813AE4">
        <w:t>о</w:t>
      </w:r>
      <w:r w:rsidRPr="00813AE4">
        <w:t>кратно обращалась в компетентные органы с заявлениями о его исчезновении, однако государство-участник не провело углубленного и тщательного расслед</w:t>
      </w:r>
      <w:r w:rsidRPr="00813AE4">
        <w:t>о</w:t>
      </w:r>
      <w:r w:rsidRPr="00813AE4">
        <w:t>вания этих событий, хотя речь шла о таком серьезном преступлении, как насильственное исчезновение. К тому же государство-участник не предостав</w:t>
      </w:r>
      <w:r w:rsidRPr="00813AE4">
        <w:t>и</w:t>
      </w:r>
      <w:r w:rsidRPr="00813AE4">
        <w:t>ло никакой информации, позволяющей прийти к выводу о существовании э</w:t>
      </w:r>
      <w:r w:rsidRPr="00813AE4">
        <w:t>ф</w:t>
      </w:r>
      <w:r w:rsidRPr="00813AE4">
        <w:t>фективных и доступных средств правовой защиты, поскольку постановл</w:t>
      </w:r>
      <w:r w:rsidRPr="00813AE4">
        <w:t>е</w:t>
      </w:r>
      <w:r w:rsidRPr="00813AE4">
        <w:t>ние</w:t>
      </w:r>
      <w:r w:rsidR="00B14339">
        <w:t> № </w:t>
      </w:r>
      <w:r w:rsidRPr="00813AE4">
        <w:t>06-01 применяется по-прежнему, несмотря на то, что Комитет рекоме</w:t>
      </w:r>
      <w:r w:rsidRPr="00813AE4">
        <w:t>н</w:t>
      </w:r>
      <w:r w:rsidRPr="00813AE4">
        <w:t>довал привести его в соответствие с положениями Пакта</w:t>
      </w:r>
      <w:r w:rsidRPr="00813AE4">
        <w:rPr>
          <w:rStyle w:val="FootnoteReference"/>
        </w:rPr>
        <w:footnoteReference w:id="18"/>
      </w:r>
      <w:r w:rsidRPr="00813AE4">
        <w:t>. Комитет полагает, что подача гражданского иска в случае совершения таких серьезных правон</w:t>
      </w:r>
      <w:r w:rsidRPr="00813AE4">
        <w:t>а</w:t>
      </w:r>
      <w:r w:rsidRPr="00813AE4">
        <w:t>рушений, о которых идет речь в настоящем сообщении, не может заменить с</w:t>
      </w:r>
      <w:r w:rsidRPr="00813AE4">
        <w:t>о</w:t>
      </w:r>
      <w:r w:rsidRPr="00813AE4">
        <w:t>бой уголовное преследование, которое должно быть возбуждено самим прок</w:t>
      </w:r>
      <w:r w:rsidRPr="00813AE4">
        <w:t>у</w:t>
      </w:r>
      <w:r w:rsidRPr="00813AE4">
        <w:t>рором Республики</w:t>
      </w:r>
      <w:r w:rsidRPr="00813AE4">
        <w:rPr>
          <w:rStyle w:val="FootnoteReference"/>
        </w:rPr>
        <w:footnoteReference w:id="19"/>
      </w:r>
      <w:r w:rsidRPr="00813AE4">
        <w:t>. Соответственно, Комитет делает вывод о том, что пункт</w:t>
      </w:r>
      <w:r>
        <w:t> </w:t>
      </w:r>
      <w:r w:rsidRPr="00813AE4">
        <w:t>2 b)</w:t>
      </w:r>
      <w:r w:rsidR="00B14339">
        <w:t xml:space="preserve"> статьи </w:t>
      </w:r>
      <w:r w:rsidRPr="00813AE4">
        <w:t>5 Факультативного протокола не является препятствием для призн</w:t>
      </w:r>
      <w:r w:rsidRPr="00813AE4">
        <w:t>а</w:t>
      </w:r>
      <w:r w:rsidRPr="00813AE4">
        <w:t>ния данного сообщения приемлемым.</w:t>
      </w:r>
    </w:p>
    <w:p w:rsidR="001D677D" w:rsidRPr="00813AE4" w:rsidRDefault="001D677D" w:rsidP="001D677D">
      <w:pPr>
        <w:pStyle w:val="SingleTxtGR"/>
      </w:pPr>
      <w:r w:rsidRPr="00813AE4">
        <w:t>7.5</w:t>
      </w:r>
      <w:r w:rsidRPr="00813AE4">
        <w:tab/>
        <w:t>Комитет полагает, что для признания сообщения приемлемым автор до</w:t>
      </w:r>
      <w:r w:rsidRPr="00813AE4">
        <w:t>л</w:t>
      </w:r>
      <w:r w:rsidRPr="00813AE4">
        <w:t>жен исчерпать только те средства правовой защиты, которые позволяют урег</w:t>
      </w:r>
      <w:r w:rsidRPr="00813AE4">
        <w:t>у</w:t>
      </w:r>
      <w:r w:rsidRPr="00813AE4">
        <w:t>лировать ситуацию, возникшую в связи с указанным нарушением, в данном случае в связи с насильственным исчезновением.</w:t>
      </w:r>
    </w:p>
    <w:p w:rsidR="001D677D" w:rsidRPr="00813AE4" w:rsidRDefault="001D677D" w:rsidP="001D677D">
      <w:pPr>
        <w:pStyle w:val="SingleTxtGR"/>
      </w:pPr>
      <w:r w:rsidRPr="00813AE4">
        <w:t>7.6</w:t>
      </w:r>
      <w:r w:rsidRPr="00813AE4">
        <w:tab/>
        <w:t>Комитет считает, что автор сообщения в достаточной степени обосновал свои утверждения в той мере, в которой они имеют отношения к пункту</w:t>
      </w:r>
      <w:r>
        <w:t> </w:t>
      </w:r>
      <w:r w:rsidRPr="00813AE4">
        <w:t>1</w:t>
      </w:r>
      <w:r w:rsidR="00B14339">
        <w:t xml:space="preserve"> ст</w:t>
      </w:r>
      <w:r w:rsidR="00B14339">
        <w:t>а</w:t>
      </w:r>
      <w:r w:rsidR="00B14339">
        <w:t>тьи </w:t>
      </w:r>
      <w:r w:rsidRPr="00813AE4">
        <w:t>6, статьям</w:t>
      </w:r>
      <w:r>
        <w:t> </w:t>
      </w:r>
      <w:r w:rsidRPr="00813AE4">
        <w:t>7, 9, пункту</w:t>
      </w:r>
      <w:r>
        <w:t> </w:t>
      </w:r>
      <w:r w:rsidRPr="00813AE4">
        <w:t>1</w:t>
      </w:r>
      <w:r w:rsidR="00B14339">
        <w:t xml:space="preserve"> статьи </w:t>
      </w:r>
      <w:r w:rsidRPr="00813AE4">
        <w:t>10, статьям</w:t>
      </w:r>
      <w:r>
        <w:t> </w:t>
      </w:r>
      <w:r w:rsidRPr="00813AE4">
        <w:t>16 и 17, рассматриваемым как отдельно, так и в совокупности с пунктом</w:t>
      </w:r>
      <w:r>
        <w:t> </w:t>
      </w:r>
      <w:r w:rsidRPr="00813AE4">
        <w:t>3</w:t>
      </w:r>
      <w:r w:rsidR="00B14339">
        <w:t xml:space="preserve"> статьи </w:t>
      </w:r>
      <w:r w:rsidRPr="00813AE4">
        <w:t>2 Пакта. Вместе с тем Ком</w:t>
      </w:r>
      <w:r w:rsidRPr="00813AE4">
        <w:t>и</w:t>
      </w:r>
      <w:r w:rsidRPr="00813AE4">
        <w:t>тет констатирует, что автор не подал в государственные органы государства-участника заявления о компенсации в связи с произвольным или противопра</w:t>
      </w:r>
      <w:r w:rsidRPr="00813AE4">
        <w:t>в</w:t>
      </w:r>
      <w:r>
        <w:t xml:space="preserve">ным задержанием его сына </w:t>
      </w:r>
      <w:r w:rsidRPr="00813AE4">
        <w:t>и что утверждение о нарушении</w:t>
      </w:r>
      <w:r w:rsidR="00B14339">
        <w:t xml:space="preserve"> пункта </w:t>
      </w:r>
      <w:r w:rsidRPr="00813AE4">
        <w:t>5</w:t>
      </w:r>
      <w:r w:rsidR="00B14339">
        <w:t xml:space="preserve"> статьи </w:t>
      </w:r>
      <w:r w:rsidRPr="00813AE4">
        <w:t>9 неприемлемо. Соответственно Комитет приступает к рассмотрению соо</w:t>
      </w:r>
      <w:r w:rsidRPr="00813AE4">
        <w:t>б</w:t>
      </w:r>
      <w:r w:rsidRPr="00813AE4">
        <w:t>щения по существу в части утверждений о нарушениях</w:t>
      </w:r>
      <w:r w:rsidR="00B14339">
        <w:t xml:space="preserve"> пункта </w:t>
      </w:r>
      <w:r w:rsidRPr="00813AE4">
        <w:t>3</w:t>
      </w:r>
      <w:r w:rsidR="00B14339">
        <w:t xml:space="preserve"> статьи </w:t>
      </w:r>
      <w:r w:rsidRPr="00813AE4">
        <w:t>2,</w:t>
      </w:r>
      <w:r w:rsidR="00B14339">
        <w:t xml:space="preserve"> пункта </w:t>
      </w:r>
      <w:r w:rsidRPr="00813AE4">
        <w:t>1</w:t>
      </w:r>
      <w:r w:rsidR="00B14339">
        <w:t xml:space="preserve"> статьи </w:t>
      </w:r>
      <w:r w:rsidRPr="00813AE4">
        <w:t>6, пунктов</w:t>
      </w:r>
      <w:r>
        <w:t> </w:t>
      </w:r>
      <w:r w:rsidRPr="00813AE4">
        <w:t>7 и 9,</w:t>
      </w:r>
      <w:r w:rsidR="00B14339">
        <w:t xml:space="preserve"> пункта </w:t>
      </w:r>
      <w:r w:rsidRPr="00813AE4">
        <w:t>1</w:t>
      </w:r>
      <w:r w:rsidR="00B14339">
        <w:t xml:space="preserve"> статьи </w:t>
      </w:r>
      <w:r w:rsidRPr="00813AE4">
        <w:t>10 и статей</w:t>
      </w:r>
      <w:r>
        <w:t> </w:t>
      </w:r>
      <w:r w:rsidRPr="00813AE4">
        <w:t>16 и 17.</w:t>
      </w:r>
    </w:p>
    <w:p w:rsidR="001D677D" w:rsidRPr="00813AE4" w:rsidRDefault="001D677D" w:rsidP="001D677D">
      <w:pPr>
        <w:pStyle w:val="H4GR"/>
        <w:spacing w:before="240"/>
      </w:pPr>
      <w:r w:rsidRPr="00813AE4">
        <w:tab/>
      </w:r>
      <w:r w:rsidRPr="00813AE4">
        <w:tab/>
        <w:t>Рассмотрение сообщения по существу</w:t>
      </w:r>
    </w:p>
    <w:p w:rsidR="001D677D" w:rsidRPr="00813AE4" w:rsidRDefault="001D677D" w:rsidP="001D677D">
      <w:pPr>
        <w:pStyle w:val="SingleTxtGR"/>
      </w:pPr>
      <w:r w:rsidRPr="00813AE4">
        <w:t>8.1</w:t>
      </w:r>
      <w:r w:rsidRPr="00813AE4">
        <w:tab/>
        <w:t>Комитет по правам человека рассмотрел настоящее сообщение с учетом всей представленной ему сторонами информации, как это предусмотрено в</w:t>
      </w:r>
      <w:r>
        <w:t> </w:t>
      </w:r>
      <w:r w:rsidRPr="00813AE4">
        <w:t>пункте</w:t>
      </w:r>
      <w:r>
        <w:t> </w:t>
      </w:r>
      <w:r w:rsidRPr="00813AE4">
        <w:t>1</w:t>
      </w:r>
      <w:r w:rsidR="00B14339">
        <w:t xml:space="preserve"> статьи </w:t>
      </w:r>
      <w:r w:rsidRPr="00813AE4">
        <w:t>5 Факультативного протокола.</w:t>
      </w:r>
    </w:p>
    <w:p w:rsidR="001D677D" w:rsidRPr="00813AE4" w:rsidRDefault="001D677D" w:rsidP="001D677D">
      <w:pPr>
        <w:pStyle w:val="SingleTxtGR"/>
      </w:pPr>
      <w:r w:rsidRPr="00813AE4">
        <w:t>8.2</w:t>
      </w:r>
      <w:r w:rsidRPr="00813AE4">
        <w:tab/>
        <w:t>Государство-участник представило коллективные и общие замечания в</w:t>
      </w:r>
      <w:r>
        <w:t> </w:t>
      </w:r>
      <w:r w:rsidRPr="00813AE4">
        <w:t>ответ на серьезные обвинения автора и ограничилось утверждением о том, что сообщения, в которых ответственность за случаи насильственных исчезн</w:t>
      </w:r>
      <w:r w:rsidRPr="00813AE4">
        <w:t>о</w:t>
      </w:r>
      <w:r w:rsidRPr="00813AE4">
        <w:t>вений, произошедших в период с 1993 по 1998</w:t>
      </w:r>
      <w:r>
        <w:t> </w:t>
      </w:r>
      <w:r w:rsidRPr="00813AE4">
        <w:t>год, возлагается на госуда</w:t>
      </w:r>
      <w:r w:rsidRPr="00813AE4">
        <w:t>р</w:t>
      </w:r>
      <w:r w:rsidRPr="00813AE4">
        <w:t>ственных должностных лиц или на лиц, действовавших от имени органов гос</w:t>
      </w:r>
      <w:r w:rsidRPr="00813AE4">
        <w:t>у</w:t>
      </w:r>
      <w:r w:rsidRPr="00813AE4">
        <w:t>дарственной власти, должны рассматриваться в более общем контексте с уч</w:t>
      </w:r>
      <w:r w:rsidRPr="00813AE4">
        <w:t>е</w:t>
      </w:r>
      <w:r w:rsidRPr="00813AE4">
        <w:t>том социально-политической ситуации и положения в области безопасности в</w:t>
      </w:r>
      <w:r>
        <w:t> </w:t>
      </w:r>
      <w:r w:rsidRPr="00813AE4">
        <w:t>стране в период, когда правительство вело борьбу с терроризмом. Комитет ссылается на свои прошлые решения</w:t>
      </w:r>
      <w:r w:rsidRPr="00813AE4">
        <w:rPr>
          <w:rStyle w:val="FootnoteReference"/>
        </w:rPr>
        <w:footnoteReference w:id="20"/>
      </w:r>
      <w:r w:rsidRPr="00813AE4">
        <w:t xml:space="preserve"> и напоминает, что государство-участник не может противопоставлять положения Хартии мира и национального прим</w:t>
      </w:r>
      <w:r w:rsidRPr="00813AE4">
        <w:t>и</w:t>
      </w:r>
      <w:r w:rsidRPr="00813AE4">
        <w:t>рения аргументам тех лиц, которые ссылаются на положения Пакта либо напр</w:t>
      </w:r>
      <w:r w:rsidRPr="00813AE4">
        <w:t>а</w:t>
      </w:r>
      <w:r w:rsidRPr="00813AE4">
        <w:t>вили или могли направить сообщения в Комитет. Пакт требует от государства-участника проявлять заботу о судьбе каждого человека, уважая достоинство, присущее человеческой личности. Без внесения рекомендованных Комитетом поправок постановление</w:t>
      </w:r>
      <w:r w:rsidR="00B14339">
        <w:t> № </w:t>
      </w:r>
      <w:r w:rsidRPr="00813AE4">
        <w:t>06-01 в рассматриваемом случае лишь поощряет безнаказанность и, следовательно, в его нынешнем виде оно не может быть признано совместимым с положениями Пакта.</w:t>
      </w:r>
    </w:p>
    <w:p w:rsidR="001D677D" w:rsidRPr="00813AE4" w:rsidRDefault="001D677D" w:rsidP="001D677D">
      <w:pPr>
        <w:pStyle w:val="SingleTxtGR"/>
      </w:pPr>
      <w:r w:rsidRPr="00813AE4">
        <w:t>8.3</w:t>
      </w:r>
      <w:r w:rsidRPr="00813AE4">
        <w:tab/>
        <w:t>Комитет отмечает, что государство-участник не отреагировало на утве</w:t>
      </w:r>
      <w:r w:rsidRPr="00813AE4">
        <w:t>р</w:t>
      </w:r>
      <w:r>
        <w:t>ждения</w:t>
      </w:r>
      <w:r w:rsidRPr="00813AE4">
        <w:t xml:space="preserve"> автора</w:t>
      </w:r>
      <w:r w:rsidRPr="00813AE4" w:rsidDel="00C55A1A">
        <w:t xml:space="preserve"> </w:t>
      </w:r>
      <w:r w:rsidRPr="00813AE4">
        <w:t>по сущ</w:t>
      </w:r>
      <w:r w:rsidRPr="00813AE4">
        <w:t>е</w:t>
      </w:r>
      <w:r w:rsidRPr="00813AE4">
        <w:t>ству дела, и напоминает о своих предыдущих решениях, в соответствии с которыми бремя доказывания не должно возлагаться исключ</w:t>
      </w:r>
      <w:r w:rsidRPr="00813AE4">
        <w:t>и</w:t>
      </w:r>
      <w:r w:rsidRPr="00813AE4">
        <w:t>тельно на автора сообщения, тем более что автор и государство-участник не всегда имеют равный доступ к доказательствам и необходимой информацией зачастую располагает только государство-участник</w:t>
      </w:r>
      <w:r w:rsidRPr="00813AE4">
        <w:rPr>
          <w:rStyle w:val="FootnoteReference"/>
        </w:rPr>
        <w:footnoteReference w:id="21"/>
      </w:r>
      <w:r w:rsidRPr="00813AE4">
        <w:t>. Таким образом, в соотве</w:t>
      </w:r>
      <w:r w:rsidRPr="00813AE4">
        <w:t>т</w:t>
      </w:r>
      <w:r w:rsidRPr="00813AE4">
        <w:t>ствии с пунктом</w:t>
      </w:r>
      <w:r>
        <w:t> </w:t>
      </w:r>
      <w:r w:rsidRPr="00813AE4">
        <w:t>2</w:t>
      </w:r>
      <w:r w:rsidR="00B14339">
        <w:t xml:space="preserve"> статьи </w:t>
      </w:r>
      <w:r w:rsidRPr="00813AE4">
        <w:t>4 Факультативного протокола государство-участник обязано добросовестно расследовать все выдвигаемые против него и его пре</w:t>
      </w:r>
      <w:r w:rsidRPr="00813AE4">
        <w:t>д</w:t>
      </w:r>
      <w:r w:rsidRPr="00813AE4">
        <w:t>ставителей обвинения в нарушении Пакта и представить Комитету имеющуюся в его распоряжении информацию</w:t>
      </w:r>
      <w:r w:rsidRPr="00813AE4">
        <w:rPr>
          <w:rStyle w:val="FootnoteReference"/>
        </w:rPr>
        <w:footnoteReference w:id="22"/>
      </w:r>
      <w:r w:rsidRPr="00813AE4">
        <w:t>. Поскольку государство-участник не пре</w:t>
      </w:r>
      <w:r w:rsidRPr="00813AE4">
        <w:t>д</w:t>
      </w:r>
      <w:r w:rsidRPr="00813AE4">
        <w:t>ставило никаких разъяснений по данному вопросу, к утверждениям автора сл</w:t>
      </w:r>
      <w:r w:rsidRPr="00813AE4">
        <w:t>е</w:t>
      </w:r>
      <w:r w:rsidRPr="00813AE4">
        <w:t>дует отнестись самым серьезным образом, так как они являются достаточно обоснованными.</w:t>
      </w:r>
    </w:p>
    <w:p w:rsidR="001D677D" w:rsidRPr="00813AE4" w:rsidRDefault="001D677D" w:rsidP="001D677D">
      <w:pPr>
        <w:pStyle w:val="SingleTxtGR"/>
      </w:pPr>
      <w:r w:rsidRPr="00813AE4">
        <w:t>8.4</w:t>
      </w:r>
      <w:r w:rsidRPr="00813AE4">
        <w:tab/>
        <w:t xml:space="preserve"> Комитет отмечает, что, как утверждает автор, утром 12</w:t>
      </w:r>
      <w:r w:rsidR="00B14339">
        <w:t> августа</w:t>
      </w:r>
      <w:r w:rsidRPr="00813AE4">
        <w:t xml:space="preserve"> 1994</w:t>
      </w:r>
      <w:r w:rsidR="00B14339">
        <w:t> года</w:t>
      </w:r>
      <w:r w:rsidRPr="00813AE4">
        <w:t xml:space="preserve"> его сын Яхья Круми был задержан у себя дома сотрудниками правоохранител</w:t>
      </w:r>
      <w:r w:rsidRPr="00813AE4">
        <w:t>ь</w:t>
      </w:r>
      <w:r w:rsidRPr="00813AE4">
        <w:t>ных органов и с тех пор исчез. Он также отмечает, что, по словам автора, мн</w:t>
      </w:r>
      <w:r w:rsidRPr="00813AE4">
        <w:t>о</w:t>
      </w:r>
      <w:r w:rsidRPr="00813AE4">
        <w:t>гие из тех, кто был задержан одновременно с его сыном, скончались в первую же ночь вследствие ужасающих условий содержания под стражей. Автор не и</w:t>
      </w:r>
      <w:r w:rsidRPr="00813AE4">
        <w:t>с</w:t>
      </w:r>
      <w:r w:rsidRPr="00813AE4">
        <w:t>ключает того, что его сын также скончался этой ночью. Комитет констатирует, что государство-участник не представило никакой информации в опровержение данного утверждения. Он напоминает, что, когда речь идет о насильственном исчезновении, лишение человека свободы, нежелание признать этот факт и с</w:t>
      </w:r>
      <w:r w:rsidRPr="00813AE4">
        <w:t>о</w:t>
      </w:r>
      <w:r w:rsidRPr="00813AE4">
        <w:t>крытие информации о дальнейшей судьбе пропавшего без вести лица означают, что это лицо было лишено защиты закона и его жизнь подвергалась постоянной и серьезной опасности, и ответственность за это несет государство. В рассма</w:t>
      </w:r>
      <w:r w:rsidRPr="00813AE4">
        <w:t>т</w:t>
      </w:r>
      <w:r w:rsidRPr="00813AE4">
        <w:t>риваемом случае Комитет отмечает, что государство-участник не представило никакой информации, позволяющей сделать вывод о том, что оно выполнило свое обязательство по защите жизни Яхьи Круми. Следовательно, он делает в</w:t>
      </w:r>
      <w:r w:rsidRPr="00813AE4">
        <w:t>ы</w:t>
      </w:r>
      <w:r w:rsidRPr="00813AE4">
        <w:t>вод о том, что в нарушение</w:t>
      </w:r>
      <w:r w:rsidR="00B14339">
        <w:t xml:space="preserve"> пункта </w:t>
      </w:r>
      <w:r w:rsidRPr="00813AE4">
        <w:t>1</w:t>
      </w:r>
      <w:r w:rsidR="00B14339">
        <w:t xml:space="preserve"> статьи </w:t>
      </w:r>
      <w:r w:rsidRPr="00813AE4">
        <w:t>6 Пакта государство-участник не выполнило своего обязательства по защите жизни Яхьи Круми</w:t>
      </w:r>
      <w:r w:rsidRPr="00813AE4">
        <w:rPr>
          <w:rStyle w:val="FootnoteReference"/>
        </w:rPr>
        <w:footnoteReference w:id="23"/>
      </w:r>
      <w:r w:rsidRPr="00813AE4">
        <w:t>.</w:t>
      </w:r>
    </w:p>
    <w:p w:rsidR="001D677D" w:rsidRPr="00813AE4" w:rsidRDefault="001D677D" w:rsidP="001D677D">
      <w:pPr>
        <w:pStyle w:val="SingleTxtGR"/>
      </w:pPr>
      <w:r w:rsidRPr="00813AE4">
        <w:t>8.</w:t>
      </w:r>
      <w:r>
        <w:t>5</w:t>
      </w:r>
      <w:r>
        <w:tab/>
        <w:t xml:space="preserve">Комитет осознает всю глубину </w:t>
      </w:r>
      <w:r w:rsidRPr="00813AE4">
        <w:t>страданий, которую вызывает содержание под стражей в течение неопределенного периода времени без связи с внешним миром. Он напоминает о своем замечании общего порядка</w:t>
      </w:r>
      <w:r w:rsidR="00B14339">
        <w:t> № </w:t>
      </w:r>
      <w:r w:rsidRPr="00813AE4">
        <w:t>20</w:t>
      </w:r>
      <w:r>
        <w:t> </w:t>
      </w:r>
      <w:r w:rsidRPr="00813AE4">
        <w:t>(1992</w:t>
      </w:r>
      <w:r w:rsidR="00E24291">
        <w:t> год) о </w:t>
      </w:r>
      <w:r w:rsidRPr="00813AE4">
        <w:t>запрещении пыток или жестокого, бесчеловечного или унижающего достои</w:t>
      </w:r>
      <w:r w:rsidRPr="00813AE4">
        <w:t>н</w:t>
      </w:r>
      <w:r w:rsidRPr="00813AE4">
        <w:t>ство обращения, в котором государствам-участникам рекомендуется принять меры для запрещения содержания под стражей без связи с внешним миром. Что касается данного дела, он отмечает, что Яхья Круми был задержан военными 12</w:t>
      </w:r>
      <w:r w:rsidR="00B14339">
        <w:t> августа</w:t>
      </w:r>
      <w:r w:rsidRPr="00813AE4">
        <w:t xml:space="preserve"> 1994</w:t>
      </w:r>
      <w:r w:rsidR="00B14339">
        <w:t> года</w:t>
      </w:r>
      <w:r w:rsidRPr="00813AE4">
        <w:t xml:space="preserve"> и что по сей день о его дальнейшей судьбе ничего не и</w:t>
      </w:r>
      <w:r w:rsidRPr="00813AE4">
        <w:t>з</w:t>
      </w:r>
      <w:r w:rsidRPr="00813AE4">
        <w:t>вестно. Кроме того, Комитет принимает к сведению утверждения автора об ужасающих условиях, в которых содержались под стражей исчезнувшее лицо и</w:t>
      </w:r>
      <w:r>
        <w:t> </w:t>
      </w:r>
      <w:r w:rsidRPr="00813AE4">
        <w:t>задержанные одновременно с ним люди и которые в первую же ночь содерж</w:t>
      </w:r>
      <w:r w:rsidRPr="00813AE4">
        <w:t>а</w:t>
      </w:r>
      <w:r w:rsidRPr="00813AE4">
        <w:t>ния под стражей повлекли за собой кончину большого числа людей. В отсу</w:t>
      </w:r>
      <w:r w:rsidRPr="00813AE4">
        <w:t>т</w:t>
      </w:r>
      <w:r w:rsidRPr="00813AE4">
        <w:t>ствие убедительных разъяснений государства-участника Комитет считает, что исчезновение Яхьи Круми и условия содержания исчезнувшего лица под стр</w:t>
      </w:r>
      <w:r w:rsidRPr="00813AE4">
        <w:t>а</w:t>
      </w:r>
      <w:r w:rsidRPr="00813AE4">
        <w:t>жей в первую ночь представляют собой нар</w:t>
      </w:r>
      <w:r w:rsidRPr="00813AE4">
        <w:t>у</w:t>
      </w:r>
      <w:r w:rsidRPr="00813AE4">
        <w:t>шения</w:t>
      </w:r>
      <w:r w:rsidR="00B14339">
        <w:t xml:space="preserve"> статьи </w:t>
      </w:r>
      <w:r w:rsidRPr="00813AE4">
        <w:t>7 Пакта в отношении сына автора</w:t>
      </w:r>
      <w:r w:rsidRPr="00813AE4">
        <w:rPr>
          <w:rStyle w:val="FootnoteReference"/>
        </w:rPr>
        <w:footnoteReference w:id="24"/>
      </w:r>
      <w:r w:rsidRPr="00813AE4">
        <w:t>.</w:t>
      </w:r>
    </w:p>
    <w:p w:rsidR="001D677D" w:rsidRPr="00813AE4" w:rsidRDefault="001D677D" w:rsidP="001D677D">
      <w:pPr>
        <w:pStyle w:val="SingleTxtGR"/>
      </w:pPr>
      <w:r w:rsidRPr="00813AE4">
        <w:t>8.6</w:t>
      </w:r>
      <w:r w:rsidRPr="00813AE4">
        <w:tab/>
        <w:t>Комитет также принимает к сведению страдания и душевную боль, кот</w:t>
      </w:r>
      <w:r w:rsidRPr="00813AE4">
        <w:t>о</w:t>
      </w:r>
      <w:r w:rsidRPr="00813AE4">
        <w:t>рые испытывает автор вследствие исчезновения своего сына, в том числе из-за отсутствия точных сведений о его судьбе. Он полагает, что представленные ему факты свидетельствуют о нарушении</w:t>
      </w:r>
      <w:r w:rsidR="00B14339">
        <w:t xml:space="preserve"> статьи </w:t>
      </w:r>
      <w:r w:rsidRPr="00813AE4">
        <w:t>7 Пакта в отдельности и в сочет</w:t>
      </w:r>
      <w:r w:rsidRPr="00813AE4">
        <w:t>а</w:t>
      </w:r>
      <w:r w:rsidRPr="00813AE4">
        <w:t>нии с пунктом</w:t>
      </w:r>
      <w:r>
        <w:t> </w:t>
      </w:r>
      <w:r w:rsidRPr="00813AE4">
        <w:t>3</w:t>
      </w:r>
      <w:r w:rsidR="00B14339">
        <w:t xml:space="preserve"> статьи </w:t>
      </w:r>
      <w:r w:rsidRPr="00813AE4">
        <w:t>2 Пакта в отношении автора сообщения</w:t>
      </w:r>
      <w:r w:rsidRPr="00813AE4">
        <w:rPr>
          <w:rStyle w:val="FootnoteReference"/>
        </w:rPr>
        <w:footnoteReference w:id="25"/>
      </w:r>
      <w:r w:rsidRPr="00813AE4">
        <w:t>.</w:t>
      </w:r>
    </w:p>
    <w:p w:rsidR="001D677D" w:rsidRPr="00813AE4" w:rsidRDefault="001D677D" w:rsidP="001D677D">
      <w:pPr>
        <w:pStyle w:val="SingleTxtGR"/>
      </w:pPr>
      <w:r w:rsidRPr="00813AE4">
        <w:t>8.7</w:t>
      </w:r>
      <w:r w:rsidRPr="00813AE4">
        <w:tab/>
        <w:t>Что же касается жалоб на нарушение</w:t>
      </w:r>
      <w:r w:rsidR="00B14339">
        <w:t xml:space="preserve"> статьи </w:t>
      </w:r>
      <w:r w:rsidRPr="00813AE4">
        <w:t>9, то Комитет принимает к</w:t>
      </w:r>
      <w:r>
        <w:t> </w:t>
      </w:r>
      <w:r w:rsidRPr="00813AE4">
        <w:t>сведению утверждения автора о том, что Яхья Круми был задержан военными 12</w:t>
      </w:r>
      <w:r w:rsidR="00B14339">
        <w:t> августа</w:t>
      </w:r>
      <w:r w:rsidRPr="00813AE4">
        <w:t xml:space="preserve"> 1994</w:t>
      </w:r>
      <w:r w:rsidR="00B14339">
        <w:t> года</w:t>
      </w:r>
      <w:r w:rsidRPr="00813AE4">
        <w:t xml:space="preserve"> без ордера на арест, что ему не были предъявлены обвин</w:t>
      </w:r>
      <w:r w:rsidRPr="00813AE4">
        <w:t>е</w:t>
      </w:r>
      <w:r w:rsidRPr="00813AE4">
        <w:t>ния, что он не был доставлен в суд, где он мог бы оспорить законность своего заключения под стражу, и что его близким официально не сообщили о его суд</w:t>
      </w:r>
      <w:r w:rsidRPr="00813AE4">
        <w:t>ь</w:t>
      </w:r>
      <w:r w:rsidRPr="00813AE4">
        <w:t>бе, хотя власти признали, что его исчезновение произошло в период "общен</w:t>
      </w:r>
      <w:r w:rsidRPr="00813AE4">
        <w:t>а</w:t>
      </w:r>
      <w:r w:rsidRPr="00813AE4">
        <w:t>циональной трагедии"</w:t>
      </w:r>
      <w:r w:rsidRPr="00813AE4">
        <w:rPr>
          <w:rStyle w:val="FootnoteReference"/>
        </w:rPr>
        <w:footnoteReference w:id="26"/>
      </w:r>
      <w:r w:rsidRPr="00813AE4">
        <w:t>. В отсутствие убед</w:t>
      </w:r>
      <w:r w:rsidRPr="00813AE4">
        <w:t>и</w:t>
      </w:r>
      <w:r w:rsidRPr="00813AE4">
        <w:t>тельных разъяснений государства-участника по этим вопросам, Комитет приходит к выводу о наруш</w:t>
      </w:r>
      <w:r w:rsidRPr="00813AE4">
        <w:t>е</w:t>
      </w:r>
      <w:r w:rsidRPr="00813AE4">
        <w:t>нии</w:t>
      </w:r>
      <w:r w:rsidR="00B14339">
        <w:t xml:space="preserve"> статьи </w:t>
      </w:r>
      <w:r w:rsidRPr="00813AE4">
        <w:t>9 в отношении Яхьи Круми</w:t>
      </w:r>
      <w:r w:rsidRPr="00813AE4">
        <w:rPr>
          <w:rStyle w:val="FootnoteReference"/>
        </w:rPr>
        <w:footnoteReference w:id="27"/>
      </w:r>
      <w:r w:rsidRPr="00813AE4">
        <w:t>.</w:t>
      </w:r>
    </w:p>
    <w:p w:rsidR="001D677D" w:rsidRPr="00813AE4" w:rsidRDefault="001D677D" w:rsidP="001D677D">
      <w:pPr>
        <w:pStyle w:val="SingleTxtGR"/>
      </w:pPr>
      <w:r w:rsidRPr="00813AE4">
        <w:t>8.8</w:t>
      </w:r>
      <w:r w:rsidRPr="00813AE4">
        <w:tab/>
        <w:t>В отношении жалобы по пункту</w:t>
      </w:r>
      <w:r>
        <w:t> </w:t>
      </w:r>
      <w:r w:rsidRPr="00813AE4">
        <w:t>1</w:t>
      </w:r>
      <w:r w:rsidR="00B14339">
        <w:t xml:space="preserve"> статьи </w:t>
      </w:r>
      <w:r w:rsidRPr="00813AE4">
        <w:t>10 Комитет вновь заявляет, что лишенные свободы лица не должны испытывать иных лишений и тягот помимо тех, которые</w:t>
      </w:r>
      <w:r>
        <w:t xml:space="preserve"> являются неизбежным следствием</w:t>
      </w:r>
      <w:r w:rsidRPr="00813AE4">
        <w:t xml:space="preserve"> лишения свободы, и что нео</w:t>
      </w:r>
      <w:r w:rsidRPr="00813AE4">
        <w:t>б</w:t>
      </w:r>
      <w:r w:rsidRPr="00813AE4">
        <w:t>ходимо соблюдать их право на гуманное обращение и уважение их дост</w:t>
      </w:r>
      <w:r w:rsidRPr="00813AE4">
        <w:t>о</w:t>
      </w:r>
      <w:r w:rsidRPr="00813AE4">
        <w:t>инства. Принимая в</w:t>
      </w:r>
      <w:r>
        <w:t>о</w:t>
      </w:r>
      <w:r w:rsidRPr="00813AE4">
        <w:t xml:space="preserve"> внимание утверждения о содержании Яхьи Круми под стражей без связи с внешним миром в таких условиях, которые привели к кончине многих людей в течение одной ночи, и в отсутствие какой-либо информации со стор</w:t>
      </w:r>
      <w:r w:rsidRPr="00813AE4">
        <w:t>о</w:t>
      </w:r>
      <w:r w:rsidRPr="00813AE4">
        <w:t>ны государства-участ</w:t>
      </w:r>
      <w:r>
        <w:t xml:space="preserve">ника по этому вопросу, Комитет </w:t>
      </w:r>
      <w:r w:rsidRPr="00813AE4">
        <w:t>приходит к выводу о</w:t>
      </w:r>
      <w:r>
        <w:t> </w:t>
      </w:r>
      <w:r w:rsidRPr="00813AE4">
        <w:t>нарушении</w:t>
      </w:r>
      <w:r w:rsidR="00B14339">
        <w:t xml:space="preserve"> пункта </w:t>
      </w:r>
      <w:r w:rsidRPr="00813AE4">
        <w:t>1</w:t>
      </w:r>
      <w:r w:rsidR="00B14339">
        <w:t xml:space="preserve"> статьи </w:t>
      </w:r>
      <w:r w:rsidRPr="00813AE4">
        <w:t>10 Пакта</w:t>
      </w:r>
      <w:r w:rsidRPr="00813AE4">
        <w:rPr>
          <w:rStyle w:val="FootnoteReference"/>
        </w:rPr>
        <w:footnoteReference w:id="28"/>
      </w:r>
      <w:r w:rsidRPr="00813AE4">
        <w:t>.</w:t>
      </w:r>
    </w:p>
    <w:p w:rsidR="001D677D" w:rsidRPr="00813AE4" w:rsidRDefault="001D677D" w:rsidP="001D677D">
      <w:pPr>
        <w:pStyle w:val="SingleTxtGR"/>
      </w:pPr>
      <w:r w:rsidRPr="00813AE4">
        <w:t>8.9</w:t>
      </w:r>
      <w:r w:rsidRPr="00813AE4">
        <w:tab/>
        <w:t>В отношении жалобы на нарушение</w:t>
      </w:r>
      <w:r w:rsidR="00B14339">
        <w:t xml:space="preserve"> статьи </w:t>
      </w:r>
      <w:r w:rsidRPr="00813AE4">
        <w:t>16 Комитет напоминает о св</w:t>
      </w:r>
      <w:r w:rsidRPr="00813AE4">
        <w:t>о</w:t>
      </w:r>
      <w:r w:rsidRPr="00813AE4">
        <w:t>ей неизменной позиции, согласно которой преднамеренное лишение какого-либо лица защиты закона в течение продолжительн</w:t>
      </w:r>
      <w:r w:rsidRPr="00813AE4">
        <w:t>о</w:t>
      </w:r>
      <w:r w:rsidRPr="00813AE4">
        <w:t>го периода времени может представлять собой отказ в признании правосубъектности этого лица, если жертва находилась в руках сотрудников государственных органов, когда ее в</w:t>
      </w:r>
      <w:r w:rsidRPr="00813AE4">
        <w:t>и</w:t>
      </w:r>
      <w:r w:rsidRPr="00813AE4">
        <w:t>дели в последний раз, и если ее близким систематически препятствуют в пол</w:t>
      </w:r>
      <w:r w:rsidRPr="00813AE4">
        <w:t>у</w:t>
      </w:r>
      <w:r w:rsidRPr="00813AE4">
        <w:t>чении доступа к потенциально эффективным сре</w:t>
      </w:r>
      <w:r w:rsidRPr="00813AE4">
        <w:t>д</w:t>
      </w:r>
      <w:r w:rsidRPr="00813AE4">
        <w:t>ствам правовой защиты, в том числе к судебным (пункт</w:t>
      </w:r>
      <w:r>
        <w:t> </w:t>
      </w:r>
      <w:r w:rsidRPr="00813AE4">
        <w:t>3</w:t>
      </w:r>
      <w:r w:rsidR="00B14339">
        <w:t xml:space="preserve"> статьи </w:t>
      </w:r>
      <w:r w:rsidRPr="00813AE4">
        <w:t>2 Пакта)</w:t>
      </w:r>
      <w:r w:rsidRPr="00813AE4">
        <w:rPr>
          <w:rStyle w:val="FootnoteReference"/>
        </w:rPr>
        <w:footnoteReference w:id="29"/>
      </w:r>
      <w:r w:rsidRPr="00813AE4">
        <w:t>. В рассматриваемом случае Ком</w:t>
      </w:r>
      <w:r w:rsidRPr="00813AE4">
        <w:t>и</w:t>
      </w:r>
      <w:r w:rsidRPr="00813AE4">
        <w:t>тет отмечает, что государство-участник не представило никаких разъяснений относительно судьбы Яхьи Круми, несмотря на многочисленные обращения а</w:t>
      </w:r>
      <w:r w:rsidRPr="00813AE4">
        <w:t>в</w:t>
      </w:r>
      <w:r w:rsidRPr="00813AE4">
        <w:t>тора по этому поводу. Соответственно Комитет делает вывод о том, что насил</w:t>
      </w:r>
      <w:r w:rsidRPr="00813AE4">
        <w:t>ь</w:t>
      </w:r>
      <w:r w:rsidRPr="00813AE4">
        <w:t>ственное исчезновение Яхьи Круми почти двадцать лет назад лишило его защ</w:t>
      </w:r>
      <w:r w:rsidRPr="00813AE4">
        <w:t>и</w:t>
      </w:r>
      <w:r w:rsidRPr="00813AE4">
        <w:t>ты закона и права на признание его правосубъектности, что является нарушен</w:t>
      </w:r>
      <w:r w:rsidRPr="00813AE4">
        <w:t>и</w:t>
      </w:r>
      <w:r w:rsidRPr="00813AE4">
        <w:t>ем</w:t>
      </w:r>
      <w:r w:rsidR="00B14339">
        <w:t xml:space="preserve"> статьи </w:t>
      </w:r>
      <w:r w:rsidRPr="00813AE4">
        <w:t>16 Пакта.</w:t>
      </w:r>
    </w:p>
    <w:p w:rsidR="001D677D" w:rsidRPr="00813AE4" w:rsidRDefault="001D677D" w:rsidP="001D677D">
      <w:pPr>
        <w:pStyle w:val="SingleTxtGR"/>
      </w:pPr>
      <w:r w:rsidRPr="00813AE4">
        <w:t>8.10</w:t>
      </w:r>
      <w:r w:rsidRPr="00813AE4">
        <w:tab/>
        <w:t>Что же касается жалобы на нарушение</w:t>
      </w:r>
      <w:r w:rsidR="00B14339">
        <w:t xml:space="preserve"> статьи </w:t>
      </w:r>
      <w:r w:rsidRPr="00813AE4">
        <w:t>17, то Комитет отмечает, что государство-участник не представило никакой информации, обосновыва</w:t>
      </w:r>
      <w:r w:rsidRPr="00813AE4">
        <w:t>ю</w:t>
      </w:r>
      <w:r w:rsidRPr="00813AE4">
        <w:t>щей или объясняющей причины проникновения военных в дом семьи Яхьи Круми ранним утром без соответствующего ордера. Комитет делает вывод о</w:t>
      </w:r>
      <w:r>
        <w:t> </w:t>
      </w:r>
      <w:r w:rsidRPr="00813AE4">
        <w:t>том, что проникновение в дом семьи Яхьи Круми представителей госуда</w:t>
      </w:r>
      <w:r w:rsidRPr="00813AE4">
        <w:t>р</w:t>
      </w:r>
      <w:r w:rsidRPr="00813AE4">
        <w:t>ственной власти в подобных обстоятельствах представляет собой посягател</w:t>
      </w:r>
      <w:r w:rsidRPr="00813AE4">
        <w:t>ь</w:t>
      </w:r>
      <w:r w:rsidRPr="00813AE4">
        <w:t>ство на неприкосновенность его жилища в нарушение</w:t>
      </w:r>
      <w:r w:rsidR="00B14339">
        <w:t xml:space="preserve"> статьи </w:t>
      </w:r>
      <w:r w:rsidRPr="00813AE4">
        <w:t>17 Пакта</w:t>
      </w:r>
      <w:r w:rsidRPr="00813AE4">
        <w:rPr>
          <w:rStyle w:val="FootnoteReference"/>
        </w:rPr>
        <w:footnoteReference w:id="30"/>
      </w:r>
      <w:r w:rsidRPr="00813AE4">
        <w:t>.</w:t>
      </w:r>
    </w:p>
    <w:p w:rsidR="001D677D" w:rsidRPr="00813AE4" w:rsidRDefault="001D677D" w:rsidP="001D677D">
      <w:pPr>
        <w:pStyle w:val="SingleTxtGR"/>
      </w:pPr>
      <w:r w:rsidRPr="00813AE4">
        <w:t>8.11</w:t>
      </w:r>
      <w:r w:rsidRPr="00813AE4">
        <w:tab/>
        <w:t>Автор ссылается на пункт</w:t>
      </w:r>
      <w:r>
        <w:t> </w:t>
      </w:r>
      <w:r w:rsidRPr="00813AE4">
        <w:t>3</w:t>
      </w:r>
      <w:r w:rsidR="00B14339">
        <w:t xml:space="preserve"> статьи </w:t>
      </w:r>
      <w:r w:rsidRPr="00813AE4">
        <w:t>2 Пакта, в соответствии с которым государства-участники обязаны обеспечить любому лицу, чьи права, признав</w:t>
      </w:r>
      <w:r w:rsidRPr="00813AE4">
        <w:t>а</w:t>
      </w:r>
      <w:r w:rsidRPr="00813AE4">
        <w:t xml:space="preserve">емые в Пакте, нарушены, эффективные средства правовой защиты. </w:t>
      </w:r>
      <w:r>
        <w:br/>
      </w:r>
      <w:r w:rsidRPr="00813AE4">
        <w:t>Комитет придает большое значение созданию государствами-участниками надлежащих судебных и административных механизмов для рассмотрения ж</w:t>
      </w:r>
      <w:r w:rsidRPr="00813AE4">
        <w:t>а</w:t>
      </w:r>
      <w:r w:rsidRPr="00813AE4">
        <w:t>лоб на нарушение прав. Он напоминает о своем замечании общего поря</w:t>
      </w:r>
      <w:r w:rsidRPr="00813AE4">
        <w:t>д</w:t>
      </w:r>
      <w:r w:rsidRPr="00813AE4">
        <w:t>ка</w:t>
      </w:r>
      <w:r w:rsidR="00B14339">
        <w:t> № </w:t>
      </w:r>
      <w:r w:rsidRPr="00813AE4">
        <w:t>31</w:t>
      </w:r>
      <w:r>
        <w:t> </w:t>
      </w:r>
      <w:r w:rsidRPr="00813AE4">
        <w:t>(2004</w:t>
      </w:r>
      <w:r w:rsidR="00E24291">
        <w:t> год</w:t>
      </w:r>
      <w:r w:rsidRPr="00813AE4">
        <w:t>) о</w:t>
      </w:r>
      <w:r>
        <w:t xml:space="preserve"> </w:t>
      </w:r>
      <w:r w:rsidRPr="00813AE4">
        <w:t>характере общего юридического обязательства, налагаем</w:t>
      </w:r>
      <w:r w:rsidRPr="00813AE4">
        <w:t>о</w:t>
      </w:r>
      <w:r w:rsidRPr="00813AE4">
        <w:t>го на государства − участников Пакта, в котором, в частности, указано, что н</w:t>
      </w:r>
      <w:r w:rsidRPr="00813AE4">
        <w:t>е</w:t>
      </w:r>
      <w:r w:rsidRPr="00813AE4">
        <w:t>принятие государством-участником мер для проведения расследования в связи с</w:t>
      </w:r>
      <w:r>
        <w:t> </w:t>
      </w:r>
      <w:r w:rsidRPr="00813AE4">
        <w:t>предполагаемыми нарушениями может само по себе рассматриваться как о</w:t>
      </w:r>
      <w:r w:rsidRPr="00813AE4">
        <w:t>т</w:t>
      </w:r>
      <w:r w:rsidRPr="00813AE4">
        <w:t>дельное нарушение Пакта. В рассматриваемом деле родственники Яхьи Круми обращались в компетентные органы в связи с его исчезновением, в частности они направили соответствующее заявление прокурору при суде Константины, однако все их усилия оказались безрезультатными, а государство-участник не провело углубленного и тщательного расследования обстоятельств исчезнов</w:t>
      </w:r>
      <w:r w:rsidRPr="00813AE4">
        <w:t>е</w:t>
      </w:r>
      <w:r w:rsidRPr="00813AE4">
        <w:t>ния сына автора. Кроме того, из-за отсутствия законного права на обращение в</w:t>
      </w:r>
      <w:r>
        <w:t> </w:t>
      </w:r>
      <w:r w:rsidRPr="00813AE4">
        <w:t>суд после обнародования постановления</w:t>
      </w:r>
      <w:r w:rsidR="00B14339">
        <w:t> № </w:t>
      </w:r>
      <w:r w:rsidRPr="00813AE4">
        <w:t>06-01 об осуществлении Хартии мира и наци</w:t>
      </w:r>
      <w:r w:rsidRPr="00813AE4">
        <w:t>о</w:t>
      </w:r>
      <w:r w:rsidRPr="00813AE4">
        <w:t>нального примирения Яхья Круми, автор и его семья по-прежнему не имеют никакого доступа к эффективным средствам правовой защиты, п</w:t>
      </w:r>
      <w:r w:rsidRPr="00813AE4">
        <w:t>о</w:t>
      </w:r>
      <w:r w:rsidRPr="00813AE4">
        <w:t>скольку в данное постановление под страхом тюремного заключения запрещает любые обращения в органы правосудия для выяснения обстоятельств таких тяжких преступлений, как насильственные исчезновения</w:t>
      </w:r>
      <w:r w:rsidRPr="00813AE4">
        <w:rPr>
          <w:rStyle w:val="FootnoteReference"/>
        </w:rPr>
        <w:footnoteReference w:id="31"/>
      </w:r>
      <w:r w:rsidRPr="00813AE4">
        <w:t>. Отсутствие рассл</w:t>
      </w:r>
      <w:r w:rsidRPr="00813AE4">
        <w:t>е</w:t>
      </w:r>
      <w:r w:rsidRPr="00813AE4">
        <w:t>дования исчезновения сына автора не было компенсировано выплатами его р</w:t>
      </w:r>
      <w:r w:rsidRPr="00813AE4">
        <w:t>о</w:t>
      </w:r>
      <w:r w:rsidRPr="00813AE4">
        <w:t>дителям (см.</w:t>
      </w:r>
      <w:r>
        <w:t> </w:t>
      </w:r>
      <w:r w:rsidRPr="00813AE4">
        <w:t>пункт 2.5). Соответственно Комитет делает вывод, что предста</w:t>
      </w:r>
      <w:r w:rsidRPr="00813AE4">
        <w:t>в</w:t>
      </w:r>
      <w:r w:rsidRPr="00813AE4">
        <w:t>ленные ему факты свидетельствуют о нарушении</w:t>
      </w:r>
      <w:r w:rsidR="00B14339">
        <w:t xml:space="preserve"> пункта </w:t>
      </w:r>
      <w:r w:rsidRPr="00813AE4">
        <w:t>3</w:t>
      </w:r>
      <w:r w:rsidR="00B14339">
        <w:t xml:space="preserve"> статьи </w:t>
      </w:r>
      <w:r w:rsidRPr="00813AE4">
        <w:t>2 Пакта, ра</w:t>
      </w:r>
      <w:r w:rsidRPr="00813AE4">
        <w:t>с</w:t>
      </w:r>
      <w:r w:rsidRPr="00813AE4">
        <w:t>сматриваемого в совокупности с пунктом</w:t>
      </w:r>
      <w:r>
        <w:t> </w:t>
      </w:r>
      <w:r w:rsidRPr="00813AE4">
        <w:t>1</w:t>
      </w:r>
      <w:r w:rsidR="00B14339">
        <w:t xml:space="preserve"> статьи </w:t>
      </w:r>
      <w:r>
        <w:t xml:space="preserve">6, </w:t>
      </w:r>
      <w:r w:rsidRPr="00813AE4">
        <w:t>статьями</w:t>
      </w:r>
      <w:r>
        <w:t> </w:t>
      </w:r>
      <w:r w:rsidRPr="00813AE4">
        <w:t>7, 9, пунктом</w:t>
      </w:r>
      <w:r>
        <w:t> </w:t>
      </w:r>
      <w:r w:rsidRPr="00813AE4">
        <w:t>1</w:t>
      </w:r>
      <w:r w:rsidR="00B14339">
        <w:t xml:space="preserve"> статьи </w:t>
      </w:r>
      <w:r>
        <w:t xml:space="preserve">10, </w:t>
      </w:r>
      <w:r w:rsidRPr="00813AE4">
        <w:t>статьями 16 и 17, в отношении Яхьи Круми, а также</w:t>
      </w:r>
      <w:r w:rsidR="00B14339">
        <w:t xml:space="preserve"> пункта </w:t>
      </w:r>
      <w:r w:rsidRPr="00813AE4">
        <w:t>3</w:t>
      </w:r>
      <w:r w:rsidR="00B14339">
        <w:t xml:space="preserve"> ст</w:t>
      </w:r>
      <w:r w:rsidR="00B14339">
        <w:t>а</w:t>
      </w:r>
      <w:r w:rsidR="00B14339">
        <w:t>тьи </w:t>
      </w:r>
      <w:r>
        <w:t xml:space="preserve">2 </w:t>
      </w:r>
      <w:r w:rsidRPr="00813AE4">
        <w:t>Пакта, рассматриваемого в совокупности со статьей</w:t>
      </w:r>
      <w:r>
        <w:t> </w:t>
      </w:r>
      <w:r w:rsidRPr="00813AE4">
        <w:t>7 Пакта, в отношении а</w:t>
      </w:r>
      <w:r w:rsidRPr="00813AE4">
        <w:t>в</w:t>
      </w:r>
      <w:r w:rsidRPr="00813AE4">
        <w:t>тора и его семьи.</w:t>
      </w:r>
    </w:p>
    <w:p w:rsidR="001D677D" w:rsidRPr="00813AE4" w:rsidRDefault="001D677D" w:rsidP="001D677D">
      <w:pPr>
        <w:pStyle w:val="SingleTxtGR"/>
      </w:pPr>
      <w:r w:rsidRPr="00813AE4">
        <w:t>9.</w:t>
      </w:r>
      <w:r w:rsidRPr="00813AE4">
        <w:tab/>
        <w:t>Действуя в соответствии с пунктом</w:t>
      </w:r>
      <w:r>
        <w:t> </w:t>
      </w:r>
      <w:r w:rsidRPr="00813AE4">
        <w:t>4</w:t>
      </w:r>
      <w:r w:rsidR="00B14339">
        <w:t xml:space="preserve"> статьи </w:t>
      </w:r>
      <w:r w:rsidRPr="00813AE4">
        <w:t>5 Факультативного протокола к Международному пакту о гражданских и политических правах, Комитет по правам человека заявляет, что представленные ему факты свидетельствуют о</w:t>
      </w:r>
      <w:r>
        <w:t> </w:t>
      </w:r>
      <w:r w:rsidRPr="00813AE4">
        <w:t>нарушениях государством-участником</w:t>
      </w:r>
      <w:r w:rsidR="00B14339">
        <w:t xml:space="preserve"> пункта </w:t>
      </w:r>
      <w:r w:rsidRPr="00813AE4">
        <w:t>1</w:t>
      </w:r>
      <w:r w:rsidR="00B14339">
        <w:t xml:space="preserve"> статьи </w:t>
      </w:r>
      <w:r w:rsidRPr="00813AE4">
        <w:t>6,</w:t>
      </w:r>
      <w:r>
        <w:t xml:space="preserve"> </w:t>
      </w:r>
      <w:r w:rsidRPr="00813AE4">
        <w:t>статей</w:t>
      </w:r>
      <w:r>
        <w:t> </w:t>
      </w:r>
      <w:r w:rsidRPr="00813AE4">
        <w:t>7, 9,</w:t>
      </w:r>
      <w:r w:rsidR="00B14339">
        <w:t xml:space="preserve"> пункта </w:t>
      </w:r>
      <w:r w:rsidRPr="00813AE4">
        <w:t>1</w:t>
      </w:r>
      <w:r w:rsidR="00B14339">
        <w:t xml:space="preserve"> статьи </w:t>
      </w:r>
      <w:r>
        <w:t xml:space="preserve">10, </w:t>
      </w:r>
      <w:r w:rsidRPr="00813AE4">
        <w:t>статей 16 и 17 Пакта, а также</w:t>
      </w:r>
      <w:r w:rsidR="00B14339">
        <w:t xml:space="preserve"> пункта </w:t>
      </w:r>
      <w:r w:rsidRPr="00813AE4">
        <w:t>3</w:t>
      </w:r>
      <w:r w:rsidR="00B14339">
        <w:t xml:space="preserve"> статьи </w:t>
      </w:r>
      <w:r>
        <w:t xml:space="preserve">2 </w:t>
      </w:r>
      <w:r w:rsidRPr="00813AE4">
        <w:t>рассматриваемого в</w:t>
      </w:r>
      <w:r>
        <w:t> </w:t>
      </w:r>
      <w:r w:rsidRPr="00813AE4">
        <w:t>совокупности с пунктом</w:t>
      </w:r>
      <w:r>
        <w:t> </w:t>
      </w:r>
      <w:r w:rsidRPr="00813AE4">
        <w:t>1</w:t>
      </w:r>
      <w:r w:rsidR="00B14339">
        <w:t xml:space="preserve"> статьи </w:t>
      </w:r>
      <w:r>
        <w:t xml:space="preserve">6, </w:t>
      </w:r>
      <w:r w:rsidRPr="00813AE4">
        <w:t>статьями</w:t>
      </w:r>
      <w:r>
        <w:t> </w:t>
      </w:r>
      <w:r w:rsidRPr="00813AE4">
        <w:t>7, 9, пунктом</w:t>
      </w:r>
      <w:r>
        <w:t> </w:t>
      </w:r>
      <w:r w:rsidRPr="00813AE4">
        <w:t>1</w:t>
      </w:r>
      <w:r w:rsidR="00B14339">
        <w:t xml:space="preserve"> статьи </w:t>
      </w:r>
      <w:r>
        <w:t xml:space="preserve">10, </w:t>
      </w:r>
      <w:r w:rsidRPr="00813AE4">
        <w:t>стат</w:t>
      </w:r>
      <w:r w:rsidRPr="00813AE4">
        <w:t>ь</w:t>
      </w:r>
      <w:r w:rsidRPr="00813AE4">
        <w:t>ями</w:t>
      </w:r>
      <w:r>
        <w:t> </w:t>
      </w:r>
      <w:r w:rsidRPr="00813AE4">
        <w:t>16 и 17, в отношении Яхьи Круми. Помимо этого, он констатирует наруш</w:t>
      </w:r>
      <w:r w:rsidRPr="00813AE4">
        <w:t>е</w:t>
      </w:r>
      <w:r w:rsidRPr="00813AE4">
        <w:t>ние</w:t>
      </w:r>
      <w:r w:rsidR="00B14339">
        <w:t xml:space="preserve"> статьи </w:t>
      </w:r>
      <w:r w:rsidRPr="00813AE4">
        <w:t>7, рассматриваемой отдельно и в совокупности с пун</w:t>
      </w:r>
      <w:r w:rsidRPr="00813AE4">
        <w:t>к</w:t>
      </w:r>
      <w:r w:rsidRPr="00813AE4">
        <w:t>том</w:t>
      </w:r>
      <w:r>
        <w:t> </w:t>
      </w:r>
      <w:r w:rsidRPr="00813AE4">
        <w:t>3</w:t>
      </w:r>
      <w:r w:rsidR="00B14339">
        <w:t xml:space="preserve"> статьи </w:t>
      </w:r>
      <w:r w:rsidRPr="00813AE4">
        <w:t>2 Пакта, в отношении автор</w:t>
      </w:r>
      <w:r>
        <w:t>а сообщения и его семьи.</w:t>
      </w:r>
    </w:p>
    <w:p w:rsidR="001D677D" w:rsidRPr="00813AE4" w:rsidRDefault="001D677D" w:rsidP="001D677D">
      <w:pPr>
        <w:pStyle w:val="SingleTxtGR"/>
      </w:pPr>
      <w:r w:rsidRPr="00813AE4">
        <w:t>10.</w:t>
      </w:r>
      <w:r w:rsidRPr="00813AE4">
        <w:tab/>
        <w:t>В соответствии с пунктом</w:t>
      </w:r>
      <w:r>
        <w:t> </w:t>
      </w:r>
      <w:r w:rsidRPr="00813AE4">
        <w:t>3</w:t>
      </w:r>
      <w:r w:rsidR="00B14339">
        <w:t xml:space="preserve"> статьи </w:t>
      </w:r>
      <w:r w:rsidRPr="00813AE4">
        <w:t>2 Пакта государство-участник обязано обеспечить автору и его семье эффективные средства правовой защиты, в час</w:t>
      </w:r>
      <w:r w:rsidRPr="00813AE4">
        <w:t>т</w:t>
      </w:r>
      <w:r w:rsidRPr="00813AE4">
        <w:t>ности: a) провести углубленное и тщательное ра</w:t>
      </w:r>
      <w:r w:rsidRPr="00813AE4">
        <w:t>с</w:t>
      </w:r>
      <w:r w:rsidRPr="00813AE4">
        <w:t>следование исчезновения Яхьи Круми и сообщить автору и его семье подробные результаты такого расслед</w:t>
      </w:r>
      <w:r w:rsidRPr="00813AE4">
        <w:t>о</w:t>
      </w:r>
      <w:r w:rsidRPr="00813AE4">
        <w:t>вания; b) незамедлительно освободить Яхью Круми, если он все еще содержи</w:t>
      </w:r>
      <w:r w:rsidRPr="00813AE4">
        <w:t>т</w:t>
      </w:r>
      <w:r w:rsidRPr="00813AE4">
        <w:t>ся под стражей без связи с внешним миром; с)</w:t>
      </w:r>
      <w:r>
        <w:t> </w:t>
      </w:r>
      <w:r w:rsidRPr="00813AE4">
        <w:t>в случае если он скончался, п</w:t>
      </w:r>
      <w:r w:rsidRPr="00813AE4">
        <w:t>е</w:t>
      </w:r>
      <w:r w:rsidRPr="00813AE4">
        <w:t>редать его останки семье; d) привлечь к ответственности, судить и наказать в</w:t>
      </w:r>
      <w:r w:rsidRPr="00813AE4">
        <w:t>и</w:t>
      </w:r>
      <w:r w:rsidRPr="00813AE4">
        <w:t>новных в этих нарушениях; e) с учетом ранее выплаченных сумм должным о</w:t>
      </w:r>
      <w:r w:rsidRPr="00813AE4">
        <w:t>б</w:t>
      </w:r>
      <w:r w:rsidRPr="00813AE4">
        <w:t>разом возместить автору сообщения и его семье причиненный им моральный ущерб, а также ущерб, причиненный Яхье Круми, если он все еще жив; f)</w:t>
      </w:r>
      <w:r>
        <w:t> </w:t>
      </w:r>
      <w:r w:rsidRPr="00813AE4">
        <w:t>принять соответствующие меры сатисфакции в отношении автора и его с</w:t>
      </w:r>
      <w:r w:rsidRPr="00813AE4">
        <w:t>е</w:t>
      </w:r>
      <w:r w:rsidRPr="00813AE4">
        <w:t>мьи. Несмотря на положения постановления</w:t>
      </w:r>
      <w:r w:rsidR="00B14339">
        <w:t> № </w:t>
      </w:r>
      <w:r w:rsidRPr="00813AE4">
        <w:t>06-01, государству-участнику следует также создать условия для беспрепятственного осуществления права на эффективные средства правовой защиты для жертв таких преступлений, как пытки, внесудебные казни и насильственные исчезновения. Кроме того, гос</w:t>
      </w:r>
      <w:r w:rsidRPr="00813AE4">
        <w:t>у</w:t>
      </w:r>
      <w:r w:rsidRPr="00813AE4">
        <w:t>дарство-участник обязано принять меры к тому, чтобы аналогичные нарушения не п</w:t>
      </w:r>
      <w:r w:rsidRPr="00813AE4">
        <w:t>о</w:t>
      </w:r>
      <w:r w:rsidRPr="00813AE4">
        <w:t>вторялись в будущем.</w:t>
      </w:r>
    </w:p>
    <w:p w:rsidR="001D677D" w:rsidRPr="00813AE4" w:rsidRDefault="001D677D" w:rsidP="001D677D">
      <w:pPr>
        <w:pStyle w:val="SingleTxtGR"/>
      </w:pPr>
      <w:r w:rsidRPr="00813AE4">
        <w:t>11.</w:t>
      </w:r>
      <w:r w:rsidRPr="00813AE4">
        <w:tab/>
        <w:t>С учетом того, что присоединившись к Факультативному протоколу, го</w:t>
      </w:r>
      <w:r w:rsidRPr="00813AE4">
        <w:t>с</w:t>
      </w:r>
      <w:r w:rsidRPr="00813AE4">
        <w:t>ударство-участник признало полномочия Комитета определять наличие или о</w:t>
      </w:r>
      <w:r w:rsidRPr="00813AE4">
        <w:t>т</w:t>
      </w:r>
      <w:r w:rsidRPr="00813AE4">
        <w:t>сутствие нарушений Пакта и что в соответствии со статьей</w:t>
      </w:r>
      <w:r>
        <w:t> </w:t>
      </w:r>
      <w:r w:rsidRPr="00813AE4">
        <w:t>2 Пакта госуда</w:t>
      </w:r>
      <w:r w:rsidRPr="00813AE4">
        <w:t>р</w:t>
      </w:r>
      <w:r w:rsidRPr="00813AE4">
        <w:t>ство-участник обязалось обеспечивать всем находящимся в пределах его терр</w:t>
      </w:r>
      <w:r w:rsidRPr="00813AE4">
        <w:t>и</w:t>
      </w:r>
      <w:r w:rsidRPr="00813AE4">
        <w:t>тории и под его юрисдикцией лицам признаваемые в Пакте права, а также э</w:t>
      </w:r>
      <w:r w:rsidRPr="00813AE4">
        <w:t>ф</w:t>
      </w:r>
      <w:r w:rsidRPr="00813AE4">
        <w:t>фективные и имеющие исковую силу средства правовой защиты в случае уст</w:t>
      </w:r>
      <w:r w:rsidRPr="00813AE4">
        <w:t>а</w:t>
      </w:r>
      <w:r w:rsidRPr="00813AE4">
        <w:t>новления факта нарушения, Комитет хотел бы получить от государства-участника в течение 180</w:t>
      </w:r>
      <w:r>
        <w:t> </w:t>
      </w:r>
      <w:r w:rsidRPr="00813AE4">
        <w:t>дней информацию о мерах, принятых во исполнение настоящих Соображений. Государству-участнику предлагается также обнарод</w:t>
      </w:r>
      <w:r w:rsidRPr="00813AE4">
        <w:t>о</w:t>
      </w:r>
      <w:r w:rsidRPr="00813AE4">
        <w:t>вать настоящие Соображения и обеспечить их широкое распространение на официальных языках.</w:t>
      </w:r>
    </w:p>
    <w:p w:rsidR="001D677D" w:rsidRPr="00813AE4" w:rsidRDefault="001D677D" w:rsidP="001D677D">
      <w:pPr>
        <w:spacing w:before="240" w:after="720"/>
        <w:jc w:val="center"/>
        <w:rPr>
          <w:color w:val="000000"/>
          <w:u w:val="single"/>
        </w:rPr>
      </w:pPr>
      <w:r w:rsidRPr="00813AE4">
        <w:rPr>
          <w:color w:val="000000"/>
          <w:u w:val="single"/>
        </w:rPr>
        <w:tab/>
      </w:r>
      <w:r w:rsidRPr="00813AE4">
        <w:rPr>
          <w:color w:val="000000"/>
          <w:u w:val="single"/>
        </w:rPr>
        <w:tab/>
      </w:r>
      <w:r w:rsidRPr="00813AE4">
        <w:rPr>
          <w:color w:val="000000"/>
          <w:u w:val="single"/>
        </w:rPr>
        <w:tab/>
      </w:r>
    </w:p>
    <w:sectPr w:rsidR="001D677D" w:rsidRPr="00813AE4" w:rsidSect="001D677D">
      <w:footnotePr>
        <w:numRestart w:val="eachSect"/>
      </w:foot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CF9" w:rsidRDefault="00D06CF9">
      <w:r>
        <w:rPr>
          <w:lang w:val="en-US"/>
        </w:rPr>
        <w:tab/>
      </w:r>
      <w:r>
        <w:separator/>
      </w:r>
    </w:p>
  </w:endnote>
  <w:endnote w:type="continuationSeparator" w:id="0">
    <w:p w:rsidR="00D06CF9" w:rsidRDefault="00D0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58" w:rsidRPr="005F0588" w:rsidRDefault="00D7635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549B">
      <w:rPr>
        <w:rStyle w:val="PageNumber"/>
        <w:noProof/>
      </w:rPr>
      <w:t>18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BC7F12">
      <w:rPr>
        <w:lang w:val="en-US"/>
      </w:rPr>
      <w:t>1</w:t>
    </w:r>
    <w:r w:rsidR="001D677D">
      <w:rPr>
        <w:lang w:val="en-US"/>
      </w:rPr>
      <w:t>4</w:t>
    </w:r>
    <w:r>
      <w:rPr>
        <w:lang w:val="en-US"/>
      </w:rPr>
      <w:t>-</w:t>
    </w:r>
    <w:r w:rsidR="001D677D">
      <w:rPr>
        <w:lang w:val="en-US"/>
      </w:rPr>
      <w:t>22367  (EXT)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58" w:rsidRPr="005F0588" w:rsidRDefault="00D76358">
    <w:pPr>
      <w:pStyle w:val="Footer"/>
      <w:rPr>
        <w:lang w:val="en-US"/>
      </w:rPr>
    </w:pPr>
    <w:r>
      <w:rPr>
        <w:lang w:val="en-US"/>
      </w:rPr>
      <w:t>GE.</w:t>
    </w:r>
    <w:r w:rsidR="001D677D">
      <w:rPr>
        <w:lang w:val="en-US"/>
      </w:rPr>
      <w:t>14-22367  (EXT)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549B"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89" w:rsidRDefault="00381289" w:rsidP="00381289">
    <w:pPr>
      <w:spacing w:line="240" w:lineRule="auto"/>
      <w:rPr>
        <w:sz w:val="2"/>
        <w:szCs w:val="2"/>
        <w:lang w:val="en-US"/>
      </w:rPr>
    </w:pPr>
  </w:p>
  <w:tbl>
    <w:tblPr>
      <w:tblW w:w="0" w:type="auto"/>
      <w:tblLook w:val="01E0"/>
    </w:tblPr>
    <w:tblGrid>
      <w:gridCol w:w="4068"/>
      <w:gridCol w:w="4663"/>
      <w:gridCol w:w="1124"/>
    </w:tblGrid>
    <w:tr w:rsidR="001D677D" w:rsidTr="00EE64D7">
      <w:trPr>
        <w:trHeight w:val="438"/>
      </w:trPr>
      <w:tc>
        <w:tcPr>
          <w:tcW w:w="4068" w:type="dxa"/>
          <w:shd w:val="clear" w:color="auto" w:fill="auto"/>
          <w:vAlign w:val="bottom"/>
        </w:tcPr>
        <w:p w:rsidR="001D677D" w:rsidRDefault="001D677D" w:rsidP="001D677D">
          <w:pPr>
            <w:suppressAutoHyphens/>
          </w:pPr>
          <w:r w:rsidRPr="00941452">
            <w:rPr>
              <w:lang w:val="en-US"/>
            </w:rPr>
            <w:t>GE.1</w:t>
          </w:r>
          <w:r>
            <w:t>4</w:t>
          </w:r>
          <w:r w:rsidRPr="00941452">
            <w:rPr>
              <w:lang w:val="en-US"/>
            </w:rPr>
            <w:t>-</w:t>
          </w:r>
          <w:r>
            <w:t>2</w:t>
          </w:r>
          <w:r>
            <w:rPr>
              <w:lang w:val="en-US"/>
            </w:rPr>
            <w:t>2367  (EXT</w:t>
          </w:r>
          <w:r w:rsidRPr="00941452">
            <w:rPr>
              <w:lang w:val="en-US"/>
            </w:rPr>
            <w:t>)</w:t>
          </w:r>
        </w:p>
      </w:tc>
      <w:tc>
        <w:tcPr>
          <w:tcW w:w="4663" w:type="dxa"/>
          <w:vMerge w:val="restart"/>
          <w:shd w:val="clear" w:color="auto" w:fill="auto"/>
          <w:vAlign w:val="bottom"/>
        </w:tcPr>
        <w:p w:rsidR="001D677D" w:rsidRDefault="001D677D" w:rsidP="00EE64D7">
          <w:pPr>
            <w:suppressAutoHyphens/>
            <w:spacing w:after="120"/>
            <w:jc w:val="right"/>
          </w:pPr>
          <w:r w:rsidRPr="00941452">
            <w:rPr>
              <w:b/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alt="recycle_Russian" style="width:213pt;height:18pt;visibility:visible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shd w:val="clear" w:color="auto" w:fill="auto"/>
        </w:tcPr>
        <w:p w:rsidR="001D677D" w:rsidRDefault="001D677D" w:rsidP="00EE64D7">
          <w:pPr>
            <w:suppressAutoHyphens/>
            <w:jc w:val="center"/>
          </w:pPr>
          <w:r>
            <w:rPr>
              <w:noProof/>
              <w:w w:val="100"/>
              <w:lang w:eastAsia="ru-RU"/>
            </w:rPr>
            <w:pict>
              <v:shape id="_x0000_s2050" type="#_x0000_t75" style="position:absolute;left:0;text-align:left;margin-left:-4.95pt;margin-top:-55.8pt;width:50.25pt;height:50.25pt;z-index:2;mso-position-horizontal-relative:margin;mso-position-vertical-relative:margin">
                <v:imagedata r:id="rId2" o:title="2011&amp;Size=2&amp;Lang=F"/>
                <w10:wrap anchorx="margin" anchory="margin"/>
              </v:shape>
            </w:pict>
          </w:r>
        </w:p>
      </w:tc>
    </w:tr>
    <w:tr w:rsidR="001D677D" w:rsidRPr="00797A78" w:rsidTr="00EE64D7">
      <w:tc>
        <w:tcPr>
          <w:tcW w:w="4068" w:type="dxa"/>
          <w:shd w:val="clear" w:color="auto" w:fill="auto"/>
          <w:vAlign w:val="bottom"/>
        </w:tcPr>
        <w:p w:rsidR="001D677D" w:rsidRPr="00941452" w:rsidRDefault="001D677D" w:rsidP="001D677D">
          <w:pPr>
            <w:suppressAutoHyphens/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>
            <w:rPr>
              <w:rFonts w:ascii="C39T30Lfz" w:hAnsi="C39T30Lfz"/>
              <w:sz w:val="56"/>
            </w:rPr>
            <w:t>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>
            <w:rPr>
              <w:rFonts w:ascii="C39T30Lfz" w:hAnsi="C39T30Lfz"/>
              <w:sz w:val="56"/>
            </w:rPr>
            <w:t></w:t>
          </w:r>
        </w:p>
      </w:tc>
      <w:tc>
        <w:tcPr>
          <w:tcW w:w="4663" w:type="dxa"/>
          <w:vMerge/>
          <w:shd w:val="clear" w:color="auto" w:fill="auto"/>
        </w:tcPr>
        <w:p w:rsidR="001D677D" w:rsidRDefault="001D677D" w:rsidP="00EE64D7">
          <w:pPr>
            <w:suppressAutoHyphens/>
          </w:pPr>
        </w:p>
      </w:tc>
      <w:tc>
        <w:tcPr>
          <w:tcW w:w="1124" w:type="dxa"/>
          <w:vMerge/>
          <w:shd w:val="clear" w:color="auto" w:fill="auto"/>
        </w:tcPr>
        <w:p w:rsidR="001D677D" w:rsidRDefault="001D677D" w:rsidP="00EE64D7">
          <w:pPr>
            <w:suppressAutoHyphens/>
          </w:pPr>
        </w:p>
      </w:tc>
    </w:tr>
  </w:tbl>
  <w:p w:rsidR="006E7AF7" w:rsidRPr="002D7E3C" w:rsidRDefault="006B745F" w:rsidP="006E7AF7">
    <w:pPr>
      <w:pStyle w:val="Footer"/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90pt;margin-top:-193.15pt;width:36pt;height:162.9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<v:textbox style="layout-flow:vertical" inset="0,0,0,0">
            <w:txbxContent>
              <w:p w:rsidR="006E7AF7" w:rsidRDefault="006E7AF7" w:rsidP="006E7AF7">
                <w:pPr>
                  <w:rPr>
                    <w:lang w:val="en-US"/>
                  </w:rPr>
                </w:pPr>
              </w:p>
              <w:p w:rsidR="006E7AF7" w:rsidRDefault="006E7AF7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69549B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CF9" w:rsidRPr="00F71F63" w:rsidRDefault="00D06CF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06CF9" w:rsidRPr="00F71F63" w:rsidRDefault="00D06CF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06CF9" w:rsidRPr="00635E86" w:rsidRDefault="00D06CF9" w:rsidP="00635E86">
      <w:pPr>
        <w:pStyle w:val="Footer"/>
      </w:pPr>
    </w:p>
  </w:footnote>
  <w:footnote w:id="1">
    <w:p w:rsidR="001D677D" w:rsidRPr="00B14339" w:rsidRDefault="001D677D" w:rsidP="001D677D">
      <w:pPr>
        <w:pStyle w:val="FootnoteText"/>
        <w:rPr>
          <w:lang w:val="ru-RU"/>
        </w:rPr>
      </w:pPr>
      <w:r>
        <w:tab/>
      </w:r>
      <w:r w:rsidRPr="001D677D">
        <w:rPr>
          <w:rStyle w:val="FootnoteReference"/>
          <w:sz w:val="20"/>
        </w:rPr>
        <w:footnoteRef/>
      </w:r>
      <w:r w:rsidRPr="001D677D">
        <w:rPr>
          <w:lang w:val="ru-RU"/>
        </w:rPr>
        <w:tab/>
      </w:r>
      <w:r w:rsidR="00CF2D62" w:rsidRPr="006A7604">
        <w:rPr>
          <w:lang w:val="ru-RU"/>
        </w:rPr>
        <w:t>В рассмотрении настоящего сообщения принимали участие следующие члены Комитета: Ядх Бен Ашур, Константин Вардзелашвили, Марго Ватервал, Юдзи Ива</w:t>
      </w:r>
      <w:r w:rsidR="00CF2D62">
        <w:rPr>
          <w:lang w:val="ru-RU"/>
        </w:rPr>
        <w:t>сава, Аня Зайберт-Фор, Андрей Пау</w:t>
      </w:r>
      <w:r w:rsidR="00CF2D62" w:rsidRPr="006A7604">
        <w:rPr>
          <w:lang w:val="ru-RU"/>
        </w:rPr>
        <w:t>л Злэте</w:t>
      </w:r>
      <w:r w:rsidR="00CF2D62">
        <w:rPr>
          <w:lang w:val="ru-RU"/>
        </w:rPr>
        <w:t>ску, Вальтер Келин, Джеральд Л. </w:t>
      </w:r>
      <w:r w:rsidR="00CF2D62" w:rsidRPr="006A7604">
        <w:rPr>
          <w:lang w:val="ru-RU"/>
        </w:rPr>
        <w:t xml:space="preserve">Нойман, </w:t>
      </w:r>
      <w:r w:rsidR="00CF2D62" w:rsidRPr="00B95875">
        <w:rPr>
          <w:lang w:val="ru-RU"/>
        </w:rPr>
        <w:t>c</w:t>
      </w:r>
      <w:r w:rsidR="00CF2D62">
        <w:rPr>
          <w:lang w:val="ru-RU"/>
        </w:rPr>
        <w:t>эр Найджел Родли, Фабиан Ома</w:t>
      </w:r>
      <w:r w:rsidR="00CF2D62" w:rsidRPr="006A7604">
        <w:rPr>
          <w:lang w:val="ru-RU"/>
        </w:rPr>
        <w:t>р Сальвиоли, Дхир</w:t>
      </w:r>
      <w:r w:rsidR="00CF2D62">
        <w:rPr>
          <w:lang w:val="ru-RU"/>
        </w:rPr>
        <w:t>уджалл Барамлалл Ситулсинг, Ахме</w:t>
      </w:r>
      <w:r w:rsidR="00CF2D62" w:rsidRPr="006A7604">
        <w:rPr>
          <w:lang w:val="ru-RU"/>
        </w:rPr>
        <w:t>д Амин Ф</w:t>
      </w:r>
      <w:r w:rsidR="00CF2D62">
        <w:rPr>
          <w:lang w:val="ru-RU"/>
        </w:rPr>
        <w:t>ат</w:t>
      </w:r>
      <w:r w:rsidR="00CF2D62" w:rsidRPr="006A7604">
        <w:rPr>
          <w:lang w:val="ru-RU"/>
        </w:rPr>
        <w:t>алла, Корнелис Флинтерман, Кристина Шане и Юваль Шани.</w:t>
      </w:r>
    </w:p>
    <w:p w:rsidR="001D677D" w:rsidRPr="001D677D" w:rsidRDefault="001D677D">
      <w:pPr>
        <w:pStyle w:val="FootnoteText"/>
        <w:rPr>
          <w:lang w:val="ru-RU"/>
        </w:rPr>
      </w:pPr>
      <w:r w:rsidRPr="00B14339">
        <w:rPr>
          <w:lang w:val="ru-RU"/>
        </w:rPr>
        <w:tab/>
      </w:r>
      <w:r w:rsidRPr="00B14339">
        <w:rPr>
          <w:lang w:val="ru-RU"/>
        </w:rPr>
        <w:tab/>
        <w:t>В соответствии с правилом 90 правил процедуры Комитета член Комитета Лазхари Бузид не принимал участия в рассмотрении настоящего сообщения.</w:t>
      </w:r>
    </w:p>
  </w:footnote>
  <w:footnote w:id="2">
    <w:p w:rsidR="001D677D" w:rsidRPr="001D677D" w:rsidRDefault="001D677D" w:rsidP="001D677D">
      <w:pPr>
        <w:pStyle w:val="FootnoteText"/>
        <w:rPr>
          <w:lang w:val="ru-RU"/>
        </w:rPr>
      </w:pPr>
      <w:r w:rsidRPr="001D677D">
        <w:rPr>
          <w:lang w:val="ru-RU"/>
        </w:rPr>
        <w:tab/>
      </w:r>
      <w:r w:rsidRPr="00FC416C">
        <w:rPr>
          <w:rStyle w:val="FootnoteReference"/>
        </w:rPr>
        <w:footnoteRef/>
      </w:r>
      <w:r w:rsidRPr="001D677D">
        <w:rPr>
          <w:lang w:val="ru-RU"/>
        </w:rPr>
        <w:tab/>
        <w:t>НККПЗПЧ пришла на смену НСПЧ.</w:t>
      </w:r>
    </w:p>
  </w:footnote>
  <w:footnote w:id="3">
    <w:p w:rsidR="001D677D" w:rsidRPr="001D677D" w:rsidRDefault="001D677D" w:rsidP="001D677D">
      <w:pPr>
        <w:pStyle w:val="FootnoteText"/>
        <w:rPr>
          <w:lang w:val="ru-RU"/>
        </w:rPr>
      </w:pPr>
      <w:r w:rsidRPr="001D677D">
        <w:rPr>
          <w:lang w:val="ru-RU"/>
        </w:rPr>
        <w:tab/>
      </w:r>
      <w:r w:rsidRPr="00FC416C">
        <w:rPr>
          <w:rStyle w:val="FootnoteReference"/>
        </w:rPr>
        <w:footnoteRef/>
      </w:r>
      <w:r w:rsidRPr="001D677D">
        <w:rPr>
          <w:lang w:val="ru-RU"/>
        </w:rPr>
        <w:tab/>
        <w:t>Поскольку мать Яхьи Круми скончалась до того, как получила свою долю, автор смог пол</w:t>
      </w:r>
      <w:r w:rsidRPr="001D677D">
        <w:rPr>
          <w:lang w:val="ru-RU"/>
        </w:rPr>
        <w:t>у</w:t>
      </w:r>
      <w:r w:rsidRPr="001D677D">
        <w:rPr>
          <w:lang w:val="ru-RU"/>
        </w:rPr>
        <w:t>чить только малую часть суммы, причитавшейся его супруге.</w:t>
      </w:r>
    </w:p>
  </w:footnote>
  <w:footnote w:id="4">
    <w:p w:rsidR="001D677D" w:rsidRPr="00813AE4" w:rsidRDefault="001D677D" w:rsidP="001D677D">
      <w:pPr>
        <w:pStyle w:val="FootnoteText"/>
        <w:rPr>
          <w:lang w:val="ru-RU"/>
        </w:rPr>
      </w:pPr>
      <w:r w:rsidRPr="001D677D">
        <w:rPr>
          <w:lang w:val="ru-RU"/>
        </w:rPr>
        <w:tab/>
      </w:r>
      <w:r w:rsidRPr="00FC416C">
        <w:rPr>
          <w:rStyle w:val="FootnoteReference"/>
        </w:rPr>
        <w:footnoteRef/>
      </w:r>
      <w:r w:rsidRPr="00813AE4">
        <w:rPr>
          <w:lang w:val="ru-RU"/>
        </w:rPr>
        <w:tab/>
        <w:t>Автор ссылается на особые мнения Фабиана Омара Сальвиоли на это счет, изложенные, в частности, в сообщениях</w:t>
      </w:r>
      <w:r w:rsidR="00B14339">
        <w:rPr>
          <w:lang w:val="ru-RU"/>
        </w:rPr>
        <w:t> № </w:t>
      </w:r>
      <w:r w:rsidRPr="00813AE4">
        <w:rPr>
          <w:lang w:val="ru-RU"/>
        </w:rPr>
        <w:t>1780/2008</w:t>
      </w:r>
      <w:r w:rsidR="007E02DF">
        <w:rPr>
          <w:lang w:val="ru-RU"/>
        </w:rPr>
        <w:t>,</w:t>
      </w:r>
      <w:r w:rsidRPr="00813AE4">
        <w:rPr>
          <w:lang w:val="ru-RU"/>
        </w:rPr>
        <w:t xml:space="preserve"> </w:t>
      </w:r>
      <w:r w:rsidRPr="00813AE4">
        <w:rPr>
          <w:i/>
          <w:lang w:val="ru-RU"/>
        </w:rPr>
        <w:t>Зарзи против Алжира</w:t>
      </w:r>
      <w:r w:rsidRPr="00813AE4">
        <w:rPr>
          <w:lang w:val="ru-RU"/>
        </w:rPr>
        <w:t xml:space="preserve"> (Соображения, принятые 22</w:t>
      </w:r>
      <w:r w:rsidR="00B14339">
        <w:rPr>
          <w:lang w:val="ru-RU"/>
        </w:rPr>
        <w:t> марта</w:t>
      </w:r>
      <w:r w:rsidRPr="00813AE4">
        <w:rPr>
          <w:lang w:val="ru-RU"/>
        </w:rPr>
        <w:t xml:space="preserve"> 2011</w:t>
      </w:r>
      <w:r w:rsidR="00B14339">
        <w:rPr>
          <w:lang w:val="ru-RU"/>
        </w:rPr>
        <w:t> года</w:t>
      </w:r>
      <w:r w:rsidRPr="00813AE4">
        <w:rPr>
          <w:lang w:val="ru-RU"/>
        </w:rPr>
        <w:t>) и</w:t>
      </w:r>
      <w:r w:rsidR="00B14339">
        <w:rPr>
          <w:lang w:val="ru-RU"/>
        </w:rPr>
        <w:t> № </w:t>
      </w:r>
      <w:r w:rsidRPr="00813AE4">
        <w:rPr>
          <w:lang w:val="ru-RU"/>
        </w:rPr>
        <w:t>1588/2007</w:t>
      </w:r>
      <w:r w:rsidR="007E02DF">
        <w:rPr>
          <w:lang w:val="ru-RU"/>
        </w:rPr>
        <w:t>,</w:t>
      </w:r>
      <w:r w:rsidRPr="00813AE4">
        <w:rPr>
          <w:lang w:val="ru-RU"/>
        </w:rPr>
        <w:t xml:space="preserve"> </w:t>
      </w:r>
      <w:r w:rsidRPr="00813AE4">
        <w:rPr>
          <w:i/>
          <w:lang w:val="ru-RU"/>
        </w:rPr>
        <w:t>Беназиза против Алжира</w:t>
      </w:r>
      <w:r w:rsidRPr="00813AE4">
        <w:rPr>
          <w:lang w:val="ru-RU"/>
        </w:rPr>
        <w:t xml:space="preserve"> (Соображения, принятые 26</w:t>
      </w:r>
      <w:r w:rsidR="00B14339">
        <w:rPr>
          <w:lang w:val="ru-RU"/>
        </w:rPr>
        <w:t> июля</w:t>
      </w:r>
      <w:r w:rsidRPr="00813AE4">
        <w:rPr>
          <w:lang w:val="ru-RU"/>
        </w:rPr>
        <w:t xml:space="preserve"> 2010</w:t>
      </w:r>
      <w:r w:rsidR="00B14339">
        <w:rPr>
          <w:lang w:val="ru-RU"/>
        </w:rPr>
        <w:t> года</w:t>
      </w:r>
      <w:r w:rsidRPr="00813AE4">
        <w:rPr>
          <w:lang w:val="ru-RU"/>
        </w:rPr>
        <w:t>).</w:t>
      </w:r>
    </w:p>
  </w:footnote>
  <w:footnote w:id="5">
    <w:p w:rsidR="001D677D" w:rsidRPr="001D677D" w:rsidRDefault="001D677D" w:rsidP="001D677D">
      <w:pPr>
        <w:pStyle w:val="FootnoteText"/>
        <w:rPr>
          <w:lang w:val="ru-RU"/>
        </w:rPr>
      </w:pPr>
      <w:r w:rsidRPr="00813AE4">
        <w:rPr>
          <w:lang w:val="ru-RU"/>
        </w:rPr>
        <w:tab/>
      </w:r>
      <w:r w:rsidRPr="00FC416C">
        <w:rPr>
          <w:rStyle w:val="FootnoteReference"/>
        </w:rPr>
        <w:footnoteRef/>
      </w:r>
      <w:r w:rsidRPr="001D677D">
        <w:rPr>
          <w:lang w:val="ru-RU"/>
        </w:rPr>
        <w:tab/>
        <w:t>Сообщения</w:t>
      </w:r>
      <w:r w:rsidR="00B14339">
        <w:rPr>
          <w:lang w:val="ru-RU"/>
        </w:rPr>
        <w:t> № </w:t>
      </w:r>
      <w:r w:rsidRPr="001D677D">
        <w:rPr>
          <w:lang w:val="ru-RU"/>
        </w:rPr>
        <w:t>449/1991</w:t>
      </w:r>
      <w:r w:rsidR="007E02DF">
        <w:rPr>
          <w:lang w:val="ru-RU"/>
        </w:rPr>
        <w:t>,</w:t>
      </w:r>
      <w:r w:rsidRPr="001D677D">
        <w:rPr>
          <w:lang w:val="ru-RU"/>
        </w:rPr>
        <w:t xml:space="preserve"> </w:t>
      </w:r>
      <w:r w:rsidRPr="001D677D">
        <w:rPr>
          <w:i/>
          <w:lang w:val="ru-RU"/>
        </w:rPr>
        <w:t>Моджика против Доминиканской Республики</w:t>
      </w:r>
      <w:r w:rsidRPr="001D677D">
        <w:rPr>
          <w:lang w:val="ru-RU"/>
        </w:rPr>
        <w:t>, Соображения, принятые 15</w:t>
      </w:r>
      <w:r w:rsidR="00B14339">
        <w:rPr>
          <w:lang w:val="ru-RU"/>
        </w:rPr>
        <w:t> июля</w:t>
      </w:r>
      <w:r w:rsidRPr="001D677D">
        <w:rPr>
          <w:lang w:val="ru-RU"/>
        </w:rPr>
        <w:t xml:space="preserve"> 1994</w:t>
      </w:r>
      <w:r w:rsidR="00B14339">
        <w:rPr>
          <w:lang w:val="ru-RU"/>
        </w:rPr>
        <w:t> года</w:t>
      </w:r>
      <w:r w:rsidRPr="001D677D">
        <w:rPr>
          <w:lang w:val="ru-RU"/>
        </w:rPr>
        <w:t>, пункт 5.7;</w:t>
      </w:r>
      <w:r w:rsidR="00B14339">
        <w:rPr>
          <w:lang w:val="ru-RU"/>
        </w:rPr>
        <w:t> № </w:t>
      </w:r>
      <w:r w:rsidRPr="001D677D">
        <w:rPr>
          <w:lang w:val="ru-RU"/>
        </w:rPr>
        <w:t xml:space="preserve">540/1993 </w:t>
      </w:r>
      <w:r w:rsidRPr="001D677D">
        <w:rPr>
          <w:i/>
          <w:lang w:val="ru-RU"/>
        </w:rPr>
        <w:t>Лауреано Атачахуа против Перу</w:t>
      </w:r>
      <w:r w:rsidRPr="001D677D">
        <w:rPr>
          <w:lang w:val="ru-RU"/>
        </w:rPr>
        <w:t>, Соображения, принятые 25</w:t>
      </w:r>
      <w:r w:rsidR="00B14339">
        <w:rPr>
          <w:lang w:val="ru-RU"/>
        </w:rPr>
        <w:t> марта</w:t>
      </w:r>
      <w:r w:rsidRPr="001D677D">
        <w:rPr>
          <w:lang w:val="ru-RU"/>
        </w:rPr>
        <w:t xml:space="preserve"> 1996</w:t>
      </w:r>
      <w:r w:rsidR="00B14339">
        <w:rPr>
          <w:lang w:val="ru-RU"/>
        </w:rPr>
        <w:t> года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>8.5;</w:t>
      </w:r>
      <w:r w:rsidR="00B14339">
        <w:rPr>
          <w:lang w:val="ru-RU"/>
        </w:rPr>
        <w:t> № </w:t>
      </w:r>
      <w:r w:rsidRPr="001D677D">
        <w:rPr>
          <w:lang w:val="ru-RU"/>
        </w:rPr>
        <w:t>542/1993</w:t>
      </w:r>
      <w:r w:rsidR="007E02DF">
        <w:rPr>
          <w:lang w:val="ru-RU"/>
        </w:rPr>
        <w:t>,</w:t>
      </w:r>
      <w:r w:rsidRPr="001D677D">
        <w:rPr>
          <w:lang w:val="ru-RU"/>
        </w:rPr>
        <w:t xml:space="preserve"> </w:t>
      </w:r>
      <w:r w:rsidRPr="001D677D">
        <w:rPr>
          <w:i/>
          <w:lang w:val="ru-RU"/>
        </w:rPr>
        <w:t>Н’Гоя против Заира</w:t>
      </w:r>
      <w:r w:rsidRPr="001D677D">
        <w:rPr>
          <w:lang w:val="ru-RU"/>
        </w:rPr>
        <w:t>, Соображения, принятые 25</w:t>
      </w:r>
      <w:r w:rsidR="00B14339">
        <w:rPr>
          <w:lang w:val="ru-RU"/>
        </w:rPr>
        <w:t> марта</w:t>
      </w:r>
      <w:r w:rsidRPr="001D677D">
        <w:rPr>
          <w:lang w:val="ru-RU"/>
        </w:rPr>
        <w:t xml:space="preserve"> 1996</w:t>
      </w:r>
      <w:r w:rsidR="00B14339">
        <w:rPr>
          <w:lang w:val="ru-RU"/>
        </w:rPr>
        <w:t> года</w:t>
      </w:r>
      <w:r w:rsidRPr="001D677D">
        <w:rPr>
          <w:lang w:val="ru-RU"/>
        </w:rPr>
        <w:t>, пункт 5.5.</w:t>
      </w:r>
    </w:p>
  </w:footnote>
  <w:footnote w:id="6">
    <w:p w:rsidR="001D677D" w:rsidRPr="001D677D" w:rsidRDefault="001D677D" w:rsidP="001D677D">
      <w:pPr>
        <w:pStyle w:val="FootnoteText"/>
        <w:rPr>
          <w:lang w:val="ru-RU"/>
        </w:rPr>
      </w:pPr>
      <w:r w:rsidRPr="001D677D">
        <w:rPr>
          <w:lang w:val="ru-RU"/>
        </w:rPr>
        <w:tab/>
      </w:r>
      <w:r w:rsidRPr="00FC416C">
        <w:rPr>
          <w:rStyle w:val="FootnoteReference"/>
        </w:rPr>
        <w:footnoteRef/>
      </w:r>
      <w:r w:rsidRPr="001D677D">
        <w:rPr>
          <w:lang w:val="ru-RU"/>
        </w:rPr>
        <w:tab/>
      </w:r>
      <w:r w:rsidRPr="001D677D">
        <w:rPr>
          <w:i/>
          <w:lang w:val="ru-RU"/>
        </w:rPr>
        <w:t>Беназиза против Алжира</w:t>
      </w:r>
      <w:r w:rsidRPr="001D677D">
        <w:rPr>
          <w:lang w:val="ru-RU"/>
        </w:rPr>
        <w:t>, пункт 9.5; сообщения</w:t>
      </w:r>
      <w:r w:rsidR="00B14339">
        <w:rPr>
          <w:lang w:val="ru-RU"/>
        </w:rPr>
        <w:t> № </w:t>
      </w:r>
      <w:r w:rsidRPr="001D677D">
        <w:rPr>
          <w:lang w:val="ru-RU"/>
        </w:rPr>
        <w:t>1196/2003</w:t>
      </w:r>
      <w:r w:rsidR="007E02DF">
        <w:rPr>
          <w:lang w:val="ru-RU"/>
        </w:rPr>
        <w:t>,</w:t>
      </w:r>
      <w:r w:rsidRPr="001D677D">
        <w:rPr>
          <w:lang w:val="ru-RU"/>
        </w:rPr>
        <w:t xml:space="preserve"> </w:t>
      </w:r>
      <w:r w:rsidRPr="001D677D">
        <w:rPr>
          <w:i/>
          <w:lang w:val="ru-RU"/>
        </w:rPr>
        <w:t>Бушерф против Алжира</w:t>
      </w:r>
      <w:r w:rsidRPr="001D677D">
        <w:rPr>
          <w:lang w:val="ru-RU"/>
        </w:rPr>
        <w:t>, Соображения, принятые 30</w:t>
      </w:r>
      <w:r w:rsidR="00B14339">
        <w:rPr>
          <w:lang w:val="ru-RU"/>
        </w:rPr>
        <w:t> марта</w:t>
      </w:r>
      <w:r w:rsidRPr="001D677D">
        <w:rPr>
          <w:lang w:val="ru-RU"/>
        </w:rPr>
        <w:t xml:space="preserve"> 2006</w:t>
      </w:r>
      <w:r w:rsidR="00B14339">
        <w:rPr>
          <w:lang w:val="ru-RU"/>
        </w:rPr>
        <w:t> года</w:t>
      </w:r>
      <w:r w:rsidRPr="001D677D">
        <w:rPr>
          <w:lang w:val="ru-RU"/>
        </w:rPr>
        <w:t>, пункт 9.6;</w:t>
      </w:r>
      <w:r w:rsidR="00B14339">
        <w:rPr>
          <w:lang w:val="ru-RU"/>
        </w:rPr>
        <w:t> № </w:t>
      </w:r>
      <w:r w:rsidRPr="001D677D">
        <w:rPr>
          <w:lang w:val="ru-RU"/>
        </w:rPr>
        <w:t>1327/2004</w:t>
      </w:r>
      <w:r w:rsidR="007E02DF">
        <w:rPr>
          <w:lang w:val="ru-RU"/>
        </w:rPr>
        <w:t>,</w:t>
      </w:r>
      <w:r w:rsidRPr="001D677D">
        <w:rPr>
          <w:lang w:val="ru-RU"/>
        </w:rPr>
        <w:t xml:space="preserve"> </w:t>
      </w:r>
      <w:r w:rsidRPr="001D677D">
        <w:rPr>
          <w:i/>
          <w:lang w:val="ru-RU"/>
        </w:rPr>
        <w:t>Атамна против Алжира</w:t>
      </w:r>
      <w:r w:rsidRPr="001D677D">
        <w:rPr>
          <w:lang w:val="ru-RU"/>
        </w:rPr>
        <w:t>, Соображения, принятые 10</w:t>
      </w:r>
      <w:r w:rsidR="00B14339">
        <w:rPr>
          <w:lang w:val="ru-RU"/>
        </w:rPr>
        <w:t> июля</w:t>
      </w:r>
      <w:r w:rsidRPr="001D677D">
        <w:rPr>
          <w:lang w:val="ru-RU"/>
        </w:rPr>
        <w:t xml:space="preserve"> 2007</w:t>
      </w:r>
      <w:r w:rsidR="00B14339">
        <w:rPr>
          <w:lang w:val="ru-RU"/>
        </w:rPr>
        <w:t> года</w:t>
      </w:r>
      <w:r w:rsidRPr="001D677D">
        <w:rPr>
          <w:lang w:val="ru-RU"/>
        </w:rPr>
        <w:t>, пункт 7.6;</w:t>
      </w:r>
      <w:r w:rsidR="00B14339">
        <w:rPr>
          <w:lang w:val="ru-RU"/>
        </w:rPr>
        <w:t> № </w:t>
      </w:r>
      <w:r w:rsidRPr="001D677D">
        <w:rPr>
          <w:lang w:val="ru-RU"/>
        </w:rPr>
        <w:t xml:space="preserve">992/2001, </w:t>
      </w:r>
      <w:r w:rsidRPr="001D677D">
        <w:rPr>
          <w:i/>
          <w:lang w:val="ru-RU"/>
        </w:rPr>
        <w:t>Буруаль против Алжира</w:t>
      </w:r>
      <w:r w:rsidRPr="001D677D">
        <w:rPr>
          <w:lang w:val="ru-RU"/>
        </w:rPr>
        <w:t>, Соображения, принятые 30</w:t>
      </w:r>
      <w:r w:rsidR="00B14339">
        <w:rPr>
          <w:lang w:val="ru-RU"/>
        </w:rPr>
        <w:t> марта</w:t>
      </w:r>
      <w:r w:rsidRPr="001D677D">
        <w:rPr>
          <w:lang w:val="ru-RU"/>
        </w:rPr>
        <w:t xml:space="preserve"> 2006</w:t>
      </w:r>
      <w:r w:rsidR="00B14339">
        <w:rPr>
          <w:lang w:val="ru-RU"/>
        </w:rPr>
        <w:t> года</w:t>
      </w:r>
      <w:r w:rsidRPr="001D677D">
        <w:rPr>
          <w:lang w:val="ru-RU"/>
        </w:rPr>
        <w:t>, пункт 9.8;</w:t>
      </w:r>
      <w:r w:rsidR="00B14339">
        <w:rPr>
          <w:lang w:val="ru-RU"/>
        </w:rPr>
        <w:t> № </w:t>
      </w:r>
      <w:r w:rsidRPr="001D677D">
        <w:rPr>
          <w:lang w:val="ru-RU"/>
        </w:rPr>
        <w:t>950/2000</w:t>
      </w:r>
      <w:r w:rsidR="007E02DF">
        <w:rPr>
          <w:lang w:val="ru-RU"/>
        </w:rPr>
        <w:t>,</w:t>
      </w:r>
      <w:r w:rsidRPr="001D677D">
        <w:rPr>
          <w:lang w:val="ru-RU"/>
        </w:rPr>
        <w:t xml:space="preserve"> </w:t>
      </w:r>
      <w:r w:rsidRPr="001D677D">
        <w:rPr>
          <w:i/>
          <w:lang w:val="ru-RU"/>
        </w:rPr>
        <w:t>Сарма против Шри-Ланки</w:t>
      </w:r>
      <w:r w:rsidRPr="001D677D">
        <w:rPr>
          <w:lang w:val="ru-RU"/>
        </w:rPr>
        <w:t>, Соображения, принятые 16</w:t>
      </w:r>
      <w:r w:rsidR="00B14339">
        <w:rPr>
          <w:lang w:val="ru-RU"/>
        </w:rPr>
        <w:t> июля</w:t>
      </w:r>
      <w:r w:rsidRPr="001D677D">
        <w:rPr>
          <w:lang w:val="ru-RU"/>
        </w:rPr>
        <w:t xml:space="preserve"> 2003</w:t>
      </w:r>
      <w:r w:rsidR="00B14339">
        <w:rPr>
          <w:lang w:val="ru-RU"/>
        </w:rPr>
        <w:t> года</w:t>
      </w:r>
      <w:r w:rsidRPr="001D677D">
        <w:rPr>
          <w:lang w:val="ru-RU"/>
        </w:rPr>
        <w:t>, пункт 9.3.</w:t>
      </w:r>
    </w:p>
  </w:footnote>
  <w:footnote w:id="7">
    <w:p w:rsidR="001D677D" w:rsidRPr="001D677D" w:rsidRDefault="001D677D" w:rsidP="001D677D">
      <w:pPr>
        <w:pStyle w:val="FootnoteText"/>
        <w:rPr>
          <w:lang w:val="ru-RU"/>
        </w:rPr>
      </w:pPr>
      <w:r w:rsidRPr="001D677D">
        <w:rPr>
          <w:lang w:val="ru-RU"/>
        </w:rPr>
        <w:tab/>
      </w:r>
      <w:r w:rsidRPr="00FC416C">
        <w:rPr>
          <w:rStyle w:val="FootnoteReference"/>
        </w:rPr>
        <w:footnoteRef/>
      </w:r>
      <w:r w:rsidRPr="001D677D">
        <w:rPr>
          <w:lang w:val="ru-RU"/>
        </w:rPr>
        <w:tab/>
        <w:t>Автор ссылается на сообщение</w:t>
      </w:r>
      <w:r w:rsidR="00B14339">
        <w:rPr>
          <w:lang w:val="ru-RU"/>
        </w:rPr>
        <w:t> № </w:t>
      </w:r>
      <w:r w:rsidRPr="001D677D">
        <w:rPr>
          <w:lang w:val="ru-RU"/>
        </w:rPr>
        <w:t>188/1984</w:t>
      </w:r>
      <w:r w:rsidR="007E02DF">
        <w:rPr>
          <w:lang w:val="ru-RU"/>
        </w:rPr>
        <w:t>,</w:t>
      </w:r>
      <w:r w:rsidRPr="001D677D">
        <w:rPr>
          <w:lang w:val="ru-RU"/>
        </w:rPr>
        <w:t xml:space="preserve"> </w:t>
      </w:r>
      <w:r w:rsidRPr="001D677D">
        <w:rPr>
          <w:i/>
          <w:lang w:val="ru-RU"/>
        </w:rPr>
        <w:t>Порторреаль против Доминиканской Республики</w:t>
      </w:r>
      <w:r w:rsidRPr="001D677D">
        <w:rPr>
          <w:lang w:val="ru-RU"/>
        </w:rPr>
        <w:t>, Соображения, принятые 5</w:t>
      </w:r>
      <w:r w:rsidR="00B14339">
        <w:rPr>
          <w:lang w:val="ru-RU"/>
        </w:rPr>
        <w:t> ноября</w:t>
      </w:r>
      <w:r w:rsidRPr="001D677D">
        <w:rPr>
          <w:lang w:val="ru-RU"/>
        </w:rPr>
        <w:t xml:space="preserve"> 1987</w:t>
      </w:r>
      <w:r w:rsidR="00B14339">
        <w:rPr>
          <w:lang w:val="ru-RU"/>
        </w:rPr>
        <w:t> года</w:t>
      </w:r>
      <w:r w:rsidRPr="001D677D">
        <w:rPr>
          <w:lang w:val="ru-RU"/>
        </w:rPr>
        <w:t>, пункт 11, в которых Комитет признал условия содерж</w:t>
      </w:r>
      <w:r w:rsidRPr="001D677D">
        <w:rPr>
          <w:lang w:val="ru-RU"/>
        </w:rPr>
        <w:t>а</w:t>
      </w:r>
      <w:r w:rsidRPr="001D677D">
        <w:rPr>
          <w:lang w:val="ru-RU"/>
        </w:rPr>
        <w:t>ния под стражей нарушающими статью 7 Пакта.</w:t>
      </w:r>
    </w:p>
  </w:footnote>
  <w:footnote w:id="8">
    <w:p w:rsidR="001D677D" w:rsidRPr="001D677D" w:rsidRDefault="001D677D" w:rsidP="001D677D">
      <w:pPr>
        <w:pStyle w:val="FootnoteText"/>
        <w:rPr>
          <w:lang w:val="ru-RU"/>
        </w:rPr>
      </w:pPr>
      <w:r w:rsidRPr="001D677D">
        <w:rPr>
          <w:lang w:val="ru-RU"/>
        </w:rPr>
        <w:tab/>
      </w:r>
      <w:r w:rsidRPr="00FC416C">
        <w:rPr>
          <w:rStyle w:val="FootnoteReference"/>
        </w:rPr>
        <w:footnoteRef/>
      </w:r>
      <w:r w:rsidRPr="001D677D">
        <w:rPr>
          <w:lang w:val="ru-RU"/>
        </w:rPr>
        <w:tab/>
      </w:r>
      <w:r w:rsidRPr="001D677D">
        <w:rPr>
          <w:i/>
          <w:lang w:val="ru-RU"/>
        </w:rPr>
        <w:t>Беназиза против Алжира</w:t>
      </w:r>
      <w:r w:rsidRPr="001D677D">
        <w:rPr>
          <w:lang w:val="ru-RU"/>
        </w:rPr>
        <w:t xml:space="preserve">, пункт 9.6; </w:t>
      </w:r>
      <w:r w:rsidRPr="001D677D">
        <w:rPr>
          <w:i/>
          <w:lang w:val="ru-RU"/>
        </w:rPr>
        <w:t>Бушерф против Алжира</w:t>
      </w:r>
      <w:r w:rsidRPr="001D677D">
        <w:rPr>
          <w:lang w:val="ru-RU"/>
        </w:rPr>
        <w:t xml:space="preserve">, пункт 9.7; </w:t>
      </w:r>
      <w:r w:rsidRPr="001D677D">
        <w:rPr>
          <w:i/>
          <w:lang w:val="ru-RU"/>
        </w:rPr>
        <w:t>Атамна против Алжира</w:t>
      </w:r>
      <w:r w:rsidRPr="001D677D">
        <w:rPr>
          <w:lang w:val="ru-RU"/>
        </w:rPr>
        <w:t xml:space="preserve">, пункт 7.7; </w:t>
      </w:r>
      <w:r w:rsidRPr="001D677D">
        <w:rPr>
          <w:i/>
          <w:lang w:val="ru-RU"/>
        </w:rPr>
        <w:t>Буруаль против Алжира</w:t>
      </w:r>
      <w:r w:rsidRPr="001D677D">
        <w:rPr>
          <w:lang w:val="ru-RU"/>
        </w:rPr>
        <w:t xml:space="preserve">, пункт 9.8; </w:t>
      </w:r>
      <w:r w:rsidRPr="001D677D">
        <w:rPr>
          <w:i/>
          <w:lang w:val="ru-RU"/>
        </w:rPr>
        <w:t>Сарма против Шри-Ланки</w:t>
      </w:r>
      <w:r w:rsidRPr="001D677D">
        <w:rPr>
          <w:lang w:val="ru-RU"/>
        </w:rPr>
        <w:t>, пункт 9.5.</w:t>
      </w:r>
    </w:p>
  </w:footnote>
  <w:footnote w:id="9">
    <w:p w:rsidR="001D677D" w:rsidRPr="001D677D" w:rsidRDefault="001D677D" w:rsidP="001D677D">
      <w:pPr>
        <w:pStyle w:val="FootnoteText"/>
        <w:rPr>
          <w:lang w:val="ru-RU"/>
        </w:rPr>
      </w:pPr>
      <w:r w:rsidRPr="001D677D">
        <w:rPr>
          <w:lang w:val="ru-RU"/>
        </w:rPr>
        <w:tab/>
      </w:r>
      <w:r w:rsidRPr="00FC416C">
        <w:rPr>
          <w:rStyle w:val="FootnoteReference"/>
        </w:rPr>
        <w:footnoteRef/>
      </w:r>
      <w:r w:rsidRPr="001D677D">
        <w:rPr>
          <w:lang w:val="ru-RU"/>
        </w:rPr>
        <w:tab/>
        <w:t>Сообщение</w:t>
      </w:r>
      <w:r w:rsidR="00B14339">
        <w:rPr>
          <w:lang w:val="ru-RU"/>
        </w:rPr>
        <w:t> № </w:t>
      </w:r>
      <w:r w:rsidRPr="001D677D">
        <w:rPr>
          <w:lang w:val="ru-RU"/>
        </w:rPr>
        <w:t>1469/2006</w:t>
      </w:r>
      <w:r w:rsidR="007E02DF">
        <w:rPr>
          <w:lang w:val="ru-RU"/>
        </w:rPr>
        <w:t>,</w:t>
      </w:r>
      <w:r w:rsidRPr="001D677D">
        <w:rPr>
          <w:lang w:val="ru-RU"/>
        </w:rPr>
        <w:t xml:space="preserve"> </w:t>
      </w:r>
      <w:r w:rsidRPr="001D677D">
        <w:rPr>
          <w:i/>
          <w:lang w:val="ru-RU"/>
        </w:rPr>
        <w:t>Шарма против Непала</w:t>
      </w:r>
      <w:r w:rsidRPr="001D677D">
        <w:rPr>
          <w:lang w:val="ru-RU"/>
        </w:rPr>
        <w:t>, Соображения, принятые 28</w:t>
      </w:r>
      <w:r w:rsidR="00B14339">
        <w:rPr>
          <w:lang w:val="ru-RU"/>
        </w:rPr>
        <w:t> октября</w:t>
      </w:r>
      <w:r w:rsidRPr="001D677D">
        <w:rPr>
          <w:lang w:val="ru-RU"/>
        </w:rPr>
        <w:t xml:space="preserve"> 2008</w:t>
      </w:r>
      <w:r w:rsidR="00B14339">
        <w:rPr>
          <w:lang w:val="ru-RU"/>
        </w:rPr>
        <w:t> года</w:t>
      </w:r>
      <w:r w:rsidRPr="001D677D">
        <w:rPr>
          <w:lang w:val="ru-RU"/>
        </w:rPr>
        <w:t>, пункт 7.7.</w:t>
      </w:r>
    </w:p>
  </w:footnote>
  <w:footnote w:id="10">
    <w:p w:rsidR="001D677D" w:rsidRPr="001D677D" w:rsidRDefault="001D677D" w:rsidP="001D677D">
      <w:pPr>
        <w:pStyle w:val="FootnoteText"/>
        <w:rPr>
          <w:lang w:val="ru-RU"/>
        </w:rPr>
      </w:pPr>
      <w:r w:rsidRPr="001D677D">
        <w:rPr>
          <w:lang w:val="ru-RU"/>
        </w:rPr>
        <w:tab/>
      </w:r>
      <w:r w:rsidRPr="00FC416C">
        <w:rPr>
          <w:rStyle w:val="FootnoteReference"/>
        </w:rPr>
        <w:footnoteRef/>
      </w:r>
      <w:r w:rsidRPr="001D677D">
        <w:rPr>
          <w:lang w:val="ru-RU"/>
        </w:rPr>
        <w:tab/>
        <w:t>Автор цитирует сообщение</w:t>
      </w:r>
      <w:r w:rsidR="00B14339">
        <w:rPr>
          <w:lang w:val="ru-RU"/>
        </w:rPr>
        <w:t> № </w:t>
      </w:r>
      <w:r w:rsidRPr="001D677D">
        <w:rPr>
          <w:lang w:val="ru-RU"/>
        </w:rPr>
        <w:t>1328/2004</w:t>
      </w:r>
      <w:r w:rsidR="007E02DF">
        <w:rPr>
          <w:lang w:val="ru-RU"/>
        </w:rPr>
        <w:t>,</w:t>
      </w:r>
      <w:r w:rsidRPr="001D677D">
        <w:rPr>
          <w:lang w:val="ru-RU"/>
        </w:rPr>
        <w:t xml:space="preserve"> </w:t>
      </w:r>
      <w:r w:rsidRPr="001D677D">
        <w:rPr>
          <w:i/>
          <w:lang w:val="ru-RU"/>
        </w:rPr>
        <w:t>Шерайтия против Алжира</w:t>
      </w:r>
      <w:r w:rsidRPr="001D677D">
        <w:rPr>
          <w:lang w:val="ru-RU"/>
        </w:rPr>
        <w:t>, Соображения, прин</w:t>
      </w:r>
      <w:r w:rsidRPr="001D677D">
        <w:rPr>
          <w:lang w:val="ru-RU"/>
        </w:rPr>
        <w:t>я</w:t>
      </w:r>
      <w:r w:rsidRPr="001D677D">
        <w:rPr>
          <w:lang w:val="ru-RU"/>
        </w:rPr>
        <w:t>тые 10</w:t>
      </w:r>
      <w:r w:rsidR="00B14339">
        <w:rPr>
          <w:lang w:val="ru-RU"/>
        </w:rPr>
        <w:t> июля</w:t>
      </w:r>
      <w:r w:rsidRPr="001D677D">
        <w:rPr>
          <w:lang w:val="ru-RU"/>
        </w:rPr>
        <w:t xml:space="preserve"> 2007</w:t>
      </w:r>
      <w:r w:rsidR="00B14339">
        <w:rPr>
          <w:lang w:val="ru-RU"/>
        </w:rPr>
        <w:t> года</w:t>
      </w:r>
      <w:r w:rsidRPr="001D677D">
        <w:rPr>
          <w:lang w:val="ru-RU"/>
        </w:rPr>
        <w:t xml:space="preserve">, и </w:t>
      </w:r>
      <w:r w:rsidRPr="001D677D">
        <w:rPr>
          <w:i/>
          <w:lang w:val="ru-RU"/>
        </w:rPr>
        <w:t>Атамна против Алжира</w:t>
      </w:r>
      <w:r w:rsidRPr="001D677D">
        <w:rPr>
          <w:lang w:val="ru-RU"/>
        </w:rPr>
        <w:t>.</w:t>
      </w:r>
    </w:p>
  </w:footnote>
  <w:footnote w:id="11">
    <w:p w:rsidR="001D677D" w:rsidRPr="001D677D" w:rsidRDefault="001D677D" w:rsidP="001D677D">
      <w:pPr>
        <w:pStyle w:val="FootnoteText"/>
        <w:rPr>
          <w:lang w:val="ru-RU"/>
        </w:rPr>
      </w:pPr>
      <w:r w:rsidRPr="001D677D">
        <w:rPr>
          <w:lang w:val="ru-RU"/>
        </w:rPr>
        <w:tab/>
      </w:r>
      <w:r w:rsidRPr="00FC416C">
        <w:rPr>
          <w:rStyle w:val="FootnoteReference"/>
        </w:rPr>
        <w:footnoteRef/>
      </w:r>
      <w:r w:rsidRPr="001D677D">
        <w:rPr>
          <w:lang w:val="ru-RU"/>
        </w:rPr>
        <w:tab/>
        <w:t>Автор ссылается на сообщение</w:t>
      </w:r>
      <w:r w:rsidR="00B14339">
        <w:rPr>
          <w:lang w:val="ru-RU"/>
        </w:rPr>
        <w:t> № </w:t>
      </w:r>
      <w:r w:rsidRPr="001D677D">
        <w:rPr>
          <w:lang w:val="ru-RU"/>
        </w:rPr>
        <w:t xml:space="preserve">687/1996, </w:t>
      </w:r>
      <w:r w:rsidRPr="001D677D">
        <w:rPr>
          <w:i/>
          <w:lang w:val="ru-RU"/>
        </w:rPr>
        <w:t>Рохас Гарсия против Колумбии</w:t>
      </w:r>
      <w:r w:rsidRPr="001D677D">
        <w:rPr>
          <w:lang w:val="ru-RU"/>
        </w:rPr>
        <w:t>, Соображения, принятые 3</w:t>
      </w:r>
      <w:r w:rsidR="00B14339">
        <w:rPr>
          <w:lang w:val="ru-RU"/>
        </w:rPr>
        <w:t> апреля</w:t>
      </w:r>
      <w:r w:rsidRPr="001D677D">
        <w:rPr>
          <w:lang w:val="ru-RU"/>
        </w:rPr>
        <w:t xml:space="preserve"> 2001</w:t>
      </w:r>
      <w:r w:rsidR="00B14339">
        <w:rPr>
          <w:lang w:val="ru-RU"/>
        </w:rPr>
        <w:t> года</w:t>
      </w:r>
      <w:r w:rsidRPr="001D677D">
        <w:rPr>
          <w:lang w:val="ru-RU"/>
        </w:rPr>
        <w:t>, в которых Комитет констатировал, что проникновение людей в масках в дом через крышу посреди ночи представляет собой произвольное посягательство на неприкоснове</w:t>
      </w:r>
      <w:r w:rsidRPr="001D677D">
        <w:rPr>
          <w:lang w:val="ru-RU"/>
        </w:rPr>
        <w:t>н</w:t>
      </w:r>
      <w:r w:rsidRPr="001D677D">
        <w:rPr>
          <w:lang w:val="ru-RU"/>
        </w:rPr>
        <w:t>ность жилища семьи Рохаса Гарсии.</w:t>
      </w:r>
    </w:p>
  </w:footnote>
  <w:footnote w:id="12">
    <w:p w:rsidR="001D677D" w:rsidRPr="001049F7" w:rsidRDefault="001D677D" w:rsidP="001D677D">
      <w:pPr>
        <w:pStyle w:val="FootnoteText"/>
        <w:rPr>
          <w:lang w:val="ru-RU"/>
        </w:rPr>
      </w:pPr>
      <w:r w:rsidRPr="001D677D">
        <w:rPr>
          <w:lang w:val="ru-RU"/>
        </w:rPr>
        <w:tab/>
      </w:r>
      <w:r w:rsidRPr="00FC416C">
        <w:rPr>
          <w:rStyle w:val="FootnoteReference"/>
        </w:rPr>
        <w:footnoteRef/>
      </w:r>
      <w:r w:rsidRPr="001049F7">
        <w:rPr>
          <w:lang w:val="ru-RU"/>
        </w:rPr>
        <w:tab/>
        <w:t>Автор ссылается на заключительные замечания Комитета по третьему периодическому д</w:t>
      </w:r>
      <w:r w:rsidRPr="001049F7">
        <w:rPr>
          <w:lang w:val="ru-RU"/>
        </w:rPr>
        <w:t>о</w:t>
      </w:r>
      <w:r w:rsidRPr="001049F7">
        <w:rPr>
          <w:lang w:val="ru-RU"/>
        </w:rPr>
        <w:t>кладу Алжира, принятые 1</w:t>
      </w:r>
      <w:r w:rsidR="00B14339">
        <w:t> </w:t>
      </w:r>
      <w:r w:rsidR="00B14339" w:rsidRPr="00B14339">
        <w:rPr>
          <w:lang w:val="ru-RU"/>
        </w:rPr>
        <w:t>ноября</w:t>
      </w:r>
      <w:r w:rsidRPr="001049F7">
        <w:rPr>
          <w:lang w:val="ru-RU"/>
        </w:rPr>
        <w:t xml:space="preserve"> 2007</w:t>
      </w:r>
      <w:r w:rsidR="00B14339">
        <w:t> </w:t>
      </w:r>
      <w:r w:rsidR="00B14339" w:rsidRPr="00B14339">
        <w:rPr>
          <w:lang w:val="ru-RU"/>
        </w:rPr>
        <w:t>года</w:t>
      </w:r>
      <w:r w:rsidRPr="001049F7">
        <w:rPr>
          <w:lang w:val="ru-RU"/>
        </w:rPr>
        <w:t xml:space="preserve"> (</w:t>
      </w:r>
      <w:r>
        <w:t>CCPR</w:t>
      </w:r>
      <w:r w:rsidRPr="001049F7">
        <w:rPr>
          <w:lang w:val="ru-RU"/>
        </w:rPr>
        <w:t>/</w:t>
      </w:r>
      <w:r>
        <w:t>C</w:t>
      </w:r>
      <w:r w:rsidRPr="001049F7">
        <w:rPr>
          <w:lang w:val="ru-RU"/>
        </w:rPr>
        <w:t>/</w:t>
      </w:r>
      <w:r>
        <w:t>DZA</w:t>
      </w:r>
      <w:r w:rsidRPr="001049F7">
        <w:rPr>
          <w:lang w:val="ru-RU"/>
        </w:rPr>
        <w:t>/</w:t>
      </w:r>
      <w:r>
        <w:t>CO</w:t>
      </w:r>
      <w:r w:rsidRPr="001049F7">
        <w:rPr>
          <w:lang w:val="ru-RU"/>
        </w:rPr>
        <w:t>/3), пункт</w:t>
      </w:r>
      <w:r>
        <w:t> </w:t>
      </w:r>
      <w:r w:rsidRPr="001049F7">
        <w:rPr>
          <w:lang w:val="ru-RU"/>
        </w:rPr>
        <w:t>7.</w:t>
      </w:r>
    </w:p>
  </w:footnote>
  <w:footnote w:id="13">
    <w:p w:rsidR="001D677D" w:rsidRPr="001049F7" w:rsidRDefault="001D677D" w:rsidP="001D677D">
      <w:pPr>
        <w:pStyle w:val="FootnoteText"/>
        <w:rPr>
          <w:lang w:val="ru-RU"/>
        </w:rPr>
      </w:pPr>
      <w:r w:rsidRPr="001049F7">
        <w:rPr>
          <w:lang w:val="ru-RU"/>
        </w:rPr>
        <w:tab/>
      </w:r>
      <w:r w:rsidRPr="00FC416C">
        <w:rPr>
          <w:rStyle w:val="FootnoteReference"/>
        </w:rPr>
        <w:footnoteRef/>
      </w:r>
      <w:r w:rsidRPr="001049F7">
        <w:rPr>
          <w:lang w:val="ru-RU"/>
        </w:rPr>
        <w:tab/>
        <w:t>Государство-участник ссылается, в частности, на сообщения</w:t>
      </w:r>
      <w:r w:rsidR="00B14339">
        <w:t> </w:t>
      </w:r>
      <w:r w:rsidR="00B14339" w:rsidRPr="00B14339">
        <w:rPr>
          <w:lang w:val="ru-RU"/>
        </w:rPr>
        <w:t>№</w:t>
      </w:r>
      <w:r w:rsidR="00B14339">
        <w:t> </w:t>
      </w:r>
      <w:r w:rsidRPr="001049F7">
        <w:rPr>
          <w:lang w:val="ru-RU"/>
        </w:rPr>
        <w:t xml:space="preserve">210/1986 и 225/1987, </w:t>
      </w:r>
      <w:r w:rsidRPr="001049F7">
        <w:rPr>
          <w:i/>
          <w:lang w:val="ru-RU"/>
        </w:rPr>
        <w:t>Пратт и Морган</w:t>
      </w:r>
      <w:r>
        <w:rPr>
          <w:i/>
          <w:lang w:val="ru-RU"/>
        </w:rPr>
        <w:t xml:space="preserve"> </w:t>
      </w:r>
      <w:r w:rsidRPr="001049F7">
        <w:rPr>
          <w:i/>
          <w:lang w:val="ru-RU"/>
        </w:rPr>
        <w:t>против Ямайки</w:t>
      </w:r>
      <w:r w:rsidRPr="001049F7">
        <w:rPr>
          <w:lang w:val="ru-RU"/>
        </w:rPr>
        <w:t>, Соображения, принятые 6</w:t>
      </w:r>
      <w:r w:rsidR="00B14339">
        <w:t> </w:t>
      </w:r>
      <w:r w:rsidR="00B14339" w:rsidRPr="00B14339">
        <w:rPr>
          <w:lang w:val="ru-RU"/>
        </w:rPr>
        <w:t>апреля</w:t>
      </w:r>
      <w:r w:rsidRPr="001049F7">
        <w:rPr>
          <w:lang w:val="ru-RU"/>
        </w:rPr>
        <w:t xml:space="preserve"> 1989</w:t>
      </w:r>
      <w:r w:rsidR="00B14339">
        <w:t> </w:t>
      </w:r>
      <w:r w:rsidR="00B14339" w:rsidRPr="00B14339">
        <w:rPr>
          <w:lang w:val="ru-RU"/>
        </w:rPr>
        <w:t>года</w:t>
      </w:r>
      <w:r w:rsidRPr="001049F7">
        <w:rPr>
          <w:lang w:val="ru-RU"/>
        </w:rPr>
        <w:t>.</w:t>
      </w:r>
    </w:p>
  </w:footnote>
  <w:footnote w:id="14">
    <w:p w:rsidR="001D677D" w:rsidRPr="00410B18" w:rsidRDefault="001D677D" w:rsidP="001D677D">
      <w:pPr>
        <w:pStyle w:val="FootnoteText"/>
        <w:rPr>
          <w:lang w:val="ru-RU"/>
        </w:rPr>
      </w:pPr>
      <w:r w:rsidRPr="001049F7">
        <w:rPr>
          <w:lang w:val="ru-RU"/>
        </w:rPr>
        <w:tab/>
      </w:r>
      <w:r w:rsidRPr="00FC416C">
        <w:rPr>
          <w:rStyle w:val="FootnoteReference"/>
        </w:rPr>
        <w:footnoteRef/>
      </w:r>
      <w:r w:rsidRPr="001D677D">
        <w:rPr>
          <w:lang w:val="ru-RU"/>
        </w:rPr>
        <w:tab/>
        <w:t>Автор упоминает заключительные замечания Комитета по правам человека по третьему периодическому докладу Алжира (</w:t>
      </w:r>
      <w:r w:rsidRPr="00E742A8">
        <w:t>CCPR</w:t>
      </w:r>
      <w:r w:rsidRPr="001D677D">
        <w:rPr>
          <w:lang w:val="ru-RU"/>
        </w:rPr>
        <w:t>/</w:t>
      </w:r>
      <w:r w:rsidRPr="00E742A8">
        <w:t>C</w:t>
      </w:r>
      <w:r w:rsidRPr="001D677D">
        <w:rPr>
          <w:lang w:val="ru-RU"/>
        </w:rPr>
        <w:t>/</w:t>
      </w:r>
      <w:r w:rsidRPr="00E742A8">
        <w:t>DZA</w:t>
      </w:r>
      <w:r w:rsidRPr="001D677D">
        <w:rPr>
          <w:lang w:val="ru-RU"/>
        </w:rPr>
        <w:t>/</w:t>
      </w:r>
      <w:r w:rsidRPr="00E742A8">
        <w:t>CO</w:t>
      </w:r>
      <w:r w:rsidRPr="001D677D">
        <w:rPr>
          <w:lang w:val="ru-RU"/>
        </w:rPr>
        <w:t xml:space="preserve">/3), пункты 7, 8 и 13. Автор также ссылается на сообщение </w:t>
      </w:r>
      <w:r w:rsidRPr="001D677D">
        <w:rPr>
          <w:i/>
          <w:lang w:val="ru-RU"/>
        </w:rPr>
        <w:t>Бушерф против Алжира</w:t>
      </w:r>
      <w:r w:rsidRPr="001D677D">
        <w:rPr>
          <w:lang w:val="ru-RU"/>
        </w:rPr>
        <w:t>, пункт 11, и на заключительные замечания Комитета против пыток по третьему периодическому докладу Алжира (</w:t>
      </w:r>
      <w:r w:rsidRPr="00E742A8">
        <w:t>CAT</w:t>
      </w:r>
      <w:r w:rsidRPr="001D677D">
        <w:rPr>
          <w:lang w:val="ru-RU"/>
        </w:rPr>
        <w:t>/</w:t>
      </w:r>
      <w:r w:rsidRPr="00E742A8">
        <w:t>C</w:t>
      </w:r>
      <w:r w:rsidRPr="001D677D">
        <w:rPr>
          <w:lang w:val="ru-RU"/>
        </w:rPr>
        <w:t>/</w:t>
      </w:r>
      <w:r w:rsidRPr="00E742A8">
        <w:t>DZA</w:t>
      </w:r>
      <w:r w:rsidRPr="001D677D">
        <w:rPr>
          <w:lang w:val="ru-RU"/>
        </w:rPr>
        <w:t>/</w:t>
      </w:r>
      <w:r w:rsidRPr="00E742A8">
        <w:t>CO</w:t>
      </w:r>
      <w:r w:rsidRPr="001D677D">
        <w:rPr>
          <w:lang w:val="ru-RU"/>
        </w:rPr>
        <w:t>/3), принятые 13</w:t>
      </w:r>
      <w:r w:rsidR="00B14339">
        <w:rPr>
          <w:lang w:val="ru-RU"/>
        </w:rPr>
        <w:t> мая</w:t>
      </w:r>
      <w:r w:rsidRPr="001D677D">
        <w:rPr>
          <w:lang w:val="ru-RU"/>
        </w:rPr>
        <w:t xml:space="preserve"> 2008</w:t>
      </w:r>
      <w:r w:rsidR="00B14339">
        <w:rPr>
          <w:lang w:val="ru-RU"/>
        </w:rPr>
        <w:t> года</w:t>
      </w:r>
      <w:r w:rsidRPr="001D677D">
        <w:rPr>
          <w:lang w:val="ru-RU"/>
        </w:rPr>
        <w:t xml:space="preserve">, пункты 11, 13 и 17. </w:t>
      </w:r>
      <w:r w:rsidRPr="00410B18">
        <w:rPr>
          <w:lang w:val="ru-RU"/>
        </w:rPr>
        <w:t xml:space="preserve">Наконец, автор упоминает </w:t>
      </w:r>
      <w:bookmarkStart w:id="2" w:name="OLE_LINK1"/>
      <w:bookmarkStart w:id="3" w:name="OLE_LINK2"/>
      <w:r w:rsidRPr="00410B18">
        <w:rPr>
          <w:lang w:val="ru-RU"/>
        </w:rPr>
        <w:t>замечание общего порядка</w:t>
      </w:r>
      <w:r w:rsidR="00B14339">
        <w:rPr>
          <w:lang w:val="ru-RU"/>
        </w:rPr>
        <w:t> № </w:t>
      </w:r>
      <w:r w:rsidRPr="00410B18">
        <w:rPr>
          <w:lang w:val="ru-RU"/>
        </w:rPr>
        <w:t>29</w:t>
      </w:r>
      <w:bookmarkEnd w:id="2"/>
      <w:bookmarkEnd w:id="3"/>
      <w:r w:rsidRPr="00410B18">
        <w:rPr>
          <w:lang w:val="ru-RU"/>
        </w:rPr>
        <w:t xml:space="preserve"> (2001 год)</w:t>
      </w:r>
      <w:r w:rsidR="00B14339">
        <w:rPr>
          <w:lang w:val="ru-RU"/>
        </w:rPr>
        <w:t>, принято</w:t>
      </w:r>
      <w:r w:rsidRPr="00410B18">
        <w:rPr>
          <w:lang w:val="ru-RU"/>
        </w:rPr>
        <w:t>е Комитетом в отношении отступлений от Пакта в связи с чрезвычайным положением, пункт</w:t>
      </w:r>
      <w:r>
        <w:t> </w:t>
      </w:r>
      <w:r w:rsidRPr="00410B18">
        <w:rPr>
          <w:lang w:val="ru-RU"/>
        </w:rPr>
        <w:t>1.</w:t>
      </w:r>
    </w:p>
  </w:footnote>
  <w:footnote w:id="15">
    <w:p w:rsidR="001D677D" w:rsidRPr="00410B18" w:rsidRDefault="001D677D" w:rsidP="001D677D">
      <w:pPr>
        <w:pStyle w:val="FootnoteText"/>
        <w:rPr>
          <w:lang w:val="ru-RU"/>
        </w:rPr>
      </w:pPr>
      <w:r w:rsidRPr="00410B18">
        <w:rPr>
          <w:lang w:val="ru-RU"/>
        </w:rPr>
        <w:tab/>
      </w:r>
      <w:r w:rsidRPr="00FC416C">
        <w:rPr>
          <w:rStyle w:val="FootnoteReference"/>
        </w:rPr>
        <w:footnoteRef/>
      </w:r>
      <w:r w:rsidRPr="00410B18">
        <w:rPr>
          <w:lang w:val="ru-RU"/>
        </w:rPr>
        <w:tab/>
      </w:r>
      <w:r w:rsidRPr="00410B18">
        <w:rPr>
          <w:i/>
          <w:lang w:val="ru-RU"/>
        </w:rPr>
        <w:t>Беназиза против Алжира</w:t>
      </w:r>
      <w:r w:rsidRPr="00410B18">
        <w:rPr>
          <w:lang w:val="ru-RU"/>
        </w:rPr>
        <w:t>, пункт</w:t>
      </w:r>
      <w:r>
        <w:t> </w:t>
      </w:r>
      <w:r w:rsidRPr="00410B18">
        <w:rPr>
          <w:lang w:val="ru-RU"/>
        </w:rPr>
        <w:t>8.3.</w:t>
      </w:r>
    </w:p>
  </w:footnote>
  <w:footnote w:id="16">
    <w:p w:rsidR="001D677D" w:rsidRPr="00410B18" w:rsidRDefault="001D677D" w:rsidP="001D677D">
      <w:pPr>
        <w:pStyle w:val="FootnoteText"/>
        <w:rPr>
          <w:lang w:val="ru-RU"/>
        </w:rPr>
      </w:pPr>
      <w:r w:rsidRPr="00410B18">
        <w:rPr>
          <w:lang w:val="ru-RU"/>
        </w:rPr>
        <w:tab/>
      </w:r>
      <w:r w:rsidRPr="00FC416C">
        <w:rPr>
          <w:rStyle w:val="FootnoteReference"/>
        </w:rPr>
        <w:footnoteRef/>
      </w:r>
      <w:r w:rsidRPr="00410B18">
        <w:rPr>
          <w:lang w:val="ru-RU"/>
        </w:rPr>
        <w:tab/>
        <w:t>Автор упоминает решение Комитета против пыток в связи с сообщением</w:t>
      </w:r>
      <w:r w:rsidR="00B14339">
        <w:t> </w:t>
      </w:r>
      <w:r w:rsidR="00B14339" w:rsidRPr="00B14339">
        <w:rPr>
          <w:lang w:val="ru-RU"/>
        </w:rPr>
        <w:t>№</w:t>
      </w:r>
      <w:r w:rsidR="00B14339">
        <w:t> </w:t>
      </w:r>
      <w:r w:rsidRPr="00410B18">
        <w:rPr>
          <w:lang w:val="ru-RU"/>
        </w:rPr>
        <w:t>207/2002</w:t>
      </w:r>
      <w:r w:rsidR="007E02DF">
        <w:rPr>
          <w:lang w:val="ru-RU"/>
        </w:rPr>
        <w:t>,</w:t>
      </w:r>
      <w:r w:rsidRPr="00410B18">
        <w:rPr>
          <w:lang w:val="ru-RU"/>
        </w:rPr>
        <w:t xml:space="preserve"> </w:t>
      </w:r>
      <w:r w:rsidRPr="00410B18">
        <w:rPr>
          <w:i/>
          <w:lang w:val="ru-RU"/>
        </w:rPr>
        <w:t>Драган Димитриевич против Сербии и Черногории</w:t>
      </w:r>
      <w:r w:rsidRPr="00410B18">
        <w:rPr>
          <w:lang w:val="ru-RU"/>
        </w:rPr>
        <w:t>, принятое 24</w:t>
      </w:r>
      <w:r w:rsidR="00B14339">
        <w:rPr>
          <w:lang w:val="ru-RU"/>
        </w:rPr>
        <w:t> ноября</w:t>
      </w:r>
      <w:r w:rsidRPr="00410B18">
        <w:rPr>
          <w:lang w:val="ru-RU"/>
        </w:rPr>
        <w:t xml:space="preserve"> 2004</w:t>
      </w:r>
      <w:r w:rsidR="00B14339">
        <w:t> </w:t>
      </w:r>
      <w:r w:rsidR="00B14339" w:rsidRPr="00B14339">
        <w:rPr>
          <w:lang w:val="ru-RU"/>
        </w:rPr>
        <w:t>года</w:t>
      </w:r>
      <w:r w:rsidRPr="00410B18">
        <w:rPr>
          <w:lang w:val="ru-RU"/>
        </w:rPr>
        <w:t>, пункт</w:t>
      </w:r>
      <w:r w:rsidRPr="00E742A8">
        <w:t> </w:t>
      </w:r>
      <w:r w:rsidRPr="00410B18">
        <w:rPr>
          <w:lang w:val="ru-RU"/>
        </w:rPr>
        <w:t>5.3, и представленное в Комитет по правам человека сообщение</w:t>
      </w:r>
      <w:r w:rsidR="00B14339">
        <w:t> </w:t>
      </w:r>
      <w:r w:rsidR="00B14339" w:rsidRPr="00B14339">
        <w:rPr>
          <w:lang w:val="ru-RU"/>
        </w:rPr>
        <w:t>№</w:t>
      </w:r>
      <w:r w:rsidR="00B14339">
        <w:t> </w:t>
      </w:r>
      <w:r w:rsidRPr="00410B18">
        <w:rPr>
          <w:lang w:val="ru-RU"/>
        </w:rPr>
        <w:t xml:space="preserve">1640/2007, </w:t>
      </w:r>
      <w:r w:rsidRPr="00410B18">
        <w:rPr>
          <w:i/>
          <w:lang w:val="ru-RU"/>
        </w:rPr>
        <w:t>Эль-Абани против Ливийской Арабской Джамахирии</w:t>
      </w:r>
      <w:r w:rsidRPr="00410B18">
        <w:rPr>
          <w:lang w:val="ru-RU"/>
        </w:rPr>
        <w:t>, Соображения, принятые 26</w:t>
      </w:r>
      <w:r w:rsidR="00B14339">
        <w:rPr>
          <w:lang w:val="ru-RU"/>
        </w:rPr>
        <w:t> июля</w:t>
      </w:r>
      <w:r w:rsidRPr="00410B18">
        <w:rPr>
          <w:lang w:val="ru-RU"/>
        </w:rPr>
        <w:t xml:space="preserve"> 2010</w:t>
      </w:r>
      <w:r w:rsidR="00B14339">
        <w:t> </w:t>
      </w:r>
      <w:r w:rsidR="00B14339" w:rsidRPr="00B14339">
        <w:rPr>
          <w:lang w:val="ru-RU"/>
        </w:rPr>
        <w:t>года</w:t>
      </w:r>
      <w:r w:rsidRPr="00410B18">
        <w:rPr>
          <w:lang w:val="ru-RU"/>
        </w:rPr>
        <w:t>, пункт</w:t>
      </w:r>
      <w:r>
        <w:t> </w:t>
      </w:r>
      <w:r w:rsidRPr="00410B18">
        <w:rPr>
          <w:lang w:val="ru-RU"/>
        </w:rPr>
        <w:t>4.</w:t>
      </w:r>
      <w:r w:rsidRPr="00E742A8">
        <w:t> </w:t>
      </w:r>
    </w:p>
  </w:footnote>
  <w:footnote w:id="17">
    <w:p w:rsidR="001D677D" w:rsidRPr="00813AE4" w:rsidRDefault="001D677D" w:rsidP="001D677D">
      <w:pPr>
        <w:pStyle w:val="FootnoteText"/>
        <w:rPr>
          <w:lang w:val="ru-RU"/>
        </w:rPr>
      </w:pPr>
      <w:r w:rsidRPr="00410B18">
        <w:rPr>
          <w:lang w:val="ru-RU"/>
        </w:rPr>
        <w:tab/>
      </w:r>
      <w:r w:rsidRPr="00FC416C">
        <w:rPr>
          <w:rStyle w:val="FootnoteReference"/>
        </w:rPr>
        <w:footnoteRef/>
      </w:r>
      <w:r w:rsidRPr="00813AE4">
        <w:rPr>
          <w:lang w:val="ru-RU"/>
        </w:rPr>
        <w:tab/>
      </w:r>
      <w:r w:rsidR="00CF2D62">
        <w:rPr>
          <w:lang w:val="ru-RU"/>
        </w:rPr>
        <w:t>См.</w:t>
      </w:r>
      <w:r w:rsidRPr="00813AE4">
        <w:rPr>
          <w:lang w:val="ru-RU"/>
        </w:rPr>
        <w:t>, в том числе, сообщения</w:t>
      </w:r>
      <w:r w:rsidR="00B14339">
        <w:t> </w:t>
      </w:r>
      <w:r w:rsidR="00B14339" w:rsidRPr="00B14339">
        <w:rPr>
          <w:lang w:val="ru-RU"/>
        </w:rPr>
        <w:t>№</w:t>
      </w:r>
      <w:r w:rsidR="00B14339">
        <w:t> </w:t>
      </w:r>
      <w:r w:rsidRPr="00813AE4">
        <w:rPr>
          <w:lang w:val="ru-RU"/>
        </w:rPr>
        <w:t>1779/2008</w:t>
      </w:r>
      <w:r w:rsidR="007E02DF">
        <w:rPr>
          <w:lang w:val="ru-RU"/>
        </w:rPr>
        <w:t>,</w:t>
      </w:r>
      <w:r w:rsidRPr="00813AE4">
        <w:rPr>
          <w:lang w:val="ru-RU"/>
        </w:rPr>
        <w:t xml:space="preserve"> </w:t>
      </w:r>
      <w:r w:rsidRPr="00813AE4">
        <w:rPr>
          <w:i/>
          <w:lang w:val="ru-RU"/>
        </w:rPr>
        <w:t>Мезин против Алжира</w:t>
      </w:r>
      <w:r w:rsidRPr="00813AE4">
        <w:rPr>
          <w:lang w:val="ru-RU"/>
        </w:rPr>
        <w:t>, Соображения, принятые 25</w:t>
      </w:r>
      <w:r w:rsidR="00B14339">
        <w:t> </w:t>
      </w:r>
      <w:r w:rsidR="00B14339" w:rsidRPr="00B14339">
        <w:rPr>
          <w:lang w:val="ru-RU"/>
        </w:rPr>
        <w:t>октября</w:t>
      </w:r>
      <w:r w:rsidRPr="00813AE4">
        <w:rPr>
          <w:lang w:val="ru-RU"/>
        </w:rPr>
        <w:t xml:space="preserve"> 2012</w:t>
      </w:r>
      <w:r w:rsidR="00B14339">
        <w:rPr>
          <w:lang w:val="ru-RU"/>
        </w:rPr>
        <w:t> года</w:t>
      </w:r>
      <w:r w:rsidRPr="00813AE4">
        <w:rPr>
          <w:lang w:val="ru-RU"/>
        </w:rPr>
        <w:t>, пункт</w:t>
      </w:r>
      <w:r w:rsidRPr="00E742A8">
        <w:t> </w:t>
      </w:r>
      <w:r w:rsidRPr="00813AE4">
        <w:rPr>
          <w:lang w:val="ru-RU"/>
        </w:rPr>
        <w:t>7.4;</w:t>
      </w:r>
      <w:r w:rsidR="00B14339">
        <w:rPr>
          <w:lang w:val="ru-RU"/>
        </w:rPr>
        <w:t> № </w:t>
      </w:r>
      <w:r w:rsidRPr="00813AE4">
        <w:rPr>
          <w:lang w:val="ru-RU"/>
        </w:rPr>
        <w:t>1781/2008</w:t>
      </w:r>
      <w:r w:rsidR="007E02DF">
        <w:rPr>
          <w:lang w:val="ru-RU"/>
        </w:rPr>
        <w:t>,</w:t>
      </w:r>
      <w:r w:rsidRPr="00813AE4">
        <w:rPr>
          <w:lang w:val="ru-RU"/>
        </w:rPr>
        <w:t xml:space="preserve"> </w:t>
      </w:r>
      <w:r w:rsidRPr="00813AE4">
        <w:rPr>
          <w:i/>
          <w:lang w:val="ru-RU"/>
        </w:rPr>
        <w:t>Берзиг против Алжира</w:t>
      </w:r>
      <w:r w:rsidRPr="00813AE4">
        <w:rPr>
          <w:lang w:val="ru-RU"/>
        </w:rPr>
        <w:t>, Соображения, принятые 31</w:t>
      </w:r>
      <w:r w:rsidR="00B14339">
        <w:rPr>
          <w:lang w:val="ru-RU"/>
        </w:rPr>
        <w:t> октября</w:t>
      </w:r>
      <w:r w:rsidRPr="00813AE4">
        <w:rPr>
          <w:lang w:val="ru-RU"/>
        </w:rPr>
        <w:t xml:space="preserve"> 2011</w:t>
      </w:r>
      <w:r w:rsidR="00B14339">
        <w:rPr>
          <w:lang w:val="ru-RU"/>
        </w:rPr>
        <w:t> года</w:t>
      </w:r>
      <w:r w:rsidRPr="00813AE4">
        <w:rPr>
          <w:lang w:val="ru-RU"/>
        </w:rPr>
        <w:t>, пункт</w:t>
      </w:r>
      <w:r w:rsidRPr="00E742A8">
        <w:t> </w:t>
      </w:r>
      <w:r w:rsidRPr="00813AE4">
        <w:rPr>
          <w:lang w:val="ru-RU"/>
        </w:rPr>
        <w:t>7.4;</w:t>
      </w:r>
      <w:r w:rsidR="00B14339">
        <w:rPr>
          <w:lang w:val="ru-RU"/>
        </w:rPr>
        <w:t> № </w:t>
      </w:r>
      <w:r w:rsidRPr="00813AE4">
        <w:rPr>
          <w:lang w:val="ru-RU"/>
        </w:rPr>
        <w:t>1905/2009</w:t>
      </w:r>
      <w:r w:rsidR="007E02DF">
        <w:rPr>
          <w:lang w:val="ru-RU"/>
        </w:rPr>
        <w:t>,</w:t>
      </w:r>
      <w:r w:rsidRPr="00813AE4">
        <w:rPr>
          <w:lang w:val="ru-RU"/>
        </w:rPr>
        <w:t xml:space="preserve"> </w:t>
      </w:r>
      <w:r w:rsidRPr="00813AE4">
        <w:rPr>
          <w:i/>
          <w:lang w:val="ru-RU"/>
        </w:rPr>
        <w:t>Хирани против Алжира</w:t>
      </w:r>
      <w:r w:rsidRPr="00813AE4">
        <w:rPr>
          <w:lang w:val="ru-RU"/>
        </w:rPr>
        <w:t>, Соображения, при</w:t>
      </w:r>
      <w:r>
        <w:rPr>
          <w:lang w:val="ru-RU"/>
        </w:rPr>
        <w:t>нятые 26</w:t>
      </w:r>
      <w:r w:rsidR="00B14339">
        <w:rPr>
          <w:lang w:val="ru-RU"/>
        </w:rPr>
        <w:t> марта</w:t>
      </w:r>
      <w:r>
        <w:rPr>
          <w:lang w:val="ru-RU"/>
        </w:rPr>
        <w:t xml:space="preserve"> 2012</w:t>
      </w:r>
      <w:r w:rsidR="00B14339">
        <w:rPr>
          <w:lang w:val="ru-RU"/>
        </w:rPr>
        <w:t> года</w:t>
      </w:r>
      <w:r>
        <w:rPr>
          <w:lang w:val="ru-RU"/>
        </w:rPr>
        <w:t>, пункт</w:t>
      </w:r>
      <w:r w:rsidRPr="00E742A8">
        <w:t> </w:t>
      </w:r>
      <w:r w:rsidRPr="00813AE4">
        <w:rPr>
          <w:lang w:val="ru-RU"/>
        </w:rPr>
        <w:t>6.4;</w:t>
      </w:r>
      <w:r w:rsidR="00B14339">
        <w:rPr>
          <w:lang w:val="ru-RU"/>
        </w:rPr>
        <w:t> № </w:t>
      </w:r>
      <w:r w:rsidRPr="00813AE4">
        <w:rPr>
          <w:lang w:val="ru-RU"/>
        </w:rPr>
        <w:t>1791/2008</w:t>
      </w:r>
      <w:r w:rsidR="007E02DF">
        <w:rPr>
          <w:lang w:val="ru-RU"/>
        </w:rPr>
        <w:t>,</w:t>
      </w:r>
      <w:r w:rsidRPr="00813AE4">
        <w:rPr>
          <w:lang w:val="ru-RU"/>
        </w:rPr>
        <w:t xml:space="preserve"> </w:t>
      </w:r>
      <w:r w:rsidRPr="00813AE4">
        <w:rPr>
          <w:i/>
          <w:lang w:val="ru-RU"/>
        </w:rPr>
        <w:t>Буджемай против Алжира</w:t>
      </w:r>
      <w:r w:rsidRPr="00813AE4">
        <w:rPr>
          <w:lang w:val="ru-RU"/>
        </w:rPr>
        <w:t>, Соображения, принятые 22</w:t>
      </w:r>
      <w:r w:rsidR="00B14339">
        <w:rPr>
          <w:lang w:val="ru-RU"/>
        </w:rPr>
        <w:t> марта</w:t>
      </w:r>
      <w:r>
        <w:rPr>
          <w:lang w:val="ru-RU"/>
        </w:rPr>
        <w:t xml:space="preserve"> 2013</w:t>
      </w:r>
      <w:r w:rsidR="00B14339">
        <w:rPr>
          <w:lang w:val="ru-RU"/>
        </w:rPr>
        <w:t> года</w:t>
      </w:r>
      <w:r>
        <w:rPr>
          <w:lang w:val="ru-RU"/>
        </w:rPr>
        <w:t>, пункт</w:t>
      </w:r>
      <w:r w:rsidRPr="00E742A8">
        <w:t> </w:t>
      </w:r>
      <w:r w:rsidRPr="00813AE4">
        <w:rPr>
          <w:lang w:val="ru-RU"/>
        </w:rPr>
        <w:t>7.4.</w:t>
      </w:r>
    </w:p>
  </w:footnote>
  <w:footnote w:id="18">
    <w:p w:rsidR="001D677D" w:rsidRPr="00813AE4" w:rsidRDefault="001D677D" w:rsidP="001D677D">
      <w:pPr>
        <w:pStyle w:val="FootnoteText"/>
        <w:rPr>
          <w:lang w:val="ru-RU"/>
        </w:rPr>
      </w:pPr>
      <w:r w:rsidRPr="00813AE4">
        <w:rPr>
          <w:lang w:val="ru-RU"/>
        </w:rPr>
        <w:tab/>
      </w:r>
      <w:r w:rsidRPr="00FC416C">
        <w:rPr>
          <w:rStyle w:val="FootnoteReference"/>
        </w:rPr>
        <w:footnoteRef/>
      </w:r>
      <w:r w:rsidRPr="00813AE4">
        <w:rPr>
          <w:lang w:val="ru-RU"/>
        </w:rPr>
        <w:tab/>
      </w:r>
      <w:r>
        <w:t>CCPR</w:t>
      </w:r>
      <w:r w:rsidRPr="00813AE4">
        <w:rPr>
          <w:lang w:val="ru-RU"/>
        </w:rPr>
        <w:t>/</w:t>
      </w:r>
      <w:r>
        <w:t>C</w:t>
      </w:r>
      <w:r w:rsidRPr="00813AE4">
        <w:rPr>
          <w:lang w:val="ru-RU"/>
        </w:rPr>
        <w:t>/</w:t>
      </w:r>
      <w:r>
        <w:t>DZA</w:t>
      </w:r>
      <w:r w:rsidRPr="00813AE4">
        <w:rPr>
          <w:lang w:val="ru-RU"/>
        </w:rPr>
        <w:t>/</w:t>
      </w:r>
      <w:r>
        <w:t>CO</w:t>
      </w:r>
      <w:r w:rsidRPr="00813AE4">
        <w:rPr>
          <w:lang w:val="ru-RU"/>
        </w:rPr>
        <w:t>/3, пункты</w:t>
      </w:r>
      <w:r>
        <w:t> </w:t>
      </w:r>
      <w:r w:rsidRPr="00813AE4">
        <w:rPr>
          <w:lang w:val="ru-RU"/>
        </w:rPr>
        <w:t>7, 8 и 13.</w:t>
      </w:r>
    </w:p>
  </w:footnote>
  <w:footnote w:id="19">
    <w:p w:rsidR="001D677D" w:rsidRPr="00813AE4" w:rsidRDefault="001D677D" w:rsidP="001D677D">
      <w:pPr>
        <w:pStyle w:val="FootnoteText"/>
        <w:rPr>
          <w:lang w:val="ru-RU"/>
        </w:rPr>
      </w:pPr>
      <w:r w:rsidRPr="00813AE4">
        <w:rPr>
          <w:lang w:val="ru-RU"/>
        </w:rPr>
        <w:tab/>
      </w:r>
      <w:r w:rsidRPr="00FC416C">
        <w:rPr>
          <w:rStyle w:val="FootnoteReference"/>
        </w:rPr>
        <w:footnoteRef/>
      </w:r>
      <w:r w:rsidRPr="00813AE4">
        <w:rPr>
          <w:lang w:val="ru-RU"/>
        </w:rPr>
        <w:tab/>
      </w:r>
      <w:r w:rsidRPr="00813AE4">
        <w:rPr>
          <w:i/>
          <w:lang w:val="ru-RU"/>
        </w:rPr>
        <w:t>Мезин против Алжира</w:t>
      </w:r>
      <w:r w:rsidRPr="00813AE4">
        <w:rPr>
          <w:lang w:val="ru-RU"/>
        </w:rPr>
        <w:t>, пункт</w:t>
      </w:r>
      <w:r w:rsidRPr="00E742A8">
        <w:t> </w:t>
      </w:r>
      <w:r w:rsidRPr="00813AE4">
        <w:rPr>
          <w:lang w:val="ru-RU"/>
        </w:rPr>
        <w:t xml:space="preserve">7.4; </w:t>
      </w:r>
      <w:r w:rsidRPr="00813AE4">
        <w:rPr>
          <w:i/>
          <w:lang w:val="ru-RU"/>
        </w:rPr>
        <w:t>Беназиза против Алжира</w:t>
      </w:r>
      <w:r>
        <w:rPr>
          <w:lang w:val="ru-RU"/>
        </w:rPr>
        <w:t>, пункт</w:t>
      </w:r>
      <w:r w:rsidRPr="00E742A8">
        <w:t> </w:t>
      </w:r>
      <w:r w:rsidRPr="00813AE4">
        <w:rPr>
          <w:lang w:val="ru-RU"/>
        </w:rPr>
        <w:t xml:space="preserve">8.3; </w:t>
      </w:r>
      <w:r w:rsidRPr="00813AE4">
        <w:rPr>
          <w:i/>
          <w:lang w:val="ru-RU"/>
        </w:rPr>
        <w:t>Берзиг против Алжира</w:t>
      </w:r>
      <w:r w:rsidRPr="00813AE4">
        <w:rPr>
          <w:lang w:val="ru-RU"/>
        </w:rPr>
        <w:t>, пункт</w:t>
      </w:r>
      <w:r w:rsidRPr="00E742A8">
        <w:t> </w:t>
      </w:r>
      <w:r w:rsidRPr="00813AE4">
        <w:rPr>
          <w:lang w:val="ru-RU"/>
        </w:rPr>
        <w:t xml:space="preserve">7.4; </w:t>
      </w:r>
      <w:r w:rsidRPr="00813AE4">
        <w:rPr>
          <w:i/>
          <w:lang w:val="ru-RU"/>
        </w:rPr>
        <w:t>Хирани против Алжира</w:t>
      </w:r>
      <w:r w:rsidRPr="00813AE4">
        <w:rPr>
          <w:lang w:val="ru-RU"/>
        </w:rPr>
        <w:t>, пункт</w:t>
      </w:r>
      <w:r w:rsidRPr="00E742A8">
        <w:t> </w:t>
      </w:r>
      <w:r w:rsidRPr="00813AE4">
        <w:rPr>
          <w:lang w:val="ru-RU"/>
        </w:rPr>
        <w:t xml:space="preserve">6.4; </w:t>
      </w:r>
      <w:r w:rsidRPr="00813AE4">
        <w:rPr>
          <w:i/>
          <w:lang w:val="ru-RU"/>
        </w:rPr>
        <w:t>Буджемай против Алжира</w:t>
      </w:r>
      <w:r w:rsidRPr="00813AE4">
        <w:rPr>
          <w:lang w:val="ru-RU"/>
        </w:rPr>
        <w:t>, пункт</w:t>
      </w:r>
      <w:r w:rsidRPr="00E742A8">
        <w:t> </w:t>
      </w:r>
      <w:r w:rsidRPr="00813AE4">
        <w:rPr>
          <w:lang w:val="ru-RU"/>
        </w:rPr>
        <w:t>7.4.</w:t>
      </w:r>
    </w:p>
  </w:footnote>
  <w:footnote w:id="20">
    <w:p w:rsidR="001D677D" w:rsidRPr="001D677D" w:rsidRDefault="001D677D" w:rsidP="001D677D">
      <w:pPr>
        <w:pStyle w:val="FootnoteText"/>
        <w:rPr>
          <w:lang w:val="ru-RU"/>
        </w:rPr>
      </w:pPr>
      <w:r w:rsidRPr="00813AE4">
        <w:rPr>
          <w:lang w:val="ru-RU"/>
        </w:rPr>
        <w:tab/>
      </w:r>
      <w:r w:rsidRPr="00FC416C">
        <w:rPr>
          <w:rStyle w:val="FootnoteReference"/>
        </w:rPr>
        <w:footnoteRef/>
      </w:r>
      <w:r w:rsidRPr="001D677D">
        <w:rPr>
          <w:lang w:val="ru-RU"/>
        </w:rPr>
        <w:tab/>
      </w:r>
      <w:r w:rsidR="00CF2D62">
        <w:rPr>
          <w:lang w:val="ru-RU"/>
        </w:rPr>
        <w:t>См.</w:t>
      </w:r>
      <w:r w:rsidRPr="001D677D">
        <w:rPr>
          <w:lang w:val="ru-RU"/>
        </w:rPr>
        <w:t xml:space="preserve">, в том числе, сообщения </w:t>
      </w:r>
      <w:r w:rsidRPr="001D677D">
        <w:rPr>
          <w:i/>
          <w:lang w:val="ru-RU"/>
        </w:rPr>
        <w:t>Мезин против Алжира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 xml:space="preserve">8.2; </w:t>
      </w:r>
      <w:r w:rsidRPr="001D677D">
        <w:rPr>
          <w:i/>
          <w:lang w:val="ru-RU"/>
        </w:rPr>
        <w:t>Берзиг против Алжира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 xml:space="preserve">8.2; </w:t>
      </w:r>
      <w:r w:rsidRPr="001D677D">
        <w:rPr>
          <w:i/>
          <w:lang w:val="ru-RU"/>
        </w:rPr>
        <w:t>Буджемай против Алжира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>8.2.</w:t>
      </w:r>
    </w:p>
  </w:footnote>
  <w:footnote w:id="21">
    <w:p w:rsidR="001D677D" w:rsidRPr="00410B18" w:rsidRDefault="001D677D" w:rsidP="001D677D">
      <w:pPr>
        <w:pStyle w:val="FootnoteText"/>
        <w:rPr>
          <w:lang w:val="ru-RU"/>
        </w:rPr>
      </w:pPr>
      <w:r w:rsidRPr="001D677D">
        <w:rPr>
          <w:lang w:val="ru-RU"/>
        </w:rPr>
        <w:tab/>
      </w:r>
      <w:r w:rsidRPr="00FC416C">
        <w:rPr>
          <w:rStyle w:val="FootnoteReference"/>
        </w:rPr>
        <w:footnoteRef/>
      </w:r>
      <w:r w:rsidRPr="001D677D">
        <w:rPr>
          <w:lang w:val="ru-RU"/>
        </w:rPr>
        <w:tab/>
      </w:r>
      <w:r w:rsidR="00CF2D62">
        <w:rPr>
          <w:lang w:val="ru-RU"/>
        </w:rPr>
        <w:t>См.</w:t>
      </w:r>
      <w:r w:rsidRPr="001D677D">
        <w:rPr>
          <w:lang w:val="ru-RU"/>
        </w:rPr>
        <w:t xml:space="preserve">, в том числе, </w:t>
      </w:r>
      <w:r w:rsidRPr="001D677D">
        <w:rPr>
          <w:i/>
          <w:lang w:val="ru-RU"/>
        </w:rPr>
        <w:t>Мезин против Алжира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 xml:space="preserve">8.3; </w:t>
      </w:r>
      <w:r w:rsidRPr="001D677D">
        <w:rPr>
          <w:i/>
          <w:lang w:val="ru-RU"/>
        </w:rPr>
        <w:t>Эль-Абани против Ливийской Арабской Джамахирии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 xml:space="preserve">7.4; </w:t>
      </w:r>
      <w:r w:rsidRPr="001D677D">
        <w:rPr>
          <w:i/>
          <w:lang w:val="ru-RU"/>
        </w:rPr>
        <w:t>Берзиг против Алжира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 xml:space="preserve">8.3; </w:t>
      </w:r>
      <w:r w:rsidRPr="001D677D">
        <w:rPr>
          <w:i/>
          <w:lang w:val="ru-RU"/>
        </w:rPr>
        <w:t>Буджемай против Алжира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 xml:space="preserve">8.3. </w:t>
      </w:r>
      <w:r w:rsidRPr="00410B18">
        <w:rPr>
          <w:lang w:val="ru-RU"/>
        </w:rPr>
        <w:t xml:space="preserve">Также </w:t>
      </w:r>
      <w:r w:rsidR="00CF2D62">
        <w:rPr>
          <w:lang w:val="ru-RU"/>
        </w:rPr>
        <w:t>См.</w:t>
      </w:r>
      <w:r w:rsidRPr="00410B18">
        <w:rPr>
          <w:lang w:val="ru-RU"/>
        </w:rPr>
        <w:t xml:space="preserve"> Международный Суд, </w:t>
      </w:r>
      <w:r w:rsidRPr="00410B18">
        <w:rPr>
          <w:i/>
          <w:lang w:val="ru-RU"/>
        </w:rPr>
        <w:t>Амаду Садио Диалло, Республика Гвинея против Демократической Республики Конго</w:t>
      </w:r>
      <w:r w:rsidRPr="00410B18">
        <w:rPr>
          <w:lang w:val="ru-RU"/>
        </w:rPr>
        <w:t>, решение от 30</w:t>
      </w:r>
      <w:r w:rsidR="00B14339">
        <w:rPr>
          <w:lang w:val="ru-RU"/>
        </w:rPr>
        <w:t> ноября</w:t>
      </w:r>
      <w:r w:rsidRPr="00410B18">
        <w:rPr>
          <w:lang w:val="ru-RU"/>
        </w:rPr>
        <w:t xml:space="preserve"> 2010</w:t>
      </w:r>
      <w:r w:rsidR="00B14339">
        <w:t> </w:t>
      </w:r>
      <w:r w:rsidR="00B14339" w:rsidRPr="00B14339">
        <w:rPr>
          <w:lang w:val="ru-RU"/>
        </w:rPr>
        <w:t>года</w:t>
      </w:r>
      <w:r w:rsidRPr="00410B18">
        <w:rPr>
          <w:lang w:val="ru-RU"/>
        </w:rPr>
        <w:t>, пункт</w:t>
      </w:r>
      <w:r w:rsidRPr="00E742A8">
        <w:t> </w:t>
      </w:r>
      <w:r w:rsidRPr="00410B18">
        <w:rPr>
          <w:lang w:val="ru-RU"/>
        </w:rPr>
        <w:t>54.</w:t>
      </w:r>
    </w:p>
  </w:footnote>
  <w:footnote w:id="22">
    <w:p w:rsidR="001D677D" w:rsidRPr="001D677D" w:rsidRDefault="001D677D" w:rsidP="001D677D">
      <w:pPr>
        <w:pStyle w:val="FootnoteText"/>
        <w:rPr>
          <w:lang w:val="ru-RU"/>
        </w:rPr>
      </w:pPr>
      <w:r w:rsidRPr="00410B18">
        <w:rPr>
          <w:lang w:val="ru-RU"/>
        </w:rPr>
        <w:tab/>
      </w:r>
      <w:r w:rsidRPr="00FC416C">
        <w:rPr>
          <w:rStyle w:val="FootnoteReference"/>
        </w:rPr>
        <w:footnoteRef/>
      </w:r>
      <w:r w:rsidRPr="001D677D">
        <w:rPr>
          <w:lang w:val="ru-RU"/>
        </w:rPr>
        <w:tab/>
      </w:r>
      <w:r w:rsidR="00CF2D62" w:rsidRPr="00CF2D62">
        <w:rPr>
          <w:lang w:val="ru-RU"/>
        </w:rPr>
        <w:t>См.</w:t>
      </w:r>
      <w:r w:rsidRPr="001D677D">
        <w:rPr>
          <w:i/>
          <w:lang w:val="ru-RU"/>
        </w:rPr>
        <w:t xml:space="preserve"> Мезин против Алжира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>8.3; сообщение</w:t>
      </w:r>
      <w:r w:rsidR="00B14339">
        <w:rPr>
          <w:lang w:val="ru-RU"/>
        </w:rPr>
        <w:t> № </w:t>
      </w:r>
      <w:r w:rsidRPr="001D677D">
        <w:rPr>
          <w:lang w:val="ru-RU"/>
        </w:rPr>
        <w:t>1297/2004</w:t>
      </w:r>
      <w:r w:rsidR="007E02DF">
        <w:rPr>
          <w:lang w:val="ru-RU"/>
        </w:rPr>
        <w:t>,</w:t>
      </w:r>
      <w:r w:rsidRPr="001D677D">
        <w:rPr>
          <w:lang w:val="ru-RU"/>
        </w:rPr>
        <w:t xml:space="preserve"> </w:t>
      </w:r>
      <w:r w:rsidRPr="001D677D">
        <w:rPr>
          <w:i/>
          <w:lang w:val="ru-RU"/>
        </w:rPr>
        <w:t>Меджнун против Алжира</w:t>
      </w:r>
      <w:r w:rsidRPr="001D677D">
        <w:rPr>
          <w:lang w:val="ru-RU"/>
        </w:rPr>
        <w:t>, Соображения, принятые 14</w:t>
      </w:r>
      <w:r w:rsidR="00B14339">
        <w:rPr>
          <w:lang w:val="ru-RU"/>
        </w:rPr>
        <w:t> июля</w:t>
      </w:r>
      <w:r w:rsidRPr="001D677D">
        <w:rPr>
          <w:lang w:val="ru-RU"/>
        </w:rPr>
        <w:t xml:space="preserve"> 2006</w:t>
      </w:r>
      <w:r w:rsidR="00B14339">
        <w:rPr>
          <w:lang w:val="ru-RU"/>
        </w:rPr>
        <w:t> года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 xml:space="preserve">8.3; </w:t>
      </w:r>
      <w:r w:rsidRPr="001D677D">
        <w:rPr>
          <w:i/>
          <w:lang w:val="ru-RU"/>
        </w:rPr>
        <w:t>Буджемай против Алжира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>8.3.</w:t>
      </w:r>
    </w:p>
  </w:footnote>
  <w:footnote w:id="23">
    <w:p w:rsidR="001D677D" w:rsidRPr="001D677D" w:rsidRDefault="001D677D" w:rsidP="001D677D">
      <w:pPr>
        <w:pStyle w:val="FootnoteText"/>
        <w:rPr>
          <w:lang w:val="ru-RU"/>
        </w:rPr>
      </w:pPr>
      <w:r w:rsidRPr="001D677D">
        <w:rPr>
          <w:lang w:val="ru-RU"/>
        </w:rPr>
        <w:tab/>
      </w:r>
      <w:r w:rsidRPr="00FC416C">
        <w:rPr>
          <w:rStyle w:val="FootnoteReference"/>
        </w:rPr>
        <w:footnoteRef/>
      </w:r>
      <w:r w:rsidRPr="001D677D">
        <w:rPr>
          <w:lang w:val="ru-RU"/>
        </w:rPr>
        <w:tab/>
      </w:r>
      <w:r w:rsidR="00CF2D62">
        <w:rPr>
          <w:lang w:val="ru-RU"/>
        </w:rPr>
        <w:t>См.</w:t>
      </w:r>
      <w:r w:rsidRPr="001D677D">
        <w:rPr>
          <w:lang w:val="ru-RU"/>
        </w:rPr>
        <w:t xml:space="preserve"> </w:t>
      </w:r>
      <w:r w:rsidRPr="001D677D">
        <w:rPr>
          <w:i/>
          <w:lang w:val="ru-RU"/>
        </w:rPr>
        <w:t>Мезин против Алжира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 xml:space="preserve">8.4; </w:t>
      </w:r>
      <w:r w:rsidRPr="001D677D">
        <w:rPr>
          <w:i/>
          <w:lang w:val="ru-RU"/>
        </w:rPr>
        <w:t>Буджемай против Алжира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>8.4.</w:t>
      </w:r>
    </w:p>
  </w:footnote>
  <w:footnote w:id="24">
    <w:p w:rsidR="001D677D" w:rsidRPr="001D677D" w:rsidRDefault="001D677D" w:rsidP="001D677D">
      <w:pPr>
        <w:pStyle w:val="FootnoteText"/>
        <w:rPr>
          <w:lang w:val="ru-RU"/>
        </w:rPr>
      </w:pPr>
      <w:r w:rsidRPr="001D677D">
        <w:rPr>
          <w:lang w:val="ru-RU"/>
        </w:rPr>
        <w:tab/>
      </w:r>
      <w:r w:rsidRPr="00FC416C">
        <w:rPr>
          <w:rStyle w:val="FootnoteReference"/>
        </w:rPr>
        <w:footnoteRef/>
      </w:r>
      <w:r w:rsidRPr="001D677D">
        <w:rPr>
          <w:lang w:val="ru-RU"/>
        </w:rPr>
        <w:tab/>
      </w:r>
      <w:r w:rsidR="00CF2D62">
        <w:rPr>
          <w:lang w:val="ru-RU"/>
        </w:rPr>
        <w:t>См.</w:t>
      </w:r>
      <w:r w:rsidRPr="001D677D">
        <w:rPr>
          <w:lang w:val="ru-RU"/>
        </w:rPr>
        <w:t xml:space="preserve"> </w:t>
      </w:r>
      <w:r w:rsidRPr="001D677D">
        <w:rPr>
          <w:i/>
          <w:lang w:val="ru-RU"/>
        </w:rPr>
        <w:t>Мезин против Алжира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 xml:space="preserve">8.5; </w:t>
      </w:r>
      <w:r w:rsidRPr="001D677D">
        <w:rPr>
          <w:i/>
          <w:lang w:val="ru-RU"/>
        </w:rPr>
        <w:t>Хирани против Алжира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 xml:space="preserve">7.5; </w:t>
      </w:r>
      <w:r w:rsidRPr="001D677D">
        <w:rPr>
          <w:i/>
          <w:lang w:val="ru-RU"/>
        </w:rPr>
        <w:t>Берзиг против Алжира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>8.5; сообщение</w:t>
      </w:r>
      <w:r w:rsidR="00B14339">
        <w:rPr>
          <w:lang w:val="ru-RU"/>
        </w:rPr>
        <w:t> № </w:t>
      </w:r>
      <w:r w:rsidRPr="001D677D">
        <w:rPr>
          <w:lang w:val="ru-RU"/>
        </w:rPr>
        <w:t>1295/2004</w:t>
      </w:r>
      <w:r w:rsidR="007E02DF">
        <w:rPr>
          <w:lang w:val="ru-RU"/>
        </w:rPr>
        <w:t>,</w:t>
      </w:r>
      <w:r w:rsidRPr="001D677D">
        <w:rPr>
          <w:lang w:val="ru-RU"/>
        </w:rPr>
        <w:t xml:space="preserve"> </w:t>
      </w:r>
      <w:r w:rsidRPr="001D677D">
        <w:rPr>
          <w:i/>
          <w:lang w:val="ru-RU"/>
        </w:rPr>
        <w:t>Эль-Альвани против Ливийской Арабской Джамахирии</w:t>
      </w:r>
      <w:r w:rsidRPr="001D677D">
        <w:rPr>
          <w:lang w:val="ru-RU"/>
        </w:rPr>
        <w:t>, Соображения, принятые 11</w:t>
      </w:r>
      <w:r w:rsidR="00B14339">
        <w:rPr>
          <w:lang w:val="ru-RU"/>
        </w:rPr>
        <w:t> июля</w:t>
      </w:r>
      <w:r w:rsidRPr="001D677D">
        <w:rPr>
          <w:lang w:val="ru-RU"/>
        </w:rPr>
        <w:t xml:space="preserve"> 2007</w:t>
      </w:r>
      <w:r w:rsidR="00B14339">
        <w:rPr>
          <w:lang w:val="ru-RU"/>
        </w:rPr>
        <w:t> года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>6.5.</w:t>
      </w:r>
    </w:p>
  </w:footnote>
  <w:footnote w:id="25">
    <w:p w:rsidR="001D677D" w:rsidRPr="001D677D" w:rsidRDefault="001D677D" w:rsidP="001D677D">
      <w:pPr>
        <w:pStyle w:val="FootnoteText"/>
        <w:rPr>
          <w:lang w:val="ru-RU"/>
        </w:rPr>
      </w:pPr>
      <w:r w:rsidRPr="001D677D">
        <w:rPr>
          <w:lang w:val="ru-RU"/>
        </w:rPr>
        <w:tab/>
      </w:r>
      <w:r w:rsidRPr="00FC416C">
        <w:rPr>
          <w:rStyle w:val="FootnoteReference"/>
        </w:rPr>
        <w:footnoteRef/>
      </w:r>
      <w:r w:rsidRPr="001D677D">
        <w:rPr>
          <w:lang w:val="ru-RU"/>
        </w:rPr>
        <w:tab/>
      </w:r>
      <w:r w:rsidR="00CF2D62">
        <w:rPr>
          <w:lang w:val="ru-RU"/>
        </w:rPr>
        <w:t>См.</w:t>
      </w:r>
      <w:r w:rsidRPr="001D677D">
        <w:rPr>
          <w:lang w:val="ru-RU"/>
        </w:rPr>
        <w:t xml:space="preserve"> </w:t>
      </w:r>
      <w:r w:rsidRPr="001D677D">
        <w:rPr>
          <w:i/>
          <w:lang w:val="ru-RU"/>
        </w:rPr>
        <w:t>Мезин против Алжира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 xml:space="preserve">8.6; </w:t>
      </w:r>
      <w:r w:rsidRPr="001D677D">
        <w:rPr>
          <w:i/>
          <w:lang w:val="ru-RU"/>
        </w:rPr>
        <w:t>Хирани против Алжира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 xml:space="preserve">7.6; </w:t>
      </w:r>
      <w:r w:rsidRPr="001D677D">
        <w:rPr>
          <w:i/>
          <w:lang w:val="ru-RU"/>
        </w:rPr>
        <w:t>Берзиг против Алжира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 xml:space="preserve">8.6; </w:t>
      </w:r>
      <w:r w:rsidRPr="001D677D">
        <w:rPr>
          <w:i/>
          <w:lang w:val="ru-RU"/>
        </w:rPr>
        <w:t>Эль-Абани против Ливийской Арабской Джамахирии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>7.5; сообщение</w:t>
      </w:r>
      <w:r w:rsidR="00B14339">
        <w:rPr>
          <w:lang w:val="ru-RU"/>
        </w:rPr>
        <w:t> № </w:t>
      </w:r>
      <w:r w:rsidRPr="001D677D">
        <w:rPr>
          <w:lang w:val="ru-RU"/>
        </w:rPr>
        <w:t>1422/2005</w:t>
      </w:r>
      <w:r w:rsidR="007E02DF">
        <w:rPr>
          <w:lang w:val="ru-RU"/>
        </w:rPr>
        <w:t>,</w:t>
      </w:r>
      <w:r w:rsidRPr="001D677D">
        <w:rPr>
          <w:lang w:val="ru-RU"/>
        </w:rPr>
        <w:t xml:space="preserve"> </w:t>
      </w:r>
      <w:r w:rsidRPr="001D677D">
        <w:rPr>
          <w:i/>
          <w:lang w:val="ru-RU"/>
        </w:rPr>
        <w:t>Эль-Хасси против Ливийской Арабской Джамахирии</w:t>
      </w:r>
      <w:r w:rsidRPr="001D677D">
        <w:rPr>
          <w:lang w:val="ru-RU"/>
        </w:rPr>
        <w:t>, Соображения, принятые 24</w:t>
      </w:r>
      <w:r w:rsidR="00B14339">
        <w:rPr>
          <w:lang w:val="ru-RU"/>
        </w:rPr>
        <w:t> октября</w:t>
      </w:r>
      <w:r w:rsidRPr="001D677D">
        <w:rPr>
          <w:lang w:val="ru-RU"/>
        </w:rPr>
        <w:t xml:space="preserve"> 2007</w:t>
      </w:r>
      <w:r w:rsidR="00B14339">
        <w:rPr>
          <w:lang w:val="ru-RU"/>
        </w:rPr>
        <w:t> года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>6.11.</w:t>
      </w:r>
    </w:p>
  </w:footnote>
  <w:footnote w:id="26">
    <w:p w:rsidR="001D677D" w:rsidRPr="001D677D" w:rsidRDefault="001D677D" w:rsidP="001D677D">
      <w:pPr>
        <w:pStyle w:val="FootnoteText"/>
        <w:rPr>
          <w:lang w:val="ru-RU"/>
        </w:rPr>
      </w:pPr>
      <w:r w:rsidRPr="001D677D">
        <w:rPr>
          <w:lang w:val="ru-RU"/>
        </w:rPr>
        <w:tab/>
      </w:r>
      <w:r w:rsidRPr="00FC416C">
        <w:rPr>
          <w:rStyle w:val="FootnoteReference"/>
        </w:rPr>
        <w:footnoteRef/>
      </w:r>
      <w:r w:rsidRPr="001D677D">
        <w:rPr>
          <w:lang w:val="ru-RU"/>
        </w:rPr>
        <w:tab/>
      </w:r>
      <w:r w:rsidR="00CF2D62">
        <w:rPr>
          <w:lang w:val="ru-RU"/>
        </w:rPr>
        <w:t>См.</w:t>
      </w:r>
      <w:r w:rsidRPr="001D677D">
        <w:rPr>
          <w:lang w:val="ru-RU"/>
        </w:rPr>
        <w:t xml:space="preserve"> пункты</w:t>
      </w:r>
      <w:r w:rsidRPr="00E742A8">
        <w:t> </w:t>
      </w:r>
      <w:r w:rsidRPr="001D677D">
        <w:rPr>
          <w:lang w:val="ru-RU"/>
        </w:rPr>
        <w:t>2.3 и 2.5 настоящих Соображений.</w:t>
      </w:r>
    </w:p>
  </w:footnote>
  <w:footnote w:id="27">
    <w:p w:rsidR="001D677D" w:rsidRPr="001D677D" w:rsidRDefault="001D677D" w:rsidP="001D677D">
      <w:pPr>
        <w:pStyle w:val="FootnoteText"/>
        <w:rPr>
          <w:lang w:val="ru-RU"/>
        </w:rPr>
      </w:pPr>
      <w:r w:rsidRPr="001D677D">
        <w:rPr>
          <w:lang w:val="ru-RU"/>
        </w:rPr>
        <w:tab/>
      </w:r>
      <w:r w:rsidRPr="00FC416C">
        <w:rPr>
          <w:rStyle w:val="FootnoteReference"/>
        </w:rPr>
        <w:footnoteRef/>
      </w:r>
      <w:r w:rsidRPr="001D677D">
        <w:rPr>
          <w:lang w:val="ru-RU"/>
        </w:rPr>
        <w:tab/>
      </w:r>
      <w:r w:rsidR="00CF2D62">
        <w:rPr>
          <w:lang w:val="ru-RU"/>
        </w:rPr>
        <w:t>См.</w:t>
      </w:r>
      <w:r w:rsidRPr="001D677D">
        <w:rPr>
          <w:lang w:val="ru-RU"/>
        </w:rPr>
        <w:t xml:space="preserve">, в том числе, </w:t>
      </w:r>
      <w:r w:rsidRPr="001D677D">
        <w:rPr>
          <w:i/>
          <w:lang w:val="ru-RU"/>
        </w:rPr>
        <w:t>Мезин против Алжира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 xml:space="preserve">8.7; </w:t>
      </w:r>
      <w:r w:rsidRPr="001D677D">
        <w:rPr>
          <w:i/>
          <w:lang w:val="ru-RU"/>
        </w:rPr>
        <w:t>Хирани против Алжира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 xml:space="preserve">7.7; </w:t>
      </w:r>
      <w:r w:rsidRPr="001D677D">
        <w:rPr>
          <w:i/>
          <w:lang w:val="ru-RU"/>
        </w:rPr>
        <w:t>Берзиг против Алжира</w:t>
      </w:r>
      <w:r w:rsidRPr="001D677D">
        <w:rPr>
          <w:lang w:val="ru-RU"/>
        </w:rPr>
        <w:t>, пункт</w:t>
      </w:r>
      <w:r w:rsidRPr="00E742A8">
        <w:t> </w:t>
      </w:r>
      <w:r w:rsidRPr="001D677D">
        <w:rPr>
          <w:lang w:val="ru-RU"/>
        </w:rPr>
        <w:t>8.7.</w:t>
      </w:r>
    </w:p>
  </w:footnote>
  <w:footnote w:id="28">
    <w:p w:rsidR="001D677D" w:rsidRPr="00813AE4" w:rsidRDefault="001D677D" w:rsidP="001D677D">
      <w:pPr>
        <w:pStyle w:val="FootnoteText"/>
        <w:rPr>
          <w:lang w:val="ru-RU"/>
        </w:rPr>
      </w:pPr>
      <w:r w:rsidRPr="001D677D">
        <w:rPr>
          <w:lang w:val="ru-RU"/>
        </w:rPr>
        <w:tab/>
      </w:r>
      <w:r w:rsidRPr="00FC416C">
        <w:rPr>
          <w:rStyle w:val="FootnoteReference"/>
        </w:rPr>
        <w:footnoteRef/>
      </w:r>
      <w:r w:rsidRPr="00813AE4">
        <w:rPr>
          <w:lang w:val="ru-RU"/>
        </w:rPr>
        <w:tab/>
      </w:r>
      <w:r w:rsidR="00CF2D62">
        <w:rPr>
          <w:lang w:val="ru-RU"/>
        </w:rPr>
        <w:t>См.</w:t>
      </w:r>
      <w:r w:rsidRPr="00813AE4">
        <w:rPr>
          <w:lang w:val="ru-RU"/>
        </w:rPr>
        <w:t xml:space="preserve"> замечание общего порядка</w:t>
      </w:r>
      <w:r w:rsidR="00B14339">
        <w:rPr>
          <w:lang w:val="ru-RU"/>
        </w:rPr>
        <w:t> № </w:t>
      </w:r>
      <w:r w:rsidRPr="00813AE4">
        <w:rPr>
          <w:lang w:val="ru-RU"/>
        </w:rPr>
        <w:t>21 (1992</w:t>
      </w:r>
      <w:r w:rsidR="00E24291">
        <w:rPr>
          <w:lang w:val="ru-RU"/>
        </w:rPr>
        <w:t> год</w:t>
      </w:r>
      <w:r w:rsidRPr="00813AE4">
        <w:rPr>
          <w:lang w:val="ru-RU"/>
        </w:rPr>
        <w:t>) о праве лишенных свободы лиц на гуманное обращение, пункт</w:t>
      </w:r>
      <w:r w:rsidRPr="00E742A8">
        <w:t> </w:t>
      </w:r>
      <w:r w:rsidRPr="00813AE4">
        <w:rPr>
          <w:lang w:val="ru-RU"/>
        </w:rPr>
        <w:t xml:space="preserve">3; </w:t>
      </w:r>
      <w:r w:rsidRPr="00813AE4">
        <w:rPr>
          <w:i/>
          <w:lang w:val="ru-RU"/>
        </w:rPr>
        <w:t>Мезин против Алжира</w:t>
      </w:r>
      <w:r w:rsidRPr="00813AE4">
        <w:rPr>
          <w:lang w:val="ru-RU"/>
        </w:rPr>
        <w:t>, пункт</w:t>
      </w:r>
      <w:r w:rsidRPr="00E742A8">
        <w:t> </w:t>
      </w:r>
      <w:r w:rsidRPr="00813AE4">
        <w:rPr>
          <w:lang w:val="ru-RU"/>
        </w:rPr>
        <w:t xml:space="preserve">8.8; </w:t>
      </w:r>
      <w:r w:rsidRPr="00813AE4">
        <w:rPr>
          <w:i/>
          <w:lang w:val="ru-RU"/>
        </w:rPr>
        <w:t>Зарзи против Алжира</w:t>
      </w:r>
      <w:r w:rsidRPr="00813AE4">
        <w:rPr>
          <w:lang w:val="ru-RU"/>
        </w:rPr>
        <w:t>, пункт</w:t>
      </w:r>
      <w:r w:rsidRPr="00E742A8">
        <w:t> </w:t>
      </w:r>
      <w:r w:rsidRPr="00813AE4">
        <w:rPr>
          <w:lang w:val="ru-RU"/>
        </w:rPr>
        <w:t>7.8; сообщение</w:t>
      </w:r>
      <w:r w:rsidR="00B14339">
        <w:rPr>
          <w:lang w:val="ru-RU"/>
        </w:rPr>
        <w:t> № </w:t>
      </w:r>
      <w:r w:rsidRPr="00813AE4">
        <w:rPr>
          <w:lang w:val="ru-RU"/>
        </w:rPr>
        <w:t>1134/2002</w:t>
      </w:r>
      <w:r w:rsidR="007E02DF">
        <w:rPr>
          <w:lang w:val="ru-RU"/>
        </w:rPr>
        <w:t>,</w:t>
      </w:r>
      <w:r w:rsidRPr="00813AE4">
        <w:rPr>
          <w:lang w:val="ru-RU"/>
        </w:rPr>
        <w:t xml:space="preserve"> </w:t>
      </w:r>
      <w:r w:rsidRPr="00813AE4">
        <w:rPr>
          <w:i/>
          <w:lang w:val="ru-RU"/>
        </w:rPr>
        <w:t>Горжи-Динка против Камеруна</w:t>
      </w:r>
      <w:r w:rsidRPr="00813AE4">
        <w:rPr>
          <w:lang w:val="ru-RU"/>
        </w:rPr>
        <w:t>, Соображения, принятые 17</w:t>
      </w:r>
      <w:r w:rsidR="00B14339">
        <w:rPr>
          <w:lang w:val="ru-RU"/>
        </w:rPr>
        <w:t> марта</w:t>
      </w:r>
      <w:r w:rsidRPr="00813AE4">
        <w:rPr>
          <w:lang w:val="ru-RU"/>
        </w:rPr>
        <w:t xml:space="preserve"> 2005</w:t>
      </w:r>
      <w:r w:rsidR="00B14339">
        <w:rPr>
          <w:lang w:val="ru-RU"/>
        </w:rPr>
        <w:t> года</w:t>
      </w:r>
      <w:r w:rsidRPr="00813AE4">
        <w:rPr>
          <w:lang w:val="ru-RU"/>
        </w:rPr>
        <w:t>, пункт</w:t>
      </w:r>
      <w:r w:rsidRPr="00E742A8">
        <w:t> </w:t>
      </w:r>
      <w:r w:rsidRPr="00813AE4">
        <w:rPr>
          <w:lang w:val="ru-RU"/>
        </w:rPr>
        <w:t>5.2.</w:t>
      </w:r>
    </w:p>
  </w:footnote>
  <w:footnote w:id="29">
    <w:p w:rsidR="001D677D" w:rsidRPr="00AD1211" w:rsidRDefault="001D677D" w:rsidP="001D677D">
      <w:pPr>
        <w:pStyle w:val="FootnoteText"/>
        <w:rPr>
          <w:lang w:val="ru-RU"/>
        </w:rPr>
      </w:pPr>
      <w:r w:rsidRPr="00813AE4">
        <w:rPr>
          <w:lang w:val="ru-RU"/>
        </w:rPr>
        <w:tab/>
      </w:r>
      <w:r w:rsidRPr="00FC416C">
        <w:rPr>
          <w:rStyle w:val="FootnoteReference"/>
        </w:rPr>
        <w:footnoteRef/>
      </w:r>
      <w:r w:rsidRPr="001D677D">
        <w:rPr>
          <w:lang w:val="ru-RU"/>
        </w:rPr>
        <w:tab/>
      </w:r>
      <w:r w:rsidRPr="00AD1211">
        <w:rPr>
          <w:i/>
          <w:lang w:val="ru-RU"/>
        </w:rPr>
        <w:t>Мезин против Алжира</w:t>
      </w:r>
      <w:r w:rsidRPr="00AD1211">
        <w:rPr>
          <w:lang w:val="ru-RU"/>
        </w:rPr>
        <w:t xml:space="preserve">, пункт 8.9; </w:t>
      </w:r>
      <w:r w:rsidRPr="00AD1211">
        <w:rPr>
          <w:i/>
          <w:lang w:val="ru-RU"/>
        </w:rPr>
        <w:t>Хирани против Алжира</w:t>
      </w:r>
      <w:r w:rsidRPr="00AD1211">
        <w:rPr>
          <w:lang w:val="ru-RU"/>
        </w:rPr>
        <w:t xml:space="preserve">, пункт 7.9; </w:t>
      </w:r>
      <w:r w:rsidRPr="00AD1211">
        <w:rPr>
          <w:i/>
          <w:lang w:val="ru-RU"/>
        </w:rPr>
        <w:t>Берзиг против Алжира</w:t>
      </w:r>
      <w:r w:rsidRPr="00AD1211">
        <w:rPr>
          <w:lang w:val="ru-RU"/>
        </w:rPr>
        <w:t xml:space="preserve">, пункт 8.9; </w:t>
      </w:r>
      <w:r w:rsidRPr="00AD1211">
        <w:rPr>
          <w:i/>
          <w:lang w:val="ru-RU"/>
        </w:rPr>
        <w:t>Зарзи против Алжира</w:t>
      </w:r>
      <w:r w:rsidRPr="00AD1211">
        <w:rPr>
          <w:lang w:val="ru-RU"/>
        </w:rPr>
        <w:t xml:space="preserve">, пункт 7.9; </w:t>
      </w:r>
      <w:r w:rsidRPr="00AD1211">
        <w:rPr>
          <w:i/>
          <w:lang w:val="ru-RU"/>
        </w:rPr>
        <w:t>Беназиза против Алжира</w:t>
      </w:r>
      <w:r w:rsidRPr="00AD1211">
        <w:rPr>
          <w:lang w:val="ru-RU"/>
        </w:rPr>
        <w:t xml:space="preserve">, пункт 9.8; </w:t>
      </w:r>
      <w:r w:rsidRPr="00AD1211">
        <w:rPr>
          <w:i/>
          <w:lang w:val="ru-RU"/>
        </w:rPr>
        <w:t>Атамно против А</w:t>
      </w:r>
      <w:r w:rsidRPr="00AD1211">
        <w:rPr>
          <w:i/>
          <w:lang w:val="ru-RU"/>
        </w:rPr>
        <w:t>л</w:t>
      </w:r>
      <w:r w:rsidRPr="00AD1211">
        <w:rPr>
          <w:i/>
          <w:lang w:val="ru-RU"/>
        </w:rPr>
        <w:t>жира</w:t>
      </w:r>
      <w:r w:rsidRPr="00AD1211">
        <w:rPr>
          <w:lang w:val="ru-RU"/>
        </w:rPr>
        <w:t>, пункт 7.8; сообщение</w:t>
      </w:r>
      <w:r w:rsidR="00B14339">
        <w:rPr>
          <w:lang w:val="ru-RU"/>
        </w:rPr>
        <w:t> № </w:t>
      </w:r>
      <w:r w:rsidRPr="00AD1211">
        <w:rPr>
          <w:lang w:val="ru-RU"/>
        </w:rPr>
        <w:t>1495/2006</w:t>
      </w:r>
      <w:r w:rsidR="007E02DF">
        <w:rPr>
          <w:lang w:val="ru-RU"/>
        </w:rPr>
        <w:t>,</w:t>
      </w:r>
      <w:r w:rsidRPr="00AD1211">
        <w:rPr>
          <w:lang w:val="ru-RU"/>
        </w:rPr>
        <w:t xml:space="preserve"> </w:t>
      </w:r>
      <w:r w:rsidRPr="00AD1211">
        <w:rPr>
          <w:i/>
          <w:lang w:val="ru-RU"/>
        </w:rPr>
        <w:t>Мадуи против Алжира</w:t>
      </w:r>
      <w:r w:rsidRPr="00AD1211">
        <w:rPr>
          <w:lang w:val="ru-RU"/>
        </w:rPr>
        <w:t>, Соображения, принятые 28</w:t>
      </w:r>
      <w:r w:rsidR="00B14339">
        <w:rPr>
          <w:lang w:val="ru-RU"/>
        </w:rPr>
        <w:t> октября</w:t>
      </w:r>
      <w:r w:rsidRPr="00AD1211">
        <w:rPr>
          <w:lang w:val="ru-RU"/>
        </w:rPr>
        <w:t xml:space="preserve"> 2008</w:t>
      </w:r>
      <w:r w:rsidR="00B14339">
        <w:rPr>
          <w:lang w:val="ru-RU"/>
        </w:rPr>
        <w:t> года</w:t>
      </w:r>
      <w:r w:rsidRPr="00AD1211">
        <w:rPr>
          <w:lang w:val="ru-RU"/>
        </w:rPr>
        <w:t>, пункт 7.7.</w:t>
      </w:r>
    </w:p>
  </w:footnote>
  <w:footnote w:id="30">
    <w:p w:rsidR="001D677D" w:rsidRPr="00AD1211" w:rsidRDefault="001D677D" w:rsidP="001D677D">
      <w:pPr>
        <w:pStyle w:val="FootnoteText"/>
        <w:rPr>
          <w:lang w:val="ru-RU"/>
        </w:rPr>
      </w:pPr>
      <w:r w:rsidRPr="00AD1211">
        <w:rPr>
          <w:lang w:val="ru-RU"/>
        </w:rPr>
        <w:tab/>
      </w:r>
      <w:r w:rsidRPr="00AD1211">
        <w:rPr>
          <w:rStyle w:val="FootnoteReference"/>
          <w:lang w:val="ru-RU"/>
        </w:rPr>
        <w:footnoteRef/>
      </w:r>
      <w:r w:rsidRPr="00AD1211">
        <w:rPr>
          <w:lang w:val="ru-RU"/>
        </w:rPr>
        <w:tab/>
      </w:r>
      <w:r w:rsidRPr="00AD1211">
        <w:rPr>
          <w:i/>
          <w:lang w:val="ru-RU"/>
        </w:rPr>
        <w:t>Мезин против Алжира</w:t>
      </w:r>
      <w:r w:rsidRPr="00AD1211">
        <w:rPr>
          <w:lang w:val="ru-RU"/>
        </w:rPr>
        <w:t>, пункт 8.10.</w:t>
      </w:r>
    </w:p>
  </w:footnote>
  <w:footnote w:id="31">
    <w:p w:rsidR="001D677D" w:rsidRPr="001D677D" w:rsidRDefault="001D677D" w:rsidP="001D677D">
      <w:pPr>
        <w:pStyle w:val="FootnoteText"/>
        <w:rPr>
          <w:lang w:val="ru-RU"/>
        </w:rPr>
      </w:pPr>
      <w:r w:rsidRPr="001D677D">
        <w:rPr>
          <w:lang w:val="ru-RU"/>
        </w:rPr>
        <w:tab/>
      </w:r>
      <w:r w:rsidRPr="00FC416C">
        <w:rPr>
          <w:rStyle w:val="FootnoteReference"/>
        </w:rPr>
        <w:footnoteRef/>
      </w:r>
      <w:r w:rsidRPr="001D677D">
        <w:rPr>
          <w:lang w:val="ru-RU"/>
        </w:rPr>
        <w:tab/>
      </w:r>
      <w:r w:rsidRPr="00E742A8">
        <w:t>CCPR</w:t>
      </w:r>
      <w:r w:rsidRPr="001D677D">
        <w:rPr>
          <w:lang w:val="ru-RU"/>
        </w:rPr>
        <w:t>/</w:t>
      </w:r>
      <w:r w:rsidRPr="00E742A8">
        <w:t>C</w:t>
      </w:r>
      <w:r w:rsidRPr="001D677D">
        <w:rPr>
          <w:lang w:val="ru-RU"/>
        </w:rPr>
        <w:t>/</w:t>
      </w:r>
      <w:r w:rsidRPr="00E742A8">
        <w:t>DZA</w:t>
      </w:r>
      <w:r w:rsidRPr="001D677D">
        <w:rPr>
          <w:lang w:val="ru-RU"/>
        </w:rPr>
        <w:t>/</w:t>
      </w:r>
      <w:r w:rsidRPr="00E742A8">
        <w:t>CO</w:t>
      </w:r>
      <w:r w:rsidRPr="001D677D">
        <w:rPr>
          <w:lang w:val="ru-RU"/>
        </w:rPr>
        <w:t>/3, пункт</w:t>
      </w:r>
      <w:r w:rsidRPr="00E742A8">
        <w:t> </w:t>
      </w:r>
      <w:r w:rsidRPr="001D677D">
        <w:rPr>
          <w:lang w:val="ru-RU"/>
        </w:rPr>
        <w:t>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58" w:rsidRPr="005F0588" w:rsidRDefault="00D76358">
    <w:pPr>
      <w:pStyle w:val="Header"/>
      <w:rPr>
        <w:lang w:val="en-US"/>
      </w:rPr>
    </w:pPr>
    <w:r>
      <w:rPr>
        <w:lang w:val="en-US"/>
      </w:rPr>
      <w:t>CCPR/</w:t>
    </w:r>
    <w:fldSimple w:instr=" FILLIN  &quot;Введите часть символа после CCPR/&quot;  \* MERGEFORMAT ">
      <w:r w:rsidR="003B4964">
        <w:t>C/112/D/2083/2011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58" w:rsidRPr="005F0588" w:rsidRDefault="00D76358">
    <w:pPr>
      <w:pStyle w:val="Header"/>
      <w:rPr>
        <w:lang w:val="en-US"/>
      </w:rPr>
    </w:pPr>
    <w:r>
      <w:rPr>
        <w:lang w:val="en-US"/>
      </w:rPr>
      <w:tab/>
      <w:t>CCPR/</w:t>
    </w:r>
    <w:fldSimple w:instr=" FILLIN  &quot;Введите часть символа после CCPR/&quot;  \* MERGEFORMAT ">
      <w:r w:rsidR="003B4964">
        <w:t>C/112/D/2083/2011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45F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44BF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677D"/>
    <w:rsid w:val="001D7B8F"/>
    <w:rsid w:val="001E48EE"/>
    <w:rsid w:val="001F2D04"/>
    <w:rsid w:val="0020059C"/>
    <w:rsid w:val="002019BD"/>
    <w:rsid w:val="00224189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0EF6"/>
    <w:rsid w:val="003215F5"/>
    <w:rsid w:val="00332891"/>
    <w:rsid w:val="00356BB2"/>
    <w:rsid w:val="00360477"/>
    <w:rsid w:val="00367FC9"/>
    <w:rsid w:val="003711A1"/>
    <w:rsid w:val="00372123"/>
    <w:rsid w:val="00381289"/>
    <w:rsid w:val="00386581"/>
    <w:rsid w:val="00387100"/>
    <w:rsid w:val="003951D3"/>
    <w:rsid w:val="003978C6"/>
    <w:rsid w:val="003B40A9"/>
    <w:rsid w:val="003B4964"/>
    <w:rsid w:val="003C016E"/>
    <w:rsid w:val="003D5EBD"/>
    <w:rsid w:val="003E3C72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6618E"/>
    <w:rsid w:val="00576F59"/>
    <w:rsid w:val="00577A34"/>
    <w:rsid w:val="00580AAD"/>
    <w:rsid w:val="00593A04"/>
    <w:rsid w:val="005A3882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264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9549B"/>
    <w:rsid w:val="006A1BEB"/>
    <w:rsid w:val="006A401C"/>
    <w:rsid w:val="006A7C6E"/>
    <w:rsid w:val="006B23D9"/>
    <w:rsid w:val="006B745F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7B5F"/>
    <w:rsid w:val="00735602"/>
    <w:rsid w:val="0075279B"/>
    <w:rsid w:val="00753748"/>
    <w:rsid w:val="007605A6"/>
    <w:rsid w:val="00762446"/>
    <w:rsid w:val="00781ACB"/>
    <w:rsid w:val="007A79EB"/>
    <w:rsid w:val="007D4CA0"/>
    <w:rsid w:val="007D7A23"/>
    <w:rsid w:val="007E02DF"/>
    <w:rsid w:val="007E0C40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5F0C"/>
    <w:rsid w:val="008D6A7A"/>
    <w:rsid w:val="008E3E87"/>
    <w:rsid w:val="008E77AA"/>
    <w:rsid w:val="008E7F13"/>
    <w:rsid w:val="008F3185"/>
    <w:rsid w:val="00915B0A"/>
    <w:rsid w:val="00926904"/>
    <w:rsid w:val="009372F0"/>
    <w:rsid w:val="00954101"/>
    <w:rsid w:val="00955022"/>
    <w:rsid w:val="00957B4D"/>
    <w:rsid w:val="00964EEA"/>
    <w:rsid w:val="00980C86"/>
    <w:rsid w:val="009B1D9B"/>
    <w:rsid w:val="009B4074"/>
    <w:rsid w:val="009B69CD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51DF9"/>
    <w:rsid w:val="00A800D1"/>
    <w:rsid w:val="00A92699"/>
    <w:rsid w:val="00AB5BF0"/>
    <w:rsid w:val="00AC1C95"/>
    <w:rsid w:val="00AC2CCB"/>
    <w:rsid w:val="00AC443A"/>
    <w:rsid w:val="00AD3B8A"/>
    <w:rsid w:val="00AE60E2"/>
    <w:rsid w:val="00B0169F"/>
    <w:rsid w:val="00B05F21"/>
    <w:rsid w:val="00B14339"/>
    <w:rsid w:val="00B14EA9"/>
    <w:rsid w:val="00B30A3C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CF2D62"/>
    <w:rsid w:val="00D025D5"/>
    <w:rsid w:val="00D06CF9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E2B71"/>
    <w:rsid w:val="00DF18FA"/>
    <w:rsid w:val="00DF49CA"/>
    <w:rsid w:val="00DF775B"/>
    <w:rsid w:val="00E007F3"/>
    <w:rsid w:val="00E00DEA"/>
    <w:rsid w:val="00E06EF0"/>
    <w:rsid w:val="00E11679"/>
    <w:rsid w:val="00E24291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E64D7"/>
    <w:rsid w:val="00EF4456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0544BF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0544BF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88~1\AppData\Local\Temp\Rar$DIa0.524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19</Pages>
  <Words>7859</Words>
  <Characters>44800</Characters>
  <Application>Microsoft Office Outlook</Application>
  <DocSecurity>4</DocSecurity>
  <Lines>373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52554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Лена</dc:creator>
  <cp:keywords/>
  <cp:lastModifiedBy>yangw</cp:lastModifiedBy>
  <cp:revision>2</cp:revision>
  <cp:lastPrinted>2015-04-17T15:30:00Z</cp:lastPrinted>
  <dcterms:created xsi:type="dcterms:W3CDTF">2015-04-23T06:48:00Z</dcterms:created>
  <dcterms:modified xsi:type="dcterms:W3CDTF">2015-04-23T06:48:00Z</dcterms:modified>
</cp:coreProperties>
</file>