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D6DD3" w:rsidP="00ED6DD3">
            <w:pPr>
              <w:bidi w:val="0"/>
              <w:spacing w:after="20"/>
              <w:jc w:val="left"/>
              <w:rPr>
                <w:szCs w:val="20"/>
              </w:rPr>
            </w:pPr>
            <w:r w:rsidRPr="00ED6DD3">
              <w:rPr>
                <w:sz w:val="40"/>
                <w:szCs w:val="20"/>
              </w:rPr>
              <w:t>CCPR</w:t>
            </w:r>
            <w:r>
              <w:rPr>
                <w:szCs w:val="20"/>
              </w:rPr>
              <w:t>/C/111/D/1990/2010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D6DD3" w:rsidRDefault="00ED6DD3" w:rsidP="00ED6DD3">
            <w:pPr>
              <w:bidi w:val="0"/>
              <w:spacing w:before="240"/>
              <w:jc w:val="left"/>
            </w:pPr>
            <w:r>
              <w:t>Distr.: General</w:t>
            </w:r>
          </w:p>
          <w:p w:rsidR="00ED6DD3" w:rsidRDefault="00ED6DD3" w:rsidP="00ED6DD3">
            <w:pPr>
              <w:bidi w:val="0"/>
              <w:jc w:val="left"/>
            </w:pPr>
            <w:r>
              <w:t>28 August 2014</w:t>
            </w:r>
          </w:p>
          <w:p w:rsidR="00ED6DD3" w:rsidRDefault="00ED6DD3" w:rsidP="00ED6DD3">
            <w:pPr>
              <w:bidi w:val="0"/>
              <w:jc w:val="left"/>
            </w:pPr>
            <w:r>
              <w:t>Arabic</w:t>
            </w:r>
          </w:p>
          <w:p w:rsidR="00257225" w:rsidRPr="008B4BC6" w:rsidRDefault="00ED6DD3" w:rsidP="00ED6DD3">
            <w:pPr>
              <w:bidi w:val="0"/>
              <w:jc w:val="left"/>
            </w:pPr>
            <w:r>
              <w:t>Original: English</w:t>
            </w:r>
          </w:p>
        </w:tc>
      </w:tr>
    </w:tbl>
    <w:p w:rsidR="00ED6DD3" w:rsidRPr="00561901" w:rsidRDefault="00ED6DD3" w:rsidP="00561901">
      <w:pPr>
        <w:spacing w:before="120" w:line="380" w:lineRule="exact"/>
        <w:textDirection w:val="tbRlV"/>
        <w:rPr>
          <w:bCs/>
          <w:sz w:val="30"/>
          <w:szCs w:val="36"/>
          <w:rtl/>
          <w:lang w:eastAsia="zh-TW"/>
        </w:rPr>
      </w:pPr>
      <w:r w:rsidRPr="00561901">
        <w:rPr>
          <w:bCs/>
          <w:sz w:val="30"/>
          <w:szCs w:val="36"/>
          <w:rtl/>
          <w:lang w:eastAsia="zh-TW"/>
        </w:rPr>
        <w:t>اللجنة المعنية بحقوق الإنسان</w:t>
      </w:r>
    </w:p>
    <w:p w:rsidR="00ED6DD3" w:rsidRPr="005F6F6F" w:rsidRDefault="00ED6DD3" w:rsidP="00561901">
      <w:pPr>
        <w:pStyle w:val="HChGA"/>
        <w:rPr>
          <w:rtl/>
          <w:lang w:eastAsia="zh-TW"/>
        </w:rPr>
      </w:pPr>
      <w:r w:rsidRPr="005F6F6F">
        <w:rPr>
          <w:rtl/>
          <w:lang w:eastAsia="zh-TW"/>
        </w:rPr>
        <w:tab/>
      </w:r>
      <w:r w:rsidRPr="005F6F6F">
        <w:rPr>
          <w:rtl/>
          <w:lang w:eastAsia="zh-TW"/>
        </w:rPr>
        <w:tab/>
        <w:t xml:space="preserve">البلاغ رقم 1990/2010 </w:t>
      </w:r>
    </w:p>
    <w:p w:rsidR="00ED6DD3" w:rsidRDefault="00ED6DD3" w:rsidP="00561901">
      <w:pPr>
        <w:pStyle w:val="H1GA"/>
        <w:rPr>
          <w:rFonts w:hint="cs"/>
          <w:rtl/>
          <w:lang w:eastAsia="zh-TW"/>
        </w:rPr>
      </w:pPr>
      <w:r w:rsidRPr="005F6F6F">
        <w:rPr>
          <w:rtl/>
          <w:lang w:eastAsia="zh-TW"/>
        </w:rPr>
        <w:tab/>
      </w:r>
      <w:r w:rsidRPr="005F6F6F">
        <w:rPr>
          <w:rtl/>
          <w:lang w:eastAsia="zh-TW"/>
        </w:rPr>
        <w:tab/>
        <w:t xml:space="preserve">قرار اعتمدته اللجنة في دورتها </w:t>
      </w:r>
      <w:r>
        <w:rPr>
          <w:rtl/>
          <w:lang w:eastAsia="zh-TW"/>
        </w:rPr>
        <w:t>111</w:t>
      </w:r>
      <w:r w:rsidRPr="005F6F6F">
        <w:rPr>
          <w:rtl/>
          <w:lang w:eastAsia="zh-TW"/>
        </w:rPr>
        <w:t xml:space="preserve"> (7-25 تموز/يوليه ٢٠١٤) </w:t>
      </w:r>
    </w:p>
    <w:p w:rsidR="00561901" w:rsidRDefault="00561901" w:rsidP="00561901">
      <w:pPr>
        <w:pStyle w:val="SingleTxtGA"/>
        <w:ind w:left="1928"/>
      </w:pPr>
      <w:r w:rsidRPr="00561901">
        <w:rPr>
          <w:i/>
          <w:iCs/>
          <w:rtl/>
        </w:rPr>
        <w:t>المقدم من</w:t>
      </w:r>
      <w:r>
        <w:rPr>
          <w:i/>
          <w:iCs/>
          <w:rtl/>
        </w:rPr>
        <w:t>:</w:t>
      </w:r>
      <w:r w:rsidRPr="00561901">
        <w:rPr>
          <w:i/>
          <w:iCs/>
          <w:rtl/>
        </w:rPr>
        <w:tab/>
      </w:r>
      <w:r>
        <w:rPr>
          <w:rtl/>
        </w:rPr>
        <w:tab/>
      </w:r>
      <w:r>
        <w:rPr>
          <w:rFonts w:hint="cs"/>
          <w:rtl/>
        </w:rPr>
        <w:tab/>
      </w:r>
      <w:r>
        <w:rPr>
          <w:rtl/>
        </w:rPr>
        <w:t xml:space="preserve">تاتيانا ياشنيك (لا يمثلها محام) </w:t>
      </w:r>
    </w:p>
    <w:p w:rsidR="00561901" w:rsidRDefault="00561901" w:rsidP="00561901">
      <w:pPr>
        <w:pStyle w:val="SingleTxtGA"/>
        <w:ind w:left="1928"/>
      </w:pPr>
      <w:r w:rsidRPr="00561901">
        <w:rPr>
          <w:i/>
          <w:iCs/>
          <w:rtl/>
        </w:rPr>
        <w:t>الشخص المدعى أنه ضحية:</w:t>
      </w:r>
      <w:r>
        <w:rPr>
          <w:rtl/>
        </w:rPr>
        <w:tab/>
        <w:t xml:space="preserve">صاحبة البلاغ </w:t>
      </w:r>
    </w:p>
    <w:p w:rsidR="00561901" w:rsidRDefault="00561901" w:rsidP="00561901">
      <w:pPr>
        <w:pStyle w:val="SingleTxtGA"/>
        <w:ind w:left="1928"/>
      </w:pPr>
      <w:r w:rsidRPr="00561901">
        <w:rPr>
          <w:i/>
          <w:iCs/>
          <w:rtl/>
        </w:rPr>
        <w:t>الدولة الطرف:</w:t>
      </w:r>
      <w:r w:rsidRPr="00561901">
        <w:rPr>
          <w:rFonts w:hint="cs"/>
          <w:i/>
          <w:iCs/>
          <w:rtl/>
        </w:rPr>
        <w:tab/>
      </w:r>
      <w:r>
        <w:rPr>
          <w:rFonts w:hint="cs"/>
          <w:rtl/>
        </w:rPr>
        <w:tab/>
      </w:r>
      <w:r>
        <w:rPr>
          <w:rtl/>
        </w:rPr>
        <w:tab/>
        <w:t xml:space="preserve">بيلاروس </w:t>
      </w:r>
    </w:p>
    <w:p w:rsidR="00561901" w:rsidRPr="00561901" w:rsidRDefault="00561901" w:rsidP="00561901">
      <w:pPr>
        <w:pStyle w:val="SingleTxtGA"/>
        <w:ind w:left="4649" w:hanging="2721"/>
        <w:rPr>
          <w:spacing w:val="-4"/>
        </w:rPr>
      </w:pPr>
      <w:r w:rsidRPr="00561901">
        <w:rPr>
          <w:i/>
          <w:iCs/>
          <w:rtl/>
        </w:rPr>
        <w:t>تاريخ البلاغ:</w:t>
      </w:r>
      <w:r w:rsidRPr="00561901">
        <w:rPr>
          <w:i/>
          <w:iCs/>
          <w:rtl/>
        </w:rPr>
        <w:tab/>
      </w:r>
      <w:r>
        <w:rPr>
          <w:rtl/>
        </w:rPr>
        <w:tab/>
      </w:r>
      <w:r>
        <w:rPr>
          <w:rtl/>
        </w:rPr>
        <w:tab/>
      </w:r>
      <w:r w:rsidRPr="00561901">
        <w:rPr>
          <w:spacing w:val="-4"/>
          <w:rtl/>
        </w:rPr>
        <w:t>١٠ حزيران/</w:t>
      </w:r>
      <w:r w:rsidR="00BF4114">
        <w:rPr>
          <w:spacing w:val="-4"/>
          <w:rtl/>
        </w:rPr>
        <w:t>يونيه</w:t>
      </w:r>
      <w:r w:rsidRPr="00561901">
        <w:rPr>
          <w:spacing w:val="-4"/>
          <w:rtl/>
        </w:rPr>
        <w:t xml:space="preserve"> ٢٠٠٩ (تاريخ الرسالة الأولى) </w:t>
      </w:r>
    </w:p>
    <w:p w:rsidR="00561901" w:rsidRDefault="00561901" w:rsidP="00561901">
      <w:pPr>
        <w:pStyle w:val="SingleTxtGA"/>
        <w:ind w:left="4649" w:hanging="2721"/>
      </w:pPr>
      <w:r w:rsidRPr="00561901">
        <w:rPr>
          <w:i/>
          <w:iCs/>
          <w:rtl/>
        </w:rPr>
        <w:t>الوثائق المرجعية:</w:t>
      </w:r>
      <w:r w:rsidRPr="00561901">
        <w:rPr>
          <w:rFonts w:hint="cs"/>
          <w:i/>
          <w:iCs/>
          <w:rtl/>
        </w:rPr>
        <w:tab/>
      </w:r>
      <w:r>
        <w:rPr>
          <w:rFonts w:hint="cs"/>
          <w:rtl/>
        </w:rPr>
        <w:tab/>
      </w:r>
      <w:r>
        <w:rPr>
          <w:rtl/>
        </w:rPr>
        <w:tab/>
        <w:t xml:space="preserve">القرار الذي اتخذه المقرر الخاص بموجب المادة 97 من النظام الداخلي والمُحال إلى الدولة الطرف في 28 أيلول/سبتمبر 2010 (لم يصدر في شكل وثيقة) </w:t>
      </w:r>
    </w:p>
    <w:p w:rsidR="00561901" w:rsidRDefault="00561901" w:rsidP="00561901">
      <w:pPr>
        <w:pStyle w:val="SingleTxtGA"/>
        <w:ind w:left="1928"/>
      </w:pPr>
      <w:r w:rsidRPr="00561901">
        <w:rPr>
          <w:i/>
          <w:iCs/>
          <w:rtl/>
        </w:rPr>
        <w:t>تاريخ اعتماد القرار:</w:t>
      </w:r>
      <w:r w:rsidRPr="00561901">
        <w:rPr>
          <w:rFonts w:hint="cs"/>
          <w:i/>
          <w:iCs/>
          <w:rtl/>
        </w:rPr>
        <w:tab/>
      </w:r>
      <w:r>
        <w:rPr>
          <w:rtl/>
        </w:rPr>
        <w:tab/>
        <w:t xml:space="preserve">٢١ تموز/يوليه ٢٠١٤ </w:t>
      </w:r>
    </w:p>
    <w:p w:rsidR="00561901" w:rsidRDefault="00561901" w:rsidP="00561901">
      <w:pPr>
        <w:pStyle w:val="SingleTxtGA"/>
        <w:ind w:left="1928"/>
      </w:pPr>
      <w:r w:rsidRPr="00561901">
        <w:rPr>
          <w:i/>
          <w:iCs/>
          <w:rtl/>
        </w:rPr>
        <w:t>الموضوع:</w:t>
      </w:r>
      <w:r>
        <w:rPr>
          <w:rtl/>
        </w:rPr>
        <w:tab/>
      </w:r>
      <w:r>
        <w:rPr>
          <w:rFonts w:hint="cs"/>
          <w:rtl/>
        </w:rPr>
        <w:tab/>
      </w:r>
      <w:r>
        <w:rPr>
          <w:rFonts w:hint="cs"/>
          <w:rtl/>
        </w:rPr>
        <w:tab/>
      </w:r>
      <w:r>
        <w:rPr>
          <w:rtl/>
        </w:rPr>
        <w:t xml:space="preserve">الحق في حرية الدين </w:t>
      </w:r>
    </w:p>
    <w:p w:rsidR="00561901" w:rsidRDefault="00561901" w:rsidP="00561901">
      <w:pPr>
        <w:pStyle w:val="SingleTxtGA"/>
        <w:ind w:left="1928"/>
      </w:pPr>
      <w:r w:rsidRPr="00561901">
        <w:rPr>
          <w:i/>
          <w:iCs/>
          <w:rtl/>
        </w:rPr>
        <w:t>المسائل الموضوعية:</w:t>
      </w:r>
      <w:r>
        <w:rPr>
          <w:rFonts w:hint="cs"/>
          <w:rtl/>
        </w:rPr>
        <w:tab/>
      </w:r>
      <w:r>
        <w:rPr>
          <w:rFonts w:hint="cs"/>
          <w:rtl/>
        </w:rPr>
        <w:tab/>
      </w:r>
      <w:r>
        <w:rPr>
          <w:rtl/>
        </w:rPr>
        <w:t xml:space="preserve">الحق في حرية الدين وفي عدم التمييز </w:t>
      </w:r>
    </w:p>
    <w:p w:rsidR="00561901" w:rsidRDefault="00561901" w:rsidP="00561901">
      <w:pPr>
        <w:pStyle w:val="SingleTxtGA"/>
        <w:ind w:left="1928"/>
      </w:pPr>
      <w:r w:rsidRPr="00561901">
        <w:rPr>
          <w:i/>
          <w:iCs/>
          <w:rtl/>
        </w:rPr>
        <w:t>المسائل الإجرائية:</w:t>
      </w:r>
      <w:r w:rsidRPr="00561901">
        <w:rPr>
          <w:rFonts w:hint="cs"/>
          <w:i/>
          <w:iCs/>
          <w:rtl/>
        </w:rPr>
        <w:tab/>
      </w:r>
      <w:r>
        <w:rPr>
          <w:rFonts w:hint="cs"/>
          <w:rtl/>
        </w:rPr>
        <w:tab/>
      </w:r>
      <w:r>
        <w:rPr>
          <w:rFonts w:hint="cs"/>
          <w:rtl/>
        </w:rPr>
        <w:tab/>
      </w:r>
      <w:r>
        <w:rPr>
          <w:rtl/>
        </w:rPr>
        <w:t xml:space="preserve">استنفاد سبل الانتصاف المحلية </w:t>
      </w:r>
    </w:p>
    <w:p w:rsidR="00561901" w:rsidRPr="00561901" w:rsidRDefault="00561901" w:rsidP="00561901">
      <w:pPr>
        <w:pStyle w:val="SingleTxtGA"/>
        <w:ind w:left="4649" w:hanging="2721"/>
      </w:pPr>
      <w:r w:rsidRPr="00561901">
        <w:rPr>
          <w:i/>
          <w:iCs/>
          <w:rtl/>
        </w:rPr>
        <w:t>مواد العهد:</w:t>
      </w:r>
      <w:r w:rsidRPr="00561901">
        <w:rPr>
          <w:i/>
          <w:iCs/>
          <w:rtl/>
        </w:rPr>
        <w:tab/>
      </w:r>
      <w:r>
        <w:rPr>
          <w:rFonts w:hint="cs"/>
          <w:rtl/>
        </w:rPr>
        <w:tab/>
      </w:r>
      <w:r>
        <w:rPr>
          <w:rFonts w:hint="cs"/>
          <w:rtl/>
        </w:rPr>
        <w:tab/>
      </w:r>
      <w:r>
        <w:rPr>
          <w:rtl/>
        </w:rPr>
        <w:t xml:space="preserve">المادة 2، والفقرتان (1) و(2) من المادة 18، </w:t>
      </w:r>
      <w:r w:rsidRPr="00561901">
        <w:rPr>
          <w:rtl/>
        </w:rPr>
        <w:t>والمادة 26</w:t>
      </w:r>
    </w:p>
    <w:p w:rsidR="00561901" w:rsidRDefault="00561901" w:rsidP="00561901">
      <w:pPr>
        <w:pStyle w:val="SingleTxtGA"/>
        <w:ind w:left="1928"/>
        <w:rPr>
          <w:rFonts w:hint="cs"/>
          <w:rtl/>
        </w:rPr>
      </w:pPr>
      <w:r w:rsidRPr="00561901">
        <w:rPr>
          <w:i/>
          <w:iCs/>
          <w:rtl/>
        </w:rPr>
        <w:t>مواد البروتوكول الاختياري:</w:t>
      </w:r>
      <w:r>
        <w:rPr>
          <w:rtl/>
        </w:rPr>
        <w:tab/>
        <w:t>الماد</w:t>
      </w:r>
      <w:r>
        <w:rPr>
          <w:rFonts w:hint="cs"/>
          <w:rtl/>
        </w:rPr>
        <w:t>تان</w:t>
      </w:r>
      <w:r>
        <w:rPr>
          <w:rtl/>
        </w:rPr>
        <w:t xml:space="preserve"> 2 و5 (الفقرة 2(ب))</w:t>
      </w:r>
    </w:p>
    <w:p w:rsidR="00ED6DD3" w:rsidRPr="005F6F6F" w:rsidRDefault="00561901" w:rsidP="00561901">
      <w:pPr>
        <w:pStyle w:val="HChGA"/>
        <w:spacing w:before="120"/>
        <w:rPr>
          <w:rFonts w:hint="cs"/>
          <w:rtl/>
          <w:lang w:eastAsia="zh-TW"/>
        </w:rPr>
      </w:pPr>
      <w:r>
        <w:rPr>
          <w:rtl/>
        </w:rPr>
        <w:br w:type="page"/>
      </w:r>
      <w:r w:rsidR="00ED6DD3">
        <w:rPr>
          <w:i/>
          <w:rtl/>
          <w:lang w:eastAsia="zh-TW"/>
        </w:rPr>
        <w:tab/>
      </w:r>
      <w:r>
        <w:rPr>
          <w:rtl/>
          <w:lang w:eastAsia="zh-TW"/>
        </w:rPr>
        <w:t>المرفق</w:t>
      </w:r>
    </w:p>
    <w:p w:rsidR="00ED6DD3" w:rsidRPr="00561901" w:rsidRDefault="00ED6DD3" w:rsidP="004D45E0">
      <w:pPr>
        <w:pStyle w:val="HChGA"/>
        <w:rPr>
          <w:b w:val="0"/>
          <w:bCs w:val="0"/>
          <w:rtl/>
          <w:lang w:eastAsia="zh-TW"/>
        </w:rPr>
      </w:pPr>
      <w:r w:rsidRPr="005F6F6F">
        <w:rPr>
          <w:rtl/>
          <w:lang w:eastAsia="zh-TW"/>
        </w:rPr>
        <w:tab/>
      </w:r>
      <w:r w:rsidRPr="005F6F6F">
        <w:rPr>
          <w:rtl/>
          <w:lang w:eastAsia="zh-TW"/>
        </w:rPr>
        <w:tab/>
        <w:t xml:space="preserve">قرار اللجنة المعنية بحقوق الإنسان بموجب البروتوكول الاختياري الملحق بالعهد الدولي الخاص بالحقوق المدنية والسياسية </w:t>
      </w:r>
      <w:r w:rsidRPr="00561901">
        <w:rPr>
          <w:b w:val="0"/>
          <w:bCs w:val="0"/>
          <w:rtl/>
          <w:lang w:eastAsia="zh-TW"/>
        </w:rPr>
        <w:t xml:space="preserve">(الدورة 111) </w:t>
      </w:r>
    </w:p>
    <w:p w:rsidR="00ED6DD3" w:rsidRPr="005F6F6F" w:rsidRDefault="00ED6DD3" w:rsidP="00561901">
      <w:pPr>
        <w:pStyle w:val="SingleTxtGA"/>
        <w:rPr>
          <w:b/>
          <w:bCs/>
          <w:rtl/>
          <w:lang w:eastAsia="zh-TW"/>
        </w:rPr>
      </w:pPr>
      <w:r w:rsidRPr="005F6F6F">
        <w:rPr>
          <w:rtl/>
          <w:lang w:eastAsia="zh-TW"/>
        </w:rPr>
        <w:t>بشأن</w:t>
      </w:r>
    </w:p>
    <w:p w:rsidR="00ED6DD3" w:rsidRPr="00A339AF" w:rsidRDefault="00ED6DD3" w:rsidP="00561901">
      <w:pPr>
        <w:pStyle w:val="H1GA"/>
        <w:rPr>
          <w:rtl/>
          <w:lang w:eastAsia="zh-TW"/>
        </w:rPr>
      </w:pPr>
      <w:r w:rsidRPr="005F6F6F">
        <w:rPr>
          <w:rtl/>
          <w:lang w:eastAsia="zh-TW"/>
        </w:rPr>
        <w:tab/>
      </w:r>
      <w:r w:rsidRPr="00A339AF">
        <w:rPr>
          <w:lang w:eastAsia="zh-TW"/>
        </w:rPr>
        <w:tab/>
      </w:r>
      <w:r w:rsidRPr="00A339AF">
        <w:rPr>
          <w:rtl/>
          <w:lang w:eastAsia="zh-TW"/>
        </w:rPr>
        <w:t>البلاغ رقم 1990/2010</w:t>
      </w:r>
      <w:r w:rsidRPr="00EE6A11">
        <w:rPr>
          <w:b w:val="0"/>
          <w:bCs w:val="0"/>
          <w:sz w:val="20"/>
          <w:szCs w:val="30"/>
          <w:rtl/>
          <w:lang w:eastAsia="zh-TW"/>
        </w:rPr>
        <w:footnoteReference w:customMarkFollows="1" w:id="1"/>
        <w:t>*</w:t>
      </w:r>
    </w:p>
    <w:p w:rsidR="00561901" w:rsidRDefault="00561901" w:rsidP="00561901">
      <w:pPr>
        <w:pStyle w:val="SingleTxtGA"/>
        <w:ind w:left="1928"/>
      </w:pPr>
      <w:r w:rsidRPr="00561901">
        <w:rPr>
          <w:i/>
          <w:iCs/>
          <w:rtl/>
        </w:rPr>
        <w:t>المقدم من</w:t>
      </w:r>
      <w:r>
        <w:rPr>
          <w:i/>
          <w:iCs/>
          <w:rtl/>
        </w:rPr>
        <w:t>:</w:t>
      </w:r>
      <w:r w:rsidRPr="00561901">
        <w:rPr>
          <w:i/>
          <w:iCs/>
          <w:rtl/>
        </w:rPr>
        <w:tab/>
      </w:r>
      <w:r>
        <w:rPr>
          <w:rtl/>
        </w:rPr>
        <w:tab/>
      </w:r>
      <w:r>
        <w:rPr>
          <w:rFonts w:hint="cs"/>
          <w:rtl/>
        </w:rPr>
        <w:tab/>
      </w:r>
      <w:r>
        <w:rPr>
          <w:rtl/>
        </w:rPr>
        <w:t xml:space="preserve">تاتيانا ياشنيك (لا يمثلها محام) </w:t>
      </w:r>
    </w:p>
    <w:p w:rsidR="00561901" w:rsidRDefault="00561901" w:rsidP="00561901">
      <w:pPr>
        <w:pStyle w:val="SingleTxtGA"/>
        <w:ind w:left="1928"/>
      </w:pPr>
      <w:r w:rsidRPr="00561901">
        <w:rPr>
          <w:i/>
          <w:iCs/>
          <w:rtl/>
        </w:rPr>
        <w:t>الشخص المدعى أنه ضحية:</w:t>
      </w:r>
      <w:r>
        <w:rPr>
          <w:rtl/>
        </w:rPr>
        <w:tab/>
        <w:t xml:space="preserve">صاحبة البلاغ </w:t>
      </w:r>
    </w:p>
    <w:p w:rsidR="00561901" w:rsidRDefault="00561901" w:rsidP="00561901">
      <w:pPr>
        <w:pStyle w:val="SingleTxtGA"/>
        <w:ind w:left="1928"/>
      </w:pPr>
      <w:r w:rsidRPr="00561901">
        <w:rPr>
          <w:i/>
          <w:iCs/>
          <w:rtl/>
        </w:rPr>
        <w:t>الدولة الطرف:</w:t>
      </w:r>
      <w:r w:rsidRPr="00561901">
        <w:rPr>
          <w:rFonts w:hint="cs"/>
          <w:i/>
          <w:iCs/>
          <w:rtl/>
        </w:rPr>
        <w:tab/>
      </w:r>
      <w:r>
        <w:rPr>
          <w:rFonts w:hint="cs"/>
          <w:rtl/>
        </w:rPr>
        <w:tab/>
      </w:r>
      <w:r>
        <w:rPr>
          <w:rtl/>
        </w:rPr>
        <w:tab/>
        <w:t xml:space="preserve">بيلاروس </w:t>
      </w:r>
    </w:p>
    <w:p w:rsidR="00561901" w:rsidRPr="00561901" w:rsidRDefault="00561901" w:rsidP="00561901">
      <w:pPr>
        <w:pStyle w:val="SingleTxtGA"/>
        <w:ind w:left="4649" w:hanging="2721"/>
        <w:rPr>
          <w:spacing w:val="-4"/>
        </w:rPr>
      </w:pPr>
      <w:r w:rsidRPr="00561901">
        <w:rPr>
          <w:i/>
          <w:iCs/>
          <w:rtl/>
        </w:rPr>
        <w:t>تاريخ البلاغ:</w:t>
      </w:r>
      <w:r w:rsidRPr="00561901">
        <w:rPr>
          <w:i/>
          <w:iCs/>
          <w:rtl/>
        </w:rPr>
        <w:tab/>
      </w:r>
      <w:r>
        <w:rPr>
          <w:rtl/>
        </w:rPr>
        <w:tab/>
      </w:r>
      <w:r w:rsidRPr="00561901">
        <w:rPr>
          <w:spacing w:val="-4"/>
          <w:rtl/>
        </w:rPr>
        <w:tab/>
        <w:t>١٠ حزيران/</w:t>
      </w:r>
      <w:r w:rsidR="00BF4114">
        <w:rPr>
          <w:spacing w:val="-4"/>
          <w:rtl/>
        </w:rPr>
        <w:t>يونيه</w:t>
      </w:r>
      <w:r w:rsidRPr="00561901">
        <w:rPr>
          <w:spacing w:val="-4"/>
          <w:rtl/>
        </w:rPr>
        <w:t xml:space="preserve"> ٢٠٠٩ (تاريخ الرسالة الأولى) </w:t>
      </w:r>
    </w:p>
    <w:p w:rsidR="00ED6DD3" w:rsidRPr="00C762B5" w:rsidRDefault="00ED6DD3" w:rsidP="00561901">
      <w:pPr>
        <w:pStyle w:val="SingleTxtGA"/>
        <w:rPr>
          <w:rtl/>
          <w:lang w:eastAsia="zh-TW"/>
        </w:rPr>
      </w:pPr>
      <w:r w:rsidRPr="00C762B5">
        <w:rPr>
          <w:rtl/>
          <w:lang w:eastAsia="zh-TW"/>
        </w:rPr>
        <w:tab/>
      </w:r>
      <w:r w:rsidRPr="00561901">
        <w:rPr>
          <w:iCs/>
          <w:rtl/>
          <w:lang w:eastAsia="zh-TW"/>
        </w:rPr>
        <w:t>إن اللجنة المعنية بحقوق الإنسان،</w:t>
      </w:r>
      <w:r w:rsidRPr="00C762B5">
        <w:rPr>
          <w:rtl/>
          <w:lang w:eastAsia="zh-TW"/>
        </w:rPr>
        <w:t xml:space="preserve"> المنشأة بموجب المادة 28 من العهد الدولي الخاص بالحقوق المدنية والسياسية، </w:t>
      </w:r>
    </w:p>
    <w:p w:rsidR="00ED6DD3" w:rsidRPr="00C762B5" w:rsidRDefault="00ED6DD3" w:rsidP="00561901">
      <w:pPr>
        <w:pStyle w:val="SingleTxtGA"/>
        <w:rPr>
          <w:rtl/>
          <w:lang w:eastAsia="zh-TW"/>
        </w:rPr>
      </w:pPr>
      <w:r w:rsidRPr="00C762B5">
        <w:rPr>
          <w:rtl/>
          <w:lang w:eastAsia="zh-TW"/>
        </w:rPr>
        <w:tab/>
      </w:r>
      <w:r w:rsidRPr="00561901">
        <w:rPr>
          <w:iCs/>
          <w:rtl/>
          <w:lang w:eastAsia="zh-TW"/>
        </w:rPr>
        <w:t>وقد اجتمعت</w:t>
      </w:r>
      <w:r w:rsidRPr="00C762B5">
        <w:rPr>
          <w:rtl/>
          <w:lang w:eastAsia="zh-TW"/>
        </w:rPr>
        <w:t xml:space="preserve"> في 21 تموز/يوليه 2014، </w:t>
      </w:r>
    </w:p>
    <w:p w:rsidR="00ED6DD3" w:rsidRPr="00C762B5" w:rsidRDefault="00561901" w:rsidP="00561901">
      <w:pPr>
        <w:pStyle w:val="SingleTxtGA"/>
        <w:rPr>
          <w:rtl/>
          <w:lang w:eastAsia="zh-TW"/>
        </w:rPr>
      </w:pPr>
      <w:r>
        <w:rPr>
          <w:rFonts w:hint="cs"/>
          <w:rtl/>
          <w:lang w:eastAsia="zh-TW"/>
        </w:rPr>
        <w:tab/>
      </w:r>
      <w:r w:rsidR="00ED6DD3" w:rsidRPr="00561901">
        <w:rPr>
          <w:iCs/>
          <w:rtl/>
          <w:lang w:eastAsia="zh-TW"/>
        </w:rPr>
        <w:t>وقد فرغت</w:t>
      </w:r>
      <w:r w:rsidR="00ED6DD3" w:rsidRPr="00C762B5">
        <w:rPr>
          <w:rtl/>
          <w:lang w:eastAsia="zh-TW"/>
        </w:rPr>
        <w:t xml:space="preserve"> من النظر في البلاغ رقم 1990/2010، المقدم إلى اللجنة المعنية بحقوق الإنسان من تاتيانا ياشنيك بموجب البروتوكول الاختياري الملحق بالعهد الدولي الخاص بالحقوق المدنية والسياسية، </w:t>
      </w:r>
    </w:p>
    <w:p w:rsidR="00ED6DD3" w:rsidRPr="00C762B5" w:rsidRDefault="00ED6DD3" w:rsidP="00561901">
      <w:pPr>
        <w:pStyle w:val="SingleTxtGA"/>
        <w:rPr>
          <w:rtl/>
          <w:lang w:eastAsia="zh-TW"/>
        </w:rPr>
      </w:pPr>
      <w:r w:rsidRPr="00C762B5">
        <w:rPr>
          <w:rtl/>
          <w:lang w:eastAsia="zh-TW"/>
        </w:rPr>
        <w:tab/>
        <w:t>وقد وضعت في اعتبارها جمي</w:t>
      </w:r>
      <w:bookmarkStart w:id="0" w:name="_GoBack"/>
      <w:bookmarkEnd w:id="0"/>
      <w:r w:rsidRPr="00C762B5">
        <w:rPr>
          <w:rtl/>
          <w:lang w:eastAsia="zh-TW"/>
        </w:rPr>
        <w:t>ع المعلومات المكتوبة التي أتاح</w:t>
      </w:r>
      <w:r w:rsidR="00561901">
        <w:rPr>
          <w:rFonts w:hint="cs"/>
          <w:rtl/>
          <w:lang w:eastAsia="zh-TW"/>
        </w:rPr>
        <w:t>ت</w:t>
      </w:r>
      <w:r w:rsidRPr="00C762B5">
        <w:rPr>
          <w:rtl/>
          <w:lang w:eastAsia="zh-TW"/>
        </w:rPr>
        <w:t>ها لها صاحب</w:t>
      </w:r>
      <w:r w:rsidR="00561901">
        <w:rPr>
          <w:rFonts w:hint="cs"/>
          <w:rtl/>
          <w:lang w:eastAsia="zh-TW"/>
        </w:rPr>
        <w:t>ة</w:t>
      </w:r>
      <w:r w:rsidRPr="00C762B5">
        <w:rPr>
          <w:rtl/>
          <w:lang w:eastAsia="zh-TW"/>
        </w:rPr>
        <w:t xml:space="preserve"> البلاغ والدولة الطرف،</w:t>
      </w:r>
    </w:p>
    <w:p w:rsidR="00ED6DD3" w:rsidRPr="00C762B5" w:rsidRDefault="00ED6DD3" w:rsidP="00561901">
      <w:pPr>
        <w:pStyle w:val="SingleTxtGA"/>
        <w:rPr>
          <w:rtl/>
          <w:lang w:eastAsia="zh-TW"/>
        </w:rPr>
      </w:pPr>
      <w:r w:rsidRPr="00C762B5">
        <w:rPr>
          <w:rtl/>
          <w:lang w:eastAsia="zh-TW"/>
        </w:rPr>
        <w:tab/>
      </w:r>
      <w:r w:rsidRPr="00561901">
        <w:rPr>
          <w:i/>
          <w:iCs/>
          <w:rtl/>
          <w:lang w:eastAsia="zh-TW"/>
        </w:rPr>
        <w:t xml:space="preserve">تعتمد </w:t>
      </w:r>
      <w:r w:rsidRPr="00C762B5">
        <w:rPr>
          <w:rtl/>
          <w:lang w:eastAsia="zh-TW"/>
        </w:rPr>
        <w:t xml:space="preserve">ما يلي: </w:t>
      </w:r>
    </w:p>
    <w:p w:rsidR="00ED6DD3" w:rsidRPr="00C762B5" w:rsidRDefault="00ED6DD3" w:rsidP="00A43570">
      <w:pPr>
        <w:pStyle w:val="H1GA"/>
        <w:spacing w:before="120"/>
        <w:rPr>
          <w:rFonts w:hint="cs"/>
          <w:rtl/>
          <w:lang w:eastAsia="zh-TW"/>
        </w:rPr>
      </w:pPr>
      <w:r w:rsidRPr="00C762B5">
        <w:rPr>
          <w:rtl/>
          <w:lang w:eastAsia="zh-TW"/>
        </w:rPr>
        <w:tab/>
      </w:r>
      <w:r w:rsidRPr="00C762B5">
        <w:rPr>
          <w:rtl/>
          <w:lang w:eastAsia="zh-TW"/>
        </w:rPr>
        <w:tab/>
        <w:t>قرار بشأن المقبولية</w:t>
      </w:r>
    </w:p>
    <w:p w:rsidR="00ED6DD3" w:rsidRPr="00C762B5" w:rsidRDefault="00ED6DD3" w:rsidP="00F63C67">
      <w:pPr>
        <w:pStyle w:val="SingleTxtGA"/>
        <w:rPr>
          <w:rtl/>
          <w:lang w:eastAsia="zh-TW"/>
        </w:rPr>
      </w:pPr>
      <w:r w:rsidRPr="00C762B5">
        <w:rPr>
          <w:rtl/>
          <w:lang w:eastAsia="zh-TW"/>
        </w:rPr>
        <w:t>١</w:t>
      </w:r>
      <w:r w:rsidRPr="00C762B5">
        <w:rPr>
          <w:rtl/>
        </w:rPr>
        <w:t>-</w:t>
      </w:r>
      <w:r w:rsidR="00561901">
        <w:rPr>
          <w:rFonts w:hint="cs"/>
          <w:rtl/>
          <w:lang w:eastAsia="zh-TW"/>
        </w:rPr>
        <w:tab/>
      </w:r>
      <w:r w:rsidRPr="00C762B5">
        <w:rPr>
          <w:rtl/>
          <w:lang w:eastAsia="zh-TW"/>
        </w:rPr>
        <w:t>صاحب</w:t>
      </w:r>
      <w:r w:rsidR="00561901">
        <w:rPr>
          <w:rFonts w:hint="cs"/>
          <w:rtl/>
          <w:lang w:eastAsia="zh-TW"/>
        </w:rPr>
        <w:t>ة</w:t>
      </w:r>
      <w:r w:rsidR="00561901">
        <w:rPr>
          <w:rtl/>
          <w:lang w:eastAsia="zh-TW"/>
        </w:rPr>
        <w:t xml:space="preserve"> البلاغ ه</w:t>
      </w:r>
      <w:r w:rsidR="00561901">
        <w:rPr>
          <w:rFonts w:hint="cs"/>
          <w:rtl/>
          <w:lang w:eastAsia="zh-TW"/>
        </w:rPr>
        <w:t>ي</w:t>
      </w:r>
      <w:r w:rsidRPr="00C762B5">
        <w:rPr>
          <w:rtl/>
          <w:lang w:eastAsia="zh-TW"/>
        </w:rPr>
        <w:t xml:space="preserve"> السيدة تاتيانا ياشنيك وهي مواطنة بيلاروسية من مواليد عام</w:t>
      </w:r>
      <w:r w:rsidR="00561901">
        <w:rPr>
          <w:rFonts w:hint="cs"/>
          <w:rtl/>
          <w:lang w:eastAsia="zh-TW"/>
        </w:rPr>
        <w:t> </w:t>
      </w:r>
      <w:r w:rsidRPr="00C762B5">
        <w:rPr>
          <w:rtl/>
          <w:lang w:eastAsia="zh-TW"/>
        </w:rPr>
        <w:t xml:space="preserve">1952. </w:t>
      </w:r>
      <w:r>
        <w:rPr>
          <w:rtl/>
          <w:lang w:eastAsia="zh-TW"/>
        </w:rPr>
        <w:t>و</w:t>
      </w:r>
      <w:r w:rsidRPr="00C762B5">
        <w:rPr>
          <w:rtl/>
          <w:lang w:eastAsia="zh-TW"/>
        </w:rPr>
        <w:t>تد</w:t>
      </w:r>
      <w:r>
        <w:rPr>
          <w:rFonts w:hint="cs"/>
          <w:rtl/>
          <w:lang w:eastAsia="zh-TW"/>
        </w:rPr>
        <w:t>ّ</w:t>
      </w:r>
      <w:r w:rsidRPr="00C762B5">
        <w:rPr>
          <w:rtl/>
          <w:lang w:eastAsia="zh-TW"/>
        </w:rPr>
        <w:t xml:space="preserve">عي أنها وقعت ضحية انتهاكات بيلاروس لحقوقها </w:t>
      </w:r>
      <w:r w:rsidR="00561901">
        <w:rPr>
          <w:rFonts w:hint="cs"/>
          <w:rtl/>
          <w:lang w:eastAsia="zh-TW"/>
        </w:rPr>
        <w:t xml:space="preserve">التي تكفلها </w:t>
      </w:r>
      <w:r w:rsidRPr="00C762B5">
        <w:rPr>
          <w:rtl/>
          <w:lang w:eastAsia="zh-TW"/>
        </w:rPr>
        <w:t>المادة 2 والفقرت</w:t>
      </w:r>
      <w:r w:rsidR="00561901">
        <w:rPr>
          <w:rFonts w:hint="cs"/>
          <w:rtl/>
          <w:lang w:eastAsia="zh-TW"/>
        </w:rPr>
        <w:t>ا</w:t>
      </w:r>
      <w:r w:rsidRPr="00C762B5">
        <w:rPr>
          <w:rtl/>
          <w:lang w:eastAsia="zh-TW"/>
        </w:rPr>
        <w:t>ن 1 و2 من المادة 18 والمادة 26 من العهد الدولي الخاص بالحقوق المدنية والسياسية. ولا يمثل صاحبة البلاغ محامٍ</w:t>
      </w:r>
      <w:r w:rsidR="00561901" w:rsidRPr="00561901">
        <w:rPr>
          <w:rFonts w:hint="cs"/>
          <w:vertAlign w:val="superscript"/>
          <w:rtl/>
          <w:lang w:eastAsia="zh-TW"/>
        </w:rPr>
        <w:t>(</w:t>
      </w:r>
      <w:r w:rsidRPr="00561901">
        <w:rPr>
          <w:rStyle w:val="FootnoteReference"/>
          <w:rFonts w:ascii="Traditional Arabic" w:hAnsi="Traditional Arabic"/>
          <w:sz w:val="30"/>
          <w:rtl/>
          <w:lang w:eastAsia="zh-TW"/>
        </w:rPr>
        <w:footnoteReference w:id="2"/>
      </w:r>
      <w:r w:rsidR="00561901" w:rsidRPr="00561901">
        <w:rPr>
          <w:rFonts w:hint="cs"/>
          <w:vertAlign w:val="superscript"/>
          <w:rtl/>
          <w:lang w:eastAsia="zh-TW"/>
        </w:rPr>
        <w:t>)</w:t>
      </w:r>
      <w:r w:rsidR="00561901">
        <w:rPr>
          <w:rFonts w:hint="cs"/>
          <w:rtl/>
          <w:lang w:eastAsia="zh-TW"/>
        </w:rPr>
        <w:t>.</w:t>
      </w:r>
    </w:p>
    <w:p w:rsidR="00ED6DD3" w:rsidRPr="00C762B5" w:rsidRDefault="00ED6DD3" w:rsidP="00561901">
      <w:pPr>
        <w:pStyle w:val="H23GA"/>
        <w:rPr>
          <w:rtl/>
        </w:rPr>
      </w:pPr>
      <w:r w:rsidRPr="00C762B5">
        <w:rPr>
          <w:rtl/>
        </w:rPr>
        <w:tab/>
      </w:r>
      <w:r w:rsidRPr="00C762B5">
        <w:rPr>
          <w:rtl/>
        </w:rPr>
        <w:tab/>
        <w:t>الوقائع كما قدمتها صاحبة البلاغ</w:t>
      </w:r>
    </w:p>
    <w:p w:rsidR="00ED6DD3" w:rsidRPr="00F042F7" w:rsidRDefault="00561901" w:rsidP="00F042F7">
      <w:pPr>
        <w:pStyle w:val="SingleTxtGA"/>
        <w:rPr>
          <w:rFonts w:hint="cs"/>
          <w:rtl/>
          <w:lang w:eastAsia="zh-TW"/>
        </w:rPr>
      </w:pPr>
      <w:r>
        <w:rPr>
          <w:rtl/>
          <w:lang w:eastAsia="zh-TW"/>
        </w:rPr>
        <w:t>2-1</w:t>
      </w:r>
      <w:r>
        <w:rPr>
          <w:rFonts w:hint="cs"/>
          <w:rtl/>
          <w:lang w:eastAsia="zh-TW"/>
        </w:rPr>
        <w:tab/>
      </w:r>
      <w:r w:rsidR="00ED6DD3" w:rsidRPr="00C762B5">
        <w:rPr>
          <w:rtl/>
          <w:lang w:eastAsia="zh-TW"/>
        </w:rPr>
        <w:t>تدفع صاحبة البلاغ بأن بيلاروس اعتمدت في عام 1</w:t>
      </w:r>
      <w:r w:rsidR="00ED6DD3">
        <w:rPr>
          <w:rtl/>
          <w:lang w:eastAsia="zh-TW"/>
        </w:rPr>
        <w:t>996 نوع</w:t>
      </w:r>
      <w:r w:rsidR="000E1FDE">
        <w:rPr>
          <w:rtl/>
          <w:lang w:eastAsia="zh-TW"/>
        </w:rPr>
        <w:t xml:space="preserve">اً </w:t>
      </w:r>
      <w:r w:rsidR="00ED6DD3">
        <w:rPr>
          <w:rtl/>
          <w:lang w:eastAsia="zh-TW"/>
        </w:rPr>
        <w:t>جديد</w:t>
      </w:r>
      <w:r w:rsidR="000E1FDE">
        <w:rPr>
          <w:rtl/>
          <w:lang w:eastAsia="zh-TW"/>
        </w:rPr>
        <w:t xml:space="preserve">اً </w:t>
      </w:r>
      <w:r w:rsidR="00ED6DD3">
        <w:rPr>
          <w:rtl/>
          <w:lang w:eastAsia="zh-TW"/>
        </w:rPr>
        <w:t xml:space="preserve">من </w:t>
      </w:r>
      <w:r w:rsidR="00ED6DD3">
        <w:rPr>
          <w:rFonts w:hint="cs"/>
          <w:rtl/>
          <w:lang w:eastAsia="zh-TW"/>
        </w:rPr>
        <w:t xml:space="preserve">أنواع </w:t>
      </w:r>
      <w:r w:rsidR="00ED6DD3">
        <w:rPr>
          <w:rtl/>
          <w:lang w:eastAsia="zh-TW"/>
        </w:rPr>
        <w:t>جوازات السفر</w:t>
      </w:r>
      <w:r w:rsidR="00ED6DD3" w:rsidRPr="00C762B5">
        <w:rPr>
          <w:rtl/>
          <w:lang w:eastAsia="zh-TW"/>
        </w:rPr>
        <w:t xml:space="preserve"> يمثل وثيقة الهوية الوطنية و</w:t>
      </w:r>
      <w:r w:rsidR="00ED6DD3">
        <w:rPr>
          <w:rtl/>
          <w:lang w:eastAsia="zh-TW"/>
        </w:rPr>
        <w:t>ي</w:t>
      </w:r>
      <w:r w:rsidR="00ED6DD3">
        <w:rPr>
          <w:rFonts w:hint="cs"/>
          <w:rtl/>
          <w:lang w:eastAsia="zh-TW"/>
        </w:rPr>
        <w:t>سند إلى</w:t>
      </w:r>
      <w:r w:rsidR="00ED6DD3" w:rsidRPr="00C762B5">
        <w:rPr>
          <w:rtl/>
          <w:lang w:eastAsia="zh-TW"/>
        </w:rPr>
        <w:t xml:space="preserve"> كل مواطن رقم هوية شخصي</w:t>
      </w:r>
      <w:r w:rsidR="00645274">
        <w:rPr>
          <w:rFonts w:hint="cs"/>
          <w:rtl/>
          <w:lang w:eastAsia="zh-TW"/>
        </w:rPr>
        <w:t xml:space="preserve">اً. </w:t>
      </w:r>
      <w:r w:rsidR="00ED6DD3" w:rsidRPr="00C762B5">
        <w:rPr>
          <w:rtl/>
          <w:lang w:eastAsia="zh-TW"/>
        </w:rPr>
        <w:t>ولقد رفضت صاحبة البلاغ تقديم طلب للحصول على وثيقة الهوية الجديدة، لأنها كانت ترى تعارض</w:t>
      </w:r>
      <w:r w:rsidR="000E1FDE">
        <w:rPr>
          <w:rtl/>
          <w:lang w:eastAsia="zh-TW"/>
        </w:rPr>
        <w:t xml:space="preserve">اً </w:t>
      </w:r>
      <w:r w:rsidR="00ED6DD3" w:rsidRPr="00C762B5">
        <w:rPr>
          <w:rtl/>
          <w:lang w:eastAsia="zh-TW"/>
        </w:rPr>
        <w:t>بين</w:t>
      </w:r>
      <w:r w:rsidR="00ED6DD3">
        <w:rPr>
          <w:rFonts w:hint="cs"/>
          <w:rtl/>
          <w:lang w:eastAsia="zh-TW"/>
        </w:rPr>
        <w:t xml:space="preserve"> معتقداتها الدينية وإسناد </w:t>
      </w:r>
      <w:r w:rsidR="00ED6DD3" w:rsidRPr="00C762B5">
        <w:rPr>
          <w:rtl/>
          <w:lang w:eastAsia="zh-TW"/>
        </w:rPr>
        <w:t xml:space="preserve">رقم شخصي </w:t>
      </w:r>
      <w:r w:rsidR="00ED6DD3">
        <w:rPr>
          <w:rFonts w:hint="cs"/>
          <w:rtl/>
          <w:lang w:eastAsia="zh-TW"/>
        </w:rPr>
        <w:t>إليها</w:t>
      </w:r>
      <w:r w:rsidR="00ED6DD3" w:rsidRPr="00C762B5">
        <w:rPr>
          <w:rtl/>
          <w:lang w:eastAsia="zh-TW"/>
        </w:rPr>
        <w:t xml:space="preserve">. </w:t>
      </w:r>
      <w:r w:rsidR="00ED6DD3">
        <w:rPr>
          <w:rFonts w:hint="cs"/>
          <w:rtl/>
          <w:lang w:eastAsia="zh-TW"/>
        </w:rPr>
        <w:t>وهي توضح، لدعم ادعاءاتها</w:t>
      </w:r>
      <w:r w:rsidR="00ED6DD3" w:rsidRPr="00C762B5">
        <w:rPr>
          <w:rtl/>
          <w:lang w:eastAsia="zh-TW"/>
        </w:rPr>
        <w:t>، أنها ملتزمة بالمسيحية الأرثوذكسية وترى أن الاستعاضة عن اسمها برقم لأغراض التفاعل مع سلطات الدولة والمجتمع، إجراء ينطوي على إهانة ويساوي بين الفرد، الذي خ</w:t>
      </w:r>
      <w:r w:rsidR="00ED6DD3">
        <w:rPr>
          <w:rFonts w:hint="cs"/>
          <w:rtl/>
          <w:lang w:eastAsia="zh-TW"/>
        </w:rPr>
        <w:t>ُ</w:t>
      </w:r>
      <w:r w:rsidR="00ED6DD3" w:rsidRPr="00C762B5">
        <w:rPr>
          <w:rtl/>
          <w:lang w:eastAsia="zh-TW"/>
        </w:rPr>
        <w:t xml:space="preserve">لق في صورة الرب، </w:t>
      </w:r>
      <w:r w:rsidR="00ED6DD3">
        <w:rPr>
          <w:rFonts w:hint="cs"/>
          <w:rtl/>
          <w:lang w:eastAsia="zh-TW"/>
        </w:rPr>
        <w:t>و</w:t>
      </w:r>
      <w:r w:rsidR="00ED6DD3" w:rsidRPr="00C762B5">
        <w:rPr>
          <w:rtl/>
          <w:lang w:eastAsia="zh-TW"/>
        </w:rPr>
        <w:t>كائن عديم الروح. ولذلك ترى أن في الاستعاضة عن اسمها برقم ما يرمز إلى معاداة المسيحية. وتدفع صاحبة البلاغ أيض</w:t>
      </w:r>
      <w:r w:rsidR="000E1FDE">
        <w:rPr>
          <w:rtl/>
          <w:lang w:eastAsia="zh-TW"/>
        </w:rPr>
        <w:t xml:space="preserve">اً </w:t>
      </w:r>
      <w:r w:rsidR="00ED6DD3" w:rsidRPr="00C762B5">
        <w:rPr>
          <w:rtl/>
          <w:lang w:eastAsia="zh-TW"/>
        </w:rPr>
        <w:t>بأن قرارها رفض قبول النوع الجديد من جوازات السفر ليس موجه</w:t>
      </w:r>
      <w:r w:rsidR="000E1FDE">
        <w:rPr>
          <w:rtl/>
          <w:lang w:eastAsia="zh-TW"/>
        </w:rPr>
        <w:t xml:space="preserve">اً </w:t>
      </w:r>
      <w:r w:rsidR="00ED6DD3" w:rsidRPr="00C762B5">
        <w:rPr>
          <w:rtl/>
          <w:lang w:eastAsia="zh-TW"/>
        </w:rPr>
        <w:t>ضد</w:t>
      </w:r>
      <w:r w:rsidR="000E1FDE">
        <w:rPr>
          <w:rFonts w:hint="cs"/>
          <w:rtl/>
          <w:lang w:eastAsia="zh-TW"/>
        </w:rPr>
        <w:t>ا</w:t>
      </w:r>
      <w:r w:rsidR="000E1FDE">
        <w:rPr>
          <w:rtl/>
          <w:lang w:eastAsia="zh-TW"/>
        </w:rPr>
        <w:t xml:space="preserve"> </w:t>
      </w:r>
      <w:r w:rsidR="00ED6DD3" w:rsidRPr="00C762B5">
        <w:rPr>
          <w:rtl/>
          <w:lang w:eastAsia="zh-TW"/>
        </w:rPr>
        <w:t>النظام القائم ولا هو محاولة منها لتفادي الوفاء بالتزاماتها الق</w:t>
      </w:r>
      <w:r w:rsidR="00ED6DD3">
        <w:rPr>
          <w:rtl/>
          <w:lang w:eastAsia="zh-TW"/>
        </w:rPr>
        <w:t>انونية أو الأخلاقية تجاه الدولة</w:t>
      </w:r>
      <w:r w:rsidR="00ED6DD3" w:rsidRPr="00C762B5">
        <w:rPr>
          <w:rtl/>
          <w:lang w:eastAsia="zh-TW"/>
        </w:rPr>
        <w:t xml:space="preserve"> أو ل</w:t>
      </w:r>
      <w:r>
        <w:rPr>
          <w:rtl/>
          <w:lang w:eastAsia="zh-TW"/>
        </w:rPr>
        <w:t>انتهاك حقوق الآخرين.</w:t>
      </w:r>
      <w:r w:rsidR="00F042F7">
        <w:rPr>
          <w:rtl/>
          <w:lang w:eastAsia="zh-TW"/>
        </w:rPr>
        <w:t xml:space="preserve"> </w:t>
      </w:r>
    </w:p>
    <w:p w:rsidR="00ED6DD3" w:rsidRPr="00C762B5" w:rsidRDefault="00561901" w:rsidP="00561901">
      <w:pPr>
        <w:pStyle w:val="SingleTxtGA"/>
        <w:rPr>
          <w:rtl/>
          <w:lang w:eastAsia="zh-TW"/>
        </w:rPr>
      </w:pPr>
      <w:r>
        <w:rPr>
          <w:rtl/>
          <w:lang w:eastAsia="zh-TW"/>
        </w:rPr>
        <w:t>2-2</w:t>
      </w:r>
      <w:r>
        <w:rPr>
          <w:rFonts w:hint="cs"/>
          <w:rtl/>
          <w:lang w:eastAsia="zh-TW"/>
        </w:rPr>
        <w:tab/>
      </w:r>
      <w:r w:rsidR="00ED6DD3" w:rsidRPr="00C762B5">
        <w:rPr>
          <w:rtl/>
          <w:lang w:eastAsia="zh-TW"/>
        </w:rPr>
        <w:t>وتدعي صاحبة البلاغ أنها</w:t>
      </w:r>
      <w:r w:rsidR="00ED6DD3">
        <w:rPr>
          <w:rtl/>
          <w:lang w:eastAsia="zh-TW"/>
        </w:rPr>
        <w:t xml:space="preserve"> أ</w:t>
      </w:r>
      <w:r w:rsidR="00ED6DD3">
        <w:rPr>
          <w:rFonts w:hint="cs"/>
          <w:rtl/>
          <w:lang w:eastAsia="zh-TW"/>
        </w:rPr>
        <w:t>بلغت</w:t>
      </w:r>
      <w:r w:rsidR="00ED6DD3" w:rsidRPr="00C762B5">
        <w:rPr>
          <w:rtl/>
          <w:lang w:eastAsia="zh-TW"/>
        </w:rPr>
        <w:t xml:space="preserve"> مؤسسات الدولة </w:t>
      </w:r>
      <w:r w:rsidR="00ED6DD3">
        <w:rPr>
          <w:rFonts w:hint="cs"/>
          <w:rtl/>
          <w:lang w:eastAsia="zh-TW"/>
        </w:rPr>
        <w:t>ب</w:t>
      </w:r>
      <w:r w:rsidR="00ED6DD3" w:rsidRPr="00C762B5">
        <w:rPr>
          <w:rtl/>
          <w:lang w:eastAsia="zh-TW"/>
        </w:rPr>
        <w:t xml:space="preserve">آرائها وطلبت تزويدها بجواز سفر </w:t>
      </w:r>
      <w:r w:rsidR="00ED6DD3">
        <w:rPr>
          <w:rtl/>
          <w:lang w:eastAsia="zh-TW"/>
        </w:rPr>
        <w:t xml:space="preserve">لا </w:t>
      </w:r>
      <w:r w:rsidR="00ED6DD3">
        <w:rPr>
          <w:rFonts w:hint="cs"/>
          <w:rtl/>
          <w:lang w:eastAsia="zh-TW"/>
        </w:rPr>
        <w:t>يحتوي على</w:t>
      </w:r>
      <w:r w:rsidR="00ED6DD3" w:rsidRPr="00C762B5">
        <w:rPr>
          <w:rtl/>
          <w:lang w:eastAsia="zh-TW"/>
        </w:rPr>
        <w:t xml:space="preserve"> رقم هوية شخصي، غير أن طلباتها رُفضت. واحتفظت </w:t>
      </w:r>
      <w:r w:rsidR="00ED6DD3">
        <w:rPr>
          <w:rFonts w:hint="cs"/>
          <w:rtl/>
          <w:lang w:eastAsia="zh-TW"/>
        </w:rPr>
        <w:t xml:space="preserve">صاحبة البلاغ </w:t>
      </w:r>
      <w:r w:rsidR="00ED6DD3" w:rsidRPr="00C762B5">
        <w:rPr>
          <w:rtl/>
          <w:lang w:eastAsia="zh-TW"/>
        </w:rPr>
        <w:t>بجواز سفرها الذي صدر بموجب قانون عام 1974 ولا ي</w:t>
      </w:r>
      <w:r w:rsidR="00ED6DD3">
        <w:rPr>
          <w:rFonts w:hint="cs"/>
          <w:rtl/>
          <w:lang w:eastAsia="zh-TW"/>
        </w:rPr>
        <w:t>حتوي على</w:t>
      </w:r>
      <w:r w:rsidR="00ED6DD3" w:rsidRPr="00C762B5">
        <w:rPr>
          <w:rtl/>
          <w:lang w:eastAsia="zh-TW"/>
        </w:rPr>
        <w:t xml:space="preserve"> رقم هوية شخصي. وفي</w:t>
      </w:r>
      <w:r>
        <w:rPr>
          <w:rFonts w:hint="cs"/>
          <w:rtl/>
          <w:lang w:eastAsia="zh-TW"/>
        </w:rPr>
        <w:t> </w:t>
      </w:r>
      <w:r w:rsidR="00ED6DD3" w:rsidRPr="00C762B5">
        <w:rPr>
          <w:rtl/>
          <w:lang w:eastAsia="zh-TW"/>
        </w:rPr>
        <w:t>29 تشرين الأول/أكتوبر 2002، أصدر مجلس الوزراء مرسوم</w:t>
      </w:r>
      <w:r w:rsidR="000E1FDE">
        <w:rPr>
          <w:rtl/>
          <w:lang w:eastAsia="zh-TW"/>
        </w:rPr>
        <w:t xml:space="preserve">اً </w:t>
      </w:r>
      <w:r w:rsidR="00ED6DD3" w:rsidRPr="00C762B5">
        <w:rPr>
          <w:rtl/>
          <w:lang w:eastAsia="zh-TW"/>
        </w:rPr>
        <w:t>ينص على بطلان صلاحية جوازات السفر الصادرة بموجب قانون عام 1974. ونتيجة لذلك، باتت وثيقة هوية صاحبة البلاغ غير صالحة</w:t>
      </w:r>
      <w:r w:rsidRPr="00561901">
        <w:rPr>
          <w:rFonts w:hint="cs"/>
          <w:vertAlign w:val="superscript"/>
          <w:rtl/>
          <w:lang w:eastAsia="zh-TW"/>
        </w:rPr>
        <w:t>(</w:t>
      </w:r>
      <w:r w:rsidR="00ED6DD3" w:rsidRPr="00561901">
        <w:rPr>
          <w:vertAlign w:val="superscript"/>
          <w:rtl/>
          <w:lang w:eastAsia="zh-TW"/>
        </w:rPr>
        <w:footnoteReference w:id="3"/>
      </w:r>
      <w:r w:rsidRPr="00561901">
        <w:rPr>
          <w:rFonts w:hint="cs"/>
          <w:vertAlign w:val="superscript"/>
          <w:rtl/>
          <w:lang w:eastAsia="zh-TW"/>
        </w:rPr>
        <w:t>)</w:t>
      </w:r>
      <w:r>
        <w:rPr>
          <w:rFonts w:hint="cs"/>
          <w:rtl/>
          <w:lang w:eastAsia="zh-TW"/>
        </w:rPr>
        <w:t>.</w:t>
      </w:r>
    </w:p>
    <w:p w:rsidR="00ED6DD3" w:rsidRPr="00C762B5" w:rsidRDefault="00561901" w:rsidP="00561901">
      <w:pPr>
        <w:pStyle w:val="SingleTxtGA"/>
        <w:rPr>
          <w:rtl/>
          <w:lang w:eastAsia="zh-TW"/>
        </w:rPr>
      </w:pPr>
      <w:r>
        <w:rPr>
          <w:rtl/>
          <w:lang w:eastAsia="zh-TW"/>
        </w:rPr>
        <w:t>2-3</w:t>
      </w:r>
      <w:r>
        <w:rPr>
          <w:rFonts w:hint="cs"/>
          <w:rtl/>
          <w:lang w:eastAsia="zh-TW"/>
        </w:rPr>
        <w:tab/>
      </w:r>
      <w:r w:rsidR="00ED6DD3" w:rsidRPr="00C762B5">
        <w:rPr>
          <w:rtl/>
          <w:lang w:eastAsia="zh-TW"/>
        </w:rPr>
        <w:t>وتدفع صاحبة البلاغ بأنها بلغت سن الخامسة والخمسين في تشرين الأول/</w:t>
      </w:r>
      <w:r>
        <w:rPr>
          <w:rFonts w:hint="cs"/>
          <w:rtl/>
          <w:lang w:eastAsia="zh-TW"/>
        </w:rPr>
        <w:t xml:space="preserve">     </w:t>
      </w:r>
      <w:r w:rsidR="00ED6DD3" w:rsidRPr="00C762B5">
        <w:rPr>
          <w:rtl/>
          <w:lang w:eastAsia="zh-TW"/>
        </w:rPr>
        <w:t xml:space="preserve">أكتوبر 2007 </w:t>
      </w:r>
      <w:r w:rsidR="00ED6DD3">
        <w:rPr>
          <w:rtl/>
          <w:lang w:eastAsia="zh-TW"/>
        </w:rPr>
        <w:t>وبات</w:t>
      </w:r>
      <w:r w:rsidR="00ED6DD3">
        <w:rPr>
          <w:rFonts w:hint="cs"/>
          <w:rtl/>
          <w:lang w:eastAsia="zh-TW"/>
        </w:rPr>
        <w:t xml:space="preserve"> من حقها</w:t>
      </w:r>
      <w:r w:rsidR="00ED6DD3" w:rsidRPr="00C762B5">
        <w:rPr>
          <w:rtl/>
          <w:lang w:eastAsia="zh-TW"/>
        </w:rPr>
        <w:t xml:space="preserve"> </w:t>
      </w:r>
      <w:r w:rsidR="00ED6DD3">
        <w:rPr>
          <w:rFonts w:hint="cs"/>
          <w:rtl/>
          <w:lang w:eastAsia="zh-TW"/>
        </w:rPr>
        <w:t>ا</w:t>
      </w:r>
      <w:r w:rsidR="00ED6DD3" w:rsidRPr="00C762B5">
        <w:rPr>
          <w:rtl/>
          <w:lang w:eastAsia="zh-TW"/>
        </w:rPr>
        <w:t>لتقاعد</w:t>
      </w:r>
      <w:r w:rsidR="00ED6DD3">
        <w:rPr>
          <w:rFonts w:hint="cs"/>
          <w:rtl/>
          <w:lang w:eastAsia="zh-TW"/>
        </w:rPr>
        <w:t xml:space="preserve"> عن العمل</w:t>
      </w:r>
      <w:r w:rsidR="00ED6DD3" w:rsidRPr="00C762B5">
        <w:rPr>
          <w:rtl/>
          <w:lang w:eastAsia="zh-TW"/>
        </w:rPr>
        <w:t>. وقدّمت طلب</w:t>
      </w:r>
      <w:r w:rsidR="000E1FDE">
        <w:rPr>
          <w:rtl/>
          <w:lang w:eastAsia="zh-TW"/>
        </w:rPr>
        <w:t xml:space="preserve">اً </w:t>
      </w:r>
      <w:r w:rsidR="00ED6DD3">
        <w:rPr>
          <w:rFonts w:hint="cs"/>
          <w:rtl/>
          <w:lang w:eastAsia="zh-TW"/>
        </w:rPr>
        <w:t xml:space="preserve">في هذا الصدد </w:t>
      </w:r>
      <w:r w:rsidR="00ED6DD3" w:rsidRPr="00C762B5">
        <w:rPr>
          <w:rtl/>
          <w:lang w:eastAsia="zh-TW"/>
        </w:rPr>
        <w:t>وفق</w:t>
      </w:r>
      <w:r w:rsidR="000E1FDE">
        <w:rPr>
          <w:rtl/>
          <w:lang w:eastAsia="zh-TW"/>
        </w:rPr>
        <w:t xml:space="preserve">اً </w:t>
      </w:r>
      <w:r w:rsidR="00ED6DD3" w:rsidRPr="00C762B5">
        <w:rPr>
          <w:rtl/>
          <w:lang w:eastAsia="zh-TW"/>
        </w:rPr>
        <w:t>للتشريعات المحلية. وقدّم صاحب العمل الوثائق اللازمة لمنحها معاش</w:t>
      </w:r>
      <w:r w:rsidR="000E1FDE">
        <w:rPr>
          <w:rtl/>
          <w:lang w:eastAsia="zh-TW"/>
        </w:rPr>
        <w:t xml:space="preserve">اً </w:t>
      </w:r>
      <w:r w:rsidR="00ED6DD3" w:rsidRPr="00C762B5">
        <w:rPr>
          <w:rtl/>
          <w:lang w:eastAsia="zh-TW"/>
        </w:rPr>
        <w:t>تقاعدي</w:t>
      </w:r>
      <w:r w:rsidR="000E1FDE">
        <w:rPr>
          <w:rtl/>
          <w:lang w:eastAsia="zh-TW"/>
        </w:rPr>
        <w:t xml:space="preserve">اً </w:t>
      </w:r>
      <w:r w:rsidR="00ED6DD3" w:rsidRPr="00C762B5">
        <w:rPr>
          <w:rtl/>
          <w:lang w:eastAsia="zh-TW"/>
        </w:rPr>
        <w:t>إلى إدارة العمل والحماية الاجتماعية بمدينة بريست، كما تقتضي ذلك</w:t>
      </w:r>
      <w:r w:rsidR="00ED6DD3">
        <w:rPr>
          <w:rtl/>
          <w:lang w:eastAsia="zh-TW"/>
        </w:rPr>
        <w:t xml:space="preserve"> اللائحة رقم 44</w:t>
      </w:r>
      <w:r w:rsidRPr="00561901">
        <w:rPr>
          <w:rFonts w:hint="cs"/>
          <w:vertAlign w:val="superscript"/>
          <w:rtl/>
          <w:lang w:eastAsia="zh-TW"/>
        </w:rPr>
        <w:t>(</w:t>
      </w:r>
      <w:r w:rsidRPr="00561901">
        <w:rPr>
          <w:vertAlign w:val="superscript"/>
          <w:rtl/>
          <w:lang w:eastAsia="zh-TW"/>
        </w:rPr>
        <w:footnoteReference w:id="4"/>
      </w:r>
      <w:r w:rsidRPr="00561901">
        <w:rPr>
          <w:rFonts w:hint="cs"/>
          <w:vertAlign w:val="superscript"/>
          <w:rtl/>
          <w:lang w:eastAsia="zh-TW"/>
        </w:rPr>
        <w:t>)</w:t>
      </w:r>
      <w:r w:rsidR="00ED6DD3">
        <w:rPr>
          <w:rFonts w:hint="cs"/>
          <w:rtl/>
          <w:lang w:eastAsia="zh-TW"/>
        </w:rPr>
        <w:t xml:space="preserve"> الصادرة في</w:t>
      </w:r>
      <w:r w:rsidR="00ED6DD3">
        <w:rPr>
          <w:rtl/>
          <w:lang w:eastAsia="zh-TW"/>
        </w:rPr>
        <w:t xml:space="preserve"> 23 أيار/مايو 1997</w:t>
      </w:r>
      <w:r w:rsidR="00ED6DD3">
        <w:rPr>
          <w:rFonts w:hint="cs"/>
          <w:rtl/>
          <w:lang w:eastAsia="zh-TW"/>
        </w:rPr>
        <w:t xml:space="preserve"> </w:t>
      </w:r>
      <w:r w:rsidR="00ED6DD3" w:rsidRPr="00C762B5">
        <w:rPr>
          <w:rtl/>
          <w:lang w:eastAsia="zh-TW"/>
        </w:rPr>
        <w:t>عن وزارة العمل والحماية الاجتماعية في بيلاروس</w:t>
      </w:r>
      <w:r>
        <w:rPr>
          <w:rFonts w:hint="cs"/>
          <w:rtl/>
          <w:lang w:eastAsia="zh-TW"/>
        </w:rPr>
        <w:t>.</w:t>
      </w:r>
    </w:p>
    <w:p w:rsidR="00ED6DD3" w:rsidRPr="00C762B5" w:rsidRDefault="0056419E" w:rsidP="00561901">
      <w:pPr>
        <w:pStyle w:val="SingleTxtGA"/>
        <w:rPr>
          <w:rtl/>
          <w:lang w:eastAsia="zh-TW"/>
        </w:rPr>
      </w:pPr>
      <w:r>
        <w:rPr>
          <w:rtl/>
          <w:lang w:eastAsia="zh-TW"/>
        </w:rPr>
        <w:t>2-4</w:t>
      </w:r>
      <w:r>
        <w:rPr>
          <w:rFonts w:hint="cs"/>
          <w:rtl/>
          <w:lang w:eastAsia="zh-TW"/>
        </w:rPr>
        <w:tab/>
      </w:r>
      <w:r w:rsidR="00ED6DD3" w:rsidRPr="00C762B5">
        <w:rPr>
          <w:rtl/>
          <w:lang w:eastAsia="zh-TW"/>
        </w:rPr>
        <w:t>وفي 6 كانون الأول/ديسمبر 2007، أصدرت لجنة المعاشات التقاعدية التابعة لدائرة لينيسكي ببريست البروتوكول رقم 224</w:t>
      </w:r>
      <w:r w:rsidR="00ED6DD3">
        <w:rPr>
          <w:rtl/>
          <w:lang w:eastAsia="zh-TW"/>
        </w:rPr>
        <w:t xml:space="preserve"> الذي </w:t>
      </w:r>
      <w:r w:rsidR="00ED6DD3">
        <w:rPr>
          <w:rFonts w:hint="cs"/>
          <w:rtl/>
          <w:lang w:eastAsia="zh-TW"/>
        </w:rPr>
        <w:t>نص على عدم</w:t>
      </w:r>
      <w:r w:rsidR="00ED6DD3" w:rsidRPr="00C762B5">
        <w:rPr>
          <w:rtl/>
          <w:lang w:eastAsia="zh-TW"/>
        </w:rPr>
        <w:t xml:space="preserve"> منح صاحبة البلاغ معاش</w:t>
      </w:r>
      <w:r w:rsidR="000E1FDE">
        <w:rPr>
          <w:rtl/>
          <w:lang w:eastAsia="zh-TW"/>
        </w:rPr>
        <w:t xml:space="preserve">اً </w:t>
      </w:r>
      <w:r w:rsidR="00ED6DD3" w:rsidRPr="00C762B5">
        <w:rPr>
          <w:rtl/>
          <w:lang w:eastAsia="zh-TW"/>
        </w:rPr>
        <w:t>تقاعدي</w:t>
      </w:r>
      <w:r w:rsidR="00645274">
        <w:rPr>
          <w:rtl/>
          <w:lang w:eastAsia="zh-TW"/>
        </w:rPr>
        <w:t xml:space="preserve">اً. </w:t>
      </w:r>
      <w:r w:rsidR="00ED6DD3" w:rsidRPr="00C762B5">
        <w:rPr>
          <w:rtl/>
          <w:lang w:eastAsia="zh-TW"/>
        </w:rPr>
        <w:t>وبررت اللجنة قرارها بكون اللائحة رقم 44 تنص على ضرورة أن يقدم طالبو المعاشات التقاعدية جواز سفر أو وثيقة أخرى تثبت هويتهم</w:t>
      </w:r>
      <w:r w:rsidR="00ED6DD3">
        <w:rPr>
          <w:rtl/>
          <w:lang w:eastAsia="zh-TW"/>
        </w:rPr>
        <w:t xml:space="preserve"> ومكان إقامتهم. وادعت اللجنة أن</w:t>
      </w:r>
      <w:r w:rsidR="00ED6DD3">
        <w:rPr>
          <w:rFonts w:hint="cs"/>
          <w:rtl/>
          <w:lang w:eastAsia="zh-TW"/>
        </w:rPr>
        <w:t xml:space="preserve"> صاحبة البلاغ </w:t>
      </w:r>
      <w:r w:rsidR="00ED6DD3" w:rsidRPr="00C762B5">
        <w:rPr>
          <w:rtl/>
          <w:lang w:eastAsia="zh-TW"/>
        </w:rPr>
        <w:t>لم تكن تملك الوثائق اللازمة للحصول عى معاشها التقاعدي</w:t>
      </w:r>
      <w:r w:rsidR="00ED6DD3">
        <w:rPr>
          <w:rFonts w:hint="cs"/>
          <w:rtl/>
          <w:lang w:eastAsia="zh-TW"/>
        </w:rPr>
        <w:t xml:space="preserve"> ل</w:t>
      </w:r>
      <w:r w:rsidR="00ED6DD3" w:rsidRPr="00C762B5">
        <w:rPr>
          <w:rtl/>
          <w:lang w:eastAsia="zh-TW"/>
        </w:rPr>
        <w:t>أن جواز سفر</w:t>
      </w:r>
      <w:r w:rsidR="00ED6DD3">
        <w:rPr>
          <w:rFonts w:hint="cs"/>
          <w:rtl/>
          <w:lang w:eastAsia="zh-TW"/>
        </w:rPr>
        <w:t>ها</w:t>
      </w:r>
      <w:r w:rsidR="00ED6DD3" w:rsidRPr="00C762B5">
        <w:rPr>
          <w:rtl/>
          <w:lang w:eastAsia="zh-TW"/>
        </w:rPr>
        <w:t xml:space="preserve"> القديم بات غير صالح ولم تقد</w:t>
      </w:r>
      <w:r w:rsidR="00ED6DD3">
        <w:rPr>
          <w:rtl/>
          <w:lang w:eastAsia="zh-TW"/>
        </w:rPr>
        <w:t>م طلب</w:t>
      </w:r>
      <w:r w:rsidR="000E1FDE">
        <w:rPr>
          <w:rtl/>
          <w:lang w:eastAsia="zh-TW"/>
        </w:rPr>
        <w:t xml:space="preserve">اً </w:t>
      </w:r>
      <w:r w:rsidR="00ED6DD3">
        <w:rPr>
          <w:rtl/>
          <w:lang w:eastAsia="zh-TW"/>
        </w:rPr>
        <w:t>للحصول على جواز سفر جديد</w:t>
      </w:r>
      <w:r w:rsidR="00ED6DD3" w:rsidRPr="00C762B5">
        <w:rPr>
          <w:rtl/>
          <w:lang w:eastAsia="zh-TW"/>
        </w:rPr>
        <w:t xml:space="preserve">. </w:t>
      </w:r>
    </w:p>
    <w:p w:rsidR="00ED6DD3" w:rsidRPr="00C762B5" w:rsidRDefault="0056419E" w:rsidP="0056419E">
      <w:pPr>
        <w:pStyle w:val="SingleTxtGA"/>
        <w:rPr>
          <w:rtl/>
          <w:lang w:eastAsia="zh-TW"/>
        </w:rPr>
      </w:pPr>
      <w:r>
        <w:rPr>
          <w:rtl/>
          <w:lang w:eastAsia="zh-TW"/>
        </w:rPr>
        <w:t>2-5</w:t>
      </w:r>
      <w:r>
        <w:rPr>
          <w:rFonts w:hint="cs"/>
          <w:rtl/>
          <w:lang w:eastAsia="zh-TW"/>
        </w:rPr>
        <w:tab/>
      </w:r>
      <w:r w:rsidR="00ED6DD3" w:rsidRPr="00C762B5">
        <w:rPr>
          <w:rtl/>
          <w:lang w:eastAsia="zh-TW"/>
        </w:rPr>
        <w:t xml:space="preserve">وفي تاريخ غير محدد، استأنفت صاحبة البلاغ قرار لجنة المعاشات التقاعدية أمام لجنة العمل والعمالة والحماية الاجتماعية التابعة للجنة التنفيذية لمدينة بريست. ورفضت لجنة العمل والعمالة والحماية الاجتماعية، في قرارها المؤرخ 16 كانون الثاني/يناير 2008، استئناف صاحبة البلاغ. وذكرت اللجنة </w:t>
      </w:r>
      <w:r w:rsidR="00ED6DD3">
        <w:rPr>
          <w:rFonts w:hint="cs"/>
          <w:rtl/>
          <w:lang w:eastAsia="zh-TW"/>
        </w:rPr>
        <w:t>أن</w:t>
      </w:r>
      <w:r w:rsidR="00ED6DD3">
        <w:rPr>
          <w:rtl/>
          <w:lang w:eastAsia="zh-TW"/>
        </w:rPr>
        <w:t>"</w:t>
      </w:r>
      <w:r w:rsidR="00ED6DD3" w:rsidRPr="00C762B5">
        <w:rPr>
          <w:rtl/>
          <w:lang w:eastAsia="zh-TW"/>
        </w:rPr>
        <w:t xml:space="preserve">الحق في الحصول على معاش </w:t>
      </w:r>
      <w:r>
        <w:rPr>
          <w:rFonts w:hint="cs"/>
          <w:rtl/>
          <w:lang w:eastAsia="zh-TW"/>
        </w:rPr>
        <w:t xml:space="preserve">تقاعدي </w:t>
      </w:r>
      <w:r w:rsidR="00ED6DD3" w:rsidRPr="00C762B5">
        <w:rPr>
          <w:rtl/>
          <w:lang w:eastAsia="zh-TW"/>
        </w:rPr>
        <w:t>يرتبط ارتباط</w:t>
      </w:r>
      <w:r w:rsidR="000E1FDE">
        <w:rPr>
          <w:rtl/>
          <w:lang w:eastAsia="zh-TW"/>
        </w:rPr>
        <w:t xml:space="preserve">اً </w:t>
      </w:r>
      <w:r w:rsidR="00ED6DD3" w:rsidRPr="00C762B5">
        <w:rPr>
          <w:rtl/>
          <w:lang w:eastAsia="zh-TW"/>
        </w:rPr>
        <w:t>وثيق</w:t>
      </w:r>
      <w:r w:rsidR="000E1FDE">
        <w:rPr>
          <w:rtl/>
          <w:lang w:eastAsia="zh-TW"/>
        </w:rPr>
        <w:t xml:space="preserve">اً </w:t>
      </w:r>
      <w:r w:rsidR="00ED6DD3" w:rsidRPr="00C762B5">
        <w:rPr>
          <w:rtl/>
          <w:lang w:eastAsia="zh-TW"/>
        </w:rPr>
        <w:t xml:space="preserve">بهوية الشخص" وأن </w:t>
      </w:r>
      <w:r>
        <w:rPr>
          <w:rFonts w:hint="cs"/>
          <w:rtl/>
          <w:lang w:eastAsia="zh-TW"/>
        </w:rPr>
        <w:t xml:space="preserve">السيّنودس المقدس </w:t>
      </w:r>
      <w:r w:rsidR="00ED6DD3" w:rsidRPr="00C762B5">
        <w:rPr>
          <w:rtl/>
          <w:lang w:eastAsia="zh-TW"/>
        </w:rPr>
        <w:t>للكنيسة الأرثوذكسية الروسية أوضح في بيانه المؤرخ 22 شباط/فبراير 2001، أن "</w:t>
      </w:r>
      <w:r w:rsidR="00ED6DD3">
        <w:rPr>
          <w:rtl/>
          <w:lang w:eastAsia="zh-TW"/>
        </w:rPr>
        <w:t>وثائق الهوية الشخصية ل</w:t>
      </w:r>
      <w:r w:rsidR="00ED6DD3">
        <w:rPr>
          <w:rFonts w:hint="cs"/>
          <w:rtl/>
          <w:lang w:eastAsia="zh-TW"/>
        </w:rPr>
        <w:t>ا تنطوي على</w:t>
      </w:r>
      <w:r w:rsidR="00ED6DD3" w:rsidRPr="00C762B5">
        <w:rPr>
          <w:rtl/>
          <w:lang w:eastAsia="zh-TW"/>
        </w:rPr>
        <w:t xml:space="preserve"> أهمية دينية" ولا يمكن اعتبار طلب الحصول عليها </w:t>
      </w:r>
      <w:r w:rsidR="00ED6DD3">
        <w:rPr>
          <w:rFonts w:hint="cs"/>
          <w:rtl/>
          <w:lang w:eastAsia="zh-TW"/>
        </w:rPr>
        <w:t>إثما</w:t>
      </w:r>
      <w:r>
        <w:rPr>
          <w:rFonts w:hint="cs"/>
          <w:rtl/>
          <w:lang w:eastAsia="zh-TW"/>
        </w:rPr>
        <w:t>ً</w:t>
      </w:r>
      <w:r w:rsidR="00ED6DD3" w:rsidRPr="00C762B5">
        <w:rPr>
          <w:rtl/>
          <w:lang w:eastAsia="zh-TW"/>
        </w:rPr>
        <w:t xml:space="preserve">. </w:t>
      </w:r>
    </w:p>
    <w:p w:rsidR="00ED6DD3" w:rsidRPr="00C762B5" w:rsidRDefault="0056419E" w:rsidP="00561901">
      <w:pPr>
        <w:pStyle w:val="SingleTxtGA"/>
        <w:rPr>
          <w:rtl/>
          <w:lang w:eastAsia="zh-TW"/>
        </w:rPr>
      </w:pPr>
      <w:r>
        <w:rPr>
          <w:rtl/>
          <w:lang w:eastAsia="zh-TW"/>
        </w:rPr>
        <w:t>2-6</w:t>
      </w:r>
      <w:r>
        <w:rPr>
          <w:rFonts w:hint="cs"/>
          <w:rtl/>
          <w:lang w:eastAsia="zh-TW"/>
        </w:rPr>
        <w:tab/>
      </w:r>
      <w:r w:rsidR="00ED6DD3" w:rsidRPr="00C762B5">
        <w:rPr>
          <w:rtl/>
          <w:lang w:eastAsia="zh-TW"/>
        </w:rPr>
        <w:t>وقدمت صاحبة البلاغ استئنافها اللاحق إلى وزارة العمل والحماية الاجتماعية لكنه رُفض في 22 تموز/يوليه 2008. وأكدت الوزارة موقف لجنة العمل والعمالة والحماية الاجتماعية في هذا الصدد. وذكّرت صاحبة البلاغ بأن حقها في معاش تقاعدي لا يصبح نافذ</w:t>
      </w:r>
      <w:r w:rsidR="000E1FDE">
        <w:rPr>
          <w:rtl/>
          <w:lang w:eastAsia="zh-TW"/>
        </w:rPr>
        <w:t xml:space="preserve">اً </w:t>
      </w:r>
      <w:r w:rsidR="00ED6DD3" w:rsidRPr="00C762B5">
        <w:rPr>
          <w:rtl/>
          <w:lang w:eastAsia="zh-TW"/>
        </w:rPr>
        <w:t xml:space="preserve">إلا عندما تقدم كل الوثائق المطلوبة للحصول عليه وليس عند بلوغ سن معينة. </w:t>
      </w:r>
    </w:p>
    <w:p w:rsidR="00ED6DD3" w:rsidRPr="00C762B5" w:rsidRDefault="0056419E" w:rsidP="00561901">
      <w:pPr>
        <w:pStyle w:val="SingleTxtGA"/>
        <w:rPr>
          <w:rtl/>
          <w:lang w:eastAsia="zh-TW"/>
        </w:rPr>
      </w:pPr>
      <w:r>
        <w:rPr>
          <w:rtl/>
          <w:lang w:eastAsia="zh-TW"/>
        </w:rPr>
        <w:t>2-7</w:t>
      </w:r>
      <w:r>
        <w:rPr>
          <w:rFonts w:hint="cs"/>
          <w:rtl/>
          <w:lang w:eastAsia="zh-TW"/>
        </w:rPr>
        <w:tab/>
      </w:r>
      <w:r w:rsidR="00ED6DD3">
        <w:rPr>
          <w:rtl/>
          <w:lang w:eastAsia="zh-TW"/>
        </w:rPr>
        <w:t>و</w:t>
      </w:r>
      <w:r w:rsidR="00ED6DD3">
        <w:rPr>
          <w:rFonts w:hint="cs"/>
          <w:rtl/>
          <w:lang w:eastAsia="zh-TW"/>
        </w:rPr>
        <w:t>طعنت</w:t>
      </w:r>
      <w:r w:rsidR="00ED6DD3" w:rsidRPr="00C762B5">
        <w:rPr>
          <w:rtl/>
          <w:lang w:eastAsia="zh-TW"/>
        </w:rPr>
        <w:t xml:space="preserve"> صاحبة البلاغ </w:t>
      </w:r>
      <w:r w:rsidR="00ED6DD3">
        <w:rPr>
          <w:rFonts w:hint="cs"/>
          <w:rtl/>
          <w:lang w:eastAsia="zh-TW"/>
        </w:rPr>
        <w:t xml:space="preserve">في </w:t>
      </w:r>
      <w:r w:rsidR="00ED6DD3" w:rsidRPr="00C762B5">
        <w:rPr>
          <w:rtl/>
          <w:lang w:eastAsia="zh-TW"/>
        </w:rPr>
        <w:t>قرار لجنة المعاشات التقاعدية أمام محكمة دائرة ليننسكي. وفي 25 آ</w:t>
      </w:r>
      <w:r w:rsidR="00ED6DD3">
        <w:rPr>
          <w:rtl/>
          <w:lang w:eastAsia="zh-TW"/>
        </w:rPr>
        <w:t xml:space="preserve">ب/أغسطس 2008، رفضت المحكمة </w:t>
      </w:r>
      <w:r w:rsidR="00ED6DD3">
        <w:rPr>
          <w:rFonts w:hint="cs"/>
          <w:rtl/>
          <w:lang w:eastAsia="zh-TW"/>
        </w:rPr>
        <w:t>هذا الطعن</w:t>
      </w:r>
      <w:r w:rsidR="00ED6DD3" w:rsidRPr="00C762B5">
        <w:rPr>
          <w:rtl/>
          <w:lang w:eastAsia="zh-TW"/>
        </w:rPr>
        <w:t>. و</w:t>
      </w:r>
      <w:r w:rsidR="00ED6DD3">
        <w:rPr>
          <w:rFonts w:hint="cs"/>
          <w:rtl/>
          <w:lang w:eastAsia="zh-TW"/>
        </w:rPr>
        <w:t>رُفض أيض</w:t>
      </w:r>
      <w:r w:rsidR="000E1FDE">
        <w:rPr>
          <w:rFonts w:hint="cs"/>
          <w:rtl/>
          <w:lang w:eastAsia="zh-TW"/>
        </w:rPr>
        <w:t xml:space="preserve">اً </w:t>
      </w:r>
      <w:r w:rsidR="00ED6DD3" w:rsidRPr="00C762B5">
        <w:rPr>
          <w:rtl/>
          <w:lang w:eastAsia="zh-TW"/>
        </w:rPr>
        <w:t>في 13 تشرين الأول/أكتوبر 2008</w:t>
      </w:r>
      <w:r w:rsidR="00ED6DD3">
        <w:rPr>
          <w:rFonts w:hint="cs"/>
          <w:rtl/>
          <w:lang w:eastAsia="zh-TW"/>
        </w:rPr>
        <w:t xml:space="preserve"> الطعن المقدم لاحق</w:t>
      </w:r>
      <w:r w:rsidR="000E1FDE">
        <w:rPr>
          <w:rFonts w:hint="cs"/>
          <w:rtl/>
          <w:lang w:eastAsia="zh-TW"/>
        </w:rPr>
        <w:t xml:space="preserve">اً </w:t>
      </w:r>
      <w:r w:rsidR="00ED6DD3" w:rsidRPr="00C762B5">
        <w:rPr>
          <w:rtl/>
          <w:lang w:eastAsia="zh-TW"/>
        </w:rPr>
        <w:t xml:space="preserve">إلى محكمة بريست الإقليمية. وذكرت المحكمتان المحلية والإقليمية على حد سواء أن صاحبة البلاغ تحتاج إلى جواز سفر صالح لكي يتسنى لها طلب الحصول على معاش تقاعدي. </w:t>
      </w:r>
    </w:p>
    <w:p w:rsidR="00ED6DD3" w:rsidRPr="00C762B5" w:rsidRDefault="0056419E" w:rsidP="004D45E0">
      <w:pPr>
        <w:pStyle w:val="SingleTxtGA"/>
        <w:rPr>
          <w:rtl/>
          <w:lang w:eastAsia="zh-TW"/>
        </w:rPr>
      </w:pPr>
      <w:r>
        <w:rPr>
          <w:rtl/>
          <w:lang w:eastAsia="zh-TW"/>
        </w:rPr>
        <w:t>2-8</w:t>
      </w:r>
      <w:r>
        <w:rPr>
          <w:rFonts w:hint="cs"/>
          <w:rtl/>
          <w:lang w:eastAsia="zh-TW"/>
        </w:rPr>
        <w:tab/>
      </w:r>
      <w:r w:rsidR="00ED6DD3" w:rsidRPr="00C762B5">
        <w:rPr>
          <w:rtl/>
          <w:lang w:eastAsia="zh-TW"/>
        </w:rPr>
        <w:t xml:space="preserve">وتدفع </w:t>
      </w:r>
      <w:r w:rsidR="00ED6DD3">
        <w:rPr>
          <w:rtl/>
          <w:lang w:eastAsia="zh-TW"/>
        </w:rPr>
        <w:t>صاحبة البلاغ بأنها واصلت ا</w:t>
      </w:r>
      <w:r w:rsidR="00ED6DD3">
        <w:rPr>
          <w:rFonts w:hint="cs"/>
          <w:rtl/>
          <w:lang w:eastAsia="zh-TW"/>
        </w:rPr>
        <w:t>لطعن في</w:t>
      </w:r>
      <w:r w:rsidR="00ED6DD3" w:rsidRPr="00C762B5">
        <w:rPr>
          <w:rtl/>
          <w:lang w:eastAsia="zh-TW"/>
        </w:rPr>
        <w:t xml:space="preserve"> القرار في إطار إجراء المراجعة القضائية </w:t>
      </w:r>
      <w:r w:rsidR="00ED6DD3">
        <w:rPr>
          <w:rFonts w:hint="cs"/>
          <w:rtl/>
          <w:lang w:eastAsia="zh-TW"/>
        </w:rPr>
        <w:t xml:space="preserve">لدى </w:t>
      </w:r>
      <w:r w:rsidR="00ED6DD3" w:rsidRPr="00C762B5">
        <w:rPr>
          <w:rtl/>
          <w:lang w:eastAsia="zh-TW"/>
        </w:rPr>
        <w:t>رئيس محكمة بريست الإقليمية و</w:t>
      </w:r>
      <w:r w:rsidR="00ED6DD3">
        <w:rPr>
          <w:rFonts w:hint="cs"/>
          <w:rtl/>
          <w:lang w:eastAsia="zh-TW"/>
        </w:rPr>
        <w:t xml:space="preserve">لدى </w:t>
      </w:r>
      <w:r w:rsidR="00ED6DD3" w:rsidRPr="00C762B5">
        <w:rPr>
          <w:rtl/>
          <w:lang w:eastAsia="zh-TW"/>
        </w:rPr>
        <w:t xml:space="preserve">رئيس المحكمة العليا في بيلاروس. ورفض </w:t>
      </w:r>
      <w:r w:rsidR="00ED6DD3">
        <w:rPr>
          <w:rtl/>
          <w:lang w:eastAsia="zh-TW"/>
        </w:rPr>
        <w:t>ال</w:t>
      </w:r>
      <w:r w:rsidR="00ED6DD3">
        <w:rPr>
          <w:rFonts w:hint="cs"/>
          <w:rtl/>
          <w:lang w:eastAsia="zh-TW"/>
        </w:rPr>
        <w:t>رئيسان</w:t>
      </w:r>
      <w:r w:rsidR="00ED6DD3" w:rsidRPr="00C762B5">
        <w:rPr>
          <w:rtl/>
          <w:lang w:eastAsia="zh-TW"/>
        </w:rPr>
        <w:t xml:space="preserve"> </w:t>
      </w:r>
      <w:r w:rsidR="00ED6DD3">
        <w:rPr>
          <w:rFonts w:hint="cs"/>
          <w:rtl/>
          <w:lang w:eastAsia="zh-TW"/>
        </w:rPr>
        <w:t>طعنيها على التوالي</w:t>
      </w:r>
      <w:r w:rsidR="00ED6DD3" w:rsidRPr="00C762B5">
        <w:rPr>
          <w:rtl/>
          <w:lang w:eastAsia="zh-TW"/>
        </w:rPr>
        <w:t xml:space="preserve"> في 10 كانون الأول/ديسمب</w:t>
      </w:r>
      <w:r w:rsidR="00ED6DD3">
        <w:rPr>
          <w:rtl/>
          <w:lang w:eastAsia="zh-TW"/>
        </w:rPr>
        <w:t>ر 2008 وفي 11 شباط/</w:t>
      </w:r>
      <w:r>
        <w:rPr>
          <w:rFonts w:hint="cs"/>
          <w:rtl/>
          <w:lang w:eastAsia="zh-TW"/>
        </w:rPr>
        <w:t xml:space="preserve"> </w:t>
      </w:r>
      <w:r w:rsidR="00ED6DD3">
        <w:rPr>
          <w:rtl/>
          <w:lang w:eastAsia="zh-TW"/>
        </w:rPr>
        <w:t>فبراير</w:t>
      </w:r>
      <w:r w:rsidR="004D45E0">
        <w:rPr>
          <w:rFonts w:hint="cs"/>
          <w:rtl/>
          <w:lang w:eastAsia="zh-TW"/>
        </w:rPr>
        <w:t> </w:t>
      </w:r>
      <w:r w:rsidR="00ED6DD3">
        <w:rPr>
          <w:rtl/>
          <w:lang w:eastAsia="zh-TW"/>
        </w:rPr>
        <w:t>2009</w:t>
      </w:r>
      <w:r w:rsidR="00ED6DD3" w:rsidRPr="00C762B5">
        <w:rPr>
          <w:rtl/>
          <w:lang w:eastAsia="zh-TW"/>
        </w:rPr>
        <w:t>، وأكّدا أن قرار محكمة الدرجة الأولى قانوني. وتدفع صاحبة البلاغ بأن المحكمتين رفضتا تطبيق أحكام العهد، وهو ما يشكل انتهاك</w:t>
      </w:r>
      <w:r w:rsidR="000E1FDE">
        <w:rPr>
          <w:rtl/>
          <w:lang w:eastAsia="zh-TW"/>
        </w:rPr>
        <w:t xml:space="preserve">اً </w:t>
      </w:r>
      <w:r w:rsidR="00ED6DD3" w:rsidRPr="00C762B5">
        <w:rPr>
          <w:rtl/>
          <w:lang w:eastAsia="zh-TW"/>
        </w:rPr>
        <w:t>للمادة 15 من قانون المعاهدات الدولية لجمهورية بيلاروس، الذي ينص على أن</w:t>
      </w:r>
      <w:r w:rsidR="00ED6DD3">
        <w:rPr>
          <w:rtl/>
          <w:lang w:eastAsia="zh-TW"/>
        </w:rPr>
        <w:t xml:space="preserve"> أحكام المعاهدات الدولية ال</w:t>
      </w:r>
      <w:r w:rsidR="00ED6DD3">
        <w:rPr>
          <w:rFonts w:hint="cs"/>
          <w:rtl/>
          <w:lang w:eastAsia="zh-TW"/>
        </w:rPr>
        <w:t>نافذة</w:t>
      </w:r>
      <w:r w:rsidR="00ED6DD3" w:rsidRPr="00C762B5">
        <w:rPr>
          <w:rtl/>
          <w:lang w:eastAsia="zh-TW"/>
        </w:rPr>
        <w:t xml:space="preserve"> في بيلاروس تشكل جزء</w:t>
      </w:r>
      <w:r w:rsidR="000E1FDE">
        <w:rPr>
          <w:rtl/>
          <w:lang w:eastAsia="zh-TW"/>
        </w:rPr>
        <w:t xml:space="preserve">اً </w:t>
      </w:r>
      <w:r w:rsidR="00ED6DD3" w:rsidRPr="00C762B5">
        <w:rPr>
          <w:rtl/>
          <w:lang w:eastAsia="zh-TW"/>
        </w:rPr>
        <w:t xml:space="preserve">من القانون الداخلي الواجب التطبيق. </w:t>
      </w:r>
    </w:p>
    <w:p w:rsidR="00ED6DD3" w:rsidRPr="004D45E0" w:rsidRDefault="0056419E" w:rsidP="004D45E0">
      <w:pPr>
        <w:pStyle w:val="SingleTxtGA"/>
        <w:rPr>
          <w:spacing w:val="-2"/>
          <w:rtl/>
          <w:lang w:eastAsia="zh-TW"/>
        </w:rPr>
      </w:pPr>
      <w:r w:rsidRPr="004D45E0">
        <w:rPr>
          <w:spacing w:val="-2"/>
          <w:rtl/>
          <w:lang w:eastAsia="zh-TW"/>
        </w:rPr>
        <w:t>2-9</w:t>
      </w:r>
      <w:r w:rsidRPr="004D45E0">
        <w:rPr>
          <w:rFonts w:hint="cs"/>
          <w:spacing w:val="-2"/>
          <w:rtl/>
          <w:lang w:eastAsia="zh-TW"/>
        </w:rPr>
        <w:tab/>
      </w:r>
      <w:r w:rsidR="00ED6DD3" w:rsidRPr="004D45E0">
        <w:rPr>
          <w:spacing w:val="-2"/>
          <w:rtl/>
          <w:lang w:eastAsia="zh-TW"/>
        </w:rPr>
        <w:t>وتدفع صاحبة البلاغ بأن العديد من مواطني بيلاروس رفضوا الحصول على جواز سفر ي</w:t>
      </w:r>
      <w:r w:rsidR="00ED6DD3" w:rsidRPr="004D45E0">
        <w:rPr>
          <w:rFonts w:hint="cs"/>
          <w:spacing w:val="-2"/>
          <w:rtl/>
          <w:lang w:eastAsia="zh-TW"/>
        </w:rPr>
        <w:t>حتوي على</w:t>
      </w:r>
      <w:r w:rsidR="00ED6DD3" w:rsidRPr="004D45E0">
        <w:rPr>
          <w:spacing w:val="-2"/>
          <w:rtl/>
          <w:lang w:eastAsia="zh-TW"/>
        </w:rPr>
        <w:t xml:space="preserve"> رقم هوية، وبأن المحكمة الدستورية لبيلاروس أصدرت فتوى </w:t>
      </w:r>
      <w:r w:rsidRPr="004D45E0">
        <w:rPr>
          <w:rFonts w:hint="cs"/>
          <w:spacing w:val="-2"/>
          <w:rtl/>
          <w:lang w:eastAsia="zh-TW"/>
        </w:rPr>
        <w:t xml:space="preserve">قانونية </w:t>
      </w:r>
      <w:r w:rsidR="00ED6DD3" w:rsidRPr="004D45E0">
        <w:rPr>
          <w:rFonts w:hint="cs"/>
          <w:spacing w:val="-2"/>
          <w:rtl/>
          <w:lang w:eastAsia="zh-TW"/>
        </w:rPr>
        <w:t>في</w:t>
      </w:r>
      <w:r w:rsidR="00ED6DD3" w:rsidRPr="004D45E0">
        <w:rPr>
          <w:spacing w:val="-2"/>
          <w:rtl/>
          <w:lang w:eastAsia="zh-TW"/>
        </w:rPr>
        <w:t xml:space="preserve"> 15 نيسان/أبريل 2004، </w:t>
      </w:r>
      <w:r w:rsidR="00ED6DD3" w:rsidRPr="004D45E0">
        <w:rPr>
          <w:rFonts w:hint="cs"/>
          <w:spacing w:val="-2"/>
          <w:rtl/>
          <w:lang w:eastAsia="zh-TW"/>
        </w:rPr>
        <w:t>تجيز النظر</w:t>
      </w:r>
      <w:r w:rsidR="00ED6DD3" w:rsidRPr="004D45E0">
        <w:rPr>
          <w:spacing w:val="-2"/>
          <w:rtl/>
          <w:lang w:eastAsia="zh-TW"/>
        </w:rPr>
        <w:t xml:space="preserve"> في تزويد</w:t>
      </w:r>
      <w:r w:rsidR="00ED6DD3" w:rsidRPr="004D45E0">
        <w:rPr>
          <w:rFonts w:hint="cs"/>
          <w:spacing w:val="-2"/>
          <w:rtl/>
          <w:lang w:eastAsia="zh-TW"/>
        </w:rPr>
        <w:t xml:space="preserve"> بعض المواطنين</w:t>
      </w:r>
      <w:r w:rsidR="00ED6DD3" w:rsidRPr="004D45E0">
        <w:rPr>
          <w:spacing w:val="-2"/>
          <w:rtl/>
          <w:lang w:eastAsia="zh-TW"/>
        </w:rPr>
        <w:t xml:space="preserve"> بجوازات سفر لا </w:t>
      </w:r>
      <w:r w:rsidR="00ED6DD3" w:rsidRPr="004D45E0">
        <w:rPr>
          <w:rFonts w:hint="cs"/>
          <w:spacing w:val="-2"/>
          <w:rtl/>
          <w:lang w:eastAsia="zh-TW"/>
        </w:rPr>
        <w:t>تحتوي على</w:t>
      </w:r>
      <w:r w:rsidR="00ED6DD3" w:rsidRPr="004D45E0">
        <w:rPr>
          <w:spacing w:val="-2"/>
          <w:rtl/>
          <w:lang w:eastAsia="zh-TW"/>
        </w:rPr>
        <w:t xml:space="preserve"> رقم هوية</w:t>
      </w:r>
      <w:r w:rsidR="00ED6DD3" w:rsidRPr="004D45E0">
        <w:rPr>
          <w:rFonts w:hint="cs"/>
          <w:spacing w:val="-2"/>
          <w:rtl/>
          <w:lang w:eastAsia="zh-TW"/>
        </w:rPr>
        <w:t xml:space="preserve"> </w:t>
      </w:r>
      <w:r w:rsidR="00ED6DD3" w:rsidRPr="004D45E0">
        <w:rPr>
          <w:spacing w:val="-2"/>
          <w:rtl/>
          <w:lang w:eastAsia="zh-TW"/>
        </w:rPr>
        <w:t>تفادي</w:t>
      </w:r>
      <w:r w:rsidR="000E1FDE" w:rsidRPr="004D45E0">
        <w:rPr>
          <w:rFonts w:hint="cs"/>
          <w:spacing w:val="-2"/>
          <w:rtl/>
          <w:lang w:eastAsia="zh-TW"/>
        </w:rPr>
        <w:t xml:space="preserve">اً </w:t>
      </w:r>
      <w:r w:rsidR="00ED6DD3" w:rsidRPr="004D45E0">
        <w:rPr>
          <w:rFonts w:hint="cs"/>
          <w:spacing w:val="-2"/>
          <w:rtl/>
          <w:lang w:eastAsia="zh-TW"/>
        </w:rPr>
        <w:t>ل</w:t>
      </w:r>
      <w:r w:rsidR="00ED6DD3" w:rsidRPr="004D45E0">
        <w:rPr>
          <w:spacing w:val="-2"/>
          <w:rtl/>
          <w:lang w:eastAsia="zh-TW"/>
        </w:rPr>
        <w:t>وقوع ت</w:t>
      </w:r>
      <w:r w:rsidR="00ED6DD3" w:rsidRPr="004D45E0">
        <w:rPr>
          <w:rFonts w:hint="cs"/>
          <w:spacing w:val="-2"/>
          <w:rtl/>
          <w:lang w:eastAsia="zh-TW"/>
        </w:rPr>
        <w:t>نازع</w:t>
      </w:r>
      <w:r w:rsidR="00ED6DD3" w:rsidRPr="004D45E0">
        <w:rPr>
          <w:spacing w:val="-2"/>
          <w:rtl/>
          <w:lang w:eastAsia="zh-TW"/>
        </w:rPr>
        <w:t xml:space="preserve"> مع معتقدات</w:t>
      </w:r>
      <w:r w:rsidR="00ED6DD3" w:rsidRPr="004D45E0">
        <w:rPr>
          <w:rFonts w:hint="cs"/>
          <w:spacing w:val="-2"/>
          <w:rtl/>
          <w:lang w:eastAsia="zh-TW"/>
        </w:rPr>
        <w:t>هم</w:t>
      </w:r>
      <w:r w:rsidR="00ED6DD3" w:rsidRPr="004D45E0">
        <w:rPr>
          <w:spacing w:val="-2"/>
          <w:rtl/>
          <w:lang w:eastAsia="zh-TW"/>
        </w:rPr>
        <w:t xml:space="preserve"> الدينية. و</w:t>
      </w:r>
      <w:r w:rsidR="00ED6DD3" w:rsidRPr="004D45E0">
        <w:rPr>
          <w:rFonts w:hint="cs"/>
          <w:spacing w:val="-2"/>
          <w:rtl/>
          <w:lang w:eastAsia="zh-TW"/>
        </w:rPr>
        <w:t>وجهت</w:t>
      </w:r>
      <w:r w:rsidR="00ED6DD3" w:rsidRPr="004D45E0">
        <w:rPr>
          <w:spacing w:val="-2"/>
          <w:rtl/>
          <w:lang w:eastAsia="zh-TW"/>
        </w:rPr>
        <w:t xml:space="preserve"> المحكمة الدستورية </w:t>
      </w:r>
      <w:r w:rsidR="00ED6DD3" w:rsidRPr="004D45E0">
        <w:rPr>
          <w:rFonts w:hint="cs"/>
          <w:spacing w:val="-2"/>
          <w:rtl/>
          <w:lang w:eastAsia="zh-TW"/>
        </w:rPr>
        <w:t>في</w:t>
      </w:r>
      <w:r w:rsidR="00ED6DD3" w:rsidRPr="004D45E0">
        <w:rPr>
          <w:spacing w:val="-2"/>
          <w:rtl/>
          <w:lang w:eastAsia="zh-TW"/>
        </w:rPr>
        <w:t xml:space="preserve"> 15 كانون الثاني/يناير 2007</w:t>
      </w:r>
      <w:r w:rsidR="00ED6DD3" w:rsidRPr="004D45E0">
        <w:rPr>
          <w:rFonts w:hint="cs"/>
          <w:spacing w:val="-2"/>
          <w:rtl/>
          <w:lang w:eastAsia="zh-TW"/>
        </w:rPr>
        <w:t xml:space="preserve"> </w:t>
      </w:r>
      <w:r w:rsidR="00ED6DD3" w:rsidRPr="004D45E0">
        <w:rPr>
          <w:spacing w:val="-2"/>
          <w:rtl/>
          <w:lang w:eastAsia="zh-TW"/>
        </w:rPr>
        <w:t>رسالة إلى وزارة العمل والحماية الاجتماعية</w:t>
      </w:r>
      <w:r w:rsidR="00ED6DD3" w:rsidRPr="004D45E0">
        <w:rPr>
          <w:rFonts w:hint="cs"/>
          <w:spacing w:val="-2"/>
          <w:rtl/>
          <w:lang w:eastAsia="zh-TW"/>
        </w:rPr>
        <w:t xml:space="preserve"> أشارت فيها</w:t>
      </w:r>
      <w:r w:rsidR="00ED6DD3" w:rsidRPr="004D45E0">
        <w:rPr>
          <w:spacing w:val="-2"/>
          <w:rtl/>
          <w:lang w:eastAsia="zh-TW"/>
        </w:rPr>
        <w:t xml:space="preserve"> إلى إمكانية مراعاة المعتقدات الدينية للمواطنين الذين يقدم أصحاب عملهم طلبات الحصول على معاشات تقاعدية</w:t>
      </w:r>
      <w:r w:rsidRPr="004D45E0">
        <w:rPr>
          <w:rFonts w:hint="cs"/>
          <w:spacing w:val="-2"/>
          <w:vertAlign w:val="superscript"/>
          <w:rtl/>
          <w:lang w:eastAsia="zh-TW"/>
        </w:rPr>
        <w:t>(</w:t>
      </w:r>
      <w:r w:rsidRPr="004D45E0">
        <w:rPr>
          <w:spacing w:val="-2"/>
          <w:vertAlign w:val="superscript"/>
          <w:rtl/>
          <w:lang w:eastAsia="zh-TW"/>
        </w:rPr>
        <w:footnoteReference w:id="5"/>
      </w:r>
      <w:r w:rsidRPr="004D45E0">
        <w:rPr>
          <w:rFonts w:hint="cs"/>
          <w:spacing w:val="-2"/>
          <w:vertAlign w:val="superscript"/>
          <w:rtl/>
          <w:lang w:eastAsia="zh-TW"/>
        </w:rPr>
        <w:t>)</w:t>
      </w:r>
      <w:r w:rsidR="00ED6DD3" w:rsidRPr="004D45E0">
        <w:rPr>
          <w:spacing w:val="-2"/>
          <w:rtl/>
          <w:lang w:eastAsia="zh-TW"/>
        </w:rPr>
        <w:t>. وتدّعي صاحبة البلاغ أنها استنفدت جم</w:t>
      </w:r>
      <w:r w:rsidRPr="004D45E0">
        <w:rPr>
          <w:spacing w:val="-2"/>
          <w:rtl/>
          <w:lang w:eastAsia="zh-TW"/>
        </w:rPr>
        <w:t>يع سبل الانتصاف المحلية المتاحة</w:t>
      </w:r>
      <w:r w:rsidRPr="004D45E0">
        <w:rPr>
          <w:rFonts w:hint="cs"/>
          <w:spacing w:val="-2"/>
          <w:rtl/>
          <w:lang w:eastAsia="zh-TW"/>
        </w:rPr>
        <w:t>.</w:t>
      </w:r>
    </w:p>
    <w:p w:rsidR="00ED6DD3" w:rsidRPr="00C762B5" w:rsidRDefault="00ED6DD3" w:rsidP="0056419E">
      <w:pPr>
        <w:pStyle w:val="H23GA"/>
        <w:rPr>
          <w:rtl/>
        </w:rPr>
      </w:pPr>
      <w:r w:rsidRPr="00C762B5">
        <w:rPr>
          <w:rtl/>
        </w:rPr>
        <w:tab/>
      </w:r>
      <w:r w:rsidRPr="00C762B5">
        <w:rPr>
          <w:rtl/>
        </w:rPr>
        <w:tab/>
        <w:t>الشكوى</w:t>
      </w:r>
    </w:p>
    <w:p w:rsidR="00ED6DD3" w:rsidRPr="00C762B5" w:rsidRDefault="0056419E" w:rsidP="004D45E0">
      <w:pPr>
        <w:pStyle w:val="SingleTxtGA"/>
        <w:rPr>
          <w:rtl/>
          <w:lang w:eastAsia="zh-TW"/>
        </w:rPr>
      </w:pPr>
      <w:r>
        <w:rPr>
          <w:rtl/>
          <w:lang w:eastAsia="zh-TW"/>
        </w:rPr>
        <w:t>3-1</w:t>
      </w:r>
      <w:r>
        <w:rPr>
          <w:rFonts w:hint="cs"/>
          <w:rtl/>
          <w:lang w:eastAsia="zh-TW"/>
        </w:rPr>
        <w:tab/>
      </w:r>
      <w:r w:rsidR="00ED6DD3" w:rsidRPr="00C762B5">
        <w:rPr>
          <w:rtl/>
          <w:lang w:eastAsia="zh-TW"/>
        </w:rPr>
        <w:t xml:space="preserve">تدّعي صاحبة البلاغ بأن رفض السلطات تزويدها بجواز سفر </w:t>
      </w:r>
      <w:r w:rsidR="00ED6DD3">
        <w:rPr>
          <w:rtl/>
          <w:lang w:eastAsia="zh-TW"/>
        </w:rPr>
        <w:t>لا ي</w:t>
      </w:r>
      <w:r w:rsidR="00ED6DD3">
        <w:rPr>
          <w:rFonts w:hint="cs"/>
          <w:rtl/>
          <w:lang w:eastAsia="zh-TW"/>
        </w:rPr>
        <w:t>حتوي على</w:t>
      </w:r>
      <w:r w:rsidR="00ED6DD3" w:rsidRPr="00C762B5">
        <w:rPr>
          <w:rtl/>
          <w:lang w:eastAsia="zh-TW"/>
        </w:rPr>
        <w:t xml:space="preserve"> رقم هوية شخصي يشكل إهانة لمعتقداتها الدينية، وأن رفض منحها المعاش التقاعدي فيما بعدُ لا</w:t>
      </w:r>
      <w:r w:rsidR="000E1FDE">
        <w:rPr>
          <w:rFonts w:hint="cs"/>
          <w:rtl/>
          <w:lang w:eastAsia="zh-TW"/>
        </w:rPr>
        <w:t> </w:t>
      </w:r>
      <w:r w:rsidR="00ED6DD3" w:rsidRPr="00C762B5">
        <w:rPr>
          <w:rtl/>
          <w:lang w:eastAsia="zh-TW"/>
        </w:rPr>
        <w:t xml:space="preserve">لشيء سوى </w:t>
      </w:r>
      <w:r w:rsidR="00ED6DD3">
        <w:rPr>
          <w:rFonts w:hint="cs"/>
          <w:rtl/>
          <w:lang w:eastAsia="zh-TW"/>
        </w:rPr>
        <w:t>ل</w:t>
      </w:r>
      <w:r w:rsidR="00ED6DD3" w:rsidRPr="00C762B5">
        <w:rPr>
          <w:rtl/>
          <w:lang w:eastAsia="zh-TW"/>
        </w:rPr>
        <w:t xml:space="preserve">أنها لا تستطيع تقديم جواز سفر صادر بموجب قانون عام 1996 يشكل </w:t>
      </w:r>
      <w:r w:rsidR="00ED6DD3">
        <w:rPr>
          <w:rtl/>
          <w:lang w:eastAsia="zh-TW"/>
        </w:rPr>
        <w:t xml:space="preserve">إجراء </w:t>
      </w:r>
      <w:r w:rsidR="00ED6DD3">
        <w:rPr>
          <w:rFonts w:hint="cs"/>
          <w:rtl/>
          <w:lang w:eastAsia="zh-TW"/>
        </w:rPr>
        <w:t>قسري</w:t>
      </w:r>
      <w:r w:rsidR="000E1FDE">
        <w:rPr>
          <w:rFonts w:hint="cs"/>
          <w:rtl/>
          <w:lang w:eastAsia="zh-TW"/>
        </w:rPr>
        <w:t xml:space="preserve">اً </w:t>
      </w:r>
      <w:r w:rsidR="00ED6DD3" w:rsidRPr="00C762B5">
        <w:rPr>
          <w:rtl/>
          <w:lang w:eastAsia="zh-TW"/>
        </w:rPr>
        <w:t xml:space="preserve">وينتهك حقوقها المكفولة في الفقرتين 1 و2 من المادة 18 من العهد. </w:t>
      </w:r>
    </w:p>
    <w:p w:rsidR="00ED6DD3" w:rsidRPr="00C762B5" w:rsidRDefault="0056419E" w:rsidP="004D45E0">
      <w:pPr>
        <w:pStyle w:val="SingleTxtGA"/>
        <w:rPr>
          <w:rtl/>
          <w:lang w:eastAsia="zh-TW"/>
        </w:rPr>
      </w:pPr>
      <w:r>
        <w:rPr>
          <w:rtl/>
          <w:lang w:eastAsia="zh-TW"/>
        </w:rPr>
        <w:t>3-2</w:t>
      </w:r>
      <w:r>
        <w:rPr>
          <w:rFonts w:hint="cs"/>
          <w:rtl/>
          <w:lang w:eastAsia="zh-TW"/>
        </w:rPr>
        <w:tab/>
      </w:r>
      <w:r w:rsidR="00ED6DD3" w:rsidRPr="00C762B5">
        <w:rPr>
          <w:rtl/>
          <w:lang w:eastAsia="zh-TW"/>
        </w:rPr>
        <w:t xml:space="preserve">وتدفع </w:t>
      </w:r>
      <w:r w:rsidR="00ED6DD3">
        <w:rPr>
          <w:rFonts w:hint="cs"/>
          <w:rtl/>
          <w:lang w:eastAsia="zh-TW"/>
        </w:rPr>
        <w:t xml:space="preserve">صاحبة البلاغ </w:t>
      </w:r>
      <w:r w:rsidR="00ED6DD3" w:rsidRPr="00C762B5">
        <w:rPr>
          <w:rtl/>
          <w:lang w:eastAsia="zh-TW"/>
        </w:rPr>
        <w:t>أيض</w:t>
      </w:r>
      <w:r w:rsidR="000E1FDE">
        <w:rPr>
          <w:rtl/>
          <w:lang w:eastAsia="zh-TW"/>
        </w:rPr>
        <w:t xml:space="preserve">اً </w:t>
      </w:r>
      <w:r w:rsidR="00ED6DD3" w:rsidRPr="00C762B5">
        <w:rPr>
          <w:rtl/>
          <w:lang w:eastAsia="zh-TW"/>
        </w:rPr>
        <w:t>بأن السلطات ملزمة بمراعاة مصالح الأفراد، واتخاذ ما</w:t>
      </w:r>
      <w:r w:rsidR="000E1FDE">
        <w:rPr>
          <w:rFonts w:hint="cs"/>
          <w:rtl/>
          <w:lang w:eastAsia="zh-TW"/>
        </w:rPr>
        <w:t> </w:t>
      </w:r>
      <w:r w:rsidR="00ED6DD3" w:rsidRPr="00C762B5">
        <w:rPr>
          <w:rtl/>
          <w:lang w:eastAsia="zh-TW"/>
        </w:rPr>
        <w:t xml:space="preserve">يلزم من التدابير لتوفير وثائق هوية للمواطنين الذين يرفضون </w:t>
      </w:r>
      <w:r w:rsidR="00ED6DD3">
        <w:rPr>
          <w:rFonts w:hint="cs"/>
          <w:rtl/>
          <w:lang w:eastAsia="zh-TW"/>
        </w:rPr>
        <w:t xml:space="preserve">بسبب معتقداتهم الدينية </w:t>
      </w:r>
      <w:r w:rsidR="00ED6DD3" w:rsidRPr="00C762B5">
        <w:rPr>
          <w:rtl/>
          <w:lang w:eastAsia="zh-TW"/>
        </w:rPr>
        <w:t>الحصول على جوازات</w:t>
      </w:r>
      <w:r w:rsidR="00ED6DD3">
        <w:rPr>
          <w:rtl/>
          <w:lang w:eastAsia="zh-TW"/>
        </w:rPr>
        <w:t xml:space="preserve"> سفر صادرة بموجب قانون عام 1996</w:t>
      </w:r>
      <w:r w:rsidR="00ED6DD3" w:rsidRPr="00C762B5">
        <w:rPr>
          <w:rtl/>
          <w:lang w:eastAsia="zh-TW"/>
        </w:rPr>
        <w:t>. وتدّعي صاحبة البلاغ أن الدولة الطرف لم تهيئ الظروف اللازمة لحماية المؤمنين حماية فعالة من الإ</w:t>
      </w:r>
      <w:r w:rsidR="00ED6DD3">
        <w:rPr>
          <w:rtl/>
          <w:lang w:eastAsia="zh-TW"/>
        </w:rPr>
        <w:t>جراءات ال</w:t>
      </w:r>
      <w:r w:rsidR="00ED6DD3">
        <w:rPr>
          <w:rFonts w:hint="cs"/>
          <w:rtl/>
          <w:lang w:eastAsia="zh-TW"/>
        </w:rPr>
        <w:t>قسرية</w:t>
      </w:r>
      <w:r w:rsidR="00ED6DD3" w:rsidRPr="00C762B5">
        <w:rPr>
          <w:rtl/>
          <w:lang w:eastAsia="zh-TW"/>
        </w:rPr>
        <w:t xml:space="preserve"> وبالتالي </w:t>
      </w:r>
      <w:r>
        <w:rPr>
          <w:rFonts w:hint="cs"/>
          <w:rtl/>
          <w:lang w:eastAsia="zh-TW"/>
        </w:rPr>
        <w:t xml:space="preserve">فإنها </w:t>
      </w:r>
      <w:r w:rsidR="00ED6DD3" w:rsidRPr="00C762B5">
        <w:rPr>
          <w:rtl/>
          <w:lang w:eastAsia="zh-TW"/>
        </w:rPr>
        <w:t xml:space="preserve">انتهكت المادة 2، بالاقتران بالفقرتين 1 و2 من المادة 18، من العهد. </w:t>
      </w:r>
    </w:p>
    <w:p w:rsidR="00ED6DD3" w:rsidRPr="00C762B5" w:rsidRDefault="0056419E" w:rsidP="004D45E0">
      <w:pPr>
        <w:pStyle w:val="SingleTxtGA"/>
        <w:rPr>
          <w:rtl/>
          <w:lang w:eastAsia="zh-TW"/>
        </w:rPr>
      </w:pPr>
      <w:r>
        <w:rPr>
          <w:rtl/>
          <w:lang w:eastAsia="zh-TW"/>
        </w:rPr>
        <w:t>3-3</w:t>
      </w:r>
      <w:r>
        <w:rPr>
          <w:rFonts w:hint="cs"/>
          <w:rtl/>
          <w:lang w:eastAsia="zh-TW"/>
        </w:rPr>
        <w:tab/>
      </w:r>
      <w:r w:rsidR="00ED6DD3" w:rsidRPr="00C762B5">
        <w:rPr>
          <w:rtl/>
          <w:lang w:eastAsia="zh-TW"/>
        </w:rPr>
        <w:t>وتدفع صاحبة البلاغ بأنها ح</w:t>
      </w:r>
      <w:r w:rsidR="00ED6DD3">
        <w:rPr>
          <w:rFonts w:hint="cs"/>
          <w:rtl/>
          <w:lang w:eastAsia="zh-TW"/>
        </w:rPr>
        <w:t>ُ</w:t>
      </w:r>
      <w:r w:rsidR="00ED6DD3" w:rsidRPr="00C762B5">
        <w:rPr>
          <w:rtl/>
          <w:lang w:eastAsia="zh-TW"/>
        </w:rPr>
        <w:t>رمت بالفعل من المعاش التقاعدي بسبب معتقداتها الدينية، وهو ما يشكل تمييز</w:t>
      </w:r>
      <w:r w:rsidR="000E1FDE">
        <w:rPr>
          <w:rtl/>
          <w:lang w:eastAsia="zh-TW"/>
        </w:rPr>
        <w:t xml:space="preserve">اً </w:t>
      </w:r>
      <w:r w:rsidR="00ED6DD3" w:rsidRPr="00C762B5">
        <w:rPr>
          <w:rtl/>
          <w:lang w:eastAsia="zh-TW"/>
        </w:rPr>
        <w:t>وانتهاك</w:t>
      </w:r>
      <w:r w:rsidR="000E1FDE">
        <w:rPr>
          <w:rtl/>
          <w:lang w:eastAsia="zh-TW"/>
        </w:rPr>
        <w:t xml:space="preserve">اً </w:t>
      </w:r>
      <w:r w:rsidR="00ED6DD3" w:rsidRPr="00C762B5">
        <w:rPr>
          <w:rtl/>
          <w:lang w:eastAsia="zh-TW"/>
        </w:rPr>
        <w:t xml:space="preserve">للمادة 26 من العهد. </w:t>
      </w:r>
    </w:p>
    <w:p w:rsidR="00ED6DD3" w:rsidRPr="00C762B5" w:rsidRDefault="00ED6DD3" w:rsidP="0056419E">
      <w:pPr>
        <w:pStyle w:val="H23GA"/>
        <w:rPr>
          <w:rtl/>
        </w:rPr>
      </w:pPr>
      <w:r w:rsidRPr="00C762B5">
        <w:rPr>
          <w:rtl/>
        </w:rPr>
        <w:tab/>
      </w:r>
      <w:r w:rsidRPr="00C762B5">
        <w:rPr>
          <w:rtl/>
        </w:rPr>
        <w:tab/>
        <w:t>ملاحظات الدولة الطرف بشأن المقبولية</w:t>
      </w:r>
    </w:p>
    <w:p w:rsidR="00ED6DD3" w:rsidRPr="00C762B5" w:rsidRDefault="0056419E" w:rsidP="004D45E0">
      <w:pPr>
        <w:pStyle w:val="SingleTxtGA"/>
        <w:rPr>
          <w:rtl/>
          <w:lang w:eastAsia="zh-TW"/>
        </w:rPr>
      </w:pPr>
      <w:r>
        <w:rPr>
          <w:rtl/>
          <w:lang w:eastAsia="zh-TW"/>
        </w:rPr>
        <w:t>4-1</w:t>
      </w:r>
      <w:r>
        <w:rPr>
          <w:rFonts w:hint="cs"/>
          <w:rtl/>
          <w:lang w:eastAsia="zh-TW"/>
        </w:rPr>
        <w:tab/>
      </w:r>
      <w:r w:rsidR="00ED6DD3" w:rsidRPr="00C762B5">
        <w:rPr>
          <w:rtl/>
          <w:lang w:eastAsia="zh-TW"/>
        </w:rPr>
        <w:t>في 6 كانون الثاني/يناير 2011، دفعت الدولة الطرف، فيما يتعلق بهذا البلاغ وبلاغات عديدة أخرى مقدمة إلى اللجنة، بأن صاحبة البلاغ لم تستنفد جميع سبل الانتصاف المحلية المتاحة في بيلاروس، بما في ذلك "</w:t>
      </w:r>
      <w:r w:rsidR="00ED6DD3">
        <w:rPr>
          <w:rFonts w:hint="cs"/>
          <w:rtl/>
          <w:lang w:eastAsia="zh-TW"/>
        </w:rPr>
        <w:t xml:space="preserve">تقديم طعن إلى </w:t>
      </w:r>
      <w:r w:rsidR="00ED6DD3" w:rsidRPr="00C762B5">
        <w:rPr>
          <w:rtl/>
          <w:lang w:eastAsia="zh-TW"/>
        </w:rPr>
        <w:t xml:space="preserve">مكتب المدعي العام </w:t>
      </w:r>
      <w:r w:rsidR="00ED6DD3">
        <w:rPr>
          <w:rFonts w:hint="cs"/>
          <w:rtl/>
          <w:lang w:eastAsia="zh-TW"/>
        </w:rPr>
        <w:t xml:space="preserve">من أجل مراجعة قرار </w:t>
      </w:r>
      <w:r w:rsidR="00ED6DD3" w:rsidRPr="00C762B5">
        <w:rPr>
          <w:rtl/>
          <w:lang w:eastAsia="zh-TW"/>
        </w:rPr>
        <w:t>له حجية الأمر المقضي</w:t>
      </w:r>
      <w:r w:rsidR="00ED6DD3">
        <w:rPr>
          <w:rFonts w:hint="cs"/>
          <w:rtl/>
          <w:lang w:eastAsia="zh-TW"/>
        </w:rPr>
        <w:t>"</w:t>
      </w:r>
      <w:r w:rsidR="00ED6DD3" w:rsidRPr="00C762B5">
        <w:rPr>
          <w:rtl/>
          <w:lang w:eastAsia="zh-TW"/>
        </w:rPr>
        <w:t>. وتدفع ال</w:t>
      </w:r>
      <w:r w:rsidR="00ED6DD3">
        <w:rPr>
          <w:rtl/>
          <w:lang w:eastAsia="zh-TW"/>
        </w:rPr>
        <w:t>دولة الطرف أيض</w:t>
      </w:r>
      <w:r w:rsidR="000E1FDE">
        <w:rPr>
          <w:rtl/>
          <w:lang w:eastAsia="zh-TW"/>
        </w:rPr>
        <w:t xml:space="preserve">اً </w:t>
      </w:r>
      <w:r w:rsidR="00ED6DD3">
        <w:rPr>
          <w:rtl/>
          <w:lang w:eastAsia="zh-TW"/>
        </w:rPr>
        <w:t>بأن</w:t>
      </w:r>
      <w:r w:rsidR="00ED6DD3">
        <w:rPr>
          <w:rFonts w:hint="cs"/>
          <w:rtl/>
          <w:lang w:eastAsia="zh-TW"/>
        </w:rPr>
        <w:t>ها</w:t>
      </w:r>
      <w:r w:rsidR="00ED6DD3">
        <w:rPr>
          <w:rtl/>
          <w:lang w:eastAsia="zh-TW"/>
        </w:rPr>
        <w:t xml:space="preserve"> طرف</w:t>
      </w:r>
      <w:r w:rsidR="00ED6DD3" w:rsidRPr="00C762B5">
        <w:rPr>
          <w:rtl/>
          <w:lang w:eastAsia="zh-TW"/>
        </w:rPr>
        <w:t xml:space="preserve"> في البروتوكول الاختياري، </w:t>
      </w:r>
      <w:r w:rsidR="00ED6DD3">
        <w:rPr>
          <w:rFonts w:hint="cs"/>
          <w:rtl/>
          <w:lang w:eastAsia="zh-TW"/>
        </w:rPr>
        <w:t xml:space="preserve">لكنها </w:t>
      </w:r>
      <w:r w:rsidR="00ED6DD3" w:rsidRPr="00C762B5">
        <w:rPr>
          <w:rtl/>
          <w:lang w:eastAsia="zh-TW"/>
        </w:rPr>
        <w:t>لم توافق على تمديد ولاية اللجنة؛ وتعتبر أن البلاغات المذكورة أعلاه تنتهك، على النحو الذي سجلت به، أحكام البروتوكول الاختياري؛ وأن لا وج</w:t>
      </w:r>
      <w:r w:rsidR="00ED6DD3">
        <w:rPr>
          <w:rFonts w:hint="cs"/>
          <w:rtl/>
          <w:lang w:eastAsia="zh-TW"/>
        </w:rPr>
        <w:t>و</w:t>
      </w:r>
      <w:r w:rsidR="00ED6DD3" w:rsidRPr="00C762B5">
        <w:rPr>
          <w:rtl/>
          <w:lang w:eastAsia="zh-TW"/>
        </w:rPr>
        <w:t xml:space="preserve">د </w:t>
      </w:r>
      <w:r w:rsidR="00ED6DD3">
        <w:rPr>
          <w:rFonts w:hint="cs"/>
          <w:rtl/>
          <w:lang w:eastAsia="zh-TW"/>
        </w:rPr>
        <w:t>ل</w:t>
      </w:r>
      <w:r w:rsidR="00ED6DD3" w:rsidRPr="00C762B5">
        <w:rPr>
          <w:rtl/>
          <w:lang w:eastAsia="zh-TW"/>
        </w:rPr>
        <w:t>أسس قانونية كي تنظر فيها الدولة الطرف؛ وأن "أي إشارات إلى الممارسات المستمرة منذ فترة طويلة في اللجنة غير ملزمة قانونا</w:t>
      </w:r>
      <w:r w:rsidR="003B4791">
        <w:rPr>
          <w:rFonts w:hint="cs"/>
          <w:rtl/>
          <w:lang w:eastAsia="zh-TW"/>
        </w:rPr>
        <w:t>ً</w:t>
      </w:r>
      <w:r w:rsidR="00ED6DD3" w:rsidRPr="00C762B5">
        <w:rPr>
          <w:rtl/>
          <w:lang w:eastAsia="zh-TW"/>
        </w:rPr>
        <w:t xml:space="preserve">". </w:t>
      </w:r>
    </w:p>
    <w:p w:rsidR="00ED6DD3" w:rsidRPr="004D45E0" w:rsidRDefault="00ED6DD3" w:rsidP="004D45E0">
      <w:pPr>
        <w:pStyle w:val="SingleTxtGA"/>
        <w:rPr>
          <w:spacing w:val="3"/>
          <w:rtl/>
          <w:lang w:eastAsia="zh-TW"/>
        </w:rPr>
      </w:pPr>
      <w:r w:rsidRPr="004D45E0">
        <w:rPr>
          <w:rFonts w:hint="cs"/>
          <w:spacing w:val="3"/>
          <w:rtl/>
          <w:lang w:eastAsia="zh-TW"/>
        </w:rPr>
        <w:t>4-</w:t>
      </w:r>
      <w:r w:rsidR="0014565C" w:rsidRPr="004D45E0">
        <w:rPr>
          <w:rFonts w:hint="cs"/>
          <w:spacing w:val="3"/>
          <w:rtl/>
          <w:lang w:eastAsia="zh-TW"/>
        </w:rPr>
        <w:t>2</w:t>
      </w:r>
      <w:r w:rsidR="0014565C" w:rsidRPr="004D45E0">
        <w:rPr>
          <w:rFonts w:hint="cs"/>
          <w:spacing w:val="3"/>
          <w:rtl/>
          <w:lang w:eastAsia="zh-TW"/>
        </w:rPr>
        <w:tab/>
      </w:r>
      <w:r w:rsidRPr="004D45E0">
        <w:rPr>
          <w:spacing w:val="3"/>
          <w:rtl/>
          <w:lang w:eastAsia="zh-TW"/>
        </w:rPr>
        <w:t>وفي 5 تشرين الأول/أكتوبر 2011، اعترضت الدولة الطرف على مقبولية البلاغ بحجة أن صاحبة البلاغ لم تستنفد جميع سبل الانتصاف المحلية المتاحة، لأنها لم تطلب إلى</w:t>
      </w:r>
      <w:r w:rsidR="004D45E0">
        <w:rPr>
          <w:rFonts w:hint="cs"/>
          <w:spacing w:val="3"/>
          <w:rtl/>
          <w:lang w:eastAsia="zh-TW"/>
        </w:rPr>
        <w:t> </w:t>
      </w:r>
      <w:r w:rsidRPr="004D45E0">
        <w:rPr>
          <w:spacing w:val="3"/>
          <w:rtl/>
          <w:lang w:eastAsia="zh-TW"/>
        </w:rPr>
        <w:t xml:space="preserve">مدع عام أن يباشر إجراءات مراجعة رقابية بشأن القرارات التي اكتسبت حجية </w:t>
      </w:r>
      <w:r w:rsidRPr="004D45E0">
        <w:rPr>
          <w:iCs/>
          <w:spacing w:val="3"/>
          <w:rtl/>
          <w:lang w:eastAsia="zh-TW"/>
        </w:rPr>
        <w:t>الأمر</w:t>
      </w:r>
      <w:r w:rsidR="004D45E0">
        <w:rPr>
          <w:rFonts w:hint="cs"/>
          <w:iCs/>
          <w:spacing w:val="3"/>
          <w:rtl/>
          <w:lang w:eastAsia="zh-TW"/>
        </w:rPr>
        <w:t> </w:t>
      </w:r>
      <w:r w:rsidRPr="004D45E0">
        <w:rPr>
          <w:iCs/>
          <w:spacing w:val="3"/>
          <w:rtl/>
          <w:lang w:eastAsia="zh-TW"/>
        </w:rPr>
        <w:t>المقضي</w:t>
      </w:r>
      <w:r w:rsidRPr="004D45E0">
        <w:rPr>
          <w:spacing w:val="3"/>
          <w:rtl/>
          <w:lang w:eastAsia="zh-TW"/>
        </w:rPr>
        <w:t xml:space="preserve">. </w:t>
      </w:r>
    </w:p>
    <w:p w:rsidR="00ED6DD3" w:rsidRPr="00C762B5" w:rsidRDefault="00ED6DD3" w:rsidP="0014565C">
      <w:pPr>
        <w:pStyle w:val="H23GA"/>
        <w:rPr>
          <w:rtl/>
        </w:rPr>
      </w:pPr>
      <w:r w:rsidRPr="00C762B5">
        <w:rPr>
          <w:rtl/>
        </w:rPr>
        <w:tab/>
      </w:r>
      <w:r w:rsidRPr="00C762B5">
        <w:rPr>
          <w:rtl/>
        </w:rPr>
        <w:tab/>
        <w:t>تعليقات صاحبة البلاغ على ملاحظات الدولة الطرف</w:t>
      </w:r>
    </w:p>
    <w:p w:rsidR="00ED6DD3" w:rsidRPr="00C762B5" w:rsidRDefault="00ED6DD3" w:rsidP="0041538C">
      <w:pPr>
        <w:pStyle w:val="SingleTxtGA"/>
        <w:rPr>
          <w:bCs/>
          <w:rtl/>
          <w:lang w:eastAsia="zh-TW"/>
        </w:rPr>
      </w:pPr>
      <w:r w:rsidRPr="004D45E0">
        <w:rPr>
          <w:b/>
          <w:spacing w:val="-4"/>
          <w:rtl/>
          <w:lang w:eastAsia="zh-TW"/>
        </w:rPr>
        <w:t>٥</w:t>
      </w:r>
      <w:r w:rsidR="003B4791" w:rsidRPr="004D45E0">
        <w:rPr>
          <w:b/>
          <w:spacing w:val="-4"/>
          <w:rtl/>
        </w:rPr>
        <w:t>-</w:t>
      </w:r>
      <w:r w:rsidR="003B4791" w:rsidRPr="004D45E0">
        <w:rPr>
          <w:rFonts w:hint="cs"/>
          <w:b/>
          <w:spacing w:val="-4"/>
          <w:rtl/>
        </w:rPr>
        <w:tab/>
      </w:r>
      <w:r w:rsidRPr="004D45E0">
        <w:rPr>
          <w:rFonts w:hint="cs"/>
          <w:b/>
          <w:spacing w:val="-4"/>
          <w:rtl/>
          <w:lang w:eastAsia="zh-TW"/>
        </w:rPr>
        <w:t>قالت</w:t>
      </w:r>
      <w:r w:rsidRPr="004D45E0">
        <w:rPr>
          <w:b/>
          <w:spacing w:val="-4"/>
          <w:rtl/>
          <w:lang w:eastAsia="zh-TW"/>
        </w:rPr>
        <w:t xml:space="preserve"> صاحبة البلاغ</w:t>
      </w:r>
      <w:r w:rsidRPr="004D45E0">
        <w:rPr>
          <w:rFonts w:hint="cs"/>
          <w:b/>
          <w:spacing w:val="-4"/>
          <w:rtl/>
          <w:lang w:eastAsia="zh-TW"/>
        </w:rPr>
        <w:t xml:space="preserve"> من جديد</w:t>
      </w:r>
      <w:r w:rsidRPr="004D45E0">
        <w:rPr>
          <w:b/>
          <w:spacing w:val="-4"/>
          <w:rtl/>
          <w:lang w:eastAsia="zh-TW"/>
        </w:rPr>
        <w:t>، في تعليقاتها المقدمة في 25 تشرين الثاني/نوفمبر 2011</w:t>
      </w:r>
      <w:r w:rsidRPr="00C762B5">
        <w:rPr>
          <w:b/>
          <w:rtl/>
          <w:lang w:eastAsia="zh-TW"/>
        </w:rPr>
        <w:t xml:space="preserve"> بشأن ملاحظات الدولة الطرف، </w:t>
      </w:r>
      <w:r w:rsidR="0041538C">
        <w:rPr>
          <w:rFonts w:hint="cs"/>
          <w:b/>
          <w:rtl/>
          <w:lang w:eastAsia="zh-TW"/>
        </w:rPr>
        <w:t>إ</w:t>
      </w:r>
      <w:r w:rsidRPr="00C762B5">
        <w:rPr>
          <w:b/>
          <w:rtl/>
          <w:lang w:eastAsia="zh-TW"/>
        </w:rPr>
        <w:t>نها استنفدت جميع سبل الانتصاف الفعا</w:t>
      </w:r>
      <w:r>
        <w:rPr>
          <w:b/>
          <w:rtl/>
          <w:lang w:eastAsia="zh-TW"/>
        </w:rPr>
        <w:t>لة المتاحة. وت</w:t>
      </w:r>
      <w:r>
        <w:rPr>
          <w:rFonts w:hint="cs"/>
          <w:b/>
          <w:rtl/>
          <w:lang w:eastAsia="zh-TW"/>
        </w:rPr>
        <w:t>عتبر</w:t>
      </w:r>
      <w:r>
        <w:rPr>
          <w:b/>
          <w:rtl/>
          <w:lang w:eastAsia="zh-TW"/>
        </w:rPr>
        <w:t xml:space="preserve"> صاحبة البلاغ</w:t>
      </w:r>
      <w:r w:rsidRPr="00C762B5">
        <w:rPr>
          <w:b/>
          <w:rtl/>
          <w:lang w:eastAsia="zh-TW"/>
        </w:rPr>
        <w:t xml:space="preserve"> إجراء المراجعة </w:t>
      </w:r>
      <w:r>
        <w:rPr>
          <w:b/>
          <w:rtl/>
          <w:lang w:eastAsia="zh-TW"/>
        </w:rPr>
        <w:t>الرقابية</w:t>
      </w:r>
      <w:r w:rsidRPr="00C762B5">
        <w:rPr>
          <w:b/>
          <w:rtl/>
          <w:lang w:eastAsia="zh-TW"/>
        </w:rPr>
        <w:t xml:space="preserve"> الذي باشره مكتب المدعي العام غ</w:t>
      </w:r>
      <w:r>
        <w:rPr>
          <w:b/>
          <w:rtl/>
          <w:lang w:eastAsia="zh-TW"/>
        </w:rPr>
        <w:t>ير فعال، وفق</w:t>
      </w:r>
      <w:r w:rsidR="000E1FDE">
        <w:rPr>
          <w:b/>
          <w:rtl/>
          <w:lang w:eastAsia="zh-TW"/>
        </w:rPr>
        <w:t xml:space="preserve">اً </w:t>
      </w:r>
      <w:r>
        <w:rPr>
          <w:b/>
          <w:rtl/>
          <w:lang w:eastAsia="zh-TW"/>
        </w:rPr>
        <w:t>ل</w:t>
      </w:r>
      <w:r>
        <w:rPr>
          <w:rFonts w:hint="cs"/>
          <w:b/>
          <w:rtl/>
          <w:lang w:eastAsia="zh-TW"/>
        </w:rPr>
        <w:t>لاجتهادات المكرسة للجنة</w:t>
      </w:r>
      <w:r w:rsidRPr="00C762B5">
        <w:rPr>
          <w:b/>
          <w:rtl/>
          <w:lang w:eastAsia="zh-TW"/>
        </w:rPr>
        <w:t>. وتدفع أيض</w:t>
      </w:r>
      <w:r w:rsidR="000E1FDE">
        <w:rPr>
          <w:b/>
          <w:rtl/>
          <w:lang w:eastAsia="zh-TW"/>
        </w:rPr>
        <w:t xml:space="preserve">اً </w:t>
      </w:r>
      <w:r w:rsidRPr="00C762B5">
        <w:rPr>
          <w:b/>
          <w:rtl/>
          <w:lang w:eastAsia="zh-TW"/>
        </w:rPr>
        <w:t>بأن قانون الدولة الطرف لا ينص على أي حق في تقديم التماس فردي إلى المحكمة الدستورية.</w:t>
      </w:r>
      <w:r w:rsidRPr="00C762B5">
        <w:rPr>
          <w:bCs/>
          <w:rtl/>
          <w:lang w:eastAsia="zh-TW"/>
        </w:rPr>
        <w:t xml:space="preserve"> </w:t>
      </w:r>
    </w:p>
    <w:p w:rsidR="00ED6DD3" w:rsidRPr="00C762B5" w:rsidRDefault="00ED6DD3" w:rsidP="0014565C">
      <w:pPr>
        <w:pStyle w:val="H23GA"/>
        <w:rPr>
          <w:rtl/>
        </w:rPr>
      </w:pPr>
      <w:r w:rsidRPr="00C762B5">
        <w:rPr>
          <w:rtl/>
        </w:rPr>
        <w:tab/>
      </w:r>
      <w:r w:rsidRPr="00C762B5">
        <w:rPr>
          <w:rtl/>
        </w:rPr>
        <w:tab/>
        <w:t xml:space="preserve">ملاحظات إضافية من الدولة الطرف </w:t>
      </w:r>
    </w:p>
    <w:p w:rsidR="00ED6DD3" w:rsidRPr="004D45E0" w:rsidRDefault="00ED6DD3" w:rsidP="00A73418">
      <w:pPr>
        <w:pStyle w:val="SingleTxtGA"/>
        <w:rPr>
          <w:b/>
          <w:spacing w:val="1"/>
          <w:rtl/>
          <w:lang w:eastAsia="zh-TW"/>
        </w:rPr>
      </w:pPr>
      <w:r w:rsidRPr="004D45E0">
        <w:rPr>
          <w:spacing w:val="1"/>
          <w:rtl/>
          <w:lang w:eastAsia="zh-TW"/>
        </w:rPr>
        <w:t>٦</w:t>
      </w:r>
      <w:r w:rsidRPr="004D45E0">
        <w:rPr>
          <w:spacing w:val="1"/>
          <w:rtl/>
        </w:rPr>
        <w:t>-</w:t>
      </w:r>
      <w:r w:rsidR="003B4791" w:rsidRPr="004D45E0">
        <w:rPr>
          <w:spacing w:val="1"/>
          <w:rtl/>
          <w:lang w:eastAsia="zh-TW"/>
        </w:rPr>
        <w:t>6</w:t>
      </w:r>
      <w:r w:rsidR="003B4791" w:rsidRPr="004D45E0">
        <w:rPr>
          <w:rFonts w:hint="cs"/>
          <w:spacing w:val="1"/>
          <w:rtl/>
          <w:lang w:eastAsia="zh-TW"/>
        </w:rPr>
        <w:tab/>
      </w:r>
      <w:r w:rsidRPr="004D45E0">
        <w:rPr>
          <w:spacing w:val="1"/>
          <w:rtl/>
          <w:lang w:eastAsia="zh-TW"/>
        </w:rPr>
        <w:t>في مذكرة شفوية مؤرخة 25 كانون الثاني/يناير 2012، أشارت الدولة الطرف إلى أنها</w:t>
      </w:r>
      <w:r w:rsidRPr="004D45E0">
        <w:rPr>
          <w:rFonts w:hint="cs"/>
          <w:spacing w:val="1"/>
          <w:rtl/>
          <w:lang w:eastAsia="zh-TW"/>
        </w:rPr>
        <w:t xml:space="preserve"> إذ انضمت</w:t>
      </w:r>
      <w:r w:rsidRPr="004D45E0">
        <w:rPr>
          <w:spacing w:val="1"/>
          <w:rtl/>
          <w:lang w:eastAsia="zh-TW"/>
        </w:rPr>
        <w:t xml:space="preserve"> إلى البروتوكول الاختياري </w:t>
      </w:r>
      <w:r w:rsidRPr="004D45E0">
        <w:rPr>
          <w:rFonts w:hint="cs"/>
          <w:spacing w:val="1"/>
          <w:rtl/>
          <w:lang w:eastAsia="zh-TW"/>
        </w:rPr>
        <w:t>ف</w:t>
      </w:r>
      <w:r w:rsidRPr="004D45E0">
        <w:rPr>
          <w:spacing w:val="1"/>
          <w:rtl/>
          <w:lang w:eastAsia="zh-TW"/>
        </w:rPr>
        <w:t>قد اعترفت باختصاص اللجنة بموجب الفقرة 1 منه في استلام ونظر البلاغات المقدّمة من الأفراد ال</w:t>
      </w:r>
      <w:r w:rsidRPr="004D45E0">
        <w:rPr>
          <w:rFonts w:hint="cs"/>
          <w:spacing w:val="1"/>
          <w:rtl/>
          <w:lang w:eastAsia="zh-TW"/>
        </w:rPr>
        <w:t>ذين يدخلون</w:t>
      </w:r>
      <w:r w:rsidRPr="004D45E0">
        <w:rPr>
          <w:spacing w:val="1"/>
          <w:rtl/>
          <w:lang w:eastAsia="zh-TW"/>
        </w:rPr>
        <w:t xml:space="preserve"> في ولايتها القضائية ويدّعون أنهم ضحايا انتهاك من جانبها لأي حقّ من الحقوق المنصوص عليها في العهد. ويترتب على هذا الاعتراف باختصاص اللجنة قبول أحكام أخرى من البروتوكول الاختياري الملحق بالعهد، بما فيها تلك </w:t>
      </w:r>
      <w:r w:rsidRPr="004D45E0">
        <w:rPr>
          <w:rFonts w:hint="cs"/>
          <w:spacing w:val="1"/>
          <w:rtl/>
          <w:lang w:eastAsia="zh-TW"/>
        </w:rPr>
        <w:t xml:space="preserve">التي </w:t>
      </w:r>
      <w:r w:rsidRPr="004D45E0">
        <w:rPr>
          <w:spacing w:val="1"/>
          <w:rtl/>
          <w:lang w:eastAsia="zh-TW"/>
        </w:rPr>
        <w:t xml:space="preserve">وضعت معايير </w:t>
      </w:r>
      <w:r w:rsidRPr="004D45E0">
        <w:rPr>
          <w:rFonts w:hint="cs"/>
          <w:spacing w:val="1"/>
          <w:rtl/>
          <w:lang w:eastAsia="zh-TW"/>
        </w:rPr>
        <w:t>بشأن</w:t>
      </w:r>
      <w:r w:rsidRPr="004D45E0">
        <w:rPr>
          <w:spacing w:val="1"/>
          <w:rtl/>
          <w:lang w:eastAsia="zh-TW"/>
        </w:rPr>
        <w:t xml:space="preserve"> أصحاب البلاغات ومقبولية بلاغاتهم، لا</w:t>
      </w:r>
      <w:r w:rsidR="0041538C" w:rsidRPr="004D45E0">
        <w:rPr>
          <w:rFonts w:hint="cs"/>
          <w:spacing w:val="1"/>
          <w:rtl/>
          <w:lang w:eastAsia="zh-TW"/>
        </w:rPr>
        <w:t xml:space="preserve"> </w:t>
      </w:r>
      <w:r w:rsidRPr="004D45E0">
        <w:rPr>
          <w:spacing w:val="1"/>
          <w:rtl/>
          <w:lang w:eastAsia="zh-TW"/>
        </w:rPr>
        <w:t>سيما المادت</w:t>
      </w:r>
      <w:r w:rsidRPr="004D45E0">
        <w:rPr>
          <w:rFonts w:hint="cs"/>
          <w:spacing w:val="1"/>
          <w:rtl/>
          <w:lang w:eastAsia="zh-TW"/>
        </w:rPr>
        <w:t>ا</w:t>
      </w:r>
      <w:r w:rsidRPr="004D45E0">
        <w:rPr>
          <w:spacing w:val="1"/>
          <w:rtl/>
          <w:lang w:eastAsia="zh-TW"/>
        </w:rPr>
        <w:t xml:space="preserve">ن 2 و5. وتصر الدولة الطرف على أنها غير ملزمة بموجب البروتوكول الاختياري بالاعتراف بنظام اللجنة الداخلي أو بتفسيرها لأحكام البروتوكول الاختياري. ووفقاً للدولة الطرف، يعني ذلك أن </w:t>
      </w:r>
      <w:r w:rsidRPr="004D45E0">
        <w:rPr>
          <w:rFonts w:hint="cs"/>
          <w:spacing w:val="1"/>
          <w:rtl/>
          <w:lang w:eastAsia="zh-TW"/>
        </w:rPr>
        <w:t xml:space="preserve">الدول الأطراف </w:t>
      </w:r>
      <w:r w:rsidRPr="004D45E0">
        <w:rPr>
          <w:spacing w:val="1"/>
          <w:rtl/>
          <w:lang w:eastAsia="zh-TW"/>
        </w:rPr>
        <w:t>ينبغي ل</w:t>
      </w:r>
      <w:r w:rsidRPr="004D45E0">
        <w:rPr>
          <w:rFonts w:hint="cs"/>
          <w:spacing w:val="1"/>
          <w:rtl/>
          <w:lang w:eastAsia="zh-TW"/>
        </w:rPr>
        <w:t>ها</w:t>
      </w:r>
      <w:r w:rsidRPr="004D45E0">
        <w:rPr>
          <w:spacing w:val="1"/>
          <w:rtl/>
          <w:lang w:eastAsia="zh-TW"/>
        </w:rPr>
        <w:t>، في سياق إجراءات النظر في البلاغات، أن تسترشد في المقام الأول بأحكام البروتوكول الاختياري وأن الإحالات إلى ممارسات اللجنة المستقرة منذ فترة طويلة وطرائق عملها واجتهاداتها "لا</w:t>
      </w:r>
      <w:r w:rsidR="00A73418">
        <w:rPr>
          <w:rFonts w:hint="cs"/>
          <w:spacing w:val="1"/>
          <w:rtl/>
          <w:lang w:eastAsia="zh-TW"/>
        </w:rPr>
        <w:t> </w:t>
      </w:r>
      <w:r w:rsidRPr="004D45E0">
        <w:rPr>
          <w:spacing w:val="1"/>
          <w:rtl/>
          <w:lang w:eastAsia="zh-TW"/>
        </w:rPr>
        <w:t>تدخل في نطاق البروتوكول الاختياري". وتدفع الدولة الطرف أيضاً بأنها ستعتبر أي</w:t>
      </w:r>
      <w:r w:rsidR="00A73418">
        <w:rPr>
          <w:rFonts w:hint="cs"/>
          <w:spacing w:val="1"/>
          <w:rtl/>
          <w:lang w:eastAsia="zh-TW"/>
        </w:rPr>
        <w:t> </w:t>
      </w:r>
      <w:r w:rsidRPr="004D45E0">
        <w:rPr>
          <w:spacing w:val="1"/>
          <w:rtl/>
          <w:lang w:eastAsia="zh-TW"/>
        </w:rPr>
        <w:t xml:space="preserve">بلاغ مسجل بطريقة تنتهك أحكام البروتوكول الاختياري للعهد غير متوافق مع البروتوكول الاختياري وسترفضه دون إبداء أي ملاحظات بشأن المقبولية أو الأسس الموضوعية. وتؤكد الدولة الطرف أيضاً أن سلطاتها سوف تعتبر أي قرارات تتخذها اللجنة بشأن هذه "البلاغات المرفوضة" "باطلة". </w:t>
      </w:r>
    </w:p>
    <w:p w:rsidR="00ED6DD3" w:rsidRPr="00C762B5" w:rsidRDefault="00ED6DD3" w:rsidP="0041538C">
      <w:pPr>
        <w:pStyle w:val="H23GA"/>
        <w:rPr>
          <w:rtl/>
        </w:rPr>
      </w:pPr>
      <w:r w:rsidRPr="00C762B5">
        <w:rPr>
          <w:rtl/>
        </w:rPr>
        <w:tab/>
      </w:r>
      <w:r w:rsidRPr="00C762B5">
        <w:rPr>
          <w:rtl/>
        </w:rPr>
        <w:tab/>
        <w:t>المسائل والإجراءات المعروضة على اللجنة</w:t>
      </w:r>
    </w:p>
    <w:p w:rsidR="00ED6DD3" w:rsidRPr="00C762B5" w:rsidRDefault="00ED6DD3" w:rsidP="0041538C">
      <w:pPr>
        <w:pStyle w:val="H4GA"/>
        <w:rPr>
          <w:rtl/>
          <w:lang w:eastAsia="zh-TW"/>
        </w:rPr>
      </w:pPr>
      <w:r w:rsidRPr="00C762B5">
        <w:rPr>
          <w:rtl/>
          <w:lang w:eastAsia="zh-TW"/>
        </w:rPr>
        <w:tab/>
      </w:r>
      <w:r w:rsidRPr="00C762B5">
        <w:rPr>
          <w:rtl/>
          <w:lang w:eastAsia="zh-TW"/>
        </w:rPr>
        <w:tab/>
        <w:t xml:space="preserve">عدم تعاون الدولة الطرف </w:t>
      </w:r>
    </w:p>
    <w:p w:rsidR="00ED6DD3" w:rsidRPr="00C762B5" w:rsidRDefault="0041538C" w:rsidP="0041538C">
      <w:pPr>
        <w:pStyle w:val="SingleTxtGA"/>
        <w:rPr>
          <w:rtl/>
          <w:lang w:eastAsia="zh-TW"/>
        </w:rPr>
      </w:pPr>
      <w:r>
        <w:rPr>
          <w:rtl/>
          <w:lang w:eastAsia="zh-TW"/>
        </w:rPr>
        <w:t>7-1</w:t>
      </w:r>
      <w:r>
        <w:rPr>
          <w:rFonts w:hint="cs"/>
          <w:rtl/>
          <w:lang w:eastAsia="zh-TW"/>
        </w:rPr>
        <w:tab/>
      </w:r>
      <w:r w:rsidR="00ED6DD3" w:rsidRPr="00C762B5">
        <w:rPr>
          <w:rtl/>
          <w:lang w:eastAsia="zh-TW"/>
        </w:rPr>
        <w:t xml:space="preserve">تلاحظ اللجنة تأكيد الدولة الطرف </w:t>
      </w:r>
      <w:r w:rsidR="00ED6DD3">
        <w:rPr>
          <w:rFonts w:hint="cs"/>
          <w:rtl/>
          <w:lang w:eastAsia="zh-TW"/>
        </w:rPr>
        <w:t xml:space="preserve">أنه لا توجد </w:t>
      </w:r>
      <w:r w:rsidR="00ED6DD3" w:rsidRPr="00C762B5">
        <w:rPr>
          <w:rtl/>
          <w:lang w:eastAsia="zh-TW"/>
        </w:rPr>
        <w:t xml:space="preserve">أسس قانونية للنظر في البلاغ المقدم، </w:t>
      </w:r>
      <w:r>
        <w:rPr>
          <w:rFonts w:hint="cs"/>
          <w:rtl/>
          <w:lang w:eastAsia="zh-TW"/>
        </w:rPr>
        <w:t xml:space="preserve">طالما </w:t>
      </w:r>
      <w:r w:rsidR="00ED6DD3" w:rsidRPr="00C762B5">
        <w:rPr>
          <w:rtl/>
          <w:lang w:eastAsia="zh-TW"/>
        </w:rPr>
        <w:t>أنه سجل بطريقة تنتهك أحكام البروتوكول الاختياري؛ وأنها غير ملزمة بالاعتراف بنظام اللجنة الداخلي وبتفسيرها لأحكام البروتوكول الاختياري؛ وأنه في حال اتخذت اللجنة قرار</w:t>
      </w:r>
      <w:r w:rsidR="000E1FDE">
        <w:rPr>
          <w:rtl/>
          <w:lang w:eastAsia="zh-TW"/>
        </w:rPr>
        <w:t xml:space="preserve">اً </w:t>
      </w:r>
      <w:r w:rsidR="00ED6DD3" w:rsidRPr="00C762B5">
        <w:rPr>
          <w:rtl/>
          <w:lang w:eastAsia="zh-TW"/>
        </w:rPr>
        <w:t>بشأن هذا البلاغ</w:t>
      </w:r>
      <w:r w:rsidR="00ED6DD3">
        <w:rPr>
          <w:rFonts w:hint="cs"/>
          <w:rtl/>
          <w:lang w:eastAsia="zh-TW"/>
        </w:rPr>
        <w:t xml:space="preserve"> فإن </w:t>
      </w:r>
      <w:r w:rsidR="00ED6DD3" w:rsidRPr="00C762B5">
        <w:rPr>
          <w:rtl/>
          <w:lang w:eastAsia="zh-TW"/>
        </w:rPr>
        <w:t xml:space="preserve">سلطات الدولة الطرف </w:t>
      </w:r>
      <w:r w:rsidR="00ED6DD3">
        <w:rPr>
          <w:rFonts w:hint="cs"/>
          <w:rtl/>
          <w:lang w:eastAsia="zh-TW"/>
        </w:rPr>
        <w:t xml:space="preserve">ستعتبره </w:t>
      </w:r>
      <w:r w:rsidR="00ED6DD3" w:rsidRPr="00C762B5">
        <w:rPr>
          <w:rtl/>
          <w:lang w:eastAsia="zh-TW"/>
        </w:rPr>
        <w:t>"باطلا</w:t>
      </w:r>
      <w:r w:rsidR="003B4791">
        <w:rPr>
          <w:rFonts w:hint="cs"/>
          <w:rtl/>
          <w:lang w:eastAsia="zh-TW"/>
        </w:rPr>
        <w:t>ً</w:t>
      </w:r>
      <w:r w:rsidR="00ED6DD3" w:rsidRPr="00C762B5">
        <w:rPr>
          <w:rtl/>
          <w:lang w:eastAsia="zh-TW"/>
        </w:rPr>
        <w:t xml:space="preserve">". </w:t>
      </w:r>
    </w:p>
    <w:p w:rsidR="00ED6DD3" w:rsidRPr="00C762B5" w:rsidRDefault="0041538C" w:rsidP="003B4791">
      <w:pPr>
        <w:pStyle w:val="SingleTxtGA"/>
        <w:rPr>
          <w:rtl/>
          <w:lang w:eastAsia="zh-TW"/>
        </w:rPr>
      </w:pPr>
      <w:r>
        <w:rPr>
          <w:rtl/>
          <w:lang w:eastAsia="zh-TW"/>
        </w:rPr>
        <w:t>7-2</w:t>
      </w:r>
      <w:r>
        <w:rPr>
          <w:rFonts w:hint="cs"/>
          <w:rtl/>
          <w:lang w:eastAsia="zh-TW"/>
        </w:rPr>
        <w:tab/>
      </w:r>
      <w:r w:rsidR="00ED6DD3" w:rsidRPr="00C762B5">
        <w:rPr>
          <w:rtl/>
          <w:lang w:eastAsia="zh-TW"/>
        </w:rPr>
        <w:t xml:space="preserve">وتذكّر اللجنة أن الفقرة 2 من المادة 39 من العهد تخولها وضع نظامها الداخلي الذي وافقت الدول الأعضاء على الاعتراف به. وتلاحظ اللجنة أيضاً أن الدولة الطرف في العهد، بانضمامها إلى البروتوكول الاختياري، تعترف باختصاص اللجنة المعنية بحقوق الإنسان في استلام ونظر البلاغات المقدّمة من أفراد يدّعون أنهم ضحايا انتهاك أي حقّ من الحقوق المنصوص عليها في العهد (الديباجة والمادة 1). وانضمام دولة ما إلى البروتوكول الاختياري يعني ضمنياً </w:t>
      </w:r>
      <w:r w:rsidR="00ED6DD3">
        <w:rPr>
          <w:rFonts w:hint="cs"/>
          <w:rtl/>
          <w:lang w:eastAsia="zh-TW"/>
        </w:rPr>
        <w:t>أنها ت</w:t>
      </w:r>
      <w:r w:rsidR="00ED6DD3" w:rsidRPr="00C762B5">
        <w:rPr>
          <w:rtl/>
          <w:lang w:eastAsia="zh-TW"/>
        </w:rPr>
        <w:t xml:space="preserve">تعهد بالتعاون مع اللجنة بحسن نية من أجل السماح لها بالنظر في مثل هذه البلاغات وتمكينها من ذلك، وبإحالة آرائها إلى الدولة الطرف والفرد المعني بعد النظر في هذه البلاغات (الفقرتان 1 و4 من المادة 5). ويتنافى مع هذه الالتزامات أن تتخذ الدولة الطرف أي إجراء </w:t>
      </w:r>
      <w:r>
        <w:rPr>
          <w:rFonts w:hint="cs"/>
          <w:rtl/>
          <w:lang w:eastAsia="zh-TW"/>
        </w:rPr>
        <w:t>من شأنه أن ي</w:t>
      </w:r>
      <w:r w:rsidR="00ED6DD3" w:rsidRPr="00C762B5">
        <w:rPr>
          <w:rtl/>
          <w:lang w:eastAsia="zh-TW"/>
        </w:rPr>
        <w:t>منع أو يع</w:t>
      </w:r>
      <w:r>
        <w:rPr>
          <w:rFonts w:hint="cs"/>
          <w:rtl/>
          <w:lang w:eastAsia="zh-TW"/>
        </w:rPr>
        <w:t>و</w:t>
      </w:r>
      <w:r w:rsidR="00ED6DD3" w:rsidRPr="00C762B5">
        <w:rPr>
          <w:rtl/>
          <w:lang w:eastAsia="zh-TW"/>
        </w:rPr>
        <w:t>ق نظر اللجنة في البلاغ وبحثه وإصدار رأي بشأنه</w:t>
      </w:r>
      <w:r w:rsidR="003B4791" w:rsidRPr="003B4791">
        <w:rPr>
          <w:rFonts w:hint="cs"/>
          <w:vertAlign w:val="superscript"/>
          <w:rtl/>
          <w:lang w:eastAsia="zh-TW"/>
        </w:rPr>
        <w:t>(</w:t>
      </w:r>
      <w:r w:rsidR="00ED6DD3" w:rsidRPr="003B4791">
        <w:rPr>
          <w:vertAlign w:val="superscript"/>
          <w:rtl/>
          <w:lang w:eastAsia="zh-TW"/>
        </w:rPr>
        <w:footnoteReference w:id="6"/>
      </w:r>
      <w:r w:rsidR="003B4791" w:rsidRPr="003B4791">
        <w:rPr>
          <w:rFonts w:hint="cs"/>
          <w:vertAlign w:val="superscript"/>
          <w:rtl/>
          <w:lang w:eastAsia="zh-TW"/>
        </w:rPr>
        <w:t>)</w:t>
      </w:r>
      <w:r w:rsidR="003B4791">
        <w:rPr>
          <w:rFonts w:hint="cs"/>
          <w:rtl/>
          <w:lang w:eastAsia="zh-TW"/>
        </w:rPr>
        <w:t>.</w:t>
      </w:r>
      <w:r w:rsidR="00ED6DD3" w:rsidRPr="00C762B5">
        <w:rPr>
          <w:rtl/>
          <w:lang w:eastAsia="zh-TW"/>
        </w:rPr>
        <w:t xml:space="preserve"> واللجنة هي الجهة التي تقرر ما إذا كان ينبغي تسجيل بلاغ ما. وتلاحظ اللجنة أن الدولة الطرف، بعدم قبولها اختصاص اللجنة البت فيما إذا كان</w:t>
      </w:r>
      <w:r>
        <w:rPr>
          <w:rtl/>
          <w:lang w:eastAsia="zh-TW"/>
        </w:rPr>
        <w:t xml:space="preserve"> يتعين تسجيل بلاغ من البلاغات أ</w:t>
      </w:r>
      <w:r>
        <w:rPr>
          <w:rFonts w:hint="cs"/>
          <w:rtl/>
          <w:lang w:eastAsia="zh-TW"/>
        </w:rPr>
        <w:t>و</w:t>
      </w:r>
      <w:r w:rsidR="00ED6DD3" w:rsidRPr="00C762B5">
        <w:rPr>
          <w:rtl/>
          <w:lang w:eastAsia="zh-TW"/>
        </w:rPr>
        <w:t xml:space="preserve"> لا، وبإعلانها سلفاً أنها لن تقبل قرار اللجنة بشأن مقبولية البلاغات أو أسسها الموضوعية، تخل بالتزاماتها المترتبة على المادة 1 من البروتوكول الاختياري الملحق بالعهد</w:t>
      </w:r>
      <w:r w:rsidR="003B4791" w:rsidRPr="003B4791">
        <w:rPr>
          <w:rFonts w:hint="cs"/>
          <w:vertAlign w:val="superscript"/>
          <w:rtl/>
          <w:lang w:eastAsia="zh-TW"/>
        </w:rPr>
        <w:t>(</w:t>
      </w:r>
      <w:r w:rsidR="00ED6DD3" w:rsidRPr="003B4791">
        <w:rPr>
          <w:vertAlign w:val="superscript"/>
          <w:rtl/>
          <w:lang w:eastAsia="zh-TW"/>
        </w:rPr>
        <w:footnoteReference w:id="7"/>
      </w:r>
      <w:r w:rsidR="003B4791" w:rsidRPr="003B4791">
        <w:rPr>
          <w:rFonts w:hint="cs"/>
          <w:vertAlign w:val="superscript"/>
          <w:rtl/>
          <w:lang w:eastAsia="zh-TW"/>
        </w:rPr>
        <w:t>)</w:t>
      </w:r>
      <w:r w:rsidR="003B4791">
        <w:rPr>
          <w:rFonts w:hint="cs"/>
          <w:rtl/>
          <w:lang w:eastAsia="zh-TW"/>
        </w:rPr>
        <w:t>.</w:t>
      </w:r>
    </w:p>
    <w:p w:rsidR="00ED6DD3" w:rsidRPr="00C762B5" w:rsidRDefault="00ED6DD3" w:rsidP="0041538C">
      <w:pPr>
        <w:pStyle w:val="H4GA"/>
        <w:rPr>
          <w:rtl/>
          <w:lang w:eastAsia="zh-TW"/>
        </w:rPr>
      </w:pPr>
      <w:r w:rsidRPr="00C762B5">
        <w:rPr>
          <w:rtl/>
          <w:lang w:eastAsia="zh-TW"/>
        </w:rPr>
        <w:tab/>
      </w:r>
      <w:r w:rsidRPr="00C762B5">
        <w:rPr>
          <w:rtl/>
          <w:lang w:eastAsia="zh-TW"/>
        </w:rPr>
        <w:tab/>
        <w:t>النظر في المقبولية</w:t>
      </w:r>
    </w:p>
    <w:p w:rsidR="00ED6DD3" w:rsidRPr="00C762B5" w:rsidRDefault="0041538C" w:rsidP="0041538C">
      <w:pPr>
        <w:pStyle w:val="SingleTxtGA"/>
        <w:rPr>
          <w:rtl/>
          <w:lang w:eastAsia="zh-TW"/>
        </w:rPr>
      </w:pPr>
      <w:r>
        <w:rPr>
          <w:rtl/>
          <w:lang w:eastAsia="zh-TW"/>
        </w:rPr>
        <w:t>8-1</w:t>
      </w:r>
      <w:r>
        <w:rPr>
          <w:rFonts w:hint="cs"/>
          <w:rtl/>
          <w:lang w:eastAsia="zh-TW"/>
        </w:rPr>
        <w:tab/>
      </w:r>
      <w:r w:rsidR="00ED6DD3" w:rsidRPr="00C762B5">
        <w:rPr>
          <w:rtl/>
          <w:lang w:eastAsia="zh-TW"/>
        </w:rPr>
        <w:t>قبل النظر في أي ادعاء يرد في بلاغ ما، يتعين على اللجنة المعنية بحقوق الإنسان، بموجب المادة 93 من نظامها الداخلي، أن تقرِّر ما إذا كان البلاغ مقبولاً أ</w:t>
      </w:r>
      <w:r>
        <w:rPr>
          <w:rFonts w:hint="cs"/>
          <w:rtl/>
          <w:lang w:eastAsia="zh-TW"/>
        </w:rPr>
        <w:t>و</w:t>
      </w:r>
      <w:r w:rsidR="00ED6DD3" w:rsidRPr="00C762B5">
        <w:rPr>
          <w:rtl/>
          <w:lang w:eastAsia="zh-TW"/>
        </w:rPr>
        <w:t xml:space="preserve"> لا بموجب البروتوكول الاختياري الملحق بالعهد. </w:t>
      </w:r>
    </w:p>
    <w:p w:rsidR="00ED6DD3" w:rsidRPr="00C762B5" w:rsidRDefault="0041538C" w:rsidP="00561901">
      <w:pPr>
        <w:pStyle w:val="SingleTxtGA"/>
        <w:rPr>
          <w:rtl/>
          <w:lang w:eastAsia="zh-TW"/>
        </w:rPr>
      </w:pPr>
      <w:r>
        <w:rPr>
          <w:rtl/>
          <w:lang w:eastAsia="zh-TW"/>
        </w:rPr>
        <w:t>8-2</w:t>
      </w:r>
      <w:r>
        <w:rPr>
          <w:rFonts w:hint="cs"/>
          <w:rtl/>
          <w:lang w:eastAsia="zh-TW"/>
        </w:rPr>
        <w:tab/>
      </w:r>
      <w:r w:rsidR="00ED6DD3" w:rsidRPr="00C762B5">
        <w:rPr>
          <w:rtl/>
          <w:lang w:eastAsia="zh-TW"/>
        </w:rPr>
        <w:t xml:space="preserve">وقد تأكدت اللجنة، وفقاً لما تقتضيه الفقرة 2(أ) من المادة 5 من البروتوكول الاختياري، من أن المسألة نفسها ليست قيد البحث في إطار أي إجراء آخر من إجراءات التحقيق الدولي أو التسوية الدولية. </w:t>
      </w:r>
    </w:p>
    <w:p w:rsidR="00ED6DD3" w:rsidRPr="00C762B5" w:rsidRDefault="0041538C" w:rsidP="0041538C">
      <w:pPr>
        <w:pStyle w:val="SingleTxtGA"/>
        <w:rPr>
          <w:rtl/>
          <w:lang w:eastAsia="zh-TW"/>
        </w:rPr>
      </w:pPr>
      <w:r>
        <w:rPr>
          <w:rtl/>
          <w:lang w:eastAsia="zh-TW"/>
        </w:rPr>
        <w:t>8-3</w:t>
      </w:r>
      <w:r>
        <w:rPr>
          <w:rFonts w:hint="cs"/>
          <w:rtl/>
          <w:lang w:eastAsia="zh-TW"/>
        </w:rPr>
        <w:tab/>
      </w:r>
      <w:r w:rsidR="00ED6DD3" w:rsidRPr="00C762B5">
        <w:rPr>
          <w:rtl/>
          <w:lang w:eastAsia="zh-TW"/>
        </w:rPr>
        <w:t>وتلاحظ اللجنة أن الدولة الطرف اعترضت على مقبولية البلاغ بسبب عدم استنفاد سبل الانتصاف المحلية، وفقاً للفقرة 2(ب) من المادة 5 من البروتوكول الاختياري، لأنّ صاحبة البلاغ لم تلتمس من مكتب المدعي العام النظر في قضيّتها في إطار إجراءات المراجعة القضائية الرقابية. وتذكّر اللجنة باجتهاداتها التي تفيد بأن الالتماس من مكتب مدع عام إجراء مراجعة رقابية تتيح مراجعة قرارات ال</w:t>
      </w:r>
      <w:r w:rsidR="00ED6DD3">
        <w:rPr>
          <w:rtl/>
          <w:lang w:eastAsia="zh-TW"/>
        </w:rPr>
        <w:t xml:space="preserve">محاكم التي دخلت حيز النفاذ، لا </w:t>
      </w:r>
      <w:r w:rsidR="00ED6DD3">
        <w:rPr>
          <w:rFonts w:hint="cs"/>
          <w:rtl/>
          <w:lang w:eastAsia="zh-TW"/>
        </w:rPr>
        <w:t>ي</w:t>
      </w:r>
      <w:r w:rsidR="00ED6DD3" w:rsidRPr="00C762B5">
        <w:rPr>
          <w:rtl/>
          <w:lang w:eastAsia="zh-TW"/>
        </w:rPr>
        <w:t>شكّل سبيل انتصاف ينبغي استنفاده لأغراض الفقرة 2(ب) من المادة 5 من البروتوكول الاختياري</w:t>
      </w:r>
      <w:r w:rsidRPr="0041538C">
        <w:rPr>
          <w:rFonts w:hint="cs"/>
          <w:vertAlign w:val="superscript"/>
          <w:rtl/>
          <w:lang w:eastAsia="zh-TW"/>
        </w:rPr>
        <w:t>(</w:t>
      </w:r>
      <w:r w:rsidRPr="0041538C">
        <w:rPr>
          <w:vertAlign w:val="superscript"/>
          <w:rtl/>
          <w:lang w:eastAsia="zh-TW"/>
        </w:rPr>
        <w:footnoteReference w:id="8"/>
      </w:r>
      <w:r w:rsidRPr="0041538C">
        <w:rPr>
          <w:rFonts w:hint="cs"/>
          <w:vertAlign w:val="superscript"/>
          <w:rtl/>
          <w:lang w:eastAsia="zh-TW"/>
        </w:rPr>
        <w:t>)</w:t>
      </w:r>
      <w:r w:rsidR="00ED6DD3" w:rsidRPr="00C762B5">
        <w:rPr>
          <w:rtl/>
          <w:lang w:eastAsia="zh-TW"/>
        </w:rPr>
        <w:t>. وبناءً عليه، تعتبر اللجنة أن مقتضيات الفقرة 2(ب) من المادة 5 من البروتوكول الاختياري ل</w:t>
      </w:r>
      <w:r>
        <w:rPr>
          <w:rtl/>
          <w:lang w:eastAsia="zh-TW"/>
        </w:rPr>
        <w:t>ا تمنعها من النظر في هذا البلاغ</w:t>
      </w:r>
      <w:r>
        <w:rPr>
          <w:rFonts w:hint="cs"/>
          <w:rtl/>
          <w:lang w:eastAsia="zh-TW"/>
        </w:rPr>
        <w:t>.</w:t>
      </w:r>
    </w:p>
    <w:p w:rsidR="00ED6DD3" w:rsidRPr="00C762B5" w:rsidRDefault="0041538C" w:rsidP="00A73418">
      <w:pPr>
        <w:pStyle w:val="SingleTxtGA"/>
        <w:rPr>
          <w:rtl/>
          <w:lang w:eastAsia="zh-TW"/>
        </w:rPr>
      </w:pPr>
      <w:r>
        <w:rPr>
          <w:rtl/>
          <w:lang w:eastAsia="zh-TW"/>
        </w:rPr>
        <w:t>8-4</w:t>
      </w:r>
      <w:r>
        <w:rPr>
          <w:rFonts w:hint="cs"/>
          <w:rtl/>
          <w:lang w:eastAsia="zh-TW"/>
        </w:rPr>
        <w:tab/>
      </w:r>
      <w:r w:rsidR="00ED6DD3" w:rsidRPr="00C762B5">
        <w:rPr>
          <w:rtl/>
          <w:lang w:eastAsia="zh-TW"/>
        </w:rPr>
        <w:t>وتحيط اللجنة علم</w:t>
      </w:r>
      <w:r w:rsidR="000E1FDE">
        <w:rPr>
          <w:rtl/>
          <w:lang w:eastAsia="zh-TW"/>
        </w:rPr>
        <w:t xml:space="preserve">اً </w:t>
      </w:r>
      <w:r w:rsidR="00ED6DD3" w:rsidRPr="00C762B5">
        <w:rPr>
          <w:rtl/>
          <w:lang w:eastAsia="zh-TW"/>
        </w:rPr>
        <w:t>ب</w:t>
      </w:r>
      <w:r w:rsidR="00ED6DD3">
        <w:rPr>
          <w:rFonts w:hint="cs"/>
          <w:rtl/>
          <w:lang w:eastAsia="zh-TW"/>
        </w:rPr>
        <w:t>ادعاء</w:t>
      </w:r>
      <w:r w:rsidR="00ED6DD3" w:rsidRPr="00C762B5">
        <w:rPr>
          <w:rtl/>
          <w:lang w:eastAsia="zh-TW"/>
        </w:rPr>
        <w:t xml:space="preserve"> صاحبة البلاغ أن </w:t>
      </w:r>
      <w:r w:rsidR="00ED6DD3">
        <w:rPr>
          <w:rFonts w:hint="cs"/>
          <w:rtl/>
          <w:lang w:eastAsia="zh-TW"/>
        </w:rPr>
        <w:t>قرار عدم</w:t>
      </w:r>
      <w:r w:rsidR="00ED6DD3" w:rsidRPr="00C762B5">
        <w:rPr>
          <w:rtl/>
          <w:lang w:eastAsia="zh-TW"/>
        </w:rPr>
        <w:t xml:space="preserve"> منحها المعاش التقاعدي على أساس رفضها الحصول على نوع جديد من جوازات السفر قد انتهك حقوقها المكفولة في الفقرتين 1 و2 من المادة 18، والمادة 26 من العهد. غير أن اللجنة ترى أن صاحبة البلاغ </w:t>
      </w:r>
      <w:r w:rsidR="00ED6DD3">
        <w:rPr>
          <w:rtl/>
          <w:lang w:eastAsia="zh-TW"/>
        </w:rPr>
        <w:t>لم</w:t>
      </w:r>
      <w:r w:rsidR="00A73418">
        <w:rPr>
          <w:rFonts w:hint="cs"/>
          <w:rtl/>
          <w:lang w:eastAsia="zh-TW"/>
        </w:rPr>
        <w:t> </w:t>
      </w:r>
      <w:r w:rsidR="00ED6DD3">
        <w:rPr>
          <w:rtl/>
          <w:lang w:eastAsia="zh-TW"/>
        </w:rPr>
        <w:t>ت</w:t>
      </w:r>
      <w:r w:rsidR="00ED6DD3">
        <w:rPr>
          <w:rFonts w:hint="cs"/>
          <w:rtl/>
          <w:lang w:eastAsia="zh-TW"/>
        </w:rPr>
        <w:t>بين</w:t>
      </w:r>
      <w:r w:rsidR="00ED6DD3">
        <w:rPr>
          <w:rtl/>
          <w:lang w:eastAsia="zh-TW"/>
        </w:rPr>
        <w:t xml:space="preserve"> أنه</w:t>
      </w:r>
      <w:r w:rsidR="00ED6DD3">
        <w:rPr>
          <w:rFonts w:hint="cs"/>
          <w:rtl/>
          <w:lang w:eastAsia="zh-TW"/>
        </w:rPr>
        <w:t>ا كانت عاجزة عن</w:t>
      </w:r>
      <w:r w:rsidR="00ED6DD3">
        <w:rPr>
          <w:rtl/>
          <w:lang w:eastAsia="zh-TW"/>
        </w:rPr>
        <w:t xml:space="preserve"> إثبات </w:t>
      </w:r>
      <w:r w:rsidR="00ED6DD3">
        <w:rPr>
          <w:rFonts w:hint="cs"/>
          <w:rtl/>
          <w:lang w:eastAsia="zh-TW"/>
        </w:rPr>
        <w:t>حقها في</w:t>
      </w:r>
      <w:r w:rsidR="00ED6DD3" w:rsidRPr="00C762B5">
        <w:rPr>
          <w:rtl/>
          <w:lang w:eastAsia="zh-TW"/>
        </w:rPr>
        <w:t xml:space="preserve"> </w:t>
      </w:r>
      <w:r w:rsidR="00ED6DD3">
        <w:rPr>
          <w:rFonts w:hint="cs"/>
          <w:rtl/>
          <w:lang w:eastAsia="zh-TW"/>
        </w:rPr>
        <w:t>ا</w:t>
      </w:r>
      <w:r w:rsidR="00ED6DD3" w:rsidRPr="00C762B5">
        <w:rPr>
          <w:rtl/>
          <w:lang w:eastAsia="zh-TW"/>
        </w:rPr>
        <w:t>لحصول على معاش تقاعدي بتقديم وثائق أخرى لإثبات الهوية دون الحصول على جواز سفر جديد (انظر الفقرة 2-4). وبناء عليه، ترى</w:t>
      </w:r>
      <w:r w:rsidR="00ED6DD3">
        <w:rPr>
          <w:rtl/>
          <w:lang w:eastAsia="zh-TW"/>
        </w:rPr>
        <w:t xml:space="preserve"> اللجنة أن صاحبة البلاغ لم تقدم</w:t>
      </w:r>
      <w:r w:rsidR="00ED6DD3" w:rsidRPr="00C762B5">
        <w:rPr>
          <w:rtl/>
          <w:lang w:eastAsia="zh-TW"/>
        </w:rPr>
        <w:t xml:space="preserve"> أدلة كافية لإثبات ادعاءاتها،</w:t>
      </w:r>
      <w:r w:rsidR="00ED6DD3">
        <w:rPr>
          <w:rFonts w:hint="cs"/>
          <w:rtl/>
          <w:lang w:eastAsia="zh-TW"/>
        </w:rPr>
        <w:t xml:space="preserve"> </w:t>
      </w:r>
      <w:r w:rsidR="00ED6DD3" w:rsidRPr="00C762B5">
        <w:rPr>
          <w:rtl/>
          <w:lang w:eastAsia="zh-TW"/>
        </w:rPr>
        <w:t>لأغراض المقبولية،</w:t>
      </w:r>
      <w:r w:rsidR="00ED6DD3">
        <w:rPr>
          <w:rFonts w:hint="cs"/>
          <w:rtl/>
          <w:lang w:eastAsia="zh-TW"/>
        </w:rPr>
        <w:t xml:space="preserve"> </w:t>
      </w:r>
      <w:r w:rsidR="00ED6DD3">
        <w:rPr>
          <w:rtl/>
          <w:lang w:eastAsia="zh-TW"/>
        </w:rPr>
        <w:t>وتخلص إلى أن</w:t>
      </w:r>
      <w:r w:rsidR="00ED6DD3">
        <w:rPr>
          <w:rFonts w:hint="cs"/>
          <w:rtl/>
          <w:lang w:eastAsia="zh-TW"/>
        </w:rPr>
        <w:t xml:space="preserve"> هذه الادعاءات</w:t>
      </w:r>
      <w:r w:rsidR="00ED6DD3" w:rsidRPr="00C762B5">
        <w:rPr>
          <w:rtl/>
          <w:lang w:eastAsia="zh-TW"/>
        </w:rPr>
        <w:t xml:space="preserve"> غير مقبولة بموجب المادة 2 من البروتوكول الاختياري. </w:t>
      </w:r>
    </w:p>
    <w:p w:rsidR="00ED6DD3" w:rsidRPr="00C762B5" w:rsidRDefault="00ED6DD3" w:rsidP="00561901">
      <w:pPr>
        <w:pStyle w:val="SingleTxtGA"/>
        <w:rPr>
          <w:rtl/>
          <w:lang w:eastAsia="zh-TW"/>
        </w:rPr>
      </w:pPr>
      <w:r w:rsidRPr="00C762B5">
        <w:rPr>
          <w:rtl/>
          <w:lang w:eastAsia="zh-TW"/>
        </w:rPr>
        <w:t>٩</w:t>
      </w:r>
      <w:r w:rsidRPr="00C762B5">
        <w:rPr>
          <w:rtl/>
        </w:rPr>
        <w:t>-</w:t>
      </w:r>
      <w:r w:rsidR="0041538C">
        <w:rPr>
          <w:rFonts w:hint="cs"/>
          <w:rtl/>
          <w:lang w:eastAsia="zh-TW"/>
        </w:rPr>
        <w:tab/>
      </w:r>
      <w:r w:rsidRPr="00C762B5">
        <w:rPr>
          <w:rtl/>
          <w:lang w:eastAsia="zh-TW"/>
        </w:rPr>
        <w:t xml:space="preserve">وبناءً على ذلك، تقرر اللجنة المعنية بحقوق الإنسان ما يلي: </w:t>
      </w:r>
    </w:p>
    <w:p w:rsidR="00ED6DD3" w:rsidRPr="00C762B5" w:rsidRDefault="0041538C" w:rsidP="0041538C">
      <w:pPr>
        <w:pStyle w:val="SingleTxtGA"/>
        <w:rPr>
          <w:rtl/>
          <w:lang w:eastAsia="zh-TW"/>
        </w:rPr>
      </w:pPr>
      <w:r>
        <w:rPr>
          <w:rFonts w:hint="cs"/>
          <w:rtl/>
          <w:lang w:eastAsia="zh-TW"/>
        </w:rPr>
        <w:tab/>
      </w:r>
      <w:r w:rsidR="00ED6DD3" w:rsidRPr="00C762B5">
        <w:rPr>
          <w:rtl/>
          <w:lang w:eastAsia="zh-TW"/>
        </w:rPr>
        <w:t>(أ)</w:t>
      </w:r>
      <w:r>
        <w:rPr>
          <w:rFonts w:hint="cs"/>
          <w:rtl/>
          <w:lang w:eastAsia="zh-TW"/>
        </w:rPr>
        <w:tab/>
      </w:r>
      <w:r w:rsidR="00ED6DD3" w:rsidRPr="00C762B5">
        <w:rPr>
          <w:rtl/>
          <w:lang w:eastAsia="zh-TW"/>
        </w:rPr>
        <w:t xml:space="preserve">عدم مقبولية البلاغ بموجب الفقرة 2 من البروتوكول الاختياري؛ </w:t>
      </w:r>
    </w:p>
    <w:p w:rsidR="00ED6DD3" w:rsidRPr="00C762B5" w:rsidRDefault="0041538C" w:rsidP="0041538C">
      <w:pPr>
        <w:pStyle w:val="SingleTxtGA"/>
        <w:rPr>
          <w:rtl/>
          <w:lang w:eastAsia="zh-TW"/>
        </w:rPr>
      </w:pPr>
      <w:r>
        <w:rPr>
          <w:rFonts w:hint="cs"/>
          <w:rtl/>
          <w:lang w:eastAsia="zh-TW"/>
        </w:rPr>
        <w:tab/>
      </w:r>
      <w:r w:rsidR="00ED6DD3" w:rsidRPr="00C762B5">
        <w:rPr>
          <w:rtl/>
          <w:lang w:eastAsia="zh-TW"/>
        </w:rPr>
        <w:t>(ب)</w:t>
      </w:r>
      <w:r>
        <w:rPr>
          <w:rFonts w:hint="cs"/>
          <w:rtl/>
          <w:lang w:eastAsia="zh-TW"/>
        </w:rPr>
        <w:tab/>
      </w:r>
      <w:r w:rsidR="00ED6DD3" w:rsidRPr="00C762B5">
        <w:rPr>
          <w:rtl/>
          <w:lang w:eastAsia="zh-TW"/>
        </w:rPr>
        <w:t xml:space="preserve">إبلاغ الدولة الطرف وصاحبة البلاغ بهذا القرار. </w:t>
      </w:r>
    </w:p>
    <w:p w:rsidR="00ED6DD3" w:rsidRPr="00C762B5" w:rsidRDefault="0041538C" w:rsidP="0041538C">
      <w:pPr>
        <w:pStyle w:val="HChGA"/>
        <w:spacing w:before="120"/>
        <w:rPr>
          <w:rtl/>
          <w:lang w:eastAsia="zh-TW"/>
        </w:rPr>
      </w:pPr>
      <w:r>
        <w:rPr>
          <w:rtl/>
          <w:lang w:eastAsia="zh-TW"/>
        </w:rPr>
        <w:br w:type="page"/>
      </w:r>
      <w:r w:rsidR="00ED6DD3" w:rsidRPr="00C762B5">
        <w:rPr>
          <w:rtl/>
          <w:lang w:eastAsia="zh-TW"/>
        </w:rPr>
        <w:t>التذييل</w:t>
      </w:r>
    </w:p>
    <w:p w:rsidR="00ED6DD3" w:rsidRPr="00C762B5" w:rsidRDefault="00ED6DD3" w:rsidP="00A9136C">
      <w:pPr>
        <w:pStyle w:val="HChGA"/>
        <w:rPr>
          <w:rtl/>
          <w:lang w:eastAsia="zh-TW"/>
        </w:rPr>
      </w:pPr>
      <w:r w:rsidRPr="00C762B5">
        <w:rPr>
          <w:rtl/>
          <w:lang w:eastAsia="zh-TW"/>
        </w:rPr>
        <w:tab/>
      </w:r>
      <w:r w:rsidRPr="00C762B5">
        <w:rPr>
          <w:lang w:eastAsia="zh-TW"/>
        </w:rPr>
        <w:tab/>
      </w:r>
      <w:r w:rsidRPr="00C762B5">
        <w:rPr>
          <w:rtl/>
          <w:lang w:eastAsia="zh-TW"/>
        </w:rPr>
        <w:t xml:space="preserve">رأي مخالف مشترك أعرب عنه عضوا اللجنة السيد جيرالد ل. نومان والسيد يوفال شاني </w:t>
      </w:r>
    </w:p>
    <w:p w:rsidR="00ED6DD3" w:rsidRPr="00C762B5" w:rsidRDefault="00ED6DD3" w:rsidP="00561901">
      <w:pPr>
        <w:pStyle w:val="SingleTxtGA"/>
        <w:rPr>
          <w:rtl/>
          <w:lang w:eastAsia="zh-TW"/>
        </w:rPr>
      </w:pPr>
      <w:r w:rsidRPr="00C762B5">
        <w:rPr>
          <w:rtl/>
          <w:lang w:eastAsia="zh-TW"/>
        </w:rPr>
        <w:t>١</w:t>
      </w:r>
      <w:r w:rsidRPr="00C762B5">
        <w:rPr>
          <w:rtl/>
        </w:rPr>
        <w:t>-</w:t>
      </w:r>
      <w:r w:rsidR="00AB2BC8">
        <w:rPr>
          <w:rFonts w:hint="cs"/>
          <w:rtl/>
        </w:rPr>
        <w:tab/>
      </w:r>
      <w:r w:rsidRPr="00C762B5">
        <w:rPr>
          <w:rtl/>
          <w:lang w:eastAsia="zh-TW"/>
        </w:rPr>
        <w:t>نحن للأسف نختلف مع قرار اللجنة. ونعتقد أ</w:t>
      </w:r>
      <w:r>
        <w:rPr>
          <w:rtl/>
          <w:lang w:eastAsia="zh-TW"/>
        </w:rPr>
        <w:t>ن</w:t>
      </w:r>
      <w:r>
        <w:rPr>
          <w:rFonts w:hint="cs"/>
          <w:rtl/>
          <w:lang w:val="fr-CH" w:eastAsia="zh-TW"/>
        </w:rPr>
        <w:t>ه بالنظر إلى حالة الملف</w:t>
      </w:r>
      <w:r w:rsidRPr="00C762B5">
        <w:rPr>
          <w:rtl/>
          <w:lang w:eastAsia="zh-TW"/>
        </w:rPr>
        <w:t xml:space="preserve"> </w:t>
      </w:r>
      <w:r>
        <w:rPr>
          <w:rFonts w:hint="cs"/>
          <w:rtl/>
          <w:lang w:eastAsia="zh-TW"/>
        </w:rPr>
        <w:t>و</w:t>
      </w:r>
      <w:r w:rsidRPr="00C762B5">
        <w:rPr>
          <w:rtl/>
          <w:lang w:eastAsia="zh-TW"/>
        </w:rPr>
        <w:t xml:space="preserve">غياب تعليقات من الدولة الطرف، </w:t>
      </w:r>
      <w:r>
        <w:rPr>
          <w:rFonts w:hint="cs"/>
          <w:rtl/>
          <w:lang w:eastAsia="zh-TW"/>
        </w:rPr>
        <w:t xml:space="preserve">ينبغي </w:t>
      </w:r>
      <w:r w:rsidRPr="00C762B5">
        <w:rPr>
          <w:rtl/>
          <w:lang w:eastAsia="zh-TW"/>
        </w:rPr>
        <w:t xml:space="preserve">أن نقبل ادّعاء صاحبة البلاغ أنها حُرمت من معاشها التقاعدي لعدم تقديمها جواز السفر الجديد الذي تمنعها معتقداتها الدينية من استخدامه. </w:t>
      </w:r>
    </w:p>
    <w:p w:rsidR="00ED6DD3" w:rsidRPr="00A73418" w:rsidRDefault="00ED6DD3" w:rsidP="00A73418">
      <w:pPr>
        <w:pStyle w:val="SingleTxtGA"/>
        <w:rPr>
          <w:spacing w:val="-3"/>
          <w:rtl/>
          <w:lang w:eastAsia="zh-TW"/>
        </w:rPr>
      </w:pPr>
      <w:r w:rsidRPr="00A73418">
        <w:rPr>
          <w:spacing w:val="-3"/>
          <w:rtl/>
          <w:lang w:eastAsia="zh-TW"/>
        </w:rPr>
        <w:t>٢</w:t>
      </w:r>
      <w:r w:rsidRPr="00A73418">
        <w:rPr>
          <w:spacing w:val="-3"/>
          <w:rtl/>
        </w:rPr>
        <w:t>-</w:t>
      </w:r>
      <w:r w:rsidR="00AB2BC8" w:rsidRPr="00A73418">
        <w:rPr>
          <w:rFonts w:hint="cs"/>
          <w:spacing w:val="-3"/>
          <w:rtl/>
          <w:lang w:eastAsia="zh-TW"/>
        </w:rPr>
        <w:tab/>
      </w:r>
      <w:r w:rsidRPr="00A73418">
        <w:rPr>
          <w:rFonts w:hint="cs"/>
          <w:spacing w:val="-3"/>
          <w:rtl/>
          <w:lang w:eastAsia="zh-TW"/>
        </w:rPr>
        <w:t>وتشمل</w:t>
      </w:r>
      <w:r w:rsidRPr="00A73418">
        <w:rPr>
          <w:spacing w:val="-3"/>
          <w:rtl/>
          <w:lang w:eastAsia="zh-TW"/>
        </w:rPr>
        <w:t xml:space="preserve"> الحقوق ال</w:t>
      </w:r>
      <w:r w:rsidR="00AB2BC8" w:rsidRPr="00A73418">
        <w:rPr>
          <w:spacing w:val="-3"/>
          <w:rtl/>
          <w:lang w:eastAsia="zh-TW"/>
        </w:rPr>
        <w:t xml:space="preserve">محمية بموجب المادة 18 من العهد </w:t>
      </w:r>
      <w:r w:rsidR="00AB2BC8" w:rsidRPr="00A73418">
        <w:rPr>
          <w:rFonts w:hint="cs"/>
          <w:spacing w:val="-3"/>
          <w:rtl/>
          <w:lang w:eastAsia="zh-TW"/>
        </w:rPr>
        <w:t xml:space="preserve">حق المرء </w:t>
      </w:r>
      <w:r w:rsidRPr="00A73418">
        <w:rPr>
          <w:rFonts w:hint="cs"/>
          <w:spacing w:val="-3"/>
          <w:rtl/>
          <w:lang w:eastAsia="zh-TW"/>
        </w:rPr>
        <w:t xml:space="preserve">في </w:t>
      </w:r>
      <w:r w:rsidRPr="00A73418">
        <w:rPr>
          <w:spacing w:val="-3"/>
          <w:rtl/>
          <w:lang w:eastAsia="zh-TW"/>
        </w:rPr>
        <w:t>إظهار دين</w:t>
      </w:r>
      <w:r w:rsidRPr="00A73418">
        <w:rPr>
          <w:rFonts w:hint="cs"/>
          <w:spacing w:val="-3"/>
          <w:rtl/>
          <w:lang w:eastAsia="zh-TW"/>
        </w:rPr>
        <w:t>ه</w:t>
      </w:r>
      <w:r w:rsidRPr="00A73418">
        <w:rPr>
          <w:spacing w:val="-3"/>
          <w:rtl/>
          <w:lang w:eastAsia="zh-TW"/>
        </w:rPr>
        <w:t xml:space="preserve"> أو</w:t>
      </w:r>
      <w:r w:rsidR="00A73418" w:rsidRPr="00A73418">
        <w:rPr>
          <w:rFonts w:hint="cs"/>
          <w:spacing w:val="-3"/>
          <w:rtl/>
          <w:lang w:eastAsia="zh-TW"/>
        </w:rPr>
        <w:t> </w:t>
      </w:r>
      <w:r w:rsidRPr="00A73418">
        <w:rPr>
          <w:spacing w:val="-3"/>
          <w:rtl/>
          <w:lang w:eastAsia="zh-TW"/>
        </w:rPr>
        <w:t>معتقدات</w:t>
      </w:r>
      <w:r w:rsidRPr="00A73418">
        <w:rPr>
          <w:rFonts w:hint="cs"/>
          <w:spacing w:val="-3"/>
          <w:rtl/>
          <w:lang w:eastAsia="zh-TW"/>
        </w:rPr>
        <w:t>ه</w:t>
      </w:r>
      <w:r w:rsidRPr="00A73418">
        <w:rPr>
          <w:spacing w:val="-3"/>
          <w:rtl/>
          <w:lang w:eastAsia="zh-TW"/>
        </w:rPr>
        <w:t xml:space="preserve"> </w:t>
      </w:r>
      <w:r w:rsidRPr="00A73418">
        <w:rPr>
          <w:rFonts w:hint="cs"/>
          <w:spacing w:val="-3"/>
          <w:rtl/>
          <w:lang w:eastAsia="zh-TW"/>
        </w:rPr>
        <w:t xml:space="preserve">في </w:t>
      </w:r>
      <w:r w:rsidRPr="00A73418">
        <w:rPr>
          <w:spacing w:val="-3"/>
          <w:rtl/>
          <w:lang w:eastAsia="zh-TW"/>
        </w:rPr>
        <w:t>الممارسة. و</w:t>
      </w:r>
      <w:r w:rsidRPr="00A73418">
        <w:rPr>
          <w:rFonts w:hint="cs"/>
          <w:spacing w:val="-3"/>
          <w:rtl/>
          <w:lang w:eastAsia="zh-TW"/>
        </w:rPr>
        <w:t>ب</w:t>
      </w:r>
      <w:r w:rsidRPr="00A73418">
        <w:rPr>
          <w:spacing w:val="-3"/>
          <w:rtl/>
          <w:lang w:eastAsia="zh-TW"/>
        </w:rPr>
        <w:t xml:space="preserve">خلاف </w:t>
      </w:r>
      <w:r w:rsidRPr="00A73418">
        <w:rPr>
          <w:rFonts w:hint="cs"/>
          <w:spacing w:val="-3"/>
          <w:rtl/>
          <w:lang w:eastAsia="zh-TW"/>
        </w:rPr>
        <w:t>ا</w:t>
      </w:r>
      <w:r w:rsidRPr="00A73418">
        <w:rPr>
          <w:spacing w:val="-3"/>
          <w:rtl/>
          <w:lang w:eastAsia="zh-TW"/>
        </w:rPr>
        <w:t>لحق في الإيمان ب</w:t>
      </w:r>
      <w:r w:rsidRPr="00A73418">
        <w:rPr>
          <w:rFonts w:hint="cs"/>
          <w:spacing w:val="-3"/>
          <w:rtl/>
          <w:lang w:eastAsia="zh-TW"/>
        </w:rPr>
        <w:t>معتقد</w:t>
      </w:r>
      <w:r w:rsidRPr="00A73418">
        <w:rPr>
          <w:spacing w:val="-3"/>
          <w:rtl/>
          <w:lang w:eastAsia="zh-TW"/>
        </w:rPr>
        <w:t xml:space="preserve">، لا يعتبر حق إظهار المعتقد </w:t>
      </w:r>
      <w:r w:rsidRPr="00A73418">
        <w:rPr>
          <w:rFonts w:hint="cs"/>
          <w:spacing w:val="-3"/>
          <w:rtl/>
          <w:lang w:eastAsia="zh-TW"/>
        </w:rPr>
        <w:t xml:space="preserve">في </w:t>
      </w:r>
      <w:r w:rsidRPr="00A73418">
        <w:rPr>
          <w:spacing w:val="-3"/>
          <w:rtl/>
          <w:lang w:eastAsia="zh-TW"/>
        </w:rPr>
        <w:t>الممارسة حق</w:t>
      </w:r>
      <w:r w:rsidR="000E1FDE" w:rsidRPr="00A73418">
        <w:rPr>
          <w:spacing w:val="-3"/>
          <w:rtl/>
          <w:lang w:eastAsia="zh-TW"/>
        </w:rPr>
        <w:t xml:space="preserve">اً </w:t>
      </w:r>
      <w:r w:rsidRPr="00A73418">
        <w:rPr>
          <w:spacing w:val="-3"/>
          <w:rtl/>
          <w:lang w:eastAsia="zh-TW"/>
        </w:rPr>
        <w:t>مطلق</w:t>
      </w:r>
      <w:r w:rsidR="00645274" w:rsidRPr="00A73418">
        <w:rPr>
          <w:spacing w:val="-3"/>
          <w:rtl/>
          <w:lang w:eastAsia="zh-TW"/>
        </w:rPr>
        <w:t xml:space="preserve">اً. </w:t>
      </w:r>
      <w:r w:rsidRPr="00A73418">
        <w:rPr>
          <w:spacing w:val="-3"/>
          <w:rtl/>
          <w:lang w:eastAsia="zh-TW"/>
        </w:rPr>
        <w:t xml:space="preserve">ويجب أن تكون القيود المفروضة على حق إظهار المعتقد بالممارسة ضرورية </w:t>
      </w:r>
      <w:r w:rsidRPr="00A73418">
        <w:rPr>
          <w:rFonts w:hint="cs"/>
          <w:spacing w:val="-3"/>
          <w:rtl/>
          <w:lang w:eastAsia="zh-TW"/>
        </w:rPr>
        <w:t xml:space="preserve">من أجل </w:t>
      </w:r>
      <w:r w:rsidRPr="00A73418">
        <w:rPr>
          <w:spacing w:val="-3"/>
          <w:rtl/>
          <w:lang w:eastAsia="zh-TW"/>
        </w:rPr>
        <w:t>حماية السلامة ا</w:t>
      </w:r>
      <w:r w:rsidR="00AB2BC8" w:rsidRPr="00A73418">
        <w:rPr>
          <w:spacing w:val="-3"/>
          <w:rtl/>
          <w:lang w:eastAsia="zh-TW"/>
        </w:rPr>
        <w:t>لعامة أو النظام أو الصحة أو ا</w:t>
      </w:r>
      <w:r w:rsidR="00AB2BC8" w:rsidRPr="00A73418">
        <w:rPr>
          <w:rFonts w:hint="cs"/>
          <w:spacing w:val="-3"/>
          <w:rtl/>
          <w:lang w:eastAsia="zh-TW"/>
        </w:rPr>
        <w:t xml:space="preserve">لآداب العامة </w:t>
      </w:r>
      <w:r w:rsidRPr="00A73418">
        <w:rPr>
          <w:spacing w:val="-3"/>
          <w:rtl/>
          <w:lang w:eastAsia="zh-TW"/>
        </w:rPr>
        <w:t xml:space="preserve">أو غيرها من حقوق الآخرين وحرياتهم الأساسية، وأن تكون متناسبة مع </w:t>
      </w:r>
      <w:r w:rsidRPr="00A73418">
        <w:rPr>
          <w:rFonts w:hint="cs"/>
          <w:spacing w:val="-3"/>
          <w:rtl/>
          <w:lang w:eastAsia="zh-TW"/>
        </w:rPr>
        <w:t>الحاجة</w:t>
      </w:r>
      <w:r w:rsidRPr="00A73418">
        <w:rPr>
          <w:spacing w:val="-3"/>
          <w:rtl/>
          <w:lang w:eastAsia="zh-TW"/>
        </w:rPr>
        <w:t xml:space="preserve"> المحددة</w:t>
      </w:r>
      <w:r w:rsidRPr="00A73418">
        <w:rPr>
          <w:rFonts w:hint="cs"/>
          <w:spacing w:val="-3"/>
          <w:rtl/>
          <w:lang w:eastAsia="zh-TW"/>
        </w:rPr>
        <w:t xml:space="preserve"> التي جُعلت من أجلها</w:t>
      </w:r>
      <w:r w:rsidRPr="00A73418">
        <w:rPr>
          <w:spacing w:val="-3"/>
          <w:rtl/>
          <w:lang w:eastAsia="zh-TW"/>
        </w:rPr>
        <w:t xml:space="preserve">. </w:t>
      </w:r>
    </w:p>
    <w:p w:rsidR="00ED6DD3" w:rsidRPr="00C762B5" w:rsidRDefault="00ED6DD3" w:rsidP="00AB2BC8">
      <w:pPr>
        <w:pStyle w:val="SingleTxtGA"/>
        <w:rPr>
          <w:rtl/>
          <w:lang w:eastAsia="zh-TW"/>
        </w:rPr>
      </w:pPr>
      <w:r w:rsidRPr="00C762B5">
        <w:rPr>
          <w:rtl/>
          <w:lang w:eastAsia="zh-TW"/>
        </w:rPr>
        <w:t>٣</w:t>
      </w:r>
      <w:r w:rsidRPr="00C762B5">
        <w:rPr>
          <w:rtl/>
        </w:rPr>
        <w:t>-</w:t>
      </w:r>
      <w:r w:rsidR="00AB2BC8">
        <w:rPr>
          <w:rFonts w:hint="cs"/>
          <w:rtl/>
          <w:lang w:eastAsia="zh-TW"/>
        </w:rPr>
        <w:tab/>
      </w:r>
      <w:r w:rsidRPr="00C762B5">
        <w:rPr>
          <w:rtl/>
          <w:lang w:eastAsia="zh-TW"/>
        </w:rPr>
        <w:t xml:space="preserve">ويمثّل رفض حمل جواز سفر برقم هوية شخصي أو تقديمه لدوافع دينية </w:t>
      </w:r>
      <w:r>
        <w:rPr>
          <w:rFonts w:hint="cs"/>
          <w:rtl/>
          <w:lang w:eastAsia="zh-TW"/>
        </w:rPr>
        <w:t>أحد</w:t>
      </w:r>
      <w:r w:rsidRPr="00C762B5">
        <w:rPr>
          <w:rtl/>
          <w:lang w:eastAsia="zh-TW"/>
        </w:rPr>
        <w:t xml:space="preserve"> أشكال إظهار المعتقد الديني </w:t>
      </w:r>
      <w:r>
        <w:rPr>
          <w:rFonts w:hint="cs"/>
          <w:rtl/>
          <w:lang w:eastAsia="zh-TW"/>
        </w:rPr>
        <w:t xml:space="preserve">في </w:t>
      </w:r>
      <w:r>
        <w:rPr>
          <w:rtl/>
          <w:lang w:eastAsia="zh-TW"/>
        </w:rPr>
        <w:t xml:space="preserve">الممارسة </w:t>
      </w:r>
      <w:r>
        <w:rPr>
          <w:rFonts w:hint="cs"/>
          <w:rtl/>
          <w:lang w:eastAsia="zh-TW"/>
        </w:rPr>
        <w:t>شأنه في ذلك شأن</w:t>
      </w:r>
      <w:r w:rsidRPr="00C762B5">
        <w:rPr>
          <w:rtl/>
          <w:lang w:eastAsia="zh-TW"/>
        </w:rPr>
        <w:t xml:space="preserve"> امتثال محظورات دينية أوسع. </w:t>
      </w:r>
    </w:p>
    <w:p w:rsidR="00ED6DD3" w:rsidRPr="00C762B5" w:rsidRDefault="00ED6DD3" w:rsidP="00AB2BC8">
      <w:pPr>
        <w:pStyle w:val="SingleTxtGA"/>
        <w:rPr>
          <w:rtl/>
          <w:lang w:eastAsia="zh-TW"/>
        </w:rPr>
      </w:pPr>
      <w:r w:rsidRPr="00C762B5">
        <w:rPr>
          <w:rtl/>
          <w:lang w:eastAsia="zh-TW"/>
        </w:rPr>
        <w:t>٤</w:t>
      </w:r>
      <w:r w:rsidRPr="00C762B5">
        <w:rPr>
          <w:rtl/>
        </w:rPr>
        <w:t>-</w:t>
      </w:r>
      <w:r w:rsidR="00AB2BC8">
        <w:rPr>
          <w:rFonts w:hint="cs"/>
          <w:rtl/>
          <w:lang w:eastAsia="zh-TW"/>
        </w:rPr>
        <w:tab/>
      </w:r>
      <w:r>
        <w:rPr>
          <w:rFonts w:hint="cs"/>
          <w:rtl/>
          <w:lang w:eastAsia="zh-TW"/>
        </w:rPr>
        <w:t>ولن نستنتج</w:t>
      </w:r>
      <w:r w:rsidRPr="00C762B5">
        <w:rPr>
          <w:rtl/>
          <w:lang w:eastAsia="zh-TW"/>
        </w:rPr>
        <w:t xml:space="preserve"> أن المادة 18 تقتضي من الدولة الطرف تزويد</w:t>
      </w:r>
      <w:r>
        <w:rPr>
          <w:rtl/>
          <w:lang w:eastAsia="zh-TW"/>
        </w:rPr>
        <w:t xml:space="preserve"> صاحبة البلاغ بجواز سفر لا ي</w:t>
      </w:r>
      <w:r>
        <w:rPr>
          <w:rFonts w:hint="cs"/>
          <w:rtl/>
          <w:lang w:eastAsia="zh-TW"/>
        </w:rPr>
        <w:t>حتوي على</w:t>
      </w:r>
      <w:r w:rsidRPr="00C762B5">
        <w:rPr>
          <w:rtl/>
          <w:lang w:eastAsia="zh-TW"/>
        </w:rPr>
        <w:t xml:space="preserve"> رقم هوية شخصي. ويكمن الهدف من إصدار وثائق مثل جوازات السفر </w:t>
      </w:r>
      <w:r>
        <w:rPr>
          <w:rFonts w:hint="cs"/>
          <w:rtl/>
          <w:lang w:eastAsia="zh-TW"/>
        </w:rPr>
        <w:t xml:space="preserve">في </w:t>
      </w:r>
      <w:r w:rsidRPr="00C762B5">
        <w:rPr>
          <w:rtl/>
          <w:lang w:eastAsia="zh-TW"/>
        </w:rPr>
        <w:t>تيسير تحديد هوية الأفراد في سياقات مختلفة. وتثبت التجربة الدولية أن إدراج أرقام محددة للهوية في جوازات السفر يزيد من موثوقيتها وصلاحيتها، وتزيد الحاجة إلى مثل هذه الأرقام في الوثائق الممكن استخدامها</w:t>
      </w:r>
      <w:r>
        <w:rPr>
          <w:rtl/>
          <w:lang w:eastAsia="zh-TW"/>
        </w:rPr>
        <w:t xml:space="preserve"> في ال</w:t>
      </w:r>
      <w:r w:rsidRPr="00C762B5">
        <w:rPr>
          <w:rtl/>
          <w:lang w:eastAsia="zh-TW"/>
        </w:rPr>
        <w:t>سفر الدولي مقارنة بالسفر الداخلي ال</w:t>
      </w:r>
      <w:r>
        <w:rPr>
          <w:rFonts w:hint="cs"/>
          <w:rtl/>
          <w:lang w:eastAsia="zh-TW"/>
        </w:rPr>
        <w:t>ذ</w:t>
      </w:r>
      <w:r w:rsidRPr="00C762B5">
        <w:rPr>
          <w:rtl/>
          <w:lang w:eastAsia="zh-TW"/>
        </w:rPr>
        <w:t xml:space="preserve">ي تستخدم </w:t>
      </w:r>
      <w:r>
        <w:rPr>
          <w:rtl/>
          <w:lang w:eastAsia="zh-TW"/>
        </w:rPr>
        <w:t>فيه</w:t>
      </w:r>
      <w:r w:rsidRPr="00C762B5">
        <w:rPr>
          <w:rtl/>
          <w:lang w:eastAsia="zh-TW"/>
        </w:rPr>
        <w:t xml:space="preserve"> الحكومات أشكال</w:t>
      </w:r>
      <w:r w:rsidR="00AB2BC8">
        <w:rPr>
          <w:rFonts w:hint="cs"/>
          <w:rtl/>
          <w:lang w:eastAsia="zh-TW"/>
        </w:rPr>
        <w:t>اً</w:t>
      </w:r>
      <w:r w:rsidRPr="00C762B5">
        <w:rPr>
          <w:rtl/>
          <w:lang w:eastAsia="zh-TW"/>
        </w:rPr>
        <w:t xml:space="preserve"> أخرى </w:t>
      </w:r>
      <w:r>
        <w:rPr>
          <w:rFonts w:hint="cs"/>
          <w:rtl/>
          <w:lang w:eastAsia="zh-TW"/>
        </w:rPr>
        <w:t>من المعلومات</w:t>
      </w:r>
      <w:r>
        <w:rPr>
          <w:rtl/>
          <w:lang w:eastAsia="zh-TW"/>
        </w:rPr>
        <w:t xml:space="preserve"> </w:t>
      </w:r>
      <w:r>
        <w:rPr>
          <w:rFonts w:hint="cs"/>
          <w:rtl/>
          <w:lang w:eastAsia="zh-TW"/>
        </w:rPr>
        <w:t>فيما يتعلق</w:t>
      </w:r>
      <w:r w:rsidRPr="00C762B5">
        <w:rPr>
          <w:rtl/>
          <w:lang w:eastAsia="zh-TW"/>
        </w:rPr>
        <w:t xml:space="preserve"> </w:t>
      </w:r>
      <w:r>
        <w:rPr>
          <w:rFonts w:hint="cs"/>
          <w:rtl/>
          <w:lang w:eastAsia="zh-TW"/>
        </w:rPr>
        <w:t>ب</w:t>
      </w:r>
      <w:r w:rsidRPr="00C762B5">
        <w:rPr>
          <w:rtl/>
          <w:lang w:eastAsia="zh-TW"/>
        </w:rPr>
        <w:t xml:space="preserve">مواطنيها. وفي ظل هذه الظروف، </w:t>
      </w:r>
      <w:r>
        <w:rPr>
          <w:rFonts w:hint="cs"/>
          <w:rtl/>
          <w:lang w:eastAsia="zh-TW"/>
        </w:rPr>
        <w:t>و</w:t>
      </w:r>
      <w:r w:rsidRPr="00C762B5">
        <w:rPr>
          <w:rtl/>
          <w:lang w:eastAsia="zh-TW"/>
        </w:rPr>
        <w:t>حتى في حال غياب رد من الدولة الطرف، لن نعتبر قرار رفض تزويد صاحب</w:t>
      </w:r>
      <w:r>
        <w:rPr>
          <w:rFonts w:hint="cs"/>
          <w:rtl/>
          <w:lang w:eastAsia="zh-TW"/>
        </w:rPr>
        <w:t>ة</w:t>
      </w:r>
      <w:r>
        <w:rPr>
          <w:rtl/>
          <w:lang w:eastAsia="zh-TW"/>
        </w:rPr>
        <w:t xml:space="preserve"> البلاغ بجواز سفر لا</w:t>
      </w:r>
      <w:r w:rsidR="00AB2BC8">
        <w:rPr>
          <w:rFonts w:hint="cs"/>
          <w:rtl/>
          <w:lang w:eastAsia="zh-TW"/>
        </w:rPr>
        <w:t> </w:t>
      </w:r>
      <w:r>
        <w:rPr>
          <w:rtl/>
          <w:lang w:eastAsia="zh-TW"/>
        </w:rPr>
        <w:t>ي</w:t>
      </w:r>
      <w:r>
        <w:rPr>
          <w:rFonts w:hint="cs"/>
          <w:rtl/>
          <w:lang w:eastAsia="zh-TW"/>
        </w:rPr>
        <w:t>حتوي على</w:t>
      </w:r>
      <w:r w:rsidRPr="00C762B5">
        <w:rPr>
          <w:rtl/>
          <w:lang w:eastAsia="zh-TW"/>
        </w:rPr>
        <w:t xml:space="preserve"> رقم هوية شخصي تقييد</w:t>
      </w:r>
      <w:r w:rsidR="000E1FDE">
        <w:rPr>
          <w:rtl/>
          <w:lang w:eastAsia="zh-TW"/>
        </w:rPr>
        <w:t xml:space="preserve">اً </w:t>
      </w:r>
      <w:r w:rsidRPr="00C762B5">
        <w:rPr>
          <w:rtl/>
          <w:lang w:eastAsia="zh-TW"/>
        </w:rPr>
        <w:t>غير متناسب لحرية صاحبة البلاغ في إظهار دينها أو</w:t>
      </w:r>
      <w:r w:rsidR="00AB2BC8">
        <w:rPr>
          <w:rFonts w:hint="cs"/>
          <w:rtl/>
          <w:lang w:eastAsia="zh-TW"/>
        </w:rPr>
        <w:t> </w:t>
      </w:r>
      <w:r w:rsidRPr="00C762B5">
        <w:rPr>
          <w:rtl/>
          <w:lang w:eastAsia="zh-TW"/>
        </w:rPr>
        <w:t>معتقدها، بل إجراء ضروري</w:t>
      </w:r>
      <w:r w:rsidR="000E1FDE">
        <w:rPr>
          <w:rtl/>
          <w:lang w:eastAsia="zh-TW"/>
        </w:rPr>
        <w:t xml:space="preserve">اً </w:t>
      </w:r>
      <w:r w:rsidRPr="00C762B5">
        <w:rPr>
          <w:rtl/>
          <w:lang w:eastAsia="zh-TW"/>
        </w:rPr>
        <w:t xml:space="preserve">لحماية السلامة والنظام العامين بالمعنى المقصود في الفقرة 3 من المادة 18. </w:t>
      </w:r>
    </w:p>
    <w:p w:rsidR="00ED6DD3" w:rsidRDefault="00ED6DD3" w:rsidP="00AB2BC8">
      <w:pPr>
        <w:pStyle w:val="SingleTxtGA"/>
        <w:rPr>
          <w:rFonts w:hint="cs"/>
          <w:rtl/>
          <w:lang w:eastAsia="zh-TW"/>
        </w:rPr>
      </w:pPr>
      <w:r w:rsidRPr="00C762B5">
        <w:rPr>
          <w:rtl/>
          <w:lang w:eastAsia="zh-TW"/>
        </w:rPr>
        <w:t>٥</w:t>
      </w:r>
      <w:r w:rsidRPr="00C762B5">
        <w:rPr>
          <w:rtl/>
        </w:rPr>
        <w:t>-</w:t>
      </w:r>
      <w:r w:rsidR="00AB2BC8">
        <w:rPr>
          <w:rFonts w:hint="cs"/>
          <w:rtl/>
          <w:lang w:eastAsia="zh-TW"/>
        </w:rPr>
        <w:tab/>
      </w:r>
      <w:r w:rsidRPr="00C762B5">
        <w:rPr>
          <w:rtl/>
          <w:lang w:eastAsia="zh-TW"/>
        </w:rPr>
        <w:t>وفي المقابل، يبدو قرار رفض دفع المعاش التقاعدي لصاحبة البلاغ تدخل</w:t>
      </w:r>
      <w:r w:rsidR="000E1FDE">
        <w:rPr>
          <w:rtl/>
          <w:lang w:eastAsia="zh-TW"/>
        </w:rPr>
        <w:t xml:space="preserve">اً </w:t>
      </w:r>
      <w:r w:rsidRPr="00C762B5">
        <w:rPr>
          <w:rtl/>
          <w:lang w:eastAsia="zh-TW"/>
        </w:rPr>
        <w:t>سافر</w:t>
      </w:r>
      <w:r w:rsidR="000E1FDE">
        <w:rPr>
          <w:rtl/>
          <w:lang w:eastAsia="zh-TW"/>
        </w:rPr>
        <w:t xml:space="preserve">اً </w:t>
      </w:r>
      <w:r w:rsidRPr="00C762B5">
        <w:rPr>
          <w:rtl/>
          <w:lang w:eastAsia="zh-TW"/>
        </w:rPr>
        <w:t xml:space="preserve">في حريتها في إظهار دينها بالممارسة. وقد يكون </w:t>
      </w:r>
      <w:r>
        <w:rPr>
          <w:rtl/>
          <w:lang w:eastAsia="zh-TW"/>
        </w:rPr>
        <w:t xml:space="preserve">من اللازم، لبعض الأغراض، </w:t>
      </w:r>
      <w:r>
        <w:rPr>
          <w:rFonts w:hint="cs"/>
          <w:rtl/>
          <w:lang w:eastAsia="zh-TW"/>
        </w:rPr>
        <w:t xml:space="preserve">تقديم </w:t>
      </w:r>
      <w:r w:rsidRPr="00C762B5">
        <w:rPr>
          <w:rtl/>
          <w:lang w:eastAsia="zh-TW"/>
        </w:rPr>
        <w:t xml:space="preserve">وثائق هوية صالحة </w:t>
      </w:r>
      <w:r>
        <w:rPr>
          <w:rFonts w:hint="cs"/>
          <w:rtl/>
          <w:lang w:eastAsia="zh-TW"/>
        </w:rPr>
        <w:t xml:space="preserve">تحتوي على </w:t>
      </w:r>
      <w:r w:rsidRPr="00C762B5">
        <w:rPr>
          <w:rtl/>
          <w:lang w:eastAsia="zh-TW"/>
        </w:rPr>
        <w:t xml:space="preserve">أرقام هوية شخصية، إلا أن الدولة الطرف اشترطت ههنا من أحد مواطنيها تقديم جواز سفر من نوع جديد للحصول على المعاش التقاعدي بعد بلوغ سن الخامسة والخمسين مع أنه </w:t>
      </w:r>
      <w:r>
        <w:rPr>
          <w:rFonts w:hint="cs"/>
          <w:rtl/>
          <w:lang w:eastAsia="zh-TW"/>
        </w:rPr>
        <w:t xml:space="preserve">كان </w:t>
      </w:r>
      <w:r>
        <w:rPr>
          <w:rtl/>
          <w:lang w:eastAsia="zh-TW"/>
        </w:rPr>
        <w:t xml:space="preserve">يعمل </w:t>
      </w:r>
      <w:r>
        <w:rPr>
          <w:rFonts w:hint="cs"/>
          <w:rtl/>
          <w:lang w:eastAsia="zh-TW"/>
        </w:rPr>
        <w:t>داخل حدودها</w:t>
      </w:r>
      <w:r w:rsidRPr="00C762B5">
        <w:rPr>
          <w:rtl/>
          <w:lang w:eastAsia="zh-TW"/>
        </w:rPr>
        <w:t xml:space="preserve">. ولم يطبق هذا الشرط طيلة </w:t>
      </w:r>
      <w:r>
        <w:rPr>
          <w:rFonts w:hint="cs"/>
          <w:rtl/>
          <w:lang w:eastAsia="zh-TW"/>
        </w:rPr>
        <w:t>الحياة العملية لصاحبة البلاغ تقريب</w:t>
      </w:r>
      <w:r w:rsidR="00645274">
        <w:rPr>
          <w:rFonts w:hint="cs"/>
          <w:rtl/>
          <w:lang w:eastAsia="zh-TW"/>
        </w:rPr>
        <w:t xml:space="preserve">اً. </w:t>
      </w:r>
      <w:r w:rsidRPr="00C762B5">
        <w:rPr>
          <w:rtl/>
          <w:lang w:eastAsia="zh-TW"/>
        </w:rPr>
        <w:t>ولم تقدم المحاكم الوطنية ولا الدولة الطرف في ردها وقائع لتوضيح أسباب اعتبار السبل البديلة التي لجأت إليها صاحب</w:t>
      </w:r>
      <w:r>
        <w:rPr>
          <w:rFonts w:hint="cs"/>
          <w:rtl/>
          <w:lang w:eastAsia="zh-TW"/>
        </w:rPr>
        <w:t>ة</w:t>
      </w:r>
      <w:r w:rsidRPr="00C762B5">
        <w:rPr>
          <w:rtl/>
          <w:lang w:eastAsia="zh-TW"/>
        </w:rPr>
        <w:t xml:space="preserve"> البلاغ لإثبات هويتها غير كافية. وعلاوة على ذلك، تمادت وزارة العمل والحماية الاجتماعية في تجاهل المعتقدات الدينية لصاحبة البلاغ بالتحذير من </w:t>
      </w:r>
      <w:r>
        <w:rPr>
          <w:rFonts w:hint="cs"/>
          <w:rtl/>
          <w:lang w:eastAsia="zh-TW"/>
        </w:rPr>
        <w:t xml:space="preserve">احتمال ألا يدفع لها المعاش التقاعدي بأثر رجعي في </w:t>
      </w:r>
      <w:r w:rsidRPr="00C762B5">
        <w:rPr>
          <w:rtl/>
          <w:lang w:eastAsia="zh-TW"/>
        </w:rPr>
        <w:t>حال قدمت الوثائق المطلوبة لاحق</w:t>
      </w:r>
      <w:r w:rsidR="00645274">
        <w:rPr>
          <w:rtl/>
          <w:lang w:eastAsia="zh-TW"/>
        </w:rPr>
        <w:t xml:space="preserve">اً. </w:t>
      </w:r>
      <w:r w:rsidRPr="00C762B5">
        <w:rPr>
          <w:rtl/>
          <w:lang w:eastAsia="zh-TW"/>
        </w:rPr>
        <w:t xml:space="preserve">وفي ظل هذه الظروف، نخلص إلى أن قرار رفض منحها المعاش التقاعدي لعدم امتلاكها جواز سفر من النوع الجديد انتهك المادة 18 من العهد. </w:t>
      </w:r>
    </w:p>
    <w:p w:rsidR="00AB2BC8" w:rsidRPr="00AB2BC8" w:rsidRDefault="00AB2BC8" w:rsidP="00AB2BC8">
      <w:pPr>
        <w:spacing w:before="120"/>
        <w:jc w:val="center"/>
        <w:rPr>
          <w:rFonts w:hint="cs"/>
          <w:u w:val="single"/>
          <w:rtl/>
          <w:lang w:eastAsia="zh-TW"/>
        </w:rPr>
      </w:pPr>
      <w:r>
        <w:rPr>
          <w:u w:val="single"/>
          <w:rtl/>
          <w:lang w:eastAsia="zh-TW"/>
        </w:rPr>
        <w:tab/>
      </w:r>
      <w:r>
        <w:rPr>
          <w:u w:val="single"/>
          <w:rtl/>
          <w:lang w:eastAsia="zh-TW"/>
        </w:rPr>
        <w:tab/>
      </w:r>
      <w:r>
        <w:rPr>
          <w:u w:val="single"/>
          <w:rtl/>
          <w:lang w:eastAsia="zh-TW"/>
        </w:rPr>
        <w:tab/>
      </w:r>
    </w:p>
    <w:p w:rsidR="00AB2BC8" w:rsidRPr="00C762B5" w:rsidRDefault="00AB2BC8" w:rsidP="00AB2BC8">
      <w:pPr>
        <w:pStyle w:val="SingleTxtGA"/>
        <w:rPr>
          <w:rFonts w:hint="cs"/>
          <w:rtl/>
          <w:lang w:eastAsia="zh-TW"/>
        </w:rPr>
      </w:pPr>
    </w:p>
    <w:p w:rsidR="008B4BC6" w:rsidRPr="00ED6DD3" w:rsidRDefault="008B4BC6" w:rsidP="00561901">
      <w:pPr>
        <w:pStyle w:val="SingleTxtGA"/>
        <w:rPr>
          <w:rFonts w:hint="cs"/>
          <w:rtl/>
        </w:rPr>
      </w:pPr>
    </w:p>
    <w:sectPr w:rsidR="008B4BC6" w:rsidRPr="00ED6DD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73" w:rsidRPr="00FE6865" w:rsidRDefault="008B6A73" w:rsidP="00FE6865">
      <w:pPr>
        <w:pStyle w:val="Footer"/>
      </w:pPr>
    </w:p>
  </w:endnote>
  <w:endnote w:type="continuationSeparator" w:id="0">
    <w:p w:rsidR="008B6A73" w:rsidRDefault="008B6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01" w:rsidRPr="00ED6DD3" w:rsidRDefault="00561901" w:rsidP="00ED6DD3">
    <w:pPr>
      <w:pStyle w:val="Footer"/>
      <w:tabs>
        <w:tab w:val="right" w:pos="9598"/>
      </w:tabs>
    </w:pPr>
    <w:r>
      <w:t>GE.14-14934</w:t>
    </w:r>
    <w:r>
      <w:tab/>
    </w:r>
    <w:r w:rsidRPr="00ED6DD3">
      <w:rPr>
        <w:b/>
        <w:sz w:val="18"/>
      </w:rPr>
      <w:fldChar w:fldCharType="begin"/>
    </w:r>
    <w:r w:rsidRPr="00ED6DD3">
      <w:rPr>
        <w:b/>
        <w:sz w:val="18"/>
      </w:rPr>
      <w:instrText xml:space="preserve"> PAGE  \* MERGEFORMAT </w:instrText>
    </w:r>
    <w:r w:rsidRPr="00ED6DD3">
      <w:rPr>
        <w:b/>
        <w:sz w:val="18"/>
      </w:rPr>
      <w:fldChar w:fldCharType="separate"/>
    </w:r>
    <w:r w:rsidR="00CC3E2B">
      <w:rPr>
        <w:b/>
        <w:noProof/>
        <w:sz w:val="18"/>
      </w:rPr>
      <w:t>4</w:t>
    </w:r>
    <w:r w:rsidRPr="00ED6DD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01" w:rsidRPr="00ED6DD3" w:rsidRDefault="00561901" w:rsidP="00ED6DD3">
    <w:pPr>
      <w:pStyle w:val="Footer"/>
      <w:tabs>
        <w:tab w:val="right" w:pos="9598"/>
      </w:tabs>
      <w:rPr>
        <w:b/>
        <w:sz w:val="18"/>
      </w:rPr>
    </w:pPr>
    <w:r w:rsidRPr="00ED6DD3">
      <w:rPr>
        <w:b/>
        <w:sz w:val="18"/>
      </w:rPr>
      <w:fldChar w:fldCharType="begin"/>
    </w:r>
    <w:r w:rsidRPr="00ED6DD3">
      <w:rPr>
        <w:b/>
        <w:sz w:val="18"/>
      </w:rPr>
      <w:instrText xml:space="preserve"> PAGE  \* MERGEFORMAT </w:instrText>
    </w:r>
    <w:r w:rsidRPr="00ED6DD3">
      <w:rPr>
        <w:b/>
        <w:sz w:val="18"/>
      </w:rPr>
      <w:fldChar w:fldCharType="separate"/>
    </w:r>
    <w:r w:rsidR="00CC3E2B">
      <w:rPr>
        <w:b/>
        <w:noProof/>
        <w:sz w:val="18"/>
      </w:rPr>
      <w:t>3</w:t>
    </w:r>
    <w:r w:rsidRPr="00ED6DD3">
      <w:rPr>
        <w:b/>
        <w:sz w:val="18"/>
      </w:rPr>
      <w:fldChar w:fldCharType="end"/>
    </w:r>
    <w:r>
      <w:rPr>
        <w:b/>
        <w:sz w:val="18"/>
      </w:rPr>
      <w:tab/>
    </w:r>
    <w:r>
      <w:t>GE.14-14934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01" w:rsidRDefault="00561901" w:rsidP="00ED6DD3">
    <w:pPr>
      <w:pStyle w:val="Footer"/>
      <w:jc w:val="right"/>
      <w:rPr>
        <w:rFonts w:hint="cs"/>
      </w:rPr>
    </w:pPr>
    <w:r>
      <w:rPr>
        <w:sz w:val="20"/>
      </w:rPr>
      <w:t>(A)   GE.14-14934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031114    031114</w:t>
    </w:r>
    <w:r w:rsidR="00CC3E2B">
      <w:br/>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sidRPr="00CC3E2B">
      <w:rPr>
        <w:rFonts w:ascii="C39T30Lfz" w:hAnsi="C39T30Lfz"/>
        <w:sz w:val="56"/>
      </w:rPr>
      <w:t></w:t>
    </w:r>
    <w:r w:rsidR="00CC3E2B">
      <w:rPr>
        <w:noProof/>
        <w:lang w:val="en-US"/>
      </w:rPr>
      <w:pict>
        <v:shape id="_x0000_s2054" type="#_x0000_t75" style="position:absolute;left:0;text-align:left;margin-left:.05pt;margin-top:0;width:50.25pt;height:50.25pt;z-index:3;mso-position-horizontal-relative:text;mso-position-vertical-relative:text" o:allowincell="f">
          <v:imagedata r:id="rId2" o:title="2010&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73" w:rsidRDefault="008B6A73" w:rsidP="007E4686">
      <w:pPr>
        <w:pStyle w:val="Footer"/>
        <w:bidi/>
        <w:spacing w:after="80" w:line="200" w:lineRule="exact"/>
        <w:ind w:left="680"/>
      </w:pPr>
      <w:r>
        <w:rPr>
          <w:rFonts w:hint="cs"/>
          <w:rtl/>
        </w:rPr>
        <w:t>__________</w:t>
      </w:r>
    </w:p>
  </w:footnote>
  <w:footnote w:type="continuationSeparator" w:id="0">
    <w:p w:rsidR="008B6A73" w:rsidRDefault="008B6A73" w:rsidP="007E4686">
      <w:pPr>
        <w:pStyle w:val="Footer"/>
        <w:bidi/>
        <w:spacing w:after="80" w:line="200" w:lineRule="exact"/>
        <w:ind w:left="680"/>
      </w:pPr>
      <w:r>
        <w:rPr>
          <w:rFonts w:hint="cs"/>
          <w:rtl/>
        </w:rPr>
        <w:t>__________</w:t>
      </w:r>
    </w:p>
  </w:footnote>
  <w:footnote w:id="1">
    <w:p w:rsidR="00561901" w:rsidRPr="00561901" w:rsidRDefault="00561901" w:rsidP="00A43570">
      <w:pPr>
        <w:pStyle w:val="footnoteText0"/>
        <w:textDirection w:val="tbRlV"/>
        <w:rPr>
          <w:rtl/>
        </w:rPr>
      </w:pPr>
      <w:r w:rsidRPr="00561901">
        <w:rPr>
          <w:rtl/>
          <w:lang w:val="en-GB" w:eastAsia="zh-TW"/>
        </w:rPr>
        <w:tab/>
      </w:r>
      <w:r w:rsidRPr="00561901">
        <w:rPr>
          <w:rStyle w:val="FootnoteReference"/>
          <w:szCs w:val="26"/>
          <w:vertAlign w:val="baseline"/>
          <w:rtl/>
        </w:rPr>
        <w:t>*</w:t>
      </w:r>
      <w:r w:rsidRPr="00561901">
        <w:rPr>
          <w:rtl/>
        </w:rPr>
        <w:tab/>
      </w:r>
      <w:r w:rsidRPr="00561901">
        <w:rPr>
          <w:b/>
          <w:rtl/>
        </w:rPr>
        <w:t>شارك أعضاء اللجنة التالية أسماؤهم في النظر في هذا البلاغ: السيد عياض بن عاشور، والسيد لزهري بوزيد، والسيدة كرستين شانيه، والسيد أحمد أمين فتح الله، والسيد كورنيليس فلينترمان، والسيد يوجي إواساوا، والسيد فالتر كالين، والسيدة زونكي زانيلي ماجودينا، والسيد جيرالد ل.</w:t>
      </w:r>
      <w:r w:rsidR="000E1FDE">
        <w:rPr>
          <w:b/>
          <w:rtl/>
        </w:rPr>
        <w:t xml:space="preserve"> </w:t>
      </w:r>
      <w:r w:rsidRPr="00561901">
        <w:rPr>
          <w:b/>
          <w:rtl/>
        </w:rPr>
        <w:t>نومان، والسير نايجل رودلي، والسيد فكتور مانويل رودريغي</w:t>
      </w:r>
      <w:r w:rsidRPr="00561901">
        <w:rPr>
          <w:rtl/>
        </w:rPr>
        <w:t>س</w:t>
      </w:r>
      <w:r w:rsidR="00645274">
        <w:rPr>
          <w:rFonts w:hint="cs"/>
          <w:rtl/>
        </w:rPr>
        <w:t xml:space="preserve"> </w:t>
      </w:r>
      <w:r w:rsidRPr="00561901">
        <w:rPr>
          <w:b/>
          <w:rtl/>
        </w:rPr>
        <w:t>-</w:t>
      </w:r>
      <w:r w:rsidR="00645274">
        <w:rPr>
          <w:rFonts w:hint="cs"/>
          <w:b/>
          <w:rtl/>
        </w:rPr>
        <w:t xml:space="preserve"> </w:t>
      </w:r>
      <w:r w:rsidRPr="00561901">
        <w:rPr>
          <w:b/>
          <w:rtl/>
        </w:rPr>
        <w:t xml:space="preserve">ريسيا، والسيد فابيان عمر سالفيولي، والسيد ديروجلال ب. سيتولسينغ، والسيدة </w:t>
      </w:r>
      <w:r w:rsidRPr="00561901">
        <w:rPr>
          <w:rtl/>
        </w:rPr>
        <w:t>أنيا</w:t>
      </w:r>
      <w:r w:rsidRPr="00561901">
        <w:rPr>
          <w:b/>
          <w:rtl/>
        </w:rPr>
        <w:t xml:space="preserve"> </w:t>
      </w:r>
      <w:r w:rsidRPr="00561901">
        <w:rPr>
          <w:rtl/>
        </w:rPr>
        <w:t>زايبريت</w:t>
      </w:r>
      <w:r w:rsidR="00BF4114">
        <w:rPr>
          <w:rFonts w:hint="cs"/>
          <w:b/>
          <w:rtl/>
        </w:rPr>
        <w:t xml:space="preserve"> </w:t>
      </w:r>
      <w:r w:rsidRPr="00561901">
        <w:rPr>
          <w:b/>
          <w:rtl/>
        </w:rPr>
        <w:t>-</w:t>
      </w:r>
      <w:r w:rsidR="00BF4114">
        <w:rPr>
          <w:rFonts w:hint="cs"/>
          <w:b/>
          <w:rtl/>
        </w:rPr>
        <w:t xml:space="preserve"> </w:t>
      </w:r>
      <w:r w:rsidRPr="00561901">
        <w:rPr>
          <w:b/>
          <w:rtl/>
        </w:rPr>
        <w:t>فور، والسيد يوفال شاني، والسيد كونستونتين فاردزيلاشفيلي، والسيدة</w:t>
      </w:r>
      <w:r w:rsidR="00A43570">
        <w:rPr>
          <w:rFonts w:hint="cs"/>
          <w:b/>
          <w:rtl/>
        </w:rPr>
        <w:t> </w:t>
      </w:r>
      <w:r w:rsidRPr="00561901">
        <w:rPr>
          <w:b/>
          <w:rtl/>
        </w:rPr>
        <w:t>مارغو واترفال، والسيد أندريه بول زلات</w:t>
      </w:r>
      <w:r w:rsidRPr="00561901">
        <w:rPr>
          <w:rtl/>
        </w:rPr>
        <w:t>ي</w:t>
      </w:r>
      <w:r w:rsidRPr="00561901">
        <w:rPr>
          <w:b/>
          <w:rtl/>
        </w:rPr>
        <w:t xml:space="preserve">سكو. </w:t>
      </w:r>
    </w:p>
  </w:footnote>
  <w:footnote w:id="2">
    <w:p w:rsidR="00561901" w:rsidRPr="00561901" w:rsidRDefault="00561901" w:rsidP="00561901">
      <w:pPr>
        <w:pStyle w:val="FootnoteText"/>
        <w:numPr>
          <w:ilvl w:val="0"/>
          <w:numId w:val="40"/>
        </w:numPr>
        <w:tabs>
          <w:tab w:val="clear" w:pos="1295"/>
        </w:tabs>
        <w:spacing w:after="60" w:line="300" w:lineRule="exact"/>
        <w:ind w:left="1247" w:right="1247"/>
        <w:textDirection w:val="tbRlV"/>
        <w:rPr>
          <w:rFonts w:ascii="Traditional Arabic" w:hAnsi="Traditional Arabic"/>
          <w:sz w:val="18"/>
          <w:szCs w:val="26"/>
          <w:rtl/>
          <w:lang w:val="en-GB" w:eastAsia="zh-TW"/>
        </w:rPr>
      </w:pPr>
      <w:r w:rsidRPr="00561901">
        <w:rPr>
          <w:rFonts w:ascii="Traditional Arabic" w:hAnsi="Traditional Arabic"/>
          <w:sz w:val="18"/>
          <w:szCs w:val="26"/>
          <w:rtl/>
          <w:lang w:val="en-GB" w:eastAsia="zh-TW"/>
        </w:rPr>
        <w:t xml:space="preserve">دخل البروتوكول الاختياري حيز النفاذ بالنسبة إلى الدولة الطرف في 30 كانون الأول/ديسمبر 1992. </w:t>
      </w:r>
    </w:p>
  </w:footnote>
  <w:footnote w:id="3">
    <w:p w:rsidR="00561901" w:rsidRPr="00561901" w:rsidRDefault="00561901" w:rsidP="00561901">
      <w:pPr>
        <w:pStyle w:val="FootnoteText"/>
        <w:numPr>
          <w:ilvl w:val="0"/>
          <w:numId w:val="40"/>
        </w:numPr>
        <w:tabs>
          <w:tab w:val="clear" w:pos="1295"/>
        </w:tabs>
        <w:spacing w:after="60" w:line="300" w:lineRule="exact"/>
        <w:ind w:left="1247" w:right="1247"/>
        <w:textDirection w:val="tbRlV"/>
        <w:rPr>
          <w:rFonts w:ascii="Traditional Arabic" w:hAnsi="Traditional Arabic"/>
          <w:sz w:val="18"/>
          <w:szCs w:val="26"/>
          <w:rtl/>
          <w:lang w:val="en-GB" w:eastAsia="zh-TW"/>
        </w:rPr>
      </w:pPr>
      <w:r w:rsidRPr="00561901">
        <w:rPr>
          <w:rFonts w:ascii="Traditional Arabic" w:hAnsi="Traditional Arabic" w:hint="cs"/>
          <w:sz w:val="18"/>
          <w:szCs w:val="26"/>
          <w:rtl/>
          <w:lang w:val="en-GB" w:eastAsia="zh-TW"/>
        </w:rPr>
        <w:t xml:space="preserve">صدر </w:t>
      </w:r>
      <w:r w:rsidRPr="00561901">
        <w:rPr>
          <w:rFonts w:ascii="Traditional Arabic" w:hAnsi="Traditional Arabic"/>
          <w:sz w:val="18"/>
          <w:szCs w:val="26"/>
          <w:rtl/>
          <w:lang w:val="en-GB" w:eastAsia="zh-TW"/>
        </w:rPr>
        <w:t>جواز سفر السيدة ياتشنيك</w:t>
      </w:r>
      <w:r w:rsidRPr="00561901">
        <w:rPr>
          <w:rFonts w:ascii="Traditional Arabic" w:hAnsi="Traditional Arabic" w:hint="cs"/>
          <w:sz w:val="18"/>
          <w:szCs w:val="26"/>
          <w:rtl/>
          <w:lang w:val="en-GB" w:eastAsia="zh-TW"/>
        </w:rPr>
        <w:t>، في صيغته القديمة،</w:t>
      </w:r>
      <w:r w:rsidRPr="00561901">
        <w:rPr>
          <w:rFonts w:ascii="Traditional Arabic" w:hAnsi="Traditional Arabic"/>
          <w:sz w:val="18"/>
          <w:szCs w:val="26"/>
          <w:rtl/>
          <w:lang w:val="en-GB" w:eastAsia="zh-TW"/>
        </w:rPr>
        <w:t xml:space="preserve"> في 27 آذار/مارس 1977. </w:t>
      </w:r>
    </w:p>
  </w:footnote>
  <w:footnote w:id="4">
    <w:p w:rsidR="00561901" w:rsidRPr="00561901" w:rsidRDefault="00561901" w:rsidP="00561901">
      <w:pPr>
        <w:pStyle w:val="FootnoteText"/>
        <w:numPr>
          <w:ilvl w:val="0"/>
          <w:numId w:val="40"/>
        </w:numPr>
        <w:tabs>
          <w:tab w:val="clear" w:pos="1295"/>
        </w:tabs>
        <w:spacing w:after="60" w:line="300" w:lineRule="exact"/>
        <w:ind w:left="1247" w:right="1247"/>
        <w:textDirection w:val="tbRlV"/>
        <w:rPr>
          <w:rFonts w:ascii="Traditional Arabic" w:hAnsi="Traditional Arabic"/>
          <w:sz w:val="18"/>
          <w:szCs w:val="26"/>
          <w:rtl/>
          <w:lang w:val="en-GB" w:eastAsia="zh-TW"/>
        </w:rPr>
      </w:pPr>
      <w:r w:rsidRPr="00561901">
        <w:rPr>
          <w:rFonts w:ascii="Traditional Arabic" w:hAnsi="Traditional Arabic"/>
          <w:sz w:val="18"/>
          <w:szCs w:val="26"/>
          <w:rtl/>
          <w:lang w:val="en-GB" w:eastAsia="zh-TW"/>
        </w:rPr>
        <w:t>اعتمدت اللائحة رقم 44 المعنونة "أمر بشأن تقديم وتسجيل الوثائق اللازمة لمنح معاش تقاعدي"، وفقا</w:t>
      </w:r>
      <w:r w:rsidR="00F63C67">
        <w:rPr>
          <w:rFonts w:ascii="Traditional Arabic" w:hAnsi="Traditional Arabic" w:hint="cs"/>
          <w:sz w:val="18"/>
          <w:szCs w:val="26"/>
          <w:rtl/>
          <w:lang w:val="en-GB" w:eastAsia="zh-TW"/>
        </w:rPr>
        <w:t>ً</w:t>
      </w:r>
      <w:r w:rsidRPr="00561901">
        <w:rPr>
          <w:rFonts w:ascii="Traditional Arabic" w:hAnsi="Traditional Arabic"/>
          <w:sz w:val="18"/>
          <w:szCs w:val="26"/>
          <w:rtl/>
          <w:lang w:val="en-GB" w:eastAsia="zh-TW"/>
        </w:rPr>
        <w:t xml:space="preserve"> لقانون المعاشات التقاعدية.</w:t>
      </w:r>
      <w:r w:rsidRPr="00561901">
        <w:rPr>
          <w:rFonts w:ascii="Traditional Arabic" w:hAnsi="Traditional Arabic"/>
          <w:sz w:val="18"/>
          <w:szCs w:val="26"/>
          <w:lang w:val="en-GB" w:eastAsia="zh-TW"/>
        </w:rPr>
        <w:t xml:space="preserve"> </w:t>
      </w:r>
    </w:p>
  </w:footnote>
  <w:footnote w:id="5">
    <w:p w:rsidR="0056419E" w:rsidRPr="00561901" w:rsidRDefault="0056419E" w:rsidP="004D45E0">
      <w:pPr>
        <w:pStyle w:val="FootnoteText"/>
        <w:numPr>
          <w:ilvl w:val="0"/>
          <w:numId w:val="40"/>
        </w:numPr>
        <w:tabs>
          <w:tab w:val="clear" w:pos="1295"/>
        </w:tabs>
        <w:spacing w:after="60" w:line="300" w:lineRule="exact"/>
        <w:ind w:left="1248" w:right="1247"/>
        <w:textDirection w:val="tbRlV"/>
        <w:rPr>
          <w:rFonts w:ascii="Traditional Arabic" w:hAnsi="Traditional Arabic"/>
          <w:sz w:val="18"/>
          <w:szCs w:val="26"/>
          <w:rtl/>
          <w:lang w:val="en-GB" w:eastAsia="zh-TW"/>
        </w:rPr>
      </w:pPr>
      <w:r w:rsidRPr="00561901">
        <w:rPr>
          <w:rFonts w:ascii="Traditional Arabic" w:hAnsi="Traditional Arabic"/>
          <w:sz w:val="18"/>
          <w:szCs w:val="26"/>
          <w:rtl/>
          <w:lang w:val="en-GB" w:eastAsia="zh-TW"/>
        </w:rPr>
        <w:t>في هذه الرسالة، أبلغت المحكمة الدستورية لبيلاروس أيضا</w:t>
      </w:r>
      <w:r w:rsidR="003B4791">
        <w:rPr>
          <w:rFonts w:ascii="Traditional Arabic" w:hAnsi="Traditional Arabic" w:hint="cs"/>
          <w:sz w:val="18"/>
          <w:szCs w:val="26"/>
          <w:rtl/>
          <w:lang w:val="en-GB" w:eastAsia="zh-TW"/>
        </w:rPr>
        <w:t>ً</w:t>
      </w:r>
      <w:r w:rsidRPr="00561901">
        <w:rPr>
          <w:rFonts w:ascii="Traditional Arabic" w:hAnsi="Traditional Arabic"/>
          <w:sz w:val="18"/>
          <w:szCs w:val="26"/>
          <w:rtl/>
          <w:lang w:val="en-GB" w:eastAsia="zh-TW"/>
        </w:rPr>
        <w:t xml:space="preserve"> وزارة العمل والحماية الاجتماعية أن اللائحة رق</w:t>
      </w:r>
      <w:r w:rsidRPr="00561901">
        <w:rPr>
          <w:rFonts w:ascii="Traditional Arabic" w:hAnsi="Traditional Arabic" w:hint="cs"/>
          <w:sz w:val="18"/>
          <w:szCs w:val="26"/>
          <w:rtl/>
          <w:lang w:val="en-GB" w:eastAsia="zh-TW"/>
        </w:rPr>
        <w:t>م</w:t>
      </w:r>
      <w:r w:rsidR="0014565C">
        <w:rPr>
          <w:rFonts w:ascii="Traditional Arabic" w:hAnsi="Traditional Arabic" w:hint="eastAsia"/>
          <w:sz w:val="18"/>
          <w:szCs w:val="26"/>
          <w:rtl/>
          <w:lang w:val="en-GB" w:eastAsia="zh-TW"/>
        </w:rPr>
        <w:t> </w:t>
      </w:r>
      <w:r w:rsidR="0014565C">
        <w:rPr>
          <w:rFonts w:ascii="Traditional Arabic" w:hAnsi="Traditional Arabic" w:hint="cs"/>
          <w:sz w:val="18"/>
          <w:szCs w:val="26"/>
          <w:rtl/>
          <w:lang w:val="en-GB" w:eastAsia="zh-TW"/>
        </w:rPr>
        <w:t>44</w:t>
      </w:r>
      <w:r w:rsidRPr="00561901">
        <w:rPr>
          <w:rFonts w:ascii="Traditional Arabic" w:hAnsi="Traditional Arabic"/>
          <w:sz w:val="18"/>
          <w:szCs w:val="26"/>
          <w:rtl/>
          <w:lang w:val="en-GB" w:eastAsia="zh-TW"/>
        </w:rPr>
        <w:t xml:space="preserve">، التي اعتمدتها الوزارة </w:t>
      </w:r>
      <w:r w:rsidRPr="00561901">
        <w:rPr>
          <w:rFonts w:ascii="Traditional Arabic" w:hAnsi="Traditional Arabic" w:hint="cs"/>
          <w:sz w:val="18"/>
          <w:szCs w:val="26"/>
          <w:rtl/>
          <w:lang w:val="en-GB" w:eastAsia="zh-TW"/>
        </w:rPr>
        <w:t>ذات</w:t>
      </w:r>
      <w:r w:rsidRPr="00561901">
        <w:rPr>
          <w:rFonts w:ascii="Traditional Arabic" w:hAnsi="Traditional Arabic"/>
          <w:sz w:val="18"/>
          <w:szCs w:val="26"/>
          <w:rtl/>
          <w:lang w:val="en-GB" w:eastAsia="zh-TW"/>
        </w:rPr>
        <w:t>ها، تسمح لمقدمي طلبات المعاش التقاعدي الاستعاضة عن جوازات السفر المفقودة برسالة من وزارة الشؤون الداخلية تؤكد هوية مقدمي الطلبات</w:t>
      </w:r>
      <w:r w:rsidR="003B4791">
        <w:rPr>
          <w:rFonts w:ascii="Traditional Arabic" w:hAnsi="Traditional Arabic" w:hint="cs"/>
          <w:sz w:val="18"/>
          <w:szCs w:val="26"/>
          <w:rtl/>
          <w:lang w:val="en-GB" w:eastAsia="zh-TW"/>
        </w:rPr>
        <w:t xml:space="preserve">. </w:t>
      </w:r>
      <w:r w:rsidRPr="00561901">
        <w:rPr>
          <w:rFonts w:ascii="Traditional Arabic" w:hAnsi="Traditional Arabic"/>
          <w:sz w:val="18"/>
          <w:szCs w:val="26"/>
          <w:rtl/>
          <w:lang w:val="en-GB" w:eastAsia="zh-TW"/>
        </w:rPr>
        <w:t>واستشهدت المحكمة الدستورية أيضا</w:t>
      </w:r>
      <w:r w:rsidR="003B4791">
        <w:rPr>
          <w:rFonts w:ascii="Traditional Arabic" w:hAnsi="Traditional Arabic" w:hint="cs"/>
          <w:sz w:val="18"/>
          <w:szCs w:val="26"/>
          <w:rtl/>
          <w:lang w:val="en-GB" w:eastAsia="zh-TW"/>
        </w:rPr>
        <w:t>ً</w:t>
      </w:r>
      <w:r w:rsidRPr="00561901">
        <w:rPr>
          <w:rFonts w:ascii="Traditional Arabic" w:hAnsi="Traditional Arabic"/>
          <w:sz w:val="18"/>
          <w:szCs w:val="26"/>
          <w:rtl/>
          <w:lang w:val="en-GB" w:eastAsia="zh-TW"/>
        </w:rPr>
        <w:t xml:space="preserve"> بقرار اللجنة المركزية للانتخابات في بيلاروس الذي يجيز قبول</w:t>
      </w:r>
      <w:r w:rsidR="003B4791">
        <w:rPr>
          <w:rFonts w:ascii="Traditional Arabic" w:hAnsi="Traditional Arabic" w:hint="cs"/>
          <w:sz w:val="18"/>
          <w:szCs w:val="26"/>
          <w:rtl/>
          <w:lang w:val="en-GB" w:eastAsia="zh-TW"/>
        </w:rPr>
        <w:t xml:space="preserve"> "</w:t>
      </w:r>
      <w:r w:rsidRPr="00561901">
        <w:rPr>
          <w:rFonts w:ascii="Traditional Arabic" w:hAnsi="Traditional Arabic"/>
          <w:sz w:val="18"/>
          <w:szCs w:val="26"/>
          <w:rtl/>
          <w:lang w:val="en-GB" w:eastAsia="zh-TW"/>
        </w:rPr>
        <w:t>جوازات السفر القديمة</w:t>
      </w:r>
      <w:r w:rsidR="003B4791">
        <w:rPr>
          <w:rFonts w:ascii="Traditional Arabic" w:hAnsi="Traditional Arabic" w:hint="cs"/>
          <w:sz w:val="18"/>
          <w:szCs w:val="26"/>
          <w:rtl/>
          <w:lang w:val="en-GB" w:eastAsia="zh-TW"/>
        </w:rPr>
        <w:t xml:space="preserve">" </w:t>
      </w:r>
      <w:r w:rsidRPr="00561901">
        <w:rPr>
          <w:rFonts w:ascii="Traditional Arabic" w:hAnsi="Traditional Arabic"/>
          <w:sz w:val="18"/>
          <w:szCs w:val="26"/>
          <w:rtl/>
          <w:lang w:val="en-GB" w:eastAsia="zh-TW"/>
        </w:rPr>
        <w:t xml:space="preserve">كوثائق هوية </w:t>
      </w:r>
      <w:r w:rsidRPr="00561901">
        <w:rPr>
          <w:rFonts w:ascii="Traditional Arabic" w:hAnsi="Traditional Arabic" w:hint="cs"/>
          <w:sz w:val="18"/>
          <w:szCs w:val="26"/>
          <w:rtl/>
          <w:lang w:val="en-GB" w:eastAsia="zh-TW"/>
        </w:rPr>
        <w:t>عند ممارسة حق</w:t>
      </w:r>
      <w:r w:rsidRPr="00561901">
        <w:rPr>
          <w:rFonts w:ascii="Traditional Arabic" w:hAnsi="Traditional Arabic"/>
          <w:sz w:val="18"/>
          <w:szCs w:val="26"/>
          <w:rtl/>
          <w:lang w:val="en-GB" w:eastAsia="zh-TW"/>
        </w:rPr>
        <w:t xml:space="preserve"> التصويت</w:t>
      </w:r>
      <w:r w:rsidR="003B4791">
        <w:rPr>
          <w:rFonts w:ascii="Traditional Arabic" w:hAnsi="Traditional Arabic" w:hint="cs"/>
          <w:sz w:val="18"/>
          <w:szCs w:val="26"/>
          <w:rtl/>
          <w:lang w:val="en-GB" w:eastAsia="zh-TW"/>
        </w:rPr>
        <w:t>.</w:t>
      </w:r>
      <w:r w:rsidR="000E1FDE">
        <w:rPr>
          <w:rFonts w:ascii="Traditional Arabic" w:hAnsi="Traditional Arabic"/>
          <w:sz w:val="18"/>
          <w:szCs w:val="26"/>
          <w:rtl/>
          <w:lang w:val="en-GB" w:eastAsia="zh-TW"/>
        </w:rPr>
        <w:t xml:space="preserve"> </w:t>
      </w:r>
      <w:r w:rsidRPr="00561901">
        <w:rPr>
          <w:rFonts w:ascii="Traditional Arabic" w:hAnsi="Traditional Arabic"/>
          <w:sz w:val="18"/>
          <w:szCs w:val="26"/>
          <w:rtl/>
          <w:lang w:val="en-GB" w:eastAsia="zh-TW"/>
        </w:rPr>
        <w:t>وذكرت المحكمة الدستورية في تلك الرسالة أيضا</w:t>
      </w:r>
      <w:r w:rsidR="003B4791">
        <w:rPr>
          <w:rFonts w:ascii="Traditional Arabic" w:hAnsi="Traditional Arabic" w:hint="cs"/>
          <w:sz w:val="18"/>
          <w:szCs w:val="26"/>
          <w:rtl/>
          <w:lang w:val="en-GB" w:eastAsia="zh-TW"/>
        </w:rPr>
        <w:t>ً</w:t>
      </w:r>
      <w:r w:rsidRPr="00561901">
        <w:rPr>
          <w:rFonts w:ascii="Traditional Arabic" w:hAnsi="Traditional Arabic"/>
          <w:sz w:val="18"/>
          <w:szCs w:val="26"/>
          <w:rtl/>
          <w:lang w:val="en-GB" w:eastAsia="zh-TW"/>
        </w:rPr>
        <w:t xml:space="preserve"> أن وزارة النقل في جمهورية بيلاروس تسمح بالسفر على متن القطارات بوثائق أخرى غير جواز السفر، مثل</w:t>
      </w:r>
      <w:r w:rsidR="003B4791">
        <w:rPr>
          <w:rFonts w:ascii="Traditional Arabic" w:hAnsi="Traditional Arabic" w:hint="cs"/>
          <w:sz w:val="18"/>
          <w:szCs w:val="26"/>
          <w:rtl/>
          <w:lang w:val="en-GB" w:eastAsia="zh-TW"/>
        </w:rPr>
        <w:t xml:space="preserve"> "</w:t>
      </w:r>
      <w:r w:rsidRPr="00561901">
        <w:rPr>
          <w:rFonts w:ascii="Traditional Arabic" w:hAnsi="Traditional Arabic" w:hint="cs"/>
          <w:sz w:val="18"/>
          <w:szCs w:val="26"/>
          <w:rtl/>
          <w:lang w:val="en-GB" w:eastAsia="zh-TW"/>
        </w:rPr>
        <w:t>وثيقة هوية مهنية عليها</w:t>
      </w:r>
      <w:r w:rsidRPr="00561901">
        <w:rPr>
          <w:rFonts w:ascii="Traditional Arabic" w:hAnsi="Traditional Arabic"/>
          <w:sz w:val="18"/>
          <w:szCs w:val="26"/>
          <w:rtl/>
          <w:lang w:val="en-GB" w:eastAsia="zh-TW"/>
        </w:rPr>
        <w:t xml:space="preserve"> صورة وختم، </w:t>
      </w:r>
      <w:r w:rsidRPr="00561901">
        <w:rPr>
          <w:rFonts w:ascii="Traditional Arabic" w:hAnsi="Traditional Arabic" w:hint="cs"/>
          <w:sz w:val="18"/>
          <w:szCs w:val="26"/>
          <w:rtl/>
          <w:lang w:val="en-GB" w:eastAsia="zh-TW"/>
        </w:rPr>
        <w:t>أ</w:t>
      </w:r>
      <w:r w:rsidRPr="00561901">
        <w:rPr>
          <w:rFonts w:ascii="Traditional Arabic" w:hAnsi="Traditional Arabic"/>
          <w:sz w:val="18"/>
          <w:szCs w:val="26"/>
          <w:rtl/>
          <w:lang w:val="en-GB" w:eastAsia="zh-TW"/>
        </w:rPr>
        <w:t>و</w:t>
      </w:r>
      <w:r w:rsidRPr="00561901">
        <w:rPr>
          <w:rFonts w:ascii="Traditional Arabic" w:hAnsi="Traditional Arabic" w:hint="cs"/>
          <w:sz w:val="18"/>
          <w:szCs w:val="26"/>
          <w:rtl/>
          <w:lang w:val="en-GB" w:eastAsia="zh-TW"/>
        </w:rPr>
        <w:t xml:space="preserve"> </w:t>
      </w:r>
      <w:r w:rsidRPr="00561901">
        <w:rPr>
          <w:rFonts w:ascii="Traditional Arabic" w:hAnsi="Traditional Arabic"/>
          <w:sz w:val="18"/>
          <w:szCs w:val="26"/>
          <w:rtl/>
          <w:lang w:val="en-GB" w:eastAsia="zh-TW"/>
        </w:rPr>
        <w:t>وث</w:t>
      </w:r>
      <w:r w:rsidRPr="00561901">
        <w:rPr>
          <w:rFonts w:ascii="Traditional Arabic" w:hAnsi="Traditional Arabic" w:hint="cs"/>
          <w:sz w:val="18"/>
          <w:szCs w:val="26"/>
          <w:rtl/>
          <w:lang w:val="en-GB" w:eastAsia="zh-TW"/>
        </w:rPr>
        <w:t>ائق هوية</w:t>
      </w:r>
      <w:r w:rsidRPr="00561901">
        <w:rPr>
          <w:rFonts w:ascii="Traditional Arabic" w:hAnsi="Traditional Arabic"/>
          <w:sz w:val="18"/>
          <w:szCs w:val="26"/>
          <w:rtl/>
          <w:lang w:val="en-GB" w:eastAsia="zh-TW"/>
        </w:rPr>
        <w:t xml:space="preserve"> عسكرية</w:t>
      </w:r>
      <w:r w:rsidR="003B4791">
        <w:rPr>
          <w:rFonts w:ascii="Traditional Arabic" w:hAnsi="Traditional Arabic" w:hint="cs"/>
          <w:sz w:val="18"/>
          <w:szCs w:val="26"/>
          <w:rtl/>
          <w:lang w:val="en-GB" w:eastAsia="zh-TW"/>
        </w:rPr>
        <w:t xml:space="preserve">". </w:t>
      </w:r>
      <w:r w:rsidRPr="00561901">
        <w:rPr>
          <w:rFonts w:ascii="Traditional Arabic" w:hAnsi="Traditional Arabic"/>
          <w:sz w:val="18"/>
          <w:szCs w:val="26"/>
          <w:rtl/>
          <w:lang w:val="en-GB" w:eastAsia="zh-TW"/>
        </w:rPr>
        <w:t xml:space="preserve">وذكرت المحكمة الدستورية أن </w:t>
      </w:r>
      <w:r w:rsidRPr="00561901">
        <w:rPr>
          <w:rFonts w:ascii="Traditional Arabic" w:hAnsi="Traditional Arabic" w:hint="cs"/>
          <w:sz w:val="18"/>
          <w:szCs w:val="26"/>
          <w:rtl/>
          <w:lang w:val="en-GB" w:eastAsia="zh-TW"/>
        </w:rPr>
        <w:t>عدم وجود</w:t>
      </w:r>
      <w:r w:rsidRPr="00561901">
        <w:rPr>
          <w:rFonts w:ascii="Traditional Arabic" w:hAnsi="Traditional Arabic"/>
          <w:sz w:val="18"/>
          <w:szCs w:val="26"/>
          <w:rtl/>
          <w:lang w:val="en-GB" w:eastAsia="zh-TW"/>
        </w:rPr>
        <w:t xml:space="preserve"> جوازات سفر </w:t>
      </w:r>
      <w:r w:rsidRPr="00561901">
        <w:rPr>
          <w:rFonts w:ascii="Traditional Arabic" w:hAnsi="Traditional Arabic" w:hint="cs"/>
          <w:sz w:val="18"/>
          <w:szCs w:val="26"/>
          <w:rtl/>
          <w:lang w:val="en-GB" w:eastAsia="zh-TW"/>
        </w:rPr>
        <w:t>صالحة</w:t>
      </w:r>
      <w:r w:rsidRPr="00561901">
        <w:rPr>
          <w:rFonts w:ascii="Traditional Arabic" w:hAnsi="Traditional Arabic"/>
          <w:sz w:val="18"/>
          <w:szCs w:val="26"/>
          <w:rtl/>
          <w:lang w:val="en-GB" w:eastAsia="zh-TW"/>
        </w:rPr>
        <w:t xml:space="preserve"> ل</w:t>
      </w:r>
      <w:r w:rsidRPr="00561901">
        <w:rPr>
          <w:rFonts w:ascii="Traditional Arabic" w:hAnsi="Traditional Arabic" w:hint="cs"/>
          <w:sz w:val="18"/>
          <w:szCs w:val="26"/>
          <w:rtl/>
          <w:lang w:val="en-GB" w:eastAsia="zh-TW"/>
        </w:rPr>
        <w:t>م</w:t>
      </w:r>
      <w:r w:rsidRPr="00561901">
        <w:rPr>
          <w:rFonts w:ascii="Traditional Arabic" w:hAnsi="Traditional Arabic"/>
          <w:sz w:val="18"/>
          <w:szCs w:val="26"/>
          <w:rtl/>
          <w:lang w:val="en-GB" w:eastAsia="zh-TW"/>
        </w:rPr>
        <w:t xml:space="preserve"> ي</w:t>
      </w:r>
      <w:r w:rsidRPr="00561901">
        <w:rPr>
          <w:rFonts w:ascii="Traditional Arabic" w:hAnsi="Traditional Arabic" w:hint="cs"/>
          <w:sz w:val="18"/>
          <w:szCs w:val="26"/>
          <w:rtl/>
          <w:lang w:val="en-GB" w:eastAsia="zh-TW"/>
        </w:rPr>
        <w:t>كن يمنع</w:t>
      </w:r>
      <w:r w:rsidRPr="00561901">
        <w:rPr>
          <w:rFonts w:ascii="Traditional Arabic" w:hAnsi="Traditional Arabic"/>
          <w:sz w:val="18"/>
          <w:szCs w:val="26"/>
          <w:rtl/>
          <w:lang w:val="en-GB" w:eastAsia="zh-TW"/>
        </w:rPr>
        <w:t xml:space="preserve"> أصحاب </w:t>
      </w:r>
      <w:r w:rsidRPr="00561901">
        <w:rPr>
          <w:rFonts w:ascii="Traditional Arabic" w:hAnsi="Traditional Arabic" w:hint="cs"/>
          <w:sz w:val="18"/>
          <w:szCs w:val="26"/>
          <w:rtl/>
          <w:lang w:val="en-GB" w:eastAsia="zh-TW"/>
        </w:rPr>
        <w:t>العمل</w:t>
      </w:r>
      <w:r w:rsidRPr="00561901">
        <w:rPr>
          <w:rFonts w:ascii="Traditional Arabic" w:hAnsi="Traditional Arabic"/>
          <w:sz w:val="18"/>
          <w:szCs w:val="26"/>
          <w:rtl/>
          <w:lang w:val="en-GB" w:eastAsia="zh-TW"/>
        </w:rPr>
        <w:t xml:space="preserve"> من اقتطاع ضريبة الدخل من مرتبات</w:t>
      </w:r>
      <w:r w:rsidRPr="00561901">
        <w:rPr>
          <w:rFonts w:ascii="Traditional Arabic" w:hAnsi="Traditional Arabic" w:hint="cs"/>
          <w:sz w:val="18"/>
          <w:szCs w:val="26"/>
          <w:rtl/>
          <w:lang w:val="en-GB" w:eastAsia="zh-TW"/>
        </w:rPr>
        <w:t xml:space="preserve"> عمالهم.</w:t>
      </w:r>
      <w:r w:rsidRPr="00561901">
        <w:rPr>
          <w:rFonts w:ascii="Traditional Arabic" w:hAnsi="Traditional Arabic"/>
          <w:sz w:val="18"/>
          <w:szCs w:val="26"/>
          <w:lang w:val="en-GB" w:eastAsia="zh-TW"/>
        </w:rPr>
        <w:t xml:space="preserve"> </w:t>
      </w:r>
    </w:p>
  </w:footnote>
  <w:footnote w:id="6">
    <w:p w:rsidR="00561901" w:rsidRPr="00561901" w:rsidRDefault="00561901" w:rsidP="00561901">
      <w:pPr>
        <w:pStyle w:val="FootnoteText"/>
        <w:numPr>
          <w:ilvl w:val="0"/>
          <w:numId w:val="40"/>
        </w:numPr>
        <w:tabs>
          <w:tab w:val="clear" w:pos="1295"/>
        </w:tabs>
        <w:spacing w:after="60" w:line="300" w:lineRule="exact"/>
        <w:ind w:left="1247" w:right="1247"/>
        <w:textDirection w:val="tbRlV"/>
        <w:rPr>
          <w:rFonts w:ascii="Traditional Arabic" w:hAnsi="Traditional Arabic"/>
          <w:sz w:val="18"/>
          <w:szCs w:val="26"/>
          <w:rtl/>
          <w:lang w:val="en-GB" w:eastAsia="zh-TW"/>
        </w:rPr>
      </w:pPr>
      <w:r w:rsidRPr="00561901">
        <w:rPr>
          <w:rFonts w:ascii="Traditional Arabic" w:eastAsia="SimSun" w:hAnsi="Traditional Arabic"/>
          <w:sz w:val="18"/>
          <w:szCs w:val="26"/>
          <w:rtl/>
          <w:lang w:val="en-GB" w:eastAsia="zh-TW"/>
        </w:rPr>
        <w:t>انظر</w:t>
      </w:r>
      <w:r w:rsidR="0041538C">
        <w:rPr>
          <w:rFonts w:ascii="Traditional Arabic" w:eastAsia="SimSun" w:hAnsi="Traditional Arabic" w:hint="cs"/>
          <w:sz w:val="18"/>
          <w:szCs w:val="26"/>
          <w:rtl/>
          <w:lang w:val="en-GB" w:eastAsia="zh-TW"/>
        </w:rPr>
        <w:t>،</w:t>
      </w:r>
      <w:r w:rsidRPr="00561901">
        <w:rPr>
          <w:rFonts w:ascii="Traditional Arabic" w:eastAsia="SimSun" w:hAnsi="Traditional Arabic"/>
          <w:sz w:val="18"/>
          <w:szCs w:val="26"/>
          <w:rtl/>
          <w:lang w:val="en-GB" w:eastAsia="zh-TW"/>
        </w:rPr>
        <w:t xml:space="preserve"> على سبيل المثال</w:t>
      </w:r>
      <w:r w:rsidR="0041538C">
        <w:rPr>
          <w:rFonts w:ascii="Traditional Arabic" w:eastAsia="SimSun" w:hAnsi="Traditional Arabic" w:hint="cs"/>
          <w:sz w:val="18"/>
          <w:szCs w:val="26"/>
          <w:rtl/>
          <w:lang w:val="en-GB" w:eastAsia="zh-TW"/>
        </w:rPr>
        <w:t>،</w:t>
      </w:r>
      <w:r w:rsidRPr="00561901">
        <w:rPr>
          <w:rFonts w:ascii="Traditional Arabic" w:eastAsia="SimSun" w:hAnsi="Traditional Arabic"/>
          <w:sz w:val="18"/>
          <w:szCs w:val="26"/>
          <w:rtl/>
          <w:lang w:val="en-GB" w:eastAsia="zh-TW"/>
        </w:rPr>
        <w:t xml:space="preserve"> البلاغ رقم 869/1999، </w:t>
      </w:r>
      <w:r w:rsidRPr="0041538C">
        <w:rPr>
          <w:rFonts w:ascii="Traditional Arabic" w:eastAsia="SimSun" w:hAnsi="Traditional Arabic"/>
          <w:i/>
          <w:iCs/>
          <w:sz w:val="18"/>
          <w:szCs w:val="26"/>
          <w:rtl/>
          <w:lang w:val="en-GB" w:eastAsia="zh-TW"/>
        </w:rPr>
        <w:t>بيانديونغ وآخرون ضد الفلبين</w:t>
      </w:r>
      <w:r w:rsidRPr="00561901">
        <w:rPr>
          <w:rFonts w:ascii="Traditional Arabic" w:eastAsia="SimSun" w:hAnsi="Traditional Arabic"/>
          <w:sz w:val="18"/>
          <w:szCs w:val="26"/>
          <w:rtl/>
          <w:lang w:val="en-GB" w:eastAsia="zh-TW"/>
        </w:rPr>
        <w:t xml:space="preserve">، الآراء المعتمدة في 19 تشرين الأول/أكتوبر 2000، الفقرة 5-1. </w:t>
      </w:r>
    </w:p>
  </w:footnote>
  <w:footnote w:id="7">
    <w:p w:rsidR="00561901" w:rsidRPr="00561901" w:rsidRDefault="00561901" w:rsidP="00561901">
      <w:pPr>
        <w:pStyle w:val="FootnoteText"/>
        <w:numPr>
          <w:ilvl w:val="0"/>
          <w:numId w:val="40"/>
        </w:numPr>
        <w:tabs>
          <w:tab w:val="clear" w:pos="1295"/>
        </w:tabs>
        <w:spacing w:after="60" w:line="300" w:lineRule="exact"/>
        <w:ind w:left="1247" w:right="1247"/>
        <w:textDirection w:val="tbRlV"/>
        <w:rPr>
          <w:rFonts w:ascii="Traditional Arabic" w:hAnsi="Traditional Arabic"/>
          <w:sz w:val="18"/>
          <w:szCs w:val="26"/>
          <w:rtl/>
          <w:lang w:val="en-GB" w:eastAsia="zh-TW"/>
        </w:rPr>
      </w:pPr>
      <w:r w:rsidRPr="00561901">
        <w:rPr>
          <w:rFonts w:ascii="Traditional Arabic" w:eastAsia="SimSun" w:hAnsi="Traditional Arabic"/>
          <w:spacing w:val="-2"/>
          <w:sz w:val="18"/>
          <w:szCs w:val="26"/>
          <w:rtl/>
          <w:lang w:val="en-GB" w:eastAsia="zh-TW"/>
        </w:rPr>
        <w:t>انظر</w:t>
      </w:r>
      <w:r w:rsidR="0041538C">
        <w:rPr>
          <w:rFonts w:ascii="Traditional Arabic" w:eastAsia="SimSun" w:hAnsi="Traditional Arabic" w:hint="cs"/>
          <w:spacing w:val="-2"/>
          <w:sz w:val="18"/>
          <w:szCs w:val="26"/>
          <w:rtl/>
          <w:lang w:val="en-GB" w:eastAsia="zh-TW"/>
        </w:rPr>
        <w:t>،</w:t>
      </w:r>
      <w:r w:rsidRPr="00561901">
        <w:rPr>
          <w:rFonts w:ascii="Traditional Arabic" w:eastAsia="SimSun" w:hAnsi="Traditional Arabic"/>
          <w:spacing w:val="-2"/>
          <w:sz w:val="18"/>
          <w:szCs w:val="26"/>
          <w:rtl/>
          <w:lang w:val="en-GB" w:eastAsia="zh-TW"/>
        </w:rPr>
        <w:t xml:space="preserve"> على سبيل المثال</w:t>
      </w:r>
      <w:r w:rsidR="0041538C">
        <w:rPr>
          <w:rFonts w:ascii="Traditional Arabic" w:eastAsia="SimSun" w:hAnsi="Traditional Arabic" w:hint="cs"/>
          <w:spacing w:val="-2"/>
          <w:sz w:val="18"/>
          <w:szCs w:val="26"/>
          <w:rtl/>
          <w:lang w:val="en-GB" w:eastAsia="zh-TW"/>
        </w:rPr>
        <w:t>،</w:t>
      </w:r>
      <w:r w:rsidRPr="00561901">
        <w:rPr>
          <w:rFonts w:ascii="Traditional Arabic" w:eastAsia="SimSun" w:hAnsi="Traditional Arabic"/>
          <w:spacing w:val="-2"/>
          <w:sz w:val="18"/>
          <w:szCs w:val="26"/>
          <w:rtl/>
          <w:lang w:val="en-GB" w:eastAsia="zh-TW"/>
        </w:rPr>
        <w:t xml:space="preserve"> البلاغ رقم</w:t>
      </w:r>
      <w:r w:rsidR="000E1FDE">
        <w:rPr>
          <w:rFonts w:ascii="Traditional Arabic" w:eastAsia="SimSun" w:hAnsi="Traditional Arabic"/>
          <w:spacing w:val="-2"/>
          <w:sz w:val="18"/>
          <w:szCs w:val="26"/>
          <w:rtl/>
          <w:lang w:val="en-GB" w:eastAsia="zh-TW"/>
        </w:rPr>
        <w:t xml:space="preserve"> </w:t>
      </w:r>
      <w:r w:rsidRPr="00561901">
        <w:rPr>
          <w:rFonts w:ascii="Traditional Arabic" w:eastAsia="SimSun" w:hAnsi="Traditional Arabic"/>
          <w:spacing w:val="-2"/>
          <w:sz w:val="18"/>
          <w:szCs w:val="26"/>
          <w:rtl/>
          <w:lang w:val="en-GB" w:eastAsia="zh-TW"/>
        </w:rPr>
        <w:t xml:space="preserve">1226/2003، </w:t>
      </w:r>
      <w:r w:rsidRPr="0041538C">
        <w:rPr>
          <w:rFonts w:ascii="Traditional Arabic" w:eastAsia="SimSun" w:hAnsi="Traditional Arabic"/>
          <w:i/>
          <w:iCs/>
          <w:spacing w:val="-2"/>
          <w:sz w:val="18"/>
          <w:szCs w:val="26"/>
          <w:rtl/>
          <w:lang w:val="en-GB" w:eastAsia="zh-TW"/>
        </w:rPr>
        <w:t>كورنينكو ضد بيلاروس</w:t>
      </w:r>
      <w:r w:rsidRPr="00561901">
        <w:rPr>
          <w:rFonts w:ascii="Traditional Arabic" w:eastAsia="SimSun" w:hAnsi="Traditional Arabic"/>
          <w:spacing w:val="-2"/>
          <w:sz w:val="18"/>
          <w:szCs w:val="26"/>
          <w:rtl/>
          <w:lang w:val="en-GB" w:eastAsia="zh-TW"/>
        </w:rPr>
        <w:t>، الآراء المعتمدة في 20 تموز/ يوليه 2012، الفقرة</w:t>
      </w:r>
      <w:r w:rsidR="000E1FDE">
        <w:rPr>
          <w:rFonts w:ascii="Traditional Arabic" w:eastAsia="SimSun" w:hAnsi="Traditional Arabic"/>
          <w:spacing w:val="-2"/>
          <w:sz w:val="18"/>
          <w:szCs w:val="26"/>
          <w:rtl/>
          <w:lang w:val="en-GB" w:eastAsia="zh-TW"/>
        </w:rPr>
        <w:t xml:space="preserve"> </w:t>
      </w:r>
      <w:r w:rsidRPr="00561901">
        <w:rPr>
          <w:rFonts w:ascii="Traditional Arabic" w:eastAsia="SimSun" w:hAnsi="Traditional Arabic"/>
          <w:spacing w:val="-2"/>
          <w:sz w:val="18"/>
          <w:szCs w:val="26"/>
          <w:rtl/>
          <w:lang w:val="en-GB" w:eastAsia="zh-TW"/>
        </w:rPr>
        <w:t xml:space="preserve">8-2؛ والبلاغ رقم 1948/2010، </w:t>
      </w:r>
      <w:r w:rsidRPr="0041538C">
        <w:rPr>
          <w:rFonts w:ascii="Traditional Arabic" w:eastAsia="SimSun" w:hAnsi="Traditional Arabic"/>
          <w:i/>
          <w:iCs/>
          <w:spacing w:val="-2"/>
          <w:sz w:val="18"/>
          <w:szCs w:val="26"/>
          <w:rtl/>
          <w:lang w:val="en-GB" w:eastAsia="zh-TW"/>
        </w:rPr>
        <w:t>تورشنياك وآخرون ضد بيلاروس</w:t>
      </w:r>
      <w:r w:rsidRPr="00561901">
        <w:rPr>
          <w:rFonts w:ascii="Traditional Arabic" w:eastAsia="SimSun" w:hAnsi="Traditional Arabic"/>
          <w:spacing w:val="-2"/>
          <w:sz w:val="18"/>
          <w:szCs w:val="26"/>
          <w:rtl/>
          <w:lang w:val="en-GB" w:eastAsia="zh-TW"/>
        </w:rPr>
        <w:t xml:space="preserve">، الآراء المعتمدة في 24 تموز/يوليه 2013، الفقرة 5-2. </w:t>
      </w:r>
    </w:p>
  </w:footnote>
  <w:footnote w:id="8">
    <w:p w:rsidR="0041538C" w:rsidRPr="0041538C" w:rsidRDefault="0041538C" w:rsidP="0041538C">
      <w:pPr>
        <w:pStyle w:val="FootnoteText"/>
        <w:numPr>
          <w:ilvl w:val="0"/>
          <w:numId w:val="40"/>
        </w:numPr>
        <w:tabs>
          <w:tab w:val="clear" w:pos="1295"/>
        </w:tabs>
        <w:spacing w:after="60" w:line="300" w:lineRule="exact"/>
        <w:ind w:left="1247" w:right="1247"/>
        <w:textDirection w:val="tbRlV"/>
        <w:rPr>
          <w:rFonts w:hint="cs"/>
          <w:sz w:val="18"/>
          <w:szCs w:val="26"/>
        </w:rPr>
      </w:pPr>
      <w:r w:rsidRPr="00561901">
        <w:rPr>
          <w:rFonts w:ascii="Traditional Arabic" w:hAnsi="Traditional Arabic"/>
          <w:sz w:val="18"/>
          <w:szCs w:val="26"/>
          <w:rtl/>
          <w:lang w:val="en-GB" w:eastAsia="zh-TW"/>
        </w:rPr>
        <w:t>البلاغ رقم</w:t>
      </w:r>
      <w:r w:rsidR="000E1FDE">
        <w:rPr>
          <w:rFonts w:ascii="Traditional Arabic" w:hAnsi="Traditional Arabic"/>
          <w:sz w:val="18"/>
          <w:szCs w:val="26"/>
          <w:rtl/>
          <w:lang w:val="en-GB" w:eastAsia="zh-TW"/>
        </w:rPr>
        <w:t xml:space="preserve"> </w:t>
      </w:r>
      <w:r w:rsidRPr="00561901">
        <w:rPr>
          <w:rFonts w:ascii="Traditional Arabic" w:hAnsi="Traditional Arabic"/>
          <w:sz w:val="18"/>
          <w:szCs w:val="26"/>
          <w:rtl/>
          <w:lang w:val="en-GB" w:eastAsia="zh-TW"/>
        </w:rPr>
        <w:t xml:space="preserve">1873/2009، </w:t>
      </w:r>
      <w:r w:rsidRPr="0041538C">
        <w:rPr>
          <w:rFonts w:ascii="Traditional Arabic" w:hAnsi="Traditional Arabic"/>
          <w:i/>
          <w:iCs/>
          <w:sz w:val="18"/>
          <w:szCs w:val="26"/>
          <w:rtl/>
          <w:lang w:val="en-GB" w:eastAsia="zh-TW"/>
        </w:rPr>
        <w:t>ألكسييف ضد الاتحاد الروسي</w:t>
      </w:r>
      <w:r w:rsidRPr="00561901">
        <w:rPr>
          <w:rFonts w:ascii="Traditional Arabic" w:hAnsi="Traditional Arabic"/>
          <w:sz w:val="18"/>
          <w:szCs w:val="26"/>
          <w:rtl/>
          <w:lang w:val="en-GB" w:eastAsia="zh-TW"/>
        </w:rPr>
        <w:t>، الآراء المعتمدة في 25 تشرين الأول/</w:t>
      </w:r>
      <w:r w:rsidR="00A43570">
        <w:rPr>
          <w:rFonts w:ascii="Traditional Arabic" w:hAnsi="Traditional Arabic" w:hint="cs"/>
          <w:sz w:val="18"/>
          <w:szCs w:val="26"/>
          <w:rtl/>
          <w:lang w:val="en-GB" w:eastAsia="zh-TW"/>
        </w:rPr>
        <w:t xml:space="preserve">    </w:t>
      </w:r>
      <w:r w:rsidRPr="00561901">
        <w:rPr>
          <w:rFonts w:ascii="Traditional Arabic" w:hAnsi="Traditional Arabic"/>
          <w:sz w:val="18"/>
          <w:szCs w:val="26"/>
          <w:rtl/>
          <w:lang w:val="en-GB" w:eastAsia="zh-TW"/>
        </w:rPr>
        <w:t xml:space="preserve">أكتوبر 2013، الفقرة 8-4.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01" w:rsidRPr="00ED6DD3" w:rsidRDefault="00561901" w:rsidP="00ED6DD3">
    <w:pPr>
      <w:pStyle w:val="Header"/>
      <w:jc w:val="right"/>
    </w:pPr>
    <w:r w:rsidRPr="00ED6DD3">
      <w:t>CCPR/C/111/D/1990/2010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01" w:rsidRPr="00ED6DD3" w:rsidRDefault="00561901" w:rsidP="00ED6DD3">
    <w:pPr>
      <w:pStyle w:val="Header"/>
      <w:jc w:val="left"/>
    </w:pPr>
    <w:r w:rsidRPr="00ED6DD3">
      <w:t>CCPR/C/111/D/1990/2010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01" w:rsidRDefault="0056190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561901" w:rsidRPr="008F6743" w:rsidRDefault="00561901"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2ED26C23"/>
    <w:multiLevelType w:val="hybridMultilevel"/>
    <w:tmpl w:val="95EACE42"/>
    <w:lvl w:ilvl="0" w:tplc="C83A0326">
      <w:start w:val="1"/>
      <w:numFmt w:val="decimal"/>
      <w:lvlRestart w:val="0"/>
      <w:lvlText w:val="(%1)"/>
      <w:lvlJc w:val="right"/>
      <w:pPr>
        <w:tabs>
          <w:tab w:val="num" w:pos="1295"/>
        </w:tabs>
        <w:ind w:left="1295" w:hanging="227"/>
      </w:pPr>
      <w:rPr>
        <w:rFonts w:ascii="Traditional Arabic" w:hAnsi="Traditional Arabic" w:cs="Traditional Arabic"/>
        <w:sz w:val="26"/>
        <w:szCs w:val="26"/>
      </w:rPr>
    </w:lvl>
    <w:lvl w:ilvl="1" w:tplc="8440EED0">
      <w:start w:val="1"/>
      <w:numFmt w:val="decimal"/>
      <w:lvlRestart w:val="0"/>
      <w:lvlText w:val="(%2)"/>
      <w:lvlJc w:val="right"/>
      <w:pPr>
        <w:tabs>
          <w:tab w:val="num" w:pos="1355"/>
        </w:tabs>
        <w:ind w:left="1355" w:hanging="227"/>
      </w:pPr>
      <w:rPr>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F69"/>
    <w:rsid w:val="00040E25"/>
    <w:rsid w:val="00042149"/>
    <w:rsid w:val="000648EA"/>
    <w:rsid w:val="000957C8"/>
    <w:rsid w:val="00097049"/>
    <w:rsid w:val="000A04D5"/>
    <w:rsid w:val="000B52F2"/>
    <w:rsid w:val="000D0EAE"/>
    <w:rsid w:val="000D5380"/>
    <w:rsid w:val="000D6654"/>
    <w:rsid w:val="000E103D"/>
    <w:rsid w:val="000E1FDE"/>
    <w:rsid w:val="000F0264"/>
    <w:rsid w:val="000F2EBF"/>
    <w:rsid w:val="000F3A9F"/>
    <w:rsid w:val="000F5FF6"/>
    <w:rsid w:val="001022B5"/>
    <w:rsid w:val="00113FA5"/>
    <w:rsid w:val="001455A0"/>
    <w:rsid w:val="0014565C"/>
    <w:rsid w:val="001602A3"/>
    <w:rsid w:val="001A5161"/>
    <w:rsid w:val="001A60BD"/>
    <w:rsid w:val="001C6D53"/>
    <w:rsid w:val="00232277"/>
    <w:rsid w:val="0023736D"/>
    <w:rsid w:val="00257225"/>
    <w:rsid w:val="00310160"/>
    <w:rsid w:val="00341A8C"/>
    <w:rsid w:val="003519E6"/>
    <w:rsid w:val="00355F81"/>
    <w:rsid w:val="003B4356"/>
    <w:rsid w:val="003B4791"/>
    <w:rsid w:val="003F08A8"/>
    <w:rsid w:val="00400128"/>
    <w:rsid w:val="0041538C"/>
    <w:rsid w:val="004250E3"/>
    <w:rsid w:val="0044376D"/>
    <w:rsid w:val="00472A81"/>
    <w:rsid w:val="004A20A6"/>
    <w:rsid w:val="004A2DD2"/>
    <w:rsid w:val="004B2C92"/>
    <w:rsid w:val="004D45E0"/>
    <w:rsid w:val="004D6A3A"/>
    <w:rsid w:val="004F4AD7"/>
    <w:rsid w:val="00557CD3"/>
    <w:rsid w:val="00561901"/>
    <w:rsid w:val="0056419E"/>
    <w:rsid w:val="00571432"/>
    <w:rsid w:val="005732A2"/>
    <w:rsid w:val="005762A5"/>
    <w:rsid w:val="00590BA3"/>
    <w:rsid w:val="005961D9"/>
    <w:rsid w:val="005B46D9"/>
    <w:rsid w:val="005B7AE0"/>
    <w:rsid w:val="005E23F5"/>
    <w:rsid w:val="005F146F"/>
    <w:rsid w:val="005F71B6"/>
    <w:rsid w:val="00645274"/>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56F69"/>
    <w:rsid w:val="00862634"/>
    <w:rsid w:val="00866C59"/>
    <w:rsid w:val="00877306"/>
    <w:rsid w:val="00885524"/>
    <w:rsid w:val="008A6242"/>
    <w:rsid w:val="008B4BC6"/>
    <w:rsid w:val="008B6A73"/>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26157"/>
    <w:rsid w:val="00A265C3"/>
    <w:rsid w:val="00A43570"/>
    <w:rsid w:val="00A43F9A"/>
    <w:rsid w:val="00A53F38"/>
    <w:rsid w:val="00A543D4"/>
    <w:rsid w:val="00A72F46"/>
    <w:rsid w:val="00A73418"/>
    <w:rsid w:val="00A9136C"/>
    <w:rsid w:val="00AB2BC8"/>
    <w:rsid w:val="00AD0014"/>
    <w:rsid w:val="00AD4CF2"/>
    <w:rsid w:val="00AF0BBA"/>
    <w:rsid w:val="00B25159"/>
    <w:rsid w:val="00B30468"/>
    <w:rsid w:val="00B44E31"/>
    <w:rsid w:val="00BA4F7E"/>
    <w:rsid w:val="00BB2C41"/>
    <w:rsid w:val="00BC55C8"/>
    <w:rsid w:val="00BC5C10"/>
    <w:rsid w:val="00BE2964"/>
    <w:rsid w:val="00BF4114"/>
    <w:rsid w:val="00C21623"/>
    <w:rsid w:val="00C24FBD"/>
    <w:rsid w:val="00C473BA"/>
    <w:rsid w:val="00C611ED"/>
    <w:rsid w:val="00C6490A"/>
    <w:rsid w:val="00C64FE1"/>
    <w:rsid w:val="00C726D2"/>
    <w:rsid w:val="00C74296"/>
    <w:rsid w:val="00C8345E"/>
    <w:rsid w:val="00CA5F7C"/>
    <w:rsid w:val="00CC3E2B"/>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ED6DD3"/>
    <w:rsid w:val="00EE6A11"/>
    <w:rsid w:val="00F042F7"/>
    <w:rsid w:val="00F1727A"/>
    <w:rsid w:val="00F34764"/>
    <w:rsid w:val="00F54E3C"/>
    <w:rsid w:val="00F63C6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3B4791"/>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ED6DD3"/>
    <w:pPr>
      <w:suppressAutoHyphens/>
      <w:bidi w:val="0"/>
      <w:spacing w:after="120"/>
      <w:ind w:left="1134" w:right="1134"/>
      <w:jc w:val="both"/>
    </w:pPr>
    <w:rPr>
      <w:rFonts w:cs="Times New Roman"/>
      <w:szCs w:val="20"/>
      <w:lang/>
    </w:rPr>
  </w:style>
  <w:style w:type="paragraph" w:customStyle="1" w:styleId="HChG">
    <w:name w:val="_ H _Ch_G"/>
    <w:basedOn w:val="Normal"/>
    <w:next w:val="Normal"/>
    <w:rsid w:val="00ED6DD3"/>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ED6DD3"/>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ED6DD3"/>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ED6DD3"/>
    <w:pPr>
      <w:keepNext/>
      <w:keepLines/>
      <w:tabs>
        <w:tab w:val="right" w:pos="851"/>
      </w:tabs>
      <w:suppressAutoHyphens/>
      <w:bidi w:val="0"/>
      <w:spacing w:before="240" w:after="120" w:line="240" w:lineRule="exact"/>
      <w:ind w:left="1134" w:right="1134" w:hanging="1134"/>
      <w:jc w:val="left"/>
    </w:pPr>
    <w:rPr>
      <w:rFonts w:hint="cs"/>
      <w:i/>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ED6DD3"/>
    <w:rPr>
      <w:rFonts w:cs="Traditional Arabic"/>
      <w:lang w:val="en-US" w:eastAsia="en-US" w:bidi="ar-SA"/>
    </w:rPr>
  </w:style>
  <w:style w:type="character" w:customStyle="1" w:styleId="SingleTxtGChar">
    <w:name w:val="_ Single Txt_G Char"/>
    <w:link w:val="SingleTxtG"/>
    <w:rsid w:val="00ED6DD3"/>
    <w:rPr>
      <w:lang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2542</Words>
  <Characters>12738</Characters>
  <Application>Microsoft Office Outlook</Application>
  <DocSecurity>4</DocSecurity>
  <Lines>238</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CCPR/C/111/D/1990/2010</vt:lpstr>
      <vt:lpstr>CCPR/C/111/D/1990/2010</vt:lpstr>
    </vt:vector>
  </TitlesOfParts>
  <Company>CSD</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CCPR/C/111/D/1990/2010</dc:title>
  <dc:subject>FATHI-LOUATI</dc:subject>
  <dc:creator>TPS</dc:creator>
  <cp:keywords/>
  <dc:description/>
  <cp:lastModifiedBy>TPS</cp:lastModifiedBy>
  <cp:revision>2</cp:revision>
  <cp:lastPrinted>2014-11-03T09:35:00Z</cp:lastPrinted>
  <dcterms:created xsi:type="dcterms:W3CDTF">2014-11-03T15:45:00Z</dcterms:created>
  <dcterms:modified xsi:type="dcterms:W3CDTF">2014-11-03T15:45:00Z</dcterms:modified>
</cp:coreProperties>
</file>