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7D4615">
                <w:t>C/110/D/1864/2009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fldSimple w:instr=" FILLIN  &quot;Введите дату документа&quot; \* MERGEFORMAT ">
              <w:r w:rsidR="007D4615">
                <w:rPr>
                  <w:lang w:val="en-US"/>
                </w:rPr>
                <w:t>5 June 2014</w:t>
              </w:r>
            </w:fldSimple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6E7AF7" w:rsidRDefault="007D4615" w:rsidP="007D4615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Комитет по правам человека</w:t>
      </w:r>
    </w:p>
    <w:p w:rsidR="007D4615" w:rsidRDefault="007D4615" w:rsidP="007D4615">
      <w:pPr>
        <w:pStyle w:val="HChGR"/>
      </w:pPr>
      <w:r>
        <w:tab/>
      </w:r>
      <w:r>
        <w:tab/>
        <w:t>Сообщение № 1864/2009</w:t>
      </w:r>
    </w:p>
    <w:p w:rsidR="007D4615" w:rsidRDefault="007D4615" w:rsidP="007D4615">
      <w:pPr>
        <w:pStyle w:val="H1GR"/>
      </w:pPr>
      <w:r>
        <w:tab/>
      </w:r>
      <w:r>
        <w:tab/>
        <w:t xml:space="preserve">Соображения, принятые Комитетом на его 110-й сессии </w:t>
      </w:r>
      <w:r>
        <w:br/>
        <w:t>(10−28 марта 2014 года)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31"/>
        <w:gridCol w:w="3773"/>
      </w:tblGrid>
      <w:tr w:rsidR="007D4615" w:rsidRPr="00001A5A" w:rsidTr="00B94E2D">
        <w:tc>
          <w:tcPr>
            <w:tcW w:w="3031" w:type="dxa"/>
          </w:tcPr>
          <w:p w:rsidR="007D4615" w:rsidRPr="00CB613D" w:rsidRDefault="007D4615" w:rsidP="00AF5829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Представлено:</w:t>
            </w:r>
          </w:p>
        </w:tc>
        <w:tc>
          <w:tcPr>
            <w:tcW w:w="3773" w:type="dxa"/>
          </w:tcPr>
          <w:p w:rsidR="007D4615" w:rsidRPr="00001A5A" w:rsidRDefault="009860E9" w:rsidP="00AF5829">
            <w:pPr>
              <w:spacing w:after="120"/>
            </w:pPr>
            <w:r w:rsidRPr="009860E9">
              <w:t>Владимиром Кирсановым (адвокатом не</w:t>
            </w:r>
            <w:r w:rsidR="002B181B">
              <w:t> </w:t>
            </w:r>
            <w:r w:rsidRPr="009860E9">
              <w:t>представлен)</w:t>
            </w:r>
          </w:p>
        </w:tc>
      </w:tr>
      <w:tr w:rsidR="007D4615" w:rsidTr="00B94E2D">
        <w:tc>
          <w:tcPr>
            <w:tcW w:w="3031" w:type="dxa"/>
          </w:tcPr>
          <w:p w:rsidR="007D4615" w:rsidRPr="00CB613D" w:rsidRDefault="007D4615" w:rsidP="00AF5829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Предполагаемая жертва:</w:t>
            </w:r>
          </w:p>
        </w:tc>
        <w:tc>
          <w:tcPr>
            <w:tcW w:w="3773" w:type="dxa"/>
          </w:tcPr>
          <w:p w:rsidR="007D4615" w:rsidRDefault="00B94E2D" w:rsidP="00AF5829">
            <w:pPr>
              <w:spacing w:after="120"/>
            </w:pPr>
            <w:r>
              <w:t>автор сообщения</w:t>
            </w:r>
          </w:p>
        </w:tc>
      </w:tr>
      <w:tr w:rsidR="007D4615" w:rsidTr="00B94E2D">
        <w:tc>
          <w:tcPr>
            <w:tcW w:w="3031" w:type="dxa"/>
          </w:tcPr>
          <w:p w:rsidR="007D4615" w:rsidRPr="00CB613D" w:rsidRDefault="007D4615" w:rsidP="00AF5829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3773" w:type="dxa"/>
          </w:tcPr>
          <w:p w:rsidR="007D4615" w:rsidRDefault="00B94E2D" w:rsidP="00AF5829">
            <w:pPr>
              <w:spacing w:after="120"/>
            </w:pPr>
            <w:r>
              <w:t>Беларусь</w:t>
            </w:r>
          </w:p>
        </w:tc>
      </w:tr>
      <w:tr w:rsidR="007D4615" w:rsidTr="00B94E2D">
        <w:tc>
          <w:tcPr>
            <w:tcW w:w="3031" w:type="dxa"/>
          </w:tcPr>
          <w:p w:rsidR="007D4615" w:rsidRPr="00CB613D" w:rsidRDefault="007D4615" w:rsidP="00AF5829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Дата сообщения:</w:t>
            </w:r>
          </w:p>
        </w:tc>
        <w:tc>
          <w:tcPr>
            <w:tcW w:w="3773" w:type="dxa"/>
          </w:tcPr>
          <w:p w:rsidR="007D4615" w:rsidRPr="002A4F6C" w:rsidRDefault="00B94E2D" w:rsidP="00AF5829">
            <w:pPr>
              <w:spacing w:after="120"/>
            </w:pPr>
            <w:r w:rsidRPr="00B94E2D">
              <w:t>22 ноября 2008 года (первоначальное представление)</w:t>
            </w:r>
          </w:p>
        </w:tc>
      </w:tr>
      <w:tr w:rsidR="007D4615" w:rsidTr="00B94E2D">
        <w:tc>
          <w:tcPr>
            <w:tcW w:w="3031" w:type="dxa"/>
          </w:tcPr>
          <w:p w:rsidR="007D4615" w:rsidRPr="00CB613D" w:rsidRDefault="007D4615" w:rsidP="00AF5829">
            <w:pPr>
              <w:spacing w:after="120"/>
              <w:rPr>
                <w:i/>
              </w:rPr>
            </w:pPr>
            <w:r w:rsidRPr="00CB613D">
              <w:rPr>
                <w:i/>
              </w:rPr>
              <w:t>Справочная документация:</w:t>
            </w:r>
          </w:p>
        </w:tc>
        <w:tc>
          <w:tcPr>
            <w:tcW w:w="3773" w:type="dxa"/>
          </w:tcPr>
          <w:p w:rsidR="007D4615" w:rsidRDefault="00B94E2D" w:rsidP="00AF5829">
            <w:pPr>
              <w:spacing w:after="120"/>
            </w:pPr>
            <w:r w:rsidRPr="00B94E2D">
              <w:t>решение Специального докладчика в соответствии с правилом 97, препровожденное государству-участнику 25 февраля 2009 года (в виде документа не издавалось)</w:t>
            </w:r>
          </w:p>
        </w:tc>
      </w:tr>
      <w:tr w:rsidR="007D4615" w:rsidTr="00B94E2D">
        <w:tc>
          <w:tcPr>
            <w:tcW w:w="3031" w:type="dxa"/>
          </w:tcPr>
          <w:p w:rsidR="007D4615" w:rsidRPr="00CB613D" w:rsidRDefault="007D4615" w:rsidP="00AF5829">
            <w:pPr>
              <w:spacing w:after="120"/>
              <w:rPr>
                <w:i/>
              </w:rPr>
            </w:pPr>
            <w:r>
              <w:rPr>
                <w:i/>
              </w:rPr>
              <w:t>Дата принятия C</w:t>
            </w:r>
            <w:r w:rsidRPr="00CB613D">
              <w:rPr>
                <w:i/>
              </w:rPr>
              <w:t>оображений:</w:t>
            </w:r>
          </w:p>
        </w:tc>
        <w:tc>
          <w:tcPr>
            <w:tcW w:w="3773" w:type="dxa"/>
            <w:vAlign w:val="bottom"/>
          </w:tcPr>
          <w:p w:rsidR="007D4615" w:rsidRDefault="00B94E2D" w:rsidP="00AF5829">
            <w:pPr>
              <w:spacing w:after="120"/>
            </w:pPr>
            <w:r>
              <w:t>20 марта 2014 года</w:t>
            </w:r>
          </w:p>
        </w:tc>
      </w:tr>
      <w:tr w:rsidR="007D4615" w:rsidTr="00B94E2D">
        <w:tc>
          <w:tcPr>
            <w:tcW w:w="3031" w:type="dxa"/>
          </w:tcPr>
          <w:p w:rsidR="007D4615" w:rsidRPr="00CB613D" w:rsidRDefault="007D4615" w:rsidP="00AF5829">
            <w:pPr>
              <w:spacing w:after="120"/>
              <w:rPr>
                <w:i/>
              </w:rPr>
            </w:pPr>
            <w:r w:rsidRPr="00CB613D">
              <w:rPr>
                <w:i/>
                <w:iCs/>
              </w:rPr>
              <w:t>Тема сообщения:</w:t>
            </w:r>
          </w:p>
        </w:tc>
        <w:tc>
          <w:tcPr>
            <w:tcW w:w="3773" w:type="dxa"/>
          </w:tcPr>
          <w:p w:rsidR="007D4615" w:rsidRDefault="00B94E2D" w:rsidP="00AF5829">
            <w:pPr>
              <w:spacing w:after="120"/>
            </w:pPr>
            <w:r w:rsidRPr="00B94E2D">
              <w:t>отказ в разрешении организовать мирное собрание</w:t>
            </w:r>
          </w:p>
        </w:tc>
      </w:tr>
      <w:tr w:rsidR="009860E9" w:rsidTr="00B94E2D">
        <w:tc>
          <w:tcPr>
            <w:tcW w:w="3031" w:type="dxa"/>
          </w:tcPr>
          <w:p w:rsidR="009860E9" w:rsidRPr="00CB613D" w:rsidRDefault="009860E9" w:rsidP="00AF5829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Вопросы существа:</w:t>
            </w:r>
          </w:p>
        </w:tc>
        <w:tc>
          <w:tcPr>
            <w:tcW w:w="3773" w:type="dxa"/>
          </w:tcPr>
          <w:p w:rsidR="009860E9" w:rsidRDefault="00B94E2D" w:rsidP="00AF5829">
            <w:pPr>
              <w:spacing w:after="120"/>
            </w:pPr>
            <w:r w:rsidRPr="00B94E2D">
              <w:t>право на мирные собрания; допустимые ограничения</w:t>
            </w:r>
          </w:p>
        </w:tc>
      </w:tr>
      <w:tr w:rsidR="007D4615" w:rsidTr="00B94E2D">
        <w:tc>
          <w:tcPr>
            <w:tcW w:w="3031" w:type="dxa"/>
          </w:tcPr>
          <w:p w:rsidR="007D4615" w:rsidRPr="00CB613D" w:rsidRDefault="007D4615" w:rsidP="00AF5829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Процедурны</w:t>
            </w:r>
            <w:r w:rsidR="009860E9">
              <w:rPr>
                <w:i/>
                <w:iCs/>
              </w:rPr>
              <w:t>й</w:t>
            </w:r>
            <w:r w:rsidRPr="00CB613D">
              <w:rPr>
                <w:i/>
                <w:iCs/>
              </w:rPr>
              <w:t xml:space="preserve"> вопрос</w:t>
            </w:r>
            <w:r w:rsidRPr="00CB613D">
              <w:rPr>
                <w:i/>
              </w:rPr>
              <w:t>:</w:t>
            </w:r>
          </w:p>
        </w:tc>
        <w:tc>
          <w:tcPr>
            <w:tcW w:w="3773" w:type="dxa"/>
          </w:tcPr>
          <w:p w:rsidR="007D4615" w:rsidRDefault="00B94E2D" w:rsidP="00AF5829">
            <w:pPr>
              <w:spacing w:after="120"/>
            </w:pPr>
            <w:r w:rsidRPr="00B94E2D">
              <w:t>исчерпание внутренних средств правовой защиты</w:t>
            </w:r>
          </w:p>
        </w:tc>
      </w:tr>
      <w:tr w:rsidR="007D4615" w:rsidTr="00B94E2D">
        <w:tc>
          <w:tcPr>
            <w:tcW w:w="3031" w:type="dxa"/>
          </w:tcPr>
          <w:p w:rsidR="007D4615" w:rsidRPr="00CB613D" w:rsidRDefault="007D4615" w:rsidP="00AF5829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Стать</w:t>
            </w:r>
            <w:r w:rsidR="009860E9">
              <w:rPr>
                <w:i/>
                <w:iCs/>
              </w:rPr>
              <w:t>я</w:t>
            </w:r>
            <w:r w:rsidRPr="00CB613D">
              <w:rPr>
                <w:i/>
                <w:iCs/>
              </w:rPr>
              <w:t xml:space="preserve"> Пакта</w:t>
            </w:r>
            <w:r w:rsidRPr="00CB613D">
              <w:rPr>
                <w:i/>
              </w:rPr>
              <w:t>:</w:t>
            </w:r>
          </w:p>
        </w:tc>
        <w:tc>
          <w:tcPr>
            <w:tcW w:w="3773" w:type="dxa"/>
          </w:tcPr>
          <w:p w:rsidR="007D4615" w:rsidRDefault="00B94E2D" w:rsidP="00AF5829">
            <w:pPr>
              <w:spacing w:after="120"/>
            </w:pPr>
            <w:r>
              <w:t>21</w:t>
            </w:r>
          </w:p>
        </w:tc>
      </w:tr>
      <w:tr w:rsidR="007D4615" w:rsidTr="00B94E2D">
        <w:tc>
          <w:tcPr>
            <w:tcW w:w="3031" w:type="dxa"/>
          </w:tcPr>
          <w:p w:rsidR="007D4615" w:rsidRPr="00CB613D" w:rsidRDefault="007D4615" w:rsidP="00AF5829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Ста</w:t>
            </w:r>
            <w:r>
              <w:rPr>
                <w:i/>
                <w:iCs/>
              </w:rPr>
              <w:t>т</w:t>
            </w:r>
            <w:r w:rsidRPr="00CB613D">
              <w:rPr>
                <w:i/>
                <w:iCs/>
              </w:rPr>
              <w:t>ьи Факультативного протокола:</w:t>
            </w:r>
          </w:p>
        </w:tc>
        <w:tc>
          <w:tcPr>
            <w:tcW w:w="3773" w:type="dxa"/>
          </w:tcPr>
          <w:p w:rsidR="007D4615" w:rsidRDefault="00B94E2D" w:rsidP="00AF5829">
            <w:pPr>
              <w:spacing w:after="120"/>
            </w:pPr>
            <w:r w:rsidRPr="00B94E2D">
              <w:t xml:space="preserve">пункт 2 </w:t>
            </w:r>
            <w:r w:rsidRPr="00B94E2D">
              <w:rPr>
                <w:lang w:val="en-GB"/>
              </w:rPr>
              <w:t>b</w:t>
            </w:r>
            <w:r w:rsidRPr="00B94E2D">
              <w:t>) статьи 5</w:t>
            </w:r>
          </w:p>
        </w:tc>
      </w:tr>
    </w:tbl>
    <w:p w:rsidR="00CB1998" w:rsidRPr="001F209A" w:rsidRDefault="00CB1998" w:rsidP="00CB1998">
      <w:pPr>
        <w:pStyle w:val="HChGR"/>
      </w:pPr>
      <w:r>
        <w:br w:type="page"/>
      </w:r>
      <w:r w:rsidRPr="001F209A">
        <w:t>Приложение</w:t>
      </w:r>
    </w:p>
    <w:p w:rsidR="00CB1998" w:rsidRPr="001F209A" w:rsidRDefault="00CB1998" w:rsidP="00CB1998">
      <w:pPr>
        <w:pStyle w:val="HChGR"/>
      </w:pPr>
      <w:r>
        <w:tab/>
      </w:r>
      <w:r>
        <w:tab/>
      </w:r>
      <w:r w:rsidRPr="001F209A">
        <w:t>Соображения Комитета по правам человека в</w:t>
      </w:r>
      <w:r>
        <w:t> </w:t>
      </w:r>
      <w:r w:rsidRPr="001F209A">
        <w:t>соответствии с</w:t>
      </w:r>
      <w:r>
        <w:t> </w:t>
      </w:r>
      <w:r w:rsidRPr="001F209A">
        <w:t>пунктом 4 статьи 5 Факультативного протокола к</w:t>
      </w:r>
      <w:r>
        <w:t xml:space="preserve"> Международному п</w:t>
      </w:r>
      <w:r w:rsidRPr="001F209A">
        <w:t>акту о гражданских</w:t>
      </w:r>
      <w:r w:rsidRPr="001F209A">
        <w:br/>
        <w:t>и политических правах</w:t>
      </w:r>
      <w:r>
        <w:t xml:space="preserve"> (110-</w:t>
      </w:r>
      <w:r w:rsidRPr="001F209A">
        <w:t>я сессия</w:t>
      </w:r>
      <w:r>
        <w:t>)</w:t>
      </w:r>
    </w:p>
    <w:p w:rsidR="00CB1998" w:rsidRPr="001F209A" w:rsidRDefault="00CB1998" w:rsidP="00CB1998">
      <w:pPr>
        <w:pStyle w:val="SingleTxtGR"/>
      </w:pPr>
      <w:r w:rsidRPr="001F209A">
        <w:t>относительно</w:t>
      </w:r>
    </w:p>
    <w:p w:rsidR="00CB1998" w:rsidRPr="001F209A" w:rsidRDefault="00CB1998" w:rsidP="00CB1998">
      <w:pPr>
        <w:pStyle w:val="H1GR"/>
      </w:pPr>
      <w:r>
        <w:tab/>
      </w:r>
      <w:r>
        <w:tab/>
      </w:r>
      <w:r w:rsidRPr="001F209A">
        <w:t xml:space="preserve">Сообщения № </w:t>
      </w:r>
      <w:r>
        <w:t>1864/2009</w:t>
      </w:r>
      <w:r w:rsidRPr="00610845">
        <w:rPr>
          <w:rStyle w:val="FootnoteReference"/>
          <w:b w:val="0"/>
          <w:szCs w:val="18"/>
          <w:vertAlign w:val="baseline"/>
        </w:rPr>
        <w:footnoteReference w:customMarkFollows="1" w:id="1"/>
        <w:t>*</w:t>
      </w:r>
      <w:r w:rsidRPr="00610845">
        <w:rPr>
          <w:b w:val="0"/>
          <w:sz w:val="18"/>
          <w:szCs w:val="18"/>
          <w:lang w:eastAsia="en-US"/>
        </w:rPr>
        <w:t xml:space="preserve"> </w:t>
      </w:r>
    </w:p>
    <w:tbl>
      <w:tblPr>
        <w:tblStyle w:val="TableGrid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19"/>
        <w:gridCol w:w="3685"/>
      </w:tblGrid>
      <w:tr w:rsidR="00CB1998" w:rsidTr="00AF5829">
        <w:tc>
          <w:tcPr>
            <w:tcW w:w="3119" w:type="dxa"/>
          </w:tcPr>
          <w:p w:rsidR="00CB1998" w:rsidRPr="00322017" w:rsidRDefault="00CB1998" w:rsidP="00AF5829">
            <w:pPr>
              <w:spacing w:after="120"/>
              <w:rPr>
                <w:i/>
              </w:rPr>
            </w:pPr>
            <w:r w:rsidRPr="00322017">
              <w:rPr>
                <w:i/>
              </w:rPr>
              <w:t>Представлено:</w:t>
            </w:r>
          </w:p>
        </w:tc>
        <w:tc>
          <w:tcPr>
            <w:tcW w:w="3685" w:type="dxa"/>
          </w:tcPr>
          <w:p w:rsidR="00CB1998" w:rsidRPr="000D1ED1" w:rsidRDefault="00CB1998" w:rsidP="00AF5829">
            <w:pPr>
              <w:spacing w:after="120"/>
            </w:pPr>
            <w:r w:rsidRPr="00CB1998">
              <w:t>Владимиром Кирсановым (адвокатом не представлен)</w:t>
            </w:r>
          </w:p>
        </w:tc>
      </w:tr>
      <w:tr w:rsidR="00CB1998" w:rsidTr="00AF5829">
        <w:tc>
          <w:tcPr>
            <w:tcW w:w="3119" w:type="dxa"/>
          </w:tcPr>
          <w:p w:rsidR="00CB1998" w:rsidRPr="00322017" w:rsidRDefault="00CB1998" w:rsidP="00AF5829">
            <w:pPr>
              <w:spacing w:after="120"/>
              <w:rPr>
                <w:i/>
              </w:rPr>
            </w:pPr>
            <w:r w:rsidRPr="00322017">
              <w:rPr>
                <w:i/>
              </w:rPr>
              <w:t>Предполагаемая жертва:</w:t>
            </w:r>
          </w:p>
        </w:tc>
        <w:tc>
          <w:tcPr>
            <w:tcW w:w="3685" w:type="dxa"/>
          </w:tcPr>
          <w:p w:rsidR="00CB1998" w:rsidRDefault="00CB1998" w:rsidP="00AF5829">
            <w:pPr>
              <w:spacing w:after="120"/>
            </w:pPr>
            <w:r>
              <w:t>автор сообщения</w:t>
            </w:r>
          </w:p>
        </w:tc>
      </w:tr>
      <w:tr w:rsidR="00CB1998" w:rsidTr="00AF5829">
        <w:tc>
          <w:tcPr>
            <w:tcW w:w="3119" w:type="dxa"/>
          </w:tcPr>
          <w:p w:rsidR="00CB1998" w:rsidRPr="00FD511F" w:rsidRDefault="00CB1998" w:rsidP="00AF5829">
            <w:pPr>
              <w:spacing w:after="120"/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3685" w:type="dxa"/>
          </w:tcPr>
          <w:p w:rsidR="00CB1998" w:rsidRDefault="00CB1998" w:rsidP="00AF5829">
            <w:pPr>
              <w:spacing w:after="120"/>
            </w:pPr>
            <w:r>
              <w:t>Беларусь</w:t>
            </w:r>
          </w:p>
        </w:tc>
      </w:tr>
      <w:tr w:rsidR="00CB1998" w:rsidTr="00AF5829">
        <w:tc>
          <w:tcPr>
            <w:tcW w:w="3119" w:type="dxa"/>
          </w:tcPr>
          <w:p w:rsidR="00CB1998" w:rsidRPr="00FD511F" w:rsidRDefault="00CB1998" w:rsidP="00AF5829">
            <w:pPr>
              <w:spacing w:after="120"/>
            </w:pPr>
            <w:r w:rsidRPr="00CB613D">
              <w:rPr>
                <w:i/>
              </w:rPr>
              <w:t>Дата сообщения:</w:t>
            </w:r>
          </w:p>
        </w:tc>
        <w:tc>
          <w:tcPr>
            <w:tcW w:w="3685" w:type="dxa"/>
          </w:tcPr>
          <w:p w:rsidR="00CB1998" w:rsidRDefault="00B22BDE" w:rsidP="00AF5829">
            <w:pPr>
              <w:spacing w:after="120"/>
            </w:pPr>
            <w:r>
              <w:t>22 ноября 2008 года (первоначальное представление)</w:t>
            </w:r>
          </w:p>
        </w:tc>
      </w:tr>
    </w:tbl>
    <w:p w:rsidR="00CB1998" w:rsidRDefault="00CB1998" w:rsidP="00CB1998">
      <w:pPr>
        <w:pStyle w:val="SingleTxtGR"/>
      </w:pPr>
      <w:r>
        <w:rPr>
          <w:i/>
        </w:rPr>
        <w:tab/>
        <w:t>Комитет по правам человека</w:t>
      </w:r>
      <w:r>
        <w:t>, учрежденный в соответствии со статьей 28 Междунаро</w:t>
      </w:r>
      <w:r>
        <w:t>д</w:t>
      </w:r>
      <w:r>
        <w:t xml:space="preserve">ного пакта о гражданских и политических правах, </w:t>
      </w:r>
    </w:p>
    <w:p w:rsidR="00CB1998" w:rsidRDefault="00CB1998" w:rsidP="00CB1998">
      <w:pPr>
        <w:pStyle w:val="SingleTxtGR"/>
      </w:pPr>
      <w:r>
        <w:rPr>
          <w:i/>
        </w:rPr>
        <w:tab/>
        <w:t>на своем заседании</w:t>
      </w:r>
      <w:r>
        <w:t xml:space="preserve"> </w:t>
      </w:r>
      <w:r w:rsidR="00B22BDE">
        <w:t>20</w:t>
      </w:r>
      <w:r>
        <w:t xml:space="preserve"> марта 201</w:t>
      </w:r>
      <w:r w:rsidR="00B22BDE">
        <w:t>4</w:t>
      </w:r>
      <w:r>
        <w:t xml:space="preserve"> года,</w:t>
      </w:r>
    </w:p>
    <w:p w:rsidR="00B22BDE" w:rsidRPr="00B22BDE" w:rsidRDefault="00B22BDE" w:rsidP="00B22BDE">
      <w:pPr>
        <w:pStyle w:val="SingleTxtGR"/>
      </w:pPr>
      <w:r>
        <w:tab/>
      </w:r>
      <w:r w:rsidRPr="00B22BDE">
        <w:rPr>
          <w:i/>
        </w:rPr>
        <w:t>завершив рассмотрение</w:t>
      </w:r>
      <w:r w:rsidRPr="00B22BDE">
        <w:t xml:space="preserve"> сообщения № 1864/2009, представленного Ком</w:t>
      </w:r>
      <w:r w:rsidRPr="00B22BDE">
        <w:t>и</w:t>
      </w:r>
      <w:r w:rsidRPr="00B22BDE">
        <w:t>тету по правам человека Владимиром Кирсановым в соответствии с Факульт</w:t>
      </w:r>
      <w:r w:rsidRPr="00B22BDE">
        <w:t>а</w:t>
      </w:r>
      <w:r w:rsidRPr="00B22BDE">
        <w:t>тивным протоколом к Международному пакту о гражданских и политических правах,</w:t>
      </w:r>
    </w:p>
    <w:p w:rsidR="00B22BDE" w:rsidRDefault="00B22BDE" w:rsidP="00B22BDE">
      <w:pPr>
        <w:pStyle w:val="SingleTxtGR"/>
      </w:pPr>
      <w:r w:rsidRPr="00B22BDE">
        <w:tab/>
      </w:r>
      <w:r w:rsidRPr="00B22BDE">
        <w:rPr>
          <w:i/>
        </w:rPr>
        <w:t>принимая во внимание</w:t>
      </w:r>
      <w:r w:rsidRPr="00B22BDE">
        <w:t xml:space="preserve"> всю письменную информацию, представленную ему автором сообщения и государством-участником,</w:t>
      </w:r>
    </w:p>
    <w:p w:rsidR="007D4615" w:rsidRDefault="00CB1998" w:rsidP="00CB1998">
      <w:pPr>
        <w:pStyle w:val="SingleTxtGR"/>
      </w:pPr>
      <w:r>
        <w:rPr>
          <w:i/>
        </w:rPr>
        <w:tab/>
        <w:t xml:space="preserve">принимает </w:t>
      </w:r>
      <w:r w:rsidRPr="00B22BDE">
        <w:t>следующее:</w:t>
      </w:r>
    </w:p>
    <w:p w:rsidR="00323A8A" w:rsidRPr="00323A8A" w:rsidRDefault="00323A8A" w:rsidP="00323A8A">
      <w:pPr>
        <w:pStyle w:val="H1GR"/>
      </w:pPr>
      <w:r>
        <w:tab/>
      </w:r>
      <w:r>
        <w:tab/>
      </w:r>
      <w:r w:rsidRPr="00323A8A">
        <w:t>Соображения в соответствии с пунктом 4 статьи 5 Факультативного протокола</w:t>
      </w:r>
    </w:p>
    <w:p w:rsidR="007D4615" w:rsidRDefault="00323A8A" w:rsidP="00323A8A">
      <w:pPr>
        <w:pStyle w:val="SingleTxtGR"/>
      </w:pPr>
      <w:r w:rsidRPr="00323A8A">
        <w:t>1.</w:t>
      </w:r>
      <w:r w:rsidRPr="00323A8A">
        <w:tab/>
        <w:t xml:space="preserve">Автором сообщения является Владимир Кирсанов, гражданин Беларуси, 1937 года рождения. Он утверждает, что </w:t>
      </w:r>
      <w:r>
        <w:t>стал</w:t>
      </w:r>
      <w:r w:rsidRPr="00323A8A">
        <w:t xml:space="preserve"> жертвой нарушения Беларусью его прав, предусмотренных статьей 21 Международного пакта о гражданских и политических правах (в дальнейшем "Пакт"). Факультативный протокол вст</w:t>
      </w:r>
      <w:r w:rsidRPr="00323A8A">
        <w:t>у</w:t>
      </w:r>
      <w:r w:rsidRPr="00323A8A">
        <w:t>пил в действие для государства-участника 30 декабря 1992 года. Автор не пре</w:t>
      </w:r>
      <w:r w:rsidRPr="00323A8A">
        <w:t>д</w:t>
      </w:r>
      <w:r w:rsidRPr="00323A8A">
        <w:t>ставлен адвокатом.</w:t>
      </w:r>
    </w:p>
    <w:p w:rsidR="007D4615" w:rsidRDefault="00323A8A" w:rsidP="00323A8A">
      <w:pPr>
        <w:pStyle w:val="H23GR"/>
      </w:pPr>
      <w:r>
        <w:tab/>
      </w:r>
      <w:r>
        <w:tab/>
        <w:t>Факты в изложении автора</w:t>
      </w:r>
    </w:p>
    <w:p w:rsidR="00FA0752" w:rsidRPr="00841BE3" w:rsidRDefault="00FA0752" w:rsidP="00FA0752">
      <w:pPr>
        <w:pStyle w:val="SingleTxtGR"/>
      </w:pPr>
      <w:r w:rsidRPr="00841BE3">
        <w:t>2.1</w:t>
      </w:r>
      <w:r w:rsidRPr="00841BE3">
        <w:tab/>
        <w:t>14 января 2008 года автор обратился за разрешением на проведение 30</w:t>
      </w:r>
      <w:r w:rsidR="002B181B">
        <w:t> </w:t>
      </w:r>
      <w:r w:rsidRPr="00841BE3">
        <w:t>января 2008 года собрания без шествия (пикета) в целях привлечения вним</w:t>
      </w:r>
      <w:r w:rsidRPr="00841BE3">
        <w:t>а</w:t>
      </w:r>
      <w:r w:rsidRPr="00841BE3">
        <w:t>ния граждан к политике государства-участника, направленной против оппоз</w:t>
      </w:r>
      <w:r w:rsidRPr="00841BE3">
        <w:t>и</w:t>
      </w:r>
      <w:r w:rsidRPr="00841BE3">
        <w:t>ционных политических партий и общественных движений, а также в знак пр</w:t>
      </w:r>
      <w:r w:rsidRPr="00841BE3">
        <w:t>о</w:t>
      </w:r>
      <w:r w:rsidRPr="00841BE3">
        <w:t>теста против попытки государства-участника ликвидировать Партию коммун</w:t>
      </w:r>
      <w:r w:rsidRPr="00841BE3">
        <w:t>и</w:t>
      </w:r>
      <w:r w:rsidRPr="00841BE3">
        <w:t>стов Белорусскую. Во время этих событий автор являлся членом Партии ко</w:t>
      </w:r>
      <w:r w:rsidRPr="00841BE3">
        <w:t>м</w:t>
      </w:r>
      <w:r w:rsidRPr="00841BE3">
        <w:t>мунистов Белорусской. 22</w:t>
      </w:r>
      <w:r w:rsidR="002B181B">
        <w:t xml:space="preserve"> </w:t>
      </w:r>
      <w:r w:rsidRPr="00841BE3">
        <w:t>января 2008 года Жлобинский районный исполн</w:t>
      </w:r>
      <w:r w:rsidRPr="00841BE3">
        <w:t>и</w:t>
      </w:r>
      <w:r w:rsidRPr="00841BE3">
        <w:t>тельный комитет Гомельской области ("райисполком") отказал ему в разреш</w:t>
      </w:r>
      <w:r w:rsidRPr="00841BE3">
        <w:t>е</w:t>
      </w:r>
      <w:r w:rsidRPr="00841BE3">
        <w:t>нии ввиду отсутствия оснований для проведения мероприятия, поскольку р</w:t>
      </w:r>
      <w:r w:rsidRPr="00841BE3">
        <w:t>е</w:t>
      </w:r>
      <w:r w:rsidRPr="00841BE3">
        <w:t>шением Верховного суда от 2 августа 2007 года деятельность Партии коммун</w:t>
      </w:r>
      <w:r w:rsidRPr="00841BE3">
        <w:t>и</w:t>
      </w:r>
      <w:r w:rsidRPr="00841BE3">
        <w:t>стов Бел</w:t>
      </w:r>
      <w:r w:rsidRPr="00841BE3">
        <w:t>о</w:t>
      </w:r>
      <w:r w:rsidRPr="00841BE3">
        <w:t xml:space="preserve">русской была приостановлена. </w:t>
      </w:r>
    </w:p>
    <w:p w:rsidR="00323A8A" w:rsidRDefault="00FA0752" w:rsidP="00FA0752">
      <w:pPr>
        <w:pStyle w:val="SingleTxtGR"/>
      </w:pPr>
      <w:r w:rsidRPr="00841BE3">
        <w:t>2.2</w:t>
      </w:r>
      <w:r w:rsidRPr="00841BE3">
        <w:tab/>
        <w:t>Автор обратился с жалобой на отказ райисполкома в суд Жлобинского района ("районный суд"). 3 марта 2008 года районный суд отказал в удовлетв</w:t>
      </w:r>
      <w:r w:rsidRPr="00841BE3">
        <w:t>о</w:t>
      </w:r>
      <w:r w:rsidRPr="00841BE3">
        <w:t>рении жалобы, указав, что приостановление деятельности Партии коммунистов является достаточным основанием для ограничения права автора на проведение мирных собраний. 10 апреля 2008 года Гомельский областной суд в кассацио</w:t>
      </w:r>
      <w:r w:rsidRPr="00841BE3">
        <w:t>н</w:t>
      </w:r>
      <w:r w:rsidRPr="00841BE3">
        <w:t>ном порядке оставил решение от 3 марта 2008 года в силе и оно приобрело окончательный характер</w:t>
      </w:r>
      <w:r>
        <w:rPr>
          <w:rStyle w:val="FootnoteReference"/>
        </w:rPr>
        <w:footnoteReference w:id="2"/>
      </w:r>
      <w:r w:rsidR="002B181B">
        <w:t>.</w:t>
      </w:r>
    </w:p>
    <w:p w:rsidR="006A78F4" w:rsidRPr="006A78F4" w:rsidRDefault="006A78F4" w:rsidP="006A78F4">
      <w:pPr>
        <w:pStyle w:val="SingleTxtGR"/>
      </w:pPr>
      <w:r w:rsidRPr="006A78F4">
        <w:t>2.3</w:t>
      </w:r>
      <w:r w:rsidRPr="006A78F4">
        <w:tab/>
        <w:t>Автор утверждает, что исчерпал все имеющиеся внутренние средства правовой защиты. Он заявляет также, что, хотя он не считает процедуры ра</w:t>
      </w:r>
      <w:r w:rsidRPr="006A78F4">
        <w:t>с</w:t>
      </w:r>
      <w:r w:rsidRPr="006A78F4">
        <w:t>смотрения жалоб в порядке надзора эффективным средством правовой защиты, он подавал такие жалобы в Гомельский областной суд и Верховный суд. 9 июля и 5 ноября 2008 года председатель Гомельского областного суда и председатель Верховного суда соответственно оставили его жалобы без удовлетворения.</w:t>
      </w:r>
    </w:p>
    <w:p w:rsidR="006A78F4" w:rsidRPr="006A78F4" w:rsidRDefault="006A78F4" w:rsidP="006A78F4">
      <w:pPr>
        <w:pStyle w:val="H23GR"/>
      </w:pPr>
      <w:r w:rsidRPr="006A78F4">
        <w:tab/>
      </w:r>
      <w:r w:rsidRPr="006A78F4">
        <w:tab/>
        <w:t>Жалоба</w:t>
      </w:r>
    </w:p>
    <w:p w:rsidR="006A78F4" w:rsidRPr="006A78F4" w:rsidRDefault="006A78F4" w:rsidP="006A78F4">
      <w:pPr>
        <w:pStyle w:val="SingleTxtGR"/>
      </w:pPr>
      <w:r w:rsidRPr="006A78F4">
        <w:t>3.1</w:t>
      </w:r>
      <w:r w:rsidRPr="006A78F4">
        <w:tab/>
        <w:t>Автор утверждает, что имело место нарушение его права на проведение мирных собраний, гарантированного статьей 21 Пакта. Его права были огран</w:t>
      </w:r>
      <w:r w:rsidRPr="006A78F4">
        <w:t>и</w:t>
      </w:r>
      <w:r w:rsidRPr="006A78F4">
        <w:t>чены на том основании, что деятельность Партии коммунистов Белорусской, членом которой он являлся, была приостановлена на шесть месяцев. Внутре</w:t>
      </w:r>
      <w:r w:rsidRPr="006A78F4">
        <w:t>н</w:t>
      </w:r>
      <w:r w:rsidRPr="006A78F4">
        <w:t>ние суды должны были установить, является ли подобное ограничение прав</w:t>
      </w:r>
      <w:r w:rsidRPr="006A78F4">
        <w:t>о</w:t>
      </w:r>
      <w:r w:rsidRPr="006A78F4">
        <w:t>мерным. Он утверждает, что национальные органы власти, в том числе вну</w:t>
      </w:r>
      <w:r w:rsidRPr="006A78F4">
        <w:t>т</w:t>
      </w:r>
      <w:r w:rsidRPr="006A78F4">
        <w:t>ренние суды, не предприняли никаких попыток обосновать данное ограничение или представить доводы, согласно которым оно является необходимым в инт</w:t>
      </w:r>
      <w:r w:rsidRPr="006A78F4">
        <w:t>е</w:t>
      </w:r>
      <w:r w:rsidRPr="006A78F4">
        <w:t>ресах национальной безопасности, общественного порядка, защиты нравстве</w:t>
      </w:r>
      <w:r w:rsidRPr="006A78F4">
        <w:t>н</w:t>
      </w:r>
      <w:r w:rsidRPr="006A78F4">
        <w:t xml:space="preserve">ности, здоровья населения или прав и свобод других лиц. </w:t>
      </w:r>
    </w:p>
    <w:p w:rsidR="006A78F4" w:rsidRPr="006A78F4" w:rsidRDefault="006A78F4" w:rsidP="006A78F4">
      <w:pPr>
        <w:pStyle w:val="SingleTxtGR"/>
      </w:pPr>
      <w:r w:rsidRPr="006A78F4">
        <w:t>3.2</w:t>
      </w:r>
      <w:r w:rsidRPr="006A78F4">
        <w:tab/>
        <w:t>Автор утверждает, что судебные инстанции не рассмотрели решение ра</w:t>
      </w:r>
      <w:r w:rsidRPr="006A78F4">
        <w:t>й</w:t>
      </w:r>
      <w:r w:rsidRPr="006A78F4">
        <w:t>исполкома в свете положений Пакта. В соответствии со статьями 26 и 27 Ве</w:t>
      </w:r>
      <w:r w:rsidRPr="006A78F4">
        <w:t>н</w:t>
      </w:r>
      <w:r w:rsidRPr="006A78F4">
        <w:t>ской конвенции о праве международных договоров 1969 года Беларусь связана положениями Пакта, должна добросовестно его осуществлять и не может сс</w:t>
      </w:r>
      <w:r w:rsidRPr="006A78F4">
        <w:t>ы</w:t>
      </w:r>
      <w:r w:rsidRPr="006A78F4">
        <w:t>латься на положения внутреннего законодательства в качестве оправдания н</w:t>
      </w:r>
      <w:r w:rsidRPr="006A78F4">
        <w:t>е</w:t>
      </w:r>
      <w:r w:rsidRPr="006A78F4">
        <w:t>выполнения Пакта. Согласно статье 15 Закона "О международных договорах Республики Беларусь" общепризнанные принципы международного права и нормы международных договоров Республики Беларусь, вступивших в силу, являются частью действующего внутреннего права. В соответствии со стат</w:t>
      </w:r>
      <w:r w:rsidRPr="006A78F4">
        <w:t>ь</w:t>
      </w:r>
      <w:r w:rsidRPr="006A78F4">
        <w:t>ей 20 Всеобщей декларации прав человека каждый человек имеет право на св</w:t>
      </w:r>
      <w:r w:rsidRPr="006A78F4">
        <w:t>о</w:t>
      </w:r>
      <w:r w:rsidRPr="006A78F4">
        <w:t>боду мирных собраний и ассоциаций. Право на мирные собрания закреплено в статье 21 Пакта и может ограничиваться только в связи с одной из предусмо</w:t>
      </w:r>
      <w:r w:rsidRPr="006A78F4">
        <w:t>т</w:t>
      </w:r>
      <w:r w:rsidRPr="006A78F4">
        <w:t xml:space="preserve">ренных в ней правомерных целей. Автор утверждает, что, ограничив его право на мирные собрания на основаниях, отличных от указанных в статье 21 Пакта, государство-участник не выполнило свои международные обязательства. </w:t>
      </w:r>
    </w:p>
    <w:p w:rsidR="006A78F4" w:rsidRPr="006A78F4" w:rsidRDefault="006A78F4" w:rsidP="006A78F4">
      <w:pPr>
        <w:pStyle w:val="H23GR"/>
      </w:pPr>
      <w:r w:rsidRPr="006A78F4">
        <w:tab/>
      </w:r>
      <w:r w:rsidRPr="006A78F4">
        <w:tab/>
        <w:t>Замечания государства-участника по вопросу о приемлемости сообщения</w:t>
      </w:r>
    </w:p>
    <w:p w:rsidR="006A78F4" w:rsidRPr="006A78F4" w:rsidRDefault="006A78F4" w:rsidP="006A78F4">
      <w:pPr>
        <w:pStyle w:val="SingleTxtGR"/>
      </w:pPr>
      <w:r w:rsidRPr="006A78F4">
        <w:t>4.1</w:t>
      </w:r>
      <w:r w:rsidRPr="006A78F4">
        <w:tab/>
        <w:t>8 мая 2009 года государство-участник оспорило приемлемость сообщ</w:t>
      </w:r>
      <w:r w:rsidRPr="006A78F4">
        <w:t>е</w:t>
      </w:r>
      <w:r w:rsidRPr="006A78F4">
        <w:t>ния, утверждая, что автором не были исчерпаны все возможные внутренние средства правовой защиты и что нет оснований полагать, что применение этих средств было бы недоступным или неэффективным. Автор не обращался в Г</w:t>
      </w:r>
      <w:r w:rsidRPr="006A78F4">
        <w:t>е</w:t>
      </w:r>
      <w:r w:rsidRPr="006A78F4">
        <w:t>неральную прокуратуру или к Председателю Верховного суда с ходатайством о принесении протеста в порядке надзора в соответствии со статьей 439 Гра</w:t>
      </w:r>
      <w:r w:rsidRPr="006A78F4">
        <w:t>ж</w:t>
      </w:r>
      <w:r w:rsidRPr="006A78F4">
        <w:t>данского процессуального кодекса. Государство-участник заявляет, что утве</w:t>
      </w:r>
      <w:r w:rsidRPr="006A78F4">
        <w:t>р</w:t>
      </w:r>
      <w:r w:rsidRPr="006A78F4">
        <w:t>ждение автора о том, что его надзорные жалобы были оставлены без удовл</w:t>
      </w:r>
      <w:r w:rsidRPr="006A78F4">
        <w:t>е</w:t>
      </w:r>
      <w:r w:rsidRPr="006A78F4">
        <w:t xml:space="preserve">творения 9 июля и 5 ноября 2008 года, не соответствует действительности. </w:t>
      </w:r>
    </w:p>
    <w:p w:rsidR="006A78F4" w:rsidRPr="006A78F4" w:rsidRDefault="006A78F4" w:rsidP="006A78F4">
      <w:pPr>
        <w:pStyle w:val="SingleTxtGR"/>
      </w:pPr>
      <w:r w:rsidRPr="006A78F4">
        <w:t>4.2</w:t>
      </w:r>
      <w:r w:rsidRPr="006A78F4">
        <w:tab/>
        <w:t>Кроме того, государство-участник заявляет, что утверждение автора, с</w:t>
      </w:r>
      <w:r w:rsidRPr="006A78F4">
        <w:t>о</w:t>
      </w:r>
      <w:r w:rsidRPr="006A78F4">
        <w:t>гласно которому процедуры рассмотрения жалоб в порядке надзора не являются эффективным средством правовой защиты, представляет собой субъективное личное мнение и не соответствует действительности. Государство-участник приводит статистические данные, в соответствии с которыми в 2007 году Пре</w:t>
      </w:r>
      <w:r w:rsidRPr="006A78F4">
        <w:t>д</w:t>
      </w:r>
      <w:r w:rsidRPr="006A78F4">
        <w:t>седателем Верховного суда в качестве надзорной инстанции было рассмотрено 733 административных дела, при этом постановления по 116 делам были отм</w:t>
      </w:r>
      <w:r w:rsidRPr="006A78F4">
        <w:t>е</w:t>
      </w:r>
      <w:r w:rsidRPr="006A78F4">
        <w:t>нены, включая 63 постановления, представленные по протестам Генеральной прокуратуры. В 2008 году Председатель Верховного суда рассмотрел 1 071 а</w:t>
      </w:r>
      <w:r w:rsidRPr="006A78F4">
        <w:t>д</w:t>
      </w:r>
      <w:r w:rsidRPr="006A78F4">
        <w:t>министративное дело и отменил или изменил постановления по 317 делам, в том числе 146 постановлений, представленных по протестам Генеральной пр</w:t>
      </w:r>
      <w:r w:rsidRPr="006A78F4">
        <w:t>о</w:t>
      </w:r>
      <w:r w:rsidRPr="006A78F4">
        <w:t xml:space="preserve">куратуры. Таким образом, в 2007 и 2008 годах Председатель Верховного суда отменил или изменил соответственно 24,4% и 29,6% от числа рассмотренных административных дел. </w:t>
      </w:r>
    </w:p>
    <w:p w:rsidR="006A78F4" w:rsidRPr="006A78F4" w:rsidRDefault="006A78F4" w:rsidP="006A78F4">
      <w:pPr>
        <w:pStyle w:val="H23GR"/>
      </w:pPr>
      <w:r w:rsidRPr="006A78F4">
        <w:tab/>
      </w:r>
      <w:r w:rsidRPr="006A78F4">
        <w:tab/>
        <w:t>Комментарии автора в отношении замечаний государства-участника</w:t>
      </w:r>
      <w:r w:rsidRPr="006A78F4">
        <w:br/>
        <w:t>по вопросу о приемлемости</w:t>
      </w:r>
    </w:p>
    <w:p w:rsidR="006A78F4" w:rsidRPr="006A78F4" w:rsidRDefault="006A78F4" w:rsidP="006A78F4">
      <w:pPr>
        <w:pStyle w:val="SingleTxtGR"/>
      </w:pPr>
      <w:r w:rsidRPr="006A78F4">
        <w:t>5.1</w:t>
      </w:r>
      <w:r w:rsidRPr="006A78F4">
        <w:tab/>
        <w:t>7 июня 2009 года автор вновь заявил, что не обращался в Генеральную прокуратуру с надзорной жалобой, поскольку такая жалоба не повлекла бы за собой пересмотра дела, так как процедуру пересмотра судебных решений в надзорном порядке может инициировать ограниченный круг должностных лиц. Кроме того, при обращении с подобной жалобой необходимо уплачивать п</w:t>
      </w:r>
      <w:r w:rsidRPr="006A78F4">
        <w:t>о</w:t>
      </w:r>
      <w:r w:rsidRPr="006A78F4">
        <w:t>шлину. Он отмечает ранее сделанный Комитетом вывод о том, что в государс</w:t>
      </w:r>
      <w:r w:rsidRPr="006A78F4">
        <w:t>т</w:t>
      </w:r>
      <w:r w:rsidRPr="006A78F4">
        <w:t>вах-участниках, в которых процедуру пересмотра судебных решений может инициировать лишь ограниченный круг должностных лиц, таких как Генерал</w:t>
      </w:r>
      <w:r w:rsidRPr="006A78F4">
        <w:t>ь</w:t>
      </w:r>
      <w:r w:rsidRPr="006A78F4">
        <w:t>ный прокурор или Председатель Верховного суда, исчерпание внутренних средств правовой защиты ограничивается кассационной инстанцией. Автор вновь указывает, что обращался с надзорной жалобой на имя Председателя Верховного суда. 5 ноября 2008 года заместитель Председателя Верховного с</w:t>
      </w:r>
      <w:r w:rsidRPr="006A78F4">
        <w:t>у</w:t>
      </w:r>
      <w:r w:rsidRPr="006A78F4">
        <w:t>да ответил на его жалобу, что не оспаривается государством-участником.</w:t>
      </w:r>
    </w:p>
    <w:p w:rsidR="006A78F4" w:rsidRPr="006A78F4" w:rsidRDefault="006A78F4" w:rsidP="006A78F4">
      <w:pPr>
        <w:pStyle w:val="SingleTxtGR"/>
      </w:pPr>
      <w:r w:rsidRPr="006A78F4">
        <w:t>5.2</w:t>
      </w:r>
      <w:r w:rsidRPr="006A78F4">
        <w:tab/>
        <w:t>Кроме того, по поводу представленных государством-участником стат</w:t>
      </w:r>
      <w:r w:rsidRPr="006A78F4">
        <w:t>и</w:t>
      </w:r>
      <w:r w:rsidRPr="006A78F4">
        <w:t xml:space="preserve">стических данных автор отмечает, что эти данные касаются административных дел и, соответственно, не имеют никакого отношения к его гражданскому делу, которое регулируется нормами Гражданского процессуального кодекса. </w:t>
      </w:r>
    </w:p>
    <w:p w:rsidR="006A78F4" w:rsidRPr="006A78F4" w:rsidRDefault="006A78F4" w:rsidP="006A78F4">
      <w:pPr>
        <w:pStyle w:val="H23GR"/>
      </w:pPr>
      <w:r w:rsidRPr="006A78F4">
        <w:tab/>
      </w:r>
      <w:r w:rsidRPr="006A78F4">
        <w:tab/>
        <w:t>Замечания государства-участника по существу сообщения</w:t>
      </w:r>
    </w:p>
    <w:p w:rsidR="00323A8A" w:rsidRDefault="006A78F4" w:rsidP="006A78F4">
      <w:pPr>
        <w:pStyle w:val="SingleTxtGR"/>
      </w:pPr>
      <w:r w:rsidRPr="006A78F4">
        <w:t>6.1</w:t>
      </w:r>
      <w:r w:rsidRPr="006A78F4">
        <w:tab/>
        <w:t>30 июля 2009 года государство-участник представило свои замечания по существу дела. Оно вновь излагает обстоятельства дела и заявляет, что согласно выводам районного суда названная автором цель пикета не соответствовала действительным обстоятельствам, поскольку решений о запрете политических партий, в том числе Партии коммунистов Белорусской, не принималось. В с</w:t>
      </w:r>
      <w:r w:rsidRPr="006A78F4">
        <w:t>о</w:t>
      </w:r>
      <w:r w:rsidRPr="006A78F4">
        <w:t>ответствии с преамбулой к Закону 30 декабря 1997 года "О массовых меропри</w:t>
      </w:r>
      <w:r w:rsidRPr="006A78F4">
        <w:t>я</w:t>
      </w:r>
      <w:r w:rsidRPr="006A78F4">
        <w:t>тиях" "свобода массовых мероприятий, не нарушающих правопорядок и права других граждан Республики Беларусь, гарантируется государством". Как гласит статья 34 Конституции, "гражданам Республики Беларусь гарантируется право на получение… достоверной информации о деятельности государственных о</w:t>
      </w:r>
      <w:r w:rsidRPr="006A78F4">
        <w:t>р</w:t>
      </w:r>
      <w:r w:rsidRPr="006A78F4">
        <w:t>ганов, общественных объединений". Автору было отказано в разрешении на проведение пикета, поскольку пикет касался надуманной проблемы, что прот</w:t>
      </w:r>
      <w:r w:rsidRPr="006A78F4">
        <w:t>и</w:t>
      </w:r>
      <w:r w:rsidRPr="006A78F4">
        <w:t>воречит конституционному праву граждан на получение достоверной информ</w:t>
      </w:r>
      <w:r w:rsidRPr="006A78F4">
        <w:t>а</w:t>
      </w:r>
      <w:r w:rsidRPr="006A78F4">
        <w:t>ции.</w:t>
      </w:r>
    </w:p>
    <w:p w:rsidR="0091479C" w:rsidRDefault="0091479C" w:rsidP="0091479C">
      <w:pPr>
        <w:pStyle w:val="SingleTxtGR"/>
      </w:pPr>
      <w:r>
        <w:t>6.2</w:t>
      </w:r>
      <w:r>
        <w:tab/>
        <w:t>Государство-участник сообщает также, что порядок организации и пров</w:t>
      </w:r>
      <w:r>
        <w:t>е</w:t>
      </w:r>
      <w:r>
        <w:t>дения массовых мер</w:t>
      </w:r>
      <w:r>
        <w:t>о</w:t>
      </w:r>
      <w:r>
        <w:t>приятий устанавливается Законом от 30 декабря 1997 года "О массовых мероприятиях". Закон направлен на создание условий для реал</w:t>
      </w:r>
      <w:r>
        <w:t>и</w:t>
      </w:r>
      <w:r>
        <w:t>зации конституционных прав и свобод граждан, обеспечения обществе</w:t>
      </w:r>
      <w:r>
        <w:t>н</w:t>
      </w:r>
      <w:r>
        <w:t>ной безопасности и порядка при проведении этих мероприятий в общественных местах. В соответствии с законом "свобода массовых мероприятий, не нар</w:t>
      </w:r>
      <w:r>
        <w:t>у</w:t>
      </w:r>
      <w:r>
        <w:t>шающих правопорядок и права других граждан Республики Беларусь, гарант</w:t>
      </w:r>
      <w:r>
        <w:t>и</w:t>
      </w:r>
      <w:r>
        <w:t>руется государством".</w:t>
      </w:r>
    </w:p>
    <w:p w:rsidR="0091479C" w:rsidRDefault="0091479C" w:rsidP="0091479C">
      <w:pPr>
        <w:pStyle w:val="SingleTxtGR"/>
      </w:pPr>
      <w:r>
        <w:t>6.3</w:t>
      </w:r>
      <w:r>
        <w:tab/>
        <w:t>Право на мирные собрания закреплено в статье 21 Пакта. Пользование этим правом не подлежит никаким ограничениям, кроме тех, которые налаг</w:t>
      </w:r>
      <w:r>
        <w:t>а</w:t>
      </w:r>
      <w:r>
        <w:t>ются в соответствии с законом и которые необходимы в демократическом о</w:t>
      </w:r>
      <w:r>
        <w:t>б</w:t>
      </w:r>
      <w:r>
        <w:t>ществе в интересах государственной или общественной безопасности, общес</w:t>
      </w:r>
      <w:r>
        <w:t>т</w:t>
      </w:r>
      <w:r>
        <w:t>венного порядка, охраны здоровья и нравственности населения или защиты прав и свобод других лиц. Беларусь ратифицировала Пакт и включила его п</w:t>
      </w:r>
      <w:r>
        <w:t>о</w:t>
      </w:r>
      <w:r>
        <w:t>ложения, в том числе положения статей 19 и 21, в национальное законодател</w:t>
      </w:r>
      <w:r>
        <w:t>ь</w:t>
      </w:r>
      <w:r>
        <w:t>ство. В частности, право на свободу мнений, убеждений и их свободное выр</w:t>
      </w:r>
      <w:r>
        <w:t>а</w:t>
      </w:r>
      <w:r>
        <w:t>жение гарантируется статьей 33 Конституции. Статья 35 Конституции гарант</w:t>
      </w:r>
      <w:r>
        <w:t>и</w:t>
      </w:r>
      <w:r>
        <w:t>рует право на свободу с</w:t>
      </w:r>
      <w:r>
        <w:t>о</w:t>
      </w:r>
      <w:r>
        <w:t>браний, митингов, уличных шествий, демонстраций и пикетирования, не нарушающих правопорядок и права других граждан. Кроме того, согласно статье 23 Конституции ограничение прав и свобод личности д</w:t>
      </w:r>
      <w:r>
        <w:t>о</w:t>
      </w:r>
      <w:r>
        <w:t>пускается только в случаях, предусмотренных законом, в интересах национал</w:t>
      </w:r>
      <w:r>
        <w:t>ь</w:t>
      </w:r>
      <w:r>
        <w:t>ной безопасности, общественного порядка, защиты нравственности, здоровья населения, прав и свобод других лиц.</w:t>
      </w:r>
    </w:p>
    <w:p w:rsidR="0091479C" w:rsidRDefault="0091479C" w:rsidP="0091479C">
      <w:pPr>
        <w:pStyle w:val="H23GR"/>
      </w:pPr>
      <w:r>
        <w:tab/>
      </w:r>
      <w:r>
        <w:tab/>
        <w:t>Комментарии автора на замечания государства-участника по сущ</w:t>
      </w:r>
      <w:r>
        <w:t>е</w:t>
      </w:r>
      <w:r>
        <w:t>ству</w:t>
      </w:r>
    </w:p>
    <w:p w:rsidR="0091479C" w:rsidRDefault="0091479C" w:rsidP="0091479C">
      <w:pPr>
        <w:pStyle w:val="SingleTxtGR"/>
      </w:pPr>
      <w:r>
        <w:t>7.1</w:t>
      </w:r>
      <w:r>
        <w:tab/>
        <w:t>12 февраля 2010 года автор подверг сомнению довод государства-участника, согласно которому ему было отказано в разрешении на проведение мирного собрания на законном основании, поскольку власти посчитали, что данный пикет касается надуманной проблемы. В этой связи он указывает, что право, защищаемое статьей 21 Пакта, может ограничиваться только в соотве</w:t>
      </w:r>
      <w:r>
        <w:t>т</w:t>
      </w:r>
      <w:r>
        <w:t>ствии с перечисленными в ней требованиями. Он утверждает, что наци</w:t>
      </w:r>
      <w:r>
        <w:t>о</w:t>
      </w:r>
      <w:r>
        <w:t>нальное законодательство о порядке организации и проведения массовых мер</w:t>
      </w:r>
      <w:r>
        <w:t>о</w:t>
      </w:r>
      <w:r>
        <w:t>приятий не содержит понятия "надуманности проблемы". Автор утверждает, что, таким образом, ограничение его права на свободу мирных собраний по указанному признаку не предусмотрено законом и не является необходимым в демократ</w:t>
      </w:r>
      <w:r>
        <w:t>и</w:t>
      </w:r>
      <w:r>
        <w:t>ческом обществе в интересах государственной или общественной безопасн</w:t>
      </w:r>
      <w:r>
        <w:t>о</w:t>
      </w:r>
      <w:r>
        <w:t>сти, общественного порядка, охраны здоровья и нравственности населения или з</w:t>
      </w:r>
      <w:r>
        <w:t>а</w:t>
      </w:r>
      <w:r>
        <w:t xml:space="preserve">щиты прав и свобод других лиц. </w:t>
      </w:r>
    </w:p>
    <w:p w:rsidR="0091479C" w:rsidRDefault="0091479C" w:rsidP="0091479C">
      <w:pPr>
        <w:pStyle w:val="SingleTxtGR"/>
      </w:pPr>
      <w:r>
        <w:t>7.2</w:t>
      </w:r>
      <w:r>
        <w:tab/>
        <w:t>Автор еще раз заявляет, что им были исчерпаны все возможные внутре</w:t>
      </w:r>
      <w:r>
        <w:t>н</w:t>
      </w:r>
      <w:r>
        <w:t xml:space="preserve">ние средства правовой защиты и он является жертвой нарушения статьи 21 Пакта. </w:t>
      </w:r>
    </w:p>
    <w:p w:rsidR="0091479C" w:rsidRDefault="0091479C" w:rsidP="0091479C">
      <w:pPr>
        <w:pStyle w:val="H23GR"/>
      </w:pPr>
      <w:r>
        <w:tab/>
      </w:r>
      <w:r>
        <w:tab/>
        <w:t>Вопросы и процедура их рассмотрения в Комитете</w:t>
      </w:r>
    </w:p>
    <w:p w:rsidR="0091479C" w:rsidRDefault="0091479C" w:rsidP="0091479C">
      <w:pPr>
        <w:pStyle w:val="H4GR"/>
        <w:spacing w:before="240" w:line="240" w:lineRule="exact"/>
        <w:ind w:left="1134" w:right="1134" w:hanging="1134"/>
      </w:pPr>
      <w:r>
        <w:tab/>
      </w:r>
      <w:r>
        <w:tab/>
        <w:t>Рассмотрение вопроса о приемлемости</w:t>
      </w:r>
    </w:p>
    <w:p w:rsidR="0091479C" w:rsidRDefault="0091479C" w:rsidP="0091479C">
      <w:pPr>
        <w:pStyle w:val="SingleTxtGR"/>
      </w:pPr>
      <w:r>
        <w:t>8.1</w:t>
      </w:r>
      <w:r>
        <w:tab/>
        <w:t>Прежде чем рассматривать любое утверждение, содержащееся в сообщ</w:t>
      </w:r>
      <w:r>
        <w:t>е</w:t>
      </w:r>
      <w:r>
        <w:t>нии, Комитет по правам человека должен согласно правилу 93 своих правил процедуры принять решение о том, является ли данное сообщение приемлемым или неприемлемым в соответствии с Факультативным протоколом к Пакту.</w:t>
      </w:r>
    </w:p>
    <w:p w:rsidR="0091479C" w:rsidRDefault="0091479C" w:rsidP="0091479C">
      <w:pPr>
        <w:pStyle w:val="SingleTxtGR"/>
      </w:pPr>
      <w:r>
        <w:t>8.2</w:t>
      </w:r>
      <w:r>
        <w:tab/>
        <w:t>В соответствии с требованиями пункта 2 а) статьи 5 Факультативного протокола Комитет уд</w:t>
      </w:r>
      <w:r>
        <w:t>о</w:t>
      </w:r>
      <w:r>
        <w:t>стоверился в том, что данный вопрос не рассматривается в соответствии с другой процедурой международного разбирательства или ур</w:t>
      </w:r>
      <w:r>
        <w:t>е</w:t>
      </w:r>
      <w:r>
        <w:t xml:space="preserve">гулирования. </w:t>
      </w:r>
    </w:p>
    <w:p w:rsidR="0091479C" w:rsidRDefault="0091479C" w:rsidP="0091479C">
      <w:pPr>
        <w:pStyle w:val="SingleTxtGR"/>
      </w:pPr>
      <w:r>
        <w:t>8.3</w:t>
      </w:r>
      <w:r>
        <w:tab/>
        <w:t>Комитет принимает к сведению утверждение государства-участника о том, что автор мог обратиться в Генеральную прокуратуру, а также к Предс</w:t>
      </w:r>
      <w:r>
        <w:t>е</w:t>
      </w:r>
      <w:r>
        <w:t>дателю Верховного суда с ходатайством о принесении протеста в порядке на</w:t>
      </w:r>
      <w:r>
        <w:t>д</w:t>
      </w:r>
      <w:r>
        <w:t>зора за решениями районного суда и областного суда, и приведенные госуда</w:t>
      </w:r>
      <w:r>
        <w:t>р</w:t>
      </w:r>
      <w:r>
        <w:t>ством-участником данные о количестве административных дел, по которым б</w:t>
      </w:r>
      <w:r>
        <w:t>ы</w:t>
      </w:r>
      <w:r>
        <w:t>ло успешно осуществлено надзорное производство. Он также принимает к св</w:t>
      </w:r>
      <w:r>
        <w:t>е</w:t>
      </w:r>
      <w:r>
        <w:t>дению пояснения автора, согласно которым его надзорные жалобы были оста</w:t>
      </w:r>
      <w:r>
        <w:t>в</w:t>
      </w:r>
      <w:r>
        <w:t>лены без удовлетворения, такие средства правовой защиты не являются ни э</w:t>
      </w:r>
      <w:r>
        <w:t>ф</w:t>
      </w:r>
      <w:r>
        <w:t>фективн</w:t>
      </w:r>
      <w:r>
        <w:t>ы</w:t>
      </w:r>
      <w:r>
        <w:t>ми, ни доступными, а данные, представленные государством-участни-ком, не имеют отношения к обстоятельствам его дела. Комитет напоминает о своих предыдущих решениях, в соответствии с которыми принятые в госуда</w:t>
      </w:r>
      <w:r>
        <w:t>р</w:t>
      </w:r>
      <w:r>
        <w:t>стве-участнике процедуры пересмотра в порядке надзора вступивших в силу решений суда не представляют собой средство правовой защиты, которое дол</w:t>
      </w:r>
      <w:r>
        <w:t>ж</w:t>
      </w:r>
      <w:r>
        <w:t>но быть исчерпано для целей пункта 2 b) статьи 5 Факультативн</w:t>
      </w:r>
      <w:r>
        <w:t>о</w:t>
      </w:r>
      <w:r>
        <w:t>го протокола</w:t>
      </w:r>
      <w:r>
        <w:rPr>
          <w:rStyle w:val="FootnoteReference"/>
        </w:rPr>
        <w:footnoteReference w:id="3"/>
      </w:r>
      <w:r>
        <w:t>. Он отмечает также, что государство-участник не указало, были ли процедуры пересмотра в порядке надзора успешно применены в делах, связанных с правом на мирные собрания, и в скольких случаях это имело место. В данных обсто</w:t>
      </w:r>
      <w:r>
        <w:t>я</w:t>
      </w:r>
      <w:r>
        <w:t>тельствах Комитет считает, что требования пункта 2 b) статьи 5 Факультативн</w:t>
      </w:r>
      <w:r>
        <w:t>о</w:t>
      </w:r>
      <w:r>
        <w:t>го протокола не препятствуют рассмотрению им настоящего сообщения.</w:t>
      </w:r>
    </w:p>
    <w:p w:rsidR="0091479C" w:rsidRDefault="0091479C" w:rsidP="0091479C">
      <w:pPr>
        <w:pStyle w:val="SingleTxtGR"/>
      </w:pPr>
      <w:r>
        <w:t>8.4</w:t>
      </w:r>
      <w:r>
        <w:tab/>
        <w:t>Комитет считает, что автор в достаточной степени обосновал свое утве</w:t>
      </w:r>
      <w:r>
        <w:t>р</w:t>
      </w:r>
      <w:r>
        <w:t>ждение согласно статье 21 Пакта для целей приемлемости. Соответственно, он объявляет сообщение приемлемым и приступает к его рассмотрению по сущ</w:t>
      </w:r>
      <w:r>
        <w:t>е</w:t>
      </w:r>
      <w:r>
        <w:t xml:space="preserve">ству. </w:t>
      </w:r>
    </w:p>
    <w:p w:rsidR="0091479C" w:rsidRDefault="0091479C" w:rsidP="00F108C4">
      <w:pPr>
        <w:pStyle w:val="H4GR"/>
        <w:spacing w:before="240" w:line="240" w:lineRule="exact"/>
        <w:ind w:left="1134" w:right="1134" w:hanging="1134"/>
      </w:pPr>
      <w:r>
        <w:tab/>
      </w:r>
      <w:r>
        <w:tab/>
        <w:t>Рассмотрение сообщения по существу</w:t>
      </w:r>
    </w:p>
    <w:p w:rsidR="0091479C" w:rsidRDefault="0091479C" w:rsidP="0091479C">
      <w:pPr>
        <w:pStyle w:val="SingleTxtGR"/>
      </w:pPr>
      <w:r>
        <w:t>9.1</w:t>
      </w:r>
      <w:r>
        <w:tab/>
        <w:t>Комитет по правам человека рассмотрел настоящее сообщение с учетом всей информации, представленной ему сторонами, в соответствии с пунктом 1 статьи 5 Факультативного протокола.</w:t>
      </w:r>
    </w:p>
    <w:p w:rsidR="0091479C" w:rsidRDefault="0091479C" w:rsidP="0091479C">
      <w:pPr>
        <w:pStyle w:val="SingleTxtGR"/>
      </w:pPr>
      <w:r>
        <w:t>9.2</w:t>
      </w:r>
      <w:r>
        <w:tab/>
        <w:t>Вопрос, находящийся на рассмотрении Комитета, заключается в том, с</w:t>
      </w:r>
      <w:r>
        <w:t>о</w:t>
      </w:r>
      <w:r>
        <w:t>ставляет ли отказ в требуемом разрешении на проведение запланированного а</w:t>
      </w:r>
      <w:r>
        <w:t>в</w:t>
      </w:r>
      <w:r>
        <w:t>тором пикета нарушение его прав, предусмотренных в ст</w:t>
      </w:r>
      <w:r>
        <w:t>а</w:t>
      </w:r>
      <w:r>
        <w:t>тье 21 Пакта.</w:t>
      </w:r>
    </w:p>
    <w:p w:rsidR="00240E84" w:rsidRPr="00B06DFA" w:rsidRDefault="00240E84" w:rsidP="00240E84">
      <w:pPr>
        <w:pStyle w:val="SingleTxtGR"/>
      </w:pPr>
      <w:r w:rsidRPr="00B06DFA">
        <w:t>9.3</w:t>
      </w:r>
      <w:r w:rsidRPr="00B06DFA">
        <w:tab/>
        <w:t>Комитет напоминает, что право на мирные собрания, гарантированное статьей 21 Пакта, является одним из основных прав человека, имеющим чре</w:t>
      </w:r>
      <w:r w:rsidRPr="00B06DFA">
        <w:t>з</w:t>
      </w:r>
      <w:r w:rsidRPr="00B06DFA">
        <w:t>вычайно важное значение для публичного выражения мнений и убеждений и неотъемлемым в демократическом обществе</w:t>
      </w:r>
      <w:r w:rsidRPr="00B06DFA">
        <w:rPr>
          <w:rStyle w:val="FootnoteReference"/>
        </w:rPr>
        <w:footnoteReference w:id="4"/>
      </w:r>
      <w:r w:rsidRPr="00B06DFA">
        <w:t xml:space="preserve">. Это право означает возможность организации мирного собрания и участия в нем, включая право на собрание без шествия (как, например, пикет) в общественном месте. Он напоминает, что </w:t>
      </w:r>
      <w:r>
        <w:t>пользование этим правом не подлежит никаким ограничениям, кроме тех, кот</w:t>
      </w:r>
      <w:r>
        <w:t>о</w:t>
      </w:r>
      <w:r>
        <w:t>рые</w:t>
      </w:r>
      <w:r w:rsidRPr="00B06DFA">
        <w:t xml:space="preserve"> </w:t>
      </w:r>
      <w:r w:rsidRPr="00B06DFA">
        <w:rPr>
          <w:lang w:val="en-GB"/>
        </w:rPr>
        <w:t>a</w:t>
      </w:r>
      <w:r w:rsidRPr="00B06DFA">
        <w:t>) нала</w:t>
      </w:r>
      <w:r w:rsidR="00885055">
        <w:t>гаются в соответствии с законом</w:t>
      </w:r>
      <w:r w:rsidRPr="00B06DFA">
        <w:t xml:space="preserve"> и </w:t>
      </w:r>
      <w:r w:rsidRPr="00B06DFA">
        <w:rPr>
          <w:lang w:val="en-GB"/>
        </w:rPr>
        <w:t>b</w:t>
      </w:r>
      <w:r w:rsidRPr="00B06DFA">
        <w:t>) необходимы в демократич</w:t>
      </w:r>
      <w:r w:rsidRPr="00B06DFA">
        <w:t>е</w:t>
      </w:r>
      <w:r w:rsidRPr="00B06DFA">
        <w:t>ском обществе в интересах государственной или общественной безопасности, общественного порядка, охраны здоровья и нравственности населения или з</w:t>
      </w:r>
      <w:r w:rsidRPr="00B06DFA">
        <w:t>а</w:t>
      </w:r>
      <w:r w:rsidRPr="00B06DFA">
        <w:t>щиты прав и св</w:t>
      </w:r>
      <w:r w:rsidRPr="00B06DFA">
        <w:t>о</w:t>
      </w:r>
      <w:r w:rsidRPr="00B06DFA">
        <w:t xml:space="preserve">бод других лиц. </w:t>
      </w:r>
    </w:p>
    <w:p w:rsidR="00240E84" w:rsidRPr="00B06DFA" w:rsidRDefault="00240E84" w:rsidP="00240E84">
      <w:pPr>
        <w:pStyle w:val="SingleTxtGR"/>
      </w:pPr>
      <w:r w:rsidRPr="00B06DFA">
        <w:t>9.4</w:t>
      </w:r>
      <w:r w:rsidRPr="00B06DFA">
        <w:tab/>
        <w:t>Комитет отмечает, что</w:t>
      </w:r>
      <w:r>
        <w:t>,</w:t>
      </w:r>
      <w:r w:rsidRPr="00B06DFA">
        <w:t xml:space="preserve"> поскольку государство-участник установило п</w:t>
      </w:r>
      <w:r w:rsidRPr="00B06DFA">
        <w:t>о</w:t>
      </w:r>
      <w:r w:rsidRPr="00B06DFA">
        <w:t>рядок организации массовых мероприятий, но отказало автору в разрешении на проведение запланированного пикета, оно наложило ограничение на осущест</w:t>
      </w:r>
      <w:r w:rsidRPr="00B06DFA">
        <w:t>в</w:t>
      </w:r>
      <w:r w:rsidRPr="00B06DFA">
        <w:t>ление права автора на мирные собрания. Следовательно, Комитет должен ра</w:t>
      </w:r>
      <w:r w:rsidRPr="00B06DFA">
        <w:t>с</w:t>
      </w:r>
      <w:r w:rsidRPr="00B06DFA">
        <w:t>смотреть вопрос о том, обоснованы ли соответствующие ограничения в соо</w:t>
      </w:r>
      <w:r w:rsidRPr="00B06DFA">
        <w:t>т</w:t>
      </w:r>
      <w:r w:rsidRPr="00B06DFA">
        <w:t>ветствии с критериями, изложенными во втором предложении статьи 21 Пакта. Комитет напоминает, что</w:t>
      </w:r>
      <w:r>
        <w:t>,</w:t>
      </w:r>
      <w:r w:rsidRPr="00B06DFA">
        <w:t xml:space="preserve"> если государство-участник налагает какое-либо огр</w:t>
      </w:r>
      <w:r w:rsidRPr="00B06DFA">
        <w:t>а</w:t>
      </w:r>
      <w:r w:rsidRPr="00B06DFA">
        <w:t>ничение в соответствии со статьей 21, оно должно продемонстрировать, что т</w:t>
      </w:r>
      <w:r w:rsidRPr="00B06DFA">
        <w:t>а</w:t>
      </w:r>
      <w:r w:rsidRPr="00B06DFA">
        <w:t>кое ограничение было необходимым для достижения целей, изложенных в этом положении.</w:t>
      </w:r>
    </w:p>
    <w:p w:rsidR="00240E84" w:rsidRPr="00B06DFA" w:rsidRDefault="00240E84" w:rsidP="00240E84">
      <w:pPr>
        <w:pStyle w:val="SingleTxtGR"/>
      </w:pPr>
      <w:r w:rsidRPr="00B06DFA">
        <w:t>9.5</w:t>
      </w:r>
      <w:r w:rsidRPr="00B06DFA">
        <w:tab/>
        <w:t>Комитет принимает к сведению аргумент государства-участника о том, что автору было отказано в разрешении на проведение пикета по поводу якобы имевшего место запрета политических партий, п</w:t>
      </w:r>
      <w:r w:rsidRPr="00B06DFA">
        <w:t>о</w:t>
      </w:r>
      <w:r w:rsidRPr="00B06DFA">
        <w:t>тому что, по мнению местных властей, этот запрет являлся надуманной проблемой. Он также принимает к сведению пояснение государства-участника о том, что никакого решения о з</w:t>
      </w:r>
      <w:r w:rsidRPr="00B06DFA">
        <w:t>а</w:t>
      </w:r>
      <w:r w:rsidRPr="00B06DFA">
        <w:t>прете политических партий не принималось и что цель пикета автора, таким образом, противоречила праву граждан на получ</w:t>
      </w:r>
      <w:r w:rsidRPr="00B06DFA">
        <w:t>е</w:t>
      </w:r>
      <w:r w:rsidRPr="00B06DFA">
        <w:t xml:space="preserve">ние достоверной информации, защищаемому статьей 34 Конституции и Законом </w:t>
      </w:r>
      <w:r>
        <w:t>от 30 декабря 1997 года</w:t>
      </w:r>
      <w:r>
        <w:br/>
      </w:r>
      <w:r w:rsidRPr="00B06DFA">
        <w:t>"О массовых мероприятиях". Комитет также принимает к сведению заявление государства-участника о том, что вышеупомянутый закон направлен на созд</w:t>
      </w:r>
      <w:r w:rsidRPr="00B06DFA">
        <w:t>а</w:t>
      </w:r>
      <w:r w:rsidRPr="00B06DFA">
        <w:t>ние условий для реализации конституционных прав и свобод граждан и обесп</w:t>
      </w:r>
      <w:r w:rsidRPr="00B06DFA">
        <w:t>е</w:t>
      </w:r>
      <w:r w:rsidRPr="00B06DFA">
        <w:t>чения общественной безопасности и порядка при проведении этих меропри</w:t>
      </w:r>
      <w:r w:rsidRPr="00B06DFA">
        <w:t>я</w:t>
      </w:r>
      <w:r w:rsidRPr="00B06DFA">
        <w:t>тий в общественных местах. Кроме того, он принимает во внимание утвержд</w:t>
      </w:r>
      <w:r w:rsidRPr="00B06DFA">
        <w:t>е</w:t>
      </w:r>
      <w:r w:rsidRPr="00B06DFA">
        <w:t>ние автора о том, что в национальном законодательстве о массовых меропри</w:t>
      </w:r>
      <w:r w:rsidRPr="00B06DFA">
        <w:t>я</w:t>
      </w:r>
      <w:r w:rsidRPr="00B06DFA">
        <w:t>тиях не упоминается понятия "надуманность проблемы" в качестве основания для отк</w:t>
      </w:r>
      <w:r w:rsidRPr="00B06DFA">
        <w:t>а</w:t>
      </w:r>
      <w:r w:rsidRPr="00B06DFA">
        <w:t xml:space="preserve">за в выдаче разрешения на проведение массового мероприятия. </w:t>
      </w:r>
    </w:p>
    <w:p w:rsidR="00240E84" w:rsidRPr="00B06DFA" w:rsidRDefault="00240E84" w:rsidP="00240E84">
      <w:pPr>
        <w:pStyle w:val="SingleTxtGR"/>
      </w:pPr>
      <w:r w:rsidRPr="00B06DFA">
        <w:t>9.6</w:t>
      </w:r>
      <w:r w:rsidRPr="00B06DFA">
        <w:tab/>
        <w:t xml:space="preserve">Комитету необходимо установить, является ли ограничение, </w:t>
      </w:r>
      <w:r>
        <w:t>наложенное</w:t>
      </w:r>
      <w:r w:rsidRPr="00B06DFA">
        <w:t xml:space="preserve"> в отношении пользования автором правом на мирные собрания, нарушением статьи 21 Пакта. Комитет отмечает, что в выдаче разрешения на проведение з</w:t>
      </w:r>
      <w:r w:rsidRPr="00B06DFA">
        <w:t>а</w:t>
      </w:r>
      <w:r w:rsidRPr="00B06DFA">
        <w:t>планированного автором пикета было отказано решением Жлобинского райо</w:t>
      </w:r>
      <w:r w:rsidRPr="00B06DFA">
        <w:t>н</w:t>
      </w:r>
      <w:r w:rsidRPr="00B06DFA">
        <w:t xml:space="preserve">ного исполнительного комитета Гомельской области, которое было поддержано </w:t>
      </w:r>
      <w:r>
        <w:t>национальными</w:t>
      </w:r>
      <w:r w:rsidRPr="00B06DFA">
        <w:t xml:space="preserve"> с</w:t>
      </w:r>
      <w:r w:rsidRPr="00B06DFA">
        <w:t>у</w:t>
      </w:r>
      <w:r w:rsidRPr="00B06DFA">
        <w:t xml:space="preserve">дами. </w:t>
      </w:r>
    </w:p>
    <w:p w:rsidR="00240E84" w:rsidRPr="00B06DFA" w:rsidRDefault="00240E84" w:rsidP="00240E84">
      <w:pPr>
        <w:pStyle w:val="SingleTxtGR"/>
        <w:rPr>
          <w:bCs/>
        </w:rPr>
      </w:pPr>
      <w:r w:rsidRPr="00B06DFA">
        <w:t>9.7</w:t>
      </w:r>
      <w:r w:rsidRPr="00B06DFA">
        <w:tab/>
        <w:t>Комитет напоминает, что отказ лицу в праве на организацию публичного собрания на основании его содержания является одним из наиболее серьезных нарушений свободы мирных собраний</w:t>
      </w:r>
      <w:r w:rsidRPr="00B06DFA">
        <w:rPr>
          <w:rStyle w:val="FootnoteReference"/>
        </w:rPr>
        <w:footnoteReference w:id="5"/>
      </w:r>
      <w:r w:rsidRPr="00B06DFA">
        <w:t xml:space="preserve">. </w:t>
      </w:r>
      <w:r w:rsidRPr="00B06DFA">
        <w:rPr>
          <w:bCs/>
        </w:rPr>
        <w:t xml:space="preserve">Кроме того, </w:t>
      </w:r>
      <w:r w:rsidRPr="00B06DFA">
        <w:t>когда какое-либо госуда</w:t>
      </w:r>
      <w:r w:rsidRPr="00B06DFA">
        <w:t>р</w:t>
      </w:r>
      <w:r w:rsidRPr="00B06DFA">
        <w:t>ство-участник налагает ограничения с целью обеспечения равновесия между правом индивидуума на собрание и вышеупомянутыми общими интересами, оно должно руководствоваться целью содействия осуществлению данного пр</w:t>
      </w:r>
      <w:r w:rsidRPr="00B06DFA">
        <w:t>а</w:t>
      </w:r>
      <w:r w:rsidRPr="00B06DFA">
        <w:t>ва, вместо того чтобы стремиться избыточно или несоразмерно ограничить его</w:t>
      </w:r>
      <w:r w:rsidRPr="00B06DFA">
        <w:rPr>
          <w:rStyle w:val="FootnoteReference"/>
        </w:rPr>
        <w:footnoteReference w:id="6"/>
      </w:r>
      <w:r w:rsidRPr="00B06DFA">
        <w:t>. Любое ограничение осуществления права на мирные собрания должно строго соответствовать критериям необходимости и соразмерности.</w:t>
      </w:r>
    </w:p>
    <w:p w:rsidR="00240E84" w:rsidRPr="00B06DFA" w:rsidRDefault="00240E84" w:rsidP="00240E84">
      <w:pPr>
        <w:pStyle w:val="SingleTxtGR"/>
      </w:pPr>
      <w:r w:rsidRPr="00B06DFA">
        <w:rPr>
          <w:bCs/>
        </w:rPr>
        <w:t>9.8</w:t>
      </w:r>
      <w:r w:rsidRPr="00B06DFA">
        <w:rPr>
          <w:bCs/>
        </w:rPr>
        <w:tab/>
        <w:t>Применительно к настоящему делу Комитет отмечает, что государство-участник не продемонстрировало, что отказ в выдаче разрешения на провед</w:t>
      </w:r>
      <w:r w:rsidRPr="00B06DFA">
        <w:rPr>
          <w:bCs/>
        </w:rPr>
        <w:t>е</w:t>
      </w:r>
      <w:r w:rsidRPr="00B06DFA">
        <w:rPr>
          <w:bCs/>
        </w:rPr>
        <w:t>ние пикета, даже если он и был основан на законе, был необходимым для одной из законных целей, изложенных в статье 21 Пакта</w:t>
      </w:r>
      <w:r w:rsidRPr="00B06DFA">
        <w:t>. В частности, государс</w:t>
      </w:r>
      <w:r w:rsidRPr="00B06DFA">
        <w:t>т</w:t>
      </w:r>
      <w:r w:rsidRPr="00B06DFA">
        <w:t>во-участник не пояснило, каким именно образом проведение пикета по соответс</w:t>
      </w:r>
      <w:r w:rsidRPr="00B06DFA">
        <w:t>т</w:t>
      </w:r>
      <w:r w:rsidRPr="00B06DFA">
        <w:t>вующему вопросу создало бы угрозу общественной безопасности и обществе</w:t>
      </w:r>
      <w:r w:rsidRPr="00B06DFA">
        <w:t>н</w:t>
      </w:r>
      <w:r w:rsidRPr="00B06DFA">
        <w:t>ному порядку, о которой заявляет государство-участник. Что касается упомян</w:t>
      </w:r>
      <w:r w:rsidRPr="00B06DFA">
        <w:t>у</w:t>
      </w:r>
      <w:r w:rsidRPr="00B06DFA">
        <w:t>той необходимости защищать права других лиц на получение достоверной и</w:t>
      </w:r>
      <w:r w:rsidRPr="00B06DFA">
        <w:t>н</w:t>
      </w:r>
      <w:r w:rsidRPr="00B06DFA">
        <w:t>формации, то государство-участник не продемонстрировало, как это согласуе</w:t>
      </w:r>
      <w:r w:rsidRPr="00B06DFA">
        <w:t>т</w:t>
      </w:r>
      <w:r w:rsidRPr="00B06DFA">
        <w:t>ся с законными целями, предусмотренными в статье 21 Пакта, и, в частности, почему это было необходимо в демократическом обществе, краеугольным ка</w:t>
      </w:r>
      <w:r w:rsidRPr="00B06DFA">
        <w:t>м</w:t>
      </w:r>
      <w:r w:rsidRPr="00B06DFA">
        <w:t>нем которого является свободное распространение информации и идей, в том числе оспариваемых правительством или большинством населения</w:t>
      </w:r>
      <w:r w:rsidRPr="00B06DFA">
        <w:rPr>
          <w:rStyle w:val="FootnoteReference"/>
        </w:rPr>
        <w:footnoteReference w:id="7"/>
      </w:r>
      <w:r w:rsidRPr="00B06DFA">
        <w:t>. Кроме т</w:t>
      </w:r>
      <w:r w:rsidRPr="00B06DFA">
        <w:t>о</w:t>
      </w:r>
      <w:r w:rsidRPr="00B06DFA">
        <w:t>го, государство-участник не продемонстрировало, что эти цели могли быть до</w:t>
      </w:r>
      <w:r w:rsidRPr="00B06DFA">
        <w:t>с</w:t>
      </w:r>
      <w:r w:rsidRPr="00B06DFA">
        <w:t>тигнуты только посредством отказа в проведении предлагаемого автором пик</w:t>
      </w:r>
      <w:r w:rsidRPr="00B06DFA">
        <w:t>е</w:t>
      </w:r>
      <w:r w:rsidRPr="00B06DFA">
        <w:t>та. Комитет приходит к выводу о том, что в отсутствие других относящихся к делу пояснений государства-участника, представленные факты свидетельств</w:t>
      </w:r>
      <w:r w:rsidRPr="00B06DFA">
        <w:t>у</w:t>
      </w:r>
      <w:r w:rsidRPr="00B06DFA">
        <w:t>ют о нар</w:t>
      </w:r>
      <w:r w:rsidRPr="00B06DFA">
        <w:t>у</w:t>
      </w:r>
      <w:r w:rsidRPr="00B06DFA">
        <w:t xml:space="preserve">шении государством-участником прав автора по статье 21 Пакта. </w:t>
      </w:r>
    </w:p>
    <w:p w:rsidR="00240E84" w:rsidRPr="00B06DFA" w:rsidRDefault="00240E84" w:rsidP="00240E84">
      <w:pPr>
        <w:pStyle w:val="SingleTxtGR"/>
      </w:pPr>
      <w:r w:rsidRPr="00B06DFA">
        <w:t>10.</w:t>
      </w:r>
      <w:r w:rsidRPr="00B06DFA">
        <w:tab/>
        <w:t xml:space="preserve">Комитет по правам человека, действуя в </w:t>
      </w:r>
      <w:r w:rsidR="00885055">
        <w:t>соответствии с пунктом 4 ст</w:t>
      </w:r>
      <w:r w:rsidR="00885055">
        <w:t>а</w:t>
      </w:r>
      <w:r w:rsidR="00885055">
        <w:t>тьи </w:t>
      </w:r>
      <w:r w:rsidRPr="00B06DFA">
        <w:t>5 Факультативного протокола к Международному пакту о гражданских и политических правах, считает, что государство-участник нарушило права авт</w:t>
      </w:r>
      <w:r w:rsidRPr="00B06DFA">
        <w:t>о</w:t>
      </w:r>
      <w:r w:rsidRPr="00B06DFA">
        <w:t>ра</w:t>
      </w:r>
      <w:r>
        <w:t xml:space="preserve">, предусмотренные </w:t>
      </w:r>
      <w:r w:rsidRPr="00B06DFA">
        <w:t>статье</w:t>
      </w:r>
      <w:r>
        <w:t>й</w:t>
      </w:r>
      <w:r w:rsidRPr="00B06DFA">
        <w:t xml:space="preserve"> 21 Пакта.</w:t>
      </w:r>
    </w:p>
    <w:p w:rsidR="00240E84" w:rsidRPr="00B06DFA" w:rsidRDefault="00240E84" w:rsidP="00240E84">
      <w:pPr>
        <w:pStyle w:val="SingleTxtGR"/>
      </w:pPr>
      <w:r w:rsidRPr="00B06DFA">
        <w:t>11.</w:t>
      </w:r>
      <w:r w:rsidRPr="00B06DFA">
        <w:tab/>
        <w:t xml:space="preserve">В соответствии с пунктом 3 </w:t>
      </w:r>
      <w:r w:rsidRPr="00B06DFA">
        <w:rPr>
          <w:lang w:val="en-GB"/>
        </w:rPr>
        <w:t>a</w:t>
      </w:r>
      <w:r w:rsidRPr="00B06DFA">
        <w:t>) статьи 2 Пакта государство-участник об</w:t>
      </w:r>
      <w:r w:rsidRPr="00B06DFA">
        <w:t>я</w:t>
      </w:r>
      <w:r w:rsidRPr="00B06DFA">
        <w:t xml:space="preserve">зано предоставить автору </w:t>
      </w:r>
      <w:r>
        <w:t xml:space="preserve">сообщения </w:t>
      </w:r>
      <w:r w:rsidRPr="00B06DFA">
        <w:t>эффективные средства правовой защиты, включая надлежащую компенсацию. Кроме того, государство-участник обязано пре</w:t>
      </w:r>
      <w:r w:rsidRPr="00B06DFA">
        <w:t>д</w:t>
      </w:r>
      <w:r w:rsidRPr="00B06DFA">
        <w:t>принять шаги для недопущения аналогичных нарушений в будущем.</w:t>
      </w:r>
    </w:p>
    <w:p w:rsidR="00240E84" w:rsidRPr="00B06DFA" w:rsidRDefault="00240E84" w:rsidP="00240E84">
      <w:pPr>
        <w:pStyle w:val="SingleTxtGR"/>
      </w:pPr>
      <w:r w:rsidRPr="00B06DFA">
        <w:t>12.</w:t>
      </w:r>
      <w:r w:rsidRPr="00B06DFA">
        <w:tab/>
        <w:t xml:space="preserve">С учетом того, что, </w:t>
      </w:r>
      <w:r>
        <w:t>присоединившись к</w:t>
      </w:r>
      <w:r w:rsidRPr="00B06DFA">
        <w:t xml:space="preserve"> Факультативно</w:t>
      </w:r>
      <w:r>
        <w:t>му протоколу</w:t>
      </w:r>
      <w:r w:rsidRPr="00B06DFA">
        <w:t>, г</w:t>
      </w:r>
      <w:r w:rsidRPr="00B06DFA">
        <w:t>о</w:t>
      </w:r>
      <w:r w:rsidRPr="00B06DFA">
        <w:t>сударство-участник признало компетенцию Комитета выносить решения по факту наличия или отсутствия нарушения Пакта и что согласно статье 2 Пакта государство-участник обязано обеспечивать всем находящимся в пределах его территории и под его юрисдикцией лицам признаваемые в Пакте права и обе</w:t>
      </w:r>
      <w:r w:rsidRPr="00B06DFA">
        <w:t>с</w:t>
      </w:r>
      <w:r w:rsidRPr="00B06DFA">
        <w:t xml:space="preserve">печивать </w:t>
      </w:r>
      <w:r>
        <w:t xml:space="preserve">им </w:t>
      </w:r>
      <w:r w:rsidRPr="00B06DFA">
        <w:t>эффективное и обладающее исковой силой средство правовой з</w:t>
      </w:r>
      <w:r w:rsidRPr="00B06DFA">
        <w:t>а</w:t>
      </w:r>
      <w:r w:rsidRPr="00B06DFA">
        <w:t>щиты в случае установления факта нарушения, Комитет хотел бы получить от государства-участника в течение 180 дней информацию о мерах, принятых в</w:t>
      </w:r>
      <w:r>
        <w:t>о исполнение</w:t>
      </w:r>
      <w:r w:rsidRPr="00B06DFA">
        <w:t xml:space="preserve"> Соображений Комитета. Кроме того, он просит государство-участник опубликовать настоящие Соображения и обеспечить их широкое ра</w:t>
      </w:r>
      <w:r w:rsidRPr="00B06DFA">
        <w:t>с</w:t>
      </w:r>
      <w:r w:rsidRPr="00B06DFA">
        <w:t>пространение в государстве-участнике на бел</w:t>
      </w:r>
      <w:r w:rsidRPr="00B06DFA">
        <w:t>о</w:t>
      </w:r>
      <w:r w:rsidRPr="00B06DFA">
        <w:t>русском и русском языках.</w:t>
      </w:r>
    </w:p>
    <w:p w:rsidR="0095018E" w:rsidRDefault="00240E84" w:rsidP="00240E84">
      <w:pPr>
        <w:pStyle w:val="SingleTxtGR"/>
      </w:pPr>
      <w:r w:rsidRPr="00B06DFA">
        <w:t>[Принято на английском, испанском и французском языках, причем языком ор</w:t>
      </w:r>
      <w:r w:rsidRPr="00B06DFA">
        <w:t>и</w:t>
      </w:r>
      <w:r w:rsidRPr="00B06DFA">
        <w:t>гинала является английский. Впоследствии будет также издано на арабском, к</w:t>
      </w:r>
      <w:r w:rsidRPr="00B06DFA">
        <w:t>и</w:t>
      </w:r>
      <w:r w:rsidRPr="00B06DFA">
        <w:t>тайском и русском языках в качестве части ежегодного доклада Комитета Ген</w:t>
      </w:r>
      <w:r w:rsidRPr="00B06DFA">
        <w:t>е</w:t>
      </w:r>
      <w:r w:rsidRPr="00B06DFA">
        <w:t>ральной Ассамблее.]</w:t>
      </w:r>
    </w:p>
    <w:p w:rsidR="00AC0BD4" w:rsidRPr="00AE3925" w:rsidRDefault="00DF6ACF" w:rsidP="00AC0BD4">
      <w:pPr>
        <w:pStyle w:val="HChGR"/>
      </w:pPr>
      <w:r>
        <w:br w:type="page"/>
      </w:r>
      <w:r w:rsidR="00AC0BD4" w:rsidRPr="00AE3925">
        <w:t>Добавление</w:t>
      </w:r>
    </w:p>
    <w:p w:rsidR="00AC0BD4" w:rsidRPr="00AE3925" w:rsidRDefault="00AC0BD4" w:rsidP="00AC0BD4">
      <w:pPr>
        <w:pStyle w:val="H1GR"/>
      </w:pPr>
      <w:r w:rsidRPr="00AE3925">
        <w:tab/>
      </w:r>
      <w:r w:rsidRPr="00AE3925">
        <w:tab/>
        <w:t>Особое мнение членов Комитета г-на Фабиана Сальвиоли</w:t>
      </w:r>
      <w:r>
        <w:br/>
      </w:r>
      <w:r w:rsidRPr="00AE3925">
        <w:t>и г-на Виктора Родригеса-Ресиа (совпадающее)</w:t>
      </w:r>
    </w:p>
    <w:p w:rsidR="00AC0BD4" w:rsidRPr="00AE3925" w:rsidRDefault="00AC0BD4" w:rsidP="00AC0BD4">
      <w:pPr>
        <w:pStyle w:val="SingleTxtGR"/>
      </w:pPr>
      <w:r>
        <w:tab/>
      </w:r>
      <w:r w:rsidRPr="00AE3925">
        <w:t>Мы согласны с решением Комитета по сообщению №</w:t>
      </w:r>
      <w:r w:rsidRPr="00AE3925">
        <w:rPr>
          <w:lang w:val="en-US"/>
        </w:rPr>
        <w:t> </w:t>
      </w:r>
      <w:r w:rsidRPr="00AE3925">
        <w:t xml:space="preserve">1864/2009 </w:t>
      </w:r>
      <w:r w:rsidRPr="00AE3925">
        <w:rPr>
          <w:i/>
        </w:rPr>
        <w:t xml:space="preserve">Кирсанов против Беларуси, </w:t>
      </w:r>
      <w:r w:rsidRPr="00AE3925">
        <w:t>устанавливающем международную ответственность госуда</w:t>
      </w:r>
      <w:r w:rsidRPr="00AE3925">
        <w:t>р</w:t>
      </w:r>
      <w:r w:rsidRPr="00AE3925">
        <w:t>ства за нарушение статьи 21 Международного пакта о гражданских и политич</w:t>
      </w:r>
      <w:r w:rsidRPr="00AE3925">
        <w:t>е</w:t>
      </w:r>
      <w:r w:rsidRPr="00AE3925">
        <w:t>ских правах (о праве на мирные собрания). Вместе с тем мы считаем, что по данному делу Комитету следовало также сделать вывод о нарушении государс</w:t>
      </w:r>
      <w:r w:rsidRPr="00AE3925">
        <w:t>т</w:t>
      </w:r>
      <w:r w:rsidRPr="00AE3925">
        <w:t>вом статьи 19 Пакта. Обстоятельства дела свидетельствуют о том, что запрещ</w:t>
      </w:r>
      <w:r w:rsidRPr="00AE3925">
        <w:t>е</w:t>
      </w:r>
      <w:r w:rsidRPr="00AE3925">
        <w:t>ние государством мирной демонстрации по причине "отсутствия оснований" для пр</w:t>
      </w:r>
      <w:r w:rsidRPr="00AE3925">
        <w:t>о</w:t>
      </w:r>
      <w:r w:rsidRPr="00AE3925">
        <w:t>ведения мероприятия представляет собой серьезное нарушение права на своб</w:t>
      </w:r>
      <w:r w:rsidRPr="00AE3925">
        <w:t>о</w:t>
      </w:r>
      <w:r w:rsidRPr="00AE3925">
        <w:t>ду выражения мнений.</w:t>
      </w:r>
    </w:p>
    <w:p w:rsidR="00AC0BD4" w:rsidRPr="00AE3925" w:rsidRDefault="00AC0BD4" w:rsidP="00AC0BD4">
      <w:pPr>
        <w:pStyle w:val="SingleTxtGR"/>
      </w:pPr>
      <w:r>
        <w:tab/>
      </w:r>
      <w:r w:rsidRPr="00AE3925">
        <w:t>Как четко заявил автор, цель демонстрации заключалась в том, чтобы привлечь внимание граждан к политике государства-участника, направленной против о</w:t>
      </w:r>
      <w:r w:rsidRPr="00AE3925">
        <w:t>п</w:t>
      </w:r>
      <w:r w:rsidRPr="00AE3925">
        <w:t>позиционных политических партий и общественных движений, а также выр</w:t>
      </w:r>
      <w:r w:rsidRPr="00AE3925">
        <w:t>а</w:t>
      </w:r>
      <w:r w:rsidRPr="00AE3925">
        <w:t>зить протест против предполагаемой попытки государства-участника ликвид</w:t>
      </w:r>
      <w:r w:rsidRPr="00AE3925">
        <w:t>и</w:t>
      </w:r>
      <w:r w:rsidRPr="00AE3925">
        <w:t>ровать Партию коммунистов Белорусскую</w:t>
      </w:r>
      <w:r w:rsidRPr="00082A2D">
        <w:rPr>
          <w:rStyle w:val="FootnoteReference"/>
        </w:rPr>
        <w:footnoteReference w:id="8"/>
      </w:r>
      <w:r w:rsidRPr="00AE3925">
        <w:t>.</w:t>
      </w:r>
      <w:r>
        <w:t xml:space="preserve"> Самым важным в данном деле был несомненно</w:t>
      </w:r>
      <w:r w:rsidRPr="00AE3925">
        <w:t xml:space="preserve"> вопрос о выражении автором своего мнения, а мирное собрание служило средством, избранным для осуществления данного права. Таким обр</w:t>
      </w:r>
      <w:r w:rsidRPr="00AE3925">
        <w:t>а</w:t>
      </w:r>
      <w:r w:rsidRPr="00AE3925">
        <w:t>зом, имело место нарушение обоих прав, но в первую очередь пра</w:t>
      </w:r>
      <w:r>
        <w:t>ва на свободу выражения мнений.</w:t>
      </w:r>
    </w:p>
    <w:p w:rsidR="00AC0BD4" w:rsidRPr="00AE3925" w:rsidRDefault="00AC0BD4" w:rsidP="00AC0BD4">
      <w:pPr>
        <w:pStyle w:val="SingleTxtGR"/>
      </w:pPr>
      <w:r>
        <w:tab/>
      </w:r>
      <w:r w:rsidRPr="00AE3925">
        <w:t>Комитету в свете данных обстоятельств следует просто применять нормы права, т</w:t>
      </w:r>
      <w:r w:rsidR="003C759E">
        <w:t>.е.</w:t>
      </w:r>
      <w:r w:rsidRPr="00AE3925">
        <w:t>, Пакта. Выдвигаемые сторонами доводы служат лишь справочными сведениями, которые Комитет может принимать во внимание при оценке о</w:t>
      </w:r>
      <w:r w:rsidRPr="00AE3925">
        <w:t>б</w:t>
      </w:r>
      <w:r w:rsidRPr="00AE3925">
        <w:t>стоятельств дела, однако они никоим образом не должны сужать полномочия Комитета выносить такие решения по делу, которые, по его мнению, наилу</w:t>
      </w:r>
      <w:r w:rsidRPr="00AE3925">
        <w:t>ч</w:t>
      </w:r>
      <w:r w:rsidRPr="00AE3925">
        <w:t>шим образо</w:t>
      </w:r>
      <w:r>
        <w:t>м служат предмету и цели Пакта.</w:t>
      </w:r>
    </w:p>
    <w:p w:rsidR="00AC0BD4" w:rsidRPr="00AE3925" w:rsidRDefault="00AC0BD4" w:rsidP="00AC0BD4">
      <w:pPr>
        <w:pStyle w:val="SingleTxtGR"/>
      </w:pPr>
      <w:r>
        <w:tab/>
      </w:r>
      <w:r w:rsidRPr="00AE3925">
        <w:t>Если Комитет продолжит ограничивать собственные возможности для реагир</w:t>
      </w:r>
      <w:r w:rsidRPr="00AE3925">
        <w:t>о</w:t>
      </w:r>
      <w:r w:rsidRPr="00AE3925">
        <w:t xml:space="preserve">вания на сообщения, он будет и впредь принимать непоследовательные решения. Приняв данные Соображения, Комитет на той же сессии пришел к иному выводу по другому делу, касающемуся того же государства-участника и </w:t>
      </w:r>
      <w:r>
        <w:t>схо</w:t>
      </w:r>
      <w:r>
        <w:t>д</w:t>
      </w:r>
      <w:r w:rsidRPr="00AE3925">
        <w:t>ных событий</w:t>
      </w:r>
      <w:r w:rsidRPr="00082A2D">
        <w:rPr>
          <w:rStyle w:val="FootnoteReference"/>
        </w:rPr>
        <w:footnoteReference w:id="9"/>
      </w:r>
      <w:r w:rsidRPr="00AE3925">
        <w:t>.</w:t>
      </w:r>
    </w:p>
    <w:p w:rsidR="00AC0BD4" w:rsidRPr="00AE3925" w:rsidRDefault="00AC0BD4" w:rsidP="00AC0BD4">
      <w:pPr>
        <w:pStyle w:val="SingleTxtGR"/>
      </w:pPr>
      <w:r>
        <w:tab/>
      </w:r>
      <w:r w:rsidRPr="00AE3925">
        <w:t>Как мы уже указывали в особых мнениях по поводу других сообщений, Комитет иногда применяет статьи Пакта, которые не упоминались сторонами в их представлениях</w:t>
      </w:r>
      <w:r w:rsidRPr="00082A2D">
        <w:rPr>
          <w:rStyle w:val="FootnoteReference"/>
        </w:rPr>
        <w:footnoteReference w:id="10"/>
      </w:r>
      <w:r w:rsidRPr="00AE3925">
        <w:t xml:space="preserve">. В других случаях, в частности по данному делу, он этого не делает. Такой подход </w:t>
      </w:r>
      <w:r>
        <w:t xml:space="preserve">лишен </w:t>
      </w:r>
      <w:r w:rsidRPr="00AE3925">
        <w:t>логи</w:t>
      </w:r>
      <w:r>
        <w:t>ки.</w:t>
      </w:r>
    </w:p>
    <w:p w:rsidR="00AC0BD4" w:rsidRPr="00AE3925" w:rsidRDefault="00AC0BD4" w:rsidP="00AC0BD4">
      <w:pPr>
        <w:pStyle w:val="SingleTxtGR"/>
      </w:pPr>
      <w:r>
        <w:tab/>
      </w:r>
      <w:r w:rsidRPr="00AE3925">
        <w:t>Отказ от подобной непоследовательности способствовал бы совершенс</w:t>
      </w:r>
      <w:r w:rsidRPr="00AE3925">
        <w:t>т</w:t>
      </w:r>
      <w:r w:rsidRPr="00AE3925">
        <w:t>вованию практики Комитета, более действенному осуществлению норм права, надлежащей реализации предмета и цели Пакта и формулированию более че</w:t>
      </w:r>
      <w:r w:rsidRPr="00AE3925">
        <w:t>т</w:t>
      </w:r>
      <w:r w:rsidRPr="00AE3925">
        <w:t>ких указаний для государств о предоставлении должного возмещения в тех сл</w:t>
      </w:r>
      <w:r w:rsidRPr="00AE3925">
        <w:t>у</w:t>
      </w:r>
      <w:r w:rsidRPr="00AE3925">
        <w:t>чаях, когда устанавливается их международная ответственность.</w:t>
      </w:r>
    </w:p>
    <w:p w:rsidR="00AC0BD4" w:rsidRPr="00AC0BD4" w:rsidRDefault="00AC0BD4" w:rsidP="00AC0BD4">
      <w:pPr>
        <w:pStyle w:val="SingleTxtGR"/>
      </w:pPr>
      <w:r w:rsidRPr="00AE3925">
        <w:t>[Принято на английском, испанском и французском языках, причем языком ор</w:t>
      </w:r>
      <w:r w:rsidRPr="00AE3925">
        <w:t>и</w:t>
      </w:r>
      <w:r w:rsidRPr="00AE3925">
        <w:t>гинала является испанский. Впоследствии будет также издано на арабском, к</w:t>
      </w:r>
      <w:r w:rsidRPr="00AE3925">
        <w:t>и</w:t>
      </w:r>
      <w:r w:rsidRPr="00AE3925">
        <w:t>тайском и русском языках в качестве части ежегодного доклада Комитета Ген</w:t>
      </w:r>
      <w:r w:rsidRPr="00AE3925">
        <w:t>е</w:t>
      </w:r>
      <w:r w:rsidRPr="00AE3925">
        <w:t>ральной Ассамблее.]</w:t>
      </w:r>
    </w:p>
    <w:p w:rsidR="00AC0BD4" w:rsidRPr="00AC0BD4" w:rsidRDefault="00AC0BD4" w:rsidP="00AC0BD4">
      <w:pPr>
        <w:spacing w:before="240"/>
        <w:jc w:val="center"/>
        <w:rPr>
          <w:u w:val="single"/>
        </w:rPr>
      </w:pPr>
      <w:r w:rsidRPr="00AC0BD4">
        <w:rPr>
          <w:u w:val="single"/>
        </w:rPr>
        <w:tab/>
      </w:r>
      <w:r w:rsidRPr="00AC0BD4">
        <w:rPr>
          <w:u w:val="single"/>
        </w:rPr>
        <w:tab/>
      </w:r>
      <w:r w:rsidRPr="00AC0BD4">
        <w:rPr>
          <w:u w:val="single"/>
        </w:rPr>
        <w:tab/>
      </w:r>
    </w:p>
    <w:p w:rsidR="00DF6ACF" w:rsidRPr="007D4615" w:rsidRDefault="00DF6ACF" w:rsidP="00240E84">
      <w:pPr>
        <w:pStyle w:val="SingleTxtGR"/>
      </w:pPr>
    </w:p>
    <w:sectPr w:rsidR="00DF6ACF" w:rsidRPr="007D4615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8EB" w:rsidRDefault="00B148EB">
      <w:r>
        <w:rPr>
          <w:lang w:val="en-US"/>
        </w:rPr>
        <w:tab/>
      </w:r>
      <w:r>
        <w:separator/>
      </w:r>
    </w:p>
  </w:endnote>
  <w:endnote w:type="continuationSeparator" w:id="0">
    <w:p w:rsidR="00B148EB" w:rsidRDefault="00B1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58" w:rsidRPr="005F0588" w:rsidRDefault="00D76358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4EC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="00BC7F12">
      <w:rPr>
        <w:lang w:val="en-US"/>
      </w:rPr>
      <w:t>1</w:t>
    </w:r>
    <w:r w:rsidR="00B1365E">
      <w:rPr>
        <w:lang w:val="en-US"/>
      </w:rPr>
      <w:t>4</w:t>
    </w:r>
    <w:r>
      <w:rPr>
        <w:lang w:val="en-US"/>
      </w:rPr>
      <w:t>-</w:t>
    </w:r>
    <w:r w:rsidR="00B1365E">
      <w:rPr>
        <w:lang w:val="en-US"/>
      </w:rPr>
      <w:t>04345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58" w:rsidRPr="005F0588" w:rsidRDefault="00D76358">
    <w:pPr>
      <w:pStyle w:val="Footer"/>
      <w:rPr>
        <w:lang w:val="en-US"/>
      </w:rPr>
    </w:pPr>
    <w:r>
      <w:rPr>
        <w:lang w:val="en-US"/>
      </w:rPr>
      <w:t>GE.</w:t>
    </w:r>
    <w:r w:rsidR="00BC7F12">
      <w:rPr>
        <w:lang w:val="en-US"/>
      </w:rPr>
      <w:t>1</w:t>
    </w:r>
    <w:r w:rsidR="00B1365E">
      <w:rPr>
        <w:lang w:val="en-US"/>
      </w:rPr>
      <w:t>4</w:t>
    </w:r>
    <w:r>
      <w:rPr>
        <w:lang w:val="en-US"/>
      </w:rPr>
      <w:t>-</w:t>
    </w:r>
    <w:r w:rsidR="00B1365E">
      <w:rPr>
        <w:lang w:val="en-US"/>
      </w:rPr>
      <w:t>04345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4EC1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381289" w:rsidTr="00611264">
      <w:trPr>
        <w:trHeight w:val="438"/>
      </w:trPr>
      <w:tc>
        <w:tcPr>
          <w:tcW w:w="4068" w:type="dxa"/>
          <w:vAlign w:val="bottom"/>
        </w:tcPr>
        <w:p w:rsidR="00381289" w:rsidRPr="00610845" w:rsidRDefault="00FF6D71" w:rsidP="00611264">
          <w:r>
            <w:rPr>
              <w:lang w:val="en-US"/>
            </w:rPr>
            <w:t>GE.</w:t>
          </w:r>
          <w:r w:rsidR="00381289">
            <w:rPr>
              <w:lang w:val="en-US"/>
            </w:rPr>
            <w:t>1</w:t>
          </w:r>
          <w:r w:rsidR="002B181B">
            <w:t>4</w:t>
          </w:r>
          <w:r w:rsidR="00381289">
            <w:rPr>
              <w:lang w:val="en-US"/>
            </w:rPr>
            <w:t>-</w:t>
          </w:r>
          <w:r w:rsidR="00B1365E">
            <w:t>04345</w:t>
          </w:r>
          <w:r w:rsidR="00381289">
            <w:rPr>
              <w:lang w:val="en-US"/>
            </w:rPr>
            <w:t xml:space="preserve">  (R)</w:t>
          </w:r>
          <w:r w:rsidR="00610845">
            <w:t xml:space="preserve">  210714  210714</w:t>
          </w:r>
        </w:p>
      </w:tc>
      <w:tc>
        <w:tcPr>
          <w:tcW w:w="4663" w:type="dxa"/>
          <w:vMerge w:val="restart"/>
          <w:vAlign w:val="bottom"/>
        </w:tcPr>
        <w:p w:rsidR="00381289" w:rsidRDefault="00381289" w:rsidP="00611264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381289" w:rsidRDefault="00610845" w:rsidP="00611264">
          <w:pPr>
            <w:jc w:val="right"/>
          </w:pPr>
          <w:r>
            <w:pict>
              <v:shape id="_x0000_i1027" type="#_x0000_t75" style="width:50.25pt;height:50.25pt">
                <v:imagedata r:id="rId2" o:title="2009&amp;Size=2&amp;Lang=R"/>
              </v:shape>
            </w:pict>
          </w:r>
        </w:p>
      </w:tc>
    </w:tr>
    <w:tr w:rsidR="00381289" w:rsidRPr="00797A78" w:rsidTr="00611264">
      <w:tc>
        <w:tcPr>
          <w:tcW w:w="4068" w:type="dxa"/>
          <w:vAlign w:val="bottom"/>
        </w:tcPr>
        <w:p w:rsidR="00381289" w:rsidRPr="00610845" w:rsidRDefault="00610845" w:rsidP="00611264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6108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6108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108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6108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6108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6108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6108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6108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6108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381289" w:rsidRDefault="00381289" w:rsidP="00611264"/>
      </w:tc>
      <w:tc>
        <w:tcPr>
          <w:tcW w:w="1124" w:type="dxa"/>
          <w:vMerge/>
        </w:tcPr>
        <w:p w:rsidR="00381289" w:rsidRDefault="00381289" w:rsidP="00611264"/>
      </w:tc>
    </w:tr>
  </w:tbl>
  <w:p w:rsidR="00381289" w:rsidRDefault="00381289" w:rsidP="00381289">
    <w:pPr>
      <w:spacing w:line="240" w:lineRule="auto"/>
      <w:rPr>
        <w:sz w:val="2"/>
        <w:szCs w:val="2"/>
        <w:lang w:val="en-US"/>
      </w:rPr>
    </w:pPr>
  </w:p>
  <w:p w:rsidR="006E7AF7" w:rsidRPr="002D7E3C" w:rsidRDefault="006E7AF7" w:rsidP="006E7AF7">
    <w:pPr>
      <w:pStyle w:val="Footer"/>
      <w:rPr>
        <w:sz w:val="2"/>
        <w:szCs w:val="2"/>
      </w:rPr>
    </w:pPr>
    <w:r w:rsidRPr="002D7E3C">
      <w:rPr>
        <w:noProof/>
        <w:sz w:val="2"/>
        <w:szCs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0pt;margin-top:-193.15pt;width:36pt;height:162.95pt;z-index:1" filled="f" stroked="f">
          <v:textbox style="layout-flow:vertical" inset="0,0,0,0">
            <w:txbxContent>
              <w:p w:rsidR="006E7AF7" w:rsidRDefault="006E7AF7" w:rsidP="006E7AF7">
                <w:pPr>
                  <w:rPr>
                    <w:lang w:val="en-US"/>
                  </w:rPr>
                </w:pPr>
              </w:p>
              <w:p w:rsidR="006E7AF7" w:rsidRDefault="006E7AF7" w:rsidP="006E7AF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0B4EC1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8EB" w:rsidRPr="00F71F63" w:rsidRDefault="00B148EB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B148EB" w:rsidRPr="00F71F63" w:rsidRDefault="00B148EB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B148EB" w:rsidRPr="00635E86" w:rsidRDefault="00B148EB" w:rsidP="00635E86">
      <w:pPr>
        <w:pStyle w:val="Footer"/>
      </w:pPr>
    </w:p>
  </w:footnote>
  <w:footnote w:id="1">
    <w:p w:rsidR="00CB1998" w:rsidRDefault="00CB1998">
      <w:pPr>
        <w:pStyle w:val="FootnoteText"/>
        <w:rPr>
          <w:bCs/>
          <w:lang w:val="ru-RU"/>
        </w:rPr>
      </w:pPr>
      <w:r>
        <w:tab/>
      </w:r>
      <w:r w:rsidRPr="00610845">
        <w:rPr>
          <w:rStyle w:val="FootnoteReference"/>
          <w:szCs w:val="18"/>
          <w:vertAlign w:val="baseline"/>
          <w:lang w:val="ru-RU"/>
        </w:rPr>
        <w:t>*</w:t>
      </w:r>
      <w:r w:rsidRPr="00CB1998">
        <w:rPr>
          <w:lang w:val="ru-RU"/>
        </w:rPr>
        <w:tab/>
        <w:t>В рассмотрении настоящего сообщения приняли участие следующие члены Комитета: г-н Ядх Бен Ашур, г-н Лазхари Бузид</w:t>
      </w:r>
      <w:r w:rsidRPr="00CB1998">
        <w:rPr>
          <w:bCs/>
          <w:lang w:val="ru-RU"/>
        </w:rPr>
        <w:t>, г</w:t>
      </w:r>
      <w:r w:rsidRPr="00CB1998">
        <w:rPr>
          <w:lang w:val="ru-RU"/>
        </w:rPr>
        <w:t>-жа Кристина Шане</w:t>
      </w:r>
      <w:r w:rsidRPr="00CB1998">
        <w:rPr>
          <w:bCs/>
          <w:lang w:val="ru-RU"/>
        </w:rPr>
        <w:t xml:space="preserve">, </w:t>
      </w:r>
      <w:r w:rsidRPr="00CB1998">
        <w:rPr>
          <w:lang w:val="ru-RU"/>
        </w:rPr>
        <w:t>г-н Корнелис Флинтерман</w:t>
      </w:r>
      <w:r w:rsidRPr="00CB1998">
        <w:rPr>
          <w:bCs/>
          <w:lang w:val="ru-RU"/>
        </w:rPr>
        <w:t>, г</w:t>
      </w:r>
      <w:r w:rsidRPr="00CB1998">
        <w:rPr>
          <w:lang w:val="ru-RU"/>
        </w:rPr>
        <w:t>-н Юдзи Ивасава</w:t>
      </w:r>
      <w:r w:rsidRPr="00CB1998">
        <w:rPr>
          <w:bCs/>
          <w:lang w:val="ru-RU"/>
        </w:rPr>
        <w:t xml:space="preserve">, </w:t>
      </w:r>
      <w:r w:rsidRPr="00CB1998">
        <w:rPr>
          <w:lang w:val="ru-RU"/>
        </w:rPr>
        <w:t>г-жа Зонке Занеле Майодина</w:t>
      </w:r>
      <w:r w:rsidRPr="00CB1998">
        <w:rPr>
          <w:bCs/>
          <w:lang w:val="ru-RU"/>
        </w:rPr>
        <w:t xml:space="preserve">, </w:t>
      </w:r>
      <w:r w:rsidR="00610845">
        <w:rPr>
          <w:lang w:val="ru-RU"/>
        </w:rPr>
        <w:t>г-н Джеральд Л.</w:t>
      </w:r>
      <w:r w:rsidR="00610845">
        <w:rPr>
          <w:lang w:val="en-US"/>
        </w:rPr>
        <w:t> </w:t>
      </w:r>
      <w:r w:rsidRPr="00CB1998">
        <w:rPr>
          <w:lang w:val="ru-RU"/>
        </w:rPr>
        <w:t>Нойман</w:t>
      </w:r>
      <w:r w:rsidRPr="00CB1998">
        <w:rPr>
          <w:bCs/>
          <w:lang w:val="ru-RU"/>
        </w:rPr>
        <w:t xml:space="preserve">, </w:t>
      </w:r>
      <w:r w:rsidRPr="00CB1998">
        <w:rPr>
          <w:lang w:val="ru-RU"/>
        </w:rPr>
        <w:t>сэр Найджел Родли</w:t>
      </w:r>
      <w:r w:rsidRPr="00CB1998">
        <w:rPr>
          <w:bCs/>
          <w:lang w:val="ru-RU"/>
        </w:rPr>
        <w:t xml:space="preserve">, </w:t>
      </w:r>
      <w:r w:rsidRPr="00CB1998">
        <w:rPr>
          <w:lang w:val="ru-RU"/>
        </w:rPr>
        <w:t>г-н Виктор Мануэль Родригес-Ресиа, г-н Фабиан Омар Сальвиоли</w:t>
      </w:r>
      <w:r w:rsidRPr="00CB1998">
        <w:rPr>
          <w:bCs/>
          <w:lang w:val="ru-RU"/>
        </w:rPr>
        <w:t xml:space="preserve">, </w:t>
      </w:r>
      <w:r w:rsidRPr="00CB1998">
        <w:rPr>
          <w:lang w:val="ru-RU"/>
        </w:rPr>
        <w:t>г-жа Аня Зайберт-Фор, г-н Юваль Шани, г-н Константин Вардзелашвили</w:t>
      </w:r>
      <w:r w:rsidRPr="00CB1998">
        <w:rPr>
          <w:bCs/>
          <w:lang w:val="ru-RU"/>
        </w:rPr>
        <w:t xml:space="preserve">, </w:t>
      </w:r>
      <w:r w:rsidRPr="00CB1998">
        <w:rPr>
          <w:lang w:val="ru-RU"/>
        </w:rPr>
        <w:t>г-жа Марго Ватервал</w:t>
      </w:r>
      <w:r w:rsidRPr="00CB1998">
        <w:rPr>
          <w:bCs/>
          <w:lang w:val="ru-RU"/>
        </w:rPr>
        <w:t xml:space="preserve"> и </w:t>
      </w:r>
      <w:r w:rsidRPr="00CB1998">
        <w:rPr>
          <w:lang w:val="ru-RU"/>
        </w:rPr>
        <w:t>г-н Андрей Паул Злэтеску</w:t>
      </w:r>
      <w:r w:rsidRPr="00CB1998">
        <w:rPr>
          <w:bCs/>
          <w:lang w:val="ru-RU"/>
        </w:rPr>
        <w:t>.</w:t>
      </w:r>
    </w:p>
    <w:p w:rsidR="00B22BDE" w:rsidRPr="00323A8A" w:rsidRDefault="00323A8A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B22BDE" w:rsidRPr="00323A8A">
        <w:rPr>
          <w:lang w:val="ru-RU"/>
        </w:rPr>
        <w:t>Текст особого мнения членов Комитета г-на Фабиана Сальвиоли и г-на Виктора Родригеса-Ресиа содержится в добавлении к настоящим Соображениям.</w:t>
      </w:r>
    </w:p>
  </w:footnote>
  <w:footnote w:id="2">
    <w:p w:rsidR="00FA0752" w:rsidRPr="00FA0752" w:rsidRDefault="00FA0752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FA0752">
        <w:rPr>
          <w:lang w:val="ru-RU"/>
        </w:rPr>
        <w:tab/>
        <w:t>Согласно решению Гомельского областного суда от 10 апреля 2008 года</w:t>
      </w:r>
      <w:r w:rsidR="006A78F4">
        <w:rPr>
          <w:lang w:val="ru-RU"/>
        </w:rPr>
        <w:t>,</w:t>
      </w:r>
      <w:r w:rsidRPr="00FA0752">
        <w:rPr>
          <w:lang w:val="ru-RU"/>
        </w:rPr>
        <w:t xml:space="preserve"> "намерение заявителя провести пикет по надуманной проблеме повлекло бы нарушение прав других граждан на получение достоверной информации", защищаемых статьей 34 Конституции. Далее Областной суд указывает, что доводы автора о якобы незаконном отказе в проведении пикета являются необоснованными, поскольку статья 10 Закона "О массовых мероприятиях" не содержит исчерпывающего перечня оснований для отказа; а статья 6 предписывает учитывать ряд конкретных обстоятельств, в том числе влияющих на обеспечение общественной безопасности. Районным судом были соблюдены требования закона. Областной суд учел довод автора о том, что он действует от своего имени и не от имени какой-либо политической партии. Областной суд также принял к сведению решение Верховного суда от 2 августа 2007 года о приостановлении деятельности Партии коммунистов Белорусской на шесть месяцев в связи с неустранением партией нарушений законодательства и собственного устава.</w:t>
      </w:r>
    </w:p>
  </w:footnote>
  <w:footnote w:id="3">
    <w:p w:rsidR="0091479C" w:rsidRPr="0068003B" w:rsidRDefault="0091479C" w:rsidP="0091479C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68003B">
        <w:rPr>
          <w:lang w:val="ru-RU"/>
        </w:rPr>
        <w:tab/>
        <w:t>См., например, сообщение №</w:t>
      </w:r>
      <w:r w:rsidRPr="0068003B">
        <w:rPr>
          <w:lang w:val="en-US"/>
        </w:rPr>
        <w:t> </w:t>
      </w:r>
      <w:r w:rsidRPr="0068003B">
        <w:rPr>
          <w:lang w:val="ru-RU"/>
        </w:rPr>
        <w:t xml:space="preserve">1785/2008, </w:t>
      </w:r>
      <w:r w:rsidRPr="0068003B">
        <w:rPr>
          <w:i/>
          <w:lang w:val="ru-RU"/>
        </w:rPr>
        <w:t>Олешкевич</w:t>
      </w:r>
      <w:r w:rsidRPr="0068003B">
        <w:rPr>
          <w:lang w:val="ru-RU"/>
        </w:rPr>
        <w:t xml:space="preserve"> </w:t>
      </w:r>
      <w:r w:rsidRPr="0068003B">
        <w:rPr>
          <w:i/>
          <w:iCs/>
          <w:lang w:val="ru-RU"/>
        </w:rPr>
        <w:t>против Беларуси</w:t>
      </w:r>
      <w:r w:rsidRPr="0068003B">
        <w:rPr>
          <w:lang w:val="ru-RU"/>
        </w:rPr>
        <w:t>, Соображения, принятые 18 марта 2013 года, пункт</w:t>
      </w:r>
      <w:r>
        <w:rPr>
          <w:lang w:val="ru-RU"/>
        </w:rPr>
        <w:t xml:space="preserve"> </w:t>
      </w:r>
      <w:r w:rsidRPr="0068003B">
        <w:rPr>
          <w:lang w:val="ru-RU"/>
        </w:rPr>
        <w:t>7.3; сообщение №</w:t>
      </w:r>
      <w:r w:rsidRPr="0068003B">
        <w:t> </w:t>
      </w:r>
      <w:r w:rsidRPr="0068003B">
        <w:rPr>
          <w:lang w:val="ru-RU"/>
        </w:rPr>
        <w:t xml:space="preserve">1784/2008, </w:t>
      </w:r>
      <w:r w:rsidRPr="0068003B">
        <w:rPr>
          <w:i/>
          <w:lang w:val="ru-RU"/>
        </w:rPr>
        <w:t xml:space="preserve">Шумили </w:t>
      </w:r>
      <w:r w:rsidRPr="0068003B">
        <w:rPr>
          <w:i/>
          <w:iCs/>
          <w:lang w:val="ru-RU"/>
        </w:rPr>
        <w:t>против Беларуси</w:t>
      </w:r>
      <w:r w:rsidRPr="0068003B">
        <w:rPr>
          <w:lang w:val="ru-RU"/>
        </w:rPr>
        <w:t>, Соображения, принятые 23 июля 2012 года, пункт</w:t>
      </w:r>
      <w:r w:rsidRPr="0068003B">
        <w:t> </w:t>
      </w:r>
      <w:r>
        <w:rPr>
          <w:lang w:val="ru-RU"/>
        </w:rPr>
        <w:t>8.3; сообщение </w:t>
      </w:r>
      <w:r w:rsidRPr="0068003B">
        <w:rPr>
          <w:lang w:val="ru-RU"/>
        </w:rPr>
        <w:t>№</w:t>
      </w:r>
      <w:r w:rsidRPr="0068003B">
        <w:t> </w:t>
      </w:r>
      <w:r w:rsidRPr="0068003B">
        <w:rPr>
          <w:lang w:val="ru-RU"/>
        </w:rPr>
        <w:t xml:space="preserve">1841/2008, </w:t>
      </w:r>
      <w:r w:rsidRPr="0068003B">
        <w:rPr>
          <w:i/>
          <w:lang w:val="ru-RU"/>
        </w:rPr>
        <w:t xml:space="preserve">П.Л. </w:t>
      </w:r>
      <w:r w:rsidRPr="0068003B">
        <w:rPr>
          <w:i/>
          <w:iCs/>
          <w:lang w:val="ru-RU"/>
        </w:rPr>
        <w:t>против Беларуси</w:t>
      </w:r>
      <w:r w:rsidRPr="0068003B">
        <w:rPr>
          <w:lang w:val="ru-RU"/>
        </w:rPr>
        <w:t>, решение о неприемлемости от</w:t>
      </w:r>
      <w:r>
        <w:rPr>
          <w:lang w:val="ru-RU"/>
        </w:rPr>
        <w:t> </w:t>
      </w:r>
      <w:r w:rsidRPr="0068003B">
        <w:rPr>
          <w:lang w:val="ru-RU"/>
        </w:rPr>
        <w:t>26</w:t>
      </w:r>
      <w:r w:rsidRPr="0068003B">
        <w:t> </w:t>
      </w:r>
      <w:r w:rsidRPr="0068003B">
        <w:rPr>
          <w:lang w:val="ru-RU"/>
        </w:rPr>
        <w:t>июля 2011 года, пункт</w:t>
      </w:r>
      <w:r w:rsidRPr="0068003B">
        <w:t> </w:t>
      </w:r>
      <w:r w:rsidRPr="0068003B">
        <w:rPr>
          <w:lang w:val="ru-RU"/>
        </w:rPr>
        <w:t>6.2.</w:t>
      </w:r>
    </w:p>
  </w:footnote>
  <w:footnote w:id="4">
    <w:p w:rsidR="00240E84" w:rsidRPr="00514B69" w:rsidRDefault="00240E84" w:rsidP="00240E84">
      <w:pPr>
        <w:pStyle w:val="FootnoteText"/>
        <w:rPr>
          <w:lang w:val="ru-RU"/>
        </w:rPr>
      </w:pPr>
      <w:r w:rsidRPr="00514B69">
        <w:rPr>
          <w:lang w:val="ru-RU"/>
        </w:rPr>
        <w:tab/>
      </w:r>
      <w:r w:rsidRPr="00DF2166">
        <w:rPr>
          <w:rStyle w:val="FootnoteReference"/>
        </w:rPr>
        <w:footnoteRef/>
      </w:r>
      <w:r w:rsidRPr="00514B69">
        <w:rPr>
          <w:lang w:val="ru-RU"/>
        </w:rPr>
        <w:tab/>
      </w:r>
      <w:r w:rsidRPr="00444616">
        <w:rPr>
          <w:lang w:val="ru-RU"/>
        </w:rPr>
        <w:t>См., например</w:t>
      </w:r>
      <w:r w:rsidRPr="00514B69">
        <w:rPr>
          <w:lang w:val="ru-RU"/>
        </w:rPr>
        <w:t>, сообщение №</w:t>
      </w:r>
      <w:r>
        <w:t> </w:t>
      </w:r>
      <w:r w:rsidRPr="00514B69">
        <w:rPr>
          <w:lang w:val="ru-RU"/>
        </w:rPr>
        <w:t xml:space="preserve">1948/2010, </w:t>
      </w:r>
      <w:r w:rsidR="003F57CF">
        <w:rPr>
          <w:i/>
          <w:lang w:val="ru-RU"/>
        </w:rPr>
        <w:t xml:space="preserve">Турченяк и др. </w:t>
      </w:r>
      <w:r>
        <w:rPr>
          <w:i/>
          <w:lang w:val="ru-RU"/>
        </w:rPr>
        <w:t xml:space="preserve">против </w:t>
      </w:r>
      <w:r w:rsidRPr="00444616">
        <w:rPr>
          <w:i/>
          <w:iCs/>
          <w:lang w:val="ru-RU"/>
        </w:rPr>
        <w:t>Беларуси</w:t>
      </w:r>
      <w:r w:rsidRPr="00514B69">
        <w:rPr>
          <w:lang w:val="ru-RU"/>
        </w:rPr>
        <w:t xml:space="preserve">, Соображения, принятые 24 </w:t>
      </w:r>
      <w:r>
        <w:rPr>
          <w:lang w:val="ru-RU"/>
        </w:rPr>
        <w:t>июля</w:t>
      </w:r>
      <w:r w:rsidRPr="00514B69">
        <w:rPr>
          <w:lang w:val="ru-RU"/>
        </w:rPr>
        <w:t xml:space="preserve"> 2013</w:t>
      </w:r>
      <w:r>
        <w:rPr>
          <w:lang w:val="ru-RU"/>
        </w:rPr>
        <w:t xml:space="preserve"> года</w:t>
      </w:r>
      <w:r w:rsidRPr="00514B69">
        <w:rPr>
          <w:lang w:val="ru-RU"/>
        </w:rPr>
        <w:t>, пункт</w:t>
      </w:r>
      <w:r>
        <w:t> </w:t>
      </w:r>
      <w:r w:rsidRPr="00514B69">
        <w:rPr>
          <w:lang w:val="ru-RU"/>
        </w:rPr>
        <w:t>7.4.</w:t>
      </w:r>
    </w:p>
  </w:footnote>
  <w:footnote w:id="5">
    <w:p w:rsidR="00240E84" w:rsidRPr="00444616" w:rsidRDefault="00240E84" w:rsidP="00240E84">
      <w:pPr>
        <w:pStyle w:val="FootnoteText"/>
        <w:rPr>
          <w:lang w:val="ru-RU"/>
        </w:rPr>
      </w:pPr>
      <w:r w:rsidRPr="00514B69">
        <w:rPr>
          <w:lang w:val="ru-RU"/>
        </w:rPr>
        <w:tab/>
      </w:r>
      <w:r w:rsidRPr="00DF2166">
        <w:rPr>
          <w:rStyle w:val="FootnoteReference"/>
        </w:rPr>
        <w:footnoteRef/>
      </w:r>
      <w:r w:rsidRPr="00444616">
        <w:rPr>
          <w:lang w:val="ru-RU"/>
        </w:rPr>
        <w:tab/>
      </w:r>
      <w:r>
        <w:rPr>
          <w:lang w:val="ru-RU"/>
        </w:rPr>
        <w:t>Также с</w:t>
      </w:r>
      <w:r w:rsidRPr="00444616">
        <w:rPr>
          <w:lang w:val="ru-RU"/>
        </w:rPr>
        <w:t>м., например, сообщение №</w:t>
      </w:r>
      <w:r>
        <w:t> </w:t>
      </w:r>
      <w:r w:rsidRPr="00444616">
        <w:rPr>
          <w:lang w:val="ru-RU"/>
        </w:rPr>
        <w:t xml:space="preserve">1873/2009, </w:t>
      </w:r>
      <w:r>
        <w:rPr>
          <w:i/>
          <w:lang w:val="ru-RU"/>
        </w:rPr>
        <w:t>Алексеев против Российской Федерации</w:t>
      </w:r>
      <w:r w:rsidRPr="00444616">
        <w:rPr>
          <w:lang w:val="ru-RU"/>
        </w:rPr>
        <w:t xml:space="preserve">, Соображения, принятые 25 </w:t>
      </w:r>
      <w:r>
        <w:rPr>
          <w:lang w:val="ru-RU"/>
        </w:rPr>
        <w:t xml:space="preserve">октября </w:t>
      </w:r>
      <w:r w:rsidRPr="00444616">
        <w:rPr>
          <w:lang w:val="ru-RU"/>
        </w:rPr>
        <w:t>2013</w:t>
      </w:r>
      <w:r>
        <w:rPr>
          <w:lang w:val="ru-RU"/>
        </w:rPr>
        <w:t xml:space="preserve"> года</w:t>
      </w:r>
      <w:r w:rsidRPr="00444616">
        <w:rPr>
          <w:lang w:val="ru-RU"/>
        </w:rPr>
        <w:t>, пункт</w:t>
      </w:r>
      <w:r>
        <w:t> </w:t>
      </w:r>
      <w:r w:rsidRPr="00444616">
        <w:rPr>
          <w:lang w:val="ru-RU"/>
        </w:rPr>
        <w:t xml:space="preserve">9.6. </w:t>
      </w:r>
    </w:p>
  </w:footnote>
  <w:footnote w:id="6">
    <w:p w:rsidR="00240E84" w:rsidRPr="00444616" w:rsidRDefault="00240E84" w:rsidP="00240E84">
      <w:pPr>
        <w:pStyle w:val="FootnoteText"/>
        <w:rPr>
          <w:lang w:val="ru-RU"/>
        </w:rPr>
      </w:pPr>
      <w:r w:rsidRPr="00444616">
        <w:rPr>
          <w:lang w:val="ru-RU"/>
        </w:rPr>
        <w:tab/>
      </w:r>
      <w:r w:rsidRPr="00DF2166">
        <w:rPr>
          <w:rStyle w:val="FootnoteReference"/>
        </w:rPr>
        <w:footnoteRef/>
      </w:r>
      <w:r w:rsidRPr="00444616">
        <w:rPr>
          <w:lang w:val="ru-RU"/>
        </w:rPr>
        <w:tab/>
        <w:t>См., например, сообщение №</w:t>
      </w:r>
      <w:r>
        <w:t> </w:t>
      </w:r>
      <w:r w:rsidRPr="00444616">
        <w:rPr>
          <w:lang w:val="ru-RU"/>
        </w:rPr>
        <w:t xml:space="preserve">1948/2010, </w:t>
      </w:r>
      <w:r>
        <w:rPr>
          <w:i/>
          <w:lang w:val="ru-RU"/>
        </w:rPr>
        <w:t xml:space="preserve">Турченяк и др. </w:t>
      </w:r>
      <w:r w:rsidRPr="00444616">
        <w:rPr>
          <w:i/>
          <w:iCs/>
          <w:lang w:val="ru-RU"/>
        </w:rPr>
        <w:t>против Беларуси</w:t>
      </w:r>
      <w:r w:rsidRPr="00444616">
        <w:rPr>
          <w:lang w:val="ru-RU"/>
        </w:rPr>
        <w:t xml:space="preserve">, Соображения, принятые 24 </w:t>
      </w:r>
      <w:r>
        <w:rPr>
          <w:lang w:val="ru-RU"/>
        </w:rPr>
        <w:t>июля</w:t>
      </w:r>
      <w:r w:rsidRPr="00444616">
        <w:rPr>
          <w:lang w:val="ru-RU"/>
        </w:rPr>
        <w:t xml:space="preserve"> 2013</w:t>
      </w:r>
      <w:r>
        <w:rPr>
          <w:lang w:val="ru-RU"/>
        </w:rPr>
        <w:t xml:space="preserve"> года</w:t>
      </w:r>
      <w:r w:rsidRPr="00444616">
        <w:rPr>
          <w:lang w:val="ru-RU"/>
        </w:rPr>
        <w:t>, пункт</w:t>
      </w:r>
      <w:r>
        <w:t> </w:t>
      </w:r>
      <w:r w:rsidRPr="00444616">
        <w:rPr>
          <w:lang w:val="ru-RU"/>
        </w:rPr>
        <w:t>7.4</w:t>
      </w:r>
      <w:r w:rsidR="00DF6ACF">
        <w:rPr>
          <w:lang w:val="ru-RU"/>
        </w:rPr>
        <w:t>.</w:t>
      </w:r>
    </w:p>
  </w:footnote>
  <w:footnote w:id="7">
    <w:p w:rsidR="00240E84" w:rsidRPr="00550AE5" w:rsidRDefault="00240E84" w:rsidP="00240E84">
      <w:pPr>
        <w:pStyle w:val="FootnoteText"/>
        <w:rPr>
          <w:lang w:val="ru-RU"/>
        </w:rPr>
      </w:pPr>
      <w:r w:rsidRPr="00444616">
        <w:rPr>
          <w:lang w:val="ru-RU"/>
        </w:rPr>
        <w:tab/>
      </w:r>
      <w:r w:rsidRPr="00DF2166">
        <w:rPr>
          <w:rStyle w:val="FootnoteReference"/>
        </w:rPr>
        <w:footnoteRef/>
      </w:r>
      <w:r w:rsidRPr="00B51DA8">
        <w:rPr>
          <w:lang w:val="ru-RU"/>
        </w:rPr>
        <w:tab/>
      </w:r>
      <w:r>
        <w:rPr>
          <w:lang w:val="ru-RU"/>
        </w:rPr>
        <w:t>См</w:t>
      </w:r>
      <w:r w:rsidRPr="00B51DA8">
        <w:rPr>
          <w:lang w:val="ru-RU"/>
        </w:rPr>
        <w:t xml:space="preserve">., </w:t>
      </w:r>
      <w:r w:rsidRPr="00DF2166">
        <w:t>mutatis</w:t>
      </w:r>
      <w:r w:rsidRPr="00B51DA8">
        <w:rPr>
          <w:lang w:val="ru-RU"/>
        </w:rPr>
        <w:t xml:space="preserve"> </w:t>
      </w:r>
      <w:r w:rsidRPr="00DF2166">
        <w:t>mutandis</w:t>
      </w:r>
      <w:r w:rsidRPr="00B51DA8">
        <w:rPr>
          <w:lang w:val="ru-RU"/>
        </w:rPr>
        <w:t>, сообщение №</w:t>
      </w:r>
      <w:r>
        <w:t> </w:t>
      </w:r>
      <w:r w:rsidRPr="00B51DA8">
        <w:rPr>
          <w:lang w:val="ru-RU"/>
        </w:rPr>
        <w:t xml:space="preserve">1274/2004, </w:t>
      </w:r>
      <w:r>
        <w:rPr>
          <w:i/>
          <w:lang w:val="ru-RU"/>
        </w:rPr>
        <w:t xml:space="preserve">Корнеенко </w:t>
      </w:r>
      <w:r w:rsidRPr="00B51DA8">
        <w:rPr>
          <w:i/>
          <w:iCs/>
          <w:lang w:val="ru-RU"/>
        </w:rPr>
        <w:t>против Беларуси</w:t>
      </w:r>
      <w:r w:rsidRPr="00B51DA8">
        <w:rPr>
          <w:lang w:val="ru-RU"/>
        </w:rPr>
        <w:t xml:space="preserve">, Соображения, принятые 31 </w:t>
      </w:r>
      <w:r>
        <w:rPr>
          <w:lang w:val="ru-RU"/>
        </w:rPr>
        <w:t>октября</w:t>
      </w:r>
      <w:r w:rsidRPr="00B51DA8">
        <w:rPr>
          <w:lang w:val="ru-RU"/>
        </w:rPr>
        <w:t xml:space="preserve"> 2006</w:t>
      </w:r>
      <w:r>
        <w:rPr>
          <w:lang w:val="ru-RU"/>
        </w:rPr>
        <w:t xml:space="preserve"> года</w:t>
      </w:r>
      <w:r w:rsidRPr="00B51DA8">
        <w:rPr>
          <w:lang w:val="ru-RU"/>
        </w:rPr>
        <w:t>, пункт</w:t>
      </w:r>
      <w:r>
        <w:t> </w:t>
      </w:r>
      <w:r w:rsidRPr="00B51DA8">
        <w:rPr>
          <w:lang w:val="ru-RU"/>
        </w:rPr>
        <w:t xml:space="preserve">7.3, </w:t>
      </w:r>
      <w:r>
        <w:rPr>
          <w:lang w:val="ru-RU"/>
        </w:rPr>
        <w:t xml:space="preserve">который гласит, что: </w:t>
      </w:r>
      <w:r w:rsidRPr="00B51DA8">
        <w:rPr>
          <w:lang w:val="ru-RU"/>
        </w:rPr>
        <w:t>"</w:t>
      </w:r>
      <w:r>
        <w:rPr>
          <w:lang w:val="ru-RU"/>
        </w:rPr>
        <w:t>с</w:t>
      </w:r>
      <w:r w:rsidRPr="00B51DA8">
        <w:rPr>
          <w:lang w:val="ru-RU"/>
        </w:rPr>
        <w:t xml:space="preserve">сылка на "демократическое общество" в контексте статьи 22, по мнению Комитета, указывает на то, что существование и деятельность ассоциаций, </w:t>
      </w:r>
      <w:r>
        <w:rPr>
          <w:lang w:val="ru-RU"/>
        </w:rPr>
        <w:t>включая ассоциации, мирными средствами</w:t>
      </w:r>
      <w:r w:rsidRPr="00B51DA8">
        <w:rPr>
          <w:lang w:val="ru-RU"/>
        </w:rPr>
        <w:t xml:space="preserve"> пропагандирую</w:t>
      </w:r>
      <w:r>
        <w:rPr>
          <w:lang w:val="ru-RU"/>
        </w:rPr>
        <w:t>щие свои</w:t>
      </w:r>
      <w:r w:rsidRPr="00B51DA8">
        <w:rPr>
          <w:lang w:val="ru-RU"/>
        </w:rPr>
        <w:t xml:space="preserve"> идеи, </w:t>
      </w:r>
      <w:r>
        <w:rPr>
          <w:lang w:val="ru-RU"/>
        </w:rPr>
        <w:t>которые не обязательно позитивно оцениваются</w:t>
      </w:r>
      <w:r w:rsidRPr="00B51DA8">
        <w:rPr>
          <w:lang w:val="ru-RU"/>
        </w:rPr>
        <w:t xml:space="preserve"> правительством или большинством населения, </w:t>
      </w:r>
      <w:r>
        <w:rPr>
          <w:lang w:val="ru-RU"/>
        </w:rPr>
        <w:t>являются одним из главных элементов</w:t>
      </w:r>
      <w:r w:rsidRPr="00B51DA8">
        <w:rPr>
          <w:lang w:val="ru-RU"/>
        </w:rPr>
        <w:t xml:space="preserve"> демократического общества</w:t>
      </w:r>
      <w:r w:rsidRPr="0091004D">
        <w:rPr>
          <w:lang w:val="ru-RU"/>
        </w:rPr>
        <w:t>".</w:t>
      </w:r>
    </w:p>
  </w:footnote>
  <w:footnote w:id="8">
    <w:p w:rsidR="00AC0BD4" w:rsidRPr="0091004D" w:rsidRDefault="00AC0BD4" w:rsidP="00AC0BD4">
      <w:pPr>
        <w:pStyle w:val="FootnoteText"/>
        <w:rPr>
          <w:lang w:val="ru-RU"/>
        </w:rPr>
      </w:pPr>
      <w:r w:rsidRPr="00B51DA8">
        <w:rPr>
          <w:lang w:val="ru-RU"/>
        </w:rPr>
        <w:tab/>
      </w:r>
      <w:r w:rsidRPr="00DF2166">
        <w:rPr>
          <w:rStyle w:val="FootnoteReference"/>
        </w:rPr>
        <w:footnoteRef/>
      </w:r>
      <w:r w:rsidRPr="0091004D">
        <w:rPr>
          <w:lang w:val="ru-RU"/>
        </w:rPr>
        <w:tab/>
      </w:r>
      <w:r>
        <w:rPr>
          <w:lang w:val="ru-RU"/>
        </w:rPr>
        <w:t>См. Соображения Комитета</w:t>
      </w:r>
      <w:r w:rsidRPr="0091004D">
        <w:rPr>
          <w:lang w:val="ru-RU"/>
        </w:rPr>
        <w:t>, пункт</w:t>
      </w:r>
      <w:r>
        <w:t> </w:t>
      </w:r>
      <w:r w:rsidRPr="0091004D">
        <w:rPr>
          <w:lang w:val="ru-RU"/>
        </w:rPr>
        <w:t>2.1.</w:t>
      </w:r>
    </w:p>
  </w:footnote>
  <w:footnote w:id="9">
    <w:p w:rsidR="00AC0BD4" w:rsidRPr="00DB481B" w:rsidRDefault="00AC0BD4" w:rsidP="00AC0BD4">
      <w:pPr>
        <w:pStyle w:val="FootnoteText"/>
        <w:rPr>
          <w:lang w:val="ru-RU"/>
        </w:rPr>
      </w:pPr>
      <w:r w:rsidRPr="0091004D">
        <w:rPr>
          <w:lang w:val="ru-RU"/>
        </w:rPr>
        <w:tab/>
      </w:r>
      <w:r w:rsidRPr="00DF2166">
        <w:rPr>
          <w:rStyle w:val="FootnoteReference"/>
        </w:rPr>
        <w:footnoteRef/>
      </w:r>
      <w:r w:rsidRPr="0091004D">
        <w:rPr>
          <w:lang w:val="ru-RU"/>
        </w:rPr>
        <w:tab/>
      </w:r>
      <w:r>
        <w:rPr>
          <w:i/>
          <w:lang w:val="ru-RU"/>
        </w:rPr>
        <w:t>Юбко</w:t>
      </w:r>
      <w:r w:rsidRPr="0091004D">
        <w:rPr>
          <w:i/>
          <w:lang w:val="ru-RU"/>
        </w:rPr>
        <w:t xml:space="preserve"> </w:t>
      </w:r>
      <w:r w:rsidRPr="005D250D">
        <w:rPr>
          <w:i/>
          <w:iCs/>
          <w:lang w:val="ru-RU"/>
        </w:rPr>
        <w:t>против Беларуси</w:t>
      </w:r>
      <w:r w:rsidRPr="005D250D">
        <w:rPr>
          <w:i/>
          <w:lang w:val="ru-RU"/>
        </w:rPr>
        <w:t>,</w:t>
      </w:r>
      <w:r w:rsidRPr="0091004D">
        <w:rPr>
          <w:lang w:val="ru-RU"/>
        </w:rPr>
        <w:t xml:space="preserve"> сообщение №</w:t>
      </w:r>
      <w:r>
        <w:t> </w:t>
      </w:r>
      <w:r w:rsidRPr="0091004D">
        <w:rPr>
          <w:lang w:val="ru-RU"/>
        </w:rPr>
        <w:t xml:space="preserve">1903/2009. </w:t>
      </w:r>
      <w:r>
        <w:rPr>
          <w:lang w:val="ru-RU"/>
        </w:rPr>
        <w:t>См</w:t>
      </w:r>
      <w:r w:rsidRPr="00DB481B">
        <w:rPr>
          <w:lang w:val="ru-RU"/>
        </w:rPr>
        <w:t xml:space="preserve">., </w:t>
      </w:r>
      <w:r>
        <w:rPr>
          <w:lang w:val="ru-RU"/>
        </w:rPr>
        <w:t>в</w:t>
      </w:r>
      <w:r w:rsidRPr="00DB481B">
        <w:rPr>
          <w:lang w:val="ru-RU"/>
        </w:rPr>
        <w:t xml:space="preserve"> </w:t>
      </w:r>
      <w:r>
        <w:rPr>
          <w:lang w:val="ru-RU"/>
        </w:rPr>
        <w:t>частности</w:t>
      </w:r>
      <w:r w:rsidRPr="00DB481B">
        <w:rPr>
          <w:lang w:val="ru-RU"/>
        </w:rPr>
        <w:t xml:space="preserve">, </w:t>
      </w:r>
      <w:r>
        <w:rPr>
          <w:lang w:val="ru-RU"/>
        </w:rPr>
        <w:t>соображения</w:t>
      </w:r>
      <w:r w:rsidRPr="00DB481B">
        <w:rPr>
          <w:lang w:val="ru-RU"/>
        </w:rPr>
        <w:t xml:space="preserve"> </w:t>
      </w:r>
      <w:r>
        <w:rPr>
          <w:lang w:val="ru-RU"/>
        </w:rPr>
        <w:t>Комитета</w:t>
      </w:r>
      <w:r w:rsidRPr="00DB481B">
        <w:rPr>
          <w:lang w:val="ru-RU"/>
        </w:rPr>
        <w:t xml:space="preserve">, </w:t>
      </w:r>
      <w:r>
        <w:rPr>
          <w:lang w:val="ru-RU"/>
        </w:rPr>
        <w:t>изложенные</w:t>
      </w:r>
      <w:r w:rsidRPr="00DB481B">
        <w:rPr>
          <w:lang w:val="ru-RU"/>
        </w:rPr>
        <w:t xml:space="preserve"> </w:t>
      </w:r>
      <w:r>
        <w:rPr>
          <w:lang w:val="ru-RU"/>
        </w:rPr>
        <w:t>в</w:t>
      </w:r>
      <w:r w:rsidRPr="00DB481B">
        <w:rPr>
          <w:lang w:val="ru-RU"/>
        </w:rPr>
        <w:t xml:space="preserve"> </w:t>
      </w:r>
      <w:r>
        <w:rPr>
          <w:lang w:val="ru-RU"/>
        </w:rPr>
        <w:t>пунктах</w:t>
      </w:r>
      <w:r w:rsidRPr="00DB481B">
        <w:rPr>
          <w:lang w:val="ru-RU"/>
        </w:rPr>
        <w:t xml:space="preserve"> 9.2</w:t>
      </w:r>
      <w:r>
        <w:rPr>
          <w:lang w:val="ru-RU"/>
        </w:rPr>
        <w:t>−</w:t>
      </w:r>
      <w:r w:rsidRPr="00DB481B">
        <w:rPr>
          <w:lang w:val="ru-RU"/>
        </w:rPr>
        <w:t>9.6.</w:t>
      </w:r>
    </w:p>
  </w:footnote>
  <w:footnote w:id="10">
    <w:p w:rsidR="00AC0BD4" w:rsidRPr="005722B2" w:rsidRDefault="00AC0BD4" w:rsidP="00AC0BD4">
      <w:pPr>
        <w:pStyle w:val="FootnoteText"/>
        <w:rPr>
          <w:lang w:val="ru-RU"/>
        </w:rPr>
      </w:pPr>
      <w:r w:rsidRPr="00DB481B">
        <w:rPr>
          <w:lang w:val="ru-RU"/>
        </w:rPr>
        <w:tab/>
      </w:r>
      <w:r w:rsidRPr="00DF2166">
        <w:rPr>
          <w:rStyle w:val="FootnoteReference"/>
        </w:rPr>
        <w:footnoteRef/>
      </w:r>
      <w:r w:rsidRPr="008E7EF8">
        <w:rPr>
          <w:lang w:val="ru-RU"/>
        </w:rPr>
        <w:tab/>
      </w:r>
      <w:r>
        <w:rPr>
          <w:i/>
          <w:lang w:val="ru-RU"/>
        </w:rPr>
        <w:t>Седхай</w:t>
      </w:r>
      <w:r w:rsidRPr="008E7EF8">
        <w:rPr>
          <w:i/>
          <w:lang w:val="ru-RU"/>
        </w:rPr>
        <w:t xml:space="preserve"> </w:t>
      </w:r>
      <w:r>
        <w:rPr>
          <w:i/>
          <w:lang w:val="ru-RU"/>
        </w:rPr>
        <w:t>против</w:t>
      </w:r>
      <w:r w:rsidRPr="008E7EF8">
        <w:rPr>
          <w:i/>
          <w:lang w:val="ru-RU"/>
        </w:rPr>
        <w:t xml:space="preserve"> </w:t>
      </w:r>
      <w:r>
        <w:rPr>
          <w:i/>
          <w:lang w:val="ru-RU"/>
        </w:rPr>
        <w:t>Непала</w:t>
      </w:r>
      <w:r w:rsidRPr="008E7EF8">
        <w:rPr>
          <w:lang w:val="ru-RU"/>
        </w:rPr>
        <w:t>, сообщение №</w:t>
      </w:r>
      <w:r>
        <w:t> </w:t>
      </w:r>
      <w:r w:rsidRPr="008E7EF8">
        <w:rPr>
          <w:lang w:val="ru-RU"/>
        </w:rPr>
        <w:t xml:space="preserve">1865/2009, </w:t>
      </w:r>
      <w:r>
        <w:rPr>
          <w:lang w:val="ru-RU"/>
        </w:rPr>
        <w:t>о</w:t>
      </w:r>
      <w:r w:rsidRPr="008E7EF8">
        <w:rPr>
          <w:lang w:val="ru-RU"/>
        </w:rPr>
        <w:t>с</w:t>
      </w:r>
      <w:r>
        <w:rPr>
          <w:lang w:val="ru-RU"/>
        </w:rPr>
        <w:t>обое мнение членов Комитета</w:t>
      </w:r>
      <w:r>
        <w:rPr>
          <w:lang w:val="ru-RU"/>
        </w:rPr>
        <w:br/>
      </w:r>
      <w:r w:rsidRPr="008E7EF8">
        <w:rPr>
          <w:lang w:val="ru-RU"/>
        </w:rPr>
        <w:t>г-на Фабиана Сальвиоли и г-на Виктора Родригеса-Ресия, пункт</w:t>
      </w:r>
      <w:r>
        <w:t> </w:t>
      </w:r>
      <w:r w:rsidRPr="008E7EF8">
        <w:rPr>
          <w:lang w:val="ru-RU"/>
        </w:rPr>
        <w:t xml:space="preserve">6. </w:t>
      </w:r>
      <w:r w:rsidR="003C759E">
        <w:rPr>
          <w:lang w:val="ru-RU"/>
        </w:rPr>
        <w:t xml:space="preserve">В сноске </w:t>
      </w:r>
      <w:r w:rsidRPr="005722B2">
        <w:rPr>
          <w:lang w:val="ru-RU"/>
        </w:rPr>
        <w:t>3</w:t>
      </w:r>
      <w:r w:rsidR="003C759E">
        <w:rPr>
          <w:lang w:val="ru-RU"/>
        </w:rPr>
        <w:t xml:space="preserve"> к </w:t>
      </w:r>
      <w:r>
        <w:rPr>
          <w:lang w:val="ru-RU"/>
        </w:rPr>
        <w:t>совместному мнению приводятся 10 примеров Соображений, в которых Комитет применял статьи, на которые не ссылались стороны.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58" w:rsidRPr="005F0588" w:rsidRDefault="00D76358">
    <w:pPr>
      <w:pStyle w:val="Header"/>
      <w:rPr>
        <w:lang w:val="en-US"/>
      </w:rPr>
    </w:pPr>
    <w:r>
      <w:rPr>
        <w:lang w:val="en-US"/>
      </w:rPr>
      <w:t>CCPR/</w:t>
    </w:r>
    <w:r w:rsidR="00B1365E">
      <w:rPr>
        <w:lang w:val="en-US"/>
      </w:rPr>
      <w:t>C/110/D/1864/2009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58" w:rsidRPr="005F0588" w:rsidRDefault="00D76358">
    <w:pPr>
      <w:pStyle w:val="Header"/>
      <w:rPr>
        <w:lang w:val="en-US"/>
      </w:rPr>
    </w:pPr>
    <w:r>
      <w:rPr>
        <w:lang w:val="en-US"/>
      </w:rPr>
      <w:tab/>
      <w:t>CCPR/</w:t>
    </w:r>
    <w:r w:rsidR="00B1365E">
      <w:rPr>
        <w:lang w:val="en-US"/>
      </w:rPr>
      <w:t>C/110/D/1864/2009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615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2A2D"/>
    <w:rsid w:val="00086182"/>
    <w:rsid w:val="00090891"/>
    <w:rsid w:val="00092E62"/>
    <w:rsid w:val="00097975"/>
    <w:rsid w:val="000A3DDF"/>
    <w:rsid w:val="000A60A0"/>
    <w:rsid w:val="000B4EC1"/>
    <w:rsid w:val="000C3688"/>
    <w:rsid w:val="000D6863"/>
    <w:rsid w:val="000F410F"/>
    <w:rsid w:val="00117AEE"/>
    <w:rsid w:val="001463F7"/>
    <w:rsid w:val="0015769C"/>
    <w:rsid w:val="001755A4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0E84"/>
    <w:rsid w:val="002444F4"/>
    <w:rsid w:val="002629A0"/>
    <w:rsid w:val="0028492B"/>
    <w:rsid w:val="00291C8F"/>
    <w:rsid w:val="002B181B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23A8A"/>
    <w:rsid w:val="00324FA0"/>
    <w:rsid w:val="00332891"/>
    <w:rsid w:val="00356BB2"/>
    <w:rsid w:val="00360477"/>
    <w:rsid w:val="00367FC9"/>
    <w:rsid w:val="003711A1"/>
    <w:rsid w:val="00372123"/>
    <w:rsid w:val="00381289"/>
    <w:rsid w:val="00386581"/>
    <w:rsid w:val="00387100"/>
    <w:rsid w:val="003951D3"/>
    <w:rsid w:val="003978C6"/>
    <w:rsid w:val="003B40A9"/>
    <w:rsid w:val="003C016E"/>
    <w:rsid w:val="003C759E"/>
    <w:rsid w:val="003D5EBD"/>
    <w:rsid w:val="003F57CF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34E6D"/>
    <w:rsid w:val="00540A9A"/>
    <w:rsid w:val="00543522"/>
    <w:rsid w:val="00545680"/>
    <w:rsid w:val="0056618E"/>
    <w:rsid w:val="00575C1A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0845"/>
    <w:rsid w:val="00611264"/>
    <w:rsid w:val="006115AA"/>
    <w:rsid w:val="006120AE"/>
    <w:rsid w:val="0061452C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8F4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E7AF7"/>
    <w:rsid w:val="006F5FBF"/>
    <w:rsid w:val="0070327E"/>
    <w:rsid w:val="00707B5F"/>
    <w:rsid w:val="00735602"/>
    <w:rsid w:val="007364C2"/>
    <w:rsid w:val="0075279B"/>
    <w:rsid w:val="00753748"/>
    <w:rsid w:val="00762446"/>
    <w:rsid w:val="00781ACB"/>
    <w:rsid w:val="007A79EB"/>
    <w:rsid w:val="007D4615"/>
    <w:rsid w:val="007D4CA0"/>
    <w:rsid w:val="007D7A23"/>
    <w:rsid w:val="007E0C40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5055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479C"/>
    <w:rsid w:val="00915B0A"/>
    <w:rsid w:val="00926904"/>
    <w:rsid w:val="009372F0"/>
    <w:rsid w:val="0095018E"/>
    <w:rsid w:val="00955022"/>
    <w:rsid w:val="00957B4D"/>
    <w:rsid w:val="00964EEA"/>
    <w:rsid w:val="00980C86"/>
    <w:rsid w:val="009860E9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0BD4"/>
    <w:rsid w:val="00AC1C95"/>
    <w:rsid w:val="00AC2CCB"/>
    <w:rsid w:val="00AC443A"/>
    <w:rsid w:val="00AE60E2"/>
    <w:rsid w:val="00AF5829"/>
    <w:rsid w:val="00B0169F"/>
    <w:rsid w:val="00B05F21"/>
    <w:rsid w:val="00B1365E"/>
    <w:rsid w:val="00B148EB"/>
    <w:rsid w:val="00B14EA9"/>
    <w:rsid w:val="00B22BDE"/>
    <w:rsid w:val="00B30A3C"/>
    <w:rsid w:val="00B3717C"/>
    <w:rsid w:val="00B81305"/>
    <w:rsid w:val="00B94E2D"/>
    <w:rsid w:val="00BB17DC"/>
    <w:rsid w:val="00BB1AF9"/>
    <w:rsid w:val="00BB4C4A"/>
    <w:rsid w:val="00BC7F12"/>
    <w:rsid w:val="00BD3CAE"/>
    <w:rsid w:val="00BD5F3C"/>
    <w:rsid w:val="00C07C0F"/>
    <w:rsid w:val="00C145C4"/>
    <w:rsid w:val="00C20D2F"/>
    <w:rsid w:val="00C2131B"/>
    <w:rsid w:val="00C341D1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1998"/>
    <w:rsid w:val="00CB31FB"/>
    <w:rsid w:val="00CE3D6F"/>
    <w:rsid w:val="00CE79A5"/>
    <w:rsid w:val="00CF0042"/>
    <w:rsid w:val="00CF262F"/>
    <w:rsid w:val="00CF7A6B"/>
    <w:rsid w:val="00D025D5"/>
    <w:rsid w:val="00D26B13"/>
    <w:rsid w:val="00D26CC1"/>
    <w:rsid w:val="00D30662"/>
    <w:rsid w:val="00D32A0B"/>
    <w:rsid w:val="00D6236B"/>
    <w:rsid w:val="00D76358"/>
    <w:rsid w:val="00D809D1"/>
    <w:rsid w:val="00D84ECF"/>
    <w:rsid w:val="00DA2851"/>
    <w:rsid w:val="00DA2B7C"/>
    <w:rsid w:val="00DA5686"/>
    <w:rsid w:val="00DB2FC0"/>
    <w:rsid w:val="00DF18FA"/>
    <w:rsid w:val="00DF49CA"/>
    <w:rsid w:val="00DF6ACF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08C4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0752"/>
    <w:rsid w:val="00FA5522"/>
    <w:rsid w:val="00FA6E4A"/>
    <w:rsid w:val="00FB2B35"/>
    <w:rsid w:val="00FC4AE1"/>
    <w:rsid w:val="00FD78A3"/>
    <w:rsid w:val="00FF6C8A"/>
    <w:rsid w:val="00FF6D71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</Template>
  <TotalTime>2</TotalTime>
  <Pages>1</Pages>
  <Words>3159</Words>
  <Characters>21548</Characters>
  <Application>Microsoft Office Outlook</Application>
  <DocSecurity>4</DocSecurity>
  <Lines>422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1404345</vt:lpstr>
    </vt:vector>
  </TitlesOfParts>
  <Company>CSD</Company>
  <LinksUpToDate>false</LinksUpToDate>
  <CharactersWithSpaces>24593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1404345</dc:title>
  <dc:subject>CCPR/C/110/D/1864/2009</dc:subject>
  <dc:creator>Ульяна Антипова</dc:creator>
  <cp:keywords/>
  <dc:description>Final</dc:description>
  <cp:lastModifiedBy>Ульяна Антипова</cp:lastModifiedBy>
  <cp:revision>3</cp:revision>
  <cp:lastPrinted>2014-07-21T13:52:00Z</cp:lastPrinted>
  <dcterms:created xsi:type="dcterms:W3CDTF">2014-07-21T15:08:00Z</dcterms:created>
  <dcterms:modified xsi:type="dcterms:W3CDTF">2014-07-21T15:12:00Z</dcterms:modified>
</cp:coreProperties>
</file>