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ED7442" w:rsidRDefault="006B3E27" w:rsidP="00E70E04">
            <w:pPr>
              <w:jc w:val="center"/>
              <w:rPr>
                <w:rFonts w:hint="cs"/>
                <w:sz w:val="56"/>
                <w:szCs w:val="56"/>
              </w:rPr>
            </w:pPr>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4B7AD6" w:rsidP="004B7AD6">
            <w:pPr>
              <w:bidi w:val="0"/>
              <w:spacing w:after="20"/>
              <w:jc w:val="left"/>
              <w:rPr>
                <w:szCs w:val="20"/>
              </w:rPr>
            </w:pPr>
            <w:r w:rsidRPr="004B7AD6">
              <w:rPr>
                <w:sz w:val="40"/>
                <w:szCs w:val="20"/>
              </w:rPr>
              <w:t>CCPR</w:t>
            </w:r>
            <w:r>
              <w:rPr>
                <w:szCs w:val="20"/>
              </w:rPr>
              <w:t>/C/112/D/2117/2011</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2B66A7F0" wp14:editId="1C4564CD">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4B7AD6" w:rsidP="004B7AD6">
            <w:pPr>
              <w:bidi w:val="0"/>
              <w:spacing w:before="240"/>
              <w:jc w:val="left"/>
              <w:rPr>
                <w:szCs w:val="20"/>
              </w:rPr>
            </w:pPr>
            <w:r>
              <w:rPr>
                <w:szCs w:val="20"/>
              </w:rPr>
              <w:t>Distr.: General</w:t>
            </w:r>
          </w:p>
          <w:p w:rsidR="004B7AD6" w:rsidRDefault="004B7AD6" w:rsidP="004B7AD6">
            <w:pPr>
              <w:bidi w:val="0"/>
              <w:jc w:val="left"/>
              <w:rPr>
                <w:szCs w:val="20"/>
              </w:rPr>
            </w:pPr>
            <w:r>
              <w:rPr>
                <w:szCs w:val="20"/>
              </w:rPr>
              <w:t>25 November 2014</w:t>
            </w:r>
          </w:p>
          <w:p w:rsidR="004B7AD6" w:rsidRDefault="004B7AD6" w:rsidP="004B7AD6">
            <w:pPr>
              <w:bidi w:val="0"/>
              <w:jc w:val="left"/>
              <w:rPr>
                <w:szCs w:val="20"/>
              </w:rPr>
            </w:pPr>
            <w:r>
              <w:rPr>
                <w:szCs w:val="20"/>
              </w:rPr>
              <w:t>Arabic</w:t>
            </w:r>
          </w:p>
          <w:p w:rsidR="004B7AD6" w:rsidRPr="00CB6622" w:rsidRDefault="004B7AD6" w:rsidP="004B7AD6">
            <w:pPr>
              <w:bidi w:val="0"/>
              <w:jc w:val="left"/>
              <w:rPr>
                <w:szCs w:val="20"/>
              </w:rPr>
            </w:pPr>
            <w:r>
              <w:rPr>
                <w:szCs w:val="20"/>
              </w:rPr>
              <w:t>Original: French</w:t>
            </w:r>
          </w:p>
        </w:tc>
      </w:tr>
    </w:tbl>
    <w:p w:rsidR="004B7AD6" w:rsidRPr="004B7AD6" w:rsidRDefault="004B7AD6" w:rsidP="004B7AD6">
      <w:pPr>
        <w:spacing w:before="120" w:line="380" w:lineRule="exact"/>
        <w:rPr>
          <w:b/>
          <w:bCs/>
          <w:sz w:val="26"/>
          <w:szCs w:val="36"/>
          <w:rtl/>
        </w:rPr>
      </w:pPr>
      <w:r w:rsidRPr="004B7AD6">
        <w:rPr>
          <w:rFonts w:hint="cs"/>
          <w:b/>
          <w:bCs/>
          <w:sz w:val="26"/>
          <w:szCs w:val="36"/>
          <w:rtl/>
        </w:rPr>
        <w:t>اللجنة المعنية بحقوق الإنسان</w:t>
      </w:r>
    </w:p>
    <w:p w:rsidR="004B7AD6" w:rsidRPr="004B7AD6" w:rsidRDefault="004B7AD6" w:rsidP="001C37C0">
      <w:pPr>
        <w:pStyle w:val="HChGA"/>
        <w:spacing w:before="300"/>
      </w:pPr>
      <w:r w:rsidRPr="004B7AD6">
        <w:rPr>
          <w:rFonts w:hint="cs"/>
          <w:rtl/>
        </w:rPr>
        <w:tab/>
      </w:r>
      <w:r w:rsidRPr="004B7AD6">
        <w:rPr>
          <w:rFonts w:hint="cs"/>
          <w:rtl/>
        </w:rPr>
        <w:tab/>
        <w:t>البلاغ رقم 2117/2011</w:t>
      </w:r>
    </w:p>
    <w:p w:rsidR="004B7AD6" w:rsidRDefault="004B7AD6" w:rsidP="004B7AD6">
      <w:pPr>
        <w:pStyle w:val="H1GA"/>
        <w:rPr>
          <w:rtl/>
        </w:rPr>
      </w:pPr>
      <w:r w:rsidRPr="004B7AD6">
        <w:rPr>
          <w:rFonts w:hint="cs"/>
          <w:rtl/>
        </w:rPr>
        <w:tab/>
      </w:r>
      <w:r w:rsidRPr="004B7AD6">
        <w:rPr>
          <w:rFonts w:hint="cs"/>
          <w:rtl/>
        </w:rPr>
        <w:tab/>
        <w:t>آراء اعتمدتها اللجنة في دورتها 112 (7-31 تشرين الأول/أكتوبر 2014)</w:t>
      </w:r>
    </w:p>
    <w:p w:rsidR="004B7AD6" w:rsidRPr="004B7AD6" w:rsidRDefault="004B7AD6" w:rsidP="001C37C0">
      <w:pPr>
        <w:pStyle w:val="SingleTxtGA"/>
        <w:spacing w:line="360" w:lineRule="exact"/>
        <w:ind w:left="3969" w:hanging="2268"/>
        <w:rPr>
          <w:rtl/>
        </w:rPr>
      </w:pPr>
      <w:r w:rsidRPr="008C173F">
        <w:rPr>
          <w:rFonts w:hint="cs"/>
          <w:iCs/>
          <w:rtl/>
        </w:rPr>
        <w:t>المقدم من:</w:t>
      </w:r>
      <w:r w:rsidRPr="008C173F">
        <w:rPr>
          <w:rFonts w:hint="cs"/>
          <w:iCs/>
          <w:rtl/>
        </w:rPr>
        <w:tab/>
      </w:r>
      <w:r w:rsidRPr="008C173F">
        <w:rPr>
          <w:iCs/>
          <w:rtl/>
        </w:rPr>
        <w:tab/>
      </w:r>
      <w:r w:rsidR="006C3D54" w:rsidRPr="008C173F">
        <w:rPr>
          <w:rFonts w:hint="cs"/>
          <w:iCs/>
          <w:rtl/>
        </w:rPr>
        <w:tab/>
      </w:r>
      <w:r w:rsidRPr="004B7AD6">
        <w:rPr>
          <w:rFonts w:hint="cs"/>
          <w:rtl/>
        </w:rPr>
        <w:t>حليمة العُدّي</w:t>
      </w:r>
      <w:r w:rsidRPr="004B7AD6">
        <w:t xml:space="preserve"> </w:t>
      </w:r>
      <w:r w:rsidRPr="004B7AD6">
        <w:rPr>
          <w:rFonts w:hint="cs"/>
          <w:rtl/>
        </w:rPr>
        <w:t xml:space="preserve">(يمثلها فيليب </w:t>
      </w:r>
      <w:proofErr w:type="spellStart"/>
      <w:r w:rsidRPr="004B7AD6">
        <w:rPr>
          <w:rFonts w:hint="cs"/>
          <w:rtl/>
        </w:rPr>
        <w:t>غرانت</w:t>
      </w:r>
      <w:proofErr w:type="spellEnd"/>
      <w:r w:rsidRPr="004B7AD6">
        <w:rPr>
          <w:rFonts w:hint="cs"/>
          <w:rtl/>
        </w:rPr>
        <w:t xml:space="preserve"> من الرابطة السويسرية لمكافحة الإفلات من العقاب (</w:t>
      </w:r>
      <w:r w:rsidRPr="004B7AD6">
        <w:t>TRIAL</w:t>
      </w:r>
      <w:r w:rsidRPr="004B7AD6">
        <w:rPr>
          <w:rFonts w:hint="cs"/>
          <w:rtl/>
        </w:rPr>
        <w:t>))</w:t>
      </w:r>
    </w:p>
    <w:p w:rsidR="004B7AD6" w:rsidRPr="004B7AD6" w:rsidRDefault="004B7AD6" w:rsidP="006C3D54">
      <w:pPr>
        <w:pStyle w:val="SingleTxtGA"/>
        <w:ind w:left="4649" w:hanging="2948"/>
        <w:rPr>
          <w:rtl/>
        </w:rPr>
      </w:pPr>
      <w:r w:rsidRPr="008C173F">
        <w:rPr>
          <w:rFonts w:hint="cs"/>
          <w:iCs/>
          <w:rtl/>
        </w:rPr>
        <w:t>باسم:</w:t>
      </w:r>
      <w:r w:rsidRPr="008C173F">
        <w:rPr>
          <w:rFonts w:hint="cs"/>
          <w:iCs/>
          <w:rtl/>
        </w:rPr>
        <w:tab/>
      </w:r>
      <w:r w:rsidRPr="008C173F">
        <w:rPr>
          <w:iCs/>
          <w:rtl/>
        </w:rPr>
        <w:tab/>
      </w:r>
      <w:r w:rsidRPr="008C173F">
        <w:rPr>
          <w:rFonts w:hint="cs"/>
          <w:iCs/>
          <w:rtl/>
        </w:rPr>
        <w:tab/>
      </w:r>
      <w:r w:rsidRPr="004B7AD6">
        <w:rPr>
          <w:rFonts w:hint="cs"/>
          <w:rtl/>
        </w:rPr>
        <w:t>حسن العُدّي (ابن صاحبة البلاغ) وباسمها الخاص</w:t>
      </w:r>
    </w:p>
    <w:p w:rsidR="004B7AD6" w:rsidRPr="004B7AD6" w:rsidRDefault="004B7AD6" w:rsidP="006C3D54">
      <w:pPr>
        <w:pStyle w:val="SingleTxtGA"/>
        <w:ind w:left="4649" w:hanging="2948"/>
        <w:rPr>
          <w:rtl/>
        </w:rPr>
      </w:pPr>
      <w:r w:rsidRPr="008C173F">
        <w:rPr>
          <w:rFonts w:hint="cs"/>
          <w:iCs/>
          <w:rtl/>
        </w:rPr>
        <w:t>الدولة الطرف:</w:t>
      </w:r>
      <w:r w:rsidRPr="008C173F">
        <w:rPr>
          <w:rFonts w:hint="cs"/>
          <w:iCs/>
          <w:rtl/>
        </w:rPr>
        <w:tab/>
      </w:r>
      <w:r w:rsidRPr="008C173F">
        <w:rPr>
          <w:iCs/>
          <w:rtl/>
        </w:rPr>
        <w:tab/>
      </w:r>
      <w:r w:rsidRPr="004B7AD6">
        <w:rPr>
          <w:rFonts w:hint="cs"/>
          <w:rtl/>
        </w:rPr>
        <w:t>الجزائر</w:t>
      </w:r>
    </w:p>
    <w:p w:rsidR="004B7AD6" w:rsidRPr="004B7AD6" w:rsidRDefault="004B7AD6" w:rsidP="006C3D54">
      <w:pPr>
        <w:pStyle w:val="SingleTxtGA"/>
        <w:ind w:left="4649" w:hanging="2948"/>
        <w:rPr>
          <w:rtl/>
        </w:rPr>
      </w:pPr>
      <w:r w:rsidRPr="008C173F">
        <w:rPr>
          <w:rFonts w:hint="cs"/>
          <w:iCs/>
          <w:rtl/>
        </w:rPr>
        <w:t>تاريخ تقديم البلاغ:</w:t>
      </w:r>
      <w:r w:rsidRPr="008C173F">
        <w:rPr>
          <w:rFonts w:hint="cs"/>
          <w:iCs/>
          <w:rtl/>
        </w:rPr>
        <w:tab/>
      </w:r>
      <w:r w:rsidR="006C3D54" w:rsidRPr="008C173F">
        <w:rPr>
          <w:iCs/>
          <w:rtl/>
        </w:rPr>
        <w:tab/>
      </w:r>
      <w:r w:rsidRPr="004B7AD6">
        <w:rPr>
          <w:rFonts w:hint="cs"/>
          <w:rtl/>
        </w:rPr>
        <w:t>19 أيلول/سبتمبر 2011 (تاريخ تقديم الرسالة الأولى)</w:t>
      </w:r>
    </w:p>
    <w:p w:rsidR="004B7AD6" w:rsidRPr="004B7AD6" w:rsidRDefault="004B7AD6" w:rsidP="001C37C0">
      <w:pPr>
        <w:pStyle w:val="SingleTxtGA"/>
        <w:spacing w:line="360" w:lineRule="exact"/>
        <w:ind w:left="3969" w:hanging="2268"/>
        <w:rPr>
          <w:rtl/>
        </w:rPr>
      </w:pPr>
      <w:r w:rsidRPr="008C173F">
        <w:rPr>
          <w:rFonts w:hint="cs"/>
          <w:iCs/>
          <w:rtl/>
        </w:rPr>
        <w:t>الوثائق المرجعية:</w:t>
      </w:r>
      <w:r w:rsidRPr="008C173F">
        <w:rPr>
          <w:rFonts w:hint="cs"/>
          <w:iCs/>
          <w:rtl/>
        </w:rPr>
        <w:tab/>
      </w:r>
      <w:r w:rsidRPr="008C173F">
        <w:rPr>
          <w:iCs/>
          <w:rtl/>
        </w:rPr>
        <w:tab/>
      </w:r>
      <w:r w:rsidRPr="004B7AD6">
        <w:rPr>
          <w:rFonts w:hint="cs"/>
          <w:rtl/>
        </w:rPr>
        <w:t>قرار المقرر الخاص المتخذ بموجب المادة 97 من النظام الداخلي، الذي أحيل إلى الدولة الطرف في 19 أيلول/</w:t>
      </w:r>
      <w:r w:rsidR="006C3D54">
        <w:rPr>
          <w:rFonts w:hint="cs"/>
          <w:rtl/>
        </w:rPr>
        <w:t xml:space="preserve"> </w:t>
      </w:r>
      <w:r w:rsidRPr="004B7AD6">
        <w:rPr>
          <w:rFonts w:hint="cs"/>
          <w:rtl/>
        </w:rPr>
        <w:t>سبتمبر 2011 (لم يصدر في شكل وثيقة)</w:t>
      </w:r>
    </w:p>
    <w:p w:rsidR="004B7AD6" w:rsidRPr="004B7AD6" w:rsidRDefault="004B7AD6" w:rsidP="006C3D54">
      <w:pPr>
        <w:pStyle w:val="SingleTxtGA"/>
        <w:ind w:left="4649" w:hanging="2948"/>
        <w:rPr>
          <w:rtl/>
        </w:rPr>
      </w:pPr>
      <w:r w:rsidRPr="008C173F">
        <w:rPr>
          <w:rFonts w:hint="cs"/>
          <w:iCs/>
          <w:rtl/>
        </w:rPr>
        <w:t>تاريخ اعتماد الآراء:</w:t>
      </w:r>
      <w:r w:rsidR="006C3D54" w:rsidRPr="008C173F">
        <w:rPr>
          <w:iCs/>
          <w:rtl/>
        </w:rPr>
        <w:tab/>
      </w:r>
      <w:r w:rsidRPr="008C173F">
        <w:rPr>
          <w:rFonts w:hint="cs"/>
          <w:iCs/>
          <w:rtl/>
        </w:rPr>
        <w:tab/>
      </w:r>
      <w:r w:rsidRPr="004B7AD6">
        <w:rPr>
          <w:rFonts w:hint="cs"/>
          <w:rtl/>
        </w:rPr>
        <w:t>30 تشرين الأول/أكتوبر 2014</w:t>
      </w:r>
    </w:p>
    <w:p w:rsidR="004B7AD6" w:rsidRPr="004B7AD6" w:rsidRDefault="004B7AD6" w:rsidP="006C3D54">
      <w:pPr>
        <w:pStyle w:val="SingleTxtGA"/>
        <w:ind w:left="4649" w:hanging="2948"/>
        <w:rPr>
          <w:rtl/>
        </w:rPr>
      </w:pPr>
      <w:r w:rsidRPr="008C173F">
        <w:rPr>
          <w:rFonts w:hint="cs"/>
          <w:iCs/>
          <w:rtl/>
        </w:rPr>
        <w:t>الموضوع:</w:t>
      </w:r>
      <w:r w:rsidRPr="008C173F">
        <w:rPr>
          <w:rFonts w:hint="cs"/>
          <w:iCs/>
          <w:rtl/>
        </w:rPr>
        <w:tab/>
      </w:r>
      <w:r w:rsidRPr="008C173F">
        <w:rPr>
          <w:iCs/>
          <w:rtl/>
        </w:rPr>
        <w:tab/>
      </w:r>
      <w:r w:rsidRPr="008C173F">
        <w:rPr>
          <w:rFonts w:hint="cs"/>
          <w:iCs/>
          <w:rtl/>
        </w:rPr>
        <w:tab/>
      </w:r>
      <w:r w:rsidRPr="004B7AD6">
        <w:rPr>
          <w:rFonts w:hint="cs"/>
          <w:rtl/>
        </w:rPr>
        <w:t>اختفاء قسري</w:t>
      </w:r>
    </w:p>
    <w:p w:rsidR="004B7AD6" w:rsidRPr="004B7AD6" w:rsidRDefault="004B7AD6" w:rsidP="001C37C0">
      <w:pPr>
        <w:pStyle w:val="SingleTxtGA"/>
        <w:spacing w:line="360" w:lineRule="exact"/>
        <w:ind w:left="3969" w:hanging="2268"/>
        <w:rPr>
          <w:rtl/>
        </w:rPr>
      </w:pPr>
      <w:r w:rsidRPr="008C173F">
        <w:rPr>
          <w:rFonts w:hint="cs"/>
          <w:iCs/>
          <w:rtl/>
        </w:rPr>
        <w:t>المسائل الموضوعية:</w:t>
      </w:r>
      <w:r w:rsidRPr="008C173F">
        <w:rPr>
          <w:iCs/>
          <w:rtl/>
        </w:rPr>
        <w:tab/>
      </w:r>
      <w:r w:rsidR="006C3D54" w:rsidRPr="008C173F">
        <w:rPr>
          <w:rFonts w:hint="cs"/>
          <w:iCs/>
          <w:rtl/>
        </w:rPr>
        <w:tab/>
      </w:r>
      <w:r w:rsidRPr="004B7AD6">
        <w:rPr>
          <w:rFonts w:hint="cs"/>
          <w:rtl/>
        </w:rPr>
        <w:t xml:space="preserve">الحق في انتصاف فعال؛ والحق في الحياة؛ وحظر التعذيب والمعاملة القاسية واللاإنسانية؛ </w:t>
      </w:r>
      <w:r w:rsidRPr="004B7AD6">
        <w:rPr>
          <w:rtl/>
        </w:rPr>
        <w:t>وحق الفرد في الحرية وفي الأمن على شخصه</w:t>
      </w:r>
      <w:r w:rsidRPr="004B7AD6">
        <w:rPr>
          <w:rFonts w:hint="cs"/>
          <w:rtl/>
        </w:rPr>
        <w:t>؛</w:t>
      </w:r>
      <w:r w:rsidRPr="004B7AD6">
        <w:rPr>
          <w:rtl/>
        </w:rPr>
        <w:t xml:space="preserve"> واحترام الكرامة البشرية الأصيلة</w:t>
      </w:r>
      <w:r w:rsidRPr="004B7AD6">
        <w:rPr>
          <w:rFonts w:hint="cs"/>
          <w:rtl/>
        </w:rPr>
        <w:t>؛</w:t>
      </w:r>
      <w:r w:rsidRPr="004B7AD6">
        <w:rPr>
          <w:rtl/>
        </w:rPr>
        <w:t xml:space="preserve"> والاعتراف بالشخصية القانونية</w:t>
      </w:r>
      <w:r w:rsidRPr="004B7AD6">
        <w:rPr>
          <w:rFonts w:hint="cs"/>
          <w:rtl/>
        </w:rPr>
        <w:t xml:space="preserve">؛ وحماية </w:t>
      </w:r>
      <w:r w:rsidRPr="004B7AD6">
        <w:rPr>
          <w:rtl/>
        </w:rPr>
        <w:t>الحياة الأسرية</w:t>
      </w:r>
    </w:p>
    <w:p w:rsidR="004B7AD6" w:rsidRPr="004B7AD6" w:rsidRDefault="004B7AD6" w:rsidP="006C3D54">
      <w:pPr>
        <w:pStyle w:val="SingleTxtGA"/>
        <w:ind w:left="4649" w:hanging="2948"/>
        <w:rPr>
          <w:rtl/>
        </w:rPr>
      </w:pPr>
      <w:r w:rsidRPr="008C173F">
        <w:rPr>
          <w:rFonts w:hint="cs"/>
          <w:iCs/>
          <w:rtl/>
        </w:rPr>
        <w:t>المسائل الإجرائية:</w:t>
      </w:r>
      <w:r w:rsidRPr="008C173F">
        <w:rPr>
          <w:rFonts w:hint="cs"/>
          <w:iCs/>
          <w:rtl/>
        </w:rPr>
        <w:tab/>
      </w:r>
      <w:r w:rsidRPr="008C173F">
        <w:rPr>
          <w:iCs/>
          <w:rtl/>
        </w:rPr>
        <w:tab/>
      </w:r>
      <w:r w:rsidRPr="004B7AD6">
        <w:rPr>
          <w:rFonts w:hint="cs"/>
          <w:rtl/>
        </w:rPr>
        <w:t xml:space="preserve">استنفاد سبل الانتصاف المحلية </w:t>
      </w:r>
    </w:p>
    <w:p w:rsidR="004B7AD6" w:rsidRPr="004B7AD6" w:rsidRDefault="004B7AD6" w:rsidP="001C37C0">
      <w:pPr>
        <w:pStyle w:val="SingleTxtGA"/>
        <w:spacing w:line="360" w:lineRule="exact"/>
        <w:ind w:left="3969" w:hanging="2268"/>
        <w:rPr>
          <w:rtl/>
        </w:rPr>
      </w:pPr>
      <w:r w:rsidRPr="008C173F">
        <w:rPr>
          <w:rFonts w:hint="cs"/>
          <w:iCs/>
          <w:rtl/>
        </w:rPr>
        <w:t>مواد العهد:</w:t>
      </w:r>
      <w:r w:rsidRPr="008C173F">
        <w:rPr>
          <w:rFonts w:hint="cs"/>
          <w:iCs/>
          <w:rtl/>
        </w:rPr>
        <w:tab/>
      </w:r>
      <w:r w:rsidR="006C3D54" w:rsidRPr="008C173F">
        <w:rPr>
          <w:rFonts w:hint="cs"/>
          <w:iCs/>
          <w:rtl/>
        </w:rPr>
        <w:tab/>
      </w:r>
      <w:r w:rsidRPr="008C173F">
        <w:rPr>
          <w:iCs/>
          <w:rtl/>
        </w:rPr>
        <w:tab/>
      </w:r>
      <w:r w:rsidRPr="004B7AD6">
        <w:rPr>
          <w:rFonts w:hint="cs"/>
          <w:rtl/>
        </w:rPr>
        <w:t>2 (الفقرة 3) و6 (الفقرة 1) و7 و9 و10 (الفقرة 1) و16 و23 (الفقرة 1)</w:t>
      </w:r>
    </w:p>
    <w:p w:rsidR="008C173F" w:rsidRDefault="004B7AD6" w:rsidP="00645544">
      <w:pPr>
        <w:pStyle w:val="SingleTxtGA"/>
        <w:spacing w:after="240"/>
        <w:ind w:left="4649" w:hanging="2948"/>
        <w:rPr>
          <w:rtl/>
        </w:rPr>
      </w:pPr>
      <w:r w:rsidRPr="008C173F">
        <w:rPr>
          <w:rFonts w:hint="cs"/>
          <w:iCs/>
          <w:rtl/>
        </w:rPr>
        <w:t>مادة البروتوكول الاختياري:</w:t>
      </w:r>
      <w:r w:rsidRPr="008C173F">
        <w:rPr>
          <w:iCs/>
          <w:rtl/>
        </w:rPr>
        <w:tab/>
      </w:r>
      <w:r w:rsidRPr="004B7AD6">
        <w:rPr>
          <w:rFonts w:hint="cs"/>
          <w:rtl/>
        </w:rPr>
        <w:t>الفقرة 2(ب) من المادة 5</w:t>
      </w:r>
    </w:p>
    <w:p w:rsidR="004B7AD6" w:rsidRPr="004B7AD6" w:rsidRDefault="004B7AD6" w:rsidP="008C173F">
      <w:pPr>
        <w:pStyle w:val="HChGA"/>
        <w:spacing w:before="120"/>
        <w:rPr>
          <w:rtl/>
        </w:rPr>
      </w:pPr>
      <w:r w:rsidRPr="004B7AD6">
        <w:rPr>
          <w:rFonts w:hint="cs"/>
          <w:rtl/>
        </w:rPr>
        <w:lastRenderedPageBreak/>
        <w:t>المرفق</w:t>
      </w:r>
    </w:p>
    <w:p w:rsidR="004B7AD6" w:rsidRPr="0070710B" w:rsidRDefault="004B7AD6" w:rsidP="008C173F">
      <w:pPr>
        <w:pStyle w:val="HChGA"/>
        <w:rPr>
          <w:b w:val="0"/>
          <w:bCs w:val="0"/>
          <w:rtl/>
        </w:rPr>
      </w:pPr>
      <w:r w:rsidRPr="004B7AD6">
        <w:rPr>
          <w:rFonts w:hint="cs"/>
          <w:rtl/>
        </w:rPr>
        <w:tab/>
      </w:r>
      <w:r w:rsidRPr="004B7AD6">
        <w:rPr>
          <w:rFonts w:hint="cs"/>
          <w:rtl/>
        </w:rPr>
        <w:tab/>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Pr="00D31BEE">
        <w:rPr>
          <w:rFonts w:hint="cs"/>
          <w:b w:val="0"/>
          <w:bCs w:val="0"/>
          <w:rtl/>
        </w:rPr>
        <w:t>(الدورة 112)</w:t>
      </w:r>
    </w:p>
    <w:p w:rsidR="004B7AD6" w:rsidRPr="004B7AD6" w:rsidRDefault="004B7AD6" w:rsidP="004B7AD6">
      <w:pPr>
        <w:pStyle w:val="SingleTxtGA"/>
        <w:rPr>
          <w:rtl/>
        </w:rPr>
      </w:pPr>
      <w:r w:rsidRPr="004B7AD6">
        <w:rPr>
          <w:rFonts w:hint="cs"/>
          <w:rtl/>
        </w:rPr>
        <w:t>بشأن</w:t>
      </w:r>
    </w:p>
    <w:p w:rsidR="004B7AD6" w:rsidRDefault="004B7AD6" w:rsidP="00D31BEE">
      <w:pPr>
        <w:pStyle w:val="H1GA"/>
        <w:rPr>
          <w:rtl/>
        </w:rPr>
      </w:pPr>
      <w:r w:rsidRPr="004B7AD6">
        <w:rPr>
          <w:rFonts w:hint="cs"/>
          <w:rtl/>
        </w:rPr>
        <w:tab/>
      </w:r>
      <w:r w:rsidRPr="004B7AD6">
        <w:rPr>
          <w:rFonts w:hint="cs"/>
          <w:rtl/>
        </w:rPr>
        <w:tab/>
        <w:t>البلاغ رقم 2117/2011</w:t>
      </w:r>
      <w:r w:rsidR="00D31BEE" w:rsidRPr="00D31BEE">
        <w:rPr>
          <w:rStyle w:val="FootnoteReference"/>
          <w:sz w:val="20"/>
          <w:vertAlign w:val="baseline"/>
          <w:rtl/>
        </w:rPr>
        <w:footnoteReference w:customMarkFollows="1" w:id="1"/>
        <w:t>*</w:t>
      </w:r>
    </w:p>
    <w:p w:rsidR="008C173F" w:rsidRPr="004B7AD6" w:rsidRDefault="008C173F" w:rsidP="00451981">
      <w:pPr>
        <w:pStyle w:val="SingleTxtGA"/>
        <w:ind w:left="3969" w:hanging="2041"/>
        <w:rPr>
          <w:rtl/>
        </w:rPr>
      </w:pPr>
      <w:r w:rsidRPr="008C173F">
        <w:rPr>
          <w:rFonts w:hint="cs"/>
          <w:iCs/>
          <w:rtl/>
        </w:rPr>
        <w:t>المقدم من:</w:t>
      </w:r>
      <w:r w:rsidRPr="008C173F">
        <w:rPr>
          <w:rFonts w:hint="cs"/>
          <w:iCs/>
          <w:rtl/>
        </w:rPr>
        <w:tab/>
      </w:r>
      <w:r w:rsidRPr="008C173F">
        <w:rPr>
          <w:iCs/>
          <w:rtl/>
        </w:rPr>
        <w:tab/>
      </w:r>
      <w:r w:rsidRPr="004B7AD6">
        <w:rPr>
          <w:rFonts w:hint="cs"/>
          <w:rtl/>
        </w:rPr>
        <w:t>حليمة العُدّي</w:t>
      </w:r>
      <w:r w:rsidRPr="004B7AD6">
        <w:t xml:space="preserve"> </w:t>
      </w:r>
      <w:r w:rsidRPr="004B7AD6">
        <w:rPr>
          <w:rFonts w:hint="cs"/>
          <w:rtl/>
        </w:rPr>
        <w:t xml:space="preserve">(يمثلها فيليب </w:t>
      </w:r>
      <w:proofErr w:type="spellStart"/>
      <w:r w:rsidRPr="004B7AD6">
        <w:rPr>
          <w:rFonts w:hint="cs"/>
          <w:rtl/>
        </w:rPr>
        <w:t>غرانت</w:t>
      </w:r>
      <w:proofErr w:type="spellEnd"/>
      <w:r w:rsidRPr="004B7AD6">
        <w:rPr>
          <w:rFonts w:hint="cs"/>
          <w:rtl/>
        </w:rPr>
        <w:t xml:space="preserve"> من الرابطة السويسرية لمكافحة الإفلات من العقاب (</w:t>
      </w:r>
      <w:r w:rsidRPr="004B7AD6">
        <w:t>TRIAL</w:t>
      </w:r>
      <w:r w:rsidRPr="004B7AD6">
        <w:rPr>
          <w:rFonts w:hint="cs"/>
          <w:rtl/>
        </w:rPr>
        <w:t>))</w:t>
      </w:r>
    </w:p>
    <w:p w:rsidR="008C173F" w:rsidRPr="004B7AD6" w:rsidRDefault="008C173F" w:rsidP="00451981">
      <w:pPr>
        <w:pStyle w:val="SingleTxtGA"/>
        <w:ind w:left="3969" w:hanging="2041"/>
        <w:rPr>
          <w:rtl/>
        </w:rPr>
      </w:pPr>
      <w:r w:rsidRPr="008C173F">
        <w:rPr>
          <w:rFonts w:hint="cs"/>
          <w:iCs/>
          <w:rtl/>
        </w:rPr>
        <w:t>باسم:</w:t>
      </w:r>
      <w:r w:rsidRPr="008C173F">
        <w:rPr>
          <w:rFonts w:hint="cs"/>
          <w:iCs/>
          <w:rtl/>
        </w:rPr>
        <w:tab/>
      </w:r>
      <w:r w:rsidRPr="008C173F">
        <w:rPr>
          <w:iCs/>
          <w:rtl/>
        </w:rPr>
        <w:tab/>
      </w:r>
      <w:r w:rsidRPr="008C173F">
        <w:rPr>
          <w:rFonts w:hint="cs"/>
          <w:iCs/>
          <w:rtl/>
        </w:rPr>
        <w:tab/>
      </w:r>
      <w:r w:rsidRPr="004B7AD6">
        <w:rPr>
          <w:rFonts w:hint="cs"/>
          <w:rtl/>
        </w:rPr>
        <w:t>حسن العُدّي (ابن صاحبة البلاغ) وباسمها الخاص</w:t>
      </w:r>
    </w:p>
    <w:p w:rsidR="008C173F" w:rsidRPr="004B7AD6" w:rsidRDefault="008C173F" w:rsidP="00451981">
      <w:pPr>
        <w:pStyle w:val="SingleTxtGA"/>
        <w:ind w:left="3969" w:hanging="2041"/>
        <w:rPr>
          <w:rtl/>
        </w:rPr>
      </w:pPr>
      <w:r w:rsidRPr="008C173F">
        <w:rPr>
          <w:rFonts w:hint="cs"/>
          <w:iCs/>
          <w:rtl/>
        </w:rPr>
        <w:t>الدولة الطرف:</w:t>
      </w:r>
      <w:r w:rsidRPr="008C173F">
        <w:rPr>
          <w:rFonts w:hint="cs"/>
          <w:iCs/>
          <w:rtl/>
        </w:rPr>
        <w:tab/>
      </w:r>
      <w:r w:rsidRPr="008C173F">
        <w:rPr>
          <w:iCs/>
          <w:rtl/>
        </w:rPr>
        <w:tab/>
      </w:r>
      <w:r w:rsidRPr="004B7AD6">
        <w:rPr>
          <w:rFonts w:hint="cs"/>
          <w:rtl/>
        </w:rPr>
        <w:t>الجزائر</w:t>
      </w:r>
    </w:p>
    <w:p w:rsidR="008C173F" w:rsidRPr="004B7AD6" w:rsidRDefault="008C173F" w:rsidP="00451981">
      <w:pPr>
        <w:pStyle w:val="SingleTxtGA"/>
        <w:ind w:left="3969" w:hanging="2041"/>
        <w:rPr>
          <w:rtl/>
        </w:rPr>
      </w:pPr>
      <w:r w:rsidRPr="008C173F">
        <w:rPr>
          <w:rFonts w:hint="cs"/>
          <w:iCs/>
          <w:rtl/>
        </w:rPr>
        <w:t>تاريخ تقديم البلاغ:</w:t>
      </w:r>
      <w:r w:rsidRPr="008C173F">
        <w:rPr>
          <w:rFonts w:hint="cs"/>
          <w:iCs/>
          <w:rtl/>
        </w:rPr>
        <w:tab/>
      </w:r>
      <w:r w:rsidRPr="004B7AD6">
        <w:rPr>
          <w:rFonts w:hint="cs"/>
          <w:rtl/>
        </w:rPr>
        <w:t>19 أيلول/سبتمبر 2011 (تاريخ تقديم الرسالة الأولى)</w:t>
      </w:r>
    </w:p>
    <w:p w:rsidR="004B7AD6" w:rsidRPr="004B7AD6" w:rsidRDefault="004B7AD6" w:rsidP="00451981">
      <w:pPr>
        <w:pStyle w:val="SingleTxtGA"/>
        <w:ind w:left="1474"/>
        <w:rPr>
          <w:rtl/>
        </w:rPr>
      </w:pPr>
      <w:r w:rsidRPr="005917AD">
        <w:rPr>
          <w:rFonts w:hint="cs"/>
          <w:i/>
          <w:iCs/>
          <w:rtl/>
        </w:rPr>
        <w:tab/>
        <w:t>إن اللجنة المعنية بحقوق الإنسان،</w:t>
      </w:r>
      <w:r w:rsidRPr="004B7AD6">
        <w:rPr>
          <w:rFonts w:hint="cs"/>
          <w:rtl/>
        </w:rPr>
        <w:t xml:space="preserve"> المنشأة بموجب المادة 28 من العهد الدولي ا</w:t>
      </w:r>
      <w:r w:rsidR="00451981">
        <w:rPr>
          <w:rFonts w:hint="cs"/>
          <w:rtl/>
        </w:rPr>
        <w:t>لخاص بالحقوق المدنية والسياسية،</w:t>
      </w:r>
    </w:p>
    <w:p w:rsidR="004B7AD6" w:rsidRPr="004B7AD6" w:rsidRDefault="004B7AD6" w:rsidP="004B7AD6">
      <w:pPr>
        <w:pStyle w:val="SingleTxtGA"/>
        <w:rPr>
          <w:rtl/>
        </w:rPr>
      </w:pPr>
      <w:r w:rsidRPr="005917AD">
        <w:rPr>
          <w:rFonts w:hint="cs"/>
          <w:i/>
          <w:iCs/>
          <w:rtl/>
        </w:rPr>
        <w:tab/>
        <w:t>وقد اجتمعت</w:t>
      </w:r>
      <w:r w:rsidRPr="004B7AD6">
        <w:rPr>
          <w:rFonts w:hint="cs"/>
          <w:rtl/>
        </w:rPr>
        <w:t xml:space="preserve"> في 30 تشرين الأول/أكتوبر 2014، </w:t>
      </w:r>
    </w:p>
    <w:p w:rsidR="004B7AD6" w:rsidRPr="004B7AD6" w:rsidRDefault="004B7AD6" w:rsidP="004B7AD6">
      <w:pPr>
        <w:pStyle w:val="SingleTxtGA"/>
        <w:rPr>
          <w:rtl/>
        </w:rPr>
      </w:pPr>
      <w:r w:rsidRPr="005917AD">
        <w:rPr>
          <w:rFonts w:hint="cs"/>
          <w:i/>
          <w:iCs/>
          <w:rtl/>
        </w:rPr>
        <w:tab/>
        <w:t>وقد فرغت</w:t>
      </w:r>
      <w:r w:rsidRPr="004B7AD6">
        <w:rPr>
          <w:rFonts w:hint="cs"/>
          <w:rtl/>
        </w:rPr>
        <w:t xml:space="preserve"> من النظر في البلاغ رقم 2117/2011، الذي قدمته إليها حليمة العُدّي بموجب البروتوكول الاختياري الملحق بالعهد الدولي الخاص بالحقوق المدنية والسياسية، </w:t>
      </w:r>
    </w:p>
    <w:p w:rsidR="004B7AD6" w:rsidRPr="004B7AD6" w:rsidRDefault="004B7AD6" w:rsidP="004B7AD6">
      <w:pPr>
        <w:pStyle w:val="SingleTxtGA"/>
        <w:rPr>
          <w:rtl/>
        </w:rPr>
      </w:pPr>
      <w:r w:rsidRPr="005917AD">
        <w:rPr>
          <w:rFonts w:hint="cs"/>
          <w:i/>
          <w:iCs/>
          <w:rtl/>
        </w:rPr>
        <w:tab/>
        <w:t>وقد أخذت في الاعتبار</w:t>
      </w:r>
      <w:r w:rsidRPr="004B7AD6">
        <w:rPr>
          <w:rFonts w:hint="cs"/>
          <w:rtl/>
        </w:rPr>
        <w:t xml:space="preserve"> جميع المعلومات الخطية التي قدمتها صاحبة البلاغ والدولة الطرف،</w:t>
      </w:r>
    </w:p>
    <w:p w:rsidR="004B7AD6" w:rsidRPr="004B7AD6" w:rsidRDefault="004B7AD6" w:rsidP="004B7AD6">
      <w:pPr>
        <w:pStyle w:val="SingleTxtGA"/>
        <w:rPr>
          <w:rtl/>
        </w:rPr>
      </w:pPr>
      <w:r w:rsidRPr="005917AD">
        <w:rPr>
          <w:rFonts w:hint="cs"/>
          <w:i/>
          <w:iCs/>
          <w:rtl/>
        </w:rPr>
        <w:tab/>
        <w:t>تعتمد</w:t>
      </w:r>
      <w:r w:rsidRPr="004B7AD6">
        <w:rPr>
          <w:rFonts w:hint="cs"/>
          <w:rtl/>
        </w:rPr>
        <w:t xml:space="preserve"> ما يلي: </w:t>
      </w:r>
    </w:p>
    <w:p w:rsidR="004B7AD6" w:rsidRPr="004B7AD6" w:rsidRDefault="004B7AD6" w:rsidP="005917AD">
      <w:pPr>
        <w:pStyle w:val="H1GA"/>
        <w:rPr>
          <w:rtl/>
        </w:rPr>
      </w:pPr>
      <w:r w:rsidRPr="004B7AD6">
        <w:rPr>
          <w:rFonts w:hint="cs"/>
          <w:rtl/>
        </w:rPr>
        <w:lastRenderedPageBreak/>
        <w:tab/>
      </w:r>
      <w:r w:rsidRPr="004B7AD6">
        <w:rPr>
          <w:rFonts w:hint="cs"/>
          <w:rtl/>
        </w:rPr>
        <w:tab/>
        <w:t xml:space="preserve">آراء بموجب الفقرة 4 من المادة 5 من البروتوكول الاختياري </w:t>
      </w:r>
    </w:p>
    <w:p w:rsidR="004B7AD6" w:rsidRPr="004B7AD6" w:rsidRDefault="004B7AD6" w:rsidP="00645544">
      <w:pPr>
        <w:pStyle w:val="SingleTxtGA"/>
        <w:rPr>
          <w:rtl/>
        </w:rPr>
      </w:pPr>
      <w:r w:rsidRPr="004B7AD6">
        <w:rPr>
          <w:rFonts w:hint="cs"/>
          <w:rtl/>
        </w:rPr>
        <w:t>1-1</w:t>
      </w:r>
      <w:r w:rsidRPr="004B7AD6">
        <w:rPr>
          <w:rFonts w:hint="cs"/>
          <w:rtl/>
        </w:rPr>
        <w:tab/>
        <w:t>صاحبة البلاغ المؤرخ 19 أيلول/سبتمبر 2011 هي حليمة العدي المولودة في 16 كانون الثاني/يناير 1934 في برج الكيفان بالجزائر. وتدّعي حليمة العدي أن ابنها حسن العدي المولود في 1 أيلول/سبتمبر 1960 قد وقع ضحية اختفاء قسري توجَّه فيه أصابع الاتهام إلى الدولة الطرف التي تكون قد انتهكت بذلك الفقرة 3 من المادة 2، والفقرة 1 من المادة 6 والمادة 7 والمادة 9 والفقرة 1 من المادة 10 والمادة 16 والفقرة 1 من المادة 23 من العهد. كما تدعي صاحبة البلاغ أنها وقعت وعائلتها ضحية انتهاك الفقرة 3 من المادة 2 والمادة 7 والفقرة</w:t>
      </w:r>
      <w:r w:rsidR="00645544">
        <w:rPr>
          <w:rFonts w:hint="eastAsia"/>
          <w:rtl/>
        </w:rPr>
        <w:t> </w:t>
      </w:r>
      <w:r w:rsidRPr="004B7AD6">
        <w:rPr>
          <w:rFonts w:hint="cs"/>
          <w:rtl/>
        </w:rPr>
        <w:t xml:space="preserve">1 من المادة 23 من العهد. ويمثلها السيد فيليب </w:t>
      </w:r>
      <w:proofErr w:type="spellStart"/>
      <w:r w:rsidRPr="004B7AD6">
        <w:rPr>
          <w:rFonts w:hint="cs"/>
          <w:rtl/>
        </w:rPr>
        <w:t>غرانت</w:t>
      </w:r>
      <w:proofErr w:type="spellEnd"/>
      <w:r w:rsidRPr="004B7AD6">
        <w:rPr>
          <w:rFonts w:hint="cs"/>
          <w:rtl/>
        </w:rPr>
        <w:t xml:space="preserve"> من الرابطة السويسرية لمكافحة الإفلات من العقاب (</w:t>
      </w:r>
      <w:r w:rsidRPr="004B7AD6">
        <w:t>TRIAL</w:t>
      </w:r>
      <w:r w:rsidRPr="004B7AD6">
        <w:rPr>
          <w:rFonts w:hint="cs"/>
          <w:rtl/>
        </w:rPr>
        <w:t xml:space="preserve">). </w:t>
      </w:r>
    </w:p>
    <w:p w:rsidR="004B7AD6" w:rsidRPr="004B7AD6" w:rsidRDefault="004B7AD6" w:rsidP="00645544">
      <w:pPr>
        <w:pStyle w:val="SingleTxtGA"/>
        <w:rPr>
          <w:rtl/>
        </w:rPr>
      </w:pPr>
      <w:r w:rsidRPr="004B7AD6">
        <w:rPr>
          <w:rFonts w:hint="cs"/>
          <w:rtl/>
        </w:rPr>
        <w:t>1-2</w:t>
      </w:r>
      <w:r w:rsidRPr="004B7AD6">
        <w:rPr>
          <w:rFonts w:hint="cs"/>
          <w:rtl/>
        </w:rPr>
        <w:tab/>
      </w:r>
      <w:r w:rsidRPr="004B7AD6">
        <w:rPr>
          <w:rtl/>
        </w:rPr>
        <w:t xml:space="preserve">وفي </w:t>
      </w:r>
      <w:r w:rsidRPr="004B7AD6">
        <w:rPr>
          <w:rFonts w:hint="cs"/>
          <w:rtl/>
        </w:rPr>
        <w:t>19</w:t>
      </w:r>
      <w:r w:rsidRPr="004B7AD6">
        <w:rPr>
          <w:rtl/>
        </w:rPr>
        <w:t xml:space="preserve"> </w:t>
      </w:r>
      <w:r w:rsidRPr="004B7AD6">
        <w:rPr>
          <w:rFonts w:hint="cs"/>
          <w:rtl/>
        </w:rPr>
        <w:t>أيلول</w:t>
      </w:r>
      <w:r w:rsidRPr="004B7AD6">
        <w:rPr>
          <w:rtl/>
        </w:rPr>
        <w:t>/</w:t>
      </w:r>
      <w:r w:rsidRPr="004B7AD6">
        <w:rPr>
          <w:rFonts w:hint="cs"/>
          <w:rtl/>
        </w:rPr>
        <w:t>سبتمبر</w:t>
      </w:r>
      <w:r w:rsidRPr="004B7AD6">
        <w:rPr>
          <w:rtl/>
        </w:rPr>
        <w:t xml:space="preserve"> 20</w:t>
      </w:r>
      <w:r w:rsidRPr="004B7AD6">
        <w:rPr>
          <w:rFonts w:hint="cs"/>
          <w:rtl/>
        </w:rPr>
        <w:t>11</w:t>
      </w:r>
      <w:r w:rsidRPr="004B7AD6">
        <w:rPr>
          <w:rtl/>
        </w:rPr>
        <w:t>، قررت اللجنة، عن طريق مقررها الخاص المعني</w:t>
      </w:r>
      <w:r w:rsidR="00645544">
        <w:rPr>
          <w:rFonts w:hint="cs"/>
          <w:rtl/>
        </w:rPr>
        <w:t> </w:t>
      </w:r>
      <w:r w:rsidRPr="004B7AD6">
        <w:rPr>
          <w:rtl/>
        </w:rPr>
        <w:t>بالبلاغات الجديدة والتدابير المؤقتة،</w:t>
      </w:r>
      <w:r w:rsidRPr="004B7AD6">
        <w:rPr>
          <w:rFonts w:hint="cs"/>
          <w:rtl/>
        </w:rPr>
        <w:t xml:space="preserve"> الموافقة على تدابير الحماية التي طالبت بها صاحبة البلاغ، وطلبت اللجنة إلى الدولة الطرف عدم الاحتجاج بالتشريعات الوطنية، ولا سيما </w:t>
      </w:r>
      <w:r w:rsidRPr="004B7AD6">
        <w:rPr>
          <w:rtl/>
        </w:rPr>
        <w:t>الأمر</w:t>
      </w:r>
      <w:r w:rsidR="00645544">
        <w:rPr>
          <w:rFonts w:hint="cs"/>
          <w:rtl/>
        </w:rPr>
        <w:t> </w:t>
      </w:r>
      <w:r w:rsidRPr="004B7AD6">
        <w:rPr>
          <w:rFonts w:hint="cs"/>
          <w:rtl/>
        </w:rPr>
        <w:t>06-01</w:t>
      </w:r>
      <w:r w:rsidRPr="004B7AD6">
        <w:rPr>
          <w:rtl/>
        </w:rPr>
        <w:t xml:space="preserve"> </w:t>
      </w:r>
      <w:r w:rsidRPr="004B7AD6">
        <w:rPr>
          <w:rFonts w:hint="cs"/>
          <w:rtl/>
        </w:rPr>
        <w:t>الصادر في 27 شباط/فبراير 2006 بشأن</w:t>
      </w:r>
      <w:r w:rsidRPr="004B7AD6">
        <w:rPr>
          <w:rtl/>
        </w:rPr>
        <w:t xml:space="preserve"> تنفيذ ميثاق السلم والمصالحة الوطنية</w:t>
      </w:r>
      <w:r w:rsidRPr="004B7AD6">
        <w:rPr>
          <w:rFonts w:hint="cs"/>
          <w:rtl/>
        </w:rPr>
        <w:t>، للتعرض لصاحبة البلاغ وأفراد أسرتها بسبب تقديمها هذا البلاغ.</w:t>
      </w:r>
    </w:p>
    <w:p w:rsidR="004B7AD6" w:rsidRPr="004B7AD6" w:rsidRDefault="004B7AD6" w:rsidP="005937D1">
      <w:pPr>
        <w:pStyle w:val="H23GA"/>
        <w:rPr>
          <w:rtl/>
        </w:rPr>
      </w:pPr>
      <w:r w:rsidRPr="004B7AD6">
        <w:rPr>
          <w:rFonts w:hint="cs"/>
          <w:rtl/>
        </w:rPr>
        <w:tab/>
      </w:r>
      <w:r w:rsidRPr="004B7AD6">
        <w:rPr>
          <w:rFonts w:hint="cs"/>
          <w:rtl/>
        </w:rPr>
        <w:tab/>
        <w:t>الوقائع كما عرضتها صاحبة البلاغ</w:t>
      </w:r>
    </w:p>
    <w:p w:rsidR="004B7AD6" w:rsidRPr="004B7AD6" w:rsidRDefault="004B7AD6" w:rsidP="0070710B">
      <w:pPr>
        <w:pStyle w:val="SingleTxtGA"/>
        <w:rPr>
          <w:rtl/>
        </w:rPr>
      </w:pPr>
      <w:r w:rsidRPr="004B7AD6">
        <w:rPr>
          <w:rFonts w:hint="cs"/>
          <w:rtl/>
        </w:rPr>
        <w:t>2-1</w:t>
      </w:r>
      <w:r w:rsidRPr="004B7AD6">
        <w:rPr>
          <w:rFonts w:hint="cs"/>
          <w:rtl/>
        </w:rPr>
        <w:tab/>
        <w:t>قامت قوات الشرطة باستدعاء ابن صاحبة البلاغ، حسن العدي الذي كان يعمل</w:t>
      </w:r>
      <w:r w:rsidR="0070710B">
        <w:rPr>
          <w:rFonts w:hint="cs"/>
          <w:rtl/>
        </w:rPr>
        <w:t xml:space="preserve"> </w:t>
      </w:r>
      <w:r w:rsidRPr="004B7AD6">
        <w:rPr>
          <w:rFonts w:hint="cs"/>
          <w:rtl/>
        </w:rPr>
        <w:t>معلّما</w:t>
      </w:r>
      <w:r w:rsidR="001229D5">
        <w:rPr>
          <w:rFonts w:hint="cs"/>
          <w:rtl/>
        </w:rPr>
        <w:t>ً</w:t>
      </w:r>
      <w:r w:rsidRPr="004B7AD6">
        <w:rPr>
          <w:rFonts w:hint="cs"/>
          <w:rtl/>
        </w:rPr>
        <w:t xml:space="preserve">، للمرة الأولى في 20 آذار/مارس </w:t>
      </w:r>
      <w:bookmarkStart w:id="0" w:name="_GoBack"/>
      <w:bookmarkEnd w:id="0"/>
      <w:r w:rsidRPr="004B7AD6">
        <w:rPr>
          <w:rFonts w:hint="cs"/>
          <w:rtl/>
        </w:rPr>
        <w:t>1995 تقريباً. واقتيد عندئذٍ إلى مخفر الشرطة في الحرّاش لاستجوابه، ثم أُطلق سراحه دون أن توجّه إليه أي تهمة. وبعد ذلك</w:t>
      </w:r>
      <w:r w:rsidR="0070710B">
        <w:rPr>
          <w:rFonts w:hint="cs"/>
          <w:rtl/>
        </w:rPr>
        <w:t xml:space="preserve"> </w:t>
      </w:r>
      <w:r w:rsidRPr="004B7AD6">
        <w:rPr>
          <w:rFonts w:hint="cs"/>
          <w:rtl/>
        </w:rPr>
        <w:t xml:space="preserve">بفترة وجيزة، وتحديداً في يوم </w:t>
      </w:r>
      <w:r w:rsidR="001C37C0">
        <w:rPr>
          <w:rFonts w:hint="cs"/>
          <w:rtl/>
        </w:rPr>
        <w:t>9 نيسان/أبريل 1995 عند الساعة 14</w:t>
      </w:r>
      <w:r w:rsidRPr="004B7AD6">
        <w:rPr>
          <w:rFonts w:hint="cs"/>
          <w:rtl/>
        </w:rPr>
        <w:t xml:space="preserve">:15، حضر أفراد من الشرطة يرتدون زياً مدنياً ويقودون سيارتين عاديتين إلى ثانوية </w:t>
      </w:r>
      <w:proofErr w:type="spellStart"/>
      <w:r w:rsidRPr="004B7AD6">
        <w:rPr>
          <w:rFonts w:hint="cs"/>
          <w:rtl/>
        </w:rPr>
        <w:t>بومعطي</w:t>
      </w:r>
      <w:proofErr w:type="spellEnd"/>
      <w:r w:rsidRPr="004B7AD6">
        <w:rPr>
          <w:rFonts w:hint="cs"/>
          <w:rtl/>
        </w:rPr>
        <w:t xml:space="preserve"> بالحراش حيث كان يعمل حسن العدي. وطلبوا من مدير الثانوية استدعاء حسن العدي في مكتبه حيث تحققوا من هويته ثم اقتادوه إلى السيارتين خارج المبنى. وفي اليوم التالي، أَخطر مديرُ الثانوية في رسالة بريدية مديرَ أكاديمية الجزائر العاصمة بتوقيف حسن العدي. </w:t>
      </w:r>
    </w:p>
    <w:p w:rsidR="004B7AD6" w:rsidRPr="004B7AD6" w:rsidRDefault="004B7AD6" w:rsidP="00834637">
      <w:pPr>
        <w:pStyle w:val="SingleTxtGA"/>
        <w:rPr>
          <w:rtl/>
        </w:rPr>
      </w:pPr>
      <w:r w:rsidRPr="004B7AD6">
        <w:rPr>
          <w:rFonts w:hint="cs"/>
          <w:rtl/>
        </w:rPr>
        <w:t>2-2</w:t>
      </w:r>
      <w:r w:rsidRPr="004B7AD6">
        <w:rPr>
          <w:rFonts w:hint="cs"/>
          <w:rtl/>
        </w:rPr>
        <w:tab/>
        <w:t>وأفاد عدّة شهود بأن السيارتين المستخدمتين لتوقيف حسن العدي كانتا للشرطة وتحديداً ل</w:t>
      </w:r>
      <w:r w:rsidRPr="004B7AD6">
        <w:rPr>
          <w:rtl/>
        </w:rPr>
        <w:t xml:space="preserve">مركز قيادة العمليات في </w:t>
      </w:r>
      <w:proofErr w:type="spellStart"/>
      <w:r w:rsidRPr="004B7AD6">
        <w:rPr>
          <w:rtl/>
        </w:rPr>
        <w:t>شاطوناف</w:t>
      </w:r>
      <w:proofErr w:type="spellEnd"/>
      <w:r w:rsidRPr="004B7AD6">
        <w:rPr>
          <w:rFonts w:hint="cs"/>
          <w:rtl/>
        </w:rPr>
        <w:t xml:space="preserve">. وأكّد بعد ذلك عدة أشخاص محتجزين في </w:t>
      </w:r>
      <w:r w:rsidRPr="004B7AD6">
        <w:rPr>
          <w:rtl/>
        </w:rPr>
        <w:t xml:space="preserve">مركز قيادة العمليات في </w:t>
      </w:r>
      <w:proofErr w:type="spellStart"/>
      <w:r w:rsidRPr="004B7AD6">
        <w:rPr>
          <w:rtl/>
        </w:rPr>
        <w:t>شاطوناف</w:t>
      </w:r>
      <w:proofErr w:type="spellEnd"/>
      <w:r w:rsidRPr="004B7AD6">
        <w:rPr>
          <w:rFonts w:hint="cs"/>
          <w:rtl/>
        </w:rPr>
        <w:t xml:space="preserve"> أن حسن العدي أودع في مكان سري طوال سبعة شهور تقريباً قبل أن يختفي</w:t>
      </w:r>
      <w:r w:rsidRPr="007662EF">
        <w:rPr>
          <w:vertAlign w:val="superscript"/>
          <w:rtl/>
        </w:rPr>
        <w:footnoteReference w:customMarkFollows="1" w:id="2"/>
        <w:t>(1)</w:t>
      </w:r>
      <w:r w:rsidRPr="004B7AD6">
        <w:rPr>
          <w:rFonts w:hint="cs"/>
          <w:rtl/>
        </w:rPr>
        <w:t xml:space="preserve">. وقد شوهد للمرة الأخيرة ليل 18 تشرين الثاني/نوفمبر 1995 إذ رآه أحد المحتجزين معه يُقتاد خارج زنزانته. </w:t>
      </w:r>
    </w:p>
    <w:p w:rsidR="004B7AD6" w:rsidRPr="004B7AD6" w:rsidRDefault="004B7AD6" w:rsidP="0070710B">
      <w:pPr>
        <w:pStyle w:val="SingleTxtGA"/>
        <w:rPr>
          <w:rtl/>
        </w:rPr>
      </w:pPr>
      <w:r w:rsidRPr="004B7AD6">
        <w:rPr>
          <w:rFonts w:hint="cs"/>
          <w:rtl/>
        </w:rPr>
        <w:lastRenderedPageBreak/>
        <w:t>2-3</w:t>
      </w:r>
      <w:r w:rsidRPr="004B7AD6">
        <w:rPr>
          <w:rFonts w:hint="cs"/>
          <w:rtl/>
        </w:rPr>
        <w:tab/>
        <w:t xml:space="preserve">ومنذ توقيف حسن العدي في 9 نيسان/أبريل 1995 واختفائه بعد ذلك، لم </w:t>
      </w:r>
      <w:proofErr w:type="spellStart"/>
      <w:r w:rsidRPr="004B7AD6">
        <w:rPr>
          <w:rFonts w:hint="cs"/>
          <w:rtl/>
        </w:rPr>
        <w:t>تألُ</w:t>
      </w:r>
      <w:proofErr w:type="spellEnd"/>
      <w:r w:rsidRPr="004B7AD6">
        <w:rPr>
          <w:rFonts w:hint="cs"/>
          <w:rtl/>
        </w:rPr>
        <w:t xml:space="preserve"> عائلته جهداً</w:t>
      </w:r>
      <w:r w:rsidR="0070710B">
        <w:rPr>
          <w:rFonts w:hint="cs"/>
          <w:rtl/>
        </w:rPr>
        <w:t xml:space="preserve"> </w:t>
      </w:r>
      <w:r w:rsidRPr="004B7AD6">
        <w:rPr>
          <w:rFonts w:hint="cs"/>
          <w:rtl/>
        </w:rPr>
        <w:t>في التماس المساعي اللازمة للعثور عليه. وفي عام 1995، قدّمت صاحبة البلاغ وعائلتها شكوى إلى المدعي العام في مدينة بئر مراد رايس. وفي 28 تشرين الأول/</w:t>
      </w:r>
      <w:r w:rsidR="005937D1">
        <w:rPr>
          <w:rFonts w:hint="cs"/>
          <w:rtl/>
        </w:rPr>
        <w:t xml:space="preserve"> </w:t>
      </w:r>
      <w:r w:rsidRPr="004B7AD6">
        <w:rPr>
          <w:rFonts w:hint="cs"/>
          <w:rtl/>
        </w:rPr>
        <w:t>أكتوبر</w:t>
      </w:r>
      <w:r w:rsidR="005937D1">
        <w:rPr>
          <w:rFonts w:hint="eastAsia"/>
          <w:rtl/>
        </w:rPr>
        <w:t> </w:t>
      </w:r>
      <w:r w:rsidRPr="004B7AD6">
        <w:rPr>
          <w:rFonts w:hint="cs"/>
          <w:rtl/>
        </w:rPr>
        <w:t>1995، قدّمت صاحبة البلاغ شكوى إلى المدعي العام لمحكمة تيزي</w:t>
      </w:r>
      <w:r w:rsidR="007662EF">
        <w:rPr>
          <w:rFonts w:hint="cs"/>
          <w:rtl/>
        </w:rPr>
        <w:t xml:space="preserve"> </w:t>
      </w:r>
      <w:r w:rsidRPr="004B7AD6">
        <w:rPr>
          <w:rFonts w:hint="cs"/>
          <w:rtl/>
        </w:rPr>
        <w:t>-</w:t>
      </w:r>
      <w:r w:rsidR="007662EF">
        <w:rPr>
          <w:rFonts w:hint="cs"/>
          <w:rtl/>
        </w:rPr>
        <w:t xml:space="preserve"> </w:t>
      </w:r>
      <w:proofErr w:type="spellStart"/>
      <w:r w:rsidRPr="004B7AD6">
        <w:rPr>
          <w:rFonts w:hint="cs"/>
          <w:rtl/>
        </w:rPr>
        <w:t>وزو</w:t>
      </w:r>
      <w:proofErr w:type="spellEnd"/>
      <w:r w:rsidRPr="004B7AD6">
        <w:rPr>
          <w:rFonts w:hint="cs"/>
          <w:rtl/>
        </w:rPr>
        <w:t>. ولم تؤدِّ أيٌّ من هاتين الشكويين إلى فتح تحقيق. وفي 4 شباط/فبراير 1996، أعلم والد حسن العدي منظمات جزائرية غير حكومية باختفاء ابنه، ما أتاح نشر بياناته الشخصية على موقع "</w:t>
      </w:r>
      <w:r w:rsidRPr="004B7AD6">
        <w:t>Algeria-Watch</w:t>
      </w:r>
      <w:r w:rsidRPr="004B7AD6">
        <w:rPr>
          <w:rFonts w:hint="cs"/>
          <w:rtl/>
        </w:rPr>
        <w:t>". وفي 28 آذار/مارس 1996، أرسلت صاحبة البلاغ كتاباً إلى وزارة العدل. ولكن لم يصلها أي ردّ عليه.</w:t>
      </w:r>
    </w:p>
    <w:p w:rsidR="004B7AD6" w:rsidRPr="004B7AD6" w:rsidRDefault="004B7AD6" w:rsidP="007662EF">
      <w:pPr>
        <w:pStyle w:val="SingleTxtGA"/>
        <w:rPr>
          <w:rtl/>
        </w:rPr>
      </w:pPr>
      <w:r w:rsidRPr="004B7AD6">
        <w:rPr>
          <w:rFonts w:hint="cs"/>
          <w:rtl/>
        </w:rPr>
        <w:t>2-4</w:t>
      </w:r>
      <w:r w:rsidRPr="004B7AD6">
        <w:rPr>
          <w:rFonts w:hint="cs"/>
          <w:rtl/>
        </w:rPr>
        <w:tab/>
        <w:t>وفي 19 تشرين الأول/أكتوبر 1998، أبلغت العائلة الفريق العامل المعني بحالات الاختفاء القسري أو غير الطوعي في منظمة الأمم المتحدة بحالة حسن العدي. وعلى الرغم من مساعي الفريق العامل، لم تقدّم الدولة الطرف أي توضيح بشأن مصير الضحية</w:t>
      </w:r>
      <w:r w:rsidR="007662EF" w:rsidRPr="007662EF">
        <w:rPr>
          <w:vertAlign w:val="superscript"/>
          <w:rtl/>
        </w:rPr>
        <w:footnoteReference w:customMarkFollows="1" w:id="3"/>
        <w:t>(2)</w:t>
      </w:r>
      <w:r w:rsidRPr="004B7AD6">
        <w:rPr>
          <w:rFonts w:hint="cs"/>
          <w:rtl/>
        </w:rPr>
        <w:t>.</w:t>
      </w:r>
    </w:p>
    <w:p w:rsidR="004B7AD6" w:rsidRPr="004B7AD6" w:rsidRDefault="004B7AD6" w:rsidP="004B7AD6">
      <w:pPr>
        <w:pStyle w:val="SingleTxtGA"/>
        <w:rPr>
          <w:rtl/>
        </w:rPr>
      </w:pPr>
      <w:r w:rsidRPr="004B7AD6">
        <w:rPr>
          <w:rFonts w:hint="cs"/>
          <w:rtl/>
        </w:rPr>
        <w:t>2-5</w:t>
      </w:r>
      <w:r w:rsidRPr="004B7AD6">
        <w:rPr>
          <w:rFonts w:hint="cs"/>
          <w:rtl/>
        </w:rPr>
        <w:tab/>
        <w:t xml:space="preserve">كما بذلت زوجة الضحية، </w:t>
      </w:r>
      <w:proofErr w:type="spellStart"/>
      <w:r w:rsidRPr="004B7AD6">
        <w:rPr>
          <w:rFonts w:hint="cs"/>
          <w:rtl/>
        </w:rPr>
        <w:t>لاميا</w:t>
      </w:r>
      <w:proofErr w:type="spellEnd"/>
      <w:r w:rsidRPr="004B7AD6">
        <w:rPr>
          <w:rFonts w:hint="cs"/>
          <w:rtl/>
        </w:rPr>
        <w:t xml:space="preserve"> العدي، جهوداً للعثور على زوجها حيث رفعت أمام النيابة العامة لدى محكمة الجزائر العاصمة في 29 تشرين الأول/أكتوبر 1998 دعوى ضد مجهول بتهمة الاختطاف. وفي 12 نيسان/أبريل 1999، فُتح تحقيق بأمر من وكيل الجمهورية الذي قام باستجواب عدة شهود أفادوا بأنهم مكثوا مع حسن العدي في زنزانة واحدة في مركز قيادة العمليات في </w:t>
      </w:r>
      <w:proofErr w:type="spellStart"/>
      <w:r w:rsidRPr="004B7AD6">
        <w:rPr>
          <w:rFonts w:hint="cs"/>
          <w:rtl/>
        </w:rPr>
        <w:t>شاطوناف</w:t>
      </w:r>
      <w:proofErr w:type="spellEnd"/>
      <w:r w:rsidRPr="004B7AD6">
        <w:rPr>
          <w:rFonts w:hint="cs"/>
          <w:rtl/>
        </w:rPr>
        <w:t xml:space="preserve">. وأكّد شاهدٌ أُفرج عنه في 3 حزيران/يونيه 1995 أنه ترك الضحية في مركز قيادة العمليات في </w:t>
      </w:r>
      <w:proofErr w:type="spellStart"/>
      <w:r w:rsidRPr="004B7AD6">
        <w:rPr>
          <w:rFonts w:hint="cs"/>
          <w:rtl/>
        </w:rPr>
        <w:t>شاطوناف</w:t>
      </w:r>
      <w:proofErr w:type="spellEnd"/>
      <w:r w:rsidRPr="004B7AD6">
        <w:rPr>
          <w:rFonts w:hint="cs"/>
          <w:rtl/>
        </w:rPr>
        <w:t xml:space="preserve"> في هذا التاريخ. وأفاد سجين آخر بأنه رأى حسن العدي في هذا المكان وذلك إلى حين إطلاق سراح هذا السجين في 15 تشرين الثاني/</w:t>
      </w:r>
      <w:r w:rsidR="007662EF">
        <w:rPr>
          <w:rFonts w:hint="cs"/>
          <w:rtl/>
        </w:rPr>
        <w:t xml:space="preserve"> </w:t>
      </w:r>
      <w:r w:rsidRPr="004B7AD6">
        <w:rPr>
          <w:rFonts w:hint="cs"/>
          <w:rtl/>
        </w:rPr>
        <w:t xml:space="preserve">نوفمبر 1995. وأكّد شاهد ثالث في إفادة خطية أنه رأى أيضاً حسن العدي حياً في هذه الفترة ومكث معه في زنزانته في مركز قيادة العمليات في </w:t>
      </w:r>
      <w:proofErr w:type="spellStart"/>
      <w:r w:rsidRPr="004B7AD6">
        <w:rPr>
          <w:rFonts w:hint="cs"/>
          <w:rtl/>
        </w:rPr>
        <w:t>شاطوناف</w:t>
      </w:r>
      <w:proofErr w:type="spellEnd"/>
      <w:r w:rsidRPr="004B7AD6">
        <w:rPr>
          <w:rFonts w:hint="cs"/>
          <w:rtl/>
        </w:rPr>
        <w:t xml:space="preserve"> خلال شهر بين 17 تشرين الأول/أكتوبر و18 تشرين الثاني/نوفمبر 1995 وهو التاريخ الذي أُخرج فيه حسن العدي من زنزانته، ولم يره أحد بعد ذلك.</w:t>
      </w:r>
    </w:p>
    <w:p w:rsidR="004B7AD6" w:rsidRPr="004B7AD6" w:rsidRDefault="004B7AD6" w:rsidP="00451981">
      <w:pPr>
        <w:pStyle w:val="SingleTxtGA"/>
        <w:rPr>
          <w:rtl/>
        </w:rPr>
      </w:pPr>
      <w:r w:rsidRPr="004B7AD6">
        <w:rPr>
          <w:rFonts w:hint="cs"/>
          <w:rtl/>
        </w:rPr>
        <w:t>2-6</w:t>
      </w:r>
      <w:r w:rsidRPr="004B7AD6">
        <w:rPr>
          <w:rFonts w:hint="cs"/>
          <w:rtl/>
        </w:rPr>
        <w:tab/>
        <w:t xml:space="preserve">وعلى الرغم من هذه الشهادات المدلى بها، أصدر قاضي التحقيق في 27 </w:t>
      </w:r>
      <w:r w:rsidR="00451981">
        <w:rPr>
          <w:rFonts w:hint="cs"/>
          <w:rtl/>
        </w:rPr>
        <w:t>تشرين</w:t>
      </w:r>
      <w:r w:rsidR="00451981">
        <w:rPr>
          <w:rFonts w:hint="eastAsia"/>
          <w:rtl/>
        </w:rPr>
        <w:t> </w:t>
      </w:r>
      <w:r w:rsidR="00451981">
        <w:rPr>
          <w:rFonts w:hint="cs"/>
          <w:rtl/>
        </w:rPr>
        <w:t>الأول/</w:t>
      </w:r>
      <w:r w:rsidRPr="004B7AD6">
        <w:rPr>
          <w:rFonts w:hint="cs"/>
          <w:rtl/>
        </w:rPr>
        <w:t>أكتوبر 1999 قراراً بردّ الدعوى بحجة أن المسؤولين عن اختفاء حسن العدي مجهولو الهوية. وأصدرت غرفة الاتهام لدى محكمة الاستئناف في الجزائر العاصمة قراراً في 14 كانون الأول/ديسمبر 1999 إثر الطعن الذي قدّمته زوجه حسن العدي. وقام هذا القرارُ</w:t>
      </w:r>
      <w:r w:rsidR="00451981">
        <w:rPr>
          <w:rFonts w:hint="eastAsia"/>
          <w:rtl/>
        </w:rPr>
        <w:t> </w:t>
      </w:r>
      <w:r w:rsidRPr="004B7AD6">
        <w:rPr>
          <w:rFonts w:hint="cs"/>
          <w:rtl/>
        </w:rPr>
        <w:t xml:space="preserve">بإبطال قرار ردّ الدعوى، وأعاد ملف القضية إلى قاضي التحقيق لإجراء مزيد من التحقيقات والقيام وفقاً للتعليمات الموجَّهة إليه بفحص سجلات مركز قيادة العمليات في </w:t>
      </w:r>
      <w:proofErr w:type="spellStart"/>
      <w:r w:rsidRPr="004B7AD6">
        <w:rPr>
          <w:rFonts w:hint="cs"/>
          <w:rtl/>
        </w:rPr>
        <w:t>شاطوناف</w:t>
      </w:r>
      <w:proofErr w:type="spellEnd"/>
      <w:r w:rsidRPr="004B7AD6">
        <w:rPr>
          <w:rFonts w:hint="cs"/>
          <w:rtl/>
        </w:rPr>
        <w:t xml:space="preserve"> لتحديد هوية الأشخاص الذين كانوا يعملون فيه آنذاك ومواجهتهم مع الشهود. وفي 27 حزيران/</w:t>
      </w:r>
      <w:r w:rsidR="007662EF">
        <w:rPr>
          <w:rFonts w:hint="cs"/>
          <w:rtl/>
        </w:rPr>
        <w:t xml:space="preserve"> </w:t>
      </w:r>
      <w:r w:rsidRPr="004B7AD6">
        <w:rPr>
          <w:rFonts w:hint="cs"/>
          <w:rtl/>
        </w:rPr>
        <w:t>يونيه</w:t>
      </w:r>
      <w:r w:rsidR="007662EF">
        <w:rPr>
          <w:rFonts w:hint="eastAsia"/>
          <w:rtl/>
        </w:rPr>
        <w:t> </w:t>
      </w:r>
      <w:r w:rsidRPr="004B7AD6">
        <w:rPr>
          <w:rFonts w:hint="cs"/>
          <w:rtl/>
        </w:rPr>
        <w:t xml:space="preserve">2004، أُرسلت إنابة قضائية إلى مدير قوات الأمن في ولاية الجزائر لتحديد هوية الموظفين العاملين عند وقوع الأحداث، ولكن بقي هذا الطلب حبراً على ورق. </w:t>
      </w:r>
      <w:r w:rsidRPr="004B7AD6">
        <w:rPr>
          <w:rFonts w:hint="cs"/>
          <w:rtl/>
        </w:rPr>
        <w:lastRenderedPageBreak/>
        <w:t>وفي 25 كانون الأول/</w:t>
      </w:r>
      <w:r w:rsidR="007662EF">
        <w:rPr>
          <w:rFonts w:hint="cs"/>
          <w:rtl/>
        </w:rPr>
        <w:t xml:space="preserve"> </w:t>
      </w:r>
      <w:r w:rsidRPr="004B7AD6">
        <w:rPr>
          <w:rFonts w:hint="cs"/>
          <w:rtl/>
        </w:rPr>
        <w:t>ديسمبر 2004، أصدر المدعي العام قراراً آخر بردّ الدعوى بحجة أن اسم حسن العدي لم يكن مدرجاً في سجل عام 1995 لسجناء المصلحة المركزية لقمع الإجرام الرامية إلى تحقيق الأمن الوطني. واستأنفت زوجة حسن العدي هذا القرار في 29 كانون الأول/</w:t>
      </w:r>
      <w:r w:rsidR="00451981">
        <w:rPr>
          <w:rFonts w:hint="cs"/>
          <w:rtl/>
        </w:rPr>
        <w:t xml:space="preserve"> </w:t>
      </w:r>
      <w:r w:rsidRPr="004B7AD6">
        <w:rPr>
          <w:rFonts w:hint="cs"/>
          <w:rtl/>
        </w:rPr>
        <w:t xml:space="preserve">ديسمبر 2004. وفي 1 شباط/فبراير 2005، أبطلت غرفة الاتهام لدى محكمة الاستئناف في الجزائر العاصمة قرارَ ردّ الدعوى حيث إنه في رأيها "لم </w:t>
      </w:r>
      <w:proofErr w:type="spellStart"/>
      <w:r w:rsidRPr="004B7AD6">
        <w:rPr>
          <w:rFonts w:hint="cs"/>
          <w:rtl/>
        </w:rPr>
        <w:t>يفِ</w:t>
      </w:r>
      <w:proofErr w:type="spellEnd"/>
      <w:r w:rsidRPr="004B7AD6">
        <w:rPr>
          <w:rFonts w:hint="cs"/>
          <w:rtl/>
        </w:rPr>
        <w:t xml:space="preserve"> قاضي التحقيق بجميع الالتزامات التي يتعيّن عليه اتخاذها لإغلاق القضية"، وردّت ملف القضية مرة أخرى إلى قاضي التحقيق ذاته.</w:t>
      </w:r>
    </w:p>
    <w:p w:rsidR="004B7AD6" w:rsidRPr="004B7AD6" w:rsidRDefault="004B7AD6" w:rsidP="004B7AD6">
      <w:pPr>
        <w:pStyle w:val="SingleTxtGA"/>
        <w:rPr>
          <w:rtl/>
        </w:rPr>
      </w:pPr>
      <w:r w:rsidRPr="004B7AD6">
        <w:rPr>
          <w:rFonts w:hint="cs"/>
          <w:rtl/>
        </w:rPr>
        <w:t>2-7</w:t>
      </w:r>
      <w:r w:rsidRPr="004B7AD6">
        <w:rPr>
          <w:rFonts w:hint="cs"/>
          <w:rtl/>
        </w:rPr>
        <w:tab/>
        <w:t xml:space="preserve">وفي الأثناء وبغية الاستفادة من التعويضات المدفوعة لأسر ضحايا "المأساة الوطنية"، طلبت زوجة حسن العدي شهادة رسمية تؤكد اختفاء زوجها فأعدتها </w:t>
      </w:r>
      <w:r w:rsidRPr="004B7AD6">
        <w:rPr>
          <w:rtl/>
        </w:rPr>
        <w:t xml:space="preserve">المديرية العامة للأمن الوطني </w:t>
      </w:r>
      <w:r w:rsidRPr="004B7AD6">
        <w:rPr>
          <w:rFonts w:hint="cs"/>
          <w:rtl/>
        </w:rPr>
        <w:t xml:space="preserve">في 8 أيار/مايو 2006. وأصدر الدرك الوطني شهادة اختفاء أخرى في 18 تشرين الأول/أكتوبر 2006 بناء على طلب تقدّم به والد المفقود. </w:t>
      </w:r>
    </w:p>
    <w:p w:rsidR="004B7AD6" w:rsidRPr="004B7AD6" w:rsidRDefault="004B7AD6" w:rsidP="007662EF">
      <w:pPr>
        <w:pStyle w:val="SingleTxtGA"/>
        <w:rPr>
          <w:rtl/>
        </w:rPr>
      </w:pPr>
      <w:r w:rsidRPr="004B7AD6">
        <w:rPr>
          <w:rFonts w:hint="cs"/>
          <w:rtl/>
        </w:rPr>
        <w:t>2-8</w:t>
      </w:r>
      <w:r w:rsidRPr="004B7AD6">
        <w:rPr>
          <w:rFonts w:hint="cs"/>
          <w:rtl/>
        </w:rPr>
        <w:tab/>
        <w:t>وفي 27 آذار/مارس 2007، أصدر قاضي التحقيق قراراً ثالثاً بردّ الدعوى مستنداً فيه بشكل خاص إلى حجة مفادها أن الزوجة تستطيع بفضل الشهادات الرسمية المعدَّة بشأن اختفاء الضحية أن تحصل على تعويض دون أن تضطرّ إلى متابعة الإجراءات القضائية. وفي</w:t>
      </w:r>
      <w:r w:rsidR="007662EF">
        <w:rPr>
          <w:rFonts w:hint="eastAsia"/>
          <w:rtl/>
        </w:rPr>
        <w:t> </w:t>
      </w:r>
      <w:r w:rsidRPr="004B7AD6">
        <w:rPr>
          <w:rFonts w:hint="cs"/>
          <w:rtl/>
        </w:rPr>
        <w:t>29 نيسان/أبريل 2007، أيّدت غرفة الاتهام لدى محكمة استئناف الجزائر العاصمة قرار ردّ الدعوى. وقدّمت زوجة المفقود طلباً للطعن بالقرار أمام المحكمة العليا الجزائرية. وقوبل طلبها بالرفض في 29 أيلول/سبتمبر 2009 بحجة أن قرار ردّ الدعوى استند إلى أسباب وجيهة عندما خلص إلى أن عمليات البحث لم تثمر عن أي نتائج لأن هوية المسؤولين عن اختفاء حسن العدّي لم تُحدَّد.</w:t>
      </w:r>
    </w:p>
    <w:p w:rsidR="004B7AD6" w:rsidRPr="004B7AD6" w:rsidRDefault="004B7AD6" w:rsidP="007662EF">
      <w:pPr>
        <w:pStyle w:val="SingleTxtGA"/>
        <w:rPr>
          <w:rtl/>
        </w:rPr>
      </w:pPr>
      <w:r w:rsidRPr="004B7AD6">
        <w:rPr>
          <w:rFonts w:hint="cs"/>
          <w:rtl/>
        </w:rPr>
        <w:t>2-9</w:t>
      </w:r>
      <w:r w:rsidRPr="004B7AD6">
        <w:rPr>
          <w:rFonts w:hint="cs"/>
          <w:rtl/>
        </w:rPr>
        <w:tab/>
        <w:t>وبالتوازي مع هذا الإجراء القضائي، أَقرّ القسم المعني بالشؤون العائلية في محكمة جزائر العاصمة رسمياً في 21 تشرين الأول/أكتوبر 2007 باختفاء حسن العدي منذ 9 نيسان/</w:t>
      </w:r>
      <w:r w:rsidR="007662EF">
        <w:rPr>
          <w:rFonts w:hint="cs"/>
          <w:rtl/>
        </w:rPr>
        <w:t xml:space="preserve"> </w:t>
      </w:r>
      <w:r w:rsidRPr="004B7AD6">
        <w:rPr>
          <w:rFonts w:hint="cs"/>
          <w:rtl/>
        </w:rPr>
        <w:t>أبريل</w:t>
      </w:r>
      <w:r w:rsidR="007662EF">
        <w:rPr>
          <w:rFonts w:hint="eastAsia"/>
          <w:rtl/>
        </w:rPr>
        <w:t> </w:t>
      </w:r>
      <w:r w:rsidRPr="004B7AD6">
        <w:rPr>
          <w:rFonts w:hint="cs"/>
          <w:rtl/>
        </w:rPr>
        <w:t>1995. وحُرّر في 4 آذار/مارس 2008 إيصال باسم زوجة المفقود يثبت طلب الحصول على تعويضات.</w:t>
      </w:r>
    </w:p>
    <w:p w:rsidR="004B7AD6" w:rsidRPr="004B7AD6" w:rsidRDefault="004B7AD6" w:rsidP="004B7AD6">
      <w:pPr>
        <w:pStyle w:val="SingleTxtGA"/>
        <w:rPr>
          <w:rtl/>
        </w:rPr>
      </w:pPr>
      <w:r w:rsidRPr="004B7AD6">
        <w:rPr>
          <w:rFonts w:hint="cs"/>
          <w:rtl/>
        </w:rPr>
        <w:t>2-10</w:t>
      </w:r>
      <w:r w:rsidRPr="004B7AD6">
        <w:rPr>
          <w:rFonts w:hint="cs"/>
          <w:rtl/>
        </w:rPr>
        <w:tab/>
        <w:t>وأرسلت أيضاً صاحبة البلاغ رسائل عديدة إلى المرصد الوطني لحقوق الإنسان واللجنة الوطنية الاستشارية لترقية حقوق الإنسان وحمايتها، ولكنها لم تتلقَّ أي جواب عليها.</w:t>
      </w:r>
    </w:p>
    <w:p w:rsidR="004B7AD6" w:rsidRPr="004B7AD6" w:rsidRDefault="004B7AD6" w:rsidP="00FD129C">
      <w:pPr>
        <w:pStyle w:val="H23GA"/>
        <w:keepNext/>
        <w:keepLines/>
        <w:rPr>
          <w:rtl/>
        </w:rPr>
      </w:pPr>
      <w:r w:rsidRPr="004B7AD6">
        <w:rPr>
          <w:rFonts w:hint="cs"/>
          <w:rtl/>
        </w:rPr>
        <w:tab/>
      </w:r>
      <w:r w:rsidRPr="004B7AD6">
        <w:rPr>
          <w:rFonts w:hint="cs"/>
          <w:rtl/>
        </w:rPr>
        <w:tab/>
        <w:t>الشكوى</w:t>
      </w:r>
    </w:p>
    <w:p w:rsidR="004B7AD6" w:rsidRPr="004B7AD6" w:rsidRDefault="004B7AD6" w:rsidP="004B7AD6">
      <w:pPr>
        <w:pStyle w:val="SingleTxtGA"/>
        <w:rPr>
          <w:rtl/>
        </w:rPr>
      </w:pPr>
      <w:r w:rsidRPr="004B7AD6">
        <w:rPr>
          <w:rFonts w:hint="cs"/>
          <w:rtl/>
        </w:rPr>
        <w:t>3-1</w:t>
      </w:r>
      <w:r w:rsidRPr="004B7AD6">
        <w:rPr>
          <w:rFonts w:hint="cs"/>
          <w:rtl/>
        </w:rPr>
        <w:tab/>
        <w:t>تدعي صاحبة البلاغ أن ابنها وقع ضحية اختفاء قسري توجَّه فيه أصابع الاتهام إلى الدولة الطرف ويُفهم بالمعنى المقصود في الفقرة 2(ط) من المادة 7 من ال</w:t>
      </w:r>
      <w:r w:rsidRPr="004B7AD6">
        <w:rPr>
          <w:rtl/>
        </w:rPr>
        <w:t xml:space="preserve">نظام </w:t>
      </w:r>
      <w:r w:rsidRPr="004B7AD6">
        <w:rPr>
          <w:rFonts w:hint="cs"/>
          <w:rtl/>
        </w:rPr>
        <w:t>الداخلي</w:t>
      </w:r>
      <w:r w:rsidRPr="004B7AD6">
        <w:rPr>
          <w:rtl/>
        </w:rPr>
        <w:t xml:space="preserve"> للمحكمة الجنائية الدولية</w:t>
      </w:r>
      <w:r w:rsidRPr="004B7AD6">
        <w:rPr>
          <w:rFonts w:hint="cs"/>
          <w:rtl/>
        </w:rPr>
        <w:t xml:space="preserve"> (نظام روما الأساسي) وفي المادة 2 من </w:t>
      </w:r>
      <w:r w:rsidRPr="004B7AD6">
        <w:rPr>
          <w:rtl/>
        </w:rPr>
        <w:t>الاتفاقية الدولية لحماية جميع الأشخاص من الاختفاء القسري</w:t>
      </w:r>
      <w:r w:rsidRPr="004B7AD6">
        <w:rPr>
          <w:rFonts w:hint="cs"/>
          <w:rtl/>
        </w:rPr>
        <w:t xml:space="preserve">. فقد اختفى منذ 9 نيسان/أبريل 1995 في أعقاب توقيفِه </w:t>
      </w:r>
      <w:r w:rsidRPr="004B7AD6">
        <w:rPr>
          <w:rFonts w:hint="cs"/>
          <w:rtl/>
        </w:rPr>
        <w:lastRenderedPageBreak/>
        <w:t xml:space="preserve">على يد عناصر من الشرطة كانوا يمارسون وظائفهم الرسمية ثم احتجازِه في مركز قيادة العمليات في </w:t>
      </w:r>
      <w:proofErr w:type="spellStart"/>
      <w:r w:rsidRPr="004B7AD6">
        <w:rPr>
          <w:rFonts w:hint="cs"/>
          <w:rtl/>
        </w:rPr>
        <w:t>شاطوناف</w:t>
      </w:r>
      <w:proofErr w:type="spellEnd"/>
      <w:r w:rsidRPr="004B7AD6">
        <w:rPr>
          <w:rFonts w:hint="cs"/>
          <w:rtl/>
        </w:rPr>
        <w:t xml:space="preserve"> وهو مؤسسة خاضعة لسلطة الدولة الطرف.</w:t>
      </w:r>
    </w:p>
    <w:p w:rsidR="004B7AD6" w:rsidRPr="004B7AD6" w:rsidRDefault="004B7AD6" w:rsidP="00451981">
      <w:pPr>
        <w:pStyle w:val="SingleTxtGA"/>
        <w:rPr>
          <w:rtl/>
        </w:rPr>
      </w:pPr>
      <w:r w:rsidRPr="004B7AD6">
        <w:rPr>
          <w:rFonts w:hint="cs"/>
          <w:rtl/>
        </w:rPr>
        <w:t>3-2</w:t>
      </w:r>
      <w:r w:rsidRPr="004B7AD6">
        <w:rPr>
          <w:rFonts w:hint="cs"/>
          <w:rtl/>
        </w:rPr>
        <w:tab/>
        <w:t>وتشير صاحبة البلاغ، التي ما زالت تجهل ما إذا كان ابنها قد توفي أثناء احتجازه أو ما إذا كان لا يزال على قيد الحياة، إلى أن الدولة الطرف كانت ملزمة باتخاذ التدابير اللازمة لضمان حق حسن العدي في الحياة لأنه كان</w:t>
      </w:r>
      <w:r w:rsidR="0070710B">
        <w:rPr>
          <w:rFonts w:hint="cs"/>
          <w:rtl/>
        </w:rPr>
        <w:t xml:space="preserve"> </w:t>
      </w:r>
      <w:r w:rsidRPr="004B7AD6">
        <w:rPr>
          <w:rFonts w:hint="cs"/>
          <w:rtl/>
        </w:rPr>
        <w:t>في عهدتها. ويثبت عجز الدولة الطرف عن إعطاء معلومات دقيقة ومترابطة حول مصير شخص في عهدتها أنها لم تتخذ التدابير اللازمة لحمايته أثناء احتجازه، منتهكةً بذلك الفقرة 1 من المادة 6 من العهد. وتشدّد صاحبة البلاغ أيضاً على أن الاختفاء القسري الذي يدوم فترة طويلة، كما هو حال حسن العدي الذي بات اليوم مفقوداً منذ نحو عشرين سنة، يشكّل في حدّ ذاته انتهاكاً للحق في الحياة المكفول بموجب الفقرة</w:t>
      </w:r>
      <w:r w:rsidR="00451981">
        <w:rPr>
          <w:rFonts w:hint="eastAsia"/>
          <w:rtl/>
        </w:rPr>
        <w:t> </w:t>
      </w:r>
      <w:r w:rsidRPr="004B7AD6">
        <w:rPr>
          <w:rFonts w:hint="cs"/>
          <w:rtl/>
        </w:rPr>
        <w:t>1 من المادة 6 من العهد</w:t>
      </w:r>
      <w:r w:rsidRPr="00FD129C">
        <w:rPr>
          <w:vertAlign w:val="superscript"/>
          <w:rtl/>
        </w:rPr>
        <w:footnoteReference w:customMarkFollows="1" w:id="4"/>
        <w:t>(3)</w:t>
      </w:r>
      <w:r w:rsidRPr="004B7AD6">
        <w:rPr>
          <w:rFonts w:hint="cs"/>
          <w:rtl/>
        </w:rPr>
        <w:t>.</w:t>
      </w:r>
    </w:p>
    <w:p w:rsidR="004B7AD6" w:rsidRPr="004B7AD6" w:rsidRDefault="004B7AD6" w:rsidP="004B7AD6">
      <w:pPr>
        <w:pStyle w:val="SingleTxtGA"/>
      </w:pPr>
      <w:r w:rsidRPr="004B7AD6">
        <w:rPr>
          <w:rFonts w:hint="cs"/>
          <w:rtl/>
        </w:rPr>
        <w:t>3-3</w:t>
      </w:r>
      <w:r w:rsidRPr="004B7AD6">
        <w:rPr>
          <w:rFonts w:hint="cs"/>
          <w:rtl/>
        </w:rPr>
        <w:tab/>
        <w:t xml:space="preserve">وتشدّد صاحبة البلاغ، </w:t>
      </w:r>
      <w:proofErr w:type="spellStart"/>
      <w:r w:rsidRPr="004B7AD6">
        <w:rPr>
          <w:rFonts w:hint="cs"/>
          <w:rtl/>
        </w:rPr>
        <w:t>مستدلّةً</w:t>
      </w:r>
      <w:proofErr w:type="spellEnd"/>
      <w:r w:rsidRPr="004B7AD6">
        <w:rPr>
          <w:rFonts w:hint="cs"/>
          <w:rtl/>
        </w:rPr>
        <w:t xml:space="preserve"> باجتهادات اللجنة</w:t>
      </w:r>
      <w:r w:rsidRPr="00FD129C">
        <w:rPr>
          <w:vertAlign w:val="superscript"/>
          <w:rtl/>
        </w:rPr>
        <w:footnoteReference w:customMarkFollows="1" w:id="5"/>
        <w:t>(4)</w:t>
      </w:r>
      <w:r w:rsidRPr="004B7AD6">
        <w:rPr>
          <w:rFonts w:hint="cs"/>
          <w:rtl/>
        </w:rPr>
        <w:t>، على أن الاختفاء القسري يشكّل في حدّ ذاته انتهاكاً للمادة 7 من العهد لأن اختطاف واختفاء ابنها الذي مُنع من الاتصال بأسرته والعالم الخارجي يشكّلان معاملة قاسية ولا</w:t>
      </w:r>
      <w:r w:rsidR="00451981">
        <w:rPr>
          <w:rFonts w:hint="cs"/>
          <w:rtl/>
        </w:rPr>
        <w:t xml:space="preserve"> </w:t>
      </w:r>
      <w:r w:rsidRPr="004B7AD6">
        <w:rPr>
          <w:rFonts w:hint="cs"/>
          <w:rtl/>
        </w:rPr>
        <w:t>إنسانية ومهينة. وتصرّ صاحبة البلاغ على أن الاختفاء القسري جريمة معقَّدة تنطوي على طائفة واسعة من انتهاكات حقوق الإنسان بحيث لا يمكن اختزالها في مجرّد احتجاز المرء في مكان سري. فتَعتبر أن احتجاز المرء في مكان سري يشكل انتهاكاً للمادة 7 من العهد قائماً بذاته ولا يمكن أن تعتمد اللجنة هذا الجانب فقط دون سواه</w:t>
      </w:r>
      <w:r w:rsidRPr="00FD129C">
        <w:rPr>
          <w:vertAlign w:val="superscript"/>
          <w:rtl/>
        </w:rPr>
        <w:footnoteReference w:customMarkFollows="1" w:id="6"/>
        <w:t>(5)</w:t>
      </w:r>
      <w:r w:rsidRPr="004B7AD6">
        <w:rPr>
          <w:rFonts w:hint="cs"/>
          <w:rtl/>
        </w:rPr>
        <w:t>.</w:t>
      </w:r>
    </w:p>
    <w:p w:rsidR="004B7AD6" w:rsidRPr="004B7AD6" w:rsidRDefault="004B7AD6" w:rsidP="0070710B">
      <w:pPr>
        <w:pStyle w:val="SingleTxtGA"/>
        <w:rPr>
          <w:rtl/>
        </w:rPr>
      </w:pPr>
      <w:r w:rsidRPr="004B7AD6">
        <w:rPr>
          <w:rFonts w:hint="cs"/>
          <w:rtl/>
        </w:rPr>
        <w:t>3-4</w:t>
      </w:r>
      <w:r w:rsidRPr="004B7AD6">
        <w:rPr>
          <w:rFonts w:hint="cs"/>
          <w:rtl/>
        </w:rPr>
        <w:tab/>
        <w:t>وتعتبر صاحبة البلاغ،</w:t>
      </w:r>
      <w:r w:rsidR="0070710B">
        <w:rPr>
          <w:rFonts w:hint="cs"/>
          <w:rtl/>
        </w:rPr>
        <w:t xml:space="preserve"> </w:t>
      </w:r>
      <w:r w:rsidRPr="004B7AD6">
        <w:rPr>
          <w:rFonts w:hint="cs"/>
          <w:rtl/>
        </w:rPr>
        <w:t>مستندةً أيضا</w:t>
      </w:r>
      <w:r w:rsidR="0070710B">
        <w:rPr>
          <w:rFonts w:hint="cs"/>
          <w:rtl/>
        </w:rPr>
        <w:t>ً</w:t>
      </w:r>
      <w:r w:rsidRPr="004B7AD6">
        <w:rPr>
          <w:rFonts w:hint="cs"/>
          <w:rtl/>
        </w:rPr>
        <w:t xml:space="preserve"> إلى اجتهادات اللجنة</w:t>
      </w:r>
      <w:r w:rsidRPr="00FD129C">
        <w:rPr>
          <w:vertAlign w:val="superscript"/>
          <w:rtl/>
        </w:rPr>
        <w:footnoteReference w:customMarkFollows="1" w:id="7"/>
        <w:t>(6)</w:t>
      </w:r>
      <w:r w:rsidRPr="004B7AD6">
        <w:rPr>
          <w:rFonts w:hint="cs"/>
          <w:rtl/>
        </w:rPr>
        <w:t xml:space="preserve">، أنها وقعت هي أيضاً وعائلتها ضحية انتهاك المادة 7 من العهد نظراً إلى الشكوك التي لا تزال تحوم حول الظروف </w:t>
      </w:r>
      <w:r w:rsidRPr="004B7AD6">
        <w:rPr>
          <w:rFonts w:hint="cs"/>
          <w:rtl/>
        </w:rPr>
        <w:lastRenderedPageBreak/>
        <w:t>التي اختفى فيها حسن العدي وحول مصيره، ما يشكل بالنسبة إليها مصدراً للقلق والألم الشديدين والمستمرين.</w:t>
      </w:r>
    </w:p>
    <w:p w:rsidR="004B7AD6" w:rsidRPr="004B7AD6" w:rsidRDefault="004B7AD6" w:rsidP="0070710B">
      <w:pPr>
        <w:pStyle w:val="SingleTxtGA"/>
        <w:rPr>
          <w:rtl/>
        </w:rPr>
      </w:pPr>
      <w:r w:rsidRPr="004B7AD6">
        <w:rPr>
          <w:rFonts w:hint="cs"/>
          <w:rtl/>
        </w:rPr>
        <w:t>3-5</w:t>
      </w:r>
      <w:r w:rsidRPr="004B7AD6">
        <w:rPr>
          <w:rFonts w:hint="cs"/>
          <w:rtl/>
        </w:rPr>
        <w:tab/>
        <w:t>وتعتبر صاحبة البلاغ كذلك أن توقيف ابنها وإيداعه في مكان سري إجراءان تعسفيان لم تعترف بهما الدولة الطرف حتى الآن، ويشكلان انتهاكاً للفقرات من 1 إلى 5 من المادة 9 من العهد. فقد ألقي القبض على المفقود دون إبراز مذكرة توقيف؛ ولم يبلغ بأسباب توقيفه ولا</w:t>
      </w:r>
      <w:r w:rsidR="0070710B">
        <w:rPr>
          <w:rFonts w:hint="eastAsia"/>
          <w:rtl/>
        </w:rPr>
        <w:t> </w:t>
      </w:r>
      <w:r w:rsidRPr="004B7AD6">
        <w:rPr>
          <w:rFonts w:hint="cs"/>
          <w:rtl/>
        </w:rPr>
        <w:t>بالتهم الموجهة إليه. زد على ذلك أنه لم يمثل أمام هيئة قضائية ولم تمنح له إمكانية الاعتراض على قانونية احتجازه. كما لم يتلقّ أفرادُ أسرته أي تعويض عن توقيفه واحتجازه التعسفيين.</w:t>
      </w:r>
    </w:p>
    <w:p w:rsidR="004B7AD6" w:rsidRPr="004B7AD6" w:rsidRDefault="004B7AD6" w:rsidP="004B7AD6">
      <w:pPr>
        <w:pStyle w:val="SingleTxtGA"/>
      </w:pPr>
      <w:r w:rsidRPr="004B7AD6">
        <w:rPr>
          <w:rFonts w:hint="cs"/>
          <w:rtl/>
        </w:rPr>
        <w:t>3-6</w:t>
      </w:r>
      <w:r w:rsidRPr="004B7AD6">
        <w:rPr>
          <w:rFonts w:hint="cs"/>
          <w:rtl/>
        </w:rPr>
        <w:tab/>
        <w:t>وترى صاحبة البلاغ أن ابنها وقع أيضاً ضحية انتهاك حقه في أن يعامل، خلال فترة الاحتجاز، معاملة إنسانية تحترم الكرامة الأصيلة في الشخص الإنساني، ما يشكل انتهاكاً لأحكام الفقرة 1 من المادة 10 من العهد. وتذكّر صاحبة البلاغ في هذا الصدد باجتهادات اللجنة التي اعتبرت فيها أن الاختفاء القسري يشكل انتهاكاً للمادة 10 من العهد</w:t>
      </w:r>
      <w:r w:rsidRPr="00FD129C">
        <w:rPr>
          <w:vertAlign w:val="superscript"/>
          <w:rtl/>
        </w:rPr>
        <w:footnoteReference w:customMarkFollows="1" w:id="8"/>
        <w:t>(7)</w:t>
      </w:r>
      <w:r w:rsidRPr="004B7AD6">
        <w:rPr>
          <w:rFonts w:hint="cs"/>
          <w:rtl/>
        </w:rPr>
        <w:t>.</w:t>
      </w:r>
    </w:p>
    <w:p w:rsidR="004B7AD6" w:rsidRPr="004B7AD6" w:rsidRDefault="004B7AD6" w:rsidP="004B7AD6">
      <w:pPr>
        <w:pStyle w:val="SingleTxtGA"/>
        <w:rPr>
          <w:rtl/>
        </w:rPr>
      </w:pPr>
      <w:r w:rsidRPr="004B7AD6">
        <w:rPr>
          <w:rFonts w:hint="cs"/>
          <w:rtl/>
        </w:rPr>
        <w:t>3-7</w:t>
      </w:r>
      <w:r w:rsidRPr="004B7AD6">
        <w:rPr>
          <w:rFonts w:hint="cs"/>
          <w:rtl/>
        </w:rPr>
        <w:tab/>
        <w:t>وتَعتبر صاحبة البلاغ أن ابنها حرم من التمتع بحقوقه الأساسية بسبب إيداعه في مكان سري، ما يشكل انتهاكاً لحقه في أن يعترف له بالشخصية القانونية المكفولة بموجب المادة</w:t>
      </w:r>
      <w:r w:rsidRPr="004B7AD6">
        <w:rPr>
          <w:rFonts w:hint="eastAsia"/>
          <w:rtl/>
        </w:rPr>
        <w:t> </w:t>
      </w:r>
      <w:r w:rsidRPr="004B7AD6">
        <w:rPr>
          <w:rFonts w:hint="cs"/>
          <w:rtl/>
        </w:rPr>
        <w:t>16 من العهد. وتستدلّ صاحبة البلاغ بالاجتهادات السابقة للجنة ومفادها أن حرمان شخص ما عمداً من حماية القانون فترةً طويلةً يمكن أن يشكل رفضاً للاعتراف بشخصيته القانونية إذا كان الشخص في عهدة سلطات الدولة عند ظهوره للمرة الأخيرة وإذا كانت هناك في الوقت ذاته إعاقة منتظمة لجهود أقاربه الرامية إلى ممارسة سبل انتصاف فعالة، بما في ذلك السبل القضائية. ففي حالات كهذه، يكون الأشخاص المختفون محرومين في واقع الأمر من إمكانية ممارسة حقوقهم والتماس أي سبيل انتصاف يمكن التماسه كنتيجة مباشرة لسلوك الدولة الذي ينبغي تفسيره على أنه يمثل إنكاراً للشخصية القانونية لهؤلاء الضحايا</w:t>
      </w:r>
      <w:r w:rsidRPr="00FD129C">
        <w:rPr>
          <w:vertAlign w:val="superscript"/>
          <w:rtl/>
        </w:rPr>
        <w:footnoteReference w:customMarkFollows="1" w:id="9"/>
        <w:t>(8)</w:t>
      </w:r>
      <w:r w:rsidRPr="004B7AD6">
        <w:rPr>
          <w:rFonts w:hint="cs"/>
          <w:rtl/>
        </w:rPr>
        <w:t>.</w:t>
      </w:r>
    </w:p>
    <w:p w:rsidR="004B7AD6" w:rsidRPr="004B7AD6" w:rsidRDefault="004B7AD6" w:rsidP="00850EF1">
      <w:pPr>
        <w:pStyle w:val="SingleTxtGA"/>
        <w:rPr>
          <w:rtl/>
        </w:rPr>
      </w:pPr>
      <w:r w:rsidRPr="004B7AD6">
        <w:rPr>
          <w:rFonts w:hint="cs"/>
          <w:rtl/>
        </w:rPr>
        <w:t>3-8</w:t>
      </w:r>
      <w:r w:rsidRPr="004B7AD6">
        <w:rPr>
          <w:rFonts w:hint="cs"/>
          <w:rtl/>
        </w:rPr>
        <w:tab/>
        <w:t>وتدعي صاحبة البلاغ أن الاختفاء القسري لحسن العدي أدى إلى زعزعة حياتها بشدة وحياة باقي أفراد أسرتها. فقد دُمرت حياتهم الأسرية: إذ حُرمت هي من ابنها بينما حُرمت زوجة حسن العدي من زوجها وحُرم أولاده من أبيهم، وهذا يشكل انتهاكاً للفقرة 1 من المادة</w:t>
      </w:r>
      <w:r w:rsidR="00850EF1">
        <w:rPr>
          <w:rFonts w:hint="eastAsia"/>
          <w:rtl/>
        </w:rPr>
        <w:t> </w:t>
      </w:r>
      <w:r w:rsidRPr="004B7AD6">
        <w:rPr>
          <w:rFonts w:hint="cs"/>
          <w:rtl/>
        </w:rPr>
        <w:t>23 من العهد ناجماً عن إخلال الدولة الطرف بواجبها صون حقهم في الحياة الأسرية.</w:t>
      </w:r>
    </w:p>
    <w:p w:rsidR="004B7AD6" w:rsidRPr="004B7AD6" w:rsidRDefault="004B7AD6" w:rsidP="004B7AD6">
      <w:pPr>
        <w:pStyle w:val="SingleTxtGA"/>
        <w:rPr>
          <w:rtl/>
        </w:rPr>
      </w:pPr>
      <w:r w:rsidRPr="004B7AD6">
        <w:rPr>
          <w:rFonts w:hint="cs"/>
          <w:rtl/>
        </w:rPr>
        <w:t>3-9</w:t>
      </w:r>
      <w:r w:rsidRPr="004B7AD6">
        <w:rPr>
          <w:rFonts w:hint="cs"/>
          <w:rtl/>
        </w:rPr>
        <w:tab/>
        <w:t xml:space="preserve">وأخيراً، تؤكد صاحبة البلاغ أن ابنها حُرم من ممارسة حقه في اللجوء إلى سبيل انتصاف للاعتراض على احتجازه وعلى الانتهاكات المزعومة للمواد 7 و9 و10 (الفقرة 1) و16 و23 من العهد، وهذا يشكل انتهاكاً للمادة 2 (الفقرة 3) من العهد. وتدَّعي صاحبة البلاغ أيضاً أن الدولة الطرف عليها، بموجب المادة 2 (الفقرة 3) مقروءة بالاقتران مع المادة 6 </w:t>
      </w:r>
      <w:r w:rsidRPr="004B7AD6">
        <w:rPr>
          <w:rFonts w:hint="cs"/>
          <w:rtl/>
        </w:rPr>
        <w:lastRenderedPageBreak/>
        <w:t xml:space="preserve">(الفقرة 1) من العهد، أن تجري تحقيقاً دقيقاً في حالة الاختفاء القسري وأن تزوّد أقارب الشخص المفقود بمعلومات عن التقدم المحرز في التحقيق ونتائجه وأن تلاحق المسؤولين عن الاختفاء القسري، إلى أن تنجلي الحقيقة بخصوص مصير الشخص المفقود. وتذكر صاحبة البلاغ أن الدولة الطرف لم تتخذ إجراءات بسيطة كان يمكن أن تكون مفيدة للتحقيقات التي أجريت في قضية الاختفاء القسري لحسن العدي، وذلك مثل تحديد هوية الأشخاص الذين كانوا يعملون في مركز قيادة العمليات في </w:t>
      </w:r>
      <w:proofErr w:type="spellStart"/>
      <w:r w:rsidRPr="004B7AD6">
        <w:rPr>
          <w:rFonts w:hint="cs"/>
          <w:rtl/>
        </w:rPr>
        <w:t>شاطوناف</w:t>
      </w:r>
      <w:proofErr w:type="spellEnd"/>
      <w:r w:rsidRPr="004B7AD6">
        <w:rPr>
          <w:rFonts w:hint="cs"/>
          <w:rtl/>
        </w:rPr>
        <w:t xml:space="preserve"> يوم توقيف حسن العدي ومواجهتهم بمختلف الشهود في سبيل كشف مصير المفقود. وتَعتبر صاحبة البلاغ أن التحقيق الذي أجري لم يكن فعالاً وأن اعتماد الأمر رقم 06-01 والاستمرار في تطبيقه يعزّزان إفلات المسؤولين عن حالات الاختفاء القسري من العقاب، ويقوّضان فعالية سبل الانتصاف، ويتنافيان مع أحكام العهد المتعلقة بالحق في الانتصاف الفعال.</w:t>
      </w:r>
    </w:p>
    <w:p w:rsidR="004B7AD6" w:rsidRPr="004B7AD6" w:rsidRDefault="004B7AD6" w:rsidP="004B7AD6">
      <w:pPr>
        <w:pStyle w:val="SingleTxtGA"/>
        <w:rPr>
          <w:rtl/>
        </w:rPr>
      </w:pPr>
      <w:r w:rsidRPr="004B7AD6">
        <w:rPr>
          <w:rFonts w:hint="cs"/>
          <w:rtl/>
        </w:rPr>
        <w:t>3-10</w:t>
      </w:r>
      <w:r w:rsidRPr="004B7AD6">
        <w:rPr>
          <w:rFonts w:hint="cs"/>
          <w:rtl/>
        </w:rPr>
        <w:tab/>
        <w:t>وتؤكد صاحبة البلاغ أنها استنفدت سُبل الانتصاف المحلية حيث أصدرت المحكمة العليا في 29 أيلول/سبتمبر 2009 قراراً في قضية اختفاء حسن العدي تردّ فيه طعن زوجة المفقود التي انتقدت فيه فعالية التحقيقات التي أجراها وكيل الجمهورية، وحيث قرّر قاضي التحقيق في 27 آذار/مارس 2007 ردّ الدعوى المتعلقة بهذه القضية وحيث أيّدت غرفة الاتهام لدى محكمة الاستئناف في الجزائر العاصمة هذا القرار في 29 نيسان/أبريل 2007.</w:t>
      </w:r>
    </w:p>
    <w:p w:rsidR="004B7AD6" w:rsidRPr="004B7AD6" w:rsidRDefault="004B7AD6" w:rsidP="004B7AD6">
      <w:pPr>
        <w:pStyle w:val="SingleTxtGA"/>
        <w:rPr>
          <w:rtl/>
        </w:rPr>
      </w:pPr>
      <w:r w:rsidRPr="004B7AD6">
        <w:rPr>
          <w:rFonts w:hint="cs"/>
          <w:rtl/>
        </w:rPr>
        <w:t>3-11</w:t>
      </w:r>
      <w:r w:rsidRPr="004B7AD6">
        <w:rPr>
          <w:rFonts w:hint="cs"/>
          <w:rtl/>
        </w:rPr>
        <w:tab/>
        <w:t>وتطلب صاحبة البلاغ إلى اللجنة أن تأمر الدولة الطرف بالقيام بما يلي: (أ) الإفراج عن حسن العدي إذا كان لا يزال على قيد الحياة؛ (ب) إجراء تحقيق سريع ودقيق وفعال في حالة الاختفاء؛ (ج) إعلام صاحب البلاغ وأسرته بنتائج التحقيق؛ (د)</w:t>
      </w:r>
      <w:r w:rsidRPr="004B7AD6">
        <w:rPr>
          <w:rFonts w:hint="eastAsia"/>
          <w:rtl/>
        </w:rPr>
        <w:t> </w:t>
      </w:r>
      <w:r w:rsidRPr="004B7AD6">
        <w:rPr>
          <w:rFonts w:hint="cs"/>
          <w:rtl/>
        </w:rPr>
        <w:t>ملاحقة الأشخاص المسؤولين عن اختفاء حسن العدي وتقديمهم إلى العدالة ومعاقبتهم وفقاً للالتزامات الدولية للدولة الطرف؛ (هـ)‍ تقديم التعويض المناسب لذوي الحق من أهل حسن العدي عن الأضرار المعنوية والمادية الجسيمة التي لحقت بهم جراء اختفائه.</w:t>
      </w:r>
    </w:p>
    <w:p w:rsidR="004B7AD6" w:rsidRPr="004B7AD6" w:rsidRDefault="004B7AD6" w:rsidP="00850EF1">
      <w:pPr>
        <w:pStyle w:val="H23GA"/>
        <w:rPr>
          <w:rtl/>
        </w:rPr>
      </w:pPr>
      <w:r w:rsidRPr="004B7AD6">
        <w:rPr>
          <w:rFonts w:hint="cs"/>
          <w:rtl/>
        </w:rPr>
        <w:tab/>
      </w:r>
      <w:r w:rsidRPr="004B7AD6">
        <w:rPr>
          <w:rFonts w:hint="cs"/>
          <w:rtl/>
        </w:rPr>
        <w:tab/>
        <w:t>ملاحظات الدولة الطرف بشأن المقبولية</w:t>
      </w:r>
    </w:p>
    <w:p w:rsidR="004B7AD6" w:rsidRPr="004B7AD6" w:rsidRDefault="004B7AD6" w:rsidP="004B7AD6">
      <w:pPr>
        <w:pStyle w:val="SingleTxtGA"/>
        <w:rPr>
          <w:rtl/>
        </w:rPr>
      </w:pPr>
      <w:r w:rsidRPr="004B7AD6">
        <w:rPr>
          <w:rFonts w:hint="cs"/>
          <w:rtl/>
        </w:rPr>
        <w:t>4-1</w:t>
      </w:r>
      <w:r w:rsidRPr="004B7AD6">
        <w:rPr>
          <w:rFonts w:hint="cs"/>
          <w:rtl/>
        </w:rPr>
        <w:tab/>
        <w:t>في 11 نيسان/أبريل 2013، قدّمت الدولة الطرف مذكرة شفوية اكتفت فيها بالإحالة إلى "المذكرة المرجعية للحكومة الجزائرية بشأن عدم مقبولية البلاغات الفردية المقدمة إلى اللجنة المعنية بحقوق الإنسان فيما يتعلق بتنفيذ ميثاق السلم والمصالحة الوطنية" إلى جانب مذكرتها الإضافية المتعلقة بعدم مقبولية البلاغ. وقد أحيلت هاتان الوثيقتان إلى اللجنة في إطار بلاغات سابقة عدة، ولم تقدم الدولة الطرف نسخاً من المذكرة المرجعية والمذكرة الإضافية، ولم تبدِ أيَّ ملاحظات محددة على هذا البلاغ.</w:t>
      </w:r>
    </w:p>
    <w:p w:rsidR="004B7AD6" w:rsidRPr="004B7AD6" w:rsidRDefault="004B7AD6" w:rsidP="004B7AD6">
      <w:pPr>
        <w:pStyle w:val="SingleTxtGA"/>
        <w:rPr>
          <w:rtl/>
        </w:rPr>
      </w:pPr>
      <w:r w:rsidRPr="004B7AD6">
        <w:rPr>
          <w:rFonts w:hint="cs"/>
          <w:rtl/>
        </w:rPr>
        <w:lastRenderedPageBreak/>
        <w:t>4-2</w:t>
      </w:r>
      <w:r w:rsidRPr="004B7AD6">
        <w:rPr>
          <w:rFonts w:hint="cs"/>
          <w:rtl/>
        </w:rPr>
        <w:tab/>
        <w:t>وقد استُنسخ محتوى هاتين الوثيقتين في عدة آراء اعتمدتها اللجنة</w:t>
      </w:r>
      <w:r w:rsidRPr="00A520F9">
        <w:rPr>
          <w:vertAlign w:val="superscript"/>
          <w:rtl/>
        </w:rPr>
        <w:footnoteReference w:customMarkFollows="1" w:id="10"/>
        <w:t>(9)</w:t>
      </w:r>
      <w:r w:rsidRPr="004B7AD6">
        <w:rPr>
          <w:rFonts w:hint="cs"/>
          <w:rtl/>
        </w:rPr>
        <w:t>. وطلبت الدولة الطرف</w:t>
      </w:r>
      <w:r w:rsidRPr="004B7AD6">
        <w:rPr>
          <w:rtl/>
        </w:rPr>
        <w:t xml:space="preserve"> من اللجنة أن تلاحظ مدى تشابه الوقائع والحالات التي </w:t>
      </w:r>
      <w:r w:rsidRPr="004B7AD6">
        <w:rPr>
          <w:rFonts w:hint="cs"/>
          <w:rtl/>
        </w:rPr>
        <w:t>يسوقها أصحاب</w:t>
      </w:r>
      <w:r w:rsidRPr="004B7AD6">
        <w:rPr>
          <w:rtl/>
        </w:rPr>
        <w:t xml:space="preserve"> </w:t>
      </w:r>
      <w:r w:rsidRPr="004B7AD6">
        <w:rPr>
          <w:rFonts w:hint="cs"/>
          <w:rtl/>
        </w:rPr>
        <w:t>البلاغات وأن تراعي</w:t>
      </w:r>
      <w:r w:rsidRPr="004B7AD6">
        <w:rPr>
          <w:rtl/>
        </w:rPr>
        <w:t xml:space="preserve"> السياق الاجتماعي - السياسي والأمني الذ</w:t>
      </w:r>
      <w:r w:rsidR="00A520F9">
        <w:rPr>
          <w:rtl/>
        </w:rPr>
        <w:t>ي حدثت فيه، وأن</w:t>
      </w:r>
      <w:r w:rsidR="00A520F9">
        <w:rPr>
          <w:rFonts w:hint="cs"/>
          <w:rtl/>
        </w:rPr>
        <w:t xml:space="preserve"> </w:t>
      </w:r>
      <w:r w:rsidRPr="004B7AD6">
        <w:rPr>
          <w:rtl/>
        </w:rPr>
        <w:t xml:space="preserve">تخلص إلى أن </w:t>
      </w:r>
      <w:r w:rsidRPr="004B7AD6">
        <w:rPr>
          <w:rFonts w:hint="cs"/>
          <w:rtl/>
        </w:rPr>
        <w:t>أصحاب</w:t>
      </w:r>
      <w:r w:rsidRPr="004B7AD6">
        <w:rPr>
          <w:rtl/>
        </w:rPr>
        <w:t xml:space="preserve"> </w:t>
      </w:r>
      <w:r w:rsidRPr="004B7AD6">
        <w:rPr>
          <w:rFonts w:hint="cs"/>
          <w:rtl/>
        </w:rPr>
        <w:t xml:space="preserve">البلاغات </w:t>
      </w:r>
      <w:r w:rsidRPr="004B7AD6">
        <w:rPr>
          <w:rtl/>
        </w:rPr>
        <w:t>لم يستنفد</w:t>
      </w:r>
      <w:r w:rsidRPr="004B7AD6">
        <w:rPr>
          <w:rFonts w:hint="cs"/>
          <w:rtl/>
        </w:rPr>
        <w:t>وا</w:t>
      </w:r>
      <w:r w:rsidRPr="004B7AD6">
        <w:rPr>
          <w:rtl/>
        </w:rPr>
        <w:t xml:space="preserve"> جميع سبل الانتصاف المحلية، وأن تقرّ بأن سلطات الدولة الطرف أ</w:t>
      </w:r>
      <w:r w:rsidRPr="004B7AD6">
        <w:rPr>
          <w:rFonts w:hint="cs"/>
          <w:rtl/>
        </w:rPr>
        <w:t>نشأت</w:t>
      </w:r>
      <w:r w:rsidRPr="004B7AD6">
        <w:rPr>
          <w:rtl/>
        </w:rPr>
        <w:t xml:space="preserve"> آلية داخلية شاملة لمعالجة الحالات المشار إليها في هذه البلاغات وتسويتها عبر تدابير ترمي إلى تحقيق السلم والمصالحة الوطنية وفقاً لمبادئ ميثاق الأمم المتحدة والعهود والاتفاقيات اللاحقة</w:t>
      </w:r>
      <w:r w:rsidRPr="004B7AD6">
        <w:rPr>
          <w:rFonts w:hint="cs"/>
          <w:rtl/>
        </w:rPr>
        <w:t>،</w:t>
      </w:r>
      <w:r w:rsidRPr="004B7AD6">
        <w:rPr>
          <w:rtl/>
        </w:rPr>
        <w:t xml:space="preserve"> وأن تعلن عدم مقبولية البلاغ وأن تطالب </w:t>
      </w:r>
      <w:r w:rsidRPr="004B7AD6">
        <w:rPr>
          <w:rFonts w:hint="cs"/>
          <w:rtl/>
        </w:rPr>
        <w:t>أصحاب</w:t>
      </w:r>
      <w:r w:rsidRPr="004B7AD6">
        <w:rPr>
          <w:rtl/>
        </w:rPr>
        <w:t xml:space="preserve"> البلاغ بالتماس سبيل انتصاف بديل</w:t>
      </w:r>
      <w:r w:rsidRPr="004B7AD6">
        <w:rPr>
          <w:rFonts w:hint="cs"/>
          <w:rtl/>
        </w:rPr>
        <w:t xml:space="preserve">. </w:t>
      </w:r>
    </w:p>
    <w:p w:rsidR="004B7AD6" w:rsidRPr="004B7AD6" w:rsidRDefault="004B7AD6" w:rsidP="00850EF1">
      <w:pPr>
        <w:pStyle w:val="H23GA"/>
        <w:rPr>
          <w:rtl/>
        </w:rPr>
      </w:pPr>
      <w:r w:rsidRPr="004B7AD6">
        <w:rPr>
          <w:rFonts w:hint="cs"/>
          <w:rtl/>
        </w:rPr>
        <w:tab/>
      </w:r>
      <w:r w:rsidRPr="004B7AD6">
        <w:rPr>
          <w:rFonts w:hint="cs"/>
          <w:rtl/>
        </w:rPr>
        <w:tab/>
        <w:t>تعليقات صاحبة البلاغ على ملاحظات الدولة الطرف</w:t>
      </w:r>
    </w:p>
    <w:p w:rsidR="004B7AD6" w:rsidRPr="004B7AD6" w:rsidRDefault="004B7AD6" w:rsidP="0070710B">
      <w:pPr>
        <w:pStyle w:val="SingleTxtGA"/>
        <w:rPr>
          <w:rtl/>
        </w:rPr>
      </w:pPr>
      <w:r w:rsidRPr="004B7AD6">
        <w:rPr>
          <w:rFonts w:hint="cs"/>
          <w:rtl/>
        </w:rPr>
        <w:t>5-1</w:t>
      </w:r>
      <w:r w:rsidRPr="004B7AD6">
        <w:rPr>
          <w:rFonts w:hint="cs"/>
          <w:rtl/>
        </w:rPr>
        <w:tab/>
        <w:t>في 8 آب/أغسطس 2013، قدمت صاحبة البلاغ تعليقاتها على ملاحظات الدولة الطرف. فتشير إلى أن الدولة الطرف قبلت اختصاص اللجنة بالنظر في البلاغات التي يقدمها الأفراد. وهذا الاختصاص هو ذو طابع عام ولا تخضع ممارسة اللجنة له لتقدير الدولة الطرف. بل إن اللجنة هي التي تمارس تلك السلطة التقديرية لدى نظرها في البلاغ. وتعتبر صاحبة البلاغ أن اعتماد الدولة الطرف آلية لإيجاد تسوية داخلية شاملة لا يمكن أن يشكل حجة لعدم قبول البلاغ. بل إن التدابير التشريعية التي اعتمدتها الدولة الطرف في الحالة قيد النظر لتنفيذ ميثاق السلم والمصالحة الوطنية تشكل في حد ذاتها انتهاكاً للحقوق التي يكفلها العهد، مثلما أشارت اللجنة إلى ذلك في آراء سابقة</w:t>
      </w:r>
      <w:r w:rsidRPr="00A520F9">
        <w:rPr>
          <w:vertAlign w:val="superscript"/>
          <w:rtl/>
        </w:rPr>
        <w:footnoteReference w:customMarkFollows="1" w:id="11"/>
        <w:t>(10)</w:t>
      </w:r>
      <w:r w:rsidRPr="004B7AD6">
        <w:rPr>
          <w:rFonts w:hint="cs"/>
          <w:rtl/>
        </w:rPr>
        <w:t>.</w:t>
      </w:r>
      <w:r w:rsidR="0070710B">
        <w:rPr>
          <w:rFonts w:hint="cs"/>
          <w:rtl/>
        </w:rPr>
        <w:t xml:space="preserve"> </w:t>
      </w:r>
    </w:p>
    <w:p w:rsidR="004B7AD6" w:rsidRPr="004B7AD6" w:rsidRDefault="004B7AD6" w:rsidP="00850EF1">
      <w:pPr>
        <w:pStyle w:val="SingleTxtGA"/>
        <w:rPr>
          <w:rtl/>
        </w:rPr>
      </w:pPr>
      <w:r w:rsidRPr="004B7AD6">
        <w:rPr>
          <w:rFonts w:hint="cs"/>
          <w:rtl/>
        </w:rPr>
        <w:t>5-2</w:t>
      </w:r>
      <w:r w:rsidRPr="004B7AD6">
        <w:rPr>
          <w:rFonts w:hint="cs"/>
          <w:rtl/>
        </w:rPr>
        <w:tab/>
      </w:r>
      <w:r w:rsidRPr="004B7AD6">
        <w:rPr>
          <w:rtl/>
        </w:rPr>
        <w:t>و</w:t>
      </w:r>
      <w:r w:rsidRPr="004B7AD6">
        <w:rPr>
          <w:rFonts w:hint="cs"/>
          <w:rtl/>
        </w:rPr>
        <w:t>ت</w:t>
      </w:r>
      <w:r w:rsidRPr="004B7AD6">
        <w:rPr>
          <w:rtl/>
        </w:rPr>
        <w:t>ذكّر</w:t>
      </w:r>
      <w:r w:rsidRPr="004B7AD6">
        <w:rPr>
          <w:rFonts w:hint="cs"/>
          <w:rtl/>
        </w:rPr>
        <w:t xml:space="preserve"> صاحبة البلاغ بأن إعلان الدولة الطرف حالة الطوارئ في 9 شباط/</w:t>
      </w:r>
      <w:r w:rsidR="00850EF1">
        <w:rPr>
          <w:rFonts w:hint="cs"/>
          <w:rtl/>
        </w:rPr>
        <w:t xml:space="preserve"> </w:t>
      </w:r>
      <w:r w:rsidRPr="004B7AD6">
        <w:rPr>
          <w:rFonts w:hint="cs"/>
          <w:rtl/>
        </w:rPr>
        <w:t>فبراير</w:t>
      </w:r>
      <w:r w:rsidR="00850EF1">
        <w:rPr>
          <w:rFonts w:hint="eastAsia"/>
          <w:rtl/>
        </w:rPr>
        <w:t> </w:t>
      </w:r>
      <w:r w:rsidRPr="004B7AD6">
        <w:rPr>
          <w:rFonts w:hint="cs"/>
          <w:rtl/>
        </w:rPr>
        <w:t xml:space="preserve">1992 لا ينبغي أن يؤثر في حق الأفراد في تقديم بلاغات إلى اللجنة. فالمادة 4 من العهد تنص بالفعل على أن إعلان حالة الطوارئ يتيح للدولة عدم التقيد ببعض أحكام العهد فقط ولا يؤثر بالتالي في ممارسة الحقوق الناشئة عن بروتوكوله الاختياري. </w:t>
      </w:r>
    </w:p>
    <w:p w:rsidR="004B7AD6" w:rsidRPr="004B7AD6" w:rsidRDefault="004B7AD6" w:rsidP="004B7AD6">
      <w:pPr>
        <w:pStyle w:val="SingleTxtGA"/>
        <w:rPr>
          <w:rtl/>
        </w:rPr>
      </w:pPr>
      <w:r w:rsidRPr="004B7AD6">
        <w:rPr>
          <w:rFonts w:hint="cs"/>
          <w:rtl/>
        </w:rPr>
        <w:t>5-3</w:t>
      </w:r>
      <w:r w:rsidRPr="004B7AD6">
        <w:rPr>
          <w:rFonts w:hint="cs"/>
          <w:rtl/>
        </w:rPr>
        <w:tab/>
        <w:t>وتؤكّد صاحبة البلاغ مجدداً أن سلطات الدولة الطرف أُعلمت على النحو الواجب باختفاء ابنها بعد توقيفه وأن التحقيقات التي أجريت لم تكن مع ذلك فعالة إذ لم تسمح بالكشف عن هوية المسؤولين واختُتمت الإجراءات بقرار قضى بردّ الدعوى.</w:t>
      </w:r>
    </w:p>
    <w:p w:rsidR="004B7AD6" w:rsidRPr="004B7AD6" w:rsidRDefault="004B7AD6" w:rsidP="0070710B">
      <w:pPr>
        <w:pStyle w:val="SingleTxtGA"/>
        <w:rPr>
          <w:rtl/>
        </w:rPr>
      </w:pPr>
      <w:r w:rsidRPr="004B7AD6">
        <w:rPr>
          <w:rFonts w:hint="cs"/>
          <w:rtl/>
        </w:rPr>
        <w:lastRenderedPageBreak/>
        <w:t>5-4</w:t>
      </w:r>
      <w:r w:rsidRPr="004B7AD6">
        <w:rPr>
          <w:rFonts w:hint="cs"/>
          <w:rtl/>
        </w:rPr>
        <w:tab/>
        <w:t xml:space="preserve">وتذكّر صاحبة البلاغ أيضاً بأن الأمر رقم 06-01 يمنع في مادته 45 إجراءات الملاحقة الفردية أو الجماعية التي تستهدف عناصر في قوات </w:t>
      </w:r>
      <w:r w:rsidR="002227BD">
        <w:rPr>
          <w:rFonts w:hint="cs"/>
          <w:rtl/>
        </w:rPr>
        <w:t xml:space="preserve">الدفاع والأمن. وتخلص إلى أنه لم </w:t>
      </w:r>
      <w:r w:rsidRPr="004B7AD6">
        <w:rPr>
          <w:rFonts w:hint="cs"/>
          <w:rtl/>
        </w:rPr>
        <w:t>يعد ممكناً، بعد صدور الأمر رقم 06-01، رفع شكوى مدنية أو جنائية ضدّ الجرائم التي ارتكبها أفراد تابعون لقوات الأمن خلال الحرب الأهلية، وأن الهيئات القضائية الجزائرية ملزمة بأن تعلن كل الدعاوى التي ترفع في هذا الإطار غير مقبولة.</w:t>
      </w:r>
      <w:r w:rsidR="0070710B">
        <w:rPr>
          <w:rFonts w:hint="cs"/>
          <w:rtl/>
        </w:rPr>
        <w:t xml:space="preserve"> </w:t>
      </w:r>
    </w:p>
    <w:p w:rsidR="004B7AD6" w:rsidRPr="004B7AD6" w:rsidRDefault="004B7AD6" w:rsidP="004B7AD6">
      <w:pPr>
        <w:pStyle w:val="SingleTxtGA"/>
        <w:rPr>
          <w:rtl/>
        </w:rPr>
      </w:pPr>
      <w:r w:rsidRPr="004B7AD6">
        <w:rPr>
          <w:rFonts w:hint="cs"/>
          <w:rtl/>
        </w:rPr>
        <w:t>5-5</w:t>
      </w:r>
      <w:r w:rsidRPr="004B7AD6">
        <w:rPr>
          <w:rFonts w:hint="cs"/>
          <w:rtl/>
        </w:rPr>
        <w:tab/>
        <w:t>وأخيراً تلاحظ صاحبة البلاغ أن الدولة الطرف تكتفي بالإحالة إلى مذكرتها المرجعية ومذكرتها الإضافية وأنها لا تدحض الانتهاكات المزعومة. فتَعتبر بالتالي أنّ على اللجنة البتّ في القضية استناداً إلى المعلومات المتاحة واعتبار جميع الوقائع التي تزعمها صاحبة البلاغ صحيحة</w:t>
      </w:r>
      <w:r w:rsidRPr="007D7F70">
        <w:rPr>
          <w:vertAlign w:val="superscript"/>
          <w:rtl/>
        </w:rPr>
        <w:footnoteReference w:customMarkFollows="1" w:id="12"/>
        <w:t>(11)</w:t>
      </w:r>
      <w:r w:rsidRPr="004B7AD6">
        <w:rPr>
          <w:rFonts w:hint="cs"/>
          <w:rtl/>
        </w:rPr>
        <w:t>.</w:t>
      </w:r>
    </w:p>
    <w:p w:rsidR="004B7AD6" w:rsidRPr="004B7AD6" w:rsidRDefault="004B7AD6" w:rsidP="007D7F70">
      <w:pPr>
        <w:pStyle w:val="H23GA"/>
        <w:rPr>
          <w:rtl/>
        </w:rPr>
      </w:pPr>
      <w:r w:rsidRPr="004B7AD6">
        <w:rPr>
          <w:rFonts w:hint="cs"/>
          <w:rtl/>
        </w:rPr>
        <w:tab/>
      </w:r>
      <w:r w:rsidRPr="004B7AD6">
        <w:rPr>
          <w:rFonts w:hint="cs"/>
          <w:rtl/>
        </w:rPr>
        <w:tab/>
        <w:t>مداولات</w:t>
      </w:r>
      <w:r w:rsidRPr="004B7AD6">
        <w:rPr>
          <w:rtl/>
        </w:rPr>
        <w:t xml:space="preserve"> اللجنة</w:t>
      </w:r>
    </w:p>
    <w:p w:rsidR="004B7AD6" w:rsidRPr="004B7AD6" w:rsidRDefault="004B7AD6" w:rsidP="007D7F70">
      <w:pPr>
        <w:pStyle w:val="H4GA"/>
        <w:rPr>
          <w:rtl/>
        </w:rPr>
      </w:pPr>
      <w:r w:rsidRPr="004B7AD6">
        <w:rPr>
          <w:rFonts w:hint="cs"/>
          <w:rtl/>
        </w:rPr>
        <w:tab/>
      </w:r>
      <w:r w:rsidRPr="004B7AD6">
        <w:rPr>
          <w:rFonts w:hint="cs"/>
          <w:rtl/>
        </w:rPr>
        <w:tab/>
      </w:r>
      <w:r w:rsidRPr="004B7AD6">
        <w:rPr>
          <w:rtl/>
        </w:rPr>
        <w:t>النظر في المقبولية</w:t>
      </w:r>
    </w:p>
    <w:p w:rsidR="004B7AD6" w:rsidRPr="004B7AD6" w:rsidRDefault="004B7AD6" w:rsidP="0070710B">
      <w:pPr>
        <w:pStyle w:val="SingleTxtGA"/>
        <w:rPr>
          <w:rtl/>
        </w:rPr>
      </w:pPr>
      <w:r w:rsidRPr="004B7AD6">
        <w:rPr>
          <w:rFonts w:hint="cs"/>
          <w:rtl/>
        </w:rPr>
        <w:t>6-1</w:t>
      </w:r>
      <w:r w:rsidRPr="004B7AD6">
        <w:rPr>
          <w:rFonts w:hint="cs"/>
          <w:rtl/>
        </w:rPr>
        <w:tab/>
        <w:t>تذكّر اللجنة المعنية بحقوق الإنسان بأنه يتعين عليها، قبل النظر في أي شكوى تَرِد في بلاغ ما ووفقاً للمادة 93 من نظامها الداخلي، أن تحدد ما</w:t>
      </w:r>
      <w:r w:rsidRPr="004B7AD6">
        <w:rPr>
          <w:rFonts w:hint="eastAsia"/>
          <w:rtl/>
        </w:rPr>
        <w:t> </w:t>
      </w:r>
      <w:r w:rsidRPr="004B7AD6">
        <w:rPr>
          <w:rFonts w:hint="cs"/>
          <w:rtl/>
        </w:rPr>
        <w:t>إذا كان البلاغ مقبولاً أم لا</w:t>
      </w:r>
      <w:r w:rsidR="0070710B">
        <w:rPr>
          <w:rFonts w:hint="eastAsia"/>
          <w:rtl/>
        </w:rPr>
        <w:t> </w:t>
      </w:r>
      <w:r w:rsidRPr="004B7AD6">
        <w:rPr>
          <w:rFonts w:hint="cs"/>
          <w:rtl/>
        </w:rPr>
        <w:t xml:space="preserve">بموجب البروتوكول الاختياري الملحق بالعهد. </w:t>
      </w:r>
    </w:p>
    <w:p w:rsidR="004B7AD6" w:rsidRPr="004B7AD6" w:rsidRDefault="004B7AD6" w:rsidP="0070710B">
      <w:pPr>
        <w:pStyle w:val="SingleTxtGA"/>
        <w:rPr>
          <w:rtl/>
        </w:rPr>
      </w:pPr>
      <w:r w:rsidRPr="004B7AD6">
        <w:rPr>
          <w:rFonts w:hint="cs"/>
          <w:rtl/>
        </w:rPr>
        <w:t>6-2</w:t>
      </w:r>
      <w:r w:rsidRPr="004B7AD6">
        <w:rPr>
          <w:rFonts w:hint="cs"/>
          <w:rtl/>
        </w:rPr>
        <w:tab/>
        <w:t>وقد تحققت اللجنة، وفق ما تقتضيه الفقرة 2(أ) من المادة 5 من البروتوكول الاختياري، من أن المسألة ذاتها ليست قيد البحث في إطار إجراء آخر من إجراءات التحقيق الدولي أو التسوية الدولية.</w:t>
      </w:r>
      <w:r w:rsidRPr="004B7AD6">
        <w:rPr>
          <w:rtl/>
        </w:rPr>
        <w:t xml:space="preserve"> وتلاحظ اللجنة أن</w:t>
      </w:r>
      <w:r w:rsidRPr="004B7AD6">
        <w:rPr>
          <w:rFonts w:hint="cs"/>
          <w:rtl/>
        </w:rPr>
        <w:t xml:space="preserve"> قضية حسن العدي</w:t>
      </w:r>
      <w:r w:rsidRPr="004B7AD6">
        <w:rPr>
          <w:rtl/>
        </w:rPr>
        <w:t xml:space="preserve"> </w:t>
      </w:r>
      <w:r w:rsidRPr="004B7AD6">
        <w:rPr>
          <w:rFonts w:hint="cs"/>
          <w:rtl/>
        </w:rPr>
        <w:t>عُرضت على</w:t>
      </w:r>
      <w:r w:rsidRPr="004B7AD6">
        <w:rPr>
          <w:rtl/>
        </w:rPr>
        <w:t xml:space="preserve"> الفريق العامل </w:t>
      </w:r>
      <w:r w:rsidRPr="004B7AD6">
        <w:rPr>
          <w:rFonts w:hint="cs"/>
          <w:rtl/>
        </w:rPr>
        <w:t>ال</w:t>
      </w:r>
      <w:r w:rsidRPr="004B7AD6">
        <w:rPr>
          <w:rtl/>
        </w:rPr>
        <w:t>معني بحالات الاختفاء القسري</w:t>
      </w:r>
      <w:r w:rsidRPr="004B7AD6">
        <w:rPr>
          <w:rFonts w:hint="cs"/>
          <w:rtl/>
        </w:rPr>
        <w:t xml:space="preserve"> أو غير الطوعي</w:t>
      </w:r>
      <w:r w:rsidRPr="004B7AD6">
        <w:rPr>
          <w:rtl/>
        </w:rPr>
        <w:t>. إلاّ أنها تذكّر بأن الإجراءات أو الآليات الخارجة عن نطاق المعاهدات، التي وضعتها لجنة حقوق الإنسان أو مجلس حقوق الإنسان، والتي تتمثل ولاي</w:t>
      </w:r>
      <w:r w:rsidRPr="004B7AD6">
        <w:rPr>
          <w:rFonts w:hint="cs"/>
          <w:rtl/>
        </w:rPr>
        <w:t>ا</w:t>
      </w:r>
      <w:r w:rsidRPr="004B7AD6">
        <w:rPr>
          <w:rtl/>
        </w:rPr>
        <w:t>تها في دراسة حالة حقوق الإنسان في بلد أو إقليم ما وتقديم تقارير علنية عن ذلك أو عن الانتهاكات الواسعة النطاق لحقوق الإنسان</w:t>
      </w:r>
      <w:r w:rsidR="0070710B">
        <w:rPr>
          <w:rFonts w:hint="cs"/>
          <w:rtl/>
        </w:rPr>
        <w:t xml:space="preserve"> </w:t>
      </w:r>
      <w:r w:rsidRPr="004B7AD6">
        <w:rPr>
          <w:rtl/>
        </w:rPr>
        <w:t xml:space="preserve">في العالم، لا تندرج عموماً ضمن </w:t>
      </w:r>
      <w:r w:rsidRPr="004B7AD6">
        <w:rPr>
          <w:rFonts w:hint="cs"/>
          <w:rtl/>
        </w:rPr>
        <w:t>الإ</w:t>
      </w:r>
      <w:r w:rsidRPr="004B7AD6">
        <w:rPr>
          <w:rtl/>
        </w:rPr>
        <w:t xml:space="preserve">جراءات </w:t>
      </w:r>
      <w:r w:rsidRPr="004B7AD6">
        <w:rPr>
          <w:rFonts w:hint="cs"/>
          <w:rtl/>
        </w:rPr>
        <w:t>ال</w:t>
      </w:r>
      <w:r w:rsidRPr="004B7AD6">
        <w:rPr>
          <w:rtl/>
        </w:rPr>
        <w:t>دولية للتحقيق أو التسوية بالمفهوم الوارد في</w:t>
      </w:r>
      <w:r w:rsidRPr="004B7AD6">
        <w:rPr>
          <w:rFonts w:hint="cs"/>
          <w:rtl/>
        </w:rPr>
        <w:t xml:space="preserve"> </w:t>
      </w:r>
      <w:r w:rsidRPr="004B7AD6">
        <w:rPr>
          <w:rtl/>
        </w:rPr>
        <w:t>الفقرة 2(أ) من المادة 5 من البروتوكول الاختياري</w:t>
      </w:r>
      <w:r w:rsidRPr="00581C69">
        <w:rPr>
          <w:vertAlign w:val="superscript"/>
          <w:rtl/>
        </w:rPr>
        <w:footnoteReference w:customMarkFollows="1" w:id="13"/>
        <w:t>(12)</w:t>
      </w:r>
      <w:r w:rsidRPr="004B7AD6">
        <w:rPr>
          <w:rtl/>
        </w:rPr>
        <w:t xml:space="preserve">. وبالتالي، ترى اللجنة أن نظر الفريق العامل المعني بحالات الاختفاء القسري أو غير الطوعي في قضية </w:t>
      </w:r>
      <w:r w:rsidRPr="004B7AD6">
        <w:rPr>
          <w:rFonts w:hint="cs"/>
          <w:rtl/>
        </w:rPr>
        <w:t xml:space="preserve">حسن العدي </w:t>
      </w:r>
      <w:r w:rsidRPr="004B7AD6">
        <w:rPr>
          <w:rtl/>
        </w:rPr>
        <w:t>لا يجعل البلاغ غير مقبول بمقتضى هذه المادة.</w:t>
      </w:r>
    </w:p>
    <w:p w:rsidR="004B7AD6" w:rsidRPr="004B7AD6" w:rsidRDefault="004B7AD6" w:rsidP="004B7AD6">
      <w:pPr>
        <w:pStyle w:val="SingleTxtGA"/>
        <w:rPr>
          <w:rtl/>
        </w:rPr>
      </w:pPr>
      <w:r w:rsidRPr="004B7AD6">
        <w:rPr>
          <w:rFonts w:hint="cs"/>
          <w:rtl/>
        </w:rPr>
        <w:t>6-3</w:t>
      </w:r>
      <w:r w:rsidRPr="004B7AD6">
        <w:rPr>
          <w:rFonts w:hint="cs"/>
          <w:rtl/>
        </w:rPr>
        <w:tab/>
      </w:r>
      <w:r w:rsidRPr="004B7AD6">
        <w:rPr>
          <w:rtl/>
        </w:rPr>
        <w:t>و</w:t>
      </w:r>
      <w:r w:rsidRPr="004B7AD6">
        <w:rPr>
          <w:rFonts w:hint="cs"/>
          <w:rtl/>
        </w:rPr>
        <w:t>تلاحظ اللجنة أن الدولة الطرف تكتفي، قصد الطعن في مقبولية البلاغ، بالإحالة إلى مذكرتها المرجعية ومذكرتها الإضافية، دون تقديم نسخ منهما. و</w:t>
      </w:r>
      <w:r w:rsidRPr="004B7AD6">
        <w:rPr>
          <w:rtl/>
        </w:rPr>
        <w:t>تذك</w:t>
      </w:r>
      <w:r w:rsidRPr="004B7AD6">
        <w:rPr>
          <w:rFonts w:hint="cs"/>
          <w:rtl/>
        </w:rPr>
        <w:t>ّ</w:t>
      </w:r>
      <w:r w:rsidRPr="004B7AD6">
        <w:rPr>
          <w:rtl/>
        </w:rPr>
        <w:t xml:space="preserve">ر اللجنة بأن الدولة </w:t>
      </w:r>
      <w:r w:rsidRPr="004B7AD6">
        <w:rPr>
          <w:rtl/>
        </w:rPr>
        <w:lastRenderedPageBreak/>
        <w:t>الطرف ملزمة ليس فقط بإجراء تحقيقات شاملة في الانتهاكات المزعومة لحقوق الإنسان التي أُبلغت بها سلطاتها، لا سيما عندما يتعلق الأمر ب</w:t>
      </w:r>
      <w:r w:rsidRPr="004B7AD6">
        <w:rPr>
          <w:rFonts w:hint="cs"/>
          <w:rtl/>
        </w:rPr>
        <w:t>حالات ال</w:t>
      </w:r>
      <w:r w:rsidRPr="004B7AD6">
        <w:rPr>
          <w:rtl/>
        </w:rPr>
        <w:t xml:space="preserve">اختفاء </w:t>
      </w:r>
      <w:r w:rsidRPr="004B7AD6">
        <w:rPr>
          <w:rFonts w:hint="cs"/>
          <w:rtl/>
        </w:rPr>
        <w:t>ال</w:t>
      </w:r>
      <w:r w:rsidRPr="004B7AD6">
        <w:rPr>
          <w:rtl/>
        </w:rPr>
        <w:t>قسري وانتهاك الحق في الحياة، ولكنها ملزمة أيضاً بالملاحقة الجنائية لكل من يشتبه في أنه مسؤول عن تلك الانتهاكات ومحاكمته ومعاقبته</w:t>
      </w:r>
      <w:r w:rsidRPr="00C678F3">
        <w:rPr>
          <w:vertAlign w:val="superscript"/>
          <w:rtl/>
        </w:rPr>
        <w:footnoteReference w:customMarkFollows="1" w:id="14"/>
        <w:t>(13)</w:t>
      </w:r>
      <w:r w:rsidRPr="004B7AD6">
        <w:rPr>
          <w:rtl/>
        </w:rPr>
        <w:t>.</w:t>
      </w:r>
      <w:r w:rsidRPr="004B7AD6">
        <w:rPr>
          <w:rFonts w:hint="cs"/>
          <w:rtl/>
        </w:rPr>
        <w:t xml:space="preserve"> </w:t>
      </w:r>
      <w:r w:rsidRPr="004B7AD6">
        <w:rPr>
          <w:rtl/>
        </w:rPr>
        <w:t>و</w:t>
      </w:r>
      <w:r w:rsidRPr="004B7AD6">
        <w:rPr>
          <w:rFonts w:hint="cs"/>
          <w:rtl/>
        </w:rPr>
        <w:t xml:space="preserve">قد </w:t>
      </w:r>
      <w:r w:rsidRPr="004B7AD6">
        <w:rPr>
          <w:rtl/>
        </w:rPr>
        <w:t xml:space="preserve">أخطرت أسرة </w:t>
      </w:r>
      <w:r w:rsidRPr="004B7AD6">
        <w:rPr>
          <w:rFonts w:hint="cs"/>
          <w:rtl/>
        </w:rPr>
        <w:t>حسن العدي</w:t>
      </w:r>
      <w:r w:rsidRPr="004B7AD6">
        <w:rPr>
          <w:rtl/>
        </w:rPr>
        <w:t xml:space="preserve"> السلطات المختصة </w:t>
      </w:r>
      <w:r w:rsidRPr="004B7AD6">
        <w:rPr>
          <w:rFonts w:hint="cs"/>
          <w:rtl/>
        </w:rPr>
        <w:t>عدة مرات</w:t>
      </w:r>
      <w:r w:rsidRPr="004B7AD6">
        <w:rPr>
          <w:rtl/>
        </w:rPr>
        <w:t xml:space="preserve"> باختفا</w:t>
      </w:r>
      <w:r w:rsidRPr="004B7AD6">
        <w:rPr>
          <w:rFonts w:hint="cs"/>
          <w:rtl/>
        </w:rPr>
        <w:t>ئه، ومع ذلك لم تجر</w:t>
      </w:r>
      <w:r w:rsidRPr="004B7AD6">
        <w:rPr>
          <w:rtl/>
        </w:rPr>
        <w:t xml:space="preserve"> الدولة الطرف أي تحقيق شامل ودقيق</w:t>
      </w:r>
      <w:r w:rsidRPr="004B7AD6">
        <w:rPr>
          <w:rFonts w:hint="cs"/>
          <w:rtl/>
        </w:rPr>
        <w:t xml:space="preserve"> لتحديد هوية المسؤولين عن اختفائه القسري ولملاحقتهم إذ أصدر قاضي التحقيق في نهاية الأمر قراراً بردّ الدعوى بتاريخ 27 آذار/مارس 2007 أكدته المحكمة العليا في 29 أيلول/سبتمبر 2009.</w:t>
      </w:r>
      <w:r w:rsidRPr="004B7AD6">
        <w:rPr>
          <w:rtl/>
        </w:rPr>
        <w:t xml:space="preserve"> وعلاوة على ذلك، لم تقدم الدولة الطرف معلومات تسمح با</w:t>
      </w:r>
      <w:r w:rsidRPr="004B7AD6">
        <w:rPr>
          <w:rFonts w:hint="cs"/>
          <w:rtl/>
        </w:rPr>
        <w:t xml:space="preserve">ستنتاج وجود </w:t>
      </w:r>
      <w:r w:rsidRPr="004B7AD6">
        <w:rPr>
          <w:rtl/>
        </w:rPr>
        <w:t>سبيل انتصاف فعال ومتاح</w:t>
      </w:r>
      <w:r w:rsidRPr="004B7AD6">
        <w:rPr>
          <w:rFonts w:hint="cs"/>
          <w:rtl/>
        </w:rPr>
        <w:t xml:space="preserve"> في الوقت الذي يستمر فيه العمل ب</w:t>
      </w:r>
      <w:r w:rsidRPr="004B7AD6">
        <w:rPr>
          <w:rtl/>
        </w:rPr>
        <w:t>الأمر</w:t>
      </w:r>
      <w:r w:rsidRPr="004B7AD6">
        <w:rPr>
          <w:rFonts w:hint="cs"/>
          <w:rtl/>
        </w:rPr>
        <w:t xml:space="preserve"> رقم</w:t>
      </w:r>
      <w:r w:rsidRPr="004B7AD6">
        <w:rPr>
          <w:rtl/>
        </w:rPr>
        <w:t xml:space="preserve"> 06-01 رغم توصيات اللجنة </w:t>
      </w:r>
      <w:r w:rsidRPr="004B7AD6">
        <w:rPr>
          <w:rFonts w:hint="cs"/>
          <w:rtl/>
        </w:rPr>
        <w:t>ب</w:t>
      </w:r>
      <w:r w:rsidRPr="004B7AD6">
        <w:rPr>
          <w:rtl/>
        </w:rPr>
        <w:t>جعل أحكام</w:t>
      </w:r>
      <w:r w:rsidRPr="004B7AD6">
        <w:rPr>
          <w:rFonts w:hint="cs"/>
          <w:rtl/>
        </w:rPr>
        <w:t>ه</w:t>
      </w:r>
      <w:r w:rsidRPr="004B7AD6">
        <w:rPr>
          <w:rtl/>
        </w:rPr>
        <w:t xml:space="preserve"> </w:t>
      </w:r>
      <w:r w:rsidRPr="004B7AD6">
        <w:rPr>
          <w:rFonts w:hint="cs"/>
          <w:rtl/>
        </w:rPr>
        <w:t>متماشية</w:t>
      </w:r>
      <w:r w:rsidRPr="004B7AD6">
        <w:rPr>
          <w:rtl/>
        </w:rPr>
        <w:t xml:space="preserve"> مع أحكام العهد</w:t>
      </w:r>
      <w:r w:rsidRPr="00C678F3">
        <w:rPr>
          <w:vertAlign w:val="superscript"/>
          <w:rtl/>
        </w:rPr>
        <w:footnoteReference w:customMarkFollows="1" w:id="15"/>
        <w:t>(14)</w:t>
      </w:r>
      <w:r w:rsidRPr="004B7AD6">
        <w:rPr>
          <w:rtl/>
        </w:rPr>
        <w:t>.</w:t>
      </w:r>
      <w:r w:rsidR="009A1B89">
        <w:rPr>
          <w:rFonts w:hint="cs"/>
          <w:rtl/>
        </w:rPr>
        <w:t xml:space="preserve"> </w:t>
      </w:r>
      <w:r w:rsidRPr="004B7AD6">
        <w:rPr>
          <w:rtl/>
        </w:rPr>
        <w:t xml:space="preserve">وعليه، تخلص اللجنة إلى أن الفقرة 2(ب) من المادة 5 من البروتوكول الاختياري لا تشكل </w:t>
      </w:r>
      <w:r w:rsidRPr="004B7AD6">
        <w:rPr>
          <w:rFonts w:hint="cs"/>
          <w:rtl/>
        </w:rPr>
        <w:t>عائقاً</w:t>
      </w:r>
      <w:r w:rsidRPr="004B7AD6">
        <w:rPr>
          <w:rtl/>
        </w:rPr>
        <w:t xml:space="preserve"> أمام مقبولية البلاغ</w:t>
      </w:r>
      <w:r w:rsidRPr="004B7AD6">
        <w:rPr>
          <w:rFonts w:hint="cs"/>
          <w:rtl/>
        </w:rPr>
        <w:t>.</w:t>
      </w:r>
      <w:r w:rsidRPr="004B7AD6">
        <w:rPr>
          <w:rtl/>
        </w:rPr>
        <w:t xml:space="preserve"> </w:t>
      </w:r>
    </w:p>
    <w:p w:rsidR="004B7AD6" w:rsidRPr="004B7AD6" w:rsidRDefault="004B7AD6" w:rsidP="004B7AD6">
      <w:pPr>
        <w:pStyle w:val="SingleTxtGA"/>
        <w:rPr>
          <w:rtl/>
        </w:rPr>
      </w:pPr>
      <w:r w:rsidRPr="004B7AD6">
        <w:rPr>
          <w:rFonts w:hint="cs"/>
          <w:rtl/>
        </w:rPr>
        <w:t>6-4</w:t>
      </w:r>
      <w:r w:rsidRPr="004B7AD6">
        <w:rPr>
          <w:rFonts w:hint="cs"/>
          <w:rtl/>
        </w:rPr>
        <w:tab/>
      </w:r>
      <w:r w:rsidRPr="004B7AD6">
        <w:rPr>
          <w:rtl/>
        </w:rPr>
        <w:t>وترى اللجنة أن صاحب</w:t>
      </w:r>
      <w:r w:rsidRPr="004B7AD6">
        <w:rPr>
          <w:rFonts w:hint="cs"/>
          <w:rtl/>
        </w:rPr>
        <w:t>ة</w:t>
      </w:r>
      <w:r w:rsidRPr="004B7AD6">
        <w:rPr>
          <w:rtl/>
        </w:rPr>
        <w:t xml:space="preserve"> البلاغ عللت ادعاءاته</w:t>
      </w:r>
      <w:r w:rsidRPr="004B7AD6">
        <w:rPr>
          <w:rFonts w:hint="cs"/>
          <w:rtl/>
        </w:rPr>
        <w:t>ا</w:t>
      </w:r>
      <w:r w:rsidRPr="004B7AD6">
        <w:rPr>
          <w:rtl/>
        </w:rPr>
        <w:t xml:space="preserve"> </w:t>
      </w:r>
      <w:r w:rsidRPr="004B7AD6">
        <w:rPr>
          <w:rFonts w:hint="cs"/>
          <w:rtl/>
        </w:rPr>
        <w:t>تعليلاً كافياً</w:t>
      </w:r>
      <w:r w:rsidRPr="004B7AD6">
        <w:rPr>
          <w:rtl/>
        </w:rPr>
        <w:t xml:space="preserve"> من حيث إن هذه</w:t>
      </w:r>
      <w:r w:rsidRPr="004B7AD6">
        <w:rPr>
          <w:rFonts w:hint="cs"/>
          <w:rtl/>
        </w:rPr>
        <w:t> </w:t>
      </w:r>
      <w:r w:rsidRPr="004B7AD6">
        <w:rPr>
          <w:rtl/>
        </w:rPr>
        <w:t>الادعاءات تثير مسائل تتعلق</w:t>
      </w:r>
      <w:r w:rsidRPr="004B7AD6">
        <w:rPr>
          <w:rFonts w:hint="cs"/>
          <w:rtl/>
        </w:rPr>
        <w:t xml:space="preserve"> ب</w:t>
      </w:r>
      <w:r w:rsidRPr="004B7AD6">
        <w:rPr>
          <w:rtl/>
        </w:rPr>
        <w:t>الم</w:t>
      </w:r>
      <w:r w:rsidRPr="004B7AD6">
        <w:rPr>
          <w:rFonts w:hint="cs"/>
          <w:rtl/>
        </w:rPr>
        <w:t>وا</w:t>
      </w:r>
      <w:r w:rsidRPr="004B7AD6">
        <w:rPr>
          <w:rtl/>
        </w:rPr>
        <w:t>د 6</w:t>
      </w:r>
      <w:r w:rsidRPr="004B7AD6">
        <w:rPr>
          <w:rFonts w:hint="cs"/>
          <w:rtl/>
        </w:rPr>
        <w:t xml:space="preserve"> (</w:t>
      </w:r>
      <w:r w:rsidRPr="004B7AD6">
        <w:rPr>
          <w:rtl/>
        </w:rPr>
        <w:t>الفقرة 1</w:t>
      </w:r>
      <w:r w:rsidRPr="004B7AD6">
        <w:rPr>
          <w:rFonts w:hint="cs"/>
          <w:rtl/>
        </w:rPr>
        <w:t xml:space="preserve">) و7 و9 و10 (الفقرة 1) و16 و23، مقروءة بمفردها وبالاقتران مع المادة 2 (الفقرة 3) من العهد. ولكن اللجنة تلاحظ أن صاحبة البلاغ لم تقدم إلى سلطات الدولة الطرف طلباً للحصول على تعويض عن الضرر الناجم عن احتجاز ابنها التعسفي أو غير القانوني، وأن الانتهاك المزعوم للمادة 9 (الفقرة 5) ليس بالتالي مقبولاً. ومن ثم، </w:t>
      </w:r>
      <w:r w:rsidRPr="004B7AD6">
        <w:rPr>
          <w:rtl/>
        </w:rPr>
        <w:t>تنتقل اللجنة</w:t>
      </w:r>
      <w:r w:rsidRPr="004B7AD6">
        <w:rPr>
          <w:rFonts w:hint="cs"/>
          <w:rtl/>
        </w:rPr>
        <w:t xml:space="preserve"> </w:t>
      </w:r>
      <w:r w:rsidRPr="004B7AD6">
        <w:rPr>
          <w:rtl/>
        </w:rPr>
        <w:t>إلى النظر في</w:t>
      </w:r>
      <w:r w:rsidRPr="004B7AD6">
        <w:rPr>
          <w:rFonts w:hint="cs"/>
          <w:rtl/>
        </w:rPr>
        <w:t xml:space="preserve"> البلاغ بالاستناد إلى</w:t>
      </w:r>
      <w:r w:rsidRPr="004B7AD6">
        <w:rPr>
          <w:rtl/>
        </w:rPr>
        <w:t xml:space="preserve"> الأسس الموضوعية</w:t>
      </w:r>
      <w:r w:rsidRPr="004B7AD6">
        <w:rPr>
          <w:rFonts w:hint="cs"/>
          <w:rtl/>
        </w:rPr>
        <w:t xml:space="preserve"> فيما يتعلق بالانتهاكات المزعومة للمواد 2 (الفقرة 3) و6 (الفقرة 1) و7 و9 و10 (الفقرة 1) و16 و23 من العهد.</w:t>
      </w:r>
    </w:p>
    <w:p w:rsidR="004B7AD6" w:rsidRPr="004B7AD6" w:rsidRDefault="004B7AD6" w:rsidP="00C678F3">
      <w:pPr>
        <w:pStyle w:val="H4GA"/>
        <w:rPr>
          <w:rtl/>
        </w:rPr>
      </w:pPr>
      <w:r w:rsidRPr="004B7AD6">
        <w:rPr>
          <w:rFonts w:hint="cs"/>
          <w:rtl/>
        </w:rPr>
        <w:tab/>
      </w:r>
      <w:r w:rsidRPr="004B7AD6">
        <w:rPr>
          <w:rFonts w:hint="cs"/>
          <w:rtl/>
        </w:rPr>
        <w:tab/>
      </w:r>
      <w:r w:rsidRPr="004B7AD6">
        <w:rPr>
          <w:rtl/>
        </w:rPr>
        <w:t>النظر في الأسس الموضوعية</w:t>
      </w:r>
    </w:p>
    <w:p w:rsidR="004B7AD6" w:rsidRPr="004B7AD6" w:rsidRDefault="004B7AD6" w:rsidP="004B7AD6">
      <w:pPr>
        <w:pStyle w:val="SingleTxtGA"/>
        <w:rPr>
          <w:rtl/>
        </w:rPr>
      </w:pPr>
      <w:r w:rsidRPr="004B7AD6">
        <w:rPr>
          <w:rFonts w:hint="cs"/>
          <w:rtl/>
        </w:rPr>
        <w:t>7-1</w:t>
      </w:r>
      <w:r w:rsidRPr="004B7AD6">
        <w:rPr>
          <w:rFonts w:hint="cs"/>
          <w:rtl/>
        </w:rPr>
        <w:tab/>
      </w:r>
      <w:r w:rsidRPr="004B7AD6">
        <w:rPr>
          <w:rtl/>
        </w:rPr>
        <w:t>نظرت اللجنة المعنية بحقوق الإنسان في هذا البلاغ آخذة في الحسبان جميع المعلومات التي قدمها الطرفان، وفقاً للفقرة 1 من المادة 5 من البروتوكول الاختياري.</w:t>
      </w:r>
    </w:p>
    <w:p w:rsidR="004B7AD6" w:rsidRPr="004B7AD6" w:rsidRDefault="004B7AD6" w:rsidP="004B7AD6">
      <w:pPr>
        <w:pStyle w:val="SingleTxtGA"/>
        <w:rPr>
          <w:rtl/>
        </w:rPr>
      </w:pPr>
      <w:r w:rsidRPr="004B7AD6">
        <w:rPr>
          <w:rFonts w:hint="cs"/>
          <w:rtl/>
        </w:rPr>
        <w:t>7-2</w:t>
      </w:r>
      <w:r w:rsidRPr="004B7AD6">
        <w:rPr>
          <w:rFonts w:hint="cs"/>
          <w:rtl/>
        </w:rPr>
        <w:tab/>
        <w:t>ولم تقدّم</w:t>
      </w:r>
      <w:r w:rsidRPr="004B7AD6">
        <w:rPr>
          <w:rtl/>
        </w:rPr>
        <w:t xml:space="preserve"> الدولة الطرف </w:t>
      </w:r>
      <w:r w:rsidRPr="004B7AD6">
        <w:rPr>
          <w:rFonts w:hint="cs"/>
          <w:rtl/>
        </w:rPr>
        <w:t xml:space="preserve">أي </w:t>
      </w:r>
      <w:r w:rsidRPr="004B7AD6">
        <w:rPr>
          <w:rtl/>
        </w:rPr>
        <w:t>ملاحظات</w:t>
      </w:r>
      <w:r w:rsidRPr="004B7AD6">
        <w:rPr>
          <w:rFonts w:hint="cs"/>
          <w:rtl/>
        </w:rPr>
        <w:t xml:space="preserve"> وإنما </w:t>
      </w:r>
      <w:r w:rsidRPr="004B7AD6">
        <w:rPr>
          <w:rtl/>
        </w:rPr>
        <w:t xml:space="preserve">اكتفت </w:t>
      </w:r>
      <w:r w:rsidRPr="004B7AD6">
        <w:rPr>
          <w:rFonts w:hint="cs"/>
          <w:rtl/>
        </w:rPr>
        <w:t xml:space="preserve">بالإحالة إلى مذكرتها المرجعية ومذكرتها الإضافية المعروضتين بوصفهما ملاحظات على مقبولية مختلف البلاغات الفردية المقدَّمة ضدّ الدولة الطرف في حالات اختفاء قسري وقعت خلال "المأساة الوطنية". </w:t>
      </w:r>
      <w:r w:rsidRPr="004B7AD6">
        <w:rPr>
          <w:rtl/>
        </w:rPr>
        <w:t>وت</w:t>
      </w:r>
      <w:r w:rsidRPr="004B7AD6">
        <w:rPr>
          <w:rFonts w:hint="cs"/>
          <w:rtl/>
        </w:rPr>
        <w:t>حيل</w:t>
      </w:r>
      <w:r w:rsidRPr="004B7AD6">
        <w:rPr>
          <w:rtl/>
        </w:rPr>
        <w:t xml:space="preserve"> </w:t>
      </w:r>
      <w:r w:rsidRPr="004B7AD6">
        <w:rPr>
          <w:rtl/>
        </w:rPr>
        <w:lastRenderedPageBreak/>
        <w:t>اللجنة</w:t>
      </w:r>
      <w:r w:rsidRPr="004B7AD6">
        <w:rPr>
          <w:rFonts w:hint="cs"/>
          <w:rtl/>
        </w:rPr>
        <w:t xml:space="preserve"> إلى اجتهاداتها</w:t>
      </w:r>
      <w:r w:rsidRPr="004B7AD6">
        <w:rPr>
          <w:rtl/>
        </w:rPr>
        <w:t xml:space="preserve"> السابقة</w:t>
      </w:r>
      <w:r w:rsidRPr="0070710B">
        <w:rPr>
          <w:vertAlign w:val="superscript"/>
          <w:rtl/>
        </w:rPr>
        <w:footnoteReference w:customMarkFollows="1" w:id="16"/>
        <w:t>(15)</w:t>
      </w:r>
      <w:r w:rsidRPr="004B7AD6">
        <w:rPr>
          <w:rFonts w:hint="cs"/>
          <w:rtl/>
        </w:rPr>
        <w:t xml:space="preserve"> وتذكّر</w:t>
      </w:r>
      <w:r w:rsidRPr="004B7AD6">
        <w:rPr>
          <w:rtl/>
        </w:rPr>
        <w:t xml:space="preserve"> </w:t>
      </w:r>
      <w:r w:rsidRPr="004B7AD6">
        <w:rPr>
          <w:rFonts w:hint="cs"/>
          <w:rtl/>
        </w:rPr>
        <w:t>ب</w:t>
      </w:r>
      <w:r w:rsidRPr="004B7AD6">
        <w:rPr>
          <w:rtl/>
        </w:rPr>
        <w:t xml:space="preserve">أنه لا يجوز للدولة الطرف أن تحتج بأحكام ميثاق السلم والمصالحة الوطنية ضد أشخاص يحتجون بأحكام العهد أو قدموا بلاغات إلى اللجنة أو يعتزمون تقديمها. </w:t>
      </w:r>
      <w:r w:rsidRPr="004B7AD6">
        <w:rPr>
          <w:rFonts w:hint="cs"/>
          <w:rtl/>
        </w:rPr>
        <w:t>فالعهد يقضي بأن تُعنى الدولة بمصير كل فرد وتعامله بالاحترام الذي يليق بالكرامة الأصيلة في الشخص الإنساني. وترى اللجنة أن الأمر رقم</w:t>
      </w:r>
      <w:r w:rsidR="009E57CB">
        <w:rPr>
          <w:rFonts w:hint="cs"/>
          <w:rtl/>
        </w:rPr>
        <w:t xml:space="preserve"> </w:t>
      </w:r>
      <w:r w:rsidRPr="004B7AD6">
        <w:rPr>
          <w:rFonts w:hint="cs"/>
          <w:rtl/>
        </w:rPr>
        <w:t>06-01 يعزز في الحالة قيد البحث الإفلات من العقاب ما لم تُدخل عليه الدولة الطرف التعديلات التي أوصت بها</w:t>
      </w:r>
      <w:r w:rsidR="00C678F3">
        <w:rPr>
          <w:rFonts w:hint="cs"/>
          <w:rtl/>
        </w:rPr>
        <w:t xml:space="preserve"> </w:t>
      </w:r>
      <w:r w:rsidRPr="004B7AD6">
        <w:rPr>
          <w:rFonts w:hint="cs"/>
          <w:rtl/>
        </w:rPr>
        <w:t>اللجنة، وبالتالي لا يمكن اعتباره،</w:t>
      </w:r>
      <w:r w:rsidRPr="004B7AD6">
        <w:rPr>
          <w:rtl/>
        </w:rPr>
        <w:t xml:space="preserve"> بصيغته الحالية</w:t>
      </w:r>
      <w:r w:rsidRPr="004B7AD6">
        <w:rPr>
          <w:rFonts w:hint="cs"/>
          <w:rtl/>
        </w:rPr>
        <w:t>، متوافقاً مع أحكام العهد.</w:t>
      </w:r>
    </w:p>
    <w:p w:rsidR="004B7AD6" w:rsidRPr="004B7AD6" w:rsidRDefault="004B7AD6" w:rsidP="004B7AD6">
      <w:pPr>
        <w:pStyle w:val="SingleTxtGA"/>
        <w:rPr>
          <w:rtl/>
        </w:rPr>
      </w:pPr>
      <w:r w:rsidRPr="004B7AD6">
        <w:rPr>
          <w:rFonts w:hint="cs"/>
          <w:rtl/>
        </w:rPr>
        <w:t>7-3</w:t>
      </w:r>
      <w:r w:rsidRPr="004B7AD6">
        <w:rPr>
          <w:rFonts w:hint="cs"/>
          <w:rtl/>
        </w:rPr>
        <w:tab/>
      </w:r>
      <w:r w:rsidRPr="004B7AD6">
        <w:rPr>
          <w:rtl/>
        </w:rPr>
        <w:t xml:space="preserve">وتلاحظ </w:t>
      </w:r>
      <w:r w:rsidRPr="004B7AD6">
        <w:rPr>
          <w:rFonts w:hint="cs"/>
          <w:rtl/>
        </w:rPr>
        <w:t xml:space="preserve">اللجنة </w:t>
      </w:r>
      <w:r w:rsidRPr="004B7AD6">
        <w:rPr>
          <w:rtl/>
        </w:rPr>
        <w:t>أن الدولة الطرف لم ترد على ادعاءات صاحبة البلاغ بشأن الأسس الموضوعية وتذك</w:t>
      </w:r>
      <w:r w:rsidRPr="004B7AD6">
        <w:rPr>
          <w:rFonts w:hint="cs"/>
          <w:rtl/>
        </w:rPr>
        <w:t>ّ</w:t>
      </w:r>
      <w:r w:rsidRPr="004B7AD6">
        <w:rPr>
          <w:rtl/>
        </w:rPr>
        <w:t xml:space="preserve">ر </w:t>
      </w:r>
      <w:r w:rsidRPr="004B7AD6">
        <w:rPr>
          <w:rFonts w:hint="cs"/>
          <w:rtl/>
        </w:rPr>
        <w:t>باجتهاداتها السابقة</w:t>
      </w:r>
      <w:r w:rsidRPr="004B7AD6">
        <w:rPr>
          <w:rtl/>
        </w:rPr>
        <w:t xml:space="preserve"> التي قالت فيها إن عبء الإثبات يجب ألا يقع على عاتق صاحب البلاغ وحده، خاصة أن صاحب البلاغ لا </w:t>
      </w:r>
      <w:r w:rsidRPr="004B7AD6">
        <w:rPr>
          <w:rFonts w:hint="cs"/>
          <w:rtl/>
        </w:rPr>
        <w:t>ي</w:t>
      </w:r>
      <w:r w:rsidRPr="004B7AD6">
        <w:rPr>
          <w:rtl/>
        </w:rPr>
        <w:t>تساوى دائماً مع الدولة الطرف في إمكانية الحصول على عناصر الإثبات وأن المعلومات اللازمة تكون في أغلب الأحيان في حيازة الدولة الطرف فقط</w:t>
      </w:r>
      <w:r w:rsidRPr="00C30608">
        <w:rPr>
          <w:vertAlign w:val="superscript"/>
          <w:rtl/>
        </w:rPr>
        <w:footnoteReference w:customMarkFollows="1" w:id="17"/>
        <w:t>(16)</w:t>
      </w:r>
      <w:r w:rsidRPr="004B7AD6">
        <w:rPr>
          <w:rtl/>
        </w:rPr>
        <w:t>. وتشير الفقرة 2 من المادة 4 من البروتوكول الاختياري إلى أنه يجب على الدولة الطرف أن تحقق بحسن نية في جميع الادعاءات الواردة بشأن انتهاكها وانتهاك ممثليها أحكام العهد وأن تحيل المعلومات التي تكون في ح</w:t>
      </w:r>
      <w:r w:rsidRPr="004B7AD6">
        <w:rPr>
          <w:rFonts w:hint="cs"/>
          <w:rtl/>
        </w:rPr>
        <w:t>و</w:t>
      </w:r>
      <w:r w:rsidRPr="004B7AD6">
        <w:rPr>
          <w:rtl/>
        </w:rPr>
        <w:t>زتها إلى اللجنة</w:t>
      </w:r>
      <w:r w:rsidRPr="00C30608">
        <w:rPr>
          <w:vertAlign w:val="superscript"/>
          <w:rtl/>
        </w:rPr>
        <w:footnoteReference w:customMarkFollows="1" w:id="18"/>
        <w:t>(17)</w:t>
      </w:r>
      <w:r w:rsidRPr="004B7AD6">
        <w:rPr>
          <w:rtl/>
        </w:rPr>
        <w:t xml:space="preserve">. ونظراً إلى عدم تقديم الدولة الطرف أي توضيح بهذا الخصوص، لا بد من إيلاء ادعاءات صاحبة البلاغ الاهتمام الواجب شريطة أن تكون معللة </w:t>
      </w:r>
      <w:r w:rsidRPr="004B7AD6">
        <w:rPr>
          <w:rFonts w:hint="cs"/>
          <w:rtl/>
        </w:rPr>
        <w:t>تعليلاً كافياً</w:t>
      </w:r>
      <w:r w:rsidRPr="004B7AD6">
        <w:rPr>
          <w:rtl/>
        </w:rPr>
        <w:t>.</w:t>
      </w:r>
    </w:p>
    <w:p w:rsidR="004B7AD6" w:rsidRPr="004B7AD6" w:rsidRDefault="004B7AD6" w:rsidP="004B7AD6">
      <w:pPr>
        <w:pStyle w:val="SingleTxtGA"/>
        <w:rPr>
          <w:rtl/>
        </w:rPr>
      </w:pPr>
      <w:r w:rsidRPr="004B7AD6">
        <w:rPr>
          <w:rFonts w:hint="cs"/>
          <w:rtl/>
        </w:rPr>
        <w:t>7-4</w:t>
      </w:r>
      <w:r w:rsidRPr="004B7AD6">
        <w:rPr>
          <w:rFonts w:hint="cs"/>
          <w:rtl/>
        </w:rPr>
        <w:tab/>
      </w:r>
      <w:r w:rsidRPr="004B7AD6">
        <w:rPr>
          <w:rtl/>
        </w:rPr>
        <w:t>و</w:t>
      </w:r>
      <w:r w:rsidRPr="004B7AD6">
        <w:rPr>
          <w:rFonts w:hint="cs"/>
          <w:rtl/>
        </w:rPr>
        <w:t xml:space="preserve">تلاحظ اللجنة أن صاحبة البلاغ تؤكد أن ابنها، حسن العدي، قد أوقف أمام شهود في مكان عمله على يد عناصر من الشرطة التابعة لمركز قيادة العمليات في </w:t>
      </w:r>
      <w:proofErr w:type="spellStart"/>
      <w:r w:rsidRPr="004B7AD6">
        <w:rPr>
          <w:rFonts w:hint="cs"/>
          <w:rtl/>
        </w:rPr>
        <w:t>شاطوناف</w:t>
      </w:r>
      <w:proofErr w:type="spellEnd"/>
      <w:r w:rsidRPr="004B7AD6">
        <w:rPr>
          <w:rFonts w:hint="cs"/>
          <w:rtl/>
        </w:rPr>
        <w:t xml:space="preserve"> في 9 نيسان/أبريل 1995 صباحاً وأنه قد اختفى منذ ذلك اليوم. وتلاحظ اللجنة أن ثمة شهود أفادوا بأن حسن العدي احتُجز في مكان سري في مركز قيادة العمليات في </w:t>
      </w:r>
      <w:proofErr w:type="spellStart"/>
      <w:r w:rsidRPr="004B7AD6">
        <w:rPr>
          <w:rFonts w:hint="cs"/>
          <w:rtl/>
        </w:rPr>
        <w:t>شاطوناف</w:t>
      </w:r>
      <w:proofErr w:type="spellEnd"/>
      <w:r w:rsidRPr="004B7AD6">
        <w:rPr>
          <w:rFonts w:hint="cs"/>
          <w:rtl/>
        </w:rPr>
        <w:t xml:space="preserve"> خلال بضعة شهور قبل أن يختفي نهائياً في 18 تشرين الثاني/نوفمبر 1995. وتلاحظ اللجنة أن الدولة الطرف لم تقدّم أي معلومات تسمح بالكشف عما حدث له عندما كان موضوعاً في عهدتها. و</w:t>
      </w:r>
      <w:r w:rsidRPr="004B7AD6">
        <w:rPr>
          <w:rtl/>
        </w:rPr>
        <w:t xml:space="preserve">تذكّر اللجنة، فيما يتعلق بحالات الاختفاء القسري، </w:t>
      </w:r>
      <w:r w:rsidRPr="004B7AD6">
        <w:rPr>
          <w:rFonts w:hint="cs"/>
          <w:rtl/>
        </w:rPr>
        <w:t>بأن</w:t>
      </w:r>
      <w:r w:rsidRPr="004B7AD6">
        <w:rPr>
          <w:rtl/>
        </w:rPr>
        <w:t xml:space="preserve"> الحرمان من الحرية ثم عدم الإقرار </w:t>
      </w:r>
      <w:r w:rsidRPr="004B7AD6">
        <w:rPr>
          <w:rFonts w:hint="cs"/>
          <w:rtl/>
        </w:rPr>
        <w:t xml:space="preserve">به </w:t>
      </w:r>
      <w:r w:rsidRPr="004B7AD6">
        <w:rPr>
          <w:rtl/>
        </w:rPr>
        <w:t>أو عدم الكشف عن مصير الشخص المختفي يحرم هذا الشخص من حماية القانون ويعرض حياته لخطر جسيم ودائم تعتبر الدولة مسؤولة عنه</w:t>
      </w:r>
      <w:r w:rsidRPr="004B7AD6">
        <w:rPr>
          <w:rFonts w:hint="cs"/>
          <w:rtl/>
        </w:rPr>
        <w:t>. و</w:t>
      </w:r>
      <w:r w:rsidRPr="004B7AD6">
        <w:rPr>
          <w:rtl/>
        </w:rPr>
        <w:t xml:space="preserve">في الحالة قيد </w:t>
      </w:r>
      <w:r w:rsidRPr="004B7AD6">
        <w:rPr>
          <w:rFonts w:hint="cs"/>
          <w:rtl/>
        </w:rPr>
        <w:t>البحث</w:t>
      </w:r>
      <w:r w:rsidRPr="004B7AD6">
        <w:rPr>
          <w:rtl/>
        </w:rPr>
        <w:t xml:space="preserve">، تلاحظ اللجنة أن الدولة الطرف لم تقدم أية معلومات تفيد بأنها </w:t>
      </w:r>
      <w:r w:rsidRPr="004B7AD6">
        <w:rPr>
          <w:rFonts w:hint="cs"/>
          <w:rtl/>
        </w:rPr>
        <w:t>وفت</w:t>
      </w:r>
      <w:r w:rsidRPr="004B7AD6">
        <w:rPr>
          <w:rtl/>
        </w:rPr>
        <w:t xml:space="preserve"> بالتزامها المتمثل في حماية حياة</w:t>
      </w:r>
      <w:r w:rsidRPr="004B7AD6">
        <w:rPr>
          <w:rFonts w:hint="cs"/>
          <w:rtl/>
        </w:rPr>
        <w:t xml:space="preserve"> </w:t>
      </w:r>
      <w:r w:rsidRPr="004B7AD6">
        <w:rPr>
          <w:rFonts w:hint="cs"/>
          <w:rtl/>
        </w:rPr>
        <w:lastRenderedPageBreak/>
        <w:t xml:space="preserve">حسن العدي. </w:t>
      </w:r>
      <w:r w:rsidRPr="004B7AD6">
        <w:rPr>
          <w:rtl/>
        </w:rPr>
        <w:t>و</w:t>
      </w:r>
      <w:r w:rsidRPr="004B7AD6">
        <w:rPr>
          <w:rFonts w:hint="cs"/>
          <w:rtl/>
        </w:rPr>
        <w:t xml:space="preserve">عليه، </w:t>
      </w:r>
      <w:r w:rsidRPr="004B7AD6">
        <w:rPr>
          <w:rtl/>
        </w:rPr>
        <w:t xml:space="preserve">تخلص اللجنة إلى أن الدولة الطرف أخلت بواجبها </w:t>
      </w:r>
      <w:r w:rsidRPr="004B7AD6">
        <w:rPr>
          <w:rFonts w:hint="cs"/>
          <w:rtl/>
        </w:rPr>
        <w:t>حماية حياة حسن</w:t>
      </w:r>
      <w:r w:rsidRPr="004B7AD6">
        <w:rPr>
          <w:rtl/>
        </w:rPr>
        <w:t xml:space="preserve"> </w:t>
      </w:r>
      <w:r w:rsidRPr="004B7AD6">
        <w:rPr>
          <w:rFonts w:hint="cs"/>
          <w:rtl/>
        </w:rPr>
        <w:t>العدي منتهكةً بذلك الفقرة 1 من</w:t>
      </w:r>
      <w:r w:rsidRPr="004B7AD6">
        <w:rPr>
          <w:rtl/>
        </w:rPr>
        <w:t xml:space="preserve"> </w:t>
      </w:r>
      <w:r w:rsidRPr="004B7AD6">
        <w:rPr>
          <w:rFonts w:hint="cs"/>
          <w:rtl/>
        </w:rPr>
        <w:t>ا</w:t>
      </w:r>
      <w:r w:rsidRPr="004B7AD6">
        <w:rPr>
          <w:rtl/>
        </w:rPr>
        <w:t>لمادة 6 من العهد</w:t>
      </w:r>
      <w:r w:rsidRPr="00C30608">
        <w:rPr>
          <w:vertAlign w:val="superscript"/>
          <w:rtl/>
        </w:rPr>
        <w:footnoteReference w:customMarkFollows="1" w:id="19"/>
        <w:t>(18)</w:t>
      </w:r>
      <w:r w:rsidRPr="004B7AD6">
        <w:rPr>
          <w:rtl/>
        </w:rPr>
        <w:t>.</w:t>
      </w:r>
    </w:p>
    <w:p w:rsidR="004B7AD6" w:rsidRPr="004B7AD6" w:rsidRDefault="004B7AD6" w:rsidP="00C30608">
      <w:pPr>
        <w:pStyle w:val="SingleTxtGA"/>
        <w:rPr>
          <w:rtl/>
        </w:rPr>
      </w:pPr>
      <w:r w:rsidRPr="004B7AD6">
        <w:rPr>
          <w:rFonts w:hint="cs"/>
          <w:rtl/>
        </w:rPr>
        <w:t>7-5</w:t>
      </w:r>
      <w:r w:rsidRPr="004B7AD6">
        <w:rPr>
          <w:rFonts w:hint="cs"/>
          <w:rtl/>
        </w:rPr>
        <w:tab/>
      </w:r>
      <w:r w:rsidRPr="004B7AD6">
        <w:rPr>
          <w:rtl/>
        </w:rPr>
        <w:t xml:space="preserve">وتقر اللجنة </w:t>
      </w:r>
      <w:r w:rsidRPr="004B7AD6">
        <w:rPr>
          <w:rFonts w:hint="cs"/>
          <w:rtl/>
        </w:rPr>
        <w:t>بمدى المعاناة التي يسببها</w:t>
      </w:r>
      <w:r w:rsidRPr="004B7AD6">
        <w:rPr>
          <w:rtl/>
        </w:rPr>
        <w:t xml:space="preserve"> </w:t>
      </w:r>
      <w:r w:rsidRPr="004B7AD6">
        <w:rPr>
          <w:rFonts w:hint="cs"/>
          <w:rtl/>
        </w:rPr>
        <w:t>الاحتجاز</w:t>
      </w:r>
      <w:r w:rsidRPr="004B7AD6">
        <w:rPr>
          <w:rtl/>
        </w:rPr>
        <w:t xml:space="preserve"> دون تواصل مع العالم الخارجي طوال مدة غير محددة</w:t>
      </w:r>
      <w:r w:rsidRPr="004B7AD6">
        <w:rPr>
          <w:rFonts w:hint="cs"/>
          <w:rtl/>
        </w:rPr>
        <w:t>.</w:t>
      </w:r>
      <w:r w:rsidRPr="004B7AD6">
        <w:rPr>
          <w:rtl/>
        </w:rPr>
        <w:t xml:space="preserve"> وتذك</w:t>
      </w:r>
      <w:r w:rsidRPr="004B7AD6">
        <w:rPr>
          <w:rFonts w:hint="cs"/>
          <w:rtl/>
        </w:rPr>
        <w:t>ّ</w:t>
      </w:r>
      <w:r w:rsidRPr="004B7AD6">
        <w:rPr>
          <w:rtl/>
        </w:rPr>
        <w:t>ر بتعليقها العام رقم 20</w:t>
      </w:r>
      <w:r w:rsidRPr="004B7AD6">
        <w:rPr>
          <w:rFonts w:hint="cs"/>
          <w:rtl/>
        </w:rPr>
        <w:t>(1992) بشأن</w:t>
      </w:r>
      <w:r w:rsidRPr="004B7AD6">
        <w:rPr>
          <w:rtl/>
        </w:rPr>
        <w:t xml:space="preserve"> حظـر التعذيب وغيره من ضروب المعاملـة أو العقوبة القاسيـة أو</w:t>
      </w:r>
      <w:r w:rsidRPr="004B7AD6">
        <w:rPr>
          <w:rFonts w:hint="cs"/>
          <w:rtl/>
        </w:rPr>
        <w:t xml:space="preserve"> </w:t>
      </w:r>
      <w:r w:rsidRPr="004B7AD6">
        <w:rPr>
          <w:rtl/>
        </w:rPr>
        <w:t>اللاإنسانية أو المهينة</w:t>
      </w:r>
      <w:r w:rsidRPr="004B7AD6">
        <w:rPr>
          <w:rFonts w:hint="cs"/>
          <w:rtl/>
        </w:rPr>
        <w:t>، الذي</w:t>
      </w:r>
      <w:r w:rsidRPr="004B7AD6">
        <w:rPr>
          <w:rtl/>
        </w:rPr>
        <w:t xml:space="preserve"> أوصت </w:t>
      </w:r>
      <w:r w:rsidRPr="004B7AD6">
        <w:rPr>
          <w:rFonts w:hint="cs"/>
          <w:rtl/>
        </w:rPr>
        <w:t xml:space="preserve">فيه </w:t>
      </w:r>
      <w:r w:rsidRPr="004B7AD6">
        <w:rPr>
          <w:rtl/>
        </w:rPr>
        <w:t xml:space="preserve">الدول الأطراف باتخاذ التدابير اللازمة لمنع </w:t>
      </w:r>
      <w:r w:rsidRPr="004B7AD6">
        <w:rPr>
          <w:rFonts w:hint="cs"/>
          <w:rtl/>
        </w:rPr>
        <w:t>الاحتجاز</w:t>
      </w:r>
      <w:r w:rsidRPr="004B7AD6">
        <w:rPr>
          <w:rtl/>
        </w:rPr>
        <w:t xml:space="preserve"> في أماكن سرية. وتلاحظ </w:t>
      </w:r>
      <w:r w:rsidRPr="004B7AD6">
        <w:rPr>
          <w:rFonts w:hint="cs"/>
          <w:rtl/>
        </w:rPr>
        <w:t>اللجنة</w:t>
      </w:r>
      <w:r w:rsidRPr="004B7AD6">
        <w:rPr>
          <w:rtl/>
        </w:rPr>
        <w:t xml:space="preserve"> </w:t>
      </w:r>
      <w:r w:rsidRPr="004B7AD6">
        <w:rPr>
          <w:rFonts w:hint="cs"/>
          <w:rtl/>
        </w:rPr>
        <w:t xml:space="preserve">في الحالة قيد البحث </w:t>
      </w:r>
      <w:r w:rsidRPr="004B7AD6">
        <w:rPr>
          <w:rtl/>
        </w:rPr>
        <w:t>أن</w:t>
      </w:r>
      <w:r w:rsidRPr="004B7AD6">
        <w:rPr>
          <w:rFonts w:hint="cs"/>
          <w:rtl/>
        </w:rPr>
        <w:t xml:space="preserve"> حسن العدي قد أوقف في 9 نيسان/أبريل 1995 على يد عناصر من الشرطة التابعة لمركز قيادة العمليات في </w:t>
      </w:r>
      <w:proofErr w:type="spellStart"/>
      <w:r w:rsidRPr="004B7AD6">
        <w:rPr>
          <w:rFonts w:hint="cs"/>
          <w:rtl/>
        </w:rPr>
        <w:t>شاطوناف</w:t>
      </w:r>
      <w:proofErr w:type="spellEnd"/>
      <w:r w:rsidRPr="004B7AD6">
        <w:rPr>
          <w:rFonts w:hint="cs"/>
          <w:rtl/>
        </w:rPr>
        <w:t xml:space="preserve"> حيث رآه أحد المحتجزين معه للمرة الأخيرة في 18 تشرين الثاني/</w:t>
      </w:r>
      <w:r w:rsidR="00C30608">
        <w:rPr>
          <w:rFonts w:hint="cs"/>
          <w:rtl/>
        </w:rPr>
        <w:t xml:space="preserve"> </w:t>
      </w:r>
      <w:r w:rsidRPr="004B7AD6">
        <w:rPr>
          <w:rFonts w:hint="cs"/>
          <w:rtl/>
        </w:rPr>
        <w:t>نوفمبر</w:t>
      </w:r>
      <w:r w:rsidR="00C30608">
        <w:rPr>
          <w:rFonts w:hint="eastAsia"/>
          <w:rtl/>
        </w:rPr>
        <w:t> </w:t>
      </w:r>
      <w:r w:rsidRPr="004B7AD6">
        <w:rPr>
          <w:rFonts w:hint="cs"/>
          <w:rtl/>
        </w:rPr>
        <w:t xml:space="preserve">1995 مساءً، وتلاحظ أن مصيره مجهول منذ ذلك الحين. </w:t>
      </w:r>
      <w:r w:rsidRPr="004B7AD6">
        <w:rPr>
          <w:rtl/>
        </w:rPr>
        <w:t xml:space="preserve">ونظراً </w:t>
      </w:r>
      <w:r w:rsidRPr="004B7AD6">
        <w:rPr>
          <w:rFonts w:hint="cs"/>
          <w:rtl/>
        </w:rPr>
        <w:t xml:space="preserve">إلى </w:t>
      </w:r>
      <w:r w:rsidRPr="004B7AD6">
        <w:rPr>
          <w:rtl/>
        </w:rPr>
        <w:t xml:space="preserve">عدم تقديم الدولة الطرف </w:t>
      </w:r>
      <w:r w:rsidRPr="004B7AD6">
        <w:rPr>
          <w:rFonts w:hint="cs"/>
          <w:rtl/>
        </w:rPr>
        <w:t xml:space="preserve">أي </w:t>
      </w:r>
      <w:r w:rsidRPr="004B7AD6">
        <w:rPr>
          <w:rtl/>
        </w:rPr>
        <w:t xml:space="preserve">توضيح وجيه بهذا الخصوص، </w:t>
      </w:r>
      <w:r w:rsidRPr="004B7AD6">
        <w:rPr>
          <w:rFonts w:hint="cs"/>
          <w:rtl/>
        </w:rPr>
        <w:t xml:space="preserve">تخلص </w:t>
      </w:r>
      <w:r w:rsidRPr="004B7AD6">
        <w:rPr>
          <w:rtl/>
        </w:rPr>
        <w:t xml:space="preserve">اللجنة إلى </w:t>
      </w:r>
      <w:r w:rsidRPr="004B7AD6">
        <w:rPr>
          <w:rFonts w:hint="cs"/>
          <w:rtl/>
        </w:rPr>
        <w:t>أن هذا الاختفاء يشكل انتهاكاً ل</w:t>
      </w:r>
      <w:r w:rsidRPr="004B7AD6">
        <w:rPr>
          <w:rtl/>
        </w:rPr>
        <w:t xml:space="preserve">لمادة 7 من العهد في حق </w:t>
      </w:r>
      <w:r w:rsidRPr="004B7AD6">
        <w:rPr>
          <w:rFonts w:hint="cs"/>
          <w:rtl/>
        </w:rPr>
        <w:t>حسن العدي</w:t>
      </w:r>
      <w:r w:rsidRPr="00C30608">
        <w:rPr>
          <w:vertAlign w:val="superscript"/>
          <w:rtl/>
        </w:rPr>
        <w:footnoteReference w:customMarkFollows="1" w:id="20"/>
        <w:t>(19)</w:t>
      </w:r>
      <w:r w:rsidRPr="004B7AD6">
        <w:rPr>
          <w:rFonts w:hint="cs"/>
          <w:rtl/>
        </w:rPr>
        <w:t xml:space="preserve">. </w:t>
      </w:r>
    </w:p>
    <w:p w:rsidR="004B7AD6" w:rsidRPr="004B7AD6" w:rsidRDefault="004B7AD6" w:rsidP="004B7AD6">
      <w:pPr>
        <w:pStyle w:val="SingleTxtGA"/>
        <w:rPr>
          <w:rtl/>
        </w:rPr>
      </w:pPr>
      <w:r w:rsidRPr="004B7AD6">
        <w:rPr>
          <w:rFonts w:hint="cs"/>
          <w:rtl/>
        </w:rPr>
        <w:t>7-6</w:t>
      </w:r>
      <w:r w:rsidRPr="004B7AD6">
        <w:rPr>
          <w:rFonts w:hint="cs"/>
          <w:rtl/>
        </w:rPr>
        <w:tab/>
        <w:t>وتحيط اللجنة علماً كذلك ب</w:t>
      </w:r>
      <w:r w:rsidRPr="004B7AD6">
        <w:rPr>
          <w:rtl/>
        </w:rPr>
        <w:t>ما عان</w:t>
      </w:r>
      <w:r w:rsidRPr="004B7AD6">
        <w:rPr>
          <w:rFonts w:hint="cs"/>
          <w:rtl/>
        </w:rPr>
        <w:t>ت</w:t>
      </w:r>
      <w:r w:rsidRPr="004B7AD6">
        <w:rPr>
          <w:rtl/>
        </w:rPr>
        <w:t>ه صاحب</w:t>
      </w:r>
      <w:r w:rsidRPr="004B7AD6">
        <w:rPr>
          <w:rFonts w:hint="cs"/>
          <w:rtl/>
        </w:rPr>
        <w:t>ة</w:t>
      </w:r>
      <w:r w:rsidRPr="004B7AD6">
        <w:rPr>
          <w:rtl/>
        </w:rPr>
        <w:t xml:space="preserve"> البلاغ </w:t>
      </w:r>
      <w:r w:rsidRPr="004B7AD6">
        <w:rPr>
          <w:rFonts w:hint="cs"/>
          <w:rtl/>
        </w:rPr>
        <w:t xml:space="preserve">وأسرتها </w:t>
      </w:r>
      <w:r w:rsidRPr="004B7AD6">
        <w:rPr>
          <w:rtl/>
        </w:rPr>
        <w:t xml:space="preserve">من قلق </w:t>
      </w:r>
      <w:r w:rsidRPr="004B7AD6">
        <w:rPr>
          <w:rFonts w:hint="cs"/>
          <w:rtl/>
        </w:rPr>
        <w:t>وأسى</w:t>
      </w:r>
      <w:r w:rsidRPr="004B7AD6">
        <w:rPr>
          <w:rtl/>
        </w:rPr>
        <w:t xml:space="preserve"> جراء اختفاء</w:t>
      </w:r>
      <w:r w:rsidRPr="004B7AD6">
        <w:rPr>
          <w:rFonts w:hint="cs"/>
          <w:rtl/>
        </w:rPr>
        <w:t xml:space="preserve"> ابنها، بما في ذلك الارتياب الذي يحيط بمصيره وعدم إجراء تحقيق فعال للكشف عما حدث للمفقود.</w:t>
      </w:r>
      <w:r w:rsidRPr="004B7AD6">
        <w:rPr>
          <w:rtl/>
        </w:rPr>
        <w:t xml:space="preserve"> </w:t>
      </w:r>
      <w:r w:rsidRPr="004B7AD6">
        <w:rPr>
          <w:rFonts w:hint="cs"/>
          <w:rtl/>
        </w:rPr>
        <w:t>وترى</w:t>
      </w:r>
      <w:r w:rsidRPr="004B7AD6">
        <w:rPr>
          <w:rtl/>
        </w:rPr>
        <w:t xml:space="preserve"> </w:t>
      </w:r>
      <w:r w:rsidRPr="004B7AD6">
        <w:rPr>
          <w:rFonts w:hint="cs"/>
          <w:rtl/>
        </w:rPr>
        <w:t>اللجنة</w:t>
      </w:r>
      <w:r w:rsidRPr="004B7AD6">
        <w:rPr>
          <w:rtl/>
        </w:rPr>
        <w:t xml:space="preserve"> أن الوقائع المعروضة عليها تكشف عن وقوع انتهاك للمادة 7 من العهد </w:t>
      </w:r>
      <w:r w:rsidRPr="004B7AD6">
        <w:rPr>
          <w:rFonts w:hint="cs"/>
          <w:rtl/>
        </w:rPr>
        <w:t>في حق صاحبة البلاغ وأسرتها</w:t>
      </w:r>
      <w:r w:rsidRPr="00C30608">
        <w:rPr>
          <w:vertAlign w:val="superscript"/>
          <w:rtl/>
        </w:rPr>
        <w:footnoteReference w:customMarkFollows="1" w:id="21"/>
        <w:t>(20)</w:t>
      </w:r>
      <w:r w:rsidRPr="004B7AD6">
        <w:rPr>
          <w:rFonts w:hint="cs"/>
          <w:rtl/>
        </w:rPr>
        <w:t xml:space="preserve">. </w:t>
      </w:r>
    </w:p>
    <w:p w:rsidR="004B7AD6" w:rsidRPr="004B7AD6" w:rsidRDefault="004B7AD6" w:rsidP="004B7AD6">
      <w:pPr>
        <w:pStyle w:val="SingleTxtGA"/>
        <w:rPr>
          <w:rtl/>
        </w:rPr>
      </w:pPr>
      <w:r w:rsidRPr="004B7AD6">
        <w:rPr>
          <w:rFonts w:hint="cs"/>
          <w:rtl/>
        </w:rPr>
        <w:t>7-7</w:t>
      </w:r>
      <w:r w:rsidRPr="004B7AD6">
        <w:rPr>
          <w:rFonts w:hint="cs"/>
          <w:rtl/>
        </w:rPr>
        <w:tab/>
      </w:r>
      <w:r w:rsidRPr="004B7AD6">
        <w:rPr>
          <w:rtl/>
        </w:rPr>
        <w:t>و</w:t>
      </w:r>
      <w:r w:rsidRPr="004B7AD6">
        <w:rPr>
          <w:rFonts w:hint="cs"/>
          <w:rtl/>
        </w:rPr>
        <w:t>فيما يتعلق</w:t>
      </w:r>
      <w:r w:rsidRPr="004B7AD6">
        <w:rPr>
          <w:rtl/>
        </w:rPr>
        <w:t xml:space="preserve"> </w:t>
      </w:r>
      <w:r w:rsidRPr="004B7AD6">
        <w:rPr>
          <w:rFonts w:hint="cs"/>
          <w:rtl/>
        </w:rPr>
        <w:t>بالتظلم المتعلق</w:t>
      </w:r>
      <w:r w:rsidRPr="004B7AD6">
        <w:rPr>
          <w:rtl/>
        </w:rPr>
        <w:t xml:space="preserve"> </w:t>
      </w:r>
      <w:r w:rsidRPr="004B7AD6">
        <w:rPr>
          <w:rFonts w:hint="cs"/>
          <w:rtl/>
        </w:rPr>
        <w:t>ب</w:t>
      </w:r>
      <w:r w:rsidRPr="004B7AD6">
        <w:rPr>
          <w:rtl/>
        </w:rPr>
        <w:t xml:space="preserve">انتهاك المادة 9، </w:t>
      </w:r>
      <w:r w:rsidRPr="004B7AD6">
        <w:rPr>
          <w:rFonts w:hint="cs"/>
          <w:rtl/>
        </w:rPr>
        <w:t>أ</w:t>
      </w:r>
      <w:r w:rsidRPr="004B7AD6">
        <w:rPr>
          <w:rtl/>
        </w:rPr>
        <w:t>ح</w:t>
      </w:r>
      <w:r w:rsidRPr="004B7AD6">
        <w:rPr>
          <w:rFonts w:hint="cs"/>
          <w:rtl/>
        </w:rPr>
        <w:t>ا</w:t>
      </w:r>
      <w:r w:rsidRPr="004B7AD6">
        <w:rPr>
          <w:rtl/>
        </w:rPr>
        <w:t>ط</w:t>
      </w:r>
      <w:r w:rsidRPr="004B7AD6">
        <w:rPr>
          <w:rFonts w:hint="cs"/>
          <w:rtl/>
        </w:rPr>
        <w:t>ت</w:t>
      </w:r>
      <w:r w:rsidRPr="004B7AD6">
        <w:rPr>
          <w:rtl/>
        </w:rPr>
        <w:t xml:space="preserve"> اللجنة علماً </w:t>
      </w:r>
      <w:r w:rsidRPr="004B7AD6">
        <w:rPr>
          <w:rFonts w:hint="cs"/>
          <w:rtl/>
        </w:rPr>
        <w:t>بادعاءات</w:t>
      </w:r>
      <w:r w:rsidRPr="004B7AD6">
        <w:rPr>
          <w:rtl/>
        </w:rPr>
        <w:t xml:space="preserve"> صاحب</w:t>
      </w:r>
      <w:r w:rsidRPr="004B7AD6">
        <w:rPr>
          <w:rFonts w:hint="cs"/>
          <w:rtl/>
        </w:rPr>
        <w:t>ة</w:t>
      </w:r>
      <w:r w:rsidRPr="004B7AD6">
        <w:rPr>
          <w:rtl/>
        </w:rPr>
        <w:t xml:space="preserve"> البلاغ ال</w:t>
      </w:r>
      <w:r w:rsidRPr="004B7AD6">
        <w:rPr>
          <w:rFonts w:hint="cs"/>
          <w:rtl/>
        </w:rPr>
        <w:t>تي</w:t>
      </w:r>
      <w:r w:rsidRPr="004B7AD6">
        <w:rPr>
          <w:rtl/>
        </w:rPr>
        <w:t xml:space="preserve"> تؤكد أن </w:t>
      </w:r>
      <w:r w:rsidRPr="004B7AD6">
        <w:rPr>
          <w:rFonts w:hint="cs"/>
          <w:rtl/>
        </w:rPr>
        <w:t xml:space="preserve">حسن العدي قد أوقف دون مذكرة توقيف في 9 نيسان/أبريل 1995 على يد عناصر من الشرطة، وأنه لم تُوجَّه إليه أي تهمة، ولم </w:t>
      </w:r>
      <w:r w:rsidRPr="004B7AD6">
        <w:rPr>
          <w:rtl/>
        </w:rPr>
        <w:t>ي</w:t>
      </w:r>
      <w:r w:rsidRPr="004B7AD6">
        <w:rPr>
          <w:rFonts w:hint="cs"/>
          <w:rtl/>
        </w:rPr>
        <w:t xml:space="preserve">مثل أمام </w:t>
      </w:r>
      <w:r w:rsidRPr="004B7AD6">
        <w:rPr>
          <w:rtl/>
        </w:rPr>
        <w:t xml:space="preserve">سلطة قضائية </w:t>
      </w:r>
      <w:r w:rsidRPr="004B7AD6">
        <w:rPr>
          <w:rFonts w:hint="cs"/>
          <w:rtl/>
        </w:rPr>
        <w:t>يمكنه ا</w:t>
      </w:r>
      <w:r w:rsidRPr="004B7AD6">
        <w:rPr>
          <w:rtl/>
        </w:rPr>
        <w:t xml:space="preserve">لطعن </w:t>
      </w:r>
      <w:r w:rsidRPr="004B7AD6">
        <w:rPr>
          <w:rFonts w:hint="cs"/>
          <w:rtl/>
        </w:rPr>
        <w:t xml:space="preserve">أمامها </w:t>
      </w:r>
      <w:r w:rsidRPr="004B7AD6">
        <w:rPr>
          <w:rtl/>
        </w:rPr>
        <w:t xml:space="preserve">في </w:t>
      </w:r>
      <w:r w:rsidRPr="004B7AD6">
        <w:rPr>
          <w:rFonts w:hint="cs"/>
          <w:rtl/>
        </w:rPr>
        <w:t>قانونية</w:t>
      </w:r>
      <w:r w:rsidRPr="004B7AD6">
        <w:rPr>
          <w:rtl/>
        </w:rPr>
        <w:t xml:space="preserve"> </w:t>
      </w:r>
      <w:r w:rsidRPr="004B7AD6">
        <w:rPr>
          <w:rFonts w:hint="cs"/>
          <w:rtl/>
        </w:rPr>
        <w:t>احتجازه، وأنه لم يُزوَّد أقاربه بأي معلومات رسمية عن مصيره</w:t>
      </w:r>
      <w:r w:rsidRPr="00C30608">
        <w:rPr>
          <w:vertAlign w:val="superscript"/>
          <w:rtl/>
        </w:rPr>
        <w:footnoteReference w:customMarkFollows="1" w:id="22"/>
        <w:t>(21)</w:t>
      </w:r>
      <w:r w:rsidRPr="004B7AD6">
        <w:rPr>
          <w:rFonts w:hint="cs"/>
          <w:rtl/>
        </w:rPr>
        <w:t xml:space="preserve">. </w:t>
      </w:r>
      <w:r w:rsidRPr="004B7AD6">
        <w:rPr>
          <w:rtl/>
        </w:rPr>
        <w:t xml:space="preserve">ونظراً </w:t>
      </w:r>
      <w:r w:rsidRPr="004B7AD6">
        <w:rPr>
          <w:rFonts w:hint="cs"/>
          <w:rtl/>
        </w:rPr>
        <w:t xml:space="preserve">إلى </w:t>
      </w:r>
      <w:r w:rsidRPr="004B7AD6">
        <w:rPr>
          <w:rtl/>
        </w:rPr>
        <w:t>عدم تقديم الدولة الطرف توضيح</w:t>
      </w:r>
      <w:r w:rsidRPr="004B7AD6">
        <w:rPr>
          <w:rFonts w:hint="cs"/>
          <w:rtl/>
        </w:rPr>
        <w:t>اً</w:t>
      </w:r>
      <w:r w:rsidRPr="004B7AD6">
        <w:rPr>
          <w:rtl/>
        </w:rPr>
        <w:t xml:space="preserve"> وجيه</w:t>
      </w:r>
      <w:r w:rsidRPr="004B7AD6">
        <w:rPr>
          <w:rFonts w:hint="cs"/>
          <w:rtl/>
        </w:rPr>
        <w:t xml:space="preserve">اً </w:t>
      </w:r>
      <w:r w:rsidRPr="004B7AD6">
        <w:rPr>
          <w:rtl/>
        </w:rPr>
        <w:t>بهذا الخصوص، تخلص اللجنة إلى أن المادة 9 من العهد قد انتهكت</w:t>
      </w:r>
      <w:r w:rsidRPr="00C30608">
        <w:rPr>
          <w:vertAlign w:val="superscript"/>
          <w:rtl/>
        </w:rPr>
        <w:footnoteReference w:customMarkFollows="1" w:id="23"/>
        <w:t>(22)</w:t>
      </w:r>
      <w:r w:rsidRPr="004B7AD6">
        <w:rPr>
          <w:rFonts w:hint="cs"/>
          <w:rtl/>
        </w:rPr>
        <w:t>.</w:t>
      </w:r>
    </w:p>
    <w:p w:rsidR="004B7AD6" w:rsidRPr="004B7AD6" w:rsidRDefault="004B7AD6" w:rsidP="00F663B2">
      <w:pPr>
        <w:pStyle w:val="SingleTxtGA"/>
        <w:rPr>
          <w:rtl/>
        </w:rPr>
      </w:pPr>
      <w:r w:rsidRPr="004B7AD6">
        <w:rPr>
          <w:rFonts w:hint="cs"/>
          <w:rtl/>
        </w:rPr>
        <w:t>7-8</w:t>
      </w:r>
      <w:r w:rsidRPr="004B7AD6">
        <w:rPr>
          <w:rFonts w:hint="cs"/>
          <w:rtl/>
        </w:rPr>
        <w:tab/>
      </w:r>
      <w:r w:rsidRPr="004B7AD6">
        <w:rPr>
          <w:rtl/>
        </w:rPr>
        <w:t xml:space="preserve">وفيما يتعلق </w:t>
      </w:r>
      <w:r w:rsidRPr="004B7AD6">
        <w:rPr>
          <w:rFonts w:hint="cs"/>
          <w:rtl/>
        </w:rPr>
        <w:t>بالتظلم المتعلق</w:t>
      </w:r>
      <w:r w:rsidRPr="004B7AD6">
        <w:rPr>
          <w:rtl/>
        </w:rPr>
        <w:t xml:space="preserve"> </w:t>
      </w:r>
      <w:r w:rsidRPr="004B7AD6">
        <w:rPr>
          <w:rFonts w:hint="cs"/>
          <w:rtl/>
        </w:rPr>
        <w:t>بانتهاك</w:t>
      </w:r>
      <w:r w:rsidRPr="004B7AD6">
        <w:rPr>
          <w:rtl/>
        </w:rPr>
        <w:t xml:space="preserve"> الفقرة 1 من المادة 10، تؤكد اللجنة مجدداً أن الأشخاص المحرومين من الحرية يجب ألا يتعرضوا لأي حرمان أو إكراه عدا ما هو ملازم </w:t>
      </w:r>
      <w:r w:rsidRPr="004B7AD6">
        <w:rPr>
          <w:rtl/>
        </w:rPr>
        <w:lastRenderedPageBreak/>
        <w:t xml:space="preserve">للحرمان من الحرية، وأنه يجب أن يعاملوا بإنسانية واحترام لكرامتهم. ونظراً </w:t>
      </w:r>
      <w:r w:rsidRPr="004B7AD6">
        <w:rPr>
          <w:rFonts w:hint="cs"/>
          <w:rtl/>
        </w:rPr>
        <w:t>إلى احتجاز</w:t>
      </w:r>
      <w:r w:rsidRPr="004B7AD6">
        <w:rPr>
          <w:rtl/>
        </w:rPr>
        <w:t xml:space="preserve"> </w:t>
      </w:r>
      <w:r w:rsidRPr="004B7AD6">
        <w:rPr>
          <w:rFonts w:hint="cs"/>
          <w:rtl/>
        </w:rPr>
        <w:t xml:space="preserve">حسن العدي </w:t>
      </w:r>
      <w:r w:rsidRPr="004B7AD6">
        <w:rPr>
          <w:rtl/>
        </w:rPr>
        <w:t>في مكان سري ونظراً إلى عدم تقديم الدولة الطرف معلومات بهذا الخصوص،</w:t>
      </w:r>
      <w:r w:rsidRPr="004B7AD6">
        <w:rPr>
          <w:rFonts w:hint="cs"/>
          <w:rtl/>
        </w:rPr>
        <w:t xml:space="preserve"> تخلص</w:t>
      </w:r>
      <w:r w:rsidRPr="004B7AD6">
        <w:rPr>
          <w:rtl/>
        </w:rPr>
        <w:t xml:space="preserve"> اللجنة</w:t>
      </w:r>
      <w:r w:rsidRPr="004B7AD6">
        <w:rPr>
          <w:rFonts w:hint="cs"/>
          <w:rtl/>
        </w:rPr>
        <w:t xml:space="preserve"> إلى</w:t>
      </w:r>
      <w:r w:rsidRPr="004B7AD6">
        <w:rPr>
          <w:rtl/>
        </w:rPr>
        <w:t xml:space="preserve"> أن الفقرة 1 من المادة 10 من العهد قد انتهكت</w:t>
      </w:r>
      <w:r w:rsidRPr="00C30608">
        <w:rPr>
          <w:vertAlign w:val="superscript"/>
          <w:rtl/>
        </w:rPr>
        <w:footnoteReference w:customMarkFollows="1" w:id="24"/>
        <w:t>(23)</w:t>
      </w:r>
      <w:r w:rsidRPr="004B7AD6">
        <w:rPr>
          <w:rtl/>
        </w:rPr>
        <w:t>.</w:t>
      </w:r>
    </w:p>
    <w:p w:rsidR="004B7AD6" w:rsidRPr="004B7AD6" w:rsidRDefault="004B7AD6" w:rsidP="004B7AD6">
      <w:pPr>
        <w:pStyle w:val="SingleTxtGA"/>
        <w:rPr>
          <w:rtl/>
        </w:rPr>
      </w:pPr>
      <w:r w:rsidRPr="004B7AD6">
        <w:rPr>
          <w:rFonts w:hint="cs"/>
          <w:rtl/>
        </w:rPr>
        <w:t>7-9</w:t>
      </w:r>
      <w:r w:rsidRPr="004B7AD6">
        <w:rPr>
          <w:rFonts w:hint="cs"/>
          <w:rtl/>
        </w:rPr>
        <w:tab/>
      </w:r>
      <w:r w:rsidRPr="004B7AD6">
        <w:rPr>
          <w:rtl/>
        </w:rPr>
        <w:t xml:space="preserve">أما عن التظلم المتعلق بانتهاك المادة 16، فإن اللجنة </w:t>
      </w:r>
      <w:r w:rsidRPr="004B7AD6">
        <w:rPr>
          <w:rFonts w:hint="cs"/>
          <w:rtl/>
        </w:rPr>
        <w:t>تذكّر</w:t>
      </w:r>
      <w:r w:rsidRPr="004B7AD6">
        <w:rPr>
          <w:rtl/>
        </w:rPr>
        <w:t xml:space="preserve"> </w:t>
      </w:r>
      <w:r w:rsidRPr="004B7AD6">
        <w:rPr>
          <w:rFonts w:hint="cs"/>
          <w:rtl/>
        </w:rPr>
        <w:t>باجتهاداتها</w:t>
      </w:r>
      <w:r w:rsidRPr="004B7AD6">
        <w:rPr>
          <w:rtl/>
        </w:rPr>
        <w:t xml:space="preserve"> الثابتة ومؤداها أن حرمان شخص ما عمداً من حماية القانون لفترة مطولة يمكن أن يشكل رفضاً للاعتراف بشخصيته القانونية إذا كان هذا الشخص في قبضة سلطات الدولة عند ظهوره للمرة الأخيرة، وإذا كانت جهود أقاربه الرامية إلى الوصول إلى سبل انتصاف فعالة، بما في ذلك المحاكم، تعترضها بانتظام معوقات (الفقرة 3 من المادة 2 من العهد)</w:t>
      </w:r>
      <w:r w:rsidRPr="00C30608">
        <w:rPr>
          <w:vertAlign w:val="superscript"/>
          <w:rtl/>
        </w:rPr>
        <w:footnoteReference w:customMarkFollows="1" w:id="25"/>
        <w:t>(24)</w:t>
      </w:r>
      <w:r w:rsidRPr="004B7AD6">
        <w:rPr>
          <w:rtl/>
        </w:rPr>
        <w:t xml:space="preserve">. وفي </w:t>
      </w:r>
      <w:r w:rsidRPr="004B7AD6">
        <w:rPr>
          <w:rFonts w:hint="cs"/>
          <w:rtl/>
        </w:rPr>
        <w:t>الحالة</w:t>
      </w:r>
      <w:r w:rsidRPr="004B7AD6">
        <w:rPr>
          <w:rtl/>
        </w:rPr>
        <w:t xml:space="preserve"> قيد البحث، تلاحظ اللجنة أن الدولة الطرف</w:t>
      </w:r>
      <w:r w:rsidRPr="004B7AD6">
        <w:rPr>
          <w:rFonts w:hint="cs"/>
          <w:rtl/>
        </w:rPr>
        <w:t xml:space="preserve"> </w:t>
      </w:r>
      <w:r w:rsidRPr="004B7AD6">
        <w:rPr>
          <w:rtl/>
        </w:rPr>
        <w:t xml:space="preserve">لم تقدم </w:t>
      </w:r>
      <w:r w:rsidRPr="004B7AD6">
        <w:rPr>
          <w:rFonts w:hint="cs"/>
          <w:rtl/>
        </w:rPr>
        <w:t xml:space="preserve">أي توضيح عن مصير حسن العدي على الرغم من الطلبات العديدة التي قدّمتها صاحبة البلاغ وأسرتها في هذا الخصوص. </w:t>
      </w:r>
      <w:r w:rsidRPr="004B7AD6">
        <w:rPr>
          <w:rtl/>
        </w:rPr>
        <w:t xml:space="preserve">وتستنتج اللجنة </w:t>
      </w:r>
      <w:r w:rsidRPr="004B7AD6">
        <w:rPr>
          <w:rFonts w:hint="cs"/>
          <w:rtl/>
        </w:rPr>
        <w:t xml:space="preserve">بناءً على </w:t>
      </w:r>
      <w:r w:rsidRPr="004B7AD6">
        <w:rPr>
          <w:rtl/>
        </w:rPr>
        <w:t xml:space="preserve">ذلك أن اختفاء </w:t>
      </w:r>
      <w:r w:rsidRPr="004B7AD6">
        <w:rPr>
          <w:rFonts w:hint="cs"/>
          <w:rtl/>
        </w:rPr>
        <w:t>حسن العدي</w:t>
      </w:r>
      <w:r w:rsidRPr="004B7AD6">
        <w:rPr>
          <w:rtl/>
        </w:rPr>
        <w:t xml:space="preserve"> قسراً منذ </w:t>
      </w:r>
      <w:r w:rsidRPr="004B7AD6">
        <w:rPr>
          <w:rFonts w:hint="cs"/>
          <w:rtl/>
        </w:rPr>
        <w:t>نحو عشرين عاماً</w:t>
      </w:r>
      <w:r w:rsidRPr="004B7AD6">
        <w:rPr>
          <w:rtl/>
        </w:rPr>
        <w:t xml:space="preserve"> </w:t>
      </w:r>
      <w:r w:rsidRPr="004B7AD6">
        <w:rPr>
          <w:rFonts w:hint="cs"/>
          <w:rtl/>
        </w:rPr>
        <w:t xml:space="preserve">قد </w:t>
      </w:r>
      <w:r w:rsidRPr="004B7AD6">
        <w:rPr>
          <w:rtl/>
        </w:rPr>
        <w:t xml:space="preserve">حرمه من حماية القانون </w:t>
      </w:r>
      <w:r w:rsidRPr="004B7AD6">
        <w:rPr>
          <w:rFonts w:hint="cs"/>
          <w:rtl/>
        </w:rPr>
        <w:t>ومن</w:t>
      </w:r>
      <w:r w:rsidRPr="004B7AD6">
        <w:rPr>
          <w:rtl/>
        </w:rPr>
        <w:t xml:space="preserve"> حقه في الاعتراف بشخصيته القانونية، وفي ذلك انتهاك للمادة 16 من العهد.</w:t>
      </w:r>
    </w:p>
    <w:p w:rsidR="004B7AD6" w:rsidRPr="004B7AD6" w:rsidRDefault="004B7AD6" w:rsidP="004B7AD6">
      <w:pPr>
        <w:pStyle w:val="SingleTxtGA"/>
        <w:rPr>
          <w:rtl/>
        </w:rPr>
      </w:pPr>
      <w:r w:rsidRPr="004B7AD6">
        <w:rPr>
          <w:rFonts w:hint="cs"/>
          <w:rtl/>
        </w:rPr>
        <w:t>7-10</w:t>
      </w:r>
      <w:r w:rsidRPr="004B7AD6">
        <w:rPr>
          <w:rFonts w:hint="cs"/>
          <w:rtl/>
        </w:rPr>
        <w:tab/>
        <w:t>وفي ضوء ما تقدم، لن تنظر اللجنة على نحو منفصل في التظلمات المرتبطة بانتهاك الفقرة 1 من المادة 23 من العهد.</w:t>
      </w:r>
    </w:p>
    <w:p w:rsidR="004B7AD6" w:rsidRPr="004B7AD6" w:rsidRDefault="004B7AD6" w:rsidP="00C30608">
      <w:pPr>
        <w:pStyle w:val="SingleTxtGA"/>
        <w:rPr>
          <w:rtl/>
        </w:rPr>
      </w:pPr>
      <w:r w:rsidRPr="004B7AD6">
        <w:rPr>
          <w:rFonts w:hint="cs"/>
          <w:rtl/>
        </w:rPr>
        <w:t>7-11</w:t>
      </w:r>
      <w:r w:rsidRPr="004B7AD6">
        <w:rPr>
          <w:rFonts w:hint="cs"/>
          <w:rtl/>
        </w:rPr>
        <w:tab/>
        <w:t>وتستشهد</w:t>
      </w:r>
      <w:r w:rsidRPr="004B7AD6">
        <w:rPr>
          <w:rtl/>
        </w:rPr>
        <w:t xml:space="preserve"> صاحبة البلاغ بالفقرة 3 من المادة 2 من العهد التي ت</w:t>
      </w:r>
      <w:r w:rsidRPr="004B7AD6">
        <w:rPr>
          <w:rFonts w:hint="cs"/>
          <w:rtl/>
        </w:rPr>
        <w:t>ُ</w:t>
      </w:r>
      <w:r w:rsidRPr="004B7AD6">
        <w:rPr>
          <w:rtl/>
        </w:rPr>
        <w:t>لزم الدول الأطراف ب</w:t>
      </w:r>
      <w:r w:rsidRPr="004B7AD6">
        <w:rPr>
          <w:rFonts w:hint="cs"/>
          <w:rtl/>
        </w:rPr>
        <w:t>توفير</w:t>
      </w:r>
      <w:r w:rsidRPr="004B7AD6">
        <w:rPr>
          <w:rtl/>
        </w:rPr>
        <w:t xml:space="preserve"> سبيل انتصاف فعال لجميع الأشخاص الذين انتهكت حقوقهم المكفولة بموجب العهد. وتعلق اللجنة أهمية على قيام الدول الأطراف بإنشاء آليات قضائية وإدارية مناسبة </w:t>
      </w:r>
      <w:r w:rsidRPr="004B7AD6">
        <w:rPr>
          <w:rFonts w:hint="cs"/>
          <w:rtl/>
        </w:rPr>
        <w:t>للبت في</w:t>
      </w:r>
      <w:r w:rsidRPr="004B7AD6">
        <w:rPr>
          <w:rtl/>
        </w:rPr>
        <w:t xml:space="preserve"> الدعاوى المتصلة بانتهاكات الحقوق. وتذك</w:t>
      </w:r>
      <w:r w:rsidRPr="004B7AD6">
        <w:rPr>
          <w:rFonts w:hint="cs"/>
          <w:rtl/>
        </w:rPr>
        <w:t>ّ</w:t>
      </w:r>
      <w:r w:rsidRPr="004B7AD6">
        <w:rPr>
          <w:rtl/>
        </w:rPr>
        <w:t>ر بتعليقها العام رقم 31(2004) بشأن طبيعة الالتزام القانوني العام المفروض على الدول الأطراف في العهد</w:t>
      </w:r>
      <w:r w:rsidRPr="004B7AD6">
        <w:rPr>
          <w:rFonts w:hint="cs"/>
          <w:rtl/>
        </w:rPr>
        <w:t xml:space="preserve">، </w:t>
      </w:r>
      <w:r w:rsidRPr="004B7AD6">
        <w:rPr>
          <w:rtl/>
        </w:rPr>
        <w:t xml:space="preserve">حيث تشير على وجه الخصوص إلى أن تقاعس دولة طرف عن التحقيق في انتهاكات مزعومة قد يفضي، في حد ذاته، إلى انتهاك قائم بذاته للعهد. وفي الحالة الراهنة، فقد أخطرت أسرة </w:t>
      </w:r>
      <w:r w:rsidRPr="004B7AD6">
        <w:rPr>
          <w:rFonts w:hint="cs"/>
          <w:rtl/>
        </w:rPr>
        <w:t>حسن العدي</w:t>
      </w:r>
      <w:r w:rsidRPr="004B7AD6">
        <w:rPr>
          <w:rtl/>
        </w:rPr>
        <w:t xml:space="preserve"> السلطات المختصة باختفا</w:t>
      </w:r>
      <w:r w:rsidRPr="004B7AD6">
        <w:rPr>
          <w:rFonts w:hint="cs"/>
          <w:rtl/>
        </w:rPr>
        <w:t>ئه، إلا أن التحقيق الذي أجراه وكيل الجمهورية لم يثمر عن أي نتائج ولا يمكن أن يُعتبر تحقيقاً فعالاً.</w:t>
      </w:r>
      <w:r w:rsidRPr="004B7AD6">
        <w:rPr>
          <w:rtl/>
        </w:rPr>
        <w:t xml:space="preserve"> وعلاوة على ذلك، فإن الاستحالة القانونية للجوء إلى هيئة قضائية بعد صدور الأمر رقم 06-01 </w:t>
      </w:r>
      <w:r w:rsidRPr="004B7AD6">
        <w:rPr>
          <w:rFonts w:hint="cs"/>
          <w:rtl/>
        </w:rPr>
        <w:t>الذي ينص على</w:t>
      </w:r>
      <w:r w:rsidRPr="004B7AD6">
        <w:rPr>
          <w:rtl/>
        </w:rPr>
        <w:t xml:space="preserve"> تنفيذ ميثاق السلم والمصالحة الوطنية تحرم </w:t>
      </w:r>
      <w:r w:rsidRPr="004B7AD6">
        <w:rPr>
          <w:rFonts w:hint="cs"/>
          <w:rtl/>
        </w:rPr>
        <w:t xml:space="preserve">صاحبة البلاغ </w:t>
      </w:r>
      <w:r w:rsidRPr="004B7AD6">
        <w:rPr>
          <w:rtl/>
        </w:rPr>
        <w:t>و</w:t>
      </w:r>
      <w:r w:rsidRPr="004B7AD6">
        <w:rPr>
          <w:rFonts w:hint="cs"/>
          <w:rtl/>
        </w:rPr>
        <w:t xml:space="preserve">أسرتها </w:t>
      </w:r>
      <w:r w:rsidRPr="004B7AD6">
        <w:rPr>
          <w:rtl/>
        </w:rPr>
        <w:t>من أي إمكانية للوصول إلى انتصاف فعال</w:t>
      </w:r>
      <w:r w:rsidRPr="004B7AD6">
        <w:rPr>
          <w:rFonts w:hint="cs"/>
          <w:rtl/>
        </w:rPr>
        <w:t>،</w:t>
      </w:r>
      <w:r w:rsidRPr="004B7AD6">
        <w:rPr>
          <w:rtl/>
        </w:rPr>
        <w:t xml:space="preserve"> ذلك أن هذا الأمر يمنع </w:t>
      </w:r>
      <w:r w:rsidRPr="004B7AD6">
        <w:rPr>
          <w:rFonts w:hint="cs"/>
          <w:rtl/>
        </w:rPr>
        <w:t xml:space="preserve">الاحتكام إلى </w:t>
      </w:r>
      <w:r w:rsidRPr="004B7AD6">
        <w:rPr>
          <w:rFonts w:hint="cs"/>
          <w:rtl/>
        </w:rPr>
        <w:lastRenderedPageBreak/>
        <w:t>القضاء</w:t>
      </w:r>
      <w:r w:rsidRPr="004B7AD6">
        <w:rPr>
          <w:rtl/>
        </w:rPr>
        <w:t xml:space="preserve"> لكشف ملابسات الجرائم الأكثر خطورة مثل حالات الاختفاء القسري</w:t>
      </w:r>
      <w:r w:rsidRPr="005655ED">
        <w:rPr>
          <w:vertAlign w:val="superscript"/>
          <w:rtl/>
        </w:rPr>
        <w:footnoteReference w:customMarkFollows="1" w:id="26"/>
        <w:t>(25)</w:t>
      </w:r>
      <w:r w:rsidRPr="004B7AD6">
        <w:rPr>
          <w:rFonts w:hint="cs"/>
          <w:rtl/>
        </w:rPr>
        <w:t xml:space="preserve">. </w:t>
      </w:r>
      <w:r w:rsidRPr="004B7AD6">
        <w:rPr>
          <w:rtl/>
        </w:rPr>
        <w:t>و</w:t>
      </w:r>
      <w:r w:rsidRPr="004B7AD6">
        <w:rPr>
          <w:rFonts w:hint="cs"/>
          <w:rtl/>
        </w:rPr>
        <w:t>بناءً على ما تقدم، تخلص</w:t>
      </w:r>
      <w:r w:rsidRPr="004B7AD6">
        <w:rPr>
          <w:rtl/>
        </w:rPr>
        <w:t xml:space="preserve"> اللجنة </w:t>
      </w:r>
      <w:r w:rsidRPr="004B7AD6">
        <w:rPr>
          <w:rFonts w:hint="cs"/>
          <w:rtl/>
        </w:rPr>
        <w:t xml:space="preserve">إلى </w:t>
      </w:r>
      <w:r w:rsidRPr="004B7AD6">
        <w:rPr>
          <w:rtl/>
        </w:rPr>
        <w:t>أن الوقائع المعروضة عليها تكشف عن وقوع انتهاك للفقرة 3 من المادة 2</w:t>
      </w:r>
      <w:r w:rsidRPr="004B7AD6">
        <w:rPr>
          <w:rFonts w:hint="cs"/>
          <w:rtl/>
        </w:rPr>
        <w:t xml:space="preserve"> من العهد</w:t>
      </w:r>
      <w:r w:rsidRPr="004B7AD6">
        <w:rPr>
          <w:rtl/>
        </w:rPr>
        <w:t>، مقروءة بالاقتران مع الفقرة 1 من المادة 6، والمادة 7، والمادة 9، و</w:t>
      </w:r>
      <w:r w:rsidRPr="004B7AD6">
        <w:rPr>
          <w:rFonts w:hint="cs"/>
          <w:rtl/>
        </w:rPr>
        <w:t>الفقرة</w:t>
      </w:r>
      <w:r w:rsidR="00C30608">
        <w:rPr>
          <w:rFonts w:hint="eastAsia"/>
          <w:rtl/>
        </w:rPr>
        <w:t> </w:t>
      </w:r>
      <w:r w:rsidRPr="004B7AD6">
        <w:rPr>
          <w:rFonts w:hint="cs"/>
          <w:rtl/>
        </w:rPr>
        <w:t xml:space="preserve">1 من </w:t>
      </w:r>
      <w:r w:rsidRPr="004B7AD6">
        <w:rPr>
          <w:rtl/>
        </w:rPr>
        <w:t>المادة 10، والمادة 16</w:t>
      </w:r>
      <w:r w:rsidRPr="004B7AD6">
        <w:rPr>
          <w:rFonts w:hint="cs"/>
          <w:rtl/>
        </w:rPr>
        <w:t>،</w:t>
      </w:r>
      <w:r w:rsidRPr="004B7AD6">
        <w:rPr>
          <w:rtl/>
        </w:rPr>
        <w:t xml:space="preserve"> في حق </w:t>
      </w:r>
      <w:r w:rsidRPr="004B7AD6">
        <w:rPr>
          <w:rFonts w:hint="cs"/>
          <w:rtl/>
        </w:rPr>
        <w:t>حسن لدّي،</w:t>
      </w:r>
      <w:r w:rsidRPr="004B7AD6">
        <w:rPr>
          <w:rtl/>
        </w:rPr>
        <w:t xml:space="preserve"> وانتهاك </w:t>
      </w:r>
      <w:r w:rsidRPr="004B7AD6">
        <w:rPr>
          <w:rFonts w:hint="cs"/>
          <w:rtl/>
        </w:rPr>
        <w:t>ل</w:t>
      </w:r>
      <w:r w:rsidRPr="004B7AD6">
        <w:rPr>
          <w:rtl/>
        </w:rPr>
        <w:t>لفقرة 3 من المادة 2</w:t>
      </w:r>
      <w:r w:rsidRPr="004B7AD6">
        <w:rPr>
          <w:rFonts w:hint="cs"/>
          <w:rtl/>
        </w:rPr>
        <w:t xml:space="preserve"> من العهد،</w:t>
      </w:r>
      <w:r w:rsidRPr="004B7AD6">
        <w:rPr>
          <w:rtl/>
        </w:rPr>
        <w:t xml:space="preserve"> مقروءة بالاقتران مع المادة 7 في حق صاحبة البلاغ</w:t>
      </w:r>
      <w:r w:rsidRPr="004B7AD6">
        <w:rPr>
          <w:rFonts w:hint="cs"/>
          <w:rtl/>
        </w:rPr>
        <w:t xml:space="preserve"> وأسرتها. </w:t>
      </w:r>
    </w:p>
    <w:p w:rsidR="004B7AD6" w:rsidRPr="004B7AD6" w:rsidRDefault="004B7AD6" w:rsidP="004B7AD6">
      <w:pPr>
        <w:pStyle w:val="SingleTxtGA"/>
        <w:rPr>
          <w:rtl/>
        </w:rPr>
      </w:pPr>
      <w:r w:rsidRPr="004B7AD6">
        <w:rPr>
          <w:rFonts w:hint="cs"/>
          <w:rtl/>
        </w:rPr>
        <w:t>8-</w:t>
      </w:r>
      <w:r w:rsidRPr="004B7AD6">
        <w:rPr>
          <w:rFonts w:hint="cs"/>
          <w:rtl/>
        </w:rPr>
        <w:tab/>
      </w:r>
      <w:r w:rsidRPr="004B7AD6">
        <w:rPr>
          <w:rtl/>
        </w:rPr>
        <w:t xml:space="preserve">وتلاحظ اللجنة المعنية بحقوق الإنسان، عملاً بالفقرة 4 من المادة 5 من البروتوكول الاختياري الملحق بالعهد الدولي الخاص بالحقوق المدنية والسياسية، أن الوقائع المعروضة عليها تكشف عن انتهاكات </w:t>
      </w:r>
      <w:r w:rsidRPr="004B7AD6">
        <w:rPr>
          <w:rFonts w:hint="cs"/>
          <w:rtl/>
        </w:rPr>
        <w:t>ارتكبتها</w:t>
      </w:r>
      <w:r w:rsidRPr="004B7AD6">
        <w:rPr>
          <w:rtl/>
        </w:rPr>
        <w:t xml:space="preserve"> الدولة الطرف</w:t>
      </w:r>
      <w:r w:rsidRPr="004B7AD6">
        <w:rPr>
          <w:rFonts w:hint="cs"/>
          <w:rtl/>
        </w:rPr>
        <w:t xml:space="preserve"> للفقرة 1 من ال</w:t>
      </w:r>
      <w:r w:rsidRPr="004B7AD6">
        <w:rPr>
          <w:rtl/>
        </w:rPr>
        <w:t>مادة 6</w:t>
      </w:r>
      <w:r w:rsidRPr="004B7AD6">
        <w:rPr>
          <w:rFonts w:hint="cs"/>
          <w:rtl/>
        </w:rPr>
        <w:t>، والمادة 7، والمادة 9، والفقرة 1 من المادة 10، والمادة 16 من العهد، مقروءة بمفردها و</w:t>
      </w:r>
      <w:r w:rsidRPr="004B7AD6">
        <w:rPr>
          <w:rtl/>
        </w:rPr>
        <w:t xml:space="preserve">بالاقتران مع </w:t>
      </w:r>
      <w:r w:rsidRPr="004B7AD6">
        <w:rPr>
          <w:rFonts w:hint="cs"/>
          <w:rtl/>
        </w:rPr>
        <w:t>الفقرة 3 من المادة 2 من العهد في حق حسن العدي. وتلاحظ اللجنة أيضاً انتهاك الدولة الطرف للمادة 7 مقروءة بمفردها وبالاقتران مع الفقرة 3 من المادة 2 في حق صاحبة البلاغ وأسرتها</w:t>
      </w:r>
      <w:r w:rsidRPr="004B7AD6">
        <w:rPr>
          <w:rtl/>
        </w:rPr>
        <w:t xml:space="preserve">. </w:t>
      </w:r>
    </w:p>
    <w:p w:rsidR="004B7AD6" w:rsidRPr="004B7AD6" w:rsidRDefault="004B7AD6" w:rsidP="00C30608">
      <w:pPr>
        <w:pStyle w:val="SingleTxtGA"/>
        <w:rPr>
          <w:rtl/>
        </w:rPr>
      </w:pPr>
      <w:r w:rsidRPr="004B7AD6">
        <w:rPr>
          <w:rFonts w:hint="cs"/>
          <w:rtl/>
        </w:rPr>
        <w:t>9-</w:t>
      </w:r>
      <w:r w:rsidRPr="004B7AD6">
        <w:rPr>
          <w:rFonts w:hint="cs"/>
          <w:rtl/>
        </w:rPr>
        <w:tab/>
      </w:r>
      <w:r w:rsidRPr="004B7AD6">
        <w:rPr>
          <w:rtl/>
        </w:rPr>
        <w:t xml:space="preserve">ووفقاً للفقرة 3 من المادة 2 من العهد، يتعين على الدولة الطرف أن تكفل </w:t>
      </w:r>
      <w:r w:rsidRPr="004B7AD6">
        <w:rPr>
          <w:rFonts w:hint="cs"/>
          <w:rtl/>
        </w:rPr>
        <w:t xml:space="preserve">لصاحبة البلاغ ولأسرتها </w:t>
      </w:r>
      <w:r w:rsidRPr="004B7AD6">
        <w:rPr>
          <w:rtl/>
        </w:rPr>
        <w:t>سبيل انتصاف فعالاً، يشمل على الخصوص ما يلي:</w:t>
      </w:r>
      <w:r w:rsidRPr="004B7AD6">
        <w:rPr>
          <w:rFonts w:hint="cs"/>
          <w:rtl/>
        </w:rPr>
        <w:t xml:space="preserve"> </w:t>
      </w:r>
      <w:r w:rsidRPr="004B7AD6">
        <w:rPr>
          <w:rtl/>
        </w:rPr>
        <w:t xml:space="preserve">(أ) إجراء تحقيق شامل ودقيق في اختفاء </w:t>
      </w:r>
      <w:r w:rsidRPr="004B7AD6">
        <w:rPr>
          <w:rFonts w:hint="cs"/>
          <w:rtl/>
        </w:rPr>
        <w:t xml:space="preserve">حسن العدي، </w:t>
      </w:r>
      <w:r w:rsidRPr="004B7AD6">
        <w:rPr>
          <w:rtl/>
        </w:rPr>
        <w:t xml:space="preserve">وتزويد </w:t>
      </w:r>
      <w:r w:rsidRPr="004B7AD6">
        <w:rPr>
          <w:rFonts w:hint="cs"/>
          <w:rtl/>
        </w:rPr>
        <w:t>صاحبة البلاغ وأسرتها</w:t>
      </w:r>
      <w:r w:rsidRPr="004B7AD6">
        <w:rPr>
          <w:rtl/>
        </w:rPr>
        <w:t xml:space="preserve"> بمعلومات مفصلة عن نتائج تحقيقها؛ (ب) والإفراج ع</w:t>
      </w:r>
      <w:r w:rsidRPr="004B7AD6">
        <w:rPr>
          <w:rFonts w:hint="cs"/>
          <w:rtl/>
        </w:rPr>
        <w:t>ن حسن العدي</w:t>
      </w:r>
      <w:r w:rsidRPr="004B7AD6">
        <w:rPr>
          <w:rtl/>
        </w:rPr>
        <w:t xml:space="preserve"> فوراً إذا كان لا يزال </w:t>
      </w:r>
      <w:r w:rsidRPr="004B7AD6">
        <w:rPr>
          <w:rFonts w:hint="cs"/>
          <w:rtl/>
        </w:rPr>
        <w:t>محتجزاً</w:t>
      </w:r>
      <w:r w:rsidRPr="004B7AD6">
        <w:rPr>
          <w:rtl/>
        </w:rPr>
        <w:t xml:space="preserve"> في مكان سري؛ (</w:t>
      </w:r>
      <w:r w:rsidRPr="004B7AD6">
        <w:rPr>
          <w:rFonts w:hint="cs"/>
          <w:rtl/>
        </w:rPr>
        <w:t>ج</w:t>
      </w:r>
      <w:r w:rsidRPr="004B7AD6">
        <w:rPr>
          <w:rtl/>
        </w:rPr>
        <w:t>)</w:t>
      </w:r>
      <w:r w:rsidR="00C30608">
        <w:rPr>
          <w:rFonts w:hint="cs"/>
          <w:rtl/>
        </w:rPr>
        <w:t> </w:t>
      </w:r>
      <w:r w:rsidRPr="004B7AD6">
        <w:rPr>
          <w:rtl/>
        </w:rPr>
        <w:t>وإعادة جث</w:t>
      </w:r>
      <w:r w:rsidRPr="004B7AD6">
        <w:rPr>
          <w:rFonts w:hint="cs"/>
          <w:rtl/>
        </w:rPr>
        <w:t>ة حسن العدي إ</w:t>
      </w:r>
      <w:r w:rsidRPr="004B7AD6">
        <w:rPr>
          <w:rtl/>
        </w:rPr>
        <w:t>لى أسرته في حالة وفاته؛ (</w:t>
      </w:r>
      <w:r w:rsidRPr="004B7AD6">
        <w:rPr>
          <w:rFonts w:hint="cs"/>
          <w:rtl/>
        </w:rPr>
        <w:t>د</w:t>
      </w:r>
      <w:r w:rsidRPr="004B7AD6">
        <w:rPr>
          <w:rtl/>
        </w:rPr>
        <w:t>) وملاحقة المسؤولين عن الانتهاكات المرتكبة ومحاكمتهم ومعاقبتهم؛</w:t>
      </w:r>
      <w:r w:rsidRPr="004B7AD6">
        <w:rPr>
          <w:rFonts w:hint="cs"/>
          <w:rtl/>
        </w:rPr>
        <w:t xml:space="preserve"> </w:t>
      </w:r>
      <w:r w:rsidRPr="004B7AD6">
        <w:rPr>
          <w:rtl/>
        </w:rPr>
        <w:t>(</w:t>
      </w:r>
      <w:r w:rsidRPr="004B7AD6">
        <w:rPr>
          <w:rFonts w:hint="cs"/>
          <w:rtl/>
        </w:rPr>
        <w:t>ه</w:t>
      </w:r>
      <w:r w:rsidRPr="004B7AD6">
        <w:rPr>
          <w:rtl/>
        </w:rPr>
        <w:t>) وتقديم تعويض مناسب إلى صاحبة البلاغ</w:t>
      </w:r>
      <w:r w:rsidRPr="004B7AD6">
        <w:rPr>
          <w:rFonts w:hint="cs"/>
          <w:rtl/>
        </w:rPr>
        <w:t xml:space="preserve"> وأسرتها</w:t>
      </w:r>
      <w:r w:rsidRPr="004B7AD6">
        <w:rPr>
          <w:rtl/>
        </w:rPr>
        <w:t xml:space="preserve"> عن الانتهاكات التي تعرضت لها وكذلك إلى </w:t>
      </w:r>
      <w:r w:rsidRPr="004B7AD6">
        <w:rPr>
          <w:rFonts w:hint="cs"/>
          <w:rtl/>
        </w:rPr>
        <w:t>حسن العدي</w:t>
      </w:r>
      <w:r w:rsidRPr="004B7AD6">
        <w:rPr>
          <w:rtl/>
        </w:rPr>
        <w:t xml:space="preserve"> إن كان</w:t>
      </w:r>
      <w:r w:rsidRPr="004B7AD6">
        <w:rPr>
          <w:rFonts w:hint="cs"/>
          <w:rtl/>
        </w:rPr>
        <w:t xml:space="preserve"> على</w:t>
      </w:r>
      <w:r w:rsidRPr="004B7AD6">
        <w:rPr>
          <w:rtl/>
        </w:rPr>
        <w:t xml:space="preserve"> قيد الحياة. وبغض النظر عن الأمر</w:t>
      </w:r>
      <w:r w:rsidRPr="004B7AD6">
        <w:rPr>
          <w:rFonts w:hint="cs"/>
          <w:rtl/>
        </w:rPr>
        <w:t xml:space="preserve"> </w:t>
      </w:r>
      <w:r w:rsidRPr="004B7AD6">
        <w:rPr>
          <w:rtl/>
        </w:rPr>
        <w:t>رقم 06-01، يتعين على الدولة الطرف أيضاً أن تحرص على عدم إعاقة ممارسة الحق في انتصاف فعال بالنسبة لضحايا جرائم من قبيل التعذيب والإعدام خارج إطار الق</w:t>
      </w:r>
      <w:r w:rsidRPr="004B7AD6">
        <w:rPr>
          <w:rFonts w:hint="cs"/>
          <w:rtl/>
        </w:rPr>
        <w:t>ضاء</w:t>
      </w:r>
      <w:r w:rsidRPr="004B7AD6">
        <w:rPr>
          <w:rtl/>
        </w:rPr>
        <w:t xml:space="preserve"> والاختفاء القسري. والدولة الطرف ملزمة علاوة على ذلك باتخاذ الت</w:t>
      </w:r>
      <w:r w:rsidRPr="004B7AD6">
        <w:rPr>
          <w:rFonts w:hint="cs"/>
          <w:rtl/>
        </w:rPr>
        <w:t>دابير</w:t>
      </w:r>
      <w:r w:rsidRPr="004B7AD6">
        <w:rPr>
          <w:rtl/>
        </w:rPr>
        <w:t xml:space="preserve"> اللازمة لمنع حدوث انتهاكات مماثلة في المستقبل.</w:t>
      </w:r>
    </w:p>
    <w:p w:rsidR="004B7AD6" w:rsidRDefault="004B7AD6" w:rsidP="004B7AD6">
      <w:pPr>
        <w:pStyle w:val="SingleTxtGA"/>
        <w:rPr>
          <w:rtl/>
        </w:rPr>
      </w:pPr>
      <w:r w:rsidRPr="004B7AD6">
        <w:rPr>
          <w:rtl/>
        </w:rPr>
        <w:t>1</w:t>
      </w:r>
      <w:r w:rsidRPr="004B7AD6">
        <w:rPr>
          <w:rFonts w:hint="cs"/>
          <w:rtl/>
        </w:rPr>
        <w:t>0</w:t>
      </w:r>
      <w:r w:rsidRPr="004B7AD6">
        <w:rPr>
          <w:rtl/>
        </w:rPr>
        <w:t>-</w:t>
      </w:r>
      <w:r w:rsidRPr="004B7AD6">
        <w:rPr>
          <w:rtl/>
        </w:rPr>
        <w:tab/>
        <w:t>وبما أن الدولة الطرف اعترفت، بانضمامها إلى البروتوكول الاختياري، باختصاص اللجنة في تحديد ما إذا كان هناك انتهاك للعهد، وأنها تعهدت، بموجب المادة 2 من العهد، بأن تكفل لجميع الأفراد الموجودين في إقليمها والمشمولين بولايتها الحقوق المعترف بها في العهد وبأ</w:t>
      </w:r>
      <w:r w:rsidRPr="004B7AD6">
        <w:rPr>
          <w:rFonts w:hint="cs"/>
          <w:rtl/>
        </w:rPr>
        <w:t>ن</w:t>
      </w:r>
      <w:r w:rsidRPr="004B7AD6">
        <w:rPr>
          <w:rtl/>
        </w:rPr>
        <w:t xml:space="preserve"> تضمن لهم سبيل انتصاف فعالاً وقابل</w:t>
      </w:r>
      <w:r w:rsidRPr="004B7AD6">
        <w:rPr>
          <w:rFonts w:hint="cs"/>
          <w:rtl/>
        </w:rPr>
        <w:t>اً</w:t>
      </w:r>
      <w:r w:rsidRPr="004B7AD6">
        <w:rPr>
          <w:rtl/>
        </w:rPr>
        <w:t xml:space="preserve"> للتنفيذ في حالة ثبوت وقوع انتهاك، فإن اللجنة تود أن تتلقى من الدولة الطرف، في غضون </w:t>
      </w:r>
      <w:r w:rsidRPr="004B7AD6">
        <w:rPr>
          <w:rFonts w:hint="cs"/>
          <w:rtl/>
        </w:rPr>
        <w:t>مئة وثمانين</w:t>
      </w:r>
      <w:r w:rsidRPr="004B7AD6">
        <w:rPr>
          <w:rtl/>
        </w:rPr>
        <w:t xml:space="preserve"> يوماً، معلومات عما اتخذته من تدابير لوضع آراء اللجنة موضع التنفيذ. كما تدعو اللجنة الدولة الطرف إلى إعلان هذه الآراء ونشرها على نطاق واسع </w:t>
      </w:r>
      <w:r w:rsidRPr="004B7AD6">
        <w:rPr>
          <w:rFonts w:hint="cs"/>
          <w:rtl/>
        </w:rPr>
        <w:t>باللغات</w:t>
      </w:r>
      <w:r w:rsidRPr="004B7AD6">
        <w:rPr>
          <w:rtl/>
        </w:rPr>
        <w:t xml:space="preserve"> الرسمية.</w:t>
      </w:r>
    </w:p>
    <w:p w:rsidR="00C30608" w:rsidRPr="0051197C" w:rsidRDefault="0051197C" w:rsidP="0051197C">
      <w:pPr>
        <w:spacing w:before="120"/>
        <w:jc w:val="center"/>
        <w:rPr>
          <w:u w:val="single"/>
          <w:rtl/>
        </w:rPr>
      </w:pPr>
      <w:r>
        <w:rPr>
          <w:u w:val="single"/>
          <w:rtl/>
        </w:rPr>
        <w:tab/>
      </w:r>
      <w:r>
        <w:rPr>
          <w:u w:val="single"/>
          <w:rtl/>
        </w:rPr>
        <w:tab/>
      </w:r>
      <w:r>
        <w:rPr>
          <w:u w:val="single"/>
          <w:rtl/>
        </w:rPr>
        <w:tab/>
      </w:r>
    </w:p>
    <w:sectPr w:rsidR="00C30608" w:rsidRPr="0051197C" w:rsidSect="00420D7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C1" w:rsidRPr="002901D9" w:rsidRDefault="009253C1" w:rsidP="002901D9">
      <w:pPr>
        <w:spacing w:after="60" w:line="240" w:lineRule="auto"/>
        <w:rPr>
          <w:i/>
          <w:iCs/>
        </w:rPr>
      </w:pPr>
      <w:r>
        <w:rPr>
          <w:rFonts w:hint="cs"/>
          <w:i/>
          <w:iCs/>
          <w:rtl/>
        </w:rPr>
        <w:t>الحواشي</w:t>
      </w:r>
    </w:p>
  </w:endnote>
  <w:endnote w:type="continuationSeparator" w:id="0">
    <w:p w:rsidR="009253C1" w:rsidRDefault="009253C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D6" w:rsidRPr="004B7AD6" w:rsidRDefault="004B7AD6" w:rsidP="004B7AD6">
    <w:pPr>
      <w:pStyle w:val="Footer"/>
      <w:tabs>
        <w:tab w:val="right" w:pos="9598"/>
      </w:tabs>
    </w:pPr>
    <w:r>
      <w:t>GE.14-22807</w:t>
    </w:r>
    <w:r>
      <w:tab/>
    </w:r>
    <w:r w:rsidRPr="004B7AD6">
      <w:rPr>
        <w:b/>
        <w:sz w:val="18"/>
      </w:rPr>
      <w:fldChar w:fldCharType="begin"/>
    </w:r>
    <w:r w:rsidRPr="004B7AD6">
      <w:rPr>
        <w:b/>
        <w:sz w:val="18"/>
      </w:rPr>
      <w:instrText xml:space="preserve"> PAGE  \* MERGEFORMAT </w:instrText>
    </w:r>
    <w:r w:rsidRPr="004B7AD6">
      <w:rPr>
        <w:b/>
        <w:sz w:val="18"/>
      </w:rPr>
      <w:fldChar w:fldCharType="separate"/>
    </w:r>
    <w:r w:rsidR="001C37C0">
      <w:rPr>
        <w:b/>
        <w:noProof/>
        <w:sz w:val="18"/>
      </w:rPr>
      <w:t>4</w:t>
    </w:r>
    <w:r w:rsidRPr="004B7AD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4B7AD6" w:rsidRDefault="004B7AD6" w:rsidP="006959B0">
    <w:pPr>
      <w:pStyle w:val="Footer"/>
      <w:tabs>
        <w:tab w:val="right" w:pos="9599"/>
      </w:tabs>
      <w:jc w:val="left"/>
      <w:rPr>
        <w:b/>
        <w:sz w:val="18"/>
        <w:lang w:val="en-US"/>
      </w:rPr>
    </w:pPr>
    <w:r w:rsidRPr="004B7AD6">
      <w:rPr>
        <w:b/>
        <w:sz w:val="18"/>
        <w:lang w:val="en-US"/>
      </w:rPr>
      <w:fldChar w:fldCharType="begin"/>
    </w:r>
    <w:r w:rsidRPr="004B7AD6">
      <w:rPr>
        <w:b/>
        <w:sz w:val="18"/>
        <w:lang w:val="en-US"/>
      </w:rPr>
      <w:instrText xml:space="preserve"> PAGE  \* MERGEFORMAT </w:instrText>
    </w:r>
    <w:r w:rsidRPr="004B7AD6">
      <w:rPr>
        <w:b/>
        <w:sz w:val="18"/>
        <w:lang w:val="en-US"/>
      </w:rPr>
      <w:fldChar w:fldCharType="separate"/>
    </w:r>
    <w:r w:rsidR="001C37C0">
      <w:rPr>
        <w:b/>
        <w:noProof/>
        <w:sz w:val="18"/>
        <w:lang w:val="en-US"/>
      </w:rPr>
      <w:t>3</w:t>
    </w:r>
    <w:r w:rsidRPr="004B7AD6">
      <w:rPr>
        <w:b/>
        <w:sz w:val="18"/>
        <w:lang w:val="en-US"/>
      </w:rPr>
      <w:fldChar w:fldCharType="end"/>
    </w:r>
    <w:r>
      <w:rPr>
        <w:b/>
        <w:sz w:val="18"/>
        <w:lang w:val="en-US"/>
      </w:rPr>
      <w:tab/>
    </w:r>
    <w:r>
      <w:rPr>
        <w:lang w:val="en-US"/>
      </w:rPr>
      <w:t>GE.14-22807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4B7AD6" w:rsidP="008A5E81">
    <w:pPr>
      <w:pStyle w:val="Footer"/>
      <w:jc w:val="right"/>
    </w:pPr>
    <w:r>
      <w:rPr>
        <w:sz w:val="20"/>
      </w:rPr>
      <w:t>(A)   GE.14-22807</w:t>
    </w:r>
    <w:r w:rsidR="00D914A7">
      <w:rPr>
        <w:noProof/>
        <w:lang w:val="en-US"/>
      </w:rPr>
      <w:drawing>
        <wp:anchor distT="0" distB="0" distL="114300" distR="114300" simplePos="0" relativeHeight="251658240" behindDoc="1" locked="1" layoutInCell="0" allowOverlap="1" wp14:anchorId="6746FE95" wp14:editId="29A18414">
          <wp:simplePos x="0" y="0"/>
          <wp:positionH relativeFrom="margin">
            <wp:posOffset>706755</wp:posOffset>
          </wp:positionH>
          <wp:positionV relativeFrom="margin">
            <wp:posOffset>8203565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544">
      <w:rPr>
        <w:sz w:val="20"/>
      </w:rPr>
      <w:t xml:space="preserve">    060515    0</w:t>
    </w:r>
    <w:r w:rsidR="008A5E81">
      <w:rPr>
        <w:sz w:val="20"/>
      </w:rPr>
      <w:t>8</w:t>
    </w:r>
    <w:r w:rsidR="00645544">
      <w:rPr>
        <w:sz w:val="20"/>
      </w:rPr>
      <w:t>0515</w:t>
    </w:r>
    <w:r w:rsidR="001C37C0">
      <w:br/>
    </w:r>
    <w:r w:rsidR="001C37C0" w:rsidRPr="001C37C0">
      <w:rPr>
        <w:rFonts w:ascii="C39T30Lfz" w:hAnsi="C39T30Lfz"/>
        <w:sz w:val="56"/>
      </w:rPr>
      <w:t></w:t>
    </w:r>
    <w:r w:rsidR="001C37C0" w:rsidRPr="001C37C0">
      <w:rPr>
        <w:rFonts w:ascii="C39T30Lfz" w:hAnsi="C39T30Lfz"/>
        <w:sz w:val="56"/>
      </w:rPr>
      <w:t></w:t>
    </w:r>
    <w:r w:rsidR="001C37C0" w:rsidRPr="001C37C0">
      <w:rPr>
        <w:rFonts w:ascii="C39T30Lfz" w:hAnsi="C39T30Lfz"/>
        <w:sz w:val="56"/>
      </w:rPr>
      <w:t></w:t>
    </w:r>
    <w:r w:rsidR="001C37C0" w:rsidRPr="001C37C0">
      <w:rPr>
        <w:rFonts w:ascii="C39T30Lfz" w:hAnsi="C39T30Lfz"/>
        <w:sz w:val="56"/>
      </w:rPr>
      <w:t></w:t>
    </w:r>
    <w:r w:rsidR="001C37C0" w:rsidRPr="001C37C0">
      <w:rPr>
        <w:rFonts w:ascii="C39T30Lfz" w:hAnsi="C39T30Lfz"/>
        <w:sz w:val="56"/>
      </w:rPr>
      <w:t></w:t>
    </w:r>
    <w:r w:rsidR="001C37C0" w:rsidRPr="001C37C0">
      <w:rPr>
        <w:rFonts w:ascii="C39T30Lfz" w:hAnsi="C39T30Lfz"/>
        <w:sz w:val="56"/>
      </w:rPr>
      <w:t></w:t>
    </w:r>
    <w:r w:rsidR="001C37C0" w:rsidRPr="001C37C0">
      <w:rPr>
        <w:rFonts w:ascii="C39T30Lfz" w:hAnsi="C39T30Lfz"/>
        <w:sz w:val="56"/>
      </w:rPr>
      <w:t></w:t>
    </w:r>
    <w:r w:rsidR="001C37C0" w:rsidRPr="001C37C0">
      <w:rPr>
        <w:rFonts w:ascii="C39T30Lfz" w:hAnsi="C39T30Lfz"/>
        <w:sz w:val="56"/>
      </w:rPr>
      <w:t></w:t>
    </w:r>
    <w:r w:rsidR="001C37C0" w:rsidRPr="001C37C0">
      <w:rPr>
        <w:rFonts w:ascii="C39T30Lfz" w:hAnsi="C39T30Lfz"/>
        <w:sz w:val="56"/>
      </w:rPr>
      <w:t></w:t>
    </w:r>
    <w:r w:rsidR="001C37C0">
      <w:rPr>
        <w:rFonts w:ascii="C39T30Lfz" w:hAnsi="C39T30Lfz"/>
        <w:sz w:val="56"/>
      </w:rPr>
      <w:tab/>
    </w:r>
    <w:r w:rsidR="001C37C0">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2/D/2117/201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2/D/2117/201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C1" w:rsidRDefault="009253C1" w:rsidP="000437B8">
      <w:pPr>
        <w:pStyle w:val="Footer"/>
        <w:bidi/>
        <w:spacing w:after="80" w:line="200" w:lineRule="exact"/>
        <w:ind w:left="680"/>
      </w:pPr>
      <w:r>
        <w:rPr>
          <w:rtl/>
        </w:rPr>
        <w:t>__________</w:t>
      </w:r>
    </w:p>
  </w:footnote>
  <w:footnote w:type="continuationSeparator" w:id="0">
    <w:p w:rsidR="009253C1" w:rsidRDefault="009253C1" w:rsidP="00656392">
      <w:pPr>
        <w:spacing w:line="240" w:lineRule="auto"/>
      </w:pPr>
      <w:r>
        <w:continuationSeparator/>
      </w:r>
    </w:p>
  </w:footnote>
  <w:footnote w:id="1">
    <w:p w:rsidR="00D31BEE" w:rsidRPr="00C135E6" w:rsidRDefault="00D31BEE" w:rsidP="00E9474B">
      <w:pPr>
        <w:pStyle w:val="FootnoteText1"/>
        <w:ind w:hanging="255"/>
        <w:rPr>
          <w:spacing w:val="-1"/>
          <w:rtl/>
        </w:rPr>
      </w:pPr>
      <w:r w:rsidRPr="00C135E6">
        <w:rPr>
          <w:spacing w:val="-1"/>
          <w:rtl/>
        </w:rPr>
        <w:t>*</w:t>
      </w:r>
      <w:r w:rsidRPr="00C135E6">
        <w:rPr>
          <w:spacing w:val="-1"/>
          <w:rtl/>
        </w:rPr>
        <w:tab/>
        <w:t xml:space="preserve">شارك أعضاء اللجنة التالية أسماؤهم في النظر في هذا البلاغ: السيد عياض بن عاشور، والسيدة كريستين </w:t>
      </w:r>
      <w:proofErr w:type="spellStart"/>
      <w:r w:rsidRPr="00C135E6">
        <w:rPr>
          <w:spacing w:val="-1"/>
          <w:rtl/>
        </w:rPr>
        <w:t>شانيه</w:t>
      </w:r>
      <w:proofErr w:type="spellEnd"/>
      <w:r w:rsidRPr="00C135E6">
        <w:rPr>
          <w:rFonts w:hint="cs"/>
          <w:spacing w:val="-1"/>
          <w:rtl/>
        </w:rPr>
        <w:t xml:space="preserve">، </w:t>
      </w:r>
      <w:r w:rsidRPr="00C135E6">
        <w:rPr>
          <w:spacing w:val="-1"/>
          <w:rtl/>
        </w:rPr>
        <w:t xml:space="preserve">والسيد </w:t>
      </w:r>
      <w:proofErr w:type="spellStart"/>
      <w:r w:rsidRPr="00C135E6">
        <w:rPr>
          <w:spacing w:val="-1"/>
          <w:rtl/>
        </w:rPr>
        <w:t>كورنيليس</w:t>
      </w:r>
      <w:proofErr w:type="spellEnd"/>
      <w:r w:rsidRPr="00C135E6">
        <w:rPr>
          <w:spacing w:val="-1"/>
          <w:rtl/>
        </w:rPr>
        <w:t xml:space="preserve"> </w:t>
      </w:r>
      <w:proofErr w:type="spellStart"/>
      <w:r w:rsidRPr="00C135E6">
        <w:rPr>
          <w:spacing w:val="-1"/>
          <w:rtl/>
        </w:rPr>
        <w:t>فلينترمان</w:t>
      </w:r>
      <w:proofErr w:type="spellEnd"/>
      <w:r w:rsidRPr="00C135E6">
        <w:rPr>
          <w:spacing w:val="-1"/>
          <w:rtl/>
        </w:rPr>
        <w:t xml:space="preserve">، والسيد يوجي </w:t>
      </w:r>
      <w:proofErr w:type="spellStart"/>
      <w:r w:rsidRPr="00C135E6">
        <w:rPr>
          <w:spacing w:val="-1"/>
          <w:rtl/>
        </w:rPr>
        <w:t>إواساوا</w:t>
      </w:r>
      <w:proofErr w:type="spellEnd"/>
      <w:r w:rsidRPr="00C135E6">
        <w:rPr>
          <w:spacing w:val="-1"/>
          <w:rtl/>
        </w:rPr>
        <w:t xml:space="preserve">، </w:t>
      </w:r>
      <w:r w:rsidRPr="00C135E6">
        <w:rPr>
          <w:rFonts w:hint="cs"/>
          <w:spacing w:val="-1"/>
          <w:rtl/>
        </w:rPr>
        <w:t xml:space="preserve">والسيد فالتر كالين، </w:t>
      </w:r>
      <w:r w:rsidRPr="00C135E6">
        <w:rPr>
          <w:spacing w:val="-1"/>
          <w:rtl/>
        </w:rPr>
        <w:t>والسيد جيرالد ل. نومان</w:t>
      </w:r>
      <w:r w:rsidRPr="00C135E6">
        <w:rPr>
          <w:rFonts w:hint="cs"/>
          <w:spacing w:val="-1"/>
          <w:rtl/>
        </w:rPr>
        <w:t xml:space="preserve">، والسير </w:t>
      </w:r>
      <w:proofErr w:type="spellStart"/>
      <w:r w:rsidRPr="00C135E6">
        <w:rPr>
          <w:rFonts w:hint="cs"/>
          <w:spacing w:val="-1"/>
          <w:rtl/>
        </w:rPr>
        <w:t>نايجل</w:t>
      </w:r>
      <w:proofErr w:type="spellEnd"/>
      <w:r w:rsidRPr="00C135E6">
        <w:rPr>
          <w:rFonts w:hint="cs"/>
          <w:spacing w:val="-1"/>
          <w:rtl/>
        </w:rPr>
        <w:t xml:space="preserve"> </w:t>
      </w:r>
      <w:proofErr w:type="spellStart"/>
      <w:r w:rsidRPr="00C135E6">
        <w:rPr>
          <w:rFonts w:hint="cs"/>
          <w:spacing w:val="-1"/>
          <w:rtl/>
        </w:rPr>
        <w:t>رودلي</w:t>
      </w:r>
      <w:proofErr w:type="spellEnd"/>
      <w:r w:rsidRPr="00C135E6">
        <w:rPr>
          <w:rFonts w:hint="cs"/>
          <w:spacing w:val="-1"/>
          <w:rtl/>
        </w:rPr>
        <w:t xml:space="preserve">، </w:t>
      </w:r>
      <w:r w:rsidRPr="00C135E6">
        <w:rPr>
          <w:spacing w:val="-1"/>
          <w:rtl/>
        </w:rPr>
        <w:t xml:space="preserve">والسيد فابيان عمر </w:t>
      </w:r>
      <w:proofErr w:type="spellStart"/>
      <w:r w:rsidRPr="00C135E6">
        <w:rPr>
          <w:spacing w:val="-1"/>
          <w:rtl/>
        </w:rPr>
        <w:t>س</w:t>
      </w:r>
      <w:r w:rsidRPr="00C135E6">
        <w:rPr>
          <w:rFonts w:hint="cs"/>
          <w:spacing w:val="-1"/>
          <w:rtl/>
        </w:rPr>
        <w:t>ا</w:t>
      </w:r>
      <w:r w:rsidRPr="00C135E6">
        <w:rPr>
          <w:spacing w:val="-1"/>
          <w:rtl/>
        </w:rPr>
        <w:t>لفيولي</w:t>
      </w:r>
      <w:proofErr w:type="spellEnd"/>
      <w:r w:rsidRPr="00C135E6">
        <w:rPr>
          <w:rFonts w:hint="cs"/>
          <w:spacing w:val="-1"/>
          <w:rtl/>
        </w:rPr>
        <w:t xml:space="preserve">، والسيد </w:t>
      </w:r>
      <w:proofErr w:type="spellStart"/>
      <w:r w:rsidRPr="00C135E6">
        <w:rPr>
          <w:rFonts w:hint="cs"/>
          <w:spacing w:val="-1"/>
          <w:rtl/>
        </w:rPr>
        <w:t>ديروجلال</w:t>
      </w:r>
      <w:proofErr w:type="spellEnd"/>
      <w:r w:rsidRPr="00C135E6">
        <w:rPr>
          <w:rFonts w:hint="cs"/>
          <w:spacing w:val="-1"/>
          <w:rtl/>
        </w:rPr>
        <w:t xml:space="preserve"> ب. </w:t>
      </w:r>
      <w:proofErr w:type="spellStart"/>
      <w:r w:rsidRPr="00C135E6">
        <w:rPr>
          <w:rFonts w:hint="cs"/>
          <w:spacing w:val="-1"/>
          <w:rtl/>
        </w:rPr>
        <w:t>سيتولسينغ</w:t>
      </w:r>
      <w:proofErr w:type="spellEnd"/>
      <w:r w:rsidRPr="00C135E6">
        <w:rPr>
          <w:rFonts w:hint="cs"/>
          <w:spacing w:val="-1"/>
          <w:rtl/>
        </w:rPr>
        <w:t xml:space="preserve">، والسيدة أنيا </w:t>
      </w:r>
      <w:proofErr w:type="spellStart"/>
      <w:r w:rsidRPr="00C135E6">
        <w:rPr>
          <w:rFonts w:hint="cs"/>
          <w:spacing w:val="-1"/>
          <w:rtl/>
        </w:rPr>
        <w:t>زايبرت</w:t>
      </w:r>
      <w:proofErr w:type="spellEnd"/>
      <w:r w:rsidRPr="00C135E6">
        <w:rPr>
          <w:rFonts w:hint="cs"/>
          <w:spacing w:val="-1"/>
          <w:rtl/>
        </w:rPr>
        <w:t xml:space="preserve"> - فوهر، والسيد يوفال </w:t>
      </w:r>
      <w:proofErr w:type="spellStart"/>
      <w:r w:rsidRPr="00C135E6">
        <w:rPr>
          <w:rFonts w:hint="cs"/>
          <w:spacing w:val="-1"/>
          <w:rtl/>
        </w:rPr>
        <w:t>شاني</w:t>
      </w:r>
      <w:proofErr w:type="spellEnd"/>
      <w:r w:rsidRPr="00C135E6">
        <w:rPr>
          <w:rFonts w:hint="cs"/>
          <w:spacing w:val="-1"/>
          <w:rtl/>
        </w:rPr>
        <w:t xml:space="preserve">، </w:t>
      </w:r>
      <w:r w:rsidRPr="00C135E6">
        <w:rPr>
          <w:spacing w:val="-1"/>
          <w:rtl/>
        </w:rPr>
        <w:t xml:space="preserve">والسيد </w:t>
      </w:r>
      <w:proofErr w:type="spellStart"/>
      <w:r w:rsidRPr="00C135E6">
        <w:rPr>
          <w:spacing w:val="-1"/>
          <w:rtl/>
        </w:rPr>
        <w:t>ك</w:t>
      </w:r>
      <w:r w:rsidRPr="00C135E6">
        <w:rPr>
          <w:rFonts w:hint="cs"/>
          <w:spacing w:val="-1"/>
          <w:rtl/>
        </w:rPr>
        <w:t>و</w:t>
      </w:r>
      <w:r w:rsidRPr="00C135E6">
        <w:rPr>
          <w:spacing w:val="-1"/>
          <w:rtl/>
        </w:rPr>
        <w:t>نستونتين</w:t>
      </w:r>
      <w:proofErr w:type="spellEnd"/>
      <w:r w:rsidRPr="00C135E6">
        <w:rPr>
          <w:spacing w:val="-1"/>
          <w:rtl/>
        </w:rPr>
        <w:t xml:space="preserve"> </w:t>
      </w:r>
      <w:proofErr w:type="spellStart"/>
      <w:r w:rsidRPr="00C135E6">
        <w:rPr>
          <w:spacing w:val="-1"/>
          <w:rtl/>
        </w:rPr>
        <w:t>فاردزيلاشفيلي</w:t>
      </w:r>
      <w:proofErr w:type="spellEnd"/>
      <w:r w:rsidRPr="00C135E6">
        <w:rPr>
          <w:rFonts w:hint="cs"/>
          <w:spacing w:val="-1"/>
          <w:rtl/>
        </w:rPr>
        <w:t xml:space="preserve">، </w:t>
      </w:r>
      <w:r w:rsidRPr="00C135E6">
        <w:rPr>
          <w:spacing w:val="-1"/>
          <w:rtl/>
        </w:rPr>
        <w:t xml:space="preserve">والسيدة مارغو </w:t>
      </w:r>
      <w:proofErr w:type="spellStart"/>
      <w:r w:rsidRPr="00C135E6">
        <w:rPr>
          <w:spacing w:val="-1"/>
          <w:rtl/>
        </w:rPr>
        <w:t>واترفال</w:t>
      </w:r>
      <w:proofErr w:type="spellEnd"/>
      <w:r w:rsidRPr="00C135E6">
        <w:rPr>
          <w:rFonts w:hint="cs"/>
          <w:spacing w:val="-1"/>
          <w:rtl/>
        </w:rPr>
        <w:t xml:space="preserve">، </w:t>
      </w:r>
      <w:r w:rsidRPr="00C135E6">
        <w:rPr>
          <w:spacing w:val="-1"/>
          <w:rtl/>
        </w:rPr>
        <w:t xml:space="preserve">والسيد أندريه بول </w:t>
      </w:r>
      <w:proofErr w:type="spellStart"/>
      <w:r w:rsidRPr="00C135E6">
        <w:rPr>
          <w:spacing w:val="-1"/>
          <w:rtl/>
        </w:rPr>
        <w:t>زلات</w:t>
      </w:r>
      <w:r w:rsidRPr="00C135E6">
        <w:rPr>
          <w:rFonts w:hint="cs"/>
          <w:spacing w:val="-1"/>
          <w:rtl/>
        </w:rPr>
        <w:t>ي</w:t>
      </w:r>
      <w:r w:rsidRPr="00C135E6">
        <w:rPr>
          <w:spacing w:val="-1"/>
          <w:rtl/>
        </w:rPr>
        <w:t>شكو</w:t>
      </w:r>
      <w:proofErr w:type="spellEnd"/>
      <w:r w:rsidRPr="00C135E6">
        <w:rPr>
          <w:rFonts w:hint="cs"/>
          <w:spacing w:val="-1"/>
          <w:rtl/>
        </w:rPr>
        <w:t>.</w:t>
      </w:r>
    </w:p>
    <w:p w:rsidR="00D31BEE" w:rsidRPr="00D31BEE" w:rsidRDefault="00D31BEE" w:rsidP="00D31BEE">
      <w:pPr>
        <w:pStyle w:val="FootnoteText1"/>
        <w:rPr>
          <w:rtl/>
        </w:rPr>
      </w:pPr>
      <w:r w:rsidRPr="00D31BEE">
        <w:rPr>
          <w:rFonts w:hint="cs"/>
          <w:rtl/>
        </w:rPr>
        <w:tab/>
        <w:t>و</w:t>
      </w:r>
      <w:r w:rsidRPr="00D31BEE">
        <w:rPr>
          <w:rtl/>
          <w:lang w:bidi="ar"/>
        </w:rPr>
        <w:t>وفقاً للمادة 90 من النظام الداخلي</w:t>
      </w:r>
      <w:r w:rsidRPr="00D31BEE">
        <w:rPr>
          <w:rFonts w:hint="cs"/>
          <w:rtl/>
          <w:lang w:bidi="ar"/>
        </w:rPr>
        <w:t xml:space="preserve"> للجنة</w:t>
      </w:r>
      <w:r w:rsidRPr="00D31BEE">
        <w:rPr>
          <w:rtl/>
          <w:lang w:bidi="ar"/>
        </w:rPr>
        <w:t>، لم يشارك السيد لزهاري بوزيد في</w:t>
      </w:r>
      <w:r w:rsidRPr="00D31BEE">
        <w:rPr>
          <w:rtl/>
        </w:rPr>
        <w:t xml:space="preserve"> </w:t>
      </w:r>
      <w:r w:rsidRPr="00D31BEE">
        <w:rPr>
          <w:rFonts w:hint="cs"/>
          <w:rtl/>
        </w:rPr>
        <w:t>دراسة هذا البلاغ.</w:t>
      </w:r>
    </w:p>
  </w:footnote>
  <w:footnote w:id="2">
    <w:p w:rsidR="004B7AD6" w:rsidRPr="00834637" w:rsidRDefault="004B7AD6" w:rsidP="00834637">
      <w:pPr>
        <w:pStyle w:val="FootnoteText1"/>
      </w:pPr>
      <w:r w:rsidRPr="00834637">
        <w:rPr>
          <w:b/>
          <w:rtl/>
        </w:rPr>
        <w:t>(1)</w:t>
      </w:r>
      <w:r w:rsidR="00834637">
        <w:rPr>
          <w:rFonts w:hint="cs"/>
          <w:rtl/>
        </w:rPr>
        <w:tab/>
      </w:r>
      <w:r w:rsidRPr="00834637">
        <w:rPr>
          <w:rFonts w:hint="cs"/>
          <w:rtl/>
        </w:rPr>
        <w:t>احتُجز حسن العدي في تلك الفترة في مركز قيادة العمليات في</w:t>
      </w:r>
      <w:r w:rsidRPr="00834637">
        <w:rPr>
          <w:rtl/>
        </w:rPr>
        <w:t xml:space="preserve"> </w:t>
      </w:r>
      <w:proofErr w:type="spellStart"/>
      <w:r w:rsidRPr="00834637">
        <w:rPr>
          <w:rtl/>
        </w:rPr>
        <w:t>شاطوناف</w:t>
      </w:r>
      <w:proofErr w:type="spellEnd"/>
      <w:r w:rsidRPr="00834637">
        <w:rPr>
          <w:rFonts w:hint="cs"/>
          <w:rtl/>
        </w:rPr>
        <w:t>، وهو مركز للاحتجاز السري والتعذيب وحالات الإعدام خارج نطاق القضاء، وحُرم فيه من التواصل مع العالم الخارجي. كما لم يُقيَّد احتجازه على ما يبدو في أي سجل رسمي ولم يُتخذ أي إجراء لإعلام أقاربه بوضعه.</w:t>
      </w:r>
    </w:p>
  </w:footnote>
  <w:footnote w:id="3">
    <w:p w:rsidR="007662EF" w:rsidRDefault="007662EF" w:rsidP="00834637">
      <w:pPr>
        <w:pStyle w:val="FootnoteText1"/>
      </w:pPr>
      <w:r w:rsidRPr="00834637">
        <w:rPr>
          <w:b/>
          <w:rtl/>
        </w:rPr>
        <w:t>(2)</w:t>
      </w:r>
      <w:r w:rsidR="00834637">
        <w:rPr>
          <w:rFonts w:hint="cs"/>
          <w:rtl/>
        </w:rPr>
        <w:tab/>
      </w:r>
      <w:r w:rsidRPr="00834637">
        <w:rPr>
          <w:rFonts w:hint="cs"/>
          <w:rtl/>
        </w:rPr>
        <w:t>قام الفريق العامل بتسجيل حالة حسن العدي في 19 تشرين الأول/أكتوبر 1998 تحت الرقم 0004215.</w:t>
      </w:r>
    </w:p>
  </w:footnote>
  <w:footnote w:id="4">
    <w:p w:rsidR="004B7AD6" w:rsidRDefault="004B7AD6" w:rsidP="00FF7098">
      <w:pPr>
        <w:pStyle w:val="FootnoteText1"/>
      </w:pPr>
      <w:r w:rsidRPr="00834637">
        <w:rPr>
          <w:b/>
          <w:rtl/>
        </w:rPr>
        <w:t>(3)</w:t>
      </w:r>
      <w:r w:rsidR="00834637">
        <w:rPr>
          <w:rFonts w:hint="cs"/>
          <w:rtl/>
        </w:rPr>
        <w:tab/>
      </w:r>
      <w:r>
        <w:rPr>
          <w:rFonts w:hint="cs"/>
          <w:rtl/>
        </w:rPr>
        <w:t>ت</w:t>
      </w:r>
      <w:r w:rsidRPr="005810E4">
        <w:rPr>
          <w:rFonts w:hint="cs"/>
          <w:rtl/>
        </w:rPr>
        <w:t>شير صاحب</w:t>
      </w:r>
      <w:r>
        <w:rPr>
          <w:rFonts w:hint="cs"/>
          <w:rtl/>
        </w:rPr>
        <w:t>ة</w:t>
      </w:r>
      <w:r w:rsidRPr="005810E4">
        <w:rPr>
          <w:rFonts w:hint="cs"/>
          <w:rtl/>
        </w:rPr>
        <w:t xml:space="preserve"> البلاغ إلى الآراء الفردية التي أبداها فابيان عمر </w:t>
      </w:r>
      <w:proofErr w:type="spellStart"/>
      <w:r w:rsidRPr="005810E4">
        <w:rPr>
          <w:rFonts w:hint="cs"/>
          <w:rtl/>
        </w:rPr>
        <w:t>سالفيولي</w:t>
      </w:r>
      <w:proofErr w:type="spellEnd"/>
      <w:r w:rsidRPr="005810E4">
        <w:rPr>
          <w:rFonts w:hint="cs"/>
          <w:rtl/>
        </w:rPr>
        <w:t xml:space="preserve"> في هذا الصدد، وبخاصة في البلاغين رقم</w:t>
      </w:r>
      <w:r w:rsidR="00FF7098">
        <w:rPr>
          <w:rFonts w:hint="eastAsia"/>
          <w:rtl/>
        </w:rPr>
        <w:t> </w:t>
      </w:r>
      <w:r w:rsidRPr="005810E4">
        <w:rPr>
          <w:rFonts w:hint="cs"/>
          <w:rtl/>
        </w:rPr>
        <w:t xml:space="preserve">1780/2008، </w:t>
      </w:r>
      <w:proofErr w:type="spellStart"/>
      <w:r w:rsidRPr="00CF14CB">
        <w:rPr>
          <w:rFonts w:hint="cs"/>
          <w:i/>
          <w:iCs/>
          <w:rtl/>
        </w:rPr>
        <w:t>زرزي</w:t>
      </w:r>
      <w:proofErr w:type="spellEnd"/>
      <w:r w:rsidRPr="00CF14CB">
        <w:rPr>
          <w:rFonts w:hint="cs"/>
          <w:i/>
          <w:iCs/>
          <w:rtl/>
        </w:rPr>
        <w:t xml:space="preserve"> ضد الجزائر</w:t>
      </w:r>
      <w:r w:rsidRPr="005810E4">
        <w:rPr>
          <w:rFonts w:hint="cs"/>
          <w:rtl/>
        </w:rPr>
        <w:t>، الآراء المعتمدة في 22 آذار/مارس 2011؛ ورقم 1588/2007،</w:t>
      </w:r>
      <w:r>
        <w:rPr>
          <w:rFonts w:hint="cs"/>
          <w:rtl/>
        </w:rPr>
        <w:t xml:space="preserve"> </w:t>
      </w:r>
      <w:proofErr w:type="spellStart"/>
      <w:r w:rsidRPr="00CF14CB">
        <w:rPr>
          <w:rFonts w:hint="cs"/>
          <w:i/>
          <w:iCs/>
          <w:rtl/>
        </w:rPr>
        <w:t>بنعزيزة</w:t>
      </w:r>
      <w:proofErr w:type="spellEnd"/>
      <w:r w:rsidRPr="00CF14CB">
        <w:rPr>
          <w:rFonts w:hint="cs"/>
          <w:i/>
          <w:iCs/>
          <w:rtl/>
        </w:rPr>
        <w:t xml:space="preserve"> ضد الجزائر</w:t>
      </w:r>
      <w:r w:rsidRPr="005810E4">
        <w:rPr>
          <w:rFonts w:hint="cs"/>
          <w:rtl/>
        </w:rPr>
        <w:t>، الآراء المعتمدة في 26 تموز/يوليه 2010.</w:t>
      </w:r>
    </w:p>
  </w:footnote>
  <w:footnote w:id="5">
    <w:p w:rsidR="004B7AD6" w:rsidRDefault="004B7AD6" w:rsidP="00E47428">
      <w:pPr>
        <w:pStyle w:val="FootnoteText1"/>
      </w:pPr>
      <w:r w:rsidRPr="00834637">
        <w:rPr>
          <w:b/>
          <w:rtl/>
        </w:rPr>
        <w:t>(4)</w:t>
      </w:r>
      <w:r w:rsidR="00834637">
        <w:rPr>
          <w:rFonts w:hint="cs"/>
          <w:rtl/>
        </w:rPr>
        <w:tab/>
      </w:r>
      <w:r w:rsidRPr="005810E4">
        <w:rPr>
          <w:rFonts w:hint="cs"/>
          <w:rtl/>
        </w:rPr>
        <w:t>ا</w:t>
      </w:r>
      <w:r>
        <w:rPr>
          <w:rFonts w:hint="cs"/>
          <w:rtl/>
        </w:rPr>
        <w:t>نظر ا</w:t>
      </w:r>
      <w:r w:rsidRPr="005810E4">
        <w:rPr>
          <w:rFonts w:hint="cs"/>
          <w:rtl/>
        </w:rPr>
        <w:t xml:space="preserve">لبلاغات رقم 449/1991، </w:t>
      </w:r>
      <w:proofErr w:type="spellStart"/>
      <w:r w:rsidRPr="00CF14CB">
        <w:rPr>
          <w:rFonts w:hint="cs"/>
          <w:i/>
          <w:iCs/>
          <w:rtl/>
        </w:rPr>
        <w:t>موخيكا</w:t>
      </w:r>
      <w:proofErr w:type="spellEnd"/>
      <w:r w:rsidRPr="00CF14CB">
        <w:rPr>
          <w:rFonts w:hint="cs"/>
          <w:i/>
          <w:iCs/>
          <w:rtl/>
        </w:rPr>
        <w:t xml:space="preserve"> ضد الجمهورية </w:t>
      </w:r>
      <w:proofErr w:type="spellStart"/>
      <w:r w:rsidRPr="00CF14CB">
        <w:rPr>
          <w:rFonts w:hint="cs"/>
          <w:i/>
          <w:iCs/>
          <w:rtl/>
        </w:rPr>
        <w:t>الدومينيك</w:t>
      </w:r>
      <w:r w:rsidR="00CF14CB">
        <w:rPr>
          <w:rFonts w:hint="cs"/>
          <w:i/>
          <w:iCs/>
          <w:rtl/>
        </w:rPr>
        <w:t>ي</w:t>
      </w:r>
      <w:r w:rsidRPr="00CF14CB">
        <w:rPr>
          <w:rFonts w:hint="cs"/>
          <w:i/>
          <w:iCs/>
          <w:rtl/>
        </w:rPr>
        <w:t>ة</w:t>
      </w:r>
      <w:proofErr w:type="spellEnd"/>
      <w:r w:rsidRPr="005810E4">
        <w:rPr>
          <w:rFonts w:hint="cs"/>
          <w:rtl/>
        </w:rPr>
        <w:t>، الآراء المعتمدة في 15 تموز/</w:t>
      </w:r>
      <w:r w:rsidR="00E47428">
        <w:rPr>
          <w:rFonts w:hint="cs"/>
          <w:rtl/>
        </w:rPr>
        <w:t xml:space="preserve"> </w:t>
      </w:r>
      <w:r w:rsidRPr="005810E4">
        <w:rPr>
          <w:rFonts w:hint="cs"/>
          <w:rtl/>
        </w:rPr>
        <w:t>يوليه</w:t>
      </w:r>
      <w:r w:rsidR="00E47428">
        <w:rPr>
          <w:rFonts w:hint="eastAsia"/>
          <w:rtl/>
        </w:rPr>
        <w:t> </w:t>
      </w:r>
      <w:r w:rsidRPr="005810E4">
        <w:rPr>
          <w:rFonts w:hint="cs"/>
          <w:rtl/>
        </w:rPr>
        <w:t xml:space="preserve">1994، الفقرة 5-7؛ ورقم 540/1993، </w:t>
      </w:r>
      <w:proofErr w:type="spellStart"/>
      <w:r w:rsidRPr="00CF14CB">
        <w:rPr>
          <w:rFonts w:hint="cs"/>
          <w:i/>
          <w:iCs/>
          <w:rtl/>
        </w:rPr>
        <w:t>لوريانو</w:t>
      </w:r>
      <w:proofErr w:type="spellEnd"/>
      <w:r w:rsidRPr="00CF14CB">
        <w:rPr>
          <w:rFonts w:hint="cs"/>
          <w:i/>
          <w:iCs/>
          <w:rtl/>
        </w:rPr>
        <w:t xml:space="preserve"> </w:t>
      </w:r>
      <w:proofErr w:type="spellStart"/>
      <w:r w:rsidRPr="00CF14CB">
        <w:rPr>
          <w:rFonts w:hint="cs"/>
          <w:i/>
          <w:iCs/>
          <w:rtl/>
        </w:rPr>
        <w:t>اتاشاكوا</w:t>
      </w:r>
      <w:proofErr w:type="spellEnd"/>
      <w:r w:rsidRPr="00CF14CB">
        <w:rPr>
          <w:rFonts w:hint="cs"/>
          <w:i/>
          <w:iCs/>
          <w:rtl/>
        </w:rPr>
        <w:t xml:space="preserve"> ضد بيرو</w:t>
      </w:r>
      <w:r w:rsidRPr="005810E4">
        <w:rPr>
          <w:rFonts w:hint="cs"/>
          <w:rtl/>
        </w:rPr>
        <w:t>، الآراء المعتمدة في 25 آذار/</w:t>
      </w:r>
      <w:r w:rsidR="00E47428">
        <w:rPr>
          <w:rFonts w:hint="cs"/>
          <w:rtl/>
        </w:rPr>
        <w:t xml:space="preserve"> </w:t>
      </w:r>
      <w:r w:rsidRPr="005810E4">
        <w:rPr>
          <w:rFonts w:hint="cs"/>
          <w:rtl/>
        </w:rPr>
        <w:t xml:space="preserve">مارس 1996، الفقرة 8-5؛ ورقم 542/1993، </w:t>
      </w:r>
      <w:proofErr w:type="spellStart"/>
      <w:r w:rsidRPr="00CF14CB">
        <w:rPr>
          <w:rFonts w:hint="cs"/>
          <w:i/>
          <w:iCs/>
          <w:rtl/>
        </w:rPr>
        <w:t>نغويا</w:t>
      </w:r>
      <w:proofErr w:type="spellEnd"/>
      <w:r w:rsidRPr="00CF14CB">
        <w:rPr>
          <w:rFonts w:hint="cs"/>
          <w:i/>
          <w:iCs/>
          <w:rtl/>
        </w:rPr>
        <w:t xml:space="preserve"> ضد زائير</w:t>
      </w:r>
      <w:r w:rsidRPr="005810E4">
        <w:rPr>
          <w:rFonts w:hint="cs"/>
          <w:rtl/>
        </w:rPr>
        <w:t>، الآراء المعتمدة في 25 آذار/</w:t>
      </w:r>
      <w:r w:rsidR="00E47428">
        <w:rPr>
          <w:rFonts w:hint="cs"/>
          <w:rtl/>
        </w:rPr>
        <w:t xml:space="preserve"> </w:t>
      </w:r>
      <w:r w:rsidRPr="005810E4">
        <w:rPr>
          <w:rFonts w:hint="cs"/>
          <w:rtl/>
        </w:rPr>
        <w:t>مارس</w:t>
      </w:r>
      <w:r w:rsidR="00E47428">
        <w:rPr>
          <w:rFonts w:hint="eastAsia"/>
          <w:rtl/>
        </w:rPr>
        <w:t> </w:t>
      </w:r>
      <w:r w:rsidRPr="005810E4">
        <w:rPr>
          <w:rFonts w:hint="cs"/>
          <w:rtl/>
        </w:rPr>
        <w:t>1996، الفقرة 5-5.</w:t>
      </w:r>
    </w:p>
  </w:footnote>
  <w:footnote w:id="6">
    <w:p w:rsidR="004B7AD6" w:rsidRDefault="004B7AD6" w:rsidP="00F57050">
      <w:pPr>
        <w:pStyle w:val="FootnoteText1"/>
      </w:pPr>
      <w:r w:rsidRPr="00834637">
        <w:rPr>
          <w:b/>
          <w:rtl/>
        </w:rPr>
        <w:t>(5)</w:t>
      </w:r>
      <w:r w:rsidR="00834637">
        <w:rPr>
          <w:rFonts w:hint="cs"/>
          <w:rtl/>
        </w:rPr>
        <w:tab/>
      </w:r>
      <w:r w:rsidRPr="00834637">
        <w:rPr>
          <w:rFonts w:hint="cs"/>
          <w:rtl/>
        </w:rPr>
        <w:t>انظر</w:t>
      </w:r>
      <w:r>
        <w:rPr>
          <w:rFonts w:hint="cs"/>
          <w:rtl/>
        </w:rPr>
        <w:t xml:space="preserve"> </w:t>
      </w:r>
      <w:proofErr w:type="spellStart"/>
      <w:r w:rsidRPr="00834637">
        <w:rPr>
          <w:rFonts w:hint="cs"/>
          <w:rtl/>
        </w:rPr>
        <w:t>بنعزيزة</w:t>
      </w:r>
      <w:proofErr w:type="spellEnd"/>
      <w:r w:rsidRPr="00834637">
        <w:rPr>
          <w:rFonts w:hint="cs"/>
          <w:rtl/>
        </w:rPr>
        <w:t xml:space="preserve"> ضد الجزائر</w:t>
      </w:r>
      <w:r w:rsidRPr="005810E4">
        <w:rPr>
          <w:rFonts w:hint="cs"/>
          <w:rtl/>
        </w:rPr>
        <w:t xml:space="preserve">، الفقرة 9-5؛ والبلاغات رقم 1196/2003، </w:t>
      </w:r>
      <w:proofErr w:type="spellStart"/>
      <w:r w:rsidRPr="00CF14CB">
        <w:rPr>
          <w:rFonts w:hint="cs"/>
          <w:i/>
          <w:iCs/>
          <w:rtl/>
        </w:rPr>
        <w:t>بوشارف</w:t>
      </w:r>
      <w:proofErr w:type="spellEnd"/>
      <w:r w:rsidRPr="00CF14CB">
        <w:rPr>
          <w:rFonts w:hint="cs"/>
          <w:i/>
          <w:iCs/>
          <w:rtl/>
        </w:rPr>
        <w:t xml:space="preserve"> ضد الجزائر</w:t>
      </w:r>
      <w:r w:rsidRPr="005810E4">
        <w:rPr>
          <w:rFonts w:hint="cs"/>
          <w:rtl/>
        </w:rPr>
        <w:t>، الآراء المعتمدة في</w:t>
      </w:r>
      <w:r w:rsidR="00F57050">
        <w:rPr>
          <w:rFonts w:hint="cs"/>
          <w:rtl/>
        </w:rPr>
        <w:t xml:space="preserve"> </w:t>
      </w:r>
      <w:r w:rsidRPr="005810E4">
        <w:rPr>
          <w:rFonts w:hint="cs"/>
          <w:rtl/>
        </w:rPr>
        <w:t>30 آذار/مارس 2006، الفقرة 9-6؛ ورقم 1327/2004،</w:t>
      </w:r>
      <w:r>
        <w:rPr>
          <w:rFonts w:hint="cs"/>
          <w:rtl/>
        </w:rPr>
        <w:t xml:space="preserve"> </w:t>
      </w:r>
      <w:proofErr w:type="spellStart"/>
      <w:r w:rsidRPr="00CF14CB">
        <w:rPr>
          <w:rFonts w:hint="cs"/>
          <w:i/>
          <w:iCs/>
          <w:rtl/>
        </w:rPr>
        <w:t>أعتامنا</w:t>
      </w:r>
      <w:proofErr w:type="spellEnd"/>
      <w:r w:rsidRPr="00CF14CB">
        <w:rPr>
          <w:rFonts w:hint="cs"/>
          <w:i/>
          <w:iCs/>
          <w:rtl/>
        </w:rPr>
        <w:t xml:space="preserve"> ضد الجزائر</w:t>
      </w:r>
      <w:r w:rsidRPr="005810E4">
        <w:rPr>
          <w:rFonts w:hint="cs"/>
          <w:rtl/>
        </w:rPr>
        <w:t xml:space="preserve">، الآراء المعتمدة في 10 تموز/يوليه 2007، الفقرة 7-6؛ ورقم 992/2001، </w:t>
      </w:r>
      <w:proofErr w:type="spellStart"/>
      <w:r w:rsidRPr="00CF14CB">
        <w:rPr>
          <w:rFonts w:hint="cs"/>
          <w:i/>
          <w:iCs/>
          <w:rtl/>
        </w:rPr>
        <w:t>بوسروال</w:t>
      </w:r>
      <w:proofErr w:type="spellEnd"/>
      <w:r w:rsidRPr="00CF14CB">
        <w:rPr>
          <w:rFonts w:hint="cs"/>
          <w:i/>
          <w:iCs/>
          <w:rtl/>
        </w:rPr>
        <w:t xml:space="preserve"> ضد الجزائر</w:t>
      </w:r>
      <w:r w:rsidRPr="005810E4">
        <w:rPr>
          <w:rFonts w:hint="cs"/>
          <w:rtl/>
        </w:rPr>
        <w:t>، الآراء المعتمدة في 30 آذار/</w:t>
      </w:r>
      <w:r w:rsidR="00F57050">
        <w:rPr>
          <w:rFonts w:hint="cs"/>
          <w:rtl/>
        </w:rPr>
        <w:t xml:space="preserve"> </w:t>
      </w:r>
      <w:r w:rsidRPr="005810E4">
        <w:rPr>
          <w:rFonts w:hint="cs"/>
          <w:rtl/>
        </w:rPr>
        <w:t xml:space="preserve">مارس 2006، الفقرة 9-8؛ ورقم 950/2000، </w:t>
      </w:r>
      <w:r w:rsidRPr="00CF14CB">
        <w:rPr>
          <w:rFonts w:hint="cs"/>
          <w:i/>
          <w:iCs/>
          <w:rtl/>
        </w:rPr>
        <w:t xml:space="preserve">صارما ضد سري </w:t>
      </w:r>
      <w:proofErr w:type="spellStart"/>
      <w:r w:rsidRPr="00CF14CB">
        <w:rPr>
          <w:rFonts w:hint="cs"/>
          <w:i/>
          <w:iCs/>
          <w:rtl/>
        </w:rPr>
        <w:t>لانكا</w:t>
      </w:r>
      <w:proofErr w:type="spellEnd"/>
      <w:r w:rsidRPr="005810E4">
        <w:rPr>
          <w:rFonts w:hint="cs"/>
          <w:rtl/>
        </w:rPr>
        <w:t>، الآراء المعتمدة في 16 تموز/</w:t>
      </w:r>
      <w:r w:rsidR="00F57050">
        <w:rPr>
          <w:rFonts w:hint="cs"/>
          <w:rtl/>
        </w:rPr>
        <w:t xml:space="preserve"> </w:t>
      </w:r>
      <w:r w:rsidRPr="005810E4">
        <w:rPr>
          <w:rFonts w:hint="cs"/>
          <w:rtl/>
        </w:rPr>
        <w:t>يوليه</w:t>
      </w:r>
      <w:r w:rsidR="00F57050">
        <w:rPr>
          <w:rFonts w:hint="eastAsia"/>
          <w:rtl/>
        </w:rPr>
        <w:t> </w:t>
      </w:r>
      <w:r w:rsidRPr="005810E4">
        <w:rPr>
          <w:rFonts w:hint="cs"/>
          <w:rtl/>
        </w:rPr>
        <w:t>2003، الفقرة 9-3.</w:t>
      </w:r>
    </w:p>
  </w:footnote>
  <w:footnote w:id="7">
    <w:p w:rsidR="004B7AD6" w:rsidRDefault="004B7AD6" w:rsidP="00834637">
      <w:pPr>
        <w:pStyle w:val="FootnoteText1"/>
      </w:pPr>
      <w:r w:rsidRPr="00834637">
        <w:rPr>
          <w:b/>
          <w:rtl/>
        </w:rPr>
        <w:t>(6)</w:t>
      </w:r>
      <w:r w:rsidR="00834637">
        <w:rPr>
          <w:rFonts w:hint="cs"/>
          <w:rtl/>
        </w:rPr>
        <w:tab/>
      </w:r>
      <w:r w:rsidRPr="00834637">
        <w:rPr>
          <w:rFonts w:hint="cs"/>
          <w:rtl/>
        </w:rPr>
        <w:t>انظر</w:t>
      </w:r>
      <w:r>
        <w:rPr>
          <w:rFonts w:hint="cs"/>
          <w:rtl/>
        </w:rPr>
        <w:t xml:space="preserve"> </w:t>
      </w:r>
      <w:proofErr w:type="spellStart"/>
      <w:r w:rsidRPr="00CF14CB">
        <w:rPr>
          <w:rFonts w:hint="cs"/>
          <w:i/>
          <w:iCs/>
          <w:rtl/>
        </w:rPr>
        <w:t>بنعزيزة</w:t>
      </w:r>
      <w:proofErr w:type="spellEnd"/>
      <w:r w:rsidRPr="00CF14CB">
        <w:rPr>
          <w:rFonts w:hint="cs"/>
          <w:i/>
          <w:iCs/>
          <w:rtl/>
        </w:rPr>
        <w:t xml:space="preserve"> ضد الجزائر</w:t>
      </w:r>
      <w:r w:rsidRPr="005810E4">
        <w:rPr>
          <w:rFonts w:hint="cs"/>
          <w:rtl/>
        </w:rPr>
        <w:t xml:space="preserve">، الفقرة 9-6؛ </w:t>
      </w:r>
      <w:proofErr w:type="spellStart"/>
      <w:r w:rsidRPr="00CF14CB">
        <w:rPr>
          <w:rFonts w:hint="cs"/>
          <w:i/>
          <w:iCs/>
          <w:rtl/>
        </w:rPr>
        <w:t>وبوشارف</w:t>
      </w:r>
      <w:proofErr w:type="spellEnd"/>
      <w:r w:rsidRPr="00CF14CB">
        <w:rPr>
          <w:rFonts w:hint="cs"/>
          <w:i/>
          <w:iCs/>
          <w:rtl/>
        </w:rPr>
        <w:t xml:space="preserve"> ضد الجزائر</w:t>
      </w:r>
      <w:r w:rsidRPr="00834637">
        <w:rPr>
          <w:rFonts w:hint="cs"/>
          <w:rtl/>
        </w:rPr>
        <w:t>،</w:t>
      </w:r>
      <w:r w:rsidRPr="005810E4">
        <w:rPr>
          <w:rFonts w:hint="cs"/>
          <w:rtl/>
        </w:rPr>
        <w:t xml:space="preserve"> الفقرة 9-7؛</w:t>
      </w:r>
      <w:r>
        <w:rPr>
          <w:rFonts w:hint="cs"/>
          <w:rtl/>
        </w:rPr>
        <w:t xml:space="preserve"> </w:t>
      </w:r>
      <w:proofErr w:type="spellStart"/>
      <w:r w:rsidRPr="00CF14CB">
        <w:rPr>
          <w:rFonts w:hint="cs"/>
          <w:i/>
          <w:iCs/>
          <w:rtl/>
        </w:rPr>
        <w:t>وعتامنا</w:t>
      </w:r>
      <w:proofErr w:type="spellEnd"/>
      <w:r w:rsidRPr="00CF14CB">
        <w:rPr>
          <w:rFonts w:hint="cs"/>
          <w:i/>
          <w:iCs/>
          <w:rtl/>
        </w:rPr>
        <w:t xml:space="preserve"> ضد الجزائر</w:t>
      </w:r>
      <w:r w:rsidRPr="005810E4">
        <w:rPr>
          <w:rFonts w:hint="cs"/>
          <w:rtl/>
        </w:rPr>
        <w:t xml:space="preserve">، </w:t>
      </w:r>
      <w:r w:rsidR="00F57050">
        <w:rPr>
          <w:rFonts w:hint="cs"/>
          <w:rtl/>
        </w:rPr>
        <w:t xml:space="preserve">        </w:t>
      </w:r>
      <w:r w:rsidRPr="005810E4">
        <w:rPr>
          <w:rFonts w:hint="cs"/>
          <w:rtl/>
        </w:rPr>
        <w:t xml:space="preserve">الفقرة 7-7؛ </w:t>
      </w:r>
      <w:proofErr w:type="spellStart"/>
      <w:r w:rsidRPr="00CF14CB">
        <w:rPr>
          <w:rFonts w:hint="cs"/>
          <w:i/>
          <w:iCs/>
          <w:rtl/>
        </w:rPr>
        <w:t>وبوسروال</w:t>
      </w:r>
      <w:proofErr w:type="spellEnd"/>
      <w:r w:rsidRPr="00CF14CB">
        <w:rPr>
          <w:rFonts w:hint="cs"/>
          <w:i/>
          <w:iCs/>
          <w:rtl/>
        </w:rPr>
        <w:t xml:space="preserve"> ضد الجزائر</w:t>
      </w:r>
      <w:r w:rsidRPr="005810E4">
        <w:rPr>
          <w:rFonts w:hint="cs"/>
          <w:rtl/>
        </w:rPr>
        <w:t xml:space="preserve">، الفقرة 9-8؛ </w:t>
      </w:r>
      <w:r w:rsidRPr="00CF14CB">
        <w:rPr>
          <w:rFonts w:hint="cs"/>
          <w:i/>
          <w:iCs/>
          <w:rtl/>
        </w:rPr>
        <w:t xml:space="preserve">وصارما ضد سري </w:t>
      </w:r>
      <w:proofErr w:type="spellStart"/>
      <w:r w:rsidRPr="00CF14CB">
        <w:rPr>
          <w:rFonts w:hint="cs"/>
          <w:i/>
          <w:iCs/>
          <w:rtl/>
        </w:rPr>
        <w:t>لانكا</w:t>
      </w:r>
      <w:proofErr w:type="spellEnd"/>
      <w:r w:rsidRPr="005810E4">
        <w:rPr>
          <w:rFonts w:hint="cs"/>
          <w:rtl/>
        </w:rPr>
        <w:t>، الفقرة 9-5.</w:t>
      </w:r>
    </w:p>
  </w:footnote>
  <w:footnote w:id="8">
    <w:p w:rsidR="004B7AD6" w:rsidRDefault="004B7AD6" w:rsidP="00834637">
      <w:pPr>
        <w:pStyle w:val="FootnoteText1"/>
      </w:pPr>
      <w:r w:rsidRPr="00834637">
        <w:rPr>
          <w:b/>
          <w:rtl/>
        </w:rPr>
        <w:t>(7)</w:t>
      </w:r>
      <w:r w:rsidR="00834637">
        <w:rPr>
          <w:rFonts w:hint="cs"/>
          <w:rtl/>
        </w:rPr>
        <w:tab/>
      </w:r>
      <w:r w:rsidRPr="00834637">
        <w:rPr>
          <w:rFonts w:hint="cs"/>
          <w:rtl/>
        </w:rPr>
        <w:t>انظر البلاغ</w:t>
      </w:r>
      <w:r w:rsidRPr="005810E4">
        <w:rPr>
          <w:rFonts w:hint="cs"/>
          <w:rtl/>
        </w:rPr>
        <w:t xml:space="preserve"> رقم 1469/2006، </w:t>
      </w:r>
      <w:r w:rsidRPr="00CF14CB">
        <w:rPr>
          <w:rFonts w:hint="cs"/>
          <w:i/>
          <w:iCs/>
          <w:rtl/>
        </w:rPr>
        <w:t>شارما ضد نيبال</w:t>
      </w:r>
      <w:r w:rsidRPr="005810E4">
        <w:rPr>
          <w:rFonts w:hint="cs"/>
          <w:rtl/>
        </w:rPr>
        <w:t>، الآراء المعتمدة في 28 تشرين الأول/أكتوبر 2008، الفقرة 7-7.</w:t>
      </w:r>
    </w:p>
  </w:footnote>
  <w:footnote w:id="9">
    <w:p w:rsidR="004B7AD6" w:rsidRDefault="004B7AD6" w:rsidP="00701EBD">
      <w:pPr>
        <w:pStyle w:val="FootnoteText1"/>
      </w:pPr>
      <w:r w:rsidRPr="00834637">
        <w:rPr>
          <w:b/>
          <w:rtl/>
        </w:rPr>
        <w:t>(8)</w:t>
      </w:r>
      <w:r w:rsidR="00834637">
        <w:rPr>
          <w:rFonts w:hint="cs"/>
          <w:rtl/>
        </w:rPr>
        <w:tab/>
      </w:r>
      <w:r>
        <w:rPr>
          <w:rFonts w:hint="cs"/>
          <w:rtl/>
        </w:rPr>
        <w:t>ت</w:t>
      </w:r>
      <w:r w:rsidRPr="005810E4">
        <w:rPr>
          <w:rFonts w:hint="cs"/>
          <w:rtl/>
        </w:rPr>
        <w:t>شير صاحب</w:t>
      </w:r>
      <w:r>
        <w:rPr>
          <w:rFonts w:hint="cs"/>
          <w:rtl/>
        </w:rPr>
        <w:t>ة</w:t>
      </w:r>
      <w:r w:rsidRPr="005810E4">
        <w:rPr>
          <w:rFonts w:hint="cs"/>
          <w:rtl/>
        </w:rPr>
        <w:t xml:space="preserve"> البلاغ إلى البلاغ رقم 1328/2004، </w:t>
      </w:r>
      <w:proofErr w:type="spellStart"/>
      <w:r w:rsidRPr="00CF14CB">
        <w:rPr>
          <w:rFonts w:hint="cs"/>
          <w:i/>
          <w:iCs/>
          <w:rtl/>
        </w:rPr>
        <w:t>شرايطية</w:t>
      </w:r>
      <w:proofErr w:type="spellEnd"/>
      <w:r w:rsidRPr="00CF14CB">
        <w:rPr>
          <w:rFonts w:hint="cs"/>
          <w:i/>
          <w:iCs/>
          <w:rtl/>
        </w:rPr>
        <w:t xml:space="preserve"> ضد الجزائر</w:t>
      </w:r>
      <w:r w:rsidRPr="005810E4">
        <w:rPr>
          <w:rFonts w:hint="cs"/>
          <w:rtl/>
        </w:rPr>
        <w:t>، الآراء المعتمدة في 10 تموز/</w:t>
      </w:r>
      <w:r w:rsidR="00701EBD">
        <w:rPr>
          <w:rFonts w:hint="cs"/>
          <w:rtl/>
        </w:rPr>
        <w:t xml:space="preserve"> </w:t>
      </w:r>
      <w:r w:rsidRPr="005810E4">
        <w:rPr>
          <w:rFonts w:hint="cs"/>
          <w:rtl/>
        </w:rPr>
        <w:t>يوليه</w:t>
      </w:r>
      <w:r w:rsidR="00701EBD">
        <w:rPr>
          <w:rFonts w:hint="eastAsia"/>
          <w:rtl/>
        </w:rPr>
        <w:t> </w:t>
      </w:r>
      <w:r w:rsidRPr="005810E4">
        <w:rPr>
          <w:rFonts w:hint="cs"/>
          <w:rtl/>
        </w:rPr>
        <w:t>2007؛</w:t>
      </w:r>
      <w:r w:rsidRPr="00834637">
        <w:rPr>
          <w:rFonts w:hint="cs"/>
          <w:rtl/>
        </w:rPr>
        <w:t xml:space="preserve"> </w:t>
      </w:r>
      <w:proofErr w:type="spellStart"/>
      <w:r w:rsidRPr="00CF14CB">
        <w:rPr>
          <w:rFonts w:hint="cs"/>
          <w:i/>
          <w:iCs/>
          <w:rtl/>
        </w:rPr>
        <w:t>وعتامنا</w:t>
      </w:r>
      <w:proofErr w:type="spellEnd"/>
      <w:r w:rsidRPr="00CF14CB">
        <w:rPr>
          <w:rFonts w:hint="cs"/>
          <w:i/>
          <w:iCs/>
          <w:rtl/>
        </w:rPr>
        <w:t xml:space="preserve"> ضد الجزائر</w:t>
      </w:r>
      <w:r w:rsidRPr="00834637">
        <w:rPr>
          <w:rFonts w:hint="cs"/>
          <w:rtl/>
        </w:rPr>
        <w:t>.</w:t>
      </w:r>
    </w:p>
  </w:footnote>
  <w:footnote w:id="10">
    <w:p w:rsidR="004B7AD6" w:rsidRDefault="004B7AD6" w:rsidP="007501AB">
      <w:pPr>
        <w:pStyle w:val="FootnoteText1"/>
      </w:pPr>
      <w:r w:rsidRPr="00834637">
        <w:rPr>
          <w:b/>
          <w:rtl/>
        </w:rPr>
        <w:t>(9)</w:t>
      </w:r>
      <w:r w:rsidR="00834637">
        <w:rPr>
          <w:rFonts w:hint="cs"/>
          <w:rtl/>
        </w:rPr>
        <w:tab/>
      </w:r>
      <w:r w:rsidRPr="00834637">
        <w:rPr>
          <w:rtl/>
        </w:rPr>
        <w:t>ا</w:t>
      </w:r>
      <w:r w:rsidRPr="00834637">
        <w:rPr>
          <w:rFonts w:hint="cs"/>
          <w:rtl/>
        </w:rPr>
        <w:t>نظر، على سبيل المثال، ا</w:t>
      </w:r>
      <w:r w:rsidRPr="00834637">
        <w:rPr>
          <w:rtl/>
        </w:rPr>
        <w:t xml:space="preserve">لبلاغ </w:t>
      </w:r>
      <w:r w:rsidRPr="00C024C9">
        <w:rPr>
          <w:rtl/>
        </w:rPr>
        <w:t>رقم</w:t>
      </w:r>
      <w:r w:rsidRPr="00834637">
        <w:rPr>
          <w:rtl/>
        </w:rPr>
        <w:t xml:space="preserve"> </w:t>
      </w:r>
      <w:r w:rsidRPr="00834637">
        <w:rPr>
          <w:rFonts w:hint="cs"/>
          <w:rtl/>
        </w:rPr>
        <w:t>1931</w:t>
      </w:r>
      <w:r w:rsidRPr="00834637">
        <w:rPr>
          <w:rtl/>
        </w:rPr>
        <w:t>/20</w:t>
      </w:r>
      <w:r w:rsidRPr="00834637">
        <w:rPr>
          <w:rFonts w:hint="cs"/>
          <w:rtl/>
        </w:rPr>
        <w:t>10</w:t>
      </w:r>
      <w:r w:rsidRPr="00834637">
        <w:rPr>
          <w:rtl/>
        </w:rPr>
        <w:t xml:space="preserve">، </w:t>
      </w:r>
      <w:proofErr w:type="spellStart"/>
      <w:r w:rsidRPr="00CF14CB">
        <w:rPr>
          <w:rFonts w:hint="cs"/>
          <w:i/>
          <w:iCs/>
          <w:rtl/>
        </w:rPr>
        <w:t>بوزريبة</w:t>
      </w:r>
      <w:proofErr w:type="spellEnd"/>
      <w:r w:rsidRPr="00CF14CB">
        <w:rPr>
          <w:i/>
          <w:iCs/>
          <w:rtl/>
        </w:rPr>
        <w:t xml:space="preserve"> ضد </w:t>
      </w:r>
      <w:r w:rsidRPr="00CF14CB">
        <w:rPr>
          <w:rFonts w:hint="cs"/>
          <w:i/>
          <w:iCs/>
          <w:rtl/>
        </w:rPr>
        <w:t>ال</w:t>
      </w:r>
      <w:r w:rsidRPr="00CF14CB">
        <w:rPr>
          <w:i/>
          <w:iCs/>
          <w:rtl/>
        </w:rPr>
        <w:t>ج</w:t>
      </w:r>
      <w:r w:rsidRPr="00CF14CB">
        <w:rPr>
          <w:rFonts w:hint="cs"/>
          <w:i/>
          <w:iCs/>
          <w:rtl/>
        </w:rPr>
        <w:t>زائر</w:t>
      </w:r>
      <w:r w:rsidRPr="00834637">
        <w:rPr>
          <w:rtl/>
        </w:rPr>
        <w:t xml:space="preserve">، الآراء المعتمدة في </w:t>
      </w:r>
      <w:r w:rsidRPr="00834637">
        <w:rPr>
          <w:rFonts w:hint="cs"/>
          <w:rtl/>
        </w:rPr>
        <w:t>23</w:t>
      </w:r>
      <w:r w:rsidRPr="00834637">
        <w:rPr>
          <w:rtl/>
        </w:rPr>
        <w:t xml:space="preserve"> تموز/</w:t>
      </w:r>
      <w:r w:rsidR="007501AB">
        <w:rPr>
          <w:rFonts w:hint="cs"/>
          <w:rtl/>
        </w:rPr>
        <w:t xml:space="preserve"> </w:t>
      </w:r>
      <w:r w:rsidRPr="00834637">
        <w:rPr>
          <w:rtl/>
        </w:rPr>
        <w:t>يوليه</w:t>
      </w:r>
      <w:r w:rsidR="007501AB">
        <w:rPr>
          <w:rFonts w:hint="eastAsia"/>
          <w:rtl/>
        </w:rPr>
        <w:t> </w:t>
      </w:r>
      <w:r w:rsidRPr="00834637">
        <w:rPr>
          <w:rtl/>
        </w:rPr>
        <w:t>20</w:t>
      </w:r>
      <w:r w:rsidRPr="00834637">
        <w:rPr>
          <w:rFonts w:hint="cs"/>
          <w:rtl/>
        </w:rPr>
        <w:t>14</w:t>
      </w:r>
      <w:r w:rsidRPr="00834637">
        <w:rPr>
          <w:rtl/>
        </w:rPr>
        <w:t>، الفقر</w:t>
      </w:r>
      <w:r w:rsidRPr="00834637">
        <w:rPr>
          <w:rFonts w:hint="cs"/>
          <w:rtl/>
        </w:rPr>
        <w:t>ات من 4-1 إلى 5-4.</w:t>
      </w:r>
    </w:p>
  </w:footnote>
  <w:footnote w:id="11">
    <w:p w:rsidR="004B7AD6" w:rsidRDefault="004B7AD6" w:rsidP="00D839D6">
      <w:pPr>
        <w:pStyle w:val="FootnoteText1"/>
      </w:pPr>
      <w:r w:rsidRPr="00834637">
        <w:rPr>
          <w:b/>
          <w:rtl/>
        </w:rPr>
        <w:t>(10)</w:t>
      </w:r>
      <w:r w:rsidR="00834637">
        <w:rPr>
          <w:rFonts w:hint="cs"/>
          <w:rtl/>
        </w:rPr>
        <w:tab/>
      </w:r>
      <w:r>
        <w:rPr>
          <w:rFonts w:hint="cs"/>
          <w:rtl/>
        </w:rPr>
        <w:t>تش</w:t>
      </w:r>
      <w:r w:rsidRPr="005810E4">
        <w:rPr>
          <w:rFonts w:hint="cs"/>
          <w:rtl/>
        </w:rPr>
        <w:t>ير صاحب</w:t>
      </w:r>
      <w:r>
        <w:rPr>
          <w:rFonts w:hint="cs"/>
          <w:rtl/>
        </w:rPr>
        <w:t>ة</w:t>
      </w:r>
      <w:r w:rsidRPr="005810E4">
        <w:rPr>
          <w:rFonts w:hint="cs"/>
          <w:rtl/>
        </w:rPr>
        <w:t xml:space="preserve"> البلاغ إلى الملاحظات الختامية للجنة المعنية بحقوق الإنسان بشأن التقرير الدوري الثالث للجزائر</w:t>
      </w:r>
      <w:r>
        <w:rPr>
          <w:rFonts w:hint="cs"/>
          <w:rtl/>
        </w:rPr>
        <w:t xml:space="preserve">، المعتمدة في 1 تشرين الأول/نوفمبر </w:t>
      </w:r>
      <w:r w:rsidRPr="001D12F7">
        <w:rPr>
          <w:rFonts w:hint="cs"/>
          <w:rtl/>
        </w:rPr>
        <w:t>2007 (</w:t>
      </w:r>
      <w:r w:rsidRPr="001D12F7">
        <w:t>CCPR/C/DZA/CO/3</w:t>
      </w:r>
      <w:r w:rsidRPr="001D12F7">
        <w:rPr>
          <w:rFonts w:hint="cs"/>
          <w:rtl/>
        </w:rPr>
        <w:t xml:space="preserve">)، الفقرات 7 و8 و13. وتشير صاحبة البلاغ كذلك إلى قضية </w:t>
      </w:r>
      <w:proofErr w:type="spellStart"/>
      <w:r w:rsidRPr="00CF14CB">
        <w:rPr>
          <w:rFonts w:hint="cs"/>
          <w:i/>
          <w:iCs/>
          <w:rtl/>
        </w:rPr>
        <w:t>بوشارف</w:t>
      </w:r>
      <w:proofErr w:type="spellEnd"/>
      <w:r w:rsidRPr="00CF14CB">
        <w:rPr>
          <w:rFonts w:hint="cs"/>
          <w:i/>
          <w:iCs/>
          <w:rtl/>
        </w:rPr>
        <w:t xml:space="preserve"> ضد الجزائر</w:t>
      </w:r>
      <w:r w:rsidRPr="001D12F7">
        <w:rPr>
          <w:rFonts w:hint="cs"/>
          <w:rtl/>
        </w:rPr>
        <w:t>، الفقرة 11، وإلى الملاحظات الختامية للجنة مناهضة التعذيب بشأن التقرير الدوري الثالث للجزائر، المعتمدة في 13 أيار/مايو 2008 (</w:t>
      </w:r>
      <w:r w:rsidRPr="001D12F7">
        <w:t>CAT/C/DZA/CO/3</w:t>
      </w:r>
      <w:r w:rsidRPr="001D12F7">
        <w:rPr>
          <w:rFonts w:hint="cs"/>
          <w:rtl/>
        </w:rPr>
        <w:t>)، الفقرات</w:t>
      </w:r>
      <w:r w:rsidR="00D839D6">
        <w:rPr>
          <w:rFonts w:hint="eastAsia"/>
          <w:rtl/>
        </w:rPr>
        <w:t> </w:t>
      </w:r>
      <w:r w:rsidRPr="001D12F7">
        <w:rPr>
          <w:rFonts w:hint="cs"/>
          <w:rtl/>
        </w:rPr>
        <w:t>11 و13 و</w:t>
      </w:r>
      <w:r w:rsidRPr="005810E4">
        <w:rPr>
          <w:rFonts w:hint="cs"/>
          <w:rtl/>
        </w:rPr>
        <w:t xml:space="preserve">17. وفي الختام، </w:t>
      </w:r>
      <w:r>
        <w:rPr>
          <w:rFonts w:hint="cs"/>
          <w:rtl/>
        </w:rPr>
        <w:t>ت</w:t>
      </w:r>
      <w:r w:rsidRPr="005810E4">
        <w:rPr>
          <w:rFonts w:hint="cs"/>
          <w:rtl/>
        </w:rPr>
        <w:t>حتج صا</w:t>
      </w:r>
      <w:r>
        <w:rPr>
          <w:rFonts w:hint="cs"/>
          <w:rtl/>
        </w:rPr>
        <w:t>حبة البلاغ بالتعليق العام رقم 29</w:t>
      </w:r>
      <w:r w:rsidRPr="005810E4">
        <w:rPr>
          <w:rFonts w:hint="cs"/>
          <w:rtl/>
        </w:rPr>
        <w:t xml:space="preserve">(2001) للجنة </w:t>
      </w:r>
      <w:r>
        <w:rPr>
          <w:rFonts w:hint="cs"/>
          <w:rtl/>
        </w:rPr>
        <w:t xml:space="preserve">المعنية بحقوق الإنسان </w:t>
      </w:r>
      <w:r w:rsidRPr="005810E4">
        <w:rPr>
          <w:rFonts w:hint="cs"/>
          <w:rtl/>
        </w:rPr>
        <w:t>بشأن عدم التقيد بأحكام العهد أثناء حالات الطوارئ، الفقرة 1.</w:t>
      </w:r>
    </w:p>
  </w:footnote>
  <w:footnote w:id="12">
    <w:p w:rsidR="004B7AD6" w:rsidRDefault="004B7AD6" w:rsidP="00834637">
      <w:pPr>
        <w:pStyle w:val="FootnoteText1"/>
      </w:pPr>
      <w:r w:rsidRPr="00834637">
        <w:rPr>
          <w:b/>
          <w:rtl/>
        </w:rPr>
        <w:t>(11)</w:t>
      </w:r>
      <w:r w:rsidR="00834637">
        <w:rPr>
          <w:rFonts w:hint="cs"/>
          <w:rtl/>
        </w:rPr>
        <w:tab/>
      </w:r>
      <w:r>
        <w:rPr>
          <w:rFonts w:hint="cs"/>
          <w:rtl/>
        </w:rPr>
        <w:t>تشير</w:t>
      </w:r>
      <w:r w:rsidRPr="005810E4">
        <w:rPr>
          <w:rFonts w:hint="cs"/>
          <w:rtl/>
        </w:rPr>
        <w:t xml:space="preserve"> صاحب</w:t>
      </w:r>
      <w:r>
        <w:rPr>
          <w:rFonts w:hint="cs"/>
          <w:rtl/>
        </w:rPr>
        <w:t>ة</w:t>
      </w:r>
      <w:r w:rsidRPr="005810E4">
        <w:rPr>
          <w:rFonts w:hint="cs"/>
          <w:rtl/>
        </w:rPr>
        <w:t xml:space="preserve"> البلاغ إلى </w:t>
      </w:r>
      <w:r>
        <w:rPr>
          <w:rFonts w:hint="cs"/>
          <w:rtl/>
        </w:rPr>
        <w:t>قرار لجنة مناهضة التعذيب</w:t>
      </w:r>
      <w:r w:rsidRPr="005810E4">
        <w:rPr>
          <w:rFonts w:hint="cs"/>
          <w:rtl/>
        </w:rPr>
        <w:t xml:space="preserve"> </w:t>
      </w:r>
      <w:r>
        <w:rPr>
          <w:rFonts w:hint="cs"/>
          <w:rtl/>
        </w:rPr>
        <w:t xml:space="preserve">في البلاغ </w:t>
      </w:r>
      <w:r w:rsidRPr="005810E4">
        <w:rPr>
          <w:rFonts w:hint="cs"/>
          <w:rtl/>
        </w:rPr>
        <w:t>رقم 207/2002،</w:t>
      </w:r>
      <w:r w:rsidRPr="00834637">
        <w:rPr>
          <w:rFonts w:hint="cs"/>
          <w:rtl/>
        </w:rPr>
        <w:t xml:space="preserve"> </w:t>
      </w:r>
      <w:proofErr w:type="spellStart"/>
      <w:r w:rsidRPr="00CF14CB">
        <w:rPr>
          <w:rFonts w:hint="cs"/>
          <w:i/>
          <w:iCs/>
          <w:rtl/>
        </w:rPr>
        <w:t>ديمتريفيتش</w:t>
      </w:r>
      <w:proofErr w:type="spellEnd"/>
      <w:r w:rsidRPr="00CF14CB">
        <w:rPr>
          <w:rFonts w:hint="cs"/>
          <w:i/>
          <w:iCs/>
          <w:rtl/>
        </w:rPr>
        <w:t xml:space="preserve"> ضد صربيا والجبل الأسود</w:t>
      </w:r>
      <w:r w:rsidRPr="00834637">
        <w:rPr>
          <w:rFonts w:hint="cs"/>
          <w:rtl/>
        </w:rPr>
        <w:t>،</w:t>
      </w:r>
      <w:r w:rsidRPr="005810E4">
        <w:rPr>
          <w:rFonts w:hint="cs"/>
          <w:rtl/>
        </w:rPr>
        <w:t xml:space="preserve"> المعتمد في 24 تشرين الثاني/نوفمبر 2004، الفقرة 5-3؛ والبلاغ الذي نظرت فيه اللجنة المعنية بحقوق الإنسان رقم 1640/2007، </w:t>
      </w:r>
      <w:proofErr w:type="spellStart"/>
      <w:r w:rsidRPr="00CF14CB">
        <w:rPr>
          <w:rFonts w:hint="cs"/>
          <w:i/>
          <w:iCs/>
          <w:rtl/>
        </w:rPr>
        <w:t>العباني</w:t>
      </w:r>
      <w:proofErr w:type="spellEnd"/>
      <w:r w:rsidRPr="00CF14CB">
        <w:rPr>
          <w:rFonts w:hint="cs"/>
          <w:i/>
          <w:iCs/>
          <w:rtl/>
        </w:rPr>
        <w:t xml:space="preserve"> ضد الجماهيرية العربية الليبية</w:t>
      </w:r>
      <w:r w:rsidRPr="00834637">
        <w:rPr>
          <w:rFonts w:hint="cs"/>
          <w:rtl/>
        </w:rPr>
        <w:t xml:space="preserve">، </w:t>
      </w:r>
      <w:r w:rsidRPr="005810E4">
        <w:rPr>
          <w:rFonts w:hint="cs"/>
          <w:rtl/>
        </w:rPr>
        <w:t>الآراء المعتمدة في</w:t>
      </w:r>
      <w:r w:rsidRPr="005810E4">
        <w:rPr>
          <w:rFonts w:hint="eastAsia"/>
          <w:rtl/>
        </w:rPr>
        <w:t> </w:t>
      </w:r>
      <w:r w:rsidRPr="005810E4">
        <w:rPr>
          <w:rFonts w:hint="cs"/>
          <w:rtl/>
        </w:rPr>
        <w:t>26 تموز/</w:t>
      </w:r>
      <w:r w:rsidR="003B59CE">
        <w:rPr>
          <w:rFonts w:hint="cs"/>
          <w:rtl/>
        </w:rPr>
        <w:t xml:space="preserve"> </w:t>
      </w:r>
      <w:r w:rsidRPr="005810E4">
        <w:rPr>
          <w:rFonts w:hint="cs"/>
          <w:rtl/>
        </w:rPr>
        <w:t>يوليه 2010، الفقرة 4.</w:t>
      </w:r>
    </w:p>
  </w:footnote>
  <w:footnote w:id="13">
    <w:p w:rsidR="004B7AD6" w:rsidRDefault="004B7AD6" w:rsidP="00834637">
      <w:pPr>
        <w:pStyle w:val="FootnoteText1"/>
      </w:pPr>
      <w:r w:rsidRPr="00834637">
        <w:rPr>
          <w:b/>
          <w:rtl/>
        </w:rPr>
        <w:t>(12)</w:t>
      </w:r>
      <w:r w:rsidR="00834637">
        <w:rPr>
          <w:rFonts w:hint="cs"/>
          <w:rtl/>
        </w:rPr>
        <w:tab/>
      </w:r>
      <w:r w:rsidRPr="00834637">
        <w:rPr>
          <w:rFonts w:hint="cs"/>
          <w:rtl/>
        </w:rPr>
        <w:t>انظر</w:t>
      </w:r>
      <w:r>
        <w:rPr>
          <w:rFonts w:hint="cs"/>
          <w:rtl/>
        </w:rPr>
        <w:t xml:space="preserve"> </w:t>
      </w:r>
      <w:r w:rsidRPr="00C024C9">
        <w:rPr>
          <w:rtl/>
        </w:rPr>
        <w:t>البلاغ رقم 1874/2009</w:t>
      </w:r>
      <w:r w:rsidRPr="00C024C9">
        <w:rPr>
          <w:rFonts w:hint="cs"/>
          <w:rtl/>
        </w:rPr>
        <w:t xml:space="preserve">، </w:t>
      </w:r>
      <w:proofErr w:type="spellStart"/>
      <w:r w:rsidRPr="00CF14CB">
        <w:rPr>
          <w:rFonts w:hint="cs"/>
          <w:i/>
          <w:iCs/>
          <w:rtl/>
        </w:rPr>
        <w:t>ميهوبي</w:t>
      </w:r>
      <w:proofErr w:type="spellEnd"/>
      <w:r w:rsidRPr="00CF14CB">
        <w:rPr>
          <w:rFonts w:hint="cs"/>
          <w:i/>
          <w:iCs/>
          <w:rtl/>
        </w:rPr>
        <w:t xml:space="preserve"> ضد الجزائر</w:t>
      </w:r>
      <w:r w:rsidRPr="00834637">
        <w:rPr>
          <w:rFonts w:hint="cs"/>
          <w:rtl/>
        </w:rPr>
        <w:t xml:space="preserve">، الآراء المعتمدة في </w:t>
      </w:r>
      <w:r w:rsidRPr="00C024C9">
        <w:rPr>
          <w:rFonts w:hint="cs"/>
          <w:rtl/>
        </w:rPr>
        <w:t>18 تشرين الأول/أكتوبر 2013، الفقرة 6-2.</w:t>
      </w:r>
    </w:p>
  </w:footnote>
  <w:footnote w:id="14">
    <w:p w:rsidR="004B7AD6" w:rsidRDefault="004B7AD6" w:rsidP="00277E27">
      <w:pPr>
        <w:pStyle w:val="FootnoteText1"/>
      </w:pPr>
      <w:r w:rsidRPr="00834637">
        <w:rPr>
          <w:b/>
          <w:rtl/>
        </w:rPr>
        <w:t>(13)</w:t>
      </w:r>
      <w:r w:rsidR="00834637">
        <w:rPr>
          <w:rFonts w:hint="cs"/>
          <w:rtl/>
        </w:rPr>
        <w:tab/>
      </w:r>
      <w:r w:rsidRPr="005810E4">
        <w:rPr>
          <w:rFonts w:hint="cs"/>
          <w:rtl/>
        </w:rPr>
        <w:t xml:space="preserve">انظر، في جملة مراجع أخرى، البلاغات رقم 1779/2008، </w:t>
      </w:r>
      <w:r w:rsidRPr="00CF14CB">
        <w:rPr>
          <w:rFonts w:hint="cs"/>
          <w:i/>
          <w:iCs/>
          <w:rtl/>
        </w:rPr>
        <w:t>مزين ضد الجزائر</w:t>
      </w:r>
      <w:r w:rsidRPr="005810E4">
        <w:rPr>
          <w:rFonts w:hint="cs"/>
          <w:rtl/>
        </w:rPr>
        <w:t xml:space="preserve">، الآراء المعتمدة في 25 تشرين الأول/أكتوبر 2012، الفقرة 7-4؛ ورقم 1781/2008، </w:t>
      </w:r>
      <w:proofErr w:type="spellStart"/>
      <w:r w:rsidRPr="00CF14CB">
        <w:rPr>
          <w:rFonts w:hint="cs"/>
          <w:i/>
          <w:iCs/>
          <w:rtl/>
        </w:rPr>
        <w:t>برزيغ</w:t>
      </w:r>
      <w:proofErr w:type="spellEnd"/>
      <w:r w:rsidRPr="00CF14CB">
        <w:rPr>
          <w:rFonts w:hint="cs"/>
          <w:i/>
          <w:iCs/>
          <w:rtl/>
        </w:rPr>
        <w:t xml:space="preserve"> ضد الجزائر</w:t>
      </w:r>
      <w:r w:rsidRPr="00834637">
        <w:rPr>
          <w:rFonts w:hint="cs"/>
          <w:rtl/>
        </w:rPr>
        <w:t>،</w:t>
      </w:r>
      <w:r w:rsidRPr="005810E4">
        <w:rPr>
          <w:rFonts w:hint="cs"/>
          <w:rtl/>
        </w:rPr>
        <w:t xml:space="preserve"> الآراء المعتمدة في 31 تشرين الأول/أكتوبر 2011، الفقرة 7-4؛ ورقم 1905/2009، </w:t>
      </w:r>
      <w:r w:rsidRPr="00CF14CB">
        <w:rPr>
          <w:rFonts w:hint="cs"/>
          <w:i/>
          <w:iCs/>
          <w:rtl/>
        </w:rPr>
        <w:t>خيراني ضد الجزائر</w:t>
      </w:r>
      <w:r w:rsidRPr="00834637">
        <w:rPr>
          <w:rFonts w:hint="cs"/>
          <w:rtl/>
        </w:rPr>
        <w:t>،</w:t>
      </w:r>
      <w:r w:rsidRPr="005810E4">
        <w:rPr>
          <w:rFonts w:hint="cs"/>
          <w:rtl/>
        </w:rPr>
        <w:t xml:space="preserve"> الآراء المعتمدة في 26 آذار/</w:t>
      </w:r>
      <w:r w:rsidR="00277E27">
        <w:rPr>
          <w:rFonts w:hint="cs"/>
          <w:rtl/>
        </w:rPr>
        <w:t xml:space="preserve"> </w:t>
      </w:r>
      <w:r w:rsidRPr="005810E4">
        <w:rPr>
          <w:rFonts w:hint="cs"/>
          <w:rtl/>
        </w:rPr>
        <w:t xml:space="preserve">مارس 2012، الفقرة 6-4؛ ورقم 1791/2008، </w:t>
      </w:r>
      <w:proofErr w:type="spellStart"/>
      <w:r w:rsidRPr="00CF14CB">
        <w:rPr>
          <w:rFonts w:hint="cs"/>
          <w:i/>
          <w:iCs/>
          <w:rtl/>
        </w:rPr>
        <w:t>بوجمعي</w:t>
      </w:r>
      <w:proofErr w:type="spellEnd"/>
      <w:r w:rsidRPr="00CF14CB">
        <w:rPr>
          <w:rFonts w:hint="cs"/>
          <w:i/>
          <w:iCs/>
          <w:rtl/>
        </w:rPr>
        <w:t xml:space="preserve"> ضد الجزائر</w:t>
      </w:r>
      <w:r w:rsidRPr="00834637">
        <w:rPr>
          <w:rFonts w:hint="cs"/>
          <w:rtl/>
        </w:rPr>
        <w:t>،</w:t>
      </w:r>
      <w:r w:rsidRPr="005810E4">
        <w:rPr>
          <w:rFonts w:hint="cs"/>
          <w:rtl/>
        </w:rPr>
        <w:t xml:space="preserve"> الآراء المعتمدة في 22 آذار/</w:t>
      </w:r>
      <w:r w:rsidR="00277E27">
        <w:rPr>
          <w:rFonts w:hint="cs"/>
          <w:rtl/>
        </w:rPr>
        <w:t xml:space="preserve"> </w:t>
      </w:r>
      <w:r w:rsidRPr="005810E4">
        <w:rPr>
          <w:rFonts w:hint="cs"/>
          <w:rtl/>
        </w:rPr>
        <w:t>مارس</w:t>
      </w:r>
      <w:r w:rsidR="00277E27">
        <w:rPr>
          <w:rFonts w:hint="eastAsia"/>
          <w:rtl/>
        </w:rPr>
        <w:t> </w:t>
      </w:r>
      <w:r w:rsidRPr="005810E4">
        <w:rPr>
          <w:rFonts w:hint="cs"/>
          <w:rtl/>
        </w:rPr>
        <w:t>2013، الفقرة 7-4.</w:t>
      </w:r>
    </w:p>
  </w:footnote>
  <w:footnote w:id="15">
    <w:p w:rsidR="004B7AD6" w:rsidRDefault="004B7AD6" w:rsidP="00834637">
      <w:pPr>
        <w:pStyle w:val="FootnoteText1"/>
      </w:pPr>
      <w:r w:rsidRPr="00834637">
        <w:rPr>
          <w:b/>
          <w:rtl/>
        </w:rPr>
        <w:t>(14)</w:t>
      </w:r>
      <w:r w:rsidR="00834637">
        <w:rPr>
          <w:rFonts w:hint="cs"/>
          <w:rtl/>
        </w:rPr>
        <w:tab/>
      </w:r>
      <w:r w:rsidRPr="005810E4">
        <w:rPr>
          <w:rFonts w:hint="cs"/>
          <w:rtl/>
        </w:rPr>
        <w:t xml:space="preserve">الوثيقة </w:t>
      </w:r>
      <w:r w:rsidRPr="005810E4">
        <w:t>CCPR/C/DZA/CO/3</w:t>
      </w:r>
      <w:r w:rsidRPr="005810E4">
        <w:rPr>
          <w:rFonts w:hint="cs"/>
          <w:rtl/>
        </w:rPr>
        <w:t>، الفقرات 7 و8 و13.</w:t>
      </w:r>
    </w:p>
  </w:footnote>
  <w:footnote w:id="16">
    <w:p w:rsidR="004B7AD6" w:rsidRDefault="004B7AD6" w:rsidP="00834637">
      <w:pPr>
        <w:pStyle w:val="FootnoteText1"/>
      </w:pPr>
      <w:r w:rsidRPr="00834637">
        <w:rPr>
          <w:b/>
          <w:rtl/>
        </w:rPr>
        <w:t>(15)</w:t>
      </w:r>
      <w:r w:rsidR="00834637">
        <w:rPr>
          <w:rFonts w:hint="cs"/>
          <w:rtl/>
        </w:rPr>
        <w:tab/>
      </w:r>
      <w:r w:rsidRPr="00834637">
        <w:rPr>
          <w:rFonts w:hint="cs"/>
          <w:rtl/>
        </w:rPr>
        <w:t>انظر، في جملة مراجع أخرى،</w:t>
      </w:r>
      <w:r>
        <w:rPr>
          <w:rFonts w:hint="cs"/>
          <w:rtl/>
        </w:rPr>
        <w:t xml:space="preserve"> </w:t>
      </w:r>
      <w:r w:rsidRPr="00834637">
        <w:rPr>
          <w:rFonts w:hint="cs"/>
          <w:rtl/>
        </w:rPr>
        <w:t>مزين ضد الجزائر</w:t>
      </w:r>
      <w:r w:rsidRPr="005810E4">
        <w:rPr>
          <w:rFonts w:hint="cs"/>
          <w:rtl/>
        </w:rPr>
        <w:t xml:space="preserve">، الفقرة </w:t>
      </w:r>
      <w:r>
        <w:rPr>
          <w:rFonts w:hint="cs"/>
          <w:rtl/>
        </w:rPr>
        <w:t>8</w:t>
      </w:r>
      <w:r w:rsidRPr="005810E4">
        <w:rPr>
          <w:rFonts w:hint="cs"/>
          <w:rtl/>
        </w:rPr>
        <w:t>-</w:t>
      </w:r>
      <w:r>
        <w:rPr>
          <w:rFonts w:hint="cs"/>
          <w:rtl/>
        </w:rPr>
        <w:t>2</w:t>
      </w:r>
      <w:r w:rsidRPr="005810E4">
        <w:rPr>
          <w:rFonts w:hint="cs"/>
          <w:rtl/>
        </w:rPr>
        <w:t xml:space="preserve">؛ </w:t>
      </w:r>
      <w:proofErr w:type="spellStart"/>
      <w:r w:rsidRPr="00CF14CB">
        <w:rPr>
          <w:rFonts w:hint="cs"/>
          <w:i/>
          <w:iCs/>
          <w:rtl/>
        </w:rPr>
        <w:t>وبرزيغ</w:t>
      </w:r>
      <w:proofErr w:type="spellEnd"/>
      <w:r w:rsidRPr="00CF14CB">
        <w:rPr>
          <w:rFonts w:hint="cs"/>
          <w:i/>
          <w:iCs/>
          <w:rtl/>
        </w:rPr>
        <w:t xml:space="preserve"> ضد الجزائر</w:t>
      </w:r>
      <w:r w:rsidRPr="00834637">
        <w:rPr>
          <w:rFonts w:hint="cs"/>
          <w:rtl/>
        </w:rPr>
        <w:t>،</w:t>
      </w:r>
      <w:r w:rsidRPr="005810E4">
        <w:rPr>
          <w:rFonts w:hint="cs"/>
          <w:rtl/>
        </w:rPr>
        <w:t xml:space="preserve"> الفقرة </w:t>
      </w:r>
      <w:r>
        <w:rPr>
          <w:rFonts w:hint="cs"/>
          <w:rtl/>
        </w:rPr>
        <w:t>8</w:t>
      </w:r>
      <w:r w:rsidRPr="005810E4">
        <w:rPr>
          <w:rFonts w:hint="cs"/>
          <w:rtl/>
        </w:rPr>
        <w:t>-</w:t>
      </w:r>
      <w:r>
        <w:rPr>
          <w:rFonts w:hint="cs"/>
          <w:rtl/>
        </w:rPr>
        <w:t>2</w:t>
      </w:r>
      <w:r w:rsidRPr="005810E4">
        <w:rPr>
          <w:rFonts w:hint="cs"/>
          <w:rtl/>
        </w:rPr>
        <w:t xml:space="preserve">؛ </w:t>
      </w:r>
      <w:proofErr w:type="spellStart"/>
      <w:r w:rsidRPr="00CF14CB">
        <w:rPr>
          <w:rFonts w:hint="cs"/>
          <w:i/>
          <w:iCs/>
          <w:rtl/>
        </w:rPr>
        <w:t>وبوجمعي</w:t>
      </w:r>
      <w:proofErr w:type="spellEnd"/>
      <w:r w:rsidRPr="00CF14CB">
        <w:rPr>
          <w:rFonts w:hint="cs"/>
          <w:i/>
          <w:iCs/>
          <w:rtl/>
        </w:rPr>
        <w:t xml:space="preserve"> ضد الجزائر</w:t>
      </w:r>
      <w:r w:rsidRPr="00834637">
        <w:rPr>
          <w:rFonts w:hint="cs"/>
          <w:rtl/>
        </w:rPr>
        <w:t>،</w:t>
      </w:r>
      <w:r w:rsidRPr="005810E4">
        <w:rPr>
          <w:rFonts w:hint="cs"/>
          <w:rtl/>
        </w:rPr>
        <w:t xml:space="preserve"> الفقرة </w:t>
      </w:r>
      <w:r>
        <w:rPr>
          <w:rFonts w:hint="cs"/>
          <w:rtl/>
        </w:rPr>
        <w:t>8</w:t>
      </w:r>
      <w:r w:rsidRPr="005810E4">
        <w:rPr>
          <w:rFonts w:hint="cs"/>
          <w:rtl/>
        </w:rPr>
        <w:t>-</w:t>
      </w:r>
      <w:r>
        <w:rPr>
          <w:rFonts w:hint="cs"/>
          <w:rtl/>
        </w:rPr>
        <w:t>2.</w:t>
      </w:r>
    </w:p>
  </w:footnote>
  <w:footnote w:id="17">
    <w:p w:rsidR="004B7AD6" w:rsidRDefault="004B7AD6" w:rsidP="00FE3349">
      <w:pPr>
        <w:pStyle w:val="FootnoteText1"/>
      </w:pPr>
      <w:r w:rsidRPr="00834637">
        <w:rPr>
          <w:b/>
          <w:rtl/>
        </w:rPr>
        <w:t>(16)</w:t>
      </w:r>
      <w:r w:rsidR="00834637">
        <w:rPr>
          <w:rFonts w:hint="cs"/>
          <w:rtl/>
        </w:rPr>
        <w:tab/>
      </w:r>
      <w:r>
        <w:rPr>
          <w:rtl/>
        </w:rPr>
        <w:t xml:space="preserve">انظر، في جملة مراجع أخرى، </w:t>
      </w:r>
      <w:r w:rsidRPr="00CF14CB">
        <w:rPr>
          <w:i/>
          <w:iCs/>
          <w:rtl/>
        </w:rPr>
        <w:t>مزين ضد الجزائر</w:t>
      </w:r>
      <w:r>
        <w:rPr>
          <w:rtl/>
        </w:rPr>
        <w:t xml:space="preserve">، الفقرة 8-3؛ </w:t>
      </w:r>
      <w:proofErr w:type="spellStart"/>
      <w:r w:rsidRPr="00CF14CB">
        <w:rPr>
          <w:i/>
          <w:iCs/>
          <w:rtl/>
        </w:rPr>
        <w:t>والعباني</w:t>
      </w:r>
      <w:proofErr w:type="spellEnd"/>
      <w:r w:rsidRPr="00CF14CB">
        <w:rPr>
          <w:i/>
          <w:iCs/>
          <w:rtl/>
        </w:rPr>
        <w:t xml:space="preserve"> ضد الجماهيرية العربية الليبية</w:t>
      </w:r>
      <w:r w:rsidR="00FE3349">
        <w:rPr>
          <w:rtl/>
        </w:rPr>
        <w:t xml:space="preserve">، </w:t>
      </w:r>
      <w:r w:rsidR="00FE3349">
        <w:rPr>
          <w:rFonts w:hint="cs"/>
          <w:rtl/>
        </w:rPr>
        <w:t xml:space="preserve">     </w:t>
      </w:r>
      <w:r w:rsidR="00FE3349">
        <w:rPr>
          <w:rtl/>
        </w:rPr>
        <w:t>الفقرة</w:t>
      </w:r>
      <w:r w:rsidR="00FE3349">
        <w:rPr>
          <w:rFonts w:hint="cs"/>
          <w:rtl/>
        </w:rPr>
        <w:t xml:space="preserve"> </w:t>
      </w:r>
      <w:r>
        <w:rPr>
          <w:rtl/>
        </w:rPr>
        <w:t xml:space="preserve">7-4؛ </w:t>
      </w:r>
      <w:proofErr w:type="spellStart"/>
      <w:r w:rsidRPr="00CF14CB">
        <w:rPr>
          <w:i/>
          <w:iCs/>
          <w:rtl/>
        </w:rPr>
        <w:t>وبرزيغ</w:t>
      </w:r>
      <w:proofErr w:type="spellEnd"/>
      <w:r w:rsidRPr="00CF14CB">
        <w:rPr>
          <w:i/>
          <w:iCs/>
          <w:rtl/>
        </w:rPr>
        <w:t xml:space="preserve"> ضد الجزائر</w:t>
      </w:r>
      <w:r>
        <w:rPr>
          <w:rtl/>
        </w:rPr>
        <w:t xml:space="preserve">، الفقرة 8-3؛ </w:t>
      </w:r>
      <w:proofErr w:type="spellStart"/>
      <w:r w:rsidRPr="00CF14CB">
        <w:rPr>
          <w:i/>
          <w:iCs/>
          <w:rtl/>
        </w:rPr>
        <w:t>وبوجمعي</w:t>
      </w:r>
      <w:proofErr w:type="spellEnd"/>
      <w:r w:rsidRPr="00CF14CB">
        <w:rPr>
          <w:i/>
          <w:iCs/>
          <w:rtl/>
        </w:rPr>
        <w:t xml:space="preserve"> ضد الجزائر</w:t>
      </w:r>
      <w:r>
        <w:rPr>
          <w:rtl/>
        </w:rPr>
        <w:t xml:space="preserve">، الفقرة 8-3. انظر أيضاً </w:t>
      </w:r>
      <w:r w:rsidRPr="00834637">
        <w:rPr>
          <w:rtl/>
        </w:rPr>
        <w:t xml:space="preserve">محكمة العدل الدولية، </w:t>
      </w:r>
      <w:r w:rsidRPr="00CF14CB">
        <w:rPr>
          <w:i/>
          <w:iCs/>
          <w:rtl/>
        </w:rPr>
        <w:t xml:space="preserve">أحمدو </w:t>
      </w:r>
      <w:proofErr w:type="spellStart"/>
      <w:r w:rsidRPr="00CF14CB">
        <w:rPr>
          <w:i/>
          <w:iCs/>
          <w:rtl/>
        </w:rPr>
        <w:t>صاديو</w:t>
      </w:r>
      <w:proofErr w:type="spellEnd"/>
      <w:r w:rsidRPr="00CF14CB">
        <w:rPr>
          <w:i/>
          <w:iCs/>
          <w:rtl/>
        </w:rPr>
        <w:t xml:space="preserve"> </w:t>
      </w:r>
      <w:proofErr w:type="spellStart"/>
      <w:r w:rsidRPr="00CF14CB">
        <w:rPr>
          <w:i/>
          <w:iCs/>
          <w:rtl/>
        </w:rPr>
        <w:t>ديالو</w:t>
      </w:r>
      <w:proofErr w:type="spellEnd"/>
      <w:r w:rsidRPr="00CF14CB">
        <w:rPr>
          <w:i/>
          <w:iCs/>
          <w:rtl/>
        </w:rPr>
        <w:t xml:space="preserve">، </w:t>
      </w:r>
      <w:r w:rsidR="00A520F9">
        <w:rPr>
          <w:rFonts w:hint="cs"/>
          <w:i/>
          <w:iCs/>
          <w:rtl/>
        </w:rPr>
        <w:t>(</w:t>
      </w:r>
      <w:r w:rsidRPr="00CF14CB">
        <w:rPr>
          <w:i/>
          <w:iCs/>
          <w:rtl/>
        </w:rPr>
        <w:t>جمهورية غينيا ضد جمهورية الكونغو الديمقراطية</w:t>
      </w:r>
      <w:r w:rsidR="00A520F9">
        <w:rPr>
          <w:rFonts w:hint="cs"/>
          <w:i/>
          <w:iCs/>
          <w:rtl/>
        </w:rPr>
        <w:t>)</w:t>
      </w:r>
      <w:r w:rsidRPr="00834637">
        <w:rPr>
          <w:rtl/>
        </w:rPr>
        <w:t>،</w:t>
      </w:r>
      <w:r>
        <w:rPr>
          <w:rtl/>
        </w:rPr>
        <w:t xml:space="preserve"> القرار المؤرخ 30 تشرين الثاني/</w:t>
      </w:r>
      <w:r w:rsidR="00FE3349">
        <w:rPr>
          <w:rFonts w:hint="cs"/>
          <w:rtl/>
        </w:rPr>
        <w:t xml:space="preserve"> </w:t>
      </w:r>
      <w:r>
        <w:rPr>
          <w:rtl/>
        </w:rPr>
        <w:t>نوفمبر</w:t>
      </w:r>
      <w:r w:rsidR="00FE3349">
        <w:rPr>
          <w:rFonts w:hint="cs"/>
          <w:rtl/>
        </w:rPr>
        <w:t> </w:t>
      </w:r>
      <w:r>
        <w:rPr>
          <w:rtl/>
        </w:rPr>
        <w:t>2010، الفقرة 54.</w:t>
      </w:r>
    </w:p>
  </w:footnote>
  <w:footnote w:id="18">
    <w:p w:rsidR="004B7AD6" w:rsidRDefault="004B7AD6" w:rsidP="00834637">
      <w:pPr>
        <w:pStyle w:val="FootnoteText1"/>
      </w:pPr>
      <w:r w:rsidRPr="00834637">
        <w:rPr>
          <w:b/>
          <w:rtl/>
        </w:rPr>
        <w:t>(17)</w:t>
      </w:r>
      <w:r w:rsidR="00834637">
        <w:rPr>
          <w:rFonts w:hint="cs"/>
          <w:rtl/>
        </w:rPr>
        <w:tab/>
      </w:r>
      <w:r>
        <w:rPr>
          <w:rtl/>
        </w:rPr>
        <w:t>انظر</w:t>
      </w:r>
      <w:r w:rsidRPr="00834637">
        <w:rPr>
          <w:rtl/>
        </w:rPr>
        <w:t xml:space="preserve"> </w:t>
      </w:r>
      <w:r w:rsidRPr="00CF14CB">
        <w:rPr>
          <w:i/>
          <w:iCs/>
          <w:rtl/>
        </w:rPr>
        <w:t>مزين ضد الجزائر</w:t>
      </w:r>
      <w:r>
        <w:rPr>
          <w:rtl/>
        </w:rPr>
        <w:t xml:space="preserve">، الفقرة 8-3، والبلاغ رقم 1297/2004، </w:t>
      </w:r>
      <w:r w:rsidRPr="00CF14CB">
        <w:rPr>
          <w:i/>
          <w:iCs/>
          <w:rtl/>
        </w:rPr>
        <w:t>مجنون ضد الجزائر</w:t>
      </w:r>
      <w:r>
        <w:rPr>
          <w:rtl/>
        </w:rPr>
        <w:t xml:space="preserve">، الآراء المعتمدة في 14 تموز/يوليه 2006، الفقرة 8-3؛ </w:t>
      </w:r>
      <w:proofErr w:type="spellStart"/>
      <w:r w:rsidRPr="00CF14CB">
        <w:rPr>
          <w:i/>
          <w:iCs/>
          <w:rtl/>
        </w:rPr>
        <w:t>وبوجمعي</w:t>
      </w:r>
      <w:proofErr w:type="spellEnd"/>
      <w:r w:rsidRPr="00CF14CB">
        <w:rPr>
          <w:i/>
          <w:iCs/>
          <w:rtl/>
        </w:rPr>
        <w:t xml:space="preserve"> ضد الجزائر</w:t>
      </w:r>
      <w:r>
        <w:rPr>
          <w:rtl/>
        </w:rPr>
        <w:t>، الفقرة 8-3.</w:t>
      </w:r>
    </w:p>
  </w:footnote>
  <w:footnote w:id="19">
    <w:p w:rsidR="004B7AD6" w:rsidRDefault="004B7AD6" w:rsidP="00834637">
      <w:pPr>
        <w:pStyle w:val="FootnoteText1"/>
      </w:pPr>
      <w:r w:rsidRPr="00834637">
        <w:rPr>
          <w:b/>
          <w:rtl/>
        </w:rPr>
        <w:t>(18)</w:t>
      </w:r>
      <w:r w:rsidR="00834637">
        <w:rPr>
          <w:rFonts w:hint="cs"/>
          <w:rtl/>
        </w:rPr>
        <w:tab/>
      </w:r>
      <w:r>
        <w:rPr>
          <w:rtl/>
        </w:rPr>
        <w:t xml:space="preserve">انظر </w:t>
      </w:r>
      <w:r w:rsidRPr="00CF14CB">
        <w:rPr>
          <w:i/>
          <w:iCs/>
          <w:rtl/>
        </w:rPr>
        <w:t>مزين ضد الجزائر</w:t>
      </w:r>
      <w:r>
        <w:rPr>
          <w:rtl/>
        </w:rPr>
        <w:t xml:space="preserve">، الفقرة 8-4؛ </w:t>
      </w:r>
      <w:proofErr w:type="spellStart"/>
      <w:r w:rsidRPr="00CF14CB">
        <w:rPr>
          <w:i/>
          <w:iCs/>
          <w:rtl/>
        </w:rPr>
        <w:t>وبوجمعي</w:t>
      </w:r>
      <w:proofErr w:type="spellEnd"/>
      <w:r w:rsidRPr="00CF14CB">
        <w:rPr>
          <w:i/>
          <w:iCs/>
          <w:rtl/>
        </w:rPr>
        <w:t xml:space="preserve"> ضد الجزائر</w:t>
      </w:r>
      <w:r>
        <w:rPr>
          <w:rtl/>
        </w:rPr>
        <w:t>، الفقرة 8-4.</w:t>
      </w:r>
    </w:p>
  </w:footnote>
  <w:footnote w:id="20">
    <w:p w:rsidR="004B7AD6" w:rsidRDefault="004B7AD6" w:rsidP="00834637">
      <w:pPr>
        <w:pStyle w:val="FootnoteText1"/>
      </w:pPr>
      <w:r w:rsidRPr="00834637">
        <w:rPr>
          <w:b/>
          <w:rtl/>
        </w:rPr>
        <w:t>(19)</w:t>
      </w:r>
      <w:r w:rsidR="00834637">
        <w:rPr>
          <w:rFonts w:hint="cs"/>
          <w:rtl/>
        </w:rPr>
        <w:tab/>
      </w:r>
      <w:r>
        <w:rPr>
          <w:rtl/>
        </w:rPr>
        <w:t>انظر</w:t>
      </w:r>
      <w:r w:rsidRPr="00834637">
        <w:rPr>
          <w:rtl/>
        </w:rPr>
        <w:t xml:space="preserve"> </w:t>
      </w:r>
      <w:r w:rsidRPr="00CF14CB">
        <w:rPr>
          <w:i/>
          <w:iCs/>
          <w:rtl/>
        </w:rPr>
        <w:t>مزين ضد الجزائر</w:t>
      </w:r>
      <w:r>
        <w:rPr>
          <w:rtl/>
        </w:rPr>
        <w:t xml:space="preserve">، الفقرة 8-5؛ </w:t>
      </w:r>
      <w:r w:rsidRPr="00CF14CB">
        <w:rPr>
          <w:i/>
          <w:iCs/>
          <w:rtl/>
        </w:rPr>
        <w:t>وخيراني ضد الجزائر</w:t>
      </w:r>
      <w:r>
        <w:rPr>
          <w:rtl/>
        </w:rPr>
        <w:t xml:space="preserve">، الفقرة 7-5؛ </w:t>
      </w:r>
      <w:proofErr w:type="spellStart"/>
      <w:r w:rsidRPr="00CF14CB">
        <w:rPr>
          <w:i/>
          <w:iCs/>
          <w:rtl/>
        </w:rPr>
        <w:t>وبرزيغ</w:t>
      </w:r>
      <w:proofErr w:type="spellEnd"/>
      <w:r w:rsidRPr="00CF14CB">
        <w:rPr>
          <w:i/>
          <w:iCs/>
          <w:rtl/>
        </w:rPr>
        <w:t xml:space="preserve"> ضد الجزائر</w:t>
      </w:r>
      <w:r>
        <w:rPr>
          <w:rtl/>
        </w:rPr>
        <w:t xml:space="preserve">، الفقرة 8-5؛ والبلاغ رقم 1295/2004، </w:t>
      </w:r>
      <w:proofErr w:type="spellStart"/>
      <w:r w:rsidRPr="00CF14CB">
        <w:rPr>
          <w:i/>
          <w:iCs/>
          <w:rtl/>
        </w:rPr>
        <w:t>العلواني</w:t>
      </w:r>
      <w:proofErr w:type="spellEnd"/>
      <w:r w:rsidRPr="00CF14CB">
        <w:rPr>
          <w:i/>
          <w:iCs/>
          <w:rtl/>
        </w:rPr>
        <w:t xml:space="preserve"> ضد الجماهيرية العربية الليبية</w:t>
      </w:r>
      <w:r>
        <w:rPr>
          <w:rtl/>
        </w:rPr>
        <w:t>، الآراء المعتمدة في 11 تموز/يوليه 2007، الفقرة 6-5.</w:t>
      </w:r>
    </w:p>
  </w:footnote>
  <w:footnote w:id="21">
    <w:p w:rsidR="004B7AD6" w:rsidRDefault="004B7AD6" w:rsidP="00834637">
      <w:pPr>
        <w:pStyle w:val="FootnoteText1"/>
      </w:pPr>
      <w:r w:rsidRPr="00834637">
        <w:rPr>
          <w:b/>
          <w:rtl/>
        </w:rPr>
        <w:t>(20)</w:t>
      </w:r>
      <w:r w:rsidR="00834637">
        <w:rPr>
          <w:rFonts w:hint="cs"/>
          <w:rtl/>
        </w:rPr>
        <w:tab/>
      </w:r>
      <w:r>
        <w:rPr>
          <w:rtl/>
        </w:rPr>
        <w:t>انظر</w:t>
      </w:r>
      <w:r w:rsidRPr="00834637">
        <w:rPr>
          <w:rtl/>
        </w:rPr>
        <w:t xml:space="preserve"> </w:t>
      </w:r>
      <w:r w:rsidRPr="00CF14CB">
        <w:rPr>
          <w:i/>
          <w:iCs/>
          <w:rtl/>
        </w:rPr>
        <w:t>مزين ضد الجزائر</w:t>
      </w:r>
      <w:r>
        <w:rPr>
          <w:rtl/>
        </w:rPr>
        <w:t xml:space="preserve">، الفقرة 8-6، </w:t>
      </w:r>
      <w:r w:rsidRPr="00CF14CB">
        <w:rPr>
          <w:i/>
          <w:iCs/>
          <w:rtl/>
        </w:rPr>
        <w:t>وخيراني ضد الجزائر</w:t>
      </w:r>
      <w:r>
        <w:rPr>
          <w:rtl/>
        </w:rPr>
        <w:t xml:space="preserve">، الفقرة 7-6؛ </w:t>
      </w:r>
      <w:proofErr w:type="spellStart"/>
      <w:r w:rsidRPr="00CF14CB">
        <w:rPr>
          <w:i/>
          <w:iCs/>
          <w:rtl/>
        </w:rPr>
        <w:t>وبرزيغ</w:t>
      </w:r>
      <w:proofErr w:type="spellEnd"/>
      <w:r w:rsidRPr="00CF14CB">
        <w:rPr>
          <w:i/>
          <w:iCs/>
          <w:rtl/>
        </w:rPr>
        <w:t xml:space="preserve"> ضد الجزائر</w:t>
      </w:r>
      <w:r>
        <w:rPr>
          <w:rtl/>
        </w:rPr>
        <w:t xml:space="preserve">، الفقرة 8-6؛ </w:t>
      </w:r>
      <w:proofErr w:type="spellStart"/>
      <w:r w:rsidRPr="00CF14CB">
        <w:rPr>
          <w:i/>
          <w:iCs/>
          <w:rtl/>
        </w:rPr>
        <w:t>والعباني</w:t>
      </w:r>
      <w:proofErr w:type="spellEnd"/>
      <w:r w:rsidRPr="00CF14CB">
        <w:rPr>
          <w:i/>
          <w:iCs/>
          <w:rtl/>
        </w:rPr>
        <w:t xml:space="preserve"> ضد الجماهيرية العربية الليبية</w:t>
      </w:r>
      <w:r>
        <w:rPr>
          <w:rtl/>
        </w:rPr>
        <w:t xml:space="preserve">، الفقرة 7-5؛ والبلاغ رقم 1422/2005، </w:t>
      </w:r>
      <w:r w:rsidRPr="00CF14CB">
        <w:rPr>
          <w:i/>
          <w:iCs/>
          <w:rtl/>
        </w:rPr>
        <w:t>الحسي ضد الجماهيرية العربية الليبية</w:t>
      </w:r>
      <w:r>
        <w:rPr>
          <w:rtl/>
        </w:rPr>
        <w:t>، الآراء المعتمدة في 24 تشرين الأول/أكتوبر 2007، الفقرة 6-11.</w:t>
      </w:r>
    </w:p>
  </w:footnote>
  <w:footnote w:id="22">
    <w:p w:rsidR="004B7AD6" w:rsidRDefault="004B7AD6" w:rsidP="00834637">
      <w:pPr>
        <w:pStyle w:val="FootnoteText1"/>
      </w:pPr>
      <w:r w:rsidRPr="00834637">
        <w:rPr>
          <w:b/>
          <w:rtl/>
        </w:rPr>
        <w:t>(21)</w:t>
      </w:r>
      <w:r w:rsidR="00834637">
        <w:rPr>
          <w:rFonts w:hint="cs"/>
          <w:rtl/>
        </w:rPr>
        <w:tab/>
      </w:r>
      <w:r w:rsidRPr="00834637">
        <w:rPr>
          <w:rFonts w:hint="cs"/>
          <w:rtl/>
        </w:rPr>
        <w:t>انظر المرجع السابق، الفقرة 2-3.</w:t>
      </w:r>
      <w:r>
        <w:rPr>
          <w:rFonts w:hint="cs"/>
          <w:rtl/>
        </w:rPr>
        <w:t xml:space="preserve"> </w:t>
      </w:r>
    </w:p>
  </w:footnote>
  <w:footnote w:id="23">
    <w:p w:rsidR="004B7AD6" w:rsidRDefault="004B7AD6" w:rsidP="00834637">
      <w:pPr>
        <w:pStyle w:val="FootnoteText1"/>
      </w:pPr>
      <w:r w:rsidRPr="00834637">
        <w:rPr>
          <w:b/>
          <w:rtl/>
        </w:rPr>
        <w:t>(22)</w:t>
      </w:r>
      <w:r w:rsidR="00834637">
        <w:rPr>
          <w:rFonts w:hint="cs"/>
          <w:rtl/>
        </w:rPr>
        <w:tab/>
      </w:r>
      <w:r>
        <w:rPr>
          <w:rtl/>
        </w:rPr>
        <w:t xml:space="preserve">انظر، في جملة مراجع أخرى، </w:t>
      </w:r>
      <w:r w:rsidRPr="00CF14CB">
        <w:rPr>
          <w:i/>
          <w:iCs/>
          <w:rtl/>
        </w:rPr>
        <w:t>مزين ضد الجزائر</w:t>
      </w:r>
      <w:r>
        <w:rPr>
          <w:rtl/>
        </w:rPr>
        <w:t xml:space="preserve">، الفقرة 8-7؛ </w:t>
      </w:r>
      <w:r w:rsidRPr="00CF14CB">
        <w:rPr>
          <w:i/>
          <w:iCs/>
          <w:rtl/>
        </w:rPr>
        <w:t>وخيراني ضد الجزائر</w:t>
      </w:r>
      <w:r w:rsidRPr="00834637">
        <w:rPr>
          <w:rtl/>
        </w:rPr>
        <w:t>،</w:t>
      </w:r>
      <w:r>
        <w:rPr>
          <w:rtl/>
        </w:rPr>
        <w:t xml:space="preserve"> الفقرة 7-7؛ </w:t>
      </w:r>
      <w:proofErr w:type="spellStart"/>
      <w:r w:rsidRPr="00CF14CB">
        <w:rPr>
          <w:i/>
          <w:iCs/>
          <w:rtl/>
        </w:rPr>
        <w:t>وبرزيغ</w:t>
      </w:r>
      <w:proofErr w:type="spellEnd"/>
      <w:r w:rsidRPr="00CF14CB">
        <w:rPr>
          <w:i/>
          <w:iCs/>
          <w:rtl/>
        </w:rPr>
        <w:t xml:space="preserve"> ضد الجزائر</w:t>
      </w:r>
      <w:r>
        <w:rPr>
          <w:rtl/>
        </w:rPr>
        <w:t>، الفقرة 8-7.</w:t>
      </w:r>
    </w:p>
  </w:footnote>
  <w:footnote w:id="24">
    <w:p w:rsidR="004B7AD6" w:rsidRDefault="004B7AD6" w:rsidP="00834637">
      <w:pPr>
        <w:pStyle w:val="FootnoteText1"/>
      </w:pPr>
      <w:r w:rsidRPr="00834637">
        <w:rPr>
          <w:b/>
          <w:rtl/>
        </w:rPr>
        <w:t>(23)</w:t>
      </w:r>
      <w:r w:rsidR="00834637">
        <w:rPr>
          <w:rFonts w:hint="cs"/>
          <w:rtl/>
        </w:rPr>
        <w:tab/>
      </w:r>
      <w:r>
        <w:rPr>
          <w:rtl/>
        </w:rPr>
        <w:t xml:space="preserve">انظر التعليق العام رقم 21(1992) بشأن المعاملة الإنسانية للأشخاص المحرومين من الحرية، الفقرة 3؛ </w:t>
      </w:r>
      <w:r w:rsidRPr="00A520F9">
        <w:rPr>
          <w:i/>
          <w:iCs/>
          <w:rtl/>
        </w:rPr>
        <w:t>وقضية مزين ضد الجزائر</w:t>
      </w:r>
      <w:r>
        <w:rPr>
          <w:rtl/>
        </w:rPr>
        <w:t xml:space="preserve">، الفقرة 8-8؛ </w:t>
      </w:r>
      <w:r w:rsidRPr="00A520F9">
        <w:rPr>
          <w:i/>
          <w:iCs/>
          <w:rtl/>
        </w:rPr>
        <w:t xml:space="preserve">وقضية </w:t>
      </w:r>
      <w:proofErr w:type="spellStart"/>
      <w:r w:rsidRPr="00A520F9">
        <w:rPr>
          <w:i/>
          <w:iCs/>
          <w:rtl/>
        </w:rPr>
        <w:t>زرزي</w:t>
      </w:r>
      <w:proofErr w:type="spellEnd"/>
      <w:r w:rsidRPr="00A520F9">
        <w:rPr>
          <w:i/>
          <w:iCs/>
          <w:rtl/>
        </w:rPr>
        <w:t xml:space="preserve"> ضد الجزائر</w:t>
      </w:r>
      <w:r>
        <w:rPr>
          <w:rtl/>
        </w:rPr>
        <w:t xml:space="preserve">، الفقرة 7-8؛ والبلاغ رقم 1134/2002، </w:t>
      </w:r>
      <w:proofErr w:type="spellStart"/>
      <w:r w:rsidRPr="00A520F9">
        <w:rPr>
          <w:i/>
          <w:iCs/>
          <w:rtl/>
        </w:rPr>
        <w:t>غورجي</w:t>
      </w:r>
      <w:proofErr w:type="spellEnd"/>
      <w:r w:rsidRPr="00A520F9">
        <w:rPr>
          <w:i/>
          <w:iCs/>
          <w:rtl/>
        </w:rPr>
        <w:t> - دينكا ضد الكاميرون</w:t>
      </w:r>
      <w:r w:rsidRPr="00834637">
        <w:rPr>
          <w:rtl/>
        </w:rPr>
        <w:t>،</w:t>
      </w:r>
      <w:r>
        <w:rPr>
          <w:rtl/>
        </w:rPr>
        <w:t xml:space="preserve"> الآراء المعتمدة في 17 آذار/مارس 2005، الفقرة 5-2.</w:t>
      </w:r>
    </w:p>
  </w:footnote>
  <w:footnote w:id="25">
    <w:p w:rsidR="004B7AD6" w:rsidRDefault="004B7AD6" w:rsidP="00FE3349">
      <w:pPr>
        <w:pStyle w:val="FootnoteText1"/>
      </w:pPr>
      <w:r w:rsidRPr="00834637">
        <w:rPr>
          <w:b/>
          <w:rtl/>
        </w:rPr>
        <w:t>(24)</w:t>
      </w:r>
      <w:r w:rsidR="00834637">
        <w:rPr>
          <w:rFonts w:hint="cs"/>
          <w:rtl/>
        </w:rPr>
        <w:tab/>
      </w:r>
      <w:r w:rsidRPr="00834637">
        <w:rPr>
          <w:rFonts w:hint="cs"/>
          <w:rtl/>
        </w:rPr>
        <w:t xml:space="preserve">انظر </w:t>
      </w:r>
      <w:r w:rsidRPr="00A520F9">
        <w:rPr>
          <w:rFonts w:hint="cs"/>
          <w:i/>
          <w:iCs/>
          <w:rtl/>
        </w:rPr>
        <w:t>مزين ضد الجزائر</w:t>
      </w:r>
      <w:r w:rsidRPr="005810E4">
        <w:rPr>
          <w:rFonts w:hint="cs"/>
          <w:rtl/>
        </w:rPr>
        <w:t xml:space="preserve"> الفقرة 8-9؛ </w:t>
      </w:r>
      <w:r w:rsidRPr="00A520F9">
        <w:rPr>
          <w:rFonts w:hint="cs"/>
          <w:i/>
          <w:iCs/>
          <w:rtl/>
        </w:rPr>
        <w:t>وخيراني ضد الجزائر</w:t>
      </w:r>
      <w:r w:rsidRPr="005810E4">
        <w:rPr>
          <w:rFonts w:hint="cs"/>
          <w:rtl/>
        </w:rPr>
        <w:t xml:space="preserve">، الفقرة 7-9؛ </w:t>
      </w:r>
      <w:proofErr w:type="spellStart"/>
      <w:r w:rsidRPr="00A520F9">
        <w:rPr>
          <w:rFonts w:hint="cs"/>
          <w:i/>
          <w:iCs/>
          <w:rtl/>
        </w:rPr>
        <w:t>وبرزيغ</w:t>
      </w:r>
      <w:proofErr w:type="spellEnd"/>
      <w:r w:rsidRPr="00A520F9">
        <w:rPr>
          <w:rFonts w:hint="cs"/>
          <w:i/>
          <w:iCs/>
          <w:rtl/>
        </w:rPr>
        <w:t xml:space="preserve"> ضد الجزائر</w:t>
      </w:r>
      <w:r w:rsidRPr="005810E4">
        <w:rPr>
          <w:rFonts w:hint="cs"/>
          <w:rtl/>
        </w:rPr>
        <w:t xml:space="preserve">، الفقرة 8-9؛ </w:t>
      </w:r>
      <w:proofErr w:type="spellStart"/>
      <w:r w:rsidRPr="00A520F9">
        <w:rPr>
          <w:rFonts w:hint="cs"/>
          <w:i/>
          <w:iCs/>
          <w:rtl/>
        </w:rPr>
        <w:t>وزرزي</w:t>
      </w:r>
      <w:proofErr w:type="spellEnd"/>
      <w:r w:rsidRPr="00A520F9">
        <w:rPr>
          <w:rFonts w:hint="cs"/>
          <w:i/>
          <w:iCs/>
          <w:rtl/>
        </w:rPr>
        <w:t xml:space="preserve"> ضد الجزائر</w:t>
      </w:r>
      <w:r w:rsidRPr="005810E4">
        <w:rPr>
          <w:rFonts w:hint="cs"/>
          <w:rtl/>
        </w:rPr>
        <w:t xml:space="preserve">، الفقرة 7-9؛ </w:t>
      </w:r>
      <w:r w:rsidRPr="00A520F9">
        <w:rPr>
          <w:rFonts w:hint="cs"/>
          <w:i/>
          <w:iCs/>
          <w:rtl/>
        </w:rPr>
        <w:t>وبن عزيزة ضد الجزائر</w:t>
      </w:r>
      <w:r w:rsidRPr="005810E4">
        <w:rPr>
          <w:rFonts w:hint="cs"/>
          <w:rtl/>
        </w:rPr>
        <w:t xml:space="preserve">، الفقرة 9-8؛ </w:t>
      </w:r>
      <w:proofErr w:type="spellStart"/>
      <w:r w:rsidRPr="00A520F9">
        <w:rPr>
          <w:rFonts w:hint="cs"/>
          <w:i/>
          <w:iCs/>
          <w:rtl/>
        </w:rPr>
        <w:t>وعتامنة</w:t>
      </w:r>
      <w:proofErr w:type="spellEnd"/>
      <w:r w:rsidRPr="00A520F9">
        <w:rPr>
          <w:rFonts w:hint="cs"/>
          <w:i/>
          <w:iCs/>
          <w:rtl/>
        </w:rPr>
        <w:t xml:space="preserve"> ضد الجزائر</w:t>
      </w:r>
      <w:r w:rsidRPr="005810E4">
        <w:rPr>
          <w:rFonts w:hint="cs"/>
          <w:rtl/>
        </w:rPr>
        <w:t xml:space="preserve">، الفقرة 7-8؛ والبلاغ رقم 1495/2006، </w:t>
      </w:r>
      <w:r w:rsidRPr="00A520F9">
        <w:rPr>
          <w:rFonts w:hint="cs"/>
          <w:i/>
          <w:iCs/>
          <w:rtl/>
        </w:rPr>
        <w:t>مضوي ضد الجزائر</w:t>
      </w:r>
      <w:r w:rsidRPr="005810E4">
        <w:rPr>
          <w:rFonts w:hint="cs"/>
          <w:rtl/>
        </w:rPr>
        <w:t>، الآراء المعتمدة في 28 تشرين الأول/أكتوبر 2008، الفقرة</w:t>
      </w:r>
      <w:r w:rsidR="00FE3349">
        <w:rPr>
          <w:rFonts w:hint="eastAsia"/>
          <w:rtl/>
        </w:rPr>
        <w:t> </w:t>
      </w:r>
      <w:r w:rsidRPr="005810E4">
        <w:rPr>
          <w:rFonts w:hint="cs"/>
          <w:rtl/>
        </w:rPr>
        <w:t>7-7.</w:t>
      </w:r>
    </w:p>
  </w:footnote>
  <w:footnote w:id="26">
    <w:p w:rsidR="004B7AD6" w:rsidRDefault="004B7AD6" w:rsidP="00834637">
      <w:pPr>
        <w:pStyle w:val="FootnoteText1"/>
      </w:pPr>
      <w:r w:rsidRPr="00834637">
        <w:rPr>
          <w:b/>
          <w:rtl/>
        </w:rPr>
        <w:t>(25)</w:t>
      </w:r>
      <w:r w:rsidR="00834637">
        <w:rPr>
          <w:rFonts w:hint="cs"/>
          <w:rtl/>
        </w:rPr>
        <w:tab/>
      </w:r>
      <w:r w:rsidRPr="00834637">
        <w:rPr>
          <w:rFonts w:hint="cs"/>
          <w:rtl/>
        </w:rPr>
        <w:t>الوثيقة</w:t>
      </w:r>
      <w:r>
        <w:rPr>
          <w:rFonts w:hint="cs"/>
          <w:rtl/>
        </w:rPr>
        <w:t xml:space="preserve"> </w:t>
      </w:r>
      <w:r w:rsidRPr="00EA6E29">
        <w:t>CCPR/C/DZA/CO/3</w:t>
      </w:r>
      <w:r w:rsidRPr="005810E4">
        <w:rPr>
          <w:rFonts w:hint="cs"/>
          <w:rtl/>
        </w:rPr>
        <w:t>، الفقرة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D6" w:rsidRPr="004B7AD6" w:rsidRDefault="004B7AD6" w:rsidP="004B7AD6">
    <w:pPr>
      <w:pStyle w:val="Header"/>
      <w:jc w:val="right"/>
    </w:pPr>
    <w:r w:rsidRPr="004B7AD6">
      <w:t>CCPR/C/112/D/2117/2011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D6" w:rsidRPr="004B7AD6" w:rsidRDefault="004B7AD6" w:rsidP="004B7AD6">
    <w:pPr>
      <w:pStyle w:val="Header"/>
      <w:jc w:val="left"/>
    </w:pPr>
    <w:r w:rsidRPr="004B7AD6">
      <w:t>CCPR/C/112/D/2117/2011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7B3D21"/>
    <w:multiLevelType w:val="hybridMultilevel"/>
    <w:tmpl w:val="B8B8EA0C"/>
    <w:lvl w:ilvl="0" w:tplc="DF08F3A6">
      <w:start w:val="13"/>
      <w:numFmt w:val="decimal"/>
      <w:lvlRestart w:val="0"/>
      <w:lvlText w:val="(%1)"/>
      <w:lvlJc w:val="right"/>
      <w:pPr>
        <w:tabs>
          <w:tab w:val="num" w:pos="1301"/>
        </w:tabs>
        <w:ind w:left="1301" w:hanging="227"/>
      </w:pPr>
      <w:rPr>
        <w:rFonts w:ascii="Traditional Arabic" w:hAnsi="Traditional Arabic" w:cs="Traditional Arabic" w:hint="default"/>
        <w:sz w:val="26"/>
        <w:szCs w:val="26"/>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7E926E7"/>
    <w:multiLevelType w:val="multilevel"/>
    <w:tmpl w:val="39FC02EA"/>
    <w:lvl w:ilvl="0">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start w:val="1"/>
      <w:numFmt w:val="lowerLetter"/>
      <w:lvlText w:val="%2."/>
      <w:lvlJc w:val="left"/>
      <w:pPr>
        <w:tabs>
          <w:tab w:val="num" w:pos="1486"/>
        </w:tabs>
        <w:ind w:left="1486" w:hanging="360"/>
      </w:pPr>
    </w:lvl>
    <w:lvl w:ilvl="2">
      <w:start w:val="1"/>
      <w:numFmt w:val="lowerRoman"/>
      <w:lvlText w:val="%3."/>
      <w:lvlJc w:val="right"/>
      <w:pPr>
        <w:tabs>
          <w:tab w:val="num" w:pos="2206"/>
        </w:tabs>
        <w:ind w:left="2206" w:hanging="180"/>
      </w:pPr>
    </w:lvl>
    <w:lvl w:ilvl="3">
      <w:start w:val="1"/>
      <w:numFmt w:val="decimal"/>
      <w:lvlText w:val="%4."/>
      <w:lvlJc w:val="left"/>
      <w:pPr>
        <w:tabs>
          <w:tab w:val="num" w:pos="2926"/>
        </w:tabs>
        <w:ind w:left="2926" w:hanging="360"/>
      </w:pPr>
    </w:lvl>
    <w:lvl w:ilvl="4">
      <w:start w:val="1"/>
      <w:numFmt w:val="lowerLetter"/>
      <w:lvlText w:val="%5."/>
      <w:lvlJc w:val="left"/>
      <w:pPr>
        <w:tabs>
          <w:tab w:val="num" w:pos="3646"/>
        </w:tabs>
        <w:ind w:left="3646" w:hanging="360"/>
      </w:pPr>
    </w:lvl>
    <w:lvl w:ilvl="5">
      <w:start w:val="1"/>
      <w:numFmt w:val="lowerRoman"/>
      <w:lvlText w:val="%6."/>
      <w:lvlJc w:val="right"/>
      <w:pPr>
        <w:tabs>
          <w:tab w:val="num" w:pos="4366"/>
        </w:tabs>
        <w:ind w:left="4366" w:hanging="180"/>
      </w:pPr>
    </w:lvl>
    <w:lvl w:ilvl="6">
      <w:start w:val="1"/>
      <w:numFmt w:val="decimal"/>
      <w:lvlText w:val="%7."/>
      <w:lvlJc w:val="left"/>
      <w:pPr>
        <w:tabs>
          <w:tab w:val="num" w:pos="5086"/>
        </w:tabs>
        <w:ind w:left="5086" w:hanging="360"/>
      </w:pPr>
    </w:lvl>
    <w:lvl w:ilvl="7">
      <w:start w:val="1"/>
      <w:numFmt w:val="lowerLetter"/>
      <w:lvlText w:val="%8."/>
      <w:lvlJc w:val="left"/>
      <w:pPr>
        <w:tabs>
          <w:tab w:val="num" w:pos="5806"/>
        </w:tabs>
        <w:ind w:left="5806" w:hanging="360"/>
      </w:pPr>
    </w:lvl>
    <w:lvl w:ilvl="8">
      <w:start w:val="1"/>
      <w:numFmt w:val="lowerRoman"/>
      <w:lvlText w:val="%9."/>
      <w:lvlJc w:val="right"/>
      <w:pPr>
        <w:tabs>
          <w:tab w:val="num" w:pos="6526"/>
        </w:tabs>
        <w:ind w:left="6526" w:hanging="180"/>
      </w:pPr>
    </w:lvl>
  </w:abstractNum>
  <w:abstractNum w:abstractNumId="21">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708149B3"/>
    <w:multiLevelType w:val="hybridMultilevel"/>
    <w:tmpl w:val="FBE4DFB8"/>
    <w:lvl w:ilvl="0" w:tplc="7A020E42">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A364DE0A">
      <w:start w:val="1"/>
      <w:numFmt w:val="bullet"/>
      <w:lvlText w:val=""/>
      <w:lvlJc w:val="left"/>
      <w:pPr>
        <w:tabs>
          <w:tab w:val="num" w:pos="1313"/>
        </w:tabs>
        <w:ind w:left="1313" w:hanging="187"/>
      </w:pPr>
      <w:rPr>
        <w:rFonts w:ascii="Symbol" w:hAnsi="Symbol" w:hint="default"/>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4">
    <w:nsid w:val="74146E5B"/>
    <w:multiLevelType w:val="hybridMultilevel"/>
    <w:tmpl w:val="FAEE3F40"/>
    <w:lvl w:ilvl="0" w:tplc="32C6474C">
      <w:start w:val="1"/>
      <w:numFmt w:val="decimal"/>
      <w:lvlRestart w:val="0"/>
      <w:lvlText w:val="(%1)"/>
      <w:lvlJc w:val="right"/>
      <w:pPr>
        <w:tabs>
          <w:tab w:val="num" w:pos="1316"/>
        </w:tabs>
        <w:ind w:left="1316"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5">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6">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6"/>
  </w:num>
  <w:num w:numId="3">
    <w:abstractNumId w:val="2"/>
  </w:num>
  <w:num w:numId="4">
    <w:abstractNumId w:val="14"/>
  </w:num>
  <w:num w:numId="5">
    <w:abstractNumId w:val="12"/>
  </w:num>
  <w:num w:numId="6">
    <w:abstractNumId w:val="10"/>
  </w:num>
  <w:num w:numId="7">
    <w:abstractNumId w:val="25"/>
  </w:num>
  <w:num w:numId="8">
    <w:abstractNumId w:val="2"/>
  </w:num>
  <w:num w:numId="9">
    <w:abstractNumId w:val="14"/>
  </w:num>
  <w:num w:numId="10">
    <w:abstractNumId w:val="10"/>
  </w:num>
  <w:num w:numId="11">
    <w:abstractNumId w:val="25"/>
  </w:num>
  <w:num w:numId="12">
    <w:abstractNumId w:val="11"/>
  </w:num>
  <w:num w:numId="13">
    <w:abstractNumId w:val="13"/>
  </w:num>
  <w:num w:numId="14">
    <w:abstractNumId w:val="4"/>
  </w:num>
  <w:num w:numId="15">
    <w:abstractNumId w:val="3"/>
  </w:num>
  <w:num w:numId="16">
    <w:abstractNumId w:val="17"/>
  </w:num>
  <w:num w:numId="17">
    <w:abstractNumId w:val="5"/>
  </w:num>
  <w:num w:numId="18">
    <w:abstractNumId w:val="9"/>
  </w:num>
  <w:num w:numId="19">
    <w:abstractNumId w:val="15"/>
  </w:num>
  <w:num w:numId="20">
    <w:abstractNumId w:val="19"/>
  </w:num>
  <w:num w:numId="21">
    <w:abstractNumId w:val="26"/>
  </w:num>
  <w:num w:numId="22">
    <w:abstractNumId w:val="6"/>
  </w:num>
  <w:num w:numId="23">
    <w:abstractNumId w:val="18"/>
  </w:num>
  <w:num w:numId="24">
    <w:abstractNumId w:val="21"/>
  </w:num>
  <w:num w:numId="25">
    <w:abstractNumId w:val="1"/>
  </w:num>
  <w:num w:numId="26">
    <w:abstractNumId w:val="8"/>
  </w:num>
  <w:num w:numId="27">
    <w:abstractNumId w:val="24"/>
  </w:num>
  <w:num w:numId="28">
    <w:abstractNumId w:val="23"/>
  </w:num>
  <w:num w:numId="29">
    <w:abstractNumId w:val="20"/>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253C1"/>
    <w:rsid w:val="000076D5"/>
    <w:rsid w:val="00043663"/>
    <w:rsid w:val="000437B8"/>
    <w:rsid w:val="000505CF"/>
    <w:rsid w:val="000D701C"/>
    <w:rsid w:val="000E2A71"/>
    <w:rsid w:val="001229D5"/>
    <w:rsid w:val="00160263"/>
    <w:rsid w:val="00181F96"/>
    <w:rsid w:val="001A1371"/>
    <w:rsid w:val="001B346A"/>
    <w:rsid w:val="001C37C0"/>
    <w:rsid w:val="001E1CAD"/>
    <w:rsid w:val="001E290D"/>
    <w:rsid w:val="002144FA"/>
    <w:rsid w:val="002227BD"/>
    <w:rsid w:val="0023469A"/>
    <w:rsid w:val="00243C8A"/>
    <w:rsid w:val="00267A0E"/>
    <w:rsid w:val="00277E27"/>
    <w:rsid w:val="002901D9"/>
    <w:rsid w:val="002976C2"/>
    <w:rsid w:val="003260FF"/>
    <w:rsid w:val="00343D95"/>
    <w:rsid w:val="00374341"/>
    <w:rsid w:val="003B59CE"/>
    <w:rsid w:val="003D1062"/>
    <w:rsid w:val="00420D7B"/>
    <w:rsid w:val="00450B21"/>
    <w:rsid w:val="00451981"/>
    <w:rsid w:val="00453B63"/>
    <w:rsid w:val="00455780"/>
    <w:rsid w:val="004B0A1C"/>
    <w:rsid w:val="004B7AD6"/>
    <w:rsid w:val="004D298E"/>
    <w:rsid w:val="0051197C"/>
    <w:rsid w:val="00517BC9"/>
    <w:rsid w:val="0054472E"/>
    <w:rsid w:val="005655ED"/>
    <w:rsid w:val="005662A9"/>
    <w:rsid w:val="00581C69"/>
    <w:rsid w:val="005827D4"/>
    <w:rsid w:val="005917AD"/>
    <w:rsid w:val="005937D1"/>
    <w:rsid w:val="0059622A"/>
    <w:rsid w:val="005C5878"/>
    <w:rsid w:val="005C7CEA"/>
    <w:rsid w:val="005D3C0B"/>
    <w:rsid w:val="005E5217"/>
    <w:rsid w:val="005F0FA4"/>
    <w:rsid w:val="005F30EE"/>
    <w:rsid w:val="0060473A"/>
    <w:rsid w:val="00645544"/>
    <w:rsid w:val="00656392"/>
    <w:rsid w:val="00675437"/>
    <w:rsid w:val="0068781D"/>
    <w:rsid w:val="006959B0"/>
    <w:rsid w:val="006B3E27"/>
    <w:rsid w:val="006B6507"/>
    <w:rsid w:val="006C104C"/>
    <w:rsid w:val="006C3D54"/>
    <w:rsid w:val="00701EBD"/>
    <w:rsid w:val="0070710B"/>
    <w:rsid w:val="00733704"/>
    <w:rsid w:val="007501AB"/>
    <w:rsid w:val="007662EF"/>
    <w:rsid w:val="0078071A"/>
    <w:rsid w:val="00787E1E"/>
    <w:rsid w:val="007D7F70"/>
    <w:rsid w:val="00834637"/>
    <w:rsid w:val="00850EF1"/>
    <w:rsid w:val="00852A9A"/>
    <w:rsid w:val="008A5E81"/>
    <w:rsid w:val="008C173F"/>
    <w:rsid w:val="008F49E1"/>
    <w:rsid w:val="0090370F"/>
    <w:rsid w:val="009253C1"/>
    <w:rsid w:val="009269D2"/>
    <w:rsid w:val="00942135"/>
    <w:rsid w:val="009521B0"/>
    <w:rsid w:val="009A1B89"/>
    <w:rsid w:val="009A7E9F"/>
    <w:rsid w:val="009E5018"/>
    <w:rsid w:val="009E57CB"/>
    <w:rsid w:val="00A12B37"/>
    <w:rsid w:val="00A520F9"/>
    <w:rsid w:val="00AB6758"/>
    <w:rsid w:val="00B13763"/>
    <w:rsid w:val="00B477A4"/>
    <w:rsid w:val="00B54045"/>
    <w:rsid w:val="00C135E6"/>
    <w:rsid w:val="00C30608"/>
    <w:rsid w:val="00C438D7"/>
    <w:rsid w:val="00C678F3"/>
    <w:rsid w:val="00C81B50"/>
    <w:rsid w:val="00CB6622"/>
    <w:rsid w:val="00CD1801"/>
    <w:rsid w:val="00CF14CB"/>
    <w:rsid w:val="00D10EF1"/>
    <w:rsid w:val="00D31BEE"/>
    <w:rsid w:val="00D42810"/>
    <w:rsid w:val="00D839D6"/>
    <w:rsid w:val="00D914A7"/>
    <w:rsid w:val="00DD13C3"/>
    <w:rsid w:val="00DD596E"/>
    <w:rsid w:val="00DD621E"/>
    <w:rsid w:val="00DF0575"/>
    <w:rsid w:val="00E47428"/>
    <w:rsid w:val="00E70E04"/>
    <w:rsid w:val="00E9474B"/>
    <w:rsid w:val="00EC05A7"/>
    <w:rsid w:val="00EC4B6B"/>
    <w:rsid w:val="00ED7442"/>
    <w:rsid w:val="00EF1EE5"/>
    <w:rsid w:val="00F57050"/>
    <w:rsid w:val="00F663B2"/>
    <w:rsid w:val="00F763B4"/>
    <w:rsid w:val="00F900C3"/>
    <w:rsid w:val="00FD129C"/>
    <w:rsid w:val="00FE3349"/>
    <w:rsid w:val="00FF2AB2"/>
    <w:rsid w:val="00FF6ECD"/>
    <w:rsid w:val="00FF70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numbering" w:styleId="111111">
    <w:name w:val="Outline List 2"/>
    <w:basedOn w:val="NoList"/>
    <w:semiHidden/>
    <w:rsid w:val="004B7AD6"/>
    <w:pPr>
      <w:numPr>
        <w:numId w:val="12"/>
      </w:numPr>
    </w:pPr>
  </w:style>
  <w:style w:type="numbering" w:styleId="1ai">
    <w:name w:val="Outline List 1"/>
    <w:basedOn w:val="NoList"/>
    <w:semiHidden/>
    <w:rsid w:val="004B7AD6"/>
    <w:pPr>
      <w:numPr>
        <w:numId w:val="13"/>
      </w:numPr>
    </w:pPr>
  </w:style>
  <w:style w:type="paragraph" w:customStyle="1" w:styleId="H1">
    <w:name w:val="_ H_1"/>
    <w:basedOn w:val="Normal"/>
    <w:next w:val="SingleTxt"/>
    <w:qFormat/>
    <w:rsid w:val="004B7AD6"/>
    <w:pPr>
      <w:spacing w:line="400" w:lineRule="exact"/>
      <w:outlineLvl w:val="0"/>
    </w:pPr>
    <w:rPr>
      <w:rFonts w:eastAsia="Calibri"/>
      <w:b/>
      <w:bCs/>
      <w:w w:val="103"/>
      <w:kern w:val="14"/>
      <w:sz w:val="24"/>
      <w:szCs w:val="34"/>
    </w:rPr>
  </w:style>
  <w:style w:type="paragraph" w:customStyle="1" w:styleId="HCh">
    <w:name w:val="_ H _Ch"/>
    <w:basedOn w:val="H1"/>
    <w:next w:val="SingleTxt"/>
    <w:qFormat/>
    <w:rsid w:val="004B7AD6"/>
    <w:pPr>
      <w:spacing w:line="450" w:lineRule="exact"/>
    </w:pPr>
    <w:rPr>
      <w:spacing w:val="-2"/>
      <w:sz w:val="28"/>
      <w:szCs w:val="38"/>
    </w:rPr>
  </w:style>
  <w:style w:type="character" w:styleId="CommentReference">
    <w:name w:val="annotation reference"/>
    <w:semiHidden/>
    <w:rsid w:val="004B7AD6"/>
    <w:rPr>
      <w:sz w:val="6"/>
      <w:szCs w:val="9"/>
    </w:rPr>
  </w:style>
  <w:style w:type="paragraph" w:customStyle="1" w:styleId="HM">
    <w:name w:val="_ H __M"/>
    <w:basedOn w:val="HCh"/>
    <w:next w:val="Normal"/>
    <w:qFormat/>
    <w:rsid w:val="004B7AD6"/>
    <w:pPr>
      <w:keepNext/>
      <w:keepLines/>
      <w:suppressAutoHyphens/>
      <w:spacing w:line="540" w:lineRule="exact"/>
    </w:pPr>
    <w:rPr>
      <w:spacing w:val="-3"/>
      <w:w w:val="99"/>
      <w:sz w:val="34"/>
      <w:szCs w:val="51"/>
    </w:rPr>
  </w:style>
  <w:style w:type="paragraph" w:customStyle="1" w:styleId="SingleTxt">
    <w:name w:val="__Single Txt"/>
    <w:basedOn w:val="Normal"/>
    <w:qFormat/>
    <w:rsid w:val="004B7AD6"/>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Calibri"/>
      <w:w w:val="103"/>
      <w:kern w:val="14"/>
    </w:rPr>
  </w:style>
  <w:style w:type="paragraph" w:customStyle="1" w:styleId="H23">
    <w:name w:val="_ H_2/3"/>
    <w:basedOn w:val="H1"/>
    <w:next w:val="SingleTxt"/>
    <w:qFormat/>
    <w:rsid w:val="004B7AD6"/>
    <w:pPr>
      <w:keepNext/>
      <w:keepLines/>
      <w:suppressAutoHyphens/>
      <w:outlineLvl w:val="1"/>
    </w:pPr>
    <w:rPr>
      <w:spacing w:val="2"/>
      <w:sz w:val="20"/>
      <w:szCs w:val="30"/>
    </w:rPr>
  </w:style>
  <w:style w:type="paragraph" w:customStyle="1" w:styleId="H4">
    <w:name w:val="_ H_4"/>
    <w:basedOn w:val="Normal"/>
    <w:next w:val="SingleTxt"/>
    <w:qFormat/>
    <w:rsid w:val="004B7AD6"/>
    <w:pPr>
      <w:keepNext/>
      <w:keepLines/>
      <w:suppressAutoHyphens/>
      <w:spacing w:line="360" w:lineRule="exact"/>
      <w:outlineLvl w:val="3"/>
    </w:pPr>
    <w:rPr>
      <w:rFonts w:eastAsia="Calibri"/>
      <w:i/>
      <w:iCs/>
      <w:spacing w:val="3"/>
      <w:w w:val="103"/>
      <w:kern w:val="14"/>
    </w:rPr>
  </w:style>
  <w:style w:type="paragraph" w:customStyle="1" w:styleId="H56">
    <w:name w:val="_ H_5/6"/>
    <w:basedOn w:val="Normal"/>
    <w:next w:val="Normal"/>
    <w:qFormat/>
    <w:rsid w:val="004B7AD6"/>
    <w:pPr>
      <w:keepNext/>
      <w:keepLines/>
      <w:suppressAutoHyphens/>
      <w:spacing w:line="360" w:lineRule="exact"/>
      <w:outlineLvl w:val="4"/>
    </w:pPr>
    <w:rPr>
      <w:rFonts w:eastAsia="Calibri"/>
      <w:w w:val="103"/>
      <w:kern w:val="14"/>
    </w:rPr>
  </w:style>
  <w:style w:type="paragraph" w:customStyle="1" w:styleId="DualTxt">
    <w:name w:val="__Dual Txt"/>
    <w:basedOn w:val="Normal"/>
    <w:qFormat/>
    <w:rsid w:val="004B7AD6"/>
    <w:pPr>
      <w:tabs>
        <w:tab w:val="left" w:pos="662"/>
        <w:tab w:val="left" w:pos="1325"/>
        <w:tab w:val="left" w:pos="1987"/>
        <w:tab w:val="left" w:pos="2650"/>
        <w:tab w:val="left" w:pos="3312"/>
        <w:tab w:val="left" w:pos="3974"/>
        <w:tab w:val="left" w:pos="4637"/>
      </w:tabs>
      <w:spacing w:after="120" w:line="400" w:lineRule="exact"/>
    </w:pPr>
    <w:rPr>
      <w:rFonts w:eastAsia="Calibri"/>
      <w:w w:val="103"/>
      <w:kern w:val="14"/>
    </w:rPr>
  </w:style>
  <w:style w:type="paragraph" w:customStyle="1" w:styleId="JDualTxt">
    <w:name w:val="J__Dual Txt"/>
    <w:basedOn w:val="Normal"/>
    <w:qFormat/>
    <w:rsid w:val="004B7AD6"/>
    <w:pPr>
      <w:tabs>
        <w:tab w:val="left" w:pos="475"/>
        <w:tab w:val="left" w:pos="950"/>
        <w:tab w:val="left" w:pos="1426"/>
        <w:tab w:val="left" w:pos="1901"/>
        <w:tab w:val="center" w:pos="2563"/>
        <w:tab w:val="right" w:pos="5040"/>
      </w:tabs>
      <w:spacing w:after="80" w:line="300" w:lineRule="exact"/>
    </w:pPr>
    <w:rPr>
      <w:rFonts w:eastAsia="Calibri"/>
      <w:w w:val="103"/>
      <w:kern w:val="14"/>
      <w:sz w:val="17"/>
      <w:szCs w:val="26"/>
    </w:rPr>
  </w:style>
  <w:style w:type="paragraph" w:customStyle="1" w:styleId="JSingleTxt">
    <w:name w:val="J__SingleTxt"/>
    <w:basedOn w:val="Normal"/>
    <w:qFormat/>
    <w:rsid w:val="004B7AD6"/>
    <w:pPr>
      <w:tabs>
        <w:tab w:val="left" w:pos="1843"/>
        <w:tab w:val="left" w:pos="2419"/>
        <w:tab w:val="left" w:pos="2995"/>
        <w:tab w:val="left" w:pos="3571"/>
        <w:tab w:val="left" w:pos="4147"/>
        <w:tab w:val="left" w:pos="4723"/>
        <w:tab w:val="center" w:pos="5486"/>
        <w:tab w:val="right" w:pos="9547"/>
      </w:tabs>
      <w:spacing w:after="80" w:line="300" w:lineRule="exact"/>
    </w:pPr>
    <w:rPr>
      <w:rFonts w:eastAsia="Calibri"/>
      <w:w w:val="103"/>
      <w:kern w:val="14"/>
      <w:sz w:val="17"/>
      <w:szCs w:val="26"/>
    </w:rPr>
  </w:style>
  <w:style w:type="paragraph" w:customStyle="1" w:styleId="JCH">
    <w:name w:val="J_C_H"/>
    <w:basedOn w:val="JSingleTxt"/>
    <w:qFormat/>
    <w:rsid w:val="004B7AD6"/>
    <w:pPr>
      <w:spacing w:after="120" w:line="440" w:lineRule="exact"/>
      <w:jc w:val="center"/>
    </w:pPr>
    <w:rPr>
      <w:b/>
      <w:bCs/>
      <w:sz w:val="25"/>
      <w:szCs w:val="38"/>
    </w:rPr>
  </w:style>
  <w:style w:type="paragraph" w:customStyle="1" w:styleId="JH1">
    <w:name w:val="J_H_1"/>
    <w:basedOn w:val="JCH"/>
    <w:qFormat/>
    <w:rsid w:val="004B7AD6"/>
    <w:pPr>
      <w:spacing w:line="420" w:lineRule="exact"/>
    </w:pPr>
    <w:rPr>
      <w:sz w:val="23"/>
      <w:szCs w:val="34"/>
    </w:rPr>
  </w:style>
  <w:style w:type="paragraph" w:customStyle="1" w:styleId="JH2">
    <w:name w:val="J_H_2"/>
    <w:basedOn w:val="JH1"/>
    <w:qFormat/>
    <w:rsid w:val="004B7AD6"/>
    <w:pPr>
      <w:spacing w:line="400" w:lineRule="exact"/>
    </w:pPr>
    <w:rPr>
      <w:sz w:val="20"/>
      <w:szCs w:val="30"/>
    </w:rPr>
  </w:style>
  <w:style w:type="paragraph" w:customStyle="1" w:styleId="JSmall">
    <w:name w:val="J_Small"/>
    <w:basedOn w:val="JSingleTxt"/>
    <w:next w:val="JSingleTxt"/>
    <w:qFormat/>
    <w:rsid w:val="004B7AD6"/>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4B7AD6"/>
    <w:pPr>
      <w:tabs>
        <w:tab w:val="right" w:leader="dot" w:pos="360"/>
      </w:tabs>
      <w:spacing w:line="310" w:lineRule="exact"/>
      <w:jc w:val="right"/>
    </w:pPr>
    <w:rPr>
      <w:rFonts w:eastAsia="Calibri"/>
      <w:spacing w:val="5"/>
      <w:w w:val="104"/>
      <w:kern w:val="14"/>
      <w:sz w:val="17"/>
      <w:szCs w:val="25"/>
    </w:rPr>
  </w:style>
  <w:style w:type="character" w:styleId="LineNumber">
    <w:name w:val="line number"/>
    <w:qFormat/>
    <w:rsid w:val="004B7AD6"/>
    <w:rPr>
      <w:sz w:val="14"/>
      <w:szCs w:val="16"/>
    </w:rPr>
  </w:style>
  <w:style w:type="paragraph" w:customStyle="1" w:styleId="SmallX">
    <w:name w:val="SmallX"/>
    <w:basedOn w:val="Small"/>
    <w:next w:val="Normal"/>
    <w:qFormat/>
    <w:rsid w:val="004B7AD6"/>
    <w:pPr>
      <w:spacing w:line="240" w:lineRule="exact"/>
    </w:pPr>
    <w:rPr>
      <w:spacing w:val="6"/>
      <w:w w:val="106"/>
      <w:sz w:val="14"/>
      <w:szCs w:val="21"/>
    </w:rPr>
  </w:style>
  <w:style w:type="paragraph" w:customStyle="1" w:styleId="XLarge">
    <w:name w:val="XLarge"/>
    <w:basedOn w:val="HM"/>
    <w:qFormat/>
    <w:rsid w:val="004B7AD6"/>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4B7AD6"/>
    <w:pPr>
      <w:spacing w:line="820" w:lineRule="exact"/>
    </w:pPr>
    <w:rPr>
      <w:spacing w:val="-8"/>
      <w:w w:val="96"/>
      <w:sz w:val="57"/>
      <w:szCs w:val="86"/>
    </w:rPr>
  </w:style>
  <w:style w:type="paragraph" w:customStyle="1" w:styleId="Distribution">
    <w:name w:val="Distribution"/>
    <w:basedOn w:val="Normal"/>
    <w:next w:val="Normal"/>
    <w:qFormat/>
    <w:rsid w:val="004B7AD6"/>
    <w:pPr>
      <w:tabs>
        <w:tab w:val="left" w:pos="662"/>
        <w:tab w:val="left" w:pos="1267"/>
        <w:tab w:val="left" w:pos="1987"/>
        <w:tab w:val="left" w:pos="2650"/>
      </w:tabs>
      <w:spacing w:line="240" w:lineRule="exact"/>
    </w:pPr>
    <w:rPr>
      <w:rFonts w:eastAsia="Calibri"/>
      <w:w w:val="103"/>
      <w:kern w:val="14"/>
    </w:rPr>
  </w:style>
  <w:style w:type="paragraph" w:customStyle="1" w:styleId="Publication">
    <w:name w:val="Publication"/>
    <w:basedOn w:val="Normal"/>
    <w:next w:val="Normal"/>
    <w:qFormat/>
    <w:rsid w:val="004B7AD6"/>
    <w:pPr>
      <w:tabs>
        <w:tab w:val="left" w:pos="662"/>
        <w:tab w:val="left" w:pos="1267"/>
        <w:tab w:val="left" w:pos="1987"/>
        <w:tab w:val="left" w:pos="2650"/>
      </w:tabs>
      <w:spacing w:line="240" w:lineRule="exact"/>
    </w:pPr>
    <w:rPr>
      <w:rFonts w:eastAsia="Calibri"/>
      <w:w w:val="103"/>
      <w:kern w:val="14"/>
    </w:rPr>
  </w:style>
  <w:style w:type="paragraph" w:customStyle="1" w:styleId="Original">
    <w:name w:val="Original"/>
    <w:basedOn w:val="Normal"/>
    <w:next w:val="Normal"/>
    <w:qFormat/>
    <w:rsid w:val="004B7AD6"/>
    <w:pPr>
      <w:tabs>
        <w:tab w:val="left" w:pos="662"/>
        <w:tab w:val="left" w:pos="1267"/>
        <w:tab w:val="left" w:pos="1987"/>
        <w:tab w:val="left" w:pos="2650"/>
      </w:tabs>
      <w:spacing w:line="240" w:lineRule="exact"/>
    </w:pPr>
    <w:rPr>
      <w:rFonts w:eastAsia="Calibri"/>
      <w:w w:val="103"/>
      <w:kern w:val="14"/>
    </w:rPr>
  </w:style>
  <w:style w:type="paragraph" w:customStyle="1" w:styleId="ReleaseDate">
    <w:name w:val="Release Date"/>
    <w:next w:val="Footer"/>
    <w:qFormat/>
    <w:rsid w:val="004B7AD6"/>
    <w:pPr>
      <w:tabs>
        <w:tab w:val="center" w:pos="4320"/>
        <w:tab w:val="right" w:pos="8640"/>
      </w:tabs>
      <w:spacing w:after="0" w:line="210" w:lineRule="exact"/>
      <w:jc w:val="right"/>
    </w:pPr>
    <w:rPr>
      <w:rFonts w:ascii="Times New Roman" w:eastAsia="Calibri" w:hAnsi="Times New Roman" w:cs="Traditional Arabic"/>
      <w:w w:val="103"/>
      <w:kern w:val="14"/>
      <w:sz w:val="20"/>
      <w:szCs w:val="30"/>
    </w:rPr>
  </w:style>
  <w:style w:type="paragraph" w:customStyle="1" w:styleId="Session">
    <w:name w:val="Session"/>
    <w:basedOn w:val="H23"/>
    <w:qFormat/>
    <w:rsid w:val="004B7AD6"/>
    <w:pPr>
      <w:tabs>
        <w:tab w:val="left" w:pos="662"/>
        <w:tab w:val="left" w:pos="1267"/>
        <w:tab w:val="left" w:pos="1987"/>
        <w:tab w:val="left" w:pos="2650"/>
      </w:tabs>
      <w:ind w:left="663" w:hanging="663"/>
    </w:pPr>
  </w:style>
  <w:style w:type="paragraph" w:customStyle="1" w:styleId="Committee">
    <w:name w:val="Committee"/>
    <w:basedOn w:val="H1"/>
    <w:qFormat/>
    <w:rsid w:val="004B7AD6"/>
    <w:pPr>
      <w:tabs>
        <w:tab w:val="left" w:pos="662"/>
        <w:tab w:val="left" w:pos="1267"/>
        <w:tab w:val="left" w:pos="1987"/>
        <w:tab w:val="left" w:pos="2650"/>
      </w:tabs>
      <w:ind w:right="1264"/>
    </w:pPr>
  </w:style>
  <w:style w:type="paragraph" w:customStyle="1" w:styleId="AgendaTitle">
    <w:name w:val="AgendaTitle"/>
    <w:basedOn w:val="Normal"/>
    <w:next w:val="Normal"/>
    <w:qFormat/>
    <w:rsid w:val="004B7AD6"/>
    <w:pPr>
      <w:tabs>
        <w:tab w:val="left" w:pos="662"/>
        <w:tab w:val="left" w:pos="1267"/>
        <w:tab w:val="left" w:pos="1325"/>
        <w:tab w:val="left" w:pos="1987"/>
        <w:tab w:val="left" w:pos="2650"/>
        <w:tab w:val="left" w:pos="3312"/>
      </w:tabs>
      <w:spacing w:line="400" w:lineRule="exact"/>
      <w:ind w:left="1264" w:hanging="1264"/>
    </w:pPr>
    <w:rPr>
      <w:rFonts w:eastAsia="Calibri"/>
      <w:w w:val="103"/>
      <w:kern w:val="14"/>
    </w:rPr>
  </w:style>
  <w:style w:type="paragraph" w:customStyle="1" w:styleId="Sponsors">
    <w:name w:val="Sponsors"/>
    <w:basedOn w:val="H23"/>
    <w:qFormat/>
    <w:rsid w:val="004B7AD6"/>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4B7AD6"/>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4B7AD6"/>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4B7AD6"/>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4B7AD6"/>
    <w:rPr>
      <w:color w:val="0000FF"/>
      <w:u w:val="single"/>
    </w:rPr>
  </w:style>
  <w:style w:type="character" w:styleId="FollowedHyperlink">
    <w:name w:val="FollowedHyperlink"/>
    <w:rsid w:val="004B7AD6"/>
    <w:rPr>
      <w:color w:val="0000FF"/>
      <w:u w:val="single"/>
    </w:rPr>
  </w:style>
  <w:style w:type="paragraph" w:styleId="CommentText">
    <w:name w:val="annotation text"/>
    <w:basedOn w:val="Normal"/>
    <w:link w:val="CommentTextChar"/>
    <w:rsid w:val="004B7AD6"/>
    <w:pPr>
      <w:spacing w:line="400" w:lineRule="exact"/>
    </w:pPr>
    <w:rPr>
      <w:rFonts w:eastAsia="Calibri"/>
      <w:w w:val="103"/>
      <w:kern w:val="14"/>
      <w:szCs w:val="20"/>
    </w:rPr>
  </w:style>
  <w:style w:type="character" w:customStyle="1" w:styleId="CommentTextChar">
    <w:name w:val="Comment Text Char"/>
    <w:basedOn w:val="DefaultParagraphFont"/>
    <w:link w:val="CommentText"/>
    <w:rsid w:val="004B7AD6"/>
    <w:rPr>
      <w:rFonts w:ascii="Times New Roman" w:eastAsia="Calibri" w:hAnsi="Times New Roman" w:cs="Traditional Arabic"/>
      <w:w w:val="103"/>
      <w:kern w:val="14"/>
      <w:sz w:val="20"/>
      <w:szCs w:val="20"/>
    </w:rPr>
  </w:style>
  <w:style w:type="paragraph" w:styleId="CommentSubject">
    <w:name w:val="annotation subject"/>
    <w:basedOn w:val="CommentText"/>
    <w:next w:val="CommentText"/>
    <w:link w:val="CommentSubjectChar"/>
    <w:rsid w:val="004B7AD6"/>
    <w:rPr>
      <w:b/>
      <w:bCs/>
    </w:rPr>
  </w:style>
  <w:style w:type="character" w:customStyle="1" w:styleId="CommentSubjectChar">
    <w:name w:val="Comment Subject Char"/>
    <w:basedOn w:val="CommentTextChar"/>
    <w:link w:val="CommentSubject"/>
    <w:rsid w:val="004B7AD6"/>
    <w:rPr>
      <w:rFonts w:ascii="Times New Roman" w:eastAsia="Calibri" w:hAnsi="Times New Roman" w:cs="Traditional Arabic"/>
      <w:b/>
      <w:bCs/>
      <w:w w:val="103"/>
      <w:kern w:val="14"/>
      <w:sz w:val="20"/>
      <w:szCs w:val="20"/>
    </w:rPr>
  </w:style>
  <w:style w:type="character" w:customStyle="1" w:styleId="apple-converted-space">
    <w:name w:val="apple-converted-space"/>
    <w:rsid w:val="004B7AD6"/>
  </w:style>
  <w:style w:type="character" w:customStyle="1" w:styleId="H1GAChar">
    <w:name w:val="_ H_1_GA Char"/>
    <w:link w:val="H1GA"/>
    <w:rsid w:val="004B7AD6"/>
    <w:rPr>
      <w:rFonts w:ascii="Times New Roman" w:hAnsi="Times New Roman" w:cs="Traditional Arabic"/>
      <w:b/>
      <w:bCs/>
      <w:sz w:val="2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numbering" w:styleId="111111">
    <w:name w:val="Outline List 2"/>
    <w:basedOn w:val="NoList"/>
    <w:semiHidden/>
    <w:rsid w:val="004B7AD6"/>
    <w:pPr>
      <w:numPr>
        <w:numId w:val="12"/>
      </w:numPr>
    </w:pPr>
  </w:style>
  <w:style w:type="numbering" w:styleId="1ai">
    <w:name w:val="Outline List 1"/>
    <w:basedOn w:val="NoList"/>
    <w:semiHidden/>
    <w:rsid w:val="004B7AD6"/>
    <w:pPr>
      <w:numPr>
        <w:numId w:val="13"/>
      </w:numPr>
    </w:pPr>
  </w:style>
  <w:style w:type="paragraph" w:customStyle="1" w:styleId="H1">
    <w:name w:val="_ H_1"/>
    <w:basedOn w:val="Normal"/>
    <w:next w:val="SingleTxt"/>
    <w:qFormat/>
    <w:rsid w:val="004B7AD6"/>
    <w:pPr>
      <w:spacing w:line="400" w:lineRule="exact"/>
      <w:outlineLvl w:val="0"/>
    </w:pPr>
    <w:rPr>
      <w:rFonts w:eastAsia="Calibri"/>
      <w:b/>
      <w:bCs/>
      <w:w w:val="103"/>
      <w:kern w:val="14"/>
      <w:sz w:val="24"/>
      <w:szCs w:val="34"/>
    </w:rPr>
  </w:style>
  <w:style w:type="paragraph" w:customStyle="1" w:styleId="HCh">
    <w:name w:val="_ H _Ch"/>
    <w:basedOn w:val="H1"/>
    <w:next w:val="SingleTxt"/>
    <w:qFormat/>
    <w:rsid w:val="004B7AD6"/>
    <w:pPr>
      <w:spacing w:line="450" w:lineRule="exact"/>
    </w:pPr>
    <w:rPr>
      <w:spacing w:val="-2"/>
      <w:sz w:val="28"/>
      <w:szCs w:val="38"/>
    </w:rPr>
  </w:style>
  <w:style w:type="character" w:styleId="CommentReference">
    <w:name w:val="annotation reference"/>
    <w:semiHidden/>
    <w:rsid w:val="004B7AD6"/>
    <w:rPr>
      <w:sz w:val="6"/>
      <w:szCs w:val="9"/>
    </w:rPr>
  </w:style>
  <w:style w:type="paragraph" w:customStyle="1" w:styleId="HM">
    <w:name w:val="_ H __M"/>
    <w:basedOn w:val="HCh"/>
    <w:next w:val="Normal"/>
    <w:qFormat/>
    <w:rsid w:val="004B7AD6"/>
    <w:pPr>
      <w:keepNext/>
      <w:keepLines/>
      <w:suppressAutoHyphens/>
      <w:spacing w:line="540" w:lineRule="exact"/>
    </w:pPr>
    <w:rPr>
      <w:spacing w:val="-3"/>
      <w:w w:val="99"/>
      <w:sz w:val="34"/>
      <w:szCs w:val="51"/>
    </w:rPr>
  </w:style>
  <w:style w:type="paragraph" w:customStyle="1" w:styleId="SingleTxt">
    <w:name w:val="__Single Txt"/>
    <w:basedOn w:val="Normal"/>
    <w:qFormat/>
    <w:rsid w:val="004B7AD6"/>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Calibri"/>
      <w:w w:val="103"/>
      <w:kern w:val="14"/>
    </w:rPr>
  </w:style>
  <w:style w:type="paragraph" w:customStyle="1" w:styleId="H23">
    <w:name w:val="_ H_2/3"/>
    <w:basedOn w:val="H1"/>
    <w:next w:val="SingleTxt"/>
    <w:qFormat/>
    <w:rsid w:val="004B7AD6"/>
    <w:pPr>
      <w:keepNext/>
      <w:keepLines/>
      <w:suppressAutoHyphens/>
      <w:outlineLvl w:val="1"/>
    </w:pPr>
    <w:rPr>
      <w:spacing w:val="2"/>
      <w:sz w:val="20"/>
      <w:szCs w:val="30"/>
    </w:rPr>
  </w:style>
  <w:style w:type="paragraph" w:customStyle="1" w:styleId="H4">
    <w:name w:val="_ H_4"/>
    <w:basedOn w:val="Normal"/>
    <w:next w:val="SingleTxt"/>
    <w:qFormat/>
    <w:rsid w:val="004B7AD6"/>
    <w:pPr>
      <w:keepNext/>
      <w:keepLines/>
      <w:suppressAutoHyphens/>
      <w:spacing w:line="360" w:lineRule="exact"/>
      <w:outlineLvl w:val="3"/>
    </w:pPr>
    <w:rPr>
      <w:rFonts w:eastAsia="Calibri"/>
      <w:i/>
      <w:iCs/>
      <w:spacing w:val="3"/>
      <w:w w:val="103"/>
      <w:kern w:val="14"/>
    </w:rPr>
  </w:style>
  <w:style w:type="paragraph" w:customStyle="1" w:styleId="H56">
    <w:name w:val="_ H_5/6"/>
    <w:basedOn w:val="Normal"/>
    <w:next w:val="Normal"/>
    <w:qFormat/>
    <w:rsid w:val="004B7AD6"/>
    <w:pPr>
      <w:keepNext/>
      <w:keepLines/>
      <w:suppressAutoHyphens/>
      <w:spacing w:line="360" w:lineRule="exact"/>
      <w:outlineLvl w:val="4"/>
    </w:pPr>
    <w:rPr>
      <w:rFonts w:eastAsia="Calibri"/>
      <w:w w:val="103"/>
      <w:kern w:val="14"/>
    </w:rPr>
  </w:style>
  <w:style w:type="paragraph" w:customStyle="1" w:styleId="DualTxt">
    <w:name w:val="__Dual Txt"/>
    <w:basedOn w:val="Normal"/>
    <w:qFormat/>
    <w:rsid w:val="004B7AD6"/>
    <w:pPr>
      <w:tabs>
        <w:tab w:val="left" w:pos="662"/>
        <w:tab w:val="left" w:pos="1325"/>
        <w:tab w:val="left" w:pos="1987"/>
        <w:tab w:val="left" w:pos="2650"/>
        <w:tab w:val="left" w:pos="3312"/>
        <w:tab w:val="left" w:pos="3974"/>
        <w:tab w:val="left" w:pos="4637"/>
      </w:tabs>
      <w:spacing w:after="120" w:line="400" w:lineRule="exact"/>
    </w:pPr>
    <w:rPr>
      <w:rFonts w:eastAsia="Calibri"/>
      <w:w w:val="103"/>
      <w:kern w:val="14"/>
    </w:rPr>
  </w:style>
  <w:style w:type="paragraph" w:customStyle="1" w:styleId="JDualTxt">
    <w:name w:val="J__Dual Txt"/>
    <w:basedOn w:val="Normal"/>
    <w:qFormat/>
    <w:rsid w:val="004B7AD6"/>
    <w:pPr>
      <w:tabs>
        <w:tab w:val="left" w:pos="475"/>
        <w:tab w:val="left" w:pos="950"/>
        <w:tab w:val="left" w:pos="1426"/>
        <w:tab w:val="left" w:pos="1901"/>
        <w:tab w:val="center" w:pos="2563"/>
        <w:tab w:val="right" w:pos="5040"/>
      </w:tabs>
      <w:spacing w:after="80" w:line="300" w:lineRule="exact"/>
    </w:pPr>
    <w:rPr>
      <w:rFonts w:eastAsia="Calibri"/>
      <w:w w:val="103"/>
      <w:kern w:val="14"/>
      <w:sz w:val="17"/>
      <w:szCs w:val="26"/>
    </w:rPr>
  </w:style>
  <w:style w:type="paragraph" w:customStyle="1" w:styleId="JSingleTxt">
    <w:name w:val="J__SingleTxt"/>
    <w:basedOn w:val="Normal"/>
    <w:qFormat/>
    <w:rsid w:val="004B7AD6"/>
    <w:pPr>
      <w:tabs>
        <w:tab w:val="left" w:pos="1843"/>
        <w:tab w:val="left" w:pos="2419"/>
        <w:tab w:val="left" w:pos="2995"/>
        <w:tab w:val="left" w:pos="3571"/>
        <w:tab w:val="left" w:pos="4147"/>
        <w:tab w:val="left" w:pos="4723"/>
        <w:tab w:val="center" w:pos="5486"/>
        <w:tab w:val="right" w:pos="9547"/>
      </w:tabs>
      <w:spacing w:after="80" w:line="300" w:lineRule="exact"/>
    </w:pPr>
    <w:rPr>
      <w:rFonts w:eastAsia="Calibri"/>
      <w:w w:val="103"/>
      <w:kern w:val="14"/>
      <w:sz w:val="17"/>
      <w:szCs w:val="26"/>
    </w:rPr>
  </w:style>
  <w:style w:type="paragraph" w:customStyle="1" w:styleId="JCH">
    <w:name w:val="J_C_H"/>
    <w:basedOn w:val="JSingleTxt"/>
    <w:qFormat/>
    <w:rsid w:val="004B7AD6"/>
    <w:pPr>
      <w:spacing w:after="120" w:line="440" w:lineRule="exact"/>
      <w:jc w:val="center"/>
    </w:pPr>
    <w:rPr>
      <w:b/>
      <w:bCs/>
      <w:sz w:val="25"/>
      <w:szCs w:val="38"/>
    </w:rPr>
  </w:style>
  <w:style w:type="paragraph" w:customStyle="1" w:styleId="JH1">
    <w:name w:val="J_H_1"/>
    <w:basedOn w:val="JCH"/>
    <w:qFormat/>
    <w:rsid w:val="004B7AD6"/>
    <w:pPr>
      <w:spacing w:line="420" w:lineRule="exact"/>
    </w:pPr>
    <w:rPr>
      <w:sz w:val="23"/>
      <w:szCs w:val="34"/>
    </w:rPr>
  </w:style>
  <w:style w:type="paragraph" w:customStyle="1" w:styleId="JH2">
    <w:name w:val="J_H_2"/>
    <w:basedOn w:val="JH1"/>
    <w:qFormat/>
    <w:rsid w:val="004B7AD6"/>
    <w:pPr>
      <w:spacing w:line="400" w:lineRule="exact"/>
    </w:pPr>
    <w:rPr>
      <w:sz w:val="20"/>
      <w:szCs w:val="30"/>
    </w:rPr>
  </w:style>
  <w:style w:type="paragraph" w:customStyle="1" w:styleId="JSmall">
    <w:name w:val="J_Small"/>
    <w:basedOn w:val="JSingleTxt"/>
    <w:next w:val="JSingleTxt"/>
    <w:qFormat/>
    <w:rsid w:val="004B7AD6"/>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4B7AD6"/>
    <w:pPr>
      <w:tabs>
        <w:tab w:val="right" w:leader="dot" w:pos="360"/>
      </w:tabs>
      <w:spacing w:line="310" w:lineRule="exact"/>
      <w:jc w:val="right"/>
    </w:pPr>
    <w:rPr>
      <w:rFonts w:eastAsia="Calibri"/>
      <w:spacing w:val="5"/>
      <w:w w:val="104"/>
      <w:kern w:val="14"/>
      <w:sz w:val="17"/>
      <w:szCs w:val="25"/>
    </w:rPr>
  </w:style>
  <w:style w:type="character" w:styleId="LineNumber">
    <w:name w:val="line number"/>
    <w:qFormat/>
    <w:rsid w:val="004B7AD6"/>
    <w:rPr>
      <w:sz w:val="14"/>
      <w:szCs w:val="16"/>
    </w:rPr>
  </w:style>
  <w:style w:type="paragraph" w:customStyle="1" w:styleId="SmallX">
    <w:name w:val="SmallX"/>
    <w:basedOn w:val="Small"/>
    <w:next w:val="Normal"/>
    <w:qFormat/>
    <w:rsid w:val="004B7AD6"/>
    <w:pPr>
      <w:spacing w:line="240" w:lineRule="exact"/>
    </w:pPr>
    <w:rPr>
      <w:spacing w:val="6"/>
      <w:w w:val="106"/>
      <w:sz w:val="14"/>
      <w:szCs w:val="21"/>
    </w:rPr>
  </w:style>
  <w:style w:type="paragraph" w:customStyle="1" w:styleId="XLarge">
    <w:name w:val="XLarge"/>
    <w:basedOn w:val="HM"/>
    <w:qFormat/>
    <w:rsid w:val="004B7AD6"/>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4B7AD6"/>
    <w:pPr>
      <w:spacing w:line="820" w:lineRule="exact"/>
    </w:pPr>
    <w:rPr>
      <w:spacing w:val="-8"/>
      <w:w w:val="96"/>
      <w:sz w:val="57"/>
      <w:szCs w:val="86"/>
    </w:rPr>
  </w:style>
  <w:style w:type="paragraph" w:customStyle="1" w:styleId="Distribution">
    <w:name w:val="Distribution"/>
    <w:basedOn w:val="Normal"/>
    <w:next w:val="Normal"/>
    <w:qFormat/>
    <w:rsid w:val="004B7AD6"/>
    <w:pPr>
      <w:tabs>
        <w:tab w:val="left" w:pos="662"/>
        <w:tab w:val="left" w:pos="1267"/>
        <w:tab w:val="left" w:pos="1987"/>
        <w:tab w:val="left" w:pos="2650"/>
      </w:tabs>
      <w:spacing w:line="240" w:lineRule="exact"/>
    </w:pPr>
    <w:rPr>
      <w:rFonts w:eastAsia="Calibri"/>
      <w:w w:val="103"/>
      <w:kern w:val="14"/>
    </w:rPr>
  </w:style>
  <w:style w:type="paragraph" w:customStyle="1" w:styleId="Publication">
    <w:name w:val="Publication"/>
    <w:basedOn w:val="Normal"/>
    <w:next w:val="Normal"/>
    <w:qFormat/>
    <w:rsid w:val="004B7AD6"/>
    <w:pPr>
      <w:tabs>
        <w:tab w:val="left" w:pos="662"/>
        <w:tab w:val="left" w:pos="1267"/>
        <w:tab w:val="left" w:pos="1987"/>
        <w:tab w:val="left" w:pos="2650"/>
      </w:tabs>
      <w:spacing w:line="240" w:lineRule="exact"/>
    </w:pPr>
    <w:rPr>
      <w:rFonts w:eastAsia="Calibri"/>
      <w:w w:val="103"/>
      <w:kern w:val="14"/>
    </w:rPr>
  </w:style>
  <w:style w:type="paragraph" w:customStyle="1" w:styleId="Original">
    <w:name w:val="Original"/>
    <w:basedOn w:val="Normal"/>
    <w:next w:val="Normal"/>
    <w:qFormat/>
    <w:rsid w:val="004B7AD6"/>
    <w:pPr>
      <w:tabs>
        <w:tab w:val="left" w:pos="662"/>
        <w:tab w:val="left" w:pos="1267"/>
        <w:tab w:val="left" w:pos="1987"/>
        <w:tab w:val="left" w:pos="2650"/>
      </w:tabs>
      <w:spacing w:line="240" w:lineRule="exact"/>
    </w:pPr>
    <w:rPr>
      <w:rFonts w:eastAsia="Calibri"/>
      <w:w w:val="103"/>
      <w:kern w:val="14"/>
    </w:rPr>
  </w:style>
  <w:style w:type="paragraph" w:customStyle="1" w:styleId="ReleaseDate">
    <w:name w:val="Release Date"/>
    <w:next w:val="Footer"/>
    <w:qFormat/>
    <w:rsid w:val="004B7AD6"/>
    <w:pPr>
      <w:tabs>
        <w:tab w:val="center" w:pos="4320"/>
        <w:tab w:val="right" w:pos="8640"/>
      </w:tabs>
      <w:spacing w:after="0" w:line="210" w:lineRule="exact"/>
      <w:jc w:val="right"/>
    </w:pPr>
    <w:rPr>
      <w:rFonts w:ascii="Times New Roman" w:eastAsia="Calibri" w:hAnsi="Times New Roman" w:cs="Traditional Arabic"/>
      <w:w w:val="103"/>
      <w:kern w:val="14"/>
      <w:sz w:val="20"/>
      <w:szCs w:val="30"/>
    </w:rPr>
  </w:style>
  <w:style w:type="paragraph" w:customStyle="1" w:styleId="Session">
    <w:name w:val="Session"/>
    <w:basedOn w:val="H23"/>
    <w:qFormat/>
    <w:rsid w:val="004B7AD6"/>
    <w:pPr>
      <w:tabs>
        <w:tab w:val="left" w:pos="662"/>
        <w:tab w:val="left" w:pos="1267"/>
        <w:tab w:val="left" w:pos="1987"/>
        <w:tab w:val="left" w:pos="2650"/>
      </w:tabs>
      <w:ind w:left="663" w:hanging="663"/>
    </w:pPr>
  </w:style>
  <w:style w:type="paragraph" w:customStyle="1" w:styleId="Committee">
    <w:name w:val="Committee"/>
    <w:basedOn w:val="H1"/>
    <w:qFormat/>
    <w:rsid w:val="004B7AD6"/>
    <w:pPr>
      <w:tabs>
        <w:tab w:val="left" w:pos="662"/>
        <w:tab w:val="left" w:pos="1267"/>
        <w:tab w:val="left" w:pos="1987"/>
        <w:tab w:val="left" w:pos="2650"/>
      </w:tabs>
      <w:ind w:right="1264"/>
    </w:pPr>
  </w:style>
  <w:style w:type="paragraph" w:customStyle="1" w:styleId="AgendaTitle">
    <w:name w:val="AgendaTitle"/>
    <w:basedOn w:val="Normal"/>
    <w:next w:val="Normal"/>
    <w:qFormat/>
    <w:rsid w:val="004B7AD6"/>
    <w:pPr>
      <w:tabs>
        <w:tab w:val="left" w:pos="662"/>
        <w:tab w:val="left" w:pos="1267"/>
        <w:tab w:val="left" w:pos="1325"/>
        <w:tab w:val="left" w:pos="1987"/>
        <w:tab w:val="left" w:pos="2650"/>
        <w:tab w:val="left" w:pos="3312"/>
      </w:tabs>
      <w:spacing w:line="400" w:lineRule="exact"/>
      <w:ind w:left="1264" w:hanging="1264"/>
    </w:pPr>
    <w:rPr>
      <w:rFonts w:eastAsia="Calibri"/>
      <w:w w:val="103"/>
      <w:kern w:val="14"/>
    </w:rPr>
  </w:style>
  <w:style w:type="paragraph" w:customStyle="1" w:styleId="Sponsors">
    <w:name w:val="Sponsors"/>
    <w:basedOn w:val="H23"/>
    <w:qFormat/>
    <w:rsid w:val="004B7AD6"/>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4B7AD6"/>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4B7AD6"/>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4B7AD6"/>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4B7AD6"/>
    <w:rPr>
      <w:color w:val="0000FF"/>
      <w:u w:val="single"/>
    </w:rPr>
  </w:style>
  <w:style w:type="character" w:styleId="FollowedHyperlink">
    <w:name w:val="FollowedHyperlink"/>
    <w:rsid w:val="004B7AD6"/>
    <w:rPr>
      <w:color w:val="0000FF"/>
      <w:u w:val="single"/>
    </w:rPr>
  </w:style>
  <w:style w:type="paragraph" w:styleId="CommentText">
    <w:name w:val="annotation text"/>
    <w:basedOn w:val="Normal"/>
    <w:link w:val="CommentTextChar"/>
    <w:rsid w:val="004B7AD6"/>
    <w:pPr>
      <w:spacing w:line="400" w:lineRule="exact"/>
    </w:pPr>
    <w:rPr>
      <w:rFonts w:eastAsia="Calibri"/>
      <w:w w:val="103"/>
      <w:kern w:val="14"/>
      <w:szCs w:val="20"/>
    </w:rPr>
  </w:style>
  <w:style w:type="character" w:customStyle="1" w:styleId="CommentTextChar">
    <w:name w:val="Comment Text Char"/>
    <w:basedOn w:val="DefaultParagraphFont"/>
    <w:link w:val="CommentText"/>
    <w:rsid w:val="004B7AD6"/>
    <w:rPr>
      <w:rFonts w:ascii="Times New Roman" w:eastAsia="Calibri" w:hAnsi="Times New Roman" w:cs="Traditional Arabic"/>
      <w:w w:val="103"/>
      <w:kern w:val="14"/>
      <w:sz w:val="20"/>
      <w:szCs w:val="20"/>
    </w:rPr>
  </w:style>
  <w:style w:type="paragraph" w:styleId="CommentSubject">
    <w:name w:val="annotation subject"/>
    <w:basedOn w:val="CommentText"/>
    <w:next w:val="CommentText"/>
    <w:link w:val="CommentSubjectChar"/>
    <w:rsid w:val="004B7AD6"/>
    <w:rPr>
      <w:b/>
      <w:bCs/>
    </w:rPr>
  </w:style>
  <w:style w:type="character" w:customStyle="1" w:styleId="CommentSubjectChar">
    <w:name w:val="Comment Subject Char"/>
    <w:basedOn w:val="CommentTextChar"/>
    <w:link w:val="CommentSubject"/>
    <w:rsid w:val="004B7AD6"/>
    <w:rPr>
      <w:rFonts w:ascii="Times New Roman" w:eastAsia="Calibri" w:hAnsi="Times New Roman" w:cs="Traditional Arabic"/>
      <w:b/>
      <w:bCs/>
      <w:w w:val="103"/>
      <w:kern w:val="14"/>
      <w:sz w:val="20"/>
      <w:szCs w:val="20"/>
    </w:rPr>
  </w:style>
  <w:style w:type="character" w:customStyle="1" w:styleId="apple-converted-space">
    <w:name w:val="apple-converted-space"/>
    <w:rsid w:val="004B7AD6"/>
  </w:style>
  <w:style w:type="character" w:customStyle="1" w:styleId="H1GAChar">
    <w:name w:val="_ H_1_GA Char"/>
    <w:link w:val="H1GA"/>
    <w:rsid w:val="004B7AD6"/>
    <w:rPr>
      <w:rFonts w:ascii="Times New Roman" w:hAnsi="Times New Roman" w:cs="Traditional Arabic"/>
      <w:b/>
      <w:bCs/>
      <w:sz w:val="2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D802-6524-4DB9-AAC5-FBD8DCB5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4187</Words>
  <Characters>23867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CCPR/C/112/D/2117/2011</vt:lpstr>
    </vt:vector>
  </TitlesOfParts>
  <Company>DCM</Company>
  <LinksUpToDate>false</LinksUpToDate>
  <CharactersWithSpaces>27999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CCPR/C/112/D/2117/2011</dc:title>
  <dc:subject/>
  <dc:creator>Aly Sayed</dc:creator>
  <cp:keywords/>
  <dc:description/>
  <cp:lastModifiedBy>El-Maseri M.</cp:lastModifiedBy>
  <cp:revision>2</cp:revision>
  <cp:lastPrinted>2015-05-07T09:22:00Z</cp:lastPrinted>
  <dcterms:created xsi:type="dcterms:W3CDTF">2015-05-08T07:18:00Z</dcterms:created>
  <dcterms:modified xsi:type="dcterms:W3CDTF">2015-05-08T07:18:00Z</dcterms:modified>
</cp:coreProperties>
</file>