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A0EF0" w:rsidRPr="00233D47" w:rsidTr="00233846">
        <w:trPr>
          <w:trHeight w:hRule="exact" w:val="851"/>
        </w:trPr>
        <w:tc>
          <w:tcPr>
            <w:tcW w:w="1276" w:type="dxa"/>
            <w:tcBorders>
              <w:bottom w:val="single" w:sz="4" w:space="0" w:color="auto"/>
            </w:tcBorders>
          </w:tcPr>
          <w:p w:rsidR="005A0EF0" w:rsidRPr="00233D47" w:rsidRDefault="005A0EF0" w:rsidP="00233846"/>
        </w:tc>
        <w:tc>
          <w:tcPr>
            <w:tcW w:w="2268" w:type="dxa"/>
            <w:tcBorders>
              <w:bottom w:val="single" w:sz="4" w:space="0" w:color="auto"/>
            </w:tcBorders>
            <w:vAlign w:val="bottom"/>
          </w:tcPr>
          <w:p w:rsidR="005A0EF0" w:rsidRPr="00233D47" w:rsidRDefault="005A0EF0" w:rsidP="00233846">
            <w:pPr>
              <w:spacing w:after="80" w:line="300" w:lineRule="exact"/>
              <w:rPr>
                <w:sz w:val="28"/>
              </w:rPr>
            </w:pPr>
            <w:r w:rsidRPr="00233D47">
              <w:rPr>
                <w:sz w:val="28"/>
              </w:rPr>
              <w:t>Nations Unies</w:t>
            </w:r>
          </w:p>
        </w:tc>
        <w:tc>
          <w:tcPr>
            <w:tcW w:w="6095" w:type="dxa"/>
            <w:gridSpan w:val="2"/>
            <w:tcBorders>
              <w:bottom w:val="single" w:sz="4" w:space="0" w:color="auto"/>
            </w:tcBorders>
            <w:vAlign w:val="bottom"/>
          </w:tcPr>
          <w:p w:rsidR="005A0EF0" w:rsidRPr="00233D47" w:rsidRDefault="00E744B4" w:rsidP="00E744B4">
            <w:pPr>
              <w:jc w:val="right"/>
            </w:pPr>
            <w:r w:rsidRPr="00E744B4">
              <w:rPr>
                <w:sz w:val="40"/>
              </w:rPr>
              <w:t>CCPR</w:t>
            </w:r>
            <w:r>
              <w:t>/C/110/D/2007/2010</w:t>
            </w:r>
          </w:p>
        </w:tc>
      </w:tr>
      <w:tr w:rsidR="005A0EF0" w:rsidRPr="00233D47" w:rsidTr="00233846">
        <w:trPr>
          <w:trHeight w:hRule="exact" w:val="2835"/>
        </w:trPr>
        <w:tc>
          <w:tcPr>
            <w:tcW w:w="1276" w:type="dxa"/>
            <w:tcBorders>
              <w:top w:val="single" w:sz="4" w:space="0" w:color="auto"/>
              <w:bottom w:val="single" w:sz="12" w:space="0" w:color="auto"/>
            </w:tcBorders>
          </w:tcPr>
          <w:p w:rsidR="005A0EF0" w:rsidRPr="00233D47" w:rsidRDefault="005A0EF0" w:rsidP="00233846">
            <w:pPr>
              <w:spacing w:before="120"/>
              <w:jc w:val="center"/>
            </w:pPr>
            <w:r w:rsidRPr="00233D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A0EF0" w:rsidRPr="00233D47" w:rsidRDefault="005A0EF0" w:rsidP="00233846">
            <w:pPr>
              <w:spacing w:before="120" w:line="380" w:lineRule="exact"/>
              <w:rPr>
                <w:b/>
                <w:sz w:val="34"/>
                <w:szCs w:val="34"/>
              </w:rPr>
            </w:pPr>
            <w:r w:rsidRPr="00233D47">
              <w:rPr>
                <w:b/>
                <w:sz w:val="34"/>
                <w:szCs w:val="34"/>
              </w:rPr>
              <w:t>Pacte international relatif</w:t>
            </w:r>
            <w:r w:rsidRPr="00233D47">
              <w:rPr>
                <w:b/>
                <w:sz w:val="34"/>
                <w:szCs w:val="34"/>
              </w:rPr>
              <w:br/>
              <w:t>aux droits civils et politiques</w:t>
            </w:r>
          </w:p>
        </w:tc>
        <w:tc>
          <w:tcPr>
            <w:tcW w:w="2835" w:type="dxa"/>
            <w:tcBorders>
              <w:top w:val="single" w:sz="4" w:space="0" w:color="auto"/>
              <w:bottom w:val="single" w:sz="12" w:space="0" w:color="auto"/>
            </w:tcBorders>
          </w:tcPr>
          <w:p w:rsidR="00E744B4" w:rsidRDefault="005A0EF0" w:rsidP="00233846">
            <w:pPr>
              <w:spacing w:before="240"/>
            </w:pPr>
            <w:r w:rsidRPr="00233D47">
              <w:t xml:space="preserve">Distr. </w:t>
            </w:r>
            <w:r>
              <w:t>générale</w:t>
            </w:r>
          </w:p>
          <w:p w:rsidR="00E744B4" w:rsidRDefault="00E744B4" w:rsidP="00E744B4">
            <w:pPr>
              <w:spacing w:line="240" w:lineRule="exact"/>
            </w:pPr>
            <w:r>
              <w:t>12 mai 2014</w:t>
            </w:r>
          </w:p>
          <w:p w:rsidR="00E744B4" w:rsidRDefault="00E744B4" w:rsidP="00E744B4">
            <w:pPr>
              <w:spacing w:line="240" w:lineRule="exact"/>
            </w:pPr>
            <w:r>
              <w:t>Français</w:t>
            </w:r>
          </w:p>
          <w:p w:rsidR="005A0EF0" w:rsidRPr="00233D47" w:rsidRDefault="00E744B4" w:rsidP="00E744B4">
            <w:pPr>
              <w:spacing w:line="240" w:lineRule="exact"/>
            </w:pPr>
            <w:r>
              <w:t>Original: anglais</w:t>
            </w:r>
          </w:p>
        </w:tc>
      </w:tr>
    </w:tbl>
    <w:p w:rsidR="00642728" w:rsidRPr="005B01E9" w:rsidRDefault="00642728" w:rsidP="00FD511F">
      <w:pPr>
        <w:spacing w:before="120" w:line="240" w:lineRule="exact"/>
        <w:rPr>
          <w:b/>
          <w:sz w:val="24"/>
          <w:szCs w:val="24"/>
        </w:rPr>
      </w:pPr>
      <w:r w:rsidRPr="005B01E9">
        <w:rPr>
          <w:b/>
          <w:sz w:val="24"/>
          <w:szCs w:val="24"/>
        </w:rPr>
        <w:t>C</w:t>
      </w:r>
      <w:r w:rsidR="00FD511F" w:rsidRPr="005B01E9">
        <w:rPr>
          <w:b/>
          <w:sz w:val="24"/>
          <w:szCs w:val="24"/>
        </w:rPr>
        <w:t>omité des droits de l</w:t>
      </w:r>
      <w:r w:rsidR="00D61D26" w:rsidRPr="005B01E9">
        <w:rPr>
          <w:b/>
          <w:sz w:val="24"/>
          <w:szCs w:val="24"/>
        </w:rPr>
        <w:t>’</w:t>
      </w:r>
      <w:r w:rsidR="00FD511F" w:rsidRPr="005B01E9">
        <w:rPr>
          <w:b/>
          <w:sz w:val="24"/>
          <w:szCs w:val="24"/>
        </w:rPr>
        <w:t>homme</w:t>
      </w:r>
    </w:p>
    <w:p w:rsidR="00BA1175" w:rsidRPr="005B01E9" w:rsidRDefault="00BA1175" w:rsidP="00BA1175">
      <w:pPr>
        <w:pStyle w:val="HChG"/>
      </w:pPr>
      <w:r w:rsidRPr="005B01E9">
        <w:tab/>
      </w:r>
      <w:r w:rsidRPr="005B01E9">
        <w:tab/>
        <w:t>Communication n</w:t>
      </w:r>
      <w:r w:rsidRPr="005B01E9">
        <w:rPr>
          <w:vertAlign w:val="superscript"/>
        </w:rPr>
        <w:t>o</w:t>
      </w:r>
      <w:r w:rsidRPr="005B01E9">
        <w:t> </w:t>
      </w:r>
      <w:r w:rsidR="00FF4DC0">
        <w:t>2007/2010</w:t>
      </w:r>
    </w:p>
    <w:p w:rsidR="00642728" w:rsidRPr="005B01E9" w:rsidRDefault="00FD511F" w:rsidP="00BA1175">
      <w:pPr>
        <w:pStyle w:val="H1G"/>
      </w:pPr>
      <w:r w:rsidRPr="005B01E9">
        <w:tab/>
      </w:r>
      <w:r w:rsidRPr="005B01E9">
        <w:tab/>
      </w:r>
      <w:r w:rsidR="0092636E" w:rsidRPr="005B01E9">
        <w:rPr>
          <w:szCs w:val="24"/>
        </w:rPr>
        <w:t xml:space="preserve">Constatations adoptées par le Comité à sa </w:t>
      </w:r>
      <w:r w:rsidR="00FF4DC0">
        <w:t>110</w:t>
      </w:r>
      <w:r w:rsidR="00FF4DC0" w:rsidRPr="008F5394">
        <w:rPr>
          <w:vertAlign w:val="superscript"/>
        </w:rPr>
        <w:t>e</w:t>
      </w:r>
      <w:r w:rsidR="00FF4DC0">
        <w:t xml:space="preserve"> session</w:t>
      </w:r>
      <w:r w:rsidR="00F25A5E">
        <w:br/>
      </w:r>
      <w:r w:rsidR="00FF4DC0">
        <w:t>(10-28 mars 2014)</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92636E" w:rsidRPr="005B01E9" w:rsidTr="00FB7502">
        <w:tc>
          <w:tcPr>
            <w:tcW w:w="2835" w:type="dxa"/>
          </w:tcPr>
          <w:p w:rsidR="0092636E" w:rsidRPr="005B01E9" w:rsidRDefault="0092636E" w:rsidP="003B6A72">
            <w:pPr>
              <w:rPr>
                <w:i/>
              </w:rPr>
            </w:pPr>
            <w:r w:rsidRPr="005B01E9">
              <w:rPr>
                <w:i/>
              </w:rPr>
              <w:t>Communication présentée par</w:t>
            </w:r>
            <w:r w:rsidR="003B6A72" w:rsidRPr="005B01E9">
              <w:t>:</w:t>
            </w:r>
          </w:p>
        </w:tc>
        <w:tc>
          <w:tcPr>
            <w:tcW w:w="3969" w:type="dxa"/>
          </w:tcPr>
          <w:p w:rsidR="0092636E" w:rsidRPr="005B01E9" w:rsidRDefault="00FF4DC0" w:rsidP="00D61D26">
            <w:pPr>
              <w:spacing w:after="120"/>
            </w:pPr>
            <w:r w:rsidRPr="00FF4DC0">
              <w:t>X (représenté par un conseil, Niels</w:t>
            </w:r>
            <w:r w:rsidR="00CE3347">
              <w:t>-</w:t>
            </w:r>
            <w:r w:rsidRPr="00FF4DC0">
              <w:t>Erik</w:t>
            </w:r>
            <w:r w:rsidR="00CE3347">
              <w:t xml:space="preserve"> </w:t>
            </w:r>
            <w:r w:rsidRPr="00FF4DC0">
              <w:t>Hansen)</w:t>
            </w:r>
          </w:p>
        </w:tc>
      </w:tr>
      <w:tr w:rsidR="0092636E" w:rsidRPr="005B01E9" w:rsidTr="00FB7502">
        <w:tc>
          <w:tcPr>
            <w:tcW w:w="2835" w:type="dxa"/>
          </w:tcPr>
          <w:p w:rsidR="0092636E" w:rsidRPr="005B01E9" w:rsidRDefault="0092636E" w:rsidP="003B6A72">
            <w:pPr>
              <w:rPr>
                <w:i/>
              </w:rPr>
            </w:pPr>
            <w:r w:rsidRPr="005B01E9">
              <w:rPr>
                <w:i/>
              </w:rPr>
              <w:t>Au nom de</w:t>
            </w:r>
            <w:r w:rsidR="003B6A72" w:rsidRPr="005B01E9">
              <w:t>:</w:t>
            </w:r>
          </w:p>
        </w:tc>
        <w:tc>
          <w:tcPr>
            <w:tcW w:w="3969" w:type="dxa"/>
          </w:tcPr>
          <w:p w:rsidR="0092636E" w:rsidRPr="005B01E9" w:rsidRDefault="00FF4DC0" w:rsidP="008433B5">
            <w:pPr>
              <w:spacing w:after="120"/>
            </w:pPr>
            <w:r w:rsidRPr="00FF4DC0">
              <w:t>X</w:t>
            </w:r>
          </w:p>
        </w:tc>
      </w:tr>
      <w:tr w:rsidR="0092636E" w:rsidRPr="005B01E9" w:rsidTr="00FB7502">
        <w:tc>
          <w:tcPr>
            <w:tcW w:w="2835" w:type="dxa"/>
          </w:tcPr>
          <w:p w:rsidR="0092636E" w:rsidRPr="005B01E9" w:rsidRDefault="0092636E" w:rsidP="003B6A72">
            <w:pPr>
              <w:rPr>
                <w:i/>
              </w:rPr>
            </w:pPr>
            <w:r w:rsidRPr="005B01E9">
              <w:rPr>
                <w:i/>
              </w:rPr>
              <w:t>État partie</w:t>
            </w:r>
            <w:r w:rsidR="003B6A72" w:rsidRPr="005B01E9">
              <w:t>:</w:t>
            </w:r>
          </w:p>
        </w:tc>
        <w:tc>
          <w:tcPr>
            <w:tcW w:w="3969" w:type="dxa"/>
          </w:tcPr>
          <w:p w:rsidR="0092636E" w:rsidRPr="005B01E9" w:rsidRDefault="00FF4DC0" w:rsidP="003B6A72">
            <w:pPr>
              <w:spacing w:after="120"/>
            </w:pPr>
            <w:r w:rsidRPr="00FF4DC0">
              <w:t>Danemark</w:t>
            </w:r>
          </w:p>
        </w:tc>
      </w:tr>
      <w:tr w:rsidR="0092636E" w:rsidRPr="005B01E9" w:rsidTr="00FB7502">
        <w:tc>
          <w:tcPr>
            <w:tcW w:w="2835" w:type="dxa"/>
          </w:tcPr>
          <w:p w:rsidR="0092636E" w:rsidRPr="005B01E9" w:rsidRDefault="0092636E" w:rsidP="003B6A72">
            <w:pPr>
              <w:rPr>
                <w:i/>
              </w:rPr>
            </w:pPr>
            <w:r w:rsidRPr="005B01E9">
              <w:rPr>
                <w:i/>
              </w:rPr>
              <w:t>Date de la communication</w:t>
            </w:r>
            <w:r w:rsidR="003B6A72" w:rsidRPr="005B01E9">
              <w:t>:</w:t>
            </w:r>
          </w:p>
        </w:tc>
        <w:tc>
          <w:tcPr>
            <w:tcW w:w="3969" w:type="dxa"/>
          </w:tcPr>
          <w:p w:rsidR="0092636E" w:rsidRPr="005B01E9" w:rsidRDefault="00FF4DC0" w:rsidP="003B6A72">
            <w:pPr>
              <w:spacing w:after="120"/>
            </w:pPr>
            <w:r w:rsidRPr="00FF4DC0">
              <w:t>23 novembre 2010</w:t>
            </w:r>
            <w:r w:rsidR="005B01E9" w:rsidRPr="005B01E9">
              <w:t xml:space="preserve"> </w:t>
            </w:r>
            <w:r w:rsidR="0092636E" w:rsidRPr="005B01E9">
              <w:t>(date de la lettre initiale)</w:t>
            </w:r>
          </w:p>
        </w:tc>
      </w:tr>
      <w:tr w:rsidR="0092636E" w:rsidRPr="005B01E9" w:rsidTr="00FB7502">
        <w:tc>
          <w:tcPr>
            <w:tcW w:w="2835" w:type="dxa"/>
          </w:tcPr>
          <w:p w:rsidR="0092636E" w:rsidRPr="005B01E9" w:rsidRDefault="0092636E" w:rsidP="003B6A72">
            <w:pPr>
              <w:rPr>
                <w:i/>
              </w:rPr>
            </w:pPr>
            <w:r w:rsidRPr="005B01E9">
              <w:rPr>
                <w:i/>
              </w:rPr>
              <w:t>Références</w:t>
            </w:r>
            <w:r w:rsidR="003B6A72" w:rsidRPr="005B01E9">
              <w:t>:</w:t>
            </w:r>
          </w:p>
        </w:tc>
        <w:tc>
          <w:tcPr>
            <w:tcW w:w="3969" w:type="dxa"/>
          </w:tcPr>
          <w:p w:rsidR="0092636E" w:rsidRPr="005B01E9" w:rsidRDefault="0035693D" w:rsidP="003B6A72">
            <w:pPr>
              <w:spacing w:after="120"/>
            </w:pPr>
            <w:r w:rsidRPr="0035693D">
              <w:t xml:space="preserve">Décision prise par le Rapporteur spécial en application des </w:t>
            </w:r>
            <w:r w:rsidR="00CE3347">
              <w:t>articles </w:t>
            </w:r>
            <w:r w:rsidRPr="0035693D">
              <w:t>92 et 97 du règlement intérieur, communiquée à l’État partie le 25 mai 2011</w:t>
            </w:r>
            <w:r w:rsidRPr="0035693D">
              <w:rPr>
                <w:b/>
              </w:rPr>
              <w:t xml:space="preserve"> </w:t>
            </w:r>
            <w:r w:rsidRPr="0035693D">
              <w:t>(non publiée sous forme de</w:t>
            </w:r>
            <w:r w:rsidR="00CE3347">
              <w:t xml:space="preserve"> </w:t>
            </w:r>
            <w:r w:rsidRPr="0035693D">
              <w:t>document)</w:t>
            </w:r>
          </w:p>
        </w:tc>
      </w:tr>
      <w:tr w:rsidR="0092636E" w:rsidRPr="005B01E9" w:rsidTr="00FB7502">
        <w:tc>
          <w:tcPr>
            <w:tcW w:w="2835" w:type="dxa"/>
          </w:tcPr>
          <w:p w:rsidR="0092636E" w:rsidRPr="005B01E9" w:rsidRDefault="0092636E" w:rsidP="003B6A72">
            <w:pPr>
              <w:rPr>
                <w:i/>
              </w:rPr>
            </w:pPr>
            <w:r w:rsidRPr="005B01E9">
              <w:rPr>
                <w:i/>
              </w:rPr>
              <w:t>Date des constatations</w:t>
            </w:r>
            <w:r w:rsidR="00497C34" w:rsidRPr="005B01E9">
              <w:t>:</w:t>
            </w:r>
          </w:p>
        </w:tc>
        <w:tc>
          <w:tcPr>
            <w:tcW w:w="3969" w:type="dxa"/>
            <w:vAlign w:val="bottom"/>
          </w:tcPr>
          <w:p w:rsidR="0092636E" w:rsidRPr="005B01E9" w:rsidRDefault="0035693D" w:rsidP="003B6A72">
            <w:pPr>
              <w:spacing w:after="120"/>
            </w:pPr>
            <w:r>
              <w:t xml:space="preserve">26 </w:t>
            </w:r>
            <w:r w:rsidRPr="007F2874">
              <w:rPr>
                <w:szCs w:val="24"/>
              </w:rPr>
              <w:t>mars 2014</w:t>
            </w:r>
          </w:p>
        </w:tc>
      </w:tr>
      <w:tr w:rsidR="0092636E" w:rsidRPr="005B01E9" w:rsidTr="00FB7502">
        <w:tc>
          <w:tcPr>
            <w:tcW w:w="2835" w:type="dxa"/>
          </w:tcPr>
          <w:p w:rsidR="0092636E" w:rsidRPr="005B01E9" w:rsidRDefault="0092636E" w:rsidP="003B6A72">
            <w:pPr>
              <w:rPr>
                <w:i/>
              </w:rPr>
            </w:pPr>
            <w:r w:rsidRPr="005B01E9">
              <w:rPr>
                <w:i/>
              </w:rPr>
              <w:t>Objet</w:t>
            </w:r>
            <w:r w:rsidR="003B6A72" w:rsidRPr="005B01E9">
              <w:t>:</w:t>
            </w:r>
          </w:p>
        </w:tc>
        <w:tc>
          <w:tcPr>
            <w:tcW w:w="3969" w:type="dxa"/>
          </w:tcPr>
          <w:p w:rsidR="0092636E" w:rsidRPr="005B01E9" w:rsidRDefault="0035693D" w:rsidP="003B6A72">
            <w:pPr>
              <w:spacing w:after="120"/>
            </w:pPr>
            <w:r w:rsidRPr="007F2874">
              <w:rPr>
                <w:iCs/>
                <w:szCs w:val="24"/>
              </w:rPr>
              <w:t>Expulsion de l</w:t>
            </w:r>
            <w:r>
              <w:rPr>
                <w:iCs/>
                <w:szCs w:val="24"/>
              </w:rPr>
              <w:t>’</w:t>
            </w:r>
            <w:r w:rsidRPr="007F2874">
              <w:rPr>
                <w:iCs/>
                <w:szCs w:val="24"/>
              </w:rPr>
              <w:t>auteur vers l</w:t>
            </w:r>
            <w:r>
              <w:rPr>
                <w:iCs/>
                <w:szCs w:val="24"/>
              </w:rPr>
              <w:t>’</w:t>
            </w:r>
            <w:r w:rsidRPr="007F2874">
              <w:rPr>
                <w:iCs/>
                <w:szCs w:val="24"/>
              </w:rPr>
              <w:t>Érythrée</w:t>
            </w:r>
          </w:p>
        </w:tc>
      </w:tr>
      <w:tr w:rsidR="0092636E" w:rsidRPr="005B01E9" w:rsidTr="00FB7502">
        <w:tc>
          <w:tcPr>
            <w:tcW w:w="2835" w:type="dxa"/>
          </w:tcPr>
          <w:p w:rsidR="0092636E" w:rsidRPr="005B01E9" w:rsidRDefault="0092636E" w:rsidP="003B6A72">
            <w:pPr>
              <w:rPr>
                <w:i/>
              </w:rPr>
            </w:pPr>
            <w:r w:rsidRPr="005B01E9">
              <w:rPr>
                <w:i/>
              </w:rPr>
              <w:t>Question</w:t>
            </w:r>
            <w:r w:rsidR="004E6FFF" w:rsidRPr="005B01E9">
              <w:rPr>
                <w:i/>
              </w:rPr>
              <w:t>(</w:t>
            </w:r>
            <w:r w:rsidRPr="005B01E9">
              <w:rPr>
                <w:i/>
              </w:rPr>
              <w:t>s</w:t>
            </w:r>
            <w:r w:rsidR="004E6FFF" w:rsidRPr="005B01E9">
              <w:rPr>
                <w:i/>
              </w:rPr>
              <w:t>)</w:t>
            </w:r>
            <w:r w:rsidRPr="005B01E9">
              <w:rPr>
                <w:i/>
              </w:rPr>
              <w:t xml:space="preserve"> de procédure</w:t>
            </w:r>
            <w:r w:rsidR="003B6A72" w:rsidRPr="005B01E9">
              <w:t>:</w:t>
            </w:r>
          </w:p>
        </w:tc>
        <w:tc>
          <w:tcPr>
            <w:tcW w:w="3969" w:type="dxa"/>
          </w:tcPr>
          <w:p w:rsidR="0092636E" w:rsidRPr="005B01E9" w:rsidRDefault="0035693D" w:rsidP="003B6A72">
            <w:pPr>
              <w:spacing w:after="120"/>
            </w:pPr>
            <w:r w:rsidRPr="0035693D">
              <w:t xml:space="preserve">Justification des griefs; recevabilité </w:t>
            </w:r>
            <w:r w:rsidRPr="0035693D">
              <w:rPr>
                <w:i/>
              </w:rPr>
              <w:t>ratione materiae</w:t>
            </w:r>
          </w:p>
        </w:tc>
      </w:tr>
      <w:tr w:rsidR="008433B5" w:rsidRPr="005B01E9" w:rsidTr="0023102D">
        <w:tc>
          <w:tcPr>
            <w:tcW w:w="2835" w:type="dxa"/>
          </w:tcPr>
          <w:p w:rsidR="008433B5" w:rsidRPr="005B01E9" w:rsidRDefault="008433B5" w:rsidP="003B6A72">
            <w:pPr>
              <w:rPr>
                <w:i/>
              </w:rPr>
            </w:pPr>
            <w:r w:rsidRPr="005B01E9">
              <w:rPr>
                <w:i/>
              </w:rPr>
              <w:t>Question</w:t>
            </w:r>
            <w:r w:rsidR="004E6FFF" w:rsidRPr="005B01E9">
              <w:rPr>
                <w:i/>
              </w:rPr>
              <w:t>(</w:t>
            </w:r>
            <w:r w:rsidRPr="005B01E9">
              <w:rPr>
                <w:i/>
              </w:rPr>
              <w:t>s</w:t>
            </w:r>
            <w:r w:rsidR="004E6FFF" w:rsidRPr="005B01E9">
              <w:rPr>
                <w:i/>
              </w:rPr>
              <w:t>)</w:t>
            </w:r>
            <w:r w:rsidRPr="005B01E9">
              <w:rPr>
                <w:i/>
              </w:rPr>
              <w:t xml:space="preserve"> de fond</w:t>
            </w:r>
            <w:r w:rsidR="003B6A72" w:rsidRPr="005B01E9">
              <w:t>:</w:t>
            </w:r>
          </w:p>
        </w:tc>
        <w:tc>
          <w:tcPr>
            <w:tcW w:w="3969" w:type="dxa"/>
            <w:vAlign w:val="bottom"/>
          </w:tcPr>
          <w:p w:rsidR="008433B5" w:rsidRPr="005B01E9" w:rsidRDefault="0035693D" w:rsidP="008433B5">
            <w:pPr>
              <w:spacing w:after="120"/>
            </w:pPr>
            <w:r w:rsidRPr="0035693D">
              <w:t>Risque de préjudice irréparable dans le pays d’origine</w:t>
            </w:r>
          </w:p>
        </w:tc>
      </w:tr>
      <w:tr w:rsidR="008433B5" w:rsidRPr="005B01E9" w:rsidTr="0023102D">
        <w:tc>
          <w:tcPr>
            <w:tcW w:w="2835" w:type="dxa"/>
          </w:tcPr>
          <w:p w:rsidR="008433B5" w:rsidRPr="005B01E9" w:rsidRDefault="008433B5" w:rsidP="003B6A72">
            <w:pPr>
              <w:rPr>
                <w:i/>
              </w:rPr>
            </w:pPr>
            <w:r w:rsidRPr="005B01E9">
              <w:rPr>
                <w:i/>
              </w:rPr>
              <w:t>Article(s) du Pacte</w:t>
            </w:r>
            <w:r w:rsidR="003B6A72" w:rsidRPr="005B01E9">
              <w:t>:</w:t>
            </w:r>
          </w:p>
        </w:tc>
        <w:tc>
          <w:tcPr>
            <w:tcW w:w="3969" w:type="dxa"/>
            <w:vAlign w:val="bottom"/>
          </w:tcPr>
          <w:p w:rsidR="008433B5" w:rsidRPr="005B01E9" w:rsidRDefault="0035693D" w:rsidP="008433B5">
            <w:pPr>
              <w:spacing w:after="120"/>
            </w:pPr>
            <w:r w:rsidRPr="0035693D">
              <w:t>7, 14 et 18</w:t>
            </w:r>
          </w:p>
        </w:tc>
      </w:tr>
      <w:tr w:rsidR="008433B5" w:rsidRPr="005B01E9" w:rsidTr="0023102D">
        <w:tc>
          <w:tcPr>
            <w:tcW w:w="2835" w:type="dxa"/>
          </w:tcPr>
          <w:p w:rsidR="008433B5" w:rsidRPr="005B01E9" w:rsidRDefault="008433B5" w:rsidP="003B6A72">
            <w:pPr>
              <w:rPr>
                <w:i/>
              </w:rPr>
            </w:pPr>
            <w:r w:rsidRPr="005B01E9">
              <w:rPr>
                <w:i/>
              </w:rPr>
              <w:t>Article(s) du Protocole facultatif</w:t>
            </w:r>
            <w:r w:rsidR="003B6A72" w:rsidRPr="005B01E9">
              <w:t>:</w:t>
            </w:r>
          </w:p>
        </w:tc>
        <w:tc>
          <w:tcPr>
            <w:tcW w:w="3969" w:type="dxa"/>
            <w:vAlign w:val="bottom"/>
          </w:tcPr>
          <w:p w:rsidR="008433B5" w:rsidRPr="005B01E9" w:rsidRDefault="0035693D" w:rsidP="008433B5">
            <w:pPr>
              <w:spacing w:after="120"/>
            </w:pPr>
            <w:r w:rsidRPr="007F2874">
              <w:rPr>
                <w:szCs w:val="24"/>
              </w:rPr>
              <w:t>5 (</w:t>
            </w:r>
            <w:r w:rsidR="00CE3347">
              <w:rPr>
                <w:szCs w:val="24"/>
              </w:rPr>
              <w:t>par. </w:t>
            </w:r>
            <w:r w:rsidRPr="007F2874">
              <w:rPr>
                <w:szCs w:val="24"/>
              </w:rPr>
              <w:t>2 b))</w:t>
            </w:r>
          </w:p>
        </w:tc>
      </w:tr>
    </w:tbl>
    <w:p w:rsidR="00642728" w:rsidRPr="005B01E9" w:rsidRDefault="007B0586" w:rsidP="007B0586">
      <w:pPr>
        <w:pStyle w:val="HChG"/>
      </w:pPr>
      <w:r w:rsidRPr="005B01E9">
        <w:br w:type="page"/>
      </w:r>
      <w:r w:rsidR="00642728" w:rsidRPr="005B01E9">
        <w:t>A</w:t>
      </w:r>
      <w:r w:rsidR="00B57784" w:rsidRPr="005B01E9">
        <w:t>nnexe</w:t>
      </w:r>
    </w:p>
    <w:p w:rsidR="00642728" w:rsidRPr="005B01E9" w:rsidRDefault="00B57784" w:rsidP="008433B5">
      <w:pPr>
        <w:pStyle w:val="HChG"/>
      </w:pPr>
      <w:r w:rsidRPr="005B01E9">
        <w:tab/>
      </w:r>
      <w:r w:rsidRPr="005B01E9">
        <w:tab/>
      </w:r>
      <w:r w:rsidR="008433B5" w:rsidRPr="005B01E9">
        <w:t>Constatations du Comité des droits de l</w:t>
      </w:r>
      <w:r w:rsidR="00D61D26" w:rsidRPr="005B01E9">
        <w:t>’</w:t>
      </w:r>
      <w:r w:rsidR="008433B5" w:rsidRPr="005B01E9">
        <w:t>homme au titre</w:t>
      </w:r>
      <w:r w:rsidR="008433B5" w:rsidRPr="005B01E9">
        <w:br/>
        <w:t>du paragraphe 4 de l</w:t>
      </w:r>
      <w:r w:rsidR="00D61D26" w:rsidRPr="005B01E9">
        <w:t>’</w:t>
      </w:r>
      <w:r w:rsidR="00CE3347">
        <w:t>article </w:t>
      </w:r>
      <w:r w:rsidR="008433B5" w:rsidRPr="005B01E9">
        <w:t>5 du Protocole facultatif</w:t>
      </w:r>
      <w:r w:rsidR="008433B5" w:rsidRPr="005B01E9">
        <w:br/>
        <w:t>se rapportant au Pacte international relatif aux droits</w:t>
      </w:r>
      <w:r w:rsidR="008433B5" w:rsidRPr="005B01E9">
        <w:br/>
        <w:t>civils et politiques (</w:t>
      </w:r>
      <w:r w:rsidR="0035693D">
        <w:t>110</w:t>
      </w:r>
      <w:r w:rsidR="0035693D" w:rsidRPr="0035693D">
        <w:rPr>
          <w:vertAlign w:val="superscript"/>
        </w:rPr>
        <w:t>e</w:t>
      </w:r>
      <w:r w:rsidR="0035693D">
        <w:t> </w:t>
      </w:r>
      <w:r w:rsidR="008433B5" w:rsidRPr="005B01E9">
        <w:t>session)</w:t>
      </w:r>
    </w:p>
    <w:p w:rsidR="00642728" w:rsidRPr="005B01E9" w:rsidRDefault="00642728" w:rsidP="00BA405E">
      <w:r w:rsidRPr="005B01E9">
        <w:t>concernant la</w:t>
      </w:r>
    </w:p>
    <w:p w:rsidR="00642728" w:rsidRPr="005B01E9" w:rsidRDefault="00B57784" w:rsidP="00757D82">
      <w:pPr>
        <w:pStyle w:val="H1G"/>
      </w:pPr>
      <w:r w:rsidRPr="005B01E9">
        <w:tab/>
      </w:r>
      <w:r w:rsidRPr="005B01E9">
        <w:tab/>
      </w:r>
      <w:r w:rsidR="00642728" w:rsidRPr="005B01E9">
        <w:t xml:space="preserve">Communication </w:t>
      </w:r>
      <w:r w:rsidR="0035693D" w:rsidRPr="0035693D">
        <w:rPr>
          <w:rFonts w:eastAsia="MS Mincho"/>
        </w:rPr>
        <w:t>n</w:t>
      </w:r>
      <w:r w:rsidR="0035693D" w:rsidRPr="0035693D">
        <w:rPr>
          <w:rFonts w:eastAsia="MS Mincho"/>
          <w:vertAlign w:val="superscript"/>
        </w:rPr>
        <w:t>o</w:t>
      </w:r>
      <w:r w:rsidR="0035693D">
        <w:rPr>
          <w:rFonts w:eastAsia="MS Mincho"/>
        </w:rPr>
        <w:t> </w:t>
      </w:r>
      <w:r w:rsidR="0035693D" w:rsidRPr="00484F2B">
        <w:rPr>
          <w:rFonts w:eastAsia="MS Mincho"/>
          <w:bCs/>
          <w:szCs w:val="24"/>
        </w:rPr>
        <w:t>2007/2010</w:t>
      </w:r>
      <w:r w:rsidR="00F439F5" w:rsidRPr="00F439F5">
        <w:rPr>
          <w:rStyle w:val="FootnoteReference"/>
          <w:rFonts w:eastAsia="MS Mincho"/>
          <w:bCs/>
          <w:sz w:val="20"/>
          <w:szCs w:val="24"/>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8433B5" w:rsidRPr="005B01E9" w:rsidTr="008433B5">
        <w:tc>
          <w:tcPr>
            <w:tcW w:w="2410" w:type="dxa"/>
          </w:tcPr>
          <w:p w:rsidR="008433B5" w:rsidRPr="005B01E9" w:rsidRDefault="008433B5" w:rsidP="005D29C8">
            <w:pPr>
              <w:spacing w:after="120"/>
              <w:rPr>
                <w:i/>
              </w:rPr>
            </w:pPr>
            <w:r w:rsidRPr="005B01E9">
              <w:rPr>
                <w:i/>
              </w:rPr>
              <w:t>Présentée par</w:t>
            </w:r>
            <w:r w:rsidRPr="005B01E9">
              <w:t>:</w:t>
            </w:r>
          </w:p>
        </w:tc>
        <w:tc>
          <w:tcPr>
            <w:tcW w:w="4394" w:type="dxa"/>
          </w:tcPr>
          <w:p w:rsidR="008433B5" w:rsidRPr="005B01E9" w:rsidRDefault="0035693D" w:rsidP="008433B5">
            <w:pPr>
              <w:spacing w:after="120"/>
            </w:pPr>
            <w:r w:rsidRPr="0035693D">
              <w:t>X (représenté par un conseil, Niels-Erik Hansen)</w:t>
            </w:r>
          </w:p>
        </w:tc>
      </w:tr>
      <w:tr w:rsidR="008433B5" w:rsidRPr="005B01E9" w:rsidTr="008433B5">
        <w:tc>
          <w:tcPr>
            <w:tcW w:w="2410" w:type="dxa"/>
          </w:tcPr>
          <w:p w:rsidR="008433B5" w:rsidRPr="005B01E9" w:rsidRDefault="008433B5" w:rsidP="005D29C8">
            <w:pPr>
              <w:spacing w:after="120"/>
              <w:rPr>
                <w:i/>
              </w:rPr>
            </w:pPr>
            <w:r w:rsidRPr="005B01E9">
              <w:rPr>
                <w:i/>
              </w:rPr>
              <w:t>Au nom de</w:t>
            </w:r>
            <w:r w:rsidRPr="005B01E9">
              <w:t>:</w:t>
            </w:r>
          </w:p>
        </w:tc>
        <w:tc>
          <w:tcPr>
            <w:tcW w:w="4394" w:type="dxa"/>
          </w:tcPr>
          <w:p w:rsidR="008433B5" w:rsidRPr="005B01E9" w:rsidRDefault="0035693D" w:rsidP="008433B5">
            <w:pPr>
              <w:spacing w:after="120"/>
            </w:pPr>
            <w:r>
              <w:t>X</w:t>
            </w:r>
          </w:p>
        </w:tc>
      </w:tr>
      <w:tr w:rsidR="008433B5" w:rsidRPr="005B01E9" w:rsidTr="008433B5">
        <w:tc>
          <w:tcPr>
            <w:tcW w:w="2410" w:type="dxa"/>
          </w:tcPr>
          <w:p w:rsidR="008433B5" w:rsidRPr="005B01E9" w:rsidRDefault="008433B5" w:rsidP="005D29C8">
            <w:pPr>
              <w:spacing w:after="120"/>
              <w:rPr>
                <w:i/>
              </w:rPr>
            </w:pPr>
            <w:r w:rsidRPr="005B01E9">
              <w:rPr>
                <w:i/>
              </w:rPr>
              <w:t>État partie</w:t>
            </w:r>
            <w:r w:rsidRPr="005B01E9">
              <w:t>:</w:t>
            </w:r>
          </w:p>
        </w:tc>
        <w:tc>
          <w:tcPr>
            <w:tcW w:w="4394" w:type="dxa"/>
          </w:tcPr>
          <w:p w:rsidR="008433B5" w:rsidRPr="005B01E9" w:rsidRDefault="0035693D" w:rsidP="008433B5">
            <w:pPr>
              <w:spacing w:after="120"/>
            </w:pPr>
            <w:r>
              <w:t>Danemark</w:t>
            </w:r>
          </w:p>
        </w:tc>
      </w:tr>
      <w:tr w:rsidR="008433B5" w:rsidRPr="005B01E9" w:rsidTr="008433B5">
        <w:tc>
          <w:tcPr>
            <w:tcW w:w="2410" w:type="dxa"/>
          </w:tcPr>
          <w:p w:rsidR="008433B5" w:rsidRPr="005B01E9" w:rsidRDefault="008433B5" w:rsidP="00CB6C7A">
            <w:pPr>
              <w:spacing w:after="240"/>
              <w:rPr>
                <w:i/>
              </w:rPr>
            </w:pPr>
            <w:r w:rsidRPr="005B01E9">
              <w:rPr>
                <w:i/>
              </w:rPr>
              <w:t>Date de la communication</w:t>
            </w:r>
            <w:r w:rsidRPr="005B01E9">
              <w:t>:</w:t>
            </w:r>
          </w:p>
        </w:tc>
        <w:tc>
          <w:tcPr>
            <w:tcW w:w="4394" w:type="dxa"/>
          </w:tcPr>
          <w:p w:rsidR="008433B5" w:rsidRPr="005B01E9" w:rsidRDefault="0035693D" w:rsidP="008433B5">
            <w:pPr>
              <w:spacing w:after="120"/>
            </w:pPr>
            <w:r>
              <w:t>23 novembre 2010</w:t>
            </w:r>
            <w:r w:rsidR="005B01E9" w:rsidRPr="005B01E9">
              <w:t xml:space="preserve"> </w:t>
            </w:r>
            <w:r w:rsidR="008433B5" w:rsidRPr="005B01E9">
              <w:t>(date de la lettre initiale)</w:t>
            </w:r>
          </w:p>
        </w:tc>
      </w:tr>
    </w:tbl>
    <w:p w:rsidR="008433B5" w:rsidRPr="005B01E9" w:rsidRDefault="008433B5" w:rsidP="007655E6">
      <w:pPr>
        <w:pStyle w:val="SingleTxtG"/>
        <w:ind w:firstLine="567"/>
      </w:pPr>
      <w:r w:rsidRPr="005B01E9">
        <w:rPr>
          <w:i/>
          <w:iCs/>
        </w:rPr>
        <w:t>Le Comité des droits de l</w:t>
      </w:r>
      <w:r w:rsidR="00D61D26" w:rsidRPr="005B01E9">
        <w:rPr>
          <w:i/>
          <w:iCs/>
        </w:rPr>
        <w:t>’</w:t>
      </w:r>
      <w:r w:rsidRPr="005B01E9">
        <w:rPr>
          <w:i/>
          <w:iCs/>
        </w:rPr>
        <w:t>homme</w:t>
      </w:r>
      <w:r w:rsidRPr="005B01E9">
        <w:t>, institué en vertu de l</w:t>
      </w:r>
      <w:r w:rsidR="00D61D26" w:rsidRPr="005B01E9">
        <w:t>’</w:t>
      </w:r>
      <w:r w:rsidR="00CE3347">
        <w:t>article </w:t>
      </w:r>
      <w:r w:rsidRPr="005B01E9">
        <w:t>28 du Pacte international relatif aux droits civils et politiques,</w:t>
      </w:r>
    </w:p>
    <w:p w:rsidR="008433B5" w:rsidRPr="005B01E9" w:rsidRDefault="008433B5" w:rsidP="007655E6">
      <w:pPr>
        <w:pStyle w:val="SingleTxtG"/>
        <w:ind w:firstLine="567"/>
      </w:pPr>
      <w:r w:rsidRPr="005B01E9">
        <w:rPr>
          <w:i/>
          <w:iCs/>
        </w:rPr>
        <w:t xml:space="preserve">Réuni le </w:t>
      </w:r>
      <w:r w:rsidR="0035693D" w:rsidRPr="0035693D">
        <w:rPr>
          <w:iCs/>
        </w:rPr>
        <w:t>26</w:t>
      </w:r>
      <w:r w:rsidR="0035693D" w:rsidRPr="0035693D">
        <w:rPr>
          <w:i/>
          <w:iCs/>
        </w:rPr>
        <w:t xml:space="preserve"> </w:t>
      </w:r>
      <w:r w:rsidR="0035693D" w:rsidRPr="0035693D">
        <w:t>mars 2014</w:t>
      </w:r>
      <w:r w:rsidRPr="005B01E9">
        <w:t>,</w:t>
      </w:r>
    </w:p>
    <w:p w:rsidR="008433B5" w:rsidRPr="005B01E9" w:rsidRDefault="008433B5" w:rsidP="007655E6">
      <w:pPr>
        <w:pStyle w:val="SingleTxtG"/>
        <w:ind w:firstLine="567"/>
      </w:pPr>
      <w:r w:rsidRPr="005B01E9">
        <w:rPr>
          <w:i/>
          <w:iCs/>
        </w:rPr>
        <w:t>Ayant achevé</w:t>
      </w:r>
      <w:r w:rsidRPr="005B01E9">
        <w:t xml:space="preserve"> l</w:t>
      </w:r>
      <w:r w:rsidR="00D61D26" w:rsidRPr="005B01E9">
        <w:t>’</w:t>
      </w:r>
      <w:r w:rsidRPr="005B01E9">
        <w:t xml:space="preserve">examen de la communication </w:t>
      </w:r>
      <w:r w:rsidR="0035693D" w:rsidRPr="00C14D2A">
        <w:t>n</w:t>
      </w:r>
      <w:r w:rsidR="0035693D" w:rsidRPr="00C14D2A">
        <w:rPr>
          <w:vertAlign w:val="superscript"/>
        </w:rPr>
        <w:t>o</w:t>
      </w:r>
      <w:r w:rsidR="0035693D">
        <w:t> </w:t>
      </w:r>
      <w:r w:rsidR="0035693D">
        <w:rPr>
          <w:szCs w:val="24"/>
        </w:rPr>
        <w:t>2007/2010</w:t>
      </w:r>
      <w:r w:rsidR="0035693D" w:rsidRPr="00BF6F4D">
        <w:rPr>
          <w:b/>
        </w:rPr>
        <w:t xml:space="preserve"> </w:t>
      </w:r>
      <w:r w:rsidR="0035693D" w:rsidRPr="00BF6F4D">
        <w:t xml:space="preserve">présentée </w:t>
      </w:r>
      <w:r w:rsidR="0035693D" w:rsidRPr="007F2874">
        <w:rPr>
          <w:szCs w:val="24"/>
        </w:rPr>
        <w:t xml:space="preserve">par </w:t>
      </w:r>
      <w:r w:rsidR="0035693D">
        <w:rPr>
          <w:szCs w:val="24"/>
        </w:rPr>
        <w:t>X</w:t>
      </w:r>
      <w:r w:rsidR="0035693D" w:rsidRPr="00BF6F4D">
        <w:t xml:space="preserve"> en vertu du Protocole facultatif se rapportant au Pacte internation</w:t>
      </w:r>
      <w:r w:rsidR="0035693D">
        <w:t>al relatif aux droits civils et</w:t>
      </w:r>
      <w:r w:rsidR="00CE3347">
        <w:t xml:space="preserve"> </w:t>
      </w:r>
      <w:r w:rsidR="0035693D" w:rsidRPr="00BF6F4D">
        <w:t>politiques</w:t>
      </w:r>
      <w:r w:rsidRPr="005B01E9">
        <w:t>,</w:t>
      </w:r>
    </w:p>
    <w:p w:rsidR="008433B5" w:rsidRPr="005B01E9" w:rsidRDefault="008433B5" w:rsidP="007655E6">
      <w:pPr>
        <w:pStyle w:val="SingleTxtG"/>
        <w:ind w:firstLine="567"/>
      </w:pPr>
      <w:r w:rsidRPr="005B01E9">
        <w:rPr>
          <w:i/>
          <w:iCs/>
        </w:rPr>
        <w:t>Ayant tenu compte</w:t>
      </w:r>
      <w:r w:rsidRPr="005B01E9">
        <w:t xml:space="preserve"> de toutes les informations écrites qui lui ont été communiquées par</w:t>
      </w:r>
      <w:r w:rsidR="00BD05BB">
        <w:t xml:space="preserve"> l’auteur </w:t>
      </w:r>
      <w:r w:rsidRPr="005B01E9">
        <w:t>de la communication et l</w:t>
      </w:r>
      <w:r w:rsidR="00D61D26" w:rsidRPr="005B01E9">
        <w:t>’</w:t>
      </w:r>
      <w:r w:rsidRPr="005B01E9">
        <w:t>État partie,</w:t>
      </w:r>
    </w:p>
    <w:p w:rsidR="00E24896" w:rsidRDefault="008433B5" w:rsidP="007655E6">
      <w:pPr>
        <w:pStyle w:val="SingleTxtG"/>
        <w:ind w:firstLine="567"/>
      </w:pPr>
      <w:r w:rsidRPr="005B01E9">
        <w:rPr>
          <w:i/>
          <w:iCs/>
        </w:rPr>
        <w:t>Adopte</w:t>
      </w:r>
      <w:r w:rsidRPr="005B01E9">
        <w:t xml:space="preserve"> ce qui suit:</w:t>
      </w:r>
    </w:p>
    <w:p w:rsidR="00F439F5" w:rsidRPr="00BF6F4D" w:rsidRDefault="00F439F5" w:rsidP="00F439F5">
      <w:pPr>
        <w:pStyle w:val="H1G"/>
      </w:pPr>
      <w:r w:rsidRPr="00BF6F4D">
        <w:tab/>
      </w:r>
      <w:r w:rsidRPr="00BF6F4D">
        <w:tab/>
        <w:t xml:space="preserve">Constatations au titre du </w:t>
      </w:r>
      <w:r w:rsidR="00CE3347">
        <w:t>paragraphe </w:t>
      </w:r>
      <w:r w:rsidRPr="00BF6F4D">
        <w:t>4 de l’</w:t>
      </w:r>
      <w:r w:rsidR="00CE3347">
        <w:t>article </w:t>
      </w:r>
      <w:r w:rsidRPr="00BF6F4D">
        <w:t>5</w:t>
      </w:r>
      <w:r w:rsidRPr="00BF6F4D">
        <w:br/>
        <w:t>du Protocole facultatif</w:t>
      </w:r>
    </w:p>
    <w:p w:rsidR="00F439F5" w:rsidRPr="007F2874" w:rsidRDefault="00F439F5" w:rsidP="00AA3A41">
      <w:pPr>
        <w:pStyle w:val="SingleTxtG"/>
      </w:pPr>
      <w:r w:rsidRPr="007F2874">
        <w:t>1.1</w:t>
      </w:r>
      <w:r w:rsidRPr="007F2874">
        <w:tab/>
        <w:t>L</w:t>
      </w:r>
      <w:r>
        <w:t>’</w:t>
      </w:r>
      <w:r w:rsidRPr="007F2874">
        <w:t xml:space="preserve">auteur de la communication est </w:t>
      </w:r>
      <w:r>
        <w:t>X</w:t>
      </w:r>
      <w:r w:rsidRPr="007F2874">
        <w:t>, de nationalité érythréenne, né en 1987. Résidant au Danemark, il a reçu l</w:t>
      </w:r>
      <w:r>
        <w:t>’</w:t>
      </w:r>
      <w:r w:rsidRPr="007F2874">
        <w:t>ordre de quitter immédiatement le pays après avoir été débouté de sa demande d</w:t>
      </w:r>
      <w:r w:rsidR="00AA3A41">
        <w:t>’</w:t>
      </w:r>
      <w:r w:rsidRPr="007F2874">
        <w:t>asile. Il affirme qu</w:t>
      </w:r>
      <w:r w:rsidR="00AA3A41">
        <w:t>’</w:t>
      </w:r>
      <w:r w:rsidRPr="007F2874">
        <w:t>en le renvoyant contre son gré en Érythrée, le</w:t>
      </w:r>
      <w:r w:rsidR="00CE3347">
        <w:t xml:space="preserve"> </w:t>
      </w:r>
      <w:r w:rsidRPr="007F2874">
        <w:t>Danemark le priverait des droits qui lui sont garantis aux articles</w:t>
      </w:r>
      <w:r>
        <w:t> </w:t>
      </w:r>
      <w:r w:rsidRPr="007F2874">
        <w:t>7, 14</w:t>
      </w:r>
      <w:r w:rsidRPr="00F439F5">
        <w:rPr>
          <w:rStyle w:val="FootnoteReference"/>
        </w:rPr>
        <w:footnoteReference w:id="3"/>
      </w:r>
      <w:r w:rsidRPr="007F2874">
        <w:t xml:space="preserve"> et 18 du Pacte international relatif aux droits civils et politiques. Il est représenté par un conseil, Niels</w:t>
      </w:r>
      <w:r w:rsidR="00CE3347">
        <w:t>-</w:t>
      </w:r>
      <w:r w:rsidRPr="007F2874">
        <w:t>Erik Hansen.</w:t>
      </w:r>
    </w:p>
    <w:p w:rsidR="00F439F5" w:rsidRPr="007F2874" w:rsidRDefault="00F439F5" w:rsidP="00AA3A41">
      <w:pPr>
        <w:pStyle w:val="SingleTxtG"/>
        <w:keepLines/>
        <w:rPr>
          <w:szCs w:val="24"/>
        </w:rPr>
      </w:pPr>
      <w:r w:rsidRPr="007F2874">
        <w:rPr>
          <w:szCs w:val="24"/>
        </w:rPr>
        <w:t>1.2</w:t>
      </w:r>
      <w:r w:rsidRPr="007F2874">
        <w:rPr>
          <w:szCs w:val="24"/>
        </w:rPr>
        <w:tab/>
        <w:t>Le 25 novembre 2010, en application de l</w:t>
      </w:r>
      <w:r w:rsidR="00AA3A41">
        <w:rPr>
          <w:szCs w:val="24"/>
        </w:rPr>
        <w:t>’</w:t>
      </w:r>
      <w:r w:rsidRPr="007F2874">
        <w:rPr>
          <w:szCs w:val="24"/>
        </w:rPr>
        <w:t>article 92 de son règlement intérieur et par l</w:t>
      </w:r>
      <w:r w:rsidR="00AA3A41">
        <w:rPr>
          <w:szCs w:val="24"/>
        </w:rPr>
        <w:t>’</w:t>
      </w:r>
      <w:r w:rsidRPr="007F2874">
        <w:rPr>
          <w:szCs w:val="24"/>
        </w:rPr>
        <w:t>intermédiaire de son Rapporteur spécial chargé des nouvelles communications et des mesures provisoires, le Comité a demandé à l</w:t>
      </w:r>
      <w:r w:rsidR="00AA3A41">
        <w:rPr>
          <w:szCs w:val="24"/>
        </w:rPr>
        <w:t>’</w:t>
      </w:r>
      <w:r w:rsidRPr="007F2874">
        <w:rPr>
          <w:szCs w:val="24"/>
        </w:rPr>
        <w:t>État partie de ne pas renvoyer l</w:t>
      </w:r>
      <w:r w:rsidR="00AA3A41">
        <w:rPr>
          <w:szCs w:val="24"/>
        </w:rPr>
        <w:t>’</w:t>
      </w:r>
      <w:r w:rsidRPr="007F2874">
        <w:rPr>
          <w:szCs w:val="24"/>
        </w:rPr>
        <w:t>auteur en Érythrée tant que l</w:t>
      </w:r>
      <w:r w:rsidR="00AA3A41">
        <w:rPr>
          <w:szCs w:val="24"/>
        </w:rPr>
        <w:t>’</w:t>
      </w:r>
      <w:r w:rsidRPr="007F2874">
        <w:rPr>
          <w:szCs w:val="24"/>
        </w:rPr>
        <w:t>examen de la communication serait en cours. L</w:t>
      </w:r>
      <w:r w:rsidR="00AA3A41">
        <w:rPr>
          <w:szCs w:val="24"/>
        </w:rPr>
        <w:t>’</w:t>
      </w:r>
      <w:r w:rsidRPr="007F2874">
        <w:rPr>
          <w:szCs w:val="24"/>
        </w:rPr>
        <w:t>auteur se trouve toujours au Danemark.</w:t>
      </w:r>
    </w:p>
    <w:p w:rsidR="00F439F5" w:rsidRPr="007F2874" w:rsidRDefault="00F439F5" w:rsidP="00F439F5">
      <w:pPr>
        <w:pStyle w:val="H23G"/>
      </w:pPr>
      <w:r>
        <w:tab/>
      </w:r>
      <w:r>
        <w:tab/>
      </w:r>
      <w:r w:rsidRPr="007F2874">
        <w:t>Rappel des faits présentés par l</w:t>
      </w:r>
      <w:r w:rsidR="00AA3A41">
        <w:t>’</w:t>
      </w:r>
      <w:r w:rsidRPr="007F2874">
        <w:t>auteur</w:t>
      </w:r>
    </w:p>
    <w:p w:rsidR="00F439F5" w:rsidRPr="007F2874" w:rsidRDefault="00F439F5" w:rsidP="007655E6">
      <w:pPr>
        <w:pStyle w:val="SingleTxtG"/>
        <w:rPr>
          <w:szCs w:val="24"/>
        </w:rPr>
      </w:pPr>
      <w:r w:rsidRPr="007F2874">
        <w:rPr>
          <w:szCs w:val="24"/>
        </w:rPr>
        <w:t>2.1</w:t>
      </w:r>
      <w:r w:rsidRPr="007F2874">
        <w:rPr>
          <w:szCs w:val="24"/>
        </w:rPr>
        <w:tab/>
        <w:t>L</w:t>
      </w:r>
      <w:r w:rsidR="00AA3A41">
        <w:rPr>
          <w:szCs w:val="24"/>
        </w:rPr>
        <w:t>’</w:t>
      </w:r>
      <w:r w:rsidRPr="007F2874">
        <w:rPr>
          <w:szCs w:val="24"/>
        </w:rPr>
        <w:t>auteur est ressortissant érythréen et membre d</w:t>
      </w:r>
      <w:r w:rsidR="00AA3A41">
        <w:rPr>
          <w:szCs w:val="24"/>
        </w:rPr>
        <w:t>’</w:t>
      </w:r>
      <w:r w:rsidRPr="007F2874">
        <w:rPr>
          <w:szCs w:val="24"/>
        </w:rPr>
        <w:t>une minorité religieuse chrétienne, le mouvement Pentecôtiste. Les chrétiens pentecôtistes refusent de faire le service militaire en raison de leurs convictions religieuses. Bien qu</w:t>
      </w:r>
      <w:r w:rsidR="00AA3A41">
        <w:rPr>
          <w:szCs w:val="24"/>
        </w:rPr>
        <w:t>’</w:t>
      </w:r>
      <w:r w:rsidRPr="007F2874">
        <w:rPr>
          <w:szCs w:val="24"/>
        </w:rPr>
        <w:t>il soit Érythréen, l</w:t>
      </w:r>
      <w:r w:rsidR="00AA3A41">
        <w:rPr>
          <w:szCs w:val="24"/>
        </w:rPr>
        <w:t>’</w:t>
      </w:r>
      <w:r w:rsidRPr="007F2874">
        <w:rPr>
          <w:szCs w:val="24"/>
        </w:rPr>
        <w:t>auteur a passé toute sa vie hors d</w:t>
      </w:r>
      <w:r w:rsidR="00AA3A41">
        <w:rPr>
          <w:szCs w:val="24"/>
        </w:rPr>
        <w:t>’</w:t>
      </w:r>
      <w:r>
        <w:rPr>
          <w:szCs w:val="24"/>
        </w:rPr>
        <w:t>Érythrée</w:t>
      </w:r>
      <w:r w:rsidRPr="007F2874">
        <w:rPr>
          <w:szCs w:val="24"/>
        </w:rPr>
        <w:t>.</w:t>
      </w:r>
    </w:p>
    <w:p w:rsidR="00F439F5" w:rsidRPr="007F2874" w:rsidRDefault="00F439F5" w:rsidP="007655E6">
      <w:pPr>
        <w:pStyle w:val="SingleTxtG"/>
        <w:rPr>
          <w:szCs w:val="24"/>
        </w:rPr>
      </w:pPr>
      <w:r w:rsidRPr="007F2874">
        <w:rPr>
          <w:szCs w:val="24"/>
        </w:rPr>
        <w:t>2.2</w:t>
      </w:r>
      <w:r w:rsidRPr="007F2874">
        <w:rPr>
          <w:szCs w:val="24"/>
        </w:rPr>
        <w:tab/>
        <w:t>L</w:t>
      </w:r>
      <w:r w:rsidR="00AA3A41">
        <w:rPr>
          <w:szCs w:val="24"/>
        </w:rPr>
        <w:t>’</w:t>
      </w:r>
      <w:r w:rsidRPr="007F2874">
        <w:rPr>
          <w:szCs w:val="24"/>
        </w:rPr>
        <w:t>auteur est né à Addis-Abeba, en Éthiopie, où il a vécu avec sa mère jusqu</w:t>
      </w:r>
      <w:r w:rsidR="00AA3A41">
        <w:rPr>
          <w:szCs w:val="24"/>
        </w:rPr>
        <w:t>’</w:t>
      </w:r>
      <w:r w:rsidRPr="007F2874">
        <w:rPr>
          <w:szCs w:val="24"/>
        </w:rPr>
        <w:t>à l</w:t>
      </w:r>
      <w:r w:rsidR="00AA3A41">
        <w:rPr>
          <w:szCs w:val="24"/>
        </w:rPr>
        <w:t>’</w:t>
      </w:r>
      <w:r w:rsidRPr="007F2874">
        <w:rPr>
          <w:szCs w:val="24"/>
        </w:rPr>
        <w:t>âge de 13</w:t>
      </w:r>
      <w:r>
        <w:rPr>
          <w:szCs w:val="24"/>
        </w:rPr>
        <w:t> </w:t>
      </w:r>
      <w:r w:rsidRPr="007F2874">
        <w:rPr>
          <w:szCs w:val="24"/>
        </w:rPr>
        <w:t>ans. Lors du conflit armé qui a opposé l</w:t>
      </w:r>
      <w:r w:rsidR="00AA3A41">
        <w:rPr>
          <w:szCs w:val="24"/>
        </w:rPr>
        <w:t>’</w:t>
      </w:r>
      <w:r w:rsidRPr="007F2874">
        <w:rPr>
          <w:szCs w:val="24"/>
        </w:rPr>
        <w:t>Éthiopie et l</w:t>
      </w:r>
      <w:r w:rsidR="00AA3A41">
        <w:rPr>
          <w:szCs w:val="24"/>
        </w:rPr>
        <w:t>’</w:t>
      </w:r>
      <w:r w:rsidRPr="007F2874">
        <w:rPr>
          <w:szCs w:val="24"/>
        </w:rPr>
        <w:t>Érythrée, en 1999 et en 2000, de nombreux Érythréens qui vivaient à Addis-Abeba ont été contraints de rentrer en Érythrée. La mère de l</w:t>
      </w:r>
      <w:r w:rsidR="00AA3A41">
        <w:rPr>
          <w:szCs w:val="24"/>
        </w:rPr>
        <w:t>’</w:t>
      </w:r>
      <w:r w:rsidRPr="007F2874">
        <w:rPr>
          <w:szCs w:val="24"/>
        </w:rPr>
        <w:t>auteur était au nombre de ceux qui ont dû partir. L</w:t>
      </w:r>
      <w:r w:rsidR="00AA3A41">
        <w:rPr>
          <w:szCs w:val="24"/>
        </w:rPr>
        <w:t>’</w:t>
      </w:r>
      <w:r>
        <w:rPr>
          <w:szCs w:val="24"/>
        </w:rPr>
        <w:t>auteur est resté à Addis</w:t>
      </w:r>
      <w:r>
        <w:rPr>
          <w:szCs w:val="24"/>
        </w:rPr>
        <w:noBreakHyphen/>
      </w:r>
      <w:r w:rsidRPr="007F2874">
        <w:rPr>
          <w:szCs w:val="24"/>
        </w:rPr>
        <w:t>Abeba, chez un oncle qui était marié à une Éthiopienne et avait donc le droit de rester dans le pays.</w:t>
      </w:r>
    </w:p>
    <w:p w:rsidR="00F439F5" w:rsidRPr="007F2874" w:rsidRDefault="00F439F5" w:rsidP="007655E6">
      <w:pPr>
        <w:pStyle w:val="SingleTxtG"/>
        <w:rPr>
          <w:szCs w:val="24"/>
        </w:rPr>
      </w:pPr>
      <w:r w:rsidRPr="007F2874">
        <w:rPr>
          <w:szCs w:val="24"/>
        </w:rPr>
        <w:t>2.3</w:t>
      </w:r>
      <w:r w:rsidRPr="007F2874">
        <w:rPr>
          <w:szCs w:val="24"/>
        </w:rPr>
        <w:tab/>
        <w:t>À une date non précisée, l</w:t>
      </w:r>
      <w:r w:rsidR="00AA3A41">
        <w:rPr>
          <w:szCs w:val="24"/>
        </w:rPr>
        <w:t>’</w:t>
      </w:r>
      <w:r w:rsidRPr="007F2874">
        <w:rPr>
          <w:szCs w:val="24"/>
        </w:rPr>
        <w:t>oncle de l</w:t>
      </w:r>
      <w:r w:rsidR="00AA3A41">
        <w:rPr>
          <w:szCs w:val="24"/>
        </w:rPr>
        <w:t>’</w:t>
      </w:r>
      <w:r w:rsidRPr="007F2874">
        <w:rPr>
          <w:szCs w:val="24"/>
        </w:rPr>
        <w:t>auteur a été arrêté par les autorités éthiopiennes qui l</w:t>
      </w:r>
      <w:r w:rsidR="00AA3A41">
        <w:rPr>
          <w:szCs w:val="24"/>
        </w:rPr>
        <w:t>’</w:t>
      </w:r>
      <w:r w:rsidRPr="007F2874">
        <w:rPr>
          <w:szCs w:val="24"/>
        </w:rPr>
        <w:t>accusaient d</w:t>
      </w:r>
      <w:r w:rsidR="00AA3A41">
        <w:rPr>
          <w:szCs w:val="24"/>
        </w:rPr>
        <w:t>’</w:t>
      </w:r>
      <w:r w:rsidRPr="007F2874">
        <w:rPr>
          <w:szCs w:val="24"/>
        </w:rPr>
        <w:t>être un collaborateur du Gouvernement érythréen. L</w:t>
      </w:r>
      <w:r w:rsidR="00AA3A41">
        <w:rPr>
          <w:szCs w:val="24"/>
        </w:rPr>
        <w:t>’</w:t>
      </w:r>
      <w:r w:rsidRPr="007F2874">
        <w:rPr>
          <w:szCs w:val="24"/>
        </w:rPr>
        <w:t>auteur a décidé de fuir et a gagné le Danemark en passant par le Soudan et l</w:t>
      </w:r>
      <w:r w:rsidR="00AA3A41">
        <w:rPr>
          <w:szCs w:val="24"/>
        </w:rPr>
        <w:t>’</w:t>
      </w:r>
      <w:r w:rsidRPr="007F2874">
        <w:rPr>
          <w:szCs w:val="24"/>
        </w:rPr>
        <w:t>Allemagne. À son arrivée, le 4</w:t>
      </w:r>
      <w:r>
        <w:rPr>
          <w:szCs w:val="24"/>
        </w:rPr>
        <w:t> </w:t>
      </w:r>
      <w:r w:rsidRPr="007F2874">
        <w:rPr>
          <w:szCs w:val="24"/>
        </w:rPr>
        <w:t>février 2010, il a immédiatement demandé l</w:t>
      </w:r>
      <w:r w:rsidR="00AA3A41">
        <w:rPr>
          <w:szCs w:val="24"/>
        </w:rPr>
        <w:t>’</w:t>
      </w:r>
      <w:r w:rsidRPr="007F2874">
        <w:rPr>
          <w:szCs w:val="24"/>
        </w:rPr>
        <w:t>asile.</w:t>
      </w:r>
    </w:p>
    <w:p w:rsidR="00F439F5" w:rsidRPr="007F2874" w:rsidRDefault="00F439F5" w:rsidP="00F439F5">
      <w:pPr>
        <w:pStyle w:val="H23G"/>
      </w:pPr>
      <w:r>
        <w:tab/>
      </w:r>
      <w:r>
        <w:tab/>
      </w:r>
      <w:r w:rsidRPr="007F2874">
        <w:t>Teneur de la plainte</w:t>
      </w:r>
    </w:p>
    <w:p w:rsidR="00F439F5" w:rsidRPr="007F2874" w:rsidRDefault="00F439F5" w:rsidP="007655E6">
      <w:pPr>
        <w:pStyle w:val="SingleTxtG"/>
        <w:rPr>
          <w:szCs w:val="24"/>
        </w:rPr>
      </w:pPr>
      <w:r w:rsidRPr="007F2874">
        <w:rPr>
          <w:szCs w:val="24"/>
        </w:rPr>
        <w:t>3.1</w:t>
      </w:r>
      <w:r w:rsidRPr="007F2874">
        <w:rPr>
          <w:szCs w:val="24"/>
        </w:rPr>
        <w:tab/>
      </w:r>
      <w:r w:rsidRPr="007655E6">
        <w:t>L</w:t>
      </w:r>
      <w:r w:rsidR="00AA3A41">
        <w:t>’</w:t>
      </w:r>
      <w:r w:rsidRPr="007655E6">
        <w:t>auteur</w:t>
      </w:r>
      <w:r w:rsidRPr="007F2874">
        <w:rPr>
          <w:szCs w:val="24"/>
        </w:rPr>
        <w:t xml:space="preserve"> soutient que son </w:t>
      </w:r>
      <w:r>
        <w:rPr>
          <w:szCs w:val="24"/>
        </w:rPr>
        <w:t>expulsion vers l</w:t>
      </w:r>
      <w:r w:rsidR="00AA3A41">
        <w:rPr>
          <w:szCs w:val="24"/>
        </w:rPr>
        <w:t>’</w:t>
      </w:r>
      <w:r w:rsidRPr="007F2874">
        <w:rPr>
          <w:szCs w:val="24"/>
        </w:rPr>
        <w:t>Érythrée constituerait une violation des droits qui lui sont garantis aux articles</w:t>
      </w:r>
      <w:r>
        <w:rPr>
          <w:szCs w:val="24"/>
        </w:rPr>
        <w:t> </w:t>
      </w:r>
      <w:r w:rsidRPr="007F2874">
        <w:rPr>
          <w:szCs w:val="24"/>
        </w:rPr>
        <w:t>7 et 18 du Pacte. Il explique qu</w:t>
      </w:r>
      <w:r w:rsidR="00AA3A41">
        <w:rPr>
          <w:szCs w:val="24"/>
        </w:rPr>
        <w:t>’</w:t>
      </w:r>
      <w:r w:rsidRPr="007F2874">
        <w:rPr>
          <w:szCs w:val="24"/>
        </w:rPr>
        <w:t xml:space="preserve">étant </w:t>
      </w:r>
      <w:r>
        <w:rPr>
          <w:szCs w:val="24"/>
        </w:rPr>
        <w:t>p</w:t>
      </w:r>
      <w:r w:rsidRPr="007F2874">
        <w:rPr>
          <w:szCs w:val="24"/>
        </w:rPr>
        <w:t>entecôtiste il ne peut porter les armes, et que cela lui vaudra d</w:t>
      </w:r>
      <w:r w:rsidR="00AA3A41">
        <w:rPr>
          <w:szCs w:val="24"/>
        </w:rPr>
        <w:t>’</w:t>
      </w:r>
      <w:r w:rsidRPr="007F2874">
        <w:rPr>
          <w:szCs w:val="24"/>
        </w:rPr>
        <w:t>être considéré comme un opposant au régime en Érythrée, où tous les nationaux, homme ou femme, âgés de 18 à 40</w:t>
      </w:r>
      <w:r>
        <w:rPr>
          <w:szCs w:val="24"/>
        </w:rPr>
        <w:t> </w:t>
      </w:r>
      <w:r w:rsidRPr="007F2874">
        <w:rPr>
          <w:szCs w:val="24"/>
        </w:rPr>
        <w:t>ans doivent faire le service militaire même s</w:t>
      </w:r>
      <w:r w:rsidR="00AA3A41">
        <w:rPr>
          <w:szCs w:val="24"/>
        </w:rPr>
        <w:t>’</w:t>
      </w:r>
      <w:r w:rsidRPr="007F2874">
        <w:rPr>
          <w:szCs w:val="24"/>
        </w:rPr>
        <w:t>ils sont objecteurs de conscience</w:t>
      </w:r>
      <w:r w:rsidRPr="00F439F5">
        <w:rPr>
          <w:rStyle w:val="FootnoteReference"/>
        </w:rPr>
        <w:footnoteReference w:id="4"/>
      </w:r>
      <w:r w:rsidRPr="007F2874">
        <w:rPr>
          <w:szCs w:val="24"/>
        </w:rPr>
        <w:t xml:space="preserve">. </w:t>
      </w:r>
      <w:r>
        <w:rPr>
          <w:szCs w:val="24"/>
        </w:rPr>
        <w:t>Il</w:t>
      </w:r>
      <w:r w:rsidRPr="007F2874">
        <w:rPr>
          <w:szCs w:val="24"/>
        </w:rPr>
        <w:t xml:space="preserve"> fait valoir qu</w:t>
      </w:r>
      <w:r w:rsidR="00AA3A41">
        <w:rPr>
          <w:szCs w:val="24"/>
        </w:rPr>
        <w:t>’</w:t>
      </w:r>
      <w:r w:rsidRPr="007F2874">
        <w:rPr>
          <w:szCs w:val="24"/>
        </w:rPr>
        <w:t>il sera appelé sous les drapeaux s</w:t>
      </w:r>
      <w:r w:rsidR="00AA3A41">
        <w:rPr>
          <w:szCs w:val="24"/>
        </w:rPr>
        <w:t>’</w:t>
      </w:r>
      <w:r w:rsidRPr="007F2874">
        <w:rPr>
          <w:szCs w:val="24"/>
        </w:rPr>
        <w:t>il est renvoyé en Érythrée, puisqu</w:t>
      </w:r>
      <w:r w:rsidR="00AA3A41">
        <w:rPr>
          <w:szCs w:val="24"/>
        </w:rPr>
        <w:t>’</w:t>
      </w:r>
      <w:r w:rsidRPr="007F2874">
        <w:rPr>
          <w:szCs w:val="24"/>
        </w:rPr>
        <w:t>il a l</w:t>
      </w:r>
      <w:r w:rsidR="00AA3A41">
        <w:rPr>
          <w:szCs w:val="24"/>
        </w:rPr>
        <w:t>’</w:t>
      </w:r>
      <w:r w:rsidRPr="007F2874">
        <w:rPr>
          <w:szCs w:val="24"/>
        </w:rPr>
        <w:t>âge requis. Il fait valoir également qu</w:t>
      </w:r>
      <w:r w:rsidR="00AA3A41">
        <w:rPr>
          <w:szCs w:val="24"/>
        </w:rPr>
        <w:t>’</w:t>
      </w:r>
      <w:r w:rsidRPr="007F2874">
        <w:rPr>
          <w:szCs w:val="24"/>
        </w:rPr>
        <w:t>en Érythrée les objecteurs de conscience sont soumis à des mesures de coercition, incarcérés sans jugement préalable (parfois jusqu</w:t>
      </w:r>
      <w:r w:rsidR="00AA3A41">
        <w:rPr>
          <w:szCs w:val="24"/>
        </w:rPr>
        <w:t>’</w:t>
      </w:r>
      <w:r w:rsidRPr="007F2874">
        <w:rPr>
          <w:szCs w:val="24"/>
        </w:rPr>
        <w:t>à quatorze années durant) et torturés en détention</w:t>
      </w:r>
      <w:r w:rsidRPr="00F439F5">
        <w:rPr>
          <w:rStyle w:val="FootnoteReference"/>
        </w:rPr>
        <w:footnoteReference w:id="5"/>
      </w:r>
      <w:r w:rsidRPr="007F2874">
        <w:rPr>
          <w:szCs w:val="24"/>
        </w:rPr>
        <w:t>. Il affirme que, par conséquent, en tant que «membre d</w:t>
      </w:r>
      <w:r w:rsidR="00AA3A41">
        <w:rPr>
          <w:szCs w:val="24"/>
        </w:rPr>
        <w:t>’</w:t>
      </w:r>
      <w:r w:rsidRPr="007F2874">
        <w:rPr>
          <w:szCs w:val="24"/>
        </w:rPr>
        <w:t>une communauté religieuse interdite», il risque d</w:t>
      </w:r>
      <w:r w:rsidR="00AA3A41">
        <w:rPr>
          <w:szCs w:val="24"/>
        </w:rPr>
        <w:t>’</w:t>
      </w:r>
      <w:r w:rsidRPr="007F2874">
        <w:rPr>
          <w:szCs w:val="24"/>
        </w:rPr>
        <w:t>être persécuté dès son arrivée à l</w:t>
      </w:r>
      <w:r w:rsidR="00AA3A41">
        <w:rPr>
          <w:szCs w:val="24"/>
        </w:rPr>
        <w:t>’</w:t>
      </w:r>
      <w:r w:rsidRPr="007F2874">
        <w:rPr>
          <w:szCs w:val="24"/>
        </w:rPr>
        <w:t>aéroport, et d</w:t>
      </w:r>
      <w:r w:rsidR="00AA3A41">
        <w:rPr>
          <w:szCs w:val="24"/>
        </w:rPr>
        <w:t>’</w:t>
      </w:r>
      <w:r w:rsidRPr="007F2874">
        <w:rPr>
          <w:szCs w:val="24"/>
        </w:rPr>
        <w:t>être ensuite victime de violence ou de torture lorsqu</w:t>
      </w:r>
      <w:r w:rsidR="00AA3A41">
        <w:rPr>
          <w:szCs w:val="24"/>
        </w:rPr>
        <w:t>’</w:t>
      </w:r>
      <w:r w:rsidRPr="007F2874">
        <w:rPr>
          <w:szCs w:val="24"/>
        </w:rPr>
        <w:t>il refusera de porter les armes.</w:t>
      </w:r>
    </w:p>
    <w:p w:rsidR="00F439F5" w:rsidRPr="007F2874" w:rsidRDefault="00F439F5" w:rsidP="007655E6">
      <w:pPr>
        <w:pStyle w:val="SingleTxtG"/>
        <w:rPr>
          <w:szCs w:val="24"/>
        </w:rPr>
      </w:pPr>
      <w:r>
        <w:rPr>
          <w:szCs w:val="24"/>
        </w:rPr>
        <w:t>3.2</w:t>
      </w:r>
      <w:r>
        <w:rPr>
          <w:szCs w:val="24"/>
        </w:rPr>
        <w:tab/>
      </w:r>
      <w:r w:rsidRPr="007655E6">
        <w:t>L</w:t>
      </w:r>
      <w:r w:rsidR="00AA3A41">
        <w:t>’</w:t>
      </w:r>
      <w:r w:rsidRPr="007655E6">
        <w:t>auteur</w:t>
      </w:r>
      <w:r w:rsidRPr="007F2874">
        <w:rPr>
          <w:szCs w:val="24"/>
        </w:rPr>
        <w:t xml:space="preserve"> soutient que s</w:t>
      </w:r>
      <w:r w:rsidR="00AA3A41">
        <w:rPr>
          <w:szCs w:val="24"/>
        </w:rPr>
        <w:t>’</w:t>
      </w:r>
      <w:r w:rsidRPr="007F2874">
        <w:rPr>
          <w:szCs w:val="24"/>
        </w:rPr>
        <w:t>il est renvoyé en Érythrée, il sera exposé à «de très graves violences», parce que les demandeurs d</w:t>
      </w:r>
      <w:r w:rsidR="00AA3A41">
        <w:rPr>
          <w:szCs w:val="24"/>
        </w:rPr>
        <w:t>’</w:t>
      </w:r>
      <w:r w:rsidRPr="007F2874">
        <w:rPr>
          <w:szCs w:val="24"/>
        </w:rPr>
        <w:t>asile qui rentrent sont placés en détention prolongée par les autorités érythréennes et torturés</w:t>
      </w:r>
      <w:r w:rsidRPr="00F439F5">
        <w:rPr>
          <w:rStyle w:val="FootnoteReference"/>
        </w:rPr>
        <w:footnoteReference w:id="6"/>
      </w:r>
      <w:r w:rsidRPr="007F2874">
        <w:rPr>
          <w:szCs w:val="24"/>
        </w:rPr>
        <w:t xml:space="preserve">. À titre subsidiaire, il fait valoir que, selon certaines sources, les insoumis sont «fréquemment </w:t>
      </w:r>
      <w:r>
        <w:rPr>
          <w:szCs w:val="24"/>
        </w:rPr>
        <w:t>victimes de</w:t>
      </w:r>
      <w:r w:rsidRPr="007F2874">
        <w:rPr>
          <w:szCs w:val="24"/>
        </w:rPr>
        <w:t xml:space="preserve"> torture»</w:t>
      </w:r>
      <w:r w:rsidRPr="00F439F5">
        <w:rPr>
          <w:rStyle w:val="FootnoteReference"/>
        </w:rPr>
        <w:footnoteReference w:id="7"/>
      </w:r>
      <w:r w:rsidRPr="007F2874">
        <w:rPr>
          <w:szCs w:val="24"/>
        </w:rPr>
        <w:t xml:space="preserve">. Il </w:t>
      </w:r>
      <w:r>
        <w:rPr>
          <w:szCs w:val="24"/>
        </w:rPr>
        <w:t>dit</w:t>
      </w:r>
      <w:r w:rsidRPr="007F2874">
        <w:rPr>
          <w:szCs w:val="24"/>
        </w:rPr>
        <w:t xml:space="preserve"> qu</w:t>
      </w:r>
      <w:r w:rsidR="00AA3A41">
        <w:rPr>
          <w:szCs w:val="24"/>
        </w:rPr>
        <w:t>’</w:t>
      </w:r>
      <w:r w:rsidRPr="007F2874">
        <w:rPr>
          <w:szCs w:val="24"/>
        </w:rPr>
        <w:t>il</w:t>
      </w:r>
      <w:r w:rsidR="00AA3A41">
        <w:rPr>
          <w:szCs w:val="24"/>
        </w:rPr>
        <w:t> </w:t>
      </w:r>
      <w:r w:rsidRPr="007F2874">
        <w:rPr>
          <w:szCs w:val="24"/>
        </w:rPr>
        <w:t>ne pourrait prouver qu</w:t>
      </w:r>
      <w:r w:rsidR="00AA3A41">
        <w:rPr>
          <w:szCs w:val="24"/>
        </w:rPr>
        <w:t>’</w:t>
      </w:r>
      <w:r w:rsidRPr="007F2874">
        <w:rPr>
          <w:szCs w:val="24"/>
        </w:rPr>
        <w:t>il n</w:t>
      </w:r>
      <w:r w:rsidR="00AA3A41">
        <w:rPr>
          <w:szCs w:val="24"/>
        </w:rPr>
        <w:t>’</w:t>
      </w:r>
      <w:r w:rsidRPr="007F2874">
        <w:rPr>
          <w:szCs w:val="24"/>
        </w:rPr>
        <w:t>a pas quitté l</w:t>
      </w:r>
      <w:r w:rsidR="00AA3A41">
        <w:rPr>
          <w:szCs w:val="24"/>
        </w:rPr>
        <w:t>’</w:t>
      </w:r>
      <w:r w:rsidRPr="007F2874">
        <w:rPr>
          <w:szCs w:val="24"/>
        </w:rPr>
        <w:t>Érythrée illégalement, puisqu</w:t>
      </w:r>
      <w:r w:rsidR="00AA3A41">
        <w:rPr>
          <w:szCs w:val="24"/>
        </w:rPr>
        <w:t>’</w:t>
      </w:r>
      <w:r w:rsidRPr="007F2874">
        <w:rPr>
          <w:szCs w:val="24"/>
        </w:rPr>
        <w:t>il n</w:t>
      </w:r>
      <w:r w:rsidR="00AA3A41">
        <w:rPr>
          <w:szCs w:val="24"/>
        </w:rPr>
        <w:t>’</w:t>
      </w:r>
      <w:r w:rsidRPr="007F2874">
        <w:rPr>
          <w:szCs w:val="24"/>
        </w:rPr>
        <w:t>y a jamais vécu et n</w:t>
      </w:r>
      <w:r w:rsidR="00AA3A41">
        <w:rPr>
          <w:szCs w:val="24"/>
        </w:rPr>
        <w:t>’</w:t>
      </w:r>
      <w:r w:rsidRPr="007F2874">
        <w:rPr>
          <w:szCs w:val="24"/>
        </w:rPr>
        <w:t>a pas de passeport ni autre document portant un tampon de sortie du territoire. Il</w:t>
      </w:r>
      <w:r>
        <w:rPr>
          <w:szCs w:val="24"/>
        </w:rPr>
        <w:t> affirme</w:t>
      </w:r>
      <w:r w:rsidRPr="007F2874">
        <w:rPr>
          <w:szCs w:val="24"/>
        </w:rPr>
        <w:t xml:space="preserve"> qu</w:t>
      </w:r>
      <w:r w:rsidR="00AA3A41">
        <w:rPr>
          <w:szCs w:val="24"/>
        </w:rPr>
        <w:t>’</w:t>
      </w:r>
      <w:r w:rsidRPr="007F2874">
        <w:rPr>
          <w:szCs w:val="24"/>
        </w:rPr>
        <w:t>en conséquence les autorités l</w:t>
      </w:r>
      <w:r w:rsidR="00AA3A41">
        <w:rPr>
          <w:szCs w:val="24"/>
        </w:rPr>
        <w:t>’</w:t>
      </w:r>
      <w:r w:rsidRPr="007F2874">
        <w:rPr>
          <w:szCs w:val="24"/>
        </w:rPr>
        <w:t>appréhenderaient à l</w:t>
      </w:r>
      <w:r w:rsidR="00AA3A41">
        <w:rPr>
          <w:szCs w:val="24"/>
        </w:rPr>
        <w:t>’</w:t>
      </w:r>
      <w:r w:rsidRPr="007F2874">
        <w:rPr>
          <w:szCs w:val="24"/>
        </w:rPr>
        <w:t>aéroport pour le placer en</w:t>
      </w:r>
      <w:r w:rsidR="00AA3A41">
        <w:rPr>
          <w:szCs w:val="24"/>
        </w:rPr>
        <w:t> </w:t>
      </w:r>
      <w:r w:rsidRPr="007F2874">
        <w:rPr>
          <w:szCs w:val="24"/>
        </w:rPr>
        <w:t>détention et l</w:t>
      </w:r>
      <w:r w:rsidR="00AA3A41">
        <w:rPr>
          <w:szCs w:val="24"/>
        </w:rPr>
        <w:t>’</w:t>
      </w:r>
      <w:r w:rsidRPr="007F2874">
        <w:rPr>
          <w:szCs w:val="24"/>
        </w:rPr>
        <w:t>interroger.</w:t>
      </w:r>
    </w:p>
    <w:p w:rsidR="00F439F5" w:rsidRPr="007F2874" w:rsidRDefault="00F439F5" w:rsidP="007655E6">
      <w:pPr>
        <w:pStyle w:val="SingleTxtG"/>
        <w:rPr>
          <w:szCs w:val="24"/>
        </w:rPr>
      </w:pPr>
      <w:r w:rsidRPr="007F2874">
        <w:rPr>
          <w:szCs w:val="24"/>
        </w:rPr>
        <w:t>3.3</w:t>
      </w:r>
      <w:r w:rsidRPr="007F2874">
        <w:rPr>
          <w:szCs w:val="24"/>
        </w:rPr>
        <w:tab/>
        <w:t>Au sujet de l</w:t>
      </w:r>
      <w:r w:rsidR="00AA3A41">
        <w:rPr>
          <w:szCs w:val="24"/>
        </w:rPr>
        <w:t>’</w:t>
      </w:r>
      <w:r w:rsidRPr="007F2874">
        <w:rPr>
          <w:szCs w:val="24"/>
        </w:rPr>
        <w:t>épuisement des recours internes, l</w:t>
      </w:r>
      <w:r w:rsidR="00AA3A41">
        <w:rPr>
          <w:szCs w:val="24"/>
        </w:rPr>
        <w:t>’</w:t>
      </w:r>
      <w:r w:rsidRPr="007F2874">
        <w:rPr>
          <w:szCs w:val="24"/>
        </w:rPr>
        <w:t>auteur indique que le Service danois de l</w:t>
      </w:r>
      <w:r w:rsidR="00AA3A41">
        <w:rPr>
          <w:szCs w:val="24"/>
        </w:rPr>
        <w:t>’</w:t>
      </w:r>
      <w:r w:rsidRPr="007F2874">
        <w:rPr>
          <w:szCs w:val="24"/>
        </w:rPr>
        <w:t>immigration a rejeté sa demande et refusé</w:t>
      </w:r>
      <w:r>
        <w:rPr>
          <w:szCs w:val="24"/>
        </w:rPr>
        <w:t xml:space="preserve"> </w:t>
      </w:r>
      <w:r w:rsidRPr="007F2874">
        <w:rPr>
          <w:szCs w:val="24"/>
        </w:rPr>
        <w:t>de lui accorder un permis de séjour le 10</w:t>
      </w:r>
      <w:r>
        <w:rPr>
          <w:szCs w:val="24"/>
        </w:rPr>
        <w:t> </w:t>
      </w:r>
      <w:r w:rsidRPr="007F2874">
        <w:rPr>
          <w:szCs w:val="24"/>
        </w:rPr>
        <w:t>juillet 2010. Le 13</w:t>
      </w:r>
      <w:r>
        <w:rPr>
          <w:szCs w:val="24"/>
        </w:rPr>
        <w:t> </w:t>
      </w:r>
      <w:r w:rsidRPr="007F2874">
        <w:rPr>
          <w:szCs w:val="24"/>
        </w:rPr>
        <w:t xml:space="preserve">octobre 2010, la Commission de recours des réfugiés a rejeté </w:t>
      </w:r>
      <w:r>
        <w:rPr>
          <w:szCs w:val="24"/>
        </w:rPr>
        <w:t>l</w:t>
      </w:r>
      <w:r w:rsidR="00AA3A41">
        <w:rPr>
          <w:szCs w:val="24"/>
        </w:rPr>
        <w:t>’</w:t>
      </w:r>
      <w:r w:rsidRPr="007F2874">
        <w:rPr>
          <w:szCs w:val="24"/>
        </w:rPr>
        <w:t xml:space="preserve">appel </w:t>
      </w:r>
      <w:r>
        <w:rPr>
          <w:szCs w:val="24"/>
        </w:rPr>
        <w:t>qu</w:t>
      </w:r>
      <w:r w:rsidR="00AA3A41">
        <w:rPr>
          <w:szCs w:val="24"/>
        </w:rPr>
        <w:t>’</w:t>
      </w:r>
      <w:r>
        <w:rPr>
          <w:szCs w:val="24"/>
        </w:rPr>
        <w:t xml:space="preserve">il avait formé </w:t>
      </w:r>
      <w:r w:rsidRPr="007F2874">
        <w:rPr>
          <w:szCs w:val="24"/>
        </w:rPr>
        <w:t>et ordonné son départ immédiat du pays. Aucune autre information n</w:t>
      </w:r>
      <w:r w:rsidR="00AA3A41">
        <w:rPr>
          <w:szCs w:val="24"/>
        </w:rPr>
        <w:t>’</w:t>
      </w:r>
      <w:r w:rsidRPr="007F2874">
        <w:rPr>
          <w:szCs w:val="24"/>
        </w:rPr>
        <w:t>est communiquée à propos de l</w:t>
      </w:r>
      <w:r w:rsidR="00AA3A41">
        <w:rPr>
          <w:szCs w:val="24"/>
        </w:rPr>
        <w:t>’</w:t>
      </w:r>
      <w:r w:rsidRPr="007F2874">
        <w:rPr>
          <w:szCs w:val="24"/>
        </w:rPr>
        <w:t>épuisement des recours internes.</w:t>
      </w:r>
    </w:p>
    <w:p w:rsidR="00F439F5" w:rsidRPr="007F2874" w:rsidRDefault="00F439F5" w:rsidP="00F439F5">
      <w:pPr>
        <w:pStyle w:val="H23G"/>
      </w:pPr>
      <w:r>
        <w:tab/>
      </w:r>
      <w:r>
        <w:tab/>
      </w:r>
      <w:r w:rsidRPr="007F2874">
        <w:t>Observations de l</w:t>
      </w:r>
      <w:r w:rsidR="00AA3A41">
        <w:t>’</w:t>
      </w:r>
      <w:r w:rsidRPr="007F2874">
        <w:t>État partie sur la recevabilité et le fond de la communication</w:t>
      </w:r>
    </w:p>
    <w:p w:rsidR="00F439F5" w:rsidRPr="007F2874" w:rsidRDefault="00F439F5" w:rsidP="007655E6">
      <w:pPr>
        <w:pStyle w:val="SingleTxtG"/>
        <w:rPr>
          <w:szCs w:val="24"/>
        </w:rPr>
      </w:pPr>
      <w:r w:rsidRPr="007F2874">
        <w:rPr>
          <w:szCs w:val="24"/>
        </w:rPr>
        <w:t>4.1</w:t>
      </w:r>
      <w:r w:rsidRPr="007F2874">
        <w:rPr>
          <w:szCs w:val="24"/>
        </w:rPr>
        <w:tab/>
      </w:r>
      <w:r w:rsidRPr="007655E6">
        <w:t>Dans</w:t>
      </w:r>
      <w:r w:rsidRPr="007F2874">
        <w:rPr>
          <w:szCs w:val="24"/>
        </w:rPr>
        <w:t xml:space="preserve"> une note en date du 25</w:t>
      </w:r>
      <w:r>
        <w:rPr>
          <w:szCs w:val="24"/>
        </w:rPr>
        <w:t> </w:t>
      </w:r>
      <w:r w:rsidRPr="007F2874">
        <w:rPr>
          <w:szCs w:val="24"/>
        </w:rPr>
        <w:t>mai 2011, l</w:t>
      </w:r>
      <w:r w:rsidR="00AA3A41">
        <w:rPr>
          <w:szCs w:val="24"/>
        </w:rPr>
        <w:t>’</w:t>
      </w:r>
      <w:r w:rsidRPr="007F2874">
        <w:rPr>
          <w:szCs w:val="24"/>
        </w:rPr>
        <w:t>État partie commence par apporter des</w:t>
      </w:r>
      <w:r w:rsidR="00CE3347">
        <w:rPr>
          <w:szCs w:val="24"/>
        </w:rPr>
        <w:t xml:space="preserve"> </w:t>
      </w:r>
      <w:r w:rsidRPr="007F2874">
        <w:rPr>
          <w:szCs w:val="24"/>
        </w:rPr>
        <w:t>précisions sur la demande d</w:t>
      </w:r>
      <w:r w:rsidR="00AA3A41">
        <w:rPr>
          <w:szCs w:val="24"/>
        </w:rPr>
        <w:t>’</w:t>
      </w:r>
      <w:r w:rsidRPr="007F2874">
        <w:rPr>
          <w:szCs w:val="24"/>
        </w:rPr>
        <w:t>asile de l</w:t>
      </w:r>
      <w:r w:rsidR="00AA3A41">
        <w:rPr>
          <w:szCs w:val="24"/>
        </w:rPr>
        <w:t>’</w:t>
      </w:r>
      <w:r w:rsidRPr="007F2874">
        <w:rPr>
          <w:szCs w:val="24"/>
        </w:rPr>
        <w:t>auteur, déposée le 4</w:t>
      </w:r>
      <w:r>
        <w:rPr>
          <w:szCs w:val="24"/>
        </w:rPr>
        <w:t> </w:t>
      </w:r>
      <w:r w:rsidRPr="007F2874">
        <w:rPr>
          <w:szCs w:val="24"/>
        </w:rPr>
        <w:t>février 2010 et rejetée le 29</w:t>
      </w:r>
      <w:r>
        <w:rPr>
          <w:szCs w:val="24"/>
        </w:rPr>
        <w:t> </w:t>
      </w:r>
      <w:r w:rsidRPr="007F2874">
        <w:rPr>
          <w:szCs w:val="24"/>
        </w:rPr>
        <w:t>juillet suivant. L</w:t>
      </w:r>
      <w:r w:rsidR="00AA3A41">
        <w:rPr>
          <w:szCs w:val="24"/>
        </w:rPr>
        <w:t>’</w:t>
      </w:r>
      <w:r w:rsidRPr="007F2874">
        <w:rPr>
          <w:szCs w:val="24"/>
        </w:rPr>
        <w:t>État partie estime que la communication est irrecevable faute d</w:t>
      </w:r>
      <w:r w:rsidR="00AA3A41">
        <w:rPr>
          <w:szCs w:val="24"/>
        </w:rPr>
        <w:t>’</w:t>
      </w:r>
      <w:r w:rsidRPr="007F2874">
        <w:rPr>
          <w:szCs w:val="24"/>
        </w:rPr>
        <w:t>être suffisamment étayée. La décision rendue par la Commission de recours des réfugiés était fondée, ayant été prise à l</w:t>
      </w:r>
      <w:r w:rsidR="00AA3A41">
        <w:rPr>
          <w:szCs w:val="24"/>
        </w:rPr>
        <w:t>’</w:t>
      </w:r>
      <w:r w:rsidRPr="007F2874">
        <w:rPr>
          <w:szCs w:val="24"/>
        </w:rPr>
        <w:t>issue d</w:t>
      </w:r>
      <w:r w:rsidR="00AA3A41">
        <w:rPr>
          <w:szCs w:val="24"/>
        </w:rPr>
        <w:t>’</w:t>
      </w:r>
      <w:r w:rsidRPr="007F2874">
        <w:rPr>
          <w:szCs w:val="24"/>
        </w:rPr>
        <w:t>une appréciation personnalisée des raisons pour lesquelles l</w:t>
      </w:r>
      <w:r w:rsidR="00AA3A41">
        <w:rPr>
          <w:szCs w:val="24"/>
        </w:rPr>
        <w:t>’</w:t>
      </w:r>
      <w:r w:rsidRPr="007F2874">
        <w:rPr>
          <w:szCs w:val="24"/>
        </w:rPr>
        <w:t>auteur demandait l</w:t>
      </w:r>
      <w:r w:rsidR="00AA3A41">
        <w:rPr>
          <w:szCs w:val="24"/>
        </w:rPr>
        <w:t>’</w:t>
      </w:r>
      <w:r w:rsidRPr="007F2874">
        <w:rPr>
          <w:szCs w:val="24"/>
        </w:rPr>
        <w:t>asile et au vu d</w:t>
      </w:r>
      <w:r w:rsidR="00AA3A41">
        <w:rPr>
          <w:szCs w:val="24"/>
        </w:rPr>
        <w:t>’</w:t>
      </w:r>
      <w:r w:rsidRPr="007F2874">
        <w:rPr>
          <w:szCs w:val="24"/>
        </w:rPr>
        <w:t>informations générales récentes provenant d</w:t>
      </w:r>
      <w:r w:rsidR="00AA3A41">
        <w:rPr>
          <w:szCs w:val="24"/>
        </w:rPr>
        <w:t>’</w:t>
      </w:r>
      <w:r w:rsidRPr="007F2874">
        <w:rPr>
          <w:szCs w:val="24"/>
        </w:rPr>
        <w:t>un</w:t>
      </w:r>
      <w:r>
        <w:rPr>
          <w:szCs w:val="24"/>
        </w:rPr>
        <w:t>e grande variété</w:t>
      </w:r>
      <w:r w:rsidRPr="007F2874">
        <w:rPr>
          <w:szCs w:val="24"/>
        </w:rPr>
        <w:t xml:space="preserve"> de sources. Pour ce qui est du grief de violation de l</w:t>
      </w:r>
      <w:r w:rsidR="00AA3A41">
        <w:rPr>
          <w:szCs w:val="24"/>
        </w:rPr>
        <w:t>’</w:t>
      </w:r>
      <w:r w:rsidRPr="007F2874">
        <w:rPr>
          <w:szCs w:val="24"/>
        </w:rPr>
        <w:t>article</w:t>
      </w:r>
      <w:r>
        <w:rPr>
          <w:szCs w:val="24"/>
        </w:rPr>
        <w:t> </w:t>
      </w:r>
      <w:r w:rsidRPr="007F2874">
        <w:rPr>
          <w:szCs w:val="24"/>
        </w:rPr>
        <w:t xml:space="preserve">7 du Pacte, </w:t>
      </w:r>
      <w:r>
        <w:rPr>
          <w:szCs w:val="24"/>
        </w:rPr>
        <w:t>l</w:t>
      </w:r>
      <w:r w:rsidR="00AA3A41">
        <w:rPr>
          <w:szCs w:val="24"/>
        </w:rPr>
        <w:t>’</w:t>
      </w:r>
      <w:r w:rsidRPr="007F2874">
        <w:rPr>
          <w:szCs w:val="24"/>
        </w:rPr>
        <w:t>État partie estime improbable que l</w:t>
      </w:r>
      <w:r w:rsidR="00AA3A41">
        <w:rPr>
          <w:szCs w:val="24"/>
        </w:rPr>
        <w:t>’</w:t>
      </w:r>
      <w:r w:rsidRPr="007F2874">
        <w:rPr>
          <w:szCs w:val="24"/>
        </w:rPr>
        <w:t xml:space="preserve">auteur </w:t>
      </w:r>
      <w:r>
        <w:rPr>
          <w:szCs w:val="24"/>
        </w:rPr>
        <w:t>ait</w:t>
      </w:r>
      <w:r w:rsidRPr="007F2874">
        <w:rPr>
          <w:szCs w:val="24"/>
        </w:rPr>
        <w:t xml:space="preserve"> des problèmes avec les autorités érythréennes s</w:t>
      </w:r>
      <w:r w:rsidR="00AA3A41">
        <w:rPr>
          <w:szCs w:val="24"/>
        </w:rPr>
        <w:t>’</w:t>
      </w:r>
      <w:r w:rsidRPr="007F2874">
        <w:rPr>
          <w:szCs w:val="24"/>
        </w:rPr>
        <w:t>il est renvoyé dans son pays. La Commission de recours a en effet jugé peu probable que les autorités érythréennes soient informées de l</w:t>
      </w:r>
      <w:r w:rsidR="00AA3A41">
        <w:rPr>
          <w:szCs w:val="24"/>
        </w:rPr>
        <w:t>’</w:t>
      </w:r>
      <w:r w:rsidRPr="007F2874">
        <w:rPr>
          <w:szCs w:val="24"/>
        </w:rPr>
        <w:t>appartenance religieuse de l</w:t>
      </w:r>
      <w:r w:rsidR="00AA3A41">
        <w:rPr>
          <w:szCs w:val="24"/>
        </w:rPr>
        <w:t>’</w:t>
      </w:r>
      <w:r w:rsidRPr="007F2874">
        <w:rPr>
          <w:szCs w:val="24"/>
        </w:rPr>
        <w:t>auteur étant donné que celui-ci</w:t>
      </w:r>
      <w:r>
        <w:rPr>
          <w:szCs w:val="24"/>
        </w:rPr>
        <w:t>:</w:t>
      </w:r>
      <w:r w:rsidRPr="007F2874">
        <w:rPr>
          <w:szCs w:val="24"/>
        </w:rPr>
        <w:t xml:space="preserve"> a)</w:t>
      </w:r>
      <w:r>
        <w:rPr>
          <w:szCs w:val="24"/>
        </w:rPr>
        <w:t> </w:t>
      </w:r>
      <w:r w:rsidRPr="007F2874">
        <w:rPr>
          <w:szCs w:val="24"/>
        </w:rPr>
        <w:t>n</w:t>
      </w:r>
      <w:r w:rsidR="00AA3A41">
        <w:rPr>
          <w:szCs w:val="24"/>
        </w:rPr>
        <w:t>’</w:t>
      </w:r>
      <w:r w:rsidRPr="007F2874">
        <w:rPr>
          <w:szCs w:val="24"/>
        </w:rPr>
        <w:t>avait jamais résidé en Érythrée; b)</w:t>
      </w:r>
      <w:r>
        <w:rPr>
          <w:szCs w:val="24"/>
        </w:rPr>
        <w:t> </w:t>
      </w:r>
      <w:r w:rsidRPr="007F2874">
        <w:rPr>
          <w:szCs w:val="24"/>
        </w:rPr>
        <w:t>se bornait, au sein du mouvement Pentecôtiste, à se réunir plusieurs fois par semaine avec ses coreligionnaires pour chanter et prier, et à participer aux collectes de fonds; c)</w:t>
      </w:r>
      <w:r>
        <w:rPr>
          <w:szCs w:val="24"/>
        </w:rPr>
        <w:t> </w:t>
      </w:r>
      <w:r w:rsidRPr="007F2874">
        <w:rPr>
          <w:szCs w:val="24"/>
        </w:rPr>
        <w:t>n</w:t>
      </w:r>
      <w:r w:rsidR="00AA3A41">
        <w:rPr>
          <w:szCs w:val="24"/>
        </w:rPr>
        <w:t>’</w:t>
      </w:r>
      <w:r w:rsidRPr="007F2874">
        <w:rPr>
          <w:szCs w:val="24"/>
        </w:rPr>
        <w:t>avait qu</w:t>
      </w:r>
      <w:r w:rsidR="00AA3A41">
        <w:rPr>
          <w:szCs w:val="24"/>
        </w:rPr>
        <w:t>’</w:t>
      </w:r>
      <w:r w:rsidRPr="007F2874">
        <w:rPr>
          <w:szCs w:val="24"/>
        </w:rPr>
        <w:t>une connaissance limitée du mouvement</w:t>
      </w:r>
      <w:r w:rsidRPr="00F439F5">
        <w:rPr>
          <w:rStyle w:val="FootnoteReference"/>
        </w:rPr>
        <w:footnoteReference w:id="8"/>
      </w:r>
      <w:r w:rsidRPr="007F2874">
        <w:rPr>
          <w:szCs w:val="24"/>
        </w:rPr>
        <w:t>; et d)</w:t>
      </w:r>
      <w:r>
        <w:rPr>
          <w:szCs w:val="24"/>
        </w:rPr>
        <w:t> </w:t>
      </w:r>
      <w:r w:rsidRPr="007F2874">
        <w:rPr>
          <w:szCs w:val="24"/>
        </w:rPr>
        <w:t>n</w:t>
      </w:r>
      <w:r w:rsidR="00AA3A41">
        <w:rPr>
          <w:szCs w:val="24"/>
        </w:rPr>
        <w:t>’</w:t>
      </w:r>
      <w:r w:rsidRPr="007F2874">
        <w:rPr>
          <w:szCs w:val="24"/>
        </w:rPr>
        <w:t>avait informé personne en Érythrée</w:t>
      </w:r>
      <w:r>
        <w:rPr>
          <w:szCs w:val="24"/>
        </w:rPr>
        <w:t>,</w:t>
      </w:r>
      <w:r w:rsidRPr="007F2874">
        <w:rPr>
          <w:szCs w:val="24"/>
        </w:rPr>
        <w:t xml:space="preserve"> pas même sa mère</w:t>
      </w:r>
      <w:r>
        <w:rPr>
          <w:szCs w:val="24"/>
        </w:rPr>
        <w:t>,</w:t>
      </w:r>
      <w:r w:rsidRPr="007F2874">
        <w:rPr>
          <w:szCs w:val="24"/>
        </w:rPr>
        <w:t xml:space="preserve"> de</w:t>
      </w:r>
      <w:r w:rsidR="00CE3347">
        <w:rPr>
          <w:szCs w:val="24"/>
        </w:rPr>
        <w:t xml:space="preserve"> </w:t>
      </w:r>
      <w:r w:rsidRPr="007F2874">
        <w:rPr>
          <w:szCs w:val="24"/>
        </w:rPr>
        <w:t>son appartenance religieuse</w:t>
      </w:r>
      <w:r w:rsidRPr="00F439F5">
        <w:rPr>
          <w:rStyle w:val="FootnoteReference"/>
        </w:rPr>
        <w:footnoteReference w:id="9"/>
      </w:r>
      <w:r w:rsidRPr="007F2874">
        <w:rPr>
          <w:szCs w:val="24"/>
        </w:rPr>
        <w:t>. La Commission de recours a relevé en outre que l</w:t>
      </w:r>
      <w:r w:rsidR="00AA3A41">
        <w:rPr>
          <w:szCs w:val="24"/>
        </w:rPr>
        <w:t>’</w:t>
      </w:r>
      <w:r w:rsidRPr="007F2874">
        <w:rPr>
          <w:szCs w:val="24"/>
        </w:rPr>
        <w:t>auteur n</w:t>
      </w:r>
      <w:r w:rsidR="00AA3A41">
        <w:rPr>
          <w:szCs w:val="24"/>
        </w:rPr>
        <w:t>’</w:t>
      </w:r>
      <w:r w:rsidRPr="007F2874">
        <w:rPr>
          <w:szCs w:val="24"/>
        </w:rPr>
        <w:t>avait jamais été appelé pour la conscription, et qu</w:t>
      </w:r>
      <w:r w:rsidR="00AA3A41">
        <w:rPr>
          <w:szCs w:val="24"/>
        </w:rPr>
        <w:t>’</w:t>
      </w:r>
      <w:r w:rsidRPr="007F2874">
        <w:rPr>
          <w:szCs w:val="24"/>
        </w:rPr>
        <w:t>il n</w:t>
      </w:r>
      <w:r w:rsidR="00AA3A41">
        <w:rPr>
          <w:szCs w:val="24"/>
        </w:rPr>
        <w:t>’</w:t>
      </w:r>
      <w:r w:rsidRPr="007F2874">
        <w:rPr>
          <w:szCs w:val="24"/>
        </w:rPr>
        <w:t>avait pas eu directement affaire aux</w:t>
      </w:r>
      <w:r w:rsidR="00CE3347">
        <w:rPr>
          <w:szCs w:val="24"/>
        </w:rPr>
        <w:t xml:space="preserve"> </w:t>
      </w:r>
      <w:r w:rsidRPr="007F2874">
        <w:rPr>
          <w:szCs w:val="24"/>
        </w:rPr>
        <w:t>autorités érythréennes au sujet de la pratique de sa religion. Elle a aussi appelé l</w:t>
      </w:r>
      <w:r w:rsidR="00AA3A41">
        <w:rPr>
          <w:szCs w:val="24"/>
        </w:rPr>
        <w:t>’</w:t>
      </w:r>
      <w:r w:rsidRPr="007F2874">
        <w:rPr>
          <w:szCs w:val="24"/>
        </w:rPr>
        <w:t>attention sur le fait qu</w:t>
      </w:r>
      <w:r w:rsidR="00AA3A41">
        <w:rPr>
          <w:szCs w:val="24"/>
        </w:rPr>
        <w:t>’</w:t>
      </w:r>
      <w:r w:rsidRPr="007F2874">
        <w:rPr>
          <w:szCs w:val="24"/>
        </w:rPr>
        <w:t>il affirmait avoir été baptisé dans la foi pentecôtiste à l</w:t>
      </w:r>
      <w:r w:rsidR="00AA3A41">
        <w:rPr>
          <w:szCs w:val="24"/>
        </w:rPr>
        <w:t>’</w:t>
      </w:r>
      <w:r w:rsidRPr="007F2874">
        <w:rPr>
          <w:szCs w:val="24"/>
        </w:rPr>
        <w:t>âge de</w:t>
      </w:r>
      <w:r w:rsidR="00CE3347">
        <w:rPr>
          <w:szCs w:val="24"/>
        </w:rPr>
        <w:t xml:space="preserve"> </w:t>
      </w:r>
      <w:r w:rsidRPr="007F2874">
        <w:rPr>
          <w:szCs w:val="24"/>
        </w:rPr>
        <w:t>19</w:t>
      </w:r>
      <w:r>
        <w:rPr>
          <w:szCs w:val="24"/>
        </w:rPr>
        <w:t> </w:t>
      </w:r>
      <w:r w:rsidRPr="007F2874">
        <w:rPr>
          <w:szCs w:val="24"/>
        </w:rPr>
        <w:t>ans. L</w:t>
      </w:r>
      <w:r w:rsidR="00AA3A41">
        <w:rPr>
          <w:szCs w:val="24"/>
        </w:rPr>
        <w:t>’</w:t>
      </w:r>
      <w:r w:rsidRPr="007F2874">
        <w:rPr>
          <w:szCs w:val="24"/>
        </w:rPr>
        <w:t>État partie indique que l</w:t>
      </w:r>
      <w:r w:rsidR="00AA3A41">
        <w:rPr>
          <w:szCs w:val="24"/>
        </w:rPr>
        <w:t>’</w:t>
      </w:r>
      <w:r w:rsidRPr="007F2874">
        <w:rPr>
          <w:szCs w:val="24"/>
        </w:rPr>
        <w:t>auteur n</w:t>
      </w:r>
      <w:r w:rsidR="00AA3A41">
        <w:rPr>
          <w:szCs w:val="24"/>
        </w:rPr>
        <w:t>’</w:t>
      </w:r>
      <w:r w:rsidRPr="007F2874">
        <w:rPr>
          <w:szCs w:val="24"/>
        </w:rPr>
        <w:t>a pas été en mesure de donner les renseignements voulus à ce sujet lors de son audition par la Commission de recours</w:t>
      </w:r>
      <w:r>
        <w:rPr>
          <w:szCs w:val="24"/>
        </w:rPr>
        <w:t>:</w:t>
      </w:r>
      <w:r w:rsidRPr="007F2874">
        <w:rPr>
          <w:szCs w:val="24"/>
        </w:rPr>
        <w:t xml:space="preserve"> bien qu</w:t>
      </w:r>
      <w:r w:rsidR="00AA3A41">
        <w:rPr>
          <w:szCs w:val="24"/>
        </w:rPr>
        <w:t>’</w:t>
      </w:r>
      <w:r w:rsidRPr="007F2874">
        <w:rPr>
          <w:szCs w:val="24"/>
        </w:rPr>
        <w:t>interrogé sur son baptême, il n</w:t>
      </w:r>
      <w:r w:rsidR="00AA3A41">
        <w:rPr>
          <w:szCs w:val="24"/>
        </w:rPr>
        <w:t>’</w:t>
      </w:r>
      <w:r w:rsidRPr="007F2874">
        <w:rPr>
          <w:szCs w:val="24"/>
        </w:rPr>
        <w:t>a rien dit sur le fait d</w:t>
      </w:r>
      <w:r w:rsidR="00AA3A41">
        <w:rPr>
          <w:szCs w:val="24"/>
        </w:rPr>
        <w:t>’</w:t>
      </w:r>
      <w:r w:rsidRPr="007F2874">
        <w:rPr>
          <w:szCs w:val="24"/>
        </w:rPr>
        <w:t>avoir eu de l</w:t>
      </w:r>
      <w:r w:rsidR="00AA3A41">
        <w:rPr>
          <w:szCs w:val="24"/>
        </w:rPr>
        <w:t>’</w:t>
      </w:r>
      <w:r w:rsidRPr="007F2874">
        <w:rPr>
          <w:szCs w:val="24"/>
        </w:rPr>
        <w:t>eau versée sur la tête pendant la cérémonie. Or,</w:t>
      </w:r>
      <w:r>
        <w:rPr>
          <w:szCs w:val="24"/>
        </w:rPr>
        <w:t xml:space="preserve"> </w:t>
      </w:r>
      <w:r w:rsidRPr="007F2874">
        <w:rPr>
          <w:szCs w:val="24"/>
        </w:rPr>
        <w:t>d</w:t>
      </w:r>
      <w:r w:rsidR="00AA3A41">
        <w:rPr>
          <w:szCs w:val="24"/>
        </w:rPr>
        <w:t>’</w:t>
      </w:r>
      <w:r w:rsidRPr="007F2874">
        <w:rPr>
          <w:szCs w:val="24"/>
        </w:rPr>
        <w:t>après les informations de référence citées par la Commission, le baptême de l</w:t>
      </w:r>
      <w:r w:rsidR="00AA3A41">
        <w:rPr>
          <w:szCs w:val="24"/>
        </w:rPr>
        <w:t>’</w:t>
      </w:r>
      <w:r w:rsidRPr="007F2874">
        <w:rPr>
          <w:szCs w:val="24"/>
        </w:rPr>
        <w:t>Église pentecôtiste se fait habituellement par immersion totale et, en tout état de cause, le candidat au baptême se voit verser de l</w:t>
      </w:r>
      <w:r w:rsidR="00AA3A41">
        <w:rPr>
          <w:szCs w:val="24"/>
        </w:rPr>
        <w:t>’</w:t>
      </w:r>
      <w:r w:rsidRPr="007F2874">
        <w:rPr>
          <w:szCs w:val="24"/>
        </w:rPr>
        <w:t>eau sur la tête à trois reprises pendant la cérémonie. À propos des craintes de l</w:t>
      </w:r>
      <w:r w:rsidR="00AA3A41">
        <w:rPr>
          <w:szCs w:val="24"/>
        </w:rPr>
        <w:t>’</w:t>
      </w:r>
      <w:r w:rsidRPr="007F2874">
        <w:rPr>
          <w:szCs w:val="24"/>
        </w:rPr>
        <w:t>auteur qui affirme qu</w:t>
      </w:r>
      <w:r w:rsidR="00AA3A41">
        <w:rPr>
          <w:szCs w:val="24"/>
        </w:rPr>
        <w:t>’</w:t>
      </w:r>
      <w:r w:rsidRPr="007F2874">
        <w:rPr>
          <w:szCs w:val="24"/>
        </w:rPr>
        <w:t>il sera arrêté et incarcéré à son retour en Érythrée parce qu</w:t>
      </w:r>
      <w:r w:rsidR="00AA3A41">
        <w:rPr>
          <w:szCs w:val="24"/>
        </w:rPr>
        <w:t>’</w:t>
      </w:r>
      <w:r w:rsidRPr="007F2874">
        <w:rPr>
          <w:szCs w:val="24"/>
        </w:rPr>
        <w:t>il ne peut présenter ni passeport ni tampon de sortie du territoire, l</w:t>
      </w:r>
      <w:r w:rsidR="00AA3A41">
        <w:rPr>
          <w:szCs w:val="24"/>
        </w:rPr>
        <w:t>’</w:t>
      </w:r>
      <w:r w:rsidRPr="007F2874">
        <w:rPr>
          <w:szCs w:val="24"/>
        </w:rPr>
        <w:t>État partie objecte qu</w:t>
      </w:r>
      <w:r w:rsidR="00AA3A41">
        <w:rPr>
          <w:szCs w:val="24"/>
        </w:rPr>
        <w:t>’</w:t>
      </w:r>
      <w:r w:rsidRPr="007F2874">
        <w:rPr>
          <w:szCs w:val="24"/>
        </w:rPr>
        <w:t>un départ illégal n</w:t>
      </w:r>
      <w:r w:rsidR="00AA3A41">
        <w:rPr>
          <w:szCs w:val="24"/>
        </w:rPr>
        <w:t>’</w:t>
      </w:r>
      <w:r w:rsidRPr="007F2874">
        <w:rPr>
          <w:szCs w:val="24"/>
        </w:rPr>
        <w:t>empêche pas un ressortissant érythréen d</w:t>
      </w:r>
      <w:r w:rsidR="00AA3A41">
        <w:rPr>
          <w:szCs w:val="24"/>
        </w:rPr>
        <w:t>’</w:t>
      </w:r>
      <w:r w:rsidRPr="007F2874">
        <w:rPr>
          <w:szCs w:val="24"/>
        </w:rPr>
        <w:t>obtenir un passeport auprès d</w:t>
      </w:r>
      <w:r w:rsidR="00AA3A41">
        <w:rPr>
          <w:szCs w:val="24"/>
        </w:rPr>
        <w:t>’</w:t>
      </w:r>
      <w:r w:rsidRPr="007F2874">
        <w:rPr>
          <w:szCs w:val="24"/>
        </w:rPr>
        <w:t>une ambassade érythréenne. Il considère que ces différents arguments factuels et de fond réfutent chacune des allégations faites par l</w:t>
      </w:r>
      <w:r w:rsidR="00AA3A41">
        <w:rPr>
          <w:szCs w:val="24"/>
        </w:rPr>
        <w:t>’</w:t>
      </w:r>
      <w:r w:rsidRPr="007F2874">
        <w:rPr>
          <w:szCs w:val="24"/>
        </w:rPr>
        <w:t>auteur à l</w:t>
      </w:r>
      <w:r w:rsidR="00AA3A41">
        <w:rPr>
          <w:szCs w:val="24"/>
        </w:rPr>
        <w:t>’</w:t>
      </w:r>
      <w:r w:rsidRPr="007F2874">
        <w:rPr>
          <w:szCs w:val="24"/>
        </w:rPr>
        <w:t>appui de son grief de violation de l</w:t>
      </w:r>
      <w:r w:rsidR="00AA3A41">
        <w:rPr>
          <w:szCs w:val="24"/>
        </w:rPr>
        <w:t>’</w:t>
      </w:r>
      <w:r w:rsidRPr="007F2874">
        <w:rPr>
          <w:szCs w:val="24"/>
        </w:rPr>
        <w:t>article</w:t>
      </w:r>
      <w:r>
        <w:rPr>
          <w:szCs w:val="24"/>
        </w:rPr>
        <w:t> </w:t>
      </w:r>
      <w:r w:rsidRPr="007F2874">
        <w:rPr>
          <w:szCs w:val="24"/>
        </w:rPr>
        <w:t>7 du Pacte</w:t>
      </w:r>
      <w:r w:rsidRPr="00F439F5">
        <w:rPr>
          <w:rStyle w:val="FootnoteReference"/>
        </w:rPr>
        <w:footnoteReference w:id="10"/>
      </w:r>
      <w:r w:rsidRPr="007F2874">
        <w:rPr>
          <w:szCs w:val="24"/>
        </w:rPr>
        <w:t>.</w:t>
      </w:r>
    </w:p>
    <w:p w:rsidR="00F439F5" w:rsidRPr="007F2874" w:rsidRDefault="00F439F5" w:rsidP="00584216">
      <w:pPr>
        <w:pStyle w:val="SingleTxtG"/>
        <w:keepLines/>
        <w:spacing w:after="100" w:line="236" w:lineRule="exact"/>
        <w:rPr>
          <w:szCs w:val="24"/>
        </w:rPr>
      </w:pPr>
      <w:r w:rsidRPr="007F2874">
        <w:rPr>
          <w:szCs w:val="24"/>
        </w:rPr>
        <w:t>4.2</w:t>
      </w:r>
      <w:r w:rsidRPr="007F2874">
        <w:rPr>
          <w:szCs w:val="24"/>
        </w:rPr>
        <w:tab/>
        <w:t>L</w:t>
      </w:r>
      <w:r w:rsidR="00AA3A41">
        <w:rPr>
          <w:szCs w:val="24"/>
        </w:rPr>
        <w:t>’</w:t>
      </w:r>
      <w:r w:rsidRPr="007F2874">
        <w:rPr>
          <w:szCs w:val="24"/>
        </w:rPr>
        <w:t>État partie juge également irrecevable le grief que l</w:t>
      </w:r>
      <w:r w:rsidR="00AA3A41">
        <w:rPr>
          <w:szCs w:val="24"/>
        </w:rPr>
        <w:t>’</w:t>
      </w:r>
      <w:r w:rsidRPr="007F2874">
        <w:rPr>
          <w:szCs w:val="24"/>
        </w:rPr>
        <w:t>auteur tire par implication de l</w:t>
      </w:r>
      <w:r w:rsidR="00AA3A41">
        <w:rPr>
          <w:szCs w:val="24"/>
        </w:rPr>
        <w:t>’</w:t>
      </w:r>
      <w:r w:rsidRPr="007F2874">
        <w:rPr>
          <w:szCs w:val="24"/>
        </w:rPr>
        <w:t>article</w:t>
      </w:r>
      <w:r>
        <w:rPr>
          <w:szCs w:val="24"/>
        </w:rPr>
        <w:t> </w:t>
      </w:r>
      <w:r w:rsidRPr="007F2874">
        <w:rPr>
          <w:szCs w:val="24"/>
        </w:rPr>
        <w:t>18 du Pacte (</w:t>
      </w:r>
      <w:r w:rsidRPr="007655E6">
        <w:t>concernant</w:t>
      </w:r>
      <w:r w:rsidRPr="007F2874">
        <w:rPr>
          <w:szCs w:val="24"/>
        </w:rPr>
        <w:t xml:space="preserve"> le droit à la liberté de religion). L</w:t>
      </w:r>
      <w:r w:rsidR="00AA3A41">
        <w:rPr>
          <w:szCs w:val="24"/>
        </w:rPr>
        <w:t>’</w:t>
      </w:r>
      <w:r w:rsidR="00CE3347">
        <w:rPr>
          <w:szCs w:val="24"/>
        </w:rPr>
        <w:t>article </w:t>
      </w:r>
      <w:r w:rsidRPr="007F2874">
        <w:rPr>
          <w:szCs w:val="24"/>
        </w:rPr>
        <w:t>18 n</w:t>
      </w:r>
      <w:r w:rsidR="00AA3A41">
        <w:rPr>
          <w:szCs w:val="24"/>
        </w:rPr>
        <w:t>’</w:t>
      </w:r>
      <w:r w:rsidRPr="007F2874">
        <w:rPr>
          <w:szCs w:val="24"/>
        </w:rPr>
        <w:t>est pas d</w:t>
      </w:r>
      <w:r w:rsidR="00AA3A41">
        <w:rPr>
          <w:szCs w:val="24"/>
        </w:rPr>
        <w:t>’</w:t>
      </w:r>
      <w:r w:rsidRPr="007F2874">
        <w:rPr>
          <w:szCs w:val="24"/>
        </w:rPr>
        <w:t>application extraterritoriale et n</w:t>
      </w:r>
      <w:r w:rsidR="00AA3A41">
        <w:rPr>
          <w:szCs w:val="24"/>
        </w:rPr>
        <w:t>’</w:t>
      </w:r>
      <w:r w:rsidRPr="007F2874">
        <w:rPr>
          <w:szCs w:val="24"/>
        </w:rPr>
        <w:t>empêche pas un État de renvoyer une personne vers un autre État où existe un risque de violation de l</w:t>
      </w:r>
      <w:r w:rsidR="00AA3A41">
        <w:rPr>
          <w:szCs w:val="24"/>
        </w:rPr>
        <w:t>’</w:t>
      </w:r>
      <w:r w:rsidRPr="007F2874">
        <w:rPr>
          <w:szCs w:val="24"/>
        </w:rPr>
        <w:t>article</w:t>
      </w:r>
      <w:r>
        <w:rPr>
          <w:szCs w:val="24"/>
        </w:rPr>
        <w:t> </w:t>
      </w:r>
      <w:r w:rsidRPr="007F2874">
        <w:rPr>
          <w:szCs w:val="24"/>
        </w:rPr>
        <w:t>18. Un droit à l</w:t>
      </w:r>
      <w:r w:rsidR="00AA3A41">
        <w:rPr>
          <w:szCs w:val="24"/>
        </w:rPr>
        <w:t>’</w:t>
      </w:r>
      <w:r w:rsidRPr="007F2874">
        <w:rPr>
          <w:szCs w:val="24"/>
        </w:rPr>
        <w:t>objection de conscience n</w:t>
      </w:r>
      <w:r w:rsidR="00AA3A41">
        <w:rPr>
          <w:szCs w:val="24"/>
        </w:rPr>
        <w:t>’</w:t>
      </w:r>
      <w:r w:rsidRPr="007F2874">
        <w:rPr>
          <w:szCs w:val="24"/>
        </w:rPr>
        <w:t>est pas explicitement prévu dans le Pacte, mais pourrait être déduit de l</w:t>
      </w:r>
      <w:r w:rsidR="00AA3A41">
        <w:rPr>
          <w:szCs w:val="24"/>
        </w:rPr>
        <w:t>’</w:t>
      </w:r>
      <w:r w:rsidRPr="007F2874">
        <w:rPr>
          <w:szCs w:val="24"/>
        </w:rPr>
        <w:t>article</w:t>
      </w:r>
      <w:r>
        <w:rPr>
          <w:szCs w:val="24"/>
        </w:rPr>
        <w:t> </w:t>
      </w:r>
      <w:r w:rsidRPr="007F2874">
        <w:rPr>
          <w:szCs w:val="24"/>
        </w:rPr>
        <w:t>18</w:t>
      </w:r>
      <w:r w:rsidRPr="00F439F5">
        <w:rPr>
          <w:rStyle w:val="FootnoteReference"/>
        </w:rPr>
        <w:footnoteReference w:id="11"/>
      </w:r>
      <w:r w:rsidRPr="007F2874">
        <w:rPr>
          <w:szCs w:val="24"/>
        </w:rPr>
        <w:t>. Cependant, l</w:t>
      </w:r>
      <w:r w:rsidR="00AA3A41">
        <w:rPr>
          <w:szCs w:val="24"/>
        </w:rPr>
        <w:t>’</w:t>
      </w:r>
      <w:r w:rsidRPr="007F2874">
        <w:rPr>
          <w:szCs w:val="24"/>
        </w:rPr>
        <w:t>auteur n</w:t>
      </w:r>
      <w:r w:rsidR="00AA3A41">
        <w:rPr>
          <w:szCs w:val="24"/>
        </w:rPr>
        <w:t>’</w:t>
      </w:r>
      <w:r w:rsidRPr="007F2874">
        <w:rPr>
          <w:szCs w:val="24"/>
        </w:rPr>
        <w:t>a pas démontré qu</w:t>
      </w:r>
      <w:r w:rsidR="00AA3A41">
        <w:rPr>
          <w:szCs w:val="24"/>
        </w:rPr>
        <w:t>’</w:t>
      </w:r>
      <w:r w:rsidRPr="007F2874">
        <w:rPr>
          <w:szCs w:val="24"/>
        </w:rPr>
        <w:t>à son retour en Érythrée il serait exposé au risque qu</w:t>
      </w:r>
      <w:r w:rsidR="00AA3A41">
        <w:rPr>
          <w:szCs w:val="24"/>
        </w:rPr>
        <w:t>’</w:t>
      </w:r>
      <w:r w:rsidRPr="007F2874">
        <w:rPr>
          <w:szCs w:val="24"/>
        </w:rPr>
        <w:t>il invoque, et il semble que son adhésion aux préceptes de l</w:t>
      </w:r>
      <w:r w:rsidR="00AA3A41">
        <w:rPr>
          <w:szCs w:val="24"/>
        </w:rPr>
        <w:t>’</w:t>
      </w:r>
      <w:r w:rsidRPr="007F2874">
        <w:rPr>
          <w:szCs w:val="24"/>
        </w:rPr>
        <w:t>Église pentecôtiste soit limitée, de même que sa participation aux activités du mouvement.</w:t>
      </w:r>
    </w:p>
    <w:p w:rsidR="00F439F5" w:rsidRPr="007F2874" w:rsidRDefault="00F439F5" w:rsidP="00584216">
      <w:pPr>
        <w:pStyle w:val="SingleTxtG"/>
        <w:spacing w:after="100" w:line="236" w:lineRule="exact"/>
        <w:rPr>
          <w:szCs w:val="24"/>
        </w:rPr>
      </w:pPr>
      <w:r w:rsidRPr="007F2874">
        <w:rPr>
          <w:szCs w:val="24"/>
        </w:rPr>
        <w:t>4.3</w:t>
      </w:r>
      <w:r w:rsidRPr="007F2874">
        <w:rPr>
          <w:szCs w:val="24"/>
        </w:rPr>
        <w:tab/>
      </w:r>
      <w:r w:rsidRPr="007655E6">
        <w:t>Subsidiairement</w:t>
      </w:r>
      <w:r w:rsidRPr="007F2874">
        <w:rPr>
          <w:szCs w:val="24"/>
        </w:rPr>
        <w:t>, l</w:t>
      </w:r>
      <w:r w:rsidR="00AA3A41">
        <w:rPr>
          <w:szCs w:val="24"/>
        </w:rPr>
        <w:t>’</w:t>
      </w:r>
      <w:r w:rsidRPr="007F2874">
        <w:rPr>
          <w:szCs w:val="24"/>
        </w:rPr>
        <w:t>État partie considère que sur le fond les mêmes arguments empêchent de conclure que l</w:t>
      </w:r>
      <w:r w:rsidR="00AA3A41">
        <w:rPr>
          <w:szCs w:val="24"/>
        </w:rPr>
        <w:t>’</w:t>
      </w:r>
      <w:r w:rsidRPr="007F2874">
        <w:rPr>
          <w:szCs w:val="24"/>
        </w:rPr>
        <w:t>expulsion de l</w:t>
      </w:r>
      <w:r w:rsidR="00AA3A41">
        <w:rPr>
          <w:szCs w:val="24"/>
        </w:rPr>
        <w:t>’</w:t>
      </w:r>
      <w:r w:rsidRPr="007F2874">
        <w:rPr>
          <w:szCs w:val="24"/>
        </w:rPr>
        <w:t>auteur emporterait une violation des articles</w:t>
      </w:r>
      <w:r>
        <w:rPr>
          <w:szCs w:val="24"/>
        </w:rPr>
        <w:t> </w:t>
      </w:r>
      <w:r w:rsidRPr="007F2874">
        <w:rPr>
          <w:szCs w:val="24"/>
        </w:rPr>
        <w:t xml:space="preserve">7 ou 18 du </w:t>
      </w:r>
      <w:r>
        <w:rPr>
          <w:szCs w:val="24"/>
        </w:rPr>
        <w:t>Pacte</w:t>
      </w:r>
      <w:r w:rsidRPr="007F2874">
        <w:rPr>
          <w:szCs w:val="24"/>
        </w:rPr>
        <w:t>.</w:t>
      </w:r>
    </w:p>
    <w:p w:rsidR="00F439F5" w:rsidRPr="007F2874" w:rsidRDefault="00F439F5" w:rsidP="00F439F5">
      <w:pPr>
        <w:pStyle w:val="H23G"/>
      </w:pPr>
      <w:r>
        <w:tab/>
      </w:r>
      <w:r>
        <w:tab/>
      </w:r>
      <w:r w:rsidRPr="007F2874">
        <w:t>Commentaires de l</w:t>
      </w:r>
      <w:r w:rsidR="00AA3A41">
        <w:t>’</w:t>
      </w:r>
      <w:r w:rsidRPr="007F2874">
        <w:t>auteur sur les observations de l</w:t>
      </w:r>
      <w:r w:rsidR="00AA3A41">
        <w:t>’</w:t>
      </w:r>
      <w:r w:rsidRPr="007F2874">
        <w:t>État partie</w:t>
      </w:r>
    </w:p>
    <w:p w:rsidR="00F439F5" w:rsidRPr="007F2874" w:rsidRDefault="00F439F5" w:rsidP="00584216">
      <w:pPr>
        <w:pStyle w:val="SingleTxtG"/>
        <w:spacing w:after="100" w:line="236" w:lineRule="exact"/>
        <w:rPr>
          <w:szCs w:val="24"/>
        </w:rPr>
      </w:pPr>
      <w:r w:rsidRPr="007F2874">
        <w:rPr>
          <w:szCs w:val="24"/>
        </w:rPr>
        <w:t>5.1</w:t>
      </w:r>
      <w:r w:rsidRPr="007F2874">
        <w:rPr>
          <w:szCs w:val="24"/>
        </w:rPr>
        <w:tab/>
        <w:t>Dans une lettre en date du 1</w:t>
      </w:r>
      <w:r w:rsidRPr="007F2874">
        <w:rPr>
          <w:szCs w:val="24"/>
          <w:vertAlign w:val="superscript"/>
        </w:rPr>
        <w:t>er</w:t>
      </w:r>
      <w:r>
        <w:rPr>
          <w:szCs w:val="24"/>
        </w:rPr>
        <w:t> </w:t>
      </w:r>
      <w:r w:rsidRPr="007F2874">
        <w:rPr>
          <w:szCs w:val="24"/>
        </w:rPr>
        <w:t>septembre 2011, l</w:t>
      </w:r>
      <w:r w:rsidR="00AA3A41">
        <w:rPr>
          <w:szCs w:val="24"/>
        </w:rPr>
        <w:t>’</w:t>
      </w:r>
      <w:r w:rsidRPr="007F2874">
        <w:rPr>
          <w:szCs w:val="24"/>
        </w:rPr>
        <w:t>auteur a fait part de ses commentaires sur les observations de l</w:t>
      </w:r>
      <w:r w:rsidR="00AA3A41">
        <w:rPr>
          <w:szCs w:val="24"/>
        </w:rPr>
        <w:t>’</w:t>
      </w:r>
      <w:r w:rsidRPr="007F2874">
        <w:rPr>
          <w:szCs w:val="24"/>
        </w:rPr>
        <w:t xml:space="preserve">État </w:t>
      </w:r>
      <w:r w:rsidRPr="007655E6">
        <w:t>partie</w:t>
      </w:r>
      <w:r w:rsidRPr="007F2874">
        <w:rPr>
          <w:szCs w:val="24"/>
        </w:rPr>
        <w:t>. Il affirme que son expulsion serait contraire aux articles</w:t>
      </w:r>
      <w:r>
        <w:rPr>
          <w:szCs w:val="24"/>
        </w:rPr>
        <w:t> </w:t>
      </w:r>
      <w:r w:rsidRPr="007F2874">
        <w:rPr>
          <w:szCs w:val="24"/>
        </w:rPr>
        <w:t>7 et 18 du Pacte, et qu</w:t>
      </w:r>
      <w:r w:rsidR="00AA3A41">
        <w:rPr>
          <w:szCs w:val="24"/>
        </w:rPr>
        <w:t>’</w:t>
      </w:r>
      <w:r w:rsidRPr="007F2874">
        <w:rPr>
          <w:szCs w:val="24"/>
        </w:rPr>
        <w:t>il est fondé à craindre d</w:t>
      </w:r>
      <w:r w:rsidR="00AA3A41">
        <w:rPr>
          <w:szCs w:val="24"/>
        </w:rPr>
        <w:t>’</w:t>
      </w:r>
      <w:r w:rsidRPr="007F2874">
        <w:rPr>
          <w:szCs w:val="24"/>
        </w:rPr>
        <w:t>être persécuté à cause de ses croyances religieuses et de convictions politiques supposées. Selon lui, l</w:t>
      </w:r>
      <w:r w:rsidR="00AA3A41">
        <w:rPr>
          <w:szCs w:val="24"/>
        </w:rPr>
        <w:t>’</w:t>
      </w:r>
      <w:r w:rsidRPr="007F2874">
        <w:rPr>
          <w:szCs w:val="24"/>
        </w:rPr>
        <w:t>Érythrée refuse de considérer l</w:t>
      </w:r>
      <w:r w:rsidR="00AA3A41">
        <w:rPr>
          <w:szCs w:val="24"/>
        </w:rPr>
        <w:t>’</w:t>
      </w:r>
      <w:r w:rsidRPr="007F2874">
        <w:rPr>
          <w:szCs w:val="24"/>
        </w:rPr>
        <w:t>insoumission au service militaire comme une forme de protestation politique, ce qui revient à persécuter les objecteurs pour leurs opinions politiques supposées. L</w:t>
      </w:r>
      <w:r w:rsidR="00AA3A41">
        <w:rPr>
          <w:szCs w:val="24"/>
        </w:rPr>
        <w:t>’</w:t>
      </w:r>
      <w:r w:rsidRPr="007F2874">
        <w:rPr>
          <w:szCs w:val="24"/>
        </w:rPr>
        <w:t xml:space="preserve">auteur estime également que la décision du Service </w:t>
      </w:r>
      <w:r>
        <w:rPr>
          <w:szCs w:val="24"/>
        </w:rPr>
        <w:t xml:space="preserve">danois </w:t>
      </w:r>
      <w:r w:rsidRPr="007F2874">
        <w:rPr>
          <w:szCs w:val="24"/>
        </w:rPr>
        <w:t>de l</w:t>
      </w:r>
      <w:r w:rsidR="00AA3A41">
        <w:rPr>
          <w:szCs w:val="24"/>
        </w:rPr>
        <w:t>’</w:t>
      </w:r>
      <w:r w:rsidRPr="007F2874">
        <w:rPr>
          <w:szCs w:val="24"/>
        </w:rPr>
        <w:t>immigration est viciée du fait qu</w:t>
      </w:r>
      <w:r w:rsidR="00AA3A41">
        <w:rPr>
          <w:szCs w:val="24"/>
        </w:rPr>
        <w:t>’</w:t>
      </w:r>
      <w:r w:rsidRPr="007F2874">
        <w:rPr>
          <w:szCs w:val="24"/>
        </w:rPr>
        <w:t>elle exclut qu</w:t>
      </w:r>
      <w:r w:rsidR="00AA3A41">
        <w:rPr>
          <w:szCs w:val="24"/>
        </w:rPr>
        <w:t>’</w:t>
      </w:r>
      <w:r w:rsidRPr="007F2874">
        <w:rPr>
          <w:szCs w:val="24"/>
        </w:rPr>
        <w:t>un individu puisse prétendre au statut de réfugié au motif que les autorités de son pays refusent de considérer comme légitimes les convictions religieuses qu</w:t>
      </w:r>
      <w:r w:rsidR="00AA3A41">
        <w:rPr>
          <w:szCs w:val="24"/>
        </w:rPr>
        <w:t>’</w:t>
      </w:r>
      <w:r w:rsidRPr="007F2874">
        <w:rPr>
          <w:szCs w:val="24"/>
        </w:rPr>
        <w:t>il invoque pour justifier son opposition au service militaire obligatoire</w:t>
      </w:r>
      <w:r w:rsidRPr="00F439F5">
        <w:rPr>
          <w:rStyle w:val="FootnoteReference"/>
        </w:rPr>
        <w:footnoteReference w:id="12"/>
      </w:r>
      <w:r w:rsidRPr="007F2874">
        <w:rPr>
          <w:szCs w:val="24"/>
        </w:rPr>
        <w:t>. Pour l</w:t>
      </w:r>
      <w:r w:rsidR="00AA3A41">
        <w:rPr>
          <w:szCs w:val="24"/>
        </w:rPr>
        <w:t>’</w:t>
      </w:r>
      <w:r w:rsidRPr="007F2874">
        <w:rPr>
          <w:szCs w:val="24"/>
        </w:rPr>
        <w:t>auteur, le Service de l</w:t>
      </w:r>
      <w:r w:rsidR="00AA3A41">
        <w:rPr>
          <w:szCs w:val="24"/>
        </w:rPr>
        <w:t>’</w:t>
      </w:r>
      <w:r w:rsidRPr="007F2874">
        <w:rPr>
          <w:szCs w:val="24"/>
        </w:rPr>
        <w:t xml:space="preserve">immigration a attaché à tort </w:t>
      </w:r>
      <w:r>
        <w:rPr>
          <w:szCs w:val="24"/>
        </w:rPr>
        <w:t>une grande importance au fait − incontesté −</w:t>
      </w:r>
      <w:r w:rsidRPr="007F2874">
        <w:rPr>
          <w:szCs w:val="24"/>
        </w:rPr>
        <w:t xml:space="preserve"> que son appartenance religieuse n</w:t>
      </w:r>
      <w:r w:rsidR="00AA3A41">
        <w:rPr>
          <w:szCs w:val="24"/>
        </w:rPr>
        <w:t>’</w:t>
      </w:r>
      <w:r w:rsidRPr="007F2874">
        <w:rPr>
          <w:szCs w:val="24"/>
        </w:rPr>
        <w:t>était connue de personne en Érythrée. Il</w:t>
      </w:r>
      <w:r w:rsidR="00CE3347">
        <w:rPr>
          <w:szCs w:val="24"/>
        </w:rPr>
        <w:t xml:space="preserve"> </w:t>
      </w:r>
      <w:r w:rsidRPr="007F2874">
        <w:rPr>
          <w:szCs w:val="24"/>
        </w:rPr>
        <w:t>estime que le problème ne vient pas de là, mais plutôt du risque qu</w:t>
      </w:r>
      <w:r w:rsidR="00AA3A41">
        <w:rPr>
          <w:szCs w:val="24"/>
        </w:rPr>
        <w:t>’</w:t>
      </w:r>
      <w:r w:rsidRPr="007F2874">
        <w:rPr>
          <w:szCs w:val="24"/>
        </w:rPr>
        <w:t>il court personnellement s</w:t>
      </w:r>
      <w:r w:rsidR="00AA3A41">
        <w:rPr>
          <w:szCs w:val="24"/>
        </w:rPr>
        <w:t>’</w:t>
      </w:r>
      <w:r w:rsidRPr="007F2874">
        <w:rPr>
          <w:szCs w:val="24"/>
        </w:rPr>
        <w:t>il est interrogé par les autorités érythréennes à l</w:t>
      </w:r>
      <w:r w:rsidR="00AA3A41">
        <w:rPr>
          <w:szCs w:val="24"/>
        </w:rPr>
        <w:t>’</w:t>
      </w:r>
      <w:r w:rsidRPr="007F2874">
        <w:rPr>
          <w:szCs w:val="24"/>
        </w:rPr>
        <w:t>aéroport. C</w:t>
      </w:r>
      <w:r w:rsidR="00AA3A41">
        <w:rPr>
          <w:szCs w:val="24"/>
        </w:rPr>
        <w:t>’</w:t>
      </w:r>
      <w:r w:rsidRPr="007F2874">
        <w:rPr>
          <w:szCs w:val="24"/>
        </w:rPr>
        <w:t>est à ce moment, selon lui, que celles-ci apprendront son appartenance religieuse. Il sera identifié comme demandeur d</w:t>
      </w:r>
      <w:r w:rsidR="00AA3A41">
        <w:rPr>
          <w:szCs w:val="24"/>
        </w:rPr>
        <w:t>’</w:t>
      </w:r>
      <w:r w:rsidRPr="007F2874">
        <w:rPr>
          <w:szCs w:val="24"/>
        </w:rPr>
        <w:t>asile puisqu</w:t>
      </w:r>
      <w:r w:rsidR="00AA3A41">
        <w:rPr>
          <w:szCs w:val="24"/>
        </w:rPr>
        <w:t>’</w:t>
      </w:r>
      <w:r w:rsidRPr="007F2874">
        <w:rPr>
          <w:szCs w:val="24"/>
        </w:rPr>
        <w:t>il sera escorté par la police danoise. L</w:t>
      </w:r>
      <w:r w:rsidR="00AA3A41">
        <w:rPr>
          <w:szCs w:val="24"/>
        </w:rPr>
        <w:t>’</w:t>
      </w:r>
      <w:r w:rsidRPr="007F2874">
        <w:rPr>
          <w:szCs w:val="24"/>
        </w:rPr>
        <w:t>auteur ajoute qu</w:t>
      </w:r>
      <w:r w:rsidR="00AA3A41">
        <w:rPr>
          <w:szCs w:val="24"/>
        </w:rPr>
        <w:t>’</w:t>
      </w:r>
      <w:r w:rsidRPr="007F2874">
        <w:rPr>
          <w:szCs w:val="24"/>
        </w:rPr>
        <w:t>en voyant qu</w:t>
      </w:r>
      <w:r w:rsidR="00AA3A41">
        <w:rPr>
          <w:szCs w:val="24"/>
        </w:rPr>
        <w:t>’</w:t>
      </w:r>
      <w:r w:rsidRPr="007F2874">
        <w:rPr>
          <w:szCs w:val="24"/>
        </w:rPr>
        <w:t>il ne possède aucune autorisation de sortie du territoire érythréen, les</w:t>
      </w:r>
      <w:r w:rsidR="00CE3347">
        <w:rPr>
          <w:szCs w:val="24"/>
        </w:rPr>
        <w:t xml:space="preserve"> </w:t>
      </w:r>
      <w:r w:rsidRPr="007F2874">
        <w:rPr>
          <w:szCs w:val="24"/>
        </w:rPr>
        <w:t>autorités comprendront qu</w:t>
      </w:r>
      <w:r w:rsidR="00AA3A41">
        <w:rPr>
          <w:szCs w:val="24"/>
        </w:rPr>
        <w:t>’</w:t>
      </w:r>
      <w:r w:rsidRPr="007F2874">
        <w:rPr>
          <w:szCs w:val="24"/>
        </w:rPr>
        <w:t>il n</w:t>
      </w:r>
      <w:r w:rsidR="00AA3A41">
        <w:rPr>
          <w:szCs w:val="24"/>
        </w:rPr>
        <w:t>’</w:t>
      </w:r>
      <w:r w:rsidRPr="007F2874">
        <w:rPr>
          <w:szCs w:val="24"/>
        </w:rPr>
        <w:t>a pas fait son service militaire, puisque ce</w:t>
      </w:r>
      <w:r>
        <w:rPr>
          <w:szCs w:val="24"/>
        </w:rPr>
        <w:t>s</w:t>
      </w:r>
      <w:r w:rsidRPr="007F2874">
        <w:rPr>
          <w:szCs w:val="24"/>
        </w:rPr>
        <w:t xml:space="preserve"> autorisation</w:t>
      </w:r>
      <w:r>
        <w:rPr>
          <w:szCs w:val="24"/>
        </w:rPr>
        <w:t>s</w:t>
      </w:r>
      <w:r w:rsidRPr="007F2874">
        <w:rPr>
          <w:szCs w:val="24"/>
        </w:rPr>
        <w:t xml:space="preserve"> vise</w:t>
      </w:r>
      <w:r>
        <w:rPr>
          <w:szCs w:val="24"/>
        </w:rPr>
        <w:t>nt</w:t>
      </w:r>
      <w:r w:rsidRPr="007F2874">
        <w:rPr>
          <w:szCs w:val="24"/>
        </w:rPr>
        <w:t xml:space="preserve"> précisément à empêcher le départ des personnes qui ne se sont pas acquittées de leurs obligations militaires. Il fait valoir que la Commission de recours des réfugiés a bien reconnu qu</w:t>
      </w:r>
      <w:r w:rsidR="00AA3A41">
        <w:rPr>
          <w:szCs w:val="24"/>
        </w:rPr>
        <w:t>’</w:t>
      </w:r>
      <w:r w:rsidRPr="007F2874">
        <w:rPr>
          <w:szCs w:val="24"/>
        </w:rPr>
        <w:t>il risquait d</w:t>
      </w:r>
      <w:r w:rsidR="00AA3A41">
        <w:rPr>
          <w:szCs w:val="24"/>
        </w:rPr>
        <w:t>’</w:t>
      </w:r>
      <w:r w:rsidRPr="007F2874">
        <w:rPr>
          <w:szCs w:val="24"/>
        </w:rPr>
        <w:t>être contraint à la conscription en Érythrée</w:t>
      </w:r>
      <w:r w:rsidRPr="00F439F5">
        <w:rPr>
          <w:rStyle w:val="FootnoteReference"/>
        </w:rPr>
        <w:footnoteReference w:id="13"/>
      </w:r>
      <w:r w:rsidRPr="007F2874">
        <w:rPr>
          <w:szCs w:val="24"/>
        </w:rPr>
        <w:t>. À son avis, elle a eu tort de conclure que la conscription forcée n</w:t>
      </w:r>
      <w:r w:rsidR="00AA3A41">
        <w:rPr>
          <w:szCs w:val="24"/>
        </w:rPr>
        <w:t>’</w:t>
      </w:r>
      <w:r w:rsidRPr="007F2874">
        <w:rPr>
          <w:szCs w:val="24"/>
        </w:rPr>
        <w:t>était pas un motif d</w:t>
      </w:r>
      <w:r w:rsidR="00AA3A41">
        <w:rPr>
          <w:szCs w:val="24"/>
        </w:rPr>
        <w:t>’</w:t>
      </w:r>
      <w:r w:rsidRPr="007F2874">
        <w:rPr>
          <w:szCs w:val="24"/>
        </w:rPr>
        <w:t>asile, indépendamment de l</w:t>
      </w:r>
      <w:r w:rsidR="00AA3A41">
        <w:rPr>
          <w:szCs w:val="24"/>
        </w:rPr>
        <w:t>’</w:t>
      </w:r>
      <w:r w:rsidRPr="007F2874">
        <w:rPr>
          <w:szCs w:val="24"/>
        </w:rPr>
        <w:t>appartenance religieuse de l</w:t>
      </w:r>
      <w:r w:rsidR="00AA3A41">
        <w:rPr>
          <w:szCs w:val="24"/>
        </w:rPr>
        <w:t>’</w:t>
      </w:r>
      <w:r w:rsidRPr="007F2874">
        <w:rPr>
          <w:szCs w:val="24"/>
        </w:rPr>
        <w:t>intéressé. L</w:t>
      </w:r>
      <w:r w:rsidR="00AA3A41">
        <w:rPr>
          <w:szCs w:val="24"/>
        </w:rPr>
        <w:t>’</w:t>
      </w:r>
      <w:r w:rsidRPr="007F2874">
        <w:rPr>
          <w:szCs w:val="24"/>
        </w:rPr>
        <w:t>auteur conteste aussi que les dispositions du Pacte soient toujours prises en considération, comme l</w:t>
      </w:r>
      <w:r w:rsidR="00AA3A41">
        <w:rPr>
          <w:szCs w:val="24"/>
        </w:rPr>
        <w:t>’</w:t>
      </w:r>
      <w:r w:rsidRPr="007F2874">
        <w:rPr>
          <w:szCs w:val="24"/>
        </w:rPr>
        <w:t>affirme l</w:t>
      </w:r>
      <w:r w:rsidR="00AA3A41">
        <w:rPr>
          <w:szCs w:val="24"/>
        </w:rPr>
        <w:t>’</w:t>
      </w:r>
      <w:r w:rsidRPr="007F2874">
        <w:rPr>
          <w:szCs w:val="24"/>
        </w:rPr>
        <w:t>État partie, et fait valoir à cet égard que la Commission de recours n</w:t>
      </w:r>
      <w:r w:rsidR="00AA3A41">
        <w:rPr>
          <w:szCs w:val="24"/>
        </w:rPr>
        <w:t>’</w:t>
      </w:r>
      <w:r w:rsidRPr="007F2874">
        <w:rPr>
          <w:szCs w:val="24"/>
        </w:rPr>
        <w:t>a pas jugé opportun d</w:t>
      </w:r>
      <w:r w:rsidR="00AA3A41">
        <w:rPr>
          <w:szCs w:val="24"/>
        </w:rPr>
        <w:t>’</w:t>
      </w:r>
      <w:r w:rsidRPr="007F2874">
        <w:rPr>
          <w:szCs w:val="24"/>
        </w:rPr>
        <w:t>appliquer l</w:t>
      </w:r>
      <w:r w:rsidR="00AA3A41">
        <w:rPr>
          <w:szCs w:val="24"/>
        </w:rPr>
        <w:t>’</w:t>
      </w:r>
      <w:r w:rsidRPr="007F2874">
        <w:rPr>
          <w:szCs w:val="24"/>
        </w:rPr>
        <w:t>article</w:t>
      </w:r>
      <w:r>
        <w:rPr>
          <w:szCs w:val="24"/>
        </w:rPr>
        <w:t> </w:t>
      </w:r>
      <w:r w:rsidRPr="007F2874">
        <w:rPr>
          <w:szCs w:val="24"/>
        </w:rPr>
        <w:t>18.</w:t>
      </w:r>
    </w:p>
    <w:p w:rsidR="00F439F5" w:rsidRPr="007F2874" w:rsidRDefault="00F439F5" w:rsidP="007655E6">
      <w:pPr>
        <w:pStyle w:val="SingleTxtG"/>
        <w:rPr>
          <w:szCs w:val="24"/>
        </w:rPr>
      </w:pPr>
      <w:r w:rsidRPr="007F2874">
        <w:rPr>
          <w:szCs w:val="24"/>
        </w:rPr>
        <w:t>5.2</w:t>
      </w:r>
      <w:r w:rsidRPr="007F2874">
        <w:rPr>
          <w:szCs w:val="24"/>
        </w:rPr>
        <w:tab/>
      </w:r>
      <w:r w:rsidRPr="007655E6">
        <w:t>L</w:t>
      </w:r>
      <w:r w:rsidR="00AA3A41">
        <w:t>’</w:t>
      </w:r>
      <w:r w:rsidRPr="007655E6">
        <w:t>auteur</w:t>
      </w:r>
      <w:r w:rsidRPr="007F2874">
        <w:rPr>
          <w:szCs w:val="24"/>
        </w:rPr>
        <w:t xml:space="preserve"> estime </w:t>
      </w:r>
      <w:r>
        <w:rPr>
          <w:szCs w:val="24"/>
        </w:rPr>
        <w:t>aussi</w:t>
      </w:r>
      <w:r w:rsidRPr="007F2874">
        <w:rPr>
          <w:szCs w:val="24"/>
        </w:rPr>
        <w:t xml:space="preserve"> que l</w:t>
      </w:r>
      <w:r w:rsidR="00AA3A41">
        <w:rPr>
          <w:szCs w:val="24"/>
        </w:rPr>
        <w:t>’</w:t>
      </w:r>
      <w:r w:rsidRPr="007F2874">
        <w:rPr>
          <w:szCs w:val="24"/>
        </w:rPr>
        <w:t>État partie l</w:t>
      </w:r>
      <w:r w:rsidR="00AA3A41">
        <w:rPr>
          <w:szCs w:val="24"/>
        </w:rPr>
        <w:t>’</w:t>
      </w:r>
      <w:r w:rsidRPr="007F2874">
        <w:rPr>
          <w:szCs w:val="24"/>
        </w:rPr>
        <w:t>a privé du droit à un proc</w:t>
      </w:r>
      <w:r>
        <w:rPr>
          <w:szCs w:val="24"/>
        </w:rPr>
        <w:t>è</w:t>
      </w:r>
      <w:r w:rsidRPr="007F2874">
        <w:rPr>
          <w:szCs w:val="24"/>
        </w:rPr>
        <w:t>s équitable. Il</w:t>
      </w:r>
      <w:r w:rsidR="00CE3347">
        <w:rPr>
          <w:szCs w:val="24"/>
        </w:rPr>
        <w:t xml:space="preserve"> </w:t>
      </w:r>
      <w:r w:rsidRPr="007F2874">
        <w:rPr>
          <w:szCs w:val="24"/>
        </w:rPr>
        <w:t>considère que la Commission de recours a outrepassé son mandat en procédant à une appréciation de sa crédibilité et des faits, au lieu d</w:t>
      </w:r>
      <w:r w:rsidR="00AA3A41">
        <w:rPr>
          <w:szCs w:val="24"/>
        </w:rPr>
        <w:t>’</w:t>
      </w:r>
      <w:r w:rsidRPr="007F2874">
        <w:rPr>
          <w:szCs w:val="24"/>
        </w:rPr>
        <w:t>examiner le bien-fondé de la décision rendue par le Service de l</w:t>
      </w:r>
      <w:r w:rsidR="00AA3A41">
        <w:rPr>
          <w:szCs w:val="24"/>
        </w:rPr>
        <w:t>’</w:t>
      </w:r>
      <w:r w:rsidRPr="007F2874">
        <w:rPr>
          <w:szCs w:val="24"/>
        </w:rPr>
        <w:t>immigration</w:t>
      </w:r>
      <w:r w:rsidRPr="00F439F5">
        <w:rPr>
          <w:rStyle w:val="FootnoteReference"/>
        </w:rPr>
        <w:footnoteReference w:id="14"/>
      </w:r>
      <w:r w:rsidRPr="007F2874">
        <w:rPr>
          <w:szCs w:val="24"/>
        </w:rPr>
        <w:t>. Il</w:t>
      </w:r>
      <w:r w:rsidR="00CE3347">
        <w:rPr>
          <w:szCs w:val="24"/>
        </w:rPr>
        <w:t xml:space="preserve"> </w:t>
      </w:r>
      <w:r w:rsidRPr="007F2874">
        <w:rPr>
          <w:szCs w:val="24"/>
        </w:rPr>
        <w:t>souligne également que, n</w:t>
      </w:r>
      <w:r w:rsidR="00AA3A41">
        <w:rPr>
          <w:szCs w:val="24"/>
        </w:rPr>
        <w:t>’</w:t>
      </w:r>
      <w:r w:rsidRPr="007F2874">
        <w:rPr>
          <w:szCs w:val="24"/>
        </w:rPr>
        <w:t>ayant jamais vécu en Érythrée, il n</w:t>
      </w:r>
      <w:r w:rsidR="00AA3A41">
        <w:rPr>
          <w:szCs w:val="24"/>
        </w:rPr>
        <w:t>’</w:t>
      </w:r>
      <w:r w:rsidRPr="007F2874">
        <w:rPr>
          <w:szCs w:val="24"/>
        </w:rPr>
        <w:t>y a évidemment jamais été persécuté par le passé, mais que ce fait ne saurait être jugé déterminant pour apprécier s</w:t>
      </w:r>
      <w:r w:rsidR="00AA3A41">
        <w:rPr>
          <w:szCs w:val="24"/>
        </w:rPr>
        <w:t>’</w:t>
      </w:r>
      <w:r w:rsidRPr="007F2874">
        <w:rPr>
          <w:szCs w:val="24"/>
        </w:rPr>
        <w:t>il risque d</w:t>
      </w:r>
      <w:r w:rsidR="00AA3A41">
        <w:rPr>
          <w:szCs w:val="24"/>
        </w:rPr>
        <w:t>’</w:t>
      </w:r>
      <w:r w:rsidRPr="007F2874">
        <w:rPr>
          <w:szCs w:val="24"/>
        </w:rPr>
        <w:t>y être persécuté à l</w:t>
      </w:r>
      <w:r w:rsidR="00AA3A41">
        <w:rPr>
          <w:szCs w:val="24"/>
        </w:rPr>
        <w:t>’</w:t>
      </w:r>
      <w:r w:rsidRPr="007F2874">
        <w:rPr>
          <w:szCs w:val="24"/>
        </w:rPr>
        <w:t>avenir. L</w:t>
      </w:r>
      <w:r w:rsidR="00AA3A41">
        <w:rPr>
          <w:szCs w:val="24"/>
        </w:rPr>
        <w:t>’</w:t>
      </w:r>
      <w:r w:rsidRPr="007F2874">
        <w:rPr>
          <w:szCs w:val="24"/>
        </w:rPr>
        <w:t>auteur affirme aussi que l</w:t>
      </w:r>
      <w:r w:rsidR="00AA3A41">
        <w:rPr>
          <w:szCs w:val="24"/>
        </w:rPr>
        <w:t>’</w:t>
      </w:r>
      <w:r w:rsidRPr="007F2874">
        <w:rPr>
          <w:szCs w:val="24"/>
        </w:rPr>
        <w:t>État partie dénature la décision de la Commission de recours dans ses observations. Selon lui, par exemple, l</w:t>
      </w:r>
      <w:r w:rsidR="00AA3A41">
        <w:rPr>
          <w:szCs w:val="24"/>
        </w:rPr>
        <w:t>’</w:t>
      </w:r>
      <w:r w:rsidRPr="007F2874">
        <w:rPr>
          <w:szCs w:val="24"/>
        </w:rPr>
        <w:t>État partie qualifie son adhésion aux préceptes de l</w:t>
      </w:r>
      <w:r w:rsidR="00AA3A41">
        <w:rPr>
          <w:szCs w:val="24"/>
        </w:rPr>
        <w:t>’</w:t>
      </w:r>
      <w:r w:rsidRPr="007F2874">
        <w:rPr>
          <w:szCs w:val="24"/>
        </w:rPr>
        <w:t>Église pentecôtiste d</w:t>
      </w:r>
      <w:r w:rsidR="00AA3A41">
        <w:rPr>
          <w:szCs w:val="24"/>
        </w:rPr>
        <w:t>’</w:t>
      </w:r>
      <w:r w:rsidRPr="007F2874">
        <w:rPr>
          <w:szCs w:val="24"/>
        </w:rPr>
        <w:t>«extrêmement limitée», alors que la Commission de recours l</w:t>
      </w:r>
      <w:r w:rsidR="00AA3A41">
        <w:rPr>
          <w:szCs w:val="24"/>
        </w:rPr>
        <w:t>’</w:t>
      </w:r>
      <w:r w:rsidRPr="007F2874">
        <w:rPr>
          <w:szCs w:val="24"/>
        </w:rPr>
        <w:t>a jugée simplement «limitée». En outre, contrairement à ce qu</w:t>
      </w:r>
      <w:r w:rsidR="00AA3A41">
        <w:rPr>
          <w:szCs w:val="24"/>
        </w:rPr>
        <w:t>’</w:t>
      </w:r>
      <w:r w:rsidRPr="007F2874">
        <w:rPr>
          <w:szCs w:val="24"/>
        </w:rPr>
        <w:t>affirme l</w:t>
      </w:r>
      <w:r w:rsidR="00AA3A41">
        <w:rPr>
          <w:szCs w:val="24"/>
        </w:rPr>
        <w:t>’</w:t>
      </w:r>
      <w:r w:rsidRPr="007F2874">
        <w:rPr>
          <w:szCs w:val="24"/>
        </w:rPr>
        <w:t>État partie, la Commission ne dit pas dans sa décision que le fait d</w:t>
      </w:r>
      <w:r w:rsidR="00AA3A41">
        <w:rPr>
          <w:szCs w:val="24"/>
        </w:rPr>
        <w:t>’</w:t>
      </w:r>
      <w:r w:rsidRPr="007F2874">
        <w:rPr>
          <w:szCs w:val="24"/>
        </w:rPr>
        <w:t>être parti illégalement d</w:t>
      </w:r>
      <w:r w:rsidR="00AA3A41">
        <w:rPr>
          <w:szCs w:val="24"/>
        </w:rPr>
        <w:t>’</w:t>
      </w:r>
      <w:r w:rsidRPr="007F2874">
        <w:rPr>
          <w:szCs w:val="24"/>
        </w:rPr>
        <w:t>Érythrée n</w:t>
      </w:r>
      <w:r w:rsidR="00AA3A41">
        <w:rPr>
          <w:szCs w:val="24"/>
        </w:rPr>
        <w:t>’</w:t>
      </w:r>
      <w:r w:rsidRPr="007F2874">
        <w:rPr>
          <w:szCs w:val="24"/>
        </w:rPr>
        <w:t>empêche pas un ressortissant érythréen d</w:t>
      </w:r>
      <w:r w:rsidR="00AA3A41">
        <w:rPr>
          <w:szCs w:val="24"/>
        </w:rPr>
        <w:t>’</w:t>
      </w:r>
      <w:r w:rsidRPr="007F2874">
        <w:rPr>
          <w:szCs w:val="24"/>
        </w:rPr>
        <w:t>obtenir un passeport. L</w:t>
      </w:r>
      <w:r w:rsidR="00AA3A41">
        <w:rPr>
          <w:szCs w:val="24"/>
        </w:rPr>
        <w:t>’</w:t>
      </w:r>
      <w:r w:rsidRPr="007F2874">
        <w:rPr>
          <w:szCs w:val="24"/>
        </w:rPr>
        <w:t>auteur affirme aussi que le Service de l</w:t>
      </w:r>
      <w:r w:rsidR="00AA3A41">
        <w:rPr>
          <w:szCs w:val="24"/>
        </w:rPr>
        <w:t>’</w:t>
      </w:r>
      <w:r w:rsidRPr="007F2874">
        <w:rPr>
          <w:szCs w:val="24"/>
        </w:rPr>
        <w:t>immigration ne lui a posé aucune question sur l</w:t>
      </w:r>
      <w:r w:rsidR="00AA3A41">
        <w:rPr>
          <w:szCs w:val="24"/>
        </w:rPr>
        <w:t>’</w:t>
      </w:r>
      <w:r w:rsidRPr="007F2874">
        <w:rPr>
          <w:szCs w:val="24"/>
        </w:rPr>
        <w:t>immersion baptismale, et que la Commission de recours, qui l</w:t>
      </w:r>
      <w:r w:rsidR="00AA3A41">
        <w:rPr>
          <w:szCs w:val="24"/>
        </w:rPr>
        <w:t>’</w:t>
      </w:r>
      <w:r w:rsidRPr="007F2874">
        <w:rPr>
          <w:szCs w:val="24"/>
        </w:rPr>
        <w:t>a interrogé de manière répétée sur le sujet, n</w:t>
      </w:r>
      <w:r w:rsidR="00AA3A41">
        <w:rPr>
          <w:szCs w:val="24"/>
        </w:rPr>
        <w:t>’</w:t>
      </w:r>
      <w:r w:rsidRPr="007F2874">
        <w:rPr>
          <w:szCs w:val="24"/>
        </w:rPr>
        <w:t>a fait aucune allusion aux sources selon lesquelles l</w:t>
      </w:r>
      <w:r w:rsidR="00AA3A41">
        <w:rPr>
          <w:szCs w:val="24"/>
        </w:rPr>
        <w:t>’</w:t>
      </w:r>
      <w:r w:rsidRPr="007F2874">
        <w:rPr>
          <w:szCs w:val="24"/>
        </w:rPr>
        <w:t xml:space="preserve">immersion serait une pratique universelle du baptême pentecôtiste. </w:t>
      </w:r>
      <w:r>
        <w:rPr>
          <w:szCs w:val="24"/>
        </w:rPr>
        <w:t>Il</w:t>
      </w:r>
      <w:r w:rsidRPr="007F2874">
        <w:rPr>
          <w:szCs w:val="24"/>
        </w:rPr>
        <w:t xml:space="preserve"> réaffirme qu</w:t>
      </w:r>
      <w:r w:rsidR="00AA3A41">
        <w:rPr>
          <w:szCs w:val="24"/>
        </w:rPr>
        <w:t>’</w:t>
      </w:r>
      <w:r w:rsidRPr="007F2874">
        <w:rPr>
          <w:szCs w:val="24"/>
        </w:rPr>
        <w:t>il a été baptisé sans immersion en Éthiopie. Il relève que l</w:t>
      </w:r>
      <w:r w:rsidR="00AA3A41">
        <w:rPr>
          <w:szCs w:val="24"/>
        </w:rPr>
        <w:t>’</w:t>
      </w:r>
      <w:r w:rsidRPr="007F2874">
        <w:rPr>
          <w:szCs w:val="24"/>
        </w:rPr>
        <w:t>État partie, bien qu</w:t>
      </w:r>
      <w:r w:rsidR="00AA3A41">
        <w:rPr>
          <w:szCs w:val="24"/>
        </w:rPr>
        <w:t>’</w:t>
      </w:r>
      <w:r w:rsidRPr="007F2874">
        <w:rPr>
          <w:szCs w:val="24"/>
        </w:rPr>
        <w:t>il se réfère au manuel du Haut-Commissariat pour les réfugiés comme «source du droit» pour ce qui concerne la persécution politique ou religieuse, ne cite pas les paragraphes les plus pertinents de ce manuel</w:t>
      </w:r>
      <w:r w:rsidRPr="00F439F5">
        <w:rPr>
          <w:rStyle w:val="FootnoteReference"/>
        </w:rPr>
        <w:footnoteReference w:id="15"/>
      </w:r>
      <w:r w:rsidRPr="007F2874">
        <w:rPr>
          <w:szCs w:val="24"/>
        </w:rPr>
        <w:t>. L</w:t>
      </w:r>
      <w:r w:rsidR="00AA3A41">
        <w:rPr>
          <w:szCs w:val="24"/>
        </w:rPr>
        <w:t>’</w:t>
      </w:r>
      <w:r w:rsidRPr="007F2874">
        <w:rPr>
          <w:szCs w:val="24"/>
        </w:rPr>
        <w:t>auteur estime aussi que l</w:t>
      </w:r>
      <w:r w:rsidR="00AA3A41">
        <w:rPr>
          <w:szCs w:val="24"/>
        </w:rPr>
        <w:t>’</w:t>
      </w:r>
      <w:r w:rsidRPr="007F2874">
        <w:rPr>
          <w:szCs w:val="24"/>
        </w:rPr>
        <w:t>État</w:t>
      </w:r>
      <w:r w:rsidR="00CE3347">
        <w:rPr>
          <w:szCs w:val="24"/>
        </w:rPr>
        <w:t> </w:t>
      </w:r>
      <w:r w:rsidRPr="007F2874">
        <w:rPr>
          <w:szCs w:val="24"/>
        </w:rPr>
        <w:t>partie n</w:t>
      </w:r>
      <w:r w:rsidR="00AA3A41">
        <w:rPr>
          <w:szCs w:val="24"/>
        </w:rPr>
        <w:t>’</w:t>
      </w:r>
      <w:r w:rsidRPr="007F2874">
        <w:rPr>
          <w:szCs w:val="24"/>
        </w:rPr>
        <w:t>invoque pas suffisamment de faits à l</w:t>
      </w:r>
      <w:r w:rsidR="00AA3A41">
        <w:rPr>
          <w:szCs w:val="24"/>
        </w:rPr>
        <w:t>’</w:t>
      </w:r>
      <w:r w:rsidRPr="007F2874">
        <w:rPr>
          <w:szCs w:val="24"/>
        </w:rPr>
        <w:t>appui de sa position</w:t>
      </w:r>
      <w:r w:rsidRPr="00F439F5">
        <w:rPr>
          <w:rStyle w:val="FootnoteReference"/>
        </w:rPr>
        <w:footnoteReference w:id="16"/>
      </w:r>
      <w:r w:rsidRPr="007F2874">
        <w:rPr>
          <w:szCs w:val="24"/>
        </w:rPr>
        <w:t>. Il soutient que sa communication est recevable s</w:t>
      </w:r>
      <w:r w:rsidR="00AA3A41">
        <w:rPr>
          <w:szCs w:val="24"/>
        </w:rPr>
        <w:t>’</w:t>
      </w:r>
      <w:r w:rsidRPr="007F2874">
        <w:rPr>
          <w:szCs w:val="24"/>
        </w:rPr>
        <w:t>agissant des griefs tirés des articles</w:t>
      </w:r>
      <w:r>
        <w:rPr>
          <w:szCs w:val="24"/>
        </w:rPr>
        <w:t> </w:t>
      </w:r>
      <w:r w:rsidRPr="007F2874">
        <w:rPr>
          <w:szCs w:val="24"/>
        </w:rPr>
        <w:t>7, 14 et 18 du Pacte.</w:t>
      </w:r>
    </w:p>
    <w:p w:rsidR="00F439F5" w:rsidRPr="007F2874" w:rsidRDefault="00F439F5" w:rsidP="00584216">
      <w:pPr>
        <w:pStyle w:val="H23G"/>
        <w:spacing w:before="220" w:after="100"/>
      </w:pPr>
      <w:r>
        <w:tab/>
      </w:r>
      <w:r>
        <w:tab/>
      </w:r>
      <w:r w:rsidRPr="007F2874">
        <w:t>Observations complémentaires de l</w:t>
      </w:r>
      <w:r w:rsidR="00AA3A41">
        <w:t>’</w:t>
      </w:r>
      <w:r w:rsidRPr="007F2874">
        <w:t>État partie sur la recevabilité et le fond</w:t>
      </w:r>
    </w:p>
    <w:p w:rsidR="00F439F5" w:rsidRPr="00584216" w:rsidRDefault="00F439F5" w:rsidP="00584216">
      <w:pPr>
        <w:pStyle w:val="SingleTxtG"/>
        <w:spacing w:after="100" w:line="232" w:lineRule="exact"/>
        <w:rPr>
          <w:spacing w:val="-2"/>
          <w:szCs w:val="24"/>
        </w:rPr>
      </w:pPr>
      <w:r w:rsidRPr="00584216">
        <w:rPr>
          <w:spacing w:val="-2"/>
          <w:szCs w:val="24"/>
        </w:rPr>
        <w:t>6.</w:t>
      </w:r>
      <w:r w:rsidRPr="00584216">
        <w:rPr>
          <w:spacing w:val="-2"/>
          <w:szCs w:val="24"/>
        </w:rPr>
        <w:tab/>
        <w:t>Dans des notes en date du 24 novembre 2011 et du 12 avril 2012, l</w:t>
      </w:r>
      <w:r w:rsidR="00AA3A41" w:rsidRPr="00584216">
        <w:rPr>
          <w:spacing w:val="-2"/>
          <w:szCs w:val="24"/>
        </w:rPr>
        <w:t>’</w:t>
      </w:r>
      <w:r w:rsidRPr="00584216">
        <w:rPr>
          <w:spacing w:val="-2"/>
          <w:szCs w:val="24"/>
        </w:rPr>
        <w:t>État partie a répondu aux commentaires de l</w:t>
      </w:r>
      <w:r w:rsidR="00AA3A41" w:rsidRPr="00584216">
        <w:rPr>
          <w:spacing w:val="-2"/>
          <w:szCs w:val="24"/>
        </w:rPr>
        <w:t>’</w:t>
      </w:r>
      <w:r w:rsidRPr="00584216">
        <w:rPr>
          <w:spacing w:val="-2"/>
          <w:szCs w:val="24"/>
        </w:rPr>
        <w:t>auteur et transmis de nouvelles observations de la</w:t>
      </w:r>
      <w:r w:rsidR="00CE3347" w:rsidRPr="00584216">
        <w:rPr>
          <w:spacing w:val="-2"/>
          <w:szCs w:val="24"/>
        </w:rPr>
        <w:t xml:space="preserve"> </w:t>
      </w:r>
      <w:r w:rsidRPr="00584216">
        <w:rPr>
          <w:spacing w:val="-2"/>
          <w:szCs w:val="24"/>
        </w:rPr>
        <w:t>Commission de recours des réfugiés. Celle-ci considère que les critiques formulées par l</w:t>
      </w:r>
      <w:r w:rsidR="00AA3A41" w:rsidRPr="00584216">
        <w:rPr>
          <w:spacing w:val="-2"/>
          <w:szCs w:val="24"/>
        </w:rPr>
        <w:t>’</w:t>
      </w:r>
      <w:r w:rsidRPr="00584216">
        <w:rPr>
          <w:spacing w:val="-2"/>
          <w:szCs w:val="24"/>
        </w:rPr>
        <w:t>auteur au sujet de l</w:t>
      </w:r>
      <w:r w:rsidR="00AA3A41" w:rsidRPr="00584216">
        <w:rPr>
          <w:spacing w:val="-2"/>
          <w:szCs w:val="24"/>
        </w:rPr>
        <w:t>’</w:t>
      </w:r>
      <w:r w:rsidRPr="00584216">
        <w:rPr>
          <w:spacing w:val="-2"/>
          <w:szCs w:val="24"/>
        </w:rPr>
        <w:t>audition le concernant sont totalement dénuées de fondement, étant donné que cette audition a été conduite de manière impartiale et que l</w:t>
      </w:r>
      <w:r w:rsidR="00AA3A41" w:rsidRPr="00584216">
        <w:rPr>
          <w:spacing w:val="-2"/>
          <w:szCs w:val="24"/>
        </w:rPr>
        <w:t>’</w:t>
      </w:r>
      <w:r w:rsidRPr="00584216">
        <w:rPr>
          <w:spacing w:val="-2"/>
          <w:szCs w:val="24"/>
        </w:rPr>
        <w:t>auteur a eu la possibilité de défendre sa cause. La Commission de recours était tenue de rendre une décision objective et juste et de faire apparaître les faits tels qu</w:t>
      </w:r>
      <w:r w:rsidR="00AA3A41" w:rsidRPr="00584216">
        <w:rPr>
          <w:spacing w:val="-2"/>
          <w:szCs w:val="24"/>
        </w:rPr>
        <w:t>’</w:t>
      </w:r>
      <w:r w:rsidRPr="00584216">
        <w:rPr>
          <w:spacing w:val="-2"/>
          <w:szCs w:val="24"/>
        </w:rPr>
        <w:t>ils sont. Même si elle ne s</w:t>
      </w:r>
      <w:r w:rsidR="00AA3A41" w:rsidRPr="00584216">
        <w:rPr>
          <w:spacing w:val="-2"/>
          <w:szCs w:val="24"/>
        </w:rPr>
        <w:t>’</w:t>
      </w:r>
      <w:r w:rsidRPr="00584216">
        <w:rPr>
          <w:spacing w:val="-2"/>
          <w:szCs w:val="24"/>
        </w:rPr>
        <w:t>est pas expressément référée au Pacte dans sa décision, elle tient compte des conventions internationales relatives aux droits de l</w:t>
      </w:r>
      <w:r w:rsidR="00AA3A41" w:rsidRPr="00584216">
        <w:rPr>
          <w:spacing w:val="-2"/>
          <w:szCs w:val="24"/>
        </w:rPr>
        <w:t>’</w:t>
      </w:r>
      <w:r w:rsidRPr="00584216">
        <w:rPr>
          <w:spacing w:val="-2"/>
          <w:szCs w:val="24"/>
        </w:rPr>
        <w:t>homme, qui sont un élément central de l</w:t>
      </w:r>
      <w:r w:rsidR="00AA3A41" w:rsidRPr="00584216">
        <w:rPr>
          <w:spacing w:val="-2"/>
          <w:szCs w:val="24"/>
        </w:rPr>
        <w:t>’</w:t>
      </w:r>
      <w:r w:rsidRPr="00584216">
        <w:rPr>
          <w:spacing w:val="-2"/>
          <w:szCs w:val="24"/>
        </w:rPr>
        <w:t>exécution de son mandat. Elle affirme qu</w:t>
      </w:r>
      <w:r w:rsidR="00AA3A41" w:rsidRPr="00584216">
        <w:rPr>
          <w:spacing w:val="-2"/>
          <w:szCs w:val="24"/>
        </w:rPr>
        <w:t>’</w:t>
      </w:r>
      <w:r w:rsidRPr="00584216">
        <w:rPr>
          <w:spacing w:val="-2"/>
          <w:szCs w:val="24"/>
        </w:rPr>
        <w:t>elle n</w:t>
      </w:r>
      <w:r w:rsidR="00AA3A41" w:rsidRPr="00584216">
        <w:rPr>
          <w:spacing w:val="-2"/>
          <w:szCs w:val="24"/>
        </w:rPr>
        <w:t>’</w:t>
      </w:r>
      <w:r w:rsidRPr="00584216">
        <w:rPr>
          <w:spacing w:val="-2"/>
          <w:szCs w:val="24"/>
        </w:rPr>
        <w:t>a pas insisté sur l</w:t>
      </w:r>
      <w:r w:rsidR="00AA3A41" w:rsidRPr="00584216">
        <w:rPr>
          <w:spacing w:val="-2"/>
          <w:szCs w:val="24"/>
        </w:rPr>
        <w:t>’</w:t>
      </w:r>
      <w:r w:rsidRPr="00584216">
        <w:rPr>
          <w:spacing w:val="-2"/>
          <w:szCs w:val="24"/>
        </w:rPr>
        <w:t>appartenance religieuse de l</w:t>
      </w:r>
      <w:r w:rsidR="00AA3A41" w:rsidRPr="00584216">
        <w:rPr>
          <w:spacing w:val="-2"/>
          <w:szCs w:val="24"/>
        </w:rPr>
        <w:t>’</w:t>
      </w:r>
      <w:r w:rsidRPr="00584216">
        <w:rPr>
          <w:spacing w:val="-2"/>
          <w:szCs w:val="24"/>
        </w:rPr>
        <w:t>auteur pour décrédibiliser le témoignage de ce dernier. Elle ajoute qu</w:t>
      </w:r>
      <w:r w:rsidR="00AA3A41" w:rsidRPr="00584216">
        <w:rPr>
          <w:spacing w:val="-2"/>
          <w:szCs w:val="24"/>
        </w:rPr>
        <w:t>’</w:t>
      </w:r>
      <w:r w:rsidRPr="00584216">
        <w:rPr>
          <w:spacing w:val="-2"/>
          <w:szCs w:val="24"/>
        </w:rPr>
        <w:t>elle n</w:t>
      </w:r>
      <w:r w:rsidR="00AA3A41" w:rsidRPr="00584216">
        <w:rPr>
          <w:spacing w:val="-2"/>
          <w:szCs w:val="24"/>
        </w:rPr>
        <w:t>’</w:t>
      </w:r>
      <w:r w:rsidRPr="00584216">
        <w:rPr>
          <w:spacing w:val="-2"/>
          <w:szCs w:val="24"/>
        </w:rPr>
        <w:t>est pas tenue à des règles particulières en matière d</w:t>
      </w:r>
      <w:r w:rsidR="00AA3A41" w:rsidRPr="00584216">
        <w:rPr>
          <w:spacing w:val="-2"/>
          <w:szCs w:val="24"/>
        </w:rPr>
        <w:t>’</w:t>
      </w:r>
      <w:r w:rsidRPr="00584216">
        <w:rPr>
          <w:spacing w:val="-2"/>
          <w:szCs w:val="24"/>
        </w:rPr>
        <w:t>administration de la preuve et n</w:t>
      </w:r>
      <w:r w:rsidR="00AA3A41" w:rsidRPr="00584216">
        <w:rPr>
          <w:spacing w:val="-2"/>
          <w:szCs w:val="24"/>
        </w:rPr>
        <w:t>’</w:t>
      </w:r>
      <w:r w:rsidRPr="00584216">
        <w:rPr>
          <w:spacing w:val="-2"/>
          <w:szCs w:val="24"/>
        </w:rPr>
        <w:t>a donc aucune obligation de fonder sa décision sur des circonstances factuelles déterminées dans la même mesure que le Service de l</w:t>
      </w:r>
      <w:r w:rsidR="00AA3A41" w:rsidRPr="00584216">
        <w:rPr>
          <w:spacing w:val="-2"/>
          <w:szCs w:val="24"/>
        </w:rPr>
        <w:t>’</w:t>
      </w:r>
      <w:r w:rsidRPr="00584216">
        <w:rPr>
          <w:spacing w:val="-2"/>
          <w:szCs w:val="24"/>
        </w:rPr>
        <w:t>immigration. De ce fait, il arrive que ses décisions confirment celles du Service de l</w:t>
      </w:r>
      <w:r w:rsidR="00AA3A41" w:rsidRPr="00584216">
        <w:rPr>
          <w:spacing w:val="-2"/>
          <w:szCs w:val="24"/>
        </w:rPr>
        <w:t>’</w:t>
      </w:r>
      <w:r w:rsidRPr="00584216">
        <w:rPr>
          <w:spacing w:val="-2"/>
          <w:szCs w:val="24"/>
        </w:rPr>
        <w:t>immigration pour des motifs de fait différents de ceux qui ont été invoqués par celui-ci.</w:t>
      </w:r>
    </w:p>
    <w:p w:rsidR="00F439F5" w:rsidRPr="007F2874" w:rsidRDefault="00F439F5" w:rsidP="00584216">
      <w:pPr>
        <w:pStyle w:val="H23G"/>
        <w:spacing w:before="220" w:after="100"/>
      </w:pPr>
      <w:r>
        <w:tab/>
      </w:r>
      <w:r>
        <w:tab/>
      </w:r>
      <w:r w:rsidRPr="007F2874">
        <w:t>Nouveaux commentaires de l</w:t>
      </w:r>
      <w:r w:rsidR="00AA3A41">
        <w:t>’</w:t>
      </w:r>
      <w:r w:rsidRPr="007F2874">
        <w:t>auteur</w:t>
      </w:r>
    </w:p>
    <w:p w:rsidR="00F439F5" w:rsidRPr="007F2874" w:rsidRDefault="00F439F5" w:rsidP="00584216">
      <w:pPr>
        <w:pStyle w:val="SingleTxtG"/>
        <w:spacing w:after="100" w:line="232" w:lineRule="exact"/>
        <w:rPr>
          <w:szCs w:val="24"/>
        </w:rPr>
      </w:pPr>
      <w:r w:rsidRPr="007F2874">
        <w:rPr>
          <w:szCs w:val="24"/>
        </w:rPr>
        <w:t>7.1</w:t>
      </w:r>
      <w:r w:rsidRPr="007F2874">
        <w:rPr>
          <w:szCs w:val="24"/>
        </w:rPr>
        <w:tab/>
        <w:t>Dans des lettres en date du 24</w:t>
      </w:r>
      <w:r>
        <w:rPr>
          <w:szCs w:val="24"/>
        </w:rPr>
        <w:t> </w:t>
      </w:r>
      <w:r w:rsidRPr="007F2874">
        <w:rPr>
          <w:szCs w:val="24"/>
        </w:rPr>
        <w:t>janvier 2012 et du 30</w:t>
      </w:r>
      <w:r>
        <w:rPr>
          <w:szCs w:val="24"/>
        </w:rPr>
        <w:t> </w:t>
      </w:r>
      <w:r w:rsidRPr="007F2874">
        <w:rPr>
          <w:szCs w:val="24"/>
        </w:rPr>
        <w:t>avril 2012, l</w:t>
      </w:r>
      <w:r w:rsidR="00AA3A41">
        <w:rPr>
          <w:szCs w:val="24"/>
        </w:rPr>
        <w:t>’</w:t>
      </w:r>
      <w:r w:rsidRPr="007F2874">
        <w:rPr>
          <w:szCs w:val="24"/>
        </w:rPr>
        <w:t>auteur a fait part de ses commentaires sur les observations complémentaires de l</w:t>
      </w:r>
      <w:r w:rsidR="00AA3A41">
        <w:rPr>
          <w:szCs w:val="24"/>
        </w:rPr>
        <w:t>’</w:t>
      </w:r>
      <w:r w:rsidRPr="007F2874">
        <w:rPr>
          <w:szCs w:val="24"/>
        </w:rPr>
        <w:t>État partie. Il relève que le</w:t>
      </w:r>
      <w:r w:rsidR="00CE3347">
        <w:rPr>
          <w:szCs w:val="24"/>
        </w:rPr>
        <w:t xml:space="preserve"> </w:t>
      </w:r>
      <w:r w:rsidRPr="007F2874">
        <w:rPr>
          <w:szCs w:val="24"/>
        </w:rPr>
        <w:t>Service de l</w:t>
      </w:r>
      <w:r w:rsidR="00AA3A41">
        <w:rPr>
          <w:szCs w:val="24"/>
        </w:rPr>
        <w:t>’</w:t>
      </w:r>
      <w:r w:rsidRPr="007F2874">
        <w:rPr>
          <w:szCs w:val="24"/>
        </w:rPr>
        <w:t>immigration n</w:t>
      </w:r>
      <w:r w:rsidR="00AA3A41">
        <w:rPr>
          <w:szCs w:val="24"/>
        </w:rPr>
        <w:t>’</w:t>
      </w:r>
      <w:r w:rsidRPr="007F2874">
        <w:rPr>
          <w:szCs w:val="24"/>
        </w:rPr>
        <w:t>a pas mis sa foi en doute et que la Commission de recours n</w:t>
      </w:r>
      <w:r w:rsidR="00AA3A41">
        <w:rPr>
          <w:szCs w:val="24"/>
        </w:rPr>
        <w:t>’</w:t>
      </w:r>
      <w:r w:rsidRPr="007F2874">
        <w:rPr>
          <w:szCs w:val="24"/>
        </w:rPr>
        <w:t>aurait pas dû le faire non plus, lors de l</w:t>
      </w:r>
      <w:r w:rsidR="00AA3A41">
        <w:rPr>
          <w:szCs w:val="24"/>
        </w:rPr>
        <w:t>’</w:t>
      </w:r>
      <w:r w:rsidRPr="007F2874">
        <w:rPr>
          <w:szCs w:val="24"/>
        </w:rPr>
        <w:t>audition, pour remettre en cause sa crédibilité. À</w:t>
      </w:r>
      <w:r w:rsidR="00CE3347">
        <w:rPr>
          <w:szCs w:val="24"/>
        </w:rPr>
        <w:t xml:space="preserve"> </w:t>
      </w:r>
      <w:r w:rsidRPr="007F2874">
        <w:rPr>
          <w:szCs w:val="24"/>
        </w:rPr>
        <w:t xml:space="preserve">cet égard, </w:t>
      </w:r>
      <w:r w:rsidRPr="007655E6">
        <w:t>l</w:t>
      </w:r>
      <w:r w:rsidR="00AA3A41">
        <w:t>’</w:t>
      </w:r>
      <w:r w:rsidRPr="007655E6">
        <w:t>auteur</w:t>
      </w:r>
      <w:r w:rsidRPr="007F2874">
        <w:rPr>
          <w:szCs w:val="24"/>
        </w:rPr>
        <w:t xml:space="preserve"> considère qu</w:t>
      </w:r>
      <w:r w:rsidR="00AA3A41">
        <w:rPr>
          <w:szCs w:val="24"/>
        </w:rPr>
        <w:t>’</w:t>
      </w:r>
      <w:r w:rsidRPr="007F2874">
        <w:rPr>
          <w:szCs w:val="24"/>
        </w:rPr>
        <w:t>il n</w:t>
      </w:r>
      <w:r w:rsidR="00AA3A41">
        <w:rPr>
          <w:szCs w:val="24"/>
        </w:rPr>
        <w:t>’</w:t>
      </w:r>
      <w:r w:rsidRPr="007F2874">
        <w:rPr>
          <w:szCs w:val="24"/>
        </w:rPr>
        <w:t>a pas eu de réelle possibilité de se préparer à l</w:t>
      </w:r>
      <w:r w:rsidR="00AA3A41">
        <w:rPr>
          <w:szCs w:val="24"/>
        </w:rPr>
        <w:t>’</w:t>
      </w:r>
      <w:r w:rsidRPr="007F2874">
        <w:rPr>
          <w:szCs w:val="24"/>
        </w:rPr>
        <w:t>interrogatoire de la Commission, qui n</w:t>
      </w:r>
      <w:r w:rsidR="00AA3A41">
        <w:rPr>
          <w:szCs w:val="24"/>
        </w:rPr>
        <w:t>’</w:t>
      </w:r>
      <w:r w:rsidRPr="007F2874">
        <w:rPr>
          <w:szCs w:val="24"/>
        </w:rPr>
        <w:t>était ni neutre ni objectif. Il souligne que l</w:t>
      </w:r>
      <w:r w:rsidR="00AA3A41">
        <w:rPr>
          <w:szCs w:val="24"/>
        </w:rPr>
        <w:t>’</w:t>
      </w:r>
      <w:r w:rsidRPr="007F2874">
        <w:rPr>
          <w:szCs w:val="24"/>
        </w:rPr>
        <w:t>État</w:t>
      </w:r>
      <w:r w:rsidR="00CE3347">
        <w:rPr>
          <w:szCs w:val="24"/>
        </w:rPr>
        <w:t> </w:t>
      </w:r>
      <w:r w:rsidRPr="007F2874">
        <w:rPr>
          <w:szCs w:val="24"/>
        </w:rPr>
        <w:t>partie n</w:t>
      </w:r>
      <w:r w:rsidR="00AA3A41">
        <w:rPr>
          <w:szCs w:val="24"/>
        </w:rPr>
        <w:t>’</w:t>
      </w:r>
      <w:r w:rsidRPr="007F2874">
        <w:rPr>
          <w:szCs w:val="24"/>
        </w:rPr>
        <w:t>a commencé à douter de sa crédibilité que dans ses observations, alors qu</w:t>
      </w:r>
      <w:r w:rsidR="00AA3A41">
        <w:rPr>
          <w:szCs w:val="24"/>
        </w:rPr>
        <w:t>’</w:t>
      </w:r>
      <w:r w:rsidRPr="007F2874">
        <w:rPr>
          <w:szCs w:val="24"/>
        </w:rPr>
        <w:t>aucune des autorités compétentes ne l</w:t>
      </w:r>
      <w:r w:rsidR="00AA3A41">
        <w:rPr>
          <w:szCs w:val="24"/>
        </w:rPr>
        <w:t>’</w:t>
      </w:r>
      <w:r w:rsidRPr="007F2874">
        <w:rPr>
          <w:szCs w:val="24"/>
        </w:rPr>
        <w:t>avait fait à aucun stade des procédures d</w:t>
      </w:r>
      <w:r w:rsidR="00AA3A41">
        <w:rPr>
          <w:szCs w:val="24"/>
        </w:rPr>
        <w:t>’</w:t>
      </w:r>
      <w:r w:rsidRPr="007F2874">
        <w:rPr>
          <w:szCs w:val="24"/>
        </w:rPr>
        <w:t>immigration et d</w:t>
      </w:r>
      <w:r w:rsidR="00AA3A41">
        <w:rPr>
          <w:szCs w:val="24"/>
        </w:rPr>
        <w:t>’</w:t>
      </w:r>
      <w:r w:rsidRPr="007F2874">
        <w:rPr>
          <w:szCs w:val="24"/>
        </w:rPr>
        <w:t>asile. Il fait valoir également que l</w:t>
      </w:r>
      <w:r w:rsidR="00AA3A41">
        <w:rPr>
          <w:szCs w:val="24"/>
        </w:rPr>
        <w:t>’</w:t>
      </w:r>
      <w:r w:rsidRPr="007F2874">
        <w:rPr>
          <w:szCs w:val="24"/>
        </w:rPr>
        <w:t>État partie, s</w:t>
      </w:r>
      <w:r w:rsidR="00AA3A41">
        <w:rPr>
          <w:szCs w:val="24"/>
        </w:rPr>
        <w:t>’</w:t>
      </w:r>
      <w:r w:rsidRPr="007F2874">
        <w:rPr>
          <w:szCs w:val="24"/>
        </w:rPr>
        <w:t>il considère la Commission de recours comme un «tribunal», doit garantir un procès équitable</w:t>
      </w:r>
      <w:r w:rsidRPr="00F439F5">
        <w:rPr>
          <w:rStyle w:val="FootnoteReference"/>
        </w:rPr>
        <w:footnoteReference w:id="17"/>
      </w:r>
      <w:r w:rsidRPr="007F2874">
        <w:rPr>
          <w:szCs w:val="24"/>
        </w:rPr>
        <w:t xml:space="preserve">. </w:t>
      </w:r>
    </w:p>
    <w:p w:rsidR="00F439F5" w:rsidRPr="007F2874" w:rsidRDefault="00F439F5" w:rsidP="00584216">
      <w:pPr>
        <w:pStyle w:val="SingleTxtG"/>
        <w:spacing w:after="100" w:line="232" w:lineRule="exact"/>
        <w:rPr>
          <w:szCs w:val="24"/>
        </w:rPr>
      </w:pPr>
      <w:r w:rsidRPr="007F2874">
        <w:rPr>
          <w:szCs w:val="24"/>
        </w:rPr>
        <w:t>7.2</w:t>
      </w:r>
      <w:r w:rsidRPr="007F2874">
        <w:rPr>
          <w:szCs w:val="24"/>
        </w:rPr>
        <w:tab/>
      </w:r>
      <w:r w:rsidRPr="007655E6">
        <w:t>L</w:t>
      </w:r>
      <w:r w:rsidR="00AA3A41">
        <w:t>’</w:t>
      </w:r>
      <w:r w:rsidRPr="007655E6">
        <w:t>auteur</w:t>
      </w:r>
      <w:r w:rsidRPr="007F2874">
        <w:rPr>
          <w:szCs w:val="24"/>
        </w:rPr>
        <w:t xml:space="preserve"> affirme en outre que les informations sur les normes relatives aux droits de l</w:t>
      </w:r>
      <w:r w:rsidR="00AA3A41">
        <w:rPr>
          <w:szCs w:val="24"/>
        </w:rPr>
        <w:t>’</w:t>
      </w:r>
      <w:r w:rsidRPr="007F2874">
        <w:rPr>
          <w:szCs w:val="24"/>
        </w:rPr>
        <w:t xml:space="preserve">homme qui sont publiées sur le site Web de la Commission de recours </w:t>
      </w:r>
      <w:r>
        <w:rPr>
          <w:szCs w:val="24"/>
        </w:rPr>
        <w:t xml:space="preserve">ne </w:t>
      </w:r>
      <w:r w:rsidRPr="007F2874">
        <w:rPr>
          <w:szCs w:val="24"/>
        </w:rPr>
        <w:t xml:space="preserve">sont </w:t>
      </w:r>
      <w:r>
        <w:rPr>
          <w:szCs w:val="24"/>
        </w:rPr>
        <w:t>pas à jour</w:t>
      </w:r>
      <w:r w:rsidRPr="00F439F5">
        <w:rPr>
          <w:rStyle w:val="FootnoteReference"/>
        </w:rPr>
        <w:footnoteReference w:id="18"/>
      </w:r>
      <w:r w:rsidRPr="007F2874">
        <w:rPr>
          <w:szCs w:val="24"/>
        </w:rPr>
        <w:t>. Selon lui, par exemple, un article de 2008 consacré au Pacte ne fait aucune référence à l</w:t>
      </w:r>
      <w:r w:rsidR="00AA3A41">
        <w:rPr>
          <w:szCs w:val="24"/>
        </w:rPr>
        <w:t>’</w:t>
      </w:r>
      <w:r w:rsidRPr="007F2874">
        <w:rPr>
          <w:szCs w:val="24"/>
        </w:rPr>
        <w:t>importance de l</w:t>
      </w:r>
      <w:r w:rsidR="00AA3A41">
        <w:rPr>
          <w:szCs w:val="24"/>
        </w:rPr>
        <w:t>’</w:t>
      </w:r>
      <w:r w:rsidRPr="007F2874">
        <w:rPr>
          <w:szCs w:val="24"/>
        </w:rPr>
        <w:t>article</w:t>
      </w:r>
      <w:r>
        <w:rPr>
          <w:szCs w:val="24"/>
        </w:rPr>
        <w:t> </w:t>
      </w:r>
      <w:r w:rsidRPr="007F2874">
        <w:rPr>
          <w:szCs w:val="24"/>
        </w:rPr>
        <w:t>18, ni au service militaire ou à l</w:t>
      </w:r>
      <w:r w:rsidR="00AA3A41">
        <w:rPr>
          <w:szCs w:val="24"/>
        </w:rPr>
        <w:t>’</w:t>
      </w:r>
      <w:r w:rsidRPr="007F2874">
        <w:rPr>
          <w:szCs w:val="24"/>
        </w:rPr>
        <w:t>insoumission. Un autre article passe sous silence la jurisprudence récente de la Cour européenne des droits de l</w:t>
      </w:r>
      <w:r w:rsidR="00AA3A41">
        <w:rPr>
          <w:szCs w:val="24"/>
        </w:rPr>
        <w:t>’</w:t>
      </w:r>
      <w:r w:rsidRPr="007F2874">
        <w:rPr>
          <w:szCs w:val="24"/>
        </w:rPr>
        <w:t>homme, qui a estimé que le risque de subir un châtiment prolongé pour désertion ou insoumission entrait dans le champ d</w:t>
      </w:r>
      <w:r w:rsidR="00AA3A41">
        <w:rPr>
          <w:szCs w:val="24"/>
        </w:rPr>
        <w:t>’</w:t>
      </w:r>
      <w:r w:rsidRPr="007F2874">
        <w:rPr>
          <w:szCs w:val="24"/>
        </w:rPr>
        <w:t>application de l</w:t>
      </w:r>
      <w:r w:rsidR="00AA3A41">
        <w:rPr>
          <w:szCs w:val="24"/>
        </w:rPr>
        <w:t>’</w:t>
      </w:r>
      <w:r w:rsidR="00CE3347">
        <w:rPr>
          <w:szCs w:val="24"/>
        </w:rPr>
        <w:t>article </w:t>
      </w:r>
      <w:r w:rsidRPr="007F2874">
        <w:rPr>
          <w:szCs w:val="24"/>
        </w:rPr>
        <w:t>3 de la Convention européenne des droits de l</w:t>
      </w:r>
      <w:r w:rsidR="00AA3A41">
        <w:rPr>
          <w:szCs w:val="24"/>
        </w:rPr>
        <w:t>’</w:t>
      </w:r>
      <w:r w:rsidRPr="007F2874">
        <w:rPr>
          <w:szCs w:val="24"/>
        </w:rPr>
        <w:t>homme</w:t>
      </w:r>
      <w:r w:rsidRPr="00F439F5">
        <w:rPr>
          <w:rStyle w:val="FootnoteReference"/>
        </w:rPr>
        <w:footnoteReference w:id="19"/>
      </w:r>
      <w:r w:rsidRPr="007F2874">
        <w:rPr>
          <w:szCs w:val="24"/>
        </w:rPr>
        <w:t xml:space="preserve"> et que les États imposant l</w:t>
      </w:r>
      <w:r w:rsidR="00AA3A41">
        <w:rPr>
          <w:szCs w:val="24"/>
        </w:rPr>
        <w:t>’</w:t>
      </w:r>
      <w:r w:rsidRPr="007F2874">
        <w:rPr>
          <w:szCs w:val="24"/>
        </w:rPr>
        <w:t xml:space="preserve">obligation du service militaire devaient </w:t>
      </w:r>
      <w:r>
        <w:rPr>
          <w:szCs w:val="24"/>
        </w:rPr>
        <w:t>proposer</w:t>
      </w:r>
      <w:r w:rsidRPr="007F2874">
        <w:rPr>
          <w:szCs w:val="24"/>
        </w:rPr>
        <w:t xml:space="preserve"> un service civil de remplacement</w:t>
      </w:r>
      <w:r w:rsidRPr="00F439F5">
        <w:rPr>
          <w:rStyle w:val="FootnoteReference"/>
        </w:rPr>
        <w:footnoteReference w:id="20"/>
      </w:r>
      <w:r w:rsidRPr="007F2874">
        <w:rPr>
          <w:szCs w:val="24"/>
        </w:rPr>
        <w:t>.</w:t>
      </w:r>
    </w:p>
    <w:p w:rsidR="00F439F5" w:rsidRPr="007F2874" w:rsidRDefault="00F439F5" w:rsidP="00F439F5">
      <w:pPr>
        <w:pStyle w:val="H23G"/>
      </w:pPr>
      <w:r>
        <w:tab/>
      </w:r>
      <w:r>
        <w:tab/>
      </w:r>
      <w:r w:rsidRPr="007F2874">
        <w:t>Délibérations du Comité</w:t>
      </w:r>
    </w:p>
    <w:p w:rsidR="00F439F5" w:rsidRPr="007F2874" w:rsidRDefault="00F439F5" w:rsidP="00F439F5">
      <w:pPr>
        <w:pStyle w:val="H4G"/>
      </w:pPr>
      <w:r>
        <w:tab/>
      </w:r>
      <w:r>
        <w:tab/>
      </w:r>
      <w:r w:rsidRPr="007F2874">
        <w:t>Examen de la recevabilité</w:t>
      </w:r>
    </w:p>
    <w:p w:rsidR="00F439F5" w:rsidRPr="007F2874" w:rsidRDefault="00F439F5" w:rsidP="007655E6">
      <w:pPr>
        <w:pStyle w:val="SingleTxtG"/>
        <w:rPr>
          <w:szCs w:val="24"/>
        </w:rPr>
      </w:pPr>
      <w:r w:rsidRPr="007F2874">
        <w:rPr>
          <w:szCs w:val="24"/>
        </w:rPr>
        <w:t>8.1</w:t>
      </w:r>
      <w:r w:rsidRPr="007F2874">
        <w:rPr>
          <w:szCs w:val="24"/>
        </w:rPr>
        <w:tab/>
      </w:r>
      <w:r w:rsidRPr="007655E6">
        <w:t>Avant</w:t>
      </w:r>
      <w:r w:rsidRPr="007F2874">
        <w:rPr>
          <w:szCs w:val="24"/>
        </w:rPr>
        <w:t xml:space="preserve"> d</w:t>
      </w:r>
      <w:r w:rsidR="00AA3A41">
        <w:rPr>
          <w:szCs w:val="24"/>
        </w:rPr>
        <w:t>’</w:t>
      </w:r>
      <w:r w:rsidRPr="007F2874">
        <w:rPr>
          <w:szCs w:val="24"/>
        </w:rPr>
        <w:t>examiner une plainte contenue dans une communication, le Comité des droits de l</w:t>
      </w:r>
      <w:r w:rsidR="00AA3A41">
        <w:rPr>
          <w:szCs w:val="24"/>
        </w:rPr>
        <w:t>’</w:t>
      </w:r>
      <w:r w:rsidRPr="007F2874">
        <w:rPr>
          <w:szCs w:val="24"/>
        </w:rPr>
        <w:t>homme doit, conformément à l</w:t>
      </w:r>
      <w:r w:rsidR="00AA3A41">
        <w:rPr>
          <w:szCs w:val="24"/>
        </w:rPr>
        <w:t>’</w:t>
      </w:r>
      <w:r w:rsidRPr="007F2874">
        <w:rPr>
          <w:szCs w:val="24"/>
        </w:rPr>
        <w:t>article</w:t>
      </w:r>
      <w:r>
        <w:rPr>
          <w:szCs w:val="24"/>
        </w:rPr>
        <w:t> </w:t>
      </w:r>
      <w:r w:rsidRPr="007F2874">
        <w:rPr>
          <w:szCs w:val="24"/>
        </w:rPr>
        <w:t>93 de son règlement intérieur, déterminer si la communication est recevable en vertu du Protocole facultatif se rapportant au Pacte.</w:t>
      </w:r>
    </w:p>
    <w:p w:rsidR="00F439F5" w:rsidRPr="007F2874" w:rsidRDefault="00F439F5" w:rsidP="007655E6">
      <w:pPr>
        <w:pStyle w:val="SingleTxtG"/>
        <w:rPr>
          <w:szCs w:val="24"/>
        </w:rPr>
      </w:pPr>
      <w:r w:rsidRPr="007F2874">
        <w:rPr>
          <w:szCs w:val="24"/>
        </w:rPr>
        <w:t>8.2</w:t>
      </w:r>
      <w:r w:rsidRPr="007F2874">
        <w:rPr>
          <w:szCs w:val="24"/>
        </w:rPr>
        <w:tab/>
        <w:t xml:space="preserve">Le </w:t>
      </w:r>
      <w:r w:rsidRPr="007655E6">
        <w:t>Comité</w:t>
      </w:r>
      <w:r w:rsidRPr="007F2874">
        <w:rPr>
          <w:szCs w:val="24"/>
        </w:rPr>
        <w:t xml:space="preserve"> s</w:t>
      </w:r>
      <w:r w:rsidR="00AA3A41">
        <w:rPr>
          <w:szCs w:val="24"/>
        </w:rPr>
        <w:t>’</w:t>
      </w:r>
      <w:r w:rsidRPr="007F2874">
        <w:rPr>
          <w:szCs w:val="24"/>
        </w:rPr>
        <w:t>est assuré, comme il est tenu de le faire conformément au paragraphe</w:t>
      </w:r>
      <w:r>
        <w:rPr>
          <w:szCs w:val="24"/>
        </w:rPr>
        <w:t> </w:t>
      </w:r>
      <w:r w:rsidRPr="007F2874">
        <w:rPr>
          <w:szCs w:val="24"/>
        </w:rPr>
        <w:t>2</w:t>
      </w:r>
      <w:r>
        <w:rPr>
          <w:szCs w:val="24"/>
        </w:rPr>
        <w:t> </w:t>
      </w:r>
      <w:r w:rsidRPr="007F2874">
        <w:rPr>
          <w:szCs w:val="24"/>
        </w:rPr>
        <w:t>a) de l</w:t>
      </w:r>
      <w:r w:rsidR="00AA3A41">
        <w:rPr>
          <w:szCs w:val="24"/>
        </w:rPr>
        <w:t>’</w:t>
      </w:r>
      <w:r w:rsidRPr="007F2874">
        <w:rPr>
          <w:szCs w:val="24"/>
        </w:rPr>
        <w:t>article</w:t>
      </w:r>
      <w:r>
        <w:rPr>
          <w:szCs w:val="24"/>
        </w:rPr>
        <w:t> </w:t>
      </w:r>
      <w:r w:rsidRPr="007F2874">
        <w:rPr>
          <w:szCs w:val="24"/>
        </w:rPr>
        <w:t>5 du Protocole facultatif, que la même question n</w:t>
      </w:r>
      <w:r w:rsidR="00AA3A41">
        <w:rPr>
          <w:szCs w:val="24"/>
        </w:rPr>
        <w:t>’</w:t>
      </w:r>
      <w:r w:rsidRPr="007F2874">
        <w:rPr>
          <w:szCs w:val="24"/>
        </w:rPr>
        <w:t>était pas déjà en cours d</w:t>
      </w:r>
      <w:r w:rsidR="00AA3A41">
        <w:rPr>
          <w:szCs w:val="24"/>
        </w:rPr>
        <w:t>’</w:t>
      </w:r>
      <w:r w:rsidRPr="007F2874">
        <w:rPr>
          <w:szCs w:val="24"/>
        </w:rPr>
        <w:t>examen devant une autre instance internationale d</w:t>
      </w:r>
      <w:r w:rsidR="00AA3A41">
        <w:rPr>
          <w:szCs w:val="24"/>
        </w:rPr>
        <w:t>’</w:t>
      </w:r>
      <w:r w:rsidRPr="007F2874">
        <w:rPr>
          <w:szCs w:val="24"/>
        </w:rPr>
        <w:t>enquête ou de règlement.</w:t>
      </w:r>
    </w:p>
    <w:p w:rsidR="00F439F5" w:rsidRPr="007F2874" w:rsidRDefault="00F439F5" w:rsidP="007655E6">
      <w:pPr>
        <w:pStyle w:val="SingleTxtG"/>
        <w:rPr>
          <w:szCs w:val="24"/>
        </w:rPr>
      </w:pPr>
      <w:r w:rsidRPr="007F2874">
        <w:rPr>
          <w:szCs w:val="24"/>
        </w:rPr>
        <w:t>8.3</w:t>
      </w:r>
      <w:r w:rsidRPr="007F2874">
        <w:rPr>
          <w:szCs w:val="24"/>
        </w:rPr>
        <w:tab/>
      </w:r>
      <w:r w:rsidRPr="0020506A">
        <w:rPr>
          <w:spacing w:val="-2"/>
          <w:szCs w:val="24"/>
        </w:rPr>
        <w:t xml:space="preserve">Le </w:t>
      </w:r>
      <w:r w:rsidRPr="007655E6">
        <w:t>Comité</w:t>
      </w:r>
      <w:r w:rsidRPr="0020506A">
        <w:rPr>
          <w:spacing w:val="-2"/>
          <w:szCs w:val="24"/>
        </w:rPr>
        <w:t xml:space="preserve"> rappelle sa jurisprudence et réaffirme que l</w:t>
      </w:r>
      <w:r w:rsidR="00AA3A41">
        <w:rPr>
          <w:spacing w:val="-2"/>
          <w:szCs w:val="24"/>
        </w:rPr>
        <w:t>’</w:t>
      </w:r>
      <w:r w:rsidRPr="0020506A">
        <w:rPr>
          <w:spacing w:val="-2"/>
          <w:szCs w:val="24"/>
        </w:rPr>
        <w:t>auteur d</w:t>
      </w:r>
      <w:r w:rsidR="00AA3A41">
        <w:rPr>
          <w:spacing w:val="-2"/>
          <w:szCs w:val="24"/>
        </w:rPr>
        <w:t>’</w:t>
      </w:r>
      <w:r w:rsidRPr="0020506A">
        <w:rPr>
          <w:spacing w:val="-2"/>
          <w:szCs w:val="24"/>
        </w:rPr>
        <w:t>une communication doit exercer tous les recours internes pour satisfaire à l</w:t>
      </w:r>
      <w:r w:rsidR="00AA3A41">
        <w:rPr>
          <w:spacing w:val="-2"/>
          <w:szCs w:val="24"/>
        </w:rPr>
        <w:t>’</w:t>
      </w:r>
      <w:r w:rsidRPr="0020506A">
        <w:rPr>
          <w:spacing w:val="-2"/>
          <w:szCs w:val="24"/>
        </w:rPr>
        <w:t>obligation énoncée au paragraphe 2 b) de l</w:t>
      </w:r>
      <w:r w:rsidR="00AA3A41">
        <w:rPr>
          <w:spacing w:val="-2"/>
          <w:szCs w:val="24"/>
        </w:rPr>
        <w:t>’</w:t>
      </w:r>
      <w:r w:rsidRPr="0020506A">
        <w:rPr>
          <w:spacing w:val="-2"/>
          <w:szCs w:val="24"/>
        </w:rPr>
        <w:t>article 5 du Protocole facultatif, pour autant que ces recours semblent être utiles dans son cas particulier et lui soient ouverts de facto</w:t>
      </w:r>
      <w:r w:rsidRPr="00F439F5">
        <w:rPr>
          <w:rStyle w:val="FootnoteReference"/>
        </w:rPr>
        <w:footnoteReference w:id="21"/>
      </w:r>
      <w:r w:rsidRPr="0020506A">
        <w:rPr>
          <w:spacing w:val="-2"/>
          <w:szCs w:val="24"/>
        </w:rPr>
        <w:t>. Le Comité note qu</w:t>
      </w:r>
      <w:r w:rsidR="00AA3A41">
        <w:rPr>
          <w:spacing w:val="-2"/>
          <w:szCs w:val="24"/>
        </w:rPr>
        <w:t>’</w:t>
      </w:r>
      <w:r w:rsidRPr="0020506A">
        <w:rPr>
          <w:spacing w:val="-2"/>
          <w:szCs w:val="24"/>
        </w:rPr>
        <w:t>en l</w:t>
      </w:r>
      <w:r w:rsidR="00AA3A41">
        <w:rPr>
          <w:spacing w:val="-2"/>
          <w:szCs w:val="24"/>
        </w:rPr>
        <w:t>’</w:t>
      </w:r>
      <w:r w:rsidRPr="0020506A">
        <w:rPr>
          <w:spacing w:val="-2"/>
          <w:szCs w:val="24"/>
        </w:rPr>
        <w:t>espèce l</w:t>
      </w:r>
      <w:r w:rsidR="00AA3A41">
        <w:rPr>
          <w:spacing w:val="-2"/>
          <w:szCs w:val="24"/>
        </w:rPr>
        <w:t>’</w:t>
      </w:r>
      <w:r w:rsidRPr="0020506A">
        <w:rPr>
          <w:spacing w:val="-2"/>
          <w:szCs w:val="24"/>
        </w:rPr>
        <w:t>auteur a contesté en vain le rejet de sa demande d</w:t>
      </w:r>
      <w:r w:rsidR="00AA3A41">
        <w:rPr>
          <w:spacing w:val="-2"/>
          <w:szCs w:val="24"/>
        </w:rPr>
        <w:t>’</w:t>
      </w:r>
      <w:r w:rsidRPr="0020506A">
        <w:rPr>
          <w:spacing w:val="-2"/>
          <w:szCs w:val="24"/>
        </w:rPr>
        <w:t>asile devant la Commission de recours des réfugiés, et que l</w:t>
      </w:r>
      <w:r w:rsidR="00AA3A41">
        <w:rPr>
          <w:spacing w:val="-2"/>
          <w:szCs w:val="24"/>
        </w:rPr>
        <w:t>’</w:t>
      </w:r>
      <w:r w:rsidRPr="0020506A">
        <w:rPr>
          <w:spacing w:val="-2"/>
          <w:szCs w:val="24"/>
        </w:rPr>
        <w:t>État partie ne nie pas que l</w:t>
      </w:r>
      <w:r w:rsidR="00AA3A41">
        <w:rPr>
          <w:spacing w:val="-2"/>
          <w:szCs w:val="24"/>
        </w:rPr>
        <w:t>’</w:t>
      </w:r>
      <w:r w:rsidRPr="0020506A">
        <w:rPr>
          <w:spacing w:val="-2"/>
          <w:szCs w:val="24"/>
        </w:rPr>
        <w:t>auteur a épuisé les recours internes.</w:t>
      </w:r>
    </w:p>
    <w:p w:rsidR="00F439F5" w:rsidRPr="007F2874" w:rsidRDefault="00F439F5" w:rsidP="007655E6">
      <w:pPr>
        <w:pStyle w:val="SingleTxtG"/>
        <w:rPr>
          <w:szCs w:val="24"/>
        </w:rPr>
      </w:pPr>
      <w:r w:rsidRPr="007F2874">
        <w:rPr>
          <w:szCs w:val="24"/>
        </w:rPr>
        <w:t>8.4</w:t>
      </w:r>
      <w:r w:rsidRPr="007F2874">
        <w:rPr>
          <w:szCs w:val="24"/>
        </w:rPr>
        <w:tab/>
        <w:t xml:space="preserve">Le Comité prend note </w:t>
      </w:r>
      <w:r w:rsidRPr="00F779AC">
        <w:rPr>
          <w:szCs w:val="24"/>
        </w:rPr>
        <w:t>de l</w:t>
      </w:r>
      <w:r w:rsidR="00AA3A41">
        <w:rPr>
          <w:szCs w:val="24"/>
        </w:rPr>
        <w:t>’</w:t>
      </w:r>
      <w:r w:rsidRPr="00F779AC">
        <w:rPr>
          <w:szCs w:val="24"/>
        </w:rPr>
        <w:t>argument de l</w:t>
      </w:r>
      <w:r w:rsidR="00AA3A41">
        <w:rPr>
          <w:szCs w:val="24"/>
        </w:rPr>
        <w:t>’</w:t>
      </w:r>
      <w:r w:rsidRPr="00F779AC">
        <w:rPr>
          <w:szCs w:val="24"/>
        </w:rPr>
        <w:t>État partie, pour qui les allégations de l</w:t>
      </w:r>
      <w:r w:rsidR="00AA3A41">
        <w:rPr>
          <w:szCs w:val="24"/>
        </w:rPr>
        <w:t>’</w:t>
      </w:r>
      <w:r w:rsidRPr="00F779AC">
        <w:rPr>
          <w:szCs w:val="24"/>
        </w:rPr>
        <w:t>auteur concernant les articles</w:t>
      </w:r>
      <w:r>
        <w:rPr>
          <w:szCs w:val="24"/>
        </w:rPr>
        <w:t> </w:t>
      </w:r>
      <w:r w:rsidRPr="00F779AC">
        <w:rPr>
          <w:szCs w:val="24"/>
        </w:rPr>
        <w:t>7 et</w:t>
      </w:r>
      <w:r w:rsidR="00CE3347">
        <w:rPr>
          <w:szCs w:val="24"/>
        </w:rPr>
        <w:t xml:space="preserve"> </w:t>
      </w:r>
      <w:r w:rsidRPr="00F779AC">
        <w:rPr>
          <w:szCs w:val="24"/>
        </w:rPr>
        <w:t>18 du Pacte doivent être déclarées irrecevables pour défaut de fondement, et de ses objections concernant l</w:t>
      </w:r>
      <w:r w:rsidR="00AA3A41">
        <w:rPr>
          <w:szCs w:val="24"/>
        </w:rPr>
        <w:t>’</w:t>
      </w:r>
      <w:r w:rsidRPr="00F779AC">
        <w:rPr>
          <w:szCs w:val="24"/>
        </w:rPr>
        <w:t>application extraterritoriale de l</w:t>
      </w:r>
      <w:r w:rsidR="00AA3A41">
        <w:rPr>
          <w:szCs w:val="24"/>
        </w:rPr>
        <w:t>’</w:t>
      </w:r>
      <w:r w:rsidR="00CE3347">
        <w:rPr>
          <w:szCs w:val="24"/>
        </w:rPr>
        <w:t>article </w:t>
      </w:r>
      <w:r w:rsidRPr="00F779AC">
        <w:rPr>
          <w:szCs w:val="24"/>
        </w:rPr>
        <w:t>18 du Pacte. Il estime cependant que l</w:t>
      </w:r>
      <w:r w:rsidR="00AA3A41">
        <w:rPr>
          <w:szCs w:val="24"/>
        </w:rPr>
        <w:t>’</w:t>
      </w:r>
      <w:r w:rsidRPr="00F779AC">
        <w:rPr>
          <w:szCs w:val="24"/>
        </w:rPr>
        <w:t>auteur a suffisamment expliqué pourquoi il craint que son retour forcé en Érythrée ne l</w:t>
      </w:r>
      <w:r w:rsidR="00AA3A41">
        <w:rPr>
          <w:szCs w:val="24"/>
        </w:rPr>
        <w:t>’</w:t>
      </w:r>
      <w:r w:rsidRPr="00F779AC">
        <w:rPr>
          <w:szCs w:val="24"/>
        </w:rPr>
        <w:t xml:space="preserve">expose à un risque de </w:t>
      </w:r>
      <w:r>
        <w:rPr>
          <w:szCs w:val="24"/>
        </w:rPr>
        <w:t>traitement incompatible avec l</w:t>
      </w:r>
      <w:r w:rsidR="00AA3A41">
        <w:rPr>
          <w:szCs w:val="24"/>
        </w:rPr>
        <w:t>’</w:t>
      </w:r>
      <w:r w:rsidR="00CE3347">
        <w:rPr>
          <w:szCs w:val="24"/>
        </w:rPr>
        <w:t>article </w:t>
      </w:r>
      <w:r>
        <w:rPr>
          <w:szCs w:val="24"/>
        </w:rPr>
        <w:t>7 du Pacte</w:t>
      </w:r>
      <w:r w:rsidRPr="00F779AC">
        <w:rPr>
          <w:szCs w:val="24"/>
        </w:rPr>
        <w:t>. Il prend note en outre des informations communiquées sur les risques de torture et de détention auxquels sont exposés les Érythréens susceptibles d</w:t>
      </w:r>
      <w:r w:rsidR="00AA3A41">
        <w:rPr>
          <w:szCs w:val="24"/>
        </w:rPr>
        <w:t>’</w:t>
      </w:r>
      <w:r w:rsidRPr="00F779AC">
        <w:rPr>
          <w:szCs w:val="24"/>
        </w:rPr>
        <w:t xml:space="preserve">être appelés sous les drapeaux. </w:t>
      </w:r>
      <w:r>
        <w:rPr>
          <w:szCs w:val="24"/>
        </w:rPr>
        <w:t>Il</w:t>
      </w:r>
      <w:r w:rsidRPr="007F2874">
        <w:rPr>
          <w:szCs w:val="24"/>
        </w:rPr>
        <w:t xml:space="preserve"> estime donc qu</w:t>
      </w:r>
      <w:r w:rsidR="00AA3A41">
        <w:rPr>
          <w:szCs w:val="24"/>
        </w:rPr>
        <w:t>’</w:t>
      </w:r>
      <w:r w:rsidRPr="007F2874">
        <w:rPr>
          <w:szCs w:val="24"/>
        </w:rPr>
        <w:t>aux fins de la recevabilité l</w:t>
      </w:r>
      <w:r w:rsidR="00AA3A41">
        <w:rPr>
          <w:szCs w:val="24"/>
        </w:rPr>
        <w:t>’</w:t>
      </w:r>
      <w:r w:rsidRPr="007F2874">
        <w:rPr>
          <w:szCs w:val="24"/>
        </w:rPr>
        <w:t>auteur a apporté suffisamment d</w:t>
      </w:r>
      <w:r w:rsidR="00AA3A41">
        <w:rPr>
          <w:szCs w:val="24"/>
        </w:rPr>
        <w:t>’</w:t>
      </w:r>
      <w:r w:rsidRPr="007F2874">
        <w:rPr>
          <w:szCs w:val="24"/>
        </w:rPr>
        <w:t>arguments plausibles à l</w:t>
      </w:r>
      <w:r w:rsidR="00AA3A41">
        <w:rPr>
          <w:szCs w:val="24"/>
        </w:rPr>
        <w:t>’</w:t>
      </w:r>
      <w:r w:rsidRPr="007F2874">
        <w:rPr>
          <w:szCs w:val="24"/>
        </w:rPr>
        <w:t>appui de ses allégations</w:t>
      </w:r>
      <w:r>
        <w:rPr>
          <w:szCs w:val="24"/>
        </w:rPr>
        <w:t xml:space="preserve"> de violation de l</w:t>
      </w:r>
      <w:r w:rsidR="00AA3A41">
        <w:rPr>
          <w:szCs w:val="24"/>
        </w:rPr>
        <w:t>’</w:t>
      </w:r>
      <w:r w:rsidR="00CE3347">
        <w:rPr>
          <w:szCs w:val="24"/>
        </w:rPr>
        <w:t>article </w:t>
      </w:r>
      <w:r>
        <w:rPr>
          <w:szCs w:val="24"/>
        </w:rPr>
        <w:t>7</w:t>
      </w:r>
      <w:r w:rsidRPr="007F2874">
        <w:rPr>
          <w:szCs w:val="24"/>
        </w:rPr>
        <w:t>.</w:t>
      </w:r>
      <w:r>
        <w:rPr>
          <w:szCs w:val="24"/>
        </w:rPr>
        <w:t xml:space="preserve"> Quant au grief de violation de l</w:t>
      </w:r>
      <w:r w:rsidR="00AA3A41">
        <w:rPr>
          <w:szCs w:val="24"/>
        </w:rPr>
        <w:t>’</w:t>
      </w:r>
      <w:r w:rsidR="00CE3347">
        <w:rPr>
          <w:szCs w:val="24"/>
        </w:rPr>
        <w:t>article </w:t>
      </w:r>
      <w:r>
        <w:rPr>
          <w:szCs w:val="24"/>
        </w:rPr>
        <w:t>18, le Comité estime qu</w:t>
      </w:r>
      <w:r w:rsidR="00AA3A41">
        <w:rPr>
          <w:szCs w:val="24"/>
        </w:rPr>
        <w:t>’</w:t>
      </w:r>
      <w:r>
        <w:rPr>
          <w:szCs w:val="24"/>
        </w:rPr>
        <w:t>il ne peut pas être dissocié des allégations de l</w:t>
      </w:r>
      <w:r w:rsidR="00AA3A41">
        <w:rPr>
          <w:szCs w:val="24"/>
        </w:rPr>
        <w:t>’</w:t>
      </w:r>
      <w:r>
        <w:rPr>
          <w:szCs w:val="24"/>
        </w:rPr>
        <w:t>auteur relatives à l</w:t>
      </w:r>
      <w:r w:rsidR="00AA3A41">
        <w:rPr>
          <w:szCs w:val="24"/>
        </w:rPr>
        <w:t>’</w:t>
      </w:r>
      <w:r w:rsidR="00CE3347">
        <w:rPr>
          <w:szCs w:val="24"/>
        </w:rPr>
        <w:t>article </w:t>
      </w:r>
      <w:r>
        <w:rPr>
          <w:szCs w:val="24"/>
        </w:rPr>
        <w:t>7, qui appellent un examen au fond.</w:t>
      </w:r>
    </w:p>
    <w:p w:rsidR="00F439F5" w:rsidRPr="00955D33" w:rsidRDefault="00F439F5" w:rsidP="007655E6">
      <w:pPr>
        <w:pStyle w:val="SingleTxtG"/>
        <w:rPr>
          <w:szCs w:val="24"/>
        </w:rPr>
      </w:pPr>
      <w:r w:rsidRPr="007F2874">
        <w:rPr>
          <w:szCs w:val="24"/>
        </w:rPr>
        <w:t>8.5</w:t>
      </w:r>
      <w:r w:rsidRPr="007F2874">
        <w:rPr>
          <w:szCs w:val="24"/>
        </w:rPr>
        <w:tab/>
        <w:t>Au sujet du grief de violation de l</w:t>
      </w:r>
      <w:r w:rsidR="00AA3A41">
        <w:rPr>
          <w:szCs w:val="24"/>
        </w:rPr>
        <w:t>’</w:t>
      </w:r>
      <w:r w:rsidR="00CE3347">
        <w:rPr>
          <w:szCs w:val="24"/>
        </w:rPr>
        <w:t>article </w:t>
      </w:r>
      <w:r w:rsidRPr="007F2874">
        <w:rPr>
          <w:szCs w:val="24"/>
        </w:rPr>
        <w:t>14, que l</w:t>
      </w:r>
      <w:r w:rsidR="00AA3A41">
        <w:rPr>
          <w:szCs w:val="24"/>
        </w:rPr>
        <w:t>’</w:t>
      </w:r>
      <w:r w:rsidRPr="007F2874">
        <w:rPr>
          <w:szCs w:val="24"/>
        </w:rPr>
        <w:t>auteur invoque au motif qu</w:t>
      </w:r>
      <w:r w:rsidR="00AA3A41">
        <w:rPr>
          <w:szCs w:val="24"/>
        </w:rPr>
        <w:t>’</w:t>
      </w:r>
      <w:r w:rsidRPr="007F2874">
        <w:rPr>
          <w:szCs w:val="24"/>
        </w:rPr>
        <w:t>il n</w:t>
      </w:r>
      <w:r w:rsidR="00AA3A41">
        <w:rPr>
          <w:szCs w:val="24"/>
        </w:rPr>
        <w:t>’</w:t>
      </w:r>
      <w:r w:rsidRPr="007F2874">
        <w:rPr>
          <w:szCs w:val="24"/>
        </w:rPr>
        <w:t>a pas bénéficié d</w:t>
      </w:r>
      <w:r w:rsidR="00AA3A41">
        <w:rPr>
          <w:szCs w:val="24"/>
        </w:rPr>
        <w:t>’</w:t>
      </w:r>
      <w:r w:rsidRPr="007F2874">
        <w:rPr>
          <w:szCs w:val="24"/>
        </w:rPr>
        <w:t xml:space="preserve">un procès équitable </w:t>
      </w:r>
      <w:r w:rsidRPr="007655E6">
        <w:t>devant</w:t>
      </w:r>
      <w:r w:rsidRPr="007F2874">
        <w:rPr>
          <w:szCs w:val="24"/>
        </w:rPr>
        <w:t xml:space="preserve"> la Commission de recours des réfugiés, le</w:t>
      </w:r>
      <w:r w:rsidR="00CE3347">
        <w:rPr>
          <w:szCs w:val="24"/>
        </w:rPr>
        <w:t xml:space="preserve"> </w:t>
      </w:r>
      <w:r w:rsidRPr="007F2874">
        <w:rPr>
          <w:szCs w:val="24"/>
        </w:rPr>
        <w:t>Comité renvoie à sa jurisprudence et rappelle que les procédures d</w:t>
      </w:r>
      <w:r w:rsidR="00AA3A41">
        <w:rPr>
          <w:szCs w:val="24"/>
        </w:rPr>
        <w:t>’</w:t>
      </w:r>
      <w:r w:rsidRPr="007F2874">
        <w:rPr>
          <w:szCs w:val="24"/>
        </w:rPr>
        <w:t xml:space="preserve">expulsion </w:t>
      </w:r>
      <w:r>
        <w:rPr>
          <w:szCs w:val="24"/>
        </w:rPr>
        <w:t xml:space="preserve">des étrangers </w:t>
      </w:r>
      <w:r w:rsidRPr="007F2874">
        <w:rPr>
          <w:szCs w:val="24"/>
        </w:rPr>
        <w:t>n</w:t>
      </w:r>
      <w:r w:rsidR="00AA3A41">
        <w:rPr>
          <w:szCs w:val="24"/>
        </w:rPr>
        <w:t>’</w:t>
      </w:r>
      <w:r w:rsidRPr="007F2874">
        <w:rPr>
          <w:szCs w:val="24"/>
        </w:rPr>
        <w:t>impliquent pas de décision sur des «droits et obligations de caractère civil» au sens du paragraphe</w:t>
      </w:r>
      <w:r>
        <w:rPr>
          <w:szCs w:val="24"/>
        </w:rPr>
        <w:t> </w:t>
      </w:r>
      <w:r w:rsidRPr="007F2874">
        <w:rPr>
          <w:szCs w:val="24"/>
        </w:rPr>
        <w:t>1 de l</w:t>
      </w:r>
      <w:r w:rsidR="00AA3A41">
        <w:rPr>
          <w:szCs w:val="24"/>
        </w:rPr>
        <w:t>’</w:t>
      </w:r>
      <w:r w:rsidRPr="007F2874">
        <w:rPr>
          <w:szCs w:val="24"/>
        </w:rPr>
        <w:t>article</w:t>
      </w:r>
      <w:r>
        <w:rPr>
          <w:szCs w:val="24"/>
        </w:rPr>
        <w:t> </w:t>
      </w:r>
      <w:r w:rsidRPr="007F2874">
        <w:rPr>
          <w:szCs w:val="24"/>
        </w:rPr>
        <w:t>14, et qu</w:t>
      </w:r>
      <w:r w:rsidR="00AA3A41">
        <w:rPr>
          <w:szCs w:val="24"/>
        </w:rPr>
        <w:t>’</w:t>
      </w:r>
      <w:r w:rsidRPr="007F2874">
        <w:rPr>
          <w:szCs w:val="24"/>
        </w:rPr>
        <w:t>elles relèvent de l</w:t>
      </w:r>
      <w:r w:rsidR="00AA3A41">
        <w:rPr>
          <w:szCs w:val="24"/>
        </w:rPr>
        <w:t>’</w:t>
      </w:r>
      <w:r w:rsidRPr="007F2874">
        <w:rPr>
          <w:szCs w:val="24"/>
        </w:rPr>
        <w:t>article</w:t>
      </w:r>
      <w:r>
        <w:rPr>
          <w:szCs w:val="24"/>
        </w:rPr>
        <w:t> </w:t>
      </w:r>
      <w:r w:rsidRPr="007F2874">
        <w:rPr>
          <w:szCs w:val="24"/>
        </w:rPr>
        <w:t>13 du Pacte</w:t>
      </w:r>
      <w:r w:rsidRPr="00F439F5">
        <w:rPr>
          <w:rStyle w:val="FootnoteReference"/>
        </w:rPr>
        <w:footnoteReference w:id="22"/>
      </w:r>
      <w:r w:rsidRPr="007F2874">
        <w:rPr>
          <w:szCs w:val="24"/>
        </w:rPr>
        <w:t>.</w:t>
      </w:r>
      <w:r>
        <w:rPr>
          <w:szCs w:val="24"/>
        </w:rPr>
        <w:t xml:space="preserve"> Il considère</w:t>
      </w:r>
      <w:r w:rsidRPr="00955D33">
        <w:rPr>
          <w:szCs w:val="24"/>
        </w:rPr>
        <w:t xml:space="preserve"> donc que </w:t>
      </w:r>
      <w:r>
        <w:rPr>
          <w:szCs w:val="24"/>
        </w:rPr>
        <w:t>le grief que</w:t>
      </w:r>
      <w:r w:rsidRPr="00955D33">
        <w:rPr>
          <w:szCs w:val="24"/>
        </w:rPr>
        <w:t xml:space="preserve"> l</w:t>
      </w:r>
      <w:r w:rsidR="00AA3A41">
        <w:rPr>
          <w:szCs w:val="24"/>
        </w:rPr>
        <w:t>’</w:t>
      </w:r>
      <w:r w:rsidRPr="00955D33">
        <w:rPr>
          <w:szCs w:val="24"/>
        </w:rPr>
        <w:t xml:space="preserve">auteur </w:t>
      </w:r>
      <w:r>
        <w:rPr>
          <w:szCs w:val="24"/>
        </w:rPr>
        <w:t>tire</w:t>
      </w:r>
      <w:r w:rsidRPr="00955D33">
        <w:rPr>
          <w:szCs w:val="24"/>
        </w:rPr>
        <w:t xml:space="preserve"> de l</w:t>
      </w:r>
      <w:r w:rsidR="00AA3A41">
        <w:rPr>
          <w:szCs w:val="24"/>
        </w:rPr>
        <w:t>’</w:t>
      </w:r>
      <w:r w:rsidR="00CE3347">
        <w:rPr>
          <w:szCs w:val="24"/>
        </w:rPr>
        <w:t>article </w:t>
      </w:r>
      <w:r w:rsidRPr="00955D33">
        <w:rPr>
          <w:szCs w:val="24"/>
        </w:rPr>
        <w:t xml:space="preserve">14 est irrecevable </w:t>
      </w:r>
      <w:r w:rsidRPr="00955D33">
        <w:rPr>
          <w:i/>
          <w:szCs w:val="24"/>
        </w:rPr>
        <w:t>ratione materiae</w:t>
      </w:r>
      <w:r w:rsidRPr="00955D33">
        <w:rPr>
          <w:szCs w:val="24"/>
        </w:rPr>
        <w:t xml:space="preserve"> </w:t>
      </w:r>
      <w:r>
        <w:rPr>
          <w:szCs w:val="24"/>
        </w:rPr>
        <w:t>au regard</w:t>
      </w:r>
      <w:r w:rsidRPr="00955D33">
        <w:rPr>
          <w:szCs w:val="24"/>
        </w:rPr>
        <w:t xml:space="preserve"> de l</w:t>
      </w:r>
      <w:r w:rsidR="00AA3A41">
        <w:rPr>
          <w:szCs w:val="24"/>
        </w:rPr>
        <w:t>’</w:t>
      </w:r>
      <w:r w:rsidR="00CE3347">
        <w:rPr>
          <w:szCs w:val="24"/>
        </w:rPr>
        <w:t>article </w:t>
      </w:r>
      <w:r w:rsidRPr="00955D33">
        <w:rPr>
          <w:szCs w:val="24"/>
        </w:rPr>
        <w:t>3 du Protocole facultatif</w:t>
      </w:r>
      <w:r>
        <w:rPr>
          <w:szCs w:val="24"/>
        </w:rPr>
        <w:t>.</w:t>
      </w:r>
    </w:p>
    <w:p w:rsidR="00F439F5" w:rsidRPr="007F2874" w:rsidRDefault="00F439F5" w:rsidP="007655E6">
      <w:pPr>
        <w:pStyle w:val="SingleTxtG"/>
        <w:rPr>
          <w:szCs w:val="24"/>
        </w:rPr>
      </w:pPr>
      <w:r w:rsidRPr="007F2874">
        <w:rPr>
          <w:szCs w:val="24"/>
        </w:rPr>
        <w:t>8.6</w:t>
      </w:r>
      <w:r w:rsidRPr="007F2874">
        <w:rPr>
          <w:szCs w:val="24"/>
        </w:rPr>
        <w:tab/>
      </w:r>
      <w:r w:rsidRPr="007655E6">
        <w:t>Compte</w:t>
      </w:r>
      <w:r w:rsidRPr="007F2874">
        <w:rPr>
          <w:szCs w:val="24"/>
        </w:rPr>
        <w:t xml:space="preserve"> tenu de ce qui précède, le Comité conclut que la communication est recevable au regard du paragraphe</w:t>
      </w:r>
      <w:r>
        <w:rPr>
          <w:szCs w:val="24"/>
        </w:rPr>
        <w:t> </w:t>
      </w:r>
      <w:r w:rsidRPr="007F2874">
        <w:rPr>
          <w:szCs w:val="24"/>
        </w:rPr>
        <w:t>2</w:t>
      </w:r>
      <w:r>
        <w:rPr>
          <w:szCs w:val="24"/>
        </w:rPr>
        <w:t> </w:t>
      </w:r>
      <w:r w:rsidRPr="007F2874">
        <w:rPr>
          <w:szCs w:val="24"/>
        </w:rPr>
        <w:t>b) de l</w:t>
      </w:r>
      <w:r w:rsidR="00AA3A41">
        <w:rPr>
          <w:szCs w:val="24"/>
        </w:rPr>
        <w:t>’</w:t>
      </w:r>
      <w:r w:rsidRPr="007F2874">
        <w:rPr>
          <w:szCs w:val="24"/>
        </w:rPr>
        <w:t>article</w:t>
      </w:r>
      <w:r>
        <w:rPr>
          <w:szCs w:val="24"/>
        </w:rPr>
        <w:t> </w:t>
      </w:r>
      <w:r w:rsidRPr="007F2874">
        <w:rPr>
          <w:szCs w:val="24"/>
        </w:rPr>
        <w:t>5 du Protocole facultatif, en ce qu</w:t>
      </w:r>
      <w:r w:rsidR="00AA3A41">
        <w:rPr>
          <w:szCs w:val="24"/>
        </w:rPr>
        <w:t>’</w:t>
      </w:r>
      <w:r w:rsidRPr="007F2874">
        <w:rPr>
          <w:szCs w:val="24"/>
        </w:rPr>
        <w:t>elle soulève des questions au titre des articles</w:t>
      </w:r>
      <w:r>
        <w:rPr>
          <w:szCs w:val="24"/>
        </w:rPr>
        <w:t> </w:t>
      </w:r>
      <w:r w:rsidRPr="007F2874">
        <w:rPr>
          <w:szCs w:val="24"/>
        </w:rPr>
        <w:t>7 et</w:t>
      </w:r>
      <w:r w:rsidR="00CE3347">
        <w:rPr>
          <w:szCs w:val="24"/>
        </w:rPr>
        <w:t xml:space="preserve"> </w:t>
      </w:r>
      <w:r w:rsidRPr="007F2874">
        <w:rPr>
          <w:szCs w:val="24"/>
        </w:rPr>
        <w:t xml:space="preserve">18 du Pacte. </w:t>
      </w:r>
    </w:p>
    <w:p w:rsidR="00F439F5" w:rsidRPr="007F2874" w:rsidRDefault="00F439F5" w:rsidP="00F439F5">
      <w:pPr>
        <w:pStyle w:val="H4G"/>
      </w:pPr>
      <w:r>
        <w:tab/>
      </w:r>
      <w:r>
        <w:tab/>
      </w:r>
      <w:r w:rsidRPr="007F2874">
        <w:t>Examen au fond</w:t>
      </w:r>
    </w:p>
    <w:p w:rsidR="00F439F5" w:rsidRPr="007F2874" w:rsidRDefault="00F439F5" w:rsidP="007655E6">
      <w:pPr>
        <w:pStyle w:val="SingleTxtG"/>
        <w:rPr>
          <w:szCs w:val="24"/>
        </w:rPr>
      </w:pPr>
      <w:r w:rsidRPr="007F2874">
        <w:rPr>
          <w:szCs w:val="24"/>
        </w:rPr>
        <w:t>9.1</w:t>
      </w:r>
      <w:r w:rsidRPr="007F2874">
        <w:rPr>
          <w:szCs w:val="24"/>
        </w:rPr>
        <w:tab/>
      </w:r>
      <w:r>
        <w:rPr>
          <w:szCs w:val="24"/>
        </w:rPr>
        <w:t>C</w:t>
      </w:r>
      <w:r w:rsidRPr="007F2874">
        <w:rPr>
          <w:szCs w:val="24"/>
        </w:rPr>
        <w:t>onformément au paragraphe</w:t>
      </w:r>
      <w:r>
        <w:rPr>
          <w:szCs w:val="24"/>
        </w:rPr>
        <w:t> </w:t>
      </w:r>
      <w:r w:rsidRPr="007F2874">
        <w:rPr>
          <w:szCs w:val="24"/>
        </w:rPr>
        <w:t>1 de l</w:t>
      </w:r>
      <w:r w:rsidR="00AA3A41">
        <w:rPr>
          <w:szCs w:val="24"/>
        </w:rPr>
        <w:t>’</w:t>
      </w:r>
      <w:r w:rsidRPr="007F2874">
        <w:rPr>
          <w:szCs w:val="24"/>
        </w:rPr>
        <w:t>article</w:t>
      </w:r>
      <w:r>
        <w:rPr>
          <w:szCs w:val="24"/>
        </w:rPr>
        <w:t> </w:t>
      </w:r>
      <w:r w:rsidRPr="007F2874">
        <w:rPr>
          <w:szCs w:val="24"/>
        </w:rPr>
        <w:t>5 du Protocole facultatif</w:t>
      </w:r>
      <w:r>
        <w:rPr>
          <w:szCs w:val="24"/>
        </w:rPr>
        <w:t>, l</w:t>
      </w:r>
      <w:r w:rsidRPr="007F2874">
        <w:rPr>
          <w:szCs w:val="24"/>
        </w:rPr>
        <w:t>e Comité des droits de l</w:t>
      </w:r>
      <w:r w:rsidR="00AA3A41">
        <w:rPr>
          <w:szCs w:val="24"/>
        </w:rPr>
        <w:t>’</w:t>
      </w:r>
      <w:r w:rsidRPr="007F2874">
        <w:rPr>
          <w:szCs w:val="24"/>
        </w:rPr>
        <w:t xml:space="preserve">homme a examiné la présente communication en tenant compte de toutes les informations qui lui ont été </w:t>
      </w:r>
      <w:r>
        <w:rPr>
          <w:szCs w:val="24"/>
        </w:rPr>
        <w:t>communiquées</w:t>
      </w:r>
      <w:r w:rsidRPr="007F2874">
        <w:rPr>
          <w:szCs w:val="24"/>
        </w:rPr>
        <w:t xml:space="preserve"> par les parties.</w:t>
      </w:r>
    </w:p>
    <w:p w:rsidR="00F439F5" w:rsidRPr="007F2874" w:rsidRDefault="00F439F5" w:rsidP="007655E6">
      <w:pPr>
        <w:pStyle w:val="SingleTxtG"/>
        <w:rPr>
          <w:szCs w:val="24"/>
        </w:rPr>
      </w:pPr>
      <w:r w:rsidRPr="007F2874">
        <w:rPr>
          <w:szCs w:val="24"/>
        </w:rPr>
        <w:t>9.2</w:t>
      </w:r>
      <w:r w:rsidRPr="007F2874">
        <w:rPr>
          <w:szCs w:val="24"/>
        </w:rPr>
        <w:tab/>
        <w:t xml:space="preserve">Le </w:t>
      </w:r>
      <w:r w:rsidRPr="007655E6">
        <w:t>Comité</w:t>
      </w:r>
      <w:r w:rsidRPr="007F2874">
        <w:rPr>
          <w:szCs w:val="24"/>
        </w:rPr>
        <w:t xml:space="preserve"> considère qu</w:t>
      </w:r>
      <w:r w:rsidR="00AA3A41">
        <w:rPr>
          <w:szCs w:val="24"/>
        </w:rPr>
        <w:t>’</w:t>
      </w:r>
      <w:r w:rsidRPr="007F2874">
        <w:rPr>
          <w:szCs w:val="24"/>
        </w:rPr>
        <w:t>il convient de tenir compte de l</w:t>
      </w:r>
      <w:r w:rsidR="00AA3A41">
        <w:rPr>
          <w:szCs w:val="24"/>
        </w:rPr>
        <w:t>’</w:t>
      </w:r>
      <w:r w:rsidRPr="007F2874">
        <w:rPr>
          <w:szCs w:val="24"/>
        </w:rPr>
        <w:t>obligation qui incombe à l</w:t>
      </w:r>
      <w:r w:rsidR="00AA3A41">
        <w:rPr>
          <w:szCs w:val="24"/>
        </w:rPr>
        <w:t>’</w:t>
      </w:r>
      <w:r w:rsidRPr="007F2874">
        <w:rPr>
          <w:szCs w:val="24"/>
        </w:rPr>
        <w:t>État partie, en vertu du paragraphe 1 de l</w:t>
      </w:r>
      <w:r w:rsidR="00AA3A41">
        <w:rPr>
          <w:szCs w:val="24"/>
        </w:rPr>
        <w:t>’</w:t>
      </w:r>
      <w:r w:rsidRPr="007F2874">
        <w:rPr>
          <w:szCs w:val="24"/>
        </w:rPr>
        <w:t>article</w:t>
      </w:r>
      <w:r>
        <w:rPr>
          <w:szCs w:val="24"/>
        </w:rPr>
        <w:t> </w:t>
      </w:r>
      <w:r w:rsidRPr="007F2874">
        <w:rPr>
          <w:szCs w:val="24"/>
        </w:rPr>
        <w:t>2 du Pacte, de garantir à tous les individus se trouvant sur son territoire et relevant de sa compétence les droits reconnus dans le Pacte, y compris dans l</w:t>
      </w:r>
      <w:r w:rsidR="00AA3A41">
        <w:rPr>
          <w:szCs w:val="24"/>
        </w:rPr>
        <w:t>’</w:t>
      </w:r>
      <w:r w:rsidRPr="007F2874">
        <w:rPr>
          <w:szCs w:val="24"/>
        </w:rPr>
        <w:t>application des procédures d</w:t>
      </w:r>
      <w:r w:rsidR="00AA3A41">
        <w:rPr>
          <w:szCs w:val="24"/>
        </w:rPr>
        <w:t>’</w:t>
      </w:r>
      <w:r w:rsidRPr="007F2874">
        <w:rPr>
          <w:szCs w:val="24"/>
        </w:rPr>
        <w:t>expulsion de non-nationaux</w:t>
      </w:r>
      <w:r w:rsidRPr="00F439F5">
        <w:rPr>
          <w:rStyle w:val="FootnoteReference"/>
        </w:rPr>
        <w:footnoteReference w:id="23"/>
      </w:r>
      <w:r w:rsidRPr="007F2874">
        <w:rPr>
          <w:szCs w:val="24"/>
        </w:rPr>
        <w:t>. Il</w:t>
      </w:r>
      <w:r w:rsidR="00CE3347">
        <w:rPr>
          <w:szCs w:val="24"/>
        </w:rPr>
        <w:t xml:space="preserve"> </w:t>
      </w:r>
      <w:r w:rsidRPr="007F2874">
        <w:rPr>
          <w:szCs w:val="24"/>
        </w:rPr>
        <w:t>rappelle également l</w:t>
      </w:r>
      <w:r w:rsidR="00AA3A41">
        <w:rPr>
          <w:szCs w:val="24"/>
        </w:rPr>
        <w:t>’</w:t>
      </w:r>
      <w:r w:rsidRPr="007F2874">
        <w:rPr>
          <w:szCs w:val="24"/>
        </w:rPr>
        <w:t>obligation qui est faite aux États parties de ne pas extrader, déplacer ou expulser une personne de leur territoire ou la transférer par d</w:t>
      </w:r>
      <w:r w:rsidR="00AA3A41">
        <w:rPr>
          <w:szCs w:val="24"/>
        </w:rPr>
        <w:t>’</w:t>
      </w:r>
      <w:r w:rsidRPr="007F2874">
        <w:rPr>
          <w:szCs w:val="24"/>
        </w:rPr>
        <w:t>autres moyens si cette mesure a pour conséquence nécessaire et prévisible d</w:t>
      </w:r>
      <w:r w:rsidR="00AA3A41">
        <w:rPr>
          <w:szCs w:val="24"/>
        </w:rPr>
        <w:t>’</w:t>
      </w:r>
      <w:r w:rsidRPr="007F2874">
        <w:rPr>
          <w:szCs w:val="24"/>
        </w:rPr>
        <w:t xml:space="preserve">exposer la personne concernée à un risque réel de préjudice irréparable, tel </w:t>
      </w:r>
      <w:r>
        <w:rPr>
          <w:szCs w:val="24"/>
        </w:rPr>
        <w:t xml:space="preserve">que </w:t>
      </w:r>
      <w:r w:rsidRPr="007F2874">
        <w:rPr>
          <w:szCs w:val="24"/>
        </w:rPr>
        <w:t>les traitements visés à l</w:t>
      </w:r>
      <w:r w:rsidR="00AA3A41">
        <w:rPr>
          <w:szCs w:val="24"/>
        </w:rPr>
        <w:t>’</w:t>
      </w:r>
      <w:r w:rsidRPr="007F2874">
        <w:rPr>
          <w:szCs w:val="24"/>
        </w:rPr>
        <w:t>article 7 du Pacte, que ce soit dans le pays vers lequel doit être effectué le renvoi ou dans tout autre pays vers lequel la personne pourrait être renvoyée par la suite</w:t>
      </w:r>
      <w:r w:rsidRPr="00F439F5">
        <w:rPr>
          <w:rStyle w:val="FootnoteReference"/>
        </w:rPr>
        <w:footnoteReference w:id="24"/>
      </w:r>
      <w:r w:rsidRPr="007F2874">
        <w:rPr>
          <w:szCs w:val="24"/>
        </w:rPr>
        <w:t>. Le Comité a établi qu</w:t>
      </w:r>
      <w:r w:rsidR="00AA3A41">
        <w:rPr>
          <w:szCs w:val="24"/>
        </w:rPr>
        <w:t>’</w:t>
      </w:r>
      <w:r w:rsidRPr="007F2874">
        <w:rPr>
          <w:szCs w:val="24"/>
        </w:rPr>
        <w:t>un tel risque doit être personnel</w:t>
      </w:r>
      <w:r w:rsidRPr="00F439F5">
        <w:rPr>
          <w:rStyle w:val="FootnoteReference"/>
        </w:rPr>
        <w:footnoteReference w:id="25"/>
      </w:r>
      <w:r w:rsidRPr="007F2874">
        <w:rPr>
          <w:szCs w:val="24"/>
        </w:rPr>
        <w:t xml:space="preserve"> et qu</w:t>
      </w:r>
      <w:r w:rsidR="00AA3A41">
        <w:rPr>
          <w:szCs w:val="24"/>
        </w:rPr>
        <w:t>’</w:t>
      </w:r>
      <w:r w:rsidRPr="007F2874">
        <w:rPr>
          <w:szCs w:val="24"/>
        </w:rPr>
        <w:t>il faut des motifs sérieux de conclure à l</w:t>
      </w:r>
      <w:r w:rsidR="00AA3A41">
        <w:rPr>
          <w:szCs w:val="24"/>
        </w:rPr>
        <w:t>’</w:t>
      </w:r>
      <w:r w:rsidRPr="007F2874">
        <w:rPr>
          <w:szCs w:val="24"/>
        </w:rPr>
        <w:t>existence d</w:t>
      </w:r>
      <w:r w:rsidR="00AA3A41">
        <w:rPr>
          <w:szCs w:val="24"/>
        </w:rPr>
        <w:t>’</w:t>
      </w:r>
      <w:r w:rsidRPr="007F2874">
        <w:rPr>
          <w:szCs w:val="24"/>
        </w:rPr>
        <w:t>un risque réel de préjudice irréparable</w:t>
      </w:r>
      <w:r w:rsidRPr="00F439F5">
        <w:rPr>
          <w:rStyle w:val="FootnoteReference"/>
        </w:rPr>
        <w:footnoteReference w:id="26"/>
      </w:r>
      <w:r w:rsidRPr="007F2874">
        <w:rPr>
          <w:szCs w:val="24"/>
        </w:rPr>
        <w:t>. C</w:t>
      </w:r>
      <w:r w:rsidR="00AA3A41">
        <w:rPr>
          <w:szCs w:val="24"/>
        </w:rPr>
        <w:t>’</w:t>
      </w:r>
      <w:r w:rsidRPr="007F2874">
        <w:rPr>
          <w:szCs w:val="24"/>
        </w:rPr>
        <w:t>est pourquoi tous les faits et circonstances pertinents doivent être pris en considération, notamment la situation générale des droits de l</w:t>
      </w:r>
      <w:r w:rsidR="00AA3A41">
        <w:rPr>
          <w:szCs w:val="24"/>
        </w:rPr>
        <w:t>’</w:t>
      </w:r>
      <w:r w:rsidRPr="007F2874">
        <w:rPr>
          <w:szCs w:val="24"/>
        </w:rPr>
        <w:t>homme dans le pays d</w:t>
      </w:r>
      <w:r w:rsidR="00AA3A41">
        <w:rPr>
          <w:szCs w:val="24"/>
        </w:rPr>
        <w:t>’</w:t>
      </w:r>
      <w:r w:rsidRPr="007F2874">
        <w:rPr>
          <w:szCs w:val="24"/>
        </w:rPr>
        <w:t>origine de l</w:t>
      </w:r>
      <w:r w:rsidR="00AA3A41">
        <w:rPr>
          <w:szCs w:val="24"/>
        </w:rPr>
        <w:t>’</w:t>
      </w:r>
      <w:r w:rsidRPr="007F2874">
        <w:rPr>
          <w:szCs w:val="24"/>
        </w:rPr>
        <w:t>auteur</w:t>
      </w:r>
      <w:r w:rsidRPr="00F439F5">
        <w:rPr>
          <w:rStyle w:val="FootnoteReference"/>
        </w:rPr>
        <w:footnoteReference w:id="27"/>
      </w:r>
      <w:r w:rsidRPr="007F2874">
        <w:rPr>
          <w:szCs w:val="24"/>
        </w:rPr>
        <w:t>.</w:t>
      </w:r>
    </w:p>
    <w:p w:rsidR="00F439F5" w:rsidRPr="007F2874" w:rsidRDefault="00F439F5" w:rsidP="007655E6">
      <w:pPr>
        <w:pStyle w:val="SingleTxtG"/>
        <w:rPr>
          <w:szCs w:val="24"/>
        </w:rPr>
      </w:pPr>
      <w:r w:rsidRPr="007F2874">
        <w:rPr>
          <w:szCs w:val="24"/>
        </w:rPr>
        <w:t>9.3</w:t>
      </w:r>
      <w:r w:rsidRPr="007F2874">
        <w:rPr>
          <w:szCs w:val="24"/>
        </w:rPr>
        <w:tab/>
      </w:r>
      <w:r w:rsidRPr="007655E6">
        <w:t>Le</w:t>
      </w:r>
      <w:r w:rsidRPr="007F2874">
        <w:rPr>
          <w:szCs w:val="24"/>
        </w:rPr>
        <w:t xml:space="preserve"> Comité rappelle sa jurisprudence et réaffirme que, s</w:t>
      </w:r>
      <w:r w:rsidR="00AA3A41">
        <w:rPr>
          <w:szCs w:val="24"/>
        </w:rPr>
        <w:t>’</w:t>
      </w:r>
      <w:r w:rsidRPr="007F2874">
        <w:rPr>
          <w:szCs w:val="24"/>
        </w:rPr>
        <w:t>il convient d</w:t>
      </w:r>
      <w:r w:rsidR="00AA3A41">
        <w:rPr>
          <w:szCs w:val="24"/>
        </w:rPr>
        <w:t>’</w:t>
      </w:r>
      <w:r w:rsidRPr="007F2874">
        <w:rPr>
          <w:szCs w:val="24"/>
        </w:rPr>
        <w:t>accorder un poids important à l</w:t>
      </w:r>
      <w:r w:rsidR="00AA3A41">
        <w:rPr>
          <w:szCs w:val="24"/>
        </w:rPr>
        <w:t>’</w:t>
      </w:r>
      <w:r>
        <w:rPr>
          <w:szCs w:val="24"/>
        </w:rPr>
        <w:t>analyse</w:t>
      </w:r>
      <w:r w:rsidRPr="007F2874">
        <w:rPr>
          <w:szCs w:val="24"/>
        </w:rPr>
        <w:t xml:space="preserve"> qu</w:t>
      </w:r>
      <w:r w:rsidR="00AA3A41">
        <w:rPr>
          <w:szCs w:val="24"/>
        </w:rPr>
        <w:t>’</w:t>
      </w:r>
      <w:r w:rsidRPr="007F2874">
        <w:rPr>
          <w:szCs w:val="24"/>
        </w:rPr>
        <w:t>a fait</w:t>
      </w:r>
      <w:r>
        <w:rPr>
          <w:szCs w:val="24"/>
        </w:rPr>
        <w:t>e</w:t>
      </w:r>
      <w:r w:rsidRPr="007F2874">
        <w:rPr>
          <w:szCs w:val="24"/>
        </w:rPr>
        <w:t xml:space="preserve"> l</w:t>
      </w:r>
      <w:r w:rsidR="00AA3A41">
        <w:rPr>
          <w:szCs w:val="24"/>
        </w:rPr>
        <w:t>’</w:t>
      </w:r>
      <w:r w:rsidRPr="007F2874">
        <w:rPr>
          <w:szCs w:val="24"/>
        </w:rPr>
        <w:t>État partie de l</w:t>
      </w:r>
      <w:r w:rsidR="00AA3A41">
        <w:rPr>
          <w:szCs w:val="24"/>
        </w:rPr>
        <w:t>’</w:t>
      </w:r>
      <w:r w:rsidRPr="007F2874">
        <w:rPr>
          <w:szCs w:val="24"/>
        </w:rPr>
        <w:t>affaire, c</w:t>
      </w:r>
      <w:r w:rsidR="00AA3A41">
        <w:rPr>
          <w:szCs w:val="24"/>
        </w:rPr>
        <w:t>’</w:t>
      </w:r>
      <w:r w:rsidRPr="007F2874">
        <w:rPr>
          <w:szCs w:val="24"/>
        </w:rPr>
        <w:t>est généralement aux juridictions des États parties au Pacte qu</w:t>
      </w:r>
      <w:r w:rsidR="00AA3A41">
        <w:rPr>
          <w:szCs w:val="24"/>
        </w:rPr>
        <w:t>’</w:t>
      </w:r>
      <w:r w:rsidRPr="007F2874">
        <w:rPr>
          <w:szCs w:val="24"/>
        </w:rPr>
        <w:t>il appartient d</w:t>
      </w:r>
      <w:r w:rsidR="00AA3A41">
        <w:rPr>
          <w:szCs w:val="24"/>
        </w:rPr>
        <w:t>’</w:t>
      </w:r>
      <w:r w:rsidRPr="007F2874">
        <w:rPr>
          <w:szCs w:val="24"/>
        </w:rPr>
        <w:t>apprécier les faits et les éléments de preuve dans un cas d</w:t>
      </w:r>
      <w:r w:rsidR="00AA3A41">
        <w:rPr>
          <w:szCs w:val="24"/>
        </w:rPr>
        <w:t>’</w:t>
      </w:r>
      <w:r w:rsidRPr="007F2874">
        <w:rPr>
          <w:szCs w:val="24"/>
        </w:rPr>
        <w:t>espèce, sauf s</w:t>
      </w:r>
      <w:r w:rsidR="00AA3A41">
        <w:rPr>
          <w:szCs w:val="24"/>
        </w:rPr>
        <w:t>’</w:t>
      </w:r>
      <w:r w:rsidRPr="007F2874">
        <w:rPr>
          <w:szCs w:val="24"/>
        </w:rPr>
        <w:t>il peut être établi que cette appréciation a été manifestement arbitraire ou a représenté un déni de justice</w:t>
      </w:r>
      <w:r w:rsidRPr="00F439F5">
        <w:rPr>
          <w:rStyle w:val="FootnoteReference"/>
        </w:rPr>
        <w:footnoteReference w:id="28"/>
      </w:r>
      <w:r w:rsidRPr="007F2874">
        <w:rPr>
          <w:szCs w:val="24"/>
        </w:rPr>
        <w:t>. Dans la présente affaire, le</w:t>
      </w:r>
      <w:r w:rsidR="00CE3347">
        <w:rPr>
          <w:szCs w:val="24"/>
        </w:rPr>
        <w:t xml:space="preserve"> </w:t>
      </w:r>
      <w:r w:rsidRPr="007F2874">
        <w:rPr>
          <w:szCs w:val="24"/>
        </w:rPr>
        <w:t>Comité note que l</w:t>
      </w:r>
      <w:r w:rsidR="00AA3A41">
        <w:rPr>
          <w:szCs w:val="24"/>
        </w:rPr>
        <w:t>’</w:t>
      </w:r>
      <w:r w:rsidRPr="007F2874">
        <w:rPr>
          <w:szCs w:val="24"/>
        </w:rPr>
        <w:t>auteur, selon ses dires, risque d</w:t>
      </w:r>
      <w:r w:rsidR="00AA3A41">
        <w:rPr>
          <w:szCs w:val="24"/>
        </w:rPr>
        <w:t>’</w:t>
      </w:r>
      <w:r w:rsidRPr="007F2874">
        <w:rPr>
          <w:szCs w:val="24"/>
        </w:rPr>
        <w:t>être pris pour cible car, faute de pouvoir présenter un passeport érythréen et un tampon de sortie du territoire, il ne pourra pas prouver qu</w:t>
      </w:r>
      <w:r w:rsidR="00AA3A41">
        <w:rPr>
          <w:szCs w:val="24"/>
        </w:rPr>
        <w:t>’</w:t>
      </w:r>
      <w:r w:rsidRPr="007F2874">
        <w:rPr>
          <w:szCs w:val="24"/>
        </w:rPr>
        <w:t>il n</w:t>
      </w:r>
      <w:r w:rsidR="00AA3A41">
        <w:rPr>
          <w:szCs w:val="24"/>
        </w:rPr>
        <w:t>’</w:t>
      </w:r>
      <w:r w:rsidRPr="007F2874">
        <w:rPr>
          <w:szCs w:val="24"/>
        </w:rPr>
        <w:t>a jamais vécu en Érythrée et qu</w:t>
      </w:r>
      <w:r w:rsidR="00AA3A41">
        <w:rPr>
          <w:szCs w:val="24"/>
        </w:rPr>
        <w:t>’</w:t>
      </w:r>
      <w:r w:rsidRPr="007F2874">
        <w:rPr>
          <w:szCs w:val="24"/>
        </w:rPr>
        <w:t>il n</w:t>
      </w:r>
      <w:r w:rsidR="00AA3A41">
        <w:rPr>
          <w:szCs w:val="24"/>
        </w:rPr>
        <w:t>’</w:t>
      </w:r>
      <w:r w:rsidRPr="007F2874">
        <w:rPr>
          <w:szCs w:val="24"/>
        </w:rPr>
        <w:t xml:space="preserve">en est </w:t>
      </w:r>
      <w:r>
        <w:rPr>
          <w:szCs w:val="24"/>
        </w:rPr>
        <w:t xml:space="preserve">donc </w:t>
      </w:r>
      <w:r w:rsidRPr="007F2874">
        <w:rPr>
          <w:szCs w:val="24"/>
        </w:rPr>
        <w:t>pas sorti illégalement. Le Comité note également que, toujours selon l</w:t>
      </w:r>
      <w:r w:rsidR="00AA3A41">
        <w:rPr>
          <w:szCs w:val="24"/>
        </w:rPr>
        <w:t>’</w:t>
      </w:r>
      <w:r w:rsidRPr="007F2874">
        <w:rPr>
          <w:szCs w:val="24"/>
        </w:rPr>
        <w:t>auteur, les autorités érythréennes infligent des mauvais traitements aux demandeurs d</w:t>
      </w:r>
      <w:r w:rsidR="00AA3A41">
        <w:rPr>
          <w:szCs w:val="24"/>
        </w:rPr>
        <w:t>’</w:t>
      </w:r>
      <w:r w:rsidRPr="007F2874">
        <w:rPr>
          <w:szCs w:val="24"/>
        </w:rPr>
        <w:t>asile déboutés qui rentrent au pays. Il note en outre que, de l</w:t>
      </w:r>
      <w:r w:rsidR="00AA3A41">
        <w:rPr>
          <w:szCs w:val="24"/>
        </w:rPr>
        <w:t>’</w:t>
      </w:r>
      <w:r w:rsidRPr="007F2874">
        <w:rPr>
          <w:szCs w:val="24"/>
        </w:rPr>
        <w:t>avis de l</w:t>
      </w:r>
      <w:r w:rsidR="00AA3A41">
        <w:rPr>
          <w:szCs w:val="24"/>
        </w:rPr>
        <w:t>’</w:t>
      </w:r>
      <w:r w:rsidRPr="007F2874">
        <w:rPr>
          <w:szCs w:val="24"/>
        </w:rPr>
        <w:t>État partie, l</w:t>
      </w:r>
      <w:r w:rsidR="00AA3A41">
        <w:rPr>
          <w:szCs w:val="24"/>
        </w:rPr>
        <w:t>’</w:t>
      </w:r>
      <w:r w:rsidRPr="007F2874">
        <w:rPr>
          <w:szCs w:val="24"/>
        </w:rPr>
        <w:t>auteur pourrait obtenir un passeport à l</w:t>
      </w:r>
      <w:r w:rsidR="00AA3A41">
        <w:rPr>
          <w:szCs w:val="24"/>
        </w:rPr>
        <w:t>’</w:t>
      </w:r>
      <w:r w:rsidRPr="007F2874">
        <w:rPr>
          <w:szCs w:val="24"/>
        </w:rPr>
        <w:t>ambassade d</w:t>
      </w:r>
      <w:r w:rsidR="00AA3A41">
        <w:rPr>
          <w:szCs w:val="24"/>
        </w:rPr>
        <w:t>’</w:t>
      </w:r>
      <w:r w:rsidRPr="007F2874">
        <w:rPr>
          <w:szCs w:val="24"/>
        </w:rPr>
        <w:t xml:space="preserve">Érythrée au Danemark. Le Comité relève </w:t>
      </w:r>
      <w:r>
        <w:rPr>
          <w:szCs w:val="24"/>
        </w:rPr>
        <w:t xml:space="preserve">cependant </w:t>
      </w:r>
      <w:r w:rsidRPr="007F2874">
        <w:rPr>
          <w:szCs w:val="24"/>
        </w:rPr>
        <w:t>que, selon des sources crédibles, les personnes qui ont émigré illégalement</w:t>
      </w:r>
      <w:r>
        <w:rPr>
          <w:szCs w:val="24"/>
        </w:rPr>
        <w:t>,</w:t>
      </w:r>
      <w:r w:rsidRPr="007F2874">
        <w:rPr>
          <w:szCs w:val="24"/>
        </w:rPr>
        <w:t xml:space="preserve"> celles qui se sont vu refuser l</w:t>
      </w:r>
      <w:r w:rsidR="00AA3A41">
        <w:rPr>
          <w:szCs w:val="24"/>
        </w:rPr>
        <w:t>’</w:t>
      </w:r>
      <w:r w:rsidRPr="007F2874">
        <w:rPr>
          <w:szCs w:val="24"/>
        </w:rPr>
        <w:t xml:space="preserve">asile ailleurs </w:t>
      </w:r>
      <w:r>
        <w:rPr>
          <w:szCs w:val="24"/>
        </w:rPr>
        <w:t xml:space="preserve">et les insoumis </w:t>
      </w:r>
      <w:r w:rsidRPr="007F2874">
        <w:rPr>
          <w:szCs w:val="24"/>
        </w:rPr>
        <w:t>risquent d</w:t>
      </w:r>
      <w:r w:rsidR="00AA3A41">
        <w:rPr>
          <w:szCs w:val="24"/>
        </w:rPr>
        <w:t>’</w:t>
      </w:r>
      <w:r w:rsidRPr="007F2874">
        <w:rPr>
          <w:szCs w:val="24"/>
        </w:rPr>
        <w:t>être gravement maltraités lorsqu</w:t>
      </w:r>
      <w:r w:rsidR="00AA3A41">
        <w:rPr>
          <w:szCs w:val="24"/>
        </w:rPr>
        <w:t>’</w:t>
      </w:r>
      <w:r>
        <w:rPr>
          <w:szCs w:val="24"/>
        </w:rPr>
        <w:t>ils</w:t>
      </w:r>
      <w:r w:rsidRPr="007F2874">
        <w:rPr>
          <w:szCs w:val="24"/>
        </w:rPr>
        <w:t xml:space="preserve"> sont rapatriés en Érythrée</w:t>
      </w:r>
      <w:r>
        <w:rPr>
          <w:szCs w:val="24"/>
        </w:rPr>
        <w:t xml:space="preserve">, </w:t>
      </w:r>
      <w:r w:rsidRPr="00CA0C8E">
        <w:rPr>
          <w:szCs w:val="24"/>
        </w:rPr>
        <w:t>et que l</w:t>
      </w:r>
      <w:r w:rsidR="00AA3A41">
        <w:rPr>
          <w:szCs w:val="24"/>
        </w:rPr>
        <w:t>’</w:t>
      </w:r>
      <w:r w:rsidRPr="00CA0C8E">
        <w:rPr>
          <w:szCs w:val="24"/>
        </w:rPr>
        <w:t>auteur affirme qu</w:t>
      </w:r>
      <w:r w:rsidR="00AA3A41">
        <w:rPr>
          <w:szCs w:val="24"/>
        </w:rPr>
        <w:t>’</w:t>
      </w:r>
      <w:r w:rsidRPr="00CA0C8E">
        <w:rPr>
          <w:szCs w:val="24"/>
        </w:rPr>
        <w:t xml:space="preserve">il </w:t>
      </w:r>
      <w:r>
        <w:rPr>
          <w:szCs w:val="24"/>
        </w:rPr>
        <w:t>dev</w:t>
      </w:r>
      <w:r w:rsidRPr="00CA0C8E">
        <w:rPr>
          <w:szCs w:val="24"/>
        </w:rPr>
        <w:t>ra refuser d</w:t>
      </w:r>
      <w:r w:rsidR="00AA3A41">
        <w:rPr>
          <w:szCs w:val="24"/>
        </w:rPr>
        <w:t>’</w:t>
      </w:r>
      <w:r w:rsidRPr="00CA0C8E">
        <w:rPr>
          <w:szCs w:val="24"/>
        </w:rPr>
        <w:t xml:space="preserve">accomplir le service militaire </w:t>
      </w:r>
      <w:r>
        <w:rPr>
          <w:szCs w:val="24"/>
        </w:rPr>
        <w:t>en raison de ses convictions</w:t>
      </w:r>
      <w:r w:rsidRPr="00F439F5">
        <w:rPr>
          <w:rStyle w:val="FootnoteReference"/>
        </w:rPr>
        <w:footnoteReference w:id="29"/>
      </w:r>
      <w:r w:rsidRPr="007F2874">
        <w:rPr>
          <w:szCs w:val="24"/>
        </w:rPr>
        <w:t xml:space="preserve">. </w:t>
      </w:r>
      <w:r>
        <w:rPr>
          <w:szCs w:val="24"/>
        </w:rPr>
        <w:t>Le Comité</w:t>
      </w:r>
      <w:r w:rsidRPr="00CA0C8E">
        <w:rPr>
          <w:szCs w:val="24"/>
        </w:rPr>
        <w:t xml:space="preserve"> estime que l</w:t>
      </w:r>
      <w:r w:rsidR="00AA3A41">
        <w:rPr>
          <w:szCs w:val="24"/>
        </w:rPr>
        <w:t>’</w:t>
      </w:r>
      <w:r w:rsidRPr="00CA0C8E">
        <w:rPr>
          <w:szCs w:val="24"/>
        </w:rPr>
        <w:t>État partie n</w:t>
      </w:r>
      <w:r w:rsidR="00AA3A41">
        <w:rPr>
          <w:szCs w:val="24"/>
        </w:rPr>
        <w:t>’</w:t>
      </w:r>
      <w:r w:rsidRPr="00CA0C8E">
        <w:rPr>
          <w:szCs w:val="24"/>
        </w:rPr>
        <w:t xml:space="preserve">a pas </w:t>
      </w:r>
      <w:r>
        <w:rPr>
          <w:szCs w:val="24"/>
        </w:rPr>
        <w:t>dûment</w:t>
      </w:r>
      <w:r w:rsidRPr="00CA0C8E">
        <w:rPr>
          <w:szCs w:val="24"/>
        </w:rPr>
        <w:t xml:space="preserve"> </w:t>
      </w:r>
      <w:r>
        <w:rPr>
          <w:szCs w:val="24"/>
        </w:rPr>
        <w:t>tenu compte du fait</w:t>
      </w:r>
      <w:r w:rsidRPr="00CA0C8E">
        <w:rPr>
          <w:szCs w:val="24"/>
        </w:rPr>
        <w:t xml:space="preserve"> </w:t>
      </w:r>
      <w:r>
        <w:rPr>
          <w:szCs w:val="24"/>
        </w:rPr>
        <w:t>q</w:t>
      </w:r>
      <w:r w:rsidRPr="00CA0C8E">
        <w:rPr>
          <w:szCs w:val="24"/>
        </w:rPr>
        <w:t>u</w:t>
      </w:r>
      <w:r w:rsidR="00AA3A41">
        <w:rPr>
          <w:szCs w:val="24"/>
        </w:rPr>
        <w:t>’</w:t>
      </w:r>
      <w:r>
        <w:rPr>
          <w:szCs w:val="24"/>
        </w:rPr>
        <w:t>en</w:t>
      </w:r>
      <w:r w:rsidR="00584216">
        <w:rPr>
          <w:szCs w:val="24"/>
        </w:rPr>
        <w:t> </w:t>
      </w:r>
      <w:r>
        <w:rPr>
          <w:szCs w:val="24"/>
        </w:rPr>
        <w:t>raison de</w:t>
      </w:r>
      <w:r w:rsidRPr="00CA0C8E">
        <w:rPr>
          <w:szCs w:val="24"/>
        </w:rPr>
        <w:t xml:space="preserve"> </w:t>
      </w:r>
      <w:r>
        <w:rPr>
          <w:szCs w:val="24"/>
        </w:rPr>
        <w:t>s</w:t>
      </w:r>
      <w:r w:rsidRPr="00CA0C8E">
        <w:rPr>
          <w:szCs w:val="24"/>
        </w:rPr>
        <w:t xml:space="preserve">a situation personnelle, </w:t>
      </w:r>
      <w:r>
        <w:rPr>
          <w:szCs w:val="24"/>
        </w:rPr>
        <w:t>notamment</w:t>
      </w:r>
      <w:r w:rsidRPr="00CA0C8E">
        <w:rPr>
          <w:szCs w:val="24"/>
        </w:rPr>
        <w:t xml:space="preserve"> son incapacité </w:t>
      </w:r>
      <w:r>
        <w:rPr>
          <w:szCs w:val="24"/>
        </w:rPr>
        <w:t>de</w:t>
      </w:r>
      <w:r w:rsidRPr="00CA0C8E">
        <w:rPr>
          <w:szCs w:val="24"/>
        </w:rPr>
        <w:t xml:space="preserve"> </w:t>
      </w:r>
      <w:r>
        <w:rPr>
          <w:szCs w:val="24"/>
        </w:rPr>
        <w:t>prouver</w:t>
      </w:r>
      <w:r w:rsidRPr="00CA0C8E">
        <w:rPr>
          <w:szCs w:val="24"/>
        </w:rPr>
        <w:t xml:space="preserve"> qu</w:t>
      </w:r>
      <w:r w:rsidR="00AA3A41">
        <w:rPr>
          <w:szCs w:val="24"/>
        </w:rPr>
        <w:t>’</w:t>
      </w:r>
      <w:r w:rsidRPr="00CA0C8E">
        <w:rPr>
          <w:szCs w:val="24"/>
        </w:rPr>
        <w:t>il a</w:t>
      </w:r>
      <w:r>
        <w:rPr>
          <w:szCs w:val="24"/>
        </w:rPr>
        <w:t>vait</w:t>
      </w:r>
      <w:r w:rsidRPr="00CA0C8E">
        <w:rPr>
          <w:szCs w:val="24"/>
        </w:rPr>
        <w:t xml:space="preserve"> quitté </w:t>
      </w:r>
      <w:r>
        <w:rPr>
          <w:szCs w:val="24"/>
        </w:rPr>
        <w:t>l</w:t>
      </w:r>
      <w:r w:rsidR="00AA3A41">
        <w:rPr>
          <w:szCs w:val="24"/>
        </w:rPr>
        <w:t>’</w:t>
      </w:r>
      <w:r w:rsidRPr="00CA0C8E">
        <w:rPr>
          <w:szCs w:val="24"/>
        </w:rPr>
        <w:t>Érythrée</w:t>
      </w:r>
      <w:r>
        <w:rPr>
          <w:szCs w:val="24"/>
        </w:rPr>
        <w:t xml:space="preserve"> </w:t>
      </w:r>
      <w:r w:rsidRPr="00CA0C8E">
        <w:rPr>
          <w:szCs w:val="24"/>
        </w:rPr>
        <w:t>légalement, l</w:t>
      </w:r>
      <w:r w:rsidR="00AA3A41">
        <w:rPr>
          <w:szCs w:val="24"/>
        </w:rPr>
        <w:t>’</w:t>
      </w:r>
      <w:r w:rsidRPr="00CA0C8E">
        <w:rPr>
          <w:szCs w:val="24"/>
        </w:rPr>
        <w:t>auteur</w:t>
      </w:r>
      <w:r>
        <w:rPr>
          <w:szCs w:val="24"/>
        </w:rPr>
        <w:t xml:space="preserve"> risque</w:t>
      </w:r>
      <w:r w:rsidRPr="00CA0C8E">
        <w:rPr>
          <w:szCs w:val="24"/>
        </w:rPr>
        <w:t xml:space="preserve"> </w:t>
      </w:r>
      <w:r>
        <w:rPr>
          <w:szCs w:val="24"/>
        </w:rPr>
        <w:t>d</w:t>
      </w:r>
      <w:r w:rsidR="00AA3A41">
        <w:rPr>
          <w:szCs w:val="24"/>
        </w:rPr>
        <w:t>’</w:t>
      </w:r>
      <w:r>
        <w:rPr>
          <w:szCs w:val="24"/>
        </w:rPr>
        <w:t xml:space="preserve">être </w:t>
      </w:r>
      <w:r w:rsidRPr="00CA0C8E">
        <w:rPr>
          <w:szCs w:val="24"/>
        </w:rPr>
        <w:t>con</w:t>
      </w:r>
      <w:r>
        <w:rPr>
          <w:szCs w:val="24"/>
        </w:rPr>
        <w:t xml:space="preserve">sidéré </w:t>
      </w:r>
      <w:r w:rsidRPr="00CA0C8E">
        <w:rPr>
          <w:szCs w:val="24"/>
        </w:rPr>
        <w:t>comme un demandeur d</w:t>
      </w:r>
      <w:r w:rsidR="00AA3A41">
        <w:rPr>
          <w:szCs w:val="24"/>
        </w:rPr>
        <w:t>’</w:t>
      </w:r>
      <w:r w:rsidRPr="00CA0C8E">
        <w:rPr>
          <w:szCs w:val="24"/>
        </w:rPr>
        <w:t xml:space="preserve">asile débouté et comme une personne </w:t>
      </w:r>
      <w:r>
        <w:rPr>
          <w:szCs w:val="24"/>
        </w:rPr>
        <w:t>ne s</w:t>
      </w:r>
      <w:r w:rsidR="00AA3A41">
        <w:rPr>
          <w:szCs w:val="24"/>
        </w:rPr>
        <w:t>’</w:t>
      </w:r>
      <w:r>
        <w:rPr>
          <w:szCs w:val="24"/>
        </w:rPr>
        <w:t>étant pas acquittée de son obligation d</w:t>
      </w:r>
      <w:r w:rsidR="00AA3A41">
        <w:rPr>
          <w:szCs w:val="24"/>
        </w:rPr>
        <w:t>’</w:t>
      </w:r>
      <w:r>
        <w:rPr>
          <w:szCs w:val="24"/>
        </w:rPr>
        <w:t>accomplir son</w:t>
      </w:r>
      <w:r w:rsidRPr="00CA0C8E">
        <w:rPr>
          <w:szCs w:val="24"/>
        </w:rPr>
        <w:t xml:space="preserve"> service militaire en Érythrée ou </w:t>
      </w:r>
      <w:r>
        <w:rPr>
          <w:szCs w:val="24"/>
        </w:rPr>
        <w:t xml:space="preserve">comme un </w:t>
      </w:r>
      <w:r w:rsidRPr="00CA0C8E">
        <w:rPr>
          <w:szCs w:val="24"/>
        </w:rPr>
        <w:t xml:space="preserve">objecteur de conscience. En conséquence, </w:t>
      </w:r>
      <w:r>
        <w:rPr>
          <w:szCs w:val="24"/>
        </w:rPr>
        <w:t>le Comité</w:t>
      </w:r>
      <w:r w:rsidRPr="00CA0C8E">
        <w:rPr>
          <w:szCs w:val="24"/>
        </w:rPr>
        <w:t xml:space="preserve"> estime que l</w:t>
      </w:r>
      <w:r w:rsidR="00AA3A41">
        <w:rPr>
          <w:szCs w:val="24"/>
        </w:rPr>
        <w:t>’</w:t>
      </w:r>
      <w:r w:rsidRPr="00CA0C8E">
        <w:rPr>
          <w:szCs w:val="24"/>
        </w:rPr>
        <w:t>État partie n</w:t>
      </w:r>
      <w:r w:rsidR="00AA3A41">
        <w:rPr>
          <w:szCs w:val="24"/>
        </w:rPr>
        <w:t>’</w:t>
      </w:r>
      <w:r>
        <w:rPr>
          <w:szCs w:val="24"/>
        </w:rPr>
        <w:t xml:space="preserve">a pas </w:t>
      </w:r>
      <w:r w:rsidRPr="00CA0C8E">
        <w:rPr>
          <w:szCs w:val="24"/>
        </w:rPr>
        <w:t>reconn</w:t>
      </w:r>
      <w:r>
        <w:rPr>
          <w:szCs w:val="24"/>
        </w:rPr>
        <w:t>u que l</w:t>
      </w:r>
      <w:r w:rsidR="00AA3A41">
        <w:rPr>
          <w:szCs w:val="24"/>
        </w:rPr>
        <w:t>’</w:t>
      </w:r>
      <w:r>
        <w:rPr>
          <w:szCs w:val="24"/>
        </w:rPr>
        <w:t>auteur, compte tenu de sa situation, courrait un risque réel de faire l</w:t>
      </w:r>
      <w:r w:rsidR="00AA3A41">
        <w:rPr>
          <w:szCs w:val="24"/>
        </w:rPr>
        <w:t>’</w:t>
      </w:r>
      <w:r>
        <w:rPr>
          <w:szCs w:val="24"/>
        </w:rPr>
        <w:t>objet d</w:t>
      </w:r>
      <w:r w:rsidR="00AA3A41">
        <w:rPr>
          <w:szCs w:val="24"/>
        </w:rPr>
        <w:t>’</w:t>
      </w:r>
      <w:r>
        <w:rPr>
          <w:szCs w:val="24"/>
        </w:rPr>
        <w:t>un</w:t>
      </w:r>
      <w:r w:rsidRPr="00CA0C8E">
        <w:rPr>
          <w:szCs w:val="24"/>
        </w:rPr>
        <w:t xml:space="preserve"> traitement contraire aux dispositions de l</w:t>
      </w:r>
      <w:r w:rsidR="00AA3A41">
        <w:rPr>
          <w:szCs w:val="24"/>
        </w:rPr>
        <w:t>’</w:t>
      </w:r>
      <w:r w:rsidR="00CE3347">
        <w:rPr>
          <w:szCs w:val="24"/>
        </w:rPr>
        <w:t>article </w:t>
      </w:r>
      <w:r w:rsidRPr="00CA0C8E">
        <w:rPr>
          <w:szCs w:val="24"/>
        </w:rPr>
        <w:t xml:space="preserve">7. </w:t>
      </w:r>
      <w:r w:rsidRPr="007F2874">
        <w:rPr>
          <w:szCs w:val="24"/>
        </w:rPr>
        <w:t>Il estime</w:t>
      </w:r>
      <w:r w:rsidRPr="007F2874" w:rsidDel="007A2D42">
        <w:rPr>
          <w:szCs w:val="24"/>
        </w:rPr>
        <w:t xml:space="preserve"> </w:t>
      </w:r>
      <w:r>
        <w:rPr>
          <w:szCs w:val="24"/>
        </w:rPr>
        <w:t xml:space="preserve">donc </w:t>
      </w:r>
      <w:r w:rsidRPr="007F2874">
        <w:rPr>
          <w:szCs w:val="24"/>
        </w:rPr>
        <w:t>que l</w:t>
      </w:r>
      <w:r w:rsidR="00AA3A41">
        <w:rPr>
          <w:szCs w:val="24"/>
        </w:rPr>
        <w:t>’</w:t>
      </w:r>
      <w:r w:rsidRPr="007F2874">
        <w:rPr>
          <w:szCs w:val="24"/>
        </w:rPr>
        <w:t>expulsion de l</w:t>
      </w:r>
      <w:r w:rsidR="00AA3A41">
        <w:rPr>
          <w:szCs w:val="24"/>
        </w:rPr>
        <w:t>’</w:t>
      </w:r>
      <w:r w:rsidRPr="007F2874">
        <w:rPr>
          <w:szCs w:val="24"/>
        </w:rPr>
        <w:t>auteur vers l</w:t>
      </w:r>
      <w:r w:rsidR="00AA3A41">
        <w:rPr>
          <w:szCs w:val="24"/>
        </w:rPr>
        <w:t>’</w:t>
      </w:r>
      <w:r w:rsidRPr="007F2874">
        <w:rPr>
          <w:szCs w:val="24"/>
        </w:rPr>
        <w:t>Érythrée, si elle est exécutée, emporterait une violation de l</w:t>
      </w:r>
      <w:r w:rsidR="00AA3A41">
        <w:rPr>
          <w:szCs w:val="24"/>
        </w:rPr>
        <w:t>’</w:t>
      </w:r>
      <w:r w:rsidRPr="007F2874">
        <w:rPr>
          <w:szCs w:val="24"/>
        </w:rPr>
        <w:t>article</w:t>
      </w:r>
      <w:r>
        <w:rPr>
          <w:szCs w:val="24"/>
        </w:rPr>
        <w:t> </w:t>
      </w:r>
      <w:r w:rsidRPr="007F2874">
        <w:rPr>
          <w:szCs w:val="24"/>
        </w:rPr>
        <w:t>7 du Pacte</w:t>
      </w:r>
      <w:r>
        <w:rPr>
          <w:szCs w:val="24"/>
        </w:rPr>
        <w:t>.</w:t>
      </w:r>
    </w:p>
    <w:p w:rsidR="00F439F5" w:rsidRPr="007F2874" w:rsidRDefault="00F439F5" w:rsidP="007655E6">
      <w:pPr>
        <w:pStyle w:val="SingleTxtG"/>
        <w:rPr>
          <w:szCs w:val="24"/>
        </w:rPr>
      </w:pPr>
      <w:r w:rsidRPr="007F2874">
        <w:rPr>
          <w:szCs w:val="24"/>
        </w:rPr>
        <w:t>9.4</w:t>
      </w:r>
      <w:r w:rsidRPr="007F2874">
        <w:rPr>
          <w:szCs w:val="24"/>
        </w:rPr>
        <w:tab/>
      </w:r>
      <w:r w:rsidRPr="007655E6">
        <w:t>Compte</w:t>
      </w:r>
      <w:r w:rsidRPr="007F2874">
        <w:rPr>
          <w:szCs w:val="24"/>
        </w:rPr>
        <w:t xml:space="preserve"> tenu de ses conclusions concernant l</w:t>
      </w:r>
      <w:r w:rsidR="00AA3A41">
        <w:rPr>
          <w:szCs w:val="24"/>
        </w:rPr>
        <w:t>’</w:t>
      </w:r>
      <w:r w:rsidRPr="007F2874">
        <w:rPr>
          <w:szCs w:val="24"/>
        </w:rPr>
        <w:t xml:space="preserve">article 7, le Comité </w:t>
      </w:r>
      <w:r>
        <w:rPr>
          <w:szCs w:val="24"/>
        </w:rPr>
        <w:t>n</w:t>
      </w:r>
      <w:r w:rsidR="00AA3A41">
        <w:rPr>
          <w:szCs w:val="24"/>
        </w:rPr>
        <w:t>’</w:t>
      </w:r>
      <w:r w:rsidRPr="007F2874">
        <w:rPr>
          <w:szCs w:val="24"/>
        </w:rPr>
        <w:t>examiner</w:t>
      </w:r>
      <w:r>
        <w:rPr>
          <w:szCs w:val="24"/>
        </w:rPr>
        <w:t>a pas</w:t>
      </w:r>
      <w:r w:rsidRPr="007F2874">
        <w:rPr>
          <w:szCs w:val="24"/>
        </w:rPr>
        <w:t xml:space="preserve"> plus avant le grief que l</w:t>
      </w:r>
      <w:r w:rsidR="00AA3A41">
        <w:rPr>
          <w:szCs w:val="24"/>
        </w:rPr>
        <w:t>’</w:t>
      </w:r>
      <w:r w:rsidRPr="007F2874">
        <w:rPr>
          <w:szCs w:val="24"/>
        </w:rPr>
        <w:t>auteur tire de l</w:t>
      </w:r>
      <w:r w:rsidR="00AA3A41">
        <w:rPr>
          <w:szCs w:val="24"/>
        </w:rPr>
        <w:t>’</w:t>
      </w:r>
      <w:r w:rsidRPr="007F2874">
        <w:rPr>
          <w:szCs w:val="24"/>
        </w:rPr>
        <w:t>article</w:t>
      </w:r>
      <w:r>
        <w:rPr>
          <w:szCs w:val="24"/>
        </w:rPr>
        <w:t> </w:t>
      </w:r>
      <w:r w:rsidRPr="007F2874">
        <w:rPr>
          <w:szCs w:val="24"/>
        </w:rPr>
        <w:t xml:space="preserve">18 du Pacte. </w:t>
      </w:r>
    </w:p>
    <w:p w:rsidR="00F439F5" w:rsidRPr="007E1DFB" w:rsidRDefault="00F439F5" w:rsidP="007655E6">
      <w:pPr>
        <w:pStyle w:val="SingleTxtG"/>
        <w:rPr>
          <w:szCs w:val="24"/>
        </w:rPr>
      </w:pPr>
      <w:r>
        <w:rPr>
          <w:szCs w:val="24"/>
        </w:rPr>
        <w:t>9.5</w:t>
      </w:r>
      <w:r w:rsidRPr="007F2874">
        <w:rPr>
          <w:szCs w:val="24"/>
        </w:rPr>
        <w:tab/>
      </w:r>
      <w:r>
        <w:rPr>
          <w:szCs w:val="24"/>
        </w:rPr>
        <w:t xml:space="preserve">Le Comité des </w:t>
      </w:r>
      <w:r w:rsidRPr="007E1DFB">
        <w:rPr>
          <w:szCs w:val="24"/>
        </w:rPr>
        <w:t>droits de l</w:t>
      </w:r>
      <w:r w:rsidR="00AA3A41">
        <w:rPr>
          <w:szCs w:val="24"/>
        </w:rPr>
        <w:t>’</w:t>
      </w:r>
      <w:r w:rsidRPr="007E1DFB">
        <w:rPr>
          <w:szCs w:val="24"/>
        </w:rPr>
        <w:t>homme</w:t>
      </w:r>
      <w:r>
        <w:rPr>
          <w:szCs w:val="24"/>
        </w:rPr>
        <w:t xml:space="preserve">, </w:t>
      </w:r>
      <w:r w:rsidRPr="007E1DFB">
        <w:rPr>
          <w:szCs w:val="24"/>
        </w:rPr>
        <w:t xml:space="preserve">agissant en vertu du </w:t>
      </w:r>
      <w:r w:rsidR="00CE3347">
        <w:rPr>
          <w:szCs w:val="24"/>
        </w:rPr>
        <w:t>paragraphe </w:t>
      </w:r>
      <w:r w:rsidRPr="007E1DFB">
        <w:rPr>
          <w:szCs w:val="24"/>
        </w:rPr>
        <w:t>4 de l</w:t>
      </w:r>
      <w:r w:rsidR="00AA3A41">
        <w:rPr>
          <w:szCs w:val="24"/>
        </w:rPr>
        <w:t>’</w:t>
      </w:r>
      <w:r w:rsidR="00CE3347">
        <w:rPr>
          <w:szCs w:val="24"/>
        </w:rPr>
        <w:t>article </w:t>
      </w:r>
      <w:r w:rsidRPr="007E1DFB">
        <w:rPr>
          <w:szCs w:val="24"/>
        </w:rPr>
        <w:t>5 du Protocole facultatif se rapportant au Pacte international relatif aux droits civils et politiques, est d</w:t>
      </w:r>
      <w:r w:rsidR="00AA3A41">
        <w:rPr>
          <w:szCs w:val="24"/>
        </w:rPr>
        <w:t>’</w:t>
      </w:r>
      <w:r w:rsidRPr="007E1DFB">
        <w:rPr>
          <w:szCs w:val="24"/>
        </w:rPr>
        <w:t>avis que l</w:t>
      </w:r>
      <w:r w:rsidR="00AA3A41">
        <w:rPr>
          <w:szCs w:val="24"/>
        </w:rPr>
        <w:t>’</w:t>
      </w:r>
      <w:r>
        <w:rPr>
          <w:szCs w:val="24"/>
        </w:rPr>
        <w:t>expulsion de l</w:t>
      </w:r>
      <w:r w:rsidR="00AA3A41">
        <w:rPr>
          <w:szCs w:val="24"/>
        </w:rPr>
        <w:t>’</w:t>
      </w:r>
      <w:r>
        <w:rPr>
          <w:szCs w:val="24"/>
        </w:rPr>
        <w:t>auteur vers l</w:t>
      </w:r>
      <w:r w:rsidR="00AA3A41">
        <w:rPr>
          <w:szCs w:val="24"/>
        </w:rPr>
        <w:t>’</w:t>
      </w:r>
      <w:r>
        <w:rPr>
          <w:szCs w:val="24"/>
        </w:rPr>
        <w:t xml:space="preserve">Érythrée, si elle </w:t>
      </w:r>
      <w:r w:rsidRPr="007E1DFB">
        <w:rPr>
          <w:szCs w:val="24"/>
        </w:rPr>
        <w:t>es</w:t>
      </w:r>
      <w:r>
        <w:rPr>
          <w:szCs w:val="24"/>
        </w:rPr>
        <w:t>t exécutée, constituerait une violation de l</w:t>
      </w:r>
      <w:r w:rsidR="00AA3A41">
        <w:rPr>
          <w:szCs w:val="24"/>
        </w:rPr>
        <w:t>’</w:t>
      </w:r>
      <w:r>
        <w:rPr>
          <w:szCs w:val="24"/>
        </w:rPr>
        <w:t>article 7 du Pacte.</w:t>
      </w:r>
    </w:p>
    <w:p w:rsidR="00F439F5" w:rsidRPr="007F2874" w:rsidRDefault="00F439F5" w:rsidP="007655E6">
      <w:pPr>
        <w:pStyle w:val="SingleTxtG"/>
        <w:rPr>
          <w:szCs w:val="24"/>
        </w:rPr>
      </w:pPr>
      <w:r>
        <w:rPr>
          <w:szCs w:val="24"/>
        </w:rPr>
        <w:t>9.6</w:t>
      </w:r>
      <w:r>
        <w:rPr>
          <w:szCs w:val="24"/>
        </w:rPr>
        <w:tab/>
      </w:r>
      <w:r w:rsidRPr="007655E6">
        <w:t>Conformément</w:t>
      </w:r>
      <w:r w:rsidRPr="007F2874">
        <w:rPr>
          <w:szCs w:val="24"/>
        </w:rPr>
        <w:t xml:space="preserve"> au paragraphe 3 a) de l</w:t>
      </w:r>
      <w:r w:rsidR="00AA3A41">
        <w:rPr>
          <w:szCs w:val="24"/>
        </w:rPr>
        <w:t>’</w:t>
      </w:r>
      <w:r w:rsidRPr="007F2874">
        <w:rPr>
          <w:szCs w:val="24"/>
        </w:rPr>
        <w:t>article 2 du Pacte, l</w:t>
      </w:r>
      <w:r w:rsidR="00AA3A41">
        <w:rPr>
          <w:szCs w:val="24"/>
        </w:rPr>
        <w:t>’</w:t>
      </w:r>
      <w:r w:rsidRPr="007F2874">
        <w:rPr>
          <w:szCs w:val="24"/>
        </w:rPr>
        <w:t>État partie est tenu d</w:t>
      </w:r>
      <w:r w:rsidR="00AA3A41">
        <w:rPr>
          <w:szCs w:val="24"/>
        </w:rPr>
        <w:t>’</w:t>
      </w:r>
      <w:r w:rsidRPr="007F2874">
        <w:rPr>
          <w:szCs w:val="24"/>
        </w:rPr>
        <w:t>assurer un recours utile à l</w:t>
      </w:r>
      <w:r w:rsidR="00AA3A41">
        <w:rPr>
          <w:szCs w:val="24"/>
        </w:rPr>
        <w:t>’</w:t>
      </w:r>
      <w:r w:rsidRPr="007F2874">
        <w:rPr>
          <w:szCs w:val="24"/>
        </w:rPr>
        <w:t xml:space="preserve">auteur, y compris en procédant à un réexamen complet de la plainte formulée par celui-ci concernant le risque de </w:t>
      </w:r>
      <w:r>
        <w:rPr>
          <w:szCs w:val="24"/>
        </w:rPr>
        <w:t>traitement contraire à l</w:t>
      </w:r>
      <w:r w:rsidR="00AA3A41">
        <w:rPr>
          <w:szCs w:val="24"/>
        </w:rPr>
        <w:t>’</w:t>
      </w:r>
      <w:r>
        <w:rPr>
          <w:szCs w:val="24"/>
        </w:rPr>
        <w:t>article 7</w:t>
      </w:r>
      <w:r w:rsidRPr="007F2874">
        <w:rPr>
          <w:szCs w:val="24"/>
        </w:rPr>
        <w:t xml:space="preserve"> auquel il serait exposé s</w:t>
      </w:r>
      <w:r w:rsidR="00AA3A41">
        <w:rPr>
          <w:szCs w:val="24"/>
        </w:rPr>
        <w:t>’</w:t>
      </w:r>
      <w:r w:rsidRPr="007F2874">
        <w:rPr>
          <w:szCs w:val="24"/>
        </w:rPr>
        <w:t>il était renvoyé en Érythrée, en tenant compte à cet égard des obligations découlant du Pacte.</w:t>
      </w:r>
    </w:p>
    <w:p w:rsidR="00F439F5" w:rsidRPr="007F2874" w:rsidRDefault="00F439F5" w:rsidP="007655E6">
      <w:pPr>
        <w:pStyle w:val="SingleTxtG"/>
        <w:rPr>
          <w:szCs w:val="24"/>
        </w:rPr>
      </w:pPr>
      <w:r w:rsidRPr="007F2874">
        <w:rPr>
          <w:szCs w:val="24"/>
        </w:rPr>
        <w:t>9.</w:t>
      </w:r>
      <w:r>
        <w:rPr>
          <w:szCs w:val="24"/>
        </w:rPr>
        <w:t>7</w:t>
      </w:r>
      <w:r w:rsidRPr="007F2874">
        <w:rPr>
          <w:szCs w:val="24"/>
        </w:rPr>
        <w:tab/>
      </w:r>
      <w:r w:rsidRPr="007655E6">
        <w:t>Étant</w:t>
      </w:r>
      <w:r w:rsidRPr="007F2874">
        <w:rPr>
          <w:szCs w:val="24"/>
        </w:rPr>
        <w:t xml:space="preserve"> donné qu</w:t>
      </w:r>
      <w:r w:rsidR="00AA3A41">
        <w:rPr>
          <w:szCs w:val="24"/>
        </w:rPr>
        <w:t>’</w:t>
      </w:r>
      <w:r w:rsidRPr="007F2874">
        <w:rPr>
          <w:szCs w:val="24"/>
        </w:rPr>
        <w:t>en adhérant au Protocole facultatif, l</w:t>
      </w:r>
      <w:r w:rsidR="00AA3A41">
        <w:rPr>
          <w:szCs w:val="24"/>
        </w:rPr>
        <w:t>’</w:t>
      </w:r>
      <w:r w:rsidRPr="007F2874">
        <w:rPr>
          <w:szCs w:val="24"/>
        </w:rPr>
        <w:t>État partie a reconnu que le</w:t>
      </w:r>
      <w:r w:rsidR="00CE3347">
        <w:rPr>
          <w:szCs w:val="24"/>
        </w:rPr>
        <w:t xml:space="preserve"> </w:t>
      </w:r>
      <w:r w:rsidRPr="007F2874">
        <w:rPr>
          <w:szCs w:val="24"/>
        </w:rPr>
        <w:t>Comité avait compétence pour déterminer s</w:t>
      </w:r>
      <w:r w:rsidR="00AA3A41">
        <w:rPr>
          <w:szCs w:val="24"/>
        </w:rPr>
        <w:t>’</w:t>
      </w:r>
      <w:r w:rsidRPr="007F2874">
        <w:rPr>
          <w:szCs w:val="24"/>
        </w:rPr>
        <w:t>il y a eu ou non violation du Pacte et que, conformément à l</w:t>
      </w:r>
      <w:r w:rsidR="00AA3A41">
        <w:rPr>
          <w:szCs w:val="24"/>
        </w:rPr>
        <w:t>’</w:t>
      </w:r>
      <w:r w:rsidRPr="007F2874">
        <w:rPr>
          <w:szCs w:val="24"/>
        </w:rPr>
        <w:t>article</w:t>
      </w:r>
      <w:r>
        <w:rPr>
          <w:szCs w:val="24"/>
        </w:rPr>
        <w:t> </w:t>
      </w:r>
      <w:r w:rsidRPr="007F2874">
        <w:rPr>
          <w:szCs w:val="24"/>
        </w:rPr>
        <w:t>2 du Pacte, il s</w:t>
      </w:r>
      <w:r w:rsidR="00AA3A41">
        <w:rPr>
          <w:szCs w:val="24"/>
        </w:rPr>
        <w:t>’</w:t>
      </w:r>
      <w:r w:rsidRPr="007F2874">
        <w:rPr>
          <w:szCs w:val="24"/>
        </w:rPr>
        <w:t>est engagé à garantir à tous les individus se trouvant sur son territoire et relevant de sa juridiction les droits reconnus dans le Pacte et à assurer un recours utile et exécutoire lorsqu</w:t>
      </w:r>
      <w:r w:rsidR="00AA3A41">
        <w:rPr>
          <w:szCs w:val="24"/>
        </w:rPr>
        <w:t>’</w:t>
      </w:r>
      <w:r w:rsidRPr="007F2874">
        <w:rPr>
          <w:szCs w:val="24"/>
        </w:rPr>
        <w:t>une violation a été établie, le Comité souhaite recevoir de l</w:t>
      </w:r>
      <w:r w:rsidR="00AA3A41">
        <w:rPr>
          <w:szCs w:val="24"/>
        </w:rPr>
        <w:t>’</w:t>
      </w:r>
      <w:r w:rsidRPr="007F2874">
        <w:rPr>
          <w:szCs w:val="24"/>
        </w:rPr>
        <w:t>État partie, dans un délai de cent quatre</w:t>
      </w:r>
      <w:r w:rsidR="00CE3347">
        <w:rPr>
          <w:szCs w:val="24"/>
        </w:rPr>
        <w:t>-</w:t>
      </w:r>
      <w:r w:rsidRPr="007F2874">
        <w:rPr>
          <w:szCs w:val="24"/>
        </w:rPr>
        <w:t>vingts</w:t>
      </w:r>
      <w:r w:rsidR="00CE3347">
        <w:rPr>
          <w:szCs w:val="24"/>
        </w:rPr>
        <w:t xml:space="preserve"> </w:t>
      </w:r>
      <w:r w:rsidRPr="007F2874">
        <w:rPr>
          <w:szCs w:val="24"/>
        </w:rPr>
        <w:t>jours, des renseignements sur les mesures prises pour donner effet aux présentes constatations. L</w:t>
      </w:r>
      <w:r w:rsidR="00AA3A41">
        <w:rPr>
          <w:szCs w:val="24"/>
        </w:rPr>
        <w:t>’</w:t>
      </w:r>
      <w:r w:rsidRPr="007F2874">
        <w:rPr>
          <w:szCs w:val="24"/>
        </w:rPr>
        <w:t>État partie est invité en outre à rendre celles-ci publiques.</w:t>
      </w:r>
    </w:p>
    <w:p w:rsidR="00F439F5" w:rsidRDefault="00F439F5" w:rsidP="007655E6">
      <w:pPr>
        <w:pStyle w:val="SingleTxtG"/>
      </w:pPr>
      <w:r w:rsidRPr="007F2874">
        <w:t>[Adopté en anglais (version originale), en espagnol et en français. Paraîtra ultérieurement en arabe, en chinois et en russe dans le rapport annuel du Comité à l</w:t>
      </w:r>
      <w:r w:rsidR="00AA3A41">
        <w:t>’</w:t>
      </w:r>
      <w:r w:rsidRPr="007F2874">
        <w:t>Assemblée générale.]</w:t>
      </w:r>
    </w:p>
    <w:p w:rsidR="00B421B2" w:rsidRDefault="00B421B2" w:rsidP="007655E6">
      <w:pPr>
        <w:pStyle w:val="SingleTxtG"/>
      </w:pPr>
    </w:p>
    <w:p w:rsidR="00F25A5E" w:rsidRDefault="00F25A5E" w:rsidP="007655E6">
      <w:pPr>
        <w:pStyle w:val="SingleTxtG"/>
        <w:sectPr w:rsidR="00F25A5E" w:rsidSect="00E744B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F439F5" w:rsidRPr="00953FC6" w:rsidRDefault="00F439F5" w:rsidP="00B16B67">
      <w:pPr>
        <w:pStyle w:val="HChG"/>
        <w:rPr>
          <w:lang w:val="en-GB"/>
        </w:rPr>
      </w:pPr>
      <w:r w:rsidRPr="00953FC6">
        <w:rPr>
          <w:lang w:val="en-GB"/>
        </w:rPr>
        <w:t>Appendi</w:t>
      </w:r>
      <w:r>
        <w:rPr>
          <w:lang w:val="en-GB"/>
        </w:rPr>
        <w:t>ce</w:t>
      </w:r>
    </w:p>
    <w:p w:rsidR="00F439F5" w:rsidRPr="00953FC6" w:rsidRDefault="00F439F5" w:rsidP="00F439F5">
      <w:pPr>
        <w:pStyle w:val="H1G"/>
        <w:rPr>
          <w:lang w:val="fr-FR"/>
        </w:rPr>
      </w:pPr>
      <w:r>
        <w:rPr>
          <w:lang w:val="en-US"/>
        </w:rPr>
        <w:tab/>
      </w:r>
      <w:r>
        <w:rPr>
          <w:lang w:val="en-US"/>
        </w:rPr>
        <w:tab/>
      </w:r>
      <w:r w:rsidRPr="00953FC6">
        <w:rPr>
          <w:lang w:val="fr-FR"/>
        </w:rPr>
        <w:t xml:space="preserve">Opinion individuelle </w:t>
      </w:r>
      <w:r>
        <w:t xml:space="preserve">(concordante) </w:t>
      </w:r>
      <w:r w:rsidRPr="00953FC6">
        <w:rPr>
          <w:lang w:val="fr-FR"/>
        </w:rPr>
        <w:t xml:space="preserve">de </w:t>
      </w:r>
      <w:r w:rsidR="00CE3347">
        <w:rPr>
          <w:lang w:val="fr-FR"/>
        </w:rPr>
        <w:t>M. </w:t>
      </w:r>
      <w:r w:rsidRPr="00953FC6">
        <w:rPr>
          <w:lang w:val="fr-FR"/>
        </w:rPr>
        <w:t xml:space="preserve">Gerald L. Neuman </w:t>
      </w:r>
    </w:p>
    <w:p w:rsidR="00F439F5" w:rsidRPr="00953FC6" w:rsidRDefault="00F439F5" w:rsidP="00B16B67">
      <w:pPr>
        <w:pStyle w:val="SingleTxtG"/>
        <w:ind w:firstLine="567"/>
        <w:rPr>
          <w:lang w:val="fr-FR"/>
        </w:rPr>
      </w:pPr>
      <w:r>
        <w:t xml:space="preserve">Je </w:t>
      </w:r>
      <w:r w:rsidRPr="00F76345">
        <w:t>suis entièrement d</w:t>
      </w:r>
      <w:r w:rsidR="00AA3A41">
        <w:t>’</w:t>
      </w:r>
      <w:r w:rsidRPr="00F76345">
        <w:t xml:space="preserve">accord avec les </w:t>
      </w:r>
      <w:r>
        <w:t>constatations du Comité, mais j</w:t>
      </w:r>
      <w:r w:rsidR="00AA3A41">
        <w:t>’</w:t>
      </w:r>
      <w:r>
        <w:t>y joins la présente opinion dans le but d</w:t>
      </w:r>
      <w:r w:rsidR="00AA3A41">
        <w:t>’</w:t>
      </w:r>
      <w:r>
        <w:t xml:space="preserve">apporter un éclairage sur la question juridique que le Comité évite aux </w:t>
      </w:r>
      <w:r w:rsidR="00CE3347">
        <w:t>paragraphes </w:t>
      </w:r>
      <w:r>
        <w:t xml:space="preserve">8.4 et 9.4 des constatations, relative au </w:t>
      </w:r>
      <w:r w:rsidRPr="007D6FEC">
        <w:t>fait que l</w:t>
      </w:r>
      <w:r w:rsidR="00AA3A41">
        <w:t>’</w:t>
      </w:r>
      <w:r w:rsidRPr="007D6FEC">
        <w:t>auteur s</w:t>
      </w:r>
      <w:r w:rsidR="00AA3A41">
        <w:t>’</w:t>
      </w:r>
      <w:r w:rsidRPr="007D6FEC">
        <w:t>efforce de présenter sa situation</w:t>
      </w:r>
      <w:r>
        <w:t xml:space="preserve"> comme entraînant une obligation de non-refoulement découlant directement de l</w:t>
      </w:r>
      <w:r w:rsidR="00AA3A41">
        <w:t>’</w:t>
      </w:r>
      <w:r w:rsidR="00CE3347">
        <w:t>article </w:t>
      </w:r>
      <w:r>
        <w:t>18 du Pacte. L</w:t>
      </w:r>
      <w:r w:rsidR="00AA3A41">
        <w:t>’</w:t>
      </w:r>
      <w:r>
        <w:t>État partie fait valoir que ce grief doit être rejeté comme irrecevable parce que l</w:t>
      </w:r>
      <w:r w:rsidR="00AA3A41">
        <w:t>’</w:t>
      </w:r>
      <w:r>
        <w:t>obligation de ne pas transférer une personne vers un pays où un droit consacré par le Pacte serait violé s</w:t>
      </w:r>
      <w:r w:rsidR="00AA3A41">
        <w:t>’</w:t>
      </w:r>
      <w:r>
        <w:t>applique uniquement à l</w:t>
      </w:r>
      <w:r w:rsidR="00AA3A41">
        <w:t>’</w:t>
      </w:r>
      <w:r w:rsidR="00CE3347">
        <w:t>article </w:t>
      </w:r>
      <w:r>
        <w:t>6 (</w:t>
      </w:r>
      <w:r w:rsidRPr="007655E6">
        <w:rPr>
          <w:szCs w:val="24"/>
        </w:rPr>
        <w:t>protection</w:t>
      </w:r>
      <w:r>
        <w:t xml:space="preserve"> du droit de ne pas être privé de la vie) et à l</w:t>
      </w:r>
      <w:r w:rsidR="00AA3A41">
        <w:t>’</w:t>
      </w:r>
      <w:r w:rsidR="00CE3347">
        <w:t>article </w:t>
      </w:r>
      <w:r>
        <w:t>7 (interdiction de la torture et des peines ou traitements inhumains ou dégradants). Le Comité traite la recevabilité du grief indirectement, estimant que celui-ci «</w:t>
      </w:r>
      <w:r>
        <w:rPr>
          <w:szCs w:val="24"/>
        </w:rPr>
        <w:t>ne peut pas être dissocié des allégations de l</w:t>
      </w:r>
      <w:r w:rsidR="00AA3A41">
        <w:rPr>
          <w:szCs w:val="24"/>
        </w:rPr>
        <w:t>’</w:t>
      </w:r>
      <w:r>
        <w:rPr>
          <w:szCs w:val="24"/>
        </w:rPr>
        <w:t>auteur relatives à l</w:t>
      </w:r>
      <w:r w:rsidR="00AA3A41">
        <w:rPr>
          <w:szCs w:val="24"/>
        </w:rPr>
        <w:t>’</w:t>
      </w:r>
      <w:r w:rsidR="00CE3347">
        <w:rPr>
          <w:szCs w:val="24"/>
        </w:rPr>
        <w:t>article </w:t>
      </w:r>
      <w:r>
        <w:rPr>
          <w:szCs w:val="24"/>
        </w:rPr>
        <w:t>7»</w:t>
      </w:r>
      <w:r>
        <w:t>, qui sont à l</w:t>
      </w:r>
      <w:r w:rsidR="00AA3A41">
        <w:t>’</w:t>
      </w:r>
      <w:r>
        <w:t>évidence recevables et sur lesquelles il se fonde pour rendre sa décision. Il a employé cette formulation à plusieurs reprises pour éviter de trancher la question de savoir si cette obligation de non-refoulement peut être tirée d</w:t>
      </w:r>
      <w:r w:rsidR="00AA3A41">
        <w:t>’</w:t>
      </w:r>
      <w:r>
        <w:t xml:space="preserve">autres dispositions du Pacte que les </w:t>
      </w:r>
      <w:r w:rsidR="00CE3347">
        <w:t>articles </w:t>
      </w:r>
      <w:r>
        <w:t>6 et 7</w:t>
      </w:r>
      <w:r w:rsidRPr="00953FC6">
        <w:rPr>
          <w:lang w:val="fr-FR"/>
        </w:rPr>
        <w:t>.</w:t>
      </w:r>
    </w:p>
    <w:p w:rsidR="00F439F5" w:rsidRDefault="00F439F5" w:rsidP="00B16B67">
      <w:pPr>
        <w:pStyle w:val="SingleTxtG"/>
        <w:ind w:firstLine="567"/>
      </w:pPr>
      <w:r>
        <w:t>L</w:t>
      </w:r>
      <w:r w:rsidR="00AA3A41">
        <w:t>’</w:t>
      </w:r>
      <w:r>
        <w:t xml:space="preserve">argument </w:t>
      </w:r>
      <w:r w:rsidRPr="007655E6">
        <w:rPr>
          <w:szCs w:val="24"/>
        </w:rPr>
        <w:t>selon</w:t>
      </w:r>
      <w:r>
        <w:t xml:space="preserve"> lequel l</w:t>
      </w:r>
      <w:r w:rsidR="00AA3A41">
        <w:t>’</w:t>
      </w:r>
      <w:r>
        <w:t>auteur ne doit pas être envoyé en Érythrée parce qu</w:t>
      </w:r>
      <w:r w:rsidR="00AA3A41">
        <w:t>’</w:t>
      </w:r>
      <w:r>
        <w:t>il existe un risque réel que le droit à la liberté de pensée, de conscience et de religion que lui reconnaît l</w:t>
      </w:r>
      <w:r w:rsidR="00AA3A41">
        <w:t>’</w:t>
      </w:r>
      <w:r w:rsidR="00CE3347">
        <w:t>article </w:t>
      </w:r>
      <w:r>
        <w:t>18 soit violé dans ce pays ressemble à la demande des réfugiés de ne pas être renvoyés dans un pays où ils sont exposés à la persécution à cause de leur religion, conformément à l</w:t>
      </w:r>
      <w:r w:rsidR="00AA3A41">
        <w:t>’</w:t>
      </w:r>
      <w:r>
        <w:t xml:space="preserve">article 33 de la Convention de 1951 relative au statut des réfugiés (également </w:t>
      </w:r>
      <w:r w:rsidRPr="00C43CBD">
        <w:t>intégré</w:t>
      </w:r>
      <w:r>
        <w:t xml:space="preserve"> dans son Protocole de 1967</w:t>
      </w:r>
      <w:r w:rsidRPr="00953FC6">
        <w:rPr>
          <w:lang w:val="fr-FR"/>
        </w:rPr>
        <w:t>)</w:t>
      </w:r>
      <w:r w:rsidRPr="00F439F5">
        <w:rPr>
          <w:rStyle w:val="FootnoteReference"/>
        </w:rPr>
        <w:footnoteReference w:id="30"/>
      </w:r>
      <w:r>
        <w:t>.</w:t>
      </w:r>
      <w:r w:rsidRPr="00953FC6">
        <w:rPr>
          <w:lang w:val="fr-FR"/>
        </w:rPr>
        <w:t xml:space="preserve"> </w:t>
      </w:r>
      <w:r>
        <w:t>Sur les faits de l</w:t>
      </w:r>
      <w:r w:rsidR="00AA3A41">
        <w:t>’</w:t>
      </w:r>
      <w:r>
        <w:t>espèce, compte tenu de la crainte justifiée qu</w:t>
      </w:r>
      <w:r w:rsidR="00AA3A41">
        <w:t>’</w:t>
      </w:r>
      <w:r>
        <w:t>a l</w:t>
      </w:r>
      <w:r w:rsidR="00AA3A41">
        <w:t>’</w:t>
      </w:r>
      <w:r>
        <w:t>auteur de subir des mauvais traitements, la menace de préjudice atteint sans aucun doute le niveau de la «persécution» au sens de la Convention relative au statut des réfugiés.</w:t>
      </w:r>
    </w:p>
    <w:p w:rsidR="00F439F5" w:rsidRPr="00953FC6" w:rsidRDefault="00F439F5" w:rsidP="00B16B67">
      <w:pPr>
        <w:pStyle w:val="SingleTxtG"/>
        <w:ind w:firstLine="567"/>
        <w:rPr>
          <w:lang w:val="fr-FR"/>
        </w:rPr>
      </w:pPr>
      <w:r>
        <w:t>L</w:t>
      </w:r>
      <w:r w:rsidR="00AA3A41">
        <w:t>’</w:t>
      </w:r>
      <w:r>
        <w:t>argument relatif à l</w:t>
      </w:r>
      <w:r w:rsidR="00AA3A41">
        <w:t>’</w:t>
      </w:r>
      <w:r w:rsidR="00CE3347">
        <w:t>article </w:t>
      </w:r>
      <w:r>
        <w:t>18 pourrait donc être appuyé soit par l</w:t>
      </w:r>
      <w:r w:rsidR="00AA3A41">
        <w:t>’</w:t>
      </w:r>
      <w:r>
        <w:t>interprétation du Pacte à la lumière de la Convention relative au statut des réfugiés, soit par l</w:t>
      </w:r>
      <w:r w:rsidR="00AA3A41">
        <w:t>’</w:t>
      </w:r>
      <w:r>
        <w:t>argument abstrait selon lequel l</w:t>
      </w:r>
      <w:r w:rsidR="00AA3A41">
        <w:t>’</w:t>
      </w:r>
      <w:r>
        <w:t>obligation qu</w:t>
      </w:r>
      <w:r w:rsidR="00AA3A41">
        <w:t>’</w:t>
      </w:r>
      <w:r>
        <w:t xml:space="preserve">a un État de ne pas violer le droit </w:t>
      </w:r>
      <w:r w:rsidRPr="007655E6">
        <w:rPr>
          <w:szCs w:val="24"/>
        </w:rPr>
        <w:t>reconnu</w:t>
      </w:r>
      <w:r>
        <w:t xml:space="preserve"> à un individu par le Pacte recouvre toujours l</w:t>
      </w:r>
      <w:r w:rsidR="00AA3A41">
        <w:t>’</w:t>
      </w:r>
      <w:r>
        <w:t>obligation de ne pas envoyer l</w:t>
      </w:r>
      <w:r w:rsidR="00AA3A41">
        <w:t>’</w:t>
      </w:r>
      <w:r>
        <w:t>intéressé vers un pays où il existe un risque réel que ce droit soit violé. Ces deux argumentations semblent à première vue séduisantes, mais les deux soulèvent des questions graves lorsqu</w:t>
      </w:r>
      <w:r w:rsidR="00AA3A41">
        <w:t>’</w:t>
      </w:r>
      <w:r>
        <w:t xml:space="preserve">on les examine de plus près. </w:t>
      </w:r>
    </w:p>
    <w:p w:rsidR="00F439F5" w:rsidRPr="00953FC6" w:rsidRDefault="00F439F5" w:rsidP="00B16B67">
      <w:pPr>
        <w:pStyle w:val="SingleTxtG"/>
        <w:ind w:firstLine="567"/>
        <w:rPr>
          <w:lang w:val="fr-FR"/>
        </w:rPr>
      </w:pPr>
      <w:r>
        <w:t>Jusqu</w:t>
      </w:r>
      <w:r w:rsidR="00AA3A41">
        <w:t>’</w:t>
      </w:r>
      <w:r>
        <w:t>à présent, lorsque le Comité a constaté qu</w:t>
      </w:r>
      <w:r w:rsidR="00AA3A41">
        <w:t>’</w:t>
      </w:r>
      <w:r>
        <w:t>il existait une obligation de non-refoulement découlant du Pacte, il l</w:t>
      </w:r>
      <w:r w:rsidR="00AA3A41">
        <w:t>’</w:t>
      </w:r>
      <w:r>
        <w:t>a définie comme étant absolue. Un État ne peut pas envoyer une personne dans un autre pays tant qu</w:t>
      </w:r>
      <w:r w:rsidR="00AA3A41">
        <w:t>’</w:t>
      </w:r>
      <w:r>
        <w:t>il existe un «risque réel» de violation de l</w:t>
      </w:r>
      <w:r w:rsidR="00AA3A41">
        <w:t>’</w:t>
      </w:r>
      <w:r w:rsidR="00CE3347">
        <w:t>article </w:t>
      </w:r>
      <w:r>
        <w:t>6 ou de l</w:t>
      </w:r>
      <w:r w:rsidR="00AA3A41">
        <w:t>’</w:t>
      </w:r>
      <w:r w:rsidR="00CE3347">
        <w:t>article </w:t>
      </w:r>
      <w:r>
        <w:t>7, indépendamment des circonstances de l</w:t>
      </w:r>
      <w:r w:rsidR="00AA3A41">
        <w:t>’</w:t>
      </w:r>
      <w:r>
        <w:t>espèce, y compris le danger que représente cette personne dans le pays expulsant. Cette obligation absolue est calquée sur l</w:t>
      </w:r>
      <w:r w:rsidR="00AA3A41">
        <w:t>’</w:t>
      </w:r>
      <w:r>
        <w:t xml:space="preserve">interdiction absolue et non </w:t>
      </w:r>
      <w:r w:rsidRPr="007655E6">
        <w:rPr>
          <w:szCs w:val="24"/>
        </w:rPr>
        <w:t>susceptible</w:t>
      </w:r>
      <w:r>
        <w:t xml:space="preserve"> de dérogation d</w:t>
      </w:r>
      <w:r w:rsidR="00AA3A41">
        <w:t>’</w:t>
      </w:r>
      <w:r>
        <w:t>expulser une personne, prévue à l</w:t>
      </w:r>
      <w:r w:rsidR="00AA3A41">
        <w:t>’</w:t>
      </w:r>
      <w:r w:rsidR="00CE3347">
        <w:t>article </w:t>
      </w:r>
      <w:r>
        <w:t>3 de la Convention contre la torture et autres peines ou traitements cruels, inhumains ou dégradants</w:t>
      </w:r>
      <w:r w:rsidRPr="00953FC6">
        <w:rPr>
          <w:lang w:val="fr-FR"/>
        </w:rPr>
        <w:t>.</w:t>
      </w:r>
    </w:p>
    <w:p w:rsidR="00F439F5" w:rsidRPr="00953FC6" w:rsidRDefault="00F439F5" w:rsidP="00B16B67">
      <w:pPr>
        <w:pStyle w:val="SingleTxtG"/>
        <w:ind w:firstLine="567"/>
        <w:rPr>
          <w:lang w:val="fr-FR"/>
        </w:rPr>
      </w:pPr>
      <w:r>
        <w:t>L</w:t>
      </w:r>
      <w:r w:rsidR="00AA3A41">
        <w:t>’</w:t>
      </w:r>
      <w:r>
        <w:t>obligation de non-refoulement prévue par la Convention relative au statut des réfugiés est cependant plus limitée. Tout d</w:t>
      </w:r>
      <w:r w:rsidR="00AA3A41">
        <w:t>’</w:t>
      </w:r>
      <w:r>
        <w:t>abord, elle est circonscrite par la définition du «réfugié», qui contient des clauses d</w:t>
      </w:r>
      <w:r w:rsidR="00AA3A41">
        <w:t>’</w:t>
      </w:r>
      <w:r>
        <w:t>exclusion, dont certaines privent de la protection accordée aux «réfugiés» les personnes ayant commis des actes répréhensibles tels que des crimes de guerre, des crimes contre l</w:t>
      </w:r>
      <w:r w:rsidR="00AA3A41">
        <w:t>’</w:t>
      </w:r>
      <w:r>
        <w:t>humanité et des crimes graves de droit commun</w:t>
      </w:r>
      <w:r w:rsidRPr="00F439F5">
        <w:rPr>
          <w:rStyle w:val="FootnoteReference"/>
        </w:rPr>
        <w:footnoteReference w:id="31"/>
      </w:r>
      <w:r>
        <w:t>.</w:t>
      </w:r>
      <w:r w:rsidRPr="00953FC6">
        <w:rPr>
          <w:lang w:val="fr-FR"/>
        </w:rPr>
        <w:t xml:space="preserve"> </w:t>
      </w:r>
      <w:r>
        <w:t>Ensuite, l</w:t>
      </w:r>
      <w:r w:rsidR="00AA3A41">
        <w:t>’</w:t>
      </w:r>
      <w:r w:rsidR="00CE3347">
        <w:t>article </w:t>
      </w:r>
      <w:r>
        <w:t>33 de la Convention relative aux réfugiés contient une clause d</w:t>
      </w:r>
      <w:r w:rsidR="00AA3A41">
        <w:t>’</w:t>
      </w:r>
      <w:r>
        <w:t>exception, puisqu</w:t>
      </w:r>
      <w:r w:rsidR="00AA3A41">
        <w:t>’</w:t>
      </w:r>
      <w:r>
        <w:t>il prévoit expressément que l</w:t>
      </w:r>
      <w:r w:rsidR="00AA3A41">
        <w:t>’</w:t>
      </w:r>
      <w:r>
        <w:t>interdiction de l</w:t>
      </w:r>
      <w:r w:rsidR="00AA3A41">
        <w:t>’</w:t>
      </w:r>
      <w:r>
        <w:t>expulsion ne s</w:t>
      </w:r>
      <w:r w:rsidR="00AA3A41">
        <w:t>’</w:t>
      </w:r>
      <w:r>
        <w:t>applique pas aux personnes, même reconnues comme réfugiées, qui ont été condamnées pour des infractions particulièrement graves ou qui constituent un danger pour la sécurité de l</w:t>
      </w:r>
      <w:r w:rsidR="00AA3A41">
        <w:t>’</w:t>
      </w:r>
      <w:r>
        <w:t>État expulsant</w:t>
      </w:r>
      <w:r w:rsidRPr="00F439F5">
        <w:rPr>
          <w:rStyle w:val="FootnoteReference"/>
        </w:rPr>
        <w:footnoteReference w:id="32"/>
      </w:r>
      <w:r>
        <w:t>.</w:t>
      </w:r>
      <w:r w:rsidRPr="00953FC6">
        <w:rPr>
          <w:lang w:val="fr-FR"/>
        </w:rPr>
        <w:t xml:space="preserve"> </w:t>
      </w:r>
      <w:r>
        <w:t>En conséquence, la Convention relative au statut des réfugiés tient compte à la fois des intérêts de la personne qui craint d</w:t>
      </w:r>
      <w:r w:rsidR="00AA3A41">
        <w:t>’</w:t>
      </w:r>
      <w:r>
        <w:t>être persécutée et d</w:t>
      </w:r>
      <w:r w:rsidR="00AA3A41">
        <w:t>’</w:t>
      </w:r>
      <w:r>
        <w:t>autres intérêts importants des États et de leurs résidents</w:t>
      </w:r>
      <w:r w:rsidRPr="00953FC6">
        <w:rPr>
          <w:lang w:val="fr-FR"/>
        </w:rPr>
        <w:t>.</w:t>
      </w:r>
    </w:p>
    <w:p w:rsidR="00F439F5" w:rsidRPr="00953FC6" w:rsidRDefault="00F439F5" w:rsidP="00B16B67">
      <w:pPr>
        <w:pStyle w:val="SingleTxtG"/>
        <w:ind w:firstLine="567"/>
        <w:rPr>
          <w:lang w:val="fr-FR"/>
        </w:rPr>
      </w:pPr>
      <w:r>
        <w:t>Si le Comité reconnaissait une obligation de non-refoulement en vertu de l</w:t>
      </w:r>
      <w:r w:rsidR="00AA3A41">
        <w:t>’</w:t>
      </w:r>
      <w:r w:rsidR="00CE3347">
        <w:t>article </w:t>
      </w:r>
      <w:r>
        <w:t>18, il lui faudrait décider si cette obligation est absolue comme celle prévue à l</w:t>
      </w:r>
      <w:r w:rsidR="00AA3A41">
        <w:t>’</w:t>
      </w:r>
      <w:r w:rsidR="00CE3347">
        <w:t>article </w:t>
      </w:r>
      <w:r>
        <w:t>7 ou si elle peut faire l</w:t>
      </w:r>
      <w:r w:rsidR="00AA3A41">
        <w:t>’</w:t>
      </w:r>
      <w:r>
        <w:t>objet d</w:t>
      </w:r>
      <w:r w:rsidR="00AA3A41">
        <w:t>’</w:t>
      </w:r>
      <w:r>
        <w:t>exceptions comme celle prévue par la Convention relative au statut des réfugiés, et, dans ce dernier cas, comment les intérêts de la personne qui refuse d</w:t>
      </w:r>
      <w:r w:rsidR="00AA3A41">
        <w:t>’</w:t>
      </w:r>
      <w:r>
        <w:t>être renvoyée et les droits des tiers doivent être conciliés. Autre facteur de complexité, l</w:t>
      </w:r>
      <w:r w:rsidR="00AA3A41">
        <w:t>’</w:t>
      </w:r>
      <w:r>
        <w:t>article 18 comporte plusieurs éléments, dont certains recouvrent des droits considérés comme étant absolus (comme le droit d</w:t>
      </w:r>
      <w:r w:rsidR="00AA3A41">
        <w:t>’</w:t>
      </w:r>
      <w:r>
        <w:t>avoir une religion ou une conviction) et dont d</w:t>
      </w:r>
      <w:r w:rsidR="00AA3A41">
        <w:t>’</w:t>
      </w:r>
      <w:r>
        <w:t>autres font expressément l</w:t>
      </w:r>
      <w:r w:rsidR="00AA3A41">
        <w:t>’</w:t>
      </w:r>
      <w:r>
        <w:t>objet de restrictions (comme le droit de manifester sa religion ou sa conviction dans la pratique). On pourrait se demander pourquoi l</w:t>
      </w:r>
      <w:r w:rsidR="00AA3A41">
        <w:t>’</w:t>
      </w:r>
      <w:r>
        <w:t>interdiction d</w:t>
      </w:r>
      <w:r w:rsidR="00AA3A41">
        <w:t>’</w:t>
      </w:r>
      <w:r>
        <w:t>expulsion serait absolue alors que le droit sous-jacent ne l</w:t>
      </w:r>
      <w:r w:rsidR="00AA3A41">
        <w:t>’</w:t>
      </w:r>
      <w:r>
        <w:t>est pas</w:t>
      </w:r>
      <w:r w:rsidRPr="00953FC6">
        <w:rPr>
          <w:lang w:val="fr-FR"/>
        </w:rPr>
        <w:t xml:space="preserve">. </w:t>
      </w:r>
    </w:p>
    <w:p w:rsidR="00F439F5" w:rsidRPr="00953FC6" w:rsidRDefault="00F439F5" w:rsidP="00B16B67">
      <w:pPr>
        <w:pStyle w:val="SingleTxtG"/>
        <w:ind w:firstLine="567"/>
        <w:rPr>
          <w:lang w:val="fr-FR"/>
        </w:rPr>
      </w:pPr>
      <w:r>
        <w:t>Par ailleurs, le Comité devrait aussi déterminer quel degré ou type d</w:t>
      </w:r>
      <w:r w:rsidR="00AA3A41">
        <w:t>’</w:t>
      </w:r>
      <w:r>
        <w:t>atteinte aux droits énoncés à l</w:t>
      </w:r>
      <w:r w:rsidR="00AA3A41">
        <w:t>’</w:t>
      </w:r>
      <w:r w:rsidR="00CE3347">
        <w:t>article </w:t>
      </w:r>
      <w:r>
        <w:t xml:space="preserve">18 est suffisamment </w:t>
      </w:r>
      <w:r w:rsidRPr="007655E6">
        <w:rPr>
          <w:szCs w:val="24"/>
        </w:rPr>
        <w:t>grave</w:t>
      </w:r>
      <w:r>
        <w:t xml:space="preserve"> pour justifier d</w:t>
      </w:r>
      <w:r w:rsidR="00AA3A41">
        <w:t>’</w:t>
      </w:r>
      <w:r>
        <w:t>emporter une obligation de non-refoulement. En vertu de la Convention relative au statut des réfugiés, la menace d</w:t>
      </w:r>
      <w:r w:rsidR="00AA3A41">
        <w:t>’</w:t>
      </w:r>
      <w:r>
        <w:t>atteinte à la liberté de religion doit atteindre le niveau de la «persécution» pour que la victime puisse demander le statut de réfugié</w:t>
      </w:r>
      <w:r w:rsidRPr="00F439F5">
        <w:rPr>
          <w:rStyle w:val="FootnoteReference"/>
        </w:rPr>
        <w:footnoteReference w:id="33"/>
      </w:r>
      <w:r>
        <w:t>.</w:t>
      </w:r>
      <w:r w:rsidRPr="00953FC6">
        <w:rPr>
          <w:lang w:val="fr-FR"/>
        </w:rPr>
        <w:t xml:space="preserve"> </w:t>
      </w:r>
      <w:r>
        <w:t>Toutes les violations de l</w:t>
      </w:r>
      <w:r w:rsidR="00AA3A41">
        <w:t>’</w:t>
      </w:r>
      <w:r w:rsidR="00CE3347">
        <w:t>article </w:t>
      </w:r>
      <w:r>
        <w:t>18 ne sont pas suffisamment graves pour justifier une interdiction de refoulement en vertu du Pacte. On peut douter, par exemple, que le financement discriminatoire des écoles religieuses privées, le fait de devoir demander à être exempté d</w:t>
      </w:r>
      <w:r w:rsidR="00AA3A41">
        <w:t>’</w:t>
      </w:r>
      <w:r>
        <w:t>éducation chrétienne dans les écoles publiques ou les codes vestimentaires discriminatoires de l</w:t>
      </w:r>
      <w:r w:rsidR="00AA3A41">
        <w:t>’</w:t>
      </w:r>
      <w:r>
        <w:t>école publique justifient qu</w:t>
      </w:r>
      <w:r w:rsidR="00AA3A41">
        <w:t>’</w:t>
      </w:r>
      <w:r>
        <w:t>un État partie doive éviter de renvoyer des requérants au Canada, en Norvège et en France (respectivement) même si le Comité a constaté des violations de l</w:t>
      </w:r>
      <w:r w:rsidR="00AA3A41">
        <w:t>’</w:t>
      </w:r>
      <w:r w:rsidR="00CE3347">
        <w:t>article </w:t>
      </w:r>
      <w:r>
        <w:t>18 pour chacun de ces motifs</w:t>
      </w:r>
      <w:r w:rsidRPr="00F439F5">
        <w:rPr>
          <w:rStyle w:val="FootnoteReference"/>
        </w:rPr>
        <w:footnoteReference w:id="34"/>
      </w:r>
      <w:r>
        <w:t>.</w:t>
      </w:r>
    </w:p>
    <w:p w:rsidR="00F439F5" w:rsidRPr="00953FC6" w:rsidRDefault="00F439F5" w:rsidP="00584216">
      <w:pPr>
        <w:pStyle w:val="SingleTxtG"/>
        <w:keepLines/>
        <w:ind w:firstLine="567"/>
        <w:rPr>
          <w:lang w:val="fr-FR"/>
        </w:rPr>
      </w:pPr>
      <w:r>
        <w:t>Ces exemples montrent aussi la fausseté de l</w:t>
      </w:r>
      <w:r w:rsidR="00AA3A41">
        <w:t>’</w:t>
      </w:r>
      <w:r>
        <w:t>argument abstrait selon lequel l</w:t>
      </w:r>
      <w:r w:rsidR="00AA3A41">
        <w:t>’</w:t>
      </w:r>
      <w:r>
        <w:t>obligation qu</w:t>
      </w:r>
      <w:r w:rsidR="00AA3A41">
        <w:t>’</w:t>
      </w:r>
      <w:r>
        <w:t xml:space="preserve">a un État de ne pas violer un droit entraîne toujours une obligation de ne pas envoyer une personne dans un autre État où il existe un risque réel que ce droit soit </w:t>
      </w:r>
      <w:r w:rsidRPr="007655E6">
        <w:rPr>
          <w:szCs w:val="24"/>
        </w:rPr>
        <w:t>violé</w:t>
      </w:r>
      <w:r>
        <w:t xml:space="preserve">. Dans son Observation générale </w:t>
      </w:r>
      <w:r w:rsidR="00362131" w:rsidRPr="00C14D2A">
        <w:t>n</w:t>
      </w:r>
      <w:r w:rsidR="00362131" w:rsidRPr="00C14D2A">
        <w:rPr>
          <w:vertAlign w:val="superscript"/>
        </w:rPr>
        <w:t>o</w:t>
      </w:r>
      <w:r w:rsidR="00362131">
        <w:t> </w:t>
      </w:r>
      <w:r>
        <w:t xml:space="preserve">31, le Comité parle de «préjudice irréparable, tel le préjudice envisagé aux </w:t>
      </w:r>
      <w:r w:rsidR="00CE3347">
        <w:t>articles </w:t>
      </w:r>
      <w:r>
        <w:t>6 et 7 du Pacte», pour illustrer le type d</w:t>
      </w:r>
      <w:r w:rsidR="00AA3A41">
        <w:t>’</w:t>
      </w:r>
      <w:r>
        <w:t>atteinte suffisamment grave pour justifier une obligation de non-refoulement. Certaines des violations du Pacte n</w:t>
      </w:r>
      <w:r w:rsidR="00AA3A41">
        <w:t>’</w:t>
      </w:r>
      <w:r>
        <w:t>ont que des conséquences financières et sont facilement réparables; mais au-delà, les termes de l</w:t>
      </w:r>
      <w:r w:rsidR="00AA3A41">
        <w:t>’</w:t>
      </w:r>
      <w:r>
        <w:t>Observation générale portent à croire que le Comité renvoie à l</w:t>
      </w:r>
      <w:r w:rsidR="00AA3A41">
        <w:t>’</w:t>
      </w:r>
      <w:r>
        <w:t>irréparable dans un sens plus profond. Il est difficile d</w:t>
      </w:r>
      <w:r w:rsidR="00AA3A41">
        <w:t>’</w:t>
      </w:r>
      <w:r>
        <w:t>imaginer que l</w:t>
      </w:r>
      <w:r w:rsidR="00AA3A41">
        <w:t>’</w:t>
      </w:r>
      <w:r w:rsidR="00CE3347">
        <w:t>article </w:t>
      </w:r>
      <w:r>
        <w:t>25 du Pacte interdit de renvoyer un homme politique dans un pays simplement parce qu</w:t>
      </w:r>
      <w:r w:rsidR="00AA3A41">
        <w:t>’</w:t>
      </w:r>
      <w:r>
        <w:t xml:space="preserve">il existe un «risque réel» </w:t>
      </w:r>
      <w:r w:rsidR="00CC405E">
        <w:t>− </w:t>
      </w:r>
      <w:r>
        <w:t>ou même une certitude</w:t>
      </w:r>
      <w:r w:rsidR="00CC405E">
        <w:t> −</w:t>
      </w:r>
      <w:r>
        <w:t xml:space="preserve"> de restriction déraisonnable de son droit de se présenter comme candidat à la législature nationale, même si je reconnais que la perte de cette possibilité ne peut pas être entièrement réparée. Il est également peu probable qu</w:t>
      </w:r>
      <w:r w:rsidR="00AA3A41">
        <w:t>’</w:t>
      </w:r>
      <w:r>
        <w:t>une violation systémique notoire de l</w:t>
      </w:r>
      <w:r w:rsidR="00AA3A41">
        <w:t>’</w:t>
      </w:r>
      <w:r w:rsidR="00CE3347">
        <w:t>article </w:t>
      </w:r>
      <w:r>
        <w:t>25, telle que le fait qu</w:t>
      </w:r>
      <w:r w:rsidR="00AA3A41">
        <w:t>’</w:t>
      </w:r>
      <w:r>
        <w:t>un État ne tienne manifestement pas d</w:t>
      </w:r>
      <w:r w:rsidR="00AA3A41">
        <w:t>’</w:t>
      </w:r>
      <w:r>
        <w:t>élections périodiques honnête, entraîne une obligation de non-refoulement au bénéfice de tous ses nationaux se trouvant dans d</w:t>
      </w:r>
      <w:r w:rsidR="00AA3A41">
        <w:t>’</w:t>
      </w:r>
      <w:r>
        <w:t>autres États. L</w:t>
      </w:r>
      <w:r w:rsidR="00AA3A41">
        <w:t>’</w:t>
      </w:r>
      <w:r>
        <w:t>argument abstrait selon lequel toutes les violations potentielles du Pacte emportent une obligation de non-refoulement est donc intenable</w:t>
      </w:r>
      <w:r w:rsidRPr="00953FC6">
        <w:rPr>
          <w:lang w:val="fr-FR"/>
        </w:rPr>
        <w:t>.</w:t>
      </w:r>
    </w:p>
    <w:p w:rsidR="00F439F5" w:rsidRPr="00953FC6" w:rsidRDefault="00F439F5" w:rsidP="00B16B67">
      <w:pPr>
        <w:pStyle w:val="SingleTxtG"/>
        <w:ind w:firstLine="567"/>
        <w:rPr>
          <w:lang w:val="fr-FR"/>
        </w:rPr>
      </w:pPr>
      <w:r>
        <w:t>Dans la présente affaire, les convictions religieuses de l</w:t>
      </w:r>
      <w:r w:rsidR="00AA3A41">
        <w:t>’</w:t>
      </w:r>
      <w:r>
        <w:t>auteur se rapportent à la question de savoir s</w:t>
      </w:r>
      <w:r w:rsidR="00AA3A41">
        <w:t>’</w:t>
      </w:r>
      <w:r>
        <w:t xml:space="preserve">il serait exposé à un risque réel de </w:t>
      </w:r>
      <w:r w:rsidRPr="007655E6">
        <w:rPr>
          <w:szCs w:val="24"/>
        </w:rPr>
        <w:t>traitement</w:t>
      </w:r>
      <w:r>
        <w:t xml:space="preserve"> contraire à l</w:t>
      </w:r>
      <w:r w:rsidR="00AA3A41">
        <w:t>’</w:t>
      </w:r>
      <w:r w:rsidR="00CE3347">
        <w:t>article </w:t>
      </w:r>
      <w:r>
        <w:t>7 s</w:t>
      </w:r>
      <w:r w:rsidR="00AA3A41">
        <w:t>’</w:t>
      </w:r>
      <w:r>
        <w:t>il était envoyé en Érythrée. Le fait de les prendre en considération de cette façon constitue une base suffisante pour la décision du Comité</w:t>
      </w:r>
      <w:r w:rsidRPr="00953FC6">
        <w:rPr>
          <w:lang w:val="fr-FR"/>
        </w:rPr>
        <w:t xml:space="preserve">. </w:t>
      </w:r>
    </w:p>
    <w:p w:rsidR="00F439F5" w:rsidRDefault="00F439F5" w:rsidP="007655E6">
      <w:pPr>
        <w:pStyle w:val="SingleTxtG"/>
      </w:pPr>
      <w:r w:rsidRPr="00F76345">
        <w:t>[</w:t>
      </w:r>
      <w:r>
        <w:t xml:space="preserve">Fait en </w:t>
      </w:r>
      <w:r w:rsidRPr="007655E6">
        <w:rPr>
          <w:szCs w:val="24"/>
        </w:rPr>
        <w:t>anglais</w:t>
      </w:r>
      <w:r w:rsidRPr="00F76345">
        <w:t>.</w:t>
      </w:r>
      <w:r w:rsidRPr="00F76345">
        <w:rPr>
          <w:lang w:val="fr-FR"/>
        </w:rPr>
        <w:t xml:space="preserve"> Paraîtra ultérieurement en arabe, en </w:t>
      </w:r>
      <w:r w:rsidRPr="009211E7">
        <w:rPr>
          <w:lang w:val="fr-FR"/>
        </w:rPr>
        <w:t>chinois</w:t>
      </w:r>
      <w:r>
        <w:t>,</w:t>
      </w:r>
      <w:r w:rsidRPr="009211E7">
        <w:rPr>
          <w:lang w:val="fr-FR"/>
        </w:rPr>
        <w:t xml:space="preserve"> </w:t>
      </w:r>
      <w:r w:rsidRPr="009211E7">
        <w:t xml:space="preserve">en espagnol, en français </w:t>
      </w:r>
      <w:r w:rsidRPr="009211E7">
        <w:rPr>
          <w:lang w:val="fr-FR"/>
        </w:rPr>
        <w:t>et</w:t>
      </w:r>
      <w:r w:rsidR="00CC405E">
        <w:rPr>
          <w:lang w:val="fr-FR"/>
        </w:rPr>
        <w:t> </w:t>
      </w:r>
      <w:r w:rsidRPr="009211E7">
        <w:rPr>
          <w:lang w:val="fr-FR"/>
        </w:rPr>
        <w:t>en</w:t>
      </w:r>
      <w:r w:rsidR="00CC405E">
        <w:rPr>
          <w:lang w:val="fr-FR"/>
        </w:rPr>
        <w:t> </w:t>
      </w:r>
      <w:r w:rsidRPr="009211E7">
        <w:rPr>
          <w:lang w:val="fr-FR"/>
        </w:rPr>
        <w:t xml:space="preserve">russe dans le rapport annuel du Comité à </w:t>
      </w:r>
      <w:r w:rsidRPr="009211E7">
        <w:rPr>
          <w:rFonts w:eastAsia="MS Mincho"/>
        </w:rPr>
        <w:t>l</w:t>
      </w:r>
      <w:r w:rsidR="00AA3A41">
        <w:rPr>
          <w:rFonts w:eastAsia="MS Mincho"/>
        </w:rPr>
        <w:t>’</w:t>
      </w:r>
      <w:r w:rsidRPr="009211E7">
        <w:rPr>
          <w:rFonts w:eastAsia="MS Mincho"/>
        </w:rPr>
        <w:t>Assemblée générale</w:t>
      </w:r>
      <w:r w:rsidRPr="009211E7">
        <w:t>.]</w:t>
      </w:r>
    </w:p>
    <w:p w:rsidR="007655E6" w:rsidRPr="007655E6" w:rsidRDefault="007655E6" w:rsidP="007655E6">
      <w:pPr>
        <w:pStyle w:val="SingleTxtG"/>
        <w:spacing w:before="240" w:after="0"/>
        <w:jc w:val="center"/>
        <w:rPr>
          <w:u w:val="single"/>
        </w:rPr>
      </w:pPr>
      <w:r>
        <w:rPr>
          <w:u w:val="single"/>
        </w:rPr>
        <w:tab/>
      </w:r>
      <w:r>
        <w:rPr>
          <w:u w:val="single"/>
        </w:rPr>
        <w:tab/>
      </w:r>
      <w:r>
        <w:rPr>
          <w:u w:val="single"/>
        </w:rPr>
        <w:tab/>
      </w:r>
    </w:p>
    <w:sectPr w:rsidR="007655E6" w:rsidRPr="007655E6" w:rsidSect="00362131">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8D" w:rsidRDefault="00EF098D"/>
  </w:endnote>
  <w:endnote w:type="continuationSeparator" w:id="0">
    <w:p w:rsidR="00EF098D" w:rsidRDefault="00EF098D"/>
  </w:endnote>
  <w:endnote w:type="continuationNotice" w:id="1">
    <w:p w:rsidR="00EF098D" w:rsidRPr="00AE2643" w:rsidRDefault="00EF098D"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41" w:rsidRPr="00E744B4" w:rsidRDefault="00AA3A41" w:rsidP="00E744B4">
    <w:pPr>
      <w:pStyle w:val="Footer"/>
      <w:tabs>
        <w:tab w:val="right" w:pos="9638"/>
      </w:tabs>
    </w:pPr>
    <w:r w:rsidRPr="00E744B4">
      <w:rPr>
        <w:b/>
        <w:sz w:val="18"/>
      </w:rPr>
      <w:fldChar w:fldCharType="begin"/>
    </w:r>
    <w:r w:rsidRPr="00E744B4">
      <w:rPr>
        <w:b/>
        <w:sz w:val="18"/>
      </w:rPr>
      <w:instrText xml:space="preserve"> PAGE  \* MERGEFORMAT </w:instrText>
    </w:r>
    <w:r w:rsidRPr="00E744B4">
      <w:rPr>
        <w:b/>
        <w:sz w:val="18"/>
      </w:rPr>
      <w:fldChar w:fldCharType="separate"/>
    </w:r>
    <w:r w:rsidR="005C73E1">
      <w:rPr>
        <w:b/>
        <w:noProof/>
        <w:sz w:val="18"/>
      </w:rPr>
      <w:t>12</w:t>
    </w:r>
    <w:r w:rsidRPr="00E744B4">
      <w:rPr>
        <w:b/>
        <w:sz w:val="18"/>
      </w:rPr>
      <w:fldChar w:fldCharType="end"/>
    </w:r>
    <w:r>
      <w:rPr>
        <w:b/>
        <w:sz w:val="18"/>
      </w:rPr>
      <w:tab/>
    </w:r>
    <w:r>
      <w:t>GE.14-02772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41" w:rsidRPr="00E744B4" w:rsidRDefault="00AA3A41" w:rsidP="00E744B4">
    <w:pPr>
      <w:pStyle w:val="Footer"/>
      <w:tabs>
        <w:tab w:val="right" w:pos="9638"/>
      </w:tabs>
      <w:rPr>
        <w:b/>
        <w:sz w:val="18"/>
      </w:rPr>
    </w:pPr>
    <w:r>
      <w:t>GE.14-02772</w:t>
    </w:r>
    <w:r>
      <w:tab/>
    </w:r>
    <w:r w:rsidRPr="00E744B4">
      <w:rPr>
        <w:b/>
        <w:sz w:val="18"/>
      </w:rPr>
      <w:fldChar w:fldCharType="begin"/>
    </w:r>
    <w:r w:rsidRPr="00E744B4">
      <w:rPr>
        <w:b/>
        <w:sz w:val="18"/>
      </w:rPr>
      <w:instrText xml:space="preserve"> PAGE  \* MERGEFORMAT </w:instrText>
    </w:r>
    <w:r w:rsidRPr="00E744B4">
      <w:rPr>
        <w:b/>
        <w:sz w:val="18"/>
      </w:rPr>
      <w:fldChar w:fldCharType="separate"/>
    </w:r>
    <w:r w:rsidR="005C73E1">
      <w:rPr>
        <w:b/>
        <w:noProof/>
        <w:sz w:val="18"/>
      </w:rPr>
      <w:t>11</w:t>
    </w:r>
    <w:r w:rsidRPr="00E744B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41" w:rsidRDefault="00AA3A41" w:rsidP="00E744B4">
    <w:pPr>
      <w:pStyle w:val="Footer"/>
      <w:spacing w:before="120"/>
    </w:pPr>
    <w:r>
      <w:rPr>
        <w:sz w:val="20"/>
      </w:rPr>
      <w:t>GE.14-02772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280514    </w:t>
    </w:r>
    <w:r w:rsidR="00F25A5E">
      <w:rPr>
        <w:sz w:val="20"/>
      </w:rPr>
      <w:t>280514</w:t>
    </w:r>
    <w:r>
      <w:rPr>
        <w:sz w:val="20"/>
      </w:rPr>
      <w:br/>
    </w:r>
    <w:r w:rsidRPr="00E744B4">
      <w:rPr>
        <w:rFonts w:ascii="C39T30Lfz" w:hAnsi="C39T30Lfz"/>
        <w:sz w:val="56"/>
      </w:rPr>
      <w:t></w:t>
    </w:r>
    <w:r w:rsidRPr="00E744B4">
      <w:rPr>
        <w:rFonts w:ascii="C39T30Lfz" w:hAnsi="C39T30Lfz"/>
        <w:sz w:val="56"/>
      </w:rPr>
      <w:t></w:t>
    </w:r>
    <w:r w:rsidRPr="00E744B4">
      <w:rPr>
        <w:rFonts w:ascii="C39T30Lfz" w:hAnsi="C39T30Lfz"/>
        <w:sz w:val="56"/>
      </w:rPr>
      <w:t></w:t>
    </w:r>
    <w:r w:rsidRPr="00E744B4">
      <w:rPr>
        <w:rFonts w:ascii="C39T30Lfz" w:hAnsi="C39T30Lfz"/>
        <w:sz w:val="56"/>
      </w:rPr>
      <w:t></w:t>
    </w:r>
    <w:r w:rsidRPr="00E744B4">
      <w:rPr>
        <w:rFonts w:ascii="C39T30Lfz" w:hAnsi="C39T30Lfz"/>
        <w:sz w:val="56"/>
      </w:rPr>
      <w:t></w:t>
    </w:r>
    <w:r w:rsidRPr="00E744B4">
      <w:rPr>
        <w:rFonts w:ascii="C39T30Lfz" w:hAnsi="C39T30Lfz"/>
        <w:sz w:val="56"/>
      </w:rPr>
      <w:t></w:t>
    </w:r>
    <w:r w:rsidRPr="00E744B4">
      <w:rPr>
        <w:rFonts w:ascii="C39T30Lfz" w:hAnsi="C39T30Lfz"/>
        <w:sz w:val="56"/>
      </w:rPr>
      <w:t></w:t>
    </w:r>
    <w:r w:rsidRPr="00E744B4">
      <w:rPr>
        <w:rFonts w:ascii="C39T30Lfz" w:hAnsi="C39T30Lfz"/>
        <w:sz w:val="56"/>
      </w:rPr>
      <w:t></w:t>
    </w:r>
    <w:r w:rsidRPr="00E744B4">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8D" w:rsidRPr="00D27D5E" w:rsidRDefault="00EF098D" w:rsidP="00D27D5E">
      <w:pPr>
        <w:tabs>
          <w:tab w:val="right" w:pos="2155"/>
        </w:tabs>
        <w:spacing w:after="80"/>
        <w:ind w:left="680"/>
        <w:rPr>
          <w:u w:val="single"/>
        </w:rPr>
      </w:pPr>
      <w:r>
        <w:rPr>
          <w:u w:val="single"/>
        </w:rPr>
        <w:tab/>
      </w:r>
    </w:p>
  </w:footnote>
  <w:footnote w:type="continuationSeparator" w:id="0">
    <w:p w:rsidR="00EF098D" w:rsidRPr="00A821B8" w:rsidRDefault="00EF098D" w:rsidP="00A821B8">
      <w:pPr>
        <w:tabs>
          <w:tab w:val="right" w:pos="2155"/>
        </w:tabs>
        <w:spacing w:after="80"/>
        <w:ind w:left="680"/>
        <w:rPr>
          <w:u w:val="single"/>
        </w:rPr>
      </w:pPr>
      <w:r w:rsidRPr="00A821B8">
        <w:rPr>
          <w:u w:val="single"/>
        </w:rPr>
        <w:tab/>
      </w:r>
    </w:p>
  </w:footnote>
  <w:footnote w:type="continuationNotice" w:id="1">
    <w:p w:rsidR="00EF098D" w:rsidRPr="00AE2643" w:rsidRDefault="00EF098D" w:rsidP="00AE2643">
      <w:pPr>
        <w:spacing w:line="240" w:lineRule="auto"/>
        <w:rPr>
          <w:sz w:val="2"/>
          <w:szCs w:val="2"/>
        </w:rPr>
      </w:pPr>
    </w:p>
  </w:footnote>
  <w:footnote w:id="2">
    <w:p w:rsidR="00AA3A41" w:rsidRPr="00DC6370" w:rsidRDefault="00AA3A41" w:rsidP="00AA3A41">
      <w:pPr>
        <w:pStyle w:val="FootnoteText"/>
        <w:tabs>
          <w:tab w:val="right" w:pos="1021"/>
        </w:tabs>
        <w:rPr>
          <w:bCs/>
          <w:szCs w:val="18"/>
        </w:rPr>
      </w:pPr>
      <w:r>
        <w:tab/>
      </w:r>
      <w:r w:rsidRPr="00F439F5">
        <w:rPr>
          <w:rStyle w:val="FootnoteReference"/>
          <w:sz w:val="20"/>
          <w:vertAlign w:val="baseline"/>
        </w:rPr>
        <w:t>*</w:t>
      </w:r>
      <w:r>
        <w:rPr>
          <w:sz w:val="20"/>
        </w:rPr>
        <w:tab/>
      </w:r>
      <w:r w:rsidRPr="00001F3B">
        <w:rPr>
          <w:szCs w:val="18"/>
        </w:rPr>
        <w:t>Les membres du Comité dont le nom suit ont participé à l</w:t>
      </w:r>
      <w:r>
        <w:rPr>
          <w:szCs w:val="18"/>
        </w:rPr>
        <w:t>’</w:t>
      </w:r>
      <w:r w:rsidRPr="00001F3B">
        <w:rPr>
          <w:szCs w:val="18"/>
        </w:rPr>
        <w:t xml:space="preserve">examen de la communication: M. Yadh Ben Achour, </w:t>
      </w:r>
      <w:r w:rsidRPr="00001F3B">
        <w:rPr>
          <w:bCs/>
          <w:szCs w:val="18"/>
        </w:rPr>
        <w:t xml:space="preserve">M. Lazhari Bouzid, </w:t>
      </w:r>
      <w:r w:rsidRPr="00001F3B">
        <w:rPr>
          <w:bCs/>
          <w:szCs w:val="18"/>
          <w:lang w:val="fr-FR"/>
        </w:rPr>
        <w:t>M</w:t>
      </w:r>
      <w:r w:rsidRPr="00001F3B">
        <w:rPr>
          <w:bCs/>
          <w:szCs w:val="18"/>
          <w:vertAlign w:val="superscript"/>
          <w:lang w:val="fr-FR"/>
        </w:rPr>
        <w:t>me</w:t>
      </w:r>
      <w:r w:rsidRPr="00001F3B">
        <w:rPr>
          <w:bCs/>
          <w:szCs w:val="18"/>
          <w:lang w:val="fr-FR"/>
        </w:rPr>
        <w:t xml:space="preserve"> Christine Chanet, </w:t>
      </w:r>
      <w:r>
        <w:rPr>
          <w:bCs/>
          <w:szCs w:val="18"/>
          <w:lang w:val="fr-FR"/>
        </w:rPr>
        <w:t>M. </w:t>
      </w:r>
      <w:r w:rsidRPr="00001F3B">
        <w:rPr>
          <w:bCs/>
          <w:szCs w:val="18"/>
          <w:lang w:val="fr-FR"/>
        </w:rPr>
        <w:t xml:space="preserve">Ahmad Amin Fathalla, </w:t>
      </w:r>
      <w:r w:rsidRPr="00001F3B">
        <w:rPr>
          <w:bCs/>
          <w:szCs w:val="18"/>
        </w:rPr>
        <w:t xml:space="preserve">M. Cornelis Flinterman, </w:t>
      </w:r>
      <w:r>
        <w:rPr>
          <w:bCs/>
          <w:szCs w:val="18"/>
        </w:rPr>
        <w:t>M. </w:t>
      </w:r>
      <w:r w:rsidRPr="00001F3B">
        <w:rPr>
          <w:bCs/>
          <w:szCs w:val="18"/>
        </w:rPr>
        <w:t>Yuji Iwasawa, M. Walter</w:t>
      </w:r>
      <w:r>
        <w:rPr>
          <w:bCs/>
          <w:szCs w:val="18"/>
        </w:rPr>
        <w:t xml:space="preserve"> </w:t>
      </w:r>
      <w:r w:rsidRPr="00001F3B">
        <w:rPr>
          <w:bCs/>
          <w:szCs w:val="18"/>
        </w:rPr>
        <w:t>Kälin</w:t>
      </w:r>
      <w:r w:rsidRPr="00001F3B">
        <w:rPr>
          <w:bCs/>
          <w:szCs w:val="18"/>
          <w:lang w:val="fr-FR"/>
        </w:rPr>
        <w:t xml:space="preserve">, </w:t>
      </w:r>
      <w:r w:rsidRPr="00001F3B">
        <w:rPr>
          <w:szCs w:val="24"/>
        </w:rPr>
        <w:t>M</w:t>
      </w:r>
      <w:r w:rsidRPr="00001F3B">
        <w:rPr>
          <w:szCs w:val="24"/>
          <w:vertAlign w:val="superscript"/>
        </w:rPr>
        <w:t>me</w:t>
      </w:r>
      <w:r w:rsidRPr="00001F3B">
        <w:rPr>
          <w:szCs w:val="24"/>
        </w:rPr>
        <w:t xml:space="preserve"> Zonke Zanele Majodina, </w:t>
      </w:r>
      <w:r w:rsidRPr="00001F3B">
        <w:rPr>
          <w:bCs/>
          <w:szCs w:val="18"/>
        </w:rPr>
        <w:t xml:space="preserve">M. Gerald L. Neuman, </w:t>
      </w:r>
      <w:r w:rsidRPr="00001F3B">
        <w:rPr>
          <w:szCs w:val="24"/>
        </w:rPr>
        <w:t xml:space="preserve">Sir Nigel Rodley, </w:t>
      </w:r>
      <w:r w:rsidRPr="00001F3B">
        <w:rPr>
          <w:bCs/>
          <w:szCs w:val="18"/>
        </w:rPr>
        <w:t>M. Victor</w:t>
      </w:r>
      <w:r>
        <w:rPr>
          <w:bCs/>
          <w:szCs w:val="18"/>
        </w:rPr>
        <w:t xml:space="preserve"> </w:t>
      </w:r>
      <w:r w:rsidRPr="00001F3B">
        <w:rPr>
          <w:bCs/>
          <w:szCs w:val="18"/>
        </w:rPr>
        <w:t xml:space="preserve">Manuel Rodríguez-Rescia, </w:t>
      </w:r>
      <w:r w:rsidRPr="00001F3B">
        <w:rPr>
          <w:bCs/>
          <w:szCs w:val="24"/>
        </w:rPr>
        <w:t xml:space="preserve">M. Fabian Omar Salvioli, </w:t>
      </w:r>
      <w:r w:rsidRPr="00001F3B">
        <w:rPr>
          <w:bCs/>
          <w:szCs w:val="18"/>
          <w:lang w:val="fr-FR"/>
        </w:rPr>
        <w:t>M</w:t>
      </w:r>
      <w:r w:rsidRPr="00001F3B">
        <w:rPr>
          <w:bCs/>
          <w:szCs w:val="18"/>
          <w:vertAlign w:val="superscript"/>
          <w:lang w:val="fr-FR"/>
        </w:rPr>
        <w:t xml:space="preserve">me </w:t>
      </w:r>
      <w:r w:rsidRPr="00001F3B">
        <w:rPr>
          <w:bCs/>
          <w:szCs w:val="18"/>
          <w:lang w:val="fr-FR"/>
        </w:rPr>
        <w:t xml:space="preserve">Anja Seibert-Fohr, </w:t>
      </w:r>
      <w:r w:rsidRPr="00001F3B">
        <w:rPr>
          <w:bCs/>
          <w:szCs w:val="18"/>
        </w:rPr>
        <w:t>M. Yuval</w:t>
      </w:r>
      <w:r>
        <w:rPr>
          <w:bCs/>
          <w:szCs w:val="18"/>
        </w:rPr>
        <w:t xml:space="preserve"> </w:t>
      </w:r>
      <w:r w:rsidRPr="00001F3B">
        <w:rPr>
          <w:bCs/>
          <w:szCs w:val="18"/>
        </w:rPr>
        <w:t>Shany, M</w:t>
      </w:r>
      <w:r w:rsidRPr="00001F3B">
        <w:rPr>
          <w:bCs/>
          <w:szCs w:val="18"/>
          <w:vertAlign w:val="superscript"/>
        </w:rPr>
        <w:t>me</w:t>
      </w:r>
      <w:r w:rsidRPr="00001F3B">
        <w:rPr>
          <w:bCs/>
          <w:szCs w:val="18"/>
        </w:rPr>
        <w:t xml:space="preserve"> Margo Waterval et </w:t>
      </w:r>
      <w:r w:rsidRPr="00001F3B">
        <w:rPr>
          <w:bCs/>
          <w:szCs w:val="18"/>
          <w:lang w:val="fr-FR"/>
        </w:rPr>
        <w:t>M. </w:t>
      </w:r>
      <w:r w:rsidRPr="00001F3B">
        <w:rPr>
          <w:bCs/>
          <w:szCs w:val="18"/>
        </w:rPr>
        <w:t>Andrei Paul Zlatescu.</w:t>
      </w:r>
      <w:r w:rsidR="00DC6370">
        <w:rPr>
          <w:bCs/>
          <w:szCs w:val="18"/>
        </w:rPr>
        <w:t xml:space="preserve"> </w:t>
      </w:r>
      <w:r w:rsidR="00DC6370" w:rsidRPr="00DC6370">
        <w:rPr>
          <w:bCs/>
          <w:szCs w:val="18"/>
        </w:rPr>
        <w:t>Le texte d’une opinion individuelle signée de M.</w:t>
      </w:r>
      <w:r w:rsidR="00362131">
        <w:rPr>
          <w:bCs/>
          <w:szCs w:val="18"/>
        </w:rPr>
        <w:t> </w:t>
      </w:r>
      <w:r w:rsidR="00DC6370" w:rsidRPr="00DC6370">
        <w:rPr>
          <w:bCs/>
          <w:szCs w:val="18"/>
        </w:rPr>
        <w:t>Gerald L. Neuman est joint aux présentes constatations.</w:t>
      </w:r>
    </w:p>
  </w:footnote>
  <w:footnote w:id="3">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auteur se réfère à l</w:t>
      </w:r>
      <w:r>
        <w:rPr>
          <w:szCs w:val="18"/>
        </w:rPr>
        <w:t>’</w:t>
      </w:r>
      <w:r w:rsidRPr="002B1070">
        <w:rPr>
          <w:szCs w:val="18"/>
        </w:rPr>
        <w:t>article</w:t>
      </w:r>
      <w:r>
        <w:rPr>
          <w:szCs w:val="18"/>
        </w:rPr>
        <w:t> </w:t>
      </w:r>
      <w:r w:rsidRPr="002B1070">
        <w:rPr>
          <w:szCs w:val="18"/>
        </w:rPr>
        <w:t>9 du Pacte en invoquant le droit à un procès équitable. Ses arguments à cet égard sont donc examinés au regard de l</w:t>
      </w:r>
      <w:r>
        <w:rPr>
          <w:szCs w:val="18"/>
        </w:rPr>
        <w:t>’</w:t>
      </w:r>
      <w:r w:rsidRPr="002B1070">
        <w:rPr>
          <w:szCs w:val="18"/>
        </w:rPr>
        <w:t>article</w:t>
      </w:r>
      <w:r>
        <w:rPr>
          <w:szCs w:val="18"/>
        </w:rPr>
        <w:t> </w:t>
      </w:r>
      <w:r w:rsidRPr="002B1070">
        <w:rPr>
          <w:szCs w:val="18"/>
        </w:rPr>
        <w:t>14 du Pacte.</w:t>
      </w:r>
    </w:p>
  </w:footnote>
  <w:footnote w:id="4">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 xml:space="preserve">auteur cite le </w:t>
      </w:r>
      <w:r w:rsidRPr="002B1070">
        <w:rPr>
          <w:i/>
          <w:szCs w:val="18"/>
        </w:rPr>
        <w:t>Rapport annuel</w:t>
      </w:r>
      <w:r w:rsidRPr="002B1070">
        <w:rPr>
          <w:szCs w:val="18"/>
        </w:rPr>
        <w:t xml:space="preserve"> d</w:t>
      </w:r>
      <w:r>
        <w:rPr>
          <w:szCs w:val="18"/>
        </w:rPr>
        <w:t>’</w:t>
      </w:r>
      <w:r w:rsidRPr="002B1070">
        <w:rPr>
          <w:szCs w:val="18"/>
        </w:rPr>
        <w:t>Amnesty International</w:t>
      </w:r>
      <w:r w:rsidRPr="002B1070">
        <w:rPr>
          <w:i/>
          <w:szCs w:val="18"/>
        </w:rPr>
        <w:t xml:space="preserve"> </w:t>
      </w:r>
      <w:r w:rsidRPr="002B1070">
        <w:rPr>
          <w:szCs w:val="18"/>
        </w:rPr>
        <w:t xml:space="preserve">(2009 et 2007), et la loi érythréenne </w:t>
      </w:r>
      <w:r w:rsidRPr="002B1070">
        <w:rPr>
          <w:rFonts w:eastAsia="MS Mincho"/>
          <w:szCs w:val="18"/>
        </w:rPr>
        <w:t>n</w:t>
      </w:r>
      <w:r w:rsidRPr="002B1070">
        <w:rPr>
          <w:rFonts w:eastAsia="MS Mincho"/>
          <w:szCs w:val="18"/>
          <w:vertAlign w:val="superscript"/>
        </w:rPr>
        <w:t>o</w:t>
      </w:r>
      <w:r w:rsidRPr="002B1070">
        <w:rPr>
          <w:szCs w:val="18"/>
        </w:rPr>
        <w:t> 82/1995 portant proclamation du service national (23</w:t>
      </w:r>
      <w:r>
        <w:rPr>
          <w:szCs w:val="18"/>
        </w:rPr>
        <w:t> octobre</w:t>
      </w:r>
      <w:r w:rsidRPr="002B1070">
        <w:rPr>
          <w:szCs w:val="18"/>
        </w:rPr>
        <w:t xml:space="preserve"> 1995). </w:t>
      </w:r>
    </w:p>
  </w:footnote>
  <w:footnote w:id="5">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auteur cite les références suivantes:</w:t>
      </w:r>
      <w:r>
        <w:rPr>
          <w:szCs w:val="18"/>
        </w:rPr>
        <w:t xml:space="preserve"> </w:t>
      </w:r>
      <w:r w:rsidRPr="002B1070">
        <w:rPr>
          <w:szCs w:val="18"/>
        </w:rPr>
        <w:t>Haut-Commissariat des Nations Unies pour les réfugiés (HCR),</w:t>
      </w:r>
      <w:r w:rsidRPr="002B1070">
        <w:rPr>
          <w:i/>
          <w:szCs w:val="18"/>
        </w:rPr>
        <w:t xml:space="preserve"> </w:t>
      </w:r>
      <w:r w:rsidRPr="002B1070">
        <w:rPr>
          <w:i/>
          <w:iCs/>
          <w:szCs w:val="18"/>
        </w:rPr>
        <w:t>UNHCR Eligibility Guidelines for Assessing the International Protection Needs of Asylum-Seekers from Eritrea</w:t>
      </w:r>
      <w:r w:rsidRPr="002B1070">
        <w:rPr>
          <w:szCs w:val="18"/>
        </w:rPr>
        <w:t xml:space="preserve"> (2009), p.</w:t>
      </w:r>
      <w:r>
        <w:rPr>
          <w:szCs w:val="18"/>
        </w:rPr>
        <w:t> </w:t>
      </w:r>
      <w:r w:rsidRPr="002B1070">
        <w:rPr>
          <w:szCs w:val="18"/>
        </w:rPr>
        <w:t xml:space="preserve">14 et 15; Amnesty International, </w:t>
      </w:r>
      <w:r w:rsidRPr="002B1070">
        <w:rPr>
          <w:i/>
          <w:szCs w:val="18"/>
        </w:rPr>
        <w:t>Rapport 2007;</w:t>
      </w:r>
      <w:r w:rsidRPr="002B1070">
        <w:rPr>
          <w:szCs w:val="18"/>
        </w:rPr>
        <w:t xml:space="preserve"> Département d</w:t>
      </w:r>
      <w:r>
        <w:rPr>
          <w:szCs w:val="18"/>
        </w:rPr>
        <w:t>’</w:t>
      </w:r>
      <w:r w:rsidRPr="002B1070">
        <w:rPr>
          <w:szCs w:val="18"/>
        </w:rPr>
        <w:t>État des États-Unis,</w:t>
      </w:r>
      <w:r w:rsidRPr="002B1070">
        <w:rPr>
          <w:i/>
          <w:szCs w:val="18"/>
        </w:rPr>
        <w:t xml:space="preserve"> Country Report on Human Rights Practices: Eritrea</w:t>
      </w:r>
      <w:r w:rsidRPr="002B1070">
        <w:rPr>
          <w:szCs w:val="18"/>
        </w:rPr>
        <w:t xml:space="preserve"> (2006); Bureau d</w:t>
      </w:r>
      <w:r>
        <w:rPr>
          <w:szCs w:val="18"/>
        </w:rPr>
        <w:t>’</w:t>
      </w:r>
      <w:r w:rsidRPr="002B1070">
        <w:rPr>
          <w:szCs w:val="18"/>
        </w:rPr>
        <w:t xml:space="preserve">information publique des Témoins de Jéhovah, </w:t>
      </w:r>
      <w:r w:rsidRPr="002B1070">
        <w:rPr>
          <w:i/>
          <w:szCs w:val="18"/>
        </w:rPr>
        <w:t xml:space="preserve">Eritrea Country Profile </w:t>
      </w:r>
      <w:r w:rsidRPr="002B1070">
        <w:rPr>
          <w:szCs w:val="18"/>
        </w:rPr>
        <w:t xml:space="preserve">et </w:t>
      </w:r>
      <w:r w:rsidRPr="002B1070">
        <w:rPr>
          <w:i/>
          <w:szCs w:val="18"/>
        </w:rPr>
        <w:t>Jehovah</w:t>
      </w:r>
      <w:r>
        <w:rPr>
          <w:i/>
          <w:szCs w:val="18"/>
        </w:rPr>
        <w:t>’</w:t>
      </w:r>
      <w:r w:rsidRPr="002B1070">
        <w:rPr>
          <w:i/>
          <w:szCs w:val="18"/>
        </w:rPr>
        <w:t>s Witnesses in Eritrea</w:t>
      </w:r>
      <w:r w:rsidRPr="002B1070">
        <w:rPr>
          <w:szCs w:val="18"/>
        </w:rPr>
        <w:t xml:space="preserve"> (octobre</w:t>
      </w:r>
      <w:r>
        <w:rPr>
          <w:szCs w:val="18"/>
        </w:rPr>
        <w:t xml:space="preserve"> </w:t>
      </w:r>
      <w:r w:rsidRPr="002B1070">
        <w:rPr>
          <w:szCs w:val="18"/>
        </w:rPr>
        <w:t>2008); une note de position du HCR en date d</w:t>
      </w:r>
      <w:r>
        <w:rPr>
          <w:szCs w:val="18"/>
        </w:rPr>
        <w:t>’</w:t>
      </w:r>
      <w:r w:rsidRPr="002B1070">
        <w:rPr>
          <w:szCs w:val="18"/>
        </w:rPr>
        <w:t xml:space="preserve">avril 2009; un article du </w:t>
      </w:r>
      <w:r w:rsidRPr="002B1070">
        <w:rPr>
          <w:i/>
          <w:szCs w:val="18"/>
        </w:rPr>
        <w:t>Guardian</w:t>
      </w:r>
      <w:r w:rsidRPr="002B1070">
        <w:rPr>
          <w:szCs w:val="18"/>
        </w:rPr>
        <w:t xml:space="preserve"> en date du</w:t>
      </w:r>
      <w:r>
        <w:rPr>
          <w:szCs w:val="18"/>
        </w:rPr>
        <w:t xml:space="preserve"> </w:t>
      </w:r>
      <w:r w:rsidRPr="002B1070">
        <w:rPr>
          <w:szCs w:val="18"/>
        </w:rPr>
        <w:t>23</w:t>
      </w:r>
      <w:r>
        <w:rPr>
          <w:szCs w:val="18"/>
        </w:rPr>
        <w:t> </w:t>
      </w:r>
      <w:r w:rsidRPr="002B1070">
        <w:rPr>
          <w:szCs w:val="18"/>
        </w:rPr>
        <w:t>mai 1995 et un manuel du HCR (par.</w:t>
      </w:r>
      <w:r>
        <w:rPr>
          <w:szCs w:val="18"/>
        </w:rPr>
        <w:t> </w:t>
      </w:r>
      <w:r w:rsidRPr="002B1070">
        <w:rPr>
          <w:szCs w:val="18"/>
        </w:rPr>
        <w:t>169 à 174) dont les titres ne sont pas précisés.</w:t>
      </w:r>
    </w:p>
  </w:footnote>
  <w:footnote w:id="6">
    <w:p w:rsidR="00AA3A41" w:rsidRDefault="00AA3A41" w:rsidP="00F439F5">
      <w:pPr>
        <w:pStyle w:val="FootnoteText"/>
      </w:pPr>
      <w:r>
        <w:tab/>
      </w:r>
      <w:r>
        <w:rPr>
          <w:rStyle w:val="FootnoteReference"/>
        </w:rPr>
        <w:footnoteRef/>
      </w:r>
      <w:r>
        <w:tab/>
      </w:r>
      <w:r w:rsidRPr="002B1070">
        <w:rPr>
          <w:szCs w:val="18"/>
        </w:rPr>
        <w:t>L</w:t>
      </w:r>
      <w:r>
        <w:rPr>
          <w:szCs w:val="18"/>
        </w:rPr>
        <w:t>’</w:t>
      </w:r>
      <w:r w:rsidRPr="002B1070">
        <w:rPr>
          <w:szCs w:val="18"/>
        </w:rPr>
        <w:t>auteur renvoie à la page</w:t>
      </w:r>
      <w:r>
        <w:rPr>
          <w:szCs w:val="18"/>
        </w:rPr>
        <w:t> </w:t>
      </w:r>
      <w:r w:rsidRPr="002B1070">
        <w:rPr>
          <w:szCs w:val="18"/>
        </w:rPr>
        <w:t>34 d</w:t>
      </w:r>
      <w:r>
        <w:rPr>
          <w:szCs w:val="18"/>
        </w:rPr>
        <w:t>’</w:t>
      </w:r>
      <w:r w:rsidRPr="002B1070">
        <w:rPr>
          <w:szCs w:val="18"/>
        </w:rPr>
        <w:t xml:space="preserve">un rapport du HCR dont il ne précise pas le titre. </w:t>
      </w:r>
    </w:p>
  </w:footnote>
  <w:footnote w:id="7">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 xml:space="preserve">auteur cite le manuel </w:t>
      </w:r>
      <w:r w:rsidRPr="002B1070">
        <w:rPr>
          <w:i/>
          <w:iCs/>
          <w:szCs w:val="18"/>
        </w:rPr>
        <w:t>UNHCR Eligibility Guidelines for Assessing the International Protection Needs of Asylum-Seekers from Eritrea</w:t>
      </w:r>
      <w:r w:rsidRPr="002B1070">
        <w:rPr>
          <w:szCs w:val="18"/>
        </w:rPr>
        <w:t xml:space="preserve"> du HCR (avril 2009), p.</w:t>
      </w:r>
      <w:r>
        <w:rPr>
          <w:szCs w:val="18"/>
        </w:rPr>
        <w:t> </w:t>
      </w:r>
      <w:r w:rsidRPr="002B1070">
        <w:rPr>
          <w:szCs w:val="18"/>
        </w:rPr>
        <w:t xml:space="preserve">14 et 15. </w:t>
      </w:r>
    </w:p>
  </w:footnote>
  <w:footnote w:id="8">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État partie se réfère aux déclarations suivantes de l</w:t>
      </w:r>
      <w:r>
        <w:rPr>
          <w:szCs w:val="18"/>
        </w:rPr>
        <w:t>’</w:t>
      </w:r>
      <w:r w:rsidRPr="002B1070">
        <w:rPr>
          <w:szCs w:val="18"/>
        </w:rPr>
        <w:t>auteur, mentionnées dans la décision de la Commission de recours: «Le requérant croit en la Pentecôte. Cela signifie croire en un Dieu. Le</w:t>
      </w:r>
      <w:r>
        <w:rPr>
          <w:szCs w:val="18"/>
        </w:rPr>
        <w:t> </w:t>
      </w:r>
      <w:r w:rsidRPr="002B1070">
        <w:rPr>
          <w:szCs w:val="18"/>
        </w:rPr>
        <w:t>requérant a choisi cette religion à l</w:t>
      </w:r>
      <w:r>
        <w:rPr>
          <w:szCs w:val="18"/>
        </w:rPr>
        <w:t>’</w:t>
      </w:r>
      <w:r w:rsidRPr="002B1070">
        <w:rPr>
          <w:szCs w:val="18"/>
        </w:rPr>
        <w:t>âge de 18</w:t>
      </w:r>
      <w:r>
        <w:rPr>
          <w:szCs w:val="18"/>
        </w:rPr>
        <w:t> </w:t>
      </w:r>
      <w:r w:rsidRPr="002B1070">
        <w:rPr>
          <w:szCs w:val="18"/>
        </w:rPr>
        <w:t>ans. Le requérant a lu la Bible, qui parlait de Jésus. Il</w:t>
      </w:r>
      <w:r>
        <w:rPr>
          <w:szCs w:val="18"/>
        </w:rPr>
        <w:t> </w:t>
      </w:r>
      <w:r w:rsidRPr="002B1070">
        <w:rPr>
          <w:szCs w:val="18"/>
        </w:rPr>
        <w:t>s</w:t>
      </w:r>
      <w:r>
        <w:rPr>
          <w:szCs w:val="18"/>
        </w:rPr>
        <w:t>’</w:t>
      </w:r>
      <w:r w:rsidRPr="002B1070">
        <w:rPr>
          <w:szCs w:val="18"/>
        </w:rPr>
        <w:t>est ensuite intéressé à la religion. Après avoir lu des textes sur la Pentecôte, il a été baptisé.»</w:t>
      </w:r>
      <w:r>
        <w:rPr>
          <w:szCs w:val="18"/>
        </w:rPr>
        <w:t>.</w:t>
      </w:r>
    </w:p>
  </w:footnote>
  <w:footnote w:id="9">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État partie indique que l</w:t>
      </w:r>
      <w:r>
        <w:rPr>
          <w:szCs w:val="18"/>
        </w:rPr>
        <w:t>’</w:t>
      </w:r>
      <w:r w:rsidRPr="002B1070">
        <w:rPr>
          <w:szCs w:val="18"/>
        </w:rPr>
        <w:t>auteur a affirmé avoir informé son oncle de son appartenance au mouvement Pentecôtiste.</w:t>
      </w:r>
    </w:p>
  </w:footnote>
  <w:footnote w:id="10">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 xml:space="preserve">État partie renvoie aux constatations du Comité </w:t>
      </w:r>
      <w:r>
        <w:rPr>
          <w:szCs w:val="18"/>
        </w:rPr>
        <w:t xml:space="preserve">des droits de l’homme </w:t>
      </w:r>
      <w:r w:rsidRPr="002B1070">
        <w:rPr>
          <w:szCs w:val="18"/>
        </w:rPr>
        <w:t>en l</w:t>
      </w:r>
      <w:r>
        <w:rPr>
          <w:szCs w:val="18"/>
        </w:rPr>
        <w:t>’</w:t>
      </w:r>
      <w:r w:rsidRPr="002B1070">
        <w:rPr>
          <w:szCs w:val="18"/>
        </w:rPr>
        <w:t xml:space="preserve">affaire </w:t>
      </w:r>
      <w:r w:rsidRPr="002B1070">
        <w:rPr>
          <w:i/>
          <w:szCs w:val="18"/>
        </w:rPr>
        <w:t xml:space="preserve">Jonny Robin Byaruhanga </w:t>
      </w:r>
      <w:r w:rsidRPr="002B1070">
        <w:rPr>
          <w:szCs w:val="18"/>
        </w:rPr>
        <w:t>c.</w:t>
      </w:r>
      <w:r w:rsidRPr="002B1070">
        <w:rPr>
          <w:i/>
          <w:szCs w:val="18"/>
        </w:rPr>
        <w:t xml:space="preserve"> Danemark</w:t>
      </w:r>
      <w:r w:rsidRPr="002B1070">
        <w:rPr>
          <w:szCs w:val="18"/>
        </w:rPr>
        <w:t xml:space="preserve">, communication </w:t>
      </w:r>
      <w:r w:rsidRPr="00B91D03">
        <w:rPr>
          <w:rFonts w:eastAsia="MS Mincho"/>
          <w:szCs w:val="18"/>
        </w:rPr>
        <w:t>n</w:t>
      </w:r>
      <w:r w:rsidRPr="00B91D03">
        <w:rPr>
          <w:rFonts w:eastAsia="MS Mincho"/>
          <w:szCs w:val="18"/>
          <w:vertAlign w:val="superscript"/>
        </w:rPr>
        <w:t>o</w:t>
      </w:r>
      <w:r>
        <w:rPr>
          <w:szCs w:val="18"/>
        </w:rPr>
        <w:t> </w:t>
      </w:r>
      <w:r w:rsidRPr="002B1070">
        <w:rPr>
          <w:szCs w:val="18"/>
        </w:rPr>
        <w:t>1222/2003 (1</w:t>
      </w:r>
      <w:r w:rsidRPr="002B1070">
        <w:rPr>
          <w:szCs w:val="18"/>
          <w:vertAlign w:val="superscript"/>
        </w:rPr>
        <w:t>er</w:t>
      </w:r>
      <w:r>
        <w:rPr>
          <w:szCs w:val="18"/>
        </w:rPr>
        <w:t> </w:t>
      </w:r>
      <w:r w:rsidRPr="002B1070">
        <w:rPr>
          <w:szCs w:val="18"/>
        </w:rPr>
        <w:t>novembre 2004).</w:t>
      </w:r>
    </w:p>
  </w:footnote>
  <w:footnote w:id="11">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État partie cite l</w:t>
      </w:r>
      <w:r>
        <w:rPr>
          <w:szCs w:val="18"/>
        </w:rPr>
        <w:t>’</w:t>
      </w:r>
      <w:r w:rsidRPr="002B1070">
        <w:rPr>
          <w:szCs w:val="18"/>
        </w:rPr>
        <w:t xml:space="preserve">Observation générale </w:t>
      </w:r>
      <w:r w:rsidRPr="002B1070">
        <w:rPr>
          <w:rFonts w:eastAsia="MS Mincho"/>
          <w:szCs w:val="18"/>
        </w:rPr>
        <w:t>n</w:t>
      </w:r>
      <w:r w:rsidRPr="002B1070">
        <w:rPr>
          <w:rFonts w:eastAsia="MS Mincho"/>
          <w:szCs w:val="18"/>
          <w:vertAlign w:val="superscript"/>
        </w:rPr>
        <w:t>o</w:t>
      </w:r>
      <w:r w:rsidRPr="002B1070">
        <w:rPr>
          <w:szCs w:val="18"/>
        </w:rPr>
        <w:t> 22 du Comité (30</w:t>
      </w:r>
      <w:r>
        <w:rPr>
          <w:szCs w:val="18"/>
        </w:rPr>
        <w:t> </w:t>
      </w:r>
      <w:r w:rsidRPr="002B1070">
        <w:rPr>
          <w:szCs w:val="18"/>
        </w:rPr>
        <w:t>juillet 1993), et note que l</w:t>
      </w:r>
      <w:r>
        <w:rPr>
          <w:szCs w:val="18"/>
        </w:rPr>
        <w:t>’</w:t>
      </w:r>
      <w:r w:rsidRPr="002B1070">
        <w:rPr>
          <w:szCs w:val="18"/>
        </w:rPr>
        <w:t>auteur fait référence à la résolution</w:t>
      </w:r>
      <w:r>
        <w:rPr>
          <w:szCs w:val="18"/>
        </w:rPr>
        <w:t> </w:t>
      </w:r>
      <w:r w:rsidRPr="002B1070">
        <w:rPr>
          <w:szCs w:val="18"/>
        </w:rPr>
        <w:t>1989/59 (8</w:t>
      </w:r>
      <w:r>
        <w:rPr>
          <w:szCs w:val="18"/>
        </w:rPr>
        <w:t> </w:t>
      </w:r>
      <w:r w:rsidRPr="002B1070">
        <w:rPr>
          <w:szCs w:val="18"/>
        </w:rPr>
        <w:t>mars 1989) de la Commission des droits de l</w:t>
      </w:r>
      <w:r>
        <w:rPr>
          <w:szCs w:val="18"/>
        </w:rPr>
        <w:t>’</w:t>
      </w:r>
      <w:r w:rsidRPr="002B1070">
        <w:rPr>
          <w:szCs w:val="18"/>
        </w:rPr>
        <w:t xml:space="preserve">homme des </w:t>
      </w:r>
      <w:r>
        <w:rPr>
          <w:szCs w:val="18"/>
        </w:rPr>
        <w:t>Nations Unies</w:t>
      </w:r>
      <w:r w:rsidRPr="002B1070">
        <w:rPr>
          <w:szCs w:val="18"/>
        </w:rPr>
        <w:t>, réaffirmée notamment dans les résolutions</w:t>
      </w:r>
      <w:r>
        <w:rPr>
          <w:szCs w:val="18"/>
        </w:rPr>
        <w:t> </w:t>
      </w:r>
      <w:r w:rsidRPr="002B1070">
        <w:rPr>
          <w:szCs w:val="18"/>
        </w:rPr>
        <w:t>1991/65 (6</w:t>
      </w:r>
      <w:r>
        <w:rPr>
          <w:szCs w:val="18"/>
        </w:rPr>
        <w:t> </w:t>
      </w:r>
      <w:r w:rsidRPr="002B1070">
        <w:rPr>
          <w:szCs w:val="18"/>
        </w:rPr>
        <w:t>mars 1991) et 1993/84 (10</w:t>
      </w:r>
      <w:r>
        <w:rPr>
          <w:szCs w:val="18"/>
        </w:rPr>
        <w:t> </w:t>
      </w:r>
      <w:r w:rsidRPr="002B1070">
        <w:rPr>
          <w:szCs w:val="18"/>
        </w:rPr>
        <w:t>mars 1993).</w:t>
      </w:r>
    </w:p>
  </w:footnote>
  <w:footnote w:id="12">
    <w:p w:rsidR="00F439F5" w:rsidRPr="002B1070" w:rsidRDefault="00F439F5" w:rsidP="00F439F5">
      <w:pPr>
        <w:pStyle w:val="FootnoteText"/>
        <w:rPr>
          <w:i/>
          <w:iCs/>
          <w:szCs w:val="18"/>
        </w:rPr>
      </w:pPr>
      <w:r w:rsidRPr="002B1070">
        <w:rPr>
          <w:szCs w:val="18"/>
        </w:rPr>
        <w:tab/>
      </w:r>
      <w:r w:rsidRPr="002B1070">
        <w:rPr>
          <w:rStyle w:val="FootnoteReference"/>
          <w:szCs w:val="18"/>
        </w:rPr>
        <w:footnoteRef/>
      </w:r>
      <w:r w:rsidRPr="002B1070">
        <w:rPr>
          <w:szCs w:val="18"/>
        </w:rPr>
        <w:tab/>
        <w:t>À ce sujet, l</w:t>
      </w:r>
      <w:r w:rsidR="00AA3A41">
        <w:rPr>
          <w:szCs w:val="18"/>
        </w:rPr>
        <w:t>’</w:t>
      </w:r>
      <w:r w:rsidRPr="002B1070">
        <w:rPr>
          <w:szCs w:val="18"/>
        </w:rPr>
        <w:t xml:space="preserve">auteur cite les manuels du HCR intitulés </w:t>
      </w:r>
      <w:r w:rsidRPr="002B1070">
        <w:rPr>
          <w:bCs/>
          <w:i/>
          <w:szCs w:val="18"/>
        </w:rPr>
        <w:t>Guide des procédures et critères à appliquer pour déterminer le statut de réfugié</w:t>
      </w:r>
      <w:r>
        <w:rPr>
          <w:bCs/>
          <w:i/>
          <w:szCs w:val="18"/>
        </w:rPr>
        <w:t xml:space="preserve"> </w:t>
      </w:r>
      <w:r w:rsidRPr="005F078A">
        <w:rPr>
          <w:bCs/>
          <w:i/>
          <w:szCs w:val="18"/>
        </w:rPr>
        <w:t>au regard de la Convention de 1951 et</w:t>
      </w:r>
      <w:r>
        <w:rPr>
          <w:bCs/>
          <w:i/>
          <w:szCs w:val="18"/>
        </w:rPr>
        <w:t xml:space="preserve"> du Protocole de 1967 relatifs au statut des réfugiés</w:t>
      </w:r>
      <w:r w:rsidRPr="002B1070">
        <w:rPr>
          <w:szCs w:val="18"/>
        </w:rPr>
        <w:t>, par.</w:t>
      </w:r>
      <w:r>
        <w:rPr>
          <w:szCs w:val="18"/>
        </w:rPr>
        <w:t> </w:t>
      </w:r>
      <w:r w:rsidRPr="002B1070">
        <w:rPr>
          <w:szCs w:val="18"/>
        </w:rPr>
        <w:t xml:space="preserve">172 et 174, et </w:t>
      </w:r>
      <w:r w:rsidRPr="002B1070">
        <w:rPr>
          <w:i/>
          <w:iCs/>
          <w:szCs w:val="18"/>
        </w:rPr>
        <w:t>UNHCR Eligibility Guidelines for Assessing the International Protection Needs of Asylum-Seekers from Eritrea</w:t>
      </w:r>
      <w:r w:rsidRPr="002B1070">
        <w:rPr>
          <w:szCs w:val="18"/>
        </w:rPr>
        <w:t xml:space="preserve"> (avril 2009), p.</w:t>
      </w:r>
      <w:r>
        <w:rPr>
          <w:szCs w:val="18"/>
        </w:rPr>
        <w:t> </w:t>
      </w:r>
      <w:r w:rsidRPr="002B1070">
        <w:rPr>
          <w:szCs w:val="18"/>
        </w:rPr>
        <w:t>14 à 15, ainsi que la</w:t>
      </w:r>
      <w:r w:rsidR="00584216">
        <w:rPr>
          <w:szCs w:val="18"/>
        </w:rPr>
        <w:t> </w:t>
      </w:r>
      <w:r w:rsidRPr="002B1070">
        <w:rPr>
          <w:szCs w:val="18"/>
        </w:rPr>
        <w:t>Recommandation</w:t>
      </w:r>
      <w:r>
        <w:rPr>
          <w:szCs w:val="18"/>
        </w:rPr>
        <w:t> </w:t>
      </w:r>
      <w:r w:rsidRPr="002B1070">
        <w:rPr>
          <w:szCs w:val="18"/>
        </w:rPr>
        <w:t>816 (1977) sur le d</w:t>
      </w:r>
      <w:r w:rsidRPr="002B1070">
        <w:rPr>
          <w:bCs/>
          <w:szCs w:val="18"/>
        </w:rPr>
        <w:t>roit à l</w:t>
      </w:r>
      <w:r w:rsidR="00AA3A41">
        <w:rPr>
          <w:bCs/>
          <w:szCs w:val="18"/>
        </w:rPr>
        <w:t>’</w:t>
      </w:r>
      <w:r w:rsidRPr="002B1070">
        <w:rPr>
          <w:bCs/>
          <w:szCs w:val="18"/>
        </w:rPr>
        <w:t>objection de conscience au service militaire</w:t>
      </w:r>
      <w:r w:rsidRPr="002B1070">
        <w:rPr>
          <w:szCs w:val="18"/>
        </w:rPr>
        <w:t>, adoptée par l</w:t>
      </w:r>
      <w:r w:rsidR="00AA3A41">
        <w:rPr>
          <w:szCs w:val="18"/>
        </w:rPr>
        <w:t>’</w:t>
      </w:r>
      <w:r w:rsidRPr="002B1070">
        <w:rPr>
          <w:szCs w:val="18"/>
        </w:rPr>
        <w:t>Assemblée parlementaire du Conseil de l</w:t>
      </w:r>
      <w:r w:rsidR="00AA3A41">
        <w:rPr>
          <w:szCs w:val="18"/>
        </w:rPr>
        <w:t>’</w:t>
      </w:r>
      <w:r w:rsidRPr="002B1070">
        <w:rPr>
          <w:szCs w:val="18"/>
        </w:rPr>
        <w:t>Europe</w:t>
      </w:r>
      <w:r>
        <w:rPr>
          <w:szCs w:val="18"/>
        </w:rPr>
        <w:t xml:space="preserve"> à sa</w:t>
      </w:r>
      <w:r w:rsidRPr="002B1070">
        <w:rPr>
          <w:szCs w:val="18"/>
        </w:rPr>
        <w:t xml:space="preserve"> </w:t>
      </w:r>
      <w:r>
        <w:rPr>
          <w:szCs w:val="18"/>
        </w:rPr>
        <w:t>vingt-neuvième</w:t>
      </w:r>
      <w:r w:rsidR="00AA3A41">
        <w:rPr>
          <w:szCs w:val="18"/>
        </w:rPr>
        <w:t xml:space="preserve"> </w:t>
      </w:r>
      <w:r w:rsidRPr="002B1070">
        <w:rPr>
          <w:szCs w:val="18"/>
        </w:rPr>
        <w:t>session</w:t>
      </w:r>
      <w:r>
        <w:rPr>
          <w:szCs w:val="18"/>
        </w:rPr>
        <w:t xml:space="preserve"> ordinaire</w:t>
      </w:r>
      <w:r w:rsidRPr="002B1070">
        <w:rPr>
          <w:szCs w:val="18"/>
        </w:rPr>
        <w:t xml:space="preserve"> (5</w:t>
      </w:r>
      <w:r w:rsidR="00AA3A41">
        <w:rPr>
          <w:szCs w:val="18"/>
        </w:rPr>
        <w:noBreakHyphen/>
      </w:r>
      <w:r w:rsidRPr="002B1070">
        <w:rPr>
          <w:szCs w:val="18"/>
        </w:rPr>
        <w:t>13</w:t>
      </w:r>
      <w:r>
        <w:rPr>
          <w:szCs w:val="18"/>
        </w:rPr>
        <w:t> </w:t>
      </w:r>
      <w:r w:rsidRPr="002B1070">
        <w:rPr>
          <w:szCs w:val="18"/>
        </w:rPr>
        <w:t>octobre 1977).</w:t>
      </w:r>
    </w:p>
  </w:footnote>
  <w:footnote w:id="13">
    <w:p w:rsidR="00F439F5" w:rsidRPr="002B1070" w:rsidRDefault="00F439F5" w:rsidP="00F439F5">
      <w:pPr>
        <w:pStyle w:val="FootnoteText"/>
        <w:rPr>
          <w:szCs w:val="18"/>
        </w:rPr>
      </w:pPr>
      <w:r w:rsidRPr="002B1070">
        <w:rPr>
          <w:szCs w:val="18"/>
        </w:rPr>
        <w:tab/>
      </w:r>
      <w:r w:rsidRPr="002B1070">
        <w:rPr>
          <w:rStyle w:val="FootnoteReference"/>
          <w:szCs w:val="18"/>
        </w:rPr>
        <w:footnoteRef/>
      </w:r>
      <w:r w:rsidRPr="002B1070">
        <w:rPr>
          <w:szCs w:val="18"/>
        </w:rPr>
        <w:tab/>
        <w:t>L</w:t>
      </w:r>
      <w:r w:rsidR="00AA3A41">
        <w:rPr>
          <w:szCs w:val="18"/>
        </w:rPr>
        <w:t>’</w:t>
      </w:r>
      <w:r w:rsidRPr="002B1070">
        <w:rPr>
          <w:szCs w:val="18"/>
        </w:rPr>
        <w:t>auteur cite la décision de la Commission de recours des réfugiés, qui conclut que «[l]e fait que le requérant risque d</w:t>
      </w:r>
      <w:r w:rsidR="00AA3A41">
        <w:rPr>
          <w:szCs w:val="18"/>
        </w:rPr>
        <w:t>’</w:t>
      </w:r>
      <w:r w:rsidRPr="002B1070">
        <w:rPr>
          <w:szCs w:val="18"/>
        </w:rPr>
        <w:t>être appelé par les autorités pour faire son service militaire en Érythrée ne peut en soi motiver l</w:t>
      </w:r>
      <w:r w:rsidR="00AA3A41">
        <w:rPr>
          <w:szCs w:val="18"/>
        </w:rPr>
        <w:t>’</w:t>
      </w:r>
      <w:r w:rsidRPr="002B1070">
        <w:rPr>
          <w:szCs w:val="18"/>
        </w:rPr>
        <w:t>octroi d</w:t>
      </w:r>
      <w:r w:rsidR="00AA3A41">
        <w:rPr>
          <w:szCs w:val="18"/>
        </w:rPr>
        <w:t>’</w:t>
      </w:r>
      <w:r w:rsidRPr="002B1070">
        <w:rPr>
          <w:szCs w:val="18"/>
        </w:rPr>
        <w:t>un permis de séjour au titre de l</w:t>
      </w:r>
      <w:r w:rsidR="00AA3A41">
        <w:rPr>
          <w:szCs w:val="18"/>
        </w:rPr>
        <w:t>’</w:t>
      </w:r>
      <w:r w:rsidRPr="002B1070">
        <w:rPr>
          <w:szCs w:val="18"/>
        </w:rPr>
        <w:t>article</w:t>
      </w:r>
      <w:r>
        <w:rPr>
          <w:szCs w:val="18"/>
        </w:rPr>
        <w:t> </w:t>
      </w:r>
      <w:r w:rsidRPr="002B1070">
        <w:rPr>
          <w:szCs w:val="18"/>
        </w:rPr>
        <w:t>7 de la loi sur les étrangers, indépendamment de l</w:t>
      </w:r>
      <w:r w:rsidR="00AA3A41">
        <w:rPr>
          <w:szCs w:val="18"/>
        </w:rPr>
        <w:t>’</w:t>
      </w:r>
      <w:r w:rsidRPr="002B1070">
        <w:rPr>
          <w:szCs w:val="18"/>
        </w:rPr>
        <w:t>appartenance religieuse de l</w:t>
      </w:r>
      <w:r w:rsidR="00AA3A41">
        <w:rPr>
          <w:szCs w:val="18"/>
        </w:rPr>
        <w:t>’</w:t>
      </w:r>
      <w:r w:rsidRPr="002B1070">
        <w:rPr>
          <w:szCs w:val="18"/>
        </w:rPr>
        <w:t>intéressé».</w:t>
      </w:r>
    </w:p>
  </w:footnote>
  <w:footnote w:id="14">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À ce propos, l</w:t>
      </w:r>
      <w:r>
        <w:rPr>
          <w:szCs w:val="18"/>
        </w:rPr>
        <w:t>’</w:t>
      </w:r>
      <w:r w:rsidRPr="002B1070">
        <w:rPr>
          <w:szCs w:val="18"/>
        </w:rPr>
        <w:t>auteur dit que la Commission de recours a procédé à tort à «une appréciation spécifique et personnalisée des raisons pour lesquelles l</w:t>
      </w:r>
      <w:r>
        <w:rPr>
          <w:szCs w:val="18"/>
        </w:rPr>
        <w:t>’</w:t>
      </w:r>
      <w:r w:rsidRPr="002B1070">
        <w:rPr>
          <w:szCs w:val="18"/>
        </w:rPr>
        <w:t>auteur demandait l</w:t>
      </w:r>
      <w:r>
        <w:rPr>
          <w:szCs w:val="18"/>
        </w:rPr>
        <w:t>’</w:t>
      </w:r>
      <w:r w:rsidRPr="002B1070">
        <w:rPr>
          <w:szCs w:val="18"/>
        </w:rPr>
        <w:t>asile, à la lumière des informations relatives à la situation générale dans le pays d</w:t>
      </w:r>
      <w:r>
        <w:rPr>
          <w:szCs w:val="18"/>
        </w:rPr>
        <w:t>’</w:t>
      </w:r>
      <w:r w:rsidRPr="002B1070">
        <w:rPr>
          <w:szCs w:val="18"/>
        </w:rPr>
        <w:t>origine et de toute autre donnée pertinente».</w:t>
      </w:r>
    </w:p>
  </w:footnote>
  <w:footnote w:id="15">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auteur cite les paragraphes</w:t>
      </w:r>
      <w:r>
        <w:rPr>
          <w:szCs w:val="18"/>
        </w:rPr>
        <w:t> </w:t>
      </w:r>
      <w:r w:rsidRPr="002B1070">
        <w:rPr>
          <w:szCs w:val="18"/>
        </w:rPr>
        <w:t xml:space="preserve">169 à 172 comme étant les plus pertinents du manuel </w:t>
      </w:r>
      <w:r>
        <w:rPr>
          <w:szCs w:val="18"/>
        </w:rPr>
        <w:t xml:space="preserve">de 1992 </w:t>
      </w:r>
      <w:r w:rsidRPr="002B1070">
        <w:rPr>
          <w:szCs w:val="18"/>
        </w:rPr>
        <w:t>du HCR</w:t>
      </w:r>
      <w:r>
        <w:rPr>
          <w:szCs w:val="18"/>
        </w:rPr>
        <w:t xml:space="preserve"> </w:t>
      </w:r>
      <w:r w:rsidRPr="002B1070">
        <w:rPr>
          <w:szCs w:val="18"/>
        </w:rPr>
        <w:t xml:space="preserve">intitulé </w:t>
      </w:r>
      <w:r w:rsidRPr="002B1070">
        <w:rPr>
          <w:bCs/>
          <w:i/>
          <w:szCs w:val="18"/>
        </w:rPr>
        <w:t>Guide des procédures et critères à appliquer pour déterminer le statut de réfugié</w:t>
      </w:r>
      <w:r>
        <w:rPr>
          <w:bCs/>
          <w:i/>
          <w:szCs w:val="18"/>
        </w:rPr>
        <w:t xml:space="preserve"> </w:t>
      </w:r>
      <w:r w:rsidRPr="005F078A">
        <w:rPr>
          <w:bCs/>
          <w:i/>
          <w:szCs w:val="18"/>
        </w:rPr>
        <w:t>au regard de la Convention de 1951 et</w:t>
      </w:r>
      <w:r>
        <w:rPr>
          <w:bCs/>
          <w:i/>
          <w:szCs w:val="18"/>
        </w:rPr>
        <w:t xml:space="preserve"> du Protocole de 1967 relatifs au statut des réfugiés</w:t>
      </w:r>
      <w:r>
        <w:rPr>
          <w:bCs/>
          <w:szCs w:val="18"/>
        </w:rPr>
        <w:t>: «</w:t>
      </w:r>
      <w:r w:rsidRPr="004F5234">
        <w:rPr>
          <w:bCs/>
          <w:szCs w:val="18"/>
        </w:rPr>
        <w:t>169. Un déserteur ou un insoumis peut donc être</w:t>
      </w:r>
      <w:r>
        <w:rPr>
          <w:bCs/>
          <w:szCs w:val="18"/>
        </w:rPr>
        <w:t xml:space="preserve"> </w:t>
      </w:r>
      <w:r w:rsidRPr="004F5234">
        <w:rPr>
          <w:bCs/>
          <w:szCs w:val="18"/>
        </w:rPr>
        <w:t>considéré comme un réfugié s</w:t>
      </w:r>
      <w:r>
        <w:rPr>
          <w:bCs/>
          <w:szCs w:val="18"/>
        </w:rPr>
        <w:t>’</w:t>
      </w:r>
      <w:r w:rsidRPr="004F5234">
        <w:rPr>
          <w:bCs/>
          <w:szCs w:val="18"/>
        </w:rPr>
        <w:t>il peut démontrer</w:t>
      </w:r>
      <w:r>
        <w:rPr>
          <w:bCs/>
          <w:szCs w:val="18"/>
        </w:rPr>
        <w:t xml:space="preserve"> </w:t>
      </w:r>
      <w:r w:rsidRPr="004F5234">
        <w:rPr>
          <w:bCs/>
          <w:szCs w:val="18"/>
        </w:rPr>
        <w:t>qu</w:t>
      </w:r>
      <w:r>
        <w:rPr>
          <w:bCs/>
          <w:szCs w:val="18"/>
        </w:rPr>
        <w:t>’</w:t>
      </w:r>
      <w:r w:rsidRPr="004F5234">
        <w:rPr>
          <w:bCs/>
          <w:szCs w:val="18"/>
        </w:rPr>
        <w:t>il se verrait infliger pour l</w:t>
      </w:r>
      <w:r>
        <w:rPr>
          <w:bCs/>
          <w:szCs w:val="18"/>
        </w:rPr>
        <w:t>’</w:t>
      </w:r>
      <w:r w:rsidRPr="004F5234">
        <w:rPr>
          <w:bCs/>
          <w:szCs w:val="18"/>
        </w:rPr>
        <w:t>infraction militaire commise une peine d</w:t>
      </w:r>
      <w:r>
        <w:rPr>
          <w:bCs/>
          <w:szCs w:val="18"/>
        </w:rPr>
        <w:t>’</w:t>
      </w:r>
      <w:r w:rsidRPr="004F5234">
        <w:rPr>
          <w:bCs/>
          <w:szCs w:val="18"/>
        </w:rPr>
        <w:t>une sévérité</w:t>
      </w:r>
      <w:r>
        <w:rPr>
          <w:bCs/>
          <w:szCs w:val="18"/>
        </w:rPr>
        <w:t xml:space="preserve"> </w:t>
      </w:r>
      <w:r w:rsidRPr="004F5234">
        <w:rPr>
          <w:bCs/>
          <w:szCs w:val="18"/>
        </w:rPr>
        <w:t>disproportionnée du fait de sa race, de sa religion, de sa nationalité, de son appartenance à un</w:t>
      </w:r>
      <w:r>
        <w:rPr>
          <w:bCs/>
          <w:szCs w:val="18"/>
        </w:rPr>
        <w:t xml:space="preserve"> </w:t>
      </w:r>
      <w:r w:rsidRPr="004F5234">
        <w:rPr>
          <w:bCs/>
          <w:szCs w:val="18"/>
        </w:rPr>
        <w:t>certain groupe social ou de ses opinions politiques. Il en irait de même si l</w:t>
      </w:r>
      <w:r>
        <w:rPr>
          <w:bCs/>
          <w:szCs w:val="18"/>
        </w:rPr>
        <w:t>’</w:t>
      </w:r>
      <w:r w:rsidRPr="004F5234">
        <w:rPr>
          <w:bCs/>
          <w:szCs w:val="18"/>
        </w:rPr>
        <w:t>intéressé peut</w:t>
      </w:r>
      <w:r>
        <w:rPr>
          <w:bCs/>
          <w:szCs w:val="18"/>
        </w:rPr>
        <w:t xml:space="preserve"> </w:t>
      </w:r>
      <w:r w:rsidRPr="004F5234">
        <w:rPr>
          <w:bCs/>
          <w:szCs w:val="18"/>
        </w:rPr>
        <w:t>démontrer qu</w:t>
      </w:r>
      <w:r>
        <w:rPr>
          <w:bCs/>
          <w:szCs w:val="18"/>
        </w:rPr>
        <w:t>’</w:t>
      </w:r>
      <w:r w:rsidRPr="004F5234">
        <w:rPr>
          <w:bCs/>
          <w:szCs w:val="18"/>
        </w:rPr>
        <w:t>il craint avec raison d</w:t>
      </w:r>
      <w:r>
        <w:rPr>
          <w:bCs/>
          <w:szCs w:val="18"/>
        </w:rPr>
        <w:t>’</w:t>
      </w:r>
      <w:r w:rsidRPr="004F5234">
        <w:rPr>
          <w:bCs/>
          <w:szCs w:val="18"/>
        </w:rPr>
        <w:t>être persécuté pour ces motifs, indépendamment de la peine</w:t>
      </w:r>
      <w:r>
        <w:rPr>
          <w:bCs/>
          <w:szCs w:val="18"/>
        </w:rPr>
        <w:t xml:space="preserve"> </w:t>
      </w:r>
      <w:r w:rsidRPr="004F5234">
        <w:rPr>
          <w:bCs/>
          <w:szCs w:val="18"/>
        </w:rPr>
        <w:t>encourue pour désertion.</w:t>
      </w:r>
      <w:r>
        <w:rPr>
          <w:bCs/>
          <w:szCs w:val="18"/>
        </w:rPr>
        <w:t xml:space="preserve"> </w:t>
      </w:r>
      <w:r w:rsidRPr="004F5234">
        <w:rPr>
          <w:bCs/>
          <w:szCs w:val="18"/>
        </w:rPr>
        <w:t>170. Cependant, dans certains cas, la nécessité d</w:t>
      </w:r>
      <w:r>
        <w:rPr>
          <w:bCs/>
          <w:szCs w:val="18"/>
        </w:rPr>
        <w:t>’</w:t>
      </w:r>
      <w:r w:rsidRPr="004F5234">
        <w:rPr>
          <w:bCs/>
          <w:szCs w:val="18"/>
        </w:rPr>
        <w:t>accomplir un service militaire peut être la seule</w:t>
      </w:r>
      <w:r>
        <w:rPr>
          <w:bCs/>
          <w:szCs w:val="18"/>
        </w:rPr>
        <w:t xml:space="preserve"> </w:t>
      </w:r>
      <w:r w:rsidRPr="004F5234">
        <w:rPr>
          <w:bCs/>
          <w:szCs w:val="18"/>
        </w:rPr>
        <w:t>raison invoquée à l</w:t>
      </w:r>
      <w:r>
        <w:rPr>
          <w:bCs/>
          <w:szCs w:val="18"/>
        </w:rPr>
        <w:t>’</w:t>
      </w:r>
      <w:r w:rsidRPr="004F5234">
        <w:rPr>
          <w:bCs/>
          <w:szCs w:val="18"/>
        </w:rPr>
        <w:t>appui d</w:t>
      </w:r>
      <w:r>
        <w:rPr>
          <w:bCs/>
          <w:szCs w:val="18"/>
        </w:rPr>
        <w:t>’</w:t>
      </w:r>
      <w:r w:rsidRPr="004F5234">
        <w:rPr>
          <w:bCs/>
          <w:szCs w:val="18"/>
        </w:rPr>
        <w:t>une demande du statut</w:t>
      </w:r>
      <w:r>
        <w:rPr>
          <w:bCs/>
          <w:szCs w:val="18"/>
        </w:rPr>
        <w:t xml:space="preserve"> </w:t>
      </w:r>
      <w:r w:rsidRPr="004F5234">
        <w:rPr>
          <w:bCs/>
          <w:szCs w:val="18"/>
        </w:rPr>
        <w:t>de réfugié, par exemple lorsqu</w:t>
      </w:r>
      <w:r>
        <w:rPr>
          <w:bCs/>
          <w:szCs w:val="18"/>
        </w:rPr>
        <w:t>’</w:t>
      </w:r>
      <w:r w:rsidRPr="004F5234">
        <w:rPr>
          <w:bCs/>
          <w:szCs w:val="18"/>
        </w:rPr>
        <w:t>une personne</w:t>
      </w:r>
      <w:r>
        <w:rPr>
          <w:bCs/>
          <w:szCs w:val="18"/>
        </w:rPr>
        <w:t xml:space="preserve"> </w:t>
      </w:r>
      <w:r w:rsidRPr="004F5234">
        <w:rPr>
          <w:bCs/>
          <w:szCs w:val="18"/>
        </w:rPr>
        <w:t>peut démontrer que l</w:t>
      </w:r>
      <w:r>
        <w:rPr>
          <w:bCs/>
          <w:szCs w:val="18"/>
        </w:rPr>
        <w:t>’</w:t>
      </w:r>
      <w:r w:rsidRPr="004F5234">
        <w:rPr>
          <w:bCs/>
          <w:szCs w:val="18"/>
        </w:rPr>
        <w:t>accomplissement du service militaire requiert sa participation à une action</w:t>
      </w:r>
      <w:r>
        <w:rPr>
          <w:bCs/>
          <w:szCs w:val="18"/>
        </w:rPr>
        <w:t xml:space="preserve"> </w:t>
      </w:r>
      <w:r w:rsidRPr="004F5234">
        <w:rPr>
          <w:bCs/>
          <w:szCs w:val="18"/>
        </w:rPr>
        <w:t>militaire contraire à ses convictions politiques, religieuses ou morales ou à des raisons de</w:t>
      </w:r>
      <w:r>
        <w:rPr>
          <w:bCs/>
          <w:szCs w:val="18"/>
        </w:rPr>
        <w:t xml:space="preserve"> </w:t>
      </w:r>
      <w:r w:rsidRPr="004F5234">
        <w:rPr>
          <w:bCs/>
          <w:szCs w:val="18"/>
        </w:rPr>
        <w:t>conscience valables.</w:t>
      </w:r>
      <w:r>
        <w:rPr>
          <w:bCs/>
          <w:szCs w:val="18"/>
        </w:rPr>
        <w:t xml:space="preserve"> </w:t>
      </w:r>
      <w:r w:rsidRPr="004F5234">
        <w:rPr>
          <w:bCs/>
          <w:szCs w:val="18"/>
        </w:rPr>
        <w:t>171. N</w:t>
      </w:r>
      <w:r>
        <w:rPr>
          <w:bCs/>
          <w:szCs w:val="18"/>
        </w:rPr>
        <w:t>’</w:t>
      </w:r>
      <w:r w:rsidRPr="004F5234">
        <w:rPr>
          <w:bCs/>
          <w:szCs w:val="18"/>
        </w:rPr>
        <w:t>importe quelle conviction, aussi sincère soit-elle, ne peut justifier une demande de</w:t>
      </w:r>
      <w:r>
        <w:rPr>
          <w:bCs/>
          <w:szCs w:val="18"/>
        </w:rPr>
        <w:t xml:space="preserve"> </w:t>
      </w:r>
      <w:r w:rsidRPr="004F5234">
        <w:rPr>
          <w:bCs/>
          <w:szCs w:val="18"/>
        </w:rPr>
        <w:t>reconnaissance du statut de réfugié après désertion ou après insoumission. Il ne suffit pas</w:t>
      </w:r>
      <w:r>
        <w:rPr>
          <w:bCs/>
          <w:szCs w:val="18"/>
        </w:rPr>
        <w:t xml:space="preserve"> </w:t>
      </w:r>
      <w:r w:rsidRPr="004F5234">
        <w:rPr>
          <w:bCs/>
          <w:szCs w:val="18"/>
        </w:rPr>
        <w:t>qu</w:t>
      </w:r>
      <w:r>
        <w:rPr>
          <w:bCs/>
          <w:szCs w:val="18"/>
        </w:rPr>
        <w:t>’</w:t>
      </w:r>
      <w:r w:rsidRPr="004F5234">
        <w:rPr>
          <w:bCs/>
          <w:szCs w:val="18"/>
        </w:rPr>
        <w:t>une personne soit en désaccord avec son gouvernement quant à la justification politique d</w:t>
      </w:r>
      <w:r>
        <w:rPr>
          <w:bCs/>
          <w:szCs w:val="18"/>
        </w:rPr>
        <w:t>’</w:t>
      </w:r>
      <w:r w:rsidRPr="004F5234">
        <w:rPr>
          <w:bCs/>
          <w:szCs w:val="18"/>
        </w:rPr>
        <w:t>une</w:t>
      </w:r>
      <w:r>
        <w:rPr>
          <w:bCs/>
          <w:szCs w:val="18"/>
        </w:rPr>
        <w:t xml:space="preserve"> </w:t>
      </w:r>
      <w:r w:rsidRPr="004F5234">
        <w:rPr>
          <w:bCs/>
          <w:szCs w:val="18"/>
        </w:rPr>
        <w:t>action militaire particulière. Toutefois, lorsque le type d</w:t>
      </w:r>
      <w:r>
        <w:rPr>
          <w:bCs/>
          <w:szCs w:val="18"/>
        </w:rPr>
        <w:t>’</w:t>
      </w:r>
      <w:r w:rsidRPr="004F5234">
        <w:rPr>
          <w:bCs/>
          <w:szCs w:val="18"/>
        </w:rPr>
        <w:t>action militaire auquel l</w:t>
      </w:r>
      <w:r>
        <w:rPr>
          <w:bCs/>
          <w:szCs w:val="18"/>
        </w:rPr>
        <w:t>’</w:t>
      </w:r>
      <w:r w:rsidRPr="004F5234">
        <w:rPr>
          <w:bCs/>
          <w:szCs w:val="18"/>
        </w:rPr>
        <w:t>individu en</w:t>
      </w:r>
      <w:r>
        <w:rPr>
          <w:bCs/>
          <w:szCs w:val="18"/>
        </w:rPr>
        <w:t xml:space="preserve"> </w:t>
      </w:r>
      <w:r w:rsidRPr="004F5234">
        <w:rPr>
          <w:bCs/>
          <w:szCs w:val="18"/>
        </w:rPr>
        <w:t>question ne veut pas s</w:t>
      </w:r>
      <w:r>
        <w:rPr>
          <w:bCs/>
          <w:szCs w:val="18"/>
        </w:rPr>
        <w:t>’</w:t>
      </w:r>
      <w:r w:rsidRPr="004F5234">
        <w:rPr>
          <w:bCs/>
          <w:szCs w:val="18"/>
        </w:rPr>
        <w:t>associer est condamné par</w:t>
      </w:r>
      <w:r>
        <w:rPr>
          <w:bCs/>
          <w:szCs w:val="18"/>
        </w:rPr>
        <w:t xml:space="preserve"> </w:t>
      </w:r>
      <w:r w:rsidRPr="004F5234">
        <w:rPr>
          <w:bCs/>
          <w:szCs w:val="18"/>
        </w:rPr>
        <w:t>la communauté internationale comme étant</w:t>
      </w:r>
      <w:r>
        <w:rPr>
          <w:bCs/>
          <w:szCs w:val="18"/>
        </w:rPr>
        <w:t xml:space="preserve"> </w:t>
      </w:r>
      <w:r w:rsidRPr="004F5234">
        <w:rPr>
          <w:bCs/>
          <w:szCs w:val="18"/>
        </w:rPr>
        <w:t>contraire aux règles de conduite les plus élémentaires, la peine prévue pour la désertion ou</w:t>
      </w:r>
      <w:r>
        <w:rPr>
          <w:bCs/>
          <w:szCs w:val="18"/>
        </w:rPr>
        <w:t xml:space="preserve"> </w:t>
      </w:r>
      <w:r w:rsidRPr="004F5234">
        <w:rPr>
          <w:bCs/>
          <w:szCs w:val="18"/>
        </w:rPr>
        <w:t>l</w:t>
      </w:r>
      <w:r>
        <w:rPr>
          <w:bCs/>
          <w:szCs w:val="18"/>
        </w:rPr>
        <w:t>’</w:t>
      </w:r>
      <w:r w:rsidRPr="004F5234">
        <w:rPr>
          <w:bCs/>
          <w:szCs w:val="18"/>
        </w:rPr>
        <w:t>insoumission peut, compte tenu de toutes les autres exigences de la définition, être considérée</w:t>
      </w:r>
      <w:r>
        <w:rPr>
          <w:bCs/>
          <w:szCs w:val="18"/>
        </w:rPr>
        <w:t xml:space="preserve"> </w:t>
      </w:r>
      <w:r w:rsidRPr="004F5234">
        <w:rPr>
          <w:bCs/>
          <w:szCs w:val="18"/>
        </w:rPr>
        <w:t>en soi comme une persécution.</w:t>
      </w:r>
      <w:r>
        <w:rPr>
          <w:bCs/>
          <w:szCs w:val="18"/>
        </w:rPr>
        <w:t xml:space="preserve"> </w:t>
      </w:r>
      <w:r w:rsidRPr="004F5234">
        <w:rPr>
          <w:bCs/>
          <w:szCs w:val="18"/>
        </w:rPr>
        <w:t>172. Le refus d</w:t>
      </w:r>
      <w:r>
        <w:rPr>
          <w:bCs/>
          <w:szCs w:val="18"/>
        </w:rPr>
        <w:t>’</w:t>
      </w:r>
      <w:r w:rsidRPr="004F5234">
        <w:rPr>
          <w:bCs/>
          <w:szCs w:val="18"/>
        </w:rPr>
        <w:t>accomplir le service militaire</w:t>
      </w:r>
      <w:r>
        <w:rPr>
          <w:bCs/>
          <w:szCs w:val="18"/>
        </w:rPr>
        <w:t xml:space="preserve"> </w:t>
      </w:r>
      <w:r w:rsidRPr="004F5234">
        <w:rPr>
          <w:bCs/>
          <w:szCs w:val="18"/>
        </w:rPr>
        <w:t>peut également être fondé sur des convictions</w:t>
      </w:r>
      <w:r>
        <w:rPr>
          <w:bCs/>
          <w:szCs w:val="18"/>
        </w:rPr>
        <w:t xml:space="preserve"> </w:t>
      </w:r>
      <w:r w:rsidRPr="004F5234">
        <w:rPr>
          <w:bCs/>
          <w:szCs w:val="18"/>
        </w:rPr>
        <w:t>religieuses. Si un demandeur est à même de démontrer que ses convictions religieuses sont</w:t>
      </w:r>
      <w:r>
        <w:rPr>
          <w:bCs/>
          <w:szCs w:val="18"/>
        </w:rPr>
        <w:t xml:space="preserve"> </w:t>
      </w:r>
      <w:r w:rsidRPr="004F5234">
        <w:rPr>
          <w:bCs/>
          <w:szCs w:val="18"/>
        </w:rPr>
        <w:t>sincères et qu</w:t>
      </w:r>
      <w:r>
        <w:rPr>
          <w:bCs/>
          <w:szCs w:val="18"/>
        </w:rPr>
        <w:t>’</w:t>
      </w:r>
      <w:r w:rsidRPr="004F5234">
        <w:rPr>
          <w:bCs/>
          <w:szCs w:val="18"/>
        </w:rPr>
        <w:t>elles ne sont pas prises en considération par les autorités de son pays lorsqu</w:t>
      </w:r>
      <w:r>
        <w:rPr>
          <w:bCs/>
          <w:szCs w:val="18"/>
        </w:rPr>
        <w:t>’</w:t>
      </w:r>
      <w:r w:rsidRPr="004F5234">
        <w:rPr>
          <w:bCs/>
          <w:szCs w:val="18"/>
        </w:rPr>
        <w:t>elles</w:t>
      </w:r>
      <w:r>
        <w:rPr>
          <w:bCs/>
          <w:szCs w:val="18"/>
        </w:rPr>
        <w:t xml:space="preserve"> </w:t>
      </w:r>
      <w:r w:rsidRPr="004F5234">
        <w:rPr>
          <w:bCs/>
          <w:szCs w:val="18"/>
        </w:rPr>
        <w:t>exigent de lui qu</w:t>
      </w:r>
      <w:r>
        <w:rPr>
          <w:bCs/>
          <w:szCs w:val="18"/>
        </w:rPr>
        <w:t>’</w:t>
      </w:r>
      <w:r w:rsidRPr="004F5234">
        <w:rPr>
          <w:bCs/>
          <w:szCs w:val="18"/>
        </w:rPr>
        <w:t>il accomplisse son service militaire, il peut faire admettre son droit au statut de</w:t>
      </w:r>
      <w:r>
        <w:rPr>
          <w:bCs/>
          <w:szCs w:val="18"/>
        </w:rPr>
        <w:t xml:space="preserve"> </w:t>
      </w:r>
      <w:r w:rsidRPr="004F5234">
        <w:rPr>
          <w:bCs/>
          <w:szCs w:val="18"/>
        </w:rPr>
        <w:t>réfugié. Toutes indications supplémentaires selon lesquelles le demandeur ou sa famille auraient</w:t>
      </w:r>
      <w:r>
        <w:rPr>
          <w:bCs/>
          <w:szCs w:val="18"/>
        </w:rPr>
        <w:t xml:space="preserve"> </w:t>
      </w:r>
      <w:r w:rsidRPr="004F5234">
        <w:rPr>
          <w:bCs/>
          <w:szCs w:val="18"/>
        </w:rPr>
        <w:t>rencontré des difficultés du fait de leurs convictions religieuses peuvent évidemment donner plus</w:t>
      </w:r>
      <w:r>
        <w:rPr>
          <w:bCs/>
          <w:szCs w:val="18"/>
        </w:rPr>
        <w:t xml:space="preserve"> </w:t>
      </w:r>
      <w:r w:rsidRPr="004F5234">
        <w:rPr>
          <w:bCs/>
          <w:szCs w:val="18"/>
        </w:rPr>
        <w:t>de poids à cette demande</w:t>
      </w:r>
      <w:r>
        <w:rPr>
          <w:bCs/>
          <w:szCs w:val="18"/>
        </w:rPr>
        <w:t>»</w:t>
      </w:r>
      <w:r w:rsidRPr="002B1070">
        <w:rPr>
          <w:szCs w:val="18"/>
        </w:rPr>
        <w:t>.</w:t>
      </w:r>
    </w:p>
  </w:footnote>
  <w:footnote w:id="16">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C</w:t>
      </w:r>
      <w:r>
        <w:rPr>
          <w:szCs w:val="18"/>
        </w:rPr>
        <w:t>’</w:t>
      </w:r>
      <w:r w:rsidRPr="002B1070">
        <w:rPr>
          <w:szCs w:val="18"/>
        </w:rPr>
        <w:t>est pourquoi l</w:t>
      </w:r>
      <w:r>
        <w:rPr>
          <w:szCs w:val="18"/>
        </w:rPr>
        <w:t>’</w:t>
      </w:r>
      <w:r w:rsidRPr="002B1070">
        <w:rPr>
          <w:szCs w:val="18"/>
        </w:rPr>
        <w:t>auteur considère que l</w:t>
      </w:r>
      <w:r>
        <w:rPr>
          <w:szCs w:val="18"/>
        </w:rPr>
        <w:t>’</w:t>
      </w:r>
      <w:r w:rsidRPr="002B1070">
        <w:rPr>
          <w:szCs w:val="18"/>
        </w:rPr>
        <w:t>État partie a tort de distinguer la présente affaire des faits examinés par le Comité en l</w:t>
      </w:r>
      <w:r>
        <w:rPr>
          <w:szCs w:val="18"/>
        </w:rPr>
        <w:t>’</w:t>
      </w:r>
      <w:r w:rsidRPr="002B1070">
        <w:rPr>
          <w:szCs w:val="18"/>
        </w:rPr>
        <w:t xml:space="preserve">affaire </w:t>
      </w:r>
      <w:r w:rsidRPr="002B1070">
        <w:rPr>
          <w:i/>
          <w:szCs w:val="18"/>
        </w:rPr>
        <w:t xml:space="preserve">Jonny Robin Byaruhanga </w:t>
      </w:r>
      <w:r w:rsidRPr="002B1070">
        <w:rPr>
          <w:szCs w:val="18"/>
        </w:rPr>
        <w:t>c.</w:t>
      </w:r>
      <w:r w:rsidRPr="002B1070">
        <w:rPr>
          <w:i/>
          <w:szCs w:val="18"/>
        </w:rPr>
        <w:t xml:space="preserve"> Danemark, </w:t>
      </w:r>
      <w:r w:rsidRPr="002B1070">
        <w:rPr>
          <w:szCs w:val="18"/>
        </w:rPr>
        <w:t xml:space="preserve">communication </w:t>
      </w:r>
      <w:r w:rsidRPr="002B1070">
        <w:rPr>
          <w:rFonts w:eastAsia="MS Mincho"/>
          <w:szCs w:val="18"/>
        </w:rPr>
        <w:t>n</w:t>
      </w:r>
      <w:r w:rsidRPr="002B1070">
        <w:rPr>
          <w:rFonts w:eastAsia="MS Mincho"/>
          <w:szCs w:val="18"/>
          <w:vertAlign w:val="superscript"/>
        </w:rPr>
        <w:t>o</w:t>
      </w:r>
      <w:r w:rsidRPr="002B1070">
        <w:rPr>
          <w:szCs w:val="18"/>
        </w:rPr>
        <w:t> 1222/2003, constatations adoptées le 1</w:t>
      </w:r>
      <w:r w:rsidRPr="002B1070">
        <w:rPr>
          <w:szCs w:val="18"/>
          <w:vertAlign w:val="superscript"/>
        </w:rPr>
        <w:t>er</w:t>
      </w:r>
      <w:r>
        <w:rPr>
          <w:szCs w:val="18"/>
        </w:rPr>
        <w:t> </w:t>
      </w:r>
      <w:r w:rsidRPr="002B1070">
        <w:rPr>
          <w:szCs w:val="18"/>
        </w:rPr>
        <w:t>novembre 2004.</w:t>
      </w:r>
    </w:p>
  </w:footnote>
  <w:footnote w:id="17">
    <w:p w:rsidR="00AA3A41" w:rsidRPr="00584216" w:rsidRDefault="00AA3A41" w:rsidP="00F439F5">
      <w:pPr>
        <w:pStyle w:val="FootnoteText"/>
        <w:rPr>
          <w:spacing w:val="-1"/>
          <w:szCs w:val="18"/>
        </w:rPr>
      </w:pPr>
      <w:r w:rsidRPr="00584216">
        <w:rPr>
          <w:spacing w:val="-1"/>
          <w:szCs w:val="18"/>
        </w:rPr>
        <w:tab/>
      </w:r>
      <w:r w:rsidRPr="00584216">
        <w:rPr>
          <w:rStyle w:val="FootnoteReference"/>
          <w:spacing w:val="-1"/>
          <w:szCs w:val="18"/>
        </w:rPr>
        <w:footnoteRef/>
      </w:r>
      <w:r w:rsidRPr="00584216">
        <w:rPr>
          <w:spacing w:val="-1"/>
          <w:szCs w:val="18"/>
        </w:rPr>
        <w:tab/>
        <w:t>L’auteur cite les observations finales du Comité pour l’élimination de la discrimination raciale concernant le Danemark: «</w:t>
      </w:r>
      <w:r w:rsidRPr="00584216">
        <w:rPr>
          <w:rFonts w:eastAsia="MS Mincho"/>
          <w:spacing w:val="-1"/>
          <w:szCs w:val="18"/>
          <w:lang w:eastAsia="ja-JP"/>
        </w:rPr>
        <w:t xml:space="preserve">Le Comité note avec préoccupation que les décisions de [la Commission de recours] des réfugiés relatives aux demandes d’asile sont définitives et ne peuvent être attaquées devant un tribunal.» </w:t>
      </w:r>
      <w:r w:rsidRPr="00584216">
        <w:rPr>
          <w:spacing w:val="-1"/>
          <w:szCs w:val="18"/>
        </w:rPr>
        <w:t>(CERD/C/DEN/CO/17, par. 13</w:t>
      </w:r>
      <w:r w:rsidRPr="00584216">
        <w:rPr>
          <w:rFonts w:eastAsia="MS Mincho"/>
          <w:spacing w:val="-1"/>
          <w:szCs w:val="18"/>
          <w:lang w:eastAsia="ja-JP"/>
        </w:rPr>
        <w:t>),</w:t>
      </w:r>
      <w:r w:rsidRPr="00584216">
        <w:rPr>
          <w:spacing w:val="-1"/>
          <w:szCs w:val="18"/>
        </w:rPr>
        <w:t xml:space="preserve"> et «</w:t>
      </w:r>
      <w:r w:rsidRPr="00584216">
        <w:rPr>
          <w:bCs/>
          <w:spacing w:val="-1"/>
          <w:szCs w:val="18"/>
        </w:rPr>
        <w:t xml:space="preserve">la Cour suprême … a tenu compte du fait que </w:t>
      </w:r>
      <w:r w:rsidRPr="00584216">
        <w:rPr>
          <w:rFonts w:eastAsia="MS Mincho"/>
          <w:spacing w:val="-1"/>
          <w:szCs w:val="18"/>
          <w:lang w:eastAsia="ja-JP"/>
        </w:rPr>
        <w:t>[la Commission de recours]</w:t>
      </w:r>
      <w:r w:rsidRPr="00584216">
        <w:rPr>
          <w:bCs/>
          <w:spacing w:val="-1"/>
          <w:szCs w:val="18"/>
        </w:rPr>
        <w:t xml:space="preserve"> des réfugiés est un conseil d’experts à caractère quasi judiciaire. La Cour a depuis réitéré cette position dans plusieurs autres arrêts.» (</w:t>
      </w:r>
      <w:r w:rsidRPr="00584216">
        <w:rPr>
          <w:spacing w:val="-1"/>
          <w:szCs w:val="18"/>
        </w:rPr>
        <w:t>CERD/C/DEN/CO/17/Add.1, par.12).</w:t>
      </w:r>
    </w:p>
  </w:footnote>
  <w:footnote w:id="18">
    <w:p w:rsidR="00AA3A41" w:rsidRPr="002B1070" w:rsidRDefault="00AA3A41" w:rsidP="00F439F5">
      <w:pPr>
        <w:pStyle w:val="FootnoteText"/>
        <w:rPr>
          <w:szCs w:val="18"/>
        </w:rPr>
      </w:pPr>
      <w:r w:rsidRPr="002B1070">
        <w:rPr>
          <w:szCs w:val="18"/>
        </w:rPr>
        <w:tab/>
      </w:r>
      <w:r w:rsidRPr="002B1070">
        <w:rPr>
          <w:rStyle w:val="FootnoteReference"/>
          <w:szCs w:val="18"/>
        </w:rPr>
        <w:footnoteRef/>
      </w:r>
      <w:r w:rsidRPr="002B1070">
        <w:rPr>
          <w:szCs w:val="18"/>
        </w:rPr>
        <w:tab/>
        <w:t>L</w:t>
      </w:r>
      <w:r>
        <w:rPr>
          <w:szCs w:val="18"/>
        </w:rPr>
        <w:t>’</w:t>
      </w:r>
      <w:r w:rsidRPr="002B1070">
        <w:rPr>
          <w:szCs w:val="18"/>
        </w:rPr>
        <w:t xml:space="preserve">auteur se réfère au site </w:t>
      </w:r>
      <w:r w:rsidRPr="00840F2C">
        <w:t xml:space="preserve">Web </w:t>
      </w:r>
      <w:hyperlink r:id="rId1" w:history="1">
        <w:r w:rsidRPr="00840F2C">
          <w:t>www.fln.dk</w:t>
        </w:r>
      </w:hyperlink>
      <w:r w:rsidRPr="00840F2C">
        <w:t>.</w:t>
      </w:r>
    </w:p>
  </w:footnote>
  <w:footnote w:id="19">
    <w:p w:rsidR="00AA3A41" w:rsidRPr="002B1070" w:rsidRDefault="00AA3A41" w:rsidP="00F439F5">
      <w:pPr>
        <w:pStyle w:val="FootnoteText"/>
        <w:rPr>
          <w:szCs w:val="18"/>
        </w:rPr>
      </w:pPr>
      <w:r>
        <w:rPr>
          <w:szCs w:val="18"/>
        </w:rPr>
        <w:tab/>
      </w:r>
      <w:r w:rsidRPr="002B1070">
        <w:rPr>
          <w:rStyle w:val="FootnoteReference"/>
          <w:szCs w:val="18"/>
        </w:rPr>
        <w:footnoteRef/>
      </w:r>
      <w:r w:rsidRPr="002B1070">
        <w:rPr>
          <w:szCs w:val="18"/>
        </w:rPr>
        <w:tab/>
        <w:t>L</w:t>
      </w:r>
      <w:r>
        <w:rPr>
          <w:szCs w:val="18"/>
        </w:rPr>
        <w:t>’</w:t>
      </w:r>
      <w:r w:rsidRPr="002B1070">
        <w:rPr>
          <w:szCs w:val="18"/>
        </w:rPr>
        <w:t>auteur cite un article de la Commission de recours sur la protection des demandeurs d</w:t>
      </w:r>
      <w:r>
        <w:rPr>
          <w:szCs w:val="18"/>
        </w:rPr>
        <w:t>’</w:t>
      </w:r>
      <w:r w:rsidRPr="002B1070">
        <w:rPr>
          <w:szCs w:val="18"/>
        </w:rPr>
        <w:t>asile au titre de la Convention des Nations Unies relative au statut des réfugiés et de la Convention européenne des droits de l</w:t>
      </w:r>
      <w:r>
        <w:rPr>
          <w:szCs w:val="18"/>
        </w:rPr>
        <w:t>’</w:t>
      </w:r>
      <w:r w:rsidRPr="002B1070">
        <w:rPr>
          <w:szCs w:val="18"/>
        </w:rPr>
        <w:t>homme, qui renvoie à l</w:t>
      </w:r>
      <w:r>
        <w:rPr>
          <w:szCs w:val="18"/>
        </w:rPr>
        <w:t>’</w:t>
      </w:r>
      <w:r w:rsidRPr="002B1070">
        <w:rPr>
          <w:szCs w:val="18"/>
        </w:rPr>
        <w:t>arrêt de la Cour européenne en l</w:t>
      </w:r>
      <w:r>
        <w:rPr>
          <w:szCs w:val="18"/>
        </w:rPr>
        <w:t xml:space="preserve">’affaire </w:t>
      </w:r>
      <w:r w:rsidRPr="002B1070">
        <w:rPr>
          <w:i/>
          <w:szCs w:val="18"/>
        </w:rPr>
        <w:t xml:space="preserve">Said </w:t>
      </w:r>
      <w:r w:rsidRPr="002B1070">
        <w:rPr>
          <w:szCs w:val="18"/>
        </w:rPr>
        <w:t>c.</w:t>
      </w:r>
      <w:r w:rsidRPr="002B1070">
        <w:rPr>
          <w:i/>
          <w:szCs w:val="18"/>
        </w:rPr>
        <w:t xml:space="preserve"> </w:t>
      </w:r>
      <w:r>
        <w:rPr>
          <w:i/>
          <w:szCs w:val="18"/>
        </w:rPr>
        <w:t xml:space="preserve">les </w:t>
      </w:r>
      <w:r w:rsidRPr="002B1070">
        <w:rPr>
          <w:i/>
          <w:szCs w:val="18"/>
        </w:rPr>
        <w:t>Pays-Bas</w:t>
      </w:r>
      <w:r w:rsidRPr="002B1070">
        <w:rPr>
          <w:szCs w:val="18"/>
        </w:rPr>
        <w:t xml:space="preserve"> (requête </w:t>
      </w:r>
      <w:r w:rsidRPr="00F274D6">
        <w:rPr>
          <w:rFonts w:eastAsia="MS Mincho"/>
          <w:szCs w:val="18"/>
        </w:rPr>
        <w:t>n</w:t>
      </w:r>
      <w:r w:rsidRPr="00F274D6">
        <w:rPr>
          <w:rFonts w:eastAsia="MS Mincho"/>
          <w:szCs w:val="18"/>
          <w:vertAlign w:val="superscript"/>
        </w:rPr>
        <w:t>o</w:t>
      </w:r>
      <w:r>
        <w:rPr>
          <w:szCs w:val="18"/>
        </w:rPr>
        <w:t> </w:t>
      </w:r>
      <w:r w:rsidRPr="002B1070">
        <w:rPr>
          <w:szCs w:val="18"/>
        </w:rPr>
        <w:t>2345/02) (rendu le 5</w:t>
      </w:r>
      <w:r>
        <w:rPr>
          <w:szCs w:val="18"/>
        </w:rPr>
        <w:t> </w:t>
      </w:r>
      <w:r w:rsidRPr="002B1070">
        <w:rPr>
          <w:szCs w:val="18"/>
        </w:rPr>
        <w:t>juillet 2005 et confirmé par la Grande Chambre le 5</w:t>
      </w:r>
      <w:r>
        <w:rPr>
          <w:szCs w:val="18"/>
        </w:rPr>
        <w:t> </w:t>
      </w:r>
      <w:r w:rsidRPr="002B1070">
        <w:rPr>
          <w:szCs w:val="18"/>
        </w:rPr>
        <w:t>octobre 2005).</w:t>
      </w:r>
    </w:p>
  </w:footnote>
  <w:footnote w:id="20">
    <w:p w:rsidR="00AA3A41" w:rsidRPr="002B1070" w:rsidRDefault="00AA3A41" w:rsidP="00F439F5">
      <w:pPr>
        <w:pStyle w:val="FootnoteText"/>
        <w:rPr>
          <w:szCs w:val="18"/>
        </w:rPr>
      </w:pPr>
      <w:r>
        <w:rPr>
          <w:szCs w:val="18"/>
        </w:rPr>
        <w:tab/>
      </w:r>
      <w:r w:rsidRPr="002B1070">
        <w:rPr>
          <w:rStyle w:val="FootnoteReference"/>
          <w:szCs w:val="18"/>
        </w:rPr>
        <w:footnoteRef/>
      </w:r>
      <w:r w:rsidRPr="002B1070">
        <w:rPr>
          <w:szCs w:val="18"/>
        </w:rPr>
        <w:tab/>
        <w:t>L</w:t>
      </w:r>
      <w:r>
        <w:rPr>
          <w:szCs w:val="18"/>
        </w:rPr>
        <w:t>’</w:t>
      </w:r>
      <w:r w:rsidRPr="002B1070">
        <w:rPr>
          <w:szCs w:val="18"/>
        </w:rPr>
        <w:t>auteur cite les décisions suivantes de la Cour européenne des droits de l</w:t>
      </w:r>
      <w:r>
        <w:rPr>
          <w:szCs w:val="18"/>
        </w:rPr>
        <w:t>’</w:t>
      </w:r>
      <w:r w:rsidRPr="002B1070">
        <w:rPr>
          <w:szCs w:val="18"/>
        </w:rPr>
        <w:t xml:space="preserve">homme: </w:t>
      </w:r>
      <w:r w:rsidRPr="002B1070">
        <w:rPr>
          <w:i/>
          <w:szCs w:val="18"/>
        </w:rPr>
        <w:t xml:space="preserve">Bayatyan </w:t>
      </w:r>
      <w:r w:rsidRPr="002B1070">
        <w:rPr>
          <w:szCs w:val="18"/>
        </w:rPr>
        <w:t>c.</w:t>
      </w:r>
      <w:r>
        <w:rPr>
          <w:i/>
          <w:szCs w:val="18"/>
        </w:rPr>
        <w:t> </w:t>
      </w:r>
      <w:r w:rsidRPr="002B1070">
        <w:rPr>
          <w:i/>
          <w:szCs w:val="18"/>
        </w:rPr>
        <w:t xml:space="preserve">Arménie </w:t>
      </w:r>
      <w:r w:rsidRPr="002B1070">
        <w:rPr>
          <w:szCs w:val="18"/>
        </w:rPr>
        <w:t xml:space="preserve">(requête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23459/03, </w:t>
      </w:r>
      <w:r>
        <w:rPr>
          <w:szCs w:val="18"/>
        </w:rPr>
        <w:t>7 </w:t>
      </w:r>
      <w:r w:rsidRPr="002B1070">
        <w:rPr>
          <w:szCs w:val="18"/>
        </w:rPr>
        <w:t xml:space="preserve">juillet 2011) et </w:t>
      </w:r>
      <w:r w:rsidRPr="002B1070">
        <w:rPr>
          <w:i/>
          <w:szCs w:val="18"/>
        </w:rPr>
        <w:t xml:space="preserve">Ercep </w:t>
      </w:r>
      <w:r w:rsidRPr="002B1070">
        <w:rPr>
          <w:szCs w:val="18"/>
        </w:rPr>
        <w:t>c.</w:t>
      </w:r>
      <w:r>
        <w:rPr>
          <w:i/>
          <w:szCs w:val="18"/>
        </w:rPr>
        <w:t> </w:t>
      </w:r>
      <w:r w:rsidRPr="002B1070">
        <w:rPr>
          <w:i/>
          <w:szCs w:val="18"/>
        </w:rPr>
        <w:t>Turquie</w:t>
      </w:r>
      <w:r w:rsidRPr="002B1070">
        <w:rPr>
          <w:szCs w:val="18"/>
        </w:rPr>
        <w:t xml:space="preserve"> (requête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43965/04, </w:t>
      </w:r>
      <w:r>
        <w:rPr>
          <w:szCs w:val="18"/>
        </w:rPr>
        <w:t xml:space="preserve">arrêt du </w:t>
      </w:r>
      <w:r w:rsidRPr="002B1070">
        <w:rPr>
          <w:szCs w:val="18"/>
        </w:rPr>
        <w:t>22</w:t>
      </w:r>
      <w:r>
        <w:rPr>
          <w:szCs w:val="18"/>
        </w:rPr>
        <w:t> </w:t>
      </w:r>
      <w:r w:rsidRPr="002B1070">
        <w:rPr>
          <w:szCs w:val="18"/>
        </w:rPr>
        <w:t>novembre 2011). Il rappelle aussi que le Comité a été saisi de plusieurs communications contre la</w:t>
      </w:r>
      <w:r>
        <w:rPr>
          <w:szCs w:val="18"/>
        </w:rPr>
        <w:t> </w:t>
      </w:r>
      <w:r w:rsidRPr="002B1070">
        <w:rPr>
          <w:szCs w:val="18"/>
        </w:rPr>
        <w:t>République de Corée, qui n</w:t>
      </w:r>
      <w:r>
        <w:rPr>
          <w:szCs w:val="18"/>
        </w:rPr>
        <w:t>’</w:t>
      </w:r>
      <w:r w:rsidRPr="002B1070">
        <w:rPr>
          <w:szCs w:val="18"/>
        </w:rPr>
        <w:t xml:space="preserve">accepte pas le service civil en remplacement du service militaire (et renvoie à cet égard aux communications </w:t>
      </w:r>
      <w:r w:rsidRPr="00F274D6">
        <w:rPr>
          <w:rFonts w:eastAsia="MS Mincho"/>
          <w:szCs w:val="18"/>
        </w:rPr>
        <w:t>n</w:t>
      </w:r>
      <w:r w:rsidRPr="00F274D6">
        <w:rPr>
          <w:rFonts w:eastAsia="MS Mincho"/>
          <w:szCs w:val="18"/>
          <w:vertAlign w:val="superscript"/>
        </w:rPr>
        <w:t>o</w:t>
      </w:r>
      <w:r>
        <w:rPr>
          <w:rFonts w:eastAsia="MS Mincho"/>
          <w:szCs w:val="18"/>
          <w:vertAlign w:val="superscript"/>
        </w:rPr>
        <w:t>s</w:t>
      </w:r>
      <w:r>
        <w:rPr>
          <w:szCs w:val="18"/>
        </w:rPr>
        <w:t> </w:t>
      </w:r>
      <w:r w:rsidRPr="002B1070">
        <w:rPr>
          <w:szCs w:val="18"/>
        </w:rPr>
        <w:t>1321-1322/2004, 1593-1603/2007 et 1642-1741/2007).</w:t>
      </w:r>
    </w:p>
  </w:footnote>
  <w:footnote w:id="21">
    <w:p w:rsidR="00AA3A41" w:rsidRPr="002B1070" w:rsidRDefault="00AA3A41" w:rsidP="00F439F5">
      <w:pPr>
        <w:pStyle w:val="FootnoteText"/>
        <w:rPr>
          <w:szCs w:val="18"/>
        </w:rPr>
      </w:pPr>
      <w:r>
        <w:rPr>
          <w:szCs w:val="18"/>
        </w:rPr>
        <w:tab/>
      </w:r>
      <w:r w:rsidRPr="002B1070">
        <w:rPr>
          <w:rStyle w:val="FootnoteReference"/>
          <w:szCs w:val="18"/>
        </w:rPr>
        <w:footnoteRef/>
      </w:r>
      <w:r>
        <w:rPr>
          <w:szCs w:val="18"/>
        </w:rPr>
        <w:tab/>
      </w:r>
      <w:r w:rsidRPr="002B1070">
        <w:rPr>
          <w:szCs w:val="18"/>
          <w:lang w:eastAsia="en-GB"/>
        </w:rPr>
        <w:t xml:space="preserve">Voir la communication </w:t>
      </w:r>
      <w:r w:rsidRPr="00F274D6">
        <w:rPr>
          <w:rFonts w:eastAsia="MS Mincho"/>
          <w:szCs w:val="18"/>
        </w:rPr>
        <w:t>n</w:t>
      </w:r>
      <w:r w:rsidRPr="00F274D6">
        <w:rPr>
          <w:rFonts w:eastAsia="MS Mincho"/>
          <w:szCs w:val="18"/>
          <w:vertAlign w:val="superscript"/>
        </w:rPr>
        <w:t>o</w:t>
      </w:r>
      <w:r>
        <w:rPr>
          <w:szCs w:val="18"/>
        </w:rPr>
        <w:t> </w:t>
      </w:r>
      <w:r w:rsidRPr="002B1070">
        <w:rPr>
          <w:szCs w:val="18"/>
          <w:lang w:eastAsia="en-GB"/>
        </w:rPr>
        <w:t xml:space="preserve">1959/2010, </w:t>
      </w:r>
      <w:r w:rsidRPr="002B1070">
        <w:rPr>
          <w:i/>
          <w:szCs w:val="18"/>
          <w:lang w:eastAsia="en-GB"/>
        </w:rPr>
        <w:t xml:space="preserve">Warsame </w:t>
      </w:r>
      <w:r w:rsidRPr="002B1070">
        <w:rPr>
          <w:szCs w:val="18"/>
          <w:lang w:eastAsia="en-GB"/>
        </w:rPr>
        <w:t>c.</w:t>
      </w:r>
      <w:r>
        <w:rPr>
          <w:i/>
          <w:szCs w:val="18"/>
          <w:lang w:eastAsia="en-GB"/>
        </w:rPr>
        <w:t> </w:t>
      </w:r>
      <w:r w:rsidRPr="002B1070">
        <w:rPr>
          <w:i/>
          <w:szCs w:val="18"/>
          <w:lang w:eastAsia="en-GB"/>
        </w:rPr>
        <w:t>Canada</w:t>
      </w:r>
      <w:r w:rsidRPr="002B1070">
        <w:rPr>
          <w:szCs w:val="18"/>
          <w:lang w:eastAsia="en-GB"/>
        </w:rPr>
        <w:t>, constatations adoptées le 21</w:t>
      </w:r>
      <w:r>
        <w:rPr>
          <w:szCs w:val="18"/>
          <w:lang w:eastAsia="en-GB"/>
        </w:rPr>
        <w:t> </w:t>
      </w:r>
      <w:r w:rsidRPr="002B1070">
        <w:rPr>
          <w:szCs w:val="18"/>
          <w:lang w:eastAsia="en-GB"/>
        </w:rPr>
        <w:t>juillet 2011, par.</w:t>
      </w:r>
      <w:r>
        <w:rPr>
          <w:szCs w:val="18"/>
          <w:lang w:eastAsia="en-GB"/>
        </w:rPr>
        <w:t> </w:t>
      </w:r>
      <w:r w:rsidRPr="002B1070">
        <w:rPr>
          <w:szCs w:val="18"/>
          <w:lang w:eastAsia="en-GB"/>
        </w:rPr>
        <w:t xml:space="preserve">7.4, et la communication </w:t>
      </w:r>
      <w:r w:rsidRPr="00F274D6">
        <w:rPr>
          <w:rFonts w:eastAsia="MS Mincho"/>
          <w:szCs w:val="18"/>
        </w:rPr>
        <w:t>n</w:t>
      </w:r>
      <w:r w:rsidRPr="00F274D6">
        <w:rPr>
          <w:rFonts w:eastAsia="MS Mincho"/>
          <w:szCs w:val="18"/>
          <w:vertAlign w:val="superscript"/>
        </w:rPr>
        <w:t>o</w:t>
      </w:r>
      <w:r>
        <w:rPr>
          <w:szCs w:val="18"/>
        </w:rPr>
        <w:t> </w:t>
      </w:r>
      <w:r w:rsidRPr="002B1070">
        <w:rPr>
          <w:szCs w:val="18"/>
          <w:lang w:eastAsia="en-GB"/>
        </w:rPr>
        <w:t xml:space="preserve">1003/2001, </w:t>
      </w:r>
      <w:r w:rsidRPr="002B1070">
        <w:rPr>
          <w:i/>
          <w:szCs w:val="18"/>
          <w:lang w:eastAsia="en-GB"/>
        </w:rPr>
        <w:t>P.</w:t>
      </w:r>
      <w:r>
        <w:rPr>
          <w:i/>
          <w:szCs w:val="18"/>
          <w:lang w:eastAsia="en-GB"/>
        </w:rPr>
        <w:t> </w:t>
      </w:r>
      <w:r w:rsidRPr="002B1070">
        <w:rPr>
          <w:i/>
          <w:szCs w:val="18"/>
          <w:lang w:eastAsia="en-GB"/>
        </w:rPr>
        <w:t>L.</w:t>
      </w:r>
      <w:r>
        <w:rPr>
          <w:i/>
          <w:szCs w:val="18"/>
          <w:lang w:eastAsia="en-GB"/>
        </w:rPr>
        <w:t> </w:t>
      </w:r>
      <w:r w:rsidRPr="002B1070">
        <w:rPr>
          <w:szCs w:val="18"/>
          <w:lang w:eastAsia="en-GB"/>
        </w:rPr>
        <w:t>c.</w:t>
      </w:r>
      <w:r>
        <w:rPr>
          <w:i/>
          <w:szCs w:val="18"/>
          <w:lang w:eastAsia="en-GB"/>
        </w:rPr>
        <w:t> </w:t>
      </w:r>
      <w:r w:rsidRPr="002B1070">
        <w:rPr>
          <w:i/>
          <w:szCs w:val="18"/>
          <w:lang w:eastAsia="en-GB"/>
        </w:rPr>
        <w:t>Allemagne</w:t>
      </w:r>
      <w:r w:rsidRPr="002B1070">
        <w:rPr>
          <w:szCs w:val="18"/>
          <w:lang w:eastAsia="en-GB"/>
        </w:rPr>
        <w:t>, décision d</w:t>
      </w:r>
      <w:r>
        <w:rPr>
          <w:szCs w:val="18"/>
          <w:lang w:eastAsia="en-GB"/>
        </w:rPr>
        <w:t>’</w:t>
      </w:r>
      <w:r w:rsidRPr="002B1070">
        <w:rPr>
          <w:szCs w:val="18"/>
          <w:lang w:eastAsia="en-GB"/>
        </w:rPr>
        <w:t xml:space="preserve">irrecevabilité </w:t>
      </w:r>
      <w:r>
        <w:rPr>
          <w:szCs w:val="18"/>
          <w:lang w:eastAsia="en-GB"/>
        </w:rPr>
        <w:t xml:space="preserve">adoptée le </w:t>
      </w:r>
      <w:r w:rsidRPr="002B1070">
        <w:rPr>
          <w:szCs w:val="18"/>
          <w:lang w:eastAsia="en-GB"/>
        </w:rPr>
        <w:t>22</w:t>
      </w:r>
      <w:r>
        <w:t> </w:t>
      </w:r>
      <w:r>
        <w:rPr>
          <w:szCs w:val="18"/>
          <w:lang w:eastAsia="en-GB"/>
        </w:rPr>
        <w:t>octobre 2003, par. </w:t>
      </w:r>
      <w:r w:rsidRPr="002B1070">
        <w:rPr>
          <w:szCs w:val="18"/>
          <w:lang w:eastAsia="en-GB"/>
        </w:rPr>
        <w:t>6.5.</w:t>
      </w:r>
    </w:p>
  </w:footnote>
  <w:footnote w:id="22">
    <w:p w:rsidR="00AA3A41" w:rsidRPr="002B1070" w:rsidRDefault="00AA3A41" w:rsidP="00F439F5">
      <w:pPr>
        <w:pStyle w:val="FootnoteText"/>
        <w:rPr>
          <w:szCs w:val="18"/>
        </w:rPr>
      </w:pPr>
      <w:r>
        <w:rPr>
          <w:szCs w:val="18"/>
        </w:rPr>
        <w:tab/>
      </w:r>
      <w:r w:rsidRPr="002B1070">
        <w:rPr>
          <w:rStyle w:val="FootnoteReference"/>
          <w:szCs w:val="18"/>
        </w:rPr>
        <w:footnoteRef/>
      </w:r>
      <w:r>
        <w:rPr>
          <w:szCs w:val="18"/>
        </w:rPr>
        <w:tab/>
      </w:r>
      <w:r w:rsidRPr="002B1070">
        <w:rPr>
          <w:szCs w:val="18"/>
        </w:rPr>
        <w:t xml:space="preserve">Voir, entre autres, la communication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1494/2006, </w:t>
      </w:r>
      <w:r w:rsidRPr="002B1070">
        <w:rPr>
          <w:i/>
          <w:szCs w:val="18"/>
        </w:rPr>
        <w:t>A.</w:t>
      </w:r>
      <w:r>
        <w:rPr>
          <w:i/>
          <w:szCs w:val="18"/>
        </w:rPr>
        <w:t> </w:t>
      </w:r>
      <w:r w:rsidRPr="002B1070">
        <w:rPr>
          <w:i/>
          <w:szCs w:val="18"/>
        </w:rPr>
        <w:t>C. et ses enfants S., M. et E.</w:t>
      </w:r>
      <w:r>
        <w:rPr>
          <w:i/>
          <w:szCs w:val="18"/>
        </w:rPr>
        <w:t> </w:t>
      </w:r>
      <w:r w:rsidRPr="002B1070">
        <w:rPr>
          <w:i/>
          <w:szCs w:val="18"/>
        </w:rPr>
        <w:t xml:space="preserve">B. </w:t>
      </w:r>
      <w:r w:rsidRPr="002B1070">
        <w:rPr>
          <w:szCs w:val="18"/>
        </w:rPr>
        <w:t>c.</w:t>
      </w:r>
      <w:r w:rsidRPr="002B1070">
        <w:rPr>
          <w:i/>
          <w:szCs w:val="18"/>
        </w:rPr>
        <w:t xml:space="preserve"> </w:t>
      </w:r>
      <w:r>
        <w:rPr>
          <w:i/>
          <w:szCs w:val="18"/>
        </w:rPr>
        <w:t xml:space="preserve">les </w:t>
      </w:r>
      <w:r w:rsidRPr="002B1070">
        <w:rPr>
          <w:i/>
          <w:szCs w:val="18"/>
        </w:rPr>
        <w:t>Pays-Bas</w:t>
      </w:r>
      <w:r w:rsidRPr="002B1070">
        <w:rPr>
          <w:szCs w:val="18"/>
        </w:rPr>
        <w:t xml:space="preserve">, </w:t>
      </w:r>
      <w:r w:rsidRPr="002B1070">
        <w:rPr>
          <w:szCs w:val="18"/>
          <w:lang w:eastAsia="en-GB"/>
        </w:rPr>
        <w:t>décision d</w:t>
      </w:r>
      <w:r>
        <w:rPr>
          <w:szCs w:val="18"/>
          <w:lang w:eastAsia="en-GB"/>
        </w:rPr>
        <w:t>’</w:t>
      </w:r>
      <w:r w:rsidRPr="002B1070">
        <w:rPr>
          <w:szCs w:val="18"/>
          <w:lang w:eastAsia="en-GB"/>
        </w:rPr>
        <w:t xml:space="preserve">irrecevabilité du </w:t>
      </w:r>
      <w:r w:rsidRPr="002B1070">
        <w:rPr>
          <w:szCs w:val="18"/>
        </w:rPr>
        <w:t>22</w:t>
      </w:r>
      <w:r>
        <w:rPr>
          <w:szCs w:val="18"/>
        </w:rPr>
        <w:t> </w:t>
      </w:r>
      <w:r w:rsidRPr="002B1070">
        <w:rPr>
          <w:szCs w:val="18"/>
        </w:rPr>
        <w:t>juillet 2008, par.</w:t>
      </w:r>
      <w:r>
        <w:rPr>
          <w:szCs w:val="18"/>
        </w:rPr>
        <w:t> </w:t>
      </w:r>
      <w:r w:rsidRPr="002B1070">
        <w:rPr>
          <w:szCs w:val="18"/>
        </w:rPr>
        <w:t>8.4</w:t>
      </w:r>
      <w:r>
        <w:rPr>
          <w:szCs w:val="18"/>
        </w:rPr>
        <w:t>:</w:t>
      </w:r>
      <w:r w:rsidRPr="002B1070">
        <w:rPr>
          <w:szCs w:val="18"/>
        </w:rPr>
        <w:t xml:space="preserve"> «Le Comité renvoie à sa jurisprudence, à savoir qu</w:t>
      </w:r>
      <w:r>
        <w:rPr>
          <w:szCs w:val="18"/>
        </w:rPr>
        <w:t>’</w:t>
      </w:r>
      <w:r w:rsidRPr="002B1070">
        <w:rPr>
          <w:szCs w:val="18"/>
        </w:rPr>
        <w:t>une procédure d</w:t>
      </w:r>
      <w:r>
        <w:rPr>
          <w:szCs w:val="18"/>
        </w:rPr>
        <w:t>’</w:t>
      </w:r>
      <w:r w:rsidRPr="002B1070">
        <w:rPr>
          <w:szCs w:val="18"/>
        </w:rPr>
        <w:t>expulsion n</w:t>
      </w:r>
      <w:r>
        <w:rPr>
          <w:szCs w:val="18"/>
        </w:rPr>
        <w:t>’</w:t>
      </w:r>
      <w:r w:rsidRPr="002B1070">
        <w:rPr>
          <w:szCs w:val="18"/>
        </w:rPr>
        <w:t xml:space="preserve">implique pas de décision sur </w:t>
      </w:r>
      <w:r>
        <w:rPr>
          <w:szCs w:val="18"/>
        </w:rPr>
        <w:t>“</w:t>
      </w:r>
      <w:r w:rsidRPr="002B1070">
        <w:rPr>
          <w:szCs w:val="18"/>
        </w:rPr>
        <w:t>le bien</w:t>
      </w:r>
      <w:r w:rsidRPr="002B1070">
        <w:rPr>
          <w:szCs w:val="18"/>
        </w:rPr>
        <w:noBreakHyphen/>
        <w:t>fondé de toute accusation en matière pénale</w:t>
      </w:r>
      <w:r>
        <w:rPr>
          <w:szCs w:val="18"/>
        </w:rPr>
        <w:t>”</w:t>
      </w:r>
      <w:r w:rsidRPr="002B1070">
        <w:rPr>
          <w:szCs w:val="18"/>
        </w:rPr>
        <w:t xml:space="preserve"> ou sur des </w:t>
      </w:r>
      <w:r>
        <w:rPr>
          <w:szCs w:val="18"/>
        </w:rPr>
        <w:t>“</w:t>
      </w:r>
      <w:r w:rsidRPr="002B1070">
        <w:rPr>
          <w:szCs w:val="18"/>
        </w:rPr>
        <w:t>droits et obligations de caractère civil</w:t>
      </w:r>
      <w:r>
        <w:rPr>
          <w:szCs w:val="18"/>
        </w:rPr>
        <w:t>”</w:t>
      </w:r>
      <w:r w:rsidRPr="002B1070">
        <w:rPr>
          <w:szCs w:val="18"/>
        </w:rPr>
        <w:t xml:space="preserve"> au sens de l</w:t>
      </w:r>
      <w:r>
        <w:rPr>
          <w:szCs w:val="18"/>
        </w:rPr>
        <w:t>’</w:t>
      </w:r>
      <w:r w:rsidRPr="002B1070">
        <w:rPr>
          <w:szCs w:val="18"/>
        </w:rPr>
        <w:t>article</w:t>
      </w:r>
      <w:r>
        <w:rPr>
          <w:szCs w:val="18"/>
        </w:rPr>
        <w:t> </w:t>
      </w:r>
      <w:r w:rsidRPr="002B1070">
        <w:rPr>
          <w:szCs w:val="18"/>
        </w:rPr>
        <w:t>14»</w:t>
      </w:r>
      <w:r>
        <w:rPr>
          <w:szCs w:val="18"/>
        </w:rPr>
        <w:t>,</w:t>
      </w:r>
      <w:r w:rsidRPr="002B1070">
        <w:rPr>
          <w:szCs w:val="18"/>
        </w:rPr>
        <w:t xml:space="preserve"> (en citant la communication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1234/2003, </w:t>
      </w:r>
      <w:r w:rsidRPr="002B1070">
        <w:rPr>
          <w:i/>
          <w:iCs/>
          <w:szCs w:val="18"/>
        </w:rPr>
        <w:t>P.</w:t>
      </w:r>
      <w:r>
        <w:rPr>
          <w:i/>
          <w:iCs/>
          <w:szCs w:val="18"/>
        </w:rPr>
        <w:t> </w:t>
      </w:r>
      <w:r w:rsidRPr="002B1070">
        <w:rPr>
          <w:i/>
          <w:iCs/>
          <w:szCs w:val="18"/>
        </w:rPr>
        <w:t xml:space="preserve">K. </w:t>
      </w:r>
      <w:r w:rsidRPr="002B1070">
        <w:rPr>
          <w:iCs/>
          <w:szCs w:val="18"/>
        </w:rPr>
        <w:t>c.</w:t>
      </w:r>
      <w:r w:rsidRPr="002B1070">
        <w:rPr>
          <w:i/>
          <w:iCs/>
          <w:szCs w:val="18"/>
        </w:rPr>
        <w:t xml:space="preserve"> Canada</w:t>
      </w:r>
      <w:r w:rsidRPr="002B1070">
        <w:rPr>
          <w:szCs w:val="18"/>
        </w:rPr>
        <w:t xml:space="preserve">, </w:t>
      </w:r>
      <w:r w:rsidRPr="002B1070">
        <w:rPr>
          <w:szCs w:val="18"/>
          <w:lang w:eastAsia="en-GB"/>
        </w:rPr>
        <w:t>décision d</w:t>
      </w:r>
      <w:r>
        <w:rPr>
          <w:szCs w:val="18"/>
          <w:lang w:eastAsia="en-GB"/>
        </w:rPr>
        <w:t>’</w:t>
      </w:r>
      <w:r w:rsidRPr="002B1070">
        <w:rPr>
          <w:szCs w:val="18"/>
          <w:lang w:eastAsia="en-GB"/>
        </w:rPr>
        <w:t xml:space="preserve">irrecevabilité du </w:t>
      </w:r>
      <w:r w:rsidRPr="002B1070">
        <w:rPr>
          <w:szCs w:val="18"/>
        </w:rPr>
        <w:t>20</w:t>
      </w:r>
      <w:r>
        <w:rPr>
          <w:szCs w:val="18"/>
        </w:rPr>
        <w:t> </w:t>
      </w:r>
      <w:r w:rsidRPr="002B1070">
        <w:rPr>
          <w:szCs w:val="18"/>
        </w:rPr>
        <w:t>mars 2007, par.</w:t>
      </w:r>
      <w:r>
        <w:rPr>
          <w:szCs w:val="18"/>
        </w:rPr>
        <w:t> </w:t>
      </w:r>
      <w:r w:rsidRPr="002B1070">
        <w:rPr>
          <w:szCs w:val="18"/>
        </w:rPr>
        <w:t>7.4 et 7.5).</w:t>
      </w:r>
    </w:p>
  </w:footnote>
  <w:footnote w:id="23">
    <w:p w:rsidR="00AA3A41" w:rsidRPr="002B1070" w:rsidRDefault="00AA3A41" w:rsidP="00F439F5">
      <w:pPr>
        <w:pStyle w:val="FootnoteText"/>
        <w:rPr>
          <w:szCs w:val="18"/>
        </w:rPr>
      </w:pPr>
      <w:r>
        <w:rPr>
          <w:szCs w:val="18"/>
        </w:rPr>
        <w:tab/>
      </w:r>
      <w:r w:rsidRPr="002B1070">
        <w:rPr>
          <w:rStyle w:val="FootnoteReference"/>
          <w:szCs w:val="18"/>
        </w:rPr>
        <w:footnoteRef/>
      </w:r>
      <w:r w:rsidRPr="002B1070">
        <w:rPr>
          <w:szCs w:val="18"/>
        </w:rPr>
        <w:tab/>
      </w:r>
      <w:r>
        <w:rPr>
          <w:szCs w:val="18"/>
        </w:rPr>
        <w:t xml:space="preserve">Voir </w:t>
      </w:r>
      <w:r w:rsidRPr="002B1070">
        <w:rPr>
          <w:szCs w:val="18"/>
        </w:rPr>
        <w:t xml:space="preserve">Observations générales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6 et </w:t>
      </w:r>
      <w:r w:rsidRPr="00F274D6">
        <w:rPr>
          <w:rFonts w:eastAsia="MS Mincho"/>
          <w:szCs w:val="18"/>
        </w:rPr>
        <w:t>n</w:t>
      </w:r>
      <w:r w:rsidRPr="00F274D6">
        <w:rPr>
          <w:rFonts w:eastAsia="MS Mincho"/>
          <w:szCs w:val="18"/>
          <w:vertAlign w:val="superscript"/>
        </w:rPr>
        <w:t>o</w:t>
      </w:r>
      <w:r>
        <w:rPr>
          <w:szCs w:val="18"/>
        </w:rPr>
        <w:t> </w:t>
      </w:r>
      <w:r w:rsidRPr="002B1070">
        <w:rPr>
          <w:szCs w:val="18"/>
        </w:rPr>
        <w:t>20 du Comité des droits de l</w:t>
      </w:r>
      <w:r>
        <w:rPr>
          <w:szCs w:val="18"/>
        </w:rPr>
        <w:t>’</w:t>
      </w:r>
      <w:r w:rsidRPr="002B1070">
        <w:rPr>
          <w:szCs w:val="18"/>
        </w:rPr>
        <w:t xml:space="preserve">homme; voir </w:t>
      </w:r>
      <w:r>
        <w:rPr>
          <w:szCs w:val="18"/>
        </w:rPr>
        <w:t xml:space="preserve">aussi </w:t>
      </w:r>
      <w:r w:rsidRPr="002B1070">
        <w:rPr>
          <w:szCs w:val="18"/>
        </w:rPr>
        <w:t xml:space="preserve">la communication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1544/2007, </w:t>
      </w:r>
      <w:r w:rsidRPr="002B1070">
        <w:rPr>
          <w:i/>
          <w:szCs w:val="18"/>
        </w:rPr>
        <w:t xml:space="preserve">Mehrez Ben Abde Hamida </w:t>
      </w:r>
      <w:r w:rsidRPr="002B1070">
        <w:rPr>
          <w:szCs w:val="18"/>
        </w:rPr>
        <w:t>c.</w:t>
      </w:r>
      <w:r>
        <w:rPr>
          <w:i/>
          <w:szCs w:val="18"/>
        </w:rPr>
        <w:t> </w:t>
      </w:r>
      <w:r w:rsidRPr="002B1070">
        <w:rPr>
          <w:i/>
          <w:szCs w:val="18"/>
        </w:rPr>
        <w:t>Canada</w:t>
      </w:r>
      <w:r w:rsidRPr="002B1070">
        <w:rPr>
          <w:szCs w:val="18"/>
        </w:rPr>
        <w:t>, constatations adoptées le 18</w:t>
      </w:r>
      <w:r>
        <w:rPr>
          <w:szCs w:val="18"/>
        </w:rPr>
        <w:t> </w:t>
      </w:r>
      <w:r w:rsidRPr="002B1070">
        <w:rPr>
          <w:szCs w:val="18"/>
        </w:rPr>
        <w:t>mars 2010, par.</w:t>
      </w:r>
      <w:r>
        <w:rPr>
          <w:szCs w:val="18"/>
        </w:rPr>
        <w:t> </w:t>
      </w:r>
      <w:r w:rsidRPr="002B1070">
        <w:rPr>
          <w:szCs w:val="18"/>
        </w:rPr>
        <w:t>8.2.</w:t>
      </w:r>
    </w:p>
  </w:footnote>
  <w:footnote w:id="24">
    <w:p w:rsidR="00AA3A41" w:rsidRPr="002B1070" w:rsidRDefault="00AA3A41" w:rsidP="00F439F5">
      <w:pPr>
        <w:pStyle w:val="FootnoteText"/>
        <w:rPr>
          <w:szCs w:val="18"/>
        </w:rPr>
      </w:pPr>
      <w:r>
        <w:rPr>
          <w:szCs w:val="18"/>
        </w:rPr>
        <w:tab/>
      </w:r>
      <w:r w:rsidRPr="002B1070">
        <w:rPr>
          <w:rStyle w:val="FootnoteReference"/>
          <w:szCs w:val="18"/>
        </w:rPr>
        <w:footnoteRef/>
      </w:r>
      <w:r w:rsidRPr="002B1070">
        <w:rPr>
          <w:szCs w:val="18"/>
        </w:rPr>
        <w:tab/>
        <w:t xml:space="preserve">Observation générale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31 (2004) sur </w:t>
      </w:r>
      <w:r>
        <w:rPr>
          <w:szCs w:val="18"/>
        </w:rPr>
        <w:t>l</w:t>
      </w:r>
      <w:r w:rsidRPr="002B1070">
        <w:rPr>
          <w:bCs/>
          <w:szCs w:val="18"/>
        </w:rPr>
        <w:t>a nature de l</w:t>
      </w:r>
      <w:r>
        <w:rPr>
          <w:bCs/>
          <w:szCs w:val="18"/>
        </w:rPr>
        <w:t>’</w:t>
      </w:r>
      <w:r w:rsidRPr="002B1070">
        <w:rPr>
          <w:bCs/>
          <w:szCs w:val="18"/>
        </w:rPr>
        <w:t>obligation juridique générale imposée aux États parties au Pacte</w:t>
      </w:r>
      <w:r w:rsidRPr="002B1070">
        <w:rPr>
          <w:szCs w:val="18"/>
        </w:rPr>
        <w:t>, par.</w:t>
      </w:r>
      <w:r>
        <w:rPr>
          <w:szCs w:val="18"/>
        </w:rPr>
        <w:t> </w:t>
      </w:r>
      <w:r w:rsidRPr="002B1070">
        <w:rPr>
          <w:szCs w:val="18"/>
        </w:rPr>
        <w:t xml:space="preserve">12; voir, entre autres, la communication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1544/2007, </w:t>
      </w:r>
      <w:r w:rsidRPr="002B1070">
        <w:rPr>
          <w:i/>
          <w:szCs w:val="18"/>
        </w:rPr>
        <w:t xml:space="preserve">Mehrez Ben Abde Hamida </w:t>
      </w:r>
      <w:r w:rsidRPr="002B1070">
        <w:rPr>
          <w:szCs w:val="18"/>
        </w:rPr>
        <w:t>c.</w:t>
      </w:r>
      <w:r>
        <w:rPr>
          <w:i/>
          <w:szCs w:val="18"/>
        </w:rPr>
        <w:t> </w:t>
      </w:r>
      <w:r w:rsidRPr="002B1070">
        <w:rPr>
          <w:i/>
          <w:szCs w:val="18"/>
        </w:rPr>
        <w:t>Canada</w:t>
      </w:r>
      <w:r w:rsidRPr="002B1070">
        <w:rPr>
          <w:szCs w:val="18"/>
        </w:rPr>
        <w:t>, constatations adoptées le 18</w:t>
      </w:r>
      <w:r>
        <w:rPr>
          <w:szCs w:val="18"/>
        </w:rPr>
        <w:t> </w:t>
      </w:r>
      <w:r w:rsidRPr="002B1070">
        <w:rPr>
          <w:szCs w:val="18"/>
        </w:rPr>
        <w:t>mars 2010, par.</w:t>
      </w:r>
      <w:r>
        <w:rPr>
          <w:szCs w:val="18"/>
        </w:rPr>
        <w:t> </w:t>
      </w:r>
      <w:r w:rsidRPr="002B1070">
        <w:rPr>
          <w:szCs w:val="18"/>
        </w:rPr>
        <w:t xml:space="preserve">8.7, et la communication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692/1996, </w:t>
      </w:r>
      <w:r w:rsidRPr="002B1070">
        <w:rPr>
          <w:i/>
          <w:iCs/>
          <w:szCs w:val="18"/>
        </w:rPr>
        <w:t>A.</w:t>
      </w:r>
      <w:r>
        <w:rPr>
          <w:i/>
          <w:iCs/>
          <w:szCs w:val="18"/>
        </w:rPr>
        <w:t> </w:t>
      </w:r>
      <w:r w:rsidRPr="002B1070">
        <w:rPr>
          <w:i/>
          <w:iCs/>
          <w:szCs w:val="18"/>
        </w:rPr>
        <w:t>R.</w:t>
      </w:r>
      <w:r>
        <w:rPr>
          <w:i/>
          <w:iCs/>
          <w:szCs w:val="18"/>
        </w:rPr>
        <w:t> </w:t>
      </w:r>
      <w:r w:rsidRPr="002B1070">
        <w:rPr>
          <w:i/>
          <w:iCs/>
          <w:szCs w:val="18"/>
        </w:rPr>
        <w:t xml:space="preserve">J. </w:t>
      </w:r>
      <w:r w:rsidRPr="002B1070">
        <w:rPr>
          <w:iCs/>
          <w:szCs w:val="18"/>
        </w:rPr>
        <w:t>c.</w:t>
      </w:r>
      <w:r>
        <w:rPr>
          <w:i/>
          <w:iCs/>
          <w:szCs w:val="18"/>
        </w:rPr>
        <w:t> </w:t>
      </w:r>
      <w:r w:rsidRPr="002B1070">
        <w:rPr>
          <w:i/>
          <w:iCs/>
          <w:szCs w:val="18"/>
        </w:rPr>
        <w:t xml:space="preserve">Australie, </w:t>
      </w:r>
      <w:r w:rsidRPr="002B1070">
        <w:rPr>
          <w:szCs w:val="18"/>
        </w:rPr>
        <w:t>constatations adoptées le 28</w:t>
      </w:r>
      <w:r>
        <w:rPr>
          <w:szCs w:val="18"/>
        </w:rPr>
        <w:t> </w:t>
      </w:r>
      <w:r w:rsidRPr="002B1070">
        <w:rPr>
          <w:szCs w:val="18"/>
        </w:rPr>
        <w:t>juillet 1997, par.</w:t>
      </w:r>
      <w:r>
        <w:rPr>
          <w:szCs w:val="18"/>
        </w:rPr>
        <w:t> </w:t>
      </w:r>
      <w:r w:rsidRPr="002B1070">
        <w:rPr>
          <w:szCs w:val="18"/>
        </w:rPr>
        <w:t>6.14.</w:t>
      </w:r>
    </w:p>
  </w:footnote>
  <w:footnote w:id="25">
    <w:p w:rsidR="00AA3A41" w:rsidRPr="002B1070" w:rsidRDefault="00AA3A41" w:rsidP="00F439F5">
      <w:pPr>
        <w:pStyle w:val="FootnoteText"/>
        <w:rPr>
          <w:szCs w:val="18"/>
        </w:rPr>
      </w:pPr>
      <w:r>
        <w:rPr>
          <w:szCs w:val="18"/>
        </w:rPr>
        <w:tab/>
      </w:r>
      <w:r w:rsidRPr="002B1070">
        <w:rPr>
          <w:rStyle w:val="FootnoteReference"/>
          <w:szCs w:val="18"/>
        </w:rPr>
        <w:footnoteRef/>
      </w:r>
      <w:r>
        <w:rPr>
          <w:szCs w:val="18"/>
        </w:rPr>
        <w:tab/>
      </w:r>
      <w:r w:rsidRPr="002B1070">
        <w:rPr>
          <w:szCs w:val="18"/>
        </w:rPr>
        <w:t xml:space="preserve">Communication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692/1996, </w:t>
      </w:r>
      <w:r w:rsidRPr="002B1070">
        <w:rPr>
          <w:i/>
          <w:iCs/>
          <w:szCs w:val="18"/>
        </w:rPr>
        <w:t>A.</w:t>
      </w:r>
      <w:r>
        <w:rPr>
          <w:i/>
          <w:iCs/>
          <w:szCs w:val="18"/>
        </w:rPr>
        <w:t> </w:t>
      </w:r>
      <w:r w:rsidRPr="002B1070">
        <w:rPr>
          <w:i/>
          <w:iCs/>
          <w:szCs w:val="18"/>
        </w:rPr>
        <w:t>R.</w:t>
      </w:r>
      <w:r>
        <w:rPr>
          <w:i/>
          <w:iCs/>
          <w:szCs w:val="18"/>
        </w:rPr>
        <w:t> </w:t>
      </w:r>
      <w:r w:rsidRPr="002B1070">
        <w:rPr>
          <w:i/>
          <w:iCs/>
          <w:szCs w:val="18"/>
        </w:rPr>
        <w:t xml:space="preserve">J. </w:t>
      </w:r>
      <w:r w:rsidRPr="002B1070">
        <w:rPr>
          <w:iCs/>
          <w:szCs w:val="18"/>
        </w:rPr>
        <w:t>c.</w:t>
      </w:r>
      <w:r w:rsidRPr="002B1070">
        <w:rPr>
          <w:i/>
          <w:iCs/>
          <w:szCs w:val="18"/>
        </w:rPr>
        <w:t xml:space="preserve"> Australie, </w:t>
      </w:r>
      <w:r w:rsidRPr="002B1070">
        <w:rPr>
          <w:szCs w:val="18"/>
        </w:rPr>
        <w:t>constatations adoptées le 28</w:t>
      </w:r>
      <w:r>
        <w:rPr>
          <w:szCs w:val="18"/>
        </w:rPr>
        <w:t> </w:t>
      </w:r>
      <w:r w:rsidRPr="002B1070">
        <w:rPr>
          <w:szCs w:val="18"/>
        </w:rPr>
        <w:t>juillet 1997, par.</w:t>
      </w:r>
      <w:r>
        <w:rPr>
          <w:szCs w:val="18"/>
        </w:rPr>
        <w:t> </w:t>
      </w:r>
      <w:r w:rsidRPr="002B1070">
        <w:rPr>
          <w:szCs w:val="18"/>
        </w:rPr>
        <w:t>6.6.</w:t>
      </w:r>
    </w:p>
  </w:footnote>
  <w:footnote w:id="26">
    <w:p w:rsidR="00AA3A41" w:rsidRPr="002B1070" w:rsidRDefault="00AA3A41" w:rsidP="00F439F5">
      <w:pPr>
        <w:pStyle w:val="FootnoteText"/>
        <w:rPr>
          <w:szCs w:val="18"/>
        </w:rPr>
      </w:pPr>
      <w:r>
        <w:rPr>
          <w:szCs w:val="18"/>
        </w:rPr>
        <w:tab/>
      </w:r>
      <w:r w:rsidRPr="002B1070">
        <w:rPr>
          <w:rStyle w:val="FootnoteReference"/>
          <w:szCs w:val="18"/>
        </w:rPr>
        <w:footnoteRef/>
      </w:r>
      <w:r>
        <w:rPr>
          <w:szCs w:val="18"/>
        </w:rPr>
        <w:tab/>
      </w:r>
      <w:r w:rsidRPr="002B1070">
        <w:rPr>
          <w:szCs w:val="18"/>
        </w:rPr>
        <w:t xml:space="preserve">Communication </w:t>
      </w:r>
      <w:r w:rsidRPr="00F274D6">
        <w:rPr>
          <w:rFonts w:eastAsia="MS Mincho"/>
          <w:szCs w:val="18"/>
        </w:rPr>
        <w:t>n</w:t>
      </w:r>
      <w:r w:rsidRPr="00F274D6">
        <w:rPr>
          <w:rFonts w:eastAsia="MS Mincho"/>
          <w:szCs w:val="18"/>
          <w:vertAlign w:val="superscript"/>
        </w:rPr>
        <w:t>o</w:t>
      </w:r>
      <w:r>
        <w:rPr>
          <w:szCs w:val="18"/>
        </w:rPr>
        <w:t> </w:t>
      </w:r>
      <w:r w:rsidRPr="002B1070">
        <w:rPr>
          <w:szCs w:val="18"/>
        </w:rPr>
        <w:t>1833/2008</w:t>
      </w:r>
      <w:r w:rsidRPr="002B1070">
        <w:rPr>
          <w:i/>
          <w:szCs w:val="18"/>
        </w:rPr>
        <w:t xml:space="preserve">, X. </w:t>
      </w:r>
      <w:r w:rsidRPr="002B1070">
        <w:rPr>
          <w:szCs w:val="18"/>
        </w:rPr>
        <w:t>c.</w:t>
      </w:r>
      <w:r>
        <w:rPr>
          <w:i/>
          <w:szCs w:val="18"/>
        </w:rPr>
        <w:t> </w:t>
      </w:r>
      <w:r w:rsidRPr="002B1070">
        <w:rPr>
          <w:i/>
          <w:szCs w:val="18"/>
        </w:rPr>
        <w:t>Suède</w:t>
      </w:r>
      <w:r w:rsidRPr="002B1070">
        <w:rPr>
          <w:szCs w:val="18"/>
        </w:rPr>
        <w:t>, constatations adoptées le 1</w:t>
      </w:r>
      <w:r w:rsidRPr="002B1070">
        <w:rPr>
          <w:szCs w:val="18"/>
          <w:vertAlign w:val="superscript"/>
        </w:rPr>
        <w:t>er</w:t>
      </w:r>
      <w:r>
        <w:rPr>
          <w:szCs w:val="18"/>
        </w:rPr>
        <w:t> </w:t>
      </w:r>
      <w:r w:rsidRPr="002B1070">
        <w:rPr>
          <w:szCs w:val="18"/>
        </w:rPr>
        <w:t>novembre 2011, par.</w:t>
      </w:r>
      <w:r>
        <w:rPr>
          <w:szCs w:val="18"/>
        </w:rPr>
        <w:t> </w:t>
      </w:r>
      <w:r w:rsidRPr="002B1070">
        <w:rPr>
          <w:szCs w:val="18"/>
        </w:rPr>
        <w:t>5.18.</w:t>
      </w:r>
    </w:p>
  </w:footnote>
  <w:footnote w:id="27">
    <w:p w:rsidR="00AA3A41" w:rsidRPr="002B1070" w:rsidRDefault="00AA3A41" w:rsidP="00F439F5">
      <w:pPr>
        <w:pStyle w:val="FootnoteText"/>
        <w:rPr>
          <w:szCs w:val="18"/>
        </w:rPr>
      </w:pPr>
      <w:r>
        <w:rPr>
          <w:szCs w:val="18"/>
        </w:rPr>
        <w:tab/>
      </w:r>
      <w:r w:rsidRPr="002B1070">
        <w:rPr>
          <w:rStyle w:val="FootnoteReference"/>
          <w:szCs w:val="18"/>
        </w:rPr>
        <w:footnoteRef/>
      </w:r>
      <w:r>
        <w:rPr>
          <w:szCs w:val="18"/>
        </w:rPr>
        <w:tab/>
      </w:r>
      <w:r w:rsidRPr="002B1070">
        <w:rPr>
          <w:szCs w:val="18"/>
        </w:rPr>
        <w:t>I</w:t>
      </w:r>
      <w:r>
        <w:rPr>
          <w:szCs w:val="18"/>
        </w:rPr>
        <w:t>bi</w:t>
      </w:r>
      <w:r w:rsidRPr="002B1070">
        <w:rPr>
          <w:szCs w:val="18"/>
        </w:rPr>
        <w:t>d</w:t>
      </w:r>
      <w:r w:rsidRPr="002B1070">
        <w:rPr>
          <w:i/>
          <w:szCs w:val="18"/>
        </w:rPr>
        <w:t>.</w:t>
      </w:r>
    </w:p>
  </w:footnote>
  <w:footnote w:id="28">
    <w:p w:rsidR="00AA3A41" w:rsidRPr="002B1070" w:rsidRDefault="00AA3A41" w:rsidP="00F439F5">
      <w:pPr>
        <w:pStyle w:val="FootnoteText"/>
        <w:rPr>
          <w:szCs w:val="18"/>
        </w:rPr>
      </w:pPr>
      <w:r>
        <w:rPr>
          <w:szCs w:val="18"/>
        </w:rPr>
        <w:tab/>
      </w:r>
      <w:r w:rsidRPr="002B1070">
        <w:rPr>
          <w:rStyle w:val="FootnoteReference"/>
          <w:szCs w:val="18"/>
        </w:rPr>
        <w:footnoteRef/>
      </w:r>
      <w:r w:rsidRPr="002B1070">
        <w:rPr>
          <w:szCs w:val="18"/>
        </w:rPr>
        <w:tab/>
        <w:t>I</w:t>
      </w:r>
      <w:r>
        <w:rPr>
          <w:szCs w:val="18"/>
        </w:rPr>
        <w:t>bi</w:t>
      </w:r>
      <w:r w:rsidRPr="002B1070">
        <w:rPr>
          <w:szCs w:val="18"/>
        </w:rPr>
        <w:t xml:space="preserve">d.; voir également, entre autres, la communication </w:t>
      </w:r>
      <w:r w:rsidRPr="00F274D6">
        <w:rPr>
          <w:rFonts w:eastAsia="MS Mincho"/>
          <w:szCs w:val="18"/>
        </w:rPr>
        <w:t>n</w:t>
      </w:r>
      <w:r w:rsidRPr="00F274D6">
        <w:rPr>
          <w:rFonts w:eastAsia="MS Mincho"/>
          <w:szCs w:val="18"/>
          <w:vertAlign w:val="superscript"/>
        </w:rPr>
        <w:t>o</w:t>
      </w:r>
      <w:r>
        <w:rPr>
          <w:szCs w:val="18"/>
        </w:rPr>
        <w:t> </w:t>
      </w:r>
      <w:r w:rsidRPr="002B1070">
        <w:rPr>
          <w:szCs w:val="18"/>
        </w:rPr>
        <w:t xml:space="preserve">541/1993, </w:t>
      </w:r>
      <w:r w:rsidRPr="002B1070">
        <w:rPr>
          <w:i/>
          <w:szCs w:val="18"/>
        </w:rPr>
        <w:t>Errol Simms</w:t>
      </w:r>
      <w:r w:rsidRPr="002B1070">
        <w:rPr>
          <w:szCs w:val="18"/>
        </w:rPr>
        <w:t xml:space="preserve"> c.</w:t>
      </w:r>
      <w:r>
        <w:rPr>
          <w:szCs w:val="18"/>
        </w:rPr>
        <w:t> </w:t>
      </w:r>
      <w:r w:rsidRPr="002B1070">
        <w:rPr>
          <w:i/>
          <w:szCs w:val="18"/>
        </w:rPr>
        <w:t>Jamaïque</w:t>
      </w:r>
      <w:r w:rsidRPr="002B1070">
        <w:rPr>
          <w:szCs w:val="18"/>
        </w:rPr>
        <w:t>, décision d</w:t>
      </w:r>
      <w:r>
        <w:rPr>
          <w:szCs w:val="18"/>
        </w:rPr>
        <w:t>’</w:t>
      </w:r>
      <w:r w:rsidRPr="002B1070">
        <w:rPr>
          <w:szCs w:val="18"/>
        </w:rPr>
        <w:t>irrecevabilité du 3</w:t>
      </w:r>
      <w:r>
        <w:rPr>
          <w:szCs w:val="18"/>
        </w:rPr>
        <w:t> </w:t>
      </w:r>
      <w:r w:rsidRPr="002B1070">
        <w:rPr>
          <w:szCs w:val="18"/>
        </w:rPr>
        <w:t>avril 1995, par.</w:t>
      </w:r>
      <w:r>
        <w:rPr>
          <w:szCs w:val="18"/>
        </w:rPr>
        <w:t> </w:t>
      </w:r>
      <w:r w:rsidRPr="002B1070">
        <w:rPr>
          <w:szCs w:val="18"/>
        </w:rPr>
        <w:t>6.2.</w:t>
      </w:r>
    </w:p>
  </w:footnote>
  <w:footnote w:id="29">
    <w:p w:rsidR="00AA3A41" w:rsidRPr="002B1070" w:rsidRDefault="00AA3A41" w:rsidP="00F439F5">
      <w:pPr>
        <w:pStyle w:val="FootnoteText"/>
        <w:rPr>
          <w:szCs w:val="18"/>
        </w:rPr>
      </w:pPr>
      <w:r>
        <w:rPr>
          <w:szCs w:val="18"/>
        </w:rPr>
        <w:tab/>
      </w:r>
      <w:r w:rsidRPr="002B1070">
        <w:rPr>
          <w:rStyle w:val="FootnoteReference"/>
          <w:szCs w:val="18"/>
        </w:rPr>
        <w:footnoteRef/>
      </w:r>
      <w:r>
        <w:rPr>
          <w:szCs w:val="18"/>
        </w:rPr>
        <w:tab/>
      </w:r>
      <w:r w:rsidRPr="002B1070">
        <w:rPr>
          <w:szCs w:val="18"/>
        </w:rPr>
        <w:t xml:space="preserve">Voir HCR, </w:t>
      </w:r>
      <w:r w:rsidRPr="002B1070">
        <w:rPr>
          <w:i/>
          <w:iCs/>
          <w:szCs w:val="18"/>
        </w:rPr>
        <w:t>UNHCR Eligibility Guidelines for Assessing the International Protection Needs of Asylum-Seekers from Eritrea</w:t>
      </w:r>
      <w:r w:rsidRPr="002B1070">
        <w:rPr>
          <w:iCs/>
          <w:szCs w:val="18"/>
        </w:rPr>
        <w:t xml:space="preserve"> (avril 2009)</w:t>
      </w:r>
      <w:r w:rsidRPr="002B1070">
        <w:rPr>
          <w:szCs w:val="18"/>
        </w:rPr>
        <w:t>: «Les insoumis/déserteurs seraient fréquemment victimes de torture…»</w:t>
      </w:r>
      <w:r>
        <w:rPr>
          <w:szCs w:val="18"/>
        </w:rPr>
        <w:t xml:space="preserve"> (p. 14)</w:t>
      </w:r>
      <w:r w:rsidRPr="002B1070">
        <w:rPr>
          <w:szCs w:val="18"/>
        </w:rPr>
        <w:t>; «Les Érythréens qui sont renvoyés de force risquent, selon plusieurs sources, d</w:t>
      </w:r>
      <w:r>
        <w:rPr>
          <w:szCs w:val="18"/>
        </w:rPr>
        <w:t>’</w:t>
      </w:r>
      <w:r w:rsidRPr="002B1070">
        <w:rPr>
          <w:szCs w:val="18"/>
        </w:rPr>
        <w:t>être arrêtés sans motif officiel, détenus, maltraités, torturés et même tués par les autorités. Ils seraient détenus au secret dans des cellules surpeuplées et insalubres, où ils ne reçoivent que très peu de soins, parfois pendant de longues périodes … Le HCR connaît au moins deux cas de demandeurs d</w:t>
      </w:r>
      <w:r>
        <w:rPr>
          <w:szCs w:val="18"/>
        </w:rPr>
        <w:t>’</w:t>
      </w:r>
      <w:r w:rsidRPr="002B1070">
        <w:rPr>
          <w:szCs w:val="18"/>
        </w:rPr>
        <w:t>asile érythréens qui sont arrivés au Soudan après avoir été expulsés d</w:t>
      </w:r>
      <w:r>
        <w:rPr>
          <w:szCs w:val="18"/>
        </w:rPr>
        <w:t>’</w:t>
      </w:r>
      <w:r w:rsidRPr="002B1070">
        <w:rPr>
          <w:szCs w:val="18"/>
        </w:rPr>
        <w:t>Égypte en juin</w:t>
      </w:r>
      <w:r>
        <w:rPr>
          <w:szCs w:val="18"/>
        </w:rPr>
        <w:t xml:space="preserve"> </w:t>
      </w:r>
      <w:r w:rsidRPr="002B1070">
        <w:rPr>
          <w:szCs w:val="18"/>
        </w:rPr>
        <w:t>2008. Des Érythréens renvoyés de Malte en 2002 et de Libye en 2004 ont été arrêtés à leur arrivée en Érythrée et torturés. Ils ont été incarcérés dans deux prisons situées sur l</w:t>
      </w:r>
      <w:r>
        <w:rPr>
          <w:szCs w:val="18"/>
        </w:rPr>
        <w:t>’</w:t>
      </w:r>
      <w:r w:rsidRPr="002B1070">
        <w:rPr>
          <w:szCs w:val="18"/>
        </w:rPr>
        <w:t>île de Dahlak et sur la côte de la mer Rouge, où la plupart seraient toujours détenus au secret. Selon certaines sourc</w:t>
      </w:r>
      <w:r>
        <w:rPr>
          <w:szCs w:val="18"/>
        </w:rPr>
        <w:t xml:space="preserve">es non vérifiées, certains des </w:t>
      </w:r>
      <w:r w:rsidRPr="002B1070">
        <w:rPr>
          <w:szCs w:val="18"/>
        </w:rPr>
        <w:t>Érythréens renvoyés de Malte auraient même été tués. Une demandeuse d</w:t>
      </w:r>
      <w:r>
        <w:rPr>
          <w:szCs w:val="18"/>
        </w:rPr>
        <w:t>’</w:t>
      </w:r>
      <w:r w:rsidRPr="002B1070">
        <w:rPr>
          <w:szCs w:val="18"/>
        </w:rPr>
        <w:t>asile déboutée et renvoyée par le Royaume-Uni a également été arrêtée par les autorités érythréennes à son arrivée. Deux demandeurs d</w:t>
      </w:r>
      <w:r>
        <w:rPr>
          <w:szCs w:val="18"/>
        </w:rPr>
        <w:t>’</w:t>
      </w:r>
      <w:r w:rsidRPr="002B1070">
        <w:rPr>
          <w:szCs w:val="18"/>
        </w:rPr>
        <w:t>asile déboutés et renvoyés le 14</w:t>
      </w:r>
      <w:r>
        <w:rPr>
          <w:szCs w:val="18"/>
        </w:rPr>
        <w:t xml:space="preserve"> mai </w:t>
      </w:r>
      <w:r w:rsidRPr="002B1070">
        <w:rPr>
          <w:szCs w:val="18"/>
        </w:rPr>
        <w:t>2008 par le</w:t>
      </w:r>
      <w:r>
        <w:rPr>
          <w:szCs w:val="18"/>
        </w:rPr>
        <w:t xml:space="preserve"> </w:t>
      </w:r>
      <w:r w:rsidRPr="002B1070">
        <w:rPr>
          <w:szCs w:val="18"/>
        </w:rPr>
        <w:t>service allemand de l</w:t>
      </w:r>
      <w:r>
        <w:rPr>
          <w:szCs w:val="18"/>
        </w:rPr>
        <w:t>’</w:t>
      </w:r>
      <w:r w:rsidRPr="002B1070">
        <w:rPr>
          <w:szCs w:val="18"/>
        </w:rPr>
        <w:t>immigration auraient été arrêtés à leur arrivée à l</w:t>
      </w:r>
      <w:r>
        <w:rPr>
          <w:szCs w:val="18"/>
        </w:rPr>
        <w:t>’</w:t>
      </w:r>
      <w:r w:rsidRPr="002B1070">
        <w:rPr>
          <w:szCs w:val="18"/>
        </w:rPr>
        <w:t>aéroport d</w:t>
      </w:r>
      <w:r>
        <w:rPr>
          <w:szCs w:val="18"/>
        </w:rPr>
        <w:t>’</w:t>
      </w:r>
      <w:r w:rsidRPr="002B1070">
        <w:rPr>
          <w:szCs w:val="18"/>
        </w:rPr>
        <w:t>Asmara, en</w:t>
      </w:r>
      <w:r>
        <w:rPr>
          <w:szCs w:val="18"/>
        </w:rPr>
        <w:t xml:space="preserve"> </w:t>
      </w:r>
      <w:r w:rsidRPr="002B1070">
        <w:rPr>
          <w:szCs w:val="18"/>
        </w:rPr>
        <w:t>Érythrée et seraient actuellement détenus au secret; on craint qu</w:t>
      </w:r>
      <w:r>
        <w:rPr>
          <w:szCs w:val="18"/>
        </w:rPr>
        <w:t>’</w:t>
      </w:r>
      <w:r w:rsidRPr="002B1070">
        <w:rPr>
          <w:szCs w:val="18"/>
        </w:rPr>
        <w:t>ils ne soient exposés à la torture ou à d</w:t>
      </w:r>
      <w:r>
        <w:rPr>
          <w:szCs w:val="18"/>
        </w:rPr>
        <w:t>’</w:t>
      </w:r>
      <w:r w:rsidRPr="002B1070">
        <w:rPr>
          <w:szCs w:val="18"/>
        </w:rPr>
        <w:t>autres formes de mauvais traitements»</w:t>
      </w:r>
      <w:r>
        <w:rPr>
          <w:szCs w:val="18"/>
        </w:rPr>
        <w:t xml:space="preserve"> (p. 33 et 34</w:t>
      </w:r>
      <w:r w:rsidRPr="002B1070">
        <w:rPr>
          <w:szCs w:val="18"/>
        </w:rPr>
        <w:t>).</w:t>
      </w:r>
    </w:p>
  </w:footnote>
  <w:footnote w:id="30">
    <w:p w:rsidR="00AA3A41" w:rsidRPr="00F76345" w:rsidRDefault="00AA3A41" w:rsidP="00F439F5">
      <w:pPr>
        <w:pStyle w:val="FootnoteText"/>
      </w:pPr>
      <w:r>
        <w:tab/>
      </w:r>
      <w:r>
        <w:rPr>
          <w:rStyle w:val="FootnoteReference"/>
        </w:rPr>
        <w:footnoteRef/>
      </w:r>
      <w:r w:rsidRPr="00F76345">
        <w:tab/>
      </w:r>
      <w:r>
        <w:t xml:space="preserve">Voir HCR, «Guidelines on international protection No. 10: Claims to refugee status related to military service within the context of article 1A (2) of the 1951 Convention and/or the 1967 Protocol relating to the Status of Refugees» (HCR/GIP/13/10) (2013) (Principes directeurs sur la protection internationale </w:t>
      </w:r>
      <w:r w:rsidR="00362131" w:rsidRPr="00C14D2A">
        <w:t>n</w:t>
      </w:r>
      <w:r w:rsidR="00362131" w:rsidRPr="00C14D2A">
        <w:rPr>
          <w:vertAlign w:val="superscript"/>
        </w:rPr>
        <w:t>o</w:t>
      </w:r>
      <w:r w:rsidR="00362131">
        <w:t> </w:t>
      </w:r>
      <w:r>
        <w:t>10: les demandes de statut de réfugié liées au service militaire au regard de l’article premier, section A 2) de la Convention de 1951 et/ou du Protocole de 1967 relatifs au statut des réfugiés)</w:t>
      </w:r>
      <w:r w:rsidRPr="00F76345">
        <w:t>.</w:t>
      </w:r>
    </w:p>
  </w:footnote>
  <w:footnote w:id="31">
    <w:p w:rsidR="00AA3A41" w:rsidRPr="00817B30" w:rsidRDefault="00AA3A41" w:rsidP="00F439F5">
      <w:pPr>
        <w:pStyle w:val="FootnoteText"/>
      </w:pPr>
      <w:r w:rsidRPr="00F76345">
        <w:tab/>
      </w:r>
      <w:r>
        <w:rPr>
          <w:rStyle w:val="FootnoteReference"/>
        </w:rPr>
        <w:footnoteRef/>
      </w:r>
      <w:r w:rsidRPr="00817B30">
        <w:tab/>
      </w:r>
      <w:r>
        <w:t xml:space="preserve">Voir </w:t>
      </w:r>
      <w:r w:rsidRPr="00F600F5">
        <w:rPr>
          <w:i/>
        </w:rPr>
        <w:t>ibid</w:t>
      </w:r>
      <w:r>
        <w:t xml:space="preserve">., par. 2, qui explique que les principes directeurs sur les demandes de statut de réfugié liées au service militaire ne traitent pas la question de l’application des clauses d’exclusion, qui «devront être correctement évaluées» (citant les «Principes directeurs du HCR sur la protection internationale </w:t>
      </w:r>
      <w:r w:rsidR="00362131" w:rsidRPr="00C14D2A">
        <w:t>n</w:t>
      </w:r>
      <w:r w:rsidR="00362131" w:rsidRPr="00C14D2A">
        <w:rPr>
          <w:vertAlign w:val="superscript"/>
        </w:rPr>
        <w:t>o</w:t>
      </w:r>
      <w:r w:rsidR="00362131">
        <w:t> </w:t>
      </w:r>
      <w:r>
        <w:t>5: Application des clauses d’exclusion: Article 1F de la Convention de 1951 relative au statut des réfugiés» (HCR/GIP/03/05) (2003).</w:t>
      </w:r>
    </w:p>
  </w:footnote>
  <w:footnote w:id="32">
    <w:p w:rsidR="00AA3A41" w:rsidRPr="00817B30" w:rsidRDefault="00AA3A41" w:rsidP="00F439F5">
      <w:pPr>
        <w:pStyle w:val="FootnoteText"/>
      </w:pPr>
      <w:r w:rsidRPr="00817B30">
        <w:tab/>
      </w:r>
      <w:r>
        <w:rPr>
          <w:rStyle w:val="FootnoteReference"/>
        </w:rPr>
        <w:footnoteRef/>
      </w:r>
      <w:r w:rsidRPr="00817B30">
        <w:tab/>
      </w:r>
      <w:r w:rsidRPr="00817B30">
        <w:rPr>
          <w:lang w:val="fr-FR"/>
        </w:rPr>
        <w:t xml:space="preserve">Plus précisément, </w:t>
      </w:r>
      <w:r>
        <w:t>le paragraphe 2 de l’article </w:t>
      </w:r>
      <w:r w:rsidRPr="00817B30">
        <w:rPr>
          <w:lang w:val="fr-FR"/>
        </w:rPr>
        <w:t xml:space="preserve">33 interdit </w:t>
      </w:r>
      <w:r>
        <w:t>de faire bénéficier</w:t>
      </w:r>
      <w:r w:rsidRPr="00817B30">
        <w:rPr>
          <w:lang w:val="fr-FR"/>
        </w:rPr>
        <w:t xml:space="preserve"> de l</w:t>
      </w:r>
      <w:r>
        <w:t>’</w:t>
      </w:r>
      <w:r w:rsidRPr="00817B30">
        <w:rPr>
          <w:lang w:val="fr-FR"/>
        </w:rPr>
        <w:t xml:space="preserve">interdiction </w:t>
      </w:r>
      <w:r>
        <w:t>de refoulement</w:t>
      </w:r>
      <w:r w:rsidRPr="00817B30">
        <w:rPr>
          <w:lang w:val="fr-FR"/>
        </w:rPr>
        <w:t xml:space="preserve"> </w:t>
      </w:r>
      <w:r>
        <w:t xml:space="preserve">prévue au paragraphe 1 du même </w:t>
      </w:r>
      <w:r w:rsidRPr="00817B30">
        <w:rPr>
          <w:lang w:val="fr-FR"/>
        </w:rPr>
        <w:t xml:space="preserve">article «un réfugié </w:t>
      </w:r>
      <w:r>
        <w:rPr>
          <w:lang w:val="fr-FR"/>
        </w:rPr>
        <w:t>qu’</w:t>
      </w:r>
      <w:r>
        <w:t xml:space="preserve">il y aura </w:t>
      </w:r>
      <w:r w:rsidRPr="004D3478">
        <w:t>des raisons sérieuses de considérer comme un danger pour la sécurité du pays où il se trouve ou qui, ayant été l</w:t>
      </w:r>
      <w:r>
        <w:t>’</w:t>
      </w:r>
      <w:r w:rsidRPr="004D3478">
        <w:t>objet d</w:t>
      </w:r>
      <w:r>
        <w:t>’</w:t>
      </w:r>
      <w:r w:rsidRPr="004D3478">
        <w:t>une condamnation définitive pour un crime ou délit particulièrement grave, constitue une menace pour la communauté dudit pays</w:t>
      </w:r>
      <w:r>
        <w:t>»</w:t>
      </w:r>
      <w:r w:rsidRPr="00817B30">
        <w:t>.</w:t>
      </w:r>
    </w:p>
  </w:footnote>
  <w:footnote w:id="33">
    <w:p w:rsidR="00AA3A41" w:rsidRPr="00817B30" w:rsidRDefault="00AA3A41" w:rsidP="00F439F5">
      <w:pPr>
        <w:pStyle w:val="FootnoteText"/>
      </w:pPr>
      <w:r w:rsidRPr="00817B30">
        <w:tab/>
      </w:r>
      <w:r>
        <w:rPr>
          <w:rStyle w:val="FootnoteReference"/>
        </w:rPr>
        <w:footnoteRef/>
      </w:r>
      <w:r w:rsidRPr="00817B30">
        <w:tab/>
      </w:r>
      <w:r>
        <w:t>Je laisse de côté ici le fait que la Convention relative au statut des réfugiés exige également que la crainte de persécution soit fondée sur les motifs qu’elle énumère, à savoir la race, la religion, la nationalité, les opinions politiques ou l’appartenance à un certain groupe social</w:t>
      </w:r>
      <w:r w:rsidRPr="00817B30">
        <w:t>.</w:t>
      </w:r>
    </w:p>
  </w:footnote>
  <w:footnote w:id="34">
    <w:p w:rsidR="00AA3A41" w:rsidRPr="00F76345" w:rsidRDefault="00AA3A41" w:rsidP="00F439F5">
      <w:pPr>
        <w:pStyle w:val="FootnoteText"/>
        <w:rPr>
          <w:lang w:val="en-GB"/>
        </w:rPr>
      </w:pPr>
      <w:r w:rsidRPr="00817B30">
        <w:tab/>
      </w:r>
      <w:r>
        <w:rPr>
          <w:rStyle w:val="FootnoteReference"/>
        </w:rPr>
        <w:footnoteRef/>
      </w:r>
      <w:r w:rsidRPr="00F76345">
        <w:tab/>
      </w:r>
      <w:r>
        <w:t xml:space="preserve">Voir les communications </w:t>
      </w:r>
      <w:r w:rsidR="00362131" w:rsidRPr="00C14D2A">
        <w:t>n</w:t>
      </w:r>
      <w:r w:rsidR="00362131" w:rsidRPr="00C14D2A">
        <w:rPr>
          <w:vertAlign w:val="superscript"/>
        </w:rPr>
        <w:t>o</w:t>
      </w:r>
      <w:r w:rsidR="00362131">
        <w:t> </w:t>
      </w:r>
      <w:r>
        <w:t xml:space="preserve">694/1996, </w:t>
      </w:r>
      <w:r w:rsidRPr="00F76345">
        <w:rPr>
          <w:i/>
        </w:rPr>
        <w:t>Waldman</w:t>
      </w:r>
      <w:r>
        <w:t xml:space="preserve"> c. </w:t>
      </w:r>
      <w:r w:rsidRPr="00F76345">
        <w:rPr>
          <w:i/>
        </w:rPr>
        <w:t>Canada</w:t>
      </w:r>
      <w:r>
        <w:t xml:space="preserve">, constatations adoptées le 3 novembre 1999; 1155/2003, </w:t>
      </w:r>
      <w:r w:rsidRPr="00F76345">
        <w:rPr>
          <w:i/>
        </w:rPr>
        <w:t>Leirvåg</w:t>
      </w:r>
      <w:r>
        <w:t xml:space="preserve"> c. </w:t>
      </w:r>
      <w:r w:rsidRPr="00F76345">
        <w:rPr>
          <w:i/>
        </w:rPr>
        <w:t>Norvège</w:t>
      </w:r>
      <w:r>
        <w:t xml:space="preserve">, constatations adoptées le 3 novembre 2004; 1852/2008, </w:t>
      </w:r>
      <w:r w:rsidRPr="00F76345">
        <w:rPr>
          <w:i/>
        </w:rPr>
        <w:t>Bikramjit Singh</w:t>
      </w:r>
      <w:r>
        <w:t xml:space="preserve"> c. </w:t>
      </w:r>
      <w:r w:rsidRPr="00F76345">
        <w:rPr>
          <w:i/>
        </w:rPr>
        <w:t>France</w:t>
      </w:r>
      <w:r>
        <w:t>, constatations adoptées le 1</w:t>
      </w:r>
      <w:r w:rsidRPr="00F76345">
        <w:rPr>
          <w:vertAlign w:val="superscript"/>
        </w:rPr>
        <w:t>er</w:t>
      </w:r>
      <w:r>
        <w:t xml:space="preserve"> novembre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41" w:rsidRPr="00E744B4" w:rsidRDefault="00AA3A41">
    <w:pPr>
      <w:pStyle w:val="Header"/>
    </w:pPr>
    <w:r>
      <w:t>CCPR/C/110/D/2007/2010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41" w:rsidRPr="00E744B4" w:rsidRDefault="00AA3A41" w:rsidP="00E744B4">
    <w:pPr>
      <w:pStyle w:val="Header"/>
      <w:jc w:val="right"/>
    </w:pPr>
    <w:r>
      <w:t>CCPR/C/110/D/2007/2010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1BAD"/>
    <w:rsid w:val="00054EE9"/>
    <w:rsid w:val="00065ECB"/>
    <w:rsid w:val="0007545B"/>
    <w:rsid w:val="000C461C"/>
    <w:rsid w:val="000D680E"/>
    <w:rsid w:val="000F41F2"/>
    <w:rsid w:val="00103C1A"/>
    <w:rsid w:val="00143AF1"/>
    <w:rsid w:val="00160540"/>
    <w:rsid w:val="00163FD1"/>
    <w:rsid w:val="00192EEB"/>
    <w:rsid w:val="001A20FB"/>
    <w:rsid w:val="001A51A8"/>
    <w:rsid w:val="001A723B"/>
    <w:rsid w:val="001C53E1"/>
    <w:rsid w:val="001E3FEB"/>
    <w:rsid w:val="001E4A02"/>
    <w:rsid w:val="001F4675"/>
    <w:rsid w:val="0023102D"/>
    <w:rsid w:val="00233846"/>
    <w:rsid w:val="002659F1"/>
    <w:rsid w:val="00287E79"/>
    <w:rsid w:val="002928F9"/>
    <w:rsid w:val="002A5D07"/>
    <w:rsid w:val="002A7B15"/>
    <w:rsid w:val="002E6F8C"/>
    <w:rsid w:val="002F407A"/>
    <w:rsid w:val="003016B7"/>
    <w:rsid w:val="0034214E"/>
    <w:rsid w:val="003515AA"/>
    <w:rsid w:val="0035693D"/>
    <w:rsid w:val="00362131"/>
    <w:rsid w:val="0036726B"/>
    <w:rsid w:val="00374106"/>
    <w:rsid w:val="003976D5"/>
    <w:rsid w:val="003A14F1"/>
    <w:rsid w:val="003B4CBD"/>
    <w:rsid w:val="003B6A72"/>
    <w:rsid w:val="003C6783"/>
    <w:rsid w:val="003C77CF"/>
    <w:rsid w:val="003D6C68"/>
    <w:rsid w:val="003E5291"/>
    <w:rsid w:val="003F2D41"/>
    <w:rsid w:val="003F3055"/>
    <w:rsid w:val="00414794"/>
    <w:rsid w:val="004159D0"/>
    <w:rsid w:val="004460A3"/>
    <w:rsid w:val="00455974"/>
    <w:rsid w:val="00457435"/>
    <w:rsid w:val="00481EC5"/>
    <w:rsid w:val="00497C34"/>
    <w:rsid w:val="004E6FFF"/>
    <w:rsid w:val="004F2C80"/>
    <w:rsid w:val="00541DDE"/>
    <w:rsid w:val="00571F41"/>
    <w:rsid w:val="00572B3F"/>
    <w:rsid w:val="005753C4"/>
    <w:rsid w:val="005757D2"/>
    <w:rsid w:val="00584216"/>
    <w:rsid w:val="005A0AF5"/>
    <w:rsid w:val="005A0EF0"/>
    <w:rsid w:val="005A3ACA"/>
    <w:rsid w:val="005B01E9"/>
    <w:rsid w:val="005C73E1"/>
    <w:rsid w:val="005D29C8"/>
    <w:rsid w:val="005E5D1F"/>
    <w:rsid w:val="00612D48"/>
    <w:rsid w:val="00616B45"/>
    <w:rsid w:val="006312C9"/>
    <w:rsid w:val="00631953"/>
    <w:rsid w:val="00642728"/>
    <w:rsid w:val="006439EC"/>
    <w:rsid w:val="00644659"/>
    <w:rsid w:val="00650E01"/>
    <w:rsid w:val="00663CB6"/>
    <w:rsid w:val="00675ACB"/>
    <w:rsid w:val="00676F17"/>
    <w:rsid w:val="006923B4"/>
    <w:rsid w:val="006959F5"/>
    <w:rsid w:val="006B1379"/>
    <w:rsid w:val="006B4590"/>
    <w:rsid w:val="006B4804"/>
    <w:rsid w:val="006C340C"/>
    <w:rsid w:val="006D4E6F"/>
    <w:rsid w:val="006D69DF"/>
    <w:rsid w:val="0070347C"/>
    <w:rsid w:val="00735076"/>
    <w:rsid w:val="00757D82"/>
    <w:rsid w:val="0076401E"/>
    <w:rsid w:val="007655E6"/>
    <w:rsid w:val="007829EA"/>
    <w:rsid w:val="007A6548"/>
    <w:rsid w:val="007B0586"/>
    <w:rsid w:val="007C59BA"/>
    <w:rsid w:val="007D66A3"/>
    <w:rsid w:val="00817A26"/>
    <w:rsid w:val="008433B5"/>
    <w:rsid w:val="00844750"/>
    <w:rsid w:val="00862CCC"/>
    <w:rsid w:val="00880372"/>
    <w:rsid w:val="00882085"/>
    <w:rsid w:val="00886128"/>
    <w:rsid w:val="00886D12"/>
    <w:rsid w:val="008B7F10"/>
    <w:rsid w:val="008E1B41"/>
    <w:rsid w:val="008E7FAE"/>
    <w:rsid w:val="009033FB"/>
    <w:rsid w:val="00911BF7"/>
    <w:rsid w:val="0092636E"/>
    <w:rsid w:val="0093109B"/>
    <w:rsid w:val="009717AD"/>
    <w:rsid w:val="00977EC8"/>
    <w:rsid w:val="009C3909"/>
    <w:rsid w:val="009D3A8C"/>
    <w:rsid w:val="009E7956"/>
    <w:rsid w:val="009F7F79"/>
    <w:rsid w:val="00A126CA"/>
    <w:rsid w:val="00A14F00"/>
    <w:rsid w:val="00A23B55"/>
    <w:rsid w:val="00A2492E"/>
    <w:rsid w:val="00A73631"/>
    <w:rsid w:val="00A821B8"/>
    <w:rsid w:val="00A85799"/>
    <w:rsid w:val="00AA3A41"/>
    <w:rsid w:val="00AC2A67"/>
    <w:rsid w:val="00AC7977"/>
    <w:rsid w:val="00AD41FE"/>
    <w:rsid w:val="00AE2643"/>
    <w:rsid w:val="00AE352C"/>
    <w:rsid w:val="00B00515"/>
    <w:rsid w:val="00B0649A"/>
    <w:rsid w:val="00B16B67"/>
    <w:rsid w:val="00B22B0B"/>
    <w:rsid w:val="00B32E2D"/>
    <w:rsid w:val="00B37D92"/>
    <w:rsid w:val="00B421B2"/>
    <w:rsid w:val="00B510C0"/>
    <w:rsid w:val="00B57784"/>
    <w:rsid w:val="00B61990"/>
    <w:rsid w:val="00B955CB"/>
    <w:rsid w:val="00B95D70"/>
    <w:rsid w:val="00BA1175"/>
    <w:rsid w:val="00BA29A2"/>
    <w:rsid w:val="00BA405E"/>
    <w:rsid w:val="00BB3246"/>
    <w:rsid w:val="00BB3FF8"/>
    <w:rsid w:val="00BB46FB"/>
    <w:rsid w:val="00BB6E96"/>
    <w:rsid w:val="00BD05BB"/>
    <w:rsid w:val="00BE0659"/>
    <w:rsid w:val="00BF0556"/>
    <w:rsid w:val="00C261F8"/>
    <w:rsid w:val="00C266C2"/>
    <w:rsid w:val="00C32849"/>
    <w:rsid w:val="00CB2BAF"/>
    <w:rsid w:val="00CB6686"/>
    <w:rsid w:val="00CB6C7A"/>
    <w:rsid w:val="00CC207F"/>
    <w:rsid w:val="00CC405E"/>
    <w:rsid w:val="00CD1A71"/>
    <w:rsid w:val="00CD1FBB"/>
    <w:rsid w:val="00CE3347"/>
    <w:rsid w:val="00D0026F"/>
    <w:rsid w:val="00D016B5"/>
    <w:rsid w:val="00D034F1"/>
    <w:rsid w:val="00D20FA9"/>
    <w:rsid w:val="00D221E6"/>
    <w:rsid w:val="00D27D5E"/>
    <w:rsid w:val="00D41315"/>
    <w:rsid w:val="00D61D26"/>
    <w:rsid w:val="00D652C8"/>
    <w:rsid w:val="00D71692"/>
    <w:rsid w:val="00D77E85"/>
    <w:rsid w:val="00D80BC5"/>
    <w:rsid w:val="00DB3741"/>
    <w:rsid w:val="00DB681C"/>
    <w:rsid w:val="00DC2F07"/>
    <w:rsid w:val="00DC6370"/>
    <w:rsid w:val="00DC75BA"/>
    <w:rsid w:val="00DE6D90"/>
    <w:rsid w:val="00DF002F"/>
    <w:rsid w:val="00DF5248"/>
    <w:rsid w:val="00DF5D80"/>
    <w:rsid w:val="00E0244D"/>
    <w:rsid w:val="00E10B1F"/>
    <w:rsid w:val="00E24896"/>
    <w:rsid w:val="00E5485D"/>
    <w:rsid w:val="00E66657"/>
    <w:rsid w:val="00E744B4"/>
    <w:rsid w:val="00E81E94"/>
    <w:rsid w:val="00E82607"/>
    <w:rsid w:val="00E849E1"/>
    <w:rsid w:val="00EA5BC9"/>
    <w:rsid w:val="00EB3164"/>
    <w:rsid w:val="00EC181F"/>
    <w:rsid w:val="00EF098D"/>
    <w:rsid w:val="00F25A5E"/>
    <w:rsid w:val="00F27514"/>
    <w:rsid w:val="00F439F5"/>
    <w:rsid w:val="00FA5A79"/>
    <w:rsid w:val="00FB0BFE"/>
    <w:rsid w:val="00FB33B3"/>
    <w:rsid w:val="00FB4C51"/>
    <w:rsid w:val="00FB4F81"/>
    <w:rsid w:val="00FB6A89"/>
    <w:rsid w:val="00FB7502"/>
    <w:rsid w:val="00FD13A9"/>
    <w:rsid w:val="00FD511F"/>
    <w:rsid w:val="00FE1C57"/>
    <w:rsid w:val="00FE6EBB"/>
    <w:rsid w:val="00FF1DBD"/>
    <w:rsid w:val="00FF4D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5E6"/>
    <w:pPr>
      <w:suppressAutoHyphens/>
      <w:spacing w:line="240" w:lineRule="atLeast"/>
    </w:pPr>
    <w:rPr>
      <w:lang w:val="fr-CH"/>
    </w:rPr>
  </w:style>
  <w:style w:type="paragraph" w:styleId="Heading1">
    <w:name w:val="heading 1"/>
    <w:aliases w:val="Table_G"/>
    <w:basedOn w:val="SingleTxtG"/>
    <w:next w:val="SingleTxtG"/>
    <w:qFormat/>
    <w:rsid w:val="007655E6"/>
    <w:pPr>
      <w:keepNext/>
      <w:keepLines/>
      <w:spacing w:after="0" w:line="240" w:lineRule="auto"/>
      <w:ind w:right="0"/>
      <w:jc w:val="left"/>
      <w:outlineLvl w:val="0"/>
    </w:pPr>
  </w:style>
  <w:style w:type="paragraph" w:styleId="Heading2">
    <w:name w:val="heading 2"/>
    <w:basedOn w:val="Normal"/>
    <w:next w:val="Normal"/>
    <w:qFormat/>
    <w:rsid w:val="007655E6"/>
    <w:pPr>
      <w:outlineLvl w:val="1"/>
    </w:pPr>
  </w:style>
  <w:style w:type="paragraph" w:styleId="Heading3">
    <w:name w:val="heading 3"/>
    <w:basedOn w:val="Normal"/>
    <w:next w:val="Normal"/>
    <w:qFormat/>
    <w:rsid w:val="007655E6"/>
    <w:pPr>
      <w:outlineLvl w:val="2"/>
    </w:pPr>
  </w:style>
  <w:style w:type="paragraph" w:styleId="Heading4">
    <w:name w:val="heading 4"/>
    <w:basedOn w:val="Normal"/>
    <w:next w:val="Normal"/>
    <w:qFormat/>
    <w:rsid w:val="007655E6"/>
    <w:pPr>
      <w:outlineLvl w:val="3"/>
    </w:pPr>
  </w:style>
  <w:style w:type="paragraph" w:styleId="Heading5">
    <w:name w:val="heading 5"/>
    <w:basedOn w:val="Normal"/>
    <w:next w:val="Normal"/>
    <w:qFormat/>
    <w:rsid w:val="007655E6"/>
    <w:pPr>
      <w:outlineLvl w:val="4"/>
    </w:pPr>
  </w:style>
  <w:style w:type="paragraph" w:styleId="Heading6">
    <w:name w:val="heading 6"/>
    <w:basedOn w:val="Normal"/>
    <w:next w:val="Normal"/>
    <w:qFormat/>
    <w:rsid w:val="007655E6"/>
    <w:pPr>
      <w:outlineLvl w:val="5"/>
    </w:pPr>
  </w:style>
  <w:style w:type="paragraph" w:styleId="Heading7">
    <w:name w:val="heading 7"/>
    <w:basedOn w:val="Normal"/>
    <w:next w:val="Normal"/>
    <w:qFormat/>
    <w:rsid w:val="007655E6"/>
    <w:pPr>
      <w:outlineLvl w:val="6"/>
    </w:pPr>
  </w:style>
  <w:style w:type="paragraph" w:styleId="Heading8">
    <w:name w:val="heading 8"/>
    <w:basedOn w:val="Normal"/>
    <w:next w:val="Normal"/>
    <w:qFormat/>
    <w:rsid w:val="007655E6"/>
    <w:pPr>
      <w:outlineLvl w:val="7"/>
    </w:pPr>
  </w:style>
  <w:style w:type="paragraph" w:styleId="Heading9">
    <w:name w:val="heading 9"/>
    <w:basedOn w:val="Normal"/>
    <w:next w:val="Normal"/>
    <w:qFormat/>
    <w:rsid w:val="007655E6"/>
    <w:pPr>
      <w:outlineLvl w:val="8"/>
    </w:pPr>
  </w:style>
  <w:style w:type="character" w:default="1" w:styleId="DefaultParagraphFont">
    <w:name w:val="Default Paragraph Font"/>
    <w:semiHidden/>
    <w:rsid w:val="007655E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655E6"/>
  </w:style>
  <w:style w:type="paragraph" w:customStyle="1" w:styleId="HMG">
    <w:name w:val="_ H __M_G"/>
    <w:basedOn w:val="Normal"/>
    <w:next w:val="Normal"/>
    <w:rsid w:val="007655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655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655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655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655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655E6"/>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655E6"/>
    <w:pPr>
      <w:spacing w:after="120"/>
      <w:ind w:left="1134" w:right="1134"/>
      <w:jc w:val="both"/>
    </w:pPr>
  </w:style>
  <w:style w:type="paragraph" w:customStyle="1" w:styleId="SLG">
    <w:name w:val="__S_L_G"/>
    <w:basedOn w:val="Normal"/>
    <w:next w:val="Normal"/>
    <w:rsid w:val="007655E6"/>
    <w:pPr>
      <w:keepNext/>
      <w:keepLines/>
      <w:spacing w:before="240" w:after="240" w:line="580" w:lineRule="exact"/>
      <w:ind w:left="1134" w:right="1134"/>
    </w:pPr>
    <w:rPr>
      <w:b/>
      <w:sz w:val="56"/>
    </w:rPr>
  </w:style>
  <w:style w:type="paragraph" w:customStyle="1" w:styleId="SMG">
    <w:name w:val="__S_M_G"/>
    <w:basedOn w:val="Normal"/>
    <w:next w:val="Normal"/>
    <w:rsid w:val="007655E6"/>
    <w:pPr>
      <w:keepNext/>
      <w:keepLines/>
      <w:spacing w:before="240" w:after="240" w:line="420" w:lineRule="exact"/>
      <w:ind w:left="1134" w:right="1134"/>
    </w:pPr>
    <w:rPr>
      <w:b/>
      <w:sz w:val="40"/>
    </w:rPr>
  </w:style>
  <w:style w:type="paragraph" w:customStyle="1" w:styleId="SSG">
    <w:name w:val="__S_S_G"/>
    <w:basedOn w:val="Normal"/>
    <w:next w:val="Normal"/>
    <w:rsid w:val="007655E6"/>
    <w:pPr>
      <w:keepNext/>
      <w:keepLines/>
      <w:spacing w:before="240" w:after="240" w:line="300" w:lineRule="exact"/>
      <w:ind w:left="1134" w:right="1134"/>
    </w:pPr>
    <w:rPr>
      <w:b/>
      <w:sz w:val="28"/>
    </w:rPr>
  </w:style>
  <w:style w:type="paragraph" w:customStyle="1" w:styleId="XLargeG">
    <w:name w:val="__XLarge_G"/>
    <w:basedOn w:val="Normal"/>
    <w:next w:val="Normal"/>
    <w:rsid w:val="007655E6"/>
    <w:pPr>
      <w:keepNext/>
      <w:keepLines/>
      <w:spacing w:before="240" w:after="240" w:line="420" w:lineRule="exact"/>
      <w:ind w:left="1134" w:right="1134"/>
    </w:pPr>
    <w:rPr>
      <w:b/>
      <w:sz w:val="40"/>
    </w:rPr>
  </w:style>
  <w:style w:type="paragraph" w:customStyle="1" w:styleId="Bullet1G">
    <w:name w:val="_Bullet 1_G"/>
    <w:basedOn w:val="Normal"/>
    <w:rsid w:val="007655E6"/>
    <w:pPr>
      <w:numPr>
        <w:numId w:val="1"/>
      </w:numPr>
      <w:spacing w:after="120"/>
      <w:ind w:right="1134"/>
      <w:jc w:val="both"/>
    </w:pPr>
  </w:style>
  <w:style w:type="paragraph" w:customStyle="1" w:styleId="Bullet2G">
    <w:name w:val="_Bullet 2_G"/>
    <w:basedOn w:val="Normal"/>
    <w:rsid w:val="007655E6"/>
    <w:pPr>
      <w:numPr>
        <w:numId w:val="2"/>
      </w:numPr>
      <w:spacing w:after="120"/>
      <w:ind w:right="1134"/>
      <w:jc w:val="both"/>
    </w:pPr>
  </w:style>
  <w:style w:type="character" w:styleId="FootnoteReference">
    <w:name w:val="footnote reference"/>
    <w:aliases w:val="4_G"/>
    <w:basedOn w:val="DefaultParagraphFont"/>
    <w:rsid w:val="007655E6"/>
    <w:rPr>
      <w:rFonts w:ascii="Times New Roman" w:hAnsi="Times New Roman"/>
      <w:sz w:val="18"/>
      <w:vertAlign w:val="superscript"/>
      <w:lang w:val="fr-CH"/>
    </w:rPr>
  </w:style>
  <w:style w:type="character" w:styleId="EndnoteReference">
    <w:name w:val="endnote reference"/>
    <w:aliases w:val="1_G"/>
    <w:basedOn w:val="FootnoteReference"/>
    <w:rsid w:val="007655E6"/>
  </w:style>
  <w:style w:type="paragraph" w:styleId="FootnoteText">
    <w:name w:val="footnote text"/>
    <w:aliases w:val="5_G"/>
    <w:basedOn w:val="Normal"/>
    <w:rsid w:val="007655E6"/>
    <w:pPr>
      <w:tabs>
        <w:tab w:val="right" w:pos="1021"/>
      </w:tabs>
      <w:spacing w:line="220" w:lineRule="exact"/>
      <w:ind w:left="1134" w:right="1134" w:hanging="1134"/>
    </w:pPr>
    <w:rPr>
      <w:sz w:val="18"/>
    </w:rPr>
  </w:style>
  <w:style w:type="paragraph" w:styleId="EndnoteText">
    <w:name w:val="endnote text"/>
    <w:aliases w:val="2_G"/>
    <w:basedOn w:val="FootnoteText"/>
    <w:rsid w:val="007655E6"/>
  </w:style>
  <w:style w:type="character" w:styleId="PageNumber">
    <w:name w:val="page number"/>
    <w:aliases w:val="7_G"/>
    <w:basedOn w:val="DefaultParagraphFont"/>
    <w:rsid w:val="007655E6"/>
    <w:rPr>
      <w:rFonts w:ascii="Times New Roman" w:hAnsi="Times New Roman"/>
      <w:b/>
      <w:sz w:val="18"/>
      <w:lang w:val="fr-CH"/>
    </w:rPr>
  </w:style>
  <w:style w:type="paragraph" w:styleId="Footer">
    <w:name w:val="footer"/>
    <w:aliases w:val="3_G"/>
    <w:basedOn w:val="Normal"/>
    <w:next w:val="Normal"/>
    <w:rsid w:val="007655E6"/>
    <w:pPr>
      <w:spacing w:line="240" w:lineRule="auto"/>
    </w:pPr>
    <w:rPr>
      <w:sz w:val="16"/>
    </w:rPr>
  </w:style>
  <w:style w:type="paragraph" w:customStyle="1" w:styleId="ParNoG">
    <w:name w:val="_ParNo_G"/>
    <w:basedOn w:val="SingleTxtG"/>
    <w:rsid w:val="007655E6"/>
    <w:pPr>
      <w:numPr>
        <w:numId w:val="3"/>
      </w:numPr>
    </w:pPr>
  </w:style>
  <w:style w:type="paragraph" w:styleId="Header">
    <w:name w:val="header"/>
    <w:aliases w:val="6_G"/>
    <w:basedOn w:val="Normal"/>
    <w:next w:val="Normal"/>
    <w:rsid w:val="007655E6"/>
    <w:pPr>
      <w:pBdr>
        <w:bottom w:val="single" w:sz="4" w:space="4" w:color="auto"/>
      </w:pBdr>
      <w:spacing w:line="240" w:lineRule="auto"/>
    </w:pPr>
    <w:rPr>
      <w:b/>
      <w:sz w:val="18"/>
    </w:rPr>
  </w:style>
  <w:style w:type="table" w:styleId="TableGrid">
    <w:name w:val="Table Grid"/>
    <w:basedOn w:val="TableNormal"/>
    <w:semiHidden/>
    <w:rsid w:val="007655E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7655E6"/>
    <w:rPr>
      <w:color w:val="auto"/>
      <w:u w:val="none"/>
    </w:rPr>
  </w:style>
  <w:style w:type="character" w:styleId="FollowedHyperlink">
    <w:name w:val="FollowedHyperlink"/>
    <w:basedOn w:val="DefaultParagraphFont"/>
    <w:semiHidden/>
    <w:rsid w:val="007655E6"/>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fl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5302</Words>
  <Characters>28048</Characters>
  <Application>Microsoft Office Outlook</Application>
  <DocSecurity>4</DocSecurity>
  <Lines>445</Lines>
  <Paragraphs>119</Paragraphs>
  <ScaleCrop>false</ScaleCrop>
  <HeadingPairs>
    <vt:vector size="2" baseType="variant">
      <vt:variant>
        <vt:lpstr>Titre</vt:lpstr>
      </vt:variant>
      <vt:variant>
        <vt:i4>1</vt:i4>
      </vt:variant>
    </vt:vector>
  </HeadingPairs>
  <TitlesOfParts>
    <vt:vector size="1" baseType="lpstr">
      <vt:lpstr>CCPR/C/110/D/2007/2010</vt:lpstr>
    </vt:vector>
  </TitlesOfParts>
  <Company>CSD</Company>
  <LinksUpToDate>false</LinksUpToDate>
  <CharactersWithSpaces>33231</CharactersWithSpaces>
  <SharedDoc>false</SharedDoc>
  <HLinks>
    <vt:vector size="6" baseType="variant">
      <vt:variant>
        <vt:i4>6815865</vt:i4>
      </vt:variant>
      <vt:variant>
        <vt:i4>0</vt:i4>
      </vt:variant>
      <vt:variant>
        <vt:i4>0</vt:i4>
      </vt:variant>
      <vt:variant>
        <vt:i4>5</vt:i4>
      </vt:variant>
      <vt:variant>
        <vt:lpwstr>http://www.fln.dk/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CCPR/C/110/D/2007/2010</dc:title>
  <dc:subject>Final</dc:subject>
  <dc:creator>Beysard</dc:creator>
  <cp:keywords/>
  <dc:description/>
  <cp:lastModifiedBy>Beysard</cp:lastModifiedBy>
  <cp:revision>3</cp:revision>
  <cp:lastPrinted>2014-05-28T12:08:00Z</cp:lastPrinted>
  <dcterms:created xsi:type="dcterms:W3CDTF">2014-05-28T12:47:00Z</dcterms:created>
  <dcterms:modified xsi:type="dcterms:W3CDTF">2014-05-28T13:04:00Z</dcterms:modified>
</cp:coreProperties>
</file>