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proofErr w:type="spellStart"/>
            <w:r w:rsidRPr="000B4B07"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0B59D3">
                <w:t>C/112/D/2018/2010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224189" w:rsidP="00D76358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B61432" wp14:editId="53318599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797113">
              <w:fldChar w:fldCharType="separate"/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0B59D3">
              <w:rPr>
                <w:lang w:val="en-US"/>
              </w:rPr>
              <w:t>8 January 2015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797113">
              <w:fldChar w:fldCharType="separate"/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FD208D" w:rsidRPr="00FD208D" w:rsidRDefault="00FD208D" w:rsidP="00FD208D">
      <w:pPr>
        <w:pStyle w:val="SingleTxtGR"/>
        <w:spacing w:before="120" w:after="0"/>
        <w:ind w:left="0" w:right="0"/>
        <w:rPr>
          <w:b/>
          <w:bCs/>
          <w:sz w:val="24"/>
          <w:szCs w:val="24"/>
        </w:rPr>
      </w:pPr>
      <w:r w:rsidRPr="00FD208D">
        <w:rPr>
          <w:b/>
          <w:sz w:val="24"/>
          <w:szCs w:val="24"/>
        </w:rPr>
        <w:t>Комитет по правам человека</w:t>
      </w:r>
    </w:p>
    <w:p w:rsidR="00FD208D" w:rsidRPr="00FD208D" w:rsidRDefault="00FD208D" w:rsidP="00FE700F">
      <w:pPr>
        <w:pStyle w:val="HChGR"/>
      </w:pPr>
      <w:r w:rsidRPr="00FD208D">
        <w:tab/>
      </w:r>
      <w:r w:rsidRPr="00FD208D">
        <w:tab/>
        <w:t>Сообщение № 2018/2010</w:t>
      </w:r>
    </w:p>
    <w:p w:rsidR="00FD208D" w:rsidRPr="00DA3974" w:rsidRDefault="00FD208D" w:rsidP="00FE700F">
      <w:pPr>
        <w:pStyle w:val="H1GR"/>
      </w:pPr>
      <w:r w:rsidRPr="00FD208D">
        <w:tab/>
      </w:r>
      <w:r w:rsidRPr="00FD208D">
        <w:tab/>
        <w:t xml:space="preserve">Соображения, принятые Комитетом на </w:t>
      </w:r>
      <w:r w:rsidR="00B92C5E">
        <w:t>его</w:t>
      </w:r>
      <w:r w:rsidRPr="00FD208D">
        <w:t xml:space="preserve"> </w:t>
      </w:r>
      <w:r w:rsidR="00B92C5E">
        <w:t>112-й</w:t>
      </w:r>
      <w:r w:rsidRPr="00FD208D">
        <w:t xml:space="preserve"> сессии </w:t>
      </w:r>
      <w:r w:rsidR="00B92C5E">
        <w:br/>
      </w:r>
      <w:r w:rsidRPr="00FD208D">
        <w:t>(7</w:t>
      </w:r>
      <w:r w:rsidR="00FE700F" w:rsidRPr="00FE700F">
        <w:t>−</w:t>
      </w:r>
      <w:r w:rsidRPr="00FD208D">
        <w:t>31 октября 2014</w:t>
      </w:r>
      <w:r w:rsidR="00DA3974">
        <w:t> год</w:t>
      </w:r>
      <w:r w:rsidRPr="00FD208D">
        <w:t>а)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F066B8" w:rsidRPr="00B03EE9" w:rsidTr="00797113">
        <w:tc>
          <w:tcPr>
            <w:tcW w:w="3119" w:type="dxa"/>
            <w:shd w:val="clear" w:color="auto" w:fill="auto"/>
          </w:tcPr>
          <w:p w:rsidR="00F066B8" w:rsidRPr="00B03EE9" w:rsidRDefault="00F066B8" w:rsidP="00797113">
            <w:pPr>
              <w:suppressAutoHyphens/>
              <w:spacing w:after="120"/>
              <w:ind w:left="105"/>
              <w:rPr>
                <w:i/>
              </w:rPr>
            </w:pPr>
            <w:r w:rsidRPr="00B03EE9">
              <w:rPr>
                <w:i/>
              </w:rPr>
              <w:t>Представлено:</w:t>
            </w:r>
          </w:p>
        </w:tc>
        <w:tc>
          <w:tcPr>
            <w:tcW w:w="3685" w:type="dxa"/>
            <w:shd w:val="clear" w:color="auto" w:fill="auto"/>
          </w:tcPr>
          <w:p w:rsidR="00F066B8" w:rsidRPr="00B03EE9" w:rsidRDefault="00F066B8" w:rsidP="00694F8F">
            <w:pPr>
              <w:suppressAutoHyphens/>
              <w:spacing w:after="120"/>
            </w:pPr>
            <w:r w:rsidRPr="00F066B8">
              <w:t xml:space="preserve">Кедаром Чаулагайном </w:t>
            </w:r>
            <w:r w:rsidR="00B079D7">
              <w:br/>
            </w:r>
            <w:r w:rsidRPr="00F066B8">
              <w:t>(представлен адвокатами Мандирой Шарм</w:t>
            </w:r>
            <w:r w:rsidR="00694F8F">
              <w:t>ой</w:t>
            </w:r>
            <w:r w:rsidRPr="00F066B8">
              <w:t>, "Эдвокаси форум – Непал", и Карлой Ферстман, "Фонд возмещения")</w:t>
            </w:r>
          </w:p>
        </w:tc>
      </w:tr>
      <w:tr w:rsidR="00F066B8" w:rsidTr="00797113">
        <w:tc>
          <w:tcPr>
            <w:tcW w:w="3119" w:type="dxa"/>
            <w:shd w:val="clear" w:color="auto" w:fill="auto"/>
          </w:tcPr>
          <w:p w:rsidR="00F066B8" w:rsidRPr="00B03EE9" w:rsidRDefault="00F066B8" w:rsidP="00797113">
            <w:pPr>
              <w:suppressAutoHyphens/>
              <w:spacing w:after="120"/>
              <w:ind w:left="105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  <w:shd w:val="clear" w:color="auto" w:fill="auto"/>
          </w:tcPr>
          <w:p w:rsidR="00F066B8" w:rsidRDefault="00F066B8" w:rsidP="00797113">
            <w:pPr>
              <w:suppressAutoHyphens/>
              <w:spacing w:after="120"/>
            </w:pPr>
            <w:r w:rsidRPr="00F066B8">
              <w:t>автор и его покойная дочь Субхадра Чаулагайн</w:t>
            </w:r>
          </w:p>
        </w:tc>
      </w:tr>
      <w:tr w:rsidR="00F066B8" w:rsidTr="00797113">
        <w:tc>
          <w:tcPr>
            <w:tcW w:w="3119" w:type="dxa"/>
            <w:shd w:val="clear" w:color="auto" w:fill="auto"/>
          </w:tcPr>
          <w:p w:rsidR="00F066B8" w:rsidRPr="00B03EE9" w:rsidRDefault="00F066B8" w:rsidP="00797113">
            <w:pPr>
              <w:suppressAutoHyphens/>
              <w:spacing w:after="120"/>
              <w:ind w:left="10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685" w:type="dxa"/>
            <w:shd w:val="clear" w:color="auto" w:fill="auto"/>
          </w:tcPr>
          <w:p w:rsidR="00F066B8" w:rsidRDefault="00F066B8" w:rsidP="00797113">
            <w:pPr>
              <w:suppressAutoHyphens/>
              <w:spacing w:after="120"/>
            </w:pPr>
            <w:r w:rsidRPr="00F066B8">
              <w:t>Непал</w:t>
            </w:r>
          </w:p>
        </w:tc>
      </w:tr>
      <w:tr w:rsidR="00F066B8" w:rsidTr="00797113">
        <w:tc>
          <w:tcPr>
            <w:tcW w:w="3119" w:type="dxa"/>
            <w:shd w:val="clear" w:color="auto" w:fill="auto"/>
          </w:tcPr>
          <w:p w:rsidR="00F066B8" w:rsidRPr="00B03EE9" w:rsidRDefault="00F066B8" w:rsidP="00797113">
            <w:pPr>
              <w:suppressAutoHyphens/>
              <w:spacing w:after="120"/>
              <w:ind w:left="105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685" w:type="dxa"/>
            <w:shd w:val="clear" w:color="auto" w:fill="auto"/>
          </w:tcPr>
          <w:p w:rsidR="00F066B8" w:rsidRPr="002A4F6C" w:rsidRDefault="00F066B8" w:rsidP="00797113">
            <w:pPr>
              <w:suppressAutoHyphens/>
              <w:spacing w:after="120"/>
            </w:pPr>
            <w:r w:rsidRPr="00F066B8">
              <w:t>7 декабря 2010</w:t>
            </w:r>
            <w:r w:rsidR="00DA3974">
              <w:t> год</w:t>
            </w:r>
            <w:r w:rsidRPr="00F066B8">
              <w:t xml:space="preserve">а </w:t>
            </w:r>
            <w:r w:rsidR="00B079D7">
              <w:br/>
            </w:r>
            <w:r w:rsidRPr="00F066B8">
              <w:t>(первоначальное представление)</w:t>
            </w:r>
          </w:p>
        </w:tc>
      </w:tr>
      <w:tr w:rsidR="00F066B8" w:rsidTr="00797113">
        <w:tc>
          <w:tcPr>
            <w:tcW w:w="3119" w:type="dxa"/>
            <w:shd w:val="clear" w:color="auto" w:fill="auto"/>
          </w:tcPr>
          <w:p w:rsidR="00F066B8" w:rsidRPr="00B03EE9" w:rsidRDefault="00F066B8" w:rsidP="00797113">
            <w:pPr>
              <w:suppressAutoHyphens/>
              <w:spacing w:after="120"/>
              <w:ind w:left="105"/>
              <w:rPr>
                <w:i/>
              </w:rPr>
            </w:pPr>
            <w:r w:rsidRPr="00B03EE9">
              <w:rPr>
                <w:i/>
              </w:rPr>
              <w:t>Справочная документация:</w:t>
            </w:r>
          </w:p>
        </w:tc>
        <w:tc>
          <w:tcPr>
            <w:tcW w:w="3685" w:type="dxa"/>
            <w:shd w:val="clear" w:color="auto" w:fill="auto"/>
          </w:tcPr>
          <w:p w:rsidR="00F066B8" w:rsidRPr="00B079D7" w:rsidRDefault="00F066B8" w:rsidP="00797113">
            <w:pPr>
              <w:suppressAutoHyphens/>
              <w:spacing w:after="120"/>
            </w:pPr>
            <w:r w:rsidRPr="00F066B8">
              <w:t xml:space="preserve">решение Специального докладчика </w:t>
            </w:r>
            <w:r w:rsidR="00274A33">
              <w:br/>
            </w:r>
            <w:r w:rsidRPr="00F066B8">
              <w:t>в соответствии с правилом 97, препровожденное государству-участнику 22 декабря 2010</w:t>
            </w:r>
            <w:r w:rsidR="00DA3974">
              <w:t> год</w:t>
            </w:r>
            <w:r w:rsidRPr="00F066B8">
              <w:t xml:space="preserve">а </w:t>
            </w:r>
            <w:r w:rsidR="00B079D7">
              <w:br/>
            </w:r>
            <w:r w:rsidRPr="00F066B8">
              <w:t>(в виде документа не издавалось)</w:t>
            </w:r>
          </w:p>
          <w:p w:rsidR="00F066B8" w:rsidRPr="00F066B8" w:rsidRDefault="00F066B8" w:rsidP="00200679">
            <w:pPr>
              <w:suppressAutoHyphens/>
              <w:spacing w:after="120"/>
            </w:pPr>
            <w:r w:rsidRPr="00F066B8">
              <w:t xml:space="preserve">решение Комитета о приемлемости </w:t>
            </w:r>
            <w:r w:rsidR="00274A33">
              <w:br/>
            </w:r>
            <w:r w:rsidRPr="00F066B8">
              <w:t>от 8</w:t>
            </w:r>
            <w:r w:rsidR="00200679">
              <w:t> </w:t>
            </w:r>
            <w:r w:rsidRPr="00F066B8">
              <w:t>марта 2012</w:t>
            </w:r>
            <w:r w:rsidR="00DA3974">
              <w:t> год</w:t>
            </w:r>
            <w:r w:rsidRPr="00F066B8">
              <w:t>а (CCPR/C/104/D/2018/2010)</w:t>
            </w:r>
          </w:p>
        </w:tc>
      </w:tr>
      <w:tr w:rsidR="00F066B8" w:rsidTr="00797113">
        <w:tc>
          <w:tcPr>
            <w:tcW w:w="3119" w:type="dxa"/>
            <w:shd w:val="clear" w:color="auto" w:fill="auto"/>
          </w:tcPr>
          <w:p w:rsidR="00F066B8" w:rsidRPr="00B03EE9" w:rsidRDefault="00F066B8" w:rsidP="00797113">
            <w:pPr>
              <w:suppressAutoHyphens/>
              <w:spacing w:after="120"/>
              <w:ind w:left="105"/>
              <w:rPr>
                <w:i/>
              </w:rPr>
            </w:pPr>
            <w:r w:rsidRPr="00B03EE9">
              <w:rPr>
                <w:i/>
              </w:rPr>
              <w:t xml:space="preserve">Дата принятия </w:t>
            </w:r>
            <w:r w:rsidR="00204780" w:rsidRPr="00B03EE9">
              <w:rPr>
                <w:i/>
              </w:rPr>
              <w:t>Соображений</w:t>
            </w:r>
            <w:r w:rsidRPr="00B03EE9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F066B8" w:rsidRDefault="00F066B8" w:rsidP="00797113">
            <w:pPr>
              <w:suppressAutoHyphens/>
              <w:spacing w:after="120"/>
            </w:pPr>
            <w:r w:rsidRPr="00F066B8">
              <w:t>28 октября 2014</w:t>
            </w:r>
            <w:r w:rsidR="00DA3974">
              <w:t> год</w:t>
            </w:r>
            <w:r w:rsidRPr="00F066B8">
              <w:t>а</w:t>
            </w:r>
          </w:p>
        </w:tc>
      </w:tr>
      <w:tr w:rsidR="00F066B8" w:rsidTr="00797113">
        <w:tc>
          <w:tcPr>
            <w:tcW w:w="3119" w:type="dxa"/>
            <w:shd w:val="clear" w:color="auto" w:fill="auto"/>
          </w:tcPr>
          <w:p w:rsidR="00F066B8" w:rsidRPr="00B03EE9" w:rsidRDefault="00F066B8" w:rsidP="00797113">
            <w:pPr>
              <w:suppressAutoHyphens/>
              <w:spacing w:after="120"/>
              <w:ind w:left="105"/>
              <w:rPr>
                <w:i/>
              </w:rPr>
            </w:pPr>
            <w:r w:rsidRPr="00B03EE9">
              <w:rPr>
                <w:i/>
                <w:iCs/>
              </w:rPr>
              <w:t>Тема сообщения:</w:t>
            </w:r>
          </w:p>
        </w:tc>
        <w:tc>
          <w:tcPr>
            <w:tcW w:w="3685" w:type="dxa"/>
            <w:shd w:val="clear" w:color="auto" w:fill="auto"/>
          </w:tcPr>
          <w:p w:rsidR="00F066B8" w:rsidRDefault="00F066B8" w:rsidP="009034FA">
            <w:pPr>
              <w:suppressAutoHyphens/>
              <w:spacing w:after="120"/>
            </w:pPr>
            <w:r w:rsidRPr="00F066B8">
              <w:t>произвольный арест и задержание, пытки, бесчеловечное и унижающее достоинство обращение и последующая внесудебная казнь девушки, подозрева</w:t>
            </w:r>
            <w:r w:rsidR="00694F8F">
              <w:t>вшейся</w:t>
            </w:r>
            <w:r w:rsidRPr="00F066B8">
              <w:t xml:space="preserve"> в том, что она явля</w:t>
            </w:r>
            <w:r w:rsidR="009034FA">
              <w:t>лась</w:t>
            </w:r>
            <w:r w:rsidRPr="00F066B8">
              <w:t xml:space="preserve"> членом Коммунистической партии (маоистской)</w:t>
            </w:r>
          </w:p>
        </w:tc>
      </w:tr>
      <w:tr w:rsidR="00F066B8" w:rsidTr="00797113">
        <w:tc>
          <w:tcPr>
            <w:tcW w:w="3119" w:type="dxa"/>
            <w:shd w:val="clear" w:color="auto" w:fill="auto"/>
          </w:tcPr>
          <w:p w:rsidR="00F066B8" w:rsidRPr="00B03EE9" w:rsidRDefault="004E706C" w:rsidP="004E706C">
            <w:pPr>
              <w:suppressAutoHyphens/>
              <w:spacing w:after="120"/>
              <w:ind w:left="105"/>
              <w:rPr>
                <w:i/>
                <w:iCs/>
              </w:rPr>
            </w:pPr>
            <w:r w:rsidRPr="00B03EE9">
              <w:rPr>
                <w:i/>
                <w:iCs/>
              </w:rPr>
              <w:lastRenderedPageBreak/>
              <w:t>Вопросы существа:</w:t>
            </w:r>
          </w:p>
        </w:tc>
        <w:tc>
          <w:tcPr>
            <w:tcW w:w="3685" w:type="dxa"/>
            <w:shd w:val="clear" w:color="auto" w:fill="auto"/>
          </w:tcPr>
          <w:p w:rsidR="00F066B8" w:rsidRDefault="00F066B8" w:rsidP="008F4529">
            <w:pPr>
              <w:suppressAutoHyphens/>
              <w:spacing w:after="120"/>
            </w:pPr>
            <w:r w:rsidRPr="00F066B8">
              <w:t>право на жизнь</w:t>
            </w:r>
            <w:r w:rsidR="008F4529">
              <w:t>;</w:t>
            </w:r>
            <w:r w:rsidRPr="00F066B8">
              <w:t xml:space="preserve"> запрет пыток и бесчеловечных или унижающих достоинство видов обращения и наказания; право на свободу и безопасность личности; уважение достоинства, присущего человеческой личности; право на эффективное средство правовой защиты; равная защита со стороны закона</w:t>
            </w:r>
          </w:p>
        </w:tc>
      </w:tr>
      <w:tr w:rsidR="00F066B8" w:rsidTr="00797113">
        <w:tc>
          <w:tcPr>
            <w:tcW w:w="3119" w:type="dxa"/>
            <w:shd w:val="clear" w:color="auto" w:fill="auto"/>
          </w:tcPr>
          <w:p w:rsidR="00F066B8" w:rsidRPr="00B03EE9" w:rsidRDefault="004E706C" w:rsidP="00797113">
            <w:pPr>
              <w:suppressAutoHyphens/>
              <w:spacing w:after="120"/>
              <w:ind w:left="105"/>
              <w:rPr>
                <w:i/>
                <w:iCs/>
              </w:rPr>
            </w:pPr>
            <w:r w:rsidRPr="00B03EE9">
              <w:rPr>
                <w:i/>
                <w:iCs/>
              </w:rPr>
              <w:t>Процедурные вопросы</w:t>
            </w:r>
            <w:r w:rsidRPr="00B03EE9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F066B8" w:rsidRDefault="008F2E47" w:rsidP="00797113">
            <w:pPr>
              <w:suppressAutoHyphens/>
              <w:spacing w:after="120"/>
            </w:pPr>
            <w:r w:rsidRPr="008F2E47">
              <w:t>неисчерпание внутренних сре</w:t>
            </w:r>
            <w:proofErr w:type="gramStart"/>
            <w:r w:rsidRPr="008F2E47">
              <w:t>дств пр</w:t>
            </w:r>
            <w:proofErr w:type="gramEnd"/>
            <w:r w:rsidRPr="008F2E47">
              <w:t>авовой защиты</w:t>
            </w:r>
          </w:p>
        </w:tc>
      </w:tr>
      <w:tr w:rsidR="00F066B8" w:rsidTr="00797113">
        <w:tc>
          <w:tcPr>
            <w:tcW w:w="3119" w:type="dxa"/>
            <w:shd w:val="clear" w:color="auto" w:fill="auto"/>
          </w:tcPr>
          <w:p w:rsidR="00F066B8" w:rsidRPr="00B03EE9" w:rsidRDefault="00F066B8" w:rsidP="00797113">
            <w:pPr>
              <w:suppressAutoHyphens/>
              <w:spacing w:after="120"/>
              <w:ind w:left="105"/>
              <w:rPr>
                <w:i/>
                <w:iCs/>
              </w:rPr>
            </w:pPr>
            <w:r w:rsidRPr="00B03EE9">
              <w:rPr>
                <w:i/>
                <w:iCs/>
              </w:rPr>
              <w:t>Статьи Пакта</w:t>
            </w:r>
            <w:r w:rsidRPr="00B03EE9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F066B8" w:rsidRDefault="008F2E47" w:rsidP="008F4529">
            <w:pPr>
              <w:suppressAutoHyphens/>
              <w:spacing w:after="120"/>
            </w:pPr>
            <w:r w:rsidRPr="008F2E47">
              <w:t>2</w:t>
            </w:r>
            <w:r w:rsidR="008F4529">
              <w:t xml:space="preserve"> (</w:t>
            </w:r>
            <w:r w:rsidRPr="008F2E47">
              <w:t>пункт 3</w:t>
            </w:r>
            <w:r w:rsidR="008F4529">
              <w:t>)</w:t>
            </w:r>
            <w:r w:rsidRPr="008F2E47">
              <w:t>, в сочетании со статьями 6, 7, 8, 9, 10 и 26</w:t>
            </w:r>
          </w:p>
        </w:tc>
      </w:tr>
      <w:tr w:rsidR="00F066B8" w:rsidTr="00797113">
        <w:tc>
          <w:tcPr>
            <w:tcW w:w="3119" w:type="dxa"/>
            <w:shd w:val="clear" w:color="auto" w:fill="auto"/>
          </w:tcPr>
          <w:p w:rsidR="00F066B8" w:rsidRPr="00B03EE9" w:rsidRDefault="00F066B8" w:rsidP="00797113">
            <w:pPr>
              <w:suppressAutoHyphens/>
              <w:spacing w:after="120"/>
              <w:ind w:left="105"/>
              <w:rPr>
                <w:i/>
                <w:iCs/>
              </w:rPr>
            </w:pPr>
            <w:r w:rsidRPr="00B03EE9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685" w:type="dxa"/>
            <w:shd w:val="clear" w:color="auto" w:fill="auto"/>
          </w:tcPr>
          <w:p w:rsidR="00F066B8" w:rsidRDefault="008F2E47" w:rsidP="00797113">
            <w:pPr>
              <w:suppressAutoHyphens/>
              <w:spacing w:after="120"/>
            </w:pPr>
            <w:r w:rsidRPr="008F2E47">
              <w:t>2 и 5 (пункт 2 b))</w:t>
            </w:r>
          </w:p>
        </w:tc>
      </w:tr>
    </w:tbl>
    <w:p w:rsidR="00FD208D" w:rsidRPr="00FD208D" w:rsidRDefault="00FD208D" w:rsidP="00C16129">
      <w:pPr>
        <w:pStyle w:val="HChGR"/>
      </w:pPr>
      <w:r w:rsidRPr="00FD208D">
        <w:br w:type="page"/>
      </w:r>
      <w:r w:rsidRPr="00FD208D">
        <w:lastRenderedPageBreak/>
        <w:t>Приложение</w:t>
      </w:r>
    </w:p>
    <w:p w:rsidR="00FD208D" w:rsidRPr="00FD208D" w:rsidRDefault="00FD208D" w:rsidP="00C16129">
      <w:pPr>
        <w:pStyle w:val="H1GR"/>
      </w:pPr>
      <w:r w:rsidRPr="00FD208D">
        <w:tab/>
      </w:r>
      <w:r w:rsidRPr="00FD208D">
        <w:tab/>
        <w:t>Соображения Комитета по правам человека в соответствии с</w:t>
      </w:r>
      <w:r w:rsidR="00C16129">
        <w:rPr>
          <w:lang w:val="en-US"/>
        </w:rPr>
        <w:t> </w:t>
      </w:r>
      <w:r w:rsidRPr="00FD208D">
        <w:t>пунктом 4 статьи 5 Факультативного протокола к</w:t>
      </w:r>
      <w:r w:rsidR="00C16129">
        <w:rPr>
          <w:lang w:val="en-US"/>
        </w:rPr>
        <w:t> </w:t>
      </w:r>
      <w:r w:rsidRPr="00FD208D">
        <w:t xml:space="preserve">Международному пакту о гражданских и политических правах (112-я сессия) </w:t>
      </w:r>
    </w:p>
    <w:p w:rsidR="00FD208D" w:rsidRPr="00FD208D" w:rsidRDefault="00FD208D" w:rsidP="00FD208D">
      <w:pPr>
        <w:pStyle w:val="SingleTxtGR"/>
      </w:pPr>
      <w:r w:rsidRPr="00FD208D">
        <w:t>относительно</w:t>
      </w:r>
    </w:p>
    <w:p w:rsidR="00FD208D" w:rsidRDefault="00FD208D" w:rsidP="00D246FA">
      <w:pPr>
        <w:pStyle w:val="H1GR"/>
        <w:rPr>
          <w:bCs/>
          <w:lang w:val="en-US"/>
        </w:rPr>
      </w:pPr>
      <w:r w:rsidRPr="00FD208D">
        <w:tab/>
      </w:r>
      <w:r w:rsidRPr="00FD208D">
        <w:tab/>
        <w:t>Сообщения № 2018/201</w:t>
      </w:r>
      <w:r w:rsidRPr="00490373">
        <w:t>0</w:t>
      </w:r>
      <w:r w:rsidR="00490373" w:rsidRPr="00490373">
        <w:rPr>
          <w:rStyle w:val="ab"/>
          <w:b w:val="0"/>
          <w:sz w:val="20"/>
          <w:vertAlign w:val="baseline"/>
          <w:lang w:eastAsia="en-US"/>
        </w:rPr>
        <w:footnoteReference w:customMarkFollows="1" w:id="1"/>
        <w:t>*</w:t>
      </w:r>
      <w:r w:rsidR="00490373" w:rsidRPr="00490373">
        <w:rPr>
          <w:rStyle w:val="ab"/>
          <w:b w:val="0"/>
          <w:vertAlign w:val="baseline"/>
          <w:lang w:eastAsia="en-US"/>
        </w:rPr>
        <w:t xml:space="preserve"> 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D246FA" w:rsidRPr="00B03EE9" w:rsidTr="00797113">
        <w:tc>
          <w:tcPr>
            <w:tcW w:w="3119" w:type="dxa"/>
            <w:shd w:val="clear" w:color="auto" w:fill="auto"/>
          </w:tcPr>
          <w:p w:rsidR="00D246FA" w:rsidRPr="00B03EE9" w:rsidRDefault="00D246FA" w:rsidP="00797113">
            <w:pPr>
              <w:suppressAutoHyphens/>
              <w:spacing w:after="120"/>
              <w:ind w:left="105"/>
              <w:rPr>
                <w:i/>
              </w:rPr>
            </w:pPr>
            <w:r w:rsidRPr="00B03EE9">
              <w:rPr>
                <w:i/>
              </w:rPr>
              <w:t>Представлено:</w:t>
            </w:r>
          </w:p>
        </w:tc>
        <w:tc>
          <w:tcPr>
            <w:tcW w:w="3685" w:type="dxa"/>
            <w:shd w:val="clear" w:color="auto" w:fill="auto"/>
          </w:tcPr>
          <w:p w:rsidR="00D246FA" w:rsidRPr="00B03EE9" w:rsidRDefault="00D246FA" w:rsidP="00FE6396">
            <w:pPr>
              <w:suppressAutoHyphens/>
              <w:spacing w:after="120"/>
            </w:pPr>
            <w:r w:rsidRPr="00FD208D">
              <w:t>Кедаром Чаулагайном (представлен адвокатами Мандирой Шарм</w:t>
            </w:r>
            <w:r w:rsidR="00FE6396">
              <w:t>ой</w:t>
            </w:r>
            <w:r w:rsidRPr="00FD208D">
              <w:t>, "Эдвокаси форум – Непал", и Карлой Ферстман, "Фонд возмещения")</w:t>
            </w:r>
          </w:p>
        </w:tc>
      </w:tr>
      <w:tr w:rsidR="00D246FA" w:rsidTr="00797113">
        <w:tc>
          <w:tcPr>
            <w:tcW w:w="3119" w:type="dxa"/>
            <w:shd w:val="clear" w:color="auto" w:fill="auto"/>
          </w:tcPr>
          <w:p w:rsidR="00D246FA" w:rsidRPr="00B03EE9" w:rsidRDefault="00D246FA" w:rsidP="00797113">
            <w:pPr>
              <w:suppressAutoHyphens/>
              <w:spacing w:after="120"/>
              <w:ind w:left="105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  <w:shd w:val="clear" w:color="auto" w:fill="auto"/>
          </w:tcPr>
          <w:p w:rsidR="00D246FA" w:rsidRDefault="00D246FA" w:rsidP="00797113">
            <w:pPr>
              <w:suppressAutoHyphens/>
              <w:spacing w:after="120"/>
            </w:pPr>
            <w:r w:rsidRPr="00D246FA">
              <w:t>автор и его покойная дочь Субхадра Чаулагайн</w:t>
            </w:r>
          </w:p>
        </w:tc>
      </w:tr>
      <w:tr w:rsidR="00D246FA" w:rsidTr="00797113">
        <w:tc>
          <w:tcPr>
            <w:tcW w:w="3119" w:type="dxa"/>
            <w:shd w:val="clear" w:color="auto" w:fill="auto"/>
          </w:tcPr>
          <w:p w:rsidR="00D246FA" w:rsidRPr="00B03EE9" w:rsidRDefault="00D246FA" w:rsidP="00797113">
            <w:pPr>
              <w:suppressAutoHyphens/>
              <w:spacing w:after="120"/>
              <w:ind w:left="10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685" w:type="dxa"/>
            <w:shd w:val="clear" w:color="auto" w:fill="auto"/>
          </w:tcPr>
          <w:p w:rsidR="00D246FA" w:rsidRDefault="00D87B14" w:rsidP="00797113">
            <w:pPr>
              <w:suppressAutoHyphens/>
              <w:spacing w:after="120"/>
            </w:pPr>
            <w:r w:rsidRPr="00D87B14">
              <w:t>Непал</w:t>
            </w:r>
          </w:p>
        </w:tc>
      </w:tr>
      <w:tr w:rsidR="00D246FA" w:rsidTr="00797113">
        <w:tc>
          <w:tcPr>
            <w:tcW w:w="3119" w:type="dxa"/>
            <w:shd w:val="clear" w:color="auto" w:fill="auto"/>
          </w:tcPr>
          <w:p w:rsidR="00D246FA" w:rsidRPr="00B03EE9" w:rsidRDefault="00D246FA" w:rsidP="00797113">
            <w:pPr>
              <w:suppressAutoHyphens/>
              <w:spacing w:after="120"/>
              <w:ind w:left="105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685" w:type="dxa"/>
            <w:shd w:val="clear" w:color="auto" w:fill="auto"/>
          </w:tcPr>
          <w:p w:rsidR="00D246FA" w:rsidRPr="002A4F6C" w:rsidRDefault="00D87B14" w:rsidP="00797113">
            <w:pPr>
              <w:suppressAutoHyphens/>
              <w:spacing w:after="120"/>
            </w:pPr>
            <w:r w:rsidRPr="00D87B14">
              <w:t>7 декабря 2010</w:t>
            </w:r>
            <w:r w:rsidR="00DA3974">
              <w:t> год</w:t>
            </w:r>
            <w:r w:rsidRPr="00D87B14">
              <w:t>а (первоначальное представление)</w:t>
            </w:r>
          </w:p>
        </w:tc>
      </w:tr>
      <w:tr w:rsidR="00D246FA" w:rsidTr="00797113">
        <w:tc>
          <w:tcPr>
            <w:tcW w:w="3119" w:type="dxa"/>
            <w:shd w:val="clear" w:color="auto" w:fill="auto"/>
          </w:tcPr>
          <w:p w:rsidR="00D246FA" w:rsidRPr="00D87B14" w:rsidRDefault="00D87B14" w:rsidP="00797113">
            <w:pPr>
              <w:suppressAutoHyphens/>
              <w:spacing w:after="120"/>
              <w:ind w:left="105"/>
              <w:rPr>
                <w:i/>
                <w:lang w:val="en-US"/>
              </w:rPr>
            </w:pPr>
            <w:r w:rsidRPr="00FD208D">
              <w:rPr>
                <w:i/>
              </w:rPr>
              <w:t>Решение о приемлемости:</w:t>
            </w:r>
          </w:p>
        </w:tc>
        <w:tc>
          <w:tcPr>
            <w:tcW w:w="3685" w:type="dxa"/>
            <w:shd w:val="clear" w:color="auto" w:fill="auto"/>
          </w:tcPr>
          <w:p w:rsidR="00D246FA" w:rsidRDefault="00D87B14" w:rsidP="00797113">
            <w:pPr>
              <w:suppressAutoHyphens/>
              <w:spacing w:after="120"/>
            </w:pPr>
            <w:r w:rsidRPr="00D87B14">
              <w:t>8 марта 2012</w:t>
            </w:r>
            <w:r w:rsidR="00DA3974">
              <w:t> год</w:t>
            </w:r>
            <w:r w:rsidRPr="00D87B14">
              <w:t>а</w:t>
            </w:r>
          </w:p>
        </w:tc>
      </w:tr>
    </w:tbl>
    <w:p w:rsidR="00FD208D" w:rsidRPr="00FD208D" w:rsidRDefault="00FD208D" w:rsidP="00D60F97">
      <w:pPr>
        <w:pStyle w:val="SingleTxtGR"/>
        <w:spacing w:before="120"/>
      </w:pPr>
      <w:r w:rsidRPr="00FD208D">
        <w:tab/>
      </w:r>
      <w:r w:rsidRPr="00FD208D">
        <w:rPr>
          <w:i/>
        </w:rPr>
        <w:t xml:space="preserve">Комитет по правам человека, </w:t>
      </w:r>
      <w:r w:rsidR="001B5F71">
        <w:t>учрежденный</w:t>
      </w:r>
      <w:r w:rsidRPr="00FD208D">
        <w:t xml:space="preserve"> в соответствии со статьей 28 Международного пакта о гражданских и политических правах,</w:t>
      </w:r>
    </w:p>
    <w:p w:rsidR="00FD208D" w:rsidRPr="00FD208D" w:rsidRDefault="00FD208D" w:rsidP="00FD208D">
      <w:pPr>
        <w:pStyle w:val="SingleTxtGR"/>
      </w:pPr>
      <w:r w:rsidRPr="00FD208D">
        <w:tab/>
      </w:r>
      <w:r w:rsidRPr="00FD208D">
        <w:rPr>
          <w:i/>
        </w:rPr>
        <w:t xml:space="preserve">на своем заседании </w:t>
      </w:r>
      <w:r w:rsidRPr="00FD208D">
        <w:t>28 октября 2014</w:t>
      </w:r>
      <w:r w:rsidR="00DA3974">
        <w:t> год</w:t>
      </w:r>
      <w:r w:rsidRPr="00FD208D">
        <w:t>а,</w:t>
      </w:r>
    </w:p>
    <w:p w:rsidR="00FD208D" w:rsidRPr="00FD208D" w:rsidRDefault="00FD208D" w:rsidP="00FD208D">
      <w:pPr>
        <w:pStyle w:val="SingleTxtGR"/>
      </w:pPr>
      <w:r w:rsidRPr="00FD208D">
        <w:tab/>
      </w:r>
      <w:r w:rsidRPr="00FD208D">
        <w:rPr>
          <w:i/>
        </w:rPr>
        <w:t xml:space="preserve">завершив рассмотрение </w:t>
      </w:r>
      <w:r w:rsidR="00C824C7">
        <w:t>сообщения № 2018</w:t>
      </w:r>
      <w:r w:rsidRPr="00FD208D">
        <w:t>/201</w:t>
      </w:r>
      <w:r w:rsidR="00C824C7">
        <w:t>0</w:t>
      </w:r>
      <w:r w:rsidRPr="00FD208D">
        <w:t>, представленного Ком</w:t>
      </w:r>
      <w:r w:rsidRPr="00FD208D">
        <w:t>и</w:t>
      </w:r>
      <w:r w:rsidRPr="00FD208D">
        <w:t>тету по правам человека от имени Кедара Чаулагайна в соответствии с Факул</w:t>
      </w:r>
      <w:r w:rsidRPr="00FD208D">
        <w:t>ь</w:t>
      </w:r>
      <w:r w:rsidRPr="00FD208D">
        <w:t xml:space="preserve">тативным протоколом к Международному пакту о гражданских и политических правах, </w:t>
      </w:r>
    </w:p>
    <w:p w:rsidR="00FD208D" w:rsidRPr="00FD208D" w:rsidRDefault="00FD208D" w:rsidP="00FD208D">
      <w:pPr>
        <w:pStyle w:val="SingleTxtGR"/>
      </w:pPr>
      <w:r w:rsidRPr="00FD208D">
        <w:tab/>
      </w:r>
      <w:r w:rsidRPr="00FD208D">
        <w:rPr>
          <w:i/>
        </w:rPr>
        <w:t xml:space="preserve">приняв </w:t>
      </w:r>
      <w:r w:rsidR="001B5F71">
        <w:rPr>
          <w:i/>
        </w:rPr>
        <w:t>к сведению</w:t>
      </w:r>
      <w:r w:rsidRPr="00FD208D">
        <w:rPr>
          <w:i/>
        </w:rPr>
        <w:t xml:space="preserve"> </w:t>
      </w:r>
      <w:r w:rsidRPr="00FD208D">
        <w:t xml:space="preserve">всю письменную информацию, представленную ему автором сообщения и государством-участником, </w:t>
      </w:r>
    </w:p>
    <w:p w:rsidR="00FD208D" w:rsidRPr="00FD208D" w:rsidRDefault="00FD208D" w:rsidP="00FD208D">
      <w:pPr>
        <w:pStyle w:val="SingleTxtGR"/>
      </w:pPr>
      <w:r w:rsidRPr="00FD208D">
        <w:tab/>
      </w:r>
      <w:r w:rsidRPr="00FD208D">
        <w:rPr>
          <w:i/>
        </w:rPr>
        <w:t xml:space="preserve">принимает </w:t>
      </w:r>
      <w:r w:rsidRPr="00FD208D">
        <w:t>следующ</w:t>
      </w:r>
      <w:r w:rsidR="001B5F71">
        <w:t>е</w:t>
      </w:r>
      <w:r w:rsidRPr="00FD208D">
        <w:t>е:</w:t>
      </w:r>
    </w:p>
    <w:p w:rsidR="00FD208D" w:rsidRPr="00FD208D" w:rsidRDefault="00FD208D" w:rsidP="00163AC8">
      <w:pPr>
        <w:pStyle w:val="H1GR"/>
      </w:pPr>
      <w:r w:rsidRPr="00FD208D">
        <w:lastRenderedPageBreak/>
        <w:tab/>
      </w:r>
      <w:r w:rsidRPr="00FD208D">
        <w:tab/>
        <w:t xml:space="preserve">Соображения в соответствии с пунктом 4 статьи 5 Факультативного протокола </w:t>
      </w:r>
    </w:p>
    <w:p w:rsidR="00FD208D" w:rsidRPr="00FD208D" w:rsidRDefault="00FD208D" w:rsidP="00FD208D">
      <w:pPr>
        <w:pStyle w:val="SingleTxtGR"/>
      </w:pPr>
      <w:r w:rsidRPr="00FD208D">
        <w:t>1.1</w:t>
      </w:r>
      <w:r w:rsidRPr="00FD208D">
        <w:tab/>
        <w:t>Автором сообщения является Кедар Чаулагайн, гражданин Непала 1958</w:t>
      </w:r>
      <w:r w:rsidR="00DA3974">
        <w:rPr>
          <w:lang w:val="en-US"/>
        </w:rPr>
        <w:t> </w:t>
      </w:r>
      <w:r w:rsidR="00DA3974" w:rsidRPr="00B079D7">
        <w:t>год</w:t>
      </w:r>
      <w:r w:rsidRPr="00FD208D">
        <w:t>а рождения. Сообщение представлено от его имени и от имени его п</w:t>
      </w:r>
      <w:r w:rsidRPr="00FD208D">
        <w:t>о</w:t>
      </w:r>
      <w:r w:rsidRPr="00FD208D">
        <w:t>койной дочери Субхадры Чаулагайн, также гражданки Непала 1986</w:t>
      </w:r>
      <w:r w:rsidR="00DA3974">
        <w:t> год</w:t>
      </w:r>
      <w:r w:rsidRPr="00FD208D">
        <w:t>а рожд</w:t>
      </w:r>
      <w:r w:rsidRPr="00FD208D">
        <w:t>е</w:t>
      </w:r>
      <w:r w:rsidRPr="00FD208D">
        <w:t xml:space="preserve">ния. </w:t>
      </w:r>
      <w:proofErr w:type="gramStart"/>
      <w:r w:rsidRPr="00FD208D">
        <w:t xml:space="preserve">Автор утверждает, что Непал нарушил права </w:t>
      </w:r>
      <w:r w:rsidR="00BE6D5D">
        <w:t>его</w:t>
      </w:r>
      <w:r w:rsidRPr="00FD208D">
        <w:t xml:space="preserve"> дочери в соответствии со статьями 6, 7, 9 и 10, рассматриваемыми в совокупности с пунктом 3 статьи 2, а также отдельно в соответствии со статьей 26; а также его собственные права в соответствии со статьей 7, рассматриваемой в совокупности с пунктом 3 ст</w:t>
      </w:r>
      <w:r w:rsidRPr="00FD208D">
        <w:t>а</w:t>
      </w:r>
      <w:r w:rsidRPr="00FD208D">
        <w:t>тьи</w:t>
      </w:r>
      <w:r w:rsidR="00994B03">
        <w:rPr>
          <w:lang w:val="en-US"/>
        </w:rPr>
        <w:t> </w:t>
      </w:r>
      <w:r w:rsidRPr="00FD208D">
        <w:t>2 Международного пакта о гражданских и политических правах.</w:t>
      </w:r>
      <w:proofErr w:type="gramEnd"/>
      <w:r w:rsidRPr="00FD208D">
        <w:t xml:space="preserve"> Факульт</w:t>
      </w:r>
      <w:r w:rsidRPr="00FD208D">
        <w:t>а</w:t>
      </w:r>
      <w:r w:rsidRPr="00FD208D">
        <w:t>тивный протокол вступил в силу для Непала 14 августа 1991</w:t>
      </w:r>
      <w:r w:rsidR="00DA3974">
        <w:t> год</w:t>
      </w:r>
      <w:r w:rsidRPr="00FD208D">
        <w:t>а. Автор пре</w:t>
      </w:r>
      <w:r w:rsidRPr="00FD208D">
        <w:t>д</w:t>
      </w:r>
      <w:r w:rsidRPr="00FD208D">
        <w:t>ставлен адвокатами.</w:t>
      </w:r>
    </w:p>
    <w:p w:rsidR="00FD208D" w:rsidRPr="00FD208D" w:rsidRDefault="00FD208D" w:rsidP="00FD208D">
      <w:pPr>
        <w:pStyle w:val="SingleTxtGR"/>
      </w:pPr>
      <w:r w:rsidRPr="00FD208D">
        <w:t>1.2</w:t>
      </w:r>
      <w:r w:rsidRPr="00FD208D">
        <w:tab/>
      </w:r>
      <w:r w:rsidR="00BE6D5D" w:rsidRPr="00FD208D">
        <w:t>7 апреля 2011</w:t>
      </w:r>
      <w:r w:rsidR="00BE6D5D">
        <w:t> год</w:t>
      </w:r>
      <w:r w:rsidR="00BE6D5D" w:rsidRPr="00FD208D">
        <w:t xml:space="preserve">а </w:t>
      </w:r>
      <w:r w:rsidRPr="00FD208D">
        <w:t>Комитет, действуя через своего Специального докла</w:t>
      </w:r>
      <w:r w:rsidRPr="00FD208D">
        <w:t>д</w:t>
      </w:r>
      <w:r w:rsidRPr="00FD208D">
        <w:t>чика по новым сообщениям и временным мерам, постановил рассмотреть в</w:t>
      </w:r>
      <w:r w:rsidRPr="00FD208D">
        <w:t>о</w:t>
      </w:r>
      <w:r w:rsidRPr="00FD208D">
        <w:t>прос о приемлемости сообщения отдельно от его существа.</w:t>
      </w:r>
    </w:p>
    <w:p w:rsidR="00FD208D" w:rsidRPr="00FD208D" w:rsidRDefault="00FD208D" w:rsidP="00163AC8">
      <w:pPr>
        <w:pStyle w:val="H23GR"/>
      </w:pPr>
      <w:r w:rsidRPr="00FD208D">
        <w:tab/>
      </w:r>
      <w:r w:rsidRPr="00FD208D">
        <w:tab/>
        <w:t>Факты в изложении автора</w:t>
      </w:r>
    </w:p>
    <w:p w:rsidR="00FD208D" w:rsidRPr="00FD208D" w:rsidRDefault="00FD208D" w:rsidP="00FD208D">
      <w:pPr>
        <w:pStyle w:val="SingleTxtGR"/>
      </w:pPr>
      <w:r w:rsidRPr="00FD208D">
        <w:t>2.1</w:t>
      </w:r>
      <w:proofErr w:type="gramStart"/>
      <w:r w:rsidRPr="00FD208D">
        <w:tab/>
        <w:t>В</w:t>
      </w:r>
      <w:proofErr w:type="gramEnd"/>
      <w:r w:rsidRPr="00FD208D">
        <w:t xml:space="preserve"> ночь с 12 на 13 февраля 2004</w:t>
      </w:r>
      <w:r w:rsidR="00DA3974">
        <w:t> год</w:t>
      </w:r>
      <w:r w:rsidRPr="00FD208D">
        <w:t>а примерно 50</w:t>
      </w:r>
      <w:r w:rsidR="003F3E3F">
        <w:t>−</w:t>
      </w:r>
      <w:r w:rsidRPr="00FD208D">
        <w:t>60 военнослужащих тогдашней Королевской армии Непала, одетых в форму и вооруженных автом</w:t>
      </w:r>
      <w:r w:rsidRPr="00FD208D">
        <w:t>а</w:t>
      </w:r>
      <w:r w:rsidRPr="00FD208D">
        <w:t>тическими винтовками М-16</w:t>
      </w:r>
      <w:r w:rsidR="00BE4FBF">
        <w:t>,</w:t>
      </w:r>
      <w:r w:rsidRPr="00FD208D">
        <w:t xml:space="preserve"> провели операцию по "зачистке" в квартале №</w:t>
      </w:r>
      <w:r w:rsidR="00994B03">
        <w:rPr>
          <w:lang w:val="en-US"/>
        </w:rPr>
        <w:t> </w:t>
      </w:r>
      <w:r w:rsidRPr="00FD208D">
        <w:t>3 деревни Покхари-Чаури района Кавре. Их сопровождал осведомитель г-н А.С., житель этой деревни. Примерно в 23 ч. 00 м. они окружили дом г-жи Д.</w:t>
      </w:r>
      <w:r w:rsidR="00BE4FBF">
        <w:t>Ч</w:t>
      </w:r>
      <w:r w:rsidRPr="00FD208D">
        <w:t xml:space="preserve">., сестры автора, и </w:t>
      </w:r>
      <w:r w:rsidR="002F2E95">
        <w:t>провели в нем</w:t>
      </w:r>
      <w:r w:rsidRPr="00FD208D">
        <w:t xml:space="preserve"> обыск в поиске доказательств маоистской де</w:t>
      </w:r>
      <w:r w:rsidRPr="00FD208D">
        <w:t>я</w:t>
      </w:r>
      <w:r w:rsidRPr="00FD208D">
        <w:t>тельности. Тр</w:t>
      </w:r>
      <w:r w:rsidR="002F2E95">
        <w:t>ое военнослужащих</w:t>
      </w:r>
      <w:r w:rsidRPr="00FD208D">
        <w:t xml:space="preserve"> обыскивали верхний этаж дома в прису</w:t>
      </w:r>
      <w:r w:rsidRPr="00FD208D">
        <w:t>т</w:t>
      </w:r>
      <w:r w:rsidRPr="00FD208D">
        <w:t>ствии автора сообщения, его 14-летнего сына, а также Субхадры, которой в то время было 17</w:t>
      </w:r>
      <w:r w:rsidR="00994B03">
        <w:rPr>
          <w:lang w:val="en-US"/>
        </w:rPr>
        <w:t> </w:t>
      </w:r>
      <w:r w:rsidRPr="00FD208D">
        <w:t xml:space="preserve">лет, при этом один </w:t>
      </w:r>
      <w:r w:rsidR="002F2E95">
        <w:t>военнослужащий</w:t>
      </w:r>
      <w:r w:rsidRPr="00FD208D">
        <w:t xml:space="preserve"> оставался на первом этаже с женой автора, приставив винтовку к ее груди. Поскольку тр</w:t>
      </w:r>
      <w:r w:rsidR="002F2E95">
        <w:t>ое военнослуж</w:t>
      </w:r>
      <w:r w:rsidR="002F2E95">
        <w:t>а</w:t>
      </w:r>
      <w:r w:rsidR="002F2E95">
        <w:t>щих</w:t>
      </w:r>
      <w:r w:rsidR="003F3E3F">
        <w:t xml:space="preserve"> </w:t>
      </w:r>
      <w:r w:rsidRPr="00FD208D">
        <w:t xml:space="preserve">ничего не нашли, они вернулись на первый этаж. Один из </w:t>
      </w:r>
      <w:r w:rsidR="002F2E95">
        <w:t>них</w:t>
      </w:r>
      <w:r w:rsidRPr="00FD208D">
        <w:t xml:space="preserve"> сказал, что "там нет маоистов".</w:t>
      </w:r>
    </w:p>
    <w:p w:rsidR="00FD208D" w:rsidRPr="00FD208D" w:rsidRDefault="00FD208D" w:rsidP="00FD208D">
      <w:pPr>
        <w:pStyle w:val="SingleTxtGR"/>
      </w:pPr>
      <w:r w:rsidRPr="00FD208D">
        <w:t>2.2</w:t>
      </w:r>
      <w:proofErr w:type="gramStart"/>
      <w:r w:rsidRPr="00FD208D">
        <w:tab/>
        <w:t>З</w:t>
      </w:r>
      <w:proofErr w:type="gramEnd"/>
      <w:r w:rsidRPr="00FD208D">
        <w:t>атем А.С. вошел в дом и осмотрелся. Когда он увидел Субхадру, он ук</w:t>
      </w:r>
      <w:r w:rsidRPr="00FD208D">
        <w:t>а</w:t>
      </w:r>
      <w:r w:rsidRPr="00FD208D">
        <w:t>зал на нее и сказ</w:t>
      </w:r>
      <w:r w:rsidR="003F3E3F">
        <w:t xml:space="preserve">ал: "Вот </w:t>
      </w:r>
      <w:proofErr w:type="spellStart"/>
      <w:r w:rsidR="003F3E3F">
        <w:t>маоистка</w:t>
      </w:r>
      <w:proofErr w:type="spellEnd"/>
      <w:r w:rsidR="003F3E3F">
        <w:t>, хватайте ее!</w:t>
      </w:r>
      <w:r w:rsidRPr="00FD208D">
        <w:t xml:space="preserve">" </w:t>
      </w:r>
      <w:r w:rsidR="00204780" w:rsidRPr="00FD208D">
        <w:t xml:space="preserve">Один из </w:t>
      </w:r>
      <w:r w:rsidR="00204780">
        <w:t>военнослужащих</w:t>
      </w:r>
      <w:r w:rsidR="00204780" w:rsidRPr="00FD208D">
        <w:t xml:space="preserve"> схватил Субхадру за волосы и ударил ее головой об пол так сильно, что слом</w:t>
      </w:r>
      <w:r w:rsidR="00204780" w:rsidRPr="00FD208D">
        <w:t>а</w:t>
      </w:r>
      <w:r w:rsidR="00204780" w:rsidRPr="00FD208D">
        <w:t xml:space="preserve">лась половая доска и балка потолка снизу. </w:t>
      </w:r>
      <w:r w:rsidRPr="00FD208D">
        <w:t>После этого Субхадру и автора выв</w:t>
      </w:r>
      <w:r w:rsidRPr="00FD208D">
        <w:t>е</w:t>
      </w:r>
      <w:r w:rsidRPr="00FD208D">
        <w:t>ли из дома.</w:t>
      </w:r>
    </w:p>
    <w:p w:rsidR="00FD208D" w:rsidRPr="00FD208D" w:rsidRDefault="00FD208D" w:rsidP="00FD208D">
      <w:pPr>
        <w:pStyle w:val="SingleTxtGR"/>
      </w:pPr>
      <w:r w:rsidRPr="00FD208D">
        <w:t>2.3</w:t>
      </w:r>
      <w:proofErr w:type="gramStart"/>
      <w:r w:rsidRPr="00FD208D">
        <w:tab/>
        <w:t>К</w:t>
      </w:r>
      <w:proofErr w:type="gramEnd"/>
      <w:r w:rsidRPr="00FD208D">
        <w:t>огда автор находился у входной двери дома, он видел, что его дочь сто</w:t>
      </w:r>
      <w:r w:rsidRPr="00FD208D">
        <w:t>я</w:t>
      </w:r>
      <w:r w:rsidRPr="00FD208D">
        <w:t xml:space="preserve">ла у коровника, а рядом с ней было четверо </w:t>
      </w:r>
      <w:r w:rsidR="00204780">
        <w:t>военнослужащих</w:t>
      </w:r>
      <w:r w:rsidRPr="00FD208D">
        <w:t>. Один из них пр</w:t>
      </w:r>
      <w:r w:rsidRPr="00FD208D">
        <w:t>и</w:t>
      </w:r>
      <w:r w:rsidRPr="00FD208D">
        <w:t xml:space="preserve">казал ей идти в сторону соседнего дома, и она пошла туда, причем один </w:t>
      </w:r>
      <w:r w:rsidR="002F2E95">
        <w:t>вое</w:t>
      </w:r>
      <w:r w:rsidR="002F2E95">
        <w:t>н</w:t>
      </w:r>
      <w:r w:rsidR="002F2E95">
        <w:t>нослужащий</w:t>
      </w:r>
      <w:r w:rsidRPr="00FD208D">
        <w:t xml:space="preserve"> приставил ствол своей винтовки к ее спине, а другие нацелили на нее свои винтовки.</w:t>
      </w:r>
    </w:p>
    <w:p w:rsidR="00FD208D" w:rsidRPr="00FD208D" w:rsidRDefault="00FD208D" w:rsidP="00FD208D">
      <w:pPr>
        <w:pStyle w:val="SingleTxtGR"/>
      </w:pPr>
      <w:r w:rsidRPr="00FD208D">
        <w:t>2.4</w:t>
      </w:r>
      <w:r w:rsidRPr="00FD208D">
        <w:tab/>
        <w:t xml:space="preserve">Автора привели к коровнику, при этом Субхадру проводили вдоль стены соседнего дома. Его сопровождали семь </w:t>
      </w:r>
      <w:r w:rsidR="002F2E95">
        <w:t>военнослужащих</w:t>
      </w:r>
      <w:r w:rsidRPr="00FD208D">
        <w:t>, и</w:t>
      </w:r>
      <w:r w:rsidR="002F2E95">
        <w:t>,</w:t>
      </w:r>
      <w:r w:rsidRPr="00FD208D">
        <w:t xml:space="preserve"> когда они дошли до коровника, один из них ткнул его стволом винтовки в грудь, а остальные </w:t>
      </w:r>
      <w:r w:rsidR="002F2E95">
        <w:t>ш</w:t>
      </w:r>
      <w:r w:rsidR="002F2E95">
        <w:t>е</w:t>
      </w:r>
      <w:r w:rsidR="002F2E95">
        <w:t xml:space="preserve">стеро </w:t>
      </w:r>
      <w:r w:rsidRPr="00FD208D">
        <w:t xml:space="preserve">нацелили ему в грудь свои винтовки. </w:t>
      </w:r>
    </w:p>
    <w:p w:rsidR="00FD208D" w:rsidRPr="00FD208D" w:rsidRDefault="00FD208D" w:rsidP="00FD208D">
      <w:pPr>
        <w:pStyle w:val="SingleTxtGR"/>
      </w:pPr>
      <w:r w:rsidRPr="00FD208D">
        <w:t>2.5</w:t>
      </w:r>
      <w:r w:rsidRPr="00FD208D">
        <w:tab/>
      </w:r>
      <w:r w:rsidR="002F2E95">
        <w:t>Военнослужащие</w:t>
      </w:r>
      <w:r w:rsidRPr="00FD208D">
        <w:t xml:space="preserve"> словесно оскорбляли Субхадру и называли ее "</w:t>
      </w:r>
      <w:proofErr w:type="gramStart"/>
      <w:r w:rsidRPr="00FD208D">
        <w:t>шл</w:t>
      </w:r>
      <w:r w:rsidRPr="00FD208D">
        <w:t>ю</w:t>
      </w:r>
      <w:r w:rsidRPr="00FD208D">
        <w:t>хой</w:t>
      </w:r>
      <w:proofErr w:type="gramEnd"/>
      <w:r w:rsidRPr="00FD208D">
        <w:t xml:space="preserve">". </w:t>
      </w:r>
      <w:r w:rsidR="00204780" w:rsidRPr="00FD208D">
        <w:t xml:space="preserve">Затем они привели ее к входу в соседний дом и окружили ее, направив </w:t>
      </w:r>
      <w:r w:rsidR="00204780">
        <w:t>на нее</w:t>
      </w:r>
      <w:r w:rsidR="00204780" w:rsidRPr="00FD208D">
        <w:t xml:space="preserve"> свои винтовки, при этом она плакала. </w:t>
      </w:r>
      <w:r w:rsidR="00204780">
        <w:t>Военнослужащие</w:t>
      </w:r>
      <w:r w:rsidR="00204780" w:rsidRPr="00FD208D">
        <w:t xml:space="preserve"> угрожали убить Субхадру и начали допрашивать ее о маоистской деятельности в этом районе. </w:t>
      </w:r>
      <w:r w:rsidRPr="00FD208D">
        <w:t>Она ответила, что никто из ее знакомых не является маоистом и что сама она студентка</w:t>
      </w:r>
      <w:r w:rsidR="00AD670A">
        <w:t>, а</w:t>
      </w:r>
      <w:r w:rsidRPr="00FD208D">
        <w:t xml:space="preserve"> не маоистка. Примерно через час </w:t>
      </w:r>
      <w:r w:rsidR="00AD670A">
        <w:t>военнослужащие</w:t>
      </w:r>
      <w:r w:rsidRPr="00FD208D">
        <w:t xml:space="preserve"> повели ее к б</w:t>
      </w:r>
      <w:r w:rsidRPr="00FD208D">
        <w:t>а</w:t>
      </w:r>
      <w:r w:rsidRPr="00FD208D">
        <w:lastRenderedPageBreak/>
        <w:t xml:space="preserve">нановому дереву. Автор видел, как Субхадра стояла лицом к </w:t>
      </w:r>
      <w:r w:rsidR="00AD670A">
        <w:t>военнослужащим</w:t>
      </w:r>
      <w:r w:rsidRPr="00FD208D">
        <w:t xml:space="preserve">. Один из них попытался выстрелить, но его винтовка дала осечку. Другой </w:t>
      </w:r>
      <w:r w:rsidR="00AD670A">
        <w:t>вое</w:t>
      </w:r>
      <w:r w:rsidR="00AD670A">
        <w:t>н</w:t>
      </w:r>
      <w:r w:rsidR="00AD670A">
        <w:t>ный</w:t>
      </w:r>
      <w:r w:rsidRPr="00FD208D">
        <w:t xml:space="preserve"> дал ему свою винтовку, и </w:t>
      </w:r>
      <w:r w:rsidR="00AD670A">
        <w:t>тот</w:t>
      </w:r>
      <w:r w:rsidRPr="00FD208D">
        <w:t xml:space="preserve"> с силой ткнул ею в живот Субхадры. Он в</w:t>
      </w:r>
      <w:r w:rsidRPr="00FD208D">
        <w:t>ы</w:t>
      </w:r>
      <w:r w:rsidRPr="00FD208D">
        <w:t xml:space="preserve">стрелил в нее, и силой выстрела ее отбросило на поле, расположенное ниже. После этого </w:t>
      </w:r>
      <w:r w:rsidR="00AD670A" w:rsidRPr="00FD208D">
        <w:t>тр</w:t>
      </w:r>
      <w:r w:rsidR="00AD670A">
        <w:t>ое</w:t>
      </w:r>
      <w:r w:rsidR="00AD670A" w:rsidRPr="00FD208D">
        <w:t xml:space="preserve"> </w:t>
      </w:r>
      <w:r w:rsidRPr="00FD208D">
        <w:t>други</w:t>
      </w:r>
      <w:r w:rsidR="00AD670A">
        <w:t>х</w:t>
      </w:r>
      <w:r w:rsidRPr="00FD208D">
        <w:t xml:space="preserve"> </w:t>
      </w:r>
      <w:r w:rsidR="00AD670A">
        <w:t>военных</w:t>
      </w:r>
      <w:r w:rsidRPr="00FD208D">
        <w:t xml:space="preserve"> направили свои винтовки вниз на нее и о</w:t>
      </w:r>
      <w:r w:rsidRPr="00FD208D">
        <w:t>т</w:t>
      </w:r>
      <w:r w:rsidRPr="00FD208D">
        <w:t xml:space="preserve">крыли огонь. Четыре других </w:t>
      </w:r>
      <w:r w:rsidR="005B1E2B">
        <w:t>военных</w:t>
      </w:r>
      <w:r w:rsidRPr="00FD208D">
        <w:t xml:space="preserve"> подбежали к ней и начали бить ее ногами, в результате чего ее внутренности вывалились из огнестрельной раны в животе на землю.</w:t>
      </w:r>
    </w:p>
    <w:p w:rsidR="00FD208D" w:rsidRPr="00FD208D" w:rsidRDefault="00FD208D" w:rsidP="00FD208D">
      <w:pPr>
        <w:pStyle w:val="SingleTxtGR"/>
      </w:pPr>
      <w:r w:rsidRPr="00FD208D">
        <w:t>2.6</w:t>
      </w:r>
      <w:proofErr w:type="gramStart"/>
      <w:r w:rsidRPr="00FD208D">
        <w:tab/>
        <w:t>П</w:t>
      </w:r>
      <w:proofErr w:type="gramEnd"/>
      <w:r w:rsidRPr="00FD208D">
        <w:t xml:space="preserve">осле этого </w:t>
      </w:r>
      <w:r w:rsidR="005B1E2B">
        <w:t>военнослужащие</w:t>
      </w:r>
      <w:r w:rsidRPr="00FD208D">
        <w:t xml:space="preserve"> начали избивать автора ногами и бить его по лицу прикладами винтовок до тех пор, пока, по их мнению, он не умер. А</w:t>
      </w:r>
      <w:r w:rsidRPr="00FD208D">
        <w:t>в</w:t>
      </w:r>
      <w:r w:rsidRPr="00FD208D">
        <w:t>тора оставили лежать без сознания, истекающего кровью.</w:t>
      </w:r>
    </w:p>
    <w:p w:rsidR="00FD208D" w:rsidRPr="00FD208D" w:rsidRDefault="00FD208D" w:rsidP="00FD208D">
      <w:pPr>
        <w:pStyle w:val="SingleTxtGR"/>
      </w:pPr>
      <w:r w:rsidRPr="00FD208D">
        <w:t>2.7</w:t>
      </w:r>
      <w:proofErr w:type="gramStart"/>
      <w:r w:rsidRPr="00FD208D">
        <w:tab/>
        <w:t>П</w:t>
      </w:r>
      <w:proofErr w:type="gramEnd"/>
      <w:r w:rsidRPr="00FD208D">
        <w:t xml:space="preserve">озже этой же ночью военные в форме </w:t>
      </w:r>
      <w:r w:rsidR="008B10EC" w:rsidRPr="00FD208D">
        <w:t xml:space="preserve">пришли </w:t>
      </w:r>
      <w:r w:rsidRPr="00FD208D">
        <w:t>также в дом близкой п</w:t>
      </w:r>
      <w:r w:rsidRPr="00FD208D">
        <w:t>о</w:t>
      </w:r>
      <w:r w:rsidRPr="00FD208D">
        <w:t>други Субхадры,</w:t>
      </w:r>
      <w:r w:rsidR="002A62B5" w:rsidRPr="002A62B5">
        <w:t xml:space="preserve"> </w:t>
      </w:r>
      <w:r w:rsidR="002A62B5" w:rsidRPr="00FD208D">
        <w:t>г-жи Р.Р.,</w:t>
      </w:r>
      <w:r w:rsidRPr="00FD208D">
        <w:t xml:space="preserve"> которая жила через несколько домов в той же д</w:t>
      </w:r>
      <w:r w:rsidRPr="00FD208D">
        <w:t>е</w:t>
      </w:r>
      <w:r w:rsidRPr="00FD208D">
        <w:t>ревне. Они забрали ее из дома, допросили ее, а затем, как сообщается, изнас</w:t>
      </w:r>
      <w:r w:rsidRPr="00FD208D">
        <w:t>и</w:t>
      </w:r>
      <w:r w:rsidRPr="00FD208D">
        <w:t>ловали и застрелили ее. Мальчик по имени Т.Л. из той же деревни также был застрелен.</w:t>
      </w:r>
    </w:p>
    <w:p w:rsidR="00FD208D" w:rsidRPr="00FD208D" w:rsidRDefault="00FD208D" w:rsidP="00FD208D">
      <w:pPr>
        <w:pStyle w:val="SingleTxtGR"/>
      </w:pPr>
      <w:r w:rsidRPr="00FD208D">
        <w:t>2.8</w:t>
      </w:r>
      <w:proofErr w:type="gramStart"/>
      <w:r w:rsidRPr="00FD208D">
        <w:tab/>
        <w:t>П</w:t>
      </w:r>
      <w:proofErr w:type="gramEnd"/>
      <w:r w:rsidRPr="00FD208D">
        <w:t>озже в этот же день национальная радиостанция передала новость о том, что "в деревне Покхари-Чаури района Кавре три террориста, а именно</w:t>
      </w:r>
      <w:r w:rsidR="003F3E3F">
        <w:t>:</w:t>
      </w:r>
      <w:r w:rsidRPr="00FD208D">
        <w:t xml:space="preserve"> г</w:t>
      </w:r>
      <w:r w:rsidR="00994B03" w:rsidRPr="00994B03">
        <w:noBreakHyphen/>
      </w:r>
      <w:r w:rsidRPr="00FD208D">
        <w:t>жа</w:t>
      </w:r>
      <w:r w:rsidR="00994B03">
        <w:rPr>
          <w:lang w:val="en-US"/>
        </w:rPr>
        <w:t> </w:t>
      </w:r>
      <w:r w:rsidRPr="00FD208D">
        <w:t>Р.Р., Субхадра Чаулагайн и Т.Л., были застрелены в столкновении с силами безопасности".</w:t>
      </w:r>
    </w:p>
    <w:p w:rsidR="000B59D3" w:rsidRDefault="00FD208D" w:rsidP="00163AC8">
      <w:pPr>
        <w:pStyle w:val="SingleTxtGR"/>
      </w:pPr>
      <w:r w:rsidRPr="00FD208D">
        <w:t>2.9</w:t>
      </w:r>
      <w:proofErr w:type="gramStart"/>
      <w:r w:rsidRPr="00FD208D">
        <w:tab/>
        <w:t>Н</w:t>
      </w:r>
      <w:proofErr w:type="gramEnd"/>
      <w:r w:rsidRPr="00FD208D">
        <w:t>а следующий день после внесудебной казни Субхадры автор подал ус</w:t>
      </w:r>
      <w:r w:rsidRPr="00FD208D">
        <w:t>т</w:t>
      </w:r>
      <w:r w:rsidRPr="00FD208D">
        <w:t xml:space="preserve">ную жалобу в районное </w:t>
      </w:r>
      <w:r w:rsidR="0095472B">
        <w:t>отделение</w:t>
      </w:r>
      <w:r w:rsidRPr="00FD208D">
        <w:t xml:space="preserve"> полиции в Кавре. Тем не </w:t>
      </w:r>
      <w:proofErr w:type="gramStart"/>
      <w:r w:rsidRPr="00FD208D">
        <w:t>менее</w:t>
      </w:r>
      <w:proofErr w:type="gramEnd"/>
      <w:r w:rsidRPr="00FD208D">
        <w:t xml:space="preserve"> вместо того, чтобы выслушать то, что хотел сказать автор, сотрудники полиции начали угрожать ему и сказали ему уходить. Поэтому автор подал жалобу </w:t>
      </w:r>
      <w:r w:rsidR="004F58EB">
        <w:t>начальнику</w:t>
      </w:r>
      <w:r w:rsidRPr="00FD208D">
        <w:t xml:space="preserve"> районн</w:t>
      </w:r>
      <w:r w:rsidR="004F58EB">
        <w:t>ого отделения</w:t>
      </w:r>
      <w:r w:rsidRPr="00FD208D">
        <w:t xml:space="preserve"> и оставил тело Субхадры лежать там, где оно было найд</w:t>
      </w:r>
      <w:r w:rsidRPr="00FD208D">
        <w:t>е</w:t>
      </w:r>
      <w:r w:rsidRPr="00FD208D">
        <w:t>но, в надежде, что полиция проведет расследование.</w:t>
      </w:r>
    </w:p>
    <w:p w:rsidR="003F3E3F" w:rsidRPr="00AC0439" w:rsidRDefault="003F3E3F" w:rsidP="003F3E3F">
      <w:pPr>
        <w:pStyle w:val="SingleTxtGR"/>
      </w:pPr>
      <w:r w:rsidRPr="00AC0439">
        <w:t>2.10</w:t>
      </w:r>
      <w:proofErr w:type="gramStart"/>
      <w:r w:rsidRPr="00AC0439">
        <w:tab/>
        <w:t>В</w:t>
      </w:r>
      <w:proofErr w:type="gramEnd"/>
      <w:r w:rsidRPr="00AC0439">
        <w:t xml:space="preserve"> тот же день автор связался также с адвокатами из организации "</w:t>
      </w:r>
      <w:proofErr w:type="spellStart"/>
      <w:r w:rsidRPr="00AC0439">
        <w:t>Эдв</w:t>
      </w:r>
      <w:r w:rsidRPr="00AC0439">
        <w:t>о</w:t>
      </w:r>
      <w:r w:rsidRPr="00AC0439">
        <w:t>каси</w:t>
      </w:r>
      <w:proofErr w:type="spellEnd"/>
      <w:r w:rsidRPr="00AC0439">
        <w:t xml:space="preserve"> форум – Непал" и сообщил им об убийстве своей дочери. Через четыре </w:t>
      </w:r>
      <w:r>
        <w:t>или пять дней</w:t>
      </w:r>
      <w:r w:rsidRPr="00AC0439">
        <w:t xml:space="preserve"> после инцидента</w:t>
      </w:r>
      <w:r w:rsidRPr="00D52BD5">
        <w:rPr>
          <w:sz w:val="18"/>
          <w:szCs w:val="18"/>
          <w:vertAlign w:val="superscript"/>
        </w:rPr>
        <w:footnoteReference w:id="2"/>
      </w:r>
      <w:r w:rsidRPr="00AC0439">
        <w:t xml:space="preserve"> они приехали на место, сделали фотографии тела и собрали свидетельские показания. Поскольку полиция не приехала о</w:t>
      </w:r>
      <w:r w:rsidRPr="00AC0439">
        <w:t>б</w:t>
      </w:r>
      <w:r w:rsidRPr="00AC0439">
        <w:t xml:space="preserve">следовать тело и не начала никакого расследования, с телом дочери автора был проведен погребальный ритуал. Тело не </w:t>
      </w:r>
      <w:proofErr w:type="gramStart"/>
      <w:r w:rsidRPr="00AC0439">
        <w:t>подвергалось вскрытию и не было</w:t>
      </w:r>
      <w:proofErr w:type="gramEnd"/>
      <w:r w:rsidRPr="00AC0439">
        <w:t xml:space="preserve"> эк</w:t>
      </w:r>
      <w:r w:rsidRPr="00AC0439">
        <w:t>с</w:t>
      </w:r>
      <w:r w:rsidRPr="00AC0439">
        <w:t>гумировано для проведения экспертизы.</w:t>
      </w:r>
    </w:p>
    <w:p w:rsidR="003F3E3F" w:rsidRPr="00AC0439" w:rsidRDefault="003F3E3F" w:rsidP="003F3E3F">
      <w:pPr>
        <w:pStyle w:val="SingleTxtGR"/>
      </w:pPr>
      <w:r w:rsidRPr="00AC0439">
        <w:t>2.11</w:t>
      </w:r>
      <w:r w:rsidRPr="00AC0439">
        <w:tab/>
        <w:t>29 февраля 2004 года</w:t>
      </w:r>
      <w:r>
        <w:t xml:space="preserve"> автор</w:t>
      </w:r>
      <w:r w:rsidRPr="00AC0439">
        <w:t xml:space="preserve"> подал ходатайство в Национальную комиссию по правам человека (</w:t>
      </w:r>
      <w:proofErr w:type="spellStart"/>
      <w:r w:rsidRPr="00AC0439">
        <w:t>НКПЧ</w:t>
      </w:r>
      <w:proofErr w:type="spellEnd"/>
      <w:r w:rsidRPr="00AC0439">
        <w:t xml:space="preserve">), </w:t>
      </w:r>
      <w:r>
        <w:t>обратившись к ней с просьбой</w:t>
      </w:r>
      <w:r w:rsidRPr="00AC0439">
        <w:t xml:space="preserve"> о проведении ра</w:t>
      </w:r>
      <w:r w:rsidRPr="00AC0439">
        <w:t>с</w:t>
      </w:r>
      <w:r w:rsidRPr="00AC0439">
        <w:t xml:space="preserve">следования. </w:t>
      </w:r>
      <w:proofErr w:type="spellStart"/>
      <w:proofErr w:type="gramStart"/>
      <w:r w:rsidRPr="00AC0439">
        <w:t>НКПЧ</w:t>
      </w:r>
      <w:proofErr w:type="spellEnd"/>
      <w:r w:rsidRPr="00AC0439">
        <w:t xml:space="preserve"> провела расследование по этому делу, а также по делу </w:t>
      </w:r>
      <w:r>
        <w:br/>
      </w:r>
      <w:r w:rsidRPr="00AC0439">
        <w:t xml:space="preserve">г-жи </w:t>
      </w:r>
      <w:proofErr w:type="spellStart"/>
      <w:r w:rsidRPr="00AC0439">
        <w:t>Р.Р</w:t>
      </w:r>
      <w:proofErr w:type="spellEnd"/>
      <w:r w:rsidRPr="00AC0439">
        <w:t xml:space="preserve">. Она пришла к выводу о том, что в июне 2005 года </w:t>
      </w:r>
      <w:proofErr w:type="spellStart"/>
      <w:r w:rsidRPr="00AC0439">
        <w:t>Субхадра</w:t>
      </w:r>
      <w:proofErr w:type="spellEnd"/>
      <w:r w:rsidRPr="00AC0439">
        <w:t xml:space="preserve"> была нез</w:t>
      </w:r>
      <w:r w:rsidRPr="00AC0439">
        <w:t>а</w:t>
      </w:r>
      <w:r w:rsidRPr="00AC0439">
        <w:t>конно убита</w:t>
      </w:r>
      <w:r>
        <w:t>,</w:t>
      </w:r>
      <w:r w:rsidRPr="00AC0439">
        <w:t xml:space="preserve"> и рекомендовала правительству выявить сотрудников службы бе</w:t>
      </w:r>
      <w:r w:rsidRPr="00AC0439">
        <w:t>з</w:t>
      </w:r>
      <w:r w:rsidRPr="00AC0439">
        <w:t>опасности, виновных в убийстве, и принять в отношении них правовые меры, а также выплатить 150</w:t>
      </w:r>
      <w:r>
        <w:t xml:space="preserve"> 000</w:t>
      </w:r>
      <w:r w:rsidRPr="00AC0439">
        <w:t xml:space="preserve"> рупий каждой из семей в качестве компенсации.</w:t>
      </w:r>
      <w:proofErr w:type="gramEnd"/>
    </w:p>
    <w:p w:rsidR="003F3E3F" w:rsidRPr="00AC0439" w:rsidRDefault="003F3E3F" w:rsidP="003F3E3F">
      <w:pPr>
        <w:pStyle w:val="SingleTxtGR"/>
      </w:pPr>
      <w:r w:rsidRPr="00AC0439">
        <w:t>2.12</w:t>
      </w:r>
      <w:r w:rsidRPr="00AC0439">
        <w:tab/>
        <w:t>8 июня 2006 года, вскоре после окончания вооруженного конфликта, а</w:t>
      </w:r>
      <w:r w:rsidRPr="00AC0439">
        <w:t>в</w:t>
      </w:r>
      <w:r w:rsidRPr="00AC0439">
        <w:t xml:space="preserve">тор подал в районное </w:t>
      </w:r>
      <w:r>
        <w:t>отделение полиции (</w:t>
      </w:r>
      <w:proofErr w:type="spellStart"/>
      <w:r>
        <w:t>РО</w:t>
      </w:r>
      <w:r w:rsidRPr="00AC0439">
        <w:t>П</w:t>
      </w:r>
      <w:proofErr w:type="spellEnd"/>
      <w:r w:rsidRPr="00AC0439">
        <w:t xml:space="preserve">) первичное информационное сообщение об убийстве. Автор указал в сообщении подробную информацию о поисковой группе Королевской армии Непала, которая находилась в деревне </w:t>
      </w:r>
      <w:r>
        <w:br/>
      </w:r>
      <w:r w:rsidRPr="00AC0439">
        <w:t xml:space="preserve">12 и 13 февраля 2004 года, и, в частности, упомянул бригаду № 9 из </w:t>
      </w:r>
      <w:proofErr w:type="spellStart"/>
      <w:r w:rsidRPr="00AC0439">
        <w:t>Бхакунд</w:t>
      </w:r>
      <w:r w:rsidRPr="00AC0439">
        <w:t>е</w:t>
      </w:r>
      <w:r w:rsidRPr="00AC0439">
        <w:t>беси</w:t>
      </w:r>
      <w:proofErr w:type="spellEnd"/>
      <w:r w:rsidRPr="00AC0439">
        <w:t xml:space="preserve"> (</w:t>
      </w:r>
      <w:proofErr w:type="spellStart"/>
      <w:r w:rsidRPr="00AC0439">
        <w:t>Кавре</w:t>
      </w:r>
      <w:proofErr w:type="spellEnd"/>
      <w:r w:rsidRPr="00AC0439">
        <w:t>) под командованием лейтенанта.</w:t>
      </w:r>
    </w:p>
    <w:p w:rsidR="003F3E3F" w:rsidRPr="00AC0439" w:rsidRDefault="003F3E3F" w:rsidP="003F3E3F">
      <w:pPr>
        <w:pStyle w:val="SingleTxtGR"/>
      </w:pPr>
      <w:r w:rsidRPr="00AC0439">
        <w:lastRenderedPageBreak/>
        <w:t>2.13</w:t>
      </w:r>
      <w:proofErr w:type="gramStart"/>
      <w:r w:rsidRPr="00AC0439">
        <w:tab/>
        <w:t>П</w:t>
      </w:r>
      <w:proofErr w:type="gramEnd"/>
      <w:r w:rsidRPr="00AC0439">
        <w:t>оскольку полиция не проводила расследование, 8 октября 2007 года а</w:t>
      </w:r>
      <w:r w:rsidRPr="00AC0439">
        <w:t>в</w:t>
      </w:r>
      <w:r w:rsidRPr="00AC0439">
        <w:t>тор подал в Верховный суд ходатайство с просьбой издать приказ о выполнении требований истца и другие необходимые распоряжения суда. Поскольку со вр</w:t>
      </w:r>
      <w:r w:rsidRPr="00AC0439">
        <w:t>е</w:t>
      </w:r>
      <w:r w:rsidRPr="00AC0439">
        <w:t>мени подачи первичного информационного сообщения (</w:t>
      </w:r>
      <w:proofErr w:type="spellStart"/>
      <w:r w:rsidRPr="00AC0439">
        <w:t>ПИС</w:t>
      </w:r>
      <w:proofErr w:type="spellEnd"/>
      <w:r w:rsidRPr="00AC0439">
        <w:t xml:space="preserve">) более чем </w:t>
      </w:r>
      <w:r>
        <w:t xml:space="preserve">за </w:t>
      </w:r>
      <w:r w:rsidRPr="00AC0439">
        <w:t xml:space="preserve">год </w:t>
      </w:r>
      <w:r>
        <w:t xml:space="preserve">до этого </w:t>
      </w:r>
      <w:r w:rsidRPr="00AC0439">
        <w:t xml:space="preserve">не было </w:t>
      </w:r>
      <w:r>
        <w:t xml:space="preserve">проведено </w:t>
      </w:r>
      <w:r w:rsidRPr="00AC0439">
        <w:t xml:space="preserve">никакого эффективного расследования, получение </w:t>
      </w:r>
      <w:r>
        <w:t xml:space="preserve">распоряжения </w:t>
      </w:r>
      <w:r w:rsidRPr="00AC0439">
        <w:t>суда было необходимым шагом для того, чтобы заставить пол</w:t>
      </w:r>
      <w:r w:rsidRPr="00AC0439">
        <w:t>и</w:t>
      </w:r>
      <w:r w:rsidRPr="00AC0439">
        <w:t>цию провести расследование.</w:t>
      </w:r>
    </w:p>
    <w:p w:rsidR="003F3E3F" w:rsidRPr="00AC0439" w:rsidRDefault="003F3E3F" w:rsidP="003F3E3F">
      <w:pPr>
        <w:pStyle w:val="SingleTxtGR"/>
      </w:pPr>
      <w:r w:rsidRPr="00AC0439">
        <w:t>2.14</w:t>
      </w:r>
      <w:r w:rsidRPr="00AC0439">
        <w:tab/>
        <w:t>Районная прокуратура 23 ноября 2007 года представила в Суд письме</w:t>
      </w:r>
      <w:r w:rsidRPr="00AC0439">
        <w:t>н</w:t>
      </w:r>
      <w:r w:rsidRPr="00AC0439">
        <w:t xml:space="preserve">ный ответ, </w:t>
      </w:r>
      <w:r>
        <w:t>попросив</w:t>
      </w:r>
      <w:r w:rsidRPr="00AC0439">
        <w:t xml:space="preserve"> его отклонить </w:t>
      </w:r>
      <w:r>
        <w:t xml:space="preserve">это </w:t>
      </w:r>
      <w:r w:rsidRPr="00AC0439">
        <w:t>ходатайство на том основании, что все необходимые расследования по этому делу было проведены. В частности, п</w:t>
      </w:r>
      <w:r w:rsidRPr="00AC0439">
        <w:t>о</w:t>
      </w:r>
      <w:r w:rsidRPr="00AC0439">
        <w:t xml:space="preserve">лиция направила письмо в адрес бригады № 9 в </w:t>
      </w:r>
      <w:proofErr w:type="spellStart"/>
      <w:r w:rsidRPr="00AC0439">
        <w:t>Бхакундебеси</w:t>
      </w:r>
      <w:proofErr w:type="spellEnd"/>
      <w:r w:rsidRPr="00AC0439">
        <w:t>, запр</w:t>
      </w:r>
      <w:r>
        <w:t>осив</w:t>
      </w:r>
      <w:r w:rsidRPr="00AC0439">
        <w:t xml:space="preserve"> док</w:t>
      </w:r>
      <w:r w:rsidRPr="00AC0439">
        <w:t>у</w:t>
      </w:r>
      <w:r w:rsidRPr="00AC0439">
        <w:t>менты, указывающие имя командира, возглавлявшего поисковую группу в д</w:t>
      </w:r>
      <w:r w:rsidRPr="00AC0439">
        <w:t>е</w:t>
      </w:r>
      <w:r w:rsidRPr="00AC0439">
        <w:t xml:space="preserve">ревне </w:t>
      </w:r>
      <w:proofErr w:type="spellStart"/>
      <w:r w:rsidRPr="00AC0439">
        <w:t>Покхари-Чаури</w:t>
      </w:r>
      <w:proofErr w:type="spellEnd"/>
      <w:r w:rsidRPr="00AC0439">
        <w:t xml:space="preserve">, члены которой убили </w:t>
      </w:r>
      <w:proofErr w:type="spellStart"/>
      <w:r w:rsidRPr="00AC0439">
        <w:t>Субхадру</w:t>
      </w:r>
      <w:proofErr w:type="spellEnd"/>
      <w:r w:rsidRPr="00AC0439">
        <w:t xml:space="preserve">. Письменный ответ от бригады № 9 из </w:t>
      </w:r>
      <w:proofErr w:type="spellStart"/>
      <w:r w:rsidRPr="00AC0439">
        <w:t>Бхакундебеси</w:t>
      </w:r>
      <w:proofErr w:type="spellEnd"/>
      <w:r w:rsidRPr="00AC0439">
        <w:t xml:space="preserve"> был получен 14 августа 2006 года, и в нем было указано, что поисковую группу возглавлял лейтенант </w:t>
      </w:r>
      <w:proofErr w:type="spellStart"/>
      <w:r w:rsidRPr="00AC0439">
        <w:t>С.Б</w:t>
      </w:r>
      <w:proofErr w:type="spellEnd"/>
      <w:r w:rsidRPr="00AC0439">
        <w:t xml:space="preserve">. и что операцией по окружению дома </w:t>
      </w:r>
      <w:proofErr w:type="spellStart"/>
      <w:r w:rsidRPr="00AC0439">
        <w:t>Субхадры</w:t>
      </w:r>
      <w:proofErr w:type="spellEnd"/>
      <w:r w:rsidRPr="00AC0439">
        <w:t xml:space="preserve"> и ее аресту командовал младший офицер </w:t>
      </w:r>
      <w:proofErr w:type="spellStart"/>
      <w:r w:rsidRPr="00AC0439">
        <w:t>Д.Т.</w:t>
      </w:r>
      <w:proofErr w:type="gramStart"/>
      <w:r w:rsidRPr="00AC0439">
        <w:t>М</w:t>
      </w:r>
      <w:proofErr w:type="spellEnd"/>
      <w:r w:rsidRPr="00AC0439">
        <w:t>.</w:t>
      </w:r>
      <w:proofErr w:type="gramEnd"/>
      <w:r w:rsidRPr="00AC0439">
        <w:t xml:space="preserve"> Тем не менее в письме утверждалось, что </w:t>
      </w:r>
      <w:proofErr w:type="spellStart"/>
      <w:r w:rsidRPr="00AC0439">
        <w:t>Субхадра</w:t>
      </w:r>
      <w:proofErr w:type="spellEnd"/>
      <w:r w:rsidRPr="00AC0439">
        <w:t xml:space="preserve"> пыталась сбежать, и именно п</w:t>
      </w:r>
      <w:r w:rsidRPr="00AC0439">
        <w:t>о</w:t>
      </w:r>
      <w:r>
        <w:t xml:space="preserve">этому она была застрелена. </w:t>
      </w:r>
      <w:proofErr w:type="spellStart"/>
      <w:r>
        <w:t>РО</w:t>
      </w:r>
      <w:r w:rsidRPr="00AC0439">
        <w:t>П</w:t>
      </w:r>
      <w:proofErr w:type="spellEnd"/>
      <w:r w:rsidRPr="00AC0439">
        <w:t xml:space="preserve"> затем направило письмо в зональное управл</w:t>
      </w:r>
      <w:r w:rsidRPr="00AC0439">
        <w:t>е</w:t>
      </w:r>
      <w:r w:rsidRPr="00AC0439">
        <w:t>ние полиции (</w:t>
      </w:r>
      <w:proofErr w:type="spellStart"/>
      <w:r w:rsidRPr="00AC0439">
        <w:t>ЗУП</w:t>
      </w:r>
      <w:proofErr w:type="spellEnd"/>
      <w:r w:rsidRPr="00AC0439">
        <w:t xml:space="preserve">) с просьбой о том, чтобы всех </w:t>
      </w:r>
      <w:r>
        <w:t>военнослужащих</w:t>
      </w:r>
      <w:r w:rsidRPr="00AC0439">
        <w:t>, входивших в поисковую группу под командованием</w:t>
      </w:r>
      <w:r>
        <w:t xml:space="preserve"> лейтенанта </w:t>
      </w:r>
      <w:proofErr w:type="spellStart"/>
      <w:r>
        <w:t>С.Б</w:t>
      </w:r>
      <w:proofErr w:type="spellEnd"/>
      <w:r>
        <w:t xml:space="preserve">., доставили в </w:t>
      </w:r>
      <w:proofErr w:type="spellStart"/>
      <w:r>
        <w:t>РО</w:t>
      </w:r>
      <w:r w:rsidRPr="00AC0439">
        <w:t>П</w:t>
      </w:r>
      <w:proofErr w:type="spellEnd"/>
      <w:r w:rsidRPr="00AC0439">
        <w:t xml:space="preserve">, а </w:t>
      </w:r>
      <w:proofErr w:type="gramStart"/>
      <w:r w:rsidRPr="00AC0439">
        <w:t>также</w:t>
      </w:r>
      <w:proofErr w:type="gramEnd"/>
      <w:r w:rsidRPr="00AC0439">
        <w:t xml:space="preserve"> что</w:t>
      </w:r>
      <w:r>
        <w:t xml:space="preserve">бы в </w:t>
      </w:r>
      <w:proofErr w:type="spellStart"/>
      <w:r>
        <w:t>РО</w:t>
      </w:r>
      <w:r w:rsidRPr="00AC0439">
        <w:t>П</w:t>
      </w:r>
      <w:proofErr w:type="spellEnd"/>
      <w:r w:rsidRPr="00AC0439">
        <w:t xml:space="preserve"> была представлена информация об их именах, фамилиях и </w:t>
      </w:r>
      <w:r>
        <w:t xml:space="preserve">нынешних </w:t>
      </w:r>
      <w:r w:rsidRPr="00AC0439">
        <w:t>должностях. Ответа получено не было. Запрос об отклонении ход</w:t>
      </w:r>
      <w:r w:rsidRPr="00AC0439">
        <w:t>а</w:t>
      </w:r>
      <w:r w:rsidRPr="00AC0439">
        <w:t>тайства содержал вывод о том, что этот обмен корреспонденцией "</w:t>
      </w:r>
      <w:r>
        <w:t xml:space="preserve">обеспечил исполнение всех обязанностей </w:t>
      </w:r>
      <w:r w:rsidRPr="00AC0439">
        <w:t>данного органа в соответствии с его юрисдикц</w:t>
      </w:r>
      <w:r w:rsidRPr="00AC0439">
        <w:t>и</w:t>
      </w:r>
      <w:r w:rsidRPr="00AC0439">
        <w:t>ей, связанн</w:t>
      </w:r>
      <w:r>
        <w:t>ых</w:t>
      </w:r>
      <w:r w:rsidRPr="00AC0439">
        <w:t xml:space="preserve"> с арестом виновных по требованию заявителя".</w:t>
      </w:r>
    </w:p>
    <w:p w:rsidR="003F3E3F" w:rsidRPr="00AC0439" w:rsidRDefault="003F3E3F" w:rsidP="003F3E3F">
      <w:pPr>
        <w:pStyle w:val="SingleTxtGR"/>
      </w:pPr>
      <w:r w:rsidRPr="00AC0439">
        <w:t>2.15</w:t>
      </w:r>
      <w:proofErr w:type="gramStart"/>
      <w:r w:rsidRPr="00AC0439">
        <w:tab/>
        <w:t>В</w:t>
      </w:r>
      <w:proofErr w:type="gramEnd"/>
      <w:r w:rsidRPr="00AC0439">
        <w:t xml:space="preserve"> своем ответе суду районная прокуратура заявила, что</w:t>
      </w:r>
      <w:r>
        <w:t>,</w:t>
      </w:r>
      <w:r w:rsidRPr="00AC0439">
        <w:t xml:space="preserve"> если бы она п</w:t>
      </w:r>
      <w:r w:rsidRPr="00AC0439">
        <w:t>о</w:t>
      </w:r>
      <w:r w:rsidRPr="00AC0439">
        <w:t xml:space="preserve">лучила из </w:t>
      </w:r>
      <w:proofErr w:type="spellStart"/>
      <w:r w:rsidRPr="00AC0439">
        <w:t>Р</w:t>
      </w:r>
      <w:r>
        <w:t>О</w:t>
      </w:r>
      <w:r w:rsidRPr="00AC0439">
        <w:t>П</w:t>
      </w:r>
      <w:proofErr w:type="spellEnd"/>
      <w:r w:rsidRPr="00AC0439">
        <w:t xml:space="preserve"> </w:t>
      </w:r>
      <w:proofErr w:type="spellStart"/>
      <w:r w:rsidRPr="00AC0439">
        <w:t>Кавре</w:t>
      </w:r>
      <w:proofErr w:type="spellEnd"/>
      <w:r w:rsidRPr="00AC0439">
        <w:t xml:space="preserve"> рапорт с необходимыми документами, прокуратура</w:t>
      </w:r>
      <w:r>
        <w:t>,</w:t>
      </w:r>
      <w:r w:rsidRPr="00AC0439">
        <w:t xml:space="preserve"> бе</w:t>
      </w:r>
      <w:r w:rsidRPr="00AC0439">
        <w:t>з</w:t>
      </w:r>
      <w:r w:rsidRPr="00AC0439">
        <w:t>условно</w:t>
      </w:r>
      <w:r>
        <w:t>,</w:t>
      </w:r>
      <w:r w:rsidRPr="00AC0439">
        <w:t xml:space="preserve"> выполнила бы свои правовые обязанности, такие как подготовка обв</w:t>
      </w:r>
      <w:r w:rsidRPr="00AC0439">
        <w:t>и</w:t>
      </w:r>
      <w:r w:rsidRPr="00AC0439">
        <w:t>нительного заключения и передача его в суд. Тем не менее, поскольку прокур</w:t>
      </w:r>
      <w:r w:rsidRPr="00AC0439">
        <w:t>а</w:t>
      </w:r>
      <w:r w:rsidRPr="00AC0439">
        <w:t>тура не получала каких-либо документов, она не нарушила каких-либо конст</w:t>
      </w:r>
      <w:r w:rsidRPr="00AC0439">
        <w:t>и</w:t>
      </w:r>
      <w:r w:rsidRPr="00AC0439">
        <w:t>туционных и юридических прав заявителя.</w:t>
      </w:r>
    </w:p>
    <w:p w:rsidR="003F3E3F" w:rsidRPr="00AC0439" w:rsidRDefault="003F3E3F" w:rsidP="003F3E3F">
      <w:pPr>
        <w:pStyle w:val="SingleTxtGR"/>
      </w:pPr>
      <w:r w:rsidRPr="00AC0439">
        <w:t>2.16</w:t>
      </w:r>
      <w:r w:rsidRPr="00AC0439">
        <w:tab/>
        <w:t>14 декабря 2009 года Верховный суд издал приказ о выполнении требов</w:t>
      </w:r>
      <w:r w:rsidRPr="00AC0439">
        <w:t>а</w:t>
      </w:r>
      <w:r w:rsidRPr="00AC0439">
        <w:t xml:space="preserve">ний истца, указав, среди прочего, что согласно Закону о государственных делах 1992 года заявитель выполнил свои обязанности, подав как устную жалобу о совершении уголовного преступления, так и официальное </w:t>
      </w:r>
      <w:proofErr w:type="spellStart"/>
      <w:r w:rsidRPr="00AC0439">
        <w:t>ПИС</w:t>
      </w:r>
      <w:proofErr w:type="spellEnd"/>
      <w:r w:rsidRPr="00AC0439">
        <w:t xml:space="preserve">. Тем не </w:t>
      </w:r>
      <w:proofErr w:type="gramStart"/>
      <w:r w:rsidRPr="00AC0439">
        <w:t>ме</w:t>
      </w:r>
      <w:r>
        <w:t>нее</w:t>
      </w:r>
      <w:proofErr w:type="gramEnd"/>
      <w:r>
        <w:t xml:space="preserve"> </w:t>
      </w:r>
      <w:proofErr w:type="spellStart"/>
      <w:r>
        <w:t>РО</w:t>
      </w:r>
      <w:r w:rsidRPr="00AC0439">
        <w:t>П</w:t>
      </w:r>
      <w:proofErr w:type="spellEnd"/>
      <w:r w:rsidRPr="00AC0439">
        <w:t xml:space="preserve"> не выполнило своих обязанностей согласно Закону о государственных д</w:t>
      </w:r>
      <w:r w:rsidRPr="00AC0439">
        <w:t>е</w:t>
      </w:r>
      <w:r w:rsidRPr="00AC0439">
        <w:t xml:space="preserve">лах. </w:t>
      </w:r>
      <w:r>
        <w:t>Ч</w:t>
      </w:r>
      <w:r w:rsidRPr="00AC0439">
        <w:t xml:space="preserve">то касается роли районной прокуратуры, </w:t>
      </w:r>
      <w:r>
        <w:t xml:space="preserve">то </w:t>
      </w:r>
      <w:r w:rsidRPr="00AC0439">
        <w:t>в приказе указано, что</w:t>
      </w:r>
      <w:r>
        <w:t>,</w:t>
      </w:r>
      <w:r w:rsidRPr="00AC0439">
        <w:t xml:space="preserve"> хотя основная ответственность за расследование дела лежит на полиции, Закон о государственных делах предоставляет районному прокурору право давать соо</w:t>
      </w:r>
      <w:r w:rsidRPr="00AC0439">
        <w:t>т</w:t>
      </w:r>
      <w:r w:rsidRPr="00AC0439">
        <w:t>ветствующие указания. Суд постановил, что:</w:t>
      </w:r>
    </w:p>
    <w:p w:rsidR="003F3E3F" w:rsidRPr="00AC0439" w:rsidRDefault="003F3E3F" w:rsidP="003F3E3F">
      <w:pPr>
        <w:pStyle w:val="SingleTxtGR"/>
        <w:ind w:left="1701" w:hanging="567"/>
      </w:pPr>
      <w:r>
        <w:tab/>
      </w:r>
      <w:r w:rsidRPr="00AC0439">
        <w:t>"был издан приказ о выполнении требований истца... требующий пров</w:t>
      </w:r>
      <w:r w:rsidRPr="00AC0439">
        <w:t>е</w:t>
      </w:r>
      <w:r w:rsidRPr="00AC0439">
        <w:t xml:space="preserve">дения незамедлительного расследования по </w:t>
      </w:r>
      <w:proofErr w:type="spellStart"/>
      <w:r w:rsidRPr="00AC0439">
        <w:t>ПИС</w:t>
      </w:r>
      <w:proofErr w:type="spellEnd"/>
      <w:r w:rsidRPr="00AC0439">
        <w:t>. Аналогичным образом, в адрес главного управления полиции, межрегионального управления п</w:t>
      </w:r>
      <w:r w:rsidRPr="00AC0439">
        <w:t>о</w:t>
      </w:r>
      <w:r w:rsidRPr="00AC0439">
        <w:t xml:space="preserve">лиции и </w:t>
      </w:r>
      <w:proofErr w:type="spellStart"/>
      <w:r w:rsidRPr="00AC0439">
        <w:t>ЗУП</w:t>
      </w:r>
      <w:proofErr w:type="spellEnd"/>
      <w:r w:rsidRPr="00AC0439">
        <w:t xml:space="preserve"> округа </w:t>
      </w:r>
      <w:proofErr w:type="spellStart"/>
      <w:r w:rsidRPr="00AC0439">
        <w:t>Багмати</w:t>
      </w:r>
      <w:proofErr w:type="spellEnd"/>
      <w:r w:rsidRPr="00AC0439">
        <w:t xml:space="preserve"> были направлены требования о необходим</w:t>
      </w:r>
      <w:r w:rsidRPr="00AC0439">
        <w:t>о</w:t>
      </w:r>
      <w:r w:rsidRPr="00AC0439">
        <w:t>сти серьезного и упреждающего отношения и внимания, а также прин</w:t>
      </w:r>
      <w:r w:rsidRPr="00AC0439">
        <w:t>я</w:t>
      </w:r>
      <w:r w:rsidRPr="00AC0439">
        <w:t>тия необходимых и надлежащих мер, поскольку они постоянно демо</w:t>
      </w:r>
      <w:r w:rsidRPr="00AC0439">
        <w:t>н</w:t>
      </w:r>
      <w:r w:rsidRPr="00AC0439">
        <w:t xml:space="preserve">стрируют равнодушное отношение к выполнению своих обязанностей по проведению расследований. В адрес Генеральной прокуратуры Непала было также направлено требование о необходимости проинструктировать прокурора соответствующей районной прокуратуры серьезно отнестись к расследованию и принять незамедлительные, надлежащие и </w:t>
      </w:r>
      <w:r>
        <w:t xml:space="preserve">предметные </w:t>
      </w:r>
      <w:r w:rsidRPr="00AC0439">
        <w:lastRenderedPageBreak/>
        <w:t>меры в этом отношении. От районного прокурора также следует потреб</w:t>
      </w:r>
      <w:r w:rsidRPr="00AC0439">
        <w:t>о</w:t>
      </w:r>
      <w:r w:rsidRPr="00AC0439">
        <w:t xml:space="preserve">вать исполнять направляющую и координирующую роль в отношении действий сотрудников полиции. Было </w:t>
      </w:r>
      <w:r>
        <w:t>установлено</w:t>
      </w:r>
      <w:r w:rsidRPr="00AC0439">
        <w:t>, что районный прок</w:t>
      </w:r>
      <w:r w:rsidRPr="00AC0439">
        <w:t>у</w:t>
      </w:r>
      <w:r w:rsidRPr="00AC0439">
        <w:t>рор пассивно отн</w:t>
      </w:r>
      <w:r>
        <w:t>есся</w:t>
      </w:r>
      <w:r w:rsidRPr="00AC0439">
        <w:t xml:space="preserve"> к своим правовым обязанностям, не дав необход</w:t>
      </w:r>
      <w:r w:rsidRPr="00AC0439">
        <w:t>и</w:t>
      </w:r>
      <w:r w:rsidRPr="00AC0439">
        <w:t>мых указаний соответствующим сотрудникам полиции"</w:t>
      </w:r>
      <w:r w:rsidRPr="00D52BD5">
        <w:rPr>
          <w:sz w:val="18"/>
          <w:szCs w:val="18"/>
          <w:vertAlign w:val="superscript"/>
        </w:rPr>
        <w:footnoteReference w:id="3"/>
      </w:r>
      <w:r w:rsidRPr="00AC0439">
        <w:t>.</w:t>
      </w:r>
    </w:p>
    <w:p w:rsidR="003F3E3F" w:rsidRPr="00AC0439" w:rsidRDefault="003F3E3F" w:rsidP="003F3E3F">
      <w:pPr>
        <w:pStyle w:val="SingleTxtGR"/>
      </w:pPr>
      <w:r w:rsidRPr="00AC0439">
        <w:t>2.17</w:t>
      </w:r>
      <w:proofErr w:type="gramStart"/>
      <w:r w:rsidRPr="00AC0439">
        <w:tab/>
        <w:t>Н</w:t>
      </w:r>
      <w:proofErr w:type="gramEnd"/>
      <w:r w:rsidRPr="00AC0439">
        <w:t xml:space="preserve">есмотря на то, что автор так и не получил какой-либо компенсации в связи с выводами и рекомендациями </w:t>
      </w:r>
      <w:proofErr w:type="spellStart"/>
      <w:r w:rsidRPr="00AC0439">
        <w:t>НКПЧ</w:t>
      </w:r>
      <w:proofErr w:type="spellEnd"/>
      <w:r w:rsidRPr="00AC0439">
        <w:t xml:space="preserve">, в феврале 2010 года правительство выделило 100 </w:t>
      </w:r>
      <w:r>
        <w:t>000</w:t>
      </w:r>
      <w:r w:rsidRPr="00AC0439">
        <w:t xml:space="preserve"> рупий в качестве "временной компенсации" из Фонда вр</w:t>
      </w:r>
      <w:r w:rsidRPr="00AC0439">
        <w:t>е</w:t>
      </w:r>
      <w:r w:rsidRPr="00AC0439">
        <w:t>менной защиты для "жертв конфликта", включая семьи жертв внесудебных ка</w:t>
      </w:r>
      <w:r w:rsidRPr="00AC0439">
        <w:t>з</w:t>
      </w:r>
      <w:r w:rsidRPr="00AC0439">
        <w:t xml:space="preserve">ней. Автор получил эти деньги от </w:t>
      </w:r>
      <w:r>
        <w:t>начальника районного отделения</w:t>
      </w:r>
      <w:r w:rsidRPr="00AC0439">
        <w:t xml:space="preserve"> </w:t>
      </w:r>
      <w:proofErr w:type="spellStart"/>
      <w:r w:rsidRPr="00AC0439">
        <w:t>Кавре</w:t>
      </w:r>
      <w:proofErr w:type="spellEnd"/>
      <w:r w:rsidRPr="00AC0439">
        <w:t xml:space="preserve"> в </w:t>
      </w:r>
      <w:proofErr w:type="spellStart"/>
      <w:r w:rsidRPr="00AC0439">
        <w:t>Дхуликхеле</w:t>
      </w:r>
      <w:proofErr w:type="spellEnd"/>
      <w:r w:rsidRPr="00AC0439">
        <w:t>.</w:t>
      </w:r>
    </w:p>
    <w:p w:rsidR="003F3E3F" w:rsidRPr="00AC0439" w:rsidRDefault="003F3E3F" w:rsidP="003F3E3F">
      <w:pPr>
        <w:pStyle w:val="SingleTxtGR"/>
      </w:pPr>
      <w:r w:rsidRPr="00AC0439">
        <w:t>2.18</w:t>
      </w:r>
      <w:r w:rsidRPr="00AC0439">
        <w:tab/>
        <w:t>Автор ссылается на пункт 2 b) статьи 5 Факультативного протокола и утверждает, что предоставление внутренних мер правовой защиты было нена</w:t>
      </w:r>
      <w:r w:rsidRPr="00AC0439">
        <w:t>д</w:t>
      </w:r>
      <w:r w:rsidRPr="00AC0439">
        <w:t xml:space="preserve">лежащим образом затянуто. Он напоминает о том, что инцидент произошел </w:t>
      </w:r>
      <w:r>
        <w:br/>
      </w:r>
      <w:r w:rsidRPr="00AC0439">
        <w:t xml:space="preserve">12 февраля 2004 года и что до настоящего времени не было проведено никакого официального расследования, несмотря на рекомендацию </w:t>
      </w:r>
      <w:proofErr w:type="spellStart"/>
      <w:r w:rsidRPr="00AC0439">
        <w:t>НКПЧ</w:t>
      </w:r>
      <w:proofErr w:type="spellEnd"/>
      <w:r w:rsidRPr="00AC0439">
        <w:t xml:space="preserve"> от 14 июня 2005 года и приказ о выполнении требований истца, изданный Верховным с</w:t>
      </w:r>
      <w:r w:rsidRPr="00AC0439">
        <w:t>у</w:t>
      </w:r>
      <w:r w:rsidRPr="00AC0439">
        <w:t>дом 14 декабря 2009 года. Хотя Верховный суд пришел к выводу о том, что п</w:t>
      </w:r>
      <w:r w:rsidRPr="00AC0439">
        <w:t>о</w:t>
      </w:r>
      <w:r w:rsidRPr="00AC0439">
        <w:t xml:space="preserve">лиция сознательно затягивала разбирательство по делу, причем не только по его делу, но </w:t>
      </w:r>
      <w:r>
        <w:t xml:space="preserve">и по </w:t>
      </w:r>
      <w:r w:rsidRPr="00AC0439">
        <w:t>ряд</w:t>
      </w:r>
      <w:r>
        <w:t>у</w:t>
      </w:r>
      <w:r w:rsidRPr="00AC0439">
        <w:t xml:space="preserve"> других аналогичных дел, почти ничего не было сделано.</w:t>
      </w:r>
    </w:p>
    <w:p w:rsidR="003F3E3F" w:rsidRPr="00AC0439" w:rsidRDefault="003F3E3F" w:rsidP="003F3E3F">
      <w:pPr>
        <w:pStyle w:val="SingleTxtGR"/>
      </w:pPr>
      <w:r w:rsidRPr="00AC0439">
        <w:t>2.19</w:t>
      </w:r>
      <w:r w:rsidRPr="00AC0439">
        <w:tab/>
        <w:t>Автор отмечает, что действия, в отношении которых он подавал жалобы, имели место 12 и 13 февраля 2004 года, когда действовало Постановление о террористической и подрывной деятельности (контроль и наказание)</w:t>
      </w:r>
      <w:r>
        <w:t>, принятое в 2001 году</w:t>
      </w:r>
      <w:r w:rsidRPr="00AC0439">
        <w:t>. Статья 5 Постановления наделяет силы безопасности особыми полномочиями по предотвращению террористической и подрывной деятельн</w:t>
      </w:r>
      <w:r w:rsidRPr="00AC0439">
        <w:t>о</w:t>
      </w:r>
      <w:r w:rsidRPr="00AC0439">
        <w:t>сти, в том числе правом арестовывать без ордера любое лицо, которое "под</w:t>
      </w:r>
      <w:r w:rsidRPr="00AC0439">
        <w:t>о</w:t>
      </w:r>
      <w:r w:rsidRPr="00AC0439">
        <w:t>зревается" в участии в террористической или подрывной деятельности</w:t>
      </w:r>
      <w:r w:rsidRPr="00D52BD5">
        <w:rPr>
          <w:sz w:val="18"/>
          <w:szCs w:val="18"/>
          <w:vertAlign w:val="superscript"/>
        </w:rPr>
        <w:footnoteReference w:id="4"/>
      </w:r>
      <w:r w:rsidRPr="00AC0439">
        <w:t xml:space="preserve">, а также право на </w:t>
      </w:r>
      <w:r>
        <w:t xml:space="preserve">применение оружия </w:t>
      </w:r>
      <w:r w:rsidRPr="00AC0439">
        <w:t>в отношении любого лица, которое оказывает с</w:t>
      </w:r>
      <w:r w:rsidRPr="00AC0439">
        <w:t>о</w:t>
      </w:r>
      <w:r w:rsidRPr="00AC0439">
        <w:t>противление аресту, на этих основаниях</w:t>
      </w:r>
      <w:r w:rsidRPr="00D52BD5">
        <w:rPr>
          <w:sz w:val="18"/>
          <w:szCs w:val="18"/>
          <w:vertAlign w:val="superscript"/>
        </w:rPr>
        <w:footnoteReference w:id="5"/>
      </w:r>
      <w:r w:rsidRPr="00AC0439">
        <w:t>.</w:t>
      </w:r>
    </w:p>
    <w:p w:rsidR="003F3E3F" w:rsidRPr="00AC0439" w:rsidRDefault="003F3E3F" w:rsidP="003F3E3F">
      <w:pPr>
        <w:pStyle w:val="SingleTxtGR"/>
      </w:pPr>
      <w:proofErr w:type="gramStart"/>
      <w:r w:rsidRPr="00AC0439">
        <w:t>2.20</w:t>
      </w:r>
      <w:r w:rsidRPr="00AC0439">
        <w:tab/>
        <w:t>Автор утверждает, что безнаказанность за предполагаемые преступления, совершенные государственными субъектами, имеет место как де-юре, так и де-факто</w:t>
      </w:r>
      <w:bookmarkStart w:id="2" w:name="_Ref315357495"/>
      <w:r w:rsidRPr="00D52BD5">
        <w:rPr>
          <w:sz w:val="18"/>
          <w:szCs w:val="18"/>
          <w:vertAlign w:val="superscript"/>
        </w:rPr>
        <w:footnoteReference w:id="6"/>
      </w:r>
      <w:bookmarkEnd w:id="2"/>
      <w:r>
        <w:t>. Закон о полиции (1955 </w:t>
      </w:r>
      <w:r w:rsidRPr="00AC0439">
        <w:t xml:space="preserve">года) предусматривает иммунитет </w:t>
      </w:r>
      <w:r>
        <w:t xml:space="preserve">начальников </w:t>
      </w:r>
      <w:r w:rsidRPr="00AC0439">
        <w:t>райо</w:t>
      </w:r>
      <w:r>
        <w:t>нных отделений</w:t>
      </w:r>
      <w:r w:rsidRPr="00AC0439">
        <w:t xml:space="preserve"> или любых сотрудников полиции "</w:t>
      </w:r>
      <w:r>
        <w:t xml:space="preserve">в связи с </w:t>
      </w:r>
      <w:r w:rsidRPr="00AC0439">
        <w:t>действия</w:t>
      </w:r>
      <w:r>
        <w:t>ми</w:t>
      </w:r>
      <w:r w:rsidRPr="00AC0439">
        <w:t>, предприняты</w:t>
      </w:r>
      <w:r>
        <w:t>ми</w:t>
      </w:r>
      <w:r w:rsidRPr="00AC0439">
        <w:t>…</w:t>
      </w:r>
      <w:r>
        <w:t xml:space="preserve"> </w:t>
      </w:r>
      <w:r w:rsidRPr="00AC0439">
        <w:t>добросовестно в ходе исполнения ими… должностных об</w:t>
      </w:r>
      <w:r w:rsidRPr="00AC0439">
        <w:t>я</w:t>
      </w:r>
      <w:r w:rsidRPr="00AC0439">
        <w:t>занностей"</w:t>
      </w:r>
      <w:r w:rsidRPr="00D52BD5">
        <w:rPr>
          <w:sz w:val="18"/>
          <w:szCs w:val="18"/>
          <w:vertAlign w:val="superscript"/>
        </w:rPr>
        <w:footnoteReference w:id="7"/>
      </w:r>
      <w:r w:rsidRPr="00AC0439">
        <w:t>. Закон о полиции также содержит длинный перечень преступлений, за которые сотрудники полиции могут быть привлечены к</w:t>
      </w:r>
      <w:proofErr w:type="gramEnd"/>
      <w:r w:rsidRPr="00AC0439">
        <w:t xml:space="preserve"> дисциплинарной о</w:t>
      </w:r>
      <w:r w:rsidRPr="00AC0439">
        <w:t>т</w:t>
      </w:r>
      <w:r w:rsidRPr="00AC0439">
        <w:t xml:space="preserve">ветственности. </w:t>
      </w:r>
      <w:proofErr w:type="gramStart"/>
      <w:r w:rsidRPr="00AC0439">
        <w:t xml:space="preserve">Кроме того, никакой </w:t>
      </w:r>
      <w:r>
        <w:t xml:space="preserve">индивидуальной </w:t>
      </w:r>
      <w:r w:rsidRPr="00AC0439">
        <w:t>уголовной ответственн</w:t>
      </w:r>
      <w:r w:rsidRPr="00AC0439">
        <w:t>о</w:t>
      </w:r>
      <w:r w:rsidRPr="00AC0439">
        <w:t>сти не предусмотрено в этом перечне в отношении, среди прочего, нарушений прав человека и внесудебных казней</w:t>
      </w:r>
      <w:r w:rsidRPr="00D52BD5">
        <w:rPr>
          <w:sz w:val="18"/>
          <w:szCs w:val="18"/>
          <w:vertAlign w:val="superscript"/>
        </w:rPr>
        <w:footnoteReference w:id="8"/>
      </w:r>
      <w:r w:rsidRPr="00AC0439">
        <w:t xml:space="preserve">. Кроме того, даже когда Верховный суд указал полиции на необходимость принимать первоначальные информационные сообщения в отношении таких лиц, полицией по этому поводу не было принято </w:t>
      </w:r>
      <w:r>
        <w:t xml:space="preserve">никаких или </w:t>
      </w:r>
      <w:r w:rsidRPr="00AC0439">
        <w:t>почти никаких мер.</w:t>
      </w:r>
      <w:proofErr w:type="gramEnd"/>
    </w:p>
    <w:p w:rsidR="003F3E3F" w:rsidRPr="00AC0439" w:rsidRDefault="003F3E3F" w:rsidP="003F3E3F">
      <w:pPr>
        <w:pStyle w:val="SingleTxtGR"/>
      </w:pPr>
      <w:r w:rsidRPr="00AC0439">
        <w:lastRenderedPageBreak/>
        <w:t>2.21</w:t>
      </w:r>
      <w:r w:rsidRPr="00AC0439">
        <w:tab/>
        <w:t>Автор добавляет, что Закон об армии (1959 года) также предусматривает иммунитет от судебного преследования для всех военнослужащих в тех случ</w:t>
      </w:r>
      <w:r w:rsidRPr="00AC0439">
        <w:t>а</w:t>
      </w:r>
      <w:r w:rsidRPr="00AC0439">
        <w:t>ях, когда действия, о которых идет речь, имели место при исполнении ими св</w:t>
      </w:r>
      <w:r w:rsidRPr="00AC0439">
        <w:t>о</w:t>
      </w:r>
      <w:r w:rsidRPr="00AC0439">
        <w:t xml:space="preserve">их должностных обязанностей. В </w:t>
      </w:r>
      <w:r>
        <w:t>статье</w:t>
      </w:r>
      <w:r w:rsidRPr="00AC0439">
        <w:t xml:space="preserve"> 24</w:t>
      </w:r>
      <w:proofErr w:type="gramStart"/>
      <w:r w:rsidRPr="00AC0439">
        <w:t xml:space="preserve"> А</w:t>
      </w:r>
      <w:proofErr w:type="gramEnd"/>
      <w:r w:rsidRPr="00AC0439">
        <w:t xml:space="preserve"> указано, что "в тех случаях, когда какое-либо лицо погибает или несет какой-либо ущерб в результате какого-либо действия, предпринятого любым лицом, к которому этот закон применяется, во время исполнения им своих обязанностей, никакое заявление не может быть подано в суд в отношении такого лица". </w:t>
      </w:r>
      <w:proofErr w:type="gramStart"/>
      <w:r w:rsidRPr="00AC0439">
        <w:t xml:space="preserve">Закон об армии действительно </w:t>
      </w:r>
      <w:r>
        <w:t>соде</w:t>
      </w:r>
      <w:r>
        <w:t>р</w:t>
      </w:r>
      <w:r>
        <w:t xml:space="preserve">жит </w:t>
      </w:r>
      <w:r w:rsidRPr="00AC0439">
        <w:t>положение, требующее проведения расследований и военных трибуналов за нарушения этого Закона, но, тем не менее, в ограниченном числе случаев, к</w:t>
      </w:r>
      <w:r w:rsidRPr="00AC0439">
        <w:t>о</w:t>
      </w:r>
      <w:r w:rsidRPr="00AC0439">
        <w:t>гда военные трибуналы действительно проводились, жертвы не допускались к участию в судебных разбирательствах и их результаты им не сообщались</w:t>
      </w:r>
      <w:r w:rsidRPr="00D52BD5">
        <w:rPr>
          <w:sz w:val="18"/>
          <w:szCs w:val="18"/>
          <w:vertAlign w:val="superscript"/>
        </w:rPr>
        <w:footnoteReference w:id="9"/>
      </w:r>
      <w:r w:rsidRPr="00AC0439">
        <w:t>. Кроме того, Закон об общественной безопасности (1989 года) предусматривает иммунитет в отношении какого-либо деяния, добросовестно совершенного го</w:t>
      </w:r>
      <w:r w:rsidRPr="00AC0439">
        <w:t>с</w:t>
      </w:r>
      <w:r w:rsidRPr="00AC0439">
        <w:t>ударственным</w:t>
      </w:r>
      <w:proofErr w:type="gramEnd"/>
      <w:r w:rsidRPr="00AC0439">
        <w:t xml:space="preserve"> должностным лицом при исполнении им служебных обязанн</w:t>
      </w:r>
      <w:r w:rsidRPr="00AC0439">
        <w:t>о</w:t>
      </w:r>
      <w:r w:rsidRPr="00AC0439">
        <w:t>стей</w:t>
      </w:r>
      <w:r w:rsidRPr="00D52BD5">
        <w:rPr>
          <w:sz w:val="18"/>
          <w:szCs w:val="18"/>
          <w:vertAlign w:val="superscript"/>
        </w:rPr>
        <w:footnoteReference w:id="10"/>
      </w:r>
      <w:r w:rsidRPr="00AC0439">
        <w:t>. В</w:t>
      </w:r>
      <w:r>
        <w:t> </w:t>
      </w:r>
      <w:r w:rsidRPr="00AC0439">
        <w:t xml:space="preserve">связи с этим, даже если бы дело было расследовано и передано в суд, обвиняемые военнослужащие, по всей вероятности, стали бы ссылаться на эти положения, чтобы избежать </w:t>
      </w:r>
      <w:r>
        <w:t>судебного преследования</w:t>
      </w:r>
      <w:r w:rsidRPr="00AC0439">
        <w:t>. Кроме того, общая атм</w:t>
      </w:r>
      <w:r w:rsidRPr="00AC0439">
        <w:t>о</w:t>
      </w:r>
      <w:r w:rsidRPr="00AC0439">
        <w:t>сфера безнаказанности в отношении сотрудников сил безопасности в Непале препятствует эффективному применению внутренних сре</w:t>
      </w:r>
      <w:proofErr w:type="gramStart"/>
      <w:r w:rsidRPr="00AC0439">
        <w:t>дств пр</w:t>
      </w:r>
      <w:proofErr w:type="gramEnd"/>
      <w:r w:rsidRPr="00AC0439">
        <w:t>авовой защиты и их доступности.</w:t>
      </w:r>
    </w:p>
    <w:p w:rsidR="003F3E3F" w:rsidRPr="00AC0439" w:rsidRDefault="003F3E3F" w:rsidP="003F3E3F">
      <w:pPr>
        <w:pStyle w:val="H23GR"/>
      </w:pPr>
      <w:r w:rsidRPr="00AC0439">
        <w:tab/>
      </w:r>
      <w:r w:rsidRPr="00AC0439">
        <w:tab/>
        <w:t>Жалоба</w:t>
      </w:r>
    </w:p>
    <w:p w:rsidR="003F3E3F" w:rsidRPr="00AC0439" w:rsidRDefault="003F3E3F" w:rsidP="003F3E3F">
      <w:pPr>
        <w:pStyle w:val="SingleTxtGR"/>
      </w:pPr>
      <w:r w:rsidRPr="00AC0439">
        <w:t>3.1</w:t>
      </w:r>
      <w:r w:rsidRPr="00AC0439">
        <w:tab/>
        <w:t xml:space="preserve">Автор заявляет о том, что </w:t>
      </w:r>
      <w:r>
        <w:t>применение</w:t>
      </w:r>
      <w:r w:rsidRPr="00AC0439">
        <w:t xml:space="preserve"> смертоносной силы против его д</w:t>
      </w:r>
      <w:r w:rsidRPr="00AC0439">
        <w:t>о</w:t>
      </w:r>
      <w:r w:rsidRPr="00AC0439">
        <w:t>чери носило несоразмерный характер</w:t>
      </w:r>
      <w:r>
        <w:t>,</w:t>
      </w:r>
      <w:r w:rsidRPr="00AC0439">
        <w:t xml:space="preserve"> не было необходимым и представляет собой нарушение статьи 6 Пакта. Кроме того, поскольку никаких эффективных расследований убийства его дочери до настоящего времени</w:t>
      </w:r>
      <w:r w:rsidRPr="006F6881">
        <w:t xml:space="preserve"> </w:t>
      </w:r>
      <w:r w:rsidRPr="00AC0439">
        <w:t>так и не было пр</w:t>
      </w:r>
      <w:r w:rsidRPr="00AC0439">
        <w:t>о</w:t>
      </w:r>
      <w:r w:rsidRPr="00AC0439">
        <w:t xml:space="preserve">ведено, государство-участник не выполняет </w:t>
      </w:r>
      <w:r>
        <w:t xml:space="preserve">также </w:t>
      </w:r>
      <w:r w:rsidRPr="00AC0439">
        <w:t>своих обязательств в соо</w:t>
      </w:r>
      <w:r w:rsidRPr="00AC0439">
        <w:t>т</w:t>
      </w:r>
      <w:r w:rsidRPr="00AC0439">
        <w:t xml:space="preserve">ветствии со статьей 6, рассматриваемой в совокупности с пунктом 3 статьи 2 Пакта. </w:t>
      </w:r>
      <w:r>
        <w:t>Помимо этого</w:t>
      </w:r>
      <w:r w:rsidRPr="00AC0439">
        <w:t>, автор заявляет о том, что система уголовного правосудия Непала не обеспечивает каких-либо проце</w:t>
      </w:r>
      <w:r>
        <w:t>ссуальных</w:t>
      </w:r>
      <w:r w:rsidRPr="00AC0439">
        <w:t xml:space="preserve"> гарантий справедливого и открытого слушания в компетентном, независимом и беспристрастном суде, что представляет собой еще одно нарушение статьи 6, рассматриваемой в совоку</w:t>
      </w:r>
      <w:r w:rsidRPr="00AC0439">
        <w:t>п</w:t>
      </w:r>
      <w:r w:rsidRPr="00AC0439">
        <w:t>ности с пунктом 3 статьи 2 Пакта. В тех случаях, когда ответчиком является государственный субъект, в государстве-участнике не обеспечивается достато</w:t>
      </w:r>
      <w:r w:rsidRPr="00AC0439">
        <w:t>ч</w:t>
      </w:r>
      <w:r w:rsidRPr="00AC0439">
        <w:t>ной независимости и беспристрастности.</w:t>
      </w:r>
    </w:p>
    <w:p w:rsidR="003F3E3F" w:rsidRPr="00AC0439" w:rsidRDefault="003F3E3F" w:rsidP="003F3E3F">
      <w:pPr>
        <w:pStyle w:val="SingleTxtGR"/>
      </w:pPr>
      <w:r w:rsidRPr="00AC0439">
        <w:t>3.2</w:t>
      </w:r>
      <w:r w:rsidRPr="00AC0439">
        <w:tab/>
        <w:t xml:space="preserve">Автор выражает обеспокоенность в связи с тем, что </w:t>
      </w:r>
      <w:r>
        <w:t xml:space="preserve">по </w:t>
      </w:r>
      <w:r w:rsidRPr="00AC0439">
        <w:t>данно</w:t>
      </w:r>
      <w:r>
        <w:t>му</w:t>
      </w:r>
      <w:r w:rsidRPr="00AC0439">
        <w:t xml:space="preserve"> дел</w:t>
      </w:r>
      <w:r>
        <w:t>у м</w:t>
      </w:r>
      <w:r>
        <w:t>о</w:t>
      </w:r>
      <w:r>
        <w:t>жет</w:t>
      </w:r>
      <w:r w:rsidRPr="00AC0439">
        <w:t xml:space="preserve"> быть созван военный суд, вместо того, чтобы виновные предстали перед гражданскими судами. Решения, вынесенные военными трибуналами, не могут быть обжалованы, а слушания проводятся в закрытом режиме. Судебное разб</w:t>
      </w:r>
      <w:r w:rsidRPr="00AC0439">
        <w:t>и</w:t>
      </w:r>
      <w:r w:rsidRPr="00AC0439">
        <w:t>рательство в военном суде является нарушением его прав в соответствии со статьей 6, рассматриваемой в совокупности с пунктом 3 статьи 2 Пакта</w:t>
      </w:r>
      <w:bookmarkStart w:id="3" w:name="_Ref315380039"/>
      <w:r w:rsidRPr="00D52BD5">
        <w:rPr>
          <w:sz w:val="18"/>
          <w:szCs w:val="18"/>
          <w:vertAlign w:val="superscript"/>
        </w:rPr>
        <w:footnoteReference w:id="11"/>
      </w:r>
      <w:bookmarkEnd w:id="3"/>
      <w:r w:rsidRPr="00AC0439">
        <w:t xml:space="preserve">. Кроме того, наказания, </w:t>
      </w:r>
      <w:r>
        <w:t xml:space="preserve">назначаемые </w:t>
      </w:r>
      <w:r w:rsidRPr="00AC0439">
        <w:t>военными судами, не соотносятся с последстви</w:t>
      </w:r>
      <w:r w:rsidRPr="00AC0439">
        <w:t>я</w:t>
      </w:r>
      <w:r w:rsidRPr="00AC0439">
        <w:t xml:space="preserve">ми нарушений, поскольку они </w:t>
      </w:r>
      <w:r>
        <w:t xml:space="preserve">носят </w:t>
      </w:r>
      <w:r w:rsidRPr="00AC0439">
        <w:t>исключительно дисциплинарный характер. Это представляет собой еще одно нарушение статьи 6, рассматриваемой в сов</w:t>
      </w:r>
      <w:r w:rsidRPr="00AC0439">
        <w:t>о</w:t>
      </w:r>
      <w:r w:rsidRPr="00AC0439">
        <w:t>купности с пунктом 3 статьи 2.</w:t>
      </w:r>
    </w:p>
    <w:p w:rsidR="003F3E3F" w:rsidRPr="000450D1" w:rsidRDefault="003F3E3F" w:rsidP="003F3E3F"/>
    <w:p w:rsidR="00784075" w:rsidRDefault="00784075" w:rsidP="00784075">
      <w:pPr>
        <w:pStyle w:val="SingleTxtGR"/>
      </w:pPr>
      <w:r>
        <w:lastRenderedPageBreak/>
        <w:t>3.3</w:t>
      </w:r>
      <w:r w:rsidRPr="00390A81">
        <w:tab/>
      </w:r>
      <w:r>
        <w:t xml:space="preserve">Автор заявляет о том, что обстоятельства ареста и казни </w:t>
      </w:r>
      <w:proofErr w:type="spellStart"/>
      <w:r>
        <w:t>Субхадры</w:t>
      </w:r>
      <w:proofErr w:type="spellEnd"/>
      <w:r>
        <w:t xml:space="preserve"> пре</w:t>
      </w:r>
      <w:r>
        <w:t>д</w:t>
      </w:r>
      <w:r>
        <w:t>ставляют собой нарушение статьи 7 Пакта. Первый выстрел в ее сторону фа</w:t>
      </w:r>
      <w:r>
        <w:t>к</w:t>
      </w:r>
      <w:r>
        <w:t>тически представлял собой имитацию казни, даже если это было непреднам</w:t>
      </w:r>
      <w:r>
        <w:t>е</w:t>
      </w:r>
      <w:r>
        <w:t>ренно. Это является нарушением статьи 7 Пакта. Кроме того, его дочь подвер</w:t>
      </w:r>
      <w:r>
        <w:t>г</w:t>
      </w:r>
      <w:r>
        <w:t>лась нападению, в нее стреляли, а затем жестоко избили, что также представл</w:t>
      </w:r>
      <w:r>
        <w:t>я</w:t>
      </w:r>
      <w:r>
        <w:t>ет собой нарушение статьи 7.</w:t>
      </w:r>
    </w:p>
    <w:p w:rsidR="00784075" w:rsidRDefault="00784075" w:rsidP="00784075">
      <w:pPr>
        <w:pStyle w:val="SingleTxtGR"/>
      </w:pPr>
      <w:r>
        <w:t>3.4</w:t>
      </w:r>
      <w:r>
        <w:tab/>
        <w:t>Автор сообщения утверждает, что устные оскорбления и угрозы уби</w:t>
      </w:r>
      <w:r>
        <w:t>й</w:t>
      </w:r>
      <w:r>
        <w:t>ством в отношении ее дочери, прежде чем она была убита, являются унижа</w:t>
      </w:r>
      <w:r>
        <w:t>ю</w:t>
      </w:r>
      <w:r>
        <w:t xml:space="preserve">щим достоинство видом обращения и представляют собой нарушение статьи 7. Он подчеркивает, что </w:t>
      </w:r>
      <w:proofErr w:type="spellStart"/>
      <w:r>
        <w:t>Субхадру</w:t>
      </w:r>
      <w:proofErr w:type="spellEnd"/>
      <w:r>
        <w:t xml:space="preserve"> неоднократно называли "</w:t>
      </w:r>
      <w:proofErr w:type="gramStart"/>
      <w:r>
        <w:t>шлюхой</w:t>
      </w:r>
      <w:proofErr w:type="gramEnd"/>
      <w:r>
        <w:t xml:space="preserve">", словом, имеющим сильные сексуальные коннотации, с целью унизить как </w:t>
      </w:r>
      <w:proofErr w:type="spellStart"/>
      <w:r>
        <w:t>Субхадру</w:t>
      </w:r>
      <w:proofErr w:type="spellEnd"/>
      <w:r>
        <w:t>, так и самого автора.</w:t>
      </w:r>
    </w:p>
    <w:p w:rsidR="00784075" w:rsidRDefault="00784075" w:rsidP="00784075">
      <w:pPr>
        <w:pStyle w:val="SingleTxtGR"/>
      </w:pPr>
      <w:r>
        <w:t>3.5</w:t>
      </w:r>
      <w:proofErr w:type="gramStart"/>
      <w:r>
        <w:tab/>
        <w:t>К</w:t>
      </w:r>
      <w:proofErr w:type="gramEnd"/>
      <w:r>
        <w:t>роме того, автор заявляет о том, что обращение, которому он подверга</w:t>
      </w:r>
      <w:r>
        <w:t>л</w:t>
      </w:r>
      <w:r>
        <w:t>ся, включая жестокие избиения, тот факт, что он был вынужден наблюдать за казнью своей дочери, а также последующая безнаказанность лиц, виновных в этом, является пыткой в нарушение статьи 7.</w:t>
      </w:r>
    </w:p>
    <w:p w:rsidR="00784075" w:rsidRDefault="00784075" w:rsidP="00784075">
      <w:pPr>
        <w:pStyle w:val="SingleTxtGR"/>
      </w:pPr>
      <w:r>
        <w:t>3.6</w:t>
      </w:r>
      <w:r>
        <w:tab/>
        <w:t>Автор утверждает, что его дочь не была маоистской, и, даже если чле</w:t>
      </w:r>
      <w:r>
        <w:t>н</w:t>
      </w:r>
      <w:r>
        <w:t>ство в запрещенной организации представляет собой преступление в соотве</w:t>
      </w:r>
      <w:r>
        <w:t>т</w:t>
      </w:r>
      <w:r>
        <w:t>ствии с законодательством Непала, арест 17-летней невооруженной девушки группой вооруженных солдат без ордера на арест глубокой ночью не может быть оправдан и является нарушением статьи 9 Пакта. Автор заявляет, что п</w:t>
      </w:r>
      <w:r>
        <w:t>о</w:t>
      </w:r>
      <w:r>
        <w:t xml:space="preserve">сле задержания </w:t>
      </w:r>
      <w:proofErr w:type="spellStart"/>
      <w:r>
        <w:t>Субхадра</w:t>
      </w:r>
      <w:proofErr w:type="spellEnd"/>
      <w:r>
        <w:t xml:space="preserve"> не получала "гуманного обращения и уважения д</w:t>
      </w:r>
      <w:r>
        <w:t>о</w:t>
      </w:r>
      <w:r>
        <w:t>стоинства, присущего человеческой личности", что является нарушением ст</w:t>
      </w:r>
      <w:r>
        <w:t>а</w:t>
      </w:r>
      <w:r>
        <w:t>тьи 10 Пакта.</w:t>
      </w:r>
    </w:p>
    <w:p w:rsidR="00784075" w:rsidRDefault="00784075" w:rsidP="00784075">
      <w:pPr>
        <w:pStyle w:val="SingleTxtGR"/>
      </w:pPr>
      <w:r>
        <w:t>3.7</w:t>
      </w:r>
      <w:r>
        <w:tab/>
        <w:t>Автор утверждает, что отсутствие "равной защиты закона" в данном сл</w:t>
      </w:r>
      <w:r>
        <w:t>у</w:t>
      </w:r>
      <w:r>
        <w:t>чае представляет собой нарушение статьи 26 Пакта. Согласно статье 13 гл</w:t>
      </w:r>
      <w:r>
        <w:t>а</w:t>
      </w:r>
      <w:r>
        <w:t>вы 10 "Об убийствах" Национального правового кодекса ("</w:t>
      </w:r>
      <w:proofErr w:type="spellStart"/>
      <w:r>
        <w:t>Мулуки</w:t>
      </w:r>
      <w:proofErr w:type="spellEnd"/>
      <w:r>
        <w:t xml:space="preserve"> </w:t>
      </w:r>
      <w:proofErr w:type="spellStart"/>
      <w:r>
        <w:t>Айн</w:t>
      </w:r>
      <w:proofErr w:type="spellEnd"/>
      <w:r>
        <w:t>") лицо, которое умышленно совершает акт убийства, подлежит пожизненному тюре</w:t>
      </w:r>
      <w:r>
        <w:t>м</w:t>
      </w:r>
      <w:r>
        <w:t xml:space="preserve">ному заключению с конфискацией всего имущества и собственности. Тем не менее, поскольку лица, убившие </w:t>
      </w:r>
      <w:proofErr w:type="spellStart"/>
      <w:r>
        <w:t>Субхадру</w:t>
      </w:r>
      <w:proofErr w:type="spellEnd"/>
      <w:r>
        <w:t>, были государственными служащ</w:t>
      </w:r>
      <w:r>
        <w:t>и</w:t>
      </w:r>
      <w:r>
        <w:t>ми, они могут избежать судебного преследования. Кроме того, вследствие наличия системы единого командования</w:t>
      </w:r>
      <w:r>
        <w:rPr>
          <w:rStyle w:val="ab"/>
        </w:rPr>
        <w:footnoteReference w:id="12"/>
      </w:r>
      <w:r>
        <w:t xml:space="preserve"> полиции было чрезвычайно трудно проводить расследования в тех случаях, когда дело касалось армейского офиц</w:t>
      </w:r>
      <w:r>
        <w:t>е</w:t>
      </w:r>
      <w:r>
        <w:t>ра, поскольку зачастую такой армейский офицер являлся их вышестоящим начальником. Как это уже разъяснялось выше, существует ряд положений вну</w:t>
      </w:r>
      <w:r>
        <w:t>т</w:t>
      </w:r>
      <w:r>
        <w:t>реннего законодательства, которые позволяют государственным служащим и</w:t>
      </w:r>
      <w:r>
        <w:t>з</w:t>
      </w:r>
      <w:r>
        <w:t>бежать судебного преследования за преступления, за которые рядовые граждане преследуются в судебном порядке.</w:t>
      </w:r>
    </w:p>
    <w:p w:rsidR="00784075" w:rsidRDefault="00784075" w:rsidP="00784075">
      <w:pPr>
        <w:pStyle w:val="SingleTxtGR"/>
      </w:pPr>
      <w:proofErr w:type="gramStart"/>
      <w:r>
        <w:t>3.8</w:t>
      </w:r>
      <w:r>
        <w:tab/>
        <w:t>Автор предлагает Комитету обратиться к государству-участнику с прос</w:t>
      </w:r>
      <w:r>
        <w:t>ь</w:t>
      </w:r>
      <w:r>
        <w:t>бой провести полное и эффективное уголовное расследование по этим обвин</w:t>
      </w:r>
      <w:r>
        <w:t>е</w:t>
      </w:r>
      <w:r>
        <w:t>ниям, которое способно привести к судебному преследованию всех тех, кто несет за это ответственность, в том числе как лиц, которые совершили эти де</w:t>
      </w:r>
      <w:r>
        <w:t>й</w:t>
      </w:r>
      <w:r>
        <w:t>ствия, так и тех, кто руководил или иным образом дал разрешение на эти де</w:t>
      </w:r>
      <w:r>
        <w:t>й</w:t>
      </w:r>
      <w:r>
        <w:lastRenderedPageBreak/>
        <w:t>ствия или молчаливо согласился с этими действиями.</w:t>
      </w:r>
      <w:proofErr w:type="gramEnd"/>
      <w:r>
        <w:t xml:space="preserve"> Он просит</w:t>
      </w:r>
      <w:r w:rsidRPr="00437816">
        <w:t xml:space="preserve"> </w:t>
      </w:r>
      <w:r>
        <w:t>также Комитет распорядиться, чтобы государство-участник предоставило полную и реальную компенсацию за нарушения прав, в том числе финансовую компенсацию люб</w:t>
      </w:r>
      <w:r>
        <w:t>о</w:t>
      </w:r>
      <w:r>
        <w:t>го материального и нематериального ущерба, восстановление прав, реабилит</w:t>
      </w:r>
      <w:r>
        <w:t>а</w:t>
      </w:r>
      <w:r>
        <w:t xml:space="preserve">цию, меры сатисфакции и гарантии </w:t>
      </w:r>
      <w:proofErr w:type="spellStart"/>
      <w:r>
        <w:t>неповторения</w:t>
      </w:r>
      <w:proofErr w:type="spellEnd"/>
      <w:r>
        <w:t>. Что касается мер общего х</w:t>
      </w:r>
      <w:r>
        <w:t>а</w:t>
      </w:r>
      <w:r>
        <w:t>рактера, то он просит государство-участник провести реформу своего законод</w:t>
      </w:r>
      <w:r>
        <w:t>а</w:t>
      </w:r>
      <w:r>
        <w:t xml:space="preserve">тельства и учреждений в целях обеспечения достаточных гарантий </w:t>
      </w:r>
      <w:proofErr w:type="spellStart"/>
      <w:r>
        <w:t>неповтор</w:t>
      </w:r>
      <w:r>
        <w:t>е</w:t>
      </w:r>
      <w:r>
        <w:t>ния</w:t>
      </w:r>
      <w:proofErr w:type="spellEnd"/>
      <w:r>
        <w:t xml:space="preserve"> нарушений такого рода.</w:t>
      </w:r>
    </w:p>
    <w:p w:rsidR="00784075" w:rsidRDefault="00784075" w:rsidP="00784075">
      <w:pPr>
        <w:pStyle w:val="H23GR"/>
      </w:pPr>
      <w:r>
        <w:tab/>
      </w:r>
      <w:r>
        <w:tab/>
        <w:t>Замечания государства-участника относительно приемлемости сообщения</w:t>
      </w:r>
    </w:p>
    <w:p w:rsidR="00784075" w:rsidRDefault="00784075" w:rsidP="00784075">
      <w:pPr>
        <w:pStyle w:val="SingleTxtGR"/>
      </w:pPr>
      <w:r>
        <w:t>4.1</w:t>
      </w:r>
      <w:proofErr w:type="gramStart"/>
      <w:r>
        <w:tab/>
        <w:t>В</w:t>
      </w:r>
      <w:proofErr w:type="gramEnd"/>
      <w:r>
        <w:t xml:space="preserve"> вербальной ноте от 15 марта 2011 года государство-участник изложило свои замечания, оспорив приемлемость сообщения по причине </w:t>
      </w:r>
      <w:proofErr w:type="spellStart"/>
      <w:r>
        <w:t>неисчерпания</w:t>
      </w:r>
      <w:proofErr w:type="spellEnd"/>
      <w:r>
        <w:t xml:space="preserve"> внутренних средств правовой защиты. 5 июня 2006 года автор подал в </w:t>
      </w:r>
      <w:proofErr w:type="spellStart"/>
      <w:r>
        <w:t>РОП</w:t>
      </w:r>
      <w:proofErr w:type="spellEnd"/>
      <w:r>
        <w:t xml:space="preserve"> в </w:t>
      </w:r>
      <w:proofErr w:type="spellStart"/>
      <w:r>
        <w:t>Кавре</w:t>
      </w:r>
      <w:proofErr w:type="spellEnd"/>
      <w:r>
        <w:t xml:space="preserve"> первичное информационное сообщение, в котором утверждалось, что поисковая операция поисковой группы бригады № 9 под командованием лейт</w:t>
      </w:r>
      <w:r>
        <w:t>е</w:t>
      </w:r>
      <w:r>
        <w:t>нанта привела к убийству его дочери. 14 декабря 2009 года Верховный суд в</w:t>
      </w:r>
      <w:r>
        <w:t>ы</w:t>
      </w:r>
      <w:r>
        <w:t>нес судебный приказ, предписывающий незамедлительно завершить расслед</w:t>
      </w:r>
      <w:r>
        <w:t>о</w:t>
      </w:r>
      <w:r>
        <w:t xml:space="preserve">вание в связи с этим </w:t>
      </w:r>
      <w:proofErr w:type="spellStart"/>
      <w:r>
        <w:t>ПИС</w:t>
      </w:r>
      <w:proofErr w:type="spellEnd"/>
      <w:r>
        <w:t xml:space="preserve">. После этого приказа юридический отдел Главного управления полиции издал распоряжения всем подчиненным ему сотрудникам полиции провести оперативные и эффективные расследования. После приказа Верховного суда </w:t>
      </w:r>
      <w:proofErr w:type="spellStart"/>
      <w:r>
        <w:t>РОП</w:t>
      </w:r>
      <w:proofErr w:type="spellEnd"/>
      <w:r>
        <w:t xml:space="preserve"> в </w:t>
      </w:r>
      <w:proofErr w:type="spellStart"/>
      <w:r>
        <w:t>Кавре</w:t>
      </w:r>
      <w:proofErr w:type="spellEnd"/>
      <w:r>
        <w:t xml:space="preserve"> ускорило процесс расследования. 23 апреля 2010 года </w:t>
      </w:r>
      <w:proofErr w:type="spellStart"/>
      <w:r>
        <w:t>РОП</w:t>
      </w:r>
      <w:proofErr w:type="spellEnd"/>
      <w:r>
        <w:t xml:space="preserve"> зарегистрировало показания двух свидетелей. Жену автора та</w:t>
      </w:r>
      <w:r>
        <w:t>к</w:t>
      </w:r>
      <w:r>
        <w:t>же опросили 30 августа 2010 года. 21 января 2011 года представители местного отделения полиции (</w:t>
      </w:r>
      <w:proofErr w:type="spellStart"/>
      <w:r>
        <w:t>Каттике</w:t>
      </w:r>
      <w:proofErr w:type="spellEnd"/>
      <w:r>
        <w:t>) посетили место преступления и "на месте сост</w:t>
      </w:r>
      <w:r>
        <w:t>а</w:t>
      </w:r>
      <w:r>
        <w:t>вили протокол"</w:t>
      </w:r>
      <w:r>
        <w:rPr>
          <w:rStyle w:val="ab"/>
        </w:rPr>
        <w:footnoteReference w:id="13"/>
      </w:r>
      <w:r>
        <w:t>. Государство-участник добавляет, что "необходимые дальне</w:t>
      </w:r>
      <w:r>
        <w:t>й</w:t>
      </w:r>
      <w:r>
        <w:t>шие следственные действия проводятся полицией в кратчайшие сроки в соо</w:t>
      </w:r>
      <w:r>
        <w:t>т</w:t>
      </w:r>
      <w:r>
        <w:t>ветствии с действующим законодательством".</w:t>
      </w:r>
    </w:p>
    <w:p w:rsidR="00784075" w:rsidRDefault="00784075" w:rsidP="00784075">
      <w:pPr>
        <w:pStyle w:val="SingleTxtGR"/>
      </w:pPr>
      <w:r>
        <w:t>4.2</w:t>
      </w:r>
      <w:proofErr w:type="gramStart"/>
      <w:r>
        <w:tab/>
        <w:t>К</w:t>
      </w:r>
      <w:proofErr w:type="gramEnd"/>
      <w:r>
        <w:t>роме того, государство-участник сообщило, что в настоящее время в</w:t>
      </w:r>
      <w:r>
        <w:t>е</w:t>
      </w:r>
      <w:r>
        <w:t xml:space="preserve">дутся расследования в связи с другими инцидентами, которые имели место 11 февраля 2004 года. Например, капрал, который, по сообщениям, был виновен в убийстве г-жи </w:t>
      </w:r>
      <w:proofErr w:type="spellStart"/>
      <w:r>
        <w:t>Р.Р</w:t>
      </w:r>
      <w:proofErr w:type="spellEnd"/>
      <w:r>
        <w:t xml:space="preserve">. и который скрылся после этого инцидента, был арестован полицией и должен предстать перед районным судом </w:t>
      </w:r>
      <w:proofErr w:type="spellStart"/>
      <w:r>
        <w:t>Кавре</w:t>
      </w:r>
      <w:proofErr w:type="spellEnd"/>
      <w:r>
        <w:t xml:space="preserve"> по обвинению в убийстве. Государство-участник утверждает</w:t>
      </w:r>
      <w:r w:rsidRPr="00437816">
        <w:t xml:space="preserve"> </w:t>
      </w:r>
      <w:r>
        <w:t>также, что внутренние средства правовой защиты не были исчерпаны, поскольку факты, изложенные в насто</w:t>
      </w:r>
      <w:r>
        <w:t>я</w:t>
      </w:r>
      <w:r>
        <w:t>щем сообщении, все еще расследуются. Государство-участник заверяет в своей готовности проводить надлежащие и всеобъемлющие расследования всех сл</w:t>
      </w:r>
      <w:r>
        <w:t>у</w:t>
      </w:r>
      <w:r>
        <w:t>чаев предполагаемых нарушений прав человека, которые имели место в течение этого 10-летнего вооруженного конфликта, и уже "приняло меры в целях разр</w:t>
      </w:r>
      <w:r>
        <w:t>а</w:t>
      </w:r>
      <w:r>
        <w:t>ботки надлежащих механизмов правосудия переходного периода".</w:t>
      </w:r>
    </w:p>
    <w:p w:rsidR="00784075" w:rsidRDefault="00784075" w:rsidP="00784075">
      <w:pPr>
        <w:pStyle w:val="SingleTxtGR"/>
      </w:pPr>
      <w:r>
        <w:t>4.3</w:t>
      </w:r>
      <w:r>
        <w:tab/>
        <w:t>Государство-участник указывает на то, что 11 февраля 2004 года бриг</w:t>
      </w:r>
      <w:r>
        <w:t>а</w:t>
      </w:r>
      <w:r>
        <w:t xml:space="preserve">да № 9 из </w:t>
      </w:r>
      <w:proofErr w:type="spellStart"/>
      <w:r>
        <w:t>Бхакундебеси</w:t>
      </w:r>
      <w:proofErr w:type="spellEnd"/>
      <w:r>
        <w:t xml:space="preserve"> проводила операцию в деревне </w:t>
      </w:r>
      <w:proofErr w:type="spellStart"/>
      <w:r>
        <w:t>Покхари-Чаури</w:t>
      </w:r>
      <w:proofErr w:type="spellEnd"/>
      <w:r>
        <w:t xml:space="preserve"> в ра</w:t>
      </w:r>
      <w:r>
        <w:t>й</w:t>
      </w:r>
      <w:r>
        <w:t xml:space="preserve">оне </w:t>
      </w:r>
      <w:proofErr w:type="spellStart"/>
      <w:r>
        <w:t>Кавре</w:t>
      </w:r>
      <w:proofErr w:type="spellEnd"/>
      <w:r>
        <w:t>. В ходе этой операции группа сил безопасности провела обыски в р</w:t>
      </w:r>
      <w:r>
        <w:t>я</w:t>
      </w:r>
      <w:r>
        <w:t xml:space="preserve">де домов, поскольку поступила информация о том, что на этой территории скрываются террористы. Группа сил безопасности прибыла к дому </w:t>
      </w:r>
      <w:proofErr w:type="spellStart"/>
      <w:r>
        <w:t>Субхадры</w:t>
      </w:r>
      <w:proofErr w:type="spellEnd"/>
      <w:r>
        <w:t xml:space="preserve"> </w:t>
      </w:r>
      <w:proofErr w:type="spellStart"/>
      <w:r>
        <w:t>Чаулагайн</w:t>
      </w:r>
      <w:proofErr w:type="spellEnd"/>
      <w:r>
        <w:t>, подозревавшейся в терроризме. Несмотря на просьбы, она не о</w:t>
      </w:r>
      <w:r>
        <w:t>т</w:t>
      </w:r>
      <w:r>
        <w:t>крывала дверь в течение 15 минут. Когда дверь была открыта и группа сил бе</w:t>
      </w:r>
      <w:r>
        <w:t>з</w:t>
      </w:r>
      <w:r>
        <w:t xml:space="preserve">опасности вошла в дом, другое лицо, подозреваемое в терроризме, выпрыгнуло из окна. Когда некоторые из сотрудников сил безопасности поднимались по лестнице, они заметили, что </w:t>
      </w:r>
      <w:proofErr w:type="spellStart"/>
      <w:r>
        <w:t>Субхадра</w:t>
      </w:r>
      <w:proofErr w:type="spellEnd"/>
      <w:r>
        <w:t xml:space="preserve"> пытается убежать. Тогда она была ар</w:t>
      </w:r>
      <w:r>
        <w:t>е</w:t>
      </w:r>
      <w:r>
        <w:lastRenderedPageBreak/>
        <w:t xml:space="preserve">стована. При ней нашли </w:t>
      </w:r>
      <w:proofErr w:type="gramStart"/>
      <w:r>
        <w:t>пистолет</w:t>
      </w:r>
      <w:proofErr w:type="gramEnd"/>
      <w:r>
        <w:t xml:space="preserve"> и пять патронов. Будучи допрошенной, она сразу же призналась в том, что она является террористкой. </w:t>
      </w:r>
      <w:proofErr w:type="spellStart"/>
      <w:r>
        <w:t>Субхадра</w:t>
      </w:r>
      <w:proofErr w:type="spellEnd"/>
      <w:r>
        <w:t xml:space="preserve"> заявила, что многие террористы скрываются в деревне, и предложила указать их дома. После этого она сопровождала группу сил безопасности во время обысков д</w:t>
      </w:r>
      <w:r>
        <w:t>о</w:t>
      </w:r>
      <w:r>
        <w:t>мов. Во время одного обыска она попыталась сбежать. Последующие действия со стороны сотрудников сил безопасности "направленные на то, чтобы ее з</w:t>
      </w:r>
      <w:r>
        <w:t>а</w:t>
      </w:r>
      <w:r>
        <w:t xml:space="preserve">держать, к сожалению, привели к ее смерти". Государство-участник добавляет, что сотрудники сил безопасности не пытали и не насиловали г-жу </w:t>
      </w:r>
      <w:proofErr w:type="spellStart"/>
      <w:r>
        <w:t>Р.Р</w:t>
      </w:r>
      <w:proofErr w:type="spellEnd"/>
      <w:r>
        <w:t>.</w:t>
      </w:r>
    </w:p>
    <w:p w:rsidR="00784075" w:rsidRDefault="00784075" w:rsidP="00784075">
      <w:pPr>
        <w:pStyle w:val="SingleTxtGR"/>
      </w:pPr>
      <w:r>
        <w:t>4.4</w:t>
      </w:r>
      <w:r>
        <w:tab/>
        <w:t>Что касается расследования, то государство-участник заявляет, что к</w:t>
      </w:r>
      <w:r>
        <w:t>о</w:t>
      </w:r>
      <w:r>
        <w:t xml:space="preserve">мандир батальона, который отвечал за операцию в </w:t>
      </w:r>
      <w:proofErr w:type="spellStart"/>
      <w:r>
        <w:t>Покхари-Чаури</w:t>
      </w:r>
      <w:proofErr w:type="spellEnd"/>
      <w:r>
        <w:t xml:space="preserve"> 11 февраля 2004 года, подал рапорт об этом инциденте, который впоследствии был признан недостоверным. Был назначен следственный суд под председательством зам</w:t>
      </w:r>
      <w:r>
        <w:t>е</w:t>
      </w:r>
      <w:r>
        <w:t>стителя командира батальона. Поскольку следственный суд также не смог п</w:t>
      </w:r>
      <w:r>
        <w:t>о</w:t>
      </w:r>
      <w:r>
        <w:t>лучить удовлетворительную информацию, командование армии назначило др</w:t>
      </w:r>
      <w:r>
        <w:t>у</w:t>
      </w:r>
      <w:r>
        <w:t>гой следственный суд, который после проведения надлежащего расследования рекомендовал созвать военный трибунал. Военный трибунал, созванный в соо</w:t>
      </w:r>
      <w:r>
        <w:t>т</w:t>
      </w:r>
      <w:r>
        <w:t>ветствии с действовавшим тогда Законом об армии (1959 года), вынес решение, согласно которому: a) командир батальона был признан виновным в подаче н</w:t>
      </w:r>
      <w:r>
        <w:t>е</w:t>
      </w:r>
      <w:r>
        <w:t>достоверного рапорта об этом инциденте и ему был вынесен выговор; b) сле</w:t>
      </w:r>
      <w:r>
        <w:t>д</w:t>
      </w:r>
      <w:r>
        <w:t>ственный суд, созданный под председательством заместителя командира бат</w:t>
      </w:r>
      <w:r>
        <w:t>а</w:t>
      </w:r>
      <w:r>
        <w:t>льона, как было установлено, подготовил рапорт "без учета истинного полож</w:t>
      </w:r>
      <w:r>
        <w:t>е</w:t>
      </w:r>
      <w:r>
        <w:t xml:space="preserve">ния дел", и на заместителя командира батальона было наложено взыскание в виде отсрочки продвижения по службе на один год; c) лейтенант </w:t>
      </w:r>
      <w:proofErr w:type="spellStart"/>
      <w:r>
        <w:t>С.Б</w:t>
      </w:r>
      <w:proofErr w:type="spellEnd"/>
      <w:r>
        <w:t>., команд</w:t>
      </w:r>
      <w:r>
        <w:t>о</w:t>
      </w:r>
      <w:r>
        <w:t xml:space="preserve">вавший операцией, был признан виновным в отдаче приказов о применении чрезмерной силы, что привело к смерти г-жи </w:t>
      </w:r>
      <w:proofErr w:type="spellStart"/>
      <w:r>
        <w:t>Р.Р</w:t>
      </w:r>
      <w:proofErr w:type="spellEnd"/>
      <w:r>
        <w:t>., и был приговорен к наказ</w:t>
      </w:r>
      <w:r>
        <w:t>а</w:t>
      </w:r>
      <w:r>
        <w:t xml:space="preserve">нию в виде тюремного заключения на четыре месяца и отсрочки продвижения по службе на три года; d) один </w:t>
      </w:r>
      <w:proofErr w:type="spellStart"/>
      <w:r>
        <w:t>уоррент</w:t>
      </w:r>
      <w:proofErr w:type="spellEnd"/>
      <w:r>
        <w:t>-офицер второго класса, участвовавший в операции, был признан виновным в подстрекательстве, выражавшемся в н</w:t>
      </w:r>
      <w:r>
        <w:t>е</w:t>
      </w:r>
      <w:r>
        <w:t xml:space="preserve">надлежащих предложениях своему командиру, и приговорен к наказанию в виде тюремного заключения на четыре месяца. Государство-участник добавляет, что дело об убийстве в отношении предполагаемых правонарушителей, в том числе лейтенанта </w:t>
      </w:r>
      <w:proofErr w:type="spellStart"/>
      <w:r>
        <w:t>С.Б</w:t>
      </w:r>
      <w:proofErr w:type="spellEnd"/>
      <w:r>
        <w:t xml:space="preserve">., было передано в районный суд </w:t>
      </w:r>
      <w:proofErr w:type="spellStart"/>
      <w:r>
        <w:t>Кавре</w:t>
      </w:r>
      <w:proofErr w:type="spellEnd"/>
      <w:r>
        <w:t xml:space="preserve"> и в настоящее время ра</w:t>
      </w:r>
      <w:r>
        <w:t>с</w:t>
      </w:r>
      <w:r>
        <w:t>сматривается в суде.</w:t>
      </w:r>
    </w:p>
    <w:p w:rsidR="00784075" w:rsidRDefault="00784075" w:rsidP="00784075">
      <w:pPr>
        <w:pStyle w:val="H23GR"/>
      </w:pPr>
      <w:r>
        <w:tab/>
      </w:r>
      <w:r>
        <w:tab/>
        <w:t>Комментарии автора относительно замечаний государства-участника по вопросу о приемлемости</w:t>
      </w:r>
    </w:p>
    <w:p w:rsidR="00784075" w:rsidRDefault="00784075" w:rsidP="00784075">
      <w:pPr>
        <w:pStyle w:val="SingleTxtGR"/>
      </w:pPr>
      <w:r>
        <w:t>5.1</w:t>
      </w:r>
      <w:r>
        <w:tab/>
        <w:t>6 июня 2011 года автор прокомментировал замечания государства-участника относительно приемлемости сообщения. Автор заявляет, что утве</w:t>
      </w:r>
      <w:r>
        <w:t>р</w:t>
      </w:r>
      <w:r>
        <w:t>ждения государства-участника не подтверждаются какими-либо доказател</w:t>
      </w:r>
      <w:r>
        <w:t>ь</w:t>
      </w:r>
      <w:r>
        <w:t xml:space="preserve">ствами. </w:t>
      </w:r>
      <w:proofErr w:type="gramStart"/>
      <w:r>
        <w:t>Автор утверждает, что государство-участник, как представляется, осн</w:t>
      </w:r>
      <w:r>
        <w:t>о</w:t>
      </w:r>
      <w:r>
        <w:t>вывается на двух основных аргументах в поддержку своего довода о том, что это сообщение является неприемлемым: a) что средство правовой защиты предоставлено и предоставляется в настоящий момент, поскольку обстоятел</w:t>
      </w:r>
      <w:r>
        <w:t>ь</w:t>
      </w:r>
      <w:r>
        <w:t>ства дела были рассмотрены в военном трибунале, а виновные понесли наказ</w:t>
      </w:r>
      <w:r>
        <w:t>а</w:t>
      </w:r>
      <w:r>
        <w:t>ние или в настоящее время их дела разбираются в гражданских судах;</w:t>
      </w:r>
      <w:proofErr w:type="gramEnd"/>
      <w:r>
        <w:t xml:space="preserve"> и b) что расследования проводятся в настоящее время в соответствии с внутренним з</w:t>
      </w:r>
      <w:r>
        <w:t>а</w:t>
      </w:r>
      <w:r>
        <w:t>конодательством и</w:t>
      </w:r>
      <w:r w:rsidRPr="00AE3F3C">
        <w:t xml:space="preserve"> </w:t>
      </w:r>
      <w:r>
        <w:t>что, следовательно, внутренние средства правовой защиты не были исчерпаны.</w:t>
      </w:r>
    </w:p>
    <w:p w:rsidR="00784075" w:rsidRDefault="00784075" w:rsidP="00784075">
      <w:pPr>
        <w:pStyle w:val="SingleTxtGR"/>
      </w:pPr>
      <w:r>
        <w:t>5.2</w:t>
      </w:r>
      <w:r>
        <w:tab/>
        <w:t>Относительно первого утверждения автор отмечает, что в своих замеч</w:t>
      </w:r>
      <w:r>
        <w:t>а</w:t>
      </w:r>
      <w:r>
        <w:t>ниях государство-участник дает ложное представление о том, что военносл</w:t>
      </w:r>
      <w:r>
        <w:t>у</w:t>
      </w:r>
      <w:r>
        <w:t xml:space="preserve">жащие были наказаны военным трибуналом и в настоящее время привлечены к судебной ответственности в гражданских судах в связи с данным делом. Он </w:t>
      </w:r>
      <w:r>
        <w:lastRenderedPageBreak/>
        <w:t xml:space="preserve">утверждает, что это, тем не менее, неверно. </w:t>
      </w:r>
      <w:proofErr w:type="gramStart"/>
      <w:r>
        <w:t xml:space="preserve">В то время как имеются основания полагать, что обстоятельства убийства </w:t>
      </w:r>
      <w:proofErr w:type="spellStart"/>
      <w:r>
        <w:t>Субхадры</w:t>
      </w:r>
      <w:proofErr w:type="spellEnd"/>
      <w:r>
        <w:t xml:space="preserve"> были рассмотрены в военном трибунале в 2005 году, наказания, назначенные военным трибуналом, а также указанное последующее судебное преследование связаны не с убийством и ж</w:t>
      </w:r>
      <w:r>
        <w:t>е</w:t>
      </w:r>
      <w:r>
        <w:t>стоким, бесчеловечным и унижающим достоинство обращением с дочерью а</w:t>
      </w:r>
      <w:r>
        <w:t>в</w:t>
      </w:r>
      <w:r>
        <w:t>тора, а со случаями нарушения прав человека, имевшими место в отношении других лиц из той же деревни в</w:t>
      </w:r>
      <w:proofErr w:type="gramEnd"/>
      <w:r>
        <w:t xml:space="preserve"> </w:t>
      </w:r>
      <w:proofErr w:type="gramStart"/>
      <w:r>
        <w:t xml:space="preserve">тот же день, в частности в отношении г-жи </w:t>
      </w:r>
      <w:proofErr w:type="spellStart"/>
      <w:r>
        <w:t>Р.Р</w:t>
      </w:r>
      <w:proofErr w:type="spellEnd"/>
      <w:r>
        <w:t xml:space="preserve">. и г-на </w:t>
      </w:r>
      <w:proofErr w:type="spellStart"/>
      <w:r>
        <w:t>Т.Л</w:t>
      </w:r>
      <w:proofErr w:type="spellEnd"/>
      <w:r>
        <w:t>. Чтобы показать свое желание проводить расследования и судебное преследование виновных по данному делу, государство-участник ссылается на два "следственных суда", которые, по его признанию, основывались на сфабр</w:t>
      </w:r>
      <w:r>
        <w:t>и</w:t>
      </w:r>
      <w:r>
        <w:t>кованных фактах, а также на военный трибунал, проведенный в связи с "инц</w:t>
      </w:r>
      <w:r>
        <w:t>и</w:t>
      </w:r>
      <w:r>
        <w:t>дентом", т.е. с событиями, произошедшими в ту ночь во</w:t>
      </w:r>
      <w:proofErr w:type="gramEnd"/>
      <w:r>
        <w:t xml:space="preserve"> всей деревне. Эти в</w:t>
      </w:r>
      <w:r>
        <w:t>о</w:t>
      </w:r>
      <w:r>
        <w:t>енные трибуналы не только были в высшей степени неорганизованными и по</w:t>
      </w:r>
      <w:r>
        <w:t>л</w:t>
      </w:r>
      <w:r>
        <w:t>ностью неудовлетворительными в качестве средства правовой защиты, но и не привели к наказанию за убийство дочери автора и жестокое обращение с ней. Ненадлежащий характер этих так называемых "расследований" и военного тр</w:t>
      </w:r>
      <w:r>
        <w:t>и</w:t>
      </w:r>
      <w:r>
        <w:t>бунала в качестве средства правовой защиты в рамках данного сообщения по</w:t>
      </w:r>
      <w:r>
        <w:t>д</w:t>
      </w:r>
      <w:r>
        <w:t>тверждается тем фактом, что автор даже не знал об их проведении, когда под</w:t>
      </w:r>
      <w:r>
        <w:t>а</w:t>
      </w:r>
      <w:r>
        <w:t>вал свое сообщение в Комитет.</w:t>
      </w:r>
    </w:p>
    <w:p w:rsidR="00784075" w:rsidRDefault="00784075" w:rsidP="00784075">
      <w:pPr>
        <w:pStyle w:val="SingleTxtGR"/>
      </w:pPr>
      <w:r>
        <w:t>5.3</w:t>
      </w:r>
      <w:r>
        <w:tab/>
        <w:t>Законные представители автора узнали об этих судебных разбирател</w:t>
      </w:r>
      <w:r>
        <w:t>ь</w:t>
      </w:r>
      <w:r>
        <w:t>ствах только в конце марта или начале апреля 2011 года, когда они в неофиц</w:t>
      </w:r>
      <w:r>
        <w:t>и</w:t>
      </w:r>
      <w:r>
        <w:t>альном порядке получили перевод на английский язык решения военного тр</w:t>
      </w:r>
      <w:r>
        <w:t>и</w:t>
      </w:r>
      <w:r>
        <w:t>бунала от 28 августа 2005 года. Копия решения свидетельствует о том, что в</w:t>
      </w:r>
      <w:r>
        <w:t>о</w:t>
      </w:r>
      <w:r>
        <w:t xml:space="preserve">енный трибунал, в частности, установил, что </w:t>
      </w:r>
      <w:proofErr w:type="spellStart"/>
      <w:r>
        <w:t>Субхадра</w:t>
      </w:r>
      <w:proofErr w:type="spellEnd"/>
      <w:r>
        <w:t xml:space="preserve"> погибла в ходе боевых действий при попытке к бегству из кордона сил безопасности. Военный триб</w:t>
      </w:r>
      <w:r>
        <w:t>у</w:t>
      </w:r>
      <w:r>
        <w:t xml:space="preserve">нал не обнаружил каких-либо лиц, виновных в убийствах кого-либо из трех жертв. Вместе с тем он установил, что обстоятельства ареста и убийства дочери автора могут рассматриваться в качестве "обычных". Он посчитал, что убийства г-жи </w:t>
      </w:r>
      <w:proofErr w:type="spellStart"/>
      <w:r>
        <w:t>Р.Р</w:t>
      </w:r>
      <w:proofErr w:type="spellEnd"/>
      <w:r>
        <w:t xml:space="preserve">. и г-на </w:t>
      </w:r>
      <w:proofErr w:type="spellStart"/>
      <w:r>
        <w:t>Т.Л</w:t>
      </w:r>
      <w:proofErr w:type="spellEnd"/>
      <w:r>
        <w:t>. имели место в результате применения чрезмерной силы и что "безответственные действия" по оставлению тел этих жертв "привели к негативным последствиям для репутации армии". В связи с этими действиями военный трибунал признал 12 военнослужащих виновными в совершении пр</w:t>
      </w:r>
      <w:r>
        <w:t>е</w:t>
      </w:r>
      <w:r>
        <w:t>ступлений, предусмотренных статьями 54 и 60 Закона о вооруженных силах 1960 года (2016BS) (нарушение порядка и дисциплины, а также преступления, предусмотренные другими законами), но вынес наказание только трем военн</w:t>
      </w:r>
      <w:r>
        <w:t>о</w:t>
      </w:r>
      <w:r>
        <w:t>служащим – тем трем, которые официально предстали перед военным трибун</w:t>
      </w:r>
      <w:r>
        <w:t>а</w:t>
      </w:r>
      <w:r>
        <w:t>лом. Кроме того, он пришел к выводу о том, что командир батальона сознател</w:t>
      </w:r>
      <w:r>
        <w:t>ь</w:t>
      </w:r>
      <w:r>
        <w:t>но подготовил и представил недостоверный рапорт об этом инциденте, пытаясь "скрыть" его обстоятельства, и что заместитель командира не провел первое расследование надлежащим образом, приняв представленные ему факты без проверки.</w:t>
      </w:r>
    </w:p>
    <w:p w:rsidR="00784075" w:rsidRDefault="00784075" w:rsidP="00784075">
      <w:pPr>
        <w:pStyle w:val="SingleTxtGR"/>
      </w:pPr>
      <w:r>
        <w:t>5.4</w:t>
      </w:r>
      <w:r>
        <w:tab/>
        <w:t xml:space="preserve">Военный трибунал не назначил никаких наказаний в связи с убийством </w:t>
      </w:r>
      <w:proofErr w:type="spellStart"/>
      <w:r>
        <w:t>Субхадры</w:t>
      </w:r>
      <w:proofErr w:type="spellEnd"/>
      <w:r>
        <w:t>. Но даже если бы он это сделал, наказания были бы полностью н</w:t>
      </w:r>
      <w:r>
        <w:t>е</w:t>
      </w:r>
      <w:r>
        <w:t>адекватными, поскольку они были бы назначены за дисциплинарные наруш</w:t>
      </w:r>
      <w:r>
        <w:t>е</w:t>
      </w:r>
      <w:r>
        <w:t>ния и неуказанные "другие преступления", а не за незаконный арест, неправ</w:t>
      </w:r>
      <w:r>
        <w:t>о</w:t>
      </w:r>
      <w:r>
        <w:t>мерное обращение и убийство. Кроме того, вынесенные приговоры были чре</w:t>
      </w:r>
      <w:r>
        <w:t>з</w:t>
      </w:r>
      <w:r>
        <w:t>вычайно мягкими.</w:t>
      </w:r>
    </w:p>
    <w:p w:rsidR="00784075" w:rsidRPr="000450D1" w:rsidRDefault="00784075" w:rsidP="00784075">
      <w:pPr>
        <w:pStyle w:val="SingleTxtGR"/>
      </w:pPr>
      <w:proofErr w:type="gramStart"/>
      <w:r>
        <w:t>5.5</w:t>
      </w:r>
      <w:r>
        <w:tab/>
        <w:t xml:space="preserve">Дело об убийстве, переданное в районный суд </w:t>
      </w:r>
      <w:proofErr w:type="spellStart"/>
      <w:r>
        <w:t>Кавре</w:t>
      </w:r>
      <w:proofErr w:type="spellEnd"/>
      <w:r>
        <w:t xml:space="preserve"> в отношении пре</w:t>
      </w:r>
      <w:r>
        <w:t>д</w:t>
      </w:r>
      <w:r>
        <w:t xml:space="preserve">полагаемых преступников, включая лейтенанта </w:t>
      </w:r>
      <w:proofErr w:type="spellStart"/>
      <w:r>
        <w:t>С.Б</w:t>
      </w:r>
      <w:proofErr w:type="spellEnd"/>
      <w:r>
        <w:t xml:space="preserve">., а также арест и судебное преследование капрала в связи с убийством г-жи </w:t>
      </w:r>
      <w:proofErr w:type="spellStart"/>
      <w:r>
        <w:t>Р.Р</w:t>
      </w:r>
      <w:proofErr w:type="spellEnd"/>
      <w:r>
        <w:t>. не связаны с неправоме</w:t>
      </w:r>
      <w:r>
        <w:t>р</w:t>
      </w:r>
      <w:r>
        <w:t>ным обращением и убийством дочери автора, а касаются исключительно уби</w:t>
      </w:r>
      <w:r>
        <w:t>й</w:t>
      </w:r>
      <w:r>
        <w:t xml:space="preserve">ства г-жи </w:t>
      </w:r>
      <w:proofErr w:type="spellStart"/>
      <w:r>
        <w:t>Р.Р</w:t>
      </w:r>
      <w:proofErr w:type="spellEnd"/>
      <w:r>
        <w:t>., совершенного в ночь с 12 на 13 февраля 2004 года лейтена</w:t>
      </w:r>
      <w:r>
        <w:t>н</w:t>
      </w:r>
      <w:r>
        <w:lastRenderedPageBreak/>
        <w:t>том</w:t>
      </w:r>
      <w:r w:rsidR="00430E57">
        <w:t> </w:t>
      </w:r>
      <w:proofErr w:type="spellStart"/>
      <w:r>
        <w:t>С.Б</w:t>
      </w:r>
      <w:proofErr w:type="spellEnd"/>
      <w:r>
        <w:t>.</w:t>
      </w:r>
      <w:proofErr w:type="gramEnd"/>
      <w:r>
        <w:t xml:space="preserve"> и капралом </w:t>
      </w:r>
      <w:proofErr w:type="spellStart"/>
      <w:r>
        <w:t>К.К</w:t>
      </w:r>
      <w:proofErr w:type="spellEnd"/>
      <w:r>
        <w:t xml:space="preserve">. Законные представители автора направляли запросы в </w:t>
      </w:r>
      <w:proofErr w:type="spellStart"/>
      <w:r>
        <w:t>РОП</w:t>
      </w:r>
      <w:proofErr w:type="spellEnd"/>
      <w:r>
        <w:t xml:space="preserve"> в </w:t>
      </w:r>
      <w:proofErr w:type="spellStart"/>
      <w:r>
        <w:t>Кавре</w:t>
      </w:r>
      <w:proofErr w:type="spellEnd"/>
      <w:r>
        <w:t xml:space="preserve">, и им сообщили, что никакое судебное разбирательство в связи с неправомерным обращением с </w:t>
      </w:r>
      <w:proofErr w:type="spellStart"/>
      <w:r>
        <w:t>Субхадрой</w:t>
      </w:r>
      <w:proofErr w:type="spellEnd"/>
      <w:r>
        <w:t xml:space="preserve"> и ее убийством инициировано</w:t>
      </w:r>
      <w:r w:rsidRPr="00B6358E">
        <w:t xml:space="preserve"> </w:t>
      </w:r>
      <w:r>
        <w:t>не б</w:t>
      </w:r>
      <w:r>
        <w:t>ы</w:t>
      </w:r>
      <w:r>
        <w:t>ло.</w:t>
      </w:r>
    </w:p>
    <w:p w:rsidR="00430E57" w:rsidRPr="0053295E" w:rsidRDefault="00430E57" w:rsidP="00430E57">
      <w:pPr>
        <w:pStyle w:val="SingleTxtGR"/>
      </w:pPr>
      <w:r w:rsidRPr="0053295E">
        <w:t>5.6</w:t>
      </w:r>
      <w:r w:rsidRPr="0053295E">
        <w:tab/>
        <w:t>Единственным лицом, арестованным с момента выдачи ордеров на аре</w:t>
      </w:r>
      <w:proofErr w:type="gramStart"/>
      <w:r w:rsidRPr="0053295E">
        <w:t>ст в св</w:t>
      </w:r>
      <w:proofErr w:type="gramEnd"/>
      <w:r w:rsidRPr="0053295E">
        <w:t xml:space="preserve">язи с убийством г-жи </w:t>
      </w:r>
      <w:proofErr w:type="spellStart"/>
      <w:r w:rsidRPr="0053295E">
        <w:t>Р.Р</w:t>
      </w:r>
      <w:proofErr w:type="spellEnd"/>
      <w:r w:rsidRPr="0053295E">
        <w:t xml:space="preserve">., является капрал </w:t>
      </w:r>
      <w:proofErr w:type="spellStart"/>
      <w:r w:rsidRPr="0053295E">
        <w:t>К.К</w:t>
      </w:r>
      <w:proofErr w:type="spellEnd"/>
      <w:r w:rsidRPr="0053295E">
        <w:t>., который был помещен под стражу 27 сентября 201</w:t>
      </w:r>
      <w:r>
        <w:t>0</w:t>
      </w:r>
      <w:r w:rsidRPr="0053295E">
        <w:t xml:space="preserve"> года. Судебное разбирательство по его делу до сих пор не началось, и он подал не</w:t>
      </w:r>
      <w:r w:rsidRPr="008B6CD5">
        <w:t xml:space="preserve"> </w:t>
      </w:r>
      <w:r w:rsidRPr="0053295E">
        <w:t>рассмотренное пока ходатайство о применении пр</w:t>
      </w:r>
      <w:r w:rsidRPr="0053295E">
        <w:t>о</w:t>
      </w:r>
      <w:r w:rsidRPr="0053295E">
        <w:t xml:space="preserve">цедуры </w:t>
      </w:r>
      <w:proofErr w:type="spellStart"/>
      <w:r w:rsidRPr="0053295E">
        <w:t>хабеас</w:t>
      </w:r>
      <w:proofErr w:type="spellEnd"/>
      <w:r w:rsidRPr="0053295E">
        <w:t xml:space="preserve"> корпус в Верховный суд. Его ходатайство было поддержано а</w:t>
      </w:r>
      <w:r w:rsidRPr="0053295E">
        <w:t>р</w:t>
      </w:r>
      <w:r w:rsidRPr="0053295E">
        <w:t>мией Непала на том основании, что он должен предстать перед военным судом и долж</w:t>
      </w:r>
      <w:r>
        <w:t>е</w:t>
      </w:r>
      <w:r w:rsidRPr="0053295E">
        <w:t>н бы</w:t>
      </w:r>
      <w:r>
        <w:t>ть</w:t>
      </w:r>
      <w:r w:rsidRPr="0053295E">
        <w:t xml:space="preserve"> передан полицией армии. Ордер на арест лейтенанта </w:t>
      </w:r>
      <w:proofErr w:type="spellStart"/>
      <w:r w:rsidRPr="0053295E">
        <w:t>С.Б</w:t>
      </w:r>
      <w:proofErr w:type="spellEnd"/>
      <w:r w:rsidRPr="0053295E">
        <w:t>. в св</w:t>
      </w:r>
      <w:r w:rsidRPr="0053295E">
        <w:t>я</w:t>
      </w:r>
      <w:r w:rsidRPr="0053295E">
        <w:t xml:space="preserve">зи с убийством г-жи </w:t>
      </w:r>
      <w:proofErr w:type="spellStart"/>
      <w:r w:rsidRPr="0053295E">
        <w:t>Р.Р</w:t>
      </w:r>
      <w:proofErr w:type="spellEnd"/>
      <w:r w:rsidRPr="0053295E">
        <w:t xml:space="preserve">. не был </w:t>
      </w:r>
      <w:r>
        <w:t>исполнен</w:t>
      </w:r>
      <w:r w:rsidRPr="0053295E">
        <w:t xml:space="preserve">, несмотря на то, что он по-прежнему был действующим офицером армии Непала. </w:t>
      </w:r>
      <w:proofErr w:type="gramStart"/>
      <w:r>
        <w:t>Более того</w:t>
      </w:r>
      <w:r w:rsidRPr="0053295E">
        <w:t xml:space="preserve">, армия вернула ордер на арест в районный суд </w:t>
      </w:r>
      <w:proofErr w:type="spellStart"/>
      <w:r w:rsidRPr="0053295E">
        <w:t>Кавре</w:t>
      </w:r>
      <w:proofErr w:type="spellEnd"/>
      <w:r w:rsidRPr="0053295E">
        <w:t xml:space="preserve"> в феврале 2011 года вместе с письмом, в котором утверждалось, что</w:t>
      </w:r>
      <w:r>
        <w:t>,</w:t>
      </w:r>
      <w:r w:rsidRPr="0053295E">
        <w:t xml:space="preserve"> поскольку лейтенант </w:t>
      </w:r>
      <w:proofErr w:type="spellStart"/>
      <w:r w:rsidRPr="0053295E">
        <w:t>С.Б</w:t>
      </w:r>
      <w:proofErr w:type="spellEnd"/>
      <w:r w:rsidRPr="0053295E">
        <w:t>. уже представал перед военным трибуналом, который вынес обвинительный приговор, он не может быть п</w:t>
      </w:r>
      <w:r w:rsidRPr="0053295E">
        <w:t>о</w:t>
      </w:r>
      <w:r w:rsidRPr="0053295E">
        <w:t>вторно привлечен к суду в гражданских судах с учетом принципа запрета дво</w:t>
      </w:r>
      <w:r w:rsidRPr="0053295E">
        <w:t>й</w:t>
      </w:r>
      <w:r w:rsidRPr="0053295E">
        <w:t>ного инкриминирования.</w:t>
      </w:r>
      <w:proofErr w:type="gramEnd"/>
      <w:r w:rsidRPr="0053295E">
        <w:t xml:space="preserve"> Автор утверждает, что трудности с судебным пресл</w:t>
      </w:r>
      <w:r w:rsidRPr="0053295E">
        <w:t>е</w:t>
      </w:r>
      <w:r w:rsidRPr="0053295E">
        <w:t>дованием в результате препятствий со стороны армии Непала, даже при нал</w:t>
      </w:r>
      <w:r w:rsidRPr="0053295E">
        <w:t>и</w:t>
      </w:r>
      <w:r w:rsidRPr="0053295E">
        <w:t>чии ордеров на арест, соответствует обстоятельствам других аналогичных дел. Кроме того, существуют серьезные основания полагать, что политическая воля к тому, чтобы осуществлять судебное преследование, отсутствует</w:t>
      </w:r>
      <w:r w:rsidRPr="00D52BD5">
        <w:rPr>
          <w:sz w:val="18"/>
          <w:szCs w:val="18"/>
          <w:vertAlign w:val="superscript"/>
        </w:rPr>
        <w:footnoteReference w:id="14"/>
      </w:r>
      <w:r w:rsidRPr="0053295E">
        <w:t>.</w:t>
      </w:r>
    </w:p>
    <w:p w:rsidR="00430E57" w:rsidRPr="0053295E" w:rsidRDefault="00430E57" w:rsidP="00430E57">
      <w:pPr>
        <w:pStyle w:val="SingleTxtGR"/>
      </w:pPr>
      <w:r w:rsidRPr="0053295E">
        <w:t>5.7</w:t>
      </w:r>
      <w:r w:rsidRPr="0053295E">
        <w:tab/>
      </w:r>
      <w:r>
        <w:t>Р</w:t>
      </w:r>
      <w:r w:rsidRPr="0053295E">
        <w:t xml:space="preserve">асследования </w:t>
      </w:r>
      <w:r>
        <w:t>в рамках в</w:t>
      </w:r>
      <w:r w:rsidRPr="0053295E">
        <w:t>оенн</w:t>
      </w:r>
      <w:r>
        <w:t>ой юрисдикции</w:t>
      </w:r>
      <w:r w:rsidRPr="0053295E">
        <w:t xml:space="preserve"> и военный трибунал не свидетельствуют о том, что государство-участник выполняет свои обязател</w:t>
      </w:r>
      <w:r w:rsidRPr="0053295E">
        <w:t>ь</w:t>
      </w:r>
      <w:r w:rsidRPr="0053295E">
        <w:t>ства по расследованию и судебному преследованию за нарушения и обеспеч</w:t>
      </w:r>
      <w:r w:rsidRPr="0053295E">
        <w:t>и</w:t>
      </w:r>
      <w:r w:rsidRPr="0053295E">
        <w:t>вает внутренние средства правовой защиты. В принципе военный трибунал я</w:t>
      </w:r>
      <w:r w:rsidRPr="0053295E">
        <w:t>в</w:t>
      </w:r>
      <w:r w:rsidRPr="0053295E">
        <w:t>ляется абсолютно неприемлемым форумом для расследования и судебного пр</w:t>
      </w:r>
      <w:r w:rsidRPr="0053295E">
        <w:t>е</w:t>
      </w:r>
      <w:r w:rsidRPr="0053295E">
        <w:t xml:space="preserve">следования любых военнослужащих, подозреваемых в </w:t>
      </w:r>
      <w:r>
        <w:t>неправомерном</w:t>
      </w:r>
      <w:r w:rsidRPr="0053295E">
        <w:t xml:space="preserve"> обращ</w:t>
      </w:r>
      <w:r w:rsidRPr="0053295E">
        <w:t>е</w:t>
      </w:r>
      <w:r w:rsidRPr="0053295E">
        <w:t>нии с гражданским лицом и убийстве гражданского лица. Компетенция вое</w:t>
      </w:r>
      <w:r w:rsidRPr="0053295E">
        <w:t>н</w:t>
      </w:r>
      <w:r w:rsidRPr="0053295E">
        <w:t>ных судов должна быть ограничена рассмотрением правонарушений исключ</w:t>
      </w:r>
      <w:r w:rsidRPr="0053295E">
        <w:t>и</w:t>
      </w:r>
      <w:r w:rsidRPr="0053295E">
        <w:t xml:space="preserve">тельно внутреннего, военного характера, совершенных военнослужащими, что в </w:t>
      </w:r>
      <w:r>
        <w:t>о</w:t>
      </w:r>
      <w:r>
        <w:t>с</w:t>
      </w:r>
      <w:r>
        <w:t xml:space="preserve">новном сводится к </w:t>
      </w:r>
      <w:r w:rsidRPr="0053295E">
        <w:t xml:space="preserve">нарушениям внутреннего дисциплинарного характера. </w:t>
      </w:r>
      <w:proofErr w:type="gramStart"/>
      <w:r w:rsidRPr="0053295E">
        <w:t>При расследовании дел о серьезных нарушениях прав человека, в том числе внес</w:t>
      </w:r>
      <w:r w:rsidRPr="0053295E">
        <w:t>у</w:t>
      </w:r>
      <w:r w:rsidRPr="0053295E">
        <w:t>дебных казней, насильственных исчезновений и пыток, а также в ходе уголо</w:t>
      </w:r>
      <w:r w:rsidRPr="0053295E">
        <w:t>в</w:t>
      </w:r>
      <w:r w:rsidRPr="0053295E">
        <w:t>ного преследования и наказания лиц, совершивших эти преступления, юри</w:t>
      </w:r>
      <w:r w:rsidRPr="0053295E">
        <w:t>с</w:t>
      </w:r>
      <w:r w:rsidRPr="0053295E">
        <w:t>дикция военных трибуналов должна уступать место юрисдикции гражданских судов</w:t>
      </w:r>
      <w:r w:rsidRPr="00D52BD5">
        <w:rPr>
          <w:sz w:val="18"/>
          <w:szCs w:val="18"/>
          <w:vertAlign w:val="superscript"/>
        </w:rPr>
        <w:footnoteReference w:id="15"/>
      </w:r>
      <w:r w:rsidRPr="0053295E">
        <w:t>. Автор утверждает, что расследование и судебное преследование за с</w:t>
      </w:r>
      <w:r w:rsidRPr="0053295E">
        <w:t>е</w:t>
      </w:r>
      <w:r w:rsidRPr="0053295E">
        <w:t>рьезные нарушения прав человека военным трибуналом само по себе является нарушением права жертвы на</w:t>
      </w:r>
      <w:proofErr w:type="gramEnd"/>
      <w:r w:rsidRPr="0053295E">
        <w:t xml:space="preserve"> эффективную правовую защиту в соответствии с Пактом. Дело не только в отсутствии независимости у следователя и лица, пр</w:t>
      </w:r>
      <w:r w:rsidRPr="0053295E">
        <w:t>и</w:t>
      </w:r>
      <w:r w:rsidRPr="0053295E">
        <w:t>нимающего решения, и в наличии мотивов преуменьшить масштабы нар</w:t>
      </w:r>
      <w:r w:rsidRPr="0053295E">
        <w:t>у</w:t>
      </w:r>
      <w:r w:rsidRPr="0053295E">
        <w:t>шения или скрыть его, но и в том, что жертва и/или члены его или ее семьи не учас</w:t>
      </w:r>
      <w:r w:rsidRPr="0053295E">
        <w:t>т</w:t>
      </w:r>
      <w:r w:rsidRPr="0053295E">
        <w:t>вуют в разбирательстве.</w:t>
      </w:r>
    </w:p>
    <w:p w:rsidR="00430E57" w:rsidRPr="0053295E" w:rsidRDefault="00430E57" w:rsidP="00430E57">
      <w:pPr>
        <w:pStyle w:val="SingleTxtGR"/>
      </w:pPr>
      <w:r w:rsidRPr="0053295E">
        <w:t>5.8</w:t>
      </w:r>
      <w:r w:rsidRPr="0053295E">
        <w:tab/>
        <w:t xml:space="preserve">Автор подробно разъясняет, что военный трибунал, проведенный </w:t>
      </w:r>
      <w:r>
        <w:t>в</w:t>
      </w:r>
      <w:r w:rsidRPr="0053295E">
        <w:t xml:space="preserve"> цел</w:t>
      </w:r>
      <w:r>
        <w:t>ях</w:t>
      </w:r>
      <w:r w:rsidRPr="0053295E">
        <w:t xml:space="preserve"> изучения "инцидента", имевшего место в </w:t>
      </w:r>
      <w:proofErr w:type="spellStart"/>
      <w:r w:rsidRPr="0053295E">
        <w:t>Покхари-Чаури</w:t>
      </w:r>
      <w:proofErr w:type="spellEnd"/>
      <w:r w:rsidRPr="0053295E">
        <w:t xml:space="preserve"> 12</w:t>
      </w:r>
      <w:r>
        <w:t>−</w:t>
      </w:r>
      <w:r w:rsidRPr="0053295E">
        <w:t>13 февраля 2004</w:t>
      </w:r>
      <w:r>
        <w:t> </w:t>
      </w:r>
      <w:r w:rsidRPr="0053295E">
        <w:t>года, не соответствует требованиям о том, что расследования должны с</w:t>
      </w:r>
      <w:r w:rsidRPr="0053295E">
        <w:t>о</w:t>
      </w:r>
      <w:r w:rsidRPr="0053295E">
        <w:lastRenderedPageBreak/>
        <w:t>ответствовать положениям Пакта об обеспечении эффективных сре</w:t>
      </w:r>
      <w:proofErr w:type="gramStart"/>
      <w:r w:rsidRPr="0053295E">
        <w:t>дств пр</w:t>
      </w:r>
      <w:proofErr w:type="gramEnd"/>
      <w:r w:rsidRPr="0053295E">
        <w:t>ав</w:t>
      </w:r>
      <w:r w:rsidRPr="0053295E">
        <w:t>о</w:t>
      </w:r>
      <w:r w:rsidRPr="0053295E">
        <w:t xml:space="preserve">вой защиты. </w:t>
      </w:r>
      <w:r>
        <w:t>В числе</w:t>
      </w:r>
      <w:r w:rsidRPr="0053295E">
        <w:t xml:space="preserve"> недостатков можно упомянуть следующие: a) военный трибунал в принципе не был беспристрастным или независимым, поскольку </w:t>
      </w:r>
      <w:r>
        <w:t>он был сформирован из</w:t>
      </w:r>
      <w:r w:rsidRPr="0053295E">
        <w:t xml:space="preserve"> военнослужащи</w:t>
      </w:r>
      <w:r>
        <w:t>х</w:t>
      </w:r>
      <w:r w:rsidRPr="0053295E">
        <w:t>, вход</w:t>
      </w:r>
      <w:r>
        <w:t>ивших</w:t>
      </w:r>
      <w:r w:rsidRPr="0053295E">
        <w:t xml:space="preserve"> в ту же самую </w:t>
      </w:r>
      <w:r>
        <w:t>дисциплина</w:t>
      </w:r>
      <w:r>
        <w:t>р</w:t>
      </w:r>
      <w:r>
        <w:t>но-</w:t>
      </w:r>
      <w:r w:rsidRPr="0053295E">
        <w:t xml:space="preserve">иерархическую структуру, что и обвиняемые; </w:t>
      </w:r>
      <w:proofErr w:type="gramStart"/>
      <w:r w:rsidRPr="0053295E">
        <w:t xml:space="preserve">b) </w:t>
      </w:r>
      <w:proofErr w:type="gramEnd"/>
      <w:r w:rsidRPr="0053295E">
        <w:t>военный трибунал не обл</w:t>
      </w:r>
      <w:r w:rsidRPr="0053295E">
        <w:t>а</w:t>
      </w:r>
      <w:r w:rsidRPr="0053295E">
        <w:t>дает компетенцией и квалификацией для расследования или судебного пресл</w:t>
      </w:r>
      <w:r w:rsidRPr="0053295E">
        <w:t>е</w:t>
      </w:r>
      <w:r w:rsidRPr="0053295E">
        <w:t>дования в связи с утверждениями о серьезных нарушениях прав человека; c)</w:t>
      </w:r>
      <w:r>
        <w:t> </w:t>
      </w:r>
      <w:r w:rsidRPr="0053295E">
        <w:t>семьи жертв, в том числе сам автор, не участвовали в судебном разбирател</w:t>
      </w:r>
      <w:r w:rsidRPr="0053295E">
        <w:t>ь</w:t>
      </w:r>
      <w:r w:rsidRPr="0053295E">
        <w:t>стве и узнали о том, что оно имело место, только почти шесть лет спустя; и d)</w:t>
      </w:r>
      <w:r>
        <w:t> </w:t>
      </w:r>
      <w:r w:rsidRPr="0053295E">
        <w:t>разбирательство не было гласным. Дело не только в том, что решение вое</w:t>
      </w:r>
      <w:r w:rsidRPr="0053295E">
        <w:t>н</w:t>
      </w:r>
      <w:r w:rsidRPr="0053295E">
        <w:t>ного трибунала не было опубликовано; по сведениям законных представителей автора</w:t>
      </w:r>
      <w:r>
        <w:t>,</w:t>
      </w:r>
      <w:r w:rsidRPr="0053295E">
        <w:t xml:space="preserve"> многие документы, перечисленные в решении военного трибунала, не были предоставлены в </w:t>
      </w:r>
      <w:proofErr w:type="spellStart"/>
      <w:r>
        <w:t>РО</w:t>
      </w:r>
      <w:r w:rsidRPr="0053295E">
        <w:t>П</w:t>
      </w:r>
      <w:proofErr w:type="spellEnd"/>
      <w:r w:rsidRPr="0053295E">
        <w:t xml:space="preserve"> </w:t>
      </w:r>
      <w:proofErr w:type="spellStart"/>
      <w:r w:rsidRPr="0053295E">
        <w:t>Кавре</w:t>
      </w:r>
      <w:proofErr w:type="spellEnd"/>
      <w:r w:rsidRPr="0053295E">
        <w:t>. Проведение какого-либо военного трибунала с целью расследовать эти нарушения являлось также нарушением прав автора в соответствии со статьями 6 и 7, рассматриваемыми в совокупности с пунктом 3 статьи 2 Пакта. Это, безусловно, не представляет собой средство правовой з</w:t>
      </w:r>
      <w:r w:rsidRPr="0053295E">
        <w:t>а</w:t>
      </w:r>
      <w:r w:rsidRPr="0053295E">
        <w:t>щиты в отношении нарушений согласно Пакту, а тот факт, что военный триб</w:t>
      </w:r>
      <w:r w:rsidRPr="0053295E">
        <w:t>у</w:t>
      </w:r>
      <w:r w:rsidRPr="0053295E">
        <w:t>нал был проведен, не делает его жало</w:t>
      </w:r>
      <w:r>
        <w:t>бу неприемлемой.</w:t>
      </w:r>
    </w:p>
    <w:p w:rsidR="00430E57" w:rsidRPr="0053295E" w:rsidRDefault="00430E57" w:rsidP="00430E57">
      <w:pPr>
        <w:pStyle w:val="SingleTxtGR"/>
      </w:pPr>
      <w:r w:rsidRPr="0053295E">
        <w:t>5.9</w:t>
      </w:r>
      <w:r w:rsidRPr="0053295E">
        <w:tab/>
      </w:r>
      <w:r>
        <w:t xml:space="preserve">Что </w:t>
      </w:r>
      <w:r w:rsidRPr="0053295E">
        <w:t xml:space="preserve">касается утверждения государства-участника о том, что внутренние средства правовой защиты исчерпаны не были, </w:t>
      </w:r>
      <w:r>
        <w:t xml:space="preserve">то </w:t>
      </w:r>
      <w:r w:rsidRPr="0053295E">
        <w:t>автор вновь заявляет свою первоначальную позицию, заключающуюся в том, что применение сре</w:t>
      </w:r>
      <w:proofErr w:type="gramStart"/>
      <w:r w:rsidRPr="0053295E">
        <w:t>дств пр</w:t>
      </w:r>
      <w:proofErr w:type="gramEnd"/>
      <w:r w:rsidRPr="0053295E">
        <w:t>а</w:t>
      </w:r>
      <w:r w:rsidRPr="0053295E">
        <w:t>вовой защиты было неоправданно затянуто, а также в том, что эти средства правовой защиты не являются эффективными на практике. В течение почти 18</w:t>
      </w:r>
      <w:r>
        <w:t> </w:t>
      </w:r>
      <w:r w:rsidRPr="0053295E">
        <w:t>месяцев после того, как Верховный суд издал приказ об исполнении треб</w:t>
      </w:r>
      <w:r w:rsidRPr="0053295E">
        <w:t>о</w:t>
      </w:r>
      <w:r w:rsidRPr="0053295E">
        <w:t xml:space="preserve">ваний истца, было </w:t>
      </w:r>
      <w:proofErr w:type="gramStart"/>
      <w:r w:rsidRPr="0053295E">
        <w:t>сделано очень мало</w:t>
      </w:r>
      <w:proofErr w:type="gramEnd"/>
      <w:r w:rsidRPr="0053295E">
        <w:t xml:space="preserve">. Насколько известно автору, полиция не допросила ни одного из участников военного патруля, указанных в </w:t>
      </w:r>
      <w:proofErr w:type="spellStart"/>
      <w:r w:rsidRPr="0053295E">
        <w:t>ПИС</w:t>
      </w:r>
      <w:proofErr w:type="spellEnd"/>
      <w:r w:rsidRPr="0053295E">
        <w:t xml:space="preserve">. </w:t>
      </w:r>
      <w:proofErr w:type="gramStart"/>
      <w:r w:rsidRPr="0053295E">
        <w:t xml:space="preserve">Тот факт, что полиция </w:t>
      </w:r>
      <w:r>
        <w:t>пред</w:t>
      </w:r>
      <w:r w:rsidRPr="0053295E">
        <w:t>приняла первые конкретные шаги, в том числе для рег</w:t>
      </w:r>
      <w:r w:rsidRPr="0053295E">
        <w:t>и</w:t>
      </w:r>
      <w:r w:rsidRPr="0053295E">
        <w:t xml:space="preserve">страции показаний двух свидетелей, 23 апреля 2010 года, а также для </w:t>
      </w:r>
      <w:r>
        <w:t>осмотра</w:t>
      </w:r>
      <w:r w:rsidRPr="0053295E">
        <w:t xml:space="preserve"> места преступления 21 января 2011 года в связи с жалобой, которая была под</w:t>
      </w:r>
      <w:r w:rsidRPr="0053295E">
        <w:t>а</w:t>
      </w:r>
      <w:r w:rsidRPr="0053295E">
        <w:t>на более чем за сем</w:t>
      </w:r>
      <w:r>
        <w:t>ь</w:t>
      </w:r>
      <w:r w:rsidRPr="0053295E">
        <w:t xml:space="preserve"> лет до этого, является, по мнению автора, убедительным доказательством того, что применение средств правовой защиты по данному делу было</w:t>
      </w:r>
      <w:proofErr w:type="gramEnd"/>
      <w:r w:rsidRPr="0053295E">
        <w:t xml:space="preserve"> неоправданно затянутым</w:t>
      </w:r>
      <w:r w:rsidRPr="00D52BD5">
        <w:rPr>
          <w:sz w:val="18"/>
          <w:szCs w:val="18"/>
          <w:vertAlign w:val="superscript"/>
        </w:rPr>
        <w:footnoteReference w:id="16"/>
      </w:r>
      <w:r w:rsidRPr="0053295E">
        <w:t>.</w:t>
      </w:r>
    </w:p>
    <w:p w:rsidR="00430E57" w:rsidRPr="0053295E" w:rsidRDefault="00430E57" w:rsidP="00430E57">
      <w:pPr>
        <w:pStyle w:val="SingleTxtGR"/>
      </w:pPr>
      <w:r w:rsidRPr="0053295E">
        <w:t>5.10</w:t>
      </w:r>
      <w:r w:rsidRPr="0053295E">
        <w:tab/>
        <w:t xml:space="preserve">Автор утверждает, что </w:t>
      </w:r>
      <w:r>
        <w:t>любые</w:t>
      </w:r>
      <w:r w:rsidRPr="0053295E">
        <w:t xml:space="preserve"> средства правовой защиты, которые, как представляется, предусмотрены законодательством, </w:t>
      </w:r>
      <w:r>
        <w:t>не являются</w:t>
      </w:r>
      <w:r w:rsidRPr="0053295E">
        <w:t xml:space="preserve"> эффективными и доступными на практике. </w:t>
      </w:r>
      <w:proofErr w:type="gramStart"/>
      <w:r w:rsidRPr="0053295E">
        <w:t xml:space="preserve">В частности, пытки и </w:t>
      </w:r>
      <w:r>
        <w:t>неправомерное</w:t>
      </w:r>
      <w:r w:rsidRPr="0053295E">
        <w:t xml:space="preserve"> обращение еще не криминализированы во внутреннем законодательстве и, следовательно, не могут </w:t>
      </w:r>
      <w:r>
        <w:t>быть предметом</w:t>
      </w:r>
      <w:r w:rsidRPr="0053295E">
        <w:t xml:space="preserve"> преследовани</w:t>
      </w:r>
      <w:r>
        <w:t>я</w:t>
      </w:r>
      <w:r w:rsidRPr="0053295E">
        <w:t xml:space="preserve"> в национальных судах</w:t>
      </w:r>
      <w:r w:rsidRPr="00D52BD5">
        <w:rPr>
          <w:sz w:val="18"/>
          <w:szCs w:val="18"/>
          <w:vertAlign w:val="superscript"/>
        </w:rPr>
        <w:footnoteReference w:id="17"/>
      </w:r>
      <w:r w:rsidRPr="0053295E">
        <w:t>. В обстоятел</w:t>
      </w:r>
      <w:r w:rsidRPr="0053295E">
        <w:t>ь</w:t>
      </w:r>
      <w:r w:rsidRPr="0053295E">
        <w:t>ствах, описанных выше, и с учетом того, что ни одно лицо пока еще не было привлечено к ответственности за преступления, совершенные во время воор</w:t>
      </w:r>
      <w:r w:rsidRPr="0053295E">
        <w:t>у</w:t>
      </w:r>
      <w:r w:rsidRPr="0053295E">
        <w:t xml:space="preserve">женного конфликта, становится очевидным, что любое потенциальное средство </w:t>
      </w:r>
      <w:r w:rsidRPr="0053295E">
        <w:lastRenderedPageBreak/>
        <w:t>правовой защиты в рамках внутренних процедур</w:t>
      </w:r>
      <w:proofErr w:type="gramEnd"/>
      <w:r w:rsidRPr="0053295E">
        <w:t xml:space="preserve"> является иллюзорным и не может рассматриваться как </w:t>
      </w:r>
      <w:proofErr w:type="gramStart"/>
      <w:r w:rsidRPr="0053295E">
        <w:t>доступное</w:t>
      </w:r>
      <w:proofErr w:type="gramEnd"/>
      <w:r w:rsidRPr="0053295E">
        <w:t xml:space="preserve"> или эффективное.</w:t>
      </w:r>
    </w:p>
    <w:p w:rsidR="00430E57" w:rsidRPr="0053295E" w:rsidRDefault="00430E57" w:rsidP="00430E57">
      <w:pPr>
        <w:pStyle w:val="SingleTxtGR"/>
      </w:pPr>
      <w:r w:rsidRPr="0053295E">
        <w:t>5.11</w:t>
      </w:r>
      <w:r w:rsidRPr="0053295E">
        <w:tab/>
        <w:t xml:space="preserve">Автор отмечает, что государство-участник приняло на себя обязательство </w:t>
      </w:r>
      <w:r>
        <w:t xml:space="preserve">по </w:t>
      </w:r>
      <w:r w:rsidRPr="0053295E">
        <w:t>проведени</w:t>
      </w:r>
      <w:r>
        <w:t>ю</w:t>
      </w:r>
      <w:r w:rsidRPr="0053295E">
        <w:t xml:space="preserve"> дознания и расследования дел о предполагаемых нарушениях прав человека во время конфликта </w:t>
      </w:r>
      <w:r>
        <w:t>и</w:t>
      </w:r>
      <w:r w:rsidRPr="0053295E">
        <w:t xml:space="preserve"> тот факт, что оно предприняло шаги для поиска надлежащих механизмов правосудия переходного пер</w:t>
      </w:r>
      <w:r>
        <w:t>иода. В связи с этим аргументом</w:t>
      </w:r>
      <w:r w:rsidRPr="0053295E">
        <w:t xml:space="preserve"> автор считает, что в то время, когда он представил свои ко</w:t>
      </w:r>
      <w:r w:rsidRPr="0053295E">
        <w:t>м</w:t>
      </w:r>
      <w:r w:rsidRPr="0053295E">
        <w:t>ментарии, возможность создания механизмов правосудия переходного периода в будущем не влияла на тот факт, что применение сре</w:t>
      </w:r>
      <w:proofErr w:type="gramStart"/>
      <w:r w:rsidRPr="0053295E">
        <w:t>дств пр</w:t>
      </w:r>
      <w:proofErr w:type="gramEnd"/>
      <w:r w:rsidRPr="0053295E">
        <w:t>авовой защиты по данному делу было неоправданно затянутым. Кроме того, таких механизмов еще не существует, и</w:t>
      </w:r>
      <w:r>
        <w:t>,</w:t>
      </w:r>
      <w:r w:rsidRPr="0053295E">
        <w:t xml:space="preserve"> если они появятся в будущем, они будут не в состоянии обеспечить адекватные средства правовой защиты в связи с нарушениями, о к</w:t>
      </w:r>
      <w:r w:rsidRPr="0053295E">
        <w:t>о</w:t>
      </w:r>
      <w:r w:rsidRPr="0053295E">
        <w:t>торых заявляет автор.</w:t>
      </w:r>
    </w:p>
    <w:p w:rsidR="00430E57" w:rsidRPr="0053295E" w:rsidRDefault="00430E57" w:rsidP="00430E57">
      <w:pPr>
        <w:pStyle w:val="SingleTxtGR"/>
      </w:pPr>
      <w:r w:rsidRPr="0053295E">
        <w:t>5.12</w:t>
      </w:r>
      <w:proofErr w:type="gramStart"/>
      <w:r w:rsidRPr="0053295E">
        <w:tab/>
        <w:t>К</w:t>
      </w:r>
      <w:proofErr w:type="gramEnd"/>
      <w:r w:rsidRPr="0053295E">
        <w:t>роме того, Комиссия по установлению истины и примирению, которую планируется создать, не будет судебным органом. Она не будет предоставлять адекватные средства правовой защиты в случае серьезных нарушений, и ее возможное создание не имеет отношения к вопросу о том, были ли исчерпаны средства правовой защиты.</w:t>
      </w:r>
    </w:p>
    <w:p w:rsidR="00430E57" w:rsidRPr="0053295E" w:rsidRDefault="00430E57" w:rsidP="00430E57">
      <w:pPr>
        <w:pStyle w:val="H23GR"/>
      </w:pPr>
      <w:r w:rsidRPr="0053295E">
        <w:tab/>
      </w:r>
      <w:r w:rsidRPr="0053295E">
        <w:tab/>
        <w:t xml:space="preserve">Решение Комитета относительно приемлемости </w:t>
      </w:r>
    </w:p>
    <w:p w:rsidR="00430E57" w:rsidRPr="0053295E" w:rsidRDefault="00430E57" w:rsidP="00430E57">
      <w:pPr>
        <w:pStyle w:val="SingleTxtGR"/>
        <w:rPr>
          <w:bCs/>
        </w:rPr>
      </w:pPr>
      <w:r w:rsidRPr="0053295E">
        <w:rPr>
          <w:bCs/>
        </w:rPr>
        <w:t>6.1</w:t>
      </w:r>
      <w:proofErr w:type="gramStart"/>
      <w:r w:rsidRPr="0053295E">
        <w:rPr>
          <w:bCs/>
        </w:rPr>
        <w:tab/>
        <w:t>В</w:t>
      </w:r>
      <w:proofErr w:type="gramEnd"/>
      <w:r w:rsidRPr="0053295E">
        <w:rPr>
          <w:bCs/>
        </w:rPr>
        <w:t xml:space="preserve"> ходе своей 104-й сессии, состоявшейся 8 марта 2012 года, Комитет ра</w:t>
      </w:r>
      <w:r w:rsidRPr="0053295E">
        <w:rPr>
          <w:bCs/>
        </w:rPr>
        <w:t>с</w:t>
      </w:r>
      <w:r w:rsidRPr="0053295E">
        <w:rPr>
          <w:bCs/>
        </w:rPr>
        <w:t>смотрел вопрос о приемлемости данного сообщения.</w:t>
      </w:r>
    </w:p>
    <w:p w:rsidR="00430E57" w:rsidRPr="0053295E" w:rsidRDefault="00430E57" w:rsidP="00430E57">
      <w:pPr>
        <w:pStyle w:val="SingleTxtGR"/>
      </w:pPr>
      <w:r w:rsidRPr="0053295E">
        <w:t>6.2</w:t>
      </w:r>
      <w:r w:rsidRPr="0053295E">
        <w:tab/>
        <w:t>Комитет удостоверился, как того требует пункт 2 а) статьи 5 Факульт</w:t>
      </w:r>
      <w:r w:rsidRPr="0053295E">
        <w:t>а</w:t>
      </w:r>
      <w:r w:rsidRPr="0053295E">
        <w:t>тивного протокола, в том, что этот же вопрос не рассматривается в соотве</w:t>
      </w:r>
      <w:r w:rsidRPr="0053295E">
        <w:t>т</w:t>
      </w:r>
      <w:r w:rsidRPr="0053295E">
        <w:t>ствии с другой процедурой международного разбирательства или урегулиров</w:t>
      </w:r>
      <w:r w:rsidRPr="0053295E">
        <w:t>а</w:t>
      </w:r>
      <w:r w:rsidRPr="0053295E">
        <w:t>ния. Каса</w:t>
      </w:r>
      <w:r>
        <w:t>тельно</w:t>
      </w:r>
      <w:r w:rsidRPr="0053295E">
        <w:t xml:space="preserve"> жалобы автора по статье 26 Комитет счел, что автор не смог обосновать </w:t>
      </w:r>
      <w:r>
        <w:t>для</w:t>
      </w:r>
      <w:r w:rsidRPr="0053295E">
        <w:t xml:space="preserve"> цел</w:t>
      </w:r>
      <w:r>
        <w:t>ей</w:t>
      </w:r>
      <w:r w:rsidRPr="0053295E">
        <w:t xml:space="preserve"> приемлемости тот факт, что он является жертвой дискр</w:t>
      </w:r>
      <w:r w:rsidRPr="0053295E">
        <w:t>и</w:t>
      </w:r>
      <w:r w:rsidRPr="0053295E">
        <w:t>минации, и признал эту жалобу неприемлемой в соответствии со статьей 2 Ф</w:t>
      </w:r>
      <w:r w:rsidRPr="0053295E">
        <w:t>а</w:t>
      </w:r>
      <w:r w:rsidRPr="0053295E">
        <w:t>культативного протокола.</w:t>
      </w:r>
    </w:p>
    <w:p w:rsidR="00430E57" w:rsidRPr="0053295E" w:rsidRDefault="00430E57" w:rsidP="00430E57">
      <w:pPr>
        <w:pStyle w:val="SingleTxtGR"/>
      </w:pPr>
      <w:r w:rsidRPr="0053295E">
        <w:t>6.3</w:t>
      </w:r>
      <w:proofErr w:type="gramStart"/>
      <w:r w:rsidRPr="0053295E">
        <w:tab/>
        <w:t>В</w:t>
      </w:r>
      <w:proofErr w:type="gramEnd"/>
      <w:r w:rsidRPr="0053295E">
        <w:t xml:space="preserve"> отношении требования об исчерпании внутренних средств правовой защиты Комитет рассмотрел вопрос о том, что будущие механизмы правосудия переходного периода, такие как Комиссия по установлению истины и примир</w:t>
      </w:r>
      <w:r w:rsidRPr="0053295E">
        <w:t>е</w:t>
      </w:r>
      <w:r w:rsidRPr="0053295E">
        <w:t xml:space="preserve">нию, не смогут обеспечить адекватные средства правовой защиты в </w:t>
      </w:r>
      <w:r>
        <w:t xml:space="preserve">связи с </w:t>
      </w:r>
      <w:r w:rsidRPr="0053295E">
        <w:t>нарушени</w:t>
      </w:r>
      <w:r>
        <w:t>ями</w:t>
      </w:r>
      <w:r w:rsidRPr="0053295E">
        <w:t>, о которых утверждается в данном сообщении, и сослался на свою правовую практику</w:t>
      </w:r>
      <w:r w:rsidRPr="00D52BD5">
        <w:rPr>
          <w:sz w:val="18"/>
          <w:szCs w:val="18"/>
          <w:vertAlign w:val="superscript"/>
        </w:rPr>
        <w:footnoteReference w:id="18"/>
      </w:r>
      <w:r>
        <w:t>,</w:t>
      </w:r>
      <w:r w:rsidRPr="0053295E">
        <w:t xml:space="preserve"> в с</w:t>
      </w:r>
      <w:r>
        <w:t>оответствии с которой предусматривается</w:t>
      </w:r>
      <w:r w:rsidRPr="0053295E">
        <w:t xml:space="preserve">, что в случаях серьезных нарушений необходимо судебное средство правовой защиты. </w:t>
      </w:r>
      <w:proofErr w:type="gramStart"/>
      <w:r>
        <w:t>Ч</w:t>
      </w:r>
      <w:r w:rsidRPr="0053295E">
        <w:t>то касается то</w:t>
      </w:r>
      <w:r>
        <w:t>го</w:t>
      </w:r>
      <w:r w:rsidRPr="0053295E">
        <w:t xml:space="preserve">, имеют ли место текущие разбирательства </w:t>
      </w:r>
      <w:r>
        <w:t>по</w:t>
      </w:r>
      <w:r w:rsidRPr="0053295E">
        <w:t xml:space="preserve"> вопрос</w:t>
      </w:r>
      <w:r>
        <w:t>ам</w:t>
      </w:r>
      <w:r w:rsidRPr="0053295E">
        <w:t>, св</w:t>
      </w:r>
      <w:r w:rsidRPr="0053295E">
        <w:t>я</w:t>
      </w:r>
      <w:r w:rsidRPr="0053295E">
        <w:t>занны</w:t>
      </w:r>
      <w:r>
        <w:t>м</w:t>
      </w:r>
      <w:r w:rsidRPr="0053295E">
        <w:t xml:space="preserve"> с настоящим сообщением, Комитет отметил попытки автора с 2004 года получить внутренние средства правовой защиты с помощью </w:t>
      </w:r>
      <w:proofErr w:type="spellStart"/>
      <w:r w:rsidRPr="0053295E">
        <w:t>Р</w:t>
      </w:r>
      <w:r>
        <w:t>О</w:t>
      </w:r>
      <w:r w:rsidRPr="0053295E">
        <w:t>П</w:t>
      </w:r>
      <w:proofErr w:type="spellEnd"/>
      <w:r w:rsidRPr="0053295E">
        <w:t xml:space="preserve"> </w:t>
      </w:r>
      <w:proofErr w:type="spellStart"/>
      <w:r w:rsidRPr="0053295E">
        <w:t>Кавре</w:t>
      </w:r>
      <w:proofErr w:type="spellEnd"/>
      <w:r w:rsidRPr="0053295E">
        <w:t xml:space="preserve">, </w:t>
      </w:r>
      <w:proofErr w:type="spellStart"/>
      <w:r w:rsidRPr="0053295E">
        <w:t>НКПЧ</w:t>
      </w:r>
      <w:proofErr w:type="spellEnd"/>
      <w:r w:rsidRPr="0053295E">
        <w:t>, а также Верховного суда и сделал вывод о том, что государство-участник не д</w:t>
      </w:r>
      <w:r w:rsidRPr="0053295E">
        <w:t>о</w:t>
      </w:r>
      <w:r w:rsidRPr="0053295E">
        <w:t>казало, что текущее расследование, проводимое его органами почти через в</w:t>
      </w:r>
      <w:r w:rsidRPr="0053295E">
        <w:t>о</w:t>
      </w:r>
      <w:r w:rsidRPr="0053295E">
        <w:t>семь лет после убийства дочери автора, является эффективным</w:t>
      </w:r>
      <w:proofErr w:type="gramEnd"/>
      <w:r w:rsidRPr="0053295E">
        <w:t xml:space="preserve"> в свете серье</w:t>
      </w:r>
      <w:r w:rsidRPr="0053295E">
        <w:t>з</w:t>
      </w:r>
      <w:r w:rsidRPr="0053295E">
        <w:t>ности и тяжести предполагаемых нарушений, а также вывод о том, что задер</w:t>
      </w:r>
      <w:r w:rsidRPr="0053295E">
        <w:t>ж</w:t>
      </w:r>
      <w:r w:rsidRPr="0053295E">
        <w:t>ка была чрезмерной</w:t>
      </w:r>
      <w:r w:rsidRPr="00D52BD5">
        <w:rPr>
          <w:sz w:val="18"/>
          <w:szCs w:val="18"/>
          <w:vertAlign w:val="superscript"/>
        </w:rPr>
        <w:footnoteReference w:id="19"/>
      </w:r>
      <w:r w:rsidRPr="0053295E">
        <w:t xml:space="preserve">. </w:t>
      </w:r>
      <w:r>
        <w:t>Исходя из этого</w:t>
      </w:r>
      <w:r w:rsidRPr="0053295E">
        <w:t>, Комитет считает, что никаких препя</w:t>
      </w:r>
      <w:r w:rsidRPr="0053295E">
        <w:t>т</w:t>
      </w:r>
      <w:r w:rsidRPr="0053295E">
        <w:t>ствий для того, чтобы он рассмотрел данное сообщение в соответствии с пун</w:t>
      </w:r>
      <w:r w:rsidRPr="0053295E">
        <w:t>к</w:t>
      </w:r>
      <w:r w:rsidRPr="0053295E">
        <w:t>том 5 b) статьи 22 Конвенции, не существует.</w:t>
      </w:r>
    </w:p>
    <w:p w:rsidR="00430E57" w:rsidRPr="0053295E" w:rsidRDefault="00430E57" w:rsidP="00430E57">
      <w:pPr>
        <w:pStyle w:val="SingleTxtGR"/>
      </w:pPr>
      <w:proofErr w:type="gramStart"/>
      <w:r w:rsidRPr="0053295E">
        <w:lastRenderedPageBreak/>
        <w:t>6.4</w:t>
      </w:r>
      <w:r w:rsidRPr="0053295E">
        <w:tab/>
        <w:t>Комитет объявил сообщение приемлемым в части, касающейся заявлений по статьям 6, 7, 8, 9 и 10, рассматриваемым в совокупности с пунктом 3 ст</w:t>
      </w:r>
      <w:r w:rsidRPr="0053295E">
        <w:t>а</w:t>
      </w:r>
      <w:r w:rsidRPr="0053295E">
        <w:t>тьи</w:t>
      </w:r>
      <w:r>
        <w:t> </w:t>
      </w:r>
      <w:r w:rsidRPr="0053295E">
        <w:t>2, по отношению к дочери автора сообщения; а также касающейся заявл</w:t>
      </w:r>
      <w:r w:rsidRPr="0053295E">
        <w:t>е</w:t>
      </w:r>
      <w:r w:rsidRPr="0053295E">
        <w:t>ний по статье 7, рассматриваемой в совокупности с пунктом 3 статьи 2 Пакта, по отношению к самому автору.</w:t>
      </w:r>
      <w:proofErr w:type="gramEnd"/>
    </w:p>
    <w:p w:rsidR="00430E57" w:rsidRPr="0053295E" w:rsidRDefault="00430E57" w:rsidP="00430E57">
      <w:pPr>
        <w:pStyle w:val="H23GR"/>
      </w:pPr>
      <w:r w:rsidRPr="0053295E">
        <w:tab/>
      </w:r>
      <w:r w:rsidRPr="0053295E">
        <w:tab/>
        <w:t>Замечания государства-участника по существу сообщения</w:t>
      </w:r>
    </w:p>
    <w:p w:rsidR="00430E57" w:rsidRPr="0053295E" w:rsidRDefault="00430E57" w:rsidP="00430E57">
      <w:pPr>
        <w:pStyle w:val="SingleTxtGR"/>
      </w:pPr>
      <w:r w:rsidRPr="0053295E">
        <w:t>7.1</w:t>
      </w:r>
      <w:proofErr w:type="gramStart"/>
      <w:r w:rsidRPr="0053295E">
        <w:tab/>
        <w:t>В</w:t>
      </w:r>
      <w:proofErr w:type="gramEnd"/>
      <w:r w:rsidRPr="0053295E">
        <w:t xml:space="preserve"> вербальной ноте от 19 апреля 2013 года государство-участник излож</w:t>
      </w:r>
      <w:r w:rsidRPr="0053295E">
        <w:t>и</w:t>
      </w:r>
      <w:r w:rsidRPr="0053295E">
        <w:t>ло свои замечания по существу сообщения и повторило, что автор не исчерпал внутренние средства правовой защиты.</w:t>
      </w:r>
    </w:p>
    <w:p w:rsidR="00430E57" w:rsidRPr="0053295E" w:rsidRDefault="00430E57" w:rsidP="00430E57">
      <w:pPr>
        <w:pStyle w:val="SingleTxtGR"/>
      </w:pPr>
      <w:r w:rsidRPr="0053295E">
        <w:t>7.2</w:t>
      </w:r>
      <w:proofErr w:type="gramStart"/>
      <w:r w:rsidRPr="0053295E">
        <w:tab/>
        <w:t>П</w:t>
      </w:r>
      <w:proofErr w:type="gramEnd"/>
      <w:r w:rsidRPr="0053295E">
        <w:t xml:space="preserve">ринимая во внимание рекомендацию </w:t>
      </w:r>
      <w:proofErr w:type="spellStart"/>
      <w:r w:rsidRPr="0053295E">
        <w:t>НКПЧ</w:t>
      </w:r>
      <w:proofErr w:type="spellEnd"/>
      <w:r w:rsidRPr="0053295E">
        <w:t>, в феврале 2010 года гос</w:t>
      </w:r>
      <w:r w:rsidRPr="0053295E">
        <w:t>у</w:t>
      </w:r>
      <w:r w:rsidRPr="0053295E">
        <w:t xml:space="preserve">дарство-участник выплатило автору 100 </w:t>
      </w:r>
      <w:r>
        <w:t>000</w:t>
      </w:r>
      <w:r w:rsidRPr="0053295E">
        <w:t xml:space="preserve"> рупий в качестве "временной ко</w:t>
      </w:r>
      <w:r w:rsidRPr="0053295E">
        <w:t>м</w:t>
      </w:r>
      <w:r w:rsidRPr="0053295E">
        <w:t xml:space="preserve">пенсации", а затем еще 200 </w:t>
      </w:r>
      <w:r>
        <w:t>000</w:t>
      </w:r>
      <w:r w:rsidRPr="0053295E">
        <w:t xml:space="preserve"> рупий, которые были получены им в районной администрации </w:t>
      </w:r>
      <w:proofErr w:type="spellStart"/>
      <w:r w:rsidRPr="0053295E">
        <w:t>Кавре</w:t>
      </w:r>
      <w:proofErr w:type="spellEnd"/>
      <w:r w:rsidRPr="0053295E">
        <w:t>.</w:t>
      </w:r>
    </w:p>
    <w:p w:rsidR="00430E57" w:rsidRPr="0053295E" w:rsidRDefault="00430E57" w:rsidP="00430E57">
      <w:pPr>
        <w:pStyle w:val="SingleTxtGR"/>
      </w:pPr>
      <w:r w:rsidRPr="0053295E">
        <w:t>7.3</w:t>
      </w:r>
      <w:r w:rsidRPr="0053295E">
        <w:tab/>
        <w:t xml:space="preserve">Пункты q) и s) статьи 33 Временной конституции Непала 2007 года и пункт 5.2.5 Всеобъемлющего мирного соглашения предусматривают создание механизма отправления правосудия в переходный период в целях рассмотрения серьезных нарушений прав человека и обеспечения правосудия в </w:t>
      </w:r>
      <w:r>
        <w:t>интересах</w:t>
      </w:r>
      <w:r w:rsidRPr="0053295E">
        <w:t xml:space="preserve"> жертв вооруженного конфликта. Процесс создания этого механизма не мо</w:t>
      </w:r>
      <w:r>
        <w:t>г</w:t>
      </w:r>
      <w:r w:rsidRPr="0053295E">
        <w:t xml:space="preserve"> быть завершен из-за истечения срока полномочий Учредительного собрания. Тем не </w:t>
      </w:r>
      <w:proofErr w:type="gramStart"/>
      <w:r w:rsidRPr="0053295E">
        <w:t>менее</w:t>
      </w:r>
      <w:proofErr w:type="gramEnd"/>
      <w:r w:rsidRPr="0053295E">
        <w:t xml:space="preserve"> 13 марта 2013 года </w:t>
      </w:r>
      <w:r>
        <w:t>П</w:t>
      </w:r>
      <w:r w:rsidRPr="0053295E">
        <w:t xml:space="preserve">резидент издал Указ о Комиссии по расследованию случаев исчезновения лиц, </w:t>
      </w:r>
      <w:r>
        <w:t>у</w:t>
      </w:r>
      <w:r w:rsidRPr="0053295E">
        <w:t>становлению истины и примирению ("Указ"). В</w:t>
      </w:r>
      <w:r>
        <w:t> </w:t>
      </w:r>
      <w:r w:rsidRPr="0053295E">
        <w:t>связи с этим государство-участник утверждает, что было бы неуместно, чт</w:t>
      </w:r>
      <w:r w:rsidRPr="0053295E">
        <w:t>о</w:t>
      </w:r>
      <w:r w:rsidRPr="0053295E">
        <w:t>бы Комитет продолжал рассмотрение данного сообщения и принимал сообр</w:t>
      </w:r>
      <w:r w:rsidRPr="0053295E">
        <w:t>а</w:t>
      </w:r>
      <w:r w:rsidRPr="0053295E">
        <w:t>жения по нему, и обращается к Комитету с просьбой прекратить рассмотрение данного сообщения.</w:t>
      </w:r>
    </w:p>
    <w:p w:rsidR="00430E57" w:rsidRPr="0053295E" w:rsidRDefault="00430E57" w:rsidP="00430E57">
      <w:pPr>
        <w:pStyle w:val="SingleTxtGR"/>
      </w:pPr>
      <w:r w:rsidRPr="0053295E">
        <w:t>7.4</w:t>
      </w:r>
      <w:proofErr w:type="gramStart"/>
      <w:r w:rsidRPr="0053295E">
        <w:tab/>
      </w:r>
      <w:r>
        <w:t>П</w:t>
      </w:r>
      <w:proofErr w:type="gramEnd"/>
      <w:r>
        <w:t>еред</w:t>
      </w:r>
      <w:r w:rsidRPr="0053295E">
        <w:t xml:space="preserve"> этой Комисси</w:t>
      </w:r>
      <w:r>
        <w:t>ей</w:t>
      </w:r>
      <w:r w:rsidRPr="0053295E">
        <w:t xml:space="preserve"> высокого уровня по расследованию случаев исче</w:t>
      </w:r>
      <w:r w:rsidRPr="0053295E">
        <w:t>з</w:t>
      </w:r>
      <w:r w:rsidRPr="0053295E">
        <w:t xml:space="preserve">новения лиц, </w:t>
      </w:r>
      <w:r>
        <w:t>у</w:t>
      </w:r>
      <w:r w:rsidRPr="0053295E">
        <w:t xml:space="preserve">становлению истины и примирению </w:t>
      </w:r>
      <w:r>
        <w:t>поставлены</w:t>
      </w:r>
      <w:r w:rsidRPr="0053295E">
        <w:t xml:space="preserve"> следую</w:t>
      </w:r>
      <w:r>
        <w:t>щ</w:t>
      </w:r>
      <w:r w:rsidRPr="0053295E">
        <w:t xml:space="preserve">ие </w:t>
      </w:r>
      <w:r>
        <w:t>з</w:t>
      </w:r>
      <w:r>
        <w:t>а</w:t>
      </w:r>
      <w:r>
        <w:t xml:space="preserve">дачи: </w:t>
      </w:r>
      <w:r w:rsidRPr="0053295E">
        <w:t xml:space="preserve">а) расследовать грубые нарушения прав человека, в том числе </w:t>
      </w:r>
      <w:r>
        <w:t xml:space="preserve">случаи </w:t>
      </w:r>
      <w:r w:rsidRPr="0053295E">
        <w:t xml:space="preserve">насильственных исчезновений во время вооруженного конфликта, </w:t>
      </w:r>
      <w:r>
        <w:t>и</w:t>
      </w:r>
      <w:r w:rsidRPr="0053295E">
        <w:t xml:space="preserve"> устанавл</w:t>
      </w:r>
      <w:r w:rsidRPr="0053295E">
        <w:t>и</w:t>
      </w:r>
      <w:r w:rsidRPr="0053295E">
        <w:t>вать истину в отношении лиц, участвовавших в этих инцидентах в ходе воор</w:t>
      </w:r>
      <w:r w:rsidRPr="0053295E">
        <w:t>у</w:t>
      </w:r>
      <w:r w:rsidRPr="0053295E">
        <w:t>женн</w:t>
      </w:r>
      <w:r>
        <w:t>ого</w:t>
      </w:r>
      <w:r w:rsidRPr="0053295E">
        <w:t xml:space="preserve"> конфликт</w:t>
      </w:r>
      <w:r>
        <w:t>а</w:t>
      </w:r>
      <w:r w:rsidRPr="0053295E">
        <w:t>; b) положить конец безнаказанности путем привлечения в</w:t>
      </w:r>
      <w:r w:rsidRPr="0053295E">
        <w:t>и</w:t>
      </w:r>
      <w:r w:rsidRPr="0053295E">
        <w:t xml:space="preserve">новных, причастных к совершению серьезных нарушений, к ответственности в соответствии с законом; и с) создать благоприятные условия для примирения в обществе </w:t>
      </w:r>
      <w:r>
        <w:t>и</w:t>
      </w:r>
      <w:r w:rsidRPr="0053295E">
        <w:t xml:space="preserve"> представить доклад, содержащий рекомендации по вопросам во</w:t>
      </w:r>
      <w:r w:rsidRPr="0053295E">
        <w:t>з</w:t>
      </w:r>
      <w:r w:rsidRPr="0053295E">
        <w:t>мещения ущерба для жертв. Состав Комиссии, в которую войдут лица из ра</w:t>
      </w:r>
      <w:r w:rsidRPr="0053295E">
        <w:t>з</w:t>
      </w:r>
      <w:r w:rsidRPr="0053295E">
        <w:t>личных районов страны и социальных слоев, позволит обеспечить ее независ</w:t>
      </w:r>
      <w:r w:rsidRPr="0053295E">
        <w:t>и</w:t>
      </w:r>
      <w:r w:rsidRPr="0053295E">
        <w:t>мость, беспристрастность и компетентность.</w:t>
      </w:r>
    </w:p>
    <w:p w:rsidR="00430E57" w:rsidRPr="000450D1" w:rsidRDefault="00430E57" w:rsidP="00430E57">
      <w:pPr>
        <w:pStyle w:val="SingleTxtGR"/>
      </w:pPr>
      <w:r w:rsidRPr="0053295E">
        <w:t>7.5</w:t>
      </w:r>
      <w:proofErr w:type="gramStart"/>
      <w:r w:rsidRPr="0053295E">
        <w:tab/>
        <w:t>В</w:t>
      </w:r>
      <w:proofErr w:type="gramEnd"/>
      <w:r w:rsidRPr="0053295E">
        <w:t xml:space="preserve"> соответствии с Указом "серьезные нарушения прав человека" включают в себя, в частности, следующие де</w:t>
      </w:r>
      <w:r>
        <w:t>яния</w:t>
      </w:r>
      <w:r w:rsidRPr="0053295E">
        <w:t xml:space="preserve">, </w:t>
      </w:r>
      <w:r>
        <w:t>совершавшиеся</w:t>
      </w:r>
      <w:r w:rsidRPr="0053295E">
        <w:t xml:space="preserve"> на систематической о</w:t>
      </w:r>
      <w:r w:rsidRPr="0053295E">
        <w:t>с</w:t>
      </w:r>
      <w:r w:rsidRPr="0053295E">
        <w:t>нове или направленные против безоружных людей или гражданского насел</w:t>
      </w:r>
      <w:r w:rsidRPr="0053295E">
        <w:t>е</w:t>
      </w:r>
      <w:r w:rsidRPr="0053295E">
        <w:t>ния: убийства; похищения и захват заложников; исчезновения; физические или психические пытки; изнасилования и сексуальное насилие; а также любые бе</w:t>
      </w:r>
      <w:r w:rsidRPr="0053295E">
        <w:t>с</w:t>
      </w:r>
      <w:r w:rsidRPr="0053295E">
        <w:t>человечные акты, совершенные в нарушение международных норм в области прав человека и</w:t>
      </w:r>
      <w:r>
        <w:t>ли</w:t>
      </w:r>
      <w:r w:rsidRPr="0053295E">
        <w:t xml:space="preserve"> гуманитарного права, а также другие преступления против человечности. Комиссия будет осуществлять свою юрисдикцию в отношении серьезных нарушений прав человека, совершенных во время вооруженн</w:t>
      </w:r>
      <w:r>
        <w:t>ого</w:t>
      </w:r>
      <w:r w:rsidRPr="0053295E">
        <w:t xml:space="preserve"> конфликт</w:t>
      </w:r>
      <w:r>
        <w:t>а</w:t>
      </w:r>
      <w:r w:rsidRPr="0053295E">
        <w:t xml:space="preserve"> в период с 13 февраля 1996 года по 21 ноября 2007 года госуда</w:t>
      </w:r>
      <w:r w:rsidRPr="0053295E">
        <w:t>р</w:t>
      </w:r>
      <w:r w:rsidRPr="0053295E">
        <w:t>ственны</w:t>
      </w:r>
      <w:r>
        <w:t>ми</w:t>
      </w:r>
      <w:r w:rsidRPr="0053295E">
        <w:t xml:space="preserve"> должностны</w:t>
      </w:r>
      <w:r>
        <w:t>ми</w:t>
      </w:r>
      <w:r w:rsidRPr="0053295E">
        <w:t xml:space="preserve"> лиц</w:t>
      </w:r>
      <w:r>
        <w:t>ами</w:t>
      </w:r>
      <w:r w:rsidRPr="0053295E">
        <w:t xml:space="preserve"> и член</w:t>
      </w:r>
      <w:r>
        <w:t>ами</w:t>
      </w:r>
      <w:r w:rsidRPr="0053295E">
        <w:t xml:space="preserve"> Коммунистической партии Неп</w:t>
      </w:r>
      <w:r w:rsidRPr="0053295E">
        <w:t>а</w:t>
      </w:r>
      <w:r w:rsidRPr="0053295E">
        <w:t>ла (маоистской). В этой связи обвинения, выдвинутые автором в настоящем с</w:t>
      </w:r>
      <w:r w:rsidRPr="0053295E">
        <w:t>о</w:t>
      </w:r>
      <w:r w:rsidRPr="0053295E">
        <w:t>общении, входят в круг ведения Комиссии.</w:t>
      </w:r>
    </w:p>
    <w:p w:rsidR="00797113" w:rsidRPr="00CC1BAE" w:rsidRDefault="00797113" w:rsidP="00797113">
      <w:pPr>
        <w:pStyle w:val="H23GR"/>
      </w:pPr>
      <w:r w:rsidRPr="00CC1BAE">
        <w:lastRenderedPageBreak/>
        <w:tab/>
      </w:r>
      <w:r w:rsidRPr="00CC1BAE">
        <w:tab/>
        <w:t xml:space="preserve">Комментарии автора к замечаниям государства-участника </w:t>
      </w:r>
    </w:p>
    <w:p w:rsidR="00797113" w:rsidRPr="00CC1BAE" w:rsidRDefault="00797113" w:rsidP="00797113">
      <w:pPr>
        <w:pStyle w:val="SingleTxtGR"/>
      </w:pPr>
      <w:r w:rsidRPr="00CC1BAE">
        <w:t>8.1</w:t>
      </w:r>
      <w:r w:rsidRPr="00CC1BAE">
        <w:tab/>
        <w:t xml:space="preserve">7 июля 2013 года </w:t>
      </w:r>
      <w:r>
        <w:t>а</w:t>
      </w:r>
      <w:r w:rsidRPr="00CC1BAE">
        <w:t>втор представил свои комментарии к замечаниям гос</w:t>
      </w:r>
      <w:r w:rsidRPr="00CC1BAE">
        <w:t>у</w:t>
      </w:r>
      <w:r w:rsidRPr="00CC1BAE">
        <w:t>дарства-участника. Он утверждает, что эти замечания не содержат информации, которая могла бы повлиять на решение Комитета о приемлемости.</w:t>
      </w:r>
    </w:p>
    <w:p w:rsidR="00797113" w:rsidRPr="00CC1BAE" w:rsidRDefault="00797113" w:rsidP="00797113">
      <w:pPr>
        <w:pStyle w:val="SingleTxtGR"/>
      </w:pPr>
      <w:proofErr w:type="gramStart"/>
      <w:r w:rsidRPr="00CC1BAE">
        <w:t>8.2</w:t>
      </w:r>
      <w:r w:rsidRPr="00CC1BAE">
        <w:tab/>
        <w:t>Автор вновь излагает свои утверждения о</w:t>
      </w:r>
      <w:r>
        <w:t>тносительно</w:t>
      </w:r>
      <w:r w:rsidRPr="00CC1BAE">
        <w:t xml:space="preserve"> разбирательств в военных трибуналах</w:t>
      </w:r>
      <w:r>
        <w:t xml:space="preserve"> и заявляет</w:t>
      </w:r>
      <w:r w:rsidRPr="00CC1BAE">
        <w:t>, что грубые нарушения прав человека должны расследоваться и виновные должны привлекаться к судебной ответственности в рамках гражданской правовой системы и что в любом случае военный трибунал не соответствовал требованиям к проведению расследований и судебному пр</w:t>
      </w:r>
      <w:r w:rsidRPr="00CC1BAE">
        <w:t>е</w:t>
      </w:r>
      <w:r w:rsidRPr="00CC1BAE">
        <w:t>следованию, соблюдение которых необходимо для осуществление права на э</w:t>
      </w:r>
      <w:r w:rsidRPr="00CC1BAE">
        <w:t>ф</w:t>
      </w:r>
      <w:r w:rsidRPr="00CC1BAE">
        <w:t>фективные средства правовой защиты в</w:t>
      </w:r>
      <w:proofErr w:type="gramEnd"/>
      <w:r w:rsidRPr="00CC1BAE">
        <w:t xml:space="preserve"> </w:t>
      </w:r>
      <w:proofErr w:type="gramStart"/>
      <w:r w:rsidRPr="00CC1BAE">
        <w:t>соответствии</w:t>
      </w:r>
      <w:proofErr w:type="gramEnd"/>
      <w:r w:rsidRPr="00CC1BAE">
        <w:t xml:space="preserve"> с Пактом.</w:t>
      </w:r>
    </w:p>
    <w:p w:rsidR="00797113" w:rsidRPr="00CC1BAE" w:rsidRDefault="00797113" w:rsidP="00797113">
      <w:pPr>
        <w:pStyle w:val="SingleTxtGR"/>
      </w:pPr>
      <w:r w:rsidRPr="00CC1BAE">
        <w:t>8.3</w:t>
      </w:r>
      <w:proofErr w:type="gramStart"/>
      <w:r w:rsidRPr="00CC1BAE">
        <w:tab/>
        <w:t>В</w:t>
      </w:r>
      <w:proofErr w:type="gramEnd"/>
      <w:r w:rsidRPr="00CC1BAE">
        <w:t xml:space="preserve"> то время, когда автор представил свои комментарии, Указ не был вв</w:t>
      </w:r>
      <w:r w:rsidRPr="00CC1BAE">
        <w:t>е</w:t>
      </w:r>
      <w:r w:rsidRPr="00CC1BAE">
        <w:t>ден в действие, поскольку Верховный суд 1 апреля 2013 года вынес судебный запрет в отношении его ввода в действие. Тем не менее, даже если бы Указ де</w:t>
      </w:r>
      <w:r w:rsidRPr="00CC1BAE">
        <w:t>й</w:t>
      </w:r>
      <w:r w:rsidRPr="00CC1BAE">
        <w:t>ствовал, это не должно повлиять на выводы Комитета о приемлемости.</w:t>
      </w:r>
    </w:p>
    <w:p w:rsidR="00797113" w:rsidRPr="00CC1BAE" w:rsidRDefault="00797113" w:rsidP="00797113">
      <w:pPr>
        <w:pStyle w:val="SingleTxtGR"/>
      </w:pPr>
      <w:r w:rsidRPr="00CC1BAE">
        <w:t>8.4</w:t>
      </w:r>
      <w:r w:rsidRPr="00CC1BAE">
        <w:tab/>
        <w:t>Комиссия в составе пяти членов, предусмотренная Указом, не является судебным органом. Она не может привлекать виновных к уголовной отве</w:t>
      </w:r>
      <w:r w:rsidRPr="00CC1BAE">
        <w:t>т</w:t>
      </w:r>
      <w:r w:rsidRPr="00CC1BAE">
        <w:t>ственности и выносить приговоры. Она также не может назначать меры возм</w:t>
      </w:r>
      <w:r w:rsidRPr="00CC1BAE">
        <w:t>е</w:t>
      </w:r>
      <w:r w:rsidRPr="00CC1BAE">
        <w:t>щения в пользу жертв, имеющие обязательную юридическую силу. В связи с этим, даже если такая Комиссия будет создана, она не сможет обеспечить надлежащие средства правовой защиты.</w:t>
      </w:r>
    </w:p>
    <w:p w:rsidR="00797113" w:rsidRPr="00CC1BAE" w:rsidRDefault="00797113" w:rsidP="00797113">
      <w:pPr>
        <w:pStyle w:val="SingleTxtGR"/>
      </w:pPr>
      <w:r w:rsidRPr="00CC1BAE">
        <w:t>8.5</w:t>
      </w:r>
      <w:proofErr w:type="gramStart"/>
      <w:r w:rsidRPr="00CC1BAE">
        <w:tab/>
        <w:t>Н</w:t>
      </w:r>
      <w:proofErr w:type="gramEnd"/>
      <w:r w:rsidRPr="00CC1BAE">
        <w:t>а практике Указ блокирует доступ к средствам правовой защиты в сл</w:t>
      </w:r>
      <w:r w:rsidRPr="00CC1BAE">
        <w:t>у</w:t>
      </w:r>
      <w:r w:rsidRPr="00CC1BAE">
        <w:t>чае серьезных нарушений прав человека, поскольку процедура расследования преступлений и возбуждения уголовного преследования не установлена четко, а положения Указа не препятствуют чрезмерному затягиванию и безнаказанн</w:t>
      </w:r>
      <w:r w:rsidRPr="00CC1BAE">
        <w:t>о</w:t>
      </w:r>
      <w:r w:rsidRPr="00CC1BAE">
        <w:t>сти. Кроме того, неясно, допускают ли положения Указа амнистирование лиц, виновных в серьезных нарушениях прав человека.</w:t>
      </w:r>
    </w:p>
    <w:p w:rsidR="00797113" w:rsidRPr="00CC1BAE" w:rsidRDefault="00797113" w:rsidP="00797113">
      <w:pPr>
        <w:pStyle w:val="SingleTxtGR"/>
      </w:pPr>
      <w:r w:rsidRPr="00CC1BAE">
        <w:t>8.6</w:t>
      </w:r>
      <w:r w:rsidRPr="00CC1BAE">
        <w:tab/>
        <w:t>Указ не уточняет право жертвы на возмещение и не устанавливает осн</w:t>
      </w:r>
      <w:r w:rsidRPr="00CC1BAE">
        <w:t>о</w:t>
      </w:r>
      <w:r w:rsidRPr="00CC1BAE">
        <w:t xml:space="preserve">вания, на которых такое возмещение должно быть предоставлено, с </w:t>
      </w:r>
      <w:proofErr w:type="gramStart"/>
      <w:r w:rsidRPr="00CC1BAE">
        <w:t>тем</w:t>
      </w:r>
      <w:proofErr w:type="gramEnd"/>
      <w:r w:rsidRPr="00CC1BAE">
        <w:t xml:space="preserve"> чтобы это соответствовало международн</w:t>
      </w:r>
      <w:r>
        <w:t xml:space="preserve">ому праву </w:t>
      </w:r>
      <w:r w:rsidRPr="00CC1BAE">
        <w:t>прав человека. Ввод Указа в де</w:t>
      </w:r>
      <w:r w:rsidRPr="00CC1BAE">
        <w:t>й</w:t>
      </w:r>
      <w:r w:rsidRPr="00CC1BAE">
        <w:t>ствие, таким образом, оставил бы вопрос о предоставлении возмещения полн</w:t>
      </w:r>
      <w:r w:rsidRPr="00CC1BAE">
        <w:t>о</w:t>
      </w:r>
      <w:r w:rsidRPr="00CC1BAE">
        <w:t>стью на усмотрение внесудебного органа и закрыл бы доступ к обычным сре</w:t>
      </w:r>
      <w:r w:rsidRPr="00CC1BAE">
        <w:t>д</w:t>
      </w:r>
      <w:r w:rsidRPr="00CC1BAE">
        <w:t>ствам судебной защиты, что составляет нарушение прав жертв на эффективную правовую защиту в соответствии с пунктом 3 статьи 2 Пакта.</w:t>
      </w:r>
    </w:p>
    <w:p w:rsidR="00797113" w:rsidRPr="00CC1BAE" w:rsidRDefault="00797113" w:rsidP="00797113">
      <w:pPr>
        <w:pStyle w:val="SingleTxtGR"/>
      </w:pPr>
      <w:proofErr w:type="gramStart"/>
      <w:r w:rsidRPr="00CC1BAE">
        <w:t>8.7</w:t>
      </w:r>
      <w:r w:rsidRPr="00CC1BAE">
        <w:tab/>
        <w:t>Автор отвергает утверждения государства-участника о своей дочери и о событиях, имевших место 1</w:t>
      </w:r>
      <w:r>
        <w:t>2</w:t>
      </w:r>
      <w:r w:rsidRPr="00CC1BAE">
        <w:t xml:space="preserve"> февраля 2004 года, в том числе то, что она явл</w:t>
      </w:r>
      <w:r w:rsidRPr="00CC1BAE">
        <w:t>я</w:t>
      </w:r>
      <w:r w:rsidRPr="00CC1BAE">
        <w:t>лась "террористкой"; что при ней был пистолет с пятью патронами; что в ходе допроса она сразу же призналась в том, что является террористкой, и указала на то, что в деревне скрыва</w:t>
      </w:r>
      <w:r>
        <w:t>е</w:t>
      </w:r>
      <w:r w:rsidRPr="00CC1BAE">
        <w:t>тся много террористов;</w:t>
      </w:r>
      <w:proofErr w:type="gramEnd"/>
      <w:r w:rsidRPr="00CC1BAE">
        <w:t xml:space="preserve"> и что она пыталась </w:t>
      </w:r>
      <w:r>
        <w:t>с</w:t>
      </w:r>
      <w:r w:rsidRPr="00CC1BAE">
        <w:t>бежать. С</w:t>
      </w:r>
      <w:r>
        <w:t> </w:t>
      </w:r>
      <w:r w:rsidRPr="00CC1BAE">
        <w:t>учетом заслуживающих доверия и подробных доказательств, представленных автором</w:t>
      </w:r>
      <w:r>
        <w:t xml:space="preserve"> в его сообщении</w:t>
      </w:r>
      <w:r w:rsidRPr="00CC1BAE">
        <w:t>, а также с учетом отсутствия документов, доказ</w:t>
      </w:r>
      <w:r w:rsidRPr="00CC1BAE">
        <w:t>а</w:t>
      </w:r>
      <w:r w:rsidRPr="00CC1BAE">
        <w:t xml:space="preserve">тельств или убедительных разъяснений со стороны государства-участника автор </w:t>
      </w:r>
      <w:r>
        <w:t>заявляет</w:t>
      </w:r>
      <w:r w:rsidRPr="00CC1BAE">
        <w:t>, что его утверждения являются обоснованными.</w:t>
      </w:r>
    </w:p>
    <w:p w:rsidR="00797113" w:rsidRPr="00CC1BAE" w:rsidRDefault="00797113" w:rsidP="00797113">
      <w:pPr>
        <w:pStyle w:val="SingleTxtGR"/>
      </w:pPr>
      <w:r w:rsidRPr="00CC1BAE">
        <w:t>8.8</w:t>
      </w:r>
      <w:r w:rsidRPr="00CC1BAE">
        <w:tab/>
        <w:t xml:space="preserve">Автор </w:t>
      </w:r>
      <w:r>
        <w:t xml:space="preserve">отмечает, </w:t>
      </w:r>
      <w:r w:rsidRPr="00CC1BAE">
        <w:t xml:space="preserve">что Комитет не должен придавать вес выводам военного трибунала вследствие того, что он явно не является надлежащим механизмом </w:t>
      </w:r>
      <w:r>
        <w:t>для</w:t>
      </w:r>
      <w:r w:rsidRPr="00CC1BAE">
        <w:t xml:space="preserve"> установлени</w:t>
      </w:r>
      <w:r>
        <w:t>я</w:t>
      </w:r>
      <w:r w:rsidRPr="00CC1BAE">
        <w:t xml:space="preserve"> фактов. В том случае, если эти выводы будут приняты, Ком</w:t>
      </w:r>
      <w:r w:rsidRPr="00CC1BAE">
        <w:t>и</w:t>
      </w:r>
      <w:r w:rsidRPr="00CC1BAE">
        <w:t xml:space="preserve">тету следует </w:t>
      </w:r>
      <w:r>
        <w:t>учесть</w:t>
      </w:r>
      <w:r w:rsidRPr="00CC1BAE">
        <w:t xml:space="preserve"> следующее заявление, опубликованное после завершения военного трибунала:</w:t>
      </w:r>
    </w:p>
    <w:p w:rsidR="00797113" w:rsidRPr="00CC1BAE" w:rsidRDefault="00797113" w:rsidP="00797113">
      <w:pPr>
        <w:pStyle w:val="SingleTxtGR"/>
        <w:ind w:left="1701"/>
      </w:pPr>
      <w:proofErr w:type="gramStart"/>
      <w:r w:rsidRPr="00CC1BAE">
        <w:lastRenderedPageBreak/>
        <w:t>"Сотрудники сил безопасности взяли [</w:t>
      </w:r>
      <w:proofErr w:type="spellStart"/>
      <w:r w:rsidRPr="00CC1BAE">
        <w:t>Субхадру</w:t>
      </w:r>
      <w:proofErr w:type="spellEnd"/>
      <w:r w:rsidRPr="00CC1BAE">
        <w:t>] с собой в дом, на кот</w:t>
      </w:r>
      <w:r w:rsidRPr="00CC1BAE">
        <w:t>о</w:t>
      </w:r>
      <w:r w:rsidRPr="00CC1BAE">
        <w:t>рый она указала</w:t>
      </w:r>
      <w:r>
        <w:t>,</w:t>
      </w:r>
      <w:r w:rsidRPr="00CC1BAE">
        <w:t xml:space="preserve"> и допрашивали найденных там лиц, когда они увидели, что [она] совершает подозрительные действия, после чего они связали ей руки платком и куском ткани и оставили ее перед домом, где она развяз</w:t>
      </w:r>
      <w:r w:rsidRPr="00CC1BAE">
        <w:t>а</w:t>
      </w:r>
      <w:r w:rsidRPr="00CC1BAE">
        <w:t xml:space="preserve">ла руки, оттолкнула постового и пыталась </w:t>
      </w:r>
      <w:r>
        <w:t>с</w:t>
      </w:r>
      <w:r w:rsidRPr="00CC1BAE">
        <w:t xml:space="preserve">бежать, после чего постовой капрал </w:t>
      </w:r>
      <w:proofErr w:type="spellStart"/>
      <w:r w:rsidRPr="00CC1BAE">
        <w:t>К.К</w:t>
      </w:r>
      <w:proofErr w:type="spellEnd"/>
      <w:r w:rsidRPr="00CC1BAE">
        <w:t xml:space="preserve">. ударил ее винтовкой </w:t>
      </w:r>
      <w:proofErr w:type="spellStart"/>
      <w:r w:rsidRPr="00CC1BAE">
        <w:t>ИНСАС</w:t>
      </w:r>
      <w:proofErr w:type="spellEnd"/>
      <w:proofErr w:type="gramEnd"/>
      <w:r w:rsidRPr="00CC1BAE">
        <w:t xml:space="preserve">, </w:t>
      </w:r>
      <w:proofErr w:type="gramStart"/>
      <w:r w:rsidRPr="00CC1BAE">
        <w:t xml:space="preserve">из-за чего она упала в сад, и сержант </w:t>
      </w:r>
      <w:proofErr w:type="spellStart"/>
      <w:r w:rsidRPr="00CC1BAE">
        <w:t>И.К.С</w:t>
      </w:r>
      <w:proofErr w:type="spellEnd"/>
      <w:r w:rsidRPr="00CC1BAE">
        <w:t>. два раза выстрелил в нее, а вскоре после этого се</w:t>
      </w:r>
      <w:r w:rsidRPr="00CC1BAE">
        <w:t>р</w:t>
      </w:r>
      <w:r w:rsidRPr="00CC1BAE">
        <w:t>жант</w:t>
      </w:r>
      <w:r>
        <w:t> </w:t>
      </w:r>
      <w:proofErr w:type="spellStart"/>
      <w:r w:rsidRPr="00CC1BAE">
        <w:t>С.Б.Р</w:t>
      </w:r>
      <w:proofErr w:type="spellEnd"/>
      <w:r w:rsidRPr="00CC1BAE">
        <w:t xml:space="preserve">. </w:t>
      </w:r>
      <w:r>
        <w:t xml:space="preserve">произвел </w:t>
      </w:r>
      <w:r w:rsidRPr="00CC1BAE">
        <w:t xml:space="preserve">один </w:t>
      </w:r>
      <w:r>
        <w:t>выстрел</w:t>
      </w:r>
      <w:r w:rsidRPr="00CC1BAE">
        <w:t xml:space="preserve"> из пистолета ей в висок, а</w:t>
      </w:r>
      <w:r>
        <w:t>,</w:t>
      </w:r>
      <w:r w:rsidRPr="00CC1BAE">
        <w:t xml:space="preserve"> поскольку она не умерла даже после этого, </w:t>
      </w:r>
      <w:proofErr w:type="spellStart"/>
      <w:r w:rsidRPr="00CC1BAE">
        <w:t>уоррент</w:t>
      </w:r>
      <w:proofErr w:type="spellEnd"/>
      <w:r w:rsidRPr="00CC1BAE">
        <w:t xml:space="preserve">-офицер второго класса </w:t>
      </w:r>
      <w:proofErr w:type="spellStart"/>
      <w:r w:rsidRPr="00CC1BAE">
        <w:t>Д.Т.М</w:t>
      </w:r>
      <w:proofErr w:type="spellEnd"/>
      <w:r w:rsidRPr="00CC1BAE">
        <w:t>. приказал стоящему рядом постовому ударить ее прикладом винтовки, и после удара прикладом винтовки в</w:t>
      </w:r>
      <w:proofErr w:type="gramEnd"/>
      <w:r w:rsidRPr="00CC1BAE">
        <w:t xml:space="preserve"> висок она умерла, а группа под кома</w:t>
      </w:r>
      <w:r w:rsidRPr="00CC1BAE">
        <w:t>н</w:t>
      </w:r>
      <w:r w:rsidRPr="00CC1BAE">
        <w:t xml:space="preserve">дованием </w:t>
      </w:r>
      <w:proofErr w:type="spellStart"/>
      <w:r w:rsidRPr="00CC1BAE">
        <w:t>уоррент</w:t>
      </w:r>
      <w:proofErr w:type="spellEnd"/>
      <w:r w:rsidRPr="00CC1BAE">
        <w:t xml:space="preserve">-офицера второго класса вернулась к лейтенанту С. </w:t>
      </w:r>
      <w:r>
        <w:t>п</w:t>
      </w:r>
      <w:r w:rsidRPr="00CC1BAE">
        <w:t xml:space="preserve">о его приказу". </w:t>
      </w:r>
    </w:p>
    <w:p w:rsidR="00797113" w:rsidRPr="00CC1BAE" w:rsidRDefault="00797113" w:rsidP="00797113">
      <w:pPr>
        <w:pStyle w:val="SingleTxtGR"/>
      </w:pPr>
      <w:r w:rsidRPr="00CC1BAE">
        <w:t>Эти факты, как они описаны, свидетельствуют о неоправданном и несоразме</w:t>
      </w:r>
      <w:r w:rsidRPr="00CC1BAE">
        <w:t>р</w:t>
      </w:r>
      <w:r w:rsidRPr="00CC1BAE">
        <w:t>ном применении силы, что представляет собой нарушение статьи 6 Пакта.</w:t>
      </w:r>
    </w:p>
    <w:p w:rsidR="00797113" w:rsidRPr="00CC1BAE" w:rsidRDefault="00797113" w:rsidP="00797113">
      <w:pPr>
        <w:pStyle w:val="SingleTxtGR"/>
      </w:pPr>
      <w:r w:rsidRPr="00CC1BAE">
        <w:t>8.9</w:t>
      </w:r>
      <w:r w:rsidRPr="00CC1BAE">
        <w:tab/>
        <w:t xml:space="preserve">Автор получил 100 </w:t>
      </w:r>
      <w:r>
        <w:t>000</w:t>
      </w:r>
      <w:r w:rsidRPr="00CC1BAE">
        <w:t xml:space="preserve"> рупий в качестве временной </w:t>
      </w:r>
      <w:r>
        <w:t>компенсации</w:t>
      </w:r>
      <w:r w:rsidRPr="00CC1BAE">
        <w:t xml:space="preserve"> в 2008</w:t>
      </w:r>
      <w:r>
        <w:t> </w:t>
      </w:r>
      <w:r w:rsidRPr="00CC1BAE">
        <w:t xml:space="preserve">году, а также 200 </w:t>
      </w:r>
      <w:r>
        <w:t>000</w:t>
      </w:r>
      <w:r w:rsidRPr="00CC1BAE">
        <w:t xml:space="preserve"> рупий в 2010 году. Тем не менее, несмотря на н</w:t>
      </w:r>
      <w:r w:rsidRPr="00CC1BAE">
        <w:t>е</w:t>
      </w:r>
      <w:r w:rsidRPr="00CC1BAE">
        <w:t>сколько запросов в местную администрацию, ему не было предоставлено 200</w:t>
      </w:r>
      <w:r>
        <w:t> 000</w:t>
      </w:r>
      <w:r w:rsidRPr="00CC1BAE">
        <w:t xml:space="preserve"> рупий, которые </w:t>
      </w:r>
      <w:proofErr w:type="spellStart"/>
      <w:r w:rsidRPr="00CC1BAE">
        <w:t>НКПЧ</w:t>
      </w:r>
      <w:proofErr w:type="spellEnd"/>
      <w:r w:rsidRPr="00CC1BAE">
        <w:t xml:space="preserve"> рекомендовала правительству ему выплатить. В</w:t>
      </w:r>
      <w:r>
        <w:t> </w:t>
      </w:r>
      <w:r w:rsidRPr="00CC1BAE">
        <w:t>связи с этим он утверждает, что временн</w:t>
      </w:r>
      <w:r>
        <w:t>ая компенсация</w:t>
      </w:r>
      <w:r w:rsidRPr="00CC1BAE">
        <w:t xml:space="preserve"> явля</w:t>
      </w:r>
      <w:r>
        <w:t>е</w:t>
      </w:r>
      <w:r w:rsidRPr="00CC1BAE">
        <w:t>тся гуманита</w:t>
      </w:r>
      <w:r w:rsidRPr="00CC1BAE">
        <w:t>р</w:t>
      </w:r>
      <w:r w:rsidRPr="00CC1BAE">
        <w:t>ной помощью, а не возмещением ущерба, а также не освобожда</w:t>
      </w:r>
      <w:r>
        <w:t>е</w:t>
      </w:r>
      <w:r w:rsidRPr="00CC1BAE">
        <w:t>т государство-участник от обязательства по предоставлению автору эффективного средства правовой защиты.</w:t>
      </w:r>
    </w:p>
    <w:p w:rsidR="00797113" w:rsidRPr="00CC1BAE" w:rsidRDefault="00797113" w:rsidP="00797113">
      <w:pPr>
        <w:pStyle w:val="SingleTxtGR"/>
      </w:pPr>
      <w:r w:rsidRPr="00CC1BAE">
        <w:t>8.10</w:t>
      </w:r>
      <w:proofErr w:type="gramStart"/>
      <w:r w:rsidRPr="00CC1BAE">
        <w:tab/>
        <w:t>С</w:t>
      </w:r>
      <w:proofErr w:type="gramEnd"/>
      <w:r w:rsidRPr="00CC1BAE">
        <w:t xml:space="preserve"> учетом событий, произошедших со времени представления данного с</w:t>
      </w:r>
      <w:r w:rsidRPr="00CC1BAE">
        <w:t>о</w:t>
      </w:r>
      <w:r w:rsidRPr="00CC1BAE">
        <w:t xml:space="preserve">общения, автор излагает две дополнительные просьбы </w:t>
      </w:r>
      <w:r>
        <w:t xml:space="preserve">и предлагает </w:t>
      </w:r>
      <w:r w:rsidRPr="00CC1BAE">
        <w:t>Комитету рекомендовать государству-участнику: a) обеспечить незамедлительное пред</w:t>
      </w:r>
      <w:r w:rsidRPr="00CC1BAE">
        <w:t>о</w:t>
      </w:r>
      <w:r w:rsidRPr="00CC1BAE">
        <w:t xml:space="preserve">ставление ему и </w:t>
      </w:r>
      <w:proofErr w:type="spellStart"/>
      <w:r w:rsidRPr="00CC1BAE">
        <w:t>НКПЧ</w:t>
      </w:r>
      <w:proofErr w:type="spellEnd"/>
      <w:r w:rsidRPr="00CC1BAE">
        <w:t xml:space="preserve"> полны</w:t>
      </w:r>
      <w:r>
        <w:t>х</w:t>
      </w:r>
      <w:r w:rsidRPr="00CC1BAE">
        <w:t xml:space="preserve"> отчет</w:t>
      </w:r>
      <w:r>
        <w:t>ов</w:t>
      </w:r>
      <w:r w:rsidRPr="00CC1BAE">
        <w:t xml:space="preserve"> о </w:t>
      </w:r>
      <w:r>
        <w:t xml:space="preserve">проведенных </w:t>
      </w:r>
      <w:r w:rsidRPr="00CC1BAE">
        <w:t>военны</w:t>
      </w:r>
      <w:r>
        <w:t>ми</w:t>
      </w:r>
      <w:r w:rsidRPr="00CC1BAE">
        <w:t xml:space="preserve"> расследов</w:t>
      </w:r>
      <w:r w:rsidRPr="00CC1BAE">
        <w:t>а</w:t>
      </w:r>
      <w:r w:rsidRPr="00CC1BAE">
        <w:t xml:space="preserve">ниях событий, имевших место в деревне </w:t>
      </w:r>
      <w:proofErr w:type="spellStart"/>
      <w:r w:rsidRPr="00CC1BAE">
        <w:t>Покхари-Чаури</w:t>
      </w:r>
      <w:proofErr w:type="spellEnd"/>
      <w:r w:rsidRPr="00CC1BAE">
        <w:t xml:space="preserve"> 12 и 13 февраля 2004</w:t>
      </w:r>
      <w:r>
        <w:t> </w:t>
      </w:r>
      <w:r w:rsidRPr="00CC1BAE">
        <w:t>года, в том числе полны</w:t>
      </w:r>
      <w:r>
        <w:t>х отчетов</w:t>
      </w:r>
      <w:r w:rsidRPr="00CC1BAE">
        <w:t xml:space="preserve"> о работе двух судов по расследованию</w:t>
      </w:r>
      <w:r>
        <w:t xml:space="preserve"> и </w:t>
      </w:r>
      <w:r w:rsidRPr="00CC1BAE">
        <w:t>военного трибунала, созванного в целях изучения фактов, а также доказ</w:t>
      </w:r>
      <w:r w:rsidRPr="00CC1BAE">
        <w:t>а</w:t>
      </w:r>
      <w:r w:rsidRPr="00CC1BAE">
        <w:t>тельств, включая свидетельские показания, представленны</w:t>
      </w:r>
      <w:r>
        <w:t>х</w:t>
      </w:r>
      <w:r w:rsidRPr="00CC1BAE">
        <w:t xml:space="preserve"> этим судам; и</w:t>
      </w:r>
      <w:r>
        <w:t> </w:t>
      </w:r>
      <w:r w:rsidRPr="00CC1BAE">
        <w:t>b)</w:t>
      </w:r>
      <w:r>
        <w:t> </w:t>
      </w:r>
      <w:r w:rsidRPr="00CC1BAE">
        <w:t xml:space="preserve">отменить Указ о Комиссии по расследованию случаев исчезновения лиц, </w:t>
      </w:r>
      <w:r>
        <w:t>у</w:t>
      </w:r>
      <w:r w:rsidRPr="00CC1BAE">
        <w:t>становлению истины и примирению и обеспечить, чтобы любое принятое вм</w:t>
      </w:r>
      <w:r w:rsidRPr="00CC1BAE">
        <w:t>е</w:t>
      </w:r>
      <w:r w:rsidRPr="00CC1BAE">
        <w:t xml:space="preserve">сто него законодательство соответствовало обязательствам государства-участника </w:t>
      </w:r>
      <w:r>
        <w:t xml:space="preserve">по </w:t>
      </w:r>
      <w:r w:rsidRPr="00CC1BAE">
        <w:t>предоставл</w:t>
      </w:r>
      <w:r>
        <w:t>ению</w:t>
      </w:r>
      <w:r w:rsidRPr="00CC1BAE">
        <w:t xml:space="preserve"> эффективны</w:t>
      </w:r>
      <w:r>
        <w:t>х</w:t>
      </w:r>
      <w:r w:rsidRPr="00CC1BAE">
        <w:t xml:space="preserve"> сре</w:t>
      </w:r>
      <w:proofErr w:type="gramStart"/>
      <w:r w:rsidRPr="00CC1BAE">
        <w:t>дств пр</w:t>
      </w:r>
      <w:proofErr w:type="gramEnd"/>
      <w:r w:rsidRPr="00CC1BAE">
        <w:t>авовой защиты согласно Пакту.</w:t>
      </w:r>
    </w:p>
    <w:p w:rsidR="00797113" w:rsidRPr="00CC1BAE" w:rsidRDefault="00797113" w:rsidP="00797113">
      <w:pPr>
        <w:pStyle w:val="H23GR"/>
      </w:pPr>
      <w:r w:rsidRPr="00CC1BAE">
        <w:tab/>
      </w:r>
      <w:r w:rsidRPr="00CC1BAE">
        <w:tab/>
        <w:t>Дополнительные представления сторон</w:t>
      </w:r>
    </w:p>
    <w:p w:rsidR="00797113" w:rsidRPr="00CC1BAE" w:rsidRDefault="00797113" w:rsidP="00797113">
      <w:pPr>
        <w:pStyle w:val="SingleTxtGR"/>
      </w:pPr>
      <w:r w:rsidRPr="00CC1BAE">
        <w:t>9.1</w:t>
      </w:r>
      <w:r w:rsidRPr="00CC1BAE">
        <w:tab/>
        <w:t xml:space="preserve">4 июля 2014 года </w:t>
      </w:r>
      <w:r>
        <w:t>а</w:t>
      </w:r>
      <w:r w:rsidRPr="00CC1BAE">
        <w:t>втор проинформировал Комитет о том, что от 25 апр</w:t>
      </w:r>
      <w:r w:rsidRPr="00CC1BAE">
        <w:t>е</w:t>
      </w:r>
      <w:r w:rsidRPr="00CC1BAE">
        <w:t>ля 2014 года парламент госуд</w:t>
      </w:r>
      <w:r>
        <w:t>арства-участника принял Закон №</w:t>
      </w:r>
      <w:r w:rsidRPr="00CC1BAE">
        <w:t xml:space="preserve"> 2071 (2014 г</w:t>
      </w:r>
      <w:r w:rsidRPr="00CC1BAE">
        <w:t>о</w:t>
      </w:r>
      <w:r w:rsidRPr="00CC1BAE">
        <w:t>да), учреждающий Комиссию по установлению истины и примирению и Коми</w:t>
      </w:r>
      <w:r w:rsidRPr="00CC1BAE">
        <w:t>с</w:t>
      </w:r>
      <w:r w:rsidRPr="00CC1BAE">
        <w:t>сии по расследованию случаев исчезновения лиц ("Закон").</w:t>
      </w:r>
    </w:p>
    <w:p w:rsidR="00797113" w:rsidRPr="00CC1BAE" w:rsidRDefault="00797113" w:rsidP="00797113">
      <w:pPr>
        <w:pStyle w:val="SingleTxtGR"/>
      </w:pPr>
      <w:r w:rsidRPr="00CC1BAE">
        <w:t>9.2</w:t>
      </w:r>
      <w:r w:rsidRPr="00CC1BAE">
        <w:tab/>
        <w:t>Автор указывает на то, что Закон примен</w:t>
      </w:r>
      <w:r>
        <w:t>им</w:t>
      </w:r>
      <w:r w:rsidRPr="00CC1BAE">
        <w:t xml:space="preserve"> ко всем случаям "серьезных нарушений прав человека", совершенных в период вооруженного конфликта, </w:t>
      </w:r>
      <w:r>
        <w:t>и</w:t>
      </w:r>
      <w:r w:rsidRPr="00CC1BAE">
        <w:t xml:space="preserve"> утверждает, что </w:t>
      </w:r>
      <w:r>
        <w:t>несколько</w:t>
      </w:r>
      <w:r w:rsidRPr="00CC1BAE">
        <w:t xml:space="preserve"> его положений не совместимы с международными стандартами в области прав человек</w:t>
      </w:r>
      <w:r>
        <w:t>а. В частности, Закон наделяет к</w:t>
      </w:r>
      <w:r w:rsidRPr="00CC1BAE">
        <w:t>омиссии полномочиями рекомендовать амнистирование лиц, виновных в грубых нар</w:t>
      </w:r>
      <w:r w:rsidRPr="00CC1BAE">
        <w:t>у</w:t>
      </w:r>
      <w:r w:rsidRPr="00CC1BAE">
        <w:t>шениях международн</w:t>
      </w:r>
      <w:r>
        <w:t>ого права</w:t>
      </w:r>
      <w:r w:rsidRPr="00CC1BAE">
        <w:t>х прав человека или серьезных нарушениях международного гуманитарного права, таких, например, как указанные в наст</w:t>
      </w:r>
      <w:r w:rsidRPr="00CC1BAE">
        <w:t>о</w:t>
      </w:r>
      <w:r w:rsidRPr="00CC1BAE">
        <w:lastRenderedPageBreak/>
        <w:t xml:space="preserve">ящем сообщении; независимость и беспристрастность членов </w:t>
      </w:r>
      <w:r>
        <w:t>к</w:t>
      </w:r>
      <w:r w:rsidRPr="00CC1BAE">
        <w:t>омисси</w:t>
      </w:r>
      <w:r>
        <w:t>й</w:t>
      </w:r>
      <w:r w:rsidRPr="00CC1BAE">
        <w:t xml:space="preserve"> не г</w:t>
      </w:r>
      <w:r w:rsidRPr="00CC1BAE">
        <w:t>а</w:t>
      </w:r>
      <w:r w:rsidRPr="00CC1BAE">
        <w:t>рантирована; и Закон не признает права жертв на полное возмещение ущерба</w:t>
      </w:r>
      <w:r w:rsidRPr="003A2E14">
        <w:rPr>
          <w:sz w:val="18"/>
          <w:szCs w:val="18"/>
          <w:vertAlign w:val="superscript"/>
        </w:rPr>
        <w:footnoteReference w:id="20"/>
      </w:r>
      <w:r w:rsidRPr="00CC1BAE">
        <w:t>. В случае</w:t>
      </w:r>
      <w:r>
        <w:t>,</w:t>
      </w:r>
      <w:r w:rsidRPr="00CC1BAE">
        <w:t xml:space="preserve"> если Комитет сочтет, что в данном случае имеет место нарушение Пакта, Комитет мог бы рекомендовать государству-участнику внести в Закон поправки после проведения соответствующих консультаций с жертвами, их с</w:t>
      </w:r>
      <w:r w:rsidRPr="00CC1BAE">
        <w:t>е</w:t>
      </w:r>
      <w:r w:rsidRPr="00CC1BAE">
        <w:t xml:space="preserve">мьями, гражданским обществом и </w:t>
      </w:r>
      <w:proofErr w:type="spellStart"/>
      <w:r w:rsidRPr="00CC1BAE">
        <w:t>НКПЧ</w:t>
      </w:r>
      <w:proofErr w:type="spellEnd"/>
      <w:r w:rsidRPr="00CC1BAE">
        <w:t>. В частности, государству-участнику следует: a) отменить полномочия по амнисти</w:t>
      </w:r>
      <w:r>
        <w:t>рованию</w:t>
      </w:r>
      <w:r w:rsidRPr="00CC1BAE">
        <w:t xml:space="preserve"> ви</w:t>
      </w:r>
      <w:r>
        <w:t>новных</w:t>
      </w:r>
      <w:r w:rsidRPr="00CC1BAE">
        <w:t xml:space="preserve"> в грубых нарушениях Пакта; b) обеспечить, чтобы грубые нарушения Пакта являлись предметом уголовного расследования, а виновные в них привлекались к суде</w:t>
      </w:r>
      <w:r w:rsidRPr="00CC1BAE">
        <w:t>б</w:t>
      </w:r>
      <w:r w:rsidRPr="00CC1BAE">
        <w:t xml:space="preserve">ной ответственности, в том числе </w:t>
      </w:r>
      <w:r>
        <w:t xml:space="preserve">путем </w:t>
      </w:r>
      <w:r w:rsidRPr="00CC1BAE">
        <w:t>обеспечения того, чтобы решения не начинать уголовное преследование подлежали пересмотру</w:t>
      </w:r>
      <w:r w:rsidRPr="002C03D3">
        <w:t xml:space="preserve"> </w:t>
      </w:r>
      <w:r w:rsidRPr="00CC1BAE">
        <w:t>в судебном порядке; с)</w:t>
      </w:r>
      <w:r>
        <w:t> </w:t>
      </w:r>
      <w:r w:rsidRPr="00CC1BAE">
        <w:t>устранить возможности "для достижения примирения" между жертвами и виновными без согласия жертвы; d) гарантировать беспристрастность и незав</w:t>
      </w:r>
      <w:r w:rsidRPr="00CC1BAE">
        <w:t>и</w:t>
      </w:r>
      <w:r w:rsidRPr="00CC1BAE">
        <w:t>симость членов Комиссии; и е) признать право жертв на возмещение, которое может включать в себя реституцию, компенсацию, реабилитацию, меры сати</w:t>
      </w:r>
      <w:r w:rsidRPr="00CC1BAE">
        <w:t>с</w:t>
      </w:r>
      <w:r w:rsidRPr="00CC1BAE">
        <w:t xml:space="preserve">факции и гарантии </w:t>
      </w:r>
      <w:proofErr w:type="spellStart"/>
      <w:r w:rsidRPr="00CC1BAE">
        <w:t>неповторения</w:t>
      </w:r>
      <w:proofErr w:type="spellEnd"/>
      <w:r w:rsidRPr="00CC1BAE">
        <w:t>.</w:t>
      </w:r>
    </w:p>
    <w:p w:rsidR="00797113" w:rsidRPr="00CC1BAE" w:rsidRDefault="00797113" w:rsidP="00797113">
      <w:pPr>
        <w:pStyle w:val="SingleTxtGR"/>
      </w:pPr>
      <w:r w:rsidRPr="00CC1BAE">
        <w:t>10.</w:t>
      </w:r>
      <w:r>
        <w:tab/>
      </w:r>
      <w:r w:rsidRPr="00CC1BAE">
        <w:t xml:space="preserve">11 августа 2014 года </w:t>
      </w:r>
      <w:r>
        <w:t>г</w:t>
      </w:r>
      <w:r w:rsidRPr="00CC1BAE">
        <w:t xml:space="preserve">осударство-участник проинформировало Комитет о принятии Закона парламентом; вновь подтвердило свои замечания по существу сообщения (см. пункты 7.3 и 7.4 выше); и </w:t>
      </w:r>
      <w:r>
        <w:t>повторило</w:t>
      </w:r>
      <w:r w:rsidRPr="00CC1BAE">
        <w:t xml:space="preserve"> свое утверждение о том, что Комитету не следует далее рассматривать настоящее сообщение. Кроме т</w:t>
      </w:r>
      <w:r w:rsidRPr="00CC1BAE">
        <w:t>о</w:t>
      </w:r>
      <w:r w:rsidRPr="00CC1BAE">
        <w:t>го, государство-участник заявило, что оно разработало программы по реабил</w:t>
      </w:r>
      <w:r w:rsidRPr="00CC1BAE">
        <w:t>и</w:t>
      </w:r>
      <w:r w:rsidRPr="00CC1BAE">
        <w:t>тации и финансовой и нефинансовой поддержк</w:t>
      </w:r>
      <w:r>
        <w:t>е</w:t>
      </w:r>
      <w:r w:rsidRPr="00CC1BAE">
        <w:t xml:space="preserve"> жертв вооруженного конфли</w:t>
      </w:r>
      <w:r w:rsidRPr="00CC1BAE">
        <w:t>к</w:t>
      </w:r>
      <w:r w:rsidRPr="00CC1BAE">
        <w:t>та и их сем</w:t>
      </w:r>
      <w:r>
        <w:t>ей</w:t>
      </w:r>
      <w:r w:rsidRPr="00CC1BAE">
        <w:t>.</w:t>
      </w:r>
    </w:p>
    <w:p w:rsidR="00797113" w:rsidRPr="00CC1BAE" w:rsidRDefault="00797113" w:rsidP="00797113">
      <w:pPr>
        <w:pStyle w:val="H4GR"/>
      </w:pPr>
      <w:r w:rsidRPr="00CC1BAE">
        <w:tab/>
      </w:r>
      <w:r w:rsidRPr="00CC1BAE">
        <w:tab/>
        <w:t>Рассмотрение по существу</w:t>
      </w:r>
    </w:p>
    <w:p w:rsidR="00797113" w:rsidRPr="00CC1BAE" w:rsidRDefault="00797113" w:rsidP="00797113">
      <w:pPr>
        <w:pStyle w:val="SingleTxtGR"/>
      </w:pPr>
      <w:r w:rsidRPr="00CC1BAE">
        <w:t>11.1</w:t>
      </w:r>
      <w:r w:rsidRPr="00CC1BAE">
        <w:tab/>
        <w:t xml:space="preserve">Комитет по правам человека рассмотрел </w:t>
      </w:r>
      <w:r>
        <w:t xml:space="preserve">данное </w:t>
      </w:r>
      <w:r w:rsidRPr="00CC1BAE">
        <w:t>сообщени</w:t>
      </w:r>
      <w:r>
        <w:t>е</w:t>
      </w:r>
      <w:r w:rsidRPr="00CC1BAE">
        <w:t xml:space="preserve"> в свете </w:t>
      </w:r>
      <w:r>
        <w:t xml:space="preserve">всей </w:t>
      </w:r>
      <w:r w:rsidRPr="00CC1BAE">
        <w:t>представленной ему информации, как это предусмотрено пунктом 1 статьи 5 Факультативного протокола.</w:t>
      </w:r>
    </w:p>
    <w:p w:rsidR="007A16A3" w:rsidRPr="00C00ABF" w:rsidRDefault="007A16A3" w:rsidP="007A16A3">
      <w:pPr>
        <w:pStyle w:val="SingleTxtGR"/>
      </w:pPr>
      <w:proofErr w:type="gramStart"/>
      <w:r w:rsidRPr="00C00ABF">
        <w:t>11.2</w:t>
      </w:r>
      <w:r w:rsidRPr="00C00ABF">
        <w:tab/>
        <w:t>Комитет принимает к сведению утверждения автора о том, что 12 февр</w:t>
      </w:r>
      <w:r w:rsidRPr="00C00ABF">
        <w:t>а</w:t>
      </w:r>
      <w:r w:rsidRPr="00C00ABF">
        <w:t>ля 2004 года его дочь была произвольно казнена военнослужащими Короле</w:t>
      </w:r>
      <w:r w:rsidRPr="00C00ABF">
        <w:t>в</w:t>
      </w:r>
      <w:r w:rsidRPr="00C00ABF">
        <w:t xml:space="preserve">ской армии Непала после того, как она была незаконно арестована ночью без ордера на арест, подверглась пыткам и жестокому </w:t>
      </w:r>
      <w:r>
        <w:t xml:space="preserve">неправомерному </w:t>
      </w:r>
      <w:r w:rsidRPr="00C00ABF">
        <w:t xml:space="preserve">обращению и унижениям со стороны группы </w:t>
      </w:r>
      <w:r>
        <w:t>военнослужащих</w:t>
      </w:r>
      <w:r w:rsidRPr="00C00ABF">
        <w:t>; что в последующие дни он обратился с жалобой к главе районной администрации;</w:t>
      </w:r>
      <w:proofErr w:type="gramEnd"/>
      <w:r w:rsidRPr="00C00ABF">
        <w:t xml:space="preserve"> что 29 февраля 2004 г</w:t>
      </w:r>
      <w:r w:rsidRPr="00C00ABF">
        <w:t>о</w:t>
      </w:r>
      <w:r w:rsidRPr="00C00ABF">
        <w:t xml:space="preserve">да он подал также заявление в Национальную комиссию по правам человека, а </w:t>
      </w:r>
      <w:r w:rsidRPr="00C00ABF">
        <w:lastRenderedPageBreak/>
        <w:t xml:space="preserve">8 июня 2006 года подал первичное информационное сообщение об убийстве в районное </w:t>
      </w:r>
      <w:r>
        <w:t>отделение</w:t>
      </w:r>
      <w:r w:rsidRPr="00C00ABF">
        <w:t xml:space="preserve"> полиции. Поскольку полиция не провела какого-либо ра</w:t>
      </w:r>
      <w:r w:rsidRPr="00C00ABF">
        <w:t>с</w:t>
      </w:r>
      <w:r w:rsidRPr="00C00ABF">
        <w:t>следования, он подал ходатайство в Верховный суд. Он утверждает</w:t>
      </w:r>
      <w:r w:rsidRPr="00347595">
        <w:t xml:space="preserve"> </w:t>
      </w:r>
      <w:r w:rsidRPr="00C00ABF">
        <w:t xml:space="preserve">далее, что, несмотря на рекомендации, вынесенные </w:t>
      </w:r>
      <w:proofErr w:type="spellStart"/>
      <w:r w:rsidRPr="00C00ABF">
        <w:t>НКПЧ</w:t>
      </w:r>
      <w:proofErr w:type="spellEnd"/>
      <w:r w:rsidRPr="00C00ABF">
        <w:t xml:space="preserve"> 14 июня 2005 года, и приказ Верховного суда об исполнении требований истца от 14 декабря 2009 года, до настоящего времени не было проведено никакого расследования по факту уби</w:t>
      </w:r>
      <w:r w:rsidRPr="00C00ABF">
        <w:t>й</w:t>
      </w:r>
      <w:r w:rsidRPr="00C00ABF">
        <w:t>ства его дочери. Кроме того, Комитет принимает к сведению утверждения авт</w:t>
      </w:r>
      <w:r w:rsidRPr="00C00ABF">
        <w:t>о</w:t>
      </w:r>
      <w:r w:rsidRPr="00C00ABF">
        <w:t xml:space="preserve">ра о том, что он не знал о разбирательствах, проведенных военным трибуналом в связи с событиями, имевшими место в </w:t>
      </w:r>
      <w:proofErr w:type="spellStart"/>
      <w:r w:rsidRPr="00C00ABF">
        <w:t>Пок</w:t>
      </w:r>
      <w:r>
        <w:t>хари-Чаури</w:t>
      </w:r>
      <w:proofErr w:type="spellEnd"/>
      <w:r>
        <w:t xml:space="preserve"> 12 и 13 февраля 2004 </w:t>
      </w:r>
      <w:r w:rsidRPr="00C00ABF">
        <w:t>года; что решение военного трибунала от 28 августа 2005 года не было предано гласности; что документы и доказательства, перечисленные в решении, не были пред</w:t>
      </w:r>
      <w:r>
        <w:t xml:space="preserve">ставлены в </w:t>
      </w:r>
      <w:proofErr w:type="spellStart"/>
      <w:r>
        <w:t>РО</w:t>
      </w:r>
      <w:r w:rsidRPr="00C00ABF">
        <w:t>П</w:t>
      </w:r>
      <w:proofErr w:type="spellEnd"/>
      <w:r w:rsidRPr="00C00ABF">
        <w:t xml:space="preserve"> </w:t>
      </w:r>
      <w:proofErr w:type="spellStart"/>
      <w:r w:rsidRPr="00C00ABF">
        <w:t>Кавре</w:t>
      </w:r>
      <w:proofErr w:type="spellEnd"/>
      <w:r w:rsidRPr="00C00ABF">
        <w:t xml:space="preserve"> или автору; а также что суд не наказал лиц, виновных в преступлениях, совершенных в отношении ее дочери. Кроме того, Комитет принимает к сведению заявление государства-участника о том, что дальнейшее расследование обстоятельств смерти дочери автора все еще пр</w:t>
      </w:r>
      <w:r w:rsidRPr="00C00ABF">
        <w:t>о</w:t>
      </w:r>
      <w:r w:rsidRPr="00C00ABF">
        <w:t xml:space="preserve">должается </w:t>
      </w:r>
      <w:r>
        <w:t>и</w:t>
      </w:r>
      <w:r w:rsidRPr="00C00ABF">
        <w:t xml:space="preserve"> что это дело подпадет под юрисдикцию комиссии по расследов</w:t>
      </w:r>
      <w:r w:rsidRPr="00C00ABF">
        <w:t>а</w:t>
      </w:r>
      <w:r w:rsidRPr="00C00ABF">
        <w:t>нию случаев исчезновения лиц</w:t>
      </w:r>
      <w:r>
        <w:t xml:space="preserve"> и по</w:t>
      </w:r>
      <w:r w:rsidRPr="00C00ABF">
        <w:t xml:space="preserve"> </w:t>
      </w:r>
      <w:r>
        <w:t>у</w:t>
      </w:r>
      <w:r w:rsidRPr="00C00ABF">
        <w:t>становлению истины и примирению, учрежденн</w:t>
      </w:r>
      <w:r>
        <w:t>ых</w:t>
      </w:r>
      <w:r w:rsidRPr="00C00ABF">
        <w:t xml:space="preserve"> на основании закона.</w:t>
      </w:r>
    </w:p>
    <w:p w:rsidR="007A16A3" w:rsidRPr="00C00ABF" w:rsidRDefault="007A16A3" w:rsidP="007A16A3">
      <w:pPr>
        <w:pStyle w:val="SingleTxtGR"/>
      </w:pPr>
      <w:proofErr w:type="gramStart"/>
      <w:r>
        <w:t>11.3</w:t>
      </w:r>
      <w:r>
        <w:tab/>
      </w:r>
      <w:r w:rsidRPr="00C00ABF">
        <w:t>Комитет напоминает, что государства-участники должны прин</w:t>
      </w:r>
      <w:r>
        <w:t>има</w:t>
      </w:r>
      <w:r w:rsidRPr="00C00ABF">
        <w:t>ть меры не только по предупреждению и наказанию уголовных действий, ведущих к лишению жизни, но и по предотвращению произвольных убийств, соверша</w:t>
      </w:r>
      <w:r w:rsidRPr="00C00ABF">
        <w:t>е</w:t>
      </w:r>
      <w:r w:rsidRPr="00C00ABF">
        <w:t>мых их собственными силами безопасности</w:t>
      </w:r>
      <w:r w:rsidRPr="00667FB7">
        <w:rPr>
          <w:sz w:val="18"/>
          <w:szCs w:val="18"/>
          <w:vertAlign w:val="superscript"/>
        </w:rPr>
        <w:footnoteReference w:id="21"/>
      </w:r>
      <w:r w:rsidRPr="00C00ABF">
        <w:t>. Комитет ссылается</w:t>
      </w:r>
      <w:r w:rsidRPr="00301CB4">
        <w:t xml:space="preserve"> </w:t>
      </w:r>
      <w:r w:rsidRPr="00C00ABF">
        <w:t>также на пункт 3 статьи 2 Пакта, в соответствии с которым государства-участники обяз</w:t>
      </w:r>
      <w:r w:rsidRPr="00C00ABF">
        <w:t>а</w:t>
      </w:r>
      <w:r w:rsidRPr="00C00ABF">
        <w:t>ны обеспечивать всем лицам доступные</w:t>
      </w:r>
      <w:r>
        <w:t>,</w:t>
      </w:r>
      <w:r w:rsidRPr="00C00ABF">
        <w:t xml:space="preserve"> эффективные и имеющие исковую с</w:t>
      </w:r>
      <w:r w:rsidRPr="00C00ABF">
        <w:t>и</w:t>
      </w:r>
      <w:r w:rsidRPr="00C00ABF">
        <w:t xml:space="preserve">лу средства правовой защиты </w:t>
      </w:r>
      <w:r>
        <w:t>для отстаивания</w:t>
      </w:r>
      <w:proofErr w:type="gramEnd"/>
      <w:r>
        <w:t xml:space="preserve"> </w:t>
      </w:r>
      <w:r w:rsidRPr="00C00ABF">
        <w:t xml:space="preserve">их прав, закрепленных Пактом. </w:t>
      </w:r>
      <w:proofErr w:type="gramStart"/>
      <w:r w:rsidRPr="00C00ABF">
        <w:t>Кроме того, Комитет ссылается на свое замечание общего порядка №</w:t>
      </w:r>
      <w:r>
        <w:t> </w:t>
      </w:r>
      <w:r w:rsidRPr="00C00ABF">
        <w:t>31 (2004</w:t>
      </w:r>
      <w:r>
        <w:t> год</w:t>
      </w:r>
      <w:r w:rsidRPr="00C00ABF">
        <w:t>) по вопросу о характере общего юридического обязательства, налаг</w:t>
      </w:r>
      <w:r w:rsidRPr="00C00ABF">
        <w:t>а</w:t>
      </w:r>
      <w:r w:rsidRPr="00C00ABF">
        <w:t>емого на государства-участники Пакта, и, в частности, на тот факт, что в случ</w:t>
      </w:r>
      <w:r w:rsidRPr="00C00ABF">
        <w:t>а</w:t>
      </w:r>
      <w:r w:rsidRPr="00C00ABF">
        <w:t>ях, когда в результате расследования вскрываются нарушения некоторых пр</w:t>
      </w:r>
      <w:r w:rsidRPr="00C00ABF">
        <w:t>и</w:t>
      </w:r>
      <w:r w:rsidRPr="00C00ABF">
        <w:t>знаваемых в Пакте прав, государства-участники должны принять меры к тому, чтобы виновные в них привлекались к судебной ответственности.</w:t>
      </w:r>
      <w:proofErr w:type="gramEnd"/>
      <w:r w:rsidRPr="00C00ABF">
        <w:t xml:space="preserve"> Как и в сл</w:t>
      </w:r>
      <w:r w:rsidRPr="00C00ABF">
        <w:t>у</w:t>
      </w:r>
      <w:r w:rsidRPr="00C00ABF">
        <w:t xml:space="preserve">чае </w:t>
      </w:r>
      <w:proofErr w:type="spellStart"/>
      <w:r w:rsidRPr="00C00ABF">
        <w:t>непроведения</w:t>
      </w:r>
      <w:proofErr w:type="spellEnd"/>
      <w:r w:rsidRPr="00C00ABF">
        <w:t xml:space="preserve"> расследования, </w:t>
      </w:r>
      <w:proofErr w:type="spellStart"/>
      <w:r w:rsidRPr="00C00ABF">
        <w:t>непривлечение</w:t>
      </w:r>
      <w:proofErr w:type="spellEnd"/>
      <w:r w:rsidRPr="00C00ABF">
        <w:t xml:space="preserve"> к ответственности лиц, вино</w:t>
      </w:r>
      <w:r w:rsidRPr="00C00ABF">
        <w:t>в</w:t>
      </w:r>
      <w:r w:rsidRPr="00C00ABF">
        <w:t>ных в совершении таких нарушений, может само по себе стать отдельным нарушением Пакта. Эти обязательства возникают, в частности, в случае нар</w:t>
      </w:r>
      <w:r w:rsidRPr="00C00ABF">
        <w:t>у</w:t>
      </w:r>
      <w:r w:rsidRPr="00C00ABF">
        <w:t>шений, признаваемых уголовными, будь то по внутреннему или междунаро</w:t>
      </w:r>
      <w:r w:rsidRPr="00C00ABF">
        <w:t>д</w:t>
      </w:r>
      <w:r w:rsidRPr="00C00ABF">
        <w:t>ному праву, таких как пытки и сходное с ними жестокое, бесчеловечное или унижающее достоинство обращение</w:t>
      </w:r>
      <w:r>
        <w:t>, а также</w:t>
      </w:r>
      <w:r w:rsidRPr="00C00ABF">
        <w:t xml:space="preserve"> казни без надлежащего судебного разбирательства и произвольные казни (пункт 18).</w:t>
      </w:r>
    </w:p>
    <w:p w:rsidR="007A16A3" w:rsidRPr="00C00ABF" w:rsidRDefault="007A16A3" w:rsidP="007A16A3">
      <w:pPr>
        <w:pStyle w:val="SingleTxtGR"/>
      </w:pPr>
      <w:r w:rsidRPr="00C00ABF">
        <w:t>11.4</w:t>
      </w:r>
      <w:proofErr w:type="gramStart"/>
      <w:r w:rsidRPr="00C00ABF">
        <w:tab/>
        <w:t>В</w:t>
      </w:r>
      <w:proofErr w:type="gramEnd"/>
      <w:r w:rsidRPr="00C00ABF">
        <w:t xml:space="preserve"> настоящем деле не существует каких-либо </w:t>
      </w:r>
      <w:r>
        <w:t>разногласий по поводу того</w:t>
      </w:r>
      <w:r w:rsidRPr="00C00ABF">
        <w:t xml:space="preserve">, что дочь автора сообщения была арестована военнослужащими Королевской армии Непала без ордера на арест и что она умерла в результате применения этими военнослужащими огнестрельного оружия, хотя стороны </w:t>
      </w:r>
      <w:r>
        <w:t>расходятся во мнениях относительно</w:t>
      </w:r>
      <w:r w:rsidRPr="00C00ABF">
        <w:t xml:space="preserve"> обстоятельств ее смерти. В любом случае Комитет сч</w:t>
      </w:r>
      <w:r w:rsidRPr="00C00ABF">
        <w:t>и</w:t>
      </w:r>
      <w:r w:rsidRPr="00C00ABF">
        <w:t>тает, что убийство дочери автора военнослужащими требовало проведения незамедлительного и независимого расследования. Лишение людей жизни гос</w:t>
      </w:r>
      <w:r w:rsidRPr="00C00ABF">
        <w:t>у</w:t>
      </w:r>
      <w:r w:rsidRPr="00C00ABF">
        <w:t>дарственными властями является вопросом чрезвычайной серьезности</w:t>
      </w:r>
      <w:r w:rsidRPr="00667FB7">
        <w:rPr>
          <w:sz w:val="18"/>
          <w:szCs w:val="18"/>
          <w:vertAlign w:val="superscript"/>
        </w:rPr>
        <w:footnoteReference w:id="22"/>
      </w:r>
      <w:r w:rsidRPr="00C00ABF">
        <w:t>; это требует проведения оперативного и надлежащего расследования</w:t>
      </w:r>
      <w:r>
        <w:t xml:space="preserve"> </w:t>
      </w:r>
      <w:r w:rsidRPr="00C00ABF">
        <w:t xml:space="preserve">с </w:t>
      </w:r>
      <w:r>
        <w:t>применением</w:t>
      </w:r>
      <w:r w:rsidRPr="00C00ABF">
        <w:t xml:space="preserve"> </w:t>
      </w:r>
      <w:r w:rsidRPr="00C00ABF">
        <w:lastRenderedPageBreak/>
        <w:t>всех гарантий, предусмотренных в Пакте, и соответствующего наказания в</w:t>
      </w:r>
      <w:r w:rsidRPr="00C00ABF">
        <w:t>и</w:t>
      </w:r>
      <w:r w:rsidRPr="00C00ABF">
        <w:t>новных. Комитет отмечает, что вскоре после смерти его дочери автор подал ж</w:t>
      </w:r>
      <w:r w:rsidRPr="00C00ABF">
        <w:t>а</w:t>
      </w:r>
      <w:r w:rsidRPr="00C00ABF">
        <w:t>лобу главе районной администрации, а 8 июня 2006 года подал первичное и</w:t>
      </w:r>
      <w:r w:rsidRPr="00C00ABF">
        <w:t>н</w:t>
      </w:r>
      <w:r w:rsidRPr="00C00ABF">
        <w:t xml:space="preserve">формационное сообщение об убийстве в районное </w:t>
      </w:r>
      <w:r>
        <w:t>отделение</w:t>
      </w:r>
      <w:r w:rsidRPr="00C00ABF">
        <w:t xml:space="preserve"> полиции, но все это было безрезультатным. В июне 2005 года </w:t>
      </w:r>
      <w:proofErr w:type="spellStart"/>
      <w:r w:rsidRPr="00C00ABF">
        <w:t>НКПЧ</w:t>
      </w:r>
      <w:proofErr w:type="spellEnd"/>
      <w:r w:rsidRPr="00C00ABF">
        <w:t xml:space="preserve"> установила, что дочь авт</w:t>
      </w:r>
      <w:r w:rsidRPr="00C00ABF">
        <w:t>о</w:t>
      </w:r>
      <w:r w:rsidRPr="00C00ABF">
        <w:t>ра была незаконно убита, и рекомендовала правительству выявить виновных и принять в их отношении правовые меры. Кроме того, 14 декабря 2009 года Ве</w:t>
      </w:r>
      <w:r w:rsidRPr="00C00ABF">
        <w:t>р</w:t>
      </w:r>
      <w:r w:rsidRPr="00C00ABF">
        <w:t xml:space="preserve">ховный суд </w:t>
      </w:r>
      <w:r>
        <w:t>отдал</w:t>
      </w:r>
      <w:r w:rsidRPr="00C00ABF">
        <w:t xml:space="preserve"> судебный приказ о проведении незамедлительного расслед</w:t>
      </w:r>
      <w:r w:rsidRPr="00C00ABF">
        <w:t>о</w:t>
      </w:r>
      <w:r w:rsidRPr="00C00ABF">
        <w:t>вания, но это не привело ни к каким результатам. Несмотря на усилия, пре</w:t>
      </w:r>
      <w:r w:rsidRPr="00C00ABF">
        <w:t>д</w:t>
      </w:r>
      <w:r w:rsidRPr="00C00ABF">
        <w:t>принятые автором, более чем через десять лет после убийства его дочери гос</w:t>
      </w:r>
      <w:r w:rsidRPr="00C00ABF">
        <w:t>у</w:t>
      </w:r>
      <w:r w:rsidRPr="00C00ABF">
        <w:t>дарство-участник не завершило никакого расследования, проясняющего обсто</w:t>
      </w:r>
      <w:r w:rsidRPr="00C00ABF">
        <w:t>я</w:t>
      </w:r>
      <w:r w:rsidRPr="00C00ABF">
        <w:t>тельства ее ареста и смерти, и ни один виновный не предстал перед судом и не был наказан. Государство-участник ссылается на текущие расследования, но ход таких расследований и причины задержек по-прежнему остаются неясн</w:t>
      </w:r>
      <w:r w:rsidRPr="00C00ABF">
        <w:t>ы</w:t>
      </w:r>
      <w:r w:rsidRPr="00C00ABF">
        <w:t>ми.</w:t>
      </w:r>
    </w:p>
    <w:p w:rsidR="007A16A3" w:rsidRPr="00C00ABF" w:rsidRDefault="007A16A3" w:rsidP="007A16A3">
      <w:pPr>
        <w:pStyle w:val="SingleTxtGR"/>
      </w:pPr>
      <w:r w:rsidRPr="00C00ABF">
        <w:t>11.5</w:t>
      </w:r>
      <w:r w:rsidRPr="00C00ABF">
        <w:tab/>
        <w:t>Комитет считает, что государство-участник не смогло провести операти</w:t>
      </w:r>
      <w:r w:rsidRPr="00C00ABF">
        <w:t>в</w:t>
      </w:r>
      <w:r w:rsidRPr="00C00ABF">
        <w:t>ное, тщательное и эффективное расследование обстоятельств ареста дочери а</w:t>
      </w:r>
      <w:r w:rsidRPr="00C00ABF">
        <w:t>в</w:t>
      </w:r>
      <w:r w:rsidRPr="00C00ABF">
        <w:t xml:space="preserve">тора, обращения с ней и ее убийства. </w:t>
      </w:r>
      <w:proofErr w:type="gramStart"/>
      <w:r w:rsidRPr="00C00ABF">
        <w:t xml:space="preserve">В связи с этим Комитет делает вывод о том, что в отсутствие какого-либо эффективного расследования </w:t>
      </w:r>
      <w:r>
        <w:t>в</w:t>
      </w:r>
      <w:r w:rsidRPr="00C00ABF">
        <w:t xml:space="preserve"> цел</w:t>
      </w:r>
      <w:r>
        <w:t xml:space="preserve">ях </w:t>
      </w:r>
      <w:r w:rsidRPr="00C00ABF">
        <w:t>уст</w:t>
      </w:r>
      <w:r w:rsidRPr="00C00ABF">
        <w:t>а</w:t>
      </w:r>
      <w:r w:rsidRPr="00C00ABF">
        <w:t>новления ответственности в связи с арестом дочери автора, обращением с ней и ее убийством представляет собой отказ в правосудии и нарушение ее прав в с</w:t>
      </w:r>
      <w:r w:rsidRPr="00C00ABF">
        <w:t>о</w:t>
      </w:r>
      <w:r w:rsidRPr="00C00ABF">
        <w:t>ответствии с пунктом 1 статьи 6</w:t>
      </w:r>
      <w:r>
        <w:t xml:space="preserve"> и</w:t>
      </w:r>
      <w:r w:rsidRPr="00C00ABF">
        <w:t xml:space="preserve"> статьями 7, 9 и 1</w:t>
      </w:r>
      <w:r>
        <w:t>0</w:t>
      </w:r>
      <w:r w:rsidRPr="00C00ABF">
        <w:t>, рассматриваемыми в с</w:t>
      </w:r>
      <w:r w:rsidRPr="00C00ABF">
        <w:t>о</w:t>
      </w:r>
      <w:r w:rsidRPr="00C00ABF">
        <w:t>вокупности с пунктом 3 статьи</w:t>
      </w:r>
      <w:proofErr w:type="gramEnd"/>
      <w:r w:rsidRPr="00C00ABF">
        <w:t xml:space="preserve"> 2 Пакта.</w:t>
      </w:r>
    </w:p>
    <w:p w:rsidR="007A16A3" w:rsidRPr="00C00ABF" w:rsidRDefault="007A16A3" w:rsidP="007A16A3">
      <w:pPr>
        <w:pStyle w:val="SingleTxtGR"/>
      </w:pPr>
      <w:proofErr w:type="gramStart"/>
      <w:r w:rsidRPr="00C00ABF">
        <w:t>11.6</w:t>
      </w:r>
      <w:r w:rsidRPr="00C00ABF">
        <w:tab/>
        <w:t>Комитет принимает к сведению утверждение автора о том, что обращ</w:t>
      </w:r>
      <w:r w:rsidRPr="00C00ABF">
        <w:t>е</w:t>
      </w:r>
      <w:r w:rsidRPr="00C00ABF">
        <w:t>ние, которому он подвергся со стороны военнослужащих Королевской армии Непала, включая принуждение его к наблюдению за казнью его дочери, а также отсутствие последующего надлежащего расследования и безнаказанность в</w:t>
      </w:r>
      <w:r w:rsidRPr="00C00ABF">
        <w:t>и</w:t>
      </w:r>
      <w:r w:rsidRPr="00C00ABF">
        <w:t>новных, представляют собой обращение, противоречащее статье 7, рассматр</w:t>
      </w:r>
      <w:r w:rsidRPr="00C00ABF">
        <w:t>и</w:t>
      </w:r>
      <w:r w:rsidRPr="00C00ABF">
        <w:t>ваемой в совокупности с пунктом 3 статьи 2, в том, что касается самого автора.</w:t>
      </w:r>
      <w:proofErr w:type="gramEnd"/>
      <w:r w:rsidRPr="00C00ABF">
        <w:t xml:space="preserve"> Комитет отмечает, что все усилия, предпринятые автором для обеспечения пр</w:t>
      </w:r>
      <w:r w:rsidRPr="00C00ABF">
        <w:t>а</w:t>
      </w:r>
      <w:r w:rsidRPr="00C00ABF">
        <w:t>восудия со стороны властей, оказались безрезультатными</w:t>
      </w:r>
      <w:r>
        <w:t xml:space="preserve"> и</w:t>
      </w:r>
      <w:r w:rsidRPr="00C00ABF">
        <w:t xml:space="preserve"> что он и его семья получили только 100 </w:t>
      </w:r>
      <w:r>
        <w:t>000</w:t>
      </w:r>
      <w:r w:rsidRPr="00C00ABF">
        <w:t xml:space="preserve"> рупий и 200 </w:t>
      </w:r>
      <w:r>
        <w:t>000</w:t>
      </w:r>
      <w:r w:rsidRPr="00C00ABF">
        <w:t xml:space="preserve"> рупий в качестве временной компе</w:t>
      </w:r>
      <w:r w:rsidRPr="00C00ABF">
        <w:t>н</w:t>
      </w:r>
      <w:r w:rsidRPr="00C00ABF">
        <w:t>сации соответственно в 2008 и 2010 годах. Комитет считает, что временная компенсаци</w:t>
      </w:r>
      <w:r>
        <w:t>я</w:t>
      </w:r>
      <w:r w:rsidRPr="00C00ABF">
        <w:t xml:space="preserve"> не является надлежащим средством правовой защиты</w:t>
      </w:r>
      <w:r>
        <w:t>, соразме</w:t>
      </w:r>
      <w:r>
        <w:t>р</w:t>
      </w:r>
      <w:r>
        <w:t>ным</w:t>
      </w:r>
      <w:r w:rsidRPr="00C00ABF">
        <w:t xml:space="preserve"> столь серьезны</w:t>
      </w:r>
      <w:r>
        <w:t>м</w:t>
      </w:r>
      <w:r w:rsidRPr="00C00ABF">
        <w:t xml:space="preserve"> нарушени</w:t>
      </w:r>
      <w:r>
        <w:t>ям</w:t>
      </w:r>
      <w:r w:rsidRPr="00C00ABF">
        <w:t>. В связи с этим Комитет считает, что соб</w:t>
      </w:r>
      <w:r w:rsidRPr="00C00ABF">
        <w:t>ы</w:t>
      </w:r>
      <w:r w:rsidRPr="00C00ABF">
        <w:t>тия, в которых вынужден был участвовать автор, в том числе связанные с н</w:t>
      </w:r>
      <w:r w:rsidRPr="00C00ABF">
        <w:t>е</w:t>
      </w:r>
      <w:r w:rsidRPr="00C00ABF">
        <w:t>способностью государства-участника обеспечить оперативное, тщательное и эффективное расследование, представля</w:t>
      </w:r>
      <w:r>
        <w:t>ю</w:t>
      </w:r>
      <w:r w:rsidRPr="00C00ABF">
        <w:t>т собой обращение, противоречащее статье 7, рассматриваемой в совокупности с пунктом 3 статьи 2 Пакта.</w:t>
      </w:r>
    </w:p>
    <w:p w:rsidR="007A16A3" w:rsidRPr="00C00ABF" w:rsidRDefault="007A16A3" w:rsidP="007A16A3">
      <w:pPr>
        <w:pStyle w:val="SingleTxtGR"/>
      </w:pPr>
      <w:r w:rsidRPr="00C00ABF">
        <w:t>12.</w:t>
      </w:r>
      <w:r w:rsidRPr="00C00ABF">
        <w:tab/>
        <w:t>Комитет по правам человека, действуя в соответстви</w:t>
      </w:r>
      <w:r>
        <w:t>и с пунктом 4 ст</w:t>
      </w:r>
      <w:r>
        <w:t>а</w:t>
      </w:r>
      <w:r>
        <w:t>тьи</w:t>
      </w:r>
      <w:r>
        <w:rPr>
          <w:lang w:val="en-US"/>
        </w:rPr>
        <w:t> </w:t>
      </w:r>
      <w:r w:rsidRPr="00C00ABF">
        <w:t xml:space="preserve">5 Факультативного протокола к Международному пакту о гражданских и политических правах, </w:t>
      </w:r>
      <w:r>
        <w:t>приходит к выводу о том</w:t>
      </w:r>
      <w:r w:rsidRPr="00C00ABF">
        <w:t>, что государство-участник нарушило права дочери автора согласно пункту 1 статьи 6, а также статьям 7, 9 и 10, рассматриваемым в совокупности с пунктом 3 статьи 2; а также права а</w:t>
      </w:r>
      <w:r w:rsidRPr="00C00ABF">
        <w:t>в</w:t>
      </w:r>
      <w:r w:rsidRPr="00C00ABF">
        <w:t>тора в соответствии со статьей 7, рассматриваемой в совокупности с пунктом 3 статьи 2 Пакта.</w:t>
      </w:r>
      <w:bookmarkStart w:id="4" w:name="_GoBack"/>
      <w:bookmarkEnd w:id="4"/>
    </w:p>
    <w:p w:rsidR="007A16A3" w:rsidRPr="00C00ABF" w:rsidRDefault="007A16A3" w:rsidP="007A16A3">
      <w:pPr>
        <w:pStyle w:val="SingleTxtGR"/>
      </w:pPr>
      <w:r w:rsidRPr="00C00ABF">
        <w:t>13.</w:t>
      </w:r>
      <w:r w:rsidRPr="00C00ABF">
        <w:tab/>
        <w:t>В соответствии с подпунктом а) пункта 3 статьи 2 Пакта государство-участник обязано предоставить автору эффективное средство правовой защиты, которое предусматривало бы проведение эффективного и полного расследов</w:t>
      </w:r>
      <w:r w:rsidRPr="00C00ABF">
        <w:t>а</w:t>
      </w:r>
      <w:r w:rsidRPr="00C00ABF">
        <w:t xml:space="preserve">ния по соответствующим фактам, уголовное преследование и наказание </w:t>
      </w:r>
      <w:proofErr w:type="gramStart"/>
      <w:r w:rsidRPr="00C00ABF">
        <w:t>вино</w:t>
      </w:r>
      <w:r w:rsidRPr="00C00ABF">
        <w:t>в</w:t>
      </w:r>
      <w:r w:rsidRPr="00C00ABF">
        <w:t>ных</w:t>
      </w:r>
      <w:proofErr w:type="gramEnd"/>
      <w:r w:rsidRPr="00C00ABF">
        <w:t xml:space="preserve"> и возмещение в полном объеме ущерба</w:t>
      </w:r>
      <w:r>
        <w:t xml:space="preserve"> и соответствующие меры сати</w:t>
      </w:r>
      <w:r>
        <w:t>с</w:t>
      </w:r>
      <w:r>
        <w:lastRenderedPageBreak/>
        <w:t>факции</w:t>
      </w:r>
      <w:r w:rsidRPr="00C00ABF">
        <w:t>. Государство-участник обязано также предпринять шаги по предупр</w:t>
      </w:r>
      <w:r w:rsidRPr="00C00ABF">
        <w:t>е</w:t>
      </w:r>
      <w:r w:rsidRPr="00C00ABF">
        <w:t>ждению аналогичных нарушений в будущем.</w:t>
      </w:r>
    </w:p>
    <w:p w:rsidR="007A16A3" w:rsidRPr="00511B62" w:rsidRDefault="007A16A3" w:rsidP="007A16A3">
      <w:pPr>
        <w:pStyle w:val="SingleTxtGR"/>
      </w:pPr>
      <w:r w:rsidRPr="00C00ABF">
        <w:t>14.</w:t>
      </w:r>
      <w:r w:rsidRPr="00C00ABF">
        <w:tab/>
      </w:r>
      <w:proofErr w:type="gramStart"/>
      <w:r w:rsidRPr="00C00ABF">
        <w:t>С учетом того, что, став участником Факультативного протокола, гос</w:t>
      </w:r>
      <w:r w:rsidRPr="00C00ABF">
        <w:t>у</w:t>
      </w:r>
      <w:r w:rsidRPr="00C00ABF">
        <w:t>дарство-участник признало компетенцию Комитета выносить решения по факту наличия или отсутствия нарушения Пакта и что согласно статье 2 Пакта гос</w:t>
      </w:r>
      <w:r w:rsidRPr="00C00ABF">
        <w:t>у</w:t>
      </w:r>
      <w:r w:rsidRPr="00C00ABF">
        <w:t>дарство-участник обязано обеспечивать всем находящимся в пределах его те</w:t>
      </w:r>
      <w:r w:rsidRPr="00C00ABF">
        <w:t>р</w:t>
      </w:r>
      <w:r w:rsidRPr="00C00ABF">
        <w:t>ритории и под его юрисдикцией лицам признаваемые в Пакте права и обесп</w:t>
      </w:r>
      <w:r w:rsidRPr="00C00ABF">
        <w:t>е</w:t>
      </w:r>
      <w:r w:rsidRPr="00C00ABF">
        <w:t>чивать эффективное и имеющее исковую силу средство правовой защиты в сл</w:t>
      </w:r>
      <w:r w:rsidRPr="00C00ABF">
        <w:t>у</w:t>
      </w:r>
      <w:r w:rsidRPr="00C00ABF">
        <w:t>чае установления факта нарушения</w:t>
      </w:r>
      <w:proofErr w:type="gramEnd"/>
      <w:r w:rsidRPr="00C00ABF">
        <w:t>, Комитет хотел бы получить от государства-участника в течение 180 дней информацию о мерах, принятых в целях реализ</w:t>
      </w:r>
      <w:r w:rsidRPr="00C00ABF">
        <w:t>а</w:t>
      </w:r>
      <w:r w:rsidRPr="00C00ABF">
        <w:t>ции соображений Комитета. Кроме того, Комитет просит государство-участник опубликовать настоящие соображения, перевести их на официальный язык го</w:t>
      </w:r>
      <w:r w:rsidRPr="00C00ABF">
        <w:t>с</w:t>
      </w:r>
      <w:r w:rsidRPr="00C00ABF">
        <w:t>ударства-участника и обеспечить их широкое распространение.</w:t>
      </w:r>
    </w:p>
    <w:p w:rsidR="007A16A3" w:rsidRDefault="007A16A3" w:rsidP="007A16A3">
      <w:pPr>
        <w:pStyle w:val="HChGR"/>
        <w:sectPr w:rsidR="007A16A3" w:rsidSect="0084613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p w:rsidR="007A16A3" w:rsidRPr="006E3729" w:rsidRDefault="007A16A3" w:rsidP="007A16A3">
      <w:pPr>
        <w:pStyle w:val="HChGR"/>
      </w:pPr>
      <w:r>
        <w:lastRenderedPageBreak/>
        <w:t>Добавление</w:t>
      </w:r>
    </w:p>
    <w:p w:rsidR="007A16A3" w:rsidRPr="006E3729" w:rsidRDefault="007A16A3" w:rsidP="007A16A3">
      <w:pPr>
        <w:pStyle w:val="SingleTxtGR"/>
        <w:jc w:val="right"/>
      </w:pPr>
      <w:proofErr w:type="gramStart"/>
      <w:r w:rsidRPr="006E3729">
        <w:t>[</w:t>
      </w:r>
      <w:proofErr w:type="spellStart"/>
      <w:r w:rsidRPr="006E3729">
        <w:t>Original</w:t>
      </w:r>
      <w:proofErr w:type="spellEnd"/>
      <w:r w:rsidRPr="006E3729">
        <w:t>:</w:t>
      </w:r>
      <w:proofErr w:type="gramEnd"/>
      <w:r w:rsidRPr="006E3729">
        <w:t xml:space="preserve"> </w:t>
      </w:r>
      <w:proofErr w:type="spellStart"/>
      <w:proofErr w:type="gramStart"/>
      <w:r w:rsidRPr="006E3729">
        <w:t>Spanish</w:t>
      </w:r>
      <w:proofErr w:type="spellEnd"/>
      <w:r w:rsidRPr="006E3729">
        <w:t>]</w:t>
      </w:r>
      <w:proofErr w:type="gramEnd"/>
    </w:p>
    <w:p w:rsidR="007A16A3" w:rsidRPr="00220B5A" w:rsidRDefault="007A16A3" w:rsidP="007A16A3">
      <w:pPr>
        <w:pStyle w:val="H1GR"/>
      </w:pPr>
      <w:r w:rsidRPr="006E3729">
        <w:tab/>
      </w:r>
      <w:r w:rsidRPr="006E3729">
        <w:tab/>
        <w:t xml:space="preserve">Частично несогласное мнение членов Комитета Виктора </w:t>
      </w:r>
      <w:proofErr w:type="spellStart"/>
      <w:r w:rsidRPr="006E3729">
        <w:t>Мануэля</w:t>
      </w:r>
      <w:proofErr w:type="spellEnd"/>
      <w:r w:rsidRPr="006E3729">
        <w:t xml:space="preserve"> Родригеса-</w:t>
      </w:r>
      <w:proofErr w:type="spellStart"/>
      <w:r w:rsidRPr="006E3729">
        <w:t>Ресии</w:t>
      </w:r>
      <w:proofErr w:type="spellEnd"/>
      <w:r w:rsidRPr="006E3729">
        <w:t xml:space="preserve"> и </w:t>
      </w:r>
      <w:proofErr w:type="spellStart"/>
      <w:r>
        <w:t>Фабиана</w:t>
      </w:r>
      <w:proofErr w:type="spellEnd"/>
      <w:r>
        <w:t xml:space="preserve"> Омара </w:t>
      </w:r>
      <w:proofErr w:type="spellStart"/>
      <w:r>
        <w:t>Сальвиоли</w:t>
      </w:r>
      <w:proofErr w:type="spellEnd"/>
    </w:p>
    <w:p w:rsidR="007A16A3" w:rsidRPr="006E3729" w:rsidRDefault="007A16A3" w:rsidP="007A16A3">
      <w:pPr>
        <w:pStyle w:val="SingleTxtGR"/>
      </w:pPr>
      <w:r w:rsidRPr="006E3729">
        <w:t>1.</w:t>
      </w:r>
      <w:r w:rsidRPr="006E3729">
        <w:tab/>
      </w:r>
      <w:proofErr w:type="gramStart"/>
      <w:r w:rsidRPr="006E3729">
        <w:t>В связи с сообщением № 2018</w:t>
      </w:r>
      <w:r>
        <w:t>/2010</w:t>
      </w:r>
      <w:r w:rsidRPr="006E3729">
        <w:t xml:space="preserve"> мы согласны с решением Комитета по правам человека, установившего наличие нарушений прав, определенных в пункте 1 статьи 6 и статьях 7, 9 и 10, рассматриваемых в совокупности с пун</w:t>
      </w:r>
      <w:r w:rsidRPr="006E3729">
        <w:t>к</w:t>
      </w:r>
      <w:r w:rsidRPr="006E3729">
        <w:t>том 3 статьи 2, в отношении дочери автора сообщения (</w:t>
      </w:r>
      <w:proofErr w:type="spellStart"/>
      <w:r w:rsidRPr="006E3729">
        <w:t>Субхадры</w:t>
      </w:r>
      <w:proofErr w:type="spellEnd"/>
      <w:r w:rsidRPr="006E3729">
        <w:t xml:space="preserve"> </w:t>
      </w:r>
      <w:proofErr w:type="spellStart"/>
      <w:r w:rsidRPr="006E3729">
        <w:t>Чаулагайн</w:t>
      </w:r>
      <w:proofErr w:type="spellEnd"/>
      <w:r w:rsidRPr="006E3729">
        <w:t>), а также в статье 7, рассматриваемой в совокупности с пунктом 3 статьи 2, в о</w:t>
      </w:r>
      <w:r w:rsidRPr="006E3729">
        <w:t>т</w:t>
      </w:r>
      <w:r w:rsidRPr="006E3729">
        <w:t>ношении</w:t>
      </w:r>
      <w:proofErr w:type="gramEnd"/>
      <w:r w:rsidRPr="006E3729">
        <w:t xml:space="preserve"> автора сообщения (</w:t>
      </w:r>
      <w:proofErr w:type="spellStart"/>
      <w:r w:rsidRPr="006E3729">
        <w:t>Кедара</w:t>
      </w:r>
      <w:proofErr w:type="spellEnd"/>
      <w:r w:rsidRPr="006E3729">
        <w:t xml:space="preserve"> </w:t>
      </w:r>
      <w:proofErr w:type="spellStart"/>
      <w:r w:rsidRPr="006E3729">
        <w:t>Чаулагайна</w:t>
      </w:r>
      <w:proofErr w:type="spellEnd"/>
      <w:r w:rsidRPr="006E3729">
        <w:t>).</w:t>
      </w:r>
    </w:p>
    <w:p w:rsidR="007A16A3" w:rsidRPr="006E3729" w:rsidRDefault="007A16A3" w:rsidP="007A16A3">
      <w:pPr>
        <w:pStyle w:val="SingleTxtGR"/>
      </w:pPr>
      <w:r w:rsidRPr="006E3729">
        <w:t>2.</w:t>
      </w:r>
      <w:r w:rsidRPr="006E3729">
        <w:tab/>
      </w:r>
      <w:r>
        <w:t>Вместе с тем</w:t>
      </w:r>
      <w:r w:rsidRPr="006E3729">
        <w:t xml:space="preserve"> мы считаем, что Комитету следовало бы также сделать в</w:t>
      </w:r>
      <w:r w:rsidRPr="006E3729">
        <w:t>ы</w:t>
      </w:r>
      <w:r w:rsidRPr="006E3729">
        <w:t xml:space="preserve">вод о нарушении тех же самых прав независимо </w:t>
      </w:r>
      <w:r>
        <w:t>от других обстоятельств</w:t>
      </w:r>
      <w:r w:rsidRPr="006E3729">
        <w:t>, а не только по причине отсутствия эффективного расследования (</w:t>
      </w:r>
      <w:proofErr w:type="gramStart"/>
      <w:r w:rsidRPr="006E3729">
        <w:t>вывод</w:t>
      </w:r>
      <w:proofErr w:type="gramEnd"/>
      <w:r w:rsidRPr="006E3729">
        <w:t xml:space="preserve"> о чем Ком</w:t>
      </w:r>
      <w:r w:rsidRPr="006E3729">
        <w:t>и</w:t>
      </w:r>
      <w:r w:rsidRPr="006E3729">
        <w:t xml:space="preserve">тет, к сожалению, сделал, </w:t>
      </w:r>
      <w:r>
        <w:t xml:space="preserve">сославшись на </w:t>
      </w:r>
      <w:r w:rsidRPr="006E3729">
        <w:t xml:space="preserve">статьи 6, 7, </w:t>
      </w:r>
      <w:r>
        <w:t>9</w:t>
      </w:r>
      <w:r w:rsidRPr="006E3729">
        <w:t xml:space="preserve"> и </w:t>
      </w:r>
      <w:r>
        <w:t>10</w:t>
      </w:r>
      <w:r w:rsidRPr="006E3729">
        <w:t>, рассматриваемые в совокупности с пунктом 3 статьи 2 Пакта). Мы считаем, что решение по вопр</w:t>
      </w:r>
      <w:r w:rsidRPr="006E3729">
        <w:t>о</w:t>
      </w:r>
      <w:r w:rsidRPr="006E3729">
        <w:t>су о приемлемости данного дела, принятое Комитетом на его 104-м заседании, состоявшемся 8 марта 2012 года, имеет излишне ограничительный характер и правовые изъяны. Мы также не понимаем, почему Комитет постановил ра</w:t>
      </w:r>
      <w:r w:rsidRPr="006E3729">
        <w:t>с</w:t>
      </w:r>
      <w:r w:rsidRPr="006E3729">
        <w:t xml:space="preserve">смотреть вопрос о приемлемости отдельно от вопросов существа. </w:t>
      </w:r>
    </w:p>
    <w:p w:rsidR="007A16A3" w:rsidRPr="006E3729" w:rsidRDefault="007A16A3" w:rsidP="007A16A3">
      <w:pPr>
        <w:pStyle w:val="SingleTxtGR"/>
      </w:pPr>
      <w:r w:rsidRPr="006E3729">
        <w:t>3.</w:t>
      </w:r>
      <w:r w:rsidRPr="006E3729">
        <w:tab/>
        <w:t>В своем решении по существу Комитет мог бы правильно применить п</w:t>
      </w:r>
      <w:r w:rsidRPr="006E3729">
        <w:t>о</w:t>
      </w:r>
      <w:r w:rsidRPr="006E3729">
        <w:t xml:space="preserve">ложения Пакта и прийти к выводу о том, что имело место прямое нарушение соответствующих прав. Проблема, с которой часто сталкивается Комитет, носит в большей степени структурный характер и связана с непонятной – и, как мы считаем, </w:t>
      </w:r>
      <w:r>
        <w:t>ошибочной</w:t>
      </w:r>
      <w:r w:rsidRPr="006E3729">
        <w:t xml:space="preserve"> – практикой воздерживаться при рассмотрении сообщений от применения принципа </w:t>
      </w:r>
      <w:proofErr w:type="spellStart"/>
      <w:r w:rsidRPr="006E3729">
        <w:t>jura</w:t>
      </w:r>
      <w:proofErr w:type="spellEnd"/>
      <w:r w:rsidRPr="006E3729">
        <w:t xml:space="preserve"> </w:t>
      </w:r>
      <w:proofErr w:type="spellStart"/>
      <w:r w:rsidRPr="006E3729">
        <w:t>novit</w:t>
      </w:r>
      <w:proofErr w:type="spellEnd"/>
      <w:r w:rsidRPr="006E3729">
        <w:t xml:space="preserve"> </w:t>
      </w:r>
      <w:proofErr w:type="spellStart"/>
      <w:r w:rsidRPr="006E3729">
        <w:t>curia</w:t>
      </w:r>
      <w:proofErr w:type="spellEnd"/>
      <w:r w:rsidRPr="006E3729">
        <w:t xml:space="preserve">. </w:t>
      </w:r>
    </w:p>
    <w:p w:rsidR="007A16A3" w:rsidRPr="006E3729" w:rsidRDefault="007A16A3" w:rsidP="007A16A3">
      <w:pPr>
        <w:pStyle w:val="SingleTxtGR"/>
      </w:pPr>
      <w:r w:rsidRPr="006E3729">
        <w:t>4.</w:t>
      </w:r>
      <w:r w:rsidRPr="006E3729">
        <w:tab/>
        <w:t>Комитету следует анализировать рассматриваемые им дела в соотве</w:t>
      </w:r>
      <w:r w:rsidRPr="006E3729">
        <w:t>т</w:t>
      </w:r>
      <w:r w:rsidRPr="006E3729">
        <w:t>ствии с установленными фактами и на этой основе определ</w:t>
      </w:r>
      <w:r>
        <w:t>я</w:t>
      </w:r>
      <w:r w:rsidRPr="006E3729">
        <w:t>ть, какие из прав, закрепленных в Пакте, были нарушены, независимо от того, совпадает ли это с тем, что утверждают авторы сообщений.</w:t>
      </w:r>
    </w:p>
    <w:p w:rsidR="007A16A3" w:rsidRPr="006E3729" w:rsidRDefault="007A16A3" w:rsidP="007A16A3">
      <w:pPr>
        <w:pStyle w:val="SingleTxtGR"/>
      </w:pPr>
      <w:r w:rsidRPr="006E3729">
        <w:t>5.</w:t>
      </w:r>
      <w:r w:rsidRPr="006E3729">
        <w:tab/>
        <w:t xml:space="preserve">Это приводит к </w:t>
      </w:r>
      <w:r>
        <w:t>нерациональным</w:t>
      </w:r>
      <w:r w:rsidRPr="006E3729">
        <w:t xml:space="preserve"> результатам в тех случаях, если, как это имеет место в данном деле, Комитет уделяет больше внимания номерам статей, указанных в сообщении, чем изучению предполагаемых и доказанных фактов, а также тому, как именно наличие данных нарушений было обосновано. Ужасные события, описанные автором, говорят сами за себя, а сама жалоба не оставляет места для сомнений</w:t>
      </w:r>
      <w:r w:rsidRPr="00D52BD5">
        <w:rPr>
          <w:sz w:val="18"/>
          <w:szCs w:val="18"/>
          <w:vertAlign w:val="superscript"/>
        </w:rPr>
        <w:footnoteReference w:id="23"/>
      </w:r>
      <w:r w:rsidRPr="006E3729">
        <w:t>.</w:t>
      </w:r>
    </w:p>
    <w:p w:rsidR="007A16A3" w:rsidRPr="006E3729" w:rsidRDefault="007A16A3" w:rsidP="007A16A3">
      <w:pPr>
        <w:pStyle w:val="SingleTxtGR"/>
      </w:pPr>
      <w:r w:rsidRPr="006E3729">
        <w:t>6.</w:t>
      </w:r>
      <w:r w:rsidRPr="006E3729">
        <w:tab/>
      </w:r>
      <w:r>
        <w:t>Помимо этого</w:t>
      </w:r>
      <w:r w:rsidRPr="006E3729">
        <w:t xml:space="preserve"> тот факт, что в данном случае дочери автора во время оп</w:t>
      </w:r>
      <w:r w:rsidRPr="006E3729">
        <w:t>и</w:t>
      </w:r>
      <w:r w:rsidRPr="006E3729">
        <w:t>сываемых в сообщении событий было 17 лет, означает, что Комитет мог бы п</w:t>
      </w:r>
      <w:r w:rsidRPr="006E3729">
        <w:t>о</w:t>
      </w:r>
      <w:r w:rsidRPr="006E3729">
        <w:t xml:space="preserve">пытаться определить, имело ли место нарушение статьи 24 Пакта, </w:t>
      </w:r>
      <w:r>
        <w:t>согласно к</w:t>
      </w:r>
      <w:r>
        <w:t>о</w:t>
      </w:r>
      <w:r>
        <w:t>торой государства-участники обязаны</w:t>
      </w:r>
      <w:r w:rsidRPr="006E3729">
        <w:t xml:space="preserve"> обеспечивать особые меры защиты всем детям и подросткам. Деяния, совершенные по отношению к жертве военносл</w:t>
      </w:r>
      <w:r w:rsidRPr="006E3729">
        <w:t>у</w:t>
      </w:r>
      <w:r w:rsidRPr="006E3729">
        <w:t>жащими Королевской армии Непала, влекут за собой международную отве</w:t>
      </w:r>
      <w:r w:rsidRPr="006E3729">
        <w:t>т</w:t>
      </w:r>
      <w:r w:rsidRPr="006E3729">
        <w:t>ственность государства в свете его обязательств по статье 24. В дополнение к своей ответственности за заслуживающи</w:t>
      </w:r>
      <w:r>
        <w:t>е</w:t>
      </w:r>
      <w:r w:rsidRPr="006E3729">
        <w:t xml:space="preserve"> осуждения арест, пытки и внесуде</w:t>
      </w:r>
      <w:r w:rsidRPr="006E3729">
        <w:t>б</w:t>
      </w:r>
      <w:r w:rsidRPr="006E3729">
        <w:t xml:space="preserve">ную казнь </w:t>
      </w:r>
      <w:proofErr w:type="spellStart"/>
      <w:r w:rsidRPr="006E3729">
        <w:t>Субхадры</w:t>
      </w:r>
      <w:proofErr w:type="spellEnd"/>
      <w:r w:rsidRPr="006E3729">
        <w:t xml:space="preserve"> </w:t>
      </w:r>
      <w:proofErr w:type="spellStart"/>
      <w:r w:rsidRPr="006E3729">
        <w:t>Чаулагайн</w:t>
      </w:r>
      <w:proofErr w:type="spellEnd"/>
      <w:r w:rsidRPr="006E3729">
        <w:t xml:space="preserve"> государство было </w:t>
      </w:r>
      <w:r>
        <w:t>связано обязательством п</w:t>
      </w:r>
      <w:r w:rsidRPr="006E3729">
        <w:t>р</w:t>
      </w:r>
      <w:r w:rsidRPr="006E3729">
        <w:t>о</w:t>
      </w:r>
      <w:r w:rsidRPr="006E3729">
        <w:lastRenderedPageBreak/>
        <w:t>вести подробное и тщательное расследование фактической стороны дела. П</w:t>
      </w:r>
      <w:r w:rsidRPr="006E3729">
        <w:t>о</w:t>
      </w:r>
      <w:r w:rsidRPr="006E3729">
        <w:t>этому мы считаем, что имело место отдельное нарушение статьи 24 Пакта, а также нарушение пункта 3 статьи 2, рассматриваемого в совокупности со стат</w:t>
      </w:r>
      <w:r w:rsidRPr="006E3729">
        <w:t>ь</w:t>
      </w:r>
      <w:r w:rsidRPr="006E3729">
        <w:t xml:space="preserve">ей 24. </w:t>
      </w:r>
    </w:p>
    <w:p w:rsidR="007A16A3" w:rsidRPr="006E3729" w:rsidRDefault="007A16A3" w:rsidP="007A16A3">
      <w:pPr>
        <w:pStyle w:val="SingleTxtGR"/>
      </w:pPr>
      <w:r w:rsidRPr="006E3729">
        <w:t>7.</w:t>
      </w:r>
      <w:r w:rsidRPr="006E3729">
        <w:tab/>
        <w:t xml:space="preserve">Установленные факты ужасают: </w:t>
      </w:r>
      <w:proofErr w:type="spellStart"/>
      <w:r w:rsidRPr="006E3729">
        <w:t>Субхадру</w:t>
      </w:r>
      <w:proofErr w:type="spellEnd"/>
      <w:r w:rsidRPr="006E3729">
        <w:t xml:space="preserve"> схватили за волосы, били по голове, </w:t>
      </w:r>
      <w:proofErr w:type="gramStart"/>
      <w:r>
        <w:t>выволокли</w:t>
      </w:r>
      <w:proofErr w:type="gramEnd"/>
      <w:r>
        <w:t xml:space="preserve"> </w:t>
      </w:r>
      <w:r w:rsidRPr="006E3729">
        <w:t xml:space="preserve">из ее дома, подвергли оскорблениям, угрозам </w:t>
      </w:r>
      <w:r>
        <w:t>убийством</w:t>
      </w:r>
      <w:r w:rsidRPr="006E3729">
        <w:t xml:space="preserve"> и допросам с применением пыток, а потом жестоко казнили, а ее тело пинали н</w:t>
      </w:r>
      <w:r w:rsidRPr="006E3729">
        <w:t>о</w:t>
      </w:r>
      <w:r w:rsidRPr="006E3729">
        <w:t xml:space="preserve">гами и топтали, в результате чего ее внутренности вывалились на землю. Как может Комитет в таких обстоятельствах </w:t>
      </w:r>
      <w:proofErr w:type="gramStart"/>
      <w:r w:rsidRPr="006E3729">
        <w:t>не сделать вывод</w:t>
      </w:r>
      <w:proofErr w:type="gramEnd"/>
      <w:r w:rsidRPr="006E3729">
        <w:t xml:space="preserve"> о прямом нарушении прав жертвы, предусмотренных статьями 6, 7, 9, 10 и 24 Пакта? </w:t>
      </w:r>
    </w:p>
    <w:p w:rsidR="007A16A3" w:rsidRPr="006E3729" w:rsidRDefault="007A16A3" w:rsidP="007A16A3">
      <w:pPr>
        <w:pStyle w:val="SingleTxtGR"/>
      </w:pPr>
      <w:r w:rsidRPr="006E3729">
        <w:t>8.</w:t>
      </w:r>
      <w:r w:rsidRPr="006E3729">
        <w:tab/>
        <w:t>В связи с этим мы считаем, что пункт 12 сообщения следовало сформ</w:t>
      </w:r>
      <w:r w:rsidRPr="006E3729">
        <w:t>у</w:t>
      </w:r>
      <w:r w:rsidRPr="006E3729">
        <w:t xml:space="preserve">лировать следующим образом: </w:t>
      </w:r>
      <w:proofErr w:type="gramStart"/>
      <w:r w:rsidRPr="006E3729">
        <w:t>"Комитет по правам человека, действуя в соо</w:t>
      </w:r>
      <w:r w:rsidRPr="006E3729">
        <w:t>т</w:t>
      </w:r>
      <w:r w:rsidRPr="006E3729">
        <w:t xml:space="preserve">ветствии с пунктом 4 статьи 5 Факультативного протокола к Международному пакту о гражданских и политических правах, </w:t>
      </w:r>
      <w:r>
        <w:t>приходит к выводу о том</w:t>
      </w:r>
      <w:r w:rsidRPr="006E3729">
        <w:t>, что го</w:t>
      </w:r>
      <w:r w:rsidRPr="006E3729">
        <w:t>с</w:t>
      </w:r>
      <w:r w:rsidRPr="006E3729">
        <w:t>ударство-участник нарушило права дочери автора согласно пункту 1 статьи 6, а также статьям 7, 9, 10 и 24, рассматриваемым в совокупности с пунктом 3 ст</w:t>
      </w:r>
      <w:r w:rsidRPr="006E3729">
        <w:t>а</w:t>
      </w:r>
      <w:r w:rsidRPr="006E3729">
        <w:t>тьи 2;</w:t>
      </w:r>
      <w:proofErr w:type="gramEnd"/>
      <w:r w:rsidRPr="006E3729">
        <w:t xml:space="preserve"> кроме того, государство-участник нарушило права автора в соответствии со статьей 7 и </w:t>
      </w:r>
      <w:r>
        <w:t xml:space="preserve">с </w:t>
      </w:r>
      <w:r w:rsidRPr="006E3729">
        <w:t>пунктом 3 статьи 2</w:t>
      </w:r>
      <w:r>
        <w:t>, рассматриваемым в совокупности со стат</w:t>
      </w:r>
      <w:r>
        <w:t>ь</w:t>
      </w:r>
      <w:r>
        <w:t>ей 7 Пакта</w:t>
      </w:r>
      <w:r w:rsidRPr="006E3729">
        <w:t>". Кроме того, меры по возмещению ущерба должны были быть с</w:t>
      </w:r>
      <w:r w:rsidRPr="006E3729">
        <w:t>о</w:t>
      </w:r>
      <w:r w:rsidRPr="006E3729">
        <w:t xml:space="preserve">размерны серьезным нарушениям прав человека, жертвами которых стали </w:t>
      </w:r>
      <w:proofErr w:type="spellStart"/>
      <w:r w:rsidRPr="006E3729">
        <w:t>Су</w:t>
      </w:r>
      <w:r w:rsidRPr="006E3729">
        <w:t>б</w:t>
      </w:r>
      <w:r w:rsidRPr="006E3729">
        <w:t>хадра</w:t>
      </w:r>
      <w:proofErr w:type="spellEnd"/>
      <w:r w:rsidRPr="006E3729">
        <w:t xml:space="preserve"> </w:t>
      </w:r>
      <w:proofErr w:type="spellStart"/>
      <w:r w:rsidRPr="006E3729">
        <w:t>Чаулагайн</w:t>
      </w:r>
      <w:proofErr w:type="spellEnd"/>
      <w:r w:rsidRPr="006E3729">
        <w:t xml:space="preserve"> и </w:t>
      </w:r>
      <w:proofErr w:type="spellStart"/>
      <w:r w:rsidRPr="006E3729">
        <w:t>Кедар</w:t>
      </w:r>
      <w:proofErr w:type="spellEnd"/>
      <w:r w:rsidRPr="006E3729">
        <w:t xml:space="preserve"> </w:t>
      </w:r>
      <w:proofErr w:type="spellStart"/>
      <w:r w:rsidRPr="006E3729">
        <w:t>Чаулагайн</w:t>
      </w:r>
      <w:proofErr w:type="spellEnd"/>
      <w:r w:rsidRPr="006E3729">
        <w:t xml:space="preserve">. </w:t>
      </w:r>
    </w:p>
    <w:p w:rsidR="007A16A3" w:rsidRPr="006E3729" w:rsidRDefault="007A16A3" w:rsidP="007A16A3">
      <w:pPr>
        <w:pStyle w:val="SingleTxtGR"/>
      </w:pPr>
      <w:r w:rsidRPr="006E3729">
        <w:t>9.</w:t>
      </w:r>
      <w:r w:rsidRPr="006E3729">
        <w:tab/>
        <w:t>Комитету следует провести обзор своих методов рассмотрения дел и сл</w:t>
      </w:r>
      <w:r w:rsidRPr="006E3729">
        <w:t>е</w:t>
      </w:r>
      <w:r w:rsidRPr="006E3729">
        <w:t xml:space="preserve">довать логически обоснованной практике международных судебных и </w:t>
      </w:r>
      <w:proofErr w:type="spellStart"/>
      <w:r w:rsidRPr="006E3729">
        <w:t>квазис</w:t>
      </w:r>
      <w:r w:rsidRPr="006E3729">
        <w:t>у</w:t>
      </w:r>
      <w:r w:rsidRPr="006E3729">
        <w:t>дебных</w:t>
      </w:r>
      <w:proofErr w:type="spellEnd"/>
      <w:r w:rsidRPr="006E3729">
        <w:t xml:space="preserve"> органов, которые применяют правовые положения на основе устано</w:t>
      </w:r>
      <w:r w:rsidRPr="006E3729">
        <w:t>в</w:t>
      </w:r>
      <w:r w:rsidRPr="006E3729">
        <w:t>ленных фактов независимо от юридических аргументов, выдвинутых сторон</w:t>
      </w:r>
      <w:r w:rsidRPr="006E3729">
        <w:t>а</w:t>
      </w:r>
      <w:r w:rsidRPr="006E3729">
        <w:t xml:space="preserve">ми. </w:t>
      </w:r>
    </w:p>
    <w:p w:rsidR="007A16A3" w:rsidRPr="006E3729" w:rsidRDefault="007A16A3" w:rsidP="007A16A3">
      <w:pPr>
        <w:pStyle w:val="SingleTxtGR"/>
      </w:pPr>
      <w:r w:rsidRPr="006E3729">
        <w:t>10.</w:t>
      </w:r>
      <w:r w:rsidRPr="006E3729">
        <w:tab/>
      </w:r>
      <w:proofErr w:type="gramStart"/>
      <w:r w:rsidRPr="006E3729">
        <w:t>Действуя</w:t>
      </w:r>
      <w:proofErr w:type="gramEnd"/>
      <w:r w:rsidRPr="006E3729">
        <w:t xml:space="preserve"> таким образом, Комитет избежит ситуаций, которые заставляют нас </w:t>
      </w:r>
      <w:r>
        <w:t xml:space="preserve">формулировать </w:t>
      </w:r>
      <w:r w:rsidRPr="006E3729">
        <w:t>частично несогласные мнения, как в данном случае, и будет иметь возможность надлежащим образом выполнять свою роль органа, отвеч</w:t>
      </w:r>
      <w:r w:rsidRPr="006E3729">
        <w:t>а</w:t>
      </w:r>
      <w:r w:rsidRPr="006E3729">
        <w:t>ющего за защиту прав человека в рамках, предусмотренных Международн</w:t>
      </w:r>
      <w:r>
        <w:t>ы</w:t>
      </w:r>
      <w:r w:rsidRPr="006E3729">
        <w:t>м пакт</w:t>
      </w:r>
      <w:r>
        <w:t>ом</w:t>
      </w:r>
      <w:r w:rsidRPr="006E3729">
        <w:t xml:space="preserve"> о гражданских и политических правах и перв</w:t>
      </w:r>
      <w:r>
        <w:t>ы</w:t>
      </w:r>
      <w:r w:rsidRPr="006E3729">
        <w:t>м Факультативн</w:t>
      </w:r>
      <w:r>
        <w:t>ы</w:t>
      </w:r>
      <w:r w:rsidRPr="006E3729">
        <w:t>м пр</w:t>
      </w:r>
      <w:r w:rsidRPr="006E3729">
        <w:t>о</w:t>
      </w:r>
      <w:r w:rsidRPr="006E3729">
        <w:t>токол</w:t>
      </w:r>
      <w:r>
        <w:t>ом</w:t>
      </w:r>
      <w:r w:rsidRPr="006E3729">
        <w:t xml:space="preserve"> к нему. </w:t>
      </w:r>
    </w:p>
    <w:p w:rsidR="007A16A3" w:rsidRPr="00C60872" w:rsidRDefault="007A16A3" w:rsidP="007A16A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16A3" w:rsidRPr="006E3729" w:rsidRDefault="007A16A3" w:rsidP="007A16A3">
      <w:pPr>
        <w:pStyle w:val="SingleTxtGR"/>
        <w:jc w:val="center"/>
        <w:rPr>
          <w:u w:val="single"/>
        </w:rPr>
      </w:pPr>
    </w:p>
    <w:sectPr w:rsidR="007A16A3" w:rsidRPr="006E3729" w:rsidSect="0084613B">
      <w:headerReference w:type="first" r:id="rId15"/>
      <w:footerReference w:type="first" r:id="rId16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13" w:rsidRDefault="00797113">
      <w:r>
        <w:rPr>
          <w:lang w:val="en-US"/>
        </w:rPr>
        <w:tab/>
      </w:r>
      <w:r>
        <w:separator/>
      </w:r>
    </w:p>
  </w:endnote>
  <w:endnote w:type="continuationSeparator" w:id="0">
    <w:p w:rsidR="00797113" w:rsidRDefault="0079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13" w:rsidRPr="005F0588" w:rsidRDefault="00797113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6B07C2">
      <w:rPr>
        <w:rStyle w:val="ad"/>
        <w:noProof/>
      </w:rPr>
      <w:t>24</w:t>
    </w:r>
    <w:r>
      <w:rPr>
        <w:rStyle w:val="ad"/>
      </w:rPr>
      <w:fldChar w:fldCharType="end"/>
    </w:r>
    <w:r>
      <w:rPr>
        <w:lang w:val="en-US"/>
      </w:rPr>
      <w:tab/>
      <w:t>GE.15-00144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9A" w:rsidRPr="0085799A" w:rsidRDefault="0085799A" w:rsidP="0085799A">
    <w:pPr>
      <w:pStyle w:val="ac"/>
      <w:rPr>
        <w:lang w:val="ru-RU"/>
      </w:rPr>
    </w:pPr>
    <w:r>
      <w:rPr>
        <w:lang w:val="en-US"/>
      </w:rPr>
      <w:t>GE.15-00144</w:t>
    </w:r>
    <w:r>
      <w:rPr>
        <w:lang w:val="ru-RU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6B07C2">
      <w:rPr>
        <w:rStyle w:val="ad"/>
        <w:noProof/>
      </w:rPr>
      <w:t>21</w:t>
    </w:r>
    <w:r>
      <w:rPr>
        <w:rStyle w:val="ad"/>
      </w:rPr>
      <w:fldChar w:fldCharType="end"/>
    </w:r>
  </w:p>
  <w:p w:rsidR="0085799A" w:rsidRDefault="0085799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797113" w:rsidTr="00611264">
      <w:trPr>
        <w:trHeight w:val="438"/>
      </w:trPr>
      <w:tc>
        <w:tcPr>
          <w:tcW w:w="4068" w:type="dxa"/>
          <w:vAlign w:val="bottom"/>
        </w:tcPr>
        <w:p w:rsidR="00797113" w:rsidRPr="00C824C7" w:rsidRDefault="00797113" w:rsidP="000B59D3">
          <w:r>
            <w:rPr>
              <w:lang w:val="en-US"/>
            </w:rPr>
            <w:t>GE.15-00144  (R)</w:t>
          </w:r>
          <w:r>
            <w:t xml:space="preserve">   160415   170415</w:t>
          </w:r>
        </w:p>
      </w:tc>
      <w:tc>
        <w:tcPr>
          <w:tcW w:w="4663" w:type="dxa"/>
          <w:vMerge w:val="restart"/>
          <w:vAlign w:val="bottom"/>
        </w:tcPr>
        <w:p w:rsidR="00797113" w:rsidRDefault="00797113" w:rsidP="00611264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96483CE" wp14:editId="00214F28">
                <wp:extent cx="2704465" cy="230505"/>
                <wp:effectExtent l="0" t="0" r="635" b="0"/>
                <wp:docPr id="6" name="Рисунок 6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797113" w:rsidRDefault="00797113" w:rsidP="00611264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18E6526D" wp14:editId="56F4EF79">
                <wp:extent cx="869315" cy="869315"/>
                <wp:effectExtent l="0" t="0" r="6985" b="6985"/>
                <wp:docPr id="7" name="Рисунок 7" descr="http://undocs.org/m2/QRCode2.ashx?DS=CCPR/C/112/D/2018/2010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CPR/C/112/D/2018/2010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7113" w:rsidRPr="00797A78" w:rsidTr="00611264">
      <w:tc>
        <w:tcPr>
          <w:tcW w:w="4068" w:type="dxa"/>
          <w:vAlign w:val="bottom"/>
        </w:tcPr>
        <w:p w:rsidR="00797113" w:rsidRPr="00C824C7" w:rsidRDefault="00797113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824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824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824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824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824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824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824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824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824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797113" w:rsidRDefault="00797113" w:rsidP="00611264"/>
      </w:tc>
      <w:tc>
        <w:tcPr>
          <w:tcW w:w="1124" w:type="dxa"/>
          <w:vMerge/>
        </w:tcPr>
        <w:p w:rsidR="00797113" w:rsidRDefault="00797113" w:rsidP="00611264"/>
      </w:tc>
    </w:tr>
  </w:tbl>
  <w:p w:rsidR="00797113" w:rsidRDefault="00797113" w:rsidP="00381289">
    <w:pPr>
      <w:spacing w:line="240" w:lineRule="auto"/>
      <w:rPr>
        <w:sz w:val="2"/>
        <w:szCs w:val="2"/>
        <w:lang w:val="en-US"/>
      </w:rPr>
    </w:pPr>
  </w:p>
  <w:p w:rsidR="00797113" w:rsidRPr="002D7E3C" w:rsidRDefault="00797113" w:rsidP="006E7AF7">
    <w:pPr>
      <w:pStyle w:val="ac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93CEEE" wp14:editId="7A764192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113" w:rsidRDefault="00797113" w:rsidP="006E7AF7">
                          <w:pPr>
                            <w:rPr>
                              <w:lang w:val="en-US"/>
                            </w:rPr>
                          </w:pPr>
                        </w:p>
                        <w:p w:rsidR="00797113" w:rsidRDefault="00797113" w:rsidP="006E7AF7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6B07C2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97113" w:rsidRDefault="00797113" w:rsidP="006E7AF7">
                    <w:pPr>
                      <w:rPr>
                        <w:lang w:val="en-US"/>
                      </w:rPr>
                    </w:pPr>
                  </w:p>
                  <w:p w:rsidR="00797113" w:rsidRDefault="00797113" w:rsidP="006E7AF7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6B07C2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44" w:rsidRPr="00A27C44" w:rsidRDefault="00A27C44" w:rsidP="00A27C44">
    <w:pPr>
      <w:pStyle w:val="ac"/>
      <w:rPr>
        <w:lang w:val="ru-RU"/>
      </w:rPr>
    </w:pPr>
    <w:r>
      <w:rPr>
        <w:lang w:val="en-US"/>
      </w:rPr>
      <w:t>GE.15-00144</w:t>
    </w:r>
    <w:r>
      <w:rPr>
        <w:lang w:val="ru-RU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6B07C2">
      <w:rPr>
        <w:rStyle w:val="ad"/>
        <w:noProof/>
      </w:rPr>
      <w:t>23</w:t>
    </w:r>
    <w:r>
      <w:rPr>
        <w:rStyle w:val="ad"/>
      </w:rPr>
      <w:fldChar w:fldCharType="end"/>
    </w:r>
  </w:p>
  <w:p w:rsidR="001C065B" w:rsidRPr="00A27C44" w:rsidRDefault="001C065B" w:rsidP="00A27C4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13" w:rsidRPr="00F71F63" w:rsidRDefault="0079711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97113" w:rsidRPr="00F71F63" w:rsidRDefault="0079711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97113" w:rsidRPr="00635E86" w:rsidRDefault="00797113" w:rsidP="00635E86">
      <w:pPr>
        <w:pStyle w:val="ac"/>
      </w:pPr>
    </w:p>
  </w:footnote>
  <w:footnote w:id="1">
    <w:p w:rsidR="00797113" w:rsidRPr="006412F7" w:rsidRDefault="00797113" w:rsidP="00490373">
      <w:pPr>
        <w:pStyle w:val="af"/>
        <w:rPr>
          <w:bCs/>
          <w:lang w:val="ru-RU"/>
        </w:rPr>
      </w:pPr>
      <w:r>
        <w:tab/>
      </w:r>
      <w:r w:rsidRPr="006412F7">
        <w:rPr>
          <w:rStyle w:val="ab"/>
          <w:sz w:val="20"/>
          <w:vertAlign w:val="baseline"/>
          <w:lang w:val="ru-RU"/>
        </w:rPr>
        <w:t>*</w:t>
      </w:r>
      <w:r w:rsidRPr="006412F7">
        <w:rPr>
          <w:sz w:val="20"/>
          <w:lang w:val="ru-RU"/>
        </w:rPr>
        <w:t xml:space="preserve"> </w:t>
      </w:r>
      <w:r w:rsidRPr="006412F7">
        <w:rPr>
          <w:lang w:val="ru-RU"/>
        </w:rPr>
        <w:tab/>
        <w:t>В рассмотрении настоящего сообщения принимали участие следующие члены Комитета: Ядх Бен Ашур, Лазари Бузид, Кристина Шане, Ахмад Амин Фатхалла, Корнелис Флинтерман, Юдзи Ивасава, Вальтер Келин, Зонке Занеле Майодина, Джеральд Л. Н</w:t>
      </w:r>
      <w:r>
        <w:rPr>
          <w:lang w:val="ru-RU"/>
        </w:rPr>
        <w:t>ой</w:t>
      </w:r>
      <w:r w:rsidRPr="006412F7">
        <w:rPr>
          <w:lang w:val="ru-RU"/>
        </w:rPr>
        <w:t xml:space="preserve">ман, сэр Найджел Родли, Виктор Мануэль Родригес-Ресия, Фабиан Омар Сальвиоли, Дируджлалл Б. Ситулсингх, </w:t>
      </w:r>
      <w:r>
        <w:rPr>
          <w:lang w:val="ru-RU"/>
        </w:rPr>
        <w:t xml:space="preserve">Аня Зайберт-Фор, </w:t>
      </w:r>
      <w:proofErr w:type="spellStart"/>
      <w:r>
        <w:rPr>
          <w:lang w:val="ru-RU"/>
        </w:rPr>
        <w:t>Юваль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Шани</w:t>
      </w:r>
      <w:proofErr w:type="spellEnd"/>
      <w:r>
        <w:rPr>
          <w:lang w:val="ru-RU"/>
        </w:rPr>
        <w:t xml:space="preserve">, Константин </w:t>
      </w:r>
      <w:proofErr w:type="spellStart"/>
      <w:r>
        <w:rPr>
          <w:lang w:val="ru-RU"/>
        </w:rPr>
        <w:t>Вардзелашвили</w:t>
      </w:r>
      <w:proofErr w:type="spellEnd"/>
      <w:r>
        <w:rPr>
          <w:lang w:val="ru-RU"/>
        </w:rPr>
        <w:t xml:space="preserve">, Марго </w:t>
      </w:r>
      <w:proofErr w:type="spellStart"/>
      <w:r>
        <w:rPr>
          <w:lang w:val="ru-RU"/>
        </w:rPr>
        <w:t>Ватервал</w:t>
      </w:r>
      <w:proofErr w:type="spellEnd"/>
      <w:r>
        <w:rPr>
          <w:lang w:val="ru-RU"/>
        </w:rPr>
        <w:t xml:space="preserve"> и Андрей Пауль Златеску.</w:t>
      </w:r>
    </w:p>
    <w:p w:rsidR="00797113" w:rsidRPr="006412F7" w:rsidRDefault="00797113" w:rsidP="00490373">
      <w:pPr>
        <w:pStyle w:val="af"/>
        <w:rPr>
          <w:sz w:val="20"/>
          <w:lang w:val="ru-RU"/>
        </w:rPr>
      </w:pPr>
      <w:r w:rsidRPr="00490373">
        <w:rPr>
          <w:bCs/>
          <w:lang w:val="ru-RU"/>
        </w:rPr>
        <w:tab/>
      </w:r>
      <w:r w:rsidRPr="00490373">
        <w:rPr>
          <w:lang w:val="ru-RU"/>
        </w:rPr>
        <w:tab/>
      </w:r>
      <w:r w:rsidRPr="00490373">
        <w:rPr>
          <w:bCs/>
          <w:lang w:val="ru-RU"/>
        </w:rPr>
        <w:t xml:space="preserve">Текст особого </w:t>
      </w:r>
      <w:proofErr w:type="gramStart"/>
      <w:r w:rsidRPr="00490373">
        <w:rPr>
          <w:bCs/>
          <w:lang w:val="ru-RU"/>
        </w:rPr>
        <w:t>мнения членов Комитета г-на Виктора</w:t>
      </w:r>
      <w:proofErr w:type="gramEnd"/>
      <w:r w:rsidRPr="00490373">
        <w:rPr>
          <w:bCs/>
          <w:lang w:val="ru-RU"/>
        </w:rPr>
        <w:t xml:space="preserve"> Мануэля Родригеса-Ресии и г</w:t>
      </w:r>
      <w:r w:rsidRPr="006412F7">
        <w:rPr>
          <w:bCs/>
          <w:lang w:val="ru-RU"/>
        </w:rPr>
        <w:noBreakHyphen/>
      </w:r>
      <w:r w:rsidRPr="00490373">
        <w:rPr>
          <w:bCs/>
          <w:lang w:val="ru-RU"/>
        </w:rPr>
        <w:t>на</w:t>
      </w:r>
      <w:r>
        <w:rPr>
          <w:bCs/>
          <w:lang w:val="en-US"/>
        </w:rPr>
        <w:t> </w:t>
      </w:r>
      <w:r w:rsidRPr="00490373">
        <w:rPr>
          <w:bCs/>
          <w:lang w:val="ru-RU"/>
        </w:rPr>
        <w:t xml:space="preserve">Фабиана Омара Сальвиоли содержится в </w:t>
      </w:r>
      <w:r>
        <w:rPr>
          <w:bCs/>
          <w:lang w:val="ru-RU"/>
        </w:rPr>
        <w:t>добавлении</w:t>
      </w:r>
      <w:r w:rsidRPr="00490373">
        <w:rPr>
          <w:bCs/>
          <w:lang w:val="ru-RU"/>
        </w:rPr>
        <w:t xml:space="preserve"> к настоящим Соображениям.</w:t>
      </w:r>
    </w:p>
  </w:footnote>
  <w:footnote w:id="2">
    <w:p w:rsidR="00797113" w:rsidRPr="00AC0439" w:rsidRDefault="00797113" w:rsidP="003F3E3F">
      <w:pPr>
        <w:pStyle w:val="af"/>
        <w:rPr>
          <w:lang w:val="ru-RU"/>
        </w:rPr>
      </w:pPr>
      <w:r w:rsidRPr="00AC0439">
        <w:rPr>
          <w:rStyle w:val="ab"/>
          <w:lang w:val="ru-RU"/>
        </w:rPr>
        <w:tab/>
      </w:r>
      <w:r w:rsidRPr="005874EB">
        <w:rPr>
          <w:rStyle w:val="ab"/>
          <w:szCs w:val="18"/>
        </w:rPr>
        <w:footnoteRef/>
      </w:r>
      <w:r w:rsidRPr="00AC0439">
        <w:rPr>
          <w:lang w:val="ru-RU"/>
        </w:rPr>
        <w:tab/>
        <w:t xml:space="preserve">Квартал № 3 деревни </w:t>
      </w:r>
      <w:proofErr w:type="spellStart"/>
      <w:r w:rsidRPr="00AC0439">
        <w:rPr>
          <w:lang w:val="ru-RU"/>
        </w:rPr>
        <w:t>Покхари-Чаури</w:t>
      </w:r>
      <w:proofErr w:type="spellEnd"/>
      <w:r w:rsidRPr="00AC0439">
        <w:rPr>
          <w:lang w:val="ru-RU"/>
        </w:rPr>
        <w:t xml:space="preserve"> в районе </w:t>
      </w:r>
      <w:proofErr w:type="spellStart"/>
      <w:r w:rsidRPr="00AC0439">
        <w:rPr>
          <w:lang w:val="ru-RU"/>
        </w:rPr>
        <w:t>Кавре</w:t>
      </w:r>
      <w:proofErr w:type="spellEnd"/>
      <w:r w:rsidRPr="00AC0439">
        <w:rPr>
          <w:lang w:val="ru-RU"/>
        </w:rPr>
        <w:t xml:space="preserve"> расположен почти </w:t>
      </w:r>
      <w:r>
        <w:rPr>
          <w:lang w:val="ru-RU"/>
        </w:rPr>
        <w:br/>
      </w:r>
      <w:r w:rsidRPr="00AC0439">
        <w:rPr>
          <w:lang w:val="ru-RU"/>
        </w:rPr>
        <w:t>в 150 к</w:t>
      </w:r>
      <w:r>
        <w:rPr>
          <w:lang w:val="ru-RU"/>
        </w:rPr>
        <w:t>м</w:t>
      </w:r>
      <w:r w:rsidRPr="00AC0439">
        <w:rPr>
          <w:lang w:val="ru-RU"/>
        </w:rPr>
        <w:t xml:space="preserve"> от районного центра </w:t>
      </w:r>
      <w:proofErr w:type="spellStart"/>
      <w:r w:rsidRPr="00AC0439">
        <w:rPr>
          <w:lang w:val="ru-RU"/>
        </w:rPr>
        <w:t>Дхуликхель</w:t>
      </w:r>
      <w:proofErr w:type="spellEnd"/>
      <w:r w:rsidRPr="00AC0439">
        <w:rPr>
          <w:lang w:val="ru-RU"/>
        </w:rPr>
        <w:t xml:space="preserve">. Туда очень сложно добраться </w:t>
      </w:r>
      <w:r>
        <w:rPr>
          <w:lang w:val="ru-RU"/>
        </w:rPr>
        <w:br/>
      </w:r>
      <w:r w:rsidRPr="00AC0439">
        <w:rPr>
          <w:lang w:val="ru-RU"/>
        </w:rPr>
        <w:t>в сухой сезон и практически невозможно добраться в сезон муссонных дождей.</w:t>
      </w:r>
    </w:p>
  </w:footnote>
  <w:footnote w:id="3">
    <w:p w:rsidR="00797113" w:rsidRPr="009C29C3" w:rsidRDefault="00797113" w:rsidP="003F3E3F">
      <w:pPr>
        <w:pStyle w:val="af"/>
        <w:rPr>
          <w:lang w:val="ru-RU"/>
        </w:rPr>
      </w:pPr>
      <w:r w:rsidRPr="00AC0439">
        <w:rPr>
          <w:rStyle w:val="ab"/>
          <w:lang w:val="ru-RU"/>
        </w:rPr>
        <w:tab/>
      </w:r>
      <w:r w:rsidRPr="005874EB">
        <w:rPr>
          <w:rStyle w:val="ab"/>
          <w:szCs w:val="18"/>
        </w:rPr>
        <w:footnoteRef/>
      </w:r>
      <w:r w:rsidRPr="00AC0439">
        <w:rPr>
          <w:lang w:val="ru-RU"/>
        </w:rPr>
        <w:tab/>
      </w:r>
      <w:r w:rsidRPr="009C29C3">
        <w:rPr>
          <w:rStyle w:val="ab"/>
          <w:vertAlign w:val="baseline"/>
          <w:lang w:val="ru-RU"/>
        </w:rPr>
        <w:t>Неофициальный перевод</w:t>
      </w:r>
      <w:r w:rsidRPr="009C29C3">
        <w:rPr>
          <w:lang w:val="ru-RU"/>
        </w:rPr>
        <w:t xml:space="preserve"> на английский язык,</w:t>
      </w:r>
      <w:r w:rsidRPr="009C29C3">
        <w:rPr>
          <w:rStyle w:val="ab"/>
          <w:vertAlign w:val="baseline"/>
          <w:lang w:val="ru-RU"/>
        </w:rPr>
        <w:t xml:space="preserve"> предоставленный автором. </w:t>
      </w:r>
    </w:p>
  </w:footnote>
  <w:footnote w:id="4">
    <w:p w:rsidR="00797113" w:rsidRPr="009C29C3" w:rsidRDefault="00797113" w:rsidP="003F3E3F">
      <w:pPr>
        <w:pStyle w:val="af"/>
        <w:rPr>
          <w:lang w:val="ru-RU"/>
        </w:rPr>
      </w:pPr>
      <w:r w:rsidRPr="00AC0439">
        <w:rPr>
          <w:rStyle w:val="ab"/>
          <w:lang w:val="ru-RU"/>
        </w:rPr>
        <w:tab/>
      </w:r>
      <w:r w:rsidRPr="005874EB">
        <w:rPr>
          <w:rStyle w:val="ab"/>
          <w:szCs w:val="18"/>
        </w:rPr>
        <w:footnoteRef/>
      </w:r>
      <w:r w:rsidRPr="00AC0439">
        <w:rPr>
          <w:lang w:val="ru-RU"/>
        </w:rPr>
        <w:tab/>
        <w:t xml:space="preserve">Постановление </w:t>
      </w:r>
      <w:proofErr w:type="gramStart"/>
      <w:r w:rsidRPr="00AC0439">
        <w:rPr>
          <w:lang w:val="ru-RU"/>
        </w:rPr>
        <w:t>о</w:t>
      </w:r>
      <w:proofErr w:type="gramEnd"/>
      <w:r w:rsidRPr="00AC0439">
        <w:rPr>
          <w:lang w:val="ru-RU"/>
        </w:rPr>
        <w:t xml:space="preserve"> </w:t>
      </w:r>
      <w:r w:rsidRPr="009C29C3">
        <w:rPr>
          <w:rStyle w:val="ab"/>
          <w:vertAlign w:val="baseline"/>
          <w:lang w:val="ru-RU"/>
        </w:rPr>
        <w:t>террористической и подрывной деятельност</w:t>
      </w:r>
      <w:r w:rsidRPr="009C29C3">
        <w:rPr>
          <w:lang w:val="ru-RU"/>
        </w:rPr>
        <w:t>и</w:t>
      </w:r>
      <w:r w:rsidRPr="009C29C3">
        <w:rPr>
          <w:rStyle w:val="ab"/>
          <w:vertAlign w:val="baseline"/>
          <w:lang w:val="ru-RU"/>
        </w:rPr>
        <w:t xml:space="preserve"> (контроль и наказание), статья 5 а)</w:t>
      </w:r>
      <w:r w:rsidRPr="009C29C3">
        <w:rPr>
          <w:lang w:val="ru-RU"/>
        </w:rPr>
        <w:t>.</w:t>
      </w:r>
      <w:r w:rsidRPr="009C29C3">
        <w:rPr>
          <w:rStyle w:val="ab"/>
          <w:vertAlign w:val="baseline"/>
          <w:lang w:val="ru-RU"/>
        </w:rPr>
        <w:t xml:space="preserve"> </w:t>
      </w:r>
    </w:p>
  </w:footnote>
  <w:footnote w:id="5">
    <w:p w:rsidR="00797113" w:rsidRPr="00581F76" w:rsidRDefault="00797113" w:rsidP="003F3E3F">
      <w:pPr>
        <w:pStyle w:val="af"/>
        <w:rPr>
          <w:lang w:val="ru-RU"/>
        </w:rPr>
      </w:pPr>
      <w:r w:rsidRPr="00AC0439">
        <w:rPr>
          <w:rStyle w:val="ab"/>
          <w:lang w:val="ru-RU"/>
        </w:rPr>
        <w:tab/>
      </w:r>
      <w:r w:rsidRPr="005874EB">
        <w:rPr>
          <w:rStyle w:val="ab"/>
          <w:szCs w:val="18"/>
        </w:rPr>
        <w:footnoteRef/>
      </w:r>
      <w:r w:rsidRPr="00581F76">
        <w:rPr>
          <w:lang w:val="ru-RU"/>
        </w:rPr>
        <w:tab/>
      </w:r>
      <w:r w:rsidRPr="009C29C3">
        <w:rPr>
          <w:rStyle w:val="ab"/>
          <w:szCs w:val="18"/>
          <w:vertAlign w:val="baseline"/>
          <w:lang w:val="ru-RU"/>
        </w:rPr>
        <w:t>Там же, с</w:t>
      </w:r>
      <w:r w:rsidRPr="009C29C3">
        <w:rPr>
          <w:szCs w:val="18"/>
          <w:lang w:val="ru-RU"/>
        </w:rPr>
        <w:t>татья</w:t>
      </w:r>
      <w:r w:rsidRPr="009C29C3">
        <w:rPr>
          <w:rStyle w:val="ab"/>
          <w:szCs w:val="18"/>
          <w:vertAlign w:val="baseline"/>
          <w:lang w:val="ru-RU"/>
        </w:rPr>
        <w:t xml:space="preserve"> 5 </w:t>
      </w:r>
      <w:r w:rsidRPr="009C29C3">
        <w:rPr>
          <w:rStyle w:val="ab"/>
          <w:szCs w:val="18"/>
          <w:vertAlign w:val="baseline"/>
        </w:rPr>
        <w:t>d</w:t>
      </w:r>
      <w:r w:rsidRPr="009C29C3">
        <w:rPr>
          <w:rStyle w:val="ab"/>
          <w:szCs w:val="18"/>
          <w:vertAlign w:val="baseline"/>
          <w:lang w:val="ru-RU"/>
        </w:rPr>
        <w:t xml:space="preserve">). </w:t>
      </w:r>
    </w:p>
  </w:footnote>
  <w:footnote w:id="6">
    <w:p w:rsidR="00797113" w:rsidRPr="00581F76" w:rsidRDefault="00797113" w:rsidP="003F3E3F">
      <w:pPr>
        <w:pStyle w:val="af"/>
        <w:rPr>
          <w:lang w:val="ru-RU"/>
        </w:rPr>
      </w:pPr>
      <w:r w:rsidRPr="00AC0439">
        <w:rPr>
          <w:rStyle w:val="ab"/>
          <w:lang w:val="ru-RU"/>
        </w:rPr>
        <w:tab/>
      </w:r>
      <w:r w:rsidRPr="005874EB">
        <w:rPr>
          <w:rStyle w:val="ab"/>
          <w:szCs w:val="18"/>
        </w:rPr>
        <w:footnoteRef/>
      </w:r>
      <w:r w:rsidRPr="00AC0439">
        <w:rPr>
          <w:lang w:val="ru-RU"/>
        </w:rPr>
        <w:tab/>
        <w:t>Автор ссылается на доклад организаций "</w:t>
      </w:r>
      <w:proofErr w:type="spellStart"/>
      <w:r w:rsidRPr="00AC0439">
        <w:rPr>
          <w:lang w:val="ru-RU"/>
        </w:rPr>
        <w:t>Эдвокаси</w:t>
      </w:r>
      <w:proofErr w:type="spellEnd"/>
      <w:r w:rsidRPr="00AC0439">
        <w:rPr>
          <w:lang w:val="ru-RU"/>
        </w:rPr>
        <w:t xml:space="preserve"> форум" и "</w:t>
      </w:r>
      <w:proofErr w:type="spellStart"/>
      <w:r w:rsidRPr="00AC0439">
        <w:rPr>
          <w:lang w:val="ru-RU"/>
        </w:rPr>
        <w:t>Хьюман</w:t>
      </w:r>
      <w:proofErr w:type="spellEnd"/>
      <w:r w:rsidRPr="00AC0439">
        <w:rPr>
          <w:lang w:val="ru-RU"/>
        </w:rPr>
        <w:t xml:space="preserve"> </w:t>
      </w:r>
      <w:proofErr w:type="spellStart"/>
      <w:r w:rsidRPr="00AC0439">
        <w:rPr>
          <w:lang w:val="ru-RU"/>
        </w:rPr>
        <w:t>райтс</w:t>
      </w:r>
      <w:proofErr w:type="spellEnd"/>
      <w:r w:rsidRPr="00AC0439">
        <w:rPr>
          <w:lang w:val="ru-RU"/>
        </w:rPr>
        <w:t xml:space="preserve"> </w:t>
      </w:r>
      <w:proofErr w:type="spellStart"/>
      <w:r>
        <w:rPr>
          <w:lang w:val="ru-RU"/>
        </w:rPr>
        <w:t>в</w:t>
      </w:r>
      <w:r w:rsidRPr="00AC0439">
        <w:rPr>
          <w:lang w:val="ru-RU"/>
        </w:rPr>
        <w:t>отч</w:t>
      </w:r>
      <w:proofErr w:type="spellEnd"/>
      <w:r w:rsidRPr="00AC0439">
        <w:rPr>
          <w:lang w:val="ru-RU"/>
        </w:rPr>
        <w:t>"</w:t>
      </w:r>
      <w:r>
        <w:rPr>
          <w:lang w:val="ru-RU"/>
        </w:rPr>
        <w:t xml:space="preserve"> "</w:t>
      </w:r>
      <w:proofErr w:type="spellStart"/>
      <w:r w:rsidRPr="00BF5C9A">
        <w:rPr>
          <w:lang w:val="ru-RU"/>
        </w:rPr>
        <w:t>Waiting</w:t>
      </w:r>
      <w:proofErr w:type="spellEnd"/>
      <w:r w:rsidRPr="00BF5C9A">
        <w:rPr>
          <w:lang w:val="ru-RU"/>
        </w:rPr>
        <w:t xml:space="preserve"> </w:t>
      </w:r>
      <w:proofErr w:type="spellStart"/>
      <w:r w:rsidRPr="00BF5C9A">
        <w:rPr>
          <w:lang w:val="ru-RU"/>
        </w:rPr>
        <w:t>for</w:t>
      </w:r>
      <w:proofErr w:type="spellEnd"/>
      <w:r w:rsidRPr="00BF5C9A">
        <w:rPr>
          <w:lang w:val="ru-RU"/>
        </w:rPr>
        <w:t xml:space="preserve"> </w:t>
      </w:r>
      <w:proofErr w:type="spellStart"/>
      <w:r w:rsidRPr="00BF5C9A">
        <w:rPr>
          <w:lang w:val="ru-RU"/>
        </w:rPr>
        <w:t>Justice</w:t>
      </w:r>
      <w:proofErr w:type="spellEnd"/>
      <w:r w:rsidRPr="00BF5C9A">
        <w:rPr>
          <w:lang w:val="ru-RU"/>
        </w:rPr>
        <w:t xml:space="preserve">: </w:t>
      </w:r>
      <w:proofErr w:type="spellStart"/>
      <w:r w:rsidRPr="00BF5C9A">
        <w:rPr>
          <w:lang w:val="ru-RU"/>
        </w:rPr>
        <w:t>Unpunished</w:t>
      </w:r>
      <w:proofErr w:type="spellEnd"/>
      <w:r w:rsidRPr="00BF5C9A">
        <w:rPr>
          <w:lang w:val="ru-RU"/>
        </w:rPr>
        <w:t xml:space="preserve"> </w:t>
      </w:r>
      <w:proofErr w:type="spellStart"/>
      <w:r w:rsidRPr="00BF5C9A">
        <w:rPr>
          <w:lang w:val="ru-RU"/>
        </w:rPr>
        <w:t>Crimes</w:t>
      </w:r>
      <w:proofErr w:type="spellEnd"/>
      <w:r w:rsidRPr="00BF5C9A">
        <w:rPr>
          <w:lang w:val="ru-RU"/>
        </w:rPr>
        <w:t xml:space="preserve"> </w:t>
      </w:r>
      <w:proofErr w:type="spellStart"/>
      <w:r w:rsidRPr="00BF5C9A">
        <w:rPr>
          <w:lang w:val="ru-RU"/>
        </w:rPr>
        <w:t>from</w:t>
      </w:r>
      <w:proofErr w:type="spellEnd"/>
      <w:r w:rsidRPr="00BF5C9A">
        <w:rPr>
          <w:lang w:val="ru-RU"/>
        </w:rPr>
        <w:t xml:space="preserve"> </w:t>
      </w:r>
      <w:proofErr w:type="spellStart"/>
      <w:r w:rsidRPr="00BF5C9A">
        <w:rPr>
          <w:lang w:val="ru-RU"/>
        </w:rPr>
        <w:t>Nepal’s</w:t>
      </w:r>
      <w:proofErr w:type="spellEnd"/>
      <w:r w:rsidRPr="00BF5C9A">
        <w:rPr>
          <w:lang w:val="ru-RU"/>
        </w:rPr>
        <w:t xml:space="preserve"> </w:t>
      </w:r>
      <w:proofErr w:type="spellStart"/>
      <w:r w:rsidRPr="00BF5C9A">
        <w:rPr>
          <w:lang w:val="ru-RU"/>
        </w:rPr>
        <w:t>Armed</w:t>
      </w:r>
      <w:proofErr w:type="spellEnd"/>
      <w:r w:rsidRPr="00BF5C9A">
        <w:rPr>
          <w:lang w:val="ru-RU"/>
        </w:rPr>
        <w:t xml:space="preserve"> </w:t>
      </w:r>
      <w:proofErr w:type="spellStart"/>
      <w:r w:rsidRPr="00BF5C9A">
        <w:rPr>
          <w:lang w:val="ru-RU"/>
        </w:rPr>
        <w:t>Conflict</w:t>
      </w:r>
      <w:proofErr w:type="spellEnd"/>
      <w:r>
        <w:rPr>
          <w:lang w:val="ru-RU"/>
        </w:rPr>
        <w:t>"</w:t>
      </w:r>
      <w:r w:rsidRPr="00BF5C9A">
        <w:rPr>
          <w:lang w:val="ru-RU"/>
        </w:rPr>
        <w:t xml:space="preserve"> (2008), p. 16</w:t>
      </w:r>
      <w:r w:rsidRPr="00AC0439">
        <w:rPr>
          <w:lang w:val="ru-RU"/>
        </w:rPr>
        <w:t xml:space="preserve">. </w:t>
      </w:r>
      <w:proofErr w:type="gramStart"/>
      <w:r w:rsidRPr="00581F76">
        <w:rPr>
          <w:lang w:val="ru-RU"/>
        </w:rPr>
        <w:t>Доступен</w:t>
      </w:r>
      <w:proofErr w:type="gramEnd"/>
      <w:r w:rsidRPr="00581F76">
        <w:rPr>
          <w:lang w:val="ru-RU"/>
        </w:rPr>
        <w:t xml:space="preserve"> по адресу </w:t>
      </w:r>
      <w:r w:rsidRPr="005874EB">
        <w:rPr>
          <w:lang w:val="en-US"/>
        </w:rPr>
        <w:t>www</w:t>
      </w:r>
      <w:r w:rsidRPr="00581F76">
        <w:rPr>
          <w:lang w:val="ru-RU"/>
        </w:rPr>
        <w:t>.</w:t>
      </w:r>
      <w:proofErr w:type="spellStart"/>
      <w:r w:rsidRPr="005874EB">
        <w:rPr>
          <w:lang w:val="en-US"/>
        </w:rPr>
        <w:t>hrw</w:t>
      </w:r>
      <w:proofErr w:type="spellEnd"/>
      <w:r w:rsidRPr="00581F76">
        <w:rPr>
          <w:lang w:val="ru-RU"/>
        </w:rPr>
        <w:t>.</w:t>
      </w:r>
      <w:r w:rsidRPr="005874EB">
        <w:rPr>
          <w:lang w:val="en-US"/>
        </w:rPr>
        <w:t>org</w:t>
      </w:r>
      <w:r w:rsidRPr="00581F76">
        <w:rPr>
          <w:lang w:val="ru-RU"/>
        </w:rPr>
        <w:t>/</w:t>
      </w:r>
      <w:r w:rsidRPr="005874EB">
        <w:rPr>
          <w:lang w:val="en-US"/>
        </w:rPr>
        <w:t>reports</w:t>
      </w:r>
      <w:r w:rsidRPr="00581F76">
        <w:rPr>
          <w:lang w:val="ru-RU"/>
        </w:rPr>
        <w:t>/2008/09/11/</w:t>
      </w:r>
      <w:r w:rsidRPr="005874EB">
        <w:rPr>
          <w:lang w:val="en-US"/>
        </w:rPr>
        <w:t>waiting</w:t>
      </w:r>
      <w:r w:rsidRPr="00581F76">
        <w:rPr>
          <w:lang w:val="ru-RU"/>
        </w:rPr>
        <w:t>-</w:t>
      </w:r>
      <w:r w:rsidRPr="005874EB">
        <w:rPr>
          <w:lang w:val="en-US"/>
        </w:rPr>
        <w:t>justice</w:t>
      </w:r>
      <w:r w:rsidRPr="00581F76">
        <w:rPr>
          <w:lang w:val="ru-RU"/>
        </w:rPr>
        <w:t xml:space="preserve">-0. </w:t>
      </w:r>
    </w:p>
  </w:footnote>
  <w:footnote w:id="7">
    <w:p w:rsidR="00797113" w:rsidRPr="009C29C3" w:rsidRDefault="00797113" w:rsidP="003F3E3F">
      <w:pPr>
        <w:pStyle w:val="af"/>
      </w:pPr>
      <w:r w:rsidRPr="00581F76">
        <w:rPr>
          <w:rStyle w:val="ab"/>
          <w:lang w:val="ru-RU"/>
        </w:rPr>
        <w:tab/>
      </w:r>
      <w:r w:rsidRPr="005874EB">
        <w:rPr>
          <w:rStyle w:val="ab"/>
          <w:szCs w:val="18"/>
        </w:rPr>
        <w:footnoteRef/>
      </w:r>
      <w:r w:rsidRPr="005874EB">
        <w:tab/>
      </w:r>
      <w:proofErr w:type="spellStart"/>
      <w:r w:rsidRPr="009C29C3">
        <w:rPr>
          <w:rStyle w:val="ab"/>
          <w:vertAlign w:val="baseline"/>
        </w:rPr>
        <w:t>Закон</w:t>
      </w:r>
      <w:proofErr w:type="spellEnd"/>
      <w:r w:rsidRPr="009C29C3">
        <w:rPr>
          <w:rStyle w:val="ab"/>
          <w:vertAlign w:val="baseline"/>
        </w:rPr>
        <w:t xml:space="preserve"> о </w:t>
      </w:r>
      <w:proofErr w:type="spellStart"/>
      <w:r w:rsidRPr="009C29C3">
        <w:rPr>
          <w:rStyle w:val="ab"/>
          <w:vertAlign w:val="baseline"/>
        </w:rPr>
        <w:t>полиции</w:t>
      </w:r>
      <w:proofErr w:type="spellEnd"/>
      <w:r w:rsidRPr="009C29C3">
        <w:rPr>
          <w:rStyle w:val="ab"/>
          <w:vertAlign w:val="baseline"/>
        </w:rPr>
        <w:t xml:space="preserve">, </w:t>
      </w:r>
      <w:r w:rsidRPr="009C29C3">
        <w:rPr>
          <w:rStyle w:val="ab"/>
          <w:vertAlign w:val="baseline"/>
          <w:lang w:val="ru-RU"/>
        </w:rPr>
        <w:t>статья</w:t>
      </w:r>
      <w:r w:rsidRPr="009C29C3">
        <w:rPr>
          <w:rStyle w:val="ab"/>
          <w:vertAlign w:val="baseline"/>
        </w:rPr>
        <w:t xml:space="preserve"> 37. </w:t>
      </w:r>
    </w:p>
  </w:footnote>
  <w:footnote w:id="8">
    <w:p w:rsidR="00797113" w:rsidRPr="009C29C3" w:rsidRDefault="00797113" w:rsidP="003F3E3F">
      <w:pPr>
        <w:pStyle w:val="af"/>
      </w:pPr>
      <w:r w:rsidRPr="005874EB">
        <w:rPr>
          <w:rStyle w:val="ab"/>
        </w:rPr>
        <w:tab/>
      </w:r>
      <w:r w:rsidRPr="005874EB">
        <w:rPr>
          <w:rStyle w:val="ab"/>
          <w:szCs w:val="18"/>
        </w:rPr>
        <w:footnoteRef/>
      </w:r>
      <w:r w:rsidRPr="005874EB">
        <w:tab/>
      </w:r>
      <w:proofErr w:type="spellStart"/>
      <w:r w:rsidRPr="009C29C3">
        <w:rPr>
          <w:rStyle w:val="ab"/>
          <w:vertAlign w:val="baseline"/>
        </w:rPr>
        <w:t>Закон</w:t>
      </w:r>
      <w:proofErr w:type="spellEnd"/>
      <w:r w:rsidRPr="009C29C3">
        <w:rPr>
          <w:rStyle w:val="ab"/>
          <w:vertAlign w:val="baseline"/>
        </w:rPr>
        <w:t xml:space="preserve"> о </w:t>
      </w:r>
      <w:proofErr w:type="spellStart"/>
      <w:r w:rsidRPr="009C29C3">
        <w:rPr>
          <w:rStyle w:val="ab"/>
          <w:vertAlign w:val="baseline"/>
        </w:rPr>
        <w:t>полиции</w:t>
      </w:r>
      <w:proofErr w:type="spellEnd"/>
      <w:r w:rsidRPr="009C29C3">
        <w:rPr>
          <w:rStyle w:val="ab"/>
          <w:vertAlign w:val="baseline"/>
        </w:rPr>
        <w:t xml:space="preserve">, </w:t>
      </w:r>
      <w:proofErr w:type="spellStart"/>
      <w:r w:rsidRPr="009C29C3">
        <w:rPr>
          <w:rStyle w:val="ab"/>
          <w:vertAlign w:val="baseline"/>
        </w:rPr>
        <w:t>глава</w:t>
      </w:r>
      <w:proofErr w:type="spellEnd"/>
      <w:r w:rsidRPr="009C29C3">
        <w:rPr>
          <w:rStyle w:val="ab"/>
          <w:vertAlign w:val="baseline"/>
        </w:rPr>
        <w:t xml:space="preserve"> 6. </w:t>
      </w:r>
    </w:p>
  </w:footnote>
  <w:footnote w:id="9">
    <w:p w:rsidR="00797113" w:rsidRPr="005874EB" w:rsidRDefault="00797113" w:rsidP="003F3E3F">
      <w:pPr>
        <w:pStyle w:val="af"/>
      </w:pPr>
      <w:r w:rsidRPr="005874EB">
        <w:rPr>
          <w:rStyle w:val="ab"/>
        </w:rPr>
        <w:tab/>
      </w:r>
      <w:r w:rsidRPr="005874EB">
        <w:rPr>
          <w:rStyle w:val="ab"/>
          <w:szCs w:val="18"/>
        </w:rPr>
        <w:footnoteRef/>
      </w:r>
      <w:r w:rsidRPr="005874EB">
        <w:tab/>
      </w:r>
      <w:proofErr w:type="gramStart"/>
      <w:r w:rsidRPr="00C02F97">
        <w:rPr>
          <w:lang w:val="en-US"/>
        </w:rPr>
        <w:t>"Waiting for Justice", p. 48.</w:t>
      </w:r>
      <w:proofErr w:type="gramEnd"/>
    </w:p>
  </w:footnote>
  <w:footnote w:id="10">
    <w:p w:rsidR="00797113" w:rsidRPr="009C29C3" w:rsidRDefault="00797113" w:rsidP="003F3E3F">
      <w:pPr>
        <w:pStyle w:val="af"/>
      </w:pPr>
      <w:r w:rsidRPr="005874EB">
        <w:rPr>
          <w:rStyle w:val="ab"/>
        </w:rPr>
        <w:tab/>
      </w:r>
      <w:r w:rsidRPr="005874EB">
        <w:rPr>
          <w:rStyle w:val="ab"/>
          <w:szCs w:val="18"/>
        </w:rPr>
        <w:footnoteRef/>
      </w:r>
      <w:r w:rsidRPr="005874EB">
        <w:tab/>
      </w:r>
      <w:proofErr w:type="spellStart"/>
      <w:r w:rsidRPr="009C29C3">
        <w:rPr>
          <w:rStyle w:val="ab"/>
          <w:szCs w:val="18"/>
          <w:vertAlign w:val="baseline"/>
        </w:rPr>
        <w:t>Закон</w:t>
      </w:r>
      <w:proofErr w:type="spellEnd"/>
      <w:r w:rsidRPr="009C29C3">
        <w:rPr>
          <w:rStyle w:val="ab"/>
          <w:szCs w:val="18"/>
          <w:vertAlign w:val="baseline"/>
        </w:rPr>
        <w:t xml:space="preserve"> </w:t>
      </w:r>
      <w:proofErr w:type="spellStart"/>
      <w:r w:rsidRPr="009C29C3">
        <w:rPr>
          <w:rStyle w:val="ab"/>
          <w:szCs w:val="18"/>
          <w:vertAlign w:val="baseline"/>
        </w:rPr>
        <w:t>об</w:t>
      </w:r>
      <w:proofErr w:type="spellEnd"/>
      <w:r w:rsidRPr="009C29C3">
        <w:rPr>
          <w:rStyle w:val="ab"/>
          <w:szCs w:val="18"/>
          <w:vertAlign w:val="baseline"/>
        </w:rPr>
        <w:t xml:space="preserve"> </w:t>
      </w:r>
      <w:proofErr w:type="spellStart"/>
      <w:r w:rsidRPr="009C29C3">
        <w:rPr>
          <w:rStyle w:val="ab"/>
          <w:szCs w:val="18"/>
          <w:vertAlign w:val="baseline"/>
        </w:rPr>
        <w:t>общественной</w:t>
      </w:r>
      <w:proofErr w:type="spellEnd"/>
      <w:r w:rsidRPr="009C29C3">
        <w:rPr>
          <w:rStyle w:val="ab"/>
          <w:szCs w:val="18"/>
          <w:vertAlign w:val="baseline"/>
        </w:rPr>
        <w:t xml:space="preserve"> </w:t>
      </w:r>
      <w:proofErr w:type="spellStart"/>
      <w:r w:rsidRPr="009C29C3">
        <w:rPr>
          <w:rStyle w:val="ab"/>
          <w:szCs w:val="18"/>
          <w:vertAlign w:val="baseline"/>
        </w:rPr>
        <w:t>безопасности</w:t>
      </w:r>
      <w:proofErr w:type="spellEnd"/>
      <w:r w:rsidRPr="009C29C3">
        <w:rPr>
          <w:rStyle w:val="ab"/>
          <w:szCs w:val="18"/>
          <w:vertAlign w:val="baseline"/>
        </w:rPr>
        <w:t xml:space="preserve">, </w:t>
      </w:r>
      <w:r w:rsidRPr="009C29C3">
        <w:rPr>
          <w:rStyle w:val="ab"/>
          <w:szCs w:val="18"/>
          <w:vertAlign w:val="baseline"/>
          <w:lang w:val="ru-RU"/>
        </w:rPr>
        <w:t>с</w:t>
      </w:r>
      <w:r w:rsidRPr="009C29C3">
        <w:rPr>
          <w:szCs w:val="18"/>
          <w:lang w:val="ru-RU"/>
        </w:rPr>
        <w:t>татья</w:t>
      </w:r>
      <w:r w:rsidRPr="009C29C3">
        <w:rPr>
          <w:rStyle w:val="ab"/>
          <w:szCs w:val="18"/>
          <w:vertAlign w:val="baseline"/>
        </w:rPr>
        <w:t xml:space="preserve"> 22. </w:t>
      </w:r>
    </w:p>
  </w:footnote>
  <w:footnote w:id="11">
    <w:p w:rsidR="00797113" w:rsidRPr="009C29C3" w:rsidRDefault="00797113" w:rsidP="003F3E3F">
      <w:pPr>
        <w:pStyle w:val="af"/>
        <w:rPr>
          <w:rStyle w:val="ab"/>
          <w:vertAlign w:val="baseline"/>
        </w:rPr>
      </w:pPr>
      <w:r w:rsidRPr="005874EB">
        <w:rPr>
          <w:rStyle w:val="ab"/>
        </w:rPr>
        <w:tab/>
      </w:r>
      <w:r w:rsidRPr="005874EB">
        <w:rPr>
          <w:rStyle w:val="ab"/>
          <w:szCs w:val="18"/>
        </w:rPr>
        <w:footnoteRef/>
      </w:r>
      <w:r w:rsidRPr="005874EB">
        <w:rPr>
          <w:rStyle w:val="ab"/>
        </w:rPr>
        <w:t xml:space="preserve"> </w:t>
      </w:r>
      <w:r w:rsidRPr="005874EB">
        <w:tab/>
      </w:r>
      <w:proofErr w:type="spellStart"/>
      <w:r>
        <w:rPr>
          <w:rStyle w:val="ab"/>
          <w:vertAlign w:val="baseline"/>
        </w:rPr>
        <w:t>Автор</w:t>
      </w:r>
      <w:proofErr w:type="spellEnd"/>
      <w:r>
        <w:rPr>
          <w:rStyle w:val="ab"/>
          <w:vertAlign w:val="baseline"/>
        </w:rPr>
        <w:t xml:space="preserve"> </w:t>
      </w:r>
      <w:proofErr w:type="spellStart"/>
      <w:r>
        <w:rPr>
          <w:rStyle w:val="ab"/>
          <w:vertAlign w:val="baseline"/>
        </w:rPr>
        <w:t>ссылается</w:t>
      </w:r>
      <w:proofErr w:type="spellEnd"/>
      <w:r>
        <w:rPr>
          <w:rStyle w:val="ab"/>
          <w:vertAlign w:val="baseline"/>
        </w:rPr>
        <w:t xml:space="preserve"> </w:t>
      </w:r>
      <w:proofErr w:type="spellStart"/>
      <w:r>
        <w:rPr>
          <w:rStyle w:val="ab"/>
          <w:vertAlign w:val="baseline"/>
        </w:rPr>
        <w:t>на</w:t>
      </w:r>
      <w:proofErr w:type="spellEnd"/>
      <w:r>
        <w:rPr>
          <w:rStyle w:val="ab"/>
          <w:vertAlign w:val="baseline"/>
        </w:rPr>
        <w:t xml:space="preserve"> </w:t>
      </w:r>
      <w:proofErr w:type="spellStart"/>
      <w:r>
        <w:rPr>
          <w:rStyle w:val="ab"/>
          <w:vertAlign w:val="baseline"/>
        </w:rPr>
        <w:t>принцип</w:t>
      </w:r>
      <w:proofErr w:type="spellEnd"/>
      <w:r>
        <w:rPr>
          <w:rStyle w:val="ab"/>
          <w:vertAlign w:val="baseline"/>
        </w:rPr>
        <w:t xml:space="preserve"> 29 </w:t>
      </w:r>
      <w:r>
        <w:rPr>
          <w:rStyle w:val="ab"/>
          <w:vertAlign w:val="baseline"/>
          <w:lang w:val="ru-RU"/>
        </w:rPr>
        <w:t>о</w:t>
      </w:r>
      <w:proofErr w:type="spellStart"/>
      <w:r w:rsidRPr="009C29C3">
        <w:rPr>
          <w:rStyle w:val="ab"/>
          <w:vertAlign w:val="baseline"/>
        </w:rPr>
        <w:t>бновленного</w:t>
      </w:r>
      <w:proofErr w:type="spellEnd"/>
      <w:r w:rsidRPr="009C29C3">
        <w:rPr>
          <w:rStyle w:val="ab"/>
          <w:vertAlign w:val="baseline"/>
        </w:rPr>
        <w:t xml:space="preserve"> </w:t>
      </w:r>
      <w:r>
        <w:rPr>
          <w:rStyle w:val="ab"/>
          <w:vertAlign w:val="baseline"/>
          <w:lang w:val="ru-RU"/>
        </w:rPr>
        <w:t>С</w:t>
      </w:r>
      <w:proofErr w:type="spellStart"/>
      <w:r w:rsidRPr="009C29C3">
        <w:rPr>
          <w:rStyle w:val="ab"/>
          <w:vertAlign w:val="baseline"/>
        </w:rPr>
        <w:t>вода</w:t>
      </w:r>
      <w:proofErr w:type="spellEnd"/>
      <w:r w:rsidRPr="009C29C3">
        <w:rPr>
          <w:rStyle w:val="ab"/>
          <w:vertAlign w:val="baseline"/>
        </w:rPr>
        <w:t xml:space="preserve"> </w:t>
      </w:r>
      <w:proofErr w:type="spellStart"/>
      <w:r w:rsidRPr="009C29C3">
        <w:rPr>
          <w:rStyle w:val="ab"/>
          <w:vertAlign w:val="baseline"/>
        </w:rPr>
        <w:t>принципов</w:t>
      </w:r>
      <w:proofErr w:type="spellEnd"/>
      <w:r w:rsidRPr="009C29C3">
        <w:rPr>
          <w:rStyle w:val="ab"/>
          <w:vertAlign w:val="baseline"/>
        </w:rPr>
        <w:t xml:space="preserve"> </w:t>
      </w:r>
      <w:proofErr w:type="spellStart"/>
      <w:r w:rsidRPr="009C29C3">
        <w:rPr>
          <w:rStyle w:val="ab"/>
          <w:vertAlign w:val="baseline"/>
        </w:rPr>
        <w:t>защиты</w:t>
      </w:r>
      <w:proofErr w:type="spellEnd"/>
      <w:r w:rsidRPr="009C29C3">
        <w:rPr>
          <w:rStyle w:val="ab"/>
          <w:vertAlign w:val="baseline"/>
        </w:rPr>
        <w:t xml:space="preserve"> и </w:t>
      </w:r>
      <w:proofErr w:type="spellStart"/>
      <w:r w:rsidRPr="009C29C3">
        <w:rPr>
          <w:rStyle w:val="ab"/>
          <w:vertAlign w:val="baseline"/>
        </w:rPr>
        <w:t>поощрения</w:t>
      </w:r>
      <w:proofErr w:type="spellEnd"/>
      <w:r w:rsidRPr="009C29C3">
        <w:rPr>
          <w:rStyle w:val="ab"/>
          <w:vertAlign w:val="baseline"/>
        </w:rPr>
        <w:t xml:space="preserve"> </w:t>
      </w:r>
      <w:proofErr w:type="spellStart"/>
      <w:r w:rsidRPr="009C29C3">
        <w:rPr>
          <w:rStyle w:val="ab"/>
          <w:vertAlign w:val="baseline"/>
        </w:rPr>
        <w:t>прав</w:t>
      </w:r>
      <w:proofErr w:type="spellEnd"/>
      <w:r w:rsidRPr="009C29C3">
        <w:rPr>
          <w:rStyle w:val="ab"/>
          <w:vertAlign w:val="baseline"/>
        </w:rPr>
        <w:t xml:space="preserve"> </w:t>
      </w:r>
      <w:proofErr w:type="spellStart"/>
      <w:r w:rsidRPr="009C29C3">
        <w:rPr>
          <w:rStyle w:val="ab"/>
          <w:vertAlign w:val="baseline"/>
        </w:rPr>
        <w:t>человека</w:t>
      </w:r>
      <w:proofErr w:type="spellEnd"/>
      <w:r w:rsidRPr="009C29C3">
        <w:rPr>
          <w:rStyle w:val="ab"/>
          <w:vertAlign w:val="baseline"/>
        </w:rPr>
        <w:t xml:space="preserve"> </w:t>
      </w:r>
      <w:proofErr w:type="spellStart"/>
      <w:r w:rsidRPr="009C29C3">
        <w:rPr>
          <w:rStyle w:val="ab"/>
          <w:vertAlign w:val="baseline"/>
        </w:rPr>
        <w:t>посредством</w:t>
      </w:r>
      <w:proofErr w:type="spellEnd"/>
      <w:r w:rsidRPr="009C29C3">
        <w:rPr>
          <w:rStyle w:val="ab"/>
          <w:vertAlign w:val="baseline"/>
        </w:rPr>
        <w:t xml:space="preserve"> </w:t>
      </w:r>
      <w:proofErr w:type="spellStart"/>
      <w:r w:rsidRPr="009C29C3">
        <w:rPr>
          <w:rStyle w:val="ab"/>
          <w:vertAlign w:val="baseline"/>
        </w:rPr>
        <w:t>борьбы</w:t>
      </w:r>
      <w:proofErr w:type="spellEnd"/>
      <w:r w:rsidRPr="009C29C3">
        <w:rPr>
          <w:rStyle w:val="ab"/>
          <w:vertAlign w:val="baseline"/>
        </w:rPr>
        <w:t xml:space="preserve"> с </w:t>
      </w:r>
      <w:proofErr w:type="spellStart"/>
      <w:r w:rsidRPr="009C29C3">
        <w:rPr>
          <w:rStyle w:val="ab"/>
          <w:vertAlign w:val="baseline"/>
        </w:rPr>
        <w:t>безнаказанностью</w:t>
      </w:r>
      <w:proofErr w:type="spellEnd"/>
      <w:r w:rsidRPr="009C29C3">
        <w:rPr>
          <w:rStyle w:val="ab"/>
          <w:vertAlign w:val="baseline"/>
        </w:rPr>
        <w:t xml:space="preserve"> (E/CN.4/2005/102/Add.1). </w:t>
      </w:r>
    </w:p>
  </w:footnote>
  <w:footnote w:id="12">
    <w:p w:rsidR="00797113" w:rsidRPr="00F61022" w:rsidRDefault="00797113" w:rsidP="00784075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F61022">
        <w:rPr>
          <w:lang w:val="ru-RU"/>
        </w:rPr>
        <w:tab/>
        <w:t xml:space="preserve">В то время, когда была убита </w:t>
      </w:r>
      <w:proofErr w:type="spellStart"/>
      <w:r w:rsidRPr="00F61022">
        <w:rPr>
          <w:lang w:val="ru-RU"/>
        </w:rPr>
        <w:t>Субхадра</w:t>
      </w:r>
      <w:proofErr w:type="spellEnd"/>
      <w:r w:rsidRPr="00F61022">
        <w:rPr>
          <w:lang w:val="ru-RU"/>
        </w:rPr>
        <w:t>, армия находилась под непосредственным контролем монархии, а полиция и вооруженные полицейские силы были поставлены под единое командование Королевской армии Непала</w:t>
      </w:r>
      <w:r>
        <w:rPr>
          <w:lang w:val="ru-RU"/>
        </w:rPr>
        <w:t xml:space="preserve"> в период с ноября 2001 года по </w:t>
      </w:r>
      <w:r w:rsidRPr="00F61022">
        <w:rPr>
          <w:lang w:val="ru-RU"/>
        </w:rPr>
        <w:t>апрель 2006 года. Таким образом, сотрудники полиции под этим единым командованием часто входили в состав подразделени</w:t>
      </w:r>
      <w:r>
        <w:rPr>
          <w:lang w:val="ru-RU"/>
        </w:rPr>
        <w:t>й, ответственных за убийства, и </w:t>
      </w:r>
      <w:r w:rsidRPr="00F61022">
        <w:rPr>
          <w:lang w:val="ru-RU"/>
        </w:rPr>
        <w:t>утверждали, что они были не в состоянии расследовать действия своих вышестоящих начальников.</w:t>
      </w:r>
    </w:p>
  </w:footnote>
  <w:footnote w:id="13">
    <w:p w:rsidR="00797113" w:rsidRPr="00437816" w:rsidRDefault="00797113" w:rsidP="00784075">
      <w:pPr>
        <w:pStyle w:val="af"/>
        <w:rPr>
          <w:lang w:val="ru-RU"/>
        </w:rPr>
      </w:pPr>
      <w:r w:rsidRPr="00390A81">
        <w:rPr>
          <w:lang w:val="ru-RU"/>
        </w:rPr>
        <w:tab/>
      </w:r>
      <w:r>
        <w:rPr>
          <w:rStyle w:val="ab"/>
        </w:rPr>
        <w:footnoteRef/>
      </w:r>
      <w:r w:rsidRPr="00437816">
        <w:rPr>
          <w:lang w:val="ru-RU"/>
        </w:rPr>
        <w:tab/>
        <w:t>Никакой дополнительной информации государством-участником не представлено.</w:t>
      </w:r>
    </w:p>
  </w:footnote>
  <w:footnote w:id="14">
    <w:p w:rsidR="00797113" w:rsidRPr="0053295E" w:rsidRDefault="00797113" w:rsidP="00430E57">
      <w:pPr>
        <w:pStyle w:val="af"/>
        <w:rPr>
          <w:lang w:val="ru-RU"/>
        </w:rPr>
      </w:pPr>
      <w:r w:rsidRPr="005874EB">
        <w:tab/>
      </w:r>
      <w:r w:rsidRPr="005874EB">
        <w:rPr>
          <w:rStyle w:val="ab"/>
          <w:szCs w:val="18"/>
        </w:rPr>
        <w:footnoteRef/>
      </w:r>
      <w:r w:rsidRPr="0053295E">
        <w:rPr>
          <w:lang w:val="ru-RU"/>
        </w:rPr>
        <w:tab/>
      </w:r>
      <w:r w:rsidRPr="008B6CD5">
        <w:rPr>
          <w:lang w:val="ru-RU"/>
        </w:rPr>
        <w:t>Автор ссылается на заявление, сделанное 20 мая 2011 года заместителем</w:t>
      </w:r>
      <w:r>
        <w:rPr>
          <w:lang w:val="ru-RU"/>
        </w:rPr>
        <w:t xml:space="preserve"> П</w:t>
      </w:r>
      <w:r w:rsidRPr="008B6CD5">
        <w:rPr>
          <w:lang w:val="ru-RU"/>
        </w:rPr>
        <w:t xml:space="preserve">ремьер-министра и </w:t>
      </w:r>
      <w:r>
        <w:rPr>
          <w:lang w:val="ru-RU"/>
        </w:rPr>
        <w:t>М</w:t>
      </w:r>
      <w:r w:rsidRPr="008B6CD5">
        <w:rPr>
          <w:lang w:val="ru-RU"/>
        </w:rPr>
        <w:t xml:space="preserve">инистром внутренних дел, о том, что "дела политического характера, связанные с периодом военного конфликта, не должны рассматриваться". Доступно по адресу </w:t>
      </w:r>
      <w:r w:rsidRPr="008B6CD5">
        <w:t>www</w:t>
      </w:r>
      <w:r w:rsidRPr="008B6CD5">
        <w:rPr>
          <w:lang w:val="ru-RU"/>
        </w:rPr>
        <w:t>.</w:t>
      </w:r>
      <w:proofErr w:type="spellStart"/>
      <w:r w:rsidRPr="008B6CD5">
        <w:t>myrepublica</w:t>
      </w:r>
      <w:proofErr w:type="spellEnd"/>
      <w:r w:rsidRPr="008B6CD5">
        <w:rPr>
          <w:lang w:val="ru-RU"/>
        </w:rPr>
        <w:t>.</w:t>
      </w:r>
      <w:r w:rsidRPr="008B6CD5">
        <w:t>com</w:t>
      </w:r>
      <w:r w:rsidRPr="008B6CD5">
        <w:rPr>
          <w:lang w:val="ru-RU"/>
        </w:rPr>
        <w:t>/</w:t>
      </w:r>
      <w:r w:rsidRPr="008B6CD5">
        <w:t>portal</w:t>
      </w:r>
      <w:r w:rsidRPr="008B6CD5">
        <w:rPr>
          <w:lang w:val="ru-RU"/>
        </w:rPr>
        <w:t>/</w:t>
      </w:r>
      <w:r w:rsidRPr="008B6CD5">
        <w:t>index</w:t>
      </w:r>
      <w:r w:rsidRPr="008B6CD5">
        <w:rPr>
          <w:lang w:val="ru-RU"/>
        </w:rPr>
        <w:t>.</w:t>
      </w:r>
      <w:proofErr w:type="spellStart"/>
      <w:r w:rsidRPr="008B6CD5">
        <w:t>php</w:t>
      </w:r>
      <w:proofErr w:type="spellEnd"/>
      <w:r w:rsidRPr="008B6CD5">
        <w:rPr>
          <w:lang w:val="ru-RU"/>
        </w:rPr>
        <w:t>?</w:t>
      </w:r>
      <w:r w:rsidRPr="008B6CD5">
        <w:t>action</w:t>
      </w:r>
      <w:r w:rsidRPr="008B6CD5">
        <w:rPr>
          <w:lang w:val="ru-RU"/>
        </w:rPr>
        <w:t>=</w:t>
      </w:r>
      <w:r w:rsidRPr="008B6CD5">
        <w:t>news</w:t>
      </w:r>
      <w:r w:rsidRPr="008B6CD5">
        <w:rPr>
          <w:lang w:val="ru-RU"/>
        </w:rPr>
        <w:t>_</w:t>
      </w:r>
      <w:r w:rsidRPr="008B6CD5">
        <w:t>details</w:t>
      </w:r>
      <w:r w:rsidRPr="008B6CD5">
        <w:rPr>
          <w:lang w:val="ru-RU"/>
        </w:rPr>
        <w:t>&amp;</w:t>
      </w:r>
      <w:r w:rsidRPr="008B6CD5">
        <w:t>news</w:t>
      </w:r>
      <w:r w:rsidRPr="008B6CD5">
        <w:rPr>
          <w:lang w:val="ru-RU"/>
        </w:rPr>
        <w:t>_</w:t>
      </w:r>
      <w:r w:rsidRPr="008B6CD5">
        <w:t>id</w:t>
      </w:r>
      <w:r w:rsidRPr="008B6CD5">
        <w:rPr>
          <w:lang w:val="ru-RU"/>
        </w:rPr>
        <w:t xml:space="preserve">=31508. </w:t>
      </w:r>
    </w:p>
  </w:footnote>
  <w:footnote w:id="15">
    <w:p w:rsidR="00797113" w:rsidRPr="00F71E7D" w:rsidRDefault="00797113" w:rsidP="00430E57">
      <w:pPr>
        <w:pStyle w:val="af"/>
        <w:rPr>
          <w:lang w:val="ru-RU"/>
        </w:rPr>
      </w:pPr>
      <w:r w:rsidRPr="0053295E">
        <w:rPr>
          <w:rStyle w:val="ab"/>
          <w:lang w:val="ru-RU"/>
        </w:rPr>
        <w:tab/>
      </w:r>
      <w:r w:rsidRPr="005874EB">
        <w:rPr>
          <w:rStyle w:val="ab"/>
          <w:szCs w:val="18"/>
        </w:rPr>
        <w:footnoteRef/>
      </w:r>
      <w:r w:rsidRPr="00F71E7D">
        <w:rPr>
          <w:lang w:val="ru-RU"/>
        </w:rPr>
        <w:tab/>
        <w:t xml:space="preserve">Автор ссылается на принцип 29 </w:t>
      </w:r>
      <w:r>
        <w:rPr>
          <w:lang w:val="ru-RU"/>
        </w:rPr>
        <w:t>о</w:t>
      </w:r>
      <w:r w:rsidRPr="00F71E7D">
        <w:rPr>
          <w:lang w:val="ru-RU"/>
        </w:rPr>
        <w:t xml:space="preserve">бновленного </w:t>
      </w:r>
      <w:r>
        <w:rPr>
          <w:lang w:val="ru-RU"/>
        </w:rPr>
        <w:t>С</w:t>
      </w:r>
      <w:r w:rsidRPr="00F71E7D">
        <w:rPr>
          <w:lang w:val="ru-RU"/>
        </w:rPr>
        <w:t>вода принципов.</w:t>
      </w:r>
    </w:p>
  </w:footnote>
  <w:footnote w:id="16">
    <w:p w:rsidR="00797113" w:rsidRPr="0053295E" w:rsidRDefault="00797113" w:rsidP="00430E57">
      <w:pPr>
        <w:pStyle w:val="af"/>
        <w:rPr>
          <w:lang w:val="ru-RU"/>
        </w:rPr>
      </w:pPr>
      <w:r w:rsidRPr="0053295E">
        <w:rPr>
          <w:rStyle w:val="ab"/>
          <w:lang w:val="ru-RU"/>
        </w:rPr>
        <w:tab/>
      </w:r>
      <w:r w:rsidRPr="005874EB">
        <w:rPr>
          <w:rStyle w:val="ab"/>
          <w:szCs w:val="18"/>
        </w:rPr>
        <w:footnoteRef/>
      </w:r>
      <w:r w:rsidRPr="0053295E">
        <w:rPr>
          <w:rStyle w:val="ab"/>
          <w:lang w:val="ru-RU"/>
        </w:rPr>
        <w:tab/>
      </w:r>
      <w:proofErr w:type="gramStart"/>
      <w:r w:rsidRPr="008B6CD5">
        <w:rPr>
          <w:lang w:val="ru-RU"/>
        </w:rPr>
        <w:t xml:space="preserve">Автор ссылается на сообщение № 687/1996, </w:t>
      </w:r>
      <w:proofErr w:type="spellStart"/>
      <w:r w:rsidRPr="00F71E7D">
        <w:rPr>
          <w:i/>
          <w:lang w:val="ru-RU"/>
        </w:rPr>
        <w:t>Рохас</w:t>
      </w:r>
      <w:proofErr w:type="spellEnd"/>
      <w:r w:rsidRPr="00F71E7D">
        <w:rPr>
          <w:i/>
          <w:lang w:val="ru-RU"/>
        </w:rPr>
        <w:t xml:space="preserve"> Гарсия против Колумбии</w:t>
      </w:r>
      <w:r w:rsidRPr="008B6CD5">
        <w:rPr>
          <w:lang w:val="ru-RU"/>
        </w:rPr>
        <w:t xml:space="preserve">, соображения, принятые 3 апреля 2001 года, пункты 7.1 и 10.2; сообщение № 778/1997, </w:t>
      </w:r>
      <w:proofErr w:type="spellStart"/>
      <w:r w:rsidRPr="00C605AF">
        <w:rPr>
          <w:i/>
          <w:lang w:val="ru-RU"/>
        </w:rPr>
        <w:t>Коронель</w:t>
      </w:r>
      <w:proofErr w:type="spellEnd"/>
      <w:r w:rsidRPr="00C605AF">
        <w:rPr>
          <w:i/>
          <w:lang w:val="ru-RU"/>
        </w:rPr>
        <w:t xml:space="preserve"> и др. против Колумбии</w:t>
      </w:r>
      <w:r w:rsidRPr="008B6CD5">
        <w:rPr>
          <w:lang w:val="ru-RU"/>
        </w:rPr>
        <w:t xml:space="preserve">, соображения, принятые 24 октября 2002 года, пункты 6.2, 7.4, 8.2 и 9.1; и сообщение № 1432/2005, </w:t>
      </w:r>
      <w:proofErr w:type="spellStart"/>
      <w:r w:rsidRPr="00F71E7D">
        <w:rPr>
          <w:i/>
          <w:lang w:val="ru-RU"/>
        </w:rPr>
        <w:t>Гунаратна</w:t>
      </w:r>
      <w:proofErr w:type="spellEnd"/>
      <w:r w:rsidRPr="00F71E7D">
        <w:rPr>
          <w:i/>
          <w:lang w:val="ru-RU"/>
        </w:rPr>
        <w:t xml:space="preserve"> против Шри-Ланки</w:t>
      </w:r>
      <w:r w:rsidRPr="008B6CD5">
        <w:rPr>
          <w:lang w:val="ru-RU"/>
        </w:rPr>
        <w:t>, соображения, принятые 17 марта 2009 года, пункт 7.5.</w:t>
      </w:r>
      <w:proofErr w:type="gramEnd"/>
    </w:p>
  </w:footnote>
  <w:footnote w:id="17">
    <w:p w:rsidR="00797113" w:rsidRPr="0053295E" w:rsidRDefault="00797113" w:rsidP="00430E57">
      <w:pPr>
        <w:pStyle w:val="af"/>
        <w:rPr>
          <w:lang w:val="ru-RU"/>
        </w:rPr>
      </w:pPr>
      <w:r w:rsidRPr="0053295E">
        <w:rPr>
          <w:rStyle w:val="ab"/>
          <w:lang w:val="ru-RU"/>
        </w:rPr>
        <w:tab/>
      </w:r>
      <w:r w:rsidRPr="005874EB">
        <w:rPr>
          <w:rStyle w:val="ab"/>
          <w:szCs w:val="18"/>
        </w:rPr>
        <w:footnoteRef/>
      </w:r>
      <w:r w:rsidRPr="0053295E">
        <w:rPr>
          <w:lang w:val="ru-RU"/>
        </w:rPr>
        <w:tab/>
      </w:r>
      <w:r w:rsidRPr="008B6CD5">
        <w:rPr>
          <w:lang w:val="ru-RU"/>
        </w:rPr>
        <w:t>Конституция Непала 1990 года и Временная конституция Непала 2007 года затрагивают преступления пытки и бесчеловечного обращения. В Конституции 1990</w:t>
      </w:r>
      <w:r>
        <w:rPr>
          <w:lang w:val="ru-RU"/>
        </w:rPr>
        <w:t> </w:t>
      </w:r>
      <w:r w:rsidRPr="008B6CD5">
        <w:rPr>
          <w:lang w:val="ru-RU"/>
        </w:rPr>
        <w:t xml:space="preserve">года не содержится определения пытки в качестве преступления. Во Временной конституции Непала пытки признаются уголовным преступлением, но на сегодняшний </w:t>
      </w:r>
      <w:r>
        <w:rPr>
          <w:lang w:val="ru-RU"/>
        </w:rPr>
        <w:t xml:space="preserve">день </w:t>
      </w:r>
      <w:r w:rsidRPr="008B6CD5">
        <w:rPr>
          <w:lang w:val="ru-RU"/>
        </w:rPr>
        <w:t xml:space="preserve">никакой законопроект о назначении мер уголовного </w:t>
      </w:r>
      <w:r>
        <w:rPr>
          <w:lang w:val="ru-RU"/>
        </w:rPr>
        <w:t xml:space="preserve">наказания </w:t>
      </w:r>
      <w:r w:rsidRPr="008B6CD5">
        <w:rPr>
          <w:lang w:val="ru-RU"/>
        </w:rPr>
        <w:t>за пытки не был принят парламентом Непала. Таким образом, с практической точки зрения пытки по-прежнему рассматриваются как гражданское правонарушение.</w:t>
      </w:r>
    </w:p>
  </w:footnote>
  <w:footnote w:id="18">
    <w:p w:rsidR="00797113" w:rsidRPr="00321CF7" w:rsidRDefault="00797113" w:rsidP="00430E57">
      <w:pPr>
        <w:pStyle w:val="af"/>
        <w:rPr>
          <w:lang w:val="ru-RU"/>
        </w:rPr>
      </w:pPr>
      <w:r w:rsidRPr="0053295E">
        <w:rPr>
          <w:rStyle w:val="ab"/>
          <w:lang w:val="ru-RU"/>
        </w:rPr>
        <w:tab/>
      </w:r>
      <w:r w:rsidRPr="005874EB">
        <w:rPr>
          <w:rStyle w:val="ab"/>
          <w:szCs w:val="18"/>
        </w:rPr>
        <w:footnoteRef/>
      </w:r>
      <w:r w:rsidRPr="00321CF7">
        <w:rPr>
          <w:lang w:val="ru-RU"/>
        </w:rPr>
        <w:tab/>
        <w:t xml:space="preserve">См. сообщение № 1761/2008, </w:t>
      </w:r>
      <w:r w:rsidRPr="00321CF7">
        <w:rPr>
          <w:i/>
          <w:lang w:val="ru-RU"/>
        </w:rPr>
        <w:t>Гири против Непала</w:t>
      </w:r>
      <w:r w:rsidRPr="00321CF7">
        <w:rPr>
          <w:lang w:val="ru-RU"/>
        </w:rPr>
        <w:t xml:space="preserve">, </w:t>
      </w:r>
      <w:r>
        <w:rPr>
          <w:lang w:val="ru-RU"/>
        </w:rPr>
        <w:t>с</w:t>
      </w:r>
      <w:r w:rsidRPr="00321CF7">
        <w:rPr>
          <w:lang w:val="ru-RU"/>
        </w:rPr>
        <w:t>оображения, принятые 24 марта 2011 года, пункт 6.3.</w:t>
      </w:r>
      <w:r w:rsidRPr="00321CF7">
        <w:rPr>
          <w:rStyle w:val="ab"/>
          <w:lang w:val="ru-RU"/>
        </w:rPr>
        <w:t xml:space="preserve"> </w:t>
      </w:r>
    </w:p>
  </w:footnote>
  <w:footnote w:id="19">
    <w:p w:rsidR="00797113" w:rsidRPr="005874EB" w:rsidRDefault="00797113" w:rsidP="00430E57">
      <w:pPr>
        <w:pStyle w:val="af"/>
      </w:pPr>
      <w:r w:rsidRPr="00321CF7">
        <w:rPr>
          <w:rStyle w:val="ab"/>
          <w:lang w:val="ru-RU"/>
        </w:rPr>
        <w:tab/>
      </w:r>
      <w:r w:rsidRPr="005874EB">
        <w:rPr>
          <w:rStyle w:val="ab"/>
          <w:szCs w:val="18"/>
        </w:rPr>
        <w:footnoteRef/>
      </w:r>
      <w:r w:rsidRPr="005874EB">
        <w:tab/>
      </w:r>
      <w:proofErr w:type="spellStart"/>
      <w:proofErr w:type="gramStart"/>
      <w:r w:rsidRPr="0053295E">
        <w:t>Там</w:t>
      </w:r>
      <w:proofErr w:type="spellEnd"/>
      <w:r w:rsidRPr="0053295E">
        <w:t xml:space="preserve"> </w:t>
      </w:r>
      <w:proofErr w:type="spellStart"/>
      <w:r w:rsidRPr="0053295E">
        <w:t>же</w:t>
      </w:r>
      <w:proofErr w:type="spellEnd"/>
      <w:r w:rsidRPr="0053295E">
        <w:t xml:space="preserve">, </w:t>
      </w:r>
      <w:proofErr w:type="spellStart"/>
      <w:r w:rsidRPr="0053295E">
        <w:t>пункт</w:t>
      </w:r>
      <w:proofErr w:type="spellEnd"/>
      <w:r w:rsidRPr="0053295E">
        <w:t xml:space="preserve"> 6.3.</w:t>
      </w:r>
      <w:proofErr w:type="gramEnd"/>
      <w:r w:rsidRPr="005874EB">
        <w:rPr>
          <w:rStyle w:val="ab"/>
          <w:szCs w:val="18"/>
        </w:rPr>
        <w:t xml:space="preserve"> </w:t>
      </w:r>
    </w:p>
  </w:footnote>
  <w:footnote w:id="20">
    <w:p w:rsidR="00797113" w:rsidRPr="00CC1BAE" w:rsidRDefault="00797113" w:rsidP="00797113">
      <w:pPr>
        <w:pStyle w:val="af"/>
        <w:rPr>
          <w:lang w:val="ru-RU"/>
        </w:rPr>
      </w:pPr>
      <w:r w:rsidRPr="005874EB">
        <w:tab/>
      </w:r>
      <w:r w:rsidRPr="005874EB">
        <w:rPr>
          <w:rStyle w:val="ab"/>
        </w:rPr>
        <w:footnoteRef/>
      </w:r>
      <w:r>
        <w:rPr>
          <w:lang w:val="ru-RU"/>
        </w:rPr>
        <w:tab/>
      </w:r>
      <w:proofErr w:type="gramStart"/>
      <w:r>
        <w:rPr>
          <w:lang w:val="ru-RU"/>
        </w:rPr>
        <w:t>Автор ссылается на т</w:t>
      </w:r>
      <w:r w:rsidRPr="00CC1BAE">
        <w:rPr>
          <w:lang w:val="ru-RU"/>
        </w:rPr>
        <w:t>ехническую записку Управления Верховного комиссара Организации Объединенных Наций по правам человека (</w:t>
      </w:r>
      <w:proofErr w:type="spellStart"/>
      <w:r w:rsidRPr="00CC1BAE">
        <w:rPr>
          <w:lang w:val="ru-RU"/>
        </w:rPr>
        <w:t>УВКПЧ</w:t>
      </w:r>
      <w:proofErr w:type="spellEnd"/>
      <w:r w:rsidRPr="00CC1BAE">
        <w:rPr>
          <w:lang w:val="ru-RU"/>
        </w:rPr>
        <w:t>) "Закон Непала о</w:t>
      </w:r>
      <w:r>
        <w:rPr>
          <w:lang w:val="ru-RU"/>
        </w:rPr>
        <w:t> </w:t>
      </w:r>
      <w:r w:rsidRPr="00777864">
        <w:rPr>
          <w:i/>
          <w:lang w:val="ru-RU"/>
        </w:rPr>
        <w:t>Комиссии по расследованию случаев исчезновения лиц, восстановлению истины и примирению № 2071 (2014)</w:t>
      </w:r>
      <w:r w:rsidRPr="00CC1BAE">
        <w:rPr>
          <w:lang w:val="ru-RU"/>
        </w:rPr>
        <w:t>, опубликованный в официальном вестнике 21 мая 2014</w:t>
      </w:r>
      <w:r>
        <w:rPr>
          <w:lang w:val="ru-RU"/>
        </w:rPr>
        <w:t> </w:t>
      </w:r>
      <w:r w:rsidRPr="00CC1BAE">
        <w:rPr>
          <w:lang w:val="ru-RU"/>
        </w:rPr>
        <w:t>года</w:t>
      </w:r>
      <w:r>
        <w:rPr>
          <w:lang w:val="ru-RU"/>
        </w:rPr>
        <w:t>", размещено по адресу</w:t>
      </w:r>
      <w:r w:rsidRPr="00CC1BAE">
        <w:rPr>
          <w:lang w:val="ru-RU"/>
        </w:rPr>
        <w:t xml:space="preserve"> </w:t>
      </w:r>
      <w:r w:rsidRPr="005874EB">
        <w:t>www</w:t>
      </w:r>
      <w:r w:rsidRPr="00CC1BAE">
        <w:rPr>
          <w:lang w:val="ru-RU"/>
        </w:rPr>
        <w:t>.</w:t>
      </w:r>
      <w:proofErr w:type="spellStart"/>
      <w:r w:rsidRPr="005874EB">
        <w:t>ohchr</w:t>
      </w:r>
      <w:proofErr w:type="spellEnd"/>
      <w:r w:rsidRPr="00CC1BAE">
        <w:rPr>
          <w:lang w:val="ru-RU"/>
        </w:rPr>
        <w:t>.</w:t>
      </w:r>
      <w:r w:rsidRPr="005874EB">
        <w:t>org</w:t>
      </w:r>
      <w:r w:rsidRPr="00CC1BAE">
        <w:rPr>
          <w:lang w:val="ru-RU"/>
        </w:rPr>
        <w:t>/</w:t>
      </w:r>
      <w:r w:rsidRPr="005874EB">
        <w:t>Documents</w:t>
      </w:r>
      <w:r w:rsidRPr="00CC1BAE">
        <w:rPr>
          <w:lang w:val="ru-RU"/>
        </w:rPr>
        <w:t>/</w:t>
      </w:r>
      <w:r w:rsidRPr="005874EB">
        <w:t>Countries</w:t>
      </w:r>
      <w:r w:rsidRPr="00CC1BAE">
        <w:rPr>
          <w:lang w:val="ru-RU"/>
        </w:rPr>
        <w:t>/</w:t>
      </w:r>
      <w:r w:rsidRPr="005874EB">
        <w:t>NP</w:t>
      </w:r>
      <w:r w:rsidRPr="00CC1BAE">
        <w:rPr>
          <w:lang w:val="ru-RU"/>
        </w:rPr>
        <w:t>/</w:t>
      </w:r>
      <w:r>
        <w:rPr>
          <w:lang w:val="ru-RU"/>
        </w:rPr>
        <w:br/>
      </w:r>
      <w:proofErr w:type="spellStart"/>
      <w:r w:rsidRPr="005874EB">
        <w:t>OHCHRTechnical</w:t>
      </w:r>
      <w:proofErr w:type="spellEnd"/>
      <w:r w:rsidRPr="00CC1BAE">
        <w:rPr>
          <w:lang w:val="ru-RU"/>
        </w:rPr>
        <w:t>_</w:t>
      </w:r>
      <w:r w:rsidRPr="005874EB">
        <w:t>Note</w:t>
      </w:r>
      <w:r w:rsidRPr="00CC1BAE">
        <w:rPr>
          <w:lang w:val="ru-RU"/>
        </w:rPr>
        <w:t>_</w:t>
      </w:r>
      <w:r w:rsidRPr="005874EB">
        <w:t>Nepal</w:t>
      </w:r>
      <w:r w:rsidRPr="00CC1BAE">
        <w:rPr>
          <w:lang w:val="ru-RU"/>
        </w:rPr>
        <w:t>_</w:t>
      </w:r>
      <w:proofErr w:type="spellStart"/>
      <w:r w:rsidRPr="005874EB">
        <w:t>CIDP</w:t>
      </w:r>
      <w:proofErr w:type="spellEnd"/>
      <w:r w:rsidRPr="00CC1BAE">
        <w:rPr>
          <w:lang w:val="ru-RU"/>
        </w:rPr>
        <w:t>_</w:t>
      </w:r>
      <w:proofErr w:type="spellStart"/>
      <w:r w:rsidRPr="005874EB">
        <w:t>TRC</w:t>
      </w:r>
      <w:proofErr w:type="spellEnd"/>
      <w:r w:rsidRPr="00CC1BAE">
        <w:rPr>
          <w:lang w:val="ru-RU"/>
        </w:rPr>
        <w:t>_</w:t>
      </w:r>
      <w:r w:rsidRPr="005874EB">
        <w:t>Act</w:t>
      </w:r>
      <w:r w:rsidRPr="00CC1BAE">
        <w:rPr>
          <w:lang w:val="ru-RU"/>
        </w:rPr>
        <w:t>2014.</w:t>
      </w:r>
      <w:r w:rsidRPr="005874EB">
        <w:t>pdf</w:t>
      </w:r>
      <w:r w:rsidRPr="00CC1BAE">
        <w:rPr>
          <w:lang w:val="ru-RU"/>
        </w:rPr>
        <w:t>, а также на пресс-релиз, озаглавленный "Непал</w:t>
      </w:r>
      <w:proofErr w:type="gramEnd"/>
      <w:r w:rsidRPr="00CC1BAE">
        <w:rPr>
          <w:lang w:val="ru-RU"/>
        </w:rPr>
        <w:t xml:space="preserve">: </w:t>
      </w:r>
      <w:proofErr w:type="gramStart"/>
      <w:r w:rsidRPr="00CC1BAE">
        <w:rPr>
          <w:lang w:val="ru-RU"/>
        </w:rPr>
        <w:t xml:space="preserve">по мнению экспертов ООН, законодательство об установлении истины влечет за собой угрозу дальнейшего укоренения безнаказанности", выпущенный 4 июля 2014 года Специальным докладчиком по вопросу о содействии установлению истины, правосудию, ущерба и гарантиям </w:t>
      </w:r>
      <w:proofErr w:type="spellStart"/>
      <w:r>
        <w:rPr>
          <w:lang w:val="ru-RU"/>
        </w:rPr>
        <w:t>неповторения</w:t>
      </w:r>
      <w:proofErr w:type="spellEnd"/>
      <w:r w:rsidRPr="00CC1BAE">
        <w:rPr>
          <w:lang w:val="ru-RU"/>
        </w:rPr>
        <w:t>, Рабочей группой по насильственным или недобровольным исчезновениям, Специальным докладчиком по вопросу о внесудебных казнях, казнях без надлежащего судебного разбирательства или произвольных казнях, Специальным докладчиком по вопросу о</w:t>
      </w:r>
      <w:proofErr w:type="gramEnd"/>
      <w:r>
        <w:rPr>
          <w:lang w:val="ru-RU"/>
        </w:rPr>
        <w:t> </w:t>
      </w:r>
      <w:proofErr w:type="gramStart"/>
      <w:r w:rsidRPr="00CC1BAE">
        <w:rPr>
          <w:lang w:val="ru-RU"/>
        </w:rPr>
        <w:t>насилии</w:t>
      </w:r>
      <w:proofErr w:type="gramEnd"/>
      <w:r w:rsidRPr="00CC1BAE">
        <w:rPr>
          <w:lang w:val="ru-RU"/>
        </w:rPr>
        <w:t xml:space="preserve"> в отношении женщин, его причинах и последствиях</w:t>
      </w:r>
      <w:r>
        <w:rPr>
          <w:lang w:val="ru-RU"/>
        </w:rPr>
        <w:t xml:space="preserve"> и</w:t>
      </w:r>
      <w:r w:rsidRPr="00CC1BAE">
        <w:rPr>
          <w:lang w:val="ru-RU"/>
        </w:rPr>
        <w:t xml:space="preserve"> Специальным докладчиком по вопросу о пытках и других жестоких, бесчеловечных или унижающих достоинство видов обращения и</w:t>
      </w:r>
      <w:r>
        <w:rPr>
          <w:lang w:val="ru-RU"/>
        </w:rPr>
        <w:t xml:space="preserve"> наказания, размещено по адресу</w:t>
      </w:r>
      <w:r w:rsidRPr="00CC1BAE">
        <w:rPr>
          <w:lang w:val="ru-RU"/>
        </w:rPr>
        <w:t xml:space="preserve"> </w:t>
      </w:r>
      <w:r w:rsidRPr="005874EB">
        <w:t>www</w:t>
      </w:r>
      <w:r w:rsidRPr="00CC1BAE">
        <w:rPr>
          <w:lang w:val="ru-RU"/>
        </w:rPr>
        <w:t>.</w:t>
      </w:r>
      <w:proofErr w:type="spellStart"/>
      <w:r w:rsidRPr="005874EB">
        <w:t>ohchr</w:t>
      </w:r>
      <w:proofErr w:type="spellEnd"/>
      <w:r w:rsidRPr="00CC1BAE">
        <w:rPr>
          <w:lang w:val="ru-RU"/>
        </w:rPr>
        <w:t>.</w:t>
      </w:r>
      <w:r w:rsidRPr="005874EB">
        <w:t>org</w:t>
      </w:r>
      <w:r w:rsidRPr="00CC1BAE">
        <w:rPr>
          <w:lang w:val="ru-RU"/>
        </w:rPr>
        <w:t>/</w:t>
      </w:r>
      <w:proofErr w:type="spellStart"/>
      <w:r w:rsidRPr="005874EB">
        <w:t>en</w:t>
      </w:r>
      <w:proofErr w:type="spellEnd"/>
      <w:r w:rsidRPr="00CC1BAE">
        <w:rPr>
          <w:lang w:val="ru-RU"/>
        </w:rPr>
        <w:t>/</w:t>
      </w:r>
      <w:r>
        <w:rPr>
          <w:lang w:val="ru-RU"/>
        </w:rPr>
        <w:br/>
      </w:r>
      <w:proofErr w:type="spellStart"/>
      <w:r w:rsidRPr="005874EB">
        <w:t>NewsEvents</w:t>
      </w:r>
      <w:proofErr w:type="spellEnd"/>
      <w:r w:rsidRPr="00CC1BAE">
        <w:rPr>
          <w:lang w:val="ru-RU"/>
        </w:rPr>
        <w:t>/</w:t>
      </w:r>
      <w:r w:rsidRPr="005874EB">
        <w:t>Pages</w:t>
      </w:r>
      <w:r w:rsidRPr="00CC1BAE">
        <w:rPr>
          <w:lang w:val="ru-RU"/>
        </w:rPr>
        <w:t>/</w:t>
      </w:r>
      <w:proofErr w:type="spellStart"/>
      <w:r w:rsidRPr="005874EB">
        <w:t>DisplayNews</w:t>
      </w:r>
      <w:proofErr w:type="spellEnd"/>
      <w:r w:rsidRPr="00CC1BAE">
        <w:rPr>
          <w:lang w:val="ru-RU"/>
        </w:rPr>
        <w:t>.</w:t>
      </w:r>
      <w:proofErr w:type="spellStart"/>
      <w:r w:rsidRPr="005874EB">
        <w:t>aspx</w:t>
      </w:r>
      <w:proofErr w:type="spellEnd"/>
      <w:r w:rsidRPr="00CC1BAE">
        <w:rPr>
          <w:lang w:val="ru-RU"/>
        </w:rPr>
        <w:t>?</w:t>
      </w:r>
      <w:proofErr w:type="spellStart"/>
      <w:r w:rsidRPr="005874EB">
        <w:t>NewsID</w:t>
      </w:r>
      <w:proofErr w:type="spellEnd"/>
      <w:r w:rsidRPr="00CC1BAE">
        <w:rPr>
          <w:lang w:val="ru-RU"/>
        </w:rPr>
        <w:t>=14824&amp;</w:t>
      </w:r>
      <w:proofErr w:type="spellStart"/>
      <w:r w:rsidRPr="005874EB">
        <w:t>LangID</w:t>
      </w:r>
      <w:proofErr w:type="spellEnd"/>
      <w:r w:rsidRPr="00CC1BAE">
        <w:rPr>
          <w:lang w:val="ru-RU"/>
        </w:rPr>
        <w:t>=</w:t>
      </w:r>
      <w:r w:rsidRPr="005874EB">
        <w:t>E</w:t>
      </w:r>
      <w:r w:rsidRPr="00CC1BAE">
        <w:rPr>
          <w:lang w:val="ru-RU"/>
        </w:rPr>
        <w:t>.</w:t>
      </w:r>
    </w:p>
  </w:footnote>
  <w:footnote w:id="21">
    <w:p w:rsidR="007A16A3" w:rsidRPr="00C00ABF" w:rsidRDefault="007A16A3" w:rsidP="007A16A3">
      <w:pPr>
        <w:pStyle w:val="af"/>
        <w:widowControl w:val="0"/>
        <w:rPr>
          <w:lang w:val="ru-RU"/>
        </w:rPr>
      </w:pPr>
      <w:r w:rsidRPr="005874EB">
        <w:tab/>
      </w:r>
      <w:r w:rsidRPr="005874EB">
        <w:rPr>
          <w:rStyle w:val="ab"/>
        </w:rPr>
        <w:footnoteRef/>
      </w:r>
      <w:r w:rsidRPr="00C00ABF">
        <w:rPr>
          <w:lang w:val="ru-RU"/>
        </w:rPr>
        <w:tab/>
        <w:t>См. принятое Комитетом замечание общего порядка № 6 (1982) о праве на жизнь, пункт 3.</w:t>
      </w:r>
    </w:p>
  </w:footnote>
  <w:footnote w:id="22">
    <w:p w:rsidR="007A16A3" w:rsidRPr="005874EB" w:rsidRDefault="007A16A3" w:rsidP="007A16A3">
      <w:pPr>
        <w:tabs>
          <w:tab w:val="right" w:pos="1021"/>
        </w:tabs>
        <w:spacing w:line="220" w:lineRule="exact"/>
        <w:ind w:left="1134" w:right="1134" w:hanging="1134"/>
      </w:pPr>
      <w:r w:rsidRPr="005874EB">
        <w:rPr>
          <w:sz w:val="18"/>
          <w:szCs w:val="18"/>
        </w:rPr>
        <w:tab/>
      </w:r>
      <w:r w:rsidRPr="005874EB">
        <w:rPr>
          <w:rStyle w:val="ab"/>
          <w:szCs w:val="18"/>
        </w:rPr>
        <w:footnoteRef/>
      </w:r>
      <w:r w:rsidRPr="005874EB">
        <w:rPr>
          <w:sz w:val="18"/>
          <w:szCs w:val="18"/>
        </w:rPr>
        <w:tab/>
      </w:r>
      <w:r w:rsidRPr="001A1059">
        <w:rPr>
          <w:spacing w:val="5"/>
          <w:w w:val="104"/>
          <w:sz w:val="18"/>
          <w:lang w:eastAsia="ru-RU"/>
        </w:rPr>
        <w:t xml:space="preserve">См. сообщение № 1275/2004, </w:t>
      </w:r>
      <w:r w:rsidRPr="001A1059">
        <w:rPr>
          <w:i/>
          <w:spacing w:val="5"/>
          <w:w w:val="104"/>
          <w:sz w:val="18"/>
          <w:lang w:eastAsia="ru-RU"/>
        </w:rPr>
        <w:t>Уметалиев против Кыргызстана</w:t>
      </w:r>
      <w:r w:rsidRPr="001A1059">
        <w:rPr>
          <w:spacing w:val="5"/>
          <w:w w:val="104"/>
          <w:sz w:val="18"/>
          <w:lang w:eastAsia="ru-RU"/>
        </w:rPr>
        <w:t>, соображения, прин</w:t>
      </w:r>
      <w:r w:rsidRPr="001A1059">
        <w:rPr>
          <w:spacing w:val="5"/>
          <w:w w:val="104"/>
          <w:sz w:val="18"/>
          <w:lang w:eastAsia="ru-RU"/>
        </w:rPr>
        <w:t>я</w:t>
      </w:r>
      <w:r w:rsidRPr="001A1059">
        <w:rPr>
          <w:spacing w:val="5"/>
          <w:w w:val="104"/>
          <w:sz w:val="18"/>
          <w:lang w:eastAsia="ru-RU"/>
        </w:rPr>
        <w:t xml:space="preserve">тые 30 октября 2008 года, пункт 9.5. </w:t>
      </w:r>
    </w:p>
  </w:footnote>
  <w:footnote w:id="23">
    <w:p w:rsidR="007A16A3" w:rsidRPr="006E3729" w:rsidRDefault="007A16A3" w:rsidP="007A16A3">
      <w:pPr>
        <w:pStyle w:val="af"/>
        <w:rPr>
          <w:lang w:val="ru-RU"/>
        </w:rPr>
      </w:pPr>
      <w:r w:rsidRPr="005874EB">
        <w:tab/>
      </w:r>
      <w:r w:rsidRPr="005874EB">
        <w:rPr>
          <w:rStyle w:val="ab"/>
        </w:rPr>
        <w:footnoteRef/>
      </w:r>
      <w:r>
        <w:rPr>
          <w:lang w:val="ru-RU"/>
        </w:rPr>
        <w:tab/>
        <w:t>См. пункты 2.1–2.21 и 3.1–</w:t>
      </w:r>
      <w:r w:rsidRPr="006E3729">
        <w:rPr>
          <w:lang w:val="ru-RU"/>
        </w:rPr>
        <w:t>3.8 настоящего сообщения.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13" w:rsidRPr="005F0588" w:rsidRDefault="00797113">
    <w:pPr>
      <w:pStyle w:val="a9"/>
      <w:rPr>
        <w:lang w:val="en-US"/>
      </w:rPr>
    </w:pPr>
    <w:proofErr w:type="spellStart"/>
    <w:r>
      <w:rPr>
        <w:lang w:val="en-US"/>
      </w:rPr>
      <w:t>CCPR</w:t>
    </w:r>
    <w:proofErr w:type="spellEnd"/>
    <w:r>
      <w:rPr>
        <w:lang w:val="en-US"/>
      </w:rPr>
      <w:t>/</w:t>
    </w:r>
    <w:r w:rsidRPr="000B59D3">
      <w:rPr>
        <w:lang w:val="en-US"/>
      </w:rPr>
      <w:t>C/112/D/2018/2010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13" w:rsidRPr="005F0588" w:rsidRDefault="00797113">
    <w:pPr>
      <w:pStyle w:val="a9"/>
      <w:rPr>
        <w:lang w:val="en-US"/>
      </w:rPr>
    </w:pPr>
    <w:r>
      <w:rPr>
        <w:lang w:val="en-US"/>
      </w:rPr>
      <w:tab/>
      <w:t>CCPR/</w:t>
    </w:r>
    <w:r w:rsidRPr="000B59D3">
      <w:rPr>
        <w:lang w:val="en-US"/>
      </w:rPr>
      <w:t>C/112/D/2018/2010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44" w:rsidRDefault="00A27C44">
    <w:pPr>
      <w:pStyle w:val="a9"/>
    </w:pPr>
    <w:r>
      <w:rPr>
        <w:lang w:val="en-US"/>
      </w:rPr>
      <w:tab/>
    </w:r>
    <w:proofErr w:type="spellStart"/>
    <w:r>
      <w:rPr>
        <w:lang w:val="en-US"/>
      </w:rPr>
      <w:t>CCPR</w:t>
    </w:r>
    <w:proofErr w:type="spellEnd"/>
    <w:r>
      <w:rPr>
        <w:lang w:val="en-US"/>
      </w:rPr>
      <w:t>/</w:t>
    </w:r>
    <w:r w:rsidRPr="000B59D3">
      <w:rPr>
        <w:lang w:val="en-US"/>
      </w:rPr>
      <w:t>C/112/D/2018/2010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D3"/>
    <w:rsid w:val="000033D8"/>
    <w:rsid w:val="00005C1C"/>
    <w:rsid w:val="00005DDB"/>
    <w:rsid w:val="00016553"/>
    <w:rsid w:val="000233B3"/>
    <w:rsid w:val="00023E9E"/>
    <w:rsid w:val="00024F8C"/>
    <w:rsid w:val="00026B0C"/>
    <w:rsid w:val="0003638E"/>
    <w:rsid w:val="00036FF2"/>
    <w:rsid w:val="0004010A"/>
    <w:rsid w:val="0004227A"/>
    <w:rsid w:val="00043D88"/>
    <w:rsid w:val="00046E4D"/>
    <w:rsid w:val="000544BF"/>
    <w:rsid w:val="0006401A"/>
    <w:rsid w:val="00072C27"/>
    <w:rsid w:val="00086182"/>
    <w:rsid w:val="00090891"/>
    <w:rsid w:val="00092E62"/>
    <w:rsid w:val="00097975"/>
    <w:rsid w:val="000A3DDF"/>
    <w:rsid w:val="000A60A0"/>
    <w:rsid w:val="000B59D3"/>
    <w:rsid w:val="000C3688"/>
    <w:rsid w:val="000D336F"/>
    <w:rsid w:val="000D6863"/>
    <w:rsid w:val="000F410F"/>
    <w:rsid w:val="00117AEE"/>
    <w:rsid w:val="001463F7"/>
    <w:rsid w:val="0015769C"/>
    <w:rsid w:val="00163AC8"/>
    <w:rsid w:val="001755A4"/>
    <w:rsid w:val="00180752"/>
    <w:rsid w:val="00185076"/>
    <w:rsid w:val="0018543C"/>
    <w:rsid w:val="00190231"/>
    <w:rsid w:val="00192ABD"/>
    <w:rsid w:val="001A75D5"/>
    <w:rsid w:val="001A7D40"/>
    <w:rsid w:val="001B5F71"/>
    <w:rsid w:val="001C065B"/>
    <w:rsid w:val="001D07F7"/>
    <w:rsid w:val="001D7B8F"/>
    <w:rsid w:val="001E48EE"/>
    <w:rsid w:val="001F2D04"/>
    <w:rsid w:val="0020059C"/>
    <w:rsid w:val="00200679"/>
    <w:rsid w:val="002019BD"/>
    <w:rsid w:val="00204780"/>
    <w:rsid w:val="00224189"/>
    <w:rsid w:val="00232D42"/>
    <w:rsid w:val="00237334"/>
    <w:rsid w:val="002444F4"/>
    <w:rsid w:val="002629A0"/>
    <w:rsid w:val="00274A33"/>
    <w:rsid w:val="0028492B"/>
    <w:rsid w:val="00291C8F"/>
    <w:rsid w:val="002A62B5"/>
    <w:rsid w:val="002C5036"/>
    <w:rsid w:val="002C6A71"/>
    <w:rsid w:val="002C6D5F"/>
    <w:rsid w:val="002D15EA"/>
    <w:rsid w:val="002D6C07"/>
    <w:rsid w:val="002E0CE6"/>
    <w:rsid w:val="002E1163"/>
    <w:rsid w:val="002E43F3"/>
    <w:rsid w:val="002F2E95"/>
    <w:rsid w:val="003215F5"/>
    <w:rsid w:val="00332891"/>
    <w:rsid w:val="00356BB2"/>
    <w:rsid w:val="00360477"/>
    <w:rsid w:val="00367FC9"/>
    <w:rsid w:val="003711A1"/>
    <w:rsid w:val="00372123"/>
    <w:rsid w:val="00381289"/>
    <w:rsid w:val="00386581"/>
    <w:rsid w:val="00387100"/>
    <w:rsid w:val="003951D3"/>
    <w:rsid w:val="003978C6"/>
    <w:rsid w:val="003B40A9"/>
    <w:rsid w:val="003C016E"/>
    <w:rsid w:val="003D5EBD"/>
    <w:rsid w:val="003F3E3F"/>
    <w:rsid w:val="00401CE0"/>
    <w:rsid w:val="00403234"/>
    <w:rsid w:val="00407AC3"/>
    <w:rsid w:val="00414586"/>
    <w:rsid w:val="00415059"/>
    <w:rsid w:val="00424FDD"/>
    <w:rsid w:val="0043033D"/>
    <w:rsid w:val="00430E57"/>
    <w:rsid w:val="00435FE4"/>
    <w:rsid w:val="00457634"/>
    <w:rsid w:val="00474F42"/>
    <w:rsid w:val="0048244D"/>
    <w:rsid w:val="00490373"/>
    <w:rsid w:val="004A0DE8"/>
    <w:rsid w:val="004A4CB7"/>
    <w:rsid w:val="004A57B5"/>
    <w:rsid w:val="004B19DA"/>
    <w:rsid w:val="004C2A53"/>
    <w:rsid w:val="004C3B35"/>
    <w:rsid w:val="004C43EC"/>
    <w:rsid w:val="004E6729"/>
    <w:rsid w:val="004E706C"/>
    <w:rsid w:val="004F0E47"/>
    <w:rsid w:val="004F58EB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1E2B"/>
    <w:rsid w:val="005B7D51"/>
    <w:rsid w:val="005B7F35"/>
    <w:rsid w:val="005C2081"/>
    <w:rsid w:val="005C64C3"/>
    <w:rsid w:val="005C678A"/>
    <w:rsid w:val="005D346D"/>
    <w:rsid w:val="005E74AB"/>
    <w:rsid w:val="00606A3E"/>
    <w:rsid w:val="00611264"/>
    <w:rsid w:val="006115AA"/>
    <w:rsid w:val="006120AE"/>
    <w:rsid w:val="00635E86"/>
    <w:rsid w:val="00636A37"/>
    <w:rsid w:val="006412F7"/>
    <w:rsid w:val="00643DB9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4F8F"/>
    <w:rsid w:val="006A1BEB"/>
    <w:rsid w:val="006A401C"/>
    <w:rsid w:val="006A7C6E"/>
    <w:rsid w:val="006B07C2"/>
    <w:rsid w:val="006B23D9"/>
    <w:rsid w:val="006C1814"/>
    <w:rsid w:val="006C2F45"/>
    <w:rsid w:val="006C361A"/>
    <w:rsid w:val="006C5657"/>
    <w:rsid w:val="006D5E4E"/>
    <w:rsid w:val="006D787D"/>
    <w:rsid w:val="006E6860"/>
    <w:rsid w:val="006E7183"/>
    <w:rsid w:val="006E7AF7"/>
    <w:rsid w:val="006F5FBF"/>
    <w:rsid w:val="0070327E"/>
    <w:rsid w:val="00707B5F"/>
    <w:rsid w:val="00715D87"/>
    <w:rsid w:val="00735602"/>
    <w:rsid w:val="0075279B"/>
    <w:rsid w:val="00753748"/>
    <w:rsid w:val="00762446"/>
    <w:rsid w:val="00774B5D"/>
    <w:rsid w:val="00781ACB"/>
    <w:rsid w:val="00784075"/>
    <w:rsid w:val="00797113"/>
    <w:rsid w:val="007A16A3"/>
    <w:rsid w:val="007A3B39"/>
    <w:rsid w:val="007A6110"/>
    <w:rsid w:val="007A79EB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5799A"/>
    <w:rsid w:val="00861C52"/>
    <w:rsid w:val="008727A1"/>
    <w:rsid w:val="00886B0F"/>
    <w:rsid w:val="00887A27"/>
    <w:rsid w:val="00891C08"/>
    <w:rsid w:val="008A3879"/>
    <w:rsid w:val="008A5FA8"/>
    <w:rsid w:val="008A7575"/>
    <w:rsid w:val="008B10EC"/>
    <w:rsid w:val="008B5F47"/>
    <w:rsid w:val="008C7B87"/>
    <w:rsid w:val="008D6A7A"/>
    <w:rsid w:val="008E3E87"/>
    <w:rsid w:val="008E7F13"/>
    <w:rsid w:val="008F2E47"/>
    <w:rsid w:val="008F3185"/>
    <w:rsid w:val="008F4529"/>
    <w:rsid w:val="009034FA"/>
    <w:rsid w:val="00915B0A"/>
    <w:rsid w:val="00926904"/>
    <w:rsid w:val="009372F0"/>
    <w:rsid w:val="0095472B"/>
    <w:rsid w:val="00955022"/>
    <w:rsid w:val="00957B4D"/>
    <w:rsid w:val="00964EEA"/>
    <w:rsid w:val="00980C86"/>
    <w:rsid w:val="00994B03"/>
    <w:rsid w:val="00995EB7"/>
    <w:rsid w:val="009B1D9B"/>
    <w:rsid w:val="009B4074"/>
    <w:rsid w:val="009C29C3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27C44"/>
    <w:rsid w:val="00A4025D"/>
    <w:rsid w:val="00A800D1"/>
    <w:rsid w:val="00A92699"/>
    <w:rsid w:val="00AB5BF0"/>
    <w:rsid w:val="00AC1C95"/>
    <w:rsid w:val="00AC2CCB"/>
    <w:rsid w:val="00AC443A"/>
    <w:rsid w:val="00AD670A"/>
    <w:rsid w:val="00AE60E2"/>
    <w:rsid w:val="00B0169F"/>
    <w:rsid w:val="00B05F21"/>
    <w:rsid w:val="00B079D7"/>
    <w:rsid w:val="00B14EA9"/>
    <w:rsid w:val="00B30A3C"/>
    <w:rsid w:val="00B81305"/>
    <w:rsid w:val="00B92C5E"/>
    <w:rsid w:val="00BB17DC"/>
    <w:rsid w:val="00BB1AF9"/>
    <w:rsid w:val="00BB4C4A"/>
    <w:rsid w:val="00BC7F12"/>
    <w:rsid w:val="00BD3CAE"/>
    <w:rsid w:val="00BD5F3C"/>
    <w:rsid w:val="00BE4FBF"/>
    <w:rsid w:val="00BE6D5D"/>
    <w:rsid w:val="00C07C0F"/>
    <w:rsid w:val="00C145C4"/>
    <w:rsid w:val="00C16129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24C7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46FA"/>
    <w:rsid w:val="00D252A5"/>
    <w:rsid w:val="00D26B13"/>
    <w:rsid w:val="00D26CC1"/>
    <w:rsid w:val="00D30662"/>
    <w:rsid w:val="00D32A0B"/>
    <w:rsid w:val="00D52BD5"/>
    <w:rsid w:val="00D60F97"/>
    <w:rsid w:val="00D6236B"/>
    <w:rsid w:val="00D76358"/>
    <w:rsid w:val="00D809D1"/>
    <w:rsid w:val="00D84ECF"/>
    <w:rsid w:val="00D87B14"/>
    <w:rsid w:val="00DA2851"/>
    <w:rsid w:val="00DA2B7C"/>
    <w:rsid w:val="00DA3974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456"/>
    <w:rsid w:val="00EF4D1B"/>
    <w:rsid w:val="00EF7295"/>
    <w:rsid w:val="00F066B8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3487"/>
    <w:rsid w:val="00FA5522"/>
    <w:rsid w:val="00FA6E4A"/>
    <w:rsid w:val="00FB2B35"/>
    <w:rsid w:val="00FC4AE1"/>
    <w:rsid w:val="00FD208D"/>
    <w:rsid w:val="00FD78A3"/>
    <w:rsid w:val="00FE6396"/>
    <w:rsid w:val="00FE700F"/>
    <w:rsid w:val="00FF6C8A"/>
    <w:rsid w:val="00FF6D71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semiHidden/>
    <w:rsid w:val="0084613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,__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,5_G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,4_G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qFormat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054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0544B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,5_G Знак"/>
    <w:basedOn w:val="a3"/>
    <w:link w:val="af"/>
    <w:rsid w:val="003F3E3F"/>
    <w:rPr>
      <w:spacing w:val="5"/>
      <w:w w:val="104"/>
      <w:kern w:val="14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semiHidden/>
    <w:rsid w:val="0084613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,__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,5_G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,4_G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qFormat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054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0544B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,5_G Знак"/>
    <w:basedOn w:val="a3"/>
    <w:link w:val="af"/>
    <w:rsid w:val="003F3E3F"/>
    <w:rPr>
      <w:spacing w:val="5"/>
      <w:w w:val="104"/>
      <w:kern w:val="1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8B70-9BBB-48D6-ABA4-E30F7354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24</Pages>
  <Words>9081</Words>
  <Characters>56842</Characters>
  <Application>Microsoft Office Word</Application>
  <DocSecurity>0</DocSecurity>
  <Lines>1027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65817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Ovchinnikova Olga</dc:creator>
  <cp:lastModifiedBy>Sharkina</cp:lastModifiedBy>
  <cp:revision>3</cp:revision>
  <cp:lastPrinted>2015-04-17T13:57:00Z</cp:lastPrinted>
  <dcterms:created xsi:type="dcterms:W3CDTF">2015-04-17T13:57:00Z</dcterms:created>
  <dcterms:modified xsi:type="dcterms:W3CDTF">2015-04-17T13:58:00Z</dcterms:modified>
</cp:coreProperties>
</file>