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8147E7">
                <w:t>C/112/D/2029/2011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8147E7">
                <w:rPr>
                  <w:lang w:val="en-US"/>
                </w:rPr>
                <w:t>25 November 2014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3E5BB9" w:rsidRPr="003E5BB9" w:rsidRDefault="003E5BB9" w:rsidP="003E5BB9">
      <w:pPr>
        <w:spacing w:before="240"/>
        <w:rPr>
          <w:b/>
          <w:sz w:val="24"/>
          <w:szCs w:val="24"/>
        </w:rPr>
      </w:pPr>
      <w:r w:rsidRPr="003E5BB9">
        <w:rPr>
          <w:b/>
          <w:sz w:val="24"/>
          <w:szCs w:val="24"/>
        </w:rPr>
        <w:t>Комитет по правам человека</w:t>
      </w:r>
    </w:p>
    <w:p w:rsidR="003E5BB9" w:rsidRPr="007C32CE" w:rsidRDefault="002C76B3" w:rsidP="003E5BB9">
      <w:pPr>
        <w:pStyle w:val="HChGR"/>
      </w:pPr>
      <w:r>
        <w:tab/>
      </w:r>
      <w:r>
        <w:tab/>
        <w:t>Сообщение</w:t>
      </w:r>
      <w:r w:rsidR="003E5BB9" w:rsidRPr="007C32CE">
        <w:t xml:space="preserve"> № 2029/2011</w:t>
      </w:r>
    </w:p>
    <w:p w:rsidR="003E5BB9" w:rsidRPr="00CD7C02" w:rsidRDefault="003E5BB9" w:rsidP="003E5BB9">
      <w:pPr>
        <w:pStyle w:val="H1GR"/>
      </w:pPr>
      <w:r w:rsidRPr="007C32CE">
        <w:tab/>
      </w:r>
      <w:r w:rsidRPr="007C32CE">
        <w:tab/>
        <w:t>Соображения</w:t>
      </w:r>
      <w:r w:rsidR="00CD7C02">
        <w:t>, принятые Комитетом на его 112-</w:t>
      </w:r>
      <w:r w:rsidRPr="007C32CE">
        <w:t>й се</w:t>
      </w:r>
      <w:r>
        <w:t>ссии</w:t>
      </w:r>
      <w:r w:rsidRPr="003E5BB9">
        <w:br/>
      </w:r>
      <w:r>
        <w:t>(7</w:t>
      </w:r>
      <w:r w:rsidRPr="003E5BB9">
        <w:t>−</w:t>
      </w:r>
      <w:r w:rsidRPr="007C32CE">
        <w:t>31 октября 2014 года)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95"/>
        <w:gridCol w:w="3609"/>
      </w:tblGrid>
      <w:tr w:rsidR="003E5BB9" w:rsidRPr="0020573D" w:rsidTr="00302A46">
        <w:tc>
          <w:tcPr>
            <w:tcW w:w="3195" w:type="dxa"/>
          </w:tcPr>
          <w:p w:rsidR="003E5BB9" w:rsidRPr="005B01E9" w:rsidRDefault="0020573D" w:rsidP="0020573D">
            <w:pPr>
              <w:spacing w:after="120"/>
              <w:rPr>
                <w:i/>
              </w:rPr>
            </w:pPr>
            <w:r w:rsidRPr="007C32CE">
              <w:rPr>
                <w:i/>
              </w:rPr>
              <w:t>Представлено:</w:t>
            </w:r>
          </w:p>
        </w:tc>
        <w:tc>
          <w:tcPr>
            <w:tcW w:w="3609" w:type="dxa"/>
          </w:tcPr>
          <w:p w:rsidR="003E5BB9" w:rsidRPr="0020573D" w:rsidRDefault="0020573D" w:rsidP="0020573D">
            <w:pPr>
              <w:suppressAutoHyphens w:val="0"/>
              <w:spacing w:after="120"/>
            </w:pPr>
            <w:r w:rsidRPr="0020573D">
              <w:rPr>
                <w:rFonts w:eastAsia="PMingLiU"/>
                <w:lang w:eastAsia="zh-TW"/>
              </w:rPr>
              <w:t>Сергеем</w:t>
            </w:r>
            <w:r w:rsidR="00302A46">
              <w:rPr>
                <w:iCs/>
              </w:rPr>
              <w:t xml:space="preserve"> Прадедом (адвокатом</w:t>
            </w:r>
            <w:r w:rsidR="00302A46" w:rsidRPr="00302A46">
              <w:rPr>
                <w:iCs/>
              </w:rPr>
              <w:br/>
            </w:r>
            <w:r w:rsidRPr="007C32CE">
              <w:rPr>
                <w:iCs/>
              </w:rPr>
              <w:t>не пре</w:t>
            </w:r>
            <w:r w:rsidRPr="007C32CE">
              <w:rPr>
                <w:iCs/>
              </w:rPr>
              <w:t>д</w:t>
            </w:r>
            <w:r w:rsidRPr="007C32CE">
              <w:rPr>
                <w:iCs/>
              </w:rPr>
              <w:t>ставлен</w:t>
            </w:r>
            <w:r>
              <w:rPr>
                <w:iCs/>
              </w:rPr>
              <w:t>)</w:t>
            </w:r>
          </w:p>
        </w:tc>
      </w:tr>
      <w:tr w:rsidR="003E5BB9" w:rsidRPr="005B01E9" w:rsidTr="00302A46">
        <w:tc>
          <w:tcPr>
            <w:tcW w:w="3195" w:type="dxa"/>
          </w:tcPr>
          <w:p w:rsidR="003E5BB9" w:rsidRPr="005B01E9" w:rsidRDefault="0020573D" w:rsidP="0020573D">
            <w:pPr>
              <w:spacing w:after="120"/>
              <w:rPr>
                <w:i/>
              </w:rPr>
            </w:pPr>
            <w:r w:rsidRPr="007C32CE">
              <w:rPr>
                <w:i/>
              </w:rPr>
              <w:t>Предполагаемая жертва:</w:t>
            </w:r>
          </w:p>
        </w:tc>
        <w:tc>
          <w:tcPr>
            <w:tcW w:w="3609" w:type="dxa"/>
          </w:tcPr>
          <w:p w:rsidR="003E5BB9" w:rsidRPr="005B01E9" w:rsidRDefault="0020573D" w:rsidP="005550B7">
            <w:pPr>
              <w:suppressAutoHyphens w:val="0"/>
              <w:spacing w:after="120"/>
            </w:pPr>
            <w:r w:rsidRPr="005550B7">
              <w:t>автор сообщения</w:t>
            </w:r>
          </w:p>
        </w:tc>
      </w:tr>
      <w:tr w:rsidR="003E5BB9" w:rsidRPr="005B01E9" w:rsidTr="00302A46">
        <w:tc>
          <w:tcPr>
            <w:tcW w:w="3195" w:type="dxa"/>
          </w:tcPr>
          <w:p w:rsidR="003E5BB9" w:rsidRPr="005B01E9" w:rsidRDefault="0020573D" w:rsidP="0020573D">
            <w:pPr>
              <w:spacing w:after="120"/>
              <w:rPr>
                <w:i/>
              </w:rPr>
            </w:pPr>
            <w:r w:rsidRPr="007C32CE">
              <w:rPr>
                <w:i/>
              </w:rPr>
              <w:t>Государство-участник:</w:t>
            </w:r>
          </w:p>
        </w:tc>
        <w:tc>
          <w:tcPr>
            <w:tcW w:w="3609" w:type="dxa"/>
          </w:tcPr>
          <w:p w:rsidR="003E5BB9" w:rsidRPr="0020573D" w:rsidRDefault="0020573D" w:rsidP="005550B7">
            <w:pPr>
              <w:suppressAutoHyphens w:val="0"/>
              <w:spacing w:after="120"/>
            </w:pPr>
            <w:r>
              <w:t>Беларусь</w:t>
            </w:r>
          </w:p>
        </w:tc>
      </w:tr>
      <w:tr w:rsidR="003E5BB9" w:rsidRPr="003E5BB9" w:rsidTr="00302A46">
        <w:tc>
          <w:tcPr>
            <w:tcW w:w="3195" w:type="dxa"/>
          </w:tcPr>
          <w:p w:rsidR="003E5BB9" w:rsidRPr="005B01E9" w:rsidRDefault="0020573D" w:rsidP="0020573D">
            <w:pPr>
              <w:spacing w:after="120"/>
              <w:rPr>
                <w:i/>
              </w:rPr>
            </w:pPr>
            <w:r w:rsidRPr="007C32CE">
              <w:rPr>
                <w:i/>
              </w:rPr>
              <w:t>Дата сообщения:</w:t>
            </w:r>
          </w:p>
        </w:tc>
        <w:tc>
          <w:tcPr>
            <w:tcW w:w="3609" w:type="dxa"/>
          </w:tcPr>
          <w:p w:rsidR="003E5BB9" w:rsidRPr="005550B7" w:rsidRDefault="005550B7" w:rsidP="005550B7">
            <w:pPr>
              <w:suppressAutoHyphens w:val="0"/>
              <w:spacing w:after="120"/>
            </w:pPr>
            <w:r w:rsidRPr="005550B7">
              <w:t>20 июня 2010 года (первоначальное представление)</w:t>
            </w:r>
          </w:p>
        </w:tc>
      </w:tr>
      <w:tr w:rsidR="003E5BB9" w:rsidRPr="005550B7" w:rsidTr="00302A46">
        <w:tc>
          <w:tcPr>
            <w:tcW w:w="3195" w:type="dxa"/>
          </w:tcPr>
          <w:p w:rsidR="003E5BB9" w:rsidRPr="005B01E9" w:rsidRDefault="005550B7" w:rsidP="0020573D">
            <w:pPr>
              <w:spacing w:after="120"/>
              <w:rPr>
                <w:i/>
              </w:rPr>
            </w:pPr>
            <w:r w:rsidRPr="007C32CE">
              <w:rPr>
                <w:i/>
              </w:rPr>
              <w:t>Справочная документация:</w:t>
            </w:r>
          </w:p>
        </w:tc>
        <w:tc>
          <w:tcPr>
            <w:tcW w:w="3609" w:type="dxa"/>
          </w:tcPr>
          <w:p w:rsidR="003E5BB9" w:rsidRPr="005550B7" w:rsidRDefault="00AD1B93" w:rsidP="005550B7">
            <w:pPr>
              <w:suppressAutoHyphens w:val="0"/>
              <w:spacing w:after="120"/>
            </w:pPr>
            <w:r>
              <w:t>решение Специального докладчика</w:t>
            </w:r>
            <w:r>
              <w:br/>
            </w:r>
            <w:r w:rsidR="005550B7" w:rsidRPr="005550B7">
              <w:t>в соответствии с правилом 97, пр</w:t>
            </w:r>
            <w:r w:rsidR="005550B7" w:rsidRPr="005550B7">
              <w:t>е</w:t>
            </w:r>
            <w:r w:rsidR="005550B7" w:rsidRPr="005550B7">
              <w:t>прово</w:t>
            </w:r>
            <w:r w:rsidR="00A840BF">
              <w:t>жденное государству-участ</w:t>
            </w:r>
            <w:r w:rsidR="00302A46" w:rsidRPr="00302A46">
              <w:t>-</w:t>
            </w:r>
            <w:r w:rsidR="00A840BF">
              <w:t>нику</w:t>
            </w:r>
            <w:r w:rsidR="00302A46" w:rsidRPr="00302A46">
              <w:t xml:space="preserve"> </w:t>
            </w:r>
            <w:r w:rsidR="005550B7" w:rsidRPr="005550B7">
              <w:t>17 февраля 2011 года (в виде документа не и</w:t>
            </w:r>
            <w:r w:rsidR="005550B7" w:rsidRPr="005550B7">
              <w:t>з</w:t>
            </w:r>
            <w:r w:rsidR="005550B7" w:rsidRPr="005550B7">
              <w:t>давалось)</w:t>
            </w:r>
          </w:p>
        </w:tc>
      </w:tr>
      <w:tr w:rsidR="003E5BB9" w:rsidRPr="005B01E9" w:rsidTr="00302A46">
        <w:tc>
          <w:tcPr>
            <w:tcW w:w="3195" w:type="dxa"/>
          </w:tcPr>
          <w:p w:rsidR="003E5BB9" w:rsidRPr="005B01E9" w:rsidRDefault="005550B7" w:rsidP="0020573D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Соображений:</w:t>
            </w:r>
          </w:p>
        </w:tc>
        <w:tc>
          <w:tcPr>
            <w:tcW w:w="3609" w:type="dxa"/>
          </w:tcPr>
          <w:p w:rsidR="003E5BB9" w:rsidRPr="005B01E9" w:rsidRDefault="003E5BB9" w:rsidP="005550B7">
            <w:pPr>
              <w:suppressAutoHyphens w:val="0"/>
              <w:spacing w:after="120"/>
            </w:pPr>
            <w:r>
              <w:t xml:space="preserve">10 </w:t>
            </w:r>
            <w:r w:rsidR="005550B7">
              <w:t>октября 2014</w:t>
            </w:r>
            <w:r>
              <w:t xml:space="preserve"> </w:t>
            </w:r>
            <w:r w:rsidR="005550B7">
              <w:t>года</w:t>
            </w:r>
          </w:p>
        </w:tc>
      </w:tr>
      <w:tr w:rsidR="003E5BB9" w:rsidRPr="005550B7" w:rsidTr="00302A46">
        <w:tc>
          <w:tcPr>
            <w:tcW w:w="3195" w:type="dxa"/>
          </w:tcPr>
          <w:p w:rsidR="003E5BB9" w:rsidRPr="005B01E9" w:rsidRDefault="005550B7" w:rsidP="0020573D">
            <w:pPr>
              <w:spacing w:after="120"/>
              <w:rPr>
                <w:i/>
              </w:rPr>
            </w:pPr>
            <w:r w:rsidRPr="007C32CE">
              <w:rPr>
                <w:i/>
                <w:iCs/>
              </w:rPr>
              <w:t>Тема сообщения:</w:t>
            </w:r>
          </w:p>
        </w:tc>
        <w:tc>
          <w:tcPr>
            <w:tcW w:w="3609" w:type="dxa"/>
          </w:tcPr>
          <w:p w:rsidR="003E5BB9" w:rsidRPr="005550B7" w:rsidRDefault="005550B7" w:rsidP="005550B7">
            <w:pPr>
              <w:suppressAutoHyphens w:val="0"/>
              <w:spacing w:after="120"/>
            </w:pPr>
            <w:r w:rsidRPr="007C32CE">
              <w:t>арест и наложение штрафа за пров</w:t>
            </w:r>
            <w:r w:rsidRPr="007C32CE">
              <w:t>е</w:t>
            </w:r>
            <w:r w:rsidRPr="007C32CE">
              <w:t>дение мирного собрания без предв</w:t>
            </w:r>
            <w:r w:rsidRPr="007C32CE">
              <w:t>а</w:t>
            </w:r>
            <w:r w:rsidRPr="007C32CE">
              <w:t>рительного разрешения</w:t>
            </w:r>
          </w:p>
        </w:tc>
      </w:tr>
      <w:tr w:rsidR="003E5BB9" w:rsidRPr="00A840BF" w:rsidTr="00302A46">
        <w:tc>
          <w:tcPr>
            <w:tcW w:w="3195" w:type="dxa"/>
          </w:tcPr>
          <w:p w:rsidR="003E5BB9" w:rsidRPr="005B01E9" w:rsidRDefault="005550B7" w:rsidP="0020573D">
            <w:pPr>
              <w:spacing w:after="120"/>
              <w:rPr>
                <w:i/>
              </w:rPr>
            </w:pPr>
            <w:r w:rsidRPr="007C32CE">
              <w:rPr>
                <w:i/>
                <w:iCs/>
              </w:rPr>
              <w:t>Вопросы существа:</w:t>
            </w:r>
          </w:p>
        </w:tc>
        <w:tc>
          <w:tcPr>
            <w:tcW w:w="3609" w:type="dxa"/>
          </w:tcPr>
          <w:p w:rsidR="003E5BB9" w:rsidRPr="005550B7" w:rsidRDefault="00A840BF" w:rsidP="005550B7">
            <w:pPr>
              <w:suppressAutoHyphens w:val="0"/>
              <w:spacing w:after="120"/>
            </w:pPr>
            <w:r w:rsidRPr="007C32CE">
              <w:t>право на свободное выражение мн</w:t>
            </w:r>
            <w:r w:rsidRPr="007C32CE">
              <w:t>е</w:t>
            </w:r>
            <w:r w:rsidRPr="007C32CE">
              <w:t>ний; право на свободу мирных со</w:t>
            </w:r>
            <w:r w:rsidRPr="007C32CE">
              <w:t>б</w:t>
            </w:r>
            <w:r w:rsidRPr="007C32CE">
              <w:t>раний; д</w:t>
            </w:r>
            <w:r w:rsidRPr="007C32CE">
              <w:t>о</w:t>
            </w:r>
            <w:r w:rsidRPr="007C32CE">
              <w:t>пустимые ограничения</w:t>
            </w:r>
          </w:p>
        </w:tc>
      </w:tr>
      <w:tr w:rsidR="003E5BB9" w:rsidRPr="005B01E9" w:rsidTr="00302A46">
        <w:tc>
          <w:tcPr>
            <w:tcW w:w="3195" w:type="dxa"/>
          </w:tcPr>
          <w:p w:rsidR="003E5BB9" w:rsidRPr="005B01E9" w:rsidRDefault="00A840BF" w:rsidP="0020573D">
            <w:pPr>
              <w:spacing w:after="120"/>
              <w:rPr>
                <w:i/>
              </w:rPr>
            </w:pPr>
            <w:r w:rsidRPr="007C32CE">
              <w:rPr>
                <w:i/>
                <w:iCs/>
              </w:rPr>
              <w:t>Процедурные вопросы:</w:t>
            </w:r>
          </w:p>
        </w:tc>
        <w:tc>
          <w:tcPr>
            <w:tcW w:w="3609" w:type="dxa"/>
          </w:tcPr>
          <w:p w:rsidR="003E5BB9" w:rsidRPr="005B01E9" w:rsidRDefault="00A840BF" w:rsidP="005550B7">
            <w:pPr>
              <w:suppressAutoHyphens w:val="0"/>
              <w:spacing w:after="120"/>
            </w:pPr>
            <w:r w:rsidRPr="007C32CE">
              <w:t>исчерпание внутренних средств пр</w:t>
            </w:r>
            <w:r w:rsidRPr="007C32CE">
              <w:t>а</w:t>
            </w:r>
            <w:r w:rsidRPr="007C32CE">
              <w:t>вовой защиты</w:t>
            </w:r>
          </w:p>
        </w:tc>
      </w:tr>
      <w:tr w:rsidR="003E5BB9" w:rsidRPr="005B01E9" w:rsidTr="00302A46">
        <w:tc>
          <w:tcPr>
            <w:tcW w:w="3195" w:type="dxa"/>
          </w:tcPr>
          <w:p w:rsidR="003E5BB9" w:rsidRPr="005B01E9" w:rsidRDefault="00A840BF" w:rsidP="0020573D">
            <w:pPr>
              <w:spacing w:after="120"/>
              <w:rPr>
                <w:i/>
              </w:rPr>
            </w:pPr>
            <w:r w:rsidRPr="007C32CE">
              <w:rPr>
                <w:i/>
                <w:iCs/>
              </w:rPr>
              <w:t>Статьи Пакта:</w:t>
            </w:r>
          </w:p>
        </w:tc>
        <w:tc>
          <w:tcPr>
            <w:tcW w:w="3609" w:type="dxa"/>
            <w:vAlign w:val="bottom"/>
          </w:tcPr>
          <w:p w:rsidR="003E5BB9" w:rsidRPr="005B01E9" w:rsidRDefault="00A840BF" w:rsidP="005550B7">
            <w:pPr>
              <w:suppressAutoHyphens w:val="0"/>
              <w:spacing w:after="120"/>
            </w:pPr>
            <w:r w:rsidRPr="007C32CE">
              <w:t>19, пункт 2; и 21</w:t>
            </w:r>
          </w:p>
        </w:tc>
      </w:tr>
      <w:tr w:rsidR="003E5BB9" w:rsidRPr="005B01E9" w:rsidTr="00302A46">
        <w:tc>
          <w:tcPr>
            <w:tcW w:w="3195" w:type="dxa"/>
          </w:tcPr>
          <w:p w:rsidR="003E5BB9" w:rsidRPr="003E5BB9" w:rsidRDefault="00201064" w:rsidP="0020573D">
            <w:pPr>
              <w:spacing w:after="120"/>
              <w:rPr>
                <w:i/>
                <w:lang w:val="fr-FR"/>
              </w:rPr>
            </w:pPr>
            <w:r>
              <w:rPr>
                <w:i/>
                <w:iCs/>
              </w:rPr>
              <w:t>Статья</w:t>
            </w:r>
            <w:r w:rsidR="00A840BF" w:rsidRPr="007C32CE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609" w:type="dxa"/>
          </w:tcPr>
          <w:p w:rsidR="003E5BB9" w:rsidRPr="005B01E9" w:rsidRDefault="00A840BF" w:rsidP="00A840BF">
            <w:pPr>
              <w:suppressAutoHyphens w:val="0"/>
              <w:spacing w:after="120"/>
            </w:pPr>
            <w:r w:rsidRPr="007C32CE">
              <w:t>5, пункт 2 b)</w:t>
            </w:r>
          </w:p>
        </w:tc>
      </w:tr>
    </w:tbl>
    <w:p w:rsidR="003E5BB9" w:rsidRPr="007C32CE" w:rsidRDefault="003E5BB9" w:rsidP="00A840BF">
      <w:pPr>
        <w:pStyle w:val="HChGR"/>
      </w:pPr>
      <w:r w:rsidRPr="007C32CE">
        <w:t>Приложение</w:t>
      </w:r>
    </w:p>
    <w:p w:rsidR="003E5BB9" w:rsidRPr="007C32CE" w:rsidRDefault="003E5BB9" w:rsidP="00A840BF">
      <w:pPr>
        <w:pStyle w:val="HChGR"/>
        <w:rPr>
          <w:bCs/>
        </w:rPr>
      </w:pPr>
      <w:r w:rsidRPr="007C32CE">
        <w:tab/>
      </w:r>
      <w:r w:rsidRPr="007C32CE">
        <w:tab/>
        <w:t>Соображе</w:t>
      </w:r>
      <w:r w:rsidR="00A840BF">
        <w:t>ния Комитета по правам человека</w:t>
      </w:r>
      <w:r w:rsidR="00A840BF">
        <w:br/>
      </w:r>
      <w:r w:rsidRPr="007C32CE">
        <w:t>в соответствии с пунктом 4 статьи 5 Факультативного протокола к Междунаро</w:t>
      </w:r>
      <w:r w:rsidR="00A840BF">
        <w:t>дному пакту о гражданских</w:t>
      </w:r>
      <w:r w:rsidR="00A840BF">
        <w:br/>
      </w:r>
      <w:r w:rsidRPr="007C32CE">
        <w:t>и политических правах (112-</w:t>
      </w:r>
      <w:r w:rsidR="00A840BF">
        <w:t>я сессия)</w:t>
      </w:r>
    </w:p>
    <w:p w:rsidR="003E5BB9" w:rsidRPr="007C32CE" w:rsidRDefault="003E5BB9" w:rsidP="00A840BF">
      <w:pPr>
        <w:pStyle w:val="SingleTxtGR"/>
        <w:rPr>
          <w:b/>
          <w:bCs/>
        </w:rPr>
      </w:pPr>
      <w:r w:rsidRPr="007C32CE">
        <w:t>относительно</w:t>
      </w:r>
    </w:p>
    <w:p w:rsidR="003E5BB9" w:rsidRDefault="003E5BB9" w:rsidP="00A840BF">
      <w:pPr>
        <w:pStyle w:val="H1GR"/>
        <w:rPr>
          <w:b w:val="0"/>
          <w:szCs w:val="18"/>
        </w:rPr>
      </w:pPr>
      <w:r w:rsidRPr="007C32CE">
        <w:tab/>
      </w:r>
      <w:r w:rsidRPr="007C32CE">
        <w:tab/>
        <w:t>Сообщения № 2029/2011</w:t>
      </w:r>
      <w:r w:rsidR="00A840BF" w:rsidRPr="00A840BF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29"/>
        <w:gridCol w:w="3875"/>
      </w:tblGrid>
      <w:tr w:rsidR="00BF6889" w:rsidRPr="0020573D" w:rsidTr="000E69B0">
        <w:tc>
          <w:tcPr>
            <w:tcW w:w="2929" w:type="dxa"/>
          </w:tcPr>
          <w:p w:rsidR="00BF6889" w:rsidRPr="005B01E9" w:rsidRDefault="00BF6889" w:rsidP="000E69B0">
            <w:pPr>
              <w:spacing w:after="120"/>
              <w:rPr>
                <w:i/>
              </w:rPr>
            </w:pPr>
            <w:r w:rsidRPr="007C32CE">
              <w:rPr>
                <w:i/>
              </w:rPr>
              <w:t>Представлено:</w:t>
            </w:r>
          </w:p>
        </w:tc>
        <w:tc>
          <w:tcPr>
            <w:tcW w:w="3875" w:type="dxa"/>
          </w:tcPr>
          <w:p w:rsidR="00BF6889" w:rsidRPr="0020573D" w:rsidRDefault="00BF6889" w:rsidP="000E69B0">
            <w:pPr>
              <w:suppressAutoHyphens w:val="0"/>
              <w:spacing w:after="120"/>
            </w:pPr>
            <w:r w:rsidRPr="0020573D">
              <w:rPr>
                <w:rFonts w:eastAsia="PMingLiU"/>
                <w:lang w:eastAsia="zh-TW"/>
              </w:rPr>
              <w:t>Сергеем</w:t>
            </w:r>
            <w:r w:rsidRPr="007C32CE">
              <w:rPr>
                <w:iCs/>
              </w:rPr>
              <w:t xml:space="preserve"> Прадедом (адвокатом не пре</w:t>
            </w:r>
            <w:r w:rsidRPr="007C32CE">
              <w:rPr>
                <w:iCs/>
              </w:rPr>
              <w:t>д</w:t>
            </w:r>
            <w:r w:rsidRPr="007C32CE">
              <w:rPr>
                <w:iCs/>
              </w:rPr>
              <w:t>ставлен</w:t>
            </w:r>
            <w:r>
              <w:rPr>
                <w:iCs/>
              </w:rPr>
              <w:t>)</w:t>
            </w:r>
          </w:p>
        </w:tc>
      </w:tr>
      <w:tr w:rsidR="00BF6889" w:rsidRPr="005B01E9" w:rsidTr="000E69B0">
        <w:tc>
          <w:tcPr>
            <w:tcW w:w="2929" w:type="dxa"/>
          </w:tcPr>
          <w:p w:rsidR="00BF6889" w:rsidRPr="005B01E9" w:rsidRDefault="00BF6889" w:rsidP="000E69B0">
            <w:pPr>
              <w:spacing w:after="120"/>
              <w:rPr>
                <w:i/>
              </w:rPr>
            </w:pPr>
            <w:r w:rsidRPr="007C32CE">
              <w:rPr>
                <w:i/>
              </w:rPr>
              <w:t>Предполагаемая жертва:</w:t>
            </w:r>
          </w:p>
        </w:tc>
        <w:tc>
          <w:tcPr>
            <w:tcW w:w="3875" w:type="dxa"/>
          </w:tcPr>
          <w:p w:rsidR="00BF6889" w:rsidRPr="005B01E9" w:rsidRDefault="00BF6889" w:rsidP="000E69B0">
            <w:pPr>
              <w:suppressAutoHyphens w:val="0"/>
              <w:spacing w:after="120"/>
            </w:pPr>
            <w:r w:rsidRPr="005550B7">
              <w:t>автор сообщения</w:t>
            </w:r>
          </w:p>
        </w:tc>
      </w:tr>
      <w:tr w:rsidR="00BF6889" w:rsidRPr="0020573D" w:rsidTr="000E69B0">
        <w:tc>
          <w:tcPr>
            <w:tcW w:w="2929" w:type="dxa"/>
          </w:tcPr>
          <w:p w:rsidR="00BF6889" w:rsidRPr="005B01E9" w:rsidRDefault="00BF6889" w:rsidP="000E69B0">
            <w:pPr>
              <w:spacing w:after="120"/>
              <w:rPr>
                <w:i/>
              </w:rPr>
            </w:pPr>
            <w:r w:rsidRPr="007C32CE">
              <w:rPr>
                <w:i/>
              </w:rPr>
              <w:t>Государство-участник:</w:t>
            </w:r>
          </w:p>
        </w:tc>
        <w:tc>
          <w:tcPr>
            <w:tcW w:w="3875" w:type="dxa"/>
          </w:tcPr>
          <w:p w:rsidR="00BF6889" w:rsidRPr="0020573D" w:rsidRDefault="00BF6889" w:rsidP="000E69B0">
            <w:pPr>
              <w:suppressAutoHyphens w:val="0"/>
              <w:spacing w:after="120"/>
            </w:pPr>
            <w:r>
              <w:t>Беларусь</w:t>
            </w:r>
          </w:p>
        </w:tc>
      </w:tr>
      <w:tr w:rsidR="00BF6889" w:rsidRPr="005550B7" w:rsidTr="000E69B0">
        <w:tc>
          <w:tcPr>
            <w:tcW w:w="2929" w:type="dxa"/>
          </w:tcPr>
          <w:p w:rsidR="00BF6889" w:rsidRPr="005B01E9" w:rsidRDefault="00BF6889" w:rsidP="000E69B0">
            <w:pPr>
              <w:spacing w:after="120"/>
              <w:rPr>
                <w:i/>
              </w:rPr>
            </w:pPr>
            <w:r w:rsidRPr="007C32CE">
              <w:rPr>
                <w:i/>
              </w:rPr>
              <w:t>Дата сообщения:</w:t>
            </w:r>
          </w:p>
        </w:tc>
        <w:tc>
          <w:tcPr>
            <w:tcW w:w="3875" w:type="dxa"/>
          </w:tcPr>
          <w:p w:rsidR="00BF6889" w:rsidRPr="005550B7" w:rsidRDefault="00BF6889" w:rsidP="000E69B0">
            <w:pPr>
              <w:suppressAutoHyphens w:val="0"/>
              <w:spacing w:after="120"/>
            </w:pPr>
            <w:r w:rsidRPr="005550B7">
              <w:t>20 июня 2010 года (первоначальное представление)</w:t>
            </w:r>
          </w:p>
        </w:tc>
      </w:tr>
    </w:tbl>
    <w:p w:rsidR="003E5BB9" w:rsidRPr="007C32CE" w:rsidRDefault="003E5BB9" w:rsidP="00BF6889">
      <w:pPr>
        <w:pStyle w:val="SingleTxtGR"/>
      </w:pPr>
      <w:r w:rsidRPr="007C32CE">
        <w:tab/>
      </w:r>
      <w:r w:rsidRPr="007C32CE">
        <w:rPr>
          <w:i/>
        </w:rPr>
        <w:t xml:space="preserve">Комитет по правам человека, </w:t>
      </w:r>
      <w:r w:rsidRPr="007C32CE">
        <w:t>учрежденный в соответствии со статьей 28 Международного пакта о гражданских и политических правах,</w:t>
      </w:r>
    </w:p>
    <w:p w:rsidR="003E5BB9" w:rsidRPr="007C32CE" w:rsidRDefault="003E5BB9" w:rsidP="00BF6889">
      <w:pPr>
        <w:pStyle w:val="SingleTxtGR"/>
      </w:pPr>
      <w:r w:rsidRPr="007C32CE">
        <w:tab/>
      </w:r>
      <w:r w:rsidRPr="007C32CE">
        <w:rPr>
          <w:i/>
        </w:rPr>
        <w:t xml:space="preserve">на своем заседании </w:t>
      </w:r>
      <w:r w:rsidR="00BF6889">
        <w:t>10 октября 2014 года,</w:t>
      </w:r>
    </w:p>
    <w:p w:rsidR="003E5BB9" w:rsidRPr="007C32CE" w:rsidRDefault="003E5BB9" w:rsidP="00BF6889">
      <w:pPr>
        <w:pStyle w:val="SingleTxtGR"/>
      </w:pPr>
      <w:r w:rsidRPr="007C32CE">
        <w:tab/>
      </w:r>
      <w:r w:rsidRPr="007C32CE">
        <w:rPr>
          <w:i/>
        </w:rPr>
        <w:t xml:space="preserve">завершив </w:t>
      </w:r>
      <w:r w:rsidRPr="007C32CE">
        <w:t>рассмотрение сообщения № 2029/2011, представленного Ком</w:t>
      </w:r>
      <w:r w:rsidRPr="007C32CE">
        <w:t>и</w:t>
      </w:r>
      <w:r w:rsidRPr="007C32CE">
        <w:t>тету по правам человека Сергеем Прадедом в соответствии с Факультативным протоколом к Международному пакту о гражда</w:t>
      </w:r>
      <w:r w:rsidRPr="007C32CE">
        <w:t>н</w:t>
      </w:r>
      <w:r w:rsidRPr="007C32CE">
        <w:t>ских и политических правах,</w:t>
      </w:r>
    </w:p>
    <w:p w:rsidR="003E5BB9" w:rsidRPr="007C32CE" w:rsidRDefault="003E5BB9" w:rsidP="00BF6889">
      <w:pPr>
        <w:pStyle w:val="SingleTxtGR"/>
      </w:pPr>
      <w:r w:rsidRPr="007C32CE">
        <w:tab/>
      </w:r>
      <w:r w:rsidRPr="007C32CE">
        <w:rPr>
          <w:i/>
        </w:rPr>
        <w:t xml:space="preserve">приняв во внимание </w:t>
      </w:r>
      <w:r w:rsidRPr="007C32CE">
        <w:t>всю письменную информацию, представленную ему автором сообщения и государством-участником,</w:t>
      </w:r>
    </w:p>
    <w:p w:rsidR="003E5BB9" w:rsidRPr="007C32CE" w:rsidRDefault="003E5BB9" w:rsidP="00BF6889">
      <w:pPr>
        <w:pStyle w:val="SingleTxtGR"/>
      </w:pPr>
      <w:r w:rsidRPr="007C32CE">
        <w:tab/>
      </w:r>
      <w:r w:rsidRPr="00201064">
        <w:rPr>
          <w:i/>
        </w:rPr>
        <w:t>принимает</w:t>
      </w:r>
      <w:r w:rsidRPr="007C32CE">
        <w:t xml:space="preserve"> </w:t>
      </w:r>
      <w:r w:rsidRPr="007C32CE">
        <w:rPr>
          <w:iCs/>
        </w:rPr>
        <w:t>следующее:</w:t>
      </w:r>
    </w:p>
    <w:p w:rsidR="003E5BB9" w:rsidRPr="007C32CE" w:rsidRDefault="003E5BB9" w:rsidP="00BF6889">
      <w:pPr>
        <w:pStyle w:val="H1GR"/>
      </w:pPr>
      <w:r w:rsidRPr="007C32CE">
        <w:tab/>
      </w:r>
      <w:r w:rsidRPr="007C32CE">
        <w:tab/>
        <w:t xml:space="preserve">Соображения в соответствии с пунктом 4 статьи 5 Факультативного протокола </w:t>
      </w:r>
    </w:p>
    <w:p w:rsidR="003E5BB9" w:rsidRPr="007C32CE" w:rsidRDefault="003E5BB9" w:rsidP="00BF6889">
      <w:pPr>
        <w:pStyle w:val="SingleTxtGR"/>
      </w:pPr>
      <w:r w:rsidRPr="007C32CE">
        <w:t>1.</w:t>
      </w:r>
      <w:r w:rsidRPr="007C32CE">
        <w:tab/>
        <w:t>Автором сообщения является гражданин Беларуси Серге</w:t>
      </w:r>
      <w:r w:rsidR="00CD7C02">
        <w:t>й Прадед</w:t>
      </w:r>
      <w:r w:rsidR="00CD7C02">
        <w:br/>
      </w:r>
      <w:r w:rsidRPr="007C32CE">
        <w:t>1987 года рождения. Он утверждает, что является жертвой нарушения Белар</w:t>
      </w:r>
      <w:r w:rsidRPr="007C32CE">
        <w:t>у</w:t>
      </w:r>
      <w:r w:rsidRPr="007C32CE">
        <w:t>сью его прав, предусмотренных в пункте 2 статьи 19 и в статье 21 Междун</w:t>
      </w:r>
      <w:r w:rsidRPr="007C32CE">
        <w:t>а</w:t>
      </w:r>
      <w:r w:rsidRPr="007C32CE">
        <w:t>родного пакта о гражданских и политических правах. Факультативный прот</w:t>
      </w:r>
      <w:r w:rsidRPr="007C32CE">
        <w:t>о</w:t>
      </w:r>
      <w:r w:rsidRPr="007C32CE">
        <w:t>кол вст</w:t>
      </w:r>
      <w:r w:rsidRPr="007C32CE">
        <w:t>у</w:t>
      </w:r>
      <w:r w:rsidRPr="007C32CE">
        <w:t>пил в действие для государства-участника 30 декабря 1992 года. Автор сообщ</w:t>
      </w:r>
      <w:r w:rsidRPr="007C32CE">
        <w:t>е</w:t>
      </w:r>
      <w:r w:rsidR="00EF61E6">
        <w:t>ния адвокатом не представлен.</w:t>
      </w:r>
    </w:p>
    <w:p w:rsidR="003E5BB9" w:rsidRPr="007C32CE" w:rsidRDefault="003E5BB9" w:rsidP="00237100">
      <w:pPr>
        <w:pStyle w:val="H23GR"/>
        <w:pageBreakBefore/>
      </w:pPr>
      <w:r w:rsidRPr="007C32CE">
        <w:tab/>
      </w:r>
      <w:r w:rsidRPr="007C32CE">
        <w:tab/>
        <w:t>Факты в изложении автора</w:t>
      </w:r>
    </w:p>
    <w:p w:rsidR="003E5BB9" w:rsidRPr="007C32CE" w:rsidRDefault="003E5BB9" w:rsidP="00BF6889">
      <w:pPr>
        <w:pStyle w:val="SingleTxtGR"/>
      </w:pPr>
      <w:r w:rsidRPr="007C32CE">
        <w:t>2.1</w:t>
      </w:r>
      <w:r w:rsidRPr="007C32CE">
        <w:tab/>
        <w:t>16 декабря 2009 года автор и еще несколько человек приняли участие в мирной демонстрации, во время которой перед зданием посольства Исламской Республики Иран в Минске был вывешен плакат с надписью "Прекратить уби</w:t>
      </w:r>
      <w:r w:rsidRPr="007C32CE">
        <w:t>й</w:t>
      </w:r>
      <w:r w:rsidRPr="007C32CE">
        <w:t>ства гомосексуалистов в Иране". Автор был задержан и доставлен в полице</w:t>
      </w:r>
      <w:r w:rsidRPr="007C32CE">
        <w:t>й</w:t>
      </w:r>
      <w:r w:rsidRPr="007C32CE">
        <w:t>ский участок, где был составлен официальный протокол об административном правонарушении и где ему было предъявлено обвинение в соответствии с пун</w:t>
      </w:r>
      <w:r w:rsidRPr="007C32CE">
        <w:t>к</w:t>
      </w:r>
      <w:r w:rsidRPr="007C32CE">
        <w:t>том 1 статьи 23.34 Кодекса Республики Беларусь об административных прав</w:t>
      </w:r>
      <w:r w:rsidRPr="007C32CE">
        <w:t>о</w:t>
      </w:r>
      <w:r w:rsidRPr="007C32CE">
        <w:t>нарушениях</w:t>
      </w:r>
      <w:r w:rsidR="00237100">
        <w:rPr>
          <w:rStyle w:val="FootnoteReference"/>
        </w:rPr>
        <w:footnoteReference w:id="2"/>
      </w:r>
      <w:r w:rsidRPr="007C32CE">
        <w:t>.</w:t>
      </w:r>
    </w:p>
    <w:p w:rsidR="003E5BB9" w:rsidRPr="007C32CE" w:rsidRDefault="003E5BB9" w:rsidP="00BF6889">
      <w:pPr>
        <w:pStyle w:val="SingleTxtGR"/>
      </w:pPr>
      <w:r w:rsidRPr="007C32CE">
        <w:t>2.2</w:t>
      </w:r>
      <w:r w:rsidRPr="007C32CE">
        <w:tab/>
        <w:t>23 декабря 2009 года суд Советского района города Минска признал авт</w:t>
      </w:r>
      <w:r w:rsidRPr="007C32CE">
        <w:t>о</w:t>
      </w:r>
      <w:r w:rsidRPr="007C32CE">
        <w:t>ра сообщения виновным в совершении административного правонарушения, предусмотренного в пункте 1 статьи 23.34 Кодекса об административных пр</w:t>
      </w:r>
      <w:r w:rsidRPr="007C32CE">
        <w:t>а</w:t>
      </w:r>
      <w:r w:rsidRPr="007C32CE">
        <w:t>вонарушениях и назначил ему штраф в размере 350 000 белорусских рублей. Суд пришел к выводу, что автор и другие лица приняли участие в несанкцион</w:t>
      </w:r>
      <w:r w:rsidRPr="007C32CE">
        <w:t>и</w:t>
      </w:r>
      <w:r w:rsidRPr="007C32CE">
        <w:t>рованном массовом мероприятии, не получив предварительного разрешения в соответствии со статьей 5 Закона "О массовых мероприятиях".</w:t>
      </w:r>
    </w:p>
    <w:p w:rsidR="003E5BB9" w:rsidRPr="007C32CE" w:rsidRDefault="003E5BB9" w:rsidP="00BF6889">
      <w:pPr>
        <w:pStyle w:val="SingleTxtGR"/>
      </w:pPr>
      <w:r w:rsidRPr="007C32CE">
        <w:t>2.3</w:t>
      </w:r>
      <w:r w:rsidRPr="007C32CE">
        <w:tab/>
        <w:t>19 января 2010 года Минский городской суд отклонил апелляцию автора и подтвердил решение районного суда.</w:t>
      </w:r>
    </w:p>
    <w:p w:rsidR="003E5BB9" w:rsidRPr="007C32CE" w:rsidRDefault="003E5BB9" w:rsidP="00BF6889">
      <w:pPr>
        <w:pStyle w:val="SingleTxtGR"/>
      </w:pPr>
      <w:r w:rsidRPr="007C32CE">
        <w:t>2.4</w:t>
      </w:r>
      <w:r w:rsidRPr="007C32CE">
        <w:tab/>
        <w:t>7 апреля 2010 года Верховный суд отклонил ходатайство автора о пер</w:t>
      </w:r>
      <w:r w:rsidRPr="007C32CE">
        <w:t>е</w:t>
      </w:r>
      <w:r w:rsidRPr="007C32CE">
        <w:t>смотре в порядке надзора решений нижестоящих судов от 23 декабря 2009 года и 19 января 2010 года.</w:t>
      </w:r>
    </w:p>
    <w:p w:rsidR="003E5BB9" w:rsidRPr="007C32CE" w:rsidRDefault="003E5BB9" w:rsidP="00BF6889">
      <w:pPr>
        <w:pStyle w:val="H23GR"/>
      </w:pPr>
      <w:r w:rsidRPr="007C32CE">
        <w:tab/>
      </w:r>
      <w:r w:rsidRPr="007C32CE">
        <w:tab/>
        <w:t>Жалоба</w:t>
      </w:r>
    </w:p>
    <w:p w:rsidR="003E5BB9" w:rsidRPr="007C32CE" w:rsidRDefault="003E5BB9" w:rsidP="00BF6889">
      <w:pPr>
        <w:pStyle w:val="SingleTxtGR"/>
      </w:pPr>
      <w:r w:rsidRPr="007C32CE">
        <w:t>3.1</w:t>
      </w:r>
      <w:r w:rsidRPr="007C32CE">
        <w:tab/>
        <w:t>Автор утверждает, что изложенные факты представляют собой наруш</w:t>
      </w:r>
      <w:r w:rsidRPr="007C32CE">
        <w:t>е</w:t>
      </w:r>
      <w:r w:rsidRPr="007C32CE">
        <w:t>ние его прав, предусмотренных в статье 21 Пакта, поскольку власти не предст</w:t>
      </w:r>
      <w:r w:rsidRPr="007C32CE">
        <w:t>а</w:t>
      </w:r>
      <w:r w:rsidRPr="007C32CE">
        <w:t>вили никакой информации, обосновывающей ограничение его прав и его з</w:t>
      </w:r>
      <w:r w:rsidRPr="007C32CE">
        <w:t>а</w:t>
      </w:r>
      <w:r w:rsidRPr="007C32CE">
        <w:t>держание. Далее он утверждает, что введенные ограничения не были необход</w:t>
      </w:r>
      <w:r w:rsidRPr="007C32CE">
        <w:t>и</w:t>
      </w:r>
      <w:r w:rsidRPr="007C32CE">
        <w:t>мы в демократическом обществе в интересах государственной или обществе</w:t>
      </w:r>
      <w:r w:rsidRPr="007C32CE">
        <w:t>н</w:t>
      </w:r>
      <w:r w:rsidRPr="007C32CE">
        <w:t>ной безопасности, о</w:t>
      </w:r>
      <w:r w:rsidRPr="007C32CE">
        <w:t>б</w:t>
      </w:r>
      <w:r w:rsidRPr="007C32CE">
        <w:t>щественного порядка, охраны здоровья и нравственности населения или защиты прав и свобод других лиц. Хотя он признает, что он не запросил разрешения на участие в демонстрации, он утверждает, что правовой режим в Беларуси, в соответствии с которым требуется получение предвар</w:t>
      </w:r>
      <w:r w:rsidRPr="007C32CE">
        <w:t>и</w:t>
      </w:r>
      <w:r w:rsidRPr="007C32CE">
        <w:t>тельного разрешения до проведения такой демонстрации, налагает неприемл</w:t>
      </w:r>
      <w:r w:rsidRPr="007C32CE">
        <w:t>е</w:t>
      </w:r>
      <w:r w:rsidRPr="007C32CE">
        <w:t>мые ограничения на осуществление свобод, гарантированных в статье 21. В с</w:t>
      </w:r>
      <w:r w:rsidRPr="007C32CE">
        <w:t>о</w:t>
      </w:r>
      <w:r w:rsidRPr="007C32CE">
        <w:t>ответствии со статьей 5 закона "О массовых мероприятиях" организаторы д</w:t>
      </w:r>
      <w:r w:rsidRPr="007C32CE">
        <w:t>е</w:t>
      </w:r>
      <w:r w:rsidRPr="007C32CE">
        <w:t>монстрац</w:t>
      </w:r>
      <w:r w:rsidR="000E69B0">
        <w:t>ий обязаны заключить договор с о</w:t>
      </w:r>
      <w:r w:rsidRPr="007C32CE">
        <w:t>тделом внутренних дел районной администрации, с тем чтобы обеспечить во время демонстрации поддержание общественного порядка; договор с управлением здравоохранения для обеспеч</w:t>
      </w:r>
      <w:r w:rsidRPr="007C32CE">
        <w:t>е</w:t>
      </w:r>
      <w:r w:rsidRPr="007C32CE">
        <w:t>ния предоставления медицинской помощи; и договор с управлением жилищно-коммунального хозяйства об уборке территории после проведения меропри</w:t>
      </w:r>
      <w:r w:rsidRPr="007C32CE">
        <w:t>я</w:t>
      </w:r>
      <w:r w:rsidRPr="007C32CE">
        <w:t>тия. Проведение демонстраций также запрещено на расстоянии менее 50 ме</w:t>
      </w:r>
      <w:r w:rsidRPr="007C32CE">
        <w:t>т</w:t>
      </w:r>
      <w:r w:rsidRPr="007C32CE">
        <w:t xml:space="preserve">ров от </w:t>
      </w:r>
      <w:r w:rsidR="000E69B0" w:rsidRPr="007C32CE">
        <w:t xml:space="preserve">зданий </w:t>
      </w:r>
      <w:r w:rsidRPr="007C32CE">
        <w:t>дипломатических</w:t>
      </w:r>
      <w:r w:rsidR="000E69B0">
        <w:t xml:space="preserve"> представительств</w:t>
      </w:r>
      <w:r w:rsidRPr="007C32CE">
        <w:t>, что автор считает неприе</w:t>
      </w:r>
      <w:r w:rsidRPr="007C32CE">
        <w:t>м</w:t>
      </w:r>
      <w:r w:rsidRPr="007C32CE">
        <w:t>лемым в его случае, поскольку проведения этой демонстрации в любом другом месте не соответствовало бы ее цели.</w:t>
      </w:r>
    </w:p>
    <w:p w:rsidR="003E5BB9" w:rsidRPr="007C32CE" w:rsidRDefault="003E5BB9" w:rsidP="00BF6889">
      <w:pPr>
        <w:pStyle w:val="SingleTxtGR"/>
      </w:pPr>
      <w:r w:rsidRPr="007C32CE">
        <w:t>3.2</w:t>
      </w:r>
      <w:r w:rsidRPr="007C32CE">
        <w:tab/>
        <w:t>Автор также утверждает, что его задержание и осуждение представляют собой нарушение его права на свободу выражения мнений, предусмотренное в статье 19 Пакта. Он ссылается на Соображения Комитета</w:t>
      </w:r>
      <w:r w:rsidR="00237100">
        <w:rPr>
          <w:rStyle w:val="FootnoteReference"/>
        </w:rPr>
        <w:footnoteReference w:id="3"/>
      </w:r>
      <w:r w:rsidRPr="007C32CE">
        <w:t>, в которых Комитет установил факт нарушения статьи 19, несмот</w:t>
      </w:r>
      <w:r w:rsidR="000E69B0">
        <w:t>ря на то</w:t>
      </w:r>
      <w:r w:rsidRPr="007C32CE">
        <w:t xml:space="preserve">, что национальные суды, </w:t>
      </w:r>
      <w:r w:rsidR="000E69B0">
        <w:t>которые рассматривали это дело,</w:t>
      </w:r>
      <w:r w:rsidRPr="007C32CE">
        <w:t xml:space="preserve"> действовали в соответствии с внутренним з</w:t>
      </w:r>
      <w:r w:rsidRPr="007C32CE">
        <w:t>а</w:t>
      </w:r>
      <w:r w:rsidRPr="007C32CE">
        <w:t>конодательством, и на Соображения Комитета</w:t>
      </w:r>
      <w:r w:rsidR="00237100">
        <w:rPr>
          <w:rStyle w:val="FootnoteReference"/>
        </w:rPr>
        <w:footnoteReference w:id="4"/>
      </w:r>
      <w:r w:rsidRPr="007C32CE">
        <w:t>, в которых Комитет посчитал несовместимым с положениями Пакта то обстоятельство, что государство-участник отдает приоритет применению своего национального законодательс</w:t>
      </w:r>
      <w:r w:rsidRPr="007C32CE">
        <w:t>т</w:t>
      </w:r>
      <w:r w:rsidRPr="007C32CE">
        <w:t>ва перед своими обязательствами по Пакту. Автор далее утверждает, что Бел</w:t>
      </w:r>
      <w:r w:rsidRPr="007C32CE">
        <w:t>а</w:t>
      </w:r>
      <w:r w:rsidRPr="007C32CE">
        <w:t>русь не представила уведомления в соответствии с пунктом 3 статьи 4 Межд</w:t>
      </w:r>
      <w:r w:rsidRPr="007C32CE">
        <w:t>у</w:t>
      </w:r>
      <w:r w:rsidRPr="007C32CE">
        <w:t>народного пакта о гражданских и политических правах, чтобы во</w:t>
      </w:r>
      <w:r w:rsidRPr="007C32CE">
        <w:t>с</w:t>
      </w:r>
      <w:r w:rsidRPr="007C32CE">
        <w:t>пользоваться правом на отступление от некоторых прав в условиях чрезвычайного полож</w:t>
      </w:r>
      <w:r w:rsidRPr="007C32CE">
        <w:t>е</w:t>
      </w:r>
      <w:r w:rsidRPr="007C32CE">
        <w:t>ния.</w:t>
      </w:r>
    </w:p>
    <w:p w:rsidR="003E5BB9" w:rsidRPr="007C32CE" w:rsidRDefault="003E5BB9" w:rsidP="00BF6889">
      <w:pPr>
        <w:pStyle w:val="H23GR"/>
      </w:pPr>
      <w:r w:rsidRPr="007C32CE">
        <w:tab/>
      </w:r>
      <w:r w:rsidRPr="007C32CE">
        <w:tab/>
        <w:t>Замечания государства-участника по вопросу о приемлемости соо</w:t>
      </w:r>
      <w:r w:rsidRPr="007C32CE">
        <w:t>б</w:t>
      </w:r>
      <w:r w:rsidRPr="007C32CE">
        <w:t>щения</w:t>
      </w:r>
    </w:p>
    <w:p w:rsidR="003E5BB9" w:rsidRPr="007C32CE" w:rsidRDefault="003E5BB9" w:rsidP="00BF6889">
      <w:pPr>
        <w:pStyle w:val="SingleTxtGR"/>
      </w:pPr>
      <w:r w:rsidRPr="007C32CE">
        <w:t>4.1</w:t>
      </w:r>
      <w:r w:rsidRPr="007C32CE">
        <w:tab/>
        <w:t>В вербальной ноте от 5 октября 2011 года государство-участник выразило свою позицию, согласно которой для рассмотрения приемлемости или существа сообщения нет никаких правовых оснований, поскольку оно было зарегистр</w:t>
      </w:r>
      <w:r w:rsidRPr="007C32CE">
        <w:t>и</w:t>
      </w:r>
      <w:r w:rsidRPr="007C32CE">
        <w:t>ровано в Комитете в нарушение статьи 1 Факультативного протокола к Пакту. По мнению государства-участника, автор не исчерпал всех имеющихся вну</w:t>
      </w:r>
      <w:r w:rsidRPr="007C32CE">
        <w:t>т</w:t>
      </w:r>
      <w:r w:rsidRPr="007C32CE">
        <w:t>ренних средств правовой защиты, как того требует статья 2 Факультативного протокола, поскольку он не подал в прокура</w:t>
      </w:r>
      <w:r w:rsidR="000E69B0">
        <w:t>туру апелляцию</w:t>
      </w:r>
      <w:r w:rsidRPr="007C32CE">
        <w:t xml:space="preserve"> в порядке судебн</w:t>
      </w:r>
      <w:r w:rsidRPr="007C32CE">
        <w:t>о</w:t>
      </w:r>
      <w:r w:rsidR="000E69B0">
        <w:t>го надзора</w:t>
      </w:r>
      <w:r w:rsidRPr="007C32CE">
        <w:t xml:space="preserve"> на решения нижестоящих судов по его делу.</w:t>
      </w:r>
    </w:p>
    <w:p w:rsidR="003E5BB9" w:rsidRPr="007C32CE" w:rsidRDefault="003E5BB9" w:rsidP="00BF6889">
      <w:pPr>
        <w:pStyle w:val="SingleTxtGR"/>
      </w:pPr>
      <w:r w:rsidRPr="007C32CE">
        <w:t>4.2</w:t>
      </w:r>
      <w:r w:rsidRPr="007C32CE">
        <w:tab/>
        <w:t>В вербальной ноте от 25 января 2012 года государство-участник вновь подтвердило свою позицию о неприемлемости сообщения, подчеркнув, что, по его мнению, сообщение было зарегистрировано в нарушение Факультативного протокола.</w:t>
      </w:r>
    </w:p>
    <w:p w:rsidR="003E5BB9" w:rsidRPr="007C32CE" w:rsidRDefault="003E5BB9" w:rsidP="00BF6889">
      <w:pPr>
        <w:pStyle w:val="SingleTxtGR"/>
      </w:pPr>
      <w:r w:rsidRPr="007C32CE">
        <w:t>4.3</w:t>
      </w:r>
      <w:r w:rsidRPr="007C32CE">
        <w:tab/>
        <w:t>В частности, оно утверждает, что, став государством − участником Ф</w:t>
      </w:r>
      <w:r w:rsidRPr="007C32CE">
        <w:t>а</w:t>
      </w:r>
      <w:r w:rsidRPr="007C32CE">
        <w:t>культативного протокола, оно признало компетенцию Комитета согласно ст</w:t>
      </w:r>
      <w:r w:rsidRPr="007C32CE">
        <w:t>а</w:t>
      </w:r>
      <w:r w:rsidRPr="007C32CE">
        <w:t xml:space="preserve">тье 1, но это признание компетенции </w:t>
      </w:r>
      <w:r w:rsidR="000A03EE">
        <w:t>реализуется в совокупности</w:t>
      </w:r>
      <w:r w:rsidRPr="007C32CE">
        <w:t xml:space="preserve"> с другими п</w:t>
      </w:r>
      <w:r w:rsidRPr="007C32CE">
        <w:t>о</w:t>
      </w:r>
      <w:r w:rsidRPr="007C32CE">
        <w:t>ложениями Факультативного протокола, включая те положения, в которых у</w:t>
      </w:r>
      <w:r w:rsidRPr="007C32CE">
        <w:t>с</w:t>
      </w:r>
      <w:r w:rsidRPr="007C32CE">
        <w:t>танавливаются критерии в отношении заявителей жалоб и приемлемости их с</w:t>
      </w:r>
      <w:r w:rsidRPr="007C32CE">
        <w:t>о</w:t>
      </w:r>
      <w:r w:rsidRPr="007C32CE">
        <w:t xml:space="preserve">общений, в частности статей 2 и 5 Факультативного протокола. Оно считает, что согласно Факультативному протоколу государства-участники не обязаны признавать правила процедуры Комитета и толкование </w:t>
      </w:r>
      <w:r w:rsidR="000A03EE">
        <w:t xml:space="preserve">им </w:t>
      </w:r>
      <w:r w:rsidRPr="007C32CE">
        <w:t>положений Факул</w:t>
      </w:r>
      <w:r w:rsidRPr="007C32CE">
        <w:t>ь</w:t>
      </w:r>
      <w:r w:rsidRPr="007C32CE">
        <w:t xml:space="preserve">тативного протокола, которое </w:t>
      </w:r>
      <w:r w:rsidR="000A03EE">
        <w:t>применимо</w:t>
      </w:r>
      <w:r w:rsidRPr="007C32CE">
        <w:t xml:space="preserve"> лишь с учетом Венской конвенции о праве международных договоров. Оно заявляет, что в связи с процедурой под</w:t>
      </w:r>
      <w:r w:rsidRPr="007C32CE">
        <w:t>а</w:t>
      </w:r>
      <w:r w:rsidRPr="007C32CE">
        <w:t>чи жалоб государства-участники должны прежде всего руководствоваться п</w:t>
      </w:r>
      <w:r w:rsidRPr="007C32CE">
        <w:t>о</w:t>
      </w:r>
      <w:r w:rsidRPr="007C32CE">
        <w:t>ложениями Факультативного протокола и что Факультативный протокол не ра</w:t>
      </w:r>
      <w:r w:rsidRPr="007C32CE">
        <w:t>с</w:t>
      </w:r>
      <w:r w:rsidRPr="007C32CE">
        <w:t xml:space="preserve">пространяется на ссылки на </w:t>
      </w:r>
      <w:r w:rsidR="000A03EE">
        <w:t>установившуюся</w:t>
      </w:r>
      <w:r w:rsidRPr="007C32CE">
        <w:t xml:space="preserve"> практику, методы работы и </w:t>
      </w:r>
      <w:r w:rsidR="000A03EE">
        <w:t>пр</w:t>
      </w:r>
      <w:r w:rsidR="000A03EE">
        <w:t>и</w:t>
      </w:r>
      <w:r w:rsidR="000A03EE">
        <w:t>нятые решения</w:t>
      </w:r>
      <w:r w:rsidRPr="007C32CE">
        <w:t xml:space="preserve"> Комитета. Оно также утверждает, что любые сообщения, зар</w:t>
      </w:r>
      <w:r w:rsidRPr="007C32CE">
        <w:t>е</w:t>
      </w:r>
      <w:r w:rsidRPr="007C32CE">
        <w:t>гистрированные в нарушение положений Факультативного протокола, будут рассматриваться государством-участником как несовместимые с Факультати</w:t>
      </w:r>
      <w:r w:rsidRPr="007C32CE">
        <w:t>в</w:t>
      </w:r>
      <w:r w:rsidRPr="007C32CE">
        <w:t>ным протоколом и отклоняться без комментариев по поводу их приемлемости или существа. Государство-участник утверждает, что решения, принятые Ком</w:t>
      </w:r>
      <w:r w:rsidRPr="007C32CE">
        <w:t>и</w:t>
      </w:r>
      <w:r w:rsidRPr="007C32CE">
        <w:t>тетом по таким отклоненным сообщениям</w:t>
      </w:r>
      <w:r w:rsidR="000A03EE">
        <w:t>,</w:t>
      </w:r>
      <w:r w:rsidRPr="007C32CE">
        <w:t xml:space="preserve"> будут рассматриваться его властями как недейств</w:t>
      </w:r>
      <w:r w:rsidRPr="007C32CE">
        <w:t>и</w:t>
      </w:r>
      <w:r w:rsidRPr="007C32CE">
        <w:t>тельные.</w:t>
      </w:r>
    </w:p>
    <w:p w:rsidR="003E5BB9" w:rsidRPr="007C32CE" w:rsidRDefault="003E5BB9" w:rsidP="00BF6889">
      <w:pPr>
        <w:pStyle w:val="H23GR"/>
      </w:pPr>
      <w:r w:rsidRPr="007C32CE">
        <w:tab/>
      </w:r>
      <w:r w:rsidRPr="007C32CE">
        <w:tab/>
        <w:t>Вопросы и процедура их рассмотрения Комитетом</w:t>
      </w:r>
    </w:p>
    <w:p w:rsidR="003E5BB9" w:rsidRPr="007C32CE" w:rsidRDefault="003E5BB9" w:rsidP="00BF6889">
      <w:pPr>
        <w:pStyle w:val="H4GR"/>
        <w:spacing w:before="240"/>
      </w:pPr>
      <w:r w:rsidRPr="007C32CE">
        <w:tab/>
      </w:r>
      <w:r w:rsidRPr="007C32CE">
        <w:tab/>
        <w:t>Отказ государства-участника от сотрудничества</w:t>
      </w:r>
    </w:p>
    <w:p w:rsidR="003E5BB9" w:rsidRPr="007C32CE" w:rsidRDefault="003E5BB9" w:rsidP="00BF6889">
      <w:pPr>
        <w:pStyle w:val="SingleTxtGR"/>
      </w:pPr>
      <w:r w:rsidRPr="007C32CE">
        <w:t>5.1</w:t>
      </w:r>
      <w:r w:rsidRPr="007C32CE">
        <w:tab/>
        <w:t>Комитет принимает к сведению заявления государства-участника о том, что не существует правовых оснований для рассмотрения сообщения автора, так как оно было зарегистрировано в нарушение статьи 1 Факультативного пр</w:t>
      </w:r>
      <w:r w:rsidRPr="007C32CE">
        <w:t>о</w:t>
      </w:r>
      <w:r w:rsidRPr="007C32CE">
        <w:t>токола в связи с тем, что автор не исчерпал всех доступных внутренних средств правовой защиты; что оно не обязано признавать правила процедуры Комитета или толкование положений Факультативного протокола; и что решение, к</w:t>
      </w:r>
      <w:r w:rsidRPr="007C32CE">
        <w:t>о</w:t>
      </w:r>
      <w:r w:rsidRPr="007C32CE">
        <w:t>торое будет принято Комитетом по данному сообщению, будет рассматриваться его</w:t>
      </w:r>
      <w:r w:rsidR="00BF6889">
        <w:t xml:space="preserve"> властями как недействительное.</w:t>
      </w:r>
    </w:p>
    <w:p w:rsidR="003E5BB9" w:rsidRPr="007C32CE" w:rsidRDefault="003E5BB9" w:rsidP="00BF6889">
      <w:pPr>
        <w:pStyle w:val="SingleTxtGR"/>
      </w:pPr>
      <w:r w:rsidRPr="007C32CE">
        <w:t>5.2</w:t>
      </w:r>
      <w:r w:rsidRPr="007C32CE">
        <w:tab/>
        <w:t>Комитет напоминает, что в соответствии с пунктом 2 статьи 39 Междун</w:t>
      </w:r>
      <w:r w:rsidRPr="007C32CE">
        <w:t>а</w:t>
      </w:r>
      <w:r w:rsidRPr="007C32CE">
        <w:t>родного пакта о гражданских и политических правах ему разрешено устанавл</w:t>
      </w:r>
      <w:r w:rsidRPr="007C32CE">
        <w:t>и</w:t>
      </w:r>
      <w:r w:rsidRPr="007C32CE">
        <w:t>вать свои собственные правила процедуры, которые государства-участники с</w:t>
      </w:r>
      <w:r w:rsidRPr="007C32CE">
        <w:t>о</w:t>
      </w:r>
      <w:r w:rsidRPr="007C32CE">
        <w:t>гласились признать. Присоединившись к Факультативному протоколу, госуда</w:t>
      </w:r>
      <w:r w:rsidRPr="007C32CE">
        <w:t>р</w:t>
      </w:r>
      <w:r w:rsidRPr="007C32CE">
        <w:t>ство-участник Пакта признает компетенцию Комитета по правам человека п</w:t>
      </w:r>
      <w:r w:rsidRPr="007C32CE">
        <w:t>о</w:t>
      </w:r>
      <w:r w:rsidRPr="007C32CE">
        <w:t>лучать и рассматр</w:t>
      </w:r>
      <w:r w:rsidRPr="007C32CE">
        <w:t>и</w:t>
      </w:r>
      <w:r w:rsidRPr="007C32CE">
        <w:t>вать сообщения лиц, утверждающих, что они являются жертвами нарушений любых из прав человека, изложенных в Пакте (преамбула и статья 1). Из факта присоединения государства к Протоколу вытекает, что г</w:t>
      </w:r>
      <w:r w:rsidRPr="007C32CE">
        <w:t>о</w:t>
      </w:r>
      <w:r w:rsidRPr="007C32CE">
        <w:t>сударство принимает на себя обязательство добросовестно сотрудничать с К</w:t>
      </w:r>
      <w:r w:rsidRPr="007C32CE">
        <w:t>о</w:t>
      </w:r>
      <w:r w:rsidRPr="007C32CE">
        <w:t xml:space="preserve">митетом, с тем чтобы позволить ему и дать возможность рассматривать такие сообщения и после рассмотрения </w:t>
      </w:r>
      <w:r w:rsidR="000A03EE">
        <w:t>сообщить свои</w:t>
      </w:r>
      <w:r w:rsidRPr="007C32CE">
        <w:t xml:space="preserve"> соображения </w:t>
      </w:r>
      <w:r w:rsidR="000A03EE" w:rsidRPr="007C32CE">
        <w:t>соответству</w:t>
      </w:r>
      <w:r w:rsidR="000A03EE" w:rsidRPr="007C32CE">
        <w:t>ю</w:t>
      </w:r>
      <w:r w:rsidR="000A03EE" w:rsidRPr="007C32CE">
        <w:t xml:space="preserve">щему </w:t>
      </w:r>
      <w:r w:rsidRPr="007C32CE">
        <w:t>государству-участнику и лицу (пункты 1 и 4 статьи 5). Любые предпр</w:t>
      </w:r>
      <w:r w:rsidRPr="007C32CE">
        <w:t>и</w:t>
      </w:r>
      <w:r w:rsidRPr="007C32CE">
        <w:t>нимаемые государством-участником де</w:t>
      </w:r>
      <w:r w:rsidR="00742323">
        <w:t>йствия, препятствующие Комитету</w:t>
      </w:r>
      <w:r w:rsidR="00742323">
        <w:br/>
      </w:r>
      <w:r w:rsidRPr="007C32CE">
        <w:t>в рассмотрении и обсуждении сообщений, а также в направлении своих соо</w:t>
      </w:r>
      <w:r w:rsidRPr="007C32CE">
        <w:t>б</w:t>
      </w:r>
      <w:r w:rsidRPr="007C32CE">
        <w:t>ражений, являются несовместимыми с данными обязательствами</w:t>
      </w:r>
      <w:r w:rsidR="00742323">
        <w:rPr>
          <w:rStyle w:val="FootnoteReference"/>
        </w:rPr>
        <w:footnoteReference w:id="5"/>
      </w:r>
      <w:r w:rsidRPr="007C32CE">
        <w:t>. Комитет сам вправе определять, следует ли ему регистрировать то или иное сообщение. К</w:t>
      </w:r>
      <w:r w:rsidRPr="007C32CE">
        <w:t>о</w:t>
      </w:r>
      <w:r w:rsidRPr="007C32CE">
        <w:t>митет отмечает, что, не признавая компетенцию Комитета определять, следует ли зарегистрировать сообщение, и объявляя прямо, что оно не согласится с р</w:t>
      </w:r>
      <w:r w:rsidRPr="007C32CE">
        <w:t>е</w:t>
      </w:r>
      <w:r w:rsidRPr="007C32CE">
        <w:t>шением Комитета относительно приемлемости сообщений и их существа, гос</w:t>
      </w:r>
      <w:r w:rsidRPr="007C32CE">
        <w:t>у</w:t>
      </w:r>
      <w:r w:rsidRPr="007C32CE">
        <w:t>дарство-участник нарушает свои обязательства по статье 1 Фак</w:t>
      </w:r>
      <w:r w:rsidR="00BF6889">
        <w:t>ультативного протокола к Пакту.</w:t>
      </w:r>
    </w:p>
    <w:p w:rsidR="003E5BB9" w:rsidRPr="007C32CE" w:rsidRDefault="003E5BB9" w:rsidP="00BF6889">
      <w:pPr>
        <w:pStyle w:val="H4GR"/>
        <w:spacing w:before="240"/>
      </w:pPr>
      <w:r w:rsidRPr="007C32CE">
        <w:tab/>
      </w:r>
      <w:r w:rsidRPr="007C32CE">
        <w:tab/>
        <w:t>Рассмотрение вопроса о приемлемости</w:t>
      </w:r>
    </w:p>
    <w:p w:rsidR="003E5BB9" w:rsidRPr="007C32CE" w:rsidRDefault="003E5BB9" w:rsidP="00BF6889">
      <w:pPr>
        <w:pStyle w:val="SingleTxtGR"/>
      </w:pPr>
      <w:r w:rsidRPr="007C32CE">
        <w:t>6.1</w:t>
      </w:r>
      <w:r w:rsidRPr="007C32CE">
        <w:tab/>
        <w:t>Прежде чем рассматривать какое-либо утверждение, содержащееся в с</w:t>
      </w:r>
      <w:r w:rsidRPr="007C32CE">
        <w:t>о</w:t>
      </w:r>
      <w:r w:rsidRPr="007C32CE">
        <w:t xml:space="preserve">общении, Комитет по правам человека должен в соответствии с правилом 93 своих правил процедуры </w:t>
      </w:r>
      <w:r w:rsidR="000A03EE">
        <w:t>принять решение о том</w:t>
      </w:r>
      <w:r w:rsidRPr="007C32CE">
        <w:t xml:space="preserve">, является ли </w:t>
      </w:r>
      <w:r w:rsidR="005D3943">
        <w:t xml:space="preserve">данное </w:t>
      </w:r>
      <w:r w:rsidRPr="007C32CE">
        <w:t>сообщ</w:t>
      </w:r>
      <w:r w:rsidRPr="007C32CE">
        <w:t>е</w:t>
      </w:r>
      <w:r w:rsidRPr="007C32CE">
        <w:t>ние приемлемым в соответствии с Факультативным протоколом к Пакту.</w:t>
      </w:r>
    </w:p>
    <w:p w:rsidR="003E5BB9" w:rsidRPr="007C32CE" w:rsidRDefault="003E5BB9" w:rsidP="00BF6889">
      <w:pPr>
        <w:pStyle w:val="SingleTxtGR"/>
      </w:pPr>
      <w:r w:rsidRPr="007C32CE">
        <w:t>6.2</w:t>
      </w:r>
      <w:r w:rsidRPr="007C32CE">
        <w:tab/>
        <w:t>Комитет удостоверился, что этот же вопрос не рассматривается в соо</w:t>
      </w:r>
      <w:r w:rsidRPr="007C32CE">
        <w:t>т</w:t>
      </w:r>
      <w:r w:rsidRPr="007C32CE">
        <w:t>ветствии с другой процедурой международного разбирательства или урегул</w:t>
      </w:r>
      <w:r w:rsidRPr="007C32CE">
        <w:t>и</w:t>
      </w:r>
      <w:r w:rsidRPr="007C32CE">
        <w:t>рования, как это предусмотрено пунктом 2 а) статьи 5 Факультативного прот</w:t>
      </w:r>
      <w:r w:rsidRPr="007C32CE">
        <w:t>о</w:t>
      </w:r>
      <w:r w:rsidRPr="007C32CE">
        <w:t>кола.</w:t>
      </w:r>
    </w:p>
    <w:p w:rsidR="003E5BB9" w:rsidRPr="007C32CE" w:rsidRDefault="003E5BB9" w:rsidP="00BF6889">
      <w:pPr>
        <w:pStyle w:val="SingleTxtGR"/>
      </w:pPr>
      <w:r w:rsidRPr="007C32CE">
        <w:t>6.3</w:t>
      </w:r>
      <w:r w:rsidRPr="007C32CE">
        <w:tab/>
        <w:t xml:space="preserve">Комитет принимает к сведению </w:t>
      </w:r>
      <w:r w:rsidR="005D3943">
        <w:t>утверждение</w:t>
      </w:r>
      <w:r w:rsidRPr="007C32CE">
        <w:t xml:space="preserve"> государства-участника, </w:t>
      </w:r>
      <w:r w:rsidR="005D3943">
        <w:t>с</w:t>
      </w:r>
      <w:r w:rsidR="005D3943">
        <w:t>о</w:t>
      </w:r>
      <w:r w:rsidR="005D3943">
        <w:t>гласно которому</w:t>
      </w:r>
      <w:r w:rsidRPr="007C32CE">
        <w:t xml:space="preserve"> автор должен был ходатайствовать перед прокуратурой о н</w:t>
      </w:r>
      <w:r w:rsidRPr="007C32CE">
        <w:t>а</w:t>
      </w:r>
      <w:r w:rsidRPr="007C32CE">
        <w:t>значении пересмотра в порядке надзора решений национальных судов. Он та</w:t>
      </w:r>
      <w:r w:rsidRPr="007C32CE">
        <w:t>к</w:t>
      </w:r>
      <w:r w:rsidRPr="007C32CE">
        <w:t>же принимает к сведению</w:t>
      </w:r>
      <w:r w:rsidR="005D3943">
        <w:t xml:space="preserve"> тот факт</w:t>
      </w:r>
      <w:r w:rsidRPr="007C32CE">
        <w:t>, что ходатайство автора о назначении пер</w:t>
      </w:r>
      <w:r w:rsidRPr="007C32CE">
        <w:t>е</w:t>
      </w:r>
      <w:r w:rsidRPr="007C32CE">
        <w:t xml:space="preserve">смотра в порядке надзора перед Верховным судом было безуспешным. Комитет напоминает о </w:t>
      </w:r>
      <w:r w:rsidR="005D3943">
        <w:t>принимавшемся им решении, согласно которому</w:t>
      </w:r>
      <w:r w:rsidRPr="007C32CE">
        <w:t xml:space="preserve"> процедура пер</w:t>
      </w:r>
      <w:r w:rsidRPr="007C32CE">
        <w:t>е</w:t>
      </w:r>
      <w:r w:rsidRPr="007C32CE">
        <w:t>смотра в порядке надзора в Генеральной прокуратуре, допускающая пересмотр уже вступивших в силу судебных решений, не является средством правовой з</w:t>
      </w:r>
      <w:r w:rsidRPr="007C32CE">
        <w:t>а</w:t>
      </w:r>
      <w:r w:rsidRPr="007C32CE">
        <w:t>щиты, подлежащим исчерпанию для целей пункта 2 b) статьи 5 Факультативн</w:t>
      </w:r>
      <w:r w:rsidRPr="007C32CE">
        <w:t>о</w:t>
      </w:r>
      <w:r w:rsidRPr="007C32CE">
        <w:t>го протокола</w:t>
      </w:r>
      <w:r w:rsidR="00742323">
        <w:rPr>
          <w:rStyle w:val="FootnoteReference"/>
        </w:rPr>
        <w:footnoteReference w:id="6"/>
      </w:r>
      <w:r w:rsidRPr="007C32CE">
        <w:t>. В таких обстоятельствах Комитет считает, что пункт 2 b) статьи 5 Факультативного протокола не препятствует рассмотрению им этой части с</w:t>
      </w:r>
      <w:r w:rsidRPr="007C32CE">
        <w:t>о</w:t>
      </w:r>
      <w:r w:rsidRPr="007C32CE">
        <w:t>общения.</w:t>
      </w:r>
    </w:p>
    <w:p w:rsidR="003E5BB9" w:rsidRPr="007C32CE" w:rsidRDefault="003E5BB9" w:rsidP="00BF6889">
      <w:pPr>
        <w:pStyle w:val="SingleTxtGR"/>
      </w:pPr>
      <w:r w:rsidRPr="007C32CE">
        <w:t>6.4</w:t>
      </w:r>
      <w:r w:rsidRPr="007C32CE">
        <w:tab/>
        <w:t>Комитет считает, что автор сообщения в достаточной мере обосновал свое утверждение о наруш</w:t>
      </w:r>
      <w:r w:rsidRPr="007C32CE">
        <w:t>е</w:t>
      </w:r>
      <w:r w:rsidRPr="007C32CE">
        <w:t xml:space="preserve">нии его прав, предусмотренных в пункте 2 статьи 19 </w:t>
      </w:r>
      <w:r w:rsidR="00AD611A">
        <w:t xml:space="preserve">и в статье 22 </w:t>
      </w:r>
      <w:r w:rsidRPr="007C32CE">
        <w:t>Пакта, для целей приемлемости. Соответственно, он объявляет сообщение приемлемым и приступает к его рассмотрению по существу.</w:t>
      </w:r>
    </w:p>
    <w:p w:rsidR="003E5BB9" w:rsidRPr="007C32CE" w:rsidRDefault="003E5BB9" w:rsidP="00BF6889">
      <w:pPr>
        <w:pStyle w:val="H4GR"/>
        <w:spacing w:before="240"/>
      </w:pPr>
      <w:r w:rsidRPr="007C32CE">
        <w:tab/>
      </w:r>
      <w:r w:rsidRPr="007C32CE">
        <w:tab/>
        <w:t>Рассмотрение сообщения по существу</w:t>
      </w:r>
    </w:p>
    <w:p w:rsidR="003E5BB9" w:rsidRPr="007C32CE" w:rsidRDefault="003E5BB9" w:rsidP="00BF6889">
      <w:pPr>
        <w:pStyle w:val="SingleTxtGR"/>
      </w:pPr>
      <w:r w:rsidRPr="007C32CE">
        <w:t>7.1</w:t>
      </w:r>
      <w:r w:rsidRPr="007C32CE">
        <w:tab/>
        <w:t>Комитет по правам человека рассмотрел сообщение в свете всей инфо</w:t>
      </w:r>
      <w:r w:rsidRPr="007C32CE">
        <w:t>р</w:t>
      </w:r>
      <w:r w:rsidRPr="007C32CE">
        <w:t>мации, представленной ему сторонами, как это предусмотрено пунктом 1 ст</w:t>
      </w:r>
      <w:r w:rsidRPr="007C32CE">
        <w:t>а</w:t>
      </w:r>
      <w:r w:rsidRPr="007C32CE">
        <w:t>тьи 5 Факультативного протокола. Комитет отмеч</w:t>
      </w:r>
      <w:r w:rsidRPr="007C32CE">
        <w:t>а</w:t>
      </w:r>
      <w:r w:rsidRPr="007C32CE">
        <w:t xml:space="preserve">ет, что государство-участник не представило никаких </w:t>
      </w:r>
      <w:r w:rsidR="005D3943">
        <w:t>замечаний</w:t>
      </w:r>
      <w:r w:rsidRPr="007C32CE">
        <w:t xml:space="preserve"> по существу настоящего сообщения.</w:t>
      </w:r>
    </w:p>
    <w:p w:rsidR="003E5BB9" w:rsidRPr="007C32CE" w:rsidRDefault="003E5BB9" w:rsidP="00BF6889">
      <w:pPr>
        <w:pStyle w:val="SingleTxtGR"/>
      </w:pPr>
      <w:r w:rsidRPr="007C32CE">
        <w:t>7.2</w:t>
      </w:r>
      <w:r w:rsidRPr="007C32CE">
        <w:tab/>
        <w:t>Комитет отмечает утверждение автора о том, что его задержание и осу</w:t>
      </w:r>
      <w:r w:rsidRPr="007C32CE">
        <w:t>ж</w:t>
      </w:r>
      <w:r w:rsidRPr="007C32CE">
        <w:t>дение за участие в мирной демонстрации без предварительного разрешения представляют собой неоправданное ограничение его прав на свободное выр</w:t>
      </w:r>
      <w:r w:rsidRPr="007C32CE">
        <w:t>а</w:t>
      </w:r>
      <w:r w:rsidRPr="007C32CE">
        <w:t>жение мнений и на свободу собраний, которые защищаются в соответствии с пунктом 2 статьи 19 и со статьей 21 Пакта. Поэтому Комитет должен рассмо</w:t>
      </w:r>
      <w:r w:rsidRPr="007C32CE">
        <w:t>т</w:t>
      </w:r>
      <w:r w:rsidRPr="007C32CE">
        <w:t>реть вопрос о том, являются ли установленные в отношении прав автора соо</w:t>
      </w:r>
      <w:r w:rsidRPr="007C32CE">
        <w:t>б</w:t>
      </w:r>
      <w:r w:rsidRPr="007C32CE">
        <w:t>щения ограничения, о которых говорится в данном сообщении, обоснованными с точки зрения любого из критериев, изложенных в пункте 3 статьи 19 и во вт</w:t>
      </w:r>
      <w:r w:rsidRPr="007C32CE">
        <w:t>о</w:t>
      </w:r>
      <w:r w:rsidR="005D3943">
        <w:t>рой</w:t>
      </w:r>
      <w:r w:rsidRPr="007C32CE">
        <w:t xml:space="preserve"> </w:t>
      </w:r>
      <w:r w:rsidR="005D3943">
        <w:t>фразе</w:t>
      </w:r>
      <w:r w:rsidRPr="007C32CE">
        <w:t xml:space="preserve"> статьи 21 Пакта.</w:t>
      </w:r>
    </w:p>
    <w:p w:rsidR="003E5BB9" w:rsidRPr="007C32CE" w:rsidRDefault="003E5BB9" w:rsidP="00BF6889">
      <w:pPr>
        <w:pStyle w:val="SingleTxtGR"/>
      </w:pPr>
      <w:r w:rsidRPr="007C32CE">
        <w:t>7.3</w:t>
      </w:r>
      <w:r w:rsidRPr="007C32CE">
        <w:tab/>
        <w:t>Комитет напоминает о том, что свобода мнений и свобода их выражения являются неотъемлемыми условиями всестороннего развития личности; такие свободы имеют ключевое значение для любого общества и являются основоп</w:t>
      </w:r>
      <w:r w:rsidRPr="007C32CE">
        <w:t>о</w:t>
      </w:r>
      <w:r w:rsidRPr="007C32CE">
        <w:t>лагающими элементами любого свободного и демократического общес</w:t>
      </w:r>
      <w:r w:rsidRPr="007C32CE">
        <w:t>т</w:t>
      </w:r>
      <w:r w:rsidRPr="007C32CE">
        <w:t>ва</w:t>
      </w:r>
      <w:r w:rsidR="00742323">
        <w:rPr>
          <w:rStyle w:val="FootnoteReference"/>
        </w:rPr>
        <w:footnoteReference w:id="7"/>
      </w:r>
      <w:r w:rsidRPr="007C32CE">
        <w:t>. Эти свободы являются основой для полного осуществления широкого спектра др</w:t>
      </w:r>
      <w:r w:rsidRPr="007C32CE">
        <w:t>у</w:t>
      </w:r>
      <w:r w:rsidRPr="007C32CE">
        <w:t>гих прав человека и, в частности, являются неотъемлемой частью осуществл</w:t>
      </w:r>
      <w:r w:rsidRPr="007C32CE">
        <w:t>е</w:t>
      </w:r>
      <w:r w:rsidRPr="007C32CE">
        <w:t>ния права на свободу собраний</w:t>
      </w:r>
      <w:r w:rsidR="00742323">
        <w:rPr>
          <w:rStyle w:val="FootnoteReference"/>
        </w:rPr>
        <w:footnoteReference w:id="8"/>
      </w:r>
      <w:r w:rsidRPr="007C32CE">
        <w:t>. Комитет напоминает, что статья 19 предусма</w:t>
      </w:r>
      <w:r w:rsidRPr="007C32CE">
        <w:t>т</w:t>
      </w:r>
      <w:r w:rsidRPr="007C32CE">
        <w:t>ривает определенные ограничения, но только те из них, которые предусмотрены законом и необходимы: а) для уважения прав и репутации других лиц; и b) для охраны государственной безопасности</w:t>
      </w:r>
      <w:r w:rsidR="005D3943">
        <w:t>,</w:t>
      </w:r>
      <w:r w:rsidRPr="007C32CE">
        <w:t xml:space="preserve"> общественного порядка (ordre public), здоровья или нравстве</w:t>
      </w:r>
      <w:r w:rsidRPr="007C32CE">
        <w:t>н</w:t>
      </w:r>
      <w:r w:rsidRPr="007C32CE">
        <w:t>ности населения.</w:t>
      </w:r>
    </w:p>
    <w:p w:rsidR="003E5BB9" w:rsidRPr="007C32CE" w:rsidRDefault="003E5BB9" w:rsidP="00EF61E6">
      <w:pPr>
        <w:pStyle w:val="SingleTxtGR"/>
        <w:spacing w:after="100"/>
      </w:pPr>
      <w:r w:rsidRPr="007C32CE">
        <w:t>7.4</w:t>
      </w:r>
      <w:r w:rsidRPr="007C32CE">
        <w:tab/>
        <w:t>Комитет далее напоминает о том, что право на мирные собрания является одним из основных прав человека, имеющим чрезвычайно важное значение для публичного выражения мнений и убеждений и неотъемлемым в демократич</w:t>
      </w:r>
      <w:r w:rsidRPr="007C32CE">
        <w:t>е</w:t>
      </w:r>
      <w:r w:rsidRPr="007C32CE">
        <w:t>ском обществе</w:t>
      </w:r>
      <w:r w:rsidR="00742323">
        <w:rPr>
          <w:rStyle w:val="FootnoteReference"/>
        </w:rPr>
        <w:footnoteReference w:id="9"/>
      </w:r>
      <w:r w:rsidRPr="007C32CE">
        <w:t>. Это право предусматривает возможность участия в мирной д</w:t>
      </w:r>
      <w:r w:rsidRPr="007C32CE">
        <w:t>е</w:t>
      </w:r>
      <w:r w:rsidRPr="007C32CE">
        <w:t>монстрации с целью поддержки или осуждения того или иного дела. Огранич</w:t>
      </w:r>
      <w:r w:rsidRPr="007C32CE">
        <w:t>е</w:t>
      </w:r>
      <w:r w:rsidRPr="007C32CE">
        <w:t>ние этого права допустимо только в случаях, если оно соответствует законод</w:t>
      </w:r>
      <w:r w:rsidRPr="007C32CE">
        <w:t>а</w:t>
      </w:r>
      <w:r w:rsidRPr="007C32CE">
        <w:t>тельству и необходимо в демократическом обществе в интересах государстве</w:t>
      </w:r>
      <w:r w:rsidRPr="007C32CE">
        <w:t>н</w:t>
      </w:r>
      <w:r w:rsidRPr="007C32CE">
        <w:t>ной или общественной безопасности, общественного порядка, охр</w:t>
      </w:r>
      <w:r w:rsidRPr="007C32CE">
        <w:t>а</w:t>
      </w:r>
      <w:r w:rsidRPr="007C32CE">
        <w:t>ны здоровья и нравственности населения или защиты прав и свобод других лиц</w:t>
      </w:r>
      <w:r w:rsidR="00742323">
        <w:rPr>
          <w:rStyle w:val="FootnoteReference"/>
        </w:rPr>
        <w:footnoteReference w:id="10"/>
      </w:r>
      <w:r w:rsidRPr="007C32CE">
        <w:t>.</w:t>
      </w:r>
    </w:p>
    <w:p w:rsidR="003E5BB9" w:rsidRPr="007C32CE" w:rsidRDefault="003E5BB9" w:rsidP="00EF61E6">
      <w:pPr>
        <w:pStyle w:val="SingleTxtGR"/>
        <w:spacing w:after="100"/>
      </w:pPr>
      <w:r w:rsidRPr="007C32CE">
        <w:t>7.5</w:t>
      </w:r>
      <w:r w:rsidRPr="007C32CE">
        <w:tab/>
        <w:t>Комитет отмечает, что, когда государство вводит ограничение в отнош</w:t>
      </w:r>
      <w:r w:rsidRPr="007C32CE">
        <w:t>е</w:t>
      </w:r>
      <w:r w:rsidRPr="007C32CE">
        <w:t xml:space="preserve">нии прав, гарантированных Пактом, </w:t>
      </w:r>
      <w:r w:rsidR="005D3943">
        <w:t>оно</w:t>
      </w:r>
      <w:r w:rsidRPr="007C32CE">
        <w:t xml:space="preserve"> обязано доказать, что это ограничение необходимо в рассматриваемом случае. Любые ограничения на ос</w:t>
      </w:r>
      <w:r w:rsidRPr="007C32CE">
        <w:t>у</w:t>
      </w:r>
      <w:r w:rsidRPr="007C32CE">
        <w:t>ществление прав, предусмотренных в пункте 2 статьи 19 и в статье 21 Пакта, должны стр</w:t>
      </w:r>
      <w:r w:rsidRPr="007C32CE">
        <w:t>о</w:t>
      </w:r>
      <w:r w:rsidRPr="007C32CE">
        <w:t>го отвечать требованию необходимости и соразмерности и уст</w:t>
      </w:r>
      <w:r w:rsidRPr="007C32CE">
        <w:t>а</w:t>
      </w:r>
      <w:r w:rsidRPr="007C32CE">
        <w:t>навливаться лишь для тех целей, для которых они предназначены, и должны быть прямо связаны с конкретной целью, достижение которой они преслед</w:t>
      </w:r>
      <w:r w:rsidRPr="007C32CE">
        <w:t>у</w:t>
      </w:r>
      <w:r w:rsidRPr="007C32CE">
        <w:t>ют</w:t>
      </w:r>
      <w:r w:rsidR="00742323">
        <w:rPr>
          <w:rStyle w:val="FootnoteReference"/>
        </w:rPr>
        <w:footnoteReference w:id="11"/>
      </w:r>
      <w:r w:rsidRPr="007C32CE">
        <w:t>.</w:t>
      </w:r>
    </w:p>
    <w:p w:rsidR="003E5BB9" w:rsidRPr="007C32CE" w:rsidRDefault="003E5BB9" w:rsidP="00EF61E6">
      <w:pPr>
        <w:pStyle w:val="SingleTxtGR"/>
        <w:spacing w:after="100"/>
      </w:pPr>
      <w:r w:rsidRPr="007C32CE">
        <w:t>7.6</w:t>
      </w:r>
      <w:r w:rsidRPr="007C32CE">
        <w:tab/>
        <w:t>Комитет отмечает утверждения автора о том, что он был задержан и до</w:t>
      </w:r>
      <w:r w:rsidRPr="007C32CE">
        <w:t>с</w:t>
      </w:r>
      <w:r w:rsidRPr="007C32CE">
        <w:t>тавлен в полицейский участок за участие в мирной несанкционированной д</w:t>
      </w:r>
      <w:r w:rsidRPr="007C32CE">
        <w:t>е</w:t>
      </w:r>
      <w:r w:rsidRPr="007C32CE">
        <w:t>монстрации и за то, что он держал плакат с надписью "Прекратить убийства гомосексуалистов в Иране" перед зданием посольства Исламской Республики Иран в Минске. Позднее на него был наложен административный штраф за н</w:t>
      </w:r>
      <w:r w:rsidRPr="007C32CE">
        <w:t>а</w:t>
      </w:r>
      <w:r w:rsidRPr="007C32CE">
        <w:t>рушение пункта 1 статьи 23.34 Кодекса Республики Беларусь об администр</w:t>
      </w:r>
      <w:r w:rsidRPr="007C32CE">
        <w:t>а</w:t>
      </w:r>
      <w:r w:rsidRPr="007C32CE">
        <w:t>тивных правонарушениях.</w:t>
      </w:r>
    </w:p>
    <w:p w:rsidR="003E5BB9" w:rsidRPr="007C32CE" w:rsidRDefault="003E5BB9" w:rsidP="00EF61E6">
      <w:pPr>
        <w:pStyle w:val="SingleTxtGR"/>
        <w:spacing w:after="100"/>
      </w:pPr>
      <w:r w:rsidRPr="007C32CE">
        <w:t>7.7</w:t>
      </w:r>
      <w:r w:rsidRPr="007C32CE">
        <w:tab/>
        <w:t>Комитет отмечает утверждение автора о том, что он не мог запросить предварительное разрешение на участие в демонстрации в связи с жестким р</w:t>
      </w:r>
      <w:r w:rsidRPr="007C32CE">
        <w:t>е</w:t>
      </w:r>
      <w:r w:rsidRPr="007C32CE">
        <w:t>жимом закона "О массовых мероприятиях", налагающего необоснованные о</w:t>
      </w:r>
      <w:r w:rsidRPr="007C32CE">
        <w:t>г</w:t>
      </w:r>
      <w:r w:rsidRPr="007C32CE">
        <w:t>раничения на осуществление права, гарантируемого статьей 21 Пакта. В соо</w:t>
      </w:r>
      <w:r w:rsidRPr="007C32CE">
        <w:t>т</w:t>
      </w:r>
      <w:r w:rsidRPr="007C32CE">
        <w:t>ветствии со статьей 5 закона "О массовых мероприятиях" организаторы демо</w:t>
      </w:r>
      <w:r w:rsidRPr="007C32CE">
        <w:t>н</w:t>
      </w:r>
      <w:r w:rsidRPr="007C32CE">
        <w:t>страций обязаны заключить договор с Отделом внутренних дел районной адм</w:t>
      </w:r>
      <w:r w:rsidRPr="007C32CE">
        <w:t>и</w:t>
      </w:r>
      <w:r w:rsidRPr="007C32CE">
        <w:t>нистрации, с тем чтобы обеспечить во время демонстрации поддержание общ</w:t>
      </w:r>
      <w:r w:rsidRPr="007C32CE">
        <w:t>е</w:t>
      </w:r>
      <w:r w:rsidRPr="007C32CE">
        <w:t>ственного порядка; договор с управлением здравоохранения для обеспечения предоставления медицинской помощи; и договор с управлением жилищно-коммунального хозяйства об уборке территории после проведения меропри</w:t>
      </w:r>
      <w:r w:rsidRPr="007C32CE">
        <w:t>я</w:t>
      </w:r>
      <w:r w:rsidRPr="007C32CE">
        <w:t>тия. Комитет отмечает также оставшееся не опровергнутым утверждение автора о том, что проведение демонстраций также запрещается на рассто</w:t>
      </w:r>
      <w:r w:rsidRPr="007C32CE">
        <w:t>я</w:t>
      </w:r>
      <w:r w:rsidR="00BF6889">
        <w:t>нии менее</w:t>
      </w:r>
      <w:r w:rsidR="00BF6889">
        <w:br/>
      </w:r>
      <w:r w:rsidRPr="007C32CE">
        <w:t xml:space="preserve">50 метров от </w:t>
      </w:r>
      <w:r w:rsidR="005D3943" w:rsidRPr="007C32CE">
        <w:t xml:space="preserve">зданий </w:t>
      </w:r>
      <w:r w:rsidRPr="007C32CE">
        <w:t>дипломатических</w:t>
      </w:r>
      <w:r w:rsidR="005D3943">
        <w:t xml:space="preserve"> представительств</w:t>
      </w:r>
      <w:r w:rsidRPr="007C32CE">
        <w:t>.</w:t>
      </w:r>
    </w:p>
    <w:p w:rsidR="003E5BB9" w:rsidRPr="007C32CE" w:rsidRDefault="003E5BB9" w:rsidP="00EF61E6">
      <w:pPr>
        <w:pStyle w:val="SingleTxtGR"/>
        <w:spacing w:after="100"/>
      </w:pPr>
      <w:r w:rsidRPr="007C32CE">
        <w:t>7.8</w:t>
      </w:r>
      <w:r w:rsidRPr="007C32CE">
        <w:tab/>
        <w:t>Коми</w:t>
      </w:r>
      <w:r w:rsidR="00AD611A">
        <w:t>тет напоминает, что при введении</w:t>
      </w:r>
      <w:r w:rsidRPr="007C32CE">
        <w:t xml:space="preserve"> ограничений в отношении права на свободу мирных собраний государство-участник должно руководствоваться целью содействия осуществлению данного права, вместо того чтобы стремит</w:t>
      </w:r>
      <w:r w:rsidRPr="007C32CE">
        <w:t>ь</w:t>
      </w:r>
      <w:r w:rsidRPr="007C32CE">
        <w:t>ся избыточно или несоразмерно ограничить его</w:t>
      </w:r>
      <w:r w:rsidR="00742323">
        <w:rPr>
          <w:rStyle w:val="FootnoteReference"/>
        </w:rPr>
        <w:footnoteReference w:id="12"/>
      </w:r>
      <w:r w:rsidRPr="007C32CE">
        <w:t>. В этой связи Комитет отмеч</w:t>
      </w:r>
      <w:r w:rsidRPr="007C32CE">
        <w:t>а</w:t>
      </w:r>
      <w:r w:rsidRPr="007C32CE">
        <w:t>ет, что, хотя ограничения, введенные в случае автора, соответствовали закону, государство-участник не попыталось объяснить, почему такие ограничения б</w:t>
      </w:r>
      <w:r w:rsidRPr="007C32CE">
        <w:t>ы</w:t>
      </w:r>
      <w:r w:rsidRPr="007C32CE">
        <w:t>ли необходимыми и были ли он соразмерны одной из законных целей, изложе</w:t>
      </w:r>
      <w:r w:rsidRPr="007C32CE">
        <w:t>н</w:t>
      </w:r>
      <w:r w:rsidRPr="007C32CE">
        <w:t xml:space="preserve">ных </w:t>
      </w:r>
      <w:r w:rsidR="00CD7C02">
        <w:t>в пункте 3 статьи 19 и во второй</w:t>
      </w:r>
      <w:r w:rsidRPr="007C32CE">
        <w:t xml:space="preserve"> </w:t>
      </w:r>
      <w:r w:rsidR="00CD7C02">
        <w:t>фразе</w:t>
      </w:r>
      <w:r w:rsidRPr="007C32CE">
        <w:t xml:space="preserve"> статьи 21 Пакта. Не разъяснило г</w:t>
      </w:r>
      <w:r w:rsidRPr="007C32CE">
        <w:t>о</w:t>
      </w:r>
      <w:r w:rsidRPr="007C32CE">
        <w:t>сударство-участник и то, каким образом в данном случае участие автора в ми</w:t>
      </w:r>
      <w:r w:rsidRPr="007C32CE">
        <w:t>р</w:t>
      </w:r>
      <w:r w:rsidRPr="007C32CE">
        <w:t>ной демонстрации, в которой приняли участие лишь несколько лиц, могло на практике нарушить права и свободы других лиц или представлять угрозу для защиты общественной безопасности, общес</w:t>
      </w:r>
      <w:r w:rsidRPr="007C32CE">
        <w:t>т</w:t>
      </w:r>
      <w:r w:rsidRPr="007C32CE">
        <w:t>венного порядка, охраны здоровья и нравственности населения. Комитет отмечает, что, хотя обеспечение безопа</w:t>
      </w:r>
      <w:r w:rsidRPr="007C32CE">
        <w:t>с</w:t>
      </w:r>
      <w:r w:rsidRPr="007C32CE">
        <w:t>ности и охраны посольства иностранных государств может рассматриваться в качестве законной цели для ограничения права на мирные собрания, государс</w:t>
      </w:r>
      <w:r w:rsidRPr="007C32CE">
        <w:t>т</w:t>
      </w:r>
      <w:r w:rsidRPr="007C32CE">
        <w:t>во-участник должно обосновать, почему задержание автора и наложение на н</w:t>
      </w:r>
      <w:r w:rsidRPr="007C32CE">
        <w:t>е</w:t>
      </w:r>
      <w:r w:rsidRPr="007C32CE">
        <w:t>го административного штрафа были необходимы и соразмерны этой цели. П</w:t>
      </w:r>
      <w:r w:rsidRPr="007C32CE">
        <w:t>о</w:t>
      </w:r>
      <w:r w:rsidRPr="007C32CE">
        <w:t>этому с учетом отсутствия других относящихся к делу пояснений государства-участника Комитет полагает, что утверждениям автора следует уделить дол</w:t>
      </w:r>
      <w:r w:rsidRPr="007C32CE">
        <w:t>ж</w:t>
      </w:r>
      <w:r w:rsidRPr="007C32CE">
        <w:t>ное внимание.</w:t>
      </w:r>
    </w:p>
    <w:p w:rsidR="003E5BB9" w:rsidRPr="007C32CE" w:rsidRDefault="003E5BB9" w:rsidP="00EF61E6">
      <w:pPr>
        <w:pStyle w:val="SingleTxtGR"/>
        <w:spacing w:after="100"/>
      </w:pPr>
      <w:r w:rsidRPr="007C32CE">
        <w:t>7.9</w:t>
      </w:r>
      <w:r w:rsidRPr="007C32CE">
        <w:tab/>
        <w:t>Комитет отмечает, что автора задержали и наложили на него администр</w:t>
      </w:r>
      <w:r w:rsidRPr="007C32CE">
        <w:t>а</w:t>
      </w:r>
      <w:r w:rsidRPr="007C32CE">
        <w:t>тивный штраф в соответствии с пунктом 1 статьи 23.34 Кодекса Республики Б</w:t>
      </w:r>
      <w:r w:rsidRPr="007C32CE">
        <w:t>е</w:t>
      </w:r>
      <w:r w:rsidRPr="007C32CE">
        <w:t>ларусь об административных правонарушениях за его участие в несанкцион</w:t>
      </w:r>
      <w:r w:rsidRPr="007C32CE">
        <w:t>и</w:t>
      </w:r>
      <w:r w:rsidRPr="007C32CE">
        <w:t>рованной демонстрации. Комитет отмечает, что государство-участник не пр</w:t>
      </w:r>
      <w:r w:rsidRPr="007C32CE">
        <w:t>о</w:t>
      </w:r>
      <w:r w:rsidRPr="007C32CE">
        <w:t>демонстрировало, что задержание автора и наложение на него штрафа, хотя и были произведены на основании закона, были необходимы и соразмерны для достижения одной из законных целей, изложенных в пункте 3 статьи 19 и во втором предложении статьи 21 Пакта. Поэтому Комитет делает вывод о том, что представленные ему факты свидетельствуют о нарушении государством-участником прав автора, закрепленных в пункте 2 статьи 19 и в статье 21 Пакта.</w:t>
      </w:r>
    </w:p>
    <w:p w:rsidR="003E5BB9" w:rsidRPr="007C32CE" w:rsidRDefault="003E5BB9" w:rsidP="00EF61E6">
      <w:pPr>
        <w:pStyle w:val="SingleTxtGR"/>
        <w:spacing w:after="100"/>
      </w:pPr>
      <w:r w:rsidRPr="007C32CE">
        <w:t>8.</w:t>
      </w:r>
      <w:r w:rsidRPr="007C32CE">
        <w:tab/>
      </w:r>
      <w:r w:rsidR="00CD7C02">
        <w:t>Д</w:t>
      </w:r>
      <w:r w:rsidRPr="007C32CE">
        <w:t>ействуя согласно пункту 4 статьи 5 Факультативного протокола к Ме</w:t>
      </w:r>
      <w:r w:rsidRPr="007C32CE">
        <w:t>ж</w:t>
      </w:r>
      <w:r w:rsidRPr="007C32CE">
        <w:t xml:space="preserve">дународному пакту о гражданских и политических правах, </w:t>
      </w:r>
      <w:r w:rsidR="00CD7C02" w:rsidRPr="007C32CE">
        <w:t>Комитет по пр</w:t>
      </w:r>
      <w:r w:rsidR="00CD7C02">
        <w:t>авам человека приходит к заключению о том</w:t>
      </w:r>
      <w:r w:rsidRPr="007C32CE">
        <w:t>, что государство-участник нарушило права автора, закрепленные в пункте 2 статьи 19 и в статье 21 П</w:t>
      </w:r>
      <w:r w:rsidR="00BF6889">
        <w:t>акта.</w:t>
      </w:r>
    </w:p>
    <w:p w:rsidR="003E5BB9" w:rsidRPr="007C32CE" w:rsidRDefault="003E5BB9" w:rsidP="00EF61E6">
      <w:pPr>
        <w:pStyle w:val="SingleTxtGR"/>
        <w:spacing w:after="100"/>
      </w:pPr>
      <w:r w:rsidRPr="007C32CE">
        <w:t>9.</w:t>
      </w:r>
      <w:r w:rsidRPr="007C32CE">
        <w:tab/>
        <w:t>В соответствии с пунктом 3 a) статьи 2 Пакта государство-участник об</w:t>
      </w:r>
      <w:r w:rsidRPr="007C32CE">
        <w:t>я</w:t>
      </w:r>
      <w:r w:rsidRPr="007C32CE">
        <w:t xml:space="preserve">зано обеспечить автору эффективное средство правовой защиты, а также </w:t>
      </w:r>
      <w:r w:rsidR="00CD7C02">
        <w:t>на</w:t>
      </w:r>
      <w:r w:rsidR="00CD7C02">
        <w:t>д</w:t>
      </w:r>
      <w:r w:rsidR="00CD7C02">
        <w:t>лежащую</w:t>
      </w:r>
      <w:r w:rsidRPr="007C32CE">
        <w:t xml:space="preserve"> компенсацию и возмещение штрафа, наложенного на автора в поря</w:t>
      </w:r>
      <w:r w:rsidRPr="007C32CE">
        <w:t>д</w:t>
      </w:r>
      <w:r w:rsidRPr="007C32CE">
        <w:t>ке административного судопроизводства. Государство-участник должно также принять меры для предотвращения аналогичных нарушений в будущем. В этой связи Комитет повторяет, что государству-участнику следует пересмотреть свое законодательство, в особенности закон "О массовых мероприятиях" от 30 д</w:t>
      </w:r>
      <w:r w:rsidRPr="007C32CE">
        <w:t>е</w:t>
      </w:r>
      <w:r w:rsidRPr="007C32CE">
        <w:t>кабря 1997 года, как он был применен в настоящем деле, с целью обеспечить, чтобы в государстве-участнике можно было в полной мере пользоваться прав</w:t>
      </w:r>
      <w:r w:rsidRPr="007C32CE">
        <w:t>а</w:t>
      </w:r>
      <w:r w:rsidRPr="007C32CE">
        <w:t>ми по статьям 19 и 21 Пакта</w:t>
      </w:r>
      <w:r w:rsidR="00EF61E6">
        <w:rPr>
          <w:rStyle w:val="FootnoteReference"/>
        </w:rPr>
        <w:footnoteReference w:id="13"/>
      </w:r>
      <w:r w:rsidR="00BF6889">
        <w:t>.</w:t>
      </w:r>
    </w:p>
    <w:p w:rsidR="003E5BB9" w:rsidRDefault="003E5BB9" w:rsidP="00EF61E6">
      <w:pPr>
        <w:pStyle w:val="SingleTxtGR"/>
        <w:spacing w:after="0"/>
      </w:pPr>
      <w:r w:rsidRPr="007C32CE">
        <w:t>10.</w:t>
      </w:r>
      <w:r w:rsidRPr="007C32CE">
        <w:tab/>
        <w:t>Присоединившись к Факультативному протоколу, государство-участник признало компетенцию Комитета определять наличие или отсутствие наруш</w:t>
      </w:r>
      <w:r w:rsidRPr="007C32CE">
        <w:t>е</w:t>
      </w:r>
      <w:r w:rsidRPr="007C32CE">
        <w:t>ния Пакта. В соответствии со статьей 2 Пакта государство-участник обязано обеспечить всем находящимся в пределах его территории и под его юрисдикц</w:t>
      </w:r>
      <w:r w:rsidRPr="007C32CE">
        <w:t>и</w:t>
      </w:r>
      <w:r w:rsidRPr="007C32CE">
        <w:t xml:space="preserve">ей лицам права, признаваемые в Пакте, и </w:t>
      </w:r>
      <w:r w:rsidR="00CD7C02">
        <w:t>предоставить</w:t>
      </w:r>
      <w:r w:rsidRPr="007C32CE">
        <w:t xml:space="preserve"> эффективные и </w:t>
      </w:r>
      <w:r w:rsidR="00CD7C02">
        <w:t>обесп</w:t>
      </w:r>
      <w:r w:rsidR="00CD7C02">
        <w:t>е</w:t>
      </w:r>
      <w:r w:rsidR="00CD7C02">
        <w:t>чиваемые правовыми санкциями</w:t>
      </w:r>
      <w:r w:rsidRPr="007C32CE">
        <w:t xml:space="preserve"> средства правовой защиты в случае устано</w:t>
      </w:r>
      <w:r w:rsidRPr="007C32CE">
        <w:t>в</w:t>
      </w:r>
      <w:r w:rsidRPr="007C32CE">
        <w:t>ления факта нарушения. Поэтому Комитет просит государство-участник пр</w:t>
      </w:r>
      <w:r w:rsidRPr="007C32CE">
        <w:t>е</w:t>
      </w:r>
      <w:r w:rsidRPr="007C32CE">
        <w:t>доставить в течение 180 дней информацию о мерах, принятых во исполнение настоящих Соображений Комитета. Кроме того, он просит государство-участник опубликовать настоящие Соображения и обеспечить их широкое ра</w:t>
      </w:r>
      <w:r w:rsidRPr="007C32CE">
        <w:t>с</w:t>
      </w:r>
      <w:r w:rsidRPr="007C32CE">
        <w:t>пространение на белорусском и ру</w:t>
      </w:r>
      <w:r w:rsidRPr="007C32CE">
        <w:t>с</w:t>
      </w:r>
      <w:r w:rsidRPr="007C32CE">
        <w:t>ском языках в государстве-участнике</w:t>
      </w:r>
      <w:r w:rsidR="00BF6889">
        <w:t>.</w:t>
      </w:r>
    </w:p>
    <w:p w:rsidR="00BF6889" w:rsidRPr="000E69B0" w:rsidRDefault="000E69B0" w:rsidP="000E69B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6889" w:rsidRPr="000E69B0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02" w:rsidRDefault="00E41602">
      <w:r>
        <w:rPr>
          <w:lang w:val="en-US"/>
        </w:rPr>
        <w:tab/>
      </w:r>
      <w:r>
        <w:separator/>
      </w:r>
    </w:p>
  </w:endnote>
  <w:endnote w:type="continuationSeparator" w:id="0">
    <w:p w:rsidR="00E41602" w:rsidRDefault="00E4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26" w:rsidRPr="005F0588" w:rsidRDefault="00F0442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31A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GE.14-22857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26" w:rsidRPr="005F0588" w:rsidRDefault="00F04426">
    <w:pPr>
      <w:pStyle w:val="Footer"/>
      <w:rPr>
        <w:lang w:val="en-US"/>
      </w:rPr>
    </w:pPr>
    <w:r>
      <w:rPr>
        <w:lang w:val="en-US"/>
      </w:rPr>
      <w:t>GE.14-22857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31A4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F04426" w:rsidTr="00611264">
      <w:trPr>
        <w:trHeight w:val="438"/>
      </w:trPr>
      <w:tc>
        <w:tcPr>
          <w:tcW w:w="4068" w:type="dxa"/>
          <w:vAlign w:val="bottom"/>
        </w:tcPr>
        <w:p w:rsidR="00F04426" w:rsidRDefault="00F04426" w:rsidP="00611264">
          <w:r>
            <w:rPr>
              <w:lang w:val="en-US"/>
            </w:rPr>
            <w:t>GE.14-22857  (R)  171214  181214</w:t>
          </w:r>
        </w:p>
      </w:tc>
      <w:tc>
        <w:tcPr>
          <w:tcW w:w="4663" w:type="dxa"/>
          <w:vMerge w:val="restart"/>
          <w:vAlign w:val="bottom"/>
        </w:tcPr>
        <w:p w:rsidR="00F04426" w:rsidRDefault="00F04426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F04426" w:rsidRDefault="00F04426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11&amp;Size=2&amp;Lang=R"/>
              </v:shape>
            </w:pict>
          </w:r>
        </w:p>
      </w:tc>
    </w:tr>
    <w:tr w:rsidR="00F04426" w:rsidRPr="00797A78" w:rsidTr="00611264">
      <w:tc>
        <w:tcPr>
          <w:tcW w:w="4068" w:type="dxa"/>
          <w:vAlign w:val="bottom"/>
        </w:tcPr>
        <w:p w:rsidR="00F04426" w:rsidRPr="00201064" w:rsidRDefault="00F04426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010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010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010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010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010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010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010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010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010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F04426" w:rsidRDefault="00F04426" w:rsidP="00611264"/>
      </w:tc>
      <w:tc>
        <w:tcPr>
          <w:tcW w:w="1124" w:type="dxa"/>
          <w:vMerge/>
        </w:tcPr>
        <w:p w:rsidR="00F04426" w:rsidRDefault="00F04426" w:rsidP="00611264"/>
      </w:tc>
    </w:tr>
  </w:tbl>
  <w:p w:rsidR="00F04426" w:rsidRDefault="00F04426" w:rsidP="00381289">
    <w:pPr>
      <w:spacing w:line="240" w:lineRule="auto"/>
      <w:rPr>
        <w:sz w:val="2"/>
        <w:szCs w:val="2"/>
        <w:lang w:val="en-US"/>
      </w:rPr>
    </w:pPr>
  </w:p>
  <w:p w:rsidR="00F04426" w:rsidRPr="002D7E3C" w:rsidRDefault="00F04426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F04426" w:rsidRDefault="00F04426" w:rsidP="006E7AF7">
                <w:pPr>
                  <w:rPr>
                    <w:lang w:val="en-US"/>
                  </w:rPr>
                </w:pPr>
              </w:p>
              <w:p w:rsidR="00F04426" w:rsidRDefault="00F04426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431A4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02" w:rsidRPr="00F71F63" w:rsidRDefault="00E4160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41602" w:rsidRPr="00F71F63" w:rsidRDefault="00E4160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41602" w:rsidRPr="00635E86" w:rsidRDefault="00E41602" w:rsidP="00635E86">
      <w:pPr>
        <w:pStyle w:val="Footer"/>
      </w:pPr>
    </w:p>
  </w:footnote>
  <w:footnote w:id="1">
    <w:p w:rsidR="00F04426" w:rsidRPr="00A840BF" w:rsidRDefault="00F04426">
      <w:pPr>
        <w:pStyle w:val="FootnoteText"/>
        <w:rPr>
          <w:lang w:val="ru-RU"/>
        </w:rPr>
      </w:pPr>
      <w:r>
        <w:rPr>
          <w:lang w:val="ru-RU"/>
        </w:rPr>
        <w:tab/>
      </w:r>
      <w:r w:rsidRPr="00A840BF">
        <w:rPr>
          <w:rStyle w:val="FootnoteReference"/>
          <w:vertAlign w:val="baseline"/>
          <w:lang w:val="ru-RU"/>
        </w:rPr>
        <w:t>*</w:t>
      </w:r>
      <w:r>
        <w:rPr>
          <w:lang w:val="ru-RU"/>
        </w:rPr>
        <w:tab/>
      </w:r>
      <w:r w:rsidRPr="00A840BF">
        <w:rPr>
          <w:rStyle w:val="FootnoteReference"/>
          <w:szCs w:val="18"/>
          <w:vertAlign w:val="baseline"/>
          <w:lang w:val="ru-RU"/>
        </w:rPr>
        <w:t>В рассмотрении настоящего сообщения принимали участие следующие члены Комитета: Ядх Бен Ашур, Лазхари Бузид, Кристина Шане, Корнелис Флинтерман, Юдзи Ивасава, Вальтер Келин, Джеральд Л. Нойман, сэр Найджел</w:t>
      </w:r>
      <w:r>
        <w:rPr>
          <w:rStyle w:val="FootnoteReference"/>
          <w:szCs w:val="18"/>
          <w:vertAlign w:val="baseline"/>
          <w:lang w:val="ru-RU"/>
        </w:rPr>
        <w:t xml:space="preserve"> Родли, Виктор Мануэль Родригес</w:t>
      </w:r>
      <w:r>
        <w:rPr>
          <w:rStyle w:val="FootnoteReference"/>
          <w:szCs w:val="18"/>
          <w:vertAlign w:val="baseline"/>
          <w:lang w:val="en-US"/>
        </w:rPr>
        <w:t>-</w:t>
      </w:r>
      <w:r w:rsidRPr="00A840BF">
        <w:rPr>
          <w:rStyle w:val="FootnoteReference"/>
          <w:szCs w:val="18"/>
          <w:vertAlign w:val="baseline"/>
          <w:lang w:val="ru-RU"/>
        </w:rPr>
        <w:t>Ресия, Фабиан Омар Сальвиоли, Деерулалл Сеетулсингх, Юваль Шани, Константин Вардзелашвили, Марго Ватервал</w:t>
      </w:r>
      <w:r>
        <w:rPr>
          <w:rStyle w:val="FootnoteReference"/>
          <w:szCs w:val="18"/>
          <w:vertAlign w:val="baseline"/>
          <w:lang w:val="ru-RU"/>
        </w:rPr>
        <w:t xml:space="preserve"> и Андрей Паул Злэ</w:t>
      </w:r>
      <w:r w:rsidRPr="00A840BF">
        <w:rPr>
          <w:rStyle w:val="FootnoteReference"/>
          <w:szCs w:val="18"/>
          <w:vertAlign w:val="baseline"/>
          <w:lang w:val="ru-RU"/>
        </w:rPr>
        <w:t>теску.</w:t>
      </w:r>
    </w:p>
  </w:footnote>
  <w:footnote w:id="2">
    <w:p w:rsidR="00F04426" w:rsidRPr="00237100" w:rsidRDefault="00F0442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37100">
        <w:rPr>
          <w:lang w:val="ru-RU"/>
        </w:rPr>
        <w:tab/>
      </w:r>
      <w:r>
        <w:rPr>
          <w:lang w:val="ru-RU"/>
        </w:rPr>
        <w:t>В соответствии с пунктом 1 статьи 23.34 Кодекса Республики Беларусь об административных правонарушениях нарушение установленного порядка проведения собрания, митинга, уличного шествия, демонстрации, иного массового мероприятия или пикетирования влекут предупреждение, или наложение штрафа в размере до десяти базовых величин, или административный арест.</w:t>
      </w:r>
    </w:p>
  </w:footnote>
  <w:footnote w:id="3">
    <w:p w:rsidR="00F04426" w:rsidRPr="00237100" w:rsidRDefault="00F0442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37100">
        <w:rPr>
          <w:lang w:val="ru-RU"/>
        </w:rPr>
        <w:tab/>
      </w:r>
      <w:r w:rsidRPr="00160860">
        <w:rPr>
          <w:lang w:val="ru-RU"/>
        </w:rPr>
        <w:t xml:space="preserve">Сообщение № 1022/2001, </w:t>
      </w:r>
      <w:r w:rsidRPr="003F7DC5">
        <w:rPr>
          <w:i/>
          <w:iCs/>
          <w:lang w:val="ru-RU"/>
        </w:rPr>
        <w:t>Величкин против Беларуси</w:t>
      </w:r>
      <w:r>
        <w:rPr>
          <w:lang w:val="ru-RU"/>
        </w:rPr>
        <w:t>, Соображения, принятые</w:t>
      </w:r>
      <w:r w:rsidRPr="00046A3F">
        <w:rPr>
          <w:lang w:val="ru-RU"/>
        </w:rPr>
        <w:br/>
      </w:r>
      <w:r w:rsidRPr="00160860">
        <w:rPr>
          <w:lang w:val="ru-RU"/>
        </w:rPr>
        <w:t>20 октября 2005 года, пункт 7.2.</w:t>
      </w:r>
    </w:p>
  </w:footnote>
  <w:footnote w:id="4">
    <w:p w:rsidR="00F04426" w:rsidRPr="00237100" w:rsidRDefault="00F04426">
      <w:pPr>
        <w:pStyle w:val="FootnoteText"/>
        <w:rPr>
          <w:lang w:val="ru-RU"/>
        </w:rPr>
      </w:pPr>
      <w:r w:rsidRPr="00046A3F">
        <w:rPr>
          <w:lang w:val="ru-RU"/>
        </w:rPr>
        <w:tab/>
      </w:r>
      <w:r>
        <w:rPr>
          <w:rStyle w:val="FootnoteReference"/>
        </w:rPr>
        <w:footnoteRef/>
      </w:r>
      <w:r w:rsidRPr="00237100">
        <w:rPr>
          <w:lang w:val="ru-RU"/>
        </w:rPr>
        <w:tab/>
      </w:r>
      <w:r w:rsidRPr="00160860">
        <w:rPr>
          <w:lang w:val="ru-RU"/>
        </w:rPr>
        <w:t xml:space="preserve">Сообщение № 628/1995, </w:t>
      </w:r>
      <w:r w:rsidRPr="00A06640">
        <w:rPr>
          <w:i/>
          <w:iCs/>
          <w:lang w:val="ru-RU"/>
        </w:rPr>
        <w:t>Дэ Хун Пак против Республики Корея</w:t>
      </w:r>
      <w:r w:rsidRPr="00160860">
        <w:rPr>
          <w:lang w:val="ru-RU"/>
        </w:rPr>
        <w:t>, Соображения, принятые 20</w:t>
      </w:r>
      <w:r>
        <w:rPr>
          <w:lang w:val="ru-RU"/>
        </w:rPr>
        <w:t xml:space="preserve"> октября 1998 года, пункт 10.4.</w:t>
      </w:r>
    </w:p>
  </w:footnote>
  <w:footnote w:id="5">
    <w:p w:rsidR="00F04426" w:rsidRPr="00742323" w:rsidRDefault="00F0442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42323">
        <w:rPr>
          <w:lang w:val="ru-RU"/>
        </w:rPr>
        <w:tab/>
      </w:r>
      <w:r>
        <w:rPr>
          <w:lang w:val="ru-RU"/>
        </w:rPr>
        <w:t xml:space="preserve">См., в частности, сообщения № </w:t>
      </w:r>
      <w:r w:rsidRPr="00160860">
        <w:rPr>
          <w:lang w:val="ru-RU"/>
        </w:rPr>
        <w:t>1867</w:t>
      </w:r>
      <w:r>
        <w:rPr>
          <w:lang w:val="ru-RU"/>
        </w:rPr>
        <w:t>/2009, 1936/</w:t>
      </w:r>
      <w:r w:rsidRPr="00160860">
        <w:rPr>
          <w:lang w:val="ru-RU"/>
        </w:rPr>
        <w:t>2010, 1975</w:t>
      </w:r>
      <w:r>
        <w:rPr>
          <w:lang w:val="ru-RU"/>
        </w:rPr>
        <w:t>/2010, 1977/</w:t>
      </w:r>
      <w:r w:rsidRPr="00160860">
        <w:rPr>
          <w:lang w:val="ru-RU"/>
        </w:rPr>
        <w:t>2010, 1978</w:t>
      </w:r>
      <w:r>
        <w:rPr>
          <w:lang w:val="ru-RU"/>
        </w:rPr>
        <w:t>/2010, 1979/</w:t>
      </w:r>
      <w:r w:rsidRPr="00160860">
        <w:rPr>
          <w:lang w:val="ru-RU"/>
        </w:rPr>
        <w:t>2010, 1980</w:t>
      </w:r>
      <w:r>
        <w:rPr>
          <w:lang w:val="ru-RU"/>
        </w:rPr>
        <w:t>/2010, 1981/2010</w:t>
      </w:r>
      <w:r w:rsidRPr="00160860">
        <w:rPr>
          <w:lang w:val="ru-RU"/>
        </w:rPr>
        <w:t xml:space="preserve"> и 2010/2010, </w:t>
      </w:r>
      <w:r w:rsidRPr="00701B49">
        <w:rPr>
          <w:i/>
          <w:iCs/>
          <w:lang w:val="ru-RU"/>
        </w:rPr>
        <w:t>Павел Левинов против Беларуси</w:t>
      </w:r>
      <w:r w:rsidRPr="00160860">
        <w:rPr>
          <w:lang w:val="ru-RU"/>
        </w:rPr>
        <w:t xml:space="preserve">, Соображения, принятые 19 июля 2012 года, пункт 8.2; и сообщение № 869/1999, </w:t>
      </w:r>
      <w:r w:rsidRPr="00701B49">
        <w:rPr>
          <w:i/>
          <w:iCs/>
          <w:lang w:val="ru-RU"/>
        </w:rPr>
        <w:t>Пиандионг и др. против Филиппин</w:t>
      </w:r>
      <w:r w:rsidRPr="00160860">
        <w:rPr>
          <w:lang w:val="ru-RU"/>
        </w:rPr>
        <w:t>, Соображения, принятые 1</w:t>
      </w:r>
      <w:r>
        <w:rPr>
          <w:lang w:val="ru-RU"/>
        </w:rPr>
        <w:t>9 октября 2000 года, пункт 5.1.</w:t>
      </w:r>
    </w:p>
  </w:footnote>
  <w:footnote w:id="6">
    <w:p w:rsidR="00F04426" w:rsidRPr="00742323" w:rsidRDefault="00F04426">
      <w:pPr>
        <w:pStyle w:val="FootnoteText"/>
        <w:rPr>
          <w:lang w:val="ru-RU"/>
        </w:rPr>
      </w:pPr>
      <w:r w:rsidRPr="00201064">
        <w:rPr>
          <w:lang w:val="ru-RU"/>
        </w:rPr>
        <w:tab/>
      </w:r>
      <w:r>
        <w:rPr>
          <w:rStyle w:val="FootnoteReference"/>
        </w:rPr>
        <w:footnoteRef/>
      </w:r>
      <w:r w:rsidRPr="00742323">
        <w:rPr>
          <w:lang w:val="ru-RU"/>
        </w:rPr>
        <w:tab/>
      </w:r>
      <w:r>
        <w:rPr>
          <w:color w:val="000000"/>
          <w:szCs w:val="18"/>
          <w:lang w:val="ru-RU"/>
        </w:rPr>
        <w:t xml:space="preserve">См., например, сообщения № 1785/2008, </w:t>
      </w:r>
      <w:r w:rsidRPr="005B5270">
        <w:rPr>
          <w:i/>
          <w:iCs/>
          <w:color w:val="000000"/>
          <w:szCs w:val="18"/>
          <w:lang w:val="ru-RU"/>
        </w:rPr>
        <w:t>Олешкевич против Беларуси</w:t>
      </w:r>
      <w:r>
        <w:rPr>
          <w:color w:val="000000"/>
          <w:szCs w:val="18"/>
          <w:lang w:val="ru-RU"/>
        </w:rPr>
        <w:t xml:space="preserve">, Соображения, принятые 18 марта 2013 года, пункт 7.3; № 1784/2008, </w:t>
      </w:r>
      <w:r w:rsidRPr="005B5270">
        <w:rPr>
          <w:i/>
          <w:iCs/>
          <w:color w:val="000000"/>
          <w:szCs w:val="18"/>
          <w:lang w:val="ru-RU"/>
        </w:rPr>
        <w:t>Шумилин против Беларуси</w:t>
      </w:r>
      <w:r>
        <w:rPr>
          <w:color w:val="000000"/>
          <w:szCs w:val="18"/>
          <w:lang w:val="ru-RU"/>
        </w:rPr>
        <w:t xml:space="preserve">, Соображения, принятые 23 июля 2012 года, пункт 8.3; № 1814/2008, </w:t>
      </w:r>
      <w:r>
        <w:rPr>
          <w:i/>
          <w:iCs/>
          <w:color w:val="000000"/>
          <w:szCs w:val="18"/>
          <w:lang w:val="ru-RU"/>
        </w:rPr>
        <w:t>П.</w:t>
      </w:r>
      <w:r w:rsidRPr="005B5270">
        <w:rPr>
          <w:i/>
          <w:iCs/>
          <w:color w:val="000000"/>
          <w:szCs w:val="18"/>
          <w:lang w:val="ru-RU"/>
        </w:rPr>
        <w:t>Л. против Беларуси</w:t>
      </w:r>
      <w:r>
        <w:rPr>
          <w:color w:val="000000"/>
          <w:szCs w:val="18"/>
          <w:lang w:val="ru-RU"/>
        </w:rPr>
        <w:t>, решение о неприемлемости, принятое 26 июля 2011 года, пункт 6.2;</w:t>
      </w:r>
      <w:r>
        <w:rPr>
          <w:color w:val="000000"/>
          <w:szCs w:val="18"/>
          <w:lang w:val="ru-RU"/>
        </w:rPr>
        <w:br/>
        <w:t xml:space="preserve">№ 1839/2008, </w:t>
      </w:r>
      <w:r w:rsidRPr="005B5270">
        <w:rPr>
          <w:i/>
          <w:iCs/>
          <w:color w:val="000000"/>
          <w:szCs w:val="18"/>
          <w:lang w:val="ru-RU"/>
        </w:rPr>
        <w:t>Комаровский против Беларуси</w:t>
      </w:r>
      <w:r>
        <w:rPr>
          <w:color w:val="000000"/>
          <w:szCs w:val="18"/>
          <w:lang w:val="ru-RU"/>
        </w:rPr>
        <w:t>, Соображения, принятые 25 октября</w:t>
      </w:r>
      <w:r>
        <w:rPr>
          <w:color w:val="000000"/>
          <w:szCs w:val="18"/>
          <w:lang w:val="ru-RU"/>
        </w:rPr>
        <w:br/>
        <w:t xml:space="preserve">2013 года, пункт 8.3; и № 1903/2009, </w:t>
      </w:r>
      <w:r w:rsidRPr="005B5270">
        <w:rPr>
          <w:i/>
          <w:iCs/>
          <w:color w:val="000000"/>
          <w:szCs w:val="18"/>
          <w:lang w:val="ru-RU"/>
        </w:rPr>
        <w:t>Юбко против Беларуси</w:t>
      </w:r>
      <w:r>
        <w:rPr>
          <w:color w:val="000000"/>
          <w:szCs w:val="18"/>
          <w:lang w:val="ru-RU"/>
        </w:rPr>
        <w:t>, Соображения, принятые 17 марта 2014 года, пункт 8.3.</w:t>
      </w:r>
    </w:p>
  </w:footnote>
  <w:footnote w:id="7">
    <w:p w:rsidR="00F04426" w:rsidRPr="00742323" w:rsidRDefault="00F04426">
      <w:pPr>
        <w:pStyle w:val="FootnoteText"/>
        <w:rPr>
          <w:lang w:val="ru-RU"/>
        </w:rPr>
      </w:pPr>
      <w:r w:rsidRPr="00AD611A">
        <w:rPr>
          <w:lang w:val="ru-RU"/>
        </w:rPr>
        <w:tab/>
      </w:r>
      <w:r>
        <w:rPr>
          <w:rStyle w:val="FootnoteReference"/>
        </w:rPr>
        <w:footnoteRef/>
      </w:r>
      <w:r w:rsidRPr="00742323">
        <w:rPr>
          <w:lang w:val="ru-RU"/>
        </w:rPr>
        <w:tab/>
      </w:r>
      <w:r>
        <w:rPr>
          <w:lang w:val="ru-RU"/>
        </w:rPr>
        <w:t>См. замечание общего порядка Комитета № 34 (2011 год) по статье 19: свобода мнений и их выражения, пункт 2.</w:t>
      </w:r>
    </w:p>
  </w:footnote>
  <w:footnote w:id="8">
    <w:p w:rsidR="00F04426" w:rsidRPr="00742323" w:rsidRDefault="00F0442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Там же, пункт 4.</w:t>
      </w:r>
    </w:p>
  </w:footnote>
  <w:footnote w:id="9">
    <w:p w:rsidR="00F04426" w:rsidRPr="00742323" w:rsidRDefault="00F0442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42323">
        <w:rPr>
          <w:lang w:val="ru-RU"/>
        </w:rPr>
        <w:tab/>
      </w:r>
      <w:r>
        <w:rPr>
          <w:lang w:val="ru-RU"/>
        </w:rPr>
        <w:t xml:space="preserve">См. сообщение № 1948/2010, </w:t>
      </w:r>
      <w:r w:rsidRPr="00014C04">
        <w:rPr>
          <w:i/>
          <w:iCs/>
          <w:lang w:val="ru-RU"/>
        </w:rPr>
        <w:t>Турченяк и др. против Беларуси</w:t>
      </w:r>
      <w:r>
        <w:rPr>
          <w:lang w:val="ru-RU"/>
        </w:rPr>
        <w:t>, Соображения, принятые 24 июля 2013 года, пункт 7.4.</w:t>
      </w:r>
    </w:p>
  </w:footnote>
  <w:footnote w:id="10">
    <w:p w:rsidR="00F04426" w:rsidRPr="00742323" w:rsidRDefault="00F0442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160860">
        <w:rPr>
          <w:lang w:val="ru-RU"/>
        </w:rPr>
        <w:t>Там же.</w:t>
      </w:r>
    </w:p>
  </w:footnote>
  <w:footnote w:id="11">
    <w:p w:rsidR="00F04426" w:rsidRPr="00742323" w:rsidRDefault="00F0442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42323">
        <w:rPr>
          <w:lang w:val="ru-RU"/>
        </w:rPr>
        <w:tab/>
      </w:r>
      <w:r w:rsidRPr="0092052B">
        <w:rPr>
          <w:lang w:val="ru-RU"/>
        </w:rPr>
        <w:t xml:space="preserve">См. также замечание </w:t>
      </w:r>
      <w:r>
        <w:rPr>
          <w:lang w:val="ru-RU"/>
        </w:rPr>
        <w:t>общего порядка 34 (примечание 6</w:t>
      </w:r>
      <w:r w:rsidRPr="0092052B">
        <w:rPr>
          <w:lang w:val="ru-RU"/>
        </w:rPr>
        <w:t xml:space="preserve"> выше), пункт 22.</w:t>
      </w:r>
    </w:p>
  </w:footnote>
  <w:footnote w:id="12">
    <w:p w:rsidR="00F04426" w:rsidRPr="00742323" w:rsidRDefault="00F04426">
      <w:pPr>
        <w:pStyle w:val="FootnoteText"/>
        <w:rPr>
          <w:lang w:val="ru-RU"/>
        </w:rPr>
      </w:pPr>
      <w:r w:rsidRPr="00AD611A">
        <w:rPr>
          <w:lang w:val="ru-RU"/>
        </w:rPr>
        <w:tab/>
      </w:r>
      <w:r>
        <w:rPr>
          <w:rStyle w:val="FootnoteReference"/>
        </w:rPr>
        <w:footnoteRef/>
      </w:r>
      <w:r w:rsidRPr="00742323">
        <w:rPr>
          <w:lang w:val="ru-RU"/>
        </w:rPr>
        <w:tab/>
      </w:r>
      <w:r>
        <w:rPr>
          <w:lang w:val="ru-RU"/>
        </w:rPr>
        <w:t xml:space="preserve">См. </w:t>
      </w:r>
      <w:r w:rsidRPr="00014C04">
        <w:rPr>
          <w:i/>
          <w:iCs/>
          <w:lang w:val="ru-RU"/>
        </w:rPr>
        <w:t>Турченяк и др. против Беларуси</w:t>
      </w:r>
      <w:r>
        <w:rPr>
          <w:lang w:val="ru-RU"/>
        </w:rPr>
        <w:t xml:space="preserve"> (примечание 8 выше).</w:t>
      </w:r>
    </w:p>
  </w:footnote>
  <w:footnote w:id="13">
    <w:p w:rsidR="00F04426" w:rsidRPr="00EF61E6" w:rsidRDefault="00F04426">
      <w:pPr>
        <w:pStyle w:val="FootnoteText"/>
        <w:rPr>
          <w:lang w:val="ru-RU"/>
        </w:rPr>
      </w:pPr>
      <w:r w:rsidRPr="007C4541">
        <w:rPr>
          <w:lang w:val="ru-RU"/>
        </w:rPr>
        <w:tab/>
      </w:r>
      <w:r>
        <w:rPr>
          <w:rStyle w:val="FootnoteReference"/>
        </w:rPr>
        <w:footnoteRef/>
      </w:r>
      <w:r w:rsidRPr="00EF61E6">
        <w:rPr>
          <w:lang w:val="ru-RU"/>
        </w:rPr>
        <w:tab/>
      </w:r>
      <w:r w:rsidRPr="00160860">
        <w:rPr>
          <w:lang w:val="ru-RU"/>
        </w:rPr>
        <w:t xml:space="preserve">См., в частности, сообщения № 1851/2008, </w:t>
      </w:r>
      <w:r w:rsidRPr="009A4972">
        <w:rPr>
          <w:i/>
          <w:iCs/>
          <w:lang w:val="ru-RU"/>
        </w:rPr>
        <w:t>Секерко против Беларуси</w:t>
      </w:r>
      <w:r w:rsidRPr="00160860">
        <w:rPr>
          <w:lang w:val="ru-RU"/>
        </w:rPr>
        <w:t xml:space="preserve">, Соображения, принятые 28 октября 2013 года, пункт 11; 1948/2010, </w:t>
      </w:r>
      <w:r w:rsidRPr="009A4972">
        <w:rPr>
          <w:i/>
          <w:iCs/>
          <w:lang w:val="ru-RU"/>
        </w:rPr>
        <w:t>Турченяк и др. против Беларуси</w:t>
      </w:r>
      <w:r w:rsidRPr="00160860">
        <w:rPr>
          <w:lang w:val="ru-RU"/>
        </w:rPr>
        <w:t xml:space="preserve">, Соображения, принятые 24 июля 2013 года, пункт 9; 1790/2008, </w:t>
      </w:r>
      <w:r>
        <w:rPr>
          <w:i/>
          <w:iCs/>
          <w:lang w:val="ru-RU"/>
        </w:rPr>
        <w:t>Говша, Сирица</w:t>
      </w:r>
      <w:r w:rsidRPr="00674937">
        <w:rPr>
          <w:i/>
          <w:iCs/>
          <w:lang w:val="ru-RU"/>
        </w:rPr>
        <w:br/>
      </w:r>
      <w:r w:rsidRPr="009A4972">
        <w:rPr>
          <w:i/>
          <w:iCs/>
          <w:lang w:val="ru-RU"/>
        </w:rPr>
        <w:t>и Мезяк против Беларуси</w:t>
      </w:r>
      <w:r w:rsidRPr="00160860">
        <w:rPr>
          <w:lang w:val="ru-RU"/>
        </w:rPr>
        <w:t>, Соображения, принятые 27 июля 2012 года, пункт 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26" w:rsidRPr="00046A3F" w:rsidRDefault="00F04426" w:rsidP="00046A3F">
    <w:pPr>
      <w:pStyle w:val="Header"/>
      <w:rPr>
        <w:lang w:val="en-US"/>
      </w:rPr>
    </w:pPr>
    <w:r w:rsidRPr="00046A3F">
      <w:rPr>
        <w:lang w:val="en-US"/>
      </w:rPr>
      <w:t>CCPR/C/112/D/2029/2011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26" w:rsidRPr="00046A3F" w:rsidRDefault="00F04426">
    <w:pPr>
      <w:pStyle w:val="Header"/>
      <w:rPr>
        <w:lang w:val="en-US"/>
      </w:rPr>
    </w:pPr>
    <w:r>
      <w:rPr>
        <w:lang w:val="en-US"/>
      </w:rPr>
      <w:tab/>
    </w:r>
    <w:r w:rsidRPr="00046A3F">
      <w:rPr>
        <w:lang w:val="en-US"/>
      </w:rPr>
      <w:t>CCPR/C/112/D/2029/2011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7E7"/>
    <w:rsid w:val="000033D8"/>
    <w:rsid w:val="00005C1C"/>
    <w:rsid w:val="00016553"/>
    <w:rsid w:val="00022BAB"/>
    <w:rsid w:val="000233B3"/>
    <w:rsid w:val="00023E9E"/>
    <w:rsid w:val="00026B0C"/>
    <w:rsid w:val="0003638E"/>
    <w:rsid w:val="00036FF2"/>
    <w:rsid w:val="0004010A"/>
    <w:rsid w:val="00043D88"/>
    <w:rsid w:val="00046A3F"/>
    <w:rsid w:val="00046E4D"/>
    <w:rsid w:val="000548B0"/>
    <w:rsid w:val="0006401A"/>
    <w:rsid w:val="00072C27"/>
    <w:rsid w:val="00086182"/>
    <w:rsid w:val="00090891"/>
    <w:rsid w:val="00092E62"/>
    <w:rsid w:val="00097975"/>
    <w:rsid w:val="000A03EE"/>
    <w:rsid w:val="000A3DDF"/>
    <w:rsid w:val="000A60A0"/>
    <w:rsid w:val="000C3688"/>
    <w:rsid w:val="000D6863"/>
    <w:rsid w:val="000E69B0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064"/>
    <w:rsid w:val="002019BD"/>
    <w:rsid w:val="0020573D"/>
    <w:rsid w:val="00232D42"/>
    <w:rsid w:val="00237100"/>
    <w:rsid w:val="00237334"/>
    <w:rsid w:val="002444F4"/>
    <w:rsid w:val="002629A0"/>
    <w:rsid w:val="0028492B"/>
    <w:rsid w:val="00291C8F"/>
    <w:rsid w:val="002C5036"/>
    <w:rsid w:val="002C6A71"/>
    <w:rsid w:val="002C6D5F"/>
    <w:rsid w:val="002C76B3"/>
    <w:rsid w:val="002D15EA"/>
    <w:rsid w:val="002D6C07"/>
    <w:rsid w:val="002E0CE6"/>
    <w:rsid w:val="002E1163"/>
    <w:rsid w:val="002E43F3"/>
    <w:rsid w:val="00302A46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D5EBD"/>
    <w:rsid w:val="003E5BB9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03BA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550B7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D3943"/>
    <w:rsid w:val="005E74AB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74937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42323"/>
    <w:rsid w:val="0075279B"/>
    <w:rsid w:val="00753748"/>
    <w:rsid w:val="00762446"/>
    <w:rsid w:val="00781ACB"/>
    <w:rsid w:val="007A79EB"/>
    <w:rsid w:val="007C4541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47E7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31A4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840BF"/>
    <w:rsid w:val="00A92699"/>
    <w:rsid w:val="00AB5BF0"/>
    <w:rsid w:val="00AC1C95"/>
    <w:rsid w:val="00AC2CCB"/>
    <w:rsid w:val="00AC443A"/>
    <w:rsid w:val="00AD1B93"/>
    <w:rsid w:val="00AD611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BF6889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7C02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1602"/>
    <w:rsid w:val="00E46A04"/>
    <w:rsid w:val="00E548ED"/>
    <w:rsid w:val="00E57647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61E6"/>
    <w:rsid w:val="00EF7295"/>
    <w:rsid w:val="00F04426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1</TotalTime>
  <Pages>1</Pages>
  <Words>2650</Words>
  <Characters>17786</Characters>
  <Application>Microsoft Office Outlook</Application>
  <DocSecurity>4</DocSecurity>
  <Lines>355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1422857</vt:lpstr>
    </vt:vector>
  </TitlesOfParts>
  <Manager>Blokhin</Manager>
  <Company>CSD</Company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1422857</dc:title>
  <dc:subject>CCPR/C/112/D2029/2011</dc:subject>
  <dc:creator>Anna Kisseleva</dc:creator>
  <cp:keywords/>
  <dc:description>Final</dc:description>
  <cp:lastModifiedBy>Анна Киселева</cp:lastModifiedBy>
  <cp:revision>9</cp:revision>
  <cp:lastPrinted>2014-12-18T11:00:00Z</cp:lastPrinted>
  <dcterms:created xsi:type="dcterms:W3CDTF">2014-12-18T11:00:00Z</dcterms:created>
  <dcterms:modified xsi:type="dcterms:W3CDTF">2014-12-18T11:01:00Z</dcterms:modified>
</cp:coreProperties>
</file>