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B0881" w:rsidP="00EB0881">
            <w:pPr>
              <w:bidi w:val="0"/>
              <w:spacing w:after="20"/>
              <w:jc w:val="left"/>
              <w:rPr>
                <w:szCs w:val="20"/>
              </w:rPr>
            </w:pPr>
            <w:r w:rsidRPr="00EB0881">
              <w:rPr>
                <w:sz w:val="40"/>
                <w:szCs w:val="20"/>
              </w:rPr>
              <w:t>CCPR</w:t>
            </w:r>
            <w:r>
              <w:rPr>
                <w:szCs w:val="20"/>
              </w:rPr>
              <w:t>/C/111/D/2042/2011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B0881" w:rsidRDefault="00EB0881" w:rsidP="00EB0881">
            <w:pPr>
              <w:bidi w:val="0"/>
              <w:spacing w:before="240"/>
              <w:jc w:val="left"/>
            </w:pPr>
            <w:r>
              <w:t>Distr.: General</w:t>
            </w:r>
          </w:p>
          <w:p w:rsidR="00EB0881" w:rsidRDefault="00EB0881" w:rsidP="00EB0881">
            <w:pPr>
              <w:bidi w:val="0"/>
              <w:jc w:val="left"/>
            </w:pPr>
            <w:r>
              <w:t>26 August 2014</w:t>
            </w:r>
          </w:p>
          <w:p w:rsidR="00EB0881" w:rsidRDefault="00EB0881" w:rsidP="00EB0881">
            <w:pPr>
              <w:bidi w:val="0"/>
              <w:jc w:val="left"/>
            </w:pPr>
            <w:r>
              <w:t>Arabic</w:t>
            </w:r>
          </w:p>
          <w:p w:rsidR="00257225" w:rsidRPr="008B4BC6" w:rsidRDefault="00EB0881" w:rsidP="00EB0881">
            <w:pPr>
              <w:bidi w:val="0"/>
              <w:jc w:val="left"/>
            </w:pPr>
            <w:r>
              <w:t>Original: English</w:t>
            </w:r>
          </w:p>
        </w:tc>
      </w:tr>
    </w:tbl>
    <w:p w:rsidR="00EB0881" w:rsidRPr="00EB0881" w:rsidRDefault="00EB0881" w:rsidP="00657C8A">
      <w:pPr>
        <w:spacing w:before="120" w:line="380" w:lineRule="exact"/>
        <w:jc w:val="both"/>
        <w:textDirection w:val="tbRlV"/>
        <w:rPr>
          <w:rFonts w:cs="Times New Roman Bold"/>
          <w:b/>
          <w:bCs/>
          <w:sz w:val="30"/>
          <w:szCs w:val="36"/>
          <w:rtl/>
          <w:lang w:eastAsia="zh-TW"/>
        </w:rPr>
      </w:pPr>
      <w:r w:rsidRPr="00EB0881">
        <w:rPr>
          <w:b/>
          <w:bCs/>
          <w:sz w:val="30"/>
          <w:szCs w:val="36"/>
          <w:rtl/>
          <w:lang w:eastAsia="zh-TW"/>
        </w:rPr>
        <w:t>اللجنة المعنية بحقوق الإنسان</w:t>
      </w:r>
    </w:p>
    <w:p w:rsidR="00EB0881" w:rsidRPr="00FE018B" w:rsidRDefault="00EB0881" w:rsidP="00137410">
      <w:pPr>
        <w:pStyle w:val="HChGA"/>
        <w:rPr>
          <w:rFonts w:ascii="Traditional Arabic" w:hAnsi="Traditional Arabic" w:hint="cs"/>
          <w:rtl/>
          <w:lang w:eastAsia="zh-TW"/>
        </w:rPr>
      </w:pPr>
      <w:r>
        <w:rPr>
          <w:rFonts w:cs="Arial Unicode MS" w:hint="cs"/>
          <w:rtl/>
          <w:lang w:eastAsia="zh-TW"/>
        </w:rPr>
        <w:tab/>
      </w:r>
      <w:r>
        <w:rPr>
          <w:rFonts w:cs="Arial Unicode MS"/>
          <w:rtl/>
          <w:lang w:eastAsia="zh-TW"/>
        </w:rPr>
        <w:tab/>
      </w:r>
      <w:r w:rsidRPr="00FE018B">
        <w:rPr>
          <w:rtl/>
          <w:lang w:eastAsia="zh-TW"/>
        </w:rPr>
        <w:t>البلاغ رقم</w:t>
      </w:r>
      <w:r w:rsidRPr="00FE018B">
        <w:rPr>
          <w:rFonts w:ascii="Traditional Arabic" w:eastAsia="Arial Unicode MS" w:hAnsi="Traditional Arabic"/>
          <w:lang w:eastAsia="zh-TW"/>
        </w:rPr>
        <w:t xml:space="preserve"> </w:t>
      </w:r>
      <w:r>
        <w:rPr>
          <w:rtl/>
          <w:lang w:eastAsia="zh-TW"/>
        </w:rPr>
        <w:t>2042/2011</w:t>
      </w:r>
    </w:p>
    <w:p w:rsidR="00EB0881" w:rsidRPr="00FE018B" w:rsidRDefault="00EB0881" w:rsidP="00137410">
      <w:pPr>
        <w:pStyle w:val="H1GA"/>
        <w:rPr>
          <w:rFonts w:hint="cs"/>
          <w:i/>
          <w:iCs/>
          <w:rtl/>
          <w:lang w:eastAsia="zh-TW"/>
        </w:rPr>
      </w:pPr>
      <w:r w:rsidRPr="00FE018B">
        <w:rPr>
          <w:rtl/>
          <w:lang w:eastAsia="zh-TW"/>
        </w:rPr>
        <w:tab/>
      </w:r>
      <w:r w:rsidRPr="00FE018B">
        <w:rPr>
          <w:rtl/>
          <w:lang w:eastAsia="zh-TW"/>
        </w:rPr>
        <w:tab/>
        <w:t xml:space="preserve">قرار </w:t>
      </w:r>
      <w:r w:rsidRPr="00137410">
        <w:rPr>
          <w:szCs w:val="38"/>
          <w:rtl/>
          <w:lang w:eastAsia="zh-TW"/>
        </w:rPr>
        <w:t xml:space="preserve">اعتمدته </w:t>
      </w:r>
      <w:r>
        <w:rPr>
          <w:rtl/>
          <w:lang w:eastAsia="zh-TW"/>
        </w:rPr>
        <w:t>اللجنة في دورتها 111</w:t>
      </w:r>
      <w:r>
        <w:rPr>
          <w:rFonts w:hint="cs"/>
          <w:rtl/>
          <w:lang w:eastAsia="zh-TW"/>
        </w:rPr>
        <w:t xml:space="preserve"> </w:t>
      </w:r>
      <w:r w:rsidRPr="00FE018B">
        <w:rPr>
          <w:rtl/>
          <w:lang w:eastAsia="zh-TW"/>
        </w:rPr>
        <w:t>(</w:t>
      </w:r>
      <w:r>
        <w:rPr>
          <w:rtl/>
          <w:lang w:eastAsia="zh-TW"/>
        </w:rPr>
        <w:t>7</w:t>
      </w:r>
      <w:r w:rsidR="00137410">
        <w:rPr>
          <w:rFonts w:hint="cs"/>
          <w:rtl/>
          <w:lang w:eastAsia="zh-TW"/>
        </w:rPr>
        <w:t>-</w:t>
      </w:r>
      <w:r>
        <w:rPr>
          <w:rtl/>
          <w:lang w:eastAsia="zh-TW"/>
        </w:rPr>
        <w:t xml:space="preserve">25 </w:t>
      </w:r>
      <w:r w:rsidRPr="00FE018B">
        <w:rPr>
          <w:rtl/>
          <w:lang w:eastAsia="zh-TW"/>
        </w:rPr>
        <w:t>تموز</w:t>
      </w:r>
      <w:r w:rsidR="00137410">
        <w:rPr>
          <w:rFonts w:hint="cs"/>
          <w:rtl/>
          <w:lang w:eastAsia="zh-TW"/>
        </w:rPr>
        <w:t>/</w:t>
      </w:r>
      <w:r w:rsidRPr="00FE018B">
        <w:rPr>
          <w:rtl/>
          <w:lang w:eastAsia="zh-TW"/>
        </w:rPr>
        <w:t>يوليه ٢٠١٤)</w:t>
      </w:r>
    </w:p>
    <w:p w:rsidR="00EB0881" w:rsidRPr="00FE018B" w:rsidRDefault="00EB0881" w:rsidP="00471370">
      <w:pPr>
        <w:pStyle w:val="SingleTxtGA"/>
        <w:tabs>
          <w:tab w:val="clear" w:pos="1928"/>
          <w:tab w:val="clear" w:pos="4649"/>
          <w:tab w:val="left" w:pos="4332"/>
        </w:tabs>
        <w:spacing w:line="360" w:lineRule="exact"/>
        <w:ind w:left="4332" w:hanging="2404"/>
        <w:rPr>
          <w:rtl/>
          <w:lang w:eastAsia="zh-TW"/>
        </w:rPr>
      </w:pPr>
      <w:r w:rsidRPr="006D7647">
        <w:rPr>
          <w:i/>
          <w:iCs/>
          <w:rtl/>
          <w:lang w:eastAsia="zh-TW"/>
        </w:rPr>
        <w:t xml:space="preserve">المقدم من: </w:t>
      </w:r>
      <w:r w:rsidR="00657C8A">
        <w:rPr>
          <w:rFonts w:hint="cs"/>
          <w:i/>
          <w:iCs/>
          <w:rtl/>
          <w:lang w:eastAsia="zh-TW"/>
        </w:rPr>
        <w:tab/>
      </w:r>
      <w:r w:rsidR="00657C8A">
        <w:rPr>
          <w:rFonts w:hint="cs"/>
          <w:i/>
          <w:iCs/>
          <w:rtl/>
          <w:lang w:eastAsia="zh-TW"/>
        </w:rPr>
        <w:tab/>
      </w:r>
      <w:r>
        <w:rPr>
          <w:i/>
          <w:iCs/>
          <w:rtl/>
          <w:lang w:eastAsia="zh-TW"/>
        </w:rPr>
        <w:tab/>
      </w:r>
      <w:r w:rsidRPr="00FE018B">
        <w:rPr>
          <w:rtl/>
          <w:lang w:eastAsia="zh-TW"/>
        </w:rPr>
        <w:t xml:space="preserve">سورات دافود أوغلو حسينوف (يمثله المحامي إلدار زينالوف) </w:t>
      </w:r>
    </w:p>
    <w:p w:rsidR="00EB0881" w:rsidRPr="006D7647" w:rsidRDefault="00EB0881" w:rsidP="00137410">
      <w:pPr>
        <w:pStyle w:val="SingleTxtGA"/>
        <w:tabs>
          <w:tab w:val="clear" w:pos="1928"/>
          <w:tab w:val="clear" w:pos="4649"/>
          <w:tab w:val="left" w:pos="4332"/>
        </w:tabs>
        <w:ind w:left="4332" w:hanging="2404"/>
        <w:rPr>
          <w:rtl/>
          <w:lang w:eastAsia="zh-TW"/>
        </w:rPr>
      </w:pPr>
      <w:r w:rsidRPr="00657C8A">
        <w:rPr>
          <w:i/>
          <w:iCs/>
          <w:rtl/>
          <w:lang w:eastAsia="zh-TW"/>
        </w:rPr>
        <w:t>الشخص المدعى أنه ضحية:</w:t>
      </w:r>
      <w:r>
        <w:rPr>
          <w:rtl/>
          <w:lang w:eastAsia="zh-TW"/>
        </w:rPr>
        <w:tab/>
      </w:r>
      <w:r w:rsidRPr="00FE018B">
        <w:rPr>
          <w:rtl/>
          <w:lang w:eastAsia="zh-TW"/>
        </w:rPr>
        <w:t>صاحب البلاغ</w:t>
      </w:r>
      <w:r w:rsidRPr="006D7647">
        <w:rPr>
          <w:rtl/>
          <w:lang w:eastAsia="zh-TW"/>
        </w:rPr>
        <w:t xml:space="preserve"> </w:t>
      </w:r>
    </w:p>
    <w:p w:rsidR="00EB0881" w:rsidRPr="006D7647" w:rsidRDefault="00EB0881" w:rsidP="00137410">
      <w:pPr>
        <w:pStyle w:val="SingleTxtGA"/>
        <w:tabs>
          <w:tab w:val="clear" w:pos="1928"/>
          <w:tab w:val="clear" w:pos="4649"/>
          <w:tab w:val="left" w:pos="4332"/>
        </w:tabs>
        <w:ind w:left="4332" w:hanging="2404"/>
        <w:rPr>
          <w:rtl/>
          <w:lang w:eastAsia="zh-TW"/>
        </w:rPr>
      </w:pPr>
      <w:r w:rsidRPr="00657C8A">
        <w:rPr>
          <w:i/>
          <w:iCs/>
          <w:rtl/>
          <w:lang w:eastAsia="zh-TW"/>
        </w:rPr>
        <w:t>الدولة الطرف:</w:t>
      </w:r>
      <w:r w:rsidR="00657C8A" w:rsidRPr="00657C8A">
        <w:rPr>
          <w:rFonts w:hint="cs"/>
          <w:i/>
          <w:iCs/>
          <w:rtl/>
          <w:lang w:eastAsia="zh-TW"/>
        </w:rPr>
        <w:tab/>
      </w:r>
      <w:r w:rsidR="00657C8A">
        <w:rPr>
          <w:rFonts w:hint="cs"/>
          <w:rtl/>
          <w:lang w:eastAsia="zh-TW"/>
        </w:rPr>
        <w:tab/>
      </w:r>
      <w:r>
        <w:rPr>
          <w:rtl/>
          <w:lang w:eastAsia="zh-TW"/>
        </w:rPr>
        <w:tab/>
      </w:r>
      <w:r w:rsidRPr="00FE018B">
        <w:rPr>
          <w:rtl/>
          <w:lang w:eastAsia="zh-TW"/>
        </w:rPr>
        <w:t>أذربيجان</w:t>
      </w:r>
      <w:r w:rsidRPr="006D7647">
        <w:rPr>
          <w:rtl/>
          <w:lang w:eastAsia="zh-TW"/>
        </w:rPr>
        <w:t xml:space="preserve"> </w:t>
      </w:r>
      <w:smartTag w:uri="urn:schemas-microsoft-com:office:smarttags" w:element="place"/>
      <w:smartTag w:uri="urn:schemas-microsoft-com:office:smarttags" w:element="country-region"/>
    </w:p>
    <w:p w:rsidR="00EB0881" w:rsidRPr="00FE018B" w:rsidRDefault="00EB0881" w:rsidP="00137410">
      <w:pPr>
        <w:pStyle w:val="SingleTxtGA"/>
        <w:tabs>
          <w:tab w:val="clear" w:pos="1928"/>
          <w:tab w:val="clear" w:pos="4649"/>
          <w:tab w:val="left" w:pos="4332"/>
        </w:tabs>
        <w:ind w:left="4332" w:hanging="2404"/>
        <w:rPr>
          <w:rtl/>
          <w:lang w:eastAsia="zh-TW"/>
        </w:rPr>
      </w:pPr>
      <w:r w:rsidRPr="006D7647">
        <w:rPr>
          <w:i/>
          <w:iCs/>
          <w:rtl/>
          <w:lang w:eastAsia="zh-TW"/>
        </w:rPr>
        <w:t>تاريخ تقديم البلاغ:</w:t>
      </w:r>
      <w:r w:rsidR="00657C8A">
        <w:rPr>
          <w:rFonts w:hint="cs"/>
          <w:i/>
          <w:iCs/>
          <w:rtl/>
          <w:lang w:eastAsia="zh-TW"/>
        </w:rPr>
        <w:tab/>
      </w:r>
      <w:r w:rsidR="00657C8A">
        <w:rPr>
          <w:rFonts w:hint="cs"/>
          <w:i/>
          <w:iCs/>
          <w:rtl/>
          <w:lang w:eastAsia="zh-TW"/>
        </w:rPr>
        <w:tab/>
      </w:r>
      <w:r w:rsidRPr="00FE018B">
        <w:rPr>
          <w:rtl/>
          <w:lang w:eastAsia="zh-TW"/>
        </w:rPr>
        <w:t xml:space="preserve">5 تموز/يوليه 2010 (تاريخ الرسالة الأولى) </w:t>
      </w:r>
    </w:p>
    <w:p w:rsidR="00EB0881" w:rsidRPr="00FE018B" w:rsidRDefault="00EB0881" w:rsidP="00471370">
      <w:pPr>
        <w:pStyle w:val="SingleTxtGA"/>
        <w:tabs>
          <w:tab w:val="clear" w:pos="1928"/>
          <w:tab w:val="clear" w:pos="4649"/>
          <w:tab w:val="left" w:pos="4332"/>
        </w:tabs>
        <w:spacing w:line="360" w:lineRule="exact"/>
        <w:ind w:left="4332" w:hanging="2404"/>
        <w:rPr>
          <w:rtl/>
          <w:lang w:eastAsia="zh-TW"/>
        </w:rPr>
      </w:pPr>
      <w:r w:rsidRPr="006D7647">
        <w:rPr>
          <w:i/>
          <w:iCs/>
          <w:rtl/>
          <w:lang w:eastAsia="zh-TW"/>
        </w:rPr>
        <w:t>الوثائق المرجعية:</w:t>
      </w:r>
      <w:r w:rsidR="00657C8A">
        <w:rPr>
          <w:rFonts w:hint="cs"/>
          <w:i/>
          <w:iCs/>
          <w:rtl/>
          <w:lang w:eastAsia="zh-TW"/>
        </w:rPr>
        <w:tab/>
      </w:r>
      <w:r w:rsidR="00657C8A">
        <w:rPr>
          <w:rFonts w:hint="cs"/>
          <w:i/>
          <w:iCs/>
          <w:rtl/>
          <w:lang w:eastAsia="zh-TW"/>
        </w:rPr>
        <w:tab/>
      </w:r>
      <w:r>
        <w:rPr>
          <w:i/>
          <w:iCs/>
          <w:rtl/>
          <w:lang w:eastAsia="zh-TW"/>
        </w:rPr>
        <w:tab/>
      </w:r>
      <w:r w:rsidRPr="00FE018B">
        <w:rPr>
          <w:rtl/>
          <w:lang w:eastAsia="zh-TW"/>
        </w:rPr>
        <w:t>قرار المقرر الخاص بموجب المادة 97 الذي أحيل إلى</w:t>
      </w:r>
      <w:r w:rsidR="00137410">
        <w:rPr>
          <w:rFonts w:hint="cs"/>
          <w:rtl/>
          <w:lang w:eastAsia="zh-TW"/>
        </w:rPr>
        <w:t> </w:t>
      </w:r>
      <w:r w:rsidRPr="00FE018B">
        <w:rPr>
          <w:rtl/>
          <w:lang w:eastAsia="zh-TW"/>
        </w:rPr>
        <w:t>الدولة الطرف في ١٢ نيسان/أبريل ٢٠١١ (لم</w:t>
      </w:r>
      <w:r w:rsidR="00137410">
        <w:rPr>
          <w:rFonts w:hint="cs"/>
          <w:rtl/>
          <w:lang w:eastAsia="zh-TW"/>
        </w:rPr>
        <w:t> </w:t>
      </w:r>
      <w:r w:rsidRPr="00FE018B">
        <w:rPr>
          <w:rtl/>
          <w:lang w:eastAsia="zh-TW"/>
        </w:rPr>
        <w:t xml:space="preserve">يصدر في شكل وثيقة) </w:t>
      </w:r>
    </w:p>
    <w:p w:rsidR="00EB0881" w:rsidRPr="006D7647" w:rsidRDefault="00EB0881" w:rsidP="00137410">
      <w:pPr>
        <w:pStyle w:val="SingleTxtGA"/>
        <w:tabs>
          <w:tab w:val="clear" w:pos="1928"/>
          <w:tab w:val="clear" w:pos="4649"/>
          <w:tab w:val="left" w:pos="4332"/>
        </w:tabs>
        <w:ind w:left="4332" w:hanging="2404"/>
        <w:rPr>
          <w:rtl/>
          <w:lang w:eastAsia="zh-TW"/>
        </w:rPr>
      </w:pPr>
      <w:r w:rsidRPr="00657C8A">
        <w:rPr>
          <w:i/>
          <w:iCs/>
          <w:rtl/>
          <w:lang w:eastAsia="zh-TW"/>
        </w:rPr>
        <w:t>تاريخ اعتماد القرار:</w:t>
      </w:r>
      <w:r w:rsidRPr="006D7647">
        <w:rPr>
          <w:rtl/>
          <w:lang w:eastAsia="zh-TW"/>
        </w:rPr>
        <w:t xml:space="preserve"> </w:t>
      </w:r>
      <w:r>
        <w:rPr>
          <w:rtl/>
          <w:lang w:eastAsia="zh-TW"/>
        </w:rPr>
        <w:tab/>
      </w:r>
      <w:r w:rsidR="00657C8A">
        <w:rPr>
          <w:rFonts w:hint="cs"/>
          <w:rtl/>
          <w:lang w:eastAsia="zh-TW"/>
        </w:rPr>
        <w:tab/>
      </w:r>
      <w:r w:rsidRPr="00FE018B">
        <w:rPr>
          <w:rFonts w:hint="cs"/>
          <w:rtl/>
          <w:lang w:eastAsia="zh-TW"/>
        </w:rPr>
        <w:t>٢١</w:t>
      </w:r>
      <w:r w:rsidRPr="00FE018B">
        <w:rPr>
          <w:rtl/>
          <w:lang w:eastAsia="zh-TW"/>
        </w:rPr>
        <w:t xml:space="preserve"> تموز/يوليه ٢٠١٤</w:t>
      </w:r>
      <w:r w:rsidRPr="006D7647">
        <w:rPr>
          <w:rtl/>
          <w:lang w:eastAsia="zh-TW"/>
        </w:rPr>
        <w:t xml:space="preserve"> </w:t>
      </w:r>
    </w:p>
    <w:p w:rsidR="00EB0881" w:rsidRPr="003E033A" w:rsidRDefault="00EB0881" w:rsidP="00471370">
      <w:pPr>
        <w:pStyle w:val="SingleTxtGA"/>
        <w:tabs>
          <w:tab w:val="clear" w:pos="1928"/>
          <w:tab w:val="clear" w:pos="4649"/>
          <w:tab w:val="left" w:pos="4332"/>
        </w:tabs>
        <w:spacing w:line="360" w:lineRule="exact"/>
        <w:ind w:left="4332" w:hanging="2404"/>
        <w:rPr>
          <w:rtl/>
          <w:lang w:eastAsia="zh-TW"/>
        </w:rPr>
      </w:pPr>
      <w:r w:rsidRPr="006D7647">
        <w:rPr>
          <w:i/>
          <w:iCs/>
          <w:rtl/>
          <w:lang w:eastAsia="zh-TW"/>
        </w:rPr>
        <w:t>الموضوع:</w:t>
      </w:r>
      <w:r>
        <w:rPr>
          <w:i/>
          <w:iCs/>
          <w:rtl/>
          <w:lang w:eastAsia="zh-TW"/>
        </w:rPr>
        <w:tab/>
      </w:r>
      <w:r w:rsidR="00657C8A">
        <w:rPr>
          <w:rFonts w:hint="cs"/>
          <w:rtl/>
          <w:lang w:eastAsia="zh-TW"/>
        </w:rPr>
        <w:tab/>
      </w:r>
      <w:r w:rsidR="00657C8A">
        <w:rPr>
          <w:rFonts w:hint="cs"/>
          <w:rtl/>
          <w:lang w:eastAsia="zh-TW"/>
        </w:rPr>
        <w:tab/>
      </w:r>
      <w:r w:rsidRPr="003E033A">
        <w:rPr>
          <w:spacing w:val="-6"/>
          <w:rtl/>
          <w:lang w:eastAsia="zh-TW"/>
        </w:rPr>
        <w:t xml:space="preserve">التعذيب لانتزاع الاعترافات؛ عدم تكافؤ وسائل الدفاع أثناء المحاكمة؛ عقوبة أشد من تلك التي ينص </w:t>
      </w:r>
      <w:r w:rsidRPr="003E033A">
        <w:rPr>
          <w:rtl/>
          <w:lang w:eastAsia="zh-TW"/>
        </w:rPr>
        <w:t xml:space="preserve">عليها القانون؛ التمييز على أساس الرأي السياسي </w:t>
      </w:r>
    </w:p>
    <w:p w:rsidR="00EB0881" w:rsidRPr="00137410" w:rsidRDefault="00EB0881" w:rsidP="00137410">
      <w:pPr>
        <w:pStyle w:val="SingleTxtGA"/>
        <w:tabs>
          <w:tab w:val="clear" w:pos="1928"/>
          <w:tab w:val="clear" w:pos="4649"/>
          <w:tab w:val="left" w:pos="4332"/>
        </w:tabs>
        <w:ind w:left="4332" w:hanging="2404"/>
        <w:rPr>
          <w:i/>
          <w:iCs/>
          <w:spacing w:val="-4"/>
          <w:rtl/>
          <w:lang w:eastAsia="zh-TW"/>
        </w:rPr>
      </w:pPr>
      <w:r w:rsidRPr="00137410">
        <w:rPr>
          <w:i/>
          <w:iCs/>
          <w:spacing w:val="-4"/>
          <w:rtl/>
          <w:lang w:eastAsia="zh-TW"/>
        </w:rPr>
        <w:t>المسائل الموضوعية:</w:t>
      </w:r>
      <w:r w:rsidRPr="00137410">
        <w:rPr>
          <w:i/>
          <w:iCs/>
          <w:spacing w:val="-4"/>
          <w:rtl/>
          <w:lang w:eastAsia="zh-TW"/>
        </w:rPr>
        <w:tab/>
      </w:r>
      <w:r w:rsidR="00657C8A" w:rsidRPr="00137410">
        <w:rPr>
          <w:rFonts w:hint="cs"/>
          <w:spacing w:val="-4"/>
          <w:rtl/>
          <w:lang w:eastAsia="zh-TW"/>
        </w:rPr>
        <w:tab/>
      </w:r>
      <w:r w:rsidRPr="00137410">
        <w:rPr>
          <w:spacing w:val="-4"/>
          <w:rtl/>
          <w:lang w:eastAsia="zh-TW"/>
        </w:rPr>
        <w:t>التعذيب، وسوء المعاملة، والمحاكمة غير العادلة، والتمييز</w:t>
      </w:r>
      <w:r w:rsidRPr="00137410">
        <w:rPr>
          <w:i/>
          <w:iCs/>
          <w:spacing w:val="-4"/>
          <w:rtl/>
          <w:lang w:eastAsia="zh-TW"/>
        </w:rPr>
        <w:t xml:space="preserve"> </w:t>
      </w:r>
    </w:p>
    <w:p w:rsidR="00EB0881" w:rsidRPr="006D7647" w:rsidRDefault="00EB0881" w:rsidP="00471370">
      <w:pPr>
        <w:pStyle w:val="SingleTxtGA"/>
        <w:tabs>
          <w:tab w:val="clear" w:pos="1928"/>
          <w:tab w:val="clear" w:pos="4649"/>
          <w:tab w:val="left" w:pos="4332"/>
        </w:tabs>
        <w:spacing w:line="360" w:lineRule="exact"/>
        <w:ind w:left="4332" w:hanging="2404"/>
        <w:rPr>
          <w:rFonts w:hint="cs"/>
          <w:rtl/>
          <w:lang w:eastAsia="zh-TW"/>
        </w:rPr>
      </w:pPr>
      <w:r w:rsidRPr="006D7647">
        <w:rPr>
          <w:i/>
          <w:iCs/>
          <w:rtl/>
          <w:lang w:eastAsia="zh-TW"/>
        </w:rPr>
        <w:t>المسائل الإجرائية:</w:t>
      </w:r>
      <w:r w:rsidR="00657C8A">
        <w:rPr>
          <w:rFonts w:hint="cs"/>
          <w:i/>
          <w:iCs/>
          <w:rtl/>
          <w:lang w:eastAsia="zh-TW"/>
        </w:rPr>
        <w:tab/>
      </w:r>
      <w:r>
        <w:rPr>
          <w:i/>
          <w:iCs/>
          <w:rtl/>
          <w:lang w:eastAsia="zh-TW"/>
        </w:rPr>
        <w:tab/>
      </w:r>
      <w:r w:rsidR="00657C8A">
        <w:rPr>
          <w:rFonts w:hint="cs"/>
          <w:i/>
          <w:iCs/>
          <w:rtl/>
          <w:lang w:eastAsia="zh-TW"/>
        </w:rPr>
        <w:tab/>
      </w:r>
      <w:r w:rsidRPr="00942635">
        <w:rPr>
          <w:i/>
          <w:iCs/>
          <w:rtl/>
          <w:lang w:eastAsia="zh-TW"/>
        </w:rPr>
        <w:t>الاختصاص الزماني</w:t>
      </w:r>
      <w:r w:rsidRPr="00FE018B">
        <w:rPr>
          <w:rtl/>
          <w:lang w:eastAsia="zh-TW"/>
        </w:rPr>
        <w:t xml:space="preserve">، </w:t>
      </w:r>
      <w:r>
        <w:rPr>
          <w:rtl/>
          <w:lang w:eastAsia="zh-TW"/>
        </w:rPr>
        <w:t>و</w:t>
      </w:r>
      <w:r w:rsidRPr="00FE018B">
        <w:rPr>
          <w:rtl/>
          <w:lang w:eastAsia="zh-TW"/>
        </w:rPr>
        <w:t xml:space="preserve">عدم استنفاد سبل الانتصاف المحلية، </w:t>
      </w:r>
      <w:r>
        <w:rPr>
          <w:rtl/>
          <w:lang w:eastAsia="zh-TW"/>
        </w:rPr>
        <w:t>و</w:t>
      </w:r>
      <w:r w:rsidRPr="00FE018B">
        <w:rPr>
          <w:rtl/>
          <w:lang w:eastAsia="zh-TW"/>
        </w:rPr>
        <w:t>التوافق مع أحكام العهد</w:t>
      </w:r>
      <w:r w:rsidRPr="006D7647">
        <w:rPr>
          <w:i/>
          <w:iCs/>
          <w:rtl/>
          <w:lang w:eastAsia="zh-TW"/>
        </w:rPr>
        <w:t xml:space="preserve"> </w:t>
      </w:r>
    </w:p>
    <w:p w:rsidR="00EB0881" w:rsidRPr="00FE018B" w:rsidRDefault="00EB0881" w:rsidP="00137410">
      <w:pPr>
        <w:pStyle w:val="SingleTxtGA"/>
        <w:tabs>
          <w:tab w:val="clear" w:pos="1928"/>
          <w:tab w:val="clear" w:pos="4649"/>
          <w:tab w:val="left" w:pos="4332"/>
        </w:tabs>
        <w:ind w:left="4332" w:hanging="2404"/>
        <w:rPr>
          <w:rtl/>
          <w:lang w:eastAsia="zh-TW"/>
        </w:rPr>
      </w:pPr>
      <w:r w:rsidRPr="006D7647">
        <w:rPr>
          <w:i/>
          <w:iCs/>
          <w:rtl/>
          <w:lang w:eastAsia="zh-TW"/>
        </w:rPr>
        <w:t>مواد العهد:</w:t>
      </w:r>
      <w:r>
        <w:rPr>
          <w:i/>
          <w:iCs/>
          <w:rtl/>
          <w:lang w:eastAsia="zh-TW"/>
        </w:rPr>
        <w:tab/>
      </w:r>
      <w:r w:rsidR="00657C8A">
        <w:rPr>
          <w:rFonts w:hint="cs"/>
          <w:rtl/>
          <w:lang w:eastAsia="zh-TW"/>
        </w:rPr>
        <w:tab/>
      </w:r>
      <w:r w:rsidR="00657C8A">
        <w:rPr>
          <w:rFonts w:hint="cs"/>
          <w:rtl/>
          <w:lang w:eastAsia="zh-TW"/>
        </w:rPr>
        <w:tab/>
      </w:r>
      <w:r w:rsidR="008F5F9A">
        <w:rPr>
          <w:rtl/>
          <w:lang w:eastAsia="zh-TW"/>
        </w:rPr>
        <w:t>المواد 7 و10 و14 و</w:t>
      </w:r>
      <w:r w:rsidRPr="00FE018B">
        <w:rPr>
          <w:rtl/>
          <w:lang w:eastAsia="zh-TW"/>
        </w:rPr>
        <w:t xml:space="preserve">15 و26 </w:t>
      </w:r>
    </w:p>
    <w:p w:rsidR="00EB0881" w:rsidRDefault="00EB0881" w:rsidP="00137410">
      <w:pPr>
        <w:pStyle w:val="SingleTxtGA"/>
        <w:tabs>
          <w:tab w:val="clear" w:pos="1928"/>
        </w:tabs>
        <w:ind w:left="4599" w:hanging="2671"/>
        <w:rPr>
          <w:rtl/>
          <w:lang w:eastAsia="zh-TW"/>
        </w:rPr>
      </w:pPr>
      <w:r w:rsidRPr="006D7647">
        <w:rPr>
          <w:i/>
          <w:iCs/>
          <w:rtl/>
          <w:lang w:eastAsia="zh-TW"/>
        </w:rPr>
        <w:t>مواد البروتوكول الاختياري:</w:t>
      </w:r>
      <w:r>
        <w:rPr>
          <w:i/>
          <w:iCs/>
          <w:rtl/>
          <w:lang w:eastAsia="zh-TW"/>
        </w:rPr>
        <w:tab/>
      </w:r>
      <w:r w:rsidRPr="00FE018B">
        <w:rPr>
          <w:rtl/>
          <w:lang w:eastAsia="zh-TW"/>
        </w:rPr>
        <w:t xml:space="preserve">المواد 1 و3 و5 </w:t>
      </w:r>
      <w:r>
        <w:rPr>
          <w:rtl/>
          <w:lang w:eastAsia="zh-TW"/>
        </w:rPr>
        <w:t>(</w:t>
      </w:r>
      <w:r w:rsidRPr="00FE018B">
        <w:rPr>
          <w:rtl/>
          <w:lang w:eastAsia="zh-TW"/>
        </w:rPr>
        <w:t xml:space="preserve">الفقرة </w:t>
      </w:r>
      <w:r w:rsidR="003E033A">
        <w:rPr>
          <w:rtl/>
          <w:lang w:eastAsia="zh-TW"/>
        </w:rPr>
        <w:t>2</w:t>
      </w:r>
      <w:r w:rsidRPr="00FE018B">
        <w:rPr>
          <w:rtl/>
          <w:lang w:eastAsia="zh-TW"/>
        </w:rPr>
        <w:t>(ب)</w:t>
      </w:r>
      <w:r>
        <w:rPr>
          <w:rtl/>
          <w:lang w:eastAsia="zh-TW"/>
        </w:rPr>
        <w:t>)</w:t>
      </w:r>
      <w:r w:rsidRPr="00FE018B">
        <w:rPr>
          <w:rtl/>
          <w:lang w:eastAsia="zh-TW"/>
        </w:rPr>
        <w:t xml:space="preserve"> </w:t>
      </w:r>
    </w:p>
    <w:p w:rsidR="00EB0881" w:rsidRDefault="00EB0881" w:rsidP="00E04FDF">
      <w:pPr>
        <w:pStyle w:val="HChGA"/>
        <w:spacing w:before="120"/>
        <w:rPr>
          <w:rFonts w:hint="cs"/>
          <w:rtl/>
          <w:lang w:eastAsia="zh-TW"/>
        </w:rPr>
      </w:pPr>
      <w:r w:rsidRPr="003C6D36" w:rsidDel="00AE3CF4">
        <w:rPr>
          <w:rtl/>
          <w:lang w:eastAsia="zh-TW"/>
        </w:rPr>
        <w:t xml:space="preserve">المرفق </w:t>
      </w:r>
    </w:p>
    <w:p w:rsidR="00EB0881" w:rsidRPr="003C6D36" w:rsidRDefault="00EB0881" w:rsidP="00350710">
      <w:pPr>
        <w:pStyle w:val="HChGA"/>
        <w:rPr>
          <w:rtl/>
          <w:lang w:eastAsia="zh-TW"/>
        </w:rPr>
      </w:pPr>
      <w:r w:rsidRPr="003C6D36">
        <w:rPr>
          <w:rFonts w:cs="Arial Unicode MS"/>
          <w:rtl/>
          <w:lang w:eastAsia="zh-TW"/>
        </w:rPr>
        <w:tab/>
      </w:r>
      <w:r w:rsidRPr="003C6D36">
        <w:rPr>
          <w:rFonts w:cs="Arial Unicode MS"/>
          <w:rtl/>
          <w:lang w:eastAsia="zh-TW"/>
        </w:rPr>
        <w:tab/>
      </w:r>
      <w:r w:rsidRPr="003C6D36">
        <w:rPr>
          <w:rtl/>
          <w:lang w:eastAsia="zh-TW"/>
        </w:rPr>
        <w:t xml:space="preserve">قرار اللجنة المعنية بحقوق الإنسان بموجب البروتوكول الاختياري الملحق بالعهد الدولي الخاص بالحقوق المدنية والسياسية </w:t>
      </w:r>
      <w:r w:rsidRPr="0075240E">
        <w:rPr>
          <w:b w:val="0"/>
          <w:bCs w:val="0"/>
          <w:rtl/>
          <w:lang w:eastAsia="zh-TW"/>
        </w:rPr>
        <w:t>(الدورة 111)</w:t>
      </w:r>
      <w:r w:rsidRPr="003C6D36">
        <w:rPr>
          <w:rtl/>
          <w:lang w:eastAsia="zh-TW"/>
        </w:rPr>
        <w:t xml:space="preserve"> </w:t>
      </w:r>
    </w:p>
    <w:p w:rsidR="00EB0881" w:rsidRPr="006D7647" w:rsidRDefault="00EB0881" w:rsidP="0075240E">
      <w:pPr>
        <w:pStyle w:val="SingleTxtGA"/>
        <w:rPr>
          <w:rtl/>
          <w:lang w:eastAsia="zh-TW"/>
        </w:rPr>
      </w:pPr>
      <w:r w:rsidRPr="006D7647">
        <w:rPr>
          <w:rtl/>
          <w:lang w:eastAsia="zh-TW"/>
        </w:rPr>
        <w:t>بشأن</w:t>
      </w:r>
    </w:p>
    <w:p w:rsidR="00EB0881" w:rsidRPr="005039EB" w:rsidRDefault="0075240E" w:rsidP="0075240E">
      <w:pPr>
        <w:pStyle w:val="H1GA"/>
        <w:rPr>
          <w:rFonts w:hint="cs"/>
          <w:i/>
          <w:iCs/>
          <w:rtl/>
          <w:lang w:eastAsia="zh-TW"/>
        </w:rPr>
      </w:pPr>
      <w:r>
        <w:rPr>
          <w:rFonts w:cs="Arial Unicode MS" w:hint="cs"/>
          <w:rtl/>
          <w:lang w:eastAsia="zh-TW"/>
        </w:rPr>
        <w:tab/>
      </w:r>
      <w:r w:rsidR="00EB0881">
        <w:rPr>
          <w:rFonts w:cs="Arial Unicode MS"/>
          <w:rtl/>
          <w:lang w:eastAsia="zh-TW"/>
        </w:rPr>
        <w:tab/>
      </w:r>
      <w:r w:rsidR="00EB0881" w:rsidRPr="005039EB">
        <w:rPr>
          <w:rtl/>
          <w:lang w:eastAsia="zh-TW"/>
        </w:rPr>
        <w:t>البلاغ رقم</w:t>
      </w:r>
      <w:r>
        <w:rPr>
          <w:rFonts w:hint="cs"/>
          <w:rtl/>
          <w:lang w:eastAsia="zh-TW"/>
        </w:rPr>
        <w:t xml:space="preserve"> </w:t>
      </w:r>
      <w:r w:rsidR="00EB0881" w:rsidRPr="005039EB">
        <w:rPr>
          <w:rtl/>
          <w:lang w:eastAsia="zh-TW"/>
        </w:rPr>
        <w:t>2042/2011</w:t>
      </w:r>
      <w:r w:rsidRPr="00942635">
        <w:rPr>
          <w:rStyle w:val="FootnoteReference"/>
          <w:b/>
          <w:bCs w:val="0"/>
          <w:sz w:val="20"/>
          <w:vertAlign w:val="baseline"/>
          <w:rtl/>
          <w:lang w:eastAsia="zh-TW"/>
        </w:rPr>
        <w:footnoteReference w:customMarkFollows="1" w:id="1"/>
        <w:t>*</w:t>
      </w:r>
    </w:p>
    <w:p w:rsidR="00EB0881" w:rsidRPr="006D7647" w:rsidRDefault="00EB0881" w:rsidP="00E86DF1">
      <w:pPr>
        <w:pStyle w:val="SingleTxtGA"/>
        <w:tabs>
          <w:tab w:val="clear" w:pos="1928"/>
        </w:tabs>
        <w:spacing w:line="360" w:lineRule="exact"/>
        <w:ind w:left="4599" w:hanging="2671"/>
        <w:textDirection w:val="tbRlV"/>
        <w:rPr>
          <w:rtl/>
          <w:lang w:eastAsia="zh-TW"/>
        </w:rPr>
      </w:pPr>
      <w:r w:rsidRPr="006D7647">
        <w:rPr>
          <w:i/>
          <w:iCs/>
          <w:rtl/>
          <w:lang w:eastAsia="zh-TW"/>
        </w:rPr>
        <w:t>المقدم من:</w:t>
      </w:r>
      <w:r w:rsidR="00E86DF1">
        <w:rPr>
          <w:rFonts w:hint="cs"/>
          <w:i/>
          <w:iCs/>
          <w:rtl/>
          <w:lang w:eastAsia="zh-TW"/>
        </w:rPr>
        <w:tab/>
      </w:r>
      <w:r w:rsidR="00E86DF1">
        <w:rPr>
          <w:i/>
          <w:iCs/>
          <w:rtl/>
          <w:lang w:eastAsia="zh-TW"/>
        </w:rPr>
        <w:tab/>
      </w:r>
      <w:r>
        <w:rPr>
          <w:i/>
          <w:iCs/>
          <w:rtl/>
          <w:lang w:eastAsia="zh-TW"/>
        </w:rPr>
        <w:tab/>
      </w:r>
      <w:r w:rsidRPr="005039EB">
        <w:rPr>
          <w:rtl/>
          <w:lang w:eastAsia="zh-TW"/>
        </w:rPr>
        <w:t>سورات دافود أوغلو حسينوف (يمثله المحامي إلدار زينالوف)</w:t>
      </w:r>
      <w:r w:rsidRPr="006D7647">
        <w:rPr>
          <w:i/>
          <w:iCs/>
          <w:rtl/>
          <w:lang w:eastAsia="zh-TW"/>
        </w:rPr>
        <w:t xml:space="preserve"> </w:t>
      </w:r>
      <w:smartTag w:uri="urn:schemas-microsoft-com:office:smarttags" w:element="place"/>
      <w:smartTag w:uri="urn:schemas-microsoft-com:office:smarttags" w:element="City"/>
    </w:p>
    <w:p w:rsidR="00EB0881" w:rsidRPr="006D7647" w:rsidRDefault="00EB0881" w:rsidP="00E86DF1">
      <w:pPr>
        <w:pStyle w:val="SingleTxtGA"/>
        <w:tabs>
          <w:tab w:val="clear" w:pos="1928"/>
        </w:tabs>
        <w:spacing w:line="360" w:lineRule="exact"/>
        <w:ind w:left="4599" w:hanging="2671"/>
        <w:textDirection w:val="tbRlV"/>
        <w:rPr>
          <w:rtl/>
          <w:lang w:eastAsia="zh-TW"/>
        </w:rPr>
      </w:pPr>
      <w:r w:rsidRPr="006D7647">
        <w:rPr>
          <w:i/>
          <w:iCs/>
          <w:rtl/>
          <w:lang w:eastAsia="zh-TW"/>
        </w:rPr>
        <w:t xml:space="preserve">الشخص المُدعى أنه ضحية: </w:t>
      </w:r>
      <w:r>
        <w:rPr>
          <w:i/>
          <w:iCs/>
          <w:rtl/>
          <w:lang w:eastAsia="zh-TW"/>
        </w:rPr>
        <w:tab/>
      </w:r>
      <w:r w:rsidRPr="005039EB">
        <w:rPr>
          <w:rtl/>
          <w:lang w:eastAsia="zh-TW"/>
        </w:rPr>
        <w:t>صاحب البلاغ</w:t>
      </w:r>
      <w:r w:rsidRPr="006D7647">
        <w:rPr>
          <w:i/>
          <w:iCs/>
          <w:rtl/>
          <w:lang w:eastAsia="zh-TW"/>
        </w:rPr>
        <w:t xml:space="preserve"> </w:t>
      </w:r>
    </w:p>
    <w:p w:rsidR="00EB0881" w:rsidRPr="006D7647" w:rsidRDefault="00EB0881" w:rsidP="00E86DF1">
      <w:pPr>
        <w:pStyle w:val="SingleTxtGA"/>
        <w:tabs>
          <w:tab w:val="clear" w:pos="1928"/>
        </w:tabs>
        <w:spacing w:line="360" w:lineRule="exact"/>
        <w:ind w:left="4599" w:hanging="2671"/>
        <w:textDirection w:val="tbRlV"/>
        <w:rPr>
          <w:rtl/>
          <w:lang w:eastAsia="zh-TW"/>
        </w:rPr>
      </w:pPr>
      <w:r w:rsidRPr="006D7647">
        <w:rPr>
          <w:i/>
          <w:iCs/>
          <w:rtl/>
          <w:lang w:eastAsia="zh-TW"/>
        </w:rPr>
        <w:t>الدولة الطرف:</w:t>
      </w:r>
      <w:r>
        <w:rPr>
          <w:i/>
          <w:iCs/>
          <w:rtl/>
          <w:lang w:eastAsia="zh-TW"/>
        </w:rPr>
        <w:tab/>
      </w:r>
      <w:r w:rsidR="00E86DF1">
        <w:rPr>
          <w:rFonts w:hint="cs"/>
          <w:rtl/>
          <w:lang w:eastAsia="zh-TW"/>
        </w:rPr>
        <w:tab/>
      </w:r>
      <w:r w:rsidR="00E86DF1">
        <w:rPr>
          <w:rtl/>
          <w:lang w:eastAsia="zh-TW"/>
        </w:rPr>
        <w:tab/>
      </w:r>
      <w:r w:rsidRPr="005039EB">
        <w:rPr>
          <w:rtl/>
          <w:lang w:eastAsia="zh-TW"/>
        </w:rPr>
        <w:t>أذربيجان</w:t>
      </w:r>
      <w:r w:rsidRPr="006D7647">
        <w:rPr>
          <w:i/>
          <w:iCs/>
          <w:rtl/>
          <w:lang w:eastAsia="zh-TW"/>
        </w:rPr>
        <w:t xml:space="preserve"> </w:t>
      </w:r>
    </w:p>
    <w:p w:rsidR="00EB0881" w:rsidRPr="006D7647" w:rsidRDefault="00EB0881" w:rsidP="00E86DF1">
      <w:pPr>
        <w:pStyle w:val="SingleTxtGA"/>
        <w:tabs>
          <w:tab w:val="clear" w:pos="1928"/>
        </w:tabs>
        <w:spacing w:line="360" w:lineRule="exact"/>
        <w:ind w:left="4599" w:hanging="2671"/>
        <w:textDirection w:val="tbRlV"/>
        <w:rPr>
          <w:rtl/>
          <w:lang w:eastAsia="zh-TW"/>
        </w:rPr>
      </w:pPr>
      <w:r w:rsidRPr="006D7647">
        <w:rPr>
          <w:i/>
          <w:iCs/>
          <w:rtl/>
          <w:lang w:eastAsia="zh-TW"/>
        </w:rPr>
        <w:t>تاريخ تقديم البلاغ:</w:t>
      </w:r>
      <w:r>
        <w:rPr>
          <w:i/>
          <w:iCs/>
          <w:rtl/>
          <w:lang w:eastAsia="zh-TW"/>
        </w:rPr>
        <w:tab/>
      </w:r>
      <w:r w:rsidR="00E86DF1">
        <w:rPr>
          <w:rFonts w:hint="cs"/>
          <w:rtl/>
          <w:lang w:eastAsia="zh-TW"/>
        </w:rPr>
        <w:tab/>
      </w:r>
      <w:r w:rsidRPr="005039EB">
        <w:rPr>
          <w:rtl/>
          <w:lang w:eastAsia="zh-TW"/>
        </w:rPr>
        <w:t>5 تموز/يوليه 2010 (تاريخ الرسالة الأولى)</w:t>
      </w:r>
      <w:r w:rsidRPr="006D7647">
        <w:rPr>
          <w:i/>
          <w:iCs/>
          <w:rtl/>
          <w:lang w:eastAsia="zh-TW"/>
        </w:rPr>
        <w:t xml:space="preserve"> </w:t>
      </w:r>
    </w:p>
    <w:p w:rsidR="00EB0881" w:rsidRPr="005039EB" w:rsidRDefault="00E86DF1" w:rsidP="00E86DF1">
      <w:pPr>
        <w:pStyle w:val="SingleTxtGA"/>
        <w:rPr>
          <w:rtl/>
          <w:lang w:eastAsia="zh-TW"/>
        </w:rPr>
      </w:pPr>
      <w:r>
        <w:rPr>
          <w:rFonts w:hint="cs"/>
          <w:i/>
          <w:iCs/>
          <w:rtl/>
          <w:lang w:eastAsia="zh-TW"/>
        </w:rPr>
        <w:tab/>
      </w:r>
      <w:r w:rsidR="00EB0881" w:rsidRPr="006D7647">
        <w:rPr>
          <w:i/>
          <w:iCs/>
          <w:rtl/>
          <w:lang w:eastAsia="zh-TW"/>
        </w:rPr>
        <w:t xml:space="preserve">إن اللجنة المعنية بحقوق الإنسان، </w:t>
      </w:r>
      <w:r w:rsidR="00EB0881" w:rsidRPr="005039EB">
        <w:rPr>
          <w:rtl/>
          <w:lang w:eastAsia="zh-TW"/>
        </w:rPr>
        <w:t xml:space="preserve">المنشأة بموجب المادة 28 من العهد الدولي الخاص بالحقوق المدنية والسياسية، </w:t>
      </w:r>
    </w:p>
    <w:p w:rsidR="00EB0881" w:rsidRPr="006D7647" w:rsidRDefault="00EB0881" w:rsidP="006E76EA">
      <w:pPr>
        <w:pStyle w:val="SingleTxtGA"/>
        <w:rPr>
          <w:rtl/>
          <w:lang w:eastAsia="zh-TW"/>
        </w:rPr>
      </w:pPr>
      <w:r w:rsidRPr="006D7647">
        <w:rPr>
          <w:rtl/>
          <w:lang w:eastAsia="zh-TW"/>
        </w:rPr>
        <w:tab/>
      </w:r>
      <w:r w:rsidRPr="006D7647">
        <w:rPr>
          <w:i/>
          <w:iCs/>
          <w:rtl/>
          <w:lang w:eastAsia="zh-TW"/>
        </w:rPr>
        <w:t xml:space="preserve">وقد اجتمعت </w:t>
      </w:r>
      <w:r w:rsidRPr="005039EB">
        <w:rPr>
          <w:i/>
          <w:iCs/>
          <w:rtl/>
          <w:lang w:eastAsia="zh-TW"/>
        </w:rPr>
        <w:t>في</w:t>
      </w:r>
      <w:r w:rsidRPr="005039EB">
        <w:rPr>
          <w:rtl/>
          <w:lang w:eastAsia="zh-TW"/>
        </w:rPr>
        <w:t xml:space="preserve"> 21 تموز/يوليه 2014،</w:t>
      </w:r>
      <w:r w:rsidRPr="006D7647">
        <w:rPr>
          <w:i/>
          <w:iCs/>
          <w:rtl/>
          <w:lang w:eastAsia="zh-TW"/>
        </w:rPr>
        <w:t xml:space="preserve"> </w:t>
      </w:r>
    </w:p>
    <w:p w:rsidR="00EB0881" w:rsidRPr="005039EB" w:rsidRDefault="00EB0881" w:rsidP="006E76EA">
      <w:pPr>
        <w:pStyle w:val="SingleTxtGA"/>
        <w:rPr>
          <w:rtl/>
          <w:lang w:eastAsia="zh-TW"/>
        </w:rPr>
      </w:pPr>
      <w:bookmarkStart w:id="0" w:name="_GoBack"/>
      <w:bookmarkEnd w:id="0"/>
      <w:r w:rsidRPr="006D7647">
        <w:rPr>
          <w:rtl/>
          <w:lang w:eastAsia="zh-TW"/>
        </w:rPr>
        <w:tab/>
      </w:r>
      <w:r w:rsidRPr="006D7647">
        <w:rPr>
          <w:i/>
          <w:iCs/>
          <w:rtl/>
          <w:lang w:eastAsia="zh-TW"/>
        </w:rPr>
        <w:t xml:space="preserve">وقد فرغت من </w:t>
      </w:r>
      <w:r w:rsidRPr="005039EB">
        <w:rPr>
          <w:rtl/>
          <w:lang w:eastAsia="zh-TW"/>
        </w:rPr>
        <w:t xml:space="preserve">النظر في البلاغ رقم 2042/2011، المقدم إليها من السيد سورات دافود أوغلو حسينوف، بموجب البروتوكول الاختياري الملحق بالعهد الدولي الخاص بالحقوق المدنية والسياسية، </w:t>
      </w:r>
    </w:p>
    <w:p w:rsidR="00EB0881" w:rsidRPr="005039EB" w:rsidRDefault="00EB0881" w:rsidP="006E76EA">
      <w:pPr>
        <w:pStyle w:val="SingleTxtGA"/>
        <w:rPr>
          <w:rtl/>
          <w:lang w:eastAsia="zh-TW"/>
        </w:rPr>
      </w:pPr>
      <w:r w:rsidRPr="006D7647">
        <w:rPr>
          <w:rtl/>
          <w:lang w:eastAsia="zh-TW"/>
        </w:rPr>
        <w:tab/>
      </w:r>
      <w:r w:rsidRPr="006D7647">
        <w:rPr>
          <w:i/>
          <w:iCs/>
          <w:rtl/>
          <w:lang w:eastAsia="zh-TW"/>
        </w:rPr>
        <w:t xml:space="preserve">وقد وضعت في اعتبارها </w:t>
      </w:r>
      <w:r w:rsidRPr="005039EB">
        <w:rPr>
          <w:rtl/>
          <w:lang w:eastAsia="zh-TW"/>
        </w:rPr>
        <w:t xml:space="preserve">جميع المعلومات </w:t>
      </w:r>
      <w:r>
        <w:rPr>
          <w:rtl/>
          <w:lang w:eastAsia="zh-TW"/>
        </w:rPr>
        <w:t>الخطية</w:t>
      </w:r>
      <w:r w:rsidRPr="005039EB">
        <w:rPr>
          <w:rtl/>
          <w:lang w:eastAsia="zh-TW"/>
        </w:rPr>
        <w:t xml:space="preserve"> التي أتاحها لها صاحب البلاغ والدولة الطرف،</w:t>
      </w:r>
    </w:p>
    <w:p w:rsidR="00EB0881" w:rsidRPr="006D7647" w:rsidRDefault="00EB0881" w:rsidP="006E76EA">
      <w:pPr>
        <w:pStyle w:val="SingleTxtGA"/>
        <w:rPr>
          <w:rtl/>
          <w:lang w:eastAsia="zh-TW"/>
        </w:rPr>
      </w:pPr>
      <w:r w:rsidRPr="006D7647">
        <w:rPr>
          <w:rtl/>
          <w:lang w:eastAsia="zh-TW"/>
        </w:rPr>
        <w:tab/>
      </w:r>
      <w:r w:rsidRPr="006E76EA">
        <w:rPr>
          <w:i/>
          <w:iCs/>
          <w:rtl/>
          <w:lang w:eastAsia="zh-TW"/>
        </w:rPr>
        <w:t>تعتمد</w:t>
      </w:r>
      <w:r w:rsidRPr="006D7647">
        <w:rPr>
          <w:rtl/>
          <w:lang w:eastAsia="zh-TW"/>
        </w:rPr>
        <w:t xml:space="preserve"> ما يلي: </w:t>
      </w:r>
    </w:p>
    <w:p w:rsidR="00EB0881" w:rsidRPr="005039EB" w:rsidRDefault="00EB0881" w:rsidP="006E76EA">
      <w:pPr>
        <w:pStyle w:val="H1GA"/>
        <w:rPr>
          <w:rFonts w:ascii="Traditional Arabic" w:hAnsi="Traditional Arabic"/>
          <w:rtl/>
          <w:lang w:eastAsia="zh-TW"/>
        </w:rPr>
      </w:pPr>
      <w:r>
        <w:rPr>
          <w:rFonts w:cs="Arial Unicode MS"/>
          <w:rtl/>
          <w:lang w:eastAsia="zh-TW"/>
        </w:rPr>
        <w:tab/>
      </w:r>
      <w:r>
        <w:rPr>
          <w:rFonts w:cs="Arial Unicode MS"/>
          <w:rtl/>
          <w:lang w:eastAsia="zh-TW"/>
        </w:rPr>
        <w:tab/>
      </w:r>
      <w:r w:rsidRPr="005039EB">
        <w:rPr>
          <w:rtl/>
          <w:lang w:eastAsia="zh-TW"/>
        </w:rPr>
        <w:t>القرار بشأن المقبولية</w:t>
      </w:r>
    </w:p>
    <w:p w:rsidR="00EB0881" w:rsidRPr="006D7647" w:rsidRDefault="00EB0881" w:rsidP="006E76EA">
      <w:pPr>
        <w:pStyle w:val="SingleTxtGA"/>
        <w:rPr>
          <w:rtl/>
          <w:lang w:eastAsia="zh-TW"/>
        </w:rPr>
      </w:pPr>
      <w:r w:rsidRPr="005039EB">
        <w:rPr>
          <w:rFonts w:hint="cs"/>
          <w:sz w:val="30"/>
          <w:rtl/>
          <w:lang w:eastAsia="zh-TW"/>
        </w:rPr>
        <w:t>١</w:t>
      </w:r>
      <w:r w:rsidRPr="005039EB">
        <w:rPr>
          <w:sz w:val="30"/>
          <w:rtl/>
        </w:rPr>
        <w:t>-</w:t>
      </w:r>
      <w:r>
        <w:rPr>
          <w:rtl/>
        </w:rPr>
        <w:tab/>
      </w:r>
      <w:r w:rsidRPr="006D7647">
        <w:rPr>
          <w:rtl/>
          <w:lang w:eastAsia="zh-TW"/>
        </w:rPr>
        <w:t>صاحب البلاغ هو سورات دافود أوغلو حسينوف، مواطن أذربيجاني</w:t>
      </w:r>
      <w:r>
        <w:rPr>
          <w:rtl/>
          <w:lang w:eastAsia="zh-TW"/>
        </w:rPr>
        <w:t xml:space="preserve"> م</w:t>
      </w:r>
      <w:r w:rsidR="006E76EA">
        <w:rPr>
          <w:rtl/>
          <w:lang w:eastAsia="zh-TW"/>
        </w:rPr>
        <w:t>ولود في عام</w:t>
      </w:r>
      <w:r w:rsidR="006E76EA">
        <w:rPr>
          <w:rFonts w:hint="cs"/>
          <w:rtl/>
          <w:lang w:eastAsia="zh-TW"/>
        </w:rPr>
        <w:t> </w:t>
      </w:r>
      <w:r w:rsidRPr="006D7647">
        <w:rPr>
          <w:rtl/>
          <w:lang w:eastAsia="zh-TW"/>
        </w:rPr>
        <w:t>1959. و</w:t>
      </w:r>
      <w:r>
        <w:rPr>
          <w:rtl/>
          <w:lang w:eastAsia="zh-TW"/>
        </w:rPr>
        <w:t xml:space="preserve">هو </w:t>
      </w:r>
      <w:r w:rsidRPr="006D7647">
        <w:rPr>
          <w:rtl/>
          <w:lang w:eastAsia="zh-TW"/>
        </w:rPr>
        <w:t xml:space="preserve">يدعي أنه ضحية انتهاك </w:t>
      </w:r>
      <w:r>
        <w:rPr>
          <w:rtl/>
          <w:lang w:eastAsia="zh-TW"/>
        </w:rPr>
        <w:t xml:space="preserve">جمهورية </w:t>
      </w:r>
      <w:r w:rsidRPr="006D7647">
        <w:rPr>
          <w:rtl/>
          <w:lang w:eastAsia="zh-TW"/>
        </w:rPr>
        <w:t>أذربيجان لحقوقه الت</w:t>
      </w:r>
      <w:r w:rsidR="008F5F9A">
        <w:rPr>
          <w:rtl/>
          <w:lang w:eastAsia="zh-TW"/>
        </w:rPr>
        <w:t>ي تكفلها المواد 7 و10 و14 و15 و</w:t>
      </w:r>
      <w:r w:rsidRPr="006D7647">
        <w:rPr>
          <w:rtl/>
          <w:lang w:eastAsia="zh-TW"/>
        </w:rPr>
        <w:t>26 من العهد الدولي الخاص بالحقوق المدنية والسياسية. ويمثل</w:t>
      </w:r>
      <w:r>
        <w:rPr>
          <w:rtl/>
          <w:lang w:eastAsia="zh-TW"/>
        </w:rPr>
        <w:t>ه</w:t>
      </w:r>
      <w:r w:rsidRPr="006D7647">
        <w:rPr>
          <w:rtl/>
          <w:lang w:eastAsia="zh-TW"/>
        </w:rPr>
        <w:t xml:space="preserve"> المحامي إلدار زين</w:t>
      </w:r>
      <w:r>
        <w:rPr>
          <w:rtl/>
          <w:lang w:eastAsia="zh-TW"/>
        </w:rPr>
        <w:t>ا</w:t>
      </w:r>
      <w:r w:rsidRPr="006D7647">
        <w:rPr>
          <w:rtl/>
          <w:lang w:eastAsia="zh-TW"/>
        </w:rPr>
        <w:t xml:space="preserve">لوف. وقد دخل البروتوكول الاختياري حيز النفاذ بالنسبة لأذربيجان في 27 شباط/فبراير 2002. </w:t>
      </w:r>
      <w:smartTag w:uri="urn:schemas-microsoft-com:office:smarttags" w:element="place"/>
      <w:smartTag w:uri="urn:schemas-microsoft-com:office:smarttags" w:element="country-region"/>
      <w:smartTag w:uri="urn:schemas-microsoft-com:office:smarttags" w:element="PlaceType"/>
    </w:p>
    <w:p w:rsidR="00EB0881" w:rsidRPr="005039EB" w:rsidRDefault="00EB0881" w:rsidP="006E76EA">
      <w:pPr>
        <w:pStyle w:val="H23GA"/>
        <w:rPr>
          <w:rtl/>
        </w:rPr>
      </w:pPr>
      <w:r>
        <w:rPr>
          <w:rFonts w:cs="Arial Unicode MS"/>
          <w:rtl/>
        </w:rPr>
        <w:tab/>
      </w:r>
      <w:r>
        <w:rPr>
          <w:rFonts w:cs="Arial Unicode MS"/>
          <w:rtl/>
        </w:rPr>
        <w:tab/>
      </w:r>
      <w:r w:rsidRPr="005039EB">
        <w:rPr>
          <w:rtl/>
        </w:rPr>
        <w:t xml:space="preserve">الوقائع كما عرضها صاحب البلاغ </w:t>
      </w:r>
    </w:p>
    <w:p w:rsidR="00EB0881" w:rsidRPr="006D7647" w:rsidRDefault="00EB0881" w:rsidP="006E76EA">
      <w:pPr>
        <w:pStyle w:val="SingleTxtGA"/>
        <w:rPr>
          <w:rtl/>
          <w:lang w:eastAsia="zh-TW"/>
        </w:rPr>
      </w:pPr>
      <w:r>
        <w:rPr>
          <w:rtl/>
          <w:lang w:eastAsia="zh-TW"/>
        </w:rPr>
        <w:t>2-1</w:t>
      </w:r>
      <w:r>
        <w:rPr>
          <w:rtl/>
          <w:lang w:eastAsia="zh-TW"/>
        </w:rPr>
        <w:tab/>
      </w:r>
      <w:r w:rsidRPr="006D7647">
        <w:rPr>
          <w:rtl/>
          <w:lang w:eastAsia="zh-TW"/>
        </w:rPr>
        <w:t>في عام 1992، عي</w:t>
      </w:r>
      <w:r>
        <w:rPr>
          <w:rtl/>
          <w:lang w:eastAsia="zh-TW"/>
        </w:rPr>
        <w:t>ّ</w:t>
      </w:r>
      <w:r w:rsidRPr="006D7647">
        <w:rPr>
          <w:rtl/>
          <w:lang w:eastAsia="zh-TW"/>
        </w:rPr>
        <w:t>ن أبو الفاز الشيبي، رئيس أذربيجان المنتخب حديثاً آنذاك، صاحب البلاغ ممثلاً له في ناغورني</w:t>
      </w:r>
      <w:r w:rsidR="00104935">
        <w:rPr>
          <w:rFonts w:hint="cs"/>
          <w:rtl/>
          <w:lang w:eastAsia="zh-TW"/>
        </w:rPr>
        <w:t xml:space="preserve"> </w:t>
      </w:r>
      <w:r w:rsidRPr="006D7647">
        <w:rPr>
          <w:rtl/>
          <w:lang w:eastAsia="zh-TW"/>
        </w:rPr>
        <w:t>-</w:t>
      </w:r>
      <w:r w:rsidR="00104935">
        <w:rPr>
          <w:rFonts w:hint="cs"/>
          <w:rtl/>
          <w:lang w:eastAsia="zh-TW"/>
        </w:rPr>
        <w:t xml:space="preserve"> </w:t>
      </w:r>
      <w:r w:rsidRPr="006D7647">
        <w:rPr>
          <w:rtl/>
          <w:lang w:eastAsia="zh-TW"/>
        </w:rPr>
        <w:t>كاراباخ، ونائباً لرئيس الوزراء وقائداً للفيلق الثاني</w:t>
      </w:r>
      <w:r>
        <w:rPr>
          <w:rtl/>
          <w:lang w:eastAsia="zh-TW"/>
        </w:rPr>
        <w:t xml:space="preserve"> للجيش</w:t>
      </w:r>
      <w:r w:rsidRPr="006D7647">
        <w:rPr>
          <w:rtl/>
          <w:lang w:eastAsia="zh-TW"/>
        </w:rPr>
        <w:t>. وفي عام 1993، لقي ما يقارب نصف الجنود التابعين للكتيبة رقم 123 حتفهم أثناء النزاع في ناغورني</w:t>
      </w:r>
      <w:r w:rsidR="00104935">
        <w:rPr>
          <w:rFonts w:hint="cs"/>
          <w:rtl/>
          <w:lang w:eastAsia="zh-TW"/>
        </w:rPr>
        <w:t xml:space="preserve"> </w:t>
      </w:r>
      <w:r w:rsidRPr="006D7647">
        <w:rPr>
          <w:rtl/>
          <w:lang w:eastAsia="zh-TW"/>
        </w:rPr>
        <w:t>-</w:t>
      </w:r>
      <w:r w:rsidR="00104935">
        <w:rPr>
          <w:rFonts w:hint="cs"/>
          <w:rtl/>
          <w:lang w:eastAsia="zh-TW"/>
        </w:rPr>
        <w:t xml:space="preserve"> </w:t>
      </w:r>
      <w:r w:rsidRPr="006D7647">
        <w:rPr>
          <w:rtl/>
          <w:lang w:eastAsia="zh-TW"/>
        </w:rPr>
        <w:t xml:space="preserve">كاراباخ. فأمر صاحب البلاغ الكتيبة بالانسحاب من الخط الأمامي. ولكن بعض عناصر النظام اعتبرت </w:t>
      </w:r>
      <w:r>
        <w:rPr>
          <w:rtl/>
          <w:lang w:eastAsia="zh-TW"/>
        </w:rPr>
        <w:t>هذا ال</w:t>
      </w:r>
      <w:r w:rsidRPr="006D7647">
        <w:rPr>
          <w:rtl/>
          <w:lang w:eastAsia="zh-TW"/>
        </w:rPr>
        <w:t>قرار خيانةً. وألقي القبض على العديد من الجنود وعُزل صاحب البلاغ من مناصبه في شباط/فبراير 1993. وفي حزيران/يونيه 1993، سقطت حكومة أبو الفاز الشيبي، وفرّ هذا الأخير من البلد. وفي 30 حزيران/يونيه 1993، عي</w:t>
      </w:r>
      <w:r>
        <w:rPr>
          <w:rtl/>
          <w:lang w:eastAsia="zh-TW"/>
        </w:rPr>
        <w:t>ّ</w:t>
      </w:r>
      <w:r w:rsidRPr="006D7647">
        <w:rPr>
          <w:rtl/>
          <w:lang w:eastAsia="zh-TW"/>
        </w:rPr>
        <w:t>ن حيدر علييف</w:t>
      </w:r>
      <w:r>
        <w:rPr>
          <w:rtl/>
          <w:lang w:eastAsia="zh-TW"/>
        </w:rPr>
        <w:t>،</w:t>
      </w:r>
      <w:r w:rsidRPr="006D7647">
        <w:rPr>
          <w:rtl/>
          <w:lang w:eastAsia="zh-TW"/>
        </w:rPr>
        <w:t xml:space="preserve"> الرئيس الجديد بالنيابة، صاحب البلاغ رئيساً للوزراء في أذربيجان. </w:t>
      </w:r>
    </w:p>
    <w:p w:rsidR="00EB0881" w:rsidRPr="006D7647" w:rsidRDefault="00EB0881" w:rsidP="006E76EA">
      <w:pPr>
        <w:pStyle w:val="SingleTxtGA"/>
        <w:rPr>
          <w:rtl/>
          <w:lang w:eastAsia="zh-TW"/>
        </w:rPr>
      </w:pPr>
      <w:r>
        <w:rPr>
          <w:rtl/>
          <w:lang w:eastAsia="zh-TW"/>
        </w:rPr>
        <w:t>2-2</w:t>
      </w:r>
      <w:r>
        <w:rPr>
          <w:rtl/>
          <w:lang w:eastAsia="zh-TW"/>
        </w:rPr>
        <w:tab/>
      </w:r>
      <w:r w:rsidRPr="006D7647">
        <w:rPr>
          <w:rtl/>
          <w:lang w:eastAsia="zh-TW"/>
        </w:rPr>
        <w:t xml:space="preserve">وفي شهريْ أيلول/سبتمبر وتشرين الأول/أكتوبر 1994، دخل قادة مفرزة الشرطة الخاصة التابعة لوزارة الداخلية في نزاع مع المدعي العام، الذي كان من أقرب المؤيدين لصاحب البلاغ. وكانت هناك شائعات تردّد أن الشرطة الخاصة تخطط للهجوم على </w:t>
      </w:r>
      <w:r>
        <w:rPr>
          <w:rtl/>
          <w:lang w:eastAsia="zh-TW"/>
        </w:rPr>
        <w:t>مؤيدي</w:t>
      </w:r>
      <w:r w:rsidRPr="006D7647">
        <w:rPr>
          <w:rtl/>
          <w:lang w:eastAsia="zh-TW"/>
        </w:rPr>
        <w:t xml:space="preserve"> صاحب البلاغ في غانجا، وأن نقاط تفتيش أنشئت على الطرق المؤدية إليها استعداداً للهجوم. وفي 4 تشرين الأول/أكتوبر 1994، اتهم الرئيس صاحب البلاغ </w:t>
      </w:r>
      <w:r>
        <w:rPr>
          <w:rtl/>
          <w:lang w:eastAsia="zh-TW"/>
        </w:rPr>
        <w:t>ومؤيديه</w:t>
      </w:r>
      <w:r w:rsidRPr="006D7647">
        <w:rPr>
          <w:rtl/>
          <w:lang w:eastAsia="zh-TW"/>
        </w:rPr>
        <w:t xml:space="preserve"> بتنظيم انقلاب في غانجا، وهو اتهام </w:t>
      </w:r>
      <w:r>
        <w:rPr>
          <w:rtl/>
          <w:lang w:eastAsia="zh-TW"/>
        </w:rPr>
        <w:t>أنكره</w:t>
      </w:r>
      <w:r w:rsidRPr="006D7647">
        <w:rPr>
          <w:rtl/>
          <w:lang w:eastAsia="zh-TW"/>
        </w:rPr>
        <w:t xml:space="preserve"> صاحب البلاغ في خطاب ألقاه أمام البرلمان في 6 تشرين الأول/</w:t>
      </w:r>
      <w:r w:rsidR="006E76EA">
        <w:rPr>
          <w:rFonts w:hint="cs"/>
          <w:rtl/>
          <w:lang w:eastAsia="zh-TW"/>
        </w:rPr>
        <w:t xml:space="preserve"> </w:t>
      </w:r>
      <w:r w:rsidRPr="006D7647">
        <w:rPr>
          <w:rtl/>
          <w:lang w:eastAsia="zh-TW"/>
        </w:rPr>
        <w:t>أكتوبر 1994. ومع ذلك، أ</w:t>
      </w:r>
      <w:r>
        <w:rPr>
          <w:rtl/>
          <w:lang w:eastAsia="zh-TW"/>
        </w:rPr>
        <w:t>ُ</w:t>
      </w:r>
      <w:r w:rsidRPr="006D7647">
        <w:rPr>
          <w:rtl/>
          <w:lang w:eastAsia="zh-TW"/>
        </w:rPr>
        <w:t xml:space="preserve">لقي القبض في غضون الأسابيع التالية على أكثر من </w:t>
      </w:r>
      <w:r>
        <w:rPr>
          <w:rtl/>
          <w:lang w:eastAsia="zh-TW"/>
        </w:rPr>
        <w:t>مائتيْ</w:t>
      </w:r>
      <w:r w:rsidRPr="006D7647">
        <w:rPr>
          <w:rtl/>
          <w:lang w:eastAsia="zh-TW"/>
        </w:rPr>
        <w:t xml:space="preserve"> شخص من </w:t>
      </w:r>
      <w:r>
        <w:rPr>
          <w:rtl/>
          <w:lang w:eastAsia="zh-TW"/>
        </w:rPr>
        <w:t>مؤيدي</w:t>
      </w:r>
      <w:r w:rsidRPr="006D7647">
        <w:rPr>
          <w:rtl/>
          <w:lang w:eastAsia="zh-TW"/>
        </w:rPr>
        <w:t xml:space="preserve"> صاحب البلاغ وو</w:t>
      </w:r>
      <w:r>
        <w:rPr>
          <w:rtl/>
          <w:lang w:eastAsia="zh-TW"/>
        </w:rPr>
        <w:t>ُ</w:t>
      </w:r>
      <w:r w:rsidRPr="006D7647">
        <w:rPr>
          <w:rtl/>
          <w:lang w:eastAsia="zh-TW"/>
        </w:rPr>
        <w:t xml:space="preserve">جهت إليهم تهمة الخيانة العظمى. </w:t>
      </w:r>
      <w:r>
        <w:rPr>
          <w:rtl/>
          <w:lang w:eastAsia="zh-TW"/>
        </w:rPr>
        <w:t>وزُعم أن</w:t>
      </w:r>
      <w:r w:rsidRPr="006D7647">
        <w:rPr>
          <w:rtl/>
          <w:lang w:eastAsia="zh-TW"/>
        </w:rPr>
        <w:t xml:space="preserve"> </w:t>
      </w:r>
      <w:r>
        <w:rPr>
          <w:rtl/>
          <w:lang w:eastAsia="zh-TW"/>
        </w:rPr>
        <w:t xml:space="preserve">كثيرين منهم </w:t>
      </w:r>
      <w:r w:rsidRPr="006D7647">
        <w:rPr>
          <w:rtl/>
          <w:lang w:eastAsia="zh-TW"/>
        </w:rPr>
        <w:t>تعرضوا للتعذيب وأن بعض</w:t>
      </w:r>
      <w:r>
        <w:rPr>
          <w:rtl/>
          <w:lang w:eastAsia="zh-TW"/>
        </w:rPr>
        <w:t>هم</w:t>
      </w:r>
      <w:r w:rsidRPr="006D7647">
        <w:rPr>
          <w:rtl/>
          <w:lang w:eastAsia="zh-TW"/>
        </w:rPr>
        <w:t xml:space="preserve"> </w:t>
      </w:r>
      <w:r>
        <w:rPr>
          <w:rtl/>
          <w:lang w:eastAsia="zh-TW"/>
        </w:rPr>
        <w:t>ماتوا</w:t>
      </w:r>
      <w:r w:rsidRPr="006D7647">
        <w:rPr>
          <w:rtl/>
          <w:lang w:eastAsia="zh-TW"/>
        </w:rPr>
        <w:t xml:space="preserve"> أثناء الاحتجاز. وفرّ صاحب البلاغ إلى الاتحاد الروسي، وعُزل </w:t>
      </w:r>
      <w:r>
        <w:rPr>
          <w:rtl/>
          <w:lang w:eastAsia="zh-TW"/>
        </w:rPr>
        <w:t>لاحقاً</w:t>
      </w:r>
      <w:r w:rsidRPr="006D7647">
        <w:rPr>
          <w:rtl/>
          <w:lang w:eastAsia="zh-TW"/>
        </w:rPr>
        <w:t xml:space="preserve"> من من</w:t>
      </w:r>
      <w:r>
        <w:rPr>
          <w:rtl/>
          <w:lang w:eastAsia="zh-TW"/>
        </w:rPr>
        <w:t>ا</w:t>
      </w:r>
      <w:r w:rsidRPr="006D7647">
        <w:rPr>
          <w:rtl/>
          <w:lang w:eastAsia="zh-TW"/>
        </w:rPr>
        <w:t>صبه الرسمي</w:t>
      </w:r>
      <w:r>
        <w:rPr>
          <w:rtl/>
          <w:lang w:eastAsia="zh-TW"/>
        </w:rPr>
        <w:t>ة</w:t>
      </w:r>
      <w:r w:rsidRPr="006D7647">
        <w:rPr>
          <w:rtl/>
          <w:lang w:eastAsia="zh-TW"/>
        </w:rPr>
        <w:t xml:space="preserve"> في أذربيجان. و</w:t>
      </w:r>
      <w:r>
        <w:rPr>
          <w:rtl/>
          <w:lang w:eastAsia="zh-TW"/>
        </w:rPr>
        <w:t>فتحت</w:t>
      </w:r>
      <w:r w:rsidRPr="006D7647">
        <w:rPr>
          <w:rtl/>
          <w:lang w:eastAsia="zh-TW"/>
        </w:rPr>
        <w:t xml:space="preserve"> سلطات الدولة الطرف تحقيق</w:t>
      </w:r>
      <w:r>
        <w:rPr>
          <w:rtl/>
          <w:lang w:eastAsia="zh-TW"/>
        </w:rPr>
        <w:t>اً</w:t>
      </w:r>
      <w:r w:rsidRPr="006D7647">
        <w:rPr>
          <w:rtl/>
          <w:lang w:eastAsia="zh-TW"/>
        </w:rPr>
        <w:t xml:space="preserve"> جنائ</w:t>
      </w:r>
      <w:r>
        <w:rPr>
          <w:rtl/>
          <w:lang w:eastAsia="zh-TW"/>
        </w:rPr>
        <w:t>ياً</w:t>
      </w:r>
      <w:r w:rsidRPr="006D7647">
        <w:rPr>
          <w:rtl/>
          <w:lang w:eastAsia="zh-TW"/>
        </w:rPr>
        <w:t xml:space="preserve"> </w:t>
      </w:r>
      <w:r>
        <w:rPr>
          <w:rtl/>
          <w:lang w:eastAsia="zh-TW"/>
        </w:rPr>
        <w:t>في عدد من التهم المنسوبة إلى</w:t>
      </w:r>
      <w:r w:rsidRPr="006D7647">
        <w:rPr>
          <w:rtl/>
          <w:lang w:eastAsia="zh-TW"/>
        </w:rPr>
        <w:t xml:space="preserve"> صاحب البلاغ </w:t>
      </w:r>
      <w:r>
        <w:rPr>
          <w:rtl/>
          <w:lang w:eastAsia="zh-TW"/>
        </w:rPr>
        <w:t>بدءاً من</w:t>
      </w:r>
      <w:r w:rsidRPr="006D7647">
        <w:rPr>
          <w:rtl/>
          <w:lang w:eastAsia="zh-TW"/>
        </w:rPr>
        <w:t xml:space="preserve"> الخيانة العظمى </w:t>
      </w:r>
      <w:r>
        <w:rPr>
          <w:rtl/>
          <w:lang w:eastAsia="zh-TW"/>
        </w:rPr>
        <w:t>ووصولاً</w:t>
      </w:r>
      <w:r w:rsidRPr="006D7647">
        <w:rPr>
          <w:rtl/>
          <w:lang w:eastAsia="zh-TW"/>
        </w:rPr>
        <w:t xml:space="preserve"> إلى الجرائم الاقتصادية والجرائم المتصلة بالمخدرات. </w:t>
      </w:r>
      <w:smartTag w:uri="urn:schemas-microsoft-com:office:smarttags" w:element="country-region"/>
      <w:smartTag w:uri="urn:schemas-microsoft-com:office:smarttags" w:element="place"/>
      <w:smartTag w:uri="urn:schemas-microsoft-com:office:smarttags" w:element="country-region"/>
    </w:p>
    <w:p w:rsidR="00EB0881" w:rsidRPr="006D7647" w:rsidRDefault="00EB0881" w:rsidP="00D821CB">
      <w:pPr>
        <w:pStyle w:val="SingleTxtGA"/>
        <w:rPr>
          <w:rtl/>
          <w:lang w:eastAsia="zh-TW"/>
        </w:rPr>
      </w:pPr>
      <w:r>
        <w:rPr>
          <w:rtl/>
          <w:lang w:eastAsia="zh-TW"/>
        </w:rPr>
        <w:t>2-3</w:t>
      </w:r>
      <w:r>
        <w:rPr>
          <w:rtl/>
          <w:lang w:eastAsia="zh-TW"/>
        </w:rPr>
        <w:tab/>
      </w:r>
      <w:r w:rsidRPr="006D7647">
        <w:rPr>
          <w:rtl/>
          <w:lang w:eastAsia="zh-TW"/>
        </w:rPr>
        <w:t>وفي 21 آذار/مارس 1997، ألقي القبض على</w:t>
      </w:r>
      <w:r>
        <w:rPr>
          <w:rtl/>
          <w:lang w:eastAsia="zh-TW"/>
        </w:rPr>
        <w:t xml:space="preserve"> صاحب البلاغ في الاتحاد الروسي بعدما </w:t>
      </w:r>
      <w:r w:rsidRPr="006D7647">
        <w:rPr>
          <w:rtl/>
          <w:lang w:eastAsia="zh-TW"/>
        </w:rPr>
        <w:t>طلب</w:t>
      </w:r>
      <w:r>
        <w:rPr>
          <w:rtl/>
          <w:lang w:eastAsia="zh-TW"/>
        </w:rPr>
        <w:t>ت</w:t>
      </w:r>
      <w:r w:rsidRPr="006D7647">
        <w:rPr>
          <w:rtl/>
          <w:lang w:eastAsia="zh-TW"/>
        </w:rPr>
        <w:t xml:space="preserve"> أذربيجان</w:t>
      </w:r>
      <w:r>
        <w:rPr>
          <w:rtl/>
          <w:lang w:eastAsia="zh-TW"/>
        </w:rPr>
        <w:t xml:space="preserve"> تسليمه</w:t>
      </w:r>
      <w:r w:rsidRPr="006D7647">
        <w:rPr>
          <w:rtl/>
          <w:lang w:eastAsia="zh-TW"/>
        </w:rPr>
        <w:t xml:space="preserve"> </w:t>
      </w:r>
      <w:r>
        <w:rPr>
          <w:rtl/>
          <w:lang w:eastAsia="zh-TW"/>
        </w:rPr>
        <w:t>بموجب</w:t>
      </w:r>
      <w:r w:rsidRPr="006D7647">
        <w:rPr>
          <w:rtl/>
          <w:lang w:eastAsia="zh-TW"/>
        </w:rPr>
        <w:t xml:space="preserve"> الاتفاق الثنائي الذي أبرمته مع الاتحاد الروسي. فسُلِّم </w:t>
      </w:r>
      <w:r>
        <w:rPr>
          <w:rtl/>
          <w:lang w:eastAsia="zh-TW"/>
        </w:rPr>
        <w:t xml:space="preserve">صاحب البلاغ </w:t>
      </w:r>
      <w:r w:rsidRPr="006D7647">
        <w:rPr>
          <w:rtl/>
          <w:lang w:eastAsia="zh-TW"/>
        </w:rPr>
        <w:t xml:space="preserve">إلى أذربيجان في 27 آذار/مارس 1997 على أساس </w:t>
      </w:r>
      <w:r>
        <w:rPr>
          <w:rtl/>
          <w:lang w:eastAsia="zh-TW"/>
        </w:rPr>
        <w:t>التزام</w:t>
      </w:r>
      <w:r w:rsidRPr="006D7647">
        <w:rPr>
          <w:rtl/>
          <w:lang w:eastAsia="zh-TW"/>
        </w:rPr>
        <w:t xml:space="preserve"> السلطات الأذربيجانية </w:t>
      </w:r>
      <w:r>
        <w:rPr>
          <w:rtl/>
          <w:lang w:eastAsia="zh-TW"/>
        </w:rPr>
        <w:t>بعدم</w:t>
      </w:r>
      <w:r w:rsidRPr="006D7647">
        <w:rPr>
          <w:rtl/>
          <w:lang w:eastAsia="zh-TW"/>
        </w:rPr>
        <w:t xml:space="preserve"> </w:t>
      </w:r>
      <w:r>
        <w:rPr>
          <w:rtl/>
          <w:lang w:eastAsia="zh-TW"/>
        </w:rPr>
        <w:t>محاكمته</w:t>
      </w:r>
      <w:r w:rsidRPr="006D7647">
        <w:rPr>
          <w:rtl/>
          <w:lang w:eastAsia="zh-TW"/>
        </w:rPr>
        <w:t xml:space="preserve"> </w:t>
      </w:r>
      <w:r>
        <w:rPr>
          <w:rtl/>
          <w:lang w:eastAsia="zh-TW"/>
        </w:rPr>
        <w:t>إلاّ</w:t>
      </w:r>
      <w:r w:rsidRPr="006D7647">
        <w:rPr>
          <w:rtl/>
          <w:lang w:eastAsia="zh-TW"/>
        </w:rPr>
        <w:t xml:space="preserve"> بتهمة ارتكاب جرائم عادية. وفي 12 أيار/مايو 1997، طلبت السلطات الأذربيجانية إلى الاتحاد الروسي </w:t>
      </w:r>
      <w:r>
        <w:rPr>
          <w:rtl/>
          <w:lang w:eastAsia="zh-TW"/>
        </w:rPr>
        <w:t>الموافقة</w:t>
      </w:r>
      <w:r w:rsidRPr="006D7647">
        <w:rPr>
          <w:rtl/>
          <w:lang w:eastAsia="zh-TW"/>
        </w:rPr>
        <w:t xml:space="preserve"> على توجيه تهم إضافية إلى صاحب البلاغ، بما في ذلك </w:t>
      </w:r>
      <w:r>
        <w:rPr>
          <w:rtl/>
          <w:lang w:eastAsia="zh-TW"/>
        </w:rPr>
        <w:t>ج</w:t>
      </w:r>
      <w:r w:rsidRPr="006D7647">
        <w:rPr>
          <w:rtl/>
          <w:lang w:eastAsia="zh-TW"/>
        </w:rPr>
        <w:t xml:space="preserve">رائم يعاقب عليها بالإعدام، مثل الخيانة العظمى، ومحاولة استخدام قوات مسلحة ضد الدولة وإنشاء قوات مسلحة غير قانونية. ووافق المدعي العام للاتحاد الروسي على إدخال تعديل على لائحة الاتهام، شريطة ألاّ تسعى أذربيجان إلى تطبيق عقوبة الإعدام على صاحب البلاغ. </w:t>
      </w:r>
      <w:smartTag w:uri="urn:schemas-microsoft-com:office:smarttags" w:element="country-region"/>
      <w:smartTag w:uri="urn:schemas-microsoft-com:office:smarttags" w:element="country-region"/>
      <w:smartTag w:uri="urn:schemas-microsoft-com:office:smarttags" w:element="place"/>
      <w:smartTag w:uri="urn:schemas-microsoft-com:office:smarttags" w:element="country-region"/>
      <w:smartTag w:uri="urn:schemas-microsoft-com:office:smarttags" w:element="country-region"/>
      <w:smartTag w:uri="urn:schemas-microsoft-com:office:smarttags" w:element="place"/>
      <w:smartTag w:uri="urn:schemas-microsoft-com:office:smarttags" w:element="country-region"/>
      <w:smartTag w:uri="urn:schemas-microsoft-com:office:smarttags" w:element="country-region"/>
      <w:smartTag w:uri="urn:schemas-microsoft-com:office:smarttags" w:element="place"/>
      <w:smartTag w:uri="urn:schemas-microsoft-com:office:smarttags" w:element="country-region"/>
      <w:smartTag w:uri="urn:schemas-microsoft-com:office:smarttags" w:element="country-region"/>
      <w:smartTag w:uri="urn:schemas-microsoft-com:office:smarttags" w:element="place"/>
      <w:smartTag w:uri="urn:schemas-microsoft-com:office:smarttags" w:element="country-region"/>
    </w:p>
    <w:p w:rsidR="00EB0881" w:rsidRPr="006D7647" w:rsidRDefault="00EB0881" w:rsidP="00104935">
      <w:pPr>
        <w:pStyle w:val="SingleTxtGA"/>
        <w:rPr>
          <w:rtl/>
          <w:lang w:eastAsia="zh-TW"/>
        </w:rPr>
      </w:pPr>
      <w:r>
        <w:rPr>
          <w:rtl/>
          <w:lang w:eastAsia="zh-TW"/>
        </w:rPr>
        <w:t>2-4</w:t>
      </w:r>
      <w:r>
        <w:rPr>
          <w:rtl/>
          <w:lang w:eastAsia="zh-TW"/>
        </w:rPr>
        <w:tab/>
        <w:t>ويفيد</w:t>
      </w:r>
      <w:r w:rsidRPr="006D7647">
        <w:rPr>
          <w:rtl/>
          <w:lang w:eastAsia="zh-TW"/>
        </w:rPr>
        <w:t xml:space="preserve"> صاحب البلاغ </w:t>
      </w:r>
      <w:r>
        <w:rPr>
          <w:rtl/>
          <w:lang w:eastAsia="zh-TW"/>
        </w:rPr>
        <w:t>ب</w:t>
      </w:r>
      <w:r w:rsidRPr="006D7647">
        <w:rPr>
          <w:rtl/>
          <w:lang w:eastAsia="zh-TW"/>
        </w:rPr>
        <w:t>أنه تعرض للتعذيب</w:t>
      </w:r>
      <w:r w:rsidRPr="00E01FCB">
        <w:rPr>
          <w:rtl/>
          <w:lang w:eastAsia="zh-TW"/>
        </w:rPr>
        <w:t xml:space="preserve"> </w:t>
      </w:r>
      <w:r w:rsidRPr="006D7647">
        <w:rPr>
          <w:rtl/>
          <w:lang w:eastAsia="zh-TW"/>
        </w:rPr>
        <w:t>في إدارة الشرطة بمدينة باكو</w:t>
      </w:r>
      <w:r>
        <w:rPr>
          <w:rtl/>
          <w:lang w:eastAsia="zh-TW"/>
        </w:rPr>
        <w:t>،</w:t>
      </w:r>
      <w:r w:rsidRPr="006D7647">
        <w:rPr>
          <w:rtl/>
          <w:lang w:eastAsia="zh-TW"/>
        </w:rPr>
        <w:t xml:space="preserve"> أثناء احتجازه قبل المحاكمة. ويؤكد هذا الادعاء محاموه الذين </w:t>
      </w:r>
      <w:r>
        <w:rPr>
          <w:rtl/>
          <w:lang w:eastAsia="zh-TW"/>
        </w:rPr>
        <w:t>قالوا</w:t>
      </w:r>
      <w:r w:rsidRPr="006D7647">
        <w:rPr>
          <w:rtl/>
          <w:lang w:eastAsia="zh-TW"/>
        </w:rPr>
        <w:t xml:space="preserve"> </w:t>
      </w:r>
      <w:r>
        <w:rPr>
          <w:rtl/>
          <w:lang w:eastAsia="zh-TW"/>
        </w:rPr>
        <w:t xml:space="preserve">إن آثار تعذيب بدت واضحة </w:t>
      </w:r>
      <w:r w:rsidRPr="006D7647">
        <w:rPr>
          <w:rtl/>
          <w:lang w:eastAsia="zh-TW"/>
        </w:rPr>
        <w:t xml:space="preserve">على رأس صاحب البلاغ. ثم حوكم صاحب البلاغ أمام هيئة </w:t>
      </w:r>
      <w:r>
        <w:rPr>
          <w:rtl/>
          <w:lang w:eastAsia="zh-TW"/>
        </w:rPr>
        <w:t>ل</w:t>
      </w:r>
      <w:r w:rsidRPr="006D7647">
        <w:rPr>
          <w:rtl/>
          <w:lang w:eastAsia="zh-TW"/>
        </w:rPr>
        <w:t>لمحكمة العليا. ويدّعي صاحب البلاغ أن المحكمة تجاهلت</w:t>
      </w:r>
      <w:r>
        <w:rPr>
          <w:rtl/>
          <w:lang w:eastAsia="zh-TW"/>
        </w:rPr>
        <w:t>،</w:t>
      </w:r>
      <w:r w:rsidRPr="006D7647">
        <w:rPr>
          <w:rtl/>
          <w:lang w:eastAsia="zh-TW"/>
        </w:rPr>
        <w:t xml:space="preserve"> أثناء المحاكمة</w:t>
      </w:r>
      <w:r>
        <w:rPr>
          <w:rtl/>
          <w:lang w:eastAsia="zh-TW"/>
        </w:rPr>
        <w:t xml:space="preserve">، ادعاءاته بالتعرض للتعذيب </w:t>
      </w:r>
      <w:r w:rsidRPr="006D7647">
        <w:rPr>
          <w:rtl/>
          <w:lang w:eastAsia="zh-TW"/>
        </w:rPr>
        <w:t xml:space="preserve">وتراجع عدد كبير من الشهود </w:t>
      </w:r>
      <w:r>
        <w:rPr>
          <w:rtl/>
          <w:lang w:eastAsia="zh-TW"/>
        </w:rPr>
        <w:t xml:space="preserve">عن الشهادات التي أدلوا بها </w:t>
      </w:r>
      <w:r w:rsidRPr="006D7647">
        <w:rPr>
          <w:rtl/>
          <w:lang w:eastAsia="zh-TW"/>
        </w:rPr>
        <w:t xml:space="preserve">ضده، </w:t>
      </w:r>
      <w:r>
        <w:rPr>
          <w:rtl/>
          <w:lang w:eastAsia="zh-TW"/>
        </w:rPr>
        <w:t>ويقول إنّ</w:t>
      </w:r>
      <w:r w:rsidRPr="006D7647">
        <w:rPr>
          <w:rtl/>
          <w:lang w:eastAsia="zh-TW"/>
        </w:rPr>
        <w:t xml:space="preserve"> تلك الشهادات انتزعت منهم تحت التعذيب. وأدين صاحب البلاغ في 10 شباط/فبراير 1999 وحكم عليه بالسجن المؤبد. ولم يكن </w:t>
      </w:r>
      <w:r>
        <w:rPr>
          <w:rtl/>
          <w:lang w:eastAsia="zh-TW"/>
        </w:rPr>
        <w:t xml:space="preserve">الحكم </w:t>
      </w:r>
      <w:r w:rsidRPr="006D7647">
        <w:rPr>
          <w:rtl/>
          <w:lang w:eastAsia="zh-TW"/>
        </w:rPr>
        <w:t xml:space="preserve">قابلاً للطعن. وصودرت ممتلكاته وممتلكات أسرته، بما فيها العقارات المكتسبة في عاميْ 1941 و1987. </w:t>
      </w:r>
    </w:p>
    <w:p w:rsidR="00EB0881" w:rsidRPr="00D23775" w:rsidRDefault="00EB0881" w:rsidP="001433A5">
      <w:pPr>
        <w:pStyle w:val="SingleTxtGA"/>
        <w:rPr>
          <w:rFonts w:hint="cs"/>
          <w:rtl/>
          <w:lang w:eastAsia="zh-TW"/>
        </w:rPr>
      </w:pPr>
      <w:r>
        <w:rPr>
          <w:rtl/>
          <w:lang w:eastAsia="zh-TW"/>
        </w:rPr>
        <w:t>2-5</w:t>
      </w:r>
      <w:r>
        <w:rPr>
          <w:rtl/>
          <w:lang w:eastAsia="zh-TW"/>
        </w:rPr>
        <w:tab/>
      </w:r>
      <w:r w:rsidRPr="006D7647">
        <w:rPr>
          <w:rtl/>
          <w:lang w:eastAsia="zh-TW"/>
        </w:rPr>
        <w:t>وفي 10 شباط/فبراير 1998، اعتمد البرلمان الأذربيجاني قانوناً جديداً يعد</w:t>
      </w:r>
      <w:r>
        <w:rPr>
          <w:rtl/>
          <w:lang w:eastAsia="zh-TW"/>
        </w:rPr>
        <w:t>ّ</w:t>
      </w:r>
      <w:r w:rsidRPr="006D7647">
        <w:rPr>
          <w:rtl/>
          <w:lang w:eastAsia="zh-TW"/>
        </w:rPr>
        <w:t xml:space="preserve">ل القانون الجنائي وغيره من التشريعات ذات الصلة. وألغى القانون الجديد عقوبة الإعدام واعتمد بدلاً منها عقوبة جديدة، هي السجن المؤبد. </w:t>
      </w:r>
      <w:r>
        <w:rPr>
          <w:rtl/>
          <w:lang w:eastAsia="zh-TW"/>
        </w:rPr>
        <w:t>ويفيد</w:t>
      </w:r>
      <w:r w:rsidRPr="006D7647">
        <w:rPr>
          <w:rtl/>
          <w:lang w:eastAsia="zh-TW"/>
        </w:rPr>
        <w:t xml:space="preserve"> صاحب البلاغ </w:t>
      </w:r>
      <w:r>
        <w:rPr>
          <w:rtl/>
          <w:lang w:eastAsia="zh-TW"/>
        </w:rPr>
        <w:t>ب</w:t>
      </w:r>
      <w:r w:rsidRPr="006D7647">
        <w:rPr>
          <w:rtl/>
          <w:lang w:eastAsia="zh-TW"/>
        </w:rPr>
        <w:t>أن</w:t>
      </w:r>
      <w:r>
        <w:rPr>
          <w:rtl/>
          <w:lang w:eastAsia="zh-TW"/>
        </w:rPr>
        <w:t xml:space="preserve"> </w:t>
      </w:r>
      <w:r w:rsidRPr="006D7647">
        <w:rPr>
          <w:rtl/>
          <w:lang w:eastAsia="zh-TW"/>
        </w:rPr>
        <w:t>القانون الأذربيجاني</w:t>
      </w:r>
      <w:r w:rsidRPr="004A18A6">
        <w:rPr>
          <w:rtl/>
          <w:lang w:eastAsia="zh-TW"/>
        </w:rPr>
        <w:t xml:space="preserve"> </w:t>
      </w:r>
      <w:r w:rsidR="00496246">
        <w:rPr>
          <w:rtl/>
          <w:lang w:eastAsia="zh-TW"/>
        </w:rPr>
        <w:t>لم</w:t>
      </w:r>
      <w:r w:rsidR="00496246">
        <w:rPr>
          <w:rFonts w:hint="cs"/>
          <w:rtl/>
          <w:lang w:eastAsia="zh-TW"/>
        </w:rPr>
        <w:t> </w:t>
      </w:r>
      <w:r w:rsidRPr="006D7647">
        <w:rPr>
          <w:rtl/>
          <w:lang w:eastAsia="zh-TW"/>
        </w:rPr>
        <w:t xml:space="preserve">يكن ينص على عقوبة السجن المؤبد وقت ارتكاب الجرائم التي نُسبت </w:t>
      </w:r>
      <w:r>
        <w:rPr>
          <w:rtl/>
          <w:lang w:eastAsia="zh-TW"/>
        </w:rPr>
        <w:t>إليه والتي عوقب عليها</w:t>
      </w:r>
      <w:r w:rsidRPr="006D7647">
        <w:rPr>
          <w:rtl/>
          <w:lang w:eastAsia="zh-TW"/>
        </w:rPr>
        <w:t xml:space="preserve">، ونتيجةً لذلك، فإن فرض عقوبة السجن المؤبد عليه يشكل انتهاكاً لحقوقه التي تكفلها الفقرة 1 من المادة 15 من العهد. ويؤكد أيضاً، في هذا الصدد، أنه لو حوكم قبل 10 شباط/فبراير 1998، </w:t>
      </w:r>
      <w:r>
        <w:rPr>
          <w:rtl/>
          <w:lang w:eastAsia="zh-TW"/>
        </w:rPr>
        <w:t>ل</w:t>
      </w:r>
      <w:r w:rsidRPr="006D7647">
        <w:rPr>
          <w:rtl/>
          <w:lang w:eastAsia="zh-TW"/>
        </w:rPr>
        <w:t xml:space="preserve">كان سيعاقب بالسجن لمدة 15 عاماً، </w:t>
      </w:r>
      <w:r>
        <w:rPr>
          <w:rtl/>
          <w:lang w:eastAsia="zh-TW"/>
        </w:rPr>
        <w:t>وهو أقسى عقاب كان ينص عليه القانون</w:t>
      </w:r>
      <w:r w:rsidRPr="006D7647">
        <w:rPr>
          <w:rtl/>
          <w:lang w:eastAsia="zh-TW"/>
        </w:rPr>
        <w:t xml:space="preserve"> وقت ارتكاب الجرائم المزعوم</w:t>
      </w:r>
      <w:r>
        <w:rPr>
          <w:rtl/>
          <w:lang w:eastAsia="zh-TW"/>
        </w:rPr>
        <w:t>ة</w:t>
      </w:r>
      <w:r w:rsidRPr="006D7647">
        <w:rPr>
          <w:rtl/>
          <w:lang w:eastAsia="zh-TW"/>
        </w:rPr>
        <w:t xml:space="preserve"> (باستثناء عقوبة الإعدام، التي تعهدت الدولة الطرف بعدم تطبيقها في هذه القضية).</w:t>
      </w:r>
    </w:p>
    <w:p w:rsidR="00EB0881" w:rsidRPr="006D7647" w:rsidRDefault="00EB0881" w:rsidP="00350710">
      <w:pPr>
        <w:pStyle w:val="SingleTxtGA"/>
        <w:rPr>
          <w:rtl/>
          <w:lang w:eastAsia="zh-TW"/>
        </w:rPr>
      </w:pPr>
      <w:r>
        <w:rPr>
          <w:rtl/>
          <w:lang w:eastAsia="zh-TW"/>
        </w:rPr>
        <w:t>2-6</w:t>
      </w:r>
      <w:r>
        <w:rPr>
          <w:rtl/>
          <w:lang w:eastAsia="zh-TW"/>
        </w:rPr>
        <w:tab/>
      </w:r>
      <w:r w:rsidRPr="006D7647">
        <w:rPr>
          <w:rtl/>
          <w:lang w:eastAsia="zh-TW"/>
        </w:rPr>
        <w:t>وقضى صاحب البلاغ، بعد إدانته، سبعة أعوام وحيداً في زنزانة، شهد العامان الأخيران منها دخول البروتوكول الاختياري حيز النفاذ في أذربيجان. وكان محتجزاً خلال العامين الأولين من عقوبته في زنزانة</w:t>
      </w:r>
      <w:r>
        <w:rPr>
          <w:rtl/>
          <w:lang w:eastAsia="zh-TW"/>
        </w:rPr>
        <w:t xml:space="preserve"> بسجن باييل</w:t>
      </w:r>
      <w:r w:rsidRPr="006D7647">
        <w:rPr>
          <w:rtl/>
          <w:lang w:eastAsia="zh-TW"/>
        </w:rPr>
        <w:t xml:space="preserve"> </w:t>
      </w:r>
      <w:r>
        <w:rPr>
          <w:rtl/>
          <w:lang w:eastAsia="zh-TW"/>
        </w:rPr>
        <w:t>كانت مخصصة في السابق للمح</w:t>
      </w:r>
      <w:r w:rsidRPr="006D7647">
        <w:rPr>
          <w:rtl/>
          <w:lang w:eastAsia="zh-TW"/>
        </w:rPr>
        <w:t xml:space="preserve">كوم عليهم </w:t>
      </w:r>
      <w:r w:rsidRPr="00496246">
        <w:rPr>
          <w:spacing w:val="-2"/>
          <w:rtl/>
          <w:lang w:eastAsia="zh-TW"/>
        </w:rPr>
        <w:t>بالإعدام. ونُقل بعدئذ إلى سجن غوبوستان حيث وُضع في زنزانة "لشخصين" عرضها</w:t>
      </w:r>
      <w:r w:rsidRPr="006D7647">
        <w:rPr>
          <w:rtl/>
          <w:lang w:eastAsia="zh-TW"/>
        </w:rPr>
        <w:t xml:space="preserve"> 2</w:t>
      </w:r>
      <w:r>
        <w:rPr>
          <w:rtl/>
          <w:lang w:eastAsia="zh-TW"/>
        </w:rPr>
        <w:t>.</w:t>
      </w:r>
      <w:r w:rsidRPr="006D7647">
        <w:rPr>
          <w:rtl/>
          <w:lang w:eastAsia="zh-TW"/>
        </w:rPr>
        <w:t>55 متر، وطولها 3</w:t>
      </w:r>
      <w:r>
        <w:rPr>
          <w:rtl/>
          <w:lang w:eastAsia="zh-TW"/>
        </w:rPr>
        <w:t>.</w:t>
      </w:r>
      <w:r w:rsidRPr="006D7647">
        <w:rPr>
          <w:rtl/>
          <w:lang w:eastAsia="zh-TW"/>
        </w:rPr>
        <w:t>85 أمتار، وارتفاعها 3</w:t>
      </w:r>
      <w:r>
        <w:rPr>
          <w:rtl/>
          <w:lang w:eastAsia="zh-TW"/>
        </w:rPr>
        <w:t>.</w:t>
      </w:r>
      <w:r w:rsidRPr="006D7647">
        <w:rPr>
          <w:rtl/>
          <w:lang w:eastAsia="zh-TW"/>
        </w:rPr>
        <w:t xml:space="preserve">5 أمتار. ويؤكد صاحب البلاغ أن </w:t>
      </w:r>
      <w:r>
        <w:rPr>
          <w:rtl/>
          <w:lang w:eastAsia="zh-TW"/>
        </w:rPr>
        <w:t>إيداعه</w:t>
      </w:r>
      <w:r w:rsidRPr="006D7647">
        <w:rPr>
          <w:rtl/>
          <w:lang w:eastAsia="zh-TW"/>
        </w:rPr>
        <w:t xml:space="preserve"> "الحبس الانفرادي" يمثل شكلاً من أشكال "التعذيب المعنوي". وكان في الزنزانة مرحاض يحدّه حائط لا يتعدى علوه متراً واحداً. وكانت حيطان الزنزانة وأرضيتها وسقفها مصنوعة كلياً من الإسمنت، مما يجعلها شديدة الحر صيفاً وباردة شتاءً. ويؤكد صاحب البلاغ، علاوةً على ذلك، أن التدفئة لم تكن كافية خلال فصل الشتاء. وكانت في الزنزانة نافذة واحدة مصنوعة من غشاء بلاستيكي استعيض به عن الزجاج. </w:t>
      </w:r>
      <w:r>
        <w:rPr>
          <w:rtl/>
          <w:lang w:eastAsia="zh-TW"/>
        </w:rPr>
        <w:t>ويفيد</w:t>
      </w:r>
      <w:r w:rsidRPr="006D7647">
        <w:rPr>
          <w:rtl/>
          <w:lang w:eastAsia="zh-TW"/>
        </w:rPr>
        <w:t xml:space="preserve"> صاحب البلاغ </w:t>
      </w:r>
      <w:r>
        <w:rPr>
          <w:rtl/>
          <w:lang w:eastAsia="zh-TW"/>
        </w:rPr>
        <w:t>ب</w:t>
      </w:r>
      <w:r w:rsidRPr="006D7647">
        <w:rPr>
          <w:rtl/>
          <w:lang w:eastAsia="zh-TW"/>
        </w:rPr>
        <w:t>أن حجم النافذة لم</w:t>
      </w:r>
      <w:r w:rsidR="00350710">
        <w:rPr>
          <w:rFonts w:hint="cs"/>
          <w:rtl/>
          <w:lang w:eastAsia="zh-TW"/>
        </w:rPr>
        <w:t> </w:t>
      </w:r>
      <w:r w:rsidRPr="006D7647">
        <w:rPr>
          <w:rtl/>
          <w:lang w:eastAsia="zh-TW"/>
        </w:rPr>
        <w:t>يكن يستوفي المعيار المطبق في السجون الوطنية</w:t>
      </w:r>
      <w:r>
        <w:rPr>
          <w:rtl/>
          <w:lang w:eastAsia="zh-TW"/>
        </w:rPr>
        <w:t>،</w:t>
      </w:r>
      <w:r w:rsidRPr="006D7647">
        <w:rPr>
          <w:rtl/>
          <w:lang w:eastAsia="zh-TW"/>
        </w:rPr>
        <w:t xml:space="preserve"> وأنه حرم من الحصول على قدر كاف من التهوية والضوء الطبيعيين. </w:t>
      </w:r>
      <w:r>
        <w:rPr>
          <w:rtl/>
          <w:lang w:eastAsia="zh-TW"/>
        </w:rPr>
        <w:t>ويقول</w:t>
      </w:r>
      <w:r w:rsidRPr="006D7647">
        <w:rPr>
          <w:rtl/>
          <w:lang w:eastAsia="zh-TW"/>
        </w:rPr>
        <w:t xml:space="preserve"> أيضاً </w:t>
      </w:r>
      <w:r>
        <w:rPr>
          <w:rtl/>
          <w:lang w:eastAsia="zh-TW"/>
        </w:rPr>
        <w:t>إ</w:t>
      </w:r>
      <w:r w:rsidRPr="006D7647">
        <w:rPr>
          <w:rtl/>
          <w:lang w:eastAsia="zh-TW"/>
        </w:rPr>
        <w:t>ن الطعام المقدم في ا</w:t>
      </w:r>
      <w:r>
        <w:rPr>
          <w:rtl/>
          <w:lang w:eastAsia="zh-TW"/>
        </w:rPr>
        <w:t>لسجن كان مملاًّ وغير متوازن وخالياً</w:t>
      </w:r>
      <w:r w:rsidRPr="006D7647">
        <w:rPr>
          <w:rtl/>
          <w:lang w:eastAsia="zh-TW"/>
        </w:rPr>
        <w:t xml:space="preserve"> من اللحوم والفيتامينات ودون المعايير المحددة على الصعيد الوطني. ويشير صاحب البلاغ إلى تقرير المقرر الخاص المعني بالتعذيب بشأن البعثة التي اضطلع بها إلى أذربيجان في عام 2000 (</w:t>
      </w:r>
      <w:r w:rsidRPr="006D7647">
        <w:rPr>
          <w:lang w:eastAsia="zh-TW"/>
        </w:rPr>
        <w:t>E/CN.4/2001/66/Add.1</w:t>
      </w:r>
      <w:r w:rsidRPr="006D7647">
        <w:rPr>
          <w:rtl/>
          <w:lang w:eastAsia="zh-TW"/>
        </w:rPr>
        <w:t>، الفقرة 55)، الذي أشار فيه إلى عدم تنظيم أي أنشطة ترفيهية أو تثقيفية في سجن غوبوستان. ويشير أيضاً إلى التوصية التي قدمتها لجنة مناهضة التعذيب في عام 2003 (</w:t>
      </w:r>
      <w:r w:rsidRPr="006D7647">
        <w:rPr>
          <w:lang w:eastAsia="zh-TW"/>
        </w:rPr>
        <w:t>CAT/C/CR/30/1</w:t>
      </w:r>
      <w:r w:rsidR="00496246">
        <w:rPr>
          <w:rtl/>
          <w:lang w:eastAsia="zh-TW"/>
        </w:rPr>
        <w:t>، الفقرة 7(ل)</w:t>
      </w:r>
      <w:r w:rsidRPr="006D7647">
        <w:rPr>
          <w:rtl/>
          <w:lang w:eastAsia="zh-TW"/>
        </w:rPr>
        <w:t xml:space="preserve">) إلى الحكومة لإعادة النظر في مسألة معاملة السجناء الذين يقضون عقوبات بالسجن المؤبد، وإلى عدد من التقارير المقدمة من المنظمات غير الحكومية الدولية والوطنية التي تصف الظروف السيئة السائدة في السجون. </w:t>
      </w:r>
      <w:r>
        <w:rPr>
          <w:rtl/>
          <w:lang w:eastAsia="zh-TW"/>
        </w:rPr>
        <w:t>ويفيد</w:t>
      </w:r>
      <w:r w:rsidRPr="006D7647">
        <w:rPr>
          <w:rtl/>
          <w:lang w:eastAsia="zh-TW"/>
        </w:rPr>
        <w:t xml:space="preserve"> صاحب البلاغ </w:t>
      </w:r>
      <w:r>
        <w:rPr>
          <w:rtl/>
          <w:lang w:eastAsia="zh-TW"/>
        </w:rPr>
        <w:t>كذلك</w:t>
      </w:r>
      <w:r w:rsidRPr="006D7647">
        <w:rPr>
          <w:rtl/>
          <w:lang w:eastAsia="zh-TW"/>
        </w:rPr>
        <w:t xml:space="preserve"> </w:t>
      </w:r>
      <w:r>
        <w:rPr>
          <w:rtl/>
          <w:lang w:eastAsia="zh-TW"/>
        </w:rPr>
        <w:t>ب</w:t>
      </w:r>
      <w:r w:rsidRPr="006D7647">
        <w:rPr>
          <w:rtl/>
          <w:lang w:eastAsia="zh-TW"/>
        </w:rPr>
        <w:t>أنه ح</w:t>
      </w:r>
      <w:r>
        <w:rPr>
          <w:rtl/>
          <w:lang w:eastAsia="zh-TW"/>
        </w:rPr>
        <w:t>ُ</w:t>
      </w:r>
      <w:r w:rsidRPr="006D7647">
        <w:rPr>
          <w:rtl/>
          <w:lang w:eastAsia="zh-TW"/>
        </w:rPr>
        <w:t xml:space="preserve">رم من خدمات الرعاية الطبية رغم معاناته من مشاكل قلبية. </w:t>
      </w:r>
      <w:smartTag w:uri="urn:schemas-microsoft-com:office:smarttags" w:element="place"/>
      <w:smartTag w:uri="urn:schemas-microsoft-com:office:smarttags" w:element="country-region"/>
      <w:smartTag w:uri="urn:schemas-microsoft-com:office:smarttags" w:element="place"/>
      <w:smartTag w:uri="urn:schemas-microsoft-com:office:smarttags" w:element="country-region"/>
    </w:p>
    <w:p w:rsidR="00EB0881" w:rsidRPr="006D7647" w:rsidRDefault="00EB0881" w:rsidP="00D821CB">
      <w:pPr>
        <w:pStyle w:val="SingleTxtGA"/>
        <w:rPr>
          <w:rtl/>
          <w:lang w:eastAsia="zh-TW"/>
        </w:rPr>
      </w:pPr>
      <w:r w:rsidRPr="00D821CB">
        <w:rPr>
          <w:spacing w:val="-6"/>
          <w:rtl/>
          <w:lang w:eastAsia="zh-TW"/>
        </w:rPr>
        <w:t>2-7</w:t>
      </w:r>
      <w:r w:rsidRPr="00D821CB">
        <w:rPr>
          <w:spacing w:val="-6"/>
          <w:rtl/>
          <w:lang w:eastAsia="zh-TW"/>
        </w:rPr>
        <w:tab/>
        <w:t>ويؤكد صاحب البلاغ أن دوافع سياسية كانت وراء محاكمته وإدانته. ففي عام</w:t>
      </w:r>
      <w:r w:rsidRPr="006D7647">
        <w:rPr>
          <w:rtl/>
          <w:lang w:eastAsia="zh-TW"/>
        </w:rPr>
        <w:t xml:space="preserve"> 2001، عيّنت اللجنة الوزارية التابعة لمجلس أوروبا فريقاً يتألف من ثلاثة خبراء مستقلين لإعادة النظر في قضايا السجناء السياسيين في أرمينيا وأذربيجان. وأدرج الخبراء في تقريرهم المؤرخ 16 تموز/يوليه 2001 </w:t>
      </w:r>
      <w:r>
        <w:rPr>
          <w:rtl/>
          <w:lang w:eastAsia="zh-TW"/>
        </w:rPr>
        <w:t xml:space="preserve">اسم </w:t>
      </w:r>
      <w:r w:rsidRPr="006D7647">
        <w:rPr>
          <w:rtl/>
          <w:lang w:eastAsia="zh-TW"/>
        </w:rPr>
        <w:t xml:space="preserve">صاحب البلاغ ضمن المعتقلين الذين يعتبرونهم سجناء سياسيين. ويشير صاحب البلاغ كذلك إلى الأحكام الصادرة عن المحكمة الأوروبية لحقوق الإنسان في القضايا الخاصة ببعض </w:t>
      </w:r>
      <w:r>
        <w:rPr>
          <w:rtl/>
          <w:lang w:eastAsia="zh-TW"/>
        </w:rPr>
        <w:t>مؤيديه</w:t>
      </w:r>
      <w:r w:rsidRPr="006D7647">
        <w:rPr>
          <w:rtl/>
          <w:lang w:eastAsia="zh-TW"/>
        </w:rPr>
        <w:t xml:space="preserve">، مثل قضية </w:t>
      </w:r>
      <w:r w:rsidRPr="007564B4">
        <w:rPr>
          <w:i/>
          <w:iCs/>
          <w:rtl/>
          <w:lang w:eastAsia="zh-TW"/>
        </w:rPr>
        <w:t>عباسوف ضد أذربيجان</w:t>
      </w:r>
      <w:r w:rsidRPr="006D7647">
        <w:rPr>
          <w:rtl/>
          <w:lang w:eastAsia="zh-TW"/>
        </w:rPr>
        <w:t>، التي خلصت فيها المحكمة إلى وجود "حالة نظامية" من السجن السياسي في أذربيجان</w:t>
      </w:r>
      <w:r w:rsidR="004E1FD0" w:rsidRPr="004E1FD0">
        <w:rPr>
          <w:rFonts w:hint="cs"/>
          <w:vertAlign w:val="superscript"/>
          <w:rtl/>
          <w:lang w:eastAsia="zh-TW"/>
        </w:rPr>
        <w:t>(</w:t>
      </w:r>
      <w:r w:rsidRPr="004E1FD0">
        <w:rPr>
          <w:rStyle w:val="FootnoteReference"/>
          <w:rtl/>
          <w:lang w:eastAsia="zh-TW"/>
        </w:rPr>
        <w:footnoteReference w:id="2"/>
      </w:r>
      <w:r w:rsidR="004E1FD0" w:rsidRPr="004E1FD0">
        <w:rPr>
          <w:rFonts w:hint="cs"/>
          <w:vertAlign w:val="superscript"/>
          <w:rtl/>
          <w:lang w:eastAsia="zh-TW"/>
        </w:rPr>
        <w:t>)</w:t>
      </w:r>
      <w:r>
        <w:rPr>
          <w:rtl/>
          <w:lang w:eastAsia="zh-TW"/>
        </w:rPr>
        <w:t>.</w:t>
      </w:r>
      <w:smartTag w:uri="urn:schemas-microsoft-com:office:smarttags" w:element="country-region"/>
      <w:smartTag w:uri="urn:schemas-microsoft-com:office:smarttags" w:element="country-region"/>
    </w:p>
    <w:p w:rsidR="00EB0881" w:rsidRPr="006D7647" w:rsidRDefault="00EB0881" w:rsidP="00651800">
      <w:pPr>
        <w:pStyle w:val="SingleTxtGA"/>
        <w:rPr>
          <w:rtl/>
          <w:lang w:eastAsia="zh-TW"/>
        </w:rPr>
      </w:pPr>
      <w:r>
        <w:rPr>
          <w:rtl/>
          <w:lang w:eastAsia="zh-TW"/>
        </w:rPr>
        <w:t>2-8</w:t>
      </w:r>
      <w:r>
        <w:rPr>
          <w:rtl/>
          <w:lang w:eastAsia="zh-TW"/>
        </w:rPr>
        <w:tab/>
      </w:r>
      <w:r w:rsidRPr="006D7647">
        <w:rPr>
          <w:rtl/>
          <w:lang w:eastAsia="zh-TW"/>
        </w:rPr>
        <w:t xml:space="preserve">وأُطلق سراح صاحب البلاغ بعفو رسمي صدر في عام 2004. </w:t>
      </w:r>
    </w:p>
    <w:p w:rsidR="00EB0881" w:rsidRPr="004D13FB" w:rsidRDefault="00EB0881" w:rsidP="004D13FB">
      <w:pPr>
        <w:pStyle w:val="SingleTxtGA"/>
        <w:rPr>
          <w:spacing w:val="2"/>
          <w:rtl/>
          <w:lang w:eastAsia="zh-TW"/>
        </w:rPr>
      </w:pPr>
      <w:r>
        <w:rPr>
          <w:rtl/>
          <w:lang w:eastAsia="zh-TW"/>
        </w:rPr>
        <w:t>2-9</w:t>
      </w:r>
      <w:r>
        <w:rPr>
          <w:rtl/>
          <w:lang w:eastAsia="zh-TW"/>
        </w:rPr>
        <w:tab/>
      </w:r>
      <w:r w:rsidRPr="006D7647">
        <w:rPr>
          <w:rtl/>
          <w:lang w:eastAsia="zh-TW"/>
        </w:rPr>
        <w:t>وفي 1 أيلول/سبتمبر 2000، دخل ما يسمى القانون الانتقالي حيز النفاذ في أذربيجان، عقب إصلاح القانون الجنائي وقانون الإجراءات الجنائية، فأُلغيت القوانين القديمة ووضعت قواعد لإعادة النظر في الأحكام النهائية الصادرة بموجب تلك القوانين. وفي أيار/</w:t>
      </w:r>
      <w:r w:rsidR="00651800">
        <w:rPr>
          <w:rFonts w:hint="cs"/>
          <w:rtl/>
          <w:lang w:eastAsia="zh-TW"/>
        </w:rPr>
        <w:t xml:space="preserve"> </w:t>
      </w:r>
      <w:r w:rsidRPr="006D7647">
        <w:rPr>
          <w:rtl/>
          <w:lang w:eastAsia="zh-TW"/>
        </w:rPr>
        <w:t>مايو 2005، قدّم صاحب البلاغ إلى المحكمة العليا</w:t>
      </w:r>
      <w:r>
        <w:rPr>
          <w:rtl/>
          <w:lang w:eastAsia="zh-TW"/>
        </w:rPr>
        <w:t>،</w:t>
      </w:r>
      <w:r w:rsidRPr="00ED13FD">
        <w:rPr>
          <w:rtl/>
          <w:lang w:eastAsia="zh-TW"/>
        </w:rPr>
        <w:t xml:space="preserve"> </w:t>
      </w:r>
      <w:r w:rsidRPr="006D7647">
        <w:rPr>
          <w:rtl/>
          <w:lang w:eastAsia="zh-TW"/>
        </w:rPr>
        <w:t>بموجب القانون الانتقالي لعام</w:t>
      </w:r>
      <w:r>
        <w:rPr>
          <w:rtl/>
          <w:lang w:eastAsia="zh-TW"/>
        </w:rPr>
        <w:t xml:space="preserve"> 2000،</w:t>
      </w:r>
      <w:r w:rsidRPr="006D7647">
        <w:rPr>
          <w:rtl/>
          <w:lang w:eastAsia="zh-TW"/>
        </w:rPr>
        <w:t xml:space="preserve"> </w:t>
      </w:r>
      <w:r w:rsidR="008F5F9A">
        <w:rPr>
          <w:rtl/>
          <w:lang w:eastAsia="zh-TW"/>
        </w:rPr>
        <w:t xml:space="preserve">طلب </w:t>
      </w:r>
      <w:r>
        <w:rPr>
          <w:rtl/>
          <w:lang w:eastAsia="zh-TW"/>
        </w:rPr>
        <w:t>طعن</w:t>
      </w:r>
      <w:r w:rsidRPr="006D7647">
        <w:rPr>
          <w:rtl/>
          <w:lang w:eastAsia="zh-TW"/>
        </w:rPr>
        <w:t xml:space="preserve"> بالنقض </w:t>
      </w:r>
      <w:r>
        <w:rPr>
          <w:rtl/>
          <w:lang w:eastAsia="zh-TW"/>
        </w:rPr>
        <w:t>في</w:t>
      </w:r>
      <w:r w:rsidRPr="006D7647">
        <w:rPr>
          <w:rtl/>
          <w:lang w:eastAsia="zh-TW"/>
        </w:rPr>
        <w:t xml:space="preserve"> الحكم الصادر في عام 1999. ورُفض هذا </w:t>
      </w:r>
      <w:r>
        <w:rPr>
          <w:rtl/>
          <w:lang w:eastAsia="zh-TW"/>
        </w:rPr>
        <w:t>الطلب</w:t>
      </w:r>
      <w:r w:rsidRPr="006D7647">
        <w:rPr>
          <w:rtl/>
          <w:lang w:eastAsia="zh-TW"/>
        </w:rPr>
        <w:t xml:space="preserve"> في 9 آب/</w:t>
      </w:r>
      <w:r w:rsidR="00651800">
        <w:rPr>
          <w:rFonts w:hint="cs"/>
          <w:rtl/>
          <w:lang w:eastAsia="zh-TW"/>
        </w:rPr>
        <w:t xml:space="preserve"> </w:t>
      </w:r>
      <w:r w:rsidRPr="006D7647">
        <w:rPr>
          <w:rtl/>
          <w:lang w:eastAsia="zh-TW"/>
        </w:rPr>
        <w:t xml:space="preserve">أغسطس 2005. وفي 5 آذار/مارس 2007، قدم صاحب البلاغ </w:t>
      </w:r>
      <w:r>
        <w:rPr>
          <w:rtl/>
          <w:lang w:eastAsia="zh-TW"/>
        </w:rPr>
        <w:t>طلب طعن</w:t>
      </w:r>
      <w:r w:rsidRPr="006D7647">
        <w:rPr>
          <w:rtl/>
          <w:lang w:eastAsia="zh-TW"/>
        </w:rPr>
        <w:t xml:space="preserve"> آخر بالنقض، فرفضه رئيس المحكمة العليا في 12 آذار/مارس 2007، بدعوى </w:t>
      </w:r>
      <w:r>
        <w:rPr>
          <w:rtl/>
          <w:lang w:eastAsia="zh-TW"/>
        </w:rPr>
        <w:t>انقضاء الأجل القانوني للطعن بالنقض</w:t>
      </w:r>
      <w:r w:rsidRPr="006D7647">
        <w:rPr>
          <w:rtl/>
          <w:lang w:eastAsia="zh-TW"/>
        </w:rPr>
        <w:t xml:space="preserve">. وفي 21 آب/أغسطس 2007، قدم صاحب البلاغ طلباً إلى المحكمة الدستورية بالطعن في قرار المحكمة العليا؛ ورُفض هذا </w:t>
      </w:r>
      <w:r>
        <w:rPr>
          <w:rtl/>
          <w:lang w:eastAsia="zh-TW"/>
        </w:rPr>
        <w:t xml:space="preserve">الطلب أيضاً بدعوى أنه </w:t>
      </w:r>
      <w:r w:rsidRPr="006D7647">
        <w:rPr>
          <w:rtl/>
          <w:lang w:eastAsia="zh-TW"/>
        </w:rPr>
        <w:t>لم يكن مرفَقاً بنسخة من القرار الأخير للمحكمة العليا وأن الطعن استند إلى "أسس واهية". وحاول صاحب البلاغ، في 6 كانون الأول/ديسمبر 2007 و</w:t>
      </w:r>
      <w:r>
        <w:rPr>
          <w:rtl/>
          <w:lang w:eastAsia="zh-TW"/>
        </w:rPr>
        <w:t>في</w:t>
      </w:r>
      <w:r w:rsidRPr="006D7647">
        <w:rPr>
          <w:rtl/>
          <w:lang w:eastAsia="zh-TW"/>
        </w:rPr>
        <w:t xml:space="preserve"> 6 حزيران/يونيه 2008، أن يقدم </w:t>
      </w:r>
      <w:r>
        <w:rPr>
          <w:rtl/>
          <w:lang w:eastAsia="zh-TW"/>
        </w:rPr>
        <w:t>طلبيْ طعن</w:t>
      </w:r>
      <w:r w:rsidRPr="006D7647">
        <w:rPr>
          <w:rtl/>
          <w:lang w:eastAsia="zh-TW"/>
        </w:rPr>
        <w:t xml:space="preserve"> آخرين إلى المحكمة الدستورية. واعتُبر هذان </w:t>
      </w:r>
      <w:r>
        <w:rPr>
          <w:rtl/>
          <w:lang w:eastAsia="zh-TW"/>
        </w:rPr>
        <w:t>الطلبان</w:t>
      </w:r>
      <w:r w:rsidRPr="006D7647">
        <w:rPr>
          <w:rtl/>
          <w:lang w:eastAsia="zh-TW"/>
        </w:rPr>
        <w:t xml:space="preserve"> تكراراً للشكاوى المقدمة فرُفضا. وأُخطر صاحب البلاغ برفض الطعنين اللذين قدمهما عن طريق رسالتين موجهتين من إدارة استقبال المواطنين والشكاوى. ولم ت</w:t>
      </w:r>
      <w:r>
        <w:rPr>
          <w:rtl/>
          <w:lang w:eastAsia="zh-TW"/>
        </w:rPr>
        <w:t>ُ</w:t>
      </w:r>
      <w:r w:rsidRPr="006D7647">
        <w:rPr>
          <w:rtl/>
          <w:lang w:eastAsia="zh-TW"/>
        </w:rPr>
        <w:t xml:space="preserve">صدر المحكمة الدستورية، للمرة الأولى، قراراً رسمياً بعدم المقبولية في قضية صاحب البلاغ سوى في 24 كانون الأول/ديسمبر 2009. </w:t>
      </w:r>
      <w:r w:rsidRPr="004D13FB">
        <w:rPr>
          <w:spacing w:val="2"/>
          <w:rtl/>
          <w:lang w:eastAsia="zh-TW"/>
        </w:rPr>
        <w:t>وجاء في هذا القرار أن آخر سبيل للانتصاف استنفده صاحب البلاغ هو القرار الصادر عن</w:t>
      </w:r>
      <w:r w:rsidR="004D13FB">
        <w:rPr>
          <w:rFonts w:hint="cs"/>
          <w:spacing w:val="2"/>
          <w:rtl/>
          <w:lang w:eastAsia="zh-TW"/>
        </w:rPr>
        <w:t> </w:t>
      </w:r>
      <w:r w:rsidRPr="004D13FB">
        <w:rPr>
          <w:spacing w:val="2"/>
          <w:rtl/>
          <w:lang w:eastAsia="zh-TW"/>
        </w:rPr>
        <w:t xml:space="preserve">المحكمة العليا في 9 آب/أغسطس 2005، وأن الأجل القانوني للطعن في ذلك القرار قد انقضى. ويدّعي صاحب البلاغ أنه استنفد جميع سبل الانتصاف المحلية الفعالة والمتاحة في أذربيجان. </w:t>
      </w:r>
    </w:p>
    <w:p w:rsidR="00EB0881" w:rsidRPr="00ED13FD" w:rsidRDefault="00EB0881" w:rsidP="00651800">
      <w:pPr>
        <w:pStyle w:val="H23GA"/>
        <w:rPr>
          <w:rFonts w:ascii="Traditional Arabic" w:hAnsi="Traditional Arabic"/>
          <w:rtl/>
        </w:rPr>
      </w:pPr>
      <w:r>
        <w:rPr>
          <w:rFonts w:cs="Arial Unicode MS"/>
          <w:rtl/>
        </w:rPr>
        <w:tab/>
      </w:r>
      <w:r>
        <w:rPr>
          <w:rFonts w:cs="Arial Unicode MS"/>
          <w:rtl/>
        </w:rPr>
        <w:tab/>
      </w:r>
      <w:r w:rsidRPr="00ED13FD">
        <w:rPr>
          <w:rtl/>
        </w:rPr>
        <w:t>الشكوى</w:t>
      </w:r>
    </w:p>
    <w:p w:rsidR="00EB0881" w:rsidRPr="006D7647" w:rsidRDefault="00EB0881" w:rsidP="00651800">
      <w:pPr>
        <w:pStyle w:val="SingleTxtGA"/>
        <w:rPr>
          <w:rtl/>
          <w:lang w:eastAsia="zh-TW"/>
        </w:rPr>
      </w:pPr>
      <w:r>
        <w:rPr>
          <w:rtl/>
          <w:lang w:eastAsia="zh-TW"/>
        </w:rPr>
        <w:t>3-1</w:t>
      </w:r>
      <w:r>
        <w:rPr>
          <w:rtl/>
          <w:lang w:eastAsia="zh-TW"/>
        </w:rPr>
        <w:tab/>
      </w:r>
      <w:r w:rsidRPr="006D7647">
        <w:rPr>
          <w:rtl/>
          <w:lang w:eastAsia="zh-TW"/>
        </w:rPr>
        <w:t xml:space="preserve">يدّعي صاحب البلاغ أنه ضحية انتهاك أذربيجان </w:t>
      </w:r>
      <w:r>
        <w:rPr>
          <w:rtl/>
          <w:lang w:eastAsia="zh-TW"/>
        </w:rPr>
        <w:t>ل</w:t>
      </w:r>
      <w:r w:rsidRPr="006D7647">
        <w:rPr>
          <w:rtl/>
          <w:lang w:eastAsia="zh-TW"/>
        </w:rPr>
        <w:t>حقوقه التي تكفلها المواد 7</w:t>
      </w:r>
      <w:r w:rsidR="008F5F9A">
        <w:rPr>
          <w:rtl/>
          <w:lang w:eastAsia="zh-TW"/>
        </w:rPr>
        <w:t xml:space="preserve"> و</w:t>
      </w:r>
      <w:r w:rsidRPr="006D7647">
        <w:rPr>
          <w:rtl/>
          <w:lang w:eastAsia="zh-TW"/>
        </w:rPr>
        <w:t>10</w:t>
      </w:r>
      <w:r w:rsidR="008F5F9A">
        <w:rPr>
          <w:rtl/>
          <w:lang w:eastAsia="zh-TW"/>
        </w:rPr>
        <w:t xml:space="preserve"> و</w:t>
      </w:r>
      <w:r w:rsidRPr="006D7647">
        <w:rPr>
          <w:rtl/>
          <w:lang w:eastAsia="zh-TW"/>
        </w:rPr>
        <w:t>14</w:t>
      </w:r>
      <w:r w:rsidR="008F5F9A">
        <w:rPr>
          <w:rtl/>
          <w:lang w:eastAsia="zh-TW"/>
        </w:rPr>
        <w:t xml:space="preserve"> و</w:t>
      </w:r>
      <w:r w:rsidRPr="006D7647">
        <w:rPr>
          <w:rtl/>
          <w:lang w:eastAsia="zh-TW"/>
        </w:rPr>
        <w:t>15</w:t>
      </w:r>
      <w:r w:rsidR="008F5F9A">
        <w:rPr>
          <w:rtl/>
          <w:lang w:eastAsia="zh-TW"/>
        </w:rPr>
        <w:t xml:space="preserve"> و</w:t>
      </w:r>
      <w:r w:rsidRPr="006D7647">
        <w:rPr>
          <w:rtl/>
          <w:lang w:eastAsia="zh-TW"/>
        </w:rPr>
        <w:t xml:space="preserve">26 من العهد. </w:t>
      </w:r>
    </w:p>
    <w:p w:rsidR="00EB0881" w:rsidRPr="006D7647" w:rsidRDefault="00EB0881" w:rsidP="00651800">
      <w:pPr>
        <w:pStyle w:val="SingleTxtGA"/>
        <w:rPr>
          <w:rtl/>
          <w:lang w:eastAsia="zh-TW"/>
        </w:rPr>
      </w:pPr>
      <w:r>
        <w:rPr>
          <w:rtl/>
          <w:lang w:eastAsia="zh-TW"/>
        </w:rPr>
        <w:t>3-2</w:t>
      </w:r>
      <w:r>
        <w:rPr>
          <w:rtl/>
          <w:lang w:eastAsia="zh-TW"/>
        </w:rPr>
        <w:tab/>
        <w:t>ويفيد</w:t>
      </w:r>
      <w:r w:rsidRPr="006D7647">
        <w:rPr>
          <w:rtl/>
          <w:lang w:eastAsia="zh-TW"/>
        </w:rPr>
        <w:t xml:space="preserve"> </w:t>
      </w:r>
      <w:r>
        <w:rPr>
          <w:rtl/>
          <w:lang w:eastAsia="zh-TW"/>
        </w:rPr>
        <w:t>ب</w:t>
      </w:r>
      <w:r w:rsidRPr="006D7647">
        <w:rPr>
          <w:rtl/>
          <w:lang w:eastAsia="zh-TW"/>
        </w:rPr>
        <w:t xml:space="preserve">أنه تعرض أثناء التحقيق </w:t>
      </w:r>
      <w:r>
        <w:rPr>
          <w:rtl/>
          <w:lang w:eastAsia="zh-TW"/>
        </w:rPr>
        <w:t>قبل</w:t>
      </w:r>
      <w:r w:rsidRPr="006D7647">
        <w:rPr>
          <w:rtl/>
          <w:lang w:eastAsia="zh-TW"/>
        </w:rPr>
        <w:t xml:space="preserve"> </w:t>
      </w:r>
      <w:r>
        <w:rPr>
          <w:rtl/>
          <w:lang w:eastAsia="zh-TW"/>
        </w:rPr>
        <w:t>ا</w:t>
      </w:r>
      <w:r w:rsidRPr="006D7647">
        <w:rPr>
          <w:rtl/>
          <w:lang w:eastAsia="zh-TW"/>
        </w:rPr>
        <w:t xml:space="preserve">لمحاكمة للتعذيب والمعاملة اللاإنسانية والمهينة، ورغم أن هذه المعاملة السيئة حدثت قبل دخول العهد حيز النفاذ، فإنها تركت آثاراً طويلة الأمد على صحته البدنية والنفسية. ويؤكد مرة أخرى أنه قضى سبع سنوات في "الحبس الانفرادي" ويقول إن التجربة التي عاشها في السابق تشكل انتهاكاً لحقوقه المنصوص عليها </w:t>
      </w:r>
      <w:r>
        <w:rPr>
          <w:rtl/>
          <w:lang w:eastAsia="zh-TW"/>
        </w:rPr>
        <w:t xml:space="preserve">في </w:t>
      </w:r>
      <w:r w:rsidRPr="006D7647">
        <w:rPr>
          <w:rtl/>
          <w:lang w:eastAsia="zh-TW"/>
        </w:rPr>
        <w:t xml:space="preserve">المادتين 7 و10 </w:t>
      </w:r>
      <w:r>
        <w:rPr>
          <w:rtl/>
          <w:lang w:eastAsia="zh-TW"/>
        </w:rPr>
        <w:t xml:space="preserve">(الفقرة 1) </w:t>
      </w:r>
      <w:r w:rsidRPr="006D7647">
        <w:rPr>
          <w:rtl/>
          <w:lang w:eastAsia="zh-TW"/>
        </w:rPr>
        <w:t xml:space="preserve">من العهد. </w:t>
      </w:r>
    </w:p>
    <w:p w:rsidR="00EB0881" w:rsidRPr="006D7647" w:rsidRDefault="00EB0881" w:rsidP="00651800">
      <w:pPr>
        <w:pStyle w:val="SingleTxtGA"/>
        <w:rPr>
          <w:rtl/>
          <w:lang w:eastAsia="zh-TW"/>
        </w:rPr>
      </w:pPr>
      <w:r>
        <w:rPr>
          <w:rtl/>
          <w:lang w:eastAsia="zh-TW"/>
        </w:rPr>
        <w:t>3-3</w:t>
      </w:r>
      <w:r>
        <w:rPr>
          <w:rtl/>
          <w:lang w:eastAsia="zh-TW"/>
        </w:rPr>
        <w:tab/>
      </w:r>
      <w:r w:rsidRPr="006D7647">
        <w:rPr>
          <w:rtl/>
          <w:lang w:eastAsia="zh-TW"/>
        </w:rPr>
        <w:t xml:space="preserve">ويؤكد صاحب البلاغ أن إجراءات المحكمة </w:t>
      </w:r>
      <w:r>
        <w:rPr>
          <w:rtl/>
          <w:lang w:eastAsia="zh-TW"/>
        </w:rPr>
        <w:t>ل</w:t>
      </w:r>
      <w:r w:rsidRPr="006D7647">
        <w:rPr>
          <w:rtl/>
          <w:lang w:eastAsia="zh-TW"/>
        </w:rPr>
        <w:t>عاميْ 1999</w:t>
      </w:r>
      <w:r w:rsidR="008F5F9A">
        <w:rPr>
          <w:rtl/>
          <w:lang w:eastAsia="zh-TW"/>
        </w:rPr>
        <w:t xml:space="preserve"> و</w:t>
      </w:r>
      <w:r w:rsidRPr="006D7647">
        <w:rPr>
          <w:rtl/>
          <w:lang w:eastAsia="zh-TW"/>
        </w:rPr>
        <w:t xml:space="preserve">2005 لم تكن منصفة وانتهكت مبدأ </w:t>
      </w:r>
      <w:r>
        <w:rPr>
          <w:rtl/>
          <w:lang w:eastAsia="zh-TW"/>
        </w:rPr>
        <w:t>تكافؤ</w:t>
      </w:r>
      <w:r w:rsidRPr="006D7647">
        <w:rPr>
          <w:rtl/>
          <w:lang w:eastAsia="zh-TW"/>
        </w:rPr>
        <w:t xml:space="preserve"> وسائل الدفاع. ومن ثم انتهكت حقوقه المنصوص عليها في الفقرتين 1 و3 من المادة 14 من العهد. </w:t>
      </w:r>
    </w:p>
    <w:p w:rsidR="00EB0881" w:rsidRPr="006D7647" w:rsidRDefault="00EB0881" w:rsidP="00651800">
      <w:pPr>
        <w:pStyle w:val="SingleTxtGA"/>
        <w:rPr>
          <w:rtl/>
          <w:lang w:eastAsia="zh-TW"/>
        </w:rPr>
      </w:pPr>
      <w:r>
        <w:rPr>
          <w:rtl/>
          <w:lang w:eastAsia="zh-TW"/>
        </w:rPr>
        <w:t>3-4</w:t>
      </w:r>
      <w:r>
        <w:rPr>
          <w:rtl/>
          <w:lang w:eastAsia="zh-TW"/>
        </w:rPr>
        <w:tab/>
      </w:r>
      <w:r w:rsidRPr="006D7647">
        <w:rPr>
          <w:rtl/>
          <w:lang w:eastAsia="zh-TW"/>
        </w:rPr>
        <w:t xml:space="preserve">ويؤكد صاحب البلاغ أيضاً أنه خضع لعقوبة أشد من تلك التي كانت تطبَّق وقت ارتكاب الجريمة المزعومة، الأمر الذي يشكل انتهاكاً لحقوقه المنصوص عليها في الفقرة 1 من المادة 15 من العهد. </w:t>
      </w:r>
    </w:p>
    <w:p w:rsidR="00EB0881" w:rsidRPr="006D7647" w:rsidRDefault="00EB0881" w:rsidP="00651800">
      <w:pPr>
        <w:pStyle w:val="SingleTxtGA"/>
        <w:rPr>
          <w:rtl/>
          <w:lang w:eastAsia="zh-TW"/>
        </w:rPr>
      </w:pPr>
      <w:r>
        <w:rPr>
          <w:rtl/>
          <w:lang w:eastAsia="zh-TW"/>
        </w:rPr>
        <w:t>3-5</w:t>
      </w:r>
      <w:r>
        <w:rPr>
          <w:rtl/>
          <w:lang w:eastAsia="zh-TW"/>
        </w:rPr>
        <w:tab/>
      </w:r>
      <w:r w:rsidRPr="006D7647">
        <w:rPr>
          <w:rtl/>
          <w:lang w:eastAsia="zh-TW"/>
        </w:rPr>
        <w:t xml:space="preserve">وأخيراً، يؤكد صاحب البلاغ أنه تعرض للتمييز لكونه من السجناء السياسيين، وأن </w:t>
      </w:r>
      <w:r>
        <w:rPr>
          <w:rtl/>
          <w:lang w:eastAsia="zh-TW"/>
        </w:rPr>
        <w:t>ح</w:t>
      </w:r>
      <w:r w:rsidRPr="006D7647">
        <w:rPr>
          <w:rtl/>
          <w:lang w:eastAsia="zh-TW"/>
        </w:rPr>
        <w:t>قوق</w:t>
      </w:r>
      <w:r>
        <w:rPr>
          <w:rtl/>
          <w:lang w:eastAsia="zh-TW"/>
        </w:rPr>
        <w:t>ه</w:t>
      </w:r>
      <w:r w:rsidRPr="006D7647">
        <w:rPr>
          <w:rtl/>
          <w:lang w:eastAsia="zh-TW"/>
        </w:rPr>
        <w:t xml:space="preserve"> التي تكفلها المادة 26 من العهد قد انتهكت. </w:t>
      </w:r>
    </w:p>
    <w:p w:rsidR="00EB0881" w:rsidRPr="00DB439C" w:rsidRDefault="00EB0881" w:rsidP="00651800">
      <w:pPr>
        <w:pStyle w:val="H23GA"/>
        <w:rPr>
          <w:rFonts w:ascii="Traditional Arabic" w:hAnsi="Traditional Arabic"/>
          <w:rtl/>
        </w:rPr>
      </w:pPr>
      <w:r>
        <w:rPr>
          <w:rFonts w:cs="Arial Unicode MS"/>
          <w:rtl/>
        </w:rPr>
        <w:tab/>
      </w:r>
      <w:r>
        <w:rPr>
          <w:rFonts w:cs="Arial Unicode MS"/>
          <w:rtl/>
        </w:rPr>
        <w:tab/>
      </w:r>
      <w:r w:rsidRPr="00DB439C">
        <w:rPr>
          <w:rtl/>
        </w:rPr>
        <w:t>ملاحظات الدولة الطرف بشأن المقبولية</w:t>
      </w:r>
    </w:p>
    <w:p w:rsidR="00EB0881" w:rsidRPr="006D7647" w:rsidRDefault="00EB0881" w:rsidP="00651800">
      <w:pPr>
        <w:pStyle w:val="SingleTxtGA"/>
        <w:rPr>
          <w:rtl/>
          <w:lang w:eastAsia="zh-TW"/>
        </w:rPr>
      </w:pPr>
      <w:r>
        <w:rPr>
          <w:rtl/>
          <w:lang w:eastAsia="zh-TW"/>
        </w:rPr>
        <w:t>4-1</w:t>
      </w:r>
      <w:r>
        <w:rPr>
          <w:rtl/>
          <w:lang w:eastAsia="zh-TW"/>
        </w:rPr>
        <w:tab/>
        <w:t>أفادت</w:t>
      </w:r>
      <w:r w:rsidRPr="006D7647">
        <w:rPr>
          <w:rtl/>
          <w:lang w:eastAsia="zh-TW"/>
        </w:rPr>
        <w:t xml:space="preserve"> الدولة الطرف، في 14 حزيران/يونيه 2011، </w:t>
      </w:r>
      <w:r>
        <w:rPr>
          <w:rtl/>
          <w:lang w:eastAsia="zh-TW"/>
        </w:rPr>
        <w:t>ب</w:t>
      </w:r>
      <w:r w:rsidRPr="006D7647">
        <w:rPr>
          <w:rtl/>
          <w:lang w:eastAsia="zh-TW"/>
        </w:rPr>
        <w:t>أن البلاغ غير مقبول في إطار المعنى المقصود في</w:t>
      </w:r>
      <w:r>
        <w:rPr>
          <w:rtl/>
          <w:lang w:eastAsia="zh-TW"/>
        </w:rPr>
        <w:t xml:space="preserve"> المادة 1 و</w:t>
      </w:r>
      <w:r w:rsidR="00651800">
        <w:rPr>
          <w:rtl/>
          <w:lang w:eastAsia="zh-TW"/>
        </w:rPr>
        <w:t>الفقرة 2</w:t>
      </w:r>
      <w:r w:rsidRPr="006D7647">
        <w:rPr>
          <w:rtl/>
          <w:lang w:eastAsia="zh-TW"/>
        </w:rPr>
        <w:t xml:space="preserve">(ب) من </w:t>
      </w:r>
      <w:r>
        <w:rPr>
          <w:rtl/>
          <w:lang w:eastAsia="zh-TW"/>
        </w:rPr>
        <w:t xml:space="preserve">المادة 5 </w:t>
      </w:r>
      <w:r w:rsidRPr="006D7647">
        <w:rPr>
          <w:rtl/>
          <w:lang w:eastAsia="zh-TW"/>
        </w:rPr>
        <w:t xml:space="preserve">من البروتوكول الاختياري. </w:t>
      </w:r>
    </w:p>
    <w:p w:rsidR="00EB0881" w:rsidRPr="006D7647" w:rsidRDefault="00EB0881" w:rsidP="004D13FB">
      <w:pPr>
        <w:pStyle w:val="SingleTxtGA"/>
        <w:rPr>
          <w:rtl/>
          <w:lang w:eastAsia="zh-TW"/>
        </w:rPr>
      </w:pPr>
      <w:r>
        <w:rPr>
          <w:rtl/>
          <w:lang w:eastAsia="zh-TW"/>
        </w:rPr>
        <w:t>4-2</w:t>
      </w:r>
      <w:r>
        <w:rPr>
          <w:rtl/>
          <w:lang w:eastAsia="zh-TW"/>
        </w:rPr>
        <w:tab/>
      </w:r>
      <w:r w:rsidRPr="006D7647">
        <w:rPr>
          <w:rtl/>
          <w:lang w:eastAsia="zh-TW"/>
        </w:rPr>
        <w:t xml:space="preserve">وفيما يتعلق بادعاءات صاحب البلاغ </w:t>
      </w:r>
      <w:r>
        <w:rPr>
          <w:rtl/>
          <w:lang w:eastAsia="zh-TW"/>
        </w:rPr>
        <w:t>بموجب المادة 7 والفقرة 1 من المادة 10</w:t>
      </w:r>
      <w:r w:rsidRPr="006D7647">
        <w:rPr>
          <w:rtl/>
          <w:lang w:eastAsia="zh-TW"/>
        </w:rPr>
        <w:t xml:space="preserve"> من العهد، </w:t>
      </w:r>
      <w:r>
        <w:rPr>
          <w:rtl/>
          <w:lang w:eastAsia="zh-TW"/>
        </w:rPr>
        <w:t>تفيد</w:t>
      </w:r>
      <w:r w:rsidRPr="006D7647">
        <w:rPr>
          <w:rtl/>
          <w:lang w:eastAsia="zh-TW"/>
        </w:rPr>
        <w:t xml:space="preserve"> الدولة الطرف </w:t>
      </w:r>
      <w:r>
        <w:rPr>
          <w:rtl/>
          <w:lang w:eastAsia="zh-TW"/>
        </w:rPr>
        <w:t>ب</w:t>
      </w:r>
      <w:r w:rsidRPr="006D7647">
        <w:rPr>
          <w:rtl/>
          <w:lang w:eastAsia="zh-TW"/>
        </w:rPr>
        <w:t xml:space="preserve">أن صاحب البلاغ لم يستنفد سبل الانتصاف المحلية المتاحة والفعالة. </w:t>
      </w:r>
      <w:r>
        <w:rPr>
          <w:rtl/>
          <w:lang w:eastAsia="zh-TW"/>
        </w:rPr>
        <w:t>وتؤكد</w:t>
      </w:r>
      <w:r w:rsidRPr="006D7647">
        <w:rPr>
          <w:rtl/>
          <w:lang w:eastAsia="zh-TW"/>
        </w:rPr>
        <w:t xml:space="preserve"> أن الفرصة كانت أمامه لرفع القضايا المتعلقة بظروف احتجازه في السجن أمام المحاكم الوطنية. </w:t>
      </w:r>
      <w:r>
        <w:rPr>
          <w:rtl/>
          <w:lang w:eastAsia="zh-TW"/>
        </w:rPr>
        <w:t>ف</w:t>
      </w:r>
      <w:r w:rsidRPr="006D7647">
        <w:rPr>
          <w:rtl/>
          <w:lang w:eastAsia="zh-TW"/>
        </w:rPr>
        <w:t xml:space="preserve">المادة 449 من قانون الإجراءات الجنائية </w:t>
      </w:r>
      <w:r>
        <w:rPr>
          <w:rtl/>
          <w:lang w:eastAsia="zh-TW"/>
        </w:rPr>
        <w:t xml:space="preserve">تنص </w:t>
      </w:r>
      <w:r w:rsidRPr="006D7647">
        <w:rPr>
          <w:rtl/>
          <w:lang w:eastAsia="zh-TW"/>
        </w:rPr>
        <w:t>على أن المتهم، أو</w:t>
      </w:r>
      <w:r w:rsidR="004D13FB">
        <w:rPr>
          <w:rFonts w:hint="cs"/>
          <w:rtl/>
          <w:lang w:eastAsia="zh-TW"/>
        </w:rPr>
        <w:t> </w:t>
      </w:r>
      <w:r w:rsidRPr="006D7647">
        <w:rPr>
          <w:rtl/>
          <w:lang w:eastAsia="zh-TW"/>
        </w:rPr>
        <w:t xml:space="preserve">محاميه، يمكن أن </w:t>
      </w:r>
      <w:r>
        <w:rPr>
          <w:rtl/>
          <w:lang w:eastAsia="zh-TW"/>
        </w:rPr>
        <w:t>يطعن أمام</w:t>
      </w:r>
      <w:r w:rsidRPr="006D7647">
        <w:rPr>
          <w:rtl/>
          <w:lang w:eastAsia="zh-TW"/>
        </w:rPr>
        <w:t xml:space="preserve"> محكمة </w:t>
      </w:r>
      <w:r>
        <w:rPr>
          <w:rtl/>
          <w:lang w:eastAsia="zh-TW"/>
        </w:rPr>
        <w:t>في أية أعمال</w:t>
      </w:r>
      <w:r w:rsidRPr="006D7647">
        <w:rPr>
          <w:rtl/>
          <w:lang w:eastAsia="zh-TW"/>
        </w:rPr>
        <w:t xml:space="preserve"> </w:t>
      </w:r>
      <w:r>
        <w:rPr>
          <w:rtl/>
          <w:lang w:eastAsia="zh-TW"/>
        </w:rPr>
        <w:t xml:space="preserve">إجرائية تقوم بها </w:t>
      </w:r>
      <w:r w:rsidRPr="006D7647">
        <w:rPr>
          <w:rtl/>
          <w:lang w:eastAsia="zh-TW"/>
        </w:rPr>
        <w:t>السلطات القضائية</w:t>
      </w:r>
      <w:r>
        <w:rPr>
          <w:rtl/>
          <w:lang w:eastAsia="zh-TW"/>
        </w:rPr>
        <w:t xml:space="preserve"> أو</w:t>
      </w:r>
      <w:r w:rsidR="004D13FB">
        <w:rPr>
          <w:rFonts w:hint="cs"/>
          <w:rtl/>
          <w:lang w:eastAsia="zh-TW"/>
        </w:rPr>
        <w:t> </w:t>
      </w:r>
      <w:r>
        <w:rPr>
          <w:rtl/>
          <w:lang w:eastAsia="zh-TW"/>
        </w:rPr>
        <w:t>أي</w:t>
      </w:r>
      <w:r w:rsidR="004D13FB">
        <w:rPr>
          <w:rFonts w:hint="cs"/>
          <w:rtl/>
          <w:lang w:eastAsia="zh-TW"/>
        </w:rPr>
        <w:t> </w:t>
      </w:r>
      <w:r>
        <w:rPr>
          <w:rtl/>
          <w:lang w:eastAsia="zh-TW"/>
        </w:rPr>
        <w:t>قرارات تتخذها</w:t>
      </w:r>
      <w:r w:rsidRPr="006D7647">
        <w:rPr>
          <w:rtl/>
          <w:lang w:eastAsia="zh-TW"/>
        </w:rPr>
        <w:t xml:space="preserve"> (بما فيها السلطات المعنية بمرافق الاحتجاز) فيما يتعلق بانتهاك حقوق المحتجزين، أو التعذيب أو غيره من ضروب المعاملة السيئة. بيد أن صاحب البلاغ لم يفعل ذلك، مع أن المحاكم الوطنية كانت متاحة له بشكل عملي ومباشر في آن واحد، ولم تكن هناك أي عقبات تحول دون وصوله إليها. </w:t>
      </w:r>
      <w:r>
        <w:rPr>
          <w:rtl/>
          <w:lang w:eastAsia="zh-TW"/>
        </w:rPr>
        <w:t>وتفيد الدولة الطرف كذلك ب</w:t>
      </w:r>
      <w:r w:rsidRPr="006D7647">
        <w:rPr>
          <w:rtl/>
          <w:lang w:eastAsia="zh-TW"/>
        </w:rPr>
        <w:t>أن من حق صاحب البلاغ أيضاً أن يقدّم شكوى بمقتضى المادة 1100 من القانون المدني، والمواد 5</w:t>
      </w:r>
      <w:r w:rsidR="008F5F9A">
        <w:rPr>
          <w:rtl/>
          <w:lang w:eastAsia="zh-TW"/>
        </w:rPr>
        <w:t xml:space="preserve"> و</w:t>
      </w:r>
      <w:r w:rsidRPr="006D7647">
        <w:rPr>
          <w:rtl/>
          <w:lang w:eastAsia="zh-TW"/>
        </w:rPr>
        <w:t>16</w:t>
      </w:r>
      <w:r w:rsidR="008F5F9A">
        <w:rPr>
          <w:rtl/>
          <w:lang w:eastAsia="zh-TW"/>
        </w:rPr>
        <w:t xml:space="preserve"> و</w:t>
      </w:r>
      <w:r w:rsidRPr="006D7647">
        <w:rPr>
          <w:rtl/>
          <w:lang w:eastAsia="zh-TW"/>
        </w:rPr>
        <w:t>430 من القانون المتعلق بالجرائم الإدارية، والمادتين 10</w:t>
      </w:r>
      <w:r w:rsidR="008F5F9A">
        <w:rPr>
          <w:rtl/>
          <w:lang w:eastAsia="zh-TW"/>
        </w:rPr>
        <w:t xml:space="preserve"> و</w:t>
      </w:r>
      <w:r w:rsidRPr="006D7647">
        <w:rPr>
          <w:rtl/>
          <w:lang w:eastAsia="zh-TW"/>
        </w:rPr>
        <w:t>14 من قانون تنفيذ العقوبات الجنائية، و</w:t>
      </w:r>
      <w:r>
        <w:rPr>
          <w:rtl/>
          <w:lang w:eastAsia="zh-TW"/>
        </w:rPr>
        <w:t>بمقتضى معايير قانونية محلية أخرى</w:t>
      </w:r>
      <w:r w:rsidRPr="006D7647">
        <w:rPr>
          <w:rtl/>
          <w:lang w:eastAsia="zh-TW"/>
        </w:rPr>
        <w:t xml:space="preserve">. وتؤكد الدولة الطرف أن رفع دعوى مدنية بشأن ظروف الاحتجاز وعدم </w:t>
      </w:r>
      <w:r>
        <w:rPr>
          <w:rtl/>
          <w:lang w:eastAsia="zh-TW"/>
        </w:rPr>
        <w:t>الحصول على</w:t>
      </w:r>
      <w:r w:rsidRPr="006D7647">
        <w:rPr>
          <w:rtl/>
          <w:lang w:eastAsia="zh-TW"/>
        </w:rPr>
        <w:t xml:space="preserve"> علاج طبي مناسب يمثل سبيل انتصاف فعالاً، وتستشهد بقضية </w:t>
      </w:r>
      <w:r w:rsidRPr="00464F6C">
        <w:rPr>
          <w:i/>
          <w:iCs/>
          <w:rtl/>
          <w:lang w:eastAsia="zh-TW"/>
        </w:rPr>
        <w:t xml:space="preserve">مامادوف ضد </w:t>
      </w:r>
      <w:r>
        <w:rPr>
          <w:i/>
          <w:iCs/>
          <w:rtl/>
          <w:lang w:eastAsia="zh-TW"/>
        </w:rPr>
        <w:t>مؤسسة</w:t>
      </w:r>
      <w:r w:rsidRPr="00464F6C">
        <w:rPr>
          <w:i/>
          <w:iCs/>
          <w:rtl/>
          <w:lang w:eastAsia="zh-TW"/>
        </w:rPr>
        <w:t xml:space="preserve"> </w:t>
      </w:r>
      <w:r>
        <w:rPr>
          <w:i/>
          <w:iCs/>
          <w:rtl/>
          <w:lang w:eastAsia="zh-TW"/>
        </w:rPr>
        <w:t>السجون</w:t>
      </w:r>
      <w:r w:rsidRPr="00464F6C">
        <w:rPr>
          <w:i/>
          <w:iCs/>
          <w:rtl/>
          <w:lang w:eastAsia="zh-TW"/>
        </w:rPr>
        <w:t xml:space="preserve"> رقم 15 التابعة لوزارة العدل في جمهورية أذربيجان</w:t>
      </w:r>
      <w:r w:rsidRPr="006D7647">
        <w:rPr>
          <w:rtl/>
          <w:lang w:eastAsia="zh-TW"/>
        </w:rPr>
        <w:t xml:space="preserve">، التي نظرت فيها المحكمة المحلية </w:t>
      </w:r>
      <w:r>
        <w:rPr>
          <w:rtl/>
          <w:lang w:eastAsia="zh-TW"/>
        </w:rPr>
        <w:t>ل</w:t>
      </w:r>
      <w:r w:rsidRPr="006D7647">
        <w:rPr>
          <w:rtl/>
          <w:lang w:eastAsia="zh-TW"/>
        </w:rPr>
        <w:t xml:space="preserve">مقاطعة نظامي. وتؤكد الدولة الطرف </w:t>
      </w:r>
      <w:r>
        <w:rPr>
          <w:rtl/>
          <w:lang w:eastAsia="zh-TW"/>
        </w:rPr>
        <w:t>كذلك</w:t>
      </w:r>
      <w:r w:rsidRPr="006D7647">
        <w:rPr>
          <w:rtl/>
          <w:lang w:eastAsia="zh-TW"/>
        </w:rPr>
        <w:t xml:space="preserve"> </w:t>
      </w:r>
      <w:r>
        <w:rPr>
          <w:rtl/>
          <w:lang w:eastAsia="zh-TW"/>
        </w:rPr>
        <w:t xml:space="preserve">أن </w:t>
      </w:r>
      <w:r w:rsidRPr="006D7647">
        <w:rPr>
          <w:rtl/>
          <w:lang w:eastAsia="zh-TW"/>
        </w:rPr>
        <w:t>صاحب البلاغ كان بإمكان</w:t>
      </w:r>
      <w:r>
        <w:rPr>
          <w:rtl/>
          <w:lang w:eastAsia="zh-TW"/>
        </w:rPr>
        <w:t>ه</w:t>
      </w:r>
      <w:r w:rsidRPr="006D7647">
        <w:rPr>
          <w:rtl/>
          <w:lang w:eastAsia="zh-TW"/>
        </w:rPr>
        <w:t xml:space="preserve"> أن </w:t>
      </w:r>
      <w:r>
        <w:rPr>
          <w:rtl/>
          <w:lang w:eastAsia="zh-TW"/>
        </w:rPr>
        <w:t>ي</w:t>
      </w:r>
      <w:r w:rsidRPr="006D7647">
        <w:rPr>
          <w:rtl/>
          <w:lang w:eastAsia="zh-TW"/>
        </w:rPr>
        <w:t>ستفيد من سبل الانتصاف الإدارية</w:t>
      </w:r>
      <w:r w:rsidRPr="000935AC">
        <w:rPr>
          <w:rtl/>
          <w:lang w:eastAsia="zh-TW"/>
        </w:rPr>
        <w:t xml:space="preserve"> </w:t>
      </w:r>
      <w:r>
        <w:rPr>
          <w:rtl/>
          <w:lang w:eastAsia="zh-TW"/>
        </w:rPr>
        <w:t>أيضاً</w:t>
      </w:r>
      <w:r w:rsidRPr="006D7647">
        <w:rPr>
          <w:rtl/>
          <w:lang w:eastAsia="zh-TW"/>
        </w:rPr>
        <w:t xml:space="preserve">، أي من خلال تقديم شكوى إلى وزارة العدل. وتشير إلى </w:t>
      </w:r>
      <w:r>
        <w:rPr>
          <w:rtl/>
          <w:lang w:eastAsia="zh-TW"/>
        </w:rPr>
        <w:t>قضية</w:t>
      </w:r>
      <w:r w:rsidRPr="006D7647">
        <w:rPr>
          <w:rtl/>
          <w:lang w:eastAsia="zh-TW"/>
        </w:rPr>
        <w:t xml:space="preserve"> فرض فيها نائب وزير العدل، في 14 كانون الأول/ديسمبر 2007، عقوبة تأديبية على نائب مدير </w:t>
      </w:r>
      <w:r>
        <w:rPr>
          <w:rtl/>
          <w:lang w:eastAsia="zh-TW"/>
        </w:rPr>
        <w:t>م</w:t>
      </w:r>
      <w:r w:rsidRPr="006D7647">
        <w:rPr>
          <w:rtl/>
          <w:lang w:eastAsia="zh-TW"/>
        </w:rPr>
        <w:t xml:space="preserve">ركز </w:t>
      </w:r>
      <w:r>
        <w:rPr>
          <w:rtl/>
          <w:lang w:eastAsia="zh-TW"/>
        </w:rPr>
        <w:t>ا</w:t>
      </w:r>
      <w:r w:rsidRPr="006D7647">
        <w:rPr>
          <w:rtl/>
          <w:lang w:eastAsia="zh-TW"/>
        </w:rPr>
        <w:t>حتجاز بسبب معاملته المهينة لأحد المحتجزين. و</w:t>
      </w:r>
      <w:r>
        <w:rPr>
          <w:rtl/>
          <w:lang w:eastAsia="zh-TW"/>
        </w:rPr>
        <w:t>أُقرّت</w:t>
      </w:r>
      <w:r w:rsidRPr="006D7647">
        <w:rPr>
          <w:rtl/>
          <w:lang w:eastAsia="zh-TW"/>
        </w:rPr>
        <w:t xml:space="preserve"> تلك العقوبة بعد إجراء تحقيق داخلي لم يطلبه المحتج</w:t>
      </w:r>
      <w:r>
        <w:rPr>
          <w:rtl/>
          <w:lang w:eastAsia="zh-TW"/>
        </w:rPr>
        <w:t>َ</w:t>
      </w:r>
      <w:r w:rsidRPr="006D7647">
        <w:rPr>
          <w:rtl/>
          <w:lang w:eastAsia="zh-TW"/>
        </w:rPr>
        <w:t>ز. وتشير الدولة الطرف أيضاً إلى قرار صدر عن نائب وزير العدل لإلغاء قرار مدير أحد السجون بإيداع أحد السجناء زنزانة</w:t>
      </w:r>
      <w:r>
        <w:rPr>
          <w:rtl/>
          <w:lang w:eastAsia="zh-TW"/>
        </w:rPr>
        <w:t>ً</w:t>
      </w:r>
      <w:r w:rsidRPr="006D7647">
        <w:rPr>
          <w:rtl/>
          <w:lang w:eastAsia="zh-TW"/>
        </w:rPr>
        <w:t xml:space="preserve"> تأديبية</w:t>
      </w:r>
      <w:r>
        <w:rPr>
          <w:rtl/>
          <w:lang w:eastAsia="zh-TW"/>
        </w:rPr>
        <w:t>ً</w:t>
      </w:r>
      <w:r w:rsidRPr="006D7647">
        <w:rPr>
          <w:rtl/>
          <w:lang w:eastAsia="zh-TW"/>
        </w:rPr>
        <w:t xml:space="preserve">، وجاء هذا القرار عقب شكوى قدمها السجين المعني. </w:t>
      </w:r>
    </w:p>
    <w:p w:rsidR="00EB0881" w:rsidRPr="006D7647" w:rsidRDefault="00EB0881" w:rsidP="004D13FB">
      <w:pPr>
        <w:pStyle w:val="SingleTxtGA"/>
        <w:rPr>
          <w:rtl/>
          <w:lang w:eastAsia="zh-TW"/>
        </w:rPr>
      </w:pPr>
      <w:r>
        <w:rPr>
          <w:rtl/>
          <w:lang w:eastAsia="zh-TW"/>
        </w:rPr>
        <w:t>4-3</w:t>
      </w:r>
      <w:r>
        <w:rPr>
          <w:rtl/>
          <w:lang w:eastAsia="zh-TW"/>
        </w:rPr>
        <w:tab/>
      </w:r>
      <w:r w:rsidRPr="006D7647">
        <w:rPr>
          <w:rtl/>
          <w:lang w:eastAsia="zh-TW"/>
        </w:rPr>
        <w:t xml:space="preserve">وفيما يتعلق بادعاءات صاحب البلاغ </w:t>
      </w:r>
      <w:r>
        <w:rPr>
          <w:rtl/>
          <w:lang w:eastAsia="zh-TW"/>
        </w:rPr>
        <w:t>المتصلة</w:t>
      </w:r>
      <w:r w:rsidRPr="006D7647">
        <w:rPr>
          <w:rtl/>
          <w:lang w:eastAsia="zh-TW"/>
        </w:rPr>
        <w:t xml:space="preserve"> بالمادة 14، تلاحظ الدولة الطرف أن البروتوكول الاختياري دخل حيز النفاذ </w:t>
      </w:r>
      <w:r>
        <w:rPr>
          <w:rtl/>
          <w:lang w:eastAsia="zh-TW"/>
        </w:rPr>
        <w:t>في أذربيجان</w:t>
      </w:r>
      <w:r w:rsidRPr="006D7647">
        <w:rPr>
          <w:rtl/>
          <w:lang w:eastAsia="zh-TW"/>
        </w:rPr>
        <w:t xml:space="preserve"> في 27 شباط/فبراير 2002، وتعتبر بالتالي أن أيّ شكاوى متصلة بالأحداث التي وقعت قبل ذلك التاريخ، وبالتحديد الادعاءات المتعلقة ب</w:t>
      </w:r>
      <w:r>
        <w:rPr>
          <w:rtl/>
          <w:lang w:eastAsia="zh-TW"/>
        </w:rPr>
        <w:t>م</w:t>
      </w:r>
      <w:r w:rsidRPr="006D7647">
        <w:rPr>
          <w:rtl/>
          <w:lang w:eastAsia="zh-TW"/>
        </w:rPr>
        <w:t xml:space="preserve">حاكمة عام 1999، </w:t>
      </w:r>
      <w:r>
        <w:rPr>
          <w:rtl/>
          <w:lang w:eastAsia="zh-TW"/>
        </w:rPr>
        <w:t xml:space="preserve">هي شكاوى </w:t>
      </w:r>
      <w:r w:rsidRPr="006D7647">
        <w:rPr>
          <w:rtl/>
          <w:lang w:eastAsia="zh-TW"/>
        </w:rPr>
        <w:t xml:space="preserve">خارجة عن نطاق </w:t>
      </w:r>
      <w:r w:rsidRPr="00942635">
        <w:rPr>
          <w:i/>
          <w:iCs/>
          <w:rtl/>
          <w:lang w:eastAsia="zh-TW"/>
        </w:rPr>
        <w:t>الاختصاص الزماني</w:t>
      </w:r>
      <w:r w:rsidRPr="006D7647">
        <w:rPr>
          <w:rtl/>
          <w:lang w:eastAsia="zh-TW"/>
        </w:rPr>
        <w:t xml:space="preserve"> للجنة. وأما بالنسبة </w:t>
      </w:r>
      <w:r>
        <w:rPr>
          <w:rtl/>
          <w:lang w:eastAsia="zh-TW"/>
        </w:rPr>
        <w:t>للإجراءات أمام</w:t>
      </w:r>
      <w:r w:rsidRPr="006D7647">
        <w:rPr>
          <w:rtl/>
          <w:lang w:eastAsia="zh-TW"/>
        </w:rPr>
        <w:t xml:space="preserve"> المحكمة العليا التي رفضت </w:t>
      </w:r>
      <w:r>
        <w:rPr>
          <w:rtl/>
          <w:lang w:eastAsia="zh-TW"/>
        </w:rPr>
        <w:t xml:space="preserve">طلب </w:t>
      </w:r>
      <w:r w:rsidRPr="006D7647">
        <w:rPr>
          <w:rtl/>
          <w:lang w:eastAsia="zh-TW"/>
        </w:rPr>
        <w:t xml:space="preserve">الطعن بالنقض الذي قدمه صاحب البلاغ في 9 آب/أغسطس 2005، فإن الدولة الطرف </w:t>
      </w:r>
      <w:r>
        <w:rPr>
          <w:rtl/>
          <w:lang w:eastAsia="zh-TW"/>
        </w:rPr>
        <w:t>تفيد</w:t>
      </w:r>
      <w:r w:rsidRPr="006D7647">
        <w:rPr>
          <w:rtl/>
          <w:lang w:eastAsia="zh-TW"/>
        </w:rPr>
        <w:t xml:space="preserve"> </w:t>
      </w:r>
      <w:r>
        <w:rPr>
          <w:rtl/>
          <w:lang w:eastAsia="zh-TW"/>
        </w:rPr>
        <w:t>ب</w:t>
      </w:r>
      <w:r w:rsidRPr="006D7647">
        <w:rPr>
          <w:rtl/>
          <w:lang w:eastAsia="zh-TW"/>
        </w:rPr>
        <w:t>أن صاحب البلاغ لم</w:t>
      </w:r>
      <w:r w:rsidR="004D13FB">
        <w:rPr>
          <w:rFonts w:hint="cs"/>
          <w:rtl/>
          <w:lang w:eastAsia="zh-TW"/>
        </w:rPr>
        <w:t> </w:t>
      </w:r>
      <w:r w:rsidRPr="006D7647">
        <w:rPr>
          <w:rtl/>
          <w:lang w:eastAsia="zh-TW"/>
        </w:rPr>
        <w:t xml:space="preserve">يقدم الأدلة </w:t>
      </w:r>
      <w:r>
        <w:rPr>
          <w:rtl/>
          <w:lang w:eastAsia="zh-TW"/>
        </w:rPr>
        <w:t>التي تثبت</w:t>
      </w:r>
      <w:r w:rsidRPr="006D7647">
        <w:rPr>
          <w:rtl/>
          <w:lang w:eastAsia="zh-TW"/>
        </w:rPr>
        <w:t xml:space="preserve"> شكاواه. وتؤكد الدولة الطرف أن قرار المحكمة العليا </w:t>
      </w:r>
      <w:r>
        <w:rPr>
          <w:rtl/>
          <w:lang w:eastAsia="zh-TW"/>
        </w:rPr>
        <w:t xml:space="preserve">يُظهر </w:t>
      </w:r>
      <w:r w:rsidRPr="006D7647">
        <w:rPr>
          <w:rtl/>
          <w:lang w:eastAsia="zh-TW"/>
        </w:rPr>
        <w:t xml:space="preserve">أن صاحب البلاغ استفاد من إجراءات محاكمة حضورية وكان بإمكانه إبلاغ المحكمة بالحجج التي رآها </w:t>
      </w:r>
      <w:r>
        <w:rPr>
          <w:rtl/>
          <w:lang w:eastAsia="zh-TW"/>
        </w:rPr>
        <w:t>مهمة</w:t>
      </w:r>
      <w:r w:rsidRPr="006D7647">
        <w:rPr>
          <w:rtl/>
          <w:lang w:eastAsia="zh-TW"/>
        </w:rPr>
        <w:t xml:space="preserve"> في هذه القضية. </w:t>
      </w:r>
      <w:r>
        <w:rPr>
          <w:rtl/>
          <w:lang w:eastAsia="zh-TW"/>
        </w:rPr>
        <w:t>وبما أن</w:t>
      </w:r>
      <w:r w:rsidRPr="006D7647">
        <w:rPr>
          <w:rtl/>
          <w:lang w:eastAsia="zh-TW"/>
        </w:rPr>
        <w:t xml:space="preserve"> الشكوى المقدمة من صاحب البلاغ تتعلق بنتائج الإجراءات أمام المحكمة العليا، </w:t>
      </w:r>
      <w:r>
        <w:rPr>
          <w:rtl/>
          <w:lang w:eastAsia="zh-TW"/>
        </w:rPr>
        <w:t>تفيد</w:t>
      </w:r>
      <w:r w:rsidRPr="006D7647">
        <w:rPr>
          <w:rtl/>
          <w:lang w:eastAsia="zh-TW"/>
        </w:rPr>
        <w:t xml:space="preserve"> الدولة الطرف </w:t>
      </w:r>
      <w:r>
        <w:rPr>
          <w:rtl/>
          <w:lang w:eastAsia="zh-TW"/>
        </w:rPr>
        <w:t>ب</w:t>
      </w:r>
      <w:r w:rsidRPr="006D7647">
        <w:rPr>
          <w:rtl/>
          <w:lang w:eastAsia="zh-TW"/>
        </w:rPr>
        <w:t xml:space="preserve">أن </w:t>
      </w:r>
      <w:r>
        <w:rPr>
          <w:rtl/>
          <w:lang w:eastAsia="zh-TW"/>
        </w:rPr>
        <w:t>تصحيح</w:t>
      </w:r>
      <w:r w:rsidRPr="006D7647">
        <w:rPr>
          <w:rtl/>
          <w:lang w:eastAsia="zh-TW"/>
        </w:rPr>
        <w:t xml:space="preserve"> الأخطاء على مستوى الوقائع أو القوانين، التي يُزعم أن محكمة وطنية </w:t>
      </w:r>
      <w:r>
        <w:rPr>
          <w:rtl/>
          <w:lang w:eastAsia="zh-TW"/>
        </w:rPr>
        <w:t xml:space="preserve">قد </w:t>
      </w:r>
      <w:r w:rsidRPr="006D7647">
        <w:rPr>
          <w:rtl/>
          <w:lang w:eastAsia="zh-TW"/>
        </w:rPr>
        <w:t xml:space="preserve">ارتكبتها، ليس من مهام اللجنة، إلاّ إذا كانت تلك الأخطاء </w:t>
      </w:r>
      <w:r>
        <w:rPr>
          <w:rtl/>
          <w:lang w:eastAsia="zh-TW"/>
        </w:rPr>
        <w:t>تشكل</w:t>
      </w:r>
      <w:r w:rsidRPr="006D7647">
        <w:rPr>
          <w:rtl/>
          <w:lang w:eastAsia="zh-TW"/>
        </w:rPr>
        <w:t xml:space="preserve"> انتهاك</w:t>
      </w:r>
      <w:r>
        <w:rPr>
          <w:rtl/>
          <w:lang w:eastAsia="zh-TW"/>
        </w:rPr>
        <w:t>اً</w:t>
      </w:r>
      <w:r w:rsidRPr="006D7647">
        <w:rPr>
          <w:rtl/>
          <w:lang w:eastAsia="zh-TW"/>
        </w:rPr>
        <w:t xml:space="preserve"> للحقوق والحريات التي يحميها العهد. </w:t>
      </w:r>
      <w:r>
        <w:rPr>
          <w:rtl/>
          <w:lang w:eastAsia="zh-TW"/>
        </w:rPr>
        <w:t>وتؤكد</w:t>
      </w:r>
      <w:r w:rsidRPr="006D7647">
        <w:rPr>
          <w:rtl/>
          <w:lang w:eastAsia="zh-TW"/>
        </w:rPr>
        <w:t xml:space="preserve"> الدولة الطرف أن هذا الجزء من البلاغ </w:t>
      </w:r>
      <w:r>
        <w:rPr>
          <w:rtl/>
          <w:lang w:eastAsia="zh-TW"/>
        </w:rPr>
        <w:t>لا يتوافق</w:t>
      </w:r>
      <w:r w:rsidRPr="006D7647">
        <w:rPr>
          <w:rtl/>
          <w:lang w:eastAsia="zh-TW"/>
        </w:rPr>
        <w:t xml:space="preserve"> مع أحكام العهد، وينبغي </w:t>
      </w:r>
      <w:r>
        <w:rPr>
          <w:rtl/>
          <w:lang w:eastAsia="zh-TW"/>
        </w:rPr>
        <w:t xml:space="preserve">إذن </w:t>
      </w:r>
      <w:r w:rsidRPr="006D7647">
        <w:rPr>
          <w:rtl/>
          <w:lang w:eastAsia="zh-TW"/>
        </w:rPr>
        <w:t>رفض</w:t>
      </w:r>
      <w:r>
        <w:rPr>
          <w:rtl/>
          <w:lang w:eastAsia="zh-TW"/>
        </w:rPr>
        <w:t>ه</w:t>
      </w:r>
      <w:r w:rsidRPr="006D7647">
        <w:rPr>
          <w:rtl/>
          <w:lang w:eastAsia="zh-TW"/>
        </w:rPr>
        <w:t xml:space="preserve"> عملاً بالمادة 3 من البروتوكول الاختياري. </w:t>
      </w:r>
    </w:p>
    <w:p w:rsidR="00EB0881" w:rsidRPr="006D7647" w:rsidRDefault="00EB0881" w:rsidP="00ED267B">
      <w:pPr>
        <w:pStyle w:val="SingleTxtGA"/>
        <w:spacing w:after="100" w:line="376" w:lineRule="exact"/>
        <w:rPr>
          <w:rtl/>
          <w:lang w:eastAsia="zh-TW"/>
        </w:rPr>
      </w:pPr>
      <w:r>
        <w:rPr>
          <w:rtl/>
          <w:lang w:eastAsia="zh-TW"/>
        </w:rPr>
        <w:t>4-4</w:t>
      </w:r>
      <w:r>
        <w:rPr>
          <w:rtl/>
          <w:lang w:eastAsia="zh-TW"/>
        </w:rPr>
        <w:tab/>
      </w:r>
      <w:r w:rsidRPr="006D7647">
        <w:rPr>
          <w:rtl/>
          <w:lang w:eastAsia="zh-TW"/>
        </w:rPr>
        <w:t xml:space="preserve">وفيما يتعلق بادعاءات صاحب البلاغ </w:t>
      </w:r>
      <w:r>
        <w:rPr>
          <w:rtl/>
          <w:lang w:eastAsia="zh-TW"/>
        </w:rPr>
        <w:t>في إطار</w:t>
      </w:r>
      <w:r w:rsidRPr="006D7647">
        <w:rPr>
          <w:rtl/>
          <w:lang w:eastAsia="zh-TW"/>
        </w:rPr>
        <w:t xml:space="preserve"> الفقرة 1 من المادة 15 من العهد، </w:t>
      </w:r>
      <w:r>
        <w:rPr>
          <w:rtl/>
          <w:lang w:eastAsia="zh-TW"/>
        </w:rPr>
        <w:t>تفيد</w:t>
      </w:r>
      <w:r w:rsidRPr="006D7647">
        <w:rPr>
          <w:rtl/>
          <w:lang w:eastAsia="zh-TW"/>
        </w:rPr>
        <w:t xml:space="preserve"> الدولة الطرف </w:t>
      </w:r>
      <w:r>
        <w:rPr>
          <w:rtl/>
          <w:lang w:eastAsia="zh-TW"/>
        </w:rPr>
        <w:t>ب</w:t>
      </w:r>
      <w:r w:rsidRPr="006D7647">
        <w:rPr>
          <w:rtl/>
          <w:lang w:eastAsia="zh-TW"/>
        </w:rPr>
        <w:t>أن "تخفيف عقوبة الإعدام المنصوص عليه في منطوق حكم القانون البرلماني دخل حيز النفاذ في 10 شباط/فبراير 1998. وكان ذلك إجراءً آنياً، إذ إنه أحدث تغييراً فورياً في وضع المدانين المعنيين، بمن فيهم صاحب البلاغ". ولذلك، تصر</w:t>
      </w:r>
      <w:r>
        <w:rPr>
          <w:rtl/>
          <w:lang w:eastAsia="zh-TW"/>
        </w:rPr>
        <w:t>ّ</w:t>
      </w:r>
      <w:r w:rsidRPr="006D7647">
        <w:rPr>
          <w:rtl/>
          <w:lang w:eastAsia="zh-TW"/>
        </w:rPr>
        <w:t xml:space="preserve"> الدولة الطرف على أن هذه المسألة خارجة عن </w:t>
      </w:r>
      <w:r>
        <w:rPr>
          <w:rtl/>
          <w:lang w:eastAsia="zh-TW"/>
        </w:rPr>
        <w:t xml:space="preserve">نطاق </w:t>
      </w:r>
      <w:r w:rsidRPr="00942635">
        <w:rPr>
          <w:i/>
          <w:iCs/>
          <w:rtl/>
          <w:lang w:eastAsia="zh-TW"/>
        </w:rPr>
        <w:t>الاختصاص الزماني</w:t>
      </w:r>
      <w:r w:rsidRPr="006D7647">
        <w:rPr>
          <w:rtl/>
          <w:lang w:eastAsia="zh-TW"/>
        </w:rPr>
        <w:t xml:space="preserve"> للجنة. وعلاوةً على ذلك، لم يكن الغرض من إصدار القانون المؤرخ 10 شباط/فبراير 1998 والمعدِّل لأحكام القانون الجنائي القديم </w:t>
      </w:r>
      <w:r>
        <w:rPr>
          <w:rtl/>
          <w:lang w:eastAsia="zh-TW"/>
        </w:rPr>
        <w:t>إقرار</w:t>
      </w:r>
      <w:r w:rsidRPr="006D7647">
        <w:rPr>
          <w:rtl/>
          <w:lang w:eastAsia="zh-TW"/>
        </w:rPr>
        <w:t xml:space="preserve"> عقوبة جديدة </w:t>
      </w:r>
      <w:r>
        <w:rPr>
          <w:rtl/>
          <w:lang w:eastAsia="zh-TW"/>
        </w:rPr>
        <w:t>لل</w:t>
      </w:r>
      <w:r w:rsidRPr="006D7647">
        <w:rPr>
          <w:rtl/>
          <w:lang w:eastAsia="zh-TW"/>
        </w:rPr>
        <w:t xml:space="preserve">جرائم </w:t>
      </w:r>
      <w:r>
        <w:rPr>
          <w:rtl/>
          <w:lang w:eastAsia="zh-TW"/>
        </w:rPr>
        <w:t>ال</w:t>
      </w:r>
      <w:r w:rsidRPr="006D7647">
        <w:rPr>
          <w:rtl/>
          <w:lang w:eastAsia="zh-TW"/>
        </w:rPr>
        <w:t>جنائية، بل الغاية من التعديل "كانت أساساً إجراء تبديل عام لعقوبة الإعدام بالسجن المؤبد" ووفقاً للقانون المحلي لأذربيجان، يطبَّق بأثر رجعي أيّ</w:t>
      </w:r>
      <w:r w:rsidR="00ED267B">
        <w:rPr>
          <w:rFonts w:hint="cs"/>
          <w:rtl/>
          <w:lang w:eastAsia="zh-TW"/>
        </w:rPr>
        <w:t> </w:t>
      </w:r>
      <w:r w:rsidRPr="006D7647">
        <w:rPr>
          <w:rtl/>
          <w:lang w:eastAsia="zh-TW"/>
        </w:rPr>
        <w:t>حكم قانوني جديد ينص على تحسين وضع الأشخاص</w:t>
      </w:r>
      <w:r w:rsidR="008F5F9A">
        <w:rPr>
          <w:rtl/>
          <w:lang w:eastAsia="zh-TW"/>
        </w:rPr>
        <w:t xml:space="preserve"> الذين تقع عليهم مسؤولية جنائية</w:t>
      </w:r>
      <w:r w:rsidRPr="006D7647">
        <w:rPr>
          <w:rtl/>
          <w:lang w:eastAsia="zh-TW"/>
        </w:rPr>
        <w:t xml:space="preserve">. </w:t>
      </w:r>
      <w:r>
        <w:rPr>
          <w:rtl/>
          <w:lang w:eastAsia="zh-TW"/>
        </w:rPr>
        <w:t>وتحتج الدولة الطرف</w:t>
      </w:r>
      <w:r w:rsidRPr="006D7647">
        <w:rPr>
          <w:rtl/>
          <w:lang w:eastAsia="zh-TW"/>
        </w:rPr>
        <w:t xml:space="preserve"> بالقول إن عقوبة السجن المؤبد أخف من عقوبة الإعدام لأنها تكفل للشخص الحق في الحياة المحمي بموجب العهد وسائر الصكوك الدولية الرئيسية الأخرى </w:t>
      </w:r>
      <w:r>
        <w:rPr>
          <w:rtl/>
          <w:lang w:eastAsia="zh-TW"/>
        </w:rPr>
        <w:t>المتعلقة</w:t>
      </w:r>
      <w:r w:rsidRPr="006D7647">
        <w:rPr>
          <w:rtl/>
          <w:lang w:eastAsia="zh-TW"/>
        </w:rPr>
        <w:t xml:space="preserve"> </w:t>
      </w:r>
      <w:r>
        <w:rPr>
          <w:rtl/>
          <w:lang w:eastAsia="zh-TW"/>
        </w:rPr>
        <w:t>ب</w:t>
      </w:r>
      <w:r w:rsidRPr="006D7647">
        <w:rPr>
          <w:rtl/>
          <w:lang w:eastAsia="zh-TW"/>
        </w:rPr>
        <w:t>حقوق الإنسان. وترى الدولة الطرف أن</w:t>
      </w:r>
      <w:r>
        <w:rPr>
          <w:rtl/>
          <w:lang w:eastAsia="zh-TW"/>
        </w:rPr>
        <w:t xml:space="preserve"> من الواضح أن</w:t>
      </w:r>
      <w:r w:rsidR="008F5F9A">
        <w:rPr>
          <w:rtl/>
          <w:lang w:eastAsia="zh-TW"/>
        </w:rPr>
        <w:t xml:space="preserve"> شكوى صاحب البلاغ لم</w:t>
      </w:r>
      <w:r w:rsidR="008F5F9A">
        <w:rPr>
          <w:rFonts w:hint="eastAsia"/>
          <w:rtl/>
          <w:lang w:eastAsia="zh-TW"/>
        </w:rPr>
        <w:t> </w:t>
      </w:r>
      <w:r w:rsidRPr="006D7647">
        <w:rPr>
          <w:rtl/>
          <w:lang w:eastAsia="zh-TW"/>
        </w:rPr>
        <w:t xml:space="preserve">تكن مبنية على أسس متينة، إذ لم تُفرَض على مقدم الطلب عقوبة أشد من تلك التي كانت مطبقة وقت ارتكاب الجرائم الجنائية. </w:t>
      </w:r>
    </w:p>
    <w:p w:rsidR="00EB0881" w:rsidRPr="006D7647" w:rsidRDefault="00EB0881" w:rsidP="00ED267B">
      <w:pPr>
        <w:pStyle w:val="SingleTxtGA"/>
        <w:spacing w:after="100" w:line="376" w:lineRule="exact"/>
        <w:rPr>
          <w:rtl/>
          <w:lang w:eastAsia="zh-TW"/>
        </w:rPr>
      </w:pPr>
      <w:r>
        <w:rPr>
          <w:rtl/>
          <w:lang w:eastAsia="zh-TW"/>
        </w:rPr>
        <w:t>4-5</w:t>
      </w:r>
      <w:r>
        <w:rPr>
          <w:rtl/>
          <w:lang w:eastAsia="zh-TW"/>
        </w:rPr>
        <w:tab/>
      </w:r>
      <w:r w:rsidRPr="006D7647">
        <w:rPr>
          <w:rtl/>
          <w:lang w:eastAsia="zh-TW"/>
        </w:rPr>
        <w:t>وعلاوةً على ذلك، تلاحظ الدولة الطرف أن قرار تطبيق عقوبة السجن المؤبد في قضية صاحب البلاغ صدر صراحةً عن المحكمة المحلية أثناء ا</w:t>
      </w:r>
      <w:r w:rsidR="00651800">
        <w:rPr>
          <w:rtl/>
          <w:lang w:eastAsia="zh-TW"/>
        </w:rPr>
        <w:t>لإجراءات القضائية التي انتهت في</w:t>
      </w:r>
      <w:r w:rsidR="00651800">
        <w:rPr>
          <w:rFonts w:hint="cs"/>
          <w:rtl/>
          <w:lang w:eastAsia="zh-TW"/>
        </w:rPr>
        <w:t> </w:t>
      </w:r>
      <w:r w:rsidRPr="006D7647">
        <w:rPr>
          <w:rtl/>
          <w:lang w:eastAsia="zh-TW"/>
        </w:rPr>
        <w:t xml:space="preserve">10 شباط/فبراير 1999، ونتيجة لذلك، لا يدخل هذا الجزء من البلاغ في نطاق </w:t>
      </w:r>
      <w:r w:rsidRPr="00942635">
        <w:rPr>
          <w:i/>
          <w:iCs/>
          <w:rtl/>
          <w:lang w:eastAsia="zh-TW"/>
        </w:rPr>
        <w:t>الاختصاص الزماني</w:t>
      </w:r>
      <w:r w:rsidRPr="006D7647">
        <w:rPr>
          <w:rtl/>
          <w:lang w:eastAsia="zh-TW"/>
        </w:rPr>
        <w:t xml:space="preserve"> للجنة. وتلاحظ الدولة الطرف، إضافةً إلى ذلك، أن صاحب البلاغ استعاد حريته في 17 آذار/مارس 2004، بعدما قضى في السجن فترة لم تتجاوز سبع سنوات، أي أقل من فترة </w:t>
      </w:r>
      <w:r>
        <w:rPr>
          <w:rtl/>
          <w:lang w:eastAsia="zh-TW"/>
        </w:rPr>
        <w:t>ا</w:t>
      </w:r>
      <w:r w:rsidR="004E1FD0" w:rsidRPr="004E1FD0">
        <w:rPr>
          <w:rFonts w:hint="cs"/>
          <w:sz w:val="30"/>
          <w:rtl/>
          <w:lang w:eastAsia="zh-TW"/>
        </w:rPr>
        <w:t>ل‍</w:t>
      </w:r>
      <w:r w:rsidR="004E1FD0">
        <w:rPr>
          <w:rFonts w:hint="cs"/>
          <w:rtl/>
          <w:lang w:eastAsia="zh-TW"/>
        </w:rPr>
        <w:t xml:space="preserve"> </w:t>
      </w:r>
      <w:r w:rsidRPr="006D7647">
        <w:rPr>
          <w:rtl/>
          <w:lang w:eastAsia="zh-TW"/>
        </w:rPr>
        <w:t>15 ع</w:t>
      </w:r>
      <w:r>
        <w:rPr>
          <w:rtl/>
          <w:lang w:eastAsia="zh-TW"/>
        </w:rPr>
        <w:t xml:space="preserve">اماً التي يعترف صاحب البلاغ بأنه كان يستحقها بعد إدانته. وتؤكد الدولة الطرف أن هذا الادعاء </w:t>
      </w:r>
      <w:r w:rsidRPr="006D7647">
        <w:rPr>
          <w:rtl/>
          <w:lang w:eastAsia="zh-TW"/>
        </w:rPr>
        <w:t xml:space="preserve">ينبغي أن </w:t>
      </w:r>
      <w:r>
        <w:rPr>
          <w:rtl/>
          <w:lang w:eastAsia="zh-TW"/>
        </w:rPr>
        <w:t>يُ</w:t>
      </w:r>
      <w:r w:rsidRPr="006D7647">
        <w:rPr>
          <w:rtl/>
          <w:lang w:eastAsia="zh-TW"/>
        </w:rPr>
        <w:t>ر</w:t>
      </w:r>
      <w:r>
        <w:rPr>
          <w:rtl/>
          <w:lang w:eastAsia="zh-TW"/>
        </w:rPr>
        <w:t>ف</w:t>
      </w:r>
      <w:r w:rsidRPr="006D7647">
        <w:rPr>
          <w:rtl/>
          <w:lang w:eastAsia="zh-TW"/>
        </w:rPr>
        <w:t>ض بموجب المادة 3 من ا</w:t>
      </w:r>
      <w:r>
        <w:rPr>
          <w:rtl/>
          <w:lang w:eastAsia="zh-TW"/>
        </w:rPr>
        <w:t>لبروتوكول الاختياري لعدم توافقه</w:t>
      </w:r>
      <w:r w:rsidRPr="006D7647">
        <w:rPr>
          <w:rtl/>
          <w:lang w:eastAsia="zh-TW"/>
        </w:rPr>
        <w:t xml:space="preserve"> مع أحكام العهد. وتشير كذلك إلى </w:t>
      </w:r>
      <w:r>
        <w:rPr>
          <w:rtl/>
          <w:lang w:eastAsia="zh-TW"/>
        </w:rPr>
        <w:t>اجتهاد</w:t>
      </w:r>
      <w:r w:rsidRPr="006D7647">
        <w:rPr>
          <w:rtl/>
          <w:lang w:eastAsia="zh-TW"/>
        </w:rPr>
        <w:t xml:space="preserve"> </w:t>
      </w:r>
      <w:r>
        <w:rPr>
          <w:rtl/>
          <w:lang w:eastAsia="zh-TW"/>
        </w:rPr>
        <w:t>ال</w:t>
      </w:r>
      <w:r w:rsidRPr="006D7647">
        <w:rPr>
          <w:rtl/>
          <w:lang w:eastAsia="zh-TW"/>
        </w:rPr>
        <w:t>محكمة الأوروبية لحقوق الإنسان في قضية مماثلة هي</w:t>
      </w:r>
      <w:r>
        <w:rPr>
          <w:rtl/>
          <w:lang w:eastAsia="zh-TW"/>
        </w:rPr>
        <w:t xml:space="preserve"> قضية</w:t>
      </w:r>
      <w:r w:rsidRPr="006D7647">
        <w:rPr>
          <w:rtl/>
          <w:lang w:eastAsia="zh-TW"/>
        </w:rPr>
        <w:t xml:space="preserve"> </w:t>
      </w:r>
      <w:r w:rsidRPr="001130E9">
        <w:rPr>
          <w:i/>
          <w:iCs/>
          <w:rtl/>
          <w:lang w:eastAsia="zh-TW"/>
        </w:rPr>
        <w:t>هوماتوف ضد أذربيجان</w:t>
      </w:r>
      <w:r w:rsidR="004E1FD0" w:rsidRPr="004E1FD0">
        <w:rPr>
          <w:rFonts w:hint="cs"/>
          <w:vertAlign w:val="superscript"/>
          <w:rtl/>
          <w:lang w:eastAsia="zh-TW"/>
        </w:rPr>
        <w:t>(</w:t>
      </w:r>
      <w:r w:rsidRPr="004E1FD0">
        <w:rPr>
          <w:rStyle w:val="FootnoteReference"/>
          <w:rtl/>
          <w:lang w:eastAsia="zh-TW"/>
        </w:rPr>
        <w:footnoteReference w:id="3"/>
      </w:r>
      <w:r w:rsidR="004E1FD0" w:rsidRPr="004E1FD0">
        <w:rPr>
          <w:rFonts w:hint="cs"/>
          <w:vertAlign w:val="superscript"/>
          <w:rtl/>
          <w:lang w:eastAsia="zh-TW"/>
        </w:rPr>
        <w:t>)</w:t>
      </w:r>
      <w:r w:rsidR="004E1FD0">
        <w:rPr>
          <w:rFonts w:hint="cs"/>
          <w:rtl/>
          <w:lang w:eastAsia="zh-TW"/>
        </w:rPr>
        <w:t>.</w:t>
      </w:r>
    </w:p>
    <w:p w:rsidR="00EB0881" w:rsidRPr="006D7647" w:rsidRDefault="00EB0881" w:rsidP="00ED267B">
      <w:pPr>
        <w:pStyle w:val="SingleTxtGA"/>
        <w:spacing w:after="100" w:line="376" w:lineRule="exact"/>
        <w:rPr>
          <w:rtl/>
          <w:lang w:eastAsia="zh-TW"/>
        </w:rPr>
      </w:pPr>
      <w:r>
        <w:rPr>
          <w:rtl/>
          <w:lang w:eastAsia="zh-TW"/>
        </w:rPr>
        <w:t>4-6</w:t>
      </w:r>
      <w:r>
        <w:rPr>
          <w:rtl/>
          <w:lang w:eastAsia="zh-TW"/>
        </w:rPr>
        <w:tab/>
      </w:r>
      <w:r w:rsidRPr="006D7647">
        <w:rPr>
          <w:rtl/>
          <w:lang w:eastAsia="zh-TW"/>
        </w:rPr>
        <w:t xml:space="preserve">وفيما يتعلق بادعاءات صاحب البلاغ المتصلة بالمادة 26 من العهد، </w:t>
      </w:r>
      <w:r>
        <w:rPr>
          <w:rtl/>
          <w:lang w:eastAsia="zh-TW"/>
        </w:rPr>
        <w:t>تفيد</w:t>
      </w:r>
      <w:r w:rsidRPr="006D7647">
        <w:rPr>
          <w:rtl/>
          <w:lang w:eastAsia="zh-TW"/>
        </w:rPr>
        <w:t xml:space="preserve"> الدولة الطرف </w:t>
      </w:r>
      <w:r>
        <w:rPr>
          <w:rtl/>
          <w:lang w:eastAsia="zh-TW"/>
        </w:rPr>
        <w:t>بأن</w:t>
      </w:r>
      <w:r w:rsidRPr="006D7647">
        <w:rPr>
          <w:rtl/>
          <w:lang w:eastAsia="zh-TW"/>
        </w:rPr>
        <w:t xml:space="preserve"> أيّ شكاوى متعلقة بالأحداث التي وقعت قبل دخول البروتوكول الاختياري حيز النفاذ لا تدخل في </w:t>
      </w:r>
      <w:r>
        <w:rPr>
          <w:rtl/>
          <w:lang w:eastAsia="zh-TW"/>
        </w:rPr>
        <w:t xml:space="preserve">نطاق </w:t>
      </w:r>
      <w:r w:rsidRPr="00942635">
        <w:rPr>
          <w:i/>
          <w:iCs/>
          <w:rtl/>
          <w:lang w:eastAsia="zh-TW"/>
        </w:rPr>
        <w:t>الاختصاص الزماني</w:t>
      </w:r>
      <w:r>
        <w:rPr>
          <w:rtl/>
          <w:lang w:eastAsia="zh-TW"/>
        </w:rPr>
        <w:t xml:space="preserve"> اللجنة</w:t>
      </w:r>
      <w:r w:rsidRPr="006D7647">
        <w:rPr>
          <w:rtl/>
          <w:lang w:eastAsia="zh-TW"/>
        </w:rPr>
        <w:t>. وأما بالنسبة للإجراءات أمام المحكمة العليا التي رفضت طلب الطعن بالنقض الذي قدمه صاحب البلاغ في 9 آب/</w:t>
      </w:r>
      <w:r w:rsidR="00282C15">
        <w:rPr>
          <w:rFonts w:hint="cs"/>
          <w:rtl/>
          <w:lang w:eastAsia="zh-TW"/>
        </w:rPr>
        <w:t xml:space="preserve"> </w:t>
      </w:r>
      <w:r w:rsidRPr="006D7647">
        <w:rPr>
          <w:rtl/>
          <w:lang w:eastAsia="zh-TW"/>
        </w:rPr>
        <w:t>أغسطس 2005، فإن الدولة الطرف ترى أن صاحب البلاغ لم يدعم شكاواه بما يلزم من الأدلة</w:t>
      </w:r>
      <w:r>
        <w:rPr>
          <w:rtl/>
          <w:lang w:eastAsia="zh-TW"/>
        </w:rPr>
        <w:t>،</w:t>
      </w:r>
      <w:r w:rsidRPr="006D7647">
        <w:rPr>
          <w:rtl/>
          <w:lang w:eastAsia="zh-TW"/>
        </w:rPr>
        <w:t xml:space="preserve"> إذ لا يوجد في قرار المحكمة العليا ما يدل على أنه تعرض للتمييز على أي أساس كان. وعلاوةً على ذلك، كانت أمام صاحب البلاغ فرص قانونية كثيرة لتقديم شكوى بشأن التمييز الذي يزعم أنه تعرض له أثناء احتجازه (انظر الفقرة 4-2 أعلاه)، ولكنه لم يستغلها. </w:t>
      </w:r>
    </w:p>
    <w:p w:rsidR="00EB0881" w:rsidRPr="006D7647" w:rsidRDefault="00EB0881" w:rsidP="00282C15">
      <w:pPr>
        <w:pStyle w:val="SingleTxtGA"/>
        <w:rPr>
          <w:rtl/>
          <w:lang w:eastAsia="zh-TW"/>
        </w:rPr>
      </w:pPr>
      <w:r>
        <w:rPr>
          <w:rtl/>
          <w:lang w:eastAsia="zh-TW"/>
        </w:rPr>
        <w:t>4-7</w:t>
      </w:r>
      <w:r>
        <w:rPr>
          <w:rtl/>
          <w:lang w:eastAsia="zh-TW"/>
        </w:rPr>
        <w:tab/>
      </w:r>
      <w:r w:rsidRPr="006D7647">
        <w:rPr>
          <w:rtl/>
          <w:lang w:eastAsia="zh-TW"/>
        </w:rPr>
        <w:t xml:space="preserve">وتخلص الدولة الطرف إلى </w:t>
      </w:r>
      <w:r>
        <w:rPr>
          <w:rtl/>
          <w:lang w:eastAsia="zh-TW"/>
        </w:rPr>
        <w:t xml:space="preserve">أن </w:t>
      </w:r>
      <w:r w:rsidRPr="006D7647">
        <w:rPr>
          <w:rtl/>
          <w:lang w:eastAsia="zh-TW"/>
        </w:rPr>
        <w:t xml:space="preserve">البلاغ لا يتوافق مع أحكام العهد وينبغي إذن رفضه بموجب المادة 3 من البروتوكول الاختياري. </w:t>
      </w:r>
    </w:p>
    <w:p w:rsidR="00EB0881" w:rsidRPr="001130E9" w:rsidRDefault="00EB0881" w:rsidP="00282C15">
      <w:pPr>
        <w:pStyle w:val="H23GA"/>
        <w:rPr>
          <w:rFonts w:ascii="Traditional Arabic" w:hAnsi="Traditional Arabic"/>
          <w:rtl/>
        </w:rPr>
      </w:pPr>
      <w:r>
        <w:rPr>
          <w:rFonts w:cs="Arial Unicode MS"/>
          <w:rtl/>
        </w:rPr>
        <w:tab/>
      </w:r>
      <w:r>
        <w:rPr>
          <w:rFonts w:cs="Arial Unicode MS"/>
          <w:rtl/>
        </w:rPr>
        <w:tab/>
      </w:r>
      <w:r w:rsidRPr="001130E9">
        <w:rPr>
          <w:rtl/>
        </w:rPr>
        <w:t>تعليقات صاحب البلاغ على ملاحظات الدولة الطرف</w:t>
      </w:r>
    </w:p>
    <w:p w:rsidR="00EB0881" w:rsidRPr="006D7647" w:rsidRDefault="00EB0881" w:rsidP="00282C15">
      <w:pPr>
        <w:pStyle w:val="SingleTxtGA"/>
        <w:rPr>
          <w:rtl/>
          <w:lang w:eastAsia="zh-TW"/>
        </w:rPr>
      </w:pPr>
      <w:r>
        <w:rPr>
          <w:rtl/>
          <w:lang w:eastAsia="zh-TW"/>
        </w:rPr>
        <w:t>5-1</w:t>
      </w:r>
      <w:r>
        <w:rPr>
          <w:rtl/>
          <w:lang w:eastAsia="zh-TW"/>
        </w:rPr>
        <w:tab/>
      </w:r>
      <w:r w:rsidRPr="006D7647">
        <w:rPr>
          <w:rtl/>
          <w:lang w:eastAsia="zh-TW"/>
        </w:rPr>
        <w:t xml:space="preserve">في ٢٤ أيلول/سبتمبر ٢٠١١، قدم صاحب البلاغ تعليقاته على ملاحظات الدولة الطرف بشأن مقبولية البلاغ. وفيما يتعلق بحجة الدولة الطرف </w:t>
      </w:r>
      <w:r>
        <w:rPr>
          <w:rtl/>
          <w:lang w:eastAsia="zh-TW"/>
        </w:rPr>
        <w:t xml:space="preserve">ومؤداها </w:t>
      </w:r>
      <w:r w:rsidRPr="006D7647">
        <w:rPr>
          <w:rtl/>
          <w:lang w:eastAsia="zh-TW"/>
        </w:rPr>
        <w:t xml:space="preserve">أنه لم يستنفد سبل الانتصاف المحلية فيما </w:t>
      </w:r>
      <w:r>
        <w:rPr>
          <w:rtl/>
          <w:lang w:eastAsia="zh-TW"/>
        </w:rPr>
        <w:t>يخص</w:t>
      </w:r>
      <w:r w:rsidRPr="006D7647">
        <w:rPr>
          <w:rtl/>
          <w:lang w:eastAsia="zh-TW"/>
        </w:rPr>
        <w:t xml:space="preserve"> </w:t>
      </w:r>
      <w:r>
        <w:rPr>
          <w:rtl/>
          <w:lang w:eastAsia="zh-TW"/>
        </w:rPr>
        <w:t>ادعاءاته في إطار</w:t>
      </w:r>
      <w:r w:rsidRPr="006D7647">
        <w:rPr>
          <w:rtl/>
          <w:lang w:eastAsia="zh-TW"/>
        </w:rPr>
        <w:t xml:space="preserve"> المادتين 7 و10 من العهد، </w:t>
      </w:r>
      <w:r>
        <w:rPr>
          <w:rtl/>
          <w:lang w:eastAsia="zh-TW"/>
        </w:rPr>
        <w:t>يقول</w:t>
      </w:r>
      <w:r w:rsidRPr="006D7647">
        <w:rPr>
          <w:rtl/>
          <w:lang w:eastAsia="zh-TW"/>
        </w:rPr>
        <w:t xml:space="preserve"> صاحب البلاغ </w:t>
      </w:r>
      <w:r>
        <w:rPr>
          <w:rtl/>
          <w:lang w:eastAsia="zh-TW"/>
        </w:rPr>
        <w:t>إ</w:t>
      </w:r>
      <w:r w:rsidRPr="006D7647">
        <w:rPr>
          <w:rtl/>
          <w:lang w:eastAsia="zh-TW"/>
        </w:rPr>
        <w:t xml:space="preserve">ن المادة 449 </w:t>
      </w:r>
      <w:r>
        <w:rPr>
          <w:rtl/>
          <w:lang w:eastAsia="zh-TW"/>
        </w:rPr>
        <w:t>من</w:t>
      </w:r>
      <w:r w:rsidRPr="006D7647">
        <w:rPr>
          <w:rtl/>
          <w:lang w:eastAsia="zh-TW"/>
        </w:rPr>
        <w:t xml:space="preserve"> قانون الإجراءات الجنائية لم تكن </w:t>
      </w:r>
      <w:r>
        <w:rPr>
          <w:rtl/>
          <w:lang w:eastAsia="zh-TW"/>
        </w:rPr>
        <w:t xml:space="preserve">موجودة </w:t>
      </w:r>
      <w:r w:rsidRPr="006D7647">
        <w:rPr>
          <w:rtl/>
          <w:lang w:eastAsia="zh-TW"/>
        </w:rPr>
        <w:t>حين</w:t>
      </w:r>
      <w:r>
        <w:rPr>
          <w:rtl/>
          <w:lang w:eastAsia="zh-TW"/>
        </w:rPr>
        <w:t>ما</w:t>
      </w:r>
      <w:r w:rsidRPr="006D7647">
        <w:rPr>
          <w:rtl/>
          <w:lang w:eastAsia="zh-TW"/>
        </w:rPr>
        <w:t xml:space="preserve"> </w:t>
      </w:r>
      <w:r>
        <w:rPr>
          <w:rtl/>
          <w:lang w:eastAsia="zh-TW"/>
        </w:rPr>
        <w:t>حُقِّق</w:t>
      </w:r>
      <w:r w:rsidRPr="006D7647">
        <w:rPr>
          <w:rtl/>
          <w:lang w:eastAsia="zh-TW"/>
        </w:rPr>
        <w:t xml:space="preserve"> معه قبل المحاكمة وعند</w:t>
      </w:r>
      <w:r>
        <w:rPr>
          <w:rtl/>
          <w:lang w:eastAsia="zh-TW"/>
        </w:rPr>
        <w:t>ما</w:t>
      </w:r>
      <w:r w:rsidRPr="006D7647">
        <w:rPr>
          <w:rtl/>
          <w:lang w:eastAsia="zh-TW"/>
        </w:rPr>
        <w:t xml:space="preserve"> </w:t>
      </w:r>
      <w:r>
        <w:rPr>
          <w:rtl/>
          <w:lang w:eastAsia="zh-TW"/>
        </w:rPr>
        <w:t>صدر</w:t>
      </w:r>
      <w:r w:rsidRPr="006D7647">
        <w:rPr>
          <w:rtl/>
          <w:lang w:eastAsia="zh-TW"/>
        </w:rPr>
        <w:t xml:space="preserve"> الحكم الأولي؛ ولم تدخل </w:t>
      </w:r>
      <w:r>
        <w:rPr>
          <w:rtl/>
          <w:lang w:eastAsia="zh-TW"/>
        </w:rPr>
        <w:t>ح</w:t>
      </w:r>
      <w:r w:rsidRPr="006D7647">
        <w:rPr>
          <w:rtl/>
          <w:lang w:eastAsia="zh-TW"/>
        </w:rPr>
        <w:t xml:space="preserve">يز النفاذ حتى ١ أيلول/سبتمبر ٢٠٠٠. </w:t>
      </w:r>
      <w:r>
        <w:rPr>
          <w:rtl/>
          <w:lang w:eastAsia="zh-TW"/>
        </w:rPr>
        <w:t>ويقول</w:t>
      </w:r>
      <w:r w:rsidRPr="006D7647">
        <w:rPr>
          <w:rtl/>
          <w:lang w:eastAsia="zh-TW"/>
        </w:rPr>
        <w:t xml:space="preserve"> صاحب البلاغ أيضاً </w:t>
      </w:r>
      <w:r>
        <w:rPr>
          <w:rtl/>
          <w:lang w:eastAsia="zh-TW"/>
        </w:rPr>
        <w:t>إن</w:t>
      </w:r>
      <w:r w:rsidRPr="006D7647">
        <w:rPr>
          <w:rtl/>
          <w:lang w:eastAsia="zh-TW"/>
        </w:rPr>
        <w:t xml:space="preserve"> المحكمة العليا، التي أصدرت الأحكام الأولية والنهائية في هذه القضية، رفضت بعض الحجج المقدمة من المحامين، و</w:t>
      </w:r>
      <w:r>
        <w:rPr>
          <w:rtl/>
          <w:lang w:eastAsia="zh-TW"/>
        </w:rPr>
        <w:t>إ</w:t>
      </w:r>
      <w:r w:rsidRPr="006D7647">
        <w:rPr>
          <w:rtl/>
          <w:lang w:eastAsia="zh-TW"/>
        </w:rPr>
        <w:t>نه لم يكن من حقه الطعن في تلك الأحكام. ويؤكد أن محاميه "أشار إلى الادعاءات العديدة بالتعرض للتعذيب بشهادة الشهود"، ولكن لم ي</w:t>
      </w:r>
      <w:r>
        <w:rPr>
          <w:rtl/>
          <w:lang w:eastAsia="zh-TW"/>
        </w:rPr>
        <w:t>ُ</w:t>
      </w:r>
      <w:r w:rsidRPr="006D7647">
        <w:rPr>
          <w:rtl/>
          <w:lang w:eastAsia="zh-TW"/>
        </w:rPr>
        <w:t>جر</w:t>
      </w:r>
      <w:r>
        <w:rPr>
          <w:rtl/>
          <w:lang w:eastAsia="zh-TW"/>
        </w:rPr>
        <w:t>َ</w:t>
      </w:r>
      <w:r w:rsidRPr="006D7647">
        <w:rPr>
          <w:rtl/>
          <w:lang w:eastAsia="zh-TW"/>
        </w:rPr>
        <w:t xml:space="preserve"> أيّ تحقيق فعال في هذه الادعاءات. ويؤكد صاحب البلاغ أنه </w:t>
      </w:r>
      <w:r>
        <w:rPr>
          <w:rtl/>
          <w:lang w:eastAsia="zh-TW"/>
        </w:rPr>
        <w:t>مارس</w:t>
      </w:r>
      <w:r w:rsidRPr="006D7647">
        <w:rPr>
          <w:rtl/>
          <w:lang w:eastAsia="zh-TW"/>
        </w:rPr>
        <w:t xml:space="preserve"> جميع سبل الانتصاف المتاحة في ذلك الوقت. </w:t>
      </w:r>
      <w:r>
        <w:rPr>
          <w:rtl/>
          <w:lang w:eastAsia="zh-TW"/>
        </w:rPr>
        <w:t>ويقول</w:t>
      </w:r>
      <w:r w:rsidRPr="006D7647">
        <w:rPr>
          <w:rtl/>
          <w:lang w:eastAsia="zh-TW"/>
        </w:rPr>
        <w:t xml:space="preserve"> صاحب البلاغ</w:t>
      </w:r>
      <w:r>
        <w:rPr>
          <w:rtl/>
          <w:lang w:eastAsia="zh-TW"/>
        </w:rPr>
        <w:t xml:space="preserve"> أيضاً</w:t>
      </w:r>
      <w:r w:rsidRPr="006D7647">
        <w:rPr>
          <w:rtl/>
          <w:lang w:eastAsia="zh-TW"/>
        </w:rPr>
        <w:t xml:space="preserve"> </w:t>
      </w:r>
      <w:r>
        <w:rPr>
          <w:rtl/>
          <w:lang w:eastAsia="zh-TW"/>
        </w:rPr>
        <w:t>إنه</w:t>
      </w:r>
      <w:r w:rsidRPr="006D7647">
        <w:rPr>
          <w:rtl/>
          <w:lang w:eastAsia="zh-TW"/>
        </w:rPr>
        <w:t xml:space="preserve"> قبل وبعد إلقاء القبض عليه، </w:t>
      </w:r>
      <w:r>
        <w:rPr>
          <w:rtl/>
          <w:lang w:eastAsia="zh-TW"/>
        </w:rPr>
        <w:t>قُ</w:t>
      </w:r>
      <w:r w:rsidRPr="006D7647">
        <w:rPr>
          <w:rtl/>
          <w:lang w:eastAsia="zh-TW"/>
        </w:rPr>
        <w:t xml:space="preserve">بض على بعض أقاربه، بمن فيهم أخوه، واحتُفظ بهم "رهائن بحكم </w:t>
      </w:r>
      <w:r>
        <w:rPr>
          <w:rtl/>
          <w:lang w:eastAsia="zh-TW"/>
        </w:rPr>
        <w:t xml:space="preserve">الأمر </w:t>
      </w:r>
      <w:r w:rsidRPr="006D7647">
        <w:rPr>
          <w:rtl/>
          <w:lang w:eastAsia="zh-TW"/>
        </w:rPr>
        <w:t xml:space="preserve">الواقع إجهاضاً للحملة" الرامية إلى إطلاق سراحه. </w:t>
      </w:r>
      <w:r>
        <w:rPr>
          <w:rtl/>
          <w:lang w:eastAsia="zh-TW"/>
        </w:rPr>
        <w:t>ويفيد</w:t>
      </w:r>
      <w:r w:rsidRPr="006D7647">
        <w:rPr>
          <w:rtl/>
          <w:lang w:eastAsia="zh-TW"/>
        </w:rPr>
        <w:t xml:space="preserve"> </w:t>
      </w:r>
      <w:r>
        <w:rPr>
          <w:rtl/>
          <w:lang w:eastAsia="zh-TW"/>
        </w:rPr>
        <w:t>ب</w:t>
      </w:r>
      <w:r w:rsidRPr="006D7647">
        <w:rPr>
          <w:rtl/>
          <w:lang w:eastAsia="zh-TW"/>
        </w:rPr>
        <w:t>أن أحد أقاربه ما</w:t>
      </w:r>
      <w:r w:rsidR="00942635">
        <w:rPr>
          <w:rFonts w:hint="cs"/>
          <w:rtl/>
          <w:lang w:eastAsia="zh-TW"/>
        </w:rPr>
        <w:t xml:space="preserve"> </w:t>
      </w:r>
      <w:r w:rsidRPr="006D7647">
        <w:rPr>
          <w:rtl/>
          <w:lang w:eastAsia="zh-TW"/>
        </w:rPr>
        <w:t xml:space="preserve">زال يقضي عقوبة السجن لمدة 25 سنة، وأن أمه المسنة ما فتئت تتعرض للتخويف. ويؤكد صاحب </w:t>
      </w:r>
      <w:r w:rsidRPr="00282C15">
        <w:rPr>
          <w:spacing w:val="-2"/>
          <w:rtl/>
          <w:lang w:eastAsia="zh-TW"/>
        </w:rPr>
        <w:t>البلاغ أيضاً أنه ظل في "الحبس الانفرادي" في سجن باييل طوال الفترة من شباط/فبراير</w:t>
      </w:r>
      <w:r w:rsidRPr="006D7647">
        <w:rPr>
          <w:rtl/>
          <w:lang w:eastAsia="zh-TW"/>
        </w:rPr>
        <w:t xml:space="preserve"> 1998 إلى كانون الثاني/يناير 2001. ثم ن</w:t>
      </w:r>
      <w:r>
        <w:rPr>
          <w:rtl/>
          <w:lang w:eastAsia="zh-TW"/>
        </w:rPr>
        <w:t xml:space="preserve">ُقل بعدها </w:t>
      </w:r>
      <w:r w:rsidRPr="006D7647">
        <w:rPr>
          <w:rtl/>
          <w:lang w:eastAsia="zh-TW"/>
        </w:rPr>
        <w:t>إلى سجن غوسوبان حيث كان وحيداً في زنزانته. ونظراً لارتفاع معدل الوفيات بين المحتجزين و"</w:t>
      </w:r>
      <w:r>
        <w:rPr>
          <w:rtl/>
          <w:lang w:eastAsia="zh-TW"/>
        </w:rPr>
        <w:t>إساءة</w:t>
      </w:r>
      <w:r w:rsidRPr="006D7647">
        <w:rPr>
          <w:rtl/>
          <w:lang w:eastAsia="zh-TW"/>
        </w:rPr>
        <w:t xml:space="preserve"> استخدام العاملين في السجون للسلطة"، خشي صاحب البلاغ من التعرض للقتل </w:t>
      </w:r>
      <w:r>
        <w:rPr>
          <w:rtl/>
          <w:lang w:eastAsia="zh-TW"/>
        </w:rPr>
        <w:t>إن</w:t>
      </w:r>
      <w:r w:rsidRPr="006D7647">
        <w:rPr>
          <w:rtl/>
          <w:lang w:eastAsia="zh-TW"/>
        </w:rPr>
        <w:t xml:space="preserve"> طلب إجراءات قانونية وهو في السجن. </w:t>
      </w:r>
      <w:r>
        <w:rPr>
          <w:rtl/>
          <w:lang w:eastAsia="zh-TW"/>
        </w:rPr>
        <w:t>و</w:t>
      </w:r>
      <w:r w:rsidRPr="006D7647">
        <w:rPr>
          <w:rtl/>
          <w:lang w:eastAsia="zh-TW"/>
        </w:rPr>
        <w:t xml:space="preserve">لم يشرع في محاولات لطلب إعادة النظر في قضيته إلاّ بعد صدور العفو عنه في 17 آذار/مارس 2004. </w:t>
      </w:r>
    </w:p>
    <w:p w:rsidR="00EB0881" w:rsidRPr="006D7647" w:rsidRDefault="00EB0881" w:rsidP="00282C15">
      <w:pPr>
        <w:pStyle w:val="SingleTxtGA"/>
        <w:rPr>
          <w:rtl/>
          <w:lang w:eastAsia="zh-TW"/>
        </w:rPr>
      </w:pPr>
      <w:r>
        <w:rPr>
          <w:rtl/>
          <w:lang w:eastAsia="zh-TW"/>
        </w:rPr>
        <w:t>5-2</w:t>
      </w:r>
      <w:r>
        <w:rPr>
          <w:rtl/>
          <w:lang w:eastAsia="zh-TW"/>
        </w:rPr>
        <w:tab/>
        <w:t>ويقول</w:t>
      </w:r>
      <w:r w:rsidRPr="006D7647">
        <w:rPr>
          <w:rtl/>
          <w:lang w:eastAsia="zh-TW"/>
        </w:rPr>
        <w:t xml:space="preserve"> صاحب البلاغ </w:t>
      </w:r>
      <w:r>
        <w:rPr>
          <w:rtl/>
          <w:lang w:eastAsia="zh-TW"/>
        </w:rPr>
        <w:t>إ</w:t>
      </w:r>
      <w:r w:rsidRPr="006D7647">
        <w:rPr>
          <w:rtl/>
          <w:lang w:eastAsia="zh-TW"/>
        </w:rPr>
        <w:t xml:space="preserve">نه عندما حاول، في أيار/مايو 2005، ممارسة حقه في المطالبة بإعادة النظر في الحكم الصادر </w:t>
      </w:r>
      <w:r>
        <w:rPr>
          <w:rtl/>
          <w:lang w:eastAsia="zh-TW"/>
        </w:rPr>
        <w:t>ضده</w:t>
      </w:r>
      <w:r w:rsidRPr="006D7647">
        <w:rPr>
          <w:rtl/>
          <w:lang w:eastAsia="zh-TW"/>
        </w:rPr>
        <w:t>، لم ي</w:t>
      </w:r>
      <w:r>
        <w:rPr>
          <w:rtl/>
          <w:lang w:eastAsia="zh-TW"/>
        </w:rPr>
        <w:t>ُ</w:t>
      </w:r>
      <w:r w:rsidRPr="006D7647">
        <w:rPr>
          <w:rtl/>
          <w:lang w:eastAsia="zh-TW"/>
        </w:rPr>
        <w:t xml:space="preserve">سمح له بتقديم </w:t>
      </w:r>
      <w:r>
        <w:rPr>
          <w:rtl/>
          <w:lang w:eastAsia="zh-TW"/>
        </w:rPr>
        <w:t>طلب لل</w:t>
      </w:r>
      <w:r w:rsidRPr="006D7647">
        <w:rPr>
          <w:rtl/>
          <w:lang w:eastAsia="zh-TW"/>
        </w:rPr>
        <w:t xml:space="preserve">طعن أمام محكمة الاستئناف؛ ولم يكن بإمكانه سوى تقديم </w:t>
      </w:r>
      <w:r>
        <w:rPr>
          <w:rtl/>
          <w:lang w:eastAsia="zh-TW"/>
        </w:rPr>
        <w:t>طلب لل</w:t>
      </w:r>
      <w:r w:rsidRPr="006D7647">
        <w:rPr>
          <w:rtl/>
          <w:lang w:eastAsia="zh-TW"/>
        </w:rPr>
        <w:t>طعن بالنقض أمام المحكمة العليا، ومن ثم ح</w:t>
      </w:r>
      <w:r>
        <w:rPr>
          <w:rtl/>
          <w:lang w:eastAsia="zh-TW"/>
        </w:rPr>
        <w:t>ُ</w:t>
      </w:r>
      <w:r w:rsidRPr="006D7647">
        <w:rPr>
          <w:rtl/>
          <w:lang w:eastAsia="zh-TW"/>
        </w:rPr>
        <w:t>رم من "فرصة التحقق من الوقائع". ويشير صاحب البلاغ إلى</w:t>
      </w:r>
      <w:r>
        <w:rPr>
          <w:rtl/>
          <w:lang w:eastAsia="zh-TW"/>
        </w:rPr>
        <w:t xml:space="preserve"> اجتهاد</w:t>
      </w:r>
      <w:r w:rsidRPr="006D7647">
        <w:rPr>
          <w:rtl/>
          <w:lang w:eastAsia="zh-TW"/>
        </w:rPr>
        <w:t xml:space="preserve"> </w:t>
      </w:r>
      <w:r>
        <w:rPr>
          <w:rtl/>
          <w:lang w:eastAsia="zh-TW"/>
        </w:rPr>
        <w:t>ال</w:t>
      </w:r>
      <w:r w:rsidRPr="006D7647">
        <w:rPr>
          <w:rtl/>
          <w:lang w:eastAsia="zh-TW"/>
        </w:rPr>
        <w:t xml:space="preserve">محكمة الأوروبية لحقوق الإنسان، التي خلصت، في قضية مماثلة، إلى </w:t>
      </w:r>
      <w:r>
        <w:rPr>
          <w:rtl/>
          <w:lang w:eastAsia="zh-TW"/>
        </w:rPr>
        <w:t xml:space="preserve">أن </w:t>
      </w:r>
      <w:r w:rsidRPr="006D7647">
        <w:rPr>
          <w:rtl/>
          <w:lang w:eastAsia="zh-TW"/>
        </w:rPr>
        <w:t xml:space="preserve">مقدم الطلب </w:t>
      </w:r>
      <w:r>
        <w:rPr>
          <w:rtl/>
          <w:lang w:eastAsia="zh-TW"/>
        </w:rPr>
        <w:t xml:space="preserve">مُنع من ممارسة حقه </w:t>
      </w:r>
      <w:r w:rsidRPr="006D7647">
        <w:rPr>
          <w:rtl/>
          <w:lang w:eastAsia="zh-TW"/>
        </w:rPr>
        <w:t xml:space="preserve">في الوصول إلى محكمة، ومن ثم </w:t>
      </w:r>
      <w:r>
        <w:rPr>
          <w:rtl/>
          <w:lang w:eastAsia="zh-TW"/>
        </w:rPr>
        <w:t>من ممارسة</w:t>
      </w:r>
      <w:r w:rsidRPr="006D7647">
        <w:rPr>
          <w:rtl/>
          <w:lang w:eastAsia="zh-TW"/>
        </w:rPr>
        <w:t xml:space="preserve"> حقه في محاكمة عادلة</w:t>
      </w:r>
      <w:r w:rsidR="00C72B4B" w:rsidRPr="00C72B4B">
        <w:rPr>
          <w:rFonts w:hint="cs"/>
          <w:vertAlign w:val="superscript"/>
          <w:rtl/>
          <w:lang w:eastAsia="zh-TW"/>
        </w:rPr>
        <w:t>(</w:t>
      </w:r>
      <w:r w:rsidRPr="00C72B4B">
        <w:rPr>
          <w:rStyle w:val="FootnoteReference"/>
          <w:rtl/>
          <w:lang w:eastAsia="zh-TW"/>
        </w:rPr>
        <w:footnoteReference w:id="4"/>
      </w:r>
      <w:r w:rsidR="00C72B4B" w:rsidRPr="00C72B4B">
        <w:rPr>
          <w:rFonts w:hint="cs"/>
          <w:vertAlign w:val="superscript"/>
          <w:rtl/>
          <w:lang w:eastAsia="zh-TW"/>
        </w:rPr>
        <w:t>)</w:t>
      </w:r>
      <w:r>
        <w:rPr>
          <w:rtl/>
          <w:lang w:eastAsia="zh-TW"/>
        </w:rPr>
        <w:t>.</w:t>
      </w:r>
    </w:p>
    <w:p w:rsidR="00EB0881" w:rsidRPr="006D7647" w:rsidRDefault="00EB0881" w:rsidP="0078008C">
      <w:pPr>
        <w:pStyle w:val="SingleTxtGA"/>
        <w:rPr>
          <w:rtl/>
          <w:lang w:eastAsia="zh-TW"/>
        </w:rPr>
      </w:pPr>
      <w:r>
        <w:rPr>
          <w:rtl/>
          <w:lang w:eastAsia="zh-TW"/>
        </w:rPr>
        <w:t>5-3</w:t>
      </w:r>
      <w:r>
        <w:rPr>
          <w:rtl/>
          <w:lang w:eastAsia="zh-TW"/>
        </w:rPr>
        <w:tab/>
      </w:r>
      <w:r w:rsidRPr="006D7647">
        <w:rPr>
          <w:rtl/>
          <w:lang w:eastAsia="zh-TW"/>
        </w:rPr>
        <w:t xml:space="preserve">وردّاً على ملاحظات الدولة الطرف التي تفيد بأن سبل الانتصاف المدنية يمكن أن تكون فعالة فيما يخص الشكاوى المتعلقة بظروف الاحتجاز، </w:t>
      </w:r>
      <w:r>
        <w:rPr>
          <w:rtl/>
          <w:lang w:eastAsia="zh-TW"/>
        </w:rPr>
        <w:t>يقول</w:t>
      </w:r>
      <w:r w:rsidRPr="006D7647">
        <w:rPr>
          <w:rtl/>
          <w:lang w:eastAsia="zh-TW"/>
        </w:rPr>
        <w:t xml:space="preserve"> صاحب البلاغ </w:t>
      </w:r>
      <w:r>
        <w:rPr>
          <w:rtl/>
          <w:lang w:eastAsia="zh-TW"/>
        </w:rPr>
        <w:t>إ</w:t>
      </w:r>
      <w:r w:rsidRPr="006D7647">
        <w:rPr>
          <w:rtl/>
          <w:lang w:eastAsia="zh-TW"/>
        </w:rPr>
        <w:t>ن إدارة السجن رفضت تنفيذ قرار صادر عن المحكمة المحلية في قضية السيد مامادوف، التي أشارت إليها الدولة الطرف (انظر الفقرة 4-2 أعلاه)، بشأن تغيير مؤسسة السجن، وتوفي ال</w:t>
      </w:r>
      <w:r>
        <w:rPr>
          <w:rtl/>
          <w:lang w:eastAsia="zh-TW"/>
        </w:rPr>
        <w:t>سيد مامادوف بعد خمسة أشهر من ذلك</w:t>
      </w:r>
      <w:r w:rsidR="00E03CCD" w:rsidRPr="00E03CCD">
        <w:rPr>
          <w:rFonts w:hint="cs"/>
          <w:vertAlign w:val="superscript"/>
          <w:rtl/>
          <w:lang w:eastAsia="zh-TW"/>
        </w:rPr>
        <w:t>(</w:t>
      </w:r>
      <w:r w:rsidRPr="00E03CCD">
        <w:rPr>
          <w:rStyle w:val="FootnoteReference"/>
          <w:rtl/>
          <w:lang w:eastAsia="zh-TW"/>
        </w:rPr>
        <w:footnoteReference w:id="5"/>
      </w:r>
      <w:r w:rsidR="00E03CCD" w:rsidRPr="00E03CCD">
        <w:rPr>
          <w:rFonts w:hint="cs"/>
          <w:vertAlign w:val="superscript"/>
          <w:rtl/>
          <w:lang w:eastAsia="zh-TW"/>
        </w:rPr>
        <w:t>)</w:t>
      </w:r>
      <w:r>
        <w:rPr>
          <w:rtl/>
          <w:lang w:eastAsia="zh-TW"/>
        </w:rPr>
        <w:t>.</w:t>
      </w:r>
      <w:r w:rsidRPr="006D7647">
        <w:rPr>
          <w:rtl/>
          <w:lang w:eastAsia="zh-TW"/>
        </w:rPr>
        <w:t xml:space="preserve"> ورفضت المحاكم المحلية، في وقت لاحق، جميع الشكاوى التي قدمتها الأسرة بشأن عدم تنفيذ الدولة الطرف قرار المحكمة المذكور في الوقت المناسب، ولا يزال الشخص المسؤول فالتاً من العقاب. </w:t>
      </w:r>
      <w:r>
        <w:rPr>
          <w:rtl/>
          <w:lang w:eastAsia="zh-TW"/>
        </w:rPr>
        <w:t>ويقول</w:t>
      </w:r>
      <w:r w:rsidRPr="006D7647">
        <w:rPr>
          <w:rtl/>
          <w:lang w:eastAsia="zh-TW"/>
        </w:rPr>
        <w:t xml:space="preserve"> صاحب البلاغ أيضاً </w:t>
      </w:r>
      <w:r>
        <w:rPr>
          <w:rtl/>
          <w:lang w:eastAsia="zh-TW"/>
        </w:rPr>
        <w:t>إ</w:t>
      </w:r>
      <w:r w:rsidRPr="006D7647">
        <w:rPr>
          <w:rtl/>
          <w:lang w:eastAsia="zh-TW"/>
        </w:rPr>
        <w:t xml:space="preserve">ن القضية الأخرى التي لمّحت إليها الدولة الطرف ليست مهمة لأنها تتعلق بشخص كان رهن الاحتجاز </w:t>
      </w:r>
      <w:r>
        <w:rPr>
          <w:rtl/>
          <w:lang w:eastAsia="zh-TW"/>
        </w:rPr>
        <w:t>قبل</w:t>
      </w:r>
      <w:r w:rsidRPr="006D7647">
        <w:rPr>
          <w:rtl/>
          <w:lang w:eastAsia="zh-TW"/>
        </w:rPr>
        <w:t xml:space="preserve"> </w:t>
      </w:r>
      <w:r>
        <w:rPr>
          <w:rtl/>
          <w:lang w:eastAsia="zh-TW"/>
        </w:rPr>
        <w:t>ا</w:t>
      </w:r>
      <w:r w:rsidRPr="006D7647">
        <w:rPr>
          <w:rtl/>
          <w:lang w:eastAsia="zh-TW"/>
        </w:rPr>
        <w:t>لمحاكمة. ومع</w:t>
      </w:r>
      <w:r>
        <w:rPr>
          <w:rtl/>
          <w:lang w:eastAsia="zh-TW"/>
        </w:rPr>
        <w:t xml:space="preserve"> ذلك، فهو يلاحظ أن المحتجز نفسه</w:t>
      </w:r>
      <w:r w:rsidRPr="006D7647">
        <w:rPr>
          <w:rtl/>
          <w:lang w:eastAsia="zh-TW"/>
        </w:rPr>
        <w:t xml:space="preserve"> في هذه القضية لم</w:t>
      </w:r>
      <w:r>
        <w:rPr>
          <w:rtl/>
          <w:lang w:eastAsia="zh-TW"/>
        </w:rPr>
        <w:t xml:space="preserve"> يقدم أيّ شكاوى </w:t>
      </w:r>
      <w:r w:rsidRPr="006D7647">
        <w:rPr>
          <w:rtl/>
          <w:lang w:eastAsia="zh-TW"/>
        </w:rPr>
        <w:t xml:space="preserve">لأنه كان على الأرجح "خائفاً". ويفيد صاحب البلاغ </w:t>
      </w:r>
      <w:r>
        <w:rPr>
          <w:rtl/>
          <w:lang w:eastAsia="zh-TW"/>
        </w:rPr>
        <w:t xml:space="preserve">كذلك </w:t>
      </w:r>
      <w:r w:rsidRPr="006D7647">
        <w:rPr>
          <w:rtl/>
          <w:lang w:eastAsia="zh-TW"/>
        </w:rPr>
        <w:t xml:space="preserve">بأن جميع الأمثلة التي قدمتها الدولة الطرف تخص الفترة من عام 2007 إلى عام 2009، ويؤكد أن قبل عشر سنوات لم يتلق محاموه حتى </w:t>
      </w:r>
      <w:r>
        <w:rPr>
          <w:rtl/>
          <w:lang w:eastAsia="zh-TW"/>
        </w:rPr>
        <w:t>الرد</w:t>
      </w:r>
      <w:r w:rsidRPr="006D7647">
        <w:rPr>
          <w:rtl/>
          <w:lang w:eastAsia="zh-TW"/>
        </w:rPr>
        <w:t xml:space="preserve"> على طلبات مماثلة</w:t>
      </w:r>
      <w:r>
        <w:rPr>
          <w:rtl/>
          <w:lang w:eastAsia="zh-TW"/>
        </w:rPr>
        <w:t>.</w:t>
      </w:r>
    </w:p>
    <w:p w:rsidR="00EB0881" w:rsidRPr="006D7647" w:rsidRDefault="00EB0881" w:rsidP="0078008C">
      <w:pPr>
        <w:pStyle w:val="SingleTxtGA"/>
        <w:rPr>
          <w:rtl/>
          <w:lang w:eastAsia="zh-TW"/>
        </w:rPr>
      </w:pPr>
      <w:r>
        <w:rPr>
          <w:rtl/>
          <w:lang w:eastAsia="zh-TW"/>
        </w:rPr>
        <w:t>5-4</w:t>
      </w:r>
      <w:r>
        <w:rPr>
          <w:rtl/>
          <w:lang w:eastAsia="zh-TW"/>
        </w:rPr>
        <w:tab/>
        <w:t>ويفيد</w:t>
      </w:r>
      <w:r w:rsidRPr="006D7647">
        <w:rPr>
          <w:rtl/>
          <w:lang w:eastAsia="zh-TW"/>
        </w:rPr>
        <w:t xml:space="preserve"> صاحب البلاغ </w:t>
      </w:r>
      <w:r>
        <w:rPr>
          <w:rtl/>
          <w:lang w:eastAsia="zh-TW"/>
        </w:rPr>
        <w:t>بأ</w:t>
      </w:r>
      <w:r w:rsidRPr="006D7647">
        <w:rPr>
          <w:rtl/>
          <w:lang w:eastAsia="zh-TW"/>
        </w:rPr>
        <w:t>ن الادعاءات العامة بتعرضه للتعذيب في هذه القضية ظلت دون رد من الدولة الطرف؛ ويشير إلى التقرير الذي أحاله الخبراء المستقلون إلى الأمين العام لمجلس أوروبا بعنوان "قضايا السجناء السياسيين المزعومة في أرمينيا وأذربيجان"</w:t>
      </w:r>
      <w:r w:rsidR="00E03CCD" w:rsidRPr="00E03CCD">
        <w:rPr>
          <w:rFonts w:hint="cs"/>
          <w:vertAlign w:val="superscript"/>
          <w:rtl/>
          <w:lang w:eastAsia="zh-TW"/>
        </w:rPr>
        <w:t>(</w:t>
      </w:r>
      <w:r w:rsidRPr="00E03CCD">
        <w:rPr>
          <w:rStyle w:val="FootnoteReference"/>
          <w:rtl/>
          <w:lang w:eastAsia="zh-TW"/>
        </w:rPr>
        <w:footnoteReference w:id="6"/>
      </w:r>
      <w:r w:rsidR="00E03CCD" w:rsidRPr="00E03CCD">
        <w:rPr>
          <w:rFonts w:hint="cs"/>
          <w:vertAlign w:val="superscript"/>
          <w:rtl/>
          <w:lang w:eastAsia="zh-TW"/>
        </w:rPr>
        <w:t>)</w:t>
      </w:r>
      <w:r w:rsidRPr="006D7647">
        <w:rPr>
          <w:rtl/>
          <w:lang w:eastAsia="zh-TW"/>
        </w:rPr>
        <w:t xml:space="preserve"> والذي جاء فيه أن صاحب البلاغ ينبغي أن يعتبر سجيناً سياسياً، وأنّ آثار الإصابات الناجمة عن التعذيب كانت ظاهرة على رأسه عندما زاره الخبراء</w:t>
      </w:r>
      <w:r>
        <w:rPr>
          <w:rtl/>
          <w:lang w:eastAsia="zh-TW"/>
        </w:rPr>
        <w:t>.</w:t>
      </w:r>
    </w:p>
    <w:p w:rsidR="00EB0881" w:rsidRPr="006D7647" w:rsidRDefault="00EB0881" w:rsidP="0030232E">
      <w:pPr>
        <w:pStyle w:val="SingleTxtGA"/>
        <w:rPr>
          <w:rtl/>
          <w:lang w:eastAsia="zh-TW"/>
        </w:rPr>
      </w:pPr>
      <w:r>
        <w:rPr>
          <w:rtl/>
          <w:lang w:eastAsia="zh-TW"/>
        </w:rPr>
        <w:t>5-5</w:t>
      </w:r>
      <w:r>
        <w:rPr>
          <w:rtl/>
          <w:lang w:eastAsia="zh-TW"/>
        </w:rPr>
        <w:tab/>
      </w:r>
      <w:r w:rsidRPr="006D7647">
        <w:rPr>
          <w:rtl/>
          <w:lang w:eastAsia="zh-TW"/>
        </w:rPr>
        <w:t xml:space="preserve">ويفيد صاحب البلاغ أيضاً بأن التشريع المحلي </w:t>
      </w:r>
      <w:r>
        <w:rPr>
          <w:rtl/>
          <w:lang w:eastAsia="zh-TW"/>
        </w:rPr>
        <w:t xml:space="preserve">حدد التعذيب </w:t>
      </w:r>
      <w:r w:rsidRPr="006D7647">
        <w:rPr>
          <w:rtl/>
          <w:lang w:eastAsia="zh-TW"/>
        </w:rPr>
        <w:t>بوصفه جريمة</w:t>
      </w:r>
      <w:r>
        <w:rPr>
          <w:rtl/>
          <w:lang w:eastAsia="zh-TW"/>
        </w:rPr>
        <w:t xml:space="preserve"> في</w:t>
      </w:r>
      <w:r w:rsidR="00942635">
        <w:rPr>
          <w:rFonts w:hint="cs"/>
          <w:rtl/>
          <w:lang w:eastAsia="zh-TW"/>
        </w:rPr>
        <w:t xml:space="preserve"> </w:t>
      </w:r>
      <w:r>
        <w:rPr>
          <w:rtl/>
          <w:lang w:eastAsia="zh-TW"/>
        </w:rPr>
        <w:t>1 أيلول/سبتمبر 2000</w:t>
      </w:r>
      <w:r w:rsidRPr="006D7647">
        <w:rPr>
          <w:rtl/>
          <w:lang w:eastAsia="zh-TW"/>
        </w:rPr>
        <w:t>، ومع ذلك لم يلاحَق قضائياً</w:t>
      </w:r>
      <w:r w:rsidRPr="001601EE">
        <w:rPr>
          <w:rtl/>
          <w:lang w:eastAsia="zh-TW"/>
        </w:rPr>
        <w:t xml:space="preserve"> </w:t>
      </w:r>
      <w:r w:rsidRPr="006D7647">
        <w:rPr>
          <w:rtl/>
          <w:lang w:eastAsia="zh-TW"/>
        </w:rPr>
        <w:t xml:space="preserve">منذ ذلك الحين </w:t>
      </w:r>
      <w:r>
        <w:rPr>
          <w:rtl/>
          <w:lang w:eastAsia="zh-TW"/>
        </w:rPr>
        <w:t xml:space="preserve">أيّ شخص </w:t>
      </w:r>
      <w:r w:rsidRPr="006D7647">
        <w:rPr>
          <w:rtl/>
          <w:lang w:eastAsia="zh-TW"/>
        </w:rPr>
        <w:t>عن قضية تعذيب. ولم يتناول معهد أمين المظالم ولا الآلية الوقائية الوطنية أيّ قضية بشأن التعذيب منذ إنشائهما. ويقول صاحب البلاغ أيضاً إن الأشخاص الذين أدينوا بارتكاب جريمة والذين تعرضوا للتعذيب ليسوا مؤهلين للحصول على تعويض لا بموجب المادة 4 من قانون جمهورية أذربيجان بشأن "التعويض عن الأضرار اللاحقة بالأفراد نتيجة أفعال غير قانونية صادرة من</w:t>
      </w:r>
      <w:r w:rsidR="0030232E">
        <w:rPr>
          <w:rFonts w:hint="cs"/>
          <w:rtl/>
          <w:lang w:eastAsia="zh-TW"/>
        </w:rPr>
        <w:t> </w:t>
      </w:r>
      <w:r w:rsidRPr="006D7647">
        <w:rPr>
          <w:rtl/>
          <w:lang w:eastAsia="zh-TW"/>
        </w:rPr>
        <w:t>هيئات التحقيق والاستجواب قبل المحاكمة، والنيابة العامة والمحاكم"</w:t>
      </w:r>
      <w:r w:rsidR="007B369A" w:rsidRPr="007B369A">
        <w:rPr>
          <w:rFonts w:hint="cs"/>
          <w:vertAlign w:val="superscript"/>
          <w:rtl/>
          <w:lang w:eastAsia="zh-TW"/>
        </w:rPr>
        <w:t>(</w:t>
      </w:r>
      <w:r w:rsidRPr="007B369A">
        <w:rPr>
          <w:rStyle w:val="FootnoteReference"/>
          <w:rtl/>
          <w:lang w:eastAsia="zh-TW"/>
        </w:rPr>
        <w:footnoteReference w:id="7"/>
      </w:r>
      <w:r w:rsidR="007B369A" w:rsidRPr="007B369A">
        <w:rPr>
          <w:rFonts w:hint="cs"/>
          <w:vertAlign w:val="superscript"/>
          <w:rtl/>
          <w:lang w:eastAsia="zh-TW"/>
        </w:rPr>
        <w:t>)</w:t>
      </w:r>
      <w:r w:rsidRPr="006D7647">
        <w:rPr>
          <w:rtl/>
          <w:lang w:eastAsia="zh-TW"/>
        </w:rPr>
        <w:t xml:space="preserve">، ولا </w:t>
      </w:r>
      <w:r>
        <w:rPr>
          <w:rtl/>
          <w:lang w:eastAsia="zh-TW"/>
        </w:rPr>
        <w:t xml:space="preserve">بموجب </w:t>
      </w:r>
      <w:r w:rsidRPr="006D7647">
        <w:rPr>
          <w:rtl/>
          <w:lang w:eastAsia="zh-TW"/>
        </w:rPr>
        <w:t>المادة</w:t>
      </w:r>
      <w:r w:rsidR="0030232E">
        <w:rPr>
          <w:rFonts w:hint="cs"/>
          <w:rtl/>
          <w:lang w:eastAsia="zh-TW"/>
        </w:rPr>
        <w:t> </w:t>
      </w:r>
      <w:r w:rsidRPr="006D7647">
        <w:rPr>
          <w:rtl/>
          <w:lang w:eastAsia="zh-TW"/>
        </w:rPr>
        <w:t>56 من قانون الإجراءات الجنائية</w:t>
      </w:r>
      <w:r w:rsidR="007B369A" w:rsidRPr="00885F65">
        <w:rPr>
          <w:rFonts w:hint="cs"/>
          <w:vertAlign w:val="superscript"/>
          <w:rtl/>
          <w:lang w:eastAsia="zh-TW"/>
        </w:rPr>
        <w:t>(</w:t>
      </w:r>
      <w:r w:rsidRPr="00885F65">
        <w:rPr>
          <w:rStyle w:val="FootnoteReference"/>
          <w:rtl/>
          <w:lang w:eastAsia="zh-TW"/>
        </w:rPr>
        <w:footnoteReference w:id="8"/>
      </w:r>
      <w:r w:rsidR="007B369A" w:rsidRPr="00885F65">
        <w:rPr>
          <w:rFonts w:hint="cs"/>
          <w:vertAlign w:val="superscript"/>
          <w:rtl/>
          <w:lang w:eastAsia="zh-TW"/>
        </w:rPr>
        <w:t>)</w:t>
      </w:r>
      <w:r>
        <w:rPr>
          <w:rtl/>
          <w:lang w:eastAsia="zh-TW"/>
        </w:rPr>
        <w:t>.</w:t>
      </w:r>
    </w:p>
    <w:p w:rsidR="00EB0881" w:rsidRPr="0030232E" w:rsidRDefault="00EB0881" w:rsidP="007B369A">
      <w:pPr>
        <w:pStyle w:val="SingleTxtGA"/>
        <w:rPr>
          <w:spacing w:val="-2"/>
          <w:rtl/>
          <w:lang w:eastAsia="zh-TW"/>
        </w:rPr>
      </w:pPr>
      <w:r w:rsidRPr="0030232E">
        <w:rPr>
          <w:spacing w:val="-2"/>
          <w:rtl/>
          <w:lang w:eastAsia="zh-TW"/>
        </w:rPr>
        <w:t>5-6</w:t>
      </w:r>
      <w:r w:rsidRPr="0030232E">
        <w:rPr>
          <w:spacing w:val="-2"/>
          <w:rtl/>
          <w:lang w:eastAsia="zh-TW"/>
        </w:rPr>
        <w:tab/>
        <w:t xml:space="preserve">وفيما يخص الادّعاءات في إطار المادة 14 من العهد، يشير صاحب البلاغ أيضاً إلى الحكم الصادر عن المحكمة الأوروبية لحقوق الإنسان في قضية </w:t>
      </w:r>
      <w:r w:rsidRPr="0030232E">
        <w:rPr>
          <w:i/>
          <w:iCs/>
          <w:spacing w:val="-2"/>
          <w:rtl/>
          <w:lang w:eastAsia="zh-TW"/>
        </w:rPr>
        <w:t>عباسوف ضد أذربيجان</w:t>
      </w:r>
      <w:r w:rsidR="007B369A" w:rsidRPr="0030232E">
        <w:rPr>
          <w:rFonts w:hint="cs"/>
          <w:i/>
          <w:spacing w:val="-2"/>
          <w:vertAlign w:val="superscript"/>
          <w:rtl/>
          <w:lang w:eastAsia="zh-TW"/>
        </w:rPr>
        <w:t>(</w:t>
      </w:r>
      <w:r w:rsidRPr="0030232E">
        <w:rPr>
          <w:rStyle w:val="FootnoteReference"/>
          <w:spacing w:val="-2"/>
          <w:rtl/>
          <w:lang w:eastAsia="zh-TW"/>
        </w:rPr>
        <w:footnoteReference w:id="9"/>
      </w:r>
      <w:r w:rsidR="007B369A" w:rsidRPr="0030232E">
        <w:rPr>
          <w:rFonts w:hint="cs"/>
          <w:i/>
          <w:spacing w:val="-2"/>
          <w:vertAlign w:val="superscript"/>
          <w:rtl/>
          <w:lang w:eastAsia="zh-TW"/>
        </w:rPr>
        <w:t>)</w:t>
      </w:r>
      <w:r w:rsidRPr="0030232E">
        <w:rPr>
          <w:spacing w:val="-2"/>
          <w:rtl/>
          <w:lang w:eastAsia="zh-TW"/>
        </w:rPr>
        <w:t>؛ ويقول إن هذه السابقة مهمة ويلاحظ أن المحكمة تؤكد مجدداً في الفقرتين 40</w:t>
      </w:r>
      <w:r w:rsidR="008F5F9A" w:rsidRPr="0030232E">
        <w:rPr>
          <w:spacing w:val="-2"/>
          <w:rtl/>
          <w:lang w:eastAsia="zh-TW"/>
        </w:rPr>
        <w:t xml:space="preserve"> و</w:t>
      </w:r>
      <w:r w:rsidRPr="0030232E">
        <w:rPr>
          <w:spacing w:val="-2"/>
          <w:rtl/>
          <w:lang w:eastAsia="zh-TW"/>
        </w:rPr>
        <w:t xml:space="preserve">41 من الحكم، أن "مسألة مدى إقامة العدل في محاكمة مقدم الالتماس أمام المحكمة الابتدائية ثبت أنها خارجة عن نطاق </w:t>
      </w:r>
      <w:r w:rsidRPr="0030232E">
        <w:rPr>
          <w:i/>
          <w:iCs/>
          <w:spacing w:val="-2"/>
          <w:rtl/>
          <w:lang w:eastAsia="zh-TW"/>
        </w:rPr>
        <w:t>الاختصاص الزماني</w:t>
      </w:r>
      <w:r w:rsidRPr="0030232E">
        <w:rPr>
          <w:spacing w:val="-2"/>
          <w:rtl/>
          <w:lang w:eastAsia="zh-TW"/>
        </w:rPr>
        <w:t xml:space="preserve"> للمحكمة. ولكن، رغم أن هناك ما يمنع المحكمة من البت في هذه المسألة، فإنها لم تتجاهل حقيقة إدراج اسم مقدم الالتماس في قائمة "السجناء السياسيين المزعومين" المقدمة إلى خبراء الأمين العام في إطار انضمام أذربيجان إلى مجلس أوروبا، مما يدل على وجود بعض الشكوك التي تحيط بمدى إقامة العدل في إدانة مقدم الالتماس في عام 1996. وفي ظل هذه الظروف، رأت المحكمة أن "إعادة المحاكمة أو فتح ملف القضية، بناءً على الطلب، هو من حيث المبدأ طريقة مناسبة لتدارك الانتهاك المرتكب في هذه القضية".</w:t>
      </w:r>
    </w:p>
    <w:p w:rsidR="00EB0881" w:rsidRPr="00D6570C" w:rsidRDefault="0078008C" w:rsidP="0078008C">
      <w:pPr>
        <w:pStyle w:val="SingleTxtGA"/>
        <w:rPr>
          <w:spacing w:val="-2"/>
          <w:rtl/>
          <w:lang w:eastAsia="zh-TW"/>
        </w:rPr>
      </w:pPr>
      <w:r w:rsidRPr="00D6570C">
        <w:rPr>
          <w:spacing w:val="-2"/>
          <w:rtl/>
          <w:lang w:eastAsia="zh-TW"/>
        </w:rPr>
        <w:t>5-7</w:t>
      </w:r>
      <w:r w:rsidRPr="00D6570C">
        <w:rPr>
          <w:spacing w:val="-2"/>
          <w:rtl/>
          <w:lang w:eastAsia="zh-TW"/>
        </w:rPr>
        <w:tab/>
        <w:t>ويؤكد</w:t>
      </w:r>
      <w:r w:rsidR="00EB0881" w:rsidRPr="00D6570C">
        <w:rPr>
          <w:spacing w:val="-2"/>
          <w:rtl/>
          <w:lang w:eastAsia="zh-TW"/>
        </w:rPr>
        <w:t xml:space="preserve"> صاحب البلاغ من جديد أنه أدين في 10 شباط/فبراير 1999 استناداً إلى القانون المؤرخ 10 شباط/فبراير 1998 "بموجب الحكم المتعلق بالعقوبة الجديدة". ويذكّر بأن الاتحاد الروسي سلّمه شريطة عدم تطبيق عقوبة الإعدام في قضيته، وأن الدولة الطرف، في تاريخ غير محدد في عام 1997، "اتفقت بحكم الأمر الواقع مع الاتحاد الروسي على تطبيق عقوبة السجن لمدة أقصاها 15 عاماً</w:t>
      </w:r>
      <w:r w:rsidR="00EB0881" w:rsidRPr="00D6570C" w:rsidDel="00F301AF">
        <w:rPr>
          <w:spacing w:val="-2"/>
          <w:rtl/>
          <w:lang w:eastAsia="zh-TW"/>
        </w:rPr>
        <w:t xml:space="preserve"> </w:t>
      </w:r>
      <w:r w:rsidR="00EB0881" w:rsidRPr="00D6570C">
        <w:rPr>
          <w:spacing w:val="-2"/>
          <w:rtl/>
          <w:lang w:eastAsia="zh-TW"/>
        </w:rPr>
        <w:t>"، وأنه لم يكن سيُح</w:t>
      </w:r>
      <w:r w:rsidRPr="00D6570C">
        <w:rPr>
          <w:spacing w:val="-2"/>
          <w:rtl/>
          <w:lang w:eastAsia="zh-TW"/>
        </w:rPr>
        <w:t>كم عليه بأكثر من 15 عاماً لو لم</w:t>
      </w:r>
      <w:r w:rsidRPr="00D6570C">
        <w:rPr>
          <w:rFonts w:hint="cs"/>
          <w:spacing w:val="-2"/>
          <w:rtl/>
          <w:lang w:eastAsia="zh-TW"/>
        </w:rPr>
        <w:t> </w:t>
      </w:r>
      <w:r w:rsidR="00EB0881" w:rsidRPr="00D6570C">
        <w:rPr>
          <w:spacing w:val="-2"/>
          <w:rtl/>
          <w:lang w:eastAsia="zh-TW"/>
        </w:rPr>
        <w:t xml:space="preserve">تُلغَ عقوبة الإعدام في عام 1998. ويؤكد صاحب البلاغ أيضاً أن التاريخ الذي انتهت فيه </w:t>
      </w:r>
      <w:r w:rsidR="00EB0881" w:rsidRPr="00D6570C">
        <w:rPr>
          <w:spacing w:val="-6"/>
          <w:rtl/>
          <w:lang w:eastAsia="zh-TW"/>
        </w:rPr>
        <w:t>الإجراءات القضائية المتعلقة بقضيته لم يكن 10 شباط/فبراير 1999، بل 9 آب/أغسطس 2005،</w:t>
      </w:r>
      <w:r w:rsidR="00EB0881" w:rsidRPr="00D6570C">
        <w:rPr>
          <w:spacing w:val="-2"/>
          <w:rtl/>
          <w:lang w:eastAsia="zh-TW"/>
        </w:rPr>
        <w:t xml:space="preserve"> وهو التاريخ الذي رفضت فيه محكمة العليا طلب الطعن بالنقض الذي قدمه إليها. </w:t>
      </w:r>
    </w:p>
    <w:p w:rsidR="00EB0881" w:rsidRPr="00D6570C" w:rsidRDefault="00EB0881" w:rsidP="0078008C">
      <w:pPr>
        <w:pStyle w:val="SingleTxtGA"/>
        <w:rPr>
          <w:spacing w:val="-6"/>
          <w:rtl/>
          <w:lang w:eastAsia="zh-TW"/>
        </w:rPr>
      </w:pPr>
      <w:r w:rsidRPr="00D6570C">
        <w:rPr>
          <w:spacing w:val="-6"/>
          <w:rtl/>
          <w:lang w:eastAsia="zh-TW"/>
        </w:rPr>
        <w:t>5-8</w:t>
      </w:r>
      <w:r w:rsidRPr="00D6570C">
        <w:rPr>
          <w:spacing w:val="-6"/>
          <w:rtl/>
          <w:lang w:eastAsia="zh-TW"/>
        </w:rPr>
        <w:tab/>
        <w:t xml:space="preserve">وفيما يتعلق بالادعاءات المتصلة بالمادة 26 من العهد، يفيد صاحب البلاغ بأن خبراء مجلس أوروبا اعتبروه "سجيناً سياسياً"، وأكدوا بالتالي تعرضه للتمييز على أساس الرأي السياسي. </w:t>
      </w:r>
    </w:p>
    <w:p w:rsidR="00EB0881" w:rsidRPr="006D7647" w:rsidRDefault="00EB0881" w:rsidP="0078008C">
      <w:pPr>
        <w:pStyle w:val="SingleTxtGA"/>
        <w:rPr>
          <w:rtl/>
          <w:lang w:eastAsia="zh-TW"/>
        </w:rPr>
      </w:pPr>
      <w:r>
        <w:rPr>
          <w:rtl/>
          <w:lang w:eastAsia="zh-TW"/>
        </w:rPr>
        <w:t>5-9</w:t>
      </w:r>
      <w:r>
        <w:rPr>
          <w:rtl/>
          <w:lang w:eastAsia="zh-TW"/>
        </w:rPr>
        <w:tab/>
      </w:r>
      <w:r w:rsidRPr="006D7647">
        <w:rPr>
          <w:rtl/>
          <w:lang w:eastAsia="zh-TW"/>
        </w:rPr>
        <w:t xml:space="preserve">ويفيد صاحب البلاغ أيضاً بأن حجة الدولة الطرف فيما يتعلق </w:t>
      </w:r>
      <w:r w:rsidRPr="00942635">
        <w:rPr>
          <w:i/>
          <w:iCs/>
          <w:rtl/>
          <w:lang w:eastAsia="zh-TW"/>
        </w:rPr>
        <w:t>بالاختصاص الزماني</w:t>
      </w:r>
      <w:r w:rsidRPr="006D7647">
        <w:rPr>
          <w:rtl/>
          <w:lang w:eastAsia="zh-TW"/>
        </w:rPr>
        <w:t xml:space="preserve"> يعني أنها تعتبر الاتهامات الكاذبة والخضوع لمحاكمة غير عادلة وقائع</w:t>
      </w:r>
      <w:r>
        <w:rPr>
          <w:rtl/>
          <w:lang w:eastAsia="zh-TW"/>
        </w:rPr>
        <w:t>َ</w:t>
      </w:r>
      <w:r w:rsidRPr="006D7647">
        <w:rPr>
          <w:rtl/>
          <w:lang w:eastAsia="zh-TW"/>
        </w:rPr>
        <w:t xml:space="preserve"> لا يمكن أن تفضي إلى انتهاكات مستمرة، مع أن صاحب البلاغ قضى سبع سنوات في "الحبس الانفرادي" سنتان منها بعد دخول البروتوكول الاختياري حيز النفاذ بالنسبة للدولة الطرف. </w:t>
      </w:r>
    </w:p>
    <w:p w:rsidR="00EB0881" w:rsidRPr="006D7647" w:rsidRDefault="0078008C" w:rsidP="0078008C">
      <w:pPr>
        <w:pStyle w:val="SingleTxtGA"/>
        <w:rPr>
          <w:rtl/>
          <w:lang w:eastAsia="zh-TW"/>
        </w:rPr>
      </w:pPr>
      <w:r>
        <w:rPr>
          <w:rtl/>
          <w:lang w:eastAsia="zh-TW"/>
        </w:rPr>
        <w:t>5-10</w:t>
      </w:r>
      <w:r>
        <w:rPr>
          <w:rtl/>
          <w:lang w:eastAsia="zh-TW"/>
        </w:rPr>
        <w:tab/>
      </w:r>
      <w:r w:rsidR="00EB0881" w:rsidRPr="006D7647">
        <w:rPr>
          <w:rtl/>
          <w:lang w:eastAsia="zh-TW"/>
        </w:rPr>
        <w:t xml:space="preserve">ويقول صاحب البلاغ إن </w:t>
      </w:r>
      <w:r w:rsidR="00EB0881">
        <w:rPr>
          <w:rtl/>
          <w:lang w:eastAsia="zh-TW"/>
        </w:rPr>
        <w:t>من مهام</w:t>
      </w:r>
      <w:r w:rsidR="00EB0881" w:rsidRPr="006D7647">
        <w:rPr>
          <w:rtl/>
          <w:lang w:eastAsia="zh-TW"/>
        </w:rPr>
        <w:t xml:space="preserve"> المحكمة العليا، بوصفها محكمة استئناف، الكشف عن </w:t>
      </w:r>
      <w:r w:rsidR="00EB0881">
        <w:rPr>
          <w:rtl/>
          <w:lang w:eastAsia="zh-TW"/>
        </w:rPr>
        <w:t>الخروقات التي اعترت</w:t>
      </w:r>
      <w:r w:rsidR="00EB0881" w:rsidRPr="006D7647">
        <w:rPr>
          <w:rtl/>
          <w:lang w:eastAsia="zh-TW"/>
        </w:rPr>
        <w:t xml:space="preserve"> </w:t>
      </w:r>
      <w:r w:rsidR="00EB0881">
        <w:rPr>
          <w:rtl/>
          <w:lang w:eastAsia="zh-TW"/>
        </w:rPr>
        <w:t>الإجراءات</w:t>
      </w:r>
      <w:r w:rsidR="00EB0881" w:rsidRPr="006D7647">
        <w:rPr>
          <w:rtl/>
          <w:lang w:eastAsia="zh-TW"/>
        </w:rPr>
        <w:t xml:space="preserve">، بما في ذلك </w:t>
      </w:r>
      <w:r w:rsidR="00EB0881">
        <w:rPr>
          <w:rtl/>
          <w:lang w:eastAsia="zh-TW"/>
        </w:rPr>
        <w:t>من خلال دراسة</w:t>
      </w:r>
      <w:r w:rsidR="00885F65">
        <w:rPr>
          <w:rFonts w:hint="cs"/>
          <w:rtl/>
          <w:lang w:eastAsia="zh-TW"/>
        </w:rPr>
        <w:t xml:space="preserve"> </w:t>
      </w:r>
      <w:r w:rsidR="00EB0881">
        <w:rPr>
          <w:rtl/>
          <w:lang w:eastAsia="zh-TW"/>
        </w:rPr>
        <w:t>"</w:t>
      </w:r>
      <w:proofErr w:type="spellStart"/>
      <w:r w:rsidR="00EB0881">
        <w:rPr>
          <w:rtl/>
          <w:lang w:eastAsia="zh-TW"/>
        </w:rPr>
        <w:t>الدفوع</w:t>
      </w:r>
      <w:proofErr w:type="spellEnd"/>
      <w:r w:rsidR="00EB0881" w:rsidRPr="006D7647">
        <w:rPr>
          <w:rtl/>
          <w:lang w:eastAsia="zh-TW"/>
        </w:rPr>
        <w:t xml:space="preserve"> التي أتى بها المحامون والتي تجاهلتها المحكمة ا</w:t>
      </w:r>
      <w:r w:rsidR="00EB0881">
        <w:rPr>
          <w:rtl/>
          <w:lang w:eastAsia="zh-TW"/>
        </w:rPr>
        <w:t>لعليا نفسها في شباط/فبراير 1999".</w:t>
      </w:r>
      <w:r w:rsidR="00EB0881" w:rsidRPr="006D7647">
        <w:rPr>
          <w:rtl/>
          <w:lang w:eastAsia="zh-TW"/>
        </w:rPr>
        <w:t xml:space="preserve"> وأثناء المحاكمة، أثار المحامون مسألة تراجع الشهود </w:t>
      </w:r>
      <w:r w:rsidR="00EB0881">
        <w:rPr>
          <w:rtl/>
          <w:lang w:eastAsia="zh-TW"/>
        </w:rPr>
        <w:t>عن</w:t>
      </w:r>
      <w:r w:rsidR="00EB0881" w:rsidRPr="006D7647">
        <w:rPr>
          <w:rtl/>
          <w:lang w:eastAsia="zh-TW"/>
        </w:rPr>
        <w:t xml:space="preserve"> شهاداتهم، مشيرين إلى أنها انتُزعت منهم تحت التعذيب، وطلبوا إجراء فحص شرعي آخر </w:t>
      </w:r>
      <w:r w:rsidR="00EB0881">
        <w:rPr>
          <w:rtl/>
          <w:lang w:eastAsia="zh-TW"/>
        </w:rPr>
        <w:t>وأوضحوا ما حدث من "تلفيقات"</w:t>
      </w:r>
      <w:r w:rsidR="00EB0881" w:rsidRPr="006D7647">
        <w:rPr>
          <w:rtl/>
          <w:lang w:eastAsia="zh-TW"/>
        </w:rPr>
        <w:t xml:space="preserve">. </w:t>
      </w:r>
      <w:r w:rsidR="00EB0881">
        <w:rPr>
          <w:rtl/>
          <w:lang w:eastAsia="zh-TW"/>
        </w:rPr>
        <w:t>ولكن</w:t>
      </w:r>
      <w:r w:rsidR="00EB0881" w:rsidRPr="006D7647">
        <w:rPr>
          <w:rtl/>
          <w:lang w:eastAsia="zh-TW"/>
        </w:rPr>
        <w:t xml:space="preserve"> المحكمة العليا</w:t>
      </w:r>
      <w:r w:rsidR="00EB0881">
        <w:rPr>
          <w:rtl/>
          <w:lang w:eastAsia="zh-TW"/>
        </w:rPr>
        <w:t xml:space="preserve"> كانت قد </w:t>
      </w:r>
      <w:r w:rsidR="00EB0881" w:rsidRPr="006D7647">
        <w:rPr>
          <w:rtl/>
          <w:lang w:eastAsia="zh-TW"/>
        </w:rPr>
        <w:t xml:space="preserve">أكدت الحكم الابتدائي. </w:t>
      </w:r>
    </w:p>
    <w:p w:rsidR="00EB0881" w:rsidRPr="006D7647" w:rsidRDefault="0078008C" w:rsidP="0078008C">
      <w:pPr>
        <w:pStyle w:val="SingleTxtGA"/>
        <w:rPr>
          <w:rtl/>
          <w:lang w:eastAsia="zh-TW"/>
        </w:rPr>
      </w:pPr>
      <w:r>
        <w:rPr>
          <w:rtl/>
          <w:lang w:eastAsia="zh-TW"/>
        </w:rPr>
        <w:t>5-11</w:t>
      </w:r>
      <w:r w:rsidR="00EB0881">
        <w:rPr>
          <w:rtl/>
          <w:lang w:eastAsia="zh-TW"/>
        </w:rPr>
        <w:tab/>
      </w:r>
      <w:r w:rsidR="00EB0881" w:rsidRPr="006D7647">
        <w:rPr>
          <w:rtl/>
          <w:lang w:eastAsia="zh-TW"/>
        </w:rPr>
        <w:t>ويؤكد صاحب البل</w:t>
      </w:r>
      <w:r w:rsidR="00EB0881">
        <w:rPr>
          <w:rtl/>
          <w:lang w:eastAsia="zh-TW"/>
        </w:rPr>
        <w:t>اغ أن الدولة الطرف لم تحمِ حقوقه</w:t>
      </w:r>
      <w:r w:rsidR="00EB0881" w:rsidRPr="006D7647">
        <w:rPr>
          <w:rtl/>
          <w:lang w:eastAsia="zh-TW"/>
        </w:rPr>
        <w:t xml:space="preserve"> التي تكفلها المواد 7 و10 و14 و15 و26 من العهد. </w:t>
      </w:r>
    </w:p>
    <w:p w:rsidR="00EB0881" w:rsidRPr="00C40BCD" w:rsidRDefault="00EB0881" w:rsidP="00DC4449">
      <w:pPr>
        <w:pStyle w:val="H23GA"/>
        <w:keepNext/>
        <w:rPr>
          <w:rFonts w:ascii="Traditional Arabic" w:hAnsi="Traditional Arabic"/>
          <w:rtl/>
        </w:rPr>
      </w:pPr>
      <w:r>
        <w:rPr>
          <w:rFonts w:cs="Arial Unicode MS"/>
          <w:rtl/>
        </w:rPr>
        <w:tab/>
      </w:r>
      <w:r>
        <w:rPr>
          <w:rFonts w:cs="Arial Unicode MS"/>
          <w:rtl/>
        </w:rPr>
        <w:tab/>
      </w:r>
      <w:r w:rsidRPr="00C40BCD">
        <w:rPr>
          <w:rtl/>
        </w:rPr>
        <w:t xml:space="preserve">المسائل والإجراءات المعروضة على اللجنة </w:t>
      </w:r>
    </w:p>
    <w:p w:rsidR="00EB0881" w:rsidRPr="00B851F7" w:rsidRDefault="00EB0881" w:rsidP="0078008C">
      <w:pPr>
        <w:pStyle w:val="H4GA"/>
        <w:rPr>
          <w:rFonts w:ascii="Traditional Arabic" w:hAnsi="Traditional Arabic"/>
          <w:rtl/>
          <w:lang w:eastAsia="zh-TW"/>
        </w:rPr>
      </w:pPr>
      <w:r w:rsidRPr="00C40BCD">
        <w:rPr>
          <w:bCs/>
          <w:rtl/>
          <w:lang w:eastAsia="zh-TW"/>
        </w:rPr>
        <w:tab/>
      </w:r>
      <w:r w:rsidRPr="00C40BCD">
        <w:rPr>
          <w:bCs/>
          <w:rtl/>
          <w:lang w:eastAsia="zh-TW"/>
        </w:rPr>
        <w:tab/>
      </w:r>
      <w:r w:rsidRPr="00B851F7">
        <w:rPr>
          <w:rtl/>
          <w:lang w:eastAsia="zh-TW"/>
        </w:rPr>
        <w:t>النظر في المقبولية</w:t>
      </w:r>
    </w:p>
    <w:p w:rsidR="00EB0881" w:rsidRPr="006D7647" w:rsidRDefault="0078008C" w:rsidP="0078008C">
      <w:pPr>
        <w:pStyle w:val="SingleTxtGA"/>
        <w:rPr>
          <w:rtl/>
          <w:lang w:eastAsia="zh-TW"/>
        </w:rPr>
      </w:pPr>
      <w:r>
        <w:rPr>
          <w:rtl/>
          <w:lang w:eastAsia="zh-TW"/>
        </w:rPr>
        <w:t>6-1</w:t>
      </w:r>
      <w:r w:rsidR="00EB0881">
        <w:rPr>
          <w:rtl/>
          <w:lang w:eastAsia="zh-TW"/>
        </w:rPr>
        <w:tab/>
      </w:r>
      <w:r w:rsidR="00EB0881" w:rsidRPr="006D7647">
        <w:rPr>
          <w:rtl/>
          <w:lang w:eastAsia="zh-TW"/>
        </w:rPr>
        <w:t>قبل النظر في أي ادعاء يرد في بلاغ</w:t>
      </w:r>
      <w:r w:rsidR="00EB0881">
        <w:rPr>
          <w:rtl/>
          <w:lang w:eastAsia="zh-TW"/>
        </w:rPr>
        <w:t xml:space="preserve"> ما</w:t>
      </w:r>
      <w:r w:rsidR="00EB0881" w:rsidRPr="006D7647">
        <w:rPr>
          <w:rtl/>
          <w:lang w:eastAsia="zh-TW"/>
        </w:rPr>
        <w:t>، يجب على اللجنة المعنية بحقوق الإنسان، وفقاً للمادة 93 من نظامها الداخلي، أن تقرِّر ما إذا كان البلاغ مقبولاً</w:t>
      </w:r>
      <w:r>
        <w:rPr>
          <w:rtl/>
          <w:lang w:eastAsia="zh-TW"/>
        </w:rPr>
        <w:t xml:space="preserve"> أم لا</w:t>
      </w:r>
      <w:r>
        <w:rPr>
          <w:rFonts w:hint="cs"/>
          <w:rtl/>
          <w:lang w:eastAsia="zh-TW"/>
        </w:rPr>
        <w:t> </w:t>
      </w:r>
      <w:r w:rsidR="00EB0881" w:rsidRPr="006D7647">
        <w:rPr>
          <w:rtl/>
          <w:lang w:eastAsia="zh-TW"/>
        </w:rPr>
        <w:t xml:space="preserve">بموجب البروتوكول الاختياري الملحق بالعهد. </w:t>
      </w:r>
    </w:p>
    <w:p w:rsidR="00EB0881" w:rsidRPr="006D7647" w:rsidRDefault="0078008C" w:rsidP="0078008C">
      <w:pPr>
        <w:pStyle w:val="SingleTxtGA"/>
        <w:rPr>
          <w:rtl/>
          <w:lang w:eastAsia="zh-TW"/>
        </w:rPr>
      </w:pPr>
      <w:r>
        <w:rPr>
          <w:rtl/>
          <w:lang w:eastAsia="zh-TW"/>
        </w:rPr>
        <w:t>6-2</w:t>
      </w:r>
      <w:r w:rsidR="00EB0881">
        <w:rPr>
          <w:rtl/>
          <w:lang w:eastAsia="zh-TW"/>
        </w:rPr>
        <w:tab/>
      </w:r>
      <w:r w:rsidR="00EB0881" w:rsidRPr="006D7647">
        <w:rPr>
          <w:rtl/>
          <w:lang w:eastAsia="zh-TW"/>
        </w:rPr>
        <w:t xml:space="preserve">ووفقاً لما تقتضيه الفقرة 2(أ) من المادة 5 من البرتوكول الاختياري، تحققت اللجنة من أن المسألة ذاتها ليست محل دراسة في إطار إجراء آخر من إجراءات التحقيق الدولي أو التسوية الدولية. </w:t>
      </w:r>
    </w:p>
    <w:p w:rsidR="00EB0881" w:rsidRPr="006D7647" w:rsidRDefault="0078008C" w:rsidP="0078008C">
      <w:pPr>
        <w:pStyle w:val="SingleTxtGA"/>
        <w:rPr>
          <w:rtl/>
          <w:lang w:eastAsia="zh-TW"/>
        </w:rPr>
      </w:pPr>
      <w:r>
        <w:rPr>
          <w:rtl/>
          <w:lang w:eastAsia="zh-TW"/>
        </w:rPr>
        <w:t>6-3</w:t>
      </w:r>
      <w:r w:rsidR="00EB0881">
        <w:rPr>
          <w:rtl/>
          <w:lang w:eastAsia="zh-TW"/>
        </w:rPr>
        <w:tab/>
      </w:r>
      <w:r w:rsidR="00EB0881" w:rsidRPr="006D7647">
        <w:rPr>
          <w:rtl/>
          <w:lang w:eastAsia="zh-TW"/>
        </w:rPr>
        <w:t>وتحيط اللجنة علماً بادعاء</w:t>
      </w:r>
      <w:r w:rsidR="00EB0881">
        <w:rPr>
          <w:rtl/>
          <w:lang w:eastAsia="zh-TW"/>
        </w:rPr>
        <w:t>ات</w:t>
      </w:r>
      <w:r w:rsidR="00EB0881" w:rsidRPr="006D7647">
        <w:rPr>
          <w:rtl/>
          <w:lang w:eastAsia="zh-TW"/>
        </w:rPr>
        <w:t xml:space="preserve"> صاحب البلاغ</w:t>
      </w:r>
      <w:r w:rsidR="00EB0881">
        <w:rPr>
          <w:rtl/>
          <w:lang w:eastAsia="zh-TW"/>
        </w:rPr>
        <w:t xml:space="preserve"> ومفادها</w:t>
      </w:r>
      <w:r w:rsidR="00EB0881" w:rsidRPr="006D7647">
        <w:rPr>
          <w:rtl/>
          <w:lang w:eastAsia="zh-TW"/>
        </w:rPr>
        <w:t xml:space="preserve"> أنه </w:t>
      </w:r>
      <w:r w:rsidR="00EB0881">
        <w:rPr>
          <w:rtl/>
          <w:lang w:eastAsia="zh-TW"/>
        </w:rPr>
        <w:t>أودع</w:t>
      </w:r>
      <w:r w:rsidR="00EB0881" w:rsidRPr="006D7647">
        <w:rPr>
          <w:rtl/>
          <w:lang w:eastAsia="zh-TW"/>
        </w:rPr>
        <w:t xml:space="preserve"> "الحبس الانفرادي" وأن ظروف الاحتجاز انتهكت حقوقه التي تكفلها المادة </w:t>
      </w:r>
      <w:r w:rsidR="00EB0881">
        <w:rPr>
          <w:rtl/>
          <w:lang w:eastAsia="zh-TW"/>
        </w:rPr>
        <w:t xml:space="preserve">10 من العهد، وأنه تعرض للتمييز </w:t>
      </w:r>
      <w:r w:rsidR="00EB0881" w:rsidRPr="006D7647">
        <w:rPr>
          <w:rtl/>
          <w:lang w:eastAsia="zh-TW"/>
        </w:rPr>
        <w:t xml:space="preserve">باعتباره سجيناً سياسياً، مما يمثل انتهاكاً لحقوقه المنصوص عليها في المادة 26 من العهد. ومع ذلك، تلاحظ اللجنة أن </w:t>
      </w:r>
      <w:r w:rsidR="00EB0881">
        <w:rPr>
          <w:rtl/>
          <w:lang w:eastAsia="zh-TW"/>
        </w:rPr>
        <w:t xml:space="preserve">صاحب البلاغ لم يبلِّغ هذه </w:t>
      </w:r>
      <w:r w:rsidR="00EB0881" w:rsidRPr="006D7647">
        <w:rPr>
          <w:rtl/>
          <w:lang w:eastAsia="zh-TW"/>
        </w:rPr>
        <w:t xml:space="preserve">الادعاءات </w:t>
      </w:r>
      <w:r w:rsidR="00EB0881">
        <w:rPr>
          <w:rtl/>
          <w:lang w:eastAsia="zh-TW"/>
        </w:rPr>
        <w:t>إلى</w:t>
      </w:r>
      <w:r w:rsidR="00EB0881" w:rsidRPr="006D7647">
        <w:rPr>
          <w:rtl/>
          <w:lang w:eastAsia="zh-TW"/>
        </w:rPr>
        <w:t xml:space="preserve"> السلطات في أي وقت من الأوقات قبل أن يرفع شكواه إلى اللجنة. وتحيط اللج</w:t>
      </w:r>
      <w:r w:rsidR="00EB0881">
        <w:rPr>
          <w:rtl/>
          <w:lang w:eastAsia="zh-TW"/>
        </w:rPr>
        <w:t>نة علماً بتوضيح</w:t>
      </w:r>
      <w:r w:rsidR="00EB0881" w:rsidRPr="006D7647">
        <w:rPr>
          <w:rtl/>
          <w:lang w:eastAsia="zh-TW"/>
        </w:rPr>
        <w:t xml:space="preserve"> صاحب البلاغ أنه كان يخشى من الانتقام إن هو قدم شكاوى حين كان يقضي عقوبته </w:t>
      </w:r>
      <w:r w:rsidR="00EB0881">
        <w:rPr>
          <w:rtl/>
          <w:lang w:eastAsia="zh-TW"/>
        </w:rPr>
        <w:t xml:space="preserve">في </w:t>
      </w:r>
      <w:r w:rsidR="00EB0881" w:rsidRPr="006D7647">
        <w:rPr>
          <w:rtl/>
          <w:lang w:eastAsia="zh-TW"/>
        </w:rPr>
        <w:t xml:space="preserve">السجن، ولكنها تلاحظ أن صاحب </w:t>
      </w:r>
      <w:r w:rsidR="008F5F9A">
        <w:rPr>
          <w:rtl/>
          <w:lang w:eastAsia="zh-TW"/>
        </w:rPr>
        <w:t>البلاغ خرج من السجن في عام 2004</w:t>
      </w:r>
      <w:r w:rsidR="00EB0881">
        <w:rPr>
          <w:rtl/>
          <w:lang w:eastAsia="zh-TW"/>
        </w:rPr>
        <w:t xml:space="preserve"> ولم يرفع </w:t>
      </w:r>
      <w:r w:rsidR="00EB0881" w:rsidRPr="006D7647">
        <w:rPr>
          <w:rtl/>
          <w:lang w:eastAsia="zh-TW"/>
        </w:rPr>
        <w:t>بعد ذلك</w:t>
      </w:r>
      <w:r w:rsidR="00EB0881">
        <w:rPr>
          <w:rtl/>
          <w:lang w:eastAsia="zh-TW"/>
        </w:rPr>
        <w:t>، فيما يبدو،</w:t>
      </w:r>
      <w:r w:rsidR="00EB0881" w:rsidRPr="006D7647">
        <w:rPr>
          <w:rtl/>
          <w:lang w:eastAsia="zh-TW"/>
        </w:rPr>
        <w:t xml:space="preserve"> أي شكاوى تتعلق بالمسائل المشار إليها أعلاه. وبناءً عليه، ترى اللجنة </w:t>
      </w:r>
      <w:r w:rsidR="00EB0881">
        <w:rPr>
          <w:rtl/>
          <w:lang w:eastAsia="zh-TW"/>
        </w:rPr>
        <w:t xml:space="preserve">أن تلك الادعاءات </w:t>
      </w:r>
      <w:r w:rsidR="00EB0881" w:rsidRPr="006D7647">
        <w:rPr>
          <w:rtl/>
          <w:lang w:eastAsia="zh-TW"/>
        </w:rPr>
        <w:t>غير مقبول</w:t>
      </w:r>
      <w:r w:rsidR="00EB0881">
        <w:rPr>
          <w:rtl/>
          <w:lang w:eastAsia="zh-TW"/>
        </w:rPr>
        <w:t>ة</w:t>
      </w:r>
      <w:r w:rsidR="00EB0881" w:rsidRPr="006D7647">
        <w:rPr>
          <w:rtl/>
          <w:lang w:eastAsia="zh-TW"/>
        </w:rPr>
        <w:t xml:space="preserve"> بموجب الفقرة 2(ب) من المادة 5 من البروتوكول الاختياري. </w:t>
      </w:r>
    </w:p>
    <w:p w:rsidR="00EB0881" w:rsidRPr="006D7647" w:rsidRDefault="0078008C" w:rsidP="0078008C">
      <w:pPr>
        <w:pStyle w:val="SingleTxtGA"/>
        <w:rPr>
          <w:rtl/>
          <w:lang w:eastAsia="zh-TW"/>
        </w:rPr>
      </w:pPr>
      <w:r>
        <w:rPr>
          <w:rtl/>
          <w:lang w:eastAsia="zh-TW"/>
        </w:rPr>
        <w:t>6-4</w:t>
      </w:r>
      <w:r w:rsidR="00EB0881">
        <w:rPr>
          <w:rtl/>
          <w:lang w:eastAsia="zh-TW"/>
        </w:rPr>
        <w:tab/>
      </w:r>
      <w:r w:rsidR="00EB0881" w:rsidRPr="006D7647">
        <w:rPr>
          <w:rtl/>
          <w:lang w:eastAsia="zh-TW"/>
        </w:rPr>
        <w:t xml:space="preserve">وتحيط اللجنة علماً بادعاء صاحب البلاغ أن حقوقه المنصوص عليها في المادة 14 قد انتهكت أثناء إجراءات الطعن التي شرع فيها في عام 2005، بيد أنها تلاحظ أن صاحب البلاغ لم يقدم أي معلومات لإثبات ادعائه أن الإجراءات كانت غير عادلة وشكّلت انتهاكاً لمبدأ </w:t>
      </w:r>
      <w:r w:rsidR="00EB0881">
        <w:rPr>
          <w:rtl/>
          <w:lang w:eastAsia="zh-TW"/>
        </w:rPr>
        <w:t>تكافؤ</w:t>
      </w:r>
      <w:r w:rsidR="00EB0881" w:rsidRPr="006D7647">
        <w:rPr>
          <w:rtl/>
          <w:lang w:eastAsia="zh-TW"/>
        </w:rPr>
        <w:t xml:space="preserve"> وسائل الدفاع. وعليه، ترى اللجنة أن هذا الادعاء غير مقبول بموجب المادة 2 من البروتوكول الاختياري. </w:t>
      </w:r>
    </w:p>
    <w:p w:rsidR="00EB0881" w:rsidRDefault="0078008C" w:rsidP="008F5F9A">
      <w:pPr>
        <w:pStyle w:val="SingleTxtGA"/>
        <w:rPr>
          <w:rtl/>
        </w:rPr>
      </w:pPr>
      <w:r>
        <w:rPr>
          <w:rtl/>
          <w:lang w:eastAsia="zh-TW"/>
        </w:rPr>
        <w:t>6-5</w:t>
      </w:r>
      <w:r w:rsidR="00EB0881">
        <w:rPr>
          <w:rtl/>
          <w:lang w:eastAsia="zh-TW"/>
        </w:rPr>
        <w:tab/>
      </w:r>
      <w:r w:rsidR="00EB0881" w:rsidRPr="006D7647">
        <w:rPr>
          <w:rtl/>
          <w:lang w:eastAsia="zh-TW"/>
        </w:rPr>
        <w:t xml:space="preserve">وتلاحظ اللجنة أيضاً أن ادعاءات صاحب البلاغ أنه تعرض للتعذيب أثناء التحقيق قبل المحاكمة، وأن حقوقه المنصوص عليها في المادة 14 من العهد قد انتهكت خلال محاكمته في 1999، وأن العقوبة التي فُرضت عليه كانت أشد من العقوبة المطبقة وقت ارتكاب الجرائم المزعومة، تشكل انتهاكاً لحقوقه المنصوص عليها في الفقرة 1 من المادة 15 من العهد. وتلاحظ اللجنة أن الدولة الطرف لم تحاول الطعن في ادعاء صاحب البلاغ أنه تعرض للتعذيب؛ وترى أن هذا الجزء من البلاغ </w:t>
      </w:r>
      <w:r w:rsidR="00EB0881">
        <w:rPr>
          <w:rtl/>
          <w:lang w:eastAsia="zh-TW"/>
        </w:rPr>
        <w:t>يتعلق بوقائع أثبتها صاحب البلاغ</w:t>
      </w:r>
      <w:r w:rsidR="00EB0881" w:rsidRPr="006D7647">
        <w:rPr>
          <w:rtl/>
          <w:lang w:eastAsia="zh-TW"/>
        </w:rPr>
        <w:t xml:space="preserve"> لأغراض المقبولية (انظر أيضا</w:t>
      </w:r>
      <w:r w:rsidR="00963291">
        <w:rPr>
          <w:rFonts w:hint="cs"/>
          <w:rtl/>
          <w:lang w:eastAsia="zh-TW"/>
        </w:rPr>
        <w:t>ً</w:t>
      </w:r>
      <w:r w:rsidR="00EB0881" w:rsidRPr="006D7647">
        <w:rPr>
          <w:rtl/>
          <w:lang w:eastAsia="zh-TW"/>
        </w:rPr>
        <w:t xml:space="preserve"> الفقرة 7-2 أدناه). ومع ذلك، تحيط اللجنة علماً ب</w:t>
      </w:r>
      <w:r w:rsidR="00EB0881">
        <w:rPr>
          <w:rtl/>
          <w:lang w:eastAsia="zh-TW"/>
        </w:rPr>
        <w:t>ما ورد في ملاحظات</w:t>
      </w:r>
      <w:r w:rsidR="00EB0881" w:rsidRPr="006D7647">
        <w:rPr>
          <w:rtl/>
          <w:lang w:eastAsia="zh-TW"/>
        </w:rPr>
        <w:t xml:space="preserve"> الدولة الطرف </w:t>
      </w:r>
      <w:r w:rsidR="00EB0881">
        <w:rPr>
          <w:rtl/>
          <w:lang w:eastAsia="zh-TW"/>
        </w:rPr>
        <w:t xml:space="preserve">من </w:t>
      </w:r>
      <w:r w:rsidR="00EB0881" w:rsidRPr="006D7647">
        <w:rPr>
          <w:rtl/>
          <w:lang w:eastAsia="zh-TW"/>
        </w:rPr>
        <w:t xml:space="preserve">أن أي شكوى تتعلق بالأفعال وأوجه التقصير التي حدثت قبل دخول البروتوكول الاختياري حيز النفاذ بالنسبة للدولة الطرف تخرج عن </w:t>
      </w:r>
      <w:r w:rsidR="00EB0881">
        <w:rPr>
          <w:rtl/>
          <w:lang w:eastAsia="zh-TW"/>
        </w:rPr>
        <w:t xml:space="preserve">نطاق </w:t>
      </w:r>
      <w:r w:rsidR="00EB0881" w:rsidRPr="00942635">
        <w:rPr>
          <w:i/>
          <w:iCs/>
          <w:rtl/>
          <w:lang w:eastAsia="zh-TW"/>
        </w:rPr>
        <w:t>الاختصاص الزماني</w:t>
      </w:r>
      <w:r w:rsidR="00EB0881" w:rsidRPr="006D7647">
        <w:rPr>
          <w:rtl/>
          <w:lang w:eastAsia="zh-TW"/>
        </w:rPr>
        <w:t xml:space="preserve"> للجنة. وتلاحظ اللجنة أن صاحب البلاغ حوكم وأُدين في سنة 1999، وأن التعذيب المزعوم وقع قبل ذلك، عندما كان قيد الاحتجاز قبل المحاكمة. ولذلك ترى اللجنة، في ظل هذه الظروف، أن ليس بإمكانها، من حيث </w:t>
      </w:r>
      <w:r w:rsidR="00EB0881" w:rsidRPr="00942635">
        <w:rPr>
          <w:i/>
          <w:iCs/>
          <w:rtl/>
          <w:lang w:eastAsia="zh-TW"/>
        </w:rPr>
        <w:t>الاختصاص الزماني</w:t>
      </w:r>
      <w:r w:rsidR="00EB0881" w:rsidRPr="006D7647">
        <w:rPr>
          <w:rtl/>
          <w:lang w:eastAsia="zh-TW"/>
        </w:rPr>
        <w:t>، النظر في</w:t>
      </w:r>
      <w:r w:rsidR="00EB0881">
        <w:rPr>
          <w:rtl/>
          <w:lang w:eastAsia="zh-TW"/>
        </w:rPr>
        <w:t xml:space="preserve"> تلك</w:t>
      </w:r>
      <w:r w:rsidR="00EB0881" w:rsidRPr="006D7647">
        <w:rPr>
          <w:rtl/>
          <w:lang w:eastAsia="zh-TW"/>
        </w:rPr>
        <w:t xml:space="preserve"> </w:t>
      </w:r>
      <w:r w:rsidR="00EB0881">
        <w:rPr>
          <w:rtl/>
          <w:lang w:eastAsia="zh-TW"/>
        </w:rPr>
        <w:t>الادعاءات</w:t>
      </w:r>
      <w:r w:rsidR="00EB0881" w:rsidRPr="006D7647">
        <w:rPr>
          <w:rtl/>
          <w:lang w:eastAsia="zh-TW"/>
        </w:rPr>
        <w:t xml:space="preserve"> من حيث صلتها بما </w:t>
      </w:r>
      <w:r w:rsidR="00EB0881">
        <w:rPr>
          <w:rtl/>
          <w:lang w:eastAsia="zh-TW"/>
        </w:rPr>
        <w:t>بدر</w:t>
      </w:r>
      <w:r w:rsidR="00EB0881" w:rsidRPr="006D7647">
        <w:rPr>
          <w:rtl/>
          <w:lang w:eastAsia="zh-TW"/>
        </w:rPr>
        <w:t xml:space="preserve"> </w:t>
      </w:r>
      <w:r w:rsidR="00EB0881">
        <w:rPr>
          <w:rtl/>
          <w:lang w:eastAsia="zh-TW"/>
        </w:rPr>
        <w:t>من</w:t>
      </w:r>
      <w:r w:rsidR="00EB0881" w:rsidRPr="006D7647">
        <w:rPr>
          <w:rtl/>
          <w:lang w:eastAsia="zh-TW"/>
        </w:rPr>
        <w:t xml:space="preserve"> الدولة الطرف من أفعال وأوجه تقصير قبل دخول البروتوكول الاختياري حيز النفاذ بالنسبة لها، مما </w:t>
      </w:r>
      <w:r w:rsidR="00EB0881">
        <w:rPr>
          <w:rtl/>
          <w:lang w:eastAsia="zh-TW"/>
        </w:rPr>
        <w:t>يستتبع</w:t>
      </w:r>
      <w:r w:rsidR="00EB0881" w:rsidRPr="006D7647">
        <w:rPr>
          <w:rtl/>
          <w:lang w:eastAsia="zh-TW"/>
        </w:rPr>
        <w:t xml:space="preserve"> التزامها باحترام وكفالة حقوق صاحب الب</w:t>
      </w:r>
      <w:r w:rsidR="008F5F9A">
        <w:rPr>
          <w:rtl/>
          <w:lang w:eastAsia="zh-TW"/>
        </w:rPr>
        <w:t>لاغ المنصوص عليها في المواد 7 و</w:t>
      </w:r>
      <w:r w:rsidR="00EB0881" w:rsidRPr="006D7647">
        <w:rPr>
          <w:rtl/>
          <w:lang w:eastAsia="zh-TW"/>
        </w:rPr>
        <w:t xml:space="preserve">14 و15 من </w:t>
      </w:r>
      <w:r w:rsidR="00EB0881">
        <w:rPr>
          <w:rtl/>
          <w:lang w:eastAsia="zh-TW"/>
        </w:rPr>
        <w:t xml:space="preserve">العهد. </w:t>
      </w:r>
      <w:r w:rsidR="00EB0881" w:rsidRPr="00492043">
        <w:rPr>
          <w:rtl/>
          <w:lang w:eastAsia="zh-TW"/>
        </w:rPr>
        <w:t>وتلاحظ</w:t>
      </w:r>
      <w:r w:rsidR="008F5F9A">
        <w:rPr>
          <w:rtl/>
          <w:lang w:eastAsia="zh-TW"/>
        </w:rPr>
        <w:t xml:space="preserve"> اللجنة أيضاً أن صاحب البلاغ لم</w:t>
      </w:r>
      <w:r w:rsidR="008F5F9A">
        <w:rPr>
          <w:rFonts w:hint="cs"/>
          <w:rtl/>
          <w:lang w:eastAsia="zh-TW"/>
        </w:rPr>
        <w:t> </w:t>
      </w:r>
      <w:r w:rsidR="00EB0881">
        <w:rPr>
          <w:rtl/>
          <w:lang w:eastAsia="zh-TW"/>
        </w:rPr>
        <w:t>يعترض</w:t>
      </w:r>
      <w:r w:rsidR="00EB0881" w:rsidRPr="00492043">
        <w:rPr>
          <w:rtl/>
          <w:lang w:eastAsia="zh-TW"/>
        </w:rPr>
        <w:t xml:space="preserve"> على </w:t>
      </w:r>
      <w:r w:rsidR="00EB0881">
        <w:rPr>
          <w:rtl/>
          <w:lang w:eastAsia="zh-TW"/>
        </w:rPr>
        <w:t>ما ورد في ملاحظات</w:t>
      </w:r>
      <w:r w:rsidR="00EB0881" w:rsidRPr="00492043">
        <w:rPr>
          <w:rtl/>
          <w:lang w:eastAsia="zh-TW"/>
        </w:rPr>
        <w:t xml:space="preserve"> الدولة الطرف </w:t>
      </w:r>
      <w:r w:rsidR="00EB0881">
        <w:rPr>
          <w:rtl/>
          <w:lang w:eastAsia="zh-TW"/>
        </w:rPr>
        <w:t xml:space="preserve">من أن </w:t>
      </w:r>
      <w:r w:rsidR="00EB0881" w:rsidRPr="00492043">
        <w:rPr>
          <w:rtl/>
          <w:lang w:eastAsia="zh-TW"/>
        </w:rPr>
        <w:t xml:space="preserve">أي </w:t>
      </w:r>
      <w:r w:rsidR="00EB0881">
        <w:rPr>
          <w:rtl/>
          <w:lang w:eastAsia="zh-TW"/>
        </w:rPr>
        <w:t>عيب</w:t>
      </w:r>
      <w:r w:rsidR="00EB0881" w:rsidRPr="00492043">
        <w:rPr>
          <w:rtl/>
          <w:lang w:eastAsia="zh-TW"/>
        </w:rPr>
        <w:t xml:space="preserve"> في الحكم بعقوبة السجن المؤبد على صاحب البلاغ قد تم </w:t>
      </w:r>
      <w:r w:rsidR="00EB0881">
        <w:rPr>
          <w:rtl/>
          <w:lang w:eastAsia="zh-TW"/>
        </w:rPr>
        <w:t>تصحيحه</w:t>
      </w:r>
      <w:r w:rsidR="00EB0881" w:rsidRPr="00492043">
        <w:rPr>
          <w:rtl/>
          <w:lang w:eastAsia="zh-TW"/>
        </w:rPr>
        <w:t xml:space="preserve"> بالإفراج المبكر عنه، وترى أن صاحب البلاغ لم يقدم كذلك أدلة تثبت وقوع انتهاك لأحكام العهد في هذا الصدد.</w:t>
      </w:r>
    </w:p>
    <w:p w:rsidR="00EB0881" w:rsidRPr="00902BB4" w:rsidRDefault="0078008C" w:rsidP="00DF15F6">
      <w:pPr>
        <w:pStyle w:val="SingleTxtGA"/>
        <w:spacing w:after="100"/>
        <w:rPr>
          <w:rtl/>
          <w:lang w:eastAsia="zh-TW"/>
        </w:rPr>
      </w:pPr>
      <w:r>
        <w:rPr>
          <w:rtl/>
          <w:lang w:eastAsia="zh-TW"/>
        </w:rPr>
        <w:t>6-6</w:t>
      </w:r>
      <w:r w:rsidR="00EB0881">
        <w:rPr>
          <w:rtl/>
          <w:lang w:eastAsia="zh-TW"/>
        </w:rPr>
        <w:tab/>
      </w:r>
      <w:r w:rsidR="00EB0881" w:rsidRPr="00467F6E">
        <w:rPr>
          <w:rtl/>
          <w:lang w:eastAsia="zh-TW"/>
        </w:rPr>
        <w:t>ومع ذلك، تحيط اللجنة علماً بادّعاء صاحب البلاغ أن إساءة معاملته أثناء احتجازه قبل المحاكمة قد كان لها عواقب طويلة الأجل، الأمر الذي أدى إلى انتهاك مستمر لحقوقه التي تكفلها المادة 7.</w:t>
      </w:r>
      <w:r w:rsidR="00EB0881" w:rsidRPr="00467F6E">
        <w:rPr>
          <w:rtl/>
        </w:rPr>
        <w:t xml:space="preserve"> </w:t>
      </w:r>
      <w:r w:rsidR="00EB0881" w:rsidRPr="00467F6E">
        <w:rPr>
          <w:rtl/>
          <w:lang w:eastAsia="zh-TW"/>
        </w:rPr>
        <w:t>وتحيط اللجنة علماً كذلك بملاحظات الدولة الطرف</w:t>
      </w:r>
      <w:r w:rsidR="00EB0881">
        <w:rPr>
          <w:rtl/>
          <w:lang w:eastAsia="zh-TW"/>
        </w:rPr>
        <w:t xml:space="preserve"> ومؤداها</w:t>
      </w:r>
      <w:r w:rsidR="00EB0881" w:rsidRPr="00467F6E">
        <w:rPr>
          <w:rtl/>
          <w:lang w:eastAsia="zh-TW"/>
        </w:rPr>
        <w:t xml:space="preserve"> أن جميع ادعاءات صاحب البلاغ في إطار المادة 7 غير مقبولة وغير متماشية مع أحكام العهد.</w:t>
      </w:r>
      <w:r w:rsidR="00EB0881">
        <w:rPr>
          <w:rtl/>
          <w:lang w:eastAsia="zh-TW"/>
        </w:rPr>
        <w:t xml:space="preserve"> وتشير اللجنة أيضاً إلى اجتهادها السابق ومفاده أن النظر في الانتهاكات المزعومة للعهد التي وقعت قبل تاريخ دخول البروتوكول الاختياري حيز النفاذ بالنسبة لأي دولة من الدول الأطراف لا يجوز ما لم تكن تلك "</w:t>
      </w:r>
      <w:r w:rsidR="00EB0881">
        <w:rPr>
          <w:rtl/>
        </w:rPr>
        <w:t>الانتهاكات قد استمرت بعد ذلك التاريخ أو تكون الآثار المترتبة عليها مستمرة بحيث</w:t>
      </w:r>
      <w:r w:rsidR="00EB0881">
        <w:t xml:space="preserve"> </w:t>
      </w:r>
      <w:r w:rsidR="00EB0881">
        <w:rPr>
          <w:rtl/>
        </w:rPr>
        <w:t>تشكل هي في حد ذاتها انتهاكاً للعهد</w:t>
      </w:r>
      <w:r w:rsidR="00EB0881">
        <w:rPr>
          <w:rtl/>
          <w:lang w:eastAsia="zh-TW"/>
        </w:rPr>
        <w:t>"</w:t>
      </w:r>
      <w:r w:rsidR="00823D6C" w:rsidRPr="00823D6C">
        <w:rPr>
          <w:rFonts w:hint="cs"/>
          <w:vertAlign w:val="superscript"/>
          <w:rtl/>
          <w:lang w:eastAsia="zh-TW"/>
        </w:rPr>
        <w:t>(</w:t>
      </w:r>
      <w:r w:rsidR="00EB0881" w:rsidRPr="00823D6C">
        <w:rPr>
          <w:rStyle w:val="FootnoteReference"/>
          <w:rtl/>
        </w:rPr>
        <w:footnoteReference w:id="10"/>
      </w:r>
      <w:r w:rsidR="00823D6C" w:rsidRPr="00823D6C">
        <w:rPr>
          <w:rFonts w:hint="cs"/>
          <w:vertAlign w:val="superscript"/>
          <w:rtl/>
          <w:lang w:eastAsia="zh-TW"/>
        </w:rPr>
        <w:t>)</w:t>
      </w:r>
      <w:r w:rsidR="00EB0881" w:rsidRPr="00D51A8D">
        <w:rPr>
          <w:rtl/>
        </w:rPr>
        <w:t xml:space="preserve">. </w:t>
      </w:r>
      <w:r w:rsidR="00EB0881">
        <w:rPr>
          <w:rtl/>
        </w:rPr>
        <w:t>ويجوز للجنة أيضاً أن تنظر في انتهاك يزعم أنه مستمر بطبيعته عندما "يثبت تواصل الانتهاكات التي ارتكبتها الدولة الطرف في الماضي بعد دخول البروتوكول حيز النفاذ، سواءٌ بطريقة فعلية أو ضمنية"</w:t>
      </w:r>
      <w:r w:rsidR="00823D6C" w:rsidRPr="00823D6C">
        <w:rPr>
          <w:rFonts w:hint="cs"/>
          <w:vertAlign w:val="superscript"/>
          <w:rtl/>
        </w:rPr>
        <w:t>(</w:t>
      </w:r>
      <w:r w:rsidR="00EB0881" w:rsidRPr="00823D6C">
        <w:rPr>
          <w:rStyle w:val="FootnoteReference"/>
          <w:rtl/>
        </w:rPr>
        <w:footnoteReference w:id="11"/>
      </w:r>
      <w:r w:rsidR="00823D6C" w:rsidRPr="00823D6C">
        <w:rPr>
          <w:rFonts w:hint="cs"/>
          <w:vertAlign w:val="superscript"/>
          <w:rtl/>
        </w:rPr>
        <w:t>)</w:t>
      </w:r>
      <w:r w:rsidR="00EB0881">
        <w:rPr>
          <w:rtl/>
        </w:rPr>
        <w:t>. ولكن اللجنة لا ترى أن أفعال التعذيب المنعزلة تفضي إلى انتهاك مستمر للعهد</w:t>
      </w:r>
      <w:r w:rsidR="00823D6C" w:rsidRPr="00823D6C">
        <w:rPr>
          <w:rFonts w:hint="cs"/>
          <w:vertAlign w:val="superscript"/>
          <w:rtl/>
        </w:rPr>
        <w:t>(</w:t>
      </w:r>
      <w:r w:rsidR="00EB0881" w:rsidRPr="00823D6C">
        <w:rPr>
          <w:rStyle w:val="FootnoteReference"/>
          <w:rtl/>
        </w:rPr>
        <w:footnoteReference w:id="12"/>
      </w:r>
      <w:r w:rsidR="00823D6C" w:rsidRPr="00823D6C">
        <w:rPr>
          <w:rFonts w:hint="cs"/>
          <w:vertAlign w:val="superscript"/>
          <w:rtl/>
        </w:rPr>
        <w:t>)</w:t>
      </w:r>
      <w:r w:rsidR="00EB0881">
        <w:rPr>
          <w:rtl/>
        </w:rPr>
        <w:t xml:space="preserve"> وإن تسببت في عقوبة سجن طويلة تستمر إلى ما بعد التاريخ المحدد لدخول العهد أو البروتوكول الاختياري حيز النفاذ</w:t>
      </w:r>
      <w:r w:rsidR="00823D6C" w:rsidRPr="00823D6C">
        <w:rPr>
          <w:rFonts w:hint="cs"/>
          <w:vertAlign w:val="superscript"/>
          <w:rtl/>
        </w:rPr>
        <w:t>(</w:t>
      </w:r>
      <w:r w:rsidR="00EB0881" w:rsidRPr="00823D6C">
        <w:rPr>
          <w:rStyle w:val="FootnoteReference"/>
          <w:rtl/>
        </w:rPr>
        <w:footnoteReference w:id="13"/>
      </w:r>
      <w:r w:rsidR="00823D6C" w:rsidRPr="00823D6C">
        <w:rPr>
          <w:rFonts w:hint="cs"/>
          <w:vertAlign w:val="superscript"/>
          <w:rtl/>
        </w:rPr>
        <w:t>)</w:t>
      </w:r>
      <w:r w:rsidR="00EB0881">
        <w:rPr>
          <w:rtl/>
        </w:rPr>
        <w:t>. وعلاوةً على ذلك، لا يمكن للجنة أن تعتبر أن قرارات المحكمة العليا والمحكمة الدستورية للدولة الطرف بعدم نقض القرار الذي أصدرته المحكمة العليا في عام 1999 بسبب انعدام أدلة الإثبات وانقضاء الأجل القانوني للطعن تأكيدٌ لفحوى الحكم السابق. وهذا صحيح بوجه خاص لأن صاحب ال</w:t>
      </w:r>
      <w:r w:rsidR="00F515E8">
        <w:rPr>
          <w:rtl/>
        </w:rPr>
        <w:t>بلاغ لم يُثبِت أنه أثار ادعاءات</w:t>
      </w:r>
      <w:r w:rsidR="00F515E8">
        <w:rPr>
          <w:rFonts w:hint="cs"/>
          <w:rtl/>
        </w:rPr>
        <w:t>ه</w:t>
      </w:r>
      <w:r w:rsidR="00EB0881">
        <w:rPr>
          <w:rtl/>
        </w:rPr>
        <w:t xml:space="preserve"> المتعلقة بتعرضه للتعذيب أثناء إجراءات عام 2005 أو في أيّ وقت آخر بعد دخول البروتوكول الاختياري حيز النفاذ بالنسبة للدولة الطرف. وبناءً عليه، ترى ال</w:t>
      </w:r>
      <w:r w:rsidR="00823D6C">
        <w:rPr>
          <w:rtl/>
        </w:rPr>
        <w:t>لجنة أن ادعاءات صاحب البلاغ لا</w:t>
      </w:r>
      <w:r w:rsidR="00823D6C">
        <w:rPr>
          <w:rFonts w:hint="cs"/>
          <w:rtl/>
        </w:rPr>
        <w:t> </w:t>
      </w:r>
      <w:r w:rsidR="00EB0881">
        <w:rPr>
          <w:rtl/>
        </w:rPr>
        <w:t xml:space="preserve">تثير انتهاكاً مستمراً للعهد وأنها غير مقبولة بموجب المادة 2 من البروتوكول الاختياري. </w:t>
      </w:r>
    </w:p>
    <w:p w:rsidR="00EB0881" w:rsidRDefault="00EB0881" w:rsidP="00DF15F6">
      <w:pPr>
        <w:pStyle w:val="SingleTxtGA"/>
        <w:spacing w:after="100"/>
        <w:rPr>
          <w:rtl/>
        </w:rPr>
      </w:pPr>
      <w:r>
        <w:rPr>
          <w:rtl/>
        </w:rPr>
        <w:t>7-</w:t>
      </w:r>
      <w:r>
        <w:rPr>
          <w:rtl/>
        </w:rPr>
        <w:tab/>
        <w:t>لذا تقرر اللجنة المعنية بحقوق الإنسان ما يلي:</w:t>
      </w:r>
    </w:p>
    <w:p w:rsidR="00EB0881" w:rsidRDefault="006B0B0E" w:rsidP="00DF15F6">
      <w:pPr>
        <w:pStyle w:val="SingleTxtGA"/>
        <w:spacing w:after="100"/>
      </w:pPr>
      <w:r>
        <w:rPr>
          <w:rFonts w:hint="cs"/>
          <w:rtl/>
        </w:rPr>
        <w:tab/>
        <w:t>(أ)</w:t>
      </w:r>
      <w:r>
        <w:rPr>
          <w:rFonts w:hint="cs"/>
          <w:rtl/>
        </w:rPr>
        <w:tab/>
      </w:r>
      <w:r w:rsidR="00EB0881">
        <w:rPr>
          <w:rtl/>
        </w:rPr>
        <w:t>عدم مقبولية البلاغ بموجب المادة 2 من البروتوكول الاختياري؛</w:t>
      </w:r>
    </w:p>
    <w:p w:rsidR="00EB0881" w:rsidRDefault="006B0B0E" w:rsidP="00DF15F6">
      <w:pPr>
        <w:pStyle w:val="SingleTxtGA"/>
        <w:spacing w:after="100"/>
        <w:rPr>
          <w:rFonts w:hint="cs"/>
          <w:rtl/>
        </w:rPr>
      </w:pPr>
      <w:r>
        <w:rPr>
          <w:rFonts w:hint="cs"/>
          <w:rtl/>
        </w:rPr>
        <w:tab/>
        <w:t>(ب)</w:t>
      </w:r>
      <w:r>
        <w:rPr>
          <w:rFonts w:hint="cs"/>
          <w:rtl/>
        </w:rPr>
        <w:tab/>
      </w:r>
      <w:r w:rsidR="00EB0881">
        <w:rPr>
          <w:rtl/>
        </w:rPr>
        <w:t>إبلاغ الدولة الطرف وصاحب البلاغ بهذا القرار.</w:t>
      </w:r>
    </w:p>
    <w:p w:rsidR="00DF15F6" w:rsidRPr="00DF15F6" w:rsidRDefault="00DF15F6" w:rsidP="00DF15F6">
      <w:pPr>
        <w:spacing w:line="280" w:lineRule="exact"/>
        <w:jc w:val="center"/>
        <w:rPr>
          <w:rFonts w:hint="cs"/>
          <w:u w:val="single"/>
          <w:rtl/>
        </w:rPr>
      </w:pPr>
      <w:r>
        <w:rPr>
          <w:u w:val="single"/>
          <w:rtl/>
        </w:rPr>
        <w:tab/>
      </w:r>
      <w:r>
        <w:rPr>
          <w:u w:val="single"/>
          <w:rtl/>
        </w:rPr>
        <w:tab/>
      </w:r>
      <w:r>
        <w:rPr>
          <w:u w:val="single"/>
          <w:rtl/>
        </w:rPr>
        <w:tab/>
      </w:r>
    </w:p>
    <w:sectPr w:rsidR="00DF15F6" w:rsidRPr="00DF15F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1F" w:rsidRPr="00FE6865" w:rsidRDefault="00F42A1F" w:rsidP="00FE6865">
      <w:pPr>
        <w:pStyle w:val="Footer"/>
      </w:pPr>
    </w:p>
  </w:endnote>
  <w:endnote w:type="continuationSeparator" w:id="0">
    <w:p w:rsidR="00F42A1F" w:rsidRDefault="00F42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CB" w:rsidRPr="00EB0881" w:rsidRDefault="00D821CB" w:rsidP="00EB0881">
    <w:pPr>
      <w:pStyle w:val="Footer"/>
      <w:tabs>
        <w:tab w:val="right" w:pos="9598"/>
      </w:tabs>
    </w:pPr>
    <w:r>
      <w:t>GE.14-14726</w:t>
    </w:r>
    <w:r>
      <w:tab/>
    </w:r>
    <w:r w:rsidRPr="00EB0881">
      <w:rPr>
        <w:b/>
        <w:sz w:val="18"/>
      </w:rPr>
      <w:fldChar w:fldCharType="begin"/>
    </w:r>
    <w:r w:rsidRPr="00EB0881">
      <w:rPr>
        <w:b/>
        <w:sz w:val="18"/>
      </w:rPr>
      <w:instrText xml:space="preserve"> PAGE  \* MERGEFORMAT </w:instrText>
    </w:r>
    <w:r w:rsidRPr="00EB0881">
      <w:rPr>
        <w:b/>
        <w:sz w:val="18"/>
      </w:rPr>
      <w:fldChar w:fldCharType="separate"/>
    </w:r>
    <w:r w:rsidR="00471370">
      <w:rPr>
        <w:b/>
        <w:noProof/>
        <w:sz w:val="18"/>
      </w:rPr>
      <w:t>2</w:t>
    </w:r>
    <w:r w:rsidRPr="00EB088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CB" w:rsidRPr="00EB0881" w:rsidRDefault="00D821CB" w:rsidP="00EB0881">
    <w:pPr>
      <w:pStyle w:val="Footer"/>
      <w:tabs>
        <w:tab w:val="right" w:pos="9598"/>
      </w:tabs>
      <w:rPr>
        <w:b/>
        <w:sz w:val="18"/>
      </w:rPr>
    </w:pPr>
    <w:r w:rsidRPr="00EB0881">
      <w:rPr>
        <w:b/>
        <w:sz w:val="18"/>
      </w:rPr>
      <w:fldChar w:fldCharType="begin"/>
    </w:r>
    <w:r w:rsidRPr="00EB0881">
      <w:rPr>
        <w:b/>
        <w:sz w:val="18"/>
      </w:rPr>
      <w:instrText xml:space="preserve"> PAGE  \* MERGEFORMAT </w:instrText>
    </w:r>
    <w:r w:rsidRPr="00EB0881">
      <w:rPr>
        <w:b/>
        <w:sz w:val="18"/>
      </w:rPr>
      <w:fldChar w:fldCharType="separate"/>
    </w:r>
    <w:r w:rsidR="00471370">
      <w:rPr>
        <w:b/>
        <w:noProof/>
        <w:sz w:val="18"/>
      </w:rPr>
      <w:t>3</w:t>
    </w:r>
    <w:r w:rsidRPr="00EB0881">
      <w:rPr>
        <w:b/>
        <w:sz w:val="18"/>
      </w:rPr>
      <w:fldChar w:fldCharType="end"/>
    </w:r>
    <w:r>
      <w:rPr>
        <w:b/>
        <w:sz w:val="18"/>
      </w:rPr>
      <w:tab/>
    </w:r>
    <w:r>
      <w:t>GE.14-14726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CB" w:rsidRDefault="00D821CB" w:rsidP="00942635">
    <w:pPr>
      <w:pStyle w:val="Footer"/>
      <w:jc w:val="right"/>
    </w:pPr>
    <w:r>
      <w:rPr>
        <w:sz w:val="20"/>
      </w:rPr>
      <w:t>(A)   GE.14-14726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w:t>
    </w:r>
    <w:r w:rsidR="00942635">
      <w:rPr>
        <w:sz w:val="20"/>
      </w:rPr>
      <w:t>4</w:t>
    </w:r>
    <w:r>
      <w:rPr>
        <w:sz w:val="20"/>
      </w:rPr>
      <w:t>1114    1</w:t>
    </w:r>
    <w:r w:rsidR="00942635">
      <w:rPr>
        <w:sz w:val="20"/>
      </w:rPr>
      <w:t>8</w:t>
    </w:r>
    <w:r>
      <w:rPr>
        <w:sz w:val="20"/>
      </w:rPr>
      <w:t>1114</w:t>
    </w:r>
    <w:r w:rsidR="00471370">
      <w:br/>
    </w:r>
    <w:r w:rsidR="00471370" w:rsidRPr="00471370">
      <w:rPr>
        <w:rFonts w:ascii="C39T30Lfz" w:hAnsi="C39T30Lfz"/>
        <w:sz w:val="56"/>
      </w:rPr>
      <w:t></w:t>
    </w:r>
    <w:r w:rsidR="00471370" w:rsidRPr="00471370">
      <w:rPr>
        <w:rFonts w:ascii="C39T30Lfz" w:hAnsi="C39T30Lfz"/>
        <w:sz w:val="56"/>
      </w:rPr>
      <w:t></w:t>
    </w:r>
    <w:r w:rsidR="00471370" w:rsidRPr="00471370">
      <w:rPr>
        <w:rFonts w:ascii="C39T30Lfz" w:hAnsi="C39T30Lfz"/>
        <w:sz w:val="56"/>
      </w:rPr>
      <w:t></w:t>
    </w:r>
    <w:r w:rsidR="00471370" w:rsidRPr="00471370">
      <w:rPr>
        <w:rFonts w:ascii="C39T30Lfz" w:hAnsi="C39T30Lfz"/>
        <w:sz w:val="56"/>
      </w:rPr>
      <w:t></w:t>
    </w:r>
    <w:r w:rsidR="00471370" w:rsidRPr="00471370">
      <w:rPr>
        <w:rFonts w:ascii="C39T30Lfz" w:hAnsi="C39T30Lfz"/>
        <w:sz w:val="56"/>
      </w:rPr>
      <w:t></w:t>
    </w:r>
    <w:r w:rsidR="00471370" w:rsidRPr="00471370">
      <w:rPr>
        <w:rFonts w:ascii="C39T30Lfz" w:hAnsi="C39T30Lfz"/>
        <w:sz w:val="56"/>
      </w:rPr>
      <w:t></w:t>
    </w:r>
    <w:r w:rsidR="00471370" w:rsidRPr="00471370">
      <w:rPr>
        <w:rFonts w:ascii="C39T30Lfz" w:hAnsi="C39T30Lfz"/>
        <w:sz w:val="56"/>
      </w:rPr>
      <w:t></w:t>
    </w:r>
    <w:r w:rsidR="00471370" w:rsidRPr="00471370">
      <w:rPr>
        <w:rFonts w:ascii="C39T30Lfz" w:hAnsi="C39T30Lfz"/>
        <w:sz w:val="56"/>
      </w:rPr>
      <w:t></w:t>
    </w:r>
    <w:r w:rsidR="00471370" w:rsidRPr="00471370">
      <w:rPr>
        <w:rFonts w:ascii="C39T30Lfz" w:hAnsi="C39T30Lfz"/>
        <w:sz w:val="56"/>
      </w:rPr>
      <w:t></w:t>
    </w:r>
    <w:r w:rsidR="00471370">
      <w:rPr>
        <w:rFonts w:ascii="C39T30Lfz" w:hAnsi="C39T30Lfz"/>
        <w:sz w:val="56"/>
      </w:rPr>
      <w:tab/>
    </w:r>
    <w:r w:rsidR="00471370">
      <w:rPr>
        <w:noProof/>
        <w:lang w:val="en-US"/>
      </w:rPr>
      <w:pict>
        <v:shape id="_x0000_s2054" type="#_x0000_t75" style="position:absolute;left:0;text-align:left;margin-left:.05pt;margin-top:0;width:50.25pt;height:50.25pt;z-index:3;mso-position-horizontal-relative:text;mso-position-vertical-relative:text" o:allowincell="f">
          <v:imagedata r:id="rId2" o:title="201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1F" w:rsidRDefault="00F42A1F" w:rsidP="007E4686">
      <w:pPr>
        <w:pStyle w:val="Footer"/>
        <w:bidi/>
        <w:spacing w:after="80" w:line="200" w:lineRule="exact"/>
        <w:ind w:left="680"/>
      </w:pPr>
      <w:r>
        <w:rPr>
          <w:rFonts w:hint="cs"/>
          <w:rtl/>
        </w:rPr>
        <w:t>__________</w:t>
      </w:r>
    </w:p>
  </w:footnote>
  <w:footnote w:type="continuationSeparator" w:id="0">
    <w:p w:rsidR="00F42A1F" w:rsidRDefault="00F42A1F" w:rsidP="007E4686">
      <w:pPr>
        <w:pStyle w:val="Footer"/>
        <w:bidi/>
        <w:spacing w:after="80" w:line="200" w:lineRule="exact"/>
        <w:ind w:left="680"/>
      </w:pPr>
      <w:r>
        <w:rPr>
          <w:rFonts w:hint="cs"/>
          <w:rtl/>
        </w:rPr>
        <w:t>__________</w:t>
      </w:r>
    </w:p>
  </w:footnote>
  <w:footnote w:id="1">
    <w:p w:rsidR="00D821CB" w:rsidRPr="00DC4449" w:rsidRDefault="00D821CB" w:rsidP="00942635">
      <w:pPr>
        <w:pStyle w:val="footnoteText0"/>
        <w:rPr>
          <w:rFonts w:hint="cs"/>
        </w:rPr>
      </w:pPr>
      <w:r w:rsidRPr="00DC4449">
        <w:rPr>
          <w:rtl/>
        </w:rPr>
        <w:tab/>
      </w:r>
      <w:r w:rsidRPr="00DC4449">
        <w:rPr>
          <w:rStyle w:val="FootnoteReference"/>
          <w:szCs w:val="26"/>
          <w:vertAlign w:val="baseline"/>
          <w:rtl/>
        </w:rPr>
        <w:t>*</w:t>
      </w:r>
      <w:r w:rsidRPr="00DC4449">
        <w:rPr>
          <w:rtl/>
        </w:rPr>
        <w:tab/>
      </w:r>
      <w:r w:rsidRPr="00DC4449">
        <w:rPr>
          <w:rStyle w:val="FootnoteReference"/>
          <w:szCs w:val="26"/>
          <w:vertAlign w:val="baseline"/>
          <w:rtl/>
          <w:lang w:eastAsia="zh-TW"/>
        </w:rPr>
        <w:t xml:space="preserve">شارك في دراسة هذا البلاغ أعضاء اللجنة التالية أسماؤهم: السيد يوجي إواساوا، </w:t>
      </w:r>
      <w:r w:rsidRPr="00DC4449">
        <w:rPr>
          <w:rtl/>
          <w:lang w:eastAsia="zh-TW"/>
        </w:rPr>
        <w:t>و</w:t>
      </w:r>
      <w:r w:rsidRPr="00DC4449">
        <w:rPr>
          <w:rStyle w:val="FootnoteReference"/>
          <w:szCs w:val="26"/>
          <w:vertAlign w:val="baseline"/>
          <w:rtl/>
          <w:lang w:eastAsia="zh-TW"/>
        </w:rPr>
        <w:t>السيد عياض بن عاشور، والسيد لزهاري بوزيد، والسيد فيكتور مانويل رودريغيس</w:t>
      </w:r>
      <w:r w:rsidRPr="00DC4449">
        <w:rPr>
          <w:rFonts w:hint="cs"/>
          <w:rtl/>
          <w:lang w:eastAsia="zh-TW"/>
        </w:rPr>
        <w:t xml:space="preserve"> - </w:t>
      </w:r>
      <w:r w:rsidRPr="00DC4449">
        <w:rPr>
          <w:rStyle w:val="FootnoteReference"/>
          <w:szCs w:val="26"/>
          <w:vertAlign w:val="baseline"/>
          <w:rtl/>
          <w:lang w:eastAsia="zh-TW"/>
        </w:rPr>
        <w:t>ريسيا</w:t>
      </w:r>
      <w:r w:rsidRPr="00DC4449">
        <w:rPr>
          <w:rtl/>
          <w:lang w:eastAsia="zh-TW"/>
        </w:rPr>
        <w:t>،</w:t>
      </w:r>
      <w:r w:rsidRPr="00DC4449">
        <w:rPr>
          <w:rStyle w:val="FootnoteReference"/>
          <w:szCs w:val="26"/>
          <w:vertAlign w:val="baseline"/>
          <w:rtl/>
          <w:lang w:eastAsia="zh-TW"/>
        </w:rPr>
        <w:t xml:space="preserve"> والسير نايجل رودلي، والسيد أندري بول زلاتيسكو</w:t>
      </w:r>
      <w:r w:rsidRPr="00DC4449">
        <w:rPr>
          <w:rtl/>
          <w:lang w:eastAsia="zh-TW"/>
        </w:rPr>
        <w:t>،</w:t>
      </w:r>
      <w:r w:rsidRPr="00DC4449">
        <w:rPr>
          <w:rStyle w:val="FootnoteReference"/>
          <w:szCs w:val="26"/>
          <w:vertAlign w:val="baseline"/>
          <w:rtl/>
          <w:lang w:eastAsia="zh-TW"/>
        </w:rPr>
        <w:t xml:space="preserve"> والسيد فابيان عمر سالفيولي، والسيدة أنيا زايبرت</w:t>
      </w:r>
      <w:r w:rsidRPr="00DC4449">
        <w:rPr>
          <w:rFonts w:hint="cs"/>
          <w:rtl/>
          <w:lang w:eastAsia="zh-TW"/>
        </w:rPr>
        <w:t xml:space="preserve"> </w:t>
      </w:r>
      <w:r w:rsidRPr="00DC4449">
        <w:rPr>
          <w:rStyle w:val="FootnoteReference"/>
          <w:szCs w:val="26"/>
          <w:vertAlign w:val="baseline"/>
          <w:rtl/>
          <w:lang w:eastAsia="zh-TW"/>
        </w:rPr>
        <w:t>-</w:t>
      </w:r>
      <w:r w:rsidRPr="00DC4449">
        <w:rPr>
          <w:rFonts w:hint="cs"/>
          <w:rtl/>
          <w:lang w:eastAsia="zh-TW"/>
        </w:rPr>
        <w:t xml:space="preserve"> </w:t>
      </w:r>
      <w:r w:rsidRPr="00DC4449">
        <w:rPr>
          <w:rStyle w:val="FootnoteReference"/>
          <w:szCs w:val="26"/>
          <w:vertAlign w:val="baseline"/>
          <w:rtl/>
          <w:lang w:eastAsia="zh-TW"/>
        </w:rPr>
        <w:t>فور، والسيد ديروجلال سيتولسينغ</w:t>
      </w:r>
      <w:r w:rsidRPr="00DC4449">
        <w:rPr>
          <w:rtl/>
          <w:lang w:eastAsia="zh-TW"/>
        </w:rPr>
        <w:t>،</w:t>
      </w:r>
      <w:r w:rsidRPr="00DC4449">
        <w:rPr>
          <w:rStyle w:val="FootnoteReference"/>
          <w:szCs w:val="26"/>
          <w:vertAlign w:val="baseline"/>
          <w:rtl/>
          <w:lang w:eastAsia="zh-TW"/>
        </w:rPr>
        <w:t xml:space="preserve"> والسيد يوفال شاني، والسيد كونستانتين فاردزيلاشفيلي، والسيد كورنيليس فلينترمان، والسيد فالتر كالين، والسيدة زونكي زانيلي ماجودينا، والسيد جيرالد ل. نومان، والسيدة مارغو واترفال.</w:t>
      </w:r>
    </w:p>
  </w:footnote>
  <w:footnote w:id="2">
    <w:p w:rsidR="00D821CB" w:rsidRPr="00DC4449" w:rsidRDefault="00D821CB" w:rsidP="00D6570C">
      <w:pPr>
        <w:pStyle w:val="FootnoteText"/>
        <w:numPr>
          <w:ilvl w:val="0"/>
          <w:numId w:val="41"/>
        </w:numPr>
        <w:tabs>
          <w:tab w:val="clear" w:pos="1292"/>
          <w:tab w:val="left" w:pos="1253"/>
        </w:tabs>
        <w:spacing w:after="60" w:line="300" w:lineRule="exact"/>
        <w:ind w:left="1247" w:right="1247"/>
        <w:textDirection w:val="tbRlV"/>
        <w:rPr>
          <w:sz w:val="18"/>
          <w:szCs w:val="26"/>
        </w:rPr>
      </w:pPr>
      <w:r w:rsidRPr="00DC4449">
        <w:rPr>
          <w:sz w:val="18"/>
          <w:szCs w:val="26"/>
          <w:rtl/>
          <w:lang w:eastAsia="zh-TW"/>
        </w:rPr>
        <w:t xml:space="preserve">انظر القرار الصادر عن المحكمة الأوروبية لحقوق الإنسان في قضية </w:t>
      </w:r>
      <w:r w:rsidRPr="00DC4449">
        <w:rPr>
          <w:i/>
          <w:iCs/>
          <w:sz w:val="18"/>
          <w:szCs w:val="26"/>
          <w:rtl/>
          <w:lang w:eastAsia="zh-TW"/>
        </w:rPr>
        <w:t>عباسوف ضد أذربيجان</w:t>
      </w:r>
      <w:r w:rsidRPr="00DC4449">
        <w:rPr>
          <w:sz w:val="18"/>
          <w:szCs w:val="26"/>
          <w:rtl/>
          <w:lang w:eastAsia="zh-TW"/>
        </w:rPr>
        <w:t>، الالتماس رقم</w:t>
      </w:r>
      <w:r w:rsidR="004D13FB">
        <w:rPr>
          <w:rFonts w:hint="cs"/>
          <w:sz w:val="18"/>
          <w:szCs w:val="26"/>
          <w:rtl/>
          <w:lang w:eastAsia="zh-TW"/>
        </w:rPr>
        <w:t> </w:t>
      </w:r>
      <w:r w:rsidRPr="00DC4449">
        <w:rPr>
          <w:sz w:val="18"/>
          <w:szCs w:val="26"/>
          <w:rtl/>
          <w:lang w:eastAsia="zh-TW"/>
        </w:rPr>
        <w:t xml:space="preserve">24271/05، والمعتمد في 17 كانون الثاني/يناير 2008، الفقرات 36-42. </w:t>
      </w:r>
    </w:p>
  </w:footnote>
  <w:footnote w:id="3">
    <w:p w:rsidR="00D821CB" w:rsidRPr="00DC4449" w:rsidRDefault="00D821CB" w:rsidP="00D6570C">
      <w:pPr>
        <w:pStyle w:val="FootnoteText"/>
        <w:numPr>
          <w:ilvl w:val="0"/>
          <w:numId w:val="41"/>
        </w:numPr>
        <w:tabs>
          <w:tab w:val="clear" w:pos="1292"/>
          <w:tab w:val="left" w:pos="1253"/>
        </w:tabs>
        <w:spacing w:after="60" w:line="300" w:lineRule="exact"/>
        <w:ind w:left="1247" w:right="1247"/>
        <w:textDirection w:val="tbRlV"/>
        <w:rPr>
          <w:sz w:val="18"/>
          <w:szCs w:val="26"/>
        </w:rPr>
      </w:pPr>
      <w:r w:rsidRPr="00DC4449">
        <w:rPr>
          <w:sz w:val="18"/>
          <w:szCs w:val="26"/>
          <w:rtl/>
          <w:lang w:eastAsia="zh-TW"/>
        </w:rPr>
        <w:t xml:space="preserve">انظر المحكمة الأوروبية لحقوق الإنسان، </w:t>
      </w:r>
      <w:r w:rsidRPr="00DC4449">
        <w:rPr>
          <w:i/>
          <w:iCs/>
          <w:sz w:val="18"/>
          <w:szCs w:val="26"/>
          <w:rtl/>
          <w:lang w:eastAsia="zh-TW"/>
        </w:rPr>
        <w:t>هوماتوف ضد أذربيجان</w:t>
      </w:r>
      <w:r w:rsidRPr="00DC4449">
        <w:rPr>
          <w:sz w:val="18"/>
          <w:szCs w:val="26"/>
          <w:rtl/>
          <w:lang w:eastAsia="zh-TW"/>
        </w:rPr>
        <w:t>، الالتماس</w:t>
      </w:r>
      <w:r w:rsidR="006C1415">
        <w:rPr>
          <w:sz w:val="18"/>
          <w:szCs w:val="26"/>
          <w:rtl/>
          <w:lang w:eastAsia="zh-TW"/>
        </w:rPr>
        <w:t xml:space="preserve"> رقم 9852/03 و</w:t>
      </w:r>
      <w:r w:rsidRPr="00DC4449">
        <w:rPr>
          <w:sz w:val="18"/>
          <w:szCs w:val="26"/>
          <w:rtl/>
          <w:lang w:eastAsia="zh-TW"/>
        </w:rPr>
        <w:t xml:space="preserve">13413/04، القرار المؤرخ 18 أيار/مايو 2006 </w:t>
      </w:r>
    </w:p>
  </w:footnote>
  <w:footnote w:id="4">
    <w:p w:rsidR="00D821CB" w:rsidRPr="00DC4449" w:rsidRDefault="00D821CB" w:rsidP="00D6570C">
      <w:pPr>
        <w:pStyle w:val="FootnoteText"/>
        <w:numPr>
          <w:ilvl w:val="0"/>
          <w:numId w:val="41"/>
        </w:numPr>
        <w:tabs>
          <w:tab w:val="clear" w:pos="1292"/>
          <w:tab w:val="left" w:pos="1253"/>
        </w:tabs>
        <w:spacing w:after="60" w:line="300" w:lineRule="exact"/>
        <w:ind w:left="1247" w:right="1247"/>
        <w:textDirection w:val="tbRlV"/>
        <w:rPr>
          <w:sz w:val="18"/>
          <w:szCs w:val="26"/>
        </w:rPr>
      </w:pPr>
      <w:r w:rsidRPr="00DC4449">
        <w:rPr>
          <w:sz w:val="18"/>
          <w:szCs w:val="26"/>
          <w:rtl/>
          <w:lang w:eastAsia="zh-TW"/>
        </w:rPr>
        <w:t xml:space="preserve">انظر المحكمة الأوروبية لحقوق الإنسان، </w:t>
      </w:r>
      <w:r w:rsidRPr="00DC4449">
        <w:rPr>
          <w:rFonts w:hint="eastAsia"/>
          <w:i/>
          <w:iCs/>
          <w:sz w:val="18"/>
          <w:szCs w:val="26"/>
          <w:rtl/>
          <w:lang w:eastAsia="zh-TW"/>
        </w:rPr>
        <w:t>ق</w:t>
      </w:r>
      <w:r w:rsidRPr="00DC4449">
        <w:rPr>
          <w:i/>
          <w:iCs/>
          <w:sz w:val="18"/>
          <w:szCs w:val="26"/>
          <w:rtl/>
          <w:lang w:eastAsia="zh-TW"/>
        </w:rPr>
        <w:t>ضية هاجييف ضد أذربيجان</w:t>
      </w:r>
      <w:r w:rsidRPr="00DC4449">
        <w:rPr>
          <w:sz w:val="18"/>
          <w:szCs w:val="26"/>
          <w:rtl/>
          <w:lang w:eastAsia="zh-TW"/>
        </w:rPr>
        <w:t xml:space="preserve">، الالتماس رقم 5548/03، الحكم الصادر في 16 تشرين الثاني/نوفمبر 2006، الفقرة 47. </w:t>
      </w:r>
    </w:p>
  </w:footnote>
  <w:footnote w:id="5">
    <w:p w:rsidR="00D821CB" w:rsidRPr="00DC4449" w:rsidRDefault="00D821CB" w:rsidP="00D6570C">
      <w:pPr>
        <w:pStyle w:val="FootnoteText"/>
        <w:numPr>
          <w:ilvl w:val="0"/>
          <w:numId w:val="41"/>
        </w:numPr>
        <w:tabs>
          <w:tab w:val="clear" w:pos="1292"/>
          <w:tab w:val="left" w:pos="1253"/>
        </w:tabs>
        <w:spacing w:after="60" w:line="300" w:lineRule="exact"/>
        <w:ind w:left="1247" w:right="1247"/>
        <w:rPr>
          <w:sz w:val="18"/>
          <w:szCs w:val="26"/>
        </w:rPr>
      </w:pPr>
      <w:r w:rsidRPr="00DC4449">
        <w:rPr>
          <w:sz w:val="18"/>
          <w:szCs w:val="26"/>
          <w:rtl/>
          <w:lang w:eastAsia="zh-TW"/>
        </w:rPr>
        <w:t xml:space="preserve">يفيد صاحب البلاغ </w:t>
      </w:r>
      <w:r w:rsidRPr="00DC4449">
        <w:rPr>
          <w:sz w:val="18"/>
          <w:szCs w:val="26"/>
          <w:rtl/>
        </w:rPr>
        <w:t>أيضاً</w:t>
      </w:r>
      <w:r w:rsidRPr="00DC4449">
        <w:rPr>
          <w:sz w:val="18"/>
          <w:szCs w:val="26"/>
          <w:rtl/>
          <w:lang w:eastAsia="zh-TW"/>
        </w:rPr>
        <w:t xml:space="preserve"> بأن قضية السيد مامادوف ذُكرت في الملاحظات الختامية للجنة مناهضة التعذيب (</w:t>
      </w:r>
      <w:r w:rsidRPr="00DC4449">
        <w:rPr>
          <w:sz w:val="18"/>
          <w:szCs w:val="26"/>
          <w:lang w:eastAsia="zh-TW"/>
        </w:rPr>
        <w:t>CAT/C/AZE/CO/3</w:t>
      </w:r>
      <w:r w:rsidRPr="00DC4449">
        <w:rPr>
          <w:sz w:val="18"/>
          <w:szCs w:val="26"/>
          <w:rtl/>
          <w:lang w:eastAsia="zh-TW"/>
        </w:rPr>
        <w:t>، الفقرة 5).</w:t>
      </w:r>
    </w:p>
  </w:footnote>
  <w:footnote w:id="6">
    <w:p w:rsidR="00D821CB" w:rsidRPr="00DC4449" w:rsidRDefault="00D821CB" w:rsidP="00D6570C">
      <w:pPr>
        <w:pStyle w:val="FootnoteText"/>
        <w:numPr>
          <w:ilvl w:val="0"/>
          <w:numId w:val="41"/>
        </w:numPr>
        <w:tabs>
          <w:tab w:val="clear" w:pos="1292"/>
          <w:tab w:val="left" w:pos="1253"/>
        </w:tabs>
        <w:spacing w:after="60" w:line="300" w:lineRule="exact"/>
        <w:ind w:left="1247" w:right="1247"/>
        <w:textDirection w:val="tbRlV"/>
        <w:rPr>
          <w:sz w:val="18"/>
          <w:szCs w:val="26"/>
        </w:rPr>
      </w:pPr>
      <w:r w:rsidRPr="002C62DA">
        <w:rPr>
          <w:spacing w:val="-4"/>
          <w:sz w:val="18"/>
          <w:szCs w:val="26"/>
          <w:rtl/>
          <w:lang w:eastAsia="zh-TW"/>
        </w:rPr>
        <w:t xml:space="preserve">انظر </w:t>
      </w:r>
      <w:r w:rsidRPr="002C62DA">
        <w:rPr>
          <w:spacing w:val="-4"/>
          <w:sz w:val="18"/>
          <w:szCs w:val="26"/>
          <w:rtl/>
        </w:rPr>
        <w:t>المرجع</w:t>
      </w:r>
      <w:r w:rsidRPr="002C62DA">
        <w:rPr>
          <w:spacing w:val="-4"/>
          <w:sz w:val="18"/>
          <w:szCs w:val="26"/>
          <w:rtl/>
          <w:lang w:eastAsia="zh-TW"/>
        </w:rPr>
        <w:t xml:space="preserve"> التالي:</w:t>
      </w:r>
      <w:r w:rsidRPr="002C62DA">
        <w:rPr>
          <w:spacing w:val="-4"/>
          <w:sz w:val="18"/>
          <w:szCs w:val="26"/>
          <w:lang w:eastAsia="zh-TW"/>
        </w:rPr>
        <w:t xml:space="preserve">Council of Europe “Cases of alleged political prisoners in Armenia and Azerbaijan: </w:t>
      </w:r>
      <w:r w:rsidRPr="007215FB">
        <w:rPr>
          <w:spacing w:val="-2"/>
          <w:sz w:val="18"/>
          <w:szCs w:val="26"/>
          <w:lang w:eastAsia="zh-TW"/>
        </w:rPr>
        <w:t>Report transmitted to the Secretary General of the Council of Europe by the independent experts, Messrs</w:t>
      </w:r>
      <w:r w:rsidRPr="002C62DA">
        <w:rPr>
          <w:spacing w:val="-4"/>
          <w:sz w:val="18"/>
          <w:szCs w:val="26"/>
          <w:lang w:eastAsia="zh-TW"/>
        </w:rPr>
        <w:t xml:space="preserve"> </w:t>
      </w:r>
      <w:r w:rsidRPr="007215FB">
        <w:rPr>
          <w:spacing w:val="-2"/>
          <w:sz w:val="18"/>
          <w:szCs w:val="26"/>
          <w:lang w:eastAsia="zh-TW"/>
        </w:rPr>
        <w:t>Stefan Trechsel, Evert Alkema and Alexander Arabadjiev” (Strasbourg, 16 July 2001)</w:t>
      </w:r>
      <w:r w:rsidR="00942635">
        <w:rPr>
          <w:rFonts w:hint="cs"/>
          <w:spacing w:val="-2"/>
          <w:sz w:val="18"/>
          <w:szCs w:val="26"/>
          <w:rtl/>
          <w:lang w:eastAsia="zh-TW"/>
        </w:rPr>
        <w:t>،</w:t>
      </w:r>
      <w:r w:rsidR="002C62DA" w:rsidRPr="007215FB">
        <w:rPr>
          <w:rFonts w:hint="cs"/>
          <w:spacing w:val="-2"/>
          <w:sz w:val="18"/>
          <w:szCs w:val="26"/>
          <w:rtl/>
          <w:lang w:eastAsia="zh-TW"/>
        </w:rPr>
        <w:t xml:space="preserve"> </w:t>
      </w:r>
      <w:r w:rsidR="002C62DA" w:rsidRPr="007215FB">
        <w:rPr>
          <w:spacing w:val="-2"/>
          <w:sz w:val="18"/>
          <w:szCs w:val="26"/>
          <w:rtl/>
          <w:lang w:eastAsia="zh-TW"/>
        </w:rPr>
        <w:t>المتاح على الموقع</w:t>
      </w:r>
      <w:r w:rsidRPr="00DC4449">
        <w:rPr>
          <w:sz w:val="18"/>
          <w:szCs w:val="26"/>
          <w:rtl/>
          <w:lang w:eastAsia="zh-TW"/>
        </w:rPr>
        <w:t xml:space="preserve"> الإلكتروني التالي: </w:t>
      </w:r>
      <w:r w:rsidRPr="00DC4449">
        <w:rPr>
          <w:sz w:val="18"/>
          <w:szCs w:val="26"/>
          <w:lang w:eastAsia="zh-TW"/>
        </w:rPr>
        <w:t>https://wcd.coe.int/ViewDoc.jsp?id=232757&amp;Site=COE</w:t>
      </w:r>
      <w:r w:rsidR="002C62DA">
        <w:rPr>
          <w:rFonts w:hint="cs"/>
          <w:sz w:val="18"/>
          <w:szCs w:val="26"/>
          <w:rtl/>
        </w:rPr>
        <w:t>.</w:t>
      </w:r>
    </w:p>
  </w:footnote>
  <w:footnote w:id="7">
    <w:p w:rsidR="00D821CB" w:rsidRPr="00DC4449" w:rsidRDefault="00D821CB" w:rsidP="00D6570C">
      <w:pPr>
        <w:pStyle w:val="FootnoteText"/>
        <w:numPr>
          <w:ilvl w:val="0"/>
          <w:numId w:val="41"/>
        </w:numPr>
        <w:tabs>
          <w:tab w:val="clear" w:pos="1292"/>
          <w:tab w:val="left" w:pos="1253"/>
        </w:tabs>
        <w:spacing w:after="60" w:line="296" w:lineRule="exact"/>
        <w:ind w:left="1247" w:right="1247"/>
        <w:rPr>
          <w:sz w:val="18"/>
          <w:szCs w:val="26"/>
        </w:rPr>
      </w:pPr>
      <w:r w:rsidRPr="00DC4449">
        <w:rPr>
          <w:sz w:val="18"/>
          <w:szCs w:val="26"/>
          <w:rtl/>
          <w:lang w:eastAsia="zh-TW"/>
        </w:rPr>
        <w:t xml:space="preserve">قانون جمهورية أذربيجان رقم </w:t>
      </w:r>
      <w:r w:rsidRPr="00DC4449">
        <w:rPr>
          <w:rFonts w:eastAsia="Arial Unicode MS"/>
          <w:sz w:val="18"/>
          <w:szCs w:val="26"/>
          <w:lang w:eastAsia="zh-TW"/>
        </w:rPr>
        <w:t>610</w:t>
      </w:r>
      <w:r w:rsidR="00885F65">
        <w:rPr>
          <w:sz w:val="18"/>
          <w:szCs w:val="26"/>
          <w:lang w:eastAsia="zh-TW"/>
        </w:rPr>
        <w:t>-</w:t>
      </w:r>
      <w:r w:rsidRPr="00DC4449">
        <w:rPr>
          <w:rFonts w:eastAsia="Arial Unicode MS"/>
          <w:sz w:val="18"/>
          <w:szCs w:val="26"/>
          <w:lang w:eastAsia="zh-TW"/>
        </w:rPr>
        <w:t>IQ</w:t>
      </w:r>
      <w:r w:rsidRPr="00DC4449">
        <w:rPr>
          <w:sz w:val="18"/>
          <w:szCs w:val="26"/>
          <w:rtl/>
          <w:lang w:eastAsia="zh-TW"/>
        </w:rPr>
        <w:t xml:space="preserve"> المؤرخ 29 كانون الأول/ديسمبر 1998 بشأن "التعويض عن الأضرار اللاحقة بالأفراد نتيجة أفعال غير قانونية صادرة من هيئات التحقيق والاستجواب قبل المحاكمة، والنيابة العامة والمحاكم". ولم يشر صاحب البلاغ إلى نص المادة المعنية.</w:t>
      </w:r>
    </w:p>
  </w:footnote>
  <w:footnote w:id="8">
    <w:p w:rsidR="00D821CB" w:rsidRPr="00DC4449" w:rsidRDefault="00D821CB" w:rsidP="00D6570C">
      <w:pPr>
        <w:pStyle w:val="FootnoteText"/>
        <w:numPr>
          <w:ilvl w:val="0"/>
          <w:numId w:val="41"/>
        </w:numPr>
        <w:tabs>
          <w:tab w:val="clear" w:pos="1292"/>
          <w:tab w:val="left" w:pos="1253"/>
        </w:tabs>
        <w:spacing w:after="60" w:line="296" w:lineRule="exact"/>
        <w:ind w:left="1247" w:right="1247"/>
        <w:textDirection w:val="tbRlV"/>
        <w:rPr>
          <w:sz w:val="18"/>
          <w:szCs w:val="26"/>
          <w:rtl/>
          <w:lang w:eastAsia="zh-TW"/>
        </w:rPr>
      </w:pPr>
      <w:r w:rsidRPr="00DC4449">
        <w:rPr>
          <w:sz w:val="18"/>
          <w:szCs w:val="26"/>
          <w:rtl/>
          <w:lang w:eastAsia="zh-TW"/>
        </w:rPr>
        <w:t xml:space="preserve">تنص </w:t>
      </w:r>
      <w:r w:rsidRPr="00DC4449">
        <w:rPr>
          <w:sz w:val="18"/>
          <w:szCs w:val="26"/>
          <w:rtl/>
        </w:rPr>
        <w:t>المادة</w:t>
      </w:r>
      <w:r w:rsidRPr="00DC4449">
        <w:rPr>
          <w:sz w:val="18"/>
          <w:szCs w:val="26"/>
          <w:rtl/>
          <w:lang w:eastAsia="zh-TW"/>
        </w:rPr>
        <w:t xml:space="preserve"> 56 من قانون الإجراءات الجنائية تحت عنوان "الأشخاص الذين يحق لهم الحصول على تعويضات" على ما يلي: </w:t>
      </w:r>
    </w:p>
    <w:p w:rsidR="00D821CB" w:rsidRPr="00DC4449" w:rsidRDefault="00D821CB" w:rsidP="0030232E">
      <w:pPr>
        <w:pStyle w:val="FootnoteText"/>
        <w:widowControl w:val="0"/>
        <w:tabs>
          <w:tab w:val="right" w:pos="1020"/>
          <w:tab w:val="left" w:pos="2438"/>
        </w:tabs>
        <w:spacing w:after="60" w:line="296" w:lineRule="exact"/>
        <w:ind w:left="1538" w:right="1260"/>
        <w:jc w:val="both"/>
        <w:textDirection w:val="tbRlV"/>
        <w:rPr>
          <w:sz w:val="18"/>
          <w:szCs w:val="26"/>
          <w:rtl/>
          <w:lang w:eastAsia="zh-TW"/>
        </w:rPr>
      </w:pPr>
      <w:r w:rsidRPr="00DC4449">
        <w:rPr>
          <w:sz w:val="18"/>
          <w:szCs w:val="26"/>
          <w:rtl/>
          <w:lang w:eastAsia="zh-TW"/>
        </w:rPr>
        <w:t>"56-0</w:t>
      </w:r>
      <w:r w:rsidRPr="00DC4449">
        <w:rPr>
          <w:sz w:val="18"/>
          <w:szCs w:val="26"/>
          <w:rtl/>
          <w:lang w:eastAsia="zh-TW"/>
        </w:rPr>
        <w:tab/>
        <w:t>يحق للأشخاص التاليين الحصول على تعويض عن الأضرار اللاحقة بهم خطأً أو نتيجة إساءة استخدام النيابة العامة لسلطتها:</w:t>
      </w:r>
    </w:p>
    <w:p w:rsidR="00D821CB" w:rsidRPr="00DC4449" w:rsidRDefault="00D821CB" w:rsidP="0030232E">
      <w:pPr>
        <w:pStyle w:val="FootnoteText"/>
        <w:widowControl w:val="0"/>
        <w:tabs>
          <w:tab w:val="right" w:pos="1020"/>
          <w:tab w:val="left" w:pos="2438"/>
        </w:tabs>
        <w:spacing w:after="60" w:line="296" w:lineRule="exact"/>
        <w:ind w:left="1538" w:right="1260"/>
        <w:jc w:val="both"/>
        <w:textDirection w:val="tbRlV"/>
        <w:rPr>
          <w:sz w:val="18"/>
          <w:szCs w:val="26"/>
          <w:rtl/>
          <w:lang w:eastAsia="zh-TW"/>
        </w:rPr>
      </w:pPr>
      <w:r w:rsidRPr="00DC4449">
        <w:rPr>
          <w:sz w:val="18"/>
          <w:szCs w:val="26"/>
          <w:rtl/>
          <w:lang w:eastAsia="zh-TW"/>
        </w:rPr>
        <w:t>56-0-1</w:t>
      </w:r>
      <w:r w:rsidRPr="00DC4449">
        <w:rPr>
          <w:sz w:val="18"/>
          <w:szCs w:val="26"/>
          <w:rtl/>
          <w:lang w:eastAsia="zh-TW"/>
        </w:rPr>
        <w:tab/>
        <w:t>المتهم الذي برّئت ذمته؛</w:t>
      </w:r>
    </w:p>
    <w:p w:rsidR="00D821CB" w:rsidRPr="00DC4449" w:rsidRDefault="00D821CB" w:rsidP="0030232E">
      <w:pPr>
        <w:pStyle w:val="FootnoteText"/>
        <w:widowControl w:val="0"/>
        <w:tabs>
          <w:tab w:val="right" w:pos="1020"/>
          <w:tab w:val="left" w:pos="2438"/>
        </w:tabs>
        <w:spacing w:after="60" w:line="296" w:lineRule="exact"/>
        <w:ind w:left="1538" w:right="1260"/>
        <w:jc w:val="both"/>
        <w:textDirection w:val="tbRlV"/>
        <w:rPr>
          <w:sz w:val="18"/>
          <w:szCs w:val="26"/>
          <w:rtl/>
          <w:lang w:eastAsia="zh-TW"/>
        </w:rPr>
      </w:pPr>
      <w:r w:rsidRPr="008F5F9A">
        <w:rPr>
          <w:spacing w:val="-2"/>
          <w:sz w:val="18"/>
          <w:szCs w:val="26"/>
          <w:rtl/>
          <w:lang w:eastAsia="zh-TW"/>
        </w:rPr>
        <w:t>56-0-2</w:t>
      </w:r>
      <w:r w:rsidRPr="008F5F9A">
        <w:rPr>
          <w:spacing w:val="-2"/>
          <w:sz w:val="18"/>
          <w:szCs w:val="26"/>
          <w:rtl/>
          <w:lang w:eastAsia="zh-TW"/>
        </w:rPr>
        <w:tab/>
        <w:t xml:space="preserve">الشخص الذي توقفت ملاحقته </w:t>
      </w:r>
      <w:r w:rsidR="008F5F9A" w:rsidRPr="008F5F9A">
        <w:rPr>
          <w:spacing w:val="-2"/>
          <w:sz w:val="18"/>
          <w:szCs w:val="26"/>
          <w:rtl/>
          <w:lang w:eastAsia="zh-TW"/>
        </w:rPr>
        <w:t>الجنائية بمقتضى المواد 39-1-1 و</w:t>
      </w:r>
      <w:r w:rsidRPr="008F5F9A">
        <w:rPr>
          <w:spacing w:val="-2"/>
          <w:sz w:val="18"/>
          <w:szCs w:val="26"/>
          <w:rtl/>
          <w:lang w:eastAsia="zh-TW"/>
        </w:rPr>
        <w:t>39-1-2 و39-1-</w:t>
      </w:r>
      <w:r w:rsidRPr="00DC4449">
        <w:rPr>
          <w:sz w:val="18"/>
          <w:szCs w:val="26"/>
          <w:rtl/>
          <w:lang w:eastAsia="zh-TW"/>
        </w:rPr>
        <w:t xml:space="preserve">6 و39-1-8 و39-2 من هذا القانون؛ </w:t>
      </w:r>
    </w:p>
    <w:p w:rsidR="00D821CB" w:rsidRPr="00DC4449" w:rsidRDefault="00D821CB" w:rsidP="0030232E">
      <w:pPr>
        <w:pStyle w:val="FootnoteText"/>
        <w:widowControl w:val="0"/>
        <w:tabs>
          <w:tab w:val="right" w:pos="1020"/>
          <w:tab w:val="left" w:pos="2438"/>
        </w:tabs>
        <w:spacing w:after="60" w:line="296" w:lineRule="exact"/>
        <w:ind w:left="1538" w:right="1260"/>
        <w:jc w:val="both"/>
        <w:textDirection w:val="tbRlV"/>
        <w:rPr>
          <w:sz w:val="18"/>
          <w:szCs w:val="26"/>
          <w:rtl/>
          <w:lang w:eastAsia="zh-TW"/>
        </w:rPr>
      </w:pPr>
      <w:r w:rsidRPr="008F5F9A">
        <w:rPr>
          <w:spacing w:val="-4"/>
          <w:sz w:val="18"/>
          <w:szCs w:val="26"/>
          <w:rtl/>
          <w:lang w:eastAsia="zh-TW"/>
        </w:rPr>
        <w:t>56-0-3</w:t>
      </w:r>
      <w:r w:rsidRPr="008F5F9A">
        <w:rPr>
          <w:spacing w:val="-4"/>
          <w:sz w:val="18"/>
          <w:szCs w:val="26"/>
          <w:rtl/>
          <w:lang w:eastAsia="zh-TW"/>
        </w:rPr>
        <w:tab/>
        <w:t>الشخص الذي كان ينبغي أن تتوقف ملاحقته الجنائية بمقتضى المواد</w:t>
      </w:r>
      <w:r w:rsidR="008F5F9A">
        <w:rPr>
          <w:spacing w:val="-4"/>
          <w:sz w:val="18"/>
          <w:szCs w:val="26"/>
          <w:rtl/>
          <w:lang w:eastAsia="zh-TW"/>
        </w:rPr>
        <w:t xml:space="preserve"> 39-1-3 و</w:t>
      </w:r>
      <w:r w:rsidRPr="008F5F9A">
        <w:rPr>
          <w:spacing w:val="-4"/>
          <w:sz w:val="18"/>
          <w:szCs w:val="26"/>
          <w:rtl/>
          <w:lang w:eastAsia="zh-TW"/>
        </w:rPr>
        <w:t>39-</w:t>
      </w:r>
      <w:r w:rsidRPr="00DC4449">
        <w:rPr>
          <w:sz w:val="18"/>
          <w:szCs w:val="26"/>
          <w:rtl/>
          <w:lang w:eastAsia="zh-TW"/>
        </w:rPr>
        <w:t>1-4 و39-1-10 و39-1-11 من هذا القانون، ولكنها لم تتوقف في الوقت المناسب، بل استمرت.</w:t>
      </w:r>
    </w:p>
    <w:p w:rsidR="00D821CB" w:rsidRPr="00DC4449" w:rsidRDefault="00D821CB" w:rsidP="0030232E">
      <w:pPr>
        <w:pStyle w:val="FootnoteText"/>
        <w:widowControl w:val="0"/>
        <w:tabs>
          <w:tab w:val="right" w:pos="1020"/>
          <w:tab w:val="left" w:pos="2438"/>
        </w:tabs>
        <w:spacing w:after="60" w:line="296" w:lineRule="exact"/>
        <w:ind w:left="1538" w:right="1260"/>
        <w:jc w:val="both"/>
        <w:textDirection w:val="tbRlV"/>
        <w:rPr>
          <w:sz w:val="18"/>
          <w:szCs w:val="26"/>
          <w:rtl/>
          <w:lang w:eastAsia="zh-TW"/>
        </w:rPr>
      </w:pPr>
      <w:r w:rsidRPr="00DC4449">
        <w:rPr>
          <w:sz w:val="18"/>
          <w:szCs w:val="26"/>
          <w:rtl/>
          <w:lang w:eastAsia="zh-TW"/>
        </w:rPr>
        <w:t>56-0-4</w:t>
      </w:r>
      <w:r w:rsidRPr="00DC4449">
        <w:rPr>
          <w:sz w:val="18"/>
          <w:szCs w:val="26"/>
          <w:rtl/>
          <w:lang w:eastAsia="zh-TW"/>
        </w:rPr>
        <w:tab/>
        <w:t>الشخص الذي كان ينبغي أن تتوقف ملاحقته الجنائية بمقتضى المادة 39-1- 12 من هذا القانون، ولكنها لم تتوقف في الوقت المناسب، بل استمرت رغم اعتماد القرار؛</w:t>
      </w:r>
    </w:p>
    <w:p w:rsidR="00D821CB" w:rsidRPr="00DC4449" w:rsidRDefault="00D821CB" w:rsidP="0030232E">
      <w:pPr>
        <w:pStyle w:val="FootnoteText"/>
        <w:widowControl w:val="0"/>
        <w:tabs>
          <w:tab w:val="right" w:pos="1020"/>
          <w:tab w:val="left" w:pos="2438"/>
        </w:tabs>
        <w:spacing w:after="60" w:line="296" w:lineRule="exact"/>
        <w:ind w:left="1538" w:right="1260"/>
        <w:jc w:val="both"/>
        <w:textDirection w:val="tbRlV"/>
        <w:rPr>
          <w:sz w:val="18"/>
          <w:szCs w:val="26"/>
          <w:rtl/>
          <w:lang w:eastAsia="zh-TW"/>
        </w:rPr>
      </w:pPr>
      <w:r w:rsidRPr="00DC4449">
        <w:rPr>
          <w:sz w:val="18"/>
          <w:szCs w:val="26"/>
          <w:rtl/>
          <w:lang w:eastAsia="zh-TW"/>
        </w:rPr>
        <w:t>56-0-5</w:t>
      </w:r>
      <w:r w:rsidRPr="00DC4449">
        <w:rPr>
          <w:sz w:val="18"/>
          <w:szCs w:val="26"/>
          <w:rtl/>
          <w:lang w:eastAsia="zh-TW"/>
        </w:rPr>
        <w:tab/>
        <w:t>الشخص الذي ألقي القبض عليه خارج إطار القانون، أو أودع إحدى المؤسسات الطبية أو التعليمية بالقوة، أو الشخص المحتفظ به في الحبس الاحتياطي دون أسباب قانونية تستدعي حبسه لفترة أطول من الفترة المنصوص عليها في القانون؛</w:t>
      </w:r>
    </w:p>
    <w:p w:rsidR="00D821CB" w:rsidRPr="00DC4449" w:rsidRDefault="00D821CB" w:rsidP="0030232E">
      <w:pPr>
        <w:pStyle w:val="FootnoteText"/>
        <w:widowControl w:val="0"/>
        <w:tabs>
          <w:tab w:val="right" w:pos="1020"/>
          <w:tab w:val="left" w:pos="2438"/>
        </w:tabs>
        <w:spacing w:after="60" w:line="296" w:lineRule="exact"/>
        <w:ind w:left="1538" w:right="1260"/>
        <w:jc w:val="both"/>
        <w:textDirection w:val="tbRlV"/>
        <w:rPr>
          <w:sz w:val="18"/>
          <w:szCs w:val="26"/>
          <w:rtl/>
          <w:lang w:eastAsia="zh-TW"/>
        </w:rPr>
      </w:pPr>
      <w:r w:rsidRPr="00DC4449">
        <w:rPr>
          <w:sz w:val="18"/>
          <w:szCs w:val="26"/>
          <w:rtl/>
          <w:lang w:eastAsia="zh-TW"/>
        </w:rPr>
        <w:t>65-0-6</w:t>
      </w:r>
      <w:r w:rsidRPr="00DC4449">
        <w:rPr>
          <w:sz w:val="18"/>
          <w:szCs w:val="26"/>
          <w:rtl/>
          <w:lang w:eastAsia="zh-TW"/>
        </w:rPr>
        <w:tab/>
        <w:t xml:space="preserve">الشخص الذي خضع، خارج نطاق القانون، لتدابير إجرائية قسرية أثناء الإجراءات الجنائية في الحالات </w:t>
      </w:r>
      <w:r w:rsidR="008F5F9A">
        <w:rPr>
          <w:sz w:val="18"/>
          <w:szCs w:val="26"/>
          <w:rtl/>
          <w:lang w:eastAsia="zh-TW"/>
        </w:rPr>
        <w:t>المنصوص عليها في المادتين 176 و</w:t>
      </w:r>
      <w:r w:rsidRPr="00DC4449">
        <w:rPr>
          <w:sz w:val="18"/>
          <w:szCs w:val="26"/>
          <w:rtl/>
          <w:lang w:eastAsia="zh-TW"/>
        </w:rPr>
        <w:t>177 من هذا القانون".</w:t>
      </w:r>
    </w:p>
    <w:p w:rsidR="00D821CB" w:rsidRPr="00DC4449" w:rsidRDefault="00D821CB" w:rsidP="0030232E">
      <w:pPr>
        <w:pStyle w:val="FootnoteText"/>
        <w:widowControl w:val="0"/>
        <w:tabs>
          <w:tab w:val="right" w:pos="1020"/>
        </w:tabs>
        <w:spacing w:after="60" w:line="296" w:lineRule="exact"/>
        <w:ind w:left="1239"/>
        <w:jc w:val="both"/>
        <w:textDirection w:val="tbRlV"/>
        <w:rPr>
          <w:sz w:val="18"/>
          <w:szCs w:val="26"/>
          <w:rtl/>
          <w:lang w:eastAsia="zh-TW"/>
        </w:rPr>
      </w:pPr>
      <w:r w:rsidRPr="00DC4449">
        <w:rPr>
          <w:sz w:val="18"/>
          <w:szCs w:val="26"/>
          <w:rtl/>
          <w:lang w:eastAsia="zh-TW"/>
        </w:rPr>
        <w:t xml:space="preserve">متاح على الموقع الإلكتروني التالي: </w:t>
      </w:r>
    </w:p>
    <w:p w:rsidR="00D821CB" w:rsidRPr="00DC4449" w:rsidRDefault="00D821CB" w:rsidP="0030232E">
      <w:pPr>
        <w:pStyle w:val="FootnoteText"/>
        <w:widowControl w:val="0"/>
        <w:tabs>
          <w:tab w:val="right" w:pos="1020"/>
        </w:tabs>
        <w:spacing w:after="60" w:line="296" w:lineRule="exact"/>
        <w:ind w:left="1239" w:right="1246"/>
        <w:jc w:val="both"/>
        <w:textDirection w:val="tbRlV"/>
        <w:rPr>
          <w:rFonts w:hint="cs"/>
          <w:sz w:val="18"/>
          <w:szCs w:val="26"/>
          <w:rtl/>
        </w:rPr>
      </w:pPr>
      <w:r w:rsidRPr="00DC4449">
        <w:rPr>
          <w:rFonts w:eastAsia="Arial Unicode MS"/>
          <w:sz w:val="18"/>
          <w:szCs w:val="26"/>
          <w:lang w:eastAsia="zh-TW"/>
        </w:rPr>
        <w:t>http://www.legislationline.org/download/action/download/id/1659/file/dddecee81440fa5295fc1</w:t>
      </w:r>
      <w:r w:rsidR="00985C32">
        <w:rPr>
          <w:rFonts w:eastAsia="Arial Unicode MS"/>
          <w:sz w:val="18"/>
          <w:szCs w:val="26"/>
          <w:lang w:eastAsia="zh-TW"/>
        </w:rPr>
        <w:t>1e6b2b1.htm/preview htm/preview</w:t>
      </w:r>
      <w:r w:rsidR="00985C32">
        <w:rPr>
          <w:rFonts w:eastAsia="Arial Unicode MS" w:hint="cs"/>
          <w:sz w:val="18"/>
          <w:szCs w:val="26"/>
          <w:rtl/>
          <w:lang w:eastAsia="zh-TW"/>
        </w:rPr>
        <w:t>.</w:t>
      </w:r>
    </w:p>
  </w:footnote>
  <w:footnote w:id="9">
    <w:p w:rsidR="00D821CB" w:rsidRPr="00DC4449" w:rsidRDefault="00D821CB" w:rsidP="00D6570C">
      <w:pPr>
        <w:pStyle w:val="FootnoteText"/>
        <w:numPr>
          <w:ilvl w:val="0"/>
          <w:numId w:val="41"/>
        </w:numPr>
        <w:tabs>
          <w:tab w:val="clear" w:pos="1292"/>
          <w:tab w:val="left" w:pos="1253"/>
        </w:tabs>
        <w:spacing w:after="60" w:line="296" w:lineRule="exact"/>
        <w:ind w:left="1247" w:right="1247"/>
        <w:rPr>
          <w:sz w:val="18"/>
          <w:szCs w:val="26"/>
        </w:rPr>
      </w:pPr>
      <w:r w:rsidRPr="00DC4449">
        <w:rPr>
          <w:sz w:val="18"/>
          <w:szCs w:val="26"/>
          <w:rtl/>
        </w:rPr>
        <w:t xml:space="preserve">المحكمة الأوروبية لحقوق الإنسان، قضية </w:t>
      </w:r>
      <w:r w:rsidRPr="00DC4449">
        <w:rPr>
          <w:i/>
          <w:iCs/>
          <w:sz w:val="18"/>
          <w:szCs w:val="26"/>
          <w:rtl/>
        </w:rPr>
        <w:t>عباسوف ضد أذربيجان</w:t>
      </w:r>
      <w:r w:rsidRPr="00DC4449">
        <w:rPr>
          <w:sz w:val="18"/>
          <w:szCs w:val="26"/>
          <w:rtl/>
        </w:rPr>
        <w:t>، الالتماس رقم 24271/05، الحكم الصادر في 17 كانون الثاني/يناير 2008.</w:t>
      </w:r>
    </w:p>
  </w:footnote>
  <w:footnote w:id="10">
    <w:p w:rsidR="00D821CB" w:rsidRPr="00DF15F6" w:rsidRDefault="00D821CB" w:rsidP="00BE7FC7">
      <w:pPr>
        <w:pStyle w:val="FootnoteText"/>
        <w:numPr>
          <w:ilvl w:val="0"/>
          <w:numId w:val="41"/>
        </w:numPr>
        <w:tabs>
          <w:tab w:val="clear" w:pos="1292"/>
        </w:tabs>
        <w:spacing w:after="60" w:line="300" w:lineRule="exact"/>
        <w:ind w:left="1247" w:right="1247"/>
        <w:rPr>
          <w:spacing w:val="-6"/>
          <w:sz w:val="18"/>
          <w:szCs w:val="26"/>
        </w:rPr>
      </w:pPr>
      <w:r w:rsidRPr="00DF15F6">
        <w:rPr>
          <w:spacing w:val="-6"/>
          <w:sz w:val="18"/>
          <w:szCs w:val="26"/>
          <w:rtl/>
        </w:rPr>
        <w:t xml:space="preserve">انظر البلاغ رقم 1070/2002، </w:t>
      </w:r>
      <w:r w:rsidRPr="00DF15F6">
        <w:rPr>
          <w:i/>
          <w:iCs/>
          <w:spacing w:val="-6"/>
          <w:sz w:val="18"/>
          <w:szCs w:val="26"/>
          <w:rtl/>
        </w:rPr>
        <w:t>كويديس ضد اليونان</w:t>
      </w:r>
      <w:r w:rsidRPr="00DF15F6">
        <w:rPr>
          <w:spacing w:val="-6"/>
          <w:sz w:val="18"/>
          <w:szCs w:val="26"/>
          <w:rtl/>
        </w:rPr>
        <w:t>، الآراء المعتمدة في 28</w:t>
      </w:r>
      <w:r w:rsidR="005508EC" w:rsidRPr="00DF15F6">
        <w:rPr>
          <w:rFonts w:hint="cs"/>
          <w:spacing w:val="-6"/>
          <w:sz w:val="18"/>
          <w:szCs w:val="26"/>
          <w:rtl/>
        </w:rPr>
        <w:t xml:space="preserve"> </w:t>
      </w:r>
      <w:r w:rsidRPr="00DF15F6">
        <w:rPr>
          <w:spacing w:val="-6"/>
          <w:sz w:val="18"/>
          <w:szCs w:val="26"/>
          <w:rtl/>
        </w:rPr>
        <w:t>آذار/مارس 2006، الفقرة</w:t>
      </w:r>
      <w:r w:rsidR="00BE7FC7" w:rsidRPr="00DF15F6">
        <w:rPr>
          <w:rFonts w:hint="cs"/>
          <w:spacing w:val="-6"/>
          <w:sz w:val="18"/>
          <w:szCs w:val="26"/>
          <w:rtl/>
        </w:rPr>
        <w:t> </w:t>
      </w:r>
      <w:r w:rsidRPr="00DF15F6">
        <w:rPr>
          <w:spacing w:val="-6"/>
          <w:sz w:val="18"/>
          <w:szCs w:val="26"/>
          <w:rtl/>
        </w:rPr>
        <w:t xml:space="preserve">6-3. </w:t>
      </w:r>
    </w:p>
  </w:footnote>
  <w:footnote w:id="11">
    <w:p w:rsidR="00D821CB" w:rsidRPr="00DC4449" w:rsidRDefault="00D821CB" w:rsidP="005508EC">
      <w:pPr>
        <w:pStyle w:val="FootnoteText"/>
        <w:numPr>
          <w:ilvl w:val="0"/>
          <w:numId w:val="41"/>
        </w:numPr>
        <w:tabs>
          <w:tab w:val="clear" w:pos="1292"/>
        </w:tabs>
        <w:spacing w:after="60" w:line="300" w:lineRule="exact"/>
        <w:ind w:left="1247" w:right="1247"/>
        <w:rPr>
          <w:sz w:val="18"/>
          <w:szCs w:val="26"/>
        </w:rPr>
      </w:pPr>
      <w:r w:rsidRPr="00DC4449">
        <w:rPr>
          <w:sz w:val="18"/>
          <w:szCs w:val="26"/>
          <w:rtl/>
        </w:rPr>
        <w:t xml:space="preserve">انظر البلاغ رقم 1159/2003، </w:t>
      </w:r>
      <w:r w:rsidRPr="00DC4449">
        <w:rPr>
          <w:i/>
          <w:iCs/>
          <w:sz w:val="18"/>
          <w:szCs w:val="26"/>
          <w:rtl/>
        </w:rPr>
        <w:t>سنكارا وآخرون ضد بوركينا فاسو</w:t>
      </w:r>
      <w:r w:rsidRPr="00DC4449">
        <w:rPr>
          <w:sz w:val="18"/>
          <w:szCs w:val="26"/>
          <w:rtl/>
        </w:rPr>
        <w:t>،</w:t>
      </w:r>
      <w:r w:rsidR="00C831C8">
        <w:rPr>
          <w:sz w:val="18"/>
          <w:szCs w:val="26"/>
          <w:rtl/>
        </w:rPr>
        <w:t xml:space="preserve"> الآراء المعتمدة في 28</w:t>
      </w:r>
      <w:r w:rsidR="005508EC">
        <w:rPr>
          <w:rFonts w:hint="cs"/>
          <w:sz w:val="18"/>
          <w:szCs w:val="26"/>
          <w:rtl/>
        </w:rPr>
        <w:t xml:space="preserve"> </w:t>
      </w:r>
      <w:r w:rsidR="00C831C8">
        <w:rPr>
          <w:sz w:val="18"/>
          <w:szCs w:val="26"/>
          <w:rtl/>
        </w:rPr>
        <w:t>آذار/</w:t>
      </w:r>
      <w:r w:rsidR="005508EC">
        <w:rPr>
          <w:rFonts w:hint="cs"/>
          <w:sz w:val="18"/>
          <w:szCs w:val="26"/>
          <w:rtl/>
        </w:rPr>
        <w:t xml:space="preserve"> </w:t>
      </w:r>
      <w:r w:rsidR="00C831C8">
        <w:rPr>
          <w:sz w:val="18"/>
          <w:szCs w:val="26"/>
          <w:rtl/>
        </w:rPr>
        <w:t>مارس</w:t>
      </w:r>
      <w:r w:rsidR="005508EC">
        <w:rPr>
          <w:rFonts w:hint="cs"/>
          <w:sz w:val="18"/>
          <w:szCs w:val="26"/>
          <w:rtl/>
        </w:rPr>
        <w:t> </w:t>
      </w:r>
      <w:r w:rsidRPr="00DC4449">
        <w:rPr>
          <w:sz w:val="18"/>
          <w:szCs w:val="26"/>
          <w:rtl/>
        </w:rPr>
        <w:t xml:space="preserve">2006، الفقرة 6-3، والبلاغ رقم 1033/2001، </w:t>
      </w:r>
      <w:r w:rsidRPr="00DC4449">
        <w:rPr>
          <w:i/>
          <w:iCs/>
          <w:sz w:val="18"/>
          <w:szCs w:val="26"/>
          <w:rtl/>
        </w:rPr>
        <w:t>سينغاراسا ضد سري لانكا</w:t>
      </w:r>
      <w:r w:rsidRPr="00DC4449">
        <w:rPr>
          <w:sz w:val="18"/>
          <w:szCs w:val="26"/>
          <w:rtl/>
        </w:rPr>
        <w:t>، الآراء المعتمدة في</w:t>
      </w:r>
      <w:r w:rsidR="005508EC">
        <w:rPr>
          <w:rFonts w:hint="cs"/>
          <w:sz w:val="18"/>
          <w:szCs w:val="26"/>
          <w:rtl/>
        </w:rPr>
        <w:t> </w:t>
      </w:r>
      <w:r w:rsidRPr="00DC4449">
        <w:rPr>
          <w:sz w:val="18"/>
          <w:szCs w:val="26"/>
          <w:rtl/>
        </w:rPr>
        <w:t xml:space="preserve">21 تموز/يوليه 2004، الفقرة 6-3، والبلاغ رقم 851/ 1999، </w:t>
      </w:r>
      <w:r w:rsidRPr="00DC4449">
        <w:rPr>
          <w:i/>
          <w:iCs/>
          <w:sz w:val="18"/>
          <w:szCs w:val="26"/>
          <w:rtl/>
        </w:rPr>
        <w:t>زورين ضد الاتحاد الروسي</w:t>
      </w:r>
      <w:r w:rsidRPr="00DC4449">
        <w:rPr>
          <w:sz w:val="18"/>
          <w:szCs w:val="26"/>
          <w:rtl/>
        </w:rPr>
        <w:t xml:space="preserve">، القرار بشأن المقبولية المؤرخ 2 تشرين الثاني/نوفمبر 2004، الفقرة 6-4. </w:t>
      </w:r>
    </w:p>
  </w:footnote>
  <w:footnote w:id="12">
    <w:p w:rsidR="00D821CB" w:rsidRPr="00DC4449" w:rsidRDefault="00D821CB" w:rsidP="001878FF">
      <w:pPr>
        <w:pStyle w:val="FootnoteText"/>
        <w:numPr>
          <w:ilvl w:val="0"/>
          <w:numId w:val="41"/>
        </w:numPr>
        <w:tabs>
          <w:tab w:val="clear" w:pos="1292"/>
        </w:tabs>
        <w:spacing w:after="60" w:line="300" w:lineRule="exact"/>
        <w:ind w:left="1247" w:right="1247"/>
        <w:rPr>
          <w:sz w:val="18"/>
          <w:szCs w:val="26"/>
        </w:rPr>
      </w:pPr>
      <w:r w:rsidRPr="00DC4449">
        <w:rPr>
          <w:sz w:val="18"/>
          <w:szCs w:val="26"/>
          <w:rtl/>
        </w:rPr>
        <w:t xml:space="preserve">انظر البلاغ رقم 1070/2002، </w:t>
      </w:r>
      <w:r w:rsidRPr="00DC4449">
        <w:rPr>
          <w:rFonts w:hint="eastAsia"/>
          <w:i/>
          <w:iCs/>
          <w:sz w:val="18"/>
          <w:szCs w:val="26"/>
          <w:rtl/>
        </w:rPr>
        <w:t>ك</w:t>
      </w:r>
      <w:r w:rsidRPr="00DC4449">
        <w:rPr>
          <w:i/>
          <w:iCs/>
          <w:sz w:val="18"/>
          <w:szCs w:val="26"/>
          <w:rtl/>
        </w:rPr>
        <w:t>ويديس ضد اليونان</w:t>
      </w:r>
      <w:r w:rsidRPr="00DC4449">
        <w:rPr>
          <w:sz w:val="18"/>
          <w:szCs w:val="26"/>
          <w:rtl/>
        </w:rPr>
        <w:t>، الآراء المعتمدة في 28</w:t>
      </w:r>
      <w:r w:rsidR="005508EC">
        <w:rPr>
          <w:rFonts w:hint="cs"/>
          <w:sz w:val="18"/>
          <w:szCs w:val="26"/>
          <w:rtl/>
        </w:rPr>
        <w:t xml:space="preserve"> </w:t>
      </w:r>
      <w:r w:rsidRPr="00DC4449">
        <w:rPr>
          <w:sz w:val="18"/>
          <w:szCs w:val="26"/>
          <w:rtl/>
        </w:rPr>
        <w:t>آذار/مارس 2006، الفقرة</w:t>
      </w:r>
      <w:r w:rsidR="001878FF">
        <w:rPr>
          <w:rFonts w:hint="cs"/>
          <w:sz w:val="18"/>
          <w:szCs w:val="26"/>
          <w:rtl/>
        </w:rPr>
        <w:t> </w:t>
      </w:r>
      <w:r w:rsidRPr="00DC4449">
        <w:rPr>
          <w:sz w:val="18"/>
          <w:szCs w:val="26"/>
          <w:rtl/>
        </w:rPr>
        <w:t xml:space="preserve">6-4، والبلاغ رقم 1633/2007، </w:t>
      </w:r>
      <w:r w:rsidRPr="00DC4449">
        <w:rPr>
          <w:rFonts w:hint="eastAsia"/>
          <w:i/>
          <w:iCs/>
          <w:sz w:val="18"/>
          <w:szCs w:val="26"/>
          <w:rtl/>
        </w:rPr>
        <w:t>أ</w:t>
      </w:r>
      <w:r w:rsidRPr="00DC4449">
        <w:rPr>
          <w:i/>
          <w:iCs/>
          <w:sz w:val="18"/>
          <w:szCs w:val="26"/>
          <w:rtl/>
        </w:rPr>
        <w:t>فادانوف ضد أذربيجان</w:t>
      </w:r>
      <w:r w:rsidRPr="00DC4449">
        <w:rPr>
          <w:sz w:val="18"/>
          <w:szCs w:val="26"/>
          <w:rtl/>
        </w:rPr>
        <w:t>، الآراء المعتمدة في 25 تشرين الأول/</w:t>
      </w:r>
      <w:r w:rsidR="001878FF">
        <w:rPr>
          <w:rFonts w:hint="cs"/>
          <w:sz w:val="18"/>
          <w:szCs w:val="26"/>
          <w:rtl/>
        </w:rPr>
        <w:t xml:space="preserve"> </w:t>
      </w:r>
      <w:r w:rsidRPr="00DC4449">
        <w:rPr>
          <w:sz w:val="18"/>
          <w:szCs w:val="26"/>
          <w:rtl/>
        </w:rPr>
        <w:t>أكتوبر 2010، الفقرة 6-2.</w:t>
      </w:r>
    </w:p>
  </w:footnote>
  <w:footnote w:id="13">
    <w:p w:rsidR="00D821CB" w:rsidRPr="00DC4449" w:rsidRDefault="00D821CB" w:rsidP="00DC4449">
      <w:pPr>
        <w:pStyle w:val="FootnoteText"/>
        <w:numPr>
          <w:ilvl w:val="0"/>
          <w:numId w:val="41"/>
        </w:numPr>
        <w:tabs>
          <w:tab w:val="clear" w:pos="1292"/>
        </w:tabs>
        <w:spacing w:after="60" w:line="300" w:lineRule="exact"/>
        <w:ind w:left="1247" w:right="1247"/>
        <w:rPr>
          <w:sz w:val="18"/>
          <w:szCs w:val="26"/>
        </w:rPr>
      </w:pPr>
      <w:r w:rsidRPr="00DC4449">
        <w:rPr>
          <w:sz w:val="18"/>
          <w:szCs w:val="26"/>
          <w:rtl/>
        </w:rPr>
        <w:t xml:space="preserve">انظر البلاغ رقم 851/ 1999، </w:t>
      </w:r>
      <w:r w:rsidRPr="00DC4449">
        <w:rPr>
          <w:i/>
          <w:iCs/>
          <w:sz w:val="18"/>
          <w:szCs w:val="26"/>
          <w:rtl/>
        </w:rPr>
        <w:t>زورين ضد الاتحاد الروسي</w:t>
      </w:r>
      <w:r w:rsidRPr="00DC4449">
        <w:rPr>
          <w:sz w:val="18"/>
          <w:szCs w:val="26"/>
          <w:rtl/>
        </w:rPr>
        <w:t xml:space="preserve">، القرار بشأن المقبولية المؤرخ 2 تشرين الثاني/نوفمبر 2004، الفقرة 6-5، والبلاغ رقم 878/1999، </w:t>
      </w:r>
      <w:r w:rsidRPr="00DC4449">
        <w:rPr>
          <w:rFonts w:hint="eastAsia"/>
          <w:i/>
          <w:iCs/>
          <w:sz w:val="18"/>
          <w:szCs w:val="26"/>
          <w:rtl/>
        </w:rPr>
        <w:t>ك</w:t>
      </w:r>
      <w:r w:rsidRPr="00DC4449">
        <w:rPr>
          <w:i/>
          <w:iCs/>
          <w:sz w:val="18"/>
          <w:szCs w:val="26"/>
          <w:rtl/>
        </w:rPr>
        <w:t>انغ ضد جمهورية كوريا</w:t>
      </w:r>
      <w:r w:rsidRPr="00DC4449">
        <w:rPr>
          <w:sz w:val="18"/>
          <w:szCs w:val="26"/>
          <w:rtl/>
        </w:rPr>
        <w:t>، الآراء المعتمدة في 15 تموز/يوليه 2003، الفقرة 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CB" w:rsidRPr="00EB0881" w:rsidRDefault="00D821CB" w:rsidP="00EB0881">
    <w:pPr>
      <w:pStyle w:val="Header"/>
      <w:jc w:val="right"/>
    </w:pPr>
    <w:r w:rsidRPr="00EB0881">
      <w:t>CCPR/C/111/D/2042/2011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CB" w:rsidRPr="00EB0881" w:rsidRDefault="00D821CB" w:rsidP="00EB0881">
    <w:pPr>
      <w:pStyle w:val="Header"/>
      <w:jc w:val="left"/>
    </w:pPr>
    <w:r w:rsidRPr="00EB0881">
      <w:t>CCPR/C/111/D/2042/2011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CB" w:rsidRDefault="00D821C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D821CB" w:rsidRPr="008F6743" w:rsidRDefault="00D821CB"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C21C1"/>
    <w:multiLevelType w:val="hybridMultilevel"/>
    <w:tmpl w:val="8E108CF2"/>
    <w:lvl w:ilvl="0" w:tplc="43E299C4">
      <w:start w:val="1"/>
      <w:numFmt w:val="arabicAlpha"/>
      <w:lvlText w:val="(%1)"/>
      <w:lvlJc w:val="left"/>
      <w:pPr>
        <w:ind w:left="1854" w:hanging="720"/>
      </w:pPr>
      <w:rPr>
        <w:rFonts w:cs="Times New Roman" w:hint="default"/>
        <w:sz w:val="2"/>
        <w:szCs w:val="3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A80D06"/>
    <w:multiLevelType w:val="hybridMultilevel"/>
    <w:tmpl w:val="E6866446"/>
    <w:lvl w:ilvl="0" w:tplc="448E4C14">
      <w:start w:val="1"/>
      <w:numFmt w:val="decimal"/>
      <w:lvlRestart w:val="0"/>
      <w:lvlText w:val="(%1)"/>
      <w:lvlJc w:val="right"/>
      <w:pPr>
        <w:tabs>
          <w:tab w:val="num" w:pos="1292"/>
        </w:tabs>
        <w:ind w:left="1292" w:hanging="227"/>
      </w:pPr>
      <w:rPr>
        <w:rFonts w:ascii="Traditional Arabic" w:hAnsi="Traditional Arabic" w:cs="Traditional Arabic" w:hint="cs"/>
        <w:sz w:val="26"/>
        <w:szCs w:val="26"/>
        <w:lang w:val="en-US"/>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2"/>
  </w:num>
  <w:num w:numId="7">
    <w:abstractNumId w:val="10"/>
  </w:num>
  <w:num w:numId="8">
    <w:abstractNumId w:val="9"/>
  </w:num>
  <w:num w:numId="9">
    <w:abstractNumId w:val="13"/>
  </w:num>
  <w:num w:numId="10">
    <w:abstractNumId w:val="21"/>
  </w:num>
  <w:num w:numId="11">
    <w:abstractNumId w:val="1"/>
  </w:num>
  <w:num w:numId="12">
    <w:abstractNumId w:val="14"/>
  </w:num>
  <w:num w:numId="13">
    <w:abstractNumId w:val="11"/>
  </w:num>
  <w:num w:numId="14">
    <w:abstractNumId w:val="8"/>
  </w:num>
  <w:num w:numId="15">
    <w:abstractNumId w:val="22"/>
  </w:num>
  <w:num w:numId="16">
    <w:abstractNumId w:val="1"/>
  </w:num>
  <w:num w:numId="17">
    <w:abstractNumId w:val="14"/>
  </w:num>
  <w:num w:numId="18">
    <w:abstractNumId w:val="11"/>
  </w:num>
  <w:num w:numId="19">
    <w:abstractNumId w:val="8"/>
  </w:num>
  <w:num w:numId="20">
    <w:abstractNumId w:val="22"/>
  </w:num>
  <w:num w:numId="21">
    <w:abstractNumId w:val="1"/>
  </w:num>
  <w:num w:numId="22">
    <w:abstractNumId w:val="14"/>
  </w:num>
  <w:num w:numId="23">
    <w:abstractNumId w:val="8"/>
  </w:num>
  <w:num w:numId="24">
    <w:abstractNumId w:val="22"/>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3"/>
  </w:num>
  <w:num w:numId="35">
    <w:abstractNumId w:val="5"/>
  </w:num>
  <w:num w:numId="36">
    <w:abstractNumId w:val="17"/>
  </w:num>
  <w:num w:numId="37">
    <w:abstractNumId w:val="19"/>
  </w:num>
  <w:num w:numId="38">
    <w:abstractNumId w:val="0"/>
  </w:num>
  <w:num w:numId="39">
    <w:abstractNumId w:val="6"/>
  </w:num>
  <w:num w:numId="40">
    <w:abstractNumId w:val="12"/>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09C"/>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04935"/>
    <w:rsid w:val="00113FA5"/>
    <w:rsid w:val="00137410"/>
    <w:rsid w:val="001433A5"/>
    <w:rsid w:val="001455A0"/>
    <w:rsid w:val="001602A3"/>
    <w:rsid w:val="00170E72"/>
    <w:rsid w:val="001878FF"/>
    <w:rsid w:val="001A5161"/>
    <w:rsid w:val="001A60BD"/>
    <w:rsid w:val="001C6D53"/>
    <w:rsid w:val="00232277"/>
    <w:rsid w:val="0023736D"/>
    <w:rsid w:val="00257225"/>
    <w:rsid w:val="00282C15"/>
    <w:rsid w:val="002C62DA"/>
    <w:rsid w:val="0030232E"/>
    <w:rsid w:val="00310160"/>
    <w:rsid w:val="00341A8C"/>
    <w:rsid w:val="00350710"/>
    <w:rsid w:val="003519E6"/>
    <w:rsid w:val="00355F81"/>
    <w:rsid w:val="003B4356"/>
    <w:rsid w:val="003C53D0"/>
    <w:rsid w:val="003E033A"/>
    <w:rsid w:val="003F08A8"/>
    <w:rsid w:val="004250E3"/>
    <w:rsid w:val="0044376D"/>
    <w:rsid w:val="00471370"/>
    <w:rsid w:val="00472A81"/>
    <w:rsid w:val="00496246"/>
    <w:rsid w:val="004A20A6"/>
    <w:rsid w:val="004B2C92"/>
    <w:rsid w:val="004B2DE3"/>
    <w:rsid w:val="004D13FB"/>
    <w:rsid w:val="004D6A3A"/>
    <w:rsid w:val="004E1FD0"/>
    <w:rsid w:val="004F4AD7"/>
    <w:rsid w:val="005508EC"/>
    <w:rsid w:val="00557CD3"/>
    <w:rsid w:val="00571432"/>
    <w:rsid w:val="005732A2"/>
    <w:rsid w:val="005762A5"/>
    <w:rsid w:val="00590BA3"/>
    <w:rsid w:val="005B46D9"/>
    <w:rsid w:val="005B7AE0"/>
    <w:rsid w:val="005C109C"/>
    <w:rsid w:val="005E23F5"/>
    <w:rsid w:val="005F146F"/>
    <w:rsid w:val="005F71B6"/>
    <w:rsid w:val="00612B38"/>
    <w:rsid w:val="00616BA1"/>
    <w:rsid w:val="00651800"/>
    <w:rsid w:val="00654786"/>
    <w:rsid w:val="00657C8A"/>
    <w:rsid w:val="00660FD4"/>
    <w:rsid w:val="00665BE4"/>
    <w:rsid w:val="006A4425"/>
    <w:rsid w:val="006B00A4"/>
    <w:rsid w:val="006B0B0E"/>
    <w:rsid w:val="006B4669"/>
    <w:rsid w:val="006C1415"/>
    <w:rsid w:val="006D3CFA"/>
    <w:rsid w:val="006E76EA"/>
    <w:rsid w:val="006F6BF8"/>
    <w:rsid w:val="00707BDF"/>
    <w:rsid w:val="00710727"/>
    <w:rsid w:val="00715F45"/>
    <w:rsid w:val="007215FB"/>
    <w:rsid w:val="0072608F"/>
    <w:rsid w:val="00731815"/>
    <w:rsid w:val="00731B84"/>
    <w:rsid w:val="00734AE7"/>
    <w:rsid w:val="0075240E"/>
    <w:rsid w:val="0078008C"/>
    <w:rsid w:val="0079344E"/>
    <w:rsid w:val="007B369A"/>
    <w:rsid w:val="007E197F"/>
    <w:rsid w:val="007E2786"/>
    <w:rsid w:val="007E4686"/>
    <w:rsid w:val="007F68C4"/>
    <w:rsid w:val="008153DE"/>
    <w:rsid w:val="00823D6C"/>
    <w:rsid w:val="00852A10"/>
    <w:rsid w:val="00862634"/>
    <w:rsid w:val="00866C59"/>
    <w:rsid w:val="00877306"/>
    <w:rsid w:val="00885524"/>
    <w:rsid w:val="00885F65"/>
    <w:rsid w:val="008A6242"/>
    <w:rsid w:val="008B4BC6"/>
    <w:rsid w:val="008F5F9A"/>
    <w:rsid w:val="008F6743"/>
    <w:rsid w:val="00901E57"/>
    <w:rsid w:val="009070DF"/>
    <w:rsid w:val="009352B6"/>
    <w:rsid w:val="00935F0E"/>
    <w:rsid w:val="00942635"/>
    <w:rsid w:val="0095208F"/>
    <w:rsid w:val="00963291"/>
    <w:rsid w:val="00977B3F"/>
    <w:rsid w:val="009814AE"/>
    <w:rsid w:val="00985C32"/>
    <w:rsid w:val="009901D3"/>
    <w:rsid w:val="0099038B"/>
    <w:rsid w:val="00996BBE"/>
    <w:rsid w:val="009B2C03"/>
    <w:rsid w:val="009D17B9"/>
    <w:rsid w:val="009D1DD5"/>
    <w:rsid w:val="009F722C"/>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E2964"/>
    <w:rsid w:val="00BE7FC7"/>
    <w:rsid w:val="00C21623"/>
    <w:rsid w:val="00C24FBD"/>
    <w:rsid w:val="00C473BA"/>
    <w:rsid w:val="00C611ED"/>
    <w:rsid w:val="00C6490A"/>
    <w:rsid w:val="00C64FE1"/>
    <w:rsid w:val="00C726D2"/>
    <w:rsid w:val="00C72B4B"/>
    <w:rsid w:val="00C74296"/>
    <w:rsid w:val="00C831C8"/>
    <w:rsid w:val="00C8345E"/>
    <w:rsid w:val="00CA5F7C"/>
    <w:rsid w:val="00D23775"/>
    <w:rsid w:val="00D51067"/>
    <w:rsid w:val="00D6570C"/>
    <w:rsid w:val="00D75657"/>
    <w:rsid w:val="00D821CB"/>
    <w:rsid w:val="00D960AD"/>
    <w:rsid w:val="00DA0E0E"/>
    <w:rsid w:val="00DB0885"/>
    <w:rsid w:val="00DB0C39"/>
    <w:rsid w:val="00DB7679"/>
    <w:rsid w:val="00DC4449"/>
    <w:rsid w:val="00DF15F6"/>
    <w:rsid w:val="00DF1702"/>
    <w:rsid w:val="00DF4DD8"/>
    <w:rsid w:val="00DF668E"/>
    <w:rsid w:val="00E03CCD"/>
    <w:rsid w:val="00E04826"/>
    <w:rsid w:val="00E04FDF"/>
    <w:rsid w:val="00E14D2B"/>
    <w:rsid w:val="00E20DBA"/>
    <w:rsid w:val="00E639D9"/>
    <w:rsid w:val="00E6524A"/>
    <w:rsid w:val="00E660D6"/>
    <w:rsid w:val="00E771AB"/>
    <w:rsid w:val="00E86DF1"/>
    <w:rsid w:val="00EA796F"/>
    <w:rsid w:val="00EB077B"/>
    <w:rsid w:val="00EB0881"/>
    <w:rsid w:val="00EC50B9"/>
    <w:rsid w:val="00ED267B"/>
    <w:rsid w:val="00ED26A0"/>
    <w:rsid w:val="00F1727A"/>
    <w:rsid w:val="00F34764"/>
    <w:rsid w:val="00F42A1F"/>
    <w:rsid w:val="00F515E8"/>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rsid w:val="00EB0881"/>
    <w:pPr>
      <w:suppressAutoHyphens/>
      <w:bidi w:val="0"/>
      <w:spacing w:after="120"/>
      <w:ind w:left="1134" w:right="1134"/>
      <w:jc w:val="both"/>
    </w:pPr>
    <w:rPr>
      <w:lang w:val="en-GB"/>
    </w:rPr>
  </w:style>
  <w:style w:type="paragraph" w:customStyle="1" w:styleId="HChG">
    <w:name w:val="_ H _Ch_G"/>
    <w:basedOn w:val="Normal"/>
    <w:next w:val="Normal"/>
    <w:rsid w:val="00EB0881"/>
    <w:pPr>
      <w:keepNext/>
      <w:keepLines/>
      <w:tabs>
        <w:tab w:val="right" w:pos="851"/>
      </w:tabs>
      <w:suppressAutoHyphens/>
      <w:bidi w:val="0"/>
      <w:spacing w:before="360" w:after="240" w:line="300" w:lineRule="exact"/>
      <w:ind w:left="1134" w:right="1134" w:hanging="1134"/>
      <w:jc w:val="left"/>
    </w:pPr>
    <w:rPr>
      <w:b/>
      <w:sz w:val="28"/>
      <w:lang w:val="en-GB"/>
    </w:rPr>
  </w:style>
  <w:style w:type="character" w:customStyle="1" w:styleId="FootnoteTextChar">
    <w:name w:val="Footnote Text Char"/>
    <w:aliases w:val="5_G Char"/>
    <w:basedOn w:val="DefaultParagraphFont"/>
    <w:link w:val="FootnoteText"/>
    <w:semiHidden/>
    <w:locked/>
    <w:rsid w:val="00EB0881"/>
    <w:rPr>
      <w:rFonts w:cs="Traditional Arabic"/>
      <w:lang w:val="en-US" w:eastAsia="en-US" w:bidi="ar-SA"/>
    </w:rPr>
  </w:style>
  <w:style w:type="paragraph" w:customStyle="1" w:styleId="H1G">
    <w:name w:val="_ H_1_G"/>
    <w:basedOn w:val="Normal"/>
    <w:next w:val="Normal"/>
    <w:rsid w:val="00EB0881"/>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rsid w:val="00EB0881"/>
    <w:pPr>
      <w:keepNext/>
      <w:keepLines/>
      <w:tabs>
        <w:tab w:val="right" w:pos="851"/>
      </w:tabs>
      <w:suppressAutoHyphens/>
      <w:bidi w:val="0"/>
      <w:spacing w:before="240" w:after="120" w:line="240" w:lineRule="exact"/>
      <w:ind w:left="1134" w:right="1134" w:hanging="1134"/>
      <w:jc w:val="left"/>
    </w:pPr>
    <w:rPr>
      <w:b/>
      <w:lang w:val="en-GB"/>
    </w:rPr>
  </w:style>
  <w:style w:type="paragraph" w:customStyle="1" w:styleId="H4G">
    <w:name w:val="_ H_4_G"/>
    <w:basedOn w:val="Normal"/>
    <w:next w:val="Normal"/>
    <w:rsid w:val="00EB0881"/>
    <w:pPr>
      <w:keepNext/>
      <w:keepLines/>
      <w:tabs>
        <w:tab w:val="right" w:pos="851"/>
      </w:tabs>
      <w:suppressAutoHyphens/>
      <w:bidi w:val="0"/>
      <w:spacing w:before="240" w:after="120" w:line="240" w:lineRule="exact"/>
      <w:ind w:left="1134" w:right="1134" w:hanging="1134"/>
      <w:jc w:val="left"/>
    </w:pPr>
    <w:rPr>
      <w:i/>
      <w:lang w:val="en-GB"/>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14</Pages>
  <Words>4527</Words>
  <Characters>22204</Characters>
  <Application>Microsoft Office Outlook</Application>
  <DocSecurity>4</DocSecurity>
  <Lines>382</Lines>
  <Paragraphs>82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CCPR/C/111/D/2042/2011</vt:lpstr>
      <vt:lpstr>CCPR/C/111/D/2042/2011</vt:lpstr>
    </vt:vector>
  </TitlesOfParts>
  <Company>CSD</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CCPR/C/111/D/2042/2011</dc:title>
  <dc:subject/>
  <dc:creator>RIZ</dc:creator>
  <cp:keywords/>
  <dc:description/>
  <cp:lastModifiedBy>TPS</cp:lastModifiedBy>
  <cp:revision>2</cp:revision>
  <cp:lastPrinted>2014-11-17T12:10:00Z</cp:lastPrinted>
  <dcterms:created xsi:type="dcterms:W3CDTF">2014-11-18T10:16:00Z</dcterms:created>
  <dcterms:modified xsi:type="dcterms:W3CDTF">2014-11-18T10:16:00Z</dcterms:modified>
</cp:coreProperties>
</file>