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F71EA" w:rsidRPr="00DB58B5" w:rsidTr="00007A5A">
        <w:trPr>
          <w:trHeight w:hRule="exact" w:val="851"/>
        </w:trPr>
        <w:tc>
          <w:tcPr>
            <w:tcW w:w="1276" w:type="dxa"/>
            <w:tcBorders>
              <w:bottom w:val="single" w:sz="4" w:space="0" w:color="auto"/>
            </w:tcBorders>
          </w:tcPr>
          <w:p w:rsidR="006F71EA" w:rsidRPr="00DB58B5" w:rsidRDefault="006F71EA" w:rsidP="00710AB4"/>
        </w:tc>
        <w:tc>
          <w:tcPr>
            <w:tcW w:w="2268" w:type="dxa"/>
            <w:tcBorders>
              <w:bottom w:val="single" w:sz="4" w:space="0" w:color="auto"/>
            </w:tcBorders>
            <w:vAlign w:val="bottom"/>
          </w:tcPr>
          <w:p w:rsidR="006F71EA" w:rsidRPr="00DB58B5" w:rsidRDefault="006F71EA" w:rsidP="00007A5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10AB4" w:rsidP="00710AB4">
            <w:pPr>
              <w:jc w:val="right"/>
            </w:pPr>
            <w:r w:rsidRPr="00710AB4">
              <w:rPr>
                <w:sz w:val="40"/>
              </w:rPr>
              <w:t>CCPR</w:t>
            </w:r>
            <w:r>
              <w:t>/C/112/D/2069/2011</w:t>
            </w:r>
          </w:p>
        </w:tc>
      </w:tr>
      <w:tr w:rsidR="006F71EA" w:rsidRPr="00DB58B5" w:rsidTr="00007A5A">
        <w:trPr>
          <w:trHeight w:hRule="exact" w:val="2835"/>
        </w:trPr>
        <w:tc>
          <w:tcPr>
            <w:tcW w:w="1276" w:type="dxa"/>
            <w:tcBorders>
              <w:top w:val="single" w:sz="4" w:space="0" w:color="auto"/>
              <w:bottom w:val="single" w:sz="12" w:space="0" w:color="auto"/>
            </w:tcBorders>
          </w:tcPr>
          <w:p w:rsidR="006F71EA" w:rsidRPr="00DB58B5" w:rsidRDefault="00044B87" w:rsidP="00007A5A">
            <w:pPr>
              <w:spacing w:before="120"/>
              <w:jc w:val="center"/>
            </w:pPr>
            <w:r w:rsidRPr="00044B8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6F71EA" w:rsidRPr="00AB51C8" w:rsidRDefault="006F71EA" w:rsidP="00007A5A">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10AB4" w:rsidP="00007A5A">
            <w:pPr>
              <w:spacing w:before="240"/>
            </w:pPr>
            <w:r>
              <w:t>Distr. générale</w:t>
            </w:r>
          </w:p>
          <w:p w:rsidR="00710AB4" w:rsidRDefault="00710AB4" w:rsidP="00710AB4">
            <w:pPr>
              <w:spacing w:line="240" w:lineRule="exact"/>
            </w:pPr>
            <w:r>
              <w:t>19 janvier 2015</w:t>
            </w:r>
          </w:p>
          <w:p w:rsidR="00710AB4" w:rsidRDefault="00710AB4" w:rsidP="00710AB4">
            <w:pPr>
              <w:spacing w:line="240" w:lineRule="exact"/>
            </w:pPr>
            <w:r>
              <w:t>Français</w:t>
            </w:r>
          </w:p>
          <w:p w:rsidR="00710AB4" w:rsidRPr="00DB58B5" w:rsidRDefault="00710AB4" w:rsidP="00710AB4">
            <w:pPr>
              <w:spacing w:line="240" w:lineRule="exact"/>
            </w:pPr>
            <w:r>
              <w:t>Original: anglais</w:t>
            </w:r>
          </w:p>
        </w:tc>
      </w:tr>
    </w:tbl>
    <w:p w:rsidR="006F71EA" w:rsidRDefault="006F71EA" w:rsidP="006F71EA">
      <w:pPr>
        <w:spacing w:before="120"/>
        <w:rPr>
          <w:b/>
          <w:sz w:val="24"/>
          <w:szCs w:val="24"/>
        </w:rPr>
      </w:pPr>
      <w:r w:rsidRPr="00DF3BF1">
        <w:rPr>
          <w:b/>
          <w:sz w:val="24"/>
          <w:szCs w:val="24"/>
        </w:rPr>
        <w:t>Comité des droits de l’homme</w:t>
      </w:r>
    </w:p>
    <w:p w:rsidR="002D7528" w:rsidRPr="00BF6F4D" w:rsidRDefault="002D7528" w:rsidP="002D7528">
      <w:pPr>
        <w:pStyle w:val="HChG"/>
      </w:pPr>
      <w:r>
        <w:rPr>
          <w:szCs w:val="24"/>
        </w:rPr>
        <w:tab/>
      </w:r>
      <w:r>
        <w:rPr>
          <w:szCs w:val="24"/>
        </w:rPr>
        <w:tab/>
      </w:r>
      <w:r w:rsidRPr="00BF6F4D">
        <w:rPr>
          <w:szCs w:val="24"/>
        </w:rPr>
        <w:t>Communication</w:t>
      </w:r>
      <w:r w:rsidRPr="00BF6F4D">
        <w:t xml:space="preserve"> </w:t>
      </w:r>
      <w:r w:rsidRPr="00D839AB">
        <w:t>n</w:t>
      </w:r>
      <w:r w:rsidRPr="00D839AB">
        <w:rPr>
          <w:vertAlign w:val="superscript"/>
        </w:rPr>
        <w:t>o</w:t>
      </w:r>
      <w:r w:rsidRPr="00D839AB">
        <w:t> </w:t>
      </w:r>
      <w:r w:rsidRPr="00A63054">
        <w:rPr>
          <w:lang w:val="fr-FR"/>
        </w:rPr>
        <w:t>2069/2011</w:t>
      </w:r>
    </w:p>
    <w:p w:rsidR="002D7528" w:rsidRDefault="002D7528" w:rsidP="002D7528">
      <w:pPr>
        <w:pStyle w:val="H1G"/>
      </w:pPr>
      <w:r w:rsidRPr="00BF6F4D">
        <w:tab/>
      </w:r>
      <w:r w:rsidRPr="00BF6F4D">
        <w:tab/>
        <w:t>Constatations adoptées par le Comité à sa 112</w:t>
      </w:r>
      <w:r w:rsidRPr="00AD6B59">
        <w:rPr>
          <w:vertAlign w:val="superscript"/>
        </w:rPr>
        <w:t>e</w:t>
      </w:r>
      <w:r w:rsidRPr="00BF6F4D">
        <w:t xml:space="preserve"> session</w:t>
      </w:r>
      <w:r w:rsidRPr="00BF6F4D">
        <w:br/>
        <w:t>(7-31 octobre 2014)</w:t>
      </w:r>
    </w:p>
    <w:tbl>
      <w:tblPr>
        <w:tblW w:w="0" w:type="auto"/>
        <w:tblInd w:w="1701" w:type="dxa"/>
        <w:tblLayout w:type="fixed"/>
        <w:tblCellMar>
          <w:left w:w="0" w:type="dxa"/>
          <w:right w:w="0" w:type="dxa"/>
        </w:tblCellMar>
        <w:tblLook w:val="01E0"/>
      </w:tblPr>
      <w:tblGrid>
        <w:gridCol w:w="2835"/>
        <w:gridCol w:w="3969"/>
      </w:tblGrid>
      <w:tr w:rsidR="002D7528" w:rsidRPr="005B01E9" w:rsidTr="00044B87">
        <w:tc>
          <w:tcPr>
            <w:tcW w:w="2835" w:type="dxa"/>
            <w:shd w:val="clear" w:color="auto" w:fill="auto"/>
          </w:tcPr>
          <w:p w:rsidR="002D7528" w:rsidRPr="00044B87" w:rsidRDefault="002D7528" w:rsidP="00007A5A">
            <w:pPr>
              <w:rPr>
                <w:i/>
              </w:rPr>
            </w:pPr>
            <w:r w:rsidRPr="00044B87">
              <w:rPr>
                <w:i/>
              </w:rPr>
              <w:t>Communication présentée par</w:t>
            </w:r>
            <w:r w:rsidRPr="005B01E9">
              <w:t>:</w:t>
            </w:r>
          </w:p>
        </w:tc>
        <w:tc>
          <w:tcPr>
            <w:tcW w:w="3969" w:type="dxa"/>
            <w:shd w:val="clear" w:color="auto" w:fill="auto"/>
          </w:tcPr>
          <w:p w:rsidR="002D7528" w:rsidRPr="005B01E9" w:rsidRDefault="002D7528" w:rsidP="00044B87">
            <w:pPr>
              <w:spacing w:after="120"/>
            </w:pPr>
            <w:r w:rsidRPr="00044B87">
              <w:rPr>
                <w:lang w:val="fr-FR"/>
              </w:rPr>
              <w:t>Tatiana Shikhmuradova au nom de son mari, Boris Shikhmuradov (non représentée par un conseil)</w:t>
            </w:r>
          </w:p>
        </w:tc>
      </w:tr>
      <w:tr w:rsidR="002D7528" w:rsidRPr="005B01E9" w:rsidTr="00044B87">
        <w:tc>
          <w:tcPr>
            <w:tcW w:w="2835" w:type="dxa"/>
            <w:shd w:val="clear" w:color="auto" w:fill="auto"/>
          </w:tcPr>
          <w:p w:rsidR="002D7528" w:rsidRPr="00044B87" w:rsidRDefault="002D7528" w:rsidP="00007A5A">
            <w:pPr>
              <w:rPr>
                <w:i/>
              </w:rPr>
            </w:pPr>
            <w:r w:rsidRPr="00044B87">
              <w:rPr>
                <w:i/>
              </w:rPr>
              <w:t>Au nom de</w:t>
            </w:r>
            <w:r w:rsidRPr="005B01E9">
              <w:t>:</w:t>
            </w:r>
          </w:p>
        </w:tc>
        <w:tc>
          <w:tcPr>
            <w:tcW w:w="3969" w:type="dxa"/>
            <w:shd w:val="clear" w:color="auto" w:fill="auto"/>
          </w:tcPr>
          <w:p w:rsidR="002D7528" w:rsidRPr="005B01E9" w:rsidRDefault="002D7528" w:rsidP="00044B87">
            <w:pPr>
              <w:spacing w:after="120"/>
            </w:pPr>
            <w:r w:rsidRPr="00044B87">
              <w:rPr>
                <w:lang w:val="fr-FR"/>
              </w:rPr>
              <w:t>L’auteure et son mari</w:t>
            </w:r>
          </w:p>
        </w:tc>
      </w:tr>
      <w:tr w:rsidR="002D7528" w:rsidRPr="005B01E9" w:rsidTr="00044B87">
        <w:tc>
          <w:tcPr>
            <w:tcW w:w="2835" w:type="dxa"/>
            <w:shd w:val="clear" w:color="auto" w:fill="auto"/>
          </w:tcPr>
          <w:p w:rsidR="002D7528" w:rsidRPr="00044B87" w:rsidRDefault="002D7528" w:rsidP="00007A5A">
            <w:pPr>
              <w:rPr>
                <w:i/>
              </w:rPr>
            </w:pPr>
            <w:r w:rsidRPr="00044B87">
              <w:rPr>
                <w:i/>
              </w:rPr>
              <w:t>État partie</w:t>
            </w:r>
            <w:r w:rsidRPr="005B01E9">
              <w:t>:</w:t>
            </w:r>
          </w:p>
        </w:tc>
        <w:tc>
          <w:tcPr>
            <w:tcW w:w="3969" w:type="dxa"/>
            <w:shd w:val="clear" w:color="auto" w:fill="auto"/>
          </w:tcPr>
          <w:p w:rsidR="002D7528" w:rsidRPr="005B01E9" w:rsidRDefault="002D7528" w:rsidP="00044B87">
            <w:pPr>
              <w:spacing w:after="120"/>
            </w:pPr>
            <w:r w:rsidRPr="00044B87">
              <w:rPr>
                <w:rFonts w:eastAsia="MS Mincho"/>
              </w:rPr>
              <w:t>Turkménistan</w:t>
            </w:r>
          </w:p>
        </w:tc>
      </w:tr>
      <w:tr w:rsidR="002D7528" w:rsidRPr="005B01E9" w:rsidTr="00044B87">
        <w:tc>
          <w:tcPr>
            <w:tcW w:w="2835" w:type="dxa"/>
            <w:shd w:val="clear" w:color="auto" w:fill="auto"/>
          </w:tcPr>
          <w:p w:rsidR="002D7528" w:rsidRPr="00044B87" w:rsidRDefault="002D7528" w:rsidP="00007A5A">
            <w:pPr>
              <w:rPr>
                <w:i/>
              </w:rPr>
            </w:pPr>
            <w:r w:rsidRPr="00044B87">
              <w:rPr>
                <w:i/>
              </w:rPr>
              <w:t>Date de la communication</w:t>
            </w:r>
            <w:r w:rsidRPr="005B01E9">
              <w:t>:</w:t>
            </w:r>
          </w:p>
        </w:tc>
        <w:tc>
          <w:tcPr>
            <w:tcW w:w="3969" w:type="dxa"/>
            <w:shd w:val="clear" w:color="auto" w:fill="auto"/>
          </w:tcPr>
          <w:p w:rsidR="002D7528" w:rsidRPr="005B01E9" w:rsidRDefault="002D7528" w:rsidP="00044B87">
            <w:pPr>
              <w:spacing w:after="120"/>
            </w:pPr>
            <w:r w:rsidRPr="00044B87">
              <w:rPr>
                <w:lang w:val="fr-FR"/>
              </w:rPr>
              <w:t>28 avril 2011</w:t>
            </w:r>
            <w:r w:rsidRPr="005B01E9">
              <w:t xml:space="preserve"> (date de la lettre initiale)</w:t>
            </w:r>
          </w:p>
        </w:tc>
      </w:tr>
      <w:tr w:rsidR="002D7528" w:rsidRPr="005B01E9" w:rsidTr="00044B87">
        <w:tc>
          <w:tcPr>
            <w:tcW w:w="2835" w:type="dxa"/>
            <w:shd w:val="clear" w:color="auto" w:fill="auto"/>
          </w:tcPr>
          <w:p w:rsidR="002D7528" w:rsidRPr="00044B87" w:rsidRDefault="002D7528" w:rsidP="00007A5A">
            <w:pPr>
              <w:rPr>
                <w:i/>
              </w:rPr>
            </w:pPr>
            <w:r w:rsidRPr="00044B87">
              <w:rPr>
                <w:i/>
              </w:rPr>
              <w:t>Références</w:t>
            </w:r>
            <w:r w:rsidRPr="005B01E9">
              <w:t>:</w:t>
            </w:r>
          </w:p>
        </w:tc>
        <w:tc>
          <w:tcPr>
            <w:tcW w:w="3969" w:type="dxa"/>
            <w:shd w:val="clear" w:color="auto" w:fill="auto"/>
          </w:tcPr>
          <w:p w:rsidR="002D7528" w:rsidRPr="005B01E9" w:rsidRDefault="002D7528" w:rsidP="00044B87">
            <w:pPr>
              <w:spacing w:after="120"/>
            </w:pPr>
            <w:r w:rsidRPr="00D839AB">
              <w:t>Décision prise par le Rappor</w:t>
            </w:r>
            <w:r>
              <w:t>teur spécial en application de l’article </w:t>
            </w:r>
            <w:r w:rsidRPr="00D839AB">
              <w:t>97 du règlement intérieur, communiquée à l</w:t>
            </w:r>
            <w:r>
              <w:t xml:space="preserve">’État partie le </w:t>
            </w:r>
            <w:r w:rsidRPr="00044B87">
              <w:rPr>
                <w:lang w:val="fr-FR"/>
              </w:rPr>
              <w:t>4 juillet 2011</w:t>
            </w:r>
            <w:r w:rsidRPr="00D839AB">
              <w:t xml:space="preserve"> </w:t>
            </w:r>
            <w:r>
              <w:t xml:space="preserve">(non publiée sous forme de </w:t>
            </w:r>
            <w:r w:rsidRPr="00D839AB">
              <w:t>document)</w:t>
            </w:r>
          </w:p>
        </w:tc>
      </w:tr>
      <w:tr w:rsidR="002D7528" w:rsidRPr="005B01E9" w:rsidTr="00044B87">
        <w:tc>
          <w:tcPr>
            <w:tcW w:w="2835" w:type="dxa"/>
            <w:shd w:val="clear" w:color="auto" w:fill="auto"/>
          </w:tcPr>
          <w:p w:rsidR="002D7528" w:rsidRPr="00044B87" w:rsidRDefault="002D7528" w:rsidP="00007A5A">
            <w:pPr>
              <w:rPr>
                <w:i/>
              </w:rPr>
            </w:pPr>
            <w:r w:rsidRPr="00044B87">
              <w:rPr>
                <w:i/>
              </w:rPr>
              <w:t>Date des constatations</w:t>
            </w:r>
            <w:r w:rsidRPr="005B01E9">
              <w:t>:</w:t>
            </w:r>
          </w:p>
        </w:tc>
        <w:tc>
          <w:tcPr>
            <w:tcW w:w="3969" w:type="dxa"/>
            <w:shd w:val="clear" w:color="auto" w:fill="auto"/>
            <w:vAlign w:val="bottom"/>
          </w:tcPr>
          <w:p w:rsidR="002D7528" w:rsidRPr="005B01E9" w:rsidRDefault="002D7528" w:rsidP="00044B87">
            <w:pPr>
              <w:spacing w:after="120"/>
            </w:pPr>
            <w:r w:rsidRPr="00D839AB">
              <w:t>17</w:t>
            </w:r>
            <w:r>
              <w:t xml:space="preserve"> </w:t>
            </w:r>
            <w:r w:rsidRPr="00044B87">
              <w:rPr>
                <w:lang w:val="fr-FR"/>
              </w:rPr>
              <w:t>octobre 2014</w:t>
            </w:r>
          </w:p>
        </w:tc>
      </w:tr>
      <w:tr w:rsidR="002D7528" w:rsidRPr="005B01E9" w:rsidTr="00044B87">
        <w:tc>
          <w:tcPr>
            <w:tcW w:w="2835" w:type="dxa"/>
            <w:shd w:val="clear" w:color="auto" w:fill="auto"/>
          </w:tcPr>
          <w:p w:rsidR="002D7528" w:rsidRPr="00044B87" w:rsidRDefault="002D7528" w:rsidP="00007A5A">
            <w:pPr>
              <w:rPr>
                <w:i/>
              </w:rPr>
            </w:pPr>
            <w:r w:rsidRPr="00044B87">
              <w:rPr>
                <w:i/>
              </w:rPr>
              <w:t>Objet</w:t>
            </w:r>
            <w:r w:rsidRPr="005B01E9">
              <w:t>:</w:t>
            </w:r>
          </w:p>
        </w:tc>
        <w:tc>
          <w:tcPr>
            <w:tcW w:w="3969" w:type="dxa"/>
            <w:shd w:val="clear" w:color="auto" w:fill="auto"/>
          </w:tcPr>
          <w:p w:rsidR="002D7528" w:rsidRPr="005B01E9" w:rsidRDefault="002D7528" w:rsidP="00044B87">
            <w:pPr>
              <w:spacing w:after="120"/>
            </w:pPr>
            <w:r w:rsidRPr="00044B87">
              <w:rPr>
                <w:lang w:val="fr-FR"/>
              </w:rPr>
              <w:t xml:space="preserve">Disparition forcée du mari de l’auteure; torture; </w:t>
            </w:r>
            <w:r w:rsidRPr="00044B87">
              <w:rPr>
                <w:i/>
                <w:lang w:val="fr-FR"/>
              </w:rPr>
              <w:t>habeas corpus</w:t>
            </w:r>
            <w:r w:rsidRPr="00044B87">
              <w:rPr>
                <w:lang w:val="fr-FR"/>
              </w:rPr>
              <w:t>; procès inéquitable</w:t>
            </w:r>
          </w:p>
        </w:tc>
      </w:tr>
      <w:tr w:rsidR="002D7528" w:rsidRPr="005B01E9" w:rsidTr="00044B87">
        <w:tc>
          <w:tcPr>
            <w:tcW w:w="2835" w:type="dxa"/>
            <w:shd w:val="clear" w:color="auto" w:fill="auto"/>
          </w:tcPr>
          <w:p w:rsidR="002D7528" w:rsidRPr="00044B87" w:rsidRDefault="002D7528" w:rsidP="00007A5A">
            <w:pPr>
              <w:rPr>
                <w:i/>
              </w:rPr>
            </w:pPr>
            <w:r w:rsidRPr="00044B87">
              <w:rPr>
                <w:i/>
              </w:rPr>
              <w:t>Question(s) de fond</w:t>
            </w:r>
            <w:r w:rsidRPr="005B01E9">
              <w:t>:</w:t>
            </w:r>
          </w:p>
        </w:tc>
        <w:tc>
          <w:tcPr>
            <w:tcW w:w="3969" w:type="dxa"/>
            <w:shd w:val="clear" w:color="auto" w:fill="auto"/>
          </w:tcPr>
          <w:p w:rsidR="002D7528" w:rsidRPr="00044B87" w:rsidRDefault="002D7528" w:rsidP="00044B87">
            <w:pPr>
              <w:spacing w:after="120"/>
              <w:rPr>
                <w:lang w:val="fr-FR"/>
              </w:rPr>
            </w:pPr>
            <w:r w:rsidRPr="00044B87">
              <w:rPr>
                <w:iCs/>
                <w:lang w:val="fr-FR"/>
              </w:rPr>
              <w:t xml:space="preserve">Droit à la vie; </w:t>
            </w:r>
            <w:r w:rsidRPr="00044B87">
              <w:rPr>
                <w:lang w:val="fr-FR"/>
              </w:rPr>
              <w:t xml:space="preserve">interdiction de la torture </w:t>
            </w:r>
            <w:r w:rsidR="00AB3490" w:rsidRPr="00044B87">
              <w:rPr>
                <w:lang w:val="fr-FR"/>
              </w:rPr>
              <w:br/>
            </w:r>
            <w:r w:rsidRPr="00044B87">
              <w:rPr>
                <w:lang w:val="fr-FR"/>
              </w:rPr>
              <w:t>et</w:t>
            </w:r>
            <w:r w:rsidR="00AB3490" w:rsidRPr="00044B87">
              <w:rPr>
                <w:lang w:val="fr-FR"/>
              </w:rPr>
              <w:t xml:space="preserve"> des </w:t>
            </w:r>
            <w:r w:rsidRPr="00044B87">
              <w:rPr>
                <w:lang w:val="fr-FR"/>
              </w:rPr>
              <w:t xml:space="preserve">traitements cruels et inhumains; </w:t>
            </w:r>
            <w:r w:rsidR="00AB3490" w:rsidRPr="00044B87">
              <w:rPr>
                <w:lang w:val="fr-FR"/>
              </w:rPr>
              <w:br/>
              <w:t xml:space="preserve">droit à la </w:t>
            </w:r>
            <w:r w:rsidRPr="00044B87">
              <w:rPr>
                <w:lang w:val="fr-FR"/>
              </w:rPr>
              <w:t>liberté et à la</w:t>
            </w:r>
            <w:r w:rsidR="00AB3490" w:rsidRPr="00044B87">
              <w:rPr>
                <w:lang w:val="fr-FR"/>
              </w:rPr>
              <w:t xml:space="preserve"> sécurité de la personne; droit </w:t>
            </w:r>
            <w:r w:rsidRPr="00044B87">
              <w:rPr>
                <w:lang w:val="fr-FR"/>
              </w:rPr>
              <w:t>à un procès équitable: principe de non</w:t>
            </w:r>
            <w:r w:rsidRPr="00044B87">
              <w:rPr>
                <w:lang w:val="fr-FR"/>
              </w:rPr>
              <w:noBreakHyphen/>
              <w:t>rétroactivité; protection contre l’immixtion illégale dans la famille</w:t>
            </w:r>
          </w:p>
        </w:tc>
      </w:tr>
      <w:tr w:rsidR="002D7528" w:rsidRPr="005B01E9" w:rsidTr="00044B87">
        <w:tc>
          <w:tcPr>
            <w:tcW w:w="2835" w:type="dxa"/>
            <w:shd w:val="clear" w:color="auto" w:fill="auto"/>
          </w:tcPr>
          <w:p w:rsidR="002D7528" w:rsidRPr="00044B87" w:rsidRDefault="002D7528" w:rsidP="00007A5A">
            <w:pPr>
              <w:rPr>
                <w:i/>
              </w:rPr>
            </w:pPr>
            <w:r w:rsidRPr="00044B87">
              <w:rPr>
                <w:i/>
              </w:rPr>
              <w:t>Question(s) de procédure</w:t>
            </w:r>
            <w:r w:rsidRPr="005B01E9">
              <w:t>:</w:t>
            </w:r>
          </w:p>
        </w:tc>
        <w:tc>
          <w:tcPr>
            <w:tcW w:w="3969" w:type="dxa"/>
            <w:shd w:val="clear" w:color="auto" w:fill="auto"/>
          </w:tcPr>
          <w:p w:rsidR="002D7528" w:rsidRPr="005B01E9" w:rsidRDefault="002D7528" w:rsidP="00044B87">
            <w:pPr>
              <w:spacing w:after="120"/>
            </w:pPr>
            <w:r w:rsidRPr="00044B87">
              <w:rPr>
                <w:iCs/>
                <w:lang w:val="fr-FR"/>
              </w:rPr>
              <w:t>Défaut de coopération de l’État partie</w:t>
            </w:r>
          </w:p>
        </w:tc>
      </w:tr>
      <w:tr w:rsidR="002D7528" w:rsidRPr="005B01E9" w:rsidTr="00044B87">
        <w:tc>
          <w:tcPr>
            <w:tcW w:w="2835" w:type="dxa"/>
            <w:shd w:val="clear" w:color="auto" w:fill="auto"/>
          </w:tcPr>
          <w:p w:rsidR="002D7528" w:rsidRPr="00044B87" w:rsidRDefault="002D7528" w:rsidP="00007A5A">
            <w:pPr>
              <w:rPr>
                <w:i/>
              </w:rPr>
            </w:pPr>
            <w:r w:rsidRPr="00044B87">
              <w:rPr>
                <w:i/>
              </w:rPr>
              <w:t>Article(s) du Pacte</w:t>
            </w:r>
            <w:r w:rsidRPr="005B01E9">
              <w:t>:</w:t>
            </w:r>
          </w:p>
        </w:tc>
        <w:tc>
          <w:tcPr>
            <w:tcW w:w="3969" w:type="dxa"/>
            <w:shd w:val="clear" w:color="auto" w:fill="auto"/>
            <w:vAlign w:val="bottom"/>
          </w:tcPr>
          <w:p w:rsidR="002D7528" w:rsidRPr="005B01E9" w:rsidRDefault="002D7528" w:rsidP="00044B87">
            <w:pPr>
              <w:spacing w:after="120"/>
            </w:pPr>
            <w:r w:rsidRPr="00044B87">
              <w:rPr>
                <w:lang w:val="fr-FR"/>
              </w:rPr>
              <w:t>6 (par. 1), 7, 9, 14 (par. 1 et 5), 15 et 17</w:t>
            </w:r>
          </w:p>
        </w:tc>
      </w:tr>
      <w:tr w:rsidR="002D7528" w:rsidRPr="005B01E9" w:rsidTr="00044B87">
        <w:tc>
          <w:tcPr>
            <w:tcW w:w="2835" w:type="dxa"/>
            <w:shd w:val="clear" w:color="auto" w:fill="auto"/>
          </w:tcPr>
          <w:p w:rsidR="002D7528" w:rsidRPr="00044B87" w:rsidRDefault="002D7528" w:rsidP="00007A5A">
            <w:pPr>
              <w:rPr>
                <w:i/>
              </w:rPr>
            </w:pPr>
            <w:r w:rsidRPr="00044B87">
              <w:rPr>
                <w:i/>
              </w:rPr>
              <w:t>Article(s) du Protocole facultatif</w:t>
            </w:r>
            <w:r w:rsidRPr="005B01E9">
              <w:t>:</w:t>
            </w:r>
          </w:p>
        </w:tc>
        <w:tc>
          <w:tcPr>
            <w:tcW w:w="3969" w:type="dxa"/>
            <w:shd w:val="clear" w:color="auto" w:fill="auto"/>
            <w:vAlign w:val="bottom"/>
          </w:tcPr>
          <w:p w:rsidR="002D7528" w:rsidRPr="005B01E9" w:rsidRDefault="002D7528" w:rsidP="00044B87">
            <w:pPr>
              <w:spacing w:after="120"/>
            </w:pPr>
            <w:r w:rsidRPr="00044B87">
              <w:rPr>
                <w:lang w:val="fr-FR"/>
              </w:rPr>
              <w:t>5 (par. 2 a))</w:t>
            </w:r>
          </w:p>
        </w:tc>
      </w:tr>
    </w:tbl>
    <w:p w:rsidR="002D7528" w:rsidRPr="005B01E9" w:rsidRDefault="002D7528" w:rsidP="00072CB2">
      <w:pPr>
        <w:pStyle w:val="HChG"/>
        <w:spacing w:before="320" w:line="280" w:lineRule="exact"/>
      </w:pPr>
      <w:r w:rsidRPr="005B01E9">
        <w:br w:type="page"/>
        <w:t>Annexe</w:t>
      </w:r>
    </w:p>
    <w:p w:rsidR="002D7528" w:rsidRPr="005B01E9" w:rsidRDefault="002D7528" w:rsidP="00072CB2">
      <w:pPr>
        <w:pStyle w:val="HChG"/>
        <w:spacing w:before="320" w:line="280" w:lineRule="exact"/>
      </w:pPr>
      <w:r w:rsidRPr="005B01E9">
        <w:tab/>
      </w:r>
      <w:r w:rsidRPr="005B01E9">
        <w:tab/>
      </w:r>
      <w:r w:rsidRPr="00BF6F4D">
        <w:t>Constatations du Comité des droits de l’homme au titre du paragraphe 4 de l’article 5 du Protocole facultatif se rapportant au Pacte international relatif</w:t>
      </w:r>
      <w:r>
        <w:t xml:space="preserve"> </w:t>
      </w:r>
      <w:r w:rsidRPr="00BF6F4D">
        <w:t>aux droits civils et politiques (</w:t>
      </w:r>
      <w:r>
        <w:t>112</w:t>
      </w:r>
      <w:r w:rsidRPr="00F967F2">
        <w:rPr>
          <w:vertAlign w:val="superscript"/>
        </w:rPr>
        <w:t>e</w:t>
      </w:r>
      <w:r>
        <w:t> </w:t>
      </w:r>
      <w:r w:rsidRPr="00D839AB">
        <w:t>session</w:t>
      </w:r>
      <w:r w:rsidRPr="00BF6F4D">
        <w:t>)</w:t>
      </w:r>
    </w:p>
    <w:p w:rsidR="002D7528" w:rsidRPr="005B01E9" w:rsidRDefault="002D7528" w:rsidP="002D7528">
      <w:pPr>
        <w:pStyle w:val="SingleTxtG"/>
      </w:pPr>
      <w:r w:rsidRPr="005B01E9">
        <w:t>concernant la</w:t>
      </w:r>
    </w:p>
    <w:p w:rsidR="002D7528" w:rsidRPr="005B01E9" w:rsidRDefault="002D7528" w:rsidP="00072CB2">
      <w:pPr>
        <w:pStyle w:val="H1G"/>
        <w:spacing w:before="320" w:line="250" w:lineRule="exact"/>
      </w:pPr>
      <w:r w:rsidRPr="005B01E9">
        <w:tab/>
      </w:r>
      <w:r w:rsidRPr="005B01E9">
        <w:tab/>
        <w:t xml:space="preserve">Communication </w:t>
      </w:r>
      <w:r w:rsidRPr="005B01E9">
        <w:rPr>
          <w:rFonts w:eastAsia="MS Mincho"/>
        </w:rPr>
        <w:t>n</w:t>
      </w:r>
      <w:r w:rsidRPr="005B01E9">
        <w:rPr>
          <w:rFonts w:eastAsia="MS Mincho"/>
          <w:vertAlign w:val="superscript"/>
        </w:rPr>
        <w:t>o</w:t>
      </w:r>
      <w:r>
        <w:t> </w:t>
      </w:r>
      <w:r w:rsidRPr="00A63054">
        <w:rPr>
          <w:lang w:val="fr-FR"/>
        </w:rPr>
        <w:t>2069/2011</w:t>
      </w:r>
      <w:r w:rsidR="00570761" w:rsidRPr="00570761">
        <w:rPr>
          <w:rStyle w:val="FootnoteReference"/>
          <w:b w:val="0"/>
          <w:sz w:val="20"/>
          <w:vertAlign w:val="baseline"/>
        </w:rPr>
        <w:footnoteReference w:customMarkFollows="1" w:id="2"/>
        <w:t>*</w:t>
      </w:r>
    </w:p>
    <w:tbl>
      <w:tblPr>
        <w:tblW w:w="6804" w:type="dxa"/>
        <w:tblInd w:w="1701" w:type="dxa"/>
        <w:tblLayout w:type="fixed"/>
        <w:tblCellMar>
          <w:left w:w="0" w:type="dxa"/>
          <w:right w:w="0" w:type="dxa"/>
        </w:tblCellMar>
        <w:tblLook w:val="01E0"/>
      </w:tblPr>
      <w:tblGrid>
        <w:gridCol w:w="2410"/>
        <w:gridCol w:w="4394"/>
      </w:tblGrid>
      <w:tr w:rsidR="002D7528" w:rsidRPr="005B01E9" w:rsidTr="00044B87">
        <w:tc>
          <w:tcPr>
            <w:tcW w:w="2410" w:type="dxa"/>
            <w:shd w:val="clear" w:color="auto" w:fill="auto"/>
          </w:tcPr>
          <w:p w:rsidR="002D7528" w:rsidRPr="00044B87" w:rsidRDefault="002D7528" w:rsidP="00044B87">
            <w:pPr>
              <w:spacing w:after="120"/>
              <w:rPr>
                <w:i/>
              </w:rPr>
            </w:pPr>
            <w:r w:rsidRPr="00044B87">
              <w:rPr>
                <w:i/>
              </w:rPr>
              <w:t>Présentée par</w:t>
            </w:r>
            <w:r w:rsidRPr="005B01E9">
              <w:t>:</w:t>
            </w:r>
          </w:p>
        </w:tc>
        <w:tc>
          <w:tcPr>
            <w:tcW w:w="4394" w:type="dxa"/>
            <w:shd w:val="clear" w:color="auto" w:fill="auto"/>
          </w:tcPr>
          <w:p w:rsidR="002D7528" w:rsidRPr="005B01E9" w:rsidRDefault="002D7528" w:rsidP="00044B87">
            <w:pPr>
              <w:spacing w:after="120"/>
            </w:pPr>
            <w:r w:rsidRPr="00044B87">
              <w:rPr>
                <w:lang w:val="fr-FR"/>
              </w:rPr>
              <w:t>Tatiana Shikhmuradova au nom de son mari, Boris</w:t>
            </w:r>
            <w:r w:rsidR="00647A24" w:rsidRPr="00044B87">
              <w:rPr>
                <w:lang w:val="fr-FR"/>
              </w:rPr>
              <w:t> </w:t>
            </w:r>
            <w:r w:rsidRPr="00044B87">
              <w:rPr>
                <w:lang w:val="fr-FR"/>
              </w:rPr>
              <w:t>Shikhmuradov (non représentée par un conseil)</w:t>
            </w:r>
          </w:p>
        </w:tc>
      </w:tr>
      <w:tr w:rsidR="002D7528" w:rsidRPr="005B01E9" w:rsidTr="00044B87">
        <w:tc>
          <w:tcPr>
            <w:tcW w:w="2410" w:type="dxa"/>
            <w:shd w:val="clear" w:color="auto" w:fill="auto"/>
          </w:tcPr>
          <w:p w:rsidR="002D7528" w:rsidRPr="00044B87" w:rsidRDefault="002D7528" w:rsidP="00044B87">
            <w:pPr>
              <w:spacing w:after="120"/>
              <w:rPr>
                <w:i/>
              </w:rPr>
            </w:pPr>
            <w:r w:rsidRPr="00044B87">
              <w:rPr>
                <w:i/>
              </w:rPr>
              <w:t>Au nom de</w:t>
            </w:r>
            <w:r w:rsidRPr="005B01E9">
              <w:t>:</w:t>
            </w:r>
          </w:p>
        </w:tc>
        <w:tc>
          <w:tcPr>
            <w:tcW w:w="4394" w:type="dxa"/>
            <w:shd w:val="clear" w:color="auto" w:fill="auto"/>
          </w:tcPr>
          <w:p w:rsidR="002D7528" w:rsidRPr="005B01E9" w:rsidRDefault="002D7528" w:rsidP="00044B87">
            <w:pPr>
              <w:spacing w:after="120"/>
            </w:pPr>
            <w:r w:rsidRPr="00044B87">
              <w:rPr>
                <w:lang w:val="fr-FR"/>
              </w:rPr>
              <w:t>L’auteure et son mari</w:t>
            </w:r>
          </w:p>
        </w:tc>
      </w:tr>
      <w:tr w:rsidR="002D7528" w:rsidRPr="005B01E9" w:rsidTr="00044B87">
        <w:tc>
          <w:tcPr>
            <w:tcW w:w="2410" w:type="dxa"/>
            <w:shd w:val="clear" w:color="auto" w:fill="auto"/>
          </w:tcPr>
          <w:p w:rsidR="002D7528" w:rsidRPr="00044B87" w:rsidRDefault="002D7528" w:rsidP="00044B87">
            <w:pPr>
              <w:spacing w:after="120"/>
              <w:rPr>
                <w:i/>
              </w:rPr>
            </w:pPr>
            <w:r w:rsidRPr="00044B87">
              <w:rPr>
                <w:i/>
              </w:rPr>
              <w:t>État partie</w:t>
            </w:r>
            <w:r w:rsidRPr="005B01E9">
              <w:t>:</w:t>
            </w:r>
          </w:p>
        </w:tc>
        <w:tc>
          <w:tcPr>
            <w:tcW w:w="4394" w:type="dxa"/>
            <w:shd w:val="clear" w:color="auto" w:fill="auto"/>
          </w:tcPr>
          <w:p w:rsidR="002D7528" w:rsidRPr="005B01E9" w:rsidRDefault="002D7528" w:rsidP="00044B87">
            <w:pPr>
              <w:spacing w:after="120"/>
            </w:pPr>
            <w:r w:rsidRPr="00044B87">
              <w:rPr>
                <w:lang w:val="fr-FR"/>
              </w:rPr>
              <w:t>Turkménistan</w:t>
            </w:r>
          </w:p>
        </w:tc>
      </w:tr>
      <w:tr w:rsidR="002D7528" w:rsidRPr="005B01E9" w:rsidTr="00044B87">
        <w:tc>
          <w:tcPr>
            <w:tcW w:w="2410" w:type="dxa"/>
            <w:shd w:val="clear" w:color="auto" w:fill="auto"/>
          </w:tcPr>
          <w:p w:rsidR="002D7528" w:rsidRPr="00044B87" w:rsidRDefault="002D7528" w:rsidP="00044B87">
            <w:pPr>
              <w:spacing w:after="240"/>
              <w:rPr>
                <w:i/>
              </w:rPr>
            </w:pPr>
            <w:r w:rsidRPr="00044B87">
              <w:rPr>
                <w:i/>
              </w:rPr>
              <w:t>Date de la communication</w:t>
            </w:r>
            <w:r w:rsidRPr="005B01E9">
              <w:t>:</w:t>
            </w:r>
          </w:p>
        </w:tc>
        <w:tc>
          <w:tcPr>
            <w:tcW w:w="4394" w:type="dxa"/>
            <w:shd w:val="clear" w:color="auto" w:fill="auto"/>
          </w:tcPr>
          <w:p w:rsidR="002D7528" w:rsidRPr="005B01E9" w:rsidRDefault="002D7528" w:rsidP="00044B87">
            <w:pPr>
              <w:spacing w:after="120"/>
            </w:pPr>
            <w:r w:rsidRPr="00044B87">
              <w:rPr>
                <w:lang w:val="fr-FR"/>
              </w:rPr>
              <w:t>28 avril 2011</w:t>
            </w:r>
            <w:r w:rsidRPr="005B01E9">
              <w:t xml:space="preserve"> (date de la lettre initiale)</w:t>
            </w:r>
          </w:p>
        </w:tc>
      </w:tr>
    </w:tbl>
    <w:p w:rsidR="002D7528" w:rsidRPr="00BF6F4D" w:rsidRDefault="002D7528" w:rsidP="00072CB2">
      <w:pPr>
        <w:pStyle w:val="SingleTxtG"/>
        <w:spacing w:after="100"/>
        <w:ind w:firstLine="567"/>
      </w:pPr>
      <w:r w:rsidRPr="00BF6F4D">
        <w:rPr>
          <w:i/>
        </w:rPr>
        <w:t>Le Comité des droits de l’homme</w:t>
      </w:r>
      <w:r w:rsidRPr="00BF6F4D">
        <w:t>, institué en vertu de l’article 28 du Pacte international relatif aux droits civils et politiques,</w:t>
      </w:r>
    </w:p>
    <w:p w:rsidR="002D7528" w:rsidRPr="00BF6F4D" w:rsidRDefault="002D7528" w:rsidP="00072CB2">
      <w:pPr>
        <w:pStyle w:val="SingleTxtG"/>
        <w:spacing w:after="100"/>
        <w:ind w:firstLine="567"/>
      </w:pPr>
      <w:r w:rsidRPr="00BF6F4D">
        <w:rPr>
          <w:i/>
          <w:iCs/>
        </w:rPr>
        <w:t xml:space="preserve">Réuni le </w:t>
      </w:r>
      <w:r w:rsidRPr="009106F1">
        <w:rPr>
          <w:iCs/>
        </w:rPr>
        <w:t xml:space="preserve">17 </w:t>
      </w:r>
      <w:r>
        <w:rPr>
          <w:iCs/>
        </w:rPr>
        <w:t>octobre 2014</w:t>
      </w:r>
      <w:r w:rsidRPr="00BF6F4D">
        <w:t>,</w:t>
      </w:r>
    </w:p>
    <w:p w:rsidR="002D7528" w:rsidRPr="00BF6F4D" w:rsidRDefault="002D7528" w:rsidP="00072CB2">
      <w:pPr>
        <w:pStyle w:val="SingleTxtG"/>
        <w:spacing w:after="100"/>
        <w:ind w:firstLine="567"/>
      </w:pPr>
      <w:r w:rsidRPr="00D839AB">
        <w:rPr>
          <w:i/>
          <w:iCs/>
        </w:rPr>
        <w:t>Ayant achevé</w:t>
      </w:r>
      <w:r w:rsidRPr="00D839AB">
        <w:t xml:space="preserve"> l</w:t>
      </w:r>
      <w:r>
        <w:t xml:space="preserve">’examen de la communication </w:t>
      </w:r>
      <w:r w:rsidRPr="00C14D2A">
        <w:t>n</w:t>
      </w:r>
      <w:r w:rsidRPr="00C14D2A">
        <w:rPr>
          <w:vertAlign w:val="superscript"/>
        </w:rPr>
        <w:t>o</w:t>
      </w:r>
      <w:r>
        <w:t xml:space="preserve"> 2069/2011 </w:t>
      </w:r>
      <w:r w:rsidRPr="00D839AB">
        <w:t xml:space="preserve">présentée </w:t>
      </w:r>
      <w:r>
        <w:t xml:space="preserve">par </w:t>
      </w:r>
      <w:r>
        <w:rPr>
          <w:lang w:val="fr-FR"/>
        </w:rPr>
        <w:t>Tatiana Shikhm</w:t>
      </w:r>
      <w:r w:rsidRPr="00A63054">
        <w:rPr>
          <w:lang w:val="fr-FR"/>
        </w:rPr>
        <w:t>uradov</w:t>
      </w:r>
      <w:r>
        <w:rPr>
          <w:lang w:val="fr-FR"/>
        </w:rPr>
        <w:t>a au nom de son mari, Boris Shikhm</w:t>
      </w:r>
      <w:r w:rsidRPr="00A63054">
        <w:rPr>
          <w:lang w:val="fr-FR"/>
        </w:rPr>
        <w:t>uradov,</w:t>
      </w:r>
      <w:r>
        <w:rPr>
          <w:lang w:val="fr-FR"/>
        </w:rPr>
        <w:t xml:space="preserve"> </w:t>
      </w:r>
      <w:r w:rsidRPr="00D839AB">
        <w:t>en vertu du Protocole facultatif se rapportant au Pacte international relatif aux droits civils et politiques,</w:t>
      </w:r>
    </w:p>
    <w:p w:rsidR="002D7528" w:rsidRPr="00BF6F4D" w:rsidRDefault="002D7528" w:rsidP="00072CB2">
      <w:pPr>
        <w:pStyle w:val="SingleTxtG"/>
        <w:spacing w:after="100"/>
        <w:ind w:firstLine="567"/>
      </w:pPr>
      <w:r w:rsidRPr="000F0BAE">
        <w:rPr>
          <w:i/>
        </w:rPr>
        <w:t>Ayant</w:t>
      </w:r>
      <w:r w:rsidRPr="00D839AB">
        <w:rPr>
          <w:i/>
          <w:iCs/>
        </w:rPr>
        <w:t xml:space="preserve"> tenu compte</w:t>
      </w:r>
      <w:r w:rsidRPr="00D839AB">
        <w:t xml:space="preserve"> de toutes les informations écrites qui lui ont été communiquées par </w:t>
      </w:r>
      <w:r>
        <w:t xml:space="preserve">l’auteure </w:t>
      </w:r>
      <w:r w:rsidRPr="00D839AB">
        <w:t>de la communication et l</w:t>
      </w:r>
      <w:r>
        <w:t>’</w:t>
      </w:r>
      <w:r w:rsidRPr="00D839AB">
        <w:t>État partie,</w:t>
      </w:r>
    </w:p>
    <w:p w:rsidR="002D7528" w:rsidRPr="00BF6F4D" w:rsidRDefault="002D7528" w:rsidP="00072CB2">
      <w:pPr>
        <w:pStyle w:val="SingleTxtG"/>
        <w:spacing w:after="100"/>
        <w:ind w:firstLine="567"/>
      </w:pPr>
      <w:r w:rsidRPr="000F0BAE">
        <w:rPr>
          <w:i/>
        </w:rPr>
        <w:t>Adopte</w:t>
      </w:r>
      <w:r w:rsidRPr="00BF6F4D">
        <w:t xml:space="preserve"> ce qui suit:</w:t>
      </w:r>
    </w:p>
    <w:p w:rsidR="002D7528" w:rsidRPr="00BF6F4D" w:rsidRDefault="002D7528" w:rsidP="000F0BAE">
      <w:pPr>
        <w:pStyle w:val="H1G"/>
      </w:pPr>
      <w:r w:rsidRPr="00BF6F4D">
        <w:tab/>
      </w:r>
      <w:r w:rsidRPr="00BF6F4D">
        <w:tab/>
        <w:t>Constatations au titre du paragraphe 4 de l’article 5</w:t>
      </w:r>
      <w:r>
        <w:br/>
      </w:r>
      <w:r w:rsidRPr="00BF6F4D">
        <w:t>du Protocole facultatif</w:t>
      </w:r>
    </w:p>
    <w:p w:rsidR="002D7528" w:rsidRPr="00072CB2" w:rsidRDefault="002D7528" w:rsidP="00072CB2">
      <w:pPr>
        <w:pStyle w:val="SingleTxtG"/>
        <w:spacing w:after="100" w:line="220" w:lineRule="atLeast"/>
        <w:rPr>
          <w:spacing w:val="-2"/>
          <w:lang w:val="fr-FR"/>
        </w:rPr>
      </w:pPr>
      <w:r w:rsidRPr="00072CB2">
        <w:rPr>
          <w:spacing w:val="-2"/>
          <w:lang w:val="fr-FR"/>
        </w:rPr>
        <w:t>1.</w:t>
      </w:r>
      <w:r w:rsidRPr="00072CB2">
        <w:rPr>
          <w:spacing w:val="-2"/>
          <w:lang w:val="fr-FR"/>
        </w:rPr>
        <w:tab/>
        <w:t>L’auteure de la communication, datée du 28 avril 2011, est Tatiana Shikhmuradova, de nationalité russe. Elle soumet la communication au nom de son mari, Boris Shikhmuradov, lui aussi de nationalité russe, né en 1949. Elle affirme qu’elle n’a eu aucun contact avec son mari depuis que celui-ci a été emprisonné en 2002 au Turkménistan et que l’on ignore où il se trouve actuellement. Elle invoque des violations par le Turkménistan des droits garantis à son mari par l’article 6 (par.</w:t>
      </w:r>
      <w:r w:rsidR="009873DF" w:rsidRPr="00072CB2">
        <w:rPr>
          <w:spacing w:val="-2"/>
          <w:lang w:val="fr-FR"/>
        </w:rPr>
        <w:t> </w:t>
      </w:r>
      <w:r w:rsidRPr="00072CB2">
        <w:rPr>
          <w:spacing w:val="-2"/>
          <w:lang w:val="fr-FR"/>
        </w:rPr>
        <w:t>1), l’article 7, l’article 9, l’article 14 (par.</w:t>
      </w:r>
      <w:r w:rsidR="009873DF" w:rsidRPr="00072CB2">
        <w:rPr>
          <w:spacing w:val="-2"/>
          <w:lang w:val="fr-FR"/>
        </w:rPr>
        <w:t> </w:t>
      </w:r>
      <w:r w:rsidRPr="00072CB2">
        <w:rPr>
          <w:spacing w:val="-2"/>
          <w:lang w:val="fr-FR"/>
        </w:rPr>
        <w:t>1 et 5) et l’article 15 du</w:t>
      </w:r>
      <w:r w:rsidR="00072CB2">
        <w:rPr>
          <w:spacing w:val="-2"/>
          <w:lang w:val="fr-FR"/>
        </w:rPr>
        <w:t> </w:t>
      </w:r>
      <w:r w:rsidRPr="00072CB2">
        <w:rPr>
          <w:spacing w:val="-2"/>
          <w:lang w:val="fr-FR"/>
        </w:rPr>
        <w:t>Pacte, et des droits qu’elle-même tient des articles 7 et 17 du</w:t>
      </w:r>
      <w:r w:rsidR="00072CB2" w:rsidRPr="00072CB2">
        <w:rPr>
          <w:spacing w:val="-2"/>
          <w:lang w:val="fr-FR"/>
        </w:rPr>
        <w:t> </w:t>
      </w:r>
      <w:r w:rsidRPr="00072CB2">
        <w:rPr>
          <w:spacing w:val="-2"/>
          <w:lang w:val="fr-FR"/>
        </w:rPr>
        <w:t>Pacte. Le Protocole facultatif est entré en vigueur pour le Turkménistan le 1</w:t>
      </w:r>
      <w:r w:rsidRPr="00072CB2">
        <w:rPr>
          <w:spacing w:val="-2"/>
          <w:vertAlign w:val="superscript"/>
          <w:lang w:val="fr-FR"/>
        </w:rPr>
        <w:t>er</w:t>
      </w:r>
      <w:r w:rsidRPr="00072CB2">
        <w:rPr>
          <w:spacing w:val="-2"/>
          <w:lang w:val="fr-FR"/>
        </w:rPr>
        <w:t> août 1997. L’auteure n’est pas représentée par un conseil.</w:t>
      </w:r>
    </w:p>
    <w:p w:rsidR="002D7528" w:rsidRPr="00A63054" w:rsidRDefault="002D7528" w:rsidP="00057895">
      <w:pPr>
        <w:pStyle w:val="H23G"/>
        <w:rPr>
          <w:lang w:val="fr-FR"/>
        </w:rPr>
      </w:pPr>
      <w:r w:rsidRPr="00A63054">
        <w:rPr>
          <w:lang w:val="fr-FR"/>
        </w:rPr>
        <w:tab/>
      </w:r>
      <w:r w:rsidRPr="00A63054">
        <w:rPr>
          <w:lang w:val="fr-FR"/>
        </w:rPr>
        <w:tab/>
        <w:t xml:space="preserve">Rappel des faits </w:t>
      </w:r>
      <w:r w:rsidRPr="00A63054">
        <w:rPr>
          <w:szCs w:val="24"/>
        </w:rPr>
        <w:t>présentés</w:t>
      </w:r>
      <w:r w:rsidRPr="00A63054">
        <w:rPr>
          <w:lang w:val="fr-FR"/>
        </w:rPr>
        <w:t xml:space="preserve"> </w:t>
      </w:r>
      <w:r w:rsidRPr="007B3F90">
        <w:t>par</w:t>
      </w:r>
      <w:r w:rsidRPr="00A63054">
        <w:rPr>
          <w:lang w:val="fr-FR"/>
        </w:rPr>
        <w:t xml:space="preserve"> l</w:t>
      </w:r>
      <w:r>
        <w:rPr>
          <w:lang w:val="fr-FR"/>
        </w:rPr>
        <w:t>’</w:t>
      </w:r>
      <w:r w:rsidRPr="00A63054">
        <w:rPr>
          <w:lang w:val="fr-FR"/>
        </w:rPr>
        <w:t>auteure</w:t>
      </w:r>
    </w:p>
    <w:p w:rsidR="002D7528" w:rsidRPr="00A63054" w:rsidRDefault="002D7528" w:rsidP="00057895">
      <w:pPr>
        <w:pStyle w:val="SingleTxtG"/>
        <w:rPr>
          <w:lang w:val="fr-FR"/>
        </w:rPr>
      </w:pPr>
      <w:r w:rsidRPr="00A63054">
        <w:rPr>
          <w:lang w:val="fr-FR"/>
        </w:rPr>
        <w:t>2.1</w:t>
      </w:r>
      <w:r w:rsidRPr="00A63054">
        <w:rPr>
          <w:lang w:val="fr-FR"/>
        </w:rPr>
        <w:tab/>
        <w:t>M.</w:t>
      </w:r>
      <w:r>
        <w:rPr>
          <w:lang w:val="fr-FR"/>
        </w:rPr>
        <w:t> Shikhm</w:t>
      </w:r>
      <w:r w:rsidRPr="00A63054">
        <w:rPr>
          <w:lang w:val="fr-FR"/>
        </w:rPr>
        <w:t xml:space="preserve">uradov a </w:t>
      </w:r>
      <w:r>
        <w:rPr>
          <w:lang w:val="fr-FR"/>
        </w:rPr>
        <w:t xml:space="preserve">exercé </w:t>
      </w:r>
      <w:r w:rsidRPr="00A63054">
        <w:rPr>
          <w:lang w:val="fr-FR"/>
        </w:rPr>
        <w:t xml:space="preserve">à </w:t>
      </w:r>
      <w:r>
        <w:rPr>
          <w:lang w:val="fr-FR"/>
        </w:rPr>
        <w:t xml:space="preserve">diverses </w:t>
      </w:r>
      <w:r w:rsidRPr="00A63054">
        <w:rPr>
          <w:lang w:val="fr-FR"/>
        </w:rPr>
        <w:t>reprises les fonctions de Vice</w:t>
      </w:r>
      <w:r w:rsidR="0080677D">
        <w:rPr>
          <w:lang w:val="fr-FR"/>
        </w:rPr>
        <w:noBreakHyphen/>
      </w:r>
      <w:r w:rsidRPr="00A63054">
        <w:rPr>
          <w:lang w:val="fr-FR"/>
        </w:rPr>
        <w:t>Premier Ministre du Turkménistan, de Ministre des affaires étrangères du Turkménistan et d</w:t>
      </w:r>
      <w:r>
        <w:rPr>
          <w:lang w:val="fr-FR"/>
        </w:rPr>
        <w:t>’A</w:t>
      </w:r>
      <w:r w:rsidRPr="00A63054">
        <w:rPr>
          <w:lang w:val="fr-FR"/>
        </w:rPr>
        <w:t xml:space="preserve">mbassadeur extraordinaire et plénipotentiaire du Turkménistan en République populaire de Chine. Le </w:t>
      </w:r>
      <w:r>
        <w:rPr>
          <w:lang w:val="fr-FR"/>
        </w:rPr>
        <w:t>11 </w:t>
      </w:r>
      <w:r w:rsidRPr="00A63054">
        <w:rPr>
          <w:lang w:val="fr-FR"/>
        </w:rPr>
        <w:t>octobre 2001, il est arrivé à Moscou en provenance de Beijing et, quelques jours plus tard, a été invité à se rendre à Achga</w:t>
      </w:r>
      <w:r w:rsidR="0080677D">
        <w:rPr>
          <w:lang w:val="fr-FR"/>
        </w:rPr>
        <w:t xml:space="preserve">bat pour célébrer la Journée de </w:t>
      </w:r>
      <w:r w:rsidRPr="00A63054">
        <w:rPr>
          <w:lang w:val="fr-FR"/>
        </w:rPr>
        <w:t>l</w:t>
      </w:r>
      <w:r>
        <w:rPr>
          <w:lang w:val="fr-FR"/>
        </w:rPr>
        <w:t>’</w:t>
      </w:r>
      <w:r w:rsidRPr="00A63054">
        <w:rPr>
          <w:lang w:val="fr-FR"/>
        </w:rPr>
        <w:t xml:space="preserve">indépendance du Turkménistan, le </w:t>
      </w:r>
      <w:r>
        <w:rPr>
          <w:lang w:val="fr-FR"/>
        </w:rPr>
        <w:t>27 </w:t>
      </w:r>
      <w:r w:rsidRPr="00A63054">
        <w:rPr>
          <w:lang w:val="fr-FR"/>
        </w:rPr>
        <w:t xml:space="preserve">octobre 2001. Cependant, il </w:t>
      </w:r>
      <w:r w:rsidR="0080677D">
        <w:rPr>
          <w:lang w:val="fr-FR"/>
        </w:rPr>
        <w:t xml:space="preserve">a été hospitalisé à </w:t>
      </w:r>
      <w:r w:rsidRPr="00A63054">
        <w:rPr>
          <w:lang w:val="fr-FR"/>
        </w:rPr>
        <w:t>l</w:t>
      </w:r>
      <w:r>
        <w:rPr>
          <w:lang w:val="fr-FR"/>
        </w:rPr>
        <w:t>’</w:t>
      </w:r>
      <w:r w:rsidRPr="00A63054">
        <w:rPr>
          <w:lang w:val="fr-FR"/>
        </w:rPr>
        <w:t xml:space="preserve">hôpital central de Moscou pour une suspicion de thrombose des </w:t>
      </w:r>
      <w:r>
        <w:rPr>
          <w:lang w:val="fr-FR"/>
        </w:rPr>
        <w:t xml:space="preserve">membres </w:t>
      </w:r>
      <w:r w:rsidRPr="00A63054">
        <w:rPr>
          <w:lang w:val="fr-FR"/>
        </w:rPr>
        <w:t xml:space="preserve">inférieurs. </w:t>
      </w:r>
      <w:r>
        <w:rPr>
          <w:lang w:val="fr-FR"/>
        </w:rPr>
        <w:t>Le M</w:t>
      </w:r>
      <w:r w:rsidRPr="00A63054">
        <w:rPr>
          <w:lang w:val="fr-FR"/>
        </w:rPr>
        <w:t>inistre</w:t>
      </w:r>
      <w:r>
        <w:rPr>
          <w:lang w:val="fr-FR"/>
        </w:rPr>
        <w:t xml:space="preserve"> C</w:t>
      </w:r>
      <w:r w:rsidRPr="00A63054">
        <w:rPr>
          <w:lang w:val="fr-FR"/>
        </w:rPr>
        <w:t>onseiller de l</w:t>
      </w:r>
      <w:r>
        <w:rPr>
          <w:lang w:val="fr-FR"/>
        </w:rPr>
        <w:t>’</w:t>
      </w:r>
      <w:r w:rsidR="000155E3" w:rsidRPr="00A63054">
        <w:rPr>
          <w:lang w:val="fr-FR"/>
        </w:rPr>
        <w:t>a</w:t>
      </w:r>
      <w:r w:rsidRPr="00A63054">
        <w:rPr>
          <w:lang w:val="fr-FR"/>
        </w:rPr>
        <w:t xml:space="preserve">mbassade du Turkménistan en Fédération de Russie </w:t>
      </w:r>
      <w:r>
        <w:rPr>
          <w:lang w:val="fr-FR"/>
        </w:rPr>
        <w:t xml:space="preserve">l’a alors invité à </w:t>
      </w:r>
      <w:r w:rsidRPr="00A63054">
        <w:rPr>
          <w:lang w:val="fr-FR"/>
        </w:rPr>
        <w:t xml:space="preserve">rédiger une déclaration expliquant les raisons de son absence </w:t>
      </w:r>
      <w:r>
        <w:rPr>
          <w:lang w:val="fr-FR"/>
        </w:rPr>
        <w:t>aux cérémonies. Au </w:t>
      </w:r>
      <w:r w:rsidRPr="00A63054">
        <w:rPr>
          <w:lang w:val="fr-FR"/>
        </w:rPr>
        <w:t xml:space="preserve">lieu de cela, </w:t>
      </w:r>
      <w:r>
        <w:rPr>
          <w:lang w:val="fr-FR"/>
        </w:rPr>
        <w:t xml:space="preserve">M. Shikhmuradov </w:t>
      </w:r>
      <w:r w:rsidRPr="00A63054">
        <w:rPr>
          <w:lang w:val="fr-FR"/>
        </w:rPr>
        <w:t>a écrit au Président Niya</w:t>
      </w:r>
      <w:r w:rsidR="0080677D">
        <w:rPr>
          <w:lang w:val="fr-FR"/>
        </w:rPr>
        <w:t xml:space="preserve">zov une lettre dans laquelle il </w:t>
      </w:r>
      <w:r w:rsidRPr="00A63054">
        <w:rPr>
          <w:lang w:val="fr-FR"/>
        </w:rPr>
        <w:t>donnait sa démission</w:t>
      </w:r>
      <w:r>
        <w:rPr>
          <w:lang w:val="fr-FR"/>
        </w:rPr>
        <w:t>, en l’expliquant</w:t>
      </w:r>
      <w:r w:rsidRPr="00A63054">
        <w:rPr>
          <w:lang w:val="fr-FR"/>
        </w:rPr>
        <w:t xml:space="preserve"> par le long traitement médical qu</w:t>
      </w:r>
      <w:r>
        <w:rPr>
          <w:lang w:val="fr-FR"/>
        </w:rPr>
        <w:t>’</w:t>
      </w:r>
      <w:r w:rsidRPr="00A63054">
        <w:rPr>
          <w:lang w:val="fr-FR"/>
        </w:rPr>
        <w:t xml:space="preserve">il </w:t>
      </w:r>
      <w:r>
        <w:rPr>
          <w:lang w:val="fr-FR"/>
        </w:rPr>
        <w:t xml:space="preserve">allait devoir </w:t>
      </w:r>
      <w:r w:rsidRPr="00A63054">
        <w:rPr>
          <w:lang w:val="fr-FR"/>
        </w:rPr>
        <w:t>subir, et il est resté à Moscou.</w:t>
      </w:r>
    </w:p>
    <w:p w:rsidR="002D7528" w:rsidRPr="00A63054" w:rsidRDefault="002D7528" w:rsidP="00057895">
      <w:pPr>
        <w:pStyle w:val="SingleTxtG"/>
        <w:rPr>
          <w:lang w:val="fr-FR"/>
        </w:rPr>
      </w:pPr>
      <w:r w:rsidRPr="00A63054">
        <w:rPr>
          <w:lang w:val="fr-FR"/>
        </w:rPr>
        <w:t>2.2</w:t>
      </w:r>
      <w:r w:rsidRPr="00A63054">
        <w:rPr>
          <w:lang w:val="fr-FR"/>
        </w:rPr>
        <w:tab/>
        <w:t>L</w:t>
      </w:r>
      <w:r>
        <w:rPr>
          <w:lang w:val="fr-FR"/>
        </w:rPr>
        <w:t>’</w:t>
      </w:r>
      <w:r w:rsidRPr="00A63054">
        <w:rPr>
          <w:lang w:val="fr-FR"/>
        </w:rPr>
        <w:t>auteure indique que, le 1</w:t>
      </w:r>
      <w:r w:rsidRPr="00A63054">
        <w:rPr>
          <w:vertAlign w:val="superscript"/>
          <w:lang w:val="fr-FR"/>
        </w:rPr>
        <w:t>er</w:t>
      </w:r>
      <w:r>
        <w:rPr>
          <w:lang w:val="fr-FR"/>
        </w:rPr>
        <w:t> </w:t>
      </w:r>
      <w:r w:rsidRPr="00A63054">
        <w:rPr>
          <w:lang w:val="fr-FR"/>
        </w:rPr>
        <w:t>novembre 2001, M.</w:t>
      </w:r>
      <w:r>
        <w:rPr>
          <w:lang w:val="fr-FR"/>
        </w:rPr>
        <w:t> Shikhm</w:t>
      </w:r>
      <w:r w:rsidRPr="00A63054">
        <w:rPr>
          <w:lang w:val="fr-FR"/>
        </w:rPr>
        <w:t xml:space="preserve">uradov a </w:t>
      </w:r>
      <w:r>
        <w:rPr>
          <w:lang w:val="fr-FR"/>
        </w:rPr>
        <w:t xml:space="preserve">fait diffuser </w:t>
      </w:r>
      <w:r w:rsidRPr="00A63054">
        <w:rPr>
          <w:lang w:val="fr-FR"/>
        </w:rPr>
        <w:t xml:space="preserve">dans les médias russes une déclaration officielle </w:t>
      </w:r>
      <w:r>
        <w:rPr>
          <w:lang w:val="fr-FR"/>
        </w:rPr>
        <w:t xml:space="preserve">annonçant </w:t>
      </w:r>
      <w:r w:rsidRPr="00A63054">
        <w:rPr>
          <w:lang w:val="fr-FR"/>
        </w:rPr>
        <w:t xml:space="preserve">son intention de créer un mouvement </w:t>
      </w:r>
      <w:r>
        <w:rPr>
          <w:lang w:val="fr-FR"/>
        </w:rPr>
        <w:t xml:space="preserve">ouvert et démocratique </w:t>
      </w:r>
      <w:r w:rsidRPr="00A63054">
        <w:rPr>
          <w:lang w:val="fr-FR"/>
        </w:rPr>
        <w:t>d</w:t>
      </w:r>
      <w:r>
        <w:rPr>
          <w:lang w:val="fr-FR"/>
        </w:rPr>
        <w:t>’</w:t>
      </w:r>
      <w:r w:rsidRPr="00A63054">
        <w:rPr>
          <w:lang w:val="fr-FR"/>
        </w:rPr>
        <w:t>opposition au régime en place au Turkménistan</w:t>
      </w:r>
      <w:r>
        <w:rPr>
          <w:lang w:val="fr-FR"/>
        </w:rPr>
        <w:t>,</w:t>
      </w:r>
      <w:r w:rsidRPr="00A63054">
        <w:rPr>
          <w:lang w:val="fr-FR"/>
        </w:rPr>
        <w:t xml:space="preserve"> </w:t>
      </w:r>
      <w:r>
        <w:rPr>
          <w:lang w:val="fr-FR"/>
        </w:rPr>
        <w:t>sous le nom de</w:t>
      </w:r>
      <w:r w:rsidR="0080677D">
        <w:rPr>
          <w:lang w:val="fr-FR"/>
        </w:rPr>
        <w:t> </w:t>
      </w:r>
      <w:r w:rsidRPr="00A63054">
        <w:rPr>
          <w:lang w:val="fr-FR"/>
        </w:rPr>
        <w:t>Mouvement populaire démocratique du Turkménistan. Peu après, il a été informé de l</w:t>
      </w:r>
      <w:r>
        <w:rPr>
          <w:lang w:val="fr-FR"/>
        </w:rPr>
        <w:t>’</w:t>
      </w:r>
      <w:r w:rsidRPr="00A63054">
        <w:rPr>
          <w:lang w:val="fr-FR"/>
        </w:rPr>
        <w:t>ouverture d</w:t>
      </w:r>
      <w:r>
        <w:rPr>
          <w:lang w:val="fr-FR"/>
        </w:rPr>
        <w:t>’</w:t>
      </w:r>
      <w:r w:rsidRPr="00A63054">
        <w:rPr>
          <w:lang w:val="fr-FR"/>
        </w:rPr>
        <w:t>une procédure pénal</w:t>
      </w:r>
      <w:r>
        <w:rPr>
          <w:lang w:val="fr-FR"/>
        </w:rPr>
        <w:t>e</w:t>
      </w:r>
      <w:r w:rsidRPr="00A63054">
        <w:rPr>
          <w:lang w:val="fr-FR"/>
        </w:rPr>
        <w:t xml:space="preserve"> </w:t>
      </w:r>
      <w:r>
        <w:rPr>
          <w:lang w:val="fr-FR"/>
        </w:rPr>
        <w:t>le</w:t>
      </w:r>
      <w:r w:rsidR="0080677D">
        <w:rPr>
          <w:lang w:val="fr-FR"/>
        </w:rPr>
        <w:t xml:space="preserve"> concernant au Turkménistan. Le </w:t>
      </w:r>
      <w:r>
        <w:rPr>
          <w:lang w:val="fr-FR"/>
        </w:rPr>
        <w:t>2 </w:t>
      </w:r>
      <w:r w:rsidRPr="00A63054">
        <w:rPr>
          <w:lang w:val="fr-FR"/>
        </w:rPr>
        <w:t xml:space="preserve">novembre </w:t>
      </w:r>
      <w:r>
        <w:rPr>
          <w:lang w:val="fr-FR"/>
        </w:rPr>
        <w:t>2001, le</w:t>
      </w:r>
      <w:r w:rsidR="0080677D">
        <w:rPr>
          <w:lang w:val="fr-FR"/>
        </w:rPr>
        <w:t> </w:t>
      </w:r>
      <w:r w:rsidRPr="00A63054">
        <w:rPr>
          <w:lang w:val="fr-FR"/>
        </w:rPr>
        <w:t xml:space="preserve">Procureur général du Turkménistan a décerné </w:t>
      </w:r>
      <w:r>
        <w:rPr>
          <w:lang w:val="fr-FR"/>
        </w:rPr>
        <w:t xml:space="preserve">contre lui </w:t>
      </w:r>
      <w:r w:rsidRPr="00A63054">
        <w:rPr>
          <w:lang w:val="fr-FR"/>
        </w:rPr>
        <w:t>un mandat d</w:t>
      </w:r>
      <w:r>
        <w:rPr>
          <w:lang w:val="fr-FR"/>
        </w:rPr>
        <w:t>’</w:t>
      </w:r>
      <w:r w:rsidRPr="00A63054">
        <w:rPr>
          <w:lang w:val="fr-FR"/>
        </w:rPr>
        <w:t xml:space="preserve">arrêt </w:t>
      </w:r>
      <w:r w:rsidDel="001D0787">
        <w:rPr>
          <w:lang w:val="fr-FR"/>
        </w:rPr>
        <w:t>fondé sur</w:t>
      </w:r>
      <w:r>
        <w:rPr>
          <w:lang w:val="fr-FR"/>
        </w:rPr>
        <w:t xml:space="preserve"> un dossier pénal le concernant, </w:t>
      </w:r>
      <w:r w:rsidDel="001D0787">
        <w:rPr>
          <w:lang w:val="fr-FR"/>
        </w:rPr>
        <w:t>ouvert</w:t>
      </w:r>
      <w:r>
        <w:rPr>
          <w:lang w:val="fr-FR"/>
        </w:rPr>
        <w:t xml:space="preserve"> le 30 juin 2001, qui contenait plusieurs accusations </w:t>
      </w:r>
      <w:r w:rsidRPr="00C4149D">
        <w:rPr>
          <w:lang w:val="fr-FR"/>
        </w:rPr>
        <w:t>dont celle de trafic d</w:t>
      </w:r>
      <w:r>
        <w:rPr>
          <w:lang w:val="fr-FR"/>
        </w:rPr>
        <w:t>’</w:t>
      </w:r>
      <w:r w:rsidRPr="00C4149D">
        <w:rPr>
          <w:lang w:val="fr-FR"/>
        </w:rPr>
        <w:t>armes et d</w:t>
      </w:r>
      <w:r>
        <w:rPr>
          <w:lang w:val="fr-FR"/>
        </w:rPr>
        <w:t>’</w:t>
      </w:r>
      <w:r w:rsidRPr="00C4149D">
        <w:rPr>
          <w:lang w:val="fr-FR"/>
        </w:rPr>
        <w:t>explosifs</w:t>
      </w:r>
      <w:r w:rsidRPr="00A63054">
        <w:rPr>
          <w:lang w:val="fr-FR"/>
        </w:rPr>
        <w:t>. En juin 2001, M.</w:t>
      </w:r>
      <w:r>
        <w:rPr>
          <w:lang w:val="fr-FR"/>
        </w:rPr>
        <w:t> Shikhm</w:t>
      </w:r>
      <w:r w:rsidRPr="00A63054">
        <w:rPr>
          <w:lang w:val="fr-FR"/>
        </w:rPr>
        <w:t xml:space="preserve">uradov </w:t>
      </w:r>
      <w:r>
        <w:rPr>
          <w:lang w:val="fr-FR"/>
        </w:rPr>
        <w:t>exerçait encore la fonction</w:t>
      </w:r>
      <w:r w:rsidRPr="00A63054">
        <w:rPr>
          <w:lang w:val="fr-FR"/>
        </w:rPr>
        <w:t xml:space="preserve"> d</w:t>
      </w:r>
      <w:r>
        <w:rPr>
          <w:lang w:val="fr-FR"/>
        </w:rPr>
        <w:t>’A</w:t>
      </w:r>
      <w:r w:rsidRPr="00A63054">
        <w:rPr>
          <w:lang w:val="fr-FR"/>
        </w:rPr>
        <w:t>mbassadeur extraordinaire et plénipotent</w:t>
      </w:r>
      <w:r>
        <w:rPr>
          <w:lang w:val="fr-FR"/>
        </w:rPr>
        <w:t>iaire du Turkménistan en République populaire de Chine.</w:t>
      </w:r>
    </w:p>
    <w:p w:rsidR="002D7528" w:rsidRPr="00A63054" w:rsidRDefault="002D7528" w:rsidP="00057895">
      <w:pPr>
        <w:pStyle w:val="SingleTxtG"/>
        <w:rPr>
          <w:lang w:val="fr-FR"/>
        </w:rPr>
      </w:pPr>
      <w:r w:rsidRPr="00A63054">
        <w:rPr>
          <w:lang w:val="fr-FR"/>
        </w:rPr>
        <w:t>2.3</w:t>
      </w:r>
      <w:r w:rsidRPr="00A63054">
        <w:rPr>
          <w:lang w:val="fr-FR"/>
        </w:rPr>
        <w:tab/>
        <w:t>L</w:t>
      </w:r>
      <w:r>
        <w:rPr>
          <w:lang w:val="fr-FR"/>
        </w:rPr>
        <w:t>’</w:t>
      </w:r>
      <w:r w:rsidRPr="00A63054">
        <w:rPr>
          <w:lang w:val="fr-FR"/>
        </w:rPr>
        <w:t>auteur</w:t>
      </w:r>
      <w:r w:rsidR="000D7EC5">
        <w:rPr>
          <w:lang w:val="fr-FR"/>
        </w:rPr>
        <w:t>e</w:t>
      </w:r>
      <w:r w:rsidRPr="00A63054">
        <w:rPr>
          <w:lang w:val="fr-FR"/>
        </w:rPr>
        <w:t xml:space="preserve"> </w:t>
      </w:r>
      <w:r>
        <w:rPr>
          <w:lang w:val="fr-FR"/>
        </w:rPr>
        <w:t xml:space="preserve">indique aussi </w:t>
      </w:r>
      <w:r w:rsidRPr="00A63054">
        <w:rPr>
          <w:lang w:val="fr-FR"/>
        </w:rPr>
        <w:t>qu</w:t>
      </w:r>
      <w:r>
        <w:rPr>
          <w:lang w:val="fr-FR"/>
        </w:rPr>
        <w:t>’</w:t>
      </w:r>
      <w:r w:rsidRPr="00A63054">
        <w:rPr>
          <w:lang w:val="fr-FR"/>
        </w:rPr>
        <w:t>à un moment donné, M.</w:t>
      </w:r>
      <w:r>
        <w:rPr>
          <w:lang w:val="fr-FR"/>
        </w:rPr>
        <w:t> Shikhm</w:t>
      </w:r>
      <w:r w:rsidRPr="00A63054">
        <w:rPr>
          <w:lang w:val="fr-FR"/>
        </w:rPr>
        <w:t>uradov s</w:t>
      </w:r>
      <w:r>
        <w:rPr>
          <w:lang w:val="fr-FR"/>
        </w:rPr>
        <w:t>’</w:t>
      </w:r>
      <w:r w:rsidRPr="00A63054">
        <w:rPr>
          <w:lang w:val="fr-FR"/>
        </w:rPr>
        <w:t>est rendu à</w:t>
      </w:r>
      <w:r w:rsidR="00054EA8">
        <w:rPr>
          <w:lang w:val="fr-FR"/>
        </w:rPr>
        <w:t> </w:t>
      </w:r>
      <w:r w:rsidRPr="00A63054">
        <w:rPr>
          <w:lang w:val="fr-FR"/>
        </w:rPr>
        <w:t>Achgabat. Elle ne sait pas avec certitude à quelle date, car à l</w:t>
      </w:r>
      <w:r>
        <w:rPr>
          <w:lang w:val="fr-FR"/>
        </w:rPr>
        <w:t>’</w:t>
      </w:r>
      <w:r w:rsidRPr="00A63054">
        <w:rPr>
          <w:lang w:val="fr-FR"/>
        </w:rPr>
        <w:t>époque, son mari et elle n</w:t>
      </w:r>
      <w:r>
        <w:rPr>
          <w:lang w:val="fr-FR"/>
        </w:rPr>
        <w:t>’</w:t>
      </w:r>
      <w:r w:rsidRPr="00A63054">
        <w:rPr>
          <w:lang w:val="fr-FR"/>
        </w:rPr>
        <w:t>étaient pas régulièrement en contact pour des raisons de sécurité</w:t>
      </w:r>
      <w:r>
        <w:rPr>
          <w:lang w:val="fr-FR"/>
        </w:rPr>
        <w:t xml:space="preserve">. </w:t>
      </w:r>
      <w:r w:rsidRPr="00A63054">
        <w:rPr>
          <w:lang w:val="fr-FR"/>
        </w:rPr>
        <w:t>Ell</w:t>
      </w:r>
      <w:r>
        <w:rPr>
          <w:lang w:val="fr-FR"/>
        </w:rPr>
        <w:t>e-même avait quitté le </w:t>
      </w:r>
      <w:r w:rsidRPr="00A63054">
        <w:rPr>
          <w:lang w:val="fr-FR"/>
        </w:rPr>
        <w:t xml:space="preserve">Turkménistan en mars </w:t>
      </w:r>
      <w:r>
        <w:rPr>
          <w:lang w:val="fr-FR"/>
        </w:rPr>
        <w:t>2001.</w:t>
      </w:r>
    </w:p>
    <w:p w:rsidR="002D7528" w:rsidRPr="00CB3170" w:rsidRDefault="002D7528" w:rsidP="00057895">
      <w:pPr>
        <w:pStyle w:val="SingleTxtG"/>
        <w:rPr>
          <w:lang w:val="fr-FR"/>
        </w:rPr>
      </w:pPr>
      <w:r w:rsidRPr="00CB3170">
        <w:rPr>
          <w:lang w:val="fr-FR"/>
        </w:rPr>
        <w:t>2.4</w:t>
      </w:r>
      <w:r w:rsidRPr="00CB3170">
        <w:rPr>
          <w:lang w:val="fr-FR"/>
        </w:rPr>
        <w:tab/>
        <w:t>Le 25 novembre 2002 les médias officiels turkmènes ont publié des informations faisant état d</w:t>
      </w:r>
      <w:r>
        <w:rPr>
          <w:lang w:val="fr-FR"/>
        </w:rPr>
        <w:t>’</w:t>
      </w:r>
      <w:r w:rsidRPr="00CB3170">
        <w:rPr>
          <w:lang w:val="fr-FR"/>
        </w:rPr>
        <w:t>une tentative d</w:t>
      </w:r>
      <w:r>
        <w:rPr>
          <w:lang w:val="fr-FR"/>
        </w:rPr>
        <w:t>’</w:t>
      </w:r>
      <w:r w:rsidRPr="00CB3170">
        <w:rPr>
          <w:lang w:val="fr-FR"/>
        </w:rPr>
        <w:t>attentat contre le Président et indiquant que l</w:t>
      </w:r>
      <w:r>
        <w:rPr>
          <w:lang w:val="fr-FR"/>
        </w:rPr>
        <w:t>’</w:t>
      </w:r>
      <w:r w:rsidRPr="00CB3170">
        <w:rPr>
          <w:lang w:val="fr-FR"/>
        </w:rPr>
        <w:t>opposition planifiait une campagne de désobéissance civ</w:t>
      </w:r>
      <w:r>
        <w:rPr>
          <w:lang w:val="fr-FR"/>
        </w:rPr>
        <w:t xml:space="preserve">ile destinée à contraindre celui-ci </w:t>
      </w:r>
      <w:r w:rsidR="00EF49A3">
        <w:rPr>
          <w:lang w:val="fr-FR"/>
        </w:rPr>
        <w:t xml:space="preserve">à </w:t>
      </w:r>
      <w:r w:rsidRPr="00CB3170">
        <w:rPr>
          <w:lang w:val="fr-FR"/>
        </w:rPr>
        <w:t>organiser des élections démocratiques. Selon ces informations, M. </w:t>
      </w:r>
      <w:r>
        <w:rPr>
          <w:lang w:val="fr-FR"/>
        </w:rPr>
        <w:t>Shikhm</w:t>
      </w:r>
      <w:r w:rsidRPr="00CB3170">
        <w:rPr>
          <w:lang w:val="fr-FR"/>
        </w:rPr>
        <w:t>uradov était le cerveau derrière la tentative d</w:t>
      </w:r>
      <w:r>
        <w:rPr>
          <w:lang w:val="fr-FR"/>
        </w:rPr>
        <w:t>’</w:t>
      </w:r>
      <w:r w:rsidRPr="00CB3170">
        <w:rPr>
          <w:lang w:val="fr-FR"/>
        </w:rPr>
        <w:t>attentat ratée. Le 25 d</w:t>
      </w:r>
      <w:r w:rsidR="00054EA8">
        <w:rPr>
          <w:lang w:val="fr-FR"/>
        </w:rPr>
        <w:t xml:space="preserve">écembre 2002, il a été arrêté à </w:t>
      </w:r>
      <w:r w:rsidRPr="00CB3170">
        <w:rPr>
          <w:lang w:val="fr-FR"/>
        </w:rPr>
        <w:t>Achgabat par des agents du Ministère de la sécurité nationale. L</w:t>
      </w:r>
      <w:r>
        <w:rPr>
          <w:lang w:val="fr-FR"/>
        </w:rPr>
        <w:t>a veille de son arrestation, il </w:t>
      </w:r>
      <w:r w:rsidRPr="00CB3170">
        <w:rPr>
          <w:lang w:val="fr-FR"/>
        </w:rPr>
        <w:t>avait rédigé une déclaration, qu</w:t>
      </w:r>
      <w:r>
        <w:rPr>
          <w:lang w:val="fr-FR"/>
        </w:rPr>
        <w:t>’</w:t>
      </w:r>
      <w:r w:rsidRPr="00CB3170">
        <w:rPr>
          <w:lang w:val="fr-FR"/>
        </w:rPr>
        <w:t>il avait fait envoyer à l</w:t>
      </w:r>
      <w:r>
        <w:rPr>
          <w:lang w:val="fr-FR"/>
        </w:rPr>
        <w:t>’</w:t>
      </w:r>
      <w:r w:rsidRPr="00CB3170">
        <w:rPr>
          <w:lang w:val="fr-FR"/>
        </w:rPr>
        <w:t>étranger par des amis. Il y faisait part de son intention de se rendre aux autorités de son plein gré dans le but de faire cesse</w:t>
      </w:r>
      <w:r w:rsidR="00EF49A3">
        <w:rPr>
          <w:lang w:val="fr-FR"/>
        </w:rPr>
        <w:t xml:space="preserve">r le </w:t>
      </w:r>
      <w:r w:rsidRPr="00CB3170">
        <w:rPr>
          <w:lang w:val="fr-FR"/>
        </w:rPr>
        <w:t>harcèlement permanent que subissaient ses proches et ses amis. Le 29 </w:t>
      </w:r>
      <w:r>
        <w:rPr>
          <w:lang w:val="fr-FR"/>
        </w:rPr>
        <w:t>décembre 2002, la </w:t>
      </w:r>
      <w:r w:rsidRPr="00CB3170">
        <w:rPr>
          <w:lang w:val="fr-FR"/>
        </w:rPr>
        <w:t xml:space="preserve">Cour suprême du Turkménistan l’a condamné </w:t>
      </w:r>
      <w:r w:rsidR="00054EA8">
        <w:rPr>
          <w:lang w:val="fr-FR"/>
        </w:rPr>
        <w:t>à une peine de vingt</w:t>
      </w:r>
      <w:r w:rsidR="00054EA8">
        <w:rPr>
          <w:lang w:val="fr-FR"/>
        </w:rPr>
        <w:noBreakHyphen/>
      </w:r>
      <w:r w:rsidRPr="00CB3170">
        <w:rPr>
          <w:lang w:val="fr-FR"/>
        </w:rPr>
        <w:t xml:space="preserve">cinq ans de réclusion pour avoir tenté de renverser le </w:t>
      </w:r>
      <w:r w:rsidRPr="00AC7759">
        <w:rPr>
          <w:lang w:val="fr-FR"/>
        </w:rPr>
        <w:t>Gouvernement</w:t>
      </w:r>
      <w:r w:rsidRPr="00CB3170">
        <w:rPr>
          <w:lang w:val="fr-FR"/>
        </w:rPr>
        <w:t xml:space="preserve"> et d</w:t>
      </w:r>
      <w:r>
        <w:rPr>
          <w:lang w:val="fr-FR"/>
        </w:rPr>
        <w:t>’</w:t>
      </w:r>
      <w:r w:rsidRPr="00CB3170">
        <w:rPr>
          <w:lang w:val="fr-FR"/>
        </w:rPr>
        <w:t>assassiner</w:t>
      </w:r>
      <w:r w:rsidR="00EF49A3">
        <w:rPr>
          <w:lang w:val="fr-FR"/>
        </w:rPr>
        <w:t xml:space="preserve"> le </w:t>
      </w:r>
      <w:r w:rsidRPr="00CB3170">
        <w:rPr>
          <w:lang w:val="fr-FR"/>
        </w:rPr>
        <w:t>Président.</w:t>
      </w:r>
    </w:p>
    <w:p w:rsidR="002D7528" w:rsidRPr="00E93736" w:rsidRDefault="002D7528" w:rsidP="00057895">
      <w:pPr>
        <w:pStyle w:val="SingleTxtG"/>
        <w:rPr>
          <w:lang w:val="fr-FR"/>
        </w:rPr>
      </w:pPr>
      <w:r w:rsidRPr="00CD5595">
        <w:rPr>
          <w:spacing w:val="-3"/>
          <w:lang w:val="fr-FR"/>
        </w:rPr>
        <w:t>2.5</w:t>
      </w:r>
      <w:r w:rsidRPr="00CD5595">
        <w:rPr>
          <w:spacing w:val="-3"/>
          <w:lang w:val="fr-FR"/>
        </w:rPr>
        <w:tab/>
      </w:r>
      <w:r w:rsidRPr="00E93736">
        <w:rPr>
          <w:lang w:val="fr-FR"/>
        </w:rPr>
        <w:t>Le 30 décembre 2002, sur décision du Conseil du peuple, cette peine a été transformée en réclusion à perpétuité, alors que le Code pénal turkmène ne prévoyait pas cette sanction</w:t>
      </w:r>
      <w:r w:rsidR="00FA22F3" w:rsidRPr="00E93736">
        <w:rPr>
          <w:rStyle w:val="FootnoteReference"/>
        </w:rPr>
        <w:footnoteReference w:id="3"/>
      </w:r>
      <w:r w:rsidRPr="00E93736">
        <w:rPr>
          <w:lang w:val="fr-FR"/>
        </w:rPr>
        <w:t>. Plus de 50 personnes, dont le frère de M. Shikhmuradov, ont été condamnées au cours du même procès, en l’espace d’un mois. De nombreuses sources ont indiqué que ces personnes avaient été gravement torturées en détention. On n’a plus vu M. Shikhmuradov et un grand nombre de ses coaccusés</w:t>
      </w:r>
      <w:r w:rsidRPr="00E93736" w:rsidDel="001D0787">
        <w:rPr>
          <w:lang w:val="fr-FR"/>
        </w:rPr>
        <w:t xml:space="preserve"> </w:t>
      </w:r>
      <w:r w:rsidRPr="00E93736">
        <w:rPr>
          <w:lang w:val="fr-FR"/>
        </w:rPr>
        <w:t>ni eu de leurs nouvelles depuis 2002, bien que leurs proches ainsi que des organisations internationales s’efforcent sans relâche d’obtenir des informations sur le lieu où ils se trouvent et sur leur situation.</w:t>
      </w:r>
    </w:p>
    <w:p w:rsidR="002D7528" w:rsidRPr="00A63054" w:rsidRDefault="002D7528" w:rsidP="00057895">
      <w:pPr>
        <w:pStyle w:val="SingleTxtG"/>
        <w:rPr>
          <w:lang w:val="fr-FR"/>
        </w:rPr>
      </w:pPr>
      <w:r w:rsidRPr="00A63054">
        <w:rPr>
          <w:lang w:val="fr-FR"/>
        </w:rPr>
        <w:t>2.6</w:t>
      </w:r>
      <w:r w:rsidRPr="00A63054">
        <w:rPr>
          <w:lang w:val="fr-FR"/>
        </w:rPr>
        <w:tab/>
        <w:t>L</w:t>
      </w:r>
      <w:r>
        <w:rPr>
          <w:lang w:val="fr-FR"/>
        </w:rPr>
        <w:t>’</w:t>
      </w:r>
      <w:r w:rsidRPr="00A63054">
        <w:rPr>
          <w:lang w:val="fr-FR"/>
        </w:rPr>
        <w:t xml:space="preserve">auteure </w:t>
      </w:r>
      <w:r>
        <w:rPr>
          <w:lang w:val="fr-FR"/>
        </w:rPr>
        <w:t>indique que, le 30 </w:t>
      </w:r>
      <w:r w:rsidRPr="00A63054">
        <w:rPr>
          <w:lang w:val="fr-FR"/>
        </w:rPr>
        <w:t>décembre 2002, un enregistrement vidéo</w:t>
      </w:r>
      <w:r>
        <w:rPr>
          <w:lang w:val="fr-FR"/>
        </w:rPr>
        <w:t xml:space="preserve"> dans lequel M. Shikhm</w:t>
      </w:r>
      <w:r w:rsidRPr="00A63054">
        <w:rPr>
          <w:lang w:val="fr-FR"/>
        </w:rPr>
        <w:t xml:space="preserve">uradov </w:t>
      </w:r>
      <w:r>
        <w:rPr>
          <w:lang w:val="fr-FR"/>
        </w:rPr>
        <w:t xml:space="preserve">faisait des aveux, </w:t>
      </w:r>
      <w:r w:rsidRPr="00A63054">
        <w:rPr>
          <w:lang w:val="fr-FR"/>
        </w:rPr>
        <w:t>qualifiait se</w:t>
      </w:r>
      <w:r>
        <w:rPr>
          <w:lang w:val="fr-FR"/>
        </w:rPr>
        <w:t>s associés et lui-même de «</w:t>
      </w:r>
      <w:r w:rsidRPr="00A63054">
        <w:rPr>
          <w:lang w:val="fr-FR"/>
        </w:rPr>
        <w:t>groupe criminel</w:t>
      </w:r>
      <w:r>
        <w:rPr>
          <w:lang w:val="fr-FR"/>
        </w:rPr>
        <w:t>» et de «mafia»</w:t>
      </w:r>
      <w:r w:rsidRPr="00A63054">
        <w:rPr>
          <w:lang w:val="fr-FR"/>
        </w:rPr>
        <w:t xml:space="preserve"> et réclamait que la peine la plus </w:t>
      </w:r>
      <w:r>
        <w:rPr>
          <w:lang w:val="fr-FR"/>
        </w:rPr>
        <w:t>sévère leur soit infligée</w:t>
      </w:r>
      <w:r w:rsidRPr="001D0787">
        <w:rPr>
          <w:lang w:val="fr-FR"/>
        </w:rPr>
        <w:t xml:space="preserve"> </w:t>
      </w:r>
      <w:r w:rsidRPr="00A63054">
        <w:rPr>
          <w:lang w:val="fr-FR"/>
        </w:rPr>
        <w:t>a été diffusé devant le Con</w:t>
      </w:r>
      <w:r>
        <w:rPr>
          <w:lang w:val="fr-FR"/>
        </w:rPr>
        <w:t>seil du peuple</w:t>
      </w:r>
      <w:r w:rsidRPr="00A63054">
        <w:rPr>
          <w:lang w:val="fr-FR"/>
        </w:rPr>
        <w:t>. L</w:t>
      </w:r>
      <w:r>
        <w:rPr>
          <w:lang w:val="fr-FR"/>
        </w:rPr>
        <w:t>’</w:t>
      </w:r>
      <w:r w:rsidRPr="00A63054">
        <w:rPr>
          <w:lang w:val="fr-FR"/>
        </w:rPr>
        <w:t>auteure affirme que, dans cet enregistrement, M.</w:t>
      </w:r>
      <w:r>
        <w:rPr>
          <w:lang w:val="fr-FR"/>
        </w:rPr>
        <w:t> Shikhm</w:t>
      </w:r>
      <w:r w:rsidRPr="00A63054">
        <w:rPr>
          <w:lang w:val="fr-FR"/>
        </w:rPr>
        <w:t>uradov semblait être sous l</w:t>
      </w:r>
      <w:r>
        <w:rPr>
          <w:lang w:val="fr-FR"/>
        </w:rPr>
        <w:t>’</w:t>
      </w:r>
      <w:r w:rsidRPr="00A63054">
        <w:rPr>
          <w:lang w:val="fr-FR"/>
        </w:rPr>
        <w:t>influence d</w:t>
      </w:r>
      <w:r>
        <w:rPr>
          <w:lang w:val="fr-FR"/>
        </w:rPr>
        <w:t>’une «</w:t>
      </w:r>
      <w:r w:rsidRPr="00A63054">
        <w:rPr>
          <w:lang w:val="fr-FR"/>
        </w:rPr>
        <w:t xml:space="preserve">substance </w:t>
      </w:r>
      <w:r>
        <w:rPr>
          <w:lang w:val="fr-FR"/>
        </w:rPr>
        <w:t>psychotrope»</w:t>
      </w:r>
      <w:r w:rsidRPr="00A63054">
        <w:rPr>
          <w:lang w:val="fr-FR"/>
        </w:rPr>
        <w:t xml:space="preserve"> et aurait été forcé à faire cette déclaration. Tous les délégués du Conseil du peuple ont réclamé la peine de mort contre </w:t>
      </w:r>
      <w:r>
        <w:rPr>
          <w:lang w:val="fr-FR"/>
        </w:rPr>
        <w:t>M. Shikhm</w:t>
      </w:r>
      <w:r w:rsidRPr="00A63054">
        <w:rPr>
          <w:lang w:val="fr-FR"/>
        </w:rPr>
        <w:t>uradov. Le Président Niyazov a proposé qu</w:t>
      </w:r>
      <w:r>
        <w:rPr>
          <w:lang w:val="fr-FR"/>
        </w:rPr>
        <w:t>’</w:t>
      </w:r>
      <w:r w:rsidRPr="00A63054">
        <w:rPr>
          <w:lang w:val="fr-FR"/>
        </w:rPr>
        <w:t>il soit condamné plutôt à la</w:t>
      </w:r>
      <w:r>
        <w:rPr>
          <w:lang w:val="fr-FR"/>
        </w:rPr>
        <w:t xml:space="preserve"> priso</w:t>
      </w:r>
      <w:r w:rsidR="00EF49A3">
        <w:rPr>
          <w:lang w:val="fr-FR"/>
        </w:rPr>
        <w:t>n à vie car, a</w:t>
      </w:r>
      <w:r w:rsidR="00EF49A3">
        <w:rPr>
          <w:lang w:val="fr-FR"/>
        </w:rPr>
        <w:noBreakHyphen/>
        <w:t>t</w:t>
      </w:r>
      <w:r w:rsidR="00EF49A3">
        <w:rPr>
          <w:lang w:val="fr-FR"/>
        </w:rPr>
        <w:noBreakHyphen/>
        <w:t xml:space="preserve">il affirmé, le </w:t>
      </w:r>
      <w:r w:rsidRPr="00A63054">
        <w:rPr>
          <w:lang w:val="fr-FR"/>
        </w:rPr>
        <w:t>Turkménistan était un pays démocratique.</w:t>
      </w:r>
    </w:p>
    <w:p w:rsidR="002D7528" w:rsidRPr="00514FD5" w:rsidRDefault="002D7528" w:rsidP="00057895">
      <w:pPr>
        <w:pStyle w:val="SingleTxtG"/>
        <w:rPr>
          <w:lang w:val="fr-FR"/>
        </w:rPr>
      </w:pPr>
      <w:r w:rsidRPr="00A63054">
        <w:rPr>
          <w:lang w:val="fr-FR"/>
        </w:rPr>
        <w:t>2.7</w:t>
      </w:r>
      <w:r w:rsidRPr="00A63054">
        <w:rPr>
          <w:lang w:val="fr-FR"/>
        </w:rPr>
        <w:tab/>
      </w:r>
      <w:r w:rsidRPr="00514FD5">
        <w:rPr>
          <w:lang w:val="fr-FR"/>
        </w:rPr>
        <w:t xml:space="preserve">Depuis le 25 décembre 2002, l’auteure n’a reçu aucune information officielle concernant M. Shikhmuradov, que ce soit sous la forme de documents judiciaires, de copie des minutes de l’audience ou d’expédition du jugement. Elle ne sait rien non plus de son éventuel lieu de détention ni de son état de santé. Elle a à maintes reprises (les 17 mars, 26 avril, 15 juin, 26 août et 14 septembre 2006 et jusqu’en 2010) demandé des renseignements au Procureur général, au Ministère de la justice, au Ministère de l’intérieur et au Président du Turkménistan, mais il n’a pas été tenu compte </w:t>
      </w:r>
      <w:r w:rsidR="00E32A9C">
        <w:rPr>
          <w:lang w:val="fr-FR"/>
        </w:rPr>
        <w:t xml:space="preserve">de </w:t>
      </w:r>
      <w:r w:rsidRPr="00514FD5">
        <w:rPr>
          <w:lang w:val="fr-FR"/>
        </w:rPr>
        <w:t>ces demandes</w:t>
      </w:r>
      <w:r w:rsidR="00080D7F" w:rsidRPr="00514FD5">
        <w:rPr>
          <w:rStyle w:val="FootnoteReference"/>
        </w:rPr>
        <w:footnoteReference w:id="4"/>
      </w:r>
      <w:r w:rsidRPr="00514FD5">
        <w:rPr>
          <w:lang w:val="fr-FR"/>
        </w:rPr>
        <w:t>. Il a été accusé réception de ses plaintes, mais elle n’a reçu aucune réponse. Elle n’a eu aucune possibilité de faire appel de la décision du tribunal devant les juridictions turkmènes. Depuis son départ pour la</w:t>
      </w:r>
      <w:r w:rsidR="00792059" w:rsidRPr="00514FD5">
        <w:rPr>
          <w:lang w:val="fr-FR"/>
        </w:rPr>
        <w:t> </w:t>
      </w:r>
      <w:r w:rsidRPr="00514FD5">
        <w:rPr>
          <w:lang w:val="fr-FR"/>
        </w:rPr>
        <w:t>Fédération de Russie en mars 2001, elle n’est pas retournée au</w:t>
      </w:r>
      <w:r w:rsidR="00514FD5">
        <w:rPr>
          <w:lang w:val="fr-FR"/>
        </w:rPr>
        <w:t> </w:t>
      </w:r>
      <w:r w:rsidRPr="00514FD5">
        <w:rPr>
          <w:lang w:val="fr-FR"/>
        </w:rPr>
        <w:t>Turkménistan et affirme que nul ne peut garantir qu’elle y serait en sécurité et libre de</w:t>
      </w:r>
      <w:r w:rsidR="00514FD5">
        <w:rPr>
          <w:lang w:val="fr-FR"/>
        </w:rPr>
        <w:t> </w:t>
      </w:r>
      <w:r w:rsidRPr="00514FD5">
        <w:rPr>
          <w:lang w:val="fr-FR"/>
        </w:rPr>
        <w:t>circuler.</w:t>
      </w:r>
    </w:p>
    <w:p w:rsidR="002D7528" w:rsidRPr="00A63054" w:rsidRDefault="002D7528" w:rsidP="00057895">
      <w:pPr>
        <w:pStyle w:val="H23G"/>
        <w:rPr>
          <w:lang w:val="fr-FR"/>
        </w:rPr>
      </w:pPr>
      <w:r w:rsidRPr="00A63054">
        <w:rPr>
          <w:lang w:val="fr-FR"/>
        </w:rPr>
        <w:tab/>
      </w:r>
      <w:r w:rsidRPr="00A63054">
        <w:rPr>
          <w:lang w:val="fr-FR"/>
        </w:rPr>
        <w:tab/>
        <w:t xml:space="preserve">Teneur de </w:t>
      </w:r>
      <w:r w:rsidRPr="0024582A">
        <w:t>la</w:t>
      </w:r>
      <w:r w:rsidRPr="00A63054">
        <w:rPr>
          <w:lang w:val="fr-FR"/>
        </w:rPr>
        <w:t xml:space="preserve"> plainte</w:t>
      </w:r>
    </w:p>
    <w:p w:rsidR="002D7528" w:rsidRPr="00A63054" w:rsidRDefault="002D7528" w:rsidP="00057895">
      <w:pPr>
        <w:pStyle w:val="SingleTxtG"/>
        <w:rPr>
          <w:lang w:val="fr-FR"/>
        </w:rPr>
      </w:pPr>
      <w:r w:rsidRPr="00A63054">
        <w:rPr>
          <w:lang w:val="fr-FR"/>
        </w:rPr>
        <w:t>3.1</w:t>
      </w:r>
      <w:r w:rsidRPr="00A63054">
        <w:rPr>
          <w:lang w:val="fr-FR"/>
        </w:rPr>
        <w:tab/>
        <w:t>L</w:t>
      </w:r>
      <w:r>
        <w:rPr>
          <w:lang w:val="fr-FR"/>
        </w:rPr>
        <w:t>’</w:t>
      </w:r>
      <w:r w:rsidRPr="00A63054">
        <w:rPr>
          <w:lang w:val="fr-FR"/>
        </w:rPr>
        <w:t xml:space="preserve">auteure </w:t>
      </w:r>
      <w:r>
        <w:rPr>
          <w:lang w:val="fr-FR"/>
        </w:rPr>
        <w:t>invoque une violation par</w:t>
      </w:r>
      <w:r w:rsidRPr="00A63054">
        <w:rPr>
          <w:lang w:val="fr-FR"/>
        </w:rPr>
        <w:t xml:space="preserve"> l</w:t>
      </w:r>
      <w:r>
        <w:rPr>
          <w:lang w:val="fr-FR"/>
        </w:rPr>
        <w:t>’</w:t>
      </w:r>
      <w:r w:rsidRPr="00A63054">
        <w:rPr>
          <w:lang w:val="fr-FR"/>
        </w:rPr>
        <w:t xml:space="preserve">État partie </w:t>
      </w:r>
      <w:r>
        <w:rPr>
          <w:lang w:val="fr-FR"/>
        </w:rPr>
        <w:t>du paragraphe </w:t>
      </w:r>
      <w:r w:rsidRPr="00A63054">
        <w:rPr>
          <w:lang w:val="fr-FR"/>
        </w:rPr>
        <w:t>1 de l</w:t>
      </w:r>
      <w:r>
        <w:rPr>
          <w:lang w:val="fr-FR"/>
        </w:rPr>
        <w:t>’article </w:t>
      </w:r>
      <w:r w:rsidRPr="00A63054">
        <w:rPr>
          <w:lang w:val="fr-FR"/>
        </w:rPr>
        <w:t>6 du</w:t>
      </w:r>
      <w:r w:rsidR="00EF49A3">
        <w:rPr>
          <w:lang w:val="fr-FR"/>
        </w:rPr>
        <w:t> </w:t>
      </w:r>
      <w:r w:rsidRPr="00A63054">
        <w:rPr>
          <w:lang w:val="fr-FR"/>
        </w:rPr>
        <w:t>Pacte</w:t>
      </w:r>
      <w:r>
        <w:rPr>
          <w:lang w:val="fr-FR"/>
        </w:rPr>
        <w:t>, tenant au fait que l’on ne sait toujours pas ce qu’il est advenu de</w:t>
      </w:r>
      <w:r w:rsidRPr="00A63054">
        <w:rPr>
          <w:lang w:val="fr-FR"/>
        </w:rPr>
        <w:t xml:space="preserve"> M.</w:t>
      </w:r>
      <w:r>
        <w:rPr>
          <w:lang w:val="fr-FR"/>
        </w:rPr>
        <w:t> Shikhm</w:t>
      </w:r>
      <w:r w:rsidRPr="00A63054">
        <w:rPr>
          <w:lang w:val="fr-FR"/>
        </w:rPr>
        <w:t>uradov</w:t>
      </w:r>
      <w:r>
        <w:rPr>
          <w:lang w:val="fr-FR"/>
        </w:rPr>
        <w:t xml:space="preserve"> et que</w:t>
      </w:r>
      <w:r w:rsidRPr="00A63054">
        <w:rPr>
          <w:lang w:val="fr-FR"/>
        </w:rPr>
        <w:t xml:space="preserve"> malgré de nombreuses demandes</w:t>
      </w:r>
      <w:r>
        <w:rPr>
          <w:lang w:val="fr-FR"/>
        </w:rPr>
        <w:t>, les autorités de l’État partie n’ont communiqué aucune information</w:t>
      </w:r>
      <w:r w:rsidRPr="00A63054">
        <w:rPr>
          <w:lang w:val="fr-FR"/>
        </w:rPr>
        <w:t>. Elle ajoute que l</w:t>
      </w:r>
      <w:r>
        <w:rPr>
          <w:lang w:val="fr-FR"/>
        </w:rPr>
        <w:t>’</w:t>
      </w:r>
      <w:r w:rsidRPr="00A63054">
        <w:rPr>
          <w:lang w:val="fr-FR"/>
        </w:rPr>
        <w:t xml:space="preserve">absence de nouvelles depuis si longtemps lui </w:t>
      </w:r>
      <w:r>
        <w:rPr>
          <w:lang w:val="fr-FR"/>
        </w:rPr>
        <w:t>fait craindre pour la vie de M. Shikhm</w:t>
      </w:r>
      <w:r w:rsidRPr="00A63054">
        <w:rPr>
          <w:lang w:val="fr-FR"/>
        </w:rPr>
        <w:t>uradov.</w:t>
      </w:r>
    </w:p>
    <w:p w:rsidR="002D7528" w:rsidRPr="00A63054" w:rsidRDefault="002D7528" w:rsidP="00057895">
      <w:pPr>
        <w:pStyle w:val="SingleTxtG"/>
        <w:rPr>
          <w:lang w:val="fr-FR"/>
        </w:rPr>
      </w:pPr>
      <w:r w:rsidRPr="00A63054">
        <w:rPr>
          <w:lang w:val="fr-FR"/>
        </w:rPr>
        <w:t>3.2</w:t>
      </w:r>
      <w:r w:rsidRPr="00A63054">
        <w:rPr>
          <w:lang w:val="fr-FR"/>
        </w:rPr>
        <w:tab/>
        <w:t>L</w:t>
      </w:r>
      <w:r>
        <w:rPr>
          <w:lang w:val="fr-FR"/>
        </w:rPr>
        <w:t>’</w:t>
      </w:r>
      <w:r w:rsidRPr="00A63054">
        <w:rPr>
          <w:lang w:val="fr-FR"/>
        </w:rPr>
        <w:t>auteure invoque également une violation par l</w:t>
      </w:r>
      <w:r>
        <w:rPr>
          <w:lang w:val="fr-FR"/>
        </w:rPr>
        <w:t>’</w:t>
      </w:r>
      <w:r w:rsidRPr="00A63054">
        <w:rPr>
          <w:lang w:val="fr-FR"/>
        </w:rPr>
        <w:t>État partie des droits garantis à M</w:t>
      </w:r>
      <w:r>
        <w:rPr>
          <w:lang w:val="fr-FR"/>
        </w:rPr>
        <w:t>. Shikhm</w:t>
      </w:r>
      <w:r w:rsidRPr="00A63054">
        <w:rPr>
          <w:lang w:val="fr-FR"/>
        </w:rPr>
        <w:t>uradov par l</w:t>
      </w:r>
      <w:r>
        <w:rPr>
          <w:lang w:val="fr-FR"/>
        </w:rPr>
        <w:t>’article </w:t>
      </w:r>
      <w:r w:rsidRPr="00A63054">
        <w:rPr>
          <w:lang w:val="fr-FR"/>
        </w:rPr>
        <w:t>9 du Pacte. Elle affirme que les circonstances de l</w:t>
      </w:r>
      <w:r>
        <w:rPr>
          <w:lang w:val="fr-FR"/>
        </w:rPr>
        <w:t>’arrestation de M. Shikhm</w:t>
      </w:r>
      <w:r w:rsidRPr="00A63054">
        <w:rPr>
          <w:lang w:val="fr-FR"/>
        </w:rPr>
        <w:t>uradov ne sont</w:t>
      </w:r>
      <w:r w:rsidRPr="00A63054" w:rsidDel="001D0787">
        <w:rPr>
          <w:lang w:val="fr-FR"/>
        </w:rPr>
        <w:t xml:space="preserve"> pas </w:t>
      </w:r>
      <w:r w:rsidRPr="00A63054">
        <w:rPr>
          <w:lang w:val="fr-FR"/>
        </w:rPr>
        <w:t>connues et qu</w:t>
      </w:r>
      <w:r>
        <w:rPr>
          <w:lang w:val="fr-FR"/>
        </w:rPr>
        <w:t>’</w:t>
      </w:r>
      <w:r w:rsidRPr="00A63054">
        <w:rPr>
          <w:lang w:val="fr-FR"/>
        </w:rPr>
        <w:t>il n</w:t>
      </w:r>
      <w:r>
        <w:rPr>
          <w:lang w:val="fr-FR"/>
        </w:rPr>
        <w:t>’</w:t>
      </w:r>
      <w:r w:rsidRPr="00A63054">
        <w:rPr>
          <w:lang w:val="fr-FR"/>
        </w:rPr>
        <w:t>a pas pu contester sa détention devant un tribunal, que ses proches n</w:t>
      </w:r>
      <w:r>
        <w:rPr>
          <w:lang w:val="fr-FR"/>
        </w:rPr>
        <w:t>’</w:t>
      </w:r>
      <w:r w:rsidRPr="00A63054">
        <w:rPr>
          <w:lang w:val="fr-FR"/>
        </w:rPr>
        <w:t xml:space="preserve">ont pas été informés de son placement en détention, que sa condamnation à </w:t>
      </w:r>
      <w:r>
        <w:rPr>
          <w:lang w:val="fr-FR"/>
        </w:rPr>
        <w:t xml:space="preserve">perpétuité </w:t>
      </w:r>
      <w:r w:rsidRPr="00A63054">
        <w:rPr>
          <w:lang w:val="fr-FR"/>
        </w:rPr>
        <w:t>comprenait une période de cinq ans d</w:t>
      </w:r>
      <w:r>
        <w:rPr>
          <w:lang w:val="fr-FR"/>
        </w:rPr>
        <w:t>’</w:t>
      </w:r>
      <w:r w:rsidRPr="00A63054">
        <w:rPr>
          <w:lang w:val="fr-FR"/>
        </w:rPr>
        <w:t>interdiction de tout contact avec le monde extérieur, qu</w:t>
      </w:r>
      <w:r>
        <w:rPr>
          <w:lang w:val="fr-FR"/>
        </w:rPr>
        <w:t>’</w:t>
      </w:r>
      <w:r w:rsidRPr="00A63054">
        <w:rPr>
          <w:lang w:val="fr-FR"/>
        </w:rPr>
        <w:t>il n</w:t>
      </w:r>
      <w:r>
        <w:rPr>
          <w:lang w:val="fr-FR"/>
        </w:rPr>
        <w:t>’</w:t>
      </w:r>
      <w:r w:rsidRPr="00A63054">
        <w:rPr>
          <w:lang w:val="fr-FR"/>
        </w:rPr>
        <w:t>a pas eu la possibilité de faire examiner la légalité de sa privation de liberté et qu</w:t>
      </w:r>
      <w:r>
        <w:rPr>
          <w:lang w:val="fr-FR"/>
        </w:rPr>
        <w:t>’</w:t>
      </w:r>
      <w:r w:rsidRPr="00A63054">
        <w:rPr>
          <w:lang w:val="fr-FR"/>
        </w:rPr>
        <w:t>il a été emprisonné à l</w:t>
      </w:r>
      <w:r>
        <w:rPr>
          <w:lang w:val="fr-FR"/>
        </w:rPr>
        <w:t>’</w:t>
      </w:r>
      <w:r w:rsidRPr="00A63054">
        <w:rPr>
          <w:lang w:val="fr-FR"/>
        </w:rPr>
        <w:t>issue d</w:t>
      </w:r>
      <w:r>
        <w:rPr>
          <w:lang w:val="fr-FR"/>
        </w:rPr>
        <w:t>’</w:t>
      </w:r>
      <w:r w:rsidRPr="00A63054">
        <w:rPr>
          <w:lang w:val="fr-FR"/>
        </w:rPr>
        <w:t xml:space="preserve">un procès inéquitable, </w:t>
      </w:r>
      <w:r w:rsidRPr="009106F1">
        <w:rPr>
          <w:lang w:val="fr-FR"/>
        </w:rPr>
        <w:t>ce qui constitue autant de</w:t>
      </w:r>
      <w:r w:rsidRPr="00A63054">
        <w:rPr>
          <w:lang w:val="fr-FR"/>
        </w:rPr>
        <w:t xml:space="preserve"> violations de l</w:t>
      </w:r>
      <w:r>
        <w:rPr>
          <w:lang w:val="fr-FR"/>
        </w:rPr>
        <w:t>’article </w:t>
      </w:r>
      <w:r w:rsidRPr="00A63054">
        <w:rPr>
          <w:lang w:val="fr-FR"/>
        </w:rPr>
        <w:t>9 du Pacte.</w:t>
      </w:r>
    </w:p>
    <w:p w:rsidR="002D7528" w:rsidRPr="00051803" w:rsidRDefault="002D7528" w:rsidP="00057895">
      <w:pPr>
        <w:pStyle w:val="SingleTxtG"/>
        <w:rPr>
          <w:lang w:val="fr-FR"/>
        </w:rPr>
      </w:pPr>
      <w:r w:rsidRPr="00A63054">
        <w:rPr>
          <w:lang w:val="fr-FR"/>
        </w:rPr>
        <w:t>3.3</w:t>
      </w:r>
      <w:r w:rsidRPr="00A63054">
        <w:rPr>
          <w:lang w:val="fr-FR"/>
        </w:rPr>
        <w:tab/>
      </w:r>
      <w:r w:rsidRPr="00051803">
        <w:rPr>
          <w:lang w:val="fr-FR"/>
        </w:rPr>
        <w:t>L’auteure affirme en outre que l’État partie n’a pas respecté le droit</w:t>
      </w:r>
      <w:r w:rsidR="00DC6335" w:rsidRPr="00051803">
        <w:rPr>
          <w:lang w:val="fr-FR"/>
        </w:rPr>
        <w:t xml:space="preserve"> de M. Shikhmuradov à </w:t>
      </w:r>
      <w:r w:rsidRPr="00051803">
        <w:rPr>
          <w:lang w:val="fr-FR"/>
        </w:rPr>
        <w:t>un procès équitable, en violation du paragraphe 1 de l’article 14 du</w:t>
      </w:r>
      <w:r w:rsidR="00EF49A3" w:rsidRPr="00051803">
        <w:rPr>
          <w:lang w:val="fr-FR"/>
        </w:rPr>
        <w:t> </w:t>
      </w:r>
      <w:r w:rsidRPr="00051803">
        <w:rPr>
          <w:lang w:val="fr-FR"/>
        </w:rPr>
        <w:t>Pacte. Le procès a débuté quatre jours seulement après l’arrestation de M. Shikhmuradov et n’a duré qu’une journée. La condamnation de M. Shikhmuradov était fondée uniquement sur ses aveux, lesquels, selon l’auteure, ont été obtenus par la torture.</w:t>
      </w:r>
    </w:p>
    <w:p w:rsidR="002D7528" w:rsidRPr="00A63054" w:rsidRDefault="002D7528" w:rsidP="00057895">
      <w:pPr>
        <w:pStyle w:val="SingleTxtG"/>
        <w:rPr>
          <w:lang w:val="fr-FR"/>
        </w:rPr>
      </w:pPr>
      <w:r w:rsidRPr="00A63054">
        <w:rPr>
          <w:lang w:val="fr-FR"/>
        </w:rPr>
        <w:t>3.4</w:t>
      </w:r>
      <w:r w:rsidRPr="00A63054">
        <w:rPr>
          <w:lang w:val="fr-FR"/>
        </w:rPr>
        <w:tab/>
        <w:t>L</w:t>
      </w:r>
      <w:r>
        <w:rPr>
          <w:lang w:val="fr-FR"/>
        </w:rPr>
        <w:t>’</w:t>
      </w:r>
      <w:r w:rsidRPr="00A63054">
        <w:rPr>
          <w:lang w:val="fr-FR"/>
        </w:rPr>
        <w:t>auteure fait également valoir que M.</w:t>
      </w:r>
      <w:r>
        <w:rPr>
          <w:lang w:val="fr-FR"/>
        </w:rPr>
        <w:t> Shikhm</w:t>
      </w:r>
      <w:r w:rsidRPr="00A63054">
        <w:rPr>
          <w:lang w:val="fr-FR"/>
        </w:rPr>
        <w:t>uradov a été condamné à deux reprises à seulement quelques jours d</w:t>
      </w:r>
      <w:r>
        <w:rPr>
          <w:lang w:val="fr-FR"/>
        </w:rPr>
        <w:t>’</w:t>
      </w:r>
      <w:r w:rsidRPr="00A63054">
        <w:rPr>
          <w:lang w:val="fr-FR"/>
        </w:rPr>
        <w:t xml:space="preserve">intervalle, sans </w:t>
      </w:r>
      <w:r>
        <w:rPr>
          <w:lang w:val="fr-FR"/>
        </w:rPr>
        <w:t>avoir</w:t>
      </w:r>
      <w:r w:rsidRPr="00A63054">
        <w:rPr>
          <w:lang w:val="fr-FR"/>
        </w:rPr>
        <w:t xml:space="preserve"> eu suffisamment de temps </w:t>
      </w:r>
      <w:r>
        <w:rPr>
          <w:lang w:val="fr-FR"/>
        </w:rPr>
        <w:t xml:space="preserve">pour </w:t>
      </w:r>
      <w:r w:rsidRPr="00A63054">
        <w:rPr>
          <w:lang w:val="fr-FR"/>
        </w:rPr>
        <w:t>prendre connaissance de son dossier pénal</w:t>
      </w:r>
      <w:r>
        <w:rPr>
          <w:lang w:val="fr-FR"/>
        </w:rPr>
        <w:t xml:space="preserve"> ni la possibilité de le faire</w:t>
      </w:r>
      <w:r w:rsidRPr="00A63054">
        <w:rPr>
          <w:lang w:val="fr-FR"/>
        </w:rPr>
        <w:t>. En violation du</w:t>
      </w:r>
      <w:r w:rsidR="00514FD5">
        <w:rPr>
          <w:lang w:val="fr-FR"/>
        </w:rPr>
        <w:t> </w:t>
      </w:r>
      <w:r w:rsidRPr="00A63054">
        <w:rPr>
          <w:lang w:val="fr-FR"/>
        </w:rPr>
        <w:t>principe d</w:t>
      </w:r>
      <w:r>
        <w:rPr>
          <w:lang w:val="fr-FR"/>
        </w:rPr>
        <w:t>’</w:t>
      </w:r>
      <w:r w:rsidRPr="00A63054">
        <w:rPr>
          <w:lang w:val="fr-FR"/>
        </w:rPr>
        <w:t>impartialité, le tribunal, puis le</w:t>
      </w:r>
      <w:r w:rsidRPr="001D0787">
        <w:t xml:space="preserve"> </w:t>
      </w:r>
      <w:r w:rsidRPr="001D0787">
        <w:rPr>
          <w:lang w:val="fr-FR"/>
        </w:rPr>
        <w:t>Conseil du peuple</w:t>
      </w:r>
      <w:r>
        <w:rPr>
          <w:lang w:val="fr-FR"/>
        </w:rPr>
        <w:t>,</w:t>
      </w:r>
      <w:r w:rsidRPr="00A63054">
        <w:rPr>
          <w:lang w:val="fr-FR"/>
        </w:rPr>
        <w:t xml:space="preserve"> l</w:t>
      </w:r>
      <w:r>
        <w:rPr>
          <w:lang w:val="fr-FR"/>
        </w:rPr>
        <w:t>’</w:t>
      </w:r>
      <w:r w:rsidRPr="00A63054">
        <w:rPr>
          <w:lang w:val="fr-FR"/>
        </w:rPr>
        <w:t xml:space="preserve">ont condamné sans </w:t>
      </w:r>
      <w:r>
        <w:rPr>
          <w:lang w:val="fr-FR"/>
        </w:rPr>
        <w:t xml:space="preserve">l’avoir entendu </w:t>
      </w:r>
      <w:r w:rsidRPr="00A63054">
        <w:rPr>
          <w:lang w:val="fr-FR"/>
        </w:rPr>
        <w:t>et en violation des normes et règles de procédure en vigueur. À cet égard, l</w:t>
      </w:r>
      <w:r>
        <w:rPr>
          <w:lang w:val="fr-FR"/>
        </w:rPr>
        <w:t>’</w:t>
      </w:r>
      <w:r w:rsidRPr="00A63054">
        <w:rPr>
          <w:lang w:val="fr-FR"/>
        </w:rPr>
        <w:t>auteure rappell</w:t>
      </w:r>
      <w:r>
        <w:rPr>
          <w:lang w:val="fr-FR"/>
        </w:rPr>
        <w:t>e que le paragraphe 5 de l’article </w:t>
      </w:r>
      <w:r w:rsidRPr="00A63054">
        <w:rPr>
          <w:lang w:val="fr-FR"/>
        </w:rPr>
        <w:t>14 du Pacte prévoit que toute personne déclarée coupable d</w:t>
      </w:r>
      <w:r>
        <w:rPr>
          <w:lang w:val="fr-FR"/>
        </w:rPr>
        <w:t>’</w:t>
      </w:r>
      <w:r w:rsidRPr="00A63054">
        <w:rPr>
          <w:lang w:val="fr-FR"/>
        </w:rPr>
        <w:t>une infraction a le droit de faire examiner par une juridiction supérieure la déclaration de culpabilité et la condamnation, conformément à la loi. En</w:t>
      </w:r>
      <w:r w:rsidR="00514FD5">
        <w:rPr>
          <w:lang w:val="fr-FR"/>
        </w:rPr>
        <w:t> </w:t>
      </w:r>
      <w:r w:rsidRPr="00A63054">
        <w:rPr>
          <w:lang w:val="fr-FR"/>
        </w:rPr>
        <w:t>l</w:t>
      </w:r>
      <w:r>
        <w:rPr>
          <w:lang w:val="fr-FR"/>
        </w:rPr>
        <w:t>’</w:t>
      </w:r>
      <w:r w:rsidRPr="00A63054">
        <w:rPr>
          <w:lang w:val="fr-FR"/>
        </w:rPr>
        <w:t>espèce, la Cour suprême du Turkménistan a agi en tant que tribunal de première instance</w:t>
      </w:r>
      <w:r w:rsidR="00EF49A3">
        <w:rPr>
          <w:lang w:val="fr-FR"/>
        </w:rPr>
        <w:t xml:space="preserve">, puis, après que son dossier a </w:t>
      </w:r>
      <w:r w:rsidRPr="00A63054">
        <w:rPr>
          <w:lang w:val="fr-FR"/>
        </w:rPr>
        <w:t>fait l</w:t>
      </w:r>
      <w:r>
        <w:rPr>
          <w:lang w:val="fr-FR"/>
        </w:rPr>
        <w:t>’</w:t>
      </w:r>
      <w:r w:rsidRPr="00A63054">
        <w:rPr>
          <w:lang w:val="fr-FR"/>
        </w:rPr>
        <w:t>objet d</w:t>
      </w:r>
      <w:r>
        <w:rPr>
          <w:lang w:val="fr-FR"/>
        </w:rPr>
        <w:t>’</w:t>
      </w:r>
      <w:r w:rsidRPr="00A63054">
        <w:rPr>
          <w:lang w:val="fr-FR"/>
        </w:rPr>
        <w:t>un traitement politique et inéquitable, la</w:t>
      </w:r>
      <w:r w:rsidR="00514FD5">
        <w:rPr>
          <w:lang w:val="fr-FR"/>
        </w:rPr>
        <w:t> </w:t>
      </w:r>
      <w:r w:rsidRPr="00A63054">
        <w:rPr>
          <w:lang w:val="fr-FR"/>
        </w:rPr>
        <w:t>condamnation du mari de l</w:t>
      </w:r>
      <w:r>
        <w:rPr>
          <w:lang w:val="fr-FR"/>
        </w:rPr>
        <w:t>’</w:t>
      </w:r>
      <w:r w:rsidRPr="00A63054">
        <w:rPr>
          <w:lang w:val="fr-FR"/>
        </w:rPr>
        <w:t xml:space="preserve">auteure à une peine de </w:t>
      </w:r>
      <w:r>
        <w:rPr>
          <w:lang w:val="fr-FR"/>
        </w:rPr>
        <w:t>vingt</w:t>
      </w:r>
      <w:r>
        <w:rPr>
          <w:lang w:val="fr-FR"/>
        </w:rPr>
        <w:noBreakHyphen/>
        <w:t>cinq</w:t>
      </w:r>
      <w:r w:rsidRPr="00A63054">
        <w:rPr>
          <w:lang w:val="fr-FR"/>
        </w:rPr>
        <w:t xml:space="preserve"> années de réclusion a été transformée en </w:t>
      </w:r>
      <w:r>
        <w:rPr>
          <w:lang w:val="fr-FR"/>
        </w:rPr>
        <w:t>réclusion à perpétuité</w:t>
      </w:r>
      <w:r w:rsidRPr="00A63054">
        <w:rPr>
          <w:lang w:val="fr-FR"/>
        </w:rPr>
        <w:t xml:space="preserve"> par la décision prise à l</w:t>
      </w:r>
      <w:r>
        <w:rPr>
          <w:lang w:val="fr-FR"/>
        </w:rPr>
        <w:t>’</w:t>
      </w:r>
      <w:r w:rsidRPr="00A63054">
        <w:rPr>
          <w:lang w:val="fr-FR"/>
        </w:rPr>
        <w:t>unanimité par un organe politique. Le fait qu</w:t>
      </w:r>
      <w:r>
        <w:rPr>
          <w:lang w:val="fr-FR"/>
        </w:rPr>
        <w:t>’</w:t>
      </w:r>
      <w:r w:rsidRPr="00A63054">
        <w:rPr>
          <w:lang w:val="fr-FR"/>
        </w:rPr>
        <w:t>une condamnation plus lourde ait été prononcée sans possibilité d</w:t>
      </w:r>
      <w:r>
        <w:rPr>
          <w:lang w:val="fr-FR"/>
        </w:rPr>
        <w:t>’</w:t>
      </w:r>
      <w:r w:rsidRPr="00A63054">
        <w:rPr>
          <w:lang w:val="fr-FR"/>
        </w:rPr>
        <w:t>appel constitue une violation supplémentaire du droit</w:t>
      </w:r>
      <w:r>
        <w:rPr>
          <w:lang w:val="fr-FR"/>
        </w:rPr>
        <w:t xml:space="preserve"> de M. Shikhm</w:t>
      </w:r>
      <w:r w:rsidRPr="00A63054">
        <w:rPr>
          <w:lang w:val="fr-FR"/>
        </w:rPr>
        <w:t>uradov à un procès équitable.</w:t>
      </w:r>
    </w:p>
    <w:p w:rsidR="002D7528" w:rsidRPr="00A63054" w:rsidRDefault="002D7528" w:rsidP="00057895">
      <w:pPr>
        <w:pStyle w:val="SingleTxtG"/>
        <w:rPr>
          <w:lang w:val="fr-FR"/>
        </w:rPr>
      </w:pPr>
      <w:r w:rsidRPr="00A63054">
        <w:rPr>
          <w:lang w:val="fr-FR"/>
        </w:rPr>
        <w:t>3.5</w:t>
      </w:r>
      <w:r w:rsidRPr="00A63054">
        <w:rPr>
          <w:lang w:val="fr-FR"/>
        </w:rPr>
        <w:tab/>
        <w:t>L</w:t>
      </w:r>
      <w:r>
        <w:rPr>
          <w:lang w:val="fr-FR"/>
        </w:rPr>
        <w:t>’</w:t>
      </w:r>
      <w:r w:rsidRPr="00A63054">
        <w:rPr>
          <w:lang w:val="fr-FR"/>
        </w:rPr>
        <w:t>auteure affirme en outre que l</w:t>
      </w:r>
      <w:r>
        <w:rPr>
          <w:lang w:val="fr-FR"/>
        </w:rPr>
        <w:t>’</w:t>
      </w:r>
      <w:r w:rsidRPr="00A63054">
        <w:rPr>
          <w:lang w:val="fr-FR"/>
        </w:rPr>
        <w:t>État partie a co</w:t>
      </w:r>
      <w:r>
        <w:rPr>
          <w:lang w:val="fr-FR"/>
        </w:rPr>
        <w:t>mmis une violation de l’article </w:t>
      </w:r>
      <w:r w:rsidRPr="00A63054">
        <w:rPr>
          <w:lang w:val="fr-FR"/>
        </w:rPr>
        <w:t>7 du</w:t>
      </w:r>
      <w:r w:rsidR="00EF49A3">
        <w:rPr>
          <w:lang w:val="fr-FR"/>
        </w:rPr>
        <w:t> </w:t>
      </w:r>
      <w:r w:rsidRPr="00A63054">
        <w:rPr>
          <w:lang w:val="fr-FR"/>
        </w:rPr>
        <w:t>P</w:t>
      </w:r>
      <w:r>
        <w:rPr>
          <w:lang w:val="fr-FR"/>
        </w:rPr>
        <w:t>acte, car les aveux que fait M. Shikhm</w:t>
      </w:r>
      <w:r w:rsidRPr="00A63054">
        <w:rPr>
          <w:lang w:val="fr-FR"/>
        </w:rPr>
        <w:t>uradov dans l</w:t>
      </w:r>
      <w:r>
        <w:rPr>
          <w:lang w:val="fr-FR"/>
        </w:rPr>
        <w:t>’</w:t>
      </w:r>
      <w:r w:rsidRPr="00A63054">
        <w:rPr>
          <w:lang w:val="fr-FR"/>
        </w:rPr>
        <w:t>enregistrement vidéo qui a été montré aux membres du Conseil du peuple n</w:t>
      </w:r>
      <w:r>
        <w:rPr>
          <w:lang w:val="fr-FR"/>
        </w:rPr>
        <w:t>’</w:t>
      </w:r>
      <w:r w:rsidRPr="00A63054">
        <w:rPr>
          <w:lang w:val="fr-FR"/>
        </w:rPr>
        <w:t>ont pu être obtenus que par la torture. Au</w:t>
      </w:r>
      <w:r w:rsidR="00EF49A3">
        <w:rPr>
          <w:lang w:val="fr-FR"/>
        </w:rPr>
        <w:t> </w:t>
      </w:r>
      <w:r>
        <w:rPr>
          <w:lang w:val="fr-FR"/>
        </w:rPr>
        <w:t>moment de son arrestation, M. Shikhm</w:t>
      </w:r>
      <w:r w:rsidRPr="00A63054">
        <w:rPr>
          <w:lang w:val="fr-FR"/>
        </w:rPr>
        <w:t>uradov souffrait déjà de diabète, d</w:t>
      </w:r>
      <w:r>
        <w:rPr>
          <w:lang w:val="fr-FR"/>
        </w:rPr>
        <w:t>’</w:t>
      </w:r>
      <w:r w:rsidRPr="00A63054">
        <w:rPr>
          <w:lang w:val="fr-FR"/>
        </w:rPr>
        <w:t>hypertension et d’une maladie cardiovasculaire. Ces problèmes de santé nécessitaient des soins médicaux particuliers, qu</w:t>
      </w:r>
      <w:r>
        <w:rPr>
          <w:lang w:val="fr-FR"/>
        </w:rPr>
        <w:t>’</w:t>
      </w:r>
      <w:r w:rsidRPr="00A63054">
        <w:rPr>
          <w:lang w:val="fr-FR"/>
        </w:rPr>
        <w:t>il n</w:t>
      </w:r>
      <w:r>
        <w:rPr>
          <w:lang w:val="fr-FR"/>
        </w:rPr>
        <w:t>’</w:t>
      </w:r>
      <w:r w:rsidRPr="00A63054">
        <w:rPr>
          <w:lang w:val="fr-FR"/>
        </w:rPr>
        <w:t>a pas reçus. L</w:t>
      </w:r>
      <w:r>
        <w:rPr>
          <w:lang w:val="fr-FR"/>
        </w:rPr>
        <w:t>’</w:t>
      </w:r>
      <w:r w:rsidRPr="00A63054">
        <w:rPr>
          <w:lang w:val="fr-FR"/>
        </w:rPr>
        <w:t xml:space="preserve">auteure affirme aussi avoir elle-même été soumise à un traitement inhumain parce qu’elle n’était pas informée de la situation </w:t>
      </w:r>
      <w:r>
        <w:rPr>
          <w:lang w:val="fr-FR"/>
        </w:rPr>
        <w:t>de</w:t>
      </w:r>
      <w:r w:rsidRPr="00A63054">
        <w:rPr>
          <w:lang w:val="fr-FR"/>
        </w:rPr>
        <w:t xml:space="preserve"> son mari et vivait de ce fait dans un état d</w:t>
      </w:r>
      <w:r>
        <w:rPr>
          <w:lang w:val="fr-FR"/>
        </w:rPr>
        <w:t>’</w:t>
      </w:r>
      <w:r w:rsidRPr="00A63054">
        <w:rPr>
          <w:lang w:val="fr-FR"/>
        </w:rPr>
        <w:t xml:space="preserve">anxiété et de stress permanents, ce qui </w:t>
      </w:r>
      <w:r>
        <w:rPr>
          <w:lang w:val="fr-FR"/>
        </w:rPr>
        <w:t>constituait</w:t>
      </w:r>
      <w:r w:rsidRPr="00A63054">
        <w:rPr>
          <w:lang w:val="fr-FR"/>
        </w:rPr>
        <w:t xml:space="preserve"> également une viol</w:t>
      </w:r>
      <w:r>
        <w:rPr>
          <w:lang w:val="fr-FR"/>
        </w:rPr>
        <w:t>ation de l’article </w:t>
      </w:r>
      <w:r w:rsidRPr="00A63054">
        <w:rPr>
          <w:lang w:val="fr-FR"/>
        </w:rPr>
        <w:t>7 du Pacte.</w:t>
      </w:r>
    </w:p>
    <w:p w:rsidR="002D7528" w:rsidRPr="00A63054" w:rsidRDefault="002D7528" w:rsidP="00057895">
      <w:pPr>
        <w:pStyle w:val="SingleTxtG"/>
        <w:rPr>
          <w:lang w:val="fr-FR"/>
        </w:rPr>
      </w:pPr>
      <w:r w:rsidRPr="00A63054">
        <w:rPr>
          <w:lang w:val="fr-FR"/>
        </w:rPr>
        <w:t>3.6</w:t>
      </w:r>
      <w:r w:rsidRPr="00A63054">
        <w:rPr>
          <w:lang w:val="fr-FR"/>
        </w:rPr>
        <w:tab/>
        <w:t>L</w:t>
      </w:r>
      <w:r>
        <w:rPr>
          <w:lang w:val="fr-FR"/>
        </w:rPr>
        <w:t>’</w:t>
      </w:r>
      <w:r w:rsidRPr="00A63054">
        <w:rPr>
          <w:lang w:val="fr-FR"/>
        </w:rPr>
        <w:t>auteure invoque une violation par l</w:t>
      </w:r>
      <w:r>
        <w:rPr>
          <w:lang w:val="fr-FR"/>
        </w:rPr>
        <w:t>’</w:t>
      </w:r>
      <w:r w:rsidRPr="00A63054">
        <w:rPr>
          <w:lang w:val="fr-FR"/>
        </w:rPr>
        <w:t>État partie des droits garantis à M.</w:t>
      </w:r>
      <w:r>
        <w:rPr>
          <w:lang w:val="fr-FR"/>
        </w:rPr>
        <w:t> Shikhmuradov par l’article </w:t>
      </w:r>
      <w:r w:rsidRPr="00A63054">
        <w:rPr>
          <w:lang w:val="fr-FR"/>
        </w:rPr>
        <w:t>15 du Pacte, tenant au</w:t>
      </w:r>
      <w:r w:rsidR="00194263">
        <w:rPr>
          <w:lang w:val="fr-FR"/>
        </w:rPr>
        <w:t xml:space="preserve"> fait que le Conseil du peuple </w:t>
      </w:r>
      <w:r>
        <w:rPr>
          <w:lang w:val="fr-FR"/>
        </w:rPr>
        <w:t>a </w:t>
      </w:r>
      <w:r w:rsidRPr="00A63054">
        <w:rPr>
          <w:lang w:val="fr-FR"/>
        </w:rPr>
        <w:t>condamné celui-ci à une peine plus lourde que les peines prévues par l</w:t>
      </w:r>
      <w:r>
        <w:rPr>
          <w:lang w:val="fr-FR"/>
        </w:rPr>
        <w:t>a législation</w:t>
      </w:r>
      <w:r w:rsidRPr="00A63054">
        <w:rPr>
          <w:lang w:val="fr-FR"/>
        </w:rPr>
        <w:t xml:space="preserve"> </w:t>
      </w:r>
      <w:r>
        <w:rPr>
          <w:lang w:val="fr-FR"/>
        </w:rPr>
        <w:t>turkmène</w:t>
      </w:r>
      <w:r w:rsidRPr="00A63054">
        <w:rPr>
          <w:lang w:val="fr-FR"/>
        </w:rPr>
        <w:t xml:space="preserve"> au moment de la commission des prétendues </w:t>
      </w:r>
      <w:r>
        <w:rPr>
          <w:lang w:val="fr-FR"/>
        </w:rPr>
        <w:t>infractions.</w:t>
      </w:r>
    </w:p>
    <w:p w:rsidR="002D7528" w:rsidRPr="009132BD" w:rsidRDefault="002D7528" w:rsidP="00057895">
      <w:pPr>
        <w:pStyle w:val="SingleTxtG"/>
        <w:rPr>
          <w:spacing w:val="-2"/>
          <w:lang w:val="fr-FR"/>
        </w:rPr>
      </w:pPr>
      <w:r w:rsidRPr="009132BD">
        <w:rPr>
          <w:spacing w:val="-2"/>
          <w:lang w:val="fr-FR"/>
        </w:rPr>
        <w:t>3.7</w:t>
      </w:r>
      <w:r w:rsidRPr="009132BD">
        <w:rPr>
          <w:spacing w:val="-2"/>
          <w:lang w:val="fr-FR"/>
        </w:rPr>
        <w:tab/>
        <w:t>L</w:t>
      </w:r>
      <w:r>
        <w:rPr>
          <w:spacing w:val="-2"/>
          <w:lang w:val="fr-FR"/>
        </w:rPr>
        <w:t>’</w:t>
      </w:r>
      <w:r w:rsidRPr="009132BD">
        <w:rPr>
          <w:spacing w:val="-2"/>
          <w:lang w:val="fr-FR"/>
        </w:rPr>
        <w:t>auteure invoque enfin une violation par l</w:t>
      </w:r>
      <w:r>
        <w:rPr>
          <w:spacing w:val="-2"/>
          <w:lang w:val="fr-FR"/>
        </w:rPr>
        <w:t>’</w:t>
      </w:r>
      <w:r w:rsidRPr="009132BD">
        <w:rPr>
          <w:spacing w:val="-2"/>
          <w:lang w:val="fr-FR"/>
        </w:rPr>
        <w:t>État partie des droits qu</w:t>
      </w:r>
      <w:r>
        <w:rPr>
          <w:spacing w:val="-2"/>
          <w:lang w:val="fr-FR"/>
        </w:rPr>
        <w:t>’</w:t>
      </w:r>
      <w:r w:rsidRPr="009132BD">
        <w:rPr>
          <w:spacing w:val="-2"/>
          <w:lang w:val="fr-FR"/>
        </w:rPr>
        <w:t>elle tient de l</w:t>
      </w:r>
      <w:r>
        <w:rPr>
          <w:spacing w:val="-2"/>
          <w:lang w:val="fr-FR"/>
        </w:rPr>
        <w:t>’article </w:t>
      </w:r>
      <w:r w:rsidRPr="009132BD">
        <w:rPr>
          <w:spacing w:val="-2"/>
          <w:lang w:val="fr-FR"/>
        </w:rPr>
        <w:t>17 du Pacte, tenant au fait qu</w:t>
      </w:r>
      <w:r>
        <w:rPr>
          <w:spacing w:val="-2"/>
          <w:lang w:val="fr-FR"/>
        </w:rPr>
        <w:t>’</w:t>
      </w:r>
      <w:r w:rsidRPr="009132BD">
        <w:rPr>
          <w:spacing w:val="-2"/>
          <w:lang w:val="fr-FR"/>
        </w:rPr>
        <w:t>elle n</w:t>
      </w:r>
      <w:r>
        <w:rPr>
          <w:spacing w:val="-2"/>
          <w:lang w:val="fr-FR"/>
        </w:rPr>
        <w:t>’</w:t>
      </w:r>
      <w:r w:rsidRPr="009132BD">
        <w:rPr>
          <w:spacing w:val="-2"/>
          <w:lang w:val="fr-FR"/>
        </w:rPr>
        <w:t>a pas pu obtenir d</w:t>
      </w:r>
      <w:r>
        <w:rPr>
          <w:spacing w:val="-2"/>
          <w:lang w:val="fr-FR"/>
        </w:rPr>
        <w:t>’</w:t>
      </w:r>
      <w:r w:rsidRPr="009132BD">
        <w:rPr>
          <w:spacing w:val="-2"/>
          <w:lang w:val="fr-FR"/>
        </w:rPr>
        <w:t>informations sur l</w:t>
      </w:r>
      <w:r>
        <w:rPr>
          <w:spacing w:val="-2"/>
          <w:lang w:val="fr-FR"/>
        </w:rPr>
        <w:t>’</w:t>
      </w:r>
      <w:r w:rsidRPr="009132BD">
        <w:rPr>
          <w:spacing w:val="-2"/>
          <w:lang w:val="fr-FR"/>
        </w:rPr>
        <w:t>endroit où se trouve son mari et sur son état de santé, ni même simplement savoir s</w:t>
      </w:r>
      <w:r>
        <w:rPr>
          <w:spacing w:val="-2"/>
          <w:lang w:val="fr-FR"/>
        </w:rPr>
        <w:t>’</w:t>
      </w:r>
      <w:r w:rsidRPr="009132BD">
        <w:rPr>
          <w:spacing w:val="-2"/>
          <w:lang w:val="fr-FR"/>
        </w:rPr>
        <w:t>il est encore en vie.</w:t>
      </w:r>
    </w:p>
    <w:p w:rsidR="002D7528" w:rsidRPr="00A63054" w:rsidRDefault="002D7528" w:rsidP="00057895">
      <w:pPr>
        <w:pStyle w:val="SingleTxtG"/>
        <w:rPr>
          <w:lang w:val="fr-FR"/>
        </w:rPr>
      </w:pPr>
      <w:r w:rsidRPr="00A63054">
        <w:rPr>
          <w:lang w:val="fr-FR"/>
        </w:rPr>
        <w:t>3.8</w:t>
      </w:r>
      <w:r w:rsidRPr="00A63054">
        <w:rPr>
          <w:lang w:val="fr-FR"/>
        </w:rPr>
        <w:tab/>
        <w:t>L</w:t>
      </w:r>
      <w:r>
        <w:rPr>
          <w:lang w:val="fr-FR"/>
        </w:rPr>
        <w:t>’</w:t>
      </w:r>
      <w:r w:rsidRPr="00A63054">
        <w:rPr>
          <w:lang w:val="fr-FR"/>
        </w:rPr>
        <w:t>auteure affirme qu</w:t>
      </w:r>
      <w:r>
        <w:rPr>
          <w:lang w:val="fr-FR"/>
        </w:rPr>
        <w:t>’</w:t>
      </w:r>
      <w:r w:rsidRPr="00A63054">
        <w:rPr>
          <w:lang w:val="fr-FR"/>
        </w:rPr>
        <w:t>elle ne peut pas se rendre au Turkménistan parce qu</w:t>
      </w:r>
      <w:r>
        <w:rPr>
          <w:lang w:val="fr-FR"/>
        </w:rPr>
        <w:t>’</w:t>
      </w:r>
      <w:r w:rsidRPr="00A63054">
        <w:rPr>
          <w:lang w:val="fr-FR"/>
        </w:rPr>
        <w:t xml:space="preserve">elle craint pour sa sécurité. Elle a demandé des nouvelles de son mari au Président </w:t>
      </w:r>
      <w:r w:rsidR="00EF49A3">
        <w:rPr>
          <w:lang w:val="fr-FR"/>
        </w:rPr>
        <w:t xml:space="preserve">précédemment en </w:t>
      </w:r>
      <w:r w:rsidRPr="00A63054">
        <w:rPr>
          <w:lang w:val="fr-FR"/>
        </w:rPr>
        <w:t>exercice au Turkménistan ainsi qu</w:t>
      </w:r>
      <w:r>
        <w:rPr>
          <w:lang w:val="fr-FR"/>
        </w:rPr>
        <w:t>’</w:t>
      </w:r>
      <w:r w:rsidRPr="00A63054">
        <w:rPr>
          <w:lang w:val="fr-FR"/>
        </w:rPr>
        <w:t>à l</w:t>
      </w:r>
      <w:r>
        <w:rPr>
          <w:lang w:val="fr-FR"/>
        </w:rPr>
        <w:t>’</w:t>
      </w:r>
      <w:r w:rsidRPr="00A63054">
        <w:rPr>
          <w:lang w:val="fr-FR"/>
        </w:rPr>
        <w:t xml:space="preserve">actuel Président. Elle a également </w:t>
      </w:r>
      <w:r>
        <w:rPr>
          <w:lang w:val="fr-FR"/>
        </w:rPr>
        <w:t xml:space="preserve">adressé des </w:t>
      </w:r>
      <w:r w:rsidRPr="00A63054">
        <w:rPr>
          <w:lang w:val="fr-FR"/>
        </w:rPr>
        <w:t>demandes au Procureur général du Turkménistan mais n</w:t>
      </w:r>
      <w:r>
        <w:rPr>
          <w:lang w:val="fr-FR"/>
        </w:rPr>
        <w:t>’</w:t>
      </w:r>
      <w:r w:rsidRPr="00A63054">
        <w:rPr>
          <w:lang w:val="fr-FR"/>
        </w:rPr>
        <w:t xml:space="preserve">a reçu aucune réponse. Elle </w:t>
      </w:r>
      <w:r>
        <w:rPr>
          <w:lang w:val="fr-FR"/>
        </w:rPr>
        <w:t xml:space="preserve">a </w:t>
      </w:r>
      <w:r w:rsidRPr="00A63054">
        <w:rPr>
          <w:lang w:val="fr-FR"/>
        </w:rPr>
        <w:t xml:space="preserve">aussi </w:t>
      </w:r>
      <w:r>
        <w:rPr>
          <w:lang w:val="fr-FR"/>
        </w:rPr>
        <w:t xml:space="preserve">demandé des informations </w:t>
      </w:r>
      <w:r w:rsidRPr="00A63054">
        <w:rPr>
          <w:lang w:val="fr-FR"/>
        </w:rPr>
        <w:t>au Ministère turkmène de la justice ainsi qu</w:t>
      </w:r>
      <w:r>
        <w:rPr>
          <w:lang w:val="fr-FR"/>
        </w:rPr>
        <w:t>’</w:t>
      </w:r>
      <w:r w:rsidRPr="00A63054">
        <w:rPr>
          <w:lang w:val="fr-FR"/>
        </w:rPr>
        <w:t>à l</w:t>
      </w:r>
      <w:r>
        <w:rPr>
          <w:lang w:val="fr-FR"/>
        </w:rPr>
        <w:t>’</w:t>
      </w:r>
      <w:r w:rsidR="00EF49A3">
        <w:rPr>
          <w:lang w:val="fr-FR"/>
        </w:rPr>
        <w:t>a</w:t>
      </w:r>
      <w:r w:rsidRPr="00A63054">
        <w:rPr>
          <w:lang w:val="fr-FR"/>
        </w:rPr>
        <w:t>mbassade du</w:t>
      </w:r>
      <w:r w:rsidR="00EF49A3">
        <w:rPr>
          <w:lang w:val="fr-FR"/>
        </w:rPr>
        <w:t> </w:t>
      </w:r>
      <w:r w:rsidRPr="00A63054">
        <w:rPr>
          <w:lang w:val="fr-FR"/>
        </w:rPr>
        <w:t xml:space="preserve">Turkménistan en Fédération de Russie, en vain. Elle affirme donc avoir épuisé tous les recours internes </w:t>
      </w:r>
      <w:r>
        <w:rPr>
          <w:lang w:val="fr-FR"/>
        </w:rPr>
        <w:t>utiles qui lui étaient ouverts.</w:t>
      </w:r>
    </w:p>
    <w:p w:rsidR="002D7528" w:rsidRPr="00A63054" w:rsidRDefault="002D7528" w:rsidP="00057895">
      <w:pPr>
        <w:pStyle w:val="H23G"/>
        <w:rPr>
          <w:lang w:val="fr-FR"/>
        </w:rPr>
      </w:pPr>
      <w:r w:rsidRPr="00A63054">
        <w:rPr>
          <w:lang w:val="fr-FR"/>
        </w:rPr>
        <w:tab/>
      </w:r>
      <w:r w:rsidRPr="00A63054">
        <w:rPr>
          <w:lang w:val="fr-FR"/>
        </w:rPr>
        <w:tab/>
        <w:t xml:space="preserve">Absence de </w:t>
      </w:r>
      <w:r w:rsidRPr="00B50FBD">
        <w:t>coopération</w:t>
      </w:r>
      <w:r w:rsidRPr="00A63054">
        <w:rPr>
          <w:lang w:val="fr-FR"/>
        </w:rPr>
        <w:t xml:space="preserve"> de l</w:t>
      </w:r>
      <w:r>
        <w:rPr>
          <w:lang w:val="fr-FR"/>
        </w:rPr>
        <w:t>’</w:t>
      </w:r>
      <w:r w:rsidRPr="00A63054">
        <w:rPr>
          <w:lang w:val="fr-FR"/>
        </w:rPr>
        <w:t>État partie</w:t>
      </w:r>
    </w:p>
    <w:p w:rsidR="002D7528" w:rsidRPr="00A63054" w:rsidRDefault="002D7528" w:rsidP="00057895">
      <w:pPr>
        <w:pStyle w:val="SingleTxtG"/>
        <w:rPr>
          <w:lang w:val="fr-FR"/>
        </w:rPr>
      </w:pPr>
      <w:r>
        <w:rPr>
          <w:lang w:val="fr-FR"/>
        </w:rPr>
        <w:t>4.</w:t>
      </w:r>
      <w:r>
        <w:rPr>
          <w:lang w:val="fr-FR"/>
        </w:rPr>
        <w:tab/>
        <w:t>Les 7 février, 14 mai et 3 </w:t>
      </w:r>
      <w:r w:rsidRPr="00A63054">
        <w:rPr>
          <w:lang w:val="fr-FR"/>
        </w:rPr>
        <w:t>juillet 2012, l</w:t>
      </w:r>
      <w:r>
        <w:rPr>
          <w:lang w:val="fr-FR"/>
        </w:rPr>
        <w:t>’</w:t>
      </w:r>
      <w:r w:rsidRPr="00A63054">
        <w:rPr>
          <w:lang w:val="fr-FR"/>
        </w:rPr>
        <w:t xml:space="preserve">État partie a été invité à soumettre ses observations sur la recevabilité et sur le fond de la communication. Le Comité note que </w:t>
      </w:r>
      <w:r w:rsidRPr="00A63054" w:rsidDel="001D0787">
        <w:rPr>
          <w:lang w:val="fr-FR"/>
        </w:rPr>
        <w:t>les renseignements demandés</w:t>
      </w:r>
      <w:r w:rsidRPr="00A63054">
        <w:rPr>
          <w:lang w:val="fr-FR"/>
        </w:rPr>
        <w:t xml:space="preserve"> n</w:t>
      </w:r>
      <w:r>
        <w:rPr>
          <w:lang w:val="fr-FR"/>
        </w:rPr>
        <w:t>’ont</w:t>
      </w:r>
      <w:r w:rsidRPr="00A63054">
        <w:rPr>
          <w:lang w:val="fr-FR"/>
        </w:rPr>
        <w:t xml:space="preserve"> pas été reçus. Il regrette que l</w:t>
      </w:r>
      <w:r>
        <w:rPr>
          <w:lang w:val="fr-FR"/>
        </w:rPr>
        <w:t>’</w:t>
      </w:r>
      <w:r w:rsidRPr="00A63054">
        <w:rPr>
          <w:lang w:val="fr-FR"/>
        </w:rPr>
        <w:t>État partie n</w:t>
      </w:r>
      <w:r>
        <w:rPr>
          <w:lang w:val="fr-FR"/>
        </w:rPr>
        <w:t>’</w:t>
      </w:r>
      <w:r w:rsidRPr="00A63054">
        <w:rPr>
          <w:lang w:val="fr-FR"/>
        </w:rPr>
        <w:t>ait donné aucune information sur la recevabilité et/ou sur le fond des griefs de l</w:t>
      </w:r>
      <w:r>
        <w:rPr>
          <w:lang w:val="fr-FR"/>
        </w:rPr>
        <w:t>’</w:t>
      </w:r>
      <w:r w:rsidRPr="00A63054">
        <w:rPr>
          <w:lang w:val="fr-FR"/>
        </w:rPr>
        <w:t>auteure. Il rappelle que, conformément au paragraphe 2 de l</w:t>
      </w:r>
      <w:r>
        <w:rPr>
          <w:lang w:val="fr-FR"/>
        </w:rPr>
        <w:t>’</w:t>
      </w:r>
      <w:r w:rsidRPr="00A63054">
        <w:rPr>
          <w:lang w:val="fr-FR"/>
        </w:rPr>
        <w:t>article 4 du Protocole facultatif, l</w:t>
      </w:r>
      <w:r>
        <w:rPr>
          <w:lang w:val="fr-FR"/>
        </w:rPr>
        <w:t>’</w:t>
      </w:r>
      <w:r w:rsidRPr="00A63054">
        <w:rPr>
          <w:lang w:val="fr-FR"/>
        </w:rPr>
        <w:t>État partie concerné est tenu de soumettre par écrit au Comité des explications o</w:t>
      </w:r>
      <w:r w:rsidR="00DC6335">
        <w:rPr>
          <w:lang w:val="fr-FR"/>
        </w:rPr>
        <w:t xml:space="preserve">u déclarations éclaircissant la </w:t>
      </w:r>
      <w:r w:rsidRPr="00A63054">
        <w:rPr>
          <w:lang w:val="fr-FR"/>
        </w:rPr>
        <w:t>question et indiquant, s’il y a lieu, les mesures qu</w:t>
      </w:r>
      <w:r>
        <w:rPr>
          <w:lang w:val="fr-FR"/>
        </w:rPr>
        <w:t>’</w:t>
      </w:r>
      <w:r w:rsidRPr="00A63054">
        <w:rPr>
          <w:lang w:val="fr-FR"/>
        </w:rPr>
        <w:t>il pourrait avoir prises pour remédier à la situation. En l</w:t>
      </w:r>
      <w:r>
        <w:rPr>
          <w:lang w:val="fr-FR"/>
        </w:rPr>
        <w:t>’</w:t>
      </w:r>
      <w:r w:rsidRPr="00A63054">
        <w:rPr>
          <w:lang w:val="fr-FR"/>
        </w:rPr>
        <w:t>absence de réponse de l</w:t>
      </w:r>
      <w:r>
        <w:rPr>
          <w:lang w:val="fr-FR"/>
        </w:rPr>
        <w:t>’</w:t>
      </w:r>
      <w:r w:rsidRPr="00A63054">
        <w:rPr>
          <w:lang w:val="fr-FR"/>
        </w:rPr>
        <w:t>État par</w:t>
      </w:r>
      <w:r w:rsidR="00EF49A3">
        <w:rPr>
          <w:lang w:val="fr-FR"/>
        </w:rPr>
        <w:t xml:space="preserve">tie, le Comité doit accorder le </w:t>
      </w:r>
      <w:r w:rsidRPr="00A63054">
        <w:rPr>
          <w:lang w:val="fr-FR"/>
        </w:rPr>
        <w:t>crédit voulu aux allégations de l</w:t>
      </w:r>
      <w:r>
        <w:rPr>
          <w:lang w:val="fr-FR"/>
        </w:rPr>
        <w:t>’</w:t>
      </w:r>
      <w:r w:rsidRPr="00A63054">
        <w:rPr>
          <w:lang w:val="fr-FR"/>
        </w:rPr>
        <w:t>auteur</w:t>
      </w:r>
      <w:r w:rsidR="00191B4D">
        <w:rPr>
          <w:lang w:val="fr-FR"/>
        </w:rPr>
        <w:t>e</w:t>
      </w:r>
      <w:r w:rsidRPr="00A63054">
        <w:rPr>
          <w:lang w:val="fr-FR"/>
        </w:rPr>
        <w:t xml:space="preserve"> qui sont suffisamment étayées</w:t>
      </w:r>
      <w:r w:rsidR="00514FD5">
        <w:rPr>
          <w:rStyle w:val="FootnoteReference"/>
        </w:rPr>
        <w:footnoteReference w:id="5"/>
      </w:r>
      <w:r w:rsidRPr="00A63054">
        <w:rPr>
          <w:lang w:val="fr-FR"/>
        </w:rPr>
        <w:t>.</w:t>
      </w:r>
    </w:p>
    <w:p w:rsidR="002D7528" w:rsidRPr="00A63054" w:rsidRDefault="002D7528" w:rsidP="00057895">
      <w:pPr>
        <w:pStyle w:val="H23G"/>
        <w:rPr>
          <w:lang w:val="fr-FR"/>
        </w:rPr>
      </w:pPr>
      <w:r w:rsidRPr="00A63054">
        <w:rPr>
          <w:lang w:val="fr-FR"/>
        </w:rPr>
        <w:tab/>
      </w:r>
      <w:r w:rsidRPr="00A63054">
        <w:rPr>
          <w:lang w:val="fr-FR"/>
        </w:rPr>
        <w:tab/>
        <w:t>Délibérations du Comité</w:t>
      </w:r>
    </w:p>
    <w:p w:rsidR="002D7528" w:rsidRPr="00A63054" w:rsidRDefault="002D7528" w:rsidP="00057895">
      <w:pPr>
        <w:pStyle w:val="H4G"/>
        <w:rPr>
          <w:lang w:val="fr-FR"/>
        </w:rPr>
      </w:pPr>
      <w:r w:rsidRPr="00A63054">
        <w:rPr>
          <w:lang w:val="fr-FR"/>
        </w:rPr>
        <w:tab/>
      </w:r>
      <w:r w:rsidRPr="00A63054">
        <w:rPr>
          <w:lang w:val="fr-FR"/>
        </w:rPr>
        <w:tab/>
        <w:t>Examen de la recevabilité</w:t>
      </w:r>
    </w:p>
    <w:p w:rsidR="002D7528" w:rsidRPr="00A63054" w:rsidRDefault="002D7528" w:rsidP="00057895">
      <w:pPr>
        <w:pStyle w:val="SingleTxtG"/>
        <w:rPr>
          <w:lang w:val="fr-FR"/>
        </w:rPr>
      </w:pPr>
      <w:r w:rsidRPr="00A63054">
        <w:rPr>
          <w:lang w:val="fr-FR"/>
        </w:rPr>
        <w:t>5.1</w:t>
      </w:r>
      <w:r w:rsidRPr="00A63054">
        <w:rPr>
          <w:lang w:val="fr-FR"/>
        </w:rPr>
        <w:tab/>
        <w:t>Avant d</w:t>
      </w:r>
      <w:r>
        <w:rPr>
          <w:lang w:val="fr-FR"/>
        </w:rPr>
        <w:t>’</w:t>
      </w:r>
      <w:r w:rsidRPr="00A63054">
        <w:rPr>
          <w:lang w:val="fr-FR"/>
        </w:rPr>
        <w:t>examiner toute plainte soumise dans une communication, le Comité des</w:t>
      </w:r>
      <w:r w:rsidR="00B7577E">
        <w:rPr>
          <w:lang w:val="fr-FR"/>
        </w:rPr>
        <w:t> </w:t>
      </w:r>
      <w:r w:rsidRPr="00A63054">
        <w:rPr>
          <w:lang w:val="fr-FR"/>
        </w:rPr>
        <w:t>droits de l</w:t>
      </w:r>
      <w:r>
        <w:rPr>
          <w:lang w:val="fr-FR"/>
        </w:rPr>
        <w:t>’</w:t>
      </w:r>
      <w:r w:rsidRPr="00A63054">
        <w:rPr>
          <w:lang w:val="fr-FR"/>
        </w:rPr>
        <w:t>homme</w:t>
      </w:r>
      <w:r>
        <w:rPr>
          <w:lang w:val="fr-FR"/>
        </w:rPr>
        <w:t xml:space="preserve"> doit, conformément à l’article </w:t>
      </w:r>
      <w:r w:rsidRPr="00A63054">
        <w:rPr>
          <w:lang w:val="fr-FR"/>
        </w:rPr>
        <w:t>93 de son règlement intérieur, déterminer si la communication est recevable en vertu du Protocole facultatif se rapportant au Pacte.</w:t>
      </w:r>
    </w:p>
    <w:p w:rsidR="002D7528" w:rsidRPr="009132BD" w:rsidRDefault="002D7528" w:rsidP="00057895">
      <w:pPr>
        <w:pStyle w:val="SingleTxtG"/>
        <w:rPr>
          <w:spacing w:val="-2"/>
          <w:lang w:val="fr-FR"/>
        </w:rPr>
      </w:pPr>
      <w:r w:rsidRPr="009132BD">
        <w:rPr>
          <w:spacing w:val="-2"/>
          <w:lang w:val="fr-FR"/>
        </w:rPr>
        <w:t>5.2</w:t>
      </w:r>
      <w:r w:rsidRPr="009132BD">
        <w:rPr>
          <w:spacing w:val="-2"/>
          <w:lang w:val="fr-FR"/>
        </w:rPr>
        <w:tab/>
        <w:t>Conformément aux dispositions du paragraphe 2 a) de l</w:t>
      </w:r>
      <w:r>
        <w:rPr>
          <w:spacing w:val="-2"/>
          <w:lang w:val="fr-FR"/>
        </w:rPr>
        <w:t>’</w:t>
      </w:r>
      <w:r w:rsidRPr="009132BD">
        <w:rPr>
          <w:spacing w:val="-2"/>
          <w:lang w:val="fr-FR"/>
        </w:rPr>
        <w:t>article 5 du Protocole facultatif, le Comité doit s</w:t>
      </w:r>
      <w:r>
        <w:rPr>
          <w:spacing w:val="-2"/>
          <w:lang w:val="fr-FR"/>
        </w:rPr>
        <w:t>’</w:t>
      </w:r>
      <w:r w:rsidRPr="009132BD">
        <w:rPr>
          <w:spacing w:val="-2"/>
          <w:lang w:val="fr-FR"/>
        </w:rPr>
        <w:t>assurer que la même question n</w:t>
      </w:r>
      <w:r>
        <w:rPr>
          <w:spacing w:val="-2"/>
          <w:lang w:val="fr-FR"/>
        </w:rPr>
        <w:t>’</w:t>
      </w:r>
      <w:r w:rsidRPr="009132BD">
        <w:rPr>
          <w:spacing w:val="-2"/>
          <w:lang w:val="fr-FR"/>
        </w:rPr>
        <w:t>est pas déjà en cours d</w:t>
      </w:r>
      <w:r>
        <w:rPr>
          <w:spacing w:val="-2"/>
          <w:lang w:val="fr-FR"/>
        </w:rPr>
        <w:t>’</w:t>
      </w:r>
      <w:r w:rsidRPr="009132BD">
        <w:rPr>
          <w:spacing w:val="-2"/>
          <w:lang w:val="fr-FR"/>
        </w:rPr>
        <w:t>examen devant une autre instance internationale d</w:t>
      </w:r>
      <w:r>
        <w:rPr>
          <w:spacing w:val="-2"/>
          <w:lang w:val="fr-FR"/>
        </w:rPr>
        <w:t>’</w:t>
      </w:r>
      <w:r w:rsidRPr="009132BD">
        <w:rPr>
          <w:spacing w:val="-2"/>
          <w:lang w:val="fr-FR"/>
        </w:rPr>
        <w:t>enquête ou de règlement. Il note que le cas de</w:t>
      </w:r>
      <w:r w:rsidR="00801750">
        <w:rPr>
          <w:spacing w:val="-2"/>
          <w:lang w:val="fr-FR"/>
        </w:rPr>
        <w:t> </w:t>
      </w:r>
      <w:r w:rsidRPr="009132BD">
        <w:rPr>
          <w:spacing w:val="-2"/>
          <w:lang w:val="fr-FR"/>
        </w:rPr>
        <w:t>M. </w:t>
      </w:r>
      <w:r>
        <w:rPr>
          <w:spacing w:val="-2"/>
          <w:lang w:val="fr-FR"/>
        </w:rPr>
        <w:t>Shikhm</w:t>
      </w:r>
      <w:r w:rsidRPr="009132BD">
        <w:rPr>
          <w:spacing w:val="-2"/>
          <w:lang w:val="fr-FR"/>
        </w:rPr>
        <w:t>uradov a été soumis au Groupe de travail sur les disparitions forcées ou involontaires. Il rappelle que les procédures ou les mécanismes extraconventionnels mis en place par la Commission des droits de l</w:t>
      </w:r>
      <w:r>
        <w:rPr>
          <w:spacing w:val="-2"/>
          <w:lang w:val="fr-FR"/>
        </w:rPr>
        <w:t>’</w:t>
      </w:r>
      <w:r w:rsidRPr="009132BD">
        <w:rPr>
          <w:spacing w:val="-2"/>
          <w:lang w:val="fr-FR"/>
        </w:rPr>
        <w:t>homme ou le Conseil des droits de l</w:t>
      </w:r>
      <w:r>
        <w:rPr>
          <w:spacing w:val="-2"/>
          <w:lang w:val="fr-FR"/>
        </w:rPr>
        <w:t>’</w:t>
      </w:r>
      <w:r w:rsidRPr="009132BD">
        <w:rPr>
          <w:spacing w:val="-2"/>
          <w:lang w:val="fr-FR"/>
        </w:rPr>
        <w:t>homme, et qui ont pour mandat d</w:t>
      </w:r>
      <w:r>
        <w:rPr>
          <w:spacing w:val="-2"/>
          <w:lang w:val="fr-FR"/>
        </w:rPr>
        <w:t>’</w:t>
      </w:r>
      <w:r w:rsidRPr="009132BD">
        <w:rPr>
          <w:spacing w:val="-2"/>
          <w:lang w:val="fr-FR"/>
        </w:rPr>
        <w:t>examiner la situation des droits de l</w:t>
      </w:r>
      <w:r>
        <w:rPr>
          <w:spacing w:val="-2"/>
          <w:lang w:val="fr-FR"/>
        </w:rPr>
        <w:t>’</w:t>
      </w:r>
      <w:r w:rsidRPr="009132BD">
        <w:rPr>
          <w:spacing w:val="-2"/>
          <w:lang w:val="fr-FR"/>
        </w:rPr>
        <w:t>homme dans des pays ou territoires déterminés ou des cas de violations généralisées des droits de l</w:t>
      </w:r>
      <w:r w:rsidR="00801750">
        <w:rPr>
          <w:spacing w:val="-2"/>
          <w:lang w:val="fr-FR"/>
        </w:rPr>
        <w:t xml:space="preserve">’homme dans le </w:t>
      </w:r>
      <w:r w:rsidRPr="009132BD">
        <w:rPr>
          <w:spacing w:val="-2"/>
          <w:lang w:val="fr-FR"/>
        </w:rPr>
        <w:t>monde et de</w:t>
      </w:r>
      <w:r w:rsidR="00801750">
        <w:rPr>
          <w:spacing w:val="-2"/>
          <w:lang w:val="fr-FR"/>
        </w:rPr>
        <w:t> </w:t>
      </w:r>
      <w:r w:rsidRPr="009132BD">
        <w:rPr>
          <w:spacing w:val="-2"/>
          <w:lang w:val="fr-FR"/>
        </w:rPr>
        <w:t>faire rapport publiquement sur ces situations, ne constituent pas en règle générale une</w:t>
      </w:r>
      <w:r w:rsidR="00801750">
        <w:rPr>
          <w:spacing w:val="-2"/>
          <w:lang w:val="fr-FR"/>
        </w:rPr>
        <w:t> </w:t>
      </w:r>
      <w:r w:rsidRPr="009132BD">
        <w:rPr>
          <w:spacing w:val="-2"/>
          <w:lang w:val="fr-FR"/>
        </w:rPr>
        <w:t>procédure internationale d</w:t>
      </w:r>
      <w:r>
        <w:rPr>
          <w:spacing w:val="-2"/>
          <w:lang w:val="fr-FR"/>
        </w:rPr>
        <w:t>’</w:t>
      </w:r>
      <w:r w:rsidRPr="009132BD">
        <w:rPr>
          <w:spacing w:val="-2"/>
          <w:lang w:val="fr-FR"/>
        </w:rPr>
        <w:t>enquête ou de règlement au sens du paragraphe 2 a) de l</w:t>
      </w:r>
      <w:r>
        <w:rPr>
          <w:spacing w:val="-2"/>
          <w:lang w:val="fr-FR"/>
        </w:rPr>
        <w:t>’</w:t>
      </w:r>
      <w:r w:rsidRPr="009132BD">
        <w:rPr>
          <w:spacing w:val="-2"/>
          <w:lang w:val="fr-FR"/>
        </w:rPr>
        <w:t>article 5 du Protocole facultatif</w:t>
      </w:r>
      <w:r w:rsidR="00B9670B">
        <w:rPr>
          <w:rStyle w:val="FootnoteReference"/>
          <w:spacing w:val="-2"/>
        </w:rPr>
        <w:footnoteReference w:id="6"/>
      </w:r>
      <w:r w:rsidRPr="009132BD">
        <w:rPr>
          <w:spacing w:val="-2"/>
          <w:lang w:val="fr-FR"/>
        </w:rPr>
        <w:t>. Par conséquent, il considère qu</w:t>
      </w:r>
      <w:r>
        <w:rPr>
          <w:spacing w:val="-2"/>
          <w:lang w:val="fr-FR"/>
        </w:rPr>
        <w:t>’</w:t>
      </w:r>
      <w:r w:rsidRPr="009132BD">
        <w:rPr>
          <w:spacing w:val="-2"/>
          <w:lang w:val="fr-FR"/>
        </w:rPr>
        <w:t>il n</w:t>
      </w:r>
      <w:r>
        <w:rPr>
          <w:spacing w:val="-2"/>
          <w:lang w:val="fr-FR"/>
        </w:rPr>
        <w:t>’</w:t>
      </w:r>
      <w:r w:rsidRPr="009132BD">
        <w:rPr>
          <w:spacing w:val="-2"/>
          <w:lang w:val="fr-FR"/>
        </w:rPr>
        <w:t>est pas empêché par cette disposition d</w:t>
      </w:r>
      <w:r>
        <w:rPr>
          <w:spacing w:val="-2"/>
          <w:lang w:val="fr-FR"/>
        </w:rPr>
        <w:t>’</w:t>
      </w:r>
      <w:r w:rsidRPr="009132BD">
        <w:rPr>
          <w:spacing w:val="-2"/>
          <w:lang w:val="fr-FR"/>
        </w:rPr>
        <w:t>examiner la présente communication.</w:t>
      </w:r>
    </w:p>
    <w:p w:rsidR="00801750" w:rsidRPr="00A63054" w:rsidRDefault="002D7528" w:rsidP="00057895">
      <w:pPr>
        <w:pStyle w:val="SingleTxtG"/>
        <w:rPr>
          <w:lang w:val="fr-FR"/>
        </w:rPr>
      </w:pPr>
      <w:r>
        <w:rPr>
          <w:lang w:val="fr-FR"/>
        </w:rPr>
        <w:t>5.3</w:t>
      </w:r>
      <w:r w:rsidRPr="00A63054">
        <w:rPr>
          <w:lang w:val="fr-FR"/>
        </w:rPr>
        <w:tab/>
        <w:t>En ce qui concerne l</w:t>
      </w:r>
      <w:r>
        <w:rPr>
          <w:lang w:val="fr-FR"/>
        </w:rPr>
        <w:t>’</w:t>
      </w:r>
      <w:r w:rsidRPr="00A63054">
        <w:rPr>
          <w:lang w:val="fr-FR"/>
        </w:rPr>
        <w:t>épuisement des recours internes, le Comité note que malgré les trois rappels qui lui ont été envoyés, l</w:t>
      </w:r>
      <w:r>
        <w:rPr>
          <w:lang w:val="fr-FR"/>
        </w:rPr>
        <w:t>’</w:t>
      </w:r>
      <w:r w:rsidRPr="00A63054">
        <w:rPr>
          <w:lang w:val="fr-FR"/>
        </w:rPr>
        <w:t>État partie ne lui a ad</w:t>
      </w:r>
      <w:r w:rsidR="00DC6335">
        <w:rPr>
          <w:lang w:val="fr-FR"/>
        </w:rPr>
        <w:t xml:space="preserve">ressé aucune observation sur la </w:t>
      </w:r>
      <w:r w:rsidRPr="00A63054">
        <w:rPr>
          <w:lang w:val="fr-FR"/>
        </w:rPr>
        <w:t xml:space="preserve">recevabilité ou le fond de la communication. Dans </w:t>
      </w:r>
      <w:r w:rsidR="00DC6335">
        <w:rPr>
          <w:lang w:val="fr-FR"/>
        </w:rPr>
        <w:t xml:space="preserve">ces conditions, compte tenu des </w:t>
      </w:r>
      <w:r>
        <w:rPr>
          <w:lang w:val="fr-FR"/>
        </w:rPr>
        <w:t xml:space="preserve">efforts constants </w:t>
      </w:r>
      <w:r w:rsidRPr="00A63054">
        <w:rPr>
          <w:lang w:val="fr-FR"/>
        </w:rPr>
        <w:t>mais vains faits par l</w:t>
      </w:r>
      <w:r>
        <w:rPr>
          <w:lang w:val="fr-FR"/>
        </w:rPr>
        <w:t>’</w:t>
      </w:r>
      <w:r w:rsidRPr="00A63054">
        <w:rPr>
          <w:lang w:val="fr-FR"/>
        </w:rPr>
        <w:t>auteure et du fait que l</w:t>
      </w:r>
      <w:r>
        <w:rPr>
          <w:lang w:val="fr-FR"/>
        </w:rPr>
        <w:t>’</w:t>
      </w:r>
      <w:r w:rsidRPr="00A63054">
        <w:rPr>
          <w:lang w:val="fr-FR"/>
        </w:rPr>
        <w:t>État partie n</w:t>
      </w:r>
      <w:r>
        <w:rPr>
          <w:lang w:val="fr-FR"/>
        </w:rPr>
        <w:t>’</w:t>
      </w:r>
      <w:r w:rsidRPr="00A63054">
        <w:rPr>
          <w:lang w:val="fr-FR"/>
        </w:rPr>
        <w:t>a pas contesté la recevabilité de la communication, le Comité estime que rien ne s</w:t>
      </w:r>
      <w:r>
        <w:rPr>
          <w:lang w:val="fr-FR"/>
        </w:rPr>
        <w:t>’</w:t>
      </w:r>
      <w:r w:rsidRPr="00A63054">
        <w:rPr>
          <w:lang w:val="fr-FR"/>
        </w:rPr>
        <w:t>oppose à ce qu</w:t>
      </w:r>
      <w:r>
        <w:rPr>
          <w:lang w:val="fr-FR"/>
        </w:rPr>
        <w:t>’</w:t>
      </w:r>
      <w:r w:rsidRPr="00A63054">
        <w:rPr>
          <w:lang w:val="fr-FR"/>
        </w:rPr>
        <w:t>il examine la communica</w:t>
      </w:r>
      <w:r>
        <w:rPr>
          <w:lang w:val="fr-FR"/>
        </w:rPr>
        <w:t>tion conformément au paragraphe 2 </w:t>
      </w:r>
      <w:r w:rsidRPr="00A63054">
        <w:rPr>
          <w:lang w:val="fr-FR"/>
        </w:rPr>
        <w:t>b) de l</w:t>
      </w:r>
      <w:r>
        <w:rPr>
          <w:lang w:val="fr-FR"/>
        </w:rPr>
        <w:t>’</w:t>
      </w:r>
      <w:r w:rsidRPr="00A63054">
        <w:rPr>
          <w:lang w:val="fr-FR"/>
        </w:rPr>
        <w:t>art</w:t>
      </w:r>
      <w:r w:rsidR="00801750">
        <w:rPr>
          <w:lang w:val="fr-FR"/>
        </w:rPr>
        <w:t>icle 5 du Protocole facultatif.</w:t>
      </w:r>
    </w:p>
    <w:p w:rsidR="002D7528" w:rsidRPr="00A63054" w:rsidRDefault="002D7528" w:rsidP="00057895">
      <w:pPr>
        <w:pStyle w:val="SingleTxtG"/>
        <w:rPr>
          <w:lang w:val="fr-FR"/>
        </w:rPr>
      </w:pPr>
      <w:r w:rsidRPr="00A63054">
        <w:rPr>
          <w:lang w:val="fr-FR"/>
        </w:rPr>
        <w:t>5.4</w:t>
      </w:r>
      <w:r w:rsidRPr="00A63054">
        <w:rPr>
          <w:lang w:val="fr-FR"/>
        </w:rPr>
        <w:tab/>
      </w:r>
      <w:r w:rsidRPr="00A63054" w:rsidDel="001D0787">
        <w:rPr>
          <w:lang w:val="fr-FR"/>
        </w:rPr>
        <w:t>Pour ce qui est</w:t>
      </w:r>
      <w:r w:rsidRPr="00A63054">
        <w:rPr>
          <w:lang w:val="fr-FR"/>
        </w:rPr>
        <w:t xml:space="preserve"> du </w:t>
      </w:r>
      <w:r>
        <w:rPr>
          <w:lang w:val="fr-FR"/>
        </w:rPr>
        <w:t>grief de violation de l’article </w:t>
      </w:r>
      <w:r w:rsidRPr="00A63054">
        <w:rPr>
          <w:lang w:val="fr-FR"/>
        </w:rPr>
        <w:t xml:space="preserve">9 du Pacte </w:t>
      </w:r>
      <w:r w:rsidR="00DC6335">
        <w:rPr>
          <w:lang w:val="fr-FR"/>
        </w:rPr>
        <w:t xml:space="preserve">concernant la </w:t>
      </w:r>
      <w:r>
        <w:rPr>
          <w:lang w:val="fr-FR"/>
        </w:rPr>
        <w:t>détention initiale de M. Shikhm</w:t>
      </w:r>
      <w:r w:rsidRPr="00A63054">
        <w:rPr>
          <w:lang w:val="fr-FR"/>
        </w:rPr>
        <w:t>uradov, le Comité considère que, même si l</w:t>
      </w:r>
      <w:r>
        <w:rPr>
          <w:lang w:val="fr-FR"/>
        </w:rPr>
        <w:t>’</w:t>
      </w:r>
      <w:r w:rsidRPr="00A63054">
        <w:rPr>
          <w:lang w:val="fr-FR"/>
        </w:rPr>
        <w:t>État partie n</w:t>
      </w:r>
      <w:r>
        <w:rPr>
          <w:lang w:val="fr-FR"/>
        </w:rPr>
        <w:t>’</w:t>
      </w:r>
      <w:r w:rsidRPr="00A63054">
        <w:rPr>
          <w:lang w:val="fr-FR"/>
        </w:rPr>
        <w:t>a pas réfuté les allégations de l</w:t>
      </w:r>
      <w:r>
        <w:rPr>
          <w:lang w:val="fr-FR"/>
        </w:rPr>
        <w:t>’</w:t>
      </w:r>
      <w:r w:rsidRPr="00A63054">
        <w:rPr>
          <w:lang w:val="fr-FR"/>
        </w:rPr>
        <w:t xml:space="preserve">auteure, compte tenu des informations limitées figurant dans le dossier, </w:t>
      </w:r>
      <w:r>
        <w:rPr>
          <w:lang w:val="fr-FR"/>
        </w:rPr>
        <w:t>ces allégations n’ont</w:t>
      </w:r>
      <w:r w:rsidRPr="00A63054">
        <w:rPr>
          <w:lang w:val="fr-FR"/>
        </w:rPr>
        <w:t xml:space="preserve"> pas </w:t>
      </w:r>
      <w:r>
        <w:rPr>
          <w:lang w:val="fr-FR"/>
        </w:rPr>
        <w:t xml:space="preserve">été </w:t>
      </w:r>
      <w:r w:rsidRPr="00A63054">
        <w:rPr>
          <w:lang w:val="fr-FR"/>
        </w:rPr>
        <w:t>suffisamment étayé</w:t>
      </w:r>
      <w:r>
        <w:rPr>
          <w:lang w:val="fr-FR"/>
        </w:rPr>
        <w:t xml:space="preserve">es aux fins de la </w:t>
      </w:r>
      <w:r w:rsidRPr="00A63054">
        <w:rPr>
          <w:lang w:val="fr-FR"/>
        </w:rPr>
        <w:t>recevabilité. Il estime par conséquent que ce grief n</w:t>
      </w:r>
      <w:r>
        <w:rPr>
          <w:lang w:val="fr-FR"/>
        </w:rPr>
        <w:t>’</w:t>
      </w:r>
      <w:r w:rsidRPr="00A63054">
        <w:rPr>
          <w:lang w:val="fr-FR"/>
        </w:rPr>
        <w:t>est pas suffisamment étayé et le déclare ir</w:t>
      </w:r>
      <w:r>
        <w:rPr>
          <w:lang w:val="fr-FR"/>
        </w:rPr>
        <w:t>recevable en vertu de l’article 2 du Protocole facultatif.</w:t>
      </w:r>
    </w:p>
    <w:p w:rsidR="002D7528" w:rsidRPr="00A63054" w:rsidRDefault="002D7528" w:rsidP="00B7577E">
      <w:pPr>
        <w:pStyle w:val="SingleTxtG"/>
        <w:keepNext/>
        <w:keepLines/>
        <w:rPr>
          <w:lang w:val="fr-FR"/>
        </w:rPr>
      </w:pPr>
      <w:r w:rsidRPr="00A63054">
        <w:rPr>
          <w:lang w:val="fr-FR"/>
        </w:rPr>
        <w:t>5.5</w:t>
      </w:r>
      <w:r w:rsidRPr="00A63054">
        <w:rPr>
          <w:lang w:val="fr-FR"/>
        </w:rPr>
        <w:tab/>
        <w:t>Le Comité considère que l</w:t>
      </w:r>
      <w:r>
        <w:rPr>
          <w:lang w:val="fr-FR"/>
        </w:rPr>
        <w:t>’</w:t>
      </w:r>
      <w:r w:rsidRPr="00A63054">
        <w:rPr>
          <w:lang w:val="fr-FR"/>
        </w:rPr>
        <w:t>auteure a suffisamment étayé, aux fins de la recevabilité, ses autres griefs concernant les viol</w:t>
      </w:r>
      <w:r>
        <w:rPr>
          <w:lang w:val="fr-FR"/>
        </w:rPr>
        <w:t>ations des droits que M. Shikhmuradov tient</w:t>
      </w:r>
      <w:r w:rsidRPr="00A63054">
        <w:rPr>
          <w:lang w:val="fr-FR"/>
        </w:rPr>
        <w:t xml:space="preserve"> de l</w:t>
      </w:r>
      <w:r>
        <w:rPr>
          <w:lang w:val="fr-FR"/>
        </w:rPr>
        <w:t>’</w:t>
      </w:r>
      <w:r w:rsidRPr="00A63054">
        <w:rPr>
          <w:lang w:val="fr-FR"/>
        </w:rPr>
        <w:t>ar</w:t>
      </w:r>
      <w:r>
        <w:rPr>
          <w:lang w:val="fr-FR"/>
        </w:rPr>
        <w:t>ticle 6 (par.</w:t>
      </w:r>
      <w:r w:rsidR="00DC6335">
        <w:rPr>
          <w:lang w:val="fr-FR"/>
        </w:rPr>
        <w:t> </w:t>
      </w:r>
      <w:r>
        <w:rPr>
          <w:lang w:val="fr-FR"/>
        </w:rPr>
        <w:t>1), de l’article 7, de l’article 9 pour ce qui est de sa détention après sa condamnation, de l’article 14</w:t>
      </w:r>
      <w:r w:rsidRPr="00A63054">
        <w:rPr>
          <w:lang w:val="fr-FR"/>
        </w:rPr>
        <w:t xml:space="preserve"> (par.</w:t>
      </w:r>
      <w:r w:rsidR="00DC6335">
        <w:rPr>
          <w:lang w:val="fr-FR"/>
        </w:rPr>
        <w:t> </w:t>
      </w:r>
      <w:r w:rsidRPr="00A63054">
        <w:rPr>
          <w:lang w:val="fr-FR"/>
        </w:rPr>
        <w:t xml:space="preserve">1 et 5) </w:t>
      </w:r>
      <w:r>
        <w:rPr>
          <w:lang w:val="fr-FR"/>
        </w:rPr>
        <w:t xml:space="preserve">et de l’article 15, </w:t>
      </w:r>
      <w:r w:rsidRPr="00A63054">
        <w:rPr>
          <w:lang w:val="fr-FR"/>
        </w:rPr>
        <w:t>ainsi que les griefs de violation des droits qu’elle</w:t>
      </w:r>
      <w:r>
        <w:rPr>
          <w:lang w:val="fr-FR"/>
        </w:rPr>
        <w:t xml:space="preserve"> tient des</w:t>
      </w:r>
      <w:r w:rsidR="00DC6335">
        <w:rPr>
          <w:lang w:val="fr-FR"/>
        </w:rPr>
        <w:t xml:space="preserve"> articles 7 et </w:t>
      </w:r>
      <w:r w:rsidRPr="00A63054">
        <w:rPr>
          <w:lang w:val="fr-FR"/>
        </w:rPr>
        <w:t>17. Il déclare donc ces griefs recevables et procède à leur examen quant au fond.</w:t>
      </w:r>
    </w:p>
    <w:p w:rsidR="002D7528" w:rsidRPr="00A63054" w:rsidRDefault="002D7528" w:rsidP="00057895">
      <w:pPr>
        <w:pStyle w:val="H4G"/>
        <w:rPr>
          <w:lang w:val="fr-FR"/>
        </w:rPr>
      </w:pPr>
      <w:r w:rsidRPr="00A63054">
        <w:rPr>
          <w:lang w:val="fr-FR"/>
        </w:rPr>
        <w:tab/>
      </w:r>
      <w:r w:rsidRPr="00A63054">
        <w:rPr>
          <w:lang w:val="fr-FR"/>
        </w:rPr>
        <w:tab/>
        <w:t xml:space="preserve">Examen </w:t>
      </w:r>
      <w:r w:rsidRPr="003B35F7">
        <w:t>au</w:t>
      </w:r>
      <w:r w:rsidRPr="00A63054">
        <w:rPr>
          <w:lang w:val="fr-FR"/>
        </w:rPr>
        <w:t xml:space="preserve"> fond</w:t>
      </w:r>
    </w:p>
    <w:p w:rsidR="002D7528" w:rsidRPr="00A63054" w:rsidRDefault="002D7528" w:rsidP="00057895">
      <w:pPr>
        <w:pStyle w:val="SingleTxtG"/>
        <w:rPr>
          <w:lang w:val="fr-FR"/>
        </w:rPr>
      </w:pPr>
      <w:r>
        <w:rPr>
          <w:lang w:val="fr-FR"/>
        </w:rPr>
        <w:t>6.1</w:t>
      </w:r>
      <w:r w:rsidRPr="00A63054">
        <w:rPr>
          <w:lang w:val="fr-FR"/>
        </w:rPr>
        <w:tab/>
        <w:t>Conformément au paragra</w:t>
      </w:r>
      <w:r>
        <w:rPr>
          <w:lang w:val="fr-FR"/>
        </w:rPr>
        <w:t>phe 1 de l’article </w:t>
      </w:r>
      <w:r w:rsidRPr="00A63054">
        <w:rPr>
          <w:lang w:val="fr-FR"/>
        </w:rPr>
        <w:t>5 du Protocole facultatif, le Comité des droits de l</w:t>
      </w:r>
      <w:r>
        <w:rPr>
          <w:lang w:val="fr-FR"/>
        </w:rPr>
        <w:t>’</w:t>
      </w:r>
      <w:r w:rsidRPr="00A63054">
        <w:rPr>
          <w:lang w:val="fr-FR"/>
        </w:rPr>
        <w:t>homme a examiné la présente communication</w:t>
      </w:r>
      <w:r w:rsidR="00DC6335">
        <w:rPr>
          <w:lang w:val="fr-FR"/>
        </w:rPr>
        <w:t xml:space="preserve"> en tenant compte de toutes les </w:t>
      </w:r>
      <w:r w:rsidRPr="00A63054">
        <w:rPr>
          <w:lang w:val="fr-FR"/>
        </w:rPr>
        <w:t>informations qui lui ont été communiquées.</w:t>
      </w:r>
    </w:p>
    <w:p w:rsidR="002D7528" w:rsidRPr="00A63054" w:rsidRDefault="002D7528" w:rsidP="00057895">
      <w:pPr>
        <w:pStyle w:val="SingleTxtG"/>
        <w:rPr>
          <w:lang w:val="fr-FR"/>
        </w:rPr>
      </w:pPr>
      <w:r>
        <w:rPr>
          <w:lang w:val="fr-FR"/>
        </w:rPr>
        <w:t>6.2</w:t>
      </w:r>
      <w:r w:rsidRPr="00A63054">
        <w:rPr>
          <w:lang w:val="fr-FR"/>
        </w:rPr>
        <w:tab/>
        <w:t>Le Comité prend note des allégations de l</w:t>
      </w:r>
      <w:r>
        <w:rPr>
          <w:lang w:val="fr-FR"/>
        </w:rPr>
        <w:t>’</w:t>
      </w:r>
      <w:r w:rsidRPr="00A63054">
        <w:rPr>
          <w:lang w:val="fr-FR"/>
        </w:rPr>
        <w:t>auteure concernant l</w:t>
      </w:r>
      <w:r>
        <w:rPr>
          <w:lang w:val="fr-FR"/>
        </w:rPr>
        <w:t>’</w:t>
      </w:r>
      <w:r w:rsidRPr="00A63054">
        <w:rPr>
          <w:lang w:val="fr-FR"/>
        </w:rPr>
        <w:t xml:space="preserve">arrestation de son mari et son interrogatoire, son procès et sa disparition forcée. Il </w:t>
      </w:r>
      <w:r>
        <w:rPr>
          <w:lang w:val="fr-FR"/>
        </w:rPr>
        <w:t>note</w:t>
      </w:r>
      <w:r w:rsidRPr="00A63054">
        <w:rPr>
          <w:lang w:val="fr-FR"/>
        </w:rPr>
        <w:t xml:space="preserve"> aussi que l</w:t>
      </w:r>
      <w:r>
        <w:rPr>
          <w:lang w:val="fr-FR"/>
        </w:rPr>
        <w:t>’</w:t>
      </w:r>
      <w:r w:rsidRPr="00A63054">
        <w:rPr>
          <w:lang w:val="fr-FR"/>
        </w:rPr>
        <w:t>État partie n</w:t>
      </w:r>
      <w:r>
        <w:rPr>
          <w:lang w:val="fr-FR"/>
        </w:rPr>
        <w:t>’</w:t>
      </w:r>
      <w:r w:rsidRPr="00A63054">
        <w:rPr>
          <w:lang w:val="fr-FR"/>
        </w:rPr>
        <w:t>a pas communiqué d</w:t>
      </w:r>
      <w:r>
        <w:rPr>
          <w:lang w:val="fr-FR"/>
        </w:rPr>
        <w:t>’</w:t>
      </w:r>
      <w:r w:rsidRPr="00A63054">
        <w:rPr>
          <w:lang w:val="fr-FR"/>
        </w:rPr>
        <w:t>observations sur ces allégations. Il réaffirme que la charge de la preuve ne peut incomber seulement à l</w:t>
      </w:r>
      <w:r>
        <w:rPr>
          <w:lang w:val="fr-FR"/>
        </w:rPr>
        <w:t>’</w:t>
      </w:r>
      <w:r w:rsidRPr="00A63054">
        <w:rPr>
          <w:lang w:val="fr-FR"/>
        </w:rPr>
        <w:t>auteur</w:t>
      </w:r>
      <w:r w:rsidR="00191B4D">
        <w:rPr>
          <w:lang w:val="fr-FR"/>
        </w:rPr>
        <w:t>e</w:t>
      </w:r>
      <w:r w:rsidRPr="00A63054">
        <w:rPr>
          <w:lang w:val="fr-FR"/>
        </w:rPr>
        <w:t xml:space="preserve"> de la communication, d</w:t>
      </w:r>
      <w:r>
        <w:rPr>
          <w:lang w:val="fr-FR"/>
        </w:rPr>
        <w:t>’</w:t>
      </w:r>
      <w:r w:rsidRPr="00A63054">
        <w:rPr>
          <w:lang w:val="fr-FR"/>
        </w:rPr>
        <w:t>autant plus que l</w:t>
      </w:r>
      <w:r>
        <w:rPr>
          <w:lang w:val="fr-FR"/>
        </w:rPr>
        <w:t>’</w:t>
      </w:r>
      <w:r w:rsidRPr="00A63054">
        <w:rPr>
          <w:lang w:val="fr-FR"/>
        </w:rPr>
        <w:t>auteur</w:t>
      </w:r>
      <w:r w:rsidR="00191B4D">
        <w:rPr>
          <w:lang w:val="fr-FR"/>
        </w:rPr>
        <w:t>e</w:t>
      </w:r>
      <w:r w:rsidRPr="00A63054">
        <w:rPr>
          <w:lang w:val="fr-FR"/>
        </w:rPr>
        <w:t xml:space="preserve"> et l</w:t>
      </w:r>
      <w:r>
        <w:rPr>
          <w:lang w:val="fr-FR"/>
        </w:rPr>
        <w:t>’</w:t>
      </w:r>
      <w:r w:rsidRPr="00A63054">
        <w:rPr>
          <w:lang w:val="fr-FR"/>
        </w:rPr>
        <w:t>État partie n</w:t>
      </w:r>
      <w:r>
        <w:rPr>
          <w:lang w:val="fr-FR"/>
        </w:rPr>
        <w:t>’</w:t>
      </w:r>
      <w:r w:rsidRPr="00A63054">
        <w:rPr>
          <w:lang w:val="fr-FR"/>
        </w:rPr>
        <w:t>ont pas toujours un accès égal aux éléments de preuve et que souvent seul l</w:t>
      </w:r>
      <w:r>
        <w:rPr>
          <w:lang w:val="fr-FR"/>
        </w:rPr>
        <w:t>’</w:t>
      </w:r>
      <w:r w:rsidRPr="00A63054">
        <w:rPr>
          <w:lang w:val="fr-FR"/>
        </w:rPr>
        <w:t>État partie dispose des renseignements nécessaires</w:t>
      </w:r>
      <w:r w:rsidR="00801750">
        <w:rPr>
          <w:rStyle w:val="FootnoteReference"/>
        </w:rPr>
        <w:footnoteReference w:id="7"/>
      </w:r>
      <w:r w:rsidRPr="00A63054">
        <w:rPr>
          <w:lang w:val="fr-FR"/>
        </w:rPr>
        <w:t xml:space="preserve">. </w:t>
      </w:r>
      <w:r w:rsidRPr="00A63054">
        <w:rPr>
          <w:bCs/>
          <w:lang w:val="fr-FR"/>
        </w:rPr>
        <w:t>Il ressort implicitement du paragraphe 2 de l</w:t>
      </w:r>
      <w:r>
        <w:rPr>
          <w:bCs/>
          <w:lang w:val="fr-FR"/>
        </w:rPr>
        <w:t>’</w:t>
      </w:r>
      <w:r w:rsidRPr="00A63054">
        <w:rPr>
          <w:bCs/>
          <w:lang w:val="fr-FR"/>
        </w:rPr>
        <w:t>article 4 du Protocole facultatif que l</w:t>
      </w:r>
      <w:r>
        <w:rPr>
          <w:bCs/>
          <w:lang w:val="fr-FR"/>
        </w:rPr>
        <w:t>’</w:t>
      </w:r>
      <w:r w:rsidRPr="00A63054">
        <w:rPr>
          <w:bCs/>
          <w:lang w:val="fr-FR"/>
        </w:rPr>
        <w:t>État partie est tenu d</w:t>
      </w:r>
      <w:r>
        <w:rPr>
          <w:bCs/>
          <w:lang w:val="fr-FR"/>
        </w:rPr>
        <w:t>’</w:t>
      </w:r>
      <w:r w:rsidRPr="00A63054">
        <w:rPr>
          <w:bCs/>
          <w:lang w:val="fr-FR"/>
        </w:rPr>
        <w:t>enquêter de bonne foi sur toutes les allégations de violation du Pacte portées contre lui et ses représentants et de transmettre au Comité les renseignements qu</w:t>
      </w:r>
      <w:r>
        <w:rPr>
          <w:bCs/>
          <w:lang w:val="fr-FR"/>
        </w:rPr>
        <w:t>’</w:t>
      </w:r>
      <w:r w:rsidRPr="00A63054">
        <w:rPr>
          <w:bCs/>
          <w:lang w:val="fr-FR"/>
        </w:rPr>
        <w:t>il détient</w:t>
      </w:r>
      <w:r w:rsidRPr="00A63054">
        <w:rPr>
          <w:lang w:val="fr-FR"/>
        </w:rPr>
        <w:t xml:space="preserve">. </w:t>
      </w:r>
      <w:r w:rsidRPr="00A63054">
        <w:rPr>
          <w:bCs/>
          <w:lang w:val="fr-FR"/>
        </w:rPr>
        <w:t>Dans les cas où l</w:t>
      </w:r>
      <w:r>
        <w:rPr>
          <w:bCs/>
          <w:lang w:val="fr-FR"/>
        </w:rPr>
        <w:t>’</w:t>
      </w:r>
      <w:r w:rsidRPr="00A63054">
        <w:rPr>
          <w:bCs/>
          <w:lang w:val="fr-FR"/>
        </w:rPr>
        <w:t>auteur a communiqué à l</w:t>
      </w:r>
      <w:r>
        <w:rPr>
          <w:bCs/>
          <w:lang w:val="fr-FR"/>
        </w:rPr>
        <w:t>’</w:t>
      </w:r>
      <w:r w:rsidRPr="00A63054">
        <w:rPr>
          <w:bCs/>
          <w:lang w:val="fr-FR"/>
        </w:rPr>
        <w:t xml:space="preserve">État partie des allégations corroborées par des </w:t>
      </w:r>
      <w:r>
        <w:rPr>
          <w:bCs/>
          <w:lang w:val="fr-FR"/>
        </w:rPr>
        <w:t>preuves sérieuses</w:t>
      </w:r>
      <w:r w:rsidRPr="00A63054">
        <w:rPr>
          <w:bCs/>
          <w:lang w:val="fr-FR"/>
        </w:rPr>
        <w:t xml:space="preserve"> et où tout éclaircissement supplémentaire dépend de renseignements que l</w:t>
      </w:r>
      <w:r>
        <w:rPr>
          <w:bCs/>
          <w:lang w:val="fr-FR"/>
        </w:rPr>
        <w:t>’</w:t>
      </w:r>
      <w:r w:rsidRPr="00A63054">
        <w:rPr>
          <w:bCs/>
          <w:lang w:val="fr-FR"/>
        </w:rPr>
        <w:t>État partie est seul à détenir, le Comité peut estimer ces allégations fondées si l</w:t>
      </w:r>
      <w:r>
        <w:rPr>
          <w:bCs/>
          <w:lang w:val="fr-FR"/>
        </w:rPr>
        <w:t>’</w:t>
      </w:r>
      <w:r w:rsidRPr="00A63054">
        <w:rPr>
          <w:bCs/>
          <w:lang w:val="fr-FR"/>
        </w:rPr>
        <w:t>État partie ne les réfute pas en apportant des preuves et des explications satisfaisantes</w:t>
      </w:r>
      <w:r w:rsidRPr="00A63054">
        <w:rPr>
          <w:lang w:val="fr-FR"/>
        </w:rPr>
        <w:t>.</w:t>
      </w:r>
    </w:p>
    <w:p w:rsidR="002D7528" w:rsidRPr="00A63054" w:rsidRDefault="002D7528" w:rsidP="00057895">
      <w:pPr>
        <w:pStyle w:val="SingleTxtG"/>
        <w:rPr>
          <w:lang w:val="fr-FR"/>
        </w:rPr>
      </w:pPr>
      <w:r w:rsidRPr="00A63054">
        <w:rPr>
          <w:lang w:val="fr-FR"/>
        </w:rPr>
        <w:t>6.3</w:t>
      </w:r>
      <w:r w:rsidRPr="00A63054">
        <w:rPr>
          <w:lang w:val="fr-FR"/>
        </w:rPr>
        <w:tab/>
        <w:t>Le Comité note que d</w:t>
      </w:r>
      <w:r>
        <w:rPr>
          <w:lang w:val="fr-FR"/>
        </w:rPr>
        <w:t>’</w:t>
      </w:r>
      <w:r w:rsidRPr="00A63054">
        <w:rPr>
          <w:lang w:val="fr-FR"/>
        </w:rPr>
        <w:t>après les informations fournies par l</w:t>
      </w:r>
      <w:r>
        <w:rPr>
          <w:lang w:val="fr-FR"/>
        </w:rPr>
        <w:t>’</w:t>
      </w:r>
      <w:r w:rsidRPr="00A63054">
        <w:rPr>
          <w:lang w:val="fr-FR"/>
        </w:rPr>
        <w:t>auteure, q</w:t>
      </w:r>
      <w:r>
        <w:rPr>
          <w:lang w:val="fr-FR"/>
        </w:rPr>
        <w:t>ui n’ont pas été contestées, M. Shikhm</w:t>
      </w:r>
      <w:r w:rsidRPr="00A63054">
        <w:rPr>
          <w:lang w:val="fr-FR"/>
        </w:rPr>
        <w:t xml:space="preserve">uradov a été arrêté, jugé et condamné à </w:t>
      </w:r>
      <w:r>
        <w:rPr>
          <w:lang w:val="fr-FR"/>
        </w:rPr>
        <w:t>la réclusion à perpétuité</w:t>
      </w:r>
      <w:r w:rsidRPr="00A63054">
        <w:rPr>
          <w:lang w:val="fr-FR"/>
        </w:rPr>
        <w:t>, et depuis lors n</w:t>
      </w:r>
      <w:r>
        <w:rPr>
          <w:lang w:val="fr-FR"/>
        </w:rPr>
        <w:t>’</w:t>
      </w:r>
      <w:r w:rsidRPr="00A63054">
        <w:rPr>
          <w:lang w:val="fr-FR"/>
        </w:rPr>
        <w:t xml:space="preserve">a pas </w:t>
      </w:r>
      <w:r>
        <w:rPr>
          <w:lang w:val="fr-FR"/>
        </w:rPr>
        <w:t>pu</w:t>
      </w:r>
      <w:r w:rsidRPr="00A63054">
        <w:rPr>
          <w:lang w:val="fr-FR"/>
        </w:rPr>
        <w:t xml:space="preserve"> communiquer avec son épouse ni</w:t>
      </w:r>
      <w:r>
        <w:rPr>
          <w:lang w:val="fr-FR"/>
        </w:rPr>
        <w:t xml:space="preserve"> avec</w:t>
      </w:r>
      <w:r w:rsidRPr="00A63054">
        <w:rPr>
          <w:lang w:val="fr-FR"/>
        </w:rPr>
        <w:t xml:space="preserve"> d</w:t>
      </w:r>
      <w:r>
        <w:rPr>
          <w:lang w:val="fr-FR"/>
        </w:rPr>
        <w:t>’</w:t>
      </w:r>
      <w:r w:rsidRPr="00A63054">
        <w:rPr>
          <w:lang w:val="fr-FR"/>
        </w:rPr>
        <w:t>autres membres de la famille. Il constate également qu</w:t>
      </w:r>
      <w:r>
        <w:rPr>
          <w:lang w:val="fr-FR"/>
        </w:rPr>
        <w:t>’</w:t>
      </w:r>
      <w:r w:rsidRPr="00A63054">
        <w:rPr>
          <w:lang w:val="fr-FR"/>
        </w:rPr>
        <w:t>il n</w:t>
      </w:r>
      <w:r>
        <w:rPr>
          <w:lang w:val="fr-FR"/>
        </w:rPr>
        <w:t>’</w:t>
      </w:r>
      <w:r w:rsidRPr="00A63054">
        <w:rPr>
          <w:lang w:val="fr-FR"/>
        </w:rPr>
        <w:t>est pas contesté non plus que l</w:t>
      </w:r>
      <w:r>
        <w:rPr>
          <w:lang w:val="fr-FR"/>
        </w:rPr>
        <w:t>’on ignore où se trouve M. Shikhm</w:t>
      </w:r>
      <w:r w:rsidRPr="00A63054">
        <w:rPr>
          <w:lang w:val="fr-FR"/>
        </w:rPr>
        <w:t>uradov et que son épouse et ses proches ne savent rien de</w:t>
      </w:r>
      <w:r>
        <w:rPr>
          <w:lang w:val="fr-FR"/>
        </w:rPr>
        <w:t xml:space="preserve"> s</w:t>
      </w:r>
      <w:r w:rsidRPr="00A63054">
        <w:rPr>
          <w:lang w:val="fr-FR"/>
        </w:rPr>
        <w:t xml:space="preserve">a santé ni de </w:t>
      </w:r>
      <w:r>
        <w:rPr>
          <w:lang w:val="fr-FR"/>
        </w:rPr>
        <w:t>s</w:t>
      </w:r>
      <w:r w:rsidRPr="00A63054">
        <w:rPr>
          <w:lang w:val="fr-FR"/>
        </w:rPr>
        <w:t xml:space="preserve">es conditions </w:t>
      </w:r>
      <w:r>
        <w:rPr>
          <w:lang w:val="fr-FR"/>
        </w:rPr>
        <w:t>d’existence</w:t>
      </w:r>
      <w:r w:rsidRPr="00A63054">
        <w:rPr>
          <w:lang w:val="fr-FR"/>
        </w:rPr>
        <w:t xml:space="preserve">, malgré les nombreuses </w:t>
      </w:r>
      <w:r>
        <w:rPr>
          <w:lang w:val="fr-FR"/>
        </w:rPr>
        <w:t xml:space="preserve">tentatives qui </w:t>
      </w:r>
      <w:r w:rsidRPr="00A63054">
        <w:rPr>
          <w:lang w:val="fr-FR"/>
        </w:rPr>
        <w:t xml:space="preserve">ont </w:t>
      </w:r>
      <w:r>
        <w:rPr>
          <w:lang w:val="fr-FR"/>
        </w:rPr>
        <w:t xml:space="preserve">été </w:t>
      </w:r>
      <w:r w:rsidRPr="00A63054">
        <w:rPr>
          <w:lang w:val="fr-FR"/>
        </w:rPr>
        <w:t xml:space="preserve">faites </w:t>
      </w:r>
      <w:r>
        <w:rPr>
          <w:lang w:val="fr-FR"/>
        </w:rPr>
        <w:t xml:space="preserve">de contacter </w:t>
      </w:r>
      <w:r w:rsidRPr="00A63054">
        <w:rPr>
          <w:lang w:val="fr-FR"/>
        </w:rPr>
        <w:t>différentes autorités. L</w:t>
      </w:r>
      <w:r>
        <w:rPr>
          <w:lang w:val="fr-FR"/>
        </w:rPr>
        <w:t>’</w:t>
      </w:r>
      <w:r w:rsidRPr="00A63054">
        <w:rPr>
          <w:lang w:val="fr-FR"/>
        </w:rPr>
        <w:t xml:space="preserve">auteure dit ne pas </w:t>
      </w:r>
      <w:r>
        <w:rPr>
          <w:lang w:val="fr-FR"/>
        </w:rPr>
        <w:t>même</w:t>
      </w:r>
      <w:r w:rsidRPr="00A63054">
        <w:rPr>
          <w:lang w:val="fr-FR"/>
        </w:rPr>
        <w:t xml:space="preserve"> être sûre que son mari soit en vie. Le</w:t>
      </w:r>
      <w:r w:rsidR="006D0EDA">
        <w:rPr>
          <w:lang w:val="fr-FR"/>
        </w:rPr>
        <w:t> </w:t>
      </w:r>
      <w:r w:rsidRPr="00A63054">
        <w:rPr>
          <w:lang w:val="fr-FR"/>
        </w:rPr>
        <w:t>Comité note que l</w:t>
      </w:r>
      <w:r>
        <w:rPr>
          <w:lang w:val="fr-FR"/>
        </w:rPr>
        <w:t>’</w:t>
      </w:r>
      <w:r w:rsidRPr="00A63054">
        <w:rPr>
          <w:lang w:val="fr-FR"/>
        </w:rPr>
        <w:t>État partie n</w:t>
      </w:r>
      <w:r>
        <w:rPr>
          <w:lang w:val="fr-FR"/>
        </w:rPr>
        <w:t>’</w:t>
      </w:r>
      <w:r w:rsidRPr="00A63054">
        <w:rPr>
          <w:lang w:val="fr-FR"/>
        </w:rPr>
        <w:t>a pas contesté l</w:t>
      </w:r>
      <w:r>
        <w:rPr>
          <w:lang w:val="fr-FR"/>
        </w:rPr>
        <w:t>’</w:t>
      </w:r>
      <w:r w:rsidRPr="00A63054">
        <w:rPr>
          <w:lang w:val="fr-FR"/>
        </w:rPr>
        <w:t>allégation de l</w:t>
      </w:r>
      <w:r>
        <w:rPr>
          <w:lang w:val="fr-FR"/>
        </w:rPr>
        <w:t>’</w:t>
      </w:r>
      <w:r w:rsidRPr="00A63054">
        <w:rPr>
          <w:lang w:val="fr-FR"/>
        </w:rPr>
        <w:t>auteure, qui affirme qu</w:t>
      </w:r>
      <w:r>
        <w:rPr>
          <w:lang w:val="fr-FR"/>
        </w:rPr>
        <w:t>’</w:t>
      </w:r>
      <w:r w:rsidRPr="00A63054">
        <w:rPr>
          <w:lang w:val="fr-FR"/>
        </w:rPr>
        <w:t>elle n</w:t>
      </w:r>
      <w:r>
        <w:rPr>
          <w:lang w:val="fr-FR"/>
        </w:rPr>
        <w:t>’</w:t>
      </w:r>
      <w:r w:rsidRPr="00A63054">
        <w:rPr>
          <w:lang w:val="fr-FR"/>
        </w:rPr>
        <w:t xml:space="preserve">a eu aucun </w:t>
      </w:r>
      <w:r>
        <w:rPr>
          <w:lang w:val="fr-FR"/>
        </w:rPr>
        <w:t>contact avec son mari pendant douze</w:t>
      </w:r>
      <w:r w:rsidRPr="00A63054">
        <w:rPr>
          <w:lang w:val="fr-FR"/>
        </w:rPr>
        <w:t xml:space="preserve"> ans et que les autorités ne lui ont jamais donné aucune indication quant au lieu où il se trouvait. </w:t>
      </w:r>
      <w:r w:rsidRPr="00A63054">
        <w:rPr>
          <w:bCs/>
          <w:lang w:val="fr-FR"/>
        </w:rPr>
        <w:t>Le Comité rappelle sa jurisprudence et réaffirme que, dans les cas de disparitions forcées, le fait de priver une personne de liberté, puis de refuser de reconnaître cette privation de liberté ou de dissimuler le sort réservé à la personne disparue revient à soustraire cette personne à la protection de la loi et fait peser sur sa vie un risque constant et grave, dont l</w:t>
      </w:r>
      <w:r>
        <w:rPr>
          <w:bCs/>
          <w:lang w:val="fr-FR"/>
        </w:rPr>
        <w:t>’</w:t>
      </w:r>
      <w:r w:rsidRPr="00A63054">
        <w:rPr>
          <w:bCs/>
          <w:lang w:val="fr-FR"/>
        </w:rPr>
        <w:t>État est responsable</w:t>
      </w:r>
      <w:r w:rsidR="00801750">
        <w:rPr>
          <w:rStyle w:val="FootnoteReference"/>
          <w:bCs/>
        </w:rPr>
        <w:footnoteReference w:id="8"/>
      </w:r>
      <w:r w:rsidRPr="00A63054">
        <w:rPr>
          <w:bCs/>
          <w:lang w:val="fr-FR"/>
        </w:rPr>
        <w:t>. En</w:t>
      </w:r>
      <w:r>
        <w:rPr>
          <w:bCs/>
          <w:lang w:val="fr-FR"/>
        </w:rPr>
        <w:t> </w:t>
      </w:r>
      <w:r w:rsidRPr="00A63054">
        <w:rPr>
          <w:bCs/>
          <w:lang w:val="fr-FR"/>
        </w:rPr>
        <w:t>l</w:t>
      </w:r>
      <w:r>
        <w:rPr>
          <w:bCs/>
          <w:lang w:val="fr-FR"/>
        </w:rPr>
        <w:t>’</w:t>
      </w:r>
      <w:r w:rsidRPr="00A63054">
        <w:rPr>
          <w:bCs/>
          <w:lang w:val="fr-FR"/>
        </w:rPr>
        <w:t>espèce, le Comité constate que l</w:t>
      </w:r>
      <w:r>
        <w:rPr>
          <w:bCs/>
          <w:lang w:val="fr-FR"/>
        </w:rPr>
        <w:t>’</w:t>
      </w:r>
      <w:r w:rsidRPr="00A63054">
        <w:rPr>
          <w:bCs/>
          <w:lang w:val="fr-FR"/>
        </w:rPr>
        <w:t>État partie n</w:t>
      </w:r>
      <w:r>
        <w:rPr>
          <w:bCs/>
          <w:lang w:val="fr-FR"/>
        </w:rPr>
        <w:t>’</w:t>
      </w:r>
      <w:r w:rsidRPr="00A63054">
        <w:rPr>
          <w:bCs/>
          <w:lang w:val="fr-FR"/>
        </w:rPr>
        <w:t>a fourni aucun élément démontrant qu</w:t>
      </w:r>
      <w:r>
        <w:rPr>
          <w:bCs/>
          <w:lang w:val="fr-FR"/>
        </w:rPr>
        <w:t>’</w:t>
      </w:r>
      <w:r w:rsidRPr="00A63054">
        <w:rPr>
          <w:bCs/>
          <w:lang w:val="fr-FR"/>
        </w:rPr>
        <w:t>il s</w:t>
      </w:r>
      <w:r>
        <w:rPr>
          <w:bCs/>
          <w:lang w:val="fr-FR"/>
        </w:rPr>
        <w:t>’</w:t>
      </w:r>
      <w:r w:rsidRPr="00A63054">
        <w:rPr>
          <w:bCs/>
          <w:lang w:val="fr-FR"/>
        </w:rPr>
        <w:t>est acquitté de son obligation de protéger la vie de</w:t>
      </w:r>
      <w:r w:rsidRPr="00A63054">
        <w:rPr>
          <w:b/>
          <w:bCs/>
          <w:i/>
          <w:lang w:val="fr-FR"/>
        </w:rPr>
        <w:t xml:space="preserve"> </w:t>
      </w:r>
      <w:r w:rsidRPr="00A63054">
        <w:rPr>
          <w:bCs/>
          <w:lang w:val="fr-FR"/>
        </w:rPr>
        <w:t>M. </w:t>
      </w:r>
      <w:r>
        <w:rPr>
          <w:lang w:val="fr-FR"/>
        </w:rPr>
        <w:t>Shikhm</w:t>
      </w:r>
      <w:r w:rsidRPr="00A63054">
        <w:rPr>
          <w:lang w:val="fr-FR"/>
        </w:rPr>
        <w:t xml:space="preserve">uradov au cours des </w:t>
      </w:r>
      <w:r>
        <w:rPr>
          <w:lang w:val="fr-FR"/>
        </w:rPr>
        <w:t>douze</w:t>
      </w:r>
      <w:r w:rsidRPr="00A63054">
        <w:rPr>
          <w:lang w:val="fr-FR"/>
        </w:rPr>
        <w:t xml:space="preserve"> an</w:t>
      </w:r>
      <w:r>
        <w:rPr>
          <w:lang w:val="fr-FR"/>
        </w:rPr>
        <w:t>née</w:t>
      </w:r>
      <w:r w:rsidRPr="00A63054">
        <w:rPr>
          <w:lang w:val="fr-FR"/>
        </w:rPr>
        <w:t>s qui se sont écoulé</w:t>
      </w:r>
      <w:r>
        <w:rPr>
          <w:lang w:val="fr-FR"/>
        </w:rPr>
        <w:t>e</w:t>
      </w:r>
      <w:r w:rsidRPr="00A63054">
        <w:rPr>
          <w:lang w:val="fr-FR"/>
        </w:rPr>
        <w:t>s depuis sa condamnation. Dans ces circonstances, il convient d</w:t>
      </w:r>
      <w:r>
        <w:rPr>
          <w:lang w:val="fr-FR"/>
        </w:rPr>
        <w:t>’</w:t>
      </w:r>
      <w:r w:rsidRPr="00A63054">
        <w:rPr>
          <w:lang w:val="fr-FR"/>
        </w:rPr>
        <w:t>accorder le crédit voulu aux allégations de l</w:t>
      </w:r>
      <w:r>
        <w:rPr>
          <w:lang w:val="fr-FR"/>
        </w:rPr>
        <w:t>’</w:t>
      </w:r>
      <w:r w:rsidRPr="00A63054">
        <w:rPr>
          <w:lang w:val="fr-FR"/>
        </w:rPr>
        <w:t xml:space="preserve">auteure. En </w:t>
      </w:r>
      <w:r w:rsidRPr="00A63054">
        <w:rPr>
          <w:bCs/>
          <w:lang w:val="fr-FR"/>
        </w:rPr>
        <w:t xml:space="preserve">conséquence, </w:t>
      </w:r>
      <w:r>
        <w:rPr>
          <w:bCs/>
          <w:lang w:val="fr-FR"/>
        </w:rPr>
        <w:t>le Comité</w:t>
      </w:r>
      <w:r w:rsidRPr="00A63054">
        <w:rPr>
          <w:bCs/>
          <w:lang w:val="fr-FR"/>
        </w:rPr>
        <w:t xml:space="preserve"> conclut que l</w:t>
      </w:r>
      <w:r>
        <w:rPr>
          <w:bCs/>
          <w:lang w:val="fr-FR"/>
        </w:rPr>
        <w:t>’</w:t>
      </w:r>
      <w:r w:rsidRPr="00A63054">
        <w:rPr>
          <w:bCs/>
          <w:lang w:val="fr-FR"/>
        </w:rPr>
        <w:t>État partie a manqué à son devoir de protéger la vie de M.</w:t>
      </w:r>
      <w:r>
        <w:rPr>
          <w:lang w:val="fr-FR"/>
        </w:rPr>
        <w:t> Shikhm</w:t>
      </w:r>
      <w:r w:rsidRPr="00A63054">
        <w:rPr>
          <w:lang w:val="fr-FR"/>
        </w:rPr>
        <w:t>ura</w:t>
      </w:r>
      <w:r>
        <w:rPr>
          <w:lang w:val="fr-FR"/>
        </w:rPr>
        <w:t>dov, en violation du paragraphe 1 de l’article </w:t>
      </w:r>
      <w:r w:rsidRPr="00A63054">
        <w:rPr>
          <w:lang w:val="fr-FR"/>
        </w:rPr>
        <w:t>6 du Pacte</w:t>
      </w:r>
      <w:r w:rsidR="00801750">
        <w:rPr>
          <w:rStyle w:val="FootnoteReference"/>
        </w:rPr>
        <w:footnoteReference w:id="9"/>
      </w:r>
      <w:r w:rsidRPr="00A63054">
        <w:rPr>
          <w:lang w:val="fr-FR"/>
        </w:rPr>
        <w:t xml:space="preserve">. </w:t>
      </w:r>
    </w:p>
    <w:p w:rsidR="002D7528" w:rsidRPr="00A63054" w:rsidRDefault="002D7528" w:rsidP="00057895">
      <w:pPr>
        <w:pStyle w:val="SingleTxtG"/>
        <w:rPr>
          <w:lang w:val="fr-FR"/>
        </w:rPr>
      </w:pPr>
      <w:r w:rsidRPr="00A63054">
        <w:rPr>
          <w:lang w:val="fr-FR"/>
        </w:rPr>
        <w:t>6.4</w:t>
      </w:r>
      <w:r w:rsidRPr="00A63054">
        <w:rPr>
          <w:lang w:val="fr-FR"/>
        </w:rPr>
        <w:tab/>
        <w:t>Le Comité a conscience du degré de souffrance qu</w:t>
      </w:r>
      <w:r>
        <w:rPr>
          <w:lang w:val="fr-FR"/>
        </w:rPr>
        <w:t>’</w:t>
      </w:r>
      <w:r w:rsidRPr="00A63054">
        <w:rPr>
          <w:lang w:val="fr-FR"/>
        </w:rPr>
        <w:t xml:space="preserve">implique une détention sans contact avec le monde extérieur. Il rappelle son Observation générale </w:t>
      </w:r>
      <w:r w:rsidRPr="00A63054">
        <w:rPr>
          <w:rFonts w:eastAsia="MS Mincho"/>
          <w:lang w:val="fr-FR"/>
        </w:rPr>
        <w:t>n</w:t>
      </w:r>
      <w:r w:rsidRPr="00A63054">
        <w:rPr>
          <w:rFonts w:eastAsia="MS Mincho"/>
          <w:vertAlign w:val="superscript"/>
          <w:lang w:val="fr-FR"/>
        </w:rPr>
        <w:t>o</w:t>
      </w:r>
      <w:r w:rsidRPr="00A63054">
        <w:rPr>
          <w:lang w:val="fr-FR"/>
        </w:rPr>
        <w:t> 20 sur l’interdiction de la torture et des peines ou traitements cruels, inhumains ou dégradants, dans laquelle il recommande aux États parties de prendre des dispositions interdisant la détention au secret. Il note qu</w:t>
      </w:r>
      <w:r>
        <w:rPr>
          <w:lang w:val="fr-FR"/>
        </w:rPr>
        <w:t>’</w:t>
      </w:r>
      <w:r w:rsidRPr="00A63054">
        <w:rPr>
          <w:lang w:val="fr-FR"/>
        </w:rPr>
        <w:t>en l</w:t>
      </w:r>
      <w:r>
        <w:rPr>
          <w:lang w:val="fr-FR"/>
        </w:rPr>
        <w:t>’</w:t>
      </w:r>
      <w:r w:rsidRPr="00A63054">
        <w:rPr>
          <w:lang w:val="fr-FR"/>
        </w:rPr>
        <w:t>espèce, il n</w:t>
      </w:r>
      <w:r>
        <w:rPr>
          <w:lang w:val="fr-FR"/>
        </w:rPr>
        <w:t>’est pas contesté que M. Shikhm</w:t>
      </w:r>
      <w:r w:rsidRPr="00A63054">
        <w:rPr>
          <w:lang w:val="fr-FR"/>
        </w:rPr>
        <w:t>uradov est détenu au secret, dans un lieu tenu secret, sans possibilité de communiquer avec un avocat ni d</w:t>
      </w:r>
      <w:r>
        <w:rPr>
          <w:lang w:val="fr-FR"/>
        </w:rPr>
        <w:t>’</w:t>
      </w:r>
      <w:r w:rsidRPr="00A63054">
        <w:rPr>
          <w:lang w:val="fr-FR"/>
        </w:rPr>
        <w:t>avoir de contacts avec sa famille ou quiconque du monde extérieur. Le Comité prend note également de l</w:t>
      </w:r>
      <w:r>
        <w:rPr>
          <w:lang w:val="fr-FR"/>
        </w:rPr>
        <w:t>’</w:t>
      </w:r>
      <w:r w:rsidRPr="00A63054">
        <w:rPr>
          <w:lang w:val="fr-FR"/>
        </w:rPr>
        <w:t>allégation de l</w:t>
      </w:r>
      <w:r>
        <w:rPr>
          <w:lang w:val="fr-FR"/>
        </w:rPr>
        <w:t>’</w:t>
      </w:r>
      <w:r w:rsidRPr="00A63054">
        <w:rPr>
          <w:lang w:val="fr-FR"/>
        </w:rPr>
        <w:t>auteure au sujet de l</w:t>
      </w:r>
      <w:r>
        <w:rPr>
          <w:lang w:val="fr-FR"/>
        </w:rPr>
        <w:t>’</w:t>
      </w:r>
      <w:r w:rsidRPr="00A63054">
        <w:rPr>
          <w:lang w:val="fr-FR"/>
        </w:rPr>
        <w:t xml:space="preserve">enregistrement vidéo qui a été montré au Conseil du peuple, dans lequel </w:t>
      </w:r>
      <w:r>
        <w:rPr>
          <w:lang w:val="fr-FR"/>
        </w:rPr>
        <w:t>M. Shikhm</w:t>
      </w:r>
      <w:r w:rsidRPr="00A63054">
        <w:rPr>
          <w:lang w:val="fr-FR"/>
        </w:rPr>
        <w:t>uradov se</w:t>
      </w:r>
      <w:r>
        <w:rPr>
          <w:lang w:val="fr-FR"/>
        </w:rPr>
        <w:t>mblait être sous l’influence d’une «substance psychotrope»</w:t>
      </w:r>
      <w:r w:rsidRPr="00A63054">
        <w:rPr>
          <w:lang w:val="fr-FR"/>
        </w:rPr>
        <w:t xml:space="preserve">. Dans ces </w:t>
      </w:r>
      <w:r>
        <w:rPr>
          <w:lang w:val="fr-FR"/>
        </w:rPr>
        <w:t>circonstances</w:t>
      </w:r>
      <w:r w:rsidRPr="00A63054">
        <w:rPr>
          <w:lang w:val="fr-FR"/>
        </w:rPr>
        <w:t>, compt</w:t>
      </w:r>
      <w:r>
        <w:rPr>
          <w:lang w:val="fr-FR"/>
        </w:rPr>
        <w:t>e tenu de l’état de santé de M. Shikhm</w:t>
      </w:r>
      <w:r w:rsidRPr="00A63054">
        <w:rPr>
          <w:lang w:val="fr-FR"/>
        </w:rPr>
        <w:t>uradov avant son arrestation et étant donné que l</w:t>
      </w:r>
      <w:r>
        <w:rPr>
          <w:lang w:val="fr-FR"/>
        </w:rPr>
        <w:t>’</w:t>
      </w:r>
      <w:r w:rsidRPr="00A63054">
        <w:rPr>
          <w:lang w:val="fr-FR"/>
        </w:rPr>
        <w:t>État partie n</w:t>
      </w:r>
      <w:r>
        <w:rPr>
          <w:lang w:val="fr-FR"/>
        </w:rPr>
        <w:t>’</w:t>
      </w:r>
      <w:r w:rsidRPr="00A63054">
        <w:rPr>
          <w:lang w:val="fr-FR"/>
        </w:rPr>
        <w:t xml:space="preserve">a apporté aucune information </w:t>
      </w:r>
      <w:r w:rsidRPr="00A63054" w:rsidDel="001D0787">
        <w:rPr>
          <w:lang w:val="fr-FR"/>
        </w:rPr>
        <w:t>qui</w:t>
      </w:r>
      <w:r w:rsidRPr="00A63054">
        <w:rPr>
          <w:lang w:val="fr-FR"/>
        </w:rPr>
        <w:t xml:space="preserve"> contredirait ces renseignements, le Comité considère qu</w:t>
      </w:r>
      <w:r>
        <w:rPr>
          <w:lang w:val="fr-FR"/>
        </w:rPr>
        <w:t>’</w:t>
      </w:r>
      <w:r w:rsidRPr="00A63054">
        <w:rPr>
          <w:lang w:val="fr-FR"/>
        </w:rPr>
        <w:t>il convient d</w:t>
      </w:r>
      <w:r>
        <w:rPr>
          <w:lang w:val="fr-FR"/>
        </w:rPr>
        <w:t>’</w:t>
      </w:r>
      <w:r w:rsidRPr="00A63054">
        <w:rPr>
          <w:lang w:val="fr-FR"/>
        </w:rPr>
        <w:t>accorder le crédit voulu aux allégations de l</w:t>
      </w:r>
      <w:r>
        <w:rPr>
          <w:lang w:val="fr-FR"/>
        </w:rPr>
        <w:t>’</w:t>
      </w:r>
      <w:r w:rsidRPr="00A63054">
        <w:rPr>
          <w:lang w:val="fr-FR"/>
        </w:rPr>
        <w:t>auteure. En conséquence, il conclut que les faits tels qu</w:t>
      </w:r>
      <w:r>
        <w:rPr>
          <w:lang w:val="fr-FR"/>
        </w:rPr>
        <w:t>’</w:t>
      </w:r>
      <w:r w:rsidRPr="00A63054">
        <w:rPr>
          <w:lang w:val="fr-FR"/>
        </w:rPr>
        <w:t>ils sont présentés font appara</w:t>
      </w:r>
      <w:r>
        <w:rPr>
          <w:lang w:val="fr-FR"/>
        </w:rPr>
        <w:t>ître une violation de l’article </w:t>
      </w:r>
      <w:r w:rsidRPr="00A63054">
        <w:rPr>
          <w:lang w:val="fr-FR"/>
        </w:rPr>
        <w:t>7 du Pacte à l</w:t>
      </w:r>
      <w:r>
        <w:rPr>
          <w:lang w:val="fr-FR"/>
        </w:rPr>
        <w:t>’</w:t>
      </w:r>
      <w:r w:rsidRPr="00A63054">
        <w:rPr>
          <w:lang w:val="fr-FR"/>
        </w:rPr>
        <w:t xml:space="preserve">égard du mari </w:t>
      </w:r>
      <w:r>
        <w:rPr>
          <w:lang w:val="fr-FR"/>
        </w:rPr>
        <w:t>de l’auteure.</w:t>
      </w:r>
    </w:p>
    <w:p w:rsidR="002D7528" w:rsidRDefault="002D7528" w:rsidP="00057895">
      <w:pPr>
        <w:pStyle w:val="SingleTxtG"/>
        <w:rPr>
          <w:lang w:val="fr-FR"/>
        </w:rPr>
      </w:pPr>
      <w:r w:rsidRPr="00A63054">
        <w:rPr>
          <w:lang w:val="fr-FR"/>
        </w:rPr>
        <w:t>6.5</w:t>
      </w:r>
      <w:r w:rsidRPr="00A63054">
        <w:rPr>
          <w:lang w:val="fr-FR"/>
        </w:rPr>
        <w:tab/>
        <w:t xml:space="preserve">En ce qui concerne le grief de violation </w:t>
      </w:r>
      <w:r>
        <w:rPr>
          <w:lang w:val="fr-FR"/>
        </w:rPr>
        <w:t>de l’article </w:t>
      </w:r>
      <w:r w:rsidRPr="00A63054">
        <w:rPr>
          <w:lang w:val="fr-FR"/>
        </w:rPr>
        <w:t xml:space="preserve">9 </w:t>
      </w:r>
      <w:r w:rsidRPr="00A63054" w:rsidDel="001D0787">
        <w:rPr>
          <w:lang w:val="fr-FR"/>
        </w:rPr>
        <w:t>tiré</w:t>
      </w:r>
      <w:r w:rsidRPr="00A63054">
        <w:rPr>
          <w:lang w:val="fr-FR"/>
        </w:rPr>
        <w:t xml:space="preserve"> de l’incarcération de</w:t>
      </w:r>
      <w:r>
        <w:rPr>
          <w:lang w:val="fr-FR"/>
        </w:rPr>
        <w:t xml:space="preserve"> M. Shikhm</w:t>
      </w:r>
      <w:r w:rsidRPr="00A63054">
        <w:rPr>
          <w:lang w:val="fr-FR"/>
        </w:rPr>
        <w:t>uradov depuis sa condamn</w:t>
      </w:r>
      <w:r>
        <w:rPr>
          <w:lang w:val="fr-FR"/>
        </w:rPr>
        <w:t>ation</w:t>
      </w:r>
      <w:r w:rsidRPr="00A63054">
        <w:rPr>
          <w:lang w:val="fr-FR"/>
        </w:rPr>
        <w:t xml:space="preserve">, le Comité note </w:t>
      </w:r>
      <w:r>
        <w:rPr>
          <w:lang w:val="fr-FR"/>
        </w:rPr>
        <w:t>que l’auteure fait valoir que M. Shikhm</w:t>
      </w:r>
      <w:r w:rsidRPr="00A63054">
        <w:rPr>
          <w:lang w:val="fr-FR"/>
        </w:rPr>
        <w:t>uradov est détenu au secret dans un lieu inconnu sans possibilité de consulter un conseil ni de contester la légalité de sa détention. L</w:t>
      </w:r>
      <w:r>
        <w:rPr>
          <w:lang w:val="fr-FR"/>
        </w:rPr>
        <w:t>’</w:t>
      </w:r>
      <w:r w:rsidRPr="00A63054">
        <w:rPr>
          <w:lang w:val="fr-FR"/>
        </w:rPr>
        <w:t>État partie n</w:t>
      </w:r>
      <w:r>
        <w:rPr>
          <w:lang w:val="fr-FR"/>
        </w:rPr>
        <w:t>’</w:t>
      </w:r>
      <w:r w:rsidRPr="00A63054">
        <w:rPr>
          <w:lang w:val="fr-FR"/>
        </w:rPr>
        <w:t>ayant communiqué aucune information à ce sujet, le Comité considère qu</w:t>
      </w:r>
      <w:r>
        <w:rPr>
          <w:lang w:val="fr-FR"/>
        </w:rPr>
        <w:t>’</w:t>
      </w:r>
      <w:r w:rsidRPr="00A63054">
        <w:rPr>
          <w:lang w:val="fr-FR"/>
        </w:rPr>
        <w:t xml:space="preserve">il </w:t>
      </w:r>
      <w:r>
        <w:rPr>
          <w:lang w:val="fr-FR"/>
        </w:rPr>
        <w:t>convient</w:t>
      </w:r>
      <w:r w:rsidRPr="00A63054">
        <w:rPr>
          <w:lang w:val="fr-FR"/>
        </w:rPr>
        <w:t xml:space="preserve"> d</w:t>
      </w:r>
      <w:r>
        <w:rPr>
          <w:lang w:val="fr-FR"/>
        </w:rPr>
        <w:t>’</w:t>
      </w:r>
      <w:r w:rsidRPr="00A63054">
        <w:rPr>
          <w:lang w:val="fr-FR"/>
        </w:rPr>
        <w:t>accorder le crédit voulu aux allégations de l</w:t>
      </w:r>
      <w:r>
        <w:rPr>
          <w:lang w:val="fr-FR"/>
        </w:rPr>
        <w:t>’</w:t>
      </w:r>
      <w:r w:rsidRPr="00A63054">
        <w:rPr>
          <w:lang w:val="fr-FR"/>
        </w:rPr>
        <w:t>auteure. En conséquence, il conclut que les faits tels qu</w:t>
      </w:r>
      <w:r>
        <w:rPr>
          <w:lang w:val="fr-FR"/>
        </w:rPr>
        <w:t>’</w:t>
      </w:r>
      <w:r w:rsidRPr="00A63054">
        <w:rPr>
          <w:lang w:val="fr-FR"/>
        </w:rPr>
        <w:t>ils sont présentés font appara</w:t>
      </w:r>
      <w:r>
        <w:rPr>
          <w:lang w:val="fr-FR"/>
        </w:rPr>
        <w:t>ître une violation de l’article </w:t>
      </w:r>
      <w:r w:rsidRPr="00A63054">
        <w:rPr>
          <w:lang w:val="fr-FR"/>
        </w:rPr>
        <w:t>9 du Pacte à l</w:t>
      </w:r>
      <w:r>
        <w:rPr>
          <w:lang w:val="fr-FR"/>
        </w:rPr>
        <w:t>’</w:t>
      </w:r>
      <w:r w:rsidRPr="00A63054">
        <w:rPr>
          <w:lang w:val="fr-FR"/>
        </w:rPr>
        <w:t>égard du mari de l</w:t>
      </w:r>
      <w:r>
        <w:rPr>
          <w:lang w:val="fr-FR"/>
        </w:rPr>
        <w:t>’auteure.</w:t>
      </w:r>
    </w:p>
    <w:p w:rsidR="002D7528" w:rsidRPr="00A63054" w:rsidRDefault="002D7528" w:rsidP="00057895">
      <w:pPr>
        <w:pStyle w:val="SingleTxtG"/>
        <w:rPr>
          <w:lang w:val="fr-FR"/>
        </w:rPr>
      </w:pPr>
      <w:r w:rsidRPr="00A63054">
        <w:rPr>
          <w:lang w:val="fr-FR"/>
        </w:rPr>
        <w:t>6.</w:t>
      </w:r>
      <w:r>
        <w:rPr>
          <w:lang w:val="fr-FR"/>
        </w:rPr>
        <w:t>6</w:t>
      </w:r>
      <w:r w:rsidRPr="00A63054">
        <w:rPr>
          <w:lang w:val="fr-FR"/>
        </w:rPr>
        <w:tab/>
        <w:t>En ce qui concerne les g</w:t>
      </w:r>
      <w:r>
        <w:rPr>
          <w:lang w:val="fr-FR"/>
        </w:rPr>
        <w:t>riefs de violation de l’article 14, le Comité relève que M. Shikhm</w:t>
      </w:r>
      <w:r w:rsidRPr="00A63054">
        <w:rPr>
          <w:lang w:val="fr-FR"/>
        </w:rPr>
        <w:t xml:space="preserve">uradov a d’abord été condamné à une peine de </w:t>
      </w:r>
      <w:r>
        <w:rPr>
          <w:lang w:val="fr-FR"/>
        </w:rPr>
        <w:t>vingt</w:t>
      </w:r>
      <w:r>
        <w:rPr>
          <w:lang w:val="fr-FR"/>
        </w:rPr>
        <w:noBreakHyphen/>
        <w:t>cinq</w:t>
      </w:r>
      <w:r w:rsidRPr="00A63054">
        <w:rPr>
          <w:lang w:val="fr-FR"/>
        </w:rPr>
        <w:t xml:space="preserve"> ans </w:t>
      </w:r>
      <w:r>
        <w:rPr>
          <w:lang w:val="fr-FR"/>
        </w:rPr>
        <w:t>de réclusion</w:t>
      </w:r>
      <w:r w:rsidRPr="00A63054">
        <w:rPr>
          <w:lang w:val="fr-FR"/>
        </w:rPr>
        <w:t xml:space="preserve"> et</w:t>
      </w:r>
      <w:r>
        <w:rPr>
          <w:lang w:val="fr-FR"/>
        </w:rPr>
        <w:t xml:space="preserve"> que son procès a eu lieu le 29 </w:t>
      </w:r>
      <w:r w:rsidRPr="00A63054">
        <w:rPr>
          <w:lang w:val="fr-FR"/>
        </w:rPr>
        <w:t>décembre 2002, soit quatre jours seulement après son arrestation. Selon l</w:t>
      </w:r>
      <w:r>
        <w:rPr>
          <w:lang w:val="fr-FR"/>
        </w:rPr>
        <w:t>’</w:t>
      </w:r>
      <w:r w:rsidRPr="00A63054">
        <w:rPr>
          <w:lang w:val="fr-FR"/>
        </w:rPr>
        <w:t>auteure, l</w:t>
      </w:r>
      <w:r>
        <w:rPr>
          <w:lang w:val="fr-FR"/>
        </w:rPr>
        <w:t>’</w:t>
      </w:r>
      <w:r w:rsidRPr="00A63054">
        <w:rPr>
          <w:lang w:val="fr-FR"/>
        </w:rPr>
        <w:t>audience s’est tenue à huis clos et n</w:t>
      </w:r>
      <w:r>
        <w:rPr>
          <w:lang w:val="fr-FR"/>
        </w:rPr>
        <w:t>’</w:t>
      </w:r>
      <w:r w:rsidRPr="00A63054">
        <w:rPr>
          <w:lang w:val="fr-FR"/>
        </w:rPr>
        <w:t>a duré qu</w:t>
      </w:r>
      <w:r>
        <w:rPr>
          <w:lang w:val="fr-FR"/>
        </w:rPr>
        <w:t>’</w:t>
      </w:r>
      <w:r w:rsidRPr="00A63054">
        <w:rPr>
          <w:lang w:val="fr-FR"/>
        </w:rPr>
        <w:t>une journée, et la condamnation de M.</w:t>
      </w:r>
      <w:r>
        <w:rPr>
          <w:lang w:val="fr-FR"/>
        </w:rPr>
        <w:t> Shikhm</w:t>
      </w:r>
      <w:r w:rsidRPr="00A63054">
        <w:rPr>
          <w:lang w:val="fr-FR"/>
        </w:rPr>
        <w:t>uradov n</w:t>
      </w:r>
      <w:r>
        <w:rPr>
          <w:lang w:val="fr-FR"/>
        </w:rPr>
        <w:t>’</w:t>
      </w:r>
      <w:r w:rsidRPr="00A63054">
        <w:rPr>
          <w:lang w:val="fr-FR"/>
        </w:rPr>
        <w:t>était fondée que sur ses aveux forcés. Le Comité note en outre qu</w:t>
      </w:r>
      <w:r>
        <w:rPr>
          <w:lang w:val="fr-FR"/>
        </w:rPr>
        <w:t>’à l’issue d’</w:t>
      </w:r>
      <w:r w:rsidRPr="00A63054">
        <w:rPr>
          <w:lang w:val="fr-FR"/>
        </w:rPr>
        <w:t>une audience distincte tenue à huis clos le j</w:t>
      </w:r>
      <w:r>
        <w:rPr>
          <w:lang w:val="fr-FR"/>
        </w:rPr>
        <w:t>our suivant, le 30 </w:t>
      </w:r>
      <w:r w:rsidRPr="00A63054">
        <w:rPr>
          <w:lang w:val="fr-FR"/>
        </w:rPr>
        <w:t xml:space="preserve">décembre 2002, le </w:t>
      </w:r>
      <w:r>
        <w:rPr>
          <w:lang w:val="fr-FR"/>
        </w:rPr>
        <w:t>Conseil du peuple a condamné M. Shikhm</w:t>
      </w:r>
      <w:r w:rsidRPr="00A63054">
        <w:rPr>
          <w:lang w:val="fr-FR"/>
        </w:rPr>
        <w:t xml:space="preserve">uradov à </w:t>
      </w:r>
      <w:r>
        <w:rPr>
          <w:lang w:val="fr-FR"/>
        </w:rPr>
        <w:t>la réclusion à perpétuité</w:t>
      </w:r>
      <w:r w:rsidRPr="00A63054">
        <w:rPr>
          <w:lang w:val="fr-FR"/>
        </w:rPr>
        <w:t>. Il prend note des allégations de l</w:t>
      </w:r>
      <w:r>
        <w:rPr>
          <w:lang w:val="fr-FR"/>
        </w:rPr>
        <w:t>’auteure, qui affirme que M. Shikhm</w:t>
      </w:r>
      <w:r w:rsidRPr="00A63054">
        <w:rPr>
          <w:lang w:val="fr-FR"/>
        </w:rPr>
        <w:t>uradov n</w:t>
      </w:r>
      <w:r>
        <w:rPr>
          <w:lang w:val="fr-FR"/>
        </w:rPr>
        <w:t>’</w:t>
      </w:r>
      <w:r w:rsidRPr="00A63054">
        <w:rPr>
          <w:lang w:val="fr-FR"/>
        </w:rPr>
        <w:t>a pas disposé de suffisamment de temps pour préparer sa défense, n</w:t>
      </w:r>
      <w:r>
        <w:rPr>
          <w:lang w:val="fr-FR"/>
        </w:rPr>
        <w:t>’</w:t>
      </w:r>
      <w:r w:rsidRPr="00A63054">
        <w:rPr>
          <w:lang w:val="fr-FR"/>
        </w:rPr>
        <w:t>a pas pu consulter ses avocats et n</w:t>
      </w:r>
      <w:r>
        <w:rPr>
          <w:lang w:val="fr-FR"/>
        </w:rPr>
        <w:t>’</w:t>
      </w:r>
      <w:r w:rsidRPr="00A63054">
        <w:rPr>
          <w:lang w:val="fr-FR"/>
        </w:rPr>
        <w:t xml:space="preserve">a pas </w:t>
      </w:r>
      <w:r>
        <w:rPr>
          <w:lang w:val="fr-FR"/>
        </w:rPr>
        <w:t>eu</w:t>
      </w:r>
      <w:r w:rsidRPr="00A63054">
        <w:rPr>
          <w:lang w:val="fr-FR"/>
        </w:rPr>
        <w:t xml:space="preserve"> la possibilité de faire examiner par une juridiction supérieure la déclaration de culpabilité et la condamnation, conformément à la loi. Il rappelle qu</w:t>
      </w:r>
      <w:r>
        <w:rPr>
          <w:lang w:val="fr-FR"/>
        </w:rPr>
        <w:t>’</w:t>
      </w:r>
      <w:r w:rsidRPr="00A63054">
        <w:rPr>
          <w:lang w:val="fr-FR"/>
        </w:rPr>
        <w:t>en vertu du Pacte, toute personne a droit à ce que sa cause soit entendue équitablement et publiquement par un tribunal compétent, indépendant et impartial, établi par la loi, et que l</w:t>
      </w:r>
      <w:r>
        <w:rPr>
          <w:lang w:val="fr-FR"/>
        </w:rPr>
        <w:t>’</w:t>
      </w:r>
      <w:r w:rsidRPr="00A63054">
        <w:rPr>
          <w:lang w:val="fr-FR"/>
        </w:rPr>
        <w:t>égalité de moyens est un aspect essentiel de ce droit</w:t>
      </w:r>
      <w:r w:rsidR="000B27BB">
        <w:rPr>
          <w:rStyle w:val="FootnoteReference"/>
        </w:rPr>
        <w:footnoteReference w:id="10"/>
      </w:r>
      <w:r w:rsidRPr="00A63054">
        <w:rPr>
          <w:lang w:val="fr-FR"/>
        </w:rPr>
        <w:t>. Il prend note de l</w:t>
      </w:r>
      <w:r>
        <w:rPr>
          <w:lang w:val="fr-FR"/>
        </w:rPr>
        <w:t>’</w:t>
      </w:r>
      <w:r w:rsidRPr="00A63054">
        <w:rPr>
          <w:lang w:val="fr-FR"/>
        </w:rPr>
        <w:t>argument de l</w:t>
      </w:r>
      <w:r>
        <w:rPr>
          <w:lang w:val="fr-FR"/>
        </w:rPr>
        <w:t>’</w:t>
      </w:r>
      <w:r w:rsidRPr="00A63054">
        <w:rPr>
          <w:lang w:val="fr-FR"/>
        </w:rPr>
        <w:t>auteure, qui n</w:t>
      </w:r>
      <w:r>
        <w:rPr>
          <w:lang w:val="fr-FR"/>
        </w:rPr>
        <w:t>’</w:t>
      </w:r>
      <w:r w:rsidRPr="00A63054">
        <w:rPr>
          <w:lang w:val="fr-FR"/>
        </w:rPr>
        <w:t xml:space="preserve">a pas été contesté, selon lequel le Conseil du peuple, organe politique </w:t>
      </w:r>
      <w:r>
        <w:rPr>
          <w:lang w:val="fr-FR"/>
        </w:rPr>
        <w:t>présidé</w:t>
      </w:r>
      <w:r w:rsidRPr="00A63054">
        <w:rPr>
          <w:lang w:val="fr-FR"/>
        </w:rPr>
        <w:t xml:space="preserve"> par le Président et </w:t>
      </w:r>
      <w:r>
        <w:rPr>
          <w:lang w:val="fr-FR"/>
        </w:rPr>
        <w:t>constitué de membres du Parlement et de</w:t>
      </w:r>
      <w:r w:rsidRPr="00A63054">
        <w:rPr>
          <w:lang w:val="fr-FR"/>
        </w:rPr>
        <w:t xml:space="preserve"> ministres, ne peut pas être considéré comme un tribunal compétent, indépendant et impartial au sens </w:t>
      </w:r>
      <w:r>
        <w:rPr>
          <w:lang w:val="fr-FR"/>
        </w:rPr>
        <w:t>du paragraphe 1 de l’article </w:t>
      </w:r>
      <w:r w:rsidRPr="00A63054">
        <w:rPr>
          <w:lang w:val="fr-FR"/>
        </w:rPr>
        <w:t>14 et conformément aux conditions qui y sont énoncées. L</w:t>
      </w:r>
      <w:r>
        <w:rPr>
          <w:lang w:val="fr-FR"/>
        </w:rPr>
        <w:t>’</w:t>
      </w:r>
      <w:r w:rsidRPr="00A63054">
        <w:rPr>
          <w:lang w:val="fr-FR"/>
        </w:rPr>
        <w:t>État partie n</w:t>
      </w:r>
      <w:r>
        <w:rPr>
          <w:lang w:val="fr-FR"/>
        </w:rPr>
        <w:t>’</w:t>
      </w:r>
      <w:r w:rsidRPr="00A63054">
        <w:rPr>
          <w:lang w:val="fr-FR"/>
        </w:rPr>
        <w:t>ayant communiqué aucune information à ce sujet, le Comité considère qu</w:t>
      </w:r>
      <w:r>
        <w:rPr>
          <w:lang w:val="fr-FR"/>
        </w:rPr>
        <w:t>’</w:t>
      </w:r>
      <w:r w:rsidRPr="00A63054">
        <w:rPr>
          <w:lang w:val="fr-FR"/>
        </w:rPr>
        <w:t>il convient d</w:t>
      </w:r>
      <w:r>
        <w:rPr>
          <w:lang w:val="fr-FR"/>
        </w:rPr>
        <w:t>’</w:t>
      </w:r>
      <w:r w:rsidRPr="00A63054">
        <w:rPr>
          <w:lang w:val="fr-FR"/>
        </w:rPr>
        <w:t>accorder le crédit voulu aux allégations de l</w:t>
      </w:r>
      <w:r>
        <w:rPr>
          <w:lang w:val="fr-FR"/>
        </w:rPr>
        <w:t>’</w:t>
      </w:r>
      <w:r w:rsidRPr="00A63054">
        <w:rPr>
          <w:lang w:val="fr-FR"/>
        </w:rPr>
        <w:t>auteure. En</w:t>
      </w:r>
      <w:r w:rsidR="000B27BB">
        <w:rPr>
          <w:lang w:val="fr-FR"/>
        </w:rPr>
        <w:t xml:space="preserve"> </w:t>
      </w:r>
      <w:r w:rsidRPr="00A63054">
        <w:rPr>
          <w:lang w:val="fr-FR"/>
        </w:rPr>
        <w:t>conséquence, il conclut que le procès et la condamnation finale de M.</w:t>
      </w:r>
      <w:r>
        <w:rPr>
          <w:lang w:val="fr-FR"/>
        </w:rPr>
        <w:t> Shikhm</w:t>
      </w:r>
      <w:r w:rsidRPr="00A63054">
        <w:rPr>
          <w:lang w:val="fr-FR"/>
        </w:rPr>
        <w:t>uradov, dans les circonstances décrites, font apparaître une violation des paragr</w:t>
      </w:r>
      <w:r>
        <w:rPr>
          <w:lang w:val="fr-FR"/>
        </w:rPr>
        <w:t>aphes </w:t>
      </w:r>
      <w:r w:rsidRPr="00A63054">
        <w:rPr>
          <w:lang w:val="fr-FR"/>
        </w:rPr>
        <w:t>1 et</w:t>
      </w:r>
      <w:r>
        <w:rPr>
          <w:lang w:val="fr-FR"/>
        </w:rPr>
        <w:t xml:space="preserve"> 5 de l’article 14 du Pacte.</w:t>
      </w:r>
    </w:p>
    <w:p w:rsidR="002D7528" w:rsidRPr="00A63054" w:rsidRDefault="002D7528" w:rsidP="00057895">
      <w:pPr>
        <w:pStyle w:val="SingleTxtG"/>
        <w:rPr>
          <w:lang w:val="fr-FR"/>
        </w:rPr>
      </w:pPr>
      <w:r w:rsidRPr="00A63054">
        <w:rPr>
          <w:lang w:val="fr-FR"/>
        </w:rPr>
        <w:t>6.</w:t>
      </w:r>
      <w:r>
        <w:rPr>
          <w:lang w:val="fr-FR"/>
        </w:rPr>
        <w:t>7</w:t>
      </w:r>
      <w:r w:rsidRPr="00A63054">
        <w:rPr>
          <w:lang w:val="fr-FR"/>
        </w:rPr>
        <w:tab/>
        <w:t>E</w:t>
      </w:r>
      <w:r>
        <w:rPr>
          <w:lang w:val="fr-FR"/>
        </w:rPr>
        <w:t>n ce qui concerne le paragraphe 1 de l’article </w:t>
      </w:r>
      <w:r w:rsidRPr="00A63054">
        <w:rPr>
          <w:lang w:val="fr-FR"/>
        </w:rPr>
        <w:t>15, le Comité prend note de l</w:t>
      </w:r>
      <w:r>
        <w:rPr>
          <w:lang w:val="fr-FR"/>
        </w:rPr>
        <w:t>’</w:t>
      </w:r>
      <w:r w:rsidRPr="00A63054">
        <w:rPr>
          <w:lang w:val="fr-FR"/>
        </w:rPr>
        <w:t>allégation de l</w:t>
      </w:r>
      <w:r>
        <w:rPr>
          <w:lang w:val="fr-FR"/>
        </w:rPr>
        <w:t>’</w:t>
      </w:r>
      <w:r w:rsidRPr="00A63054">
        <w:rPr>
          <w:lang w:val="fr-FR"/>
        </w:rPr>
        <w:t>auteure, qui affirme que les autorités de l</w:t>
      </w:r>
      <w:r>
        <w:rPr>
          <w:lang w:val="fr-FR"/>
        </w:rPr>
        <w:t>’</w:t>
      </w:r>
      <w:r w:rsidRPr="00A63054">
        <w:rPr>
          <w:lang w:val="fr-FR"/>
        </w:rPr>
        <w:t>État partie ont prononcé une</w:t>
      </w:r>
      <w:r w:rsidR="004A5723">
        <w:rPr>
          <w:lang w:val="fr-FR"/>
        </w:rPr>
        <w:t> </w:t>
      </w:r>
      <w:r w:rsidRPr="00A63054">
        <w:rPr>
          <w:lang w:val="fr-FR"/>
        </w:rPr>
        <w:t>peine plus lourde que celle qui était applicable au moment de la commission de l</w:t>
      </w:r>
      <w:r>
        <w:rPr>
          <w:lang w:val="fr-FR"/>
        </w:rPr>
        <w:t>’</w:t>
      </w:r>
      <w:r w:rsidRPr="00A63054">
        <w:rPr>
          <w:lang w:val="fr-FR"/>
        </w:rPr>
        <w:t>infraction pénale. Il prend également note de l</w:t>
      </w:r>
      <w:r>
        <w:rPr>
          <w:lang w:val="fr-FR"/>
        </w:rPr>
        <w:t>’</w:t>
      </w:r>
      <w:r w:rsidRPr="00A63054">
        <w:rPr>
          <w:lang w:val="fr-FR"/>
        </w:rPr>
        <w:t>argument de l</w:t>
      </w:r>
      <w:r>
        <w:rPr>
          <w:lang w:val="fr-FR"/>
        </w:rPr>
        <w:t>’</w:t>
      </w:r>
      <w:r w:rsidRPr="00A63054">
        <w:rPr>
          <w:lang w:val="fr-FR"/>
        </w:rPr>
        <w:t>auteure, qui n</w:t>
      </w:r>
      <w:r>
        <w:rPr>
          <w:lang w:val="fr-FR"/>
        </w:rPr>
        <w:t>’</w:t>
      </w:r>
      <w:r w:rsidRPr="00A63054">
        <w:rPr>
          <w:lang w:val="fr-FR"/>
        </w:rPr>
        <w:t xml:space="preserve">a pas été contesté, selon lequel la peine la plus lourde prévue par la loi turkmène au moment de la commission des prétendues infractions était de </w:t>
      </w:r>
      <w:r>
        <w:rPr>
          <w:lang w:val="fr-FR"/>
        </w:rPr>
        <w:t>vingt</w:t>
      </w:r>
      <w:r>
        <w:rPr>
          <w:lang w:val="fr-FR"/>
        </w:rPr>
        <w:noBreakHyphen/>
        <w:t>cinq</w:t>
      </w:r>
      <w:r w:rsidRPr="00A63054">
        <w:rPr>
          <w:lang w:val="fr-FR"/>
        </w:rPr>
        <w:t xml:space="preserve"> ans </w:t>
      </w:r>
      <w:r>
        <w:rPr>
          <w:lang w:val="fr-FR"/>
        </w:rPr>
        <w:t>de réclusion</w:t>
      </w:r>
      <w:r w:rsidRPr="00A63054">
        <w:rPr>
          <w:lang w:val="fr-FR"/>
        </w:rPr>
        <w:t xml:space="preserve">, conformément au Code pénal alors en vigueur. Il note en outre que la réclusion à perpétuité en tant que </w:t>
      </w:r>
      <w:r>
        <w:rPr>
          <w:lang w:val="fr-FR"/>
        </w:rPr>
        <w:t>sanction n’a été adoptée par le Conseil du peuple qu’après la condamnation de M. Shikhm</w:t>
      </w:r>
      <w:r w:rsidRPr="00A63054">
        <w:rPr>
          <w:lang w:val="fr-FR"/>
        </w:rPr>
        <w:t>uradov. En</w:t>
      </w:r>
      <w:r w:rsidR="004A5723">
        <w:rPr>
          <w:lang w:val="fr-FR"/>
        </w:rPr>
        <w:t xml:space="preserve"> </w:t>
      </w:r>
      <w:r w:rsidRPr="00A63054">
        <w:rPr>
          <w:lang w:val="fr-FR"/>
        </w:rPr>
        <w:t>conséquence, il conclut que les faits dont il est saisi constituent une vio</w:t>
      </w:r>
      <w:r>
        <w:rPr>
          <w:lang w:val="fr-FR"/>
        </w:rPr>
        <w:t>lation des droits que M. Shikhmuradov tient du paragraphe 1 de l’article </w:t>
      </w:r>
      <w:r w:rsidRPr="00A63054">
        <w:rPr>
          <w:lang w:val="fr-FR"/>
        </w:rPr>
        <w:t>15 du Pacte.</w:t>
      </w:r>
    </w:p>
    <w:p w:rsidR="002D7528" w:rsidRPr="00A63054" w:rsidRDefault="002D7528" w:rsidP="00057895">
      <w:pPr>
        <w:pStyle w:val="SingleTxtG"/>
        <w:rPr>
          <w:lang w:val="fr-FR"/>
        </w:rPr>
      </w:pPr>
      <w:r>
        <w:rPr>
          <w:lang w:val="fr-FR"/>
        </w:rPr>
        <w:t>6.8</w:t>
      </w:r>
      <w:r w:rsidRPr="00A63054">
        <w:rPr>
          <w:lang w:val="fr-FR"/>
        </w:rPr>
        <w:tab/>
        <w:t>En ce qui concerne l</w:t>
      </w:r>
      <w:r>
        <w:rPr>
          <w:lang w:val="fr-FR"/>
        </w:rPr>
        <w:t>’</w:t>
      </w:r>
      <w:r w:rsidRPr="00A63054">
        <w:rPr>
          <w:lang w:val="fr-FR"/>
        </w:rPr>
        <w:t>auteure, le Comité prend note de l</w:t>
      </w:r>
      <w:r>
        <w:rPr>
          <w:lang w:val="fr-FR"/>
        </w:rPr>
        <w:t>’</w:t>
      </w:r>
      <w:r w:rsidRPr="00A63054">
        <w:rPr>
          <w:lang w:val="fr-FR"/>
        </w:rPr>
        <w:t>angoisse et de la détresse causées par la détention au secret et la disparition de son mari. Rappelant sa jurisprudence, il conclut que les faits dont il est saisi font apparaître une violation de l</w:t>
      </w:r>
      <w:r>
        <w:rPr>
          <w:lang w:val="fr-FR"/>
        </w:rPr>
        <w:t>’</w:t>
      </w:r>
      <w:r w:rsidRPr="00A63054">
        <w:rPr>
          <w:lang w:val="fr-FR"/>
        </w:rPr>
        <w:t>article 7 du Pacte à l</w:t>
      </w:r>
      <w:r>
        <w:rPr>
          <w:lang w:val="fr-FR"/>
        </w:rPr>
        <w:t>’</w:t>
      </w:r>
      <w:r w:rsidRPr="00A63054">
        <w:rPr>
          <w:lang w:val="fr-FR"/>
        </w:rPr>
        <w:t>égard de l</w:t>
      </w:r>
      <w:r>
        <w:rPr>
          <w:lang w:val="fr-FR"/>
        </w:rPr>
        <w:t>’</w:t>
      </w:r>
      <w:r w:rsidRPr="00A63054">
        <w:rPr>
          <w:lang w:val="fr-FR"/>
        </w:rPr>
        <w:t>auteure</w:t>
      </w:r>
      <w:r w:rsidR="00AF1763">
        <w:rPr>
          <w:rStyle w:val="FootnoteReference"/>
        </w:rPr>
        <w:footnoteReference w:id="11"/>
      </w:r>
      <w:r w:rsidRPr="00A63054">
        <w:rPr>
          <w:lang w:val="fr-FR"/>
        </w:rPr>
        <w:t>. Étant parvenu à cette conclusion, il décide de ne pas examiner séparément les griefs de violati</w:t>
      </w:r>
      <w:r>
        <w:rPr>
          <w:lang w:val="fr-FR"/>
        </w:rPr>
        <w:t>on du paragraphe 1 de l’article </w:t>
      </w:r>
      <w:r w:rsidRPr="00A63054">
        <w:rPr>
          <w:lang w:val="fr-FR"/>
        </w:rPr>
        <w:t xml:space="preserve">17 du Pacte. </w:t>
      </w:r>
    </w:p>
    <w:p w:rsidR="002D7528" w:rsidRPr="00A63054" w:rsidRDefault="002D7528" w:rsidP="00057895">
      <w:pPr>
        <w:pStyle w:val="SingleTxtG"/>
        <w:rPr>
          <w:lang w:val="fr-FR"/>
        </w:rPr>
      </w:pPr>
      <w:r>
        <w:rPr>
          <w:lang w:val="fr-FR"/>
        </w:rPr>
        <w:t>7.</w:t>
      </w:r>
      <w:r w:rsidRPr="00A63054">
        <w:rPr>
          <w:lang w:val="fr-FR"/>
        </w:rPr>
        <w:tab/>
        <w:t>Le Comité des droits de l</w:t>
      </w:r>
      <w:r>
        <w:rPr>
          <w:lang w:val="fr-FR"/>
        </w:rPr>
        <w:t>’</w:t>
      </w:r>
      <w:r w:rsidRPr="00A63054">
        <w:rPr>
          <w:lang w:val="fr-FR"/>
        </w:rPr>
        <w:t xml:space="preserve">homme, agissant en vertu </w:t>
      </w:r>
      <w:r>
        <w:rPr>
          <w:lang w:val="fr-FR"/>
        </w:rPr>
        <w:t>du paragraphe 4 de l’article 5 du </w:t>
      </w:r>
      <w:r w:rsidRPr="00A63054">
        <w:rPr>
          <w:lang w:val="fr-FR"/>
        </w:rPr>
        <w:t>Protocole facultatif se rapportant au Pacte international relatif aux droits civils et politiques, constate que les faits dont il est saisi font apparaître une violation par l</w:t>
      </w:r>
      <w:r>
        <w:rPr>
          <w:lang w:val="fr-FR"/>
        </w:rPr>
        <w:t>’</w:t>
      </w:r>
      <w:r w:rsidRPr="00A63054">
        <w:rPr>
          <w:lang w:val="fr-FR"/>
        </w:rPr>
        <w:t xml:space="preserve">État partie </w:t>
      </w:r>
      <w:r>
        <w:rPr>
          <w:lang w:val="fr-FR"/>
        </w:rPr>
        <w:t>de l’article 6 (par.</w:t>
      </w:r>
      <w:r w:rsidR="00536B73">
        <w:rPr>
          <w:lang w:val="fr-FR"/>
        </w:rPr>
        <w:t> </w:t>
      </w:r>
      <w:r>
        <w:rPr>
          <w:lang w:val="fr-FR"/>
        </w:rPr>
        <w:t>1), de l’article </w:t>
      </w:r>
      <w:r w:rsidRPr="00A63054">
        <w:rPr>
          <w:lang w:val="fr-FR"/>
        </w:rPr>
        <w:t>7, de</w:t>
      </w:r>
      <w:r>
        <w:rPr>
          <w:lang w:val="fr-FR"/>
        </w:rPr>
        <w:t xml:space="preserve"> l’article 9 et de l’article 14 (par.</w:t>
      </w:r>
      <w:r w:rsidR="00536B73">
        <w:rPr>
          <w:lang w:val="fr-FR"/>
        </w:rPr>
        <w:t> </w:t>
      </w:r>
      <w:r>
        <w:rPr>
          <w:lang w:val="fr-FR"/>
        </w:rPr>
        <w:t>1 et 5) à l’égard de M. Shikhm</w:t>
      </w:r>
      <w:r w:rsidRPr="00A63054">
        <w:rPr>
          <w:lang w:val="fr-FR"/>
        </w:rPr>
        <w:t>uradov. Ces faits font aussi appara</w:t>
      </w:r>
      <w:r>
        <w:rPr>
          <w:lang w:val="fr-FR"/>
        </w:rPr>
        <w:t>ître une violation de l’article </w:t>
      </w:r>
      <w:r w:rsidRPr="00A63054">
        <w:rPr>
          <w:lang w:val="fr-FR"/>
        </w:rPr>
        <w:t>7 du</w:t>
      </w:r>
      <w:r w:rsidR="00536B73">
        <w:rPr>
          <w:lang w:val="fr-FR"/>
        </w:rPr>
        <w:t> </w:t>
      </w:r>
      <w:r w:rsidRPr="00A63054">
        <w:rPr>
          <w:lang w:val="fr-FR"/>
        </w:rPr>
        <w:t>Pacte à l</w:t>
      </w:r>
      <w:r>
        <w:rPr>
          <w:lang w:val="fr-FR"/>
        </w:rPr>
        <w:t>’</w:t>
      </w:r>
      <w:r w:rsidRPr="00A63054">
        <w:rPr>
          <w:lang w:val="fr-FR"/>
        </w:rPr>
        <w:t>égard de l</w:t>
      </w:r>
      <w:r>
        <w:rPr>
          <w:lang w:val="fr-FR"/>
        </w:rPr>
        <w:t>’</w:t>
      </w:r>
      <w:r w:rsidRPr="00A63054">
        <w:rPr>
          <w:lang w:val="fr-FR"/>
        </w:rPr>
        <w:t>auteure.</w:t>
      </w:r>
    </w:p>
    <w:p w:rsidR="002D7528" w:rsidRPr="00A63054" w:rsidRDefault="002D7528" w:rsidP="00057895">
      <w:pPr>
        <w:pStyle w:val="SingleTxtG"/>
        <w:rPr>
          <w:lang w:val="fr-FR"/>
        </w:rPr>
      </w:pPr>
      <w:r>
        <w:rPr>
          <w:lang w:val="fr-FR"/>
        </w:rPr>
        <w:t>8.</w:t>
      </w:r>
      <w:r w:rsidRPr="00A63054">
        <w:rPr>
          <w:lang w:val="fr-FR"/>
        </w:rPr>
        <w:tab/>
      </w:r>
      <w:r w:rsidRPr="00A63054">
        <w:rPr>
          <w:szCs w:val="24"/>
          <w:lang w:val="fr-FR"/>
        </w:rPr>
        <w:t>Conformément au paragraphe 3 de l</w:t>
      </w:r>
      <w:r>
        <w:rPr>
          <w:szCs w:val="24"/>
          <w:lang w:val="fr-FR"/>
        </w:rPr>
        <w:t>’</w:t>
      </w:r>
      <w:r w:rsidRPr="00A63054">
        <w:rPr>
          <w:szCs w:val="24"/>
          <w:lang w:val="fr-FR"/>
        </w:rPr>
        <w:t>article 2 du Pacte, l</w:t>
      </w:r>
      <w:r>
        <w:rPr>
          <w:szCs w:val="24"/>
          <w:lang w:val="fr-FR"/>
        </w:rPr>
        <w:t>’</w:t>
      </w:r>
      <w:r w:rsidRPr="00A63054">
        <w:rPr>
          <w:szCs w:val="24"/>
          <w:lang w:val="fr-FR"/>
        </w:rPr>
        <w:t>État partie est tenu d</w:t>
      </w:r>
      <w:r>
        <w:rPr>
          <w:szCs w:val="24"/>
          <w:lang w:val="fr-FR"/>
        </w:rPr>
        <w:t>’</w:t>
      </w:r>
      <w:r w:rsidRPr="00A63054">
        <w:rPr>
          <w:szCs w:val="24"/>
          <w:lang w:val="fr-FR"/>
        </w:rPr>
        <w:t xml:space="preserve">assurer </w:t>
      </w:r>
      <w:r>
        <w:rPr>
          <w:lang w:val="fr-FR"/>
        </w:rPr>
        <w:t>à M. Shikhm</w:t>
      </w:r>
      <w:r w:rsidRPr="00A63054">
        <w:rPr>
          <w:lang w:val="fr-FR"/>
        </w:rPr>
        <w:t>uradov et à l</w:t>
      </w:r>
      <w:r>
        <w:rPr>
          <w:lang w:val="fr-FR"/>
        </w:rPr>
        <w:t>’</w:t>
      </w:r>
      <w:r w:rsidRPr="00A63054">
        <w:rPr>
          <w:lang w:val="fr-FR"/>
        </w:rPr>
        <w:t>auteure un recours</w:t>
      </w:r>
      <w:r>
        <w:rPr>
          <w:lang w:val="fr-FR"/>
        </w:rPr>
        <w:t xml:space="preserve"> u</w:t>
      </w:r>
      <w:r w:rsidR="006B53D6">
        <w:rPr>
          <w:lang w:val="fr-FR"/>
        </w:rPr>
        <w:t xml:space="preserve">tile, et notamment: a) de </w:t>
      </w:r>
      <w:r w:rsidRPr="00A63054">
        <w:rPr>
          <w:lang w:val="fr-FR"/>
        </w:rPr>
        <w:t>libérer immédiateme</w:t>
      </w:r>
      <w:r>
        <w:rPr>
          <w:lang w:val="fr-FR"/>
        </w:rPr>
        <w:t>nt M. Shikhm</w:t>
      </w:r>
      <w:r w:rsidRPr="00A63054">
        <w:rPr>
          <w:lang w:val="fr-FR"/>
        </w:rPr>
        <w:t>uradov s</w:t>
      </w:r>
      <w:r>
        <w:rPr>
          <w:lang w:val="fr-FR"/>
        </w:rPr>
        <w:t>’</w:t>
      </w:r>
      <w:r w:rsidRPr="00A63054">
        <w:rPr>
          <w:lang w:val="fr-FR"/>
        </w:rPr>
        <w:t xml:space="preserve">il </w:t>
      </w:r>
      <w:r>
        <w:rPr>
          <w:lang w:val="fr-FR"/>
        </w:rPr>
        <w:t>est encore détenu au secret; b) </w:t>
      </w:r>
      <w:r w:rsidRPr="00A63054">
        <w:rPr>
          <w:lang w:val="fr-FR"/>
        </w:rPr>
        <w:t>de mener une enquête approfondie et efficace sur son arrestation, sa disparitio</w:t>
      </w:r>
      <w:r>
        <w:rPr>
          <w:lang w:val="fr-FR"/>
        </w:rPr>
        <w:t>n et son procès inéquitable; c) de</w:t>
      </w:r>
      <w:r w:rsidR="006B53D6">
        <w:rPr>
          <w:lang w:val="fr-FR"/>
        </w:rPr>
        <w:t> </w:t>
      </w:r>
      <w:r>
        <w:rPr>
          <w:lang w:val="fr-FR"/>
        </w:rPr>
        <w:t>donner à M. Shikhm</w:t>
      </w:r>
      <w:r w:rsidRPr="00A63054">
        <w:rPr>
          <w:lang w:val="fr-FR"/>
        </w:rPr>
        <w:t>uradov et à l</w:t>
      </w:r>
      <w:r>
        <w:rPr>
          <w:lang w:val="fr-FR"/>
        </w:rPr>
        <w:t>’</w:t>
      </w:r>
      <w:r w:rsidRPr="00A63054">
        <w:rPr>
          <w:lang w:val="fr-FR"/>
        </w:rPr>
        <w:t>auteure des informations détaillées sur</w:t>
      </w:r>
      <w:r>
        <w:rPr>
          <w:lang w:val="fr-FR"/>
        </w:rPr>
        <w:t xml:space="preserve"> les résultats de l’enquête; d) dans l’hypothèse où M. Shikhm</w:t>
      </w:r>
      <w:r w:rsidRPr="00A63054">
        <w:rPr>
          <w:lang w:val="fr-FR"/>
        </w:rPr>
        <w:t>uradov serait décédé, de remet</w:t>
      </w:r>
      <w:r>
        <w:rPr>
          <w:lang w:val="fr-FR"/>
        </w:rPr>
        <w:t>tre sa dépouille à l’auteure; e) </w:t>
      </w:r>
      <w:r w:rsidRPr="00A63054">
        <w:rPr>
          <w:lang w:val="fr-FR"/>
        </w:rPr>
        <w:t xml:space="preserve">d’engager des poursuites pénales contre les responsables </w:t>
      </w:r>
      <w:r>
        <w:rPr>
          <w:lang w:val="fr-FR"/>
        </w:rPr>
        <w:t xml:space="preserve">présumés </w:t>
      </w:r>
      <w:r w:rsidRPr="00A63054">
        <w:rPr>
          <w:lang w:val="fr-FR"/>
        </w:rPr>
        <w:t>des violations commises, de les juger et</w:t>
      </w:r>
      <w:r>
        <w:rPr>
          <w:lang w:val="fr-FR"/>
        </w:rPr>
        <w:t>, s’ils sont reconnus coupables,</w:t>
      </w:r>
      <w:r w:rsidRPr="00A63054">
        <w:rPr>
          <w:lang w:val="fr-FR"/>
        </w:rPr>
        <w:t xml:space="preserve"> de les punir</w:t>
      </w:r>
      <w:r>
        <w:rPr>
          <w:lang w:val="fr-FR"/>
        </w:rPr>
        <w:t>; f) d’</w:t>
      </w:r>
      <w:r w:rsidRPr="00A63054">
        <w:rPr>
          <w:lang w:val="fr-FR"/>
        </w:rPr>
        <w:t>in</w:t>
      </w:r>
      <w:r>
        <w:rPr>
          <w:lang w:val="fr-FR"/>
        </w:rPr>
        <w:t>demniser de manière appropriée l’auteure et M. Shikhm</w:t>
      </w:r>
      <w:r w:rsidRPr="00A63054">
        <w:rPr>
          <w:lang w:val="fr-FR"/>
        </w:rPr>
        <w:t>uradov pour les violations subies. L</w:t>
      </w:r>
      <w:r>
        <w:rPr>
          <w:lang w:val="fr-FR"/>
        </w:rPr>
        <w:t>’</w:t>
      </w:r>
      <w:r w:rsidRPr="00A63054">
        <w:rPr>
          <w:lang w:val="fr-FR"/>
        </w:rPr>
        <w:t xml:space="preserve">État partie est également tenu de prendre des mesures de manière à ce que de telles violations ne </w:t>
      </w:r>
      <w:r>
        <w:rPr>
          <w:lang w:val="fr-FR"/>
        </w:rPr>
        <w:t>se reproduisent pas.</w:t>
      </w:r>
    </w:p>
    <w:p w:rsidR="00874B4E" w:rsidRDefault="002D7528" w:rsidP="00057895">
      <w:pPr>
        <w:pStyle w:val="SingleTxtG"/>
        <w:rPr>
          <w:lang w:val="fr-FR"/>
        </w:rPr>
      </w:pPr>
      <w:r>
        <w:rPr>
          <w:lang w:val="fr-FR"/>
        </w:rPr>
        <w:t>9.</w:t>
      </w:r>
      <w:r w:rsidRPr="00A63054">
        <w:rPr>
          <w:lang w:val="fr-FR"/>
        </w:rPr>
        <w:tab/>
        <w:t>Étant donné qu</w:t>
      </w:r>
      <w:r>
        <w:rPr>
          <w:lang w:val="fr-FR"/>
        </w:rPr>
        <w:t>’</w:t>
      </w:r>
      <w:r w:rsidRPr="00A63054">
        <w:rPr>
          <w:lang w:val="fr-FR"/>
        </w:rPr>
        <w:t>en adhérant au Protocole facultatif, l</w:t>
      </w:r>
      <w:r>
        <w:rPr>
          <w:lang w:val="fr-FR"/>
        </w:rPr>
        <w:t>’État partie a reconnu que le </w:t>
      </w:r>
      <w:r w:rsidRPr="00A63054">
        <w:rPr>
          <w:lang w:val="fr-FR"/>
        </w:rPr>
        <w:t>Comité a compétence pour déterminer s</w:t>
      </w:r>
      <w:r>
        <w:rPr>
          <w:lang w:val="fr-FR"/>
        </w:rPr>
        <w:t>’</w:t>
      </w:r>
      <w:r w:rsidRPr="00A63054">
        <w:rPr>
          <w:lang w:val="fr-FR"/>
        </w:rPr>
        <w:t>il y a ou non violation du Pacte et q</w:t>
      </w:r>
      <w:r>
        <w:rPr>
          <w:lang w:val="fr-FR"/>
        </w:rPr>
        <w:t>ue, conformément à l’article </w:t>
      </w:r>
      <w:r w:rsidRPr="00A63054">
        <w:rPr>
          <w:lang w:val="fr-FR"/>
        </w:rPr>
        <w:t>2 du Pacte, il s</w:t>
      </w:r>
      <w:r>
        <w:rPr>
          <w:lang w:val="fr-FR"/>
        </w:rPr>
        <w:t>’</w:t>
      </w:r>
      <w:r w:rsidRPr="00A63054">
        <w:rPr>
          <w:lang w:val="fr-FR"/>
        </w:rPr>
        <w:t>est engagé à garantir à tous les individus se</w:t>
      </w:r>
      <w:r w:rsidR="00536B73">
        <w:rPr>
          <w:lang w:val="fr-FR"/>
        </w:rPr>
        <w:t xml:space="preserve"> </w:t>
      </w:r>
      <w:r w:rsidRPr="00A63054">
        <w:rPr>
          <w:lang w:val="fr-FR"/>
        </w:rPr>
        <w:t>trouvant sur son territoire et relevant de sa juridiction les d</w:t>
      </w:r>
      <w:r w:rsidR="00536B73">
        <w:rPr>
          <w:lang w:val="fr-FR"/>
        </w:rPr>
        <w:t xml:space="preserve">roits reconnus dans le Pacte et </w:t>
      </w:r>
      <w:r w:rsidRPr="00A63054">
        <w:rPr>
          <w:lang w:val="fr-FR"/>
        </w:rPr>
        <w:t>à</w:t>
      </w:r>
      <w:r w:rsidR="006B53D6">
        <w:rPr>
          <w:lang w:val="fr-FR"/>
        </w:rPr>
        <w:t xml:space="preserve"> </w:t>
      </w:r>
      <w:r w:rsidRPr="00A63054">
        <w:rPr>
          <w:lang w:val="fr-FR"/>
        </w:rPr>
        <w:t>assurer un recours utile lorsqu</w:t>
      </w:r>
      <w:r>
        <w:rPr>
          <w:lang w:val="fr-FR"/>
        </w:rPr>
        <w:t>’</w:t>
      </w:r>
      <w:r w:rsidRPr="00A63054">
        <w:rPr>
          <w:lang w:val="fr-FR"/>
        </w:rPr>
        <w:t>une violation a été établie, le Comité souhaite recevoir de l</w:t>
      </w:r>
      <w:r>
        <w:rPr>
          <w:lang w:val="fr-FR"/>
        </w:rPr>
        <w:t>’</w:t>
      </w:r>
      <w:r w:rsidRPr="00A63054">
        <w:rPr>
          <w:lang w:val="fr-FR"/>
        </w:rPr>
        <w:t xml:space="preserve">État partie, dans un délai de </w:t>
      </w:r>
      <w:r w:rsidR="006B53D6">
        <w:rPr>
          <w:lang w:val="fr-FR"/>
        </w:rPr>
        <w:t xml:space="preserve">cent </w:t>
      </w:r>
      <w:r>
        <w:rPr>
          <w:lang w:val="fr-FR"/>
        </w:rPr>
        <w:t xml:space="preserve">quatre-vingts </w:t>
      </w:r>
      <w:r w:rsidRPr="00A63054">
        <w:rPr>
          <w:lang w:val="fr-FR"/>
        </w:rPr>
        <w:t>jours, des rense</w:t>
      </w:r>
      <w:r w:rsidR="00536B73">
        <w:rPr>
          <w:lang w:val="fr-FR"/>
        </w:rPr>
        <w:t xml:space="preserve">ignements sur les </w:t>
      </w:r>
      <w:r w:rsidRPr="00A63054">
        <w:rPr>
          <w:lang w:val="fr-FR"/>
        </w:rPr>
        <w:t>mesures prises pour donner effet aux présentes constatations. L</w:t>
      </w:r>
      <w:r>
        <w:rPr>
          <w:lang w:val="fr-FR"/>
        </w:rPr>
        <w:t>’</w:t>
      </w:r>
      <w:r w:rsidRPr="00A63054">
        <w:rPr>
          <w:lang w:val="fr-FR"/>
        </w:rPr>
        <w:t>État partie est invité en outre à</w:t>
      </w:r>
      <w:r w:rsidR="006B53D6">
        <w:rPr>
          <w:lang w:val="fr-FR"/>
        </w:rPr>
        <w:t> </w:t>
      </w:r>
      <w:r w:rsidRPr="00A63054">
        <w:rPr>
          <w:lang w:val="fr-FR"/>
        </w:rPr>
        <w:t>rendre celles-ci publiques dans la langue officielle de l</w:t>
      </w:r>
      <w:r>
        <w:rPr>
          <w:lang w:val="fr-FR"/>
        </w:rPr>
        <w:t>’</w:t>
      </w:r>
      <w:r w:rsidRPr="00A63054">
        <w:rPr>
          <w:lang w:val="fr-FR"/>
        </w:rPr>
        <w:t xml:space="preserve">État partie et à </w:t>
      </w:r>
      <w:r w:rsidRPr="00A63054">
        <w:rPr>
          <w:lang w:val="fr-FR" w:eastAsia="fr-FR"/>
        </w:rPr>
        <w:t>les diffuser largement</w:t>
      </w:r>
      <w:r w:rsidRPr="00A63054">
        <w:rPr>
          <w:lang w:val="fr-FR"/>
        </w:rPr>
        <w:t>.</w:t>
      </w:r>
    </w:p>
    <w:p w:rsidR="0002693A" w:rsidRDefault="0002693A" w:rsidP="00057895">
      <w:pPr>
        <w:pStyle w:val="SingleTxtG"/>
        <w:rPr>
          <w:lang w:val="fr-FR"/>
        </w:rPr>
        <w:sectPr w:rsidR="0002693A" w:rsidSect="00710AB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DA2E17" w:rsidRDefault="00DA2E17" w:rsidP="0002693A">
      <w:pPr>
        <w:pStyle w:val="HChG"/>
        <w:rPr>
          <w:lang w:val="fr-FR"/>
        </w:rPr>
      </w:pPr>
      <w:r>
        <w:rPr>
          <w:lang w:val="fr-FR"/>
        </w:rPr>
        <w:t>Appendice</w:t>
      </w:r>
    </w:p>
    <w:p w:rsidR="00DA2E17" w:rsidRDefault="00DA2E17" w:rsidP="00DA2E17">
      <w:pPr>
        <w:pStyle w:val="SingleTxtG"/>
        <w:jc w:val="right"/>
      </w:pPr>
      <w:r>
        <w:t>[</w:t>
      </w:r>
      <w:r w:rsidRPr="00B31527">
        <w:t>Original: espagnol</w:t>
      </w:r>
      <w:r>
        <w:t>]</w:t>
      </w:r>
    </w:p>
    <w:p w:rsidR="00DA2E17" w:rsidRPr="00925F6C" w:rsidRDefault="00DA2E17" w:rsidP="00DA2E17">
      <w:pPr>
        <w:pStyle w:val="H1G"/>
      </w:pPr>
      <w:r>
        <w:tab/>
      </w:r>
      <w:r>
        <w:tab/>
      </w:r>
      <w:r w:rsidRPr="00925F6C">
        <w:t xml:space="preserve">Opinion individuelle (concurrente) signée de Fabián </w:t>
      </w:r>
      <w:r>
        <w:t xml:space="preserve">Omar </w:t>
      </w:r>
      <w:r w:rsidRPr="00925F6C">
        <w:t xml:space="preserve">Salvioli </w:t>
      </w:r>
    </w:p>
    <w:p w:rsidR="00DA2E17" w:rsidRPr="001D0787" w:rsidRDefault="00DA2E17" w:rsidP="00DA2E17">
      <w:pPr>
        <w:pStyle w:val="SingleTxtG"/>
        <w:rPr>
          <w:lang w:val="fr-FR"/>
        </w:rPr>
      </w:pPr>
      <w:r w:rsidRPr="001D0787">
        <w:rPr>
          <w:lang w:val="fr-FR"/>
        </w:rPr>
        <w:t>1.</w:t>
      </w:r>
      <w:r w:rsidRPr="001D0787">
        <w:rPr>
          <w:lang w:val="fr-FR"/>
        </w:rPr>
        <w:tab/>
        <w:t xml:space="preserve">Je suis d’accord avec la décision prise par le Comité dans l’affaire </w:t>
      </w:r>
      <w:r w:rsidRPr="001D0787">
        <w:rPr>
          <w:i/>
          <w:lang w:val="fr-FR"/>
        </w:rPr>
        <w:t>S</w:t>
      </w:r>
      <w:r w:rsidRPr="009106F1">
        <w:rPr>
          <w:i/>
          <w:lang w:val="fr-FR"/>
        </w:rPr>
        <w:t>hikhmuradova</w:t>
      </w:r>
      <w:r w:rsidRPr="001D0787">
        <w:rPr>
          <w:lang w:val="fr-FR"/>
        </w:rPr>
        <w:t xml:space="preserve"> c.</w:t>
      </w:r>
      <w:r w:rsidR="00EB212D">
        <w:rPr>
          <w:lang w:val="fr-FR"/>
        </w:rPr>
        <w:t> </w:t>
      </w:r>
      <w:r w:rsidRPr="009106F1">
        <w:rPr>
          <w:i/>
          <w:lang w:val="fr-FR"/>
        </w:rPr>
        <w:t>Turkménistan</w:t>
      </w:r>
      <w:r w:rsidRPr="001D0787">
        <w:rPr>
          <w:lang w:val="fr-FR"/>
        </w:rPr>
        <w:t xml:space="preserve"> (communication </w:t>
      </w:r>
      <w:r w:rsidR="00EB212D" w:rsidRPr="00EB212D">
        <w:rPr>
          <w:rFonts w:eastAsia="MS Mincho"/>
          <w:lang w:val="fr-FR"/>
        </w:rPr>
        <w:t>n</w:t>
      </w:r>
      <w:r w:rsidR="00EB212D" w:rsidRPr="00EB212D">
        <w:rPr>
          <w:rFonts w:eastAsia="MS Mincho"/>
          <w:vertAlign w:val="superscript"/>
          <w:lang w:val="fr-FR"/>
        </w:rPr>
        <w:t>o</w:t>
      </w:r>
      <w:r w:rsidR="00EB212D">
        <w:rPr>
          <w:lang w:val="fr-FR"/>
        </w:rPr>
        <w:t> </w:t>
      </w:r>
      <w:r w:rsidRPr="001D0787">
        <w:rPr>
          <w:lang w:val="fr-FR"/>
        </w:rPr>
        <w:t>2069/2011), dans laquelle il déclare que l’État partie a engagé sa responsabilité internationale parce qu’il a commis des violations de l’article</w:t>
      </w:r>
      <w:r w:rsidR="00EB212D">
        <w:rPr>
          <w:lang w:val="fr-FR"/>
        </w:rPr>
        <w:t> </w:t>
      </w:r>
      <w:r w:rsidRPr="001D0787">
        <w:rPr>
          <w:lang w:val="fr-FR"/>
        </w:rPr>
        <w:t>6 (par.</w:t>
      </w:r>
      <w:r w:rsidR="00EB212D">
        <w:rPr>
          <w:lang w:val="fr-FR"/>
        </w:rPr>
        <w:t> </w:t>
      </w:r>
      <w:r w:rsidRPr="001D0787">
        <w:rPr>
          <w:lang w:val="fr-FR"/>
        </w:rPr>
        <w:t>1), de l’article</w:t>
      </w:r>
      <w:r w:rsidR="00EB212D">
        <w:rPr>
          <w:lang w:val="fr-FR"/>
        </w:rPr>
        <w:t> </w:t>
      </w:r>
      <w:r w:rsidRPr="001D0787">
        <w:rPr>
          <w:lang w:val="fr-FR"/>
        </w:rPr>
        <w:t>7, de l’article</w:t>
      </w:r>
      <w:r w:rsidR="00EB212D">
        <w:rPr>
          <w:lang w:val="fr-FR"/>
        </w:rPr>
        <w:t> </w:t>
      </w:r>
      <w:r w:rsidRPr="001D0787">
        <w:rPr>
          <w:lang w:val="fr-FR"/>
        </w:rPr>
        <w:t>9 et de l’article</w:t>
      </w:r>
      <w:r w:rsidR="00EB212D">
        <w:rPr>
          <w:lang w:val="fr-FR"/>
        </w:rPr>
        <w:t> </w:t>
      </w:r>
      <w:r w:rsidRPr="001D0787">
        <w:rPr>
          <w:lang w:val="fr-FR"/>
        </w:rPr>
        <w:t>14 (par.</w:t>
      </w:r>
      <w:r w:rsidR="00EB212D">
        <w:rPr>
          <w:lang w:val="fr-FR"/>
        </w:rPr>
        <w:t> </w:t>
      </w:r>
      <w:r w:rsidRPr="001D0787">
        <w:rPr>
          <w:lang w:val="fr-FR"/>
        </w:rPr>
        <w:t>1 et 5) à l’égard du mari de l’auteure, Boris Shikhmuradov, et de l’article</w:t>
      </w:r>
      <w:r w:rsidR="00EB212D">
        <w:rPr>
          <w:lang w:val="fr-FR"/>
        </w:rPr>
        <w:t> </w:t>
      </w:r>
      <w:r w:rsidRPr="001D0787">
        <w:rPr>
          <w:lang w:val="fr-FR"/>
        </w:rPr>
        <w:t>7 à l’égard de l’auteure, Tatiana Shikhmuradova, qui a enduré angoisse et souffrance en conséquence de la disparition forcée de son mari.</w:t>
      </w:r>
    </w:p>
    <w:p w:rsidR="00DA2E17" w:rsidRPr="001D0787" w:rsidRDefault="00DA2E17" w:rsidP="00DA2E17">
      <w:pPr>
        <w:pStyle w:val="SingleTxtG"/>
        <w:rPr>
          <w:lang w:val="fr-FR"/>
        </w:rPr>
      </w:pPr>
      <w:r w:rsidRPr="001D0787">
        <w:rPr>
          <w:lang w:val="fr-FR"/>
        </w:rPr>
        <w:t>2.</w:t>
      </w:r>
      <w:r w:rsidRPr="001D0787">
        <w:rPr>
          <w:lang w:val="fr-FR"/>
        </w:rPr>
        <w:tab/>
        <w:t>Cependant, je considère que le Comité aurait dû aussi constater une violation de l’article</w:t>
      </w:r>
      <w:r w:rsidR="00EB212D">
        <w:rPr>
          <w:lang w:val="fr-FR"/>
        </w:rPr>
        <w:t> </w:t>
      </w:r>
      <w:r w:rsidRPr="001D0787">
        <w:rPr>
          <w:lang w:val="fr-FR"/>
        </w:rPr>
        <w:t>16 (droit à la reconnaissance de la personnalité juridique), dans la mesure où il a été établi que M. Shikhmuradov a été victime de l’une des violations les plus odieuses de la</w:t>
      </w:r>
      <w:r w:rsidR="00EB212D">
        <w:rPr>
          <w:lang w:val="fr-FR"/>
        </w:rPr>
        <w:t> </w:t>
      </w:r>
      <w:r w:rsidRPr="001D0787">
        <w:rPr>
          <w:lang w:val="fr-FR"/>
        </w:rPr>
        <w:t>dignité humaine, la disparition forcée. Il convient de souligner que la disparition forcée de M. Shikhmuradov constitue une infraction continue, puisqu’on ignore toujours ce qu’il est advenu de lui.</w:t>
      </w:r>
    </w:p>
    <w:p w:rsidR="00DA2E17" w:rsidRPr="001D0787" w:rsidRDefault="00DA2E17" w:rsidP="00DA2E17">
      <w:pPr>
        <w:pStyle w:val="SingleTxtG"/>
        <w:rPr>
          <w:lang w:val="fr-FR"/>
        </w:rPr>
      </w:pPr>
      <w:r w:rsidRPr="001D0787">
        <w:rPr>
          <w:lang w:val="fr-FR"/>
        </w:rPr>
        <w:t>3.</w:t>
      </w:r>
      <w:r w:rsidRPr="001D0787">
        <w:rPr>
          <w:lang w:val="fr-FR"/>
        </w:rPr>
        <w:tab/>
        <w:t xml:space="preserve">La disparition forcée constitue une violation complexe qui, par sa nature, porte atteinte à plusieurs des droits consacrés par le Pacte international relatif aux droits civils et politiques; l’un de ces droits est de toute évidence le droit à la reconnaissance de la personnalité juridique, puisque, lorsqu’une personne est victime de disparition forcée, c’est que l’État l’a délibérément </w:t>
      </w:r>
      <w:r w:rsidRPr="00A63054">
        <w:rPr>
          <w:bCs/>
          <w:lang w:val="fr-FR"/>
        </w:rPr>
        <w:t>soustraite à la protection de la loi</w:t>
      </w:r>
      <w:r w:rsidRPr="001D0787">
        <w:rPr>
          <w:lang w:val="fr-FR"/>
        </w:rPr>
        <w:t>.</w:t>
      </w:r>
    </w:p>
    <w:p w:rsidR="00DA2E17" w:rsidRPr="001D0787" w:rsidRDefault="00DA2E17" w:rsidP="00DA2E17">
      <w:pPr>
        <w:pStyle w:val="SingleTxtG"/>
        <w:rPr>
          <w:lang w:val="fr-FR"/>
        </w:rPr>
      </w:pPr>
      <w:r w:rsidRPr="001D0787">
        <w:rPr>
          <w:lang w:val="fr-FR"/>
        </w:rPr>
        <w:t>4.</w:t>
      </w:r>
      <w:r w:rsidRPr="001D0787">
        <w:rPr>
          <w:lang w:val="fr-FR"/>
        </w:rPr>
        <w:tab/>
        <w:t>Le fait de soustraire une personne à la protection de la loi fait partie de la définition internationale de la disparition forcée, telle qu’énoncée dans le dernier membre de phrase de l’article</w:t>
      </w:r>
      <w:r w:rsidR="00EB212D">
        <w:rPr>
          <w:lang w:val="fr-FR"/>
        </w:rPr>
        <w:t> </w:t>
      </w:r>
      <w:r w:rsidRPr="001D0787">
        <w:rPr>
          <w:lang w:val="fr-FR"/>
        </w:rPr>
        <w:t>2 de la Convention internationale pour la protection de toutes les personnes contre les disparitions forcées, adoptée par l’Assemblée générale des Nations Unies le 20 décembre 2006.</w:t>
      </w:r>
    </w:p>
    <w:p w:rsidR="00DA2E17" w:rsidRDefault="00DA2E17" w:rsidP="00DA2E17">
      <w:pPr>
        <w:pStyle w:val="SingleTxtG"/>
        <w:rPr>
          <w:rFonts w:eastAsia="SimSun"/>
          <w:sz w:val="18"/>
          <w:szCs w:val="18"/>
          <w:lang w:eastAsia="zh-CN"/>
        </w:rPr>
      </w:pPr>
      <w:r w:rsidRPr="001D0787">
        <w:rPr>
          <w:lang w:val="fr-FR"/>
        </w:rPr>
        <w:t>5.</w:t>
      </w:r>
      <w:r w:rsidRPr="001D0787">
        <w:rPr>
          <w:lang w:val="fr-FR"/>
        </w:rPr>
        <w:tab/>
        <w:t>En 1997, le Comité a adopté une position juridique qui associe la disparition forcée à une violation de l’article</w:t>
      </w:r>
      <w:r w:rsidR="00EB212D">
        <w:rPr>
          <w:lang w:val="fr-FR"/>
        </w:rPr>
        <w:t> </w:t>
      </w:r>
      <w:r w:rsidRPr="001D0787">
        <w:rPr>
          <w:lang w:val="fr-FR"/>
        </w:rPr>
        <w:t>16 du Pacte lorsque certaines circonstances sont réunies. Cette</w:t>
      </w:r>
      <w:r w:rsidR="00EB212D">
        <w:rPr>
          <w:lang w:val="fr-FR"/>
        </w:rPr>
        <w:t> </w:t>
      </w:r>
      <w:r w:rsidRPr="001D0787">
        <w:rPr>
          <w:lang w:val="fr-FR"/>
        </w:rPr>
        <w:t>jurisprudence, bien qu’elle soit encore incomplète du point de vue juridique, est restée constante</w:t>
      </w:r>
      <w:r w:rsidR="00D13CCC">
        <w:rPr>
          <w:rStyle w:val="FootnoteReference"/>
        </w:rPr>
        <w:footnoteReference w:id="12"/>
      </w:r>
      <w:r w:rsidRPr="002866CA">
        <w:rPr>
          <w:rFonts w:eastAsia="SimSun"/>
          <w:sz w:val="18"/>
          <w:szCs w:val="18"/>
          <w:vertAlign w:val="superscript"/>
          <w:lang w:eastAsia="zh-CN"/>
        </w:rPr>
        <w:t>,</w:t>
      </w:r>
      <w:r>
        <w:rPr>
          <w:rFonts w:eastAsia="SimSun"/>
          <w:sz w:val="18"/>
          <w:szCs w:val="18"/>
          <w:vertAlign w:val="superscript"/>
          <w:lang w:eastAsia="zh-CN"/>
        </w:rPr>
        <w:t xml:space="preserve"> </w:t>
      </w:r>
      <w:r w:rsidR="00DD08E2">
        <w:rPr>
          <w:rStyle w:val="FootnoteReference"/>
          <w:rFonts w:eastAsia="SimSun"/>
          <w:szCs w:val="18"/>
          <w:lang w:eastAsia="zh-CN"/>
        </w:rPr>
        <w:footnoteReference w:id="13"/>
      </w:r>
      <w:r>
        <w:rPr>
          <w:rFonts w:eastAsia="SimSun"/>
          <w:sz w:val="18"/>
          <w:szCs w:val="18"/>
          <w:lang w:eastAsia="zh-CN"/>
        </w:rPr>
        <w:t>.</w:t>
      </w:r>
    </w:p>
    <w:p w:rsidR="00DA2E17" w:rsidRDefault="00DA2E17" w:rsidP="00DA2E17">
      <w:pPr>
        <w:pStyle w:val="SingleTxtG"/>
        <w:rPr>
          <w:lang w:val="fr-FR"/>
        </w:rPr>
      </w:pPr>
      <w:r w:rsidRPr="001D0787">
        <w:rPr>
          <w:lang w:val="fr-FR"/>
        </w:rPr>
        <w:t>6.</w:t>
      </w:r>
      <w:r w:rsidRPr="001D0787">
        <w:rPr>
          <w:lang w:val="fr-FR"/>
        </w:rPr>
        <w:tab/>
        <w:t>En l’espèce, des preuves suffisantes de l’existence des circonstances en question ont été apportées. M.</w:t>
      </w:r>
      <w:r w:rsidR="00EB212D">
        <w:rPr>
          <w:lang w:val="fr-FR"/>
        </w:rPr>
        <w:t> </w:t>
      </w:r>
      <w:r w:rsidRPr="001D0787">
        <w:rPr>
          <w:lang w:val="fr-FR"/>
        </w:rPr>
        <w:t>Shikhmuradov a été arrêté par des agents du Ministère de la sécurité nationale le 25</w:t>
      </w:r>
      <w:r w:rsidR="00EB212D">
        <w:rPr>
          <w:lang w:val="fr-FR"/>
        </w:rPr>
        <w:t> </w:t>
      </w:r>
      <w:r w:rsidRPr="001D0787">
        <w:rPr>
          <w:lang w:val="fr-FR"/>
        </w:rPr>
        <w:t>décembre 2002 et il est au pouvoir de l’État depuis lors. Il n’a pas été vu depuis 2002 et on ignore ce qu’il est advenu de lui malgré les efforts que sa famille a faits. Il n’a pas eu la possibilité d’exercer un quelconque recours et les recours dont les membres de sa famille ont tenté de se prévaloir se sont révélés vains et il y a été fait obstacle.</w:t>
      </w:r>
    </w:p>
    <w:p w:rsidR="00DA2E17" w:rsidRPr="001D0787" w:rsidRDefault="00DA2E17" w:rsidP="00DA2E17">
      <w:pPr>
        <w:pStyle w:val="SingleTxtG"/>
        <w:rPr>
          <w:lang w:val="fr-FR"/>
        </w:rPr>
      </w:pPr>
      <w:r w:rsidRPr="001D0787">
        <w:rPr>
          <w:lang w:val="fr-FR"/>
        </w:rPr>
        <w:t>7.</w:t>
      </w:r>
      <w:r w:rsidRPr="001D0787">
        <w:rPr>
          <w:lang w:val="fr-FR"/>
        </w:rPr>
        <w:tab/>
        <w:t>Tous ces faits et événements ont été rapportés par l’auteure (voir les paragraphes</w:t>
      </w:r>
      <w:r w:rsidR="00EB212D">
        <w:rPr>
          <w:lang w:val="fr-FR"/>
        </w:rPr>
        <w:t> </w:t>
      </w:r>
      <w:r w:rsidRPr="001D0787">
        <w:rPr>
          <w:lang w:val="fr-FR"/>
        </w:rPr>
        <w:t>2.1 à 2.7 de la communication), et le Comité estime qu’ils ont été prouvés. Le Comité a également pris en considération l’absence de coopération de l’État partie en ce qui concerne cette communication (voir par.</w:t>
      </w:r>
      <w:r w:rsidR="00EB212D">
        <w:rPr>
          <w:lang w:val="fr-FR"/>
        </w:rPr>
        <w:t> </w:t>
      </w:r>
      <w:r w:rsidRPr="001D0787">
        <w:rPr>
          <w:lang w:val="fr-FR"/>
        </w:rPr>
        <w:t>4 de la communication).</w:t>
      </w:r>
    </w:p>
    <w:p w:rsidR="00DA2E17" w:rsidRPr="001D0787" w:rsidRDefault="00DA2E17" w:rsidP="00DA2E17">
      <w:pPr>
        <w:pStyle w:val="SingleTxtG"/>
        <w:rPr>
          <w:lang w:val="fr-FR"/>
        </w:rPr>
      </w:pPr>
      <w:r w:rsidRPr="001D0787">
        <w:rPr>
          <w:lang w:val="fr-FR"/>
        </w:rPr>
        <w:t>8.</w:t>
      </w:r>
      <w:r w:rsidRPr="001D0787">
        <w:rPr>
          <w:lang w:val="fr-FR"/>
        </w:rPr>
        <w:tab/>
        <w:t>Lorsqu’il est saisi des mêmes types de faits, le Comité devrait parvenir aux mêmes types de conclusions. Ses délibérations ne devraient pas porter uniquement sur les arguments juridiques avancés, dont il n’est pas obligé de tenir compte et qu’il n’est pas tenu de considérer comme limitant son action.</w:t>
      </w:r>
    </w:p>
    <w:p w:rsidR="00DA2E17" w:rsidRPr="001D0787" w:rsidRDefault="00DA2E17" w:rsidP="00DA2E17">
      <w:pPr>
        <w:pStyle w:val="SingleTxtG"/>
        <w:rPr>
          <w:lang w:val="fr-FR"/>
        </w:rPr>
      </w:pPr>
      <w:r w:rsidRPr="001D0787">
        <w:rPr>
          <w:lang w:val="fr-FR"/>
        </w:rPr>
        <w:t>9.</w:t>
      </w:r>
      <w:r w:rsidRPr="001D0787">
        <w:rPr>
          <w:lang w:val="fr-FR"/>
        </w:rPr>
        <w:tab/>
        <w:t>Il est impossible d’expliquer pourquoi, dans de nombreux cas, le Comité se borne à examiner les arguments juridiques présentés par les parties, alors que dans d’autres affaires, à juste titre et conformément aux pratiques des organes internationaux aux niveaux universel et régional, il procède à sa propre analyse juridique des faits qu’il estime avoir été prouvés, même si les parties n’ont pas fait valoir les arguments juridiques correspondants</w:t>
      </w:r>
      <w:r w:rsidR="00026BD3">
        <w:rPr>
          <w:rStyle w:val="FootnoteReference"/>
        </w:rPr>
        <w:footnoteReference w:id="14"/>
      </w:r>
      <w:r w:rsidRPr="001D0787">
        <w:rPr>
          <w:lang w:val="fr-FR"/>
        </w:rPr>
        <w:t>.</w:t>
      </w:r>
    </w:p>
    <w:p w:rsidR="00DA2E17" w:rsidRPr="001D0787" w:rsidRDefault="00DA2E17" w:rsidP="00DA2E17">
      <w:pPr>
        <w:pStyle w:val="SingleTxtG"/>
        <w:rPr>
          <w:lang w:val="fr-FR"/>
        </w:rPr>
      </w:pPr>
      <w:r w:rsidRPr="001D0787">
        <w:rPr>
          <w:lang w:val="fr-FR"/>
        </w:rPr>
        <w:t>10.</w:t>
      </w:r>
      <w:r w:rsidRPr="001D0787">
        <w:rPr>
          <w:lang w:val="fr-FR"/>
        </w:rPr>
        <w:tab/>
        <w:t>Une approche correcte de l’espèce d’un point de vue juridique aurait d</w:t>
      </w:r>
      <w:r w:rsidR="00EB212D">
        <w:rPr>
          <w:lang w:val="fr-FR"/>
        </w:rPr>
        <w:t>û conduire à la conclusion − </w:t>
      </w:r>
      <w:r w:rsidRPr="001D0787">
        <w:rPr>
          <w:lang w:val="fr-FR"/>
        </w:rPr>
        <w:t>en plus de celles au</w:t>
      </w:r>
      <w:r w:rsidR="00EB212D">
        <w:rPr>
          <w:lang w:val="fr-FR"/>
        </w:rPr>
        <w:t>xquelles le Comité est parvenu −</w:t>
      </w:r>
      <w:r w:rsidRPr="001D0787">
        <w:rPr>
          <w:lang w:val="fr-FR"/>
        </w:rPr>
        <w:t xml:space="preserve"> que l’État a commis une violation de l’article 16 du Pacte international relatif aux droits civils et politiques à l’égard de M. Shikhmuradov.</w:t>
      </w:r>
    </w:p>
    <w:p w:rsidR="00DA2E17" w:rsidRDefault="00DA2E17" w:rsidP="00DA2E17">
      <w:pPr>
        <w:pStyle w:val="SingleTxtG"/>
        <w:rPr>
          <w:lang w:val="fr-FR"/>
        </w:rPr>
      </w:pPr>
      <w:r w:rsidRPr="001D0787">
        <w:rPr>
          <w:lang w:val="fr-FR"/>
        </w:rPr>
        <w:t>11.</w:t>
      </w:r>
      <w:r w:rsidRPr="001D0787">
        <w:rPr>
          <w:lang w:val="fr-FR"/>
        </w:rPr>
        <w:tab/>
        <w:t>Je veux croire que le Comité révisera ses pratiques qui sont actuellement incohérentes et définira les critères à appliquer pour jouer dûment le rôle qui lui a été confié en sa qualité d’organe conventionnel chargé de surveiller le respect des droits énoncés dans le Pacte international relatif aux droits civils et politiques, conformément aux procédures prévues par le Pacte et le Protocole facultatif.</w:t>
      </w:r>
    </w:p>
    <w:p w:rsidR="00DA2E17" w:rsidRPr="00DA2E17" w:rsidRDefault="00DA2E17" w:rsidP="00DA2E1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A2E17" w:rsidRPr="00DA2E17" w:rsidSect="0002693A">
      <w:headerReference w:type="even" r:id="rId13"/>
      <w:footnotePr>
        <w:numFmt w:val="lowerLette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5A" w:rsidRDefault="00007A5A" w:rsidP="00F95C08">
      <w:pPr>
        <w:spacing w:line="240" w:lineRule="auto"/>
      </w:pPr>
    </w:p>
  </w:endnote>
  <w:endnote w:type="continuationSeparator" w:id="0">
    <w:p w:rsidR="00007A5A" w:rsidRPr="00AC3823" w:rsidRDefault="00007A5A" w:rsidP="00AC3823">
      <w:pPr>
        <w:pStyle w:val="Footer"/>
      </w:pPr>
    </w:p>
  </w:endnote>
  <w:endnote w:type="continuationNotice" w:id="1">
    <w:p w:rsidR="00007A5A" w:rsidRDefault="00007A5A">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4" w:rsidRPr="00710AB4" w:rsidRDefault="00710AB4" w:rsidP="00710AB4">
    <w:pPr>
      <w:pStyle w:val="Footer"/>
      <w:tabs>
        <w:tab w:val="right" w:pos="9638"/>
      </w:tabs>
    </w:pPr>
    <w:r w:rsidRPr="00710AB4">
      <w:rPr>
        <w:b/>
        <w:sz w:val="18"/>
      </w:rPr>
      <w:fldChar w:fldCharType="begin"/>
    </w:r>
    <w:r w:rsidRPr="00710AB4">
      <w:rPr>
        <w:b/>
        <w:sz w:val="18"/>
      </w:rPr>
      <w:instrText xml:space="preserve"> PAGE  \* MERGEFORMAT </w:instrText>
    </w:r>
    <w:r w:rsidRPr="00710AB4">
      <w:rPr>
        <w:b/>
        <w:sz w:val="18"/>
      </w:rPr>
      <w:fldChar w:fldCharType="separate"/>
    </w:r>
    <w:r w:rsidR="005047EE">
      <w:rPr>
        <w:b/>
        <w:noProof/>
        <w:sz w:val="18"/>
      </w:rPr>
      <w:t>10</w:t>
    </w:r>
    <w:r w:rsidRPr="00710AB4">
      <w:rPr>
        <w:b/>
        <w:sz w:val="18"/>
      </w:rPr>
      <w:fldChar w:fldCharType="end"/>
    </w:r>
    <w:r>
      <w:rPr>
        <w:b/>
        <w:sz w:val="18"/>
      </w:rPr>
      <w:tab/>
    </w:r>
    <w:r>
      <w:t>GE.15-00618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4" w:rsidRPr="00710AB4" w:rsidRDefault="00710AB4" w:rsidP="00710AB4">
    <w:pPr>
      <w:pStyle w:val="Footer"/>
      <w:tabs>
        <w:tab w:val="right" w:pos="9638"/>
      </w:tabs>
      <w:rPr>
        <w:b/>
        <w:sz w:val="18"/>
      </w:rPr>
    </w:pPr>
    <w:r>
      <w:t>GE.15-00618</w:t>
    </w:r>
    <w:r>
      <w:tab/>
    </w:r>
    <w:r w:rsidRPr="00710AB4">
      <w:rPr>
        <w:b/>
        <w:sz w:val="18"/>
      </w:rPr>
      <w:fldChar w:fldCharType="begin"/>
    </w:r>
    <w:r w:rsidRPr="00710AB4">
      <w:rPr>
        <w:b/>
        <w:sz w:val="18"/>
      </w:rPr>
      <w:instrText xml:space="preserve"> PAGE  \* MERGEFORMAT </w:instrText>
    </w:r>
    <w:r w:rsidRPr="00710AB4">
      <w:rPr>
        <w:b/>
        <w:sz w:val="18"/>
      </w:rPr>
      <w:fldChar w:fldCharType="separate"/>
    </w:r>
    <w:r w:rsidR="005047EE">
      <w:rPr>
        <w:b/>
        <w:noProof/>
        <w:sz w:val="18"/>
      </w:rPr>
      <w:t>11</w:t>
    </w:r>
    <w:r w:rsidRPr="00710AB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9B" w:rsidRPr="00710AB4" w:rsidRDefault="00710AB4" w:rsidP="00710AB4">
    <w:pPr>
      <w:pStyle w:val="Footer"/>
      <w:spacing w:before="120"/>
      <w:rPr>
        <w:sz w:val="20"/>
      </w:rPr>
    </w:pPr>
    <w:r>
      <w:rPr>
        <w:sz w:val="20"/>
      </w:rPr>
      <w:t>GE.</w:t>
    </w:r>
    <w:r w:rsidR="00044B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15-00618  (F)</w:t>
    </w:r>
    <w:r w:rsidR="007D4DCC">
      <w:rPr>
        <w:sz w:val="20"/>
      </w:rPr>
      <w:t xml:space="preserve">    250215    250215</w:t>
    </w:r>
    <w:r>
      <w:rPr>
        <w:sz w:val="20"/>
      </w:rPr>
      <w:br/>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Pr="00710AB4">
      <w:rPr>
        <w:rFonts w:ascii="C39T30Lfz" w:hAnsi="C39T30Lfz"/>
        <w:sz w:val="56"/>
      </w:rPr>
      <w:t></w:t>
    </w:r>
    <w:r w:rsidR="00044B87">
      <w:rPr>
        <w:noProof/>
      </w:rPr>
      <w:pict>
        <v:shape id="Image 1" o:spid="_x0000_s2049" type="#_x0000_t75" alt="http://undocs.org/m2/QRCode.ashx?DS=CCPR/C/112/D/2069/2011&amp;Size=2&amp;Lang=F" style="position:absolute;margin-left:432.25pt;margin-top:632.1pt;width:50.4pt;height:50.4pt;z-index:2;visibility:visible;mso-position-horizontal-relative:margin;mso-position-vertical-relative:margin">
          <v:imagedata r:id="rId2" o:title="2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5A" w:rsidRPr="00AC3823" w:rsidRDefault="00007A5A" w:rsidP="00AC3823">
      <w:pPr>
        <w:pStyle w:val="Footer"/>
        <w:tabs>
          <w:tab w:val="right" w:pos="2155"/>
        </w:tabs>
        <w:spacing w:after="80" w:line="240" w:lineRule="atLeast"/>
        <w:ind w:left="680"/>
        <w:rPr>
          <w:u w:val="single"/>
        </w:rPr>
      </w:pPr>
      <w:r>
        <w:rPr>
          <w:u w:val="single"/>
        </w:rPr>
        <w:tab/>
      </w:r>
    </w:p>
  </w:footnote>
  <w:footnote w:type="continuationSeparator" w:id="0">
    <w:p w:rsidR="00007A5A" w:rsidRPr="00AC3823" w:rsidRDefault="00007A5A" w:rsidP="00AC3823">
      <w:pPr>
        <w:pStyle w:val="Footer"/>
        <w:tabs>
          <w:tab w:val="right" w:pos="2155"/>
        </w:tabs>
        <w:spacing w:after="80" w:line="240" w:lineRule="atLeast"/>
        <w:ind w:left="680"/>
        <w:rPr>
          <w:u w:val="single"/>
        </w:rPr>
      </w:pPr>
      <w:r>
        <w:rPr>
          <w:u w:val="single"/>
        </w:rPr>
        <w:tab/>
      </w:r>
    </w:p>
  </w:footnote>
  <w:footnote w:type="continuationNotice" w:id="1">
    <w:p w:rsidR="00007A5A" w:rsidRPr="00AC3823" w:rsidRDefault="00007A5A">
      <w:pPr>
        <w:spacing w:line="240" w:lineRule="auto"/>
        <w:rPr>
          <w:sz w:val="2"/>
          <w:szCs w:val="2"/>
        </w:rPr>
      </w:pPr>
    </w:p>
  </w:footnote>
  <w:footnote w:id="2">
    <w:p w:rsidR="000F0BAE" w:rsidRDefault="00570761">
      <w:pPr>
        <w:pStyle w:val="FootnoteText"/>
        <w:rPr>
          <w:bCs/>
          <w:szCs w:val="18"/>
        </w:rPr>
      </w:pPr>
      <w:r>
        <w:rPr>
          <w:rStyle w:val="FootnoteReference"/>
        </w:rPr>
        <w:tab/>
      </w:r>
      <w:r w:rsidRPr="00570761">
        <w:rPr>
          <w:rStyle w:val="FootnoteReference"/>
          <w:sz w:val="20"/>
          <w:vertAlign w:val="baseline"/>
        </w:rPr>
        <w:t>*</w:t>
      </w:r>
      <w:r>
        <w:rPr>
          <w:rStyle w:val="FootnoteReference"/>
          <w:sz w:val="20"/>
          <w:vertAlign w:val="baseline"/>
        </w:rPr>
        <w:tab/>
      </w:r>
      <w:r w:rsidRPr="005B01E9">
        <w:rPr>
          <w:szCs w:val="18"/>
        </w:rPr>
        <w:t>Les membres du Comité dont le nom suit ont participé à l’examen de la communication</w:t>
      </w:r>
      <w:r>
        <w:rPr>
          <w:szCs w:val="18"/>
        </w:rPr>
        <w:t>: Yadh</w:t>
      </w:r>
      <w:r w:rsidR="009873DF">
        <w:rPr>
          <w:szCs w:val="18"/>
        </w:rPr>
        <w:t> </w:t>
      </w:r>
      <w:r>
        <w:rPr>
          <w:szCs w:val="18"/>
        </w:rPr>
        <w:t>Ben</w:t>
      </w:r>
      <w:r w:rsidR="009873DF">
        <w:rPr>
          <w:szCs w:val="18"/>
        </w:rPr>
        <w:t> </w:t>
      </w:r>
      <w:r w:rsidRPr="009106F1">
        <w:rPr>
          <w:szCs w:val="18"/>
        </w:rPr>
        <w:t>Achour</w:t>
      </w:r>
      <w:r w:rsidRPr="009106F1">
        <w:rPr>
          <w:bCs/>
          <w:szCs w:val="18"/>
          <w:lang w:val="fr-FR"/>
        </w:rPr>
        <w:t xml:space="preserve">, </w:t>
      </w:r>
      <w:r w:rsidRPr="009106F1">
        <w:rPr>
          <w:szCs w:val="18"/>
          <w:lang w:val="fr-FR"/>
        </w:rPr>
        <w:t>Ahm</w:t>
      </w:r>
      <w:r w:rsidRPr="001D0787">
        <w:rPr>
          <w:szCs w:val="18"/>
          <w:lang w:val="fr-FR"/>
        </w:rPr>
        <w:t>e</w:t>
      </w:r>
      <w:r w:rsidRPr="009106F1">
        <w:rPr>
          <w:szCs w:val="18"/>
          <w:lang w:val="fr-FR"/>
        </w:rPr>
        <w:t>d Amin Fathalla,</w:t>
      </w:r>
      <w:r w:rsidRPr="009106F1">
        <w:rPr>
          <w:bCs/>
          <w:szCs w:val="18"/>
        </w:rPr>
        <w:t xml:space="preserve"> Cornelis Flinterman, </w:t>
      </w:r>
      <w:r w:rsidRPr="009106F1">
        <w:rPr>
          <w:szCs w:val="18"/>
          <w:lang w:val="fr-FR"/>
        </w:rPr>
        <w:t>Yuji Iwasawa, Zonke</w:t>
      </w:r>
      <w:r w:rsidR="009873DF">
        <w:rPr>
          <w:szCs w:val="18"/>
          <w:lang w:val="fr-FR"/>
        </w:rPr>
        <w:t> </w:t>
      </w:r>
      <w:r w:rsidRPr="009106F1">
        <w:rPr>
          <w:szCs w:val="18"/>
          <w:lang w:val="fr-FR"/>
        </w:rPr>
        <w:t>Zanele</w:t>
      </w:r>
      <w:r w:rsidR="009873DF">
        <w:rPr>
          <w:szCs w:val="18"/>
          <w:lang w:val="fr-FR"/>
        </w:rPr>
        <w:t> </w:t>
      </w:r>
      <w:r w:rsidRPr="009106F1">
        <w:rPr>
          <w:szCs w:val="18"/>
          <w:lang w:val="fr-FR"/>
        </w:rPr>
        <w:t xml:space="preserve">Majodina, </w:t>
      </w:r>
      <w:r w:rsidRPr="009106F1">
        <w:rPr>
          <w:bCs/>
          <w:szCs w:val="18"/>
        </w:rPr>
        <w:t xml:space="preserve">Gerald </w:t>
      </w:r>
      <w:r w:rsidRPr="001D0787">
        <w:rPr>
          <w:bCs/>
          <w:szCs w:val="18"/>
        </w:rPr>
        <w:t xml:space="preserve">L. </w:t>
      </w:r>
      <w:r w:rsidRPr="009106F1">
        <w:rPr>
          <w:bCs/>
          <w:szCs w:val="18"/>
        </w:rPr>
        <w:t xml:space="preserve">Neuman, </w:t>
      </w:r>
      <w:r w:rsidRPr="009106F1">
        <w:rPr>
          <w:szCs w:val="18"/>
          <w:lang w:val="fr-FR"/>
        </w:rPr>
        <w:t>Sir Nigel Rodley, Fabián Omar Salvioli, Dheerujlall</w:t>
      </w:r>
      <w:r w:rsidR="009873DF">
        <w:rPr>
          <w:szCs w:val="18"/>
          <w:lang w:val="fr-FR"/>
        </w:rPr>
        <w:t> </w:t>
      </w:r>
      <w:r w:rsidRPr="009106F1">
        <w:rPr>
          <w:szCs w:val="18"/>
          <w:lang w:val="fr-FR"/>
        </w:rPr>
        <w:t>B.</w:t>
      </w:r>
      <w:r w:rsidR="009873DF">
        <w:rPr>
          <w:szCs w:val="18"/>
          <w:lang w:val="fr-FR"/>
        </w:rPr>
        <w:t> </w:t>
      </w:r>
      <w:r w:rsidRPr="009106F1">
        <w:rPr>
          <w:szCs w:val="18"/>
          <w:lang w:val="fr-FR"/>
        </w:rPr>
        <w:t xml:space="preserve">Seetulsingh, Anja Seibert-Fohr, Yuval Shany, Konstantine Vardzelashvili, </w:t>
      </w:r>
      <w:r w:rsidRPr="009106F1">
        <w:rPr>
          <w:bCs/>
          <w:szCs w:val="18"/>
        </w:rPr>
        <w:t>Margo</w:t>
      </w:r>
      <w:r w:rsidR="009873DF">
        <w:rPr>
          <w:bCs/>
          <w:szCs w:val="18"/>
        </w:rPr>
        <w:t> </w:t>
      </w:r>
      <w:r w:rsidRPr="009106F1">
        <w:rPr>
          <w:bCs/>
          <w:szCs w:val="18"/>
        </w:rPr>
        <w:t xml:space="preserve">Waterval et </w:t>
      </w:r>
      <w:r w:rsidRPr="009106F1">
        <w:rPr>
          <w:szCs w:val="18"/>
          <w:lang w:val="fr-FR"/>
        </w:rPr>
        <w:t>Andrei Paul Zlătescu</w:t>
      </w:r>
      <w:r w:rsidRPr="009106F1">
        <w:rPr>
          <w:bCs/>
          <w:szCs w:val="18"/>
        </w:rPr>
        <w:t>.</w:t>
      </w:r>
      <w:r>
        <w:rPr>
          <w:bCs/>
          <w:szCs w:val="18"/>
        </w:rPr>
        <w:t xml:space="preserve"> </w:t>
      </w:r>
    </w:p>
    <w:p w:rsidR="00570761" w:rsidRPr="00570761" w:rsidRDefault="000F0BAE">
      <w:pPr>
        <w:pStyle w:val="FootnoteText"/>
      </w:pPr>
      <w:r>
        <w:rPr>
          <w:bCs/>
          <w:szCs w:val="18"/>
        </w:rPr>
        <w:tab/>
      </w:r>
      <w:r>
        <w:rPr>
          <w:bCs/>
          <w:szCs w:val="18"/>
        </w:rPr>
        <w:tab/>
      </w:r>
      <w:r w:rsidR="00570761" w:rsidRPr="009106F1">
        <w:t>Le texte d</w:t>
      </w:r>
      <w:r w:rsidR="00570761">
        <w:t>’</w:t>
      </w:r>
      <w:r w:rsidR="00570761" w:rsidRPr="009106F1">
        <w:t xml:space="preserve">une opinion individuelle (concurrente) signée de </w:t>
      </w:r>
      <w:r w:rsidR="00570761" w:rsidRPr="009106F1">
        <w:rPr>
          <w:szCs w:val="18"/>
          <w:lang w:val="fr-FR"/>
        </w:rPr>
        <w:t>Fabián</w:t>
      </w:r>
      <w:r w:rsidR="00D25245">
        <w:rPr>
          <w:szCs w:val="18"/>
          <w:lang w:val="fr-FR"/>
        </w:rPr>
        <w:t> </w:t>
      </w:r>
      <w:r w:rsidR="00570761" w:rsidRPr="009106F1">
        <w:rPr>
          <w:szCs w:val="18"/>
          <w:lang w:val="fr-FR"/>
        </w:rPr>
        <w:t>Omar</w:t>
      </w:r>
      <w:r w:rsidR="00D25245">
        <w:rPr>
          <w:szCs w:val="18"/>
          <w:lang w:val="fr-FR"/>
        </w:rPr>
        <w:t> </w:t>
      </w:r>
      <w:r w:rsidR="00570761" w:rsidRPr="009106F1">
        <w:rPr>
          <w:szCs w:val="18"/>
          <w:lang w:val="fr-FR"/>
        </w:rPr>
        <w:t>Salvioli est joint aux</w:t>
      </w:r>
      <w:r w:rsidR="00D25245">
        <w:rPr>
          <w:szCs w:val="18"/>
          <w:lang w:val="fr-FR"/>
        </w:rPr>
        <w:t> </w:t>
      </w:r>
      <w:r w:rsidR="00570761" w:rsidRPr="009106F1">
        <w:rPr>
          <w:szCs w:val="18"/>
          <w:lang w:val="fr-FR"/>
        </w:rPr>
        <w:t>présente</w:t>
      </w:r>
      <w:r w:rsidR="00036214">
        <w:rPr>
          <w:szCs w:val="18"/>
          <w:lang w:val="fr-FR"/>
        </w:rPr>
        <w:t>s</w:t>
      </w:r>
      <w:r w:rsidR="00570761" w:rsidRPr="009106F1">
        <w:rPr>
          <w:szCs w:val="18"/>
          <w:lang w:val="fr-FR"/>
        </w:rPr>
        <w:t xml:space="preserve"> constatations.</w:t>
      </w:r>
    </w:p>
  </w:footnote>
  <w:footnote w:id="3">
    <w:p w:rsidR="00FA22F3" w:rsidRDefault="00FA22F3">
      <w:pPr>
        <w:pStyle w:val="FootnoteText"/>
      </w:pPr>
      <w:r>
        <w:tab/>
      </w:r>
      <w:r>
        <w:rPr>
          <w:rStyle w:val="FootnoteReference"/>
        </w:rPr>
        <w:footnoteRef/>
      </w:r>
      <w:r>
        <w:tab/>
      </w:r>
      <w:r>
        <w:rPr>
          <w:lang w:val="fr-FR"/>
        </w:rPr>
        <w:t xml:space="preserve">La proposition du Président </w:t>
      </w:r>
      <w:r w:rsidRPr="00D262FA">
        <w:rPr>
          <w:lang w:val="fr-FR"/>
        </w:rPr>
        <w:t>(</w:t>
      </w:r>
      <w:r>
        <w:rPr>
          <w:lang w:val="fr-FR"/>
        </w:rPr>
        <w:t>qui a fait suite à la condamnation à la réclusion à perpétuité</w:t>
      </w:r>
      <w:r w:rsidRPr="00D262FA">
        <w:rPr>
          <w:lang w:val="fr-FR"/>
        </w:rPr>
        <w:t xml:space="preserve">) </w:t>
      </w:r>
      <w:r>
        <w:rPr>
          <w:lang w:val="fr-FR"/>
        </w:rPr>
        <w:t xml:space="preserve">de modifier la </w:t>
      </w:r>
      <w:r w:rsidRPr="00D262FA">
        <w:rPr>
          <w:lang w:val="fr-FR"/>
        </w:rPr>
        <w:t xml:space="preserve">Constitution </w:t>
      </w:r>
      <w:r>
        <w:rPr>
          <w:lang w:val="fr-FR"/>
        </w:rPr>
        <w:t>et le Code pénal a reçu le soutien unanime de tous les délégués du Conseil du peuple.</w:t>
      </w:r>
    </w:p>
  </w:footnote>
  <w:footnote w:id="4">
    <w:p w:rsidR="00080D7F" w:rsidRDefault="00080D7F">
      <w:pPr>
        <w:pStyle w:val="FootnoteText"/>
      </w:pPr>
      <w:r>
        <w:tab/>
      </w:r>
      <w:r>
        <w:rPr>
          <w:rStyle w:val="FootnoteReference"/>
        </w:rPr>
        <w:footnoteRef/>
      </w:r>
      <w:r>
        <w:tab/>
      </w:r>
      <w:r w:rsidRPr="00343731">
        <w:t xml:space="preserve">Dans </w:t>
      </w:r>
      <w:r w:rsidRPr="00343731" w:rsidDel="001D0787">
        <w:rPr>
          <w:lang w:val="fr-FR"/>
        </w:rPr>
        <w:t>la</w:t>
      </w:r>
      <w:r w:rsidRPr="00343731">
        <w:rPr>
          <w:lang w:val="fr-FR"/>
        </w:rPr>
        <w:t xml:space="preserve"> compilation établie par le Haut</w:t>
      </w:r>
      <w:r w:rsidRPr="00343731">
        <w:rPr>
          <w:lang w:val="fr-FR"/>
        </w:rPr>
        <w:noBreakHyphen/>
        <w:t>Commissariat des Nations Unies aux droits de l’homme en</w:t>
      </w:r>
      <w:r w:rsidR="00343731">
        <w:rPr>
          <w:lang w:val="fr-FR"/>
        </w:rPr>
        <w:t> </w:t>
      </w:r>
      <w:r w:rsidRPr="00343731">
        <w:rPr>
          <w:lang w:val="fr-FR"/>
        </w:rPr>
        <w:t>date du 29 septembre 2008 (</w:t>
      </w:r>
      <w:r w:rsidRPr="00343731">
        <w:rPr>
          <w:lang w:val="en-GB"/>
        </w:rPr>
        <w:t>A/HRC/WG.6/3/TKM/2</w:t>
      </w:r>
      <w:r w:rsidRPr="00343731">
        <w:t>)</w:t>
      </w:r>
      <w:r w:rsidRPr="00343731">
        <w:rPr>
          <w:lang w:val="fr-FR"/>
        </w:rPr>
        <w:t xml:space="preserve">, il était indiqué ce qui suit: </w:t>
      </w:r>
      <w:r w:rsidRPr="00343731">
        <w:rPr>
          <w:iCs/>
          <w:lang w:val="fr-FR"/>
        </w:rPr>
        <w:t>«</w:t>
      </w:r>
      <w:r w:rsidRPr="00343731">
        <w:rPr>
          <w:lang w:val="fr-FR"/>
        </w:rPr>
        <w:t xml:space="preserve">En 2005, </w:t>
      </w:r>
      <w:r w:rsidRPr="00343731">
        <w:rPr>
          <w:rFonts w:eastAsia="MS Mincho"/>
          <w:lang w:val="fr-FR"/>
        </w:rPr>
        <w:t>l’Assemblée générale a pris note avec une vive préoccupation d’informations crédibles évoquant des</w:t>
      </w:r>
      <w:r w:rsidR="00343731">
        <w:rPr>
          <w:rFonts w:eastAsia="MS Mincho"/>
          <w:lang w:val="fr-FR"/>
        </w:rPr>
        <w:t> </w:t>
      </w:r>
      <w:r w:rsidRPr="00343731">
        <w:rPr>
          <w:rFonts w:eastAsia="MS Mincho"/>
          <w:lang w:val="fr-FR"/>
        </w:rPr>
        <w:t>actes de torture et des mauvais traitements infligés aux détenus et les conditions médiocres régnant dans les prisons, et indiquant que le Gouvernement refusait le droit d’accès aux prisonniers au</w:t>
      </w:r>
      <w:r w:rsidR="00343731">
        <w:rPr>
          <w:rFonts w:eastAsia="MS Mincho"/>
          <w:lang w:val="fr-FR"/>
        </w:rPr>
        <w:t> </w:t>
      </w:r>
      <w:r w:rsidRPr="00343731">
        <w:rPr>
          <w:rFonts w:eastAsia="MS Mincho"/>
          <w:lang w:val="fr-FR"/>
        </w:rPr>
        <w:t>Comité international de la Croix</w:t>
      </w:r>
      <w:r w:rsidRPr="00343731">
        <w:rPr>
          <w:rFonts w:eastAsia="MS Mincho"/>
          <w:lang w:val="fr-FR"/>
        </w:rPr>
        <w:noBreakHyphen/>
        <w:t>Rouge (CICR) selon ses modalités d’usage, ainsi qu’aux observateurs internationaux</w:t>
      </w:r>
      <w:r w:rsidRPr="00343731">
        <w:rPr>
          <w:iCs/>
          <w:lang w:val="fr-FR"/>
        </w:rPr>
        <w:t xml:space="preserve">. </w:t>
      </w:r>
      <w:r w:rsidRPr="00343731">
        <w:rPr>
          <w:rFonts w:eastAsia="MS Mincho"/>
          <w:lang w:val="fr-FR"/>
        </w:rPr>
        <w:t>Le Rapporteur spécial sur la question de la torture a adressé en 2005 une</w:t>
      </w:r>
      <w:r w:rsidR="00343731">
        <w:rPr>
          <w:rFonts w:eastAsia="MS Mincho"/>
          <w:lang w:val="fr-FR"/>
        </w:rPr>
        <w:t> </w:t>
      </w:r>
      <w:r w:rsidRPr="00343731">
        <w:rPr>
          <w:rFonts w:eastAsia="MS Mincho"/>
          <w:lang w:val="fr-FR"/>
        </w:rPr>
        <w:t>communication concernant le cas de 62 personnes qui avaient été condamnées en décembre 2002 et en janvier 2003 à des peines de prison allant de cinq ans à la perpétuité pour avoir participé en novembre 2002 à ce que les autorités considéraient comme une tentative d’assassinat du Président et</w:t>
      </w:r>
      <w:r w:rsidR="00343731">
        <w:rPr>
          <w:rFonts w:eastAsia="MS Mincho"/>
          <w:lang w:val="fr-FR"/>
        </w:rPr>
        <w:t> </w:t>
      </w:r>
      <w:r w:rsidRPr="00343731">
        <w:rPr>
          <w:rFonts w:eastAsia="MS Mincho"/>
          <w:lang w:val="fr-FR"/>
        </w:rPr>
        <w:t>qui étaient toujours détenues au secret, sans pouvoir avoir de contacts avec le CICR</w:t>
      </w:r>
      <w:r w:rsidRPr="00343731">
        <w:rPr>
          <w:iCs/>
          <w:lang w:val="fr-FR"/>
        </w:rPr>
        <w:t>.».</w:t>
      </w:r>
    </w:p>
  </w:footnote>
  <w:footnote w:id="5">
    <w:p w:rsidR="00514FD5" w:rsidRDefault="00514FD5">
      <w:pPr>
        <w:pStyle w:val="FootnoteText"/>
      </w:pPr>
      <w:r>
        <w:tab/>
      </w:r>
      <w:r>
        <w:rPr>
          <w:rStyle w:val="FootnoteReference"/>
        </w:rPr>
        <w:footnoteRef/>
      </w:r>
      <w:r>
        <w:tab/>
      </w:r>
      <w:r>
        <w:rPr>
          <w:szCs w:val="18"/>
          <w:lang w:val="fr-FR"/>
        </w:rPr>
        <w:t xml:space="preserve">Voir, entre autres, </w:t>
      </w:r>
      <w:r w:rsidRPr="00D262FA">
        <w:rPr>
          <w:szCs w:val="18"/>
          <w:lang w:val="fr-FR"/>
        </w:rPr>
        <w:t xml:space="preserve">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1913/2009</w:t>
      </w:r>
      <w:r>
        <w:rPr>
          <w:szCs w:val="18"/>
          <w:lang w:val="fr-FR"/>
        </w:rPr>
        <w:t>,</w:t>
      </w:r>
      <w:r w:rsidRPr="00D262FA">
        <w:rPr>
          <w:szCs w:val="18"/>
          <w:lang w:val="fr-FR"/>
        </w:rPr>
        <w:t xml:space="preserve"> </w:t>
      </w:r>
      <w:r w:rsidRPr="00D262FA">
        <w:rPr>
          <w:i/>
          <w:szCs w:val="18"/>
          <w:lang w:val="fr-FR"/>
        </w:rPr>
        <w:t xml:space="preserve">Abushaala </w:t>
      </w:r>
      <w:r>
        <w:rPr>
          <w:szCs w:val="18"/>
          <w:lang w:val="fr-FR"/>
        </w:rPr>
        <w:t xml:space="preserve">c. </w:t>
      </w:r>
      <w:r>
        <w:rPr>
          <w:i/>
          <w:szCs w:val="18"/>
          <w:lang w:val="fr-FR"/>
        </w:rPr>
        <w:t>Libye</w:t>
      </w:r>
      <w:r w:rsidRPr="00D262FA">
        <w:rPr>
          <w:szCs w:val="18"/>
          <w:lang w:val="fr-FR"/>
        </w:rPr>
        <w:t xml:space="preserve">, </w:t>
      </w:r>
      <w:r>
        <w:rPr>
          <w:szCs w:val="18"/>
          <w:lang w:val="fr-FR"/>
        </w:rPr>
        <w:t>constatations adoptées le</w:t>
      </w:r>
      <w:r w:rsidR="00B9670B">
        <w:rPr>
          <w:szCs w:val="18"/>
          <w:lang w:val="fr-FR"/>
        </w:rPr>
        <w:t> </w:t>
      </w:r>
      <w:r>
        <w:rPr>
          <w:szCs w:val="18"/>
          <w:lang w:val="fr-FR"/>
        </w:rPr>
        <w:t>18 mars 2013, par. </w:t>
      </w:r>
      <w:r w:rsidRPr="00D262FA">
        <w:rPr>
          <w:szCs w:val="18"/>
          <w:lang w:val="fr-FR"/>
        </w:rPr>
        <w:t xml:space="preserve">6.1;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1751/2008</w:t>
      </w:r>
      <w:r>
        <w:rPr>
          <w:szCs w:val="18"/>
          <w:lang w:val="fr-FR"/>
        </w:rPr>
        <w:t>,</w:t>
      </w:r>
      <w:r w:rsidRPr="00D262FA">
        <w:rPr>
          <w:szCs w:val="18"/>
          <w:lang w:val="fr-FR"/>
        </w:rPr>
        <w:t xml:space="preserve"> </w:t>
      </w:r>
      <w:r w:rsidRPr="00D262FA">
        <w:rPr>
          <w:i/>
          <w:szCs w:val="18"/>
          <w:lang w:val="fr-FR"/>
        </w:rPr>
        <w:t xml:space="preserve">Aboussedra </w:t>
      </w:r>
      <w:r>
        <w:rPr>
          <w:szCs w:val="18"/>
          <w:lang w:val="fr-FR"/>
        </w:rPr>
        <w:t>c. </w:t>
      </w:r>
      <w:r w:rsidRPr="00D262FA">
        <w:rPr>
          <w:i/>
          <w:szCs w:val="18"/>
          <w:lang w:val="fr-FR"/>
        </w:rPr>
        <w:t>Jamahiriya</w:t>
      </w:r>
      <w:r w:rsidRPr="00D262FA">
        <w:rPr>
          <w:szCs w:val="18"/>
          <w:lang w:val="fr-FR"/>
        </w:rPr>
        <w:t xml:space="preserve"> </w:t>
      </w:r>
      <w:r>
        <w:rPr>
          <w:i/>
          <w:szCs w:val="18"/>
          <w:lang w:val="fr-FR"/>
        </w:rPr>
        <w:t>arabe libyenne</w:t>
      </w:r>
      <w:r w:rsidRPr="00D262FA">
        <w:rPr>
          <w:szCs w:val="18"/>
          <w:lang w:val="fr-FR"/>
        </w:rPr>
        <w:t xml:space="preserve">, </w:t>
      </w:r>
      <w:r>
        <w:rPr>
          <w:szCs w:val="18"/>
          <w:lang w:val="fr-FR"/>
        </w:rPr>
        <w:t>constatations adoptées le 25 octobre 2010, par. </w:t>
      </w:r>
      <w:r w:rsidRPr="00D262FA">
        <w:rPr>
          <w:szCs w:val="18"/>
          <w:lang w:val="fr-FR"/>
        </w:rPr>
        <w:t xml:space="preserve">4;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1640/2007</w:t>
      </w:r>
      <w:r>
        <w:rPr>
          <w:szCs w:val="18"/>
          <w:lang w:val="fr-FR"/>
        </w:rPr>
        <w:t>,</w:t>
      </w:r>
      <w:r w:rsidRPr="00D262FA">
        <w:rPr>
          <w:szCs w:val="18"/>
          <w:lang w:val="fr-FR"/>
        </w:rPr>
        <w:t xml:space="preserve"> </w:t>
      </w:r>
      <w:r w:rsidRPr="00D262FA">
        <w:rPr>
          <w:i/>
          <w:szCs w:val="18"/>
          <w:lang w:val="fr-FR"/>
        </w:rPr>
        <w:t>El</w:t>
      </w:r>
      <w:r w:rsidR="00B9670B">
        <w:rPr>
          <w:i/>
          <w:szCs w:val="18"/>
          <w:lang w:val="fr-FR"/>
        </w:rPr>
        <w:t> </w:t>
      </w:r>
      <w:r w:rsidRPr="00D262FA">
        <w:rPr>
          <w:i/>
          <w:szCs w:val="18"/>
          <w:lang w:val="fr-FR"/>
        </w:rPr>
        <w:t>Abani</w:t>
      </w:r>
      <w:r w:rsidR="00B9670B">
        <w:rPr>
          <w:i/>
          <w:szCs w:val="18"/>
          <w:lang w:val="fr-FR"/>
        </w:rPr>
        <w:t> </w:t>
      </w:r>
      <w:r>
        <w:rPr>
          <w:szCs w:val="18"/>
          <w:lang w:val="fr-FR"/>
        </w:rPr>
        <w:t>c.</w:t>
      </w:r>
      <w:r>
        <w:rPr>
          <w:i/>
          <w:szCs w:val="18"/>
          <w:lang w:val="fr-FR"/>
        </w:rPr>
        <w:t> </w:t>
      </w:r>
      <w:r w:rsidRPr="00D262FA">
        <w:rPr>
          <w:i/>
          <w:szCs w:val="18"/>
          <w:lang w:val="fr-FR"/>
        </w:rPr>
        <w:t>Jamahiriya</w:t>
      </w:r>
      <w:r w:rsidRPr="00D262FA">
        <w:rPr>
          <w:szCs w:val="18"/>
          <w:lang w:val="fr-FR"/>
        </w:rPr>
        <w:t xml:space="preserve"> </w:t>
      </w:r>
      <w:r>
        <w:rPr>
          <w:i/>
          <w:szCs w:val="18"/>
          <w:lang w:val="fr-FR"/>
        </w:rPr>
        <w:t>arabe libyenne</w:t>
      </w:r>
      <w:r w:rsidRPr="00D262FA">
        <w:rPr>
          <w:szCs w:val="18"/>
          <w:lang w:val="fr-FR"/>
        </w:rPr>
        <w:t xml:space="preserve">, </w:t>
      </w:r>
      <w:r>
        <w:rPr>
          <w:szCs w:val="18"/>
          <w:lang w:val="fr-FR"/>
        </w:rPr>
        <w:t xml:space="preserve">constatations adoptées le 26 juillet </w:t>
      </w:r>
      <w:r w:rsidRPr="00D262FA">
        <w:rPr>
          <w:szCs w:val="18"/>
          <w:lang w:val="fr-FR"/>
        </w:rPr>
        <w:t xml:space="preserve">2010, </w:t>
      </w:r>
      <w:r>
        <w:rPr>
          <w:szCs w:val="18"/>
          <w:lang w:val="fr-FR"/>
        </w:rPr>
        <w:t>par. </w:t>
      </w:r>
      <w:r w:rsidRPr="00D262FA">
        <w:rPr>
          <w:szCs w:val="18"/>
          <w:lang w:val="fr-FR"/>
        </w:rPr>
        <w:t xml:space="preserve">4;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 xml:space="preserve">1776/2008, </w:t>
      </w:r>
      <w:r w:rsidRPr="00D262FA">
        <w:rPr>
          <w:i/>
          <w:szCs w:val="18"/>
          <w:lang w:val="fr-FR"/>
        </w:rPr>
        <w:t xml:space="preserve">Bashasha </w:t>
      </w:r>
      <w:r w:rsidRPr="00A63054">
        <w:rPr>
          <w:szCs w:val="18"/>
          <w:lang w:val="fr-FR"/>
        </w:rPr>
        <w:t>c.</w:t>
      </w:r>
      <w:r>
        <w:rPr>
          <w:i/>
          <w:szCs w:val="18"/>
          <w:lang w:val="fr-FR"/>
        </w:rPr>
        <w:t> </w:t>
      </w:r>
      <w:r w:rsidRPr="00D262FA">
        <w:rPr>
          <w:i/>
          <w:szCs w:val="18"/>
          <w:lang w:val="fr-FR"/>
        </w:rPr>
        <w:t>Jamahiriya</w:t>
      </w:r>
      <w:r>
        <w:rPr>
          <w:i/>
          <w:szCs w:val="18"/>
          <w:lang w:val="fr-FR"/>
        </w:rPr>
        <w:t xml:space="preserve"> arabe libyenne</w:t>
      </w:r>
      <w:r w:rsidRPr="00D262FA">
        <w:rPr>
          <w:szCs w:val="18"/>
          <w:lang w:val="fr-FR"/>
        </w:rPr>
        <w:t xml:space="preserve">, </w:t>
      </w:r>
      <w:r>
        <w:rPr>
          <w:szCs w:val="18"/>
          <w:lang w:val="fr-FR"/>
        </w:rPr>
        <w:t>constatations adoptées le</w:t>
      </w:r>
      <w:r w:rsidR="00B9670B">
        <w:rPr>
          <w:szCs w:val="18"/>
          <w:lang w:val="fr-FR"/>
        </w:rPr>
        <w:t> </w:t>
      </w:r>
      <w:r>
        <w:rPr>
          <w:szCs w:val="18"/>
          <w:lang w:val="fr-FR"/>
        </w:rPr>
        <w:t>20</w:t>
      </w:r>
      <w:r w:rsidR="00B9670B">
        <w:rPr>
          <w:szCs w:val="18"/>
          <w:lang w:val="fr-FR"/>
        </w:rPr>
        <w:t> </w:t>
      </w:r>
      <w:r>
        <w:rPr>
          <w:szCs w:val="18"/>
          <w:lang w:val="fr-FR"/>
        </w:rPr>
        <w:t>octobre 2010</w:t>
      </w:r>
      <w:r w:rsidRPr="00D262FA">
        <w:rPr>
          <w:szCs w:val="18"/>
          <w:lang w:val="fr-FR"/>
        </w:rPr>
        <w:t>, par</w:t>
      </w:r>
      <w:r>
        <w:rPr>
          <w:szCs w:val="18"/>
          <w:lang w:val="fr-FR"/>
        </w:rPr>
        <w:t>. </w:t>
      </w:r>
      <w:r w:rsidRPr="00D262FA">
        <w:rPr>
          <w:szCs w:val="18"/>
          <w:lang w:val="fr-FR"/>
        </w:rPr>
        <w:t xml:space="preserve">4.2;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 xml:space="preserve">1422/2005, </w:t>
      </w:r>
      <w:r w:rsidRPr="00D262FA">
        <w:rPr>
          <w:i/>
          <w:szCs w:val="18"/>
          <w:lang w:val="fr-FR"/>
        </w:rPr>
        <w:t xml:space="preserve">El Hassy </w:t>
      </w:r>
      <w:r w:rsidRPr="00A63054">
        <w:rPr>
          <w:szCs w:val="18"/>
          <w:lang w:val="fr-FR"/>
        </w:rPr>
        <w:t>c.</w:t>
      </w:r>
      <w:r>
        <w:rPr>
          <w:i/>
          <w:szCs w:val="18"/>
          <w:lang w:val="fr-FR"/>
        </w:rPr>
        <w:t> </w:t>
      </w:r>
      <w:r w:rsidRPr="00D262FA">
        <w:rPr>
          <w:i/>
          <w:szCs w:val="18"/>
          <w:lang w:val="fr-FR"/>
        </w:rPr>
        <w:t>Jamahiriya</w:t>
      </w:r>
      <w:r>
        <w:rPr>
          <w:i/>
          <w:szCs w:val="18"/>
          <w:lang w:val="fr-FR"/>
        </w:rPr>
        <w:t xml:space="preserve"> arabe libyenne</w:t>
      </w:r>
      <w:r w:rsidRPr="00D262FA">
        <w:rPr>
          <w:szCs w:val="18"/>
          <w:lang w:val="fr-FR"/>
        </w:rPr>
        <w:t xml:space="preserve">, </w:t>
      </w:r>
      <w:r>
        <w:rPr>
          <w:szCs w:val="18"/>
          <w:lang w:val="fr-FR"/>
        </w:rPr>
        <w:t>constatations adoptées le 24 octobre</w:t>
      </w:r>
      <w:r w:rsidRPr="00D262FA">
        <w:rPr>
          <w:szCs w:val="18"/>
          <w:lang w:val="fr-FR"/>
        </w:rPr>
        <w:t xml:space="preserve"> 2007, </w:t>
      </w:r>
      <w:r>
        <w:rPr>
          <w:szCs w:val="18"/>
          <w:lang w:val="fr-FR"/>
        </w:rPr>
        <w:t>par. </w:t>
      </w:r>
      <w:r w:rsidRPr="00D262FA">
        <w:rPr>
          <w:szCs w:val="18"/>
          <w:lang w:val="fr-FR"/>
        </w:rPr>
        <w:t xml:space="preserve">4;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 xml:space="preserve">1295/2004, </w:t>
      </w:r>
      <w:r w:rsidRPr="00D262FA">
        <w:rPr>
          <w:i/>
          <w:szCs w:val="18"/>
          <w:lang w:val="fr-FR"/>
        </w:rPr>
        <w:t>El</w:t>
      </w:r>
      <w:r w:rsidR="00B9670B">
        <w:rPr>
          <w:i/>
          <w:szCs w:val="18"/>
          <w:lang w:val="fr-FR"/>
        </w:rPr>
        <w:t> </w:t>
      </w:r>
      <w:r w:rsidRPr="00D262FA">
        <w:rPr>
          <w:i/>
          <w:szCs w:val="18"/>
          <w:lang w:val="fr-FR"/>
        </w:rPr>
        <w:t>Alwani</w:t>
      </w:r>
      <w:r w:rsidR="00B9670B">
        <w:rPr>
          <w:i/>
          <w:szCs w:val="18"/>
          <w:lang w:val="fr-FR"/>
        </w:rPr>
        <w:t> </w:t>
      </w:r>
      <w:r w:rsidRPr="00BA4272">
        <w:rPr>
          <w:szCs w:val="18"/>
          <w:lang w:val="fr-FR"/>
        </w:rPr>
        <w:t>c.</w:t>
      </w:r>
      <w:r>
        <w:rPr>
          <w:szCs w:val="18"/>
          <w:lang w:val="fr-FR"/>
        </w:rPr>
        <w:t> </w:t>
      </w:r>
      <w:r w:rsidRPr="00D262FA">
        <w:rPr>
          <w:i/>
          <w:szCs w:val="18"/>
          <w:lang w:val="fr-FR"/>
        </w:rPr>
        <w:t>Jamahiriya</w:t>
      </w:r>
      <w:r>
        <w:rPr>
          <w:i/>
          <w:szCs w:val="18"/>
          <w:lang w:val="fr-FR"/>
        </w:rPr>
        <w:t xml:space="preserve"> arabe libyenne</w:t>
      </w:r>
      <w:r w:rsidRPr="00D262FA">
        <w:rPr>
          <w:szCs w:val="18"/>
          <w:lang w:val="fr-FR"/>
        </w:rPr>
        <w:t xml:space="preserve">, </w:t>
      </w:r>
      <w:r>
        <w:rPr>
          <w:szCs w:val="18"/>
          <w:lang w:val="fr-FR"/>
        </w:rPr>
        <w:t xml:space="preserve">constatations adoptées le 11 juillet </w:t>
      </w:r>
      <w:r w:rsidRPr="00D262FA">
        <w:rPr>
          <w:szCs w:val="18"/>
          <w:lang w:val="fr-FR"/>
        </w:rPr>
        <w:t xml:space="preserve">2007, </w:t>
      </w:r>
      <w:r>
        <w:rPr>
          <w:szCs w:val="18"/>
          <w:lang w:val="fr-FR"/>
        </w:rPr>
        <w:t>par. </w:t>
      </w:r>
      <w:r w:rsidRPr="00D262FA">
        <w:rPr>
          <w:szCs w:val="18"/>
          <w:lang w:val="fr-FR"/>
        </w:rPr>
        <w:t xml:space="preserve">4;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 xml:space="preserve">1208/2003, </w:t>
      </w:r>
      <w:r w:rsidRPr="00D262FA">
        <w:rPr>
          <w:i/>
          <w:szCs w:val="18"/>
          <w:lang w:val="fr-FR"/>
        </w:rPr>
        <w:t xml:space="preserve">Kurbonov </w:t>
      </w:r>
      <w:r w:rsidRPr="00BA4272">
        <w:rPr>
          <w:szCs w:val="18"/>
          <w:lang w:val="fr-FR"/>
        </w:rPr>
        <w:t>c.</w:t>
      </w:r>
      <w:r>
        <w:rPr>
          <w:szCs w:val="18"/>
          <w:lang w:val="fr-FR"/>
        </w:rPr>
        <w:t> </w:t>
      </w:r>
      <w:r w:rsidRPr="00D262FA">
        <w:rPr>
          <w:i/>
          <w:szCs w:val="18"/>
          <w:lang w:val="fr-FR"/>
        </w:rPr>
        <w:t>Ta</w:t>
      </w:r>
      <w:r>
        <w:rPr>
          <w:i/>
          <w:szCs w:val="18"/>
          <w:lang w:val="fr-FR"/>
        </w:rPr>
        <w:t>d</w:t>
      </w:r>
      <w:r w:rsidRPr="00D262FA">
        <w:rPr>
          <w:i/>
          <w:szCs w:val="18"/>
          <w:lang w:val="fr-FR"/>
        </w:rPr>
        <w:t>jikistan</w:t>
      </w:r>
      <w:r w:rsidRPr="00D262FA">
        <w:rPr>
          <w:szCs w:val="18"/>
          <w:lang w:val="fr-FR"/>
        </w:rPr>
        <w:t xml:space="preserve">, </w:t>
      </w:r>
      <w:r>
        <w:rPr>
          <w:szCs w:val="18"/>
          <w:lang w:val="fr-FR"/>
        </w:rPr>
        <w:t xml:space="preserve">constatations adoptées le 16 mars </w:t>
      </w:r>
      <w:r w:rsidRPr="00D262FA">
        <w:rPr>
          <w:szCs w:val="18"/>
          <w:lang w:val="fr-FR"/>
        </w:rPr>
        <w:t xml:space="preserve">2006, </w:t>
      </w:r>
      <w:r>
        <w:rPr>
          <w:szCs w:val="18"/>
          <w:lang w:val="fr-FR"/>
        </w:rPr>
        <w:t>par. </w:t>
      </w:r>
      <w:r w:rsidRPr="00D262FA">
        <w:rPr>
          <w:szCs w:val="18"/>
          <w:lang w:val="fr-FR"/>
        </w:rPr>
        <w:t xml:space="preserve">4; communication </w:t>
      </w:r>
      <w:r w:rsidRPr="00B50FBD">
        <w:rPr>
          <w:szCs w:val="18"/>
          <w:lang w:val="fr-FR"/>
        </w:rPr>
        <w:t>n</w:t>
      </w:r>
      <w:r w:rsidRPr="00B50FBD">
        <w:rPr>
          <w:szCs w:val="18"/>
          <w:vertAlign w:val="superscript"/>
          <w:lang w:val="fr-FR"/>
        </w:rPr>
        <w:t>o</w:t>
      </w:r>
      <w:r>
        <w:rPr>
          <w:szCs w:val="18"/>
          <w:lang w:val="fr-FR"/>
        </w:rPr>
        <w:t> </w:t>
      </w:r>
      <w:r w:rsidRPr="00D262FA">
        <w:rPr>
          <w:szCs w:val="18"/>
          <w:lang w:val="fr-FR"/>
        </w:rPr>
        <w:t xml:space="preserve">760/1997, </w:t>
      </w:r>
      <w:r w:rsidRPr="00D262FA">
        <w:rPr>
          <w:i/>
          <w:szCs w:val="18"/>
          <w:lang w:val="fr-FR"/>
        </w:rPr>
        <w:t xml:space="preserve">Diergaardt et </w:t>
      </w:r>
      <w:r>
        <w:rPr>
          <w:i/>
          <w:szCs w:val="18"/>
          <w:lang w:val="fr-FR"/>
        </w:rPr>
        <w:t>consorts</w:t>
      </w:r>
      <w:r w:rsidRPr="00D262FA">
        <w:rPr>
          <w:i/>
          <w:szCs w:val="18"/>
          <w:lang w:val="fr-FR"/>
        </w:rPr>
        <w:t xml:space="preserve"> </w:t>
      </w:r>
      <w:r w:rsidRPr="00BA4272">
        <w:rPr>
          <w:szCs w:val="18"/>
          <w:lang w:val="fr-FR"/>
        </w:rPr>
        <w:t>c.</w:t>
      </w:r>
      <w:r>
        <w:rPr>
          <w:i/>
          <w:szCs w:val="18"/>
          <w:lang w:val="fr-FR"/>
        </w:rPr>
        <w:t> </w:t>
      </w:r>
      <w:r w:rsidRPr="00D262FA">
        <w:rPr>
          <w:i/>
          <w:szCs w:val="18"/>
          <w:lang w:val="fr-FR"/>
        </w:rPr>
        <w:t>Namibi</w:t>
      </w:r>
      <w:r>
        <w:rPr>
          <w:i/>
          <w:szCs w:val="18"/>
          <w:lang w:val="fr-FR"/>
        </w:rPr>
        <w:t>e</w:t>
      </w:r>
      <w:r w:rsidRPr="00D262FA">
        <w:rPr>
          <w:szCs w:val="18"/>
          <w:lang w:val="fr-FR"/>
        </w:rPr>
        <w:t xml:space="preserve">, </w:t>
      </w:r>
      <w:r>
        <w:rPr>
          <w:szCs w:val="18"/>
          <w:lang w:val="fr-FR"/>
        </w:rPr>
        <w:t>constatations adoptées le</w:t>
      </w:r>
      <w:r w:rsidR="00B9670B">
        <w:rPr>
          <w:szCs w:val="18"/>
          <w:lang w:val="fr-FR"/>
        </w:rPr>
        <w:t> </w:t>
      </w:r>
      <w:r>
        <w:rPr>
          <w:szCs w:val="18"/>
          <w:lang w:val="fr-FR"/>
        </w:rPr>
        <w:t xml:space="preserve">25 juillet </w:t>
      </w:r>
      <w:r w:rsidRPr="00D262FA">
        <w:rPr>
          <w:szCs w:val="18"/>
          <w:lang w:val="fr-FR"/>
        </w:rPr>
        <w:t xml:space="preserve">2000, </w:t>
      </w:r>
      <w:r>
        <w:rPr>
          <w:szCs w:val="18"/>
          <w:lang w:val="fr-FR"/>
        </w:rPr>
        <w:t>par. </w:t>
      </w:r>
      <w:r w:rsidRPr="00D262FA">
        <w:rPr>
          <w:szCs w:val="18"/>
          <w:lang w:val="fr-FR"/>
        </w:rPr>
        <w:t>10.2.</w:t>
      </w:r>
    </w:p>
  </w:footnote>
  <w:footnote w:id="6">
    <w:p w:rsidR="00B9670B" w:rsidRDefault="00B9670B">
      <w:pPr>
        <w:pStyle w:val="FootnoteText"/>
      </w:pPr>
      <w:r>
        <w:tab/>
      </w:r>
      <w:r>
        <w:rPr>
          <w:rStyle w:val="FootnoteReference"/>
        </w:rPr>
        <w:footnoteRef/>
      </w:r>
      <w:r>
        <w:tab/>
      </w:r>
      <w:r w:rsidRPr="00D63F69">
        <w:t>Voir</w:t>
      </w:r>
      <w:r w:rsidRPr="00D63F69">
        <w:rPr>
          <w:spacing w:val="-2"/>
        </w:rPr>
        <w:t xml:space="preserve">, </w:t>
      </w:r>
      <w:r>
        <w:rPr>
          <w:spacing w:val="-2"/>
        </w:rPr>
        <w:t>entre autres</w:t>
      </w:r>
      <w:r w:rsidRPr="00D63F69">
        <w:rPr>
          <w:spacing w:val="-2"/>
        </w:rPr>
        <w:t xml:space="preserve">, communication </w:t>
      </w:r>
      <w:r w:rsidRPr="003B35F7">
        <w:rPr>
          <w:rFonts w:eastAsia="MS Mincho"/>
          <w:spacing w:val="-2"/>
        </w:rPr>
        <w:t>n</w:t>
      </w:r>
      <w:r w:rsidRPr="003B35F7">
        <w:rPr>
          <w:rFonts w:eastAsia="MS Mincho"/>
          <w:spacing w:val="-2"/>
          <w:vertAlign w:val="superscript"/>
        </w:rPr>
        <w:t>o</w:t>
      </w:r>
      <w:r>
        <w:rPr>
          <w:rFonts w:eastAsia="MS Mincho"/>
          <w:spacing w:val="-2"/>
        </w:rPr>
        <w:t> </w:t>
      </w:r>
      <w:r w:rsidRPr="003B35F7">
        <w:rPr>
          <w:spacing w:val="-2"/>
        </w:rPr>
        <w:t>1781</w:t>
      </w:r>
      <w:r w:rsidRPr="00D63F69">
        <w:rPr>
          <w:spacing w:val="-2"/>
        </w:rPr>
        <w:t xml:space="preserve">/2008, </w:t>
      </w:r>
      <w:r w:rsidRPr="00D63F69">
        <w:rPr>
          <w:i/>
          <w:spacing w:val="-2"/>
        </w:rPr>
        <w:t>Berzig</w:t>
      </w:r>
      <w:r>
        <w:rPr>
          <w:spacing w:val="-2"/>
        </w:rPr>
        <w:t xml:space="preserve"> c. </w:t>
      </w:r>
      <w:r w:rsidRPr="00D63F69">
        <w:rPr>
          <w:i/>
          <w:spacing w:val="-2"/>
        </w:rPr>
        <w:t>Algérie</w:t>
      </w:r>
      <w:r>
        <w:rPr>
          <w:spacing w:val="-2"/>
        </w:rPr>
        <w:t xml:space="preserve">, </w:t>
      </w:r>
      <w:r w:rsidRPr="00D63F69">
        <w:rPr>
          <w:spacing w:val="-2"/>
        </w:rPr>
        <w:t>const</w:t>
      </w:r>
      <w:r>
        <w:rPr>
          <w:spacing w:val="-2"/>
        </w:rPr>
        <w:t xml:space="preserve">atations adoptées le 31 octobre 2011, par. 7.2; communication </w:t>
      </w:r>
      <w:r w:rsidRPr="003B35F7">
        <w:rPr>
          <w:spacing w:val="-2"/>
        </w:rPr>
        <w:t>n</w:t>
      </w:r>
      <w:r w:rsidRPr="003B35F7">
        <w:rPr>
          <w:spacing w:val="-2"/>
          <w:vertAlign w:val="superscript"/>
        </w:rPr>
        <w:t>o</w:t>
      </w:r>
      <w:r>
        <w:rPr>
          <w:spacing w:val="-2"/>
        </w:rPr>
        <w:t> </w:t>
      </w:r>
      <w:r w:rsidRPr="00D63F69">
        <w:rPr>
          <w:spacing w:val="-2"/>
        </w:rPr>
        <w:t xml:space="preserve">1776/2008, </w:t>
      </w:r>
      <w:r w:rsidRPr="00D63F69">
        <w:rPr>
          <w:i/>
          <w:spacing w:val="-2"/>
        </w:rPr>
        <w:t>Bashasha</w:t>
      </w:r>
      <w:r w:rsidRPr="00D63F69">
        <w:t xml:space="preserve"> </w:t>
      </w:r>
      <w:r>
        <w:rPr>
          <w:spacing w:val="-2"/>
        </w:rPr>
        <w:t>c. </w:t>
      </w:r>
      <w:r w:rsidRPr="00D63F69">
        <w:rPr>
          <w:i/>
          <w:spacing w:val="-2"/>
        </w:rPr>
        <w:t>Jamahiriya arabe libyenne</w:t>
      </w:r>
      <w:r w:rsidRPr="00D63F69">
        <w:rPr>
          <w:spacing w:val="-2"/>
        </w:rPr>
        <w:t xml:space="preserve">, constatations adoptées le 20 octobre 2010, par. 6.2; communication </w:t>
      </w:r>
      <w:r w:rsidRPr="00D63F69">
        <w:rPr>
          <w:rFonts w:eastAsia="MS Mincho"/>
          <w:spacing w:val="-2"/>
        </w:rPr>
        <w:t>n</w:t>
      </w:r>
      <w:r w:rsidRPr="00D63F69">
        <w:rPr>
          <w:rFonts w:eastAsia="MS Mincho"/>
          <w:spacing w:val="-2"/>
          <w:vertAlign w:val="superscript"/>
        </w:rPr>
        <w:t>o</w:t>
      </w:r>
      <w:r w:rsidRPr="00D63F69">
        <w:rPr>
          <w:spacing w:val="-2"/>
        </w:rPr>
        <w:t xml:space="preserve"> 540/1993, </w:t>
      </w:r>
      <w:r>
        <w:rPr>
          <w:i/>
          <w:spacing w:val="-2"/>
        </w:rPr>
        <w:t>Celis </w:t>
      </w:r>
      <w:r w:rsidRPr="00D63F69">
        <w:rPr>
          <w:i/>
          <w:spacing w:val="-2"/>
        </w:rPr>
        <w:t>Laureano</w:t>
      </w:r>
      <w:r>
        <w:rPr>
          <w:spacing w:val="-2"/>
        </w:rPr>
        <w:t> c. </w:t>
      </w:r>
      <w:r w:rsidRPr="00D63F69">
        <w:rPr>
          <w:i/>
          <w:spacing w:val="-2"/>
        </w:rPr>
        <w:t>Pérou</w:t>
      </w:r>
      <w:r w:rsidRPr="00D63F69">
        <w:rPr>
          <w:spacing w:val="-2"/>
        </w:rPr>
        <w:t>, constatations adoptées le 25 mars 1996, par. 7.1.</w:t>
      </w:r>
    </w:p>
  </w:footnote>
  <w:footnote w:id="7">
    <w:p w:rsidR="00801750" w:rsidRDefault="00801750">
      <w:pPr>
        <w:pStyle w:val="FootnoteText"/>
      </w:pPr>
      <w:r>
        <w:tab/>
      </w:r>
      <w:r>
        <w:rPr>
          <w:rStyle w:val="FootnoteReference"/>
        </w:rPr>
        <w:footnoteRef/>
      </w:r>
      <w:r>
        <w:tab/>
      </w:r>
      <w:r>
        <w:rPr>
          <w:i/>
          <w:szCs w:val="18"/>
        </w:rPr>
        <w:t>El Hassy </w:t>
      </w:r>
      <w:r w:rsidRPr="004C4204">
        <w:rPr>
          <w:iCs/>
          <w:szCs w:val="18"/>
        </w:rPr>
        <w:t>c.</w:t>
      </w:r>
      <w:r w:rsidR="000B27BB">
        <w:rPr>
          <w:i/>
          <w:szCs w:val="18"/>
        </w:rPr>
        <w:t> </w:t>
      </w:r>
      <w:r w:rsidRPr="00D63F69">
        <w:rPr>
          <w:i/>
          <w:spacing w:val="-2"/>
        </w:rPr>
        <w:t>Jamahiriya arabe libyenne</w:t>
      </w:r>
      <w:r w:rsidRPr="00D262FA">
        <w:rPr>
          <w:szCs w:val="18"/>
          <w:lang w:val="fr-FR" w:eastAsia="en-GB"/>
        </w:rPr>
        <w:t xml:space="preserve">, </w:t>
      </w:r>
      <w:r>
        <w:rPr>
          <w:szCs w:val="18"/>
          <w:lang w:val="fr-FR" w:eastAsia="en-GB"/>
        </w:rPr>
        <w:t>par. </w:t>
      </w:r>
      <w:r w:rsidRPr="00D262FA">
        <w:rPr>
          <w:szCs w:val="18"/>
          <w:lang w:val="fr-FR" w:eastAsia="en-GB"/>
        </w:rPr>
        <w:t xml:space="preserve">6.7, </w:t>
      </w:r>
      <w:r w:rsidRPr="00D63F69">
        <w:rPr>
          <w:spacing w:val="-2"/>
        </w:rPr>
        <w:t xml:space="preserve">communication </w:t>
      </w:r>
      <w:r w:rsidRPr="003B35F7">
        <w:rPr>
          <w:szCs w:val="18"/>
          <w:lang w:val="fr-FR" w:eastAsia="en-GB"/>
        </w:rPr>
        <w:t>n</w:t>
      </w:r>
      <w:r w:rsidRPr="003B35F7">
        <w:rPr>
          <w:szCs w:val="18"/>
          <w:vertAlign w:val="superscript"/>
          <w:lang w:val="fr-FR" w:eastAsia="en-GB"/>
        </w:rPr>
        <w:t>o</w:t>
      </w:r>
      <w:r>
        <w:rPr>
          <w:szCs w:val="18"/>
          <w:lang w:val="fr-FR" w:eastAsia="en-GB"/>
        </w:rPr>
        <w:t> </w:t>
      </w:r>
      <w:r w:rsidRPr="00D262FA">
        <w:rPr>
          <w:szCs w:val="18"/>
          <w:lang w:val="fr-FR" w:eastAsia="en-GB"/>
        </w:rPr>
        <w:t xml:space="preserve">1297/2004, </w:t>
      </w:r>
      <w:r w:rsidRPr="00D262FA">
        <w:rPr>
          <w:i/>
          <w:szCs w:val="18"/>
          <w:lang w:val="fr-FR" w:eastAsia="en-GB"/>
        </w:rPr>
        <w:t>Medjnoune</w:t>
      </w:r>
      <w:r w:rsidR="000B27BB">
        <w:rPr>
          <w:i/>
          <w:szCs w:val="18"/>
          <w:lang w:val="fr-FR" w:eastAsia="en-GB"/>
        </w:rPr>
        <w:t> </w:t>
      </w:r>
      <w:r w:rsidRPr="00856DFD">
        <w:rPr>
          <w:szCs w:val="18"/>
          <w:lang w:val="fr-FR" w:eastAsia="en-GB"/>
        </w:rPr>
        <w:t>c.</w:t>
      </w:r>
      <w:r>
        <w:rPr>
          <w:i/>
          <w:szCs w:val="18"/>
          <w:lang w:val="fr-FR" w:eastAsia="en-GB"/>
        </w:rPr>
        <w:t> </w:t>
      </w:r>
      <w:r w:rsidRPr="00D262FA">
        <w:rPr>
          <w:i/>
          <w:szCs w:val="18"/>
          <w:lang w:val="fr-FR" w:eastAsia="en-GB"/>
        </w:rPr>
        <w:t>Alg</w:t>
      </w:r>
      <w:r>
        <w:rPr>
          <w:i/>
          <w:szCs w:val="18"/>
          <w:lang w:val="fr-FR" w:eastAsia="en-GB"/>
        </w:rPr>
        <w:t>érie</w:t>
      </w:r>
      <w:r w:rsidRPr="00D262FA">
        <w:rPr>
          <w:szCs w:val="18"/>
          <w:lang w:val="fr-FR" w:eastAsia="en-GB"/>
        </w:rPr>
        <w:t xml:space="preserve">, </w:t>
      </w:r>
      <w:r>
        <w:rPr>
          <w:szCs w:val="18"/>
          <w:lang w:val="fr-FR" w:eastAsia="en-GB"/>
        </w:rPr>
        <w:t xml:space="preserve">constatations adoptées le 14 juillet </w:t>
      </w:r>
      <w:r w:rsidRPr="00D262FA">
        <w:rPr>
          <w:szCs w:val="18"/>
          <w:lang w:val="fr-FR" w:eastAsia="en-GB"/>
        </w:rPr>
        <w:t xml:space="preserve">2006, </w:t>
      </w:r>
      <w:r>
        <w:rPr>
          <w:szCs w:val="18"/>
          <w:lang w:val="fr-FR" w:eastAsia="en-GB"/>
        </w:rPr>
        <w:t>par. </w:t>
      </w:r>
      <w:r w:rsidRPr="00D262FA">
        <w:rPr>
          <w:szCs w:val="18"/>
          <w:lang w:val="fr-FR" w:eastAsia="en-GB"/>
        </w:rPr>
        <w:t xml:space="preserve">8.3, </w:t>
      </w:r>
      <w:r>
        <w:rPr>
          <w:szCs w:val="18"/>
          <w:lang w:val="fr-FR" w:eastAsia="en-GB"/>
        </w:rPr>
        <w:t xml:space="preserve">et </w:t>
      </w:r>
      <w:r w:rsidRPr="00D63F69">
        <w:rPr>
          <w:spacing w:val="-2"/>
        </w:rPr>
        <w:t xml:space="preserve">communication </w:t>
      </w:r>
      <w:r w:rsidRPr="003B35F7">
        <w:rPr>
          <w:szCs w:val="18"/>
          <w:lang w:val="fr-FR" w:eastAsia="en-GB"/>
        </w:rPr>
        <w:t>n</w:t>
      </w:r>
      <w:r w:rsidRPr="003B35F7">
        <w:rPr>
          <w:szCs w:val="18"/>
          <w:vertAlign w:val="superscript"/>
          <w:lang w:val="fr-FR" w:eastAsia="en-GB"/>
        </w:rPr>
        <w:t>o</w:t>
      </w:r>
      <w:r>
        <w:rPr>
          <w:szCs w:val="18"/>
          <w:lang w:val="fr-FR" w:eastAsia="en-GB"/>
        </w:rPr>
        <w:t> </w:t>
      </w:r>
      <w:r w:rsidRPr="00D262FA">
        <w:rPr>
          <w:szCs w:val="18"/>
          <w:lang w:val="fr-FR" w:eastAsia="en-GB"/>
        </w:rPr>
        <w:t xml:space="preserve">1804/2008, </w:t>
      </w:r>
      <w:r w:rsidRPr="00D262FA">
        <w:rPr>
          <w:i/>
          <w:szCs w:val="18"/>
          <w:lang w:val="fr-FR" w:eastAsia="en-GB"/>
        </w:rPr>
        <w:t>Il</w:t>
      </w:r>
      <w:r w:rsidR="000B27BB">
        <w:rPr>
          <w:i/>
          <w:szCs w:val="18"/>
          <w:lang w:val="fr-FR" w:eastAsia="en-GB"/>
        </w:rPr>
        <w:t> </w:t>
      </w:r>
      <w:r w:rsidRPr="00D262FA">
        <w:rPr>
          <w:i/>
          <w:szCs w:val="18"/>
          <w:lang w:val="fr-FR" w:eastAsia="en-GB"/>
        </w:rPr>
        <w:t>Khwildy</w:t>
      </w:r>
      <w:r w:rsidR="000B27BB">
        <w:rPr>
          <w:i/>
          <w:szCs w:val="18"/>
          <w:lang w:val="fr-FR" w:eastAsia="en-GB"/>
        </w:rPr>
        <w:t> </w:t>
      </w:r>
      <w:r w:rsidRPr="00856DFD">
        <w:rPr>
          <w:szCs w:val="18"/>
          <w:lang w:val="fr-FR" w:eastAsia="en-GB"/>
        </w:rPr>
        <w:t>c.</w:t>
      </w:r>
      <w:r>
        <w:rPr>
          <w:i/>
          <w:szCs w:val="18"/>
          <w:lang w:val="fr-FR" w:eastAsia="en-GB"/>
        </w:rPr>
        <w:t> Libye</w:t>
      </w:r>
      <w:r w:rsidRPr="00D262FA">
        <w:rPr>
          <w:szCs w:val="18"/>
          <w:lang w:val="fr-FR" w:eastAsia="en-GB"/>
        </w:rPr>
        <w:t xml:space="preserve">, </w:t>
      </w:r>
      <w:r>
        <w:rPr>
          <w:szCs w:val="18"/>
          <w:lang w:val="fr-FR" w:eastAsia="en-GB"/>
        </w:rPr>
        <w:t xml:space="preserve">constatations </w:t>
      </w:r>
      <w:r w:rsidR="000B27BB">
        <w:rPr>
          <w:szCs w:val="18"/>
          <w:lang w:val="fr-FR" w:eastAsia="en-GB"/>
        </w:rPr>
        <w:t xml:space="preserve">adoptées le </w:t>
      </w:r>
      <w:r w:rsidRPr="00D262FA">
        <w:rPr>
          <w:szCs w:val="18"/>
          <w:lang w:val="fr-FR" w:eastAsia="en-GB"/>
        </w:rPr>
        <w:t>1</w:t>
      </w:r>
      <w:r w:rsidRPr="00856DFD">
        <w:rPr>
          <w:szCs w:val="18"/>
          <w:vertAlign w:val="superscript"/>
          <w:lang w:val="fr-FR" w:eastAsia="en-GB"/>
        </w:rPr>
        <w:t>er</w:t>
      </w:r>
      <w:r>
        <w:rPr>
          <w:szCs w:val="18"/>
          <w:lang w:val="fr-FR" w:eastAsia="en-GB"/>
        </w:rPr>
        <w:t> novembre 2012, par. </w:t>
      </w:r>
      <w:r w:rsidRPr="00D262FA">
        <w:rPr>
          <w:szCs w:val="18"/>
          <w:lang w:val="fr-FR" w:eastAsia="en-GB"/>
        </w:rPr>
        <w:t>7.2</w:t>
      </w:r>
      <w:r>
        <w:rPr>
          <w:szCs w:val="18"/>
          <w:lang w:val="fr-FR" w:eastAsia="en-GB"/>
        </w:rPr>
        <w:t>.</w:t>
      </w:r>
    </w:p>
  </w:footnote>
  <w:footnote w:id="8">
    <w:p w:rsidR="00801750" w:rsidRDefault="00801750">
      <w:pPr>
        <w:pStyle w:val="FootnoteText"/>
      </w:pPr>
      <w:r>
        <w:tab/>
      </w:r>
      <w:r>
        <w:rPr>
          <w:rStyle w:val="FootnoteReference"/>
        </w:rPr>
        <w:footnoteRef/>
      </w:r>
      <w:r>
        <w:tab/>
      </w:r>
      <w:r>
        <w:rPr>
          <w:i/>
          <w:szCs w:val="18"/>
        </w:rPr>
        <w:t xml:space="preserve">Abushaala </w:t>
      </w:r>
      <w:r w:rsidRPr="004C4204">
        <w:rPr>
          <w:iCs/>
          <w:szCs w:val="18"/>
        </w:rPr>
        <w:t>c.</w:t>
      </w:r>
      <w:r>
        <w:rPr>
          <w:i/>
          <w:szCs w:val="18"/>
        </w:rPr>
        <w:t xml:space="preserve"> Libye</w:t>
      </w:r>
      <w:r w:rsidRPr="00D262FA">
        <w:rPr>
          <w:szCs w:val="18"/>
          <w:lang w:val="fr-FR"/>
        </w:rPr>
        <w:t>, par</w:t>
      </w:r>
      <w:r>
        <w:rPr>
          <w:szCs w:val="18"/>
          <w:lang w:val="fr-FR"/>
        </w:rPr>
        <w:t>. </w:t>
      </w:r>
      <w:r w:rsidRPr="00D262FA">
        <w:rPr>
          <w:szCs w:val="18"/>
          <w:lang w:val="fr-FR"/>
        </w:rPr>
        <w:t>6.2</w:t>
      </w:r>
      <w:r>
        <w:rPr>
          <w:szCs w:val="18"/>
          <w:lang w:val="fr-FR"/>
        </w:rPr>
        <w:t>.</w:t>
      </w:r>
    </w:p>
  </w:footnote>
  <w:footnote w:id="9">
    <w:p w:rsidR="00801750" w:rsidRDefault="00801750">
      <w:pPr>
        <w:pStyle w:val="FootnoteText"/>
      </w:pPr>
      <w:r>
        <w:tab/>
      </w:r>
      <w:r>
        <w:rPr>
          <w:rStyle w:val="FootnoteReference"/>
        </w:rPr>
        <w:footnoteRef/>
      </w:r>
      <w:r>
        <w:tab/>
      </w:r>
      <w:r>
        <w:rPr>
          <w:i/>
          <w:szCs w:val="18"/>
          <w:lang w:eastAsia="en-GB"/>
        </w:rPr>
        <w:t xml:space="preserve">Il Khwildy </w:t>
      </w:r>
      <w:r w:rsidRPr="004C4204">
        <w:rPr>
          <w:iCs/>
          <w:szCs w:val="18"/>
          <w:lang w:eastAsia="en-GB"/>
        </w:rPr>
        <w:t xml:space="preserve">c. </w:t>
      </w:r>
      <w:r>
        <w:rPr>
          <w:i/>
          <w:szCs w:val="18"/>
          <w:lang w:eastAsia="en-GB"/>
        </w:rPr>
        <w:t>Libye</w:t>
      </w:r>
      <w:r>
        <w:rPr>
          <w:szCs w:val="18"/>
          <w:lang w:val="fr-FR" w:eastAsia="en-GB"/>
        </w:rPr>
        <w:t>,</w:t>
      </w:r>
      <w:r w:rsidRPr="00D262FA">
        <w:rPr>
          <w:szCs w:val="18"/>
          <w:lang w:val="fr-FR" w:eastAsia="en-GB"/>
        </w:rPr>
        <w:t xml:space="preserve"> par</w:t>
      </w:r>
      <w:r>
        <w:rPr>
          <w:szCs w:val="18"/>
          <w:lang w:val="fr-FR" w:eastAsia="en-GB"/>
        </w:rPr>
        <w:t>. </w:t>
      </w:r>
      <w:r w:rsidRPr="00D262FA">
        <w:rPr>
          <w:szCs w:val="18"/>
          <w:lang w:val="fr-FR" w:eastAsia="en-GB"/>
        </w:rPr>
        <w:t>7.12</w:t>
      </w:r>
      <w:r>
        <w:rPr>
          <w:szCs w:val="18"/>
          <w:lang w:val="fr-FR" w:eastAsia="en-GB"/>
        </w:rPr>
        <w:t>.</w:t>
      </w:r>
    </w:p>
  </w:footnote>
  <w:footnote w:id="10">
    <w:p w:rsidR="000B27BB" w:rsidRDefault="000B27BB">
      <w:pPr>
        <w:pStyle w:val="FootnoteText"/>
      </w:pPr>
      <w:r>
        <w:tab/>
      </w:r>
      <w:r>
        <w:rPr>
          <w:rStyle w:val="FootnoteReference"/>
        </w:rPr>
        <w:footnoteRef/>
      </w:r>
      <w:r>
        <w:tab/>
      </w:r>
      <w:r>
        <w:rPr>
          <w:lang w:val="fr-FR"/>
        </w:rPr>
        <w:t>Voir, par exemple</w:t>
      </w:r>
      <w:r w:rsidRPr="00D262FA">
        <w:rPr>
          <w:lang w:val="fr-FR"/>
        </w:rPr>
        <w:t xml:space="preserve">, communication </w:t>
      </w:r>
      <w:r w:rsidRPr="00464672">
        <w:rPr>
          <w:lang w:val="fr-FR"/>
        </w:rPr>
        <w:t>n</w:t>
      </w:r>
      <w:r w:rsidRPr="00464672">
        <w:rPr>
          <w:vertAlign w:val="superscript"/>
          <w:lang w:val="fr-FR"/>
        </w:rPr>
        <w:t>o</w:t>
      </w:r>
      <w:r>
        <w:rPr>
          <w:lang w:val="fr-FR"/>
        </w:rPr>
        <w:t> </w:t>
      </w:r>
      <w:r w:rsidRPr="00D262FA">
        <w:rPr>
          <w:lang w:val="fr-FR"/>
        </w:rPr>
        <w:t>307/1988</w:t>
      </w:r>
      <w:r w:rsidRPr="00D262FA">
        <w:rPr>
          <w:i/>
          <w:lang w:val="fr-FR"/>
        </w:rPr>
        <w:t>, Campbell</w:t>
      </w:r>
      <w:r w:rsidR="00212662">
        <w:rPr>
          <w:i/>
          <w:lang w:val="fr-FR"/>
        </w:rPr>
        <w:t> </w:t>
      </w:r>
      <w:r w:rsidRPr="00466B21">
        <w:rPr>
          <w:lang w:val="fr-FR"/>
        </w:rPr>
        <w:t>c.</w:t>
      </w:r>
      <w:r>
        <w:rPr>
          <w:i/>
          <w:lang w:val="fr-FR"/>
        </w:rPr>
        <w:t> </w:t>
      </w:r>
      <w:r w:rsidRPr="00D262FA">
        <w:rPr>
          <w:i/>
          <w:lang w:val="fr-FR"/>
        </w:rPr>
        <w:t>Jama</w:t>
      </w:r>
      <w:r>
        <w:rPr>
          <w:i/>
          <w:lang w:val="fr-FR"/>
        </w:rPr>
        <w:t>ïque</w:t>
      </w:r>
      <w:r w:rsidRPr="00D262FA">
        <w:rPr>
          <w:lang w:val="fr-FR"/>
        </w:rPr>
        <w:t xml:space="preserve">, </w:t>
      </w:r>
      <w:r>
        <w:rPr>
          <w:lang w:val="fr-FR"/>
        </w:rPr>
        <w:t>constatations adoptées le</w:t>
      </w:r>
      <w:r w:rsidR="00212662">
        <w:rPr>
          <w:lang w:val="fr-FR"/>
        </w:rPr>
        <w:t> </w:t>
      </w:r>
      <w:r>
        <w:rPr>
          <w:lang w:val="fr-FR"/>
        </w:rPr>
        <w:t xml:space="preserve">24 mars </w:t>
      </w:r>
      <w:r w:rsidRPr="00D262FA">
        <w:rPr>
          <w:lang w:val="fr-FR"/>
        </w:rPr>
        <w:t xml:space="preserve">1993, </w:t>
      </w:r>
      <w:r>
        <w:rPr>
          <w:lang w:val="fr-FR"/>
        </w:rPr>
        <w:t>par. </w:t>
      </w:r>
      <w:r w:rsidRPr="00D262FA">
        <w:rPr>
          <w:lang w:val="fr-FR"/>
        </w:rPr>
        <w:t>6.4.</w:t>
      </w:r>
    </w:p>
  </w:footnote>
  <w:footnote w:id="11">
    <w:p w:rsidR="00AF1763" w:rsidRDefault="00AF1763">
      <w:pPr>
        <w:pStyle w:val="FootnoteText"/>
      </w:pPr>
      <w:r>
        <w:tab/>
      </w:r>
      <w:r>
        <w:rPr>
          <w:rStyle w:val="FootnoteReference"/>
        </w:rPr>
        <w:footnoteRef/>
      </w:r>
      <w:r>
        <w:tab/>
      </w:r>
      <w:r>
        <w:rPr>
          <w:szCs w:val="18"/>
          <w:lang w:val="fr-FR"/>
        </w:rPr>
        <w:t>Voir, par exemple,</w:t>
      </w:r>
      <w:r w:rsidRPr="00D262FA">
        <w:rPr>
          <w:szCs w:val="18"/>
          <w:lang w:val="fr-FR"/>
        </w:rPr>
        <w:t xml:space="preserve"> </w:t>
      </w:r>
      <w:r w:rsidRPr="00D262FA">
        <w:rPr>
          <w:i/>
          <w:szCs w:val="18"/>
          <w:lang w:val="fr-FR"/>
        </w:rPr>
        <w:t>El</w:t>
      </w:r>
      <w:r w:rsidR="00A80114">
        <w:rPr>
          <w:i/>
          <w:szCs w:val="18"/>
          <w:lang w:val="fr-FR"/>
        </w:rPr>
        <w:t> </w:t>
      </w:r>
      <w:r w:rsidRPr="00D262FA">
        <w:rPr>
          <w:i/>
          <w:szCs w:val="18"/>
          <w:lang w:val="fr-FR"/>
        </w:rPr>
        <w:t>Abani</w:t>
      </w:r>
      <w:r w:rsidR="00A80114">
        <w:rPr>
          <w:i/>
          <w:szCs w:val="18"/>
          <w:lang w:val="fr-FR"/>
        </w:rPr>
        <w:t> </w:t>
      </w:r>
      <w:r>
        <w:rPr>
          <w:szCs w:val="18"/>
          <w:lang w:val="fr-FR"/>
        </w:rPr>
        <w:t>c.</w:t>
      </w:r>
      <w:r>
        <w:rPr>
          <w:i/>
          <w:szCs w:val="18"/>
          <w:lang w:val="fr-FR"/>
        </w:rPr>
        <w:t> </w:t>
      </w:r>
      <w:r w:rsidRPr="00D262FA">
        <w:rPr>
          <w:i/>
          <w:szCs w:val="18"/>
          <w:lang w:val="fr-FR"/>
        </w:rPr>
        <w:t>Jamahiriya</w:t>
      </w:r>
      <w:r w:rsidRPr="00D262FA">
        <w:rPr>
          <w:szCs w:val="18"/>
          <w:lang w:val="fr-FR"/>
        </w:rPr>
        <w:t xml:space="preserve"> </w:t>
      </w:r>
      <w:r>
        <w:rPr>
          <w:i/>
          <w:szCs w:val="18"/>
          <w:lang w:val="fr-FR"/>
        </w:rPr>
        <w:t>arabe libyenne</w:t>
      </w:r>
      <w:r w:rsidRPr="00D262FA">
        <w:rPr>
          <w:szCs w:val="18"/>
          <w:lang w:val="fr-FR"/>
        </w:rPr>
        <w:t xml:space="preserve">, </w:t>
      </w:r>
      <w:r>
        <w:rPr>
          <w:szCs w:val="18"/>
          <w:lang w:val="fr-FR"/>
        </w:rPr>
        <w:t>par. </w:t>
      </w:r>
      <w:r w:rsidRPr="00D262FA">
        <w:rPr>
          <w:szCs w:val="18"/>
          <w:lang w:val="fr-FR"/>
        </w:rPr>
        <w:t>7.5</w:t>
      </w:r>
      <w:r>
        <w:rPr>
          <w:szCs w:val="18"/>
          <w:lang w:val="fr-FR"/>
        </w:rPr>
        <w:t>.</w:t>
      </w:r>
    </w:p>
  </w:footnote>
  <w:footnote w:id="12">
    <w:p w:rsidR="00D13CCC" w:rsidRDefault="00D13CCC">
      <w:pPr>
        <w:pStyle w:val="FootnoteText"/>
      </w:pPr>
      <w:r>
        <w:tab/>
      </w:r>
      <w:r>
        <w:rPr>
          <w:rStyle w:val="FootnoteReference"/>
        </w:rPr>
        <w:footnoteRef/>
      </w:r>
      <w:r>
        <w:tab/>
      </w:r>
      <w:r w:rsidRPr="001D0787">
        <w:t xml:space="preserve">Voir, notamment, la communication </w:t>
      </w:r>
      <w:r w:rsidR="00DD08E2">
        <w:rPr>
          <w:rFonts w:eastAsia="MS Mincho"/>
        </w:rPr>
        <w:t>n</w:t>
      </w:r>
      <w:r w:rsidR="00DD08E2">
        <w:rPr>
          <w:rFonts w:eastAsia="MS Mincho"/>
          <w:vertAlign w:val="superscript"/>
        </w:rPr>
        <w:t>o</w:t>
      </w:r>
      <w:r w:rsidR="00DD08E2">
        <w:t> </w:t>
      </w:r>
      <w:r w:rsidRPr="001D0787">
        <w:t xml:space="preserve">1328/2004, </w:t>
      </w:r>
      <w:r w:rsidRPr="009106F1">
        <w:rPr>
          <w:i/>
        </w:rPr>
        <w:t>Kimouche</w:t>
      </w:r>
      <w:r w:rsidRPr="001D0787">
        <w:t xml:space="preserve"> c. </w:t>
      </w:r>
      <w:r w:rsidRPr="009106F1">
        <w:rPr>
          <w:i/>
        </w:rPr>
        <w:t>Algérie</w:t>
      </w:r>
      <w:r>
        <w:t>, constatations adoptées le </w:t>
      </w:r>
      <w:r w:rsidRPr="001D0787">
        <w:t>10 juillet 2007, par. 7.8</w:t>
      </w:r>
      <w:r>
        <w:t>.</w:t>
      </w:r>
    </w:p>
  </w:footnote>
  <w:footnote w:id="13">
    <w:p w:rsidR="00DD08E2" w:rsidRDefault="00DD08E2">
      <w:pPr>
        <w:pStyle w:val="FootnoteText"/>
      </w:pPr>
      <w:r>
        <w:tab/>
      </w:r>
      <w:r>
        <w:rPr>
          <w:rStyle w:val="FootnoteReference"/>
        </w:rPr>
        <w:footnoteRef/>
      </w:r>
      <w:r>
        <w:tab/>
      </w:r>
      <w:r w:rsidRPr="001D0787">
        <w:t xml:space="preserve">Voir </w:t>
      </w:r>
      <w:r w:rsidRPr="009106F1">
        <w:rPr>
          <w:i/>
        </w:rPr>
        <w:t>El Abani</w:t>
      </w:r>
      <w:r w:rsidRPr="001D0787">
        <w:t xml:space="preserve"> c. </w:t>
      </w:r>
      <w:r w:rsidRPr="009106F1">
        <w:rPr>
          <w:i/>
        </w:rPr>
        <w:t>Jamahiriya arabe libyenne</w:t>
      </w:r>
      <w:r w:rsidRPr="001D0787">
        <w:t>, par.</w:t>
      </w:r>
      <w:r>
        <w:t xml:space="preserve"> 7.9, la communication </w:t>
      </w:r>
      <w:r>
        <w:rPr>
          <w:rFonts w:eastAsia="MS Mincho"/>
        </w:rPr>
        <w:t>n</w:t>
      </w:r>
      <w:r>
        <w:rPr>
          <w:rFonts w:eastAsia="MS Mincho"/>
          <w:vertAlign w:val="superscript"/>
        </w:rPr>
        <w:t>o</w:t>
      </w:r>
      <w:r>
        <w:t> </w:t>
      </w:r>
      <w:r w:rsidRPr="001D0787">
        <w:t xml:space="preserve">1327/2004, </w:t>
      </w:r>
      <w:r w:rsidRPr="009106F1">
        <w:rPr>
          <w:i/>
        </w:rPr>
        <w:t>Grioua</w:t>
      </w:r>
      <w:r>
        <w:t> </w:t>
      </w:r>
      <w:r w:rsidRPr="001D0787">
        <w:t>c.</w:t>
      </w:r>
      <w:r>
        <w:t> </w:t>
      </w:r>
      <w:r w:rsidRPr="009106F1">
        <w:rPr>
          <w:i/>
        </w:rPr>
        <w:t>Algérie</w:t>
      </w:r>
      <w:r w:rsidRPr="001D0787">
        <w:t>, constatations adoptées le 10</w:t>
      </w:r>
      <w:r>
        <w:t> </w:t>
      </w:r>
      <w:r w:rsidRPr="001D0787">
        <w:t>juillet 2007, par.</w:t>
      </w:r>
      <w:r>
        <w:t> </w:t>
      </w:r>
      <w:r w:rsidRPr="001D0787">
        <w:t xml:space="preserve">7.8, la communication </w:t>
      </w:r>
      <w:r>
        <w:rPr>
          <w:rFonts w:eastAsia="MS Mincho"/>
        </w:rPr>
        <w:t>n</w:t>
      </w:r>
      <w:r>
        <w:rPr>
          <w:rFonts w:eastAsia="MS Mincho"/>
          <w:vertAlign w:val="superscript"/>
        </w:rPr>
        <w:t>o</w:t>
      </w:r>
      <w:r>
        <w:t> </w:t>
      </w:r>
      <w:r w:rsidRPr="001D0787">
        <w:t xml:space="preserve">1495/2006, </w:t>
      </w:r>
      <w:r w:rsidRPr="009106F1">
        <w:rPr>
          <w:i/>
        </w:rPr>
        <w:t>Madoui</w:t>
      </w:r>
      <w:r w:rsidRPr="001D0787">
        <w:t xml:space="preserve"> c. </w:t>
      </w:r>
      <w:r w:rsidRPr="009106F1">
        <w:rPr>
          <w:i/>
        </w:rPr>
        <w:t>Algérie</w:t>
      </w:r>
      <w:r w:rsidRPr="001D0787">
        <w:t>, constatations adoptées le 28</w:t>
      </w:r>
      <w:r>
        <w:t> </w:t>
      </w:r>
      <w:r w:rsidRPr="001D0787">
        <w:t>octobre 2008, par</w:t>
      </w:r>
      <w:r>
        <w:t> </w:t>
      </w:r>
      <w:r w:rsidRPr="001D0787">
        <w:t xml:space="preserve">7.7, et la communication </w:t>
      </w:r>
      <w:r>
        <w:rPr>
          <w:rFonts w:eastAsia="MS Mincho"/>
        </w:rPr>
        <w:t>n</w:t>
      </w:r>
      <w:r>
        <w:rPr>
          <w:rFonts w:eastAsia="MS Mincho"/>
          <w:vertAlign w:val="superscript"/>
        </w:rPr>
        <w:t>o</w:t>
      </w:r>
      <w:r>
        <w:t> </w:t>
      </w:r>
      <w:r w:rsidRPr="001D0787">
        <w:t xml:space="preserve">1782/2008, </w:t>
      </w:r>
      <w:r w:rsidRPr="009106F1">
        <w:rPr>
          <w:i/>
        </w:rPr>
        <w:t>Aboufaied</w:t>
      </w:r>
      <w:r w:rsidRPr="001D0787">
        <w:t xml:space="preserve"> c. </w:t>
      </w:r>
      <w:r w:rsidRPr="009106F1">
        <w:rPr>
          <w:i/>
        </w:rPr>
        <w:t>Libye</w:t>
      </w:r>
      <w:r w:rsidRPr="001D0787">
        <w:t>, constatations adoptées le 21</w:t>
      </w:r>
      <w:r>
        <w:t> </w:t>
      </w:r>
      <w:r w:rsidRPr="001D0787">
        <w:t>mars 2012, par.</w:t>
      </w:r>
      <w:r>
        <w:t> </w:t>
      </w:r>
      <w:r w:rsidRPr="001D0787">
        <w:t>7.10</w:t>
      </w:r>
      <w:r>
        <w:t>.</w:t>
      </w:r>
    </w:p>
  </w:footnote>
  <w:footnote w:id="14">
    <w:p w:rsidR="00026BD3" w:rsidRDefault="00026BD3">
      <w:pPr>
        <w:pStyle w:val="FootnoteText"/>
      </w:pPr>
      <w:r>
        <w:tab/>
      </w:r>
      <w:r>
        <w:rPr>
          <w:rStyle w:val="FootnoteReference"/>
        </w:rPr>
        <w:footnoteRef/>
      </w:r>
      <w:r>
        <w:tab/>
      </w:r>
      <w:r w:rsidRPr="001D0787">
        <w:t xml:space="preserve">Voir, par exemple, les affaires suivantes qui ont </w:t>
      </w:r>
      <w:r w:rsidR="00924AC5">
        <w:t xml:space="preserve">été </w:t>
      </w:r>
      <w:r w:rsidRPr="001D0787">
        <w:t xml:space="preserve">examinées par le Comité des droits de l’homme: communication </w:t>
      </w:r>
      <w:r w:rsidR="00B01519">
        <w:rPr>
          <w:rFonts w:eastAsia="MS Mincho"/>
        </w:rPr>
        <w:t>n</w:t>
      </w:r>
      <w:r w:rsidR="00B01519">
        <w:rPr>
          <w:rFonts w:eastAsia="MS Mincho"/>
          <w:vertAlign w:val="superscript"/>
        </w:rPr>
        <w:t>o</w:t>
      </w:r>
      <w:r w:rsidR="00B01519">
        <w:t> </w:t>
      </w:r>
      <w:r w:rsidRPr="001D0787">
        <w:t xml:space="preserve">1390/2005, </w:t>
      </w:r>
      <w:r w:rsidRPr="009106F1">
        <w:rPr>
          <w:i/>
        </w:rPr>
        <w:t>Koreba</w:t>
      </w:r>
      <w:r w:rsidRPr="001D0787">
        <w:t xml:space="preserve"> c. Bélarus, constatations adoptées le 25 octobre 2010; communication </w:t>
      </w:r>
      <w:r w:rsidR="00CA7F0F">
        <w:rPr>
          <w:rFonts w:eastAsia="MS Mincho"/>
        </w:rPr>
        <w:t>n</w:t>
      </w:r>
      <w:r w:rsidR="00CA7F0F">
        <w:rPr>
          <w:rFonts w:eastAsia="MS Mincho"/>
          <w:vertAlign w:val="superscript"/>
        </w:rPr>
        <w:t>o</w:t>
      </w:r>
      <w:r w:rsidR="00CA7F0F">
        <w:t> </w:t>
      </w:r>
      <w:r w:rsidRPr="001D0787">
        <w:t xml:space="preserve">1225/2003, </w:t>
      </w:r>
      <w:r w:rsidRPr="009106F1">
        <w:rPr>
          <w:i/>
        </w:rPr>
        <w:t>Eshonov</w:t>
      </w:r>
      <w:r w:rsidRPr="001D0787">
        <w:t xml:space="preserve"> c. </w:t>
      </w:r>
      <w:r w:rsidRPr="009106F1">
        <w:rPr>
          <w:i/>
        </w:rPr>
        <w:t>Ouzbékistan</w:t>
      </w:r>
      <w:r w:rsidRPr="001D0787">
        <w:t xml:space="preserve">, constatations adoptées le 22 juillet 2010, par. 8,3; communication </w:t>
      </w:r>
      <w:r w:rsidR="00CA7F0F">
        <w:rPr>
          <w:rFonts w:eastAsia="MS Mincho"/>
        </w:rPr>
        <w:t>n</w:t>
      </w:r>
      <w:r w:rsidR="00CA7F0F">
        <w:rPr>
          <w:rFonts w:eastAsia="MS Mincho"/>
          <w:vertAlign w:val="superscript"/>
        </w:rPr>
        <w:t>o</w:t>
      </w:r>
      <w:r w:rsidR="00CA7F0F">
        <w:t> </w:t>
      </w:r>
      <w:r w:rsidRPr="001D0787">
        <w:t xml:space="preserve">1206/2003, </w:t>
      </w:r>
      <w:r w:rsidRPr="009106F1">
        <w:rPr>
          <w:i/>
        </w:rPr>
        <w:t>R.</w:t>
      </w:r>
      <w:r w:rsidR="00924AC5">
        <w:rPr>
          <w:i/>
        </w:rPr>
        <w:t> </w:t>
      </w:r>
      <w:r w:rsidRPr="009106F1">
        <w:rPr>
          <w:i/>
        </w:rPr>
        <w:t>M. et S.</w:t>
      </w:r>
      <w:r w:rsidR="00924AC5">
        <w:rPr>
          <w:i/>
        </w:rPr>
        <w:t> </w:t>
      </w:r>
      <w:r w:rsidRPr="009106F1">
        <w:rPr>
          <w:i/>
        </w:rPr>
        <w:t>I.</w:t>
      </w:r>
      <w:r w:rsidRPr="001D0787">
        <w:t xml:space="preserve"> c. </w:t>
      </w:r>
      <w:r w:rsidRPr="009106F1">
        <w:rPr>
          <w:i/>
        </w:rPr>
        <w:t>Ouzbékistan</w:t>
      </w:r>
      <w:r w:rsidRPr="001D0787">
        <w:t>, constatations adoptées le</w:t>
      </w:r>
      <w:r w:rsidR="00CA7F0F">
        <w:t> </w:t>
      </w:r>
      <w:r w:rsidRPr="001D0787">
        <w:t>10</w:t>
      </w:r>
      <w:r w:rsidR="00CA7F0F">
        <w:t> </w:t>
      </w:r>
      <w:r w:rsidRPr="001D0787">
        <w:t>mars</w:t>
      </w:r>
      <w:r w:rsidR="00CA7F0F">
        <w:t> </w:t>
      </w:r>
      <w:r w:rsidRPr="001D0787">
        <w:t xml:space="preserve">2010, par. 6.3 et 9.2, dans laquelle aucune violation n’a été constatée; communication </w:t>
      </w:r>
      <w:r w:rsidR="00CA7F0F">
        <w:rPr>
          <w:rFonts w:eastAsia="MS Mincho"/>
        </w:rPr>
        <w:t>n</w:t>
      </w:r>
      <w:r w:rsidR="00CA7F0F">
        <w:rPr>
          <w:rFonts w:eastAsia="MS Mincho"/>
          <w:vertAlign w:val="superscript"/>
        </w:rPr>
        <w:t>o</w:t>
      </w:r>
      <w:r w:rsidR="00CA7F0F">
        <w:t> </w:t>
      </w:r>
      <w:r w:rsidRPr="001D0787">
        <w:t xml:space="preserve">1520/2006, </w:t>
      </w:r>
      <w:r w:rsidRPr="009106F1">
        <w:rPr>
          <w:i/>
        </w:rPr>
        <w:t>Mwamba</w:t>
      </w:r>
      <w:r w:rsidR="00CA7F0F">
        <w:t> </w:t>
      </w:r>
      <w:r w:rsidRPr="001D0787">
        <w:t>c.</w:t>
      </w:r>
      <w:r w:rsidR="00CA7F0F">
        <w:t> </w:t>
      </w:r>
      <w:r w:rsidRPr="009106F1">
        <w:rPr>
          <w:i/>
        </w:rPr>
        <w:t>Zambie</w:t>
      </w:r>
      <w:r w:rsidRPr="001D0787">
        <w:t>, constatations adoptées le 10</w:t>
      </w:r>
      <w:r w:rsidR="00CA7F0F">
        <w:t> </w:t>
      </w:r>
      <w:r w:rsidRPr="001D0787">
        <w:t xml:space="preserve">mars 2010; communication </w:t>
      </w:r>
      <w:r w:rsidR="00CA7F0F">
        <w:rPr>
          <w:rFonts w:eastAsia="MS Mincho"/>
        </w:rPr>
        <w:t>n</w:t>
      </w:r>
      <w:r w:rsidR="00CA7F0F">
        <w:rPr>
          <w:rFonts w:eastAsia="MS Mincho"/>
          <w:vertAlign w:val="superscript"/>
        </w:rPr>
        <w:t>o</w:t>
      </w:r>
      <w:r w:rsidR="00CA7F0F">
        <w:t> </w:t>
      </w:r>
      <w:r w:rsidRPr="001D0787">
        <w:t xml:space="preserve">1320/2004, </w:t>
      </w:r>
      <w:r w:rsidRPr="009106F1">
        <w:rPr>
          <w:i/>
        </w:rPr>
        <w:t>Pimentel</w:t>
      </w:r>
      <w:r w:rsidR="00CA7F0F">
        <w:rPr>
          <w:i/>
        </w:rPr>
        <w:t> </w:t>
      </w:r>
      <w:r w:rsidRPr="009106F1">
        <w:rPr>
          <w:i/>
        </w:rPr>
        <w:t>et consorts</w:t>
      </w:r>
      <w:r w:rsidR="00CA7F0F">
        <w:t> </w:t>
      </w:r>
      <w:r w:rsidRPr="001D0787">
        <w:t>c.</w:t>
      </w:r>
      <w:r w:rsidR="00CA7F0F">
        <w:t> </w:t>
      </w:r>
      <w:r w:rsidRPr="009106F1">
        <w:rPr>
          <w:i/>
        </w:rPr>
        <w:t>Philippines</w:t>
      </w:r>
      <w:r w:rsidRPr="001D0787">
        <w:t>, constatations adoptées le 19</w:t>
      </w:r>
      <w:r w:rsidR="00CA7F0F">
        <w:t> </w:t>
      </w:r>
      <w:r w:rsidRPr="001D0787">
        <w:t>mars 2007, par.</w:t>
      </w:r>
      <w:r w:rsidR="00CA7F0F">
        <w:t> </w:t>
      </w:r>
      <w:r w:rsidRPr="001D0787">
        <w:t>3 et</w:t>
      </w:r>
      <w:r w:rsidR="00CA7F0F">
        <w:t> </w:t>
      </w:r>
      <w:r w:rsidRPr="001D0787">
        <w:t xml:space="preserve">8.3; communication </w:t>
      </w:r>
      <w:r w:rsidR="00CA7F0F">
        <w:rPr>
          <w:rFonts w:eastAsia="MS Mincho"/>
        </w:rPr>
        <w:t>n</w:t>
      </w:r>
      <w:r w:rsidR="00CA7F0F">
        <w:rPr>
          <w:rFonts w:eastAsia="MS Mincho"/>
          <w:vertAlign w:val="superscript"/>
        </w:rPr>
        <w:t>o</w:t>
      </w:r>
      <w:r w:rsidR="00CA7F0F">
        <w:t> </w:t>
      </w:r>
      <w:r w:rsidRPr="001D0787">
        <w:t xml:space="preserve">1177/2003, </w:t>
      </w:r>
      <w:r w:rsidRPr="009106F1">
        <w:rPr>
          <w:i/>
        </w:rPr>
        <w:t>Wenga et Shandwe</w:t>
      </w:r>
      <w:r w:rsidRPr="001D0787">
        <w:t xml:space="preserve"> c. </w:t>
      </w:r>
      <w:r w:rsidRPr="009106F1">
        <w:rPr>
          <w:i/>
        </w:rPr>
        <w:t>République démocratique du Congo</w:t>
      </w:r>
      <w:r w:rsidRPr="001D0787">
        <w:t>, constatations adoptées le 17 mars 2006, par.</w:t>
      </w:r>
      <w:r w:rsidR="00CA7F0F">
        <w:t> </w:t>
      </w:r>
      <w:r w:rsidRPr="001D0787">
        <w:t xml:space="preserve">5.5, 6.5 et 9; communication </w:t>
      </w:r>
      <w:r w:rsidR="00CA7F0F">
        <w:rPr>
          <w:rFonts w:eastAsia="MS Mincho"/>
        </w:rPr>
        <w:t>n</w:t>
      </w:r>
      <w:r w:rsidR="00CA7F0F">
        <w:rPr>
          <w:rFonts w:eastAsia="MS Mincho"/>
          <w:vertAlign w:val="superscript"/>
        </w:rPr>
        <w:t>o</w:t>
      </w:r>
      <w:r w:rsidR="00CA7F0F">
        <w:t> </w:t>
      </w:r>
      <w:r w:rsidRPr="001D0787">
        <w:t xml:space="preserve">973/2001, </w:t>
      </w:r>
      <w:r w:rsidRPr="009106F1">
        <w:rPr>
          <w:i/>
        </w:rPr>
        <w:t>Khalilova</w:t>
      </w:r>
      <w:r w:rsidR="00CA7F0F">
        <w:t> </w:t>
      </w:r>
      <w:r w:rsidRPr="001D0787">
        <w:t>c.</w:t>
      </w:r>
      <w:r w:rsidR="00CA7F0F">
        <w:t> </w:t>
      </w:r>
      <w:r w:rsidRPr="009106F1">
        <w:rPr>
          <w:i/>
        </w:rPr>
        <w:t>Tadjikistan</w:t>
      </w:r>
      <w:r w:rsidRPr="001D0787">
        <w:t xml:space="preserve">, constatations adoptées le 30 mars 2005, par. 3,7; communication </w:t>
      </w:r>
      <w:r w:rsidR="00CA7F0F">
        <w:rPr>
          <w:rFonts w:eastAsia="MS Mincho"/>
        </w:rPr>
        <w:t>n</w:t>
      </w:r>
      <w:r w:rsidR="00CA7F0F">
        <w:rPr>
          <w:rFonts w:eastAsia="MS Mincho"/>
          <w:vertAlign w:val="superscript"/>
        </w:rPr>
        <w:t>o</w:t>
      </w:r>
      <w:r w:rsidR="00CA7F0F">
        <w:t> </w:t>
      </w:r>
      <w:r w:rsidR="000B075A">
        <w:t>1044</w:t>
      </w:r>
      <w:r w:rsidRPr="001D0787">
        <w:t xml:space="preserve">/2002, </w:t>
      </w:r>
      <w:r w:rsidRPr="009106F1">
        <w:rPr>
          <w:i/>
        </w:rPr>
        <w:t>Shukurova</w:t>
      </w:r>
      <w:r w:rsidRPr="001D0787">
        <w:t xml:space="preserve"> c. </w:t>
      </w:r>
      <w:r w:rsidRPr="009106F1">
        <w:rPr>
          <w:i/>
        </w:rPr>
        <w:t>Tadjikistan</w:t>
      </w:r>
      <w:r w:rsidRPr="001D0787">
        <w:t>, constatations adoptées le 17 mars 2006, par.</w:t>
      </w:r>
      <w:r w:rsidR="00CA7F0F">
        <w:t> </w:t>
      </w:r>
      <w:r w:rsidRPr="001D0787">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4" w:rsidRPr="00710AB4" w:rsidRDefault="00710AB4">
    <w:pPr>
      <w:pStyle w:val="Header"/>
    </w:pPr>
    <w:r>
      <w:t>CCPR/C/112/D/2069/2011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B4" w:rsidRPr="00710AB4" w:rsidRDefault="00710AB4" w:rsidP="00710AB4">
    <w:pPr>
      <w:pStyle w:val="Header"/>
      <w:jc w:val="right"/>
    </w:pPr>
    <w:r>
      <w:t>CCPR/C/112/D/2069/2011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A" w:rsidRPr="00710AB4" w:rsidRDefault="0002693A">
    <w:pPr>
      <w:pStyle w:val="Header"/>
    </w:pPr>
    <w:r>
      <w:t>CCPR/C/112/D/2069/2011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79E"/>
    <w:rsid w:val="00007A5A"/>
    <w:rsid w:val="000155E3"/>
    <w:rsid w:val="00017F94"/>
    <w:rsid w:val="00023842"/>
    <w:rsid w:val="0002693A"/>
    <w:rsid w:val="00026BD3"/>
    <w:rsid w:val="000334F9"/>
    <w:rsid w:val="00036214"/>
    <w:rsid w:val="00044B87"/>
    <w:rsid w:val="00051803"/>
    <w:rsid w:val="00054EA8"/>
    <w:rsid w:val="00057895"/>
    <w:rsid w:val="00072CB2"/>
    <w:rsid w:val="0007796D"/>
    <w:rsid w:val="00080D7F"/>
    <w:rsid w:val="000B075A"/>
    <w:rsid w:val="000B27BB"/>
    <w:rsid w:val="000B7790"/>
    <w:rsid w:val="000C2225"/>
    <w:rsid w:val="000D7EC5"/>
    <w:rsid w:val="000F0BAE"/>
    <w:rsid w:val="00111F2F"/>
    <w:rsid w:val="0014365E"/>
    <w:rsid w:val="00176178"/>
    <w:rsid w:val="00191B4D"/>
    <w:rsid w:val="00194263"/>
    <w:rsid w:val="001B379B"/>
    <w:rsid w:val="001F525A"/>
    <w:rsid w:val="00212662"/>
    <w:rsid w:val="00223272"/>
    <w:rsid w:val="0024779E"/>
    <w:rsid w:val="002B4E42"/>
    <w:rsid w:val="002D7528"/>
    <w:rsid w:val="0032225A"/>
    <w:rsid w:val="003402F1"/>
    <w:rsid w:val="00343731"/>
    <w:rsid w:val="00351332"/>
    <w:rsid w:val="003A6E96"/>
    <w:rsid w:val="00446FE5"/>
    <w:rsid w:val="00452396"/>
    <w:rsid w:val="004A5723"/>
    <w:rsid w:val="005047EE"/>
    <w:rsid w:val="00514FD5"/>
    <w:rsid w:val="00536B73"/>
    <w:rsid w:val="005505B7"/>
    <w:rsid w:val="00570761"/>
    <w:rsid w:val="00573BE5"/>
    <w:rsid w:val="00586ED3"/>
    <w:rsid w:val="00596AA9"/>
    <w:rsid w:val="0063538F"/>
    <w:rsid w:val="00647A24"/>
    <w:rsid w:val="006B53D6"/>
    <w:rsid w:val="006D0EDA"/>
    <w:rsid w:val="006F7144"/>
    <w:rsid w:val="006F71EA"/>
    <w:rsid w:val="00710AB4"/>
    <w:rsid w:val="0071601D"/>
    <w:rsid w:val="00792059"/>
    <w:rsid w:val="007A611C"/>
    <w:rsid w:val="007A62E6"/>
    <w:rsid w:val="007D4DCC"/>
    <w:rsid w:val="007E2032"/>
    <w:rsid w:val="00801750"/>
    <w:rsid w:val="0080677D"/>
    <w:rsid w:val="0080684C"/>
    <w:rsid w:val="008560DB"/>
    <w:rsid w:val="00871C75"/>
    <w:rsid w:val="00874B4E"/>
    <w:rsid w:val="008776DC"/>
    <w:rsid w:val="00895F24"/>
    <w:rsid w:val="008A42E0"/>
    <w:rsid w:val="00924AC5"/>
    <w:rsid w:val="009705C8"/>
    <w:rsid w:val="009873DF"/>
    <w:rsid w:val="009B1E6C"/>
    <w:rsid w:val="009E2C6A"/>
    <w:rsid w:val="00A80114"/>
    <w:rsid w:val="00AA15C9"/>
    <w:rsid w:val="00AA6A35"/>
    <w:rsid w:val="00AB3490"/>
    <w:rsid w:val="00AB71BF"/>
    <w:rsid w:val="00AC3823"/>
    <w:rsid w:val="00AE323C"/>
    <w:rsid w:val="00AF1763"/>
    <w:rsid w:val="00B00181"/>
    <w:rsid w:val="00B01519"/>
    <w:rsid w:val="00B31527"/>
    <w:rsid w:val="00B7577E"/>
    <w:rsid w:val="00B765F7"/>
    <w:rsid w:val="00B9670B"/>
    <w:rsid w:val="00BA0CA9"/>
    <w:rsid w:val="00C01ACF"/>
    <w:rsid w:val="00C02897"/>
    <w:rsid w:val="00C3312E"/>
    <w:rsid w:val="00CA7BC4"/>
    <w:rsid w:val="00CA7F0F"/>
    <w:rsid w:val="00D05667"/>
    <w:rsid w:val="00D13CCC"/>
    <w:rsid w:val="00D25245"/>
    <w:rsid w:val="00D3439C"/>
    <w:rsid w:val="00D4079E"/>
    <w:rsid w:val="00D83177"/>
    <w:rsid w:val="00DA2E17"/>
    <w:rsid w:val="00DB1831"/>
    <w:rsid w:val="00DC3140"/>
    <w:rsid w:val="00DC6335"/>
    <w:rsid w:val="00DD08E2"/>
    <w:rsid w:val="00DD3BFD"/>
    <w:rsid w:val="00DF6678"/>
    <w:rsid w:val="00E32A9C"/>
    <w:rsid w:val="00E93736"/>
    <w:rsid w:val="00EB212D"/>
    <w:rsid w:val="00EC30D5"/>
    <w:rsid w:val="00EE1BD4"/>
    <w:rsid w:val="00EF49A3"/>
    <w:rsid w:val="00F04AB7"/>
    <w:rsid w:val="00F12152"/>
    <w:rsid w:val="00F660DF"/>
    <w:rsid w:val="00F95C08"/>
    <w:rsid w:val="00FA22F3"/>
    <w:rsid w:val="00FD5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rPr>
      <w:lang/>
    </w:rPr>
  </w:style>
  <w:style w:type="paragraph" w:styleId="Heading2">
    <w:name w:val="heading 2"/>
    <w:basedOn w:val="Normal"/>
    <w:next w:val="Normal"/>
    <w:link w:val="Heading2Char"/>
    <w:qFormat/>
    <w:rsid w:val="00023842"/>
    <w:pPr>
      <w:outlineLvl w:val="1"/>
    </w:pPr>
    <w:rPr>
      <w:lang/>
    </w:rPr>
  </w:style>
  <w:style w:type="paragraph" w:styleId="Heading3">
    <w:name w:val="heading 3"/>
    <w:basedOn w:val="Normal"/>
    <w:next w:val="Normal"/>
    <w:link w:val="Heading3Char"/>
    <w:qFormat/>
    <w:rsid w:val="00023842"/>
    <w:pPr>
      <w:outlineLvl w:val="2"/>
    </w:pPr>
    <w:rPr>
      <w:lang/>
    </w:rPr>
  </w:style>
  <w:style w:type="paragraph" w:styleId="Heading4">
    <w:name w:val="heading 4"/>
    <w:basedOn w:val="Normal"/>
    <w:next w:val="Normal"/>
    <w:link w:val="Heading4Char"/>
    <w:qFormat/>
    <w:rsid w:val="00023842"/>
    <w:pPr>
      <w:outlineLvl w:val="3"/>
    </w:pPr>
    <w:rPr>
      <w:lang/>
    </w:rPr>
  </w:style>
  <w:style w:type="paragraph" w:styleId="Heading5">
    <w:name w:val="heading 5"/>
    <w:basedOn w:val="Normal"/>
    <w:next w:val="Normal"/>
    <w:link w:val="Heading5Char"/>
    <w:qFormat/>
    <w:rsid w:val="00023842"/>
    <w:pPr>
      <w:outlineLvl w:val="4"/>
    </w:pPr>
    <w:rPr>
      <w:lang/>
    </w:rPr>
  </w:style>
  <w:style w:type="paragraph" w:styleId="Heading6">
    <w:name w:val="heading 6"/>
    <w:basedOn w:val="Normal"/>
    <w:next w:val="Normal"/>
    <w:link w:val="Heading6Char"/>
    <w:qFormat/>
    <w:rsid w:val="00023842"/>
    <w:pPr>
      <w:outlineLvl w:val="5"/>
    </w:pPr>
    <w:rPr>
      <w:lang/>
    </w:rPr>
  </w:style>
  <w:style w:type="paragraph" w:styleId="Heading7">
    <w:name w:val="heading 7"/>
    <w:basedOn w:val="Normal"/>
    <w:next w:val="Normal"/>
    <w:link w:val="Heading7Char"/>
    <w:qFormat/>
    <w:rsid w:val="00023842"/>
    <w:pPr>
      <w:outlineLvl w:val="6"/>
    </w:pPr>
    <w:rPr>
      <w:lang/>
    </w:rPr>
  </w:style>
  <w:style w:type="paragraph" w:styleId="Heading8">
    <w:name w:val="heading 8"/>
    <w:basedOn w:val="Normal"/>
    <w:next w:val="Normal"/>
    <w:link w:val="Heading8Char"/>
    <w:qFormat/>
    <w:rsid w:val="00023842"/>
    <w:pPr>
      <w:outlineLvl w:val="7"/>
    </w:pPr>
    <w:rPr>
      <w:lang/>
    </w:rPr>
  </w:style>
  <w:style w:type="paragraph" w:styleId="Heading9">
    <w:name w:val="heading 9"/>
    <w:basedOn w:val="Normal"/>
    <w:next w:val="Normal"/>
    <w:link w:val="Heading9Char"/>
    <w:qFormat/>
    <w:rsid w:val="00023842"/>
    <w:pPr>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lang/>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tref,BVI fnr,16 Point,Superscript 6 Point,Footnote,Footnote symbol,Footnote Refernece,Texto de nota al pie,Fußnotenzeichen_Raxen"/>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3402F1"/>
    <w:rPr>
      <w:color w:val="0000FF"/>
      <w:u w:val="none"/>
    </w:rPr>
  </w:style>
  <w:style w:type="character" w:styleId="FollowedHyperlink">
    <w:name w:val="FollowedHyperlink"/>
    <w:unhideWhenUsed/>
    <w:rsid w:val="003402F1"/>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rsid w:val="00023842"/>
    <w:rPr>
      <w:rFonts w:ascii="Times New Roman" w:eastAsia="Times New Roman" w:hAnsi="Times New Roman" w:cs="Times New Roman"/>
      <w:sz w:val="20"/>
      <w:szCs w:val="20"/>
      <w:lang w:eastAsia="en-US"/>
    </w:rPr>
  </w:style>
  <w:style w:type="character" w:customStyle="1" w:styleId="Heading3Char">
    <w:name w:val="Heading 3 Char"/>
    <w:link w:val="Heading3"/>
    <w:rsid w:val="00023842"/>
    <w:rPr>
      <w:rFonts w:ascii="Times New Roman" w:eastAsia="Times New Roman" w:hAnsi="Times New Roman" w:cs="Times New Roman"/>
      <w:sz w:val="20"/>
      <w:szCs w:val="20"/>
      <w:lang w:eastAsia="en-US"/>
    </w:rPr>
  </w:style>
  <w:style w:type="character" w:customStyle="1" w:styleId="Heading4Char">
    <w:name w:val="Heading 4 Char"/>
    <w:link w:val="Heading4"/>
    <w:rsid w:val="00023842"/>
    <w:rPr>
      <w:rFonts w:ascii="Times New Roman" w:eastAsia="Times New Roman" w:hAnsi="Times New Roman" w:cs="Times New Roman"/>
      <w:sz w:val="20"/>
      <w:szCs w:val="20"/>
      <w:lang w:eastAsia="en-US"/>
    </w:rPr>
  </w:style>
  <w:style w:type="character" w:customStyle="1" w:styleId="Heading5Char">
    <w:name w:val="Heading 5 Char"/>
    <w:link w:val="Heading5"/>
    <w:rsid w:val="00023842"/>
    <w:rPr>
      <w:rFonts w:ascii="Times New Roman" w:eastAsia="Times New Roman" w:hAnsi="Times New Roman" w:cs="Times New Roman"/>
      <w:sz w:val="20"/>
      <w:szCs w:val="20"/>
      <w:lang w:eastAsia="en-US"/>
    </w:rPr>
  </w:style>
  <w:style w:type="character" w:customStyle="1" w:styleId="Heading6Char">
    <w:name w:val="Heading 6 Char"/>
    <w:link w:val="Heading6"/>
    <w:rsid w:val="00023842"/>
    <w:rPr>
      <w:rFonts w:ascii="Times New Roman" w:eastAsia="Times New Roman" w:hAnsi="Times New Roman" w:cs="Times New Roman"/>
      <w:sz w:val="20"/>
      <w:szCs w:val="20"/>
      <w:lang w:eastAsia="en-US"/>
    </w:rPr>
  </w:style>
  <w:style w:type="character" w:customStyle="1" w:styleId="Heading7Char">
    <w:name w:val="Heading 7 Char"/>
    <w:link w:val="Heading7"/>
    <w:rsid w:val="00023842"/>
    <w:rPr>
      <w:rFonts w:ascii="Times New Roman" w:eastAsia="Times New Roman" w:hAnsi="Times New Roman" w:cs="Times New Roman"/>
      <w:sz w:val="20"/>
      <w:szCs w:val="20"/>
      <w:lang w:eastAsia="en-US"/>
    </w:rPr>
  </w:style>
  <w:style w:type="character" w:customStyle="1" w:styleId="Heading8Char">
    <w:name w:val="Heading 8 Char"/>
    <w:link w:val="Heading8"/>
    <w:rsid w:val="00023842"/>
    <w:rPr>
      <w:rFonts w:ascii="Times New Roman" w:eastAsia="Times New Roman" w:hAnsi="Times New Roman" w:cs="Times New Roman"/>
      <w:sz w:val="20"/>
      <w:szCs w:val="20"/>
      <w:lang w:eastAsia="en-US"/>
    </w:rPr>
  </w:style>
  <w:style w:type="character" w:customStyle="1" w:styleId="Heading9Char">
    <w:name w:val="Heading 9 Char"/>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F71EA"/>
    <w:pPr>
      <w:spacing w:line="240" w:lineRule="auto"/>
    </w:pPr>
    <w:rPr>
      <w:rFonts w:ascii="Tahoma" w:hAnsi="Tahoma"/>
      <w:sz w:val="16"/>
      <w:szCs w:val="16"/>
      <w:lang/>
    </w:rPr>
  </w:style>
  <w:style w:type="character" w:customStyle="1" w:styleId="BalloonTextChar">
    <w:name w:val="Balloon Text Char"/>
    <w:link w:val="BalloonText"/>
    <w:uiPriority w:val="99"/>
    <w:semiHidden/>
    <w:rsid w:val="006F71EA"/>
    <w:rPr>
      <w:rFonts w:ascii="Tahoma" w:hAnsi="Tahoma" w:cs="Tahoma"/>
      <w:sz w:val="16"/>
      <w:szCs w:val="16"/>
      <w:lang w:eastAsia="en-US"/>
    </w:rPr>
  </w:style>
  <w:style w:type="character" w:customStyle="1" w:styleId="Astrisque10pt">
    <w:name w:val="Astérisque 10 p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4924</Words>
  <Characters>27086</Characters>
  <Application>Microsoft Office Outlook</Application>
  <DocSecurity>4</DocSecurity>
  <Lines>225</Lines>
  <Paragraphs>63</Paragraphs>
  <ScaleCrop>false</ScaleCrop>
  <HeadingPairs>
    <vt:vector size="2" baseType="variant">
      <vt:variant>
        <vt:lpstr>Titre</vt:lpstr>
      </vt:variant>
      <vt:variant>
        <vt:i4>1</vt:i4>
      </vt:variant>
    </vt:vector>
  </HeadingPairs>
  <TitlesOfParts>
    <vt:vector size="1" baseType="lpstr">
      <vt:lpstr>CCPR/C/112/D/2069/2011</vt:lpstr>
    </vt:vector>
  </TitlesOfParts>
  <Company>DCM</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CCPR/C/112/D/2069/2011</dc:title>
  <dc:subject/>
  <dc:creator>Granet C.</dc:creator>
  <cp:keywords/>
  <dc:description/>
  <cp:lastModifiedBy>chautagnat</cp:lastModifiedBy>
  <cp:revision>2</cp:revision>
  <cp:lastPrinted>2014-05-14T09:59:00Z</cp:lastPrinted>
  <dcterms:created xsi:type="dcterms:W3CDTF">2015-02-25T14:27:00Z</dcterms:created>
  <dcterms:modified xsi:type="dcterms:W3CDTF">2015-02-25T14:27:00Z</dcterms:modified>
</cp:coreProperties>
</file>