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3260"/>
        <w:gridCol w:w="141"/>
        <w:gridCol w:w="2127"/>
        <w:gridCol w:w="2835"/>
      </w:tblGrid>
      <w:tr w:rsidR="0084613B" w:rsidTr="00D76358">
        <w:trPr>
          <w:cantSplit/>
          <w:trHeight w:hRule="exact" w:val="851"/>
        </w:trPr>
        <w:tc>
          <w:tcPr>
            <w:tcW w:w="4536" w:type="dxa"/>
            <w:gridSpan w:val="2"/>
            <w:tcBorders>
              <w:bottom w:val="single" w:sz="4" w:space="0" w:color="auto"/>
            </w:tcBorders>
            <w:vAlign w:val="bottom"/>
          </w:tcPr>
          <w:p w:rsidR="0084613B" w:rsidRPr="00B97172" w:rsidRDefault="0084613B" w:rsidP="00D76358">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4613B" w:rsidRPr="00EA2819" w:rsidRDefault="0084613B" w:rsidP="00D76358">
            <w:pPr>
              <w:spacing w:after="80" w:line="240" w:lineRule="auto"/>
              <w:jc w:val="right"/>
            </w:pPr>
          </w:p>
        </w:tc>
        <w:tc>
          <w:tcPr>
            <w:tcW w:w="4962" w:type="dxa"/>
            <w:gridSpan w:val="2"/>
            <w:tcBorders>
              <w:left w:val="nil"/>
              <w:bottom w:val="single" w:sz="4" w:space="0" w:color="auto"/>
            </w:tcBorders>
            <w:vAlign w:val="bottom"/>
          </w:tcPr>
          <w:p w:rsidR="0084613B" w:rsidRPr="00414448" w:rsidRDefault="0084613B" w:rsidP="00D76358">
            <w:pPr>
              <w:spacing w:after="80"/>
              <w:jc w:val="right"/>
              <w:rPr>
                <w:lang w:val="en-US"/>
              </w:rPr>
            </w:pPr>
            <w:r w:rsidRPr="000B4B07">
              <w:rPr>
                <w:sz w:val="40"/>
                <w:szCs w:val="40"/>
                <w:lang w:val="en-US"/>
              </w:rPr>
              <w:t>CCPR</w:t>
            </w:r>
            <w:r>
              <w:rPr>
                <w:lang w:val="en-US"/>
              </w:rPr>
              <w:t>/</w:t>
            </w:r>
            <w:fldSimple w:instr=" FILLIN  &quot;Введите часть символа после CCPR/&quot;  \* MERGEFORMAT ">
              <w:r w:rsidR="000266D0">
                <w:t>C/111/D/1958/2010</w:t>
              </w:r>
            </w:fldSimple>
          </w:p>
        </w:tc>
      </w:tr>
      <w:tr w:rsidR="0084613B" w:rsidRPr="002C048B" w:rsidTr="00D76358">
        <w:trPr>
          <w:cantSplit/>
          <w:trHeight w:hRule="exact" w:val="2835"/>
        </w:trPr>
        <w:tc>
          <w:tcPr>
            <w:tcW w:w="1276" w:type="dxa"/>
            <w:tcBorders>
              <w:top w:val="single" w:sz="4" w:space="0" w:color="auto"/>
              <w:bottom w:val="single" w:sz="12" w:space="0" w:color="auto"/>
            </w:tcBorders>
          </w:tcPr>
          <w:p w:rsidR="0084613B" w:rsidRDefault="0084613B" w:rsidP="00D7635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3"/>
            <w:tcBorders>
              <w:top w:val="single" w:sz="4" w:space="0" w:color="auto"/>
              <w:bottom w:val="single" w:sz="12" w:space="0" w:color="auto"/>
            </w:tcBorders>
          </w:tcPr>
          <w:p w:rsidR="0084613B" w:rsidRPr="0084613B" w:rsidRDefault="0084613B" w:rsidP="00D76358">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о гражданских и политических правах</w:t>
            </w:r>
          </w:p>
        </w:tc>
        <w:tc>
          <w:tcPr>
            <w:tcW w:w="2835" w:type="dxa"/>
            <w:tcBorders>
              <w:top w:val="single" w:sz="4" w:space="0" w:color="auto"/>
              <w:bottom w:val="single" w:sz="12" w:space="0" w:color="auto"/>
            </w:tcBorders>
          </w:tcPr>
          <w:p w:rsidR="0084613B" w:rsidRDefault="0084613B" w:rsidP="00D76358">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fldChar w:fldCharType="end"/>
            </w:r>
            <w:bookmarkEnd w:id="0"/>
          </w:p>
          <w:p w:rsidR="0084613B" w:rsidRDefault="0084613B" w:rsidP="00D76358">
            <w:pPr>
              <w:rPr>
                <w:lang w:val="en-US"/>
              </w:rPr>
            </w:pPr>
            <w:fldSimple w:instr=" FILLIN  &quot;Введите дату документа&quot; \* MERGEFORMAT ">
              <w:r w:rsidR="000266D0">
                <w:rPr>
                  <w:lang w:val="en-US"/>
                </w:rPr>
                <w:t>25 August 2014</w:t>
              </w:r>
            </w:fldSimple>
          </w:p>
          <w:p w:rsidR="0084613B" w:rsidRDefault="0084613B" w:rsidP="00D76358">
            <w:r>
              <w:rPr>
                <w:lang w:val="en-US"/>
              </w:rPr>
              <w:t>Russian</w:t>
            </w:r>
          </w:p>
          <w:p w:rsidR="0084613B" w:rsidRDefault="0084613B" w:rsidP="00D76358">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fldChar w:fldCharType="end"/>
            </w:r>
            <w:bookmarkEnd w:id="1"/>
          </w:p>
          <w:p w:rsidR="0084613B" w:rsidRPr="002C048B" w:rsidRDefault="0084613B" w:rsidP="00D76358"/>
        </w:tc>
      </w:tr>
    </w:tbl>
    <w:p w:rsidR="000266D0" w:rsidRPr="00B34BD0" w:rsidRDefault="000266D0" w:rsidP="000266D0">
      <w:pPr>
        <w:spacing w:before="120"/>
        <w:rPr>
          <w:b/>
          <w:sz w:val="24"/>
          <w:szCs w:val="24"/>
        </w:rPr>
      </w:pPr>
      <w:r w:rsidRPr="00B34BD0">
        <w:rPr>
          <w:b/>
          <w:sz w:val="24"/>
          <w:szCs w:val="24"/>
        </w:rPr>
        <w:t>Комитет по правам человека</w:t>
      </w:r>
    </w:p>
    <w:p w:rsidR="000266D0" w:rsidRPr="00565333" w:rsidRDefault="000266D0" w:rsidP="00565333">
      <w:pPr>
        <w:pStyle w:val="HChGR"/>
      </w:pPr>
      <w:r w:rsidRPr="00565333">
        <w:tab/>
      </w:r>
      <w:r w:rsidRPr="00565333">
        <w:tab/>
        <w:t>Сообщение № 1958/2010</w:t>
      </w:r>
    </w:p>
    <w:p w:rsidR="000266D0" w:rsidRPr="00565333" w:rsidRDefault="000266D0" w:rsidP="00565333">
      <w:pPr>
        <w:pStyle w:val="H1GR"/>
      </w:pPr>
      <w:r w:rsidRPr="00565333">
        <w:tab/>
      </w:r>
      <w:r w:rsidR="00565333">
        <w:tab/>
      </w:r>
      <w:r w:rsidRPr="00565333">
        <w:t>Соображения, принятые Комитетом на его 111-й сессии</w:t>
      </w:r>
      <w:r w:rsidRPr="00565333">
        <w:br/>
        <w:t>(7−25 июля 2014 года)</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653"/>
        <w:gridCol w:w="4151"/>
      </w:tblGrid>
      <w:tr w:rsidR="000266D0" w:rsidRPr="00001A5A" w:rsidTr="000B74E4">
        <w:tc>
          <w:tcPr>
            <w:tcW w:w="2653" w:type="dxa"/>
          </w:tcPr>
          <w:p w:rsidR="000266D0" w:rsidRPr="00CB613D" w:rsidRDefault="000266D0" w:rsidP="003C2583">
            <w:pPr>
              <w:spacing w:after="80" w:line="220" w:lineRule="atLeast"/>
              <w:rPr>
                <w:i/>
              </w:rPr>
            </w:pPr>
            <w:r w:rsidRPr="00CB613D">
              <w:rPr>
                <w:i/>
              </w:rPr>
              <w:t>Представлено:</w:t>
            </w:r>
          </w:p>
        </w:tc>
        <w:tc>
          <w:tcPr>
            <w:tcW w:w="4151" w:type="dxa"/>
          </w:tcPr>
          <w:p w:rsidR="000266D0" w:rsidRPr="00001A5A" w:rsidRDefault="00511C11" w:rsidP="003C2583">
            <w:pPr>
              <w:spacing w:after="80" w:line="220" w:lineRule="atLeast"/>
            </w:pPr>
            <w:r>
              <w:t>А.М.Х. э</w:t>
            </w:r>
            <w:r w:rsidR="000266D0">
              <w:t>ль-</w:t>
            </w:r>
            <w:r w:rsidR="007E083B">
              <w:t>Хагогом</w:t>
            </w:r>
            <w:r w:rsidR="000266D0">
              <w:t xml:space="preserve"> Джума</w:t>
            </w:r>
            <w:r w:rsidR="007E083B">
              <w:t>а</w:t>
            </w:r>
            <w:r w:rsidR="000266D0">
              <w:t xml:space="preserve"> и др. (представлены адвокатами Энн Шелтема Бедуин и Лисбет Зегвел</w:t>
            </w:r>
            <w:r w:rsidR="00560913">
              <w:t>ь</w:t>
            </w:r>
            <w:r w:rsidR="000266D0">
              <w:t>д)</w:t>
            </w:r>
          </w:p>
        </w:tc>
      </w:tr>
      <w:tr w:rsidR="000266D0" w:rsidTr="000B74E4">
        <w:tc>
          <w:tcPr>
            <w:tcW w:w="2653" w:type="dxa"/>
          </w:tcPr>
          <w:p w:rsidR="000266D0" w:rsidRPr="00CB613D" w:rsidRDefault="000266D0" w:rsidP="003C2583">
            <w:pPr>
              <w:spacing w:after="80" w:line="220" w:lineRule="atLeast"/>
              <w:rPr>
                <w:i/>
              </w:rPr>
            </w:pPr>
            <w:r w:rsidRPr="00CB613D">
              <w:rPr>
                <w:i/>
              </w:rPr>
              <w:t>Предполагаем</w:t>
            </w:r>
            <w:r w:rsidR="007E083B">
              <w:rPr>
                <w:i/>
              </w:rPr>
              <w:t>ые жертвы</w:t>
            </w:r>
            <w:r w:rsidRPr="00CB613D">
              <w:rPr>
                <w:i/>
              </w:rPr>
              <w:t>:</w:t>
            </w:r>
          </w:p>
        </w:tc>
        <w:tc>
          <w:tcPr>
            <w:tcW w:w="4151" w:type="dxa"/>
          </w:tcPr>
          <w:p w:rsidR="000266D0" w:rsidRDefault="000266D0" w:rsidP="003C2583">
            <w:pPr>
              <w:spacing w:after="80" w:line="220" w:lineRule="atLeast"/>
            </w:pPr>
            <w:r>
              <w:t>авторы сообщения</w:t>
            </w:r>
          </w:p>
        </w:tc>
      </w:tr>
      <w:tr w:rsidR="000266D0" w:rsidTr="000B74E4">
        <w:tc>
          <w:tcPr>
            <w:tcW w:w="2653" w:type="dxa"/>
          </w:tcPr>
          <w:p w:rsidR="000266D0" w:rsidRPr="00CB613D" w:rsidRDefault="000266D0" w:rsidP="003C2583">
            <w:pPr>
              <w:spacing w:after="80" w:line="220" w:lineRule="atLeast"/>
              <w:rPr>
                <w:i/>
              </w:rPr>
            </w:pPr>
            <w:r w:rsidRPr="00CB613D">
              <w:rPr>
                <w:i/>
              </w:rPr>
              <w:t>Государство-участник:</w:t>
            </w:r>
          </w:p>
        </w:tc>
        <w:tc>
          <w:tcPr>
            <w:tcW w:w="4151" w:type="dxa"/>
          </w:tcPr>
          <w:p w:rsidR="000266D0" w:rsidRDefault="000266D0" w:rsidP="003C2583">
            <w:pPr>
              <w:spacing w:after="80" w:line="220" w:lineRule="atLeast"/>
            </w:pPr>
            <w:r>
              <w:t>Ливия</w:t>
            </w:r>
          </w:p>
        </w:tc>
      </w:tr>
      <w:tr w:rsidR="000266D0" w:rsidTr="000B74E4">
        <w:tc>
          <w:tcPr>
            <w:tcW w:w="2653" w:type="dxa"/>
          </w:tcPr>
          <w:p w:rsidR="000266D0" w:rsidRPr="00CB613D" w:rsidRDefault="000266D0" w:rsidP="003C2583">
            <w:pPr>
              <w:spacing w:after="80" w:line="220" w:lineRule="atLeast"/>
              <w:rPr>
                <w:i/>
              </w:rPr>
            </w:pPr>
            <w:r w:rsidRPr="00CB613D">
              <w:rPr>
                <w:i/>
              </w:rPr>
              <w:t>Дата сообщения:</w:t>
            </w:r>
          </w:p>
        </w:tc>
        <w:tc>
          <w:tcPr>
            <w:tcW w:w="4151" w:type="dxa"/>
          </w:tcPr>
          <w:p w:rsidR="000266D0" w:rsidRPr="002A4F6C" w:rsidRDefault="000266D0" w:rsidP="003C2583">
            <w:pPr>
              <w:spacing w:after="80" w:line="220" w:lineRule="atLeast"/>
            </w:pPr>
            <w:r>
              <w:t>31 марта 2010 года (первоначальное представление)</w:t>
            </w:r>
          </w:p>
        </w:tc>
      </w:tr>
      <w:tr w:rsidR="000266D0" w:rsidTr="000B74E4">
        <w:tc>
          <w:tcPr>
            <w:tcW w:w="2653" w:type="dxa"/>
          </w:tcPr>
          <w:p w:rsidR="000266D0" w:rsidRPr="00CB613D" w:rsidRDefault="000266D0" w:rsidP="003C2583">
            <w:pPr>
              <w:spacing w:after="80" w:line="220" w:lineRule="atLeast"/>
              <w:rPr>
                <w:i/>
              </w:rPr>
            </w:pPr>
            <w:r w:rsidRPr="00CB613D">
              <w:rPr>
                <w:i/>
              </w:rPr>
              <w:t>Справочная документация:</w:t>
            </w:r>
          </w:p>
        </w:tc>
        <w:tc>
          <w:tcPr>
            <w:tcW w:w="4151" w:type="dxa"/>
          </w:tcPr>
          <w:p w:rsidR="000266D0" w:rsidRDefault="000266D0" w:rsidP="003C2583">
            <w:pPr>
              <w:spacing w:after="80" w:line="220" w:lineRule="atLeast"/>
            </w:pPr>
            <w:r>
              <w:t>решение Специального докладчика в соответствии с правилом 97, препровожденное государству-участнику 21 июля 2010 года (в виде документа не издавалось)</w:t>
            </w:r>
          </w:p>
        </w:tc>
      </w:tr>
      <w:tr w:rsidR="000266D0" w:rsidTr="000B74E4">
        <w:tc>
          <w:tcPr>
            <w:tcW w:w="2653" w:type="dxa"/>
          </w:tcPr>
          <w:p w:rsidR="000266D0" w:rsidRPr="00CB613D" w:rsidRDefault="000266D0" w:rsidP="003C2583">
            <w:pPr>
              <w:spacing w:after="80" w:line="220" w:lineRule="atLeast"/>
              <w:rPr>
                <w:i/>
              </w:rPr>
            </w:pPr>
            <w:r>
              <w:rPr>
                <w:i/>
              </w:rPr>
              <w:t>Дата принятия</w:t>
            </w:r>
            <w:r w:rsidR="000B74E4">
              <w:rPr>
                <w:i/>
              </w:rPr>
              <w:br/>
            </w:r>
            <w:r>
              <w:rPr>
                <w:i/>
              </w:rPr>
              <w:t>C</w:t>
            </w:r>
            <w:r w:rsidRPr="00CB613D">
              <w:rPr>
                <w:i/>
              </w:rPr>
              <w:t>оображений:</w:t>
            </w:r>
          </w:p>
        </w:tc>
        <w:tc>
          <w:tcPr>
            <w:tcW w:w="4151" w:type="dxa"/>
            <w:vAlign w:val="bottom"/>
          </w:tcPr>
          <w:p w:rsidR="000266D0" w:rsidRDefault="000266D0" w:rsidP="003C2583">
            <w:pPr>
              <w:spacing w:after="80" w:line="220" w:lineRule="atLeast"/>
            </w:pPr>
            <w:r>
              <w:t>21 июля 2014 года</w:t>
            </w:r>
          </w:p>
        </w:tc>
      </w:tr>
      <w:tr w:rsidR="000266D0" w:rsidTr="000B74E4">
        <w:tc>
          <w:tcPr>
            <w:tcW w:w="2653" w:type="dxa"/>
          </w:tcPr>
          <w:p w:rsidR="000266D0" w:rsidRPr="00CB613D" w:rsidRDefault="000266D0" w:rsidP="003C2583">
            <w:pPr>
              <w:spacing w:after="80" w:line="220" w:lineRule="atLeast"/>
              <w:rPr>
                <w:i/>
              </w:rPr>
            </w:pPr>
            <w:r w:rsidRPr="00CB613D">
              <w:rPr>
                <w:i/>
                <w:iCs/>
              </w:rPr>
              <w:t>Тема сообщения:</w:t>
            </w:r>
          </w:p>
        </w:tc>
        <w:tc>
          <w:tcPr>
            <w:tcW w:w="4151" w:type="dxa"/>
          </w:tcPr>
          <w:p w:rsidR="000266D0" w:rsidRDefault="000266D0" w:rsidP="003C2583">
            <w:pPr>
              <w:spacing w:after="80" w:line="220" w:lineRule="atLeast"/>
            </w:pPr>
            <w:r>
              <w:t>нападки и преследования в отношении авторов сообщения, являющихся членами семьи Ашрафа</w:t>
            </w:r>
            <w:r w:rsidR="007E083B">
              <w:t xml:space="preserve"> э</w:t>
            </w:r>
            <w:r>
              <w:t>ль-</w:t>
            </w:r>
            <w:r w:rsidR="007E083B">
              <w:t>Хагога</w:t>
            </w:r>
            <w:r>
              <w:t xml:space="preserve"> − палестинского врача, арестованного и осужденного в Ливии</w:t>
            </w:r>
          </w:p>
        </w:tc>
      </w:tr>
      <w:tr w:rsidR="000266D0" w:rsidTr="000B74E4">
        <w:tc>
          <w:tcPr>
            <w:tcW w:w="2653" w:type="dxa"/>
          </w:tcPr>
          <w:p w:rsidR="000266D0" w:rsidRPr="00CB613D" w:rsidRDefault="000266D0" w:rsidP="003C2583">
            <w:pPr>
              <w:spacing w:after="80" w:line="220" w:lineRule="atLeast"/>
              <w:rPr>
                <w:i/>
                <w:iCs/>
              </w:rPr>
            </w:pPr>
            <w:r w:rsidRPr="00CB613D">
              <w:rPr>
                <w:i/>
                <w:iCs/>
              </w:rPr>
              <w:t>Вопросы существа:</w:t>
            </w:r>
          </w:p>
        </w:tc>
        <w:tc>
          <w:tcPr>
            <w:tcW w:w="4151" w:type="dxa"/>
          </w:tcPr>
          <w:p w:rsidR="000266D0" w:rsidRDefault="000266D0" w:rsidP="003C2583">
            <w:pPr>
              <w:spacing w:after="80" w:line="220" w:lineRule="atLeast"/>
            </w:pPr>
            <w:r>
              <w:t xml:space="preserve">отсутствие эффективных средств правовой защиты, </w:t>
            </w:r>
            <w:r w:rsidR="007E083B">
              <w:t>неправомерное обращение, право</w:t>
            </w:r>
            <w:r>
              <w:t xml:space="preserve"> на личную </w:t>
            </w:r>
            <w:r w:rsidR="007E083B">
              <w:t>неприкосновенность</w:t>
            </w:r>
            <w:r>
              <w:t>, свобода передвижения, произвольное вмешательство в личную и семейную жизнь, защита семьи, запрещение дискриминации</w:t>
            </w:r>
          </w:p>
        </w:tc>
      </w:tr>
      <w:tr w:rsidR="000266D0" w:rsidTr="000B74E4">
        <w:tc>
          <w:tcPr>
            <w:tcW w:w="2653" w:type="dxa"/>
          </w:tcPr>
          <w:p w:rsidR="000266D0" w:rsidRPr="00CB613D" w:rsidRDefault="000266D0" w:rsidP="003C2583">
            <w:pPr>
              <w:spacing w:after="80" w:line="220" w:lineRule="atLeast"/>
              <w:rPr>
                <w:i/>
                <w:iCs/>
              </w:rPr>
            </w:pPr>
            <w:r w:rsidRPr="00CB613D">
              <w:rPr>
                <w:i/>
                <w:iCs/>
              </w:rPr>
              <w:t>Процедурные вопросы</w:t>
            </w:r>
            <w:r w:rsidRPr="00CB613D">
              <w:rPr>
                <w:i/>
              </w:rPr>
              <w:t>:</w:t>
            </w:r>
          </w:p>
        </w:tc>
        <w:tc>
          <w:tcPr>
            <w:tcW w:w="4151" w:type="dxa"/>
          </w:tcPr>
          <w:p w:rsidR="000266D0" w:rsidRDefault="000266D0" w:rsidP="003C2583">
            <w:pPr>
              <w:spacing w:after="80" w:line="220" w:lineRule="atLeast"/>
            </w:pPr>
            <w:r>
              <w:t>нет</w:t>
            </w:r>
          </w:p>
        </w:tc>
      </w:tr>
      <w:tr w:rsidR="000266D0" w:rsidTr="000B74E4">
        <w:tc>
          <w:tcPr>
            <w:tcW w:w="2653" w:type="dxa"/>
          </w:tcPr>
          <w:p w:rsidR="000266D0" w:rsidRPr="00CB613D" w:rsidRDefault="000266D0" w:rsidP="003C2583">
            <w:pPr>
              <w:spacing w:after="80" w:line="220" w:lineRule="atLeast"/>
              <w:rPr>
                <w:i/>
                <w:iCs/>
              </w:rPr>
            </w:pPr>
            <w:r w:rsidRPr="00CB613D">
              <w:rPr>
                <w:i/>
                <w:iCs/>
              </w:rPr>
              <w:t>Статьи Пакта</w:t>
            </w:r>
            <w:r w:rsidRPr="00CB613D">
              <w:rPr>
                <w:i/>
              </w:rPr>
              <w:t>:</w:t>
            </w:r>
          </w:p>
        </w:tc>
        <w:tc>
          <w:tcPr>
            <w:tcW w:w="4151" w:type="dxa"/>
          </w:tcPr>
          <w:p w:rsidR="000266D0" w:rsidRDefault="000266D0" w:rsidP="003C2583">
            <w:pPr>
              <w:spacing w:after="80" w:line="220" w:lineRule="atLeast"/>
            </w:pPr>
            <w:r>
              <w:t>2, 7, 9, 12, 17, 23 и 26</w:t>
            </w:r>
          </w:p>
        </w:tc>
      </w:tr>
      <w:tr w:rsidR="000266D0" w:rsidTr="000B74E4">
        <w:tc>
          <w:tcPr>
            <w:tcW w:w="2653" w:type="dxa"/>
          </w:tcPr>
          <w:p w:rsidR="000266D0" w:rsidRPr="00CB613D" w:rsidRDefault="000266D0" w:rsidP="003C2583">
            <w:pPr>
              <w:spacing w:after="80" w:line="220" w:lineRule="atLeast"/>
              <w:rPr>
                <w:i/>
                <w:iCs/>
              </w:rPr>
            </w:pPr>
            <w:r w:rsidRPr="00CB613D">
              <w:rPr>
                <w:i/>
                <w:iCs/>
              </w:rPr>
              <w:t>Ста</w:t>
            </w:r>
            <w:r>
              <w:rPr>
                <w:i/>
                <w:iCs/>
              </w:rPr>
              <w:t>т</w:t>
            </w:r>
            <w:r w:rsidRPr="00CB613D">
              <w:rPr>
                <w:i/>
                <w:iCs/>
              </w:rPr>
              <w:t>ь</w:t>
            </w:r>
            <w:r>
              <w:rPr>
                <w:i/>
                <w:iCs/>
              </w:rPr>
              <w:t>я</w:t>
            </w:r>
            <w:r w:rsidRPr="00CB613D">
              <w:rPr>
                <w:i/>
                <w:iCs/>
              </w:rPr>
              <w:t xml:space="preserve"> Факультативного протокола:</w:t>
            </w:r>
          </w:p>
        </w:tc>
        <w:tc>
          <w:tcPr>
            <w:tcW w:w="4151" w:type="dxa"/>
          </w:tcPr>
          <w:p w:rsidR="000266D0" w:rsidRDefault="000266D0" w:rsidP="003C2583">
            <w:pPr>
              <w:spacing w:after="80" w:line="220" w:lineRule="atLeast"/>
            </w:pPr>
            <w:r>
              <w:t>нет</w:t>
            </w:r>
          </w:p>
        </w:tc>
      </w:tr>
    </w:tbl>
    <w:p w:rsidR="003C2583" w:rsidRPr="003C2583" w:rsidRDefault="003C2583" w:rsidP="003C2583">
      <w:pPr>
        <w:pStyle w:val="HChGR"/>
      </w:pPr>
      <w:r>
        <w:rPr>
          <w:lang w:val="en-US"/>
        </w:rPr>
        <w:tab/>
      </w:r>
      <w:r w:rsidRPr="003C2583">
        <w:t>Приложение</w:t>
      </w:r>
    </w:p>
    <w:p w:rsidR="003C2583" w:rsidRPr="003C2583" w:rsidRDefault="003C2583" w:rsidP="003C2583">
      <w:pPr>
        <w:pStyle w:val="HChGR"/>
      </w:pPr>
      <w:r>
        <w:rPr>
          <w:lang w:val="en-US"/>
        </w:rPr>
        <w:tab/>
      </w:r>
      <w:r>
        <w:rPr>
          <w:lang w:val="en-US"/>
        </w:rPr>
        <w:tab/>
      </w:r>
      <w:r w:rsidRPr="003C2583">
        <w:t>Соображени</w:t>
      </w:r>
      <w:r w:rsidR="00A97090">
        <w:t>я Комитета по правам человека в</w:t>
      </w:r>
      <w:r w:rsidR="00A97090">
        <w:rPr>
          <w:lang w:val="en-US"/>
        </w:rPr>
        <w:t> </w:t>
      </w:r>
      <w:r w:rsidRPr="003C2583">
        <w:t>соответствии с пунктом 4 статьи 5 Факультативного протокола к Между</w:t>
      </w:r>
      <w:r>
        <w:t>народному пакту о гражданских и</w:t>
      </w:r>
      <w:r>
        <w:rPr>
          <w:lang w:val="en-US"/>
        </w:rPr>
        <w:t> </w:t>
      </w:r>
      <w:r w:rsidRPr="003C2583">
        <w:t>политических правах (111-я сессия)</w:t>
      </w:r>
    </w:p>
    <w:p w:rsidR="003C2583" w:rsidRPr="003C2583" w:rsidRDefault="003C2583" w:rsidP="003C2583">
      <w:pPr>
        <w:pStyle w:val="SingleTxtGR"/>
      </w:pPr>
      <w:r w:rsidRPr="003C2583">
        <w:t>относительно</w:t>
      </w:r>
    </w:p>
    <w:p w:rsidR="006E7AF7" w:rsidRPr="00520C39" w:rsidRDefault="007E083B" w:rsidP="00520C39">
      <w:pPr>
        <w:pStyle w:val="H1GR"/>
        <w:rPr>
          <w:b w:val="0"/>
          <w:sz w:val="20"/>
          <w:lang w:val="en-US"/>
        </w:rPr>
      </w:pPr>
      <w:r>
        <w:tab/>
      </w:r>
      <w:r>
        <w:tab/>
        <w:t>Сообщения</w:t>
      </w:r>
      <w:r w:rsidR="003C2583" w:rsidRPr="003C2583">
        <w:t xml:space="preserve"> № 1958/2010</w:t>
      </w:r>
      <w:r w:rsidR="003C2583" w:rsidRPr="00520C39">
        <w:rPr>
          <w:b w:val="0"/>
          <w:sz w:val="20"/>
        </w:rPr>
        <w:footnoteReference w:customMarkFollows="1" w:id="1"/>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520C39" w:rsidRPr="00001A5A" w:rsidTr="004F39A9">
        <w:tc>
          <w:tcPr>
            <w:tcW w:w="2933" w:type="dxa"/>
          </w:tcPr>
          <w:p w:rsidR="00520C39" w:rsidRPr="00CB613D" w:rsidRDefault="00520C39" w:rsidP="004F39A9">
            <w:pPr>
              <w:spacing w:after="120"/>
              <w:rPr>
                <w:i/>
              </w:rPr>
            </w:pPr>
            <w:r w:rsidRPr="00CB613D">
              <w:rPr>
                <w:i/>
              </w:rPr>
              <w:t>Представлено:</w:t>
            </w:r>
          </w:p>
        </w:tc>
        <w:tc>
          <w:tcPr>
            <w:tcW w:w="3871" w:type="dxa"/>
          </w:tcPr>
          <w:p w:rsidR="00520C39" w:rsidRPr="00001A5A" w:rsidRDefault="007E083B" w:rsidP="004F39A9">
            <w:pPr>
              <w:spacing w:after="120"/>
            </w:pPr>
            <w:r>
              <w:t>А.М.Х. э</w:t>
            </w:r>
            <w:r w:rsidR="00520C39">
              <w:t>ль-</w:t>
            </w:r>
            <w:r>
              <w:t>Хагогом</w:t>
            </w:r>
            <w:r w:rsidR="00520C39">
              <w:t xml:space="preserve"> Джума</w:t>
            </w:r>
            <w:r>
              <w:t>а</w:t>
            </w:r>
            <w:r w:rsidR="00520C39">
              <w:t xml:space="preserve"> и др. (представлены адвокатами Энн Шелтема Бедуин и Лисбет Зегвел</w:t>
            </w:r>
            <w:r>
              <w:t>ь</w:t>
            </w:r>
            <w:r w:rsidR="00520C39">
              <w:t>д)</w:t>
            </w:r>
          </w:p>
        </w:tc>
      </w:tr>
      <w:tr w:rsidR="00520C39" w:rsidTr="004F39A9">
        <w:tc>
          <w:tcPr>
            <w:tcW w:w="2933" w:type="dxa"/>
          </w:tcPr>
          <w:p w:rsidR="00520C39" w:rsidRPr="00CB613D" w:rsidRDefault="00520C39" w:rsidP="004F39A9">
            <w:pPr>
              <w:spacing w:after="120"/>
              <w:rPr>
                <w:i/>
              </w:rPr>
            </w:pPr>
            <w:r w:rsidRPr="00CB613D">
              <w:rPr>
                <w:i/>
              </w:rPr>
              <w:t>Предполагаем</w:t>
            </w:r>
            <w:r w:rsidR="007E083B">
              <w:rPr>
                <w:i/>
              </w:rPr>
              <w:t>ые жертвы</w:t>
            </w:r>
            <w:r w:rsidRPr="00CB613D">
              <w:rPr>
                <w:i/>
              </w:rPr>
              <w:t>:</w:t>
            </w:r>
          </w:p>
        </w:tc>
        <w:tc>
          <w:tcPr>
            <w:tcW w:w="3871" w:type="dxa"/>
          </w:tcPr>
          <w:p w:rsidR="00520C39" w:rsidRDefault="00520C39" w:rsidP="004F39A9">
            <w:pPr>
              <w:spacing w:after="120"/>
            </w:pPr>
            <w:r>
              <w:t>авторы сообщения</w:t>
            </w:r>
          </w:p>
        </w:tc>
      </w:tr>
      <w:tr w:rsidR="00520C39" w:rsidTr="004F39A9">
        <w:tc>
          <w:tcPr>
            <w:tcW w:w="2933" w:type="dxa"/>
          </w:tcPr>
          <w:p w:rsidR="00520C39" w:rsidRPr="00CB613D" w:rsidRDefault="00520C39" w:rsidP="004F39A9">
            <w:pPr>
              <w:spacing w:after="120"/>
              <w:rPr>
                <w:i/>
              </w:rPr>
            </w:pPr>
            <w:r w:rsidRPr="00CB613D">
              <w:rPr>
                <w:i/>
              </w:rPr>
              <w:t>Государство-участник:</w:t>
            </w:r>
          </w:p>
        </w:tc>
        <w:tc>
          <w:tcPr>
            <w:tcW w:w="3871" w:type="dxa"/>
          </w:tcPr>
          <w:p w:rsidR="00520C39" w:rsidRDefault="00520C39" w:rsidP="004F39A9">
            <w:pPr>
              <w:spacing w:after="120"/>
            </w:pPr>
            <w:r>
              <w:t>Ливия</w:t>
            </w:r>
          </w:p>
        </w:tc>
      </w:tr>
      <w:tr w:rsidR="00520C39" w:rsidTr="004F39A9">
        <w:tc>
          <w:tcPr>
            <w:tcW w:w="2933" w:type="dxa"/>
          </w:tcPr>
          <w:p w:rsidR="00520C39" w:rsidRPr="00CB613D" w:rsidRDefault="00520C39" w:rsidP="004F39A9">
            <w:pPr>
              <w:spacing w:after="120"/>
              <w:rPr>
                <w:i/>
              </w:rPr>
            </w:pPr>
            <w:r w:rsidRPr="00CB613D">
              <w:rPr>
                <w:i/>
              </w:rPr>
              <w:t>Дата сообщения:</w:t>
            </w:r>
          </w:p>
        </w:tc>
        <w:tc>
          <w:tcPr>
            <w:tcW w:w="3871" w:type="dxa"/>
          </w:tcPr>
          <w:p w:rsidR="00520C39" w:rsidRPr="002A4F6C" w:rsidRDefault="00520C39" w:rsidP="004F39A9">
            <w:pPr>
              <w:spacing w:after="120"/>
            </w:pPr>
            <w:r>
              <w:t>31 марта 2010 года (первоначальное представление)</w:t>
            </w:r>
          </w:p>
        </w:tc>
      </w:tr>
    </w:tbl>
    <w:p w:rsidR="00BA6B82" w:rsidRPr="00BA6B82" w:rsidRDefault="00BA6B82" w:rsidP="00BA6B82">
      <w:pPr>
        <w:pStyle w:val="SingleTxtGR"/>
      </w:pPr>
      <w:r w:rsidRPr="00BA6B82">
        <w:rPr>
          <w:i/>
        </w:rPr>
        <w:tab/>
        <w:t>Комитет по правам человека</w:t>
      </w:r>
      <w:r w:rsidRPr="00BA6B82">
        <w:t>, учрежденный в соответствии со статьей 28 Международного пакта о гражданских и политических правах,</w:t>
      </w:r>
    </w:p>
    <w:p w:rsidR="00BA6B82" w:rsidRPr="00BA6B82" w:rsidRDefault="00BA6B82" w:rsidP="00BA6B82">
      <w:pPr>
        <w:pStyle w:val="SingleTxtGR"/>
      </w:pPr>
      <w:r w:rsidRPr="00BA6B82">
        <w:tab/>
      </w:r>
      <w:r w:rsidRPr="00BA6B82">
        <w:rPr>
          <w:i/>
        </w:rPr>
        <w:t>на своем заседании</w:t>
      </w:r>
      <w:r w:rsidRPr="00BA6B82">
        <w:t xml:space="preserve"> 21 июля 2014 года,</w:t>
      </w:r>
    </w:p>
    <w:p w:rsidR="00BA6B82" w:rsidRPr="00BA6B82" w:rsidRDefault="00BA6B82" w:rsidP="00BA6B82">
      <w:pPr>
        <w:pStyle w:val="SingleTxtGR"/>
      </w:pPr>
      <w:r w:rsidRPr="00BA6B82">
        <w:tab/>
      </w:r>
      <w:r w:rsidRPr="00BA6B82">
        <w:rPr>
          <w:i/>
        </w:rPr>
        <w:t>завершив</w:t>
      </w:r>
      <w:r w:rsidRPr="00BA6B82">
        <w:t xml:space="preserve"> рассмотрение сообщения </w:t>
      </w:r>
      <w:r w:rsidR="0070712A">
        <w:t>№</w:t>
      </w:r>
      <w:r w:rsidRPr="00BA6B82">
        <w:t xml:space="preserve"> 1958/2010, представленного Ком</w:t>
      </w:r>
      <w:r w:rsidRPr="00BA6B82">
        <w:t>и</w:t>
      </w:r>
      <w:r w:rsidRPr="00BA6B82">
        <w:t>тету по правам ч</w:t>
      </w:r>
      <w:r w:rsidR="0070712A">
        <w:t>еловека от имени г-на А. М. Х. э</w:t>
      </w:r>
      <w:r w:rsidRPr="00BA6B82">
        <w:t>ль-</w:t>
      </w:r>
      <w:r w:rsidR="0070712A">
        <w:t>Хагога</w:t>
      </w:r>
      <w:r w:rsidRPr="00BA6B82">
        <w:t xml:space="preserve"> Джума</w:t>
      </w:r>
      <w:r w:rsidR="0070712A">
        <w:t>а и др.</w:t>
      </w:r>
      <w:r w:rsidRPr="00BA6B82">
        <w:t xml:space="preserve"> в с</w:t>
      </w:r>
      <w:r w:rsidRPr="00BA6B82">
        <w:t>о</w:t>
      </w:r>
      <w:r w:rsidRPr="00BA6B82">
        <w:t>ответствии с Факультативным протоколом к Международному пакту о гражда</w:t>
      </w:r>
      <w:r w:rsidRPr="00BA6B82">
        <w:t>н</w:t>
      </w:r>
      <w:r w:rsidRPr="00BA6B82">
        <w:t xml:space="preserve">ских и политических правах, </w:t>
      </w:r>
    </w:p>
    <w:p w:rsidR="00BA6B82" w:rsidRPr="00BA6B82" w:rsidRDefault="00BA6B82" w:rsidP="00BA6B82">
      <w:pPr>
        <w:pStyle w:val="SingleTxtGR"/>
      </w:pPr>
      <w:r w:rsidRPr="00BA6B82">
        <w:tab/>
      </w:r>
      <w:r w:rsidRPr="00BA6B82">
        <w:rPr>
          <w:i/>
        </w:rPr>
        <w:t xml:space="preserve">приняв во внимание </w:t>
      </w:r>
      <w:r w:rsidRPr="00BA6B82">
        <w:t xml:space="preserve">всю письменную информацию, представленную ему авторами сообщения и государством-участником, </w:t>
      </w:r>
    </w:p>
    <w:p w:rsidR="00BA6B82" w:rsidRPr="00BA6B82" w:rsidRDefault="00BA6B82" w:rsidP="00BA6B82">
      <w:pPr>
        <w:pStyle w:val="SingleTxtGR"/>
      </w:pPr>
      <w:r w:rsidRPr="00BA6B82">
        <w:tab/>
      </w:r>
      <w:r w:rsidRPr="00BA6B82">
        <w:rPr>
          <w:i/>
        </w:rPr>
        <w:t>принимает</w:t>
      </w:r>
      <w:r w:rsidRPr="00BA6B82">
        <w:t xml:space="preserve"> следующее: </w:t>
      </w:r>
    </w:p>
    <w:p w:rsidR="00BA6B82" w:rsidRPr="00BA6B82" w:rsidRDefault="00BA6B82" w:rsidP="00BA6B82">
      <w:pPr>
        <w:pStyle w:val="H1GR"/>
      </w:pPr>
      <w:r>
        <w:rPr>
          <w:lang w:val="en-US"/>
        </w:rPr>
        <w:tab/>
      </w:r>
      <w:r>
        <w:rPr>
          <w:lang w:val="en-US"/>
        </w:rPr>
        <w:tab/>
      </w:r>
      <w:r w:rsidRPr="00BA6B82">
        <w:t>Соображения в соответствии с пунктом 4 статьи 5 Факультативного протокола</w:t>
      </w:r>
    </w:p>
    <w:p w:rsidR="00BA6B82" w:rsidRPr="00BA6B82" w:rsidRDefault="00BA6B82" w:rsidP="00A97090">
      <w:pPr>
        <w:pStyle w:val="SingleTxtGR"/>
        <w:spacing w:line="220" w:lineRule="atLeast"/>
      </w:pPr>
      <w:r w:rsidRPr="00BA6B82">
        <w:t>1.</w:t>
      </w:r>
      <w:r w:rsidRPr="00BA6B82">
        <w:tab/>
        <w:t>Авторами сообщения являются Ахмед Джума</w:t>
      </w:r>
      <w:r w:rsidR="0070712A">
        <w:t>а э</w:t>
      </w:r>
      <w:r w:rsidRPr="00BA6B82">
        <w:t>ль-</w:t>
      </w:r>
      <w:r w:rsidR="0070712A">
        <w:t>Хагог</w:t>
      </w:r>
      <w:r w:rsidRPr="00BA6B82">
        <w:t xml:space="preserve"> (далее "первый ав</w:t>
      </w:r>
      <w:r w:rsidR="0070712A">
        <w:t>тор"), его жена Афаф э</w:t>
      </w:r>
      <w:r w:rsidRPr="00BA6B82">
        <w:t>ль-</w:t>
      </w:r>
      <w:r w:rsidR="0070712A">
        <w:t>Хагог</w:t>
      </w:r>
      <w:r w:rsidRPr="00BA6B82">
        <w:t xml:space="preserve"> ("второй автор") и их четверо детей, все из которых родились в Ливии: Абир (1974 год</w:t>
      </w:r>
      <w:r w:rsidR="0070712A">
        <w:t>а</w:t>
      </w:r>
      <w:r w:rsidRPr="00BA6B82">
        <w:t xml:space="preserve"> рождения, "третий автор"), Дарин (1978 год</w:t>
      </w:r>
      <w:r w:rsidR="0070712A">
        <w:t>а</w:t>
      </w:r>
      <w:r w:rsidRPr="00BA6B82">
        <w:t xml:space="preserve"> рождения, "четвертый автор"), Амель (1980 год</w:t>
      </w:r>
      <w:r w:rsidR="0070712A">
        <w:t>а</w:t>
      </w:r>
      <w:r w:rsidRPr="00BA6B82">
        <w:t xml:space="preserve"> рождения, "пятый автор") и Эман (1984 год</w:t>
      </w:r>
      <w:r w:rsidR="0070712A">
        <w:t>а</w:t>
      </w:r>
      <w:r w:rsidRPr="00BA6B82">
        <w:t xml:space="preserve"> рождения, "шестой автор"). Они утверждают, что Л</w:t>
      </w:r>
      <w:r w:rsidRPr="00BA6B82">
        <w:t>и</w:t>
      </w:r>
      <w:r w:rsidRPr="00BA6B82">
        <w:t xml:space="preserve">вия нарушила в их отношении пункт 1 статьи 2, </w:t>
      </w:r>
      <w:r w:rsidR="0070712A">
        <w:t xml:space="preserve">а также </w:t>
      </w:r>
      <w:r w:rsidRPr="00BA6B82">
        <w:t>статьи 3, 7, 9, 12, 17, 23 и 26 Пакта. Они представлены адвокатом. Факультативный протокол всту</w:t>
      </w:r>
      <w:r w:rsidR="00A97090">
        <w:t>пил в</w:t>
      </w:r>
      <w:r w:rsidR="00A97090">
        <w:rPr>
          <w:lang w:val="en-US"/>
        </w:rPr>
        <w:t> </w:t>
      </w:r>
      <w:r w:rsidRPr="00BA6B82">
        <w:t>силу для г</w:t>
      </w:r>
      <w:r w:rsidRPr="00BA6B82">
        <w:t>о</w:t>
      </w:r>
      <w:r w:rsidRPr="00BA6B82">
        <w:t>сударства-участника 16 мая 1989 года.</w:t>
      </w:r>
    </w:p>
    <w:p w:rsidR="00BA6B82" w:rsidRPr="00BA6B82" w:rsidRDefault="00BA6B82" w:rsidP="00BA6B82">
      <w:pPr>
        <w:pStyle w:val="H23GR"/>
      </w:pPr>
      <w:r>
        <w:tab/>
      </w:r>
      <w:r>
        <w:tab/>
      </w:r>
      <w:r w:rsidRPr="00BA6B82">
        <w:t>Факты в изложении автора</w:t>
      </w:r>
    </w:p>
    <w:p w:rsidR="00BA6B82" w:rsidRPr="00193685" w:rsidRDefault="0070712A" w:rsidP="00BA6B82">
      <w:pPr>
        <w:pStyle w:val="SingleTxtGR"/>
      </w:pPr>
      <w:r>
        <w:t>2.1</w:t>
      </w:r>
      <w:r>
        <w:tab/>
        <w:t>Члены семьи э</w:t>
      </w:r>
      <w:r w:rsidR="00BA6B82" w:rsidRPr="00BA6B82">
        <w:t>ль-</w:t>
      </w:r>
      <w:r>
        <w:t>Хагог</w:t>
      </w:r>
      <w:r w:rsidR="00BA6B82" w:rsidRPr="00BA6B82">
        <w:t xml:space="preserve"> являются лицами без гражданства палестинского происхождения, которые проживали в Египте в 1962−1972 годах, а затем обо</w:t>
      </w:r>
      <w:r w:rsidR="00BA6B82" w:rsidRPr="00BA6B82">
        <w:t>с</w:t>
      </w:r>
      <w:r w:rsidR="00BA6B82" w:rsidRPr="00BA6B82">
        <w:t>новались в Ливии в 1972 году после того, как Ахмеду Джума</w:t>
      </w:r>
      <w:r>
        <w:t>а э</w:t>
      </w:r>
      <w:r w:rsidR="00BA6B82" w:rsidRPr="00BA6B82">
        <w:t>ль-</w:t>
      </w:r>
      <w:r>
        <w:t>Хагогу</w:t>
      </w:r>
      <w:r w:rsidR="00BA6B82" w:rsidRPr="00BA6B82">
        <w:t>, пе</w:t>
      </w:r>
      <w:r w:rsidR="00BA6B82" w:rsidRPr="00BA6B82">
        <w:t>р</w:t>
      </w:r>
      <w:r w:rsidR="00BA6B82" w:rsidRPr="00BA6B82">
        <w:t>вому автору, был предложен контракт на работу в качестве учителя матем</w:t>
      </w:r>
      <w:r w:rsidR="00BA6B82" w:rsidRPr="00BA6B82">
        <w:t>а</w:t>
      </w:r>
      <w:r w:rsidR="00BA6B82" w:rsidRPr="00BA6B82">
        <w:t>тики в Тархуне.</w:t>
      </w:r>
      <w:r w:rsidR="00511C11">
        <w:t xml:space="preserve"> </w:t>
      </w:r>
      <w:r w:rsidR="00BA6B82" w:rsidRPr="00BA6B82">
        <w:t>Члены семьи проживали в Ливии до 2005 года, после чего они пол</w:t>
      </w:r>
      <w:r w:rsidR="00BA6B82" w:rsidRPr="00BA6B82">
        <w:t>у</w:t>
      </w:r>
      <w:r w:rsidR="00BA6B82" w:rsidRPr="00BA6B82">
        <w:t>чили статус беженцев в Нидерландах, где они живут в настоящее время. Пе</w:t>
      </w:r>
      <w:r w:rsidR="00BA6B82" w:rsidRPr="00BA6B82">
        <w:t>р</w:t>
      </w:r>
      <w:r w:rsidR="00BA6B82" w:rsidRPr="00BA6B82">
        <w:t>вый и второй авторы являются родителями Ашрафа эль-Хагога, палести</w:t>
      </w:r>
      <w:r w:rsidR="00BA6B82" w:rsidRPr="00BA6B82">
        <w:t>н</w:t>
      </w:r>
      <w:r w:rsidR="00BA6B82" w:rsidRPr="00BA6B82">
        <w:t xml:space="preserve">ского </w:t>
      </w:r>
      <w:r w:rsidR="00193685">
        <w:t>врача</w:t>
      </w:r>
      <w:r w:rsidR="00BA6B82" w:rsidRPr="00BA6B82">
        <w:t>, арестованного 29 января 1999 года по обвинению в совершении предн</w:t>
      </w:r>
      <w:r w:rsidR="00BA6B82" w:rsidRPr="00BA6B82">
        <w:t>а</w:t>
      </w:r>
      <w:r w:rsidR="00BA6B82" w:rsidRPr="00BA6B82">
        <w:t>меренного убийства и в заражении 393 детей ВИЧ</w:t>
      </w:r>
      <w:r w:rsidR="00193685">
        <w:t>/СПИДом</w:t>
      </w:r>
      <w:r w:rsidR="00BA6B82" w:rsidRPr="00BA6B82">
        <w:t xml:space="preserve"> в </w:t>
      </w:r>
      <w:r w:rsidR="00193685">
        <w:t>детской</w:t>
      </w:r>
      <w:r w:rsidR="00BA6B82" w:rsidRPr="00BA6B82">
        <w:t xml:space="preserve"> больни</w:t>
      </w:r>
      <w:r w:rsidR="00193685">
        <w:t>це Аль-Фа</w:t>
      </w:r>
      <w:r w:rsidR="00BA6B82" w:rsidRPr="00BA6B82">
        <w:t xml:space="preserve">тах вместе с пятью </w:t>
      </w:r>
      <w:r w:rsidR="00193685">
        <w:t>со</w:t>
      </w:r>
      <w:r w:rsidR="00BA6B82" w:rsidRPr="00BA6B82">
        <w:t>обвиняемыми болгарскими медсе</w:t>
      </w:r>
      <w:r w:rsidR="00193685">
        <w:t>страми</w:t>
      </w:r>
      <w:r w:rsidR="00BA6B82" w:rsidRPr="00A97090">
        <w:rPr>
          <w:rStyle w:val="FootnoteReference"/>
        </w:rPr>
        <w:footnoteReference w:id="2"/>
      </w:r>
      <w:r w:rsidR="00BA6B82" w:rsidRPr="00BA6B82">
        <w:t>.</w:t>
      </w:r>
    </w:p>
    <w:p w:rsidR="00BA6B82" w:rsidRPr="00BA6B82" w:rsidRDefault="00BA6B82" w:rsidP="00BA6B82">
      <w:pPr>
        <w:pStyle w:val="SingleTxtGR"/>
      </w:pPr>
      <w:r w:rsidRPr="00BA6B82">
        <w:t>2.2</w:t>
      </w:r>
      <w:r w:rsidRPr="00BA6B82">
        <w:tab/>
        <w:t>Авторы утверждают, что после ареста Ашрафа эль-Хагога они были п</w:t>
      </w:r>
      <w:r w:rsidRPr="00BA6B82">
        <w:t>о</w:t>
      </w:r>
      <w:r w:rsidRPr="00BA6B82">
        <w:t>мещены под постоянное наблюдение. Они регулярно подвергались слежке, з</w:t>
      </w:r>
      <w:r w:rsidRPr="00BA6B82">
        <w:t>а</w:t>
      </w:r>
      <w:r w:rsidRPr="00BA6B82">
        <w:t>пугиваниям, угрозам, отказу в предоставлении медицинской помощи и пресл</w:t>
      </w:r>
      <w:r w:rsidRPr="00BA6B82">
        <w:t>е</w:t>
      </w:r>
      <w:r w:rsidRPr="00BA6B82">
        <w:t>дованию, в частности со стороны секретных служб Ливии, которые обвиняли их, хотя и неофициально, в со</w:t>
      </w:r>
      <w:r w:rsidR="00193685">
        <w:t>тр</w:t>
      </w:r>
      <w:r w:rsidRPr="00BA6B82">
        <w:t>удничестве с секретными службами Соедине</w:t>
      </w:r>
      <w:r w:rsidRPr="00BA6B82">
        <w:t>н</w:t>
      </w:r>
      <w:r w:rsidRPr="00BA6B82">
        <w:t>ных Штатов Америки и Израиля. Авторы</w:t>
      </w:r>
      <w:r w:rsidR="009660DE" w:rsidRPr="009660DE">
        <w:t xml:space="preserve"> </w:t>
      </w:r>
      <w:r w:rsidR="009660DE" w:rsidRPr="00BA6B82">
        <w:t>подчеркивают</w:t>
      </w:r>
      <w:r w:rsidRPr="00BA6B82">
        <w:t xml:space="preserve"> также, что на</w:t>
      </w:r>
      <w:r w:rsidR="00A97090">
        <w:t>чиная с</w:t>
      </w:r>
      <w:r w:rsidR="00A97090">
        <w:rPr>
          <w:lang w:val="en-US"/>
        </w:rPr>
        <w:t> </w:t>
      </w:r>
      <w:r w:rsidRPr="00BA6B82">
        <w:t>1994 года в связи с экономическими трудностями ливийские власти начали оказывать давление на палестинскую общину в Ливии, угрожая ее членам пр</w:t>
      </w:r>
      <w:r w:rsidRPr="00BA6B82">
        <w:t>и</w:t>
      </w:r>
      <w:r w:rsidRPr="00BA6B82">
        <w:t>нудительной депортацией, а также разжига</w:t>
      </w:r>
      <w:r w:rsidR="009660DE">
        <w:t>я</w:t>
      </w:r>
      <w:r w:rsidRPr="00BA6B82">
        <w:t xml:space="preserve"> вражду между ливийским н</w:t>
      </w:r>
      <w:r w:rsidRPr="00BA6B82">
        <w:t>а</w:t>
      </w:r>
      <w:r w:rsidRPr="00BA6B82">
        <w:t>родом и палестинской общиной. Авторы утверждают, что впоследствии они страдали от дискриминации и враждебности и начиная с 1995 года сталкивались с пр</w:t>
      </w:r>
      <w:r w:rsidRPr="00BA6B82">
        <w:t>о</w:t>
      </w:r>
      <w:r w:rsidRPr="00BA6B82">
        <w:t>блемами при обновлении их вида на жительство, хотя первый автор имел вид на жительство с 1972 года, когда он был нанят в качестве учителя. Будучи обесп</w:t>
      </w:r>
      <w:r w:rsidRPr="00BA6B82">
        <w:t>о</w:t>
      </w:r>
      <w:r w:rsidRPr="00BA6B82">
        <w:t>коены тем, что их паспорта будут изъяты, авторы реш</w:t>
      </w:r>
      <w:r w:rsidRPr="00BA6B82">
        <w:t>и</w:t>
      </w:r>
      <w:r w:rsidRPr="00BA6B82">
        <w:t>ли сдать их на хранение в посольство Палестины. Всякий раз, когда авторов просили предъявить па</w:t>
      </w:r>
      <w:r w:rsidRPr="00BA6B82">
        <w:t>с</w:t>
      </w:r>
      <w:r w:rsidRPr="00BA6B82">
        <w:t xml:space="preserve">порта, они показывали </w:t>
      </w:r>
      <w:r w:rsidR="009660DE">
        <w:t xml:space="preserve">их </w:t>
      </w:r>
      <w:r w:rsidRPr="00BA6B82">
        <w:t xml:space="preserve">копии. Они утверждают, что </w:t>
      </w:r>
      <w:r w:rsidR="009660DE">
        <w:t xml:space="preserve">иначе </w:t>
      </w:r>
      <w:r w:rsidRPr="00BA6B82">
        <w:t>их паспорта были бы конфискованы и что они не были бы в состоянии покинуть страну, как это случилось с другими иностранцами в Ливии</w:t>
      </w:r>
      <w:r w:rsidRPr="00A97090">
        <w:rPr>
          <w:rStyle w:val="FootnoteReference"/>
        </w:rPr>
        <w:footnoteReference w:id="3"/>
      </w:r>
      <w:r w:rsidRPr="00BA6B82">
        <w:t>.</w:t>
      </w:r>
    </w:p>
    <w:p w:rsidR="00BA6B82" w:rsidRDefault="008B5344" w:rsidP="00BA6B82">
      <w:pPr>
        <w:pStyle w:val="SingleTxtGR"/>
      </w:pPr>
      <w:r>
        <w:t>2.3</w:t>
      </w:r>
      <w:r w:rsidR="00BA6B82" w:rsidRPr="00BA6B82">
        <w:tab/>
        <w:t>Авторы подчеркивают, что ливийск</w:t>
      </w:r>
      <w:r w:rsidR="001B0604">
        <w:t>ой "Хартией</w:t>
      </w:r>
      <w:r w:rsidR="00BA6B82" w:rsidRPr="00BA6B82">
        <w:t xml:space="preserve"> чести" − закон</w:t>
      </w:r>
      <w:r w:rsidR="001B0604">
        <w:t>ом</w:t>
      </w:r>
      <w:r w:rsidR="00BA6B82" w:rsidRPr="00BA6B82">
        <w:t>, прин</w:t>
      </w:r>
      <w:r w:rsidR="00BA6B82" w:rsidRPr="00BA6B82">
        <w:t>я</w:t>
      </w:r>
      <w:r w:rsidR="001B0604">
        <w:t>тым</w:t>
      </w:r>
      <w:r w:rsidR="00BA6B82" w:rsidRPr="00BA6B82">
        <w:t xml:space="preserve"> Высшим народным комитетом в 1997 году, − </w:t>
      </w:r>
      <w:r w:rsidR="001B0604">
        <w:t>было введено</w:t>
      </w:r>
      <w:r w:rsidR="00BA6B82" w:rsidRPr="00BA6B82">
        <w:t xml:space="preserve"> понятие колле</w:t>
      </w:r>
      <w:r w:rsidR="00BA6B82" w:rsidRPr="00BA6B82">
        <w:t>к</w:t>
      </w:r>
      <w:r w:rsidR="00BA6B82" w:rsidRPr="00BA6B82">
        <w:t>тивной ответственности</w:t>
      </w:r>
      <w:r w:rsidR="00BA6B82" w:rsidRPr="00A97090">
        <w:rPr>
          <w:rStyle w:val="FootnoteReference"/>
        </w:rPr>
        <w:footnoteReference w:id="4"/>
      </w:r>
      <w:r w:rsidR="00BA6B82" w:rsidRPr="00BA6B82">
        <w:t xml:space="preserve">. В соответствии с этим законом после ареста какого-либо лица члены его семьи лишаются </w:t>
      </w:r>
      <w:r w:rsidR="001B0604">
        <w:t xml:space="preserve">права на получение </w:t>
      </w:r>
      <w:r w:rsidR="00BA6B82" w:rsidRPr="00BA6B82">
        <w:t>государственных у</w:t>
      </w:r>
      <w:r w:rsidR="00BA6B82" w:rsidRPr="00BA6B82">
        <w:t>с</w:t>
      </w:r>
      <w:r w:rsidR="00BA6B82" w:rsidRPr="00BA6B82">
        <w:t>луг и выселяются из их дома, который затем подлежит сносу. В со</w:t>
      </w:r>
      <w:r w:rsidR="00A97090">
        <w:t>ответствии с</w:t>
      </w:r>
      <w:r w:rsidR="00A97090">
        <w:rPr>
          <w:lang w:val="en-US"/>
        </w:rPr>
        <w:t> </w:t>
      </w:r>
      <w:r w:rsidR="00BA6B82" w:rsidRPr="00BA6B82">
        <w:t>этим же законом членам семьи арестован</w:t>
      </w:r>
      <w:r w:rsidR="00A97090">
        <w:t>ного лица может быть отказано в</w:t>
      </w:r>
      <w:r w:rsidR="00A97090">
        <w:rPr>
          <w:lang w:val="en-US"/>
        </w:rPr>
        <w:t> </w:t>
      </w:r>
      <w:r w:rsidR="00BA6B82" w:rsidRPr="00BA6B82">
        <w:t>д</w:t>
      </w:r>
      <w:r w:rsidR="00BA6B82" w:rsidRPr="00BA6B82">
        <w:t>о</w:t>
      </w:r>
      <w:r w:rsidR="00BA6B82" w:rsidRPr="00BA6B82">
        <w:t>ступе к государственным услугам, например электро- и водоснабжению и тел</w:t>
      </w:r>
      <w:r w:rsidR="00BA6B82" w:rsidRPr="00BA6B82">
        <w:t>е</w:t>
      </w:r>
      <w:r w:rsidR="00BA6B82" w:rsidRPr="00BA6B82">
        <w:t>фонной связи, а также в доступе к продовольствию, социальным пособиям или основным административным услугам. Согласно этому закону "лица, зан</w:t>
      </w:r>
      <w:r w:rsidR="00BA6B82" w:rsidRPr="00BA6B82">
        <w:t>и</w:t>
      </w:r>
      <w:r w:rsidR="00BA6B82" w:rsidRPr="00BA6B82">
        <w:t>мающиеся деятельностью или демонстрирующие поведение, которые могут быть охарактеризованы как предательство, ересь и</w:t>
      </w:r>
      <w:r w:rsidR="001B0604">
        <w:t>ли</w:t>
      </w:r>
      <w:r w:rsidR="00BA6B82" w:rsidRPr="00BA6B82">
        <w:t xml:space="preserve"> коррупция в любой фо</w:t>
      </w:r>
      <w:r w:rsidR="00BA6B82" w:rsidRPr="00BA6B82">
        <w:t>р</w:t>
      </w:r>
      <w:r w:rsidR="00BA6B82" w:rsidRPr="00BA6B82">
        <w:t>ме, поощряющие такую деятельность или такое поведение, предоставляющие приют любому физическому лицу или группе</w:t>
      </w:r>
      <w:r w:rsidR="001B0604">
        <w:t xml:space="preserve"> лиц</w:t>
      </w:r>
      <w:r w:rsidR="00BA6B82" w:rsidRPr="00BA6B82">
        <w:t>, занимающимся такой де</w:t>
      </w:r>
      <w:r w:rsidR="00BA6B82" w:rsidRPr="00BA6B82">
        <w:t>я</w:t>
      </w:r>
      <w:r w:rsidR="00BA6B82" w:rsidRPr="00BA6B82">
        <w:t xml:space="preserve">тельностью или демонстрирующим такое поведение, или защищающие такое лицо или такую группу </w:t>
      </w:r>
      <w:r w:rsidR="00802B5C">
        <w:t xml:space="preserve">лиц </w:t>
      </w:r>
      <w:r w:rsidR="00BA6B82" w:rsidRPr="00BA6B82">
        <w:t>(…)," являются преступниками. Ашраф эль-Хагог был в первую очередь обвинен в действиях, направленных против безопасности государства, что является одной из форм предательства. Наказание за пред</w:t>
      </w:r>
      <w:r w:rsidR="00BA6B82" w:rsidRPr="00BA6B82">
        <w:t>а</w:t>
      </w:r>
      <w:r w:rsidR="00BA6B82" w:rsidRPr="00BA6B82">
        <w:t>тельство</w:t>
      </w:r>
      <w:r w:rsidR="00802B5C" w:rsidRPr="00802B5C">
        <w:t xml:space="preserve"> </w:t>
      </w:r>
      <w:r w:rsidR="00802B5C" w:rsidRPr="00BA6B82">
        <w:t>распространяется</w:t>
      </w:r>
      <w:r w:rsidR="00BA6B82" w:rsidRPr="00BA6B82">
        <w:t xml:space="preserve"> также на семью лица, подозреваемого в совершении таких действий. Авторы добавляют, что подача электроэнергии в их дом пр</w:t>
      </w:r>
      <w:r w:rsidR="00BA6B82" w:rsidRPr="00BA6B82">
        <w:t>е</w:t>
      </w:r>
      <w:r w:rsidR="00BA6B82" w:rsidRPr="00BA6B82">
        <w:t>кратилась в мае 2004 года</w:t>
      </w:r>
      <w:r w:rsidR="00BA6B82" w:rsidRPr="00A97090">
        <w:rPr>
          <w:rStyle w:val="FootnoteReference"/>
        </w:rPr>
        <w:footnoteReference w:id="5"/>
      </w:r>
      <w:r w:rsidR="00BA6B82" w:rsidRPr="00BA6B82">
        <w:t xml:space="preserve"> и что ливийские власти преднамеренно принимали меры, направленные на то, чтобы постоянно держать их в состоянии страха, н</w:t>
      </w:r>
      <w:r w:rsidR="00BA6B82" w:rsidRPr="00BA6B82">
        <w:t>а</w:t>
      </w:r>
      <w:r w:rsidR="00BA6B82" w:rsidRPr="00BA6B82">
        <w:t>значив для этой цели спец</w:t>
      </w:r>
      <w:r w:rsidR="00BA6B82" w:rsidRPr="00BA6B82">
        <w:t>и</w:t>
      </w:r>
      <w:r w:rsidR="00BA6B82" w:rsidRPr="00BA6B82">
        <w:t>альную группу по уголовному расследованию</w:t>
      </w:r>
      <w:r w:rsidR="00BA6B82" w:rsidRPr="00A97090">
        <w:rPr>
          <w:rStyle w:val="FootnoteReference"/>
        </w:rPr>
        <w:footnoteReference w:id="6"/>
      </w:r>
      <w:r w:rsidR="00802B5C">
        <w:t>.</w:t>
      </w:r>
    </w:p>
    <w:p w:rsidR="00EB4C35" w:rsidRPr="001C6401" w:rsidRDefault="00EB4C35" w:rsidP="00E0085E">
      <w:pPr>
        <w:pStyle w:val="SingleTxtGR"/>
      </w:pPr>
      <w:r w:rsidRPr="001C6401">
        <w:t>2.4</w:t>
      </w:r>
      <w:r w:rsidRPr="001C6401">
        <w:tab/>
        <w:t>После ареста</w:t>
      </w:r>
      <w:r>
        <w:t>, а затем</w:t>
      </w:r>
      <w:r w:rsidRPr="001C6401">
        <w:t xml:space="preserve"> исчезновения Ашрафа эль-Хагога Джумаа в январе 1999 года авторы активно добивались </w:t>
      </w:r>
      <w:r>
        <w:t xml:space="preserve">получения </w:t>
      </w:r>
      <w:r w:rsidRPr="001C6401">
        <w:t>информации о его местонах</w:t>
      </w:r>
      <w:r w:rsidRPr="001C6401">
        <w:t>о</w:t>
      </w:r>
      <w:r w:rsidRPr="001C6401">
        <w:t>ждении. Они навели справки в полиции, сообщили о его исчезновении и напр</w:t>
      </w:r>
      <w:r w:rsidRPr="001C6401">
        <w:t>а</w:t>
      </w:r>
      <w:r w:rsidRPr="001C6401">
        <w:t xml:space="preserve">вили несколько сообщений ливийским властям. Они ссылаются на письмо </w:t>
      </w:r>
      <w:r>
        <w:t xml:space="preserve">из </w:t>
      </w:r>
      <w:r w:rsidRPr="001C6401">
        <w:t>прокуратуры от 29 июня 1999 года, строго запрещающее</w:t>
      </w:r>
      <w:r>
        <w:t xml:space="preserve"> иметь любой контакт с </w:t>
      </w:r>
      <w:r w:rsidRPr="001C6401">
        <w:t xml:space="preserve">лицами, подозреваемыми по делу пяти болгарских </w:t>
      </w:r>
      <w:r>
        <w:t>мед</w:t>
      </w:r>
      <w:r w:rsidRPr="001C6401">
        <w:t>сестер и Ашрафа эль-Хагога</w:t>
      </w:r>
      <w:r w:rsidRPr="00365BA0">
        <w:rPr>
          <w:rStyle w:val="FootnoteReference"/>
        </w:rPr>
        <w:footnoteReference w:id="7"/>
      </w:r>
      <w:r w:rsidRPr="001C6401">
        <w:t>. В течение десяти месяцев авторам отказывали в контакте с их родс</w:t>
      </w:r>
      <w:r w:rsidRPr="001C6401">
        <w:t>т</w:t>
      </w:r>
      <w:r w:rsidRPr="001C6401">
        <w:t>венником и ничего не сооб</w:t>
      </w:r>
      <w:r>
        <w:t>щали о его местонахождении. Затем с</w:t>
      </w:r>
      <w:r w:rsidRPr="001C6401">
        <w:t>емья была пр</w:t>
      </w:r>
      <w:r w:rsidRPr="001C6401">
        <w:t>о</w:t>
      </w:r>
      <w:r w:rsidRPr="001C6401">
        <w:t xml:space="preserve">информирована о том, что Ашраф эль-Хагог был повешен. </w:t>
      </w:r>
    </w:p>
    <w:p w:rsidR="00EB4C35" w:rsidRPr="001C6401" w:rsidRDefault="00EB4C35" w:rsidP="00E0085E">
      <w:pPr>
        <w:pStyle w:val="SingleTxtGR"/>
      </w:pPr>
      <w:r w:rsidRPr="001C6401">
        <w:t>2.5</w:t>
      </w:r>
      <w:r w:rsidRPr="001C6401">
        <w:tab/>
        <w:t>30 ноября 1999 года чрезвычайный прокурор по преступлениям против государства вызвал первого автора в Триполи без объяснения причин. По пр</w:t>
      </w:r>
      <w:r w:rsidRPr="001C6401">
        <w:t>и</w:t>
      </w:r>
      <w:r w:rsidRPr="001C6401">
        <w:t>бытии первый автор был проинформирован о том, что его сын Ашраф жив и н</w:t>
      </w:r>
      <w:r w:rsidRPr="001C6401">
        <w:t>а</w:t>
      </w:r>
      <w:r w:rsidRPr="001C6401">
        <w:t xml:space="preserve">ходится под стражей в тюрьме Джадида в Триполи. </w:t>
      </w:r>
      <w:r>
        <w:t>Родственникам</w:t>
      </w:r>
      <w:r w:rsidRPr="001C6401">
        <w:t xml:space="preserve"> разрешили увидеть</w:t>
      </w:r>
      <w:r>
        <w:t>ся с ним, и во время посещений</w:t>
      </w:r>
      <w:r w:rsidRPr="001C6401">
        <w:t xml:space="preserve"> за ними пристально следили пять во</w:t>
      </w:r>
      <w:r w:rsidRPr="001C6401">
        <w:t>о</w:t>
      </w:r>
      <w:r w:rsidRPr="001C6401">
        <w:t xml:space="preserve">руженных </w:t>
      </w:r>
      <w:r>
        <w:t>надзирателей</w:t>
      </w:r>
      <w:r w:rsidRPr="001C6401">
        <w:t xml:space="preserve">. Однако во время одного из таких </w:t>
      </w:r>
      <w:r>
        <w:t>посещений</w:t>
      </w:r>
      <w:r w:rsidRPr="001C6401">
        <w:t xml:space="preserve"> Ашрафу эль-Хагогу удалось передать первому автору записную книжку, в которой оп</w:t>
      </w:r>
      <w:r w:rsidRPr="001C6401">
        <w:t>и</w:t>
      </w:r>
      <w:r w:rsidRPr="001C6401">
        <w:t>сывалось, как с ним обращались в тюрьме. Когда авторы отправились домой, за ними последовали полицейские, которые арестовали их и подвергли обыску. Полицейские нашли у первого автора записную книжку, после чего они обв</w:t>
      </w:r>
      <w:r w:rsidRPr="001C6401">
        <w:t>и</w:t>
      </w:r>
      <w:r w:rsidRPr="001C6401">
        <w:t xml:space="preserve">нили его в том, что он пытался помочь сыну бежать, и пригрозили ему </w:t>
      </w:r>
      <w:r>
        <w:t>тюре</w:t>
      </w:r>
      <w:r>
        <w:t>м</w:t>
      </w:r>
      <w:r>
        <w:t>ным заключением</w:t>
      </w:r>
      <w:r w:rsidRPr="001C6401">
        <w:t>. Впоследствии права семьи на свидания были ограничены одним посещением в месяц по предварительному разрешению и в присутствии не м</w:t>
      </w:r>
      <w:r w:rsidRPr="001C6401">
        <w:t>е</w:t>
      </w:r>
      <w:r w:rsidRPr="001C6401">
        <w:t xml:space="preserve">нее пяти вооруженных </w:t>
      </w:r>
      <w:r>
        <w:t>надзирателей</w:t>
      </w:r>
      <w:r w:rsidRPr="001C6401">
        <w:t xml:space="preserve">. </w:t>
      </w:r>
    </w:p>
    <w:p w:rsidR="00EB4C35" w:rsidRPr="001C6401" w:rsidRDefault="00EB4C35" w:rsidP="00E0085E">
      <w:pPr>
        <w:pStyle w:val="SingleTxtGR"/>
      </w:pPr>
      <w:r w:rsidRPr="001C6401">
        <w:t>2.6</w:t>
      </w:r>
      <w:r w:rsidRPr="001C6401">
        <w:tab/>
      </w:r>
      <w:r>
        <w:t>Когда Ашраф эль-Хагог находился в заключении с лишением</w:t>
      </w:r>
      <w:r w:rsidRPr="001C6401">
        <w:t xml:space="preserve"> права пер</w:t>
      </w:r>
      <w:r w:rsidRPr="001C6401">
        <w:t>е</w:t>
      </w:r>
      <w:r w:rsidRPr="001C6401">
        <w:t>писки и общения</w:t>
      </w:r>
      <w:r>
        <w:t>, а</w:t>
      </w:r>
      <w:r w:rsidRPr="001C6401">
        <w:t xml:space="preserve"> первый автор пытался установить место нахождения сына, </w:t>
      </w:r>
      <w:r>
        <w:t>он</w:t>
      </w:r>
      <w:r w:rsidRPr="001C6401">
        <w:t>, как сообщается, оказался участником двух серьезных д</w:t>
      </w:r>
      <w:r w:rsidRPr="001C6401">
        <w:t>о</w:t>
      </w:r>
      <w:r w:rsidRPr="001C6401">
        <w:t>рожно-транспортных происшествий, соответственно 6 февраля и 16 апреля 1999 года, которые, как он считает, были умышленно спровоцированы ливийскими вл</w:t>
      </w:r>
      <w:r w:rsidRPr="001C6401">
        <w:t>а</w:t>
      </w:r>
      <w:r w:rsidRPr="001C6401">
        <w:t xml:space="preserve">стями. В обоих происшествиях первый автор </w:t>
      </w:r>
      <w:r>
        <w:t>получил</w:t>
      </w:r>
      <w:r w:rsidRPr="001C6401">
        <w:t xml:space="preserve"> несколько травм, которые потребовали его госпитализации и лишили его возможности ходит</w:t>
      </w:r>
      <w:r>
        <w:t>ь</w:t>
      </w:r>
      <w:r w:rsidRPr="001C6401">
        <w:t xml:space="preserve"> в течение нескольких недель. Вторая автомобильная авария произошла 16 апреля 1999 г</w:t>
      </w:r>
      <w:r w:rsidRPr="001C6401">
        <w:t>о</w:t>
      </w:r>
      <w:r w:rsidRPr="001C6401">
        <w:t>да, когда первый автор направлялся к своей дочери Абир эль-Хагог (третий а</w:t>
      </w:r>
      <w:r w:rsidRPr="001C6401">
        <w:t>в</w:t>
      </w:r>
      <w:r w:rsidRPr="001C6401">
        <w:t>тор), проживавшей в студенческом общежитии Аль-Карнадж в Триполи. Также 16 апреля 1999 года</w:t>
      </w:r>
      <w:r>
        <w:t>,</w:t>
      </w:r>
      <w:r w:rsidRPr="001C6401">
        <w:t xml:space="preserve"> поздно вечером</w:t>
      </w:r>
      <w:r>
        <w:t>,</w:t>
      </w:r>
      <w:r w:rsidRPr="001C6401">
        <w:t xml:space="preserve"> к воротам студенческого общежития на военной машине в сопровождении нескольких подчиненных</w:t>
      </w:r>
      <w:r w:rsidRPr="00383547">
        <w:t xml:space="preserve"> </w:t>
      </w:r>
      <w:r w:rsidRPr="001C6401">
        <w:t>подъехал подпо</w:t>
      </w:r>
      <w:r w:rsidRPr="001C6401">
        <w:t>л</w:t>
      </w:r>
      <w:r w:rsidRPr="001C6401">
        <w:t>ковник Д.А.М</w:t>
      </w:r>
      <w:r>
        <w:t>.</w:t>
      </w:r>
      <w:r w:rsidRPr="00365BA0">
        <w:rPr>
          <w:rStyle w:val="FootnoteReference"/>
        </w:rPr>
        <w:footnoteReference w:id="8"/>
      </w:r>
      <w:r w:rsidRPr="001C6401">
        <w:t xml:space="preserve"> и, вызвав коменданта общежития, потребовал </w:t>
      </w:r>
      <w:r>
        <w:t>доставить</w:t>
      </w:r>
      <w:r w:rsidRPr="001C6401">
        <w:t xml:space="preserve"> к нему Абир эль-Хагог (третий автор), сообщив, что он </w:t>
      </w:r>
      <w:r>
        <w:t>приходится ей</w:t>
      </w:r>
      <w:r w:rsidRPr="001C6401">
        <w:t xml:space="preserve"> родственником. Комендант общежития не подчинился</w:t>
      </w:r>
      <w:r>
        <w:t xml:space="preserve"> этому требованию</w:t>
      </w:r>
      <w:r w:rsidRPr="001C6401">
        <w:t xml:space="preserve">. Авторы отмечают, что впоследствии они были </w:t>
      </w:r>
      <w:r>
        <w:t>про</w:t>
      </w:r>
      <w:r w:rsidRPr="001C6401">
        <w:t>информированы Ашрафом эль-Хагогом о том, что подполковник Д.А.М. угрожал ему тем, что он похитит Абир эль-Хагог и изн</w:t>
      </w:r>
      <w:r w:rsidRPr="001C6401">
        <w:t>а</w:t>
      </w:r>
      <w:r w:rsidRPr="001C6401">
        <w:t>силует ее у него на глазах, если он не подпишет ложные показания</w:t>
      </w:r>
      <w:r>
        <w:t xml:space="preserve"> с признан</w:t>
      </w:r>
      <w:r>
        <w:t>и</w:t>
      </w:r>
      <w:r>
        <w:t xml:space="preserve">ем </w:t>
      </w:r>
      <w:r w:rsidRPr="001C6401">
        <w:t>выдвинуты</w:t>
      </w:r>
      <w:r>
        <w:t>х</w:t>
      </w:r>
      <w:r w:rsidRPr="001C6401">
        <w:t xml:space="preserve"> против него о</w:t>
      </w:r>
      <w:r w:rsidRPr="001C6401">
        <w:t>б</w:t>
      </w:r>
      <w:r w:rsidRPr="001C6401">
        <w:t>винени</w:t>
      </w:r>
      <w:r>
        <w:t>й</w:t>
      </w:r>
      <w:r w:rsidRPr="001C6401">
        <w:t xml:space="preserve">. </w:t>
      </w:r>
    </w:p>
    <w:p w:rsidR="00EB4C35" w:rsidRPr="001C6401" w:rsidRDefault="00EB4C35" w:rsidP="00E0085E">
      <w:pPr>
        <w:pStyle w:val="SingleTxtGR"/>
      </w:pPr>
      <w:r w:rsidRPr="001C6401">
        <w:t>2.7</w:t>
      </w:r>
      <w:r w:rsidRPr="001C6401">
        <w:tab/>
        <w:t>После второй госпитализации на первого автора, возвращавшегося д</w:t>
      </w:r>
      <w:r w:rsidRPr="001C6401">
        <w:t>о</w:t>
      </w:r>
      <w:r w:rsidRPr="001C6401">
        <w:t>мой, попыталась наехать красная машина с пассажиром</w:t>
      </w:r>
      <w:r>
        <w:t>, и это</w:t>
      </w:r>
      <w:r w:rsidRPr="001C6401">
        <w:t xml:space="preserve"> происшествие, по его мнению, также было спровоцировано властями. </w:t>
      </w:r>
    </w:p>
    <w:p w:rsidR="00EB4C35" w:rsidRPr="001C6401" w:rsidRDefault="00EB4C35" w:rsidP="00E0085E">
      <w:pPr>
        <w:pStyle w:val="SingleTxtGR"/>
      </w:pPr>
      <w:r w:rsidRPr="001C6401">
        <w:t>2.8</w:t>
      </w:r>
      <w:r w:rsidRPr="001C6401">
        <w:tab/>
        <w:t>В 2001 году договор о работе в качестве учителя математики</w:t>
      </w:r>
      <w:r>
        <w:t>,</w:t>
      </w:r>
      <w:r w:rsidRPr="001C6401">
        <w:t xml:space="preserve"> заключе</w:t>
      </w:r>
      <w:r w:rsidRPr="001C6401">
        <w:t>н</w:t>
      </w:r>
      <w:r w:rsidRPr="001C6401">
        <w:t>ный первым автором</w:t>
      </w:r>
      <w:r>
        <w:t xml:space="preserve">, </w:t>
      </w:r>
      <w:r w:rsidRPr="001C6401">
        <w:t xml:space="preserve">был внезапно расторгнут. </w:t>
      </w:r>
      <w:r>
        <w:t>Первый автор</w:t>
      </w:r>
      <w:r w:rsidRPr="001C6401">
        <w:t xml:space="preserve"> был вынужден обратиться в различные государственные учреждения и ведомства</w:t>
      </w:r>
      <w:r w:rsidRPr="00365BA0">
        <w:rPr>
          <w:rStyle w:val="FootnoteReference"/>
        </w:rPr>
        <w:footnoteReference w:id="9"/>
      </w:r>
      <w:r w:rsidRPr="001C6401">
        <w:t xml:space="preserve">, в том числе в Комитет по чистке, созданный в соответствии с Законом о чистке 1994 года. Авторы указывают, что этот закон был принят </w:t>
      </w:r>
      <w:r>
        <w:t>в целях</w:t>
      </w:r>
      <w:r w:rsidRPr="001C6401">
        <w:t xml:space="preserve"> борьбы с торговлей на черном рынке, незаконным оборотом наркотиков и атеизмом. </w:t>
      </w:r>
      <w:r>
        <w:t>Этот закон сделал возможным</w:t>
      </w:r>
      <w:r w:rsidRPr="001C6401">
        <w:t xml:space="preserve"> строгий надзор и контроль за индивид</w:t>
      </w:r>
      <w:r w:rsidRPr="001C6401">
        <w:t>у</w:t>
      </w:r>
      <w:r w:rsidRPr="001C6401">
        <w:t xml:space="preserve">альной деятельностью. </w:t>
      </w:r>
    </w:p>
    <w:p w:rsidR="00EB4C35" w:rsidRDefault="00EB4C35" w:rsidP="00E0085E">
      <w:pPr>
        <w:pStyle w:val="SingleTxtGR"/>
        <w:rPr>
          <w:lang w:val="en-US"/>
        </w:rPr>
      </w:pPr>
      <w:r w:rsidRPr="001C6401">
        <w:t>2.9</w:t>
      </w:r>
      <w:r w:rsidRPr="001C6401">
        <w:tab/>
        <w:t>В августе 2004 года на первого автора напала собака, которая, по его у</w:t>
      </w:r>
      <w:r w:rsidRPr="001C6401">
        <w:t>т</w:t>
      </w:r>
      <w:r w:rsidRPr="001C6401">
        <w:t>верждениям, была специально спущена не него, и сильно искусала ему руку. Хотя свидетелями этого происшествия были н</w:t>
      </w:r>
      <w:r w:rsidRPr="001C6401">
        <w:t>е</w:t>
      </w:r>
      <w:r w:rsidRPr="001C6401">
        <w:t>сколько ч</w:t>
      </w:r>
      <w:r>
        <w:t>еловек, никто из них не пожелал отвезти его в больницу</w:t>
      </w:r>
      <w:r w:rsidR="00E7569C">
        <w:t>, и он был вынужден несколько</w:t>
      </w:r>
      <w:r w:rsidRPr="001C6401">
        <w:t xml:space="preserve"> часов добират</w:t>
      </w:r>
      <w:r w:rsidRPr="001C6401">
        <w:t>ь</w:t>
      </w:r>
      <w:r w:rsidRPr="001C6401">
        <w:t>ся до нее пешком. Когда он наконец пришел в больницу, необходимую помощь пожелал оказать ему только один палестинский врач.</w:t>
      </w:r>
    </w:p>
    <w:p w:rsidR="00EB4C35" w:rsidRPr="001C6401" w:rsidRDefault="00EB4C35" w:rsidP="00E0085E">
      <w:pPr>
        <w:pStyle w:val="SingleTxtGR"/>
      </w:pPr>
      <w:r w:rsidRPr="001C6401">
        <w:t>2.10</w:t>
      </w:r>
      <w:r w:rsidRPr="001C6401">
        <w:tab/>
        <w:t>Второй автор, Афаф эль-Хагог,</w:t>
      </w:r>
      <w:r w:rsidRPr="00AA69C1">
        <w:t xml:space="preserve"> </w:t>
      </w:r>
      <w:r w:rsidRPr="001C6401">
        <w:t>несколько раз подвергалась преследов</w:t>
      </w:r>
      <w:r w:rsidRPr="001C6401">
        <w:t>а</w:t>
      </w:r>
      <w:r w:rsidRPr="001C6401">
        <w:t>ниям, а также словесным и физическим нападкам со стороны сотрудников се</w:t>
      </w:r>
      <w:r w:rsidRPr="001C6401">
        <w:t>к</w:t>
      </w:r>
      <w:r w:rsidRPr="001C6401">
        <w:t>ретариата Министерства образования, где она работ</w:t>
      </w:r>
      <w:r w:rsidRPr="001C6401">
        <w:t>а</w:t>
      </w:r>
      <w:r w:rsidRPr="001C6401">
        <w:t>ла. За ней регулярно кто-то следовал по пути домой, и она получала угрозы. 18 октября 2003 года к ней п</w:t>
      </w:r>
      <w:r w:rsidRPr="001C6401">
        <w:t>о</w:t>
      </w:r>
      <w:r w:rsidRPr="001C6401">
        <w:t xml:space="preserve">дошел </w:t>
      </w:r>
      <w:r>
        <w:t xml:space="preserve">какой-то </w:t>
      </w:r>
      <w:r w:rsidRPr="001C6401">
        <w:t>человек</w:t>
      </w:r>
      <w:r>
        <w:t xml:space="preserve"> и</w:t>
      </w:r>
      <w:r w:rsidRPr="001C6401">
        <w:t xml:space="preserve"> прокричал ей следующее: "Почему я должен позв</w:t>
      </w:r>
      <w:r w:rsidRPr="001C6401">
        <w:t>о</w:t>
      </w:r>
      <w:r>
        <w:t>лять теб</w:t>
      </w:r>
      <w:r w:rsidRPr="001C6401">
        <w:t xml:space="preserve">е </w:t>
      </w:r>
      <w:r>
        <w:t>продолжать здесь работать</w:t>
      </w:r>
      <w:r w:rsidRPr="001C6401">
        <w:t>? Тебя нужно уволить, ведь твой сын зар</w:t>
      </w:r>
      <w:r w:rsidRPr="001C6401">
        <w:t>а</w:t>
      </w:r>
      <w:r w:rsidRPr="001C6401">
        <w:t>зил ливийских детей ВИЧ/СПИДом!". Второй автор заперлась в своем кабин</w:t>
      </w:r>
      <w:r w:rsidRPr="001C6401">
        <w:t>е</w:t>
      </w:r>
      <w:r w:rsidRPr="001C6401">
        <w:t xml:space="preserve">те, но этот человек ждал ее снаружи, и, когда она открыла дверь кабинета, он плюнул в нее и </w:t>
      </w:r>
      <w:r>
        <w:t>разразился</w:t>
      </w:r>
      <w:r w:rsidRPr="001C6401">
        <w:t xml:space="preserve"> в ее адрес оскорбления</w:t>
      </w:r>
      <w:r>
        <w:t>ми и угрозами</w:t>
      </w:r>
      <w:r w:rsidRPr="001C6401">
        <w:t>. Он преслед</w:t>
      </w:r>
      <w:r w:rsidRPr="001C6401">
        <w:t>о</w:t>
      </w:r>
      <w:r w:rsidRPr="001C6401">
        <w:t xml:space="preserve">вал ее по пути домой и грозил ей убить ее </w:t>
      </w:r>
      <w:r>
        <w:t xml:space="preserve">саму </w:t>
      </w:r>
      <w:r w:rsidRPr="001C6401">
        <w:t>и членов ее семьи. Второй автор искала защиты со стороны полиции, сообщи</w:t>
      </w:r>
      <w:r>
        <w:t>в о случившемся 23 октября 2003 </w:t>
      </w:r>
      <w:r w:rsidRPr="001C6401">
        <w:t>года в полицию</w:t>
      </w:r>
      <w:r w:rsidRPr="00365BA0">
        <w:rPr>
          <w:rStyle w:val="FootnoteReference"/>
        </w:rPr>
        <w:footnoteReference w:id="10"/>
      </w:r>
      <w:r w:rsidRPr="001C6401">
        <w:t>, а также подала несколько жалоб в Министерство образ</w:t>
      </w:r>
      <w:r w:rsidRPr="001C6401">
        <w:t>о</w:t>
      </w:r>
      <w:r w:rsidRPr="001C6401">
        <w:t xml:space="preserve">вания. Далее утверждается, что она подала в прокуратуру и в Международный фонд </w:t>
      </w:r>
      <w:r>
        <w:t xml:space="preserve">сотрудничества в области благотворительности и развития </w:t>
      </w:r>
      <w:r w:rsidRPr="001C6401">
        <w:t>Каддафи ж</w:t>
      </w:r>
      <w:r w:rsidRPr="001C6401">
        <w:t>а</w:t>
      </w:r>
      <w:r w:rsidRPr="001C6401">
        <w:t>лобы, которые остались без ответа</w:t>
      </w:r>
      <w:r>
        <w:t>.</w:t>
      </w:r>
    </w:p>
    <w:p w:rsidR="00EB4C35" w:rsidRPr="001C6401" w:rsidRDefault="00EB4C35" w:rsidP="00E0085E">
      <w:pPr>
        <w:pStyle w:val="SingleTxtGR"/>
      </w:pPr>
      <w:r w:rsidRPr="001C6401">
        <w:t>2.11</w:t>
      </w:r>
      <w:r w:rsidRPr="001C6401">
        <w:tab/>
        <w:t>Однажды, когда третий автор</w:t>
      </w:r>
      <w:r>
        <w:t>, Аб</w:t>
      </w:r>
      <w:r w:rsidRPr="001C6401">
        <w:t>ир эль-Хагог, сдавала экзамен, спец</w:t>
      </w:r>
      <w:r w:rsidRPr="001C6401">
        <w:t>и</w:t>
      </w:r>
      <w:r w:rsidRPr="001C6401">
        <w:t>альные агенты под руководством подполковника Д</w:t>
      </w:r>
      <w:r>
        <w:t>.</w:t>
      </w:r>
      <w:r w:rsidRPr="001C6401">
        <w:t>А</w:t>
      </w:r>
      <w:r>
        <w:t>.</w:t>
      </w:r>
      <w:r w:rsidRPr="001C6401">
        <w:t>М (см. пункт 2.7) попыт</w:t>
      </w:r>
      <w:r w:rsidRPr="001C6401">
        <w:t>а</w:t>
      </w:r>
      <w:r w:rsidRPr="001C6401">
        <w:t xml:space="preserve">лись </w:t>
      </w:r>
      <w:r>
        <w:t>эвакуировать лиц, наход</w:t>
      </w:r>
      <w:r w:rsidR="00E2412C">
        <w:t xml:space="preserve">ившихся </w:t>
      </w:r>
      <w:r>
        <w:t xml:space="preserve">в </w:t>
      </w:r>
      <w:r w:rsidRPr="001C6401">
        <w:t>экзаменационн</w:t>
      </w:r>
      <w:r>
        <w:t>ом</w:t>
      </w:r>
      <w:r w:rsidRPr="001C6401">
        <w:t xml:space="preserve"> зал</w:t>
      </w:r>
      <w:r>
        <w:t>е</w:t>
      </w:r>
      <w:r w:rsidRPr="001C6401">
        <w:t>, крича, что в комнате находится "больной СПИДом". Третьему автору пригрозили, что она никогда не сможет сдать экзамены, и специальные агенты настроили против нее преподавателей и с</w:t>
      </w:r>
      <w:r w:rsidRPr="001C6401">
        <w:t>о</w:t>
      </w:r>
      <w:r w:rsidRPr="001C6401">
        <w:t>курсников.</w:t>
      </w:r>
    </w:p>
    <w:p w:rsidR="00EB4C35" w:rsidRPr="001C6401" w:rsidRDefault="00EB4C35" w:rsidP="00E0085E">
      <w:pPr>
        <w:pStyle w:val="SingleTxtGR"/>
      </w:pPr>
      <w:bookmarkStart w:id="2" w:name="_Ref237846723"/>
      <w:r w:rsidRPr="001C6401">
        <w:t>2.12</w:t>
      </w:r>
      <w:r w:rsidRPr="001C6401">
        <w:tab/>
        <w:t xml:space="preserve">Утверждается также, что четвертый автор, Дарин эль-Хагог, которая была адвокатом </w:t>
      </w:r>
      <w:r>
        <w:t>своего</w:t>
      </w:r>
      <w:r w:rsidRPr="001C6401">
        <w:t xml:space="preserve"> брата Ашрафа, несколько раз подвергалась нападкам и угр</w:t>
      </w:r>
      <w:r w:rsidRPr="001C6401">
        <w:t>о</w:t>
      </w:r>
      <w:r w:rsidRPr="001C6401">
        <w:t xml:space="preserve">зам. 4 апреля 2000 года, </w:t>
      </w:r>
      <w:r>
        <w:t xml:space="preserve">когда </w:t>
      </w:r>
      <w:r w:rsidRPr="001C6401">
        <w:t>она возвращалась с работы домой, за ней ехали и попытались ее убить двое мужчин в военной машине. 16 апреля 2000 года, к</w:t>
      </w:r>
      <w:r w:rsidRPr="001C6401">
        <w:t>о</w:t>
      </w:r>
      <w:r w:rsidRPr="001C6401">
        <w:t>гда она работала в своей адвокатской конторе в Тархуне, в ее кабинет вошли двое мужчин, которые назвали себя сотрудниками тайной полиции и пригроз</w:t>
      </w:r>
      <w:r w:rsidRPr="001C6401">
        <w:t>и</w:t>
      </w:r>
      <w:r w:rsidRPr="001C6401">
        <w:t xml:space="preserve">ли ей, что, если она не перестанет расследовать дело </w:t>
      </w:r>
      <w:r>
        <w:t>своего</w:t>
      </w:r>
      <w:r w:rsidRPr="001C6401">
        <w:t xml:space="preserve"> брата, она "станет следующей жертвой". 25 апреля 2000 года, когда четвертый автор направлялась в суд, на нее попыталась наехать машина без номерн</w:t>
      </w:r>
      <w:bookmarkEnd w:id="2"/>
      <w:r w:rsidRPr="001C6401">
        <w:t>ых знаков. Однажды ун</w:t>
      </w:r>
      <w:r w:rsidRPr="001C6401">
        <w:t>и</w:t>
      </w:r>
      <w:r w:rsidRPr="001C6401">
        <w:t>верситетский экзаменатор отказал</w:t>
      </w:r>
      <w:r w:rsidRPr="00E7522D">
        <w:t xml:space="preserve"> </w:t>
      </w:r>
      <w:r w:rsidRPr="001C6401">
        <w:t>ей также в сдаче устного экзамена по праву прав человека на том основании, что она была сестрой "человека, за</w:t>
      </w:r>
      <w:r>
        <w:t>несшего в </w:t>
      </w:r>
      <w:r w:rsidRPr="001C6401">
        <w:t>Ливию ВИЧ/СПИД". Впоследствии она подверглась столь сильным преслед</w:t>
      </w:r>
      <w:r w:rsidRPr="001C6401">
        <w:t>о</w:t>
      </w:r>
      <w:r w:rsidRPr="001C6401">
        <w:t xml:space="preserve">ваниям, что ей пришлось </w:t>
      </w:r>
      <w:r>
        <w:t>перебраться</w:t>
      </w:r>
      <w:r w:rsidRPr="001C6401">
        <w:t xml:space="preserve"> в Триполи. Она переехала в то же </w:t>
      </w:r>
      <w:r>
        <w:t>студе</w:t>
      </w:r>
      <w:r>
        <w:t>н</w:t>
      </w:r>
      <w:r>
        <w:t xml:space="preserve">ческое </w:t>
      </w:r>
      <w:r w:rsidRPr="001C6401">
        <w:t>общежитие в Аль-Карна</w:t>
      </w:r>
      <w:r>
        <w:t>д</w:t>
      </w:r>
      <w:r w:rsidRPr="001C6401">
        <w:t>же, в котором проживала ее сестра Абир эль-Хагог (третий автор). И третий, и четвертый авторы продолжали регулярно преследоваться проживавшими в общежитии студентами и были вынуждены оставаться внутри своих комнат и скрываться от внешнего мира</w:t>
      </w:r>
      <w:r w:rsidRPr="00365BA0">
        <w:rPr>
          <w:rStyle w:val="FootnoteReference"/>
        </w:rPr>
        <w:footnoteReference w:id="11"/>
      </w:r>
      <w:r w:rsidRPr="001C6401">
        <w:t>.</w:t>
      </w:r>
    </w:p>
    <w:p w:rsidR="00EB4C35" w:rsidRDefault="00EB4C35" w:rsidP="00E0085E">
      <w:pPr>
        <w:pStyle w:val="SingleTxtGR"/>
      </w:pPr>
      <w:r w:rsidRPr="001C6401">
        <w:t>2.13</w:t>
      </w:r>
      <w:r w:rsidRPr="001C6401">
        <w:tab/>
        <w:t>Пятый автор, Амель эль-Хагог, изучала английский язык в университете Насир в Тархуне. Она утверждает, что подвергалась преследованиям со стор</w:t>
      </w:r>
      <w:r w:rsidRPr="001C6401">
        <w:t>о</w:t>
      </w:r>
      <w:r w:rsidRPr="001C6401">
        <w:t xml:space="preserve">ны </w:t>
      </w:r>
      <w:r>
        <w:t>нескольких</w:t>
      </w:r>
      <w:r w:rsidRPr="001C6401">
        <w:t xml:space="preserve"> членов Революционных комитетов, которые считали, что, будучи сестрой Ашрафа эль-Хагога, она не имела право учиться в университете Насир. В течение двух лет они оказывали давление на ее преподавателей, </w:t>
      </w:r>
      <w:r>
        <w:t xml:space="preserve">с тем </w:t>
      </w:r>
      <w:r w:rsidRPr="001C6401">
        <w:t>чтобы она провалила экзамены. В конце концов Амель эль-Хагог исключили из ун</w:t>
      </w:r>
      <w:r w:rsidRPr="001C6401">
        <w:t>и</w:t>
      </w:r>
      <w:r w:rsidRPr="001C6401">
        <w:t>верситет</w:t>
      </w:r>
      <w:r>
        <w:t>а. Впоследствии она нашла работу</w:t>
      </w:r>
      <w:r w:rsidRPr="001C6401">
        <w:t xml:space="preserve"> </w:t>
      </w:r>
      <w:r>
        <w:t>в фотомагазине, расположенном в </w:t>
      </w:r>
      <w:r w:rsidRPr="001C6401">
        <w:t>торговом центре Тархуны. Однажды во время ее работы в магазин внезапно въехал грузовик. Ее спасли из-под обломков, и в течение семи часов она ост</w:t>
      </w:r>
      <w:r w:rsidRPr="001C6401">
        <w:t>а</w:t>
      </w:r>
      <w:r w:rsidRPr="001C6401">
        <w:t xml:space="preserve">валась без сознания. </w:t>
      </w:r>
      <w:r>
        <w:t>Узнав</w:t>
      </w:r>
      <w:r w:rsidRPr="001C6401">
        <w:t xml:space="preserve">, что она </w:t>
      </w:r>
      <w:r>
        <w:t>является</w:t>
      </w:r>
      <w:r w:rsidRPr="001C6401">
        <w:t xml:space="preserve"> сестрой Ашрафа эль-Хагога, ни один из врачей тархунской больницы не пожелал оказ</w:t>
      </w:r>
      <w:r>
        <w:t>а</w:t>
      </w:r>
      <w:r w:rsidRPr="001C6401">
        <w:t>ть ей необходимую м</w:t>
      </w:r>
      <w:r w:rsidRPr="001C6401">
        <w:t>е</w:t>
      </w:r>
      <w:r w:rsidRPr="001C6401">
        <w:t>дицинскую помощь.</w:t>
      </w:r>
      <w:r w:rsidR="00E2412C">
        <w:t xml:space="preserve"> </w:t>
      </w:r>
      <w:r>
        <w:t xml:space="preserve">В </w:t>
      </w:r>
      <w:r w:rsidR="00E2412C">
        <w:t xml:space="preserve">конечном </w:t>
      </w:r>
      <w:r w:rsidR="00990390">
        <w:t>итоге</w:t>
      </w:r>
      <w:r>
        <w:t xml:space="preserve"> семья отправилась в Триполи, где Амель эль-Хагог была оказана медицинская помощь. Однако из-за задержки в оказ</w:t>
      </w:r>
      <w:r>
        <w:t>а</w:t>
      </w:r>
      <w:r>
        <w:t xml:space="preserve">нии помощи ее колену было причинено необратимое повреждение. </w:t>
      </w:r>
    </w:p>
    <w:p w:rsidR="00EB4C35" w:rsidRDefault="00EB4C35" w:rsidP="00E0085E">
      <w:pPr>
        <w:pStyle w:val="SingleTxtGR"/>
      </w:pPr>
      <w:r>
        <w:t>2.14</w:t>
      </w:r>
      <w:r>
        <w:tab/>
        <w:t>Шестой автор, Эман эль-Хагог, обучалась на кафедре математики факул</w:t>
      </w:r>
      <w:r>
        <w:t>ь</w:t>
      </w:r>
      <w:r>
        <w:t>тета педагогических наук Университета Насир в Тархуне. Утверждается, что она также подвергалась запугиваниям и что Революционные комитеты оказ</w:t>
      </w:r>
      <w:r>
        <w:t>а</w:t>
      </w:r>
      <w:r>
        <w:t>ли на ее преподавателей давление, с тем чтобы она провалила экзамены по н</w:t>
      </w:r>
      <w:r>
        <w:t>е</w:t>
      </w:r>
      <w:r>
        <w:t>скольким предметам. На территории кампуса она подвергалась унижениям и преследованиям, что привело к возникновению у нее психологических пр</w:t>
      </w:r>
      <w:r>
        <w:t>о</w:t>
      </w:r>
      <w:r>
        <w:t>блем и заставило ее родителей перевести ее на физический факультет Униве</w:t>
      </w:r>
      <w:r>
        <w:t>р</w:t>
      </w:r>
      <w:r>
        <w:t>ситета Аль-Фатех в Триполи. Там она также переехала в общежитие в Аль-Карнадж, где проживали ее сестры. Несмотря на то, что она превосходно училась, декан ее факультета в Университете, будучи членом Революционных комитетов, пр</w:t>
      </w:r>
      <w:r>
        <w:t>о</w:t>
      </w:r>
      <w:r>
        <w:t>валил ее на экзаменах по нескольким предметам. После оглашения судебного приговора по делу Ашрафа эль-Хагога Эман эль-Хагог была отчислена из Ун</w:t>
      </w:r>
      <w:r>
        <w:t>и</w:t>
      </w:r>
      <w:r>
        <w:t>верситета перед самым его окончанием.</w:t>
      </w:r>
    </w:p>
    <w:p w:rsidR="00EB4C35" w:rsidRDefault="00EB4C35" w:rsidP="00E0085E">
      <w:pPr>
        <w:pStyle w:val="SingleTxtGR"/>
      </w:pPr>
      <w:r>
        <w:t>2.15</w:t>
      </w:r>
      <w:r>
        <w:tab/>
        <w:t>Авторы утверждают, что во время судебного процесса над Ашрафом эль-Хагогом они оказались под чрезвычайно сильн</w:t>
      </w:r>
      <w:r w:rsidR="00E35827">
        <w:t>ым давлением. После того, как 6 </w:t>
      </w:r>
      <w:r>
        <w:t>мая 2004 года Уголовный суд Бенгази вынес Ашрафу эль-Хагогу смертный приговор</w:t>
      </w:r>
      <w:r>
        <w:rPr>
          <w:rStyle w:val="FootnoteReference"/>
        </w:rPr>
        <w:footnoteReference w:id="12"/>
      </w:r>
      <w:r>
        <w:t>, первый и второй авторы объявили голодовку, чтобы привлечь к эт</w:t>
      </w:r>
      <w:r>
        <w:t>о</w:t>
      </w:r>
      <w:r>
        <w:t>му делу внимание мировых СМИ. Подполковник Д.А.М. (см. пункт 2.7) и его сотрудники собрали большую толпу из примерно 300 человек, которые, окр</w:t>
      </w:r>
      <w:r>
        <w:t>у</w:t>
      </w:r>
      <w:r>
        <w:t>жив квартиру авторов, стали терроризировать их и принуждать покинуть стр</w:t>
      </w:r>
      <w:r>
        <w:t>а</w:t>
      </w:r>
      <w:r>
        <w:t>ну. Утверждается также, что эта толпа устроила поджог, бросала камни и угр</w:t>
      </w:r>
      <w:r>
        <w:t>о</w:t>
      </w:r>
      <w:r>
        <w:t>жала авторам физической расправой. Власти прекратили также снабжать ж</w:t>
      </w:r>
      <w:r>
        <w:t>и</w:t>
      </w:r>
      <w:r>
        <w:t>лище авторов водой и электричеством и лишили их телефонной связи, чтобы сделать условия их жизни невыносимыми. Авторы обратились с жалобой в с</w:t>
      </w:r>
      <w:r>
        <w:t>о</w:t>
      </w:r>
      <w:r>
        <w:t>ответствующие органы, но безрезультатно. По мнению авторов, такие гонения были устроены в соответствии с положениями "Хартии чести". В то время они регулярно подвергались на улицах нападкам со стороны толпы, постоянно о</w:t>
      </w:r>
      <w:r>
        <w:t>к</w:t>
      </w:r>
      <w:r>
        <w:t>ружавшей их здание, а также со стороны тайной полиции. Члены семьи были вынуждены держать окна и ставни квартиры закрытыми и по очереди спать в наиболее защищенной комнате их дома. Они выходили из квартиры рано утром, чтобы купить товары первой нео</w:t>
      </w:r>
      <w:r>
        <w:t>б</w:t>
      </w:r>
      <w:r>
        <w:t>ходимости.</w:t>
      </w:r>
    </w:p>
    <w:p w:rsidR="00EB4C35" w:rsidRPr="005B58B1" w:rsidRDefault="00EB4C35" w:rsidP="00E0085E">
      <w:pPr>
        <w:pStyle w:val="SingleTxtGR"/>
      </w:pPr>
      <w:r>
        <w:t>2.16</w:t>
      </w:r>
      <w:r>
        <w:tab/>
        <w:t>Летом 2004 года, через несколько недель после вынесения первого приг</w:t>
      </w:r>
      <w:r>
        <w:t>о</w:t>
      </w:r>
      <w:r>
        <w:t>вора в уголовном процессе Ашрафа эль-Хагога, первому и второму авторам б</w:t>
      </w:r>
      <w:r>
        <w:t>ы</w:t>
      </w:r>
      <w:r>
        <w:t>ло приказано явиться в военный лагерь сил специального назначения. Предв</w:t>
      </w:r>
      <w:r>
        <w:t>и</w:t>
      </w:r>
      <w:r>
        <w:t>дя, что их там задержат, подвергнут пыткам или даже казнят, они отказались выполнить приказ и связались с международными гуманитарными организ</w:t>
      </w:r>
      <w:r>
        <w:t>а</w:t>
      </w:r>
      <w:r>
        <w:t>циями и посольствами европейских стран в Триполи, что, по их мнению, пр</w:t>
      </w:r>
      <w:r>
        <w:t>и</w:t>
      </w:r>
      <w:r>
        <w:t>вело к отмене этого приказа ливийскими властями. Один из друзей предупр</w:t>
      </w:r>
      <w:r>
        <w:t>е</w:t>
      </w:r>
      <w:r>
        <w:t>дил первого и второго авторов о том, что все другие жители выселяются из их здания и что эти авторы будут скоро убиты. Первый и второй авторы выехали из этого здания и переехали в Триполи осенью 2004 года, оставив все свои в</w:t>
      </w:r>
      <w:r>
        <w:t>е</w:t>
      </w:r>
      <w:r>
        <w:t>щи, в том числе многие важные документы, такие как переписка между автор</w:t>
      </w:r>
      <w:r>
        <w:t>а</w:t>
      </w:r>
      <w:r>
        <w:t>ми и п</w:t>
      </w:r>
      <w:r>
        <w:t>о</w:t>
      </w:r>
      <w:r>
        <w:t>сольством Палестины и рядом международных организаций. В Триполи семье удалось снять квартиру. Члены семьи приняли псевдонимы и старались избегать контактов с внешним миром, ведя анонимную и незаметную жизнь. Управление Верховного комиссара Организации Объединенных Наций по д</w:t>
      </w:r>
      <w:r>
        <w:t>е</w:t>
      </w:r>
      <w:r>
        <w:t>лам беженцев (УВКБ) помогало им платить за жилье. Однако спустя два мес</w:t>
      </w:r>
      <w:r>
        <w:t>я</w:t>
      </w:r>
      <w:r>
        <w:t>ца они вновь были выявлены и выслежены ливийской секретной службой, к</w:t>
      </w:r>
      <w:r>
        <w:t>о</w:t>
      </w:r>
      <w:r>
        <w:t>торая начала распространять новые слухи об их предполагаемом сотрудничестве со спецслужбами Соединенных Штатов Америки и Израиля. Положение членов семьи снова ухудшилось, причем до такой степени, что они стали вновь оп</w:t>
      </w:r>
      <w:r>
        <w:t>а</w:t>
      </w:r>
      <w:r>
        <w:t>саться за свою безопасность и жизнь.</w:t>
      </w:r>
    </w:p>
    <w:p w:rsidR="00EB4C35" w:rsidRDefault="00EB4C35" w:rsidP="00E0085E">
      <w:pPr>
        <w:pStyle w:val="SingleTxtGR"/>
      </w:pPr>
      <w:r>
        <w:t>2.17</w:t>
      </w:r>
      <w:r>
        <w:tab/>
        <w:t>19 мая 2005 год УВКБ решило, что авторы подпадают под определение беженцев</w:t>
      </w:r>
      <w:r>
        <w:rPr>
          <w:rStyle w:val="FootnoteReference"/>
        </w:rPr>
        <w:footnoteReference w:id="13"/>
      </w:r>
      <w:r>
        <w:t>. 13 декабря 2005 года авторы прибыли в Нидерланды в качестве приглаше</w:t>
      </w:r>
      <w:r>
        <w:t>н</w:t>
      </w:r>
      <w:r>
        <w:t>ных беженцев.</w:t>
      </w:r>
    </w:p>
    <w:p w:rsidR="00EB4C35" w:rsidRDefault="00EB4C35" w:rsidP="00E0085E">
      <w:pPr>
        <w:pStyle w:val="SingleTxtGR"/>
      </w:pPr>
      <w:r>
        <w:t>2.18</w:t>
      </w:r>
      <w:r>
        <w:tab/>
        <w:t>Что касается исчерпания внутренних средств правовой защиты, то авторы утверждают, что они обращались во все соответствующие инстанции. Когда второй автор подверглась нападкам на своем рабочем месте, авторы сообщили об этом в полицейский участок, а затем отправили письма с жалобами на имя секретаря по вопросам образования в Тархуне, Министра юстиции и безопа</w:t>
      </w:r>
      <w:r>
        <w:t>с</w:t>
      </w:r>
      <w:r>
        <w:t>ности и в Международный фонд сотрудничества в области благотворительн</w:t>
      </w:r>
      <w:r>
        <w:t>о</w:t>
      </w:r>
      <w:r>
        <w:t>сти и развития Каддафи</w:t>
      </w:r>
      <w:r>
        <w:rPr>
          <w:rStyle w:val="FootnoteReference"/>
        </w:rPr>
        <w:footnoteReference w:id="14"/>
      </w:r>
      <w:r>
        <w:t>. Однако ни одно из этих учреждений так и не ответ</w:t>
      </w:r>
      <w:r>
        <w:t>и</w:t>
      </w:r>
      <w:r>
        <w:t>ло на их жалобы и не приняло по ним никаких мер. Аналогичные заявления и жалобы, касающиеся других инцидентов, привели к тем же результатам. Авт</w:t>
      </w:r>
      <w:r>
        <w:t>о</w:t>
      </w:r>
      <w:r>
        <w:t>ры добавляют, что, когда они официально обращались к властям, им никогда не выдавались копии их жалоб или подтверждающие документы. Они добавляют также, что были вынуждены покинуть свое место жительства в спешке и п</w:t>
      </w:r>
      <w:r>
        <w:t>о</w:t>
      </w:r>
      <w:r>
        <w:t>этому не могли взять с собой ряд важных документов и переписку. Поскольку они въезжали из Тархуны в Триполи под другими фамилиями, они предпочли также не иметь при себе никаких документов, которые могли бы позволить у</w:t>
      </w:r>
      <w:r>
        <w:t>с</w:t>
      </w:r>
      <w:r>
        <w:t>тановить их ли</w:t>
      </w:r>
      <w:r>
        <w:t>ч</w:t>
      </w:r>
      <w:r>
        <w:t>ность.</w:t>
      </w:r>
    </w:p>
    <w:p w:rsidR="00EB4C35" w:rsidRDefault="00EB4C35" w:rsidP="00E0085E">
      <w:pPr>
        <w:pStyle w:val="SingleTxtGR"/>
      </w:pPr>
      <w:r>
        <w:t>2.19</w:t>
      </w:r>
      <w:r>
        <w:tab/>
        <w:t>Авторы утверждают</w:t>
      </w:r>
      <w:r w:rsidRPr="00DF4883">
        <w:t xml:space="preserve"> </w:t>
      </w:r>
      <w:r>
        <w:t>далее, что доступные им средства правовой защиты были и остаются неэффективными и не предоставляют разумной возможности исправления ситуации</w:t>
      </w:r>
      <w:r>
        <w:rPr>
          <w:rStyle w:val="FootnoteReference"/>
        </w:rPr>
        <w:footnoteReference w:id="15"/>
      </w:r>
      <w:r>
        <w:t>. Они добавляют, что, даже если бы им была предоста</w:t>
      </w:r>
      <w:r>
        <w:t>в</w:t>
      </w:r>
      <w:r>
        <w:t>лена возможность подать жалобу в суд, им не обеспечили бы справедливое с</w:t>
      </w:r>
      <w:r>
        <w:t>у</w:t>
      </w:r>
      <w:r>
        <w:t>дебное разбирательство</w:t>
      </w:r>
      <w:r>
        <w:rPr>
          <w:rStyle w:val="FootnoteReference"/>
        </w:rPr>
        <w:footnoteReference w:id="16"/>
      </w:r>
      <w:r>
        <w:t>. Ни один адвокат не желал действовать от их имени, опасаясь репрессий, так как рассматриваемые действия были умышленно спр</w:t>
      </w:r>
      <w:r>
        <w:t>о</w:t>
      </w:r>
      <w:r>
        <w:t>воцированы или инспирированы официальными властями. Авторы нап</w:t>
      </w:r>
      <w:r>
        <w:t>о</w:t>
      </w:r>
      <w:r>
        <w:t>минают также, что они подвергались угрозам и находились под наблюдением. Наконец, они подчеркивают, что они связались с рядом дипломатических представ</w:t>
      </w:r>
      <w:r>
        <w:t>и</w:t>
      </w:r>
      <w:r>
        <w:t>тельств в Ливии, чтобы привлечь их внимание к своей ситуации. То обстоятел</w:t>
      </w:r>
      <w:r>
        <w:t>ь</w:t>
      </w:r>
      <w:r>
        <w:t>ство, что авторы бежали из Ливии в тот момент, когда нарушения против них достигли пика и после того, как они были признаны беженцами, представляло собой еще одно препятствие, не позволившее им исчерпать внутренние средс</w:t>
      </w:r>
      <w:r>
        <w:t>т</w:t>
      </w:r>
      <w:r>
        <w:t>ва пр</w:t>
      </w:r>
      <w:r>
        <w:t>а</w:t>
      </w:r>
      <w:r>
        <w:t>вовой защиты.</w:t>
      </w:r>
    </w:p>
    <w:p w:rsidR="00EB4C35" w:rsidRDefault="00EB4C35" w:rsidP="00E0085E">
      <w:pPr>
        <w:pStyle w:val="H23GR"/>
      </w:pPr>
      <w:r>
        <w:tab/>
      </w:r>
      <w:r>
        <w:tab/>
        <w:t>Жалоба</w:t>
      </w:r>
    </w:p>
    <w:p w:rsidR="00EB4C35" w:rsidRDefault="00EB4C35" w:rsidP="00E0085E">
      <w:pPr>
        <w:pStyle w:val="SingleTxtGR"/>
      </w:pPr>
      <w:r>
        <w:t>3.1</w:t>
      </w:r>
      <w:r>
        <w:tab/>
        <w:t>Авторы утверждают, что обращение, которому они подверглись, было применено к ним преднамеренно, чтобы наказать их за действия, в совершении которых подозревался Ашраф эль-Хагог, запугать их как его близких родстве</w:t>
      </w:r>
      <w:r>
        <w:t>н</w:t>
      </w:r>
      <w:r>
        <w:t>ников и принудить к отъезду. По утверждению авторов, ежедневные нападки на них, как физические, так и психологические, а также акты преследования, г</w:t>
      </w:r>
      <w:r>
        <w:t>о</w:t>
      </w:r>
      <w:r>
        <w:t>нения и унижения достигли критического уровня жестокого, бесчеловечного и унижающего достоинство обращения, являющегося нарушением статьи 7 Па</w:t>
      </w:r>
      <w:r>
        <w:t>к</w:t>
      </w:r>
      <w:r>
        <w:t>та. Они напоминают, что их регулярно забрасывали камнями, о</w:t>
      </w:r>
      <w:r>
        <w:t>с</w:t>
      </w:r>
      <w:r>
        <w:t>корбляли и унижали. Они добавляют, что применение к ним положений "Хартии чести" было одной из форм коллективного наказания, которое, по их утверждениям, также представляет собой жестокое, бесчеловечное и унижающее дост</w:t>
      </w:r>
      <w:r>
        <w:t>о</w:t>
      </w:r>
      <w:r>
        <w:t>инство наказание</w:t>
      </w:r>
      <w:r>
        <w:rPr>
          <w:rStyle w:val="FootnoteReference"/>
        </w:rPr>
        <w:footnoteReference w:id="17"/>
      </w:r>
      <w:r>
        <w:t>.</w:t>
      </w:r>
    </w:p>
    <w:p w:rsidR="00EB4C35" w:rsidRPr="00A641C1" w:rsidRDefault="00EB4C35" w:rsidP="00E0085E">
      <w:pPr>
        <w:pStyle w:val="SingleTxtGR"/>
      </w:pPr>
      <w:r>
        <w:t>3.2</w:t>
      </w:r>
      <w:r>
        <w:tab/>
        <w:t>Авторы также особо отмечают страдания и стресс, вызванные тем, что они были лишены контакта с Ашрафом эль-Хагогом во время его заключения с лишением права переписки и общения, начиная с момента его ареста 29 января 1999 года и вплоть до 30 ноября 1999 года, а также затянувшейся неопределе</w:t>
      </w:r>
      <w:r>
        <w:t>н</w:t>
      </w:r>
      <w:r>
        <w:t>ностью относительно его судьбы и местонахождения, включая то обстоятельс</w:t>
      </w:r>
      <w:r>
        <w:t>т</w:t>
      </w:r>
      <w:r>
        <w:t>во, что их ложно информировали о том, что он был повешен, и им посоветовали прекратить его п</w:t>
      </w:r>
      <w:r>
        <w:t>о</w:t>
      </w:r>
      <w:r>
        <w:t>иски.</w:t>
      </w:r>
      <w:r w:rsidR="00E35827">
        <w:t xml:space="preserve"> </w:t>
      </w:r>
      <w:r>
        <w:rPr>
          <w:lang w:val="en-US"/>
        </w:rPr>
        <w:t>C</w:t>
      </w:r>
      <w:r w:rsidRPr="00A641C1">
        <w:t xml:space="preserve"> декабря 1999 года авторам стали разрешать посещать Ашрафа. Однако они утверждают, что полученное ими 6 мая 2004 года известие о том, что он будет пригово</w:t>
      </w:r>
      <w:r>
        <w:t>рен к смертной казни</w:t>
      </w:r>
      <w:r w:rsidRPr="00A641C1">
        <w:t xml:space="preserve"> после вопиюще несправедл</w:t>
      </w:r>
      <w:r w:rsidRPr="00A641C1">
        <w:t>и</w:t>
      </w:r>
      <w:r w:rsidRPr="00A641C1">
        <w:t>вого судебного разбирательства, лишь усугубило их отчая</w:t>
      </w:r>
      <w:r w:rsidR="00E35827">
        <w:t>ние. Кроме того, 7 </w:t>
      </w:r>
      <w:r w:rsidRPr="00A641C1">
        <w:t>июня 2005 года Уголовный суд Триполи оправдал лиц, подоз</w:t>
      </w:r>
      <w:r>
        <w:t>ревавшихся в применении пыток к </w:t>
      </w:r>
      <w:r w:rsidRPr="00A641C1">
        <w:t>Ашрафу эль-</w:t>
      </w:r>
      <w:r w:rsidR="00E35827">
        <w:t>Хагогу</w:t>
      </w:r>
      <w:r w:rsidRPr="00A641C1">
        <w:t>. 19 декабря 2006 года</w:t>
      </w:r>
      <w:r w:rsidR="00E35827">
        <w:t>,</w:t>
      </w:r>
      <w:r w:rsidRPr="00A641C1">
        <w:t xml:space="preserve"> через год п</w:t>
      </w:r>
      <w:r w:rsidRPr="00A641C1">
        <w:t>о</w:t>
      </w:r>
      <w:r w:rsidRPr="00A641C1">
        <w:t>сле того, как они бежали из Ливии, смертный приговор</w:t>
      </w:r>
      <w:r>
        <w:t>, вынесенный Ашрафу эль-Хагогу,</w:t>
      </w:r>
      <w:r w:rsidRPr="00A641C1">
        <w:t xml:space="preserve"> был подтвержден. Авторы утверждают, что обращение, которому был подвергнут их сын и брат Аш</w:t>
      </w:r>
      <w:r>
        <w:t>раф эль-Ха</w:t>
      </w:r>
      <w:r w:rsidRPr="00A641C1">
        <w:t>гог, т</w:t>
      </w:r>
      <w:r w:rsidR="00E35827">
        <w:t>акже привело к нарушению ст</w:t>
      </w:r>
      <w:r w:rsidR="00E35827">
        <w:t>а</w:t>
      </w:r>
      <w:r w:rsidR="00E35827">
        <w:t>тьи </w:t>
      </w:r>
      <w:r w:rsidRPr="00A641C1">
        <w:t>7 Пакта в их отношении</w:t>
      </w:r>
      <w:r w:rsidRPr="00623FD8">
        <w:rPr>
          <w:rStyle w:val="FootnoteReference"/>
        </w:rPr>
        <w:footnoteReference w:id="18"/>
      </w:r>
      <w:r w:rsidRPr="00A641C1">
        <w:t>.</w:t>
      </w:r>
    </w:p>
    <w:p w:rsidR="00EB4C35" w:rsidRPr="00A641C1" w:rsidRDefault="00EB4C35" w:rsidP="00E0085E">
      <w:pPr>
        <w:pStyle w:val="SingleTxtGR"/>
      </w:pPr>
      <w:r w:rsidRPr="00A641C1">
        <w:t>3.3</w:t>
      </w:r>
      <w:r w:rsidRPr="00A641C1">
        <w:tab/>
        <w:t xml:space="preserve">Авторы утверждают также, что было нарушено их право на личную </w:t>
      </w:r>
      <w:r>
        <w:t>н</w:t>
      </w:r>
      <w:r>
        <w:t>е</w:t>
      </w:r>
      <w:r>
        <w:t>прикосновенность</w:t>
      </w:r>
      <w:r w:rsidRPr="00A641C1">
        <w:t>, гарантируемое статьей 9 Пакта</w:t>
      </w:r>
      <w:r w:rsidRPr="00623FD8">
        <w:rPr>
          <w:rStyle w:val="FootnoteReference"/>
        </w:rPr>
        <w:footnoteReference w:id="19"/>
      </w:r>
      <w:r w:rsidRPr="00A641C1">
        <w:t xml:space="preserve">, и ссылаются в этой связи на полученные ими угрозы убийством, а также дискриминацию, запугивание, вынужденную безработицу и </w:t>
      </w:r>
      <w:r>
        <w:t>гонения</w:t>
      </w:r>
      <w:r w:rsidRPr="00A641C1">
        <w:t>, которым они были подвергнуты. Авторы утверждают далее, что государство-участник не выполнило свое позитивное обязательство принимать разумные и соответствующие меры, чтобы защитить их от нападок, тем самым подвергнув серьезным угрозам их право на жизнь, свободу и личную неприкосновенность. Не проведя эффективного расследов</w:t>
      </w:r>
      <w:r w:rsidRPr="00A641C1">
        <w:t>а</w:t>
      </w:r>
      <w:r w:rsidRPr="00A641C1">
        <w:t xml:space="preserve">ния </w:t>
      </w:r>
      <w:r>
        <w:t>по фактам</w:t>
      </w:r>
      <w:r w:rsidRPr="00A641C1">
        <w:t xml:space="preserve"> таких нападок и не отреагировав на них должным образом, гос</w:t>
      </w:r>
      <w:r w:rsidRPr="00A641C1">
        <w:t>у</w:t>
      </w:r>
      <w:r w:rsidRPr="00A641C1">
        <w:t>дарство-участник не выполнило по отношению к ним своего обязательства по статье 9 Пакта.</w:t>
      </w:r>
    </w:p>
    <w:p w:rsidR="00EB4C35" w:rsidRPr="00A641C1" w:rsidRDefault="00EB4C35" w:rsidP="00E0085E">
      <w:pPr>
        <w:pStyle w:val="SingleTxtGR"/>
      </w:pPr>
      <w:r w:rsidRPr="00A641C1">
        <w:t>3.4</w:t>
      </w:r>
      <w:r w:rsidRPr="00A641C1">
        <w:tab/>
        <w:t xml:space="preserve">Что касается статьи 12 Пакта, то авторы отмечают трудности, с которыми они столкнулись </w:t>
      </w:r>
      <w:r>
        <w:t>начиная с 1995 года</w:t>
      </w:r>
      <w:r w:rsidRPr="00A641C1">
        <w:t xml:space="preserve"> при попытке обновить свои виды на ж</w:t>
      </w:r>
      <w:r w:rsidRPr="00A641C1">
        <w:t>и</w:t>
      </w:r>
      <w:r w:rsidRPr="00A641C1">
        <w:t>тельство в Ливии и которые не позволили им покинуть Ливию, так как вид на жительство является обязательным условием для выдачи выездной визы</w:t>
      </w:r>
      <w:r w:rsidRPr="00623FD8">
        <w:rPr>
          <w:rStyle w:val="FootnoteReference"/>
        </w:rPr>
        <w:footnoteReference w:id="20"/>
      </w:r>
      <w:r w:rsidRPr="00A641C1">
        <w:t xml:space="preserve">. Они добавляют, что </w:t>
      </w:r>
      <w:r>
        <w:t>им пришлось</w:t>
      </w:r>
      <w:r w:rsidRPr="00A641C1">
        <w:t xml:space="preserve"> покинуть Тархуну и скрываться в Триполи. В к</w:t>
      </w:r>
      <w:r w:rsidRPr="00A641C1">
        <w:t>о</w:t>
      </w:r>
      <w:r w:rsidRPr="00A641C1">
        <w:t>нечном сче</w:t>
      </w:r>
      <w:r>
        <w:t>те</w:t>
      </w:r>
      <w:r w:rsidRPr="00A641C1">
        <w:t xml:space="preserve"> они были вынуждены окончательно покинуть Ливию. Поэтому они утверждают, что государство-участник нарушило в их отношении пункт 1 статьи 12 Пакта</w:t>
      </w:r>
      <w:r w:rsidRPr="00623FD8">
        <w:rPr>
          <w:rStyle w:val="FootnoteReference"/>
        </w:rPr>
        <w:footnoteReference w:id="21"/>
      </w:r>
      <w:r w:rsidRPr="00A641C1">
        <w:t>.</w:t>
      </w:r>
    </w:p>
    <w:p w:rsidR="00EB4C35" w:rsidRPr="00A641C1" w:rsidRDefault="00EB4C35" w:rsidP="00E0085E">
      <w:pPr>
        <w:pStyle w:val="SingleTxtGR"/>
      </w:pPr>
      <w:r w:rsidRPr="00A641C1">
        <w:t>3.5</w:t>
      </w:r>
      <w:r w:rsidRPr="00A641C1">
        <w:tab/>
        <w:t>Авторы ссылаются также на пункт 1 статьи 2, рассматриваемый в сочет</w:t>
      </w:r>
      <w:r w:rsidRPr="00A641C1">
        <w:t>а</w:t>
      </w:r>
      <w:r w:rsidRPr="00A641C1">
        <w:t xml:space="preserve">нии со статьями 7, 9, 12, 17, 23 и 26 Пакта, подчеркивая, что имеются </w:t>
      </w:r>
      <w:r>
        <w:t>серье</w:t>
      </w:r>
      <w:r>
        <w:t>з</w:t>
      </w:r>
      <w:r>
        <w:t>ные</w:t>
      </w:r>
      <w:r w:rsidRPr="00A641C1">
        <w:t xml:space="preserve"> доказательства существования в Ливии широко распространенной дискр</w:t>
      </w:r>
      <w:r w:rsidRPr="00A641C1">
        <w:t>и</w:t>
      </w:r>
      <w:r w:rsidRPr="00A641C1">
        <w:t>минации иностранцев и трудящихся-мигрантов. Они добавляют, что с целью дискриминации и на основе расы и национального происхождения авторов л</w:t>
      </w:r>
      <w:r w:rsidRPr="00A641C1">
        <w:t>и</w:t>
      </w:r>
      <w:r w:rsidRPr="00A641C1">
        <w:t>вийские власти нарушили в их отношении статьи 7, 9, 12, 17 и 23. Государство-участник не гарантировало им защиты от дискриминации и не обеспечило им равного обращения и равной защиты перед законом, а также допустило по о</w:t>
      </w:r>
      <w:r w:rsidRPr="00A641C1">
        <w:t>т</w:t>
      </w:r>
      <w:r w:rsidRPr="00A641C1">
        <w:t xml:space="preserve">ношению к ним дискриминацию на основе </w:t>
      </w:r>
      <w:r w:rsidR="00DC479B">
        <w:t xml:space="preserve">их </w:t>
      </w:r>
      <w:r>
        <w:t>гражданства</w:t>
      </w:r>
      <w:r w:rsidRPr="00A641C1">
        <w:t xml:space="preserve"> и расы</w:t>
      </w:r>
      <w:r w:rsidRPr="00623FD8">
        <w:rPr>
          <w:rStyle w:val="FootnoteReference"/>
        </w:rPr>
        <w:footnoteReference w:id="22"/>
      </w:r>
      <w:r w:rsidRPr="00A641C1">
        <w:t>. Авторы п</w:t>
      </w:r>
      <w:r w:rsidRPr="00A641C1">
        <w:t>о</w:t>
      </w:r>
      <w:r w:rsidRPr="00A641C1">
        <w:t xml:space="preserve">вторяют, что их преследовали именно потому, что они были иностранцами, </w:t>
      </w:r>
      <w:r>
        <w:t xml:space="preserve">т.е. </w:t>
      </w:r>
      <w:r w:rsidRPr="00A641C1">
        <w:t>отлича</w:t>
      </w:r>
      <w:r>
        <w:t>лись</w:t>
      </w:r>
      <w:r w:rsidRPr="00A641C1">
        <w:t xml:space="preserve"> от местного ливийского населения своим национальным происхо</w:t>
      </w:r>
      <w:r w:rsidRPr="00A641C1">
        <w:t>ж</w:t>
      </w:r>
      <w:r w:rsidRPr="00A641C1">
        <w:t>дением</w:t>
      </w:r>
      <w:r w:rsidRPr="00623FD8">
        <w:rPr>
          <w:rStyle w:val="FootnoteReference"/>
        </w:rPr>
        <w:footnoteReference w:id="23"/>
      </w:r>
      <w:r w:rsidRPr="00A641C1">
        <w:t>.</w:t>
      </w:r>
    </w:p>
    <w:p w:rsidR="00EB4C35" w:rsidRPr="00A641C1" w:rsidRDefault="00EB4C35" w:rsidP="00E0085E">
      <w:pPr>
        <w:pStyle w:val="SingleTxtGR"/>
      </w:pPr>
      <w:r w:rsidRPr="00A641C1">
        <w:t>3.6</w:t>
      </w:r>
      <w:r w:rsidRPr="00A641C1">
        <w:tab/>
        <w:t>В связи со статьями 17 и 23 авторы утверждают, что власти государства-участни</w:t>
      </w:r>
      <w:r>
        <w:t>ка не смогли обеспечить уважения</w:t>
      </w:r>
      <w:r w:rsidRPr="00A641C1">
        <w:t xml:space="preserve"> их права на семейную жизнь, непр</w:t>
      </w:r>
      <w:r w:rsidRPr="00A641C1">
        <w:t>и</w:t>
      </w:r>
      <w:r w:rsidRPr="00A641C1">
        <w:t xml:space="preserve">косновенность частной жизни, </w:t>
      </w:r>
      <w:r>
        <w:t>честь и репутацию</w:t>
      </w:r>
      <w:r w:rsidRPr="00A641C1">
        <w:t xml:space="preserve"> и защитить их </w:t>
      </w:r>
      <w:r>
        <w:t>от</w:t>
      </w:r>
      <w:r w:rsidRPr="00A641C1">
        <w:t xml:space="preserve"> посяг</w:t>
      </w:r>
      <w:r w:rsidRPr="00A641C1">
        <w:t>а</w:t>
      </w:r>
      <w:r w:rsidRPr="00A641C1">
        <w:t>тельств на это право. Они напоминают, что их регулярно преследовали, держ</w:t>
      </w:r>
      <w:r w:rsidRPr="00A641C1">
        <w:t>а</w:t>
      </w:r>
      <w:r w:rsidRPr="00A641C1">
        <w:t>ли под наблюдением, подвергали угрозам и запугиваниям; что их жилище нах</w:t>
      </w:r>
      <w:r w:rsidRPr="00A641C1">
        <w:t>о</w:t>
      </w:r>
      <w:r w:rsidRPr="00A641C1">
        <w:t>дилось в окружении почти 300 человек; и что им отключили воду, электричес</w:t>
      </w:r>
      <w:r w:rsidRPr="00A641C1">
        <w:t>т</w:t>
      </w:r>
      <w:r w:rsidRPr="00A641C1">
        <w:t>во и телефон. Кроме того, они утверждают, что власти умышленно стрем</w:t>
      </w:r>
      <w:r w:rsidRPr="00A641C1">
        <w:t>и</w:t>
      </w:r>
      <w:r w:rsidRPr="00A641C1">
        <w:t>лись очернить их честь и репутацию, распространяя о них ложные слухи, чтобы н</w:t>
      </w:r>
      <w:r w:rsidRPr="00A641C1">
        <w:t>а</w:t>
      </w:r>
      <w:r w:rsidRPr="00A641C1">
        <w:t>строить против них общественность. Они также подчеркивают, что третий, че</w:t>
      </w:r>
      <w:r w:rsidRPr="00A641C1">
        <w:t>т</w:t>
      </w:r>
      <w:r w:rsidRPr="00A641C1">
        <w:t>вертый, пятый и шестой авторы были</w:t>
      </w:r>
      <w:r>
        <w:t xml:space="preserve"> отчислены и</w:t>
      </w:r>
      <w:r w:rsidRPr="00A641C1">
        <w:t xml:space="preserve"> исключены из университ</w:t>
      </w:r>
      <w:r w:rsidRPr="00A641C1">
        <w:t>е</w:t>
      </w:r>
      <w:r w:rsidRPr="00A641C1">
        <w:t xml:space="preserve">тов, что привело к потере </w:t>
      </w:r>
      <w:r>
        <w:t xml:space="preserve">ими </w:t>
      </w:r>
      <w:r w:rsidRPr="00A641C1">
        <w:t>доходов и перспектив личностного роста. Нак</w:t>
      </w:r>
      <w:r w:rsidRPr="00A641C1">
        <w:t>о</w:t>
      </w:r>
      <w:r w:rsidRPr="00A641C1">
        <w:t>нец, они утверждают, что было нарушено их пра</w:t>
      </w:r>
      <w:r>
        <w:t>во на единство семьи, так как в </w:t>
      </w:r>
      <w:r w:rsidRPr="00A641C1">
        <w:t>течение нескольких месяцев их не информировали об</w:t>
      </w:r>
      <w:r>
        <w:t xml:space="preserve"> участи Ашрафа эль-Ха</w:t>
      </w:r>
      <w:r w:rsidRPr="00A641C1">
        <w:t>гога, впоследствии предоставили им ложную информацию о его судьбе, р</w:t>
      </w:r>
      <w:r w:rsidRPr="00A641C1">
        <w:t>е</w:t>
      </w:r>
      <w:r w:rsidRPr="00A641C1">
        <w:t xml:space="preserve">гулярно не давали разрешения </w:t>
      </w:r>
      <w:r>
        <w:t>на его посещение</w:t>
      </w:r>
      <w:r w:rsidRPr="00A641C1">
        <w:t xml:space="preserve"> и в конечном итоге вынудили их покинуть Ливию и оставить его, их сына и брата, в Ливии. В этой связи а</w:t>
      </w:r>
      <w:r w:rsidRPr="00A641C1">
        <w:t>в</w:t>
      </w:r>
      <w:r w:rsidRPr="00A641C1">
        <w:t>торы утверждают, что государство-участник</w:t>
      </w:r>
      <w:r w:rsidR="00DC479B">
        <w:t xml:space="preserve"> нарушило в их отношении ст</w:t>
      </w:r>
      <w:r w:rsidR="00DC479B">
        <w:t>а</w:t>
      </w:r>
      <w:r w:rsidR="00DC479B">
        <w:t>тьи </w:t>
      </w:r>
      <w:r w:rsidRPr="00A641C1">
        <w:t>17 и 23 Пакта.</w:t>
      </w:r>
    </w:p>
    <w:p w:rsidR="00EB4C35" w:rsidRPr="00A641C1" w:rsidRDefault="00EB4C35" w:rsidP="00E0085E">
      <w:pPr>
        <w:pStyle w:val="SingleTxtGR"/>
      </w:pPr>
      <w:r w:rsidRPr="00A641C1">
        <w:t>3.7</w:t>
      </w:r>
      <w:r w:rsidRPr="00A641C1">
        <w:tab/>
        <w:t xml:space="preserve">Наконец, авторы утверждают, что их заявления не были </w:t>
      </w:r>
      <w:r>
        <w:t>должным обр</w:t>
      </w:r>
      <w:r>
        <w:t>а</w:t>
      </w:r>
      <w:r>
        <w:t>зом</w:t>
      </w:r>
      <w:r w:rsidRPr="00A641C1">
        <w:t xml:space="preserve"> и эффективно расследованы властями и что они были лишены права под</w:t>
      </w:r>
      <w:r w:rsidRPr="00A641C1">
        <w:t>а</w:t>
      </w:r>
      <w:r w:rsidRPr="00A641C1">
        <w:t xml:space="preserve">вать жалобы на </w:t>
      </w:r>
      <w:r>
        <w:t>неправомерное</w:t>
      </w:r>
      <w:r w:rsidRPr="00A641C1">
        <w:t xml:space="preserve"> обращение в нарушение пункта 3 статьи 2 Па</w:t>
      </w:r>
      <w:r w:rsidRPr="00A641C1">
        <w:t>к</w:t>
      </w:r>
      <w:r w:rsidRPr="00A641C1">
        <w:t>та. Кроме того, их жалобы не были оперативно и беспристрастно расследованы властями</w:t>
      </w:r>
      <w:r w:rsidRPr="00623FD8">
        <w:rPr>
          <w:rStyle w:val="FootnoteReference"/>
        </w:rPr>
        <w:footnoteReference w:id="24"/>
      </w:r>
      <w:r w:rsidRPr="00A641C1">
        <w:t>.</w:t>
      </w:r>
    </w:p>
    <w:p w:rsidR="00EB4C35" w:rsidRPr="00A641C1" w:rsidRDefault="00EB4C35" w:rsidP="00E0085E">
      <w:pPr>
        <w:pStyle w:val="H23GR"/>
      </w:pPr>
      <w:r>
        <w:tab/>
      </w:r>
      <w:r>
        <w:tab/>
      </w:r>
      <w:r w:rsidRPr="00A641C1">
        <w:t>Отсутствие сотрудничества со стороны государства-участника</w:t>
      </w:r>
    </w:p>
    <w:p w:rsidR="00EB4C35" w:rsidRPr="00A641C1" w:rsidRDefault="00EB4C35" w:rsidP="00E0085E">
      <w:pPr>
        <w:pStyle w:val="SingleTxtGR"/>
      </w:pPr>
      <w:r w:rsidRPr="00A641C1">
        <w:t>4.</w:t>
      </w:r>
      <w:r w:rsidRPr="00A641C1">
        <w:tab/>
        <w:t>21 июля 2010 года, 28 июня 2011 года, 2</w:t>
      </w:r>
      <w:r>
        <w:t xml:space="preserve"> ноября 2011 года и 10 мая 2012 </w:t>
      </w:r>
      <w:r w:rsidRPr="00A641C1">
        <w:t>года государству-участнику предлагалось представить свои замечания о</w:t>
      </w:r>
      <w:r w:rsidRPr="00A641C1">
        <w:t>т</w:t>
      </w:r>
      <w:r w:rsidRPr="00A641C1">
        <w:t>носительно приемлемости и существа сообщения. Комитет констатирует, что эта информация получена не была. Он сожалеет, что государство-участник не представило какой-либо информации о приемлемости и/или существе жалоб авторов. Он напоминает, что в соответствии с пунктом 2 статьи 4 Факультати</w:t>
      </w:r>
      <w:r w:rsidRPr="00A641C1">
        <w:t>в</w:t>
      </w:r>
      <w:r w:rsidRPr="00A641C1">
        <w:t>ного протокола соответствующее государство-участник обязано представлять Комитету письменные объяснения или заявления, разъясняющие рассматрива</w:t>
      </w:r>
      <w:r w:rsidRPr="00A641C1">
        <w:t>е</w:t>
      </w:r>
      <w:r w:rsidRPr="00A641C1">
        <w:t xml:space="preserve">мый вопрос и характеризующие любые меры по исправлению ситуации, если таковые были приняты государством. </w:t>
      </w:r>
      <w:r>
        <w:t>При отсутствии</w:t>
      </w:r>
      <w:r w:rsidRPr="00A641C1">
        <w:t xml:space="preserve"> ответа от государства-участника Комитет должен придавать должное значение тем утверждениям а</w:t>
      </w:r>
      <w:r w:rsidRPr="00A641C1">
        <w:t>в</w:t>
      </w:r>
      <w:r w:rsidRPr="00A641C1">
        <w:t>торов, кот</w:t>
      </w:r>
      <w:r w:rsidRPr="00A641C1">
        <w:t>о</w:t>
      </w:r>
      <w:r w:rsidRPr="00A641C1">
        <w:t>рые были надлежащим образом обоснованы</w:t>
      </w:r>
      <w:r w:rsidRPr="00623FD8">
        <w:rPr>
          <w:rStyle w:val="FootnoteReference"/>
        </w:rPr>
        <w:footnoteReference w:id="25"/>
      </w:r>
      <w:r w:rsidRPr="00A641C1">
        <w:t>.</w:t>
      </w:r>
    </w:p>
    <w:p w:rsidR="00EB4C35" w:rsidRPr="00A641C1" w:rsidRDefault="00EB4C35" w:rsidP="00E0085E">
      <w:pPr>
        <w:pStyle w:val="H23GR"/>
      </w:pPr>
      <w:r>
        <w:tab/>
      </w:r>
      <w:r>
        <w:tab/>
      </w:r>
      <w:r w:rsidRPr="00A641C1">
        <w:t>Вопросы и процедура их рассмотрения в Комитете</w:t>
      </w:r>
    </w:p>
    <w:p w:rsidR="00EB4C35" w:rsidRPr="00A641C1" w:rsidRDefault="00EB4C35" w:rsidP="00E0085E">
      <w:pPr>
        <w:pStyle w:val="H4GR"/>
      </w:pPr>
      <w:r>
        <w:tab/>
      </w:r>
      <w:r>
        <w:tab/>
      </w:r>
      <w:r w:rsidRPr="00A641C1">
        <w:t>Рассмотрение вопроса о приемлемости</w:t>
      </w:r>
    </w:p>
    <w:p w:rsidR="00EB4C35" w:rsidRPr="00A641C1" w:rsidRDefault="00EB4C35" w:rsidP="00E0085E">
      <w:pPr>
        <w:pStyle w:val="SingleTxtGR"/>
      </w:pPr>
      <w:r w:rsidRPr="00A641C1">
        <w:t>5.1</w:t>
      </w:r>
      <w:r w:rsidRPr="00A641C1">
        <w:tab/>
        <w:t>Прежде чем рассматривать любую жалобу, содержащуюся в том или ином сообщении, Комитет по правам человека должен согласно правилу 93 его пр</w:t>
      </w:r>
      <w:r w:rsidRPr="00A641C1">
        <w:t>а</w:t>
      </w:r>
      <w:r w:rsidRPr="00A641C1">
        <w:t>вил процедуры принять решение о том, является ли данное сообщение прие</w:t>
      </w:r>
      <w:r w:rsidRPr="00A641C1">
        <w:t>м</w:t>
      </w:r>
      <w:r w:rsidRPr="00A641C1">
        <w:t>лемым или неприемлемым в соответстви</w:t>
      </w:r>
      <w:r>
        <w:t>и с Факультативным протоколом к </w:t>
      </w:r>
      <w:r w:rsidRPr="00A641C1">
        <w:t>Па</w:t>
      </w:r>
      <w:r w:rsidRPr="00A641C1">
        <w:t>к</w:t>
      </w:r>
      <w:r w:rsidRPr="00A641C1">
        <w:t>ту.</w:t>
      </w:r>
    </w:p>
    <w:p w:rsidR="00EB4C35" w:rsidRPr="00A641C1" w:rsidRDefault="00EB4C35" w:rsidP="00E0085E">
      <w:pPr>
        <w:pStyle w:val="SingleTxtGR"/>
      </w:pPr>
      <w:r w:rsidRPr="00A641C1">
        <w:t>5.2</w:t>
      </w:r>
      <w:r w:rsidRPr="00A641C1">
        <w:tab/>
      </w:r>
      <w:r>
        <w:t>Как</w:t>
      </w:r>
      <w:r w:rsidRPr="00A641C1">
        <w:t xml:space="preserve"> это предусмотрено требования</w:t>
      </w:r>
      <w:r>
        <w:t>ми</w:t>
      </w:r>
      <w:r w:rsidRPr="00A641C1">
        <w:t xml:space="preserve"> пункта 2 а) статьи 5 Факультати</w:t>
      </w:r>
      <w:r w:rsidRPr="00A641C1">
        <w:t>в</w:t>
      </w:r>
      <w:r w:rsidRPr="00A641C1">
        <w:t>ного протокола,</w:t>
      </w:r>
      <w:r w:rsidRPr="00E1502F">
        <w:t xml:space="preserve"> </w:t>
      </w:r>
      <w:r>
        <w:t>Комитет удостоверился в том,</w:t>
      </w:r>
      <w:r w:rsidRPr="00A641C1">
        <w:t xml:space="preserve"> что этот же вопрос не рассма</w:t>
      </w:r>
      <w:r w:rsidRPr="00A641C1">
        <w:t>т</w:t>
      </w:r>
      <w:r w:rsidRPr="00A641C1">
        <w:t>ривается в соответствии с другой процедурой международного разбирательства или урегулирования.</w:t>
      </w:r>
    </w:p>
    <w:p w:rsidR="00EB4C35" w:rsidRPr="00461F14" w:rsidRDefault="00EB4C35" w:rsidP="00E0085E">
      <w:pPr>
        <w:pStyle w:val="SingleTxtGR"/>
      </w:pPr>
      <w:r w:rsidRPr="00A641C1">
        <w:t>5.3</w:t>
      </w:r>
      <w:r w:rsidRPr="00A641C1">
        <w:tab/>
        <w:t>Что касается заявлений авторов в соответствии с пунктом 1 статьи 2, ра</w:t>
      </w:r>
      <w:r w:rsidRPr="00A641C1">
        <w:t>с</w:t>
      </w:r>
      <w:r w:rsidRPr="00A641C1">
        <w:t xml:space="preserve">сматриваемым в </w:t>
      </w:r>
      <w:r>
        <w:t>сочетании</w:t>
      </w:r>
      <w:r w:rsidRPr="00A641C1">
        <w:t xml:space="preserve"> со статьями 7, 9, 12, 17 и 23 Пакта, и в соответствии со статьей 26 Пакта,</w:t>
      </w:r>
      <w:r>
        <w:t xml:space="preserve"> то</w:t>
      </w:r>
      <w:r w:rsidRPr="00A641C1">
        <w:t xml:space="preserve"> Комитет констатирует, что авторы не </w:t>
      </w:r>
      <w:r>
        <w:t>доказали, что к ним было применено иное</w:t>
      </w:r>
      <w:r w:rsidRPr="00A641C1">
        <w:t xml:space="preserve"> обраще</w:t>
      </w:r>
      <w:r>
        <w:t>ние</w:t>
      </w:r>
      <w:r w:rsidRPr="00A641C1">
        <w:t xml:space="preserve"> по сравнению с другими лицами, нах</w:t>
      </w:r>
      <w:r w:rsidRPr="00A641C1">
        <w:t>о</w:t>
      </w:r>
      <w:r w:rsidRPr="00A641C1">
        <w:t>дящимися под юрисдикцией государства-участника, на основе, как они утве</w:t>
      </w:r>
      <w:r w:rsidRPr="00A641C1">
        <w:t>р</w:t>
      </w:r>
      <w:r w:rsidRPr="00A641C1">
        <w:t xml:space="preserve">ждают, расы или </w:t>
      </w:r>
      <w:r>
        <w:t>гражданства</w:t>
      </w:r>
      <w:r w:rsidRPr="00A641C1">
        <w:t xml:space="preserve"> или на каком-либо </w:t>
      </w:r>
      <w:r>
        <w:t>ином</w:t>
      </w:r>
      <w:r w:rsidRPr="00A641C1">
        <w:t xml:space="preserve"> основании.</w:t>
      </w:r>
      <w:r w:rsidR="00DC479B">
        <w:t xml:space="preserve"> </w:t>
      </w:r>
      <w:r w:rsidRPr="00461F14">
        <w:t>Поэтому К</w:t>
      </w:r>
      <w:r w:rsidRPr="00461F14">
        <w:t>о</w:t>
      </w:r>
      <w:r w:rsidRPr="00461F14">
        <w:t>митет приходит к выводу, что авторы не обосновали это утверждение, и, след</w:t>
      </w:r>
      <w:r w:rsidRPr="00461F14">
        <w:t>о</w:t>
      </w:r>
      <w:r w:rsidRPr="00461F14">
        <w:t>вательно, объявляет эту часть сообщения неприемлемой в соотве</w:t>
      </w:r>
      <w:r w:rsidRPr="00461F14">
        <w:t>т</w:t>
      </w:r>
      <w:r w:rsidRPr="00461F14">
        <w:t xml:space="preserve">ствии со статьей 2 Факультативного протокола. </w:t>
      </w:r>
    </w:p>
    <w:p w:rsidR="00EB4C35" w:rsidRPr="00461F14" w:rsidRDefault="00EB4C35" w:rsidP="00E0085E">
      <w:pPr>
        <w:pStyle w:val="SingleTxtGR"/>
      </w:pPr>
      <w:r w:rsidRPr="00461F14">
        <w:t>5.4</w:t>
      </w:r>
      <w:r w:rsidRPr="00461F14">
        <w:tab/>
        <w:t xml:space="preserve">Комитет далее принял к сведению </w:t>
      </w:r>
      <w:r>
        <w:t>заявление</w:t>
      </w:r>
      <w:r w:rsidRPr="00461F14">
        <w:t xml:space="preserve"> авторов относительно нар</w:t>
      </w:r>
      <w:r w:rsidRPr="00461F14">
        <w:t>у</w:t>
      </w:r>
      <w:r w:rsidRPr="00461F14">
        <w:t>шения их права на свободу передвижения в соответствии со статьей 12 Пакта, однако считает, что, за исключением упомянутых трудностей с обно</w:t>
      </w:r>
      <w:r w:rsidRPr="00461F14">
        <w:t>в</w:t>
      </w:r>
      <w:r w:rsidRPr="00461F14">
        <w:t>лением их видов на жительство начиная с 1995 года, авторы не сумели продемонстрир</w:t>
      </w:r>
      <w:r w:rsidRPr="00461F14">
        <w:t>о</w:t>
      </w:r>
      <w:r w:rsidRPr="00461F14">
        <w:t>вать для целей приемлемости, как государство-участник на деле вмеш</w:t>
      </w:r>
      <w:r w:rsidRPr="00461F14">
        <w:t>и</w:t>
      </w:r>
      <w:r w:rsidRPr="00461F14">
        <w:t>валось в осуществление их права на свободу передвижения или мешало им путешеств</w:t>
      </w:r>
      <w:r w:rsidRPr="00461F14">
        <w:t>о</w:t>
      </w:r>
      <w:r w:rsidRPr="00461F14">
        <w:t>вать по стране или выехать из нее, тем более что, как представляется, они ос</w:t>
      </w:r>
      <w:r w:rsidRPr="00461F14">
        <w:t>у</w:t>
      </w:r>
      <w:r w:rsidRPr="00461F14">
        <w:t>ществили переезд в Триполи и в конечном итоге выехали в 2005 году из Ливии в Нидерланды, где получили статус беженцев. С</w:t>
      </w:r>
      <w:r>
        <w:t>ледовательно</w:t>
      </w:r>
      <w:r w:rsidRPr="00461F14">
        <w:t>, эта часть соо</w:t>
      </w:r>
      <w:r w:rsidRPr="00461F14">
        <w:t>б</w:t>
      </w:r>
      <w:r w:rsidRPr="00461F14">
        <w:t>щения также является неприемлемой в соответствии со статьей 2 Факультати</w:t>
      </w:r>
      <w:r w:rsidRPr="00461F14">
        <w:t>в</w:t>
      </w:r>
      <w:r w:rsidRPr="00461F14">
        <w:t xml:space="preserve">ного протокола. Что касается свободы выбора места жительства в пределах территории государства-участника, </w:t>
      </w:r>
      <w:r>
        <w:t xml:space="preserve">то </w:t>
      </w:r>
      <w:r w:rsidRPr="00461F14">
        <w:t xml:space="preserve">Комитет считает, что авторы достаточно обосновали свое заявление о том, что они были вынуждены </w:t>
      </w:r>
      <w:r>
        <w:t xml:space="preserve">покинуть </w:t>
      </w:r>
      <w:r w:rsidRPr="00461F14">
        <w:t>Тарх</w:t>
      </w:r>
      <w:r w:rsidRPr="00461F14">
        <w:t>у</w:t>
      </w:r>
      <w:r w:rsidRPr="00461F14">
        <w:t>н</w:t>
      </w:r>
      <w:r>
        <w:t>у</w:t>
      </w:r>
      <w:r w:rsidRPr="00461F14">
        <w:t xml:space="preserve"> и переехать в Триполи, и объявляет эту часть сообщения приемлемой.</w:t>
      </w:r>
    </w:p>
    <w:p w:rsidR="00EB4C35" w:rsidRPr="00461F14" w:rsidRDefault="00EB4C35" w:rsidP="00E0085E">
      <w:pPr>
        <w:pStyle w:val="SingleTxtGR"/>
      </w:pPr>
      <w:r w:rsidRPr="00461F14">
        <w:t>5.5</w:t>
      </w:r>
      <w:r w:rsidRPr="00461F14">
        <w:tab/>
        <w:t>Что касается исчерпания внутренних средств правовой защиты, то Ком</w:t>
      </w:r>
      <w:r w:rsidRPr="00461F14">
        <w:t>и</w:t>
      </w:r>
      <w:r w:rsidRPr="00461F14">
        <w:t>тет вновь выражает обеспокоенность по поводу того, что, несмотря на три н</w:t>
      </w:r>
      <w:r w:rsidRPr="00461F14">
        <w:t>а</w:t>
      </w:r>
      <w:r w:rsidRPr="00461F14">
        <w:t>поминания, направленные государству-участнику, никаких замечаний по вопр</w:t>
      </w:r>
      <w:r w:rsidRPr="00461F14">
        <w:t>о</w:t>
      </w:r>
      <w:r w:rsidRPr="00461F14">
        <w:t>су о приемлемости или существе сообщения получено не было. В этих обсто</w:t>
      </w:r>
      <w:r w:rsidRPr="00461F14">
        <w:t>я</w:t>
      </w:r>
      <w:r w:rsidRPr="00461F14">
        <w:t>тельствах Комитет считает, что ничто не мешает ему приступить к рассмотр</w:t>
      </w:r>
      <w:r w:rsidRPr="00461F14">
        <w:t>е</w:t>
      </w:r>
      <w:r w:rsidRPr="00461F14">
        <w:t xml:space="preserve">нию данного сообщения в соответствии с пунктом 2 </w:t>
      </w:r>
      <w:r w:rsidRPr="00461F14">
        <w:rPr>
          <w:lang w:val="en-US"/>
        </w:rPr>
        <w:t>b</w:t>
      </w:r>
      <w:r w:rsidRPr="00461F14">
        <w:t>) статьи 5 Факультативн</w:t>
      </w:r>
      <w:r w:rsidRPr="00461F14">
        <w:t>о</w:t>
      </w:r>
      <w:r w:rsidRPr="00461F14">
        <w:t xml:space="preserve">го протокола. </w:t>
      </w:r>
    </w:p>
    <w:p w:rsidR="00EB4C35" w:rsidRPr="00461F14" w:rsidRDefault="00EB4C35" w:rsidP="00E0085E">
      <w:pPr>
        <w:pStyle w:val="SingleTxtGR"/>
      </w:pPr>
      <w:r w:rsidRPr="00461F14">
        <w:t>5.6</w:t>
      </w:r>
      <w:r w:rsidRPr="00461F14">
        <w:tab/>
        <w:t>За исключением частей, объявленных неприемлемыми в соответствии со статьей 2 Факультати</w:t>
      </w:r>
      <w:r w:rsidRPr="00461F14">
        <w:t>в</w:t>
      </w:r>
      <w:r w:rsidRPr="00461F14">
        <w:t>ного протокола, Комитет объявляет остальное сообщение приемлемым в части, касающейся вопросов, относящихся к пункту 3 статьи 2, статьям 7, 9, 12, 17 и 23 Пакта.</w:t>
      </w:r>
    </w:p>
    <w:p w:rsidR="00EB4C35" w:rsidRPr="00461F14" w:rsidRDefault="00EB4C35" w:rsidP="000B74E4">
      <w:pPr>
        <w:pStyle w:val="H4GR"/>
        <w:spacing w:before="240"/>
      </w:pPr>
      <w:r>
        <w:tab/>
      </w:r>
      <w:r>
        <w:tab/>
      </w:r>
      <w:r w:rsidRPr="00461F14">
        <w:t>Рассмотрение сообщения по существу</w:t>
      </w:r>
    </w:p>
    <w:p w:rsidR="00EB4C35" w:rsidRPr="00461F14" w:rsidRDefault="00EB4C35" w:rsidP="00E0085E">
      <w:pPr>
        <w:pStyle w:val="SingleTxtGR"/>
      </w:pPr>
      <w:r w:rsidRPr="00461F14">
        <w:t>6.1</w:t>
      </w:r>
      <w:r w:rsidRPr="00461F14">
        <w:tab/>
        <w:t>Комитет по правам человека рассмотрел данное сообщение в свете всей информации, предста</w:t>
      </w:r>
      <w:r w:rsidRPr="00461F14">
        <w:t>в</w:t>
      </w:r>
      <w:r w:rsidRPr="00461F14">
        <w:t xml:space="preserve">ленной ему сторонами, как это предусмотрено в пункте 1 статьи 5 Факультативного протокола. </w:t>
      </w:r>
    </w:p>
    <w:p w:rsidR="00EB4C35" w:rsidRPr="00461F14" w:rsidRDefault="00EB4C35" w:rsidP="00E0085E">
      <w:pPr>
        <w:pStyle w:val="SingleTxtGR"/>
      </w:pPr>
      <w:r w:rsidRPr="00461F14">
        <w:t>6.2</w:t>
      </w:r>
      <w:r w:rsidRPr="00461F14">
        <w:tab/>
        <w:t>Комитет подтверждает свои решения</w:t>
      </w:r>
      <w:r w:rsidRPr="00461F14">
        <w:rPr>
          <w:vertAlign w:val="superscript"/>
        </w:rPr>
        <w:footnoteReference w:id="26"/>
      </w:r>
      <w:r w:rsidRPr="00461F14">
        <w:t xml:space="preserve"> о том, что бремя доказывания нел</w:t>
      </w:r>
      <w:r w:rsidRPr="00461F14">
        <w:t>ь</w:t>
      </w:r>
      <w:r w:rsidRPr="00461F14">
        <w:t xml:space="preserve">зя возлагать только на автора сообщения, особенно с учетом того, что автор и государство-участник не всегда имеют равный доступ к доказательной базе и </w:t>
      </w:r>
      <w:r>
        <w:t xml:space="preserve">что </w:t>
      </w:r>
      <w:r w:rsidRPr="00461F14">
        <w:t>зачастую только государство-участник располагает требуемой информац</w:t>
      </w:r>
      <w:r w:rsidRPr="00461F14">
        <w:t>и</w:t>
      </w:r>
      <w:r w:rsidRPr="00461F14">
        <w:t>ей. Из пункта 2 статьи 4 Факультативного протокола вытекает, что государство-участник обязано добросовестно расследовать все касающиеся его и его пре</w:t>
      </w:r>
      <w:r w:rsidRPr="00461F14">
        <w:t>д</w:t>
      </w:r>
      <w:r w:rsidRPr="00461F14">
        <w:t>ставителей утверждения о нарушениях Пакта и направить Комитету имеющу</w:t>
      </w:r>
      <w:r w:rsidRPr="00461F14">
        <w:t>ю</w:t>
      </w:r>
      <w:r w:rsidRPr="00461F14">
        <w:t>ся в его распоряжении информацию. В тех случаях, когда авторы приложили все разумные усилия для сбора доказательств в поддержку своих жалоб и когда дальнейшее выяснение обстоятельств дела зависит от информации, находяще</w:t>
      </w:r>
      <w:r w:rsidRPr="00461F14">
        <w:t>й</w:t>
      </w:r>
      <w:r w:rsidRPr="00461F14">
        <w:t>ся в распоряжении исключительно государства-участника, Комитет может пр</w:t>
      </w:r>
      <w:r w:rsidRPr="00461F14">
        <w:t>и</w:t>
      </w:r>
      <w:r w:rsidRPr="00461F14">
        <w:t>знать утверждения авторов обоснованны</w:t>
      </w:r>
      <w:r>
        <w:t>ми при</w:t>
      </w:r>
      <w:r w:rsidRPr="00461F14">
        <w:t xml:space="preserve"> отсутстви</w:t>
      </w:r>
      <w:r>
        <w:t>и</w:t>
      </w:r>
      <w:r w:rsidRPr="00461F14">
        <w:t xml:space="preserve"> представленных г</w:t>
      </w:r>
      <w:r w:rsidRPr="00461F14">
        <w:t>о</w:t>
      </w:r>
      <w:r w:rsidRPr="00461F14">
        <w:t xml:space="preserve">сударством-участником удовлетворительных доказательств или разъяснений, подтверждающих противоположное. </w:t>
      </w:r>
    </w:p>
    <w:p w:rsidR="00EB4C35" w:rsidRPr="00461F14" w:rsidRDefault="00EB4C35" w:rsidP="00E0085E">
      <w:pPr>
        <w:pStyle w:val="SingleTxtGR"/>
      </w:pPr>
      <w:r w:rsidRPr="00461F14">
        <w:t>6.3</w:t>
      </w:r>
      <w:r w:rsidRPr="00461F14">
        <w:tab/>
        <w:t xml:space="preserve">В </w:t>
      </w:r>
      <w:r>
        <w:t xml:space="preserve">данном </w:t>
      </w:r>
      <w:r w:rsidRPr="00461F14">
        <w:t>случае Комитет принял к сведению утверждение авторов о том, что им не сообщали о судьбе и местонахождении их сына и брата Ашрафа эль-Ха</w:t>
      </w:r>
      <w:r>
        <w:t>г</w:t>
      </w:r>
      <w:r w:rsidRPr="00461F14">
        <w:t xml:space="preserve">ога с момента его ареста в январе 1999 года и вплоть до 30 ноября 1999 года и что им была предоставлена ложная информация о его повешении в то время, когда власти содержали его под стражей без связи с внешним миром. Комитет считает, что терзания и душевная боль, причиненные в результате содержания под стражей без связи с внешним миром их сына и брата Ашрафа эль-Хагога и предоставление </w:t>
      </w:r>
      <w:r>
        <w:t xml:space="preserve">ложной </w:t>
      </w:r>
      <w:r w:rsidRPr="00461F14">
        <w:t>информации о его казни, представляют собой жест</w:t>
      </w:r>
      <w:r w:rsidRPr="00461F14">
        <w:t>о</w:t>
      </w:r>
      <w:r w:rsidRPr="00461F14">
        <w:t>кое, бесчеловечное и унижающее достоинство обращение в нар</w:t>
      </w:r>
      <w:r w:rsidRPr="00461F14">
        <w:t>у</w:t>
      </w:r>
      <w:r w:rsidR="00813FF5">
        <w:t>шение статьи 7 Пакта.</w:t>
      </w:r>
    </w:p>
    <w:p w:rsidR="00EB4C35" w:rsidRPr="00461F14" w:rsidRDefault="00EB4C35" w:rsidP="00E0085E">
      <w:pPr>
        <w:pStyle w:val="SingleTxtGR"/>
      </w:pPr>
      <w:r w:rsidRPr="00461F14">
        <w:t>6.4</w:t>
      </w:r>
      <w:r w:rsidRPr="00461F14">
        <w:tab/>
        <w:t xml:space="preserve">В отношении вопросов, потенциально возникающих в связи со статьей 9, Комитет принял к сведению </w:t>
      </w:r>
      <w:r>
        <w:t xml:space="preserve">утверждение </w:t>
      </w:r>
      <w:r w:rsidRPr="00461F14">
        <w:t xml:space="preserve">авторов о том, что в связи с арестом и </w:t>
      </w:r>
      <w:r>
        <w:t>привлечением к</w:t>
      </w:r>
      <w:r w:rsidRPr="00461F14">
        <w:t xml:space="preserve"> суду их близкого родственника Ашрафа эль-Хагога они были подвергнуты интенсивному давлению, запугиванию, угрозам и нападкам, в ч</w:t>
      </w:r>
      <w:r w:rsidRPr="00461F14">
        <w:t>а</w:t>
      </w:r>
      <w:r w:rsidRPr="00461F14">
        <w:t xml:space="preserve">стности на основании "Хартии чести" 1997 года, которая </w:t>
      </w:r>
      <w:r>
        <w:t xml:space="preserve">фактически </w:t>
      </w:r>
      <w:r w:rsidRPr="00461F14">
        <w:t>разрешила коллективно наказывать лиц, признанных виновными в совершении "колле</w:t>
      </w:r>
      <w:r w:rsidRPr="00461F14">
        <w:t>к</w:t>
      </w:r>
      <w:r w:rsidRPr="00461F14">
        <w:t>тивных преступлений", и которую Комитет ранее описывал как вызывающую обеспокоенность в связи с несколькими статьями Пакта, в том числе стать</w:t>
      </w:r>
      <w:r>
        <w:t>я</w:t>
      </w:r>
      <w:r>
        <w:t>ми </w:t>
      </w:r>
      <w:r w:rsidRPr="00461F14">
        <w:t>7, 9 и 16</w:t>
      </w:r>
      <w:r w:rsidRPr="00461F14">
        <w:rPr>
          <w:vertAlign w:val="superscript"/>
        </w:rPr>
        <w:footnoteReference w:id="27"/>
      </w:r>
      <w:r w:rsidRPr="00461F14">
        <w:t>. Комитет принял, в частности, к сведению различные описанные авторами инциденты, которые были направлены на то, чтобы держать их в с</w:t>
      </w:r>
      <w:r w:rsidRPr="00461F14">
        <w:t>о</w:t>
      </w:r>
      <w:r w:rsidRPr="00461F14">
        <w:t>стоянии п</w:t>
      </w:r>
      <w:r w:rsidRPr="00461F14">
        <w:t>о</w:t>
      </w:r>
      <w:r w:rsidRPr="00461F14">
        <w:t xml:space="preserve">стоянного страха. </w:t>
      </w:r>
      <w:r>
        <w:t>При</w:t>
      </w:r>
      <w:r w:rsidRPr="00461F14">
        <w:t xml:space="preserve"> отсутстви</w:t>
      </w:r>
      <w:r>
        <w:t>и</w:t>
      </w:r>
      <w:r w:rsidRPr="00461F14">
        <w:t xml:space="preserve"> ответа со стороны государства-участника, в котором опр</w:t>
      </w:r>
      <w:r w:rsidRPr="00461F14">
        <w:t>о</w:t>
      </w:r>
      <w:r w:rsidRPr="00461F14">
        <w:t>вергались бы такие заявления, Комитет может только заключить, что эти инциденты были намеренно спровоцированы властями гос</w:t>
      </w:r>
      <w:r w:rsidRPr="00461F14">
        <w:t>у</w:t>
      </w:r>
      <w:r w:rsidRPr="00461F14">
        <w:t>дарства-участника или, по крайней мере, произошли с их молчаливого согл</w:t>
      </w:r>
      <w:r w:rsidRPr="00461F14">
        <w:t>а</w:t>
      </w:r>
      <w:r w:rsidRPr="00461F14">
        <w:t xml:space="preserve">сия. </w:t>
      </w:r>
    </w:p>
    <w:p w:rsidR="00EB4C35" w:rsidRPr="00461F14" w:rsidRDefault="00EB4C35" w:rsidP="00E0085E">
      <w:pPr>
        <w:pStyle w:val="SingleTxtGR"/>
      </w:pPr>
      <w:r w:rsidRPr="00461F14">
        <w:t>6.5</w:t>
      </w:r>
      <w:r w:rsidRPr="00461F14">
        <w:tab/>
        <w:t>Комитет напоминает, что в соответствии со статьей 9 Пакта государства-участники должны пр</w:t>
      </w:r>
      <w:r w:rsidRPr="00461F14">
        <w:t>и</w:t>
      </w:r>
      <w:r w:rsidRPr="00461F14">
        <w:t>нимать надлежащие меры в ответ на угрозы убийством в отношении лиц в общественной сфере и, в б</w:t>
      </w:r>
      <w:r w:rsidRPr="00461F14">
        <w:t>о</w:t>
      </w:r>
      <w:r w:rsidRPr="00461F14">
        <w:t>лее общем плане, защищать людей от предвидимых угроз для жизни или физической неприкосновенности, исх</w:t>
      </w:r>
      <w:r w:rsidRPr="00461F14">
        <w:t>о</w:t>
      </w:r>
      <w:r w:rsidRPr="00461F14">
        <w:t>дящих либо от правительственных, либо от частных субъектов</w:t>
      </w:r>
      <w:r w:rsidRPr="00461F14">
        <w:rPr>
          <w:vertAlign w:val="superscript"/>
        </w:rPr>
        <w:footnoteReference w:id="28"/>
      </w:r>
      <w:r w:rsidRPr="00461F14">
        <w:t>. Государства-участники должны принимать как меры, относящиеся к будущему, чтобы пр</w:t>
      </w:r>
      <w:r w:rsidRPr="00461F14">
        <w:t>е</w:t>
      </w:r>
      <w:r w:rsidRPr="00461F14">
        <w:t xml:space="preserve">дотвратить будущий вред, </w:t>
      </w:r>
      <w:r>
        <w:t xml:space="preserve">так </w:t>
      </w:r>
      <w:r w:rsidRPr="00461F14">
        <w:t>и меры, относящиеся к прошлому, такие как м</w:t>
      </w:r>
      <w:r w:rsidRPr="00461F14">
        <w:t>е</w:t>
      </w:r>
      <w:r w:rsidRPr="00461F14">
        <w:t>ры по обеспечению применения уголовного законодательства, в ответ на вред, причиненный в прошлом</w:t>
      </w:r>
      <w:r w:rsidRPr="00461F14">
        <w:rPr>
          <w:vertAlign w:val="superscript"/>
        </w:rPr>
        <w:footnoteReference w:id="29"/>
      </w:r>
      <w:r w:rsidRPr="00461F14">
        <w:t>. С учетом многочисленных посягательств на без</w:t>
      </w:r>
      <w:r w:rsidRPr="00461F14">
        <w:t>о</w:t>
      </w:r>
      <w:r w:rsidRPr="00461F14">
        <w:t>пасность авторов, которые государство-участник не предотвратило и не рассл</w:t>
      </w:r>
      <w:r w:rsidRPr="00461F14">
        <w:t>е</w:t>
      </w:r>
      <w:r w:rsidRPr="00461F14">
        <w:t xml:space="preserve">довало, Комитет приходит к выводу, что в отношении авторов была нарушена статья 9 Пакта. </w:t>
      </w:r>
    </w:p>
    <w:p w:rsidR="00EB4C35" w:rsidRPr="00461F14" w:rsidRDefault="00EB4C35" w:rsidP="00E0085E">
      <w:pPr>
        <w:pStyle w:val="SingleTxtGR"/>
      </w:pPr>
      <w:r w:rsidRPr="00461F14">
        <w:t>6.6</w:t>
      </w:r>
      <w:r w:rsidRPr="00461F14">
        <w:tab/>
        <w:t>Комит</w:t>
      </w:r>
      <w:r>
        <w:t>ет принял к сведению утверждение авторов о том, что осенью 2004 </w:t>
      </w:r>
      <w:r w:rsidRPr="00461F14">
        <w:t xml:space="preserve">года, опасаясь, что их убьют, они были вынуждены покинуть свой дом в Тархуне и бежать в Триполи, где </w:t>
      </w:r>
      <w:r>
        <w:t>им пришлось скрываться</w:t>
      </w:r>
      <w:r w:rsidRPr="00461F14">
        <w:t xml:space="preserve">. В </w:t>
      </w:r>
      <w:r>
        <w:t xml:space="preserve">условиях </w:t>
      </w:r>
      <w:r w:rsidRPr="00461F14">
        <w:t>отсутс</w:t>
      </w:r>
      <w:r w:rsidRPr="00461F14">
        <w:t>т</w:t>
      </w:r>
      <w:r w:rsidRPr="00461F14">
        <w:t>ви</w:t>
      </w:r>
      <w:r>
        <w:t>я</w:t>
      </w:r>
      <w:r w:rsidRPr="00461F14">
        <w:t xml:space="preserve"> </w:t>
      </w:r>
      <w:r>
        <w:t xml:space="preserve">какого-либо </w:t>
      </w:r>
      <w:r w:rsidRPr="00461F14">
        <w:t>аргумента, представленного государством-участником для о</w:t>
      </w:r>
      <w:r w:rsidRPr="00461F14">
        <w:t>п</w:t>
      </w:r>
      <w:r w:rsidRPr="00461F14">
        <w:t>ровержения этого утверждения, Комитет считает, что права авторов в соотве</w:t>
      </w:r>
      <w:r w:rsidRPr="00461F14">
        <w:t>т</w:t>
      </w:r>
      <w:r w:rsidRPr="00461F14">
        <w:t xml:space="preserve">ствии с пунктом 1 статьи 12 Пакта были нарушены. </w:t>
      </w:r>
    </w:p>
    <w:p w:rsidR="00EB4C35" w:rsidRPr="00461F14" w:rsidRDefault="00EB4C35" w:rsidP="00E0085E">
      <w:pPr>
        <w:pStyle w:val="SingleTxtGR"/>
      </w:pPr>
      <w:r w:rsidRPr="00461F14">
        <w:t>6.7</w:t>
      </w:r>
      <w:r w:rsidRPr="00461F14">
        <w:tab/>
        <w:t>Комитет далее принял к сведению утверждени</w:t>
      </w:r>
      <w:r>
        <w:t>е</w:t>
      </w:r>
      <w:r w:rsidRPr="00461F14">
        <w:t xml:space="preserve"> авторов в соответствии со статьей 17 Пакта в свете ежедневных случаев преследования, </w:t>
      </w:r>
      <w:r>
        <w:t xml:space="preserve">слежки </w:t>
      </w:r>
      <w:r w:rsidRPr="00461F14">
        <w:t>и запуг</w:t>
      </w:r>
      <w:r w:rsidRPr="00461F14">
        <w:t>и</w:t>
      </w:r>
      <w:r w:rsidRPr="00461F14">
        <w:t>вания по от</w:t>
      </w:r>
      <w:r>
        <w:t>ношению к ним;</w:t>
      </w:r>
      <w:r w:rsidRPr="00461F14">
        <w:t xml:space="preserve"> заранее продуманного намерения повредить их че</w:t>
      </w:r>
      <w:r w:rsidRPr="00461F14">
        <w:t>с</w:t>
      </w:r>
      <w:r w:rsidRPr="00461F14">
        <w:t>ти и репутации и настроить против них общественность; а также принятых по отношению к ним на основании "Хартии чести"</w:t>
      </w:r>
      <w:r>
        <w:t xml:space="preserve"> </w:t>
      </w:r>
      <w:r w:rsidRPr="00461F14">
        <w:t xml:space="preserve">карательных мер, которые включали </w:t>
      </w:r>
      <w:r w:rsidR="00813FF5">
        <w:t xml:space="preserve">в себя </w:t>
      </w:r>
      <w:r w:rsidRPr="00461F14">
        <w:t>преднамеренное отключение их частного жилища от подачи электри</w:t>
      </w:r>
      <w:r>
        <w:t>чества и</w:t>
      </w:r>
      <w:r w:rsidRPr="00461F14">
        <w:t xml:space="preserve"> воды и </w:t>
      </w:r>
      <w:r>
        <w:t xml:space="preserve">от </w:t>
      </w:r>
      <w:r w:rsidRPr="00461F14">
        <w:t>телефонной связи (пункты 2.3 и 2.15). Кроме того, Комитет принял к сведению утв</w:t>
      </w:r>
      <w:r>
        <w:t>ерждение</w:t>
      </w:r>
      <w:r w:rsidRPr="00461F14">
        <w:t xml:space="preserve"> авторов о том, что такие меры были применены к ним из-за их родственных связей с Ашрафом эль-Хагогом. Ком</w:t>
      </w:r>
      <w:r w:rsidRPr="00461F14">
        <w:t>и</w:t>
      </w:r>
      <w:r w:rsidRPr="00461F14">
        <w:t xml:space="preserve">тет заключает, что </w:t>
      </w:r>
      <w:r>
        <w:t xml:space="preserve">представленные ему </w:t>
      </w:r>
      <w:r w:rsidRPr="00461F14">
        <w:t>материалы</w:t>
      </w:r>
      <w:r>
        <w:t xml:space="preserve"> </w:t>
      </w:r>
      <w:r w:rsidRPr="00461F14">
        <w:t>свидетельствуют о неодн</w:t>
      </w:r>
      <w:r w:rsidRPr="00461F14">
        <w:t>о</w:t>
      </w:r>
      <w:r w:rsidRPr="00461F14">
        <w:t>кратных случаях противоправного вмешательства в частную, семейную и д</w:t>
      </w:r>
      <w:r w:rsidRPr="00461F14">
        <w:t>о</w:t>
      </w:r>
      <w:r w:rsidRPr="00461F14">
        <w:t>машнюю жизнь авторов</w:t>
      </w:r>
      <w:r>
        <w:t xml:space="preserve"> и </w:t>
      </w:r>
      <w:r w:rsidRPr="00461F14">
        <w:t>противоправного посягательства на их честь и реп</w:t>
      </w:r>
      <w:r w:rsidRPr="00461F14">
        <w:t>у</w:t>
      </w:r>
      <w:r w:rsidRPr="00461F14">
        <w:t>тацию, что является нарушением статьи 17 Па</w:t>
      </w:r>
      <w:r w:rsidRPr="00461F14">
        <w:t>к</w:t>
      </w:r>
      <w:r w:rsidRPr="00461F14">
        <w:t xml:space="preserve">та. </w:t>
      </w:r>
    </w:p>
    <w:p w:rsidR="00EB4C35" w:rsidRPr="00461F14" w:rsidRDefault="00EB4C35" w:rsidP="00E0085E">
      <w:pPr>
        <w:pStyle w:val="SingleTxtGR"/>
      </w:pPr>
      <w:r w:rsidRPr="00461F14">
        <w:t>6.8</w:t>
      </w:r>
      <w:r w:rsidRPr="00461F14">
        <w:tab/>
        <w:t>В свете вышеизложенного Комитет не будет рассматривать заявления а</w:t>
      </w:r>
      <w:r w:rsidRPr="00461F14">
        <w:t>в</w:t>
      </w:r>
      <w:r w:rsidRPr="00461F14">
        <w:t>торов, основанные на н</w:t>
      </w:r>
      <w:r w:rsidRPr="00461F14">
        <w:t>а</w:t>
      </w:r>
      <w:r w:rsidRPr="00461F14">
        <w:t xml:space="preserve">рушении пункта 1 статьи 23 Пакта, отдельно. </w:t>
      </w:r>
    </w:p>
    <w:p w:rsidR="00EB4C35" w:rsidRPr="00461F14" w:rsidRDefault="00EB4C35" w:rsidP="00E0085E">
      <w:pPr>
        <w:pStyle w:val="SingleTxtGR"/>
      </w:pPr>
      <w:r w:rsidRPr="00461F14">
        <w:t>6.9</w:t>
      </w:r>
      <w:r w:rsidRPr="00461F14">
        <w:tab/>
        <w:t>Авторы ссылаются на пункт 3 статьи 2 Пакта, в соответствии с которым государства-участники обязаны обеспечить любо</w:t>
      </w:r>
      <w:r>
        <w:t>му</w:t>
      </w:r>
      <w:r w:rsidRPr="00461F14">
        <w:t xml:space="preserve"> лиц</w:t>
      </w:r>
      <w:r>
        <w:t>у</w:t>
      </w:r>
      <w:r w:rsidRPr="00461F14">
        <w:t>, права которого, пр</w:t>
      </w:r>
      <w:r w:rsidRPr="00461F14">
        <w:t>и</w:t>
      </w:r>
      <w:r w:rsidRPr="00461F14">
        <w:t>знаваемые в Пакте, нарушены, эффек</w:t>
      </w:r>
      <w:r>
        <w:t>тивное</w:t>
      </w:r>
      <w:r w:rsidRPr="00461F14">
        <w:t xml:space="preserve"> средство правовой защиты. Ком</w:t>
      </w:r>
      <w:r w:rsidRPr="00461F14">
        <w:t>и</w:t>
      </w:r>
      <w:r w:rsidRPr="00461F14">
        <w:t>тет придает большое значение созданию государствами-участниками надлеж</w:t>
      </w:r>
      <w:r w:rsidRPr="00461F14">
        <w:t>а</w:t>
      </w:r>
      <w:r w:rsidRPr="00461F14">
        <w:t>щих судебных и административных механизмов для рассмотрения жалоб о н</w:t>
      </w:r>
      <w:r w:rsidRPr="00461F14">
        <w:t>а</w:t>
      </w:r>
      <w:r w:rsidRPr="00461F14">
        <w:t>ру</w:t>
      </w:r>
      <w:r>
        <w:t>шениях</w:t>
      </w:r>
      <w:r w:rsidRPr="00461F14">
        <w:t xml:space="preserve"> прав. Он напоминает о своем замечании общего порядка № 31 (2004</w:t>
      </w:r>
      <w:r>
        <w:t> год</w:t>
      </w:r>
      <w:r w:rsidRPr="00461F14">
        <w:t>), в котором указывается, что непринятие государством-участником мер для расследования предполагаемых нарушений само по себе может стать отдельным нарушением Пакта. В данном случае, хотя авторы сообщили о н</w:t>
      </w:r>
      <w:r w:rsidRPr="00461F14">
        <w:t>е</w:t>
      </w:r>
      <w:r w:rsidRPr="00461F14">
        <w:t>скольких инцидентах соответствующим органам, ни один из этих органов не расследовал их жалоб, включая жалобу, направленную вторым автором в пол</w:t>
      </w:r>
      <w:r w:rsidRPr="00461F14">
        <w:t>и</w:t>
      </w:r>
      <w:r w:rsidRPr="00461F14">
        <w:t>цию, секретарю по делам обра</w:t>
      </w:r>
      <w:r>
        <w:t>зования в Тархуне и М</w:t>
      </w:r>
      <w:r w:rsidRPr="00461F14">
        <w:t>инистру юстиции и без</w:t>
      </w:r>
      <w:r w:rsidRPr="00461F14">
        <w:t>о</w:t>
      </w:r>
      <w:r w:rsidRPr="00461F14">
        <w:t xml:space="preserve">пасности (пункт 2.18). </w:t>
      </w:r>
      <w:r>
        <w:t xml:space="preserve">Исходя из этого, </w:t>
      </w:r>
      <w:r w:rsidRPr="00461F14">
        <w:t>Комитет</w:t>
      </w:r>
      <w:r>
        <w:t xml:space="preserve"> </w:t>
      </w:r>
      <w:r w:rsidRPr="00461F14">
        <w:t>приходит к выводу, что пре</w:t>
      </w:r>
      <w:r w:rsidRPr="00461F14">
        <w:t>д</w:t>
      </w:r>
      <w:r w:rsidRPr="00461F14">
        <w:t>ставленные ему факты свидетельствуют о нарушении статьи 2 (пункт 3), ра</w:t>
      </w:r>
      <w:r w:rsidRPr="00461F14">
        <w:t>с</w:t>
      </w:r>
      <w:r w:rsidRPr="00461F14">
        <w:t>сматриваемой в сочетании со статьями 7, 9, 12 и 17 Пакта, в отношении авт</w:t>
      </w:r>
      <w:r w:rsidRPr="00461F14">
        <w:t>о</w:t>
      </w:r>
      <w:r w:rsidRPr="00461F14">
        <w:t xml:space="preserve">ров. </w:t>
      </w:r>
    </w:p>
    <w:p w:rsidR="00EB4C35" w:rsidRPr="00461F14" w:rsidRDefault="00EB4C35" w:rsidP="00E0085E">
      <w:pPr>
        <w:pStyle w:val="SingleTxtGR"/>
      </w:pPr>
      <w:r w:rsidRPr="00461F14">
        <w:t>7.</w:t>
      </w:r>
      <w:r w:rsidRPr="00461F14">
        <w:tab/>
        <w:t xml:space="preserve">Комитет по правам человека, действуя в </w:t>
      </w:r>
      <w:r w:rsidR="00813FF5">
        <w:t>соответствии с пунктом 4 ст</w:t>
      </w:r>
      <w:r w:rsidR="00813FF5">
        <w:t>а</w:t>
      </w:r>
      <w:r w:rsidR="00813FF5">
        <w:t>тьи </w:t>
      </w:r>
      <w:r w:rsidRPr="00461F14">
        <w:t>5 Факультативного протокола, считает, что представленные ему факты св</w:t>
      </w:r>
      <w:r w:rsidRPr="00461F14">
        <w:t>и</w:t>
      </w:r>
      <w:r w:rsidRPr="00461F14">
        <w:t>детельствуют о нарушении статей 7, 9, 12 и 17 и пункта 3 статьи 2, рассматр</w:t>
      </w:r>
      <w:r w:rsidRPr="00461F14">
        <w:t>и</w:t>
      </w:r>
      <w:r w:rsidRPr="00461F14">
        <w:t xml:space="preserve">ваемого в сочетании со статьями 7, 9, 12 и 17 Пакта. </w:t>
      </w:r>
    </w:p>
    <w:p w:rsidR="00EB4C35" w:rsidRPr="00461F14" w:rsidRDefault="00EB4C35" w:rsidP="00E0085E">
      <w:pPr>
        <w:pStyle w:val="SingleTxtGR"/>
      </w:pPr>
      <w:r w:rsidRPr="00461F14">
        <w:t>8.</w:t>
      </w:r>
      <w:r w:rsidRPr="00461F14">
        <w:tab/>
        <w:t>В соответствии с пунктом 3 а) статьи 2 Пакта государство-участник об</w:t>
      </w:r>
      <w:r w:rsidRPr="00461F14">
        <w:t>я</w:t>
      </w:r>
      <w:r w:rsidRPr="00461F14">
        <w:t>зано обеспечить авторам сообщения эффективное средство правовой защиты, провести тщательное, углубленное расследование их заявлений; привлечь к о</w:t>
      </w:r>
      <w:r w:rsidRPr="00461F14">
        <w:t>т</w:t>
      </w:r>
      <w:r w:rsidRPr="00461F14">
        <w:t>ветственности лиц, виновных в нарушениях, совершенных в отношении авт</w:t>
      </w:r>
      <w:r w:rsidRPr="00461F14">
        <w:t>о</w:t>
      </w:r>
      <w:r w:rsidRPr="00461F14">
        <w:t>ров сообщения; и предоставить авторам соответствующее возмещение, включая компенсацию. Кроме того, государству-участнику необходимо принять меры для предотвращения подобных нарушений в б</w:t>
      </w:r>
      <w:r w:rsidRPr="00461F14">
        <w:t>у</w:t>
      </w:r>
      <w:r w:rsidRPr="00461F14">
        <w:t xml:space="preserve">дущем. </w:t>
      </w:r>
    </w:p>
    <w:p w:rsidR="00EB4C35" w:rsidRPr="00461F14" w:rsidRDefault="00EB4C35" w:rsidP="00E0085E">
      <w:pPr>
        <w:pStyle w:val="SingleTxtGR"/>
      </w:pPr>
      <w:r w:rsidRPr="00461F14">
        <w:t>9.</w:t>
      </w:r>
      <w:r w:rsidRPr="00461F14">
        <w:tab/>
        <w:t>Принимая во внимание тот факт, что, став участником Факультативного протокола, государство-участник признало компетенцию Комитета определять, имело ли место нарушение Пакта, и что согласно статье 2 Пакта государство-участник обязалось обеспечить всем находящимся на его территории или под его юрисдикцией лицам закрепленные в Пакте права, а также эффективные и имеющие исковую с</w:t>
      </w:r>
      <w:r w:rsidRPr="00461F14">
        <w:t>и</w:t>
      </w:r>
      <w:r w:rsidRPr="00461F14">
        <w:t>лу средства правовой защиты в случае установления факта нарушения, Комитет желает получить от государства-участника в течение 180</w:t>
      </w:r>
      <w:r>
        <w:t> </w:t>
      </w:r>
      <w:r w:rsidRPr="00461F14">
        <w:t>дней информацию о принятых мерах по осуществлению сформулирова</w:t>
      </w:r>
      <w:r w:rsidRPr="00461F14">
        <w:t>н</w:t>
      </w:r>
      <w:r w:rsidRPr="00461F14">
        <w:t xml:space="preserve">ных Комитетом соображений. </w:t>
      </w:r>
    </w:p>
    <w:p w:rsidR="00EB4C35" w:rsidRPr="00E61AC0" w:rsidRDefault="00EB4C35" w:rsidP="00E0085E">
      <w:pPr>
        <w:spacing w:before="240"/>
        <w:jc w:val="center"/>
        <w:rPr>
          <w:u w:val="single"/>
        </w:rPr>
      </w:pPr>
      <w:r w:rsidRPr="00E61AC0">
        <w:rPr>
          <w:u w:val="single"/>
        </w:rPr>
        <w:tab/>
      </w:r>
      <w:r w:rsidRPr="00E61AC0">
        <w:rPr>
          <w:u w:val="single"/>
        </w:rPr>
        <w:tab/>
      </w:r>
      <w:r w:rsidRPr="00E61AC0">
        <w:rPr>
          <w:u w:val="single"/>
        </w:rPr>
        <w:tab/>
      </w:r>
    </w:p>
    <w:p w:rsidR="00EB4C35" w:rsidRPr="00D507E7" w:rsidRDefault="00EB4C35" w:rsidP="00E0085E"/>
    <w:p w:rsidR="008B5344" w:rsidRPr="00BA6B82" w:rsidRDefault="008B5344" w:rsidP="00BA6B82">
      <w:pPr>
        <w:pStyle w:val="SingleTxtGR"/>
      </w:pPr>
    </w:p>
    <w:sectPr w:rsidR="008B5344" w:rsidRPr="00BA6B82" w:rsidSect="0084613B">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ADC" w:rsidRDefault="00015ADC">
      <w:r>
        <w:rPr>
          <w:lang w:val="en-US"/>
        </w:rPr>
        <w:tab/>
      </w:r>
      <w:r>
        <w:separator/>
      </w:r>
    </w:p>
  </w:endnote>
  <w:endnote w:type="continuationSeparator" w:id="0">
    <w:p w:rsidR="00015ADC" w:rsidRDefault="00015A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85E" w:rsidRPr="005F0588" w:rsidRDefault="00E0085E">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664D7F">
      <w:rPr>
        <w:rStyle w:val="PageNumber"/>
        <w:noProof/>
      </w:rPr>
      <w:t>14</w:t>
    </w:r>
    <w:r>
      <w:rPr>
        <w:rStyle w:val="PageNumber"/>
      </w:rPr>
      <w:fldChar w:fldCharType="end"/>
    </w:r>
    <w:r>
      <w:rPr>
        <w:lang w:val="en-US"/>
      </w:rPr>
      <w:tab/>
      <w:t>GE.1</w:t>
    </w:r>
    <w:r>
      <w:t>4</w:t>
    </w:r>
    <w:r>
      <w:rPr>
        <w:lang w:val="en-US"/>
      </w:rPr>
      <w:t>-</w:t>
    </w:r>
    <w:r>
      <w:t>14527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85E" w:rsidRPr="005F0588" w:rsidRDefault="00E0085E">
    <w:pPr>
      <w:pStyle w:val="Footer"/>
      <w:rPr>
        <w:lang w:val="en-US"/>
      </w:rPr>
    </w:pPr>
    <w:r>
      <w:rPr>
        <w:lang w:val="en-US"/>
      </w:rPr>
      <w:t>GE.1</w:t>
    </w:r>
    <w:r>
      <w:t>4</w:t>
    </w:r>
    <w:r>
      <w:rPr>
        <w:lang w:val="en-US"/>
      </w:rPr>
      <w:t>-</w:t>
    </w:r>
    <w:r>
      <w:t>14527</w:t>
    </w:r>
    <w:r>
      <w:rPr>
        <w:lang w:val="en-US"/>
      </w:rPr>
      <w:tab/>
    </w:r>
    <w:r>
      <w:rPr>
        <w:rStyle w:val="PageNumber"/>
      </w:rPr>
      <w:fldChar w:fldCharType="begin"/>
    </w:r>
    <w:r>
      <w:rPr>
        <w:rStyle w:val="PageNumber"/>
      </w:rPr>
      <w:instrText xml:space="preserve"> PAGE </w:instrText>
    </w:r>
    <w:r>
      <w:rPr>
        <w:rStyle w:val="PageNumber"/>
      </w:rPr>
      <w:fldChar w:fldCharType="separate"/>
    </w:r>
    <w:r w:rsidR="00664D7F">
      <w:rPr>
        <w:rStyle w:val="PageNumber"/>
        <w:noProof/>
      </w:rPr>
      <w:t>13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79"/>
      <w:gridCol w:w="4655"/>
      <w:gridCol w:w="1221"/>
    </w:tblGrid>
    <w:tr w:rsidR="00E0085E" w:rsidTr="00611264">
      <w:trPr>
        <w:trHeight w:val="438"/>
      </w:trPr>
      <w:tc>
        <w:tcPr>
          <w:tcW w:w="4068" w:type="dxa"/>
          <w:vAlign w:val="bottom"/>
        </w:tcPr>
        <w:p w:rsidR="00E0085E" w:rsidRPr="00560913" w:rsidRDefault="00E0085E" w:rsidP="00611264">
          <w:r>
            <w:rPr>
              <w:lang w:val="en-US"/>
            </w:rPr>
            <w:t>GE.1</w:t>
          </w:r>
          <w:r>
            <w:t>4</w:t>
          </w:r>
          <w:r>
            <w:rPr>
              <w:lang w:val="en-US"/>
            </w:rPr>
            <w:t>-</w:t>
          </w:r>
          <w:r>
            <w:t>14527</w:t>
          </w:r>
          <w:r>
            <w:rPr>
              <w:lang w:val="en-US"/>
            </w:rPr>
            <w:t xml:space="preserve">  (R)</w:t>
          </w:r>
          <w:r>
            <w:t xml:space="preserve">   051114   061114</w:t>
          </w:r>
        </w:p>
      </w:tc>
      <w:tc>
        <w:tcPr>
          <w:tcW w:w="4663" w:type="dxa"/>
          <w:vMerge w:val="restart"/>
          <w:vAlign w:val="bottom"/>
        </w:tcPr>
        <w:p w:rsidR="00E0085E" w:rsidRDefault="00E0085E" w:rsidP="00611264">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E0085E" w:rsidRDefault="00E0085E" w:rsidP="00611264">
          <w:pPr>
            <w:jc w:val="right"/>
          </w:pPr>
          <w:r>
            <w:pict>
              <v:shape id="_x0000_i1027" type="#_x0000_t75" style="width:50.25pt;height:50.25pt">
                <v:imagedata r:id="rId2" o:title="2010&amp;Size=2&amp;Lang=R"/>
              </v:shape>
            </w:pict>
          </w:r>
        </w:p>
      </w:tc>
    </w:tr>
    <w:tr w:rsidR="00E0085E" w:rsidRPr="00797A78" w:rsidTr="00611264">
      <w:tc>
        <w:tcPr>
          <w:tcW w:w="4068" w:type="dxa"/>
          <w:vAlign w:val="bottom"/>
        </w:tcPr>
        <w:p w:rsidR="00E0085E" w:rsidRPr="00560913" w:rsidRDefault="00E0085E" w:rsidP="00611264">
          <w:pPr>
            <w:spacing w:after="40"/>
            <w:rPr>
              <w:rFonts w:ascii="C39T30Lfz" w:hAnsi="C39T30Lfz"/>
              <w:spacing w:val="0"/>
              <w:w w:val="100"/>
              <w:kern w:val="0"/>
              <w:sz w:val="56"/>
              <w:szCs w:val="56"/>
              <w:lang w:val="en-US" w:eastAsia="ru-RU"/>
            </w:rPr>
          </w:pPr>
          <w:r w:rsidRPr="00560913">
            <w:rPr>
              <w:rFonts w:ascii="C39T30Lfz" w:hAnsi="C39T30Lfz"/>
              <w:spacing w:val="0"/>
              <w:w w:val="100"/>
              <w:kern w:val="0"/>
              <w:sz w:val="56"/>
              <w:szCs w:val="56"/>
              <w:lang w:val="en-US" w:eastAsia="ru-RU"/>
            </w:rPr>
            <w:t></w:t>
          </w:r>
          <w:r w:rsidRPr="00560913">
            <w:rPr>
              <w:rFonts w:ascii="C39T30Lfz" w:hAnsi="C39T30Lfz"/>
              <w:spacing w:val="0"/>
              <w:w w:val="100"/>
              <w:kern w:val="0"/>
              <w:sz w:val="56"/>
              <w:szCs w:val="56"/>
              <w:lang w:val="en-US" w:eastAsia="ru-RU"/>
            </w:rPr>
            <w:t></w:t>
          </w:r>
          <w:r w:rsidRPr="00560913">
            <w:rPr>
              <w:rFonts w:ascii="C39T30Lfz" w:hAnsi="C39T30Lfz"/>
              <w:spacing w:val="0"/>
              <w:w w:val="100"/>
              <w:kern w:val="0"/>
              <w:sz w:val="56"/>
              <w:szCs w:val="56"/>
              <w:lang w:val="en-US" w:eastAsia="ru-RU"/>
            </w:rPr>
            <w:t></w:t>
          </w:r>
          <w:r w:rsidRPr="00560913">
            <w:rPr>
              <w:rFonts w:ascii="C39T30Lfz" w:hAnsi="C39T30Lfz"/>
              <w:spacing w:val="0"/>
              <w:w w:val="100"/>
              <w:kern w:val="0"/>
              <w:sz w:val="56"/>
              <w:szCs w:val="56"/>
              <w:lang w:val="en-US" w:eastAsia="ru-RU"/>
            </w:rPr>
            <w:t></w:t>
          </w:r>
          <w:r w:rsidRPr="00560913">
            <w:rPr>
              <w:rFonts w:ascii="C39T30Lfz" w:hAnsi="C39T30Lfz"/>
              <w:spacing w:val="0"/>
              <w:w w:val="100"/>
              <w:kern w:val="0"/>
              <w:sz w:val="56"/>
              <w:szCs w:val="56"/>
              <w:lang w:val="en-US" w:eastAsia="ru-RU"/>
            </w:rPr>
            <w:t></w:t>
          </w:r>
          <w:r w:rsidRPr="00560913">
            <w:rPr>
              <w:rFonts w:ascii="C39T30Lfz" w:hAnsi="C39T30Lfz"/>
              <w:spacing w:val="0"/>
              <w:w w:val="100"/>
              <w:kern w:val="0"/>
              <w:sz w:val="56"/>
              <w:szCs w:val="56"/>
              <w:lang w:val="en-US" w:eastAsia="ru-RU"/>
            </w:rPr>
            <w:t></w:t>
          </w:r>
          <w:r w:rsidRPr="00560913">
            <w:rPr>
              <w:rFonts w:ascii="C39T30Lfz" w:hAnsi="C39T30Lfz"/>
              <w:spacing w:val="0"/>
              <w:w w:val="100"/>
              <w:kern w:val="0"/>
              <w:sz w:val="56"/>
              <w:szCs w:val="56"/>
              <w:lang w:val="en-US" w:eastAsia="ru-RU"/>
            </w:rPr>
            <w:t></w:t>
          </w:r>
          <w:r w:rsidRPr="00560913">
            <w:rPr>
              <w:rFonts w:ascii="C39T30Lfz" w:hAnsi="C39T30Lfz"/>
              <w:spacing w:val="0"/>
              <w:w w:val="100"/>
              <w:kern w:val="0"/>
              <w:sz w:val="56"/>
              <w:szCs w:val="56"/>
              <w:lang w:val="en-US" w:eastAsia="ru-RU"/>
            </w:rPr>
            <w:t></w:t>
          </w:r>
          <w:r w:rsidRPr="00560913">
            <w:rPr>
              <w:rFonts w:ascii="C39T30Lfz" w:hAnsi="C39T30Lfz"/>
              <w:spacing w:val="0"/>
              <w:w w:val="100"/>
              <w:kern w:val="0"/>
              <w:sz w:val="56"/>
              <w:szCs w:val="56"/>
              <w:lang w:val="en-US" w:eastAsia="ru-RU"/>
            </w:rPr>
            <w:t></w:t>
          </w:r>
        </w:p>
      </w:tc>
      <w:tc>
        <w:tcPr>
          <w:tcW w:w="4663" w:type="dxa"/>
          <w:vMerge/>
        </w:tcPr>
        <w:p w:rsidR="00E0085E" w:rsidRDefault="00E0085E" w:rsidP="00611264"/>
      </w:tc>
      <w:tc>
        <w:tcPr>
          <w:tcW w:w="1124" w:type="dxa"/>
          <w:vMerge/>
        </w:tcPr>
        <w:p w:rsidR="00E0085E" w:rsidRDefault="00E0085E" w:rsidP="00611264"/>
      </w:tc>
    </w:tr>
  </w:tbl>
  <w:p w:rsidR="00E0085E" w:rsidRDefault="00E0085E" w:rsidP="00381289">
    <w:pPr>
      <w:spacing w:line="240" w:lineRule="auto"/>
      <w:rPr>
        <w:sz w:val="2"/>
        <w:szCs w:val="2"/>
        <w:lang w:val="en-US"/>
      </w:rPr>
    </w:pPr>
  </w:p>
  <w:p w:rsidR="00E0085E" w:rsidRPr="002D7E3C" w:rsidRDefault="00E0085E" w:rsidP="006E7AF7">
    <w:pPr>
      <w:pStyle w:val="Footer"/>
      <w:rPr>
        <w:sz w:val="2"/>
        <w:szCs w:val="2"/>
      </w:rPr>
    </w:pPr>
    <w:r w:rsidRPr="002D7E3C">
      <w:rPr>
        <w:noProof/>
        <w:sz w:val="2"/>
        <w:szCs w:val="2"/>
      </w:rPr>
      <w:pict>
        <v:shapetype id="_x0000_t202" coordsize="21600,21600" o:spt="202" path="m,l,21600r21600,l21600,xe">
          <v:stroke joinstyle="miter"/>
          <v:path gradientshapeok="t" o:connecttype="rect"/>
        </v:shapetype>
        <v:shape id="_x0000_s2049" type="#_x0000_t202" style="position:absolute;margin-left:690pt;margin-top:-193.15pt;width:36pt;height:162.95pt;z-index:1" filled="f" stroked="f">
          <v:textbox style="layout-flow:vertical" inset="0,0,0,0">
            <w:txbxContent>
              <w:p w:rsidR="00E0085E" w:rsidRDefault="00E0085E" w:rsidP="006E7AF7">
                <w:pPr>
                  <w:rPr>
                    <w:lang w:val="en-US"/>
                  </w:rPr>
                </w:pPr>
              </w:p>
              <w:p w:rsidR="00E0085E" w:rsidRDefault="00E0085E" w:rsidP="006E7AF7">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664D7F">
                  <w:rPr>
                    <w:rStyle w:val="PageNumber"/>
                    <w:noProof/>
                  </w:rPr>
                  <w:t>1</w:t>
                </w:r>
                <w:r>
                  <w:rPr>
                    <w:rStyle w:val="PageNumber"/>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ADC" w:rsidRPr="00F71F63" w:rsidRDefault="00015ADC"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015ADC" w:rsidRPr="00F71F63" w:rsidRDefault="00015ADC" w:rsidP="00635E86">
      <w:pPr>
        <w:tabs>
          <w:tab w:val="right" w:pos="2155"/>
        </w:tabs>
        <w:spacing w:after="80" w:line="240" w:lineRule="auto"/>
        <w:rPr>
          <w:u w:val="single"/>
          <w:lang w:val="en-US"/>
        </w:rPr>
      </w:pPr>
      <w:r w:rsidRPr="00F71F63">
        <w:rPr>
          <w:u w:val="single"/>
          <w:lang w:val="en-US"/>
        </w:rPr>
        <w:tab/>
      </w:r>
    </w:p>
    <w:p w:rsidR="00015ADC" w:rsidRPr="00635E86" w:rsidRDefault="00015ADC" w:rsidP="00635E86">
      <w:pPr>
        <w:pStyle w:val="Footer"/>
      </w:pPr>
    </w:p>
  </w:footnote>
  <w:footnote w:id="1">
    <w:p w:rsidR="00E0085E" w:rsidRPr="00DE15C5" w:rsidRDefault="00E0085E" w:rsidP="00511C11">
      <w:pPr>
        <w:pStyle w:val="FootnoteText"/>
        <w:rPr>
          <w:sz w:val="20"/>
          <w:lang w:val="ru-RU"/>
        </w:rPr>
      </w:pPr>
      <w:r>
        <w:tab/>
      </w:r>
      <w:r w:rsidRPr="00DE15C5">
        <w:rPr>
          <w:rStyle w:val="FootnoteReference"/>
          <w:sz w:val="20"/>
          <w:vertAlign w:val="baseline"/>
          <w:lang w:val="ru-RU"/>
        </w:rPr>
        <w:t>*</w:t>
      </w:r>
      <w:r w:rsidRPr="00DE15C5">
        <w:rPr>
          <w:lang w:val="ru-RU"/>
        </w:rPr>
        <w:tab/>
      </w:r>
      <w:r>
        <w:rPr>
          <w:lang w:val="ru-RU"/>
        </w:rPr>
        <w:t>В рассмотрении настоящего сообщения принимали участие следующие члены Комитета: Ядх Бен Ашур, Лазхари Бузид, Ахмад Амин Фатхалла, Корнелис Флинтерман, Юдзи Ивасава, Вальтер Келин, Зонке Занеле Майодина, Джеральд Л. Нойман, Виктор Мануэль Родригес Ресия, Фабиан Омар Сальвиоли, Дируджлалл Ситулсингх, Аня Зайберт-Фор, Юваль Шани, Константин Вардзелашвили, Марго Ватервал и Андрей Паул Злэтеску.</w:t>
      </w:r>
    </w:p>
  </w:footnote>
  <w:footnote w:id="2">
    <w:p w:rsidR="00E0085E" w:rsidRPr="00193685" w:rsidRDefault="00E0085E" w:rsidP="00511C11">
      <w:pPr>
        <w:pStyle w:val="FootnoteText"/>
        <w:rPr>
          <w:lang w:val="ru-RU"/>
        </w:rPr>
      </w:pPr>
      <w:r w:rsidRPr="00482E1A">
        <w:rPr>
          <w:lang w:val="ru-RU"/>
        </w:rPr>
        <w:tab/>
      </w:r>
      <w:r>
        <w:rPr>
          <w:rStyle w:val="FootnoteReference"/>
        </w:rPr>
        <w:footnoteRef/>
      </w:r>
      <w:r w:rsidRPr="00193685">
        <w:rPr>
          <w:lang w:val="ru-RU"/>
        </w:rPr>
        <w:tab/>
        <w:t xml:space="preserve">См. сообщение № 1755/2008, </w:t>
      </w:r>
      <w:r w:rsidRPr="00193685">
        <w:rPr>
          <w:i/>
          <w:lang w:val="ru-RU"/>
        </w:rPr>
        <w:t>Ашраф Ахмад эль-Хагог Джумаа против Ливии</w:t>
      </w:r>
      <w:r w:rsidRPr="00193685">
        <w:rPr>
          <w:lang w:val="ru-RU"/>
        </w:rPr>
        <w:t xml:space="preserve">, </w:t>
      </w:r>
      <w:r>
        <w:rPr>
          <w:lang w:val="ru-RU"/>
        </w:rPr>
        <w:t>С</w:t>
      </w:r>
      <w:r w:rsidRPr="00193685">
        <w:rPr>
          <w:lang w:val="ru-RU"/>
        </w:rPr>
        <w:t>оображения, принятые 19 марта 2012 года</w:t>
      </w:r>
      <w:r>
        <w:rPr>
          <w:lang w:val="ru-RU"/>
        </w:rPr>
        <w:t>.</w:t>
      </w:r>
    </w:p>
  </w:footnote>
  <w:footnote w:id="3">
    <w:p w:rsidR="00E0085E" w:rsidRPr="005225A3" w:rsidRDefault="00E0085E" w:rsidP="00511C11">
      <w:pPr>
        <w:pStyle w:val="FootnoteText"/>
        <w:rPr>
          <w:lang w:val="ru-RU"/>
        </w:rPr>
      </w:pPr>
      <w:r w:rsidRPr="00193685">
        <w:rPr>
          <w:lang w:val="ru-RU"/>
        </w:rPr>
        <w:tab/>
      </w:r>
      <w:r>
        <w:rPr>
          <w:rStyle w:val="FootnoteReference"/>
        </w:rPr>
        <w:footnoteRef/>
      </w:r>
      <w:r w:rsidRPr="005225A3">
        <w:rPr>
          <w:lang w:val="ru-RU"/>
        </w:rPr>
        <w:tab/>
      </w:r>
      <w:r>
        <w:rPr>
          <w:lang w:val="ru-RU"/>
        </w:rPr>
        <w:t xml:space="preserve">Авторы ссылаются на дело </w:t>
      </w:r>
      <w:r w:rsidRPr="001B0604">
        <w:rPr>
          <w:i/>
          <w:lang w:val="ru-RU"/>
        </w:rPr>
        <w:t>Эль-Дэрнави против Ливии</w:t>
      </w:r>
      <w:r>
        <w:rPr>
          <w:lang w:val="ru-RU"/>
        </w:rPr>
        <w:t xml:space="preserve"> (сообщение № 1143/2002, Соображения, принятые 20 июля 2007 года), пункт 2.2.</w:t>
      </w:r>
    </w:p>
  </w:footnote>
  <w:footnote w:id="4">
    <w:p w:rsidR="00E0085E" w:rsidRPr="00C670E3" w:rsidRDefault="00E0085E" w:rsidP="00511C11">
      <w:pPr>
        <w:pStyle w:val="FootnoteText"/>
        <w:rPr>
          <w:lang w:val="ru-RU"/>
        </w:rPr>
      </w:pPr>
      <w:r w:rsidRPr="00BA6B82">
        <w:rPr>
          <w:lang w:val="ru-RU"/>
        </w:rPr>
        <w:tab/>
      </w:r>
      <w:r>
        <w:rPr>
          <w:rStyle w:val="FootnoteReference"/>
        </w:rPr>
        <w:footnoteRef/>
      </w:r>
      <w:r w:rsidRPr="0086697C">
        <w:rPr>
          <w:lang w:val="ru-RU"/>
        </w:rPr>
        <w:tab/>
      </w:r>
      <w:r>
        <w:rPr>
          <w:lang w:val="ru-RU"/>
        </w:rPr>
        <w:t>Авторы</w:t>
      </w:r>
      <w:r w:rsidRPr="0086697C">
        <w:rPr>
          <w:lang w:val="ru-RU"/>
        </w:rPr>
        <w:t xml:space="preserve"> </w:t>
      </w:r>
      <w:r>
        <w:rPr>
          <w:lang w:val="ru-RU"/>
        </w:rPr>
        <w:t>прилагают</w:t>
      </w:r>
      <w:r w:rsidRPr="0086697C">
        <w:rPr>
          <w:lang w:val="ru-RU"/>
        </w:rPr>
        <w:t xml:space="preserve"> </w:t>
      </w:r>
      <w:r>
        <w:rPr>
          <w:lang w:val="ru-RU"/>
        </w:rPr>
        <w:t>доклад</w:t>
      </w:r>
      <w:r w:rsidRPr="0086697C">
        <w:rPr>
          <w:lang w:val="ru-RU"/>
        </w:rPr>
        <w:t xml:space="preserve"> </w:t>
      </w:r>
      <w:r>
        <w:rPr>
          <w:lang w:val="ru-RU"/>
        </w:rPr>
        <w:t>организации</w:t>
      </w:r>
      <w:r w:rsidRPr="0086697C">
        <w:rPr>
          <w:lang w:val="ru-RU"/>
        </w:rPr>
        <w:t xml:space="preserve"> "</w:t>
      </w:r>
      <w:r>
        <w:rPr>
          <w:lang w:val="ru-RU"/>
        </w:rPr>
        <w:t>Международная</w:t>
      </w:r>
      <w:r w:rsidRPr="0086697C">
        <w:rPr>
          <w:lang w:val="ru-RU"/>
        </w:rPr>
        <w:t xml:space="preserve"> </w:t>
      </w:r>
      <w:r>
        <w:rPr>
          <w:lang w:val="ru-RU"/>
        </w:rPr>
        <w:t xml:space="preserve">амнистия", озаглавленный </w:t>
      </w:r>
      <w:r w:rsidRPr="0086697C">
        <w:rPr>
          <w:lang w:val="ru-RU"/>
        </w:rPr>
        <w:t>"</w:t>
      </w:r>
      <w:r w:rsidRPr="0086697C">
        <w:t>Libya</w:t>
      </w:r>
      <w:r w:rsidRPr="0086697C">
        <w:rPr>
          <w:lang w:val="ru-RU"/>
        </w:rPr>
        <w:t xml:space="preserve">: </w:t>
      </w:r>
      <w:r w:rsidRPr="0086697C">
        <w:t>time</w:t>
      </w:r>
      <w:r w:rsidRPr="0086697C">
        <w:rPr>
          <w:lang w:val="ru-RU"/>
        </w:rPr>
        <w:t xml:space="preserve"> </w:t>
      </w:r>
      <w:r w:rsidRPr="0086697C">
        <w:t>to</w:t>
      </w:r>
      <w:r w:rsidRPr="0086697C">
        <w:rPr>
          <w:lang w:val="ru-RU"/>
        </w:rPr>
        <w:t xml:space="preserve"> </w:t>
      </w:r>
      <w:r w:rsidRPr="0086697C">
        <w:t>make</w:t>
      </w:r>
      <w:r w:rsidRPr="0086697C">
        <w:rPr>
          <w:lang w:val="ru-RU"/>
        </w:rPr>
        <w:t xml:space="preserve"> </w:t>
      </w:r>
      <w:r w:rsidRPr="0086697C">
        <w:t>human</w:t>
      </w:r>
      <w:r w:rsidRPr="0086697C">
        <w:rPr>
          <w:lang w:val="ru-RU"/>
        </w:rPr>
        <w:t xml:space="preserve"> </w:t>
      </w:r>
      <w:r w:rsidRPr="0086697C">
        <w:t>rights</w:t>
      </w:r>
      <w:r w:rsidRPr="0086697C">
        <w:rPr>
          <w:lang w:val="ru-RU"/>
        </w:rPr>
        <w:t xml:space="preserve"> </w:t>
      </w:r>
      <w:r w:rsidRPr="0086697C">
        <w:t>a</w:t>
      </w:r>
      <w:r w:rsidRPr="0086697C">
        <w:rPr>
          <w:lang w:val="ru-RU"/>
        </w:rPr>
        <w:t xml:space="preserve"> </w:t>
      </w:r>
      <w:r w:rsidRPr="0086697C">
        <w:t>reality</w:t>
      </w:r>
      <w:r>
        <w:rPr>
          <w:lang w:val="ru-RU"/>
        </w:rPr>
        <w:t>"</w:t>
      </w:r>
      <w:r w:rsidRPr="0086697C">
        <w:rPr>
          <w:lang w:val="ru-RU"/>
        </w:rPr>
        <w:t xml:space="preserve"> (</w:t>
      </w:r>
      <w:r>
        <w:rPr>
          <w:lang w:val="ru-RU"/>
        </w:rPr>
        <w:t>"Ливия: время сделать права человека реальностью") (апрель</w:t>
      </w:r>
      <w:r w:rsidRPr="0086697C">
        <w:rPr>
          <w:lang w:val="ru-RU"/>
        </w:rPr>
        <w:t xml:space="preserve"> 2004</w:t>
      </w:r>
      <w:r>
        <w:rPr>
          <w:lang w:val="ru-RU"/>
        </w:rPr>
        <w:t xml:space="preserve"> года</w:t>
      </w:r>
      <w:r w:rsidRPr="0086697C">
        <w:rPr>
          <w:lang w:val="ru-RU"/>
        </w:rPr>
        <w:t xml:space="preserve">), </w:t>
      </w:r>
      <w:r>
        <w:rPr>
          <w:lang w:val="ru-RU"/>
        </w:rPr>
        <w:t>в котором описывается "Хартия чести". В своих заключительных замечаниях от 6 ноября 1998 года Комитет отметил, что этот закон нарушает различные статьи Пакта, включая статьи</w:t>
      </w:r>
      <w:r w:rsidRPr="00D51CD1">
        <w:rPr>
          <w:lang w:val="ru-RU"/>
        </w:rPr>
        <w:t xml:space="preserve"> 7, 9 </w:t>
      </w:r>
      <w:r>
        <w:rPr>
          <w:lang w:val="ru-RU"/>
        </w:rPr>
        <w:t>и</w:t>
      </w:r>
      <w:r w:rsidRPr="00D51CD1">
        <w:rPr>
          <w:lang w:val="ru-RU"/>
        </w:rPr>
        <w:t xml:space="preserve"> 16 (</w:t>
      </w:r>
      <w:r w:rsidRPr="0086697C">
        <w:t>CCPR</w:t>
      </w:r>
      <w:r w:rsidRPr="00D51CD1">
        <w:rPr>
          <w:lang w:val="ru-RU"/>
        </w:rPr>
        <w:t>/</w:t>
      </w:r>
      <w:r w:rsidRPr="0086697C">
        <w:t>C</w:t>
      </w:r>
      <w:r w:rsidRPr="00D51CD1">
        <w:rPr>
          <w:lang w:val="ru-RU"/>
        </w:rPr>
        <w:t>/79/</w:t>
      </w:r>
      <w:r w:rsidRPr="0086697C">
        <w:t>Add</w:t>
      </w:r>
      <w:r w:rsidRPr="00D51CD1">
        <w:rPr>
          <w:lang w:val="ru-RU"/>
        </w:rPr>
        <w:t xml:space="preserve">.101, </w:t>
      </w:r>
      <w:r>
        <w:rPr>
          <w:lang w:val="ru-RU"/>
        </w:rPr>
        <w:t>пункт</w:t>
      </w:r>
      <w:r w:rsidRPr="00D51CD1">
        <w:rPr>
          <w:lang w:val="ru-RU"/>
        </w:rPr>
        <w:t xml:space="preserve"> 12).</w:t>
      </w:r>
    </w:p>
  </w:footnote>
  <w:footnote w:id="5">
    <w:p w:rsidR="00E0085E" w:rsidRPr="00C670E3" w:rsidRDefault="00E0085E" w:rsidP="00511C11">
      <w:pPr>
        <w:pStyle w:val="FootnoteText"/>
        <w:rPr>
          <w:lang w:val="ru-RU"/>
        </w:rPr>
      </w:pPr>
      <w:r w:rsidRPr="00C670E3">
        <w:rPr>
          <w:lang w:val="ru-RU"/>
        </w:rPr>
        <w:tab/>
      </w:r>
      <w:r>
        <w:rPr>
          <w:rStyle w:val="FootnoteReference"/>
        </w:rPr>
        <w:footnoteRef/>
      </w:r>
      <w:r w:rsidRPr="00C670E3">
        <w:rPr>
          <w:lang w:val="ru-RU"/>
        </w:rPr>
        <w:tab/>
      </w:r>
      <w:r>
        <w:rPr>
          <w:lang w:val="ru-RU"/>
        </w:rPr>
        <w:t>Первый автор прилагает подписанное письменное показание, в котором описывается этот инцидент. Он прилагает также экземпляр написанной им от руки жалобы</w:t>
      </w:r>
      <w:r>
        <w:rPr>
          <w:lang w:val="ru-RU"/>
        </w:rPr>
        <w:br/>
        <w:t>(на арабском языке), направленной компании по электроснабжению, а также подтверждение оплаты его счетов за электроэнергию.</w:t>
      </w:r>
    </w:p>
  </w:footnote>
  <w:footnote w:id="6">
    <w:p w:rsidR="00E0085E" w:rsidRPr="00502234" w:rsidRDefault="00E0085E" w:rsidP="00511C11">
      <w:pPr>
        <w:pStyle w:val="FootnoteText"/>
        <w:rPr>
          <w:lang w:val="ru-RU"/>
        </w:rPr>
      </w:pPr>
      <w:r w:rsidRPr="00BA6B82">
        <w:rPr>
          <w:lang w:val="ru-RU"/>
        </w:rPr>
        <w:tab/>
      </w:r>
      <w:r>
        <w:rPr>
          <w:rStyle w:val="FootnoteReference"/>
        </w:rPr>
        <w:footnoteRef/>
      </w:r>
      <w:r w:rsidRPr="00502234">
        <w:rPr>
          <w:lang w:val="ru-RU"/>
        </w:rPr>
        <w:tab/>
      </w:r>
      <w:r>
        <w:rPr>
          <w:lang w:val="ru-RU"/>
        </w:rPr>
        <w:t xml:space="preserve">Авторы приводят имя начальника этой группы − представителя государственной власти, которого они считают ответственным за большинство описанных действий. </w:t>
      </w:r>
    </w:p>
  </w:footnote>
  <w:footnote w:id="7">
    <w:p w:rsidR="00E0085E" w:rsidRPr="00DB2289" w:rsidRDefault="00E0085E" w:rsidP="00E0085E">
      <w:pPr>
        <w:pStyle w:val="FootnoteText"/>
        <w:rPr>
          <w:lang w:val="ru-RU"/>
        </w:rPr>
      </w:pPr>
      <w:r>
        <w:tab/>
      </w:r>
      <w:r>
        <w:rPr>
          <w:rStyle w:val="FootnoteReference"/>
        </w:rPr>
        <w:footnoteRef/>
      </w:r>
      <w:r w:rsidRPr="001C6401">
        <w:rPr>
          <w:lang w:val="ru-RU"/>
        </w:rPr>
        <w:tab/>
      </w:r>
      <w:r>
        <w:rPr>
          <w:lang w:val="ru-RU"/>
        </w:rPr>
        <w:t xml:space="preserve">Впоследствии эта информация оказалась ложной. </w:t>
      </w:r>
    </w:p>
  </w:footnote>
  <w:footnote w:id="8">
    <w:p w:rsidR="00E0085E" w:rsidRPr="002B524F" w:rsidRDefault="00E0085E" w:rsidP="00E0085E">
      <w:pPr>
        <w:pStyle w:val="FootnoteText"/>
        <w:rPr>
          <w:lang w:val="ru-RU"/>
        </w:rPr>
      </w:pPr>
      <w:r w:rsidRPr="001C6401">
        <w:rPr>
          <w:lang w:val="ru-RU"/>
        </w:rPr>
        <w:tab/>
      </w:r>
      <w:r>
        <w:rPr>
          <w:rStyle w:val="FootnoteReference"/>
        </w:rPr>
        <w:footnoteRef/>
      </w:r>
      <w:r w:rsidRPr="001C6401">
        <w:rPr>
          <w:lang w:val="ru-RU"/>
        </w:rPr>
        <w:tab/>
      </w:r>
      <w:r>
        <w:rPr>
          <w:lang w:val="ru-RU"/>
        </w:rPr>
        <w:t xml:space="preserve">Авторы сообщают имя этого человека. </w:t>
      </w:r>
    </w:p>
  </w:footnote>
  <w:footnote w:id="9">
    <w:p w:rsidR="00E0085E" w:rsidRPr="00896247" w:rsidRDefault="00E0085E" w:rsidP="00E0085E">
      <w:pPr>
        <w:pStyle w:val="FootnoteText"/>
        <w:rPr>
          <w:lang w:val="ru-RU"/>
        </w:rPr>
      </w:pPr>
      <w:r w:rsidRPr="001C6401">
        <w:rPr>
          <w:lang w:val="ru-RU"/>
        </w:rPr>
        <w:tab/>
      </w:r>
      <w:r>
        <w:rPr>
          <w:rStyle w:val="FootnoteReference"/>
        </w:rPr>
        <w:footnoteRef/>
      </w:r>
      <w:r w:rsidRPr="00896247">
        <w:rPr>
          <w:lang w:val="ru-RU"/>
        </w:rPr>
        <w:tab/>
      </w:r>
      <w:r>
        <w:rPr>
          <w:lang w:val="ru-RU"/>
        </w:rPr>
        <w:t xml:space="preserve">Авторы прилагают несколько документов, озаглавленных "Повестки" (на арабском языке), в которых первому автору предлагается в различные дни явиться в Комитет по чистке и в Муниципальную стражу. </w:t>
      </w:r>
    </w:p>
  </w:footnote>
  <w:footnote w:id="10">
    <w:p w:rsidR="00E0085E" w:rsidRPr="00C82C31" w:rsidRDefault="00E0085E" w:rsidP="00E0085E">
      <w:pPr>
        <w:pStyle w:val="FootnoteText"/>
        <w:rPr>
          <w:lang w:val="ru-RU"/>
        </w:rPr>
      </w:pPr>
      <w:r w:rsidRPr="00AA69C1">
        <w:rPr>
          <w:lang w:val="ru-RU"/>
        </w:rPr>
        <w:tab/>
      </w:r>
      <w:r>
        <w:rPr>
          <w:rStyle w:val="FootnoteReference"/>
        </w:rPr>
        <w:footnoteRef/>
      </w:r>
      <w:r w:rsidRPr="001C6401">
        <w:rPr>
          <w:lang w:val="ru-RU"/>
        </w:rPr>
        <w:tab/>
      </w:r>
      <w:r>
        <w:rPr>
          <w:lang w:val="ru-RU"/>
        </w:rPr>
        <w:t>Копия ее жалобы прилагается.</w:t>
      </w:r>
    </w:p>
  </w:footnote>
  <w:footnote w:id="11">
    <w:p w:rsidR="00E0085E" w:rsidRPr="00016758" w:rsidRDefault="00E0085E" w:rsidP="00E0085E">
      <w:pPr>
        <w:pStyle w:val="FootnoteText"/>
        <w:rPr>
          <w:lang w:val="ru-RU"/>
        </w:rPr>
      </w:pPr>
      <w:r w:rsidRPr="001C6401">
        <w:rPr>
          <w:lang w:val="ru-RU"/>
        </w:rPr>
        <w:tab/>
      </w:r>
      <w:r>
        <w:rPr>
          <w:rStyle w:val="FootnoteReference"/>
        </w:rPr>
        <w:footnoteRef/>
      </w:r>
      <w:r w:rsidRPr="00016758">
        <w:rPr>
          <w:lang w:val="ru-RU"/>
        </w:rPr>
        <w:tab/>
      </w:r>
      <w:r>
        <w:rPr>
          <w:lang w:val="ru-RU"/>
        </w:rPr>
        <w:t>Авторы прилагают заявление для прессы, опубликованное 22 декабря 2004 года Организацией за мир и свободу с целью оказать поддержку четвертому автору. В заявлении упоминается "разнузданная кампания клеветы, порочащая честь семьи", и говорится, что Дарин эль-Хагог "подвергается нападкам с целью погубить ее репутацию и навредить ей социально и профессионально, чтобы заставить ее брата взять свои заявления назад".</w:t>
      </w:r>
    </w:p>
  </w:footnote>
  <w:footnote w:id="12">
    <w:p w:rsidR="00E0085E" w:rsidRPr="00B477DD" w:rsidRDefault="00E0085E">
      <w:pPr>
        <w:pStyle w:val="FootnoteText"/>
        <w:rPr>
          <w:lang w:val="ru-RU"/>
        </w:rPr>
      </w:pPr>
      <w:r>
        <w:tab/>
      </w:r>
      <w:r>
        <w:rPr>
          <w:rStyle w:val="FootnoteReference"/>
        </w:rPr>
        <w:footnoteRef/>
      </w:r>
      <w:r w:rsidRPr="00B477DD">
        <w:rPr>
          <w:lang w:val="ru-RU"/>
        </w:rPr>
        <w:tab/>
      </w:r>
      <w:r>
        <w:rPr>
          <w:lang w:val="ru-RU"/>
        </w:rPr>
        <w:t>В связи с тем, что по его вине погибли 46 детей и он заразил 380 детей ВИЧ/СПИДом.</w:t>
      </w:r>
    </w:p>
  </w:footnote>
  <w:footnote w:id="13">
    <w:p w:rsidR="00E0085E" w:rsidRPr="00F76B2D" w:rsidRDefault="00E0085E">
      <w:pPr>
        <w:pStyle w:val="FootnoteText"/>
        <w:rPr>
          <w:lang w:val="ru-RU"/>
        </w:rPr>
      </w:pPr>
      <w:r w:rsidRPr="00EF43B2">
        <w:rPr>
          <w:lang w:val="ru-RU"/>
        </w:rPr>
        <w:tab/>
      </w:r>
      <w:r>
        <w:rPr>
          <w:rStyle w:val="FootnoteReference"/>
        </w:rPr>
        <w:footnoteRef/>
      </w:r>
      <w:r w:rsidRPr="00F76B2D">
        <w:rPr>
          <w:lang w:val="ru-RU"/>
        </w:rPr>
        <w:tab/>
      </w:r>
      <w:r>
        <w:rPr>
          <w:lang w:val="ru-RU"/>
        </w:rPr>
        <w:t>С соответствующими сертификатами можно ознакомиться в архивах секретариата.</w:t>
      </w:r>
    </w:p>
  </w:footnote>
  <w:footnote w:id="14">
    <w:p w:rsidR="00E0085E" w:rsidRPr="00386175" w:rsidRDefault="00E0085E">
      <w:pPr>
        <w:pStyle w:val="FootnoteText"/>
        <w:rPr>
          <w:lang w:val="ru-RU"/>
        </w:rPr>
      </w:pPr>
      <w:r>
        <w:tab/>
      </w:r>
      <w:r>
        <w:rPr>
          <w:rStyle w:val="FootnoteReference"/>
        </w:rPr>
        <w:footnoteRef/>
      </w:r>
      <w:r w:rsidRPr="008E7F42">
        <w:rPr>
          <w:lang w:val="ru-RU"/>
        </w:rPr>
        <w:tab/>
        <w:t xml:space="preserve">С соответствующими </w:t>
      </w:r>
      <w:r>
        <w:rPr>
          <w:lang w:val="ru-RU"/>
        </w:rPr>
        <w:t>жалобами</w:t>
      </w:r>
      <w:r w:rsidRPr="008E7F42">
        <w:rPr>
          <w:lang w:val="ru-RU"/>
        </w:rPr>
        <w:t xml:space="preserve"> можно ознакомиться в архивах секретариата.</w:t>
      </w:r>
      <w:r w:rsidRPr="00386175">
        <w:rPr>
          <w:lang w:val="ru-RU"/>
        </w:rPr>
        <w:t xml:space="preserve"> </w:t>
      </w:r>
    </w:p>
  </w:footnote>
  <w:footnote w:id="15">
    <w:p w:rsidR="00E0085E" w:rsidRPr="006945BE" w:rsidRDefault="00E0085E">
      <w:pPr>
        <w:pStyle w:val="FootnoteText"/>
        <w:rPr>
          <w:lang w:val="ru-RU"/>
        </w:rPr>
      </w:pPr>
      <w:r w:rsidRPr="00DF4883">
        <w:rPr>
          <w:lang w:val="ru-RU"/>
        </w:rPr>
        <w:tab/>
      </w:r>
      <w:r>
        <w:rPr>
          <w:rStyle w:val="FootnoteReference"/>
        </w:rPr>
        <w:footnoteRef/>
      </w:r>
      <w:r w:rsidRPr="006945BE">
        <w:rPr>
          <w:lang w:val="ru-RU"/>
        </w:rPr>
        <w:tab/>
      </w:r>
      <w:r>
        <w:rPr>
          <w:lang w:val="ru-RU"/>
        </w:rPr>
        <w:t xml:space="preserve">Авторы ссылаются на сообщения № 437/1990, </w:t>
      </w:r>
      <w:r>
        <w:rPr>
          <w:i/>
          <w:lang w:val="ru-RU"/>
        </w:rPr>
        <w:t>Коламарко Патиньо против Панамы,</w:t>
      </w:r>
      <w:r>
        <w:rPr>
          <w:lang w:val="ru-RU"/>
        </w:rPr>
        <w:t xml:space="preserve"> соображения, принятые 21 октября 1994 года, пункт 5.2, и № 210/1986 и 225/1987, </w:t>
      </w:r>
      <w:r>
        <w:rPr>
          <w:i/>
          <w:lang w:val="ru-RU"/>
        </w:rPr>
        <w:t xml:space="preserve">Пратт и Морган против Ямайки, </w:t>
      </w:r>
      <w:r>
        <w:rPr>
          <w:lang w:val="ru-RU"/>
        </w:rPr>
        <w:t>соображения, принятые 6 апреля 1989 года, пункт 12.3.</w:t>
      </w:r>
    </w:p>
  </w:footnote>
  <w:footnote w:id="16">
    <w:p w:rsidR="00E0085E" w:rsidRPr="00946808" w:rsidRDefault="00E0085E">
      <w:pPr>
        <w:pStyle w:val="FootnoteText"/>
        <w:rPr>
          <w:lang w:val="ru-RU"/>
        </w:rPr>
      </w:pPr>
      <w:r w:rsidRPr="00DF4883">
        <w:rPr>
          <w:lang w:val="ru-RU"/>
        </w:rPr>
        <w:tab/>
      </w:r>
      <w:r>
        <w:rPr>
          <w:rStyle w:val="FootnoteReference"/>
        </w:rPr>
        <w:footnoteRef/>
      </w:r>
      <w:r w:rsidRPr="00946808">
        <w:rPr>
          <w:lang w:val="ru-RU"/>
        </w:rPr>
        <w:tab/>
      </w:r>
      <w:r>
        <w:rPr>
          <w:lang w:val="ru-RU"/>
        </w:rPr>
        <w:t xml:space="preserve">Авторы ссылаются на сообщения № 1295/2004, </w:t>
      </w:r>
      <w:r>
        <w:rPr>
          <w:i/>
          <w:lang w:val="ru-RU"/>
        </w:rPr>
        <w:t xml:space="preserve">Эль-Альвани против Ливийской Арабской Джамахирии, </w:t>
      </w:r>
      <w:r>
        <w:rPr>
          <w:lang w:val="ru-RU"/>
        </w:rPr>
        <w:t xml:space="preserve">соображения, принятые 11 июля 2006 года, пункт 3.1, и № 1295/2004, </w:t>
      </w:r>
      <w:r>
        <w:rPr>
          <w:i/>
          <w:lang w:val="ru-RU"/>
        </w:rPr>
        <w:t xml:space="preserve">Эль-Хасси против Ливийской Арабской Джамахирии, </w:t>
      </w:r>
      <w:r>
        <w:rPr>
          <w:lang w:val="ru-RU"/>
        </w:rPr>
        <w:t>соображения, принятые 24 октября 2007 года, пункт 3.6.</w:t>
      </w:r>
    </w:p>
  </w:footnote>
  <w:footnote w:id="17">
    <w:p w:rsidR="00E0085E" w:rsidRPr="00830C30" w:rsidRDefault="00E0085E">
      <w:pPr>
        <w:pStyle w:val="FootnoteText"/>
        <w:rPr>
          <w:lang w:val="ru-RU"/>
        </w:rPr>
      </w:pPr>
      <w:r w:rsidRPr="00DF4883">
        <w:rPr>
          <w:lang w:val="ru-RU"/>
        </w:rPr>
        <w:tab/>
      </w:r>
      <w:r>
        <w:rPr>
          <w:rStyle w:val="FootnoteReference"/>
        </w:rPr>
        <w:footnoteRef/>
      </w:r>
      <w:r w:rsidRPr="00830C30">
        <w:rPr>
          <w:lang w:val="ru-RU"/>
        </w:rPr>
        <w:tab/>
      </w:r>
      <w:r>
        <w:rPr>
          <w:lang w:val="ru-RU"/>
        </w:rPr>
        <w:t>Авторы ссылаются на доклад Международной амнистии (см. примечание 3).</w:t>
      </w:r>
    </w:p>
  </w:footnote>
  <w:footnote w:id="18">
    <w:p w:rsidR="00E0085E" w:rsidRPr="00F10464" w:rsidRDefault="00E0085E" w:rsidP="00E0085E">
      <w:pPr>
        <w:pStyle w:val="FootnoteText"/>
        <w:rPr>
          <w:lang w:val="ru-RU"/>
        </w:rPr>
      </w:pPr>
      <w:r>
        <w:tab/>
      </w:r>
      <w:r>
        <w:rPr>
          <w:rStyle w:val="FootnoteReference"/>
        </w:rPr>
        <w:footnoteRef/>
      </w:r>
      <w:r w:rsidRPr="00F10464">
        <w:rPr>
          <w:lang w:val="ru-RU"/>
        </w:rPr>
        <w:tab/>
      </w:r>
      <w:r>
        <w:rPr>
          <w:lang w:val="ru-RU"/>
        </w:rPr>
        <w:t xml:space="preserve">Авторы ссылаются на сообщение № 107/1981, </w:t>
      </w:r>
      <w:r>
        <w:rPr>
          <w:i/>
          <w:lang w:val="ru-RU"/>
        </w:rPr>
        <w:t>Кинтерос Альмейда против Уругвая</w:t>
      </w:r>
      <w:r>
        <w:rPr>
          <w:lang w:val="ru-RU"/>
        </w:rPr>
        <w:t>, соображения, принятые 21 июля 1983 года.</w:t>
      </w:r>
    </w:p>
  </w:footnote>
  <w:footnote w:id="19">
    <w:p w:rsidR="00E0085E" w:rsidRPr="00F10464" w:rsidRDefault="00E0085E" w:rsidP="00E0085E">
      <w:pPr>
        <w:pStyle w:val="FootnoteText"/>
        <w:rPr>
          <w:lang w:val="ru-RU"/>
        </w:rPr>
      </w:pPr>
      <w:r w:rsidRPr="00A641C1">
        <w:rPr>
          <w:lang w:val="ru-RU"/>
        </w:rPr>
        <w:tab/>
      </w:r>
      <w:r>
        <w:rPr>
          <w:rStyle w:val="FootnoteReference"/>
        </w:rPr>
        <w:footnoteRef/>
      </w:r>
      <w:r w:rsidRPr="00F10464">
        <w:rPr>
          <w:lang w:val="ru-RU"/>
        </w:rPr>
        <w:tab/>
      </w:r>
      <w:r>
        <w:rPr>
          <w:lang w:val="ru-RU"/>
        </w:rPr>
        <w:t xml:space="preserve">Авторы ссылаются на сообщение № 468/1991, </w:t>
      </w:r>
      <w:r>
        <w:rPr>
          <w:i/>
          <w:lang w:val="ru-RU"/>
        </w:rPr>
        <w:t>Оло Баамонде против Экваториальной Гвинеи</w:t>
      </w:r>
      <w:r>
        <w:rPr>
          <w:lang w:val="ru-RU"/>
        </w:rPr>
        <w:t xml:space="preserve">, соображения, принятые 20 октября 1993 года, пункт 9.2, и сообщение № 314/88, </w:t>
      </w:r>
      <w:r>
        <w:rPr>
          <w:i/>
          <w:lang w:val="ru-RU"/>
        </w:rPr>
        <w:t>Бвалья против Замбии</w:t>
      </w:r>
      <w:r>
        <w:rPr>
          <w:lang w:val="ru-RU"/>
        </w:rPr>
        <w:t>, соображения, принятые 14 июля 1993 года, пункт 6.4.</w:t>
      </w:r>
    </w:p>
  </w:footnote>
  <w:footnote w:id="20">
    <w:p w:rsidR="00E0085E" w:rsidRPr="0089187A" w:rsidRDefault="00E0085E" w:rsidP="00E0085E">
      <w:pPr>
        <w:pStyle w:val="FootnoteText"/>
        <w:rPr>
          <w:lang w:val="ru-RU"/>
        </w:rPr>
      </w:pPr>
      <w:r w:rsidRPr="00A641C1">
        <w:rPr>
          <w:lang w:val="ru-RU"/>
        </w:rPr>
        <w:tab/>
      </w:r>
      <w:r>
        <w:rPr>
          <w:rStyle w:val="FootnoteReference"/>
        </w:rPr>
        <w:footnoteRef/>
      </w:r>
      <w:r w:rsidRPr="00F1081B">
        <w:rPr>
          <w:lang w:val="ru-RU"/>
        </w:rPr>
        <w:tab/>
      </w:r>
      <w:r>
        <w:rPr>
          <w:lang w:val="ru-RU"/>
        </w:rPr>
        <w:t xml:space="preserve">Авторы ссылаются на дело </w:t>
      </w:r>
      <w:r>
        <w:rPr>
          <w:i/>
          <w:lang w:val="ru-RU"/>
        </w:rPr>
        <w:t>Эд-Дернави против Ливийской Арабской Джамахирии</w:t>
      </w:r>
      <w:r>
        <w:rPr>
          <w:lang w:val="ru-RU"/>
        </w:rPr>
        <w:t xml:space="preserve"> (сообщение № 1143/2002, см. примечание 2), пункт 2.2.</w:t>
      </w:r>
    </w:p>
  </w:footnote>
  <w:footnote w:id="21">
    <w:p w:rsidR="00E0085E" w:rsidRPr="0089187A" w:rsidRDefault="00E0085E" w:rsidP="00E0085E">
      <w:pPr>
        <w:pStyle w:val="FootnoteText"/>
        <w:rPr>
          <w:lang w:val="ru-RU"/>
        </w:rPr>
      </w:pPr>
      <w:r w:rsidRPr="00A641C1">
        <w:rPr>
          <w:lang w:val="ru-RU"/>
        </w:rPr>
        <w:tab/>
      </w:r>
      <w:r>
        <w:rPr>
          <w:rStyle w:val="FootnoteReference"/>
        </w:rPr>
        <w:footnoteRef/>
      </w:r>
      <w:r w:rsidRPr="0089187A">
        <w:rPr>
          <w:lang w:val="ru-RU"/>
        </w:rPr>
        <w:tab/>
      </w:r>
      <w:r>
        <w:rPr>
          <w:lang w:val="ru-RU"/>
        </w:rPr>
        <w:t>Авторы ссылаются на принятое Комитетом замечание общего порядка № 27 по статье 12 (свобода передвижения).</w:t>
      </w:r>
    </w:p>
  </w:footnote>
  <w:footnote w:id="22">
    <w:p w:rsidR="00E0085E" w:rsidRPr="00AE4EC3" w:rsidRDefault="00E0085E" w:rsidP="00E0085E">
      <w:pPr>
        <w:pStyle w:val="FootnoteText"/>
        <w:rPr>
          <w:lang w:val="ru-RU"/>
        </w:rPr>
      </w:pPr>
      <w:r w:rsidRPr="00A641C1">
        <w:rPr>
          <w:lang w:val="ru-RU"/>
        </w:rPr>
        <w:tab/>
      </w:r>
      <w:r>
        <w:rPr>
          <w:rStyle w:val="FootnoteReference"/>
        </w:rPr>
        <w:footnoteRef/>
      </w:r>
      <w:r w:rsidRPr="00AE4EC3">
        <w:rPr>
          <w:lang w:val="ru-RU"/>
        </w:rPr>
        <w:tab/>
      </w:r>
      <w:r>
        <w:rPr>
          <w:lang w:val="ru-RU"/>
        </w:rPr>
        <w:t xml:space="preserve">Авторы ссылаются на сообщение № 196/1985, </w:t>
      </w:r>
      <w:r>
        <w:rPr>
          <w:i/>
          <w:lang w:val="ru-RU"/>
        </w:rPr>
        <w:t>Гейе и 742 других сенегальских военнослужащих французской армии в отставке против Франции</w:t>
      </w:r>
      <w:r>
        <w:rPr>
          <w:lang w:val="ru-RU"/>
        </w:rPr>
        <w:t>, соображения, принятые 3 апреля 1989 года, пункт 9.5.</w:t>
      </w:r>
    </w:p>
  </w:footnote>
  <w:footnote w:id="23">
    <w:p w:rsidR="00E0085E" w:rsidRPr="00C4088B" w:rsidRDefault="00E0085E" w:rsidP="00E0085E">
      <w:pPr>
        <w:pStyle w:val="FootnoteText"/>
        <w:rPr>
          <w:lang w:val="ru-RU"/>
        </w:rPr>
      </w:pPr>
      <w:r w:rsidRPr="00A641C1">
        <w:rPr>
          <w:lang w:val="ru-RU"/>
        </w:rPr>
        <w:tab/>
      </w:r>
      <w:r>
        <w:rPr>
          <w:rStyle w:val="FootnoteReference"/>
        </w:rPr>
        <w:footnoteRef/>
      </w:r>
      <w:r w:rsidRPr="00AE4EC3">
        <w:rPr>
          <w:lang w:val="ru-RU"/>
        </w:rPr>
        <w:tab/>
      </w:r>
      <w:r>
        <w:rPr>
          <w:lang w:val="ru-RU"/>
        </w:rPr>
        <w:t>Авторы ссылаются, в частности, на принятые Комитетом заключительные замечания от 6 ноября 1998 года (</w:t>
      </w:r>
      <w:r w:rsidRPr="00F5301E">
        <w:rPr>
          <w:lang w:val="ru-RU"/>
        </w:rPr>
        <w:t>CCPR/C/79/Add.101)</w:t>
      </w:r>
      <w:r>
        <w:rPr>
          <w:lang w:val="ru-RU"/>
        </w:rPr>
        <w:t xml:space="preserve">; сообщения № 488/1992, </w:t>
      </w:r>
      <w:r>
        <w:rPr>
          <w:i/>
          <w:lang w:val="ru-RU"/>
        </w:rPr>
        <w:t>Тунен против Австралии</w:t>
      </w:r>
      <w:r>
        <w:rPr>
          <w:lang w:val="ru-RU"/>
        </w:rPr>
        <w:t xml:space="preserve">, соображения, принятые 31 марта 1994 года, пункт 9; № 28/1978, </w:t>
      </w:r>
      <w:r>
        <w:rPr>
          <w:i/>
          <w:lang w:val="ru-RU"/>
        </w:rPr>
        <w:t>Вейц против Уругвая</w:t>
      </w:r>
      <w:r>
        <w:rPr>
          <w:lang w:val="ru-RU"/>
        </w:rPr>
        <w:t xml:space="preserve">, соображения, принятые 29 октября 1980 года, пункт 15; № 747/1997, </w:t>
      </w:r>
      <w:r>
        <w:rPr>
          <w:i/>
          <w:lang w:val="ru-RU"/>
        </w:rPr>
        <w:t>Де Фур Вальдероде против Чешской Республики</w:t>
      </w:r>
      <w:r>
        <w:rPr>
          <w:lang w:val="ru-RU"/>
        </w:rPr>
        <w:t xml:space="preserve">, соображения, принятые 30 октября 2001 года, пункт 8.4; и № 965/2000, </w:t>
      </w:r>
      <w:r>
        <w:rPr>
          <w:i/>
          <w:lang w:val="ru-RU"/>
        </w:rPr>
        <w:t>Каракурт против Австрии</w:t>
      </w:r>
      <w:r>
        <w:rPr>
          <w:lang w:val="ru-RU"/>
        </w:rPr>
        <w:t>, соображения, принятые 4 апреля 2002 года.</w:t>
      </w:r>
    </w:p>
  </w:footnote>
  <w:footnote w:id="24">
    <w:p w:rsidR="00E0085E" w:rsidRPr="000D5C02" w:rsidRDefault="00E0085E" w:rsidP="00E0085E">
      <w:pPr>
        <w:pStyle w:val="FootnoteText"/>
        <w:rPr>
          <w:lang w:val="ru-RU"/>
        </w:rPr>
      </w:pPr>
      <w:r w:rsidRPr="00A641C1">
        <w:rPr>
          <w:lang w:val="ru-RU"/>
        </w:rPr>
        <w:tab/>
      </w:r>
      <w:r>
        <w:rPr>
          <w:rStyle w:val="FootnoteReference"/>
        </w:rPr>
        <w:footnoteRef/>
      </w:r>
      <w:r w:rsidRPr="00FD61C2">
        <w:rPr>
          <w:lang w:val="ru-RU"/>
        </w:rPr>
        <w:tab/>
      </w:r>
      <w:r>
        <w:rPr>
          <w:lang w:val="ru-RU"/>
        </w:rPr>
        <w:t xml:space="preserve">Авторы ссылаются на приятое Комитетом замечание общего порядка № 31 о характере общего юридического обязательства, налагаемого на государства − участники Пакта; замечание общего порядка № 20 по статье 7; и сообщения № 1416/2005, </w:t>
      </w:r>
      <w:r>
        <w:rPr>
          <w:i/>
          <w:lang w:val="ru-RU"/>
        </w:rPr>
        <w:t>Альзери против Швеции</w:t>
      </w:r>
      <w:r>
        <w:rPr>
          <w:lang w:val="ru-RU"/>
        </w:rPr>
        <w:t xml:space="preserve">, соображения, принятые 10 ноября 2006 года, пункт 11.7, и № 1057/2002, </w:t>
      </w:r>
      <w:r>
        <w:rPr>
          <w:i/>
          <w:lang w:val="ru-RU"/>
        </w:rPr>
        <w:t>Тарасова против Узбекистана</w:t>
      </w:r>
      <w:r>
        <w:rPr>
          <w:lang w:val="ru-RU"/>
        </w:rPr>
        <w:t>, соображения, принятые 20 октября 2006 года, пункт 7.1.</w:t>
      </w:r>
    </w:p>
  </w:footnote>
  <w:footnote w:id="25">
    <w:p w:rsidR="00E0085E" w:rsidRPr="000D5C02" w:rsidRDefault="00E0085E" w:rsidP="00E0085E">
      <w:pPr>
        <w:pStyle w:val="FootnoteText"/>
        <w:rPr>
          <w:lang w:val="ru-RU"/>
        </w:rPr>
      </w:pPr>
      <w:r w:rsidRPr="00A641C1">
        <w:rPr>
          <w:lang w:val="ru-RU"/>
        </w:rPr>
        <w:tab/>
      </w:r>
      <w:r>
        <w:rPr>
          <w:rStyle w:val="FootnoteReference"/>
        </w:rPr>
        <w:footnoteRef/>
      </w:r>
      <w:r w:rsidRPr="000D5C02">
        <w:rPr>
          <w:lang w:val="ru-RU"/>
        </w:rPr>
        <w:tab/>
      </w:r>
      <w:r>
        <w:rPr>
          <w:lang w:val="ru-RU"/>
        </w:rPr>
        <w:t xml:space="preserve">См., в частности, сообщения № 1913/2009, </w:t>
      </w:r>
      <w:r>
        <w:rPr>
          <w:i/>
          <w:lang w:val="ru-RU"/>
        </w:rPr>
        <w:t>Абушаала против Ливии</w:t>
      </w:r>
      <w:r>
        <w:rPr>
          <w:lang w:val="ru-RU"/>
        </w:rPr>
        <w:t xml:space="preserve">, соображения, принятые 18 марта 2013 года, пункт 6.1; и № 1751/2008, </w:t>
      </w:r>
      <w:r>
        <w:rPr>
          <w:i/>
          <w:lang w:val="ru-RU"/>
        </w:rPr>
        <w:t>Абусседра против Ливии</w:t>
      </w:r>
      <w:r>
        <w:rPr>
          <w:lang w:val="ru-RU"/>
        </w:rPr>
        <w:t>, соображения, принятые 25 октября 2010 года, пункт 4.</w:t>
      </w:r>
    </w:p>
  </w:footnote>
  <w:footnote w:id="26">
    <w:p w:rsidR="00E0085E" w:rsidRPr="000E5769" w:rsidRDefault="00E0085E" w:rsidP="00E0085E">
      <w:pPr>
        <w:pStyle w:val="FootnoteText"/>
        <w:rPr>
          <w:lang w:val="ru-RU"/>
        </w:rPr>
      </w:pPr>
      <w:r>
        <w:tab/>
      </w:r>
      <w:r>
        <w:rPr>
          <w:rStyle w:val="FootnoteReference"/>
        </w:rPr>
        <w:footnoteRef/>
      </w:r>
      <w:r w:rsidRPr="000E5769">
        <w:rPr>
          <w:lang w:val="ru-RU"/>
        </w:rPr>
        <w:tab/>
      </w:r>
      <w:r>
        <w:rPr>
          <w:lang w:val="ru-RU"/>
        </w:rPr>
        <w:t>Сообщение № 1412/2005,</w:t>
      </w:r>
      <w:r>
        <w:rPr>
          <w:i/>
          <w:lang w:val="ru-RU"/>
        </w:rPr>
        <w:t xml:space="preserve"> Бутовенко против Украины</w:t>
      </w:r>
      <w:r>
        <w:rPr>
          <w:lang w:val="ru-RU"/>
        </w:rPr>
        <w:t>, соображения, принятые 19 июля 2011 года, пункт 7.3.</w:t>
      </w:r>
    </w:p>
  </w:footnote>
  <w:footnote w:id="27">
    <w:p w:rsidR="00E0085E" w:rsidRPr="00D3697D" w:rsidRDefault="00E0085E" w:rsidP="00E0085E">
      <w:pPr>
        <w:pStyle w:val="FootnoteText"/>
        <w:rPr>
          <w:lang w:val="ru-RU"/>
        </w:rPr>
      </w:pPr>
      <w:r w:rsidRPr="00F066F0">
        <w:rPr>
          <w:lang w:val="ru-RU"/>
        </w:rPr>
        <w:tab/>
      </w:r>
      <w:r>
        <w:rPr>
          <w:rStyle w:val="FootnoteReference"/>
        </w:rPr>
        <w:footnoteRef/>
      </w:r>
      <w:r w:rsidRPr="00461F14">
        <w:rPr>
          <w:lang w:val="ru-RU"/>
        </w:rPr>
        <w:tab/>
      </w:r>
      <w:r w:rsidRPr="00A25E75">
        <w:rPr>
          <w:lang w:val="ru-RU"/>
        </w:rPr>
        <w:t xml:space="preserve">CCPR/C/79/Add.101, </w:t>
      </w:r>
      <w:r>
        <w:rPr>
          <w:lang w:val="ru-RU"/>
        </w:rPr>
        <w:t>пункт</w:t>
      </w:r>
      <w:r w:rsidRPr="00A25E75">
        <w:rPr>
          <w:lang w:val="ru-RU"/>
        </w:rPr>
        <w:t xml:space="preserve"> 12.</w:t>
      </w:r>
    </w:p>
  </w:footnote>
  <w:footnote w:id="28">
    <w:p w:rsidR="00E0085E" w:rsidRPr="006C1CE2" w:rsidRDefault="00E0085E" w:rsidP="00E0085E">
      <w:pPr>
        <w:pStyle w:val="FootnoteText"/>
        <w:rPr>
          <w:lang w:val="ru-RU"/>
        </w:rPr>
      </w:pPr>
      <w:r w:rsidRPr="00461F14">
        <w:rPr>
          <w:lang w:val="ru-RU"/>
        </w:rPr>
        <w:tab/>
      </w:r>
      <w:r>
        <w:rPr>
          <w:rStyle w:val="FootnoteReference"/>
        </w:rPr>
        <w:footnoteRef/>
      </w:r>
      <w:r w:rsidRPr="006C1CE2">
        <w:rPr>
          <w:lang w:val="ru-RU"/>
        </w:rPr>
        <w:tab/>
      </w:r>
      <w:r>
        <w:rPr>
          <w:lang w:val="ru-RU"/>
        </w:rPr>
        <w:t xml:space="preserve">См. сообщение № 1560/2007, </w:t>
      </w:r>
      <w:r>
        <w:rPr>
          <w:i/>
          <w:lang w:val="ru-RU"/>
        </w:rPr>
        <w:t>Марсельяна и Гуманой против Филиппин</w:t>
      </w:r>
      <w:r>
        <w:rPr>
          <w:lang w:val="ru-RU"/>
        </w:rPr>
        <w:t xml:space="preserve">, пункт 7.7. </w:t>
      </w:r>
    </w:p>
  </w:footnote>
  <w:footnote w:id="29">
    <w:p w:rsidR="00E0085E" w:rsidRPr="00F05BA6" w:rsidRDefault="00E0085E" w:rsidP="00E0085E">
      <w:pPr>
        <w:pStyle w:val="FootnoteText"/>
        <w:rPr>
          <w:lang w:val="ru-RU"/>
        </w:rPr>
      </w:pPr>
      <w:r w:rsidRPr="00461F14">
        <w:rPr>
          <w:lang w:val="ru-RU"/>
        </w:rPr>
        <w:tab/>
      </w:r>
      <w:r>
        <w:rPr>
          <w:rStyle w:val="FootnoteReference"/>
        </w:rPr>
        <w:footnoteRef/>
      </w:r>
      <w:r w:rsidRPr="00F05BA6">
        <w:rPr>
          <w:lang w:val="ru-RU"/>
        </w:rPr>
        <w:tab/>
      </w:r>
      <w:r>
        <w:rPr>
          <w:lang w:val="ru-RU"/>
        </w:rPr>
        <w:t xml:space="preserve">См. сообщение № 821/1998, </w:t>
      </w:r>
      <w:r>
        <w:rPr>
          <w:i/>
          <w:lang w:val="ru-RU"/>
        </w:rPr>
        <w:t>Чонгве против Замбии</w:t>
      </w:r>
      <w:r>
        <w:rPr>
          <w:lang w:val="ru-RU"/>
        </w:rPr>
        <w:t xml:space="preserve">, соображения, принятые 25 октября 2000 года, пункт 5.3; № 1250/2004, </w:t>
      </w:r>
      <w:r>
        <w:rPr>
          <w:i/>
          <w:lang w:val="ru-RU"/>
        </w:rPr>
        <w:t>Лалит Раджапаксе против Шри-Ланки</w:t>
      </w:r>
      <w:r>
        <w:rPr>
          <w:lang w:val="ru-RU"/>
        </w:rPr>
        <w:t xml:space="preserve">, пункт 9.7; и № 1432/2005, </w:t>
      </w:r>
      <w:r>
        <w:rPr>
          <w:i/>
          <w:lang w:val="ru-RU"/>
        </w:rPr>
        <w:t>Гунаратна против Шри-Ланки</w:t>
      </w:r>
      <w:r>
        <w:rPr>
          <w:lang w:val="ru-RU"/>
        </w:rPr>
        <w:t>, соображения, принятые 17 марта 2009 года, пункт 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85E" w:rsidRPr="005F0588" w:rsidRDefault="00E0085E">
    <w:pPr>
      <w:pStyle w:val="Header"/>
      <w:rPr>
        <w:lang w:val="en-US"/>
      </w:rPr>
    </w:pPr>
    <w:r>
      <w:rPr>
        <w:lang w:val="en-US"/>
      </w:rPr>
      <w:t>CCPR/C/111/D/1958/2010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85E" w:rsidRPr="005F0588" w:rsidRDefault="00E0085E">
    <w:pPr>
      <w:pStyle w:val="Header"/>
      <w:rPr>
        <w:lang w:val="en-US"/>
      </w:rPr>
    </w:pPr>
    <w:r>
      <w:rPr>
        <w:lang w:val="en-US"/>
      </w:rPr>
      <w:tab/>
      <w:t>CCPR/C/111/D/1958/2010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US" w:vendorID="64" w:dllVersion="131078" w:nlCheck="1" w:checkStyle="1"/>
  <w:activeWritingStyle w:appName="MSWord" w:lang="en-GB" w:vendorID="64" w:dllVersion="131078" w:nlCheck="1" w:checkStyle="1"/>
  <w:attachedTemplate r:id="rId1"/>
  <w:stylePaneFormatFilter w:val="1F01"/>
  <w:doNotTrackMoves/>
  <w:documentProtection w:edit="forms" w:enforcement="0"/>
  <w:defaultTabStop w:val="567"/>
  <w:autoHyphenation/>
  <w:hyphenationZone w:val="357"/>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66D0"/>
    <w:rsid w:val="000033D8"/>
    <w:rsid w:val="00005C1C"/>
    <w:rsid w:val="00015ADC"/>
    <w:rsid w:val="00016553"/>
    <w:rsid w:val="000233B3"/>
    <w:rsid w:val="00023E9E"/>
    <w:rsid w:val="000266D0"/>
    <w:rsid w:val="00026B0C"/>
    <w:rsid w:val="0003638E"/>
    <w:rsid w:val="00036FF2"/>
    <w:rsid w:val="0004010A"/>
    <w:rsid w:val="00043D88"/>
    <w:rsid w:val="00046E4D"/>
    <w:rsid w:val="0006401A"/>
    <w:rsid w:val="00072C27"/>
    <w:rsid w:val="00086182"/>
    <w:rsid w:val="00090891"/>
    <w:rsid w:val="00092E62"/>
    <w:rsid w:val="00097975"/>
    <w:rsid w:val="000A3DDF"/>
    <w:rsid w:val="000A60A0"/>
    <w:rsid w:val="000B74E4"/>
    <w:rsid w:val="000C3688"/>
    <w:rsid w:val="000C6269"/>
    <w:rsid w:val="000D6863"/>
    <w:rsid w:val="000F410F"/>
    <w:rsid w:val="00117AEE"/>
    <w:rsid w:val="001463F7"/>
    <w:rsid w:val="0015769C"/>
    <w:rsid w:val="001755A4"/>
    <w:rsid w:val="00180752"/>
    <w:rsid w:val="00185076"/>
    <w:rsid w:val="0018543C"/>
    <w:rsid w:val="00190231"/>
    <w:rsid w:val="00192ABD"/>
    <w:rsid w:val="00193685"/>
    <w:rsid w:val="001A4E38"/>
    <w:rsid w:val="001A75D5"/>
    <w:rsid w:val="001A7D40"/>
    <w:rsid w:val="001B0604"/>
    <w:rsid w:val="001D07F7"/>
    <w:rsid w:val="001D7B8F"/>
    <w:rsid w:val="001E48EE"/>
    <w:rsid w:val="001F2D04"/>
    <w:rsid w:val="0020059C"/>
    <w:rsid w:val="002019BD"/>
    <w:rsid w:val="00232D42"/>
    <w:rsid w:val="00237334"/>
    <w:rsid w:val="002444F4"/>
    <w:rsid w:val="002629A0"/>
    <w:rsid w:val="0028492B"/>
    <w:rsid w:val="00291C8F"/>
    <w:rsid w:val="002C5036"/>
    <w:rsid w:val="002C6A71"/>
    <w:rsid w:val="002C6D5F"/>
    <w:rsid w:val="002D15EA"/>
    <w:rsid w:val="002D6C07"/>
    <w:rsid w:val="002E0CE6"/>
    <w:rsid w:val="002E1163"/>
    <w:rsid w:val="002E43F3"/>
    <w:rsid w:val="002F59C2"/>
    <w:rsid w:val="003215F5"/>
    <w:rsid w:val="00332891"/>
    <w:rsid w:val="00356BB2"/>
    <w:rsid w:val="00360477"/>
    <w:rsid w:val="00361564"/>
    <w:rsid w:val="00367FC9"/>
    <w:rsid w:val="003711A1"/>
    <w:rsid w:val="00372123"/>
    <w:rsid w:val="00381289"/>
    <w:rsid w:val="00386581"/>
    <w:rsid w:val="00387100"/>
    <w:rsid w:val="003951D3"/>
    <w:rsid w:val="003978C6"/>
    <w:rsid w:val="003B40A9"/>
    <w:rsid w:val="003C016E"/>
    <w:rsid w:val="003C2583"/>
    <w:rsid w:val="003C2DB1"/>
    <w:rsid w:val="003D5EBD"/>
    <w:rsid w:val="00401CE0"/>
    <w:rsid w:val="00403234"/>
    <w:rsid w:val="00407AC3"/>
    <w:rsid w:val="00414586"/>
    <w:rsid w:val="00415059"/>
    <w:rsid w:val="00424FDD"/>
    <w:rsid w:val="0043033D"/>
    <w:rsid w:val="00435FE4"/>
    <w:rsid w:val="00457634"/>
    <w:rsid w:val="0047116A"/>
    <w:rsid w:val="00474F42"/>
    <w:rsid w:val="0048244D"/>
    <w:rsid w:val="00482E1A"/>
    <w:rsid w:val="004A0DE8"/>
    <w:rsid w:val="004A4CB7"/>
    <w:rsid w:val="004A57B5"/>
    <w:rsid w:val="004B19DA"/>
    <w:rsid w:val="004C2A53"/>
    <w:rsid w:val="004C3B35"/>
    <w:rsid w:val="004C43EC"/>
    <w:rsid w:val="004E6729"/>
    <w:rsid w:val="004F0E47"/>
    <w:rsid w:val="004F39A9"/>
    <w:rsid w:val="00511C11"/>
    <w:rsid w:val="0051339C"/>
    <w:rsid w:val="0051412F"/>
    <w:rsid w:val="00520C39"/>
    <w:rsid w:val="00522B6F"/>
    <w:rsid w:val="0052430E"/>
    <w:rsid w:val="005276AD"/>
    <w:rsid w:val="00534E6D"/>
    <w:rsid w:val="00540A9A"/>
    <w:rsid w:val="00543522"/>
    <w:rsid w:val="00545680"/>
    <w:rsid w:val="00560913"/>
    <w:rsid w:val="00565333"/>
    <w:rsid w:val="0056618E"/>
    <w:rsid w:val="00576F59"/>
    <w:rsid w:val="00577A34"/>
    <w:rsid w:val="00580AAD"/>
    <w:rsid w:val="00593A04"/>
    <w:rsid w:val="005A6D5A"/>
    <w:rsid w:val="005B1B28"/>
    <w:rsid w:val="005B7D51"/>
    <w:rsid w:val="005B7F35"/>
    <w:rsid w:val="005C2081"/>
    <w:rsid w:val="005C678A"/>
    <w:rsid w:val="005D346D"/>
    <w:rsid w:val="005E74AB"/>
    <w:rsid w:val="00606A3E"/>
    <w:rsid w:val="00611264"/>
    <w:rsid w:val="006115AA"/>
    <w:rsid w:val="006120AE"/>
    <w:rsid w:val="00635E86"/>
    <w:rsid w:val="00636A37"/>
    <w:rsid w:val="006501A5"/>
    <w:rsid w:val="006567B2"/>
    <w:rsid w:val="00662ADE"/>
    <w:rsid w:val="00664106"/>
    <w:rsid w:val="00664D7F"/>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E7AF7"/>
    <w:rsid w:val="006F5FBF"/>
    <w:rsid w:val="0070327E"/>
    <w:rsid w:val="0070712A"/>
    <w:rsid w:val="00707B5F"/>
    <w:rsid w:val="00735602"/>
    <w:rsid w:val="0075279B"/>
    <w:rsid w:val="00753748"/>
    <w:rsid w:val="00762446"/>
    <w:rsid w:val="00781ACB"/>
    <w:rsid w:val="007A79EB"/>
    <w:rsid w:val="007D4CA0"/>
    <w:rsid w:val="007D7A23"/>
    <w:rsid w:val="007E083B"/>
    <w:rsid w:val="007E0C40"/>
    <w:rsid w:val="007E38C3"/>
    <w:rsid w:val="007E549E"/>
    <w:rsid w:val="007E71C9"/>
    <w:rsid w:val="007F7553"/>
    <w:rsid w:val="00802B5C"/>
    <w:rsid w:val="00805FAC"/>
    <w:rsid w:val="0080755E"/>
    <w:rsid w:val="008120D4"/>
    <w:rsid w:val="008139A5"/>
    <w:rsid w:val="00813FF5"/>
    <w:rsid w:val="00817F73"/>
    <w:rsid w:val="0082228E"/>
    <w:rsid w:val="00827B3D"/>
    <w:rsid w:val="00830402"/>
    <w:rsid w:val="008305D7"/>
    <w:rsid w:val="00834887"/>
    <w:rsid w:val="00842FED"/>
    <w:rsid w:val="008455CF"/>
    <w:rsid w:val="0084613B"/>
    <w:rsid w:val="00847689"/>
    <w:rsid w:val="00861C52"/>
    <w:rsid w:val="008727A1"/>
    <w:rsid w:val="00886B0F"/>
    <w:rsid w:val="00887A27"/>
    <w:rsid w:val="00891C08"/>
    <w:rsid w:val="008A3879"/>
    <w:rsid w:val="008A5FA8"/>
    <w:rsid w:val="008A7575"/>
    <w:rsid w:val="008B5344"/>
    <w:rsid w:val="008B5F47"/>
    <w:rsid w:val="008C7B87"/>
    <w:rsid w:val="008D6A7A"/>
    <w:rsid w:val="008E3E87"/>
    <w:rsid w:val="008E7F13"/>
    <w:rsid w:val="008F3185"/>
    <w:rsid w:val="00915B0A"/>
    <w:rsid w:val="00926904"/>
    <w:rsid w:val="009372F0"/>
    <w:rsid w:val="00955022"/>
    <w:rsid w:val="00957B4D"/>
    <w:rsid w:val="00964EEA"/>
    <w:rsid w:val="009660DE"/>
    <w:rsid w:val="00980C86"/>
    <w:rsid w:val="00990390"/>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800D1"/>
    <w:rsid w:val="00A92699"/>
    <w:rsid w:val="00A97090"/>
    <w:rsid w:val="00AB5BF0"/>
    <w:rsid w:val="00AC1C95"/>
    <w:rsid w:val="00AC2CCB"/>
    <w:rsid w:val="00AC443A"/>
    <w:rsid w:val="00AE60E2"/>
    <w:rsid w:val="00B0169F"/>
    <w:rsid w:val="00B05F21"/>
    <w:rsid w:val="00B14EA9"/>
    <w:rsid w:val="00B30A3C"/>
    <w:rsid w:val="00B81305"/>
    <w:rsid w:val="00BA6B82"/>
    <w:rsid w:val="00BB17DC"/>
    <w:rsid w:val="00BB1AF9"/>
    <w:rsid w:val="00BB4C4A"/>
    <w:rsid w:val="00BC7F12"/>
    <w:rsid w:val="00BD3CAE"/>
    <w:rsid w:val="00BD5F3C"/>
    <w:rsid w:val="00C07C0F"/>
    <w:rsid w:val="00C14037"/>
    <w:rsid w:val="00C145C4"/>
    <w:rsid w:val="00C20D2F"/>
    <w:rsid w:val="00C2131B"/>
    <w:rsid w:val="00C37AF8"/>
    <w:rsid w:val="00C37C79"/>
    <w:rsid w:val="00C41BBC"/>
    <w:rsid w:val="00C51419"/>
    <w:rsid w:val="00C54056"/>
    <w:rsid w:val="00C663A3"/>
    <w:rsid w:val="00C75CB2"/>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6236B"/>
    <w:rsid w:val="00D76358"/>
    <w:rsid w:val="00D809D1"/>
    <w:rsid w:val="00D84ECF"/>
    <w:rsid w:val="00DA2851"/>
    <w:rsid w:val="00DA2B7C"/>
    <w:rsid w:val="00DA5686"/>
    <w:rsid w:val="00DB2FC0"/>
    <w:rsid w:val="00DC479B"/>
    <w:rsid w:val="00DD5FB8"/>
    <w:rsid w:val="00DF18FA"/>
    <w:rsid w:val="00DF49CA"/>
    <w:rsid w:val="00DF775B"/>
    <w:rsid w:val="00E007F3"/>
    <w:rsid w:val="00E0085E"/>
    <w:rsid w:val="00E00DEA"/>
    <w:rsid w:val="00E06EF0"/>
    <w:rsid w:val="00E11679"/>
    <w:rsid w:val="00E2412C"/>
    <w:rsid w:val="00E307D1"/>
    <w:rsid w:val="00E35827"/>
    <w:rsid w:val="00E46A04"/>
    <w:rsid w:val="00E717F3"/>
    <w:rsid w:val="00E72C5E"/>
    <w:rsid w:val="00E73451"/>
    <w:rsid w:val="00E7489F"/>
    <w:rsid w:val="00E75147"/>
    <w:rsid w:val="00E7569C"/>
    <w:rsid w:val="00E8167D"/>
    <w:rsid w:val="00E907E9"/>
    <w:rsid w:val="00E96BE7"/>
    <w:rsid w:val="00EA2CD0"/>
    <w:rsid w:val="00EB4C35"/>
    <w:rsid w:val="00EC0044"/>
    <w:rsid w:val="00EC6B9F"/>
    <w:rsid w:val="00EE516D"/>
    <w:rsid w:val="00EF4D1B"/>
    <w:rsid w:val="00EF7295"/>
    <w:rsid w:val="00F069D1"/>
    <w:rsid w:val="00F1503D"/>
    <w:rsid w:val="00F22712"/>
    <w:rsid w:val="00F275F5"/>
    <w:rsid w:val="00F33188"/>
    <w:rsid w:val="00F35BDE"/>
    <w:rsid w:val="00F52A0E"/>
    <w:rsid w:val="00F71F63"/>
    <w:rsid w:val="00F87506"/>
    <w:rsid w:val="00F92C41"/>
    <w:rsid w:val="00FA5522"/>
    <w:rsid w:val="00FA6E4A"/>
    <w:rsid w:val="00FB2B35"/>
    <w:rsid w:val="00FC4AE1"/>
    <w:rsid w:val="00FD78A3"/>
    <w:rsid w:val="00FF6C8A"/>
    <w:rsid w:val="00FF6D71"/>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8461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__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Pages>
  <Words>5257</Words>
  <Characters>32282</Characters>
  <Application>Microsoft Office Outlook</Application>
  <DocSecurity>4</DocSecurity>
  <Lines>609</Lines>
  <Paragraphs>121</Paragraphs>
  <ScaleCrop>false</ScaleCrop>
  <HeadingPairs>
    <vt:vector size="2" baseType="variant">
      <vt:variant>
        <vt:lpstr>Название</vt:lpstr>
      </vt:variant>
      <vt:variant>
        <vt:i4>1</vt:i4>
      </vt:variant>
    </vt:vector>
  </HeadingPairs>
  <TitlesOfParts>
    <vt:vector size="1" baseType="lpstr">
      <vt:lpstr>1414527</vt:lpstr>
    </vt:vector>
  </TitlesOfParts>
  <Company>CSD</Company>
  <LinksUpToDate>false</LinksUpToDate>
  <CharactersWithSpaces>37418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1414527</dc:title>
  <dc:subject>CCPR/C/111/D/1958/2010</dc:subject>
  <dc:creator>Ирина Сафонова</dc:creator>
  <cp:keywords/>
  <dc:description/>
  <cp:lastModifiedBy>Ирина Сафонова</cp:lastModifiedBy>
  <cp:revision>4</cp:revision>
  <cp:lastPrinted>2014-11-06T11:40:00Z</cp:lastPrinted>
  <dcterms:created xsi:type="dcterms:W3CDTF">2014-11-06T11:40:00Z</dcterms:created>
  <dcterms:modified xsi:type="dcterms:W3CDTF">2014-11-06T11:40:00Z</dcterms:modified>
</cp:coreProperties>
</file>