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F2A" w:rsidRPr="00FA27A4" w:rsidRDefault="00FA27A4" w:rsidP="00FA27A4">
      <w:pPr>
        <w:spacing w:line="240" w:lineRule="auto"/>
        <w:rPr>
          <w:sz w:val="6"/>
          <w:lang w:val="ru-RU"/>
        </w:rPr>
        <w:sectPr w:rsidR="00266F2A" w:rsidRPr="00FA27A4" w:rsidSect="00B934DA">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901" w:left="1195" w:header="576" w:footer="1037" w:gutter="0"/>
          <w:pgNumType w:start="1"/>
          <w:cols w:space="720"/>
          <w:noEndnote/>
          <w:titlePg/>
          <w:docGrid w:linePitch="278"/>
        </w:sectPr>
      </w:pPr>
      <w:commentRangeStart w:id="0"/>
      <w:r>
        <w:rPr>
          <w:sz w:val="6"/>
          <w:lang w:val="ru-RU"/>
        </w:rPr>
        <w:t xml:space="preserve">  </w:t>
      </w:r>
      <w:commentRangeEnd w:id="0"/>
      <w:r>
        <w:rPr>
          <w:rStyle w:val="CommentReference"/>
        </w:rPr>
        <w:commentReference w:id="0"/>
      </w:r>
    </w:p>
    <w:p w:rsidR="00A63F54" w:rsidRPr="00390FE7" w:rsidRDefault="0033591D" w:rsidP="0033591D">
      <w:pPr>
        <w:pStyle w:val="H1"/>
        <w:tabs>
          <w:tab w:val="clear" w:pos="1742"/>
        </w:tabs>
        <w:ind w:left="0" w:right="0" w:firstLine="0"/>
        <w:rPr>
          <w:lang w:val="ru-RU"/>
        </w:rPr>
      </w:pPr>
      <w:r w:rsidRPr="00390FE7">
        <w:rPr>
          <w:lang w:val="ru-RU"/>
        </w:rPr>
        <w:t xml:space="preserve">Комитет по ликвидации дискриминации </w:t>
      </w:r>
      <w:r w:rsidRPr="00390FE7">
        <w:rPr>
          <w:lang w:val="ru-RU"/>
        </w:rPr>
        <w:br/>
        <w:t>в отношении женщин</w:t>
      </w:r>
    </w:p>
    <w:p w:rsidR="00E230F8" w:rsidRPr="00390FE7" w:rsidRDefault="00E230F8" w:rsidP="00E230F8">
      <w:pPr>
        <w:rPr>
          <w:b/>
          <w:lang w:val="ru-RU"/>
        </w:rPr>
      </w:pPr>
      <w:r w:rsidRPr="00390FE7">
        <w:rPr>
          <w:b/>
          <w:lang w:val="ru-RU"/>
        </w:rPr>
        <w:t xml:space="preserve">Пятьдесят </w:t>
      </w:r>
      <w:r w:rsidR="00567FCD">
        <w:rPr>
          <w:b/>
          <w:lang w:val="ru-RU"/>
        </w:rPr>
        <w:t>пят</w:t>
      </w:r>
      <w:r w:rsidRPr="00390FE7">
        <w:rPr>
          <w:b/>
          <w:lang w:val="ru-RU"/>
        </w:rPr>
        <w:t>ая сессия</w:t>
      </w:r>
    </w:p>
    <w:p w:rsidR="00A63F54" w:rsidRPr="00390FE7" w:rsidRDefault="00567FCD" w:rsidP="00E230F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ru-RU"/>
        </w:rPr>
      </w:pPr>
      <w:r>
        <w:rPr>
          <w:lang w:val="ru-RU"/>
        </w:rPr>
        <w:t>8–26</w:t>
      </w:r>
      <w:r w:rsidR="00E230F8" w:rsidRPr="00390FE7">
        <w:rPr>
          <w:lang w:val="ru-RU"/>
        </w:rPr>
        <w:t xml:space="preserve"> июля 2013</w:t>
      </w:r>
      <w:r w:rsidR="00421345">
        <w:rPr>
          <w:lang w:val="ru-RU"/>
        </w:rPr>
        <w:t> год</w:t>
      </w:r>
      <w:r w:rsidR="00E230F8" w:rsidRPr="00390FE7">
        <w:rPr>
          <w:lang w:val="ru-RU"/>
        </w:rPr>
        <w:t>а</w:t>
      </w:r>
    </w:p>
    <w:p w:rsidR="00196636" w:rsidRPr="00390FE7" w:rsidRDefault="00196636" w:rsidP="00196636">
      <w:pPr>
        <w:pStyle w:val="SingleTxt"/>
        <w:spacing w:after="0" w:line="120" w:lineRule="exact"/>
        <w:rPr>
          <w:sz w:val="10"/>
        </w:rPr>
      </w:pPr>
    </w:p>
    <w:p w:rsidR="00196636" w:rsidRPr="00390FE7" w:rsidRDefault="00196636" w:rsidP="00196636">
      <w:pPr>
        <w:pStyle w:val="SingleTxt"/>
        <w:spacing w:after="0" w:line="120" w:lineRule="exact"/>
        <w:rPr>
          <w:sz w:val="10"/>
        </w:rPr>
      </w:pPr>
    </w:p>
    <w:p w:rsidR="00196636" w:rsidRPr="00390FE7" w:rsidRDefault="00196636" w:rsidP="00196636">
      <w:pPr>
        <w:pStyle w:val="SingleTxt"/>
        <w:spacing w:after="0" w:line="120" w:lineRule="exact"/>
        <w:rPr>
          <w:sz w:val="10"/>
        </w:rPr>
      </w:pPr>
    </w:p>
    <w:p w:rsidR="00A63F54" w:rsidRPr="00567FCD" w:rsidRDefault="00A63F54" w:rsidP="00196636">
      <w:pPr>
        <w:pStyle w:val="HCh"/>
        <w:ind w:left="1267" w:right="1260" w:hanging="1267"/>
        <w:rPr>
          <w:szCs w:val="28"/>
        </w:rPr>
      </w:pPr>
      <w:r w:rsidRPr="00390FE7">
        <w:tab/>
      </w:r>
      <w:r w:rsidRPr="00390FE7">
        <w:tab/>
      </w:r>
      <w:r w:rsidR="00567FCD" w:rsidRPr="00567FCD">
        <w:rPr>
          <w:szCs w:val="28"/>
        </w:rPr>
        <w:t xml:space="preserve">Сообщение № </w:t>
      </w:r>
      <w:hyperlink r:id="rId13" w:history="1">
        <w:r w:rsidR="00567FCD" w:rsidRPr="0036057C">
          <w:rPr>
            <w:rStyle w:val="Hyperlink"/>
            <w:szCs w:val="28"/>
          </w:rPr>
          <w:t>33/201</w:t>
        </w:r>
      </w:hyperlink>
      <w:r w:rsidR="00567FCD" w:rsidRPr="00567FCD">
        <w:rPr>
          <w:szCs w:val="28"/>
        </w:rPr>
        <w:t>1</w:t>
      </w:r>
    </w:p>
    <w:p w:rsidR="00196636" w:rsidRPr="00390FE7" w:rsidRDefault="00196636" w:rsidP="00196636">
      <w:pPr>
        <w:pStyle w:val="SingleTxt"/>
        <w:spacing w:after="0" w:line="120" w:lineRule="exact"/>
        <w:rPr>
          <w:sz w:val="10"/>
        </w:rPr>
      </w:pPr>
    </w:p>
    <w:p w:rsidR="00A63F54" w:rsidRPr="00567FCD" w:rsidRDefault="00A63F54" w:rsidP="00196636">
      <w:pPr>
        <w:pStyle w:val="H1"/>
        <w:ind w:right="1260"/>
        <w:rPr>
          <w:lang w:val="ru-RU"/>
        </w:rPr>
      </w:pPr>
      <w:r w:rsidRPr="00390FE7">
        <w:rPr>
          <w:lang w:val="ru-RU"/>
        </w:rPr>
        <w:tab/>
      </w:r>
      <w:r w:rsidRPr="00390FE7">
        <w:rPr>
          <w:lang w:val="ru-RU"/>
        </w:rPr>
        <w:tab/>
      </w:r>
      <w:r w:rsidR="00567FCD" w:rsidRPr="00567FCD">
        <w:rPr>
          <w:lang w:val="ru-RU"/>
        </w:rPr>
        <w:t xml:space="preserve">Решение принято Комитетом на его пятьдесят пятой сессии, </w:t>
      </w:r>
      <w:r w:rsidR="00567FCD">
        <w:rPr>
          <w:lang w:val="ru-RU"/>
        </w:rPr>
        <w:br/>
      </w:r>
      <w:r w:rsidR="00567FCD" w:rsidRPr="00567FCD">
        <w:rPr>
          <w:lang w:val="ru-RU"/>
        </w:rPr>
        <w:t>8</w:t>
      </w:r>
      <w:r w:rsidR="00567FCD">
        <w:rPr>
          <w:lang w:val="ru-RU"/>
        </w:rPr>
        <w:t>–</w:t>
      </w:r>
      <w:r w:rsidR="00567FCD" w:rsidRPr="00567FCD">
        <w:rPr>
          <w:lang w:val="ru-RU"/>
        </w:rPr>
        <w:t>26 июля 2013</w:t>
      </w:r>
      <w:r w:rsidR="00421345">
        <w:rPr>
          <w:lang w:val="ru-RU"/>
        </w:rPr>
        <w:t> год</w:t>
      </w:r>
      <w:r w:rsidR="00567FCD" w:rsidRPr="00567FCD">
        <w:rPr>
          <w:lang w:val="ru-RU"/>
        </w:rPr>
        <w:t>а</w:t>
      </w:r>
    </w:p>
    <w:p w:rsidR="00196636" w:rsidRPr="00390FE7" w:rsidRDefault="00196636" w:rsidP="00196636">
      <w:pPr>
        <w:pStyle w:val="SingleTxt"/>
        <w:spacing w:after="0" w:line="120" w:lineRule="exact"/>
        <w:rPr>
          <w:sz w:val="10"/>
        </w:rPr>
      </w:pPr>
    </w:p>
    <w:p w:rsidR="00196636" w:rsidRPr="00390FE7" w:rsidRDefault="00196636" w:rsidP="00196636">
      <w:pPr>
        <w:pStyle w:val="SingleTxt"/>
        <w:spacing w:after="0" w:line="120" w:lineRule="exact"/>
        <w:rPr>
          <w:sz w:val="10"/>
        </w:rPr>
      </w:pPr>
    </w:p>
    <w:tbl>
      <w:tblPr>
        <w:tblW w:w="7363" w:type="dxa"/>
        <w:tblInd w:w="1162" w:type="dxa"/>
        <w:tblCellMar>
          <w:left w:w="28" w:type="dxa"/>
          <w:right w:w="28" w:type="dxa"/>
        </w:tblCellMar>
        <w:tblLook w:val="01E0"/>
      </w:tblPr>
      <w:tblGrid>
        <w:gridCol w:w="2694"/>
        <w:gridCol w:w="4669"/>
      </w:tblGrid>
      <w:tr w:rsidR="00421345" w:rsidRPr="0036057C" w:rsidTr="00421345">
        <w:tc>
          <w:tcPr>
            <w:tcW w:w="2694" w:type="dxa"/>
          </w:tcPr>
          <w:p w:rsidR="00421345" w:rsidRPr="00421345" w:rsidRDefault="00421345" w:rsidP="00421345">
            <w:pPr>
              <w:spacing w:before="40" w:after="120"/>
              <w:rPr>
                <w:spacing w:val="0"/>
                <w:w w:val="100"/>
                <w:kern w:val="0"/>
                <w:lang w:val="ru-RU"/>
              </w:rPr>
            </w:pPr>
            <w:r w:rsidRPr="00421345">
              <w:rPr>
                <w:i/>
                <w:iCs/>
                <w:spacing w:val="0"/>
                <w:w w:val="100"/>
                <w:kern w:val="0"/>
                <w:lang w:val="ru-RU"/>
              </w:rPr>
              <w:t>Представлено</w:t>
            </w:r>
            <w:r w:rsidRPr="00421345">
              <w:rPr>
                <w:spacing w:val="0"/>
                <w:w w:val="100"/>
                <w:kern w:val="0"/>
                <w:lang w:val="ru-RU"/>
              </w:rPr>
              <w:t>:</w:t>
            </w:r>
          </w:p>
        </w:tc>
        <w:tc>
          <w:tcPr>
            <w:tcW w:w="4669" w:type="dxa"/>
          </w:tcPr>
          <w:p w:rsidR="00421345" w:rsidRPr="00421345" w:rsidRDefault="00421345" w:rsidP="00421345">
            <w:pPr>
              <w:spacing w:before="40" w:after="120"/>
              <w:rPr>
                <w:spacing w:val="0"/>
                <w:w w:val="100"/>
                <w:kern w:val="0"/>
                <w:lang w:val="ru-RU"/>
              </w:rPr>
            </w:pPr>
            <w:r w:rsidRPr="00841B47">
              <w:rPr>
                <w:spacing w:val="0"/>
                <w:w w:val="100"/>
                <w:kern w:val="0"/>
                <w:lang w:val="ru-RU"/>
              </w:rPr>
              <w:t>М. Н. Н. (представляется адвокатом Нильсом-Эриком Хансеном)</w:t>
            </w:r>
          </w:p>
        </w:tc>
      </w:tr>
      <w:tr w:rsidR="00421345" w:rsidRPr="00814070" w:rsidTr="00421345">
        <w:tc>
          <w:tcPr>
            <w:tcW w:w="2694" w:type="dxa"/>
          </w:tcPr>
          <w:p w:rsidR="00421345" w:rsidRPr="00421345" w:rsidRDefault="00421345" w:rsidP="00421345">
            <w:pPr>
              <w:spacing w:before="40" w:after="120"/>
              <w:rPr>
                <w:i/>
                <w:iCs/>
                <w:spacing w:val="0"/>
                <w:w w:val="100"/>
                <w:kern w:val="0"/>
                <w:lang w:val="ru-RU"/>
              </w:rPr>
            </w:pPr>
            <w:r w:rsidRPr="00421345">
              <w:rPr>
                <w:i/>
                <w:iCs/>
                <w:spacing w:val="0"/>
                <w:w w:val="100"/>
                <w:kern w:val="0"/>
                <w:lang w:val="ru-RU"/>
              </w:rPr>
              <w:t>Предполагаемые жертвы:</w:t>
            </w:r>
          </w:p>
        </w:tc>
        <w:tc>
          <w:tcPr>
            <w:tcW w:w="4669" w:type="dxa"/>
          </w:tcPr>
          <w:p w:rsidR="00421345" w:rsidRPr="00421345" w:rsidRDefault="00421345" w:rsidP="00421345">
            <w:pPr>
              <w:spacing w:before="40" w:after="120"/>
              <w:rPr>
                <w:spacing w:val="0"/>
                <w:w w:val="100"/>
                <w:kern w:val="0"/>
                <w:lang w:val="ru-RU"/>
              </w:rPr>
            </w:pPr>
            <w:r w:rsidRPr="00841B47">
              <w:rPr>
                <w:spacing w:val="0"/>
                <w:w w:val="100"/>
                <w:kern w:val="0"/>
                <w:lang w:val="ru-RU"/>
              </w:rPr>
              <w:t>автор сообщения</w:t>
            </w:r>
          </w:p>
        </w:tc>
      </w:tr>
      <w:tr w:rsidR="00421345" w:rsidRPr="00814070" w:rsidTr="00421345">
        <w:tc>
          <w:tcPr>
            <w:tcW w:w="2694" w:type="dxa"/>
          </w:tcPr>
          <w:p w:rsidR="00421345" w:rsidRPr="00421345" w:rsidRDefault="00421345" w:rsidP="00421345">
            <w:pPr>
              <w:spacing w:before="40" w:after="120"/>
              <w:rPr>
                <w:i/>
                <w:iCs/>
                <w:spacing w:val="0"/>
                <w:w w:val="100"/>
                <w:kern w:val="0"/>
                <w:lang w:val="ru-RU"/>
              </w:rPr>
            </w:pPr>
            <w:r w:rsidRPr="00421345">
              <w:rPr>
                <w:i/>
                <w:iCs/>
                <w:spacing w:val="0"/>
                <w:w w:val="100"/>
                <w:kern w:val="0"/>
                <w:lang w:val="ru-RU"/>
              </w:rPr>
              <w:t>Государство</w:t>
            </w:r>
            <w:r w:rsidRPr="00421345">
              <w:rPr>
                <w:spacing w:val="0"/>
                <w:w w:val="100"/>
                <w:kern w:val="0"/>
                <w:lang w:val="ru-RU"/>
              </w:rPr>
              <w:t>-</w:t>
            </w:r>
            <w:r w:rsidRPr="00421345">
              <w:rPr>
                <w:i/>
                <w:iCs/>
                <w:spacing w:val="0"/>
                <w:w w:val="100"/>
                <w:kern w:val="0"/>
                <w:lang w:val="ru-RU"/>
              </w:rPr>
              <w:t>участник:</w:t>
            </w:r>
          </w:p>
        </w:tc>
        <w:tc>
          <w:tcPr>
            <w:tcW w:w="4669" w:type="dxa"/>
          </w:tcPr>
          <w:p w:rsidR="00421345" w:rsidRPr="00421345" w:rsidRDefault="00421345" w:rsidP="00421345">
            <w:pPr>
              <w:spacing w:before="40" w:after="120"/>
              <w:rPr>
                <w:spacing w:val="0"/>
                <w:w w:val="100"/>
                <w:kern w:val="0"/>
                <w:lang w:val="ru-RU"/>
              </w:rPr>
            </w:pPr>
            <w:r w:rsidRPr="00841B47">
              <w:rPr>
                <w:spacing w:val="0"/>
                <w:w w:val="100"/>
                <w:kern w:val="0"/>
                <w:lang w:val="ru-RU"/>
              </w:rPr>
              <w:t>Дания</w:t>
            </w:r>
          </w:p>
        </w:tc>
      </w:tr>
      <w:tr w:rsidR="00421345" w:rsidRPr="00814070" w:rsidTr="00421345">
        <w:tc>
          <w:tcPr>
            <w:tcW w:w="2694" w:type="dxa"/>
          </w:tcPr>
          <w:p w:rsidR="00421345" w:rsidRPr="00421345" w:rsidRDefault="00421345" w:rsidP="00421345">
            <w:pPr>
              <w:spacing w:before="40" w:after="120"/>
              <w:rPr>
                <w:i/>
                <w:iCs/>
                <w:spacing w:val="0"/>
                <w:w w:val="100"/>
                <w:kern w:val="0"/>
                <w:lang w:val="ru-RU"/>
              </w:rPr>
            </w:pPr>
            <w:r w:rsidRPr="00421345">
              <w:rPr>
                <w:i/>
                <w:iCs/>
                <w:spacing w:val="0"/>
                <w:w w:val="100"/>
                <w:kern w:val="0"/>
                <w:lang w:val="ru-RU"/>
              </w:rPr>
              <w:t>Дата сообщения:</w:t>
            </w:r>
          </w:p>
        </w:tc>
        <w:tc>
          <w:tcPr>
            <w:tcW w:w="4669" w:type="dxa"/>
          </w:tcPr>
          <w:p w:rsidR="00421345" w:rsidRPr="00421345" w:rsidRDefault="00421345" w:rsidP="00421345">
            <w:pPr>
              <w:spacing w:before="40" w:after="120"/>
              <w:rPr>
                <w:spacing w:val="0"/>
                <w:w w:val="100"/>
                <w:kern w:val="0"/>
                <w:lang w:val="ru-RU"/>
              </w:rPr>
            </w:pPr>
            <w:r w:rsidRPr="00841B47">
              <w:rPr>
                <w:spacing w:val="0"/>
                <w:w w:val="100"/>
                <w:kern w:val="0"/>
                <w:lang w:val="ru-RU"/>
              </w:rPr>
              <w:t>8</w:t>
            </w:r>
            <w:r w:rsidRPr="00841B47">
              <w:rPr>
                <w:spacing w:val="0"/>
                <w:w w:val="100"/>
                <w:kern w:val="0"/>
                <w:lang w:val="en-US"/>
              </w:rPr>
              <w:t> </w:t>
            </w:r>
            <w:r w:rsidRPr="00841B47">
              <w:rPr>
                <w:spacing w:val="0"/>
                <w:w w:val="100"/>
                <w:kern w:val="0"/>
                <w:lang w:val="ru-RU"/>
              </w:rPr>
              <w:t>мая 2010</w:t>
            </w:r>
            <w:r>
              <w:rPr>
                <w:spacing w:val="0"/>
                <w:w w:val="100"/>
                <w:kern w:val="0"/>
              </w:rPr>
              <w:t> год</w:t>
            </w:r>
            <w:r w:rsidRPr="00841B47">
              <w:rPr>
                <w:spacing w:val="0"/>
                <w:w w:val="100"/>
                <w:kern w:val="0"/>
                <w:lang w:val="ru-RU"/>
              </w:rPr>
              <w:t>а (первоначальное представление)</w:t>
            </w:r>
          </w:p>
        </w:tc>
      </w:tr>
      <w:tr w:rsidR="00421345" w:rsidRPr="0036057C" w:rsidTr="00421345">
        <w:tc>
          <w:tcPr>
            <w:tcW w:w="2694" w:type="dxa"/>
          </w:tcPr>
          <w:p w:rsidR="00421345" w:rsidRPr="00421345" w:rsidRDefault="00421345" w:rsidP="00421345">
            <w:pPr>
              <w:spacing w:before="40" w:after="120"/>
              <w:rPr>
                <w:spacing w:val="0"/>
                <w:w w:val="100"/>
                <w:kern w:val="0"/>
                <w:lang w:val="ru-RU"/>
              </w:rPr>
            </w:pPr>
            <w:r w:rsidRPr="00421345">
              <w:rPr>
                <w:i/>
                <w:iCs/>
                <w:spacing w:val="0"/>
                <w:w w:val="100"/>
                <w:kern w:val="0"/>
                <w:lang w:val="ru-RU"/>
              </w:rPr>
              <w:t>Справочная документация</w:t>
            </w:r>
            <w:r w:rsidRPr="00421345">
              <w:rPr>
                <w:spacing w:val="0"/>
                <w:w w:val="100"/>
                <w:kern w:val="0"/>
                <w:lang w:val="ru-RU"/>
              </w:rPr>
              <w:t>:</w:t>
            </w:r>
          </w:p>
        </w:tc>
        <w:tc>
          <w:tcPr>
            <w:tcW w:w="4669" w:type="dxa"/>
          </w:tcPr>
          <w:p w:rsidR="00421345" w:rsidRPr="00421345" w:rsidRDefault="00421345" w:rsidP="00421345">
            <w:pPr>
              <w:spacing w:before="40" w:after="120"/>
              <w:rPr>
                <w:spacing w:val="0"/>
                <w:w w:val="100"/>
                <w:kern w:val="0"/>
                <w:lang w:val="ru-RU"/>
              </w:rPr>
            </w:pPr>
            <w:r w:rsidRPr="00841B47">
              <w:rPr>
                <w:spacing w:val="0"/>
                <w:w w:val="100"/>
                <w:kern w:val="0"/>
                <w:lang w:val="ru-RU"/>
              </w:rPr>
              <w:t>решение Рабочей группы согласно статьям 5 и 6 Факультативного протокола и правила 63 и 69 правил процедуры Комитета, препровожден</w:t>
            </w:r>
            <w:r w:rsidR="001A0999">
              <w:rPr>
                <w:spacing w:val="0"/>
                <w:w w:val="100"/>
                <w:kern w:val="0"/>
                <w:lang w:val="ru-RU"/>
              </w:rPr>
              <w:t>о</w:t>
            </w:r>
            <w:r w:rsidRPr="00841B47">
              <w:rPr>
                <w:spacing w:val="0"/>
                <w:w w:val="100"/>
                <w:kern w:val="0"/>
                <w:lang w:val="ru-RU"/>
              </w:rPr>
              <w:t xml:space="preserve"> государству-участнику 13 июля 2011</w:t>
            </w:r>
            <w:r>
              <w:rPr>
                <w:spacing w:val="0"/>
                <w:w w:val="100"/>
                <w:kern w:val="0"/>
              </w:rPr>
              <w:t> </w:t>
            </w:r>
            <w:r w:rsidRPr="0036057C">
              <w:rPr>
                <w:spacing w:val="0"/>
                <w:w w:val="100"/>
                <w:kern w:val="0"/>
                <w:lang w:val="ru-RU"/>
              </w:rPr>
              <w:t>год</w:t>
            </w:r>
            <w:r w:rsidRPr="00841B47">
              <w:rPr>
                <w:spacing w:val="0"/>
                <w:w w:val="100"/>
                <w:kern w:val="0"/>
                <w:lang w:val="ru-RU"/>
              </w:rPr>
              <w:t xml:space="preserve">а </w:t>
            </w:r>
            <w:r w:rsidR="001A0999">
              <w:rPr>
                <w:spacing w:val="0"/>
                <w:w w:val="100"/>
                <w:kern w:val="0"/>
                <w:lang w:val="ru-RU"/>
              </w:rPr>
              <w:br/>
            </w:r>
            <w:r w:rsidRPr="00841B47">
              <w:rPr>
                <w:spacing w:val="0"/>
                <w:w w:val="100"/>
                <w:kern w:val="0"/>
                <w:lang w:val="ru-RU"/>
              </w:rPr>
              <w:t>(в виде документа не издавал</w:t>
            </w:r>
            <w:r w:rsidR="001A0999">
              <w:rPr>
                <w:spacing w:val="0"/>
                <w:w w:val="100"/>
                <w:kern w:val="0"/>
                <w:lang w:val="ru-RU"/>
              </w:rPr>
              <w:t>о</w:t>
            </w:r>
            <w:r w:rsidRPr="00841B47">
              <w:rPr>
                <w:spacing w:val="0"/>
                <w:w w:val="100"/>
                <w:kern w:val="0"/>
                <w:lang w:val="ru-RU"/>
              </w:rPr>
              <w:t>сь)</w:t>
            </w:r>
          </w:p>
        </w:tc>
      </w:tr>
      <w:tr w:rsidR="00421345" w:rsidRPr="00814070" w:rsidTr="00421345">
        <w:tc>
          <w:tcPr>
            <w:tcW w:w="2694" w:type="dxa"/>
          </w:tcPr>
          <w:p w:rsidR="00421345" w:rsidRPr="00421345" w:rsidRDefault="00421345" w:rsidP="00421345">
            <w:pPr>
              <w:spacing w:before="40" w:after="120"/>
              <w:rPr>
                <w:spacing w:val="0"/>
                <w:w w:val="100"/>
                <w:kern w:val="0"/>
                <w:lang w:val="ru-RU"/>
              </w:rPr>
            </w:pPr>
            <w:r w:rsidRPr="00421345">
              <w:rPr>
                <w:i/>
                <w:spacing w:val="0"/>
                <w:w w:val="100"/>
                <w:kern w:val="0"/>
                <w:lang w:val="ru-RU"/>
              </w:rPr>
              <w:t>Дата принятия решения</w:t>
            </w:r>
            <w:r w:rsidRPr="00421345">
              <w:rPr>
                <w:spacing w:val="0"/>
                <w:w w:val="100"/>
                <w:kern w:val="0"/>
                <w:lang w:val="ru-RU"/>
              </w:rPr>
              <w:t>:</w:t>
            </w:r>
          </w:p>
        </w:tc>
        <w:tc>
          <w:tcPr>
            <w:tcW w:w="4669" w:type="dxa"/>
          </w:tcPr>
          <w:p w:rsidR="00421345" w:rsidRPr="00421345" w:rsidRDefault="00421345" w:rsidP="00421345">
            <w:pPr>
              <w:spacing w:before="40" w:after="120"/>
              <w:rPr>
                <w:spacing w:val="0"/>
                <w:w w:val="100"/>
                <w:kern w:val="0"/>
                <w:lang w:val="ru-RU"/>
              </w:rPr>
            </w:pPr>
            <w:r w:rsidRPr="00841B47">
              <w:rPr>
                <w:spacing w:val="0"/>
                <w:w w:val="100"/>
                <w:kern w:val="0"/>
                <w:lang w:val="ru-RU"/>
              </w:rPr>
              <w:t>15 июля 2013</w:t>
            </w:r>
            <w:r>
              <w:rPr>
                <w:spacing w:val="0"/>
                <w:w w:val="100"/>
                <w:kern w:val="0"/>
              </w:rPr>
              <w:t> год</w:t>
            </w:r>
            <w:r w:rsidRPr="00841B47">
              <w:rPr>
                <w:spacing w:val="0"/>
                <w:w w:val="100"/>
                <w:kern w:val="0"/>
                <w:lang w:val="ru-RU"/>
              </w:rPr>
              <w:t>а</w:t>
            </w:r>
          </w:p>
        </w:tc>
      </w:tr>
    </w:tbl>
    <w:p w:rsidR="0033591D" w:rsidRPr="00390FE7" w:rsidRDefault="0033591D" w:rsidP="00A63F54">
      <w:pPr>
        <w:pStyle w:val="SingleTxt"/>
      </w:pPr>
    </w:p>
    <w:p w:rsidR="00421345" w:rsidRPr="00421345" w:rsidRDefault="00421345" w:rsidP="00421345">
      <w:pPr>
        <w:pStyle w:val="HCh"/>
      </w:pPr>
      <w:r>
        <w:br w:type="page"/>
      </w:r>
      <w:r w:rsidRPr="00421345">
        <w:t>Приложение</w:t>
      </w:r>
    </w:p>
    <w:p w:rsidR="00421345" w:rsidRPr="00841B47" w:rsidRDefault="00421345" w:rsidP="00421345">
      <w:pPr>
        <w:pStyle w:val="SingleTxt"/>
        <w:spacing w:after="0"/>
      </w:pPr>
    </w:p>
    <w:p w:rsidR="00421345" w:rsidRPr="00421345" w:rsidRDefault="00421345" w:rsidP="00421345">
      <w:pPr>
        <w:pStyle w:val="HCh"/>
      </w:pPr>
      <w:r w:rsidRPr="00421345">
        <w:tab/>
      </w:r>
      <w:r w:rsidRPr="00421345">
        <w:tab/>
        <w:t>Решение Комитета о ликвидации дискриминации в</w:t>
      </w:r>
      <w:r>
        <w:t> </w:t>
      </w:r>
      <w:r w:rsidRPr="00421345">
        <w:t xml:space="preserve">отношении женщин в соответствии с Факультативным протоколом к Конвенции о ликвидации всех форм дискриминации в отношении женщин </w:t>
      </w:r>
      <w:r>
        <w:br/>
      </w:r>
      <w:r w:rsidRPr="00421345">
        <w:t>(пятьдесят пятая сессия)</w:t>
      </w:r>
    </w:p>
    <w:p w:rsidR="00421345" w:rsidRPr="00841B47" w:rsidRDefault="00421345" w:rsidP="00421345">
      <w:pPr>
        <w:pStyle w:val="SingleTxt"/>
        <w:spacing w:after="0"/>
      </w:pPr>
    </w:p>
    <w:p w:rsidR="00421345" w:rsidRPr="001A0999" w:rsidRDefault="00421345" w:rsidP="00421345">
      <w:pPr>
        <w:pStyle w:val="H1"/>
        <w:spacing w:line="240" w:lineRule="exact"/>
        <w:ind w:right="1260"/>
        <w:rPr>
          <w:i/>
          <w:spacing w:val="0"/>
          <w:w w:val="100"/>
          <w:kern w:val="0"/>
          <w:szCs w:val="24"/>
          <w:lang w:val="ru-RU"/>
        </w:rPr>
      </w:pPr>
      <w:r w:rsidRPr="001A0999">
        <w:rPr>
          <w:spacing w:val="0"/>
          <w:w w:val="100"/>
          <w:kern w:val="0"/>
          <w:szCs w:val="24"/>
          <w:lang w:val="ru-RU"/>
        </w:rPr>
        <w:tab/>
      </w:r>
      <w:r w:rsidRPr="001A0999">
        <w:rPr>
          <w:spacing w:val="0"/>
          <w:w w:val="100"/>
          <w:kern w:val="0"/>
          <w:szCs w:val="24"/>
          <w:lang w:val="ru-RU"/>
        </w:rPr>
        <w:tab/>
        <w:t xml:space="preserve">Сообщение № </w:t>
      </w:r>
      <w:hyperlink r:id="rId14" w:history="1">
        <w:r w:rsidRPr="0036057C">
          <w:rPr>
            <w:rStyle w:val="Hyperlink"/>
            <w:spacing w:val="0"/>
            <w:w w:val="100"/>
            <w:kern w:val="0"/>
            <w:szCs w:val="24"/>
            <w:lang w:val="ru-RU"/>
          </w:rPr>
          <w:t>33/201</w:t>
        </w:r>
      </w:hyperlink>
      <w:r w:rsidRPr="001A0999">
        <w:rPr>
          <w:spacing w:val="0"/>
          <w:w w:val="100"/>
          <w:kern w:val="0"/>
          <w:szCs w:val="24"/>
          <w:lang w:val="ru-RU"/>
        </w:rPr>
        <w:t xml:space="preserve">1, </w:t>
      </w:r>
      <w:r w:rsidRPr="001A0999">
        <w:rPr>
          <w:i/>
          <w:spacing w:val="0"/>
          <w:w w:val="100"/>
          <w:kern w:val="0"/>
          <w:szCs w:val="24"/>
          <w:lang w:val="ru-RU"/>
        </w:rPr>
        <w:t>М. Н. Н. против Дании</w:t>
      </w:r>
      <w:r w:rsidRPr="001A0999">
        <w:rPr>
          <w:rStyle w:val="FootnoteReference"/>
          <w:i/>
          <w:spacing w:val="0"/>
          <w:w w:val="100"/>
          <w:kern w:val="0"/>
          <w:position w:val="0"/>
          <w:szCs w:val="24"/>
          <w:vertAlign w:val="baseline"/>
          <w:lang w:val="ru-RU"/>
        </w:rPr>
        <w:footnoteReference w:customMarkFollows="1" w:id="1"/>
        <w:t>*</w:t>
      </w:r>
      <w:r w:rsidRPr="001A0999">
        <w:rPr>
          <w:i/>
          <w:spacing w:val="0"/>
          <w:w w:val="100"/>
          <w:kern w:val="0"/>
          <w:szCs w:val="24"/>
          <w:lang w:val="ru-RU"/>
        </w:rPr>
        <w:t xml:space="preserve"> </w:t>
      </w:r>
    </w:p>
    <w:p w:rsidR="00421345" w:rsidRPr="00841B47" w:rsidRDefault="00421345" w:rsidP="00421345">
      <w:pPr>
        <w:pStyle w:val="SingleTxt"/>
        <w:spacing w:after="0"/>
      </w:pPr>
    </w:p>
    <w:tbl>
      <w:tblPr>
        <w:tblW w:w="7315" w:type="dxa"/>
        <w:tblInd w:w="1282" w:type="dxa"/>
        <w:tblCellMar>
          <w:left w:w="28" w:type="dxa"/>
          <w:right w:w="28" w:type="dxa"/>
        </w:tblCellMar>
        <w:tblLook w:val="01E0"/>
      </w:tblPr>
      <w:tblGrid>
        <w:gridCol w:w="2574"/>
        <w:gridCol w:w="4741"/>
      </w:tblGrid>
      <w:tr w:rsidR="00421345" w:rsidRPr="00421345" w:rsidTr="00421345">
        <w:tc>
          <w:tcPr>
            <w:tcW w:w="2574" w:type="dxa"/>
          </w:tcPr>
          <w:p w:rsidR="00421345" w:rsidRPr="00421345" w:rsidRDefault="00421345" w:rsidP="00421345">
            <w:pPr>
              <w:spacing w:before="40" w:after="120"/>
              <w:rPr>
                <w:spacing w:val="0"/>
                <w:w w:val="100"/>
                <w:kern w:val="0"/>
                <w:lang w:val="ru-RU"/>
              </w:rPr>
            </w:pPr>
            <w:r w:rsidRPr="00421345">
              <w:rPr>
                <w:i/>
                <w:iCs/>
                <w:spacing w:val="0"/>
                <w:w w:val="100"/>
                <w:kern w:val="0"/>
                <w:lang w:val="ru-RU"/>
              </w:rPr>
              <w:t>Представлено</w:t>
            </w:r>
            <w:r w:rsidRPr="00421345">
              <w:rPr>
                <w:spacing w:val="0"/>
                <w:w w:val="100"/>
                <w:kern w:val="0"/>
                <w:lang w:val="ru-RU"/>
              </w:rPr>
              <w:t>:</w:t>
            </w:r>
          </w:p>
        </w:tc>
        <w:tc>
          <w:tcPr>
            <w:tcW w:w="4741" w:type="dxa"/>
          </w:tcPr>
          <w:p w:rsidR="00421345" w:rsidRPr="00421345" w:rsidRDefault="00421345" w:rsidP="00421345">
            <w:pPr>
              <w:spacing w:before="40" w:after="120"/>
              <w:rPr>
                <w:spacing w:val="0"/>
                <w:w w:val="100"/>
                <w:kern w:val="0"/>
                <w:lang w:val="ru-RU"/>
              </w:rPr>
            </w:pPr>
            <w:r w:rsidRPr="00841B47">
              <w:rPr>
                <w:spacing w:val="0"/>
                <w:w w:val="100"/>
                <w:kern w:val="0"/>
                <w:lang w:val="ru-RU"/>
              </w:rPr>
              <w:t>М. Н. Н. (представляется адвокатом Нильсом-Эриком Хансеном)</w:t>
            </w:r>
          </w:p>
        </w:tc>
      </w:tr>
      <w:tr w:rsidR="00421345" w:rsidRPr="00421345" w:rsidTr="00421345">
        <w:tc>
          <w:tcPr>
            <w:tcW w:w="2574" w:type="dxa"/>
          </w:tcPr>
          <w:p w:rsidR="00421345" w:rsidRPr="00421345" w:rsidRDefault="00421345" w:rsidP="00421345">
            <w:pPr>
              <w:spacing w:before="40" w:after="120"/>
              <w:rPr>
                <w:i/>
                <w:iCs/>
                <w:spacing w:val="0"/>
                <w:w w:val="100"/>
                <w:kern w:val="0"/>
                <w:lang w:val="ru-RU"/>
              </w:rPr>
            </w:pPr>
            <w:r w:rsidRPr="00421345">
              <w:rPr>
                <w:i/>
                <w:iCs/>
                <w:spacing w:val="0"/>
                <w:w w:val="100"/>
                <w:kern w:val="0"/>
                <w:lang w:val="ru-RU"/>
              </w:rPr>
              <w:t>Предполагаемые жертвы:</w:t>
            </w:r>
          </w:p>
        </w:tc>
        <w:tc>
          <w:tcPr>
            <w:tcW w:w="4741" w:type="dxa"/>
          </w:tcPr>
          <w:p w:rsidR="00421345" w:rsidRPr="00421345" w:rsidRDefault="00421345" w:rsidP="00421345">
            <w:pPr>
              <w:spacing w:before="40" w:after="120"/>
              <w:rPr>
                <w:spacing w:val="0"/>
                <w:w w:val="100"/>
                <w:kern w:val="0"/>
                <w:lang w:val="ru-RU"/>
              </w:rPr>
            </w:pPr>
            <w:r w:rsidRPr="00841B47">
              <w:rPr>
                <w:spacing w:val="0"/>
                <w:w w:val="100"/>
                <w:kern w:val="0"/>
                <w:lang w:val="ru-RU"/>
              </w:rPr>
              <w:t>автор сообщения</w:t>
            </w:r>
          </w:p>
        </w:tc>
      </w:tr>
      <w:tr w:rsidR="00421345" w:rsidRPr="00421345" w:rsidTr="00421345">
        <w:tc>
          <w:tcPr>
            <w:tcW w:w="2574" w:type="dxa"/>
          </w:tcPr>
          <w:p w:rsidR="00421345" w:rsidRPr="00421345" w:rsidRDefault="00421345" w:rsidP="00421345">
            <w:pPr>
              <w:spacing w:before="40" w:after="120"/>
              <w:rPr>
                <w:i/>
                <w:iCs/>
                <w:spacing w:val="0"/>
                <w:w w:val="100"/>
                <w:kern w:val="0"/>
                <w:lang w:val="ru-RU"/>
              </w:rPr>
            </w:pPr>
            <w:r w:rsidRPr="00421345">
              <w:rPr>
                <w:i/>
                <w:iCs/>
                <w:spacing w:val="0"/>
                <w:w w:val="100"/>
                <w:kern w:val="0"/>
                <w:lang w:val="ru-RU"/>
              </w:rPr>
              <w:t>Государство</w:t>
            </w:r>
            <w:r w:rsidRPr="00421345">
              <w:rPr>
                <w:spacing w:val="0"/>
                <w:w w:val="100"/>
                <w:kern w:val="0"/>
                <w:lang w:val="ru-RU"/>
              </w:rPr>
              <w:t>-</w:t>
            </w:r>
            <w:r w:rsidRPr="00421345">
              <w:rPr>
                <w:i/>
                <w:iCs/>
                <w:spacing w:val="0"/>
                <w:w w:val="100"/>
                <w:kern w:val="0"/>
                <w:lang w:val="ru-RU"/>
              </w:rPr>
              <w:t>участник:</w:t>
            </w:r>
          </w:p>
        </w:tc>
        <w:tc>
          <w:tcPr>
            <w:tcW w:w="4741" w:type="dxa"/>
          </w:tcPr>
          <w:p w:rsidR="00421345" w:rsidRPr="00421345" w:rsidRDefault="00421345" w:rsidP="00421345">
            <w:pPr>
              <w:spacing w:before="40" w:after="120"/>
              <w:rPr>
                <w:spacing w:val="0"/>
                <w:w w:val="100"/>
                <w:kern w:val="0"/>
                <w:lang w:val="ru-RU"/>
              </w:rPr>
            </w:pPr>
            <w:r w:rsidRPr="00841B47">
              <w:rPr>
                <w:spacing w:val="0"/>
                <w:w w:val="100"/>
                <w:kern w:val="0"/>
                <w:lang w:val="ru-RU"/>
              </w:rPr>
              <w:t>Дания</w:t>
            </w:r>
          </w:p>
        </w:tc>
      </w:tr>
      <w:tr w:rsidR="00421345" w:rsidRPr="00421345" w:rsidTr="00421345">
        <w:tc>
          <w:tcPr>
            <w:tcW w:w="2574" w:type="dxa"/>
          </w:tcPr>
          <w:p w:rsidR="00421345" w:rsidRPr="00421345" w:rsidRDefault="00421345" w:rsidP="00421345">
            <w:pPr>
              <w:spacing w:before="40" w:after="120"/>
              <w:rPr>
                <w:i/>
                <w:iCs/>
                <w:spacing w:val="0"/>
                <w:w w:val="100"/>
                <w:kern w:val="0"/>
                <w:lang w:val="ru-RU"/>
              </w:rPr>
            </w:pPr>
            <w:r w:rsidRPr="00421345">
              <w:rPr>
                <w:i/>
                <w:iCs/>
                <w:spacing w:val="0"/>
                <w:w w:val="100"/>
                <w:kern w:val="0"/>
                <w:lang w:val="ru-RU"/>
              </w:rPr>
              <w:t>Дата сообщения:</w:t>
            </w:r>
          </w:p>
        </w:tc>
        <w:tc>
          <w:tcPr>
            <w:tcW w:w="4741" w:type="dxa"/>
          </w:tcPr>
          <w:p w:rsidR="00421345" w:rsidRPr="00421345" w:rsidRDefault="00421345" w:rsidP="00421345">
            <w:pPr>
              <w:spacing w:before="40" w:after="120"/>
              <w:rPr>
                <w:spacing w:val="0"/>
                <w:w w:val="100"/>
                <w:kern w:val="0"/>
                <w:lang w:val="ru-RU"/>
              </w:rPr>
            </w:pPr>
            <w:r w:rsidRPr="00841B47">
              <w:rPr>
                <w:spacing w:val="0"/>
                <w:w w:val="100"/>
                <w:kern w:val="0"/>
                <w:lang w:val="ru-RU"/>
              </w:rPr>
              <w:t>8</w:t>
            </w:r>
            <w:r w:rsidRPr="00841B47">
              <w:rPr>
                <w:spacing w:val="0"/>
                <w:w w:val="100"/>
                <w:kern w:val="0"/>
                <w:lang w:val="en-US"/>
              </w:rPr>
              <w:t> </w:t>
            </w:r>
            <w:r w:rsidRPr="00841B47">
              <w:rPr>
                <w:spacing w:val="0"/>
                <w:w w:val="100"/>
                <w:kern w:val="0"/>
                <w:lang w:val="ru-RU"/>
              </w:rPr>
              <w:t>мая 2010</w:t>
            </w:r>
            <w:r>
              <w:rPr>
                <w:spacing w:val="0"/>
                <w:w w:val="100"/>
                <w:kern w:val="0"/>
              </w:rPr>
              <w:t> год</w:t>
            </w:r>
            <w:r w:rsidRPr="00841B47">
              <w:rPr>
                <w:spacing w:val="0"/>
                <w:w w:val="100"/>
                <w:kern w:val="0"/>
                <w:lang w:val="ru-RU"/>
              </w:rPr>
              <w:t>а (первоначальное представление)</w:t>
            </w:r>
          </w:p>
        </w:tc>
      </w:tr>
      <w:tr w:rsidR="00421345" w:rsidRPr="00421345" w:rsidTr="00421345">
        <w:tc>
          <w:tcPr>
            <w:tcW w:w="2574" w:type="dxa"/>
          </w:tcPr>
          <w:p w:rsidR="00421345" w:rsidRPr="00421345" w:rsidRDefault="00421345" w:rsidP="00421345">
            <w:pPr>
              <w:spacing w:before="40" w:after="120"/>
              <w:rPr>
                <w:spacing w:val="0"/>
                <w:w w:val="100"/>
                <w:kern w:val="0"/>
                <w:lang w:val="ru-RU"/>
              </w:rPr>
            </w:pPr>
            <w:r w:rsidRPr="00421345">
              <w:rPr>
                <w:i/>
                <w:iCs/>
                <w:spacing w:val="0"/>
                <w:w w:val="100"/>
                <w:kern w:val="0"/>
                <w:lang w:val="ru-RU"/>
              </w:rPr>
              <w:t>Справочная документация</w:t>
            </w:r>
            <w:r w:rsidRPr="00421345">
              <w:rPr>
                <w:spacing w:val="0"/>
                <w:w w:val="100"/>
                <w:kern w:val="0"/>
                <w:lang w:val="ru-RU"/>
              </w:rPr>
              <w:t>:</w:t>
            </w:r>
          </w:p>
        </w:tc>
        <w:tc>
          <w:tcPr>
            <w:tcW w:w="4741" w:type="dxa"/>
          </w:tcPr>
          <w:p w:rsidR="00421345" w:rsidRPr="00421345" w:rsidRDefault="00421345" w:rsidP="00421345">
            <w:pPr>
              <w:spacing w:before="40" w:after="120"/>
              <w:rPr>
                <w:spacing w:val="0"/>
                <w:w w:val="100"/>
                <w:kern w:val="0"/>
                <w:lang w:val="ru-RU"/>
              </w:rPr>
            </w:pPr>
            <w:r w:rsidRPr="00841B47">
              <w:rPr>
                <w:spacing w:val="0"/>
                <w:w w:val="100"/>
                <w:kern w:val="0"/>
                <w:lang w:val="ru-RU"/>
              </w:rPr>
              <w:t>решение Рабочей группы согласно статьям 5 и 6 Факультативного протокола и правила 63 и 69 правил процедуры Комитета, препровожден</w:t>
            </w:r>
            <w:r w:rsidR="001A0999">
              <w:rPr>
                <w:spacing w:val="0"/>
                <w:w w:val="100"/>
                <w:kern w:val="0"/>
                <w:lang w:val="ru-RU"/>
              </w:rPr>
              <w:t>о</w:t>
            </w:r>
            <w:r w:rsidRPr="00841B47">
              <w:rPr>
                <w:spacing w:val="0"/>
                <w:w w:val="100"/>
                <w:kern w:val="0"/>
                <w:lang w:val="ru-RU"/>
              </w:rPr>
              <w:t xml:space="preserve"> государству-участнику 13 июля 2011</w:t>
            </w:r>
            <w:r>
              <w:rPr>
                <w:spacing w:val="0"/>
                <w:w w:val="100"/>
                <w:kern w:val="0"/>
              </w:rPr>
              <w:t> </w:t>
            </w:r>
            <w:r w:rsidRPr="0036057C">
              <w:rPr>
                <w:spacing w:val="0"/>
                <w:w w:val="100"/>
                <w:kern w:val="0"/>
                <w:lang w:val="ru-RU"/>
              </w:rPr>
              <w:t>год</w:t>
            </w:r>
            <w:r w:rsidRPr="00841B47">
              <w:rPr>
                <w:spacing w:val="0"/>
                <w:w w:val="100"/>
                <w:kern w:val="0"/>
                <w:lang w:val="ru-RU"/>
              </w:rPr>
              <w:t xml:space="preserve">а </w:t>
            </w:r>
            <w:r w:rsidR="001A0999">
              <w:rPr>
                <w:spacing w:val="0"/>
                <w:w w:val="100"/>
                <w:kern w:val="0"/>
                <w:lang w:val="ru-RU"/>
              </w:rPr>
              <w:br/>
            </w:r>
            <w:r w:rsidRPr="00841B47">
              <w:rPr>
                <w:spacing w:val="0"/>
                <w:w w:val="100"/>
                <w:kern w:val="0"/>
                <w:lang w:val="ru-RU"/>
              </w:rPr>
              <w:t>(в виде документа не издавал</w:t>
            </w:r>
            <w:r w:rsidR="001A0999">
              <w:rPr>
                <w:spacing w:val="0"/>
                <w:w w:val="100"/>
                <w:kern w:val="0"/>
                <w:lang w:val="ru-RU"/>
              </w:rPr>
              <w:t>о</w:t>
            </w:r>
            <w:r w:rsidRPr="00841B47">
              <w:rPr>
                <w:spacing w:val="0"/>
                <w:w w:val="100"/>
                <w:kern w:val="0"/>
                <w:lang w:val="ru-RU"/>
              </w:rPr>
              <w:t>сь)</w:t>
            </w:r>
          </w:p>
        </w:tc>
      </w:tr>
    </w:tbl>
    <w:p w:rsidR="00421345" w:rsidRPr="00841B47" w:rsidRDefault="00421345" w:rsidP="00421345">
      <w:pPr>
        <w:pStyle w:val="SingleTxt"/>
        <w:spacing w:after="0"/>
      </w:pPr>
    </w:p>
    <w:p w:rsidR="00421345" w:rsidRPr="00841B47" w:rsidRDefault="00421345" w:rsidP="00421345">
      <w:pPr>
        <w:pStyle w:val="SingleTxt"/>
      </w:pPr>
      <w:r w:rsidRPr="00841B47">
        <w:tab/>
      </w:r>
      <w:r w:rsidRPr="00841B47">
        <w:rPr>
          <w:i/>
        </w:rPr>
        <w:t xml:space="preserve">Комитет по ликвидации дискриминации в отношении женщин, </w:t>
      </w:r>
      <w:r w:rsidRPr="00841B47">
        <w:t>учр</w:t>
      </w:r>
      <w:r w:rsidRPr="00841B47">
        <w:t>е</w:t>
      </w:r>
      <w:r w:rsidRPr="00841B47">
        <w:t>жденный в</w:t>
      </w:r>
      <w:r>
        <w:t> </w:t>
      </w:r>
      <w:r w:rsidRPr="00841B47">
        <w:t>соответствии со статьей 17 Конвенции о ликвидации всех форм дискриминации в</w:t>
      </w:r>
      <w:r>
        <w:t> </w:t>
      </w:r>
      <w:r w:rsidRPr="00841B47">
        <w:t>отношении женщин,</w:t>
      </w:r>
    </w:p>
    <w:p w:rsidR="00421345" w:rsidRPr="00841B47" w:rsidRDefault="00421345" w:rsidP="00421345">
      <w:pPr>
        <w:pStyle w:val="SingleTxt"/>
      </w:pPr>
      <w:r w:rsidRPr="00841B47">
        <w:tab/>
      </w:r>
      <w:r w:rsidRPr="00841B47">
        <w:rPr>
          <w:i/>
        </w:rPr>
        <w:t>на своем заседании</w:t>
      </w:r>
      <w:r w:rsidRPr="00841B47" w:rsidDel="00DA154D">
        <w:rPr>
          <w:i/>
        </w:rPr>
        <w:t xml:space="preserve"> </w:t>
      </w:r>
      <w:r w:rsidRPr="00841B47">
        <w:t>15 июля 2013</w:t>
      </w:r>
      <w:r>
        <w:t> год</w:t>
      </w:r>
      <w:r w:rsidRPr="00841B47">
        <w:t>а,</w:t>
      </w:r>
    </w:p>
    <w:p w:rsidR="00421345" w:rsidRPr="00841B47" w:rsidRDefault="00421345" w:rsidP="00421345">
      <w:pPr>
        <w:pStyle w:val="SingleTxt"/>
      </w:pPr>
      <w:r w:rsidRPr="00841B47">
        <w:tab/>
      </w:r>
      <w:r w:rsidRPr="00841B47">
        <w:rPr>
          <w:i/>
        </w:rPr>
        <w:t xml:space="preserve">принимает </w:t>
      </w:r>
      <w:r w:rsidRPr="00841B47">
        <w:t>следующее:</w:t>
      </w:r>
    </w:p>
    <w:p w:rsidR="00421345" w:rsidRPr="00841B47" w:rsidRDefault="00421345" w:rsidP="00421345">
      <w:pPr>
        <w:pStyle w:val="SingleTxt"/>
        <w:spacing w:after="0"/>
      </w:pPr>
    </w:p>
    <w:p w:rsidR="00421345" w:rsidRPr="0036057C" w:rsidRDefault="00421345" w:rsidP="00B41B68">
      <w:pPr>
        <w:pStyle w:val="H1"/>
        <w:rPr>
          <w:lang w:val="ru-RU"/>
        </w:rPr>
      </w:pPr>
      <w:r w:rsidRPr="0036057C">
        <w:rPr>
          <w:lang w:val="ru-RU"/>
        </w:rPr>
        <w:tab/>
      </w:r>
      <w:r w:rsidRPr="0036057C">
        <w:rPr>
          <w:lang w:val="ru-RU"/>
        </w:rPr>
        <w:tab/>
        <w:t>Решение о приемлемости</w:t>
      </w:r>
    </w:p>
    <w:p w:rsidR="00421345" w:rsidRPr="00421345" w:rsidRDefault="00421345" w:rsidP="00421345">
      <w:pPr>
        <w:pStyle w:val="SingleTxt"/>
        <w:spacing w:after="0"/>
      </w:pPr>
    </w:p>
    <w:p w:rsidR="00421345" w:rsidRPr="00421345" w:rsidRDefault="00421345" w:rsidP="00421345">
      <w:pPr>
        <w:pStyle w:val="SingleTxt"/>
      </w:pPr>
      <w:r w:rsidRPr="00421345">
        <w:t>1.1</w:t>
      </w:r>
      <w:r w:rsidRPr="00421345">
        <w:tab/>
        <w:t>Автором сообщения является г-жа М. Н. Н., гражданка Уганды, родившаяся 26</w:t>
      </w:r>
      <w:r w:rsidR="001A0999">
        <w:t> </w:t>
      </w:r>
      <w:r w:rsidRPr="00421345">
        <w:t>декабря 1984</w:t>
      </w:r>
      <w:r>
        <w:t> год</w:t>
      </w:r>
      <w:r w:rsidRPr="00421345">
        <w:t>а. Автор сообщения просила о пред</w:t>
      </w:r>
      <w:r w:rsidRPr="00421345">
        <w:t>о</w:t>
      </w:r>
      <w:r w:rsidRPr="00421345">
        <w:t>ставлении политического убежища в Дании; ее прошение было отклонено, и на момент представления настоящего сообщения она ожидала высылки из Дании в Уганду. Она утверждает, что ее высылка явится нарушением со стороны Д</w:t>
      </w:r>
      <w:r w:rsidRPr="00421345">
        <w:t>а</w:t>
      </w:r>
      <w:r w:rsidRPr="00421345">
        <w:t>нии статей 1, 2</w:t>
      </w:r>
      <w:r w:rsidR="00EA1C97">
        <w:t xml:space="preserve"> </w:t>
      </w:r>
      <w:r w:rsidRPr="00421345">
        <w:t>(с), 2</w:t>
      </w:r>
      <w:r w:rsidR="00EA1C97">
        <w:t xml:space="preserve"> </w:t>
      </w:r>
      <w:r w:rsidRPr="00421345">
        <w:t>(d) и 3 Конвенции о ликвидации всех форм дискримин</w:t>
      </w:r>
      <w:r w:rsidRPr="00421345">
        <w:t>а</w:t>
      </w:r>
      <w:r w:rsidRPr="00421345">
        <w:t>ции в отношении женщин. Автор сообщения представляется адвокатом Нил</w:t>
      </w:r>
      <w:r w:rsidRPr="00421345">
        <w:t>ь</w:t>
      </w:r>
      <w:r w:rsidRPr="00421345">
        <w:t>сом-Эриком Хансеном. Факультативный протокол к Конвенции вступил в силу для Дании 22 декабря 2000</w:t>
      </w:r>
      <w:r>
        <w:t> год</w:t>
      </w:r>
      <w:r w:rsidRPr="00421345">
        <w:t>а.</w:t>
      </w:r>
    </w:p>
    <w:p w:rsidR="00421345" w:rsidRPr="00421345" w:rsidRDefault="00421345" w:rsidP="00421345">
      <w:pPr>
        <w:pStyle w:val="SingleTxt"/>
      </w:pPr>
      <w:r w:rsidRPr="00421345">
        <w:t>1.2</w:t>
      </w:r>
      <w:r w:rsidRPr="00421345">
        <w:tab/>
        <w:t>13 июля 2011</w:t>
      </w:r>
      <w:r>
        <w:t> год</w:t>
      </w:r>
      <w:r w:rsidRPr="00421345">
        <w:t>а Комитет в соответствии со статьей 5</w:t>
      </w:r>
      <w:r w:rsidR="00EA1C97">
        <w:t xml:space="preserve"> </w:t>
      </w:r>
      <w:r w:rsidRPr="00421345">
        <w:t>(1) Факультативн</w:t>
      </w:r>
      <w:r w:rsidRPr="00421345">
        <w:t>о</w:t>
      </w:r>
      <w:r w:rsidRPr="00421345">
        <w:t>го протокола и правилом 63 правил процедуры Комитета обратился к госуда</w:t>
      </w:r>
      <w:r w:rsidRPr="00421345">
        <w:t>р</w:t>
      </w:r>
      <w:r w:rsidRPr="00421345">
        <w:t>ству-участнику с просьбой воздержаться от высылки автора сообщения в Уга</w:t>
      </w:r>
      <w:r w:rsidRPr="00421345">
        <w:t>н</w:t>
      </w:r>
      <w:r w:rsidRPr="00421345">
        <w:t>ду на время рассмотрения ее сообщения Комитетом. 20 июля 2011</w:t>
      </w:r>
      <w:r>
        <w:t> год</w:t>
      </w:r>
      <w:r w:rsidRPr="00421345">
        <w:t>а гос</w:t>
      </w:r>
      <w:r w:rsidRPr="00421345">
        <w:t>у</w:t>
      </w:r>
      <w:r w:rsidRPr="00421345">
        <w:t>дарство-участник сообщило Комитету, что исполнение решения о крайнем ср</w:t>
      </w:r>
      <w:r w:rsidRPr="00421345">
        <w:t>о</w:t>
      </w:r>
      <w:r w:rsidRPr="00421345">
        <w:t>ке отъезда автора было приостановлено до дальнейшего уведомления.</w:t>
      </w:r>
    </w:p>
    <w:p w:rsidR="00421345" w:rsidRPr="00EA1C97" w:rsidRDefault="00421345" w:rsidP="00421345">
      <w:pPr>
        <w:pStyle w:val="SingleTxt"/>
        <w:spacing w:after="0"/>
      </w:pPr>
    </w:p>
    <w:p w:rsidR="00421345" w:rsidRPr="00EA1C97" w:rsidRDefault="00421345" w:rsidP="00B41B68">
      <w:pPr>
        <w:pStyle w:val="H1"/>
        <w:rPr>
          <w:w w:val="100"/>
          <w:kern w:val="0"/>
          <w:sz w:val="20"/>
          <w:lang w:val="ru-RU"/>
        </w:rPr>
      </w:pPr>
      <w:r w:rsidRPr="00EA1C97">
        <w:rPr>
          <w:w w:val="100"/>
          <w:kern w:val="0"/>
          <w:sz w:val="20"/>
          <w:lang w:val="ru-RU"/>
        </w:rPr>
        <w:tab/>
      </w:r>
      <w:r w:rsidRPr="00EA1C97">
        <w:rPr>
          <w:w w:val="100"/>
          <w:kern w:val="0"/>
          <w:sz w:val="20"/>
          <w:lang w:val="ru-RU"/>
        </w:rPr>
        <w:tab/>
        <w:t>Обстоятельства дела</w:t>
      </w:r>
    </w:p>
    <w:p w:rsidR="00421345" w:rsidRPr="00EA1C97" w:rsidRDefault="00421345" w:rsidP="00421345">
      <w:pPr>
        <w:pStyle w:val="SingleTxt"/>
        <w:spacing w:after="0"/>
      </w:pPr>
    </w:p>
    <w:p w:rsidR="00421345" w:rsidRPr="00421345" w:rsidRDefault="00421345" w:rsidP="00421345">
      <w:pPr>
        <w:pStyle w:val="SingleTxt"/>
      </w:pPr>
      <w:r w:rsidRPr="00421345">
        <w:t>2.1</w:t>
      </w:r>
      <w:r w:rsidRPr="00421345">
        <w:tab/>
        <w:t>Автором сообщения является незамужняя женщина, могадишу по своему этническому происхождению и христианка по вероисповеданию. Она родилась в деревне, расположенной поблизости от Кампалы. По словам автора сообщения, ее мать относится к этнической группе муганда, а отец — к группе мо</w:t>
      </w:r>
      <w:r w:rsidRPr="00421345">
        <w:t>д</w:t>
      </w:r>
      <w:r w:rsidRPr="00421345">
        <w:t>жишу из восточной части Уганды, граничащей с Кенией. Отец автора бросил ее мать в период ее беременности; автор проживала со своей матерью в д</w:t>
      </w:r>
      <w:r w:rsidRPr="00421345">
        <w:t>е</w:t>
      </w:r>
      <w:r w:rsidRPr="00421345">
        <w:t>ревне Натете до достижения возраста 9 лет. В неуказанную дату отец автора в сопровождении нескольких других мужчин явился в дом ее матери, с тем чтобы узнать, где находится автор сообщения и принудить ее к проведению обр</w:t>
      </w:r>
      <w:r w:rsidRPr="00421345">
        <w:t>е</w:t>
      </w:r>
      <w:r w:rsidRPr="00421345">
        <w:t>зания, но мать автора спрятала ее. После этого мать автора отправила ее к тете, проживавшей в другой части страны, чтобы спрятать автора от ее отца.</w:t>
      </w:r>
    </w:p>
    <w:p w:rsidR="00421345" w:rsidRPr="00421345" w:rsidRDefault="00421345" w:rsidP="00421345">
      <w:pPr>
        <w:pStyle w:val="SingleTxt"/>
      </w:pPr>
      <w:r w:rsidRPr="00421345">
        <w:t>2.2</w:t>
      </w:r>
      <w:r w:rsidRPr="00421345">
        <w:tab/>
        <w:t>Автор не поддерживала связи со своим отцом, но он, как утверждается, неоднократно заходил к ее матери, чтобы узнать о ее местонахождении. Во время этих посещений отец настаивал на необходимости проведения операции обрезания. По достижении автором 16 лет ей сообщили о том, что ее отцу ст</w:t>
      </w:r>
      <w:r w:rsidRPr="00421345">
        <w:t>а</w:t>
      </w:r>
      <w:r w:rsidRPr="00421345">
        <w:t>ло известно о ее местонахождении. Впоследствии автор бежала и жила одна в различных частях страны. По достижении автором возраста 18 или 19 лет у нее наступила первая беременность, а через два</w:t>
      </w:r>
      <w:r>
        <w:t> год</w:t>
      </w:r>
      <w:r w:rsidRPr="00421345">
        <w:t>а — вторая беременность от другого мужчины. Она не поддерживала связи с отцами своих детей до своего отъезда из Уганды и проживала со своими детьми в деревне Косуби, распол</w:t>
      </w:r>
      <w:r w:rsidRPr="00421345">
        <w:t>о</w:t>
      </w:r>
      <w:r w:rsidRPr="00421345">
        <w:t>женной в окрестностях Кампалы.</w:t>
      </w:r>
    </w:p>
    <w:p w:rsidR="00421345" w:rsidRPr="00421345" w:rsidRDefault="00421345" w:rsidP="00421345">
      <w:pPr>
        <w:pStyle w:val="SingleTxt"/>
      </w:pPr>
      <w:r w:rsidRPr="00421345">
        <w:t>2.3</w:t>
      </w:r>
      <w:r w:rsidRPr="00421345">
        <w:tab/>
        <w:t>Автор прибыла в Данию 20 ноября 2007</w:t>
      </w:r>
      <w:r>
        <w:t> год</w:t>
      </w:r>
      <w:r w:rsidRPr="00421345">
        <w:t>а, имея на руках действител</w:t>
      </w:r>
      <w:r w:rsidRPr="00421345">
        <w:t>ь</w:t>
      </w:r>
      <w:r w:rsidRPr="00421345">
        <w:t>ный угандийский паспорт с трехмесячной туристической шенгенской визой. 31 марта 2008</w:t>
      </w:r>
      <w:r>
        <w:t> год</w:t>
      </w:r>
      <w:r w:rsidRPr="00421345">
        <w:t>а Иммиграционная служба приняла решение выслать автора из Дании на основании раздела 25а</w:t>
      </w:r>
      <w:r w:rsidR="00EA1C97">
        <w:t> (</w:t>
      </w:r>
      <w:r w:rsidRPr="00421345">
        <w:t>2) Закона об иностранцах (незаконное проживание) и установить запрет на ее въезд в страну сроком на один</w:t>
      </w:r>
      <w:r>
        <w:t> год</w:t>
      </w:r>
      <w:r w:rsidRPr="00421345">
        <w:t>. 2 апреля 2008</w:t>
      </w:r>
      <w:r>
        <w:t> год</w:t>
      </w:r>
      <w:r w:rsidRPr="00421345">
        <w:t>а, в день ареста автора за незаконное проживание, она обрат</w:t>
      </w:r>
      <w:r w:rsidRPr="00421345">
        <w:t>и</w:t>
      </w:r>
      <w:r w:rsidRPr="00421345">
        <w:t>лась с заявлением о</w:t>
      </w:r>
      <w:r>
        <w:t> </w:t>
      </w:r>
      <w:r w:rsidRPr="00421345">
        <w:t>предоставлении убежища.</w:t>
      </w:r>
    </w:p>
    <w:p w:rsidR="00421345" w:rsidRPr="00421345" w:rsidRDefault="00421345" w:rsidP="00421345">
      <w:pPr>
        <w:pStyle w:val="SingleTxt"/>
      </w:pPr>
      <w:r w:rsidRPr="00421345">
        <w:t>2.4</w:t>
      </w:r>
      <w:r w:rsidRPr="00421345">
        <w:tab/>
        <w:t>19 ноября 2008</w:t>
      </w:r>
      <w:r>
        <w:t> год</w:t>
      </w:r>
      <w:r w:rsidRPr="00421345">
        <w:t>а Иммиграционная служба Дании проинформировала автора о том, что в соответствии с разделом 7 Закона об иностранцах ей было отказано в выдаче вида на жительство. 8 февраля 2009</w:t>
      </w:r>
      <w:r>
        <w:t> год</w:t>
      </w:r>
      <w:r w:rsidRPr="00421345">
        <w:t>а назначенный ex officio адвокат представил письменные замечания по делу автора. 19 марта 2009</w:t>
      </w:r>
      <w:r>
        <w:t> год</w:t>
      </w:r>
      <w:r w:rsidRPr="00421345">
        <w:t>а Датская комиссия по рассмотрению апелляционных жалоб беженцев приняла решение до проведения слушания по делу автора запросить через м</w:t>
      </w:r>
      <w:r w:rsidRPr="00421345">
        <w:t>и</w:t>
      </w:r>
      <w:r w:rsidRPr="00421345">
        <w:t>нистерство иностранных дел информацию о применении в Уганде практики калечащих операций на женских половых органах. 3 сентября 2009</w:t>
      </w:r>
      <w:r>
        <w:t> год</w:t>
      </w:r>
      <w:r w:rsidRPr="00421345">
        <w:t>а мин</w:t>
      </w:r>
      <w:r w:rsidRPr="00421345">
        <w:t>и</w:t>
      </w:r>
      <w:r w:rsidRPr="00421345">
        <w:t>стерство представило запрошенную информацию</w:t>
      </w:r>
      <w:r w:rsidRPr="00421345">
        <w:rPr>
          <w:vertAlign w:val="superscript"/>
        </w:rPr>
        <w:footnoteReference w:id="2"/>
      </w:r>
      <w:r w:rsidRPr="00421345">
        <w:t>.</w:t>
      </w:r>
    </w:p>
    <w:p w:rsidR="00421345" w:rsidRPr="00421345" w:rsidRDefault="00421345" w:rsidP="00421345">
      <w:pPr>
        <w:pStyle w:val="SingleTxt"/>
      </w:pPr>
      <w:r w:rsidRPr="00421345">
        <w:t>2.5</w:t>
      </w:r>
      <w:r w:rsidRPr="00421345">
        <w:tab/>
        <w:t>По мнению автора, информация министерства, подтверждающая факт проведения калечащих операций на женских половых органах в Уганде, но при этом содержащая указание на то, что в Уганде принят закон, устанавливающий запрет на такого рода практику, является недостоверной, поскольку в ноябре 2009</w:t>
      </w:r>
      <w:r>
        <w:t> год</w:t>
      </w:r>
      <w:r w:rsidRPr="00421345">
        <w:t>а, на момент принятия Советом по рассмотрению жалоб беженцев своего решения, подобный закон в стране не действовал. Напротив, автор представила Комиссии по рассмотрению апелляционных жалоб беженцев доказ</w:t>
      </w:r>
      <w:r w:rsidRPr="00421345">
        <w:t>а</w:t>
      </w:r>
      <w:r w:rsidRPr="00421345">
        <w:t>тельства, что подобный законопроект находился на рассмотрении в парламенте и еще не был принят.</w:t>
      </w:r>
    </w:p>
    <w:p w:rsidR="00421345" w:rsidRPr="00421345" w:rsidRDefault="00421345" w:rsidP="00421345">
      <w:pPr>
        <w:pStyle w:val="SingleTxt"/>
      </w:pPr>
      <w:r w:rsidRPr="00421345">
        <w:t>2.6</w:t>
      </w:r>
      <w:r w:rsidRPr="00421345">
        <w:tab/>
        <w:t>9 ноября 2009</w:t>
      </w:r>
      <w:r>
        <w:t> год</w:t>
      </w:r>
      <w:r w:rsidRPr="00421345">
        <w:t>а Комиссия по рассмотрению апелляционных жалоб б</w:t>
      </w:r>
      <w:r w:rsidRPr="00421345">
        <w:t>е</w:t>
      </w:r>
      <w:r w:rsidRPr="00421345">
        <w:t>женцев сделала вывод о том, что в случае возвращения автора сообщения в Уганду она вряд ли подвергнется реальному риску калечащих операций на женских половых органах. Комиссия подчеркнула, что автор обратилась с ходатайством о предоставлении убежища только в связи с ее арестом за незако</w:t>
      </w:r>
      <w:r w:rsidRPr="00421345">
        <w:t>н</w:t>
      </w:r>
      <w:r w:rsidRPr="00421345">
        <w:t>ное проживание, и в</w:t>
      </w:r>
      <w:r w:rsidR="00EA1C97">
        <w:t xml:space="preserve"> </w:t>
      </w:r>
      <w:r w:rsidRPr="00421345">
        <w:t>силу этого не удовлетворяет требованиям в отношении выдачи вида на жительство, установленным разделом 7 Закона об иностранцах, и должна незамедлительно покинуть Данию. В случае, если она не покинет страну добровольно, в соответствии с разделом 32а Закона она может быть подвергнута принудительной высылке в Уганду.</w:t>
      </w:r>
    </w:p>
    <w:p w:rsidR="00421345" w:rsidRPr="00421345" w:rsidRDefault="00421345" w:rsidP="00421345">
      <w:pPr>
        <w:pStyle w:val="SingleTxt"/>
      </w:pPr>
      <w:r w:rsidRPr="00421345">
        <w:t>2.7</w:t>
      </w:r>
      <w:r w:rsidRPr="00421345">
        <w:tab/>
      </w:r>
      <w:r w:rsidRPr="00421345">
        <w:rPr>
          <w:bCs/>
        </w:rPr>
        <w:t>Из решения Комиссии по рассмотрению апелляционных жалоб беженцев явствует, что в Кампале у автора со стороны ее матери имеются четыре сводные сестры, но они проживают со своими отцами. Автор не осведомлена о том, подвергались ли они обрезанию. Дети автора проживают с ее тетей в деревне Натете, и автор поддерживает с ними связь по телефону. Она выразила пожелание воссоединиться со своими детьми в Уганде, после того как у нее более не будет причин опасаться стать жертвой калечащих операций на женских половых органах. Ее дочь не подвергалась обрезанию. На вопрос о том, нет ли у нее опасений по поводу того, что ее дочь будет подвергнута обрезанию, поскольку отец ее дочери относится к роду моджишу, автор пояснила, что она опасается этого, но не в состоянии что-либо предпринять в этой связи. Автор заявила также, что до и после отъезда из Уганды она не поддерживала каких-либо связей со своей матерью, поскольку у ее матери нет телефона. Автор не знакома с кем-либо, кто был подвергнут обрезанию, но она утверждала, что женщины не делятся с другими информацией по столь интимному вопросу. Автор не осведомлена о каких-либо традициях проведения обрезания, практикуемых родом ее отца</w:t>
      </w:r>
      <w:r w:rsidRPr="00421345">
        <w:rPr>
          <w:vertAlign w:val="superscript"/>
        </w:rPr>
        <w:footnoteReference w:id="3"/>
      </w:r>
      <w:r w:rsidRPr="00421345">
        <w:rPr>
          <w:bCs/>
        </w:rPr>
        <w:t xml:space="preserve">. Она сообщила также, что не видела отца после достижения девятилетнего возраста и не получала угроз ни он него, ни от его семьи, но тем не менее опасалась последствий, если он ее найдет. Она заявила, что полиция Уганды не обеспечит ее защиту, поскольку сотрудники полиции </w:t>
      </w:r>
      <w:r w:rsidR="00B41B68">
        <w:rPr>
          <w:bCs/>
        </w:rPr>
        <w:t>"</w:t>
      </w:r>
      <w:r w:rsidRPr="00421345">
        <w:rPr>
          <w:bCs/>
        </w:rPr>
        <w:t>помогают только тем, кто платит им взятки</w:t>
      </w:r>
      <w:r w:rsidR="00B41B68">
        <w:rPr>
          <w:bCs/>
        </w:rPr>
        <w:t>"</w:t>
      </w:r>
      <w:r w:rsidRPr="00421345">
        <w:rPr>
          <w:bCs/>
        </w:rPr>
        <w:t>. Ее отец и в этом случае может добиться проведения обрезания, несмотря на взятку полиции, и не будет наказан, если настоит на проведении обрезания.</w:t>
      </w:r>
    </w:p>
    <w:p w:rsidR="00421345" w:rsidRPr="00421345" w:rsidRDefault="00421345" w:rsidP="00421345">
      <w:pPr>
        <w:pStyle w:val="SingleTxt"/>
      </w:pPr>
      <w:r w:rsidRPr="00421345">
        <w:t>2.8</w:t>
      </w:r>
      <w:r w:rsidRPr="00421345">
        <w:tab/>
        <w:t>14 мая 2010</w:t>
      </w:r>
      <w:r>
        <w:t> год</w:t>
      </w:r>
      <w:r w:rsidRPr="00421345">
        <w:t>а Комитет через свою Рабочую группу по сообщениям с</w:t>
      </w:r>
      <w:r w:rsidRPr="00421345">
        <w:t>о</w:t>
      </w:r>
      <w:r w:rsidRPr="00421345">
        <w:t>гласно Факультативному протоколу к Конвенции направил адвокату автора письменную просьбу предоставить ему, среди прочего:</w:t>
      </w:r>
    </w:p>
    <w:p w:rsidR="00421345" w:rsidRPr="00421345" w:rsidRDefault="00421345" w:rsidP="00421345">
      <w:pPr>
        <w:pStyle w:val="SingleTxt"/>
      </w:pPr>
      <w:r w:rsidRPr="00421345">
        <w:tab/>
        <w:t>a)</w:t>
      </w:r>
      <w:r w:rsidRPr="00421345">
        <w:tab/>
        <w:t>уточнения относительно этнической/родовой/племенной прина</w:t>
      </w:r>
      <w:r w:rsidRPr="00421345">
        <w:t>д</w:t>
      </w:r>
      <w:r w:rsidRPr="00421345">
        <w:t>лежности автора в Уганде, поскольку в сообщении Комитету содержатся пр</w:t>
      </w:r>
      <w:r w:rsidRPr="00421345">
        <w:t>о</w:t>
      </w:r>
      <w:r w:rsidRPr="00421345">
        <w:t>тиворечивые ссылки на принадлежность к могадишу, моджишу и могисо;</w:t>
      </w:r>
    </w:p>
    <w:p w:rsidR="00421345" w:rsidRPr="00421345" w:rsidRDefault="00421345" w:rsidP="00421345">
      <w:pPr>
        <w:pStyle w:val="SingleTxt"/>
      </w:pPr>
      <w:r w:rsidRPr="00421345">
        <w:tab/>
        <w:t>b)</w:t>
      </w:r>
      <w:r w:rsidRPr="00421345">
        <w:tab/>
        <w:t>независимые свидетельства в поддержку утверждений автора о том, что женщины, принадлежащие к указанной(ому) этнической гру</w:t>
      </w:r>
      <w:r w:rsidRPr="00421345">
        <w:t>п</w:t>
      </w:r>
      <w:r w:rsidRPr="00421345">
        <w:t>пе/роду/племени, по</w:t>
      </w:r>
      <w:r w:rsidR="00AA4D84">
        <w:noBreakHyphen/>
      </w:r>
      <w:r w:rsidRPr="00421345">
        <w:t>прежнему подвергаются в Уганде обрезанию. Ему было предл</w:t>
      </w:r>
      <w:r w:rsidRPr="00421345">
        <w:t>о</w:t>
      </w:r>
      <w:r w:rsidRPr="00421345">
        <w:t>жено дополнительно обосновать существующий для автора риск быть подвер</w:t>
      </w:r>
      <w:r w:rsidRPr="00421345">
        <w:t>г</w:t>
      </w:r>
      <w:r w:rsidRPr="00421345">
        <w:t>нутой обрезанию в случае ее возвращения в Уганду в свете вступления 9 апреля 2010</w:t>
      </w:r>
      <w:r>
        <w:t> год</w:t>
      </w:r>
      <w:r w:rsidRPr="00421345">
        <w:t>а в силу закона, устанавливающего запрет на проведение к</w:t>
      </w:r>
      <w:r w:rsidRPr="00421345">
        <w:t>а</w:t>
      </w:r>
      <w:r w:rsidRPr="00421345">
        <w:t>лечащих операций на женских половых органах в Уганде.</w:t>
      </w:r>
    </w:p>
    <w:p w:rsidR="00421345" w:rsidRPr="00421345" w:rsidRDefault="00421345" w:rsidP="00421345">
      <w:pPr>
        <w:pStyle w:val="SingleTxt"/>
      </w:pPr>
      <w:r w:rsidRPr="00421345">
        <w:t>2.9</w:t>
      </w:r>
      <w:r w:rsidRPr="00421345">
        <w:tab/>
        <w:t>Поскольку на направленный Комитетом 14 мая 2010</w:t>
      </w:r>
      <w:r>
        <w:t> год</w:t>
      </w:r>
      <w:r w:rsidRPr="00421345">
        <w:t>а запрос о представлении информации ответа получено не было, Рабочая группа по сообщ</w:t>
      </w:r>
      <w:r w:rsidRPr="00421345">
        <w:t>е</w:t>
      </w:r>
      <w:r w:rsidRPr="00421345">
        <w:t>ниям согласно Факультативному протоколу к Конвенции 18 февраля 2011</w:t>
      </w:r>
      <w:r>
        <w:t> год</w:t>
      </w:r>
      <w:r w:rsidRPr="00421345">
        <w:t>а приняла решение направить адвокату автора письменное напоминание с п</w:t>
      </w:r>
      <w:r w:rsidRPr="00421345">
        <w:t>о</w:t>
      </w:r>
      <w:r w:rsidRPr="00421345">
        <w:t>вторной просьбой представить информацию, причем не позднее 31 марта 2011</w:t>
      </w:r>
      <w:r>
        <w:t> год</w:t>
      </w:r>
      <w:r w:rsidRPr="00421345">
        <w:t>а.</w:t>
      </w:r>
    </w:p>
    <w:p w:rsidR="00421345" w:rsidRPr="00421345" w:rsidRDefault="00421345" w:rsidP="00421345">
      <w:pPr>
        <w:pStyle w:val="SingleTxt"/>
      </w:pPr>
      <w:r w:rsidRPr="00421345">
        <w:t>2.10</w:t>
      </w:r>
      <w:r w:rsidRPr="00421345">
        <w:tab/>
        <w:t>Ввиду частичного ответа, полученного от адвоката автора 29 марта 2011</w:t>
      </w:r>
      <w:r>
        <w:t> год</w:t>
      </w:r>
      <w:r w:rsidRPr="00421345">
        <w:t>а, Рабочая группа 4 апреля 2011</w:t>
      </w:r>
      <w:r>
        <w:t> год</w:t>
      </w:r>
      <w:r w:rsidRPr="00421345">
        <w:t>а вновь обратилась к нему с просьбой представить Комитету независимые свидетельства или данные исследов</w:t>
      </w:r>
      <w:r w:rsidRPr="00421345">
        <w:t>а</w:t>
      </w:r>
      <w:r w:rsidRPr="00421345">
        <w:t>ний в поддержку утверждений автора относительно того, что этническая гру</w:t>
      </w:r>
      <w:r w:rsidRPr="00421345">
        <w:t>п</w:t>
      </w:r>
      <w:r w:rsidRPr="00421345">
        <w:t>па/племя моджишу действительно существует в Уганде, что женщины, прина</w:t>
      </w:r>
      <w:r w:rsidRPr="00421345">
        <w:t>д</w:t>
      </w:r>
      <w:r w:rsidRPr="00421345">
        <w:t>лежащие к этнической группе/племени моджишу, по-прежнему подвергаются обрезанию в Уганде и что обрезание женщин применяется в отношении взро</w:t>
      </w:r>
      <w:r w:rsidRPr="00421345">
        <w:t>с</w:t>
      </w:r>
      <w:r w:rsidRPr="00421345">
        <w:t>лых женщин, родивших одного ребенка или нескольких детей. Адвокату было предложено представить запрашиваемую информацию не позднее 31 мая 2011</w:t>
      </w:r>
      <w:r>
        <w:t> год</w:t>
      </w:r>
      <w:r w:rsidRPr="00421345">
        <w:t>а. Частичный ответ был получен 31 мая 2011</w:t>
      </w:r>
      <w:r>
        <w:t> год</w:t>
      </w:r>
      <w:r w:rsidRPr="00421345">
        <w:t>а (см. пункты 3.4 и 3.5).</w:t>
      </w:r>
    </w:p>
    <w:p w:rsidR="00421345" w:rsidRPr="00EA1C97" w:rsidRDefault="00421345" w:rsidP="00421345">
      <w:pPr>
        <w:pStyle w:val="SingleTxt"/>
        <w:spacing w:after="0"/>
      </w:pPr>
    </w:p>
    <w:p w:rsidR="00421345" w:rsidRPr="00EA1C97" w:rsidRDefault="00421345" w:rsidP="00B41B68">
      <w:pPr>
        <w:pStyle w:val="H1"/>
        <w:rPr>
          <w:w w:val="100"/>
          <w:kern w:val="0"/>
          <w:sz w:val="20"/>
          <w:lang w:val="ru-RU"/>
        </w:rPr>
      </w:pPr>
      <w:r w:rsidRPr="00EA1C97">
        <w:rPr>
          <w:w w:val="100"/>
          <w:kern w:val="0"/>
          <w:sz w:val="20"/>
          <w:lang w:val="ru-RU"/>
        </w:rPr>
        <w:tab/>
      </w:r>
      <w:r w:rsidRPr="00EA1C97">
        <w:rPr>
          <w:w w:val="100"/>
          <w:kern w:val="0"/>
          <w:sz w:val="20"/>
          <w:lang w:val="ru-RU"/>
        </w:rPr>
        <w:tab/>
        <w:t>Жалоба</w:t>
      </w:r>
    </w:p>
    <w:p w:rsidR="00421345" w:rsidRPr="00EA1C97" w:rsidRDefault="00421345" w:rsidP="00421345">
      <w:pPr>
        <w:pStyle w:val="SingleTxt"/>
        <w:spacing w:after="0"/>
      </w:pPr>
    </w:p>
    <w:p w:rsidR="00421345" w:rsidRPr="00421345" w:rsidRDefault="00421345" w:rsidP="00421345">
      <w:pPr>
        <w:pStyle w:val="SingleTxt"/>
      </w:pPr>
      <w:r w:rsidRPr="00421345">
        <w:t>3.1</w:t>
      </w:r>
      <w:r w:rsidRPr="00421345">
        <w:tab/>
        <w:t>Не приводя каких-либо конкретных доводов, автор сообщения заявляет о нарушении статей 1, 2</w:t>
      </w:r>
      <w:r w:rsidR="00EA1C97">
        <w:t> (</w:t>
      </w:r>
      <w:r w:rsidRPr="00421345">
        <w:t>c), 2</w:t>
      </w:r>
      <w:r w:rsidR="00EA1C97">
        <w:t> (</w:t>
      </w:r>
      <w:r w:rsidRPr="00421345">
        <w:t xml:space="preserve">d) и 3 Конвенции и утверждает, что согласно Конвенции о статусе беженцев насилие по гендерному признаку может являться формой преследования женщин как конкретной </w:t>
      </w:r>
      <w:r w:rsidR="00B41B68">
        <w:t>"</w:t>
      </w:r>
      <w:r w:rsidRPr="00421345">
        <w:t>социальной группы</w:t>
      </w:r>
      <w:r w:rsidR="00B41B68">
        <w:t>"</w:t>
      </w:r>
      <w:r w:rsidRPr="00421345">
        <w:rPr>
          <w:vertAlign w:val="superscript"/>
        </w:rPr>
        <w:footnoteReference w:id="4"/>
      </w:r>
      <w:r w:rsidRPr="00421345">
        <w:t xml:space="preserve"> и что, согласно данным министерства иностранных дел Дании, некоторые племена в Уганде практикуют обрезание</w:t>
      </w:r>
      <w:r w:rsidRPr="00421345">
        <w:rPr>
          <w:vertAlign w:val="superscript"/>
        </w:rPr>
        <w:footnoteReference w:id="5"/>
      </w:r>
      <w:r w:rsidRPr="00421345">
        <w:t>. Кроме того, согласно информации, полученной от Проекта по организации просвещения и сетевого взаимодействия по вопросам калечения женских половых органов</w:t>
      </w:r>
      <w:r w:rsidRPr="00421345">
        <w:rPr>
          <w:vertAlign w:val="superscript"/>
        </w:rPr>
        <w:footnoteReference w:id="6"/>
      </w:r>
      <w:r w:rsidRPr="00421345">
        <w:t>, эта проблема по-прежнему широко распространена, поскольку традиция обрезания женщин до сих пор соблюдается в некоторых племенах. Она далее указывает, что жертвы не могут обращат</w:t>
      </w:r>
      <w:r w:rsidRPr="00421345">
        <w:t>ь</w:t>
      </w:r>
      <w:r w:rsidRPr="00421345">
        <w:t>ся за защитой, поскольку обрезание в Уганде не поставлено вне зак</w:t>
      </w:r>
      <w:r w:rsidRPr="00421345">
        <w:t>о</w:t>
      </w:r>
      <w:r w:rsidRPr="00421345">
        <w:t>на.</w:t>
      </w:r>
    </w:p>
    <w:p w:rsidR="00421345" w:rsidRPr="00421345" w:rsidRDefault="00421345" w:rsidP="00421345">
      <w:pPr>
        <w:pStyle w:val="SingleTxt"/>
      </w:pPr>
      <w:r w:rsidRPr="00421345">
        <w:t>3.2</w:t>
      </w:r>
      <w:r w:rsidRPr="00421345">
        <w:tab/>
        <w:t>По утверждению автора, обрезание в Уганде является родовой традицией и не зависит от возраста. Ее должны подвергнуть обрезанию в силу того, что она принадлежит к роду своего отца. Отец автора ранее проживал в районе, граничащем с Кенией, но затем в неуказанную дату переехал в Кампалу. Автор опасается, что ее отец и его семья в случае ее возвращения в Уганду проведут ей обрезание. Она утверждает, что власти Уганды коррумпированы и не жел</w:t>
      </w:r>
      <w:r w:rsidRPr="00421345">
        <w:t>а</w:t>
      </w:r>
      <w:r w:rsidRPr="00421345">
        <w:t xml:space="preserve">ют помочь ей, хотя она никогда не обращалась с просьбой о предоставлении официальной защиты. </w:t>
      </w:r>
    </w:p>
    <w:p w:rsidR="00421345" w:rsidRPr="00421345" w:rsidRDefault="00421345" w:rsidP="00421345">
      <w:pPr>
        <w:pStyle w:val="SingleTxt"/>
      </w:pPr>
      <w:r w:rsidRPr="00421345">
        <w:t>3.3</w:t>
      </w:r>
      <w:r w:rsidRPr="00421345">
        <w:tab/>
        <w:t>Автор утверждает, что, поскольку она является женщиной из рода м</w:t>
      </w:r>
      <w:r w:rsidRPr="00421345">
        <w:t>о</w:t>
      </w:r>
      <w:r w:rsidRPr="00421345">
        <w:t>гисо/моджишу, в котором применяется практика обрезания, и поскольку она не была подвергнута обрезанию в прошлом, в случае ее принудительной депорт</w:t>
      </w:r>
      <w:r w:rsidRPr="00421345">
        <w:t>а</w:t>
      </w:r>
      <w:r w:rsidRPr="00421345">
        <w:t>ции в Уганду она подвергнется угрозе обращения, которое будет нарушением статьи 7 Международного пакта о гражданских и политических правах. Она утверждает, что это будет также нарушением ее права на неприкосновенность личной жизни, предусмотренного статьей 17 Пакта. Поскольку такое обращ</w:t>
      </w:r>
      <w:r w:rsidRPr="00421345">
        <w:t>е</w:t>
      </w:r>
      <w:r w:rsidRPr="00421345">
        <w:t>ние обусловлено тем, что она является женщиной, автор заявляет также о нарушении статей 2, 3 и 26 Пакта и утверждает, что ей должна быть обеспеч</w:t>
      </w:r>
      <w:r w:rsidRPr="00421345">
        <w:t>е</w:t>
      </w:r>
      <w:r w:rsidRPr="00421345">
        <w:t>на защита от такого дискриминационного обращения.</w:t>
      </w:r>
    </w:p>
    <w:p w:rsidR="00421345" w:rsidRPr="00421345" w:rsidRDefault="00421345" w:rsidP="00421345">
      <w:pPr>
        <w:pStyle w:val="SingleTxt"/>
      </w:pPr>
      <w:r w:rsidRPr="00421345">
        <w:t>3.4</w:t>
      </w:r>
      <w:r w:rsidRPr="00421345">
        <w:tab/>
        <w:t xml:space="preserve">Автор утверждает, что </w:t>
      </w:r>
      <w:r w:rsidR="00B41B68">
        <w:t>"</w:t>
      </w:r>
      <w:r w:rsidRPr="00421345">
        <w:t>баджишу</w:t>
      </w:r>
      <w:r w:rsidR="00B41B68">
        <w:t>"</w:t>
      </w:r>
      <w:r w:rsidRPr="00421345">
        <w:t xml:space="preserve"> и </w:t>
      </w:r>
      <w:r w:rsidR="00B41B68">
        <w:t>"</w:t>
      </w:r>
      <w:r w:rsidRPr="00421345">
        <w:t>муджишу</w:t>
      </w:r>
      <w:r w:rsidR="00B41B68">
        <w:t>"</w:t>
      </w:r>
      <w:r w:rsidRPr="00421345">
        <w:t xml:space="preserve"> являются названиями одного и того же племени, и описывает ритуал обрезания у мужчин из племени баджису. Она заявляет, что после обрезания мальчика считают настоящим зрелым мужчиной. Иными словами, до обрезания ее отец был баджишу, а после него он стал зрелым мужчиной и перешел в категорию муджису. Автор ссылается на доклад Совета по делам иммиграции и беженцев Канады</w:t>
      </w:r>
      <w:r w:rsidRPr="00421345">
        <w:rPr>
          <w:vertAlign w:val="superscript"/>
        </w:rPr>
        <w:footnoteReference w:id="7"/>
      </w:r>
      <w:r w:rsidRPr="00421345">
        <w:t xml:space="preserve">, в котором указано, что племя баджису практикует обрезание у мужчин, а не калечащие операции на женских половых органах. Вместе с тем она отмечает, что в этом докладе говорится, что он готовился </w:t>
      </w:r>
      <w:r w:rsidR="00B41B68">
        <w:t>"</w:t>
      </w:r>
      <w:r w:rsidRPr="00421345">
        <w:t>в ограниченные сроки</w:t>
      </w:r>
      <w:r w:rsidR="00B41B68">
        <w:t>"</w:t>
      </w:r>
      <w:r w:rsidRPr="00421345">
        <w:t xml:space="preserve">. Она заявляет также, что этот доклад </w:t>
      </w:r>
      <w:r w:rsidR="00B41B68">
        <w:t>"</w:t>
      </w:r>
      <w:r w:rsidRPr="00421345">
        <w:t>не претендовал на исчерпывающий характер в отношении существа любого конкретного ходатайства о получении статуса беженца или предоставлении убежища</w:t>
      </w:r>
      <w:r w:rsidR="00B41B68">
        <w:t>"</w:t>
      </w:r>
      <w:r w:rsidRPr="00421345">
        <w:t>. Автор утверждает, что Комитету необходимо рассмотреть вопросы о том, когда калечащие операции на женских половых органах были объявлены вне закона в Уганде, и обеспечивает ли ей этот запрет эффективную защиту от ее отца. Она отмечает, что еще 11 марта 2010</w:t>
      </w:r>
      <w:r>
        <w:t> год</w:t>
      </w:r>
      <w:r w:rsidRPr="00421345">
        <w:t>а сообщалось о применении в Уганде практики калечащих операций на женских половых органах</w:t>
      </w:r>
      <w:r w:rsidRPr="00421345">
        <w:rPr>
          <w:vertAlign w:val="superscript"/>
        </w:rPr>
        <w:footnoteReference w:id="8"/>
      </w:r>
      <w:r w:rsidRPr="00421345">
        <w:t xml:space="preserve"> и что она тем самым обосновала свои утверждения prima facie.</w:t>
      </w:r>
    </w:p>
    <w:p w:rsidR="00421345" w:rsidRPr="00421345" w:rsidRDefault="00421345" w:rsidP="00421345">
      <w:pPr>
        <w:pStyle w:val="SingleTxt"/>
      </w:pPr>
      <w:r w:rsidRPr="00421345">
        <w:t>3.5</w:t>
      </w:r>
      <w:r w:rsidRPr="00421345">
        <w:tab/>
        <w:t>Признавая, что Закон о запрете калечащих операций на женских половых органах в Уганде вступил в силу 9 апреля 2010</w:t>
      </w:r>
      <w:r>
        <w:t> год</w:t>
      </w:r>
      <w:r w:rsidRPr="00421345">
        <w:t>а, автор утверждает, что решение Комиссии по рассмотрению апелляционных жалоб беженцев было принято 9 ноября 2009</w:t>
      </w:r>
      <w:r>
        <w:t> год</w:t>
      </w:r>
      <w:r w:rsidRPr="00421345">
        <w:t xml:space="preserve">а, </w:t>
      </w:r>
      <w:r w:rsidR="00EA1C97">
        <w:t xml:space="preserve">т. е. </w:t>
      </w:r>
      <w:r w:rsidRPr="00421345">
        <w:t>почти на полгода раньше. Кроме того, она утверждает, что это решение, среди прочего, принято на основе недостоверной и</w:t>
      </w:r>
      <w:r w:rsidRPr="00421345">
        <w:t>н</w:t>
      </w:r>
      <w:r w:rsidRPr="00421345">
        <w:t>формации министерства иностранных дел (от 3 сентября 2009</w:t>
      </w:r>
      <w:r>
        <w:t> год</w:t>
      </w:r>
      <w:r w:rsidRPr="00421345">
        <w:t>а) о том, что закон уже вступил в силу (см. пункты 2.5 и 2.6). Она утверждает, что, поскольку решение было принято на основе явно недостоверной информации министерства иностранных дел о статусе законодательства в Уганде, датские иммиграционные власти не провели справедливого рассмотрения ее дела. Она заявляет, что с учетом вступления законодательства в силу в настоящее время следует провести новое рассмотрение для оценки того, является ли законодател</w:t>
      </w:r>
      <w:r w:rsidRPr="00421345">
        <w:t>ь</w:t>
      </w:r>
      <w:r w:rsidRPr="00421345">
        <w:t>ство эффективной мерой защиты тех угандийских женщин, которые испыт</w:t>
      </w:r>
      <w:r w:rsidRPr="00421345">
        <w:t>ы</w:t>
      </w:r>
      <w:r w:rsidRPr="00421345">
        <w:t>вают опасения по поводу возможности проведения их семьями калечащих оп</w:t>
      </w:r>
      <w:r w:rsidRPr="00421345">
        <w:t>е</w:t>
      </w:r>
      <w:r w:rsidRPr="00421345">
        <w:t>раций, а также оценки того, в какой степени полиция способна предоставить какие-либо эффективные средства защиты в этой связи. После проведения т</w:t>
      </w:r>
      <w:r w:rsidRPr="00421345">
        <w:t>а</w:t>
      </w:r>
      <w:r w:rsidRPr="00421345">
        <w:t>кой оценки следует также выяснить, не подвергнется ли она риску и будет ли у нее какая-либо реальная возможность воспользоваться защитой закона.</w:t>
      </w:r>
    </w:p>
    <w:p w:rsidR="00421345" w:rsidRPr="00EA1C97" w:rsidRDefault="00421345" w:rsidP="00EA1C97">
      <w:pPr>
        <w:pStyle w:val="SingleTxt"/>
        <w:spacing w:after="0" w:line="240" w:lineRule="auto"/>
        <w:ind w:left="1264" w:right="1264"/>
      </w:pPr>
    </w:p>
    <w:p w:rsidR="00421345" w:rsidRPr="00EA1C97" w:rsidRDefault="00421345" w:rsidP="00EA1C97">
      <w:pPr>
        <w:pStyle w:val="H1"/>
        <w:spacing w:line="240" w:lineRule="auto"/>
        <w:ind w:left="1264" w:right="1264"/>
        <w:rPr>
          <w:w w:val="100"/>
          <w:kern w:val="0"/>
          <w:sz w:val="20"/>
          <w:lang w:val="ru-RU"/>
        </w:rPr>
      </w:pPr>
      <w:r w:rsidRPr="00EA1C97">
        <w:rPr>
          <w:w w:val="100"/>
          <w:kern w:val="0"/>
          <w:sz w:val="20"/>
          <w:lang w:val="ru-RU"/>
        </w:rPr>
        <w:tab/>
      </w:r>
      <w:r w:rsidRPr="00EA1C97">
        <w:rPr>
          <w:w w:val="100"/>
          <w:kern w:val="0"/>
          <w:sz w:val="20"/>
          <w:lang w:val="ru-RU"/>
        </w:rPr>
        <w:tab/>
        <w:t>Замечания государства-участника относительно приемлемости и с</w:t>
      </w:r>
      <w:r w:rsidRPr="00EA1C97">
        <w:rPr>
          <w:w w:val="100"/>
          <w:kern w:val="0"/>
          <w:sz w:val="20"/>
          <w:lang w:val="ru-RU"/>
        </w:rPr>
        <w:t>у</w:t>
      </w:r>
      <w:r w:rsidRPr="00EA1C97">
        <w:rPr>
          <w:w w:val="100"/>
          <w:kern w:val="0"/>
          <w:sz w:val="20"/>
          <w:lang w:val="ru-RU"/>
        </w:rPr>
        <w:t>щества сообщения</w:t>
      </w:r>
    </w:p>
    <w:p w:rsidR="00421345" w:rsidRPr="00EA1C97" w:rsidRDefault="00421345" w:rsidP="00EA1C97">
      <w:pPr>
        <w:pStyle w:val="SingleTxt"/>
        <w:spacing w:after="0" w:line="240" w:lineRule="auto"/>
        <w:ind w:left="1264" w:right="1264"/>
      </w:pPr>
    </w:p>
    <w:p w:rsidR="00421345" w:rsidRPr="00421345" w:rsidRDefault="00421345" w:rsidP="00421345">
      <w:pPr>
        <w:pStyle w:val="SingleTxt"/>
      </w:pPr>
      <w:r w:rsidRPr="00421345">
        <w:t>4.1</w:t>
      </w:r>
      <w:r w:rsidRPr="00421345">
        <w:tab/>
        <w:t>10 января 2012</w:t>
      </w:r>
      <w:r>
        <w:t> год</w:t>
      </w:r>
      <w:r w:rsidRPr="00421345">
        <w:t>а государство-участник представило свои замечания относительно приемлемости и существа сообщения. Оно напомнило о заявлении автора датским властям, занимающимся вопросами предоставления уб</w:t>
      </w:r>
      <w:r w:rsidRPr="00421345">
        <w:t>е</w:t>
      </w:r>
      <w:r w:rsidRPr="00421345">
        <w:t>жища, о том, что она покинула Уганду, поскольку опасалась, что ее отец или один из его родственников принудят ее к проведению обрезания, поскольку род ее отца (род моджи</w:t>
      </w:r>
      <w:r w:rsidR="008A0935">
        <w:t>ш</w:t>
      </w:r>
      <w:r w:rsidRPr="00421345">
        <w:t>у) придерживается традиции обрезания девочек и мальч</w:t>
      </w:r>
      <w:r w:rsidRPr="00421345">
        <w:t>и</w:t>
      </w:r>
      <w:r w:rsidRPr="00421345">
        <w:t>ков. Автор не представила дополнительную информацию об этой традиции, и ей неизвестно о том, подвергались ли другие женщины обрезанию. Она заяв</w:t>
      </w:r>
      <w:r w:rsidRPr="00421345">
        <w:t>и</w:t>
      </w:r>
      <w:r w:rsidRPr="00421345">
        <w:t>ла также, что никогда не находилась в каком-либо конфликте с угандийскими властями и не занималась политической деятельностью. Единственной прич</w:t>
      </w:r>
      <w:r w:rsidRPr="00421345">
        <w:t>и</w:t>
      </w:r>
      <w:r w:rsidRPr="00421345">
        <w:t>ной ее бегства был страх подвергнуться обрезанию. В качестве причины, по которой она не обратилась с ходатайством о предоставлении убежища в Дании до ее ареста через четыре месяца после прибытия в страну, она указала свою неосведомленность о концепции убежища, поскольку она была всего лишь школьницей, желавшей покинуть свою страну происхождения.</w:t>
      </w:r>
    </w:p>
    <w:p w:rsidR="00421345" w:rsidRPr="00421345" w:rsidRDefault="00421345" w:rsidP="00421345">
      <w:pPr>
        <w:pStyle w:val="SingleTxt"/>
      </w:pPr>
      <w:r w:rsidRPr="00421345">
        <w:t>4.2</w:t>
      </w:r>
      <w:r w:rsidRPr="00421345">
        <w:tab/>
      </w:r>
      <w:r w:rsidRPr="00421345">
        <w:rPr>
          <w:bCs/>
        </w:rPr>
        <w:t>Далее государство-участник ссылается на решение Комиссии по рассмо</w:t>
      </w:r>
      <w:r w:rsidRPr="00421345">
        <w:rPr>
          <w:bCs/>
        </w:rPr>
        <w:t>т</w:t>
      </w:r>
      <w:r w:rsidRPr="00421345">
        <w:rPr>
          <w:bCs/>
        </w:rPr>
        <w:t>рению апелляционных жалоб беженцев от 9 ноября 2009</w:t>
      </w:r>
      <w:r>
        <w:rPr>
          <w:bCs/>
        </w:rPr>
        <w:t> год</w:t>
      </w:r>
      <w:r w:rsidRPr="00421345">
        <w:rPr>
          <w:bCs/>
        </w:rPr>
        <w:t>а, в котором та приняла к сведению, что основным аргументом автора в пользу предоставл</w:t>
      </w:r>
      <w:r w:rsidRPr="00421345">
        <w:rPr>
          <w:bCs/>
        </w:rPr>
        <w:t>е</w:t>
      </w:r>
      <w:r w:rsidRPr="00421345">
        <w:rPr>
          <w:bCs/>
        </w:rPr>
        <w:t>ния убежища является опасность принудительного обрезания в случае ее во</w:t>
      </w:r>
      <w:r w:rsidRPr="00421345">
        <w:rPr>
          <w:bCs/>
        </w:rPr>
        <w:t>з</w:t>
      </w:r>
      <w:r w:rsidRPr="00421345">
        <w:rPr>
          <w:bCs/>
        </w:rPr>
        <w:t>вращения в Уганду. Комиссия также приняла к сведению довод автора о том, что ее отец обращался к ее матери по поводу проведения обрезания в то время, когда автору было девять лет. Комиссия далее отметила, что автор и ее отец с тех пор не поддерживали каких-либо связей и у них была всего лишь одна сл</w:t>
      </w:r>
      <w:r w:rsidRPr="00421345">
        <w:rPr>
          <w:bCs/>
        </w:rPr>
        <w:t>у</w:t>
      </w:r>
      <w:r w:rsidRPr="00421345">
        <w:rPr>
          <w:bCs/>
        </w:rPr>
        <w:t>чайная встреча на улице в Кампале, когда они даже не разговаривали друг с другом. Комиссия пришла к выводу о том, что автор не будет подвергаться ри</w:t>
      </w:r>
      <w:r w:rsidRPr="00421345">
        <w:rPr>
          <w:bCs/>
        </w:rPr>
        <w:t>с</w:t>
      </w:r>
      <w:r w:rsidRPr="00421345">
        <w:rPr>
          <w:bCs/>
        </w:rPr>
        <w:t>ку калечащих операций на женских половых органах в случае ее возвращения в Уганду, подчеркнув, что с тех пор, как ее отец или любой другой из членов его семьи встречались с ней, прошло много лет. С</w:t>
      </w:r>
      <w:r w:rsidR="0011364E">
        <w:rPr>
          <w:bCs/>
        </w:rPr>
        <w:t> </w:t>
      </w:r>
      <w:r w:rsidRPr="00421345">
        <w:rPr>
          <w:bCs/>
        </w:rPr>
        <w:t>учетом этих обстоятельств Комиссия сделала вывод об отсутствии вероятности применения к автору п</w:t>
      </w:r>
      <w:r w:rsidRPr="00421345">
        <w:rPr>
          <w:bCs/>
        </w:rPr>
        <w:t>ы</w:t>
      </w:r>
      <w:r w:rsidRPr="00421345">
        <w:rPr>
          <w:bCs/>
        </w:rPr>
        <w:t>ток, бесчеловечного или унижающего достоинство обращения или наказания в случае ее возвращения в Уганду.</w:t>
      </w:r>
    </w:p>
    <w:p w:rsidR="00421345" w:rsidRPr="00421345" w:rsidRDefault="00421345" w:rsidP="00421345">
      <w:pPr>
        <w:pStyle w:val="SingleTxt"/>
      </w:pPr>
      <w:r w:rsidRPr="00421345">
        <w:t>4.3</w:t>
      </w:r>
      <w:r w:rsidRPr="00421345">
        <w:tab/>
      </w:r>
      <w:r w:rsidRPr="00421345">
        <w:rPr>
          <w:bCs/>
        </w:rPr>
        <w:t>Государство-участник представило подробную информацию о задачах и составе Комиссии по рассмотрению апелляционных жалоб беженцев, а также о</w:t>
      </w:r>
      <w:r w:rsidR="0011364E">
        <w:rPr>
          <w:bCs/>
        </w:rPr>
        <w:t> </w:t>
      </w:r>
      <w:r w:rsidRPr="00421345">
        <w:rPr>
          <w:bCs/>
        </w:rPr>
        <w:t>правовой базе принимаемых ею решений, которой является Закон об ин</w:t>
      </w:r>
      <w:r w:rsidRPr="00421345">
        <w:rPr>
          <w:bCs/>
        </w:rPr>
        <w:t>о</w:t>
      </w:r>
      <w:r w:rsidRPr="00421345">
        <w:rPr>
          <w:bCs/>
        </w:rPr>
        <w:t>странцах. В соответствии с разделом 31</w:t>
      </w:r>
      <w:r w:rsidR="00EA1C97">
        <w:rPr>
          <w:bCs/>
        </w:rPr>
        <w:t> (</w:t>
      </w:r>
      <w:r w:rsidRPr="00421345">
        <w:rPr>
          <w:bCs/>
        </w:rPr>
        <w:t>1) Закона иностранец не может быть возвращен в страну, в которой он или она будет подвергаться риску смертной казни или применения пыток, бесчеловечного или унижающего достоинство обращения или наказания либо в которой иностранцу не будет предоставлена защита от высылки в такую страну (недопустимость принудительного возвр</w:t>
      </w:r>
      <w:r w:rsidRPr="00421345">
        <w:rPr>
          <w:bCs/>
        </w:rPr>
        <w:t>а</w:t>
      </w:r>
      <w:r w:rsidRPr="00421345">
        <w:rPr>
          <w:bCs/>
        </w:rPr>
        <w:t>щения). Это императивное положение применяется ко всем иностранцам и должно исполняться в соответствии с международными правовыми обязател</w:t>
      </w:r>
      <w:r w:rsidRPr="00421345">
        <w:rPr>
          <w:bCs/>
        </w:rPr>
        <w:t>ь</w:t>
      </w:r>
      <w:r w:rsidRPr="00421345">
        <w:rPr>
          <w:bCs/>
        </w:rPr>
        <w:t>ствами Дании.</w:t>
      </w:r>
    </w:p>
    <w:p w:rsidR="00421345" w:rsidRPr="00421345" w:rsidRDefault="00421345" w:rsidP="00421345">
      <w:pPr>
        <w:pStyle w:val="SingleTxt"/>
      </w:pPr>
      <w:r w:rsidRPr="00421345">
        <w:t>4.4</w:t>
      </w:r>
      <w:r w:rsidRPr="00421345">
        <w:tab/>
      </w:r>
      <w:r w:rsidRPr="00421345">
        <w:rPr>
          <w:bCs/>
        </w:rPr>
        <w:t>Государство-участник заявляет, что в неуказанную дату автор направила Комитету по правам человека сообщение, в котором указано, что ее высылка явится нарушением Пакта. Однако это сообщение было отклонено. В связи с этим государство-участник утверждает, что в силу этого настоящее сообщение является неприемлемым в соответствии со статьей 4</w:t>
      </w:r>
      <w:r w:rsidR="00EA1C97">
        <w:rPr>
          <w:bCs/>
        </w:rPr>
        <w:t> (</w:t>
      </w:r>
      <w:r w:rsidRPr="00421345">
        <w:rPr>
          <w:bCs/>
        </w:rPr>
        <w:t>2)</w:t>
      </w:r>
      <w:r w:rsidR="00EA1C97">
        <w:rPr>
          <w:bCs/>
        </w:rPr>
        <w:t> (</w:t>
      </w:r>
      <w:r w:rsidRPr="00421345">
        <w:rPr>
          <w:bCs/>
        </w:rPr>
        <w:t xml:space="preserve">а) Факультативного протокола к Конвенции, поскольку тот же вопрос уже рассматривался в рамках другой процедуры международного расследования или урегулирования, </w:t>
      </w:r>
      <w:r w:rsidR="00EA1C97">
        <w:rPr>
          <w:bCs/>
        </w:rPr>
        <w:t xml:space="preserve">т. е. </w:t>
      </w:r>
      <w:r w:rsidRPr="00421345">
        <w:rPr>
          <w:bCs/>
        </w:rPr>
        <w:t>Комитетом по правам человека. В этой связи оно отмечает, что весь текст сообщения, за исключением первого короткого предложения, касается предпол</w:t>
      </w:r>
      <w:r w:rsidRPr="00421345">
        <w:rPr>
          <w:bCs/>
        </w:rPr>
        <w:t>а</w:t>
      </w:r>
      <w:r w:rsidRPr="00421345">
        <w:rPr>
          <w:bCs/>
        </w:rPr>
        <w:t>гаемых нарушений Пакта, а не Конвенции. Таким образом, о предполагаемых нарушениях Конвенции кратко упомянуто только в первом предложении.</w:t>
      </w:r>
    </w:p>
    <w:p w:rsidR="00421345" w:rsidRPr="00421345" w:rsidRDefault="00421345" w:rsidP="00421345">
      <w:pPr>
        <w:pStyle w:val="SingleTxt"/>
      </w:pPr>
      <w:r w:rsidRPr="00421345">
        <w:t>4.5</w:t>
      </w:r>
      <w:r w:rsidRPr="00421345">
        <w:tab/>
      </w:r>
      <w:r w:rsidRPr="00421345">
        <w:rPr>
          <w:bCs/>
        </w:rPr>
        <w:t>Кроме того, государство-участник утверждает, что сообщение следует объявить неприемлемым ratione loci, а также ratione materiae согласно статье 2 Факультативного протокола, поскольку по Конвенции Дания не несет ответственности за действия, указанные в обосновании сообщения автора. Оно отмечает, что, хотя сама Конвенция не содержит прямого положения о юрисди</w:t>
      </w:r>
      <w:r w:rsidRPr="00421345">
        <w:rPr>
          <w:bCs/>
        </w:rPr>
        <w:t>к</w:t>
      </w:r>
      <w:r w:rsidRPr="00421345">
        <w:rPr>
          <w:bCs/>
        </w:rPr>
        <w:t>ции, которое бы ограничивало сферу ее применения, в статье 2 Факультативн</w:t>
      </w:r>
      <w:r w:rsidRPr="00421345">
        <w:rPr>
          <w:bCs/>
        </w:rPr>
        <w:t>о</w:t>
      </w:r>
      <w:r w:rsidRPr="00421345">
        <w:rPr>
          <w:bCs/>
        </w:rPr>
        <w:t xml:space="preserve">го протокола четко указано, что сообщения </w:t>
      </w:r>
      <w:r w:rsidR="00B41B68">
        <w:rPr>
          <w:bCs/>
        </w:rPr>
        <w:t>"</w:t>
      </w:r>
      <w:r w:rsidRPr="00421345">
        <w:rPr>
          <w:bCs/>
        </w:rPr>
        <w:t>могут направляться подпадающ</w:t>
      </w:r>
      <w:r w:rsidRPr="00421345">
        <w:rPr>
          <w:bCs/>
        </w:rPr>
        <w:t>и</w:t>
      </w:r>
      <w:r w:rsidRPr="00421345">
        <w:rPr>
          <w:bCs/>
        </w:rPr>
        <w:t>ми под юрисдикцию государства-участника лицами или группами лиц или от их имени, которые утверждают, что они являются жертвами нарушения этим государством-участником какого-либо из прав, изложенных в Конвенции</w:t>
      </w:r>
      <w:r w:rsidR="00B41B68">
        <w:rPr>
          <w:bCs/>
        </w:rPr>
        <w:t>"</w:t>
      </w:r>
      <w:r w:rsidRPr="00421345">
        <w:rPr>
          <w:bCs/>
        </w:rPr>
        <w:t>. Т</w:t>
      </w:r>
      <w:r w:rsidRPr="00421345">
        <w:rPr>
          <w:bCs/>
        </w:rPr>
        <w:t>а</w:t>
      </w:r>
      <w:r w:rsidRPr="00421345">
        <w:rPr>
          <w:bCs/>
        </w:rPr>
        <w:t>ким образом, право на подачу индивидуальной петиции четко ограничено п</w:t>
      </w:r>
      <w:r w:rsidRPr="00421345">
        <w:rPr>
          <w:bCs/>
        </w:rPr>
        <w:t>о</w:t>
      </w:r>
      <w:r w:rsidRPr="00421345">
        <w:rPr>
          <w:bCs/>
        </w:rPr>
        <w:t>ложением о юрисдикции. Государство-участник признает, что автор в насто</w:t>
      </w:r>
      <w:r w:rsidRPr="00421345">
        <w:rPr>
          <w:bCs/>
        </w:rPr>
        <w:t>я</w:t>
      </w:r>
      <w:r w:rsidRPr="00421345">
        <w:rPr>
          <w:bCs/>
        </w:rPr>
        <w:t>щее время временно проживает в Дании и, следовательно, подпадает под да</w:t>
      </w:r>
      <w:r w:rsidRPr="00421345">
        <w:rPr>
          <w:bCs/>
        </w:rPr>
        <w:t>т</w:t>
      </w:r>
      <w:r w:rsidRPr="00421345">
        <w:rPr>
          <w:bCs/>
        </w:rPr>
        <w:t>скую юрисдикцию. Вместе с тем утверждения автора основаны не на каких-либо фактах, имеющих отношение к характеру обращения с ней, от которого она могла бы пострадать в Дании и которое являлось бы следствием мер, пр</w:t>
      </w:r>
      <w:r w:rsidRPr="00421345">
        <w:rPr>
          <w:bCs/>
        </w:rPr>
        <w:t>и</w:t>
      </w:r>
      <w:r w:rsidRPr="00421345">
        <w:rPr>
          <w:bCs/>
        </w:rPr>
        <w:t>нятых властями государства-участника, а на утверждениях о последствиях, от которых она может пострадать в случае возвращения в Уганду. Таким образом, единственной мерой, принятой датскими властями и оспариваемой автором, является решение о ее высылке в страну, где, согласно ее утверждениям, она пострадает от дискриминационного обращения, противоречащего Конвенции. Однако решение возвратить автора в Уганду не имеет отношения к обязател</w:t>
      </w:r>
      <w:r w:rsidRPr="00421345">
        <w:rPr>
          <w:bCs/>
        </w:rPr>
        <w:t>ь</w:t>
      </w:r>
      <w:r w:rsidRPr="00421345">
        <w:rPr>
          <w:bCs/>
        </w:rPr>
        <w:t>ствам государства-участника по статьям 1, 2</w:t>
      </w:r>
      <w:r w:rsidR="00EA1C97">
        <w:rPr>
          <w:bCs/>
        </w:rPr>
        <w:t> (</w:t>
      </w:r>
      <w:r w:rsidRPr="00421345">
        <w:rPr>
          <w:bCs/>
        </w:rPr>
        <w:t>с), 2</w:t>
      </w:r>
      <w:r w:rsidR="00EA1C97">
        <w:rPr>
          <w:bCs/>
        </w:rPr>
        <w:t> (</w:t>
      </w:r>
      <w:r w:rsidRPr="00421345">
        <w:rPr>
          <w:bCs/>
        </w:rPr>
        <w:t>d) и 3 Конвенции.</w:t>
      </w:r>
    </w:p>
    <w:p w:rsidR="00421345" w:rsidRPr="00421345" w:rsidRDefault="00421345" w:rsidP="00421345">
      <w:pPr>
        <w:pStyle w:val="SingleTxt"/>
      </w:pPr>
      <w:r w:rsidRPr="00421345">
        <w:t>4.6</w:t>
      </w:r>
      <w:r w:rsidRPr="00421345">
        <w:tab/>
      </w:r>
      <w:r w:rsidRPr="00421345">
        <w:rPr>
          <w:bCs/>
        </w:rPr>
        <w:t xml:space="preserve">Государство-участник отмечает также, что понятие юрисдикции для целей статьи 2 Факультативного протокола должно рассматриваться с точки зрения значения этого термина, принятого в международном публичном праве, </w:t>
      </w:r>
      <w:r w:rsidR="00EA1C97">
        <w:rPr>
          <w:bCs/>
        </w:rPr>
        <w:t xml:space="preserve">т. е. </w:t>
      </w:r>
      <w:r w:rsidRPr="00421345">
        <w:rPr>
          <w:bCs/>
        </w:rPr>
        <w:t>в том смысле, что юрисдикционная компетенция государства является в первую очередь территориальной. Только в исключительных обстоятельствах действия государств-участников, приводящие к возникновению последствий в других государствах, являются причиной возникновения ответственности предприн</w:t>
      </w:r>
      <w:r w:rsidRPr="00421345">
        <w:rPr>
          <w:bCs/>
        </w:rPr>
        <w:t>и</w:t>
      </w:r>
      <w:r w:rsidRPr="00421345">
        <w:rPr>
          <w:bCs/>
        </w:rPr>
        <w:t>мающего действия государства-участника (</w:t>
      </w:r>
      <w:r w:rsidR="00B41B68">
        <w:rPr>
          <w:bCs/>
        </w:rPr>
        <w:t>"</w:t>
      </w:r>
      <w:r w:rsidRPr="00421345">
        <w:rPr>
          <w:bCs/>
        </w:rPr>
        <w:t>экстерриториальное действие</w:t>
      </w:r>
      <w:r w:rsidR="00B41B68">
        <w:rPr>
          <w:bCs/>
        </w:rPr>
        <w:t>"</w:t>
      </w:r>
      <w:r w:rsidRPr="00421345">
        <w:rPr>
          <w:bCs/>
        </w:rPr>
        <w:t>). Государство-участник утверждает, что в данном случае такие исключительные обстоятельства не присутствуют и что Дания не может считаться ответстве</w:t>
      </w:r>
      <w:r w:rsidRPr="00421345">
        <w:rPr>
          <w:bCs/>
        </w:rPr>
        <w:t>н</w:t>
      </w:r>
      <w:r w:rsidRPr="00421345">
        <w:rPr>
          <w:bCs/>
        </w:rPr>
        <w:t>ной за нарушения Конвенции, которые, как ожидается, могут быть совершены другим государством-участником, не имеющим отношения ни к датской терр</w:t>
      </w:r>
      <w:r w:rsidRPr="00421345">
        <w:rPr>
          <w:bCs/>
        </w:rPr>
        <w:t>и</w:t>
      </w:r>
      <w:r w:rsidRPr="00421345">
        <w:rPr>
          <w:bCs/>
        </w:rPr>
        <w:t>тории, ни к датской юрисдикции.</w:t>
      </w:r>
    </w:p>
    <w:p w:rsidR="00421345" w:rsidRPr="00421345" w:rsidRDefault="00421345" w:rsidP="00421345">
      <w:pPr>
        <w:pStyle w:val="SingleTxt"/>
      </w:pPr>
      <w:r w:rsidRPr="00421345">
        <w:t>4.7</w:t>
      </w:r>
      <w:r w:rsidRPr="00421345">
        <w:tab/>
      </w:r>
      <w:r w:rsidRPr="00421345">
        <w:rPr>
          <w:bCs/>
        </w:rPr>
        <w:t>Государство-участник утверждает, что вопрос об экстерриториальном действии прямо не рассматривается ни в одном из опубликованных примеров правовой практики Комитета и что ни один пример правовой практики не указывает на то, что соответствующие положения Конвенции имеют какое-либо экстерриториальное действие</w:t>
      </w:r>
      <w:bookmarkStart w:id="1" w:name="_Ref336232542"/>
      <w:r w:rsidRPr="00421345">
        <w:rPr>
          <w:bCs/>
          <w:vertAlign w:val="superscript"/>
        </w:rPr>
        <w:footnoteReference w:id="9"/>
      </w:r>
      <w:bookmarkEnd w:id="1"/>
      <w:r w:rsidRPr="00421345">
        <w:rPr>
          <w:bCs/>
        </w:rPr>
        <w:t>. Однако в одном из своих прецедентных решений Европейский суд по правам человека прямо подчеркнул</w:t>
      </w:r>
      <w:r w:rsidRPr="00421345">
        <w:rPr>
          <w:bCs/>
          <w:vertAlign w:val="superscript"/>
        </w:rPr>
        <w:footnoteReference w:id="10"/>
      </w:r>
      <w:r w:rsidRPr="00421345">
        <w:rPr>
          <w:bCs/>
        </w:rPr>
        <w:t xml:space="preserve"> исключительный характер экстерриториальной защиты прав, предусмотренных Европейской конвенцией о защите прав человека и основных свобод (Европейская конвенция о правах человека).</w:t>
      </w:r>
    </w:p>
    <w:p w:rsidR="00421345" w:rsidRPr="00421345" w:rsidRDefault="00421345" w:rsidP="00421345">
      <w:pPr>
        <w:pStyle w:val="SingleTxt"/>
      </w:pPr>
      <w:r w:rsidRPr="00421345">
        <w:t>4.8</w:t>
      </w:r>
      <w:r w:rsidRPr="00421345">
        <w:tab/>
      </w:r>
      <w:r w:rsidRPr="00421345">
        <w:rPr>
          <w:bCs/>
        </w:rPr>
        <w:t>Далее государство-участник утверждает, что в статье 1 Факультативного протокола к Пакту, как и в статье 2 Факультативного протокола к Конвенции, предусмотрено, что Комитет по правам человека может принимать сообщения от подлежащих юрисдикции государства-участника лиц, которые утверждают, что они являются жертвами нарушения данным государством-участником какого-либо из прав, изложенных в Пакте. В ряде случаев Комитет по правам</w:t>
      </w:r>
      <w:r w:rsidRPr="00421345">
        <w:t xml:space="preserve"> </w:t>
      </w:r>
      <w:r w:rsidRPr="00421345">
        <w:rPr>
          <w:bCs/>
        </w:rPr>
        <w:t xml:space="preserve">человека приходил к выводу о том, что высылка отдельных лиц государствами-участниками в другие государства, которая приведет к предсказуемому нарушению их права на жизнь, как это предусмотрено в статье 6 Пакта, или их права не подвергаться пыткам, как это предусмотрено в статье 7 Пакта, повлечет его нарушение. Вместе с тем Комитет по правам человека никогда не рассматривал жалобу по существу, если она касалась высылки лица, опасавшегося </w:t>
      </w:r>
      <w:r w:rsidR="00B41B68">
        <w:rPr>
          <w:bCs/>
        </w:rPr>
        <w:t>"</w:t>
      </w:r>
      <w:r w:rsidRPr="00421345">
        <w:rPr>
          <w:bCs/>
        </w:rPr>
        <w:t>менее тяжкого</w:t>
      </w:r>
      <w:r w:rsidR="00B41B68">
        <w:rPr>
          <w:bCs/>
        </w:rPr>
        <w:t>"</w:t>
      </w:r>
      <w:r w:rsidRPr="00421345">
        <w:rPr>
          <w:bCs/>
        </w:rPr>
        <w:t xml:space="preserve"> нарушения прав человека в принимающем государстве (например, нарушения права, допускающего отступление) со стороны принимающего государства</w:t>
      </w:r>
      <w:r w:rsidRPr="00421345">
        <w:rPr>
          <w:bCs/>
          <w:vertAlign w:val="superscript"/>
        </w:rPr>
        <w:footnoteReference w:customMarkFollows="1" w:id="11"/>
        <w:t>10</w:t>
      </w:r>
      <w:r w:rsidRPr="00421345">
        <w:rPr>
          <w:bCs/>
        </w:rPr>
        <w:t xml:space="preserve"> .</w:t>
      </w:r>
    </w:p>
    <w:p w:rsidR="00421345" w:rsidRPr="00421345" w:rsidRDefault="00421345" w:rsidP="00421345">
      <w:pPr>
        <w:pStyle w:val="SingleTxt"/>
      </w:pPr>
      <w:r w:rsidRPr="00421345">
        <w:t>4.9</w:t>
      </w:r>
      <w:r w:rsidRPr="00421345">
        <w:tab/>
      </w:r>
      <w:r w:rsidRPr="00421345">
        <w:rPr>
          <w:bCs/>
        </w:rPr>
        <w:t>Государство-участник утверждает, что аргументация, которую можно почерпнуть в прецедентном праве Европейского суда по правам человека и в решениях Комитета по правам человека, прямо указывает на то, что только в исключительных обстоятельствах, иностранцы, подвергающиеся высылке, не м</w:t>
      </w:r>
      <w:r w:rsidRPr="00421345">
        <w:rPr>
          <w:bCs/>
        </w:rPr>
        <w:t>о</w:t>
      </w:r>
      <w:r w:rsidRPr="00421345">
        <w:rPr>
          <w:bCs/>
        </w:rPr>
        <w:t>гут претендовать на получение права оставаться на территории государства-участника всего лишь на основании осуществления права на недискримин</w:t>
      </w:r>
      <w:r w:rsidRPr="00421345">
        <w:rPr>
          <w:bCs/>
        </w:rPr>
        <w:t>а</w:t>
      </w:r>
      <w:r w:rsidRPr="00421345">
        <w:rPr>
          <w:bCs/>
        </w:rPr>
        <w:t>цию, которым они будут пользоваться на его территории и в котором им может быть отказано в принимающем государстве.</w:t>
      </w:r>
      <w:r w:rsidRPr="00421345">
        <w:t xml:space="preserve"> </w:t>
      </w:r>
      <w:r w:rsidRPr="00421345">
        <w:rPr>
          <w:bCs/>
        </w:rPr>
        <w:t>Таким образом, высылка женщ</w:t>
      </w:r>
      <w:r w:rsidRPr="00421345">
        <w:rPr>
          <w:bCs/>
        </w:rPr>
        <w:t>и</w:t>
      </w:r>
      <w:r w:rsidRPr="00421345">
        <w:rPr>
          <w:bCs/>
        </w:rPr>
        <w:t>ны, которая прибывает в Данию лишь с целью избежать дискриминационного обращения в ее собственной стране, каким бы неприемлемым оно ни было, не может являться нарушением Конвенции. Ввиду вышеуказанных причин гос</w:t>
      </w:r>
      <w:r w:rsidRPr="00421345">
        <w:rPr>
          <w:bCs/>
        </w:rPr>
        <w:t>у</w:t>
      </w:r>
      <w:r w:rsidRPr="00421345">
        <w:rPr>
          <w:bCs/>
        </w:rPr>
        <w:t>дарство-участник настаивает, что Дания не несет ответственности по Конве</w:t>
      </w:r>
      <w:r w:rsidRPr="00421345">
        <w:rPr>
          <w:bCs/>
        </w:rPr>
        <w:t>н</w:t>
      </w:r>
      <w:r w:rsidRPr="00421345">
        <w:rPr>
          <w:bCs/>
        </w:rPr>
        <w:t xml:space="preserve">ции за предполагаемые нарушения </w:t>
      </w:r>
      <w:r w:rsidR="0011364E">
        <w:rPr>
          <w:bCs/>
        </w:rPr>
        <w:t>–</w:t>
      </w:r>
      <w:r w:rsidRPr="00421345">
        <w:rPr>
          <w:bCs/>
        </w:rPr>
        <w:t xml:space="preserve"> если таковые могут иметь место, — к</w:t>
      </w:r>
      <w:r w:rsidRPr="00421345">
        <w:rPr>
          <w:bCs/>
        </w:rPr>
        <w:t>о</w:t>
      </w:r>
      <w:r w:rsidRPr="00421345">
        <w:rPr>
          <w:bCs/>
        </w:rPr>
        <w:t xml:space="preserve">торые приводятся в обоснование сообщения автора. В силу этого оно должно быть отклонено в качестве неприемлемого </w:t>
      </w:r>
      <w:r w:rsidRPr="00421345">
        <w:rPr>
          <w:bCs/>
          <w:lang w:val="en-US"/>
        </w:rPr>
        <w:t>ratione</w:t>
      </w:r>
      <w:r w:rsidRPr="00421345">
        <w:rPr>
          <w:bCs/>
        </w:rPr>
        <w:t xml:space="preserve"> </w:t>
      </w:r>
      <w:r w:rsidRPr="00421345">
        <w:rPr>
          <w:bCs/>
          <w:lang w:val="en-US"/>
        </w:rPr>
        <w:t>loci</w:t>
      </w:r>
      <w:r w:rsidRPr="00421345">
        <w:rPr>
          <w:bCs/>
        </w:rPr>
        <w:t xml:space="preserve"> и </w:t>
      </w:r>
      <w:r w:rsidRPr="00421345">
        <w:rPr>
          <w:bCs/>
          <w:lang w:val="en-US"/>
        </w:rPr>
        <w:t>ratione</w:t>
      </w:r>
      <w:r w:rsidRPr="00421345">
        <w:rPr>
          <w:bCs/>
        </w:rPr>
        <w:t xml:space="preserve"> </w:t>
      </w:r>
      <w:r w:rsidRPr="00421345">
        <w:rPr>
          <w:bCs/>
          <w:lang w:val="en-US"/>
        </w:rPr>
        <w:t>materiae</w:t>
      </w:r>
      <w:r w:rsidRPr="00421345">
        <w:rPr>
          <w:bCs/>
        </w:rPr>
        <w:t xml:space="preserve"> согла</w:t>
      </w:r>
      <w:r w:rsidRPr="00421345">
        <w:rPr>
          <w:bCs/>
        </w:rPr>
        <w:t>с</w:t>
      </w:r>
      <w:r w:rsidRPr="00421345">
        <w:rPr>
          <w:bCs/>
        </w:rPr>
        <w:t>но статье 2 Факультативного протокола.</w:t>
      </w:r>
    </w:p>
    <w:p w:rsidR="00421345" w:rsidRPr="00421345" w:rsidRDefault="00421345" w:rsidP="00421345">
      <w:pPr>
        <w:pStyle w:val="SingleTxt"/>
      </w:pPr>
      <w:r w:rsidRPr="00421345">
        <w:t>4.10</w:t>
      </w:r>
      <w:r w:rsidRPr="00421345">
        <w:tab/>
      </w:r>
      <w:r w:rsidRPr="00421345">
        <w:rPr>
          <w:bCs/>
        </w:rPr>
        <w:t>Государство-участник далее утверждает, что это сообщение следует объявить неприемлемым согласно статье 4</w:t>
      </w:r>
      <w:r w:rsidR="00EA1C97">
        <w:rPr>
          <w:bCs/>
        </w:rPr>
        <w:t> (</w:t>
      </w:r>
      <w:r w:rsidRPr="00421345">
        <w:rPr>
          <w:bCs/>
        </w:rPr>
        <w:t>1) Факультативного протокола в связи с неисчерпанием внутренних средств правовой защиты в рамках датской процедуры рассмотрения вопроса о предоставлении убежища. Из правовой практики Комитета явствует, что автору следовало предъявить на национальном уровне те материально-правовые претензии, которые она пожелала представить на рассмотрение Комитета</w:t>
      </w:r>
      <w:r w:rsidRPr="00421345">
        <w:rPr>
          <w:bCs/>
          <w:vertAlign w:val="superscript"/>
        </w:rPr>
        <w:footnoteReference w:customMarkFollows="1" w:id="12"/>
        <w:t>11</w:t>
      </w:r>
      <w:r w:rsidRPr="00421345">
        <w:rPr>
          <w:bCs/>
        </w:rPr>
        <w:t>. Государство-участник отмечает, что все статьи Конвенции, на которые ссылается автор настоящего сообщения, касаются дискриминации женщин. Вместе с тем оно отмечает, что она не представляла на рассмотрение Иммиграционной службы или Комиссии по рассмотрению апелляционных жалоб беженцев каких-либо утверждений, касающихся дискриминации автора как женщины, и что в этой связи национальные власти не имели возможности рассмотреть утверждение автора, согласно которому принятое в отношении нее решение было связано с дискриминацией по гендерному признаку</w:t>
      </w:r>
      <w:r w:rsidRPr="00421345">
        <w:rPr>
          <w:bCs/>
          <w:vertAlign w:val="superscript"/>
        </w:rPr>
        <w:footnoteReference w:customMarkFollows="1" w:id="13"/>
        <w:t>12</w:t>
      </w:r>
      <w:r w:rsidRPr="00421345">
        <w:rPr>
          <w:bCs/>
        </w:rPr>
        <w:t>. Поскольку при рассмотрении этого сообщения Комитет явился бы судом первой инстанции, сообщение следует объявить неприемлемым согласно статье 4</w:t>
      </w:r>
      <w:r w:rsidR="00EA1C97">
        <w:rPr>
          <w:bCs/>
        </w:rPr>
        <w:t> (</w:t>
      </w:r>
      <w:r w:rsidRPr="00421345">
        <w:rPr>
          <w:bCs/>
        </w:rPr>
        <w:t>1) Факультативного протокола.</w:t>
      </w:r>
    </w:p>
    <w:p w:rsidR="00421345" w:rsidRPr="00421345" w:rsidRDefault="00421345" w:rsidP="00421345">
      <w:pPr>
        <w:pStyle w:val="SingleTxt"/>
      </w:pPr>
      <w:r w:rsidRPr="00421345">
        <w:t>4.11</w:t>
      </w:r>
      <w:r w:rsidRPr="00421345">
        <w:tab/>
        <w:t>Кроме того, государство-участник утверждает, что в своем сообщении Комитету автор четко не указала и не объяснила, какие права, предоставляемые Конвенцией, служат для обоснования ее сообщения, а лишь сослалась на ст</w:t>
      </w:r>
      <w:r w:rsidRPr="00421345">
        <w:t>а</w:t>
      </w:r>
      <w:r w:rsidRPr="00421345">
        <w:t>тьи 1, 2</w:t>
      </w:r>
      <w:r w:rsidR="00EA1C97">
        <w:t> (</w:t>
      </w:r>
      <w:r w:rsidRPr="00421345">
        <w:t>с), 2</w:t>
      </w:r>
      <w:r w:rsidR="00EA1C97">
        <w:t> (</w:t>
      </w:r>
      <w:r w:rsidRPr="00421345">
        <w:rPr>
          <w:lang w:val="en-US"/>
        </w:rPr>
        <w:t>d</w:t>
      </w:r>
      <w:r w:rsidRPr="00421345">
        <w:t>) и 3 Конвенции. Остальная часть сообщения автора касается предполагаемых нарушений Пакта, а не Конвенции. По этой причине госуда</w:t>
      </w:r>
      <w:r w:rsidRPr="00421345">
        <w:t>р</w:t>
      </w:r>
      <w:r w:rsidRPr="00421345">
        <w:t>ство-участник утверждает, что сообщение должно быть также объявлено н</w:t>
      </w:r>
      <w:r w:rsidRPr="00421345">
        <w:t>е</w:t>
      </w:r>
      <w:r w:rsidRPr="00421345">
        <w:t>приемлемым согласно статье 4</w:t>
      </w:r>
      <w:r w:rsidR="00EA1C97">
        <w:t> (</w:t>
      </w:r>
      <w:r w:rsidRPr="00421345">
        <w:t>2)</w:t>
      </w:r>
      <w:r w:rsidR="00EA1C97">
        <w:t> (</w:t>
      </w:r>
      <w:r w:rsidRPr="00421345">
        <w:rPr>
          <w:lang w:val="en-US"/>
        </w:rPr>
        <w:t>c</w:t>
      </w:r>
      <w:r w:rsidRPr="00421345">
        <w:t xml:space="preserve">) </w:t>
      </w:r>
      <w:r w:rsidRPr="00421345">
        <w:rPr>
          <w:bCs/>
        </w:rPr>
        <w:t>Факультативного протокола как недост</w:t>
      </w:r>
      <w:r w:rsidRPr="00421345">
        <w:rPr>
          <w:bCs/>
        </w:rPr>
        <w:t>а</w:t>
      </w:r>
      <w:r w:rsidRPr="00421345">
        <w:rPr>
          <w:bCs/>
        </w:rPr>
        <w:t>точно обоснованное</w:t>
      </w:r>
      <w:r w:rsidRPr="00421345">
        <w:t>.</w:t>
      </w:r>
    </w:p>
    <w:p w:rsidR="00421345" w:rsidRPr="00421345" w:rsidRDefault="00421345" w:rsidP="00421345">
      <w:pPr>
        <w:pStyle w:val="SingleTxt"/>
      </w:pPr>
      <w:r w:rsidRPr="00421345">
        <w:t>4.12</w:t>
      </w:r>
      <w:r w:rsidRPr="00421345">
        <w:tab/>
      </w:r>
      <w:r w:rsidRPr="00421345">
        <w:rPr>
          <w:bCs/>
        </w:rPr>
        <w:t>Поскольку в силу причин, изложенных в пунктах 4.5−4.9 выше, возвращение автора в Уганду не может повлечь за собой ответственность госуда</w:t>
      </w:r>
      <w:r w:rsidRPr="00421345">
        <w:rPr>
          <w:bCs/>
        </w:rPr>
        <w:t>р</w:t>
      </w:r>
      <w:r w:rsidRPr="00421345">
        <w:rPr>
          <w:bCs/>
        </w:rPr>
        <w:t>ства-участника по Конвенции, утверждается, что в данном случае не произойдет н</w:t>
      </w:r>
      <w:r w:rsidRPr="00421345">
        <w:rPr>
          <w:bCs/>
        </w:rPr>
        <w:t>а</w:t>
      </w:r>
      <w:r w:rsidRPr="00421345">
        <w:rPr>
          <w:bCs/>
        </w:rPr>
        <w:t>рушения Конвенции.</w:t>
      </w:r>
    </w:p>
    <w:p w:rsidR="00421345" w:rsidRPr="00EA1C97" w:rsidRDefault="00421345" w:rsidP="00EA1C97">
      <w:pPr>
        <w:pStyle w:val="SingleTxt"/>
        <w:spacing w:after="0" w:line="240" w:lineRule="auto"/>
        <w:ind w:left="1264" w:right="1264"/>
      </w:pPr>
    </w:p>
    <w:p w:rsidR="00421345" w:rsidRPr="00EA1C97" w:rsidRDefault="00421345" w:rsidP="00EA1C97">
      <w:pPr>
        <w:pStyle w:val="H1"/>
        <w:spacing w:line="240" w:lineRule="auto"/>
        <w:ind w:left="1264" w:right="1264"/>
        <w:rPr>
          <w:w w:val="100"/>
          <w:kern w:val="0"/>
          <w:sz w:val="20"/>
          <w:lang w:val="ru-RU"/>
        </w:rPr>
      </w:pPr>
      <w:r w:rsidRPr="00EA1C97">
        <w:rPr>
          <w:w w:val="100"/>
          <w:kern w:val="0"/>
          <w:sz w:val="20"/>
          <w:lang w:val="ru-RU"/>
        </w:rPr>
        <w:tab/>
      </w:r>
      <w:r w:rsidRPr="00EA1C97">
        <w:rPr>
          <w:w w:val="100"/>
          <w:kern w:val="0"/>
          <w:sz w:val="20"/>
          <w:lang w:val="ru-RU"/>
        </w:rPr>
        <w:tab/>
        <w:t>Комментарии автора к замечаниям государства-участника</w:t>
      </w:r>
    </w:p>
    <w:p w:rsidR="00421345" w:rsidRPr="00EA1C97" w:rsidRDefault="00421345" w:rsidP="00EA1C97">
      <w:pPr>
        <w:pStyle w:val="SingleTxt"/>
        <w:spacing w:after="0" w:line="240" w:lineRule="auto"/>
        <w:ind w:left="1264" w:right="1264"/>
      </w:pPr>
    </w:p>
    <w:p w:rsidR="00421345" w:rsidRPr="00421345" w:rsidRDefault="00421345" w:rsidP="00421345">
      <w:pPr>
        <w:pStyle w:val="SingleTxt"/>
      </w:pPr>
      <w:r w:rsidRPr="00421345">
        <w:t>5.1</w:t>
      </w:r>
      <w:r w:rsidRPr="00421345">
        <w:tab/>
        <w:t>17 февраля 2012</w:t>
      </w:r>
      <w:r>
        <w:t> год</w:t>
      </w:r>
      <w:r w:rsidRPr="00421345">
        <w:t>а автор представила комментарии к замечаниям гос</w:t>
      </w:r>
      <w:r w:rsidRPr="00421345">
        <w:t>у</w:t>
      </w:r>
      <w:r w:rsidRPr="00421345">
        <w:t>дарства-участника о приемлемости сообщения и его существа. Она утверждает, что определение гендерной дискриминации, указанное в статье 1 Конвенции, следует толковать в контексте действующих договоров по правам человека, о</w:t>
      </w:r>
      <w:r w:rsidRPr="00421345">
        <w:t>д</w:t>
      </w:r>
      <w:r w:rsidRPr="00421345">
        <w:t>нако с учетом необходимости дополнительной защиты женщин от конкретных форм гендерной дискриминации.</w:t>
      </w:r>
    </w:p>
    <w:p w:rsidR="00421345" w:rsidRPr="00421345" w:rsidRDefault="00421345" w:rsidP="00421345">
      <w:pPr>
        <w:pStyle w:val="SingleTxt"/>
      </w:pPr>
      <w:r w:rsidRPr="00421345">
        <w:t>5.2</w:t>
      </w:r>
      <w:r w:rsidRPr="00421345">
        <w:tab/>
        <w:t xml:space="preserve">Автор утверждает, что в своем шестом периодическом докладе Комитету государство-участник сослалось на тот факт, что </w:t>
      </w:r>
      <w:r w:rsidR="00B41B68">
        <w:t>"</w:t>
      </w:r>
      <w:r w:rsidRPr="00421345">
        <w:t>было отменено положение о так называемой двойной уголовной ответственности в связи с практикой калечащих операций на половых органах женщин</w:t>
      </w:r>
      <w:r w:rsidR="00B41B68">
        <w:t>"</w:t>
      </w:r>
      <w:r w:rsidRPr="00421345">
        <w:t xml:space="preserve">, благодаря чему </w:t>
      </w:r>
      <w:r w:rsidR="00B41B68">
        <w:t>"</w:t>
      </w:r>
      <w:r w:rsidRPr="00421345">
        <w:t>теперь появилась возможность наказывать граждан Дании, а также лиц, проживающих в Дании, которые производят или содействуют проведению таких калечащих операций за границей, даже если эта практика не считается преступлением в той стране, где производилась такая операция</w:t>
      </w:r>
      <w:r w:rsidR="00B41B68">
        <w:t>"</w:t>
      </w:r>
      <w:r w:rsidRPr="00421345">
        <w:rPr>
          <w:vertAlign w:val="superscript"/>
        </w:rPr>
        <w:footnoteReference w:customMarkFollows="1" w:id="14"/>
        <w:t>13</w:t>
      </w:r>
      <w:r w:rsidRPr="00421345">
        <w:t>. Она добавляет, что уже по состоянию на май 2003</w:t>
      </w:r>
      <w:r>
        <w:t> год</w:t>
      </w:r>
      <w:r w:rsidRPr="00421345">
        <w:t>а Дания распространяла на калечащие операции на женских половых органах принцип экстерриториальности согласно разделу 245</w:t>
      </w:r>
      <w:r w:rsidR="00EA1C97">
        <w:t> (</w:t>
      </w:r>
      <w:r w:rsidRPr="00421345">
        <w:rPr>
          <w:lang w:val="en-US"/>
        </w:rPr>
        <w:t>a</w:t>
      </w:r>
      <w:r w:rsidRPr="00421345">
        <w:t>) Уголовного кодекса.</w:t>
      </w:r>
    </w:p>
    <w:p w:rsidR="00421345" w:rsidRPr="00421345" w:rsidRDefault="00421345" w:rsidP="00421345">
      <w:pPr>
        <w:pStyle w:val="SingleTxt"/>
      </w:pPr>
      <w:r w:rsidRPr="00421345">
        <w:t>5.3</w:t>
      </w:r>
      <w:r w:rsidRPr="00421345">
        <w:tab/>
        <w:t>Автор отмечает, что Комитет принял Общую рекомендацию № 19 о насилии в отношении женщин и рассмотрел ряд индивидуальных сообщений, решения по которым могли бы стать руководством при рассмотрении настоящего сообщения</w:t>
      </w:r>
      <w:r w:rsidRPr="00421345">
        <w:rPr>
          <w:vertAlign w:val="superscript"/>
        </w:rPr>
        <w:footnoteReference w:customMarkFollows="1" w:id="15"/>
        <w:t>14</w:t>
      </w:r>
      <w:r w:rsidRPr="00421345">
        <w:t>. Автор утверждает, что использование калечащих операций на женских половых органах является формой угрозы здоровью женщины и что по этой причине данный вопрос подпадает под статью 12 Конвенции. Она добавляет, что в связи с этим соответствующими положениями Конвенции являются статьи 1, 2</w:t>
      </w:r>
      <w:r w:rsidR="00EA1C97">
        <w:t> (</w:t>
      </w:r>
      <w:r w:rsidRPr="00421345">
        <w:t>с)</w:t>
      </w:r>
      <w:r w:rsidR="00EA1C97">
        <w:t>–</w:t>
      </w:r>
      <w:r w:rsidRPr="00421345">
        <w:t>2</w:t>
      </w:r>
      <w:r w:rsidR="00EA1C97">
        <w:t> (</w:t>
      </w:r>
      <w:r w:rsidRPr="00421345">
        <w:rPr>
          <w:lang w:val="en-US"/>
        </w:rPr>
        <w:t>f</w:t>
      </w:r>
      <w:r w:rsidRPr="00421345">
        <w:t>), 5</w:t>
      </w:r>
      <w:r w:rsidR="00EA1C97">
        <w:t> (</w:t>
      </w:r>
      <w:r w:rsidRPr="00421345">
        <w:t>а), 12 и 16</w:t>
      </w:r>
      <w:r w:rsidR="00EA1C97">
        <w:t> (</w:t>
      </w:r>
      <w:r w:rsidRPr="00421345">
        <w:t>1), а также Общая рекомендация № 19, которые дополняют ряд положений других договоров по правам человека, которые одинаково применимы как к мужчинам, так и женщинам.</w:t>
      </w:r>
    </w:p>
    <w:p w:rsidR="00421345" w:rsidRPr="00421345" w:rsidRDefault="00421345" w:rsidP="00421345">
      <w:pPr>
        <w:pStyle w:val="SingleTxt"/>
      </w:pPr>
      <w:r w:rsidRPr="00421345">
        <w:t>5.4</w:t>
      </w:r>
      <w:r w:rsidRPr="00421345">
        <w:tab/>
        <w:t xml:space="preserve">Автор утверждает, что вопрос, рассматриваемый Комитетом, заключается в том, имеет ли Конвенция экстерриториальное действие аналогично статье 3 Конвенции против пыток и других жестоких, бесчеловечных или унижающих достоинство видов обращения или наказания (Конвенция против пыток) и статье 7 Пакта. Иными словами, автор спрашивает, существует ли у государства-участника </w:t>
      </w:r>
      <w:r w:rsidR="00B41B68">
        <w:t>"</w:t>
      </w:r>
      <w:r w:rsidRPr="00421345">
        <w:t>позитивное</w:t>
      </w:r>
      <w:r w:rsidR="00B41B68">
        <w:t>"</w:t>
      </w:r>
      <w:r w:rsidRPr="00421345">
        <w:t xml:space="preserve"> обязательство обеспечивать эффективную защиту права женщины на личную неприкосновенность в случае, если угроза этой женщине находится в другой стране или стране происхождения, где не обеспечивается такая защита. Автор отмечает также, что этот вопрос уже поднимался в ряде сообщений, в которых авторы утверждали, что их высылка в соответствующие страны происхождения явится нарушением Конвенции</w:t>
      </w:r>
      <w:r w:rsidRPr="00421345">
        <w:rPr>
          <w:vertAlign w:val="superscript"/>
        </w:rPr>
        <w:footnoteReference w:customMarkFollows="1" w:id="16"/>
        <w:t>15</w:t>
      </w:r>
      <w:r w:rsidRPr="00421345">
        <w:t>. Поскольку все эти сообщения были объявлены неприемлемыми по основаниям, не относящимся к экстерриториальной применимости Конвенции, Комитету еще предстоит публично огласить свою позицию по этому вопросу. Тем не менее в этой связи автор отмечает, что по ряду этих сообщений Комитет просил государства-участники принять временные меры</w:t>
      </w:r>
      <w:r w:rsidRPr="00421345">
        <w:rPr>
          <w:vertAlign w:val="superscript"/>
        </w:rPr>
        <w:footnoteReference w:customMarkFollows="1" w:id="17"/>
        <w:t>16</w:t>
      </w:r>
      <w:r w:rsidRPr="00421345">
        <w:t>, что, возможно, позволяет допустить наличие у Комитета мнения, согласно которому такие меры могут использоваться в исключительных случаях [в случаях высылки], связанных с риском применения пыток или бесчеловечного обращения в отношении автора по его возвращении.</w:t>
      </w:r>
    </w:p>
    <w:p w:rsidR="00421345" w:rsidRPr="00421345" w:rsidRDefault="00421345" w:rsidP="00421345">
      <w:pPr>
        <w:pStyle w:val="SingleTxt"/>
      </w:pPr>
      <w:r w:rsidRPr="00421345">
        <w:t>5.5</w:t>
      </w:r>
      <w:r w:rsidRPr="00421345">
        <w:tab/>
        <w:t>Автор обращает внимание Комитета на тот факт, что в отличие от Европейской конвенции по правам человека данная Конвенция не была прямо инкорпорирована в качестве законодательной нормы во внутреннее право государства-участника</w:t>
      </w:r>
      <w:r w:rsidRPr="00421345">
        <w:rPr>
          <w:vertAlign w:val="superscript"/>
        </w:rPr>
        <w:footnoteReference w:customMarkFollows="1" w:id="18"/>
        <w:t>17</w:t>
      </w:r>
      <w:r w:rsidRPr="00421345">
        <w:t>. Она добавляет, что неинкорпорирование государством-участником договоров Организации Объединенных Наций по правам человека в свою правовую систему создает крайнюю неопределенность в отношении правового статуса решений, принимаемых договорными органами по правам человека в рамках процедуры рассмотрения индивидуальных сообщений.</w:t>
      </w:r>
    </w:p>
    <w:p w:rsidR="00421345" w:rsidRPr="00421345" w:rsidRDefault="00421345" w:rsidP="00421345">
      <w:pPr>
        <w:pStyle w:val="SingleTxt"/>
      </w:pPr>
      <w:r w:rsidRPr="00421345">
        <w:t>5.6</w:t>
      </w:r>
      <w:r w:rsidRPr="00421345">
        <w:tab/>
        <w:t>По поводу довода государства-участника о том, что настоящее сообщение является неприемлемым согласно статье 4</w:t>
      </w:r>
      <w:r w:rsidR="00EA1C97">
        <w:t> (</w:t>
      </w:r>
      <w:r w:rsidRPr="00421345">
        <w:t>2)</w:t>
      </w:r>
      <w:r w:rsidR="00EA1C97">
        <w:t> (</w:t>
      </w:r>
      <w:r w:rsidRPr="00421345">
        <w:rPr>
          <w:lang w:val="en-US"/>
        </w:rPr>
        <w:t>a</w:t>
      </w:r>
      <w:r w:rsidRPr="00421345">
        <w:t>) Факультативного протокола, автор утверждает, что оно не рассматривалось в рамках другой процедуры международного расследования или урегулирования. Автор отмечает, что ее первое сообщение действительно было направлено Комитету по правам чел</w:t>
      </w:r>
      <w:r w:rsidRPr="00421345">
        <w:t>о</w:t>
      </w:r>
      <w:r w:rsidRPr="00421345">
        <w:t>века, но оно не было зарегистрировано в качестве официального сообщения (</w:t>
      </w:r>
      <w:r w:rsidR="00EA1C97">
        <w:t xml:space="preserve">т. е. </w:t>
      </w:r>
      <w:r w:rsidRPr="00421345">
        <w:t>ему не был присвоен номер), и поэтому оно так и не было рассмотрено. С учетом этого автор утверждает, что статья 4</w:t>
      </w:r>
      <w:r w:rsidR="00EA1C97">
        <w:t> (</w:t>
      </w:r>
      <w:r w:rsidRPr="00421345">
        <w:t>2)</w:t>
      </w:r>
      <w:r w:rsidR="00EA1C97">
        <w:t> (</w:t>
      </w:r>
      <w:r w:rsidRPr="00421345">
        <w:rPr>
          <w:lang w:val="en-US"/>
        </w:rPr>
        <w:t>a</w:t>
      </w:r>
      <w:r w:rsidRPr="00421345">
        <w:t>) Факультативного протокола не пр</w:t>
      </w:r>
      <w:r w:rsidRPr="00421345">
        <w:t>и</w:t>
      </w:r>
      <w:r w:rsidRPr="00421345">
        <w:t>менима к рассматриваемой ситуации</w:t>
      </w:r>
      <w:r w:rsidRPr="00421345">
        <w:rPr>
          <w:rStyle w:val="FootnoteReference"/>
          <w:spacing w:val="0"/>
          <w:w w:val="100"/>
          <w:position w:val="0"/>
        </w:rPr>
        <w:footnoteReference w:customMarkFollows="1" w:id="19"/>
        <w:t>18</w:t>
      </w:r>
      <w:r w:rsidRPr="00421345">
        <w:t>.</w:t>
      </w:r>
    </w:p>
    <w:p w:rsidR="00421345" w:rsidRPr="00421345" w:rsidRDefault="00421345" w:rsidP="00421345">
      <w:pPr>
        <w:pStyle w:val="SingleTxt"/>
      </w:pPr>
      <w:r w:rsidRPr="00421345">
        <w:t>5.7</w:t>
      </w:r>
      <w:r w:rsidRPr="00421345">
        <w:tab/>
        <w:t xml:space="preserve">По поводу доводов государства-участника в отношении </w:t>
      </w:r>
      <w:r w:rsidRPr="00421345">
        <w:rPr>
          <w:lang w:val="en-US"/>
        </w:rPr>
        <w:t>ratione</w:t>
      </w:r>
      <w:r w:rsidRPr="00421345">
        <w:t xml:space="preserve"> </w:t>
      </w:r>
      <w:r w:rsidRPr="00421345">
        <w:rPr>
          <w:lang w:val="en-US"/>
        </w:rPr>
        <w:t>loci</w:t>
      </w:r>
      <w:r w:rsidRPr="00421345">
        <w:t xml:space="preserve"> и </w:t>
      </w:r>
      <w:r w:rsidRPr="00421345">
        <w:rPr>
          <w:lang w:val="en-US"/>
        </w:rPr>
        <w:t>ratione</w:t>
      </w:r>
      <w:r w:rsidRPr="00421345">
        <w:t xml:space="preserve"> </w:t>
      </w:r>
      <w:r w:rsidRPr="00421345">
        <w:rPr>
          <w:lang w:val="en-US"/>
        </w:rPr>
        <w:t>materiae</w:t>
      </w:r>
      <w:r w:rsidRPr="00421345">
        <w:t xml:space="preserve"> с учетом статьи 2 Факультативного протокола автор вновь зая</w:t>
      </w:r>
      <w:r w:rsidRPr="00421345">
        <w:t>в</w:t>
      </w:r>
      <w:r w:rsidRPr="00421345">
        <w:t>ляет о своих опасениях относительного того, что ее принудительная высылка из Дании в Уганду приведет к тому, что она подвергнется калечащей операции на женских половых органах и при этом не получит какой-либо защиты со ст</w:t>
      </w:r>
      <w:r w:rsidRPr="00421345">
        <w:t>о</w:t>
      </w:r>
      <w:r w:rsidRPr="00421345">
        <w:t>роны властей Уганды. Она напоминает о доводе государства-участника, с</w:t>
      </w:r>
      <w:r w:rsidRPr="00421345">
        <w:t>о</w:t>
      </w:r>
      <w:r w:rsidRPr="00421345">
        <w:t>гласно которому оно не несет ответственности по Конвенции за любые ее нарушения, включая проведение калечащих операций на женских половых о</w:t>
      </w:r>
      <w:r w:rsidRPr="00421345">
        <w:t>р</w:t>
      </w:r>
      <w:r w:rsidRPr="00421345">
        <w:t xml:space="preserve">ганах, которые могут совершаться в другой стране. Ссылаясь на правовую практику Комитета против пыток и Комитета по правам человека, а также на прецедентное право Европейского суда по правам человека, автор утверждает, что в соответствии с международным правом </w:t>
      </w:r>
      <w:r w:rsidR="00B41B68">
        <w:t>"</w:t>
      </w:r>
      <w:r w:rsidRPr="00421345">
        <w:t>исключительные обстоятел</w:t>
      </w:r>
      <w:r w:rsidRPr="00421345">
        <w:t>ь</w:t>
      </w:r>
      <w:r w:rsidRPr="00421345">
        <w:t>ства, [когда] действия государств-участников, приводящие к возникновению последствий в других государствах, являются причиной возникновения отве</w:t>
      </w:r>
      <w:r w:rsidRPr="00421345">
        <w:t>т</w:t>
      </w:r>
      <w:r w:rsidRPr="00421345">
        <w:t>ственности предпринимающего действия государства-участника</w:t>
      </w:r>
      <w:r w:rsidR="00B41B68">
        <w:t>"</w:t>
      </w:r>
      <w:r w:rsidRPr="00421345">
        <w:t xml:space="preserve"> (см. пункт 4.6), наступают, </w:t>
      </w:r>
      <w:r w:rsidR="00B41B68">
        <w:t>"</w:t>
      </w:r>
      <w:r w:rsidRPr="00421345">
        <w:t>если к числу таких последствий относятся пытки или бесч</w:t>
      </w:r>
      <w:r w:rsidRPr="00421345">
        <w:t>е</w:t>
      </w:r>
      <w:r w:rsidRPr="00421345">
        <w:t>ловечное обращение, а также другие серьезные нарушения прав человека</w:t>
      </w:r>
      <w:r w:rsidR="00B41B68">
        <w:t>"</w:t>
      </w:r>
      <w:r w:rsidRPr="00421345">
        <w:t>.</w:t>
      </w:r>
    </w:p>
    <w:p w:rsidR="00421345" w:rsidRPr="00421345" w:rsidRDefault="00421345" w:rsidP="00421345">
      <w:pPr>
        <w:pStyle w:val="SingleTxt"/>
      </w:pPr>
      <w:r w:rsidRPr="00421345">
        <w:t>5.8</w:t>
      </w:r>
      <w:r w:rsidRPr="00421345">
        <w:tab/>
        <w:t>Автор утверждает, что, поскольку она опасается, что будет подвергнута калечащей операции на женских половых органах по возвращении в свою страну происхождения, требование относительно исключительных обстоятел</w:t>
      </w:r>
      <w:r w:rsidRPr="00421345">
        <w:t>ь</w:t>
      </w:r>
      <w:r w:rsidRPr="00421345">
        <w:t>ств удовлетворено. В силу этого попытка государства-участника свести ее с</w:t>
      </w:r>
      <w:r w:rsidRPr="00421345">
        <w:t>о</w:t>
      </w:r>
      <w:r w:rsidRPr="00421345">
        <w:t xml:space="preserve">общение к вопросу о гендерной дискриминации, подпадающей под статью 1 Конвенции, </w:t>
      </w:r>
      <w:r w:rsidR="00EA1C97">
        <w:t xml:space="preserve">т. е. </w:t>
      </w:r>
      <w:r w:rsidRPr="00421345">
        <w:t>к менее тяжкой форме нарушений прав человека, должна быть отклонена Комитетом. Кроме того, она отмечает, что калечащие операции на женских половых органах являются серьезным нарушением прав человека, равнозначным пыткам и бесчеловечному обращению, и что ситуация усугубл</w:t>
      </w:r>
      <w:r w:rsidRPr="00421345">
        <w:t>я</w:t>
      </w:r>
      <w:r w:rsidRPr="00421345">
        <w:t>ется отсутствием в Уганде защиты со стороны закона. Автор утверждает также, что ее аргументы подкрепляются тем, что Комитет уже просил государство-участник принять временные меры в связи с настоящим сообщением.</w:t>
      </w:r>
    </w:p>
    <w:p w:rsidR="00421345" w:rsidRPr="00421345" w:rsidRDefault="00421345" w:rsidP="00421345">
      <w:pPr>
        <w:pStyle w:val="SingleTxt"/>
      </w:pPr>
      <w:r w:rsidRPr="00421345">
        <w:t>5.9</w:t>
      </w:r>
      <w:r w:rsidRPr="00421345">
        <w:tab/>
        <w:t>Автор далее отмечает, что установление уголовной ответственности за калечащие операции на женских половых органах в законодательстве госуда</w:t>
      </w:r>
      <w:r w:rsidRPr="00421345">
        <w:t>р</w:t>
      </w:r>
      <w:r w:rsidRPr="00421345">
        <w:t>ства-участника, судя по всему, также отражает возможность применения пол</w:t>
      </w:r>
      <w:r w:rsidRPr="00421345">
        <w:t>о</w:t>
      </w:r>
      <w:r w:rsidRPr="00421345">
        <w:t>жения об исключительных обстоятельствах. Согласно разделу 245</w:t>
      </w:r>
      <w:r w:rsidR="00EA1C97">
        <w:t> (</w:t>
      </w:r>
      <w:r w:rsidRPr="00421345">
        <w:rPr>
          <w:lang w:val="en-US"/>
        </w:rPr>
        <w:t>a</w:t>
      </w:r>
      <w:r w:rsidRPr="00421345">
        <w:t>) Уголовн</w:t>
      </w:r>
      <w:r w:rsidRPr="00421345">
        <w:t>о</w:t>
      </w:r>
      <w:r w:rsidRPr="00421345">
        <w:t>го кодекса калечащие операции на женских половых органах являются серье</w:t>
      </w:r>
      <w:r w:rsidRPr="00421345">
        <w:t>з</w:t>
      </w:r>
      <w:r w:rsidRPr="00421345">
        <w:t>ной формой насилия, наказуемой тюремным заключением сроком до шести лет. Кроме того, государство-участник также предусмотрело уголовное наказание за проведение калечащих операций на женских половых органах в других странах, даже в тех случаях, когда они являются законными в этой конкретной стране. Из этого автор делает вывод о том, что доводы государства-участника в пользу объявления сообщения неприемлемым согласно статье 2 Факультати</w:t>
      </w:r>
      <w:r w:rsidRPr="00421345">
        <w:t>в</w:t>
      </w:r>
      <w:r w:rsidRPr="00421345">
        <w:t>ного протокола противоречат законодательству и практике Дании в области к</w:t>
      </w:r>
      <w:r w:rsidRPr="00421345">
        <w:t>а</w:t>
      </w:r>
      <w:r w:rsidRPr="00421345">
        <w:t>лечащих операций на женских половых органах.</w:t>
      </w:r>
    </w:p>
    <w:p w:rsidR="00421345" w:rsidRPr="00421345" w:rsidRDefault="00421345" w:rsidP="00421345">
      <w:pPr>
        <w:pStyle w:val="SingleTxt"/>
      </w:pPr>
      <w:r w:rsidRPr="00421345">
        <w:t>5.10</w:t>
      </w:r>
      <w:r w:rsidRPr="00421345">
        <w:tab/>
        <w:t>По вопросу об исчерпании внутренних средств правовой защиты автор отмечает, что государство-участник не утверждает, что решение Комиссии по рассмотрению апелляционных жалоб беженцев следовало обжаловать в суде или в любой другой более высокой инстанции в Дании. Она указывает, что в</w:t>
      </w:r>
      <w:r w:rsidRPr="00421345">
        <w:t>о</w:t>
      </w:r>
      <w:r w:rsidRPr="00421345">
        <w:t>прос о гендерном насилии поднимался ею в ходе рассмотрения ее дела о предоставлении убежища, однако это не было отражено в решении Комиссии. В частности, ее адвокат сделал заявление о гендерном насилии в письменных замечаниях от 8</w:t>
      </w:r>
      <w:r w:rsidR="0011364E">
        <w:t> </w:t>
      </w:r>
      <w:r w:rsidRPr="00421345">
        <w:t>февраля 2009</w:t>
      </w:r>
      <w:r>
        <w:t> год</w:t>
      </w:r>
      <w:r w:rsidRPr="00421345">
        <w:t>а для Комиссии. Затем в ходе состоявшихся 9 ноября 2009</w:t>
      </w:r>
      <w:r>
        <w:t> год</w:t>
      </w:r>
      <w:r w:rsidRPr="00421345">
        <w:t>а слушаний в Комиссии ее адвокат процитировал Конвенцию и привел аргументацию, касавшуюся гендерного насилия, которая, однако, оказалась безрезультатной, поскольку ходатайство автора о предоставлении убежища было отклонено. Автор утверждает, что государство-участник неопра</w:t>
      </w:r>
      <w:r w:rsidRPr="00421345">
        <w:t>в</w:t>
      </w:r>
      <w:r w:rsidRPr="00421345">
        <w:t>данно пользуется тем, что Комиссия не отразила ее утверждение по поводу гендерного насилия, пытаясь тем самым обосновать свое заявление о неисче</w:t>
      </w:r>
      <w:r w:rsidRPr="00421345">
        <w:t>р</w:t>
      </w:r>
      <w:r w:rsidRPr="00421345">
        <w:t>пании внутренних средств правовой защиты.</w:t>
      </w:r>
    </w:p>
    <w:p w:rsidR="00421345" w:rsidRPr="00421345" w:rsidRDefault="00421345" w:rsidP="00421345">
      <w:pPr>
        <w:pStyle w:val="SingleTxt"/>
      </w:pPr>
      <w:r w:rsidRPr="00421345">
        <w:t>5.11</w:t>
      </w:r>
      <w:r w:rsidRPr="00421345">
        <w:tab/>
        <w:t>В отношении заявления государства-участника о том, что сообщение следует объявить неприемлемым согласно статье 4</w:t>
      </w:r>
      <w:r w:rsidR="00EA1C97">
        <w:t> (</w:t>
      </w:r>
      <w:r w:rsidRPr="00421345">
        <w:t>2)</w:t>
      </w:r>
      <w:r w:rsidR="00EA1C97">
        <w:t> (</w:t>
      </w:r>
      <w:r w:rsidRPr="00421345">
        <w:t>с) Факультативного протокола, автор приводит ссылку на Общую рекомендацию № 19 Комитета о нас</w:t>
      </w:r>
      <w:r w:rsidRPr="00421345">
        <w:t>и</w:t>
      </w:r>
      <w:r w:rsidRPr="00421345">
        <w:t>лии в отношении женщин. Она отмечает также, что само государство-участник считает, что насилие в отношении женщин, включая калечащие операции на женских половых органах, подпадает под сферу действия статьи 12 Конве</w:t>
      </w:r>
      <w:r w:rsidRPr="00421345">
        <w:t>н</w:t>
      </w:r>
      <w:r w:rsidRPr="00421345">
        <w:t>ции</w:t>
      </w:r>
      <w:r w:rsidRPr="00421345">
        <w:rPr>
          <w:rStyle w:val="FootnoteReference"/>
          <w:spacing w:val="0"/>
          <w:w w:val="100"/>
          <w:position w:val="0"/>
        </w:rPr>
        <w:footnoteReference w:customMarkFollows="1" w:id="20"/>
        <w:t>19</w:t>
      </w:r>
      <w:r w:rsidRPr="00421345">
        <w:t>. Автор утверждает, что государству-участнику прекрасно известно, что калечащие операции на женских половых органах подпадают под действие Конвенции, и в этой связи в дополнение к заявленным ранее в ее сообщении Комитету утверждениям она ссылается на нарушение статьи 12 Ко</w:t>
      </w:r>
      <w:r w:rsidRPr="00421345">
        <w:t>н</w:t>
      </w:r>
      <w:r w:rsidRPr="00421345">
        <w:t>венции.</w:t>
      </w:r>
    </w:p>
    <w:p w:rsidR="00421345" w:rsidRPr="00421345" w:rsidRDefault="00421345" w:rsidP="00421345">
      <w:pPr>
        <w:pStyle w:val="SingleTxt"/>
      </w:pPr>
      <w:r w:rsidRPr="00421345">
        <w:t>5.12</w:t>
      </w:r>
      <w:r w:rsidRPr="00421345">
        <w:tab/>
        <w:t xml:space="preserve">заключение автор ссылается на решение Комитета по сообщению </w:t>
      </w:r>
      <w:r w:rsidRPr="00421345">
        <w:rPr>
          <w:i/>
        </w:rPr>
        <w:t>Н.С.Ф. против Соединенного Королевства Великобритании и Северной Ирла</w:t>
      </w:r>
      <w:r w:rsidRPr="00421345">
        <w:rPr>
          <w:i/>
        </w:rPr>
        <w:t>н</w:t>
      </w:r>
      <w:r w:rsidRPr="00421345">
        <w:rPr>
          <w:i/>
        </w:rPr>
        <w:t>дии</w:t>
      </w:r>
      <w:r w:rsidRPr="00421345">
        <w:rPr>
          <w:rStyle w:val="FootnoteReference"/>
          <w:spacing w:val="0"/>
          <w:w w:val="100"/>
          <w:position w:val="0"/>
        </w:rPr>
        <w:footnoteReference w:customMarkFollows="1" w:id="21"/>
        <w:t>20</w:t>
      </w:r>
      <w:r w:rsidRPr="00421345">
        <w:t xml:space="preserve"> и утверждает, что правовая практика Комитета по вопросу о приемлем</w:t>
      </w:r>
      <w:r w:rsidRPr="00421345">
        <w:t>о</w:t>
      </w:r>
      <w:r w:rsidRPr="00421345">
        <w:t>сти сообщений указывает на отсутствие необходимости ссылаться на конкре</w:t>
      </w:r>
      <w:r w:rsidRPr="00421345">
        <w:t>т</w:t>
      </w:r>
      <w:r w:rsidRPr="00421345">
        <w:t>ные положения Конвенции и приводить факты, демонстрирующие, каким обр</w:t>
      </w:r>
      <w:r w:rsidRPr="00421345">
        <w:t>а</w:t>
      </w:r>
      <w:r w:rsidRPr="00421345">
        <w:t>зом Конвенция могла быть нарушена.</w:t>
      </w:r>
    </w:p>
    <w:p w:rsidR="00421345" w:rsidRPr="00421345" w:rsidRDefault="00421345" w:rsidP="00421345">
      <w:pPr>
        <w:pStyle w:val="SingleTxt"/>
      </w:pPr>
      <w:r w:rsidRPr="00421345">
        <w:t>5.13</w:t>
      </w:r>
      <w:r w:rsidRPr="00421345">
        <w:tab/>
        <w:t>12 марта 2012</w:t>
      </w:r>
      <w:r>
        <w:t> год</w:t>
      </w:r>
      <w:r w:rsidRPr="00421345">
        <w:t>а автор представила дополнительные комментарии к замечаниям государства-участника. По поводу аргументации Комиссии по ра</w:t>
      </w:r>
      <w:r w:rsidRPr="00421345">
        <w:t>с</w:t>
      </w:r>
      <w:r w:rsidRPr="00421345">
        <w:t>смотрению апелляционных жалоб беженцев (см. пункт 4.2) она утверждает, что безуспешность попыток ее отца в прошлом добиться проведения ее обрезания не является свидетельством того, что он не проявил бы желания сделать это в случае, если бы ему удалось найти ее. Она отмечает также, что Комиссия по рассмотрению апелляционных жалоб беженцев могла бы выдвинуть довод о том, что ей следовало бы обратиться к властям Уганды с просьбой о пред</w:t>
      </w:r>
      <w:r w:rsidRPr="00421345">
        <w:t>о</w:t>
      </w:r>
      <w:r w:rsidRPr="00421345">
        <w:t>ставлении защиты, но этот довод отсутствует в рассматриваемом решении. Тот факт, что она находилась в Дании в течение четырех месяцев до подачи заявл</w:t>
      </w:r>
      <w:r w:rsidRPr="00421345">
        <w:t>е</w:t>
      </w:r>
      <w:r w:rsidRPr="00421345">
        <w:t>ния о предоставлении убежища, не относится к оценке риска быть подвергн</w:t>
      </w:r>
      <w:r w:rsidRPr="00421345">
        <w:t>у</w:t>
      </w:r>
      <w:r w:rsidRPr="00421345">
        <w:t>той калечащей операции на женских половых органах после ее возращения в Уганду.</w:t>
      </w:r>
    </w:p>
    <w:p w:rsidR="00421345" w:rsidRPr="00421345" w:rsidRDefault="00421345" w:rsidP="00421345">
      <w:pPr>
        <w:pStyle w:val="SingleTxt"/>
      </w:pPr>
      <w:r w:rsidRPr="00421345">
        <w:t>5.14</w:t>
      </w:r>
      <w:r w:rsidRPr="00421345">
        <w:tab/>
        <w:t>Автор утверждает, что, хотя Закон о запрете калечащих операциях на женских половых органах в Уганде был принят в 2010</w:t>
      </w:r>
      <w:r>
        <w:t> год</w:t>
      </w:r>
      <w:r w:rsidRPr="00421345">
        <w:t>у, обеспечение пр</w:t>
      </w:r>
      <w:r w:rsidRPr="00421345">
        <w:t>и</w:t>
      </w:r>
      <w:r w:rsidRPr="00421345">
        <w:t>менения этого Закона до сих пор не является эффективным</w:t>
      </w:r>
      <w:r w:rsidRPr="00421345">
        <w:rPr>
          <w:rStyle w:val="FootnoteReference"/>
          <w:spacing w:val="0"/>
          <w:w w:val="100"/>
          <w:position w:val="0"/>
        </w:rPr>
        <w:footnoteReference w:customMarkFollows="1" w:id="22"/>
        <w:t>21</w:t>
      </w:r>
      <w:r w:rsidRPr="00421345">
        <w:t xml:space="preserve"> и что по-прежнему эффективная защита не предоставляется. В силу этого калечащие операции на женских половых органах по-прежнему представляют реальную угрозу для девочек и женщин, живущих в Уганде. Автор добавляет, что Коми</w:t>
      </w:r>
      <w:r w:rsidRPr="00421345">
        <w:t>с</w:t>
      </w:r>
      <w:r w:rsidRPr="00421345">
        <w:t>сия по рассмотрению апелляционных жалоб беженцев не ставила под вопрос достоверность ее утверждений (см. пункт 4.2), а, скорее, сделала вывод о том, что, поскольку ее отец в прошлом не сумел добиться ее обрезания, он не см</w:t>
      </w:r>
      <w:r w:rsidRPr="00421345">
        <w:t>о</w:t>
      </w:r>
      <w:r w:rsidRPr="00421345">
        <w:t>жет сделать это и в будущем. В</w:t>
      </w:r>
      <w:r w:rsidR="0011364E">
        <w:t> </w:t>
      </w:r>
      <w:r w:rsidRPr="00421345">
        <w:t xml:space="preserve">этой связи она утверждает, что у нее есть все основания полагать, что ее отец до сих пор желает добиться осуществления своего традиционного </w:t>
      </w:r>
      <w:r w:rsidR="00B41B68">
        <w:t>"</w:t>
      </w:r>
      <w:r w:rsidRPr="00421345">
        <w:t>права</w:t>
      </w:r>
      <w:r w:rsidR="00B41B68">
        <w:t>"</w:t>
      </w:r>
      <w:r w:rsidRPr="00421345">
        <w:t xml:space="preserve"> и что он может сделать это в случае, если найдет ее. Исходя из этого, автор заявляет, что принятое 9 ноября 2009</w:t>
      </w:r>
      <w:r>
        <w:t> год</w:t>
      </w:r>
      <w:r w:rsidRPr="00421345">
        <w:t>а решение Комиссии нарушает Конвенцию и что даже в настоящее время ее в</w:t>
      </w:r>
      <w:r w:rsidRPr="00421345">
        <w:t>ы</w:t>
      </w:r>
      <w:r w:rsidRPr="00421345">
        <w:t>сылка в Уганду явится нарушением Конвенции со стороны государства-участника.</w:t>
      </w:r>
    </w:p>
    <w:p w:rsidR="00421345" w:rsidRPr="00EB04E6" w:rsidRDefault="00421345" w:rsidP="00EB04E6">
      <w:pPr>
        <w:pStyle w:val="SingleTxt"/>
        <w:spacing w:after="0" w:line="240" w:lineRule="auto"/>
        <w:ind w:left="1264" w:right="1264"/>
      </w:pPr>
    </w:p>
    <w:p w:rsidR="00421345" w:rsidRPr="00EB04E6" w:rsidRDefault="00421345" w:rsidP="00EB04E6">
      <w:pPr>
        <w:pStyle w:val="H1"/>
        <w:spacing w:line="240" w:lineRule="auto"/>
        <w:ind w:left="1264" w:right="1264"/>
        <w:rPr>
          <w:w w:val="100"/>
          <w:kern w:val="0"/>
          <w:sz w:val="20"/>
          <w:lang w:val="ru-RU"/>
        </w:rPr>
      </w:pPr>
      <w:r w:rsidRPr="00EB04E6">
        <w:rPr>
          <w:w w:val="100"/>
          <w:kern w:val="0"/>
          <w:sz w:val="20"/>
          <w:lang w:val="ru-RU"/>
        </w:rPr>
        <w:tab/>
      </w:r>
      <w:r w:rsidRPr="00EB04E6">
        <w:rPr>
          <w:w w:val="100"/>
          <w:kern w:val="0"/>
          <w:sz w:val="20"/>
          <w:lang w:val="ru-RU"/>
        </w:rPr>
        <w:tab/>
        <w:t>Дополнительные замечания государства-участника</w:t>
      </w:r>
    </w:p>
    <w:p w:rsidR="00421345" w:rsidRPr="00EB04E6" w:rsidRDefault="00421345" w:rsidP="00EB04E6">
      <w:pPr>
        <w:pStyle w:val="SingleTxt"/>
        <w:spacing w:after="0" w:line="240" w:lineRule="auto"/>
        <w:ind w:left="1264" w:right="1264"/>
      </w:pPr>
    </w:p>
    <w:p w:rsidR="00421345" w:rsidRPr="00421345" w:rsidRDefault="00421345" w:rsidP="00421345">
      <w:pPr>
        <w:pStyle w:val="SingleTxt"/>
      </w:pPr>
      <w:r w:rsidRPr="00421345">
        <w:t>6.1</w:t>
      </w:r>
      <w:r w:rsidRPr="00421345">
        <w:tab/>
      </w:r>
      <w:r w:rsidRPr="00421345">
        <w:rPr>
          <w:bCs/>
        </w:rPr>
        <w:t>22 июня 2012</w:t>
      </w:r>
      <w:r>
        <w:rPr>
          <w:bCs/>
        </w:rPr>
        <w:t> год</w:t>
      </w:r>
      <w:r w:rsidRPr="00421345">
        <w:rPr>
          <w:bCs/>
        </w:rPr>
        <w:t>а государство-участник представило свои дополнител</w:t>
      </w:r>
      <w:r w:rsidRPr="00421345">
        <w:rPr>
          <w:bCs/>
        </w:rPr>
        <w:t>ь</w:t>
      </w:r>
      <w:r w:rsidRPr="00421345">
        <w:rPr>
          <w:bCs/>
        </w:rPr>
        <w:t>ные замечания. По вопросу об отказе от требования в отношении двойной уг</w:t>
      </w:r>
      <w:r w:rsidRPr="00421345">
        <w:rPr>
          <w:bCs/>
        </w:rPr>
        <w:t>о</w:t>
      </w:r>
      <w:r w:rsidRPr="00421345">
        <w:rPr>
          <w:bCs/>
        </w:rPr>
        <w:t>ловной ответственности за калечащие операции на женских половых органах, предусмотренного по Уголовному кодексу, государство-участник считает не относящейся к делу оценку того, имеет ли Конвенция экстерриториальное де</w:t>
      </w:r>
      <w:r w:rsidRPr="00421345">
        <w:rPr>
          <w:bCs/>
        </w:rPr>
        <w:t>й</w:t>
      </w:r>
      <w:r w:rsidRPr="00421345">
        <w:rPr>
          <w:bCs/>
        </w:rPr>
        <w:t>ствие. Национальные положения, включенные в Уголовный кодекс, не могут влиять на толкование Конвенции и ее неэкстерриториальное действие. Отход от нормы двойной уголовной ответственности, предусмотренной в разд</w:t>
      </w:r>
      <w:r w:rsidRPr="00421345">
        <w:rPr>
          <w:bCs/>
        </w:rPr>
        <w:t>е</w:t>
      </w:r>
      <w:r w:rsidRPr="00421345">
        <w:rPr>
          <w:bCs/>
        </w:rPr>
        <w:t>ле 7</w:t>
      </w:r>
      <w:r w:rsidR="00EA1C97">
        <w:rPr>
          <w:bCs/>
        </w:rPr>
        <w:t> (</w:t>
      </w:r>
      <w:r w:rsidRPr="00421345">
        <w:rPr>
          <w:bCs/>
        </w:rPr>
        <w:t>1)</w:t>
      </w:r>
      <w:r w:rsidR="00EA1C97">
        <w:rPr>
          <w:bCs/>
        </w:rPr>
        <w:t> (</w:t>
      </w:r>
      <w:r w:rsidRPr="00421345">
        <w:rPr>
          <w:bCs/>
          <w:lang w:val="en-US"/>
        </w:rPr>
        <w:t>ii</w:t>
      </w:r>
      <w:r w:rsidRPr="00421345">
        <w:rPr>
          <w:bCs/>
        </w:rPr>
        <w:t>)</w:t>
      </w:r>
      <w:r w:rsidR="00EA1C97">
        <w:rPr>
          <w:bCs/>
        </w:rPr>
        <w:t> (</w:t>
      </w:r>
      <w:r w:rsidRPr="00421345">
        <w:rPr>
          <w:bCs/>
        </w:rPr>
        <w:t>а) Уголовного кодекса, и установление отдельной уголовной отве</w:t>
      </w:r>
      <w:r w:rsidRPr="00421345">
        <w:rPr>
          <w:bCs/>
        </w:rPr>
        <w:t>т</w:t>
      </w:r>
      <w:r w:rsidRPr="00421345">
        <w:rPr>
          <w:bCs/>
        </w:rPr>
        <w:t>ственности за калечащие операции на женских половых органах в разделе 245</w:t>
      </w:r>
      <w:r w:rsidR="00EA1C97">
        <w:rPr>
          <w:bCs/>
        </w:rPr>
        <w:t> (</w:t>
      </w:r>
      <w:r w:rsidRPr="00421345">
        <w:rPr>
          <w:bCs/>
          <w:lang w:val="en-US"/>
        </w:rPr>
        <w:t>a</w:t>
      </w:r>
      <w:r w:rsidRPr="00421345">
        <w:rPr>
          <w:bCs/>
        </w:rPr>
        <w:t>) Уголовного кодекса лишь отражают стремление властей гос</w:t>
      </w:r>
      <w:r w:rsidRPr="00421345">
        <w:rPr>
          <w:bCs/>
        </w:rPr>
        <w:t>у</w:t>
      </w:r>
      <w:r w:rsidRPr="00421345">
        <w:rPr>
          <w:bCs/>
        </w:rPr>
        <w:t>дарства-участника привлекать к уголовной ответственности правонарушит</w:t>
      </w:r>
      <w:r w:rsidRPr="00421345">
        <w:rPr>
          <w:bCs/>
        </w:rPr>
        <w:t>е</w:t>
      </w:r>
      <w:r w:rsidRPr="00421345">
        <w:rPr>
          <w:bCs/>
        </w:rPr>
        <w:t>лей, совершающих калечащие операции на женских половых органах в стр</w:t>
      </w:r>
      <w:r w:rsidRPr="00421345">
        <w:rPr>
          <w:bCs/>
        </w:rPr>
        <w:t>а</w:t>
      </w:r>
      <w:r w:rsidRPr="00421345">
        <w:rPr>
          <w:bCs/>
        </w:rPr>
        <w:t>нах, где это разрешено. В силу этого государство-участник не поддерживает толкование автора, согласно которому данный факт подразумевает или указ</w:t>
      </w:r>
      <w:r w:rsidRPr="00421345">
        <w:rPr>
          <w:bCs/>
        </w:rPr>
        <w:t>ы</w:t>
      </w:r>
      <w:r w:rsidRPr="00421345">
        <w:rPr>
          <w:bCs/>
        </w:rPr>
        <w:t>вает, что калечащие операции на женских половых органах следует рассматр</w:t>
      </w:r>
      <w:r w:rsidRPr="00421345">
        <w:rPr>
          <w:bCs/>
        </w:rPr>
        <w:t>и</w:t>
      </w:r>
      <w:r w:rsidRPr="00421345">
        <w:rPr>
          <w:bCs/>
        </w:rPr>
        <w:t>вать в качестве исключительного обстоятельства, позволяющего придавать Конвенции эксте</w:t>
      </w:r>
      <w:r w:rsidRPr="00421345">
        <w:rPr>
          <w:bCs/>
        </w:rPr>
        <w:t>р</w:t>
      </w:r>
      <w:r w:rsidRPr="00421345">
        <w:rPr>
          <w:bCs/>
        </w:rPr>
        <w:t>риториальный характер.</w:t>
      </w:r>
      <w:r w:rsidRPr="00421345">
        <w:t xml:space="preserve"> </w:t>
      </w:r>
    </w:p>
    <w:p w:rsidR="00421345" w:rsidRPr="00421345" w:rsidRDefault="00421345" w:rsidP="00421345">
      <w:pPr>
        <w:pStyle w:val="SingleTxt"/>
      </w:pPr>
      <w:r w:rsidRPr="00421345">
        <w:t>6.2</w:t>
      </w:r>
      <w:r w:rsidRPr="00421345">
        <w:tab/>
        <w:t>Государство-участник не оспаривает тот факт, что проведение калечащих операций на женских половых органах в отношении ребенка или взрослого может расцениваться как негуманное обращение по смыслу статьи 3 Европе</w:t>
      </w:r>
      <w:r w:rsidRPr="00421345">
        <w:t>й</w:t>
      </w:r>
      <w:r w:rsidRPr="00421345">
        <w:t>ской конвенции по правам человека, статьи 3 Конвенции против пыток или статей 6 и 7 Пакта. Вместе с тем в Конвенции о ликвидации всех форм дискриминации в отношении женщин прямо или косвенно не затрагиваются в</w:t>
      </w:r>
      <w:r w:rsidRPr="00421345">
        <w:t>о</w:t>
      </w:r>
      <w:r w:rsidRPr="00421345">
        <w:t>просы высылки или серьезных угроз жизни или безопасности личности. Таким образом, автор может направить лишь такое сообщение в отношении госуда</w:t>
      </w:r>
      <w:r w:rsidRPr="00421345">
        <w:t>р</w:t>
      </w:r>
      <w:r w:rsidRPr="00421345">
        <w:t>ства-участника, в котором бы излагались предполагаемые нарушения Конве</w:t>
      </w:r>
      <w:r w:rsidRPr="00421345">
        <w:t>н</w:t>
      </w:r>
      <w:r w:rsidRPr="00421345">
        <w:t>ции, совершенные Данией и под юрисдикцией Дании.</w:t>
      </w:r>
    </w:p>
    <w:p w:rsidR="00421345" w:rsidRPr="00421345" w:rsidRDefault="00421345" w:rsidP="00421345">
      <w:pPr>
        <w:pStyle w:val="SingleTxt"/>
      </w:pPr>
      <w:r w:rsidRPr="00421345">
        <w:t>6.3</w:t>
      </w:r>
      <w:r w:rsidRPr="00421345">
        <w:tab/>
        <w:t>Государство-участник заявляет о том, что ему известна позиция Комитета, подчеркнутая в его Общей рекомендации № 19, согласно которой гендерное насилие является формой дискриминации, способной затруднить или свести на нет пользование женщинами такими правами человека и основными свободами, как право на жизнь, право на безопасность личности и право не подве</w:t>
      </w:r>
      <w:r w:rsidRPr="00421345">
        <w:t>р</w:t>
      </w:r>
      <w:r w:rsidRPr="00421345">
        <w:t>гаться пыткам или жестоким, бесчеловечным или унижающим достоинство в</w:t>
      </w:r>
      <w:r w:rsidRPr="00421345">
        <w:t>и</w:t>
      </w:r>
      <w:r w:rsidRPr="00421345">
        <w:t>дам обращения или наказания. Но даже с учетом этого обстоятельства госуда</w:t>
      </w:r>
      <w:r w:rsidRPr="00421345">
        <w:t>р</w:t>
      </w:r>
      <w:r w:rsidRPr="00421345">
        <w:t>ство-участник несет ответственность только по обязательствам в отношении тех лиц, которые находятся под его юрисдикцией, и не может нести отве</w:t>
      </w:r>
      <w:r w:rsidRPr="00421345">
        <w:t>т</w:t>
      </w:r>
      <w:r w:rsidRPr="00421345">
        <w:t>ственность за дискриминацию, совершаемую в рамках юрисдикции другого государства, даже в случае, если автору удалось бы доказать, что она в нар</w:t>
      </w:r>
      <w:r w:rsidRPr="00421345">
        <w:t>у</w:t>
      </w:r>
      <w:r w:rsidRPr="00421345">
        <w:t>шение Конвенции будет подвергнута дискриминации в связи с гендерным насилием в Уганде.</w:t>
      </w:r>
    </w:p>
    <w:p w:rsidR="00421345" w:rsidRPr="00421345" w:rsidRDefault="00421345" w:rsidP="00421345">
      <w:pPr>
        <w:pStyle w:val="SingleTxt"/>
      </w:pPr>
      <w:r w:rsidRPr="00421345">
        <w:t>6.4</w:t>
      </w:r>
      <w:r w:rsidRPr="00421345">
        <w:tab/>
        <w:t>Ссылаясь на статью 5</w:t>
      </w:r>
      <w:r w:rsidR="00EA1C97">
        <w:t> (</w:t>
      </w:r>
      <w:r w:rsidRPr="00421345">
        <w:t>2) Факультативного протокола, государство-участ</w:t>
      </w:r>
      <w:r w:rsidRPr="00421345">
        <w:softHyphen/>
        <w:t>ник отмечает, что применение Комитетом безотлагательных мер согласно статье 5</w:t>
      </w:r>
      <w:r w:rsidR="00EA1C97">
        <w:t> (</w:t>
      </w:r>
      <w:r w:rsidRPr="00421345">
        <w:t>1) Факультативного протокола в связи с рассматриваемым и другими сообщениями не указывает на то, что Конвенция имеет экстерриториальное де</w:t>
      </w:r>
      <w:r w:rsidRPr="00421345">
        <w:t>й</w:t>
      </w:r>
      <w:r w:rsidRPr="00421345">
        <w:t>ствие.</w:t>
      </w:r>
    </w:p>
    <w:p w:rsidR="00421345" w:rsidRPr="00421345" w:rsidRDefault="00421345" w:rsidP="00421345">
      <w:pPr>
        <w:pStyle w:val="SingleTxt"/>
      </w:pPr>
      <w:r w:rsidRPr="00421345">
        <w:t>6.5</w:t>
      </w:r>
      <w:r w:rsidRPr="00421345">
        <w:tab/>
        <w:t>Государство-участник отмечает аргумент автора о том, что вопрос о ге</w:t>
      </w:r>
      <w:r w:rsidRPr="00421345">
        <w:t>н</w:t>
      </w:r>
      <w:r w:rsidRPr="00421345">
        <w:t>дерной дискриминации поднимался ею в рамках национальных процедур, в том числе в ее письменных замечаниях от 8 февраля 2009</w:t>
      </w:r>
      <w:r>
        <w:t> год</w:t>
      </w:r>
      <w:r w:rsidRPr="00421345">
        <w:t>а. Вместе с тем оно утверждает, что единственным указанием на Конвенцию в этих замечаниях является краткая цитата из заключительных замечаний Комитета от 23 августа 2002</w:t>
      </w:r>
      <w:r>
        <w:t> год</w:t>
      </w:r>
      <w:r w:rsidRPr="00421345">
        <w:t>а в отношении рассмотрения третьего периодического доклада Уганды. По этой причине государство-участник утверждает, что внутренние сре</w:t>
      </w:r>
      <w:r w:rsidRPr="00421345">
        <w:t>д</w:t>
      </w:r>
      <w:r w:rsidRPr="00421345">
        <w:t>ства правовой защиты исчерпаны не были.</w:t>
      </w:r>
    </w:p>
    <w:p w:rsidR="00421345" w:rsidRPr="00EB04E6" w:rsidRDefault="00421345" w:rsidP="00EB04E6">
      <w:pPr>
        <w:pStyle w:val="SingleTxt"/>
        <w:spacing w:after="0" w:line="240" w:lineRule="auto"/>
        <w:ind w:left="1264" w:right="1264"/>
      </w:pPr>
    </w:p>
    <w:p w:rsidR="00421345" w:rsidRPr="00EB04E6" w:rsidRDefault="00421345" w:rsidP="00EB04E6">
      <w:pPr>
        <w:pStyle w:val="H1"/>
        <w:spacing w:line="240" w:lineRule="auto"/>
        <w:ind w:left="1264" w:right="1264"/>
        <w:rPr>
          <w:w w:val="100"/>
          <w:kern w:val="0"/>
          <w:sz w:val="20"/>
          <w:lang w:val="ru-RU"/>
        </w:rPr>
      </w:pPr>
      <w:r w:rsidRPr="00EB04E6">
        <w:rPr>
          <w:w w:val="100"/>
          <w:kern w:val="0"/>
          <w:sz w:val="20"/>
          <w:lang w:val="ru-RU"/>
        </w:rPr>
        <w:tab/>
      </w:r>
      <w:r w:rsidRPr="00EB04E6">
        <w:rPr>
          <w:w w:val="100"/>
          <w:kern w:val="0"/>
          <w:sz w:val="20"/>
          <w:lang w:val="ru-RU"/>
        </w:rPr>
        <w:tab/>
        <w:t>Комментарии автора к дополнительным замечаниям государства-участника</w:t>
      </w:r>
    </w:p>
    <w:p w:rsidR="00421345" w:rsidRPr="00EB04E6" w:rsidRDefault="00421345" w:rsidP="00EB04E6">
      <w:pPr>
        <w:pStyle w:val="SingleTxt"/>
        <w:spacing w:after="0" w:line="240" w:lineRule="auto"/>
        <w:ind w:left="1264" w:right="1264"/>
      </w:pPr>
    </w:p>
    <w:p w:rsidR="00421345" w:rsidRPr="00421345" w:rsidRDefault="00421345" w:rsidP="00421345">
      <w:pPr>
        <w:pStyle w:val="SingleTxt"/>
      </w:pPr>
      <w:r w:rsidRPr="00421345">
        <w:t>7.1</w:t>
      </w:r>
      <w:r w:rsidRPr="00421345">
        <w:tab/>
      </w:r>
      <w:r w:rsidRPr="00421345">
        <w:rPr>
          <w:bCs/>
        </w:rPr>
        <w:t>13 июля 2012</w:t>
      </w:r>
      <w:r>
        <w:rPr>
          <w:bCs/>
        </w:rPr>
        <w:t> год</w:t>
      </w:r>
      <w:r w:rsidRPr="00421345">
        <w:rPr>
          <w:bCs/>
        </w:rPr>
        <w:t>а автор сообщения представила комментарии к дополн</w:t>
      </w:r>
      <w:r w:rsidRPr="00421345">
        <w:rPr>
          <w:bCs/>
        </w:rPr>
        <w:t>и</w:t>
      </w:r>
      <w:r w:rsidRPr="00421345">
        <w:rPr>
          <w:bCs/>
        </w:rPr>
        <w:t>тельным замечаниям государства-участника. По вопросу об экстерриториал</w:t>
      </w:r>
      <w:r w:rsidRPr="00421345">
        <w:rPr>
          <w:bCs/>
        </w:rPr>
        <w:t>ь</w:t>
      </w:r>
      <w:r w:rsidRPr="00421345">
        <w:rPr>
          <w:bCs/>
        </w:rPr>
        <w:t>ном действии Конвенции автор утверждает, что установление уголовной отве</w:t>
      </w:r>
      <w:r w:rsidRPr="00421345">
        <w:rPr>
          <w:bCs/>
        </w:rPr>
        <w:t>т</w:t>
      </w:r>
      <w:r w:rsidRPr="00421345">
        <w:rPr>
          <w:bCs/>
        </w:rPr>
        <w:t>ственности за калечащие операции на женских половых органах в Дании явл</w:t>
      </w:r>
      <w:r w:rsidRPr="00421345">
        <w:rPr>
          <w:bCs/>
        </w:rPr>
        <w:t>я</w:t>
      </w:r>
      <w:r w:rsidRPr="00421345">
        <w:rPr>
          <w:bCs/>
        </w:rPr>
        <w:t>ется важным свидетельством в пользу того, что государство-участник приняло на себя обязательство покончить с безнаказанностью лиц, совершающих кал</w:t>
      </w:r>
      <w:r w:rsidRPr="00421345">
        <w:rPr>
          <w:bCs/>
        </w:rPr>
        <w:t>е</w:t>
      </w:r>
      <w:r w:rsidRPr="00421345">
        <w:rPr>
          <w:bCs/>
        </w:rPr>
        <w:t>чащие операции на женских половых органах в любой части мира, в случае е</w:t>
      </w:r>
      <w:r w:rsidRPr="00421345">
        <w:rPr>
          <w:bCs/>
        </w:rPr>
        <w:t>с</w:t>
      </w:r>
      <w:r w:rsidRPr="00421345">
        <w:rPr>
          <w:bCs/>
        </w:rPr>
        <w:t>ли они оказываются под юрисдикцией Дании. Из Конвенции вытекает анал</w:t>
      </w:r>
      <w:r w:rsidRPr="00421345">
        <w:rPr>
          <w:bCs/>
        </w:rPr>
        <w:t>о</w:t>
      </w:r>
      <w:r w:rsidRPr="00421345">
        <w:rPr>
          <w:bCs/>
        </w:rPr>
        <w:t>гичное требование о защите женщин, находящихся под юрисдикцией Дании, от их высылки в страны, где совершение калечащих операций на женских пол</w:t>
      </w:r>
      <w:r w:rsidRPr="00421345">
        <w:rPr>
          <w:bCs/>
        </w:rPr>
        <w:t>о</w:t>
      </w:r>
      <w:r w:rsidRPr="00421345">
        <w:rPr>
          <w:bCs/>
        </w:rPr>
        <w:t>вых органах не карается законом, как в случае Уганды.</w:t>
      </w:r>
    </w:p>
    <w:p w:rsidR="00421345" w:rsidRPr="00421345" w:rsidRDefault="00421345" w:rsidP="00421345">
      <w:pPr>
        <w:pStyle w:val="SingleTxt"/>
      </w:pPr>
      <w:r w:rsidRPr="00421345">
        <w:t>7.2</w:t>
      </w:r>
      <w:r w:rsidRPr="00421345">
        <w:tab/>
        <w:t xml:space="preserve">Автор указывает на довод государства-участника о том, что, хотя оно согласно с тем, что </w:t>
      </w:r>
      <w:r w:rsidRPr="00421345">
        <w:rPr>
          <w:bCs/>
        </w:rPr>
        <w:t xml:space="preserve">калечащие операции на женских половых органах </w:t>
      </w:r>
      <w:r w:rsidRPr="00421345">
        <w:t>можно расценивать как негуманное обращение в контексте других правовых актов Орг</w:t>
      </w:r>
      <w:r w:rsidRPr="00421345">
        <w:t>а</w:t>
      </w:r>
      <w:r w:rsidRPr="00421345">
        <w:t xml:space="preserve">низации Объединенных Наций о правах человека, в Конвенции </w:t>
      </w:r>
      <w:r w:rsidR="00B41B68">
        <w:t>"</w:t>
      </w:r>
      <w:r w:rsidRPr="00421345">
        <w:t>прямо или косвенно не затрагиваются вопросы высылки или серьезных угроз жизни или безопасности личности</w:t>
      </w:r>
      <w:r w:rsidR="00B41B68">
        <w:t>"</w:t>
      </w:r>
      <w:r w:rsidRPr="00421345">
        <w:t>. В этой связи она утверждает, что в данном случае речь идет о толковании Конвенции и что таким толкованием должен занимат</w:t>
      </w:r>
      <w:r w:rsidRPr="00421345">
        <w:t>ь</w:t>
      </w:r>
      <w:r w:rsidRPr="00421345">
        <w:t>ся Комитет. По мнению автора, Комитет, по всей вероятности, придет к выводу о том, что в соответствии с Конвенцией он обязан рассматривать вопрос о пр</w:t>
      </w:r>
      <w:r w:rsidRPr="00421345">
        <w:t>о</w:t>
      </w:r>
      <w:r w:rsidRPr="00421345">
        <w:t>тиводействии гендерному насилию в качестве своей основной задачи и в этой связи может также рассмотреть вопрос о том, достигают ли или не достигают некоторые формы гендерного насилия такой степени, при которой Конвенция могла бы иметь экстерриториальное действие. Автор отмечает также, что, хотя в статье 7 Пакта не содержится прямого или косвенного упоминания о высы</w:t>
      </w:r>
      <w:r w:rsidRPr="00421345">
        <w:t>л</w:t>
      </w:r>
      <w:r w:rsidRPr="00421345">
        <w:t>ке, она, тем не менее, наделяет Комитет по правам человека полномочиями рассматривать сообщения, относящиеся к случаям высылки.</w:t>
      </w:r>
    </w:p>
    <w:p w:rsidR="00421345" w:rsidRPr="00421345" w:rsidRDefault="00421345" w:rsidP="00421345">
      <w:pPr>
        <w:pStyle w:val="SingleTxt"/>
      </w:pPr>
      <w:r w:rsidRPr="00421345">
        <w:t>7.3</w:t>
      </w:r>
      <w:r w:rsidRPr="00421345">
        <w:tab/>
        <w:t>Автор согласна с государством-участником в том, что применение Комитетом неотложных мер не означает вынесения определения в отношении пр</w:t>
      </w:r>
      <w:r w:rsidRPr="00421345">
        <w:t>и</w:t>
      </w:r>
      <w:r w:rsidRPr="00421345">
        <w:t>емлемости или существа настоящего сообщения как такового. В то же время она утверждает, что сам факт применения Комитетом неотложных мер в анал</w:t>
      </w:r>
      <w:r w:rsidRPr="00421345">
        <w:t>о</w:t>
      </w:r>
      <w:r w:rsidRPr="00421345">
        <w:t>гичных случаях, судя по всему, служит указанием на мнение Комитета относ</w:t>
      </w:r>
      <w:r w:rsidRPr="00421345">
        <w:t>и</w:t>
      </w:r>
      <w:r w:rsidRPr="00421345">
        <w:t>тельно того, что могут быть такие ситуации, когда ссылка на Конвенцию может быть правомерна при наличии опасений, связанных с гендерным насилием в стране происхождения, в целях приостановления высылки из принимающей страны. Исходя из этого автор утверждает, что в некоторых случаях Конвенция имеет экстерриториальное действие и что в силу этого настоящее сообщение должно быть объявлено приемлемым и рассмотрено по существу.</w:t>
      </w:r>
    </w:p>
    <w:p w:rsidR="00421345" w:rsidRPr="00421345" w:rsidRDefault="00421345" w:rsidP="00421345">
      <w:pPr>
        <w:pStyle w:val="SingleTxt"/>
      </w:pPr>
      <w:r w:rsidRPr="00421345">
        <w:t>7.4</w:t>
      </w:r>
      <w:r w:rsidRPr="00421345">
        <w:tab/>
        <w:t>По вопросу об исчерпании внутренних средств правовой защиты автор утверждает, что Датский совет по делам беженцев в своем решении от 17 о</w:t>
      </w:r>
      <w:r w:rsidRPr="00421345">
        <w:t>к</w:t>
      </w:r>
      <w:r w:rsidRPr="00421345">
        <w:t>тября 2008</w:t>
      </w:r>
      <w:r>
        <w:t> год</w:t>
      </w:r>
      <w:r w:rsidRPr="00421345">
        <w:t>а сослался на заключительные замечания Комитета от 23 августа 2002</w:t>
      </w:r>
      <w:r>
        <w:t> год</w:t>
      </w:r>
      <w:r w:rsidRPr="00421345">
        <w:t xml:space="preserve">а по итогам рассмотрения третьего периодического доклада Уганды и постановил, что </w:t>
      </w:r>
      <w:r w:rsidR="00B41B68">
        <w:t>"</w:t>
      </w:r>
      <w:r w:rsidRPr="00421345">
        <w:t>он не может рассматривать дело [автора] как явно необосн</w:t>
      </w:r>
      <w:r w:rsidRPr="00421345">
        <w:t>о</w:t>
      </w:r>
      <w:r w:rsidRPr="00421345">
        <w:t>ванное</w:t>
      </w:r>
      <w:r w:rsidR="00B41B68">
        <w:t>"</w:t>
      </w:r>
      <w:r w:rsidRPr="00421345">
        <w:t>. Она напоминает, что впоследствии Иммиграционная служба отказ</w:t>
      </w:r>
      <w:r w:rsidRPr="00421345">
        <w:t>а</w:t>
      </w:r>
      <w:r w:rsidRPr="00421345">
        <w:t>лась выдать ей вид на жительство. Кроме того, автор утверждает, что в своих письменных замечаниях от 8</w:t>
      </w:r>
      <w:r w:rsidR="004B2696">
        <w:t> </w:t>
      </w:r>
      <w:r w:rsidRPr="00421345">
        <w:t>февраля 2009</w:t>
      </w:r>
      <w:r>
        <w:t> год</w:t>
      </w:r>
      <w:r w:rsidRPr="00421345">
        <w:t>а ее адвокат сослался на те же заключительные замечания по Уганде, что и Совет по делам беженцев. Он та</w:t>
      </w:r>
      <w:r w:rsidRPr="00421345">
        <w:t>к</w:t>
      </w:r>
      <w:r w:rsidRPr="00421345">
        <w:t>же заявил, что по возвращении в Уганду автор не сможет получить защиту от калечащих операций на женских половых органах, на которую женщины и д</w:t>
      </w:r>
      <w:r w:rsidRPr="00421345">
        <w:t>е</w:t>
      </w:r>
      <w:r w:rsidRPr="00421345">
        <w:t>вочки имеют право в соответствии с Конвенцией о правах ребенка и Конвенц</w:t>
      </w:r>
      <w:r w:rsidRPr="00421345">
        <w:t>и</w:t>
      </w:r>
      <w:r w:rsidRPr="00421345">
        <w:t>ей о ликвидации всех форм дискриминации в отношении женщин. Кроме того, ее адвокат заявил, что для одиноких женщин получение правовой защиты в Уганде связано с особыми трудностями и что при обращении в полицию они вынуждены давать взятки</w:t>
      </w:r>
      <w:r w:rsidRPr="00421345">
        <w:rPr>
          <w:rStyle w:val="FootnoteReference"/>
          <w:spacing w:val="0"/>
          <w:w w:val="100"/>
          <w:position w:val="0"/>
        </w:rPr>
        <w:footnoteReference w:customMarkFollows="1" w:id="23"/>
        <w:t>22</w:t>
      </w:r>
      <w:r w:rsidRPr="00421345">
        <w:t>.</w:t>
      </w:r>
    </w:p>
    <w:p w:rsidR="00421345" w:rsidRPr="00421345" w:rsidRDefault="00421345" w:rsidP="00421345">
      <w:pPr>
        <w:pStyle w:val="SingleTxt"/>
      </w:pPr>
      <w:r w:rsidRPr="00421345">
        <w:t>7.5</w:t>
      </w:r>
      <w:r w:rsidRPr="00421345">
        <w:tab/>
        <w:t>Автор утверждает также, что 30 октября 2009</w:t>
      </w:r>
      <w:r>
        <w:t> год</w:t>
      </w:r>
      <w:r w:rsidRPr="00421345">
        <w:t>а ее адвокат представил Комиссии по рассмотрению апелляционных жалоб беженцев дополнительные замечания, включая ссылку на объединенные четвертый, пятый, шестой и седьмой периодические доклады Уганды Комитету</w:t>
      </w:r>
      <w:r w:rsidRPr="00421345">
        <w:rPr>
          <w:rStyle w:val="FootnoteReference"/>
          <w:spacing w:val="0"/>
          <w:w w:val="100"/>
          <w:position w:val="0"/>
        </w:rPr>
        <w:footnoteReference w:customMarkFollows="1" w:id="24"/>
        <w:t>23</w:t>
      </w:r>
      <w:r w:rsidRPr="00421345">
        <w:t>. В этих докладах власти Уганды заявили, что проект закона, устанавливающего запрет на калечащие операции на женских половых органах, подготовлен и представлен парламенту. Эта информация противоречит информации министерства иностранных дел, в соответствии с которой такой закон уже был принят в Уганде. С учетом этого адвокат автора заявил, что высылка его клиента в Уганду явилась бы наруш</w:t>
      </w:r>
      <w:r w:rsidRPr="00421345">
        <w:t>е</w:t>
      </w:r>
      <w:r w:rsidRPr="00421345">
        <w:t xml:space="preserve">нием Конвенции и статей 2, 3, 7, 14 и 26 Пакта. По его мнению, автор </w:t>
      </w:r>
      <w:r w:rsidR="00B41B68">
        <w:t>"</w:t>
      </w:r>
      <w:r w:rsidRPr="00421345">
        <w:t>подве</w:t>
      </w:r>
      <w:r w:rsidRPr="00421345">
        <w:t>р</w:t>
      </w:r>
      <w:r w:rsidRPr="00421345">
        <w:t>гается риску применения бесчеловечного обращения, поскольку она является женщиной, и что государство-участник не обеспечивает обращения с ней наравне с мужчинами, поскольку ей не была предоставлена защита от наруш</w:t>
      </w:r>
      <w:r w:rsidRPr="00421345">
        <w:t>е</w:t>
      </w:r>
      <w:r w:rsidRPr="00421345">
        <w:t>ний, которые затрагивают только женщин</w:t>
      </w:r>
      <w:r w:rsidR="00B41B68">
        <w:t>"</w:t>
      </w:r>
      <w:r w:rsidRPr="00421345">
        <w:t>. Автор отмечает, что в решении К</w:t>
      </w:r>
      <w:r w:rsidRPr="00421345">
        <w:t>о</w:t>
      </w:r>
      <w:r w:rsidRPr="00421345">
        <w:t>миссии дополнительные замечания от 30 октября 2009</w:t>
      </w:r>
      <w:r>
        <w:t> год</w:t>
      </w:r>
      <w:r w:rsidRPr="00421345">
        <w:t>а вообще не Автор настаивает на том, что в действительности внимание датских вл</w:t>
      </w:r>
      <w:r w:rsidRPr="00421345">
        <w:t>а</w:t>
      </w:r>
      <w:r w:rsidRPr="00421345">
        <w:t>стей, занимающихся вопросами предоставления убежища, неоднократно обр</w:t>
      </w:r>
      <w:r w:rsidRPr="00421345">
        <w:t>а</w:t>
      </w:r>
      <w:r w:rsidRPr="00421345">
        <w:t>щалось на Конвенцию, но в решении, принятом Комиссией по рассмотрению апелляционных жалоб беженцев, такие ссылки на Конвенцию вообще отсу</w:t>
      </w:r>
      <w:r w:rsidRPr="00421345">
        <w:t>т</w:t>
      </w:r>
      <w:r w:rsidRPr="00421345">
        <w:t>ствуют. Автор утверждает, что Комиссия даже не попыталась поставить вопрос о том, почему ей не была обеспечена защита по Конвенции.</w:t>
      </w:r>
    </w:p>
    <w:p w:rsidR="00421345" w:rsidRPr="004B2696" w:rsidRDefault="00421345" w:rsidP="004B2696">
      <w:pPr>
        <w:pStyle w:val="SingleTxt"/>
        <w:spacing w:after="0" w:line="240" w:lineRule="auto"/>
        <w:ind w:left="1264" w:right="1264"/>
      </w:pPr>
    </w:p>
    <w:p w:rsidR="00421345" w:rsidRPr="004B2696" w:rsidRDefault="00421345" w:rsidP="004B2696">
      <w:pPr>
        <w:pStyle w:val="H1"/>
        <w:spacing w:line="240" w:lineRule="auto"/>
        <w:ind w:left="1264" w:right="1264"/>
        <w:rPr>
          <w:w w:val="100"/>
          <w:kern w:val="0"/>
          <w:sz w:val="20"/>
          <w:lang w:val="ru-RU"/>
        </w:rPr>
      </w:pPr>
      <w:r w:rsidRPr="004B2696">
        <w:rPr>
          <w:w w:val="100"/>
          <w:kern w:val="0"/>
          <w:sz w:val="20"/>
          <w:lang w:val="ru-RU"/>
        </w:rPr>
        <w:tab/>
      </w:r>
      <w:r w:rsidRPr="004B2696">
        <w:rPr>
          <w:w w:val="100"/>
          <w:kern w:val="0"/>
          <w:sz w:val="20"/>
          <w:lang w:val="ru-RU"/>
        </w:rPr>
        <w:tab/>
        <w:t>Вопросы о приемлемости и процедуры их рассмотрения в</w:t>
      </w:r>
      <w:r w:rsidR="00B41B68" w:rsidRPr="004B2696">
        <w:rPr>
          <w:w w:val="100"/>
          <w:kern w:val="0"/>
          <w:sz w:val="20"/>
          <w:lang w:val="ru-RU"/>
        </w:rPr>
        <w:t> </w:t>
      </w:r>
      <w:r w:rsidRPr="004B2696">
        <w:rPr>
          <w:w w:val="100"/>
          <w:kern w:val="0"/>
          <w:sz w:val="20"/>
          <w:lang w:val="ru-RU"/>
        </w:rPr>
        <w:t>Комитете</w:t>
      </w:r>
    </w:p>
    <w:p w:rsidR="00421345" w:rsidRPr="004B2696" w:rsidRDefault="00421345" w:rsidP="004B2696">
      <w:pPr>
        <w:pStyle w:val="SingleTxt"/>
        <w:spacing w:after="0" w:line="240" w:lineRule="auto"/>
        <w:ind w:left="1264" w:right="1264"/>
      </w:pPr>
    </w:p>
    <w:p w:rsidR="00421345" w:rsidRPr="00421345" w:rsidRDefault="00421345" w:rsidP="00421345">
      <w:pPr>
        <w:pStyle w:val="SingleTxt"/>
      </w:pPr>
      <w:r w:rsidRPr="00421345">
        <w:t>8.1</w:t>
      </w:r>
      <w:r w:rsidRPr="00421345">
        <w:tab/>
        <w:t>Согласно правилу 64 своих правил процедуры Комитет должен решить вопрос о том, является ли сообщение приемлемым в соответствии с Факульт</w:t>
      </w:r>
      <w:r w:rsidRPr="00421345">
        <w:t>а</w:t>
      </w:r>
      <w:r w:rsidRPr="00421345">
        <w:t>тивным протоколом. Согласно правилу 66, Комитет может принять решение о рассмотрении приемлемости сообщения отдельно от его рассмотрения по существу.</w:t>
      </w:r>
    </w:p>
    <w:p w:rsidR="00421345" w:rsidRPr="00421345" w:rsidRDefault="00421345" w:rsidP="00421345">
      <w:pPr>
        <w:pStyle w:val="SingleTxt"/>
      </w:pPr>
      <w:r w:rsidRPr="00421345">
        <w:t>8.2</w:t>
      </w:r>
      <w:r w:rsidRPr="00421345">
        <w:tab/>
        <w:t>В соответствии со статьей 4</w:t>
      </w:r>
      <w:r w:rsidR="00EA1C97">
        <w:t> (</w:t>
      </w:r>
      <w:r w:rsidRPr="00421345">
        <w:t>2) Факультативного протокола Комитет уд</w:t>
      </w:r>
      <w:r w:rsidRPr="00421345">
        <w:t>о</w:t>
      </w:r>
      <w:r w:rsidRPr="00421345">
        <w:t>стоверился в том, что этот же вопрос не рассматривался и не рассматривается в соответствии с другой процедурой международного разбирательства или ур</w:t>
      </w:r>
      <w:r w:rsidRPr="00421345">
        <w:t>е</w:t>
      </w:r>
      <w:r w:rsidRPr="00421345">
        <w:t>гулирования. В данном контексте Комитет отмечает, что сообщение автора, представленное в соответствии с Факультативным протоколом к Междунаро</w:t>
      </w:r>
      <w:r w:rsidRPr="00421345">
        <w:t>д</w:t>
      </w:r>
      <w:r w:rsidRPr="00421345">
        <w:t>ному пакту о гражданских и политических правах, не было когда-либо зарег</w:t>
      </w:r>
      <w:r w:rsidRPr="00421345">
        <w:t>и</w:t>
      </w:r>
      <w:r w:rsidRPr="00421345">
        <w:t xml:space="preserve">стрировано для рассмотрения в Комитете по правам человека. </w:t>
      </w:r>
    </w:p>
    <w:p w:rsidR="00421345" w:rsidRPr="00421345" w:rsidRDefault="00421345" w:rsidP="00421345">
      <w:pPr>
        <w:pStyle w:val="SingleTxt"/>
      </w:pPr>
      <w:r w:rsidRPr="00421345">
        <w:t>8.3</w:t>
      </w:r>
      <w:r w:rsidRPr="00421345">
        <w:tab/>
        <w:t>Комитет принимает к сведению утверждения автора о том, что ее высылка в Уганду явится нарушением со стороны Дании статей 1, 2</w:t>
      </w:r>
      <w:r w:rsidR="00EA1C97">
        <w:t> (</w:t>
      </w:r>
      <w:r w:rsidRPr="00421345">
        <w:t>с), 2</w:t>
      </w:r>
      <w:r w:rsidR="00EA1C97">
        <w:t> (</w:t>
      </w:r>
      <w:r w:rsidRPr="00421345">
        <w:rPr>
          <w:lang w:val="en-US"/>
        </w:rPr>
        <w:t>d</w:t>
      </w:r>
      <w:r w:rsidRPr="00421345">
        <w:t>), 3 и 12 Конвенции. Комитет отмечает также довод государства-участника, согласно кот</w:t>
      </w:r>
      <w:r w:rsidRPr="00421345">
        <w:t>о</w:t>
      </w:r>
      <w:r w:rsidRPr="00421345">
        <w:t xml:space="preserve">рому сообщение следует объявить неприемлемым </w:t>
      </w:r>
      <w:r w:rsidRPr="00421345">
        <w:rPr>
          <w:lang w:val="en-US"/>
        </w:rPr>
        <w:t>ratione</w:t>
      </w:r>
      <w:r w:rsidRPr="00421345">
        <w:t xml:space="preserve"> </w:t>
      </w:r>
      <w:r w:rsidRPr="00421345">
        <w:rPr>
          <w:lang w:val="en-US"/>
        </w:rPr>
        <w:t>loci</w:t>
      </w:r>
      <w:r w:rsidRPr="00421345">
        <w:t xml:space="preserve">, а также </w:t>
      </w:r>
      <w:r w:rsidRPr="00421345">
        <w:rPr>
          <w:lang w:val="en-US"/>
        </w:rPr>
        <w:t>ratione</w:t>
      </w:r>
      <w:r w:rsidRPr="00421345">
        <w:t xml:space="preserve"> </w:t>
      </w:r>
      <w:r w:rsidRPr="00421345">
        <w:rPr>
          <w:lang w:val="en-US"/>
        </w:rPr>
        <w:t>materiae</w:t>
      </w:r>
      <w:r w:rsidRPr="00421345">
        <w:t xml:space="preserve"> согласно статье 2 Факультативного протокола, поскольку обязател</w:t>
      </w:r>
      <w:r w:rsidRPr="00421345">
        <w:t>ь</w:t>
      </w:r>
      <w:r w:rsidRPr="00421345">
        <w:t>ства Дании по Конвенции относятся только к лицам, находящимся под ее юрисдикцией, и ее нельзя считать ответственной за нарушение Конвенции, в частности за гендерное насилие, которое может быть совершено другим гос</w:t>
      </w:r>
      <w:r w:rsidRPr="00421345">
        <w:t>у</w:t>
      </w:r>
      <w:r w:rsidRPr="00421345">
        <w:t>дарством-участником за пределами датской территории и юрисдикции. Ком</w:t>
      </w:r>
      <w:r w:rsidRPr="00421345">
        <w:t>и</w:t>
      </w:r>
      <w:r w:rsidRPr="00421345">
        <w:t>тет далее отмечает ссылку государства-участника на концепцию юрисдикции в международном публичном праве и его утверждение о том, что Конвенция не имеет экстерриториального действия и что в отличие от других договоров по правам человека прямо или косвенно не затрагивает случаи высылки при наличии угрозы пыток или других серьезных угроз жизни и безопасности ли</w:t>
      </w:r>
      <w:r w:rsidRPr="00421345">
        <w:t>ч</w:t>
      </w:r>
      <w:r w:rsidRPr="00421345">
        <w:t>ности.</w:t>
      </w:r>
    </w:p>
    <w:p w:rsidR="00421345" w:rsidRPr="00421345" w:rsidRDefault="00421345" w:rsidP="00421345">
      <w:pPr>
        <w:pStyle w:val="SingleTxt"/>
      </w:pPr>
      <w:r w:rsidRPr="00421345">
        <w:t>8.4</w:t>
      </w:r>
      <w:r w:rsidRPr="00421345">
        <w:tab/>
        <w:t>В связи с доводом автора о том, что просьба Комитета о временных мерах сама по себе свидетельствует о том, что он уже принял решение об экстеррит</w:t>
      </w:r>
      <w:r w:rsidRPr="00421345">
        <w:t>о</w:t>
      </w:r>
      <w:r w:rsidRPr="00421345">
        <w:t>риальном применении Конвенции, Комитет напоминает, что согласно ст</w:t>
      </w:r>
      <w:r w:rsidRPr="00421345">
        <w:t>а</w:t>
      </w:r>
      <w:r w:rsidRPr="00421345">
        <w:t>тье 5</w:t>
      </w:r>
      <w:r w:rsidR="00EA1C97">
        <w:t> (</w:t>
      </w:r>
      <w:r w:rsidRPr="00421345">
        <w:t>2) Факультативного протокола такая просьба не означает, что было пр</w:t>
      </w:r>
      <w:r w:rsidRPr="00421345">
        <w:t>и</w:t>
      </w:r>
      <w:r w:rsidRPr="00421345">
        <w:t>нято какое-либо решение в отношении приемлемости или существа сообщ</w:t>
      </w:r>
      <w:r w:rsidRPr="00421345">
        <w:t>е</w:t>
      </w:r>
      <w:r w:rsidRPr="00421345">
        <w:t>ния.</w:t>
      </w:r>
    </w:p>
    <w:p w:rsidR="00421345" w:rsidRPr="00421345" w:rsidRDefault="00421345" w:rsidP="00421345">
      <w:pPr>
        <w:pStyle w:val="SingleTxt"/>
      </w:pPr>
      <w:r w:rsidRPr="00421345">
        <w:t>8.5</w:t>
      </w:r>
      <w:r w:rsidRPr="00421345">
        <w:tab/>
        <w:t>Прежде всего Комитету следует рассмотреть вопрос о том, входит ли в его компетенцию по Конвенции рассмотрение настоящего сообщения, связанного с депортацией автора из Дании в Уганду, где, как она утверждает, она подвергнется риску стать жертвой калечащей операции на женских половых органах </w:t>
      </w:r>
      <w:r w:rsidR="004B2696">
        <w:t>–</w:t>
      </w:r>
      <w:r w:rsidRPr="00421345">
        <w:t xml:space="preserve"> процедуре, запрещенной Конвенцией. Комитету необходимо будет опр</w:t>
      </w:r>
      <w:r w:rsidRPr="00421345">
        <w:t>е</w:t>
      </w:r>
      <w:r w:rsidRPr="00421345">
        <w:t>делить, несет ли государство-участник ответственность по Конвенции в случае высылки автора в Уганду за последствия такой высылки, даже если они наст</w:t>
      </w:r>
      <w:r w:rsidRPr="00421345">
        <w:t>у</w:t>
      </w:r>
      <w:r w:rsidRPr="00421345">
        <w:t xml:space="preserve">пят за пределами его территории. </w:t>
      </w:r>
    </w:p>
    <w:p w:rsidR="00421345" w:rsidRPr="00421345" w:rsidRDefault="00421345" w:rsidP="00421345">
      <w:pPr>
        <w:pStyle w:val="SingleTxt"/>
      </w:pPr>
      <w:r w:rsidRPr="00421345">
        <w:t>8.6</w:t>
      </w:r>
      <w:r w:rsidRPr="00421345">
        <w:tab/>
        <w:t xml:space="preserve">Согласно статье 2 Факультативного протокола к Конвенции </w:t>
      </w:r>
      <w:r w:rsidR="00B41B68">
        <w:t>"</w:t>
      </w:r>
      <w:r w:rsidRPr="00421345">
        <w:t>сообщения могут направляться подпадающими под юрисдикцию государства-участника лицами или группами лиц или от их имени, которые утверждают, что они я</w:t>
      </w:r>
      <w:r w:rsidRPr="00421345">
        <w:t>в</w:t>
      </w:r>
      <w:r w:rsidRPr="00421345">
        <w:t>ляются жертвами нарушения этим государством-участником какого-либо из прав, изложенных в Конвенции</w:t>
      </w:r>
      <w:r w:rsidR="00B41B68">
        <w:t>"</w:t>
      </w:r>
      <w:r w:rsidRPr="00421345">
        <w:t>. Комитет напоминает, что он указал в своей Общей рекомендации № 28, что обязательства государств-участников распр</w:t>
      </w:r>
      <w:r w:rsidRPr="00421345">
        <w:t>о</w:t>
      </w:r>
      <w:r w:rsidRPr="00421345">
        <w:t>страняются безотносительно как на гражданам, так и на неграждан, в том чи</w:t>
      </w:r>
      <w:r w:rsidRPr="00421345">
        <w:t>с</w:t>
      </w:r>
      <w:r w:rsidRPr="00421345">
        <w:t xml:space="preserve">ле на беженцев, лиц, ищущих убежища, трудящихся-мигрантов и апатридов в пределах территории этих государств или в зоне их фактического контроля, даже если таковая находится за пределами их территории. Государства-участники </w:t>
      </w:r>
      <w:r w:rsidR="00B41B68">
        <w:t>"</w:t>
      </w:r>
      <w:r w:rsidRPr="00421345">
        <w:t>несут ответственность за все свои действия, влияющие на полож</w:t>
      </w:r>
      <w:r w:rsidRPr="00421345">
        <w:t>е</w:t>
      </w:r>
      <w:r w:rsidRPr="00421345">
        <w:t>ние в области прав человека, независимо от того, находятся ли лица, затрон</w:t>
      </w:r>
      <w:r w:rsidRPr="00421345">
        <w:t>у</w:t>
      </w:r>
      <w:r w:rsidRPr="00421345">
        <w:t>тые этими действиями, на территории указанных государств или нет</w:t>
      </w:r>
      <w:r w:rsidR="00B41B68">
        <w:t>"</w:t>
      </w:r>
      <w:r w:rsidRPr="00421345">
        <w:rPr>
          <w:rStyle w:val="FootnoteReference"/>
          <w:spacing w:val="0"/>
          <w:w w:val="100"/>
          <w:position w:val="0"/>
        </w:rPr>
        <w:footnoteReference w:customMarkFollows="1" w:id="25"/>
        <w:t>24</w:t>
      </w:r>
      <w:r w:rsidR="004B2696">
        <w:rPr>
          <w:rStyle w:val="FootnoteReference"/>
          <w:spacing w:val="0"/>
          <w:w w:val="100"/>
          <w:position w:val="0"/>
          <w:vertAlign w:val="baseline"/>
        </w:rPr>
        <w:t>.</w:t>
      </w:r>
    </w:p>
    <w:p w:rsidR="00421345" w:rsidRPr="00421345" w:rsidRDefault="00421345" w:rsidP="00421345">
      <w:pPr>
        <w:pStyle w:val="SingleTxt"/>
      </w:pPr>
      <w:r w:rsidRPr="00421345">
        <w:t>8.7</w:t>
      </w:r>
      <w:r w:rsidRPr="00421345">
        <w:tab/>
        <w:t>Комитет напоминает, что в статье 1 Конвенции дискриминация в отнош</w:t>
      </w:r>
      <w:r w:rsidRPr="00421345">
        <w:t>е</w:t>
      </w:r>
      <w:r w:rsidRPr="00421345">
        <w:t xml:space="preserve">нии женщин определяется как </w:t>
      </w:r>
      <w:r w:rsidR="00B41B68">
        <w:t>"</w:t>
      </w:r>
      <w:r w:rsidRPr="00421345">
        <w:t>любое различие, исключение или ограничение по признаку пола, которое направлено на ослабление или сводит на нет пр</w:t>
      </w:r>
      <w:r w:rsidRPr="00421345">
        <w:t>и</w:t>
      </w:r>
      <w:r w:rsidRPr="00421345">
        <w:t>знание, пользование или осуществление женщинами…прав человека и осно</w:t>
      </w:r>
      <w:r w:rsidRPr="00421345">
        <w:t>в</w:t>
      </w:r>
      <w:r w:rsidRPr="00421345">
        <w:t>ных свобод в политической, экономической, социальной, культурной, гражда</w:t>
      </w:r>
      <w:r w:rsidRPr="00421345">
        <w:t>н</w:t>
      </w:r>
      <w:r w:rsidRPr="00421345">
        <w:t>ской или любой другой области</w:t>
      </w:r>
      <w:r w:rsidR="00B41B68">
        <w:t>"</w:t>
      </w:r>
      <w:r w:rsidRPr="00421345">
        <w:t>. Комитет далее ссылается на свою Общую р</w:t>
      </w:r>
      <w:r w:rsidRPr="00421345">
        <w:t>е</w:t>
      </w:r>
      <w:r w:rsidRPr="00421345">
        <w:t>комендацию № 19, которая прямо квалифицирует насилие в отношении же</w:t>
      </w:r>
      <w:r w:rsidRPr="00421345">
        <w:t>н</w:t>
      </w:r>
      <w:r w:rsidRPr="00421345">
        <w:t>щин как дискриминацию в отношении женщин, указывая, что гендерное нас</w:t>
      </w:r>
      <w:r w:rsidRPr="00421345">
        <w:t>и</w:t>
      </w:r>
      <w:r w:rsidRPr="00421345">
        <w:t>лие представляет собой одну из форм дискриминации в отношении женщин и включает в себя действия, которые причиняют ущерб или страдания физич</w:t>
      </w:r>
      <w:r w:rsidRPr="00421345">
        <w:t>е</w:t>
      </w:r>
      <w:r w:rsidRPr="00421345">
        <w:t>ского, психического или полового характера, угрозу таких действий, прину</w:t>
      </w:r>
      <w:r w:rsidRPr="00421345">
        <w:t>ж</w:t>
      </w:r>
      <w:r w:rsidRPr="00421345">
        <w:t>дение и другие формы ущемления свободы. В отношении аргумента госуда</w:t>
      </w:r>
      <w:r w:rsidRPr="00421345">
        <w:t>р</w:t>
      </w:r>
      <w:r w:rsidRPr="00421345">
        <w:t>ства-участника о том, что в отличие от других договоров по правам человека в Конвенции прямо или косвенно не затрагиваются вопросы высылки при нал</w:t>
      </w:r>
      <w:r w:rsidRPr="00421345">
        <w:t>и</w:t>
      </w:r>
      <w:r w:rsidRPr="00421345">
        <w:t>чии угрозы пыток или других серьезных угроз жизни и безопасности личн</w:t>
      </w:r>
      <w:r w:rsidRPr="00421345">
        <w:t>о</w:t>
      </w:r>
      <w:r w:rsidRPr="00421345">
        <w:t>сти, Комитет напоминает, что в той же рекомендации он определил, что такое гендерное насилие затрудняет или сводит на нет пользование женщинами р</w:t>
      </w:r>
      <w:r w:rsidRPr="00421345">
        <w:t>я</w:t>
      </w:r>
      <w:r w:rsidRPr="00421345">
        <w:t>дом прав человека и основных свобод, к числу которых, среди прочего, отн</w:t>
      </w:r>
      <w:r w:rsidRPr="00421345">
        <w:t>о</w:t>
      </w:r>
      <w:r w:rsidRPr="00421345">
        <w:t>сятся право на жизнь, право не подвергаться пыткам, жестоким, бесчелове</w:t>
      </w:r>
      <w:r w:rsidRPr="00421345">
        <w:t>ч</w:t>
      </w:r>
      <w:r w:rsidRPr="00421345">
        <w:t>ным или унижающим достоинство видам обращения или наказания, право на свободу и безопасность личности, а также право на равную защиту по закону.</w:t>
      </w:r>
    </w:p>
    <w:p w:rsidR="00421345" w:rsidRPr="00421345" w:rsidRDefault="00421345" w:rsidP="00421345">
      <w:pPr>
        <w:pStyle w:val="SingleTxt"/>
      </w:pPr>
      <w:r w:rsidRPr="00421345">
        <w:t>8.8</w:t>
      </w:r>
      <w:r w:rsidRPr="00421345">
        <w:tab/>
        <w:t>Комитет далее отмечает, что согласно международным стандартам прав человека принцип невыдворения налагает на государства обязанность воздерживаться от возвращения лиц в юрисдикцию, в которой они могут подвер</w:t>
      </w:r>
      <w:r w:rsidRPr="00421345">
        <w:t>г</w:t>
      </w:r>
      <w:r w:rsidRPr="00421345">
        <w:t>нуться серьезным нарушениям прав человека, в частности произвольному л</w:t>
      </w:r>
      <w:r w:rsidRPr="00421345">
        <w:t>и</w:t>
      </w:r>
      <w:r w:rsidRPr="00421345">
        <w:t>шению жизни или пыткам или другим жестоким, бесчеловечным или унижа</w:t>
      </w:r>
      <w:r w:rsidRPr="00421345">
        <w:t>ю</w:t>
      </w:r>
      <w:r w:rsidRPr="00421345">
        <w:t>щим достоинство видам обращения или наказания. Принцип невыдворения я</w:t>
      </w:r>
      <w:r w:rsidRPr="00421345">
        <w:t>в</w:t>
      </w:r>
      <w:r w:rsidRPr="00421345">
        <w:t>ляется также неотъемлемым элементом процедуры предоставления уб</w:t>
      </w:r>
      <w:r w:rsidRPr="00421345">
        <w:t>е</w:t>
      </w:r>
      <w:r w:rsidRPr="00421345">
        <w:t>жища и системы международной защиты беженцев</w:t>
      </w:r>
      <w:r w:rsidRPr="00421345">
        <w:rPr>
          <w:rStyle w:val="FootnoteReference"/>
          <w:spacing w:val="0"/>
          <w:w w:val="100"/>
          <w:position w:val="0"/>
        </w:rPr>
        <w:footnoteReference w:customMarkFollows="1" w:id="26"/>
        <w:t>25</w:t>
      </w:r>
      <w:r w:rsidRPr="00421345">
        <w:t>. Суть принципа состоит в том, что государство не может заставить человека вернуться на территорию, где он или она может подвергнуться преследованиям, в том числе по гендерным пр</w:t>
      </w:r>
      <w:r w:rsidRPr="00421345">
        <w:t>и</w:t>
      </w:r>
      <w:r w:rsidRPr="00421345">
        <w:t>знакам и мотивам. Гендерные формы преследования представляют собой пр</w:t>
      </w:r>
      <w:r w:rsidRPr="00421345">
        <w:t>е</w:t>
      </w:r>
      <w:r w:rsidRPr="00421345">
        <w:t>следование, направленное против женщин как таковых или несоразмерно з</w:t>
      </w:r>
      <w:r w:rsidRPr="00421345">
        <w:t>а</w:t>
      </w:r>
      <w:r w:rsidRPr="00421345">
        <w:t>трагивающее женщин.  Прямое положение о невыдворении содержится в ст</w:t>
      </w:r>
      <w:r w:rsidRPr="00421345">
        <w:t>а</w:t>
      </w:r>
      <w:r w:rsidRPr="00421345">
        <w:t>тье 3 Конвенции против пыток и запрещает высылку того или иного лица из страны, если есть достаточные основания полагать, что он или она может по</w:t>
      </w:r>
      <w:r w:rsidRPr="00421345">
        <w:t>д</w:t>
      </w:r>
      <w:r w:rsidRPr="00421345">
        <w:t>вергнуться угрозе пыток. Обязательства по Международному пакту о гражда</w:t>
      </w:r>
      <w:r w:rsidRPr="00421345">
        <w:t>н</w:t>
      </w:r>
      <w:r w:rsidRPr="00421345">
        <w:t>ских и политических правах, как они толкуются Комитетом по правам человека в его юридической практике</w:t>
      </w:r>
      <w:r w:rsidRPr="00421345">
        <w:rPr>
          <w:rStyle w:val="FootnoteReference"/>
          <w:spacing w:val="0"/>
          <w:w w:val="100"/>
          <w:position w:val="0"/>
        </w:rPr>
        <w:footnoteReference w:customMarkFollows="1" w:id="27"/>
        <w:t>26</w:t>
      </w:r>
      <w:r w:rsidRPr="00421345">
        <w:t>, также включают обязательство государств не экстрадир</w:t>
      </w:r>
      <w:r w:rsidRPr="00421345">
        <w:t>о</w:t>
      </w:r>
      <w:r w:rsidRPr="00421345">
        <w:t>вать, не депортировать, не высылать и не выдворять каким-либо иным образом лицо со своей территории, когда имеются серьезные основания пол</w:t>
      </w:r>
      <w:r w:rsidRPr="00421345">
        <w:t>а</w:t>
      </w:r>
      <w:r w:rsidRPr="00421345">
        <w:t>гать, что в государстве, куда это лицо будет или может быть впоследствии выслано, существует реальная опасность причинения непоправимого вреда, в частности ог</w:t>
      </w:r>
      <w:r w:rsidRPr="00421345">
        <w:t>о</w:t>
      </w:r>
      <w:r w:rsidRPr="00421345">
        <w:t>вариваемого в статье 6 о праве на жизнь и статье 7 о праве не подвергаться пыткам и другим жестоким, бесчеловечным или унижающим достоинство в</w:t>
      </w:r>
      <w:r w:rsidRPr="00421345">
        <w:t>и</w:t>
      </w:r>
      <w:r w:rsidRPr="00421345">
        <w:t>дам обращения или наказания Пакта</w:t>
      </w:r>
      <w:r w:rsidRPr="00421345">
        <w:rPr>
          <w:rStyle w:val="FootnoteReference"/>
          <w:spacing w:val="0"/>
          <w:w w:val="100"/>
          <w:position w:val="0"/>
        </w:rPr>
        <w:footnoteReference w:customMarkFollows="1" w:id="28"/>
        <w:t>27</w:t>
      </w:r>
      <w:r w:rsidRPr="00421345">
        <w:t>.</w:t>
      </w:r>
    </w:p>
    <w:p w:rsidR="00421345" w:rsidRPr="00421345" w:rsidRDefault="00421345" w:rsidP="00421345">
      <w:pPr>
        <w:pStyle w:val="SingleTxt"/>
      </w:pPr>
      <w:r w:rsidRPr="00421345">
        <w:t>8.9</w:t>
      </w:r>
      <w:r w:rsidRPr="00421345">
        <w:tab/>
        <w:t>Абсолютное запрещение пыток, которое является частью международного обычного права, включает в качестве существенного сопутствующего комп</w:t>
      </w:r>
      <w:r w:rsidRPr="00421345">
        <w:t>о</w:t>
      </w:r>
      <w:r w:rsidRPr="00421345">
        <w:t>нента положение о запрещении выдворения при наличии опасности пыток, к</w:t>
      </w:r>
      <w:r w:rsidRPr="00421345">
        <w:t>о</w:t>
      </w:r>
      <w:r w:rsidRPr="00421345">
        <w:t>торое предусматривает запрещение любого возвращения лица в страну, где он или она может подвергнуться риску пыток. Это в равной степени относится и к запрещению произвольного лишения жизни. Гендерное насилие поставлено вне закона в первую очередь благодаря запрещению пыток и других жестоких, бесчеловечных или унижающих достоинство видов обращения или наказания. Комитет против пыток в своем Замечании общего порядка № 2 прямо отнес гендерное насилие и жестокое обращение с женщинами к сфере действия Ко</w:t>
      </w:r>
      <w:r w:rsidRPr="00421345">
        <w:t>н</w:t>
      </w:r>
      <w:r w:rsidRPr="00421345">
        <w:t>венции против пыток</w:t>
      </w:r>
      <w:r w:rsidRPr="00421345">
        <w:rPr>
          <w:rStyle w:val="FootnoteReference"/>
          <w:spacing w:val="0"/>
          <w:w w:val="100"/>
          <w:position w:val="0"/>
        </w:rPr>
        <w:footnoteReference w:customMarkFollows="1" w:id="29"/>
        <w:t>28</w:t>
      </w:r>
      <w:r w:rsidRPr="00421345">
        <w:t>.</w:t>
      </w:r>
    </w:p>
    <w:p w:rsidR="00421345" w:rsidRPr="00421345" w:rsidRDefault="00421345" w:rsidP="00421345">
      <w:pPr>
        <w:pStyle w:val="SingleTxt"/>
      </w:pPr>
      <w:r w:rsidRPr="00421345">
        <w:t>8.10</w:t>
      </w:r>
      <w:r w:rsidRPr="00421345">
        <w:tab/>
        <w:t>Со ссылкой на довод государства-участника о том, что ничто в юридич</w:t>
      </w:r>
      <w:r w:rsidRPr="00421345">
        <w:t>е</w:t>
      </w:r>
      <w:r w:rsidRPr="00421345">
        <w:t>ской практике Комитета не указывает на экстерриториальное действие полож</w:t>
      </w:r>
      <w:r w:rsidRPr="00421345">
        <w:t>е</w:t>
      </w:r>
      <w:r w:rsidRPr="00421345">
        <w:t>ний Конвенции, Комитет напоминает о том, что в соответствии со статьей 2</w:t>
      </w:r>
      <w:r w:rsidR="00EA1C97">
        <w:t> (</w:t>
      </w:r>
      <w:r w:rsidRPr="00421345">
        <w:rPr>
          <w:lang w:val="en-US"/>
        </w:rPr>
        <w:t>d</w:t>
      </w:r>
      <w:r w:rsidRPr="00421345">
        <w:t>) Конвенции государства-участники должны воздерживаться от совершения к</w:t>
      </w:r>
      <w:r w:rsidRPr="00421345">
        <w:t>а</w:t>
      </w:r>
      <w:r w:rsidRPr="00421345">
        <w:t>ких-либо дискриминационных актов или действий в отношении женщин и г</w:t>
      </w:r>
      <w:r w:rsidRPr="00421345">
        <w:t>а</w:t>
      </w:r>
      <w:r w:rsidRPr="00421345">
        <w:t>рантировать, что государственные органы и учреждения будут действовать в соответствии с этим обязательством. Эта обязанность действовать включает обязательство государств-участников ограждать женщин от реального, личного и предсказуемого риска подвергнуться серьезным формам гендерного насилия, независимо от того, наступят ли такие последствия за территориальными гр</w:t>
      </w:r>
      <w:r w:rsidRPr="00421345">
        <w:t>а</w:t>
      </w:r>
      <w:r w:rsidRPr="00421345">
        <w:t>ницами высылающего государства: если государство-участник принимает р</w:t>
      </w:r>
      <w:r w:rsidRPr="00421345">
        <w:t>е</w:t>
      </w:r>
      <w:r w:rsidRPr="00421345">
        <w:t>шение в отношении лица под его юрисдикцией, неизбежным и предсказуемым последствием которого станет нарушение прав этого лица по Конвенции в др</w:t>
      </w:r>
      <w:r w:rsidRPr="00421345">
        <w:t>у</w:t>
      </w:r>
      <w:r w:rsidRPr="00421345">
        <w:t>гой юрисдикции, государство-участник само может стать нарушителем Ко</w:t>
      </w:r>
      <w:r w:rsidRPr="00421345">
        <w:t>н</w:t>
      </w:r>
      <w:r w:rsidRPr="00421345">
        <w:t>венции. Например, государство-участник само нарушит Конвенцию, если оно вышлет то или иное лицо в другое государство в ситуации, когда можно было предвидеть, что это повлечет за собой серьезные акты гендерного насилия</w:t>
      </w:r>
      <w:r w:rsidRPr="00421345">
        <w:rPr>
          <w:rStyle w:val="FootnoteReference"/>
          <w:spacing w:val="0"/>
          <w:w w:val="100"/>
          <w:position w:val="0"/>
        </w:rPr>
        <w:footnoteReference w:customMarkFollows="1" w:id="30"/>
        <w:t>29</w:t>
      </w:r>
      <w:r w:rsidRPr="00421345">
        <w:t>. Возможность предвидения последствий означала бы, что государство-участник допустило нарушение, даже несмотря на то, что последствия наступят только через некоторое время. Степень серьезности гендерного насилия будет зав</w:t>
      </w:r>
      <w:r w:rsidRPr="00421345">
        <w:t>и</w:t>
      </w:r>
      <w:r w:rsidRPr="00421345">
        <w:t>сеть от обстоятельств каждого дела и рассмотрения Комитетом, исходя из ка</w:t>
      </w:r>
      <w:r w:rsidRPr="00421345">
        <w:t>ж</w:t>
      </w:r>
      <w:r w:rsidRPr="00421345">
        <w:t xml:space="preserve">дого конкретного случая в отдельности, существа дела, при условии что автор доказал prima facie обоснованность своих претензий в Комитете, представив достаточно веские аргументы в их обоснование. </w:t>
      </w:r>
    </w:p>
    <w:p w:rsidR="00421345" w:rsidRPr="00421345" w:rsidRDefault="00421345" w:rsidP="00421345">
      <w:pPr>
        <w:pStyle w:val="SingleTxt"/>
      </w:pPr>
      <w:r w:rsidRPr="00421345">
        <w:t>8.11</w:t>
      </w:r>
      <w:r w:rsidRPr="00421345">
        <w:tab/>
        <w:t>Касаясь рассматриваемого дела, Комитет отмечает утверждение автора о том, что она опасается быть подвергнутой калечащей операции на женских п</w:t>
      </w:r>
      <w:r w:rsidRPr="00421345">
        <w:t>о</w:t>
      </w:r>
      <w:r w:rsidRPr="00421345">
        <w:t>ловых органах ее отцом и его семьей в случае своего возвращения в Уганду. Кроме того, он отмечает, что, согласно информации, представленной автором датским властям, занимающимся вопросами предоставления убежища, и с уч</w:t>
      </w:r>
      <w:r w:rsidRPr="00421345">
        <w:t>е</w:t>
      </w:r>
      <w:r w:rsidRPr="00421345">
        <w:t>том ее сообщения, направленного Комитету, она не встречалась со своим отцом после достижения 9</w:t>
      </w:r>
      <w:r w:rsidR="00B41B68">
        <w:noBreakHyphen/>
      </w:r>
      <w:r w:rsidRPr="00421345">
        <w:t>летнего возраста и не осведомлена о каких-либо родственниках, женщинах, состоящих с ней в родстве, либо любых других женщинах, которые были подвергнуты обрезанию. Помимо этого, автор представила противоречивую информацию в отношении своего этнического происхождения/рода/племени в</w:t>
      </w:r>
      <w:r w:rsidR="00B41B68">
        <w:t> </w:t>
      </w:r>
      <w:r w:rsidRPr="00421345">
        <w:t>Уганде и, несмотря на неоднократные просьбы Комитета (см. пункты 2.8−2.10), не представила какого-либо независимого свид</w:t>
      </w:r>
      <w:r w:rsidRPr="00421345">
        <w:t>е</w:t>
      </w:r>
      <w:r w:rsidRPr="00421345">
        <w:t>тельства в поддержку своих утверждений о том, что женщины, принадлежащие к этн</w:t>
      </w:r>
      <w:r w:rsidRPr="00421345">
        <w:t>и</w:t>
      </w:r>
      <w:r w:rsidRPr="00421345">
        <w:t>ческой группе/племени моджишу, по-прежнему подвергаются калечащим операциям на женских половых органах в Уганде и что обрезание женщин применяется ко взрослым женщинам, уже родившим ребенка или нескольких детей. Даже если допустить, что датские власти занимающиеся вопросами предоставления убежища, могли совершить ошибки в написании названия р</w:t>
      </w:r>
      <w:r w:rsidRPr="00421345">
        <w:t>о</w:t>
      </w:r>
      <w:r w:rsidRPr="00421345">
        <w:t>да/племени и что по этнической/племенной принадлежности автор действ</w:t>
      </w:r>
      <w:r w:rsidRPr="00421345">
        <w:t>и</w:t>
      </w:r>
      <w:r w:rsidRPr="00421345">
        <w:t>тельно относится к баджишу, баджису или муджису, автор не представила к</w:t>
      </w:r>
      <w:r w:rsidRPr="00421345">
        <w:t>а</w:t>
      </w:r>
      <w:r w:rsidRPr="00421345">
        <w:t>кого-либо независимого свидетельства, подтверждающего, что женщины, пр</w:t>
      </w:r>
      <w:r w:rsidRPr="00421345">
        <w:t>и</w:t>
      </w:r>
      <w:r w:rsidRPr="00421345">
        <w:t>надлежащие к этнической группе/племени баджишу, баджису или муджису, действительно подвергаются калечащим операциям на женских половых орг</w:t>
      </w:r>
      <w:r w:rsidRPr="00421345">
        <w:t>а</w:t>
      </w:r>
      <w:r w:rsidRPr="00421345">
        <w:t>нах в Уганде. В этой связи Комитет также отмечает, что Закон о запрете кал</w:t>
      </w:r>
      <w:r w:rsidRPr="00421345">
        <w:t>е</w:t>
      </w:r>
      <w:r w:rsidRPr="00421345">
        <w:t>чащих операций на женских половых органах вступил в силу в Уганде 9 апреля 2010</w:t>
      </w:r>
      <w:r>
        <w:t> год</w:t>
      </w:r>
      <w:r w:rsidRPr="00421345">
        <w:t xml:space="preserve">а. </w:t>
      </w:r>
    </w:p>
    <w:p w:rsidR="00421345" w:rsidRPr="00421345" w:rsidRDefault="00421345" w:rsidP="00421345">
      <w:pPr>
        <w:pStyle w:val="SingleTxt"/>
      </w:pPr>
      <w:r w:rsidRPr="00421345">
        <w:t>8.12</w:t>
      </w:r>
      <w:r w:rsidRPr="00421345">
        <w:tab/>
        <w:t>С учетом этих обстоятельств и в связи с отсутствием в деле какой-либо другой информации по этому вопросу Комитет считает, что автор не предст</w:t>
      </w:r>
      <w:r w:rsidRPr="00421345">
        <w:t>а</w:t>
      </w:r>
      <w:r w:rsidRPr="00421345">
        <w:t>вила достаточного обоснования для целей приемлемости утверждения о том, что ее высылка из Дании в Уганду подвергнет ее реальному, личному и пре</w:t>
      </w:r>
      <w:r w:rsidRPr="00421345">
        <w:t>д</w:t>
      </w:r>
      <w:r w:rsidRPr="00421345">
        <w:t>сказуемому риску стать жертвой серьезных форм гендерного насилия. Комитет отмечает, что согласно статье 4</w:t>
      </w:r>
      <w:r w:rsidR="00EA1C97">
        <w:t> (</w:t>
      </w:r>
      <w:r w:rsidRPr="00421345">
        <w:t>2)</w:t>
      </w:r>
      <w:r w:rsidR="00EA1C97">
        <w:t> (</w:t>
      </w:r>
      <w:r w:rsidRPr="00421345">
        <w:rPr>
          <w:lang w:val="en-US"/>
        </w:rPr>
        <w:t>c</w:t>
      </w:r>
      <w:r w:rsidRPr="00421345">
        <w:t>) Факультативного протокола он должен объявить сообщение неприемлемым, если оно недостаточно обосновано. Т</w:t>
      </w:r>
      <w:r w:rsidRPr="00421345">
        <w:t>а</w:t>
      </w:r>
      <w:r w:rsidRPr="00421345">
        <w:t>ким образом, Комитет приходит к выводу, что данное сообщение является н</w:t>
      </w:r>
      <w:r w:rsidRPr="00421345">
        <w:t>е</w:t>
      </w:r>
      <w:r w:rsidRPr="00421345">
        <w:t>приемлемым по смыслу статьи 4</w:t>
      </w:r>
      <w:r w:rsidR="00EA1C97">
        <w:t> (</w:t>
      </w:r>
      <w:r w:rsidRPr="00421345">
        <w:t>2)</w:t>
      </w:r>
      <w:r w:rsidR="00EA1C97">
        <w:t> (</w:t>
      </w:r>
      <w:r w:rsidRPr="00421345">
        <w:t>с) Факультативного протокола.</w:t>
      </w:r>
    </w:p>
    <w:p w:rsidR="00421345" w:rsidRPr="00421345" w:rsidRDefault="00421345" w:rsidP="00421345">
      <w:pPr>
        <w:pStyle w:val="SingleTxt"/>
      </w:pPr>
      <w:r w:rsidRPr="00421345">
        <w:t>8.13</w:t>
      </w:r>
      <w:r w:rsidRPr="00421345">
        <w:tab/>
        <w:t>В свете этого вывода Комитет не считает необходимым рассматривать любые другие основания неприемлемости, на которые ссылается государств</w:t>
      </w:r>
      <w:r w:rsidRPr="00421345">
        <w:t>о</w:t>
      </w:r>
      <w:r w:rsidRPr="00421345">
        <w:t>-участник.</w:t>
      </w:r>
    </w:p>
    <w:p w:rsidR="00421345" w:rsidRPr="00421345" w:rsidRDefault="00421345" w:rsidP="00421345">
      <w:pPr>
        <w:pStyle w:val="SingleTxt"/>
      </w:pPr>
      <w:r w:rsidRPr="00421345">
        <w:t>9.</w:t>
      </w:r>
      <w:r w:rsidRPr="00421345">
        <w:tab/>
        <w:t>В силу вышеизложенного Комитет постановляет:</w:t>
      </w:r>
    </w:p>
    <w:p w:rsidR="00421345" w:rsidRPr="00421345" w:rsidRDefault="00421345" w:rsidP="00421345">
      <w:pPr>
        <w:pStyle w:val="SingleTxt"/>
      </w:pPr>
      <w:r w:rsidRPr="00421345">
        <w:tab/>
        <w:t>a)</w:t>
      </w:r>
      <w:r w:rsidRPr="00421345">
        <w:tab/>
        <w:t>признать данное сообщение неприемлемым по смыслу статьи 4</w:t>
      </w:r>
      <w:r w:rsidR="00EA1C97">
        <w:t> (</w:t>
      </w:r>
      <w:r w:rsidRPr="00421345">
        <w:t>2)</w:t>
      </w:r>
      <w:r w:rsidR="00EA1C97">
        <w:t> (</w:t>
      </w:r>
      <w:r w:rsidRPr="00421345">
        <w:t>с) Факультативного протокола;</w:t>
      </w:r>
    </w:p>
    <w:p w:rsidR="00421345" w:rsidRPr="00421345" w:rsidRDefault="00421345" w:rsidP="00421345">
      <w:pPr>
        <w:pStyle w:val="SingleTxt"/>
      </w:pPr>
      <w:r w:rsidRPr="00421345">
        <w:tab/>
        <w:t>b)</w:t>
      </w:r>
      <w:r w:rsidRPr="00421345">
        <w:tab/>
        <w:t>довести настоящее решение до сведения государства-участника и а</w:t>
      </w:r>
      <w:r w:rsidRPr="00421345">
        <w:t>в</w:t>
      </w:r>
      <w:r w:rsidRPr="00421345">
        <w:t>тора сообщения.</w:t>
      </w:r>
    </w:p>
    <w:p w:rsidR="00546F5D" w:rsidRPr="00390FE7" w:rsidRDefault="004B2696" w:rsidP="00A63F54">
      <w:pPr>
        <w:pStyle w:val="SingleTxt"/>
      </w:pPr>
      <w:r w:rsidRPr="00390FE7">
        <w:rPr>
          <w:noProof/>
        </w:rPr>
        <w:pict>
          <v:line id="_x0000_s1027" style="position:absolute;left:0;text-align:left;z-index:1" from="209pt,40pt" to="281pt,40pt" strokeweight=".25pt"/>
        </w:pict>
      </w:r>
      <w:r w:rsidR="00421345" w:rsidRPr="00421345">
        <w:t>[Принято на арабском, китайском, английском, французском, русском и испанском языках, оригиналом явл</w:t>
      </w:r>
      <w:r w:rsidR="00421345" w:rsidRPr="00421345">
        <w:t>я</w:t>
      </w:r>
      <w:r w:rsidR="00421345" w:rsidRPr="00421345">
        <w:t>ется текст на английском языке.]</w:t>
      </w:r>
    </w:p>
    <w:sectPr w:rsidR="00546F5D" w:rsidRPr="00390FE7" w:rsidSect="00B934DA">
      <w:type w:val="continuous"/>
      <w:pgSz w:w="12240" w:h="15840" w:code="1"/>
      <w:pgMar w:top="1742" w:right="1195" w:bottom="1901" w:left="1195" w:header="576" w:footer="1037" w:gutter="0"/>
      <w:pgNumType w:start="1"/>
      <w:cols w:space="720"/>
      <w:noEndnote/>
      <w:docGrid w:linePitch="278"/>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3-09-19T10:24:00Z" w:initials="Start">
    <w:p w:rsidR="0036057C" w:rsidRDefault="00FA27A4">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0036057C">
        <w:t>&lt;&lt;ODS JOB NO&gt;&gt;N1342829R&lt;&lt;ODS JOB NO&gt;&gt;</w:t>
      </w:r>
    </w:p>
    <w:p w:rsidR="0036057C" w:rsidRDefault="0036057C">
      <w:pPr>
        <w:pStyle w:val="CommentText"/>
      </w:pPr>
      <w:r>
        <w:t>&lt;&lt;ODS DOC SYMBOL1&gt;&gt;CEDAW/C/55/D/33/2011&lt;&lt;ODS DOC SYMBOL1&gt;&gt;</w:t>
      </w:r>
    </w:p>
    <w:p w:rsidR="0036057C" w:rsidRDefault="0036057C">
      <w:pPr>
        <w:pStyle w:val="CommentText"/>
      </w:pPr>
      <w:r>
        <w:t>&lt;&lt;ODS DOC SYMBOL2&gt;&gt;&lt;&lt;ODS DOC SYMBOL2&gt;&gt;</w:t>
      </w:r>
    </w:p>
    <w:p w:rsidR="00FA27A4" w:rsidRDefault="00FA27A4">
      <w:pPr>
        <w:pStyle w:val="CommentText"/>
      </w:pP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66E2" w:rsidRDefault="002666E2">
      <w:r>
        <w:separator/>
      </w:r>
    </w:p>
  </w:endnote>
  <w:endnote w:type="continuationSeparator" w:id="0">
    <w:p w:rsidR="002666E2" w:rsidRDefault="002666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arcode 3 of 9 by request">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FA27A4" w:rsidTr="00266F2A">
      <w:tblPrEx>
        <w:tblCellMar>
          <w:top w:w="0" w:type="dxa"/>
          <w:bottom w:w="0" w:type="dxa"/>
        </w:tblCellMar>
      </w:tblPrEx>
      <w:tc>
        <w:tcPr>
          <w:tcW w:w="5033" w:type="dxa"/>
          <w:shd w:val="clear" w:color="auto" w:fill="auto"/>
        </w:tcPr>
        <w:p w:rsidR="00FA27A4" w:rsidRPr="00FA27A4" w:rsidRDefault="00FA27A4" w:rsidP="00266F2A">
          <w:pPr>
            <w:pStyle w:val="Footer"/>
            <w:jc w:val="right"/>
            <w:rPr>
              <w:b w:val="0"/>
              <w:w w:val="103"/>
              <w:sz w:val="14"/>
            </w:rPr>
          </w:pPr>
          <w:r w:rsidRPr="0033591D">
            <w:rPr>
              <w:b w:val="0"/>
              <w:w w:val="103"/>
              <w:sz w:val="14"/>
            </w:rPr>
            <w:t>13-4</w:t>
          </w:r>
          <w:r>
            <w:rPr>
              <w:b w:val="0"/>
              <w:w w:val="103"/>
              <w:sz w:val="14"/>
              <w:lang w:val="ru-RU"/>
            </w:rPr>
            <w:t>2829</w:t>
          </w:r>
          <w:r>
            <w:rPr>
              <w:b w:val="0"/>
              <w:w w:val="103"/>
              <w:sz w:val="14"/>
            </w:rPr>
            <w:t xml:space="preserve"> X</w:t>
          </w:r>
        </w:p>
      </w:tc>
      <w:tc>
        <w:tcPr>
          <w:tcW w:w="5033" w:type="dxa"/>
          <w:shd w:val="clear" w:color="auto" w:fill="auto"/>
        </w:tcPr>
        <w:p w:rsidR="00FA27A4" w:rsidRPr="00266F2A" w:rsidRDefault="00FA27A4" w:rsidP="00266F2A">
          <w:pPr>
            <w:pStyle w:val="Footer"/>
            <w:rPr>
              <w:w w:val="103"/>
            </w:rPr>
          </w:pPr>
          <w:r>
            <w:rPr>
              <w:w w:val="103"/>
            </w:rPr>
            <w:fldChar w:fldCharType="begin"/>
          </w:r>
          <w:r>
            <w:rPr>
              <w:w w:val="103"/>
            </w:rPr>
            <w:instrText xml:space="preserve"> PAGE  \* MERGEFORMAT </w:instrText>
          </w:r>
          <w:r>
            <w:rPr>
              <w:w w:val="103"/>
            </w:rPr>
            <w:fldChar w:fldCharType="separate"/>
          </w:r>
          <w:r w:rsidR="005F30B2">
            <w:rPr>
              <w:w w:val="103"/>
            </w:rPr>
            <w:t>4</w:t>
          </w:r>
          <w:r>
            <w:rPr>
              <w:w w:val="103"/>
            </w:rPr>
            <w:fldChar w:fldCharType="end"/>
          </w:r>
          <w:r>
            <w:rPr>
              <w:w w:val="103"/>
            </w:rPr>
            <w:t>/</w:t>
          </w:r>
          <w:r>
            <w:rPr>
              <w:rStyle w:val="PageNumber"/>
            </w:rPr>
            <w:fldChar w:fldCharType="begin"/>
          </w:r>
          <w:r>
            <w:rPr>
              <w:rStyle w:val="PageNumber"/>
            </w:rPr>
            <w:instrText xml:space="preserve"> NUMPAGES </w:instrText>
          </w:r>
          <w:r>
            <w:rPr>
              <w:rStyle w:val="PageNumber"/>
            </w:rPr>
            <w:fldChar w:fldCharType="separate"/>
          </w:r>
          <w:r w:rsidR="005F30B2">
            <w:rPr>
              <w:rStyle w:val="PageNumber"/>
            </w:rPr>
            <w:t>21</w:t>
          </w:r>
          <w:r>
            <w:rPr>
              <w:rStyle w:val="PageNumber"/>
            </w:rPr>
            <w:fldChar w:fldCharType="end"/>
          </w:r>
        </w:p>
      </w:tc>
    </w:tr>
  </w:tbl>
  <w:p w:rsidR="00FA27A4" w:rsidRPr="00266F2A" w:rsidRDefault="00FA27A4" w:rsidP="00266F2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FA27A4" w:rsidTr="00266F2A">
      <w:tblPrEx>
        <w:tblCellMar>
          <w:top w:w="0" w:type="dxa"/>
          <w:bottom w:w="0" w:type="dxa"/>
        </w:tblCellMar>
      </w:tblPrEx>
      <w:tc>
        <w:tcPr>
          <w:tcW w:w="5033" w:type="dxa"/>
          <w:shd w:val="clear" w:color="auto" w:fill="auto"/>
        </w:tcPr>
        <w:p w:rsidR="00FA27A4" w:rsidRPr="00266F2A" w:rsidRDefault="00FA27A4" w:rsidP="00266F2A">
          <w:pPr>
            <w:pStyle w:val="Footer"/>
            <w:jc w:val="right"/>
            <w:rPr>
              <w:w w:val="103"/>
            </w:rPr>
          </w:pPr>
          <w:r>
            <w:rPr>
              <w:w w:val="103"/>
            </w:rPr>
            <w:fldChar w:fldCharType="begin"/>
          </w:r>
          <w:r>
            <w:rPr>
              <w:w w:val="103"/>
            </w:rPr>
            <w:instrText xml:space="preserve"> PAGE  \* MERGEFORMAT </w:instrText>
          </w:r>
          <w:r>
            <w:rPr>
              <w:w w:val="103"/>
            </w:rPr>
            <w:fldChar w:fldCharType="separate"/>
          </w:r>
          <w:r w:rsidR="005F30B2">
            <w:rPr>
              <w:w w:val="103"/>
            </w:rPr>
            <w:t>3</w:t>
          </w:r>
          <w:r>
            <w:rPr>
              <w:w w:val="103"/>
            </w:rPr>
            <w:fldChar w:fldCharType="end"/>
          </w:r>
          <w:r>
            <w:rPr>
              <w:w w:val="103"/>
            </w:rPr>
            <w:t>/</w:t>
          </w:r>
          <w:r>
            <w:rPr>
              <w:rStyle w:val="PageNumber"/>
            </w:rPr>
            <w:fldChar w:fldCharType="begin"/>
          </w:r>
          <w:r>
            <w:rPr>
              <w:rStyle w:val="PageNumber"/>
            </w:rPr>
            <w:instrText xml:space="preserve"> NUMPAGES </w:instrText>
          </w:r>
          <w:r>
            <w:rPr>
              <w:rStyle w:val="PageNumber"/>
            </w:rPr>
            <w:fldChar w:fldCharType="separate"/>
          </w:r>
          <w:r w:rsidR="005F30B2">
            <w:rPr>
              <w:rStyle w:val="PageNumber"/>
            </w:rPr>
            <w:t>21</w:t>
          </w:r>
          <w:r>
            <w:rPr>
              <w:rStyle w:val="PageNumber"/>
            </w:rPr>
            <w:fldChar w:fldCharType="end"/>
          </w:r>
        </w:p>
      </w:tc>
      <w:tc>
        <w:tcPr>
          <w:tcW w:w="5033" w:type="dxa"/>
          <w:shd w:val="clear" w:color="auto" w:fill="auto"/>
        </w:tcPr>
        <w:p w:rsidR="00FA27A4" w:rsidRPr="00FA27A4" w:rsidRDefault="00FA27A4" w:rsidP="00266F2A">
          <w:pPr>
            <w:pStyle w:val="Footer"/>
            <w:rPr>
              <w:b w:val="0"/>
              <w:w w:val="103"/>
              <w:sz w:val="14"/>
            </w:rPr>
          </w:pPr>
          <w:r w:rsidRPr="0033591D">
            <w:rPr>
              <w:b w:val="0"/>
              <w:w w:val="103"/>
              <w:sz w:val="14"/>
            </w:rPr>
            <w:t>13-4</w:t>
          </w:r>
          <w:r>
            <w:rPr>
              <w:b w:val="0"/>
              <w:w w:val="103"/>
              <w:sz w:val="14"/>
              <w:lang w:val="ru-RU"/>
            </w:rPr>
            <w:t>2829</w:t>
          </w:r>
          <w:r>
            <w:rPr>
              <w:b w:val="0"/>
              <w:w w:val="103"/>
              <w:sz w:val="14"/>
            </w:rPr>
            <w:t xml:space="preserve"> X</w:t>
          </w:r>
        </w:p>
      </w:tc>
    </w:tr>
  </w:tbl>
  <w:p w:rsidR="00FA27A4" w:rsidRPr="00266F2A" w:rsidRDefault="00FA27A4" w:rsidP="00266F2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3762"/>
      <w:gridCol w:w="4644"/>
    </w:tblGrid>
    <w:tr w:rsidR="00FA27A4" w:rsidTr="0036057C">
      <w:tblPrEx>
        <w:tblCellMar>
          <w:top w:w="0" w:type="dxa"/>
          <w:bottom w:w="0" w:type="dxa"/>
        </w:tblCellMar>
      </w:tblPrEx>
      <w:tc>
        <w:tcPr>
          <w:tcW w:w="3762" w:type="dxa"/>
        </w:tcPr>
        <w:p w:rsidR="00FA27A4" w:rsidRDefault="00FA27A4" w:rsidP="00266F2A">
          <w:pPr>
            <w:pStyle w:val="Footer"/>
            <w:rPr>
              <w:b w:val="0"/>
              <w:sz w:val="20"/>
            </w:rPr>
          </w:pPr>
          <w:r>
            <w:rPr>
              <w:b w:val="0"/>
              <w:sz w:val="20"/>
            </w:rPr>
            <w:t>13-4</w:t>
          </w:r>
          <w:r>
            <w:rPr>
              <w:b w:val="0"/>
              <w:sz w:val="20"/>
              <w:lang w:val="ru-RU"/>
            </w:rPr>
            <w:t xml:space="preserve">2829 </w:t>
          </w:r>
          <w:r>
            <w:rPr>
              <w:b w:val="0"/>
              <w:sz w:val="20"/>
            </w:rPr>
            <w:t>X (R)   190913   190913</w:t>
          </w:r>
        </w:p>
        <w:p w:rsidR="00FA27A4" w:rsidRPr="00567FCD" w:rsidRDefault="00FA27A4" w:rsidP="00266F2A">
          <w:pPr>
            <w:pStyle w:val="Footer"/>
            <w:spacing w:before="80" w:line="210" w:lineRule="exact"/>
            <w:rPr>
              <w:rFonts w:ascii="Barcode 3 of 9 by request" w:hAnsi="Barcode 3 of 9 by request"/>
              <w:b w:val="0"/>
              <w:sz w:val="24"/>
            </w:rPr>
          </w:pPr>
          <w:r w:rsidRPr="00567FCD">
            <w:rPr>
              <w:rFonts w:ascii="Barcode 3 of 9 by request" w:hAnsi="Barcode 3 of 9 by request"/>
              <w:b w:val="0"/>
              <w:sz w:val="24"/>
            </w:rPr>
            <w:t>*134</w:t>
          </w:r>
          <w:r w:rsidRPr="00567FCD">
            <w:rPr>
              <w:rFonts w:ascii="Barcode 3 of 9 by request" w:hAnsi="Barcode 3 of 9 by request"/>
              <w:b w:val="0"/>
              <w:sz w:val="24"/>
              <w:lang w:val="ru-RU"/>
            </w:rPr>
            <w:t>2829</w:t>
          </w:r>
          <w:r w:rsidRPr="00567FCD">
            <w:rPr>
              <w:rFonts w:ascii="Barcode 3 of 9 by request" w:hAnsi="Barcode 3 of 9 by request"/>
              <w:b w:val="0"/>
              <w:sz w:val="24"/>
            </w:rPr>
            <w:t>*</w:t>
          </w:r>
        </w:p>
      </w:tc>
      <w:tc>
        <w:tcPr>
          <w:tcW w:w="4644" w:type="dxa"/>
        </w:tcPr>
        <w:p w:rsidR="00FA27A4" w:rsidRDefault="0036057C" w:rsidP="00266F2A">
          <w:pPr>
            <w:pStyle w:val="Footer"/>
            <w:jc w:val="right"/>
            <w:rPr>
              <w:b w:val="0"/>
              <w:sz w:val="20"/>
            </w:rPr>
          </w:pPr>
          <w:r>
            <w:rPr>
              <w:b w:val="0"/>
              <w:sz w:val="20"/>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236.85pt;margin-top:-42.55pt;width:57.9pt;height:57.9pt;z-index:1;mso-position-horizontal-relative:page;mso-position-vertical-relative:page" o:preferrelative="f">
                <v:imagedata r:id="rId1" o:title="2011&amp;Size =1&amp;Lang = R"/>
                <w10:wrap anchorx="page" anchory="page"/>
              </v:shape>
            </w:pict>
          </w:r>
          <w:r w:rsidR="00FA27A4" w:rsidRPr="00DD0492">
            <w:rPr>
              <w:position w:val="-6"/>
              <w:sz w:val="20"/>
            </w:rPr>
            <w:pict>
              <v:shape id="_x0000_i1026" type="#_x0000_t75" style="width:222pt;height:19.5pt">
                <v:imagedata r:id="rId2" o:title="recycle_Russian"/>
              </v:shape>
            </w:pict>
          </w:r>
        </w:p>
      </w:tc>
    </w:tr>
  </w:tbl>
  <w:p w:rsidR="00FA27A4" w:rsidRPr="00266F2A" w:rsidRDefault="00FA27A4" w:rsidP="00266F2A">
    <w:pPr>
      <w:pStyle w:val="Footer"/>
      <w:spacing w:line="56" w:lineRule="auto"/>
      <w:rPr>
        <w:b w:val="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66E2" w:rsidRPr="00EA1C97" w:rsidRDefault="002666E2" w:rsidP="00EA1C97">
      <w:pPr>
        <w:pStyle w:val="Footer"/>
        <w:tabs>
          <w:tab w:val="clear" w:pos="4320"/>
          <w:tab w:val="clear" w:pos="8640"/>
          <w:tab w:val="left" w:pos="907"/>
          <w:tab w:val="left" w:leader="underscore" w:pos="2268"/>
        </w:tabs>
        <w:spacing w:after="80"/>
        <w:rPr>
          <w:lang w:val="ru-RU"/>
        </w:rPr>
      </w:pPr>
      <w:r>
        <w:rPr>
          <w:lang w:val="ru-RU"/>
        </w:rPr>
        <w:tab/>
      </w:r>
      <w:r>
        <w:rPr>
          <w:lang w:val="ru-RU"/>
        </w:rPr>
        <w:tab/>
      </w:r>
    </w:p>
  </w:footnote>
  <w:footnote w:type="continuationSeparator" w:id="0">
    <w:p w:rsidR="002666E2" w:rsidRDefault="002666E2">
      <w:r>
        <w:continuationSeparator/>
      </w:r>
    </w:p>
  </w:footnote>
  <w:footnote w:id="1">
    <w:p w:rsidR="00FA27A4" w:rsidRPr="00421345" w:rsidRDefault="00FA27A4" w:rsidP="00AA4D84">
      <w:pPr>
        <w:pStyle w:val="FootnoteText"/>
        <w:tabs>
          <w:tab w:val="clear" w:pos="418"/>
          <w:tab w:val="right" w:pos="1045"/>
          <w:tab w:val="right" w:pos="1195"/>
          <w:tab w:val="left" w:pos="1267"/>
          <w:tab w:val="left" w:pos="1742"/>
          <w:tab w:val="left" w:pos="2218"/>
          <w:tab w:val="left" w:pos="2693"/>
        </w:tabs>
        <w:ind w:left="1248" w:right="1264" w:hanging="227"/>
        <w:rPr>
          <w:spacing w:val="0"/>
          <w:w w:val="100"/>
          <w:kern w:val="0"/>
          <w:lang w:val="ru-RU"/>
        </w:rPr>
      </w:pPr>
      <w:r>
        <w:rPr>
          <w:spacing w:val="0"/>
          <w:w w:val="100"/>
          <w:kern w:val="0"/>
          <w:lang w:val="ru-RU"/>
        </w:rPr>
        <w:tab/>
      </w:r>
      <w:r>
        <w:rPr>
          <w:spacing w:val="0"/>
          <w:w w:val="100"/>
          <w:kern w:val="0"/>
          <w:lang w:val="ru-RU"/>
        </w:rPr>
        <w:tab/>
      </w:r>
      <w:r w:rsidRPr="00421345">
        <w:rPr>
          <w:rStyle w:val="FootnoteReference"/>
          <w:spacing w:val="0"/>
          <w:w w:val="100"/>
          <w:kern w:val="0"/>
          <w:position w:val="0"/>
          <w:vertAlign w:val="baseline"/>
          <w:lang w:val="ru-RU"/>
        </w:rPr>
        <w:t>*</w:t>
      </w:r>
      <w:r w:rsidRPr="0036057C">
        <w:rPr>
          <w:spacing w:val="0"/>
          <w:w w:val="100"/>
          <w:kern w:val="0"/>
          <w:lang w:val="ru-RU"/>
        </w:rPr>
        <w:tab/>
      </w:r>
      <w:r w:rsidRPr="00421345">
        <w:rPr>
          <w:spacing w:val="0"/>
          <w:w w:val="100"/>
          <w:kern w:val="0"/>
          <w:lang w:val="ru-RU"/>
        </w:rPr>
        <w:t>В рассмотрении данного сообщения приняли участие следующие члены Комитета:</w:t>
      </w:r>
      <w:r w:rsidRPr="00421345">
        <w:rPr>
          <w:spacing w:val="0"/>
          <w:w w:val="100"/>
          <w:kern w:val="0"/>
          <w:szCs w:val="18"/>
          <w:lang w:val="ru-RU"/>
        </w:rPr>
        <w:t xml:space="preserve"> </w:t>
      </w:r>
      <w:r w:rsidRPr="00421345">
        <w:rPr>
          <w:spacing w:val="0"/>
          <w:w w:val="100"/>
          <w:kern w:val="0"/>
          <w:lang w:val="ru-RU"/>
        </w:rPr>
        <w:t>г</w:t>
      </w:r>
      <w:r w:rsidRPr="00421345">
        <w:rPr>
          <w:spacing w:val="0"/>
          <w:w w:val="100"/>
          <w:kern w:val="0"/>
          <w:lang w:val="ru-RU"/>
        </w:rPr>
        <w:noBreakHyphen/>
        <w:t>жа</w:t>
      </w:r>
      <w:r w:rsidRPr="00421345">
        <w:rPr>
          <w:spacing w:val="0"/>
          <w:w w:val="100"/>
          <w:kern w:val="0"/>
        </w:rPr>
        <w:t> </w:t>
      </w:r>
      <w:r w:rsidRPr="00421345">
        <w:rPr>
          <w:spacing w:val="0"/>
          <w:w w:val="100"/>
          <w:kern w:val="0"/>
          <w:lang w:val="ru-RU"/>
        </w:rPr>
        <w:t>Айше Фериде Ачар, г</w:t>
      </w:r>
      <w:r w:rsidRPr="00421345">
        <w:rPr>
          <w:spacing w:val="0"/>
          <w:w w:val="100"/>
          <w:kern w:val="0"/>
          <w:lang w:val="ru-RU"/>
        </w:rPr>
        <w:noBreakHyphen/>
        <w:t>жа</w:t>
      </w:r>
      <w:r w:rsidRPr="00421345">
        <w:rPr>
          <w:spacing w:val="0"/>
          <w:w w:val="100"/>
          <w:kern w:val="0"/>
        </w:rPr>
        <w:t> </w:t>
      </w:r>
      <w:r w:rsidRPr="00421345">
        <w:rPr>
          <w:spacing w:val="0"/>
          <w:w w:val="100"/>
          <w:kern w:val="0"/>
          <w:lang w:val="ru-RU"/>
        </w:rPr>
        <w:t>Нур Аль-Джехани, г</w:t>
      </w:r>
      <w:r w:rsidRPr="00421345">
        <w:rPr>
          <w:spacing w:val="0"/>
          <w:w w:val="100"/>
          <w:kern w:val="0"/>
          <w:lang w:val="ru-RU"/>
        </w:rPr>
        <w:noBreakHyphen/>
        <w:t>жа</w:t>
      </w:r>
      <w:r w:rsidRPr="00421345">
        <w:rPr>
          <w:spacing w:val="0"/>
          <w:w w:val="100"/>
          <w:kern w:val="0"/>
        </w:rPr>
        <w:t> </w:t>
      </w:r>
      <w:r w:rsidRPr="00421345">
        <w:rPr>
          <w:spacing w:val="0"/>
          <w:w w:val="100"/>
          <w:kern w:val="0"/>
          <w:lang w:val="ru-RU"/>
        </w:rPr>
        <w:t>Барбра Бейли, г</w:t>
      </w:r>
      <w:r w:rsidRPr="00421345">
        <w:rPr>
          <w:spacing w:val="0"/>
          <w:w w:val="100"/>
          <w:kern w:val="0"/>
          <w:lang w:val="ru-RU"/>
        </w:rPr>
        <w:noBreakHyphen/>
        <w:t>жа</w:t>
      </w:r>
      <w:r w:rsidRPr="00421345">
        <w:rPr>
          <w:spacing w:val="0"/>
          <w:w w:val="100"/>
          <w:kern w:val="0"/>
        </w:rPr>
        <w:t> </w:t>
      </w:r>
      <w:r w:rsidRPr="00421345">
        <w:rPr>
          <w:spacing w:val="0"/>
          <w:w w:val="100"/>
          <w:kern w:val="0"/>
          <w:lang w:val="ru-RU"/>
        </w:rPr>
        <w:t>Олинда Барейро-Бобадилья, г</w:t>
      </w:r>
      <w:r w:rsidRPr="00421345">
        <w:rPr>
          <w:spacing w:val="0"/>
          <w:w w:val="100"/>
          <w:kern w:val="0"/>
          <w:lang w:val="ru-RU"/>
        </w:rPr>
        <w:noBreakHyphen/>
        <w:t>н</w:t>
      </w:r>
      <w:r w:rsidRPr="00421345">
        <w:rPr>
          <w:spacing w:val="0"/>
          <w:w w:val="100"/>
          <w:kern w:val="0"/>
        </w:rPr>
        <w:t> </w:t>
      </w:r>
      <w:r w:rsidRPr="00421345">
        <w:rPr>
          <w:spacing w:val="0"/>
          <w:w w:val="100"/>
          <w:kern w:val="0"/>
          <w:lang w:val="ru-RU"/>
        </w:rPr>
        <w:t>Никлас Брун, г</w:t>
      </w:r>
      <w:r w:rsidRPr="00421345">
        <w:rPr>
          <w:spacing w:val="0"/>
          <w:w w:val="100"/>
          <w:kern w:val="0"/>
          <w:lang w:val="ru-RU"/>
        </w:rPr>
        <w:noBreakHyphen/>
        <w:t>жа</w:t>
      </w:r>
      <w:r w:rsidRPr="00421345">
        <w:rPr>
          <w:spacing w:val="0"/>
          <w:w w:val="100"/>
          <w:kern w:val="0"/>
        </w:rPr>
        <w:t> </w:t>
      </w:r>
      <w:r w:rsidRPr="00421345">
        <w:rPr>
          <w:spacing w:val="0"/>
          <w:w w:val="100"/>
          <w:kern w:val="0"/>
          <w:lang w:val="ru-RU"/>
        </w:rPr>
        <w:t>Наела Габр, г</w:t>
      </w:r>
      <w:r w:rsidRPr="00421345">
        <w:rPr>
          <w:spacing w:val="0"/>
          <w:w w:val="100"/>
          <w:kern w:val="0"/>
          <w:lang w:val="ru-RU"/>
        </w:rPr>
        <w:noBreakHyphen/>
        <w:t>жа</w:t>
      </w:r>
      <w:r w:rsidRPr="00421345">
        <w:rPr>
          <w:spacing w:val="0"/>
          <w:w w:val="100"/>
          <w:kern w:val="0"/>
        </w:rPr>
        <w:t> </w:t>
      </w:r>
      <w:r w:rsidRPr="00421345">
        <w:rPr>
          <w:spacing w:val="0"/>
          <w:w w:val="100"/>
          <w:kern w:val="0"/>
          <w:lang w:val="ru-RU"/>
        </w:rPr>
        <w:t>Хилари Гбедемах, г</w:t>
      </w:r>
      <w:r w:rsidRPr="00421345">
        <w:rPr>
          <w:spacing w:val="0"/>
          <w:w w:val="100"/>
          <w:kern w:val="0"/>
          <w:lang w:val="ru-RU"/>
        </w:rPr>
        <w:noBreakHyphen/>
        <w:t>жа</w:t>
      </w:r>
      <w:r w:rsidRPr="00421345">
        <w:rPr>
          <w:spacing w:val="0"/>
          <w:w w:val="100"/>
          <w:kern w:val="0"/>
        </w:rPr>
        <w:t> </w:t>
      </w:r>
      <w:r w:rsidRPr="00421345">
        <w:rPr>
          <w:spacing w:val="0"/>
          <w:w w:val="100"/>
          <w:kern w:val="0"/>
          <w:lang w:val="ru-RU"/>
        </w:rPr>
        <w:t>На</w:t>
      </w:r>
      <w:r>
        <w:rPr>
          <w:spacing w:val="0"/>
          <w:w w:val="100"/>
          <w:kern w:val="0"/>
          <w:lang w:val="ru-RU"/>
        </w:rPr>
        <w:t>е</w:t>
      </w:r>
      <w:r w:rsidRPr="00421345">
        <w:rPr>
          <w:spacing w:val="0"/>
          <w:w w:val="100"/>
          <w:kern w:val="0"/>
          <w:lang w:val="ru-RU"/>
        </w:rPr>
        <w:t>ла Хайдар, г</w:t>
      </w:r>
      <w:r w:rsidRPr="00421345">
        <w:rPr>
          <w:spacing w:val="0"/>
          <w:w w:val="100"/>
          <w:kern w:val="0"/>
          <w:lang w:val="ru-RU"/>
        </w:rPr>
        <w:noBreakHyphen/>
        <w:t>жа</w:t>
      </w:r>
      <w:r w:rsidRPr="00421345">
        <w:rPr>
          <w:spacing w:val="0"/>
          <w:w w:val="100"/>
          <w:kern w:val="0"/>
        </w:rPr>
        <w:t> </w:t>
      </w:r>
      <w:r w:rsidRPr="00421345">
        <w:rPr>
          <w:spacing w:val="0"/>
          <w:w w:val="100"/>
          <w:kern w:val="0"/>
          <w:lang w:val="ru-RU"/>
        </w:rPr>
        <w:t>Рут Гальперин-Каддари, г</w:t>
      </w:r>
      <w:r w:rsidRPr="00421345">
        <w:rPr>
          <w:spacing w:val="0"/>
          <w:w w:val="100"/>
          <w:kern w:val="0"/>
          <w:lang w:val="ru-RU"/>
        </w:rPr>
        <w:noBreakHyphen/>
        <w:t>жа</w:t>
      </w:r>
      <w:r w:rsidRPr="00421345">
        <w:rPr>
          <w:spacing w:val="0"/>
          <w:w w:val="100"/>
          <w:kern w:val="0"/>
        </w:rPr>
        <w:t> </w:t>
      </w:r>
      <w:r w:rsidRPr="00421345">
        <w:rPr>
          <w:spacing w:val="0"/>
          <w:w w:val="100"/>
          <w:kern w:val="0"/>
          <w:lang w:val="ru-RU"/>
        </w:rPr>
        <w:t>Йоко Хаяси, г</w:t>
      </w:r>
      <w:r w:rsidRPr="00421345">
        <w:rPr>
          <w:spacing w:val="0"/>
          <w:w w:val="100"/>
          <w:kern w:val="0"/>
          <w:lang w:val="ru-RU"/>
        </w:rPr>
        <w:noBreakHyphen/>
        <w:t>жа</w:t>
      </w:r>
      <w:r w:rsidRPr="00421345">
        <w:rPr>
          <w:spacing w:val="0"/>
          <w:w w:val="100"/>
          <w:kern w:val="0"/>
        </w:rPr>
        <w:t> </w:t>
      </w:r>
      <w:r w:rsidRPr="00421345">
        <w:rPr>
          <w:spacing w:val="0"/>
          <w:w w:val="100"/>
          <w:kern w:val="0"/>
          <w:lang w:val="ru-RU"/>
        </w:rPr>
        <w:t>Исмат Джахан, г</w:t>
      </w:r>
      <w:r w:rsidRPr="00421345">
        <w:rPr>
          <w:spacing w:val="0"/>
          <w:w w:val="100"/>
          <w:kern w:val="0"/>
          <w:lang w:val="ru-RU"/>
        </w:rPr>
        <w:noBreakHyphen/>
        <w:t>жа</w:t>
      </w:r>
      <w:r w:rsidRPr="00421345">
        <w:rPr>
          <w:spacing w:val="0"/>
          <w:w w:val="100"/>
          <w:kern w:val="0"/>
        </w:rPr>
        <w:t> </w:t>
      </w:r>
      <w:r w:rsidRPr="00421345">
        <w:rPr>
          <w:spacing w:val="0"/>
          <w:w w:val="100"/>
          <w:kern w:val="0"/>
          <w:lang w:val="ru-RU"/>
        </w:rPr>
        <w:t>Далия Лейнарт, г</w:t>
      </w:r>
      <w:r w:rsidRPr="00421345">
        <w:rPr>
          <w:spacing w:val="0"/>
          <w:w w:val="100"/>
          <w:kern w:val="0"/>
          <w:lang w:val="ru-RU"/>
        </w:rPr>
        <w:noBreakHyphen/>
        <w:t>жа</w:t>
      </w:r>
      <w:r w:rsidRPr="00421345">
        <w:rPr>
          <w:spacing w:val="0"/>
          <w:w w:val="100"/>
          <w:kern w:val="0"/>
        </w:rPr>
        <w:t> </w:t>
      </w:r>
      <w:r w:rsidRPr="00421345">
        <w:rPr>
          <w:spacing w:val="0"/>
          <w:w w:val="100"/>
          <w:kern w:val="0"/>
          <w:lang w:val="ru-RU"/>
        </w:rPr>
        <w:t>Виолета Нойбауэр, г</w:t>
      </w:r>
      <w:r w:rsidRPr="00421345">
        <w:rPr>
          <w:spacing w:val="0"/>
          <w:w w:val="100"/>
          <w:kern w:val="0"/>
          <w:lang w:val="ru-RU"/>
        </w:rPr>
        <w:noBreakHyphen/>
        <w:t>жа</w:t>
      </w:r>
      <w:r w:rsidRPr="00421345">
        <w:rPr>
          <w:spacing w:val="0"/>
          <w:w w:val="100"/>
          <w:kern w:val="0"/>
        </w:rPr>
        <w:t> </w:t>
      </w:r>
      <w:r w:rsidRPr="00421345">
        <w:rPr>
          <w:spacing w:val="0"/>
          <w:w w:val="100"/>
          <w:kern w:val="0"/>
          <w:lang w:val="ru-RU"/>
        </w:rPr>
        <w:t>Теодора Нванкво, г</w:t>
      </w:r>
      <w:r w:rsidRPr="00421345">
        <w:rPr>
          <w:spacing w:val="0"/>
          <w:w w:val="100"/>
          <w:kern w:val="0"/>
          <w:lang w:val="ru-RU"/>
        </w:rPr>
        <w:noBreakHyphen/>
        <w:t>жа</w:t>
      </w:r>
      <w:r w:rsidRPr="00421345">
        <w:rPr>
          <w:spacing w:val="0"/>
          <w:w w:val="100"/>
          <w:kern w:val="0"/>
        </w:rPr>
        <w:t> </w:t>
      </w:r>
      <w:r w:rsidRPr="00421345">
        <w:rPr>
          <w:spacing w:val="0"/>
          <w:w w:val="100"/>
          <w:kern w:val="0"/>
          <w:lang w:val="ru-RU"/>
        </w:rPr>
        <w:t>Прамила Паттен, г</w:t>
      </w:r>
      <w:r w:rsidRPr="00421345">
        <w:rPr>
          <w:spacing w:val="0"/>
          <w:w w:val="100"/>
          <w:kern w:val="0"/>
          <w:lang w:val="ru-RU"/>
        </w:rPr>
        <w:noBreakHyphen/>
        <w:t>жа</w:t>
      </w:r>
      <w:r w:rsidRPr="00421345">
        <w:rPr>
          <w:spacing w:val="0"/>
          <w:w w:val="100"/>
          <w:kern w:val="0"/>
        </w:rPr>
        <w:t> </w:t>
      </w:r>
      <w:r w:rsidRPr="00421345">
        <w:rPr>
          <w:spacing w:val="0"/>
          <w:w w:val="100"/>
          <w:kern w:val="0"/>
          <w:lang w:val="ru-RU"/>
        </w:rPr>
        <w:t>Силвия Пиментел, г</w:t>
      </w:r>
      <w:r w:rsidRPr="00421345">
        <w:rPr>
          <w:spacing w:val="0"/>
          <w:w w:val="100"/>
          <w:kern w:val="0"/>
          <w:lang w:val="ru-RU"/>
        </w:rPr>
        <w:noBreakHyphen/>
        <w:t>жа</w:t>
      </w:r>
      <w:r w:rsidRPr="00421345">
        <w:rPr>
          <w:spacing w:val="0"/>
          <w:w w:val="100"/>
          <w:kern w:val="0"/>
        </w:rPr>
        <w:t> </w:t>
      </w:r>
      <w:r w:rsidRPr="00421345">
        <w:rPr>
          <w:spacing w:val="0"/>
          <w:w w:val="100"/>
          <w:kern w:val="0"/>
          <w:lang w:val="ru-RU"/>
        </w:rPr>
        <w:t>Мария Хелена Пирес, г</w:t>
      </w:r>
      <w:r w:rsidRPr="00421345">
        <w:rPr>
          <w:spacing w:val="0"/>
          <w:w w:val="100"/>
          <w:kern w:val="0"/>
          <w:lang w:val="ru-RU"/>
        </w:rPr>
        <w:noBreakHyphen/>
        <w:t>жа</w:t>
      </w:r>
      <w:r w:rsidRPr="00421345">
        <w:rPr>
          <w:spacing w:val="0"/>
          <w:w w:val="100"/>
          <w:kern w:val="0"/>
        </w:rPr>
        <w:t> </w:t>
      </w:r>
      <w:r w:rsidRPr="00421345">
        <w:rPr>
          <w:spacing w:val="0"/>
          <w:w w:val="100"/>
          <w:kern w:val="0"/>
          <w:lang w:val="ru-RU"/>
        </w:rPr>
        <w:t>Бьянкамария Померанци, г</w:t>
      </w:r>
      <w:r w:rsidRPr="00421345">
        <w:rPr>
          <w:spacing w:val="0"/>
          <w:w w:val="100"/>
          <w:kern w:val="0"/>
          <w:lang w:val="ru-RU"/>
        </w:rPr>
        <w:noBreakHyphen/>
        <w:t>жа</w:t>
      </w:r>
      <w:r w:rsidRPr="00421345">
        <w:rPr>
          <w:spacing w:val="0"/>
          <w:w w:val="100"/>
          <w:kern w:val="0"/>
        </w:rPr>
        <w:t> </w:t>
      </w:r>
      <w:r w:rsidRPr="00421345">
        <w:rPr>
          <w:spacing w:val="0"/>
          <w:w w:val="100"/>
          <w:kern w:val="0"/>
          <w:lang w:val="ru-RU"/>
        </w:rPr>
        <w:t>Патриция Шульц, г</w:t>
      </w:r>
      <w:r w:rsidRPr="00421345">
        <w:rPr>
          <w:spacing w:val="0"/>
          <w:w w:val="100"/>
          <w:kern w:val="0"/>
          <w:lang w:val="ru-RU"/>
        </w:rPr>
        <w:noBreakHyphen/>
        <w:t>жа</w:t>
      </w:r>
      <w:r w:rsidRPr="00421345">
        <w:rPr>
          <w:spacing w:val="0"/>
          <w:w w:val="100"/>
          <w:kern w:val="0"/>
        </w:rPr>
        <w:t> </w:t>
      </w:r>
      <w:r w:rsidRPr="00421345">
        <w:rPr>
          <w:spacing w:val="0"/>
          <w:w w:val="100"/>
          <w:kern w:val="0"/>
          <w:lang w:val="ru-RU"/>
        </w:rPr>
        <w:t>Дубравка Шимонович и г</w:t>
      </w:r>
      <w:r w:rsidRPr="00421345">
        <w:rPr>
          <w:spacing w:val="0"/>
          <w:w w:val="100"/>
          <w:kern w:val="0"/>
          <w:lang w:val="ru-RU"/>
        </w:rPr>
        <w:noBreakHyphen/>
        <w:t>жа</w:t>
      </w:r>
      <w:r w:rsidRPr="00421345">
        <w:rPr>
          <w:spacing w:val="0"/>
          <w:w w:val="100"/>
          <w:kern w:val="0"/>
        </w:rPr>
        <w:t> </w:t>
      </w:r>
      <w:r w:rsidRPr="00421345">
        <w:rPr>
          <w:spacing w:val="0"/>
          <w:w w:val="100"/>
          <w:kern w:val="0"/>
          <w:lang w:val="ru-RU"/>
        </w:rPr>
        <w:t>Цзоу Сяоцяо.</w:t>
      </w:r>
    </w:p>
  </w:footnote>
  <w:footnote w:id="2">
    <w:p w:rsidR="00FA27A4" w:rsidRPr="00421345" w:rsidRDefault="00FA27A4" w:rsidP="00AA4D84">
      <w:pPr>
        <w:pStyle w:val="FootnoteText"/>
        <w:tabs>
          <w:tab w:val="clear" w:pos="418"/>
          <w:tab w:val="right" w:pos="1195"/>
          <w:tab w:val="left" w:pos="1267"/>
          <w:tab w:val="left" w:pos="1742"/>
          <w:tab w:val="left" w:pos="2218"/>
          <w:tab w:val="left" w:pos="2693"/>
        </w:tabs>
        <w:ind w:left="1248" w:right="1264" w:hanging="227"/>
        <w:rPr>
          <w:spacing w:val="0"/>
          <w:w w:val="100"/>
          <w:kern w:val="0"/>
          <w:lang w:val="ru-RU"/>
        </w:rPr>
      </w:pPr>
      <w:r w:rsidRPr="00421345">
        <w:rPr>
          <w:spacing w:val="0"/>
          <w:w w:val="100"/>
          <w:kern w:val="0"/>
          <w:lang w:val="ru-RU"/>
        </w:rPr>
        <w:tab/>
      </w:r>
      <w:r w:rsidRPr="00421345">
        <w:rPr>
          <w:rStyle w:val="FootnoteReference"/>
          <w:spacing w:val="0"/>
          <w:w w:val="100"/>
          <w:kern w:val="0"/>
          <w:position w:val="0"/>
          <w:sz w:val="20"/>
        </w:rPr>
        <w:footnoteRef/>
      </w:r>
      <w:r>
        <w:rPr>
          <w:spacing w:val="0"/>
          <w:w w:val="100"/>
          <w:kern w:val="0"/>
          <w:lang w:val="ru-RU"/>
        </w:rPr>
        <w:tab/>
      </w:r>
      <w:r w:rsidRPr="00421345">
        <w:rPr>
          <w:spacing w:val="0"/>
          <w:w w:val="100"/>
          <w:kern w:val="0"/>
          <w:lang w:val="ru-RU"/>
        </w:rPr>
        <w:t>Согласно неофициальному переводу текста письма министерства иностранных дел от 3 сентября 2009</w:t>
      </w:r>
      <w:r>
        <w:rPr>
          <w:spacing w:val="0"/>
          <w:w w:val="100"/>
          <w:kern w:val="0"/>
          <w:lang w:val="ru-RU"/>
        </w:rPr>
        <w:t> год</w:t>
      </w:r>
      <w:r w:rsidRPr="00421345">
        <w:rPr>
          <w:spacing w:val="0"/>
          <w:w w:val="100"/>
          <w:kern w:val="0"/>
          <w:lang w:val="ru-RU"/>
        </w:rPr>
        <w:t>а, который был представлен автором, калечащие операции на женских половых органах в</w:t>
      </w:r>
      <w:r>
        <w:rPr>
          <w:spacing w:val="0"/>
          <w:w w:val="100"/>
          <w:kern w:val="0"/>
          <w:lang w:val="ru-RU"/>
        </w:rPr>
        <w:t> </w:t>
      </w:r>
      <w:r w:rsidRPr="00421345">
        <w:rPr>
          <w:spacing w:val="0"/>
          <w:w w:val="100"/>
          <w:kern w:val="0"/>
          <w:lang w:val="ru-RU"/>
        </w:rPr>
        <w:t>Уганде запрещены законом, однако подобная практика имеет место, хотя и в меньших масштабах. Калечащие операции на женских половых органах в основном практикуются в округах Капчорва, Букво, Бугири, Накапирипирит и Морото, которые расположены в восточной части Уганды. Обрезанию подвергаются главным образом девочки по достижении ими половой зрелости (в</w:t>
      </w:r>
      <w:r>
        <w:rPr>
          <w:spacing w:val="0"/>
          <w:w w:val="100"/>
          <w:kern w:val="0"/>
          <w:lang w:val="ru-RU"/>
        </w:rPr>
        <w:t> </w:t>
      </w:r>
      <w:r w:rsidRPr="00421345">
        <w:rPr>
          <w:spacing w:val="0"/>
          <w:w w:val="100"/>
          <w:kern w:val="0"/>
          <w:lang w:val="ru-RU"/>
        </w:rPr>
        <w:t>возрасте 11–15 лет). Вместе с тем источники не исключают, что уже рожавшая женщина после достижения ею 20</w:t>
      </w:r>
      <w:r w:rsidRPr="00421345">
        <w:rPr>
          <w:spacing w:val="0"/>
          <w:w w:val="100"/>
          <w:kern w:val="0"/>
          <w:lang w:val="ru-RU"/>
        </w:rPr>
        <w:noBreakHyphen/>
        <w:t>летнего возраста также может быть подвергнута обрезанию. Как правило, женщины, проживающие в Кампале, не подвергаются риску обрезания, поскольку там оно обычно не практикуется. В случае переезда в восточную часть Уганды риск увеличивается. Поскольку проведение калечащих операций на женских половых органах в Уганде запрещено законом, одинокая женщина в принципе имеет возможность обратиться к властям за защитой, если она подвергается реальному риску стать жертвой калечащих операций на женских половых органах. Однако есть основания для сомнений в отношении степени защиты, на которую женщины могут реально рассчитывать, учитывая ограниченные возможности и неэффективность работы органов полиции.</w:t>
      </w:r>
    </w:p>
  </w:footnote>
  <w:footnote w:id="3">
    <w:p w:rsidR="00FA27A4" w:rsidRPr="00421345" w:rsidRDefault="00FA27A4" w:rsidP="0042134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48" w:right="1264" w:hanging="227"/>
        <w:rPr>
          <w:spacing w:val="0"/>
          <w:w w:val="100"/>
          <w:kern w:val="0"/>
          <w:szCs w:val="18"/>
          <w:lang w:val="ru-RU"/>
        </w:rPr>
      </w:pPr>
      <w:r w:rsidRPr="0036057C">
        <w:rPr>
          <w:spacing w:val="0"/>
          <w:w w:val="100"/>
          <w:kern w:val="0"/>
          <w:lang w:val="ru-RU"/>
        </w:rPr>
        <w:tab/>
      </w:r>
      <w:r w:rsidRPr="00421345">
        <w:rPr>
          <w:rStyle w:val="FootnoteReference"/>
          <w:spacing w:val="0"/>
          <w:w w:val="100"/>
          <w:kern w:val="0"/>
          <w:position w:val="0"/>
          <w:sz w:val="20"/>
        </w:rPr>
        <w:footnoteRef/>
      </w:r>
      <w:r w:rsidRPr="00421345">
        <w:rPr>
          <w:spacing w:val="0"/>
          <w:w w:val="100"/>
          <w:kern w:val="0"/>
          <w:lang w:val="ru-RU"/>
        </w:rPr>
        <w:tab/>
        <w:t>В ходе рассмотрения дела автора Комиссией по рассмотрению апелляционных жалоб беженцев она, однако, указала, что ее отец относится к роду моджишу, который придерживается традиции проведения обрезания у женщин.</w:t>
      </w:r>
    </w:p>
  </w:footnote>
  <w:footnote w:id="4">
    <w:p w:rsidR="00FA27A4" w:rsidRPr="00421345" w:rsidRDefault="00FA27A4" w:rsidP="0042134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48" w:right="1264" w:hanging="227"/>
        <w:rPr>
          <w:spacing w:val="0"/>
          <w:w w:val="100"/>
          <w:kern w:val="0"/>
          <w:lang w:val="ru-RU"/>
        </w:rPr>
      </w:pPr>
      <w:r w:rsidRPr="0036057C">
        <w:rPr>
          <w:spacing w:val="0"/>
          <w:w w:val="100"/>
          <w:kern w:val="0"/>
          <w:lang w:val="ru-RU"/>
        </w:rPr>
        <w:tab/>
      </w:r>
      <w:r w:rsidRPr="00421345">
        <w:rPr>
          <w:rStyle w:val="FootnoteReference"/>
          <w:spacing w:val="0"/>
          <w:w w:val="100"/>
          <w:kern w:val="0"/>
          <w:position w:val="0"/>
          <w:sz w:val="20"/>
        </w:rPr>
        <w:footnoteRef/>
      </w:r>
      <w:r w:rsidRPr="00421345">
        <w:rPr>
          <w:spacing w:val="0"/>
          <w:w w:val="100"/>
          <w:kern w:val="0"/>
          <w:lang w:val="ru-RU"/>
        </w:rPr>
        <w:tab/>
        <w:t>Приводится ссылка на решение Совета по делам иммиграции и беженцев Канады в связи с</w:t>
      </w:r>
      <w:r>
        <w:rPr>
          <w:spacing w:val="0"/>
          <w:w w:val="100"/>
          <w:kern w:val="0"/>
          <w:lang w:val="ru-RU"/>
        </w:rPr>
        <w:t> </w:t>
      </w:r>
      <w:r w:rsidRPr="00421345">
        <w:rPr>
          <w:spacing w:val="0"/>
          <w:w w:val="100"/>
          <w:kern w:val="0"/>
          <w:lang w:val="ru-RU"/>
        </w:rPr>
        <w:t>рассмотрением дела Т93-12198 (копия в деле отсутствует).</w:t>
      </w:r>
    </w:p>
  </w:footnote>
  <w:footnote w:id="5">
    <w:p w:rsidR="00FA27A4" w:rsidRPr="00421345" w:rsidRDefault="00FA27A4" w:rsidP="0042134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48" w:right="1264" w:hanging="227"/>
        <w:rPr>
          <w:spacing w:val="0"/>
          <w:w w:val="100"/>
          <w:kern w:val="0"/>
          <w:lang w:val="ru-RU"/>
        </w:rPr>
      </w:pPr>
      <w:r w:rsidRPr="00421345">
        <w:rPr>
          <w:spacing w:val="0"/>
          <w:w w:val="100"/>
          <w:kern w:val="0"/>
          <w:lang w:val="ru-RU"/>
        </w:rPr>
        <w:tab/>
      </w:r>
      <w:r w:rsidRPr="00421345">
        <w:rPr>
          <w:rStyle w:val="FootnoteReference"/>
          <w:spacing w:val="0"/>
          <w:w w:val="100"/>
          <w:kern w:val="0"/>
          <w:position w:val="0"/>
          <w:sz w:val="20"/>
        </w:rPr>
        <w:footnoteRef/>
      </w:r>
      <w:r w:rsidRPr="00421345">
        <w:rPr>
          <w:spacing w:val="0"/>
          <w:w w:val="100"/>
          <w:kern w:val="0"/>
          <w:lang w:val="ru-RU"/>
        </w:rPr>
        <w:tab/>
        <w:t>Приводится также ссылка на заключительные замечания Комитета по ликвидации дискриминации в отношении женщин 2002</w:t>
      </w:r>
      <w:r>
        <w:rPr>
          <w:spacing w:val="0"/>
          <w:w w:val="100"/>
          <w:kern w:val="0"/>
          <w:lang w:val="ru-RU"/>
        </w:rPr>
        <w:t> год</w:t>
      </w:r>
      <w:r w:rsidRPr="00421345">
        <w:rPr>
          <w:spacing w:val="0"/>
          <w:w w:val="100"/>
          <w:kern w:val="0"/>
          <w:lang w:val="ru-RU"/>
        </w:rPr>
        <w:t>а по третьему периодическому докладу Уганды (</w:t>
      </w:r>
      <w:r w:rsidRPr="00421345">
        <w:rPr>
          <w:spacing w:val="0"/>
          <w:w w:val="100"/>
          <w:kern w:val="0"/>
          <w:lang w:val="en-US"/>
        </w:rPr>
        <w:t>A</w:t>
      </w:r>
      <w:r w:rsidRPr="00421345">
        <w:rPr>
          <w:spacing w:val="0"/>
          <w:w w:val="100"/>
          <w:kern w:val="0"/>
          <w:lang w:val="ru-RU"/>
        </w:rPr>
        <w:t>/57/38), пункты 135–136, а также на заключительные замечания Комитета по</w:t>
      </w:r>
      <w:r w:rsidRPr="00421345">
        <w:rPr>
          <w:rFonts w:ascii="Times" w:hAnsi="Times" w:cs="Times"/>
          <w:spacing w:val="0"/>
          <w:w w:val="100"/>
          <w:kern w:val="0"/>
          <w:sz w:val="24"/>
          <w:szCs w:val="24"/>
          <w:lang w:val="ru-RU"/>
        </w:rPr>
        <w:t xml:space="preserve"> </w:t>
      </w:r>
      <w:r w:rsidRPr="00421345">
        <w:rPr>
          <w:spacing w:val="0"/>
          <w:w w:val="100"/>
          <w:kern w:val="0"/>
          <w:lang w:val="ru-RU"/>
        </w:rPr>
        <w:t>правам ребенка 2005</w:t>
      </w:r>
      <w:r>
        <w:rPr>
          <w:spacing w:val="0"/>
          <w:w w:val="100"/>
          <w:kern w:val="0"/>
          <w:lang w:val="ru-RU"/>
        </w:rPr>
        <w:t> год</w:t>
      </w:r>
      <w:r w:rsidRPr="00421345">
        <w:rPr>
          <w:spacing w:val="0"/>
          <w:w w:val="100"/>
          <w:kern w:val="0"/>
          <w:lang w:val="ru-RU"/>
        </w:rPr>
        <w:t>а по второму периодическому докладу Уганды (</w:t>
      </w:r>
      <w:r w:rsidRPr="00421345">
        <w:rPr>
          <w:spacing w:val="0"/>
          <w:w w:val="100"/>
          <w:kern w:val="0"/>
          <w:lang w:val="en-US"/>
        </w:rPr>
        <w:t>CRC</w:t>
      </w:r>
      <w:r w:rsidRPr="00421345">
        <w:rPr>
          <w:spacing w:val="0"/>
          <w:w w:val="100"/>
          <w:kern w:val="0"/>
          <w:lang w:val="ru-RU"/>
        </w:rPr>
        <w:t>/</w:t>
      </w:r>
      <w:r w:rsidRPr="00421345">
        <w:rPr>
          <w:spacing w:val="0"/>
          <w:w w:val="100"/>
          <w:kern w:val="0"/>
          <w:lang w:val="en-US"/>
        </w:rPr>
        <w:t>C</w:t>
      </w:r>
      <w:r w:rsidRPr="00421345">
        <w:rPr>
          <w:spacing w:val="0"/>
          <w:w w:val="100"/>
          <w:kern w:val="0"/>
          <w:lang w:val="ru-RU"/>
        </w:rPr>
        <w:t>/</w:t>
      </w:r>
      <w:r w:rsidRPr="00421345">
        <w:rPr>
          <w:spacing w:val="0"/>
          <w:w w:val="100"/>
          <w:kern w:val="0"/>
          <w:lang w:val="en-US"/>
        </w:rPr>
        <w:t>UGA</w:t>
      </w:r>
      <w:r w:rsidRPr="00421345">
        <w:rPr>
          <w:spacing w:val="0"/>
          <w:w w:val="100"/>
          <w:kern w:val="0"/>
          <w:lang w:val="ru-RU"/>
        </w:rPr>
        <w:t>/</w:t>
      </w:r>
      <w:r w:rsidRPr="00421345">
        <w:rPr>
          <w:spacing w:val="0"/>
          <w:w w:val="100"/>
          <w:kern w:val="0"/>
          <w:lang w:val="en-US"/>
        </w:rPr>
        <w:t>CO</w:t>
      </w:r>
      <w:r w:rsidRPr="00421345">
        <w:rPr>
          <w:spacing w:val="0"/>
          <w:w w:val="100"/>
          <w:kern w:val="0"/>
          <w:lang w:val="ru-RU"/>
        </w:rPr>
        <w:t xml:space="preserve">/2), пункты 55–56. </w:t>
      </w:r>
    </w:p>
  </w:footnote>
  <w:footnote w:id="6">
    <w:p w:rsidR="00FA27A4" w:rsidRPr="00421345" w:rsidRDefault="00FA27A4" w:rsidP="0042134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48" w:right="1264" w:hanging="227"/>
        <w:rPr>
          <w:spacing w:val="0"/>
          <w:w w:val="100"/>
          <w:kern w:val="0"/>
          <w:lang w:val="ru-RU"/>
        </w:rPr>
      </w:pPr>
      <w:r w:rsidRPr="00421345">
        <w:rPr>
          <w:spacing w:val="0"/>
          <w:w w:val="100"/>
          <w:kern w:val="0"/>
          <w:lang w:val="ru-RU"/>
        </w:rPr>
        <w:tab/>
      </w:r>
      <w:r w:rsidRPr="00421345">
        <w:rPr>
          <w:rStyle w:val="FootnoteReference"/>
          <w:spacing w:val="0"/>
          <w:w w:val="100"/>
          <w:kern w:val="0"/>
          <w:position w:val="0"/>
          <w:sz w:val="20"/>
        </w:rPr>
        <w:footnoteRef/>
      </w:r>
      <w:r w:rsidRPr="00421345">
        <w:rPr>
          <w:spacing w:val="0"/>
          <w:w w:val="100"/>
          <w:kern w:val="0"/>
          <w:lang w:val="ru-RU"/>
        </w:rPr>
        <w:tab/>
        <w:t xml:space="preserve">Проект по организации просвещения и сетевого взаимодействия по вопросам калечения женских половых органов </w:t>
      </w:r>
      <w:r>
        <w:rPr>
          <w:spacing w:val="0"/>
          <w:w w:val="100"/>
          <w:kern w:val="0"/>
          <w:lang w:val="ru-RU"/>
        </w:rPr>
        <w:t>"</w:t>
      </w:r>
      <w:r w:rsidRPr="00421345">
        <w:rPr>
          <w:spacing w:val="0"/>
          <w:w w:val="100"/>
          <w:kern w:val="0"/>
          <w:lang w:val="ru-RU"/>
        </w:rPr>
        <w:t>Уганда: обрезание женщин оскорбляет достоинство женщин</w:t>
      </w:r>
      <w:r>
        <w:rPr>
          <w:spacing w:val="0"/>
          <w:w w:val="100"/>
          <w:kern w:val="0"/>
          <w:lang w:val="ru-RU"/>
        </w:rPr>
        <w:t>"</w:t>
      </w:r>
      <w:r w:rsidRPr="00421345">
        <w:rPr>
          <w:spacing w:val="0"/>
          <w:w w:val="100"/>
          <w:kern w:val="0"/>
          <w:lang w:val="ru-RU"/>
        </w:rPr>
        <w:t>, без указания даты.</w:t>
      </w:r>
    </w:p>
  </w:footnote>
  <w:footnote w:id="7">
    <w:p w:rsidR="00FA27A4" w:rsidRPr="00421345" w:rsidRDefault="00FA27A4" w:rsidP="0042134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48" w:right="1264" w:hanging="227"/>
        <w:rPr>
          <w:spacing w:val="0"/>
          <w:w w:val="100"/>
          <w:kern w:val="0"/>
          <w:szCs w:val="18"/>
          <w:lang w:val="en-US"/>
        </w:rPr>
      </w:pPr>
      <w:r w:rsidRPr="0036057C">
        <w:rPr>
          <w:spacing w:val="0"/>
          <w:w w:val="100"/>
          <w:kern w:val="0"/>
          <w:lang w:val="ru-RU"/>
        </w:rPr>
        <w:tab/>
      </w:r>
      <w:r w:rsidRPr="00421345">
        <w:rPr>
          <w:rStyle w:val="FootnoteReference"/>
          <w:spacing w:val="0"/>
          <w:w w:val="100"/>
          <w:kern w:val="0"/>
          <w:position w:val="0"/>
          <w:sz w:val="20"/>
        </w:rPr>
        <w:footnoteRef/>
      </w:r>
      <w:r w:rsidRPr="00421345">
        <w:rPr>
          <w:spacing w:val="0"/>
          <w:w w:val="100"/>
          <w:kern w:val="0"/>
          <w:lang w:val="en-US"/>
        </w:rPr>
        <w:tab/>
        <w:t>Immigration</w:t>
      </w:r>
      <w:r w:rsidRPr="00421345">
        <w:rPr>
          <w:spacing w:val="0"/>
          <w:w w:val="100"/>
          <w:kern w:val="0"/>
          <w:szCs w:val="18"/>
          <w:lang w:val="en-US"/>
        </w:rPr>
        <w:t xml:space="preserve"> and Refugee Board of Canada, “</w:t>
      </w:r>
      <w:smartTag w:uri="urn:schemas-microsoft-com:office:smarttags" w:element="country-region">
        <w:smartTag w:uri="urn:schemas-microsoft-com:office:smarttags" w:element="place">
          <w:r w:rsidRPr="00421345">
            <w:rPr>
              <w:spacing w:val="0"/>
              <w:w w:val="100"/>
              <w:kern w:val="0"/>
              <w:szCs w:val="18"/>
              <w:lang w:val="en-US"/>
            </w:rPr>
            <w:t>Uganda</w:t>
          </w:r>
        </w:smartTag>
      </w:smartTag>
      <w:r w:rsidRPr="00421345">
        <w:rPr>
          <w:spacing w:val="0"/>
          <w:w w:val="100"/>
          <w:kern w:val="0"/>
          <w:szCs w:val="18"/>
          <w:lang w:val="en-US"/>
        </w:rPr>
        <w:t xml:space="preserve">: the incidence of female genital mutilation among the Bagisu tribe”, 11 September 2000, </w:t>
      </w:r>
      <w:r w:rsidRPr="00421345">
        <w:rPr>
          <w:spacing w:val="0"/>
          <w:w w:val="100"/>
          <w:kern w:val="0"/>
          <w:szCs w:val="18"/>
        </w:rPr>
        <w:t>см</w:t>
      </w:r>
      <w:r w:rsidRPr="00421345">
        <w:rPr>
          <w:spacing w:val="0"/>
          <w:w w:val="100"/>
          <w:kern w:val="0"/>
          <w:szCs w:val="18"/>
          <w:lang w:val="en-US"/>
        </w:rPr>
        <w:t>.</w:t>
      </w:r>
      <w:r w:rsidRPr="0036057C">
        <w:rPr>
          <w:spacing w:val="0"/>
          <w:w w:val="100"/>
          <w:kern w:val="0"/>
          <w:szCs w:val="18"/>
          <w:lang w:val="en-US"/>
        </w:rPr>
        <w:t xml:space="preserve"> </w:t>
      </w:r>
      <w:r w:rsidRPr="00B41B68">
        <w:rPr>
          <w:rStyle w:val="Hyperlink"/>
          <w:color w:val="auto"/>
          <w:spacing w:val="0"/>
          <w:w w:val="100"/>
          <w:kern w:val="0"/>
          <w:szCs w:val="18"/>
          <w:lang w:val="en-US"/>
        </w:rPr>
        <w:t>www.unhcr.org/refwo</w:t>
      </w:r>
      <w:r w:rsidRPr="00B41B68">
        <w:rPr>
          <w:rStyle w:val="Hyperlink"/>
          <w:color w:val="auto"/>
          <w:spacing w:val="0"/>
          <w:w w:val="100"/>
          <w:kern w:val="0"/>
          <w:szCs w:val="18"/>
          <w:lang w:val="en-US"/>
        </w:rPr>
        <w:t>r</w:t>
      </w:r>
      <w:r w:rsidRPr="00B41B68">
        <w:rPr>
          <w:rStyle w:val="Hyperlink"/>
          <w:color w:val="auto"/>
          <w:spacing w:val="0"/>
          <w:w w:val="100"/>
          <w:kern w:val="0"/>
          <w:szCs w:val="18"/>
          <w:lang w:val="en-US"/>
        </w:rPr>
        <w:t>ld/docid/3df4beb814.html</w:t>
      </w:r>
      <w:r w:rsidRPr="00421345">
        <w:rPr>
          <w:rStyle w:val="Hyperlink"/>
          <w:spacing w:val="0"/>
          <w:w w:val="100"/>
          <w:kern w:val="0"/>
          <w:szCs w:val="18"/>
          <w:lang w:val="en-US"/>
        </w:rPr>
        <w:t xml:space="preserve"> </w:t>
      </w:r>
      <w:r w:rsidRPr="00421345">
        <w:rPr>
          <w:spacing w:val="0"/>
          <w:w w:val="100"/>
          <w:kern w:val="0"/>
          <w:szCs w:val="18"/>
          <w:lang w:val="en-US"/>
        </w:rPr>
        <w:t>[</w:t>
      </w:r>
      <w:r w:rsidRPr="00421345">
        <w:rPr>
          <w:spacing w:val="0"/>
          <w:w w:val="100"/>
          <w:kern w:val="0"/>
          <w:szCs w:val="18"/>
        </w:rPr>
        <w:t>просмотрен</w:t>
      </w:r>
      <w:r w:rsidRPr="00421345">
        <w:rPr>
          <w:spacing w:val="0"/>
          <w:w w:val="100"/>
          <w:kern w:val="0"/>
          <w:szCs w:val="18"/>
          <w:lang w:val="en-US"/>
        </w:rPr>
        <w:t xml:space="preserve"> 7</w:t>
      </w:r>
      <w:r w:rsidRPr="0036057C">
        <w:rPr>
          <w:spacing w:val="0"/>
          <w:w w:val="100"/>
          <w:kern w:val="0"/>
          <w:szCs w:val="18"/>
          <w:lang w:val="en-US"/>
        </w:rPr>
        <w:t> </w:t>
      </w:r>
      <w:r w:rsidRPr="00421345">
        <w:rPr>
          <w:spacing w:val="0"/>
          <w:w w:val="100"/>
          <w:kern w:val="0"/>
          <w:szCs w:val="18"/>
        </w:rPr>
        <w:t>декабря</w:t>
      </w:r>
      <w:r w:rsidRPr="00421345">
        <w:rPr>
          <w:spacing w:val="0"/>
          <w:w w:val="100"/>
          <w:kern w:val="0"/>
          <w:szCs w:val="18"/>
          <w:lang w:val="en-US"/>
        </w:rPr>
        <w:t xml:space="preserve"> 2012</w:t>
      </w:r>
      <w:r>
        <w:rPr>
          <w:spacing w:val="0"/>
          <w:w w:val="100"/>
          <w:kern w:val="0"/>
          <w:szCs w:val="18"/>
          <w:lang w:val="en-US"/>
        </w:rPr>
        <w:t> год</w:t>
      </w:r>
      <w:r w:rsidRPr="00421345">
        <w:rPr>
          <w:spacing w:val="0"/>
          <w:w w:val="100"/>
          <w:kern w:val="0"/>
          <w:szCs w:val="18"/>
        </w:rPr>
        <w:t>а</w:t>
      </w:r>
      <w:r w:rsidRPr="00421345">
        <w:rPr>
          <w:spacing w:val="0"/>
          <w:w w:val="100"/>
          <w:kern w:val="0"/>
          <w:szCs w:val="18"/>
          <w:lang w:val="en-US"/>
        </w:rPr>
        <w:t>].</w:t>
      </w:r>
    </w:p>
  </w:footnote>
  <w:footnote w:id="8">
    <w:p w:rsidR="00FA27A4" w:rsidRPr="00421345" w:rsidRDefault="00FA27A4" w:rsidP="0042134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48" w:right="1264" w:hanging="227"/>
        <w:rPr>
          <w:spacing w:val="0"/>
          <w:w w:val="100"/>
          <w:kern w:val="0"/>
          <w:lang w:val="ru-RU"/>
        </w:rPr>
      </w:pPr>
      <w:r w:rsidRPr="00421345">
        <w:rPr>
          <w:spacing w:val="0"/>
          <w:w w:val="100"/>
          <w:kern w:val="0"/>
          <w:lang w:val="en-US"/>
        </w:rPr>
        <w:tab/>
      </w:r>
      <w:r w:rsidRPr="00421345">
        <w:rPr>
          <w:rStyle w:val="FootnoteReference"/>
          <w:spacing w:val="0"/>
          <w:w w:val="100"/>
          <w:kern w:val="0"/>
          <w:position w:val="0"/>
          <w:sz w:val="20"/>
        </w:rPr>
        <w:footnoteRef/>
      </w:r>
      <w:r w:rsidRPr="00421345">
        <w:rPr>
          <w:spacing w:val="0"/>
          <w:w w:val="100"/>
          <w:kern w:val="0"/>
          <w:lang w:val="ru-RU"/>
        </w:rPr>
        <w:tab/>
        <w:t>Приводится ссылка на следующую выдержку из выпущенного 11 марта 2010</w:t>
      </w:r>
      <w:r>
        <w:rPr>
          <w:spacing w:val="0"/>
          <w:w w:val="100"/>
          <w:kern w:val="0"/>
          <w:lang w:val="ru-RU"/>
        </w:rPr>
        <w:t> год</w:t>
      </w:r>
      <w:r w:rsidRPr="00421345">
        <w:rPr>
          <w:spacing w:val="0"/>
          <w:w w:val="100"/>
          <w:kern w:val="0"/>
          <w:lang w:val="ru-RU"/>
        </w:rPr>
        <w:t>а странового доклада за 2009</w:t>
      </w:r>
      <w:r>
        <w:rPr>
          <w:spacing w:val="0"/>
          <w:w w:val="100"/>
          <w:kern w:val="0"/>
          <w:lang w:val="ru-RU"/>
        </w:rPr>
        <w:t> год</w:t>
      </w:r>
      <w:r w:rsidRPr="00421345">
        <w:rPr>
          <w:spacing w:val="0"/>
          <w:w w:val="100"/>
          <w:kern w:val="0"/>
          <w:lang w:val="ru-RU"/>
        </w:rPr>
        <w:t xml:space="preserve"> Государственного департамента Соединенных Штатов Америки о положении в</w:t>
      </w:r>
      <w:r>
        <w:rPr>
          <w:spacing w:val="0"/>
          <w:w w:val="100"/>
          <w:kern w:val="0"/>
          <w:lang w:val="ru-RU"/>
        </w:rPr>
        <w:t> </w:t>
      </w:r>
      <w:r w:rsidRPr="00421345">
        <w:rPr>
          <w:spacing w:val="0"/>
          <w:w w:val="100"/>
          <w:kern w:val="0"/>
          <w:lang w:val="ru-RU"/>
        </w:rPr>
        <w:t xml:space="preserve">области прав человека: </w:t>
      </w:r>
      <w:r>
        <w:rPr>
          <w:spacing w:val="0"/>
          <w:w w:val="100"/>
          <w:kern w:val="0"/>
          <w:lang w:val="ru-RU"/>
        </w:rPr>
        <w:t>"</w:t>
      </w:r>
      <w:r w:rsidRPr="00421345">
        <w:rPr>
          <w:spacing w:val="0"/>
          <w:w w:val="100"/>
          <w:kern w:val="0"/>
          <w:lang w:val="ru-RU"/>
        </w:rPr>
        <w:t>КОЖПО применялись этнической группой сабинов, населяющей сельский округ Капчорва, а также этнической группой покот, населяющей северо-восточную часть страны, граничащую с Кенией, несмотря на установление местным законодательством запрета на эту практику. В 2006</w:t>
      </w:r>
      <w:r>
        <w:rPr>
          <w:spacing w:val="0"/>
          <w:w w:val="100"/>
          <w:kern w:val="0"/>
          <w:lang w:val="ru-RU"/>
        </w:rPr>
        <w:t> год</w:t>
      </w:r>
      <w:r w:rsidRPr="00421345">
        <w:rPr>
          <w:spacing w:val="0"/>
          <w:w w:val="100"/>
          <w:kern w:val="0"/>
          <w:lang w:val="ru-RU"/>
        </w:rPr>
        <w:t>у местными властями округов Капчорва и Букво были приняты подзаконные акты, запрещающие практику КОЖПО; вместе с тем случаи применения такой практики по</w:t>
      </w:r>
      <w:r>
        <w:rPr>
          <w:spacing w:val="0"/>
          <w:w w:val="100"/>
          <w:kern w:val="0"/>
          <w:lang w:val="ru-RU"/>
        </w:rPr>
        <w:noBreakHyphen/>
      </w:r>
      <w:r w:rsidRPr="00421345">
        <w:rPr>
          <w:spacing w:val="0"/>
          <w:w w:val="100"/>
          <w:kern w:val="0"/>
          <w:lang w:val="ru-RU"/>
        </w:rPr>
        <w:t>прежнему имели место. Правительство, женские группы и международные организации продолжали борьбу с этой практикой путем просветительской деятельности. В рамках этих программ, которые пользовались определенной поддержкой местных властей подчеркивалась необходимость тесного сотрудничества с традиционными вождями и проведения консультаций на</w:t>
      </w:r>
      <w:r>
        <w:rPr>
          <w:spacing w:val="0"/>
          <w:w w:val="100"/>
          <w:kern w:val="0"/>
          <w:lang w:val="ru-RU"/>
        </w:rPr>
        <w:t> </w:t>
      </w:r>
      <w:r w:rsidRPr="00421345">
        <w:rPr>
          <w:spacing w:val="0"/>
          <w:w w:val="100"/>
          <w:kern w:val="0"/>
          <w:lang w:val="ru-RU"/>
        </w:rPr>
        <w:t>местах</w:t>
      </w:r>
      <w:r>
        <w:rPr>
          <w:spacing w:val="0"/>
          <w:w w:val="100"/>
          <w:kern w:val="0"/>
          <w:lang w:val="ru-RU"/>
        </w:rPr>
        <w:t>"</w:t>
      </w:r>
      <w:r w:rsidRPr="00421345">
        <w:rPr>
          <w:spacing w:val="0"/>
          <w:w w:val="100"/>
          <w:kern w:val="0"/>
          <w:lang w:val="ru-RU"/>
        </w:rPr>
        <w:t xml:space="preserve">. [Источник: </w:t>
      </w:r>
      <w:r w:rsidRPr="00421345">
        <w:rPr>
          <w:spacing w:val="0"/>
          <w:w w:val="100"/>
          <w:kern w:val="0"/>
          <w:lang w:val="en-US"/>
        </w:rPr>
        <w:t>http</w:t>
      </w:r>
      <w:r w:rsidRPr="00421345">
        <w:rPr>
          <w:spacing w:val="0"/>
          <w:w w:val="100"/>
          <w:kern w:val="0"/>
          <w:lang w:val="ru-RU"/>
        </w:rPr>
        <w:t>://</w:t>
      </w:r>
      <w:r w:rsidRPr="00421345">
        <w:rPr>
          <w:spacing w:val="0"/>
          <w:w w:val="100"/>
          <w:kern w:val="0"/>
          <w:lang w:val="en-US"/>
        </w:rPr>
        <w:t>www</w:t>
      </w:r>
      <w:r w:rsidRPr="00421345">
        <w:rPr>
          <w:spacing w:val="0"/>
          <w:w w:val="100"/>
          <w:kern w:val="0"/>
          <w:lang w:val="ru-RU"/>
        </w:rPr>
        <w:t>.</w:t>
      </w:r>
      <w:r w:rsidRPr="00421345">
        <w:rPr>
          <w:spacing w:val="0"/>
          <w:w w:val="100"/>
          <w:kern w:val="0"/>
          <w:lang w:val="en-US"/>
        </w:rPr>
        <w:t>state</w:t>
      </w:r>
      <w:r w:rsidRPr="00421345">
        <w:rPr>
          <w:spacing w:val="0"/>
          <w:w w:val="100"/>
          <w:kern w:val="0"/>
          <w:lang w:val="ru-RU"/>
        </w:rPr>
        <w:t>.</w:t>
      </w:r>
      <w:r w:rsidRPr="00421345">
        <w:rPr>
          <w:spacing w:val="0"/>
          <w:w w:val="100"/>
          <w:kern w:val="0"/>
          <w:lang w:val="en-US"/>
        </w:rPr>
        <w:t>gov</w:t>
      </w:r>
      <w:r w:rsidRPr="00421345">
        <w:rPr>
          <w:spacing w:val="0"/>
          <w:w w:val="100"/>
          <w:kern w:val="0"/>
          <w:lang w:val="ru-RU"/>
        </w:rPr>
        <w:t>/</w:t>
      </w:r>
      <w:r w:rsidRPr="00421345">
        <w:rPr>
          <w:spacing w:val="0"/>
          <w:w w:val="100"/>
          <w:kern w:val="0"/>
          <w:lang w:val="en-US"/>
        </w:rPr>
        <w:t>g</w:t>
      </w:r>
      <w:r w:rsidRPr="00421345">
        <w:rPr>
          <w:spacing w:val="0"/>
          <w:w w:val="100"/>
          <w:kern w:val="0"/>
          <w:lang w:val="ru-RU"/>
        </w:rPr>
        <w:t>/</w:t>
      </w:r>
      <w:r w:rsidRPr="00421345">
        <w:rPr>
          <w:spacing w:val="0"/>
          <w:w w:val="100"/>
          <w:kern w:val="0"/>
          <w:lang w:val="en-US"/>
        </w:rPr>
        <w:t>drl</w:t>
      </w:r>
      <w:r w:rsidRPr="00421345">
        <w:rPr>
          <w:spacing w:val="0"/>
          <w:w w:val="100"/>
          <w:kern w:val="0"/>
          <w:lang w:val="ru-RU"/>
        </w:rPr>
        <w:t>/</w:t>
      </w:r>
      <w:r w:rsidRPr="00421345">
        <w:rPr>
          <w:spacing w:val="0"/>
          <w:w w:val="100"/>
          <w:kern w:val="0"/>
          <w:lang w:val="en-US"/>
        </w:rPr>
        <w:t>rls</w:t>
      </w:r>
      <w:r w:rsidRPr="00421345">
        <w:rPr>
          <w:spacing w:val="0"/>
          <w:w w:val="100"/>
          <w:kern w:val="0"/>
          <w:lang w:val="ru-RU"/>
        </w:rPr>
        <w:t>/</w:t>
      </w:r>
      <w:r w:rsidRPr="00421345">
        <w:rPr>
          <w:spacing w:val="0"/>
          <w:w w:val="100"/>
          <w:kern w:val="0"/>
          <w:lang w:val="en-US"/>
        </w:rPr>
        <w:t>hrrpt</w:t>
      </w:r>
      <w:r w:rsidRPr="00421345">
        <w:rPr>
          <w:spacing w:val="0"/>
          <w:w w:val="100"/>
          <w:kern w:val="0"/>
          <w:lang w:val="ru-RU"/>
        </w:rPr>
        <w:t>/2009/</w:t>
      </w:r>
      <w:r w:rsidRPr="00421345">
        <w:rPr>
          <w:spacing w:val="0"/>
          <w:w w:val="100"/>
          <w:kern w:val="0"/>
          <w:lang w:val="en-US"/>
        </w:rPr>
        <w:t>af</w:t>
      </w:r>
      <w:r w:rsidRPr="00421345">
        <w:rPr>
          <w:spacing w:val="0"/>
          <w:w w:val="100"/>
          <w:kern w:val="0"/>
          <w:lang w:val="ru-RU"/>
        </w:rPr>
        <w:t>/ 135982.</w:t>
      </w:r>
      <w:r w:rsidRPr="00421345">
        <w:rPr>
          <w:spacing w:val="0"/>
          <w:w w:val="100"/>
          <w:kern w:val="0"/>
          <w:lang w:val="en-US"/>
        </w:rPr>
        <w:t>htm</w:t>
      </w:r>
      <w:r w:rsidRPr="00421345">
        <w:rPr>
          <w:spacing w:val="0"/>
          <w:w w:val="100"/>
          <w:kern w:val="0"/>
          <w:lang w:val="ru-RU"/>
        </w:rPr>
        <w:t>].</w:t>
      </w:r>
    </w:p>
  </w:footnote>
  <w:footnote w:id="9">
    <w:p w:rsidR="00FA27A4" w:rsidRPr="00421345" w:rsidRDefault="00FA27A4" w:rsidP="0042134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48" w:right="1264" w:hanging="227"/>
        <w:rPr>
          <w:spacing w:val="0"/>
          <w:w w:val="100"/>
          <w:kern w:val="0"/>
          <w:szCs w:val="18"/>
          <w:lang w:val="ru-RU"/>
        </w:rPr>
      </w:pPr>
      <w:r w:rsidRPr="0036057C">
        <w:rPr>
          <w:spacing w:val="0"/>
          <w:w w:val="100"/>
          <w:kern w:val="0"/>
          <w:lang w:val="ru-RU"/>
        </w:rPr>
        <w:tab/>
      </w:r>
      <w:r w:rsidRPr="00421345">
        <w:rPr>
          <w:rStyle w:val="FootnoteReference"/>
          <w:spacing w:val="0"/>
          <w:w w:val="100"/>
          <w:kern w:val="0"/>
          <w:position w:val="0"/>
          <w:sz w:val="20"/>
        </w:rPr>
        <w:footnoteRef/>
      </w:r>
      <w:r w:rsidRPr="00421345">
        <w:rPr>
          <w:spacing w:val="0"/>
          <w:w w:val="100"/>
          <w:kern w:val="0"/>
          <w:lang w:val="ru-RU"/>
        </w:rPr>
        <w:tab/>
        <w:t>Приводится ссылка на сообщение №</w:t>
      </w:r>
      <w:r w:rsidRPr="00421345">
        <w:rPr>
          <w:spacing w:val="0"/>
          <w:w w:val="100"/>
          <w:kern w:val="0"/>
          <w:szCs w:val="18"/>
          <w:lang w:val="ru-RU"/>
        </w:rPr>
        <w:t xml:space="preserve"> 10/2005, </w:t>
      </w:r>
      <w:r w:rsidRPr="00421345">
        <w:rPr>
          <w:i/>
          <w:spacing w:val="0"/>
          <w:w w:val="100"/>
          <w:kern w:val="0"/>
          <w:szCs w:val="18"/>
          <w:lang w:val="ru-RU"/>
        </w:rPr>
        <w:t>Н.С.Ф.</w:t>
      </w:r>
      <w:r w:rsidRPr="00421345">
        <w:rPr>
          <w:spacing w:val="0"/>
          <w:w w:val="100"/>
          <w:kern w:val="0"/>
          <w:szCs w:val="18"/>
          <w:lang w:val="ru-RU"/>
        </w:rPr>
        <w:t xml:space="preserve"> </w:t>
      </w:r>
      <w:r w:rsidRPr="00421345">
        <w:rPr>
          <w:i/>
          <w:spacing w:val="0"/>
          <w:w w:val="100"/>
          <w:kern w:val="0"/>
          <w:szCs w:val="18"/>
          <w:lang w:val="ru-RU"/>
        </w:rPr>
        <w:t>против</w:t>
      </w:r>
      <w:r w:rsidRPr="00421345">
        <w:rPr>
          <w:spacing w:val="0"/>
          <w:w w:val="100"/>
          <w:kern w:val="0"/>
          <w:szCs w:val="18"/>
          <w:lang w:val="ru-RU"/>
        </w:rPr>
        <w:t xml:space="preserve"> </w:t>
      </w:r>
      <w:r w:rsidRPr="00421345">
        <w:rPr>
          <w:i/>
          <w:spacing w:val="0"/>
          <w:w w:val="100"/>
          <w:kern w:val="0"/>
          <w:szCs w:val="18"/>
          <w:lang w:val="ru-RU"/>
        </w:rPr>
        <w:t>Соединенного Королевства Великобритании и Северной Ирландии</w:t>
      </w:r>
      <w:r w:rsidRPr="00421345">
        <w:rPr>
          <w:spacing w:val="0"/>
          <w:w w:val="100"/>
          <w:kern w:val="0"/>
          <w:szCs w:val="18"/>
          <w:lang w:val="ru-RU"/>
        </w:rPr>
        <w:t>, решение о неприемлемости от 30 мая 2007</w:t>
      </w:r>
      <w:r>
        <w:rPr>
          <w:spacing w:val="0"/>
          <w:w w:val="100"/>
          <w:kern w:val="0"/>
          <w:szCs w:val="18"/>
          <w:lang w:val="ru-RU"/>
        </w:rPr>
        <w:t> год</w:t>
      </w:r>
      <w:r w:rsidRPr="00421345">
        <w:rPr>
          <w:spacing w:val="0"/>
          <w:w w:val="100"/>
          <w:kern w:val="0"/>
          <w:szCs w:val="18"/>
          <w:lang w:val="ru-RU"/>
        </w:rPr>
        <w:t xml:space="preserve">а. </w:t>
      </w:r>
    </w:p>
  </w:footnote>
  <w:footnote w:id="10">
    <w:p w:rsidR="00FA27A4" w:rsidRPr="00421345" w:rsidRDefault="00FA27A4" w:rsidP="0042134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48" w:right="1264" w:hanging="227"/>
        <w:rPr>
          <w:spacing w:val="0"/>
          <w:w w:val="100"/>
          <w:kern w:val="0"/>
          <w:szCs w:val="18"/>
          <w:lang w:val="ru-RU"/>
        </w:rPr>
      </w:pPr>
      <w:r w:rsidRPr="00421345">
        <w:rPr>
          <w:spacing w:val="0"/>
          <w:w w:val="100"/>
          <w:kern w:val="0"/>
          <w:lang w:val="ru-RU"/>
        </w:rPr>
        <w:tab/>
      </w:r>
      <w:r w:rsidRPr="00421345">
        <w:rPr>
          <w:rStyle w:val="FootnoteReference"/>
          <w:spacing w:val="0"/>
          <w:w w:val="100"/>
          <w:kern w:val="0"/>
          <w:position w:val="0"/>
          <w:sz w:val="20"/>
        </w:rPr>
        <w:footnoteRef/>
      </w:r>
      <w:r w:rsidRPr="00421345">
        <w:rPr>
          <w:spacing w:val="0"/>
          <w:w w:val="100"/>
          <w:kern w:val="0"/>
          <w:lang w:val="ru-RU"/>
        </w:rPr>
        <w:tab/>
      </w:r>
      <w:r w:rsidRPr="00421345">
        <w:rPr>
          <w:spacing w:val="0"/>
          <w:w w:val="100"/>
          <w:kern w:val="0"/>
          <w:szCs w:val="18"/>
          <w:lang w:val="ru-RU"/>
        </w:rPr>
        <w:t xml:space="preserve">Решение Европейского суда по правам человека по делу </w:t>
      </w:r>
      <w:r w:rsidRPr="00421345">
        <w:rPr>
          <w:i/>
          <w:spacing w:val="0"/>
          <w:w w:val="100"/>
          <w:kern w:val="0"/>
          <w:szCs w:val="18"/>
          <w:lang w:val="ru-RU"/>
        </w:rPr>
        <w:t xml:space="preserve">Соэринг против Соединенного Королевства </w:t>
      </w:r>
      <w:r w:rsidRPr="00421345">
        <w:rPr>
          <w:spacing w:val="0"/>
          <w:w w:val="100"/>
          <w:kern w:val="0"/>
          <w:szCs w:val="18"/>
          <w:lang w:val="ru-RU"/>
        </w:rPr>
        <w:t xml:space="preserve">(заявление </w:t>
      </w:r>
      <w:r w:rsidRPr="00421345">
        <w:rPr>
          <w:spacing w:val="0"/>
          <w:w w:val="100"/>
          <w:kern w:val="0"/>
          <w:szCs w:val="18"/>
          <w:lang w:val="en-US"/>
        </w:rPr>
        <w:t>No</w:t>
      </w:r>
      <w:r w:rsidRPr="00421345">
        <w:rPr>
          <w:spacing w:val="0"/>
          <w:w w:val="100"/>
          <w:kern w:val="0"/>
          <w:szCs w:val="18"/>
          <w:lang w:val="ru-RU"/>
        </w:rPr>
        <w:t xml:space="preserve"> 14038/88), 7 июля 1989</w:t>
      </w:r>
      <w:r>
        <w:rPr>
          <w:spacing w:val="0"/>
          <w:w w:val="100"/>
          <w:kern w:val="0"/>
          <w:szCs w:val="18"/>
          <w:lang w:val="ru-RU"/>
        </w:rPr>
        <w:t> год</w:t>
      </w:r>
      <w:r w:rsidRPr="00421345">
        <w:rPr>
          <w:spacing w:val="0"/>
          <w:w w:val="100"/>
          <w:kern w:val="0"/>
          <w:szCs w:val="18"/>
          <w:lang w:val="ru-RU"/>
        </w:rPr>
        <w:t xml:space="preserve">а, пункт 88. См. также решения Суда по делам </w:t>
      </w:r>
      <w:r w:rsidRPr="00421345">
        <w:rPr>
          <w:i/>
          <w:spacing w:val="0"/>
          <w:w w:val="100"/>
          <w:kern w:val="0"/>
          <w:szCs w:val="18"/>
          <w:lang w:val="ru-RU"/>
        </w:rPr>
        <w:t xml:space="preserve">Ф. против Соединенного Королевства </w:t>
      </w:r>
      <w:r w:rsidRPr="00421345">
        <w:rPr>
          <w:spacing w:val="0"/>
          <w:w w:val="100"/>
          <w:kern w:val="0"/>
          <w:szCs w:val="18"/>
          <w:lang w:val="ru-RU"/>
        </w:rPr>
        <w:t>(заявление № 17341/03), 22 июня 2004</w:t>
      </w:r>
      <w:r>
        <w:rPr>
          <w:spacing w:val="0"/>
          <w:w w:val="100"/>
          <w:kern w:val="0"/>
          <w:szCs w:val="18"/>
          <w:lang w:val="ru-RU"/>
        </w:rPr>
        <w:t> год</w:t>
      </w:r>
      <w:r w:rsidRPr="00421345">
        <w:rPr>
          <w:spacing w:val="0"/>
          <w:w w:val="100"/>
          <w:kern w:val="0"/>
          <w:szCs w:val="18"/>
          <w:lang w:val="ru-RU"/>
        </w:rPr>
        <w:t xml:space="preserve">а, и </w:t>
      </w:r>
      <w:r w:rsidRPr="00421345">
        <w:rPr>
          <w:i/>
          <w:spacing w:val="0"/>
          <w:w w:val="100"/>
          <w:kern w:val="0"/>
          <w:szCs w:val="18"/>
          <w:lang w:val="ru-RU"/>
        </w:rPr>
        <w:t xml:space="preserve">З. и Т. против Соединенного Королевства, </w:t>
      </w:r>
      <w:r w:rsidRPr="00421345">
        <w:rPr>
          <w:spacing w:val="0"/>
          <w:w w:val="100"/>
          <w:kern w:val="0"/>
          <w:szCs w:val="18"/>
          <w:lang w:val="ru-RU"/>
        </w:rPr>
        <w:t>(заявление № 27034/05), 28</w:t>
      </w:r>
      <w:r w:rsidRPr="00421345">
        <w:rPr>
          <w:spacing w:val="0"/>
          <w:w w:val="100"/>
          <w:kern w:val="0"/>
          <w:szCs w:val="18"/>
        </w:rPr>
        <w:t> </w:t>
      </w:r>
      <w:r w:rsidRPr="00421345">
        <w:rPr>
          <w:spacing w:val="0"/>
          <w:w w:val="100"/>
          <w:kern w:val="0"/>
          <w:szCs w:val="18"/>
          <w:lang w:val="ru-RU"/>
        </w:rPr>
        <w:t>февраля 2006</w:t>
      </w:r>
      <w:r>
        <w:rPr>
          <w:spacing w:val="0"/>
          <w:w w:val="100"/>
          <w:kern w:val="0"/>
          <w:szCs w:val="18"/>
          <w:lang w:val="ru-RU"/>
        </w:rPr>
        <w:t> год</w:t>
      </w:r>
      <w:r w:rsidRPr="00421345">
        <w:rPr>
          <w:spacing w:val="0"/>
          <w:w w:val="100"/>
          <w:kern w:val="0"/>
          <w:szCs w:val="18"/>
          <w:lang w:val="ru-RU"/>
        </w:rPr>
        <w:t xml:space="preserve">а. </w:t>
      </w:r>
    </w:p>
  </w:footnote>
  <w:footnote w:id="11">
    <w:p w:rsidR="00FA27A4" w:rsidRPr="0036057C" w:rsidRDefault="00FA27A4" w:rsidP="0042134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48" w:right="1264" w:hanging="227"/>
        <w:rPr>
          <w:spacing w:val="0"/>
          <w:w w:val="100"/>
          <w:kern w:val="0"/>
          <w:lang w:val="ru-RU"/>
        </w:rPr>
      </w:pPr>
      <w:r w:rsidRPr="0036057C">
        <w:rPr>
          <w:spacing w:val="0"/>
          <w:w w:val="100"/>
          <w:kern w:val="0"/>
          <w:lang w:val="ru-RU"/>
        </w:rPr>
        <w:tab/>
      </w:r>
      <w:r w:rsidRPr="00421345">
        <w:rPr>
          <w:rStyle w:val="FootnoteReference"/>
          <w:spacing w:val="0"/>
          <w:w w:val="100"/>
          <w:kern w:val="0"/>
          <w:position w:val="0"/>
          <w:lang w:val="en-US"/>
        </w:rPr>
        <w:t>10</w:t>
      </w:r>
      <w:r w:rsidRPr="00421345">
        <w:rPr>
          <w:spacing w:val="0"/>
          <w:w w:val="100"/>
          <w:kern w:val="0"/>
          <w:lang w:val="en-US"/>
        </w:rPr>
        <w:tab/>
      </w:r>
      <w:r w:rsidRPr="00421345">
        <w:rPr>
          <w:spacing w:val="0"/>
          <w:w w:val="100"/>
          <w:kern w:val="0"/>
        </w:rPr>
        <w:t>См</w:t>
      </w:r>
      <w:r w:rsidRPr="00421345">
        <w:rPr>
          <w:spacing w:val="0"/>
          <w:w w:val="100"/>
          <w:kern w:val="0"/>
          <w:lang w:val="en-US"/>
        </w:rPr>
        <w:t>.</w:t>
      </w:r>
      <w:r w:rsidRPr="00421345">
        <w:rPr>
          <w:spacing w:val="0"/>
          <w:w w:val="100"/>
          <w:kern w:val="0"/>
          <w:szCs w:val="18"/>
          <w:lang w:val="en-US"/>
        </w:rPr>
        <w:t xml:space="preserve"> Sarah Joseph, </w:t>
      </w:r>
      <w:r w:rsidRPr="00421345">
        <w:rPr>
          <w:bCs/>
          <w:spacing w:val="0"/>
          <w:w w:val="100"/>
          <w:kern w:val="0"/>
          <w:szCs w:val="18"/>
          <w:lang w:val="en-US"/>
        </w:rPr>
        <w:t>Jenny Schultz and Melissa Castan</w:t>
      </w:r>
      <w:r w:rsidRPr="00421345">
        <w:rPr>
          <w:spacing w:val="0"/>
          <w:w w:val="100"/>
          <w:kern w:val="0"/>
          <w:szCs w:val="18"/>
          <w:lang w:val="en-US"/>
        </w:rPr>
        <w:t xml:space="preserve">, eds., </w:t>
      </w:r>
      <w:r w:rsidRPr="00421345">
        <w:rPr>
          <w:i/>
          <w:spacing w:val="0"/>
          <w:w w:val="100"/>
          <w:kern w:val="0"/>
          <w:szCs w:val="18"/>
          <w:lang w:val="en-US"/>
        </w:rPr>
        <w:t>The International Covenant on Civil and Political Rights: Cases, Materials and Commentary</w:t>
      </w:r>
      <w:r w:rsidRPr="00421345">
        <w:rPr>
          <w:spacing w:val="0"/>
          <w:w w:val="100"/>
          <w:kern w:val="0"/>
          <w:szCs w:val="18"/>
          <w:lang w:val="en-US"/>
        </w:rPr>
        <w:t xml:space="preserve">, 2nd ed. </w:t>
      </w:r>
      <w:r w:rsidRPr="0036057C">
        <w:rPr>
          <w:spacing w:val="0"/>
          <w:w w:val="100"/>
          <w:kern w:val="0"/>
          <w:szCs w:val="18"/>
          <w:lang w:val="ru-RU"/>
        </w:rPr>
        <w:t>(</w:t>
      </w:r>
      <w:smartTag w:uri="urn:schemas-microsoft-com:office:smarttags" w:element="State">
        <w:r w:rsidRPr="00421345">
          <w:rPr>
            <w:spacing w:val="0"/>
            <w:w w:val="100"/>
            <w:kern w:val="0"/>
            <w:szCs w:val="18"/>
          </w:rPr>
          <w:t>New</w:t>
        </w:r>
        <w:r w:rsidRPr="0036057C">
          <w:rPr>
            <w:spacing w:val="0"/>
            <w:w w:val="100"/>
            <w:kern w:val="0"/>
            <w:szCs w:val="18"/>
            <w:lang w:val="ru-RU"/>
          </w:rPr>
          <w:t xml:space="preserve"> </w:t>
        </w:r>
        <w:r w:rsidRPr="00421345">
          <w:rPr>
            <w:spacing w:val="0"/>
            <w:w w:val="100"/>
            <w:kern w:val="0"/>
            <w:szCs w:val="18"/>
          </w:rPr>
          <w:t>York</w:t>
        </w:r>
      </w:smartTag>
      <w:r w:rsidRPr="0036057C">
        <w:rPr>
          <w:spacing w:val="0"/>
          <w:w w:val="100"/>
          <w:kern w:val="0"/>
          <w:szCs w:val="18"/>
          <w:lang w:val="ru-RU"/>
        </w:rPr>
        <w:t xml:space="preserve">, </w:t>
      </w:r>
      <w:smartTag w:uri="urn:schemas-microsoft-com:office:smarttags" w:element="place">
        <w:smartTag w:uri="urn:schemas-microsoft-com:office:smarttags" w:element="PlaceName">
          <w:r w:rsidRPr="00421345">
            <w:rPr>
              <w:spacing w:val="0"/>
              <w:w w:val="100"/>
              <w:kern w:val="0"/>
              <w:szCs w:val="18"/>
            </w:rPr>
            <w:t>Oxford</w:t>
          </w:r>
        </w:smartTag>
        <w:r w:rsidRPr="0036057C">
          <w:rPr>
            <w:spacing w:val="0"/>
            <w:w w:val="100"/>
            <w:kern w:val="0"/>
            <w:szCs w:val="18"/>
            <w:lang w:val="ru-RU"/>
          </w:rPr>
          <w:t xml:space="preserve"> </w:t>
        </w:r>
        <w:smartTag w:uri="urn:schemas-microsoft-com:office:smarttags" w:element="PlaceType">
          <w:r w:rsidRPr="00421345">
            <w:rPr>
              <w:spacing w:val="0"/>
              <w:w w:val="100"/>
              <w:kern w:val="0"/>
              <w:szCs w:val="18"/>
            </w:rPr>
            <w:t>University</w:t>
          </w:r>
        </w:smartTag>
      </w:smartTag>
      <w:r w:rsidRPr="0036057C">
        <w:rPr>
          <w:spacing w:val="0"/>
          <w:w w:val="100"/>
          <w:kern w:val="0"/>
          <w:szCs w:val="18"/>
          <w:lang w:val="ru-RU"/>
        </w:rPr>
        <w:t xml:space="preserve"> </w:t>
      </w:r>
      <w:r w:rsidRPr="00421345">
        <w:rPr>
          <w:spacing w:val="0"/>
          <w:w w:val="100"/>
          <w:kern w:val="0"/>
          <w:szCs w:val="18"/>
        </w:rPr>
        <w:t>Press</w:t>
      </w:r>
      <w:r w:rsidRPr="0036057C">
        <w:rPr>
          <w:spacing w:val="0"/>
          <w:w w:val="100"/>
          <w:kern w:val="0"/>
          <w:szCs w:val="18"/>
          <w:lang w:val="ru-RU"/>
        </w:rPr>
        <w:t xml:space="preserve">, 2004), </w:t>
      </w:r>
      <w:r w:rsidRPr="00421345">
        <w:rPr>
          <w:spacing w:val="0"/>
          <w:w w:val="100"/>
          <w:kern w:val="0"/>
          <w:szCs w:val="18"/>
        </w:rPr>
        <w:t>p</w:t>
      </w:r>
      <w:r w:rsidRPr="0036057C">
        <w:rPr>
          <w:spacing w:val="0"/>
          <w:w w:val="100"/>
          <w:kern w:val="0"/>
          <w:szCs w:val="18"/>
          <w:lang w:val="ru-RU"/>
        </w:rPr>
        <w:t>. 94.</w:t>
      </w:r>
    </w:p>
  </w:footnote>
  <w:footnote w:id="12">
    <w:p w:rsidR="00FA27A4" w:rsidRPr="00421345" w:rsidRDefault="00FA27A4" w:rsidP="0042134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48" w:right="1264" w:hanging="227"/>
        <w:rPr>
          <w:spacing w:val="0"/>
          <w:w w:val="100"/>
          <w:kern w:val="0"/>
          <w:lang w:val="ru-RU"/>
        </w:rPr>
      </w:pPr>
      <w:r w:rsidRPr="0036057C">
        <w:rPr>
          <w:spacing w:val="0"/>
          <w:w w:val="100"/>
          <w:kern w:val="0"/>
          <w:lang w:val="ru-RU"/>
        </w:rPr>
        <w:tab/>
      </w:r>
      <w:r w:rsidRPr="00421345">
        <w:rPr>
          <w:rStyle w:val="FootnoteReference"/>
          <w:spacing w:val="0"/>
          <w:w w:val="100"/>
          <w:kern w:val="0"/>
          <w:position w:val="0"/>
          <w:lang w:val="ru-RU"/>
        </w:rPr>
        <w:t>11</w:t>
      </w:r>
      <w:r w:rsidRPr="00421345">
        <w:rPr>
          <w:spacing w:val="0"/>
          <w:w w:val="100"/>
          <w:kern w:val="0"/>
          <w:lang w:val="ru-RU"/>
        </w:rPr>
        <w:tab/>
        <w:t xml:space="preserve">См. сообщение № </w:t>
      </w:r>
      <w:r w:rsidRPr="00421345">
        <w:rPr>
          <w:spacing w:val="0"/>
          <w:w w:val="100"/>
          <w:kern w:val="0"/>
          <w:szCs w:val="18"/>
          <w:lang w:val="ru-RU"/>
        </w:rPr>
        <w:t xml:space="preserve">8/2005, </w:t>
      </w:r>
      <w:r w:rsidRPr="00421345">
        <w:rPr>
          <w:i/>
          <w:spacing w:val="0"/>
          <w:w w:val="100"/>
          <w:kern w:val="0"/>
          <w:szCs w:val="18"/>
          <w:lang w:val="ru-RU"/>
        </w:rPr>
        <w:t>Кайхан против Турции</w:t>
      </w:r>
      <w:r w:rsidRPr="00421345">
        <w:rPr>
          <w:spacing w:val="0"/>
          <w:w w:val="100"/>
          <w:kern w:val="0"/>
          <w:szCs w:val="18"/>
          <w:lang w:val="ru-RU"/>
        </w:rPr>
        <w:t>, решение о неприемлемости от 27 января 2006</w:t>
      </w:r>
      <w:r>
        <w:rPr>
          <w:spacing w:val="0"/>
          <w:w w:val="100"/>
          <w:kern w:val="0"/>
          <w:szCs w:val="18"/>
          <w:lang w:val="ru-RU"/>
        </w:rPr>
        <w:t> год</w:t>
      </w:r>
      <w:r w:rsidRPr="00421345">
        <w:rPr>
          <w:spacing w:val="0"/>
          <w:w w:val="100"/>
          <w:kern w:val="0"/>
          <w:szCs w:val="18"/>
          <w:lang w:val="ru-RU"/>
        </w:rPr>
        <w:t>а, пункт 7.7.</w:t>
      </w:r>
    </w:p>
  </w:footnote>
  <w:footnote w:id="13">
    <w:p w:rsidR="00FA27A4" w:rsidRPr="00421345" w:rsidRDefault="00FA27A4" w:rsidP="0042134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48" w:right="1264" w:hanging="227"/>
        <w:rPr>
          <w:spacing w:val="0"/>
          <w:w w:val="100"/>
          <w:kern w:val="0"/>
          <w:lang w:val="ru-RU"/>
        </w:rPr>
      </w:pPr>
      <w:r w:rsidRPr="00421345">
        <w:rPr>
          <w:spacing w:val="0"/>
          <w:w w:val="100"/>
          <w:kern w:val="0"/>
          <w:lang w:val="ru-RU"/>
        </w:rPr>
        <w:tab/>
      </w:r>
      <w:r w:rsidRPr="00421345">
        <w:rPr>
          <w:rStyle w:val="FootnoteReference"/>
          <w:spacing w:val="0"/>
          <w:w w:val="100"/>
          <w:kern w:val="0"/>
          <w:position w:val="0"/>
          <w:lang w:val="ru-RU"/>
        </w:rPr>
        <w:t>12</w:t>
      </w:r>
      <w:r w:rsidRPr="00421345">
        <w:rPr>
          <w:spacing w:val="0"/>
          <w:w w:val="100"/>
          <w:kern w:val="0"/>
          <w:lang w:val="ru-RU"/>
        </w:rPr>
        <w:tab/>
        <w:t>Приводится ссылка на сообщение</w:t>
      </w:r>
      <w:r w:rsidRPr="00421345">
        <w:rPr>
          <w:spacing w:val="0"/>
          <w:w w:val="100"/>
          <w:kern w:val="0"/>
          <w:szCs w:val="18"/>
          <w:lang w:val="ru-RU"/>
        </w:rPr>
        <w:t xml:space="preserve"> </w:t>
      </w:r>
      <w:r w:rsidRPr="00421345">
        <w:rPr>
          <w:i/>
          <w:spacing w:val="0"/>
          <w:w w:val="100"/>
          <w:kern w:val="0"/>
          <w:szCs w:val="18"/>
          <w:lang w:val="ru-RU"/>
        </w:rPr>
        <w:t>Н.С.Ф.</w:t>
      </w:r>
      <w:r w:rsidRPr="00421345">
        <w:rPr>
          <w:spacing w:val="0"/>
          <w:w w:val="100"/>
          <w:kern w:val="0"/>
          <w:szCs w:val="18"/>
          <w:lang w:val="ru-RU"/>
        </w:rPr>
        <w:t xml:space="preserve"> </w:t>
      </w:r>
      <w:r w:rsidRPr="00421345">
        <w:rPr>
          <w:i/>
          <w:spacing w:val="0"/>
          <w:w w:val="100"/>
          <w:kern w:val="0"/>
          <w:szCs w:val="18"/>
          <w:lang w:val="ru-RU"/>
        </w:rPr>
        <w:t>против Соединенного Королевства Великобритании и Северной Ирландии</w:t>
      </w:r>
      <w:r w:rsidRPr="00421345">
        <w:rPr>
          <w:spacing w:val="0"/>
          <w:w w:val="100"/>
          <w:kern w:val="0"/>
          <w:szCs w:val="18"/>
          <w:lang w:val="ru-RU"/>
        </w:rPr>
        <w:t xml:space="preserve">, примечание 8 выше, пункт 7.3, и </w:t>
      </w:r>
      <w:r w:rsidRPr="00421345">
        <w:rPr>
          <w:i/>
          <w:spacing w:val="0"/>
          <w:w w:val="100"/>
          <w:kern w:val="0"/>
          <w:szCs w:val="18"/>
          <w:lang w:val="ru-RU"/>
        </w:rPr>
        <w:t>Кайхан против Турции</w:t>
      </w:r>
      <w:r w:rsidRPr="00421345">
        <w:rPr>
          <w:spacing w:val="0"/>
          <w:w w:val="100"/>
          <w:kern w:val="0"/>
          <w:szCs w:val="18"/>
          <w:lang w:val="ru-RU"/>
        </w:rPr>
        <w:t>, примечание 11 выше.</w:t>
      </w:r>
    </w:p>
  </w:footnote>
  <w:footnote w:id="14">
    <w:p w:rsidR="00FA27A4" w:rsidRPr="0036057C" w:rsidRDefault="00FA27A4" w:rsidP="0042134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48" w:right="1264" w:hanging="227"/>
        <w:rPr>
          <w:spacing w:val="0"/>
          <w:w w:val="100"/>
          <w:kern w:val="0"/>
          <w:lang w:val="ru-RU"/>
        </w:rPr>
      </w:pPr>
      <w:r w:rsidRPr="0036057C">
        <w:rPr>
          <w:spacing w:val="0"/>
          <w:w w:val="100"/>
          <w:kern w:val="0"/>
          <w:lang w:val="ru-RU"/>
        </w:rPr>
        <w:tab/>
      </w:r>
      <w:r w:rsidRPr="0036057C">
        <w:rPr>
          <w:rStyle w:val="FootnoteReference"/>
          <w:spacing w:val="0"/>
          <w:w w:val="100"/>
          <w:kern w:val="0"/>
          <w:position w:val="0"/>
          <w:lang w:val="ru-RU"/>
        </w:rPr>
        <w:t>13</w:t>
      </w:r>
      <w:r w:rsidRPr="0036057C">
        <w:rPr>
          <w:spacing w:val="0"/>
          <w:w w:val="100"/>
          <w:kern w:val="0"/>
          <w:lang w:val="ru-RU"/>
        </w:rPr>
        <w:tab/>
      </w:r>
      <w:r w:rsidRPr="00421345">
        <w:rPr>
          <w:spacing w:val="0"/>
          <w:w w:val="100"/>
          <w:kern w:val="0"/>
          <w:szCs w:val="18"/>
        </w:rPr>
        <w:t>EDAW</w:t>
      </w:r>
      <w:r w:rsidRPr="0036057C">
        <w:rPr>
          <w:spacing w:val="0"/>
          <w:w w:val="100"/>
          <w:kern w:val="0"/>
          <w:szCs w:val="18"/>
          <w:lang w:val="ru-RU"/>
        </w:rPr>
        <w:t>/</w:t>
      </w:r>
      <w:r w:rsidRPr="00421345">
        <w:rPr>
          <w:spacing w:val="0"/>
          <w:w w:val="100"/>
          <w:kern w:val="0"/>
          <w:szCs w:val="18"/>
        </w:rPr>
        <w:t>C</w:t>
      </w:r>
      <w:r w:rsidRPr="0036057C">
        <w:rPr>
          <w:spacing w:val="0"/>
          <w:w w:val="100"/>
          <w:kern w:val="0"/>
          <w:szCs w:val="18"/>
          <w:lang w:val="ru-RU"/>
        </w:rPr>
        <w:t>/</w:t>
      </w:r>
      <w:r w:rsidRPr="00421345">
        <w:rPr>
          <w:spacing w:val="0"/>
          <w:w w:val="100"/>
          <w:kern w:val="0"/>
          <w:szCs w:val="18"/>
        </w:rPr>
        <w:t>DNK</w:t>
      </w:r>
      <w:r w:rsidRPr="0036057C">
        <w:rPr>
          <w:spacing w:val="0"/>
          <w:w w:val="100"/>
          <w:kern w:val="0"/>
          <w:szCs w:val="18"/>
          <w:lang w:val="ru-RU"/>
        </w:rPr>
        <w:t>/6, стр. 72.</w:t>
      </w:r>
    </w:p>
  </w:footnote>
  <w:footnote w:id="15">
    <w:p w:rsidR="00FA27A4" w:rsidRPr="00421345" w:rsidRDefault="00FA27A4" w:rsidP="0042134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48" w:right="1264" w:hanging="227"/>
        <w:rPr>
          <w:spacing w:val="0"/>
          <w:w w:val="100"/>
          <w:kern w:val="0"/>
          <w:lang w:val="ru-RU"/>
        </w:rPr>
      </w:pPr>
      <w:r w:rsidRPr="0036057C">
        <w:rPr>
          <w:spacing w:val="0"/>
          <w:w w:val="100"/>
          <w:kern w:val="0"/>
          <w:lang w:val="ru-RU"/>
        </w:rPr>
        <w:tab/>
      </w:r>
      <w:r w:rsidRPr="00421345">
        <w:rPr>
          <w:rStyle w:val="FootnoteReference"/>
          <w:spacing w:val="0"/>
          <w:w w:val="100"/>
          <w:kern w:val="0"/>
          <w:position w:val="0"/>
          <w:lang w:val="ru-RU"/>
        </w:rPr>
        <w:t>14</w:t>
      </w:r>
      <w:r w:rsidRPr="00421345">
        <w:rPr>
          <w:spacing w:val="0"/>
          <w:w w:val="100"/>
          <w:kern w:val="0"/>
          <w:lang w:val="ru-RU"/>
        </w:rPr>
        <w:tab/>
        <w:t xml:space="preserve">Приводится ссылка на сообщение № 2/2003, </w:t>
      </w:r>
      <w:r w:rsidRPr="00421345">
        <w:rPr>
          <w:i/>
          <w:spacing w:val="0"/>
          <w:w w:val="100"/>
          <w:kern w:val="0"/>
          <w:lang w:val="ru-RU"/>
        </w:rPr>
        <w:t>А.Т. против Венгрии</w:t>
      </w:r>
      <w:r w:rsidRPr="00421345">
        <w:rPr>
          <w:spacing w:val="0"/>
          <w:w w:val="100"/>
          <w:kern w:val="0"/>
          <w:lang w:val="ru-RU"/>
        </w:rPr>
        <w:t>, мнения, принятые 26</w:t>
      </w:r>
      <w:r w:rsidRPr="00421345">
        <w:rPr>
          <w:spacing w:val="0"/>
          <w:w w:val="100"/>
          <w:kern w:val="0"/>
        </w:rPr>
        <w:t> </w:t>
      </w:r>
      <w:r w:rsidRPr="00421345">
        <w:rPr>
          <w:spacing w:val="0"/>
          <w:w w:val="100"/>
          <w:kern w:val="0"/>
          <w:lang w:val="ru-RU"/>
        </w:rPr>
        <w:t>января 2005</w:t>
      </w:r>
      <w:r>
        <w:rPr>
          <w:spacing w:val="0"/>
          <w:w w:val="100"/>
          <w:kern w:val="0"/>
          <w:lang w:val="ru-RU"/>
        </w:rPr>
        <w:t> год</w:t>
      </w:r>
      <w:r w:rsidRPr="00421345">
        <w:rPr>
          <w:spacing w:val="0"/>
          <w:w w:val="100"/>
          <w:kern w:val="0"/>
          <w:lang w:val="ru-RU"/>
        </w:rPr>
        <w:t xml:space="preserve">а, пункты 9.3 и 9.6, и сообщение № 4/2004, </w:t>
      </w:r>
      <w:r w:rsidRPr="00421345">
        <w:rPr>
          <w:i/>
          <w:spacing w:val="0"/>
          <w:w w:val="100"/>
          <w:kern w:val="0"/>
          <w:lang w:val="ru-RU"/>
        </w:rPr>
        <w:t>А.С. против Венгрии</w:t>
      </w:r>
      <w:r w:rsidRPr="00421345">
        <w:rPr>
          <w:spacing w:val="0"/>
          <w:w w:val="100"/>
          <w:kern w:val="0"/>
          <w:lang w:val="ru-RU"/>
        </w:rPr>
        <w:t>, мнения, принятые 14</w:t>
      </w:r>
      <w:r>
        <w:rPr>
          <w:spacing w:val="0"/>
          <w:w w:val="100"/>
          <w:kern w:val="0"/>
          <w:lang w:val="ru-RU"/>
        </w:rPr>
        <w:t> </w:t>
      </w:r>
      <w:r w:rsidRPr="00421345">
        <w:rPr>
          <w:spacing w:val="0"/>
          <w:w w:val="100"/>
          <w:kern w:val="0"/>
          <w:lang w:val="ru-RU"/>
        </w:rPr>
        <w:t>августа 2006</w:t>
      </w:r>
      <w:r>
        <w:rPr>
          <w:spacing w:val="0"/>
          <w:w w:val="100"/>
          <w:kern w:val="0"/>
          <w:lang w:val="ru-RU"/>
        </w:rPr>
        <w:t> год</w:t>
      </w:r>
      <w:r w:rsidRPr="00421345">
        <w:rPr>
          <w:spacing w:val="0"/>
          <w:w w:val="100"/>
          <w:kern w:val="0"/>
          <w:lang w:val="ru-RU"/>
        </w:rPr>
        <w:t>а.</w:t>
      </w:r>
    </w:p>
  </w:footnote>
  <w:footnote w:id="16">
    <w:p w:rsidR="00FA27A4" w:rsidRPr="00421345" w:rsidRDefault="00FA27A4" w:rsidP="0042134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48" w:right="1264" w:hanging="227"/>
        <w:rPr>
          <w:spacing w:val="0"/>
          <w:w w:val="100"/>
          <w:kern w:val="0"/>
          <w:lang w:val="ru-RU"/>
        </w:rPr>
      </w:pPr>
      <w:r w:rsidRPr="0036057C">
        <w:rPr>
          <w:spacing w:val="0"/>
          <w:w w:val="100"/>
          <w:kern w:val="0"/>
          <w:lang w:val="ru-RU"/>
        </w:rPr>
        <w:tab/>
      </w:r>
      <w:r w:rsidRPr="00421345">
        <w:rPr>
          <w:rStyle w:val="FootnoteReference"/>
          <w:spacing w:val="0"/>
          <w:w w:val="100"/>
          <w:kern w:val="0"/>
          <w:position w:val="0"/>
          <w:lang w:val="ru-RU"/>
        </w:rPr>
        <w:t>15</w:t>
      </w:r>
      <w:r w:rsidRPr="00421345">
        <w:rPr>
          <w:spacing w:val="0"/>
          <w:w w:val="100"/>
          <w:kern w:val="0"/>
          <w:lang w:val="ru-RU"/>
        </w:rPr>
        <w:tab/>
        <w:t xml:space="preserve">Среди прочего, приводится ссылка на сообщение № 26/2010, </w:t>
      </w:r>
      <w:r w:rsidRPr="00421345">
        <w:rPr>
          <w:i/>
          <w:spacing w:val="0"/>
          <w:w w:val="100"/>
          <w:kern w:val="0"/>
          <w:lang w:val="ru-RU"/>
        </w:rPr>
        <w:t>Эррера Ривера против Канады</w:t>
      </w:r>
      <w:r w:rsidRPr="00421345">
        <w:rPr>
          <w:spacing w:val="0"/>
          <w:w w:val="100"/>
          <w:kern w:val="0"/>
          <w:lang w:val="ru-RU"/>
        </w:rPr>
        <w:t>, решение о неприемлемости от 18 октября 2011</w:t>
      </w:r>
      <w:r>
        <w:rPr>
          <w:spacing w:val="0"/>
          <w:w w:val="100"/>
          <w:kern w:val="0"/>
          <w:lang w:val="ru-RU"/>
        </w:rPr>
        <w:t> год</w:t>
      </w:r>
      <w:r w:rsidRPr="00421345">
        <w:rPr>
          <w:spacing w:val="0"/>
          <w:w w:val="100"/>
          <w:kern w:val="0"/>
          <w:lang w:val="ru-RU"/>
        </w:rPr>
        <w:t>а.</w:t>
      </w:r>
    </w:p>
  </w:footnote>
  <w:footnote w:id="17">
    <w:p w:rsidR="00FA27A4" w:rsidRPr="00421345" w:rsidRDefault="00FA27A4" w:rsidP="0042134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48" w:right="1264" w:hanging="227"/>
        <w:rPr>
          <w:spacing w:val="0"/>
          <w:w w:val="100"/>
          <w:kern w:val="0"/>
          <w:lang w:val="ru-RU"/>
        </w:rPr>
      </w:pPr>
      <w:r w:rsidRPr="00421345">
        <w:rPr>
          <w:spacing w:val="0"/>
          <w:w w:val="100"/>
          <w:kern w:val="0"/>
          <w:lang w:val="ru-RU"/>
        </w:rPr>
        <w:tab/>
      </w:r>
      <w:r w:rsidRPr="00421345">
        <w:rPr>
          <w:rStyle w:val="FootnoteReference"/>
          <w:spacing w:val="0"/>
          <w:w w:val="100"/>
          <w:kern w:val="0"/>
          <w:position w:val="0"/>
          <w:lang w:val="ru-RU"/>
        </w:rPr>
        <w:t>16</w:t>
      </w:r>
      <w:r w:rsidRPr="00421345">
        <w:rPr>
          <w:spacing w:val="0"/>
          <w:w w:val="100"/>
          <w:kern w:val="0"/>
          <w:lang w:val="ru-RU"/>
        </w:rPr>
        <w:tab/>
        <w:t xml:space="preserve">Приводится ссылка на сообщение </w:t>
      </w:r>
      <w:r w:rsidRPr="00421345">
        <w:rPr>
          <w:i/>
          <w:spacing w:val="0"/>
          <w:w w:val="100"/>
          <w:kern w:val="0"/>
          <w:lang w:val="ru-RU"/>
        </w:rPr>
        <w:t>Эррера Ривера против Канады</w:t>
      </w:r>
      <w:r w:rsidRPr="00421345">
        <w:rPr>
          <w:spacing w:val="0"/>
          <w:w w:val="100"/>
          <w:kern w:val="0"/>
          <w:lang w:val="ru-RU"/>
        </w:rPr>
        <w:t xml:space="preserve">, примечание 15 выше, и </w:t>
      </w:r>
      <w:r w:rsidRPr="00421345">
        <w:rPr>
          <w:i/>
          <w:spacing w:val="0"/>
          <w:w w:val="100"/>
          <w:kern w:val="0"/>
          <w:lang w:val="ru-RU"/>
        </w:rPr>
        <w:t>Н.С.Ф. против Соединенного Королевства Великобритании и Северной Ирландии</w:t>
      </w:r>
      <w:r w:rsidRPr="00421345">
        <w:rPr>
          <w:spacing w:val="0"/>
          <w:w w:val="100"/>
          <w:kern w:val="0"/>
          <w:lang w:val="ru-RU"/>
        </w:rPr>
        <w:t>, примечание 8 выше.</w:t>
      </w:r>
    </w:p>
  </w:footnote>
  <w:footnote w:id="18">
    <w:p w:rsidR="00FA27A4" w:rsidRPr="00421345" w:rsidRDefault="00FA27A4" w:rsidP="00AA4D8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48" w:right="1264" w:hanging="227"/>
        <w:rPr>
          <w:spacing w:val="0"/>
          <w:w w:val="100"/>
          <w:kern w:val="0"/>
          <w:lang w:val="ru-RU"/>
        </w:rPr>
      </w:pPr>
      <w:r w:rsidRPr="0036057C">
        <w:rPr>
          <w:spacing w:val="0"/>
          <w:w w:val="100"/>
          <w:kern w:val="0"/>
          <w:lang w:val="ru-RU"/>
        </w:rPr>
        <w:tab/>
      </w:r>
      <w:r w:rsidRPr="00421345">
        <w:rPr>
          <w:rStyle w:val="FootnoteReference"/>
          <w:spacing w:val="0"/>
          <w:w w:val="100"/>
          <w:kern w:val="0"/>
          <w:position w:val="0"/>
          <w:lang w:val="ru-RU"/>
        </w:rPr>
        <w:t>17</w:t>
      </w:r>
      <w:r w:rsidRPr="00421345">
        <w:rPr>
          <w:spacing w:val="0"/>
          <w:w w:val="100"/>
          <w:kern w:val="0"/>
          <w:lang w:val="ru-RU"/>
        </w:rPr>
        <w:tab/>
        <w:t>Среди прочего, приводятся ссылки на выводы и рекомендации Комитета против пыток по пятому периодическому докладу Дании (</w:t>
      </w:r>
      <w:r w:rsidRPr="00421345">
        <w:rPr>
          <w:spacing w:val="0"/>
          <w:w w:val="100"/>
          <w:kern w:val="0"/>
          <w:lang w:val="en-US"/>
        </w:rPr>
        <w:t>CAT</w:t>
      </w:r>
      <w:r w:rsidRPr="00421345">
        <w:rPr>
          <w:spacing w:val="0"/>
          <w:w w:val="100"/>
          <w:kern w:val="0"/>
          <w:lang w:val="ru-RU"/>
        </w:rPr>
        <w:t>/</w:t>
      </w:r>
      <w:r w:rsidRPr="00421345">
        <w:rPr>
          <w:spacing w:val="0"/>
          <w:w w:val="100"/>
          <w:kern w:val="0"/>
          <w:lang w:val="en-US"/>
        </w:rPr>
        <w:t>C</w:t>
      </w:r>
      <w:r w:rsidRPr="00421345">
        <w:rPr>
          <w:spacing w:val="0"/>
          <w:w w:val="100"/>
          <w:kern w:val="0"/>
          <w:lang w:val="ru-RU"/>
        </w:rPr>
        <w:t>/</w:t>
      </w:r>
      <w:r w:rsidRPr="00421345">
        <w:rPr>
          <w:spacing w:val="0"/>
          <w:w w:val="100"/>
          <w:kern w:val="0"/>
          <w:lang w:val="en-US"/>
        </w:rPr>
        <w:t>DNK</w:t>
      </w:r>
      <w:r w:rsidRPr="00421345">
        <w:rPr>
          <w:spacing w:val="0"/>
          <w:w w:val="100"/>
          <w:kern w:val="0"/>
          <w:lang w:val="ru-RU"/>
        </w:rPr>
        <w:t>/</w:t>
      </w:r>
      <w:r w:rsidRPr="00421345">
        <w:rPr>
          <w:spacing w:val="0"/>
          <w:w w:val="100"/>
          <w:kern w:val="0"/>
          <w:lang w:val="en-US"/>
        </w:rPr>
        <w:t>CO</w:t>
      </w:r>
      <w:r w:rsidRPr="00421345">
        <w:rPr>
          <w:spacing w:val="0"/>
          <w:w w:val="100"/>
          <w:kern w:val="0"/>
          <w:lang w:val="ru-RU"/>
        </w:rPr>
        <w:t>/5), пункт 9, и заключительные замечания Комитета по правам человека по пятому периодическому докладу Дании (</w:t>
      </w:r>
      <w:r w:rsidRPr="00421345">
        <w:rPr>
          <w:spacing w:val="0"/>
          <w:w w:val="100"/>
          <w:kern w:val="0"/>
          <w:lang w:val="en-US"/>
        </w:rPr>
        <w:t>CCPR</w:t>
      </w:r>
      <w:r w:rsidRPr="00421345">
        <w:rPr>
          <w:spacing w:val="0"/>
          <w:w w:val="100"/>
          <w:kern w:val="0"/>
          <w:lang w:val="ru-RU"/>
        </w:rPr>
        <w:t>/</w:t>
      </w:r>
      <w:r w:rsidRPr="00421345">
        <w:rPr>
          <w:spacing w:val="0"/>
          <w:w w:val="100"/>
          <w:kern w:val="0"/>
          <w:lang w:val="en-US"/>
        </w:rPr>
        <w:t>C</w:t>
      </w:r>
      <w:r w:rsidRPr="00421345">
        <w:rPr>
          <w:spacing w:val="0"/>
          <w:w w:val="100"/>
          <w:kern w:val="0"/>
          <w:lang w:val="ru-RU"/>
        </w:rPr>
        <w:t>/</w:t>
      </w:r>
      <w:r w:rsidRPr="00421345">
        <w:rPr>
          <w:spacing w:val="0"/>
          <w:w w:val="100"/>
          <w:kern w:val="0"/>
          <w:lang w:val="en-US"/>
        </w:rPr>
        <w:t>DNK</w:t>
      </w:r>
      <w:r w:rsidRPr="00421345">
        <w:rPr>
          <w:spacing w:val="0"/>
          <w:w w:val="100"/>
          <w:kern w:val="0"/>
          <w:lang w:val="ru-RU"/>
        </w:rPr>
        <w:t>/</w:t>
      </w:r>
      <w:r w:rsidRPr="00421345">
        <w:rPr>
          <w:spacing w:val="0"/>
          <w:w w:val="100"/>
          <w:kern w:val="0"/>
          <w:lang w:val="en-US"/>
        </w:rPr>
        <w:t>CO</w:t>
      </w:r>
      <w:r w:rsidRPr="00421345">
        <w:rPr>
          <w:spacing w:val="0"/>
          <w:w w:val="100"/>
          <w:kern w:val="0"/>
          <w:lang w:val="ru-RU"/>
        </w:rPr>
        <w:t>/5), пункт 6.</w:t>
      </w:r>
    </w:p>
  </w:footnote>
  <w:footnote w:id="19">
    <w:p w:rsidR="00FA27A4" w:rsidRPr="00421345" w:rsidRDefault="00FA27A4" w:rsidP="00AA4D84">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48" w:right="1264" w:hanging="227"/>
        <w:rPr>
          <w:spacing w:val="0"/>
          <w:w w:val="100"/>
          <w:kern w:val="0"/>
          <w:lang w:val="ru-RU"/>
        </w:rPr>
      </w:pPr>
      <w:r>
        <w:rPr>
          <w:spacing w:val="0"/>
          <w:w w:val="100"/>
          <w:kern w:val="0"/>
          <w:lang w:val="ru-RU"/>
        </w:rPr>
        <w:tab/>
      </w:r>
      <w:r w:rsidRPr="00421345">
        <w:rPr>
          <w:rStyle w:val="FootnoteReference"/>
          <w:spacing w:val="0"/>
          <w:w w:val="100"/>
          <w:kern w:val="0"/>
          <w:position w:val="0"/>
          <w:lang w:val="ru-RU"/>
        </w:rPr>
        <w:t>18</w:t>
      </w:r>
      <w:r>
        <w:rPr>
          <w:spacing w:val="0"/>
          <w:w w:val="100"/>
          <w:kern w:val="0"/>
          <w:lang w:val="ru-RU"/>
        </w:rPr>
        <w:tab/>
      </w:r>
      <w:r w:rsidRPr="00421345">
        <w:rPr>
          <w:spacing w:val="0"/>
          <w:w w:val="100"/>
          <w:kern w:val="0"/>
          <w:lang w:val="ru-RU"/>
        </w:rPr>
        <w:t xml:space="preserve">Приводится также ссылка на сообщение </w:t>
      </w:r>
      <w:r w:rsidRPr="00421345">
        <w:rPr>
          <w:i/>
          <w:spacing w:val="0"/>
          <w:w w:val="100"/>
          <w:kern w:val="0"/>
          <w:lang w:val="ru-RU"/>
        </w:rPr>
        <w:t>Н.С.Ф. против Соединенного Королевства Великобритании и Северной Ирландии</w:t>
      </w:r>
      <w:r w:rsidRPr="00421345">
        <w:rPr>
          <w:spacing w:val="0"/>
          <w:w w:val="100"/>
          <w:kern w:val="0"/>
          <w:lang w:val="ru-RU"/>
        </w:rPr>
        <w:t>, примечание 8 выше, пункт 7.4.</w:t>
      </w:r>
    </w:p>
  </w:footnote>
  <w:footnote w:id="20">
    <w:p w:rsidR="00FA27A4" w:rsidRPr="00421345" w:rsidRDefault="00FA27A4" w:rsidP="00AA4D84">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48" w:right="1264" w:hanging="227"/>
        <w:rPr>
          <w:spacing w:val="0"/>
          <w:w w:val="100"/>
          <w:kern w:val="0"/>
          <w:lang w:val="ru-RU"/>
        </w:rPr>
      </w:pPr>
      <w:r>
        <w:rPr>
          <w:spacing w:val="0"/>
          <w:w w:val="100"/>
          <w:kern w:val="0"/>
          <w:lang w:val="ru-RU"/>
        </w:rPr>
        <w:tab/>
      </w:r>
      <w:r w:rsidRPr="00421345">
        <w:rPr>
          <w:rStyle w:val="FootnoteReference"/>
          <w:spacing w:val="0"/>
          <w:w w:val="100"/>
          <w:kern w:val="0"/>
          <w:position w:val="0"/>
          <w:lang w:val="ru-RU"/>
        </w:rPr>
        <w:t>19</w:t>
      </w:r>
      <w:r>
        <w:rPr>
          <w:spacing w:val="0"/>
          <w:w w:val="100"/>
          <w:kern w:val="0"/>
          <w:lang w:val="ru-RU"/>
        </w:rPr>
        <w:tab/>
      </w:r>
      <w:r w:rsidRPr="00421345">
        <w:rPr>
          <w:spacing w:val="0"/>
          <w:w w:val="100"/>
          <w:kern w:val="0"/>
          <w:lang w:val="ru-RU"/>
        </w:rPr>
        <w:t>Приводится ссылка на шестой периодический доклад Дании Комитету, примечание 13 выше, стр.</w:t>
      </w:r>
      <w:r>
        <w:rPr>
          <w:spacing w:val="0"/>
          <w:w w:val="100"/>
          <w:kern w:val="0"/>
          <w:lang w:val="ru-RU"/>
        </w:rPr>
        <w:t> </w:t>
      </w:r>
      <w:r w:rsidRPr="00421345">
        <w:rPr>
          <w:spacing w:val="0"/>
          <w:w w:val="100"/>
          <w:kern w:val="0"/>
          <w:lang w:val="ru-RU"/>
        </w:rPr>
        <w:t>54−60.</w:t>
      </w:r>
    </w:p>
  </w:footnote>
  <w:footnote w:id="21">
    <w:p w:rsidR="00FA27A4" w:rsidRPr="0036057C" w:rsidRDefault="00FA27A4" w:rsidP="00AA4D84">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48" w:right="1264" w:hanging="227"/>
        <w:rPr>
          <w:spacing w:val="0"/>
          <w:w w:val="100"/>
          <w:kern w:val="0"/>
          <w:lang w:val="ru-RU"/>
        </w:rPr>
      </w:pPr>
      <w:r>
        <w:rPr>
          <w:spacing w:val="0"/>
          <w:w w:val="100"/>
          <w:kern w:val="0"/>
          <w:lang w:val="ru-RU"/>
        </w:rPr>
        <w:tab/>
      </w:r>
      <w:r w:rsidRPr="0036057C">
        <w:rPr>
          <w:rStyle w:val="FootnoteReference"/>
          <w:spacing w:val="0"/>
          <w:w w:val="100"/>
          <w:kern w:val="0"/>
          <w:position w:val="0"/>
          <w:lang w:val="ru-RU"/>
        </w:rPr>
        <w:t>20</w:t>
      </w:r>
      <w:r w:rsidRPr="0036057C">
        <w:rPr>
          <w:spacing w:val="0"/>
          <w:w w:val="100"/>
          <w:kern w:val="0"/>
          <w:lang w:val="ru-RU"/>
        </w:rPr>
        <w:t xml:space="preserve"> </w:t>
      </w:r>
      <w:r>
        <w:rPr>
          <w:spacing w:val="0"/>
          <w:w w:val="100"/>
          <w:kern w:val="0"/>
          <w:lang w:val="ru-RU"/>
        </w:rPr>
        <w:tab/>
      </w:r>
      <w:r w:rsidRPr="0036057C">
        <w:rPr>
          <w:spacing w:val="0"/>
          <w:w w:val="100"/>
          <w:kern w:val="0"/>
          <w:lang w:val="ru-RU"/>
        </w:rPr>
        <w:t>См. примечание</w:t>
      </w:r>
      <w:r w:rsidRPr="0036057C">
        <w:rPr>
          <w:spacing w:val="0"/>
          <w:w w:val="100"/>
          <w:kern w:val="0"/>
          <w:szCs w:val="18"/>
          <w:lang w:val="ru-RU"/>
        </w:rPr>
        <w:t xml:space="preserve"> 8 выше, пункт 7.4.</w:t>
      </w:r>
    </w:p>
  </w:footnote>
  <w:footnote w:id="22">
    <w:p w:rsidR="00FA27A4" w:rsidRPr="00421345" w:rsidRDefault="00FA27A4" w:rsidP="00AA4D84">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48" w:right="1264" w:hanging="227"/>
        <w:rPr>
          <w:spacing w:val="0"/>
          <w:w w:val="100"/>
          <w:kern w:val="0"/>
          <w:lang w:val="ru-RU"/>
        </w:rPr>
      </w:pPr>
      <w:r>
        <w:rPr>
          <w:spacing w:val="0"/>
          <w:w w:val="100"/>
          <w:kern w:val="0"/>
          <w:lang w:val="ru-RU"/>
        </w:rPr>
        <w:tab/>
      </w:r>
      <w:r w:rsidRPr="00421345">
        <w:rPr>
          <w:rStyle w:val="FootnoteReference"/>
          <w:spacing w:val="0"/>
          <w:w w:val="100"/>
          <w:kern w:val="0"/>
          <w:position w:val="0"/>
          <w:lang w:val="ru-RU"/>
        </w:rPr>
        <w:t>21</w:t>
      </w:r>
      <w:r w:rsidRPr="00421345">
        <w:rPr>
          <w:spacing w:val="0"/>
          <w:w w:val="100"/>
          <w:kern w:val="0"/>
          <w:lang w:val="ru-RU"/>
        </w:rPr>
        <w:t xml:space="preserve"> </w:t>
      </w:r>
      <w:r>
        <w:rPr>
          <w:spacing w:val="0"/>
          <w:w w:val="100"/>
          <w:kern w:val="0"/>
          <w:lang w:val="ru-RU"/>
        </w:rPr>
        <w:tab/>
      </w:r>
      <w:r w:rsidRPr="00421345">
        <w:rPr>
          <w:spacing w:val="0"/>
          <w:w w:val="100"/>
          <w:kern w:val="0"/>
          <w:lang w:val="ru-RU"/>
        </w:rPr>
        <w:t>Приводится ссылка на доклад Рабочей группы по универсальному периодическому обзору по Уганде (</w:t>
      </w:r>
      <w:r w:rsidRPr="00421345">
        <w:rPr>
          <w:spacing w:val="0"/>
          <w:w w:val="100"/>
          <w:kern w:val="0"/>
          <w:lang w:val="en-US"/>
        </w:rPr>
        <w:t>A</w:t>
      </w:r>
      <w:r w:rsidRPr="00421345">
        <w:rPr>
          <w:spacing w:val="0"/>
          <w:w w:val="100"/>
          <w:kern w:val="0"/>
          <w:lang w:val="ru-RU"/>
        </w:rPr>
        <w:t>/</w:t>
      </w:r>
      <w:r w:rsidRPr="00421345">
        <w:rPr>
          <w:spacing w:val="0"/>
          <w:w w:val="100"/>
          <w:kern w:val="0"/>
          <w:lang w:val="en-US"/>
        </w:rPr>
        <w:t>HRC</w:t>
      </w:r>
      <w:r w:rsidRPr="00421345">
        <w:rPr>
          <w:spacing w:val="0"/>
          <w:w w:val="100"/>
          <w:kern w:val="0"/>
          <w:lang w:val="ru-RU"/>
        </w:rPr>
        <w:t>/19/16), пункты 52 и 91, а также на рекомендации 111.49, 111.50 и 111.54. См. также заключительные замечания Комитета по объединенным четвертому–седьмому докладам Уганды (</w:t>
      </w:r>
      <w:r w:rsidRPr="00421345">
        <w:rPr>
          <w:spacing w:val="0"/>
          <w:w w:val="100"/>
          <w:kern w:val="0"/>
          <w:lang w:val="en-US"/>
        </w:rPr>
        <w:t>CEDAW</w:t>
      </w:r>
      <w:r w:rsidRPr="00421345">
        <w:rPr>
          <w:spacing w:val="0"/>
          <w:w w:val="100"/>
          <w:kern w:val="0"/>
          <w:lang w:val="ru-RU"/>
        </w:rPr>
        <w:t>/</w:t>
      </w:r>
      <w:r w:rsidRPr="00421345">
        <w:rPr>
          <w:spacing w:val="0"/>
          <w:w w:val="100"/>
          <w:kern w:val="0"/>
          <w:lang w:val="en-US"/>
        </w:rPr>
        <w:t>C</w:t>
      </w:r>
      <w:r w:rsidRPr="00421345">
        <w:rPr>
          <w:spacing w:val="0"/>
          <w:w w:val="100"/>
          <w:kern w:val="0"/>
          <w:lang w:val="ru-RU"/>
        </w:rPr>
        <w:t>/</w:t>
      </w:r>
      <w:r w:rsidRPr="00421345">
        <w:rPr>
          <w:spacing w:val="0"/>
          <w:w w:val="100"/>
          <w:kern w:val="0"/>
          <w:lang w:val="en-US"/>
        </w:rPr>
        <w:t>UGA</w:t>
      </w:r>
      <w:r w:rsidRPr="00421345">
        <w:rPr>
          <w:spacing w:val="0"/>
          <w:w w:val="100"/>
          <w:kern w:val="0"/>
          <w:lang w:val="ru-RU"/>
        </w:rPr>
        <w:t>/</w:t>
      </w:r>
      <w:r w:rsidRPr="00421345">
        <w:rPr>
          <w:spacing w:val="0"/>
          <w:w w:val="100"/>
          <w:kern w:val="0"/>
          <w:lang w:val="en-US"/>
        </w:rPr>
        <w:t>CO</w:t>
      </w:r>
      <w:r w:rsidRPr="00421345">
        <w:rPr>
          <w:spacing w:val="0"/>
          <w:w w:val="100"/>
          <w:kern w:val="0"/>
          <w:lang w:val="ru-RU"/>
        </w:rPr>
        <w:t>/7) и заключительные замечания Комитета по правам человека по первоначальному докладу Уганды (</w:t>
      </w:r>
      <w:r w:rsidRPr="00421345">
        <w:rPr>
          <w:spacing w:val="0"/>
          <w:w w:val="100"/>
          <w:kern w:val="0"/>
          <w:lang w:val="en-US"/>
        </w:rPr>
        <w:t>CCPR</w:t>
      </w:r>
      <w:r w:rsidRPr="00421345">
        <w:rPr>
          <w:spacing w:val="0"/>
          <w:w w:val="100"/>
          <w:kern w:val="0"/>
          <w:lang w:val="ru-RU"/>
        </w:rPr>
        <w:t>/</w:t>
      </w:r>
      <w:r w:rsidRPr="00421345">
        <w:rPr>
          <w:spacing w:val="0"/>
          <w:w w:val="100"/>
          <w:kern w:val="0"/>
          <w:lang w:val="en-US"/>
        </w:rPr>
        <w:t>CO</w:t>
      </w:r>
      <w:r w:rsidRPr="00421345">
        <w:rPr>
          <w:spacing w:val="0"/>
          <w:w w:val="100"/>
          <w:kern w:val="0"/>
          <w:lang w:val="ru-RU"/>
        </w:rPr>
        <w:t>/80/</w:t>
      </w:r>
      <w:r w:rsidRPr="00421345">
        <w:rPr>
          <w:spacing w:val="0"/>
          <w:w w:val="100"/>
          <w:kern w:val="0"/>
          <w:lang w:val="en-US"/>
        </w:rPr>
        <w:t>UGA</w:t>
      </w:r>
      <w:r w:rsidRPr="00421345">
        <w:rPr>
          <w:spacing w:val="0"/>
          <w:w w:val="100"/>
          <w:kern w:val="0"/>
          <w:lang w:val="ru-RU"/>
        </w:rPr>
        <w:t>)</w:t>
      </w:r>
    </w:p>
  </w:footnote>
  <w:footnote w:id="23">
    <w:p w:rsidR="00FA27A4" w:rsidRPr="00421345" w:rsidRDefault="00FA27A4" w:rsidP="00AA4D84">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48" w:right="1264" w:hanging="227"/>
        <w:rPr>
          <w:spacing w:val="0"/>
          <w:w w:val="100"/>
          <w:kern w:val="0"/>
          <w:lang w:val="ru-RU"/>
        </w:rPr>
      </w:pPr>
      <w:r>
        <w:rPr>
          <w:spacing w:val="0"/>
          <w:w w:val="100"/>
          <w:kern w:val="0"/>
          <w:lang w:val="ru-RU"/>
        </w:rPr>
        <w:tab/>
      </w:r>
      <w:r w:rsidRPr="00421345">
        <w:rPr>
          <w:rStyle w:val="FootnoteReference"/>
          <w:spacing w:val="0"/>
          <w:w w:val="100"/>
          <w:kern w:val="0"/>
          <w:position w:val="0"/>
          <w:lang w:val="ru-RU"/>
        </w:rPr>
        <w:t>22</w:t>
      </w:r>
      <w:r w:rsidRPr="00421345">
        <w:rPr>
          <w:spacing w:val="0"/>
          <w:w w:val="100"/>
          <w:kern w:val="0"/>
          <w:lang w:val="ru-RU"/>
        </w:rPr>
        <w:t xml:space="preserve"> </w:t>
      </w:r>
      <w:r>
        <w:rPr>
          <w:spacing w:val="0"/>
          <w:w w:val="100"/>
          <w:kern w:val="0"/>
          <w:lang w:val="ru-RU"/>
        </w:rPr>
        <w:tab/>
      </w:r>
      <w:r w:rsidRPr="00421345">
        <w:rPr>
          <w:spacing w:val="0"/>
          <w:w w:val="100"/>
          <w:kern w:val="0"/>
          <w:lang w:val="ru-RU"/>
        </w:rPr>
        <w:t>Приводится ссылка на доклад Верховного комиссара Организации Объединенных Наций по правам человека о деятельности Управления Верховного комиссара Организации Объединенных Наций по</w:t>
      </w:r>
      <w:r>
        <w:rPr>
          <w:spacing w:val="0"/>
          <w:w w:val="100"/>
          <w:kern w:val="0"/>
          <w:lang w:val="ru-RU"/>
        </w:rPr>
        <w:t> </w:t>
      </w:r>
      <w:r w:rsidRPr="00421345">
        <w:rPr>
          <w:spacing w:val="0"/>
          <w:w w:val="100"/>
          <w:kern w:val="0"/>
          <w:lang w:val="ru-RU"/>
        </w:rPr>
        <w:t>правам человека в Уганде (</w:t>
      </w:r>
      <w:r w:rsidRPr="00421345">
        <w:rPr>
          <w:spacing w:val="0"/>
          <w:w w:val="100"/>
          <w:kern w:val="0"/>
          <w:lang w:val="en-US"/>
        </w:rPr>
        <w:t>A</w:t>
      </w:r>
      <w:r w:rsidRPr="00421345">
        <w:rPr>
          <w:spacing w:val="0"/>
          <w:w w:val="100"/>
          <w:kern w:val="0"/>
          <w:lang w:val="ru-RU"/>
        </w:rPr>
        <w:t>/</w:t>
      </w:r>
      <w:r w:rsidRPr="00421345">
        <w:rPr>
          <w:spacing w:val="0"/>
          <w:w w:val="100"/>
          <w:kern w:val="0"/>
          <w:lang w:val="en-US"/>
        </w:rPr>
        <w:t>HRC</w:t>
      </w:r>
      <w:r w:rsidRPr="00421345">
        <w:rPr>
          <w:spacing w:val="0"/>
          <w:w w:val="100"/>
          <w:kern w:val="0"/>
          <w:lang w:val="ru-RU"/>
        </w:rPr>
        <w:t>/7/38/</w:t>
      </w:r>
      <w:r w:rsidRPr="00421345">
        <w:rPr>
          <w:spacing w:val="0"/>
          <w:w w:val="100"/>
          <w:kern w:val="0"/>
          <w:lang w:val="en-US"/>
        </w:rPr>
        <w:t>Add</w:t>
      </w:r>
      <w:r w:rsidRPr="00421345">
        <w:rPr>
          <w:spacing w:val="0"/>
          <w:w w:val="100"/>
          <w:kern w:val="0"/>
          <w:lang w:val="ru-RU"/>
        </w:rPr>
        <w:t xml:space="preserve">.2). </w:t>
      </w:r>
    </w:p>
  </w:footnote>
  <w:footnote w:id="24">
    <w:p w:rsidR="00FA27A4" w:rsidRPr="0036057C" w:rsidRDefault="00FA27A4" w:rsidP="00AA4D84">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48" w:right="1264" w:hanging="227"/>
        <w:rPr>
          <w:spacing w:val="0"/>
          <w:w w:val="100"/>
          <w:kern w:val="0"/>
          <w:lang w:val="ru-RU"/>
        </w:rPr>
      </w:pPr>
      <w:r>
        <w:rPr>
          <w:spacing w:val="0"/>
          <w:w w:val="100"/>
          <w:kern w:val="0"/>
          <w:lang w:val="ru-RU"/>
        </w:rPr>
        <w:tab/>
      </w:r>
      <w:r w:rsidRPr="0036057C">
        <w:rPr>
          <w:rStyle w:val="FootnoteReference"/>
          <w:spacing w:val="0"/>
          <w:w w:val="100"/>
          <w:kern w:val="0"/>
          <w:position w:val="0"/>
          <w:lang w:val="ru-RU"/>
        </w:rPr>
        <w:t>23</w:t>
      </w:r>
      <w:r w:rsidRPr="0036057C">
        <w:rPr>
          <w:spacing w:val="0"/>
          <w:w w:val="100"/>
          <w:kern w:val="0"/>
          <w:lang w:val="ru-RU"/>
        </w:rPr>
        <w:t xml:space="preserve"> </w:t>
      </w:r>
      <w:r>
        <w:rPr>
          <w:spacing w:val="0"/>
          <w:w w:val="100"/>
          <w:kern w:val="0"/>
          <w:lang w:val="ru-RU"/>
        </w:rPr>
        <w:tab/>
      </w:r>
      <w:r w:rsidRPr="0036057C">
        <w:rPr>
          <w:spacing w:val="0"/>
          <w:w w:val="100"/>
          <w:kern w:val="0"/>
          <w:szCs w:val="18"/>
          <w:lang w:val="ru-RU"/>
        </w:rPr>
        <w:t>(</w:t>
      </w:r>
      <w:r w:rsidRPr="00421345">
        <w:rPr>
          <w:spacing w:val="0"/>
          <w:w w:val="100"/>
          <w:kern w:val="0"/>
          <w:szCs w:val="18"/>
        </w:rPr>
        <w:t>CEDAW</w:t>
      </w:r>
      <w:r w:rsidRPr="0036057C">
        <w:rPr>
          <w:spacing w:val="0"/>
          <w:w w:val="100"/>
          <w:kern w:val="0"/>
          <w:szCs w:val="18"/>
          <w:lang w:val="ru-RU"/>
        </w:rPr>
        <w:t>/</w:t>
      </w:r>
      <w:r w:rsidRPr="00421345">
        <w:rPr>
          <w:spacing w:val="0"/>
          <w:w w:val="100"/>
          <w:kern w:val="0"/>
          <w:szCs w:val="18"/>
        </w:rPr>
        <w:t>C</w:t>
      </w:r>
      <w:r w:rsidRPr="0036057C">
        <w:rPr>
          <w:spacing w:val="0"/>
          <w:w w:val="100"/>
          <w:kern w:val="0"/>
          <w:szCs w:val="18"/>
          <w:lang w:val="ru-RU"/>
        </w:rPr>
        <w:t>/</w:t>
      </w:r>
      <w:r w:rsidRPr="00421345">
        <w:rPr>
          <w:spacing w:val="0"/>
          <w:w w:val="100"/>
          <w:kern w:val="0"/>
          <w:szCs w:val="18"/>
        </w:rPr>
        <w:t>UGA</w:t>
      </w:r>
      <w:r w:rsidRPr="0036057C">
        <w:rPr>
          <w:spacing w:val="0"/>
          <w:w w:val="100"/>
          <w:kern w:val="0"/>
          <w:szCs w:val="18"/>
          <w:lang w:val="ru-RU"/>
        </w:rPr>
        <w:t>/7), пункт 175.</w:t>
      </w:r>
    </w:p>
  </w:footnote>
  <w:footnote w:id="25">
    <w:p w:rsidR="00FA27A4" w:rsidRPr="00421345" w:rsidRDefault="00FA27A4" w:rsidP="00AA4D84">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48" w:right="1264" w:hanging="227"/>
        <w:rPr>
          <w:spacing w:val="0"/>
          <w:w w:val="100"/>
          <w:kern w:val="0"/>
          <w:lang w:val="ru-RU"/>
        </w:rPr>
      </w:pPr>
      <w:r>
        <w:rPr>
          <w:spacing w:val="0"/>
          <w:w w:val="100"/>
          <w:kern w:val="0"/>
          <w:lang w:val="ru-RU"/>
        </w:rPr>
        <w:tab/>
      </w:r>
      <w:r w:rsidRPr="00421345">
        <w:rPr>
          <w:rStyle w:val="FootnoteReference"/>
          <w:spacing w:val="0"/>
          <w:w w:val="100"/>
          <w:kern w:val="0"/>
          <w:position w:val="0"/>
          <w:lang w:val="ru-RU"/>
        </w:rPr>
        <w:t>24</w:t>
      </w:r>
      <w:r>
        <w:rPr>
          <w:spacing w:val="0"/>
          <w:w w:val="100"/>
          <w:kern w:val="0"/>
          <w:lang w:val="ru-RU"/>
        </w:rPr>
        <w:tab/>
      </w:r>
      <w:r w:rsidRPr="00421345">
        <w:rPr>
          <w:spacing w:val="0"/>
          <w:w w:val="100"/>
          <w:kern w:val="0"/>
          <w:lang w:val="ru-RU"/>
        </w:rPr>
        <w:t>Общая рекомендация № 28, касающаяся основных обязательств государств-участников в соответствии со статьей 2 Конвенции о ликвидации всех форм дискриминации в отношении женщин, пункт 12.</w:t>
      </w:r>
    </w:p>
  </w:footnote>
  <w:footnote w:id="26">
    <w:p w:rsidR="00FA27A4" w:rsidRPr="00421345" w:rsidRDefault="00FA27A4" w:rsidP="00AA4D84">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48" w:right="1264" w:hanging="227"/>
        <w:rPr>
          <w:spacing w:val="0"/>
          <w:w w:val="100"/>
          <w:kern w:val="0"/>
          <w:lang w:val="ru-RU"/>
        </w:rPr>
      </w:pPr>
      <w:r>
        <w:rPr>
          <w:spacing w:val="0"/>
          <w:w w:val="100"/>
          <w:kern w:val="0"/>
          <w:lang w:val="ru-RU"/>
        </w:rPr>
        <w:tab/>
      </w:r>
      <w:r w:rsidRPr="00421345">
        <w:rPr>
          <w:rStyle w:val="FootnoteReference"/>
          <w:spacing w:val="0"/>
          <w:w w:val="100"/>
          <w:kern w:val="0"/>
          <w:position w:val="0"/>
          <w:lang w:val="ru-RU"/>
        </w:rPr>
        <w:t>25</w:t>
      </w:r>
      <w:r w:rsidRPr="00421345">
        <w:rPr>
          <w:spacing w:val="0"/>
          <w:w w:val="100"/>
          <w:kern w:val="0"/>
          <w:lang w:val="ru-RU"/>
        </w:rPr>
        <w:t xml:space="preserve"> </w:t>
      </w:r>
      <w:r>
        <w:rPr>
          <w:spacing w:val="0"/>
          <w:w w:val="100"/>
          <w:kern w:val="0"/>
          <w:lang w:val="ru-RU"/>
        </w:rPr>
        <w:tab/>
      </w:r>
      <w:r w:rsidRPr="00421345">
        <w:rPr>
          <w:spacing w:val="0"/>
          <w:w w:val="100"/>
          <w:kern w:val="0"/>
          <w:lang w:val="ru-RU"/>
        </w:rPr>
        <w:t>См. статью 33 (запрещение высылки беженцев или их принудительного возвращения) Конвенции о</w:t>
      </w:r>
      <w:r>
        <w:rPr>
          <w:spacing w:val="0"/>
          <w:w w:val="100"/>
          <w:kern w:val="0"/>
          <w:lang w:val="ru-RU"/>
        </w:rPr>
        <w:t> </w:t>
      </w:r>
      <w:r w:rsidRPr="00421345">
        <w:rPr>
          <w:spacing w:val="0"/>
          <w:w w:val="100"/>
          <w:kern w:val="0"/>
          <w:lang w:val="ru-RU"/>
        </w:rPr>
        <w:t>статусе беженцев.</w:t>
      </w:r>
    </w:p>
  </w:footnote>
  <w:footnote w:id="27">
    <w:p w:rsidR="00FA27A4" w:rsidRPr="00421345" w:rsidRDefault="00FA27A4" w:rsidP="00AA4D84">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48" w:right="1264" w:hanging="227"/>
        <w:rPr>
          <w:spacing w:val="0"/>
          <w:w w:val="100"/>
          <w:kern w:val="0"/>
          <w:lang w:val="ru-RU"/>
        </w:rPr>
      </w:pPr>
      <w:r>
        <w:rPr>
          <w:spacing w:val="0"/>
          <w:w w:val="100"/>
          <w:kern w:val="0"/>
          <w:lang w:val="ru-RU"/>
        </w:rPr>
        <w:tab/>
      </w:r>
      <w:r w:rsidRPr="00421345">
        <w:rPr>
          <w:rStyle w:val="FootnoteReference"/>
          <w:spacing w:val="0"/>
          <w:w w:val="100"/>
          <w:kern w:val="0"/>
          <w:position w:val="0"/>
          <w:lang w:val="ru-RU"/>
        </w:rPr>
        <w:t>26</w:t>
      </w:r>
      <w:r w:rsidRPr="00421345">
        <w:rPr>
          <w:spacing w:val="0"/>
          <w:w w:val="100"/>
          <w:kern w:val="0"/>
          <w:lang w:val="ru-RU"/>
        </w:rPr>
        <w:t xml:space="preserve"> </w:t>
      </w:r>
      <w:r>
        <w:rPr>
          <w:spacing w:val="0"/>
          <w:w w:val="100"/>
          <w:kern w:val="0"/>
          <w:lang w:val="ru-RU"/>
        </w:rPr>
        <w:tab/>
      </w:r>
      <w:r w:rsidRPr="00421345">
        <w:rPr>
          <w:spacing w:val="0"/>
          <w:w w:val="100"/>
          <w:kern w:val="0"/>
          <w:lang w:val="ru-RU"/>
        </w:rPr>
        <w:t xml:space="preserve">См., например, сообщение № 470/1991, </w:t>
      </w:r>
      <w:r w:rsidRPr="00421345">
        <w:rPr>
          <w:i/>
          <w:spacing w:val="0"/>
          <w:w w:val="100"/>
          <w:kern w:val="0"/>
          <w:lang w:val="ru-RU"/>
        </w:rPr>
        <w:t xml:space="preserve">Киндлер против Канады, </w:t>
      </w:r>
      <w:r w:rsidRPr="00421345">
        <w:rPr>
          <w:spacing w:val="0"/>
          <w:w w:val="100"/>
          <w:kern w:val="0"/>
          <w:lang w:val="ru-RU"/>
        </w:rPr>
        <w:t>мнения, принятые 30</w:t>
      </w:r>
      <w:r w:rsidRPr="00421345">
        <w:rPr>
          <w:spacing w:val="0"/>
          <w:w w:val="100"/>
          <w:kern w:val="0"/>
        </w:rPr>
        <w:t> </w:t>
      </w:r>
      <w:r w:rsidRPr="00421345">
        <w:rPr>
          <w:spacing w:val="0"/>
          <w:w w:val="100"/>
          <w:kern w:val="0"/>
          <w:lang w:val="ru-RU"/>
        </w:rPr>
        <w:t>июля 1993</w:t>
      </w:r>
      <w:r>
        <w:rPr>
          <w:spacing w:val="0"/>
          <w:w w:val="100"/>
          <w:kern w:val="0"/>
          <w:lang w:val="ru-RU"/>
        </w:rPr>
        <w:t> год</w:t>
      </w:r>
      <w:r w:rsidRPr="00421345">
        <w:rPr>
          <w:spacing w:val="0"/>
          <w:w w:val="100"/>
          <w:kern w:val="0"/>
          <w:lang w:val="ru-RU"/>
        </w:rPr>
        <w:t>а, пункт 6.2.</w:t>
      </w:r>
    </w:p>
  </w:footnote>
  <w:footnote w:id="28">
    <w:p w:rsidR="00FA27A4" w:rsidRPr="00421345" w:rsidRDefault="00FA27A4" w:rsidP="00AA4D84">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48" w:right="1264" w:hanging="227"/>
        <w:rPr>
          <w:spacing w:val="0"/>
          <w:w w:val="100"/>
          <w:kern w:val="0"/>
          <w:lang w:val="ru-RU"/>
        </w:rPr>
      </w:pPr>
      <w:r>
        <w:rPr>
          <w:spacing w:val="0"/>
          <w:w w:val="100"/>
          <w:kern w:val="0"/>
          <w:lang w:val="ru-RU"/>
        </w:rPr>
        <w:tab/>
      </w:r>
      <w:r w:rsidRPr="00421345">
        <w:rPr>
          <w:rStyle w:val="FootnoteReference"/>
          <w:spacing w:val="0"/>
          <w:w w:val="100"/>
          <w:kern w:val="0"/>
          <w:position w:val="0"/>
          <w:lang w:val="ru-RU"/>
        </w:rPr>
        <w:t>27</w:t>
      </w:r>
      <w:r w:rsidRPr="00421345">
        <w:rPr>
          <w:spacing w:val="0"/>
          <w:w w:val="100"/>
          <w:kern w:val="0"/>
          <w:lang w:val="ru-RU"/>
        </w:rPr>
        <w:t xml:space="preserve"> </w:t>
      </w:r>
      <w:r>
        <w:rPr>
          <w:spacing w:val="0"/>
          <w:w w:val="100"/>
          <w:kern w:val="0"/>
          <w:lang w:val="ru-RU"/>
        </w:rPr>
        <w:tab/>
      </w:r>
      <w:r w:rsidRPr="00421345">
        <w:rPr>
          <w:spacing w:val="0"/>
          <w:w w:val="100"/>
          <w:kern w:val="0"/>
          <w:lang w:val="ru-RU"/>
        </w:rPr>
        <w:t xml:space="preserve">См. Замечание общего порядка № </w:t>
      </w:r>
      <w:r w:rsidRPr="00421345">
        <w:rPr>
          <w:iCs/>
          <w:spacing w:val="0"/>
          <w:w w:val="100"/>
          <w:kern w:val="0"/>
          <w:szCs w:val="18"/>
          <w:lang w:val="ru-RU"/>
        </w:rPr>
        <w:t>20 Комитета по правам человека по статье 7 (запрещение пыток или других жестоких, бесчеловечных или унижающих достоинство видов обращения или наказания), пункту</w:t>
      </w:r>
      <w:r w:rsidRPr="00421345">
        <w:rPr>
          <w:spacing w:val="0"/>
          <w:w w:val="100"/>
          <w:kern w:val="0"/>
          <w:szCs w:val="18"/>
          <w:lang w:val="ru-RU"/>
        </w:rPr>
        <w:t xml:space="preserve"> 9 (</w:t>
      </w:r>
      <w:r>
        <w:rPr>
          <w:spacing w:val="0"/>
          <w:w w:val="100"/>
          <w:kern w:val="0"/>
          <w:szCs w:val="18"/>
          <w:lang w:val="ru-RU"/>
        </w:rPr>
        <w:t>"</w:t>
      </w:r>
      <w:r w:rsidRPr="00421345">
        <w:rPr>
          <w:spacing w:val="0"/>
          <w:w w:val="100"/>
          <w:kern w:val="0"/>
          <w:szCs w:val="18"/>
          <w:lang w:val="ru-RU"/>
        </w:rPr>
        <w:t>Государства-участники не должны подвергать лиц опасности применения пыток или жестоких, бесчеловечных или унижающих достоинство видов обращения или наказания по их возвращении в другую страну посредством выдачи, высылки или возвращения</w:t>
      </w:r>
      <w:r>
        <w:rPr>
          <w:spacing w:val="0"/>
          <w:w w:val="100"/>
          <w:kern w:val="0"/>
          <w:szCs w:val="18"/>
          <w:lang w:val="ru-RU"/>
        </w:rPr>
        <w:t>"</w:t>
      </w:r>
      <w:r w:rsidRPr="00421345">
        <w:rPr>
          <w:iCs/>
          <w:spacing w:val="0"/>
          <w:w w:val="100"/>
          <w:kern w:val="0"/>
          <w:szCs w:val="18"/>
          <w:lang w:val="ru-RU"/>
        </w:rPr>
        <w:t>)</w:t>
      </w:r>
      <w:r w:rsidRPr="00421345">
        <w:rPr>
          <w:spacing w:val="0"/>
          <w:w w:val="100"/>
          <w:kern w:val="0"/>
          <w:szCs w:val="18"/>
          <w:lang w:val="ru-RU"/>
        </w:rPr>
        <w:t>; и Замечание общего порядка №</w:t>
      </w:r>
      <w:r w:rsidRPr="00421345">
        <w:rPr>
          <w:spacing w:val="0"/>
          <w:w w:val="100"/>
          <w:kern w:val="0"/>
          <w:szCs w:val="18"/>
        </w:rPr>
        <w:t> </w:t>
      </w:r>
      <w:r w:rsidRPr="00421345">
        <w:rPr>
          <w:iCs/>
          <w:spacing w:val="0"/>
          <w:w w:val="100"/>
          <w:kern w:val="0"/>
          <w:szCs w:val="18"/>
          <w:lang w:val="ru-RU"/>
        </w:rPr>
        <w:t>31 Комитета по правам человека о характере общего юридического обязательства, налагаемого на государства-участники Пакта, пункт 12.</w:t>
      </w:r>
    </w:p>
  </w:footnote>
  <w:footnote w:id="29">
    <w:p w:rsidR="00FA27A4" w:rsidRPr="00421345" w:rsidRDefault="00FA27A4" w:rsidP="00AA4D84">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48" w:right="1264" w:hanging="227"/>
        <w:rPr>
          <w:spacing w:val="0"/>
          <w:w w:val="100"/>
          <w:kern w:val="0"/>
          <w:lang w:val="ru-RU"/>
        </w:rPr>
      </w:pPr>
      <w:r>
        <w:rPr>
          <w:spacing w:val="0"/>
          <w:w w:val="100"/>
          <w:kern w:val="0"/>
          <w:lang w:val="ru-RU"/>
        </w:rPr>
        <w:tab/>
      </w:r>
      <w:r w:rsidRPr="00421345">
        <w:rPr>
          <w:rStyle w:val="FootnoteReference"/>
          <w:spacing w:val="0"/>
          <w:w w:val="100"/>
          <w:kern w:val="0"/>
          <w:position w:val="0"/>
          <w:lang w:val="ru-RU"/>
        </w:rPr>
        <w:t>28</w:t>
      </w:r>
      <w:r w:rsidRPr="00421345">
        <w:rPr>
          <w:spacing w:val="0"/>
          <w:w w:val="100"/>
          <w:kern w:val="0"/>
          <w:lang w:val="ru-RU"/>
        </w:rPr>
        <w:t xml:space="preserve"> </w:t>
      </w:r>
      <w:r>
        <w:rPr>
          <w:spacing w:val="0"/>
          <w:w w:val="100"/>
          <w:kern w:val="0"/>
          <w:lang w:val="ru-RU"/>
        </w:rPr>
        <w:tab/>
      </w:r>
      <w:r w:rsidRPr="00421345">
        <w:rPr>
          <w:spacing w:val="0"/>
          <w:w w:val="100"/>
          <w:kern w:val="0"/>
          <w:szCs w:val="18"/>
        </w:rPr>
        <w:t>CAT</w:t>
      </w:r>
      <w:r w:rsidRPr="00421345">
        <w:rPr>
          <w:spacing w:val="0"/>
          <w:w w:val="100"/>
          <w:kern w:val="0"/>
          <w:szCs w:val="18"/>
          <w:lang w:val="ru-RU"/>
        </w:rPr>
        <w:t>/</w:t>
      </w:r>
      <w:r w:rsidRPr="00421345">
        <w:rPr>
          <w:spacing w:val="0"/>
          <w:w w:val="100"/>
          <w:kern w:val="0"/>
          <w:szCs w:val="18"/>
        </w:rPr>
        <w:t>C</w:t>
      </w:r>
      <w:r w:rsidRPr="00421345">
        <w:rPr>
          <w:spacing w:val="0"/>
          <w:w w:val="100"/>
          <w:kern w:val="0"/>
          <w:szCs w:val="18"/>
          <w:lang w:val="ru-RU"/>
        </w:rPr>
        <w:t>/</w:t>
      </w:r>
      <w:r w:rsidRPr="00421345">
        <w:rPr>
          <w:spacing w:val="0"/>
          <w:w w:val="100"/>
          <w:kern w:val="0"/>
          <w:szCs w:val="18"/>
        </w:rPr>
        <w:t>GC</w:t>
      </w:r>
      <w:r w:rsidRPr="00421345">
        <w:rPr>
          <w:spacing w:val="0"/>
          <w:w w:val="100"/>
          <w:kern w:val="0"/>
          <w:szCs w:val="18"/>
          <w:lang w:val="ru-RU"/>
        </w:rPr>
        <w:t xml:space="preserve">/2, пункт 18. См. также Комитет по правам человека, сообщение № 1465/2006, </w:t>
      </w:r>
      <w:r w:rsidRPr="00421345">
        <w:rPr>
          <w:i/>
          <w:spacing w:val="0"/>
          <w:w w:val="100"/>
          <w:kern w:val="0"/>
          <w:szCs w:val="18"/>
          <w:lang w:val="ru-RU"/>
        </w:rPr>
        <w:t>Каба против Канады</w:t>
      </w:r>
      <w:r w:rsidRPr="00421345">
        <w:rPr>
          <w:spacing w:val="0"/>
          <w:w w:val="100"/>
          <w:kern w:val="0"/>
          <w:szCs w:val="18"/>
          <w:lang w:val="ru-RU"/>
        </w:rPr>
        <w:t>, мнения, принятые 25 марта 2010</w:t>
      </w:r>
      <w:r>
        <w:rPr>
          <w:spacing w:val="0"/>
          <w:w w:val="100"/>
          <w:kern w:val="0"/>
          <w:szCs w:val="18"/>
          <w:lang w:val="ru-RU"/>
        </w:rPr>
        <w:t> год</w:t>
      </w:r>
      <w:r w:rsidRPr="00421345">
        <w:rPr>
          <w:spacing w:val="0"/>
          <w:w w:val="100"/>
          <w:kern w:val="0"/>
          <w:szCs w:val="18"/>
          <w:lang w:val="ru-RU"/>
        </w:rPr>
        <w:t>а. Следует отметить, что Европейский суд по</w:t>
      </w:r>
      <w:r>
        <w:rPr>
          <w:spacing w:val="0"/>
          <w:w w:val="100"/>
          <w:kern w:val="0"/>
          <w:szCs w:val="18"/>
          <w:lang w:val="ru-RU"/>
        </w:rPr>
        <w:t> </w:t>
      </w:r>
      <w:r w:rsidRPr="00421345">
        <w:rPr>
          <w:spacing w:val="0"/>
          <w:w w:val="100"/>
          <w:kern w:val="0"/>
          <w:szCs w:val="18"/>
          <w:lang w:val="ru-RU"/>
        </w:rPr>
        <w:t xml:space="preserve">правам человека и Межамериканская комиссия по правам человека сделали вывод о том, что изнасилование заключенных является равнозначным пыткам. Кроме того, </w:t>
      </w:r>
      <w:r>
        <w:rPr>
          <w:spacing w:val="0"/>
          <w:w w:val="100"/>
          <w:kern w:val="0"/>
          <w:szCs w:val="18"/>
          <w:lang w:val="ru-RU"/>
        </w:rPr>
        <w:t>"</w:t>
      </w:r>
      <w:r w:rsidRPr="00421345">
        <w:rPr>
          <w:spacing w:val="0"/>
          <w:w w:val="100"/>
          <w:kern w:val="0"/>
          <w:szCs w:val="18"/>
          <w:lang w:val="ru-RU"/>
        </w:rPr>
        <w:t>изнасилование, обращение в сексуальное рабство, принуждение к проституции, принудительная беременность, принудительная стерилизация или любые другие формы сексуального насилия сопоставимой тяжести</w:t>
      </w:r>
      <w:r>
        <w:rPr>
          <w:spacing w:val="0"/>
          <w:w w:val="100"/>
          <w:kern w:val="0"/>
          <w:szCs w:val="18"/>
          <w:lang w:val="ru-RU"/>
        </w:rPr>
        <w:t>"</w:t>
      </w:r>
      <w:r w:rsidRPr="00421345">
        <w:rPr>
          <w:spacing w:val="0"/>
          <w:w w:val="100"/>
          <w:kern w:val="0"/>
          <w:szCs w:val="18"/>
          <w:lang w:val="ru-RU"/>
        </w:rPr>
        <w:t xml:space="preserve"> в соответствии с Римским статутом Международного уголовного суда являются преступлением против человечности, а </w:t>
      </w:r>
      <w:r>
        <w:rPr>
          <w:spacing w:val="0"/>
          <w:w w:val="100"/>
          <w:kern w:val="0"/>
          <w:szCs w:val="18"/>
          <w:lang w:val="ru-RU"/>
        </w:rPr>
        <w:t>"</w:t>
      </w:r>
      <w:r w:rsidRPr="00421345">
        <w:rPr>
          <w:spacing w:val="0"/>
          <w:w w:val="100"/>
          <w:kern w:val="0"/>
          <w:szCs w:val="18"/>
          <w:lang w:val="ru-RU"/>
        </w:rPr>
        <w:t>изнасилование</w:t>
      </w:r>
      <w:r>
        <w:rPr>
          <w:spacing w:val="0"/>
          <w:w w:val="100"/>
          <w:kern w:val="0"/>
          <w:szCs w:val="18"/>
          <w:lang w:val="ru-RU"/>
        </w:rPr>
        <w:t>"</w:t>
      </w:r>
      <w:r w:rsidRPr="00421345">
        <w:rPr>
          <w:spacing w:val="0"/>
          <w:w w:val="100"/>
          <w:kern w:val="0"/>
          <w:szCs w:val="18"/>
          <w:lang w:val="ru-RU"/>
        </w:rPr>
        <w:t xml:space="preserve"> согласно уставам международных уголовных трибуналов по бывшей Югославии и Руанде является преступлением против человечности.</w:t>
      </w:r>
    </w:p>
  </w:footnote>
  <w:footnote w:id="30">
    <w:p w:rsidR="00FA27A4" w:rsidRPr="00421345" w:rsidRDefault="00FA27A4" w:rsidP="00AA4D84">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48" w:right="1264" w:hanging="227"/>
        <w:rPr>
          <w:spacing w:val="0"/>
          <w:w w:val="100"/>
          <w:kern w:val="0"/>
          <w:lang w:val="ru-RU"/>
        </w:rPr>
      </w:pPr>
      <w:r>
        <w:rPr>
          <w:spacing w:val="0"/>
          <w:w w:val="100"/>
          <w:kern w:val="0"/>
          <w:lang w:val="ru-RU"/>
        </w:rPr>
        <w:tab/>
      </w:r>
      <w:r w:rsidRPr="00421345">
        <w:rPr>
          <w:rStyle w:val="FootnoteReference"/>
          <w:spacing w:val="0"/>
          <w:w w:val="100"/>
          <w:kern w:val="0"/>
          <w:position w:val="0"/>
          <w:lang w:val="ru-RU"/>
        </w:rPr>
        <w:t>29</w:t>
      </w:r>
      <w:r w:rsidRPr="00421345">
        <w:rPr>
          <w:spacing w:val="0"/>
          <w:w w:val="100"/>
          <w:kern w:val="0"/>
          <w:lang w:val="ru-RU"/>
        </w:rPr>
        <w:t xml:space="preserve"> </w:t>
      </w:r>
      <w:r>
        <w:rPr>
          <w:spacing w:val="0"/>
          <w:w w:val="100"/>
          <w:kern w:val="0"/>
          <w:lang w:val="ru-RU"/>
        </w:rPr>
        <w:tab/>
      </w:r>
      <w:r w:rsidRPr="00421345">
        <w:rPr>
          <w:spacing w:val="0"/>
          <w:w w:val="100"/>
          <w:kern w:val="0"/>
          <w:lang w:val="ru-RU"/>
        </w:rPr>
        <w:t xml:space="preserve">См. </w:t>
      </w:r>
      <w:r w:rsidRPr="00421345">
        <w:rPr>
          <w:i/>
          <w:spacing w:val="0"/>
          <w:w w:val="100"/>
          <w:kern w:val="0"/>
          <w:lang w:val="ru-RU"/>
        </w:rPr>
        <w:t>Киндлер против Канады</w:t>
      </w:r>
      <w:r w:rsidRPr="00421345">
        <w:rPr>
          <w:spacing w:val="0"/>
          <w:w w:val="100"/>
          <w:kern w:val="0"/>
          <w:lang w:val="ru-RU"/>
        </w:rPr>
        <w:t>, примечание 26 выше.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FA27A4" w:rsidTr="00266F2A">
      <w:tblPrEx>
        <w:tblCellMar>
          <w:top w:w="0" w:type="dxa"/>
          <w:bottom w:w="0" w:type="dxa"/>
        </w:tblCellMar>
      </w:tblPrEx>
      <w:trPr>
        <w:trHeight w:hRule="exact" w:val="864"/>
      </w:trPr>
      <w:tc>
        <w:tcPr>
          <w:tcW w:w="4838" w:type="dxa"/>
          <w:shd w:val="clear" w:color="auto" w:fill="auto"/>
          <w:vAlign w:val="bottom"/>
        </w:tcPr>
        <w:p w:rsidR="00FA27A4" w:rsidRPr="00266F2A" w:rsidRDefault="00FA27A4" w:rsidP="00266F2A">
          <w:pPr>
            <w:pStyle w:val="Header"/>
            <w:spacing w:after="80"/>
            <w:rPr>
              <w:b/>
            </w:rPr>
          </w:pPr>
          <w:r w:rsidRPr="00A62BDB">
            <w:rPr>
              <w:b/>
              <w:lang w:val="en-GB"/>
            </w:rPr>
            <w:t>CEDAW/C/55/D/33/2011</w:t>
          </w:r>
        </w:p>
      </w:tc>
      <w:tc>
        <w:tcPr>
          <w:tcW w:w="5033" w:type="dxa"/>
          <w:shd w:val="clear" w:color="auto" w:fill="auto"/>
          <w:vAlign w:val="bottom"/>
        </w:tcPr>
        <w:p w:rsidR="00FA27A4" w:rsidRDefault="00FA27A4" w:rsidP="00266F2A">
          <w:pPr>
            <w:pStyle w:val="Header"/>
          </w:pPr>
        </w:p>
      </w:tc>
    </w:tr>
  </w:tbl>
  <w:p w:rsidR="00FA27A4" w:rsidRPr="00266F2A" w:rsidRDefault="00FA27A4" w:rsidP="00266F2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FA27A4" w:rsidTr="00266F2A">
      <w:tblPrEx>
        <w:tblCellMar>
          <w:top w:w="0" w:type="dxa"/>
          <w:bottom w:w="0" w:type="dxa"/>
        </w:tblCellMar>
      </w:tblPrEx>
      <w:trPr>
        <w:trHeight w:hRule="exact" w:val="864"/>
      </w:trPr>
      <w:tc>
        <w:tcPr>
          <w:tcW w:w="4838" w:type="dxa"/>
          <w:shd w:val="clear" w:color="auto" w:fill="auto"/>
          <w:vAlign w:val="bottom"/>
        </w:tcPr>
        <w:p w:rsidR="00FA27A4" w:rsidRDefault="00FA27A4" w:rsidP="00266F2A">
          <w:pPr>
            <w:pStyle w:val="Header"/>
          </w:pPr>
        </w:p>
      </w:tc>
      <w:tc>
        <w:tcPr>
          <w:tcW w:w="5033" w:type="dxa"/>
          <w:shd w:val="clear" w:color="auto" w:fill="auto"/>
          <w:vAlign w:val="bottom"/>
        </w:tcPr>
        <w:p w:rsidR="00FA27A4" w:rsidRPr="00266F2A" w:rsidRDefault="00FA27A4" w:rsidP="00266F2A">
          <w:pPr>
            <w:pStyle w:val="Header"/>
            <w:spacing w:after="80"/>
            <w:jc w:val="right"/>
            <w:rPr>
              <w:b/>
            </w:rPr>
          </w:pPr>
          <w:r w:rsidRPr="00A62BDB">
            <w:rPr>
              <w:b/>
              <w:lang w:val="en-GB"/>
            </w:rPr>
            <w:t>CEDAW/C/55/D/33/2011</w:t>
          </w:r>
        </w:p>
      </w:tc>
    </w:tr>
  </w:tbl>
  <w:p w:rsidR="00FA27A4" w:rsidRPr="00266F2A" w:rsidRDefault="00FA27A4" w:rsidP="00266F2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07" w:type="dxa"/>
      <w:tblLayout w:type="fixed"/>
      <w:tblCellMar>
        <w:left w:w="0" w:type="dxa"/>
        <w:right w:w="0" w:type="dxa"/>
      </w:tblCellMar>
      <w:tblLook w:val="0000"/>
    </w:tblPr>
    <w:tblGrid>
      <w:gridCol w:w="1267"/>
      <w:gridCol w:w="5421"/>
      <w:gridCol w:w="51"/>
      <w:gridCol w:w="158"/>
      <w:gridCol w:w="2982"/>
      <w:gridCol w:w="28"/>
    </w:tblGrid>
    <w:tr w:rsidR="00FA27A4" w:rsidTr="00E84FFE">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rsidR="00FA27A4" w:rsidRDefault="00FA27A4" w:rsidP="00266F2A">
          <w:pPr>
            <w:pStyle w:val="Header"/>
            <w:spacing w:after="120"/>
          </w:pPr>
        </w:p>
      </w:tc>
      <w:tc>
        <w:tcPr>
          <w:tcW w:w="5421" w:type="dxa"/>
          <w:tcBorders>
            <w:bottom w:val="single" w:sz="4" w:space="0" w:color="auto"/>
          </w:tcBorders>
          <w:shd w:val="clear" w:color="auto" w:fill="auto"/>
          <w:vAlign w:val="bottom"/>
        </w:tcPr>
        <w:p w:rsidR="00FA27A4" w:rsidRPr="0033591D" w:rsidRDefault="00FA27A4" w:rsidP="00E84FFE">
          <w:pPr>
            <w:pStyle w:val="HCh"/>
            <w:spacing w:after="80"/>
            <w:ind w:left="0" w:right="0" w:firstLine="0"/>
            <w:rPr>
              <w:b w:val="0"/>
              <w:spacing w:val="2"/>
              <w:w w:val="96"/>
            </w:rPr>
          </w:pPr>
          <w:r w:rsidRPr="0033591D">
            <w:rPr>
              <w:b w:val="0"/>
            </w:rPr>
            <w:t>Организация Объединенных Наций</w:t>
          </w:r>
        </w:p>
      </w:tc>
      <w:tc>
        <w:tcPr>
          <w:tcW w:w="209" w:type="dxa"/>
          <w:gridSpan w:val="2"/>
          <w:tcBorders>
            <w:bottom w:val="single" w:sz="4" w:space="0" w:color="auto"/>
          </w:tcBorders>
          <w:shd w:val="clear" w:color="auto" w:fill="auto"/>
          <w:vAlign w:val="bottom"/>
        </w:tcPr>
        <w:p w:rsidR="00FA27A4" w:rsidRPr="0036057C" w:rsidRDefault="00FA27A4" w:rsidP="0036057C">
          <w:pPr>
            <w:pStyle w:val="Header"/>
            <w:spacing w:after="20"/>
            <w:jc w:val="right"/>
            <w:rPr>
              <w:position w:val="-4"/>
              <w:sz w:val="20"/>
            </w:rPr>
          </w:pPr>
        </w:p>
      </w:tc>
      <w:tc>
        <w:tcPr>
          <w:tcW w:w="3010" w:type="dxa"/>
          <w:gridSpan w:val="2"/>
          <w:tcBorders>
            <w:bottom w:val="single" w:sz="4" w:space="0" w:color="auto"/>
          </w:tcBorders>
          <w:shd w:val="clear" w:color="auto" w:fill="auto"/>
          <w:vAlign w:val="bottom"/>
        </w:tcPr>
        <w:p w:rsidR="00FA27A4" w:rsidRPr="00266F2A" w:rsidRDefault="00FA27A4" w:rsidP="00266F2A">
          <w:pPr>
            <w:spacing w:after="80" w:line="240" w:lineRule="auto"/>
            <w:jc w:val="right"/>
            <w:rPr>
              <w:position w:val="-4"/>
            </w:rPr>
          </w:pPr>
          <w:r>
            <w:rPr>
              <w:position w:val="-4"/>
              <w:sz w:val="40"/>
            </w:rPr>
            <w:t>CEDAW</w:t>
          </w:r>
          <w:r>
            <w:rPr>
              <w:position w:val="-4"/>
            </w:rPr>
            <w:t>/C/55/D/33/2011</w:t>
          </w:r>
        </w:p>
      </w:tc>
    </w:tr>
    <w:tr w:rsidR="00FA27A4" w:rsidRPr="00266F2A" w:rsidTr="00E84FFE">
      <w:tblPrEx>
        <w:tblCellMar>
          <w:top w:w="0" w:type="dxa"/>
          <w:bottom w:w="0" w:type="dxa"/>
        </w:tblCellMar>
      </w:tblPrEx>
      <w:trPr>
        <w:gridAfter w:val="1"/>
        <w:wAfter w:w="28" w:type="dxa"/>
        <w:trHeight w:hRule="exact" w:val="2880"/>
      </w:trPr>
      <w:tc>
        <w:tcPr>
          <w:tcW w:w="1267" w:type="dxa"/>
          <w:tcBorders>
            <w:top w:val="single" w:sz="4" w:space="0" w:color="auto"/>
            <w:bottom w:val="single" w:sz="12" w:space="0" w:color="auto"/>
          </w:tcBorders>
          <w:shd w:val="clear" w:color="auto" w:fill="auto"/>
        </w:tcPr>
        <w:p w:rsidR="00FA27A4" w:rsidRDefault="00FA27A4" w:rsidP="00266F2A">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FA27A4" w:rsidRPr="00266F2A" w:rsidRDefault="00FA27A4" w:rsidP="00266F2A">
          <w:pPr>
            <w:pStyle w:val="Header"/>
            <w:spacing w:before="109"/>
          </w:pPr>
        </w:p>
      </w:tc>
      <w:tc>
        <w:tcPr>
          <w:tcW w:w="5421" w:type="dxa"/>
          <w:tcBorders>
            <w:top w:val="single" w:sz="4" w:space="0" w:color="auto"/>
            <w:bottom w:val="single" w:sz="12" w:space="0" w:color="auto"/>
          </w:tcBorders>
          <w:shd w:val="clear" w:color="auto" w:fill="auto"/>
        </w:tcPr>
        <w:p w:rsidR="00FA27A4" w:rsidRPr="0033591D" w:rsidRDefault="00FA27A4" w:rsidP="00E84FFE">
          <w:pPr>
            <w:pStyle w:val="XLarge"/>
            <w:spacing w:before="120" w:after="80" w:line="320" w:lineRule="exact"/>
            <w:ind w:left="0" w:right="0" w:firstLine="0"/>
            <w:rPr>
              <w:sz w:val="34"/>
              <w:szCs w:val="34"/>
            </w:rPr>
          </w:pPr>
          <w:r w:rsidRPr="0033591D">
            <w:rPr>
              <w:sz w:val="34"/>
              <w:szCs w:val="34"/>
            </w:rPr>
            <w:t>Конвенция о ликвидации</w:t>
          </w:r>
          <w:r w:rsidRPr="0033591D">
            <w:rPr>
              <w:sz w:val="34"/>
              <w:szCs w:val="34"/>
            </w:rPr>
            <w:br/>
            <w:t>всех форм дискриминации</w:t>
          </w:r>
          <w:r w:rsidRPr="0033591D">
            <w:rPr>
              <w:sz w:val="34"/>
              <w:szCs w:val="34"/>
            </w:rPr>
            <w:br/>
            <w:t>в отношении женщин</w:t>
          </w:r>
        </w:p>
      </w:tc>
      <w:tc>
        <w:tcPr>
          <w:tcW w:w="51" w:type="dxa"/>
          <w:tcBorders>
            <w:top w:val="single" w:sz="4" w:space="0" w:color="auto"/>
            <w:bottom w:val="single" w:sz="12" w:space="0" w:color="auto"/>
          </w:tcBorders>
          <w:shd w:val="clear" w:color="auto" w:fill="auto"/>
        </w:tcPr>
        <w:p w:rsidR="00FA27A4" w:rsidRPr="0036057C" w:rsidRDefault="00FA27A4" w:rsidP="00266F2A">
          <w:pPr>
            <w:pStyle w:val="Header"/>
            <w:spacing w:before="109"/>
            <w:rPr>
              <w:lang w:val="ru-RU"/>
            </w:rPr>
          </w:pPr>
        </w:p>
      </w:tc>
      <w:tc>
        <w:tcPr>
          <w:tcW w:w="3140" w:type="dxa"/>
          <w:gridSpan w:val="2"/>
          <w:tcBorders>
            <w:top w:val="single" w:sz="4" w:space="0" w:color="auto"/>
            <w:bottom w:val="single" w:sz="12" w:space="0" w:color="auto"/>
          </w:tcBorders>
          <w:shd w:val="clear" w:color="auto" w:fill="auto"/>
        </w:tcPr>
        <w:p w:rsidR="00FA27A4" w:rsidRDefault="00FA27A4" w:rsidP="00266F2A">
          <w:pPr>
            <w:spacing w:before="240"/>
          </w:pPr>
          <w:r>
            <w:t>Distr.: General</w:t>
          </w:r>
        </w:p>
        <w:p w:rsidR="00FA27A4" w:rsidRDefault="00FA27A4" w:rsidP="00266F2A">
          <w:r>
            <w:rPr>
              <w:lang w:val="ru-RU"/>
            </w:rPr>
            <w:t>15</w:t>
          </w:r>
          <w:r>
            <w:t xml:space="preserve"> August 2013</w:t>
          </w:r>
        </w:p>
        <w:p w:rsidR="00FA27A4" w:rsidRDefault="00FA27A4" w:rsidP="00266F2A">
          <w:r w:rsidRPr="008F6923">
            <w:rPr>
              <w:lang w:val="ru-RU"/>
            </w:rPr>
            <w:t>Russian</w:t>
          </w:r>
        </w:p>
        <w:p w:rsidR="00FA27A4" w:rsidRPr="00266F2A" w:rsidRDefault="00FA27A4" w:rsidP="00266F2A">
          <w:r>
            <w:t>Original: English</w:t>
          </w:r>
        </w:p>
      </w:tc>
    </w:tr>
  </w:tbl>
  <w:p w:rsidR="00FA27A4" w:rsidRPr="00266F2A" w:rsidRDefault="00FA27A4" w:rsidP="00266F2A">
    <w:pPr>
      <w:pStyle w:val="Header"/>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stylePaneFormatFilter w:val="3F01"/>
  <w:doNotTrackMoves/>
  <w:defaultTabStop w:val="476"/>
  <w:evenAndOddHeaders/>
  <w:drawingGridHorizontalSpacing w:val="209"/>
  <w:characterSpacingControl w:val="doNotCompress"/>
  <w:hdrShapeDefaults>
    <o:shapedefaults v:ext="edit" spidmax="3074"/>
    <o:shapelayout v:ext="edit">
      <o:idmap v:ext="edit" data="2"/>
    </o:shapelayout>
  </w:hdrShapeDefaults>
  <w:footnotePr>
    <w:footnote w:id="-1"/>
    <w:footnote w:id="0"/>
  </w:footnotePr>
  <w:endnotePr>
    <w:pos w:val="sectEnd"/>
    <w:endnote w:id="-1"/>
    <w:endnote w:id="0"/>
  </w:endnotePr>
  <w:compat>
    <w:noColumnBalance/>
    <w:printColBlack/>
    <w:showBreaksInFrames/>
    <w:suppressBottomSpacing/>
    <w:suppressTopSpacing/>
    <w:shapeLayoutLikeWW8/>
    <w:doNotUseHTMLParagraphAutoSpacing/>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342829*"/>
    <w:docVar w:name="CreationDt" w:val="20/08/2013 9:54: AM"/>
    <w:docVar w:name="DocCategory" w:val="Doc"/>
    <w:docVar w:name="DocType" w:val="Final"/>
    <w:docVar w:name="FooterJN" w:val="13-42829"/>
    <w:docVar w:name="Jobn" w:val="13-42829 (R)"/>
    <w:docVar w:name="jobnDT" w:val="13-41608 (E)   200813"/>
    <w:docVar w:name="jobnDTDT" w:val="13-41608 (E)   200813   200813"/>
    <w:docVar w:name="JobNo" w:val="1342829R"/>
    <w:docVar w:name="OandT" w:val="cd"/>
    <w:docVar w:name="sss1" w:val="CEDAW/C/55/D/33/2011"/>
    <w:docVar w:name="Symbol1" w:val="CEDAW/C/55/D/33/2011"/>
  </w:docVars>
  <w:rsids>
    <w:rsidRoot w:val="002B5FDE"/>
    <w:rsid w:val="00002C64"/>
    <w:rsid w:val="000243C1"/>
    <w:rsid w:val="00060FB4"/>
    <w:rsid w:val="00062E0F"/>
    <w:rsid w:val="00063DE4"/>
    <w:rsid w:val="00073B00"/>
    <w:rsid w:val="000930EA"/>
    <w:rsid w:val="000E7174"/>
    <w:rsid w:val="00105377"/>
    <w:rsid w:val="00107D5F"/>
    <w:rsid w:val="0011364E"/>
    <w:rsid w:val="0011565A"/>
    <w:rsid w:val="001208CF"/>
    <w:rsid w:val="001653FB"/>
    <w:rsid w:val="001745C0"/>
    <w:rsid w:val="00182B15"/>
    <w:rsid w:val="00184193"/>
    <w:rsid w:val="00187CFC"/>
    <w:rsid w:val="001917A6"/>
    <w:rsid w:val="0019245C"/>
    <w:rsid w:val="00192845"/>
    <w:rsid w:val="00196636"/>
    <w:rsid w:val="001A0999"/>
    <w:rsid w:val="001A7D7F"/>
    <w:rsid w:val="001C266D"/>
    <w:rsid w:val="001C7BE0"/>
    <w:rsid w:val="001E077C"/>
    <w:rsid w:val="001F5FE7"/>
    <w:rsid w:val="002141E3"/>
    <w:rsid w:val="00224014"/>
    <w:rsid w:val="00232F19"/>
    <w:rsid w:val="002508E9"/>
    <w:rsid w:val="002666E2"/>
    <w:rsid w:val="00266F2A"/>
    <w:rsid w:val="00274B66"/>
    <w:rsid w:val="00275106"/>
    <w:rsid w:val="002B0767"/>
    <w:rsid w:val="002B256F"/>
    <w:rsid w:val="002B5FDE"/>
    <w:rsid w:val="002D4228"/>
    <w:rsid w:val="00303242"/>
    <w:rsid w:val="003041AA"/>
    <w:rsid w:val="00314C02"/>
    <w:rsid w:val="00314F83"/>
    <w:rsid w:val="00326A29"/>
    <w:rsid w:val="00333C0B"/>
    <w:rsid w:val="0033591D"/>
    <w:rsid w:val="00347DD3"/>
    <w:rsid w:val="0036057C"/>
    <w:rsid w:val="003769DF"/>
    <w:rsid w:val="00390FE7"/>
    <w:rsid w:val="003928D1"/>
    <w:rsid w:val="003B0DE7"/>
    <w:rsid w:val="003C45EA"/>
    <w:rsid w:val="003E0D98"/>
    <w:rsid w:val="0041500E"/>
    <w:rsid w:val="00421345"/>
    <w:rsid w:val="00441580"/>
    <w:rsid w:val="00441EF4"/>
    <w:rsid w:val="0045397A"/>
    <w:rsid w:val="004774B3"/>
    <w:rsid w:val="00477F9F"/>
    <w:rsid w:val="004831A5"/>
    <w:rsid w:val="00497BF5"/>
    <w:rsid w:val="004A06AE"/>
    <w:rsid w:val="004A5D05"/>
    <w:rsid w:val="004B2696"/>
    <w:rsid w:val="004C7E05"/>
    <w:rsid w:val="004D0839"/>
    <w:rsid w:val="004D7A08"/>
    <w:rsid w:val="004F269C"/>
    <w:rsid w:val="004F4AA8"/>
    <w:rsid w:val="00502499"/>
    <w:rsid w:val="00514854"/>
    <w:rsid w:val="00534D74"/>
    <w:rsid w:val="00542A9C"/>
    <w:rsid w:val="00546F5D"/>
    <w:rsid w:val="00567FCD"/>
    <w:rsid w:val="005729BA"/>
    <w:rsid w:val="00583963"/>
    <w:rsid w:val="00594A53"/>
    <w:rsid w:val="005A3D90"/>
    <w:rsid w:val="005B426E"/>
    <w:rsid w:val="005B500B"/>
    <w:rsid w:val="005C2441"/>
    <w:rsid w:val="005D3D41"/>
    <w:rsid w:val="005F30B2"/>
    <w:rsid w:val="005F32C2"/>
    <w:rsid w:val="005F6860"/>
    <w:rsid w:val="00600132"/>
    <w:rsid w:val="00601E37"/>
    <w:rsid w:val="0060256A"/>
    <w:rsid w:val="006035F9"/>
    <w:rsid w:val="0060441D"/>
    <w:rsid w:val="0062527E"/>
    <w:rsid w:val="00653B25"/>
    <w:rsid w:val="00656459"/>
    <w:rsid w:val="0067014A"/>
    <w:rsid w:val="00673A86"/>
    <w:rsid w:val="00696C4F"/>
    <w:rsid w:val="006A012D"/>
    <w:rsid w:val="006A33A3"/>
    <w:rsid w:val="006B6EDE"/>
    <w:rsid w:val="006D766E"/>
    <w:rsid w:val="006F40EA"/>
    <w:rsid w:val="00724074"/>
    <w:rsid w:val="007417DD"/>
    <w:rsid w:val="007608D8"/>
    <w:rsid w:val="007669B0"/>
    <w:rsid w:val="00780F09"/>
    <w:rsid w:val="0079386A"/>
    <w:rsid w:val="00795305"/>
    <w:rsid w:val="007A5254"/>
    <w:rsid w:val="007B3AC6"/>
    <w:rsid w:val="007B6885"/>
    <w:rsid w:val="007D586B"/>
    <w:rsid w:val="007E5210"/>
    <w:rsid w:val="007F23CE"/>
    <w:rsid w:val="007F3C8D"/>
    <w:rsid w:val="00837F18"/>
    <w:rsid w:val="0084786F"/>
    <w:rsid w:val="00852178"/>
    <w:rsid w:val="0085451D"/>
    <w:rsid w:val="008640BE"/>
    <w:rsid w:val="0086531E"/>
    <w:rsid w:val="00885F41"/>
    <w:rsid w:val="008A0935"/>
    <w:rsid w:val="008A7B66"/>
    <w:rsid w:val="008B026E"/>
    <w:rsid w:val="008D2798"/>
    <w:rsid w:val="00902F4F"/>
    <w:rsid w:val="00941EDA"/>
    <w:rsid w:val="00956D53"/>
    <w:rsid w:val="00961D71"/>
    <w:rsid w:val="00961E03"/>
    <w:rsid w:val="00993D85"/>
    <w:rsid w:val="009946BE"/>
    <w:rsid w:val="009A7151"/>
    <w:rsid w:val="009C219D"/>
    <w:rsid w:val="009C4614"/>
    <w:rsid w:val="009E6C4F"/>
    <w:rsid w:val="009F1279"/>
    <w:rsid w:val="009F68B5"/>
    <w:rsid w:val="00A12857"/>
    <w:rsid w:val="00A251C7"/>
    <w:rsid w:val="00A26996"/>
    <w:rsid w:val="00A4184C"/>
    <w:rsid w:val="00A44707"/>
    <w:rsid w:val="00A44A1E"/>
    <w:rsid w:val="00A50ED5"/>
    <w:rsid w:val="00A56356"/>
    <w:rsid w:val="00A63F54"/>
    <w:rsid w:val="00A711D3"/>
    <w:rsid w:val="00A83C88"/>
    <w:rsid w:val="00AA4BEA"/>
    <w:rsid w:val="00AA4D84"/>
    <w:rsid w:val="00AA5215"/>
    <w:rsid w:val="00AC389C"/>
    <w:rsid w:val="00AD4C00"/>
    <w:rsid w:val="00AE6470"/>
    <w:rsid w:val="00AF6C82"/>
    <w:rsid w:val="00B10B5D"/>
    <w:rsid w:val="00B150ED"/>
    <w:rsid w:val="00B27C06"/>
    <w:rsid w:val="00B41B68"/>
    <w:rsid w:val="00B665FD"/>
    <w:rsid w:val="00B81452"/>
    <w:rsid w:val="00B934DA"/>
    <w:rsid w:val="00BD0DCE"/>
    <w:rsid w:val="00BD2782"/>
    <w:rsid w:val="00C2494E"/>
    <w:rsid w:val="00C307BD"/>
    <w:rsid w:val="00C4446E"/>
    <w:rsid w:val="00C53C8C"/>
    <w:rsid w:val="00CC1C6D"/>
    <w:rsid w:val="00CC5B87"/>
    <w:rsid w:val="00CD362B"/>
    <w:rsid w:val="00D151CD"/>
    <w:rsid w:val="00D22094"/>
    <w:rsid w:val="00D35E25"/>
    <w:rsid w:val="00D379B4"/>
    <w:rsid w:val="00D43BD4"/>
    <w:rsid w:val="00E05A3F"/>
    <w:rsid w:val="00E05FB1"/>
    <w:rsid w:val="00E230F8"/>
    <w:rsid w:val="00E32F93"/>
    <w:rsid w:val="00E35AF0"/>
    <w:rsid w:val="00E64F8A"/>
    <w:rsid w:val="00E67750"/>
    <w:rsid w:val="00E677E7"/>
    <w:rsid w:val="00E763F4"/>
    <w:rsid w:val="00E76523"/>
    <w:rsid w:val="00E836AF"/>
    <w:rsid w:val="00E84FFE"/>
    <w:rsid w:val="00E94566"/>
    <w:rsid w:val="00EA1C97"/>
    <w:rsid w:val="00EA63A7"/>
    <w:rsid w:val="00EB04E6"/>
    <w:rsid w:val="00EF478C"/>
    <w:rsid w:val="00F569AE"/>
    <w:rsid w:val="00F86027"/>
    <w:rsid w:val="00F90544"/>
    <w:rsid w:val="00F9421B"/>
    <w:rsid w:val="00FA02D8"/>
    <w:rsid w:val="00FA27A4"/>
    <w:rsid w:val="00FB1C3C"/>
    <w:rsid w:val="00FC3370"/>
    <w:rsid w:val="00FC43F4"/>
    <w:rsid w:val="00FD4657"/>
    <w:rsid w:val="00FF1C46"/>
    <w:rsid w:val="00FF553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6F5D"/>
    <w:pPr>
      <w:suppressAutoHyphens/>
      <w:spacing w:line="240" w:lineRule="exact"/>
    </w:pPr>
    <w:rPr>
      <w:spacing w:val="4"/>
      <w:w w:val="103"/>
      <w:kern w:val="14"/>
      <w:lang w:val="en-GB"/>
    </w:rPr>
  </w:style>
  <w:style w:type="character" w:default="1" w:styleId="DefaultParagraphFont">
    <w:name w:val="Default Paragraph Font"/>
    <w:semiHidden/>
    <w:rsid w:val="00546F5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546F5D"/>
  </w:style>
  <w:style w:type="paragraph" w:customStyle="1" w:styleId="H1">
    <w:name w:val="_ H_1"/>
    <w:basedOn w:val="Normal"/>
    <w:next w:val="SingleTxt"/>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421345"/>
    <w:pPr>
      <w:spacing w:after="120" w:line="320" w:lineRule="exact"/>
      <w:ind w:left="1264" w:right="1264" w:hanging="1264"/>
    </w:pPr>
    <w:rPr>
      <w:spacing w:val="0"/>
      <w:w w:val="100"/>
      <w:kern w:val="0"/>
      <w:sz w:val="28"/>
      <w:lang w:val="ru-RU"/>
    </w:rPr>
  </w:style>
  <w:style w:type="paragraph" w:customStyle="1" w:styleId="HM">
    <w:name w:val="_ H __M"/>
    <w:basedOn w:val="HCh"/>
    <w:next w:val="Normal"/>
    <w:rsid w:val="00546F5D"/>
    <w:pPr>
      <w:spacing w:line="360" w:lineRule="exact"/>
    </w:pPr>
    <w:rPr>
      <w:spacing w:val="-3"/>
      <w:w w:val="99"/>
      <w:sz w:val="34"/>
    </w:rPr>
  </w:style>
  <w:style w:type="paragraph" w:customStyle="1" w:styleId="H23">
    <w:name w:val="_ H_2/3"/>
    <w:basedOn w:val="H1"/>
    <w:next w:val="Normal"/>
    <w:rsid w:val="00546F5D"/>
    <w:pPr>
      <w:spacing w:line="240" w:lineRule="exact"/>
      <w:outlineLvl w:val="1"/>
    </w:pPr>
    <w:rPr>
      <w:spacing w:val="2"/>
      <w:sz w:val="20"/>
    </w:rPr>
  </w:style>
  <w:style w:type="paragraph" w:customStyle="1" w:styleId="H4">
    <w:name w:val="_ H_4"/>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390FE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spacing w:val="0"/>
      <w:w w:val="100"/>
      <w:kern w:val="0"/>
      <w:lang w:val="ru-RU"/>
    </w:r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basedOn w:val="DefaultParagraphFont"/>
    <w:semiHidden/>
    <w:rsid w:val="00546F5D"/>
    <w:rPr>
      <w:sz w:val="6"/>
    </w:rPr>
  </w:style>
  <w:style w:type="character" w:styleId="FootnoteReference">
    <w:name w:val="footnote reference"/>
    <w:aliases w:val="4_G,ftref,Footnote number"/>
    <w:basedOn w:val="DefaultParagraphFont"/>
    <w:semiHidden/>
    <w:rsid w:val="00546F5D"/>
    <w:rPr>
      <w:spacing w:val="-5"/>
      <w:w w:val="130"/>
      <w:position w:val="-4"/>
      <w:vertAlign w:val="superscript"/>
    </w:rPr>
  </w:style>
  <w:style w:type="character" w:styleId="EndnoteReference">
    <w:name w:val="endnote reference"/>
    <w:basedOn w:val="FootnoteReference"/>
    <w:semiHidden/>
    <w:rsid w:val="00546F5D"/>
  </w:style>
  <w:style w:type="paragraph" w:styleId="FootnoteText">
    <w:name w:val="footnote text"/>
    <w:aliases w:val="5_G"/>
    <w:basedOn w:val="Normal"/>
    <w:link w:val="FootnoteTextChar"/>
    <w:semiHidden/>
    <w:rsid w:val="00546F5D"/>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basedOn w:val="DefaultParagraphFont"/>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hAnsi="Courier New"/>
      <w:spacing w:val="0"/>
      <w:w w:val="100"/>
      <w:kern w:val="0"/>
      <w:lang w:val="en-US" w:eastAsia="en-GB"/>
    </w:rPr>
  </w:style>
  <w:style w:type="table" w:styleId="TableGrid">
    <w:name w:val="Table Grid"/>
    <w:basedOn w:val="TableNormal"/>
    <w:rsid w:val="0067014A"/>
    <w:pPr>
      <w:suppressAutoHyphens/>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semiHidden/>
    <w:rsid w:val="00266F2A"/>
  </w:style>
  <w:style w:type="paragraph" w:styleId="CommentSubject">
    <w:name w:val="annotation subject"/>
    <w:basedOn w:val="CommentText"/>
    <w:next w:val="CommentText"/>
    <w:semiHidden/>
    <w:rsid w:val="00266F2A"/>
    <w:rPr>
      <w:b/>
      <w:bCs/>
    </w:rPr>
  </w:style>
  <w:style w:type="character" w:styleId="Hyperlink">
    <w:name w:val="Hyperlink"/>
    <w:basedOn w:val="DefaultParagraphFont"/>
    <w:rsid w:val="00C53C8C"/>
    <w:rPr>
      <w:color w:val="0000FF"/>
      <w:u w:val="none"/>
    </w:rPr>
  </w:style>
  <w:style w:type="character" w:styleId="FollowedHyperlink">
    <w:name w:val="FollowedHyperlink"/>
    <w:basedOn w:val="DefaultParagraphFont"/>
    <w:rsid w:val="00C53C8C"/>
    <w:rPr>
      <w:color w:val="0000FF"/>
      <w:u w:val="none"/>
    </w:rPr>
  </w:style>
  <w:style w:type="character" w:customStyle="1" w:styleId="FootnoteTextChar">
    <w:name w:val="Footnote Text Char"/>
    <w:aliases w:val="5_G Char"/>
    <w:link w:val="FootnoteText"/>
    <w:rsid w:val="00421345"/>
    <w:rPr>
      <w:spacing w:val="5"/>
      <w:w w:val="104"/>
      <w:kern w:val="14"/>
      <w:sz w:val="17"/>
      <w:lang w:val="en-GB" w:eastAsia="en-US" w:bidi="ar-SA"/>
    </w:rPr>
  </w:style>
  <w:style w:type="character" w:styleId="PageNumber">
    <w:name w:val="page number"/>
    <w:basedOn w:val="DefaultParagraphFont"/>
    <w:rsid w:val="00FA27A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undocs.org/ru/A/RES/33/201" TargetMode="Externa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yperlink" Target="http://undocs.org/ru/A/RES/33/201"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45</TotalTime>
  <Pages>1</Pages>
  <Words>8825</Words>
  <Characters>50303</Characters>
  <Application>Microsoft Office Outlook</Application>
  <DocSecurity>4</DocSecurity>
  <Lines>419</Lines>
  <Paragraphs>118</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59010</CharactersWithSpaces>
  <SharedDoc>false</SharedDoc>
  <HLinks>
    <vt:vector size="12" baseType="variant">
      <vt:variant>
        <vt:i4>1245258</vt:i4>
      </vt:variant>
      <vt:variant>
        <vt:i4>3</vt:i4>
      </vt:variant>
      <vt:variant>
        <vt:i4>0</vt:i4>
      </vt:variant>
      <vt:variant>
        <vt:i4>5</vt:i4>
      </vt:variant>
      <vt:variant>
        <vt:lpwstr>http://undocs.org/ru/A/RES/33/201</vt:lpwstr>
      </vt:variant>
      <vt:variant>
        <vt:lpwstr/>
      </vt:variant>
      <vt:variant>
        <vt:i4>1245258</vt:i4>
      </vt:variant>
      <vt:variant>
        <vt:i4>0</vt:i4>
      </vt:variant>
      <vt:variant>
        <vt:i4>0</vt:i4>
      </vt:variant>
      <vt:variant>
        <vt:i4>5</vt:i4>
      </vt:variant>
      <vt:variant>
        <vt:lpwstr>http://undocs.org/ru/A/RES/33/201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subject/>
  <dc:creator>United Nations</dc:creator>
  <cp:keywords/>
  <dc:description/>
  <cp:lastModifiedBy>RTPU User</cp:lastModifiedBy>
  <cp:revision>17</cp:revision>
  <cp:lastPrinted>2013-09-17T13:23:00Z</cp:lastPrinted>
  <dcterms:created xsi:type="dcterms:W3CDTF">2013-09-17T12:55:00Z</dcterms:created>
  <dcterms:modified xsi:type="dcterms:W3CDTF">2013-09-19T09:44:00Z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or">
    <vt:lpwstr/>
  </property>
  <property fmtid="{D5CDD505-2E9C-101B-9397-08002B2CF9AE}" pid="3" name="Comment">
    <vt:lpwstr/>
  </property>
  <property fmtid="{D5CDD505-2E9C-101B-9397-08002B2CF9AE}" pid="4" name="DraftPages">
    <vt:lpwstr>2 final</vt:lpwstr>
  </property>
  <property fmtid="{D5CDD505-2E9C-101B-9397-08002B2CF9AE}" pid="5" name="Operator">
    <vt:lpwstr>ln (f)</vt:lpwstr>
  </property>
  <property fmtid="{D5CDD505-2E9C-101B-9397-08002B2CF9AE}" pid="6" name="JobNo">
    <vt:lpwstr>1342829R</vt:lpwstr>
  </property>
  <property fmtid="{D5CDD505-2E9C-101B-9397-08002B2CF9AE}" pid="7" name="Symbol1">
    <vt:lpwstr>CEDAW/C/55/D/33/2011</vt:lpwstr>
  </property>
  <property fmtid="{D5CDD505-2E9C-101B-9397-08002B2CF9AE}" pid="8" name="sss1">
    <vt:lpwstr>CEDAW/C/55/D/33/2011</vt:lpwstr>
  </property>
  <property fmtid="{D5CDD505-2E9C-101B-9397-08002B2CF9AE}" pid="9" name="Symbol2">
    <vt:lpwstr/>
  </property>
  <property fmtid="{D5CDD505-2E9C-101B-9397-08002B2CF9AE}" pid="10" name="sss2">
    <vt:lpwstr/>
  </property>
</Properties>
</file>