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3A6875">
        <w:trPr>
          <w:trHeight w:hRule="exact" w:val="851"/>
        </w:trPr>
        <w:tc>
          <w:tcPr>
            <w:tcW w:w="1276" w:type="dxa"/>
            <w:tcBorders>
              <w:bottom w:val="single" w:sz="4" w:space="0" w:color="auto"/>
            </w:tcBorders>
          </w:tcPr>
          <w:p w:rsidR="00297B00" w:rsidRPr="00C75614" w:rsidRDefault="00297B00" w:rsidP="00A56EA8">
            <w:pPr>
              <w:tabs>
                <w:tab w:val="right" w:pos="1021"/>
              </w:tabs>
              <w:ind w:left="1134" w:right="1134" w:hanging="1134"/>
              <w:rPr>
                <w:i/>
                <w:u w:val="single"/>
              </w:rPr>
            </w:pPr>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3A6875" w:rsidP="008E35CE">
            <w:pPr>
              <w:jc w:val="right"/>
            </w:pPr>
            <w:r w:rsidRPr="003A6875">
              <w:rPr>
                <w:sz w:val="40"/>
              </w:rPr>
              <w:t>CAT</w:t>
            </w:r>
            <w:r>
              <w:t>/C/</w:t>
            </w:r>
            <w:r w:rsidR="008E35CE">
              <w:t>MRT</w:t>
            </w:r>
            <w:r>
              <w:t>/CO/1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803233" w:rsidP="00A56EA8">
            <w:pPr>
              <w:spacing w:before="120"/>
              <w:jc w:val="center"/>
            </w:pPr>
            <w:r w:rsidRPr="00803233">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escription: _unlogo" style="width:56.25pt;height:46.5pt;visibility:visible">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97B00" w:rsidRDefault="003A6875" w:rsidP="00A56EA8">
            <w:pPr>
              <w:spacing w:before="240"/>
            </w:pPr>
            <w:r>
              <w:t xml:space="preserve">Distr. </w:t>
            </w:r>
            <w:r w:rsidR="0039548F">
              <w:t>général</w:t>
            </w:r>
          </w:p>
          <w:p w:rsidR="003A6875" w:rsidRDefault="00E45627" w:rsidP="00870867">
            <w:pPr>
              <w:tabs>
                <w:tab w:val="right" w:pos="2835"/>
              </w:tabs>
              <w:spacing w:line="240" w:lineRule="exact"/>
            </w:pPr>
            <w:r w:rsidRPr="00A71F1A">
              <w:t>1</w:t>
            </w:r>
            <w:r w:rsidR="008626B7">
              <w:t>8</w:t>
            </w:r>
            <w:r w:rsidR="0039548F" w:rsidRPr="00A71F1A">
              <w:t xml:space="preserve"> juin</w:t>
            </w:r>
            <w:r w:rsidR="0039548F">
              <w:t xml:space="preserve"> </w:t>
            </w:r>
            <w:r w:rsidR="008C1200">
              <w:t>2013</w:t>
            </w:r>
          </w:p>
          <w:p w:rsidR="003A6875" w:rsidRDefault="003A6875" w:rsidP="003A6875">
            <w:pPr>
              <w:spacing w:line="240" w:lineRule="exact"/>
            </w:pPr>
          </w:p>
          <w:p w:rsidR="003A6875" w:rsidRPr="00DB58B5" w:rsidRDefault="003A6875" w:rsidP="003A6875">
            <w:pPr>
              <w:spacing w:line="240" w:lineRule="exact"/>
            </w:pPr>
            <w:r>
              <w:t xml:space="preserve">Original: français </w:t>
            </w:r>
          </w:p>
        </w:tc>
      </w:tr>
    </w:tbl>
    <w:p w:rsidR="003A6875" w:rsidRDefault="003A6875" w:rsidP="003A6875">
      <w:pPr>
        <w:suppressAutoHyphens w:val="0"/>
        <w:spacing w:before="120"/>
        <w:rPr>
          <w:b/>
          <w:sz w:val="24"/>
          <w:szCs w:val="24"/>
        </w:rPr>
      </w:pPr>
      <w:r>
        <w:rPr>
          <w:b/>
          <w:sz w:val="24"/>
          <w:szCs w:val="24"/>
        </w:rPr>
        <w:t>Comité contre la torture</w:t>
      </w:r>
    </w:p>
    <w:p w:rsidR="00272C93" w:rsidRPr="006B00C1" w:rsidRDefault="003A6875" w:rsidP="00E45627">
      <w:pPr>
        <w:pStyle w:val="HChG"/>
        <w:jc w:val="both"/>
        <w:rPr>
          <w:vertAlign w:val="subscript"/>
        </w:rPr>
      </w:pPr>
      <w:r>
        <w:tab/>
      </w:r>
      <w:r>
        <w:tab/>
        <w:t xml:space="preserve">Observations </w:t>
      </w:r>
      <w:r w:rsidRPr="003A6875">
        <w:t>finales</w:t>
      </w:r>
      <w:r>
        <w:t xml:space="preserve"> </w:t>
      </w:r>
      <w:r w:rsidR="00E45627">
        <w:t xml:space="preserve">concernant le </w:t>
      </w:r>
      <w:r>
        <w:t xml:space="preserve">rapport initial </w:t>
      </w:r>
      <w:r w:rsidR="008E35CE">
        <w:t>de la Mauritanie</w:t>
      </w:r>
      <w:r w:rsidR="0039548F">
        <w:t>,</w:t>
      </w:r>
      <w:r w:rsidR="00272C93">
        <w:t xml:space="preserve"> ad</w:t>
      </w:r>
      <w:r w:rsidR="00F41F38">
        <w:t xml:space="preserve">optées par le Comité </w:t>
      </w:r>
      <w:r w:rsidR="00E45627">
        <w:t xml:space="preserve">à </w:t>
      </w:r>
      <w:r w:rsidR="00F41F38">
        <w:t>sa</w:t>
      </w:r>
      <w:r w:rsidR="00272C93">
        <w:t xml:space="preserve"> </w:t>
      </w:r>
      <w:r w:rsidR="008E35CE">
        <w:t>cinquantième</w:t>
      </w:r>
      <w:r w:rsidR="00272C93">
        <w:t xml:space="preserve"> session (</w:t>
      </w:r>
      <w:r w:rsidR="008E35CE">
        <w:t>6-31 mai 2013</w:t>
      </w:r>
      <w:r w:rsidR="00414736">
        <w:t>)</w:t>
      </w:r>
    </w:p>
    <w:p w:rsidR="00ED05DA" w:rsidRPr="00386735" w:rsidRDefault="00ED05DA" w:rsidP="00ED05DA">
      <w:pPr>
        <w:pStyle w:val="SingleTxtG"/>
        <w:rPr>
          <w:lang w:val="fr-FR"/>
        </w:rPr>
      </w:pPr>
      <w:r w:rsidRPr="00386735">
        <w:rPr>
          <w:lang w:val="fr-FR"/>
        </w:rPr>
        <w:t>1.</w:t>
      </w:r>
      <w:r w:rsidRPr="00386735">
        <w:rPr>
          <w:lang w:val="fr-FR"/>
        </w:rPr>
        <w:tab/>
        <w:t>Le Comité a examiné le rapport initia</w:t>
      </w:r>
      <w:r>
        <w:rPr>
          <w:lang w:val="fr-FR"/>
        </w:rPr>
        <w:t xml:space="preserve">l </w:t>
      </w:r>
      <w:r w:rsidR="00907420">
        <w:rPr>
          <w:lang w:val="fr-FR"/>
        </w:rPr>
        <w:t>de la Mauritanie (CAT/C/MRT</w:t>
      </w:r>
      <w:r>
        <w:rPr>
          <w:lang w:val="fr-FR"/>
        </w:rPr>
        <w:t>/1) à ses </w:t>
      </w:r>
      <w:r w:rsidR="005A6E5B" w:rsidRPr="005A6E5B">
        <w:rPr>
          <w:lang w:val="fr-FR"/>
        </w:rPr>
        <w:t>1138</w:t>
      </w:r>
      <w:r w:rsidRPr="005A6E5B">
        <w:rPr>
          <w:vertAlign w:val="superscript"/>
          <w:lang w:val="fr-FR"/>
        </w:rPr>
        <w:t>e</w:t>
      </w:r>
      <w:r w:rsidR="005A6E5B" w:rsidRPr="005A6E5B">
        <w:rPr>
          <w:lang w:val="fr-FR"/>
        </w:rPr>
        <w:t xml:space="preserve"> et 1141</w:t>
      </w:r>
      <w:r w:rsidRPr="005A6E5B">
        <w:rPr>
          <w:vertAlign w:val="superscript"/>
          <w:lang w:val="fr-FR"/>
        </w:rPr>
        <w:t>e</w:t>
      </w:r>
      <w:r w:rsidR="005A6E5B" w:rsidRPr="005A6E5B">
        <w:rPr>
          <w:lang w:val="fr-FR"/>
        </w:rPr>
        <w:t> séances (CAT/C/SR.11</w:t>
      </w:r>
      <w:r w:rsidR="005A6E5B" w:rsidRPr="00870867">
        <w:rPr>
          <w:lang w:val="fr-FR"/>
        </w:rPr>
        <w:t>38 et 1141</w:t>
      </w:r>
      <w:r w:rsidRPr="00870867">
        <w:rPr>
          <w:lang w:val="fr-FR"/>
        </w:rPr>
        <w:t xml:space="preserve">), les </w:t>
      </w:r>
      <w:r w:rsidR="00907420" w:rsidRPr="00870867">
        <w:rPr>
          <w:lang w:val="fr-FR"/>
        </w:rPr>
        <w:t>8 et 10 mai 2013</w:t>
      </w:r>
      <w:r w:rsidRPr="00870867">
        <w:rPr>
          <w:lang w:val="fr-FR"/>
        </w:rPr>
        <w:t>, et a adopté les observations finales ci-après à s</w:t>
      </w:r>
      <w:r w:rsidR="005E3A5F" w:rsidRPr="00870867">
        <w:rPr>
          <w:lang w:val="fr-FR"/>
        </w:rPr>
        <w:t xml:space="preserve">a </w:t>
      </w:r>
      <w:r w:rsidR="005A6E5B" w:rsidRPr="00870867">
        <w:rPr>
          <w:lang w:val="fr-FR"/>
        </w:rPr>
        <w:t>11</w:t>
      </w:r>
      <w:r w:rsidR="00C941D1" w:rsidRPr="00870867">
        <w:rPr>
          <w:lang w:val="fr-FR"/>
        </w:rPr>
        <w:t>6</w:t>
      </w:r>
      <w:r w:rsidR="00A84FD6" w:rsidRPr="00870867">
        <w:rPr>
          <w:lang w:val="fr-FR"/>
        </w:rPr>
        <w:t>1</w:t>
      </w:r>
      <w:r w:rsidR="005E3A5F" w:rsidRPr="00870867">
        <w:rPr>
          <w:vertAlign w:val="superscript"/>
          <w:lang w:val="fr-FR"/>
        </w:rPr>
        <w:t>e</w:t>
      </w:r>
      <w:r w:rsidR="00272C93" w:rsidRPr="00870867">
        <w:rPr>
          <w:lang w:val="fr-FR"/>
        </w:rPr>
        <w:t xml:space="preserve"> </w:t>
      </w:r>
      <w:r w:rsidRPr="00870867">
        <w:rPr>
          <w:lang w:val="fr-FR"/>
        </w:rPr>
        <w:t>séance (</w:t>
      </w:r>
      <w:bookmarkStart w:id="0" w:name="OLE_LINK1"/>
      <w:bookmarkStart w:id="1" w:name="OLE_LINK2"/>
      <w:r w:rsidRPr="00870867">
        <w:rPr>
          <w:lang w:val="fr-FR"/>
        </w:rPr>
        <w:t>CAT/C/SR</w:t>
      </w:r>
      <w:r w:rsidR="005A6E5B" w:rsidRPr="00870867">
        <w:rPr>
          <w:lang w:val="fr-FR"/>
        </w:rPr>
        <w:t>.11</w:t>
      </w:r>
      <w:r w:rsidR="00C941D1" w:rsidRPr="00870867">
        <w:rPr>
          <w:lang w:val="fr-FR"/>
        </w:rPr>
        <w:t>6</w:t>
      </w:r>
      <w:r w:rsidR="00A84FD6" w:rsidRPr="00870867">
        <w:rPr>
          <w:lang w:val="fr-FR"/>
        </w:rPr>
        <w:t>1</w:t>
      </w:r>
      <w:bookmarkEnd w:id="0"/>
      <w:bookmarkEnd w:id="1"/>
      <w:r w:rsidRPr="005A6E5B">
        <w:rPr>
          <w:lang w:val="fr-FR"/>
        </w:rPr>
        <w:t>)</w:t>
      </w:r>
      <w:r w:rsidRPr="00386735">
        <w:rPr>
          <w:lang w:val="fr-FR"/>
        </w:rPr>
        <w:t xml:space="preserve"> le</w:t>
      </w:r>
      <w:r w:rsidR="00E6277C">
        <w:rPr>
          <w:lang w:val="fr-FR"/>
        </w:rPr>
        <w:t xml:space="preserve"> </w:t>
      </w:r>
      <w:r w:rsidR="00907420">
        <w:rPr>
          <w:lang w:val="fr-FR"/>
        </w:rPr>
        <w:t>2</w:t>
      </w:r>
      <w:r w:rsidR="00C941D1">
        <w:rPr>
          <w:lang w:val="fr-FR"/>
        </w:rPr>
        <w:t>7</w:t>
      </w:r>
      <w:r w:rsidR="00907420">
        <w:rPr>
          <w:lang w:val="fr-FR"/>
        </w:rPr>
        <w:t xml:space="preserve"> mai 2013</w:t>
      </w:r>
      <w:r w:rsidRPr="00386735">
        <w:rPr>
          <w:lang w:val="fr-FR"/>
        </w:rPr>
        <w:t>.</w:t>
      </w:r>
    </w:p>
    <w:p w:rsidR="00ED05DA" w:rsidRPr="00386735" w:rsidRDefault="00ED05DA" w:rsidP="00ED05DA">
      <w:pPr>
        <w:pStyle w:val="H1G"/>
        <w:rPr>
          <w:lang w:val="fr-FR"/>
        </w:rPr>
      </w:pPr>
      <w:r w:rsidRPr="00386735">
        <w:rPr>
          <w:lang w:val="fr-FR"/>
        </w:rPr>
        <w:tab/>
        <w:t>A.</w:t>
      </w:r>
      <w:r w:rsidRPr="00386735">
        <w:rPr>
          <w:lang w:val="fr-FR"/>
        </w:rPr>
        <w:tab/>
        <w:t>Introduction</w:t>
      </w:r>
    </w:p>
    <w:p w:rsidR="00ED05DA" w:rsidRDefault="00ED05DA" w:rsidP="007F618F">
      <w:pPr>
        <w:pStyle w:val="SingleTxtG"/>
        <w:rPr>
          <w:lang w:val="fr-FR"/>
        </w:rPr>
      </w:pPr>
      <w:r w:rsidRPr="00386735">
        <w:rPr>
          <w:lang w:val="fr-FR"/>
        </w:rPr>
        <w:t>2.</w:t>
      </w:r>
      <w:r w:rsidRPr="00386735">
        <w:rPr>
          <w:lang w:val="fr-FR"/>
        </w:rPr>
        <w:tab/>
        <w:t xml:space="preserve">Le Comité accueille avec satisfaction le rapport initial </w:t>
      </w:r>
      <w:r w:rsidR="00907420">
        <w:rPr>
          <w:lang w:val="fr-FR"/>
        </w:rPr>
        <w:t>de la</w:t>
      </w:r>
      <w:r w:rsidR="00270357">
        <w:rPr>
          <w:lang w:val="fr-FR"/>
        </w:rPr>
        <w:t xml:space="preserve"> </w:t>
      </w:r>
      <w:r w:rsidR="00907420">
        <w:rPr>
          <w:lang w:val="fr-FR"/>
        </w:rPr>
        <w:t>Mauritanie</w:t>
      </w:r>
      <w:r>
        <w:rPr>
          <w:lang w:val="fr-FR"/>
        </w:rPr>
        <w:t>. Il note toutefois qu’il n’</w:t>
      </w:r>
      <w:r w:rsidRPr="00386735">
        <w:rPr>
          <w:lang w:val="fr-FR"/>
        </w:rPr>
        <w:t xml:space="preserve">est </w:t>
      </w:r>
      <w:r>
        <w:rPr>
          <w:lang w:val="fr-FR"/>
        </w:rPr>
        <w:t xml:space="preserve">pas complètement </w:t>
      </w:r>
      <w:r w:rsidRPr="00386735">
        <w:rPr>
          <w:lang w:val="fr-FR"/>
        </w:rPr>
        <w:t>conforme aux lignes directrices du Comité en matière de présentation de rapports</w:t>
      </w:r>
      <w:r>
        <w:rPr>
          <w:lang w:val="fr-FR"/>
        </w:rPr>
        <w:t xml:space="preserve"> </w:t>
      </w:r>
      <w:r w:rsidR="00501180">
        <w:rPr>
          <w:lang w:val="fr-FR"/>
        </w:rPr>
        <w:t>et</w:t>
      </w:r>
      <w:r w:rsidR="00C30699">
        <w:rPr>
          <w:lang w:val="fr-FR"/>
        </w:rPr>
        <w:t xml:space="preserve"> regrette </w:t>
      </w:r>
      <w:r w:rsidR="00907420">
        <w:rPr>
          <w:lang w:val="fr-FR"/>
        </w:rPr>
        <w:t>qu</w:t>
      </w:r>
      <w:r w:rsidR="00E45627">
        <w:rPr>
          <w:lang w:val="fr-FR"/>
        </w:rPr>
        <w:t>’</w:t>
      </w:r>
      <w:r w:rsidR="00907420">
        <w:rPr>
          <w:lang w:val="fr-FR"/>
        </w:rPr>
        <w:t>il ait été soumis par</w:t>
      </w:r>
      <w:r>
        <w:rPr>
          <w:lang w:val="fr-FR"/>
        </w:rPr>
        <w:t xml:space="preserve"> l’</w:t>
      </w:r>
      <w:r w:rsidR="008C1200">
        <w:rPr>
          <w:lang w:val="fr-FR"/>
        </w:rPr>
        <w:t>É</w:t>
      </w:r>
      <w:r>
        <w:rPr>
          <w:lang w:val="fr-FR"/>
        </w:rPr>
        <w:t xml:space="preserve">tat partie avec </w:t>
      </w:r>
      <w:r w:rsidR="00907420">
        <w:rPr>
          <w:lang w:val="fr-FR"/>
        </w:rPr>
        <w:t xml:space="preserve">sept </w:t>
      </w:r>
      <w:r>
        <w:rPr>
          <w:lang w:val="fr-FR"/>
        </w:rPr>
        <w:t>ans de retard</w:t>
      </w:r>
      <w:r w:rsidR="0078744E">
        <w:rPr>
          <w:lang w:val="fr-FR"/>
        </w:rPr>
        <w:t>.</w:t>
      </w:r>
      <w:r w:rsidR="00E45627">
        <w:rPr>
          <w:lang w:val="fr-FR"/>
        </w:rPr>
        <w:t xml:space="preserve"> </w:t>
      </w:r>
    </w:p>
    <w:p w:rsidR="00ED05DA" w:rsidRPr="00386735" w:rsidRDefault="004F36AD" w:rsidP="00BC3E9B">
      <w:pPr>
        <w:pStyle w:val="SingleTxtG"/>
        <w:rPr>
          <w:lang w:val="fr-FR"/>
        </w:rPr>
      </w:pPr>
      <w:r>
        <w:rPr>
          <w:lang w:val="fr-FR"/>
        </w:rPr>
        <w:t>3.</w:t>
      </w:r>
      <w:r>
        <w:rPr>
          <w:lang w:val="fr-FR"/>
        </w:rPr>
        <w:tab/>
      </w:r>
      <w:r w:rsidR="00ED05DA" w:rsidRPr="00386735">
        <w:rPr>
          <w:lang w:val="fr-FR"/>
        </w:rPr>
        <w:t xml:space="preserve">Le Comité </w:t>
      </w:r>
      <w:r w:rsidR="00501180">
        <w:rPr>
          <w:lang w:val="fr-FR"/>
        </w:rPr>
        <w:t>est également satisfait</w:t>
      </w:r>
      <w:r w:rsidR="00ED05DA" w:rsidRPr="00386735">
        <w:rPr>
          <w:lang w:val="fr-FR"/>
        </w:rPr>
        <w:t xml:space="preserve"> du dialogue</w:t>
      </w:r>
      <w:r w:rsidR="00ED05DA">
        <w:rPr>
          <w:lang w:val="fr-FR"/>
        </w:rPr>
        <w:t xml:space="preserve"> </w:t>
      </w:r>
      <w:r w:rsidR="00ED05DA" w:rsidRPr="00386735">
        <w:rPr>
          <w:lang w:val="fr-FR"/>
        </w:rPr>
        <w:t>ouvert qu’il a eu avec la délégation de l’État partie, ainsi que des réponses données oralement</w:t>
      </w:r>
      <w:r w:rsidR="007F618F">
        <w:rPr>
          <w:lang w:val="fr-FR"/>
        </w:rPr>
        <w:t>,</w:t>
      </w:r>
      <w:r w:rsidR="00ED05DA" w:rsidRPr="00386735">
        <w:rPr>
          <w:lang w:val="fr-FR"/>
        </w:rPr>
        <w:t xml:space="preserve"> pendant l’exame</w:t>
      </w:r>
      <w:r w:rsidR="00ED05DA">
        <w:rPr>
          <w:lang w:val="fr-FR"/>
        </w:rPr>
        <w:t>n</w:t>
      </w:r>
      <w:r w:rsidR="007F618F">
        <w:rPr>
          <w:lang w:val="fr-FR"/>
        </w:rPr>
        <w:t>,</w:t>
      </w:r>
      <w:r w:rsidR="00ED05DA">
        <w:rPr>
          <w:lang w:val="fr-FR"/>
        </w:rPr>
        <w:t xml:space="preserve"> aux questions posées par les membres du Comité</w:t>
      </w:r>
      <w:r w:rsidR="00BC3E9B">
        <w:rPr>
          <w:lang w:val="fr-FR"/>
        </w:rPr>
        <w:t xml:space="preserve">. Il </w:t>
      </w:r>
      <w:r w:rsidR="00501180">
        <w:rPr>
          <w:lang w:val="fr-FR"/>
        </w:rPr>
        <w:t>regrett</w:t>
      </w:r>
      <w:r w:rsidR="00BC3E9B">
        <w:rPr>
          <w:lang w:val="fr-FR"/>
        </w:rPr>
        <w:t xml:space="preserve">e </w:t>
      </w:r>
      <w:r w:rsidR="00501180">
        <w:rPr>
          <w:lang w:val="fr-FR"/>
        </w:rPr>
        <w:t>toutefois l’absence d</w:t>
      </w:r>
      <w:r w:rsidR="00C941D1">
        <w:rPr>
          <w:lang w:val="fr-FR"/>
        </w:rPr>
        <w:t>e représentants de tous les</w:t>
      </w:r>
      <w:r w:rsidR="00BC3E9B">
        <w:rPr>
          <w:lang w:val="fr-FR"/>
        </w:rPr>
        <w:t xml:space="preserve"> </w:t>
      </w:r>
      <w:r w:rsidR="00501180">
        <w:rPr>
          <w:lang w:val="fr-FR"/>
        </w:rPr>
        <w:t>ministères</w:t>
      </w:r>
      <w:r w:rsidR="00E45627">
        <w:rPr>
          <w:lang w:val="fr-FR"/>
        </w:rPr>
        <w:t xml:space="preserve"> </w:t>
      </w:r>
      <w:r w:rsidR="00501180">
        <w:rPr>
          <w:lang w:val="fr-FR"/>
        </w:rPr>
        <w:t>compétents.</w:t>
      </w:r>
    </w:p>
    <w:p w:rsidR="00ED05DA" w:rsidRPr="00386735" w:rsidRDefault="00ED05DA" w:rsidP="00ED05DA">
      <w:pPr>
        <w:pStyle w:val="H1G"/>
        <w:rPr>
          <w:lang w:val="fr-FR"/>
        </w:rPr>
      </w:pPr>
      <w:r w:rsidRPr="00386735">
        <w:rPr>
          <w:lang w:val="fr-FR"/>
        </w:rPr>
        <w:tab/>
        <w:t>B.</w:t>
      </w:r>
      <w:r w:rsidRPr="00386735">
        <w:rPr>
          <w:lang w:val="fr-FR"/>
        </w:rPr>
        <w:tab/>
        <w:t>Aspects positifs</w:t>
      </w:r>
    </w:p>
    <w:p w:rsidR="00ED05DA" w:rsidRPr="00386735" w:rsidRDefault="00ED05DA" w:rsidP="00ED05DA">
      <w:pPr>
        <w:pStyle w:val="SingleTxtG"/>
        <w:rPr>
          <w:lang w:val="fr-FR"/>
        </w:rPr>
      </w:pPr>
      <w:r w:rsidRPr="00386735">
        <w:rPr>
          <w:lang w:val="fr-FR"/>
        </w:rPr>
        <w:t>4.</w:t>
      </w:r>
      <w:r w:rsidRPr="00386735">
        <w:rPr>
          <w:lang w:val="fr-FR"/>
        </w:rPr>
        <w:tab/>
        <w:t>Le Comité note avec satisfaction que l’État partie a ratifié les instruments internationaux ci-après</w:t>
      </w:r>
      <w:r w:rsidR="00907420">
        <w:rPr>
          <w:lang w:val="fr-FR"/>
        </w:rPr>
        <w:t>,</w:t>
      </w:r>
      <w:r w:rsidRPr="00386735">
        <w:rPr>
          <w:lang w:val="fr-FR"/>
        </w:rPr>
        <w:t xml:space="preserve"> ou y a adhéré</w:t>
      </w:r>
      <w:r w:rsidR="006073C6">
        <w:rPr>
          <w:lang w:val="fr-FR"/>
        </w:rPr>
        <w:t>:</w:t>
      </w:r>
    </w:p>
    <w:p w:rsidR="007F1692" w:rsidRDefault="00ED05DA" w:rsidP="006C277A">
      <w:pPr>
        <w:pStyle w:val="SingleTxtG"/>
        <w:ind w:firstLine="567"/>
        <w:rPr>
          <w:lang w:val="fr-FR"/>
        </w:rPr>
      </w:pPr>
      <w:r w:rsidRPr="00FA16C5">
        <w:rPr>
          <w:lang w:val="fr-FR"/>
        </w:rPr>
        <w:t>a)</w:t>
      </w:r>
      <w:r w:rsidRPr="00386735">
        <w:rPr>
          <w:lang w:val="fr-FR"/>
        </w:rPr>
        <w:tab/>
      </w:r>
      <w:r w:rsidR="007F1692">
        <w:rPr>
          <w:lang w:val="fr-FR"/>
        </w:rPr>
        <w:t>Le Pacte international relatif aux droit</w:t>
      </w:r>
      <w:r w:rsidR="005A6E5B">
        <w:rPr>
          <w:lang w:val="fr-FR"/>
        </w:rPr>
        <w:t>s</w:t>
      </w:r>
      <w:r w:rsidR="007F1692">
        <w:rPr>
          <w:lang w:val="fr-FR"/>
        </w:rPr>
        <w:t xml:space="preserve"> économiques, sociaux et culturels, le 17 novembre 2004</w:t>
      </w:r>
      <w:r w:rsidR="006073C6">
        <w:rPr>
          <w:lang w:val="fr-FR"/>
        </w:rPr>
        <w:t>;</w:t>
      </w:r>
    </w:p>
    <w:p w:rsidR="007F1692" w:rsidRDefault="007F1692" w:rsidP="006C277A">
      <w:pPr>
        <w:pStyle w:val="SingleTxtG"/>
        <w:ind w:firstLine="567"/>
        <w:rPr>
          <w:lang w:val="fr-FR"/>
        </w:rPr>
      </w:pPr>
      <w:r>
        <w:rPr>
          <w:lang w:val="fr-FR"/>
        </w:rPr>
        <w:t>b)</w:t>
      </w:r>
      <w:r>
        <w:rPr>
          <w:lang w:val="fr-FR"/>
        </w:rPr>
        <w:tab/>
        <w:t>Le Pacte international relatif aux droits civils et politiques, le 17 novembre 2004</w:t>
      </w:r>
      <w:r w:rsidR="006073C6">
        <w:rPr>
          <w:lang w:val="fr-FR"/>
        </w:rPr>
        <w:t>;</w:t>
      </w:r>
    </w:p>
    <w:p w:rsidR="006C277A" w:rsidRDefault="00390CFC" w:rsidP="006C277A">
      <w:pPr>
        <w:pStyle w:val="SingleTxtG"/>
        <w:ind w:firstLine="567"/>
        <w:rPr>
          <w:lang w:val="fr-FR"/>
        </w:rPr>
      </w:pPr>
      <w:r>
        <w:rPr>
          <w:lang w:val="fr-FR"/>
        </w:rPr>
        <w:t>c)</w:t>
      </w:r>
      <w:r>
        <w:rPr>
          <w:lang w:val="fr-FR"/>
        </w:rPr>
        <w:tab/>
      </w:r>
      <w:r w:rsidR="006C277A">
        <w:rPr>
          <w:lang w:val="fr-FR"/>
        </w:rPr>
        <w:t xml:space="preserve">Le Protocole additionnel à la Convention des Nations Unies contre la criminalité transnationale organisée visant à prévenir, réprimer et punir la traite des personnes, en particulier des femmes et des enfants, le </w:t>
      </w:r>
      <w:r w:rsidR="006C277A" w:rsidRPr="00230332">
        <w:rPr>
          <w:lang w:val="fr-FR"/>
        </w:rPr>
        <w:t>22 juillet 2005</w:t>
      </w:r>
      <w:r w:rsidR="006073C6" w:rsidRPr="00230332">
        <w:rPr>
          <w:lang w:val="fr-FR"/>
        </w:rPr>
        <w:t>;</w:t>
      </w:r>
    </w:p>
    <w:p w:rsidR="00011DC9" w:rsidRDefault="00390CFC" w:rsidP="006C277A">
      <w:pPr>
        <w:pStyle w:val="SingleTxtG"/>
        <w:ind w:firstLine="567"/>
        <w:rPr>
          <w:lang w:val="fr-FR"/>
        </w:rPr>
      </w:pPr>
      <w:r>
        <w:rPr>
          <w:lang w:val="fr-FR"/>
        </w:rPr>
        <w:t>d</w:t>
      </w:r>
      <w:r w:rsidR="006C277A">
        <w:rPr>
          <w:lang w:val="fr-FR"/>
        </w:rPr>
        <w:t>)</w:t>
      </w:r>
      <w:r w:rsidR="006C277A">
        <w:rPr>
          <w:lang w:val="fr-FR"/>
        </w:rPr>
        <w:tab/>
      </w:r>
      <w:r w:rsidR="00011DC9">
        <w:rPr>
          <w:lang w:val="fr-FR"/>
        </w:rPr>
        <w:t>La Convention internationale sur la protection des droits de tous les travailleurs migrants et des membres de leur famille, le 22 janvier 2007</w:t>
      </w:r>
      <w:r w:rsidR="006073C6">
        <w:rPr>
          <w:lang w:val="fr-FR"/>
        </w:rPr>
        <w:t>;</w:t>
      </w:r>
    </w:p>
    <w:p w:rsidR="006C277A" w:rsidRDefault="00390CFC" w:rsidP="006C277A">
      <w:pPr>
        <w:pStyle w:val="SingleTxtG"/>
        <w:ind w:firstLine="567"/>
        <w:rPr>
          <w:lang w:val="fr-FR"/>
        </w:rPr>
      </w:pPr>
      <w:r>
        <w:rPr>
          <w:lang w:val="fr-FR"/>
        </w:rPr>
        <w:t>e</w:t>
      </w:r>
      <w:r w:rsidR="00011DC9">
        <w:rPr>
          <w:lang w:val="fr-FR"/>
        </w:rPr>
        <w:t>)</w:t>
      </w:r>
      <w:r w:rsidR="00011DC9">
        <w:rPr>
          <w:lang w:val="fr-FR"/>
        </w:rPr>
        <w:tab/>
      </w:r>
      <w:r w:rsidR="006C277A" w:rsidRPr="00386735">
        <w:rPr>
          <w:lang w:val="fr-FR"/>
        </w:rPr>
        <w:t>Le Protocole facultatif à la Convention relative aux droits de</w:t>
      </w:r>
      <w:r w:rsidR="006C277A">
        <w:rPr>
          <w:lang w:val="fr-FR"/>
        </w:rPr>
        <w:t xml:space="preserve"> l’enfan</w:t>
      </w:r>
      <w:r w:rsidR="006C277A" w:rsidRPr="00230332">
        <w:rPr>
          <w:lang w:val="fr-FR"/>
        </w:rPr>
        <w:t>t</w:t>
      </w:r>
      <w:r w:rsidR="00A2026E" w:rsidRPr="00230332">
        <w:rPr>
          <w:lang w:val="fr-FR"/>
        </w:rPr>
        <w:t>,</w:t>
      </w:r>
      <w:r w:rsidR="006C277A">
        <w:rPr>
          <w:lang w:val="fr-FR"/>
        </w:rPr>
        <w:t xml:space="preserve"> concernant la vente d’enfants, la prostitution des enfants et la pornographie mettant en scène des enfants, le 23 avril 2007</w:t>
      </w:r>
      <w:r w:rsidR="006073C6">
        <w:rPr>
          <w:lang w:val="fr-FR"/>
        </w:rPr>
        <w:t>;</w:t>
      </w:r>
    </w:p>
    <w:p w:rsidR="002E6637" w:rsidRDefault="00390CFC" w:rsidP="002E6637">
      <w:pPr>
        <w:pStyle w:val="SingleTxtG"/>
        <w:ind w:firstLine="567"/>
        <w:rPr>
          <w:lang w:val="fr-FR"/>
        </w:rPr>
      </w:pPr>
      <w:r>
        <w:rPr>
          <w:lang w:val="fr-FR"/>
        </w:rPr>
        <w:t>f</w:t>
      </w:r>
      <w:r w:rsidR="006C277A">
        <w:rPr>
          <w:lang w:val="fr-FR"/>
        </w:rPr>
        <w:t>)</w:t>
      </w:r>
      <w:r w:rsidR="006C277A">
        <w:rPr>
          <w:lang w:val="fr-FR"/>
        </w:rPr>
        <w:tab/>
      </w:r>
      <w:r w:rsidR="002E6637" w:rsidRPr="00386735">
        <w:rPr>
          <w:lang w:val="fr-FR"/>
        </w:rPr>
        <w:t xml:space="preserve">La Convention relative aux droits des personnes handicapées, le </w:t>
      </w:r>
      <w:r w:rsidR="002E6637">
        <w:rPr>
          <w:lang w:val="fr-FR"/>
        </w:rPr>
        <w:t>3 avril 2012</w:t>
      </w:r>
      <w:r w:rsidR="006073C6">
        <w:rPr>
          <w:lang w:val="fr-FR"/>
        </w:rPr>
        <w:t>;</w:t>
      </w:r>
      <w:r w:rsidR="002E6637">
        <w:rPr>
          <w:lang w:val="fr-FR"/>
        </w:rPr>
        <w:t xml:space="preserve"> </w:t>
      </w:r>
    </w:p>
    <w:p w:rsidR="002E6637" w:rsidRDefault="00390CFC" w:rsidP="006C277A">
      <w:pPr>
        <w:pStyle w:val="SingleTxtG"/>
        <w:ind w:firstLine="567"/>
        <w:rPr>
          <w:lang w:val="fr-FR"/>
        </w:rPr>
      </w:pPr>
      <w:r>
        <w:rPr>
          <w:lang w:val="fr-FR"/>
        </w:rPr>
        <w:t>g</w:t>
      </w:r>
      <w:r w:rsidR="00ED05DA" w:rsidRPr="00FA16C5">
        <w:rPr>
          <w:lang w:val="fr-FR"/>
        </w:rPr>
        <w:t>)</w:t>
      </w:r>
      <w:r w:rsidR="00ED05DA">
        <w:rPr>
          <w:lang w:val="fr-FR"/>
        </w:rPr>
        <w:tab/>
      </w:r>
      <w:r w:rsidR="002E6637" w:rsidRPr="00386735">
        <w:rPr>
          <w:lang w:val="fr-FR"/>
        </w:rPr>
        <w:t xml:space="preserve">Le Protocole facultatif se rapportant </w:t>
      </w:r>
      <w:r w:rsidR="002E6637">
        <w:rPr>
          <w:lang w:val="fr-FR"/>
        </w:rPr>
        <w:t xml:space="preserve">à la Convention </w:t>
      </w:r>
      <w:r w:rsidR="002E6637" w:rsidRPr="00386735">
        <w:rPr>
          <w:lang w:val="fr-FR"/>
        </w:rPr>
        <w:t xml:space="preserve">relative aux droits des personnes handicapées, le </w:t>
      </w:r>
      <w:r w:rsidR="002E6637">
        <w:rPr>
          <w:lang w:val="fr-FR"/>
        </w:rPr>
        <w:t>3 avril 2012</w:t>
      </w:r>
      <w:r w:rsidR="006073C6">
        <w:rPr>
          <w:lang w:val="fr-FR"/>
        </w:rPr>
        <w:t>;</w:t>
      </w:r>
    </w:p>
    <w:p w:rsidR="002E6637" w:rsidRDefault="00390CFC" w:rsidP="002E6637">
      <w:pPr>
        <w:pStyle w:val="SingleTxtG"/>
        <w:ind w:firstLine="567"/>
        <w:rPr>
          <w:lang w:val="fr-FR"/>
        </w:rPr>
      </w:pPr>
      <w:r>
        <w:rPr>
          <w:lang w:val="fr-FR"/>
        </w:rPr>
        <w:t>h</w:t>
      </w:r>
      <w:r w:rsidR="00ED05DA" w:rsidRPr="00FA16C5">
        <w:rPr>
          <w:lang w:val="fr-FR"/>
        </w:rPr>
        <w:t>)</w:t>
      </w:r>
      <w:r w:rsidR="00ED05DA" w:rsidRPr="00386735">
        <w:rPr>
          <w:lang w:val="fr-FR"/>
        </w:rPr>
        <w:tab/>
      </w:r>
      <w:r w:rsidR="002E6637" w:rsidRPr="00386735">
        <w:rPr>
          <w:lang w:val="fr-FR"/>
        </w:rPr>
        <w:t xml:space="preserve">La Convention internationale </w:t>
      </w:r>
      <w:r w:rsidR="002E6637">
        <w:rPr>
          <w:lang w:val="fr-FR"/>
        </w:rPr>
        <w:t>pour la protection de toutes les personnes contre les disparitions forcées, le 3 octobre 2012</w:t>
      </w:r>
      <w:r w:rsidR="006073C6">
        <w:rPr>
          <w:lang w:val="fr-FR"/>
        </w:rPr>
        <w:t>;</w:t>
      </w:r>
    </w:p>
    <w:p w:rsidR="004C3D78" w:rsidRDefault="00390CFC" w:rsidP="007004E6">
      <w:pPr>
        <w:pStyle w:val="SingleTxtG"/>
        <w:ind w:firstLine="567"/>
        <w:rPr>
          <w:lang w:val="fr-FR"/>
        </w:rPr>
      </w:pPr>
      <w:r>
        <w:rPr>
          <w:lang w:val="fr-FR"/>
        </w:rPr>
        <w:t>i)</w:t>
      </w:r>
      <w:r w:rsidR="002E6637">
        <w:rPr>
          <w:lang w:val="fr-FR"/>
        </w:rPr>
        <w:t xml:space="preserve"> </w:t>
      </w:r>
      <w:r w:rsidR="002E6637" w:rsidRPr="00386735">
        <w:rPr>
          <w:lang w:val="fr-FR"/>
        </w:rPr>
        <w:t xml:space="preserve">Le Protocole facultatif se rapportant </w:t>
      </w:r>
      <w:r w:rsidR="002E6637">
        <w:rPr>
          <w:lang w:val="fr-FR"/>
        </w:rPr>
        <w:t xml:space="preserve">à la Convention contre la torture et autres peines ou traitements cruels, inhumains ou dégradants, </w:t>
      </w:r>
      <w:r w:rsidR="002E6637" w:rsidRPr="00386735">
        <w:rPr>
          <w:lang w:val="fr-FR"/>
        </w:rPr>
        <w:t xml:space="preserve">le </w:t>
      </w:r>
      <w:r w:rsidR="002E6637">
        <w:rPr>
          <w:lang w:val="fr-FR"/>
        </w:rPr>
        <w:t>3 octobre 2012.</w:t>
      </w:r>
    </w:p>
    <w:p w:rsidR="00ED05DA" w:rsidRDefault="00ED05DA" w:rsidP="00ED05DA">
      <w:pPr>
        <w:pStyle w:val="SingleTxtG"/>
        <w:rPr>
          <w:lang w:val="fr-FR"/>
        </w:rPr>
      </w:pPr>
      <w:r w:rsidRPr="00386735">
        <w:rPr>
          <w:lang w:val="fr-FR"/>
        </w:rPr>
        <w:t>5.</w:t>
      </w:r>
      <w:r w:rsidRPr="00386735">
        <w:rPr>
          <w:lang w:val="fr-FR"/>
        </w:rPr>
        <w:tab/>
        <w:t xml:space="preserve">Le Comité prend note </w:t>
      </w:r>
      <w:r>
        <w:rPr>
          <w:lang w:val="fr-FR"/>
        </w:rPr>
        <w:t xml:space="preserve">avec satisfaction </w:t>
      </w:r>
      <w:r w:rsidRPr="00386735">
        <w:rPr>
          <w:lang w:val="fr-FR"/>
        </w:rPr>
        <w:t xml:space="preserve">des efforts </w:t>
      </w:r>
      <w:r w:rsidR="004914A7">
        <w:rPr>
          <w:lang w:val="fr-FR"/>
        </w:rPr>
        <w:t>entrepri</w:t>
      </w:r>
      <w:r w:rsidRPr="00386735">
        <w:rPr>
          <w:lang w:val="fr-FR"/>
        </w:rPr>
        <w:t>s par l’État partie pour réviser sa législation, notamment</w:t>
      </w:r>
      <w:r w:rsidR="00AA4B0C">
        <w:rPr>
          <w:lang w:val="fr-FR"/>
        </w:rPr>
        <w:t xml:space="preserve"> l</w:t>
      </w:r>
      <w:r w:rsidR="00E45627">
        <w:rPr>
          <w:lang w:val="fr-FR"/>
        </w:rPr>
        <w:t>’</w:t>
      </w:r>
      <w:r w:rsidR="00AA4B0C">
        <w:rPr>
          <w:lang w:val="fr-FR"/>
        </w:rPr>
        <w:t>adoption de</w:t>
      </w:r>
      <w:r w:rsidR="006073C6">
        <w:rPr>
          <w:lang w:val="fr-FR"/>
        </w:rPr>
        <w:t>:</w:t>
      </w:r>
      <w:r>
        <w:rPr>
          <w:lang w:val="fr-FR"/>
        </w:rPr>
        <w:t xml:space="preserve"> </w:t>
      </w:r>
    </w:p>
    <w:p w:rsidR="00ED73BB" w:rsidRDefault="00ED05DA" w:rsidP="00ED73BB">
      <w:pPr>
        <w:pStyle w:val="SingleTxtG"/>
        <w:ind w:firstLine="567"/>
        <w:rPr>
          <w:lang w:val="fr-FR"/>
        </w:rPr>
      </w:pPr>
      <w:r w:rsidRPr="00FA16C5">
        <w:rPr>
          <w:lang w:val="fr-FR"/>
        </w:rPr>
        <w:t>a)</w:t>
      </w:r>
      <w:r>
        <w:rPr>
          <w:lang w:val="fr-FR"/>
        </w:rPr>
        <w:tab/>
      </w:r>
      <w:r w:rsidR="00ED73BB">
        <w:rPr>
          <w:lang w:val="fr-FR"/>
        </w:rPr>
        <w:t>La loi n°</w:t>
      </w:r>
      <w:r w:rsidR="00E34F1C">
        <w:rPr>
          <w:lang w:val="fr-FR"/>
        </w:rPr>
        <w:t> </w:t>
      </w:r>
      <w:r w:rsidR="00ED73BB">
        <w:rPr>
          <w:lang w:val="fr-FR"/>
        </w:rPr>
        <w:t>2003-025 du 17 juillet 2003 portant répression de la traite des personnes;</w:t>
      </w:r>
    </w:p>
    <w:p w:rsidR="00ED73BB" w:rsidRDefault="00ED73BB" w:rsidP="00ED73BB">
      <w:pPr>
        <w:pStyle w:val="SingleTxtG"/>
        <w:ind w:firstLine="567"/>
        <w:rPr>
          <w:lang w:val="fr-FR"/>
        </w:rPr>
      </w:pPr>
      <w:r>
        <w:rPr>
          <w:lang w:val="fr-FR"/>
        </w:rPr>
        <w:t>b)</w:t>
      </w:r>
      <w:r>
        <w:rPr>
          <w:lang w:val="fr-FR"/>
        </w:rPr>
        <w:tab/>
        <w:t>L’</w:t>
      </w:r>
      <w:r w:rsidR="003C6CD8">
        <w:rPr>
          <w:lang w:val="fr-FR"/>
        </w:rPr>
        <w:t>ordonnance</w:t>
      </w:r>
      <w:r>
        <w:rPr>
          <w:lang w:val="fr-FR"/>
        </w:rPr>
        <w:t xml:space="preserve"> n°</w:t>
      </w:r>
      <w:r w:rsidR="00E34F1C">
        <w:rPr>
          <w:lang w:val="fr-FR"/>
        </w:rPr>
        <w:t> </w:t>
      </w:r>
      <w:r>
        <w:rPr>
          <w:lang w:val="fr-FR"/>
        </w:rPr>
        <w:t>200</w:t>
      </w:r>
      <w:r w:rsidR="0009656F">
        <w:rPr>
          <w:lang w:val="fr-FR"/>
        </w:rPr>
        <w:t>5</w:t>
      </w:r>
      <w:r>
        <w:rPr>
          <w:lang w:val="fr-FR"/>
        </w:rPr>
        <w:t>-015 du 5 décembre 2005 portant protection pénale de l’enfant</w:t>
      </w:r>
      <w:r w:rsidR="006073C6">
        <w:rPr>
          <w:lang w:val="fr-FR"/>
        </w:rPr>
        <w:t>;</w:t>
      </w:r>
    </w:p>
    <w:p w:rsidR="00674F49" w:rsidRDefault="00ED73BB" w:rsidP="00ED73BB">
      <w:pPr>
        <w:pStyle w:val="SingleTxtG"/>
        <w:rPr>
          <w:lang w:val="fr-FR"/>
        </w:rPr>
      </w:pPr>
      <w:r>
        <w:rPr>
          <w:lang w:val="fr-FR"/>
        </w:rPr>
        <w:tab/>
        <w:t>c)</w:t>
      </w:r>
      <w:r>
        <w:rPr>
          <w:lang w:val="fr-FR"/>
        </w:rPr>
        <w:tab/>
      </w:r>
      <w:r w:rsidR="00674F49">
        <w:rPr>
          <w:lang w:val="fr-FR"/>
        </w:rPr>
        <w:t>L</w:t>
      </w:r>
      <w:r w:rsidR="00E45627">
        <w:rPr>
          <w:lang w:val="fr-FR"/>
        </w:rPr>
        <w:t>’</w:t>
      </w:r>
      <w:r w:rsidR="003C6CD8">
        <w:rPr>
          <w:lang w:val="fr-FR"/>
        </w:rPr>
        <w:t>ordonnance</w:t>
      </w:r>
      <w:r w:rsidR="00674F49">
        <w:rPr>
          <w:lang w:val="fr-FR"/>
        </w:rPr>
        <w:t xml:space="preserve"> n°</w:t>
      </w:r>
      <w:r w:rsidR="00E34F1C">
        <w:rPr>
          <w:lang w:val="fr-FR"/>
        </w:rPr>
        <w:t> </w:t>
      </w:r>
      <w:r w:rsidR="00674F49">
        <w:rPr>
          <w:lang w:val="fr-FR"/>
        </w:rPr>
        <w:t>2007/36 du 17 avril 2007 portant Code de procédure pénale;</w:t>
      </w:r>
    </w:p>
    <w:p w:rsidR="00ED73BB" w:rsidRDefault="00674F49" w:rsidP="00FA04AA">
      <w:pPr>
        <w:pStyle w:val="SingleTxtG"/>
        <w:rPr>
          <w:lang w:val="fr-FR"/>
        </w:rPr>
      </w:pPr>
      <w:r>
        <w:rPr>
          <w:lang w:val="fr-FR"/>
        </w:rPr>
        <w:tab/>
        <w:t>d)</w:t>
      </w:r>
      <w:r>
        <w:rPr>
          <w:lang w:val="fr-FR"/>
        </w:rPr>
        <w:tab/>
      </w:r>
      <w:r w:rsidR="00AA4B0C">
        <w:rPr>
          <w:lang w:val="fr-FR"/>
        </w:rPr>
        <w:t>L</w:t>
      </w:r>
      <w:r w:rsidR="00ED05DA">
        <w:rPr>
          <w:lang w:val="fr-FR"/>
        </w:rPr>
        <w:t>a loi n</w:t>
      </w:r>
      <w:r w:rsidR="00ED05DA" w:rsidRPr="008C1200">
        <w:rPr>
          <w:vertAlign w:val="superscript"/>
          <w:lang w:val="fr-FR"/>
        </w:rPr>
        <w:t>o</w:t>
      </w:r>
      <w:r w:rsidR="00ED05DA">
        <w:rPr>
          <w:lang w:val="fr-FR"/>
        </w:rPr>
        <w:t xml:space="preserve"> </w:t>
      </w:r>
      <w:r w:rsidR="00501180">
        <w:rPr>
          <w:lang w:val="fr-FR"/>
        </w:rPr>
        <w:t>2007-04</w:t>
      </w:r>
      <w:r w:rsidR="00FA04AA">
        <w:rPr>
          <w:lang w:val="fr-FR"/>
        </w:rPr>
        <w:t>8</w:t>
      </w:r>
      <w:r w:rsidR="00501180">
        <w:rPr>
          <w:lang w:val="fr-FR"/>
        </w:rPr>
        <w:t xml:space="preserve"> du 3 septembre 2007 portant incrimination de l’esclavage</w:t>
      </w:r>
      <w:r w:rsidR="00EC15C1">
        <w:rPr>
          <w:lang w:val="fr-FR"/>
        </w:rPr>
        <w:t xml:space="preserve"> et réprimant les pratiques esclavagistes</w:t>
      </w:r>
      <w:r w:rsidR="006073C6">
        <w:rPr>
          <w:lang w:val="fr-FR"/>
        </w:rPr>
        <w:t>;</w:t>
      </w:r>
    </w:p>
    <w:p w:rsidR="00ED73BB" w:rsidRDefault="00674F49" w:rsidP="00011DC9">
      <w:pPr>
        <w:pStyle w:val="SingleTxtG"/>
        <w:ind w:firstLine="567"/>
        <w:rPr>
          <w:lang w:val="fr-FR"/>
        </w:rPr>
      </w:pPr>
      <w:r>
        <w:rPr>
          <w:lang w:val="fr-FR"/>
        </w:rPr>
        <w:t>e</w:t>
      </w:r>
      <w:r w:rsidR="00ED73BB">
        <w:rPr>
          <w:lang w:val="fr-FR"/>
        </w:rPr>
        <w:t>)</w:t>
      </w:r>
      <w:r w:rsidR="00ED73BB">
        <w:rPr>
          <w:lang w:val="fr-FR"/>
        </w:rPr>
        <w:tab/>
      </w:r>
      <w:r w:rsidR="00616D14">
        <w:rPr>
          <w:lang w:val="fr-FR"/>
        </w:rPr>
        <w:t xml:space="preserve">La </w:t>
      </w:r>
      <w:r w:rsidR="00ED73BB">
        <w:rPr>
          <w:lang w:val="fr-FR"/>
        </w:rPr>
        <w:t xml:space="preserve">loi </w:t>
      </w:r>
      <w:r w:rsidR="00AA4B0C">
        <w:rPr>
          <w:lang w:val="fr-FR"/>
        </w:rPr>
        <w:t>du 22</w:t>
      </w:r>
      <w:r w:rsidR="00616D14">
        <w:rPr>
          <w:lang w:val="fr-FR"/>
        </w:rPr>
        <w:t xml:space="preserve"> janvier 2010</w:t>
      </w:r>
      <w:r w:rsidR="00ED73BB">
        <w:rPr>
          <w:lang w:val="fr-FR"/>
        </w:rPr>
        <w:t xml:space="preserve"> </w:t>
      </w:r>
      <w:r w:rsidR="00AA4B0C">
        <w:rPr>
          <w:lang w:val="fr-FR"/>
        </w:rPr>
        <w:t>relative au trafic illicite des migrants</w:t>
      </w:r>
      <w:r w:rsidR="00ED73BB">
        <w:rPr>
          <w:lang w:val="fr-FR"/>
        </w:rPr>
        <w:t xml:space="preserve">; </w:t>
      </w:r>
    </w:p>
    <w:p w:rsidR="00AA4B0C" w:rsidRDefault="00674F49" w:rsidP="001E380D">
      <w:pPr>
        <w:pStyle w:val="SingleTxtG"/>
        <w:ind w:firstLine="567"/>
        <w:rPr>
          <w:lang w:val="fr-FR"/>
        </w:rPr>
      </w:pPr>
      <w:r>
        <w:rPr>
          <w:lang w:val="fr-FR"/>
        </w:rPr>
        <w:t>f</w:t>
      </w:r>
      <w:r w:rsidR="00ED73BB">
        <w:rPr>
          <w:lang w:val="fr-FR"/>
        </w:rPr>
        <w:t>)</w:t>
      </w:r>
      <w:r w:rsidR="00ED73BB">
        <w:rPr>
          <w:lang w:val="fr-FR"/>
        </w:rPr>
        <w:tab/>
      </w:r>
      <w:r w:rsidR="00AA4B0C" w:rsidRPr="006421D7">
        <w:rPr>
          <w:lang w:val="fr-FR"/>
        </w:rPr>
        <w:t>L</w:t>
      </w:r>
      <w:r w:rsidR="00E45627" w:rsidRPr="006421D7">
        <w:rPr>
          <w:lang w:val="fr-FR"/>
        </w:rPr>
        <w:t>’</w:t>
      </w:r>
      <w:r w:rsidR="00AA4B0C" w:rsidRPr="006421D7">
        <w:rPr>
          <w:lang w:val="fr-FR"/>
        </w:rPr>
        <w:t xml:space="preserve">arrêté </w:t>
      </w:r>
      <w:r w:rsidR="00A004BA" w:rsidRPr="006421D7">
        <w:rPr>
          <w:lang w:val="fr-FR"/>
        </w:rPr>
        <w:t xml:space="preserve">pris en 2011 par le </w:t>
      </w:r>
      <w:r w:rsidR="00AA4B0C" w:rsidRPr="006421D7">
        <w:rPr>
          <w:lang w:val="fr-FR"/>
        </w:rPr>
        <w:t>Min</w:t>
      </w:r>
      <w:r w:rsidR="00C9013B" w:rsidRPr="006421D7">
        <w:rPr>
          <w:lang w:val="fr-FR"/>
        </w:rPr>
        <w:t>i</w:t>
      </w:r>
      <w:r w:rsidR="00AA4B0C" w:rsidRPr="006421D7">
        <w:rPr>
          <w:lang w:val="fr-FR"/>
        </w:rPr>
        <w:t xml:space="preserve">stère </w:t>
      </w:r>
      <w:r w:rsidR="00A004BA" w:rsidRPr="006421D7">
        <w:rPr>
          <w:lang w:val="fr-FR"/>
        </w:rPr>
        <w:t xml:space="preserve">de la fonction publique, </w:t>
      </w:r>
      <w:r w:rsidR="00AA4B0C" w:rsidRPr="006421D7">
        <w:rPr>
          <w:lang w:val="fr-FR"/>
        </w:rPr>
        <w:t xml:space="preserve">du travail </w:t>
      </w:r>
      <w:r w:rsidR="00A004BA" w:rsidRPr="006421D7">
        <w:rPr>
          <w:lang w:val="fr-FR"/>
        </w:rPr>
        <w:t>et de la modernisation de l’administration</w:t>
      </w:r>
      <w:r w:rsidR="00AA4B0C" w:rsidRPr="006421D7">
        <w:rPr>
          <w:lang w:val="fr-FR"/>
        </w:rPr>
        <w:t xml:space="preserve"> r</w:t>
      </w:r>
      <w:r w:rsidR="00C9013B" w:rsidRPr="006421D7">
        <w:rPr>
          <w:lang w:val="fr-FR"/>
        </w:rPr>
        <w:t>é</w:t>
      </w:r>
      <w:r w:rsidR="00AA4B0C" w:rsidRPr="006421D7">
        <w:rPr>
          <w:lang w:val="fr-FR"/>
        </w:rPr>
        <w:t>glementant l</w:t>
      </w:r>
      <w:r w:rsidR="00E45627" w:rsidRPr="006421D7">
        <w:rPr>
          <w:lang w:val="fr-FR"/>
        </w:rPr>
        <w:t>’</w:t>
      </w:r>
      <w:r w:rsidR="00AA4B0C" w:rsidRPr="006421D7">
        <w:rPr>
          <w:lang w:val="fr-FR"/>
        </w:rPr>
        <w:t>emploi des domestiques de maison des deux sexes et incriminant les formes qui enfreignent les lois régissant le travail, notamment les différentes conventions ratifiées par la Mauritanie et le Code du travail mauritanien.</w:t>
      </w:r>
    </w:p>
    <w:p w:rsidR="00ED05DA" w:rsidRPr="00386735" w:rsidRDefault="00096DE1" w:rsidP="00F200BF">
      <w:pPr>
        <w:pStyle w:val="SingleTxtG"/>
        <w:rPr>
          <w:lang w:val="fr-FR"/>
        </w:rPr>
      </w:pPr>
      <w:r>
        <w:rPr>
          <w:lang w:val="fr-FR"/>
        </w:rPr>
        <w:t>6.</w:t>
      </w:r>
      <w:r>
        <w:rPr>
          <w:lang w:val="fr-FR"/>
        </w:rPr>
        <w:tab/>
      </w:r>
      <w:r w:rsidR="004C396C">
        <w:rPr>
          <w:lang w:val="fr-FR"/>
        </w:rPr>
        <w:t xml:space="preserve">Le Comité </w:t>
      </w:r>
      <w:r w:rsidR="00472F80">
        <w:rPr>
          <w:lang w:val="fr-FR"/>
        </w:rPr>
        <w:t>se félicite</w:t>
      </w:r>
      <w:r w:rsidR="00ED05DA">
        <w:rPr>
          <w:lang w:val="fr-FR"/>
        </w:rPr>
        <w:t xml:space="preserve"> </w:t>
      </w:r>
      <w:r w:rsidR="00D5673E">
        <w:rPr>
          <w:lang w:val="fr-FR"/>
        </w:rPr>
        <w:t>en outre</w:t>
      </w:r>
      <w:r w:rsidR="00472F80">
        <w:rPr>
          <w:lang w:val="fr-FR"/>
        </w:rPr>
        <w:t xml:space="preserve"> de</w:t>
      </w:r>
      <w:r w:rsidR="00ED05DA">
        <w:rPr>
          <w:lang w:val="fr-FR"/>
        </w:rPr>
        <w:t xml:space="preserve"> la coopération de l’</w:t>
      </w:r>
      <w:r w:rsidR="008331A4">
        <w:rPr>
          <w:lang w:val="fr-FR"/>
        </w:rPr>
        <w:t>É</w:t>
      </w:r>
      <w:r w:rsidR="004914A7">
        <w:rPr>
          <w:lang w:val="fr-FR"/>
        </w:rPr>
        <w:t xml:space="preserve">tat partie avec </w:t>
      </w:r>
      <w:r w:rsidR="00E47BA7">
        <w:rPr>
          <w:lang w:val="fr-FR"/>
        </w:rPr>
        <w:t xml:space="preserve">la </w:t>
      </w:r>
      <w:r w:rsidR="00ED05DA">
        <w:rPr>
          <w:lang w:val="fr-FR"/>
        </w:rPr>
        <w:t xml:space="preserve">Rapporteuse spéciale sur les </w:t>
      </w:r>
      <w:r w:rsidR="00755884">
        <w:rPr>
          <w:lang w:val="fr-FR"/>
        </w:rPr>
        <w:t>formes contemporaines d’esclavage, y compris leurs ca</w:t>
      </w:r>
      <w:r w:rsidR="00C55E72">
        <w:rPr>
          <w:lang w:val="fr-FR"/>
        </w:rPr>
        <w:t>u</w:t>
      </w:r>
      <w:r w:rsidR="00755884">
        <w:rPr>
          <w:lang w:val="fr-FR"/>
        </w:rPr>
        <w:t>ses et leurs conséquences</w:t>
      </w:r>
      <w:r w:rsidR="008331A4">
        <w:rPr>
          <w:lang w:val="fr-FR"/>
        </w:rPr>
        <w:t>,</w:t>
      </w:r>
      <w:r w:rsidR="00ED05DA">
        <w:rPr>
          <w:lang w:val="fr-FR"/>
        </w:rPr>
        <w:t xml:space="preserve"> </w:t>
      </w:r>
      <w:r w:rsidR="00E47BA7">
        <w:rPr>
          <w:lang w:val="fr-FR"/>
        </w:rPr>
        <w:t xml:space="preserve">et </w:t>
      </w:r>
      <w:r w:rsidR="00472F80">
        <w:rPr>
          <w:lang w:val="fr-FR"/>
        </w:rPr>
        <w:t xml:space="preserve">avec le Rapporteur spécial sur </w:t>
      </w:r>
      <w:r w:rsidR="00E47BA7">
        <w:rPr>
          <w:lang w:val="fr-FR"/>
        </w:rPr>
        <w:t>l</w:t>
      </w:r>
      <w:r w:rsidR="00472F80">
        <w:rPr>
          <w:lang w:val="fr-FR"/>
        </w:rPr>
        <w:t>e</w:t>
      </w:r>
      <w:r w:rsidR="00E47BA7">
        <w:rPr>
          <w:lang w:val="fr-FR"/>
        </w:rPr>
        <w:t>s formes contemporaines de racisme, de discrimination raciale, de xénophob</w:t>
      </w:r>
      <w:r w:rsidR="00472F80">
        <w:rPr>
          <w:lang w:val="fr-FR"/>
        </w:rPr>
        <w:t>i</w:t>
      </w:r>
      <w:r w:rsidR="00E47BA7">
        <w:rPr>
          <w:lang w:val="fr-FR"/>
        </w:rPr>
        <w:t>e et de l’intolérance qui y est associée</w:t>
      </w:r>
      <w:r w:rsidR="00416516">
        <w:rPr>
          <w:lang w:val="fr-FR"/>
        </w:rPr>
        <w:t xml:space="preserve">. </w:t>
      </w:r>
    </w:p>
    <w:p w:rsidR="00ED05DA" w:rsidRPr="00386735" w:rsidRDefault="00ED05DA" w:rsidP="00ED05DA">
      <w:pPr>
        <w:pStyle w:val="H1G"/>
        <w:rPr>
          <w:lang w:val="fr-FR"/>
        </w:rPr>
      </w:pPr>
      <w:r w:rsidRPr="00386735">
        <w:rPr>
          <w:lang w:val="fr-FR"/>
        </w:rPr>
        <w:tab/>
        <w:t>C.</w:t>
      </w:r>
      <w:r w:rsidRPr="00386735">
        <w:rPr>
          <w:lang w:val="fr-FR"/>
        </w:rPr>
        <w:tab/>
        <w:t>Principaux sujets de préoccupation et recommandations</w:t>
      </w:r>
    </w:p>
    <w:p w:rsidR="00ED05DA" w:rsidRPr="00386735" w:rsidRDefault="00ED05DA" w:rsidP="00ED05DA">
      <w:pPr>
        <w:pStyle w:val="H23G"/>
        <w:rPr>
          <w:lang w:val="fr-FR"/>
        </w:rPr>
      </w:pPr>
      <w:r>
        <w:rPr>
          <w:lang w:val="fr-FR"/>
        </w:rPr>
        <w:tab/>
      </w:r>
      <w:r>
        <w:rPr>
          <w:lang w:val="fr-FR"/>
        </w:rPr>
        <w:tab/>
      </w:r>
      <w:r w:rsidRPr="00386735">
        <w:rPr>
          <w:lang w:val="fr-FR"/>
        </w:rPr>
        <w:t xml:space="preserve">Définition </w:t>
      </w:r>
      <w:r w:rsidR="00734E7A">
        <w:rPr>
          <w:lang w:val="fr-FR"/>
        </w:rPr>
        <w:t xml:space="preserve">et incrimination </w:t>
      </w:r>
      <w:r w:rsidRPr="00386735">
        <w:rPr>
          <w:lang w:val="fr-FR"/>
        </w:rPr>
        <w:t>de la torture</w:t>
      </w:r>
      <w:r w:rsidR="00734E7A">
        <w:rPr>
          <w:lang w:val="fr-FR"/>
        </w:rPr>
        <w:t xml:space="preserve"> </w:t>
      </w:r>
    </w:p>
    <w:p w:rsidR="00D51F68" w:rsidRDefault="008C1B74" w:rsidP="00771915">
      <w:pPr>
        <w:pStyle w:val="SingleTxtG"/>
        <w:rPr>
          <w:lang w:val="fr-FR"/>
        </w:rPr>
      </w:pPr>
      <w:r w:rsidRPr="00635CB1">
        <w:rPr>
          <w:bCs/>
          <w:lang w:val="fr-FR"/>
        </w:rPr>
        <w:t>7</w:t>
      </w:r>
      <w:r w:rsidR="00356685" w:rsidRPr="00635CB1">
        <w:rPr>
          <w:bCs/>
          <w:lang w:val="fr-FR"/>
        </w:rPr>
        <w:t>.</w:t>
      </w:r>
      <w:r w:rsidR="002A440C">
        <w:rPr>
          <w:lang w:val="fr-FR"/>
        </w:rPr>
        <w:tab/>
        <w:t xml:space="preserve">Le Comité demeure préoccupé </w:t>
      </w:r>
      <w:r w:rsidR="00FA0AB4">
        <w:rPr>
          <w:lang w:val="fr-FR"/>
        </w:rPr>
        <w:t xml:space="preserve">par le fait </w:t>
      </w:r>
      <w:r w:rsidR="002A440C">
        <w:rPr>
          <w:lang w:val="fr-FR"/>
        </w:rPr>
        <w:t>que</w:t>
      </w:r>
      <w:r w:rsidR="00FA0AB4">
        <w:rPr>
          <w:lang w:val="fr-FR"/>
        </w:rPr>
        <w:t>,</w:t>
      </w:r>
      <w:r w:rsidR="002A440C">
        <w:rPr>
          <w:lang w:val="fr-FR"/>
        </w:rPr>
        <w:t xml:space="preserve"> plus de huit ans après son adhésion à la Convention, l’État partie n’a toujours pas adopté de disposition pénale qui définisse et criminalise explicitement la torture comme infraction pénale </w:t>
      </w:r>
      <w:r w:rsidR="002A440C" w:rsidRPr="00D4762D">
        <w:rPr>
          <w:lang w:val="fr-FR"/>
        </w:rPr>
        <w:t>autonome</w:t>
      </w:r>
      <w:r w:rsidR="002A440C">
        <w:rPr>
          <w:lang w:val="fr-FR"/>
        </w:rPr>
        <w:t>, et que les actes de torture ne puissent être sanctionnés qu</w:t>
      </w:r>
      <w:r w:rsidR="00E45627">
        <w:rPr>
          <w:lang w:val="fr-FR"/>
        </w:rPr>
        <w:t>’</w:t>
      </w:r>
      <w:r w:rsidR="002A440C">
        <w:rPr>
          <w:lang w:val="fr-FR"/>
        </w:rPr>
        <w:t xml:space="preserve">en tant que </w:t>
      </w:r>
      <w:r w:rsidR="002A440C" w:rsidRPr="00DD0964">
        <w:rPr>
          <w:lang w:val="fr-FR"/>
        </w:rPr>
        <w:t>coups et blessures, ou homicide</w:t>
      </w:r>
      <w:r w:rsidR="002A440C" w:rsidRPr="00D4762D">
        <w:rPr>
          <w:lang w:val="fr-FR"/>
        </w:rPr>
        <w:t xml:space="preserve"> (art.</w:t>
      </w:r>
      <w:r w:rsidR="00763800" w:rsidRPr="00D4762D">
        <w:rPr>
          <w:lang w:val="fr-FR"/>
        </w:rPr>
        <w:t> </w:t>
      </w:r>
      <w:r w:rsidR="002A440C" w:rsidRPr="00D4762D">
        <w:rPr>
          <w:lang w:val="fr-FR"/>
        </w:rPr>
        <w:t>1</w:t>
      </w:r>
      <w:r w:rsidR="00D51F68" w:rsidRPr="00D4762D">
        <w:rPr>
          <w:lang w:val="fr-FR"/>
        </w:rPr>
        <w:t xml:space="preserve"> et</w:t>
      </w:r>
      <w:r w:rsidR="00763800" w:rsidRPr="00D4762D">
        <w:rPr>
          <w:lang w:val="fr-FR"/>
        </w:rPr>
        <w:t> </w:t>
      </w:r>
      <w:r w:rsidR="00D51F68" w:rsidRPr="00D4762D">
        <w:rPr>
          <w:lang w:val="fr-FR"/>
        </w:rPr>
        <w:t>4</w:t>
      </w:r>
      <w:r w:rsidR="002A440C">
        <w:rPr>
          <w:lang w:val="fr-FR"/>
        </w:rPr>
        <w:t>).</w:t>
      </w:r>
      <w:r w:rsidR="00E45627">
        <w:rPr>
          <w:lang w:val="fr-FR"/>
        </w:rPr>
        <w:t xml:space="preserve"> </w:t>
      </w:r>
      <w:r w:rsidR="00734E7A">
        <w:rPr>
          <w:lang w:val="fr-FR"/>
        </w:rPr>
        <w:t xml:space="preserve">Malgré </w:t>
      </w:r>
      <w:r w:rsidR="00734E7A" w:rsidRPr="00267203">
        <w:rPr>
          <w:lang w:val="fr-FR"/>
        </w:rPr>
        <w:t>l</w:t>
      </w:r>
      <w:r w:rsidR="00E45627">
        <w:rPr>
          <w:lang w:val="fr-FR"/>
        </w:rPr>
        <w:t>’</w:t>
      </w:r>
      <w:r w:rsidR="00734E7A" w:rsidRPr="00267203">
        <w:rPr>
          <w:lang w:val="fr-FR"/>
        </w:rPr>
        <w:t>informat</w:t>
      </w:r>
      <w:r w:rsidR="00734E7A">
        <w:rPr>
          <w:lang w:val="fr-FR"/>
        </w:rPr>
        <w:t>ion</w:t>
      </w:r>
      <w:r w:rsidR="00FA0AB4">
        <w:rPr>
          <w:lang w:val="fr-FR"/>
        </w:rPr>
        <w:t>,</w:t>
      </w:r>
      <w:r w:rsidR="00734E7A">
        <w:rPr>
          <w:lang w:val="fr-FR"/>
        </w:rPr>
        <w:t xml:space="preserve"> communiquée oralement par la délégation de l’</w:t>
      </w:r>
      <w:r w:rsidR="006073C6">
        <w:rPr>
          <w:lang w:val="fr-FR"/>
        </w:rPr>
        <w:t>État</w:t>
      </w:r>
      <w:r w:rsidR="00734E7A" w:rsidRPr="00267203">
        <w:rPr>
          <w:lang w:val="fr-FR"/>
        </w:rPr>
        <w:t xml:space="preserve"> partie, selon laquelle</w:t>
      </w:r>
      <w:r w:rsidR="00E45627">
        <w:rPr>
          <w:lang w:val="fr-FR"/>
        </w:rPr>
        <w:t xml:space="preserve"> </w:t>
      </w:r>
      <w:r w:rsidR="00734E7A" w:rsidRPr="00267203">
        <w:rPr>
          <w:lang w:val="fr-FR"/>
        </w:rPr>
        <w:t xml:space="preserve">une loi adoptée en mars 2013 criminaliserait en son article </w:t>
      </w:r>
      <w:r w:rsidR="00FA0AB4">
        <w:rPr>
          <w:lang w:val="fr-FR"/>
        </w:rPr>
        <w:t>premier</w:t>
      </w:r>
      <w:r w:rsidR="00734E7A" w:rsidRPr="00267203">
        <w:rPr>
          <w:lang w:val="fr-FR"/>
        </w:rPr>
        <w:t xml:space="preserve"> la torture</w:t>
      </w:r>
      <w:r w:rsidR="00FF41F5">
        <w:rPr>
          <w:lang w:val="fr-FR"/>
        </w:rPr>
        <w:t xml:space="preserve"> et l’esclavage</w:t>
      </w:r>
      <w:r w:rsidR="00734E7A" w:rsidRPr="00267203">
        <w:rPr>
          <w:lang w:val="fr-FR"/>
        </w:rPr>
        <w:t xml:space="preserve"> et érigerait </w:t>
      </w:r>
      <w:r w:rsidR="00FF41F5">
        <w:rPr>
          <w:lang w:val="fr-FR"/>
        </w:rPr>
        <w:t>ces</w:t>
      </w:r>
      <w:r w:rsidR="00734E7A" w:rsidRPr="00267203">
        <w:rPr>
          <w:lang w:val="fr-FR"/>
        </w:rPr>
        <w:t xml:space="preserve"> infraction</w:t>
      </w:r>
      <w:r w:rsidR="00FF41F5">
        <w:rPr>
          <w:lang w:val="fr-FR"/>
        </w:rPr>
        <w:t>s</w:t>
      </w:r>
      <w:r w:rsidR="00734E7A" w:rsidRPr="00267203">
        <w:rPr>
          <w:lang w:val="fr-FR"/>
        </w:rPr>
        <w:t xml:space="preserve"> en crime contre l</w:t>
      </w:r>
      <w:r w:rsidR="00E45627">
        <w:rPr>
          <w:lang w:val="fr-FR"/>
        </w:rPr>
        <w:t>’</w:t>
      </w:r>
      <w:r w:rsidR="00734E7A" w:rsidRPr="00267203">
        <w:rPr>
          <w:lang w:val="fr-FR"/>
        </w:rPr>
        <w:t>humanité, l</w:t>
      </w:r>
      <w:r w:rsidR="00734E7A">
        <w:rPr>
          <w:lang w:val="fr-FR"/>
        </w:rPr>
        <w:t xml:space="preserve">e Comité demeure préoccupé </w:t>
      </w:r>
      <w:r w:rsidR="00206ACF">
        <w:rPr>
          <w:lang w:val="fr-FR"/>
        </w:rPr>
        <w:t>par la possibilité</w:t>
      </w:r>
      <w:r w:rsidR="00471A67" w:rsidRPr="00DD0964">
        <w:rPr>
          <w:lang w:val="fr-FR"/>
        </w:rPr>
        <w:t xml:space="preserve"> </w:t>
      </w:r>
      <w:r w:rsidR="00DE49A1" w:rsidRPr="00DD0964">
        <w:rPr>
          <w:lang w:val="fr-FR"/>
        </w:rPr>
        <w:t>qu’</w:t>
      </w:r>
      <w:r w:rsidR="00734E7A" w:rsidRPr="00DD0964">
        <w:rPr>
          <w:lang w:val="fr-FR"/>
        </w:rPr>
        <w:t>un vide juridique propice à l</w:t>
      </w:r>
      <w:r w:rsidR="00E45627" w:rsidRPr="00DD0964">
        <w:rPr>
          <w:lang w:val="fr-FR"/>
        </w:rPr>
        <w:t>’</w:t>
      </w:r>
      <w:r w:rsidR="00734E7A" w:rsidRPr="00DD0964">
        <w:rPr>
          <w:lang w:val="fr-FR"/>
        </w:rPr>
        <w:t xml:space="preserve">impunité perdure </w:t>
      </w:r>
      <w:r w:rsidR="00471A67" w:rsidRPr="00DD0964">
        <w:rPr>
          <w:lang w:val="fr-FR"/>
        </w:rPr>
        <w:t>si la loi précitée n’est pas promulguée</w:t>
      </w:r>
      <w:r w:rsidR="00DD0964">
        <w:rPr>
          <w:lang w:val="fr-FR"/>
        </w:rPr>
        <w:t xml:space="preserve"> </w:t>
      </w:r>
      <w:r w:rsidR="00734E7A" w:rsidRPr="00352E5C">
        <w:rPr>
          <w:lang w:val="fr-FR"/>
        </w:rPr>
        <w:t>(art.</w:t>
      </w:r>
      <w:r w:rsidR="00763800" w:rsidRPr="00352E5C">
        <w:rPr>
          <w:lang w:val="fr-FR"/>
        </w:rPr>
        <w:t> </w:t>
      </w:r>
      <w:r w:rsidR="00734E7A" w:rsidRPr="00352E5C">
        <w:rPr>
          <w:lang w:val="fr-FR"/>
        </w:rPr>
        <w:t>1,</w:t>
      </w:r>
      <w:r w:rsidR="00734E7A" w:rsidRPr="00352E5C">
        <w:rPr>
          <w:vertAlign w:val="superscript"/>
          <w:lang w:val="fr-FR"/>
        </w:rPr>
        <w:t xml:space="preserve"> </w:t>
      </w:r>
      <w:r w:rsidR="00734E7A" w:rsidRPr="00352E5C">
        <w:rPr>
          <w:lang w:val="fr-FR"/>
        </w:rPr>
        <w:t>4 et 14).</w:t>
      </w:r>
    </w:p>
    <w:p w:rsidR="00734E7A" w:rsidRPr="006008FF" w:rsidRDefault="003833D2" w:rsidP="00771915">
      <w:pPr>
        <w:pStyle w:val="SingleTxtG"/>
        <w:rPr>
          <w:b/>
          <w:bCs/>
          <w:lang w:val="fr-FR"/>
        </w:rPr>
      </w:pPr>
      <w:r w:rsidRPr="00771915">
        <w:rPr>
          <w:b/>
          <w:bCs/>
          <w:lang w:val="fr-FR"/>
        </w:rPr>
        <w:tab/>
      </w:r>
      <w:r w:rsidR="00734E7A" w:rsidRPr="00771915">
        <w:rPr>
          <w:b/>
          <w:bCs/>
          <w:lang w:eastAsia="en-GB"/>
        </w:rPr>
        <w:t>a)</w:t>
      </w:r>
      <w:r w:rsidR="00734E7A" w:rsidRPr="00771915">
        <w:rPr>
          <w:b/>
          <w:bCs/>
          <w:lang w:eastAsia="en-GB"/>
        </w:rPr>
        <w:tab/>
      </w:r>
      <w:r w:rsidR="00734E7A" w:rsidRPr="00771915">
        <w:rPr>
          <w:b/>
          <w:bCs/>
        </w:rPr>
        <w:t>L</w:t>
      </w:r>
      <w:r w:rsidR="00252627" w:rsidRPr="00771915">
        <w:rPr>
          <w:b/>
          <w:bCs/>
        </w:rPr>
        <w:t xml:space="preserve">e </w:t>
      </w:r>
      <w:r w:rsidR="00F12B4B" w:rsidRPr="00771915">
        <w:rPr>
          <w:b/>
          <w:bCs/>
        </w:rPr>
        <w:t xml:space="preserve">Comité recommande à l’État partie </w:t>
      </w:r>
      <w:r w:rsidR="008C1B74" w:rsidRPr="00771915">
        <w:rPr>
          <w:b/>
          <w:bCs/>
        </w:rPr>
        <w:t>d’amender son Code pénal</w:t>
      </w:r>
      <w:r w:rsidR="00F12B4B" w:rsidRPr="00771915">
        <w:rPr>
          <w:b/>
          <w:bCs/>
        </w:rPr>
        <w:t xml:space="preserve"> afin d’</w:t>
      </w:r>
      <w:r w:rsidR="008C1B74" w:rsidRPr="00771915">
        <w:rPr>
          <w:b/>
          <w:bCs/>
        </w:rPr>
        <w:t xml:space="preserve">y </w:t>
      </w:r>
      <w:r w:rsidR="00F12B4B" w:rsidRPr="00771915">
        <w:rPr>
          <w:b/>
          <w:bCs/>
        </w:rPr>
        <w:t xml:space="preserve">insérer </w:t>
      </w:r>
      <w:r w:rsidR="008C1B74" w:rsidRPr="00771915">
        <w:rPr>
          <w:b/>
          <w:bCs/>
        </w:rPr>
        <w:t>une définition de la torture q</w:t>
      </w:r>
      <w:r w:rsidR="008C1B74" w:rsidRPr="00771915">
        <w:rPr>
          <w:rStyle w:val="SingleTxtGChar"/>
          <w:b/>
          <w:bCs/>
        </w:rPr>
        <w:t xml:space="preserve">ui intègre </w:t>
      </w:r>
      <w:r w:rsidR="00F12B4B" w:rsidRPr="00771915">
        <w:rPr>
          <w:b/>
          <w:bCs/>
        </w:rPr>
        <w:t>tous les éléments de la définition de la torture contenus dans</w:t>
      </w:r>
      <w:r w:rsidR="00E45627" w:rsidRPr="00771915">
        <w:rPr>
          <w:b/>
          <w:bCs/>
        </w:rPr>
        <w:t xml:space="preserve"> </w:t>
      </w:r>
      <w:r w:rsidR="00F12B4B" w:rsidRPr="00771915">
        <w:rPr>
          <w:b/>
          <w:bCs/>
        </w:rPr>
        <w:t>l’article premier de la Convention, ainsi que des dispositions incriminant et san</w:t>
      </w:r>
      <w:r w:rsidR="00F12B4B" w:rsidRPr="00A84FD6">
        <w:rPr>
          <w:b/>
          <w:bCs/>
          <w:lang w:val="fr-FR"/>
        </w:rPr>
        <w:t>ctionnant les actes de torture par des peines proportionnées à leur gravité</w:t>
      </w:r>
      <w:r w:rsidR="00734E7A" w:rsidRPr="006008FF">
        <w:rPr>
          <w:b/>
          <w:bCs/>
          <w:lang w:val="fr-FR"/>
        </w:rPr>
        <w:t>;</w:t>
      </w:r>
    </w:p>
    <w:p w:rsidR="00734E7A" w:rsidRDefault="00734E7A" w:rsidP="00601028">
      <w:pPr>
        <w:pStyle w:val="SingleTxtG"/>
        <w:ind w:firstLine="567"/>
        <w:rPr>
          <w:b/>
          <w:lang w:val="fr-FR"/>
        </w:rPr>
      </w:pPr>
      <w:r>
        <w:rPr>
          <w:b/>
          <w:lang w:val="fr-FR"/>
        </w:rPr>
        <w:t>b)</w:t>
      </w:r>
      <w:r>
        <w:rPr>
          <w:b/>
          <w:lang w:val="fr-FR"/>
        </w:rPr>
        <w:tab/>
      </w:r>
      <w:r w:rsidRPr="0030532B">
        <w:rPr>
          <w:b/>
          <w:lang w:val="fr-FR"/>
        </w:rPr>
        <w:t>L’</w:t>
      </w:r>
      <w:r>
        <w:rPr>
          <w:b/>
          <w:lang w:val="fr-FR"/>
        </w:rPr>
        <w:t>É</w:t>
      </w:r>
      <w:r w:rsidRPr="0030532B">
        <w:rPr>
          <w:b/>
          <w:lang w:val="fr-FR"/>
        </w:rPr>
        <w:t>tat partie devrait</w:t>
      </w:r>
      <w:r>
        <w:rPr>
          <w:b/>
          <w:lang w:val="fr-FR"/>
        </w:rPr>
        <w:t xml:space="preserve"> accélérer le processus de réforme législative et</w:t>
      </w:r>
      <w:r w:rsidRPr="0030532B">
        <w:rPr>
          <w:b/>
          <w:lang w:val="fr-FR"/>
        </w:rPr>
        <w:t xml:space="preserve"> </w:t>
      </w:r>
      <w:r>
        <w:rPr>
          <w:b/>
          <w:lang w:val="fr-FR"/>
        </w:rPr>
        <w:t>prendre les mesures nécessaires pour promulguer et publier la loi de mars</w:t>
      </w:r>
      <w:r w:rsidR="00475BBC">
        <w:rPr>
          <w:b/>
          <w:lang w:val="fr-FR"/>
        </w:rPr>
        <w:t> </w:t>
      </w:r>
      <w:r>
        <w:rPr>
          <w:b/>
          <w:lang w:val="fr-FR"/>
        </w:rPr>
        <w:t xml:space="preserve">2013 susmentionnée afin de combler </w:t>
      </w:r>
      <w:r w:rsidR="00601028">
        <w:rPr>
          <w:b/>
          <w:lang w:val="fr-FR"/>
        </w:rPr>
        <w:t>l</w:t>
      </w:r>
      <w:r>
        <w:rPr>
          <w:b/>
          <w:lang w:val="fr-FR"/>
        </w:rPr>
        <w:t>e vide juridique actuel. Il devrait en outre déployer tous les efforts voulus pour diffuser largement cette loi et veiller à ce qu’elle fasse l’objet d’une formation spécifique du personnel de sécurité et du personnel chargé de l’application des lois.</w:t>
      </w:r>
    </w:p>
    <w:p w:rsidR="00267203" w:rsidRPr="00BD0A88" w:rsidRDefault="003833D2" w:rsidP="003833D2">
      <w:pPr>
        <w:pStyle w:val="H23G"/>
        <w:rPr>
          <w:lang w:val="fr-FR"/>
        </w:rPr>
      </w:pPr>
      <w:r>
        <w:rPr>
          <w:lang w:val="fr-FR"/>
        </w:rPr>
        <w:tab/>
      </w:r>
      <w:r>
        <w:rPr>
          <w:lang w:val="fr-FR"/>
        </w:rPr>
        <w:tab/>
      </w:r>
      <w:r w:rsidR="007F64AB" w:rsidRPr="00BD0A88">
        <w:rPr>
          <w:lang w:val="fr-FR"/>
        </w:rPr>
        <w:t>A</w:t>
      </w:r>
      <w:r w:rsidR="00267203" w:rsidRPr="00BD0A88">
        <w:t>llégations de torture et mauvais traitements</w:t>
      </w:r>
    </w:p>
    <w:p w:rsidR="00267203" w:rsidRDefault="00B9259A" w:rsidP="00A10DE6">
      <w:pPr>
        <w:pStyle w:val="SingleTxtG"/>
        <w:rPr>
          <w:lang w:val="fr-FR"/>
        </w:rPr>
      </w:pPr>
      <w:r>
        <w:rPr>
          <w:lang w:val="fr-FR"/>
        </w:rPr>
        <w:t>8.</w:t>
      </w:r>
      <w:r>
        <w:rPr>
          <w:lang w:val="fr-FR"/>
        </w:rPr>
        <w:tab/>
      </w:r>
      <w:r>
        <w:t>Le Comité a pris note avec satisfaction</w:t>
      </w:r>
      <w:r>
        <w:rPr>
          <w:lang w:val="fr-FR"/>
        </w:rPr>
        <w:t xml:space="preserve"> de l’article préliminaire </w:t>
      </w:r>
      <w:r w:rsidRPr="00A52516">
        <w:rPr>
          <w:lang w:val="fr-FR"/>
        </w:rPr>
        <w:t xml:space="preserve">de l’ordonnance n° 2007-36 (portant révision de </w:t>
      </w:r>
      <w:r w:rsidRPr="00DD0964">
        <w:rPr>
          <w:lang w:val="fr-FR"/>
        </w:rPr>
        <w:t>l’ordonnance n° 83-163</w:t>
      </w:r>
      <w:r w:rsidRPr="00A52516">
        <w:rPr>
          <w:lang w:val="fr-FR"/>
        </w:rPr>
        <w:t xml:space="preserve"> du 9 juillet 1983 portant institution d’un code de procédure pénale), qui dispose que «l’aveu obtenu par la torture, la violence ou la contrainte n’a pas de valeur»,</w:t>
      </w:r>
      <w:r>
        <w:rPr>
          <w:lang w:val="fr-FR"/>
        </w:rPr>
        <w:t xml:space="preserve"> ainsi que de l’information selon laquelle la Cour suprême aurait rejeté en 2007 des aveux obtenus sous la torture, dans le procès dit des «salafistes», permettant des réductions de peine pour certains accusés et l’acquittement pour d’autres.</w:t>
      </w:r>
      <w:r w:rsidR="00E45627">
        <w:rPr>
          <w:lang w:val="fr-FR"/>
        </w:rPr>
        <w:t xml:space="preserve"> </w:t>
      </w:r>
      <w:r w:rsidR="001A31E0">
        <w:rPr>
          <w:lang w:val="fr-FR"/>
        </w:rPr>
        <w:t xml:space="preserve">Le Comité relève </w:t>
      </w:r>
      <w:r w:rsidR="00BC08C6">
        <w:rPr>
          <w:lang w:val="fr-FR"/>
        </w:rPr>
        <w:t xml:space="preserve">cependant </w:t>
      </w:r>
      <w:r w:rsidR="00A45EB3">
        <w:rPr>
          <w:lang w:val="fr-FR"/>
        </w:rPr>
        <w:t>que</w:t>
      </w:r>
      <w:r w:rsidR="003646C9">
        <w:rPr>
          <w:lang w:val="fr-FR"/>
        </w:rPr>
        <w:t xml:space="preserve"> </w:t>
      </w:r>
      <w:r w:rsidR="00A45EB3">
        <w:rPr>
          <w:lang w:val="fr-FR"/>
        </w:rPr>
        <w:t xml:space="preserve">cette information </w:t>
      </w:r>
      <w:r w:rsidR="00734E7A">
        <w:rPr>
          <w:lang w:val="fr-FR"/>
        </w:rPr>
        <w:t>indique que</w:t>
      </w:r>
      <w:r w:rsidR="00A45EB3">
        <w:rPr>
          <w:lang w:val="fr-FR"/>
        </w:rPr>
        <w:t xml:space="preserve"> </w:t>
      </w:r>
      <w:r w:rsidR="001A31E0">
        <w:rPr>
          <w:lang w:val="fr-FR"/>
        </w:rPr>
        <w:t>la</w:t>
      </w:r>
      <w:r>
        <w:rPr>
          <w:lang w:val="fr-FR"/>
        </w:rPr>
        <w:t xml:space="preserve"> </w:t>
      </w:r>
      <w:r w:rsidR="00A45EB3">
        <w:rPr>
          <w:lang w:val="fr-FR"/>
        </w:rPr>
        <w:t>torture</w:t>
      </w:r>
      <w:r w:rsidR="000216B3">
        <w:rPr>
          <w:lang w:val="fr-FR"/>
        </w:rPr>
        <w:t xml:space="preserve"> et </w:t>
      </w:r>
      <w:r w:rsidR="00734E7A">
        <w:rPr>
          <w:lang w:val="fr-FR"/>
        </w:rPr>
        <w:t xml:space="preserve">les </w:t>
      </w:r>
      <w:r w:rsidR="000216B3">
        <w:rPr>
          <w:lang w:val="fr-FR"/>
        </w:rPr>
        <w:t xml:space="preserve">mauvais traitements </w:t>
      </w:r>
      <w:r w:rsidR="00734E7A">
        <w:rPr>
          <w:lang w:val="fr-FR"/>
        </w:rPr>
        <w:t xml:space="preserve">sont pratiqués </w:t>
      </w:r>
      <w:r w:rsidR="000216B3">
        <w:rPr>
          <w:lang w:val="fr-FR"/>
        </w:rPr>
        <w:t xml:space="preserve">en détention, </w:t>
      </w:r>
      <w:r w:rsidR="001A31E0">
        <w:rPr>
          <w:lang w:val="fr-FR"/>
        </w:rPr>
        <w:t>y compris dans des</w:t>
      </w:r>
      <w:r w:rsidR="000216B3">
        <w:rPr>
          <w:lang w:val="fr-FR"/>
        </w:rPr>
        <w:t xml:space="preserve"> lieux de détention non</w:t>
      </w:r>
      <w:r w:rsidR="003646C9">
        <w:rPr>
          <w:lang w:val="fr-FR"/>
        </w:rPr>
        <w:t xml:space="preserve"> officiels</w:t>
      </w:r>
      <w:r w:rsidR="000216B3">
        <w:rPr>
          <w:lang w:val="fr-FR"/>
        </w:rPr>
        <w:t>.</w:t>
      </w:r>
      <w:r w:rsidR="00E45627">
        <w:rPr>
          <w:lang w:val="fr-FR"/>
        </w:rPr>
        <w:t xml:space="preserve"> </w:t>
      </w:r>
      <w:r w:rsidR="000216B3">
        <w:rPr>
          <w:lang w:val="fr-FR"/>
        </w:rPr>
        <w:t xml:space="preserve">Tout en prenant note du fait que la </w:t>
      </w:r>
      <w:r w:rsidR="006073C6">
        <w:rPr>
          <w:lang w:val="fr-FR"/>
        </w:rPr>
        <w:t>loi</w:t>
      </w:r>
      <w:r w:rsidR="000216B3">
        <w:rPr>
          <w:lang w:val="fr-FR"/>
        </w:rPr>
        <w:t xml:space="preserve"> n°</w:t>
      </w:r>
      <w:r w:rsidR="00E34F1C">
        <w:rPr>
          <w:lang w:val="fr-FR"/>
        </w:rPr>
        <w:t> </w:t>
      </w:r>
      <w:r w:rsidR="000216B3">
        <w:rPr>
          <w:lang w:val="fr-FR"/>
        </w:rPr>
        <w:t>2010-</w:t>
      </w:r>
      <w:r w:rsidR="00EB7A19">
        <w:rPr>
          <w:lang w:val="fr-FR"/>
        </w:rPr>
        <w:t>0</w:t>
      </w:r>
      <w:r w:rsidR="000216B3">
        <w:rPr>
          <w:lang w:val="fr-FR"/>
        </w:rPr>
        <w:t>07 du</w:t>
      </w:r>
      <w:r w:rsidR="00E45627">
        <w:rPr>
          <w:lang w:val="fr-FR"/>
        </w:rPr>
        <w:t xml:space="preserve"> </w:t>
      </w:r>
      <w:r w:rsidR="000216B3">
        <w:rPr>
          <w:lang w:val="fr-FR"/>
        </w:rPr>
        <w:t>20 janvier 2010 portant statut de la p</w:t>
      </w:r>
      <w:r w:rsidR="00C50964">
        <w:rPr>
          <w:lang w:val="fr-FR"/>
        </w:rPr>
        <w:t xml:space="preserve">olice </w:t>
      </w:r>
      <w:r w:rsidR="00EB7A19">
        <w:rPr>
          <w:lang w:val="fr-FR"/>
        </w:rPr>
        <w:t xml:space="preserve">nationale </w:t>
      </w:r>
      <w:r w:rsidR="00C50964">
        <w:rPr>
          <w:lang w:val="fr-FR"/>
        </w:rPr>
        <w:t>prohibe</w:t>
      </w:r>
      <w:r w:rsidR="00687BCB">
        <w:rPr>
          <w:lang w:val="fr-FR"/>
        </w:rPr>
        <w:t xml:space="preserve">, </w:t>
      </w:r>
      <w:r w:rsidR="00687BCB" w:rsidRPr="00A52516">
        <w:rPr>
          <w:lang w:val="fr-FR"/>
        </w:rPr>
        <w:t xml:space="preserve">en son article 15, </w:t>
      </w:r>
      <w:r w:rsidR="00C50964" w:rsidRPr="00A52516">
        <w:rPr>
          <w:lang w:val="fr-FR"/>
        </w:rPr>
        <w:t>l</w:t>
      </w:r>
      <w:r w:rsidR="00E45627" w:rsidRPr="00A52516">
        <w:rPr>
          <w:lang w:val="fr-FR"/>
        </w:rPr>
        <w:t>’</w:t>
      </w:r>
      <w:r w:rsidR="00C50964" w:rsidRPr="00A52516">
        <w:rPr>
          <w:lang w:val="fr-FR"/>
        </w:rPr>
        <w:t>infliction</w:t>
      </w:r>
      <w:r w:rsidR="00E45627" w:rsidRPr="00A52516">
        <w:rPr>
          <w:lang w:val="fr-FR"/>
        </w:rPr>
        <w:t xml:space="preserve"> </w:t>
      </w:r>
      <w:r w:rsidR="00C50964" w:rsidRPr="00A52516">
        <w:rPr>
          <w:lang w:val="fr-FR"/>
        </w:rPr>
        <w:t>de</w:t>
      </w:r>
      <w:r w:rsidR="00FA2F80" w:rsidRPr="00A52516">
        <w:rPr>
          <w:lang w:val="fr-FR"/>
        </w:rPr>
        <w:t xml:space="preserve"> «</w:t>
      </w:r>
      <w:r w:rsidR="000216B3" w:rsidRPr="00A52516">
        <w:rPr>
          <w:lang w:val="fr-FR"/>
        </w:rPr>
        <w:t>traitements cruels ou dégradants constituant une violation des droits de la personne</w:t>
      </w:r>
      <w:r w:rsidR="00C50964" w:rsidRPr="00A52516">
        <w:rPr>
          <w:lang w:val="fr-FR"/>
        </w:rPr>
        <w:t>»</w:t>
      </w:r>
      <w:r w:rsidR="000216B3" w:rsidRPr="00A52516">
        <w:rPr>
          <w:lang w:val="fr-FR"/>
        </w:rPr>
        <w:t>,</w:t>
      </w:r>
      <w:r w:rsidR="000216B3">
        <w:rPr>
          <w:lang w:val="fr-FR"/>
        </w:rPr>
        <w:t xml:space="preserve"> </w:t>
      </w:r>
      <w:r w:rsidR="00C50964">
        <w:rPr>
          <w:lang w:val="fr-FR"/>
        </w:rPr>
        <w:t xml:space="preserve">le Comité est </w:t>
      </w:r>
      <w:r w:rsidR="00C50964">
        <w:t>particulièrement préoccupé par</w:t>
      </w:r>
      <w:r w:rsidR="00C50964">
        <w:rPr>
          <w:lang w:val="fr-FR"/>
        </w:rPr>
        <w:t xml:space="preserve"> des </w:t>
      </w:r>
      <w:r w:rsidR="00C50964" w:rsidRPr="00F56768">
        <w:rPr>
          <w:lang w:val="fr-FR"/>
        </w:rPr>
        <w:t>informations crédibles qu’il a reçues selon lesquelles</w:t>
      </w:r>
      <w:r w:rsidR="00F56768" w:rsidRPr="00F56768">
        <w:rPr>
          <w:lang w:val="fr-FR"/>
        </w:rPr>
        <w:t>,</w:t>
      </w:r>
      <w:r w:rsidR="00C50964" w:rsidRPr="00F56768">
        <w:rPr>
          <w:lang w:val="fr-FR"/>
        </w:rPr>
        <w:t xml:space="preserve"> depuis 2009,</w:t>
      </w:r>
      <w:r w:rsidR="00C50964">
        <w:rPr>
          <w:lang w:val="fr-FR"/>
        </w:rPr>
        <w:t xml:space="preserve"> au moins deux détenus seraient décédé</w:t>
      </w:r>
      <w:r w:rsidR="005C5574">
        <w:rPr>
          <w:lang w:val="fr-FR"/>
        </w:rPr>
        <w:t xml:space="preserve">s suite à des actes de torture </w:t>
      </w:r>
      <w:r w:rsidR="00267203">
        <w:rPr>
          <w:lang w:val="fr-FR"/>
        </w:rPr>
        <w:t>(</w:t>
      </w:r>
      <w:r w:rsidR="002A4FA2">
        <w:rPr>
          <w:lang w:val="fr-FR"/>
        </w:rPr>
        <w:t>art. </w:t>
      </w:r>
      <w:r w:rsidR="00267203">
        <w:rPr>
          <w:lang w:val="fr-FR"/>
        </w:rPr>
        <w:t>2, 11, 15 et 16).</w:t>
      </w:r>
    </w:p>
    <w:p w:rsidR="00267203" w:rsidRDefault="00267203" w:rsidP="00267203">
      <w:pPr>
        <w:pStyle w:val="SingleTxtG"/>
        <w:rPr>
          <w:b/>
          <w:lang w:val="fr-FR"/>
        </w:rPr>
      </w:pPr>
      <w:r>
        <w:rPr>
          <w:b/>
          <w:lang w:val="fr-FR"/>
        </w:rPr>
        <w:t>L’État partie devrait</w:t>
      </w:r>
      <w:r w:rsidR="006073C6">
        <w:rPr>
          <w:b/>
          <w:lang w:val="fr-FR"/>
        </w:rPr>
        <w:t>:</w:t>
      </w:r>
    </w:p>
    <w:p w:rsidR="00260278" w:rsidRDefault="00267203" w:rsidP="00F56768">
      <w:pPr>
        <w:pStyle w:val="SingleTxtG"/>
        <w:ind w:firstLine="567"/>
        <w:rPr>
          <w:b/>
        </w:rPr>
      </w:pPr>
      <w:r w:rsidRPr="00405085">
        <w:rPr>
          <w:b/>
          <w:lang w:val="fr-FR"/>
        </w:rPr>
        <w:t>a)</w:t>
      </w:r>
      <w:r>
        <w:rPr>
          <w:b/>
          <w:lang w:val="fr-FR"/>
        </w:rPr>
        <w:tab/>
        <w:t xml:space="preserve">Donner des instructions claires </w:t>
      </w:r>
      <w:r w:rsidR="007E1EE7">
        <w:rPr>
          <w:b/>
          <w:lang w:val="fr-FR"/>
        </w:rPr>
        <w:t xml:space="preserve">et formelles </w:t>
      </w:r>
      <w:r>
        <w:rPr>
          <w:b/>
          <w:lang w:val="fr-FR"/>
        </w:rPr>
        <w:t xml:space="preserve">aux responsables des forces de sécurité (police et gendarmerie) sur la prohibition absolue de la torture, sa pénalisation et sur le fait que </w:t>
      </w:r>
      <w:r w:rsidR="00260278">
        <w:rPr>
          <w:b/>
          <w:lang w:val="fr-FR"/>
        </w:rPr>
        <w:t xml:space="preserve">les auteurs de </w:t>
      </w:r>
      <w:r>
        <w:rPr>
          <w:b/>
          <w:lang w:val="fr-FR"/>
        </w:rPr>
        <w:t>tels actes seront poursuivis</w:t>
      </w:r>
      <w:r w:rsidR="00260278">
        <w:rPr>
          <w:b/>
          <w:lang w:val="fr-FR"/>
        </w:rPr>
        <w:t xml:space="preserve"> </w:t>
      </w:r>
      <w:r w:rsidR="00260278" w:rsidRPr="00977028">
        <w:rPr>
          <w:b/>
        </w:rPr>
        <w:t xml:space="preserve">et punis par des sanctions </w:t>
      </w:r>
      <w:r w:rsidR="00260278">
        <w:rPr>
          <w:b/>
        </w:rPr>
        <w:t>proportionn</w:t>
      </w:r>
      <w:r w:rsidR="00601028">
        <w:rPr>
          <w:b/>
        </w:rPr>
        <w:t xml:space="preserve">ées </w:t>
      </w:r>
      <w:r w:rsidR="00260278" w:rsidRPr="00977028">
        <w:rPr>
          <w:b/>
        </w:rPr>
        <w:t xml:space="preserve">à la gravité </w:t>
      </w:r>
      <w:r w:rsidR="00260278">
        <w:rPr>
          <w:b/>
        </w:rPr>
        <w:t>du crime</w:t>
      </w:r>
      <w:r w:rsidR="00260278" w:rsidRPr="00977028">
        <w:rPr>
          <w:b/>
        </w:rPr>
        <w:t>;</w:t>
      </w:r>
    </w:p>
    <w:p w:rsidR="00267203" w:rsidRDefault="00267203" w:rsidP="00213274">
      <w:pPr>
        <w:pStyle w:val="SingleTxtG"/>
        <w:rPr>
          <w:b/>
          <w:lang w:val="fr-FR"/>
        </w:rPr>
      </w:pPr>
      <w:r>
        <w:rPr>
          <w:b/>
          <w:lang w:val="fr-FR"/>
        </w:rPr>
        <w:tab/>
      </w:r>
      <w:r w:rsidRPr="00405085">
        <w:rPr>
          <w:b/>
          <w:lang w:val="fr-FR"/>
        </w:rPr>
        <w:t>b)</w:t>
      </w:r>
      <w:r>
        <w:rPr>
          <w:b/>
          <w:lang w:val="fr-FR"/>
        </w:rPr>
        <w:tab/>
        <w:t>Prendre des mesures efficaces</w:t>
      </w:r>
      <w:r w:rsidRPr="008235E8">
        <w:rPr>
          <w:b/>
          <w:lang w:val="fr-FR"/>
        </w:rPr>
        <w:t xml:space="preserve"> pour</w:t>
      </w:r>
      <w:r>
        <w:rPr>
          <w:b/>
          <w:lang w:val="fr-FR"/>
        </w:rPr>
        <w:t xml:space="preserve"> </w:t>
      </w:r>
      <w:r w:rsidR="003B6797">
        <w:rPr>
          <w:b/>
          <w:lang w:val="fr-FR"/>
        </w:rPr>
        <w:t>que soient menées sans délai</w:t>
      </w:r>
      <w:r w:rsidR="00665948">
        <w:rPr>
          <w:b/>
          <w:lang w:val="fr-FR"/>
        </w:rPr>
        <w:t xml:space="preserve"> </w:t>
      </w:r>
      <w:r w:rsidRPr="008235E8">
        <w:rPr>
          <w:b/>
          <w:lang w:val="fr-FR"/>
        </w:rPr>
        <w:t xml:space="preserve">des enquêtes </w:t>
      </w:r>
      <w:r w:rsidR="003B6797">
        <w:rPr>
          <w:b/>
          <w:lang w:val="fr-FR"/>
        </w:rPr>
        <w:t xml:space="preserve">pénales </w:t>
      </w:r>
      <w:r w:rsidRPr="008235E8">
        <w:rPr>
          <w:b/>
          <w:lang w:val="fr-FR"/>
        </w:rPr>
        <w:t xml:space="preserve">approfondies, </w:t>
      </w:r>
      <w:r>
        <w:rPr>
          <w:b/>
          <w:lang w:val="fr-FR"/>
        </w:rPr>
        <w:t xml:space="preserve">indépendantes et </w:t>
      </w:r>
      <w:r w:rsidRPr="008235E8">
        <w:rPr>
          <w:b/>
          <w:lang w:val="fr-FR"/>
        </w:rPr>
        <w:t>impartiales sur toutes les allégations de torture</w:t>
      </w:r>
      <w:r>
        <w:rPr>
          <w:b/>
          <w:lang w:val="fr-FR"/>
        </w:rPr>
        <w:t xml:space="preserve"> </w:t>
      </w:r>
      <w:r w:rsidRPr="008235E8">
        <w:rPr>
          <w:b/>
          <w:lang w:val="fr-FR"/>
        </w:rPr>
        <w:t>et mauvais traitements</w:t>
      </w:r>
      <w:r w:rsidR="003B6797">
        <w:rPr>
          <w:b/>
          <w:lang w:val="fr-FR"/>
        </w:rPr>
        <w:t xml:space="preserve"> reçues</w:t>
      </w:r>
      <w:r w:rsidRPr="008235E8">
        <w:rPr>
          <w:b/>
          <w:lang w:val="fr-FR"/>
        </w:rPr>
        <w:t>, déférer les auteurs de ces actes à la justice</w:t>
      </w:r>
      <w:r>
        <w:rPr>
          <w:b/>
          <w:lang w:val="fr-FR"/>
        </w:rPr>
        <w:t>, qui devrait les punir</w:t>
      </w:r>
      <w:r w:rsidR="009B376B">
        <w:rPr>
          <w:b/>
          <w:lang w:val="fr-FR"/>
        </w:rPr>
        <w:t xml:space="preserve"> </w:t>
      </w:r>
      <w:r>
        <w:rPr>
          <w:b/>
          <w:lang w:val="fr-FR"/>
        </w:rPr>
        <w:t>par des</w:t>
      </w:r>
      <w:r w:rsidR="00E45627">
        <w:rPr>
          <w:b/>
          <w:lang w:val="fr-FR"/>
        </w:rPr>
        <w:t xml:space="preserve"> </w:t>
      </w:r>
      <w:r>
        <w:rPr>
          <w:b/>
          <w:lang w:val="fr-FR"/>
        </w:rPr>
        <w:t>peines appropriées</w:t>
      </w:r>
      <w:r w:rsidR="006073C6">
        <w:rPr>
          <w:b/>
          <w:lang w:val="fr-FR"/>
        </w:rPr>
        <w:t>;</w:t>
      </w:r>
    </w:p>
    <w:p w:rsidR="0027653A" w:rsidRDefault="00267203" w:rsidP="00F56768">
      <w:pPr>
        <w:pStyle w:val="SingleTxtG"/>
        <w:rPr>
          <w:b/>
          <w:lang w:val="fr-FR"/>
        </w:rPr>
      </w:pPr>
      <w:r>
        <w:rPr>
          <w:b/>
          <w:lang w:val="fr-FR"/>
        </w:rPr>
        <w:tab/>
      </w:r>
      <w:r w:rsidR="003B6797">
        <w:rPr>
          <w:b/>
          <w:lang w:val="fr-FR"/>
        </w:rPr>
        <w:t>c)</w:t>
      </w:r>
      <w:r w:rsidR="00AC39CF">
        <w:rPr>
          <w:b/>
          <w:lang w:val="fr-FR"/>
        </w:rPr>
        <w:tab/>
      </w:r>
      <w:r w:rsidR="003B6797">
        <w:rPr>
          <w:b/>
          <w:lang w:val="fr-FR"/>
        </w:rPr>
        <w:t>Prendre toutes les dispositions nécessaires pour s</w:t>
      </w:r>
      <w:r w:rsidR="00E45627">
        <w:rPr>
          <w:b/>
          <w:lang w:val="fr-FR"/>
        </w:rPr>
        <w:t>’</w:t>
      </w:r>
      <w:r w:rsidR="003B6797">
        <w:rPr>
          <w:b/>
          <w:lang w:val="fr-FR"/>
        </w:rPr>
        <w:t>assurer</w:t>
      </w:r>
      <w:r>
        <w:rPr>
          <w:b/>
          <w:lang w:val="fr-FR"/>
        </w:rPr>
        <w:t xml:space="preserve"> que les aveux obtenus sous la torture</w:t>
      </w:r>
      <w:r w:rsidR="0027653A">
        <w:rPr>
          <w:b/>
          <w:lang w:val="fr-FR"/>
        </w:rPr>
        <w:t xml:space="preserve"> ne soient pas admis comme preuve contre les auteurs des aveux durant l’enquête et le procès</w:t>
      </w:r>
      <w:r w:rsidR="007E1EE7">
        <w:rPr>
          <w:b/>
          <w:lang w:val="fr-FR"/>
        </w:rPr>
        <w:t>;</w:t>
      </w:r>
    </w:p>
    <w:p w:rsidR="00ED05DA" w:rsidRDefault="0027653A" w:rsidP="001F32FE">
      <w:pPr>
        <w:pStyle w:val="SingleTxtG"/>
        <w:ind w:firstLine="567"/>
        <w:rPr>
          <w:b/>
          <w:lang w:val="fr-FR"/>
        </w:rPr>
      </w:pPr>
      <w:r>
        <w:rPr>
          <w:b/>
          <w:lang w:val="fr-FR"/>
        </w:rPr>
        <w:t>d)</w:t>
      </w:r>
      <w:r w:rsidR="00AC39CF">
        <w:rPr>
          <w:b/>
          <w:lang w:val="fr-FR"/>
        </w:rPr>
        <w:tab/>
        <w:t>S</w:t>
      </w:r>
      <w:r w:rsidR="00267203">
        <w:rPr>
          <w:b/>
          <w:lang w:val="fr-FR"/>
        </w:rPr>
        <w:t>ensibiliser les magistrats à l’obligation</w:t>
      </w:r>
      <w:r w:rsidR="00C50964">
        <w:rPr>
          <w:b/>
          <w:lang w:val="fr-FR"/>
        </w:rPr>
        <w:t xml:space="preserve"> d’ouvrir des enquêtes lorsque d</w:t>
      </w:r>
      <w:r w:rsidR="00267203">
        <w:rPr>
          <w:b/>
          <w:lang w:val="fr-FR"/>
        </w:rPr>
        <w:t>es allégations de torture sont portées à leur connaissance.</w:t>
      </w:r>
    </w:p>
    <w:p w:rsidR="00ED05DA" w:rsidRPr="00386735" w:rsidRDefault="00ED05DA" w:rsidP="00ED05DA">
      <w:pPr>
        <w:pStyle w:val="H23G"/>
        <w:rPr>
          <w:lang w:val="fr-FR"/>
        </w:rPr>
      </w:pPr>
      <w:r>
        <w:rPr>
          <w:lang w:val="fr-FR"/>
        </w:rPr>
        <w:tab/>
      </w:r>
      <w:r>
        <w:rPr>
          <w:lang w:val="fr-FR"/>
        </w:rPr>
        <w:tab/>
      </w:r>
      <w:r w:rsidRPr="00386735">
        <w:rPr>
          <w:lang w:val="fr-FR"/>
        </w:rPr>
        <w:t>Application directe de la Convention par les juridictions internes</w:t>
      </w:r>
    </w:p>
    <w:p w:rsidR="00ED05DA" w:rsidRPr="00386735" w:rsidRDefault="00260278" w:rsidP="001F32FE">
      <w:pPr>
        <w:pStyle w:val="SingleTxtG"/>
        <w:rPr>
          <w:lang w:val="fr-FR"/>
        </w:rPr>
      </w:pPr>
      <w:r>
        <w:rPr>
          <w:lang w:val="fr-FR"/>
        </w:rPr>
        <w:t>9</w:t>
      </w:r>
      <w:r w:rsidR="00ED05DA" w:rsidRPr="00386735">
        <w:rPr>
          <w:lang w:val="fr-FR"/>
        </w:rPr>
        <w:t>.</w:t>
      </w:r>
      <w:r w:rsidR="00ED05DA" w:rsidRPr="00386735">
        <w:rPr>
          <w:lang w:val="fr-FR"/>
        </w:rPr>
        <w:tab/>
      </w:r>
      <w:r w:rsidR="000A18CB">
        <w:rPr>
          <w:lang w:val="fr-FR"/>
        </w:rPr>
        <w:t>Bien qu</w:t>
      </w:r>
      <w:r w:rsidR="00E45627">
        <w:rPr>
          <w:lang w:val="fr-FR"/>
        </w:rPr>
        <w:t>’</w:t>
      </w:r>
      <w:r>
        <w:rPr>
          <w:lang w:val="fr-FR"/>
        </w:rPr>
        <w:t xml:space="preserve">ayant noté avec intérêt que </w:t>
      </w:r>
      <w:r w:rsidR="000A18CB">
        <w:rPr>
          <w:lang w:val="fr-FR"/>
        </w:rPr>
        <w:t xml:space="preserve">la Convention </w:t>
      </w:r>
      <w:r w:rsidR="001F32FE">
        <w:rPr>
          <w:lang w:val="fr-FR"/>
        </w:rPr>
        <w:t xml:space="preserve">peut </w:t>
      </w:r>
      <w:r w:rsidR="00ED05DA" w:rsidRPr="00386735">
        <w:rPr>
          <w:lang w:val="fr-FR"/>
        </w:rPr>
        <w:t>être</w:t>
      </w:r>
      <w:r w:rsidR="000A18CB">
        <w:rPr>
          <w:lang w:val="fr-FR"/>
        </w:rPr>
        <w:t xml:space="preserve"> directement</w:t>
      </w:r>
      <w:r w:rsidR="00ED05DA" w:rsidRPr="00386735">
        <w:rPr>
          <w:lang w:val="fr-FR"/>
        </w:rPr>
        <w:t xml:space="preserve"> </w:t>
      </w:r>
      <w:r w:rsidR="000A18CB">
        <w:rPr>
          <w:lang w:val="fr-FR"/>
        </w:rPr>
        <w:t>in</w:t>
      </w:r>
      <w:r w:rsidR="00ED05DA">
        <w:rPr>
          <w:lang w:val="fr-FR"/>
        </w:rPr>
        <w:t xml:space="preserve">voquée </w:t>
      </w:r>
      <w:r w:rsidR="000A18CB">
        <w:rPr>
          <w:lang w:val="fr-FR"/>
        </w:rPr>
        <w:t>devant les juridictions</w:t>
      </w:r>
      <w:r w:rsidR="00E45627">
        <w:rPr>
          <w:lang w:val="fr-FR"/>
        </w:rPr>
        <w:t xml:space="preserve"> </w:t>
      </w:r>
      <w:r w:rsidR="00ED05DA">
        <w:rPr>
          <w:lang w:val="fr-FR"/>
        </w:rPr>
        <w:t>interne</w:t>
      </w:r>
      <w:r w:rsidR="000A18CB">
        <w:rPr>
          <w:lang w:val="fr-FR"/>
        </w:rPr>
        <w:t>s</w:t>
      </w:r>
      <w:r>
        <w:rPr>
          <w:lang w:val="fr-FR"/>
        </w:rPr>
        <w:t xml:space="preserve"> de l</w:t>
      </w:r>
      <w:r w:rsidR="00E45627">
        <w:rPr>
          <w:lang w:val="fr-FR"/>
        </w:rPr>
        <w:t>’</w:t>
      </w:r>
      <w:r w:rsidR="006073C6">
        <w:rPr>
          <w:lang w:val="fr-FR"/>
        </w:rPr>
        <w:t>État</w:t>
      </w:r>
      <w:r>
        <w:rPr>
          <w:lang w:val="fr-FR"/>
        </w:rPr>
        <w:t xml:space="preserve"> partie</w:t>
      </w:r>
      <w:r w:rsidR="000A18CB">
        <w:rPr>
          <w:lang w:val="fr-FR"/>
        </w:rPr>
        <w:t xml:space="preserve"> et </w:t>
      </w:r>
      <w:r w:rsidR="001F32FE">
        <w:rPr>
          <w:lang w:val="fr-FR"/>
        </w:rPr>
        <w:t xml:space="preserve">qu’elle </w:t>
      </w:r>
      <w:r w:rsidR="000A18CB">
        <w:rPr>
          <w:lang w:val="fr-FR"/>
        </w:rPr>
        <w:t>bénéficie d</w:t>
      </w:r>
      <w:r w:rsidR="00E45627">
        <w:rPr>
          <w:lang w:val="fr-FR"/>
        </w:rPr>
        <w:t>’</w:t>
      </w:r>
      <w:r w:rsidR="000A18CB">
        <w:rPr>
          <w:lang w:val="fr-FR"/>
        </w:rPr>
        <w:t>un statut hiérarchiquement supérieur aux lois nationales,</w:t>
      </w:r>
      <w:r w:rsidR="00ED05DA" w:rsidRPr="00386735">
        <w:rPr>
          <w:lang w:val="fr-FR"/>
        </w:rPr>
        <w:t xml:space="preserve"> le Comité </w:t>
      </w:r>
      <w:r w:rsidR="003600F8">
        <w:rPr>
          <w:lang w:val="fr-FR"/>
        </w:rPr>
        <w:t xml:space="preserve">demeure </w:t>
      </w:r>
      <w:r w:rsidR="00ED05DA">
        <w:rPr>
          <w:lang w:val="fr-FR"/>
        </w:rPr>
        <w:t xml:space="preserve">préoccupé </w:t>
      </w:r>
      <w:r w:rsidR="003600F8">
        <w:rPr>
          <w:lang w:val="fr-FR"/>
        </w:rPr>
        <w:t>par l</w:t>
      </w:r>
      <w:r w:rsidR="00E45627">
        <w:rPr>
          <w:lang w:val="fr-FR"/>
        </w:rPr>
        <w:t>’</w:t>
      </w:r>
      <w:r w:rsidR="003600F8">
        <w:rPr>
          <w:lang w:val="fr-FR"/>
        </w:rPr>
        <w:t>inf</w:t>
      </w:r>
      <w:r w:rsidR="00B627F3">
        <w:rPr>
          <w:lang w:val="fr-FR"/>
        </w:rPr>
        <w:t xml:space="preserve">ormation </w:t>
      </w:r>
      <w:r w:rsidR="003600F8">
        <w:rPr>
          <w:lang w:val="fr-FR"/>
        </w:rPr>
        <w:t>selon laquelle</w:t>
      </w:r>
      <w:r w:rsidR="001F32FE">
        <w:rPr>
          <w:lang w:val="fr-FR"/>
        </w:rPr>
        <w:t>,</w:t>
      </w:r>
      <w:r w:rsidR="003600F8">
        <w:rPr>
          <w:lang w:val="fr-FR"/>
        </w:rPr>
        <w:t xml:space="preserve"> en l</w:t>
      </w:r>
      <w:r w:rsidR="00E45627">
        <w:rPr>
          <w:lang w:val="fr-FR"/>
        </w:rPr>
        <w:t>’</w:t>
      </w:r>
      <w:r w:rsidR="003600F8">
        <w:rPr>
          <w:lang w:val="fr-FR"/>
        </w:rPr>
        <w:t>absence d</w:t>
      </w:r>
      <w:r w:rsidR="00E45627">
        <w:rPr>
          <w:lang w:val="fr-FR"/>
        </w:rPr>
        <w:t>’</w:t>
      </w:r>
      <w:r w:rsidR="003600F8">
        <w:rPr>
          <w:lang w:val="fr-FR"/>
        </w:rPr>
        <w:t>une infraction pénale autonome,</w:t>
      </w:r>
      <w:r w:rsidR="00E45627">
        <w:rPr>
          <w:lang w:val="fr-FR"/>
        </w:rPr>
        <w:t xml:space="preserve"> </w:t>
      </w:r>
      <w:r w:rsidR="003600F8">
        <w:rPr>
          <w:lang w:val="fr-FR"/>
        </w:rPr>
        <w:t>les actes de torture ne peuvent être sanctionnés qu</w:t>
      </w:r>
      <w:r w:rsidR="00E45627">
        <w:rPr>
          <w:lang w:val="fr-FR"/>
        </w:rPr>
        <w:t>’</w:t>
      </w:r>
      <w:r w:rsidR="003600F8">
        <w:rPr>
          <w:lang w:val="fr-FR"/>
        </w:rPr>
        <w:t xml:space="preserve">en tant que coups et blessures, ou homicide. </w:t>
      </w:r>
      <w:r w:rsidR="00DF5D1E">
        <w:rPr>
          <w:lang w:val="fr-FR"/>
        </w:rPr>
        <w:t>Le Comité regrette en outre</w:t>
      </w:r>
      <w:r w:rsidR="00ED05DA">
        <w:rPr>
          <w:lang w:val="fr-FR"/>
        </w:rPr>
        <w:t xml:space="preserve"> l’absence d’informations sur </w:t>
      </w:r>
      <w:r w:rsidR="003600F8">
        <w:rPr>
          <w:lang w:val="fr-FR"/>
        </w:rPr>
        <w:t>d</w:t>
      </w:r>
      <w:r w:rsidR="00ED05DA" w:rsidRPr="00386735">
        <w:rPr>
          <w:lang w:val="fr-FR"/>
        </w:rPr>
        <w:t>es affaires dans lesquelles la Convention a</w:t>
      </w:r>
      <w:r w:rsidR="003600F8">
        <w:rPr>
          <w:lang w:val="fr-FR"/>
        </w:rPr>
        <w:t>urait</w:t>
      </w:r>
      <w:r w:rsidR="00ED05DA" w:rsidRPr="00386735">
        <w:rPr>
          <w:lang w:val="fr-FR"/>
        </w:rPr>
        <w:t xml:space="preserve"> été appliquée par les tribunaux de l’Éta</w:t>
      </w:r>
      <w:r w:rsidR="00272C93">
        <w:rPr>
          <w:lang w:val="fr-FR"/>
        </w:rPr>
        <w:t>t partie ou invoquée devant eux</w:t>
      </w:r>
      <w:r w:rsidR="00C30699">
        <w:rPr>
          <w:lang w:val="fr-FR"/>
        </w:rPr>
        <w:t xml:space="preserve"> </w:t>
      </w:r>
      <w:r w:rsidR="00ED05DA" w:rsidRPr="00386735">
        <w:rPr>
          <w:lang w:val="fr-FR"/>
        </w:rPr>
        <w:t>(</w:t>
      </w:r>
      <w:r w:rsidR="002A4FA2">
        <w:rPr>
          <w:lang w:val="fr-FR"/>
        </w:rPr>
        <w:t>art. </w:t>
      </w:r>
      <w:r w:rsidR="00ED05DA" w:rsidRPr="00386735">
        <w:rPr>
          <w:lang w:val="fr-FR"/>
        </w:rPr>
        <w:t>2</w:t>
      </w:r>
      <w:r w:rsidR="00ED05DA">
        <w:rPr>
          <w:lang w:val="fr-FR"/>
        </w:rPr>
        <w:t>)</w:t>
      </w:r>
      <w:r w:rsidR="00C30699">
        <w:rPr>
          <w:lang w:val="fr-FR"/>
        </w:rPr>
        <w:t>.</w:t>
      </w:r>
      <w:r w:rsidR="00ED05DA">
        <w:rPr>
          <w:lang w:val="fr-FR"/>
        </w:rPr>
        <w:t xml:space="preserve"> </w:t>
      </w:r>
    </w:p>
    <w:p w:rsidR="00ED05DA" w:rsidRDefault="00ED05DA" w:rsidP="00BE3903">
      <w:pPr>
        <w:pStyle w:val="SingleTxtG"/>
        <w:keepNext/>
        <w:keepLines/>
        <w:rPr>
          <w:b/>
          <w:lang w:val="fr-FR"/>
        </w:rPr>
      </w:pPr>
      <w:r w:rsidRPr="003158DE">
        <w:rPr>
          <w:b/>
          <w:lang w:val="fr-FR"/>
        </w:rPr>
        <w:t xml:space="preserve">L’État partie devrait </w:t>
      </w:r>
      <w:r w:rsidR="00DF5D1E">
        <w:rPr>
          <w:b/>
          <w:lang w:val="fr-FR"/>
        </w:rPr>
        <w:t>incorporer les obligations prescrites par la Convention dans son ordre juridique interne</w:t>
      </w:r>
      <w:r>
        <w:rPr>
          <w:b/>
          <w:lang w:val="fr-FR"/>
        </w:rPr>
        <w:t xml:space="preserve">. Il devrait </w:t>
      </w:r>
      <w:r w:rsidR="00EC3DB6">
        <w:rPr>
          <w:b/>
          <w:lang w:val="fr-FR"/>
        </w:rPr>
        <w:t xml:space="preserve">en outre </w:t>
      </w:r>
      <w:r w:rsidRPr="003158DE">
        <w:rPr>
          <w:b/>
          <w:lang w:val="fr-FR"/>
        </w:rPr>
        <w:t xml:space="preserve">veiller à ce que les agents de l’État, les juges, les magistrats, les procureurs et les avocats reçoivent une formation sur les dispositions de la Convention </w:t>
      </w:r>
      <w:r w:rsidR="00BE3903">
        <w:rPr>
          <w:b/>
          <w:lang w:val="fr-FR"/>
        </w:rPr>
        <w:t xml:space="preserve">pour qu’ils puissent </w:t>
      </w:r>
      <w:r w:rsidR="00724A1D">
        <w:rPr>
          <w:b/>
          <w:lang w:val="fr-FR"/>
        </w:rPr>
        <w:t xml:space="preserve">en </w:t>
      </w:r>
      <w:r w:rsidR="001C498F">
        <w:rPr>
          <w:b/>
          <w:lang w:val="fr-FR"/>
        </w:rPr>
        <w:t>appliqu</w:t>
      </w:r>
      <w:r>
        <w:rPr>
          <w:b/>
          <w:lang w:val="fr-FR"/>
        </w:rPr>
        <w:t xml:space="preserve">er </w:t>
      </w:r>
      <w:r w:rsidRPr="003158DE">
        <w:rPr>
          <w:b/>
          <w:lang w:val="fr-FR"/>
        </w:rPr>
        <w:t>directe</w:t>
      </w:r>
      <w:r>
        <w:rPr>
          <w:b/>
          <w:lang w:val="fr-FR"/>
        </w:rPr>
        <w:t>ment</w:t>
      </w:r>
      <w:r w:rsidRPr="003158DE">
        <w:rPr>
          <w:b/>
          <w:lang w:val="fr-FR"/>
        </w:rPr>
        <w:t xml:space="preserve"> </w:t>
      </w:r>
      <w:r w:rsidR="00724A1D">
        <w:rPr>
          <w:b/>
          <w:lang w:val="fr-FR"/>
        </w:rPr>
        <w:t xml:space="preserve">les dispositions et </w:t>
      </w:r>
      <w:r w:rsidR="008A3080">
        <w:rPr>
          <w:b/>
          <w:lang w:val="fr-FR"/>
        </w:rPr>
        <w:t xml:space="preserve">puissent </w:t>
      </w:r>
      <w:r w:rsidR="00724A1D">
        <w:rPr>
          <w:b/>
          <w:lang w:val="fr-FR"/>
        </w:rPr>
        <w:t xml:space="preserve">faire valoir les droits qui y sont inscrits </w:t>
      </w:r>
      <w:r w:rsidRPr="003158DE">
        <w:rPr>
          <w:b/>
          <w:lang w:val="fr-FR"/>
        </w:rPr>
        <w:t xml:space="preserve">devant les tribunaux de l’État partie. </w:t>
      </w:r>
    </w:p>
    <w:p w:rsidR="00ED05DA" w:rsidRPr="00386735" w:rsidRDefault="00ED05DA" w:rsidP="00ED05DA">
      <w:pPr>
        <w:pStyle w:val="H23G"/>
        <w:rPr>
          <w:lang w:val="fr-FR"/>
        </w:rPr>
      </w:pPr>
      <w:r>
        <w:rPr>
          <w:lang w:val="fr-FR"/>
        </w:rPr>
        <w:tab/>
      </w:r>
      <w:r>
        <w:rPr>
          <w:lang w:val="fr-FR"/>
        </w:rPr>
        <w:tab/>
      </w:r>
      <w:r w:rsidRPr="00386735">
        <w:rPr>
          <w:lang w:val="fr-FR"/>
        </w:rPr>
        <w:t>Garanties juridiques fondamentales</w:t>
      </w:r>
    </w:p>
    <w:p w:rsidR="00ED05DA" w:rsidRDefault="003600F8" w:rsidP="00173482">
      <w:pPr>
        <w:pStyle w:val="SingleTxtG"/>
        <w:rPr>
          <w:lang w:val="fr-FR"/>
        </w:rPr>
      </w:pPr>
      <w:r>
        <w:rPr>
          <w:lang w:val="fr-FR"/>
        </w:rPr>
        <w:t>1</w:t>
      </w:r>
      <w:r w:rsidR="00DF5D1E">
        <w:rPr>
          <w:lang w:val="fr-FR"/>
        </w:rPr>
        <w:t>0</w:t>
      </w:r>
      <w:r w:rsidR="00ED05DA" w:rsidRPr="00386735">
        <w:rPr>
          <w:lang w:val="fr-FR"/>
        </w:rPr>
        <w:t>.</w:t>
      </w:r>
      <w:r w:rsidR="00ED05DA" w:rsidRPr="00386735">
        <w:rPr>
          <w:lang w:val="fr-FR"/>
        </w:rPr>
        <w:tab/>
      </w:r>
      <w:r w:rsidR="004A1023">
        <w:rPr>
          <w:lang w:val="fr-FR"/>
        </w:rPr>
        <w:t>Le Comité est particulièrement</w:t>
      </w:r>
      <w:r w:rsidR="00E45627">
        <w:rPr>
          <w:lang w:val="fr-FR"/>
        </w:rPr>
        <w:t xml:space="preserve"> </w:t>
      </w:r>
      <w:r w:rsidR="00ED05DA" w:rsidRPr="00386735">
        <w:rPr>
          <w:lang w:val="fr-FR"/>
        </w:rPr>
        <w:t xml:space="preserve">préoccupé </w:t>
      </w:r>
      <w:r w:rsidR="004A1023">
        <w:rPr>
          <w:lang w:val="fr-FR"/>
        </w:rPr>
        <w:t>du fait qu</w:t>
      </w:r>
      <w:r w:rsidR="00E45627">
        <w:rPr>
          <w:lang w:val="fr-FR"/>
        </w:rPr>
        <w:t>’</w:t>
      </w:r>
      <w:r w:rsidR="004A1023">
        <w:rPr>
          <w:lang w:val="fr-FR"/>
        </w:rPr>
        <w:t>en vertu de l</w:t>
      </w:r>
      <w:r w:rsidR="00E45627">
        <w:rPr>
          <w:lang w:val="fr-FR"/>
        </w:rPr>
        <w:t>’</w:t>
      </w:r>
      <w:r w:rsidR="004A1023">
        <w:rPr>
          <w:lang w:val="fr-FR"/>
        </w:rPr>
        <w:t>article 57</w:t>
      </w:r>
      <w:r w:rsidR="00ED05DA">
        <w:rPr>
          <w:lang w:val="fr-FR"/>
        </w:rPr>
        <w:t xml:space="preserve"> du Code de procédure pénale, </w:t>
      </w:r>
      <w:r w:rsidR="004A1023">
        <w:rPr>
          <w:lang w:val="fr-FR"/>
        </w:rPr>
        <w:t>la durée de la garde à vue en matière de crimes terroristes et des atteintes à la sûreté de l</w:t>
      </w:r>
      <w:r w:rsidR="00E45627">
        <w:rPr>
          <w:lang w:val="fr-FR"/>
        </w:rPr>
        <w:t>’</w:t>
      </w:r>
      <w:r w:rsidR="006073C6">
        <w:rPr>
          <w:lang w:val="fr-FR"/>
        </w:rPr>
        <w:t>État</w:t>
      </w:r>
      <w:r w:rsidR="004A1023">
        <w:rPr>
          <w:lang w:val="fr-FR"/>
        </w:rPr>
        <w:t xml:space="preserve"> </w:t>
      </w:r>
      <w:r w:rsidR="004A1023" w:rsidRPr="007807DD">
        <w:rPr>
          <w:lang w:val="fr-FR"/>
        </w:rPr>
        <w:t>est de 15 jours, renouvelables deux fois sur ordre du Procureur</w:t>
      </w:r>
      <w:r w:rsidR="00DF5D1E" w:rsidRPr="007807DD">
        <w:rPr>
          <w:lang w:val="fr-FR"/>
        </w:rPr>
        <w:t xml:space="preserve">, </w:t>
      </w:r>
      <w:r w:rsidR="00136252" w:rsidRPr="007807DD">
        <w:rPr>
          <w:lang w:val="fr-FR"/>
        </w:rPr>
        <w:t>d</w:t>
      </w:r>
      <w:r w:rsidR="00E45627" w:rsidRPr="007807DD">
        <w:rPr>
          <w:lang w:val="fr-FR"/>
        </w:rPr>
        <w:t>’</w:t>
      </w:r>
      <w:r w:rsidR="00136252" w:rsidRPr="007807DD">
        <w:rPr>
          <w:lang w:val="fr-FR"/>
        </w:rPr>
        <w:t>autant que les gar</w:t>
      </w:r>
      <w:r w:rsidR="00136252">
        <w:rPr>
          <w:lang w:val="fr-FR"/>
        </w:rPr>
        <w:t xml:space="preserve">dés à vue </w:t>
      </w:r>
      <w:r w:rsidR="001C498F">
        <w:rPr>
          <w:lang w:val="fr-FR"/>
        </w:rPr>
        <w:t>ne disposent d</w:t>
      </w:r>
      <w:r w:rsidR="00E45627">
        <w:rPr>
          <w:lang w:val="fr-FR"/>
        </w:rPr>
        <w:t>’</w:t>
      </w:r>
      <w:r w:rsidR="00136252">
        <w:rPr>
          <w:lang w:val="fr-FR"/>
        </w:rPr>
        <w:t>aucune voie de recours pour conteste</w:t>
      </w:r>
      <w:r w:rsidR="00CC19A3">
        <w:rPr>
          <w:lang w:val="fr-FR"/>
        </w:rPr>
        <w:t xml:space="preserve">r la légalité de leur détention. </w:t>
      </w:r>
      <w:r w:rsidR="00F519FC">
        <w:rPr>
          <w:lang w:val="fr-FR"/>
        </w:rPr>
        <w:t xml:space="preserve">Enfin, le Comité est particulièrement </w:t>
      </w:r>
      <w:r w:rsidR="005B5AB6">
        <w:rPr>
          <w:lang w:val="fr-FR"/>
        </w:rPr>
        <w:t xml:space="preserve">inquiet de savoir </w:t>
      </w:r>
      <w:r w:rsidR="00F519FC">
        <w:rPr>
          <w:lang w:val="fr-FR"/>
        </w:rPr>
        <w:t>que l’article</w:t>
      </w:r>
      <w:r w:rsidR="005B5AB6">
        <w:rPr>
          <w:lang w:val="fr-FR"/>
        </w:rPr>
        <w:t> </w:t>
      </w:r>
      <w:r w:rsidR="00F519FC">
        <w:rPr>
          <w:lang w:val="fr-FR"/>
        </w:rPr>
        <w:t xml:space="preserve">3 de </w:t>
      </w:r>
      <w:r w:rsidR="00F519FC" w:rsidRPr="00D72B62">
        <w:rPr>
          <w:lang w:val="fr-FR"/>
        </w:rPr>
        <w:t xml:space="preserve">la </w:t>
      </w:r>
      <w:r w:rsidR="00D72B62" w:rsidRPr="00D72B62">
        <w:rPr>
          <w:color w:val="000000"/>
          <w:lang w:eastAsia="en-GB"/>
        </w:rPr>
        <w:t>loi 2010-043 du 21 juillet 2010</w:t>
      </w:r>
      <w:r w:rsidR="00D72B62" w:rsidRPr="00D72B62">
        <w:rPr>
          <w:rFonts w:ascii="Arial" w:hAnsi="Arial" w:cs="Arial"/>
          <w:color w:val="000000"/>
          <w:sz w:val="22"/>
          <w:szCs w:val="22"/>
          <w:lang w:eastAsia="en-GB"/>
        </w:rPr>
        <w:t>.</w:t>
      </w:r>
      <w:r w:rsidR="00F519FC">
        <w:rPr>
          <w:lang w:val="fr-FR"/>
        </w:rPr>
        <w:t xml:space="preserve"> relative à la lutte contre le terrorisme</w:t>
      </w:r>
      <w:r w:rsidR="00D72B62">
        <w:rPr>
          <w:lang w:val="fr-FR"/>
        </w:rPr>
        <w:t xml:space="preserve"> </w:t>
      </w:r>
      <w:r w:rsidR="00DF5D1E">
        <w:rPr>
          <w:lang w:val="fr-FR"/>
        </w:rPr>
        <w:t>définit le terrorisme de manière</w:t>
      </w:r>
      <w:r w:rsidR="0000626E">
        <w:rPr>
          <w:lang w:val="fr-FR"/>
        </w:rPr>
        <w:t xml:space="preserve"> </w:t>
      </w:r>
      <w:r w:rsidR="007E1EE7">
        <w:rPr>
          <w:lang w:val="fr-FR"/>
        </w:rPr>
        <w:t>large</w:t>
      </w:r>
      <w:r w:rsidR="00DF5D1E">
        <w:rPr>
          <w:lang w:val="fr-FR"/>
        </w:rPr>
        <w:t xml:space="preserve"> et imprécise</w:t>
      </w:r>
      <w:r w:rsidR="00E45627">
        <w:rPr>
          <w:lang w:val="fr-FR"/>
        </w:rPr>
        <w:t xml:space="preserve"> </w:t>
      </w:r>
      <w:r w:rsidR="00ED05DA" w:rsidRPr="00386735">
        <w:rPr>
          <w:lang w:val="fr-FR"/>
        </w:rPr>
        <w:t>(</w:t>
      </w:r>
      <w:r w:rsidR="002A4FA2">
        <w:rPr>
          <w:lang w:val="fr-FR"/>
        </w:rPr>
        <w:t>art. </w:t>
      </w:r>
      <w:r w:rsidR="00ED05DA" w:rsidRPr="00386735">
        <w:rPr>
          <w:lang w:val="fr-FR"/>
        </w:rPr>
        <w:t>2).</w:t>
      </w:r>
      <w:r w:rsidR="00CC19A3">
        <w:rPr>
          <w:lang w:val="fr-FR"/>
        </w:rPr>
        <w:t xml:space="preserve"> </w:t>
      </w:r>
    </w:p>
    <w:p w:rsidR="009076DD" w:rsidRPr="009076DD" w:rsidRDefault="009076DD" w:rsidP="009076DD">
      <w:pPr>
        <w:pStyle w:val="SingleTxtG"/>
        <w:rPr>
          <w:b/>
          <w:lang w:val="fr-FR"/>
        </w:rPr>
      </w:pPr>
      <w:r>
        <w:rPr>
          <w:b/>
          <w:lang w:val="fr-FR"/>
        </w:rPr>
        <w:t>L’État partie devrait</w:t>
      </w:r>
      <w:r w:rsidR="006073C6">
        <w:rPr>
          <w:b/>
          <w:lang w:val="fr-FR"/>
        </w:rPr>
        <w:t>:</w:t>
      </w:r>
    </w:p>
    <w:p w:rsidR="00BA17D2" w:rsidRDefault="009076DD" w:rsidP="00F8294F">
      <w:pPr>
        <w:pStyle w:val="SingleTxtG"/>
        <w:ind w:firstLine="567"/>
        <w:rPr>
          <w:b/>
          <w:bCs/>
          <w:lang w:eastAsia="en-GB"/>
        </w:rPr>
      </w:pPr>
      <w:r w:rsidRPr="00405085">
        <w:rPr>
          <w:b/>
          <w:lang w:val="fr-FR"/>
        </w:rPr>
        <w:t>a)</w:t>
      </w:r>
      <w:r>
        <w:rPr>
          <w:b/>
          <w:lang w:val="fr-FR"/>
        </w:rPr>
        <w:tab/>
        <w:t>Prendre immédiatement des mesures efficaces afin de v</w:t>
      </w:r>
      <w:r w:rsidRPr="008235E8">
        <w:rPr>
          <w:b/>
          <w:lang w:val="fr-FR"/>
        </w:rPr>
        <w:t>eiller à ce que toute personne privée de liberté bénéficie de</w:t>
      </w:r>
      <w:r>
        <w:rPr>
          <w:b/>
          <w:lang w:val="fr-FR"/>
        </w:rPr>
        <w:t xml:space="preserve"> toutes les</w:t>
      </w:r>
      <w:r w:rsidRPr="008235E8">
        <w:rPr>
          <w:b/>
          <w:lang w:val="fr-FR"/>
        </w:rPr>
        <w:t xml:space="preserve"> garanties juridiques fondamentales dès le début de </w:t>
      </w:r>
      <w:r w:rsidR="00FA4C25">
        <w:rPr>
          <w:b/>
          <w:lang w:val="fr-FR"/>
        </w:rPr>
        <w:t>s</w:t>
      </w:r>
      <w:r w:rsidRPr="008235E8">
        <w:rPr>
          <w:b/>
          <w:lang w:val="fr-FR"/>
        </w:rPr>
        <w:t xml:space="preserve">a </w:t>
      </w:r>
      <w:r w:rsidRPr="00F7635A">
        <w:rPr>
          <w:b/>
          <w:bCs/>
          <w:lang w:eastAsia="en-GB"/>
        </w:rPr>
        <w:t>garde à vue, à savoir</w:t>
      </w:r>
      <w:r w:rsidR="006073C6">
        <w:rPr>
          <w:b/>
          <w:bCs/>
          <w:lang w:eastAsia="en-GB"/>
        </w:rPr>
        <w:t>:</w:t>
      </w:r>
      <w:r w:rsidR="00F8294F">
        <w:rPr>
          <w:b/>
          <w:bCs/>
          <w:lang w:eastAsia="en-GB"/>
        </w:rPr>
        <w:t xml:space="preserve"> </w:t>
      </w:r>
    </w:p>
    <w:p w:rsidR="00BA17D2" w:rsidRDefault="00F8294F" w:rsidP="00611208">
      <w:pPr>
        <w:pStyle w:val="SingleTxtG"/>
        <w:tabs>
          <w:tab w:val="left" w:pos="2835"/>
        </w:tabs>
        <w:ind w:left="1701" w:firstLine="567"/>
        <w:rPr>
          <w:b/>
          <w:bCs/>
          <w:lang w:eastAsia="en-GB"/>
        </w:rPr>
      </w:pPr>
      <w:r>
        <w:rPr>
          <w:b/>
          <w:bCs/>
          <w:lang w:eastAsia="en-GB"/>
        </w:rPr>
        <w:t>i)</w:t>
      </w:r>
      <w:r w:rsidR="00DD00A1">
        <w:rPr>
          <w:b/>
          <w:bCs/>
          <w:lang w:eastAsia="en-GB"/>
        </w:rPr>
        <w:tab/>
      </w:r>
      <w:r w:rsidR="009076DD" w:rsidRPr="00F7635A">
        <w:rPr>
          <w:b/>
          <w:bCs/>
          <w:lang w:eastAsia="en-GB"/>
        </w:rPr>
        <w:t xml:space="preserve">le droit d’être informé des motifs de </w:t>
      </w:r>
      <w:r w:rsidR="009076DD">
        <w:rPr>
          <w:b/>
          <w:bCs/>
          <w:lang w:eastAsia="en-GB"/>
        </w:rPr>
        <w:t xml:space="preserve">son </w:t>
      </w:r>
      <w:r w:rsidR="009076DD" w:rsidRPr="00F7635A">
        <w:rPr>
          <w:b/>
          <w:bCs/>
          <w:lang w:eastAsia="en-GB"/>
        </w:rPr>
        <w:t>arrestation</w:t>
      </w:r>
      <w:r w:rsidR="006073C6">
        <w:rPr>
          <w:b/>
          <w:bCs/>
          <w:lang w:eastAsia="en-GB"/>
        </w:rPr>
        <w:t>;</w:t>
      </w:r>
    </w:p>
    <w:p w:rsidR="00BA17D2" w:rsidRDefault="00BA17D2" w:rsidP="00611208">
      <w:pPr>
        <w:pStyle w:val="SingleTxtG"/>
        <w:tabs>
          <w:tab w:val="left" w:pos="2835"/>
        </w:tabs>
        <w:ind w:left="1701" w:firstLine="567"/>
        <w:rPr>
          <w:b/>
        </w:rPr>
      </w:pPr>
      <w:r>
        <w:rPr>
          <w:b/>
          <w:bCs/>
          <w:lang w:eastAsia="en-GB"/>
        </w:rPr>
        <w:t>ii)</w:t>
      </w:r>
      <w:r w:rsidR="00DD00A1">
        <w:rPr>
          <w:b/>
          <w:bCs/>
          <w:lang w:eastAsia="en-GB"/>
        </w:rPr>
        <w:tab/>
      </w:r>
      <w:r w:rsidR="00611208">
        <w:rPr>
          <w:b/>
          <w:bCs/>
          <w:lang w:eastAsia="en-GB"/>
        </w:rPr>
        <w:t xml:space="preserve">la possibilité </w:t>
      </w:r>
      <w:r w:rsidR="009076DD" w:rsidRPr="00F7635A">
        <w:rPr>
          <w:b/>
          <w:bCs/>
          <w:lang w:eastAsia="en-GB"/>
        </w:rPr>
        <w:t xml:space="preserve">d’avoir rapidement accès à un conseil </w:t>
      </w:r>
      <w:r w:rsidR="007E1EE7">
        <w:rPr>
          <w:b/>
          <w:bCs/>
          <w:lang w:eastAsia="en-GB"/>
        </w:rPr>
        <w:t>légal</w:t>
      </w:r>
      <w:r w:rsidR="00DF5D1E">
        <w:rPr>
          <w:b/>
          <w:bCs/>
          <w:lang w:eastAsia="en-GB"/>
        </w:rPr>
        <w:t xml:space="preserve"> indépendant dès le début de la privation de liberté</w:t>
      </w:r>
      <w:r w:rsidR="007E1EE7">
        <w:rPr>
          <w:b/>
          <w:bCs/>
          <w:lang w:eastAsia="en-GB"/>
        </w:rPr>
        <w:t xml:space="preserve"> </w:t>
      </w:r>
      <w:r w:rsidR="009076DD" w:rsidRPr="00F7635A">
        <w:rPr>
          <w:b/>
          <w:bCs/>
          <w:lang w:eastAsia="en-GB"/>
        </w:rPr>
        <w:t>et, le cas échéant, à une aide</w:t>
      </w:r>
      <w:r w:rsidR="009076DD">
        <w:rPr>
          <w:b/>
          <w:bCs/>
          <w:lang w:eastAsia="en-GB"/>
        </w:rPr>
        <w:t xml:space="preserve"> </w:t>
      </w:r>
      <w:r w:rsidR="009076DD" w:rsidRPr="00F7635A">
        <w:rPr>
          <w:b/>
          <w:bCs/>
          <w:lang w:eastAsia="en-GB"/>
        </w:rPr>
        <w:t>juridictionnelle</w:t>
      </w:r>
      <w:r w:rsidR="006073C6">
        <w:rPr>
          <w:b/>
          <w:bCs/>
          <w:lang w:eastAsia="en-GB"/>
        </w:rPr>
        <w:t>;</w:t>
      </w:r>
      <w:r w:rsidR="009076DD">
        <w:rPr>
          <w:b/>
        </w:rPr>
        <w:tab/>
      </w:r>
    </w:p>
    <w:p w:rsidR="00BA17D2" w:rsidRDefault="00F8294F" w:rsidP="0011354B">
      <w:pPr>
        <w:pStyle w:val="SingleTxtG"/>
        <w:tabs>
          <w:tab w:val="left" w:pos="2835"/>
        </w:tabs>
        <w:ind w:left="1701" w:firstLine="567"/>
        <w:rPr>
          <w:b/>
          <w:bCs/>
          <w:lang w:eastAsia="en-GB"/>
        </w:rPr>
      </w:pPr>
      <w:r>
        <w:rPr>
          <w:b/>
        </w:rPr>
        <w:t>i</w:t>
      </w:r>
      <w:r w:rsidR="00BA17D2">
        <w:rPr>
          <w:b/>
        </w:rPr>
        <w:t>i</w:t>
      </w:r>
      <w:r>
        <w:rPr>
          <w:b/>
        </w:rPr>
        <w:t>i)</w:t>
      </w:r>
      <w:r w:rsidR="00DD00A1">
        <w:rPr>
          <w:b/>
        </w:rPr>
        <w:tab/>
      </w:r>
      <w:r w:rsidR="00611208">
        <w:rPr>
          <w:b/>
        </w:rPr>
        <w:t>l</w:t>
      </w:r>
      <w:r w:rsidR="007E1EE7">
        <w:rPr>
          <w:b/>
        </w:rPr>
        <w:t>’assurance</w:t>
      </w:r>
      <w:r w:rsidR="009076DD">
        <w:rPr>
          <w:b/>
        </w:rPr>
        <w:t xml:space="preserve"> </w:t>
      </w:r>
      <w:r w:rsidR="007E1EE7">
        <w:rPr>
          <w:b/>
        </w:rPr>
        <w:t>de pouvoir se</w:t>
      </w:r>
      <w:r w:rsidR="009076DD" w:rsidRPr="00F7635A">
        <w:rPr>
          <w:b/>
          <w:bCs/>
          <w:lang w:eastAsia="en-GB"/>
        </w:rPr>
        <w:t xml:space="preserve"> faire examiner par un</w:t>
      </w:r>
      <w:r w:rsidR="009076DD">
        <w:rPr>
          <w:b/>
          <w:bCs/>
          <w:lang w:eastAsia="en-GB"/>
        </w:rPr>
        <w:t xml:space="preserve"> </w:t>
      </w:r>
      <w:r w:rsidR="009076DD" w:rsidRPr="00F7635A">
        <w:rPr>
          <w:b/>
          <w:bCs/>
          <w:lang w:eastAsia="en-GB"/>
        </w:rPr>
        <w:t>médecin indépendant</w:t>
      </w:r>
      <w:r w:rsidR="007E1EE7">
        <w:rPr>
          <w:b/>
          <w:bCs/>
          <w:lang w:eastAsia="en-GB"/>
        </w:rPr>
        <w:t xml:space="preserve"> et de</w:t>
      </w:r>
      <w:r w:rsidR="009076DD" w:rsidRPr="00F7635A">
        <w:rPr>
          <w:b/>
          <w:bCs/>
          <w:lang w:eastAsia="en-GB"/>
        </w:rPr>
        <w:t xml:space="preserve"> contacter un membre de</w:t>
      </w:r>
      <w:r w:rsidR="009076DD">
        <w:rPr>
          <w:b/>
          <w:bCs/>
          <w:lang w:eastAsia="en-GB"/>
        </w:rPr>
        <w:t xml:space="preserve"> </w:t>
      </w:r>
      <w:r w:rsidR="007E1EE7">
        <w:rPr>
          <w:b/>
          <w:bCs/>
          <w:lang w:eastAsia="en-GB"/>
        </w:rPr>
        <w:t xml:space="preserve">sa </w:t>
      </w:r>
      <w:r w:rsidR="009076DD" w:rsidRPr="00F7635A">
        <w:rPr>
          <w:b/>
          <w:bCs/>
          <w:lang w:eastAsia="en-GB"/>
        </w:rPr>
        <w:t>famille</w:t>
      </w:r>
      <w:r w:rsidR="006073C6">
        <w:rPr>
          <w:b/>
          <w:bCs/>
          <w:lang w:eastAsia="en-GB"/>
        </w:rPr>
        <w:t>;</w:t>
      </w:r>
      <w:r w:rsidR="007E1EE7">
        <w:rPr>
          <w:b/>
          <w:bCs/>
          <w:lang w:eastAsia="en-GB"/>
        </w:rPr>
        <w:t xml:space="preserve"> et </w:t>
      </w:r>
    </w:p>
    <w:p w:rsidR="009076DD" w:rsidRDefault="007E1EE7" w:rsidP="00611208">
      <w:pPr>
        <w:pStyle w:val="SingleTxtG"/>
        <w:tabs>
          <w:tab w:val="left" w:pos="2835"/>
        </w:tabs>
        <w:ind w:left="1701" w:firstLine="567"/>
        <w:rPr>
          <w:b/>
          <w:bCs/>
          <w:lang w:eastAsia="en-GB"/>
        </w:rPr>
      </w:pPr>
      <w:r>
        <w:rPr>
          <w:b/>
          <w:bCs/>
          <w:lang w:eastAsia="en-GB"/>
        </w:rPr>
        <w:t>i</w:t>
      </w:r>
      <w:r w:rsidR="00BA17D2">
        <w:rPr>
          <w:b/>
          <w:bCs/>
          <w:lang w:eastAsia="en-GB"/>
        </w:rPr>
        <w:t>v</w:t>
      </w:r>
      <w:r>
        <w:rPr>
          <w:b/>
          <w:bCs/>
          <w:lang w:eastAsia="en-GB"/>
        </w:rPr>
        <w:t>)</w:t>
      </w:r>
      <w:r w:rsidR="00DD00A1">
        <w:rPr>
          <w:b/>
          <w:bCs/>
          <w:lang w:eastAsia="en-GB"/>
        </w:rPr>
        <w:tab/>
      </w:r>
      <w:r>
        <w:rPr>
          <w:b/>
          <w:bCs/>
          <w:lang w:eastAsia="en-GB"/>
        </w:rPr>
        <w:t>la possibilité d’</w:t>
      </w:r>
      <w:r w:rsidR="009076DD" w:rsidRPr="00F7635A">
        <w:rPr>
          <w:b/>
          <w:bCs/>
          <w:lang w:eastAsia="en-GB"/>
        </w:rPr>
        <w:t xml:space="preserve">être présenté sans délai à un juge et </w:t>
      </w:r>
      <w:r>
        <w:rPr>
          <w:b/>
          <w:bCs/>
          <w:lang w:eastAsia="en-GB"/>
        </w:rPr>
        <w:t xml:space="preserve">de </w:t>
      </w:r>
      <w:r w:rsidR="009076DD" w:rsidRPr="00F7635A">
        <w:rPr>
          <w:b/>
          <w:bCs/>
          <w:lang w:eastAsia="en-GB"/>
        </w:rPr>
        <w:t>faire examiner par un tribunal la</w:t>
      </w:r>
      <w:r w:rsidR="009076DD">
        <w:rPr>
          <w:b/>
          <w:bCs/>
          <w:lang w:eastAsia="en-GB"/>
        </w:rPr>
        <w:t xml:space="preserve"> </w:t>
      </w:r>
      <w:r w:rsidR="009076DD" w:rsidRPr="00F7635A">
        <w:rPr>
          <w:b/>
          <w:bCs/>
          <w:lang w:eastAsia="en-GB"/>
        </w:rPr>
        <w:t xml:space="preserve">légalité de </w:t>
      </w:r>
      <w:r>
        <w:rPr>
          <w:b/>
          <w:bCs/>
          <w:lang w:eastAsia="en-GB"/>
        </w:rPr>
        <w:t>sa</w:t>
      </w:r>
      <w:r w:rsidR="009076DD" w:rsidRPr="00F7635A">
        <w:rPr>
          <w:b/>
          <w:bCs/>
          <w:lang w:eastAsia="en-GB"/>
        </w:rPr>
        <w:t xml:space="preserve"> détention, conformément aux normes internationales</w:t>
      </w:r>
      <w:r w:rsidR="006073C6">
        <w:rPr>
          <w:b/>
          <w:bCs/>
          <w:lang w:eastAsia="en-GB"/>
        </w:rPr>
        <w:t>;</w:t>
      </w:r>
    </w:p>
    <w:p w:rsidR="009076DD" w:rsidRDefault="009076DD" w:rsidP="009076DD">
      <w:pPr>
        <w:pStyle w:val="SingleTxtG"/>
        <w:rPr>
          <w:b/>
          <w:lang w:val="fr-FR"/>
        </w:rPr>
      </w:pPr>
      <w:r>
        <w:rPr>
          <w:b/>
        </w:rPr>
        <w:tab/>
      </w:r>
      <w:r w:rsidR="00F8294F">
        <w:rPr>
          <w:b/>
        </w:rPr>
        <w:t>b</w:t>
      </w:r>
      <w:r w:rsidRPr="00405085">
        <w:rPr>
          <w:b/>
        </w:rPr>
        <w:t>)</w:t>
      </w:r>
      <w:r>
        <w:rPr>
          <w:b/>
        </w:rPr>
        <w:tab/>
        <w:t>Libérer et indemniser t</w:t>
      </w:r>
      <w:r>
        <w:rPr>
          <w:b/>
          <w:lang w:val="fr-FR"/>
        </w:rPr>
        <w:t>outes les personnes détenues</w:t>
      </w:r>
      <w:r w:rsidR="00E45627">
        <w:rPr>
          <w:b/>
          <w:lang w:val="fr-FR"/>
        </w:rPr>
        <w:t xml:space="preserve"> </w:t>
      </w:r>
      <w:r w:rsidRPr="001810AC">
        <w:rPr>
          <w:b/>
          <w:lang w:val="fr-FR"/>
        </w:rPr>
        <w:t>arbitraire</w:t>
      </w:r>
      <w:r>
        <w:rPr>
          <w:b/>
          <w:lang w:val="fr-FR"/>
        </w:rPr>
        <w:t>ment</w:t>
      </w:r>
      <w:r w:rsidR="006073C6">
        <w:rPr>
          <w:b/>
          <w:lang w:val="fr-FR"/>
        </w:rPr>
        <w:t>;</w:t>
      </w:r>
      <w:r>
        <w:rPr>
          <w:b/>
          <w:lang w:val="fr-FR"/>
        </w:rPr>
        <w:t xml:space="preserve"> </w:t>
      </w:r>
    </w:p>
    <w:p w:rsidR="00F263D6" w:rsidRPr="00206ACF" w:rsidRDefault="00BA17D2" w:rsidP="006B3D45">
      <w:pPr>
        <w:pStyle w:val="SingleTxtG"/>
        <w:ind w:firstLine="567"/>
        <w:rPr>
          <w:b/>
          <w:lang w:eastAsia="fr-CH"/>
        </w:rPr>
      </w:pPr>
      <w:r>
        <w:rPr>
          <w:b/>
          <w:lang w:val="fr-FR"/>
        </w:rPr>
        <w:t>c</w:t>
      </w:r>
      <w:r w:rsidR="009076DD">
        <w:rPr>
          <w:b/>
          <w:lang w:val="fr-FR"/>
        </w:rPr>
        <w:t>)</w:t>
      </w:r>
      <w:r w:rsidR="009076DD">
        <w:rPr>
          <w:b/>
          <w:lang w:val="fr-FR"/>
        </w:rPr>
        <w:tab/>
      </w:r>
      <w:r w:rsidR="00F8294F" w:rsidRPr="009F5B3B">
        <w:rPr>
          <w:b/>
          <w:lang w:val="fr-FR"/>
        </w:rPr>
        <w:t>Abolir</w:t>
      </w:r>
      <w:r w:rsidR="00ED05DA" w:rsidRPr="009F5B3B">
        <w:rPr>
          <w:b/>
          <w:lang w:val="fr-FR"/>
        </w:rPr>
        <w:t xml:space="preserve"> </w:t>
      </w:r>
      <w:r w:rsidR="0062411D" w:rsidRPr="009F5B3B">
        <w:rPr>
          <w:b/>
          <w:lang w:val="fr-FR"/>
        </w:rPr>
        <w:t>le délai de garde à vue de 15 jours</w:t>
      </w:r>
      <w:r w:rsidR="0062411D" w:rsidRPr="0062411D">
        <w:rPr>
          <w:b/>
          <w:lang w:val="fr-FR"/>
        </w:rPr>
        <w:t xml:space="preserve"> en matière de crimes </w:t>
      </w:r>
      <w:r w:rsidR="00A807C1" w:rsidRPr="0062411D">
        <w:rPr>
          <w:b/>
          <w:lang w:val="fr-FR"/>
        </w:rPr>
        <w:t>t</w:t>
      </w:r>
      <w:r w:rsidR="00A807C1">
        <w:rPr>
          <w:b/>
          <w:lang w:val="fr-FR"/>
        </w:rPr>
        <w:t>e</w:t>
      </w:r>
      <w:r w:rsidR="00A807C1" w:rsidRPr="0062411D">
        <w:rPr>
          <w:b/>
          <w:lang w:val="fr-FR"/>
        </w:rPr>
        <w:t>rroristes</w:t>
      </w:r>
      <w:r w:rsidR="0062411D" w:rsidRPr="0062411D">
        <w:rPr>
          <w:b/>
          <w:lang w:val="fr-FR"/>
        </w:rPr>
        <w:t xml:space="preserve"> et des atteintes à la sûreté de </w:t>
      </w:r>
      <w:r w:rsidR="00CC19A3" w:rsidRPr="0062411D">
        <w:rPr>
          <w:b/>
          <w:lang w:val="fr-FR"/>
        </w:rPr>
        <w:t>l’</w:t>
      </w:r>
      <w:r w:rsidR="006073C6">
        <w:rPr>
          <w:b/>
          <w:lang w:val="fr-FR"/>
        </w:rPr>
        <w:t>État</w:t>
      </w:r>
      <w:r w:rsidR="00F8294F">
        <w:rPr>
          <w:b/>
          <w:lang w:val="fr-FR"/>
        </w:rPr>
        <w:t xml:space="preserve">, </w:t>
      </w:r>
      <w:r w:rsidR="00EB73DB">
        <w:rPr>
          <w:b/>
          <w:lang w:val="fr-FR"/>
        </w:rPr>
        <w:t xml:space="preserve">et </w:t>
      </w:r>
      <w:r w:rsidR="00F8294F">
        <w:rPr>
          <w:b/>
          <w:lang w:val="fr-FR"/>
        </w:rPr>
        <w:t xml:space="preserve">y substituer un délai </w:t>
      </w:r>
      <w:r w:rsidR="008B5A05">
        <w:rPr>
          <w:b/>
          <w:lang w:val="fr-FR"/>
        </w:rPr>
        <w:t>qui n</w:t>
      </w:r>
      <w:r w:rsidR="00E45627">
        <w:rPr>
          <w:b/>
          <w:lang w:val="fr-FR"/>
        </w:rPr>
        <w:t>’</w:t>
      </w:r>
      <w:r w:rsidR="008B5A05">
        <w:rPr>
          <w:b/>
          <w:lang w:val="fr-FR"/>
        </w:rPr>
        <w:t xml:space="preserve">excède pas </w:t>
      </w:r>
      <w:r w:rsidR="00B611B5">
        <w:rPr>
          <w:b/>
          <w:lang w:val="fr-FR"/>
        </w:rPr>
        <w:t>48</w:t>
      </w:r>
      <w:r w:rsidR="002A440C" w:rsidRPr="005D5165">
        <w:rPr>
          <w:b/>
          <w:lang w:val="fr-FR"/>
        </w:rPr>
        <w:t xml:space="preserve"> heures</w:t>
      </w:r>
      <w:r w:rsidR="006073C6" w:rsidRPr="006B3D45">
        <w:rPr>
          <w:b/>
          <w:lang w:eastAsia="fr-CH"/>
        </w:rPr>
        <w:t>;</w:t>
      </w:r>
    </w:p>
    <w:p w:rsidR="00F519FC" w:rsidRPr="00F519FC" w:rsidRDefault="002A6B32" w:rsidP="00F57E42">
      <w:pPr>
        <w:pStyle w:val="SingleTxtG"/>
        <w:ind w:firstLine="567"/>
        <w:rPr>
          <w:b/>
          <w:lang w:val="fr-FR"/>
        </w:rPr>
      </w:pPr>
      <w:r>
        <w:rPr>
          <w:b/>
          <w:lang w:val="fr-FR"/>
        </w:rPr>
        <w:t>d</w:t>
      </w:r>
      <w:r w:rsidR="00F519FC" w:rsidRPr="00F519FC">
        <w:rPr>
          <w:b/>
          <w:lang w:val="fr-FR"/>
        </w:rPr>
        <w:t>)</w:t>
      </w:r>
      <w:r w:rsidR="00F519FC" w:rsidRPr="00F519FC">
        <w:rPr>
          <w:b/>
          <w:lang w:val="fr-FR"/>
        </w:rPr>
        <w:tab/>
      </w:r>
      <w:r w:rsidR="00F519FC">
        <w:rPr>
          <w:b/>
          <w:lang w:val="fr-FR"/>
        </w:rPr>
        <w:t xml:space="preserve">Amender la </w:t>
      </w:r>
      <w:r w:rsidR="006073C6" w:rsidRPr="007213CC">
        <w:rPr>
          <w:b/>
          <w:lang w:val="fr-FR"/>
        </w:rPr>
        <w:t>loi</w:t>
      </w:r>
      <w:r w:rsidR="00F519FC" w:rsidRPr="007213CC">
        <w:rPr>
          <w:b/>
          <w:lang w:val="fr-FR"/>
        </w:rPr>
        <w:t xml:space="preserve"> n°</w:t>
      </w:r>
      <w:r w:rsidR="00E34F1C" w:rsidRPr="007213CC">
        <w:rPr>
          <w:b/>
          <w:lang w:val="fr-FR"/>
        </w:rPr>
        <w:t> </w:t>
      </w:r>
      <w:r w:rsidR="00F519FC" w:rsidRPr="007213CC">
        <w:rPr>
          <w:b/>
          <w:lang w:val="fr-FR"/>
        </w:rPr>
        <w:t>20</w:t>
      </w:r>
      <w:r w:rsidR="00F57E42" w:rsidRPr="007213CC">
        <w:rPr>
          <w:b/>
          <w:lang w:val="fr-FR"/>
        </w:rPr>
        <w:t>10</w:t>
      </w:r>
      <w:r w:rsidR="00F519FC" w:rsidRPr="007213CC">
        <w:rPr>
          <w:b/>
          <w:lang w:val="fr-FR"/>
        </w:rPr>
        <w:t>-04</w:t>
      </w:r>
      <w:r w:rsidR="00F57E42" w:rsidRPr="007213CC">
        <w:rPr>
          <w:b/>
          <w:lang w:val="fr-FR"/>
        </w:rPr>
        <w:t>3</w:t>
      </w:r>
      <w:r w:rsidR="00F519FC" w:rsidRPr="00F519FC">
        <w:rPr>
          <w:b/>
          <w:lang w:val="fr-FR"/>
        </w:rPr>
        <w:t xml:space="preserve"> relative </w:t>
      </w:r>
      <w:r w:rsidR="004D0086">
        <w:rPr>
          <w:b/>
          <w:lang w:val="fr-FR"/>
        </w:rPr>
        <w:t>à la lutte contre le terrorisme pour en restreindre la portée de manière à ce qu’elle</w:t>
      </w:r>
      <w:r w:rsidR="006E0427">
        <w:rPr>
          <w:b/>
          <w:lang w:val="fr-FR"/>
        </w:rPr>
        <w:t xml:space="preserve"> </w:t>
      </w:r>
      <w:r w:rsidR="009D31A2">
        <w:rPr>
          <w:b/>
          <w:lang w:val="fr-FR"/>
        </w:rPr>
        <w:t>n’occasionne</w:t>
      </w:r>
      <w:r w:rsidR="006E0427">
        <w:rPr>
          <w:b/>
          <w:lang w:val="fr-FR"/>
        </w:rPr>
        <w:t xml:space="preserve"> pas </w:t>
      </w:r>
      <w:r w:rsidR="009D31A2">
        <w:rPr>
          <w:b/>
          <w:lang w:val="fr-FR"/>
        </w:rPr>
        <w:t>de</w:t>
      </w:r>
      <w:r w:rsidR="006E0427">
        <w:rPr>
          <w:b/>
          <w:lang w:val="fr-FR"/>
        </w:rPr>
        <w:t xml:space="preserve"> détentions arbitraires</w:t>
      </w:r>
      <w:r w:rsidR="004D0086">
        <w:rPr>
          <w:b/>
          <w:lang w:val="fr-FR"/>
        </w:rPr>
        <w:t xml:space="preserve"> </w:t>
      </w:r>
      <w:r w:rsidR="0011354B">
        <w:rPr>
          <w:b/>
          <w:lang w:val="fr-FR"/>
        </w:rPr>
        <w:t xml:space="preserve">ni </w:t>
      </w:r>
      <w:r w:rsidR="004D0086">
        <w:rPr>
          <w:b/>
          <w:lang w:val="fr-FR"/>
        </w:rPr>
        <w:t>de traitements prohibés par la Convention.</w:t>
      </w:r>
      <w:r w:rsidR="00DD54BE">
        <w:rPr>
          <w:b/>
          <w:lang w:val="fr-FR"/>
        </w:rPr>
        <w:t xml:space="preserve"> </w:t>
      </w:r>
    </w:p>
    <w:p w:rsidR="00300278" w:rsidRDefault="003833D2" w:rsidP="003833D2">
      <w:pPr>
        <w:pStyle w:val="H23G"/>
        <w:rPr>
          <w:lang w:val="fr-FR"/>
        </w:rPr>
      </w:pPr>
      <w:r>
        <w:rPr>
          <w:lang w:val="fr-FR"/>
        </w:rPr>
        <w:tab/>
      </w:r>
      <w:r>
        <w:rPr>
          <w:lang w:val="fr-FR"/>
        </w:rPr>
        <w:tab/>
      </w:r>
      <w:r w:rsidR="00300278" w:rsidRPr="00EF46F6">
        <w:rPr>
          <w:lang w:val="fr-FR"/>
        </w:rPr>
        <w:t>D</w:t>
      </w:r>
      <w:r w:rsidR="00300278">
        <w:rPr>
          <w:lang w:val="fr-FR"/>
        </w:rPr>
        <w:t>étention au secret et d</w:t>
      </w:r>
      <w:r w:rsidR="00300278" w:rsidRPr="00EF46F6">
        <w:rPr>
          <w:lang w:val="fr-FR"/>
        </w:rPr>
        <w:t>isparitions forcées</w:t>
      </w:r>
    </w:p>
    <w:p w:rsidR="00300278" w:rsidRDefault="00300278" w:rsidP="00300278">
      <w:pPr>
        <w:pStyle w:val="SingleTxtG"/>
        <w:rPr>
          <w:lang w:val="fr-FR"/>
        </w:rPr>
      </w:pPr>
      <w:r>
        <w:rPr>
          <w:lang w:val="fr-FR"/>
        </w:rPr>
        <w:t>11.</w:t>
      </w:r>
      <w:r>
        <w:rPr>
          <w:lang w:val="fr-FR"/>
        </w:rPr>
        <w:tab/>
        <w:t>Le Comité s</w:t>
      </w:r>
      <w:r w:rsidR="00E45627">
        <w:rPr>
          <w:lang w:val="fr-FR"/>
        </w:rPr>
        <w:t>’</w:t>
      </w:r>
      <w:r>
        <w:rPr>
          <w:lang w:val="fr-FR"/>
        </w:rPr>
        <w:t>inquiète d</w:t>
      </w:r>
      <w:r w:rsidR="00E45627">
        <w:rPr>
          <w:lang w:val="fr-FR"/>
        </w:rPr>
        <w:t>’</w:t>
      </w:r>
      <w:r>
        <w:rPr>
          <w:lang w:val="fr-FR"/>
        </w:rPr>
        <w:t>allégations reçues quant à la pratique de la détention au secret, qui constitue le terreau de la pratique de la torture et des disparitions forcées.</w:t>
      </w:r>
    </w:p>
    <w:p w:rsidR="00300278" w:rsidRPr="00C3756D" w:rsidRDefault="00300278" w:rsidP="00300278">
      <w:pPr>
        <w:pStyle w:val="SingleTxtG"/>
        <w:rPr>
          <w:b/>
          <w:lang w:val="fr-FR"/>
        </w:rPr>
      </w:pPr>
      <w:r w:rsidRPr="00C3756D">
        <w:rPr>
          <w:b/>
          <w:lang w:val="fr-FR"/>
        </w:rPr>
        <w:t>L</w:t>
      </w:r>
      <w:r w:rsidR="00E45627">
        <w:rPr>
          <w:b/>
          <w:lang w:val="fr-FR"/>
        </w:rPr>
        <w:t>’</w:t>
      </w:r>
      <w:r w:rsidR="006073C6">
        <w:rPr>
          <w:b/>
          <w:lang w:val="fr-FR"/>
        </w:rPr>
        <w:t>État</w:t>
      </w:r>
      <w:r w:rsidRPr="00C3756D">
        <w:rPr>
          <w:b/>
          <w:lang w:val="fr-FR"/>
        </w:rPr>
        <w:t xml:space="preserve"> partie devrait:</w:t>
      </w:r>
    </w:p>
    <w:p w:rsidR="00300278" w:rsidRDefault="00300278" w:rsidP="0011354B">
      <w:pPr>
        <w:spacing w:after="120" w:line="240" w:lineRule="auto"/>
        <w:ind w:left="1134" w:right="1134" w:firstLine="567"/>
        <w:jc w:val="both"/>
        <w:rPr>
          <w:b/>
          <w:lang w:eastAsia="fr-CH"/>
        </w:rPr>
      </w:pPr>
      <w:r w:rsidRPr="008C0C9C">
        <w:rPr>
          <w:b/>
          <w:lang w:eastAsia="fr-CH"/>
        </w:rPr>
        <w:t>a)</w:t>
      </w:r>
      <w:r w:rsidRPr="008C0C9C">
        <w:rPr>
          <w:b/>
          <w:lang w:eastAsia="fr-CH"/>
        </w:rPr>
        <w:tab/>
      </w:r>
      <w:r>
        <w:rPr>
          <w:b/>
          <w:lang w:eastAsia="fr-CH"/>
        </w:rPr>
        <w:t>G</w:t>
      </w:r>
      <w:r w:rsidRPr="008C0C9C">
        <w:rPr>
          <w:b/>
          <w:lang w:eastAsia="fr-CH"/>
        </w:rPr>
        <w:t xml:space="preserve">arantir la tenue à jour d’un registre des personnes privées de liberté, mis à la disposition de toute autorité judiciaire compétente, et qui comprenne: </w:t>
      </w:r>
    </w:p>
    <w:p w:rsidR="00300278" w:rsidRDefault="00213274" w:rsidP="0011354B">
      <w:pPr>
        <w:tabs>
          <w:tab w:val="left" w:pos="2268"/>
          <w:tab w:val="left" w:pos="2835"/>
        </w:tabs>
        <w:spacing w:after="120" w:line="240" w:lineRule="auto"/>
        <w:ind w:left="1134" w:right="1134" w:firstLine="306"/>
        <w:jc w:val="both"/>
        <w:rPr>
          <w:b/>
          <w:lang w:eastAsia="fr-CH"/>
        </w:rPr>
      </w:pPr>
      <w:r>
        <w:rPr>
          <w:b/>
          <w:lang w:eastAsia="fr-CH"/>
        </w:rPr>
        <w:tab/>
      </w:r>
      <w:r w:rsidR="00300278" w:rsidRPr="008C0C9C">
        <w:rPr>
          <w:b/>
          <w:lang w:eastAsia="fr-CH"/>
        </w:rPr>
        <w:t xml:space="preserve">i) </w:t>
      </w:r>
      <w:r w:rsidR="00300278">
        <w:rPr>
          <w:b/>
          <w:lang w:eastAsia="fr-CH"/>
        </w:rPr>
        <w:tab/>
      </w:r>
      <w:r w:rsidR="0011354B">
        <w:rPr>
          <w:b/>
          <w:lang w:eastAsia="fr-CH"/>
        </w:rPr>
        <w:t>l</w:t>
      </w:r>
      <w:r w:rsidR="00300278" w:rsidRPr="008C0C9C">
        <w:rPr>
          <w:b/>
          <w:lang w:eastAsia="fr-CH"/>
        </w:rPr>
        <w:t>’identité de la personne privée de liberté</w:t>
      </w:r>
      <w:r w:rsidR="006073C6">
        <w:rPr>
          <w:b/>
          <w:lang w:eastAsia="fr-CH"/>
        </w:rPr>
        <w:t>;</w:t>
      </w:r>
      <w:r w:rsidR="00300278" w:rsidRPr="008C0C9C">
        <w:rPr>
          <w:b/>
          <w:lang w:eastAsia="fr-CH"/>
        </w:rPr>
        <w:t xml:space="preserve"> </w:t>
      </w:r>
    </w:p>
    <w:p w:rsidR="00300278" w:rsidRDefault="00213274" w:rsidP="0011354B">
      <w:pPr>
        <w:tabs>
          <w:tab w:val="left" w:pos="2268"/>
          <w:tab w:val="left" w:pos="2835"/>
        </w:tabs>
        <w:spacing w:after="120" w:line="240" w:lineRule="auto"/>
        <w:ind w:left="1440" w:right="1134"/>
        <w:jc w:val="both"/>
        <w:rPr>
          <w:b/>
          <w:lang w:eastAsia="fr-CH"/>
        </w:rPr>
      </w:pPr>
      <w:r>
        <w:rPr>
          <w:b/>
          <w:lang w:eastAsia="fr-CH"/>
        </w:rPr>
        <w:tab/>
      </w:r>
      <w:r w:rsidR="00300278" w:rsidRPr="008C0C9C">
        <w:rPr>
          <w:b/>
          <w:lang w:eastAsia="fr-CH"/>
        </w:rPr>
        <w:t xml:space="preserve">ii) </w:t>
      </w:r>
      <w:r w:rsidR="00300278">
        <w:rPr>
          <w:b/>
          <w:lang w:eastAsia="fr-CH"/>
        </w:rPr>
        <w:tab/>
      </w:r>
      <w:r w:rsidR="0011354B">
        <w:rPr>
          <w:b/>
          <w:lang w:eastAsia="fr-CH"/>
        </w:rPr>
        <w:t>l</w:t>
      </w:r>
      <w:r w:rsidR="00300278" w:rsidRPr="008C0C9C">
        <w:rPr>
          <w:b/>
          <w:lang w:eastAsia="fr-CH"/>
        </w:rPr>
        <w:t>a date, l’heure et l’endroit où la personne a été privée de liberté et l’identité de l’autorité qui a procédé à la privation de liberté</w:t>
      </w:r>
      <w:r w:rsidR="006073C6">
        <w:rPr>
          <w:b/>
          <w:lang w:eastAsia="fr-CH"/>
        </w:rPr>
        <w:t>;</w:t>
      </w:r>
      <w:r w:rsidR="00300278" w:rsidRPr="008C0C9C">
        <w:rPr>
          <w:b/>
          <w:lang w:eastAsia="fr-CH"/>
        </w:rPr>
        <w:t xml:space="preserve"> </w:t>
      </w:r>
    </w:p>
    <w:p w:rsidR="00300278" w:rsidRDefault="00213274" w:rsidP="0011354B">
      <w:pPr>
        <w:tabs>
          <w:tab w:val="left" w:pos="2268"/>
          <w:tab w:val="left" w:pos="2835"/>
        </w:tabs>
        <w:spacing w:after="120" w:line="240" w:lineRule="auto"/>
        <w:ind w:left="1134" w:right="1134" w:firstLine="306"/>
        <w:jc w:val="both"/>
        <w:rPr>
          <w:b/>
          <w:lang w:eastAsia="fr-CH"/>
        </w:rPr>
      </w:pPr>
      <w:r>
        <w:rPr>
          <w:b/>
          <w:lang w:eastAsia="fr-CH"/>
        </w:rPr>
        <w:tab/>
      </w:r>
      <w:r w:rsidR="00300278" w:rsidRPr="008C0C9C">
        <w:rPr>
          <w:b/>
          <w:lang w:eastAsia="fr-CH"/>
        </w:rPr>
        <w:t>iii)</w:t>
      </w:r>
      <w:r w:rsidR="00424F67">
        <w:rPr>
          <w:b/>
          <w:lang w:eastAsia="fr-CH"/>
        </w:rPr>
        <w:tab/>
      </w:r>
      <w:r w:rsidR="0011354B">
        <w:rPr>
          <w:b/>
          <w:lang w:eastAsia="fr-CH"/>
        </w:rPr>
        <w:t>l</w:t>
      </w:r>
      <w:r w:rsidR="00300278">
        <w:rPr>
          <w:b/>
          <w:lang w:eastAsia="fr-CH"/>
        </w:rPr>
        <w:t>e</w:t>
      </w:r>
      <w:r w:rsidR="00300278" w:rsidRPr="008C0C9C">
        <w:rPr>
          <w:b/>
          <w:lang w:eastAsia="fr-CH"/>
        </w:rPr>
        <w:t xml:space="preserve">s motifs de la privation de liberté; </w:t>
      </w:r>
    </w:p>
    <w:p w:rsidR="00300278" w:rsidRDefault="00213274" w:rsidP="0011354B">
      <w:pPr>
        <w:tabs>
          <w:tab w:val="left" w:pos="2268"/>
          <w:tab w:val="left" w:pos="2835"/>
        </w:tabs>
        <w:spacing w:after="120" w:line="240" w:lineRule="auto"/>
        <w:ind w:left="1134" w:right="1134" w:firstLine="306"/>
        <w:jc w:val="both"/>
        <w:rPr>
          <w:b/>
          <w:lang w:eastAsia="fr-CH"/>
        </w:rPr>
      </w:pPr>
      <w:r>
        <w:rPr>
          <w:b/>
          <w:lang w:eastAsia="fr-CH"/>
        </w:rPr>
        <w:tab/>
      </w:r>
      <w:r w:rsidR="00300278" w:rsidRPr="008C0C9C">
        <w:rPr>
          <w:b/>
          <w:lang w:eastAsia="fr-CH"/>
        </w:rPr>
        <w:t xml:space="preserve">iv) </w:t>
      </w:r>
      <w:r w:rsidR="00300278">
        <w:rPr>
          <w:b/>
          <w:lang w:eastAsia="fr-CH"/>
        </w:rPr>
        <w:tab/>
      </w:r>
      <w:r w:rsidR="0011354B">
        <w:rPr>
          <w:b/>
          <w:lang w:eastAsia="fr-CH"/>
        </w:rPr>
        <w:t>l</w:t>
      </w:r>
      <w:r w:rsidR="00300278" w:rsidRPr="008C0C9C">
        <w:rPr>
          <w:b/>
          <w:lang w:eastAsia="fr-CH"/>
        </w:rPr>
        <w:t xml:space="preserve">’autorité en charge de la </w:t>
      </w:r>
      <w:r w:rsidR="00300278">
        <w:rPr>
          <w:b/>
          <w:lang w:eastAsia="fr-CH"/>
        </w:rPr>
        <w:t>détention</w:t>
      </w:r>
      <w:r w:rsidR="006073C6">
        <w:rPr>
          <w:b/>
          <w:lang w:eastAsia="fr-CH"/>
        </w:rPr>
        <w:t>;</w:t>
      </w:r>
      <w:r w:rsidR="00300278" w:rsidRPr="008C0C9C">
        <w:rPr>
          <w:b/>
          <w:lang w:eastAsia="fr-CH"/>
        </w:rPr>
        <w:t xml:space="preserve"> </w:t>
      </w:r>
    </w:p>
    <w:p w:rsidR="00300278" w:rsidRDefault="00300278" w:rsidP="0011354B">
      <w:pPr>
        <w:tabs>
          <w:tab w:val="left" w:pos="2268"/>
          <w:tab w:val="left" w:pos="2835"/>
        </w:tabs>
        <w:spacing w:after="120" w:line="240" w:lineRule="auto"/>
        <w:ind w:left="2007" w:right="1134" w:firstLine="261"/>
        <w:jc w:val="both"/>
        <w:rPr>
          <w:b/>
          <w:lang w:eastAsia="fr-CH"/>
        </w:rPr>
      </w:pPr>
      <w:r w:rsidRPr="008C0C9C">
        <w:rPr>
          <w:b/>
          <w:lang w:eastAsia="fr-CH"/>
        </w:rPr>
        <w:t xml:space="preserve">v) </w:t>
      </w:r>
      <w:r>
        <w:rPr>
          <w:b/>
          <w:lang w:eastAsia="fr-CH"/>
        </w:rPr>
        <w:tab/>
      </w:r>
      <w:r w:rsidR="0011354B">
        <w:rPr>
          <w:b/>
          <w:lang w:eastAsia="fr-CH"/>
        </w:rPr>
        <w:t>l</w:t>
      </w:r>
      <w:r w:rsidRPr="008C0C9C">
        <w:rPr>
          <w:b/>
          <w:lang w:eastAsia="fr-CH"/>
        </w:rPr>
        <w:t>es éléments relatifs à l’état de santé de la personne privée de liberté</w:t>
      </w:r>
      <w:r w:rsidR="006073C6">
        <w:rPr>
          <w:b/>
          <w:lang w:eastAsia="fr-CH"/>
        </w:rPr>
        <w:t>;</w:t>
      </w:r>
      <w:r w:rsidRPr="008C0C9C">
        <w:rPr>
          <w:b/>
          <w:lang w:eastAsia="fr-CH"/>
        </w:rPr>
        <w:t xml:space="preserve"> </w:t>
      </w:r>
    </w:p>
    <w:p w:rsidR="00300278" w:rsidRDefault="00213274" w:rsidP="00304B10">
      <w:pPr>
        <w:tabs>
          <w:tab w:val="left" w:pos="2268"/>
          <w:tab w:val="left" w:pos="2835"/>
        </w:tabs>
        <w:spacing w:after="120" w:line="240" w:lineRule="auto"/>
        <w:ind w:left="1440" w:right="1134"/>
        <w:jc w:val="both"/>
        <w:rPr>
          <w:b/>
          <w:lang w:eastAsia="fr-CH"/>
        </w:rPr>
      </w:pPr>
      <w:r>
        <w:rPr>
          <w:b/>
          <w:lang w:eastAsia="fr-CH"/>
        </w:rPr>
        <w:tab/>
      </w:r>
      <w:r w:rsidR="00300278" w:rsidRPr="008C0C9C">
        <w:rPr>
          <w:b/>
          <w:lang w:eastAsia="fr-CH"/>
        </w:rPr>
        <w:t>vi)</w:t>
      </w:r>
      <w:r w:rsidR="00300278">
        <w:rPr>
          <w:b/>
          <w:lang w:eastAsia="fr-CH"/>
        </w:rPr>
        <w:tab/>
      </w:r>
      <w:r w:rsidR="00304B10">
        <w:rPr>
          <w:b/>
          <w:lang w:eastAsia="fr-CH"/>
        </w:rPr>
        <w:t>e</w:t>
      </w:r>
      <w:r w:rsidR="00300278" w:rsidRPr="008C0C9C">
        <w:rPr>
          <w:b/>
          <w:lang w:eastAsia="fr-CH"/>
        </w:rPr>
        <w:t>n cas de décès pendant la privation de liberté, les circonstanc</w:t>
      </w:r>
      <w:r w:rsidR="00300278">
        <w:rPr>
          <w:b/>
          <w:lang w:eastAsia="fr-CH"/>
        </w:rPr>
        <w:t>es et les causes du décès et la destination de la dépouille</w:t>
      </w:r>
      <w:r w:rsidR="00300278" w:rsidRPr="008C0C9C">
        <w:rPr>
          <w:b/>
          <w:lang w:eastAsia="fr-CH"/>
        </w:rPr>
        <w:t xml:space="preserve"> de la personne décédée</w:t>
      </w:r>
      <w:r w:rsidR="006073C6">
        <w:rPr>
          <w:b/>
          <w:lang w:eastAsia="fr-CH"/>
        </w:rPr>
        <w:t>;</w:t>
      </w:r>
      <w:r w:rsidR="00300278">
        <w:rPr>
          <w:b/>
          <w:lang w:eastAsia="fr-CH"/>
        </w:rPr>
        <w:t xml:space="preserve"> et</w:t>
      </w:r>
    </w:p>
    <w:p w:rsidR="00300278" w:rsidRDefault="00424F67" w:rsidP="00304B10">
      <w:pPr>
        <w:tabs>
          <w:tab w:val="left" w:pos="2268"/>
          <w:tab w:val="left" w:pos="2835"/>
        </w:tabs>
        <w:spacing w:after="120" w:line="240" w:lineRule="auto"/>
        <w:ind w:left="1440" w:right="1134" w:firstLine="45"/>
        <w:jc w:val="both"/>
        <w:rPr>
          <w:b/>
          <w:lang w:eastAsia="fr-CH"/>
        </w:rPr>
      </w:pPr>
      <w:r>
        <w:rPr>
          <w:b/>
          <w:lang w:eastAsia="fr-CH"/>
        </w:rPr>
        <w:tab/>
      </w:r>
      <w:r w:rsidR="00300278" w:rsidRPr="008C0C9C">
        <w:rPr>
          <w:b/>
          <w:lang w:eastAsia="fr-CH"/>
        </w:rPr>
        <w:t xml:space="preserve">vii) </w:t>
      </w:r>
      <w:r w:rsidR="00300278">
        <w:rPr>
          <w:b/>
          <w:lang w:eastAsia="fr-CH"/>
        </w:rPr>
        <w:tab/>
      </w:r>
      <w:r w:rsidR="00304B10">
        <w:rPr>
          <w:b/>
          <w:lang w:eastAsia="fr-CH"/>
        </w:rPr>
        <w:t>l</w:t>
      </w:r>
      <w:r w:rsidR="00300278" w:rsidRPr="008C0C9C">
        <w:rPr>
          <w:b/>
          <w:lang w:eastAsia="fr-CH"/>
        </w:rPr>
        <w:t>a date et l’heure de la libération ou du transfert</w:t>
      </w:r>
      <w:r w:rsidR="00E45627">
        <w:rPr>
          <w:b/>
          <w:lang w:eastAsia="fr-CH"/>
        </w:rPr>
        <w:t xml:space="preserve"> </w:t>
      </w:r>
      <w:r w:rsidR="00300278" w:rsidRPr="008C0C9C">
        <w:rPr>
          <w:b/>
          <w:lang w:eastAsia="fr-CH"/>
        </w:rPr>
        <w:t>vers un autre lieu de détention, la destination et</w:t>
      </w:r>
      <w:r w:rsidR="00E45627">
        <w:rPr>
          <w:b/>
          <w:lang w:eastAsia="fr-CH"/>
        </w:rPr>
        <w:t xml:space="preserve"> </w:t>
      </w:r>
      <w:r w:rsidR="00300278" w:rsidRPr="008C0C9C">
        <w:rPr>
          <w:b/>
          <w:lang w:eastAsia="fr-CH"/>
        </w:rPr>
        <w:t>l</w:t>
      </w:r>
      <w:r w:rsidR="00300278">
        <w:rPr>
          <w:b/>
          <w:lang w:eastAsia="fr-CH"/>
        </w:rPr>
        <w:t>’autorité chargée du transfert;</w:t>
      </w:r>
    </w:p>
    <w:p w:rsidR="00300278" w:rsidRDefault="00300278" w:rsidP="002A4FA2">
      <w:pPr>
        <w:pStyle w:val="SingleTxtG"/>
        <w:ind w:firstLine="567"/>
        <w:rPr>
          <w:b/>
          <w:lang w:val="fr-FR"/>
        </w:rPr>
      </w:pPr>
      <w:r>
        <w:rPr>
          <w:b/>
          <w:lang w:val="fr-FR"/>
        </w:rPr>
        <w:t>b)</w:t>
      </w:r>
      <w:r>
        <w:rPr>
          <w:b/>
          <w:lang w:val="fr-FR"/>
        </w:rPr>
        <w:tab/>
        <w:t>A</w:t>
      </w:r>
      <w:r w:rsidRPr="001C57EB">
        <w:rPr>
          <w:b/>
          <w:lang w:val="fr-FR"/>
        </w:rPr>
        <w:t>dopter promptement, dans sa législation nationale, une définition du crime de disparition forcée</w:t>
      </w:r>
      <w:r w:rsidR="006073C6">
        <w:rPr>
          <w:b/>
          <w:lang w:val="fr-FR"/>
        </w:rPr>
        <w:t>;</w:t>
      </w:r>
    </w:p>
    <w:p w:rsidR="00300278" w:rsidRPr="00206ACF" w:rsidRDefault="00300278" w:rsidP="00206ACF">
      <w:pPr>
        <w:spacing w:after="120" w:line="240" w:lineRule="auto"/>
        <w:ind w:left="1134" w:right="1134" w:firstLine="567"/>
        <w:jc w:val="both"/>
        <w:rPr>
          <w:b/>
          <w:lang w:eastAsia="fr-CH"/>
        </w:rPr>
      </w:pPr>
      <w:r w:rsidRPr="00206ACF">
        <w:rPr>
          <w:b/>
          <w:lang w:eastAsia="fr-CH"/>
        </w:rPr>
        <w:t>c)</w:t>
      </w:r>
      <w:r w:rsidRPr="00206ACF">
        <w:rPr>
          <w:b/>
          <w:lang w:eastAsia="fr-CH"/>
        </w:rPr>
        <w:tab/>
        <w:t>Prendre des mesures efficaces pour que soient menées</w:t>
      </w:r>
      <w:r w:rsidR="00311681">
        <w:rPr>
          <w:b/>
          <w:lang w:eastAsia="fr-CH"/>
        </w:rPr>
        <w:t>,</w:t>
      </w:r>
      <w:r w:rsidRPr="00206ACF">
        <w:rPr>
          <w:b/>
          <w:lang w:eastAsia="fr-CH"/>
        </w:rPr>
        <w:t xml:space="preserve"> sans délai</w:t>
      </w:r>
      <w:r w:rsidR="00311681">
        <w:rPr>
          <w:b/>
          <w:lang w:eastAsia="fr-CH"/>
        </w:rPr>
        <w:t>,</w:t>
      </w:r>
      <w:r w:rsidRPr="00206ACF">
        <w:rPr>
          <w:b/>
          <w:lang w:eastAsia="fr-CH"/>
        </w:rPr>
        <w:t xml:space="preserve"> des enquêtes pénales approfondies, indépendantes et impartiales sur toutes les allégations de torture et mauvais traitements reçues, déférer les auteurs de ces actes à la justice, qui devrait les pun</w:t>
      </w:r>
      <w:r w:rsidR="006A59D4" w:rsidRPr="00206ACF">
        <w:rPr>
          <w:b/>
          <w:lang w:eastAsia="fr-CH"/>
        </w:rPr>
        <w:t>ir par des</w:t>
      </w:r>
      <w:r w:rsidR="00E45627" w:rsidRPr="00206ACF">
        <w:rPr>
          <w:b/>
          <w:lang w:eastAsia="fr-CH"/>
        </w:rPr>
        <w:t xml:space="preserve"> </w:t>
      </w:r>
      <w:r w:rsidR="006A59D4" w:rsidRPr="00206ACF">
        <w:rPr>
          <w:b/>
          <w:lang w:eastAsia="fr-CH"/>
        </w:rPr>
        <w:t>peines appropriées.</w:t>
      </w:r>
    </w:p>
    <w:p w:rsidR="00ED05DA" w:rsidRPr="00A214A0" w:rsidRDefault="002A4FA2" w:rsidP="002A4FA2">
      <w:pPr>
        <w:pStyle w:val="H23G"/>
        <w:rPr>
          <w:lang w:val="fr-FR"/>
        </w:rPr>
      </w:pPr>
      <w:r>
        <w:rPr>
          <w:b w:val="0"/>
          <w:lang w:val="fr-FR"/>
        </w:rPr>
        <w:tab/>
      </w:r>
      <w:r>
        <w:rPr>
          <w:b w:val="0"/>
          <w:lang w:val="fr-FR"/>
        </w:rPr>
        <w:tab/>
      </w:r>
      <w:r w:rsidR="00ED05DA" w:rsidRPr="00A214A0">
        <w:rPr>
          <w:lang w:val="fr-FR"/>
        </w:rPr>
        <w:t>Ordre d’un supérieur</w:t>
      </w:r>
    </w:p>
    <w:p w:rsidR="00ED05DA" w:rsidRPr="00386735" w:rsidRDefault="00ED05DA" w:rsidP="00FB0AD9">
      <w:pPr>
        <w:pStyle w:val="SingleTxtG"/>
        <w:rPr>
          <w:lang w:val="fr-FR"/>
        </w:rPr>
      </w:pPr>
      <w:r>
        <w:rPr>
          <w:lang w:val="fr-FR"/>
        </w:rPr>
        <w:t>1</w:t>
      </w:r>
      <w:r w:rsidR="004D0086" w:rsidRPr="00FB0AD9">
        <w:rPr>
          <w:lang w:val="fr-FR"/>
        </w:rPr>
        <w:t>2</w:t>
      </w:r>
      <w:r w:rsidRPr="00FB0AD9">
        <w:rPr>
          <w:lang w:val="fr-FR"/>
        </w:rPr>
        <w:t>.</w:t>
      </w:r>
      <w:r w:rsidRPr="00FB0AD9">
        <w:rPr>
          <w:lang w:val="fr-FR"/>
        </w:rPr>
        <w:tab/>
      </w:r>
      <w:r w:rsidR="00797D0E" w:rsidRPr="00FB0AD9">
        <w:rPr>
          <w:lang w:val="fr-FR"/>
        </w:rPr>
        <w:t xml:space="preserve">Tout en </w:t>
      </w:r>
      <w:r w:rsidR="00A807C1" w:rsidRPr="00FB0AD9">
        <w:rPr>
          <w:lang w:val="fr-FR"/>
        </w:rPr>
        <w:t xml:space="preserve">prenant </w:t>
      </w:r>
      <w:r w:rsidR="006A4B50" w:rsidRPr="00FB0AD9">
        <w:rPr>
          <w:lang w:val="fr-FR"/>
        </w:rPr>
        <w:t>note de l’information communiquée par l’État partie selon laquelle un d</w:t>
      </w:r>
      <w:r w:rsidR="00797D0E" w:rsidRPr="00FB0AD9">
        <w:rPr>
          <w:lang w:val="fr-FR"/>
        </w:rPr>
        <w:t>écret portant</w:t>
      </w:r>
      <w:r w:rsidR="007807DD" w:rsidRPr="00FB0AD9">
        <w:rPr>
          <w:lang w:val="fr-FR"/>
        </w:rPr>
        <w:t xml:space="preserve"> </w:t>
      </w:r>
      <w:r w:rsidR="00FB0AD9" w:rsidRPr="00FB0AD9">
        <w:rPr>
          <w:lang w:val="fr-FR"/>
        </w:rPr>
        <w:t>c</w:t>
      </w:r>
      <w:r w:rsidR="00797D0E" w:rsidRPr="00FB0AD9">
        <w:rPr>
          <w:lang w:val="fr-FR"/>
        </w:rPr>
        <w:t xml:space="preserve">ode de déontologie de la police nationale </w:t>
      </w:r>
      <w:r w:rsidR="005B1120" w:rsidRPr="00FB0AD9">
        <w:rPr>
          <w:lang w:val="fr-FR"/>
        </w:rPr>
        <w:t xml:space="preserve">stipule que </w:t>
      </w:r>
      <w:r w:rsidR="00797D0E" w:rsidRPr="00FB0AD9">
        <w:rPr>
          <w:lang w:val="fr-FR"/>
        </w:rPr>
        <w:t>l</w:t>
      </w:r>
      <w:r w:rsidR="00E45627" w:rsidRPr="00FB0AD9">
        <w:rPr>
          <w:lang w:val="fr-FR"/>
        </w:rPr>
        <w:t>’</w:t>
      </w:r>
      <w:r w:rsidR="00797D0E" w:rsidRPr="00FB0AD9">
        <w:rPr>
          <w:lang w:val="fr-FR"/>
        </w:rPr>
        <w:t xml:space="preserve">obéissance au chef hiérarchique </w:t>
      </w:r>
      <w:r w:rsidR="00A807C1" w:rsidRPr="00FB0AD9">
        <w:rPr>
          <w:lang w:val="fr-FR"/>
        </w:rPr>
        <w:t>relative à</w:t>
      </w:r>
      <w:r w:rsidR="00797D0E" w:rsidRPr="00FB0AD9">
        <w:rPr>
          <w:lang w:val="fr-FR"/>
        </w:rPr>
        <w:t xml:space="preserve"> la com</w:t>
      </w:r>
      <w:r w:rsidR="006D75AA" w:rsidRPr="00FB0AD9">
        <w:rPr>
          <w:lang w:val="fr-FR"/>
        </w:rPr>
        <w:t>mission d</w:t>
      </w:r>
      <w:r w:rsidR="00E45627" w:rsidRPr="00FB0AD9">
        <w:rPr>
          <w:lang w:val="fr-FR"/>
        </w:rPr>
        <w:t>’</w:t>
      </w:r>
      <w:r w:rsidR="006D75AA" w:rsidRPr="00FB0AD9">
        <w:rPr>
          <w:lang w:val="fr-FR"/>
        </w:rPr>
        <w:t>actes de torture est</w:t>
      </w:r>
      <w:r w:rsidR="00FA2F80" w:rsidRPr="00FB0AD9">
        <w:rPr>
          <w:lang w:val="fr-FR"/>
        </w:rPr>
        <w:t xml:space="preserve"> </w:t>
      </w:r>
      <w:r w:rsidR="00797D0E" w:rsidRPr="00FB0AD9">
        <w:rPr>
          <w:lang w:val="fr-FR"/>
        </w:rPr>
        <w:t>passible de sanctions administratives, sans préjudice des peines pr</w:t>
      </w:r>
      <w:r w:rsidR="006D75AA" w:rsidRPr="00FB0AD9">
        <w:rPr>
          <w:lang w:val="fr-FR"/>
        </w:rPr>
        <w:t>évues par la loi</w:t>
      </w:r>
      <w:r w:rsidR="006A4B50" w:rsidRPr="00FB0AD9">
        <w:rPr>
          <w:lang w:val="fr-FR"/>
        </w:rPr>
        <w:t>,</w:t>
      </w:r>
      <w:r w:rsidR="00E45627">
        <w:rPr>
          <w:lang w:val="fr-FR"/>
        </w:rPr>
        <w:t xml:space="preserve"> </w:t>
      </w:r>
      <w:r w:rsidR="00A807C1">
        <w:rPr>
          <w:lang w:val="fr-FR"/>
        </w:rPr>
        <w:t>et</w:t>
      </w:r>
      <w:r w:rsidR="00936813">
        <w:rPr>
          <w:lang w:val="fr-FR"/>
        </w:rPr>
        <w:t xml:space="preserve"> </w:t>
      </w:r>
      <w:r w:rsidR="006A4B50">
        <w:rPr>
          <w:lang w:val="fr-FR"/>
        </w:rPr>
        <w:t xml:space="preserve">notant également </w:t>
      </w:r>
      <w:r w:rsidR="00936813">
        <w:rPr>
          <w:lang w:val="fr-FR"/>
        </w:rPr>
        <w:t>l’information communiquée oralement selon laquelle</w:t>
      </w:r>
      <w:r w:rsidR="00A807C1">
        <w:rPr>
          <w:lang w:val="fr-FR"/>
        </w:rPr>
        <w:t xml:space="preserve"> l</w:t>
      </w:r>
      <w:r w:rsidR="00E45627">
        <w:rPr>
          <w:lang w:val="fr-FR"/>
        </w:rPr>
        <w:t>’</w:t>
      </w:r>
      <w:r w:rsidR="00A807C1">
        <w:rPr>
          <w:lang w:val="fr-FR"/>
        </w:rPr>
        <w:t xml:space="preserve">article 14 de la </w:t>
      </w:r>
      <w:r w:rsidR="006073C6">
        <w:rPr>
          <w:lang w:val="fr-FR"/>
        </w:rPr>
        <w:t>loi</w:t>
      </w:r>
      <w:r w:rsidR="00A807C1">
        <w:rPr>
          <w:lang w:val="fr-FR"/>
        </w:rPr>
        <w:t xml:space="preserve"> n°</w:t>
      </w:r>
      <w:r w:rsidR="00E34F1C">
        <w:rPr>
          <w:lang w:val="fr-FR"/>
        </w:rPr>
        <w:t> </w:t>
      </w:r>
      <w:r w:rsidR="00A807C1">
        <w:rPr>
          <w:lang w:val="fr-FR"/>
        </w:rPr>
        <w:t>2010-07 portant statut de la police</w:t>
      </w:r>
      <w:r w:rsidR="00FA2F80">
        <w:rPr>
          <w:lang w:val="fr-FR"/>
        </w:rPr>
        <w:t xml:space="preserve"> </w:t>
      </w:r>
      <w:r w:rsidR="00387190">
        <w:rPr>
          <w:lang w:val="fr-FR"/>
        </w:rPr>
        <w:t xml:space="preserve">nationale </w:t>
      </w:r>
      <w:r w:rsidR="00A807C1">
        <w:rPr>
          <w:lang w:val="fr-FR"/>
        </w:rPr>
        <w:t>subordonne l</w:t>
      </w:r>
      <w:r w:rsidR="00E45627">
        <w:rPr>
          <w:lang w:val="fr-FR"/>
        </w:rPr>
        <w:t>’</w:t>
      </w:r>
      <w:r w:rsidR="00A807C1">
        <w:rPr>
          <w:lang w:val="fr-FR"/>
        </w:rPr>
        <w:t>obligation d</w:t>
      </w:r>
      <w:r w:rsidR="00E45627">
        <w:rPr>
          <w:lang w:val="fr-FR"/>
        </w:rPr>
        <w:t>’</w:t>
      </w:r>
      <w:r w:rsidR="00A807C1">
        <w:rPr>
          <w:lang w:val="fr-FR"/>
        </w:rPr>
        <w:t>obéissance hiérarchique au ca</w:t>
      </w:r>
      <w:r w:rsidR="006D75AA">
        <w:rPr>
          <w:lang w:val="fr-FR"/>
        </w:rPr>
        <w:t>dre législatif et réglementaire</w:t>
      </w:r>
      <w:r w:rsidR="00A807C1">
        <w:rPr>
          <w:lang w:val="fr-FR"/>
        </w:rPr>
        <w:t>,</w:t>
      </w:r>
      <w:r w:rsidR="00E45627">
        <w:rPr>
          <w:lang w:val="fr-FR"/>
        </w:rPr>
        <w:t xml:space="preserve"> </w:t>
      </w:r>
      <w:r w:rsidR="00797D0E">
        <w:rPr>
          <w:lang w:val="fr-FR"/>
        </w:rPr>
        <w:t>l</w:t>
      </w:r>
      <w:r>
        <w:rPr>
          <w:lang w:val="fr-FR"/>
        </w:rPr>
        <w:t xml:space="preserve">e Comité </w:t>
      </w:r>
      <w:r w:rsidR="00797D0E">
        <w:rPr>
          <w:lang w:val="fr-FR"/>
        </w:rPr>
        <w:t xml:space="preserve">demeure </w:t>
      </w:r>
      <w:r w:rsidR="00A807C1">
        <w:rPr>
          <w:lang w:val="fr-FR"/>
        </w:rPr>
        <w:t xml:space="preserve">préoccupé </w:t>
      </w:r>
      <w:r w:rsidR="00936813">
        <w:rPr>
          <w:lang w:val="fr-FR"/>
        </w:rPr>
        <w:t>du</w:t>
      </w:r>
      <w:r w:rsidR="00A807C1">
        <w:rPr>
          <w:lang w:val="fr-FR"/>
        </w:rPr>
        <w:t xml:space="preserve"> fait que c</w:t>
      </w:r>
      <w:r>
        <w:rPr>
          <w:lang w:val="fr-FR"/>
        </w:rPr>
        <w:t xml:space="preserve">es dispositions </w:t>
      </w:r>
      <w:r w:rsidR="00A807C1">
        <w:rPr>
          <w:lang w:val="fr-FR"/>
        </w:rPr>
        <w:t xml:space="preserve">ne </w:t>
      </w:r>
      <w:r w:rsidR="006A59D4">
        <w:rPr>
          <w:lang w:val="fr-FR"/>
        </w:rPr>
        <w:t>se limitent qu’aux forces de police</w:t>
      </w:r>
      <w:r w:rsidR="001758CA">
        <w:rPr>
          <w:lang w:val="fr-FR"/>
        </w:rPr>
        <w:t>.</w:t>
      </w:r>
      <w:r w:rsidR="00E45627">
        <w:rPr>
          <w:lang w:val="fr-FR"/>
        </w:rPr>
        <w:t xml:space="preserve"> </w:t>
      </w:r>
      <w:r w:rsidR="00AC1C81">
        <w:rPr>
          <w:lang w:val="fr-FR"/>
        </w:rPr>
        <w:t>De plus, ces dispositions n</w:t>
      </w:r>
      <w:r w:rsidR="00E45627">
        <w:rPr>
          <w:lang w:val="fr-FR"/>
        </w:rPr>
        <w:t>’</w:t>
      </w:r>
      <w:r w:rsidR="00AC1C81">
        <w:rPr>
          <w:lang w:val="fr-FR"/>
        </w:rPr>
        <w:t xml:space="preserve">offrent pas de </w:t>
      </w:r>
      <w:r w:rsidR="005D2FD7">
        <w:rPr>
          <w:lang w:val="fr-FR"/>
        </w:rPr>
        <w:t>système de protection formelle contre les</w:t>
      </w:r>
      <w:r w:rsidR="00F606A1">
        <w:rPr>
          <w:lang w:val="fr-FR"/>
        </w:rPr>
        <w:t xml:space="preserve"> représailles </w:t>
      </w:r>
      <w:r w:rsidR="005D2FD7">
        <w:rPr>
          <w:lang w:val="fr-FR"/>
        </w:rPr>
        <w:t xml:space="preserve">à un </w:t>
      </w:r>
      <w:r>
        <w:rPr>
          <w:lang w:val="fr-FR"/>
        </w:rPr>
        <w:t>subordonné qui refuse</w:t>
      </w:r>
      <w:r w:rsidR="00AC1C81">
        <w:rPr>
          <w:lang w:val="fr-FR"/>
        </w:rPr>
        <w:t>rait</w:t>
      </w:r>
      <w:r>
        <w:rPr>
          <w:lang w:val="fr-FR"/>
        </w:rPr>
        <w:t xml:space="preserve"> l’ordre d</w:t>
      </w:r>
      <w:r w:rsidR="005B1120">
        <w:rPr>
          <w:lang w:val="fr-FR"/>
        </w:rPr>
        <w:t>’un</w:t>
      </w:r>
      <w:r>
        <w:rPr>
          <w:lang w:val="fr-FR"/>
        </w:rPr>
        <w:t xml:space="preserve"> supérieur de commettre un acte de torture (</w:t>
      </w:r>
      <w:r w:rsidR="002A4FA2">
        <w:rPr>
          <w:lang w:val="fr-FR"/>
        </w:rPr>
        <w:t>art. </w:t>
      </w:r>
      <w:r>
        <w:rPr>
          <w:lang w:val="fr-FR"/>
        </w:rPr>
        <w:t xml:space="preserve">2). </w:t>
      </w:r>
    </w:p>
    <w:p w:rsidR="00ED05DA" w:rsidRDefault="00ED05DA" w:rsidP="00311681">
      <w:pPr>
        <w:pStyle w:val="SingleTxtG"/>
        <w:rPr>
          <w:b/>
          <w:lang w:val="fr-FR"/>
        </w:rPr>
      </w:pPr>
      <w:r w:rsidRPr="00386735">
        <w:rPr>
          <w:b/>
          <w:lang w:val="fr-FR"/>
        </w:rPr>
        <w:t>L’État partie devrait veiller</w:t>
      </w:r>
      <w:r w:rsidR="006D75AA">
        <w:rPr>
          <w:b/>
          <w:lang w:val="fr-FR"/>
        </w:rPr>
        <w:t>,</w:t>
      </w:r>
      <w:r w:rsidRPr="00386735">
        <w:rPr>
          <w:b/>
          <w:lang w:val="fr-FR"/>
        </w:rPr>
        <w:t xml:space="preserve"> dans</w:t>
      </w:r>
      <w:r w:rsidR="006D75AA">
        <w:rPr>
          <w:b/>
          <w:lang w:val="fr-FR"/>
        </w:rPr>
        <w:t xml:space="preserve"> ses lois et dans la pratique, </w:t>
      </w:r>
      <w:r w:rsidRPr="00386735">
        <w:rPr>
          <w:b/>
          <w:lang w:val="fr-FR"/>
        </w:rPr>
        <w:t>à ce que l’exécution d’un tel ordre ne constitue pas une justification de la torture, en conformité a</w:t>
      </w:r>
      <w:r>
        <w:rPr>
          <w:b/>
          <w:lang w:val="fr-FR"/>
        </w:rPr>
        <w:t>vec le paragraphe 3 de l’article </w:t>
      </w:r>
      <w:r w:rsidRPr="00386735">
        <w:rPr>
          <w:b/>
          <w:lang w:val="fr-FR"/>
        </w:rPr>
        <w:t xml:space="preserve">2 de la Convention. </w:t>
      </w:r>
      <w:r>
        <w:rPr>
          <w:b/>
          <w:lang w:val="fr-FR"/>
        </w:rPr>
        <w:t>L’</w:t>
      </w:r>
      <w:r w:rsidR="00F606A1">
        <w:rPr>
          <w:b/>
          <w:lang w:val="fr-FR"/>
        </w:rPr>
        <w:t>É</w:t>
      </w:r>
      <w:r>
        <w:rPr>
          <w:b/>
          <w:lang w:val="fr-FR"/>
        </w:rPr>
        <w:t xml:space="preserve">tat partie devrait </w:t>
      </w:r>
      <w:r w:rsidR="00756748">
        <w:rPr>
          <w:b/>
          <w:lang w:val="fr-FR"/>
        </w:rPr>
        <w:t xml:space="preserve">en outre </w:t>
      </w:r>
      <w:r>
        <w:rPr>
          <w:b/>
          <w:lang w:val="fr-FR"/>
        </w:rPr>
        <w:t xml:space="preserve">mettre en place </w:t>
      </w:r>
      <w:r w:rsidR="005D2FD7">
        <w:rPr>
          <w:b/>
          <w:lang w:val="fr-FR"/>
        </w:rPr>
        <w:t>un système assurant</w:t>
      </w:r>
      <w:r>
        <w:rPr>
          <w:b/>
          <w:lang w:val="fr-FR"/>
        </w:rPr>
        <w:t xml:space="preserve"> </w:t>
      </w:r>
      <w:r w:rsidR="005D2FD7">
        <w:rPr>
          <w:b/>
          <w:lang w:val="fr-FR"/>
        </w:rPr>
        <w:t xml:space="preserve">une protection contre les </w:t>
      </w:r>
      <w:r>
        <w:rPr>
          <w:b/>
          <w:lang w:val="fr-FR"/>
        </w:rPr>
        <w:t xml:space="preserve">représailles </w:t>
      </w:r>
      <w:r w:rsidR="005D2FD7">
        <w:rPr>
          <w:b/>
          <w:lang w:val="fr-FR"/>
        </w:rPr>
        <w:t xml:space="preserve">envers </w:t>
      </w:r>
      <w:r>
        <w:rPr>
          <w:b/>
          <w:lang w:val="fr-FR"/>
        </w:rPr>
        <w:t>un subordonné qui refuse</w:t>
      </w:r>
      <w:r w:rsidR="00756748">
        <w:rPr>
          <w:b/>
          <w:lang w:val="fr-FR"/>
        </w:rPr>
        <w:t>rait</w:t>
      </w:r>
      <w:r>
        <w:rPr>
          <w:b/>
          <w:lang w:val="fr-FR"/>
        </w:rPr>
        <w:t xml:space="preserve"> de suivre l</w:t>
      </w:r>
      <w:r w:rsidR="00F606A1">
        <w:rPr>
          <w:b/>
          <w:lang w:val="fr-FR"/>
        </w:rPr>
        <w:t>’</w:t>
      </w:r>
      <w:r>
        <w:rPr>
          <w:b/>
          <w:lang w:val="fr-FR"/>
        </w:rPr>
        <w:t>ordre d’un supérieur</w:t>
      </w:r>
      <w:r w:rsidR="00311681">
        <w:rPr>
          <w:b/>
          <w:lang w:val="fr-FR"/>
        </w:rPr>
        <w:t xml:space="preserve"> </w:t>
      </w:r>
      <w:r w:rsidR="005D2FD7">
        <w:rPr>
          <w:b/>
          <w:lang w:val="fr-FR"/>
        </w:rPr>
        <w:t>contraire à la Convention</w:t>
      </w:r>
      <w:r>
        <w:rPr>
          <w:b/>
          <w:lang w:val="fr-FR"/>
        </w:rPr>
        <w:t xml:space="preserve">. </w:t>
      </w:r>
    </w:p>
    <w:p w:rsidR="00ED05DA" w:rsidRDefault="00ED05DA" w:rsidP="002A4FA2">
      <w:pPr>
        <w:pStyle w:val="H23G"/>
        <w:rPr>
          <w:lang w:val="fr-FR"/>
        </w:rPr>
      </w:pPr>
      <w:r>
        <w:rPr>
          <w:lang w:val="fr-FR"/>
        </w:rPr>
        <w:tab/>
      </w:r>
      <w:r>
        <w:rPr>
          <w:lang w:val="fr-FR"/>
        </w:rPr>
        <w:tab/>
        <w:t>Commission nationale des droits de l’homme</w:t>
      </w:r>
    </w:p>
    <w:p w:rsidR="00ED05DA" w:rsidRDefault="00ED05DA" w:rsidP="00DF1FBF">
      <w:pPr>
        <w:pStyle w:val="SingleTxtG"/>
        <w:rPr>
          <w:lang w:val="fr-FR"/>
        </w:rPr>
      </w:pPr>
      <w:r w:rsidRPr="00C7773D">
        <w:rPr>
          <w:lang w:val="fr-FR"/>
        </w:rPr>
        <w:t>1</w:t>
      </w:r>
      <w:r w:rsidR="004D0086">
        <w:rPr>
          <w:lang w:val="fr-FR"/>
        </w:rPr>
        <w:t>3</w:t>
      </w:r>
      <w:r w:rsidR="004F36AD">
        <w:rPr>
          <w:lang w:val="fr-FR"/>
        </w:rPr>
        <w:t>.</w:t>
      </w:r>
      <w:r w:rsidR="004F36AD">
        <w:rPr>
          <w:lang w:val="fr-FR"/>
        </w:rPr>
        <w:tab/>
      </w:r>
      <w:r>
        <w:rPr>
          <w:lang w:val="fr-FR"/>
        </w:rPr>
        <w:t>Le Comité note</w:t>
      </w:r>
      <w:r w:rsidR="00756748">
        <w:rPr>
          <w:lang w:val="fr-FR"/>
        </w:rPr>
        <w:t xml:space="preserve"> avec satisfaction</w:t>
      </w:r>
      <w:r w:rsidR="00E45627">
        <w:rPr>
          <w:lang w:val="fr-FR"/>
        </w:rPr>
        <w:t xml:space="preserve"> </w:t>
      </w:r>
      <w:r w:rsidR="00756748" w:rsidRPr="00386735">
        <w:rPr>
          <w:lang w:val="fr-FR"/>
        </w:rPr>
        <w:t>l</w:t>
      </w:r>
      <w:r w:rsidR="00756748">
        <w:rPr>
          <w:lang w:val="fr-FR"/>
        </w:rPr>
        <w:t xml:space="preserve">a création, en 2006, de la Commission nationale des droits de l’homme, dotée </w:t>
      </w:r>
      <w:r w:rsidR="00DF1FBF">
        <w:rPr>
          <w:lang w:val="fr-FR"/>
        </w:rPr>
        <w:t xml:space="preserve">depuis 2011 </w:t>
      </w:r>
      <w:r w:rsidR="00756748">
        <w:rPr>
          <w:lang w:val="fr-FR"/>
        </w:rPr>
        <w:t xml:space="preserve">du Statut A </w:t>
      </w:r>
      <w:r w:rsidR="00DF39B4">
        <w:rPr>
          <w:lang w:val="fr-FR"/>
        </w:rPr>
        <w:t>défini par l</w:t>
      </w:r>
      <w:r w:rsidR="00756748">
        <w:rPr>
          <w:lang w:val="fr-FR"/>
        </w:rPr>
        <w:t>es principes de Paris. Le Comité est satisfait de la possibilité pour la Commission d</w:t>
      </w:r>
      <w:r w:rsidR="00E45627">
        <w:rPr>
          <w:lang w:val="fr-FR"/>
        </w:rPr>
        <w:t>’</w:t>
      </w:r>
      <w:r w:rsidR="00756748">
        <w:rPr>
          <w:lang w:val="fr-FR"/>
        </w:rPr>
        <w:t xml:space="preserve">entreprendre des visites inopinées </w:t>
      </w:r>
      <w:r w:rsidR="00DF1FBF">
        <w:rPr>
          <w:lang w:val="fr-FR"/>
        </w:rPr>
        <w:t xml:space="preserve">dans </w:t>
      </w:r>
      <w:r w:rsidR="00756748">
        <w:rPr>
          <w:lang w:val="fr-FR"/>
        </w:rPr>
        <w:t>tous les lieux de détention au sein de l</w:t>
      </w:r>
      <w:r w:rsidR="00E45627">
        <w:rPr>
          <w:lang w:val="fr-FR"/>
        </w:rPr>
        <w:t>’</w:t>
      </w:r>
      <w:r w:rsidR="006073C6">
        <w:rPr>
          <w:lang w:val="fr-FR"/>
        </w:rPr>
        <w:t>État</w:t>
      </w:r>
      <w:r w:rsidR="00756748">
        <w:rPr>
          <w:lang w:val="fr-FR"/>
        </w:rPr>
        <w:t xml:space="preserve"> partie</w:t>
      </w:r>
      <w:r w:rsidR="00DF1FBF">
        <w:rPr>
          <w:lang w:val="fr-FR"/>
        </w:rPr>
        <w:t xml:space="preserve"> et de la possibilité d’adresser des </w:t>
      </w:r>
      <w:r w:rsidR="00756748">
        <w:rPr>
          <w:lang w:val="fr-FR"/>
        </w:rPr>
        <w:t>recommandation</w:t>
      </w:r>
      <w:r w:rsidR="002F5F8B">
        <w:rPr>
          <w:lang w:val="fr-FR"/>
        </w:rPr>
        <w:t>s</w:t>
      </w:r>
      <w:r w:rsidR="00442781">
        <w:rPr>
          <w:lang w:val="fr-FR"/>
        </w:rPr>
        <w:t xml:space="preserve"> aux autorités compétentes </w:t>
      </w:r>
      <w:r>
        <w:rPr>
          <w:lang w:val="fr-FR"/>
        </w:rPr>
        <w:t>(</w:t>
      </w:r>
      <w:r w:rsidR="002A4FA2">
        <w:rPr>
          <w:lang w:val="fr-FR"/>
        </w:rPr>
        <w:t>art. </w:t>
      </w:r>
      <w:r>
        <w:rPr>
          <w:lang w:val="fr-FR"/>
        </w:rPr>
        <w:t xml:space="preserve">2). </w:t>
      </w:r>
    </w:p>
    <w:p w:rsidR="00ED05DA" w:rsidRDefault="00ED05DA" w:rsidP="00767AE6">
      <w:pPr>
        <w:pStyle w:val="SingleTxtG"/>
        <w:rPr>
          <w:b/>
          <w:lang w:val="fr-FR"/>
        </w:rPr>
      </w:pPr>
      <w:r w:rsidRPr="00C7773D">
        <w:rPr>
          <w:b/>
          <w:lang w:val="fr-FR"/>
        </w:rPr>
        <w:t>L’</w:t>
      </w:r>
      <w:r w:rsidR="001713D3">
        <w:rPr>
          <w:b/>
          <w:lang w:val="fr-FR"/>
        </w:rPr>
        <w:t>É</w:t>
      </w:r>
      <w:r w:rsidRPr="00C7773D">
        <w:rPr>
          <w:b/>
          <w:lang w:val="fr-FR"/>
        </w:rPr>
        <w:t xml:space="preserve">tat partie devrait fournir </w:t>
      </w:r>
      <w:r w:rsidR="001713D3">
        <w:rPr>
          <w:b/>
          <w:lang w:val="fr-FR"/>
        </w:rPr>
        <w:t>l</w:t>
      </w:r>
      <w:r w:rsidRPr="00C7773D">
        <w:rPr>
          <w:b/>
          <w:lang w:val="fr-FR"/>
        </w:rPr>
        <w:t xml:space="preserve">es ressources financières et humaines </w:t>
      </w:r>
      <w:r w:rsidR="009A44FC">
        <w:rPr>
          <w:b/>
          <w:lang w:val="fr-FR"/>
        </w:rPr>
        <w:t>requises par la Commission pour</w:t>
      </w:r>
      <w:r w:rsidRPr="00C7773D">
        <w:rPr>
          <w:b/>
          <w:lang w:val="fr-FR"/>
        </w:rPr>
        <w:t xml:space="preserve"> s’acquitter de son mandat</w:t>
      </w:r>
      <w:r w:rsidR="0074615F">
        <w:rPr>
          <w:b/>
          <w:lang w:val="fr-FR"/>
        </w:rPr>
        <w:t>,</w:t>
      </w:r>
      <w:r w:rsidR="00442781">
        <w:rPr>
          <w:b/>
          <w:lang w:val="fr-FR"/>
        </w:rPr>
        <w:t xml:space="preserve"> </w:t>
      </w:r>
      <w:r w:rsidR="004D0086">
        <w:rPr>
          <w:b/>
          <w:lang w:val="fr-FR"/>
        </w:rPr>
        <w:t xml:space="preserve">diffuser ses recommandations </w:t>
      </w:r>
      <w:r w:rsidR="00442781">
        <w:rPr>
          <w:b/>
          <w:lang w:val="fr-FR"/>
        </w:rPr>
        <w:t>et renforcer son indépendance,</w:t>
      </w:r>
      <w:r>
        <w:rPr>
          <w:b/>
          <w:lang w:val="fr-FR"/>
        </w:rPr>
        <w:t xml:space="preserve"> en pleine conformité avec les Principes de Paris</w:t>
      </w:r>
      <w:r w:rsidR="00AF1F22">
        <w:rPr>
          <w:b/>
          <w:lang w:val="fr-FR"/>
        </w:rPr>
        <w:t xml:space="preserve"> (</w:t>
      </w:r>
      <w:r>
        <w:rPr>
          <w:b/>
          <w:lang w:val="fr-FR"/>
        </w:rPr>
        <w:t xml:space="preserve">résolution 48/134 de l’Assemblée générale). </w:t>
      </w:r>
    </w:p>
    <w:p w:rsidR="00ED05DA" w:rsidRDefault="00ED05DA" w:rsidP="00ED05DA">
      <w:pPr>
        <w:pStyle w:val="H23G"/>
        <w:rPr>
          <w:lang w:val="fr-FR"/>
        </w:rPr>
      </w:pPr>
      <w:r>
        <w:rPr>
          <w:lang w:val="fr-FR"/>
        </w:rPr>
        <w:tab/>
      </w:r>
      <w:r>
        <w:rPr>
          <w:lang w:val="fr-FR"/>
        </w:rPr>
        <w:tab/>
        <w:t>Mécanisme national de prévention de la torture</w:t>
      </w:r>
    </w:p>
    <w:p w:rsidR="00ED05DA" w:rsidRDefault="00ED05DA" w:rsidP="00ED05DA">
      <w:pPr>
        <w:pStyle w:val="SingleTxtG"/>
        <w:rPr>
          <w:lang w:val="fr-FR"/>
        </w:rPr>
      </w:pPr>
      <w:r w:rsidRPr="00C7773D">
        <w:rPr>
          <w:lang w:val="fr-FR"/>
        </w:rPr>
        <w:t>1</w:t>
      </w:r>
      <w:r w:rsidR="004D0086">
        <w:rPr>
          <w:lang w:val="fr-FR"/>
        </w:rPr>
        <w:t>4</w:t>
      </w:r>
      <w:r>
        <w:rPr>
          <w:lang w:val="fr-FR"/>
        </w:rPr>
        <w:t>.</w:t>
      </w:r>
      <w:r>
        <w:rPr>
          <w:lang w:val="fr-FR"/>
        </w:rPr>
        <w:tab/>
        <w:t xml:space="preserve">Le Comité </w:t>
      </w:r>
      <w:r w:rsidR="00DD5676">
        <w:rPr>
          <w:lang w:val="fr-FR"/>
        </w:rPr>
        <w:t xml:space="preserve">note </w:t>
      </w:r>
      <w:r>
        <w:rPr>
          <w:lang w:val="fr-FR"/>
        </w:rPr>
        <w:t>que l’</w:t>
      </w:r>
      <w:r w:rsidR="009F1506">
        <w:rPr>
          <w:lang w:val="fr-FR"/>
        </w:rPr>
        <w:t>É</w:t>
      </w:r>
      <w:r>
        <w:rPr>
          <w:lang w:val="fr-FR"/>
        </w:rPr>
        <w:t xml:space="preserve">tat partie </w:t>
      </w:r>
      <w:r w:rsidR="00DD5676">
        <w:rPr>
          <w:lang w:val="fr-FR"/>
        </w:rPr>
        <w:t>doit</w:t>
      </w:r>
      <w:r>
        <w:rPr>
          <w:lang w:val="fr-FR"/>
        </w:rPr>
        <w:t xml:space="preserve"> établi</w:t>
      </w:r>
      <w:r w:rsidR="00DD5676">
        <w:rPr>
          <w:lang w:val="fr-FR"/>
        </w:rPr>
        <w:t>r</w:t>
      </w:r>
      <w:r>
        <w:rPr>
          <w:lang w:val="fr-FR"/>
        </w:rPr>
        <w:t xml:space="preserve"> un </w:t>
      </w:r>
      <w:r w:rsidRPr="001A48F9">
        <w:rPr>
          <w:lang w:val="fr-FR"/>
        </w:rPr>
        <w:t>mécanisme</w:t>
      </w:r>
      <w:r>
        <w:rPr>
          <w:lang w:val="fr-FR"/>
        </w:rPr>
        <w:t xml:space="preserve"> national de prévention suite à sa ratification du Protocole facultatif </w:t>
      </w:r>
      <w:r w:rsidRPr="00386735">
        <w:rPr>
          <w:lang w:val="fr-FR"/>
        </w:rPr>
        <w:t xml:space="preserve">se rapportant </w:t>
      </w:r>
      <w:r>
        <w:rPr>
          <w:lang w:val="fr-FR"/>
        </w:rPr>
        <w:t xml:space="preserve">à la Convention contre la torture et autres peines </w:t>
      </w:r>
      <w:r w:rsidR="009F1506">
        <w:rPr>
          <w:lang w:val="fr-FR"/>
        </w:rPr>
        <w:t xml:space="preserve">ou traitements </w:t>
      </w:r>
      <w:r>
        <w:rPr>
          <w:lang w:val="fr-FR"/>
        </w:rPr>
        <w:t>cruels, inhumains ou dégradants (</w:t>
      </w:r>
      <w:r w:rsidR="002A4FA2">
        <w:rPr>
          <w:lang w:val="fr-FR"/>
        </w:rPr>
        <w:t>art. </w:t>
      </w:r>
      <w:r>
        <w:rPr>
          <w:lang w:val="fr-FR"/>
        </w:rPr>
        <w:t>2).</w:t>
      </w:r>
    </w:p>
    <w:p w:rsidR="00ED05DA" w:rsidRDefault="00ED05DA" w:rsidP="00DB217E">
      <w:pPr>
        <w:pStyle w:val="SingleTxtG"/>
        <w:rPr>
          <w:b/>
          <w:lang w:val="fr-FR"/>
        </w:rPr>
      </w:pPr>
      <w:r w:rsidRPr="00C7773D">
        <w:rPr>
          <w:b/>
          <w:lang w:val="fr-FR"/>
        </w:rPr>
        <w:t>L’</w:t>
      </w:r>
      <w:r w:rsidR="00BE421C">
        <w:rPr>
          <w:b/>
          <w:lang w:val="fr-FR"/>
        </w:rPr>
        <w:t>É</w:t>
      </w:r>
      <w:r w:rsidRPr="00C7773D">
        <w:rPr>
          <w:b/>
          <w:lang w:val="fr-FR"/>
        </w:rPr>
        <w:t xml:space="preserve">tat partie devrait prendre les mesures appropriées, en consultation avec </w:t>
      </w:r>
      <w:r w:rsidR="0074615F">
        <w:rPr>
          <w:b/>
          <w:lang w:val="fr-FR"/>
        </w:rPr>
        <w:t>toutes les parties prenantes</w:t>
      </w:r>
      <w:r w:rsidRPr="00C7773D">
        <w:rPr>
          <w:b/>
          <w:lang w:val="fr-FR"/>
        </w:rPr>
        <w:t xml:space="preserve">, afin d’établir un mécanisme </w:t>
      </w:r>
      <w:r>
        <w:rPr>
          <w:b/>
          <w:lang w:val="fr-FR"/>
        </w:rPr>
        <w:t xml:space="preserve">national </w:t>
      </w:r>
      <w:r w:rsidRPr="00C7773D">
        <w:rPr>
          <w:b/>
          <w:lang w:val="fr-FR"/>
        </w:rPr>
        <w:t>de prévention en conformité avec l’article 3 du Protocole facultatif</w:t>
      </w:r>
      <w:r w:rsidR="0051278D">
        <w:rPr>
          <w:b/>
          <w:lang w:val="fr-FR"/>
        </w:rPr>
        <w:t xml:space="preserve"> se rapportant à la Convention</w:t>
      </w:r>
      <w:r w:rsidR="00DD5676">
        <w:rPr>
          <w:b/>
          <w:lang w:val="fr-FR"/>
        </w:rPr>
        <w:t xml:space="preserve"> d</w:t>
      </w:r>
      <w:r w:rsidR="00E45627">
        <w:rPr>
          <w:b/>
          <w:lang w:val="fr-FR"/>
        </w:rPr>
        <w:t>’</w:t>
      </w:r>
      <w:r w:rsidR="00DD5676">
        <w:rPr>
          <w:b/>
          <w:lang w:val="fr-FR"/>
        </w:rPr>
        <w:t>ici octobre 2013</w:t>
      </w:r>
      <w:r w:rsidR="00442781">
        <w:rPr>
          <w:b/>
          <w:lang w:val="fr-FR"/>
        </w:rPr>
        <w:t>,</w:t>
      </w:r>
      <w:r>
        <w:rPr>
          <w:b/>
          <w:lang w:val="fr-FR"/>
        </w:rPr>
        <w:t xml:space="preserve"> et de lui fournir les ressources financières et humaines suffisantes pour lui permettre </w:t>
      </w:r>
      <w:r w:rsidR="00FB6E62">
        <w:rPr>
          <w:b/>
          <w:lang w:val="fr-FR"/>
        </w:rPr>
        <w:t>d’accomplir</w:t>
      </w:r>
      <w:r>
        <w:rPr>
          <w:b/>
          <w:lang w:val="fr-FR"/>
        </w:rPr>
        <w:t xml:space="preserve"> ses fonctions efficacement et en toute indépendance</w:t>
      </w:r>
      <w:r w:rsidR="00415E59">
        <w:rPr>
          <w:b/>
          <w:lang w:val="fr-FR"/>
        </w:rPr>
        <w:t>,</w:t>
      </w:r>
      <w:r>
        <w:rPr>
          <w:b/>
          <w:lang w:val="fr-FR"/>
        </w:rPr>
        <w:t xml:space="preserve"> conformément au</w:t>
      </w:r>
      <w:r w:rsidR="00DD5676">
        <w:rPr>
          <w:b/>
          <w:lang w:val="fr-FR"/>
        </w:rPr>
        <w:t>x articles 3 et 17</w:t>
      </w:r>
      <w:r>
        <w:rPr>
          <w:b/>
          <w:lang w:val="fr-FR"/>
        </w:rPr>
        <w:t xml:space="preserve"> du Protocole facultatif et</w:t>
      </w:r>
      <w:r w:rsidR="0051278D">
        <w:rPr>
          <w:b/>
          <w:lang w:val="fr-FR"/>
        </w:rPr>
        <w:t xml:space="preserve"> aux Directives concernant les mécanismes nationaux de prévention (CAT/OP/12/5)</w:t>
      </w:r>
      <w:r>
        <w:rPr>
          <w:b/>
          <w:lang w:val="fr-FR"/>
        </w:rPr>
        <w:t xml:space="preserve">. </w:t>
      </w:r>
    </w:p>
    <w:p w:rsidR="000B0FE8" w:rsidRDefault="00ED05DA" w:rsidP="000B0FE8">
      <w:pPr>
        <w:pStyle w:val="H23G"/>
        <w:rPr>
          <w:lang w:val="fr-FR"/>
        </w:rPr>
      </w:pPr>
      <w:r>
        <w:rPr>
          <w:lang w:val="fr-FR"/>
        </w:rPr>
        <w:tab/>
      </w:r>
      <w:r>
        <w:rPr>
          <w:lang w:val="fr-FR"/>
        </w:rPr>
        <w:tab/>
      </w:r>
      <w:r w:rsidR="000B0FE8">
        <w:rPr>
          <w:lang w:val="fr-FR"/>
        </w:rPr>
        <w:t>Indépendance</w:t>
      </w:r>
      <w:r w:rsidR="000B0FE8" w:rsidRPr="00E25A16">
        <w:rPr>
          <w:lang w:val="fr-FR"/>
        </w:rPr>
        <w:t xml:space="preserve"> du pouvoir judiciaire</w:t>
      </w:r>
    </w:p>
    <w:p w:rsidR="000B0FE8" w:rsidRDefault="000B0FE8" w:rsidP="00DB217E">
      <w:pPr>
        <w:pStyle w:val="SingleTxtG"/>
        <w:rPr>
          <w:lang w:val="fr-FR"/>
        </w:rPr>
      </w:pPr>
      <w:r w:rsidRPr="00C7773D">
        <w:rPr>
          <w:lang w:val="fr-FR"/>
        </w:rPr>
        <w:t>1</w:t>
      </w:r>
      <w:r>
        <w:rPr>
          <w:lang w:val="fr-FR"/>
        </w:rPr>
        <w:t>5.</w:t>
      </w:r>
      <w:r>
        <w:rPr>
          <w:lang w:val="fr-FR"/>
        </w:rPr>
        <w:tab/>
        <w:t xml:space="preserve">Le Comité est préoccupé </w:t>
      </w:r>
      <w:r>
        <w:rPr>
          <w:rStyle w:val="A5"/>
          <w:sz w:val="20"/>
          <w:szCs w:val="20"/>
        </w:rPr>
        <w:t xml:space="preserve">par des </w:t>
      </w:r>
      <w:r>
        <w:rPr>
          <w:lang w:val="fr-FR"/>
        </w:rPr>
        <w:t>allégations crédibles reçues faisant état de pressions et d’instrumentalisation du système judiciaire. L’article 89 de la Constitution de 1991 selon lequel le Président de la République est</w:t>
      </w:r>
      <w:r w:rsidR="00FA2F80">
        <w:rPr>
          <w:lang w:val="fr-FR"/>
        </w:rPr>
        <w:t xml:space="preserve"> «</w:t>
      </w:r>
      <w:r>
        <w:rPr>
          <w:lang w:val="fr-FR"/>
        </w:rPr>
        <w:t xml:space="preserve">garant de l’indépendance de la magistrature» et préside le Conseil supérieur de la </w:t>
      </w:r>
      <w:r w:rsidR="00DB217E">
        <w:rPr>
          <w:lang w:val="fr-FR"/>
        </w:rPr>
        <w:t>m</w:t>
      </w:r>
      <w:r>
        <w:rPr>
          <w:lang w:val="fr-FR"/>
        </w:rPr>
        <w:t>agistrature ne fait que renforcer cette préoccupation. Le Comité s’inquiète de l’absence de garantie d’une indépendance effective du corps judiciaire (</w:t>
      </w:r>
      <w:r w:rsidR="002A4FA2">
        <w:rPr>
          <w:lang w:val="fr-FR"/>
        </w:rPr>
        <w:t>art. </w:t>
      </w:r>
      <w:r>
        <w:rPr>
          <w:lang w:val="fr-FR"/>
        </w:rPr>
        <w:t>2).</w:t>
      </w:r>
    </w:p>
    <w:p w:rsidR="000B0FE8" w:rsidRDefault="000B0FE8" w:rsidP="000B0FE8">
      <w:pPr>
        <w:pStyle w:val="SingleTxtG"/>
        <w:rPr>
          <w:b/>
          <w:lang w:val="fr-FR"/>
        </w:rPr>
      </w:pPr>
      <w:r w:rsidRPr="00C7773D">
        <w:rPr>
          <w:b/>
          <w:lang w:val="fr-FR"/>
        </w:rPr>
        <w:t>L’</w:t>
      </w:r>
      <w:r>
        <w:rPr>
          <w:b/>
          <w:lang w:val="fr-FR"/>
        </w:rPr>
        <w:t>É</w:t>
      </w:r>
      <w:r w:rsidRPr="00C7773D">
        <w:rPr>
          <w:b/>
          <w:lang w:val="fr-FR"/>
        </w:rPr>
        <w:t>tat partie devrait</w:t>
      </w:r>
      <w:r w:rsidR="006073C6">
        <w:rPr>
          <w:b/>
          <w:lang w:val="fr-FR"/>
        </w:rPr>
        <w:t>:</w:t>
      </w:r>
    </w:p>
    <w:p w:rsidR="000B0FE8" w:rsidRDefault="000B0FE8" w:rsidP="00206ACF">
      <w:pPr>
        <w:spacing w:after="120"/>
        <w:ind w:left="1134" w:right="1134" w:firstLine="567"/>
        <w:jc w:val="both"/>
        <w:rPr>
          <w:b/>
          <w:lang w:val="fr-FR"/>
        </w:rPr>
      </w:pPr>
      <w:r>
        <w:rPr>
          <w:b/>
          <w:lang w:val="fr-FR"/>
        </w:rPr>
        <w:t>a)</w:t>
      </w:r>
      <w:r>
        <w:rPr>
          <w:b/>
          <w:lang w:val="fr-FR"/>
        </w:rPr>
        <w:tab/>
      </w:r>
      <w:r w:rsidRPr="009823F6">
        <w:rPr>
          <w:b/>
          <w:lang w:val="fr-FR"/>
        </w:rPr>
        <w:t>Garantir la pleine indépendance de la justice, en accord avec les Principes fondamentaux relatifs à l</w:t>
      </w:r>
      <w:r w:rsidR="00E45627">
        <w:rPr>
          <w:b/>
          <w:lang w:val="fr-FR"/>
        </w:rPr>
        <w:t>’</w:t>
      </w:r>
      <w:r w:rsidRPr="009823F6">
        <w:rPr>
          <w:b/>
          <w:lang w:val="fr-FR"/>
        </w:rPr>
        <w:t>indépendance de la magistrature</w:t>
      </w:r>
      <w:r>
        <w:rPr>
          <w:b/>
          <w:lang w:val="fr-FR"/>
        </w:rPr>
        <w:t xml:space="preserve"> </w:t>
      </w:r>
      <w:r w:rsidRPr="00DA6B58">
        <w:rPr>
          <w:b/>
        </w:rPr>
        <w:t>(résolutions 40/32 du 29 novembre 1985 et 40/146 du 13 décembre 1985 de l’Assemblée générale</w:t>
      </w:r>
      <w:r>
        <w:rPr>
          <w:b/>
        </w:rPr>
        <w:t>)</w:t>
      </w:r>
      <w:r>
        <w:rPr>
          <w:b/>
          <w:lang w:val="fr-FR"/>
        </w:rPr>
        <w:t>;</w:t>
      </w:r>
    </w:p>
    <w:p w:rsidR="000B0FE8" w:rsidRPr="00F71A22" w:rsidRDefault="000B0FE8" w:rsidP="00206ACF">
      <w:pPr>
        <w:spacing w:after="120"/>
        <w:ind w:left="1134" w:right="1134" w:firstLine="567"/>
        <w:jc w:val="both"/>
        <w:rPr>
          <w:b/>
        </w:rPr>
      </w:pPr>
      <w:r w:rsidRPr="002A440C">
        <w:rPr>
          <w:b/>
        </w:rPr>
        <w:t>b)</w:t>
      </w:r>
      <w:r w:rsidRPr="002A440C">
        <w:rPr>
          <w:b/>
        </w:rPr>
        <w:tab/>
      </w:r>
      <w:r w:rsidRPr="002A440C">
        <w:rPr>
          <w:b/>
          <w:lang w:val="fr-FR"/>
        </w:rPr>
        <w:t>Prendre des mesures appropriées afin de garantir et de protéger l</w:t>
      </w:r>
      <w:r w:rsidR="00E45627">
        <w:rPr>
          <w:b/>
          <w:lang w:val="fr-FR"/>
        </w:rPr>
        <w:t>’</w:t>
      </w:r>
      <w:r w:rsidRPr="002A440C">
        <w:rPr>
          <w:b/>
          <w:lang w:val="fr-FR"/>
        </w:rPr>
        <w:t xml:space="preserve">indépendance du pouvoir judiciaire, et garantir que son fonctionnement est dépourvu de pressions et </w:t>
      </w:r>
      <w:r>
        <w:rPr>
          <w:b/>
          <w:lang w:val="fr-FR"/>
        </w:rPr>
        <w:t>d</w:t>
      </w:r>
      <w:r w:rsidR="00E45627">
        <w:rPr>
          <w:b/>
          <w:lang w:val="fr-FR"/>
        </w:rPr>
        <w:t>’</w:t>
      </w:r>
      <w:r>
        <w:rPr>
          <w:b/>
          <w:lang w:val="fr-FR"/>
        </w:rPr>
        <w:t>ingérence du pouvoir exécutif;</w:t>
      </w:r>
      <w:r w:rsidRPr="002A440C">
        <w:rPr>
          <w:b/>
          <w:lang w:val="fr-FR"/>
        </w:rPr>
        <w:t xml:space="preserve"> </w:t>
      </w:r>
    </w:p>
    <w:p w:rsidR="000B0FE8" w:rsidRDefault="000B0FE8" w:rsidP="00206ACF">
      <w:pPr>
        <w:suppressAutoHyphens w:val="0"/>
        <w:autoSpaceDE w:val="0"/>
        <w:autoSpaceDN w:val="0"/>
        <w:adjustRightInd w:val="0"/>
        <w:spacing w:after="120" w:line="240" w:lineRule="auto"/>
        <w:ind w:left="1134" w:right="1134" w:firstLine="567"/>
        <w:rPr>
          <w:b/>
          <w:lang w:eastAsia="fr-CH"/>
        </w:rPr>
      </w:pPr>
      <w:r>
        <w:rPr>
          <w:b/>
          <w:lang w:eastAsia="fr-CH"/>
        </w:rPr>
        <w:t>c)</w:t>
      </w:r>
      <w:r>
        <w:rPr>
          <w:b/>
          <w:lang w:eastAsia="fr-CH"/>
        </w:rPr>
        <w:tab/>
        <w:t>F</w:t>
      </w:r>
      <w:r w:rsidRPr="002A440C">
        <w:rPr>
          <w:b/>
          <w:lang w:eastAsia="fr-CH"/>
        </w:rPr>
        <w:t>ournir au</w:t>
      </w:r>
      <w:r>
        <w:rPr>
          <w:b/>
          <w:lang w:eastAsia="fr-CH"/>
        </w:rPr>
        <w:t>x tribunaux et aux magistrats</w:t>
      </w:r>
      <w:r w:rsidRPr="002A440C">
        <w:rPr>
          <w:b/>
          <w:lang w:eastAsia="fr-CH"/>
        </w:rPr>
        <w:t xml:space="preserve"> l’appui nécessaire, notamment les ressources humaines, techniques et financières, afin qu’il</w:t>
      </w:r>
      <w:r>
        <w:rPr>
          <w:b/>
          <w:lang w:eastAsia="fr-CH"/>
        </w:rPr>
        <w:t>s</w:t>
      </w:r>
      <w:r w:rsidRPr="002A440C">
        <w:rPr>
          <w:b/>
          <w:lang w:eastAsia="fr-CH"/>
        </w:rPr>
        <w:t xml:space="preserve"> puisse</w:t>
      </w:r>
      <w:r>
        <w:rPr>
          <w:b/>
          <w:lang w:eastAsia="fr-CH"/>
        </w:rPr>
        <w:t>nt</w:t>
      </w:r>
      <w:r w:rsidRPr="002A440C">
        <w:rPr>
          <w:b/>
          <w:lang w:eastAsia="fr-CH"/>
        </w:rPr>
        <w:t xml:space="preserve"> </w:t>
      </w:r>
      <w:r>
        <w:rPr>
          <w:b/>
          <w:lang w:eastAsia="fr-CH"/>
        </w:rPr>
        <w:t>remplir leurs fonctions en toute indépendance;</w:t>
      </w:r>
    </w:p>
    <w:p w:rsidR="000B0FE8" w:rsidRDefault="000B0FE8" w:rsidP="00206ACF">
      <w:pPr>
        <w:suppressAutoHyphens w:val="0"/>
        <w:autoSpaceDE w:val="0"/>
        <w:autoSpaceDN w:val="0"/>
        <w:adjustRightInd w:val="0"/>
        <w:spacing w:after="120" w:line="240" w:lineRule="auto"/>
        <w:ind w:left="1134" w:right="1134" w:firstLine="567"/>
        <w:rPr>
          <w:b/>
          <w:lang w:val="fr-FR"/>
        </w:rPr>
      </w:pPr>
      <w:r>
        <w:rPr>
          <w:b/>
          <w:lang w:eastAsia="fr-CH"/>
        </w:rPr>
        <w:t>d)</w:t>
      </w:r>
      <w:r>
        <w:rPr>
          <w:b/>
          <w:lang w:eastAsia="fr-CH"/>
        </w:rPr>
        <w:tab/>
      </w:r>
      <w:r w:rsidR="00DB217E">
        <w:rPr>
          <w:b/>
          <w:lang w:val="fr-FR"/>
        </w:rPr>
        <w:t>Établir</w:t>
      </w:r>
      <w:r>
        <w:rPr>
          <w:b/>
          <w:lang w:val="fr-FR"/>
        </w:rPr>
        <w:t xml:space="preserve"> un</w:t>
      </w:r>
      <w:r w:rsidRPr="005858C0">
        <w:rPr>
          <w:b/>
          <w:lang w:val="fr-FR"/>
        </w:rPr>
        <w:t xml:space="preserve"> organe indépendant </w:t>
      </w:r>
      <w:r>
        <w:rPr>
          <w:b/>
          <w:lang w:val="fr-FR"/>
        </w:rPr>
        <w:t>compétent</w:t>
      </w:r>
      <w:r w:rsidRPr="005858C0">
        <w:rPr>
          <w:b/>
          <w:lang w:val="fr-FR"/>
        </w:rPr>
        <w:t xml:space="preserve"> pour réviser les décisions rendues en matière disciplinaire</w:t>
      </w:r>
      <w:r>
        <w:rPr>
          <w:b/>
          <w:lang w:val="fr-FR"/>
        </w:rPr>
        <w:t>;</w:t>
      </w:r>
    </w:p>
    <w:p w:rsidR="00EA459C" w:rsidRPr="00EA459C" w:rsidRDefault="000B0FE8" w:rsidP="00206ACF">
      <w:pPr>
        <w:suppressAutoHyphens w:val="0"/>
        <w:autoSpaceDE w:val="0"/>
        <w:autoSpaceDN w:val="0"/>
        <w:adjustRightInd w:val="0"/>
        <w:spacing w:after="120" w:line="240" w:lineRule="auto"/>
        <w:ind w:left="1134" w:right="1134" w:firstLine="567"/>
        <w:rPr>
          <w:b/>
          <w:lang w:val="fr-FR"/>
        </w:rPr>
      </w:pPr>
      <w:r>
        <w:rPr>
          <w:b/>
          <w:lang w:val="fr-FR"/>
        </w:rPr>
        <w:t>e)</w:t>
      </w:r>
      <w:r>
        <w:rPr>
          <w:b/>
          <w:lang w:val="fr-FR"/>
        </w:rPr>
        <w:tab/>
      </w:r>
      <w:r w:rsidRPr="005858C0">
        <w:rPr>
          <w:b/>
          <w:lang w:val="fr-FR"/>
        </w:rPr>
        <w:t xml:space="preserve">Inviter la </w:t>
      </w:r>
      <w:r>
        <w:rPr>
          <w:b/>
          <w:lang w:val="fr-FR"/>
        </w:rPr>
        <w:t>Rapporteu</w:t>
      </w:r>
      <w:r w:rsidR="00DB217E">
        <w:rPr>
          <w:b/>
          <w:lang w:val="fr-FR"/>
        </w:rPr>
        <w:t>se</w:t>
      </w:r>
      <w:r w:rsidRPr="005858C0">
        <w:rPr>
          <w:b/>
          <w:lang w:val="fr-FR"/>
        </w:rPr>
        <w:t xml:space="preserve"> spéciale sur </w:t>
      </w:r>
      <w:hyperlink r:id="rId8" w:history="1">
        <w:r w:rsidRPr="00571832">
          <w:rPr>
            <w:b/>
            <w:lang w:val="fr-FR"/>
          </w:rPr>
          <w:t>l</w:t>
        </w:r>
        <w:r w:rsidR="00E45627">
          <w:rPr>
            <w:b/>
            <w:bCs/>
            <w:lang w:val="fr-FR"/>
          </w:rPr>
          <w:t>’</w:t>
        </w:r>
        <w:r w:rsidRPr="00571832">
          <w:rPr>
            <w:b/>
            <w:bCs/>
            <w:lang w:val="fr-FR"/>
          </w:rPr>
          <w:t>indépendance des juges et des avocats</w:t>
        </w:r>
      </w:hyperlink>
      <w:r w:rsidRPr="005858C0">
        <w:rPr>
          <w:b/>
          <w:lang w:val="fr-FR"/>
        </w:rPr>
        <w:t xml:space="preserve"> à visiter l’</w:t>
      </w:r>
      <w:r w:rsidR="006073C6">
        <w:rPr>
          <w:b/>
          <w:lang w:val="fr-FR"/>
        </w:rPr>
        <w:t>État</w:t>
      </w:r>
      <w:r w:rsidRPr="005858C0">
        <w:rPr>
          <w:b/>
          <w:lang w:val="fr-FR"/>
        </w:rPr>
        <w:t xml:space="preserve"> partie.</w:t>
      </w:r>
    </w:p>
    <w:p w:rsidR="00ED05DA" w:rsidRPr="00231F89" w:rsidRDefault="00771915" w:rsidP="00771915">
      <w:pPr>
        <w:pStyle w:val="H23G"/>
        <w:rPr>
          <w:lang w:val="fr-FR"/>
        </w:rPr>
      </w:pPr>
      <w:r>
        <w:rPr>
          <w:lang w:val="fr-FR"/>
        </w:rPr>
        <w:tab/>
      </w:r>
      <w:r>
        <w:rPr>
          <w:lang w:val="fr-FR"/>
        </w:rPr>
        <w:tab/>
      </w:r>
      <w:r w:rsidR="00745603" w:rsidRPr="00231F89">
        <w:rPr>
          <w:lang w:val="fr-FR"/>
        </w:rPr>
        <w:t xml:space="preserve">Non-refoulement, migrants, réfugiés et demandeurs d’asile </w:t>
      </w:r>
    </w:p>
    <w:p w:rsidR="00755B90" w:rsidRPr="00A214A0" w:rsidRDefault="00DA6B58" w:rsidP="00A361CE">
      <w:pPr>
        <w:pStyle w:val="SingleTxtG"/>
      </w:pPr>
      <w:r>
        <w:rPr>
          <w:lang w:val="fr-FR"/>
        </w:rPr>
        <w:t>16</w:t>
      </w:r>
      <w:r w:rsidR="00ED05DA">
        <w:rPr>
          <w:lang w:val="fr-FR"/>
        </w:rPr>
        <w:t>.</w:t>
      </w:r>
      <w:r w:rsidR="00ED05DA">
        <w:rPr>
          <w:lang w:val="fr-FR"/>
        </w:rPr>
        <w:tab/>
      </w:r>
      <w:r w:rsidR="00887428">
        <w:rPr>
          <w:lang w:val="fr-FR"/>
        </w:rPr>
        <w:t>Le Comité prend</w:t>
      </w:r>
      <w:r w:rsidR="00ED05DA">
        <w:rPr>
          <w:lang w:val="fr-FR"/>
        </w:rPr>
        <w:t xml:space="preserve"> note</w:t>
      </w:r>
      <w:r w:rsidR="00755B90">
        <w:rPr>
          <w:lang w:val="fr-FR"/>
        </w:rPr>
        <w:t xml:space="preserve"> avec satisfaction du fait qu’un nouveau titre</w:t>
      </w:r>
      <w:r w:rsidR="00C4591D">
        <w:rPr>
          <w:lang w:val="fr-FR"/>
        </w:rPr>
        <w:t>,</w:t>
      </w:r>
      <w:r w:rsidR="00755B90">
        <w:rPr>
          <w:lang w:val="fr-FR"/>
        </w:rPr>
        <w:t xml:space="preserve"> introduit dans le</w:t>
      </w:r>
      <w:r w:rsidR="00887428">
        <w:rPr>
          <w:lang w:val="fr-FR"/>
        </w:rPr>
        <w:t xml:space="preserve"> Code de procédure pénale</w:t>
      </w:r>
      <w:r w:rsidR="008431F0">
        <w:rPr>
          <w:lang w:val="fr-FR"/>
        </w:rPr>
        <w:t xml:space="preserve"> en 2011</w:t>
      </w:r>
      <w:r w:rsidR="00C4591D">
        <w:rPr>
          <w:lang w:val="fr-FR"/>
        </w:rPr>
        <w:t>,</w:t>
      </w:r>
      <w:r w:rsidR="008431F0">
        <w:rPr>
          <w:lang w:val="fr-FR"/>
        </w:rPr>
        <w:t xml:space="preserve"> </w:t>
      </w:r>
      <w:r w:rsidR="00887428">
        <w:rPr>
          <w:lang w:val="fr-FR"/>
        </w:rPr>
        <w:t>exclut</w:t>
      </w:r>
      <w:r w:rsidR="00755B90">
        <w:rPr>
          <w:lang w:val="fr-FR"/>
        </w:rPr>
        <w:t xml:space="preserve"> l’extradition si l’extradé risque d’être soumis à l</w:t>
      </w:r>
      <w:r w:rsidR="00231F89">
        <w:rPr>
          <w:lang w:val="fr-FR"/>
        </w:rPr>
        <w:t>a torture dans l’état requérant. Le Comité</w:t>
      </w:r>
      <w:r w:rsidR="00887428">
        <w:rPr>
          <w:lang w:val="fr-FR"/>
        </w:rPr>
        <w:t xml:space="preserve"> se félicite </w:t>
      </w:r>
      <w:r w:rsidR="008431F0">
        <w:rPr>
          <w:lang w:val="fr-FR"/>
        </w:rPr>
        <w:t xml:space="preserve">également </w:t>
      </w:r>
      <w:r w:rsidR="00887428">
        <w:rPr>
          <w:lang w:val="fr-FR"/>
        </w:rPr>
        <w:t>que l’</w:t>
      </w:r>
      <w:r w:rsidR="006073C6">
        <w:rPr>
          <w:lang w:val="fr-FR"/>
        </w:rPr>
        <w:t>État</w:t>
      </w:r>
      <w:r w:rsidR="00887428">
        <w:rPr>
          <w:lang w:val="fr-FR"/>
        </w:rPr>
        <w:t xml:space="preserve"> partie ait ouvert ses frontières aux </w:t>
      </w:r>
      <w:r w:rsidR="00231F89">
        <w:rPr>
          <w:lang w:val="fr-FR"/>
        </w:rPr>
        <w:t>populations déplacées maliennes</w:t>
      </w:r>
      <w:r w:rsidR="00887428">
        <w:rPr>
          <w:lang w:val="fr-FR"/>
        </w:rPr>
        <w:t xml:space="preserve">, </w:t>
      </w:r>
      <w:r w:rsidR="00AF3A22">
        <w:rPr>
          <w:lang w:val="fr-FR"/>
        </w:rPr>
        <w:t>depuis</w:t>
      </w:r>
      <w:r w:rsidR="00887428">
        <w:rPr>
          <w:lang w:val="fr-FR"/>
        </w:rPr>
        <w:t xml:space="preserve"> l’éruption</w:t>
      </w:r>
      <w:r w:rsidR="00231F89">
        <w:rPr>
          <w:lang w:val="fr-FR"/>
        </w:rPr>
        <w:t xml:space="preserve"> </w:t>
      </w:r>
      <w:r w:rsidR="00887428">
        <w:rPr>
          <w:lang w:val="fr-FR"/>
        </w:rPr>
        <w:t>de violence</w:t>
      </w:r>
      <w:r w:rsidR="00145CA1">
        <w:rPr>
          <w:lang w:val="fr-FR"/>
        </w:rPr>
        <w:t>s</w:t>
      </w:r>
      <w:r w:rsidR="00887428">
        <w:rPr>
          <w:lang w:val="fr-FR"/>
        </w:rPr>
        <w:t xml:space="preserve"> au nord</w:t>
      </w:r>
      <w:r w:rsidR="00DB217E">
        <w:rPr>
          <w:lang w:val="fr-FR"/>
        </w:rPr>
        <w:t>-M</w:t>
      </w:r>
      <w:r w:rsidR="00887428">
        <w:rPr>
          <w:lang w:val="fr-FR"/>
        </w:rPr>
        <w:t>ali</w:t>
      </w:r>
      <w:r w:rsidR="00231F89">
        <w:rPr>
          <w:lang w:val="fr-FR"/>
        </w:rPr>
        <w:t xml:space="preserve"> en janvier 2012</w:t>
      </w:r>
      <w:r w:rsidR="00887428">
        <w:rPr>
          <w:lang w:val="fr-FR"/>
        </w:rPr>
        <w:t>.</w:t>
      </w:r>
      <w:r w:rsidR="00E45627">
        <w:rPr>
          <w:lang w:val="fr-FR"/>
        </w:rPr>
        <w:t xml:space="preserve"> </w:t>
      </w:r>
      <w:r w:rsidR="00712A7A">
        <w:rPr>
          <w:lang w:val="fr-FR"/>
        </w:rPr>
        <w:t>Le Comité a pris note de l’information relative aux accords signés</w:t>
      </w:r>
      <w:r w:rsidR="00AF3A22">
        <w:rPr>
          <w:lang w:val="fr-FR"/>
        </w:rPr>
        <w:t xml:space="preserve"> par l’</w:t>
      </w:r>
      <w:r w:rsidR="006073C6">
        <w:rPr>
          <w:lang w:val="fr-FR"/>
        </w:rPr>
        <w:t>État</w:t>
      </w:r>
      <w:r w:rsidR="00AF3A22">
        <w:rPr>
          <w:lang w:val="fr-FR"/>
        </w:rPr>
        <w:t xml:space="preserve"> partie</w:t>
      </w:r>
      <w:r w:rsidR="00712A7A">
        <w:rPr>
          <w:lang w:val="fr-FR"/>
        </w:rPr>
        <w:t xml:space="preserve"> avec l’Espagne pour la lutte contre l’im</w:t>
      </w:r>
      <w:r w:rsidR="00AF3A22">
        <w:rPr>
          <w:lang w:val="fr-FR"/>
        </w:rPr>
        <w:t xml:space="preserve">migration </w:t>
      </w:r>
      <w:r w:rsidR="0048663F">
        <w:rPr>
          <w:lang w:val="fr-FR"/>
        </w:rPr>
        <w:t>irrégulière</w:t>
      </w:r>
      <w:r w:rsidR="00AF3A22">
        <w:rPr>
          <w:lang w:val="fr-FR"/>
        </w:rPr>
        <w:t xml:space="preserve"> et se déclare</w:t>
      </w:r>
      <w:r w:rsidR="00712A7A">
        <w:rPr>
          <w:lang w:val="fr-FR"/>
        </w:rPr>
        <w:t xml:space="preserve"> préoccupé par le risque de confusion entre demandeurs d’asile et migrants </w:t>
      </w:r>
      <w:r w:rsidR="0048663F">
        <w:rPr>
          <w:lang w:val="fr-FR"/>
        </w:rPr>
        <w:t xml:space="preserve">en situation irrégulière </w:t>
      </w:r>
      <w:r w:rsidR="00712A7A">
        <w:rPr>
          <w:lang w:val="fr-FR"/>
        </w:rPr>
        <w:t xml:space="preserve">qui pourrait </w:t>
      </w:r>
      <w:r w:rsidR="00227A3C">
        <w:rPr>
          <w:lang w:val="fr-FR"/>
        </w:rPr>
        <w:t>aboutir</w:t>
      </w:r>
      <w:r w:rsidR="00712A7A">
        <w:rPr>
          <w:lang w:val="fr-FR"/>
        </w:rPr>
        <w:t xml:space="preserve"> à des détentions arbitraires et à la violation du principe de non</w:t>
      </w:r>
      <w:r w:rsidR="00DB217E">
        <w:rPr>
          <w:lang w:val="fr-FR"/>
        </w:rPr>
        <w:t>-</w:t>
      </w:r>
      <w:r w:rsidR="00712A7A">
        <w:rPr>
          <w:lang w:val="fr-FR"/>
        </w:rPr>
        <w:t xml:space="preserve">refoulement. </w:t>
      </w:r>
      <w:r w:rsidR="00887428">
        <w:rPr>
          <w:lang w:val="fr-FR"/>
        </w:rPr>
        <w:t>L</w:t>
      </w:r>
      <w:r w:rsidR="00755B90">
        <w:t xml:space="preserve">e Comité regrette </w:t>
      </w:r>
      <w:r w:rsidR="004E505B">
        <w:t xml:space="preserve">l’absence d’information </w:t>
      </w:r>
      <w:r w:rsidR="00755B90">
        <w:t xml:space="preserve">sur </w:t>
      </w:r>
      <w:r w:rsidR="00A361CE">
        <w:t>l</w:t>
      </w:r>
      <w:r w:rsidR="00755B90">
        <w:rPr>
          <w:lang w:val="fr-FR"/>
        </w:rPr>
        <w:t xml:space="preserve">es décisions </w:t>
      </w:r>
      <w:r w:rsidR="00244D4D">
        <w:rPr>
          <w:lang w:val="fr-FR"/>
        </w:rPr>
        <w:t>traduis</w:t>
      </w:r>
      <w:r w:rsidR="00DB217E">
        <w:rPr>
          <w:lang w:val="fr-FR"/>
        </w:rPr>
        <w:t>a</w:t>
      </w:r>
      <w:r w:rsidR="00244D4D">
        <w:rPr>
          <w:lang w:val="fr-FR"/>
        </w:rPr>
        <w:t xml:space="preserve">nt </w:t>
      </w:r>
      <w:r w:rsidR="00DB217E">
        <w:rPr>
          <w:lang w:val="fr-FR"/>
        </w:rPr>
        <w:t xml:space="preserve">de manière </w:t>
      </w:r>
      <w:r w:rsidR="00244D4D">
        <w:rPr>
          <w:lang w:val="fr-FR"/>
        </w:rPr>
        <w:t>effective</w:t>
      </w:r>
      <w:r w:rsidR="00DB217E">
        <w:rPr>
          <w:lang w:val="fr-FR"/>
        </w:rPr>
        <w:t xml:space="preserve"> </w:t>
      </w:r>
      <w:r w:rsidR="00244D4D">
        <w:rPr>
          <w:lang w:val="fr-FR"/>
        </w:rPr>
        <w:t>l’</w:t>
      </w:r>
      <w:r w:rsidR="00755B90">
        <w:t>obligation de respecter le principe de non-refoulement</w:t>
      </w:r>
      <w:r w:rsidR="00DB217E">
        <w:t>,</w:t>
      </w:r>
      <w:r w:rsidR="00755B90">
        <w:t xml:space="preserve"> qui incombe</w:t>
      </w:r>
      <w:r w:rsidR="009D7633">
        <w:t xml:space="preserve"> à l’</w:t>
      </w:r>
      <w:r w:rsidR="006073C6">
        <w:t>État</w:t>
      </w:r>
      <w:r w:rsidR="009D7633">
        <w:t xml:space="preserve"> partie</w:t>
      </w:r>
      <w:r w:rsidR="00755B90">
        <w:t xml:space="preserve"> en vertu de l’article</w:t>
      </w:r>
      <w:r w:rsidR="00145CA1">
        <w:t> </w:t>
      </w:r>
      <w:r w:rsidR="00755B90">
        <w:t>3 de la Convention</w:t>
      </w:r>
      <w:r w:rsidR="00DB217E">
        <w:t>,</w:t>
      </w:r>
      <w:r w:rsidR="009D7633">
        <w:rPr>
          <w:lang w:val="fr-FR"/>
        </w:rPr>
        <w:t xml:space="preserve"> </w:t>
      </w:r>
      <w:r w:rsidR="00755B90">
        <w:rPr>
          <w:lang w:val="fr-FR"/>
        </w:rPr>
        <w:t>dans le cadre de procédures d’extradition mais ég</w:t>
      </w:r>
      <w:r w:rsidR="009D7633">
        <w:rPr>
          <w:lang w:val="fr-FR"/>
        </w:rPr>
        <w:t>alement de migration et d’asile</w:t>
      </w:r>
      <w:r w:rsidR="00755B90">
        <w:rPr>
          <w:lang w:val="fr-FR"/>
        </w:rPr>
        <w:t xml:space="preserve"> </w:t>
      </w:r>
      <w:r w:rsidR="00755B90">
        <w:t>(</w:t>
      </w:r>
      <w:r w:rsidR="002A4FA2">
        <w:t>art. </w:t>
      </w:r>
      <w:r w:rsidR="006349C8">
        <w:t xml:space="preserve">2 et </w:t>
      </w:r>
      <w:r w:rsidR="00755B90">
        <w:t>3).</w:t>
      </w:r>
    </w:p>
    <w:p w:rsidR="00755B90" w:rsidRPr="00DD7EE8" w:rsidRDefault="00755B90" w:rsidP="00145CA1">
      <w:pPr>
        <w:pStyle w:val="SingleTxtG"/>
        <w:rPr>
          <w:b/>
          <w:lang w:val="fr-FR"/>
        </w:rPr>
      </w:pPr>
      <w:r w:rsidRPr="00DD7EE8">
        <w:rPr>
          <w:b/>
          <w:lang w:val="fr-FR"/>
        </w:rPr>
        <w:t>Le Comité recommande à l’État partie</w:t>
      </w:r>
      <w:r w:rsidR="006073C6">
        <w:rPr>
          <w:b/>
          <w:lang w:val="fr-FR"/>
        </w:rPr>
        <w:t>:</w:t>
      </w:r>
      <w:r w:rsidRPr="00DD7EE8">
        <w:rPr>
          <w:b/>
          <w:lang w:val="fr-FR"/>
        </w:rPr>
        <w:t xml:space="preserve"> </w:t>
      </w:r>
    </w:p>
    <w:p w:rsidR="00755B90" w:rsidRPr="00DD7EE8" w:rsidRDefault="00755B90" w:rsidP="00145CA1">
      <w:pPr>
        <w:pStyle w:val="SingleTxtG"/>
        <w:rPr>
          <w:b/>
          <w:lang w:val="fr-FR"/>
        </w:rPr>
      </w:pPr>
      <w:r>
        <w:rPr>
          <w:b/>
          <w:lang w:val="fr-FR"/>
        </w:rPr>
        <w:tab/>
      </w:r>
      <w:r w:rsidRPr="0026513D">
        <w:rPr>
          <w:b/>
          <w:lang w:val="fr-FR"/>
        </w:rPr>
        <w:t>a)</w:t>
      </w:r>
      <w:r>
        <w:rPr>
          <w:b/>
          <w:lang w:val="fr-FR"/>
        </w:rPr>
        <w:tab/>
      </w:r>
      <w:r w:rsidR="00145CA1">
        <w:rPr>
          <w:b/>
          <w:lang w:val="fr-FR"/>
        </w:rPr>
        <w:t>De v</w:t>
      </w:r>
      <w:r w:rsidR="00650D8D" w:rsidRPr="00C7773D">
        <w:rPr>
          <w:b/>
          <w:lang w:val="fr-FR"/>
        </w:rPr>
        <w:t xml:space="preserve">eiller à ce qu’aucune personne, y compris en situation irrégulière de séjour sur son territoire, ne soit expulsée, extradée ou refoulée vers un </w:t>
      </w:r>
      <w:r w:rsidR="00650D8D">
        <w:rPr>
          <w:b/>
          <w:lang w:val="fr-FR"/>
        </w:rPr>
        <w:t>É</w:t>
      </w:r>
      <w:r w:rsidR="00650D8D" w:rsidRPr="00C7773D">
        <w:rPr>
          <w:b/>
          <w:lang w:val="fr-FR"/>
        </w:rPr>
        <w:t>tat où il y a des motifs sérieux de croire qu’elle risq</w:t>
      </w:r>
      <w:r w:rsidR="004E505B">
        <w:rPr>
          <w:b/>
          <w:lang w:val="fr-FR"/>
        </w:rPr>
        <w:t xml:space="preserve">ue d’être soumise à la torture, et </w:t>
      </w:r>
      <w:r w:rsidR="00145CA1">
        <w:rPr>
          <w:b/>
          <w:lang w:val="fr-FR"/>
        </w:rPr>
        <w:t xml:space="preserve">de </w:t>
      </w:r>
      <w:r w:rsidR="004E505B">
        <w:rPr>
          <w:b/>
          <w:lang w:val="fr-FR"/>
        </w:rPr>
        <w:t xml:space="preserve">s’assurer </w:t>
      </w:r>
      <w:r w:rsidR="00650D8D">
        <w:rPr>
          <w:b/>
          <w:lang w:val="fr-FR"/>
        </w:rPr>
        <w:t xml:space="preserve">que les décisions </w:t>
      </w:r>
      <w:r w:rsidR="004E505B">
        <w:rPr>
          <w:b/>
          <w:lang w:val="fr-FR"/>
        </w:rPr>
        <w:t xml:space="preserve">adoptées </w:t>
      </w:r>
      <w:r w:rsidR="00650D8D">
        <w:rPr>
          <w:b/>
          <w:lang w:val="fr-FR"/>
        </w:rPr>
        <w:t xml:space="preserve">soient prises à </w:t>
      </w:r>
      <w:r w:rsidR="007C5AE5">
        <w:rPr>
          <w:b/>
          <w:lang w:val="fr-FR"/>
        </w:rPr>
        <w:t xml:space="preserve">la suite d’un examen individuel, </w:t>
      </w:r>
      <w:r w:rsidR="00650D8D">
        <w:rPr>
          <w:b/>
          <w:lang w:val="fr-FR"/>
        </w:rPr>
        <w:t>et que les personnes concernées puissent avoir la possibilité de faire appel de ces décisions</w:t>
      </w:r>
      <w:r w:rsidR="006073C6">
        <w:rPr>
          <w:b/>
          <w:lang w:val="fr-FR"/>
        </w:rPr>
        <w:t>;</w:t>
      </w:r>
      <w:r w:rsidRPr="00DD7EE8">
        <w:rPr>
          <w:b/>
          <w:lang w:val="fr-FR"/>
        </w:rPr>
        <w:t xml:space="preserve"> </w:t>
      </w:r>
    </w:p>
    <w:p w:rsidR="00755B90" w:rsidRDefault="00755B90" w:rsidP="00145CA1">
      <w:pPr>
        <w:pStyle w:val="SingleTxtG"/>
        <w:rPr>
          <w:b/>
          <w:lang w:val="fr-FR"/>
        </w:rPr>
      </w:pPr>
      <w:r>
        <w:rPr>
          <w:b/>
          <w:lang w:val="fr-FR"/>
        </w:rPr>
        <w:tab/>
      </w:r>
      <w:r w:rsidRPr="0026513D">
        <w:rPr>
          <w:b/>
          <w:lang w:val="fr-FR"/>
        </w:rPr>
        <w:t>b)</w:t>
      </w:r>
      <w:r>
        <w:rPr>
          <w:b/>
          <w:lang w:val="fr-FR"/>
        </w:rPr>
        <w:tab/>
      </w:r>
      <w:r w:rsidR="00145CA1">
        <w:rPr>
          <w:b/>
          <w:lang w:val="fr-FR"/>
        </w:rPr>
        <w:t>De g</w:t>
      </w:r>
      <w:r w:rsidR="006349C8">
        <w:rPr>
          <w:b/>
          <w:lang w:val="fr-FR"/>
        </w:rPr>
        <w:t xml:space="preserve">arantir à toute personne détenue en </w:t>
      </w:r>
      <w:r w:rsidR="004E505B">
        <w:rPr>
          <w:b/>
          <w:lang w:val="fr-FR"/>
        </w:rPr>
        <w:t>rapport avec</w:t>
      </w:r>
      <w:r w:rsidR="006349C8">
        <w:rPr>
          <w:b/>
          <w:lang w:val="fr-FR"/>
        </w:rPr>
        <w:t xml:space="preserve"> la lutte contre l’immigration clandestine l’accès à un recours judiciaire effectif pour contester la légalité des décisions administratives relatives à sa détention, son expulsion ou </w:t>
      </w:r>
      <w:r w:rsidR="00E23BBE">
        <w:rPr>
          <w:b/>
          <w:lang w:val="fr-FR"/>
        </w:rPr>
        <w:t>son refoulement, le cas échéant</w:t>
      </w:r>
      <w:r w:rsidR="006073C6">
        <w:rPr>
          <w:b/>
          <w:lang w:val="fr-FR"/>
        </w:rPr>
        <w:t>;</w:t>
      </w:r>
    </w:p>
    <w:p w:rsidR="00E23BBE" w:rsidRDefault="00E23BBE" w:rsidP="00A361CE">
      <w:pPr>
        <w:pStyle w:val="SingleTxtG"/>
        <w:ind w:firstLine="567"/>
        <w:rPr>
          <w:b/>
          <w:lang w:val="fr-FR"/>
        </w:rPr>
      </w:pPr>
      <w:r>
        <w:rPr>
          <w:b/>
          <w:lang w:val="fr-FR"/>
        </w:rPr>
        <w:t xml:space="preserve">c) </w:t>
      </w:r>
      <w:r>
        <w:rPr>
          <w:b/>
          <w:lang w:val="fr-FR"/>
        </w:rPr>
        <w:tab/>
      </w:r>
      <w:r w:rsidR="00145CA1">
        <w:rPr>
          <w:b/>
          <w:lang w:val="fr-FR"/>
        </w:rPr>
        <w:t>De s</w:t>
      </w:r>
      <w:r w:rsidR="00C87208">
        <w:rPr>
          <w:b/>
          <w:lang w:val="fr-FR"/>
        </w:rPr>
        <w:t xml:space="preserve">’assurer que la détention de demandeurs d’asile n’est utilisée qu’en dernier ressort et, quand nécessaire, pour la durée la plus courte possible, en </w:t>
      </w:r>
      <w:r w:rsidR="00244D4D">
        <w:rPr>
          <w:b/>
          <w:lang w:val="fr-FR"/>
        </w:rPr>
        <w:t>s’appuyant sur</w:t>
      </w:r>
      <w:r w:rsidR="00C87208">
        <w:rPr>
          <w:b/>
          <w:lang w:val="fr-FR"/>
        </w:rPr>
        <w:t xml:space="preserve"> des mesures alternatives à la détention</w:t>
      </w:r>
      <w:r w:rsidR="006073C6">
        <w:rPr>
          <w:b/>
          <w:lang w:val="fr-FR"/>
        </w:rPr>
        <w:t>;</w:t>
      </w:r>
    </w:p>
    <w:p w:rsidR="00E23BBE" w:rsidRPr="00DD7EE8" w:rsidRDefault="00E23BBE" w:rsidP="00A361CE">
      <w:pPr>
        <w:pStyle w:val="SingleTxtG"/>
        <w:ind w:firstLine="567"/>
        <w:rPr>
          <w:b/>
          <w:lang w:val="fr-FR"/>
        </w:rPr>
      </w:pPr>
      <w:r>
        <w:rPr>
          <w:b/>
          <w:lang w:val="fr-FR"/>
        </w:rPr>
        <w:t>d)</w:t>
      </w:r>
      <w:r>
        <w:rPr>
          <w:b/>
          <w:lang w:val="fr-FR"/>
        </w:rPr>
        <w:tab/>
      </w:r>
      <w:r w:rsidR="00225474">
        <w:rPr>
          <w:b/>
          <w:lang w:val="fr-FR"/>
        </w:rPr>
        <w:t>D</w:t>
      </w:r>
      <w:r w:rsidR="00145CA1">
        <w:rPr>
          <w:b/>
          <w:lang w:val="fr-FR"/>
        </w:rPr>
        <w:t>e d</w:t>
      </w:r>
      <w:r w:rsidR="00225474">
        <w:rPr>
          <w:b/>
          <w:lang w:val="fr-FR"/>
        </w:rPr>
        <w:t xml:space="preserve">élivrer </w:t>
      </w:r>
      <w:r w:rsidR="00A361CE">
        <w:rPr>
          <w:b/>
          <w:lang w:val="fr-FR"/>
        </w:rPr>
        <w:t xml:space="preserve">des documents d’identité </w:t>
      </w:r>
      <w:r w:rsidR="00225474">
        <w:rPr>
          <w:b/>
          <w:lang w:val="fr-FR"/>
        </w:rPr>
        <w:t>aux</w:t>
      </w:r>
      <w:r>
        <w:rPr>
          <w:b/>
          <w:lang w:val="fr-FR"/>
        </w:rPr>
        <w:t xml:space="preserve"> Mauritaniens expulsés</w:t>
      </w:r>
      <w:r w:rsidR="00887428">
        <w:rPr>
          <w:b/>
          <w:lang w:val="fr-FR"/>
        </w:rPr>
        <w:t xml:space="preserve"> </w:t>
      </w:r>
      <w:r w:rsidR="00A361CE">
        <w:rPr>
          <w:b/>
          <w:lang w:val="fr-FR"/>
        </w:rPr>
        <w:t xml:space="preserve">par </w:t>
      </w:r>
      <w:r w:rsidR="00887428">
        <w:rPr>
          <w:b/>
          <w:lang w:val="fr-FR"/>
        </w:rPr>
        <w:t>le passé</w:t>
      </w:r>
      <w:r>
        <w:rPr>
          <w:b/>
          <w:lang w:val="fr-FR"/>
        </w:rPr>
        <w:t xml:space="preserve"> </w:t>
      </w:r>
      <w:r w:rsidR="00225474">
        <w:rPr>
          <w:b/>
          <w:lang w:val="fr-FR"/>
        </w:rPr>
        <w:t xml:space="preserve">et rapatriés, </w:t>
      </w:r>
      <w:r>
        <w:rPr>
          <w:b/>
          <w:lang w:val="fr-FR"/>
        </w:rPr>
        <w:t>ainsi qu’aux membres de leur famille</w:t>
      </w:r>
      <w:r w:rsidR="00225474">
        <w:rPr>
          <w:b/>
          <w:lang w:val="fr-FR"/>
        </w:rPr>
        <w:t>.</w:t>
      </w:r>
    </w:p>
    <w:p w:rsidR="00ED05DA" w:rsidRPr="00213A31" w:rsidRDefault="00ED05DA" w:rsidP="00ED05DA">
      <w:pPr>
        <w:pStyle w:val="H23G"/>
        <w:rPr>
          <w:lang w:val="fr-FR"/>
        </w:rPr>
      </w:pPr>
      <w:r>
        <w:rPr>
          <w:lang w:val="fr-FR"/>
        </w:rPr>
        <w:tab/>
      </w:r>
      <w:r>
        <w:rPr>
          <w:lang w:val="fr-FR"/>
        </w:rPr>
        <w:tab/>
      </w:r>
      <w:r w:rsidRPr="00213A31">
        <w:rPr>
          <w:lang w:val="fr-FR"/>
        </w:rPr>
        <w:t>Formation</w:t>
      </w:r>
    </w:p>
    <w:p w:rsidR="00071DB5" w:rsidRDefault="00AD2F84" w:rsidP="009645AE">
      <w:pPr>
        <w:pStyle w:val="SingleTxtG"/>
        <w:rPr>
          <w:lang w:val="fr-FR"/>
        </w:rPr>
      </w:pPr>
      <w:r>
        <w:rPr>
          <w:lang w:val="fr-FR"/>
        </w:rPr>
        <w:t>1</w:t>
      </w:r>
      <w:r w:rsidR="003F0744">
        <w:rPr>
          <w:lang w:val="fr-FR"/>
        </w:rPr>
        <w:t>7</w:t>
      </w:r>
      <w:r w:rsidR="00ED05DA" w:rsidRPr="00213A31">
        <w:rPr>
          <w:lang w:val="fr-FR"/>
        </w:rPr>
        <w:t>.</w:t>
      </w:r>
      <w:r w:rsidR="00ED05DA" w:rsidRPr="00213A31">
        <w:rPr>
          <w:lang w:val="fr-FR"/>
        </w:rPr>
        <w:tab/>
      </w:r>
      <w:r w:rsidR="007C5AE5">
        <w:rPr>
          <w:lang w:val="fr-FR"/>
        </w:rPr>
        <w:t>Tout</w:t>
      </w:r>
      <w:r w:rsidR="00071DB5">
        <w:rPr>
          <w:lang w:val="fr-FR"/>
        </w:rPr>
        <w:t xml:space="preserve"> en prenant note des multiples formations, y compris dans le domaine des droits de l’homme, organisées au bénéfice des membres des services de sécurité, le Comité est préoccupé par l’absence de formation </w:t>
      </w:r>
      <w:r w:rsidR="009645AE">
        <w:rPr>
          <w:lang w:val="fr-FR"/>
        </w:rPr>
        <w:t xml:space="preserve">sur </w:t>
      </w:r>
      <w:r w:rsidR="00071DB5">
        <w:rPr>
          <w:lang w:val="fr-FR"/>
        </w:rPr>
        <w:t>la Convention contre la torture</w:t>
      </w:r>
      <w:r w:rsidR="009645AE">
        <w:rPr>
          <w:lang w:val="fr-FR"/>
        </w:rPr>
        <w:t>,</w:t>
      </w:r>
      <w:r w:rsidR="00071DB5">
        <w:rPr>
          <w:lang w:val="fr-FR"/>
        </w:rPr>
        <w:t xml:space="preserve"> notamment l’interdiction absolue de la torture, prévue pour les policiers, gendarmes, officiers de la police judiciaire, agents pénitentiaires ainsi que le personnel chargé de l’application des lois comme les juges, procureurs et avocats.</w:t>
      </w:r>
      <w:r w:rsidR="00E45627">
        <w:rPr>
          <w:lang w:val="fr-FR"/>
        </w:rPr>
        <w:t xml:space="preserve"> </w:t>
      </w:r>
      <w:r w:rsidR="00071DB5">
        <w:rPr>
          <w:lang w:val="fr-FR"/>
        </w:rPr>
        <w:t xml:space="preserve">Il se </w:t>
      </w:r>
      <w:r w:rsidR="00244D4D">
        <w:rPr>
          <w:lang w:val="fr-FR"/>
        </w:rPr>
        <w:t>soucie</w:t>
      </w:r>
      <w:r w:rsidR="00071DB5">
        <w:rPr>
          <w:lang w:val="fr-FR"/>
        </w:rPr>
        <w:t xml:space="preserve"> aussi du fait que le Manuel pour enquêter efficacement sur la torture et autres peines ou traitements cruels, inhumains ou dégradants (Protocole d’Istanbul</w:t>
      </w:r>
      <w:r w:rsidR="00EA459C">
        <w:rPr>
          <w:lang w:val="fr-FR"/>
        </w:rPr>
        <w:t>, 1999</w:t>
      </w:r>
      <w:r w:rsidR="00071DB5">
        <w:rPr>
          <w:lang w:val="fr-FR"/>
        </w:rPr>
        <w:t xml:space="preserve">) ne </w:t>
      </w:r>
      <w:r w:rsidR="00523E5A">
        <w:rPr>
          <w:lang w:val="fr-FR"/>
        </w:rPr>
        <w:t>semble pas être</w:t>
      </w:r>
      <w:r w:rsidR="00071DB5">
        <w:rPr>
          <w:lang w:val="fr-FR"/>
        </w:rPr>
        <w:t xml:space="preserve"> utilisé systématiquement dans l’examen des cas de torture ou </w:t>
      </w:r>
      <w:r w:rsidR="00562077">
        <w:rPr>
          <w:lang w:val="fr-FR"/>
        </w:rPr>
        <w:t xml:space="preserve">de </w:t>
      </w:r>
      <w:r w:rsidR="00071DB5">
        <w:rPr>
          <w:lang w:val="fr-FR"/>
        </w:rPr>
        <w:t>mauvais traitements (</w:t>
      </w:r>
      <w:r w:rsidR="002A4FA2">
        <w:rPr>
          <w:lang w:val="fr-FR"/>
        </w:rPr>
        <w:t>art. </w:t>
      </w:r>
      <w:r w:rsidR="00071DB5">
        <w:rPr>
          <w:lang w:val="fr-FR"/>
        </w:rPr>
        <w:t>10).</w:t>
      </w:r>
    </w:p>
    <w:p w:rsidR="00071DB5" w:rsidRPr="00CE62DD" w:rsidRDefault="00071DB5" w:rsidP="00071DB5">
      <w:pPr>
        <w:pStyle w:val="SingleTxtG"/>
        <w:rPr>
          <w:b/>
          <w:lang w:val="fr-FR"/>
        </w:rPr>
      </w:pPr>
      <w:r w:rsidRPr="00CE62DD">
        <w:rPr>
          <w:b/>
          <w:lang w:val="fr-FR"/>
        </w:rPr>
        <w:t>Le Comité recommande à l’État partie</w:t>
      </w:r>
      <w:r w:rsidR="006073C6">
        <w:rPr>
          <w:b/>
          <w:lang w:val="fr-FR"/>
        </w:rPr>
        <w:t>:</w:t>
      </w:r>
      <w:r w:rsidRPr="00CE62DD">
        <w:rPr>
          <w:b/>
          <w:lang w:val="fr-FR"/>
        </w:rPr>
        <w:t xml:space="preserve"> </w:t>
      </w:r>
    </w:p>
    <w:p w:rsidR="00071DB5" w:rsidRPr="00CE62DD" w:rsidRDefault="00071DB5" w:rsidP="00071DB5">
      <w:pPr>
        <w:pStyle w:val="SingleTxtG"/>
        <w:rPr>
          <w:b/>
          <w:lang w:val="fr-FR"/>
        </w:rPr>
      </w:pPr>
      <w:r>
        <w:rPr>
          <w:b/>
          <w:lang w:val="fr-FR"/>
        </w:rPr>
        <w:tab/>
      </w:r>
      <w:r w:rsidRPr="0026513D">
        <w:rPr>
          <w:b/>
          <w:lang w:val="fr-FR"/>
        </w:rPr>
        <w:t>a)</w:t>
      </w:r>
      <w:r>
        <w:rPr>
          <w:b/>
          <w:lang w:val="fr-FR"/>
        </w:rPr>
        <w:tab/>
        <w:t>De m</w:t>
      </w:r>
      <w:r w:rsidRPr="00CE62DD">
        <w:rPr>
          <w:b/>
          <w:lang w:val="fr-FR"/>
        </w:rPr>
        <w:t xml:space="preserve">ettre en œuvre des programmes de formation </w:t>
      </w:r>
      <w:r>
        <w:rPr>
          <w:b/>
          <w:lang w:val="fr-FR"/>
        </w:rPr>
        <w:t>et d’élaborer des modules sur les</w:t>
      </w:r>
      <w:r w:rsidR="00E45627">
        <w:rPr>
          <w:b/>
          <w:lang w:val="fr-FR"/>
        </w:rPr>
        <w:t xml:space="preserve"> </w:t>
      </w:r>
      <w:r>
        <w:rPr>
          <w:b/>
          <w:lang w:val="fr-FR"/>
        </w:rPr>
        <w:t xml:space="preserve">droits de l’homme </w:t>
      </w:r>
      <w:r w:rsidRPr="00CE62DD">
        <w:rPr>
          <w:b/>
          <w:lang w:val="fr-FR"/>
        </w:rPr>
        <w:t xml:space="preserve">pour assurer que </w:t>
      </w:r>
      <w:r>
        <w:rPr>
          <w:b/>
          <w:lang w:val="fr-FR"/>
        </w:rPr>
        <w:t xml:space="preserve">le personnel de sécurité </w:t>
      </w:r>
      <w:r w:rsidR="00922679">
        <w:rPr>
          <w:b/>
          <w:lang w:val="fr-FR"/>
        </w:rPr>
        <w:t>et</w:t>
      </w:r>
      <w:r>
        <w:rPr>
          <w:b/>
          <w:lang w:val="fr-FR"/>
        </w:rPr>
        <w:t xml:space="preserve"> le personnel chargé de l’application des lois </w:t>
      </w:r>
      <w:r w:rsidRPr="00CE62DD">
        <w:rPr>
          <w:b/>
          <w:lang w:val="fr-FR"/>
        </w:rPr>
        <w:t xml:space="preserve">soient pleinement </w:t>
      </w:r>
      <w:r w:rsidR="00244D4D">
        <w:rPr>
          <w:b/>
          <w:lang w:val="fr-FR"/>
        </w:rPr>
        <w:t>exposés aux</w:t>
      </w:r>
      <w:r w:rsidRPr="00CE62DD">
        <w:rPr>
          <w:b/>
          <w:lang w:val="fr-FR"/>
        </w:rPr>
        <w:t xml:space="preserve"> dispositions de la Convention</w:t>
      </w:r>
      <w:r>
        <w:rPr>
          <w:b/>
          <w:lang w:val="fr-FR"/>
        </w:rPr>
        <w:t>, et notamment de l’interdiction absolue de la torture</w:t>
      </w:r>
      <w:r w:rsidR="006073C6">
        <w:rPr>
          <w:b/>
          <w:lang w:val="fr-FR"/>
        </w:rPr>
        <w:t>;</w:t>
      </w:r>
      <w:r w:rsidRPr="00CE62DD">
        <w:rPr>
          <w:b/>
          <w:lang w:val="fr-FR"/>
        </w:rPr>
        <w:t xml:space="preserve"> </w:t>
      </w:r>
    </w:p>
    <w:p w:rsidR="00071DB5" w:rsidRPr="00CE62DD" w:rsidRDefault="00071DB5" w:rsidP="00071DB5">
      <w:pPr>
        <w:pStyle w:val="SingleTxtG"/>
        <w:rPr>
          <w:b/>
          <w:lang w:val="fr-FR"/>
        </w:rPr>
      </w:pPr>
      <w:r>
        <w:rPr>
          <w:b/>
          <w:lang w:val="fr-FR"/>
        </w:rPr>
        <w:tab/>
      </w:r>
      <w:r w:rsidRPr="0026513D">
        <w:rPr>
          <w:b/>
          <w:lang w:val="fr-FR"/>
        </w:rPr>
        <w:t>b)</w:t>
      </w:r>
      <w:r>
        <w:rPr>
          <w:b/>
          <w:lang w:val="fr-FR"/>
        </w:rPr>
        <w:tab/>
      </w:r>
      <w:r w:rsidRPr="00CE62DD">
        <w:rPr>
          <w:b/>
          <w:lang w:val="fr-FR"/>
        </w:rPr>
        <w:t>De dispenser de manière régulière et systématique au personnel médical</w:t>
      </w:r>
      <w:r>
        <w:rPr>
          <w:b/>
          <w:lang w:val="fr-FR"/>
        </w:rPr>
        <w:t>, aux médecins légistes, juges et procureurs</w:t>
      </w:r>
      <w:r w:rsidRPr="00CE62DD">
        <w:rPr>
          <w:b/>
          <w:lang w:val="fr-FR"/>
        </w:rPr>
        <w:t xml:space="preserve"> et à toutes les autres personnes qui interviennent dans la garde, l’interrogatoire ou le traitement de tout individu arrêté, détenu ou emprisonné, ainsi qu’aux autres personnes participant aux enquêtes sur les cas de torture, une formation sur le </w:t>
      </w:r>
      <w:r>
        <w:rPr>
          <w:b/>
          <w:lang w:val="fr-FR"/>
        </w:rPr>
        <w:t>Protocole d’Istanbul</w:t>
      </w:r>
      <w:r w:rsidR="006073C6">
        <w:rPr>
          <w:b/>
          <w:lang w:val="fr-FR"/>
        </w:rPr>
        <w:t>;</w:t>
      </w:r>
      <w:r w:rsidRPr="00CE62DD">
        <w:rPr>
          <w:b/>
          <w:lang w:val="fr-FR"/>
        </w:rPr>
        <w:t xml:space="preserve"> </w:t>
      </w:r>
    </w:p>
    <w:p w:rsidR="00071DB5" w:rsidRDefault="00071DB5" w:rsidP="00071DB5">
      <w:pPr>
        <w:pStyle w:val="SingleTxtG"/>
        <w:rPr>
          <w:b/>
          <w:lang w:val="fr-FR"/>
        </w:rPr>
      </w:pPr>
      <w:r>
        <w:rPr>
          <w:b/>
          <w:lang w:val="fr-FR"/>
        </w:rPr>
        <w:tab/>
      </w:r>
      <w:r w:rsidRPr="0026513D">
        <w:rPr>
          <w:b/>
          <w:lang w:val="fr-FR"/>
        </w:rPr>
        <w:t>c)</w:t>
      </w:r>
      <w:r>
        <w:rPr>
          <w:b/>
          <w:lang w:val="fr-FR"/>
        </w:rPr>
        <w:tab/>
        <w:t>D’é</w:t>
      </w:r>
      <w:r w:rsidRPr="00CE62DD">
        <w:rPr>
          <w:b/>
          <w:lang w:val="fr-FR"/>
        </w:rPr>
        <w:t xml:space="preserve">laborer et </w:t>
      </w:r>
      <w:r>
        <w:rPr>
          <w:b/>
          <w:lang w:val="fr-FR"/>
        </w:rPr>
        <w:t xml:space="preserve">de </w:t>
      </w:r>
      <w:r w:rsidRPr="00CE62DD">
        <w:rPr>
          <w:b/>
          <w:lang w:val="fr-FR"/>
        </w:rPr>
        <w:t xml:space="preserve">mettre en œuvre une méthodologie permettant d’évaluer l’efficacité des programmes d’éducation et de formation </w:t>
      </w:r>
      <w:r>
        <w:rPr>
          <w:b/>
          <w:lang w:val="fr-FR"/>
        </w:rPr>
        <w:t xml:space="preserve">sur la Convention contre la torture et du Protocole d’Istanbul, </w:t>
      </w:r>
      <w:r w:rsidRPr="00CE62DD">
        <w:rPr>
          <w:b/>
          <w:lang w:val="fr-FR"/>
        </w:rPr>
        <w:t>et leurs effets sur la diminution des cas de torture et de mauvais traitement</w:t>
      </w:r>
      <w:r>
        <w:rPr>
          <w:b/>
          <w:lang w:val="fr-FR"/>
        </w:rPr>
        <w:t>s</w:t>
      </w:r>
      <w:r w:rsidRPr="00CE62DD">
        <w:rPr>
          <w:b/>
          <w:lang w:val="fr-FR"/>
        </w:rPr>
        <w:t>.</w:t>
      </w:r>
    </w:p>
    <w:p w:rsidR="00AE59BE" w:rsidRDefault="002A4FA2" w:rsidP="002A4FA2">
      <w:pPr>
        <w:pStyle w:val="H23G"/>
        <w:rPr>
          <w:lang w:val="fr-FR"/>
        </w:rPr>
      </w:pPr>
      <w:r>
        <w:rPr>
          <w:lang w:val="fr-FR"/>
        </w:rPr>
        <w:tab/>
      </w:r>
      <w:r>
        <w:rPr>
          <w:lang w:val="fr-FR"/>
        </w:rPr>
        <w:tab/>
      </w:r>
      <w:r w:rsidR="00AE59BE">
        <w:rPr>
          <w:lang w:val="fr-FR"/>
        </w:rPr>
        <w:t>E</w:t>
      </w:r>
      <w:r w:rsidR="00AD2F84">
        <w:rPr>
          <w:lang w:val="fr-FR"/>
        </w:rPr>
        <w:t xml:space="preserve">nquêtes </w:t>
      </w:r>
    </w:p>
    <w:p w:rsidR="00D136A8" w:rsidRDefault="00AE59BE" w:rsidP="00AE59BE">
      <w:pPr>
        <w:pStyle w:val="SingleTxtG"/>
      </w:pPr>
      <w:r>
        <w:rPr>
          <w:lang w:val="fr-FR"/>
        </w:rPr>
        <w:t>18.</w:t>
      </w:r>
      <w:r>
        <w:rPr>
          <w:lang w:val="fr-FR"/>
        </w:rPr>
        <w:tab/>
        <w:t>Le Comité est gravement préoccupé par le manque d’informations relatives aux poursuites des auteurs d’actes de torture. Il s’inquiète de</w:t>
      </w:r>
      <w:r>
        <w:t xml:space="preserve"> </w:t>
      </w:r>
      <w:r>
        <w:rPr>
          <w:lang w:val="fr-FR"/>
        </w:rPr>
        <w:t>l</w:t>
      </w:r>
      <w:r w:rsidR="00E45627">
        <w:rPr>
          <w:lang w:val="fr-FR"/>
        </w:rPr>
        <w:t>’</w:t>
      </w:r>
      <w:r>
        <w:rPr>
          <w:lang w:val="fr-FR"/>
        </w:rPr>
        <w:t>absence patente de données statistiques relatives au nombre de plaintes pénales enregistrées pour actes de torture, et aux enquêtes et condamnations qui auraient été menées à la suite de telles plaintes, ce qui suggère qu’aucun tribunal n’ait pu à ce jour appliquer directement les dispositions de la Convention, à défaut de textes les incriminant et les punissant.</w:t>
      </w:r>
      <w:r w:rsidR="00E45627">
        <w:rPr>
          <w:lang w:val="fr-FR"/>
        </w:rPr>
        <w:t xml:space="preserve"> </w:t>
      </w:r>
      <w:r>
        <w:rPr>
          <w:lang w:val="fr-FR"/>
        </w:rPr>
        <w:t xml:space="preserve">Le Comité s’inquiète </w:t>
      </w:r>
      <w:r w:rsidR="005B7A15">
        <w:rPr>
          <w:lang w:val="fr-FR"/>
        </w:rPr>
        <w:t>d’allégations reçues</w:t>
      </w:r>
      <w:r>
        <w:rPr>
          <w:lang w:val="fr-FR"/>
        </w:rPr>
        <w:t>,</w:t>
      </w:r>
      <w:r w:rsidR="00E45627">
        <w:rPr>
          <w:lang w:val="fr-FR"/>
        </w:rPr>
        <w:t xml:space="preserve"> </w:t>
      </w:r>
      <w:r>
        <w:rPr>
          <w:lang w:val="fr-FR"/>
        </w:rPr>
        <w:t>selon l</w:t>
      </w:r>
      <w:r w:rsidR="005B7A15">
        <w:rPr>
          <w:lang w:val="fr-FR"/>
        </w:rPr>
        <w:t>esquelles</w:t>
      </w:r>
      <w:r>
        <w:rPr>
          <w:lang w:val="fr-FR"/>
        </w:rPr>
        <w:t xml:space="preserve"> les autorités compétentes de l’</w:t>
      </w:r>
      <w:r w:rsidR="006073C6">
        <w:rPr>
          <w:lang w:val="fr-FR"/>
        </w:rPr>
        <w:t>État</w:t>
      </w:r>
      <w:r>
        <w:rPr>
          <w:lang w:val="fr-FR"/>
        </w:rPr>
        <w:t xml:space="preserve"> partie ont tardé à diligenter des enquêtes devant des cas d’allégations de torture signalés en 2011 et 2012 à Nouakchott, Kaédi, et Ould Yengé. Le Comité est également gravement </w:t>
      </w:r>
      <w:r w:rsidR="00EB68C3">
        <w:rPr>
          <w:lang w:val="fr-FR"/>
        </w:rPr>
        <w:t xml:space="preserve">concerné par l’insuffisance </w:t>
      </w:r>
      <w:r w:rsidR="005B7A15">
        <w:rPr>
          <w:lang w:val="fr-FR"/>
        </w:rPr>
        <w:t>d’information quant au</w:t>
      </w:r>
      <w:r>
        <w:rPr>
          <w:lang w:val="fr-FR"/>
        </w:rPr>
        <w:t xml:space="preserve"> cas de</w:t>
      </w:r>
      <w:r>
        <w:rPr>
          <w:rFonts w:hint="cs"/>
        </w:rPr>
        <w:t xml:space="preserve"> Hassane Ould Brahim</w:t>
      </w:r>
      <w:r>
        <w:t xml:space="preserve">, détenu à </w:t>
      </w:r>
      <w:r>
        <w:rPr>
          <w:rFonts w:hint="cs"/>
        </w:rPr>
        <w:t>la prison civile de Dar Naïm</w:t>
      </w:r>
      <w:r>
        <w:t>,</w:t>
      </w:r>
      <w:r>
        <w:rPr>
          <w:rFonts w:hint="cs"/>
        </w:rPr>
        <w:t xml:space="preserve"> à Nouakchott</w:t>
      </w:r>
      <w:r>
        <w:t>,</w:t>
      </w:r>
      <w:r>
        <w:rPr>
          <w:rFonts w:hint="cs"/>
        </w:rPr>
        <w:t xml:space="preserve"> </w:t>
      </w:r>
      <w:r>
        <w:t xml:space="preserve">qui serait décédé en octobre 2012 </w:t>
      </w:r>
      <w:r>
        <w:rPr>
          <w:rFonts w:hint="cs"/>
        </w:rPr>
        <w:t>après avoir été torturé par les gardes pénitentiaires</w:t>
      </w:r>
      <w:r w:rsidR="00B47505">
        <w:t xml:space="preserve"> (</w:t>
      </w:r>
      <w:r w:rsidR="002A4FA2">
        <w:t>art. </w:t>
      </w:r>
      <w:r w:rsidR="00B47505">
        <w:t>12 et 13)</w:t>
      </w:r>
      <w:r>
        <w:t>.</w:t>
      </w:r>
      <w:r w:rsidR="00E45627">
        <w:t xml:space="preserve"> </w:t>
      </w:r>
    </w:p>
    <w:p w:rsidR="00AE59BE" w:rsidRDefault="00AE59BE" w:rsidP="00D136A8">
      <w:pPr>
        <w:pStyle w:val="SingleTxtG"/>
        <w:keepNext/>
        <w:rPr>
          <w:b/>
          <w:lang w:val="fr-FR"/>
        </w:rPr>
      </w:pPr>
      <w:r w:rsidRPr="00D136A8">
        <w:rPr>
          <w:b/>
          <w:lang w:val="fr-FR"/>
        </w:rPr>
        <w:t>L’État partie devrait</w:t>
      </w:r>
      <w:r w:rsidR="006073C6" w:rsidRPr="00D136A8">
        <w:rPr>
          <w:b/>
          <w:lang w:val="fr-FR"/>
        </w:rPr>
        <w:t>:</w:t>
      </w:r>
    </w:p>
    <w:p w:rsidR="00AE59BE" w:rsidRDefault="00AE59BE" w:rsidP="00426C9D">
      <w:pPr>
        <w:pStyle w:val="SingleTxtG"/>
        <w:rPr>
          <w:b/>
          <w:lang w:val="fr-FR"/>
        </w:rPr>
      </w:pPr>
      <w:r>
        <w:rPr>
          <w:b/>
          <w:lang w:val="fr-FR"/>
        </w:rPr>
        <w:tab/>
      </w:r>
      <w:r w:rsidRPr="00405085">
        <w:rPr>
          <w:b/>
          <w:lang w:val="fr-FR"/>
        </w:rPr>
        <w:t>a)</w:t>
      </w:r>
      <w:r>
        <w:rPr>
          <w:b/>
          <w:lang w:val="fr-FR"/>
        </w:rPr>
        <w:tab/>
      </w:r>
      <w:r w:rsidR="0048663F">
        <w:rPr>
          <w:b/>
          <w:lang w:val="fr-FR"/>
        </w:rPr>
        <w:t>M</w:t>
      </w:r>
      <w:r>
        <w:rPr>
          <w:b/>
          <w:lang w:val="fr-FR"/>
        </w:rPr>
        <w:t>ettre fin à la torture et aux traitements inhumains et dégradants, et veiller à ce que les allégations de torture, de mauvais traitements ou d’usage excessif de la force par la police et les forces de sécurité fassent rapidement l’objet d’enquête, de poursuite et</w:t>
      </w:r>
      <w:r w:rsidR="00E95025">
        <w:rPr>
          <w:b/>
          <w:lang w:val="fr-FR"/>
        </w:rPr>
        <w:t xml:space="preserve">, le cas échéant, </w:t>
      </w:r>
      <w:r>
        <w:rPr>
          <w:b/>
          <w:lang w:val="fr-FR"/>
        </w:rPr>
        <w:t>de condamnations</w:t>
      </w:r>
      <w:r w:rsidR="00E95025">
        <w:rPr>
          <w:b/>
          <w:lang w:val="fr-FR"/>
        </w:rPr>
        <w:t xml:space="preserve"> </w:t>
      </w:r>
      <w:r w:rsidR="00EF6BDB">
        <w:rPr>
          <w:b/>
          <w:lang w:val="fr-FR"/>
        </w:rPr>
        <w:t>à des peines proportionnées à la gravité des actes en question</w:t>
      </w:r>
      <w:r w:rsidR="007045DA">
        <w:rPr>
          <w:b/>
          <w:lang w:val="fr-FR"/>
        </w:rPr>
        <w:t>,</w:t>
      </w:r>
      <w:r w:rsidR="0048663F">
        <w:rPr>
          <w:b/>
          <w:lang w:val="fr-FR"/>
        </w:rPr>
        <w:t xml:space="preserve"> conformément à son engagement lors de l’</w:t>
      </w:r>
      <w:r w:rsidR="00426C9D">
        <w:rPr>
          <w:b/>
          <w:lang w:val="fr-FR"/>
        </w:rPr>
        <w:t>e</w:t>
      </w:r>
      <w:r w:rsidR="0048663F">
        <w:rPr>
          <w:b/>
          <w:lang w:val="fr-FR"/>
        </w:rPr>
        <w:t>xamen périodique universel en novembre 2010</w:t>
      </w:r>
      <w:r>
        <w:rPr>
          <w:b/>
          <w:lang w:val="fr-FR"/>
        </w:rPr>
        <w:t>;</w:t>
      </w:r>
    </w:p>
    <w:p w:rsidR="00EF6BDB" w:rsidRPr="00FC425C" w:rsidRDefault="00AE59BE" w:rsidP="006B3D45">
      <w:pPr>
        <w:pStyle w:val="SingleTxtG"/>
        <w:rPr>
          <w:b/>
          <w:lang w:val="fr-FR"/>
        </w:rPr>
      </w:pPr>
      <w:r>
        <w:rPr>
          <w:b/>
          <w:lang w:val="fr-FR"/>
        </w:rPr>
        <w:tab/>
      </w:r>
      <w:r w:rsidRPr="00FC425C">
        <w:rPr>
          <w:b/>
          <w:lang w:val="fr-FR"/>
        </w:rPr>
        <w:t>b)</w:t>
      </w:r>
      <w:r w:rsidRPr="00FC425C">
        <w:rPr>
          <w:b/>
          <w:lang w:val="fr-FR"/>
        </w:rPr>
        <w:tab/>
        <w:t>Inclure l’imprescriptibilité du crime de torture dans le Code pénal</w:t>
      </w:r>
      <w:r w:rsidR="00EF6BDB" w:rsidRPr="00FC425C">
        <w:rPr>
          <w:b/>
          <w:lang w:val="fr-FR"/>
        </w:rPr>
        <w:t>;</w:t>
      </w:r>
    </w:p>
    <w:p w:rsidR="00AE59BE" w:rsidRPr="00EF6BDB" w:rsidRDefault="00EF6BDB" w:rsidP="00AE59BE">
      <w:pPr>
        <w:pStyle w:val="SingleTxtG"/>
      </w:pPr>
      <w:r w:rsidRPr="00FC425C">
        <w:rPr>
          <w:b/>
          <w:lang w:val="fr-FR"/>
        </w:rPr>
        <w:tab/>
      </w:r>
      <w:r w:rsidR="00D51F68" w:rsidRPr="00D51F68">
        <w:rPr>
          <w:b/>
        </w:rPr>
        <w:t xml:space="preserve">c) </w:t>
      </w:r>
      <w:r w:rsidR="00955D0A">
        <w:rPr>
          <w:b/>
        </w:rPr>
        <w:tab/>
      </w:r>
      <w:r w:rsidR="00D51F68" w:rsidRPr="00D51F68">
        <w:rPr>
          <w:b/>
        </w:rPr>
        <w:t>Fournir au Comité des informations détaillées sur le</w:t>
      </w:r>
      <w:r>
        <w:rPr>
          <w:b/>
        </w:rPr>
        <w:t>s</w:t>
      </w:r>
      <w:r w:rsidR="005B7A15">
        <w:rPr>
          <w:b/>
        </w:rPr>
        <w:t xml:space="preserve"> enquêtes menées</w:t>
      </w:r>
      <w:r>
        <w:rPr>
          <w:b/>
        </w:rPr>
        <w:t xml:space="preserve"> sur le</w:t>
      </w:r>
      <w:r w:rsidR="00D51F68" w:rsidRPr="00D51F68">
        <w:rPr>
          <w:b/>
        </w:rPr>
        <w:t xml:space="preserve"> </w:t>
      </w:r>
      <w:r>
        <w:rPr>
          <w:b/>
        </w:rPr>
        <w:t xml:space="preserve">décès </w:t>
      </w:r>
      <w:r w:rsidR="00D51F68" w:rsidRPr="00D51F68">
        <w:rPr>
          <w:b/>
        </w:rPr>
        <w:t>de Hassane Ould Brahim</w:t>
      </w:r>
      <w:r>
        <w:t xml:space="preserve"> </w:t>
      </w:r>
      <w:r w:rsidR="00D51F68" w:rsidRPr="00D51F68">
        <w:rPr>
          <w:b/>
        </w:rPr>
        <w:t>survenu en octobre 2012 à la prison de Dar</w:t>
      </w:r>
      <w:r w:rsidR="00955D0A">
        <w:rPr>
          <w:b/>
        </w:rPr>
        <w:t> </w:t>
      </w:r>
      <w:r w:rsidR="00D51F68" w:rsidRPr="00D51F68">
        <w:rPr>
          <w:b/>
        </w:rPr>
        <w:t>Naïm</w:t>
      </w:r>
      <w:r w:rsidR="005B7A15">
        <w:rPr>
          <w:b/>
        </w:rPr>
        <w:t xml:space="preserve">, </w:t>
      </w:r>
      <w:r w:rsidR="003123A3">
        <w:rPr>
          <w:b/>
        </w:rPr>
        <w:t>ai</w:t>
      </w:r>
      <w:r w:rsidR="00795013">
        <w:rPr>
          <w:b/>
        </w:rPr>
        <w:t>n</w:t>
      </w:r>
      <w:r w:rsidR="003123A3">
        <w:rPr>
          <w:b/>
        </w:rPr>
        <w:t xml:space="preserve">si que </w:t>
      </w:r>
      <w:r w:rsidR="00795013">
        <w:rPr>
          <w:b/>
        </w:rPr>
        <w:t xml:space="preserve">sur </w:t>
      </w:r>
      <w:r w:rsidR="003123A3">
        <w:rPr>
          <w:b/>
        </w:rPr>
        <w:t>les suites qui ont été données à ces enquêtes</w:t>
      </w:r>
      <w:r w:rsidR="00304301">
        <w:rPr>
          <w:b/>
        </w:rPr>
        <w:t>.</w:t>
      </w:r>
    </w:p>
    <w:p w:rsidR="00AD2F84" w:rsidRPr="00B86223" w:rsidRDefault="00771915" w:rsidP="00771915">
      <w:pPr>
        <w:pStyle w:val="H23G"/>
        <w:rPr>
          <w:lang w:val="fr-FR"/>
        </w:rPr>
      </w:pPr>
      <w:r>
        <w:rPr>
          <w:lang w:val="fr-FR"/>
        </w:rPr>
        <w:tab/>
      </w:r>
      <w:r>
        <w:rPr>
          <w:lang w:val="fr-FR"/>
        </w:rPr>
        <w:tab/>
      </w:r>
      <w:r w:rsidR="00AE59BE">
        <w:rPr>
          <w:lang w:val="fr-FR"/>
        </w:rPr>
        <w:t>A</w:t>
      </w:r>
      <w:r w:rsidR="00AD2F84">
        <w:rPr>
          <w:lang w:val="fr-FR"/>
        </w:rPr>
        <w:t>mnisties</w:t>
      </w:r>
      <w:r w:rsidR="00AE59BE">
        <w:rPr>
          <w:lang w:val="fr-FR"/>
        </w:rPr>
        <w:t xml:space="preserve"> et impunité</w:t>
      </w:r>
    </w:p>
    <w:p w:rsidR="00AD2F84" w:rsidRDefault="00AE59BE" w:rsidP="002A4FA2">
      <w:pPr>
        <w:pStyle w:val="SingleTxtG"/>
        <w:rPr>
          <w:lang w:val="fr-FR"/>
        </w:rPr>
      </w:pPr>
      <w:r>
        <w:rPr>
          <w:lang w:val="fr-FR"/>
        </w:rPr>
        <w:t>19</w:t>
      </w:r>
      <w:r w:rsidR="00AD2F84">
        <w:rPr>
          <w:lang w:val="fr-FR"/>
        </w:rPr>
        <w:t>.</w:t>
      </w:r>
      <w:r w:rsidR="00AD2F84">
        <w:rPr>
          <w:lang w:val="fr-FR"/>
        </w:rPr>
        <w:tab/>
      </w:r>
      <w:r w:rsidR="00E83C09">
        <w:rPr>
          <w:lang w:val="fr-FR"/>
        </w:rPr>
        <w:t>L</w:t>
      </w:r>
      <w:r w:rsidR="00AD2F84">
        <w:rPr>
          <w:lang w:val="fr-FR"/>
        </w:rPr>
        <w:t xml:space="preserve">e Comité s’inquiète que </w:t>
      </w:r>
      <w:r w:rsidR="00AD2F84" w:rsidRPr="00B65B4F">
        <w:rPr>
          <w:lang w:val="fr-FR"/>
        </w:rPr>
        <w:t xml:space="preserve">la </w:t>
      </w:r>
      <w:r w:rsidR="006073C6" w:rsidRPr="00B65B4F">
        <w:rPr>
          <w:lang w:val="fr-FR"/>
        </w:rPr>
        <w:t>loi</w:t>
      </w:r>
      <w:r w:rsidR="00AD2F84" w:rsidRPr="00B65B4F">
        <w:rPr>
          <w:lang w:val="fr-FR"/>
        </w:rPr>
        <w:t xml:space="preserve"> n°</w:t>
      </w:r>
      <w:r w:rsidR="00E34F1C" w:rsidRPr="00B65B4F">
        <w:rPr>
          <w:lang w:val="fr-FR"/>
        </w:rPr>
        <w:t> </w:t>
      </w:r>
      <w:r w:rsidR="00AD2F84" w:rsidRPr="00B65B4F">
        <w:rPr>
          <w:lang w:val="fr-FR"/>
        </w:rPr>
        <w:t xml:space="preserve">92-93 </w:t>
      </w:r>
      <w:r w:rsidR="00B9259A" w:rsidRPr="00875DB4">
        <w:rPr>
          <w:lang w:val="fr-FR"/>
        </w:rPr>
        <w:t>du</w:t>
      </w:r>
      <w:r w:rsidR="00B9259A">
        <w:rPr>
          <w:lang w:val="fr-FR"/>
        </w:rPr>
        <w:t xml:space="preserve"> </w:t>
      </w:r>
      <w:r w:rsidR="00B9259A" w:rsidRPr="00875DB4">
        <w:rPr>
          <w:lang w:val="fr-FR"/>
        </w:rPr>
        <w:t>14</w:t>
      </w:r>
      <w:r w:rsidR="00AD2F84" w:rsidRPr="00875DB4">
        <w:rPr>
          <w:lang w:val="fr-FR"/>
        </w:rPr>
        <w:t xml:space="preserve"> juin 1993</w:t>
      </w:r>
      <w:r w:rsidR="00FB6E62" w:rsidRPr="00875DB4">
        <w:rPr>
          <w:lang w:val="fr-FR"/>
        </w:rPr>
        <w:t xml:space="preserve"> </w:t>
      </w:r>
      <w:r w:rsidR="00AD2F84">
        <w:rPr>
          <w:lang w:val="fr-FR"/>
        </w:rPr>
        <w:t>accorde une amnistie</w:t>
      </w:r>
      <w:r w:rsidR="00E45627">
        <w:rPr>
          <w:lang w:val="fr-FR"/>
        </w:rPr>
        <w:t xml:space="preserve"> </w:t>
      </w:r>
      <w:r w:rsidR="00AD2F84">
        <w:rPr>
          <w:lang w:val="fr-FR"/>
        </w:rPr>
        <w:t xml:space="preserve">totale aux membres des forces armées et </w:t>
      </w:r>
      <w:r w:rsidR="00CC01E0">
        <w:rPr>
          <w:lang w:val="fr-FR"/>
        </w:rPr>
        <w:t>de sécurité</w:t>
      </w:r>
      <w:r w:rsidR="00AD2F84">
        <w:rPr>
          <w:lang w:val="fr-FR"/>
        </w:rPr>
        <w:t>. En particulier, le Comité demeure préoccupé de l’approche adoptée par l’</w:t>
      </w:r>
      <w:r w:rsidR="006073C6">
        <w:rPr>
          <w:lang w:val="fr-FR"/>
        </w:rPr>
        <w:t>État</w:t>
      </w:r>
      <w:r w:rsidR="00AD2F84">
        <w:rPr>
          <w:lang w:val="fr-FR"/>
        </w:rPr>
        <w:t xml:space="preserve"> partie, confirmée oralement par sa délégation, </w:t>
      </w:r>
      <w:r w:rsidR="00CC01E0">
        <w:rPr>
          <w:lang w:val="fr-FR"/>
        </w:rPr>
        <w:t>vis-à-vis des</w:t>
      </w:r>
      <w:r w:rsidR="00AD2F84">
        <w:rPr>
          <w:lang w:val="fr-FR"/>
        </w:rPr>
        <w:t xml:space="preserve"> demandes de certaines victimes et de leurs ayant-droits qui ne souhaiteraient pas se prévaloir des mesures d’indemnisations envisagées, au profit d’une action judiciaire civile en réparation, et que l’</w:t>
      </w:r>
      <w:r w:rsidR="006073C6">
        <w:rPr>
          <w:lang w:val="fr-FR"/>
        </w:rPr>
        <w:t>État</w:t>
      </w:r>
      <w:r w:rsidR="00AD2F84">
        <w:rPr>
          <w:lang w:val="fr-FR"/>
        </w:rPr>
        <w:t xml:space="preserve"> partie a considéré comme inopportunes (</w:t>
      </w:r>
      <w:r w:rsidR="002A4FA2">
        <w:rPr>
          <w:lang w:val="fr-FR"/>
        </w:rPr>
        <w:t>art. </w:t>
      </w:r>
      <w:r w:rsidR="00AD2F84">
        <w:rPr>
          <w:lang w:val="fr-FR"/>
        </w:rPr>
        <w:t>2, 12, 13 et 14).</w:t>
      </w:r>
    </w:p>
    <w:p w:rsidR="00304301" w:rsidRDefault="00C416BB" w:rsidP="009B27E0">
      <w:pPr>
        <w:pStyle w:val="SingleTxtG"/>
        <w:ind w:firstLine="6"/>
        <w:rPr>
          <w:b/>
          <w:lang w:val="fr-FR"/>
        </w:rPr>
      </w:pPr>
      <w:r>
        <w:rPr>
          <w:b/>
          <w:lang w:val="fr-FR"/>
        </w:rPr>
        <w:t xml:space="preserve">Faisant référence à son Observation </w:t>
      </w:r>
      <w:r w:rsidR="00D51F68" w:rsidRPr="00D51F68">
        <w:rPr>
          <w:b/>
        </w:rPr>
        <w:t>générale n°</w:t>
      </w:r>
      <w:r w:rsidR="00A95839">
        <w:rPr>
          <w:b/>
        </w:rPr>
        <w:t> </w:t>
      </w:r>
      <w:r w:rsidR="00D51F68" w:rsidRPr="00D51F68">
        <w:rPr>
          <w:b/>
        </w:rPr>
        <w:t>3</w:t>
      </w:r>
      <w:r w:rsidR="00E14903">
        <w:rPr>
          <w:b/>
        </w:rPr>
        <w:t xml:space="preserve"> </w:t>
      </w:r>
      <w:r w:rsidR="00A95839">
        <w:rPr>
          <w:b/>
        </w:rPr>
        <w:t xml:space="preserve">(2012) </w:t>
      </w:r>
      <w:r w:rsidR="00E14903" w:rsidRPr="00FC5361">
        <w:rPr>
          <w:b/>
          <w:lang w:val="fr-FR"/>
        </w:rPr>
        <w:t>(CAT/C/GC/3)</w:t>
      </w:r>
      <w:r w:rsidR="00D51F68" w:rsidRPr="00D51F68">
        <w:rPr>
          <w:b/>
        </w:rPr>
        <w:t>, le Comité recommande à l’État</w:t>
      </w:r>
      <w:r w:rsidR="00AE59BE">
        <w:rPr>
          <w:b/>
          <w:lang w:val="fr-FR"/>
        </w:rPr>
        <w:t xml:space="preserve"> partie</w:t>
      </w:r>
      <w:r w:rsidR="00304301">
        <w:rPr>
          <w:b/>
          <w:lang w:val="fr-FR"/>
        </w:rPr>
        <w:t>:</w:t>
      </w:r>
    </w:p>
    <w:p w:rsidR="00C416BB" w:rsidRDefault="00304301" w:rsidP="0027256D">
      <w:pPr>
        <w:pStyle w:val="SingleTxtG"/>
        <w:ind w:firstLine="567"/>
        <w:rPr>
          <w:b/>
          <w:lang w:val="fr-FR"/>
        </w:rPr>
      </w:pPr>
      <w:r>
        <w:rPr>
          <w:b/>
          <w:lang w:val="fr-FR"/>
        </w:rPr>
        <w:t>a)</w:t>
      </w:r>
      <w:r w:rsidR="009B27E0">
        <w:rPr>
          <w:b/>
          <w:lang w:val="fr-FR"/>
        </w:rPr>
        <w:tab/>
        <w:t>D’a</w:t>
      </w:r>
      <w:r w:rsidR="00E83C09">
        <w:rPr>
          <w:b/>
          <w:lang w:val="fr-FR"/>
        </w:rPr>
        <w:t>mender la</w:t>
      </w:r>
      <w:r w:rsidR="00E83C09">
        <w:rPr>
          <w:lang w:val="fr-FR"/>
        </w:rPr>
        <w:t xml:space="preserve"> </w:t>
      </w:r>
      <w:r w:rsidR="006073C6">
        <w:rPr>
          <w:b/>
          <w:lang w:val="fr-FR"/>
        </w:rPr>
        <w:t>loi</w:t>
      </w:r>
      <w:r w:rsidR="00D51F68" w:rsidRPr="00D51F68">
        <w:rPr>
          <w:b/>
          <w:lang w:val="fr-FR"/>
        </w:rPr>
        <w:t xml:space="preserve"> </w:t>
      </w:r>
      <w:r w:rsidR="00E83C09">
        <w:rPr>
          <w:b/>
          <w:lang w:val="fr-FR"/>
        </w:rPr>
        <w:t>d</w:t>
      </w:r>
      <w:r w:rsidR="00E45627">
        <w:rPr>
          <w:b/>
          <w:lang w:val="fr-FR"/>
        </w:rPr>
        <w:t>’</w:t>
      </w:r>
      <w:r w:rsidR="00E83C09">
        <w:rPr>
          <w:b/>
          <w:lang w:val="fr-FR"/>
        </w:rPr>
        <w:t xml:space="preserve">amnistie </w:t>
      </w:r>
      <w:r w:rsidR="00D51F68" w:rsidRPr="00D51F68">
        <w:rPr>
          <w:b/>
          <w:lang w:val="fr-FR"/>
        </w:rPr>
        <w:t>n°</w:t>
      </w:r>
      <w:r w:rsidR="00E01ABA">
        <w:rPr>
          <w:b/>
          <w:lang w:val="fr-FR"/>
        </w:rPr>
        <w:t> </w:t>
      </w:r>
      <w:r w:rsidR="00D51F68" w:rsidRPr="00B65B4F">
        <w:rPr>
          <w:b/>
          <w:lang w:val="fr-FR"/>
        </w:rPr>
        <w:t>92-93</w:t>
      </w:r>
      <w:r w:rsidR="00E83C09">
        <w:rPr>
          <w:b/>
          <w:lang w:val="fr-FR"/>
        </w:rPr>
        <w:t xml:space="preserve"> et</w:t>
      </w:r>
      <w:r w:rsidR="00E45627">
        <w:rPr>
          <w:b/>
          <w:lang w:val="fr-FR"/>
        </w:rPr>
        <w:t xml:space="preserve"> </w:t>
      </w:r>
      <w:r w:rsidR="0027256D">
        <w:rPr>
          <w:b/>
          <w:lang w:val="fr-FR"/>
        </w:rPr>
        <w:t xml:space="preserve">de </w:t>
      </w:r>
      <w:r w:rsidR="00AE59BE">
        <w:rPr>
          <w:b/>
          <w:lang w:val="fr-FR"/>
        </w:rPr>
        <w:t>m</w:t>
      </w:r>
      <w:r w:rsidR="00AD2F84">
        <w:rPr>
          <w:b/>
          <w:lang w:val="fr-FR"/>
        </w:rPr>
        <w:t xml:space="preserve">ettre en œuvre toutes les mesures nécessaires pour lutter contre l’impunité des auteurs d’actes de torture, y compris en permettant l’accès à des recours effectifs aux victimes et leurs ayants-droits, </w:t>
      </w:r>
    </w:p>
    <w:p w:rsidR="00AD2F84" w:rsidRDefault="00C416BB" w:rsidP="009B27E0">
      <w:pPr>
        <w:pStyle w:val="SingleTxtG"/>
        <w:rPr>
          <w:b/>
          <w:lang w:val="fr-FR"/>
        </w:rPr>
      </w:pPr>
      <w:r>
        <w:rPr>
          <w:b/>
          <w:lang w:val="fr-FR"/>
        </w:rPr>
        <w:tab/>
        <w:t>b)</w:t>
      </w:r>
      <w:r>
        <w:rPr>
          <w:b/>
          <w:lang w:val="fr-FR"/>
        </w:rPr>
        <w:tab/>
      </w:r>
      <w:r w:rsidR="009B27E0">
        <w:rPr>
          <w:b/>
          <w:lang w:val="fr-FR"/>
        </w:rPr>
        <w:t>D’a</w:t>
      </w:r>
      <w:r>
        <w:rPr>
          <w:b/>
          <w:lang w:val="fr-FR"/>
        </w:rPr>
        <w:t xml:space="preserve">ssurer la </w:t>
      </w:r>
      <w:r w:rsidR="00AD2F84">
        <w:rPr>
          <w:b/>
          <w:lang w:val="fr-FR"/>
        </w:rPr>
        <w:t xml:space="preserve">protection </w:t>
      </w:r>
      <w:r>
        <w:rPr>
          <w:b/>
          <w:lang w:val="fr-FR"/>
        </w:rPr>
        <w:t>des victimes et de leurs familles</w:t>
      </w:r>
      <w:r w:rsidR="008F285F">
        <w:rPr>
          <w:b/>
          <w:lang w:val="fr-FR"/>
        </w:rPr>
        <w:t>,</w:t>
      </w:r>
      <w:r>
        <w:rPr>
          <w:b/>
          <w:lang w:val="fr-FR"/>
        </w:rPr>
        <w:t xml:space="preserve"> cherchant </w:t>
      </w:r>
      <w:r w:rsidR="005E1FD5">
        <w:rPr>
          <w:b/>
          <w:lang w:val="fr-FR"/>
        </w:rPr>
        <w:t xml:space="preserve">à obtenir </w:t>
      </w:r>
      <w:r>
        <w:rPr>
          <w:b/>
          <w:lang w:val="fr-FR"/>
        </w:rPr>
        <w:t>réparation</w:t>
      </w:r>
      <w:r w:rsidR="008F285F">
        <w:rPr>
          <w:b/>
          <w:lang w:val="fr-FR"/>
        </w:rPr>
        <w:t>,</w:t>
      </w:r>
      <w:r>
        <w:rPr>
          <w:b/>
          <w:lang w:val="fr-FR"/>
        </w:rPr>
        <w:t xml:space="preserve"> contre </w:t>
      </w:r>
      <w:r w:rsidR="00AD2F84">
        <w:rPr>
          <w:b/>
          <w:lang w:val="fr-FR"/>
        </w:rPr>
        <w:t>d’éventuelles représailles ou intimidations.</w:t>
      </w:r>
      <w:r w:rsidR="00AD2F84" w:rsidRPr="007F3818">
        <w:rPr>
          <w:b/>
          <w:lang w:val="fr-FR"/>
        </w:rPr>
        <w:t xml:space="preserve"> </w:t>
      </w:r>
    </w:p>
    <w:p w:rsidR="00071DB5" w:rsidRDefault="00AD2F84" w:rsidP="00071DB5">
      <w:pPr>
        <w:pStyle w:val="SingleTxtG"/>
        <w:rPr>
          <w:b/>
          <w:lang w:val="fr-FR"/>
        </w:rPr>
      </w:pPr>
      <w:r>
        <w:rPr>
          <w:b/>
          <w:lang w:val="fr-FR"/>
        </w:rPr>
        <w:t>Réparation</w:t>
      </w:r>
      <w:r w:rsidR="00071DB5">
        <w:rPr>
          <w:b/>
          <w:lang w:val="fr-FR"/>
        </w:rPr>
        <w:t xml:space="preserve"> et réadaptation des victimes de torture</w:t>
      </w:r>
    </w:p>
    <w:p w:rsidR="00071DB5" w:rsidRPr="008669D5" w:rsidRDefault="00AE59BE" w:rsidP="00D07988">
      <w:pPr>
        <w:pStyle w:val="SingleTxtG"/>
        <w:rPr>
          <w:lang w:val="fr-FR"/>
        </w:rPr>
      </w:pPr>
      <w:r>
        <w:rPr>
          <w:lang w:val="fr-FR"/>
        </w:rPr>
        <w:t>20</w:t>
      </w:r>
      <w:r w:rsidR="00071DB5">
        <w:rPr>
          <w:lang w:val="fr-FR"/>
        </w:rPr>
        <w:t>.</w:t>
      </w:r>
      <w:r w:rsidR="00071DB5">
        <w:rPr>
          <w:lang w:val="fr-FR"/>
        </w:rPr>
        <w:tab/>
      </w:r>
      <w:r w:rsidR="00071DB5" w:rsidRPr="008669D5">
        <w:rPr>
          <w:lang w:val="fr-FR"/>
        </w:rPr>
        <w:t xml:space="preserve">Le Comité est préoccupé par le fait que la législation actuelle </w:t>
      </w:r>
      <w:r w:rsidR="00071DB5">
        <w:rPr>
          <w:lang w:val="fr-FR"/>
        </w:rPr>
        <w:t>ne contient aucune disposition garantissant la réparation des préjudices causés aux victimes de torture.</w:t>
      </w:r>
      <w:r w:rsidR="00E45627">
        <w:rPr>
          <w:lang w:val="fr-FR"/>
        </w:rPr>
        <w:t xml:space="preserve"> </w:t>
      </w:r>
      <w:r w:rsidR="00071DB5">
        <w:rPr>
          <w:lang w:val="fr-FR"/>
        </w:rPr>
        <w:t>Le Comité s’inquiète en outre du fait que</w:t>
      </w:r>
      <w:r w:rsidR="006262BD">
        <w:rPr>
          <w:lang w:val="fr-FR"/>
        </w:rPr>
        <w:t xml:space="preserve"> certaines formes de réparation d’</w:t>
      </w:r>
      <w:r w:rsidR="00F26AEA">
        <w:rPr>
          <w:lang w:val="fr-FR"/>
        </w:rPr>
        <w:t>inspiration religieuse, tel l</w:t>
      </w:r>
      <w:r w:rsidR="006262BD">
        <w:rPr>
          <w:lang w:val="fr-FR"/>
        </w:rPr>
        <w:t xml:space="preserve">e </w:t>
      </w:r>
      <w:r w:rsidR="006262BD">
        <w:rPr>
          <w:i/>
          <w:lang w:val="fr-FR"/>
        </w:rPr>
        <w:t>Ghissass</w:t>
      </w:r>
      <w:r w:rsidR="006262BD">
        <w:rPr>
          <w:lang w:val="fr-FR"/>
        </w:rPr>
        <w:t xml:space="preserve"> </w:t>
      </w:r>
      <w:r w:rsidR="004621E9">
        <w:rPr>
          <w:lang w:val="fr-FR"/>
        </w:rPr>
        <w:t xml:space="preserve">qui consacre la loi du </w:t>
      </w:r>
      <w:r w:rsidR="006A578D">
        <w:rPr>
          <w:lang w:val="fr-FR"/>
        </w:rPr>
        <w:t>T</w:t>
      </w:r>
      <w:r w:rsidR="004621E9">
        <w:rPr>
          <w:lang w:val="fr-FR"/>
        </w:rPr>
        <w:t>alion et qui est envisagé dans les articles</w:t>
      </w:r>
      <w:r w:rsidR="008F285F">
        <w:rPr>
          <w:lang w:val="fr-FR"/>
        </w:rPr>
        <w:t> </w:t>
      </w:r>
      <w:r w:rsidR="006262BD">
        <w:rPr>
          <w:lang w:val="fr-FR"/>
        </w:rPr>
        <w:t xml:space="preserve">285 et 286 </w:t>
      </w:r>
      <w:r w:rsidR="004621E9">
        <w:rPr>
          <w:lang w:val="fr-FR"/>
        </w:rPr>
        <w:t xml:space="preserve">du Code pénal, </w:t>
      </w:r>
      <w:r w:rsidR="00F26AEA">
        <w:rPr>
          <w:lang w:val="fr-FR"/>
        </w:rPr>
        <w:t>constitue</w:t>
      </w:r>
      <w:r w:rsidR="008F285F">
        <w:rPr>
          <w:lang w:val="fr-FR"/>
        </w:rPr>
        <w:t>nt</w:t>
      </w:r>
      <w:r w:rsidR="00025A7C">
        <w:rPr>
          <w:lang w:val="fr-FR"/>
        </w:rPr>
        <w:t xml:space="preserve"> de</w:t>
      </w:r>
      <w:r w:rsidR="00D07988">
        <w:rPr>
          <w:lang w:val="fr-FR"/>
        </w:rPr>
        <w:t>s actes</w:t>
      </w:r>
      <w:r w:rsidR="00025A7C">
        <w:rPr>
          <w:lang w:val="fr-FR"/>
        </w:rPr>
        <w:t xml:space="preserve"> </w:t>
      </w:r>
      <w:r w:rsidR="00D07988">
        <w:rPr>
          <w:lang w:val="fr-FR"/>
        </w:rPr>
        <w:t xml:space="preserve">de </w:t>
      </w:r>
      <w:r w:rsidR="00025A7C">
        <w:rPr>
          <w:lang w:val="fr-FR"/>
        </w:rPr>
        <w:t>torture ou</w:t>
      </w:r>
      <w:r w:rsidR="00F26AEA">
        <w:rPr>
          <w:lang w:val="fr-FR"/>
        </w:rPr>
        <w:t xml:space="preserve"> des peines ou traitements cruels, inhumains ou dégradants</w:t>
      </w:r>
      <w:r w:rsidR="00071DB5">
        <w:rPr>
          <w:lang w:val="fr-FR"/>
        </w:rPr>
        <w:t xml:space="preserve"> </w:t>
      </w:r>
      <w:r w:rsidR="006262BD">
        <w:rPr>
          <w:lang w:val="fr-FR"/>
        </w:rPr>
        <w:t>(</w:t>
      </w:r>
      <w:r w:rsidR="002A4FA2">
        <w:rPr>
          <w:lang w:val="fr-FR"/>
        </w:rPr>
        <w:t>art. </w:t>
      </w:r>
      <w:r w:rsidR="006262BD">
        <w:rPr>
          <w:lang w:val="fr-FR"/>
        </w:rPr>
        <w:t xml:space="preserve">2, 12, 13, </w:t>
      </w:r>
      <w:r w:rsidR="00071DB5">
        <w:rPr>
          <w:lang w:val="fr-FR"/>
        </w:rPr>
        <w:t>14</w:t>
      </w:r>
      <w:r w:rsidR="006262BD">
        <w:rPr>
          <w:lang w:val="fr-FR"/>
        </w:rPr>
        <w:t xml:space="preserve"> et 16</w:t>
      </w:r>
      <w:r w:rsidR="00071DB5">
        <w:rPr>
          <w:lang w:val="fr-FR"/>
        </w:rPr>
        <w:t>).</w:t>
      </w:r>
    </w:p>
    <w:p w:rsidR="00071DB5" w:rsidRDefault="00071DB5" w:rsidP="00071DB5">
      <w:pPr>
        <w:pStyle w:val="SingleTxtG"/>
        <w:rPr>
          <w:b/>
          <w:lang w:val="fr-FR"/>
        </w:rPr>
      </w:pPr>
      <w:r w:rsidRPr="008669D5">
        <w:rPr>
          <w:b/>
          <w:lang w:val="fr-FR"/>
        </w:rPr>
        <w:t>L’État partie devrait</w:t>
      </w:r>
      <w:r>
        <w:rPr>
          <w:b/>
          <w:lang w:val="fr-FR"/>
        </w:rPr>
        <w:t>:</w:t>
      </w:r>
    </w:p>
    <w:p w:rsidR="00071DB5" w:rsidRDefault="00071DB5" w:rsidP="00071DB5">
      <w:pPr>
        <w:pStyle w:val="SingleTxtG"/>
        <w:rPr>
          <w:b/>
          <w:lang w:val="fr-FR"/>
        </w:rPr>
      </w:pPr>
      <w:r>
        <w:rPr>
          <w:b/>
          <w:lang w:val="fr-FR"/>
        </w:rPr>
        <w:tab/>
      </w:r>
      <w:r w:rsidRPr="0026513D">
        <w:rPr>
          <w:b/>
          <w:lang w:val="fr-FR"/>
        </w:rPr>
        <w:t>a)</w:t>
      </w:r>
      <w:r>
        <w:rPr>
          <w:b/>
          <w:lang w:val="fr-FR"/>
        </w:rPr>
        <w:tab/>
        <w:t>Prendre des mesures législatives et administratives</w:t>
      </w:r>
      <w:r w:rsidRPr="008669D5">
        <w:rPr>
          <w:b/>
          <w:lang w:val="fr-FR"/>
        </w:rPr>
        <w:t xml:space="preserve"> pour </w:t>
      </w:r>
      <w:r w:rsidR="00025A7C">
        <w:rPr>
          <w:b/>
          <w:lang w:val="fr-FR"/>
        </w:rPr>
        <w:t>garantir</w:t>
      </w:r>
      <w:r w:rsidR="00025A7C" w:rsidRPr="008669D5">
        <w:rPr>
          <w:b/>
          <w:lang w:val="fr-FR"/>
        </w:rPr>
        <w:t xml:space="preserve"> </w:t>
      </w:r>
      <w:r w:rsidRPr="008669D5">
        <w:rPr>
          <w:b/>
          <w:lang w:val="fr-FR"/>
        </w:rPr>
        <w:t xml:space="preserve">aux victimes de torture et de mauvais traitements </w:t>
      </w:r>
      <w:r w:rsidR="00025A7C">
        <w:rPr>
          <w:b/>
          <w:lang w:val="fr-FR"/>
        </w:rPr>
        <w:t>la</w:t>
      </w:r>
      <w:r>
        <w:rPr>
          <w:b/>
          <w:lang w:val="fr-FR"/>
        </w:rPr>
        <w:t xml:space="preserve"> réparation, y compris des mesures de restitution, d’indemnisation, de réadaptation, de satisfaction et de garantie de non-répétition, et les introduire dans la législation pénale</w:t>
      </w:r>
      <w:r w:rsidR="006073C6">
        <w:rPr>
          <w:b/>
          <w:lang w:val="fr-FR"/>
        </w:rPr>
        <w:t>;</w:t>
      </w:r>
    </w:p>
    <w:p w:rsidR="00532E50" w:rsidRPr="00532E50" w:rsidRDefault="00071DB5" w:rsidP="004308AD">
      <w:pPr>
        <w:pStyle w:val="SingleTxtG"/>
        <w:rPr>
          <w:b/>
          <w:lang w:val="fr-FR"/>
        </w:rPr>
      </w:pPr>
      <w:r>
        <w:rPr>
          <w:b/>
          <w:lang w:val="fr-FR"/>
        </w:rPr>
        <w:tab/>
      </w:r>
      <w:r w:rsidR="00025A7C">
        <w:rPr>
          <w:b/>
          <w:lang w:val="fr-FR"/>
        </w:rPr>
        <w:t>b</w:t>
      </w:r>
      <w:r w:rsidR="00F26AEA">
        <w:rPr>
          <w:b/>
          <w:lang w:val="fr-FR"/>
        </w:rPr>
        <w:t>)</w:t>
      </w:r>
      <w:r w:rsidR="00F26AEA">
        <w:rPr>
          <w:b/>
          <w:lang w:val="fr-FR"/>
        </w:rPr>
        <w:tab/>
        <w:t xml:space="preserve">Amender le Code pénal de façon à supprimer les références à la peine de </w:t>
      </w:r>
      <w:r w:rsidR="00F26AEA">
        <w:rPr>
          <w:b/>
          <w:i/>
          <w:lang w:val="fr-FR"/>
        </w:rPr>
        <w:t>Ghissass</w:t>
      </w:r>
      <w:r w:rsidR="004308AD">
        <w:rPr>
          <w:b/>
          <w:i/>
          <w:lang w:val="fr-FR"/>
        </w:rPr>
        <w:t>.</w:t>
      </w:r>
      <w:r w:rsidR="00482427">
        <w:rPr>
          <w:lang w:val="fr-FR"/>
        </w:rPr>
        <w:t xml:space="preserve"> </w:t>
      </w:r>
      <w:r w:rsidR="006073C6">
        <w:rPr>
          <w:b/>
          <w:lang w:val="fr-FR"/>
        </w:rPr>
        <w:t>À</w:t>
      </w:r>
      <w:r w:rsidR="00D51F68" w:rsidRPr="00D51F68">
        <w:rPr>
          <w:b/>
          <w:lang w:val="fr-FR"/>
        </w:rPr>
        <w:t xml:space="preserve"> cet égard, le Comité attire l’attention de l’État partie sur l</w:t>
      </w:r>
      <w:r w:rsidR="004308AD">
        <w:rPr>
          <w:b/>
          <w:lang w:val="fr-FR"/>
        </w:rPr>
        <w:t xml:space="preserve">’Observation </w:t>
      </w:r>
      <w:r w:rsidR="00D51F68" w:rsidRPr="00D51F68">
        <w:rPr>
          <w:b/>
          <w:lang w:val="fr-FR"/>
        </w:rPr>
        <w:t xml:space="preserve">générale </w:t>
      </w:r>
      <w:r w:rsidR="00E14903">
        <w:rPr>
          <w:b/>
          <w:lang w:val="fr-FR"/>
        </w:rPr>
        <w:t>n°</w:t>
      </w:r>
      <w:r w:rsidR="004308AD">
        <w:rPr>
          <w:b/>
          <w:lang w:val="fr-FR"/>
        </w:rPr>
        <w:t> </w:t>
      </w:r>
      <w:r w:rsidR="00E14903">
        <w:rPr>
          <w:b/>
          <w:lang w:val="fr-FR"/>
        </w:rPr>
        <w:t xml:space="preserve">3 </w:t>
      </w:r>
      <w:r w:rsidR="004308AD">
        <w:rPr>
          <w:b/>
          <w:lang w:val="fr-FR"/>
        </w:rPr>
        <w:t xml:space="preserve">(2012), adoptée récemment, portant </w:t>
      </w:r>
      <w:r w:rsidR="00D51F68" w:rsidRPr="00D51F68">
        <w:rPr>
          <w:b/>
          <w:lang w:val="fr-FR"/>
        </w:rPr>
        <w:t xml:space="preserve">sur l’article 14 </w:t>
      </w:r>
      <w:r w:rsidR="004308AD">
        <w:rPr>
          <w:b/>
          <w:lang w:val="fr-FR"/>
        </w:rPr>
        <w:t xml:space="preserve">de la Convention, </w:t>
      </w:r>
      <w:r w:rsidR="00426C9D">
        <w:rPr>
          <w:b/>
          <w:lang w:val="fr-FR"/>
        </w:rPr>
        <w:t xml:space="preserve">et </w:t>
      </w:r>
      <w:r w:rsidR="00D51F68" w:rsidRPr="00D51F68">
        <w:rPr>
          <w:b/>
          <w:lang w:val="fr-FR"/>
        </w:rPr>
        <w:t xml:space="preserve">qui explicite le contenu et la portée des obligations des États parties </w:t>
      </w:r>
      <w:r w:rsidR="004308AD">
        <w:rPr>
          <w:b/>
          <w:lang w:val="fr-FR"/>
        </w:rPr>
        <w:t xml:space="preserve">concernant la </w:t>
      </w:r>
      <w:r w:rsidR="00D51F68" w:rsidRPr="00D51F68">
        <w:rPr>
          <w:b/>
          <w:lang w:val="fr-FR"/>
        </w:rPr>
        <w:t xml:space="preserve">réparation totale </w:t>
      </w:r>
      <w:r w:rsidR="004308AD">
        <w:rPr>
          <w:b/>
          <w:lang w:val="fr-FR"/>
        </w:rPr>
        <w:t xml:space="preserve">que sont en droit d’obtenir les </w:t>
      </w:r>
      <w:r w:rsidR="00D51F68" w:rsidRPr="00D51F68">
        <w:rPr>
          <w:b/>
          <w:lang w:val="fr-FR"/>
        </w:rPr>
        <w:t>victimes de torture.</w:t>
      </w:r>
    </w:p>
    <w:p w:rsidR="00C576F9" w:rsidRDefault="002A4FA2" w:rsidP="002A4FA2">
      <w:pPr>
        <w:pStyle w:val="H23G"/>
      </w:pPr>
      <w:r>
        <w:rPr>
          <w:lang w:val="fr-FR"/>
        </w:rPr>
        <w:tab/>
      </w:r>
      <w:r>
        <w:rPr>
          <w:lang w:val="fr-FR"/>
        </w:rPr>
        <w:tab/>
      </w:r>
      <w:r w:rsidR="00C576F9">
        <w:t>Mise en œuvre de l</w:t>
      </w:r>
      <w:r w:rsidR="00C662BF">
        <w:t>’interdiction</w:t>
      </w:r>
      <w:r w:rsidR="001206ED">
        <w:t xml:space="preserve"> de</w:t>
      </w:r>
      <w:r w:rsidR="00C576F9">
        <w:t>s pratiques esclavagistes</w:t>
      </w:r>
    </w:p>
    <w:p w:rsidR="001206ED" w:rsidRDefault="006A2247" w:rsidP="003B49EB">
      <w:pPr>
        <w:suppressAutoHyphens w:val="0"/>
        <w:spacing w:after="120" w:line="240" w:lineRule="auto"/>
        <w:ind w:left="1134" w:right="1134"/>
        <w:jc w:val="both"/>
        <w:rPr>
          <w:lang w:eastAsia="fr-CH"/>
        </w:rPr>
      </w:pPr>
      <w:r>
        <w:rPr>
          <w:lang w:eastAsia="fr-CH"/>
        </w:rPr>
        <w:t>2</w:t>
      </w:r>
      <w:r w:rsidR="00AE59BE">
        <w:rPr>
          <w:lang w:eastAsia="fr-CH"/>
        </w:rPr>
        <w:t>1</w:t>
      </w:r>
      <w:r>
        <w:rPr>
          <w:lang w:eastAsia="fr-CH"/>
        </w:rPr>
        <w:t>.</w:t>
      </w:r>
      <w:r>
        <w:rPr>
          <w:lang w:eastAsia="fr-CH"/>
        </w:rPr>
        <w:tab/>
      </w:r>
      <w:r w:rsidR="0000426D">
        <w:rPr>
          <w:lang w:eastAsia="fr-CH"/>
        </w:rPr>
        <w:t>Tout en prenant</w:t>
      </w:r>
      <w:r w:rsidR="00970663">
        <w:rPr>
          <w:lang w:eastAsia="fr-CH"/>
        </w:rPr>
        <w:t xml:space="preserve"> </w:t>
      </w:r>
      <w:r w:rsidR="001206ED">
        <w:rPr>
          <w:lang w:eastAsia="fr-CH"/>
        </w:rPr>
        <w:t>acte de l</w:t>
      </w:r>
      <w:r w:rsidR="00E45627">
        <w:rPr>
          <w:lang w:eastAsia="fr-CH"/>
        </w:rPr>
        <w:t>’</w:t>
      </w:r>
      <w:r w:rsidR="001206ED">
        <w:rPr>
          <w:lang w:eastAsia="fr-CH"/>
        </w:rPr>
        <w:t>information fournie par l</w:t>
      </w:r>
      <w:r w:rsidR="002023F3">
        <w:rPr>
          <w:lang w:eastAsia="fr-CH"/>
        </w:rPr>
        <w:t>a délégation de l</w:t>
      </w:r>
      <w:r w:rsidR="00E45627">
        <w:rPr>
          <w:lang w:eastAsia="fr-CH"/>
        </w:rPr>
        <w:t>’</w:t>
      </w:r>
      <w:r w:rsidR="006073C6">
        <w:rPr>
          <w:lang w:eastAsia="fr-CH"/>
        </w:rPr>
        <w:t>État</w:t>
      </w:r>
      <w:r w:rsidR="001206ED">
        <w:rPr>
          <w:lang w:eastAsia="fr-CH"/>
        </w:rPr>
        <w:t xml:space="preserve"> partie, selon laquelle 15 plaintes </w:t>
      </w:r>
      <w:r w:rsidR="002E6331">
        <w:rPr>
          <w:lang w:eastAsia="fr-CH"/>
        </w:rPr>
        <w:t xml:space="preserve">sont </w:t>
      </w:r>
      <w:r w:rsidR="001206ED">
        <w:rPr>
          <w:lang w:eastAsia="fr-CH"/>
        </w:rPr>
        <w:t xml:space="preserve">actuellement </w:t>
      </w:r>
      <w:r w:rsidR="002E6331">
        <w:rPr>
          <w:lang w:eastAsia="fr-CH"/>
        </w:rPr>
        <w:t>examin</w:t>
      </w:r>
      <w:r w:rsidR="001206ED">
        <w:rPr>
          <w:lang w:eastAsia="fr-CH"/>
        </w:rPr>
        <w:t>ées par des instances judiciaires de l</w:t>
      </w:r>
      <w:r w:rsidR="00E45627">
        <w:rPr>
          <w:lang w:eastAsia="fr-CH"/>
        </w:rPr>
        <w:t>’</w:t>
      </w:r>
      <w:r w:rsidR="006073C6">
        <w:rPr>
          <w:lang w:eastAsia="fr-CH"/>
        </w:rPr>
        <w:t>État</w:t>
      </w:r>
      <w:r w:rsidR="001206ED">
        <w:rPr>
          <w:lang w:eastAsia="fr-CH"/>
        </w:rPr>
        <w:t xml:space="preserve"> partie po</w:t>
      </w:r>
      <w:r w:rsidR="00AE59BE">
        <w:rPr>
          <w:lang w:eastAsia="fr-CH"/>
        </w:rPr>
        <w:t>ur des cas présumés d</w:t>
      </w:r>
      <w:r w:rsidR="00E45627">
        <w:rPr>
          <w:lang w:eastAsia="fr-CH"/>
        </w:rPr>
        <w:t>’</w:t>
      </w:r>
      <w:r w:rsidR="00AE59BE">
        <w:rPr>
          <w:lang w:eastAsia="fr-CH"/>
        </w:rPr>
        <w:t xml:space="preserve">esclavage </w:t>
      </w:r>
      <w:r w:rsidR="002E6331">
        <w:rPr>
          <w:lang w:eastAsia="fr-CH"/>
        </w:rPr>
        <w:t>tombant sous le coup de</w:t>
      </w:r>
      <w:r w:rsidR="00AE59BE">
        <w:rPr>
          <w:lang w:eastAsia="fr-CH"/>
        </w:rPr>
        <w:t xml:space="preserve"> la </w:t>
      </w:r>
      <w:r w:rsidR="006073C6" w:rsidRPr="00B65B4F">
        <w:rPr>
          <w:lang w:eastAsia="fr-CH"/>
        </w:rPr>
        <w:t>l</w:t>
      </w:r>
      <w:r w:rsidR="00AE59BE" w:rsidRPr="00B65B4F">
        <w:rPr>
          <w:lang w:eastAsia="fr-CH"/>
        </w:rPr>
        <w:t xml:space="preserve">oi </w:t>
      </w:r>
      <w:r w:rsidR="00AE59BE" w:rsidRPr="00B65B4F">
        <w:rPr>
          <w:lang w:val="fr-FR"/>
        </w:rPr>
        <w:t>n</w:t>
      </w:r>
      <w:r w:rsidR="00AE59BE" w:rsidRPr="00B65B4F">
        <w:rPr>
          <w:vertAlign w:val="superscript"/>
          <w:lang w:val="fr-FR"/>
        </w:rPr>
        <w:t>o</w:t>
      </w:r>
      <w:r w:rsidR="006073C6" w:rsidRPr="00B65B4F">
        <w:rPr>
          <w:lang w:val="fr-FR"/>
        </w:rPr>
        <w:t> </w:t>
      </w:r>
      <w:r w:rsidR="00AE59BE" w:rsidRPr="00B65B4F">
        <w:rPr>
          <w:lang w:val="fr-FR"/>
        </w:rPr>
        <w:t>2007-04</w:t>
      </w:r>
      <w:r w:rsidR="00B65B4F" w:rsidRPr="00B65B4F">
        <w:rPr>
          <w:lang w:val="fr-FR"/>
        </w:rPr>
        <w:t>8</w:t>
      </w:r>
      <w:r w:rsidR="00AE59BE">
        <w:rPr>
          <w:lang w:val="fr-FR"/>
        </w:rPr>
        <w:t xml:space="preserve"> du 3</w:t>
      </w:r>
      <w:r w:rsidR="006073C6">
        <w:rPr>
          <w:lang w:val="fr-FR"/>
        </w:rPr>
        <w:t> </w:t>
      </w:r>
      <w:r w:rsidR="00AE59BE">
        <w:rPr>
          <w:lang w:val="fr-FR"/>
        </w:rPr>
        <w:t>septembre 2007 portant incrimination de l’esclavage et réprimant les pratiques esclavagistes,</w:t>
      </w:r>
      <w:r w:rsidR="00E45627">
        <w:rPr>
          <w:lang w:eastAsia="fr-CH"/>
        </w:rPr>
        <w:t xml:space="preserve"> </w:t>
      </w:r>
      <w:r w:rsidR="001206ED">
        <w:rPr>
          <w:lang w:eastAsia="fr-CH"/>
        </w:rPr>
        <w:t>le Comité</w:t>
      </w:r>
      <w:r w:rsidR="00785195">
        <w:rPr>
          <w:lang w:eastAsia="fr-CH"/>
        </w:rPr>
        <w:t xml:space="preserve"> regrette l’absence d’information statistique </w:t>
      </w:r>
      <w:r w:rsidR="00FD6C72">
        <w:rPr>
          <w:lang w:eastAsia="fr-CH"/>
        </w:rPr>
        <w:t>sur</w:t>
      </w:r>
      <w:r w:rsidR="00180B59">
        <w:rPr>
          <w:lang w:eastAsia="fr-CH"/>
        </w:rPr>
        <w:t xml:space="preserve"> la </w:t>
      </w:r>
      <w:r w:rsidR="00785195" w:rsidRPr="00C576F9">
        <w:rPr>
          <w:lang w:eastAsia="fr-CH"/>
        </w:rPr>
        <w:t>nature et l’incidence de l’esclavage</w:t>
      </w:r>
      <w:r w:rsidR="00785195">
        <w:rPr>
          <w:lang w:eastAsia="fr-CH"/>
        </w:rPr>
        <w:t>.</w:t>
      </w:r>
      <w:r w:rsidR="00E45627">
        <w:rPr>
          <w:lang w:eastAsia="fr-CH"/>
        </w:rPr>
        <w:t xml:space="preserve"> </w:t>
      </w:r>
      <w:r w:rsidR="00785195">
        <w:rPr>
          <w:lang w:eastAsia="fr-CH"/>
        </w:rPr>
        <w:t xml:space="preserve">Le Comité </w:t>
      </w:r>
      <w:r w:rsidR="001B2EFB">
        <w:rPr>
          <w:lang w:eastAsia="fr-CH"/>
        </w:rPr>
        <w:t>est également préoccupé</w:t>
      </w:r>
      <w:r w:rsidR="00FD6C72">
        <w:rPr>
          <w:lang w:eastAsia="fr-CH"/>
        </w:rPr>
        <w:t xml:space="preserve"> par le fait</w:t>
      </w:r>
      <w:r w:rsidR="001B2EFB">
        <w:rPr>
          <w:lang w:eastAsia="fr-CH"/>
        </w:rPr>
        <w:t xml:space="preserve"> que</w:t>
      </w:r>
      <w:r w:rsidR="002023F3">
        <w:rPr>
          <w:lang w:eastAsia="fr-CH"/>
        </w:rPr>
        <w:t xml:space="preserve"> </w:t>
      </w:r>
      <w:r w:rsidR="003B49EB" w:rsidRPr="00FC425C">
        <w:rPr>
          <w:lang w:val="fr-FR" w:eastAsia="fr-CH"/>
        </w:rPr>
        <w:t>les instances judiciaires traitent les cas d’esclavage comme des affaires de droit commun, en particulier comme des questions de droit du travail ou de droit de la propriété, et non pas comme des crimes d’esclavage. Ce faisant, ils vident le crime d’esclavage de tout contenu juridique.</w:t>
      </w:r>
      <w:r w:rsidR="003850B7">
        <w:rPr>
          <w:lang w:eastAsia="fr-CH"/>
        </w:rPr>
        <w:t>. .</w:t>
      </w:r>
      <w:r w:rsidR="00785195">
        <w:rPr>
          <w:lang w:eastAsia="fr-CH"/>
        </w:rPr>
        <w:t xml:space="preserve">. </w:t>
      </w:r>
      <w:r w:rsidR="00025A7C">
        <w:rPr>
          <w:lang w:eastAsia="fr-CH"/>
        </w:rPr>
        <w:t>Par ailleurs,</w:t>
      </w:r>
      <w:r w:rsidR="00785195">
        <w:rPr>
          <w:lang w:eastAsia="fr-CH"/>
        </w:rPr>
        <w:t xml:space="preserve"> la </w:t>
      </w:r>
      <w:r w:rsidR="006073C6">
        <w:rPr>
          <w:lang w:eastAsia="fr-CH"/>
        </w:rPr>
        <w:t>loi</w:t>
      </w:r>
      <w:r w:rsidR="00785195">
        <w:rPr>
          <w:lang w:eastAsia="fr-CH"/>
        </w:rPr>
        <w:t xml:space="preserve"> de 2007 n’intègre pas</w:t>
      </w:r>
      <w:r w:rsidR="004559D8">
        <w:rPr>
          <w:lang w:eastAsia="fr-CH"/>
        </w:rPr>
        <w:t xml:space="preserve"> la dimension de discrimination intrinsèque à cette pratique. </w:t>
      </w:r>
      <w:r w:rsidR="00667CAA">
        <w:rPr>
          <w:lang w:eastAsia="fr-CH"/>
        </w:rPr>
        <w:t xml:space="preserve">Le Comité </w:t>
      </w:r>
      <w:r w:rsidR="00465008">
        <w:rPr>
          <w:lang w:eastAsia="fr-CH"/>
        </w:rPr>
        <w:t>fait également écho à</w:t>
      </w:r>
      <w:r w:rsidR="00131E8A">
        <w:rPr>
          <w:lang w:eastAsia="fr-CH"/>
        </w:rPr>
        <w:t xml:space="preserve"> la préoccupation</w:t>
      </w:r>
      <w:r w:rsidR="00667CAA">
        <w:rPr>
          <w:lang w:eastAsia="fr-CH"/>
        </w:rPr>
        <w:t xml:space="preserve"> de l</w:t>
      </w:r>
      <w:r w:rsidR="002023F3">
        <w:rPr>
          <w:lang w:eastAsia="fr-CH"/>
        </w:rPr>
        <w:t>a Rapporteu</w:t>
      </w:r>
      <w:r w:rsidR="00DB217E">
        <w:rPr>
          <w:lang w:eastAsia="fr-CH"/>
        </w:rPr>
        <w:t>se</w:t>
      </w:r>
      <w:r w:rsidR="002023F3">
        <w:rPr>
          <w:lang w:eastAsia="fr-CH"/>
        </w:rPr>
        <w:t xml:space="preserve"> spéciale sur les formes contemporaines d’esclavage, y</w:t>
      </w:r>
      <w:r w:rsidR="006E5E4A">
        <w:rPr>
          <w:lang w:eastAsia="fr-CH"/>
        </w:rPr>
        <w:t> </w:t>
      </w:r>
      <w:r w:rsidR="002023F3">
        <w:rPr>
          <w:lang w:eastAsia="fr-CH"/>
        </w:rPr>
        <w:t xml:space="preserve">compris leurs causes et leurs conséquences, </w:t>
      </w:r>
      <w:r w:rsidR="00667CAA">
        <w:rPr>
          <w:lang w:eastAsia="fr-CH"/>
        </w:rPr>
        <w:t xml:space="preserve">qui </w:t>
      </w:r>
      <w:r w:rsidR="002023F3">
        <w:rPr>
          <w:lang w:eastAsia="fr-CH"/>
        </w:rPr>
        <w:t xml:space="preserve">avait pu constater </w:t>
      </w:r>
      <w:r w:rsidR="00667CAA">
        <w:rPr>
          <w:lang w:eastAsia="fr-CH"/>
        </w:rPr>
        <w:t xml:space="preserve">que la </w:t>
      </w:r>
      <w:r w:rsidR="006073C6">
        <w:rPr>
          <w:lang w:eastAsia="fr-CH"/>
        </w:rPr>
        <w:t>loi</w:t>
      </w:r>
      <w:r w:rsidR="00667CAA">
        <w:rPr>
          <w:lang w:eastAsia="fr-CH"/>
        </w:rPr>
        <w:t xml:space="preserve"> ne pouvait</w:t>
      </w:r>
      <w:r w:rsidR="002023F3" w:rsidRPr="00C576F9">
        <w:rPr>
          <w:lang w:eastAsia="fr-CH"/>
        </w:rPr>
        <w:t xml:space="preserve"> </w:t>
      </w:r>
      <w:r w:rsidR="00131E8A">
        <w:rPr>
          <w:lang w:eastAsia="fr-CH"/>
        </w:rPr>
        <w:t>être invoqu</w:t>
      </w:r>
      <w:r w:rsidR="002023F3" w:rsidRPr="00C576F9">
        <w:rPr>
          <w:lang w:eastAsia="fr-CH"/>
        </w:rPr>
        <w:t xml:space="preserve">ée </w:t>
      </w:r>
      <w:r w:rsidR="002E6331">
        <w:rPr>
          <w:lang w:eastAsia="fr-CH"/>
        </w:rPr>
        <w:t xml:space="preserve">que </w:t>
      </w:r>
      <w:r w:rsidR="002023F3" w:rsidRPr="00C576F9">
        <w:rPr>
          <w:lang w:eastAsia="fr-CH"/>
        </w:rPr>
        <w:t>dans le cadre de poursuites pénales</w:t>
      </w:r>
      <w:r w:rsidR="00131E8A">
        <w:rPr>
          <w:lang w:eastAsia="fr-CH"/>
        </w:rPr>
        <w:t xml:space="preserve"> contre les propriétaires d’esclaves</w:t>
      </w:r>
      <w:r w:rsidR="002023F3" w:rsidRPr="00C576F9">
        <w:rPr>
          <w:lang w:eastAsia="fr-CH"/>
        </w:rPr>
        <w:t xml:space="preserve"> </w:t>
      </w:r>
      <w:r w:rsidR="00131E8A">
        <w:rPr>
          <w:lang w:eastAsia="fr-CH"/>
        </w:rPr>
        <w:t xml:space="preserve">et reposait donc entièrement sur le bon vouloir de la police et du </w:t>
      </w:r>
      <w:r w:rsidR="006E5E4A">
        <w:rPr>
          <w:lang w:eastAsia="fr-CH"/>
        </w:rPr>
        <w:t>m</w:t>
      </w:r>
      <w:r w:rsidR="00131E8A">
        <w:rPr>
          <w:lang w:eastAsia="fr-CH"/>
        </w:rPr>
        <w:t xml:space="preserve">inistère public, </w:t>
      </w:r>
      <w:r w:rsidR="002023F3" w:rsidRPr="00C576F9">
        <w:rPr>
          <w:lang w:eastAsia="fr-CH"/>
        </w:rPr>
        <w:t>sans possibilité pour les victimes de se constituer pa</w:t>
      </w:r>
      <w:r w:rsidR="00667CAA">
        <w:rPr>
          <w:lang w:eastAsia="fr-CH"/>
        </w:rPr>
        <w:t>rtie civile afin</w:t>
      </w:r>
      <w:r w:rsidR="00E45627">
        <w:rPr>
          <w:lang w:eastAsia="fr-CH"/>
        </w:rPr>
        <w:t xml:space="preserve"> </w:t>
      </w:r>
      <w:r w:rsidR="002023F3" w:rsidRPr="00C576F9">
        <w:rPr>
          <w:lang w:eastAsia="fr-CH"/>
        </w:rPr>
        <w:t>d’obtenir réparation</w:t>
      </w:r>
      <w:r w:rsidR="00F72017">
        <w:rPr>
          <w:lang w:eastAsia="fr-CH"/>
        </w:rPr>
        <w:t xml:space="preserve"> (</w:t>
      </w:r>
      <w:r w:rsidR="002A4FA2">
        <w:rPr>
          <w:lang w:eastAsia="fr-CH"/>
        </w:rPr>
        <w:t>art. </w:t>
      </w:r>
      <w:r w:rsidR="00F72017">
        <w:rPr>
          <w:lang w:eastAsia="fr-CH"/>
        </w:rPr>
        <w:t>1,</w:t>
      </w:r>
      <w:r w:rsidR="00E24EF6">
        <w:rPr>
          <w:lang w:eastAsia="fr-CH"/>
        </w:rPr>
        <w:t xml:space="preserve"> 2 et</w:t>
      </w:r>
      <w:r w:rsidR="00F72017">
        <w:rPr>
          <w:lang w:eastAsia="fr-CH"/>
        </w:rPr>
        <w:t xml:space="preserve"> 16)</w:t>
      </w:r>
      <w:r w:rsidR="00667CAA">
        <w:rPr>
          <w:lang w:eastAsia="fr-CH"/>
        </w:rPr>
        <w:t>.</w:t>
      </w:r>
    </w:p>
    <w:p w:rsidR="007C606B" w:rsidRDefault="00BC258E" w:rsidP="007C606B">
      <w:pPr>
        <w:pStyle w:val="SingleTxtG"/>
        <w:rPr>
          <w:b/>
          <w:lang w:val="fr-FR"/>
        </w:rPr>
      </w:pPr>
      <w:r>
        <w:rPr>
          <w:b/>
          <w:lang w:val="fr-FR"/>
        </w:rPr>
        <w:t>L’État partie de</w:t>
      </w:r>
      <w:r w:rsidR="007C606B" w:rsidRPr="008669D5">
        <w:rPr>
          <w:b/>
          <w:lang w:val="fr-FR"/>
        </w:rPr>
        <w:t>vrait</w:t>
      </w:r>
      <w:r w:rsidR="007C606B">
        <w:rPr>
          <w:b/>
          <w:lang w:val="fr-FR"/>
        </w:rPr>
        <w:t>:</w:t>
      </w:r>
    </w:p>
    <w:p w:rsidR="00465008" w:rsidRDefault="007C606B" w:rsidP="006E5E4A">
      <w:pPr>
        <w:pStyle w:val="SingleTxtG"/>
        <w:rPr>
          <w:b/>
          <w:lang w:val="fr-FR"/>
        </w:rPr>
      </w:pPr>
      <w:r>
        <w:rPr>
          <w:b/>
          <w:lang w:val="fr-FR"/>
        </w:rPr>
        <w:tab/>
      </w:r>
      <w:r w:rsidRPr="0026513D">
        <w:rPr>
          <w:b/>
          <w:lang w:val="fr-FR"/>
        </w:rPr>
        <w:t>a)</w:t>
      </w:r>
      <w:r>
        <w:rPr>
          <w:b/>
          <w:lang w:val="fr-FR"/>
        </w:rPr>
        <w:tab/>
      </w:r>
      <w:r w:rsidR="00465008">
        <w:rPr>
          <w:b/>
          <w:lang w:val="fr-FR"/>
        </w:rPr>
        <w:t xml:space="preserve">Inclure dans le Code pénal une disposition </w:t>
      </w:r>
      <w:r w:rsidR="00880B72">
        <w:rPr>
          <w:b/>
          <w:lang w:val="fr-FR"/>
        </w:rPr>
        <w:t xml:space="preserve">définissant et </w:t>
      </w:r>
      <w:r w:rsidR="00465008">
        <w:rPr>
          <w:b/>
          <w:lang w:val="fr-FR"/>
        </w:rPr>
        <w:t>incriminant spécifiquement la discrimination raciale ou ethnique</w:t>
      </w:r>
      <w:r w:rsidR="00131E8A">
        <w:rPr>
          <w:b/>
          <w:lang w:val="fr-FR"/>
        </w:rPr>
        <w:t>, y compris les prati</w:t>
      </w:r>
      <w:r w:rsidR="0026512F">
        <w:rPr>
          <w:b/>
          <w:lang w:val="fr-FR"/>
        </w:rPr>
        <w:t xml:space="preserve">ques esclavagistes, et </w:t>
      </w:r>
      <w:r w:rsidR="00131E8A">
        <w:rPr>
          <w:b/>
          <w:lang w:val="fr-FR"/>
        </w:rPr>
        <w:t>assortie de peines proportionnées à la gravité des actes en question</w:t>
      </w:r>
      <w:r w:rsidR="006073C6">
        <w:rPr>
          <w:b/>
          <w:lang w:val="fr-FR"/>
        </w:rPr>
        <w:t>;</w:t>
      </w:r>
    </w:p>
    <w:p w:rsidR="00E41982" w:rsidRDefault="007C606B" w:rsidP="00B65B4F">
      <w:pPr>
        <w:pStyle w:val="SingleTxtG"/>
        <w:rPr>
          <w:b/>
          <w:lang w:val="fr-FR"/>
        </w:rPr>
      </w:pPr>
      <w:r>
        <w:rPr>
          <w:b/>
          <w:lang w:val="fr-FR"/>
        </w:rPr>
        <w:tab/>
      </w:r>
      <w:r w:rsidRPr="0026513D">
        <w:rPr>
          <w:b/>
          <w:lang w:val="fr-FR"/>
        </w:rPr>
        <w:t>b)</w:t>
      </w:r>
      <w:r>
        <w:rPr>
          <w:b/>
          <w:lang w:val="fr-FR"/>
        </w:rPr>
        <w:tab/>
      </w:r>
      <w:r w:rsidR="00131E8A">
        <w:rPr>
          <w:b/>
          <w:lang w:val="fr-FR"/>
        </w:rPr>
        <w:t>In</w:t>
      </w:r>
      <w:r w:rsidR="006E5E4A">
        <w:rPr>
          <w:b/>
          <w:lang w:val="fr-FR"/>
        </w:rPr>
        <w:t>scrire</w:t>
      </w:r>
      <w:r w:rsidR="00131E8A">
        <w:rPr>
          <w:b/>
          <w:lang w:val="fr-FR"/>
        </w:rPr>
        <w:t xml:space="preserve"> dans la </w:t>
      </w:r>
      <w:r w:rsidR="006073C6">
        <w:rPr>
          <w:b/>
          <w:lang w:val="fr-FR"/>
        </w:rPr>
        <w:t>l</w:t>
      </w:r>
      <w:r w:rsidR="00131E8A">
        <w:rPr>
          <w:b/>
          <w:lang w:val="fr-FR"/>
        </w:rPr>
        <w:t xml:space="preserve">oi </w:t>
      </w:r>
      <w:r w:rsidR="00131E8A" w:rsidRPr="00131E8A">
        <w:rPr>
          <w:b/>
          <w:lang w:val="fr-FR"/>
        </w:rPr>
        <w:t>n</w:t>
      </w:r>
      <w:r w:rsidR="00131E8A" w:rsidRPr="00B65B4F">
        <w:rPr>
          <w:b/>
          <w:vertAlign w:val="superscript"/>
          <w:lang w:val="fr-FR"/>
        </w:rPr>
        <w:t>o</w:t>
      </w:r>
      <w:r w:rsidR="006073C6" w:rsidRPr="00B65B4F">
        <w:rPr>
          <w:b/>
          <w:vertAlign w:val="superscript"/>
          <w:lang w:val="fr-FR"/>
        </w:rPr>
        <w:t> </w:t>
      </w:r>
      <w:r w:rsidR="00131E8A" w:rsidRPr="00B65B4F">
        <w:rPr>
          <w:b/>
          <w:lang w:val="fr-FR"/>
        </w:rPr>
        <w:t>2007-04</w:t>
      </w:r>
      <w:r w:rsidR="00B65B4F" w:rsidRPr="00B65B4F">
        <w:rPr>
          <w:b/>
          <w:lang w:val="fr-FR"/>
        </w:rPr>
        <w:t>8</w:t>
      </w:r>
      <w:r w:rsidR="00131E8A" w:rsidRPr="00131E8A">
        <w:rPr>
          <w:b/>
          <w:lang w:val="fr-FR"/>
        </w:rPr>
        <w:t xml:space="preserve"> du 3 septembre 2007</w:t>
      </w:r>
      <w:r w:rsidR="00131E8A">
        <w:rPr>
          <w:b/>
          <w:lang w:val="fr-FR"/>
        </w:rPr>
        <w:t xml:space="preserve"> une définition</w:t>
      </w:r>
      <w:r w:rsidR="00196F1C">
        <w:rPr>
          <w:b/>
          <w:lang w:val="fr-FR"/>
        </w:rPr>
        <w:t xml:space="preserve"> inclu</w:t>
      </w:r>
      <w:r w:rsidR="006E5E4A">
        <w:rPr>
          <w:b/>
          <w:lang w:val="fr-FR"/>
        </w:rPr>
        <w:t>ant</w:t>
      </w:r>
      <w:r w:rsidR="00196F1C">
        <w:rPr>
          <w:b/>
          <w:lang w:val="fr-FR"/>
        </w:rPr>
        <w:t xml:space="preserve"> toutes les formes d’esclavage</w:t>
      </w:r>
      <w:r w:rsidR="006E5E4A">
        <w:rPr>
          <w:b/>
          <w:lang w:val="fr-FR"/>
        </w:rPr>
        <w:t xml:space="preserve"> et assortir cette loi </w:t>
      </w:r>
      <w:r w:rsidR="00196F1C">
        <w:rPr>
          <w:b/>
          <w:lang w:val="fr-FR"/>
        </w:rPr>
        <w:t>de mesures de réparation et de réhabilitation d’anciens esclaves</w:t>
      </w:r>
      <w:r w:rsidR="006073C6">
        <w:rPr>
          <w:b/>
          <w:lang w:val="fr-FR"/>
        </w:rPr>
        <w:t>;</w:t>
      </w:r>
    </w:p>
    <w:p w:rsidR="00E41982" w:rsidRDefault="00E41982" w:rsidP="00206ACF">
      <w:pPr>
        <w:suppressAutoHyphens w:val="0"/>
        <w:spacing w:after="120" w:line="240" w:lineRule="auto"/>
        <w:ind w:left="1134" w:right="1134" w:firstLine="567"/>
        <w:jc w:val="both"/>
        <w:rPr>
          <w:lang w:eastAsia="fr-CH"/>
        </w:rPr>
      </w:pPr>
      <w:r>
        <w:rPr>
          <w:b/>
          <w:lang w:val="fr-FR"/>
        </w:rPr>
        <w:t>c)</w:t>
      </w:r>
      <w:r>
        <w:rPr>
          <w:b/>
          <w:lang w:val="fr-FR"/>
        </w:rPr>
        <w:tab/>
        <w:t xml:space="preserve">Amender la </w:t>
      </w:r>
      <w:r w:rsidR="006073C6">
        <w:rPr>
          <w:b/>
          <w:lang w:val="fr-FR"/>
        </w:rPr>
        <w:t>loi</w:t>
      </w:r>
      <w:r>
        <w:rPr>
          <w:b/>
          <w:lang w:val="fr-FR"/>
        </w:rPr>
        <w:t xml:space="preserve"> </w:t>
      </w:r>
      <w:r w:rsidRPr="00131E8A">
        <w:rPr>
          <w:b/>
          <w:lang w:val="fr-FR"/>
        </w:rPr>
        <w:t>n</w:t>
      </w:r>
      <w:r w:rsidRPr="00131E8A">
        <w:rPr>
          <w:b/>
          <w:vertAlign w:val="superscript"/>
          <w:lang w:val="fr-FR"/>
        </w:rPr>
        <w:t>o</w:t>
      </w:r>
      <w:r w:rsidRPr="00131E8A">
        <w:rPr>
          <w:b/>
          <w:lang w:val="fr-FR"/>
        </w:rPr>
        <w:t xml:space="preserve"> </w:t>
      </w:r>
      <w:r w:rsidRPr="00B65B4F">
        <w:rPr>
          <w:b/>
          <w:lang w:val="fr-FR"/>
        </w:rPr>
        <w:t>2007-04</w:t>
      </w:r>
      <w:r w:rsidR="00B65B4F" w:rsidRPr="00B65B4F">
        <w:rPr>
          <w:b/>
          <w:lang w:val="fr-FR"/>
        </w:rPr>
        <w:t>8</w:t>
      </w:r>
      <w:r w:rsidRPr="00131E8A">
        <w:rPr>
          <w:b/>
          <w:lang w:val="fr-FR"/>
        </w:rPr>
        <w:t xml:space="preserve"> du 3 septembre 2007</w:t>
      </w:r>
      <w:r>
        <w:rPr>
          <w:b/>
          <w:lang w:val="fr-FR"/>
        </w:rPr>
        <w:t xml:space="preserve"> </w:t>
      </w:r>
      <w:r w:rsidR="00B24E96">
        <w:rPr>
          <w:b/>
          <w:lang w:val="fr-FR"/>
        </w:rPr>
        <w:t xml:space="preserve">pour </w:t>
      </w:r>
      <w:r>
        <w:rPr>
          <w:b/>
          <w:lang w:val="fr-FR"/>
        </w:rPr>
        <w:t xml:space="preserve">permettre aux </w:t>
      </w:r>
      <w:r w:rsidRPr="00E41982">
        <w:rPr>
          <w:b/>
          <w:lang w:eastAsia="fr-CH"/>
        </w:rPr>
        <w:t>victimes</w:t>
      </w:r>
      <w:r w:rsidR="00773537">
        <w:rPr>
          <w:b/>
          <w:lang w:eastAsia="fr-CH"/>
        </w:rPr>
        <w:t xml:space="preserve"> d’esclavage, ou de pratiques associées,</w:t>
      </w:r>
      <w:r w:rsidRPr="00E41982">
        <w:rPr>
          <w:b/>
          <w:lang w:eastAsia="fr-CH"/>
        </w:rPr>
        <w:t xml:space="preserve"> de</w:t>
      </w:r>
      <w:r>
        <w:rPr>
          <w:b/>
          <w:lang w:eastAsia="fr-CH"/>
        </w:rPr>
        <w:t xml:space="preserve"> déclencher l’action du </w:t>
      </w:r>
      <w:r w:rsidR="00B24E96">
        <w:rPr>
          <w:b/>
          <w:lang w:eastAsia="fr-CH"/>
        </w:rPr>
        <w:t>m</w:t>
      </w:r>
      <w:r>
        <w:rPr>
          <w:b/>
          <w:lang w:eastAsia="fr-CH"/>
        </w:rPr>
        <w:t>inistère public en se constituant</w:t>
      </w:r>
      <w:r w:rsidRPr="00E41982">
        <w:rPr>
          <w:b/>
          <w:lang w:eastAsia="fr-CH"/>
        </w:rPr>
        <w:t xml:space="preserve"> partie</w:t>
      </w:r>
      <w:r>
        <w:rPr>
          <w:b/>
          <w:lang w:eastAsia="fr-CH"/>
        </w:rPr>
        <w:t>s</w:t>
      </w:r>
      <w:r w:rsidRPr="00E41982">
        <w:rPr>
          <w:b/>
          <w:lang w:eastAsia="fr-CH"/>
        </w:rPr>
        <w:t xml:space="preserve"> civile</w:t>
      </w:r>
      <w:r>
        <w:rPr>
          <w:b/>
          <w:lang w:eastAsia="fr-CH"/>
        </w:rPr>
        <w:t>s</w:t>
      </w:r>
      <w:r w:rsidRPr="00E41982">
        <w:rPr>
          <w:b/>
          <w:lang w:eastAsia="fr-CH"/>
        </w:rPr>
        <w:t xml:space="preserve"> afin</w:t>
      </w:r>
      <w:r w:rsidR="00E45627">
        <w:rPr>
          <w:b/>
          <w:lang w:eastAsia="fr-CH"/>
        </w:rPr>
        <w:t xml:space="preserve"> </w:t>
      </w:r>
      <w:r w:rsidRPr="00E41982">
        <w:rPr>
          <w:b/>
          <w:lang w:eastAsia="fr-CH"/>
        </w:rPr>
        <w:t>d’obtenir réparation</w:t>
      </w:r>
      <w:r w:rsidR="006073C6">
        <w:rPr>
          <w:b/>
          <w:lang w:eastAsia="fr-CH"/>
        </w:rPr>
        <w:t>;</w:t>
      </w:r>
    </w:p>
    <w:p w:rsidR="00880B72" w:rsidRDefault="00E41982" w:rsidP="00E41982">
      <w:pPr>
        <w:pStyle w:val="SingleTxtG"/>
        <w:ind w:firstLine="567"/>
        <w:rPr>
          <w:b/>
          <w:lang w:val="fr-FR"/>
        </w:rPr>
      </w:pPr>
      <w:r>
        <w:rPr>
          <w:b/>
          <w:lang w:val="fr-FR"/>
        </w:rPr>
        <w:t>d</w:t>
      </w:r>
      <w:r w:rsidR="00880B72">
        <w:rPr>
          <w:b/>
          <w:lang w:val="fr-FR"/>
        </w:rPr>
        <w:t>)</w:t>
      </w:r>
      <w:r w:rsidR="00880B72">
        <w:rPr>
          <w:b/>
          <w:lang w:val="fr-FR"/>
        </w:rPr>
        <w:tab/>
        <w:t>Sensibiliser les juges, et la profession judiciaire dans son ensemble, à travers des modules de formation spécifique, à la question de la discrimination raciale et à sa judiciarisation, à la lumière des normes internationales</w:t>
      </w:r>
      <w:r w:rsidR="006073C6">
        <w:rPr>
          <w:b/>
          <w:lang w:val="fr-FR"/>
        </w:rPr>
        <w:t>;</w:t>
      </w:r>
    </w:p>
    <w:p w:rsidR="00196F1C" w:rsidRDefault="00953C8C" w:rsidP="00B24E96">
      <w:pPr>
        <w:pStyle w:val="SingleTxtG"/>
        <w:ind w:firstLine="567"/>
        <w:rPr>
          <w:b/>
          <w:lang w:val="fr-FR"/>
        </w:rPr>
      </w:pPr>
      <w:r>
        <w:rPr>
          <w:b/>
          <w:lang w:val="fr-FR"/>
        </w:rPr>
        <w:t>e</w:t>
      </w:r>
      <w:r w:rsidR="00196F1C">
        <w:rPr>
          <w:b/>
          <w:lang w:val="fr-FR"/>
        </w:rPr>
        <w:t>)</w:t>
      </w:r>
      <w:r w:rsidR="00880B72">
        <w:rPr>
          <w:b/>
          <w:lang w:val="fr-FR"/>
        </w:rPr>
        <w:t xml:space="preserve"> </w:t>
      </w:r>
      <w:r w:rsidR="00025A7C">
        <w:rPr>
          <w:b/>
          <w:lang w:val="fr-FR"/>
        </w:rPr>
        <w:t>C</w:t>
      </w:r>
      <w:r w:rsidR="0077074C">
        <w:rPr>
          <w:b/>
          <w:lang w:val="fr-FR"/>
        </w:rPr>
        <w:t>oncevoir</w:t>
      </w:r>
      <w:r w:rsidR="00196F1C">
        <w:rPr>
          <w:b/>
          <w:lang w:val="fr-FR"/>
        </w:rPr>
        <w:t xml:space="preserve"> </w:t>
      </w:r>
      <w:r w:rsidR="00880B72">
        <w:rPr>
          <w:b/>
          <w:lang w:val="fr-FR"/>
        </w:rPr>
        <w:t>une stratégie nationale</w:t>
      </w:r>
      <w:r w:rsidR="00EB68C3">
        <w:rPr>
          <w:b/>
          <w:lang w:val="fr-FR"/>
        </w:rPr>
        <w:t xml:space="preserve"> intégrale</w:t>
      </w:r>
      <w:r w:rsidR="00880B72">
        <w:rPr>
          <w:b/>
          <w:lang w:val="fr-FR"/>
        </w:rPr>
        <w:t xml:space="preserve"> contre </w:t>
      </w:r>
      <w:r w:rsidR="0077074C">
        <w:rPr>
          <w:b/>
          <w:lang w:val="fr-FR"/>
        </w:rPr>
        <w:t>l’esclavage et la discrimination, y compris les formes traditionnelles et modernes d’esclavage</w:t>
      </w:r>
      <w:r w:rsidR="00880B72">
        <w:rPr>
          <w:b/>
          <w:lang w:val="fr-FR"/>
        </w:rPr>
        <w:t>, qui inclue les pratiques des mariages précoces,</w:t>
      </w:r>
      <w:r w:rsidR="004A31AD">
        <w:rPr>
          <w:b/>
          <w:lang w:val="fr-FR"/>
        </w:rPr>
        <w:t xml:space="preserve"> forcés,</w:t>
      </w:r>
      <w:r w:rsidR="00880B72">
        <w:rPr>
          <w:b/>
          <w:lang w:val="fr-FR"/>
        </w:rPr>
        <w:t xml:space="preserve"> la servitude, le travail forcé des enfants, la traite et l’exploitation des travailleurs domestiques</w:t>
      </w:r>
      <w:r w:rsidR="00025A7C">
        <w:rPr>
          <w:b/>
          <w:lang w:val="fr-FR"/>
        </w:rPr>
        <w:t xml:space="preserve">, conformément à </w:t>
      </w:r>
      <w:r w:rsidR="00B24E96">
        <w:rPr>
          <w:b/>
          <w:lang w:val="fr-FR"/>
        </w:rPr>
        <w:t>l’</w:t>
      </w:r>
      <w:r w:rsidR="00025A7C">
        <w:rPr>
          <w:b/>
          <w:lang w:val="fr-FR"/>
        </w:rPr>
        <w:t xml:space="preserve">engagement </w:t>
      </w:r>
      <w:r w:rsidR="00B24E96">
        <w:rPr>
          <w:b/>
          <w:lang w:val="fr-FR"/>
        </w:rPr>
        <w:t xml:space="preserve">pris par l’État partie </w:t>
      </w:r>
      <w:r w:rsidR="00025A7C">
        <w:rPr>
          <w:b/>
          <w:lang w:val="fr-FR"/>
        </w:rPr>
        <w:t>lors de l’examen périodique universel en novembre 2010</w:t>
      </w:r>
      <w:r w:rsidR="004A31AD">
        <w:rPr>
          <w:b/>
          <w:lang w:val="fr-FR"/>
        </w:rPr>
        <w:t>.</w:t>
      </w:r>
    </w:p>
    <w:p w:rsidR="001206ED" w:rsidRPr="00D2617F" w:rsidRDefault="002A4FA2" w:rsidP="002A4FA2">
      <w:pPr>
        <w:pStyle w:val="H23G"/>
      </w:pPr>
      <w:r>
        <w:rPr>
          <w:lang w:val="fr-FR" w:eastAsia="fr-CH"/>
        </w:rPr>
        <w:tab/>
      </w:r>
      <w:r>
        <w:rPr>
          <w:lang w:val="fr-FR" w:eastAsia="fr-CH"/>
        </w:rPr>
        <w:tab/>
      </w:r>
      <w:r w:rsidR="001206ED" w:rsidRPr="00D2617F">
        <w:rPr>
          <w:lang w:val="fr-FR"/>
        </w:rPr>
        <w:t>Conditions de détention</w:t>
      </w:r>
    </w:p>
    <w:p w:rsidR="00562BE1" w:rsidRDefault="004A31AD" w:rsidP="00206ACF">
      <w:pPr>
        <w:suppressAutoHyphens w:val="0"/>
        <w:autoSpaceDE w:val="0"/>
        <w:autoSpaceDN w:val="0"/>
        <w:adjustRightInd w:val="0"/>
        <w:spacing w:after="120" w:line="240" w:lineRule="auto"/>
        <w:ind w:left="1134" w:right="1134"/>
        <w:jc w:val="both"/>
        <w:rPr>
          <w:lang w:val="fr-FR"/>
        </w:rPr>
      </w:pPr>
      <w:r>
        <w:rPr>
          <w:lang w:val="fr-FR"/>
        </w:rPr>
        <w:t>22</w:t>
      </w:r>
      <w:r w:rsidR="001206ED">
        <w:rPr>
          <w:lang w:val="fr-FR"/>
        </w:rPr>
        <w:t>.</w:t>
      </w:r>
      <w:r w:rsidR="001206ED">
        <w:rPr>
          <w:lang w:val="fr-FR"/>
        </w:rPr>
        <w:tab/>
      </w:r>
      <w:r w:rsidR="00F72017">
        <w:rPr>
          <w:lang w:val="fr-FR"/>
        </w:rPr>
        <w:t>Tout en prenant acte des efforts consentis par l’</w:t>
      </w:r>
      <w:r w:rsidR="006073C6">
        <w:rPr>
          <w:lang w:val="fr-FR"/>
        </w:rPr>
        <w:t>État</w:t>
      </w:r>
      <w:r w:rsidR="00F72017">
        <w:rPr>
          <w:lang w:val="fr-FR"/>
        </w:rPr>
        <w:t xml:space="preserve"> partie pour la rénovation de ses établissement pénitentiaires, le Comité demeure</w:t>
      </w:r>
      <w:r w:rsidR="00D75CE5">
        <w:rPr>
          <w:lang w:val="fr-FR"/>
        </w:rPr>
        <w:t xml:space="preserve"> préoccupé </w:t>
      </w:r>
      <w:r w:rsidR="0026512F">
        <w:rPr>
          <w:lang w:val="fr-FR"/>
        </w:rPr>
        <w:t>du fait que les</w:t>
      </w:r>
      <w:r w:rsidR="001206ED">
        <w:rPr>
          <w:lang w:val="fr-FR"/>
        </w:rPr>
        <w:t xml:space="preserve"> conditions</w:t>
      </w:r>
      <w:r w:rsidR="0026512F">
        <w:rPr>
          <w:lang w:val="fr-FR"/>
        </w:rPr>
        <w:t xml:space="preserve"> de détention ont été décrites comme </w:t>
      </w:r>
      <w:r w:rsidR="00FB6E62" w:rsidRPr="005E0E14">
        <w:rPr>
          <w:lang w:val="fr-FR"/>
        </w:rPr>
        <w:t xml:space="preserve">en </w:t>
      </w:r>
      <w:r w:rsidR="005E0E14" w:rsidRPr="005E0E14">
        <w:rPr>
          <w:lang w:val="fr-FR"/>
        </w:rPr>
        <w:t>de</w:t>
      </w:r>
      <w:r w:rsidR="005E0E14">
        <w:rPr>
          <w:lang w:val="fr-FR"/>
        </w:rPr>
        <w:t>çà</w:t>
      </w:r>
      <w:r w:rsidR="00FB6E62" w:rsidRPr="005E0E14">
        <w:rPr>
          <w:lang w:val="fr-FR"/>
        </w:rPr>
        <w:t xml:space="preserve"> des normes</w:t>
      </w:r>
      <w:r w:rsidR="005E0E14">
        <w:rPr>
          <w:lang w:val="fr-FR"/>
        </w:rPr>
        <w:t xml:space="preserve"> internationales</w:t>
      </w:r>
      <w:r w:rsidR="00FB6E62">
        <w:rPr>
          <w:lang w:val="fr-FR"/>
        </w:rPr>
        <w:t xml:space="preserve"> </w:t>
      </w:r>
      <w:r w:rsidR="0026512F">
        <w:rPr>
          <w:lang w:val="fr-FR"/>
        </w:rPr>
        <w:t>dans l’ensemble de</w:t>
      </w:r>
      <w:r w:rsidR="001206ED">
        <w:rPr>
          <w:lang w:val="fr-FR"/>
        </w:rPr>
        <w:t>s centres de détention,</w:t>
      </w:r>
      <w:r w:rsidR="00980FFE">
        <w:rPr>
          <w:lang w:val="fr-FR"/>
        </w:rPr>
        <w:t xml:space="preserve"> notamment </w:t>
      </w:r>
      <w:r w:rsidR="0026512F">
        <w:rPr>
          <w:lang w:val="fr-FR"/>
        </w:rPr>
        <w:t>en raison du</w:t>
      </w:r>
      <w:r w:rsidR="001206ED">
        <w:rPr>
          <w:lang w:val="fr-FR"/>
        </w:rPr>
        <w:t xml:space="preserve"> manque d’hygiène, de ventilation, d’éclairage, de couchage, d’alimentation</w:t>
      </w:r>
      <w:r w:rsidR="00980FFE">
        <w:rPr>
          <w:lang w:val="fr-FR"/>
        </w:rPr>
        <w:t xml:space="preserve"> et de soins médicaux</w:t>
      </w:r>
      <w:r w:rsidR="0026512F">
        <w:rPr>
          <w:lang w:val="fr-FR"/>
        </w:rPr>
        <w:t xml:space="preserve"> qui y prévaut</w:t>
      </w:r>
      <w:r w:rsidR="00980FFE">
        <w:rPr>
          <w:lang w:val="fr-FR"/>
        </w:rPr>
        <w:t xml:space="preserve">. </w:t>
      </w:r>
      <w:r w:rsidR="00595FB4">
        <w:rPr>
          <w:lang w:val="fr-FR"/>
        </w:rPr>
        <w:t>Le Comité s</w:t>
      </w:r>
      <w:r w:rsidR="00E45627">
        <w:rPr>
          <w:lang w:val="fr-FR"/>
        </w:rPr>
        <w:t>’</w:t>
      </w:r>
      <w:r w:rsidR="00595FB4">
        <w:rPr>
          <w:lang w:val="fr-FR"/>
        </w:rPr>
        <w:t>inquiète également d</w:t>
      </w:r>
      <w:r w:rsidR="00E45627">
        <w:rPr>
          <w:lang w:val="fr-FR"/>
        </w:rPr>
        <w:t>’</w:t>
      </w:r>
      <w:r w:rsidR="00595FB4">
        <w:rPr>
          <w:lang w:val="fr-FR"/>
        </w:rPr>
        <w:t xml:space="preserve">allégations reçues relatives à </w:t>
      </w:r>
      <w:r w:rsidR="00546565">
        <w:rPr>
          <w:lang w:val="fr-FR"/>
        </w:rPr>
        <w:t xml:space="preserve">de nombreux cas de détenus malades et </w:t>
      </w:r>
      <w:r w:rsidR="000C6CD7">
        <w:rPr>
          <w:lang w:val="fr-FR"/>
        </w:rPr>
        <w:t xml:space="preserve">à la </w:t>
      </w:r>
      <w:r w:rsidR="00546565">
        <w:rPr>
          <w:lang w:val="fr-FR"/>
        </w:rPr>
        <w:t xml:space="preserve">vingtaine de décès </w:t>
      </w:r>
      <w:r w:rsidR="000C6CD7">
        <w:rPr>
          <w:lang w:val="fr-FR"/>
        </w:rPr>
        <w:t xml:space="preserve">enregistrés </w:t>
      </w:r>
      <w:r w:rsidR="00546565">
        <w:rPr>
          <w:lang w:val="fr-FR"/>
        </w:rPr>
        <w:t>en 2010, dont 14 à la prison de Dar</w:t>
      </w:r>
      <w:r w:rsidR="000C6CD7">
        <w:rPr>
          <w:lang w:val="fr-FR"/>
        </w:rPr>
        <w:t> </w:t>
      </w:r>
      <w:r w:rsidR="00546565">
        <w:rPr>
          <w:lang w:val="fr-FR"/>
        </w:rPr>
        <w:t xml:space="preserve">Naïm. </w:t>
      </w:r>
      <w:r w:rsidR="00595FB4">
        <w:rPr>
          <w:lang w:val="fr-FR"/>
        </w:rPr>
        <w:t>Par ailleurs, tout en prenant note des efforts entrepris par l</w:t>
      </w:r>
      <w:r w:rsidR="00E45627">
        <w:rPr>
          <w:lang w:val="fr-FR"/>
        </w:rPr>
        <w:t>’</w:t>
      </w:r>
      <w:r w:rsidR="006073C6">
        <w:rPr>
          <w:lang w:val="fr-FR"/>
        </w:rPr>
        <w:t>État</w:t>
      </w:r>
      <w:r w:rsidR="00595FB4">
        <w:rPr>
          <w:lang w:val="fr-FR"/>
        </w:rPr>
        <w:t xml:space="preserve"> partie pour désengorger la prison de Dar</w:t>
      </w:r>
      <w:r w:rsidR="000C6CD7">
        <w:rPr>
          <w:lang w:val="fr-FR"/>
        </w:rPr>
        <w:t> </w:t>
      </w:r>
      <w:r w:rsidR="00595FB4">
        <w:rPr>
          <w:lang w:val="fr-FR"/>
        </w:rPr>
        <w:t>Naïm, l</w:t>
      </w:r>
      <w:r w:rsidR="006B1EB6">
        <w:rPr>
          <w:lang w:val="fr-FR"/>
        </w:rPr>
        <w:t>e Comité s’inquiète du fait qu’une partie de</w:t>
      </w:r>
      <w:r w:rsidR="00524E01">
        <w:rPr>
          <w:lang w:val="fr-FR"/>
        </w:rPr>
        <w:t xml:space="preserve">s détenus </w:t>
      </w:r>
      <w:r w:rsidR="006B1EB6">
        <w:rPr>
          <w:lang w:val="fr-FR"/>
        </w:rPr>
        <w:t>a été transféré</w:t>
      </w:r>
      <w:r w:rsidR="00524E01">
        <w:rPr>
          <w:lang w:val="fr-FR"/>
        </w:rPr>
        <w:t>e</w:t>
      </w:r>
      <w:r w:rsidR="006B1EB6">
        <w:rPr>
          <w:lang w:val="fr-FR"/>
        </w:rPr>
        <w:t xml:space="preserve"> vers la prison</w:t>
      </w:r>
      <w:r w:rsidR="00546565">
        <w:rPr>
          <w:lang w:val="fr-FR"/>
        </w:rPr>
        <w:t xml:space="preserve"> d’Aleg</w:t>
      </w:r>
      <w:r w:rsidR="006B1EB6">
        <w:rPr>
          <w:lang w:val="fr-FR"/>
        </w:rPr>
        <w:t>, où aurai</w:t>
      </w:r>
      <w:r w:rsidR="00524E01">
        <w:rPr>
          <w:lang w:val="fr-FR"/>
        </w:rPr>
        <w:t>en</w:t>
      </w:r>
      <w:r w:rsidR="006B1EB6">
        <w:rPr>
          <w:lang w:val="fr-FR"/>
        </w:rPr>
        <w:t xml:space="preserve">t eu lieu en janvier 2013 des protestations de prisonniers </w:t>
      </w:r>
      <w:r w:rsidR="009E64A6">
        <w:rPr>
          <w:lang w:val="fr-FR"/>
        </w:rPr>
        <w:t xml:space="preserve">dénonçant </w:t>
      </w:r>
      <w:r w:rsidR="006B1EB6">
        <w:rPr>
          <w:lang w:val="fr-FR"/>
        </w:rPr>
        <w:t>leurs conditions de détention</w:t>
      </w:r>
      <w:r w:rsidR="00CF7ACF">
        <w:rPr>
          <w:lang w:val="fr-FR"/>
        </w:rPr>
        <w:t xml:space="preserve"> </w:t>
      </w:r>
      <w:r w:rsidR="001206ED">
        <w:rPr>
          <w:lang w:val="fr-FR"/>
        </w:rPr>
        <w:t>(</w:t>
      </w:r>
      <w:r w:rsidR="002A4FA2">
        <w:rPr>
          <w:lang w:val="fr-FR"/>
        </w:rPr>
        <w:t>art. </w:t>
      </w:r>
      <w:r w:rsidR="001206ED">
        <w:rPr>
          <w:lang w:val="fr-FR"/>
        </w:rPr>
        <w:t>2, 11 et 16).</w:t>
      </w:r>
    </w:p>
    <w:p w:rsidR="00562BE1" w:rsidRPr="00562BE1" w:rsidRDefault="001206ED" w:rsidP="00635CB1">
      <w:pPr>
        <w:keepNext/>
        <w:suppressAutoHyphens w:val="0"/>
        <w:autoSpaceDE w:val="0"/>
        <w:autoSpaceDN w:val="0"/>
        <w:adjustRightInd w:val="0"/>
        <w:spacing w:after="120" w:line="240" w:lineRule="auto"/>
        <w:ind w:left="567" w:right="1134" w:firstLine="567"/>
        <w:jc w:val="both"/>
        <w:rPr>
          <w:lang w:val="fr-FR"/>
        </w:rPr>
      </w:pPr>
      <w:r w:rsidRPr="00B00D0E">
        <w:rPr>
          <w:b/>
          <w:lang w:val="fr-FR"/>
        </w:rPr>
        <w:t>L’</w:t>
      </w:r>
      <w:r>
        <w:rPr>
          <w:b/>
          <w:lang w:val="fr-FR"/>
        </w:rPr>
        <w:t>É</w:t>
      </w:r>
      <w:r w:rsidRPr="00B00D0E">
        <w:rPr>
          <w:b/>
          <w:lang w:val="fr-FR"/>
        </w:rPr>
        <w:t>tat partie devrait</w:t>
      </w:r>
      <w:r w:rsidR="006073C6">
        <w:rPr>
          <w:b/>
          <w:lang w:val="fr-FR"/>
        </w:rPr>
        <w:t>:</w:t>
      </w:r>
    </w:p>
    <w:p w:rsidR="001206ED" w:rsidRDefault="00DA1ED4" w:rsidP="00892688">
      <w:pPr>
        <w:pStyle w:val="SingleTxtG"/>
        <w:ind w:firstLine="567"/>
        <w:rPr>
          <w:b/>
          <w:lang w:val="fr-FR"/>
        </w:rPr>
      </w:pPr>
      <w:r>
        <w:rPr>
          <w:b/>
          <w:lang w:val="fr-FR"/>
        </w:rPr>
        <w:t>a)</w:t>
      </w:r>
      <w:r>
        <w:rPr>
          <w:b/>
          <w:lang w:val="fr-FR"/>
        </w:rPr>
        <w:tab/>
      </w:r>
      <w:r w:rsidR="001206ED">
        <w:rPr>
          <w:b/>
          <w:lang w:val="fr-FR"/>
        </w:rPr>
        <w:t>R</w:t>
      </w:r>
      <w:r w:rsidR="001206ED" w:rsidRPr="00C3532F">
        <w:rPr>
          <w:b/>
          <w:lang w:val="fr-FR"/>
        </w:rPr>
        <w:t xml:space="preserve">edoubler d’efforts et augmenter les fonds alloués pour </w:t>
      </w:r>
      <w:r w:rsidR="001206ED">
        <w:rPr>
          <w:b/>
          <w:lang w:val="fr-FR"/>
        </w:rPr>
        <w:t>rendre</w:t>
      </w:r>
      <w:r w:rsidR="001206ED" w:rsidRPr="00C3532F">
        <w:rPr>
          <w:b/>
          <w:lang w:val="fr-FR"/>
        </w:rPr>
        <w:t xml:space="preserve"> les conditions de vie dans </w:t>
      </w:r>
      <w:r w:rsidR="001206ED">
        <w:rPr>
          <w:b/>
          <w:lang w:val="fr-FR"/>
        </w:rPr>
        <w:t xml:space="preserve">tous </w:t>
      </w:r>
      <w:r w:rsidR="001206ED" w:rsidRPr="00C3532F">
        <w:rPr>
          <w:b/>
          <w:lang w:val="fr-FR"/>
        </w:rPr>
        <w:t>les établissements pénitentiaires conform</w:t>
      </w:r>
      <w:r w:rsidR="001206ED">
        <w:rPr>
          <w:b/>
          <w:lang w:val="fr-FR"/>
        </w:rPr>
        <w:t>es</w:t>
      </w:r>
      <w:r w:rsidR="001206ED" w:rsidRPr="00C3532F">
        <w:rPr>
          <w:b/>
          <w:lang w:val="fr-FR"/>
        </w:rPr>
        <w:t xml:space="preserve"> </w:t>
      </w:r>
      <w:r w:rsidR="001206ED">
        <w:rPr>
          <w:b/>
          <w:lang w:val="fr-FR"/>
        </w:rPr>
        <w:t xml:space="preserve">aux </w:t>
      </w:r>
      <w:r w:rsidR="001206ED" w:rsidRPr="00C3532F">
        <w:rPr>
          <w:b/>
          <w:lang w:val="fr-FR"/>
        </w:rPr>
        <w:t xml:space="preserve">normes internationales </w:t>
      </w:r>
      <w:r w:rsidR="001206ED">
        <w:rPr>
          <w:b/>
          <w:lang w:val="fr-FR"/>
        </w:rPr>
        <w:t>et à</w:t>
      </w:r>
      <w:r w:rsidR="001206ED" w:rsidRPr="00C3532F">
        <w:rPr>
          <w:b/>
          <w:lang w:val="fr-FR"/>
        </w:rPr>
        <w:t xml:space="preserve"> l’Ensemble de règles minima pour le traitement des détenus</w:t>
      </w:r>
      <w:r w:rsidR="00E6597C">
        <w:rPr>
          <w:b/>
          <w:lang w:val="fr-FR"/>
        </w:rPr>
        <w:t xml:space="preserve"> [</w:t>
      </w:r>
      <w:r w:rsidR="00E6597C" w:rsidRPr="00DA1ED4">
        <w:rPr>
          <w:b/>
          <w:lang w:val="fr-FR"/>
        </w:rPr>
        <w:t>Conseil économique et social de l’Organisation des Nations Unies, résolutions 663 C (XXIV) et 2076 (LXII)</w:t>
      </w:r>
      <w:r w:rsidR="00E6597C">
        <w:rPr>
          <w:b/>
          <w:lang w:val="fr-FR"/>
        </w:rPr>
        <w:t>]</w:t>
      </w:r>
      <w:r w:rsidR="006073C6">
        <w:rPr>
          <w:b/>
          <w:lang w:val="fr-FR"/>
        </w:rPr>
        <w:t>;</w:t>
      </w:r>
      <w:r w:rsidR="001206ED" w:rsidRPr="00C3532F">
        <w:rPr>
          <w:b/>
          <w:lang w:val="fr-FR"/>
        </w:rPr>
        <w:t xml:space="preserve"> </w:t>
      </w:r>
    </w:p>
    <w:p w:rsidR="00BA2DFB" w:rsidRDefault="00DA1ED4" w:rsidP="002F2F56">
      <w:pPr>
        <w:pStyle w:val="SingleTxtG"/>
        <w:ind w:firstLine="567"/>
        <w:rPr>
          <w:b/>
          <w:lang w:val="fr-FR"/>
        </w:rPr>
      </w:pPr>
      <w:r>
        <w:rPr>
          <w:b/>
          <w:lang w:val="fr-FR"/>
        </w:rPr>
        <w:t>b)</w:t>
      </w:r>
      <w:r>
        <w:rPr>
          <w:b/>
          <w:lang w:val="fr-FR"/>
        </w:rPr>
        <w:tab/>
      </w:r>
      <w:r w:rsidR="006965EA">
        <w:rPr>
          <w:b/>
          <w:lang w:val="fr-FR"/>
        </w:rPr>
        <w:t>Assurer à tous les détenus</w:t>
      </w:r>
      <w:r w:rsidR="002A6B32">
        <w:rPr>
          <w:b/>
          <w:lang w:val="fr-FR"/>
        </w:rPr>
        <w:t xml:space="preserve"> </w:t>
      </w:r>
      <w:r w:rsidR="00BA2DFB" w:rsidRPr="00C3532F">
        <w:rPr>
          <w:b/>
          <w:lang w:val="fr-FR"/>
        </w:rPr>
        <w:t xml:space="preserve">l’accès à l’eau potable, </w:t>
      </w:r>
      <w:r w:rsidR="00BA2DFB">
        <w:rPr>
          <w:b/>
          <w:lang w:val="fr-FR"/>
        </w:rPr>
        <w:t>à au moins deux repas</w:t>
      </w:r>
      <w:r w:rsidR="00E45627">
        <w:rPr>
          <w:b/>
          <w:lang w:val="fr-FR"/>
        </w:rPr>
        <w:t xml:space="preserve"> </w:t>
      </w:r>
      <w:r w:rsidR="00BA2DFB">
        <w:rPr>
          <w:b/>
          <w:lang w:val="fr-FR"/>
        </w:rPr>
        <w:t>par jour</w:t>
      </w:r>
      <w:r w:rsidR="00BA2DFB" w:rsidRPr="00C3532F">
        <w:rPr>
          <w:b/>
          <w:lang w:val="fr-FR"/>
        </w:rPr>
        <w:t xml:space="preserve">, </w:t>
      </w:r>
      <w:r w:rsidR="00BA2DFB">
        <w:rPr>
          <w:b/>
          <w:lang w:val="fr-FR"/>
        </w:rPr>
        <w:t xml:space="preserve">à </w:t>
      </w:r>
      <w:r w:rsidR="00BA2DFB" w:rsidRPr="00C3532F">
        <w:rPr>
          <w:b/>
          <w:lang w:val="fr-FR"/>
        </w:rPr>
        <w:t xml:space="preserve">l’hygiène </w:t>
      </w:r>
      <w:r w:rsidR="00BA2DFB">
        <w:rPr>
          <w:b/>
          <w:lang w:val="fr-FR"/>
        </w:rPr>
        <w:t>et aux produits de première nécessité</w:t>
      </w:r>
      <w:r w:rsidR="002F2F56">
        <w:rPr>
          <w:b/>
          <w:lang w:val="fr-FR"/>
        </w:rPr>
        <w:t>;</w:t>
      </w:r>
      <w:r w:rsidR="00BA2DFB">
        <w:rPr>
          <w:b/>
          <w:lang w:val="fr-FR"/>
        </w:rPr>
        <w:t xml:space="preserve"> </w:t>
      </w:r>
      <w:r w:rsidR="00BA2DFB" w:rsidRPr="00C3532F">
        <w:rPr>
          <w:b/>
          <w:lang w:val="fr-FR"/>
        </w:rPr>
        <w:t>veiller à ce que l’éclairage</w:t>
      </w:r>
      <w:r w:rsidR="00BA2DFB">
        <w:rPr>
          <w:b/>
          <w:lang w:val="fr-FR"/>
        </w:rPr>
        <w:t xml:space="preserve"> </w:t>
      </w:r>
      <w:r w:rsidR="00BA2DFB" w:rsidRPr="00C3532F">
        <w:rPr>
          <w:b/>
          <w:lang w:val="fr-FR"/>
        </w:rPr>
        <w:t>naturel et artificiel</w:t>
      </w:r>
      <w:r w:rsidR="00BA2DFB">
        <w:rPr>
          <w:b/>
          <w:lang w:val="fr-FR"/>
        </w:rPr>
        <w:t xml:space="preserve"> </w:t>
      </w:r>
      <w:r w:rsidR="00BA2DFB" w:rsidRPr="00C3532F">
        <w:rPr>
          <w:b/>
          <w:lang w:val="fr-FR"/>
        </w:rPr>
        <w:t>et la ventilation des cellules soient suffisants</w:t>
      </w:r>
      <w:r w:rsidR="006073C6">
        <w:rPr>
          <w:b/>
          <w:lang w:val="fr-FR"/>
        </w:rPr>
        <w:t>;</w:t>
      </w:r>
      <w:r w:rsidR="00BA2DFB" w:rsidRPr="00C3532F">
        <w:rPr>
          <w:b/>
          <w:lang w:val="fr-FR"/>
        </w:rPr>
        <w:t xml:space="preserve"> </w:t>
      </w:r>
      <w:r w:rsidR="00BA2DFB">
        <w:rPr>
          <w:b/>
          <w:lang w:val="fr-FR"/>
        </w:rPr>
        <w:t>assurer</w:t>
      </w:r>
      <w:r w:rsidR="00BA2DFB" w:rsidRPr="00C3532F">
        <w:rPr>
          <w:b/>
          <w:lang w:val="fr-FR"/>
        </w:rPr>
        <w:t xml:space="preserve"> la prise en charge médicale et psychosociale des détenus</w:t>
      </w:r>
      <w:r w:rsidR="00BA2DFB">
        <w:rPr>
          <w:b/>
          <w:lang w:val="fr-FR"/>
        </w:rPr>
        <w:t xml:space="preserve"> et prévenir ainsi le nombre de décès en détention</w:t>
      </w:r>
      <w:r w:rsidR="006073C6">
        <w:rPr>
          <w:b/>
          <w:lang w:val="fr-FR"/>
        </w:rPr>
        <w:t>;</w:t>
      </w:r>
    </w:p>
    <w:p w:rsidR="00BA2DFB" w:rsidRDefault="00BA2DFB" w:rsidP="004729D0">
      <w:pPr>
        <w:pStyle w:val="SingleTxtG"/>
        <w:rPr>
          <w:b/>
          <w:lang w:val="fr-FR"/>
        </w:rPr>
      </w:pPr>
      <w:r>
        <w:rPr>
          <w:b/>
          <w:lang w:val="fr-FR"/>
        </w:rPr>
        <w:tab/>
      </w:r>
      <w:r w:rsidR="00DA1ED4">
        <w:rPr>
          <w:b/>
          <w:lang w:val="fr-FR"/>
        </w:rPr>
        <w:t>c)</w:t>
      </w:r>
      <w:r w:rsidR="00DA1ED4">
        <w:rPr>
          <w:b/>
          <w:lang w:val="fr-FR"/>
        </w:rPr>
        <w:tab/>
      </w:r>
      <w:r w:rsidR="004729D0">
        <w:rPr>
          <w:b/>
          <w:lang w:val="fr-FR"/>
        </w:rPr>
        <w:t>Réduire</w:t>
      </w:r>
      <w:r w:rsidR="004729D0" w:rsidRPr="00213A31">
        <w:rPr>
          <w:b/>
          <w:lang w:val="fr-FR"/>
        </w:rPr>
        <w:t xml:space="preserve"> </w:t>
      </w:r>
      <w:r w:rsidR="004729D0">
        <w:rPr>
          <w:b/>
          <w:lang w:val="fr-FR"/>
        </w:rPr>
        <w:t>la</w:t>
      </w:r>
      <w:r w:rsidR="004729D0" w:rsidRPr="00213A31">
        <w:rPr>
          <w:b/>
          <w:lang w:val="fr-FR"/>
        </w:rPr>
        <w:t xml:space="preserve"> surpopulation</w:t>
      </w:r>
      <w:r w:rsidR="004729D0">
        <w:rPr>
          <w:b/>
          <w:lang w:val="fr-FR"/>
        </w:rPr>
        <w:t xml:space="preserve"> carcérale </w:t>
      </w:r>
      <w:r w:rsidR="004729D0" w:rsidRPr="00213A31">
        <w:rPr>
          <w:b/>
          <w:lang w:val="fr-FR"/>
        </w:rPr>
        <w:t>en recourant davantage à des mesures non privatives de liberté, compte tenu des Règles minima des Nations Unies pour l</w:t>
      </w:r>
      <w:r w:rsidR="004729D0">
        <w:rPr>
          <w:b/>
          <w:lang w:val="fr-FR"/>
        </w:rPr>
        <w:t>’</w:t>
      </w:r>
      <w:r w:rsidR="004729D0" w:rsidRPr="00213A31">
        <w:rPr>
          <w:b/>
          <w:lang w:val="fr-FR"/>
        </w:rPr>
        <w:t>élaboration de mesures non privatives de liberté (Règles de Tokyo)</w:t>
      </w:r>
      <w:r w:rsidR="006073C6">
        <w:rPr>
          <w:b/>
          <w:lang w:val="fr-FR"/>
        </w:rPr>
        <w:t>;</w:t>
      </w:r>
    </w:p>
    <w:p w:rsidR="004729D0" w:rsidRDefault="001206ED" w:rsidP="006B3D45">
      <w:pPr>
        <w:pStyle w:val="SingleTxtG"/>
        <w:rPr>
          <w:b/>
          <w:lang w:val="fr-FR"/>
        </w:rPr>
      </w:pPr>
      <w:r>
        <w:rPr>
          <w:b/>
          <w:lang w:val="fr-FR"/>
        </w:rPr>
        <w:tab/>
      </w:r>
      <w:r w:rsidR="00BA2DFB">
        <w:rPr>
          <w:b/>
          <w:lang w:val="fr-FR"/>
        </w:rPr>
        <w:t>d</w:t>
      </w:r>
      <w:r w:rsidRPr="00405085">
        <w:rPr>
          <w:b/>
          <w:lang w:val="fr-FR"/>
        </w:rPr>
        <w:t>)</w:t>
      </w:r>
      <w:r>
        <w:rPr>
          <w:b/>
          <w:lang w:val="fr-FR"/>
        </w:rPr>
        <w:tab/>
      </w:r>
      <w:r w:rsidR="004729D0">
        <w:rPr>
          <w:b/>
          <w:lang w:val="fr-FR"/>
        </w:rPr>
        <w:t xml:space="preserve">Établir un registre central sur tous les détenus dans le pays indiquant </w:t>
      </w:r>
      <w:r w:rsidR="00EB68C3">
        <w:rPr>
          <w:b/>
          <w:lang w:val="fr-FR"/>
        </w:rPr>
        <w:t>les détails suivants</w:t>
      </w:r>
      <w:r w:rsidR="006073C6">
        <w:rPr>
          <w:b/>
          <w:lang w:val="fr-FR"/>
        </w:rPr>
        <w:t>:</w:t>
      </w:r>
      <w:r w:rsidR="00EB68C3">
        <w:rPr>
          <w:b/>
          <w:lang w:val="fr-FR"/>
        </w:rPr>
        <w:t xml:space="preserve"> </w:t>
      </w:r>
      <w:r w:rsidR="00D47F40">
        <w:rPr>
          <w:b/>
          <w:lang w:val="fr-FR"/>
        </w:rPr>
        <w:t xml:space="preserve">s’ils </w:t>
      </w:r>
      <w:r w:rsidR="00EB68C3">
        <w:rPr>
          <w:b/>
          <w:lang w:val="fr-FR"/>
        </w:rPr>
        <w:t>sont</w:t>
      </w:r>
      <w:r w:rsidR="004729D0">
        <w:rPr>
          <w:b/>
          <w:lang w:val="fr-FR"/>
        </w:rPr>
        <w:t xml:space="preserve"> en détention préventive ou </w:t>
      </w:r>
      <w:r w:rsidR="00EB68C3">
        <w:rPr>
          <w:b/>
          <w:lang w:val="fr-FR"/>
        </w:rPr>
        <w:t xml:space="preserve">détenus </w:t>
      </w:r>
      <w:r w:rsidR="00D47F40">
        <w:rPr>
          <w:b/>
          <w:lang w:val="fr-FR"/>
        </w:rPr>
        <w:t xml:space="preserve">suite à </w:t>
      </w:r>
      <w:r w:rsidR="00EB68C3">
        <w:rPr>
          <w:b/>
          <w:lang w:val="fr-FR"/>
        </w:rPr>
        <w:t>une condamnation</w:t>
      </w:r>
      <w:r w:rsidR="006073C6">
        <w:rPr>
          <w:b/>
          <w:lang w:val="fr-FR"/>
        </w:rPr>
        <w:t>;</w:t>
      </w:r>
      <w:r w:rsidR="00EB68C3">
        <w:rPr>
          <w:b/>
          <w:lang w:val="fr-FR"/>
        </w:rPr>
        <w:t xml:space="preserve"> la nature du</w:t>
      </w:r>
      <w:r w:rsidR="004729D0">
        <w:rPr>
          <w:b/>
          <w:lang w:val="fr-FR"/>
        </w:rPr>
        <w:t xml:space="preserve"> déli</w:t>
      </w:r>
      <w:r w:rsidR="00EB68C3">
        <w:rPr>
          <w:b/>
          <w:lang w:val="fr-FR"/>
        </w:rPr>
        <w:t>t</w:t>
      </w:r>
      <w:r w:rsidR="006073C6">
        <w:rPr>
          <w:b/>
          <w:lang w:val="fr-FR"/>
        </w:rPr>
        <w:t>;</w:t>
      </w:r>
      <w:r w:rsidR="00EB68C3">
        <w:rPr>
          <w:b/>
          <w:lang w:val="fr-FR"/>
        </w:rPr>
        <w:t xml:space="preserve"> leur date d’entrée en détention</w:t>
      </w:r>
      <w:r w:rsidR="006073C6">
        <w:rPr>
          <w:b/>
          <w:lang w:val="fr-FR"/>
        </w:rPr>
        <w:t>;</w:t>
      </w:r>
      <w:r w:rsidR="00EB68C3">
        <w:rPr>
          <w:b/>
          <w:lang w:val="fr-FR"/>
        </w:rPr>
        <w:t xml:space="preserve"> le lieu de détention</w:t>
      </w:r>
      <w:r w:rsidR="006073C6">
        <w:rPr>
          <w:b/>
          <w:lang w:val="fr-FR"/>
        </w:rPr>
        <w:t>;</w:t>
      </w:r>
      <w:r w:rsidR="004729D0">
        <w:rPr>
          <w:b/>
          <w:lang w:val="fr-FR"/>
        </w:rPr>
        <w:t xml:space="preserve"> ainsi que leur âge et sexe;</w:t>
      </w:r>
    </w:p>
    <w:p w:rsidR="00BA2DFB" w:rsidRDefault="00BA2DFB" w:rsidP="00D47F40">
      <w:pPr>
        <w:pStyle w:val="SingleTxtG"/>
        <w:ind w:firstLine="567"/>
        <w:rPr>
          <w:b/>
          <w:lang w:val="fr-FR"/>
        </w:rPr>
      </w:pPr>
      <w:r>
        <w:rPr>
          <w:b/>
          <w:lang w:val="fr-FR"/>
        </w:rPr>
        <w:t>e</w:t>
      </w:r>
      <w:r w:rsidR="008C7090" w:rsidRPr="00FA16C5">
        <w:rPr>
          <w:b/>
          <w:lang w:val="fr-FR"/>
        </w:rPr>
        <w:t>)</w:t>
      </w:r>
      <w:r w:rsidR="008C7090" w:rsidRPr="00213A31">
        <w:rPr>
          <w:b/>
          <w:lang w:val="fr-FR"/>
        </w:rPr>
        <w:tab/>
      </w:r>
      <w:r>
        <w:rPr>
          <w:b/>
          <w:lang w:val="fr-FR"/>
        </w:rPr>
        <w:t>Veiller</w:t>
      </w:r>
      <w:r w:rsidRPr="00213A31">
        <w:rPr>
          <w:b/>
          <w:lang w:val="fr-FR"/>
        </w:rPr>
        <w:t xml:space="preserve"> à ce que les </w:t>
      </w:r>
      <w:r>
        <w:rPr>
          <w:b/>
          <w:lang w:val="fr-FR"/>
        </w:rPr>
        <w:t xml:space="preserve">détenus puissent effectivement déposer plainte </w:t>
      </w:r>
      <w:r w:rsidR="006965EA">
        <w:rPr>
          <w:b/>
          <w:lang w:val="fr-FR"/>
        </w:rPr>
        <w:t xml:space="preserve">devant un organe indépendant </w:t>
      </w:r>
      <w:r w:rsidR="00D47F40">
        <w:rPr>
          <w:b/>
          <w:lang w:val="fr-FR"/>
        </w:rPr>
        <w:t xml:space="preserve">concernant </w:t>
      </w:r>
      <w:r>
        <w:rPr>
          <w:b/>
          <w:lang w:val="fr-FR"/>
        </w:rPr>
        <w:t xml:space="preserve">leurs conditions de détention et </w:t>
      </w:r>
      <w:r w:rsidR="00D47F40">
        <w:rPr>
          <w:b/>
          <w:lang w:val="fr-FR"/>
        </w:rPr>
        <w:t xml:space="preserve">des </w:t>
      </w:r>
      <w:r>
        <w:rPr>
          <w:b/>
          <w:lang w:val="fr-FR"/>
        </w:rPr>
        <w:t xml:space="preserve">mauvais traitements et </w:t>
      </w:r>
      <w:r w:rsidR="00D47F40">
        <w:rPr>
          <w:b/>
          <w:lang w:val="fr-FR"/>
        </w:rPr>
        <w:t xml:space="preserve">veiller à ce </w:t>
      </w:r>
      <w:r>
        <w:rPr>
          <w:b/>
          <w:lang w:val="fr-FR"/>
        </w:rPr>
        <w:t>que ces plaintes fassent l’objet d’enquêtes impartiales, promptes et indépendantes</w:t>
      </w:r>
      <w:r w:rsidR="006073C6">
        <w:rPr>
          <w:b/>
          <w:lang w:val="fr-FR"/>
        </w:rPr>
        <w:t>;</w:t>
      </w:r>
    </w:p>
    <w:p w:rsidR="00BA2DFB" w:rsidRDefault="00BA2DFB" w:rsidP="005F212F">
      <w:pPr>
        <w:pStyle w:val="SingleTxtG"/>
        <w:ind w:firstLine="567"/>
        <w:rPr>
          <w:b/>
          <w:lang w:val="fr-FR"/>
        </w:rPr>
      </w:pPr>
      <w:r>
        <w:rPr>
          <w:b/>
          <w:lang w:val="fr-FR"/>
        </w:rPr>
        <w:t>f)</w:t>
      </w:r>
      <w:r>
        <w:rPr>
          <w:b/>
          <w:lang w:val="fr-FR"/>
        </w:rPr>
        <w:tab/>
        <w:t>Procéder à des enquêtes</w:t>
      </w:r>
      <w:r w:rsidR="006965EA">
        <w:rPr>
          <w:b/>
          <w:lang w:val="fr-FR"/>
        </w:rPr>
        <w:t xml:space="preserve"> régulières</w:t>
      </w:r>
      <w:r>
        <w:rPr>
          <w:b/>
          <w:lang w:val="fr-FR"/>
        </w:rPr>
        <w:t xml:space="preserve"> sur les décès en détention et leurs causes, fournir au Comité les données statistiques </w:t>
      </w:r>
      <w:r w:rsidR="005F212F">
        <w:rPr>
          <w:b/>
          <w:lang w:val="fr-FR"/>
        </w:rPr>
        <w:t xml:space="preserve">et indiquer </w:t>
      </w:r>
      <w:r w:rsidR="005F212F" w:rsidRPr="005F212F">
        <w:rPr>
          <w:b/>
          <w:lang w:val="fr-FR"/>
        </w:rPr>
        <w:t>dans le prochain rapport périodique</w:t>
      </w:r>
      <w:r w:rsidR="005F212F" w:rsidRPr="005F212F" w:rsidDel="005F212F">
        <w:rPr>
          <w:b/>
          <w:lang w:val="fr-FR"/>
        </w:rPr>
        <w:t xml:space="preserve"> </w:t>
      </w:r>
      <w:r>
        <w:rPr>
          <w:b/>
          <w:lang w:val="fr-FR"/>
        </w:rPr>
        <w:t>les mesures préventives prises par les autorités pénitentiaires</w:t>
      </w:r>
      <w:r w:rsidR="006073C6">
        <w:rPr>
          <w:b/>
          <w:lang w:val="fr-FR"/>
        </w:rPr>
        <w:t>;</w:t>
      </w:r>
      <w:r>
        <w:rPr>
          <w:b/>
          <w:lang w:val="fr-FR"/>
        </w:rPr>
        <w:t xml:space="preserve"> prendre des mesures afin de réduire la violence entre détenus</w:t>
      </w:r>
      <w:r w:rsidR="006073C6">
        <w:rPr>
          <w:b/>
          <w:lang w:val="fr-FR"/>
        </w:rPr>
        <w:t>;</w:t>
      </w:r>
    </w:p>
    <w:p w:rsidR="00EF46F6" w:rsidRPr="00EF46F6" w:rsidRDefault="001206ED" w:rsidP="00950A8A">
      <w:pPr>
        <w:pStyle w:val="SingleTxtG"/>
        <w:rPr>
          <w:b/>
          <w:lang w:val="fr-FR"/>
        </w:rPr>
      </w:pPr>
      <w:r>
        <w:rPr>
          <w:b/>
          <w:lang w:val="fr-FR"/>
        </w:rPr>
        <w:tab/>
      </w:r>
      <w:r w:rsidR="00BA2DFB">
        <w:rPr>
          <w:b/>
          <w:lang w:val="fr-FR"/>
        </w:rPr>
        <w:t>g</w:t>
      </w:r>
      <w:r w:rsidRPr="00405085">
        <w:rPr>
          <w:b/>
          <w:lang w:val="fr-FR"/>
        </w:rPr>
        <w:t>)</w:t>
      </w:r>
      <w:r>
        <w:rPr>
          <w:b/>
          <w:lang w:val="fr-FR"/>
        </w:rPr>
        <w:tab/>
      </w:r>
      <w:r w:rsidR="004F5CA1">
        <w:rPr>
          <w:b/>
          <w:lang w:val="fr-FR"/>
        </w:rPr>
        <w:t>Continuer d’assurer</w:t>
      </w:r>
      <w:r>
        <w:rPr>
          <w:b/>
          <w:lang w:val="fr-FR"/>
        </w:rPr>
        <w:t xml:space="preserve"> à la C</w:t>
      </w:r>
      <w:r w:rsidR="004F5CA1">
        <w:rPr>
          <w:b/>
          <w:lang w:val="fr-FR"/>
        </w:rPr>
        <w:t>ommission nationale des droits de l’homme e</w:t>
      </w:r>
      <w:r>
        <w:rPr>
          <w:b/>
          <w:lang w:val="fr-FR"/>
        </w:rPr>
        <w:t>t aux organisations des droits de l’homme</w:t>
      </w:r>
      <w:r w:rsidRPr="00F917E1">
        <w:rPr>
          <w:b/>
          <w:lang w:val="fr-FR"/>
        </w:rPr>
        <w:t xml:space="preserve"> </w:t>
      </w:r>
      <w:r>
        <w:rPr>
          <w:b/>
          <w:lang w:val="fr-FR"/>
        </w:rPr>
        <w:t xml:space="preserve">le libre accès à tous les lieux de détention, notamment </w:t>
      </w:r>
      <w:r w:rsidR="004F5CA1">
        <w:rPr>
          <w:b/>
          <w:lang w:val="fr-FR"/>
        </w:rPr>
        <w:t>à travers la conduite de</w:t>
      </w:r>
      <w:r>
        <w:rPr>
          <w:b/>
          <w:lang w:val="fr-FR"/>
        </w:rPr>
        <w:t xml:space="preserve"> visites inopinées</w:t>
      </w:r>
      <w:r w:rsidR="004F5CA1">
        <w:rPr>
          <w:b/>
          <w:lang w:val="fr-FR"/>
        </w:rPr>
        <w:t xml:space="preserve"> et d’</w:t>
      </w:r>
      <w:r>
        <w:rPr>
          <w:b/>
          <w:lang w:val="fr-FR"/>
        </w:rPr>
        <w:t>entretiens privés avec les détenus.</w:t>
      </w:r>
    </w:p>
    <w:p w:rsidR="001206ED" w:rsidRPr="00386735" w:rsidRDefault="00BA2DFB" w:rsidP="001206ED">
      <w:pPr>
        <w:pStyle w:val="H23G"/>
        <w:rPr>
          <w:lang w:val="fr-FR"/>
        </w:rPr>
      </w:pPr>
      <w:r>
        <w:rPr>
          <w:lang w:val="fr-FR"/>
        </w:rPr>
        <w:tab/>
      </w:r>
      <w:r>
        <w:rPr>
          <w:lang w:val="fr-FR"/>
        </w:rPr>
        <w:tab/>
      </w:r>
      <w:r w:rsidR="001C08DB">
        <w:rPr>
          <w:lang w:val="fr-FR"/>
        </w:rPr>
        <w:t>Traite</w:t>
      </w:r>
      <w:r w:rsidR="002E6331">
        <w:rPr>
          <w:lang w:val="fr-FR"/>
        </w:rPr>
        <w:t xml:space="preserve"> des personnes</w:t>
      </w:r>
      <w:r w:rsidR="001C08DB">
        <w:rPr>
          <w:lang w:val="fr-FR"/>
        </w:rPr>
        <w:t xml:space="preserve"> et v</w:t>
      </w:r>
      <w:r w:rsidR="00EC14BC">
        <w:rPr>
          <w:lang w:val="fr-FR"/>
        </w:rPr>
        <w:t>iolences contre les femmes</w:t>
      </w:r>
    </w:p>
    <w:p w:rsidR="001206ED" w:rsidRPr="00386735" w:rsidRDefault="004729D0" w:rsidP="005442CD">
      <w:pPr>
        <w:pStyle w:val="SingleTxtG"/>
        <w:rPr>
          <w:lang w:val="fr-FR"/>
        </w:rPr>
      </w:pPr>
      <w:r>
        <w:rPr>
          <w:lang w:val="fr-FR"/>
        </w:rPr>
        <w:t>2</w:t>
      </w:r>
      <w:r w:rsidR="004A31AD">
        <w:rPr>
          <w:lang w:val="fr-FR"/>
        </w:rPr>
        <w:t>3</w:t>
      </w:r>
      <w:r w:rsidR="001206ED" w:rsidRPr="00386735">
        <w:rPr>
          <w:lang w:val="fr-FR"/>
        </w:rPr>
        <w:t>.</w:t>
      </w:r>
      <w:r w:rsidR="001206ED" w:rsidRPr="00386735">
        <w:rPr>
          <w:lang w:val="fr-FR"/>
        </w:rPr>
        <w:tab/>
      </w:r>
      <w:r w:rsidR="001206ED">
        <w:rPr>
          <w:lang w:val="fr-FR"/>
        </w:rPr>
        <w:t xml:space="preserve">Le Comité </w:t>
      </w:r>
      <w:r w:rsidR="001206ED" w:rsidRPr="00386735">
        <w:rPr>
          <w:lang w:val="fr-FR"/>
        </w:rPr>
        <w:t xml:space="preserve">prend note </w:t>
      </w:r>
      <w:r w:rsidR="001206ED">
        <w:rPr>
          <w:lang w:val="fr-FR"/>
        </w:rPr>
        <w:t>des nombreuses mesures législatives, institutionnelles et de sensibilisation adoptées par l’État partie pour prévenir et combattre la traite des personnes</w:t>
      </w:r>
      <w:r w:rsidR="003A04B3">
        <w:rPr>
          <w:lang w:val="fr-FR"/>
        </w:rPr>
        <w:t xml:space="preserve">, </w:t>
      </w:r>
      <w:r w:rsidR="004A31AD">
        <w:rPr>
          <w:lang w:val="fr-FR"/>
        </w:rPr>
        <w:t>y compris</w:t>
      </w:r>
      <w:r w:rsidR="003A04B3">
        <w:rPr>
          <w:lang w:val="fr-FR"/>
        </w:rPr>
        <w:t xml:space="preserve"> l’adoption de la </w:t>
      </w:r>
      <w:r w:rsidR="006073C6">
        <w:rPr>
          <w:lang w:val="fr-FR"/>
        </w:rPr>
        <w:t>loi</w:t>
      </w:r>
      <w:r w:rsidR="003A04B3">
        <w:rPr>
          <w:lang w:val="fr-FR"/>
        </w:rPr>
        <w:t xml:space="preserve"> n°</w:t>
      </w:r>
      <w:r w:rsidR="00E34F1C">
        <w:rPr>
          <w:lang w:val="fr-FR"/>
        </w:rPr>
        <w:t> </w:t>
      </w:r>
      <w:r w:rsidR="003A04B3">
        <w:rPr>
          <w:lang w:val="fr-FR"/>
        </w:rPr>
        <w:t>2003-025 du 17 juillet 2003 portant répression de la traite des personnes</w:t>
      </w:r>
      <w:r w:rsidR="001206ED">
        <w:rPr>
          <w:lang w:val="fr-FR"/>
        </w:rPr>
        <w:t>.</w:t>
      </w:r>
      <w:r w:rsidR="003A04B3">
        <w:rPr>
          <w:lang w:val="fr-FR"/>
        </w:rPr>
        <w:t xml:space="preserve"> Le Comité demeure toutefois </w:t>
      </w:r>
      <w:r w:rsidR="001206ED">
        <w:rPr>
          <w:lang w:val="fr-FR"/>
        </w:rPr>
        <w:t>préoccupé par l</w:t>
      </w:r>
      <w:r w:rsidR="003A04B3">
        <w:rPr>
          <w:lang w:val="fr-FR"/>
        </w:rPr>
        <w:t xml:space="preserve">’insuffisance d’informations </w:t>
      </w:r>
      <w:r w:rsidR="005442CD">
        <w:rPr>
          <w:lang w:val="fr-FR"/>
        </w:rPr>
        <w:t xml:space="preserve">en matière de </w:t>
      </w:r>
      <w:r w:rsidR="003A04B3">
        <w:rPr>
          <w:lang w:val="fr-FR"/>
        </w:rPr>
        <w:t>pénalisation du viol</w:t>
      </w:r>
      <w:r w:rsidR="005442CD">
        <w:rPr>
          <w:lang w:val="fr-FR"/>
        </w:rPr>
        <w:t>,</w:t>
      </w:r>
      <w:r w:rsidR="001C08DB">
        <w:rPr>
          <w:lang w:val="fr-FR"/>
        </w:rPr>
        <w:t xml:space="preserve"> </w:t>
      </w:r>
      <w:r w:rsidR="005442CD">
        <w:rPr>
          <w:lang w:val="fr-FR"/>
        </w:rPr>
        <w:t xml:space="preserve">le </w:t>
      </w:r>
      <w:r w:rsidR="001C08DB">
        <w:rPr>
          <w:lang w:val="fr-FR"/>
        </w:rPr>
        <w:t>nombre de condamnations pour viol</w:t>
      </w:r>
      <w:r w:rsidR="005442CD">
        <w:rPr>
          <w:lang w:val="fr-FR"/>
        </w:rPr>
        <w:t xml:space="preserve">, </w:t>
      </w:r>
      <w:r w:rsidR="000175ED">
        <w:rPr>
          <w:lang w:val="fr-FR"/>
        </w:rPr>
        <w:t xml:space="preserve">la prévalence et </w:t>
      </w:r>
      <w:r w:rsidR="005442CD">
        <w:rPr>
          <w:lang w:val="fr-FR"/>
        </w:rPr>
        <w:t xml:space="preserve">le </w:t>
      </w:r>
      <w:r w:rsidR="000175ED">
        <w:rPr>
          <w:lang w:val="fr-FR"/>
        </w:rPr>
        <w:t>traitement de</w:t>
      </w:r>
      <w:r w:rsidR="003A04B3">
        <w:rPr>
          <w:lang w:val="fr-FR"/>
        </w:rPr>
        <w:t xml:space="preserve"> la violence domestique</w:t>
      </w:r>
      <w:r w:rsidR="008B5252">
        <w:rPr>
          <w:lang w:val="fr-FR"/>
        </w:rPr>
        <w:t xml:space="preserve"> </w:t>
      </w:r>
      <w:r w:rsidR="005442CD">
        <w:rPr>
          <w:lang w:val="fr-FR"/>
        </w:rPr>
        <w:t xml:space="preserve">et par </w:t>
      </w:r>
      <w:r w:rsidR="003A04B3">
        <w:rPr>
          <w:lang w:val="fr-FR"/>
        </w:rPr>
        <w:t>l’ampleur du phénomène de la traite</w:t>
      </w:r>
      <w:r w:rsidR="00E45627">
        <w:rPr>
          <w:lang w:val="fr-FR"/>
        </w:rPr>
        <w:t xml:space="preserve"> </w:t>
      </w:r>
      <w:r w:rsidR="001206ED">
        <w:rPr>
          <w:lang w:val="fr-FR"/>
        </w:rPr>
        <w:t>(</w:t>
      </w:r>
      <w:r w:rsidR="002A4FA2">
        <w:rPr>
          <w:lang w:val="fr-FR"/>
        </w:rPr>
        <w:t>art. </w:t>
      </w:r>
      <w:r w:rsidR="001206ED">
        <w:rPr>
          <w:lang w:val="fr-FR"/>
        </w:rPr>
        <w:t>2, 12, 13, 14,</w:t>
      </w:r>
      <w:r w:rsidR="008B5252">
        <w:rPr>
          <w:lang w:val="fr-FR"/>
        </w:rPr>
        <w:t xml:space="preserve"> </w:t>
      </w:r>
      <w:r w:rsidR="001206ED">
        <w:rPr>
          <w:lang w:val="fr-FR"/>
        </w:rPr>
        <w:t>16).</w:t>
      </w:r>
      <w:r w:rsidR="00E45627">
        <w:rPr>
          <w:lang w:val="fr-FR"/>
        </w:rPr>
        <w:t xml:space="preserve"> </w:t>
      </w:r>
    </w:p>
    <w:p w:rsidR="001206ED" w:rsidRPr="00ED05DA" w:rsidRDefault="001206ED" w:rsidP="001206ED">
      <w:pPr>
        <w:pStyle w:val="SingleTxtG"/>
        <w:rPr>
          <w:b/>
          <w:lang w:val="fr-FR"/>
        </w:rPr>
      </w:pPr>
      <w:r w:rsidRPr="00ED05DA">
        <w:rPr>
          <w:b/>
          <w:lang w:val="fr-FR"/>
        </w:rPr>
        <w:t>L’État partie devrait</w:t>
      </w:r>
      <w:r w:rsidR="006073C6">
        <w:rPr>
          <w:b/>
          <w:lang w:val="fr-FR"/>
        </w:rPr>
        <w:t>:</w:t>
      </w:r>
    </w:p>
    <w:p w:rsidR="001206ED" w:rsidRPr="00ED05DA" w:rsidRDefault="001206ED" w:rsidP="001206ED">
      <w:pPr>
        <w:pStyle w:val="SingleTxtG"/>
        <w:rPr>
          <w:b/>
        </w:rPr>
      </w:pPr>
      <w:r>
        <w:rPr>
          <w:b/>
        </w:rPr>
        <w:tab/>
      </w:r>
      <w:r w:rsidRPr="00FA16C5">
        <w:rPr>
          <w:b/>
        </w:rPr>
        <w:t>a)</w:t>
      </w:r>
      <w:r w:rsidRPr="00ED05DA">
        <w:rPr>
          <w:b/>
        </w:rPr>
        <w:tab/>
      </w:r>
      <w:r>
        <w:rPr>
          <w:b/>
        </w:rPr>
        <w:t>V</w:t>
      </w:r>
      <w:r w:rsidRPr="00ED05DA">
        <w:rPr>
          <w:b/>
        </w:rPr>
        <w:t>eiller à l’application effective</w:t>
      </w:r>
      <w:r>
        <w:rPr>
          <w:b/>
        </w:rPr>
        <w:t>,</w:t>
      </w:r>
      <w:r w:rsidRPr="00ED05DA">
        <w:rPr>
          <w:b/>
        </w:rPr>
        <w:t xml:space="preserve"> en pleine conformité avec la Convention, de</w:t>
      </w:r>
      <w:r>
        <w:rPr>
          <w:b/>
        </w:rPr>
        <w:t xml:space="preserve"> la législation existante</w:t>
      </w:r>
      <w:r w:rsidRPr="00ED05DA">
        <w:rPr>
          <w:b/>
        </w:rPr>
        <w:t xml:space="preserve"> pour lutter contre la traite des personnes</w:t>
      </w:r>
      <w:r w:rsidR="006073C6">
        <w:rPr>
          <w:b/>
        </w:rPr>
        <w:t>;</w:t>
      </w:r>
    </w:p>
    <w:p w:rsidR="001206ED" w:rsidRPr="00ED05DA" w:rsidRDefault="001206ED" w:rsidP="00D5419F">
      <w:pPr>
        <w:pStyle w:val="SingleTxtG"/>
        <w:rPr>
          <w:b/>
        </w:rPr>
      </w:pPr>
      <w:r>
        <w:rPr>
          <w:b/>
        </w:rPr>
        <w:tab/>
      </w:r>
      <w:r w:rsidRPr="00FA16C5">
        <w:rPr>
          <w:b/>
        </w:rPr>
        <w:t>b)</w:t>
      </w:r>
      <w:r w:rsidRPr="00ED05DA">
        <w:rPr>
          <w:b/>
        </w:rPr>
        <w:tab/>
      </w:r>
      <w:r>
        <w:rPr>
          <w:b/>
        </w:rPr>
        <w:t>C</w:t>
      </w:r>
      <w:r w:rsidRPr="00ED05DA">
        <w:rPr>
          <w:b/>
        </w:rPr>
        <w:t xml:space="preserve">onduire une étude sur l’ampleur réelle </w:t>
      </w:r>
      <w:r w:rsidR="00D5419F">
        <w:rPr>
          <w:b/>
        </w:rPr>
        <w:t xml:space="preserve">et les causes </w:t>
      </w:r>
      <w:r w:rsidRPr="00ED05DA">
        <w:rPr>
          <w:b/>
        </w:rPr>
        <w:t>de la traite des personnes dans l’</w:t>
      </w:r>
      <w:r>
        <w:rPr>
          <w:b/>
        </w:rPr>
        <w:t>É</w:t>
      </w:r>
      <w:r w:rsidRPr="00ED05DA">
        <w:rPr>
          <w:b/>
        </w:rPr>
        <w:t>tat partie;</w:t>
      </w:r>
    </w:p>
    <w:p w:rsidR="001206ED" w:rsidRPr="00ED05DA" w:rsidRDefault="001206ED" w:rsidP="00B669F9">
      <w:pPr>
        <w:pStyle w:val="SingleTxtG"/>
        <w:rPr>
          <w:b/>
        </w:rPr>
      </w:pPr>
      <w:r>
        <w:rPr>
          <w:b/>
        </w:rPr>
        <w:tab/>
      </w:r>
      <w:r w:rsidR="00B669F9">
        <w:rPr>
          <w:b/>
        </w:rPr>
        <w:t>c</w:t>
      </w:r>
      <w:r w:rsidRPr="00FA16C5">
        <w:rPr>
          <w:b/>
        </w:rPr>
        <w:t>)</w:t>
      </w:r>
      <w:r w:rsidRPr="00ED05DA">
        <w:rPr>
          <w:b/>
        </w:rPr>
        <w:tab/>
      </w:r>
      <w:r>
        <w:rPr>
          <w:b/>
        </w:rPr>
        <w:t>M</w:t>
      </w:r>
      <w:r w:rsidRPr="00ED05DA">
        <w:rPr>
          <w:b/>
        </w:rPr>
        <w:t xml:space="preserve">ettre fin à l’impunité en enquêtant de manière </w:t>
      </w:r>
      <w:r w:rsidR="00355B9B">
        <w:rPr>
          <w:b/>
        </w:rPr>
        <w:t xml:space="preserve">régulière </w:t>
      </w:r>
      <w:r w:rsidR="001C08DB">
        <w:rPr>
          <w:b/>
        </w:rPr>
        <w:t xml:space="preserve">sur les allégations de </w:t>
      </w:r>
      <w:r w:rsidR="000175ED">
        <w:rPr>
          <w:b/>
        </w:rPr>
        <w:t xml:space="preserve">viol, de </w:t>
      </w:r>
      <w:r w:rsidR="001C08DB">
        <w:rPr>
          <w:b/>
        </w:rPr>
        <w:t xml:space="preserve">traite, de violence </w:t>
      </w:r>
      <w:r w:rsidR="000175ED">
        <w:rPr>
          <w:b/>
        </w:rPr>
        <w:t>domestique</w:t>
      </w:r>
      <w:r w:rsidR="001C08DB">
        <w:rPr>
          <w:b/>
        </w:rPr>
        <w:t>,</w:t>
      </w:r>
      <w:r w:rsidRPr="00ED05DA">
        <w:rPr>
          <w:b/>
        </w:rPr>
        <w:t xml:space="preserve"> en engageant des poursuites contre les auteurs et en les sanctionnant de manière appropriée</w:t>
      </w:r>
      <w:r w:rsidR="006073C6">
        <w:rPr>
          <w:b/>
        </w:rPr>
        <w:t>;</w:t>
      </w:r>
    </w:p>
    <w:p w:rsidR="001206ED" w:rsidRPr="00ED05DA" w:rsidRDefault="001206ED" w:rsidP="00B669F9">
      <w:pPr>
        <w:pStyle w:val="SingleTxtG"/>
        <w:rPr>
          <w:b/>
        </w:rPr>
      </w:pPr>
      <w:r>
        <w:rPr>
          <w:b/>
        </w:rPr>
        <w:tab/>
      </w:r>
      <w:r w:rsidR="00B669F9">
        <w:rPr>
          <w:b/>
        </w:rPr>
        <w:t>d</w:t>
      </w:r>
      <w:r w:rsidRPr="00FA16C5">
        <w:rPr>
          <w:b/>
        </w:rPr>
        <w:t>)</w:t>
      </w:r>
      <w:r w:rsidRPr="00ED05DA">
        <w:rPr>
          <w:b/>
        </w:rPr>
        <w:tab/>
      </w:r>
      <w:r>
        <w:rPr>
          <w:b/>
        </w:rPr>
        <w:t>O</w:t>
      </w:r>
      <w:r w:rsidRPr="00ED05DA">
        <w:rPr>
          <w:b/>
        </w:rPr>
        <w:t xml:space="preserve">ffrir une protection aux victimes, y compris une indemnisation adéquate et </w:t>
      </w:r>
      <w:r>
        <w:rPr>
          <w:b/>
        </w:rPr>
        <w:t>une</w:t>
      </w:r>
      <w:r w:rsidRPr="00ED05DA">
        <w:rPr>
          <w:b/>
        </w:rPr>
        <w:t xml:space="preserve"> réhabilitation si nécessaire, et renforcer ses campagnes de sensibilisation</w:t>
      </w:r>
      <w:r w:rsidR="006073C6">
        <w:rPr>
          <w:b/>
        </w:rPr>
        <w:t>;</w:t>
      </w:r>
    </w:p>
    <w:p w:rsidR="001206ED" w:rsidRPr="00F80728" w:rsidRDefault="001206ED" w:rsidP="00B669F9">
      <w:pPr>
        <w:pStyle w:val="SingleTxtG"/>
        <w:rPr>
          <w:b/>
        </w:rPr>
      </w:pPr>
      <w:r>
        <w:rPr>
          <w:b/>
        </w:rPr>
        <w:tab/>
      </w:r>
      <w:r w:rsidR="00B669F9">
        <w:rPr>
          <w:b/>
        </w:rPr>
        <w:t>e</w:t>
      </w:r>
      <w:r w:rsidRPr="00FA16C5">
        <w:rPr>
          <w:b/>
        </w:rPr>
        <w:t>)</w:t>
      </w:r>
      <w:r w:rsidRPr="00ED05DA">
        <w:rPr>
          <w:b/>
        </w:rPr>
        <w:tab/>
      </w:r>
      <w:r>
        <w:rPr>
          <w:b/>
        </w:rPr>
        <w:t>F</w:t>
      </w:r>
      <w:r w:rsidRPr="00ED05DA">
        <w:rPr>
          <w:b/>
        </w:rPr>
        <w:t xml:space="preserve">ormer les enquêteurs et le personnel en contact avec les victimes de </w:t>
      </w:r>
      <w:r>
        <w:rPr>
          <w:b/>
        </w:rPr>
        <w:t xml:space="preserve">la </w:t>
      </w:r>
      <w:r w:rsidRPr="00ED05DA">
        <w:rPr>
          <w:b/>
        </w:rPr>
        <w:t xml:space="preserve">traite, y compris les </w:t>
      </w:r>
      <w:r>
        <w:rPr>
          <w:b/>
        </w:rPr>
        <w:t>s</w:t>
      </w:r>
      <w:r w:rsidRPr="00ED05DA">
        <w:rPr>
          <w:b/>
        </w:rPr>
        <w:t>ervices d’immigration</w:t>
      </w:r>
      <w:r>
        <w:rPr>
          <w:b/>
        </w:rPr>
        <w:t>,</w:t>
      </w:r>
      <w:r w:rsidRPr="00ED05DA">
        <w:rPr>
          <w:b/>
        </w:rPr>
        <w:t xml:space="preserve"> et doter les centres d’accueil de ressources suffisantes.</w:t>
      </w:r>
      <w:r w:rsidR="00E45627">
        <w:rPr>
          <w:b/>
        </w:rPr>
        <w:t xml:space="preserve"> </w:t>
      </w:r>
    </w:p>
    <w:p w:rsidR="001206ED" w:rsidRDefault="001206ED" w:rsidP="001206ED">
      <w:pPr>
        <w:pStyle w:val="H23G"/>
        <w:rPr>
          <w:lang w:val="fr-FR"/>
        </w:rPr>
      </w:pPr>
      <w:r>
        <w:rPr>
          <w:lang w:val="fr-FR"/>
        </w:rPr>
        <w:tab/>
      </w:r>
      <w:r>
        <w:rPr>
          <w:lang w:val="fr-FR"/>
        </w:rPr>
        <w:tab/>
        <w:t>Mutilations génitales féminines</w:t>
      </w:r>
    </w:p>
    <w:p w:rsidR="001206ED" w:rsidRDefault="001206ED" w:rsidP="0049389E">
      <w:pPr>
        <w:pStyle w:val="SingleTxtG"/>
        <w:rPr>
          <w:lang w:val="fr-FR"/>
        </w:rPr>
      </w:pPr>
      <w:r>
        <w:rPr>
          <w:lang w:val="fr-FR"/>
        </w:rPr>
        <w:t>2</w:t>
      </w:r>
      <w:r w:rsidR="004A31AD">
        <w:rPr>
          <w:lang w:val="fr-FR"/>
        </w:rPr>
        <w:t>4</w:t>
      </w:r>
      <w:r>
        <w:rPr>
          <w:lang w:val="fr-FR"/>
        </w:rPr>
        <w:t>.</w:t>
      </w:r>
      <w:r>
        <w:rPr>
          <w:lang w:val="fr-FR"/>
        </w:rPr>
        <w:tab/>
        <w:t xml:space="preserve">Tout en notant les mesures </w:t>
      </w:r>
      <w:r w:rsidR="00675E70">
        <w:rPr>
          <w:lang w:val="fr-FR"/>
        </w:rPr>
        <w:t xml:space="preserve">d’ordre institutionnel et de sensibilisation </w:t>
      </w:r>
      <w:r>
        <w:rPr>
          <w:lang w:val="fr-FR"/>
        </w:rPr>
        <w:t xml:space="preserve">prises par l’État partie, le Comité reste </w:t>
      </w:r>
      <w:r w:rsidR="00675E70">
        <w:rPr>
          <w:lang w:val="fr-FR"/>
        </w:rPr>
        <w:t xml:space="preserve">fortement </w:t>
      </w:r>
      <w:r>
        <w:rPr>
          <w:lang w:val="fr-FR"/>
        </w:rPr>
        <w:t>préoccupé par l</w:t>
      </w:r>
      <w:r w:rsidR="00675E70">
        <w:rPr>
          <w:lang w:val="fr-FR"/>
        </w:rPr>
        <w:t xml:space="preserve">’absence de pénalisation </w:t>
      </w:r>
      <w:r>
        <w:rPr>
          <w:lang w:val="fr-FR"/>
        </w:rPr>
        <w:t>de la pratique de</w:t>
      </w:r>
      <w:r w:rsidR="00E03AB0">
        <w:rPr>
          <w:lang w:val="fr-FR"/>
        </w:rPr>
        <w:t>s</w:t>
      </w:r>
      <w:r>
        <w:rPr>
          <w:lang w:val="fr-FR"/>
        </w:rPr>
        <w:t xml:space="preserve"> mutilations génitales féminines. Il est également préoccupé par l’absence d’informations précises sur les plaintes déposées et les enquêtes menées, les poursuites engagées et les sanctions décidées contre les responsables de ces pratiques (art.</w:t>
      </w:r>
      <w:r w:rsidR="0049389E">
        <w:rPr>
          <w:lang w:val="fr-FR"/>
        </w:rPr>
        <w:t> </w:t>
      </w:r>
      <w:r>
        <w:rPr>
          <w:lang w:val="fr-FR"/>
        </w:rPr>
        <w:t xml:space="preserve">2, 12, 13, 14 et 16). </w:t>
      </w:r>
    </w:p>
    <w:p w:rsidR="001206ED" w:rsidRDefault="004A31AD" w:rsidP="008C0A9F">
      <w:pPr>
        <w:pStyle w:val="SingleTxtG"/>
        <w:rPr>
          <w:b/>
          <w:lang w:val="fr-FR"/>
        </w:rPr>
      </w:pPr>
      <w:r>
        <w:rPr>
          <w:b/>
          <w:lang w:val="fr-FR"/>
        </w:rPr>
        <w:t>C</w:t>
      </w:r>
      <w:r w:rsidR="00795ED5">
        <w:rPr>
          <w:b/>
          <w:lang w:val="fr-FR"/>
        </w:rPr>
        <w:t>onformément à son engagement lors de l’</w:t>
      </w:r>
      <w:r w:rsidR="00426C9D">
        <w:rPr>
          <w:b/>
          <w:lang w:val="fr-FR"/>
        </w:rPr>
        <w:t>e</w:t>
      </w:r>
      <w:r w:rsidR="00795ED5">
        <w:rPr>
          <w:b/>
          <w:lang w:val="fr-FR"/>
        </w:rPr>
        <w:t>xamen périodique universel en novembre 2010, l’</w:t>
      </w:r>
      <w:r w:rsidR="006073C6">
        <w:rPr>
          <w:b/>
          <w:lang w:val="fr-FR"/>
        </w:rPr>
        <w:t>État</w:t>
      </w:r>
      <w:r w:rsidR="00795ED5">
        <w:rPr>
          <w:b/>
          <w:lang w:val="fr-FR"/>
        </w:rPr>
        <w:t xml:space="preserve"> partie devrait adopter</w:t>
      </w:r>
      <w:r w:rsidR="0049389E">
        <w:rPr>
          <w:b/>
          <w:lang w:val="fr-FR"/>
        </w:rPr>
        <w:t>, de toute urgence,</w:t>
      </w:r>
      <w:r w:rsidR="00795ED5">
        <w:rPr>
          <w:b/>
          <w:lang w:val="fr-FR"/>
        </w:rPr>
        <w:t xml:space="preserve"> une loi interdisant les </w:t>
      </w:r>
      <w:r w:rsidR="00675E70">
        <w:rPr>
          <w:b/>
          <w:lang w:val="fr-FR"/>
        </w:rPr>
        <w:t>mutilations génitales féminines</w:t>
      </w:r>
      <w:r w:rsidR="0083025D">
        <w:rPr>
          <w:b/>
          <w:lang w:val="fr-FR"/>
        </w:rPr>
        <w:t>.</w:t>
      </w:r>
      <w:r w:rsidR="008F285F">
        <w:rPr>
          <w:b/>
          <w:lang w:val="fr-FR"/>
        </w:rPr>
        <w:t xml:space="preserve"> </w:t>
      </w:r>
      <w:r w:rsidR="001206ED" w:rsidRPr="00144722">
        <w:rPr>
          <w:b/>
          <w:lang w:val="fr-FR"/>
        </w:rPr>
        <w:t>L</w:t>
      </w:r>
      <w:r w:rsidR="001206ED">
        <w:rPr>
          <w:b/>
          <w:lang w:val="fr-FR"/>
        </w:rPr>
        <w:t>’</w:t>
      </w:r>
      <w:r w:rsidR="001206ED" w:rsidRPr="00144722">
        <w:rPr>
          <w:b/>
          <w:lang w:val="fr-FR"/>
        </w:rPr>
        <w:t>État partie devrait</w:t>
      </w:r>
      <w:r w:rsidR="00791548">
        <w:rPr>
          <w:b/>
          <w:lang w:val="fr-FR"/>
        </w:rPr>
        <w:t xml:space="preserve"> également</w:t>
      </w:r>
      <w:r w:rsidR="001206ED" w:rsidRPr="00144722">
        <w:rPr>
          <w:b/>
          <w:lang w:val="fr-FR"/>
        </w:rPr>
        <w:t xml:space="preserve"> </w:t>
      </w:r>
      <w:r w:rsidR="00791548">
        <w:rPr>
          <w:b/>
          <w:lang w:val="fr-FR"/>
        </w:rPr>
        <w:t>faciliter</w:t>
      </w:r>
      <w:r w:rsidR="001206ED">
        <w:rPr>
          <w:b/>
          <w:lang w:val="fr-FR"/>
        </w:rPr>
        <w:t xml:space="preserve"> le dépôt de plaintes par les victimes, en menant des enquêtes</w:t>
      </w:r>
      <w:r w:rsidR="008C0A9F">
        <w:rPr>
          <w:b/>
          <w:lang w:val="fr-FR"/>
        </w:rPr>
        <w:t>,</w:t>
      </w:r>
      <w:r w:rsidR="001206ED">
        <w:rPr>
          <w:b/>
          <w:lang w:val="fr-FR"/>
        </w:rPr>
        <w:t xml:space="preserve"> en poursuivant et punissant les responsables par des sanctions appropriées et en fournissant une réparation adéquate, une indemnisation ou une réhabilitation aux victimes. Il devrait également renforcer l’étendue des campagnes de sensibilisation, en particulier auprès des familles, sur les effets néfastes de cette pratique.</w:t>
      </w:r>
      <w:r w:rsidR="00E45627">
        <w:rPr>
          <w:b/>
          <w:lang w:val="fr-FR"/>
        </w:rPr>
        <w:t xml:space="preserve"> </w:t>
      </w:r>
    </w:p>
    <w:p w:rsidR="00393330" w:rsidRDefault="00771915" w:rsidP="00771915">
      <w:pPr>
        <w:pStyle w:val="H23G"/>
        <w:rPr>
          <w:lang w:val="fr-FR"/>
        </w:rPr>
      </w:pPr>
      <w:r>
        <w:rPr>
          <w:lang w:val="fr-FR"/>
        </w:rPr>
        <w:tab/>
      </w:r>
      <w:r>
        <w:rPr>
          <w:lang w:val="fr-FR"/>
        </w:rPr>
        <w:tab/>
      </w:r>
      <w:r w:rsidR="00393330">
        <w:rPr>
          <w:lang w:val="fr-FR"/>
        </w:rPr>
        <w:t>Châtiments corporels</w:t>
      </w:r>
    </w:p>
    <w:p w:rsidR="00393330" w:rsidRDefault="004A31AD" w:rsidP="008269F2">
      <w:pPr>
        <w:pStyle w:val="SingleTxtG"/>
        <w:rPr>
          <w:lang w:val="fr-FR"/>
        </w:rPr>
      </w:pPr>
      <w:r>
        <w:rPr>
          <w:lang w:val="fr-FR"/>
        </w:rPr>
        <w:t>25</w:t>
      </w:r>
      <w:r w:rsidR="0009656F">
        <w:rPr>
          <w:lang w:val="fr-FR"/>
        </w:rPr>
        <w:t>.</w:t>
      </w:r>
      <w:r w:rsidR="0009656F">
        <w:rPr>
          <w:lang w:val="fr-FR"/>
        </w:rPr>
        <w:tab/>
      </w:r>
      <w:r>
        <w:rPr>
          <w:lang w:val="fr-FR"/>
        </w:rPr>
        <w:t>Nonobstant</w:t>
      </w:r>
      <w:r w:rsidR="0009656F">
        <w:rPr>
          <w:lang w:val="fr-FR"/>
        </w:rPr>
        <w:t xml:space="preserve"> l’adoption de </w:t>
      </w:r>
      <w:r w:rsidR="003C6CD8">
        <w:rPr>
          <w:lang w:val="fr-FR"/>
        </w:rPr>
        <w:t>l</w:t>
      </w:r>
      <w:r w:rsidR="0009656F">
        <w:rPr>
          <w:lang w:val="fr-FR"/>
        </w:rPr>
        <w:t>’</w:t>
      </w:r>
      <w:r w:rsidR="003C6CD8">
        <w:rPr>
          <w:lang w:val="fr-FR"/>
        </w:rPr>
        <w:t>o</w:t>
      </w:r>
      <w:r w:rsidR="0009656F">
        <w:rPr>
          <w:lang w:val="fr-FR"/>
        </w:rPr>
        <w:t>rdonnance n°</w:t>
      </w:r>
      <w:r w:rsidR="00E34F1C">
        <w:rPr>
          <w:lang w:val="fr-FR"/>
        </w:rPr>
        <w:t> </w:t>
      </w:r>
      <w:r w:rsidR="0009656F">
        <w:rPr>
          <w:lang w:val="fr-FR"/>
        </w:rPr>
        <w:t xml:space="preserve">2005-015 du </w:t>
      </w:r>
      <w:r w:rsidR="008269F2">
        <w:rPr>
          <w:lang w:val="fr-FR"/>
        </w:rPr>
        <w:t>5 </w:t>
      </w:r>
      <w:r w:rsidR="0009656F">
        <w:rPr>
          <w:lang w:val="fr-FR"/>
        </w:rPr>
        <w:t xml:space="preserve">décembre 2005 portant protection pénale de l’enfant, </w:t>
      </w:r>
      <w:r w:rsidR="00A41AD1">
        <w:rPr>
          <w:lang w:val="fr-FR"/>
        </w:rPr>
        <w:t xml:space="preserve">qui prévoit des peines d’emprisonnement pour les cas de torture et de barbarie commis contre des enfants, le Comité </w:t>
      </w:r>
      <w:r w:rsidR="00393330">
        <w:rPr>
          <w:lang w:val="fr-FR"/>
        </w:rPr>
        <w:t xml:space="preserve">s’inquiète de ce que les châtiments corporels des enfants </w:t>
      </w:r>
      <w:r w:rsidR="0009656F">
        <w:rPr>
          <w:lang w:val="fr-FR"/>
        </w:rPr>
        <w:t xml:space="preserve">ne </w:t>
      </w:r>
      <w:r w:rsidR="00393330">
        <w:rPr>
          <w:lang w:val="fr-FR"/>
        </w:rPr>
        <w:t xml:space="preserve">sont </w:t>
      </w:r>
      <w:r w:rsidR="008269F2">
        <w:rPr>
          <w:lang w:val="fr-FR"/>
        </w:rPr>
        <w:t xml:space="preserve">pas </w:t>
      </w:r>
      <w:r w:rsidR="00393330">
        <w:rPr>
          <w:lang w:val="fr-FR"/>
        </w:rPr>
        <w:t xml:space="preserve">interdits </w:t>
      </w:r>
      <w:r w:rsidR="00A02625">
        <w:rPr>
          <w:lang w:val="fr-FR"/>
        </w:rPr>
        <w:t xml:space="preserve">par la loi et semblent </w:t>
      </w:r>
      <w:r w:rsidR="008269F2">
        <w:rPr>
          <w:lang w:val="fr-FR"/>
        </w:rPr>
        <w:t xml:space="preserve">même être </w:t>
      </w:r>
      <w:r w:rsidR="00A02625" w:rsidRPr="00A02625">
        <w:t>considéré</w:t>
      </w:r>
      <w:r w:rsidR="00A02625">
        <w:t>s</w:t>
      </w:r>
      <w:r w:rsidR="00A02625" w:rsidRPr="00A02625">
        <w:t xml:space="preserve"> comme une méthode é</w:t>
      </w:r>
      <w:r w:rsidR="00A02625">
        <w:t>ducative convenable et efficace</w:t>
      </w:r>
      <w:r w:rsidR="00A02625">
        <w:rPr>
          <w:rFonts w:ascii="Verdana" w:hAnsi="Verdana"/>
          <w:sz w:val="17"/>
          <w:szCs w:val="17"/>
        </w:rPr>
        <w:t xml:space="preserve"> </w:t>
      </w:r>
      <w:r w:rsidR="00393330">
        <w:rPr>
          <w:lang w:val="fr-FR"/>
        </w:rPr>
        <w:t>(</w:t>
      </w:r>
      <w:r w:rsidR="002A4FA2">
        <w:rPr>
          <w:lang w:val="fr-FR"/>
        </w:rPr>
        <w:t>art. </w:t>
      </w:r>
      <w:r w:rsidR="00393330">
        <w:rPr>
          <w:lang w:val="fr-FR"/>
        </w:rPr>
        <w:t>16).</w:t>
      </w:r>
    </w:p>
    <w:p w:rsidR="00355B9B" w:rsidRDefault="00355B9B" w:rsidP="00B55D89">
      <w:pPr>
        <w:pStyle w:val="SingleTxtG"/>
        <w:rPr>
          <w:lang w:val="fr-FR"/>
        </w:rPr>
      </w:pPr>
      <w:r w:rsidRPr="00E47234">
        <w:rPr>
          <w:b/>
          <w:lang w:val="fr-FR"/>
        </w:rPr>
        <w:t>L’</w:t>
      </w:r>
      <w:r>
        <w:rPr>
          <w:b/>
          <w:lang w:val="fr-FR"/>
        </w:rPr>
        <w:t>É</w:t>
      </w:r>
      <w:r w:rsidRPr="00E47234">
        <w:rPr>
          <w:b/>
          <w:lang w:val="fr-FR"/>
        </w:rPr>
        <w:t>tat partie devrait</w:t>
      </w:r>
      <w:r w:rsidR="00B55D89">
        <w:rPr>
          <w:b/>
          <w:lang w:val="fr-FR"/>
        </w:rPr>
        <w:t>:</w:t>
      </w:r>
    </w:p>
    <w:p w:rsidR="00355B9B" w:rsidRDefault="00355B9B" w:rsidP="008D4563">
      <w:pPr>
        <w:suppressAutoHyphens w:val="0"/>
        <w:autoSpaceDE w:val="0"/>
        <w:autoSpaceDN w:val="0"/>
        <w:adjustRightInd w:val="0"/>
        <w:spacing w:after="120" w:line="240" w:lineRule="auto"/>
        <w:ind w:left="1134" w:right="1134" w:firstLine="567"/>
        <w:jc w:val="both"/>
        <w:rPr>
          <w:lang w:eastAsia="en-GB"/>
        </w:rPr>
      </w:pPr>
      <w:r>
        <w:rPr>
          <w:b/>
          <w:lang w:val="fr-FR"/>
        </w:rPr>
        <w:t>a)</w:t>
      </w:r>
      <w:r>
        <w:rPr>
          <w:b/>
          <w:lang w:val="fr-FR"/>
        </w:rPr>
        <w:tab/>
        <w:t>M</w:t>
      </w:r>
      <w:r w:rsidR="00393330" w:rsidRPr="00E47234">
        <w:rPr>
          <w:b/>
          <w:lang w:val="fr-FR"/>
        </w:rPr>
        <w:t xml:space="preserve">odifier </w:t>
      </w:r>
      <w:r w:rsidR="0040364D">
        <w:rPr>
          <w:b/>
          <w:lang w:val="fr-FR"/>
        </w:rPr>
        <w:t>s</w:t>
      </w:r>
      <w:r w:rsidR="00393330" w:rsidRPr="00E47234">
        <w:rPr>
          <w:b/>
          <w:lang w:val="fr-FR"/>
        </w:rPr>
        <w:t>a législation</w:t>
      </w:r>
      <w:r w:rsidR="0040364D">
        <w:rPr>
          <w:b/>
          <w:lang w:val="fr-FR"/>
        </w:rPr>
        <w:t>,</w:t>
      </w:r>
      <w:r w:rsidR="00393330" w:rsidRPr="00E47234">
        <w:rPr>
          <w:b/>
          <w:lang w:val="fr-FR"/>
        </w:rPr>
        <w:t xml:space="preserve"> et notamment </w:t>
      </w:r>
      <w:r w:rsidR="00A41AD1" w:rsidRPr="00A41AD1">
        <w:rPr>
          <w:b/>
          <w:lang w:val="fr-FR"/>
        </w:rPr>
        <w:t>l’</w:t>
      </w:r>
      <w:r w:rsidR="003C6CD8">
        <w:rPr>
          <w:b/>
          <w:lang w:val="fr-FR"/>
        </w:rPr>
        <w:t>ordonnance</w:t>
      </w:r>
      <w:r w:rsidR="00A41AD1" w:rsidRPr="00A41AD1">
        <w:rPr>
          <w:b/>
          <w:lang w:val="fr-FR"/>
        </w:rPr>
        <w:t xml:space="preserve"> n°</w:t>
      </w:r>
      <w:r w:rsidR="006E32AF">
        <w:rPr>
          <w:b/>
          <w:lang w:val="fr-FR"/>
        </w:rPr>
        <w:t xml:space="preserve"> </w:t>
      </w:r>
      <w:r w:rsidR="00A41AD1" w:rsidRPr="00A41AD1">
        <w:rPr>
          <w:b/>
          <w:lang w:val="fr-FR"/>
        </w:rPr>
        <w:t xml:space="preserve">2005-015 portant protection pénale de l’enfant, </w:t>
      </w:r>
      <w:r w:rsidR="00393330" w:rsidRPr="00A41AD1">
        <w:rPr>
          <w:b/>
          <w:lang w:eastAsia="en-GB"/>
        </w:rPr>
        <w:t>afin</w:t>
      </w:r>
      <w:r w:rsidR="00393330" w:rsidRPr="00E47234">
        <w:rPr>
          <w:b/>
          <w:lang w:eastAsia="en-GB"/>
        </w:rPr>
        <w:t xml:space="preserve"> d</w:t>
      </w:r>
      <w:r w:rsidR="00393330">
        <w:rPr>
          <w:b/>
          <w:lang w:eastAsia="en-GB"/>
        </w:rPr>
        <w:t>’interdire et de</w:t>
      </w:r>
      <w:r w:rsidR="00393330" w:rsidRPr="00E47234">
        <w:rPr>
          <w:b/>
          <w:lang w:eastAsia="en-GB"/>
        </w:rPr>
        <w:t xml:space="preserve"> pénaliser </w:t>
      </w:r>
      <w:r w:rsidR="00A41AD1">
        <w:rPr>
          <w:b/>
          <w:lang w:eastAsia="en-GB"/>
        </w:rPr>
        <w:t xml:space="preserve">explicitement </w:t>
      </w:r>
      <w:r w:rsidR="00393330" w:rsidRPr="00E47234">
        <w:rPr>
          <w:b/>
          <w:lang w:eastAsia="en-GB"/>
        </w:rPr>
        <w:t xml:space="preserve">toute forme de châtiment corporel </w:t>
      </w:r>
      <w:r w:rsidR="00393330">
        <w:rPr>
          <w:b/>
          <w:lang w:eastAsia="en-GB"/>
        </w:rPr>
        <w:t xml:space="preserve">des enfants </w:t>
      </w:r>
      <w:r w:rsidR="00393330" w:rsidRPr="00E47234">
        <w:rPr>
          <w:b/>
          <w:lang w:eastAsia="en-GB"/>
        </w:rPr>
        <w:t>dans tous les milieux et contextes,</w:t>
      </w:r>
      <w:r>
        <w:rPr>
          <w:b/>
          <w:lang w:eastAsia="en-GB"/>
        </w:rPr>
        <w:t xml:space="preserve"> y compris la famille,</w:t>
      </w:r>
      <w:r w:rsidR="00393330" w:rsidRPr="00E47234">
        <w:rPr>
          <w:b/>
          <w:lang w:eastAsia="en-GB"/>
        </w:rPr>
        <w:t xml:space="preserve"> </w:t>
      </w:r>
      <w:r w:rsidR="0040364D">
        <w:rPr>
          <w:b/>
          <w:lang w:eastAsia="en-GB"/>
        </w:rPr>
        <w:t xml:space="preserve">et consacrer </w:t>
      </w:r>
      <w:r w:rsidR="0040364D" w:rsidRPr="0040364D">
        <w:rPr>
          <w:b/>
          <w:bCs/>
          <w:lang w:eastAsia="en-GB"/>
        </w:rPr>
        <w:t>le principe d’une éducation sans violence, conformément au paragraphe 2 de l’article 28 de la Convention relative aux droits de l’enfant</w:t>
      </w:r>
      <w:r w:rsidR="006073C6">
        <w:rPr>
          <w:b/>
          <w:bCs/>
          <w:lang w:eastAsia="en-GB"/>
        </w:rPr>
        <w:t>;</w:t>
      </w:r>
    </w:p>
    <w:p w:rsidR="00393330" w:rsidRPr="00355B9B" w:rsidRDefault="00355B9B" w:rsidP="008D4563">
      <w:pPr>
        <w:suppressAutoHyphens w:val="0"/>
        <w:autoSpaceDE w:val="0"/>
        <w:autoSpaceDN w:val="0"/>
        <w:adjustRightInd w:val="0"/>
        <w:spacing w:after="120" w:line="240" w:lineRule="auto"/>
        <w:ind w:left="1134" w:right="1134" w:firstLine="567"/>
        <w:jc w:val="both"/>
        <w:rPr>
          <w:b/>
          <w:lang w:eastAsia="en-GB"/>
        </w:rPr>
      </w:pPr>
      <w:r>
        <w:rPr>
          <w:b/>
          <w:lang w:eastAsia="en-GB"/>
        </w:rPr>
        <w:t>b)</w:t>
      </w:r>
      <w:r>
        <w:rPr>
          <w:b/>
          <w:lang w:eastAsia="en-GB"/>
        </w:rPr>
        <w:tab/>
      </w:r>
      <w:r w:rsidR="00744DD9">
        <w:rPr>
          <w:b/>
          <w:lang w:eastAsia="en-GB"/>
        </w:rPr>
        <w:t>Conduire d</w:t>
      </w:r>
      <w:r w:rsidRPr="00355B9B">
        <w:rPr>
          <w:b/>
          <w:lang w:eastAsia="en-GB"/>
        </w:rPr>
        <w:t>es programmes d’éducation, de sensibilisation et de mobilisation du grand public, associant les enfants, les familles, le</w:t>
      </w:r>
      <w:r w:rsidRPr="00744DD9">
        <w:rPr>
          <w:b/>
          <w:lang w:eastAsia="en-GB"/>
        </w:rPr>
        <w:t>s</w:t>
      </w:r>
      <w:r>
        <w:rPr>
          <w:b/>
          <w:lang w:eastAsia="en-GB"/>
        </w:rPr>
        <w:t xml:space="preserve"> </w:t>
      </w:r>
      <w:r w:rsidRPr="00355B9B">
        <w:rPr>
          <w:b/>
          <w:lang w:eastAsia="en-GB"/>
        </w:rPr>
        <w:t>communautés et les responsables religieux</w:t>
      </w:r>
      <w:r w:rsidR="008D4563">
        <w:rPr>
          <w:b/>
          <w:lang w:eastAsia="en-GB"/>
        </w:rPr>
        <w:t>,</w:t>
      </w:r>
      <w:r w:rsidRPr="00355B9B">
        <w:rPr>
          <w:b/>
          <w:lang w:eastAsia="en-GB"/>
        </w:rPr>
        <w:t xml:space="preserve"> et portant sur les effets néfastes des châtiments corporels, tant sur le plan physique que </w:t>
      </w:r>
      <w:r w:rsidR="00AD6B8A">
        <w:rPr>
          <w:b/>
          <w:lang w:eastAsia="en-GB"/>
        </w:rPr>
        <w:t xml:space="preserve">sur le plan </w:t>
      </w:r>
      <w:r w:rsidRPr="00355B9B">
        <w:rPr>
          <w:b/>
          <w:lang w:eastAsia="en-GB"/>
        </w:rPr>
        <w:t>psychologique</w:t>
      </w:r>
      <w:r w:rsidR="00DB217E">
        <w:rPr>
          <w:b/>
          <w:lang w:eastAsia="en-GB"/>
        </w:rPr>
        <w:t>.</w:t>
      </w:r>
    </w:p>
    <w:p w:rsidR="00071DB5" w:rsidRPr="00FC76A9" w:rsidRDefault="00771915" w:rsidP="00771915">
      <w:pPr>
        <w:pStyle w:val="H23G"/>
        <w:rPr>
          <w:lang w:val="fr-FR"/>
        </w:rPr>
      </w:pPr>
      <w:r>
        <w:rPr>
          <w:lang w:val="fr-FR"/>
        </w:rPr>
        <w:tab/>
      </w:r>
      <w:r>
        <w:rPr>
          <w:lang w:val="fr-FR"/>
        </w:rPr>
        <w:tab/>
      </w:r>
      <w:r w:rsidR="00071DB5">
        <w:rPr>
          <w:lang w:val="fr-FR"/>
        </w:rPr>
        <w:t>Collecte</w:t>
      </w:r>
      <w:r w:rsidR="00071DB5" w:rsidRPr="00FC76A9">
        <w:rPr>
          <w:lang w:val="fr-FR"/>
        </w:rPr>
        <w:t xml:space="preserve"> de données statistiques</w:t>
      </w:r>
    </w:p>
    <w:p w:rsidR="00071DB5" w:rsidRPr="006E32AF" w:rsidRDefault="00791548" w:rsidP="00255F33">
      <w:pPr>
        <w:pStyle w:val="SingleTxtG"/>
        <w:rPr>
          <w:lang w:val="fr-FR"/>
        </w:rPr>
      </w:pPr>
      <w:r>
        <w:rPr>
          <w:lang w:val="fr-FR"/>
        </w:rPr>
        <w:t>2</w:t>
      </w:r>
      <w:r w:rsidR="004A31AD">
        <w:rPr>
          <w:lang w:val="fr-FR"/>
        </w:rPr>
        <w:t>6</w:t>
      </w:r>
      <w:r w:rsidR="00071DB5">
        <w:rPr>
          <w:lang w:val="fr-FR"/>
        </w:rPr>
        <w:t>.</w:t>
      </w:r>
      <w:r w:rsidR="00071DB5">
        <w:rPr>
          <w:lang w:val="fr-FR"/>
        </w:rPr>
        <w:tab/>
        <w:t xml:space="preserve">Le Comité regrette l’absence de données complètes et </w:t>
      </w:r>
      <w:r w:rsidR="00531D6E">
        <w:rPr>
          <w:lang w:val="fr-FR"/>
        </w:rPr>
        <w:t>désagrégées en terme</w:t>
      </w:r>
      <w:r w:rsidR="00B57650">
        <w:rPr>
          <w:lang w:val="fr-FR"/>
        </w:rPr>
        <w:t>s</w:t>
      </w:r>
      <w:r w:rsidR="00531D6E">
        <w:rPr>
          <w:lang w:val="fr-FR"/>
        </w:rPr>
        <w:t xml:space="preserve"> de</w:t>
      </w:r>
      <w:r w:rsidR="00E45627">
        <w:rPr>
          <w:lang w:val="fr-FR"/>
        </w:rPr>
        <w:t xml:space="preserve"> </w:t>
      </w:r>
      <w:r w:rsidR="00071DB5">
        <w:rPr>
          <w:lang w:val="fr-FR"/>
        </w:rPr>
        <w:t>plaintes, enquêtes, poursuites et condamnations relatives à des actes de torture et des mauvais traitements imputés à des agents des service de sécurité, y compris</w:t>
      </w:r>
      <w:r w:rsidR="00255F33">
        <w:rPr>
          <w:lang w:val="fr-FR"/>
        </w:rPr>
        <w:t xml:space="preserve"> à d</w:t>
      </w:r>
      <w:r w:rsidR="00071DB5">
        <w:rPr>
          <w:lang w:val="fr-FR"/>
        </w:rPr>
        <w:t xml:space="preserve">es gendarmes, </w:t>
      </w:r>
      <w:r w:rsidR="00255F33">
        <w:rPr>
          <w:lang w:val="fr-FR"/>
        </w:rPr>
        <w:t xml:space="preserve">des </w:t>
      </w:r>
      <w:r w:rsidR="00071DB5">
        <w:rPr>
          <w:lang w:val="fr-FR"/>
        </w:rPr>
        <w:t>policiers</w:t>
      </w:r>
      <w:r w:rsidR="00E45627">
        <w:rPr>
          <w:lang w:val="fr-FR"/>
        </w:rPr>
        <w:t xml:space="preserve"> </w:t>
      </w:r>
      <w:r w:rsidR="00071DB5">
        <w:rPr>
          <w:lang w:val="fr-FR"/>
        </w:rPr>
        <w:t xml:space="preserve">et </w:t>
      </w:r>
      <w:r w:rsidR="00255F33">
        <w:rPr>
          <w:lang w:val="fr-FR"/>
        </w:rPr>
        <w:t xml:space="preserve">à des </w:t>
      </w:r>
      <w:r>
        <w:rPr>
          <w:lang w:val="fr-FR"/>
        </w:rPr>
        <w:t>membres de</w:t>
      </w:r>
      <w:r w:rsidR="00071DB5">
        <w:rPr>
          <w:lang w:val="fr-FR"/>
        </w:rPr>
        <w:t xml:space="preserve"> l’administration pénitentiaire.</w:t>
      </w:r>
      <w:r w:rsidR="00E45627">
        <w:rPr>
          <w:lang w:val="fr-FR"/>
        </w:rPr>
        <w:t xml:space="preserve"> </w:t>
      </w:r>
      <w:r w:rsidR="00071DB5">
        <w:rPr>
          <w:lang w:val="fr-FR"/>
        </w:rPr>
        <w:t>Des données statistiques manquent aussi à propos de la traite des personnes,</w:t>
      </w:r>
      <w:r w:rsidR="00E45627">
        <w:rPr>
          <w:lang w:val="fr-FR"/>
        </w:rPr>
        <w:t xml:space="preserve"> </w:t>
      </w:r>
      <w:r w:rsidR="00071DB5">
        <w:rPr>
          <w:lang w:val="fr-FR"/>
        </w:rPr>
        <w:t>la violence à l’égard des femmes, notamment la violence familiale et les mutilations génitales féminines (</w:t>
      </w:r>
      <w:r w:rsidR="002A4FA2">
        <w:t>art. </w:t>
      </w:r>
      <w:r w:rsidR="00071DB5" w:rsidRPr="006E32AF">
        <w:rPr>
          <w:lang w:val="fr-FR"/>
        </w:rPr>
        <w:t>2, 11, 12, 13, 14 et 16).</w:t>
      </w:r>
    </w:p>
    <w:p w:rsidR="00071DB5" w:rsidRDefault="00071DB5" w:rsidP="00751A1B">
      <w:pPr>
        <w:pStyle w:val="SingleTxtG"/>
        <w:rPr>
          <w:b/>
          <w:lang w:val="fr-FR"/>
        </w:rPr>
      </w:pPr>
      <w:r>
        <w:rPr>
          <w:b/>
          <w:lang w:val="fr-FR"/>
        </w:rPr>
        <w:t xml:space="preserve">L’État partie devrait </w:t>
      </w:r>
      <w:r w:rsidR="00FF41F5">
        <w:rPr>
          <w:b/>
          <w:lang w:val="fr-FR"/>
        </w:rPr>
        <w:t xml:space="preserve">établir un organisme indépendant habilité à </w:t>
      </w:r>
      <w:r w:rsidR="002A6B32">
        <w:rPr>
          <w:b/>
          <w:lang w:val="fr-FR"/>
        </w:rPr>
        <w:t xml:space="preserve">générer et traiter </w:t>
      </w:r>
      <w:r w:rsidR="00531D6E">
        <w:rPr>
          <w:b/>
          <w:lang w:val="fr-FR"/>
        </w:rPr>
        <w:t>des données statistiques, désagrégé</w:t>
      </w:r>
      <w:r>
        <w:rPr>
          <w:b/>
          <w:lang w:val="fr-FR"/>
        </w:rPr>
        <w:t xml:space="preserve">es par âge et sexe de la victime, utiles pour surveiller l’application de la Convention au niveau national, </w:t>
      </w:r>
      <w:r w:rsidR="00531D6E">
        <w:rPr>
          <w:b/>
          <w:lang w:val="fr-FR"/>
        </w:rPr>
        <w:t>surtout</w:t>
      </w:r>
      <w:r>
        <w:rPr>
          <w:b/>
          <w:lang w:val="fr-FR"/>
        </w:rPr>
        <w:t xml:space="preserve"> des données sur les plaintes, les enquêtes, les poursuites et les condamnations relatives à des actes de torture et des mauvais traitements imputés à des agents </w:t>
      </w:r>
      <w:r w:rsidRPr="00CB4D5F">
        <w:rPr>
          <w:b/>
          <w:lang w:val="fr-FR"/>
        </w:rPr>
        <w:t>des service de sécurité</w:t>
      </w:r>
      <w:r>
        <w:rPr>
          <w:b/>
          <w:lang w:val="fr-FR"/>
        </w:rPr>
        <w:t xml:space="preserve">, y compris </w:t>
      </w:r>
      <w:r w:rsidR="00791548">
        <w:rPr>
          <w:b/>
          <w:lang w:val="fr-FR"/>
        </w:rPr>
        <w:t xml:space="preserve">à </w:t>
      </w:r>
      <w:r>
        <w:rPr>
          <w:b/>
          <w:lang w:val="fr-FR"/>
        </w:rPr>
        <w:t xml:space="preserve">des gendarmes, </w:t>
      </w:r>
      <w:r w:rsidR="00791548">
        <w:rPr>
          <w:b/>
          <w:lang w:val="fr-FR"/>
        </w:rPr>
        <w:t xml:space="preserve">des </w:t>
      </w:r>
      <w:r>
        <w:rPr>
          <w:b/>
          <w:lang w:val="fr-FR"/>
        </w:rPr>
        <w:t xml:space="preserve">policiers et </w:t>
      </w:r>
      <w:r w:rsidR="00751A1B">
        <w:rPr>
          <w:b/>
          <w:lang w:val="fr-FR"/>
        </w:rPr>
        <w:t>à des</w:t>
      </w:r>
      <w:r w:rsidR="00791548">
        <w:rPr>
          <w:b/>
          <w:lang w:val="fr-FR"/>
        </w:rPr>
        <w:t xml:space="preserve"> membres de</w:t>
      </w:r>
      <w:r w:rsidRPr="00CB4D5F">
        <w:rPr>
          <w:b/>
          <w:lang w:val="fr-FR"/>
        </w:rPr>
        <w:t xml:space="preserve"> l’administration pénitentiaire</w:t>
      </w:r>
      <w:r>
        <w:rPr>
          <w:b/>
          <w:lang w:val="fr-FR"/>
        </w:rPr>
        <w:t xml:space="preserve"> </w:t>
      </w:r>
      <w:r w:rsidR="00B57650">
        <w:rPr>
          <w:b/>
          <w:lang w:val="fr-FR"/>
        </w:rPr>
        <w:t xml:space="preserve">ainsi que </w:t>
      </w:r>
      <w:r w:rsidR="00751A1B">
        <w:rPr>
          <w:b/>
          <w:lang w:val="fr-FR"/>
        </w:rPr>
        <w:t xml:space="preserve">des données </w:t>
      </w:r>
      <w:r>
        <w:rPr>
          <w:b/>
          <w:lang w:val="fr-FR"/>
        </w:rPr>
        <w:t>sur les décès en détention. Des données statistiques devraient</w:t>
      </w:r>
      <w:r w:rsidR="00531D6E">
        <w:rPr>
          <w:b/>
          <w:lang w:val="fr-FR"/>
        </w:rPr>
        <w:t xml:space="preserve"> également</w:t>
      </w:r>
      <w:r>
        <w:rPr>
          <w:b/>
          <w:lang w:val="fr-FR"/>
        </w:rPr>
        <w:t xml:space="preserve"> être</w:t>
      </w:r>
      <w:r w:rsidR="00531D6E">
        <w:rPr>
          <w:b/>
          <w:lang w:val="fr-FR"/>
        </w:rPr>
        <w:t xml:space="preserve"> compilées et</w:t>
      </w:r>
      <w:r>
        <w:rPr>
          <w:b/>
          <w:lang w:val="fr-FR"/>
        </w:rPr>
        <w:t xml:space="preserve"> fournies sur la traite des personnes, sur la</w:t>
      </w:r>
      <w:r>
        <w:rPr>
          <w:lang w:val="fr-FR"/>
        </w:rPr>
        <w:t xml:space="preserve"> </w:t>
      </w:r>
      <w:r>
        <w:rPr>
          <w:b/>
          <w:lang w:val="fr-FR"/>
        </w:rPr>
        <w:t>violence à l’égard des femmes et sur les mutilations génitales féminines, ainsi que sur les mesures de réparation, notamment l’indemnisation et la réadaptation dont ont bénéficié les victimes.</w:t>
      </w:r>
    </w:p>
    <w:p w:rsidR="0083025D" w:rsidRPr="0083025D" w:rsidRDefault="00771915" w:rsidP="00771915">
      <w:pPr>
        <w:pStyle w:val="H23G"/>
        <w:rPr>
          <w:lang w:val="fr-FR"/>
        </w:rPr>
      </w:pPr>
      <w:r>
        <w:rPr>
          <w:lang w:val="fr-FR"/>
        </w:rPr>
        <w:tab/>
      </w:r>
      <w:r>
        <w:rPr>
          <w:lang w:val="fr-FR"/>
        </w:rPr>
        <w:tab/>
      </w:r>
      <w:r w:rsidR="0083025D" w:rsidRPr="0083025D">
        <w:rPr>
          <w:lang w:val="fr-FR"/>
        </w:rPr>
        <w:t>Autres questions</w:t>
      </w:r>
    </w:p>
    <w:p w:rsidR="00071DB5" w:rsidRDefault="00F80728" w:rsidP="00071DB5">
      <w:pPr>
        <w:pStyle w:val="SingleTxtG"/>
        <w:rPr>
          <w:lang w:val="fr-FR"/>
        </w:rPr>
      </w:pPr>
      <w:r>
        <w:rPr>
          <w:lang w:val="fr-FR"/>
        </w:rPr>
        <w:t>2</w:t>
      </w:r>
      <w:r w:rsidR="004A31AD">
        <w:rPr>
          <w:lang w:val="fr-FR"/>
        </w:rPr>
        <w:t>7</w:t>
      </w:r>
      <w:r w:rsidR="00071DB5">
        <w:rPr>
          <w:lang w:val="fr-FR"/>
        </w:rPr>
        <w:t>.</w:t>
      </w:r>
      <w:r w:rsidR="00071DB5">
        <w:rPr>
          <w:lang w:val="fr-FR"/>
        </w:rPr>
        <w:tab/>
        <w:t xml:space="preserve">Le Comité encourage l’État partie à envisager de faire la déclaration prévue à l’article 22 de la Convention, par laquelle il reconnaîtrait la compétence du Comité pour recevoir et examiner des communications émanant de </w:t>
      </w:r>
      <w:r w:rsidR="00531D6E">
        <w:rPr>
          <w:lang w:val="fr-FR"/>
        </w:rPr>
        <w:t xml:space="preserve">la part de </w:t>
      </w:r>
      <w:r w:rsidR="00071DB5">
        <w:rPr>
          <w:lang w:val="fr-FR"/>
        </w:rPr>
        <w:t>particuliers</w:t>
      </w:r>
      <w:r w:rsidR="00F71BF2">
        <w:rPr>
          <w:lang w:val="fr-FR"/>
        </w:rPr>
        <w:t>. Il invite également l’</w:t>
      </w:r>
      <w:r w:rsidR="006073C6">
        <w:rPr>
          <w:lang w:val="fr-FR"/>
        </w:rPr>
        <w:t>État</w:t>
      </w:r>
      <w:r w:rsidR="00F71BF2">
        <w:rPr>
          <w:lang w:val="fr-FR"/>
        </w:rPr>
        <w:t xml:space="preserve"> partie</w:t>
      </w:r>
      <w:r w:rsidR="00791548">
        <w:rPr>
          <w:lang w:val="fr-FR"/>
        </w:rPr>
        <w:t xml:space="preserve"> à retirer ses réserves</w:t>
      </w:r>
      <w:r w:rsidR="005D5C47">
        <w:rPr>
          <w:lang w:val="fr-FR"/>
        </w:rPr>
        <w:t xml:space="preserve"> aux articles 20</w:t>
      </w:r>
      <w:r w:rsidR="006E32AF">
        <w:rPr>
          <w:lang w:val="fr-FR"/>
        </w:rPr>
        <w:t xml:space="preserve"> (enquêtes confidentielles)</w:t>
      </w:r>
      <w:r w:rsidR="005D5C47">
        <w:rPr>
          <w:lang w:val="fr-FR"/>
        </w:rPr>
        <w:t xml:space="preserve"> et 30 </w:t>
      </w:r>
      <w:r w:rsidR="006E32AF">
        <w:rPr>
          <w:lang w:val="fr-FR"/>
        </w:rPr>
        <w:t xml:space="preserve">(règlement des différends) </w:t>
      </w:r>
      <w:r w:rsidR="005D5C47">
        <w:rPr>
          <w:lang w:val="fr-FR"/>
        </w:rPr>
        <w:t>de la Convention</w:t>
      </w:r>
      <w:r w:rsidR="00071DB5">
        <w:rPr>
          <w:lang w:val="fr-FR"/>
        </w:rPr>
        <w:t>.</w:t>
      </w:r>
    </w:p>
    <w:p w:rsidR="006E32AF" w:rsidRDefault="004A31AD" w:rsidP="00F42E1F">
      <w:pPr>
        <w:suppressAutoHyphens w:val="0"/>
        <w:spacing w:after="120" w:line="240" w:lineRule="auto"/>
        <w:ind w:left="1134" w:right="1134"/>
        <w:jc w:val="both"/>
        <w:outlineLvl w:val="4"/>
        <w:rPr>
          <w:lang w:val="fr-FR"/>
        </w:rPr>
      </w:pPr>
      <w:r>
        <w:t>28</w:t>
      </w:r>
      <w:r w:rsidR="00071DB5">
        <w:t>.</w:t>
      </w:r>
      <w:r w:rsidR="00071DB5">
        <w:tab/>
      </w:r>
      <w:r w:rsidR="00071DB5" w:rsidRPr="00A73E56">
        <w:rPr>
          <w:lang w:val="fr-FR"/>
        </w:rPr>
        <w:t xml:space="preserve">Le Comité invite l’État partie à </w:t>
      </w:r>
      <w:r w:rsidR="00071DB5" w:rsidRPr="00FC7618">
        <w:rPr>
          <w:lang w:val="fr-FR"/>
        </w:rPr>
        <w:t>envisager d</w:t>
      </w:r>
      <w:r w:rsidR="00071DB5" w:rsidRPr="005D5708">
        <w:rPr>
          <w:lang w:val="fr-FR"/>
        </w:rPr>
        <w:t>e ratifier les principaux instruments des Nations Unies relatifs aux droits de l’homme auxquels il n’est pas encore partie</w:t>
      </w:r>
      <w:r w:rsidR="006E32AF" w:rsidRPr="005D5708">
        <w:rPr>
          <w:lang w:val="fr-FR"/>
        </w:rPr>
        <w:t>,</w:t>
      </w:r>
      <w:r w:rsidR="006E32AF">
        <w:rPr>
          <w:lang w:val="fr-FR"/>
        </w:rPr>
        <w:t xml:space="preserve"> à savoir</w:t>
      </w:r>
      <w:r w:rsidR="006073C6">
        <w:rPr>
          <w:lang w:val="fr-FR"/>
        </w:rPr>
        <w:t>:</w:t>
      </w:r>
      <w:r w:rsidR="00CB59EB" w:rsidRPr="00A73E56">
        <w:rPr>
          <w:lang w:val="fr-FR"/>
        </w:rPr>
        <w:t xml:space="preserve"> </w:t>
      </w:r>
    </w:p>
    <w:p w:rsidR="006E32AF" w:rsidRPr="006E32AF" w:rsidRDefault="00AF3E6F" w:rsidP="00F42E1F">
      <w:pPr>
        <w:pStyle w:val="SingleTxtG"/>
      </w:pPr>
      <w:r>
        <w:tab/>
      </w:r>
      <w:r w:rsidR="00F80812">
        <w:t>a)</w:t>
      </w:r>
      <w:r w:rsidR="00F80812">
        <w:tab/>
      </w:r>
      <w:r w:rsidR="006E32AF">
        <w:t>L</w:t>
      </w:r>
      <w:r w:rsidR="00CB59EB" w:rsidRPr="006E32AF">
        <w:t>e Protocole facultatif se rapportant au Pacte international relatif aux droits civils et politiques</w:t>
      </w:r>
      <w:r w:rsidR="006073C6">
        <w:t>;</w:t>
      </w:r>
    </w:p>
    <w:p w:rsidR="006E32AF" w:rsidRPr="006E32AF" w:rsidRDefault="00AF3E6F" w:rsidP="00F42E1F">
      <w:pPr>
        <w:pStyle w:val="SingleTxtG"/>
      </w:pPr>
      <w:r>
        <w:tab/>
      </w:r>
      <w:r w:rsidR="00F80812">
        <w:t>b)</w:t>
      </w:r>
      <w:r w:rsidR="00F80812">
        <w:tab/>
      </w:r>
      <w:r w:rsidR="006E32AF">
        <w:t>L</w:t>
      </w:r>
      <w:r w:rsidR="00071DB5" w:rsidRPr="006E32AF">
        <w:t>e deuxième Protocole facultatif se rapportant au Pacte international relatif aux droits civils et politiques, vi</w:t>
      </w:r>
      <w:r w:rsidR="00CB59EB" w:rsidRPr="006E32AF">
        <w:t>sant à abolir la peine de mort</w:t>
      </w:r>
      <w:r w:rsidR="006073C6">
        <w:t>;</w:t>
      </w:r>
      <w:r w:rsidR="00CB59EB" w:rsidRPr="006E32AF">
        <w:t xml:space="preserve"> </w:t>
      </w:r>
    </w:p>
    <w:p w:rsidR="006E32AF" w:rsidRPr="006E32AF" w:rsidRDefault="00F80812" w:rsidP="00F42E1F">
      <w:pPr>
        <w:pStyle w:val="SingleTxtG"/>
        <w:ind w:firstLine="567"/>
      </w:pPr>
      <w:r>
        <w:t>c)</w:t>
      </w:r>
      <w:r w:rsidR="00AF3E6F">
        <w:tab/>
      </w:r>
      <w:r w:rsidR="006E32AF">
        <w:t>L</w:t>
      </w:r>
      <w:r w:rsidR="00071DB5" w:rsidRPr="006E32AF">
        <w:t>e Protocole facultatif se rapportant au Pacte international relatif aux droits éc</w:t>
      </w:r>
      <w:r w:rsidR="00CB59EB" w:rsidRPr="006E32AF">
        <w:t>onomiques, sociaux et culturels</w:t>
      </w:r>
      <w:r w:rsidR="006073C6">
        <w:t>;</w:t>
      </w:r>
      <w:r w:rsidR="00791548" w:rsidRPr="006E32AF">
        <w:t xml:space="preserve"> </w:t>
      </w:r>
    </w:p>
    <w:p w:rsidR="006E32AF" w:rsidRPr="006E32AF" w:rsidRDefault="00AF3E6F" w:rsidP="00F42E1F">
      <w:pPr>
        <w:pStyle w:val="SingleTxtG"/>
      </w:pPr>
      <w:r>
        <w:tab/>
      </w:r>
      <w:r w:rsidR="00F80812">
        <w:t>d)</w:t>
      </w:r>
      <w:r w:rsidR="00F80812">
        <w:tab/>
      </w:r>
      <w:r w:rsidR="006E32AF">
        <w:t>L</w:t>
      </w:r>
      <w:r w:rsidR="00071DB5" w:rsidRPr="006E32AF">
        <w:t>e Protocole facultatif à la Convention sur l</w:t>
      </w:r>
      <w:r w:rsidR="00E45627">
        <w:t>’</w:t>
      </w:r>
      <w:r w:rsidR="00071DB5" w:rsidRPr="006E32AF">
        <w:t>élimination de toutes les formes de discrimination à l</w:t>
      </w:r>
      <w:r w:rsidR="00E45627">
        <w:t>’</w:t>
      </w:r>
      <w:r w:rsidR="00071DB5" w:rsidRPr="006E32AF">
        <w:t>égard des femm</w:t>
      </w:r>
      <w:r w:rsidR="00791548" w:rsidRPr="006E32AF">
        <w:t>es</w:t>
      </w:r>
      <w:r w:rsidR="006073C6">
        <w:t>;</w:t>
      </w:r>
      <w:r w:rsidR="00CB59EB" w:rsidRPr="006E32AF">
        <w:t xml:space="preserve"> et</w:t>
      </w:r>
    </w:p>
    <w:p w:rsidR="00071DB5" w:rsidRPr="006E32AF" w:rsidRDefault="00F80812" w:rsidP="00F42E1F">
      <w:pPr>
        <w:pStyle w:val="SingleTxtG"/>
        <w:ind w:firstLine="567"/>
      </w:pPr>
      <w:r>
        <w:t xml:space="preserve">e) </w:t>
      </w:r>
      <w:r w:rsidR="00AF3E6F">
        <w:tab/>
      </w:r>
      <w:r w:rsidR="006E32AF">
        <w:t>L</w:t>
      </w:r>
      <w:r w:rsidR="00CB59EB" w:rsidRPr="006E32AF">
        <w:t xml:space="preserve">e </w:t>
      </w:r>
      <w:r w:rsidR="00A73E56" w:rsidRPr="006E32AF">
        <w:t>Protocole facultatif à la Convention relative aux droits de l</w:t>
      </w:r>
      <w:r w:rsidR="00E45627">
        <w:t>’</w:t>
      </w:r>
      <w:r w:rsidR="00A73E56" w:rsidRPr="006E32AF">
        <w:t>enfant, concernant l</w:t>
      </w:r>
      <w:r w:rsidR="00E45627">
        <w:t>’</w:t>
      </w:r>
      <w:r w:rsidR="00A73E56" w:rsidRPr="006E32AF">
        <w:t>implication d</w:t>
      </w:r>
      <w:r w:rsidR="00E45627">
        <w:t>’</w:t>
      </w:r>
      <w:r w:rsidR="00A73E56" w:rsidRPr="006E32AF">
        <w:t>enfants dans les conflits armés.</w:t>
      </w:r>
    </w:p>
    <w:p w:rsidR="00071DB5" w:rsidRDefault="004A31AD" w:rsidP="00071DB5">
      <w:pPr>
        <w:pStyle w:val="SingleTxtG"/>
      </w:pPr>
      <w:r>
        <w:t>29</w:t>
      </w:r>
      <w:r w:rsidR="00071DB5">
        <w:t>.</w:t>
      </w:r>
      <w:r w:rsidR="00071DB5">
        <w:tab/>
      </w:r>
      <w:r w:rsidR="00071DB5" w:rsidRPr="005D5708">
        <w:t>L’État partie est invité à diffuser largement le rapport soumis au Comité ainsi que les présentes observations finales, dans les langues voulues, par le biais des sites web officiels, des médias et des organisations non gouvernementales.</w:t>
      </w:r>
    </w:p>
    <w:p w:rsidR="00B03B19" w:rsidRDefault="004A31AD" w:rsidP="00173482">
      <w:pPr>
        <w:pStyle w:val="SingleTxtG"/>
        <w:rPr>
          <w:lang w:val="fr-FR"/>
        </w:rPr>
      </w:pPr>
      <w:r>
        <w:t>30</w:t>
      </w:r>
      <w:r w:rsidR="00071DB5">
        <w:t>.</w:t>
      </w:r>
      <w:r w:rsidR="00071DB5">
        <w:tab/>
      </w:r>
      <w:r w:rsidR="00071DB5" w:rsidRPr="005D5708">
        <w:t>Le Comité demande à l’État partie de lui f</w:t>
      </w:r>
      <w:r w:rsidR="004E06AE" w:rsidRPr="005D5708">
        <w:t xml:space="preserve">aire parvenir, au plus tard le </w:t>
      </w:r>
      <w:r w:rsidR="000B2555" w:rsidRPr="005D5708">
        <w:t>31 mai</w:t>
      </w:r>
      <w:r w:rsidR="004E06AE" w:rsidRPr="005D5708">
        <w:t xml:space="preserve"> 2014</w:t>
      </w:r>
      <w:r w:rsidR="00071DB5" w:rsidRPr="005D5708">
        <w:t xml:space="preserve">, des renseignements sur la suite donnée </w:t>
      </w:r>
      <w:r w:rsidR="00071DB5" w:rsidRPr="005D5708">
        <w:rPr>
          <w:lang w:val="fr-FR"/>
        </w:rPr>
        <w:t>aux recommandations suivantes</w:t>
      </w:r>
      <w:r w:rsidR="00091EB2" w:rsidRPr="005D5708">
        <w:rPr>
          <w:lang w:val="fr-FR"/>
        </w:rPr>
        <w:t xml:space="preserve">, </w:t>
      </w:r>
      <w:r w:rsidR="000E1DB7" w:rsidRPr="005D5708">
        <w:rPr>
          <w:lang w:val="fr-FR"/>
        </w:rPr>
        <w:t xml:space="preserve">figurant </w:t>
      </w:r>
      <w:r w:rsidR="00091EB2" w:rsidRPr="005D5708">
        <w:rPr>
          <w:lang w:val="fr-FR"/>
        </w:rPr>
        <w:t>aux paragraphes 1</w:t>
      </w:r>
      <w:r w:rsidR="002400E8" w:rsidRPr="005D5708">
        <w:rPr>
          <w:lang w:val="fr-FR"/>
        </w:rPr>
        <w:t>0</w:t>
      </w:r>
      <w:r w:rsidR="00946F7D" w:rsidRPr="005D5708">
        <w:rPr>
          <w:lang w:val="fr-FR"/>
        </w:rPr>
        <w:t xml:space="preserve"> </w:t>
      </w:r>
      <w:r w:rsidR="008E3880" w:rsidRPr="005D5708">
        <w:rPr>
          <w:lang w:val="fr-FR"/>
        </w:rPr>
        <w:t>c</w:t>
      </w:r>
      <w:r w:rsidR="00AB34BD" w:rsidRPr="005D5708">
        <w:rPr>
          <w:lang w:val="fr-FR"/>
        </w:rPr>
        <w:t>)</w:t>
      </w:r>
      <w:r w:rsidR="006073C6" w:rsidRPr="005D5708">
        <w:rPr>
          <w:lang w:val="fr-FR"/>
        </w:rPr>
        <w:t>;</w:t>
      </w:r>
      <w:r w:rsidR="00946F7D" w:rsidRPr="005D5708">
        <w:rPr>
          <w:lang w:val="fr-FR"/>
        </w:rPr>
        <w:t xml:space="preserve"> </w:t>
      </w:r>
      <w:r w:rsidR="00101AAF" w:rsidRPr="005D5708">
        <w:rPr>
          <w:lang w:val="fr-FR"/>
        </w:rPr>
        <w:t>22</w:t>
      </w:r>
      <w:r w:rsidR="00946F7D" w:rsidRPr="005D5708">
        <w:rPr>
          <w:lang w:val="fr-FR"/>
        </w:rPr>
        <w:t xml:space="preserve"> a</w:t>
      </w:r>
      <w:r w:rsidR="00AB34BD" w:rsidRPr="005D5708">
        <w:rPr>
          <w:lang w:val="fr-FR"/>
        </w:rPr>
        <w:t>)</w:t>
      </w:r>
      <w:r w:rsidR="00946F7D" w:rsidRPr="005D5708">
        <w:rPr>
          <w:lang w:val="fr-FR"/>
        </w:rPr>
        <w:t>,</w:t>
      </w:r>
      <w:r w:rsidR="00946F7D" w:rsidRPr="005D5708">
        <w:rPr>
          <w:i/>
          <w:lang w:val="fr-FR"/>
        </w:rPr>
        <w:t xml:space="preserve"> </w:t>
      </w:r>
      <w:r w:rsidR="00946F7D" w:rsidRPr="005D5708">
        <w:rPr>
          <w:lang w:val="fr-FR"/>
        </w:rPr>
        <w:t>b</w:t>
      </w:r>
      <w:r w:rsidR="00AB34BD" w:rsidRPr="005D5708">
        <w:rPr>
          <w:lang w:val="fr-FR"/>
        </w:rPr>
        <w:t>)</w:t>
      </w:r>
      <w:r w:rsidR="00946F7D" w:rsidRPr="005D5708">
        <w:rPr>
          <w:i/>
          <w:lang w:val="fr-FR"/>
        </w:rPr>
        <w:t>,</w:t>
      </w:r>
      <w:r w:rsidR="006073C6" w:rsidRPr="005D5708">
        <w:rPr>
          <w:lang w:val="fr-FR"/>
        </w:rPr>
        <w:t>;</w:t>
      </w:r>
      <w:r w:rsidR="00946F7D" w:rsidRPr="005D5708">
        <w:rPr>
          <w:lang w:val="fr-FR"/>
        </w:rPr>
        <w:t xml:space="preserve"> </w:t>
      </w:r>
      <w:r w:rsidR="00D83979" w:rsidRPr="005D5708">
        <w:rPr>
          <w:lang w:val="fr-FR"/>
        </w:rPr>
        <w:t>et 18</w:t>
      </w:r>
      <w:r w:rsidR="00946F7D" w:rsidRPr="005D5708">
        <w:rPr>
          <w:lang w:val="fr-FR"/>
        </w:rPr>
        <w:t xml:space="preserve"> a</w:t>
      </w:r>
      <w:r w:rsidR="00AB34BD" w:rsidRPr="005D5708">
        <w:rPr>
          <w:lang w:val="fr-FR"/>
        </w:rPr>
        <w:t>)</w:t>
      </w:r>
      <w:r w:rsidR="00946F7D" w:rsidRPr="005D5708">
        <w:rPr>
          <w:i/>
          <w:lang w:val="fr-FR"/>
        </w:rPr>
        <w:t xml:space="preserve"> </w:t>
      </w:r>
      <w:r w:rsidR="00946F7D" w:rsidRPr="005D5708">
        <w:rPr>
          <w:lang w:val="fr-FR"/>
        </w:rPr>
        <w:t>du présent document,</w:t>
      </w:r>
      <w:r w:rsidR="00946F7D">
        <w:rPr>
          <w:lang w:val="fr-FR"/>
        </w:rPr>
        <w:t xml:space="preserve"> soit</w:t>
      </w:r>
      <w:r w:rsidR="006073C6">
        <w:rPr>
          <w:lang w:val="fr-FR"/>
        </w:rPr>
        <w:t>:</w:t>
      </w:r>
      <w:r w:rsidR="00071DB5">
        <w:rPr>
          <w:lang w:val="fr-FR"/>
        </w:rPr>
        <w:t xml:space="preserve"> </w:t>
      </w:r>
      <w:r w:rsidR="00AE70F9">
        <w:rPr>
          <w:lang w:val="fr-FR"/>
        </w:rPr>
        <w:t>1</w:t>
      </w:r>
      <w:r w:rsidR="00071DB5" w:rsidRPr="004E06AE">
        <w:rPr>
          <w:lang w:val="fr-FR"/>
        </w:rPr>
        <w:t>)</w:t>
      </w:r>
      <w:r w:rsidR="00071DB5">
        <w:rPr>
          <w:lang w:val="fr-FR"/>
        </w:rPr>
        <w:t> </w:t>
      </w:r>
      <w:r w:rsidR="00F80728">
        <w:rPr>
          <w:lang w:val="fr-FR"/>
        </w:rPr>
        <w:t xml:space="preserve">Abolir le délai de garde à vue </w:t>
      </w:r>
      <w:r w:rsidR="00F80728" w:rsidRPr="006B3D45">
        <w:rPr>
          <w:lang w:val="fr-FR"/>
        </w:rPr>
        <w:t>de 15 jours, renouvelable deux fois,</w:t>
      </w:r>
      <w:r w:rsidR="00F80728">
        <w:rPr>
          <w:lang w:val="fr-FR"/>
        </w:rPr>
        <w:t xml:space="preserve"> en matière de terrorisme et d’atteinte à la sûreté de l’</w:t>
      </w:r>
      <w:r w:rsidR="006073C6">
        <w:rPr>
          <w:lang w:val="fr-FR"/>
        </w:rPr>
        <w:t>État</w:t>
      </w:r>
      <w:r w:rsidR="00F80728">
        <w:rPr>
          <w:lang w:val="fr-FR"/>
        </w:rPr>
        <w:t>, et renforcer les garanties juridiques auxquelles ont droit les détenus</w:t>
      </w:r>
      <w:r w:rsidR="006073C6">
        <w:rPr>
          <w:lang w:val="fr-FR"/>
        </w:rPr>
        <w:t>;</w:t>
      </w:r>
      <w:r w:rsidR="00F80728">
        <w:rPr>
          <w:lang w:val="fr-FR"/>
        </w:rPr>
        <w:t xml:space="preserve"> </w:t>
      </w:r>
      <w:r w:rsidR="00AE70F9">
        <w:rPr>
          <w:lang w:val="fr-FR"/>
        </w:rPr>
        <w:t>2</w:t>
      </w:r>
      <w:r w:rsidR="00F80728">
        <w:rPr>
          <w:lang w:val="fr-FR"/>
        </w:rPr>
        <w:t>)</w:t>
      </w:r>
      <w:r w:rsidR="00F80812">
        <w:rPr>
          <w:lang w:val="fr-FR"/>
        </w:rPr>
        <w:t> </w:t>
      </w:r>
      <w:r w:rsidR="00071DB5">
        <w:rPr>
          <w:lang w:val="fr-FR"/>
        </w:rPr>
        <w:t>améliorer les conditions de détention</w:t>
      </w:r>
      <w:r w:rsidR="00F71BF2">
        <w:rPr>
          <w:lang w:val="fr-FR"/>
        </w:rPr>
        <w:t xml:space="preserve"> dans l’ensemble de ses établissement</w:t>
      </w:r>
      <w:r w:rsidR="00946F7D">
        <w:rPr>
          <w:lang w:val="fr-FR"/>
        </w:rPr>
        <w:t>s</w:t>
      </w:r>
      <w:r w:rsidR="00F71BF2">
        <w:rPr>
          <w:lang w:val="fr-FR"/>
        </w:rPr>
        <w:t xml:space="preserve"> pénitentiaires</w:t>
      </w:r>
      <w:r w:rsidR="006073C6">
        <w:rPr>
          <w:lang w:val="fr-FR"/>
        </w:rPr>
        <w:t>;</w:t>
      </w:r>
      <w:r w:rsidR="00071DB5">
        <w:rPr>
          <w:lang w:val="fr-FR"/>
        </w:rPr>
        <w:t xml:space="preserve"> et </w:t>
      </w:r>
      <w:r w:rsidR="00AE70F9">
        <w:rPr>
          <w:lang w:val="fr-FR"/>
        </w:rPr>
        <w:t>3</w:t>
      </w:r>
      <w:r w:rsidR="00071DB5" w:rsidRPr="004E06AE">
        <w:rPr>
          <w:lang w:val="fr-FR"/>
        </w:rPr>
        <w:t>)</w:t>
      </w:r>
      <w:r w:rsidR="00F80812">
        <w:rPr>
          <w:lang w:val="fr-FR"/>
        </w:rPr>
        <w:t> </w:t>
      </w:r>
      <w:r w:rsidR="00071DB5">
        <w:rPr>
          <w:lang w:val="fr-FR"/>
        </w:rPr>
        <w:t>poursuivre et punir les auteurs d’actes de torture et de mauvais traitements</w:t>
      </w:r>
      <w:r w:rsidR="00946F7D">
        <w:rPr>
          <w:lang w:val="fr-FR"/>
        </w:rPr>
        <w:t>.</w:t>
      </w:r>
    </w:p>
    <w:p w:rsidR="00071DB5" w:rsidRPr="00946F7D" w:rsidRDefault="004A31AD" w:rsidP="00016961">
      <w:pPr>
        <w:pStyle w:val="SingleTxtG"/>
      </w:pPr>
      <w:r>
        <w:rPr>
          <w:lang w:val="fr-FR"/>
        </w:rPr>
        <w:t>31</w:t>
      </w:r>
      <w:r w:rsidR="00071DB5">
        <w:t>.</w:t>
      </w:r>
      <w:r w:rsidR="00071DB5">
        <w:tab/>
        <w:t>L</w:t>
      </w:r>
      <w:r w:rsidR="00071DB5" w:rsidRPr="005D5708">
        <w:t xml:space="preserve">e Comité invite l’État partie à présenter son prochain rapport périodique, qui sera le </w:t>
      </w:r>
      <w:r w:rsidR="004E06AE" w:rsidRPr="005D5708">
        <w:t>deuxième,</w:t>
      </w:r>
      <w:r w:rsidR="00071DB5" w:rsidRPr="005D5708">
        <w:t xml:space="preserve"> d’ici au</w:t>
      </w:r>
      <w:r w:rsidR="00071DB5">
        <w:t xml:space="preserve"> </w:t>
      </w:r>
      <w:r w:rsidR="00931114" w:rsidRPr="005D4D8E">
        <w:t>31 mai</w:t>
      </w:r>
      <w:r w:rsidR="004E06AE" w:rsidRPr="005D4D8E">
        <w:t xml:space="preserve"> 2017</w:t>
      </w:r>
      <w:r w:rsidR="00071DB5" w:rsidRPr="005D4D8E">
        <w:t>.</w:t>
      </w:r>
      <w:r w:rsidR="00E45627">
        <w:t xml:space="preserve"> </w:t>
      </w:r>
      <w:r w:rsidR="00071DB5">
        <w:t xml:space="preserve">À cet effet, le Comité invite l’État partie à accepter, le </w:t>
      </w:r>
      <w:r w:rsidR="000B2555">
        <w:t>31 mai</w:t>
      </w:r>
      <w:r w:rsidR="004E06AE">
        <w:t xml:space="preserve"> 2014</w:t>
      </w:r>
      <w:r w:rsidR="00071DB5">
        <w:t xml:space="preserve"> au plus tard, d’établir son rapport selon la</w:t>
      </w:r>
      <w:r w:rsidR="00071DB5">
        <w:rPr>
          <w:lang w:val="fr-FR"/>
        </w:rPr>
        <w:t xml:space="preserve"> procédure facultative, qui consiste pour le Comité à adresser à l’État partie une liste de points établie avant la soumission du rapport périodique.</w:t>
      </w:r>
      <w:r w:rsidR="00E45627">
        <w:rPr>
          <w:lang w:val="fr-FR"/>
        </w:rPr>
        <w:t xml:space="preserve"> </w:t>
      </w:r>
      <w:r w:rsidR="00071DB5">
        <w:rPr>
          <w:lang w:val="fr-FR"/>
        </w:rPr>
        <w:t xml:space="preserve">Les réponses de l’État partie à la liste de points constitueront son </w:t>
      </w:r>
      <w:r w:rsidR="000D295F">
        <w:rPr>
          <w:lang w:val="fr-FR"/>
        </w:rPr>
        <w:t>deuxième</w:t>
      </w:r>
      <w:r w:rsidR="00071DB5">
        <w:rPr>
          <w:lang w:val="fr-FR"/>
        </w:rPr>
        <w:t xml:space="preserve"> rapport périodique au titre de l’article 19 de la Convention.</w:t>
      </w:r>
    </w:p>
    <w:p w:rsidR="00ED05DA" w:rsidRPr="004D33D8" w:rsidRDefault="00ED05DA" w:rsidP="00ED05DA">
      <w:pPr>
        <w:pStyle w:val="SingleTxtG"/>
        <w:spacing w:before="240" w:after="0"/>
        <w:jc w:val="center"/>
        <w:rPr>
          <w:u w:val="single"/>
        </w:rPr>
      </w:pPr>
      <w:r>
        <w:rPr>
          <w:u w:val="single"/>
        </w:rPr>
        <w:tab/>
      </w:r>
      <w:r>
        <w:rPr>
          <w:u w:val="single"/>
        </w:rPr>
        <w:tab/>
      </w:r>
    </w:p>
    <w:sectPr w:rsidR="00ED05DA" w:rsidRPr="004D33D8" w:rsidSect="003A687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E7" w:rsidRDefault="00533EE7"/>
    <w:p w:rsidR="00533EE7" w:rsidRDefault="00533EE7"/>
    <w:p w:rsidR="00533EE7" w:rsidRDefault="00533EE7"/>
  </w:endnote>
  <w:endnote w:type="continuationSeparator" w:id="0">
    <w:p w:rsidR="00533EE7" w:rsidRDefault="00533EE7"/>
    <w:p w:rsidR="00533EE7" w:rsidRDefault="00533EE7"/>
    <w:p w:rsidR="00533EE7" w:rsidRDefault="00533EE7"/>
  </w:endnote>
  <w:endnote w:type="continuationNotice" w:id="1">
    <w:p w:rsidR="00533EE7" w:rsidRDefault="00533EE7"/>
    <w:p w:rsidR="00533EE7" w:rsidRDefault="00533EE7"/>
    <w:p w:rsidR="00533EE7" w:rsidRDefault="00533E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55" w:rsidRDefault="00621555" w:rsidP="00FC5702">
    <w:pPr>
      <w:pStyle w:val="Footer"/>
    </w:pPr>
    <w:r w:rsidRPr="003A6875">
      <w:rPr>
        <w:b/>
        <w:sz w:val="18"/>
      </w:rPr>
      <w:fldChar w:fldCharType="begin"/>
    </w:r>
    <w:r w:rsidRPr="003A6875">
      <w:rPr>
        <w:b/>
        <w:sz w:val="18"/>
      </w:rPr>
      <w:instrText xml:space="preserve"> PAGE  \* MERGEFORMAT </w:instrText>
    </w:r>
    <w:r w:rsidRPr="003A6875">
      <w:rPr>
        <w:b/>
        <w:sz w:val="18"/>
      </w:rPr>
      <w:fldChar w:fldCharType="separate"/>
    </w:r>
    <w:r w:rsidR="00FC425C">
      <w:rPr>
        <w:b/>
        <w:noProof/>
        <w:sz w:val="18"/>
      </w:rPr>
      <w:t>2</w:t>
    </w:r>
    <w:r w:rsidRPr="003A687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55" w:rsidRDefault="00621555" w:rsidP="00FC5702">
    <w:pPr>
      <w:pStyle w:val="Footer"/>
      <w:jc w:val="right"/>
    </w:pPr>
    <w:r>
      <w:tab/>
    </w:r>
    <w:r w:rsidRPr="003A6875">
      <w:rPr>
        <w:b/>
        <w:sz w:val="18"/>
      </w:rPr>
      <w:fldChar w:fldCharType="begin"/>
    </w:r>
    <w:r w:rsidRPr="003A6875">
      <w:rPr>
        <w:b/>
        <w:sz w:val="18"/>
      </w:rPr>
      <w:instrText xml:space="preserve"> PAGE  \* MERGEFORMAT </w:instrText>
    </w:r>
    <w:r w:rsidRPr="003A6875">
      <w:rPr>
        <w:b/>
        <w:sz w:val="18"/>
      </w:rPr>
      <w:fldChar w:fldCharType="separate"/>
    </w:r>
    <w:r w:rsidR="00FC425C">
      <w:rPr>
        <w:b/>
        <w:noProof/>
        <w:sz w:val="18"/>
      </w:rPr>
      <w:t>11</w:t>
    </w:r>
    <w:r w:rsidRPr="003A687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55" w:rsidRDefault="00621555" w:rsidP="004474B8">
    <w:pPr>
      <w:pStyle w:val="Footer"/>
      <w:tabs>
        <w:tab w:val="left" w:pos="567"/>
        <w:tab w:val="right" w:pos="9639"/>
      </w:tabs>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35pt;margin-top:-9.55pt;width:86.95pt;height:18.35pt;z-index:1">
          <v:imagedata r:id="rId1" o:title="recycle_French"/>
        </v:shape>
      </w:pict>
    </w:r>
    <w:r w:rsidR="00FC425C">
      <w:t>GE.13-44592</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E7" w:rsidRPr="00D27D5E" w:rsidRDefault="00533EE7" w:rsidP="00D27D5E">
      <w:pPr>
        <w:tabs>
          <w:tab w:val="right" w:pos="2155"/>
        </w:tabs>
        <w:spacing w:after="80"/>
        <w:ind w:left="680"/>
        <w:rPr>
          <w:u w:val="single"/>
        </w:rPr>
      </w:pPr>
      <w:r>
        <w:rPr>
          <w:u w:val="single"/>
        </w:rPr>
        <w:tab/>
      </w:r>
    </w:p>
    <w:p w:rsidR="00533EE7" w:rsidRDefault="00533EE7"/>
    <w:p w:rsidR="00533EE7" w:rsidRDefault="00533EE7"/>
  </w:footnote>
  <w:footnote w:type="continuationSeparator" w:id="0">
    <w:p w:rsidR="00533EE7" w:rsidRPr="00A103C4" w:rsidRDefault="00533EE7" w:rsidP="00A103C4">
      <w:pPr>
        <w:tabs>
          <w:tab w:val="right" w:pos="2155"/>
        </w:tabs>
        <w:spacing w:after="80"/>
        <w:ind w:left="680"/>
        <w:rPr>
          <w:u w:val="single"/>
        </w:rPr>
      </w:pPr>
      <w:r w:rsidRPr="00A103C4">
        <w:rPr>
          <w:u w:val="single"/>
        </w:rPr>
        <w:tab/>
      </w:r>
    </w:p>
    <w:p w:rsidR="00533EE7" w:rsidRDefault="00533EE7"/>
    <w:p w:rsidR="00533EE7" w:rsidRDefault="00533EE7"/>
  </w:footnote>
  <w:footnote w:type="continuationNotice" w:id="1">
    <w:p w:rsidR="00533EE7" w:rsidRDefault="00533EE7"/>
    <w:p w:rsidR="00533EE7" w:rsidRDefault="00533EE7"/>
    <w:p w:rsidR="00533EE7" w:rsidRDefault="00533E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55" w:rsidRPr="006C1D64" w:rsidRDefault="00621555" w:rsidP="003E7269">
    <w:pPr>
      <w:pStyle w:val="Header"/>
    </w:pPr>
    <w:r>
      <w:t>CAT/C/MRT/CO/1</w:t>
    </w:r>
  </w:p>
  <w:p w:rsidR="00621555" w:rsidRPr="001F17E0" w:rsidRDefault="00621555" w:rsidP="00D7479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55" w:rsidRPr="006C1D64" w:rsidRDefault="00621555" w:rsidP="003E7269">
    <w:pPr>
      <w:pStyle w:val="Header"/>
      <w:jc w:val="right"/>
    </w:pPr>
    <w:r>
      <w:rPr>
        <w:b w:val="0"/>
      </w:rPr>
      <w:t>CAT/C/MRT</w:t>
    </w:r>
    <w:r w:rsidRPr="00094B5B">
      <w:rPr>
        <w:b w:val="0"/>
      </w:rPr>
      <w:t>/CO/1</w:t>
    </w:r>
  </w:p>
  <w:p w:rsidR="00621555" w:rsidRDefault="00621555" w:rsidP="003E72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55" w:rsidRDefault="00621555" w:rsidP="00001DE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84FCB"/>
    <w:multiLevelType w:val="hybridMultilevel"/>
    <w:tmpl w:val="8FAE8B8C"/>
    <w:lvl w:ilvl="0" w:tplc="D64A87B4">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55A14A72"/>
    <w:multiLevelType w:val="hybridMultilevel"/>
    <w:tmpl w:val="B0AE9D6C"/>
    <w:lvl w:ilvl="0" w:tplc="5F4EC62A">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875"/>
    <w:rsid w:val="00001DE7"/>
    <w:rsid w:val="0000426D"/>
    <w:rsid w:val="0000626E"/>
    <w:rsid w:val="00011DC9"/>
    <w:rsid w:val="000158CA"/>
    <w:rsid w:val="0001632A"/>
    <w:rsid w:val="00016961"/>
    <w:rsid w:val="00016AC5"/>
    <w:rsid w:val="000175ED"/>
    <w:rsid w:val="000206A9"/>
    <w:rsid w:val="00021184"/>
    <w:rsid w:val="000216B3"/>
    <w:rsid w:val="0002498C"/>
    <w:rsid w:val="00025A7C"/>
    <w:rsid w:val="00027362"/>
    <w:rsid w:val="00032091"/>
    <w:rsid w:val="00035EAF"/>
    <w:rsid w:val="00037D72"/>
    <w:rsid w:val="0006154C"/>
    <w:rsid w:val="000654F2"/>
    <w:rsid w:val="0007123C"/>
    <w:rsid w:val="00071DB5"/>
    <w:rsid w:val="00072A1C"/>
    <w:rsid w:val="000750D9"/>
    <w:rsid w:val="00091EB2"/>
    <w:rsid w:val="0009328B"/>
    <w:rsid w:val="00094B5B"/>
    <w:rsid w:val="0009656F"/>
    <w:rsid w:val="00096DE1"/>
    <w:rsid w:val="000A18CB"/>
    <w:rsid w:val="000A29D9"/>
    <w:rsid w:val="000B0FE8"/>
    <w:rsid w:val="000B2555"/>
    <w:rsid w:val="000B46AF"/>
    <w:rsid w:val="000C04FF"/>
    <w:rsid w:val="000C3376"/>
    <w:rsid w:val="000C3477"/>
    <w:rsid w:val="000C66CF"/>
    <w:rsid w:val="000C6CD7"/>
    <w:rsid w:val="000D295F"/>
    <w:rsid w:val="000D2FD3"/>
    <w:rsid w:val="000D37AD"/>
    <w:rsid w:val="000D3902"/>
    <w:rsid w:val="000D3B85"/>
    <w:rsid w:val="000D4A7E"/>
    <w:rsid w:val="000E0DBF"/>
    <w:rsid w:val="000E1DB7"/>
    <w:rsid w:val="000F41F2"/>
    <w:rsid w:val="00101AAF"/>
    <w:rsid w:val="0011354B"/>
    <w:rsid w:val="001206ED"/>
    <w:rsid w:val="001218E5"/>
    <w:rsid w:val="00126212"/>
    <w:rsid w:val="0013090A"/>
    <w:rsid w:val="00131E8A"/>
    <w:rsid w:val="00132075"/>
    <w:rsid w:val="00136252"/>
    <w:rsid w:val="0013705D"/>
    <w:rsid w:val="001408AA"/>
    <w:rsid w:val="00145CA1"/>
    <w:rsid w:val="0014672A"/>
    <w:rsid w:val="00146BDA"/>
    <w:rsid w:val="00151037"/>
    <w:rsid w:val="00151EFB"/>
    <w:rsid w:val="00160540"/>
    <w:rsid w:val="001616F3"/>
    <w:rsid w:val="00162609"/>
    <w:rsid w:val="001713D3"/>
    <w:rsid w:val="00172E61"/>
    <w:rsid w:val="0017308C"/>
    <w:rsid w:val="00173482"/>
    <w:rsid w:val="001758CA"/>
    <w:rsid w:val="00180B59"/>
    <w:rsid w:val="00185EE4"/>
    <w:rsid w:val="00192EEB"/>
    <w:rsid w:val="00196333"/>
    <w:rsid w:val="00196F1C"/>
    <w:rsid w:val="001A20FB"/>
    <w:rsid w:val="001A31E0"/>
    <w:rsid w:val="001B1E67"/>
    <w:rsid w:val="001B2EFB"/>
    <w:rsid w:val="001B3FD6"/>
    <w:rsid w:val="001C08DB"/>
    <w:rsid w:val="001C498F"/>
    <w:rsid w:val="001D7F8A"/>
    <w:rsid w:val="001E02C0"/>
    <w:rsid w:val="001E1DD2"/>
    <w:rsid w:val="001E380D"/>
    <w:rsid w:val="001E3FEB"/>
    <w:rsid w:val="001E4A02"/>
    <w:rsid w:val="001E5D5B"/>
    <w:rsid w:val="001E7A77"/>
    <w:rsid w:val="001F17E0"/>
    <w:rsid w:val="001F32FE"/>
    <w:rsid w:val="001F5B47"/>
    <w:rsid w:val="001F6444"/>
    <w:rsid w:val="001F7ED9"/>
    <w:rsid w:val="002023F3"/>
    <w:rsid w:val="00203930"/>
    <w:rsid w:val="00204689"/>
    <w:rsid w:val="00206ACF"/>
    <w:rsid w:val="00210A6F"/>
    <w:rsid w:val="00211B4A"/>
    <w:rsid w:val="00212A10"/>
    <w:rsid w:val="00213274"/>
    <w:rsid w:val="00221779"/>
    <w:rsid w:val="00225474"/>
    <w:rsid w:val="00225A8C"/>
    <w:rsid w:val="00225FE4"/>
    <w:rsid w:val="00227A3C"/>
    <w:rsid w:val="00230332"/>
    <w:rsid w:val="00231F89"/>
    <w:rsid w:val="0023432C"/>
    <w:rsid w:val="002400E8"/>
    <w:rsid w:val="00244D4D"/>
    <w:rsid w:val="00247E38"/>
    <w:rsid w:val="00250C10"/>
    <w:rsid w:val="00252627"/>
    <w:rsid w:val="00255F33"/>
    <w:rsid w:val="0025666A"/>
    <w:rsid w:val="0025776F"/>
    <w:rsid w:val="00260278"/>
    <w:rsid w:val="00262132"/>
    <w:rsid w:val="0026512F"/>
    <w:rsid w:val="002659F1"/>
    <w:rsid w:val="00267203"/>
    <w:rsid w:val="00270357"/>
    <w:rsid w:val="0027256D"/>
    <w:rsid w:val="00272C93"/>
    <w:rsid w:val="002739BB"/>
    <w:rsid w:val="002758FF"/>
    <w:rsid w:val="0027653A"/>
    <w:rsid w:val="00283F82"/>
    <w:rsid w:val="00287E79"/>
    <w:rsid w:val="0029195B"/>
    <w:rsid w:val="002928F9"/>
    <w:rsid w:val="00297B00"/>
    <w:rsid w:val="002A440C"/>
    <w:rsid w:val="002A4FA2"/>
    <w:rsid w:val="002A5D07"/>
    <w:rsid w:val="002A6B32"/>
    <w:rsid w:val="002B0BDE"/>
    <w:rsid w:val="002C520B"/>
    <w:rsid w:val="002E0C1D"/>
    <w:rsid w:val="002E20F3"/>
    <w:rsid w:val="002E6331"/>
    <w:rsid w:val="002E6637"/>
    <w:rsid w:val="002F2F56"/>
    <w:rsid w:val="002F314A"/>
    <w:rsid w:val="002F5F8B"/>
    <w:rsid w:val="00300278"/>
    <w:rsid w:val="003016B7"/>
    <w:rsid w:val="00304301"/>
    <w:rsid w:val="0030480B"/>
    <w:rsid w:val="00304B10"/>
    <w:rsid w:val="00306E41"/>
    <w:rsid w:val="00311681"/>
    <w:rsid w:val="00311ADA"/>
    <w:rsid w:val="003123A3"/>
    <w:rsid w:val="00315F59"/>
    <w:rsid w:val="0032327C"/>
    <w:rsid w:val="00325948"/>
    <w:rsid w:val="003312B4"/>
    <w:rsid w:val="00331C23"/>
    <w:rsid w:val="003333ED"/>
    <w:rsid w:val="003452FB"/>
    <w:rsid w:val="003515AA"/>
    <w:rsid w:val="003521CB"/>
    <w:rsid w:val="00352E5C"/>
    <w:rsid w:val="00353348"/>
    <w:rsid w:val="00355B9B"/>
    <w:rsid w:val="00356685"/>
    <w:rsid w:val="00356AB8"/>
    <w:rsid w:val="00356F0D"/>
    <w:rsid w:val="003600F8"/>
    <w:rsid w:val="003646C9"/>
    <w:rsid w:val="0037314A"/>
    <w:rsid w:val="00374106"/>
    <w:rsid w:val="00376A22"/>
    <w:rsid w:val="003833D2"/>
    <w:rsid w:val="003850B7"/>
    <w:rsid w:val="00386DFD"/>
    <w:rsid w:val="0038708B"/>
    <w:rsid w:val="00387190"/>
    <w:rsid w:val="00390CFC"/>
    <w:rsid w:val="00392BC5"/>
    <w:rsid w:val="00393330"/>
    <w:rsid w:val="0039548F"/>
    <w:rsid w:val="003959E0"/>
    <w:rsid w:val="0039610E"/>
    <w:rsid w:val="0039666E"/>
    <w:rsid w:val="003976D5"/>
    <w:rsid w:val="003977B6"/>
    <w:rsid w:val="003A04B3"/>
    <w:rsid w:val="003A1538"/>
    <w:rsid w:val="003A6875"/>
    <w:rsid w:val="003B4458"/>
    <w:rsid w:val="003B49EB"/>
    <w:rsid w:val="003B6797"/>
    <w:rsid w:val="003C2CAF"/>
    <w:rsid w:val="003C3F5B"/>
    <w:rsid w:val="003C6CD8"/>
    <w:rsid w:val="003C6ED9"/>
    <w:rsid w:val="003C7ADC"/>
    <w:rsid w:val="003D25D2"/>
    <w:rsid w:val="003D4E3D"/>
    <w:rsid w:val="003D6C68"/>
    <w:rsid w:val="003E7269"/>
    <w:rsid w:val="003F0744"/>
    <w:rsid w:val="00401738"/>
    <w:rsid w:val="0040364D"/>
    <w:rsid w:val="004036FB"/>
    <w:rsid w:val="00414736"/>
    <w:rsid w:val="004159D0"/>
    <w:rsid w:val="00415E59"/>
    <w:rsid w:val="00416516"/>
    <w:rsid w:val="00424F67"/>
    <w:rsid w:val="0042686C"/>
    <w:rsid w:val="00426C9D"/>
    <w:rsid w:val="004308AD"/>
    <w:rsid w:val="00432531"/>
    <w:rsid w:val="00432646"/>
    <w:rsid w:val="00433519"/>
    <w:rsid w:val="00442781"/>
    <w:rsid w:val="0044577F"/>
    <w:rsid w:val="004474B8"/>
    <w:rsid w:val="004559D8"/>
    <w:rsid w:val="00455D94"/>
    <w:rsid w:val="004621E9"/>
    <w:rsid w:val="00465008"/>
    <w:rsid w:val="00470B51"/>
    <w:rsid w:val="00471693"/>
    <w:rsid w:val="00471A67"/>
    <w:rsid w:val="004729D0"/>
    <w:rsid w:val="00472F80"/>
    <w:rsid w:val="00475BBC"/>
    <w:rsid w:val="00482427"/>
    <w:rsid w:val="004830E2"/>
    <w:rsid w:val="0048553A"/>
    <w:rsid w:val="0048663F"/>
    <w:rsid w:val="004914A7"/>
    <w:rsid w:val="0049389E"/>
    <w:rsid w:val="00495A6D"/>
    <w:rsid w:val="004A05FE"/>
    <w:rsid w:val="004A1023"/>
    <w:rsid w:val="004A31AD"/>
    <w:rsid w:val="004A4025"/>
    <w:rsid w:val="004A51A8"/>
    <w:rsid w:val="004B0074"/>
    <w:rsid w:val="004B0448"/>
    <w:rsid w:val="004C0361"/>
    <w:rsid w:val="004C396C"/>
    <w:rsid w:val="004C3D78"/>
    <w:rsid w:val="004C5861"/>
    <w:rsid w:val="004D0086"/>
    <w:rsid w:val="004D00D3"/>
    <w:rsid w:val="004E06AE"/>
    <w:rsid w:val="004E3290"/>
    <w:rsid w:val="004E35AC"/>
    <w:rsid w:val="004E505B"/>
    <w:rsid w:val="004E5426"/>
    <w:rsid w:val="004E5EFE"/>
    <w:rsid w:val="004F08F4"/>
    <w:rsid w:val="004F3483"/>
    <w:rsid w:val="004F36AD"/>
    <w:rsid w:val="004F4A3A"/>
    <w:rsid w:val="004F5CA1"/>
    <w:rsid w:val="004F7649"/>
    <w:rsid w:val="00501180"/>
    <w:rsid w:val="0051278D"/>
    <w:rsid w:val="005140E3"/>
    <w:rsid w:val="0052083A"/>
    <w:rsid w:val="00521816"/>
    <w:rsid w:val="00523E5A"/>
    <w:rsid w:val="00524E01"/>
    <w:rsid w:val="00525DBB"/>
    <w:rsid w:val="00526FEF"/>
    <w:rsid w:val="00527468"/>
    <w:rsid w:val="00531D6E"/>
    <w:rsid w:val="005320D7"/>
    <w:rsid w:val="00532E50"/>
    <w:rsid w:val="00533EE7"/>
    <w:rsid w:val="005408E5"/>
    <w:rsid w:val="00543A35"/>
    <w:rsid w:val="00543D5E"/>
    <w:rsid w:val="00543E54"/>
    <w:rsid w:val="005442CD"/>
    <w:rsid w:val="00546565"/>
    <w:rsid w:val="00551A4F"/>
    <w:rsid w:val="005540C3"/>
    <w:rsid w:val="00556D7D"/>
    <w:rsid w:val="005610B3"/>
    <w:rsid w:val="00562077"/>
    <w:rsid w:val="00562BE1"/>
    <w:rsid w:val="00563D03"/>
    <w:rsid w:val="005671DE"/>
    <w:rsid w:val="00571832"/>
    <w:rsid w:val="00571F41"/>
    <w:rsid w:val="00571FA9"/>
    <w:rsid w:val="00575714"/>
    <w:rsid w:val="005848F9"/>
    <w:rsid w:val="005858C0"/>
    <w:rsid w:val="00595FB4"/>
    <w:rsid w:val="005A1321"/>
    <w:rsid w:val="005A2604"/>
    <w:rsid w:val="005A6E5B"/>
    <w:rsid w:val="005B1120"/>
    <w:rsid w:val="005B5AB6"/>
    <w:rsid w:val="005B7A15"/>
    <w:rsid w:val="005C1E66"/>
    <w:rsid w:val="005C5574"/>
    <w:rsid w:val="005D0661"/>
    <w:rsid w:val="005D2FD7"/>
    <w:rsid w:val="005D4D8E"/>
    <w:rsid w:val="005D5165"/>
    <w:rsid w:val="005D5708"/>
    <w:rsid w:val="005D5C47"/>
    <w:rsid w:val="005D6228"/>
    <w:rsid w:val="005E0932"/>
    <w:rsid w:val="005E0E14"/>
    <w:rsid w:val="005E1FD5"/>
    <w:rsid w:val="005E3A5F"/>
    <w:rsid w:val="005E3BC4"/>
    <w:rsid w:val="005E5D1F"/>
    <w:rsid w:val="005E7D63"/>
    <w:rsid w:val="005F212F"/>
    <w:rsid w:val="00600893"/>
    <w:rsid w:val="006008FF"/>
    <w:rsid w:val="00600F0A"/>
    <w:rsid w:val="00601028"/>
    <w:rsid w:val="0060575C"/>
    <w:rsid w:val="006073C6"/>
    <w:rsid w:val="00611208"/>
    <w:rsid w:val="00611D43"/>
    <w:rsid w:val="00612D48"/>
    <w:rsid w:val="006130AB"/>
    <w:rsid w:val="00616B45"/>
    <w:rsid w:val="00616D14"/>
    <w:rsid w:val="00621555"/>
    <w:rsid w:val="006217C0"/>
    <w:rsid w:val="0062411D"/>
    <w:rsid w:val="006262BD"/>
    <w:rsid w:val="00630D9B"/>
    <w:rsid w:val="00631953"/>
    <w:rsid w:val="006349C8"/>
    <w:rsid w:val="00635CB1"/>
    <w:rsid w:val="00640D74"/>
    <w:rsid w:val="006421D7"/>
    <w:rsid w:val="006439EC"/>
    <w:rsid w:val="00644717"/>
    <w:rsid w:val="00650D8D"/>
    <w:rsid w:val="00652F6C"/>
    <w:rsid w:val="006647E0"/>
    <w:rsid w:val="00665948"/>
    <w:rsid w:val="00667CAA"/>
    <w:rsid w:val="00671A63"/>
    <w:rsid w:val="00673C10"/>
    <w:rsid w:val="00674F49"/>
    <w:rsid w:val="00675E70"/>
    <w:rsid w:val="006800C5"/>
    <w:rsid w:val="00681607"/>
    <w:rsid w:val="00682430"/>
    <w:rsid w:val="00687BCB"/>
    <w:rsid w:val="006965EA"/>
    <w:rsid w:val="006A1A58"/>
    <w:rsid w:val="006A2247"/>
    <w:rsid w:val="006A4B50"/>
    <w:rsid w:val="006A578D"/>
    <w:rsid w:val="006A59D4"/>
    <w:rsid w:val="006A59D5"/>
    <w:rsid w:val="006B00C1"/>
    <w:rsid w:val="006B132B"/>
    <w:rsid w:val="006B1EB6"/>
    <w:rsid w:val="006B2116"/>
    <w:rsid w:val="006B3D45"/>
    <w:rsid w:val="006B4590"/>
    <w:rsid w:val="006C277A"/>
    <w:rsid w:val="006C340C"/>
    <w:rsid w:val="006D4F2F"/>
    <w:rsid w:val="006D75AA"/>
    <w:rsid w:val="006E0427"/>
    <w:rsid w:val="006E32AF"/>
    <w:rsid w:val="006E5E4A"/>
    <w:rsid w:val="007004E6"/>
    <w:rsid w:val="00702774"/>
    <w:rsid w:val="0070347C"/>
    <w:rsid w:val="007045DA"/>
    <w:rsid w:val="00705D01"/>
    <w:rsid w:val="00712A7A"/>
    <w:rsid w:val="00712DE7"/>
    <w:rsid w:val="007176C1"/>
    <w:rsid w:val="00720B5E"/>
    <w:rsid w:val="007213CC"/>
    <w:rsid w:val="00724A1D"/>
    <w:rsid w:val="00733C2F"/>
    <w:rsid w:val="00734E7A"/>
    <w:rsid w:val="00736FE2"/>
    <w:rsid w:val="00744DD9"/>
    <w:rsid w:val="00745603"/>
    <w:rsid w:val="00745EE6"/>
    <w:rsid w:val="0074615F"/>
    <w:rsid w:val="00747C56"/>
    <w:rsid w:val="00751A1B"/>
    <w:rsid w:val="00755884"/>
    <w:rsid w:val="00755B90"/>
    <w:rsid w:val="00756296"/>
    <w:rsid w:val="00756748"/>
    <w:rsid w:val="007609ED"/>
    <w:rsid w:val="00763800"/>
    <w:rsid w:val="00767AE6"/>
    <w:rsid w:val="0077074C"/>
    <w:rsid w:val="00771915"/>
    <w:rsid w:val="00773537"/>
    <w:rsid w:val="00774070"/>
    <w:rsid w:val="007760B2"/>
    <w:rsid w:val="007807DD"/>
    <w:rsid w:val="00785195"/>
    <w:rsid w:val="0078744E"/>
    <w:rsid w:val="00790815"/>
    <w:rsid w:val="00791548"/>
    <w:rsid w:val="00792945"/>
    <w:rsid w:val="00795013"/>
    <w:rsid w:val="00795ED5"/>
    <w:rsid w:val="00797D0E"/>
    <w:rsid w:val="007B0499"/>
    <w:rsid w:val="007B4093"/>
    <w:rsid w:val="007B5C29"/>
    <w:rsid w:val="007C4A39"/>
    <w:rsid w:val="007C5AE5"/>
    <w:rsid w:val="007C5DCE"/>
    <w:rsid w:val="007C606B"/>
    <w:rsid w:val="007E1EE7"/>
    <w:rsid w:val="007F102B"/>
    <w:rsid w:val="007F1692"/>
    <w:rsid w:val="007F3FA0"/>
    <w:rsid w:val="007F4FA7"/>
    <w:rsid w:val="007F55CB"/>
    <w:rsid w:val="007F618F"/>
    <w:rsid w:val="007F64AB"/>
    <w:rsid w:val="00801447"/>
    <w:rsid w:val="00803233"/>
    <w:rsid w:val="0080453C"/>
    <w:rsid w:val="00815EA2"/>
    <w:rsid w:val="00822EED"/>
    <w:rsid w:val="008269F2"/>
    <w:rsid w:val="0082714E"/>
    <w:rsid w:val="0083025D"/>
    <w:rsid w:val="008331A4"/>
    <w:rsid w:val="0083509A"/>
    <w:rsid w:val="00841DC3"/>
    <w:rsid w:val="00841FA5"/>
    <w:rsid w:val="008431F0"/>
    <w:rsid w:val="00844750"/>
    <w:rsid w:val="008464C8"/>
    <w:rsid w:val="0085197E"/>
    <w:rsid w:val="00853B1E"/>
    <w:rsid w:val="008626B7"/>
    <w:rsid w:val="00870867"/>
    <w:rsid w:val="00875DB4"/>
    <w:rsid w:val="0087685B"/>
    <w:rsid w:val="00877B4B"/>
    <w:rsid w:val="00880B72"/>
    <w:rsid w:val="00881000"/>
    <w:rsid w:val="00885956"/>
    <w:rsid w:val="00886010"/>
    <w:rsid w:val="00887428"/>
    <w:rsid w:val="00890A4E"/>
    <w:rsid w:val="00892688"/>
    <w:rsid w:val="00896355"/>
    <w:rsid w:val="00897564"/>
    <w:rsid w:val="008A3080"/>
    <w:rsid w:val="008A4B56"/>
    <w:rsid w:val="008B148D"/>
    <w:rsid w:val="008B44C4"/>
    <w:rsid w:val="008B5252"/>
    <w:rsid w:val="008B5A05"/>
    <w:rsid w:val="008B5EF2"/>
    <w:rsid w:val="008C0A9F"/>
    <w:rsid w:val="008C0AF2"/>
    <w:rsid w:val="008C1200"/>
    <w:rsid w:val="008C1B74"/>
    <w:rsid w:val="008C7090"/>
    <w:rsid w:val="008D4563"/>
    <w:rsid w:val="008D5DE6"/>
    <w:rsid w:val="008E35CE"/>
    <w:rsid w:val="008E3880"/>
    <w:rsid w:val="008E675E"/>
    <w:rsid w:val="008E7FAE"/>
    <w:rsid w:val="008F17C7"/>
    <w:rsid w:val="008F285F"/>
    <w:rsid w:val="008F4F38"/>
    <w:rsid w:val="009027C9"/>
    <w:rsid w:val="00903571"/>
    <w:rsid w:val="00907420"/>
    <w:rsid w:val="009076DD"/>
    <w:rsid w:val="00911825"/>
    <w:rsid w:val="00911BF7"/>
    <w:rsid w:val="0091275D"/>
    <w:rsid w:val="009129EE"/>
    <w:rsid w:val="00912FEC"/>
    <w:rsid w:val="009222B3"/>
    <w:rsid w:val="00922679"/>
    <w:rsid w:val="0092763C"/>
    <w:rsid w:val="00931114"/>
    <w:rsid w:val="00936813"/>
    <w:rsid w:val="00946F7D"/>
    <w:rsid w:val="00950A8A"/>
    <w:rsid w:val="00953C8C"/>
    <w:rsid w:val="00955D0A"/>
    <w:rsid w:val="009645AE"/>
    <w:rsid w:val="00970663"/>
    <w:rsid w:val="00973C08"/>
    <w:rsid w:val="00976EA8"/>
    <w:rsid w:val="00977EC8"/>
    <w:rsid w:val="00980FFE"/>
    <w:rsid w:val="009823F6"/>
    <w:rsid w:val="0098492D"/>
    <w:rsid w:val="00986267"/>
    <w:rsid w:val="009A3A27"/>
    <w:rsid w:val="009A3B94"/>
    <w:rsid w:val="009A44FC"/>
    <w:rsid w:val="009A62B3"/>
    <w:rsid w:val="009A6748"/>
    <w:rsid w:val="009A7369"/>
    <w:rsid w:val="009B180B"/>
    <w:rsid w:val="009B1925"/>
    <w:rsid w:val="009B27E0"/>
    <w:rsid w:val="009B376B"/>
    <w:rsid w:val="009C0130"/>
    <w:rsid w:val="009D31A2"/>
    <w:rsid w:val="009D3A8C"/>
    <w:rsid w:val="009D7437"/>
    <w:rsid w:val="009D7633"/>
    <w:rsid w:val="009E4C65"/>
    <w:rsid w:val="009E64A6"/>
    <w:rsid w:val="009E75C5"/>
    <w:rsid w:val="009E7956"/>
    <w:rsid w:val="009F048D"/>
    <w:rsid w:val="009F1506"/>
    <w:rsid w:val="009F5B3B"/>
    <w:rsid w:val="00A004BA"/>
    <w:rsid w:val="00A02625"/>
    <w:rsid w:val="00A0612D"/>
    <w:rsid w:val="00A103C4"/>
    <w:rsid w:val="00A10DE6"/>
    <w:rsid w:val="00A117D3"/>
    <w:rsid w:val="00A147F7"/>
    <w:rsid w:val="00A2026E"/>
    <w:rsid w:val="00A20D1B"/>
    <w:rsid w:val="00A214A0"/>
    <w:rsid w:val="00A23114"/>
    <w:rsid w:val="00A2492E"/>
    <w:rsid w:val="00A361CE"/>
    <w:rsid w:val="00A41AD1"/>
    <w:rsid w:val="00A45EB3"/>
    <w:rsid w:val="00A467BD"/>
    <w:rsid w:val="00A50390"/>
    <w:rsid w:val="00A519FD"/>
    <w:rsid w:val="00A52516"/>
    <w:rsid w:val="00A56E56"/>
    <w:rsid w:val="00A56EA8"/>
    <w:rsid w:val="00A57FCE"/>
    <w:rsid w:val="00A71F1A"/>
    <w:rsid w:val="00A727C8"/>
    <w:rsid w:val="00A73E56"/>
    <w:rsid w:val="00A807C1"/>
    <w:rsid w:val="00A84FD6"/>
    <w:rsid w:val="00A95839"/>
    <w:rsid w:val="00AA17A7"/>
    <w:rsid w:val="00AA372E"/>
    <w:rsid w:val="00AA4B0C"/>
    <w:rsid w:val="00AB34BD"/>
    <w:rsid w:val="00AC1C81"/>
    <w:rsid w:val="00AC1D89"/>
    <w:rsid w:val="00AC39CF"/>
    <w:rsid w:val="00AC67A1"/>
    <w:rsid w:val="00AC7977"/>
    <w:rsid w:val="00AD0AD1"/>
    <w:rsid w:val="00AD2F84"/>
    <w:rsid w:val="00AD6B8A"/>
    <w:rsid w:val="00AE352C"/>
    <w:rsid w:val="00AE3F2F"/>
    <w:rsid w:val="00AE59BE"/>
    <w:rsid w:val="00AE70F9"/>
    <w:rsid w:val="00AF1F22"/>
    <w:rsid w:val="00AF3A22"/>
    <w:rsid w:val="00AF3E6F"/>
    <w:rsid w:val="00AF6077"/>
    <w:rsid w:val="00B03B19"/>
    <w:rsid w:val="00B13053"/>
    <w:rsid w:val="00B221D3"/>
    <w:rsid w:val="00B24E96"/>
    <w:rsid w:val="00B3233F"/>
    <w:rsid w:val="00B32E2D"/>
    <w:rsid w:val="00B407FC"/>
    <w:rsid w:val="00B45850"/>
    <w:rsid w:val="00B47505"/>
    <w:rsid w:val="00B55D89"/>
    <w:rsid w:val="00B57650"/>
    <w:rsid w:val="00B611B5"/>
    <w:rsid w:val="00B61990"/>
    <w:rsid w:val="00B627F3"/>
    <w:rsid w:val="00B63A55"/>
    <w:rsid w:val="00B65B4F"/>
    <w:rsid w:val="00B669F9"/>
    <w:rsid w:val="00B73EDF"/>
    <w:rsid w:val="00B7700C"/>
    <w:rsid w:val="00B77C99"/>
    <w:rsid w:val="00B81581"/>
    <w:rsid w:val="00B92067"/>
    <w:rsid w:val="00B9259A"/>
    <w:rsid w:val="00B945DB"/>
    <w:rsid w:val="00BA17D2"/>
    <w:rsid w:val="00BA2DFB"/>
    <w:rsid w:val="00BA31B5"/>
    <w:rsid w:val="00BA3CCD"/>
    <w:rsid w:val="00BB6AF2"/>
    <w:rsid w:val="00BB6B83"/>
    <w:rsid w:val="00BB6CAB"/>
    <w:rsid w:val="00BC08C6"/>
    <w:rsid w:val="00BC0F87"/>
    <w:rsid w:val="00BC258E"/>
    <w:rsid w:val="00BC3E9B"/>
    <w:rsid w:val="00BC554A"/>
    <w:rsid w:val="00BD0A88"/>
    <w:rsid w:val="00BE3903"/>
    <w:rsid w:val="00BE421C"/>
    <w:rsid w:val="00BF0556"/>
    <w:rsid w:val="00C005F9"/>
    <w:rsid w:val="00C11C2B"/>
    <w:rsid w:val="00C1562D"/>
    <w:rsid w:val="00C261F8"/>
    <w:rsid w:val="00C27D39"/>
    <w:rsid w:val="00C30699"/>
    <w:rsid w:val="00C33100"/>
    <w:rsid w:val="00C34EF5"/>
    <w:rsid w:val="00C36BBB"/>
    <w:rsid w:val="00C416BB"/>
    <w:rsid w:val="00C417B0"/>
    <w:rsid w:val="00C42566"/>
    <w:rsid w:val="00C42ED3"/>
    <w:rsid w:val="00C4591D"/>
    <w:rsid w:val="00C46108"/>
    <w:rsid w:val="00C50964"/>
    <w:rsid w:val="00C546A5"/>
    <w:rsid w:val="00C55E14"/>
    <w:rsid w:val="00C55E72"/>
    <w:rsid w:val="00C576F9"/>
    <w:rsid w:val="00C662BF"/>
    <w:rsid w:val="00C75614"/>
    <w:rsid w:val="00C75D05"/>
    <w:rsid w:val="00C81CEE"/>
    <w:rsid w:val="00C87208"/>
    <w:rsid w:val="00C9013B"/>
    <w:rsid w:val="00C941D1"/>
    <w:rsid w:val="00CA26B3"/>
    <w:rsid w:val="00CA7CAA"/>
    <w:rsid w:val="00CB4763"/>
    <w:rsid w:val="00CB59EB"/>
    <w:rsid w:val="00CB6F63"/>
    <w:rsid w:val="00CC01E0"/>
    <w:rsid w:val="00CC19A3"/>
    <w:rsid w:val="00CC40CB"/>
    <w:rsid w:val="00CD1A71"/>
    <w:rsid w:val="00CD1FBB"/>
    <w:rsid w:val="00CE188D"/>
    <w:rsid w:val="00CF0EEB"/>
    <w:rsid w:val="00CF1F36"/>
    <w:rsid w:val="00CF5D7B"/>
    <w:rsid w:val="00CF6820"/>
    <w:rsid w:val="00CF7ACF"/>
    <w:rsid w:val="00CF7F76"/>
    <w:rsid w:val="00D016B5"/>
    <w:rsid w:val="00D034F1"/>
    <w:rsid w:val="00D07988"/>
    <w:rsid w:val="00D136A8"/>
    <w:rsid w:val="00D27D5E"/>
    <w:rsid w:val="00D35D6E"/>
    <w:rsid w:val="00D35DF4"/>
    <w:rsid w:val="00D4762D"/>
    <w:rsid w:val="00D47F40"/>
    <w:rsid w:val="00D512E0"/>
    <w:rsid w:val="00D51F68"/>
    <w:rsid w:val="00D5419F"/>
    <w:rsid w:val="00D55609"/>
    <w:rsid w:val="00D55928"/>
    <w:rsid w:val="00D5673E"/>
    <w:rsid w:val="00D67683"/>
    <w:rsid w:val="00D72B62"/>
    <w:rsid w:val="00D7479D"/>
    <w:rsid w:val="00D75B19"/>
    <w:rsid w:val="00D75CE5"/>
    <w:rsid w:val="00D76B05"/>
    <w:rsid w:val="00D80C7A"/>
    <w:rsid w:val="00D81C03"/>
    <w:rsid w:val="00D83979"/>
    <w:rsid w:val="00D93219"/>
    <w:rsid w:val="00D93E0D"/>
    <w:rsid w:val="00D9738E"/>
    <w:rsid w:val="00DA1ED4"/>
    <w:rsid w:val="00DA53D9"/>
    <w:rsid w:val="00DA6B58"/>
    <w:rsid w:val="00DB217E"/>
    <w:rsid w:val="00DB395A"/>
    <w:rsid w:val="00DB4FBC"/>
    <w:rsid w:val="00DC0D5F"/>
    <w:rsid w:val="00DD00A1"/>
    <w:rsid w:val="00DD0964"/>
    <w:rsid w:val="00DD54BE"/>
    <w:rsid w:val="00DD5676"/>
    <w:rsid w:val="00DD594D"/>
    <w:rsid w:val="00DE2AE6"/>
    <w:rsid w:val="00DE49A1"/>
    <w:rsid w:val="00DE6479"/>
    <w:rsid w:val="00DE6D90"/>
    <w:rsid w:val="00DF002F"/>
    <w:rsid w:val="00DF1FBF"/>
    <w:rsid w:val="00DF39B4"/>
    <w:rsid w:val="00DF5D1E"/>
    <w:rsid w:val="00E01507"/>
    <w:rsid w:val="00E01ABA"/>
    <w:rsid w:val="00E0244D"/>
    <w:rsid w:val="00E02C9E"/>
    <w:rsid w:val="00E034C2"/>
    <w:rsid w:val="00E03AB0"/>
    <w:rsid w:val="00E06469"/>
    <w:rsid w:val="00E1116A"/>
    <w:rsid w:val="00E14903"/>
    <w:rsid w:val="00E2143F"/>
    <w:rsid w:val="00E23BBE"/>
    <w:rsid w:val="00E24EF6"/>
    <w:rsid w:val="00E25A16"/>
    <w:rsid w:val="00E34F1C"/>
    <w:rsid w:val="00E41982"/>
    <w:rsid w:val="00E45586"/>
    <w:rsid w:val="00E45627"/>
    <w:rsid w:val="00E47BA7"/>
    <w:rsid w:val="00E50CBE"/>
    <w:rsid w:val="00E6171D"/>
    <w:rsid w:val="00E6277C"/>
    <w:rsid w:val="00E6597C"/>
    <w:rsid w:val="00E728BE"/>
    <w:rsid w:val="00E74816"/>
    <w:rsid w:val="00E81E94"/>
    <w:rsid w:val="00E82607"/>
    <w:rsid w:val="00E83C09"/>
    <w:rsid w:val="00E95025"/>
    <w:rsid w:val="00EA0825"/>
    <w:rsid w:val="00EA0EC3"/>
    <w:rsid w:val="00EA459C"/>
    <w:rsid w:val="00EB397B"/>
    <w:rsid w:val="00EB4E53"/>
    <w:rsid w:val="00EB68C3"/>
    <w:rsid w:val="00EB73DB"/>
    <w:rsid w:val="00EB7A19"/>
    <w:rsid w:val="00EC0910"/>
    <w:rsid w:val="00EC14BC"/>
    <w:rsid w:val="00EC15C1"/>
    <w:rsid w:val="00EC2767"/>
    <w:rsid w:val="00EC380E"/>
    <w:rsid w:val="00EC3DB6"/>
    <w:rsid w:val="00EC4E1A"/>
    <w:rsid w:val="00EC586C"/>
    <w:rsid w:val="00EC677E"/>
    <w:rsid w:val="00EC7E8A"/>
    <w:rsid w:val="00ED05DA"/>
    <w:rsid w:val="00ED24C3"/>
    <w:rsid w:val="00ED73BB"/>
    <w:rsid w:val="00EE04B8"/>
    <w:rsid w:val="00EE1A0D"/>
    <w:rsid w:val="00EE1FB9"/>
    <w:rsid w:val="00EF3E73"/>
    <w:rsid w:val="00EF46F6"/>
    <w:rsid w:val="00EF6BDB"/>
    <w:rsid w:val="00EF7CFC"/>
    <w:rsid w:val="00F03658"/>
    <w:rsid w:val="00F07929"/>
    <w:rsid w:val="00F12B4B"/>
    <w:rsid w:val="00F14725"/>
    <w:rsid w:val="00F15D18"/>
    <w:rsid w:val="00F200BF"/>
    <w:rsid w:val="00F263D6"/>
    <w:rsid w:val="00F26AEA"/>
    <w:rsid w:val="00F26C35"/>
    <w:rsid w:val="00F37EF9"/>
    <w:rsid w:val="00F41F38"/>
    <w:rsid w:val="00F42E1F"/>
    <w:rsid w:val="00F4474F"/>
    <w:rsid w:val="00F519FC"/>
    <w:rsid w:val="00F51E3D"/>
    <w:rsid w:val="00F56768"/>
    <w:rsid w:val="00F56916"/>
    <w:rsid w:val="00F57E42"/>
    <w:rsid w:val="00F606A1"/>
    <w:rsid w:val="00F61501"/>
    <w:rsid w:val="00F62431"/>
    <w:rsid w:val="00F64DE0"/>
    <w:rsid w:val="00F71BF2"/>
    <w:rsid w:val="00F72017"/>
    <w:rsid w:val="00F7730F"/>
    <w:rsid w:val="00F778C1"/>
    <w:rsid w:val="00F80728"/>
    <w:rsid w:val="00F80812"/>
    <w:rsid w:val="00F8294F"/>
    <w:rsid w:val="00F95A12"/>
    <w:rsid w:val="00FA04AA"/>
    <w:rsid w:val="00FA0AB4"/>
    <w:rsid w:val="00FA16C5"/>
    <w:rsid w:val="00FA2F80"/>
    <w:rsid w:val="00FA3B23"/>
    <w:rsid w:val="00FA4C25"/>
    <w:rsid w:val="00FA5A79"/>
    <w:rsid w:val="00FB0AD9"/>
    <w:rsid w:val="00FB0BFE"/>
    <w:rsid w:val="00FB4C51"/>
    <w:rsid w:val="00FB6E62"/>
    <w:rsid w:val="00FC425C"/>
    <w:rsid w:val="00FC5702"/>
    <w:rsid w:val="00FC7618"/>
    <w:rsid w:val="00FD0A97"/>
    <w:rsid w:val="00FD3125"/>
    <w:rsid w:val="00FD6C72"/>
    <w:rsid w:val="00FD771C"/>
    <w:rsid w:val="00FE0478"/>
    <w:rsid w:val="00FE2E4F"/>
    <w:rsid w:val="00FF18C6"/>
    <w:rsid w:val="00FF1DBD"/>
    <w:rsid w:val="00FF41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rsid w:val="002A440C"/>
    <w:pPr>
      <w:outlineLvl w:val="3"/>
    </w:pPr>
  </w:style>
  <w:style w:type="paragraph" w:styleId="Heading5">
    <w:name w:val="heading 5"/>
    <w:basedOn w:val="Normal"/>
    <w:next w:val="Normal"/>
    <w:qFormat/>
    <w:rsid w:val="002A440C"/>
    <w:pPr>
      <w:outlineLvl w:val="4"/>
    </w:pPr>
  </w:style>
  <w:style w:type="paragraph" w:styleId="Heading6">
    <w:name w:val="heading 6"/>
    <w:basedOn w:val="Normal"/>
    <w:next w:val="Normal"/>
    <w:qFormat/>
    <w:rsid w:val="002A440C"/>
    <w:pPr>
      <w:outlineLvl w:val="5"/>
    </w:pPr>
  </w:style>
  <w:style w:type="paragraph" w:styleId="Heading7">
    <w:name w:val="heading 7"/>
    <w:basedOn w:val="Normal"/>
    <w:next w:val="Normal"/>
    <w:qFormat/>
    <w:rsid w:val="002A440C"/>
    <w:pPr>
      <w:outlineLvl w:val="6"/>
    </w:pPr>
  </w:style>
  <w:style w:type="paragraph" w:styleId="Heading8">
    <w:name w:val="heading 8"/>
    <w:basedOn w:val="Normal"/>
    <w:next w:val="Normal"/>
    <w:qFormat/>
    <w:rsid w:val="002A440C"/>
    <w:pPr>
      <w:outlineLvl w:val="7"/>
    </w:pPr>
  </w:style>
  <w:style w:type="paragraph" w:styleId="Heading9">
    <w:name w:val="heading 9"/>
    <w:basedOn w:val="Normal"/>
    <w:next w:val="Normal"/>
    <w:qFormat/>
    <w:rsid w:val="002A44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rPr>
      <w:lang/>
    </w:r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5E3A5F"/>
    <w:pPr>
      <w:spacing w:line="240" w:lineRule="auto"/>
    </w:pPr>
    <w:rPr>
      <w:rFonts w:ascii="Tahoma" w:hAnsi="Tahoma"/>
      <w:sz w:val="16"/>
      <w:szCs w:val="16"/>
    </w:rPr>
  </w:style>
  <w:style w:type="character" w:customStyle="1" w:styleId="BalloonTextChar">
    <w:name w:val="Balloon Text Char"/>
    <w:link w:val="BalloonText"/>
    <w:rsid w:val="005E3A5F"/>
    <w:rPr>
      <w:rFonts w:ascii="Tahoma" w:hAnsi="Tahoma" w:cs="Tahoma"/>
      <w:sz w:val="16"/>
      <w:szCs w:val="16"/>
      <w:lang w:val="fr-CH" w:eastAsia="en-US"/>
    </w:rPr>
  </w:style>
  <w:style w:type="character" w:styleId="CommentReference">
    <w:name w:val="annotation reference"/>
    <w:rsid w:val="003C6ED9"/>
    <w:rPr>
      <w:sz w:val="16"/>
      <w:szCs w:val="16"/>
    </w:rPr>
  </w:style>
  <w:style w:type="paragraph" w:styleId="CommentText">
    <w:name w:val="annotation text"/>
    <w:basedOn w:val="Normal"/>
    <w:link w:val="CommentTextChar"/>
    <w:rsid w:val="003C6ED9"/>
  </w:style>
  <w:style w:type="character" w:customStyle="1" w:styleId="CommentTextChar">
    <w:name w:val="Comment Text Char"/>
    <w:link w:val="CommentText"/>
    <w:rsid w:val="003C6ED9"/>
    <w:rPr>
      <w:lang w:val="fr-CH" w:eastAsia="en-US"/>
    </w:rPr>
  </w:style>
  <w:style w:type="paragraph" w:styleId="CommentSubject">
    <w:name w:val="annotation subject"/>
    <w:basedOn w:val="CommentText"/>
    <w:next w:val="CommentText"/>
    <w:link w:val="CommentSubjectChar"/>
    <w:rsid w:val="003C6ED9"/>
    <w:rPr>
      <w:b/>
      <w:bCs/>
    </w:rPr>
  </w:style>
  <w:style w:type="character" w:customStyle="1" w:styleId="CommentSubjectChar">
    <w:name w:val="Comment Subject Char"/>
    <w:link w:val="CommentSubject"/>
    <w:rsid w:val="003C6ED9"/>
    <w:rPr>
      <w:b/>
      <w:bCs/>
      <w:lang w:val="fr-CH" w:eastAsia="en-US"/>
    </w:rPr>
  </w:style>
  <w:style w:type="paragraph" w:styleId="Revision">
    <w:name w:val="Revision"/>
    <w:hidden/>
    <w:uiPriority w:val="99"/>
    <w:semiHidden/>
    <w:rsid w:val="00414736"/>
    <w:rPr>
      <w:lang w:val="fr-CH"/>
    </w:rPr>
  </w:style>
  <w:style w:type="character" w:customStyle="1" w:styleId="highlight">
    <w:name w:val="highlight"/>
    <w:basedOn w:val="DefaultParagraphFont"/>
    <w:rsid w:val="002758FF"/>
  </w:style>
  <w:style w:type="character" w:customStyle="1" w:styleId="SingleTxtGChar">
    <w:name w:val="_ Single Txt_G Char"/>
    <w:link w:val="SingleTxtG"/>
    <w:locked/>
    <w:rsid w:val="00267203"/>
    <w:rPr>
      <w:lang w:eastAsia="en-US"/>
    </w:rPr>
  </w:style>
  <w:style w:type="character" w:customStyle="1" w:styleId="A5">
    <w:name w:val="A5"/>
    <w:uiPriority w:val="99"/>
    <w:rsid w:val="0025666A"/>
    <w:rPr>
      <w:color w:val="000000"/>
      <w:sz w:val="21"/>
      <w:szCs w:val="21"/>
    </w:rPr>
  </w:style>
  <w:style w:type="paragraph" w:styleId="NormalWeb">
    <w:name w:val="Normal (Web)"/>
    <w:basedOn w:val="Normal"/>
    <w:uiPriority w:val="99"/>
    <w:unhideWhenUsed/>
    <w:rsid w:val="009823F6"/>
    <w:pPr>
      <w:suppressAutoHyphens w:val="0"/>
      <w:spacing w:before="100" w:beforeAutospacing="1" w:after="100" w:afterAutospacing="1" w:line="240" w:lineRule="auto"/>
    </w:pPr>
    <w:rPr>
      <w:sz w:val="24"/>
      <w:szCs w:val="24"/>
      <w:lang w:val="en-GB" w:eastAsia="en-GB"/>
    </w:rPr>
  </w:style>
  <w:style w:type="character" w:customStyle="1" w:styleId="highlight1">
    <w:name w:val="highlight1"/>
    <w:rsid w:val="009823F6"/>
    <w:rPr>
      <w:shd w:val="clear" w:color="auto" w:fill="FFCC33"/>
    </w:rPr>
  </w:style>
  <w:style w:type="character" w:styleId="Strong">
    <w:name w:val="Strong"/>
    <w:uiPriority w:val="22"/>
    <w:qFormat/>
    <w:rsid w:val="005858C0"/>
    <w:rPr>
      <w:b/>
      <w:bCs/>
    </w:rPr>
  </w:style>
  <w:style w:type="character" w:styleId="Emphasis">
    <w:name w:val="Emphasis"/>
    <w:uiPriority w:val="20"/>
    <w:qFormat/>
    <w:rsid w:val="00CB59EB"/>
    <w:rPr>
      <w:b/>
      <w:bCs/>
      <w:i w:val="0"/>
      <w:iCs w:val="0"/>
    </w:rPr>
  </w:style>
  <w:style w:type="character" w:customStyle="1" w:styleId="st">
    <w:name w:val="st"/>
    <w:rsid w:val="00CB59EB"/>
  </w:style>
</w:styles>
</file>

<file path=word/webSettings.xml><?xml version="1.0" encoding="utf-8"?>
<w:webSettings xmlns:r="http://schemas.openxmlformats.org/officeDocument/2006/relationships" xmlns:w="http://schemas.openxmlformats.org/wordprocessingml/2006/main">
  <w:divs>
    <w:div w:id="116486689">
      <w:bodyDiv w:val="1"/>
      <w:marLeft w:val="0"/>
      <w:marRight w:val="0"/>
      <w:marTop w:val="0"/>
      <w:marBottom w:val="0"/>
      <w:divBdr>
        <w:top w:val="none" w:sz="0" w:space="0" w:color="auto"/>
        <w:left w:val="none" w:sz="0" w:space="0" w:color="auto"/>
        <w:bottom w:val="none" w:sz="0" w:space="0" w:color="auto"/>
        <w:right w:val="none" w:sz="0" w:space="0" w:color="auto"/>
      </w:divBdr>
      <w:divsChild>
        <w:div w:id="1084182056">
          <w:marLeft w:val="0"/>
          <w:marRight w:val="0"/>
          <w:marTop w:val="0"/>
          <w:marBottom w:val="0"/>
          <w:divBdr>
            <w:top w:val="none" w:sz="0" w:space="0" w:color="auto"/>
            <w:left w:val="none" w:sz="0" w:space="0" w:color="auto"/>
            <w:bottom w:val="none" w:sz="0" w:space="0" w:color="auto"/>
            <w:right w:val="none" w:sz="0" w:space="0" w:color="auto"/>
          </w:divBdr>
        </w:div>
        <w:div w:id="1240871234">
          <w:marLeft w:val="0"/>
          <w:marRight w:val="0"/>
          <w:marTop w:val="0"/>
          <w:marBottom w:val="0"/>
          <w:divBdr>
            <w:top w:val="none" w:sz="0" w:space="0" w:color="auto"/>
            <w:left w:val="none" w:sz="0" w:space="0" w:color="auto"/>
            <w:bottom w:val="none" w:sz="0" w:space="0" w:color="auto"/>
            <w:right w:val="none" w:sz="0" w:space="0" w:color="auto"/>
          </w:divBdr>
        </w:div>
      </w:divsChild>
    </w:div>
    <w:div w:id="740981740">
      <w:bodyDiv w:val="1"/>
      <w:marLeft w:val="0"/>
      <w:marRight w:val="0"/>
      <w:marTop w:val="0"/>
      <w:marBottom w:val="0"/>
      <w:divBdr>
        <w:top w:val="none" w:sz="0" w:space="0" w:color="auto"/>
        <w:left w:val="none" w:sz="0" w:space="0" w:color="auto"/>
        <w:bottom w:val="none" w:sz="0" w:space="0" w:color="auto"/>
        <w:right w:val="none" w:sz="0" w:space="0" w:color="auto"/>
      </w:divBdr>
      <w:divsChild>
        <w:div w:id="350499966">
          <w:marLeft w:val="0"/>
          <w:marRight w:val="0"/>
          <w:marTop w:val="0"/>
          <w:marBottom w:val="0"/>
          <w:divBdr>
            <w:top w:val="none" w:sz="0" w:space="0" w:color="auto"/>
            <w:left w:val="none" w:sz="0" w:space="0" w:color="auto"/>
            <w:bottom w:val="none" w:sz="0" w:space="0" w:color="auto"/>
            <w:right w:val="none" w:sz="0" w:space="0" w:color="auto"/>
          </w:divBdr>
        </w:div>
        <w:div w:id="549420349">
          <w:marLeft w:val="0"/>
          <w:marRight w:val="0"/>
          <w:marTop w:val="0"/>
          <w:marBottom w:val="0"/>
          <w:divBdr>
            <w:top w:val="none" w:sz="0" w:space="0" w:color="auto"/>
            <w:left w:val="none" w:sz="0" w:space="0" w:color="auto"/>
            <w:bottom w:val="none" w:sz="0" w:space="0" w:color="auto"/>
            <w:right w:val="none" w:sz="0" w:space="0" w:color="auto"/>
          </w:divBdr>
        </w:div>
        <w:div w:id="567030892">
          <w:marLeft w:val="0"/>
          <w:marRight w:val="0"/>
          <w:marTop w:val="0"/>
          <w:marBottom w:val="0"/>
          <w:divBdr>
            <w:top w:val="none" w:sz="0" w:space="0" w:color="auto"/>
            <w:left w:val="none" w:sz="0" w:space="0" w:color="auto"/>
            <w:bottom w:val="none" w:sz="0" w:space="0" w:color="auto"/>
            <w:right w:val="none" w:sz="0" w:space="0" w:color="auto"/>
          </w:divBdr>
        </w:div>
        <w:div w:id="897859752">
          <w:marLeft w:val="0"/>
          <w:marRight w:val="0"/>
          <w:marTop w:val="0"/>
          <w:marBottom w:val="0"/>
          <w:divBdr>
            <w:top w:val="none" w:sz="0" w:space="0" w:color="auto"/>
            <w:left w:val="none" w:sz="0" w:space="0" w:color="auto"/>
            <w:bottom w:val="none" w:sz="0" w:space="0" w:color="auto"/>
            <w:right w:val="none" w:sz="0" w:space="0" w:color="auto"/>
          </w:divBdr>
        </w:div>
        <w:div w:id="1101488222">
          <w:marLeft w:val="0"/>
          <w:marRight w:val="0"/>
          <w:marTop w:val="0"/>
          <w:marBottom w:val="0"/>
          <w:divBdr>
            <w:top w:val="none" w:sz="0" w:space="0" w:color="auto"/>
            <w:left w:val="none" w:sz="0" w:space="0" w:color="auto"/>
            <w:bottom w:val="none" w:sz="0" w:space="0" w:color="auto"/>
            <w:right w:val="none" w:sz="0" w:space="0" w:color="auto"/>
          </w:divBdr>
        </w:div>
        <w:div w:id="1644970408">
          <w:marLeft w:val="0"/>
          <w:marRight w:val="0"/>
          <w:marTop w:val="0"/>
          <w:marBottom w:val="0"/>
          <w:divBdr>
            <w:top w:val="none" w:sz="0" w:space="0" w:color="auto"/>
            <w:left w:val="none" w:sz="0" w:space="0" w:color="auto"/>
            <w:bottom w:val="none" w:sz="0" w:space="0" w:color="auto"/>
            <w:right w:val="none" w:sz="0" w:space="0" w:color="auto"/>
          </w:divBdr>
        </w:div>
        <w:div w:id="1767119054">
          <w:marLeft w:val="0"/>
          <w:marRight w:val="0"/>
          <w:marTop w:val="0"/>
          <w:marBottom w:val="0"/>
          <w:divBdr>
            <w:top w:val="none" w:sz="0" w:space="0" w:color="auto"/>
            <w:left w:val="none" w:sz="0" w:space="0" w:color="auto"/>
            <w:bottom w:val="none" w:sz="0" w:space="0" w:color="auto"/>
            <w:right w:val="none" w:sz="0" w:space="0" w:color="auto"/>
          </w:divBdr>
        </w:div>
      </w:divsChild>
    </w:div>
    <w:div w:id="816341194">
      <w:bodyDiv w:val="1"/>
      <w:marLeft w:val="0"/>
      <w:marRight w:val="0"/>
      <w:marTop w:val="0"/>
      <w:marBottom w:val="0"/>
      <w:divBdr>
        <w:top w:val="none" w:sz="0" w:space="0" w:color="auto"/>
        <w:left w:val="none" w:sz="0" w:space="0" w:color="auto"/>
        <w:bottom w:val="none" w:sz="0" w:space="0" w:color="auto"/>
        <w:right w:val="none" w:sz="0" w:space="0" w:color="auto"/>
      </w:divBdr>
      <w:divsChild>
        <w:div w:id="1434207096">
          <w:marLeft w:val="0"/>
          <w:marRight w:val="0"/>
          <w:marTop w:val="0"/>
          <w:marBottom w:val="0"/>
          <w:divBdr>
            <w:top w:val="none" w:sz="0" w:space="0" w:color="auto"/>
            <w:left w:val="none" w:sz="0" w:space="0" w:color="auto"/>
            <w:bottom w:val="none" w:sz="0" w:space="0" w:color="auto"/>
            <w:right w:val="none" w:sz="0" w:space="0" w:color="auto"/>
          </w:divBdr>
        </w:div>
        <w:div w:id="1650018248">
          <w:marLeft w:val="0"/>
          <w:marRight w:val="0"/>
          <w:marTop w:val="0"/>
          <w:marBottom w:val="0"/>
          <w:divBdr>
            <w:top w:val="none" w:sz="0" w:space="0" w:color="auto"/>
            <w:left w:val="none" w:sz="0" w:space="0" w:color="auto"/>
            <w:bottom w:val="none" w:sz="0" w:space="0" w:color="auto"/>
            <w:right w:val="none" w:sz="0" w:space="0" w:color="auto"/>
          </w:divBdr>
        </w:div>
        <w:div w:id="1949921135">
          <w:marLeft w:val="0"/>
          <w:marRight w:val="0"/>
          <w:marTop w:val="0"/>
          <w:marBottom w:val="0"/>
          <w:divBdr>
            <w:top w:val="none" w:sz="0" w:space="0" w:color="auto"/>
            <w:left w:val="none" w:sz="0" w:space="0" w:color="auto"/>
            <w:bottom w:val="none" w:sz="0" w:space="0" w:color="auto"/>
            <w:right w:val="none" w:sz="0" w:space="0" w:color="auto"/>
          </w:divBdr>
        </w:div>
      </w:divsChild>
    </w:div>
    <w:div w:id="956333585">
      <w:bodyDiv w:val="1"/>
      <w:marLeft w:val="0"/>
      <w:marRight w:val="0"/>
      <w:marTop w:val="0"/>
      <w:marBottom w:val="0"/>
      <w:divBdr>
        <w:top w:val="none" w:sz="0" w:space="0" w:color="auto"/>
        <w:left w:val="none" w:sz="0" w:space="0" w:color="auto"/>
        <w:bottom w:val="none" w:sz="0" w:space="0" w:color="auto"/>
        <w:right w:val="none" w:sz="0" w:space="0" w:color="auto"/>
      </w:divBdr>
      <w:divsChild>
        <w:div w:id="292176038">
          <w:marLeft w:val="0"/>
          <w:marRight w:val="0"/>
          <w:marTop w:val="0"/>
          <w:marBottom w:val="0"/>
          <w:divBdr>
            <w:top w:val="none" w:sz="0" w:space="0" w:color="auto"/>
            <w:left w:val="none" w:sz="0" w:space="0" w:color="auto"/>
            <w:bottom w:val="none" w:sz="0" w:space="0" w:color="auto"/>
            <w:right w:val="none" w:sz="0" w:space="0" w:color="auto"/>
          </w:divBdr>
        </w:div>
        <w:div w:id="693924269">
          <w:marLeft w:val="0"/>
          <w:marRight w:val="0"/>
          <w:marTop w:val="0"/>
          <w:marBottom w:val="0"/>
          <w:divBdr>
            <w:top w:val="none" w:sz="0" w:space="0" w:color="auto"/>
            <w:left w:val="none" w:sz="0" w:space="0" w:color="auto"/>
            <w:bottom w:val="none" w:sz="0" w:space="0" w:color="auto"/>
            <w:right w:val="none" w:sz="0" w:space="0" w:color="auto"/>
          </w:divBdr>
        </w:div>
        <w:div w:id="716244107">
          <w:marLeft w:val="0"/>
          <w:marRight w:val="0"/>
          <w:marTop w:val="0"/>
          <w:marBottom w:val="0"/>
          <w:divBdr>
            <w:top w:val="none" w:sz="0" w:space="0" w:color="auto"/>
            <w:left w:val="none" w:sz="0" w:space="0" w:color="auto"/>
            <w:bottom w:val="none" w:sz="0" w:space="0" w:color="auto"/>
            <w:right w:val="none" w:sz="0" w:space="0" w:color="auto"/>
          </w:divBdr>
        </w:div>
        <w:div w:id="726690348">
          <w:marLeft w:val="0"/>
          <w:marRight w:val="0"/>
          <w:marTop w:val="0"/>
          <w:marBottom w:val="0"/>
          <w:divBdr>
            <w:top w:val="none" w:sz="0" w:space="0" w:color="auto"/>
            <w:left w:val="none" w:sz="0" w:space="0" w:color="auto"/>
            <w:bottom w:val="none" w:sz="0" w:space="0" w:color="auto"/>
            <w:right w:val="none" w:sz="0" w:space="0" w:color="auto"/>
          </w:divBdr>
        </w:div>
        <w:div w:id="1091242370">
          <w:marLeft w:val="0"/>
          <w:marRight w:val="0"/>
          <w:marTop w:val="0"/>
          <w:marBottom w:val="0"/>
          <w:divBdr>
            <w:top w:val="none" w:sz="0" w:space="0" w:color="auto"/>
            <w:left w:val="none" w:sz="0" w:space="0" w:color="auto"/>
            <w:bottom w:val="none" w:sz="0" w:space="0" w:color="auto"/>
            <w:right w:val="none" w:sz="0" w:space="0" w:color="auto"/>
          </w:divBdr>
        </w:div>
        <w:div w:id="1369913794">
          <w:marLeft w:val="0"/>
          <w:marRight w:val="0"/>
          <w:marTop w:val="0"/>
          <w:marBottom w:val="0"/>
          <w:divBdr>
            <w:top w:val="none" w:sz="0" w:space="0" w:color="auto"/>
            <w:left w:val="none" w:sz="0" w:space="0" w:color="auto"/>
            <w:bottom w:val="none" w:sz="0" w:space="0" w:color="auto"/>
            <w:right w:val="none" w:sz="0" w:space="0" w:color="auto"/>
          </w:divBdr>
        </w:div>
        <w:div w:id="1430276783">
          <w:marLeft w:val="0"/>
          <w:marRight w:val="0"/>
          <w:marTop w:val="0"/>
          <w:marBottom w:val="0"/>
          <w:divBdr>
            <w:top w:val="none" w:sz="0" w:space="0" w:color="auto"/>
            <w:left w:val="none" w:sz="0" w:space="0" w:color="auto"/>
            <w:bottom w:val="none" w:sz="0" w:space="0" w:color="auto"/>
            <w:right w:val="none" w:sz="0" w:space="0" w:color="auto"/>
          </w:divBdr>
        </w:div>
        <w:div w:id="1451246915">
          <w:marLeft w:val="0"/>
          <w:marRight w:val="0"/>
          <w:marTop w:val="0"/>
          <w:marBottom w:val="0"/>
          <w:divBdr>
            <w:top w:val="none" w:sz="0" w:space="0" w:color="auto"/>
            <w:left w:val="none" w:sz="0" w:space="0" w:color="auto"/>
            <w:bottom w:val="none" w:sz="0" w:space="0" w:color="auto"/>
            <w:right w:val="none" w:sz="0" w:space="0" w:color="auto"/>
          </w:divBdr>
        </w:div>
        <w:div w:id="1838379915">
          <w:marLeft w:val="0"/>
          <w:marRight w:val="0"/>
          <w:marTop w:val="0"/>
          <w:marBottom w:val="0"/>
          <w:divBdr>
            <w:top w:val="none" w:sz="0" w:space="0" w:color="auto"/>
            <w:left w:val="none" w:sz="0" w:space="0" w:color="auto"/>
            <w:bottom w:val="none" w:sz="0" w:space="0" w:color="auto"/>
            <w:right w:val="none" w:sz="0" w:space="0" w:color="auto"/>
          </w:divBdr>
        </w:div>
      </w:divsChild>
    </w:div>
    <w:div w:id="1467508505">
      <w:bodyDiv w:val="1"/>
      <w:marLeft w:val="0"/>
      <w:marRight w:val="0"/>
      <w:marTop w:val="0"/>
      <w:marBottom w:val="0"/>
      <w:divBdr>
        <w:top w:val="none" w:sz="0" w:space="0" w:color="auto"/>
        <w:left w:val="none" w:sz="0" w:space="0" w:color="auto"/>
        <w:bottom w:val="none" w:sz="0" w:space="0" w:color="auto"/>
        <w:right w:val="none" w:sz="0" w:space="0" w:color="auto"/>
      </w:divBdr>
      <w:divsChild>
        <w:div w:id="433013470">
          <w:marLeft w:val="0"/>
          <w:marRight w:val="0"/>
          <w:marTop w:val="0"/>
          <w:marBottom w:val="0"/>
          <w:divBdr>
            <w:top w:val="none" w:sz="0" w:space="0" w:color="auto"/>
            <w:left w:val="none" w:sz="0" w:space="0" w:color="auto"/>
            <w:bottom w:val="none" w:sz="0" w:space="0" w:color="auto"/>
            <w:right w:val="none" w:sz="0" w:space="0" w:color="auto"/>
          </w:divBdr>
        </w:div>
        <w:div w:id="695816547">
          <w:marLeft w:val="0"/>
          <w:marRight w:val="0"/>
          <w:marTop w:val="0"/>
          <w:marBottom w:val="0"/>
          <w:divBdr>
            <w:top w:val="none" w:sz="0" w:space="0" w:color="auto"/>
            <w:left w:val="none" w:sz="0" w:space="0" w:color="auto"/>
            <w:bottom w:val="none" w:sz="0" w:space="0" w:color="auto"/>
            <w:right w:val="none" w:sz="0" w:space="0" w:color="auto"/>
          </w:divBdr>
        </w:div>
        <w:div w:id="1163397468">
          <w:marLeft w:val="0"/>
          <w:marRight w:val="0"/>
          <w:marTop w:val="0"/>
          <w:marBottom w:val="0"/>
          <w:divBdr>
            <w:top w:val="none" w:sz="0" w:space="0" w:color="auto"/>
            <w:left w:val="none" w:sz="0" w:space="0" w:color="auto"/>
            <w:bottom w:val="none" w:sz="0" w:space="0" w:color="auto"/>
            <w:right w:val="none" w:sz="0" w:space="0" w:color="auto"/>
          </w:divBdr>
        </w:div>
        <w:div w:id="1380547493">
          <w:marLeft w:val="0"/>
          <w:marRight w:val="0"/>
          <w:marTop w:val="0"/>
          <w:marBottom w:val="0"/>
          <w:divBdr>
            <w:top w:val="none" w:sz="0" w:space="0" w:color="auto"/>
            <w:left w:val="none" w:sz="0" w:space="0" w:color="auto"/>
            <w:bottom w:val="none" w:sz="0" w:space="0" w:color="auto"/>
            <w:right w:val="none" w:sz="0" w:space="0" w:color="auto"/>
          </w:divBdr>
        </w:div>
        <w:div w:id="1529680487">
          <w:marLeft w:val="0"/>
          <w:marRight w:val="0"/>
          <w:marTop w:val="0"/>
          <w:marBottom w:val="0"/>
          <w:divBdr>
            <w:top w:val="none" w:sz="0" w:space="0" w:color="auto"/>
            <w:left w:val="none" w:sz="0" w:space="0" w:color="auto"/>
            <w:bottom w:val="none" w:sz="0" w:space="0" w:color="auto"/>
            <w:right w:val="none" w:sz="0" w:space="0" w:color="auto"/>
          </w:divBdr>
        </w:div>
        <w:div w:id="1806507172">
          <w:marLeft w:val="0"/>
          <w:marRight w:val="0"/>
          <w:marTop w:val="0"/>
          <w:marBottom w:val="0"/>
          <w:divBdr>
            <w:top w:val="none" w:sz="0" w:space="0" w:color="auto"/>
            <w:left w:val="none" w:sz="0" w:space="0" w:color="auto"/>
            <w:bottom w:val="none" w:sz="0" w:space="0" w:color="auto"/>
            <w:right w:val="none" w:sz="0" w:space="0" w:color="auto"/>
          </w:divBdr>
        </w:div>
        <w:div w:id="2062122609">
          <w:marLeft w:val="0"/>
          <w:marRight w:val="0"/>
          <w:marTop w:val="0"/>
          <w:marBottom w:val="0"/>
          <w:divBdr>
            <w:top w:val="none" w:sz="0" w:space="0" w:color="auto"/>
            <w:left w:val="none" w:sz="0" w:space="0" w:color="auto"/>
            <w:bottom w:val="none" w:sz="0" w:space="0" w:color="auto"/>
            <w:right w:val="none" w:sz="0" w:space="0" w:color="auto"/>
          </w:divBdr>
        </w:div>
      </w:divsChild>
    </w:div>
    <w:div w:id="1557812643">
      <w:bodyDiv w:val="1"/>
      <w:marLeft w:val="0"/>
      <w:marRight w:val="0"/>
      <w:marTop w:val="0"/>
      <w:marBottom w:val="0"/>
      <w:divBdr>
        <w:top w:val="none" w:sz="0" w:space="0" w:color="auto"/>
        <w:left w:val="none" w:sz="0" w:space="0" w:color="auto"/>
        <w:bottom w:val="none" w:sz="0" w:space="0" w:color="auto"/>
        <w:right w:val="none" w:sz="0" w:space="0" w:color="auto"/>
      </w:divBdr>
      <w:divsChild>
        <w:div w:id="442069662">
          <w:marLeft w:val="0"/>
          <w:marRight w:val="0"/>
          <w:marTop w:val="0"/>
          <w:marBottom w:val="0"/>
          <w:divBdr>
            <w:top w:val="none" w:sz="0" w:space="0" w:color="auto"/>
            <w:left w:val="none" w:sz="0" w:space="0" w:color="auto"/>
            <w:bottom w:val="none" w:sz="0" w:space="0" w:color="auto"/>
            <w:right w:val="none" w:sz="0" w:space="0" w:color="auto"/>
          </w:divBdr>
        </w:div>
        <w:div w:id="1097361418">
          <w:marLeft w:val="0"/>
          <w:marRight w:val="0"/>
          <w:marTop w:val="0"/>
          <w:marBottom w:val="0"/>
          <w:divBdr>
            <w:top w:val="none" w:sz="0" w:space="0" w:color="auto"/>
            <w:left w:val="none" w:sz="0" w:space="0" w:color="auto"/>
            <w:bottom w:val="none" w:sz="0" w:space="0" w:color="auto"/>
            <w:right w:val="none" w:sz="0" w:space="0" w:color="auto"/>
          </w:divBdr>
        </w:div>
      </w:divsChild>
    </w:div>
    <w:div w:id="2091803861">
      <w:bodyDiv w:val="1"/>
      <w:marLeft w:val="0"/>
      <w:marRight w:val="0"/>
      <w:marTop w:val="0"/>
      <w:marBottom w:val="0"/>
      <w:divBdr>
        <w:top w:val="none" w:sz="0" w:space="0" w:color="auto"/>
        <w:left w:val="none" w:sz="0" w:space="0" w:color="auto"/>
        <w:bottom w:val="none" w:sz="0" w:space="0" w:color="auto"/>
        <w:right w:val="none" w:sz="0" w:space="0" w:color="auto"/>
      </w:divBdr>
      <w:divsChild>
        <w:div w:id="117653874">
          <w:marLeft w:val="0"/>
          <w:marRight w:val="0"/>
          <w:marTop w:val="0"/>
          <w:marBottom w:val="0"/>
          <w:divBdr>
            <w:top w:val="none" w:sz="0" w:space="0" w:color="auto"/>
            <w:left w:val="none" w:sz="0" w:space="0" w:color="auto"/>
            <w:bottom w:val="none" w:sz="0" w:space="0" w:color="auto"/>
            <w:right w:val="none" w:sz="0" w:space="0" w:color="auto"/>
          </w:divBdr>
        </w:div>
        <w:div w:id="1358585662">
          <w:marLeft w:val="0"/>
          <w:marRight w:val="0"/>
          <w:marTop w:val="0"/>
          <w:marBottom w:val="0"/>
          <w:divBdr>
            <w:top w:val="none" w:sz="0" w:space="0" w:color="auto"/>
            <w:left w:val="none" w:sz="0" w:space="0" w:color="auto"/>
            <w:bottom w:val="none" w:sz="0" w:space="0" w:color="auto"/>
            <w:right w:val="none" w:sz="0" w:space="0" w:color="auto"/>
          </w:divBdr>
        </w:div>
        <w:div w:id="1479803687">
          <w:marLeft w:val="0"/>
          <w:marRight w:val="0"/>
          <w:marTop w:val="0"/>
          <w:marBottom w:val="0"/>
          <w:divBdr>
            <w:top w:val="none" w:sz="0" w:space="0" w:color="auto"/>
            <w:left w:val="none" w:sz="0" w:space="0" w:color="auto"/>
            <w:bottom w:val="none" w:sz="0" w:space="0" w:color="auto"/>
            <w:right w:val="none" w:sz="0" w:space="0" w:color="auto"/>
          </w:divBdr>
        </w:div>
        <w:div w:id="2042388960">
          <w:marLeft w:val="0"/>
          <w:marRight w:val="0"/>
          <w:marTop w:val="0"/>
          <w:marBottom w:val="0"/>
          <w:divBdr>
            <w:top w:val="none" w:sz="0" w:space="0" w:color="auto"/>
            <w:left w:val="none" w:sz="0" w:space="0" w:color="auto"/>
            <w:bottom w:val="none" w:sz="0" w:space="0" w:color="auto"/>
            <w:right w:val="none" w:sz="0" w:space="0" w:color="auto"/>
          </w:divBdr>
        </w:div>
      </w:divsChild>
    </w:div>
    <w:div w:id="2123911102">
      <w:bodyDiv w:val="1"/>
      <w:marLeft w:val="0"/>
      <w:marRight w:val="0"/>
      <w:marTop w:val="0"/>
      <w:marBottom w:val="0"/>
      <w:divBdr>
        <w:top w:val="none" w:sz="0" w:space="0" w:color="auto"/>
        <w:left w:val="none" w:sz="0" w:space="0" w:color="auto"/>
        <w:bottom w:val="none" w:sz="0" w:space="0" w:color="auto"/>
        <w:right w:val="none" w:sz="0" w:space="0" w:color="auto"/>
      </w:divBdr>
      <w:divsChild>
        <w:div w:id="1036588921">
          <w:marLeft w:val="0"/>
          <w:marRight w:val="0"/>
          <w:marTop w:val="0"/>
          <w:marBottom w:val="0"/>
          <w:divBdr>
            <w:top w:val="none" w:sz="0" w:space="0" w:color="auto"/>
            <w:left w:val="none" w:sz="0" w:space="0" w:color="auto"/>
            <w:bottom w:val="none" w:sz="0" w:space="0" w:color="auto"/>
            <w:right w:val="none" w:sz="0" w:space="0" w:color="auto"/>
          </w:divBdr>
        </w:div>
        <w:div w:id="1050569204">
          <w:marLeft w:val="0"/>
          <w:marRight w:val="0"/>
          <w:marTop w:val="0"/>
          <w:marBottom w:val="0"/>
          <w:divBdr>
            <w:top w:val="none" w:sz="0" w:space="0" w:color="auto"/>
            <w:left w:val="none" w:sz="0" w:space="0" w:color="auto"/>
            <w:bottom w:val="none" w:sz="0" w:space="0" w:color="auto"/>
            <w:right w:val="none" w:sz="0" w:space="0" w:color="auto"/>
          </w:divBdr>
        </w:div>
        <w:div w:id="125266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2.ohchr.org/french/issues/judiciary/index.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CAT_F.dotm</Template>
  <TotalTime>0</TotalTime>
  <Pages>1</Pages>
  <Words>5490</Words>
  <Characters>32780</Characters>
  <Application>Microsoft Office Outlook</Application>
  <DocSecurity>4</DocSecurity>
  <Lines>1639</Lines>
  <Paragraphs>850</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37420</CharactersWithSpaces>
  <SharedDoc>false</SharedDoc>
  <HLinks>
    <vt:vector size="6" baseType="variant">
      <vt:variant>
        <vt:i4>2818152</vt:i4>
      </vt:variant>
      <vt:variant>
        <vt:i4>0</vt:i4>
      </vt:variant>
      <vt:variant>
        <vt:i4>0</vt:i4>
      </vt:variant>
      <vt:variant>
        <vt:i4>5</vt:i4>
      </vt:variant>
      <vt:variant>
        <vt:lpwstr>http://www2.ohchr.org/french/issues/judiciary/index.htm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Corvalan Bounkham</dc:creator>
  <cp:keywords/>
  <cp:lastModifiedBy>DCM</cp:lastModifiedBy>
  <cp:revision>2</cp:revision>
  <cp:lastPrinted>2013-06-18T08:28:00Z</cp:lastPrinted>
  <dcterms:created xsi:type="dcterms:W3CDTF">2013-06-18T13:07:00Z</dcterms:created>
  <dcterms:modified xsi:type="dcterms:W3CDTF">2013-06-18T13:07:00Z</dcterms:modified>
</cp:coreProperties>
</file>