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4013"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C22CB9">
            <w:pPr>
              <w:spacing w:before="284" w:after="240"/>
            </w:pPr>
            <w:r w:rsidRPr="00C22CB9">
              <w:t>CAT/C/EST/CO/4</w:t>
            </w:r>
            <w:r w:rsidR="00544A5C">
              <w:br/>
            </w:r>
            <w:r>
              <w:t>19 février</w:t>
            </w:r>
            <w:r w:rsidR="00544A5C">
              <w:t xml:space="preserve"> 200</w:t>
            </w:r>
            <w:r w:rsidR="00363BA3">
              <w:t>8</w:t>
            </w:r>
          </w:p>
          <w:p w:rsidR="00544A5C" w:rsidRDefault="00544A5C">
            <w:pPr>
              <w:spacing w:before="284" w:after="240"/>
            </w:pPr>
            <w:r>
              <w:t>FRANÇAIS</w:t>
            </w:r>
            <w:r>
              <w:br/>
              <w:t xml:space="preserve">Original: </w:t>
            </w:r>
            <w:r w:rsidR="00C22CB9">
              <w:t>ANGLAIS</w:t>
            </w:r>
          </w:p>
        </w:tc>
      </w:tr>
    </w:tbl>
    <w:p w:rsidR="00C45778" w:rsidRDefault="00544A5C" w:rsidP="00C45778">
      <w:pPr>
        <w:spacing w:before="240" w:after="480"/>
      </w:pPr>
      <w:r>
        <w:t>COMITÉ CONTRE LA TORTURE</w:t>
      </w:r>
      <w:r w:rsidR="00C45778">
        <w:br/>
        <w:t>Trente</w:t>
      </w:r>
      <w:r w:rsidR="00C45778">
        <w:noBreakHyphen/>
        <w:t>neuvième session</w:t>
      </w:r>
      <w:r w:rsidR="00C45778">
        <w:br/>
        <w:t>Genève, 5</w:t>
      </w:r>
      <w:r w:rsidR="00C45778">
        <w:noBreakHyphen/>
        <w:t>23 novembre 2007</w:t>
      </w:r>
    </w:p>
    <w:p w:rsidR="00C45778" w:rsidRDefault="00C45778" w:rsidP="00C45778">
      <w:pPr>
        <w:spacing w:after="240"/>
        <w:jc w:val="center"/>
        <w:rPr>
          <w:b/>
          <w:bCs/>
          <w:lang w:val="fr-FR"/>
        </w:rPr>
      </w:pPr>
      <w:r>
        <w:rPr>
          <w:b/>
          <w:bCs/>
          <w:lang w:val="fr-FR"/>
        </w:rPr>
        <w:t>EXAMEN DES RAPPORTS SOUMIS PAR LES ÉTATS PARTIES</w:t>
      </w:r>
      <w:r>
        <w:rPr>
          <w:b/>
          <w:bCs/>
          <w:lang w:val="fr-FR"/>
        </w:rPr>
        <w:br/>
        <w:t>EN APPLICATION DE L’ARTICLE 19 DE LA CONVENTION</w:t>
      </w:r>
    </w:p>
    <w:p w:rsidR="00C45778" w:rsidRDefault="00C45778" w:rsidP="00C45778">
      <w:pPr>
        <w:spacing w:after="240"/>
        <w:jc w:val="center"/>
      </w:pPr>
      <w:r>
        <w:rPr>
          <w:b/>
          <w:bCs/>
        </w:rPr>
        <w:t>Conclusions et recommandations du Comité contre la torture</w:t>
      </w:r>
    </w:p>
    <w:p w:rsidR="00C45778" w:rsidRDefault="00C45778" w:rsidP="00C45778">
      <w:pPr>
        <w:widowControl w:val="0"/>
        <w:spacing w:after="240"/>
        <w:jc w:val="center"/>
        <w:rPr>
          <w:b/>
        </w:rPr>
      </w:pPr>
      <w:r w:rsidRPr="00421ED1">
        <w:rPr>
          <w:b/>
        </w:rPr>
        <w:t>ESTONIE</w:t>
      </w:r>
    </w:p>
    <w:p w:rsidR="00C45778" w:rsidRDefault="00C45778" w:rsidP="00C45778">
      <w:pPr>
        <w:widowControl w:val="0"/>
        <w:spacing w:after="240"/>
      </w:pPr>
      <w:r>
        <w:t>1.</w:t>
      </w:r>
      <w:r>
        <w:tab/>
        <w:t>Le Comité contre la torture a examiné le quatrième rapport de l’Estonie (CAT/C/80/Add.1) à ses 793</w:t>
      </w:r>
      <w:r w:rsidRPr="00421ED1">
        <w:rPr>
          <w:vertAlign w:val="superscript"/>
        </w:rPr>
        <w:t>e</w:t>
      </w:r>
      <w:r>
        <w:t xml:space="preserve"> et 796</w:t>
      </w:r>
      <w:r w:rsidRPr="00421ED1">
        <w:rPr>
          <w:vertAlign w:val="superscript"/>
        </w:rPr>
        <w:t>e</w:t>
      </w:r>
      <w:r>
        <w:t xml:space="preserve"> séances (CAT/C/SR.793 et 796), tenues les 13 et 14 novembre 2007, et a adopté à sa 804</w:t>
      </w:r>
      <w:r w:rsidRPr="00277575">
        <w:rPr>
          <w:vertAlign w:val="superscript"/>
        </w:rPr>
        <w:t>e</w:t>
      </w:r>
      <w:r>
        <w:t xml:space="preserve"> séance, le 20 novembre 2007 (CAT/C/SR. 804), les conclusions et recommandations ci-après. </w:t>
      </w:r>
    </w:p>
    <w:p w:rsidR="00C45778" w:rsidRDefault="00C45778" w:rsidP="00C45778">
      <w:pPr>
        <w:widowControl w:val="0"/>
        <w:spacing w:after="240"/>
        <w:jc w:val="center"/>
        <w:rPr>
          <w:b/>
        </w:rPr>
      </w:pPr>
      <w:r>
        <w:rPr>
          <w:b/>
        </w:rPr>
        <w:t xml:space="preserve">A.  </w:t>
      </w:r>
      <w:r w:rsidRPr="00450668">
        <w:rPr>
          <w:b/>
        </w:rPr>
        <w:t>Introduction</w:t>
      </w:r>
    </w:p>
    <w:p w:rsidR="00C45778" w:rsidRDefault="00C45778" w:rsidP="00C45778">
      <w:pPr>
        <w:widowControl w:val="0"/>
        <w:spacing w:after="240"/>
      </w:pPr>
      <w:r w:rsidRPr="00356FD0">
        <w:t>2.</w:t>
      </w:r>
      <w:r>
        <w:tab/>
        <w:t>Le Comité accueille avec satisfaction le quatrième rapport périodique</w:t>
      </w:r>
      <w:r w:rsidR="00251957">
        <w:t xml:space="preserve"> de l’Estonie, qui est dans l’ensemble conforme</w:t>
      </w:r>
      <w:r>
        <w:t xml:space="preserve"> aux directives concernant l’établissement des rapports, de même que la réponse apportée par écrit (CAT/C/EST/Q/4/Add.1) à la liste des points à traiter (CAT/C/EST/Q/4).</w:t>
      </w:r>
    </w:p>
    <w:p w:rsidR="00C45778" w:rsidRDefault="00C45778" w:rsidP="00C45778">
      <w:pPr>
        <w:spacing w:after="240"/>
      </w:pPr>
      <w:r>
        <w:t>3.</w:t>
      </w:r>
      <w:r>
        <w:tab/>
        <w:t>Le Comité sait gré à l’État partie d’avoir envoyé une délégation nombreuse et de haut niveau et se félicite du dialogue franc et constructif qu</w:t>
      </w:r>
      <w:r w:rsidR="00251957">
        <w:t>’</w:t>
      </w:r>
      <w:r>
        <w:t>i</w:t>
      </w:r>
      <w:r w:rsidR="00251957">
        <w:t>l</w:t>
      </w:r>
      <w:r>
        <w:t xml:space="preserve"> a eu avec elle. Enfin, il remercie les représentants de l’État partie pour les informations qu’ils ont fournies oralement aux questions posées et aux préoccupations exprimées lors de l’examen du rapport.</w:t>
      </w:r>
    </w:p>
    <w:p w:rsidR="00C45778" w:rsidRDefault="00C45778" w:rsidP="00C45778">
      <w:pPr>
        <w:spacing w:after="240"/>
        <w:jc w:val="center"/>
        <w:rPr>
          <w:b/>
          <w:bCs/>
        </w:rPr>
      </w:pPr>
      <w:r w:rsidRPr="0016225A">
        <w:rPr>
          <w:b/>
        </w:rPr>
        <w:t>B.</w:t>
      </w:r>
      <w:r>
        <w:t xml:space="preserve">  </w:t>
      </w:r>
      <w:r>
        <w:rPr>
          <w:b/>
          <w:bCs/>
        </w:rPr>
        <w:t>Aspects positifs</w:t>
      </w:r>
    </w:p>
    <w:p w:rsidR="00C45778" w:rsidRDefault="00C45778" w:rsidP="00C45778">
      <w:pPr>
        <w:spacing w:after="240"/>
        <w:rPr>
          <w:bCs/>
        </w:rPr>
      </w:pPr>
      <w:r>
        <w:rPr>
          <w:bCs/>
        </w:rPr>
        <w:t>4.</w:t>
      </w:r>
      <w:r>
        <w:rPr>
          <w:bCs/>
        </w:rPr>
        <w:tab/>
        <w:t>Le Comité se félicite de la ratification des instruments ci-après:</w:t>
      </w:r>
    </w:p>
    <w:p w:rsidR="00C45778" w:rsidRPr="00192502" w:rsidRDefault="00C45778" w:rsidP="00C45778">
      <w:pPr>
        <w:spacing w:after="240"/>
        <w:ind w:firstLine="567"/>
        <w:rPr>
          <w:szCs w:val="24"/>
          <w:lang w:val="fr-FR"/>
        </w:rPr>
      </w:pPr>
      <w:r>
        <w:rPr>
          <w:bCs/>
        </w:rPr>
        <w:t>a)</w:t>
      </w:r>
      <w:r>
        <w:rPr>
          <w:bCs/>
        </w:rPr>
        <w:tab/>
      </w:r>
      <w:r w:rsidRPr="00192502">
        <w:rPr>
          <w:bCs/>
        </w:rPr>
        <w:t xml:space="preserve"> Le Protocole </w:t>
      </w:r>
      <w:r w:rsidRPr="00192502">
        <w:rPr>
          <w:szCs w:val="24"/>
          <w:lang w:val="fr-FR"/>
        </w:rPr>
        <w:t>facultatif se rapportant à la Convention contre la torture et autres peines ou traitements cruels, inhumains ou dégradants</w:t>
      </w:r>
      <w:r w:rsidR="00251957" w:rsidRPr="00192502">
        <w:rPr>
          <w:szCs w:val="24"/>
          <w:lang w:val="fr-FR"/>
        </w:rPr>
        <w:t>,</w:t>
      </w:r>
      <w:r w:rsidRPr="00192502">
        <w:rPr>
          <w:szCs w:val="24"/>
          <w:lang w:val="fr-FR"/>
        </w:rPr>
        <w:t xml:space="preserve"> en 2006;</w:t>
      </w:r>
    </w:p>
    <w:p w:rsidR="00C45778" w:rsidRPr="00192502" w:rsidRDefault="00C45778" w:rsidP="00192502">
      <w:pPr>
        <w:spacing w:after="240" w:line="260" w:lineRule="exact"/>
        <w:ind w:firstLine="567"/>
        <w:rPr>
          <w:szCs w:val="24"/>
          <w:lang w:val="fr-FR"/>
        </w:rPr>
      </w:pPr>
      <w:r w:rsidRPr="00192502">
        <w:rPr>
          <w:szCs w:val="24"/>
          <w:lang w:val="fr-FR"/>
        </w:rPr>
        <w:t>b)</w:t>
      </w:r>
      <w:r w:rsidRPr="00192502">
        <w:rPr>
          <w:szCs w:val="24"/>
          <w:lang w:val="fr-FR"/>
        </w:rPr>
        <w:tab/>
        <w:t>Le Protocole facultatif à la Convention relative aux droits de l’enfant, concernant la vente d’enfants, la prostitution des enfants et la pornographie mettant en scène des enfants</w:t>
      </w:r>
      <w:r w:rsidR="00251957" w:rsidRPr="00192502">
        <w:rPr>
          <w:szCs w:val="24"/>
          <w:lang w:val="fr-FR"/>
        </w:rPr>
        <w:t>,</w:t>
      </w:r>
      <w:r w:rsidR="006C06BC" w:rsidRPr="00192502">
        <w:rPr>
          <w:szCs w:val="24"/>
          <w:lang w:val="fr-FR"/>
        </w:rPr>
        <w:t xml:space="preserve"> en </w:t>
      </w:r>
      <w:r w:rsidRPr="00192502">
        <w:rPr>
          <w:szCs w:val="24"/>
          <w:lang w:val="fr-FR"/>
        </w:rPr>
        <w:t>2004;</w:t>
      </w:r>
    </w:p>
    <w:p w:rsidR="00C45778" w:rsidRPr="00192502" w:rsidRDefault="00C45778" w:rsidP="00192502">
      <w:pPr>
        <w:spacing w:after="240" w:line="260" w:lineRule="exact"/>
        <w:ind w:firstLine="567"/>
        <w:rPr>
          <w:szCs w:val="24"/>
          <w:lang w:val="fr-FR"/>
        </w:rPr>
      </w:pPr>
      <w:r w:rsidRPr="00192502">
        <w:rPr>
          <w:szCs w:val="24"/>
          <w:lang w:val="fr-FR"/>
        </w:rPr>
        <w:t>c)</w:t>
      </w:r>
      <w:r w:rsidRPr="00192502">
        <w:rPr>
          <w:szCs w:val="24"/>
          <w:lang w:val="fr-FR"/>
        </w:rPr>
        <w:tab/>
        <w:t xml:space="preserve">Le </w:t>
      </w:r>
      <w:r w:rsidR="00680050" w:rsidRPr="00192502">
        <w:rPr>
          <w:szCs w:val="24"/>
          <w:lang w:val="fr-FR"/>
        </w:rPr>
        <w:t>d</w:t>
      </w:r>
      <w:r w:rsidRPr="00192502">
        <w:rPr>
          <w:szCs w:val="24"/>
          <w:lang w:val="fr-FR"/>
        </w:rPr>
        <w:t xml:space="preserve">euxième </w:t>
      </w:r>
      <w:r w:rsidR="00680050" w:rsidRPr="00192502">
        <w:rPr>
          <w:szCs w:val="24"/>
          <w:lang w:val="fr-FR"/>
        </w:rPr>
        <w:t>P</w:t>
      </w:r>
      <w:r w:rsidRPr="00192502">
        <w:rPr>
          <w:szCs w:val="24"/>
          <w:lang w:val="fr-FR"/>
        </w:rPr>
        <w:t>rotocole facultatif se rapportant au Pacte international relatif aux droits civils et politiques, visant à abolir la peine de mort</w:t>
      </w:r>
      <w:r w:rsidR="00251957" w:rsidRPr="00192502">
        <w:rPr>
          <w:szCs w:val="24"/>
          <w:lang w:val="fr-FR"/>
        </w:rPr>
        <w:t>,</w:t>
      </w:r>
      <w:r w:rsidRPr="00192502">
        <w:rPr>
          <w:szCs w:val="24"/>
          <w:lang w:val="fr-FR"/>
        </w:rPr>
        <w:t xml:space="preserve"> en 2003;</w:t>
      </w:r>
    </w:p>
    <w:p w:rsidR="00C45778" w:rsidRPr="00192502" w:rsidRDefault="00C45778" w:rsidP="00192502">
      <w:pPr>
        <w:spacing w:after="240" w:line="260" w:lineRule="exact"/>
        <w:ind w:firstLine="567"/>
        <w:rPr>
          <w:szCs w:val="24"/>
          <w:lang w:val="fr-FR"/>
        </w:rPr>
      </w:pPr>
      <w:r w:rsidRPr="00192502">
        <w:rPr>
          <w:szCs w:val="24"/>
          <w:lang w:val="fr-FR"/>
        </w:rPr>
        <w:t>d)</w:t>
      </w:r>
      <w:r w:rsidRPr="00192502">
        <w:rPr>
          <w:szCs w:val="24"/>
          <w:lang w:val="fr-FR"/>
        </w:rPr>
        <w:tab/>
        <w:t>La Convention des Nations Unies contre la criminalité transnationale organisée</w:t>
      </w:r>
      <w:r w:rsidR="00251957" w:rsidRPr="00192502">
        <w:rPr>
          <w:szCs w:val="24"/>
          <w:lang w:val="fr-FR"/>
        </w:rPr>
        <w:t>,</w:t>
      </w:r>
      <w:r w:rsidR="006C06BC" w:rsidRPr="00192502">
        <w:rPr>
          <w:szCs w:val="24"/>
          <w:lang w:val="fr-FR"/>
        </w:rPr>
        <w:t xml:space="preserve"> en </w:t>
      </w:r>
      <w:r w:rsidRPr="00192502">
        <w:rPr>
          <w:szCs w:val="24"/>
          <w:lang w:val="fr-FR"/>
        </w:rPr>
        <w:t>2003.</w:t>
      </w:r>
    </w:p>
    <w:p w:rsidR="00C45778" w:rsidRPr="00192502" w:rsidRDefault="00C45778" w:rsidP="00192502">
      <w:pPr>
        <w:spacing w:after="240" w:line="260" w:lineRule="exact"/>
        <w:rPr>
          <w:szCs w:val="24"/>
          <w:lang w:val="fr-FR"/>
        </w:rPr>
      </w:pPr>
      <w:r w:rsidRPr="00192502">
        <w:rPr>
          <w:szCs w:val="24"/>
          <w:lang w:val="fr-FR"/>
        </w:rPr>
        <w:t>5.</w:t>
      </w:r>
      <w:r w:rsidRPr="00192502">
        <w:rPr>
          <w:szCs w:val="24"/>
          <w:lang w:val="fr-FR"/>
        </w:rPr>
        <w:tab/>
        <w:t>Le Comité se félicite également de l’entrée en vigueur des textes ci-après:</w:t>
      </w:r>
    </w:p>
    <w:p w:rsidR="00C45778" w:rsidRPr="00192502" w:rsidRDefault="00C45778" w:rsidP="00192502">
      <w:pPr>
        <w:spacing w:after="240" w:line="260" w:lineRule="exact"/>
        <w:ind w:firstLine="567"/>
        <w:rPr>
          <w:szCs w:val="24"/>
          <w:lang w:val="fr-FR"/>
        </w:rPr>
      </w:pPr>
      <w:r w:rsidRPr="00192502">
        <w:rPr>
          <w:szCs w:val="24"/>
          <w:lang w:val="fr-FR"/>
        </w:rPr>
        <w:t>a)</w:t>
      </w:r>
      <w:r w:rsidRPr="00192502">
        <w:rPr>
          <w:szCs w:val="24"/>
          <w:lang w:val="fr-FR"/>
        </w:rPr>
        <w:tab/>
        <w:t>La loi sur l’aide aux victimes</w:t>
      </w:r>
      <w:r w:rsidR="00251957" w:rsidRPr="00192502">
        <w:rPr>
          <w:szCs w:val="24"/>
          <w:lang w:val="fr-FR"/>
        </w:rPr>
        <w:t>,</w:t>
      </w:r>
      <w:r w:rsidRPr="00192502">
        <w:rPr>
          <w:szCs w:val="24"/>
          <w:lang w:val="fr-FR"/>
        </w:rPr>
        <w:t xml:space="preserve"> en 2004</w:t>
      </w:r>
      <w:r w:rsidR="00251957" w:rsidRPr="00192502">
        <w:rPr>
          <w:szCs w:val="24"/>
          <w:lang w:val="fr-FR"/>
        </w:rPr>
        <w:t>,</w:t>
      </w:r>
      <w:r w:rsidRPr="00192502">
        <w:rPr>
          <w:szCs w:val="24"/>
          <w:lang w:val="fr-FR"/>
        </w:rPr>
        <w:t xml:space="preserve"> et </w:t>
      </w:r>
      <w:r w:rsidR="00251957" w:rsidRPr="00192502">
        <w:rPr>
          <w:szCs w:val="24"/>
          <w:lang w:val="fr-FR"/>
        </w:rPr>
        <w:t>s</w:t>
      </w:r>
      <w:r w:rsidRPr="00192502">
        <w:rPr>
          <w:szCs w:val="24"/>
          <w:lang w:val="fr-FR"/>
        </w:rPr>
        <w:t>es modifications</w:t>
      </w:r>
      <w:r w:rsidR="00251957" w:rsidRPr="00192502">
        <w:rPr>
          <w:szCs w:val="24"/>
          <w:lang w:val="fr-FR"/>
        </w:rPr>
        <w:t>,</w:t>
      </w:r>
      <w:r w:rsidRPr="00192502">
        <w:rPr>
          <w:szCs w:val="24"/>
          <w:lang w:val="fr-FR"/>
        </w:rPr>
        <w:t xml:space="preserve"> en 2007;</w:t>
      </w:r>
    </w:p>
    <w:p w:rsidR="00C45778" w:rsidRPr="00192502" w:rsidRDefault="00C45778" w:rsidP="00192502">
      <w:pPr>
        <w:spacing w:after="240" w:line="260" w:lineRule="exact"/>
        <w:ind w:firstLine="567"/>
        <w:rPr>
          <w:szCs w:val="24"/>
          <w:lang w:val="fr-FR"/>
        </w:rPr>
      </w:pPr>
      <w:r w:rsidRPr="00192502">
        <w:rPr>
          <w:szCs w:val="24"/>
          <w:lang w:val="fr-FR"/>
        </w:rPr>
        <w:t>b)</w:t>
      </w:r>
      <w:r w:rsidRPr="00192502">
        <w:rPr>
          <w:szCs w:val="24"/>
          <w:lang w:val="fr-FR"/>
        </w:rPr>
        <w:tab/>
        <w:t xml:space="preserve">La loi sur l’aide juridictionnelle </w:t>
      </w:r>
      <w:r w:rsidR="0034633F" w:rsidRPr="00192502">
        <w:rPr>
          <w:szCs w:val="24"/>
          <w:lang w:val="fr-FR"/>
        </w:rPr>
        <w:t xml:space="preserve">de l’État, </w:t>
      </w:r>
      <w:r w:rsidRPr="00192502">
        <w:rPr>
          <w:szCs w:val="24"/>
          <w:lang w:val="fr-FR"/>
        </w:rPr>
        <w:t>en 2005;</w:t>
      </w:r>
    </w:p>
    <w:p w:rsidR="00C45778" w:rsidRPr="00192502" w:rsidRDefault="00C45778" w:rsidP="00192502">
      <w:pPr>
        <w:spacing w:after="240" w:line="260" w:lineRule="exact"/>
        <w:ind w:firstLine="567"/>
        <w:rPr>
          <w:szCs w:val="24"/>
          <w:lang w:val="fr-FR"/>
        </w:rPr>
      </w:pPr>
      <w:r w:rsidRPr="00192502">
        <w:rPr>
          <w:szCs w:val="24"/>
          <w:lang w:val="fr-FR"/>
        </w:rPr>
        <w:t>c)</w:t>
      </w:r>
      <w:r w:rsidRPr="00192502">
        <w:rPr>
          <w:szCs w:val="24"/>
          <w:lang w:val="fr-FR"/>
        </w:rPr>
        <w:tab/>
        <w:t>Le nouveau Code de procédure pénale</w:t>
      </w:r>
      <w:r w:rsidR="0034633F" w:rsidRPr="00192502">
        <w:rPr>
          <w:szCs w:val="24"/>
          <w:lang w:val="fr-FR"/>
        </w:rPr>
        <w:t>,</w:t>
      </w:r>
      <w:r w:rsidRPr="00192502">
        <w:rPr>
          <w:szCs w:val="24"/>
          <w:lang w:val="fr-FR"/>
        </w:rPr>
        <w:t xml:space="preserve"> en 2004;</w:t>
      </w:r>
    </w:p>
    <w:p w:rsidR="00C45778" w:rsidRDefault="00C45778" w:rsidP="00192502">
      <w:pPr>
        <w:spacing w:after="240" w:line="260" w:lineRule="exact"/>
        <w:ind w:firstLine="567"/>
        <w:rPr>
          <w:bCs/>
          <w:szCs w:val="24"/>
        </w:rPr>
      </w:pPr>
      <w:r>
        <w:rPr>
          <w:bCs/>
          <w:szCs w:val="24"/>
        </w:rPr>
        <w:t>d)</w:t>
      </w:r>
      <w:r>
        <w:rPr>
          <w:bCs/>
          <w:szCs w:val="24"/>
        </w:rPr>
        <w:tab/>
        <w:t>La loi portant modification de la loi sur les réfugiés</w:t>
      </w:r>
      <w:r w:rsidR="0034633F">
        <w:rPr>
          <w:bCs/>
          <w:szCs w:val="24"/>
        </w:rPr>
        <w:t>,</w:t>
      </w:r>
      <w:r>
        <w:rPr>
          <w:bCs/>
          <w:szCs w:val="24"/>
        </w:rPr>
        <w:t xml:space="preserve"> en 2003.</w:t>
      </w:r>
    </w:p>
    <w:p w:rsidR="00C45778" w:rsidRDefault="00C45778" w:rsidP="00192502">
      <w:pPr>
        <w:spacing w:after="240" w:line="260" w:lineRule="exact"/>
      </w:pPr>
      <w:r>
        <w:rPr>
          <w:bCs/>
          <w:szCs w:val="24"/>
        </w:rPr>
        <w:t>6.</w:t>
      </w:r>
      <w:r>
        <w:rPr>
          <w:bCs/>
          <w:szCs w:val="24"/>
        </w:rPr>
        <w:tab/>
        <w:t>Le Comité salue également le</w:t>
      </w:r>
      <w:r w:rsidR="0034633F">
        <w:rPr>
          <w:bCs/>
          <w:szCs w:val="24"/>
        </w:rPr>
        <w:t xml:space="preserve"> gros effort déployé</w:t>
      </w:r>
      <w:r>
        <w:rPr>
          <w:bCs/>
          <w:szCs w:val="24"/>
        </w:rPr>
        <w:t xml:space="preserve"> pour rénover les centres de détention, fermer les établissements pénitentiaires </w:t>
      </w:r>
      <w:r w:rsidR="0034633F">
        <w:rPr>
          <w:bCs/>
          <w:szCs w:val="24"/>
        </w:rPr>
        <w:t xml:space="preserve">anciens </w:t>
      </w:r>
      <w:r>
        <w:rPr>
          <w:bCs/>
          <w:szCs w:val="24"/>
        </w:rPr>
        <w:t>et construire de nouvelles prisons, en particulier celle de Tartu, qui a été mise en service en 2002</w:t>
      </w:r>
      <w:r w:rsidR="0034633F">
        <w:rPr>
          <w:bCs/>
          <w:szCs w:val="24"/>
        </w:rPr>
        <w:t>; ces activités visent à</w:t>
      </w:r>
      <w:r>
        <w:rPr>
          <w:bCs/>
          <w:szCs w:val="24"/>
        </w:rPr>
        <w:t xml:space="preserve"> améliorer les conditions de vie </w:t>
      </w:r>
      <w:r w:rsidRPr="00F32AF1">
        <w:rPr>
          <w:bCs/>
          <w:szCs w:val="24"/>
        </w:rPr>
        <w:t>général</w:t>
      </w:r>
      <w:r>
        <w:rPr>
          <w:bCs/>
          <w:szCs w:val="24"/>
        </w:rPr>
        <w:t>es de toutes les personnes privées de liberté dans l’État partie, ainsi qu</w:t>
      </w:r>
      <w:r w:rsidR="0034633F">
        <w:rPr>
          <w:bCs/>
          <w:szCs w:val="24"/>
        </w:rPr>
        <w:t>’à</w:t>
      </w:r>
      <w:r>
        <w:rPr>
          <w:bCs/>
          <w:szCs w:val="24"/>
        </w:rPr>
        <w:t xml:space="preserve"> remplacer un </w:t>
      </w:r>
      <w:r w:rsidRPr="00824BCB">
        <w:rPr>
          <w:bCs/>
          <w:szCs w:val="24"/>
        </w:rPr>
        <w:t>système ancien</w:t>
      </w:r>
      <w:r>
        <w:rPr>
          <w:bCs/>
          <w:szCs w:val="24"/>
        </w:rPr>
        <w:t xml:space="preserve"> </w:t>
      </w:r>
      <w:r>
        <w:t>du type camp de prisonniers par un système moderne de prisons dotées de cellules.</w:t>
      </w:r>
    </w:p>
    <w:p w:rsidR="00C45778" w:rsidRDefault="00C45778" w:rsidP="00192502">
      <w:pPr>
        <w:spacing w:after="240" w:line="260" w:lineRule="exact"/>
      </w:pPr>
      <w:r>
        <w:t>7.</w:t>
      </w:r>
      <w:r>
        <w:tab/>
        <w:t xml:space="preserve">Le Comité </w:t>
      </w:r>
      <w:r w:rsidR="0034633F">
        <w:t>prend acte avec satisfaction</w:t>
      </w:r>
      <w:r>
        <w:t xml:space="preserve"> de la publication des rapports du Comité européen pour la prévention de la torture et des réponses de l’État partie, grâce auxquels peut </w:t>
      </w:r>
      <w:r w:rsidRPr="00BE1149">
        <w:t>s</w:t>
      </w:r>
      <w:r>
        <w:t>’</w:t>
      </w:r>
      <w:r w:rsidRPr="00BE1149">
        <w:t>instaure</w:t>
      </w:r>
      <w:r>
        <w:t>r un débat général avec la participation de toutes les parties concernées.</w:t>
      </w:r>
    </w:p>
    <w:p w:rsidR="00C45778" w:rsidRDefault="00C45778" w:rsidP="00192502">
      <w:pPr>
        <w:keepNext/>
        <w:spacing w:after="240" w:line="260" w:lineRule="exact"/>
        <w:jc w:val="center"/>
        <w:rPr>
          <w:b/>
        </w:rPr>
      </w:pPr>
      <w:r w:rsidRPr="00365153">
        <w:rPr>
          <w:b/>
        </w:rPr>
        <w:t>C.</w:t>
      </w:r>
      <w:r>
        <w:rPr>
          <w:b/>
        </w:rPr>
        <w:t xml:space="preserve"> </w:t>
      </w:r>
      <w:r w:rsidRPr="00365153">
        <w:rPr>
          <w:b/>
        </w:rPr>
        <w:t xml:space="preserve"> Principaux sujets de préoccupation et recommandations</w:t>
      </w:r>
    </w:p>
    <w:p w:rsidR="00C45778" w:rsidRDefault="00C45778" w:rsidP="00192502">
      <w:pPr>
        <w:keepNext/>
        <w:spacing w:after="240" w:line="260" w:lineRule="exact"/>
        <w:rPr>
          <w:b/>
        </w:rPr>
      </w:pPr>
      <w:r>
        <w:rPr>
          <w:b/>
        </w:rPr>
        <w:t>Définition de la torture</w:t>
      </w:r>
    </w:p>
    <w:p w:rsidR="00C45778" w:rsidRDefault="00C45778" w:rsidP="00192502">
      <w:pPr>
        <w:spacing w:after="240" w:line="260" w:lineRule="exact"/>
      </w:pPr>
      <w:r>
        <w:t>8.</w:t>
      </w:r>
      <w:r>
        <w:tab/>
        <w:t xml:space="preserve">Tout en notant que la Convention est entrée en vigueur pour l’État partie en 1991 et le Code pénal en 2002, le Comité </w:t>
      </w:r>
      <w:r w:rsidR="0034633F">
        <w:t>déplore</w:t>
      </w:r>
      <w:r>
        <w:t xml:space="preserve"> toujours que la définition énoncée à l’article 122 du Code pénal, même si elle est lue en liaison avec les infractions pénales visées aux articles 291, 312 et 324 dudit Code, ne reprenne pas complètement tous les éléments contenus dans l’article premier de la Convention, notamment la douleur et la souffrance </w:t>
      </w:r>
      <w:r w:rsidR="0034633F">
        <w:t>morales</w:t>
      </w:r>
      <w:r>
        <w:t>, la discrimination et le consentement tacite d’</w:t>
      </w:r>
      <w:r w:rsidR="0034633F">
        <w:t>un agent</w:t>
      </w:r>
      <w:r>
        <w:t xml:space="preserve"> de la fonction publique (art. 1).</w:t>
      </w:r>
    </w:p>
    <w:p w:rsidR="00C45778" w:rsidRDefault="00C45778" w:rsidP="00192502">
      <w:pPr>
        <w:spacing w:after="240" w:line="260" w:lineRule="exact"/>
        <w:ind w:left="567" w:firstLine="567"/>
        <w:rPr>
          <w:b/>
        </w:rPr>
      </w:pPr>
      <w:r w:rsidRPr="00BC57A1">
        <w:rPr>
          <w:b/>
        </w:rPr>
        <w:t>Le Comité rappelle sa précédente recommandation</w:t>
      </w:r>
      <w:r w:rsidR="009D0239">
        <w:rPr>
          <w:b/>
        </w:rPr>
        <w:t xml:space="preserve"> (CAT/C/CR/29/5, par. 6 </w:t>
      </w:r>
      <w:r w:rsidRPr="00BC57A1">
        <w:rPr>
          <w:b/>
        </w:rPr>
        <w:t xml:space="preserve">a)) </w:t>
      </w:r>
      <w:r>
        <w:rPr>
          <w:b/>
        </w:rPr>
        <w:t xml:space="preserve">selon laquelle </w:t>
      </w:r>
      <w:r w:rsidRPr="00BC57A1">
        <w:rPr>
          <w:b/>
        </w:rPr>
        <w:t>l</w:t>
      </w:r>
      <w:r>
        <w:rPr>
          <w:b/>
        </w:rPr>
        <w:t>’</w:t>
      </w:r>
      <w:r w:rsidRPr="00BC57A1">
        <w:rPr>
          <w:b/>
        </w:rPr>
        <w:t xml:space="preserve">État partie </w:t>
      </w:r>
      <w:r>
        <w:rPr>
          <w:b/>
        </w:rPr>
        <w:t xml:space="preserve">devrait </w:t>
      </w:r>
      <w:r w:rsidRPr="00BC57A1">
        <w:rPr>
          <w:b/>
        </w:rPr>
        <w:t>revoir sa définition de la torture afin de la rendre pleinement conforme à l</w:t>
      </w:r>
      <w:r>
        <w:rPr>
          <w:b/>
        </w:rPr>
        <w:t>’</w:t>
      </w:r>
      <w:r w:rsidRPr="00BC57A1">
        <w:rPr>
          <w:b/>
        </w:rPr>
        <w:t>article premier de la Convention. Le Comité estime que l</w:t>
      </w:r>
      <w:r>
        <w:rPr>
          <w:b/>
        </w:rPr>
        <w:t>’</w:t>
      </w:r>
      <w:r w:rsidRPr="00BC57A1">
        <w:rPr>
          <w:b/>
        </w:rPr>
        <w:t xml:space="preserve">État partie, en nommant et en définissant ce crime conformément à la Convention et en </w:t>
      </w:r>
      <w:r w:rsidRPr="00A623F2">
        <w:rPr>
          <w:b/>
        </w:rPr>
        <w:t>l</w:t>
      </w:r>
      <w:r>
        <w:rPr>
          <w:b/>
        </w:rPr>
        <w:t>’</w:t>
      </w:r>
      <w:r w:rsidRPr="00A623F2">
        <w:rPr>
          <w:b/>
        </w:rPr>
        <w:t>érigeant en une infraction</w:t>
      </w:r>
      <w:r w:rsidRPr="00BC57A1">
        <w:rPr>
          <w:b/>
        </w:rPr>
        <w:t xml:space="preserve"> qui soit distincte d</w:t>
      </w:r>
      <w:r>
        <w:rPr>
          <w:b/>
        </w:rPr>
        <w:t>’</w:t>
      </w:r>
      <w:r w:rsidRPr="00BC57A1">
        <w:rPr>
          <w:b/>
        </w:rPr>
        <w:t>autres infractions, servira directement l</w:t>
      </w:r>
      <w:r>
        <w:rPr>
          <w:b/>
        </w:rPr>
        <w:t>’</w:t>
      </w:r>
      <w:r w:rsidRPr="00BC57A1">
        <w:rPr>
          <w:b/>
        </w:rPr>
        <w:t xml:space="preserve">objectif </w:t>
      </w:r>
      <w:r w:rsidR="0034633F">
        <w:rPr>
          <w:b/>
        </w:rPr>
        <w:t>primordial</w:t>
      </w:r>
      <w:r w:rsidRPr="00BC57A1">
        <w:rPr>
          <w:b/>
        </w:rPr>
        <w:t xml:space="preserve"> de la Convention qui </w:t>
      </w:r>
      <w:r w:rsidR="0034633F">
        <w:rPr>
          <w:b/>
        </w:rPr>
        <w:t xml:space="preserve">est de </w:t>
      </w:r>
      <w:r w:rsidRPr="00BC57A1">
        <w:rPr>
          <w:b/>
        </w:rPr>
        <w:t xml:space="preserve">prévenir la torture, entre autres </w:t>
      </w:r>
      <w:r w:rsidR="0034633F">
        <w:rPr>
          <w:b/>
        </w:rPr>
        <w:t xml:space="preserve">choses </w:t>
      </w:r>
      <w:r w:rsidRPr="00BC57A1">
        <w:rPr>
          <w:b/>
        </w:rPr>
        <w:t>en appelant l</w:t>
      </w:r>
      <w:r>
        <w:rPr>
          <w:b/>
        </w:rPr>
        <w:t>’</w:t>
      </w:r>
      <w:r w:rsidRPr="00BC57A1">
        <w:rPr>
          <w:b/>
        </w:rPr>
        <w:t>attention de chacun, notamment des a</w:t>
      </w:r>
      <w:r w:rsidR="006C06BC">
        <w:rPr>
          <w:b/>
        </w:rPr>
        <w:t>uteurs, des </w:t>
      </w:r>
      <w:r w:rsidRPr="00BC57A1">
        <w:rPr>
          <w:b/>
        </w:rPr>
        <w:t xml:space="preserve">victimes et du public, sur la gravité </w:t>
      </w:r>
      <w:r w:rsidR="0034633F">
        <w:rPr>
          <w:b/>
        </w:rPr>
        <w:t>exceptionnelle</w:t>
      </w:r>
      <w:r w:rsidR="006C06BC">
        <w:rPr>
          <w:b/>
        </w:rPr>
        <w:t xml:space="preserve"> du crime de torture et en </w:t>
      </w:r>
      <w:r w:rsidRPr="00BC57A1">
        <w:rPr>
          <w:b/>
        </w:rPr>
        <w:t>renforçant l</w:t>
      </w:r>
      <w:r>
        <w:rPr>
          <w:b/>
        </w:rPr>
        <w:t>’</w:t>
      </w:r>
      <w:r w:rsidRPr="00BC57A1">
        <w:rPr>
          <w:b/>
        </w:rPr>
        <w:t>effet dissuasif qu</w:t>
      </w:r>
      <w:r>
        <w:rPr>
          <w:b/>
        </w:rPr>
        <w:t>’</w:t>
      </w:r>
      <w:r w:rsidR="009D0239">
        <w:rPr>
          <w:b/>
        </w:rPr>
        <w:t>a</w:t>
      </w:r>
      <w:r w:rsidRPr="00BC57A1">
        <w:rPr>
          <w:b/>
        </w:rPr>
        <w:t xml:space="preserve"> </w:t>
      </w:r>
      <w:r w:rsidR="0034633F">
        <w:rPr>
          <w:b/>
        </w:rPr>
        <w:t xml:space="preserve">par </w:t>
      </w:r>
      <w:proofErr w:type="spellStart"/>
      <w:r w:rsidR="0034633F">
        <w:rPr>
          <w:b/>
        </w:rPr>
        <w:t>elle</w:t>
      </w:r>
      <w:r w:rsidR="0034633F">
        <w:rPr>
          <w:b/>
        </w:rPr>
        <w:noBreakHyphen/>
        <w:t>même</w:t>
      </w:r>
      <w:proofErr w:type="spellEnd"/>
      <w:r w:rsidRPr="00BC57A1">
        <w:rPr>
          <w:b/>
        </w:rPr>
        <w:t xml:space="preserve"> l</w:t>
      </w:r>
      <w:r>
        <w:rPr>
          <w:b/>
        </w:rPr>
        <w:t>’</w:t>
      </w:r>
      <w:r w:rsidRPr="00BC57A1">
        <w:rPr>
          <w:b/>
        </w:rPr>
        <w:t>interdiction de la torture.</w:t>
      </w:r>
    </w:p>
    <w:p w:rsidR="00C45778" w:rsidRDefault="00C45778" w:rsidP="00C45778">
      <w:pPr>
        <w:keepNext/>
        <w:spacing w:after="240"/>
        <w:rPr>
          <w:b/>
        </w:rPr>
      </w:pPr>
      <w:r>
        <w:rPr>
          <w:b/>
        </w:rPr>
        <w:t xml:space="preserve">Garanties </w:t>
      </w:r>
      <w:r w:rsidRPr="005B70AB">
        <w:rPr>
          <w:b/>
        </w:rPr>
        <w:t xml:space="preserve">juridiques fondamentales </w:t>
      </w:r>
      <w:r w:rsidR="0034633F">
        <w:rPr>
          <w:b/>
        </w:rPr>
        <w:t xml:space="preserve">prévues </w:t>
      </w:r>
      <w:r>
        <w:rPr>
          <w:b/>
        </w:rPr>
        <w:t xml:space="preserve">pour les </w:t>
      </w:r>
      <w:r w:rsidRPr="005B70AB">
        <w:rPr>
          <w:b/>
        </w:rPr>
        <w:t>personnes détenues</w:t>
      </w:r>
    </w:p>
    <w:p w:rsidR="00C45778" w:rsidRDefault="00C45778" w:rsidP="00C45778">
      <w:pPr>
        <w:spacing w:after="240"/>
      </w:pPr>
      <w:r>
        <w:t>9.</w:t>
      </w:r>
      <w:r>
        <w:tab/>
        <w:t xml:space="preserve">Le Comité </w:t>
      </w:r>
      <w:r w:rsidR="0034633F">
        <w:t xml:space="preserve">est préoccupé par </w:t>
      </w:r>
      <w:r>
        <w:t xml:space="preserve">l’application </w:t>
      </w:r>
      <w:r w:rsidR="0034633F">
        <w:t>concrète</w:t>
      </w:r>
      <w:r>
        <w:t xml:space="preserve"> des </w:t>
      </w:r>
      <w:r w:rsidR="0034633F">
        <w:t>garanties</w:t>
      </w:r>
      <w:r>
        <w:t xml:space="preserve"> juridiques fondamentales </w:t>
      </w:r>
      <w:r w:rsidR="0034633F">
        <w:t xml:space="preserve">dont bénéficient les </w:t>
      </w:r>
      <w:r>
        <w:t>personnes détenues, notamment l’accès à un médecin indépendant et l’inscription sur un registre de toutes les personnes détenues (art. 2).</w:t>
      </w:r>
    </w:p>
    <w:p w:rsidR="00C45778" w:rsidRDefault="00C45778" w:rsidP="00C45778">
      <w:pPr>
        <w:spacing w:after="240"/>
        <w:ind w:left="567" w:firstLine="567"/>
        <w:rPr>
          <w:b/>
        </w:rPr>
      </w:pPr>
      <w:r w:rsidRPr="00C02559">
        <w:rPr>
          <w:b/>
        </w:rPr>
        <w:t>L</w:t>
      </w:r>
      <w:r>
        <w:rPr>
          <w:b/>
        </w:rPr>
        <w:t>’</w:t>
      </w:r>
      <w:r w:rsidRPr="00C02559">
        <w:rPr>
          <w:b/>
        </w:rPr>
        <w:t>État partie devrait veiller à ce que tous les suspects, pendant leur détention, bénéficient dans la pratique des garanties juridiques fondamentales, qui incluent notamment le droit d</w:t>
      </w:r>
      <w:r>
        <w:rPr>
          <w:b/>
        </w:rPr>
        <w:t>’</w:t>
      </w:r>
      <w:r w:rsidRPr="00C02559">
        <w:rPr>
          <w:b/>
        </w:rPr>
        <w:t>avoir accès à un avocat, d</w:t>
      </w:r>
      <w:r>
        <w:rPr>
          <w:b/>
        </w:rPr>
        <w:t>’</w:t>
      </w:r>
      <w:r w:rsidRPr="00C02559">
        <w:rPr>
          <w:b/>
        </w:rPr>
        <w:t xml:space="preserve">être examinés par un médecin indépendant, de contacter un </w:t>
      </w:r>
      <w:r>
        <w:rPr>
          <w:b/>
        </w:rPr>
        <w:t>proche</w:t>
      </w:r>
      <w:r w:rsidRPr="00C02559">
        <w:rPr>
          <w:b/>
        </w:rPr>
        <w:t xml:space="preserve"> et d</w:t>
      </w:r>
      <w:r>
        <w:rPr>
          <w:b/>
        </w:rPr>
        <w:t>’</w:t>
      </w:r>
      <w:r w:rsidRPr="00C02559">
        <w:rPr>
          <w:b/>
        </w:rPr>
        <w:t>être informés de leurs droits dès leur mise en détention, y compris des charges retenues contre e</w:t>
      </w:r>
      <w:r>
        <w:rPr>
          <w:b/>
        </w:rPr>
        <w:t>ux</w:t>
      </w:r>
      <w:r w:rsidRPr="00C02559">
        <w:rPr>
          <w:b/>
        </w:rPr>
        <w:t xml:space="preserve">, </w:t>
      </w:r>
      <w:r>
        <w:rPr>
          <w:b/>
        </w:rPr>
        <w:t>et d’être présenté</w:t>
      </w:r>
      <w:r w:rsidRPr="00C02559">
        <w:rPr>
          <w:b/>
        </w:rPr>
        <w:t>s immédiatement devant un juge.</w:t>
      </w:r>
    </w:p>
    <w:p w:rsidR="00C45778" w:rsidRDefault="00C45778" w:rsidP="007969D5">
      <w:pPr>
        <w:keepNext/>
        <w:spacing w:after="240"/>
        <w:rPr>
          <w:b/>
        </w:rPr>
      </w:pPr>
      <w:r>
        <w:rPr>
          <w:b/>
        </w:rPr>
        <w:t>Détention administrative</w:t>
      </w:r>
    </w:p>
    <w:p w:rsidR="00C45778" w:rsidRDefault="00C45778" w:rsidP="0034633F">
      <w:pPr>
        <w:spacing w:after="240"/>
      </w:pPr>
      <w:r>
        <w:t>10.</w:t>
      </w:r>
      <w:r>
        <w:tab/>
        <w:t xml:space="preserve">Le Comité est préoccupé par la possibilité de </w:t>
      </w:r>
      <w:r w:rsidR="0034633F">
        <w:t>«</w:t>
      </w:r>
      <w:r>
        <w:t>détention administrative dans une maison d’arrêt</w:t>
      </w:r>
      <w:r w:rsidR="0034633F">
        <w:t>» et d’«</w:t>
      </w:r>
      <w:r w:rsidRPr="008E077F">
        <w:t>arrestation</w:t>
      </w:r>
      <w:r>
        <w:t xml:space="preserve"> administrative</w:t>
      </w:r>
      <w:r w:rsidR="0034633F">
        <w:t>»</w:t>
      </w:r>
      <w:r>
        <w:t xml:space="preserve"> (par. 89 et 215 du rapport de l’État partie) et par</w:t>
      </w:r>
      <w:r w:rsidR="0034633F">
        <w:t xml:space="preserve"> l’absence totale d’information</w:t>
      </w:r>
      <w:r>
        <w:t xml:space="preserve"> à ce sujet tant dans le rapport que </w:t>
      </w:r>
      <w:r w:rsidR="006C06BC">
        <w:t>de la part de la délégation, en </w:t>
      </w:r>
      <w:r>
        <w:t>particulier en ce qui concerne l</w:t>
      </w:r>
      <w:r w:rsidR="0034633F">
        <w:t>’</w:t>
      </w:r>
      <w:r>
        <w:t>auto</w:t>
      </w:r>
      <w:r w:rsidR="0034633F">
        <w:t>rité compétente</w:t>
      </w:r>
      <w:r>
        <w:t xml:space="preserve"> et les garanti</w:t>
      </w:r>
      <w:r w:rsidR="006C06BC">
        <w:t>es juridiques applicables (art. </w:t>
      </w:r>
      <w:r>
        <w:t xml:space="preserve">2). </w:t>
      </w:r>
    </w:p>
    <w:p w:rsidR="00C45778" w:rsidRPr="004221F9" w:rsidRDefault="00C45778" w:rsidP="0034633F">
      <w:pPr>
        <w:spacing w:after="240"/>
        <w:ind w:left="567" w:firstLine="567"/>
        <w:rPr>
          <w:b/>
        </w:rPr>
      </w:pPr>
      <w:r w:rsidRPr="004221F9">
        <w:rPr>
          <w:b/>
        </w:rPr>
        <w:t>L</w:t>
      </w:r>
      <w:r>
        <w:rPr>
          <w:b/>
        </w:rPr>
        <w:t>’</w:t>
      </w:r>
      <w:r w:rsidRPr="004221F9">
        <w:rPr>
          <w:b/>
        </w:rPr>
        <w:t xml:space="preserve">État partie devrait fournir au Comité des informations détaillées sur </w:t>
      </w:r>
      <w:r>
        <w:rPr>
          <w:b/>
        </w:rPr>
        <w:t>la</w:t>
      </w:r>
      <w:r w:rsidR="0034633F">
        <w:rPr>
          <w:b/>
        </w:rPr>
        <w:t xml:space="preserve"> «</w:t>
      </w:r>
      <w:r w:rsidRPr="004221F9">
        <w:rPr>
          <w:b/>
        </w:rPr>
        <w:t>détention administrative</w:t>
      </w:r>
      <w:r w:rsidR="0034633F">
        <w:rPr>
          <w:b/>
        </w:rPr>
        <w:t>»</w:t>
      </w:r>
      <w:r w:rsidRPr="004221F9">
        <w:rPr>
          <w:b/>
        </w:rPr>
        <w:t xml:space="preserve"> et faire en sorte que les </w:t>
      </w:r>
      <w:r w:rsidR="0034633F">
        <w:rPr>
          <w:b/>
        </w:rPr>
        <w:t>garanties</w:t>
      </w:r>
      <w:r>
        <w:rPr>
          <w:b/>
        </w:rPr>
        <w:t xml:space="preserve"> juridiques fondamentales s’appliquent aussi dans ce </w:t>
      </w:r>
      <w:r w:rsidRPr="004221F9">
        <w:rPr>
          <w:b/>
        </w:rPr>
        <w:t xml:space="preserve">cas. </w:t>
      </w:r>
    </w:p>
    <w:p w:rsidR="00C45778" w:rsidRDefault="00C45778" w:rsidP="00C45778">
      <w:pPr>
        <w:spacing w:after="240"/>
        <w:rPr>
          <w:b/>
        </w:rPr>
      </w:pPr>
      <w:r>
        <w:rPr>
          <w:b/>
        </w:rPr>
        <w:t xml:space="preserve">Le </w:t>
      </w:r>
      <w:r w:rsidRPr="00764706">
        <w:rPr>
          <w:b/>
        </w:rPr>
        <w:t>Chancelier de justice</w:t>
      </w:r>
    </w:p>
    <w:p w:rsidR="00C45778" w:rsidRDefault="00C45778" w:rsidP="00C45778">
      <w:pPr>
        <w:spacing w:after="240"/>
      </w:pPr>
      <w:r>
        <w:t>11.</w:t>
      </w:r>
      <w:r>
        <w:tab/>
        <w:t xml:space="preserve">Le Comité note que le Chancelier de justice </w:t>
      </w:r>
      <w:r w:rsidR="0034633F">
        <w:t xml:space="preserve">fait fonction </w:t>
      </w:r>
      <w:r>
        <w:t xml:space="preserve">de mécanisme national de protection conformément à l’article 3 du Protocole facultatif, reconnaît le rôle qu’il joue en inspectant les lieux de détention, et salue la publication de ses rapports dans différentes langues, mais il </w:t>
      </w:r>
      <w:r w:rsidR="0034633F">
        <w:t xml:space="preserve">demeure </w:t>
      </w:r>
      <w:r>
        <w:t>préoccup</w:t>
      </w:r>
      <w:r w:rsidR="0034633F">
        <w:t>é concernant</w:t>
      </w:r>
      <w:r>
        <w:t xml:space="preserve"> l’indépendance, le mandat et les ressources de cette instance, ainsi </w:t>
      </w:r>
      <w:r w:rsidR="0034633F">
        <w:t>que ses moyens d’</w:t>
      </w:r>
      <w:r>
        <w:t>enquêter sur toutes les plaintes relatives à des violations des dispositions de la Convention (art. 2 et 11).</w:t>
      </w:r>
    </w:p>
    <w:p w:rsidR="00C45778" w:rsidRDefault="00C45778" w:rsidP="00C45778">
      <w:pPr>
        <w:spacing w:after="240"/>
        <w:ind w:left="567" w:firstLine="567"/>
        <w:rPr>
          <w:b/>
        </w:rPr>
      </w:pPr>
      <w:r>
        <w:rPr>
          <w:b/>
        </w:rPr>
        <w:t xml:space="preserve">L’État partie devrait envisager de créer une institution nationale </w:t>
      </w:r>
      <w:r w:rsidR="0034633F">
        <w:rPr>
          <w:b/>
        </w:rPr>
        <w:t>de</w:t>
      </w:r>
      <w:r>
        <w:rPr>
          <w:b/>
        </w:rPr>
        <w:t xml:space="preserve"> promotion et </w:t>
      </w:r>
      <w:r w:rsidR="0034633F">
        <w:rPr>
          <w:b/>
        </w:rPr>
        <w:t>de</w:t>
      </w:r>
      <w:r>
        <w:rPr>
          <w:b/>
        </w:rPr>
        <w:t xml:space="preserve"> protection des droits de l’homme, conformément aux Principes de Paris (annexe de la résolution 48/134 de l’Assemblée générale)</w:t>
      </w:r>
      <w:r w:rsidR="0034633F">
        <w:rPr>
          <w:b/>
        </w:rPr>
        <w:t>,</w:t>
      </w:r>
      <w:r>
        <w:rPr>
          <w:b/>
        </w:rPr>
        <w:t xml:space="preserve"> et la doter des ressources nécessaires à l’ex</w:t>
      </w:r>
      <w:r w:rsidR="0034633F">
        <w:rPr>
          <w:b/>
        </w:rPr>
        <w:t>ercice</w:t>
      </w:r>
      <w:r>
        <w:rPr>
          <w:b/>
        </w:rPr>
        <w:t xml:space="preserve"> de son mandat.</w:t>
      </w:r>
    </w:p>
    <w:p w:rsidR="00C45778" w:rsidRDefault="00C45778" w:rsidP="00C45778">
      <w:pPr>
        <w:spacing w:after="240"/>
        <w:rPr>
          <w:b/>
        </w:rPr>
      </w:pPr>
      <w:r>
        <w:rPr>
          <w:b/>
        </w:rPr>
        <w:t>Non-refoulement</w:t>
      </w:r>
    </w:p>
    <w:p w:rsidR="00C45778" w:rsidRPr="00275D77" w:rsidRDefault="007969D5" w:rsidP="00C45778">
      <w:pPr>
        <w:spacing w:after="240"/>
      </w:pPr>
      <w:r>
        <w:t>12.</w:t>
      </w:r>
      <w:r>
        <w:tab/>
        <w:t>Tout en notant que «</w:t>
      </w:r>
      <w:r w:rsidR="00C45778">
        <w:t>c’est le Conseil de la citoyenneté et de</w:t>
      </w:r>
      <w:r w:rsidR="006C06BC">
        <w:t xml:space="preserve"> l’immigration qui détermine au </w:t>
      </w:r>
      <w:r w:rsidR="00C45778">
        <w:t>cas par cas si tel ou tel pays est sûr</w:t>
      </w:r>
      <w:r>
        <w:t>»</w:t>
      </w:r>
      <w:r w:rsidR="00C45778">
        <w:t xml:space="preserve">, et en prenant acte de la liste des pays vers lesquels </w:t>
      </w:r>
      <w:r w:rsidR="0034633F">
        <w:t>des personnes ont été expulsées</w:t>
      </w:r>
      <w:r w:rsidR="00C45778">
        <w:t>, le Comité reste préoccupé par le fait qu</w:t>
      </w:r>
      <w:r w:rsidR="0034633F">
        <w:t>e l’application du principe de «</w:t>
      </w:r>
      <w:r w:rsidR="00C45778">
        <w:t>pays sûr</w:t>
      </w:r>
      <w:r w:rsidR="0034633F">
        <w:t>»</w:t>
      </w:r>
      <w:r w:rsidR="00C45778">
        <w:t xml:space="preserve"> peut empêcher l’État partie de prendre en considération tous les éléments d’un cas individuel et </w:t>
      </w:r>
      <w:r w:rsidR="0034633F">
        <w:t xml:space="preserve">par-là même de s’acquitter de toutes les </w:t>
      </w:r>
      <w:r w:rsidR="00C45778">
        <w:t>obligation</w:t>
      </w:r>
      <w:r w:rsidR="0034633F">
        <w:t>s</w:t>
      </w:r>
      <w:r w:rsidR="00C45778">
        <w:t xml:space="preserve"> </w:t>
      </w:r>
      <w:r w:rsidR="0034633F">
        <w:t xml:space="preserve">qui lui incombent en matière </w:t>
      </w:r>
      <w:r w:rsidR="00C45778">
        <w:t>de non-refoulement en vertu de la Convention (art. 3).</w:t>
      </w:r>
    </w:p>
    <w:p w:rsidR="00C45778" w:rsidRDefault="00C45778" w:rsidP="00C45778">
      <w:pPr>
        <w:spacing w:after="240"/>
        <w:ind w:left="567" w:firstLine="567"/>
        <w:rPr>
          <w:b/>
        </w:rPr>
      </w:pPr>
      <w:r>
        <w:rPr>
          <w:b/>
        </w:rPr>
        <w:t xml:space="preserve">L’État partie devrait toujours </w:t>
      </w:r>
      <w:r w:rsidR="008546AB">
        <w:rPr>
          <w:b/>
        </w:rPr>
        <w:t>déterminer au cas</w:t>
      </w:r>
      <w:r w:rsidR="006C06BC">
        <w:rPr>
          <w:b/>
        </w:rPr>
        <w:t xml:space="preserve"> par cas si la situation met en </w:t>
      </w:r>
      <w:r w:rsidR="008546AB">
        <w:rPr>
          <w:b/>
        </w:rPr>
        <w:t>jeu</w:t>
      </w:r>
      <w:r>
        <w:rPr>
          <w:b/>
        </w:rPr>
        <w:t xml:space="preserve"> </w:t>
      </w:r>
      <w:r w:rsidR="008546AB">
        <w:rPr>
          <w:b/>
        </w:rPr>
        <w:t>l’</w:t>
      </w:r>
      <w:r>
        <w:rPr>
          <w:b/>
        </w:rPr>
        <w:t>obligation de non-refoulement contractée en vertu de l’article 3 de la Convention et fournir, dans la pratique, toutes les garanties de procédure aux personnes expulsées, refoulées ou extradées.</w:t>
      </w:r>
    </w:p>
    <w:p w:rsidR="00C45778" w:rsidRDefault="00C45778" w:rsidP="00C45778">
      <w:pPr>
        <w:spacing w:after="240"/>
        <w:rPr>
          <w:b/>
        </w:rPr>
      </w:pPr>
      <w:r>
        <w:rPr>
          <w:b/>
        </w:rPr>
        <w:t xml:space="preserve">Peines appropriées </w:t>
      </w:r>
      <w:r w:rsidR="008546AB">
        <w:rPr>
          <w:b/>
        </w:rPr>
        <w:t xml:space="preserve">prévues par le Code pénal </w:t>
      </w:r>
      <w:r>
        <w:rPr>
          <w:b/>
        </w:rPr>
        <w:t xml:space="preserve">pour </w:t>
      </w:r>
      <w:r w:rsidR="008546AB">
        <w:rPr>
          <w:b/>
        </w:rPr>
        <w:t xml:space="preserve">réprimer </w:t>
      </w:r>
      <w:r>
        <w:rPr>
          <w:b/>
        </w:rPr>
        <w:t>les actes de torture</w:t>
      </w:r>
    </w:p>
    <w:p w:rsidR="00C45778" w:rsidRDefault="00C45778" w:rsidP="00C45778">
      <w:pPr>
        <w:spacing w:after="240"/>
      </w:pPr>
      <w:r>
        <w:t>13.</w:t>
      </w:r>
      <w:r>
        <w:tab/>
        <w:t xml:space="preserve">Le Comité reste préoccupé par l’insuffisance des peines applicables aux actes de torture, </w:t>
      </w:r>
      <w:r w:rsidR="007419D6">
        <w:t>visées</w:t>
      </w:r>
      <w:r>
        <w:t xml:space="preserve"> aux articles 122, 291, 312 et 324 </w:t>
      </w:r>
      <w:r w:rsidR="007419D6">
        <w:t>du Code pénal, et allant d’une «peine pécuni</w:t>
      </w:r>
      <w:r w:rsidR="00695705">
        <w:t>aire</w:t>
      </w:r>
      <w:r w:rsidR="007419D6">
        <w:t>»</w:t>
      </w:r>
      <w:r>
        <w:t xml:space="preserve"> à un</w:t>
      </w:r>
      <w:r w:rsidR="007419D6">
        <w:t>e</w:t>
      </w:r>
      <w:r>
        <w:t xml:space="preserve"> </w:t>
      </w:r>
      <w:r w:rsidR="007419D6">
        <w:t xml:space="preserve">peine d’emprisonnement </w:t>
      </w:r>
      <w:r>
        <w:t xml:space="preserve">de cinq ans </w:t>
      </w:r>
      <w:r w:rsidR="007419D6">
        <w:t xml:space="preserve">au maximum </w:t>
      </w:r>
      <w:r>
        <w:t>(art. 4).</w:t>
      </w:r>
    </w:p>
    <w:p w:rsidR="00C45778" w:rsidRDefault="00C45778" w:rsidP="00C45778">
      <w:pPr>
        <w:spacing w:after="240"/>
        <w:ind w:left="567" w:firstLine="567"/>
        <w:rPr>
          <w:b/>
        </w:rPr>
      </w:pPr>
      <w:r w:rsidRPr="00BC6575">
        <w:rPr>
          <w:b/>
        </w:rPr>
        <w:t>L</w:t>
      </w:r>
      <w:r>
        <w:rPr>
          <w:b/>
        </w:rPr>
        <w:t>’</w:t>
      </w:r>
      <w:r w:rsidRPr="00BC6575">
        <w:rPr>
          <w:b/>
        </w:rPr>
        <w:t xml:space="preserve">État partie devrait faire en sorte que les actes de torture soient passibles de peines appropriées qui </w:t>
      </w:r>
      <w:r w:rsidR="007419D6">
        <w:rPr>
          <w:b/>
        </w:rPr>
        <w:t xml:space="preserve">tiennent compte de </w:t>
      </w:r>
      <w:r w:rsidRPr="00BC6575">
        <w:rPr>
          <w:b/>
        </w:rPr>
        <w:t>leur gravité</w:t>
      </w:r>
      <w:r w:rsidR="007419D6">
        <w:rPr>
          <w:b/>
        </w:rPr>
        <w:t>,</w:t>
      </w:r>
      <w:r w:rsidRPr="00BC6575">
        <w:rPr>
          <w:b/>
        </w:rPr>
        <w:t xml:space="preserve"> </w:t>
      </w:r>
      <w:r>
        <w:rPr>
          <w:b/>
        </w:rPr>
        <w:t xml:space="preserve">comme le prévoit </w:t>
      </w:r>
      <w:r w:rsidRPr="00BC6575">
        <w:rPr>
          <w:b/>
        </w:rPr>
        <w:t>l</w:t>
      </w:r>
      <w:r>
        <w:rPr>
          <w:b/>
        </w:rPr>
        <w:t>’</w:t>
      </w:r>
      <w:r w:rsidRPr="00BC6575">
        <w:rPr>
          <w:b/>
        </w:rPr>
        <w:t>article 4</w:t>
      </w:r>
      <w:r w:rsidR="007419D6">
        <w:rPr>
          <w:b/>
        </w:rPr>
        <w:t xml:space="preserve">, </w:t>
      </w:r>
      <w:r w:rsidR="007419D6" w:rsidRPr="00BC6575">
        <w:rPr>
          <w:b/>
        </w:rPr>
        <w:t>paragraphe 2</w:t>
      </w:r>
      <w:r w:rsidR="007419D6">
        <w:rPr>
          <w:b/>
        </w:rPr>
        <w:t>,</w:t>
      </w:r>
      <w:r w:rsidR="007419D6" w:rsidRPr="00BC6575">
        <w:rPr>
          <w:b/>
        </w:rPr>
        <w:t xml:space="preserve"> </w:t>
      </w:r>
      <w:r w:rsidRPr="00BC6575">
        <w:rPr>
          <w:b/>
        </w:rPr>
        <w:t>de la Convention.</w:t>
      </w:r>
    </w:p>
    <w:p w:rsidR="00C45778" w:rsidRDefault="00C45778" w:rsidP="00C45778">
      <w:pPr>
        <w:spacing w:after="240"/>
        <w:rPr>
          <w:b/>
        </w:rPr>
      </w:pPr>
      <w:r w:rsidRPr="00B52C11">
        <w:rPr>
          <w:b/>
        </w:rPr>
        <w:t xml:space="preserve">Formation et éducation </w:t>
      </w:r>
      <w:r w:rsidR="007419D6">
        <w:rPr>
          <w:b/>
        </w:rPr>
        <w:t xml:space="preserve">relatives </w:t>
      </w:r>
      <w:r w:rsidRPr="00B52C11">
        <w:rPr>
          <w:b/>
        </w:rPr>
        <w:t>aux dispositions de la Convention</w:t>
      </w:r>
    </w:p>
    <w:p w:rsidR="00C45778" w:rsidRDefault="00C45778" w:rsidP="00C45778">
      <w:pPr>
        <w:spacing w:after="240"/>
      </w:pPr>
      <w:r>
        <w:t>14.</w:t>
      </w:r>
      <w:r>
        <w:tab/>
        <w:t>Le Comité est préoccupé par le fait que le</w:t>
      </w:r>
      <w:r w:rsidR="007419D6">
        <w:t>s</w:t>
      </w:r>
      <w:r>
        <w:t xml:space="preserve"> </w:t>
      </w:r>
      <w:r w:rsidR="007419D6">
        <w:t xml:space="preserve">agents </w:t>
      </w:r>
      <w:r>
        <w:t>chargé</w:t>
      </w:r>
      <w:r w:rsidR="007419D6">
        <w:t>s</w:t>
      </w:r>
      <w:r>
        <w:t xml:space="preserve"> de l’application des lois, notamment le personnel </w:t>
      </w:r>
      <w:r w:rsidR="007419D6">
        <w:t xml:space="preserve">des établissements </w:t>
      </w:r>
      <w:r>
        <w:t>pénitentiaire</w:t>
      </w:r>
      <w:r w:rsidR="007419D6">
        <w:t>s</w:t>
      </w:r>
      <w:r>
        <w:t>, les juges et les procureurs, n</w:t>
      </w:r>
      <w:r w:rsidR="009D0239">
        <w:t xml:space="preserve">e sont </w:t>
      </w:r>
      <w:r>
        <w:t>pas suffisamment formé</w:t>
      </w:r>
      <w:r w:rsidR="009D0239">
        <w:t>s</w:t>
      </w:r>
      <w:r>
        <w:t xml:space="preserve"> </w:t>
      </w:r>
      <w:r w:rsidR="007419D6">
        <w:t>concernant les</w:t>
      </w:r>
      <w:r>
        <w:t xml:space="preserve"> dispositions de la Convention. Le Comité note aussi avec préoccupation que le personnel médical exerçant dans les centres de détention ne reçoit pas de formation spécifique pour détecter les signes de torture ou de mauvais traitements (art. 10 et 15).</w:t>
      </w:r>
    </w:p>
    <w:p w:rsidR="00C45778" w:rsidRDefault="00C45778" w:rsidP="00C45778">
      <w:pPr>
        <w:spacing w:after="240"/>
        <w:ind w:left="567" w:firstLine="567"/>
        <w:rPr>
          <w:b/>
          <w:bCs/>
        </w:rPr>
      </w:pPr>
      <w:r>
        <w:rPr>
          <w:b/>
          <w:bCs/>
        </w:rPr>
        <w:t xml:space="preserve">L’État partie devrait renforcer les programmes de formation destinés à l’ensemble du personnel chargé de l’application des lois </w:t>
      </w:r>
      <w:r w:rsidR="007419D6">
        <w:rPr>
          <w:b/>
          <w:bCs/>
        </w:rPr>
        <w:t>concernant</w:t>
      </w:r>
      <w:r>
        <w:rPr>
          <w:b/>
          <w:bCs/>
        </w:rPr>
        <w:t xml:space="preserve"> l’interdiction absolue de la torture et d’autres mauvais traitements, ainsi que les formations à l’intention des procureurs et </w:t>
      </w:r>
      <w:r w:rsidR="007419D6">
        <w:rPr>
          <w:b/>
          <w:bCs/>
        </w:rPr>
        <w:t>d</w:t>
      </w:r>
      <w:r>
        <w:rPr>
          <w:b/>
          <w:bCs/>
        </w:rPr>
        <w:t xml:space="preserve">es juges </w:t>
      </w:r>
      <w:r w:rsidR="007419D6">
        <w:rPr>
          <w:b/>
          <w:bCs/>
        </w:rPr>
        <w:t xml:space="preserve">concernant </w:t>
      </w:r>
      <w:r>
        <w:rPr>
          <w:b/>
          <w:bCs/>
        </w:rPr>
        <w:t>les obligations contractées par l’État partie en vertu de la Convention. Il s’agir</w:t>
      </w:r>
      <w:r w:rsidR="007419D6">
        <w:rPr>
          <w:b/>
          <w:bCs/>
        </w:rPr>
        <w:t>ait</w:t>
      </w:r>
      <w:r>
        <w:rPr>
          <w:b/>
          <w:bCs/>
        </w:rPr>
        <w:t xml:space="preserve"> notamment d’une formation sur l’irrecevabilité des aveux et dépositions obtenus sous la torture.</w:t>
      </w:r>
    </w:p>
    <w:p w:rsidR="00C45778" w:rsidRDefault="00C45778" w:rsidP="00C45778">
      <w:pPr>
        <w:spacing w:after="240"/>
        <w:ind w:left="567" w:firstLine="567"/>
        <w:rPr>
          <w:b/>
          <w:bCs/>
        </w:rPr>
      </w:pPr>
      <w:r>
        <w:rPr>
          <w:b/>
          <w:bCs/>
        </w:rPr>
        <w:t xml:space="preserve">L’État partie devrait faire en sorte que tout le personnel médical qui s’occupe des détenus </w:t>
      </w:r>
      <w:r w:rsidR="007419D6">
        <w:rPr>
          <w:b/>
          <w:bCs/>
        </w:rPr>
        <w:t xml:space="preserve">reçoive </w:t>
      </w:r>
      <w:r>
        <w:rPr>
          <w:b/>
          <w:bCs/>
        </w:rPr>
        <w:t xml:space="preserve">une formation adéquate pour détecter les signes de torture ou de mauvais traitements conformément aux normes internationales, telles qu’elles sont énoncées dans le Protocole d’Istanbul. </w:t>
      </w:r>
    </w:p>
    <w:p w:rsidR="00C45778" w:rsidRDefault="00C45778" w:rsidP="00C45778">
      <w:pPr>
        <w:spacing w:after="240"/>
        <w:rPr>
          <w:b/>
        </w:rPr>
      </w:pPr>
      <w:r w:rsidRPr="00BF4D50">
        <w:rPr>
          <w:b/>
        </w:rPr>
        <w:t xml:space="preserve">Plaintes, enquêtes et </w:t>
      </w:r>
      <w:r w:rsidRPr="000D23DA">
        <w:rPr>
          <w:b/>
        </w:rPr>
        <w:t>condamnations appropriées</w:t>
      </w:r>
    </w:p>
    <w:p w:rsidR="00C45778" w:rsidRDefault="00C45778" w:rsidP="00C45778">
      <w:pPr>
        <w:spacing w:after="240"/>
        <w:rPr>
          <w:lang w:val="fr-FR"/>
        </w:rPr>
      </w:pPr>
      <w:r>
        <w:t>15.</w:t>
      </w:r>
      <w:r>
        <w:tab/>
        <w:t xml:space="preserve">Le Comité prend note des activités de contrôle menées dans </w:t>
      </w:r>
      <w:r w:rsidR="006C06BC">
        <w:t>les prisons par le Ministère de </w:t>
      </w:r>
      <w:r>
        <w:t xml:space="preserve">la justice, dans les </w:t>
      </w:r>
      <w:r w:rsidRPr="00BE6EBE">
        <w:t>locaux de détention</w:t>
      </w:r>
      <w:r>
        <w:t xml:space="preserve"> par le Conseil de la police, dans les établissements psychiatriques par le </w:t>
      </w:r>
      <w:r w:rsidRPr="00BE6EBE">
        <w:t>Conseil des soins de santé</w:t>
      </w:r>
      <w:r>
        <w:t xml:space="preserve">, et dans le </w:t>
      </w:r>
      <w:r>
        <w:rPr>
          <w:lang w:val="fr-FR"/>
        </w:rPr>
        <w:t xml:space="preserve">centre d’accueil des demandeurs d’asile d’Illuka par le Ministère des affaires sociales et </w:t>
      </w:r>
      <w:r w:rsidR="00524DCA">
        <w:rPr>
          <w:lang w:val="fr-FR"/>
        </w:rPr>
        <w:t>l’armée</w:t>
      </w:r>
      <w:r>
        <w:rPr>
          <w:lang w:val="fr-FR"/>
        </w:rPr>
        <w:t xml:space="preserve">. Le Comité est toutefois préoccupé par </w:t>
      </w:r>
      <w:r w:rsidRPr="005E3A44">
        <w:rPr>
          <w:lang w:val="fr-FR"/>
        </w:rPr>
        <w:t>l</w:t>
      </w:r>
      <w:r>
        <w:rPr>
          <w:lang w:val="fr-FR"/>
        </w:rPr>
        <w:t xml:space="preserve">a déficience </w:t>
      </w:r>
      <w:r w:rsidRPr="005E3A44">
        <w:rPr>
          <w:lang w:val="fr-FR"/>
        </w:rPr>
        <w:t>d</w:t>
      </w:r>
      <w:r w:rsidR="00524DCA">
        <w:rPr>
          <w:lang w:val="fr-FR"/>
        </w:rPr>
        <w:t>u mécanisme</w:t>
      </w:r>
      <w:r w:rsidRPr="005E3A44">
        <w:rPr>
          <w:lang w:val="fr-FR"/>
        </w:rPr>
        <w:t xml:space="preserve"> d</w:t>
      </w:r>
      <w:r>
        <w:rPr>
          <w:lang w:val="fr-FR"/>
        </w:rPr>
        <w:t>’</w:t>
      </w:r>
      <w:r w:rsidRPr="005E3A44">
        <w:rPr>
          <w:lang w:val="fr-FR"/>
        </w:rPr>
        <w:t xml:space="preserve">examen des plaintes dans </w:t>
      </w:r>
      <w:r>
        <w:rPr>
          <w:lang w:val="fr-FR"/>
        </w:rPr>
        <w:t>tous les lieux où des personnes sont privées de liberté et par l’insuffisance du contrôle et</w:t>
      </w:r>
      <w:r w:rsidR="006C06BC">
        <w:rPr>
          <w:lang w:val="fr-FR"/>
        </w:rPr>
        <w:t xml:space="preserve"> de la surveillance exercés sur </w:t>
      </w:r>
      <w:r>
        <w:rPr>
          <w:lang w:val="fr-FR"/>
        </w:rPr>
        <w:t xml:space="preserve">ces lieux, ainsi que par le nombre restreint d’auteurs d’actes de torture ou de </w:t>
      </w:r>
      <w:r w:rsidR="00524DCA">
        <w:rPr>
          <w:lang w:val="fr-FR"/>
        </w:rPr>
        <w:t xml:space="preserve">responsables de </w:t>
      </w:r>
      <w:r>
        <w:rPr>
          <w:lang w:val="fr-FR"/>
        </w:rPr>
        <w:t xml:space="preserve">peines ou traitements cruels, inhumains ou dégradants </w:t>
      </w:r>
      <w:r w:rsidR="00524DCA">
        <w:rPr>
          <w:lang w:val="fr-FR"/>
        </w:rPr>
        <w:t>qui</w:t>
      </w:r>
      <w:r w:rsidR="006C06BC">
        <w:rPr>
          <w:lang w:val="fr-FR"/>
        </w:rPr>
        <w:t xml:space="preserve"> </w:t>
      </w:r>
      <w:r w:rsidR="00524DCA">
        <w:rPr>
          <w:lang w:val="fr-FR"/>
        </w:rPr>
        <w:t xml:space="preserve">sont </w:t>
      </w:r>
      <w:r>
        <w:rPr>
          <w:lang w:val="fr-FR"/>
        </w:rPr>
        <w:t>condamnés à des peines appropriées, correspondant à la gravité des actes qu’ils ont commis (art. 12 et 13).</w:t>
      </w:r>
    </w:p>
    <w:p w:rsidR="00C45778" w:rsidRPr="00D72CC6" w:rsidRDefault="00C45778" w:rsidP="00C45778">
      <w:pPr>
        <w:spacing w:after="240"/>
        <w:ind w:left="567" w:firstLine="567"/>
        <w:rPr>
          <w:b/>
          <w:lang w:val="fr-FR"/>
        </w:rPr>
      </w:pPr>
      <w:r w:rsidRPr="00D72CC6">
        <w:rPr>
          <w:b/>
          <w:lang w:val="fr-FR"/>
        </w:rPr>
        <w:t>L</w:t>
      </w:r>
      <w:r>
        <w:rPr>
          <w:b/>
          <w:lang w:val="fr-FR"/>
        </w:rPr>
        <w:t>’</w:t>
      </w:r>
      <w:r w:rsidRPr="00D72CC6">
        <w:rPr>
          <w:b/>
          <w:lang w:val="fr-FR"/>
        </w:rPr>
        <w:t>État par</w:t>
      </w:r>
      <w:r>
        <w:rPr>
          <w:b/>
          <w:lang w:val="fr-FR"/>
        </w:rPr>
        <w:t>tie devrait faire en sorte que d</w:t>
      </w:r>
      <w:r w:rsidRPr="00D72CC6">
        <w:rPr>
          <w:b/>
          <w:lang w:val="fr-FR"/>
        </w:rPr>
        <w:t>es mécanismes d</w:t>
      </w:r>
      <w:r>
        <w:rPr>
          <w:b/>
          <w:lang w:val="fr-FR"/>
        </w:rPr>
        <w:t>’</w:t>
      </w:r>
      <w:r w:rsidRPr="00D72CC6">
        <w:rPr>
          <w:b/>
          <w:lang w:val="fr-FR"/>
        </w:rPr>
        <w:t xml:space="preserve">examen des plaintes soient présents dans tous les lieux où des personnes sont privées de liberté et que ces lieux </w:t>
      </w:r>
      <w:r w:rsidR="00524DCA">
        <w:rPr>
          <w:b/>
          <w:lang w:val="fr-FR"/>
        </w:rPr>
        <w:t xml:space="preserve">fassent l’objet d’une </w:t>
      </w:r>
      <w:r w:rsidR="00524DCA" w:rsidRPr="00D72CC6">
        <w:rPr>
          <w:b/>
          <w:lang w:val="fr-FR"/>
        </w:rPr>
        <w:t xml:space="preserve">surveillance </w:t>
      </w:r>
      <w:r w:rsidR="00524DCA">
        <w:rPr>
          <w:b/>
          <w:lang w:val="fr-FR"/>
        </w:rPr>
        <w:t xml:space="preserve">et d’un contrôle </w:t>
      </w:r>
      <w:r w:rsidRPr="00D72CC6">
        <w:rPr>
          <w:b/>
          <w:lang w:val="fr-FR"/>
        </w:rPr>
        <w:t>suffisant</w:t>
      </w:r>
      <w:r w:rsidR="00524DCA">
        <w:rPr>
          <w:b/>
          <w:lang w:val="fr-FR"/>
        </w:rPr>
        <w:t>s</w:t>
      </w:r>
      <w:r w:rsidRPr="00D72CC6">
        <w:rPr>
          <w:b/>
          <w:lang w:val="fr-FR"/>
        </w:rPr>
        <w:t>.</w:t>
      </w:r>
    </w:p>
    <w:p w:rsidR="00C45778" w:rsidRPr="00D72CC6" w:rsidRDefault="00C45778" w:rsidP="00C45778">
      <w:pPr>
        <w:spacing w:after="240"/>
        <w:ind w:left="567" w:firstLine="567"/>
        <w:rPr>
          <w:b/>
        </w:rPr>
      </w:pPr>
      <w:r w:rsidRPr="00D72CC6">
        <w:rPr>
          <w:b/>
          <w:lang w:val="fr-FR"/>
        </w:rPr>
        <w:t>L</w:t>
      </w:r>
      <w:r>
        <w:rPr>
          <w:b/>
          <w:lang w:val="fr-FR"/>
        </w:rPr>
        <w:t>’</w:t>
      </w:r>
      <w:r w:rsidRPr="00D72CC6">
        <w:rPr>
          <w:b/>
          <w:lang w:val="fr-FR"/>
        </w:rPr>
        <w:t xml:space="preserve">État partie devrait </w:t>
      </w:r>
      <w:r>
        <w:rPr>
          <w:b/>
          <w:lang w:val="fr-FR"/>
        </w:rPr>
        <w:t xml:space="preserve">ouvrir sans délai des </w:t>
      </w:r>
      <w:r w:rsidRPr="00D72CC6">
        <w:rPr>
          <w:b/>
          <w:lang w:val="fr-FR"/>
        </w:rPr>
        <w:t>enquête</w:t>
      </w:r>
      <w:r>
        <w:rPr>
          <w:b/>
          <w:lang w:val="fr-FR"/>
        </w:rPr>
        <w:t>s</w:t>
      </w:r>
      <w:r w:rsidRPr="00D72CC6">
        <w:rPr>
          <w:b/>
          <w:lang w:val="fr-FR"/>
        </w:rPr>
        <w:t xml:space="preserve"> approfondie</w:t>
      </w:r>
      <w:r>
        <w:rPr>
          <w:b/>
          <w:lang w:val="fr-FR"/>
        </w:rPr>
        <w:t>s</w:t>
      </w:r>
      <w:r w:rsidRPr="00D72CC6">
        <w:rPr>
          <w:b/>
          <w:lang w:val="fr-FR"/>
        </w:rPr>
        <w:t xml:space="preserve"> et impartiale</w:t>
      </w:r>
      <w:r>
        <w:rPr>
          <w:b/>
          <w:lang w:val="fr-FR"/>
        </w:rPr>
        <w:t>s</w:t>
      </w:r>
      <w:r w:rsidRPr="00D72CC6">
        <w:rPr>
          <w:b/>
          <w:lang w:val="fr-FR"/>
        </w:rPr>
        <w:t xml:space="preserve"> </w:t>
      </w:r>
      <w:r>
        <w:rPr>
          <w:b/>
          <w:lang w:val="fr-FR"/>
        </w:rPr>
        <w:t xml:space="preserve">chaque fois que des cas </w:t>
      </w:r>
      <w:r w:rsidRPr="00D72CC6">
        <w:rPr>
          <w:b/>
          <w:lang w:val="fr-FR"/>
        </w:rPr>
        <w:t>d</w:t>
      </w:r>
      <w:r>
        <w:rPr>
          <w:b/>
          <w:lang w:val="fr-FR"/>
        </w:rPr>
        <w:t>’</w:t>
      </w:r>
      <w:r w:rsidRPr="00D72CC6">
        <w:rPr>
          <w:b/>
          <w:lang w:val="fr-FR"/>
        </w:rPr>
        <w:t>actes de torture ou d</w:t>
      </w:r>
      <w:r>
        <w:rPr>
          <w:b/>
          <w:lang w:val="fr-FR"/>
        </w:rPr>
        <w:t>’</w:t>
      </w:r>
      <w:r w:rsidRPr="00D72CC6">
        <w:rPr>
          <w:b/>
          <w:lang w:val="fr-FR"/>
        </w:rPr>
        <w:t>autre</w:t>
      </w:r>
      <w:r>
        <w:rPr>
          <w:b/>
          <w:lang w:val="fr-FR"/>
        </w:rPr>
        <w:t>s</w:t>
      </w:r>
      <w:r w:rsidRPr="00D72CC6">
        <w:rPr>
          <w:b/>
          <w:lang w:val="fr-FR"/>
        </w:rPr>
        <w:t xml:space="preserve"> </w:t>
      </w:r>
      <w:r>
        <w:rPr>
          <w:b/>
          <w:lang w:val="fr-FR"/>
        </w:rPr>
        <w:t xml:space="preserve">peines ou </w:t>
      </w:r>
      <w:r w:rsidRPr="00D72CC6">
        <w:rPr>
          <w:b/>
          <w:lang w:val="fr-FR"/>
        </w:rPr>
        <w:t>traitement</w:t>
      </w:r>
      <w:r>
        <w:rPr>
          <w:b/>
          <w:lang w:val="fr-FR"/>
        </w:rPr>
        <w:t>s</w:t>
      </w:r>
      <w:r w:rsidRPr="00D72CC6">
        <w:rPr>
          <w:b/>
          <w:lang w:val="fr-FR"/>
        </w:rPr>
        <w:t xml:space="preserve"> cruel</w:t>
      </w:r>
      <w:r>
        <w:rPr>
          <w:b/>
          <w:lang w:val="fr-FR"/>
        </w:rPr>
        <w:t>s</w:t>
      </w:r>
      <w:r w:rsidRPr="00D72CC6">
        <w:rPr>
          <w:b/>
          <w:lang w:val="fr-FR"/>
        </w:rPr>
        <w:t>, inhumain</w:t>
      </w:r>
      <w:r>
        <w:rPr>
          <w:b/>
          <w:lang w:val="fr-FR"/>
        </w:rPr>
        <w:t>s</w:t>
      </w:r>
      <w:r w:rsidRPr="00D72CC6">
        <w:rPr>
          <w:b/>
          <w:lang w:val="fr-FR"/>
        </w:rPr>
        <w:t xml:space="preserve"> ou dégradant</w:t>
      </w:r>
      <w:r>
        <w:rPr>
          <w:b/>
          <w:lang w:val="fr-FR"/>
        </w:rPr>
        <w:t>s sont dénoncés</w:t>
      </w:r>
      <w:r w:rsidRPr="00D72CC6">
        <w:rPr>
          <w:b/>
          <w:lang w:val="fr-FR"/>
        </w:rPr>
        <w:t xml:space="preserve">, </w:t>
      </w:r>
      <w:r>
        <w:rPr>
          <w:b/>
          <w:lang w:val="fr-FR"/>
        </w:rPr>
        <w:t xml:space="preserve">traduire les responsables </w:t>
      </w:r>
      <w:r w:rsidR="00524DCA">
        <w:rPr>
          <w:b/>
          <w:lang w:val="fr-FR"/>
        </w:rPr>
        <w:t xml:space="preserve">en justice </w:t>
      </w:r>
      <w:r w:rsidRPr="00D72CC6">
        <w:rPr>
          <w:b/>
          <w:lang w:val="fr-FR"/>
        </w:rPr>
        <w:t>et condamner les personnes reconnues coupables à des peines proportionnelles à la gravité de l</w:t>
      </w:r>
      <w:r>
        <w:rPr>
          <w:b/>
          <w:lang w:val="fr-FR"/>
        </w:rPr>
        <w:t>’</w:t>
      </w:r>
      <w:r w:rsidRPr="00D72CC6">
        <w:rPr>
          <w:b/>
          <w:lang w:val="fr-FR"/>
        </w:rPr>
        <w:t>infraction.</w:t>
      </w:r>
    </w:p>
    <w:p w:rsidR="00C45778" w:rsidRPr="00E82570" w:rsidRDefault="00C45778" w:rsidP="00C45778">
      <w:pPr>
        <w:spacing w:after="240"/>
        <w:rPr>
          <w:b/>
        </w:rPr>
      </w:pPr>
      <w:r w:rsidRPr="00E82570">
        <w:rPr>
          <w:b/>
        </w:rPr>
        <w:t>Violence entre prisonniers</w:t>
      </w:r>
    </w:p>
    <w:p w:rsidR="00C45778" w:rsidRDefault="00C45778" w:rsidP="00C45778">
      <w:pPr>
        <w:spacing w:after="240"/>
      </w:pPr>
      <w:r>
        <w:t>16.</w:t>
      </w:r>
      <w:r>
        <w:tab/>
        <w:t>Le Comité est préoccupé par les actes de violence commis entre prisonniers, compte tenu en particulier des incidents survenus en 2006 dans la prison de Murru, où deux détenus ont été tués, ainsi que par l’insuffisance des mesures visant à prévenir de tels a</w:t>
      </w:r>
      <w:r w:rsidR="00680050">
        <w:t>ctes et à mener les enquêtes s’</w:t>
      </w:r>
      <w:r>
        <w:t>y rapportant (art. 12 et 13).</w:t>
      </w:r>
    </w:p>
    <w:p w:rsidR="00C45778" w:rsidRPr="005D7DCF" w:rsidRDefault="00C45778" w:rsidP="00C45778">
      <w:pPr>
        <w:spacing w:after="240"/>
        <w:ind w:left="567" w:firstLine="567"/>
        <w:rPr>
          <w:b/>
        </w:rPr>
      </w:pPr>
      <w:r w:rsidRPr="005D7DCF">
        <w:rPr>
          <w:b/>
        </w:rPr>
        <w:t>L</w:t>
      </w:r>
      <w:r>
        <w:rPr>
          <w:b/>
        </w:rPr>
        <w:t>’</w:t>
      </w:r>
      <w:r w:rsidRPr="005D7DCF">
        <w:rPr>
          <w:b/>
        </w:rPr>
        <w:t xml:space="preserve">État partie devrait ouvrir sans délai des enquêtes approfondies et impartiales sur tous les cas de décès en détention et sur tous les actes de violence commis entre prisonniers, notamment tous </w:t>
      </w:r>
      <w:r>
        <w:rPr>
          <w:b/>
        </w:rPr>
        <w:t>ceux</w:t>
      </w:r>
      <w:r w:rsidRPr="005D7DCF">
        <w:rPr>
          <w:b/>
        </w:rPr>
        <w:t xml:space="preserve"> impliquant une négligence </w:t>
      </w:r>
      <w:r w:rsidR="00524DCA">
        <w:rPr>
          <w:b/>
        </w:rPr>
        <w:t>éventuelle</w:t>
      </w:r>
      <w:r w:rsidR="009D0239">
        <w:rPr>
          <w:b/>
        </w:rPr>
        <w:t xml:space="preserve"> du personnel</w:t>
      </w:r>
      <w:r w:rsidRPr="005D7DCF">
        <w:rPr>
          <w:b/>
        </w:rPr>
        <w:t>, et traduire les responsables en justice, afin de s</w:t>
      </w:r>
      <w:r>
        <w:rPr>
          <w:b/>
        </w:rPr>
        <w:t>’</w:t>
      </w:r>
      <w:r w:rsidRPr="005D7DCF">
        <w:rPr>
          <w:b/>
        </w:rPr>
        <w:t>a</w:t>
      </w:r>
      <w:r>
        <w:rPr>
          <w:b/>
        </w:rPr>
        <w:t>cquitter des obligations qu</w:t>
      </w:r>
      <w:r w:rsidR="00524DCA">
        <w:rPr>
          <w:b/>
        </w:rPr>
        <w:t>i lui incombent</w:t>
      </w:r>
      <w:r w:rsidRPr="005D7DCF">
        <w:rPr>
          <w:b/>
        </w:rPr>
        <w:t xml:space="preserve"> en vertu de l</w:t>
      </w:r>
      <w:r>
        <w:rPr>
          <w:b/>
        </w:rPr>
        <w:t>’</w:t>
      </w:r>
      <w:r w:rsidRPr="005D7DCF">
        <w:rPr>
          <w:b/>
        </w:rPr>
        <w:t xml:space="preserve">article 12 de la Convention. </w:t>
      </w:r>
    </w:p>
    <w:p w:rsidR="00C45778" w:rsidRDefault="00C45778" w:rsidP="00C45778">
      <w:pPr>
        <w:spacing w:after="240"/>
        <w:rPr>
          <w:b/>
        </w:rPr>
      </w:pPr>
      <w:r w:rsidRPr="005D7DCF">
        <w:rPr>
          <w:b/>
        </w:rPr>
        <w:t>Code de procédure pénale</w:t>
      </w:r>
    </w:p>
    <w:p w:rsidR="00C45778" w:rsidRDefault="00C45778" w:rsidP="00C45778">
      <w:pPr>
        <w:spacing w:after="240"/>
      </w:pPr>
      <w:r>
        <w:t>17.</w:t>
      </w:r>
      <w:r>
        <w:tab/>
        <w:t>Le Comité est préoccupé par le fait qu’en vertu du Code de procédure pénale le tribunal n’a pas le droit de continuer les poursuites d’office si le pro</w:t>
      </w:r>
      <w:r w:rsidR="00524DCA">
        <w:t>cureur abandonne les poursuites</w:t>
      </w:r>
      <w:r w:rsidR="006C06BC">
        <w:t xml:space="preserve"> (par. </w:t>
      </w:r>
      <w:r>
        <w:t xml:space="preserve">64 du rapport de l’État partie), et que le </w:t>
      </w:r>
      <w:r w:rsidR="00524DCA">
        <w:t>parquet</w:t>
      </w:r>
      <w:r>
        <w:t xml:space="preserve"> peut prolonger </w:t>
      </w:r>
      <w:r w:rsidR="00524DCA">
        <w:t xml:space="preserve">sans aucune justification </w:t>
      </w:r>
      <w:r>
        <w:t xml:space="preserve">la détention avant jugement après la </w:t>
      </w:r>
      <w:r w:rsidR="00524DCA">
        <w:t>durée</w:t>
      </w:r>
      <w:r>
        <w:t xml:space="preserve"> initiale de six mois (art. 13).</w:t>
      </w:r>
    </w:p>
    <w:p w:rsidR="00C45778" w:rsidRDefault="00C45778" w:rsidP="00C45778">
      <w:pPr>
        <w:spacing w:after="240"/>
        <w:ind w:left="567" w:firstLine="567"/>
        <w:rPr>
          <w:b/>
        </w:rPr>
      </w:pPr>
      <w:r w:rsidRPr="00EF2F96">
        <w:rPr>
          <w:b/>
        </w:rPr>
        <w:t>L</w:t>
      </w:r>
      <w:r>
        <w:rPr>
          <w:b/>
        </w:rPr>
        <w:t>’</w:t>
      </w:r>
      <w:r w:rsidRPr="00EF2F96">
        <w:rPr>
          <w:b/>
        </w:rPr>
        <w:t xml:space="preserve">État partie devrait envisager de réviser son Code de procédure pénale en vue </w:t>
      </w:r>
      <w:r>
        <w:rPr>
          <w:b/>
        </w:rPr>
        <w:t>d</w:t>
      </w:r>
      <w:r w:rsidR="00524DCA">
        <w:rPr>
          <w:b/>
        </w:rPr>
        <w:t xml:space="preserve">e fixer les attributions respectives du parquet et </w:t>
      </w:r>
      <w:r w:rsidRPr="00EF2F96">
        <w:rPr>
          <w:b/>
        </w:rPr>
        <w:t xml:space="preserve">des </w:t>
      </w:r>
      <w:r>
        <w:rPr>
          <w:b/>
        </w:rPr>
        <w:t>juges</w:t>
      </w:r>
      <w:r w:rsidRPr="00EF2F96">
        <w:rPr>
          <w:b/>
        </w:rPr>
        <w:t xml:space="preserve"> et de créer l</w:t>
      </w:r>
      <w:r>
        <w:rPr>
          <w:b/>
        </w:rPr>
        <w:t>’</w:t>
      </w:r>
      <w:r w:rsidRPr="00EF2F96">
        <w:rPr>
          <w:b/>
        </w:rPr>
        <w:t xml:space="preserve">obligation pour le </w:t>
      </w:r>
      <w:r w:rsidR="00524DCA">
        <w:rPr>
          <w:b/>
        </w:rPr>
        <w:t>parquet</w:t>
      </w:r>
      <w:r w:rsidRPr="00EF2F96">
        <w:rPr>
          <w:b/>
        </w:rPr>
        <w:t xml:space="preserve"> de justifier devant le tribunal toute prolongation de la période initiale de six mois de détention avant jugement. </w:t>
      </w:r>
    </w:p>
    <w:p w:rsidR="00C45778" w:rsidRDefault="00C45778" w:rsidP="00C45778">
      <w:pPr>
        <w:spacing w:after="240"/>
        <w:rPr>
          <w:b/>
        </w:rPr>
      </w:pPr>
      <w:r>
        <w:rPr>
          <w:b/>
        </w:rPr>
        <w:t xml:space="preserve">Indemnisation et services de réadaptation accordés aux victimes </w:t>
      </w:r>
    </w:p>
    <w:p w:rsidR="00C45778" w:rsidRDefault="00C45778" w:rsidP="00C45778">
      <w:pPr>
        <w:spacing w:after="240"/>
      </w:pPr>
      <w:r>
        <w:t>18.</w:t>
      </w:r>
      <w:r>
        <w:tab/>
      </w:r>
      <w:r w:rsidR="00524DCA">
        <w:t xml:space="preserve">Le Comité </w:t>
      </w:r>
      <w:r>
        <w:t>se félicit</w:t>
      </w:r>
      <w:r w:rsidR="00524DCA">
        <w:t>e</w:t>
      </w:r>
      <w:r>
        <w:t xml:space="preserve"> de </w:t>
      </w:r>
      <w:r w:rsidRPr="00F248FB">
        <w:t>l</w:t>
      </w:r>
      <w:r>
        <w:t>’</w:t>
      </w:r>
      <w:r w:rsidRPr="00F248FB">
        <w:t>augmentation des indemnisations</w:t>
      </w:r>
      <w:r>
        <w:t xml:space="preserve"> accordées aux victimes de certaines infractions, </w:t>
      </w:r>
      <w:r w:rsidR="00524DCA">
        <w:t xml:space="preserve">mais il </w:t>
      </w:r>
      <w:r>
        <w:t>reste préoccupé par l’apparente absence d’indemnisation pour les victimes d’actes de torture ou d’autres peines ou traitements cruels, inhumains ou dégradants, ainsi que par l’absence de mesures appropriées visant la réadaptation des victimes d’actes de torture, de mauvais traitements, de la traite et de violences familiales ou sexuelles (art. 14).</w:t>
      </w:r>
    </w:p>
    <w:p w:rsidR="00C45778" w:rsidRDefault="00C45778" w:rsidP="00C45778">
      <w:pPr>
        <w:spacing w:after="240"/>
        <w:ind w:left="567" w:firstLine="567"/>
        <w:rPr>
          <w:b/>
        </w:rPr>
      </w:pPr>
      <w:r w:rsidRPr="00951E4D">
        <w:rPr>
          <w:b/>
        </w:rPr>
        <w:t>L</w:t>
      </w:r>
      <w:r>
        <w:rPr>
          <w:b/>
        </w:rPr>
        <w:t>’</w:t>
      </w:r>
      <w:r w:rsidRPr="00951E4D">
        <w:rPr>
          <w:b/>
        </w:rPr>
        <w:t xml:space="preserve">État partie devrait veiller à ce </w:t>
      </w:r>
      <w:r>
        <w:rPr>
          <w:b/>
        </w:rPr>
        <w:t xml:space="preserve">que </w:t>
      </w:r>
      <w:r w:rsidRPr="00951E4D">
        <w:rPr>
          <w:b/>
        </w:rPr>
        <w:t>les victimes d</w:t>
      </w:r>
      <w:r>
        <w:rPr>
          <w:b/>
        </w:rPr>
        <w:t>’</w:t>
      </w:r>
      <w:r w:rsidRPr="00951E4D">
        <w:rPr>
          <w:b/>
        </w:rPr>
        <w:t>actes de torture et d</w:t>
      </w:r>
      <w:r>
        <w:rPr>
          <w:b/>
        </w:rPr>
        <w:t>’</w:t>
      </w:r>
      <w:r w:rsidRPr="00951E4D">
        <w:rPr>
          <w:b/>
        </w:rPr>
        <w:t xml:space="preserve">autres mauvais traitements soient indemnisées </w:t>
      </w:r>
      <w:r w:rsidR="00524DCA">
        <w:rPr>
          <w:b/>
        </w:rPr>
        <w:t xml:space="preserve">convenablement </w:t>
      </w:r>
      <w:r w:rsidRPr="00951E4D">
        <w:rPr>
          <w:b/>
        </w:rPr>
        <w:t xml:space="preserve">et à ce que les moyens nécessaires à une réadaptation la plus complète possible soient fournis </w:t>
      </w:r>
      <w:r w:rsidR="00524DCA">
        <w:rPr>
          <w:b/>
        </w:rPr>
        <w:t xml:space="preserve">à toutes les </w:t>
      </w:r>
      <w:r w:rsidRPr="00951E4D">
        <w:rPr>
          <w:b/>
        </w:rPr>
        <w:t>victimes d</w:t>
      </w:r>
      <w:r>
        <w:rPr>
          <w:b/>
        </w:rPr>
        <w:t>’</w:t>
      </w:r>
      <w:r w:rsidRPr="00951E4D">
        <w:rPr>
          <w:b/>
        </w:rPr>
        <w:t>actes de torture et d</w:t>
      </w:r>
      <w:r>
        <w:rPr>
          <w:b/>
        </w:rPr>
        <w:t>’</w:t>
      </w:r>
      <w:r w:rsidRPr="00951E4D">
        <w:rPr>
          <w:b/>
        </w:rPr>
        <w:t xml:space="preserve">autres mauvais traitements, de la traite et de violences </w:t>
      </w:r>
      <w:r>
        <w:rPr>
          <w:b/>
        </w:rPr>
        <w:t>familiales</w:t>
      </w:r>
      <w:r w:rsidRPr="00951E4D">
        <w:rPr>
          <w:b/>
        </w:rPr>
        <w:t xml:space="preserve"> </w:t>
      </w:r>
      <w:r w:rsidR="00524DCA">
        <w:rPr>
          <w:b/>
        </w:rPr>
        <w:t>ou</w:t>
      </w:r>
      <w:r w:rsidRPr="00951E4D">
        <w:rPr>
          <w:b/>
        </w:rPr>
        <w:t xml:space="preserve"> sexuelles.</w:t>
      </w:r>
    </w:p>
    <w:p w:rsidR="00C45778" w:rsidRDefault="00C45778" w:rsidP="00C45778">
      <w:pPr>
        <w:spacing w:after="240"/>
        <w:rPr>
          <w:b/>
        </w:rPr>
      </w:pPr>
      <w:r w:rsidRPr="00951E4D">
        <w:rPr>
          <w:b/>
        </w:rPr>
        <w:t>Surpeuplement et conditions de détention</w:t>
      </w:r>
    </w:p>
    <w:p w:rsidR="00C45778" w:rsidRDefault="00C45778" w:rsidP="00C45778">
      <w:pPr>
        <w:spacing w:after="240"/>
      </w:pPr>
      <w:r>
        <w:t>19.</w:t>
      </w:r>
      <w:r>
        <w:tab/>
        <w:t>Tout en notant avec satisfaction la diminution de la population carcérale</w:t>
      </w:r>
      <w:r w:rsidR="00524DCA">
        <w:t>,</w:t>
      </w:r>
      <w:r>
        <w:t xml:space="preserve"> qui est </w:t>
      </w:r>
      <w:r w:rsidR="00524DCA">
        <w:t>tombée</w:t>
      </w:r>
      <w:r>
        <w:t xml:space="preserve"> d’environ 4 800 détenus en 2001 à 3 600 en 2007 en raison de la mise en place de différentes formes de procédure accélérée qui ont </w:t>
      </w:r>
      <w:r w:rsidRPr="005501FC">
        <w:t>concerné</w:t>
      </w:r>
      <w:r>
        <w:t xml:space="preserve"> jusqu’à 42</w:t>
      </w:r>
      <w:r w:rsidR="00524DCA">
        <w:t xml:space="preserve"> </w:t>
      </w:r>
      <w:r>
        <w:t>% de to</w:t>
      </w:r>
      <w:r w:rsidR="006C06BC">
        <w:t>utes les procédures pénales, et </w:t>
      </w:r>
      <w:r>
        <w:t xml:space="preserve">du fait de mécanismes </w:t>
      </w:r>
      <w:r w:rsidRPr="005501FC">
        <w:t>de remplacement</w:t>
      </w:r>
      <w:r>
        <w:t xml:space="preserve"> de la détention, le Comité reste préoccupé par les conditions générales de détention dans l’État partie, notamment en ce qui concerne les soins médicaux relatifs au VIH (art. 16).</w:t>
      </w:r>
    </w:p>
    <w:p w:rsidR="00C45778" w:rsidRPr="00394F6A" w:rsidRDefault="00C45778" w:rsidP="00C45778">
      <w:pPr>
        <w:spacing w:after="240"/>
        <w:ind w:left="567" w:firstLine="567"/>
        <w:rPr>
          <w:b/>
        </w:rPr>
      </w:pPr>
      <w:r w:rsidRPr="00394F6A">
        <w:rPr>
          <w:b/>
        </w:rPr>
        <w:t>L</w:t>
      </w:r>
      <w:r>
        <w:rPr>
          <w:b/>
        </w:rPr>
        <w:t>’</w:t>
      </w:r>
      <w:r w:rsidRPr="00394F6A">
        <w:rPr>
          <w:b/>
        </w:rPr>
        <w:t>État partie devrait poursuivre ses efforts pour réduire le surpeuplement carcéral et améliorer les conditions de détention, en particulier dans les centres de détention provisoire où les détenus en attente de jug</w:t>
      </w:r>
      <w:r w:rsidR="006C06BC">
        <w:rPr>
          <w:b/>
        </w:rPr>
        <w:t>ement sont maintenus pendant de </w:t>
      </w:r>
      <w:r w:rsidRPr="00394F6A">
        <w:rPr>
          <w:b/>
        </w:rPr>
        <w:t>longues périodes dans de mauvaises conditions, et devrait aussi poursuivre ses efforts en vue de raccourcir la détention avant jugement.</w:t>
      </w:r>
    </w:p>
    <w:p w:rsidR="00C45778" w:rsidRDefault="00C45778" w:rsidP="00C45778">
      <w:pPr>
        <w:spacing w:after="240"/>
        <w:ind w:left="567" w:firstLine="567"/>
        <w:rPr>
          <w:b/>
        </w:rPr>
      </w:pPr>
      <w:r w:rsidRPr="00394F6A">
        <w:rPr>
          <w:b/>
        </w:rPr>
        <w:t>L</w:t>
      </w:r>
      <w:r>
        <w:rPr>
          <w:b/>
        </w:rPr>
        <w:t>’</w:t>
      </w:r>
      <w:r w:rsidRPr="00394F6A">
        <w:rPr>
          <w:b/>
        </w:rPr>
        <w:t xml:space="preserve">État partie devrait fournir </w:t>
      </w:r>
      <w:r w:rsidR="00524DCA">
        <w:rPr>
          <w:b/>
        </w:rPr>
        <w:t>une nourriture convenable</w:t>
      </w:r>
      <w:r w:rsidRPr="00394F6A">
        <w:rPr>
          <w:b/>
        </w:rPr>
        <w:t xml:space="preserve"> </w:t>
      </w:r>
      <w:r w:rsidR="006C06BC">
        <w:rPr>
          <w:b/>
        </w:rPr>
        <w:t>à tous les détenus et </w:t>
      </w:r>
      <w:r w:rsidRPr="00394F6A">
        <w:rPr>
          <w:b/>
        </w:rPr>
        <w:t>améliorer les s</w:t>
      </w:r>
      <w:r>
        <w:rPr>
          <w:b/>
        </w:rPr>
        <w:t>ervices</w:t>
      </w:r>
      <w:r w:rsidRPr="00394F6A">
        <w:rPr>
          <w:b/>
        </w:rPr>
        <w:t xml:space="preserve"> de santé et </w:t>
      </w:r>
      <w:r w:rsidRPr="00251DDC">
        <w:rPr>
          <w:b/>
        </w:rPr>
        <w:t>les s</w:t>
      </w:r>
      <w:r>
        <w:rPr>
          <w:b/>
        </w:rPr>
        <w:t>oins</w:t>
      </w:r>
      <w:r w:rsidRPr="00251DDC">
        <w:rPr>
          <w:b/>
        </w:rPr>
        <w:t xml:space="preserve"> médicaux</w:t>
      </w:r>
      <w:r w:rsidR="006C06BC">
        <w:rPr>
          <w:b/>
        </w:rPr>
        <w:t xml:space="preserve"> dans les lieux de détention, y </w:t>
      </w:r>
      <w:r w:rsidRPr="00394F6A">
        <w:rPr>
          <w:b/>
        </w:rPr>
        <w:t>compris en permettant que soient dispensés des traitements appropri</w:t>
      </w:r>
      <w:r w:rsidR="006C06BC">
        <w:rPr>
          <w:b/>
        </w:rPr>
        <w:t>és, en </w:t>
      </w:r>
      <w:r w:rsidRPr="00394F6A">
        <w:rPr>
          <w:b/>
        </w:rPr>
        <w:t xml:space="preserve">particulier aux détenus </w:t>
      </w:r>
      <w:r w:rsidRPr="00251DDC">
        <w:rPr>
          <w:b/>
        </w:rPr>
        <w:t>infectés</w:t>
      </w:r>
      <w:r w:rsidRPr="00394F6A">
        <w:rPr>
          <w:b/>
        </w:rPr>
        <w:t xml:space="preserve"> par le VIH ou la tuberculose. </w:t>
      </w:r>
    </w:p>
    <w:p w:rsidR="00C45778" w:rsidRDefault="00C45778" w:rsidP="00C45778">
      <w:pPr>
        <w:spacing w:after="240"/>
        <w:rPr>
          <w:b/>
        </w:rPr>
      </w:pPr>
      <w:r>
        <w:rPr>
          <w:b/>
        </w:rPr>
        <w:t>Traite d’êtres humains</w:t>
      </w:r>
    </w:p>
    <w:p w:rsidR="00C45778" w:rsidRDefault="00C45778" w:rsidP="00C45778">
      <w:pPr>
        <w:spacing w:after="240"/>
      </w:pPr>
      <w:r>
        <w:t>20.</w:t>
      </w:r>
      <w:r>
        <w:tab/>
        <w:t>Tout en saluant les campagnes et programmes de sensibilisat</w:t>
      </w:r>
      <w:r w:rsidR="006C06BC">
        <w:t>ion et de prévention (projet de </w:t>
      </w:r>
      <w:r>
        <w:t xml:space="preserve">coopération EQUAL de l’Union européenne) ainsi que le </w:t>
      </w:r>
      <w:r w:rsidRPr="00E632BB">
        <w:t>Plan national</w:t>
      </w:r>
      <w:r>
        <w:t xml:space="preserve"> d’action contre la traite d’êtres humains, le Comité </w:t>
      </w:r>
      <w:r w:rsidR="00524DCA">
        <w:t>demeure</w:t>
      </w:r>
      <w:r>
        <w:t xml:space="preserve"> préoccupé par la persistance du phénomène et l’absence de mesures législatives spécifiques visant à </w:t>
      </w:r>
      <w:r w:rsidRPr="00EC165F">
        <w:t xml:space="preserve">prévenir, </w:t>
      </w:r>
      <w:r w:rsidRPr="00EA0F1E">
        <w:t>combattre</w:t>
      </w:r>
      <w:r>
        <w:t xml:space="preserve"> et </w:t>
      </w:r>
      <w:r w:rsidR="00524DCA">
        <w:t>réprimer</w:t>
      </w:r>
      <w:r>
        <w:t xml:space="preserve"> la traite d’êtres humains (art. 16).</w:t>
      </w:r>
    </w:p>
    <w:p w:rsidR="00C45778" w:rsidRPr="003305F3" w:rsidRDefault="00C45778" w:rsidP="00C45778">
      <w:pPr>
        <w:spacing w:after="240"/>
        <w:ind w:left="567" w:firstLine="567"/>
        <w:rPr>
          <w:b/>
        </w:rPr>
      </w:pPr>
      <w:r w:rsidRPr="003305F3">
        <w:rPr>
          <w:b/>
        </w:rPr>
        <w:t>L</w:t>
      </w:r>
      <w:r>
        <w:rPr>
          <w:b/>
        </w:rPr>
        <w:t>’</w:t>
      </w:r>
      <w:r w:rsidRPr="003305F3">
        <w:rPr>
          <w:b/>
        </w:rPr>
        <w:t>État partie devrait renforcer sa législation et adopter d</w:t>
      </w:r>
      <w:r>
        <w:rPr>
          <w:b/>
        </w:rPr>
        <w:t>’</w:t>
      </w:r>
      <w:r w:rsidRPr="003305F3">
        <w:rPr>
          <w:b/>
        </w:rPr>
        <w:t xml:space="preserve">autres mesures efficaces pour prévenir, combattre et </w:t>
      </w:r>
      <w:r w:rsidR="00524DCA">
        <w:rPr>
          <w:b/>
        </w:rPr>
        <w:t>réprimer</w:t>
      </w:r>
      <w:r w:rsidRPr="003305F3">
        <w:rPr>
          <w:b/>
        </w:rPr>
        <w:t xml:space="preserve"> de manière appropriée la traite d</w:t>
      </w:r>
      <w:r>
        <w:rPr>
          <w:b/>
        </w:rPr>
        <w:t>’</w:t>
      </w:r>
      <w:r w:rsidRPr="003305F3">
        <w:rPr>
          <w:b/>
        </w:rPr>
        <w:t>êtres humains, en particulier des femmes et des enfants, et devrait sans délai ouvrir des enquêtes, traduire en justice et punir tous les auteurs de tels crimes.</w:t>
      </w:r>
    </w:p>
    <w:p w:rsidR="00C45778" w:rsidRPr="003305F3" w:rsidRDefault="00C45778" w:rsidP="00C45778">
      <w:pPr>
        <w:spacing w:after="240"/>
        <w:ind w:left="567" w:firstLine="567"/>
        <w:rPr>
          <w:b/>
        </w:rPr>
      </w:pPr>
      <w:r w:rsidRPr="003305F3">
        <w:rPr>
          <w:b/>
        </w:rPr>
        <w:t>L</w:t>
      </w:r>
      <w:r>
        <w:rPr>
          <w:b/>
        </w:rPr>
        <w:t>’</w:t>
      </w:r>
      <w:r w:rsidRPr="003305F3">
        <w:rPr>
          <w:b/>
        </w:rPr>
        <w:t>État partie devrait fournir au Comité des données statistiques sur le nombre de cas signalés de traite ainsi que sur les objectifs et les</w:t>
      </w:r>
      <w:r w:rsidR="006C06BC">
        <w:rPr>
          <w:b/>
        </w:rPr>
        <w:t xml:space="preserve"> résultats des mesures mises en </w:t>
      </w:r>
      <w:r w:rsidRPr="003305F3">
        <w:rPr>
          <w:b/>
        </w:rPr>
        <w:t>œuvre, y compris les enquêtes, les poursuites et les condamnations.</w:t>
      </w:r>
    </w:p>
    <w:p w:rsidR="00C45778" w:rsidRDefault="00C45778" w:rsidP="00C45778">
      <w:pPr>
        <w:spacing w:after="240"/>
        <w:ind w:left="567" w:firstLine="567"/>
        <w:rPr>
          <w:b/>
        </w:rPr>
      </w:pPr>
      <w:r w:rsidRPr="003305F3">
        <w:rPr>
          <w:b/>
        </w:rPr>
        <w:t>L</w:t>
      </w:r>
      <w:r>
        <w:rPr>
          <w:b/>
        </w:rPr>
        <w:t>’</w:t>
      </w:r>
      <w:r w:rsidRPr="003305F3">
        <w:rPr>
          <w:b/>
        </w:rPr>
        <w:t xml:space="preserve">État partie devrait aussi adopter </w:t>
      </w:r>
      <w:r w:rsidR="00524DCA" w:rsidRPr="003305F3">
        <w:rPr>
          <w:b/>
        </w:rPr>
        <w:t>à l</w:t>
      </w:r>
      <w:r w:rsidR="00524DCA">
        <w:rPr>
          <w:b/>
        </w:rPr>
        <w:t>’</w:t>
      </w:r>
      <w:r w:rsidR="00524DCA" w:rsidRPr="003305F3">
        <w:rPr>
          <w:b/>
        </w:rPr>
        <w:t xml:space="preserve">intention du personnel </w:t>
      </w:r>
      <w:r w:rsidR="00524DCA">
        <w:rPr>
          <w:b/>
        </w:rPr>
        <w:t>chargé de l’application des lois</w:t>
      </w:r>
      <w:r w:rsidR="00524DCA" w:rsidRPr="003305F3">
        <w:rPr>
          <w:b/>
        </w:rPr>
        <w:t xml:space="preserve"> </w:t>
      </w:r>
      <w:r w:rsidRPr="003305F3">
        <w:rPr>
          <w:b/>
        </w:rPr>
        <w:t xml:space="preserve">des programmes spécifiques de formation et de sensibilisation </w:t>
      </w:r>
      <w:r w:rsidR="00524DCA">
        <w:rPr>
          <w:b/>
        </w:rPr>
        <w:t>relatifs à</w:t>
      </w:r>
      <w:r w:rsidRPr="003305F3">
        <w:rPr>
          <w:b/>
        </w:rPr>
        <w:t xml:space="preserve"> la traite d</w:t>
      </w:r>
      <w:r>
        <w:rPr>
          <w:b/>
        </w:rPr>
        <w:t>’</w:t>
      </w:r>
      <w:r w:rsidRPr="003305F3">
        <w:rPr>
          <w:b/>
        </w:rPr>
        <w:t>êtres humains.</w:t>
      </w:r>
    </w:p>
    <w:p w:rsidR="00C45778" w:rsidRDefault="00C45778" w:rsidP="00C45778">
      <w:pPr>
        <w:spacing w:after="240"/>
        <w:rPr>
          <w:b/>
        </w:rPr>
      </w:pPr>
      <w:r>
        <w:rPr>
          <w:b/>
        </w:rPr>
        <w:t>La violence familiale</w:t>
      </w:r>
    </w:p>
    <w:p w:rsidR="00C45778" w:rsidRDefault="00C45778" w:rsidP="00C45778">
      <w:pPr>
        <w:spacing w:after="240"/>
      </w:pPr>
      <w:r>
        <w:t>21.</w:t>
      </w:r>
      <w:r>
        <w:tab/>
        <w:t>Le Comité prend note de l’existence de plusieurs programmes et plans visant à lutter contre la violence intrafamiliale, mais il reste préoccupé par le nombre de cas signalés et par l’absence de mesures juridiques spécifiques visant à prévenir et à combattre ce type de violence (art. 16).</w:t>
      </w:r>
    </w:p>
    <w:p w:rsidR="00C45778" w:rsidRPr="00F51A70" w:rsidRDefault="00C45778" w:rsidP="00C45778">
      <w:pPr>
        <w:spacing w:after="240"/>
        <w:ind w:left="567" w:firstLine="567"/>
        <w:rPr>
          <w:b/>
        </w:rPr>
      </w:pPr>
      <w:r w:rsidRPr="00F51A70">
        <w:rPr>
          <w:b/>
        </w:rPr>
        <w:t>L</w:t>
      </w:r>
      <w:r>
        <w:rPr>
          <w:b/>
        </w:rPr>
        <w:t>’</w:t>
      </w:r>
      <w:r w:rsidRPr="00F51A70">
        <w:rPr>
          <w:b/>
        </w:rPr>
        <w:t xml:space="preserve">État partie devrait ériger la violence </w:t>
      </w:r>
      <w:r>
        <w:rPr>
          <w:b/>
        </w:rPr>
        <w:t>familiale</w:t>
      </w:r>
      <w:r w:rsidRPr="00F51A70">
        <w:rPr>
          <w:b/>
        </w:rPr>
        <w:t xml:space="preserve"> en </w:t>
      </w:r>
      <w:r>
        <w:rPr>
          <w:b/>
        </w:rPr>
        <w:t xml:space="preserve">une </w:t>
      </w:r>
      <w:r w:rsidRPr="00F51A70">
        <w:rPr>
          <w:b/>
        </w:rPr>
        <w:t xml:space="preserve">infraction </w:t>
      </w:r>
      <w:r>
        <w:rPr>
          <w:b/>
        </w:rPr>
        <w:t xml:space="preserve">pénale </w:t>
      </w:r>
      <w:r w:rsidRPr="00F51A70">
        <w:rPr>
          <w:b/>
        </w:rPr>
        <w:t>spécifique, prévoir une protection pour les victimes et leur donner accès à des services médicaux et juridiques, notamment des services de conseil</w:t>
      </w:r>
      <w:r w:rsidR="009D0239">
        <w:rPr>
          <w:b/>
        </w:rPr>
        <w:t>s</w:t>
      </w:r>
      <w:r w:rsidRPr="00F51A70">
        <w:rPr>
          <w:b/>
        </w:rPr>
        <w:t>.</w:t>
      </w:r>
    </w:p>
    <w:p w:rsidR="00C45778" w:rsidRPr="00F51A70" w:rsidRDefault="00C45778" w:rsidP="00C45778">
      <w:pPr>
        <w:spacing w:after="240"/>
        <w:ind w:left="567" w:firstLine="567"/>
        <w:rPr>
          <w:b/>
        </w:rPr>
      </w:pPr>
      <w:r w:rsidRPr="00F51A70">
        <w:rPr>
          <w:b/>
        </w:rPr>
        <w:t>L</w:t>
      </w:r>
      <w:r>
        <w:rPr>
          <w:b/>
        </w:rPr>
        <w:t>’</w:t>
      </w:r>
      <w:r w:rsidRPr="00F51A70">
        <w:rPr>
          <w:b/>
        </w:rPr>
        <w:t xml:space="preserve">État partie devrait aussi ouvrir sans délai des enquêtes, traduire en justice et punir tous les auteurs de tels actes de violence, et faire en sorte que le personnel </w:t>
      </w:r>
      <w:r>
        <w:rPr>
          <w:b/>
        </w:rPr>
        <w:t>chargé de l’application des lois</w:t>
      </w:r>
      <w:r w:rsidRPr="00F51A70">
        <w:rPr>
          <w:b/>
        </w:rPr>
        <w:t xml:space="preserve"> soit sensibilisé </w:t>
      </w:r>
      <w:r w:rsidR="00524DCA">
        <w:rPr>
          <w:b/>
        </w:rPr>
        <w:t>par</w:t>
      </w:r>
      <w:r>
        <w:rPr>
          <w:b/>
        </w:rPr>
        <w:t xml:space="preserve"> </w:t>
      </w:r>
      <w:r w:rsidRPr="00F51A70">
        <w:rPr>
          <w:b/>
        </w:rPr>
        <w:t>une formation appropriée</w:t>
      </w:r>
      <w:r w:rsidR="00524DCA">
        <w:rPr>
          <w:b/>
        </w:rPr>
        <w:t xml:space="preserve"> </w:t>
      </w:r>
      <w:r w:rsidR="00524DCA" w:rsidRPr="00F51A70">
        <w:rPr>
          <w:b/>
        </w:rPr>
        <w:t xml:space="preserve">au problème </w:t>
      </w:r>
      <w:r w:rsidR="00524DCA">
        <w:rPr>
          <w:b/>
        </w:rPr>
        <w:t xml:space="preserve">de </w:t>
      </w:r>
      <w:r w:rsidR="00524DCA" w:rsidRPr="00F51A70">
        <w:rPr>
          <w:b/>
        </w:rPr>
        <w:t xml:space="preserve">la violence </w:t>
      </w:r>
      <w:r w:rsidR="00524DCA">
        <w:rPr>
          <w:b/>
        </w:rPr>
        <w:t>familiale</w:t>
      </w:r>
      <w:r w:rsidR="00524DCA" w:rsidRPr="00F51A70">
        <w:rPr>
          <w:b/>
        </w:rPr>
        <w:t xml:space="preserve">, et notamment </w:t>
      </w:r>
      <w:r w:rsidR="00524DCA">
        <w:rPr>
          <w:b/>
        </w:rPr>
        <w:t>aux</w:t>
      </w:r>
      <w:r w:rsidR="00524DCA" w:rsidRPr="00F51A70">
        <w:rPr>
          <w:b/>
        </w:rPr>
        <w:t xml:space="preserve"> violence</w:t>
      </w:r>
      <w:r w:rsidR="00524DCA">
        <w:rPr>
          <w:b/>
        </w:rPr>
        <w:t>s</w:t>
      </w:r>
      <w:r w:rsidR="00524DCA" w:rsidRPr="00F51A70">
        <w:rPr>
          <w:b/>
        </w:rPr>
        <w:t xml:space="preserve"> sexuelle</w:t>
      </w:r>
      <w:r w:rsidR="00524DCA">
        <w:rPr>
          <w:b/>
        </w:rPr>
        <w:t>s</w:t>
      </w:r>
      <w:r w:rsidR="00524DCA" w:rsidRPr="00F51A70">
        <w:rPr>
          <w:b/>
        </w:rPr>
        <w:t xml:space="preserve"> et à la violence à l</w:t>
      </w:r>
      <w:r w:rsidR="00524DCA">
        <w:rPr>
          <w:b/>
        </w:rPr>
        <w:t>’</w:t>
      </w:r>
      <w:r w:rsidR="00524DCA" w:rsidRPr="00F51A70">
        <w:rPr>
          <w:b/>
        </w:rPr>
        <w:t>encontre des enfant</w:t>
      </w:r>
      <w:r w:rsidR="00524DCA">
        <w:rPr>
          <w:b/>
        </w:rPr>
        <w:t>s</w:t>
      </w:r>
      <w:r w:rsidRPr="00F51A70">
        <w:rPr>
          <w:b/>
        </w:rPr>
        <w:t xml:space="preserve">. </w:t>
      </w:r>
    </w:p>
    <w:p w:rsidR="00C45778" w:rsidRDefault="00C45778" w:rsidP="00C45778">
      <w:pPr>
        <w:spacing w:after="240"/>
        <w:rPr>
          <w:b/>
        </w:rPr>
      </w:pPr>
      <w:r>
        <w:rPr>
          <w:b/>
        </w:rPr>
        <w:t>A</w:t>
      </w:r>
      <w:r w:rsidRPr="00145F91">
        <w:rPr>
          <w:b/>
        </w:rPr>
        <w:t>patrides</w:t>
      </w:r>
    </w:p>
    <w:p w:rsidR="00C45778" w:rsidRDefault="00C45778" w:rsidP="00C45778">
      <w:pPr>
        <w:spacing w:after="240"/>
      </w:pPr>
      <w:r>
        <w:t>22.</w:t>
      </w:r>
      <w:r>
        <w:tab/>
        <w:t xml:space="preserve"> Le Comité prend note des préoccupations et des recommandations du Comité pour l’élimination de la discrimination raciale, du Comité des droits de l’homme et du Comité des droits de l’enfant. Tout en se félicitant de la réduction du nombre d’apatrides dans l’État partie, le Comité reste préoccupé par le fait qu’environ 33</w:t>
      </w:r>
      <w:r w:rsidR="00524DCA">
        <w:t xml:space="preserve"> </w:t>
      </w:r>
      <w:r>
        <w:t xml:space="preserve">% de la population carcérale est composée d’apatrides, alors que ces derniers </w:t>
      </w:r>
      <w:r w:rsidR="00524DCA">
        <w:t xml:space="preserve">ne </w:t>
      </w:r>
      <w:r>
        <w:t>représente</w:t>
      </w:r>
      <w:r w:rsidR="00524DCA">
        <w:t>nt</w:t>
      </w:r>
      <w:r>
        <w:t xml:space="preserve"> </w:t>
      </w:r>
      <w:r w:rsidR="00524DCA">
        <w:t>que</w:t>
      </w:r>
      <w:r>
        <w:t xml:space="preserve"> 8</w:t>
      </w:r>
      <w:r w:rsidR="00524DCA">
        <w:t xml:space="preserve"> </w:t>
      </w:r>
      <w:r>
        <w:t xml:space="preserve">% </w:t>
      </w:r>
      <w:r w:rsidR="00524DCA">
        <w:t xml:space="preserve">environ </w:t>
      </w:r>
      <w:r>
        <w:t>de l’en</w:t>
      </w:r>
      <w:r w:rsidR="00524DCA">
        <w:t>semble de la population du pays</w:t>
      </w:r>
      <w:r>
        <w:t xml:space="preserve"> (art. 16).</w:t>
      </w:r>
    </w:p>
    <w:p w:rsidR="00C45778" w:rsidRPr="0004132C" w:rsidRDefault="00C45778" w:rsidP="00C45778">
      <w:pPr>
        <w:spacing w:after="240"/>
        <w:ind w:left="567" w:firstLine="567"/>
        <w:rPr>
          <w:b/>
        </w:rPr>
      </w:pPr>
      <w:r w:rsidRPr="0004132C">
        <w:rPr>
          <w:b/>
        </w:rPr>
        <w:t>L</w:t>
      </w:r>
      <w:r>
        <w:rPr>
          <w:b/>
        </w:rPr>
        <w:t>’</w:t>
      </w:r>
      <w:r w:rsidRPr="0004132C">
        <w:rPr>
          <w:b/>
        </w:rPr>
        <w:t xml:space="preserve">État partie devrait adopter toutes les mesures juridiques et </w:t>
      </w:r>
      <w:r>
        <w:rPr>
          <w:b/>
        </w:rPr>
        <w:t>pratiques</w:t>
      </w:r>
      <w:r w:rsidRPr="0004132C">
        <w:rPr>
          <w:b/>
        </w:rPr>
        <w:t xml:space="preserve"> nécessaires pour simplifier et favoriser la naturalisation et l</w:t>
      </w:r>
      <w:r>
        <w:rPr>
          <w:b/>
        </w:rPr>
        <w:t>’</w:t>
      </w:r>
      <w:r w:rsidRPr="0004132C">
        <w:rPr>
          <w:b/>
        </w:rPr>
        <w:t xml:space="preserve">intégration des apatrides et des </w:t>
      </w:r>
      <w:r w:rsidR="00524DCA">
        <w:rPr>
          <w:b/>
        </w:rPr>
        <w:t>non</w:t>
      </w:r>
      <w:r w:rsidR="00524DCA">
        <w:rPr>
          <w:b/>
        </w:rPr>
        <w:noBreakHyphen/>
        <w:t>ressortissants</w:t>
      </w:r>
      <w:r w:rsidRPr="0004132C">
        <w:rPr>
          <w:b/>
        </w:rPr>
        <w:t>.</w:t>
      </w:r>
    </w:p>
    <w:p w:rsidR="00C45778" w:rsidRPr="00D52BA3" w:rsidRDefault="00C45778" w:rsidP="00C45778">
      <w:pPr>
        <w:spacing w:after="240"/>
        <w:ind w:left="567" w:firstLine="567"/>
      </w:pPr>
      <w:r w:rsidRPr="0004132C">
        <w:rPr>
          <w:b/>
        </w:rPr>
        <w:t>L</w:t>
      </w:r>
      <w:r>
        <w:rPr>
          <w:b/>
        </w:rPr>
        <w:t>’</w:t>
      </w:r>
      <w:r w:rsidRPr="0004132C">
        <w:rPr>
          <w:b/>
        </w:rPr>
        <w:t xml:space="preserve">État partie devrait aussi adopter les mesures nécessaires pour faire en sorte que les apatrides et les </w:t>
      </w:r>
      <w:r w:rsidR="00524DCA">
        <w:rPr>
          <w:b/>
        </w:rPr>
        <w:t>non</w:t>
      </w:r>
      <w:r w:rsidR="00524DCA">
        <w:rPr>
          <w:b/>
        </w:rPr>
        <w:noBreakHyphen/>
      </w:r>
      <w:r>
        <w:rPr>
          <w:b/>
        </w:rPr>
        <w:t xml:space="preserve">ressortissants </w:t>
      </w:r>
      <w:r w:rsidRPr="0004132C">
        <w:rPr>
          <w:b/>
        </w:rPr>
        <w:t>soient informés de leurs droits dans une langue qu</w:t>
      </w:r>
      <w:r>
        <w:rPr>
          <w:b/>
        </w:rPr>
        <w:t>’</w:t>
      </w:r>
      <w:r w:rsidRPr="0004132C">
        <w:rPr>
          <w:b/>
        </w:rPr>
        <w:t xml:space="preserve">ils </w:t>
      </w:r>
      <w:r w:rsidR="00524DCA">
        <w:rPr>
          <w:b/>
        </w:rPr>
        <w:t>connaissent</w:t>
      </w:r>
      <w:r w:rsidRPr="0004132C">
        <w:rPr>
          <w:b/>
        </w:rPr>
        <w:t xml:space="preserve"> et qu</w:t>
      </w:r>
      <w:r>
        <w:rPr>
          <w:b/>
        </w:rPr>
        <w:t>’</w:t>
      </w:r>
      <w:r w:rsidRPr="0004132C">
        <w:rPr>
          <w:b/>
        </w:rPr>
        <w:t>ils bénéficient des garanties j</w:t>
      </w:r>
      <w:r w:rsidRPr="00BE7696">
        <w:rPr>
          <w:b/>
        </w:rPr>
        <w:t>uridiques</w:t>
      </w:r>
      <w:r w:rsidRPr="0004132C">
        <w:rPr>
          <w:b/>
        </w:rPr>
        <w:t xml:space="preserve"> fondamentales dès la privation de liberté, sans aucune discrimination.</w:t>
      </w:r>
    </w:p>
    <w:p w:rsidR="00C45778" w:rsidRDefault="00C45778" w:rsidP="00C45778">
      <w:pPr>
        <w:spacing w:after="240"/>
        <w:ind w:left="567" w:firstLine="567"/>
        <w:rPr>
          <w:b/>
        </w:rPr>
      </w:pPr>
      <w:r>
        <w:rPr>
          <w:b/>
        </w:rPr>
        <w:t xml:space="preserve">Le Comité rappelle sa recommandation précédente (CAT/C/CR/29/5, par. 6 h) et i)) selon laquelle l’État partie devrait aussi étudier les causes et les conséquences du nombre disproportionné d’apatrides et de </w:t>
      </w:r>
      <w:r w:rsidR="00524DCA">
        <w:rPr>
          <w:b/>
        </w:rPr>
        <w:t>non</w:t>
      </w:r>
      <w:r w:rsidR="00524DCA">
        <w:rPr>
          <w:b/>
        </w:rPr>
        <w:noBreakHyphen/>
      </w:r>
      <w:r>
        <w:rPr>
          <w:b/>
        </w:rPr>
        <w:t xml:space="preserve">ressortissants </w:t>
      </w:r>
      <w:r w:rsidRPr="00621EEF">
        <w:rPr>
          <w:b/>
        </w:rPr>
        <w:t>dans</w:t>
      </w:r>
      <w:r>
        <w:rPr>
          <w:b/>
        </w:rPr>
        <w:t xml:space="preserve"> la population carcérale et adopter les mesures nécessaires </w:t>
      </w:r>
      <w:r w:rsidR="00524DCA">
        <w:rPr>
          <w:b/>
        </w:rPr>
        <w:t>pour</w:t>
      </w:r>
      <w:r>
        <w:rPr>
          <w:b/>
        </w:rPr>
        <w:t xml:space="preserve"> prévenir ce phénomène.</w:t>
      </w:r>
    </w:p>
    <w:p w:rsidR="00C45778" w:rsidRDefault="00C45778" w:rsidP="00C45778">
      <w:pPr>
        <w:spacing w:after="240"/>
        <w:ind w:left="567" w:firstLine="567"/>
        <w:rPr>
          <w:b/>
        </w:rPr>
      </w:pPr>
      <w:r>
        <w:rPr>
          <w:b/>
        </w:rPr>
        <w:t xml:space="preserve">L’État partie devrait </w:t>
      </w:r>
      <w:r w:rsidR="00524DCA">
        <w:rPr>
          <w:b/>
        </w:rPr>
        <w:t>en outre</w:t>
      </w:r>
      <w:r>
        <w:rPr>
          <w:b/>
        </w:rPr>
        <w:t xml:space="preserve"> envisager de ratifier la Convention de 1954 relative au statut des apatrides et la Convention de 1961 sur la réduction des cas d’apatridie.</w:t>
      </w:r>
    </w:p>
    <w:p w:rsidR="00C45778" w:rsidRDefault="00C45778" w:rsidP="00C45778">
      <w:pPr>
        <w:spacing w:after="240"/>
        <w:rPr>
          <w:b/>
        </w:rPr>
      </w:pPr>
      <w:r>
        <w:rPr>
          <w:b/>
        </w:rPr>
        <w:t>Brutalités et us</w:t>
      </w:r>
      <w:r w:rsidR="00524DCA">
        <w:rPr>
          <w:b/>
        </w:rPr>
        <w:t>age excessif de la force par le personnel</w:t>
      </w:r>
      <w:r>
        <w:rPr>
          <w:b/>
        </w:rPr>
        <w:t xml:space="preserve"> de</w:t>
      </w:r>
      <w:r w:rsidR="00524DCA">
        <w:rPr>
          <w:b/>
        </w:rPr>
        <w:t>s forces de</w:t>
      </w:r>
      <w:r>
        <w:rPr>
          <w:b/>
        </w:rPr>
        <w:t xml:space="preserve"> l’ordre</w:t>
      </w:r>
    </w:p>
    <w:p w:rsidR="00C45778" w:rsidRDefault="00C45778" w:rsidP="00C45778">
      <w:pPr>
        <w:spacing w:after="240"/>
      </w:pPr>
      <w:r>
        <w:t>23.</w:t>
      </w:r>
      <w:r>
        <w:tab/>
        <w:t xml:space="preserve">Le Comité se félicite de la création d’une permanence téléphonique </w:t>
      </w:r>
      <w:r w:rsidR="00524DCA">
        <w:t xml:space="preserve">accessible aux personnes ayant à se plaindre de brutalités, </w:t>
      </w:r>
      <w:r>
        <w:t xml:space="preserve">gérée par une organisation non gouvernementale, mais il </w:t>
      </w:r>
      <w:r w:rsidR="00524DCA">
        <w:t>demeure</w:t>
      </w:r>
      <w:r>
        <w:t xml:space="preserve"> préoccupé par les cas signalés de brutalités et d’usage excessif de la force </w:t>
      </w:r>
      <w:r w:rsidR="00524DCA">
        <w:t xml:space="preserve">de la part d’agents </w:t>
      </w:r>
      <w:r>
        <w:t xml:space="preserve">des forces de l’ordre, en particulier lors des </w:t>
      </w:r>
      <w:r w:rsidR="00524DCA">
        <w:t>troubles</w:t>
      </w:r>
      <w:r>
        <w:t xml:space="preserve"> qui ont eu lieu à Tallinn en avril 2007, </w:t>
      </w:r>
      <w:r w:rsidR="00524DCA">
        <w:t xml:space="preserve">cas </w:t>
      </w:r>
      <w:r>
        <w:t xml:space="preserve">bien établis par </w:t>
      </w:r>
      <w:r w:rsidR="00524DCA">
        <w:t xml:space="preserve">le recensement méthodique </w:t>
      </w:r>
      <w:r>
        <w:t>des plaintes recueillies (art. 16).</w:t>
      </w:r>
    </w:p>
    <w:p w:rsidR="00C45778" w:rsidRPr="00BD6FB7" w:rsidRDefault="00C45778" w:rsidP="00C45778">
      <w:pPr>
        <w:spacing w:after="240"/>
        <w:ind w:left="567" w:firstLine="567"/>
        <w:rPr>
          <w:b/>
        </w:rPr>
      </w:pPr>
      <w:r w:rsidRPr="00BD6FB7">
        <w:rPr>
          <w:b/>
        </w:rPr>
        <w:t>L</w:t>
      </w:r>
      <w:r>
        <w:rPr>
          <w:b/>
        </w:rPr>
        <w:t>’</w:t>
      </w:r>
      <w:r w:rsidRPr="00BD6FB7">
        <w:rPr>
          <w:b/>
        </w:rPr>
        <w:t>État partie devrait ouvrir sans délai des enquêtes approfondies et impartiales sur tous les cas de brutalité et d</w:t>
      </w:r>
      <w:r>
        <w:rPr>
          <w:b/>
        </w:rPr>
        <w:t>’</w:t>
      </w:r>
      <w:r w:rsidRPr="00BD6FB7">
        <w:rPr>
          <w:b/>
        </w:rPr>
        <w:t xml:space="preserve">usage excessif de la force </w:t>
      </w:r>
      <w:r w:rsidR="008830E3">
        <w:rPr>
          <w:b/>
        </w:rPr>
        <w:t>de la part</w:t>
      </w:r>
      <w:r w:rsidRPr="00BD6FB7">
        <w:rPr>
          <w:b/>
        </w:rPr>
        <w:t xml:space="preserve"> </w:t>
      </w:r>
      <w:r w:rsidR="008830E3">
        <w:rPr>
          <w:b/>
        </w:rPr>
        <w:t>d’</w:t>
      </w:r>
      <w:r w:rsidRPr="00BD6FB7">
        <w:rPr>
          <w:b/>
        </w:rPr>
        <w:t>agents de la force publique et traduire les responsables en justice.</w:t>
      </w:r>
    </w:p>
    <w:p w:rsidR="00C45778" w:rsidRPr="00BD6FB7" w:rsidRDefault="00C45778" w:rsidP="00C45778">
      <w:pPr>
        <w:spacing w:after="240"/>
        <w:ind w:left="567" w:firstLine="567"/>
        <w:rPr>
          <w:b/>
        </w:rPr>
      </w:pPr>
      <w:r w:rsidRPr="00BD6FB7">
        <w:rPr>
          <w:b/>
        </w:rPr>
        <w:t>L</w:t>
      </w:r>
      <w:r>
        <w:rPr>
          <w:b/>
        </w:rPr>
        <w:t>’</w:t>
      </w:r>
      <w:r w:rsidRPr="00BD6FB7">
        <w:rPr>
          <w:b/>
        </w:rPr>
        <w:t>État partie devrait aussi renforcer ses programmes de formation à l</w:t>
      </w:r>
      <w:r>
        <w:rPr>
          <w:b/>
        </w:rPr>
        <w:t>’</w:t>
      </w:r>
      <w:r w:rsidRPr="00BD6FB7">
        <w:rPr>
          <w:b/>
        </w:rPr>
        <w:t>intention des agents de la force publique, en particulier à l</w:t>
      </w:r>
      <w:r>
        <w:rPr>
          <w:b/>
        </w:rPr>
        <w:t>’</w:t>
      </w:r>
      <w:r w:rsidRPr="00BD6FB7">
        <w:rPr>
          <w:b/>
        </w:rPr>
        <w:t xml:space="preserve">intention de toutes les forces spéciales de police, et est invité à adopter le projet de code </w:t>
      </w:r>
      <w:r w:rsidR="008830E3">
        <w:rPr>
          <w:b/>
        </w:rPr>
        <w:t>de déontologie</w:t>
      </w:r>
      <w:r w:rsidRPr="00BD6FB7">
        <w:rPr>
          <w:b/>
        </w:rPr>
        <w:t xml:space="preserve"> de la police.</w:t>
      </w:r>
    </w:p>
    <w:p w:rsidR="00C45778" w:rsidRDefault="00C45778" w:rsidP="00C45778">
      <w:pPr>
        <w:spacing w:after="240"/>
        <w:rPr>
          <w:b/>
        </w:rPr>
      </w:pPr>
      <w:r w:rsidRPr="00752D33">
        <w:rPr>
          <w:b/>
        </w:rPr>
        <w:t>Établissements psychiatriques</w:t>
      </w:r>
    </w:p>
    <w:p w:rsidR="00C45778" w:rsidRDefault="00C45778" w:rsidP="00C45778">
      <w:pPr>
        <w:spacing w:after="240"/>
      </w:pPr>
      <w:r>
        <w:t>24.</w:t>
      </w:r>
      <w:r>
        <w:tab/>
        <w:t xml:space="preserve">Tout en se félicitant de l’amélioration de l’assistance offerte aux patients souffrant de troubles mentaux, notamment de l’application de la loi sur la santé mentale, le Comité est préoccupé par les conditions de vie générales dans les établissements psychiatriques et par </w:t>
      </w:r>
      <w:r w:rsidR="008830E3">
        <w:t>la médiocrité</w:t>
      </w:r>
      <w:r>
        <w:t xml:space="preserve"> de</w:t>
      </w:r>
      <w:r w:rsidR="008830E3">
        <w:t>s</w:t>
      </w:r>
      <w:r>
        <w:t xml:space="preserve"> traitements (art. 16). </w:t>
      </w:r>
    </w:p>
    <w:p w:rsidR="00C45778" w:rsidRDefault="00C45778" w:rsidP="00C45778">
      <w:pPr>
        <w:spacing w:after="240"/>
        <w:ind w:left="567" w:firstLine="567"/>
        <w:rPr>
          <w:b/>
        </w:rPr>
      </w:pPr>
      <w:r w:rsidRPr="009B1887">
        <w:rPr>
          <w:b/>
        </w:rPr>
        <w:t>L</w:t>
      </w:r>
      <w:r>
        <w:rPr>
          <w:b/>
        </w:rPr>
        <w:t>’</w:t>
      </w:r>
      <w:r w:rsidRPr="009B1887">
        <w:rPr>
          <w:b/>
        </w:rPr>
        <w:t>État partie devrait améliorer les conditions de vie des patients dans les établissements psychiatriques, veiller à ce que tous les lieux où séjournent pour un traitement non volontaire des patients souffrant de troubles mentaux fassent l</w:t>
      </w:r>
      <w:r>
        <w:rPr>
          <w:b/>
        </w:rPr>
        <w:t>’</w:t>
      </w:r>
      <w:r w:rsidRPr="009B1887">
        <w:rPr>
          <w:b/>
        </w:rPr>
        <w:t>objet d</w:t>
      </w:r>
      <w:r w:rsidR="008830E3">
        <w:rPr>
          <w:b/>
        </w:rPr>
        <w:t>’inspections</w:t>
      </w:r>
      <w:r w:rsidRPr="009B1887">
        <w:rPr>
          <w:b/>
        </w:rPr>
        <w:t xml:space="preserve"> régulières par</w:t>
      </w:r>
      <w:r w:rsidR="008830E3">
        <w:rPr>
          <w:b/>
        </w:rPr>
        <w:t xml:space="preserve"> des organismes de surveillance indépendants,</w:t>
      </w:r>
      <w:r w:rsidRPr="009B1887">
        <w:rPr>
          <w:b/>
        </w:rPr>
        <w:t xml:space="preserve"> </w:t>
      </w:r>
      <w:r w:rsidR="008830E3">
        <w:rPr>
          <w:b/>
        </w:rPr>
        <w:t>afin</w:t>
      </w:r>
      <w:r w:rsidRPr="009B1887">
        <w:rPr>
          <w:b/>
        </w:rPr>
        <w:t xml:space="preserve"> que </w:t>
      </w:r>
      <w:r w:rsidR="008830E3">
        <w:rPr>
          <w:b/>
        </w:rPr>
        <w:t>soient correctement appliquées l</w:t>
      </w:r>
      <w:r w:rsidRPr="009B1887">
        <w:rPr>
          <w:b/>
        </w:rPr>
        <w:t xml:space="preserve">es garanties prévues pour </w:t>
      </w:r>
      <w:r w:rsidR="008830E3">
        <w:rPr>
          <w:b/>
        </w:rPr>
        <w:t>protéger</w:t>
      </w:r>
      <w:r w:rsidRPr="009B1887">
        <w:rPr>
          <w:b/>
        </w:rPr>
        <w:t xml:space="preserve"> les droits </w:t>
      </w:r>
      <w:r w:rsidR="008830E3">
        <w:rPr>
          <w:b/>
        </w:rPr>
        <w:t>des patients</w:t>
      </w:r>
      <w:r w:rsidRPr="009B1887">
        <w:rPr>
          <w:b/>
        </w:rPr>
        <w:t>, et que d</w:t>
      </w:r>
      <w:r>
        <w:rPr>
          <w:b/>
        </w:rPr>
        <w:t>’</w:t>
      </w:r>
      <w:r w:rsidRPr="009B1887">
        <w:rPr>
          <w:b/>
        </w:rPr>
        <w:t xml:space="preserve">autres formes de traitement, en particulier des traitements </w:t>
      </w:r>
      <w:r w:rsidR="005D3EF0">
        <w:rPr>
          <w:b/>
        </w:rPr>
        <w:t>en milieu extra</w:t>
      </w:r>
      <w:r w:rsidR="008830E3">
        <w:rPr>
          <w:b/>
        </w:rPr>
        <w:t xml:space="preserve">hospitalier, </w:t>
      </w:r>
      <w:r w:rsidRPr="009B1887">
        <w:rPr>
          <w:b/>
        </w:rPr>
        <w:t>soient mises en place.</w:t>
      </w:r>
    </w:p>
    <w:p w:rsidR="00C45778" w:rsidRDefault="00C45778" w:rsidP="00C45778">
      <w:pPr>
        <w:spacing w:after="240"/>
        <w:rPr>
          <w:b/>
        </w:rPr>
      </w:pPr>
      <w:r>
        <w:rPr>
          <w:b/>
        </w:rPr>
        <w:t>Collecte de données sur la mise en œuvre de la Convention</w:t>
      </w:r>
    </w:p>
    <w:p w:rsidR="00C45778" w:rsidRDefault="00C45778" w:rsidP="00C45778">
      <w:pPr>
        <w:spacing w:after="240"/>
      </w:pPr>
      <w:r>
        <w:t>25.</w:t>
      </w:r>
      <w:r>
        <w:tab/>
        <w:t xml:space="preserve">Le Comité </w:t>
      </w:r>
      <w:r w:rsidR="005D3EF0">
        <w:t>déplore</w:t>
      </w:r>
      <w:r>
        <w:t xml:space="preserve"> l’absence de données détaillées et </w:t>
      </w:r>
      <w:r w:rsidR="006C06BC">
        <w:t>ventilées sur les plaintes, les </w:t>
      </w:r>
      <w:r>
        <w:t xml:space="preserve">enquêtes, les poursuites et les condamnations portant sur les cas de torture ou de mauvais traitements infligés par des </w:t>
      </w:r>
      <w:r w:rsidR="005D3EF0">
        <w:t>agents</w:t>
      </w:r>
      <w:r>
        <w:t xml:space="preserve"> de la force publique ou du personnel pénitentiaire, ainsi que sur la traite d’êtres humains, les </w:t>
      </w:r>
      <w:r w:rsidRPr="001A73BC">
        <w:t>actes de violence familiale</w:t>
      </w:r>
      <w:r>
        <w:t xml:space="preserve"> et les violences sexuelles. </w:t>
      </w:r>
    </w:p>
    <w:p w:rsidR="00C45778" w:rsidRDefault="00C45778" w:rsidP="00C45778">
      <w:pPr>
        <w:spacing w:after="240"/>
        <w:ind w:left="567" w:firstLine="567"/>
        <w:rPr>
          <w:b/>
          <w:bCs/>
        </w:rPr>
      </w:pPr>
      <w:r>
        <w:rPr>
          <w:b/>
          <w:bCs/>
        </w:rPr>
        <w:t xml:space="preserve">L’État partie devrait recueillir et fournir au Comité des données statistiques </w:t>
      </w:r>
      <w:r w:rsidRPr="00B37651">
        <w:rPr>
          <w:b/>
          <w:bCs/>
        </w:rPr>
        <w:t>sur</w:t>
      </w:r>
      <w:r>
        <w:rPr>
          <w:b/>
          <w:bCs/>
        </w:rPr>
        <w:t xml:space="preserve"> le suivi de la mise en œuvre de la Convention au niveau national, notamment sur les plaintes, les enquêtes, les poursuites et les condamnations portant sur les cas de torture ou de mauvais traitements, de traite d’êtres hum</w:t>
      </w:r>
      <w:r w:rsidR="006C06BC">
        <w:rPr>
          <w:b/>
          <w:bCs/>
        </w:rPr>
        <w:t>ains, de violence familiale, de </w:t>
      </w:r>
      <w:r>
        <w:rPr>
          <w:b/>
          <w:bCs/>
        </w:rPr>
        <w:t xml:space="preserve">violences sexuelles et de violence fondée </w:t>
      </w:r>
      <w:r w:rsidR="005D3EF0">
        <w:rPr>
          <w:b/>
          <w:bCs/>
        </w:rPr>
        <w:t xml:space="preserve">sur </w:t>
      </w:r>
      <w:r>
        <w:rPr>
          <w:b/>
          <w:bCs/>
        </w:rPr>
        <w:t xml:space="preserve">l’appartenance ethnique, </w:t>
      </w:r>
      <w:r w:rsidR="005D3EF0">
        <w:rPr>
          <w:b/>
          <w:bCs/>
        </w:rPr>
        <w:t xml:space="preserve">de violence contre des groupes vulnérables, </w:t>
      </w:r>
      <w:r>
        <w:rPr>
          <w:b/>
          <w:bCs/>
        </w:rPr>
        <w:t>de violences entre détenus et entre patients, ainsi que sur l’indemnisation et la réadaptation des victimes.</w:t>
      </w:r>
    </w:p>
    <w:p w:rsidR="00C45778" w:rsidRDefault="00C45778" w:rsidP="00C45778">
      <w:pPr>
        <w:spacing w:after="240"/>
      </w:pPr>
      <w:r>
        <w:t>26.</w:t>
      </w:r>
      <w:r>
        <w:tab/>
        <w:t>Le Comité recommande à l’État partie d’envisager de faire les déclarations prévues aux articles 21 et 22 de la Convention.</w:t>
      </w:r>
    </w:p>
    <w:p w:rsidR="00C45778" w:rsidRDefault="00C45778" w:rsidP="00C45778">
      <w:pPr>
        <w:spacing w:after="240"/>
      </w:pPr>
      <w:r>
        <w:t>27.</w:t>
      </w:r>
      <w:r>
        <w:tab/>
        <w:t xml:space="preserve">Le Comité engage l’État partie à ratifier les </w:t>
      </w:r>
      <w:r w:rsidR="005D3EF0">
        <w:t xml:space="preserve">instruments </w:t>
      </w:r>
      <w:r w:rsidRPr="00561164">
        <w:t>essentiels</w:t>
      </w:r>
      <w:r>
        <w:t xml:space="preserve"> des Nations Unies relatifs aux droits de l’homme auxquels il n’</w:t>
      </w:r>
      <w:r w:rsidR="005D3EF0">
        <w:t>a</w:t>
      </w:r>
      <w:r>
        <w:t xml:space="preserve"> pas encore </w:t>
      </w:r>
      <w:r w:rsidR="005D3EF0">
        <w:t>adhéré</w:t>
      </w:r>
      <w:r>
        <w:t>.</w:t>
      </w:r>
    </w:p>
    <w:p w:rsidR="00C45778" w:rsidRDefault="00C45778" w:rsidP="00C45778">
      <w:pPr>
        <w:spacing w:after="240"/>
      </w:pPr>
      <w:r>
        <w:t>28.</w:t>
      </w:r>
      <w:r>
        <w:tab/>
        <w:t xml:space="preserve">Le Comité invite l’État partie à soumettre son document de base en suivant les </w:t>
      </w:r>
      <w:r w:rsidR="009D0239">
        <w:t>d</w:t>
      </w:r>
      <w:r>
        <w:t>irectives harmonisées concernant l’établissement de rapports, approuvées par les organes créés en vertu d’instruments internationaux relatifs aux droits de l’homme et figurant dans le document HRI/GEN/2/Rev.4.</w:t>
      </w:r>
    </w:p>
    <w:p w:rsidR="00C45778" w:rsidRDefault="00C45778" w:rsidP="00C45778">
      <w:pPr>
        <w:spacing w:after="240"/>
      </w:pPr>
      <w:r>
        <w:t>29.</w:t>
      </w:r>
      <w:r>
        <w:tab/>
        <w:t>Le Comité demande à l’État partie de diffuser largement son rapport, ainsi que les réponses écrites à la liste des points à traiter et les conclusions et recommandations du Comité</w:t>
      </w:r>
      <w:r w:rsidR="005D3EF0">
        <w:t>,</w:t>
      </w:r>
      <w:r>
        <w:t xml:space="preserve"> dans </w:t>
      </w:r>
      <w:r w:rsidR="005D3EF0">
        <w:t xml:space="preserve">toutes </w:t>
      </w:r>
      <w:r>
        <w:t>les langues appropriées, par le biais des sites Web officiels, des médias et des organisations non gouvernementales.</w:t>
      </w:r>
    </w:p>
    <w:p w:rsidR="00C45778" w:rsidRDefault="00C45778" w:rsidP="00C45778">
      <w:pPr>
        <w:spacing w:after="240"/>
      </w:pPr>
      <w:r>
        <w:t>30.</w:t>
      </w:r>
      <w:r>
        <w:tab/>
        <w:t>Le Comité invite l’État partie à fournir, dans un délai d’un an, des informations sur les mesures qu’il aura prises pour donner suite aux recommandations formulées aux paragraphes 10, 16, 20, 22 et 23 ci-dessus.</w:t>
      </w:r>
    </w:p>
    <w:p w:rsidR="00C45778" w:rsidRDefault="00C45778" w:rsidP="00C45778">
      <w:pPr>
        <w:spacing w:after="240"/>
      </w:pPr>
      <w:r>
        <w:t>31.</w:t>
      </w:r>
      <w:r>
        <w:tab/>
        <w:t xml:space="preserve">L’État partie est prié de présenter son prochain rapport, qui sera </w:t>
      </w:r>
      <w:r w:rsidR="005D3EF0">
        <w:t>le</w:t>
      </w:r>
      <w:r>
        <w:t xml:space="preserve"> cinquième rapport périodique, avant le 30 décembre 20</w:t>
      </w:r>
      <w:r w:rsidR="005D3EF0">
        <w:t>1</w:t>
      </w:r>
      <w:r>
        <w:t>1.</w:t>
      </w:r>
    </w:p>
    <w:p w:rsidR="00C45778" w:rsidRDefault="00C45778" w:rsidP="00C45778">
      <w:pPr>
        <w:spacing w:after="240"/>
        <w:jc w:val="center"/>
      </w:pPr>
      <w:r>
        <w:t>-----</w:t>
      </w:r>
    </w:p>
    <w:sectPr w:rsidR="00C45778" w:rsidSect="00C22CB9">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AF" w:rsidRDefault="002A2FAF">
      <w:r>
        <w:separator/>
      </w:r>
    </w:p>
  </w:endnote>
  <w:endnote w:type="continuationSeparator" w:id="0">
    <w:p w:rsidR="002A2FAF" w:rsidRDefault="002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C" w:rsidRDefault="006C06BC">
    <w:pPr>
      <w:pStyle w:val="Footer"/>
    </w:pPr>
    <w:r>
      <w:t>GE.08</w:t>
    </w:r>
    <w:r>
      <w:noBreakHyphen/>
      <w:t xml:space="preserve">40547  (F)    110308    </w:t>
    </w:r>
    <w:r w:rsidR="002F1AE1">
      <w:t>120308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AF" w:rsidRDefault="002A2FAF">
      <w:r>
        <w:separator/>
      </w:r>
    </w:p>
  </w:footnote>
  <w:footnote w:type="continuationSeparator" w:id="0">
    <w:p w:rsidR="002A2FAF" w:rsidRDefault="002A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C" w:rsidRDefault="006C06BC">
    <w:pPr>
      <w:pStyle w:val="Header"/>
    </w:pPr>
    <w:r>
      <w:t>CAT/C/EST/CO/4</w:t>
    </w:r>
  </w:p>
  <w:p w:rsidR="006C06BC" w:rsidRDefault="006C06BC">
    <w:pPr>
      <w:pStyle w:val="Header"/>
    </w:pPr>
    <w:r>
      <w:t xml:space="preserve">page </w:t>
    </w:r>
    <w:r>
      <w:fldChar w:fldCharType="begin"/>
    </w:r>
    <w:r>
      <w:instrText xml:space="preserve"> PAGE  \* MERGEFORMAT </w:instrText>
    </w:r>
    <w:r>
      <w:fldChar w:fldCharType="separate"/>
    </w:r>
    <w:r w:rsidR="00603578">
      <w:rPr>
        <w:noProof/>
      </w:rPr>
      <w:t>8</w:t>
    </w:r>
    <w:r>
      <w:fldChar w:fldCharType="end"/>
    </w:r>
  </w:p>
  <w:p w:rsidR="006C06BC" w:rsidRDefault="006C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C" w:rsidRDefault="006C06BC" w:rsidP="00C22CB9">
    <w:pPr>
      <w:pStyle w:val="Header"/>
      <w:tabs>
        <w:tab w:val="clear" w:pos="4320"/>
        <w:tab w:val="clear" w:pos="8640"/>
        <w:tab w:val="left" w:pos="6803"/>
      </w:tabs>
    </w:pPr>
    <w:r>
      <w:tab/>
      <w:t>CAT/C/EST/CO/4</w:t>
    </w:r>
  </w:p>
  <w:p w:rsidR="006C06BC" w:rsidRDefault="006C06BC" w:rsidP="00C22CB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603578">
      <w:rPr>
        <w:noProof/>
      </w:rPr>
      <w:t>9</w:t>
    </w:r>
    <w:r>
      <w:fldChar w:fldCharType="end"/>
    </w:r>
  </w:p>
  <w:p w:rsidR="006C06BC" w:rsidRDefault="006C06BC" w:rsidP="00C22CB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D4A"/>
    <w:rsid w:val="00192502"/>
    <w:rsid w:val="00251957"/>
    <w:rsid w:val="00276F3F"/>
    <w:rsid w:val="002A2FAF"/>
    <w:rsid w:val="002F1AE1"/>
    <w:rsid w:val="0034633F"/>
    <w:rsid w:val="00363BA3"/>
    <w:rsid w:val="00524DCA"/>
    <w:rsid w:val="00544A5C"/>
    <w:rsid w:val="005B5E5B"/>
    <w:rsid w:val="005D3EF0"/>
    <w:rsid w:val="00603578"/>
    <w:rsid w:val="00680050"/>
    <w:rsid w:val="00695705"/>
    <w:rsid w:val="006C06BC"/>
    <w:rsid w:val="007419D6"/>
    <w:rsid w:val="007969D5"/>
    <w:rsid w:val="007E6D4A"/>
    <w:rsid w:val="008546AB"/>
    <w:rsid w:val="008830E3"/>
    <w:rsid w:val="00986A8B"/>
    <w:rsid w:val="009D0239"/>
    <w:rsid w:val="00BC7BAB"/>
    <w:rsid w:val="00C22CB9"/>
    <w:rsid w:val="00C457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3401</Words>
  <Characters>18706</Characters>
  <Application>Microsoft Office Word</Application>
  <DocSecurity>4</DocSecurity>
  <Lines>155</Lines>
  <Paragraphs>44</Paragraphs>
  <ScaleCrop>false</ScaleCrop>
  <HeadingPairs>
    <vt:vector size="2" baseType="variant">
      <vt:variant>
        <vt:lpstr>Titre</vt:lpstr>
      </vt:variant>
      <vt:variant>
        <vt:i4>1</vt:i4>
      </vt:variant>
    </vt:vector>
  </HeadingPairs>
  <TitlesOfParts>
    <vt:vector size="1" baseType="lpstr">
      <vt:lpstr>CAT/C/EST/CO/4</vt:lpstr>
    </vt:vector>
  </TitlesOfParts>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CAT/C/EST/CO/4</dc:title>
  <dc:subject>Semi final</dc:subject>
  <dc:creator>Clère</dc:creator>
  <cp:keywords/>
  <dc:description/>
  <cp:lastModifiedBy>Adtpsfra</cp:lastModifiedBy>
  <cp:revision>2</cp:revision>
  <cp:lastPrinted>2008-03-12T15:06:00Z</cp:lastPrinted>
  <dcterms:created xsi:type="dcterms:W3CDTF">2008-03-12T15:07:00Z</dcterms:created>
  <dcterms:modified xsi:type="dcterms:W3CDTF">2008-03-12T15:07:00Z</dcterms:modified>
</cp:coreProperties>
</file>