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3F0BE7">
        <w:trPr>
          <w:trHeight w:hRule="exact" w:val="851"/>
        </w:trPr>
        <w:tc>
          <w:tcPr>
            <w:tcW w:w="1277" w:type="dxa"/>
            <w:tcBorders>
              <w:bottom w:val="single" w:sz="4" w:space="0" w:color="auto"/>
            </w:tcBorders>
          </w:tcPr>
          <w:p w:rsidR="00AF1CE8" w:rsidRPr="00DB58B5" w:rsidRDefault="00AF1CE8" w:rsidP="003F0BE7"/>
        </w:tc>
        <w:tc>
          <w:tcPr>
            <w:tcW w:w="2268" w:type="dxa"/>
            <w:tcBorders>
              <w:bottom w:val="single" w:sz="4" w:space="0" w:color="auto"/>
            </w:tcBorders>
            <w:vAlign w:val="bottom"/>
          </w:tcPr>
          <w:p w:rsidR="00AF1CE8" w:rsidRPr="00DB58B5" w:rsidRDefault="00AF1CE8" w:rsidP="003F0BE7">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C0208E" w:rsidRDefault="00C0208E" w:rsidP="00C0208E">
            <w:pPr>
              <w:jc w:val="right"/>
            </w:pPr>
            <w:r w:rsidRPr="00C0208E">
              <w:rPr>
                <w:sz w:val="40"/>
              </w:rPr>
              <w:t>CCPR</w:t>
            </w:r>
            <w:r>
              <w:t>/C/MRT/2</w:t>
            </w:r>
          </w:p>
        </w:tc>
      </w:tr>
      <w:tr w:rsidR="00AF1CE8" w:rsidRPr="00DB58B5" w:rsidTr="003F0BE7">
        <w:trPr>
          <w:trHeight w:hRule="exact" w:val="2835"/>
        </w:trPr>
        <w:tc>
          <w:tcPr>
            <w:tcW w:w="1276" w:type="dxa"/>
            <w:tcBorders>
              <w:top w:val="single" w:sz="4" w:space="0" w:color="auto"/>
              <w:bottom w:val="single" w:sz="12" w:space="0" w:color="auto"/>
            </w:tcBorders>
          </w:tcPr>
          <w:p w:rsidR="00AF1CE8" w:rsidRPr="00DB58B5" w:rsidRDefault="008B4A88" w:rsidP="003F0BE7">
            <w:pPr>
              <w:spacing w:before="120"/>
              <w:jc w:val="center"/>
            </w:pPr>
            <w:r>
              <w:rPr>
                <w:noProof/>
                <w:lang w:eastAsia="fr-CH"/>
              </w:rPr>
              <w:drawing>
                <wp:inline distT="0" distB="0" distL="0" distR="0" wp14:anchorId="0781EA3C" wp14:editId="1E03B646">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1CE8" w:rsidRPr="00AB51C8" w:rsidRDefault="00AF1CE8" w:rsidP="003F0BE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AF1CE8" w:rsidRDefault="006D7314" w:rsidP="006D7314">
            <w:pPr>
              <w:spacing w:before="240" w:line="240" w:lineRule="exact"/>
            </w:pPr>
            <w:r>
              <w:t>Distr. générale</w:t>
            </w:r>
          </w:p>
          <w:p w:rsidR="006D7314" w:rsidRDefault="001C5244" w:rsidP="006D7314">
            <w:pPr>
              <w:spacing w:line="240" w:lineRule="exact"/>
            </w:pPr>
            <w:r>
              <w:t>30</w:t>
            </w:r>
            <w:r w:rsidR="006D7314">
              <w:t xml:space="preserve"> janvier 2018</w:t>
            </w:r>
          </w:p>
          <w:p w:rsidR="006D7314" w:rsidRDefault="006D7314" w:rsidP="006D7314">
            <w:pPr>
              <w:spacing w:line="240" w:lineRule="exact"/>
            </w:pPr>
          </w:p>
          <w:p w:rsidR="006D7314" w:rsidRDefault="002119BF" w:rsidP="006D7314">
            <w:pPr>
              <w:spacing w:line="240" w:lineRule="exact"/>
            </w:pPr>
            <w:r>
              <w:t>Original </w:t>
            </w:r>
            <w:r w:rsidR="006D7314">
              <w:t>: français</w:t>
            </w:r>
          </w:p>
          <w:p w:rsidR="000C7C7F" w:rsidRPr="00DB58B5" w:rsidRDefault="000C7C7F" w:rsidP="006D7314">
            <w:pPr>
              <w:spacing w:line="240" w:lineRule="exact"/>
            </w:pPr>
            <w:r>
              <w:t>Anglais, espagnol et français seulement</w:t>
            </w:r>
          </w:p>
        </w:tc>
      </w:tr>
    </w:tbl>
    <w:p w:rsidR="000C7C7F" w:rsidRPr="000C7C7F" w:rsidRDefault="000C7C7F" w:rsidP="000C7C7F">
      <w:pPr>
        <w:spacing w:before="120"/>
        <w:rPr>
          <w:b/>
          <w:sz w:val="24"/>
          <w:szCs w:val="24"/>
        </w:rPr>
      </w:pPr>
      <w:r w:rsidRPr="000C7C7F">
        <w:rPr>
          <w:b/>
          <w:sz w:val="24"/>
          <w:szCs w:val="24"/>
        </w:rPr>
        <w:t>Comité des droits de l</w:t>
      </w:r>
      <w:r w:rsidR="00A24C87">
        <w:rPr>
          <w:b/>
          <w:sz w:val="24"/>
          <w:szCs w:val="24"/>
        </w:rPr>
        <w:t>’</w:t>
      </w:r>
      <w:r w:rsidRPr="000C7C7F">
        <w:rPr>
          <w:b/>
          <w:sz w:val="24"/>
          <w:szCs w:val="24"/>
        </w:rPr>
        <w:t>homme</w:t>
      </w:r>
    </w:p>
    <w:p w:rsidR="000C7C7F" w:rsidRDefault="000C7C7F" w:rsidP="00BA64B2">
      <w:pPr>
        <w:pStyle w:val="HChG"/>
        <w:rPr>
          <w:sz w:val="20"/>
        </w:rPr>
      </w:pPr>
      <w:r w:rsidRPr="000C7C7F">
        <w:tab/>
      </w:r>
      <w:r w:rsidRPr="000C7C7F">
        <w:tab/>
      </w:r>
      <w:r w:rsidR="00BA64B2">
        <w:t>Deuxième rapport périodique</w:t>
      </w:r>
      <w:r w:rsidRPr="000C7C7F">
        <w:t xml:space="preserve"> soumis par </w:t>
      </w:r>
      <w:r w:rsidR="00BA64B2">
        <w:t xml:space="preserve">la Mauritanie </w:t>
      </w:r>
      <w:r w:rsidRPr="000C7C7F">
        <w:t>en</w:t>
      </w:r>
      <w:r w:rsidR="006943F8">
        <w:t> </w:t>
      </w:r>
      <w:r w:rsidRPr="000C7C7F">
        <w:t>application de l</w:t>
      </w:r>
      <w:r w:rsidR="00A24C87">
        <w:t>’</w:t>
      </w:r>
      <w:r w:rsidRPr="000C7C7F">
        <w:t>article 40 du Pacte</w:t>
      </w:r>
      <w:r w:rsidR="00BA64B2">
        <w:t>, attendu en 2017</w:t>
      </w:r>
      <w:r w:rsidRPr="00027EE8">
        <w:rPr>
          <w:b w:val="0"/>
          <w:sz w:val="20"/>
        </w:rPr>
        <w:footnoteReference w:customMarkFollows="1" w:id="2"/>
        <w:t>*</w:t>
      </w:r>
    </w:p>
    <w:p w:rsidR="000C7C7F" w:rsidRDefault="000C7C7F" w:rsidP="000C7C7F">
      <w:pPr>
        <w:pStyle w:val="SingleTxtG"/>
        <w:jc w:val="right"/>
        <w:rPr>
          <w:lang w:val="fr-FR"/>
        </w:rPr>
      </w:pPr>
      <w:r w:rsidRPr="00013CE0">
        <w:rPr>
          <w:lang w:val="fr-FR"/>
        </w:rPr>
        <w:t xml:space="preserve">[Date de </w:t>
      </w:r>
      <w:r w:rsidRPr="00175717">
        <w:rPr>
          <w:lang w:val="fr-FR"/>
        </w:rPr>
        <w:t>réception</w:t>
      </w:r>
      <w:r>
        <w:rPr>
          <w:lang w:val="fr-FR"/>
        </w:rPr>
        <w:t> </w:t>
      </w:r>
      <w:r w:rsidRPr="00013CE0">
        <w:rPr>
          <w:lang w:val="fr-FR"/>
        </w:rPr>
        <w:t xml:space="preserve">: </w:t>
      </w:r>
      <w:r w:rsidR="00353E03">
        <w:rPr>
          <w:lang w:val="fr-FR"/>
        </w:rPr>
        <w:t>22 novembre</w:t>
      </w:r>
      <w:r w:rsidRPr="00013CE0">
        <w:rPr>
          <w:lang w:val="fr-FR"/>
        </w:rPr>
        <w:t xml:space="preserve"> 2017]</w:t>
      </w:r>
    </w:p>
    <w:p w:rsidR="000C7C7F" w:rsidRDefault="000C7C7F">
      <w:pPr>
        <w:suppressAutoHyphens w:val="0"/>
        <w:spacing w:line="240" w:lineRule="auto"/>
        <w:rPr>
          <w:lang w:val="fr-FR"/>
        </w:rPr>
      </w:pPr>
      <w:r>
        <w:rPr>
          <w:lang w:val="fr-FR"/>
        </w:rPr>
        <w:br w:type="page"/>
      </w:r>
    </w:p>
    <w:p w:rsidR="00D455F3" w:rsidRPr="00A20E0F" w:rsidRDefault="00D455F3" w:rsidP="00D455F3">
      <w:pPr>
        <w:spacing w:after="120"/>
        <w:rPr>
          <w:sz w:val="28"/>
          <w:lang w:val="fr-FR"/>
        </w:rPr>
      </w:pPr>
      <w:r w:rsidRPr="00A20E0F">
        <w:rPr>
          <w:sz w:val="28"/>
          <w:lang w:val="fr-FR"/>
        </w:rPr>
        <w:lastRenderedPageBreak/>
        <w:t>Table des matières</w:t>
      </w:r>
    </w:p>
    <w:p w:rsidR="00D455F3" w:rsidRPr="00A20E0F" w:rsidRDefault="00D455F3" w:rsidP="00D455F3">
      <w:pPr>
        <w:tabs>
          <w:tab w:val="right" w:pos="9638"/>
        </w:tabs>
        <w:spacing w:after="120"/>
        <w:ind w:left="283"/>
        <w:rPr>
          <w:sz w:val="18"/>
          <w:lang w:val="fr-FR"/>
        </w:rPr>
      </w:pPr>
      <w:r w:rsidRPr="00A20E0F">
        <w:rPr>
          <w:i/>
          <w:sz w:val="18"/>
          <w:lang w:val="fr-FR"/>
        </w:rPr>
        <w:tab/>
        <w:t>Page</w:t>
      </w:r>
    </w:p>
    <w:p w:rsidR="00D455F3" w:rsidRPr="00A20E0F" w:rsidRDefault="00D455F3" w:rsidP="00D455F3">
      <w:pPr>
        <w:tabs>
          <w:tab w:val="right" w:pos="850"/>
          <w:tab w:val="left" w:pos="1134"/>
          <w:tab w:val="left" w:pos="1559"/>
          <w:tab w:val="left" w:pos="1984"/>
          <w:tab w:val="left" w:leader="dot" w:pos="8929"/>
          <w:tab w:val="right" w:pos="9638"/>
        </w:tabs>
        <w:spacing w:after="120"/>
        <w:rPr>
          <w:lang w:val="fr-FR"/>
        </w:rPr>
      </w:pPr>
      <w:r w:rsidRPr="00A20E0F">
        <w:rPr>
          <w:lang w:val="fr-FR"/>
        </w:rPr>
        <w:tab/>
      </w:r>
      <w:r w:rsidRPr="00A20E0F">
        <w:rPr>
          <w:lang w:val="fr-FR"/>
        </w:rPr>
        <w:tab/>
      </w:r>
      <w:r>
        <w:rPr>
          <w:lang w:val="fr-FR"/>
        </w:rPr>
        <w:t>Acronymes</w:t>
      </w:r>
      <w:r w:rsidRPr="00A20E0F">
        <w:rPr>
          <w:lang w:val="fr-FR"/>
        </w:rPr>
        <w:tab/>
      </w:r>
      <w:r w:rsidRPr="00A20E0F">
        <w:rPr>
          <w:lang w:val="fr-FR"/>
        </w:rPr>
        <w:tab/>
      </w:r>
      <w:r w:rsidR="00027EE8">
        <w:rPr>
          <w:lang w:val="fr-FR"/>
        </w:rPr>
        <w:t>3</w:t>
      </w:r>
    </w:p>
    <w:p w:rsidR="00D455F3" w:rsidRDefault="00D455F3" w:rsidP="00D455F3">
      <w:pPr>
        <w:tabs>
          <w:tab w:val="right" w:pos="850"/>
          <w:tab w:val="left" w:pos="1134"/>
          <w:tab w:val="left" w:pos="1559"/>
          <w:tab w:val="left" w:pos="1984"/>
          <w:tab w:val="left" w:leader="dot" w:pos="8929"/>
          <w:tab w:val="right" w:pos="9638"/>
        </w:tabs>
        <w:spacing w:after="120"/>
        <w:rPr>
          <w:lang w:val="fr-FR"/>
        </w:rPr>
      </w:pPr>
      <w:r w:rsidRPr="00A20E0F">
        <w:rPr>
          <w:lang w:val="fr-FR"/>
        </w:rPr>
        <w:tab/>
      </w:r>
      <w:r w:rsidRPr="00A20E0F">
        <w:rPr>
          <w:lang w:val="fr-FR"/>
        </w:rPr>
        <w:tab/>
      </w:r>
      <w:r>
        <w:rPr>
          <w:lang w:val="fr-FR"/>
        </w:rPr>
        <w:t>Introduction</w:t>
      </w:r>
      <w:r w:rsidRPr="00A20E0F">
        <w:rPr>
          <w:lang w:val="fr-FR"/>
        </w:rPr>
        <w:tab/>
      </w:r>
      <w:r w:rsidRPr="00A20E0F">
        <w:rPr>
          <w:lang w:val="fr-FR"/>
        </w:rPr>
        <w:tab/>
      </w:r>
      <w:r w:rsidR="00027EE8">
        <w:rPr>
          <w:lang w:val="fr-FR"/>
        </w:rPr>
        <w:t>4</w:t>
      </w:r>
    </w:p>
    <w:p w:rsidR="00D455F3" w:rsidRPr="00A20E0F" w:rsidRDefault="00D455F3" w:rsidP="00D455F3">
      <w:pPr>
        <w:tabs>
          <w:tab w:val="right" w:pos="850"/>
          <w:tab w:val="left" w:pos="1134"/>
          <w:tab w:val="left" w:pos="1559"/>
          <w:tab w:val="left" w:pos="1984"/>
          <w:tab w:val="left" w:leader="dot" w:pos="8929"/>
          <w:tab w:val="right" w:pos="9638"/>
        </w:tabs>
        <w:spacing w:after="120"/>
        <w:rPr>
          <w:lang w:val="fr-FR"/>
        </w:rPr>
      </w:pPr>
      <w:r w:rsidRPr="00A20E0F">
        <w:rPr>
          <w:lang w:val="fr-FR"/>
        </w:rPr>
        <w:tab/>
      </w:r>
      <w:r w:rsidRPr="00A20E0F">
        <w:rPr>
          <w:lang w:val="fr-FR"/>
        </w:rPr>
        <w:tab/>
      </w:r>
      <w:r>
        <w:rPr>
          <w:lang w:val="fr-FR"/>
        </w:rPr>
        <w:t>Partie I.</w:t>
      </w:r>
      <w:r w:rsidR="00025FBC">
        <w:rPr>
          <w:lang w:val="fr-FR"/>
        </w:rPr>
        <w:t> </w:t>
      </w:r>
      <w:r>
        <w:t>Présentation générale</w:t>
      </w:r>
      <w:r w:rsidR="00B7582D">
        <w:t xml:space="preserve"> – Données générales</w:t>
      </w:r>
      <w:r w:rsidRPr="00A20E0F">
        <w:rPr>
          <w:lang w:val="fr-FR"/>
        </w:rPr>
        <w:tab/>
      </w:r>
      <w:r w:rsidRPr="00A20E0F">
        <w:rPr>
          <w:lang w:val="fr-FR"/>
        </w:rPr>
        <w:tab/>
      </w:r>
      <w:r w:rsidR="00027EE8">
        <w:rPr>
          <w:lang w:val="fr-FR"/>
        </w:rPr>
        <w:t>4</w:t>
      </w:r>
    </w:p>
    <w:p w:rsidR="00D455F3" w:rsidRDefault="00D455F3" w:rsidP="00D455F3">
      <w:pPr>
        <w:tabs>
          <w:tab w:val="right" w:pos="850"/>
          <w:tab w:val="left" w:pos="1134"/>
          <w:tab w:val="left" w:pos="1559"/>
          <w:tab w:val="left" w:pos="1984"/>
          <w:tab w:val="left" w:leader="dot" w:pos="8929"/>
          <w:tab w:val="right" w:pos="9638"/>
        </w:tabs>
        <w:spacing w:after="120"/>
        <w:rPr>
          <w:lang w:val="fr-FR"/>
        </w:rPr>
      </w:pPr>
      <w:r w:rsidRPr="00A20E0F">
        <w:rPr>
          <w:lang w:val="fr-FR"/>
        </w:rPr>
        <w:tab/>
      </w:r>
      <w:r w:rsidRPr="00A20E0F">
        <w:rPr>
          <w:lang w:val="fr-FR"/>
        </w:rPr>
        <w:tab/>
      </w:r>
      <w:r w:rsidRPr="00A20E0F">
        <w:rPr>
          <w:lang w:val="fr-FR"/>
        </w:rPr>
        <w:tab/>
        <w:t>A.</w:t>
      </w:r>
      <w:r w:rsidRPr="00A20E0F">
        <w:rPr>
          <w:lang w:val="fr-FR"/>
        </w:rPr>
        <w:tab/>
      </w:r>
      <w:r w:rsidR="00B7582D" w:rsidRPr="00933567">
        <w:t>Caractéristiques démographiques et socioéconomiques</w:t>
      </w:r>
      <w:r w:rsidR="00B7582D" w:rsidDel="00B7582D">
        <w:t xml:space="preserve"> </w:t>
      </w:r>
      <w:r w:rsidRPr="00A20E0F">
        <w:rPr>
          <w:lang w:val="fr-FR"/>
        </w:rPr>
        <w:tab/>
      </w:r>
      <w:r w:rsidRPr="00A20E0F">
        <w:rPr>
          <w:lang w:val="fr-FR"/>
        </w:rPr>
        <w:tab/>
      </w:r>
      <w:r w:rsidR="00027EE8">
        <w:rPr>
          <w:lang w:val="fr-FR"/>
        </w:rPr>
        <w:t>4</w:t>
      </w:r>
    </w:p>
    <w:p w:rsidR="00D455F3" w:rsidRDefault="00D455F3" w:rsidP="00B32389">
      <w:pPr>
        <w:tabs>
          <w:tab w:val="right" w:pos="850"/>
          <w:tab w:val="left" w:pos="1134"/>
          <w:tab w:val="left" w:pos="1843"/>
          <w:tab w:val="left" w:pos="2268"/>
          <w:tab w:val="left" w:leader="dot" w:pos="8929"/>
          <w:tab w:val="right" w:pos="9638"/>
        </w:tabs>
        <w:spacing w:after="120"/>
        <w:rPr>
          <w:lang w:val="fr-FR"/>
        </w:rPr>
      </w:pPr>
      <w:r w:rsidRPr="00A20E0F">
        <w:rPr>
          <w:lang w:val="fr-FR"/>
        </w:rPr>
        <w:tab/>
      </w:r>
      <w:r w:rsidRPr="00A20E0F">
        <w:rPr>
          <w:lang w:val="fr-FR"/>
        </w:rPr>
        <w:tab/>
      </w:r>
      <w:r w:rsidRPr="00A20E0F">
        <w:rPr>
          <w:lang w:val="fr-FR"/>
        </w:rPr>
        <w:tab/>
      </w:r>
      <w:r>
        <w:rPr>
          <w:lang w:val="fr-FR"/>
        </w:rPr>
        <w:t>1</w:t>
      </w:r>
      <w:r w:rsidR="008F0862">
        <w:rPr>
          <w:lang w:val="fr-FR"/>
        </w:rPr>
        <w:t>.</w:t>
      </w:r>
      <w:r>
        <w:rPr>
          <w:lang w:val="fr-FR"/>
        </w:rPr>
        <w:tab/>
      </w:r>
      <w:r w:rsidR="00B7582D" w:rsidRPr="00933567">
        <w:t>Données démographiques</w:t>
      </w:r>
      <w:r w:rsidR="00B7582D" w:rsidRPr="00933567" w:rsidDel="00B7582D">
        <w:t xml:space="preserve"> </w:t>
      </w:r>
      <w:r w:rsidRPr="00A20E0F">
        <w:rPr>
          <w:lang w:val="fr-FR"/>
        </w:rPr>
        <w:tab/>
      </w:r>
      <w:r w:rsidRPr="00A20E0F">
        <w:rPr>
          <w:lang w:val="fr-FR"/>
        </w:rPr>
        <w:tab/>
      </w:r>
      <w:r w:rsidR="00027EE8">
        <w:rPr>
          <w:lang w:val="fr-FR"/>
        </w:rPr>
        <w:t>4</w:t>
      </w:r>
    </w:p>
    <w:p w:rsidR="006A2441" w:rsidRPr="00A20E0F" w:rsidRDefault="006A2441" w:rsidP="00B32389">
      <w:pPr>
        <w:tabs>
          <w:tab w:val="right" w:pos="850"/>
          <w:tab w:val="left" w:pos="1134"/>
          <w:tab w:val="left" w:pos="1843"/>
          <w:tab w:val="left" w:pos="2268"/>
          <w:tab w:val="left" w:leader="dot" w:pos="8931"/>
          <w:tab w:val="right" w:pos="9638"/>
        </w:tabs>
        <w:spacing w:after="120"/>
        <w:rPr>
          <w:lang w:val="fr-FR"/>
        </w:rPr>
      </w:pPr>
      <w:r w:rsidRPr="00A20E0F">
        <w:rPr>
          <w:lang w:val="fr-FR"/>
        </w:rPr>
        <w:tab/>
      </w:r>
      <w:r w:rsidRPr="00A20E0F">
        <w:rPr>
          <w:lang w:val="fr-FR"/>
        </w:rPr>
        <w:tab/>
      </w:r>
      <w:r w:rsidRPr="00A20E0F">
        <w:rPr>
          <w:lang w:val="fr-FR"/>
        </w:rPr>
        <w:tab/>
      </w:r>
      <w:r w:rsidR="00B7582D">
        <w:rPr>
          <w:lang w:val="fr-FR"/>
        </w:rPr>
        <w:t>2.</w:t>
      </w:r>
      <w:r w:rsidR="00506D10">
        <w:rPr>
          <w:lang w:val="fr-FR"/>
        </w:rPr>
        <w:tab/>
      </w:r>
      <w:r w:rsidR="00B7582D" w:rsidRPr="009B22FA">
        <w:t>Données socioéconomiques</w:t>
      </w:r>
      <w:r w:rsidRPr="00A20E0F">
        <w:rPr>
          <w:lang w:val="fr-FR"/>
        </w:rPr>
        <w:tab/>
      </w:r>
      <w:r>
        <w:rPr>
          <w:lang w:val="fr-FR"/>
        </w:rPr>
        <w:tab/>
      </w:r>
      <w:r w:rsidR="00027EE8">
        <w:rPr>
          <w:lang w:val="fr-FR"/>
        </w:rPr>
        <w:t>5</w:t>
      </w:r>
    </w:p>
    <w:p w:rsidR="006A2441" w:rsidRPr="00A20E0F" w:rsidRDefault="006A2441" w:rsidP="00027EE8">
      <w:pPr>
        <w:tabs>
          <w:tab w:val="right" w:pos="850"/>
          <w:tab w:val="left" w:pos="1134"/>
          <w:tab w:val="left" w:pos="1559"/>
          <w:tab w:val="left" w:pos="1984"/>
          <w:tab w:val="left" w:leader="dot" w:pos="8929"/>
          <w:tab w:val="right" w:pos="9638"/>
        </w:tabs>
        <w:spacing w:after="120"/>
        <w:rPr>
          <w:lang w:val="fr-FR"/>
        </w:rPr>
      </w:pPr>
      <w:r w:rsidRPr="00A20E0F">
        <w:rPr>
          <w:lang w:val="fr-FR"/>
        </w:rPr>
        <w:tab/>
      </w:r>
      <w:r w:rsidRPr="00A20E0F">
        <w:rPr>
          <w:lang w:val="fr-FR"/>
        </w:rPr>
        <w:tab/>
      </w:r>
      <w:r w:rsidR="00F01853">
        <w:rPr>
          <w:lang w:val="fr-FR"/>
        </w:rPr>
        <w:tab/>
        <w:t>B</w:t>
      </w:r>
      <w:r w:rsidR="008F0862">
        <w:rPr>
          <w:lang w:val="fr-FR"/>
        </w:rPr>
        <w:t>.</w:t>
      </w:r>
      <w:r>
        <w:rPr>
          <w:lang w:val="fr-FR"/>
        </w:rPr>
        <w:tab/>
      </w:r>
      <w:r w:rsidRPr="009B22FA">
        <w:t>Structures constitutionnelles et judiciaires</w:t>
      </w:r>
      <w:r w:rsidRPr="00A20E0F">
        <w:rPr>
          <w:lang w:val="fr-FR"/>
        </w:rPr>
        <w:tab/>
      </w:r>
      <w:r w:rsidRPr="00A20E0F">
        <w:rPr>
          <w:lang w:val="fr-FR"/>
        </w:rPr>
        <w:tab/>
      </w:r>
      <w:r w:rsidR="00027EE8">
        <w:rPr>
          <w:lang w:val="fr-FR"/>
        </w:rPr>
        <w:t>7</w:t>
      </w:r>
    </w:p>
    <w:p w:rsidR="001234C9" w:rsidRPr="00A20E0F" w:rsidRDefault="001234C9" w:rsidP="00B32389">
      <w:pPr>
        <w:tabs>
          <w:tab w:val="right" w:pos="850"/>
          <w:tab w:val="left" w:pos="1134"/>
          <w:tab w:val="left" w:pos="1843"/>
          <w:tab w:val="left" w:pos="2268"/>
          <w:tab w:val="left" w:leader="dot" w:pos="8931"/>
          <w:tab w:val="right" w:pos="9638"/>
        </w:tabs>
        <w:spacing w:after="120"/>
        <w:rPr>
          <w:lang w:val="fr-FR"/>
        </w:rPr>
      </w:pPr>
      <w:r w:rsidRPr="00A20E0F">
        <w:rPr>
          <w:lang w:val="fr-FR"/>
        </w:rPr>
        <w:tab/>
      </w:r>
      <w:r w:rsidRPr="00A20E0F">
        <w:rPr>
          <w:lang w:val="fr-FR"/>
        </w:rPr>
        <w:tab/>
      </w:r>
      <w:r w:rsidRPr="00A20E0F">
        <w:rPr>
          <w:lang w:val="fr-FR"/>
        </w:rPr>
        <w:tab/>
      </w:r>
      <w:r>
        <w:rPr>
          <w:lang w:val="fr-FR"/>
        </w:rPr>
        <w:t>1</w:t>
      </w:r>
      <w:r w:rsidR="00B937B4">
        <w:rPr>
          <w:lang w:val="fr-FR"/>
        </w:rPr>
        <w:t>.</w:t>
      </w:r>
      <w:r>
        <w:rPr>
          <w:lang w:val="fr-FR"/>
        </w:rPr>
        <w:tab/>
      </w:r>
      <w:r w:rsidRPr="009B22FA">
        <w:t>Structures constitutionnelles</w:t>
      </w:r>
      <w:r w:rsidRPr="00A20E0F">
        <w:rPr>
          <w:lang w:val="fr-FR"/>
        </w:rPr>
        <w:tab/>
      </w:r>
      <w:r w:rsidR="00027EE8">
        <w:rPr>
          <w:lang w:val="fr-FR"/>
        </w:rPr>
        <w:tab/>
        <w:t>7</w:t>
      </w:r>
    </w:p>
    <w:p w:rsidR="001234C9" w:rsidRPr="00A20E0F" w:rsidRDefault="001234C9" w:rsidP="00B32389">
      <w:pPr>
        <w:tabs>
          <w:tab w:val="right" w:pos="850"/>
          <w:tab w:val="left" w:pos="1134"/>
          <w:tab w:val="left" w:pos="1843"/>
          <w:tab w:val="left" w:pos="2268"/>
          <w:tab w:val="left" w:leader="dot" w:pos="8931"/>
          <w:tab w:val="right" w:pos="9638"/>
        </w:tabs>
        <w:spacing w:after="120"/>
        <w:rPr>
          <w:lang w:val="fr-FR"/>
        </w:rPr>
      </w:pPr>
      <w:r w:rsidRPr="00A20E0F">
        <w:rPr>
          <w:lang w:val="fr-FR"/>
        </w:rPr>
        <w:tab/>
      </w:r>
      <w:r w:rsidRPr="00A20E0F">
        <w:rPr>
          <w:lang w:val="fr-FR"/>
        </w:rPr>
        <w:tab/>
      </w:r>
      <w:r w:rsidRPr="00A20E0F">
        <w:rPr>
          <w:lang w:val="fr-FR"/>
        </w:rPr>
        <w:tab/>
      </w:r>
      <w:r>
        <w:rPr>
          <w:lang w:val="fr-FR"/>
        </w:rPr>
        <w:t>2</w:t>
      </w:r>
      <w:r w:rsidR="00B937B4">
        <w:rPr>
          <w:lang w:val="fr-FR"/>
        </w:rPr>
        <w:t>.</w:t>
      </w:r>
      <w:r>
        <w:rPr>
          <w:lang w:val="fr-FR"/>
        </w:rPr>
        <w:tab/>
      </w:r>
      <w:r w:rsidR="003D7AC6">
        <w:t>Institutions</w:t>
      </w:r>
      <w:r w:rsidRPr="009B22FA">
        <w:t xml:space="preserve"> judiciaires</w:t>
      </w:r>
      <w:r w:rsidRPr="00A20E0F">
        <w:rPr>
          <w:lang w:val="fr-FR"/>
        </w:rPr>
        <w:tab/>
      </w:r>
      <w:r w:rsidR="00027EE8">
        <w:rPr>
          <w:lang w:val="fr-FR"/>
        </w:rPr>
        <w:tab/>
        <w:t>7</w:t>
      </w:r>
    </w:p>
    <w:p w:rsidR="001234C9" w:rsidRDefault="001234C9" w:rsidP="00027EE8">
      <w:pPr>
        <w:tabs>
          <w:tab w:val="right" w:pos="850"/>
          <w:tab w:val="left" w:pos="1134"/>
          <w:tab w:val="left" w:pos="1559"/>
          <w:tab w:val="left" w:pos="1984"/>
          <w:tab w:val="left" w:leader="dot" w:pos="8929"/>
          <w:tab w:val="right" w:pos="9638"/>
        </w:tabs>
        <w:spacing w:after="120"/>
        <w:rPr>
          <w:lang w:val="fr-FR"/>
        </w:rPr>
      </w:pPr>
      <w:r w:rsidRPr="00A20E0F">
        <w:rPr>
          <w:lang w:val="fr-FR"/>
        </w:rPr>
        <w:tab/>
      </w:r>
      <w:r w:rsidRPr="00A20E0F">
        <w:rPr>
          <w:lang w:val="fr-FR"/>
        </w:rPr>
        <w:tab/>
      </w:r>
      <w:r w:rsidRPr="00A20E0F">
        <w:rPr>
          <w:lang w:val="fr-FR"/>
        </w:rPr>
        <w:tab/>
      </w:r>
      <w:r w:rsidR="00C95E0A">
        <w:rPr>
          <w:lang w:val="fr-FR"/>
        </w:rPr>
        <w:t>C</w:t>
      </w:r>
      <w:r w:rsidR="008F0862">
        <w:rPr>
          <w:lang w:val="fr-FR"/>
        </w:rPr>
        <w:t>.</w:t>
      </w:r>
      <w:r>
        <w:rPr>
          <w:lang w:val="fr-FR"/>
        </w:rPr>
        <w:tab/>
      </w:r>
      <w:r w:rsidRPr="009B22FA">
        <w:t>Cadre général de promotion et de protection des droits de l</w:t>
      </w:r>
      <w:r w:rsidR="00A24C87">
        <w:t>’</w:t>
      </w:r>
      <w:r w:rsidRPr="009B22FA">
        <w:t>homme</w:t>
      </w:r>
      <w:r w:rsidRPr="00A20E0F">
        <w:rPr>
          <w:lang w:val="fr-FR"/>
        </w:rPr>
        <w:tab/>
      </w:r>
      <w:r w:rsidRPr="00A20E0F">
        <w:rPr>
          <w:lang w:val="fr-FR"/>
        </w:rPr>
        <w:tab/>
      </w:r>
      <w:r w:rsidR="00724F7F">
        <w:rPr>
          <w:lang w:val="fr-FR"/>
        </w:rPr>
        <w:t>9</w:t>
      </w:r>
    </w:p>
    <w:p w:rsidR="007F2B58" w:rsidRPr="00A20E0F" w:rsidRDefault="007F2B58" w:rsidP="00B32389">
      <w:pPr>
        <w:tabs>
          <w:tab w:val="right" w:pos="850"/>
          <w:tab w:val="left" w:pos="1134"/>
          <w:tab w:val="left" w:pos="1843"/>
          <w:tab w:val="left" w:pos="2268"/>
          <w:tab w:val="left" w:leader="dot" w:pos="8931"/>
          <w:tab w:val="right" w:pos="9638"/>
        </w:tabs>
        <w:spacing w:after="120"/>
        <w:rPr>
          <w:lang w:val="fr-FR"/>
        </w:rPr>
      </w:pPr>
      <w:r w:rsidRPr="00A20E0F">
        <w:rPr>
          <w:lang w:val="fr-FR"/>
        </w:rPr>
        <w:tab/>
      </w:r>
      <w:r w:rsidRPr="00A20E0F">
        <w:rPr>
          <w:lang w:val="fr-FR"/>
        </w:rPr>
        <w:tab/>
      </w:r>
      <w:r w:rsidRPr="00A20E0F">
        <w:rPr>
          <w:lang w:val="fr-FR"/>
        </w:rPr>
        <w:tab/>
      </w:r>
      <w:r>
        <w:rPr>
          <w:lang w:val="fr-FR"/>
        </w:rPr>
        <w:t>1</w:t>
      </w:r>
      <w:r w:rsidR="00C95E0A">
        <w:rPr>
          <w:lang w:val="fr-FR"/>
        </w:rPr>
        <w:t>.</w:t>
      </w:r>
      <w:r>
        <w:rPr>
          <w:lang w:val="fr-FR"/>
        </w:rPr>
        <w:tab/>
      </w:r>
      <w:r>
        <w:t>A</w:t>
      </w:r>
      <w:r w:rsidRPr="009B22FA">
        <w:t>cceptation des normes internationales relatives aux droits de l</w:t>
      </w:r>
      <w:r w:rsidR="00A24C87">
        <w:t>’</w:t>
      </w:r>
      <w:r w:rsidRPr="009B22FA">
        <w:t>homme</w:t>
      </w:r>
      <w:r w:rsidRPr="00A20E0F">
        <w:rPr>
          <w:lang w:val="fr-FR"/>
        </w:rPr>
        <w:tab/>
      </w:r>
      <w:r>
        <w:rPr>
          <w:lang w:val="fr-FR"/>
        </w:rPr>
        <w:tab/>
      </w:r>
      <w:r w:rsidR="00724F7F">
        <w:rPr>
          <w:lang w:val="fr-FR"/>
        </w:rPr>
        <w:t>9</w:t>
      </w:r>
    </w:p>
    <w:p w:rsidR="007F2B58" w:rsidRPr="00A20E0F" w:rsidRDefault="007F2B58" w:rsidP="00B32389">
      <w:pPr>
        <w:tabs>
          <w:tab w:val="right" w:pos="850"/>
          <w:tab w:val="left" w:pos="1134"/>
          <w:tab w:val="left" w:pos="1843"/>
          <w:tab w:val="left" w:pos="2268"/>
          <w:tab w:val="left" w:leader="dot" w:pos="8931"/>
          <w:tab w:val="right" w:pos="9638"/>
        </w:tabs>
        <w:spacing w:after="120"/>
        <w:rPr>
          <w:lang w:val="fr-FR"/>
        </w:rPr>
      </w:pPr>
      <w:r w:rsidRPr="00A20E0F">
        <w:rPr>
          <w:lang w:val="fr-FR"/>
        </w:rPr>
        <w:tab/>
      </w:r>
      <w:r w:rsidRPr="00A20E0F">
        <w:rPr>
          <w:lang w:val="fr-FR"/>
        </w:rPr>
        <w:tab/>
      </w:r>
      <w:r w:rsidRPr="00A20E0F">
        <w:rPr>
          <w:lang w:val="fr-FR"/>
        </w:rPr>
        <w:tab/>
      </w:r>
      <w:r>
        <w:rPr>
          <w:lang w:val="fr-FR"/>
        </w:rPr>
        <w:t>2</w:t>
      </w:r>
      <w:r w:rsidR="004B49D8">
        <w:rPr>
          <w:lang w:val="fr-FR"/>
        </w:rPr>
        <w:t>.</w:t>
      </w:r>
      <w:r>
        <w:rPr>
          <w:lang w:val="fr-FR"/>
        </w:rPr>
        <w:tab/>
      </w:r>
      <w:r w:rsidRPr="009B22FA">
        <w:t>Nature et portée des réserves</w:t>
      </w:r>
      <w:r w:rsidRPr="00A20E0F">
        <w:rPr>
          <w:lang w:val="fr-FR"/>
        </w:rPr>
        <w:tab/>
      </w:r>
      <w:r>
        <w:rPr>
          <w:lang w:val="fr-FR"/>
        </w:rPr>
        <w:tab/>
      </w:r>
      <w:r w:rsidR="00382B6A">
        <w:rPr>
          <w:lang w:val="fr-FR"/>
        </w:rPr>
        <w:t>1</w:t>
      </w:r>
      <w:r w:rsidR="00724F7F">
        <w:rPr>
          <w:lang w:val="fr-FR"/>
        </w:rPr>
        <w:t>0</w:t>
      </w:r>
    </w:p>
    <w:p w:rsidR="00054639" w:rsidRDefault="00054639" w:rsidP="00B32389">
      <w:pPr>
        <w:tabs>
          <w:tab w:val="right" w:pos="850"/>
          <w:tab w:val="left" w:pos="1134"/>
          <w:tab w:val="left" w:pos="1843"/>
          <w:tab w:val="left" w:pos="2268"/>
          <w:tab w:val="left" w:leader="dot" w:pos="8931"/>
          <w:tab w:val="right" w:pos="9638"/>
        </w:tabs>
        <w:spacing w:after="120"/>
        <w:rPr>
          <w:lang w:val="fr-FR"/>
        </w:rPr>
      </w:pPr>
      <w:r w:rsidRPr="00A20E0F">
        <w:rPr>
          <w:lang w:val="fr-FR"/>
        </w:rPr>
        <w:tab/>
      </w:r>
      <w:r w:rsidRPr="00A20E0F">
        <w:rPr>
          <w:lang w:val="fr-FR"/>
        </w:rPr>
        <w:tab/>
      </w:r>
      <w:r w:rsidRPr="00A20E0F">
        <w:rPr>
          <w:lang w:val="fr-FR"/>
        </w:rPr>
        <w:tab/>
      </w:r>
      <w:r>
        <w:rPr>
          <w:lang w:val="fr-FR"/>
        </w:rPr>
        <w:t>3.</w:t>
      </w:r>
      <w:r>
        <w:rPr>
          <w:lang w:val="fr-FR"/>
        </w:rPr>
        <w:tab/>
      </w:r>
      <w:r w:rsidRPr="00B32389">
        <w:t>Cadre</w:t>
      </w:r>
      <w:r w:rsidRPr="00027EE8">
        <w:rPr>
          <w:lang w:val="fr-FR"/>
        </w:rPr>
        <w:t xml:space="preserve"> juridique de la protection des droits de l</w:t>
      </w:r>
      <w:r w:rsidR="00A24C87" w:rsidRPr="00027EE8">
        <w:rPr>
          <w:lang w:val="fr-FR"/>
        </w:rPr>
        <w:t>’</w:t>
      </w:r>
      <w:r w:rsidRPr="00027EE8">
        <w:rPr>
          <w:lang w:val="fr-FR"/>
        </w:rPr>
        <w:t>homme à l</w:t>
      </w:r>
      <w:r w:rsidR="00A24C87" w:rsidRPr="00027EE8">
        <w:rPr>
          <w:lang w:val="fr-FR"/>
        </w:rPr>
        <w:t>’</w:t>
      </w:r>
      <w:r w:rsidRPr="00027EE8">
        <w:rPr>
          <w:lang w:val="fr-FR"/>
        </w:rPr>
        <w:t>échelon national</w:t>
      </w:r>
      <w:r w:rsidRPr="00A20E0F">
        <w:rPr>
          <w:lang w:val="fr-FR"/>
        </w:rPr>
        <w:tab/>
      </w:r>
      <w:r>
        <w:rPr>
          <w:lang w:val="fr-FR"/>
        </w:rPr>
        <w:tab/>
      </w:r>
      <w:r w:rsidR="00382B6A">
        <w:rPr>
          <w:lang w:val="fr-FR"/>
        </w:rPr>
        <w:t>1</w:t>
      </w:r>
      <w:r w:rsidR="00EA0415">
        <w:rPr>
          <w:lang w:val="fr-FR"/>
        </w:rPr>
        <w:t>4</w:t>
      </w:r>
    </w:p>
    <w:p w:rsidR="00D53EEF" w:rsidRDefault="00CE1CE3" w:rsidP="00027EE8">
      <w:pPr>
        <w:tabs>
          <w:tab w:val="right" w:pos="850"/>
          <w:tab w:val="left" w:pos="1134"/>
          <w:tab w:val="left" w:pos="1559"/>
          <w:tab w:val="left" w:pos="1984"/>
          <w:tab w:val="left" w:leader="dot" w:pos="8929"/>
          <w:tab w:val="right" w:pos="9638"/>
        </w:tabs>
        <w:spacing w:after="120"/>
      </w:pPr>
      <w:r w:rsidRPr="00027EE8">
        <w:tab/>
      </w:r>
      <w:r w:rsidRPr="00027EE8">
        <w:tab/>
      </w:r>
      <w:r w:rsidRPr="00027EE8">
        <w:tab/>
      </w:r>
      <w:r w:rsidR="00D53EEF" w:rsidRPr="00027EE8">
        <w:t>D</w:t>
      </w:r>
      <w:r w:rsidRPr="00027EE8">
        <w:t>.</w:t>
      </w:r>
      <w:r w:rsidRPr="00027EE8">
        <w:tab/>
      </w:r>
      <w:r w:rsidRPr="00FC401C">
        <w:t xml:space="preserve">Facteurs entravant la mise en œuvre des obligations internationales relatives </w:t>
      </w:r>
      <w:r>
        <w:br/>
      </w:r>
      <w:r w:rsidR="00D53EEF">
        <w:tab/>
      </w:r>
      <w:r w:rsidR="00D53EEF">
        <w:tab/>
      </w:r>
      <w:r w:rsidR="00D53EEF">
        <w:tab/>
      </w:r>
      <w:r w:rsidR="00D53EEF">
        <w:tab/>
      </w:r>
      <w:r w:rsidRPr="00FC401C">
        <w:t>aux droits de l</w:t>
      </w:r>
      <w:r w:rsidR="00A24C87">
        <w:t>’</w:t>
      </w:r>
      <w:r w:rsidRPr="00FC401C">
        <w:t>homme</w:t>
      </w:r>
      <w:r w:rsidRPr="00027EE8">
        <w:tab/>
      </w:r>
      <w:r w:rsidRPr="00027EE8">
        <w:tab/>
      </w:r>
      <w:r w:rsidR="00CA0AD8" w:rsidRPr="00027EE8">
        <w:t>1</w:t>
      </w:r>
      <w:r w:rsidR="00D53EEF">
        <w:t>7</w:t>
      </w:r>
    </w:p>
    <w:p w:rsidR="00CE1CE3" w:rsidRPr="00027EE8" w:rsidRDefault="00D53EEF" w:rsidP="00027EE8">
      <w:pPr>
        <w:tabs>
          <w:tab w:val="right" w:pos="850"/>
          <w:tab w:val="left" w:pos="1134"/>
          <w:tab w:val="left" w:pos="1559"/>
          <w:tab w:val="left" w:pos="1984"/>
          <w:tab w:val="left" w:leader="dot" w:pos="8929"/>
          <w:tab w:val="right" w:pos="9638"/>
        </w:tabs>
        <w:spacing w:after="120"/>
      </w:pPr>
      <w:r>
        <w:tab/>
      </w:r>
      <w:r>
        <w:tab/>
      </w:r>
      <w:r>
        <w:tab/>
        <w:t>E.</w:t>
      </w:r>
      <w:r>
        <w:tab/>
      </w:r>
      <w:r w:rsidRPr="00DE2934">
        <w:t>Processus</w:t>
      </w:r>
      <w:r w:rsidRPr="00761562">
        <w:t xml:space="preserve"> d</w:t>
      </w:r>
      <w:r>
        <w:t>’</w:t>
      </w:r>
      <w:r w:rsidRPr="00761562">
        <w:t>établissement des rapports</w:t>
      </w:r>
      <w:r>
        <w:tab/>
      </w:r>
      <w:r>
        <w:tab/>
        <w:t>17</w:t>
      </w:r>
    </w:p>
    <w:p w:rsidR="00CE1CE3" w:rsidRPr="00027EE8" w:rsidRDefault="00CE1CE3" w:rsidP="00027EE8">
      <w:pPr>
        <w:tabs>
          <w:tab w:val="right" w:pos="850"/>
          <w:tab w:val="left" w:pos="1134"/>
          <w:tab w:val="left" w:pos="1559"/>
          <w:tab w:val="left" w:pos="1984"/>
          <w:tab w:val="left" w:leader="dot" w:pos="8929"/>
          <w:tab w:val="right" w:pos="9638"/>
        </w:tabs>
        <w:spacing w:after="120"/>
      </w:pPr>
      <w:r w:rsidRPr="00A20E0F">
        <w:rPr>
          <w:lang w:val="fr-FR"/>
        </w:rPr>
        <w:tab/>
      </w:r>
      <w:r w:rsidRPr="00A20E0F">
        <w:rPr>
          <w:lang w:val="fr-FR"/>
        </w:rPr>
        <w:tab/>
      </w:r>
      <w:r w:rsidRPr="00027EE8">
        <w:tab/>
      </w:r>
      <w:r w:rsidR="00685027" w:rsidRPr="00027EE8">
        <w:t>F</w:t>
      </w:r>
      <w:r w:rsidRPr="00027EE8">
        <w:t>.</w:t>
      </w:r>
      <w:r w:rsidRPr="00027EE8">
        <w:tab/>
      </w:r>
      <w:r w:rsidRPr="00FC401C">
        <w:t xml:space="preserve">Mesures pour assurer une large diffusion des observations ou recommandations </w:t>
      </w:r>
      <w:r w:rsidR="003D7AC6">
        <w:br/>
      </w:r>
      <w:r w:rsidR="00A571FF">
        <w:tab/>
      </w:r>
      <w:r w:rsidR="00A571FF">
        <w:tab/>
      </w:r>
      <w:r w:rsidR="00A571FF">
        <w:tab/>
      </w:r>
      <w:r w:rsidR="00A571FF">
        <w:tab/>
      </w:r>
      <w:r w:rsidRPr="00FC401C">
        <w:t>adoptées par un organe conventionnel à l</w:t>
      </w:r>
      <w:r w:rsidR="00A24C87">
        <w:t>’</w:t>
      </w:r>
      <w:r w:rsidRPr="00FC401C">
        <w:t>issue de l</w:t>
      </w:r>
      <w:r w:rsidR="00A24C87">
        <w:t>’</w:t>
      </w:r>
      <w:r w:rsidRPr="00FC401C">
        <w:t xml:space="preserve">examen </w:t>
      </w:r>
      <w:r w:rsidR="00AD71D7">
        <w:br/>
      </w:r>
      <w:r w:rsidR="00AD71D7">
        <w:tab/>
      </w:r>
      <w:r w:rsidR="00AD71D7">
        <w:tab/>
      </w:r>
      <w:r w:rsidR="00AD71D7">
        <w:tab/>
      </w:r>
      <w:r w:rsidR="00AD71D7">
        <w:tab/>
      </w:r>
      <w:r w:rsidRPr="00FC401C">
        <w:t>d</w:t>
      </w:r>
      <w:r w:rsidR="00A24C87">
        <w:t>’</w:t>
      </w:r>
      <w:r w:rsidRPr="00FC401C">
        <w:t>un rapport de l</w:t>
      </w:r>
      <w:r w:rsidR="00A24C87">
        <w:t>’</w:t>
      </w:r>
      <w:r w:rsidR="00B253B0">
        <w:t>État</w:t>
      </w:r>
      <w:r w:rsidRPr="00FC401C">
        <w:t xml:space="preserve"> partie</w:t>
      </w:r>
      <w:r w:rsidRPr="00027EE8">
        <w:tab/>
      </w:r>
      <w:r w:rsidR="00AD71D7">
        <w:tab/>
      </w:r>
      <w:r w:rsidR="00A571FF">
        <w:t>18</w:t>
      </w:r>
    </w:p>
    <w:p w:rsidR="0046033E" w:rsidRPr="00027EE8" w:rsidRDefault="0046033E" w:rsidP="00027EE8">
      <w:pPr>
        <w:tabs>
          <w:tab w:val="right" w:pos="850"/>
          <w:tab w:val="left" w:pos="1134"/>
          <w:tab w:val="left" w:pos="1559"/>
          <w:tab w:val="left" w:pos="1984"/>
          <w:tab w:val="left" w:leader="dot" w:pos="8929"/>
          <w:tab w:val="right" w:pos="9638"/>
        </w:tabs>
        <w:spacing w:after="120"/>
      </w:pPr>
      <w:r w:rsidRPr="00027EE8">
        <w:tab/>
      </w:r>
      <w:r w:rsidRPr="00027EE8">
        <w:tab/>
      </w:r>
      <w:r w:rsidR="00C74700">
        <w:tab/>
      </w:r>
      <w:r w:rsidR="00685027">
        <w:t>G</w:t>
      </w:r>
      <w:r w:rsidRPr="00027EE8">
        <w:t>.</w:t>
      </w:r>
      <w:r w:rsidRPr="00027EE8">
        <w:tab/>
      </w:r>
      <w:r w:rsidRPr="00FC401C">
        <w:t xml:space="preserve">Suite donnée aux observations finales/conclusions des organes créés en application </w:t>
      </w:r>
      <w:r w:rsidR="00685027">
        <w:br/>
      </w:r>
      <w:r w:rsidR="00685027">
        <w:tab/>
      </w:r>
      <w:r w:rsidR="00685027">
        <w:tab/>
      </w:r>
      <w:r w:rsidR="00685027">
        <w:tab/>
      </w:r>
      <w:r w:rsidR="00C74700">
        <w:tab/>
      </w:r>
      <w:r w:rsidRPr="00FC401C">
        <w:t>d</w:t>
      </w:r>
      <w:r w:rsidR="00A24C87">
        <w:t>’</w:t>
      </w:r>
      <w:r w:rsidRPr="00FC401C">
        <w:t>instruments internationaux relatifs aux droits de l</w:t>
      </w:r>
      <w:r w:rsidR="00A24C87">
        <w:t>’</w:t>
      </w:r>
      <w:r w:rsidRPr="00FC401C">
        <w:t>homme</w:t>
      </w:r>
      <w:r w:rsidRPr="00027EE8">
        <w:tab/>
      </w:r>
      <w:r w:rsidRPr="00027EE8">
        <w:tab/>
      </w:r>
      <w:r w:rsidR="00685027">
        <w:t>18</w:t>
      </w:r>
    </w:p>
    <w:p w:rsidR="0046033E" w:rsidRPr="00A20E0F" w:rsidRDefault="0046033E" w:rsidP="007C6114">
      <w:pPr>
        <w:tabs>
          <w:tab w:val="right" w:pos="850"/>
          <w:tab w:val="left" w:pos="1134"/>
          <w:tab w:val="left" w:pos="1559"/>
          <w:tab w:val="left" w:pos="1984"/>
          <w:tab w:val="left" w:leader="dot" w:pos="8929"/>
          <w:tab w:val="right" w:pos="9638"/>
        </w:tabs>
        <w:spacing w:after="120"/>
        <w:ind w:left="1134"/>
        <w:rPr>
          <w:lang w:val="fr-FR"/>
        </w:rPr>
      </w:pPr>
      <w:r>
        <w:rPr>
          <w:lang w:val="fr-FR"/>
        </w:rPr>
        <w:t>Partie II</w:t>
      </w:r>
      <w:r w:rsidR="00025FBC">
        <w:rPr>
          <w:lang w:val="fr-FR"/>
        </w:rPr>
        <w:t>. </w:t>
      </w:r>
      <w:r w:rsidRPr="00FC401C">
        <w:t xml:space="preserve">Mise en œuvre des dispositions du PIDCP et des recommandations du Comité </w:t>
      </w:r>
      <w:r w:rsidR="007C6114">
        <w:br/>
      </w:r>
      <w:r w:rsidR="00425463">
        <w:t>issues de la présentation du rapport i</w:t>
      </w:r>
      <w:r w:rsidRPr="00FC401C">
        <w:t>nitial</w:t>
      </w:r>
      <w:r w:rsidRPr="00A20E0F">
        <w:rPr>
          <w:lang w:val="fr-FR"/>
        </w:rPr>
        <w:tab/>
      </w:r>
      <w:r w:rsidRPr="00A20E0F">
        <w:rPr>
          <w:lang w:val="fr-FR"/>
        </w:rPr>
        <w:tab/>
      </w:r>
      <w:r w:rsidR="008C1382">
        <w:rPr>
          <w:lang w:val="fr-FR"/>
        </w:rPr>
        <w:t>19</w:t>
      </w:r>
    </w:p>
    <w:p w:rsidR="0079474C" w:rsidRDefault="0079474C" w:rsidP="0079474C">
      <w:pPr>
        <w:tabs>
          <w:tab w:val="right" w:pos="850"/>
          <w:tab w:val="left" w:pos="1134"/>
          <w:tab w:val="left" w:pos="1559"/>
          <w:tab w:val="left" w:pos="1984"/>
          <w:tab w:val="left" w:leader="dot" w:pos="8929"/>
          <w:tab w:val="right" w:pos="9638"/>
        </w:tabs>
        <w:spacing w:after="120"/>
        <w:rPr>
          <w:lang w:val="fr-FR"/>
        </w:rPr>
      </w:pPr>
      <w:r w:rsidRPr="00A20E0F">
        <w:rPr>
          <w:lang w:val="fr-FR"/>
        </w:rPr>
        <w:tab/>
      </w:r>
      <w:r w:rsidRPr="00A20E0F">
        <w:rPr>
          <w:lang w:val="fr-FR"/>
        </w:rPr>
        <w:tab/>
      </w:r>
      <w:r>
        <w:rPr>
          <w:lang w:val="fr-FR"/>
        </w:rPr>
        <w:t>Conclusion</w:t>
      </w:r>
      <w:r w:rsidRPr="00A20E0F">
        <w:rPr>
          <w:lang w:val="fr-FR"/>
        </w:rPr>
        <w:tab/>
      </w:r>
      <w:r w:rsidRPr="00A20E0F">
        <w:rPr>
          <w:lang w:val="fr-FR"/>
        </w:rPr>
        <w:tab/>
      </w:r>
      <w:r>
        <w:rPr>
          <w:lang w:val="fr-FR"/>
        </w:rPr>
        <w:t>3</w:t>
      </w:r>
      <w:r w:rsidR="008C1382">
        <w:rPr>
          <w:lang w:val="fr-FR"/>
        </w:rPr>
        <w:t>4</w:t>
      </w:r>
    </w:p>
    <w:p w:rsidR="000D7CDD" w:rsidRPr="00933567" w:rsidRDefault="000D7CDD" w:rsidP="00933567">
      <w:pPr>
        <w:tabs>
          <w:tab w:val="right" w:pos="850"/>
          <w:tab w:val="left" w:pos="1134"/>
          <w:tab w:val="left" w:pos="1559"/>
          <w:tab w:val="left" w:pos="1984"/>
          <w:tab w:val="left" w:leader="dot" w:pos="8929"/>
          <w:tab w:val="right" w:pos="9638"/>
        </w:tabs>
        <w:spacing w:after="120"/>
      </w:pPr>
      <w:r w:rsidRPr="00933567">
        <w:br w:type="page"/>
      </w:r>
    </w:p>
    <w:p w:rsidR="00D80F06" w:rsidRPr="002D6CAB" w:rsidRDefault="006943F8" w:rsidP="00027EE8">
      <w:pPr>
        <w:pStyle w:val="HChG"/>
      </w:pPr>
      <w:r>
        <w:lastRenderedPageBreak/>
        <w:tab/>
      </w:r>
      <w:r>
        <w:tab/>
      </w:r>
      <w:r w:rsidRPr="002D6CAB">
        <w:t>Acronymes</w:t>
      </w:r>
    </w:p>
    <w:p w:rsidR="00D80F06" w:rsidRPr="006943F8" w:rsidRDefault="00D80F06" w:rsidP="00027EE8">
      <w:pPr>
        <w:pStyle w:val="SingleTxtG"/>
      </w:pPr>
      <w:r w:rsidRPr="006943F8">
        <w:t>AEP</w:t>
      </w:r>
      <w:r w:rsidRPr="006943F8">
        <w:tab/>
      </w:r>
      <w:r w:rsidR="0059287D">
        <w:tab/>
      </w:r>
      <w:r w:rsidRPr="006943F8">
        <w:t>Adduction d</w:t>
      </w:r>
      <w:r w:rsidR="00A24C87" w:rsidRPr="006943F8">
        <w:t>’</w:t>
      </w:r>
      <w:r w:rsidRPr="006943F8">
        <w:t>eau potable</w:t>
      </w:r>
    </w:p>
    <w:p w:rsidR="00D80F06" w:rsidRPr="006943F8" w:rsidRDefault="00D80F06" w:rsidP="00027EE8">
      <w:pPr>
        <w:pStyle w:val="SingleTxtG"/>
      </w:pPr>
      <w:r w:rsidRPr="006943F8">
        <w:t>ANRPTS</w:t>
      </w:r>
      <w:r w:rsidRPr="006943F8">
        <w:tab/>
        <w:t xml:space="preserve">Agence Nationale du Registre des Populations et des Titres Sécurisés </w:t>
      </w:r>
    </w:p>
    <w:p w:rsidR="00D80F06" w:rsidRPr="006943F8" w:rsidRDefault="00D80F06" w:rsidP="00027EE8">
      <w:pPr>
        <w:pStyle w:val="SingleTxtG"/>
      </w:pPr>
      <w:r w:rsidRPr="006943F8">
        <w:t>APT</w:t>
      </w:r>
      <w:r w:rsidRPr="006943F8">
        <w:tab/>
      </w:r>
      <w:r w:rsidR="0059287D">
        <w:tab/>
      </w:r>
      <w:r w:rsidRPr="006943F8">
        <w:t xml:space="preserve">Association prévention de la torture </w:t>
      </w:r>
    </w:p>
    <w:p w:rsidR="00D80F06" w:rsidRPr="006943F8" w:rsidRDefault="00D80F06" w:rsidP="00027EE8">
      <w:pPr>
        <w:pStyle w:val="SingleTxtG"/>
      </w:pPr>
      <w:r w:rsidRPr="006943F8">
        <w:t>CAC</w:t>
      </w:r>
      <w:r w:rsidRPr="006943F8">
        <w:tab/>
      </w:r>
      <w:r w:rsidR="0059287D">
        <w:tab/>
      </w:r>
      <w:r w:rsidRPr="006943F8">
        <w:t>Centre d</w:t>
      </w:r>
      <w:r w:rsidR="00A24C87" w:rsidRPr="006943F8">
        <w:t>’</w:t>
      </w:r>
      <w:r w:rsidRPr="006943F8">
        <w:t>accueil des citoyens</w:t>
      </w:r>
    </w:p>
    <w:p w:rsidR="00D80F06" w:rsidRPr="006943F8" w:rsidRDefault="00D80F06" w:rsidP="00027EE8">
      <w:pPr>
        <w:pStyle w:val="SingleTxtG"/>
      </w:pPr>
      <w:r w:rsidRPr="006943F8">
        <w:t>CSW</w:t>
      </w:r>
      <w:r w:rsidRPr="006943F8">
        <w:tab/>
      </w:r>
      <w:r w:rsidR="0059287D">
        <w:tab/>
      </w:r>
      <w:r w:rsidRPr="006943F8">
        <w:t>Commission sur la condition de la femme</w:t>
      </w:r>
    </w:p>
    <w:p w:rsidR="00D80F06" w:rsidRPr="006943F8" w:rsidRDefault="00D80F06" w:rsidP="00027EE8">
      <w:pPr>
        <w:pStyle w:val="SingleTxtG"/>
      </w:pPr>
      <w:r w:rsidRPr="006943F8">
        <w:t>ENAJM</w:t>
      </w:r>
      <w:r w:rsidRPr="006943F8">
        <w:tab/>
      </w:r>
      <w:proofErr w:type="spellStart"/>
      <w:r w:rsidRPr="006943F8">
        <w:t>Ecole</w:t>
      </w:r>
      <w:proofErr w:type="spellEnd"/>
      <w:r w:rsidRPr="006943F8">
        <w:t xml:space="preserve"> nationale d</w:t>
      </w:r>
      <w:r w:rsidR="00A24C87" w:rsidRPr="006943F8">
        <w:t>’</w:t>
      </w:r>
      <w:r w:rsidRPr="006943F8">
        <w:t>administration de journalisme et de magistrature</w:t>
      </w:r>
    </w:p>
    <w:p w:rsidR="00D80F06" w:rsidRPr="006943F8" w:rsidRDefault="00D80F06" w:rsidP="00027EE8">
      <w:pPr>
        <w:pStyle w:val="SingleTxtG"/>
      </w:pPr>
      <w:r w:rsidRPr="006943F8">
        <w:t>EPU</w:t>
      </w:r>
      <w:r w:rsidRPr="006943F8">
        <w:tab/>
      </w:r>
      <w:r w:rsidR="0059287D">
        <w:tab/>
      </w:r>
      <w:r w:rsidRPr="006943F8">
        <w:t>Examen périodique universel</w:t>
      </w:r>
    </w:p>
    <w:p w:rsidR="00D80F06" w:rsidRPr="006943F8" w:rsidRDefault="00D80F06" w:rsidP="00027EE8">
      <w:pPr>
        <w:pStyle w:val="SingleTxtG"/>
      </w:pPr>
      <w:r w:rsidRPr="006943F8">
        <w:t>FTP</w:t>
      </w:r>
      <w:r w:rsidRPr="006943F8">
        <w:tab/>
      </w:r>
      <w:r w:rsidR="0059287D">
        <w:tab/>
      </w:r>
      <w:r w:rsidRPr="006943F8">
        <w:t>Formation technique et professionnelle</w:t>
      </w:r>
    </w:p>
    <w:p w:rsidR="00D80F06" w:rsidRPr="006943F8" w:rsidRDefault="00D80F06" w:rsidP="00027EE8">
      <w:pPr>
        <w:pStyle w:val="SingleTxtG"/>
      </w:pPr>
      <w:r w:rsidRPr="006943F8">
        <w:t>HAPA</w:t>
      </w:r>
      <w:r w:rsidRPr="006943F8">
        <w:tab/>
      </w:r>
      <w:r w:rsidR="0059287D">
        <w:tab/>
      </w:r>
      <w:r w:rsidRPr="006943F8">
        <w:t>Haute autorité de régulation de l</w:t>
      </w:r>
      <w:r w:rsidR="00A24C87" w:rsidRPr="006943F8">
        <w:t>’</w:t>
      </w:r>
      <w:r w:rsidRPr="006943F8">
        <w:t>audiovisuel</w:t>
      </w:r>
    </w:p>
    <w:p w:rsidR="00D80F06" w:rsidRPr="006943F8" w:rsidRDefault="00D80F06" w:rsidP="00027EE8">
      <w:pPr>
        <w:pStyle w:val="SingleTxtG"/>
      </w:pPr>
      <w:r w:rsidRPr="006943F8">
        <w:t>HCR</w:t>
      </w:r>
      <w:r w:rsidRPr="006943F8">
        <w:tab/>
      </w:r>
      <w:r w:rsidR="0059287D">
        <w:tab/>
      </w:r>
      <w:r w:rsidRPr="006943F8">
        <w:t>Haut-</w:t>
      </w:r>
      <w:r w:rsidR="0063743A" w:rsidRPr="006943F8">
        <w:t xml:space="preserve">Commissariat </w:t>
      </w:r>
      <w:r w:rsidRPr="006943F8">
        <w:t xml:space="preserve">des Nations </w:t>
      </w:r>
      <w:r w:rsidR="0063743A" w:rsidRPr="006943F8">
        <w:t xml:space="preserve">Unies </w:t>
      </w:r>
      <w:r w:rsidRPr="006943F8">
        <w:t>pour les réfugiés</w:t>
      </w:r>
    </w:p>
    <w:p w:rsidR="00D80F06" w:rsidRPr="006943F8" w:rsidRDefault="00D80F06" w:rsidP="00027EE8">
      <w:pPr>
        <w:pStyle w:val="SingleTxtG"/>
      </w:pPr>
      <w:r w:rsidRPr="006943F8">
        <w:t>INDH</w:t>
      </w:r>
      <w:r w:rsidRPr="006943F8">
        <w:tab/>
      </w:r>
      <w:r w:rsidR="0059287D">
        <w:tab/>
      </w:r>
      <w:r w:rsidRPr="006943F8">
        <w:t>Institution nationale des droits de l</w:t>
      </w:r>
      <w:r w:rsidR="00A24C87" w:rsidRPr="006943F8">
        <w:t>’</w:t>
      </w:r>
      <w:r w:rsidRPr="006943F8">
        <w:t>homme</w:t>
      </w:r>
    </w:p>
    <w:p w:rsidR="00D80F06" w:rsidRPr="006943F8" w:rsidRDefault="00D80F06" w:rsidP="00027EE8">
      <w:pPr>
        <w:pStyle w:val="SingleTxtG"/>
      </w:pPr>
      <w:r w:rsidRPr="006943F8">
        <w:t>MASEF</w:t>
      </w:r>
      <w:r w:rsidRPr="006943F8">
        <w:tab/>
      </w:r>
      <w:r w:rsidR="0063743A" w:rsidRPr="006943F8">
        <w:t xml:space="preserve">Ministère </w:t>
      </w:r>
      <w:r w:rsidRPr="006943F8">
        <w:t>des affaires sociales de l</w:t>
      </w:r>
      <w:r w:rsidR="00A24C87" w:rsidRPr="006943F8">
        <w:t>’</w:t>
      </w:r>
      <w:r w:rsidR="00C202CA">
        <w:t>enfance et de la f</w:t>
      </w:r>
      <w:r w:rsidRPr="006943F8">
        <w:t>amille</w:t>
      </w:r>
    </w:p>
    <w:p w:rsidR="00D80F06" w:rsidRPr="006943F8" w:rsidRDefault="00D80F06" w:rsidP="00027EE8">
      <w:pPr>
        <w:pStyle w:val="SingleTxtG"/>
      </w:pPr>
      <w:r w:rsidRPr="006943F8">
        <w:t>MGF</w:t>
      </w:r>
      <w:r w:rsidRPr="006943F8">
        <w:tab/>
      </w:r>
      <w:r w:rsidR="0059287D">
        <w:tab/>
      </w:r>
      <w:r w:rsidRPr="006943F8">
        <w:t>Mutilation génitale féminine</w:t>
      </w:r>
    </w:p>
    <w:p w:rsidR="00D80F06" w:rsidRPr="006943F8" w:rsidRDefault="00D80F06" w:rsidP="00027EE8">
      <w:pPr>
        <w:pStyle w:val="SingleTxtG"/>
      </w:pPr>
      <w:r w:rsidRPr="006943F8">
        <w:t>NV</w:t>
      </w:r>
      <w:r w:rsidRPr="006943F8">
        <w:tab/>
      </w:r>
      <w:r w:rsidR="0059287D">
        <w:tab/>
      </w:r>
      <w:r w:rsidRPr="006943F8">
        <w:t>Naissance vivante</w:t>
      </w:r>
    </w:p>
    <w:p w:rsidR="00D80F06" w:rsidRPr="006943F8" w:rsidRDefault="00D80F06" w:rsidP="00027EE8">
      <w:pPr>
        <w:pStyle w:val="SingleTxtG"/>
      </w:pPr>
      <w:r w:rsidRPr="006943F8">
        <w:t>OIT</w:t>
      </w:r>
      <w:r w:rsidRPr="006943F8">
        <w:tab/>
      </w:r>
      <w:r w:rsidR="0059287D">
        <w:tab/>
      </w:r>
      <w:r w:rsidRPr="006943F8">
        <w:t xml:space="preserve">Organisation internationale du </w:t>
      </w:r>
      <w:r w:rsidR="00C202CA" w:rsidRPr="006943F8">
        <w:t>Travail</w:t>
      </w:r>
    </w:p>
    <w:p w:rsidR="00D80F06" w:rsidRPr="006943F8" w:rsidRDefault="00D80F06" w:rsidP="00027EE8">
      <w:pPr>
        <w:pStyle w:val="SingleTxtG"/>
      </w:pPr>
      <w:r w:rsidRPr="006943F8">
        <w:t>ONG</w:t>
      </w:r>
      <w:r w:rsidRPr="006943F8">
        <w:tab/>
      </w:r>
      <w:r w:rsidR="0059287D">
        <w:tab/>
      </w:r>
      <w:r w:rsidRPr="006943F8">
        <w:t>Organisation non gouvernementale</w:t>
      </w:r>
    </w:p>
    <w:p w:rsidR="00D80F06" w:rsidRPr="006943F8" w:rsidRDefault="00D80F06" w:rsidP="00027EE8">
      <w:pPr>
        <w:pStyle w:val="SingleTxtG"/>
      </w:pPr>
      <w:r w:rsidRPr="006943F8">
        <w:t>OSC</w:t>
      </w:r>
      <w:r w:rsidRPr="006943F8">
        <w:tab/>
      </w:r>
      <w:r w:rsidR="0059287D">
        <w:tab/>
      </w:r>
      <w:r w:rsidRPr="006943F8">
        <w:t xml:space="preserve">Organisation de la société civile </w:t>
      </w:r>
    </w:p>
    <w:p w:rsidR="00D80F06" w:rsidRPr="006943F8" w:rsidRDefault="00D80F06" w:rsidP="00027EE8">
      <w:pPr>
        <w:pStyle w:val="SingleTxtG"/>
      </w:pPr>
      <w:r w:rsidRPr="006943F8">
        <w:t>UA</w:t>
      </w:r>
      <w:r w:rsidRPr="006943F8">
        <w:tab/>
      </w:r>
      <w:r w:rsidR="0059287D">
        <w:tab/>
      </w:r>
      <w:r w:rsidRPr="006943F8">
        <w:t>Union Africaine</w:t>
      </w:r>
    </w:p>
    <w:p w:rsidR="00D80F06" w:rsidRPr="006943F8" w:rsidRDefault="00D80F06" w:rsidP="00027EE8">
      <w:pPr>
        <w:pStyle w:val="SingleTxtG"/>
      </w:pPr>
      <w:r w:rsidRPr="006943F8">
        <w:t>PNUD</w:t>
      </w:r>
      <w:r w:rsidRPr="006943F8">
        <w:tab/>
      </w:r>
      <w:r w:rsidR="0059287D">
        <w:tab/>
      </w:r>
      <w:r w:rsidRPr="006943F8">
        <w:t>Programme des Nations Unies pour le développement</w:t>
      </w:r>
    </w:p>
    <w:p w:rsidR="00D80F06" w:rsidRPr="006943F8" w:rsidRDefault="00D80F06" w:rsidP="00027EE8">
      <w:pPr>
        <w:pStyle w:val="SingleTxtG"/>
      </w:pPr>
      <w:r w:rsidRPr="006943F8">
        <w:t>RANVEC</w:t>
      </w:r>
      <w:r w:rsidRPr="006943F8">
        <w:tab/>
        <w:t>Recensement Administratif National à Vocation d</w:t>
      </w:r>
      <w:r w:rsidR="00A24C87" w:rsidRPr="006943F8">
        <w:t>’</w:t>
      </w:r>
      <w:r w:rsidR="00B253B0">
        <w:t>État</w:t>
      </w:r>
      <w:r w:rsidRPr="006943F8">
        <w:t xml:space="preserve"> Civil </w:t>
      </w:r>
    </w:p>
    <w:p w:rsidR="00D80F06" w:rsidRPr="006943F8" w:rsidRDefault="00D80F06" w:rsidP="00027EE8">
      <w:pPr>
        <w:pStyle w:val="SingleTxtG"/>
      </w:pPr>
      <w:r w:rsidRPr="006943F8">
        <w:t>RGPH</w:t>
      </w:r>
      <w:r w:rsidRPr="006943F8">
        <w:tab/>
      </w:r>
      <w:r w:rsidR="0059287D">
        <w:tab/>
      </w:r>
      <w:r w:rsidRPr="006943F8">
        <w:t>Recensement général de la population et de l</w:t>
      </w:r>
      <w:r w:rsidR="00A24C87" w:rsidRPr="006943F8">
        <w:t>’</w:t>
      </w:r>
      <w:r w:rsidRPr="006943F8">
        <w:t>habitat</w:t>
      </w:r>
    </w:p>
    <w:p w:rsidR="00D80F06" w:rsidRPr="006943F8" w:rsidRDefault="00D80F06" w:rsidP="00027EE8">
      <w:pPr>
        <w:pStyle w:val="SingleTxtG"/>
      </w:pPr>
      <w:r w:rsidRPr="006943F8">
        <w:t>RESEN</w:t>
      </w:r>
      <w:r w:rsidRPr="006943F8">
        <w:tab/>
        <w:t>Statistique de l</w:t>
      </w:r>
      <w:r w:rsidR="00A24C87" w:rsidRPr="006943F8">
        <w:t>’</w:t>
      </w:r>
      <w:r w:rsidRPr="006943F8">
        <w:t>éducation nationale</w:t>
      </w:r>
    </w:p>
    <w:p w:rsidR="00D80F06" w:rsidRPr="006943F8" w:rsidRDefault="00D80F06" w:rsidP="00027EE8">
      <w:pPr>
        <w:pStyle w:val="SingleTxtG"/>
      </w:pPr>
      <w:r w:rsidRPr="006943F8">
        <w:t>SCAPP</w:t>
      </w:r>
      <w:r w:rsidRPr="006943F8">
        <w:tab/>
        <w:t>Stratégie de croissance accélérée et de prospérité partagée</w:t>
      </w:r>
    </w:p>
    <w:p w:rsidR="00D80F06" w:rsidRPr="006943F8" w:rsidRDefault="00D80F06" w:rsidP="00027EE8">
      <w:pPr>
        <w:pStyle w:val="SingleTxtG"/>
      </w:pPr>
      <w:r w:rsidRPr="006943F8">
        <w:t>SOPS</w:t>
      </w:r>
      <w:r w:rsidRPr="006943F8">
        <w:tab/>
      </w:r>
      <w:r w:rsidR="0059287D">
        <w:tab/>
      </w:r>
      <w:r w:rsidRPr="006943F8">
        <w:t>Procédures opérationnelles standards contre les violences</w:t>
      </w:r>
    </w:p>
    <w:p w:rsidR="00D80F06" w:rsidRPr="006943F8" w:rsidRDefault="00D80F06" w:rsidP="00027EE8">
      <w:pPr>
        <w:pStyle w:val="SingleTxtG"/>
      </w:pPr>
      <w:r w:rsidRPr="006943F8">
        <w:t>UA</w:t>
      </w:r>
      <w:r w:rsidRPr="006943F8">
        <w:tab/>
      </w:r>
      <w:r w:rsidR="0059287D">
        <w:tab/>
      </w:r>
      <w:r w:rsidRPr="006943F8">
        <w:t>Union africaine</w:t>
      </w:r>
    </w:p>
    <w:p w:rsidR="00D80F06" w:rsidRPr="006943F8" w:rsidRDefault="00D80F06" w:rsidP="00027EE8">
      <w:pPr>
        <w:pStyle w:val="SingleTxtG"/>
      </w:pPr>
      <w:r w:rsidRPr="006943F8">
        <w:t>UNICEF</w:t>
      </w:r>
      <w:r w:rsidRPr="006943F8">
        <w:tab/>
        <w:t xml:space="preserve">Fond des </w:t>
      </w:r>
      <w:r w:rsidR="00C202CA" w:rsidRPr="006943F8">
        <w:t xml:space="preserve">Nations Unies </w:t>
      </w:r>
      <w:r w:rsidRPr="006943F8">
        <w:t>pour l</w:t>
      </w:r>
      <w:r w:rsidR="00A24C87" w:rsidRPr="006943F8">
        <w:t>’</w:t>
      </w:r>
      <w:r w:rsidRPr="006943F8">
        <w:t>enfance</w:t>
      </w:r>
    </w:p>
    <w:p w:rsidR="00D80F06" w:rsidRPr="006943F8" w:rsidRDefault="00D80F06" w:rsidP="00027EE8">
      <w:pPr>
        <w:pStyle w:val="SingleTxtG"/>
      </w:pPr>
      <w:r w:rsidRPr="006943F8">
        <w:t>TBS</w:t>
      </w:r>
      <w:r w:rsidRPr="006943F8">
        <w:tab/>
      </w:r>
      <w:r w:rsidR="0059287D">
        <w:tab/>
      </w:r>
      <w:r w:rsidRPr="006943F8">
        <w:t>Taux Brut de scolarisation</w:t>
      </w:r>
    </w:p>
    <w:p w:rsidR="00D80F06" w:rsidRPr="006943F8" w:rsidRDefault="00D80F06" w:rsidP="00027EE8">
      <w:pPr>
        <w:pStyle w:val="SingleTxtG"/>
      </w:pPr>
      <w:r w:rsidRPr="006943F8">
        <w:t>TVM</w:t>
      </w:r>
      <w:r w:rsidRPr="006943F8">
        <w:tab/>
      </w:r>
      <w:r w:rsidR="0059287D">
        <w:tab/>
      </w:r>
      <w:r w:rsidRPr="006943F8">
        <w:t>Télévision de Mauritanie</w:t>
      </w:r>
    </w:p>
    <w:p w:rsidR="00D80F06" w:rsidRPr="006943F8" w:rsidRDefault="00D80F06" w:rsidP="00027EE8">
      <w:pPr>
        <w:pStyle w:val="SingleTxtG"/>
      </w:pPr>
      <w:r w:rsidRPr="006943F8">
        <w:t>ZEP</w:t>
      </w:r>
      <w:r w:rsidRPr="006943F8">
        <w:tab/>
      </w:r>
      <w:r w:rsidR="0059287D">
        <w:tab/>
      </w:r>
      <w:r w:rsidRPr="006943F8">
        <w:t>Zone d</w:t>
      </w:r>
      <w:r w:rsidR="00A24C87" w:rsidRPr="006943F8">
        <w:t>’</w:t>
      </w:r>
      <w:proofErr w:type="spellStart"/>
      <w:r w:rsidRPr="006943F8">
        <w:t>Education</w:t>
      </w:r>
      <w:proofErr w:type="spellEnd"/>
      <w:r w:rsidRPr="006943F8">
        <w:t xml:space="preserve"> Prioritaire</w:t>
      </w:r>
    </w:p>
    <w:p w:rsidR="00D80F06" w:rsidRDefault="00D80F06" w:rsidP="00D80F06">
      <w:pPr>
        <w:suppressAutoHyphens w:val="0"/>
        <w:spacing w:line="240" w:lineRule="auto"/>
      </w:pPr>
      <w:r>
        <w:br w:type="page"/>
      </w:r>
    </w:p>
    <w:p w:rsidR="00D80F06" w:rsidRPr="002D6CAB" w:rsidRDefault="00D94138" w:rsidP="00D94138">
      <w:pPr>
        <w:pStyle w:val="HChG"/>
        <w:rPr>
          <w:lang w:val="fr-FR"/>
        </w:rPr>
      </w:pPr>
      <w:bookmarkStart w:id="1" w:name="_Toc498901308"/>
      <w:r>
        <w:lastRenderedPageBreak/>
        <w:tab/>
      </w:r>
      <w:r>
        <w:tab/>
      </w:r>
      <w:r w:rsidR="00D80F06" w:rsidRPr="00D94138">
        <w:t>Introduction</w:t>
      </w:r>
      <w:bookmarkEnd w:id="1"/>
    </w:p>
    <w:p w:rsidR="00D80F06" w:rsidRPr="00027EE8" w:rsidRDefault="00C87B7B" w:rsidP="00C87B7B">
      <w:pPr>
        <w:pStyle w:val="SingleTxtG"/>
      </w:pPr>
      <w:r w:rsidRPr="00027EE8">
        <w:t>1.</w:t>
      </w:r>
      <w:r w:rsidRPr="00027EE8">
        <w:tab/>
      </w:r>
      <w:r w:rsidR="00D80F06" w:rsidRPr="00F015AC">
        <w:rPr>
          <w:lang w:val="fr-FR"/>
        </w:rPr>
        <w:t>La République Islamiq</w:t>
      </w:r>
      <w:r w:rsidR="00FB29A2">
        <w:rPr>
          <w:lang w:val="fr-FR"/>
        </w:rPr>
        <w:t>ue de Mauritanie a adhéré le 17 </w:t>
      </w:r>
      <w:r w:rsidR="00D80F06" w:rsidRPr="00F015AC">
        <w:rPr>
          <w:lang w:val="fr-FR"/>
        </w:rPr>
        <w:t xml:space="preserve">novembre 2004 au Pacte international relatif aux droits civils et politiques et a présenté au Comité des </w:t>
      </w:r>
      <w:r w:rsidR="00462A09">
        <w:rPr>
          <w:lang w:val="fr-FR"/>
        </w:rPr>
        <w:t>d</w:t>
      </w:r>
      <w:r w:rsidR="00D80F06" w:rsidRPr="00F015AC">
        <w:rPr>
          <w:lang w:val="fr-FR"/>
        </w:rPr>
        <w:t>roits de l</w:t>
      </w:r>
      <w:r w:rsidR="00A24C87">
        <w:rPr>
          <w:lang w:val="fr-FR"/>
        </w:rPr>
        <w:t>’</w:t>
      </w:r>
      <w:r w:rsidR="00462A09">
        <w:rPr>
          <w:lang w:val="fr-FR"/>
        </w:rPr>
        <w:t>h</w:t>
      </w:r>
      <w:r w:rsidR="00D80F06" w:rsidRPr="00F015AC">
        <w:rPr>
          <w:lang w:val="fr-FR"/>
        </w:rPr>
        <w:t>omme son rapport initial (CCPR/C/MRT/1) à ses 3018</w:t>
      </w:r>
      <w:r w:rsidR="00D80F06" w:rsidRPr="00FB29A2">
        <w:rPr>
          <w:vertAlign w:val="superscript"/>
          <w:lang w:val="fr-FR"/>
        </w:rPr>
        <w:t>e</w:t>
      </w:r>
      <w:r w:rsidR="00D80F06" w:rsidRPr="00F015AC">
        <w:rPr>
          <w:lang w:val="fr-FR"/>
        </w:rPr>
        <w:t xml:space="preserve"> et 3019</w:t>
      </w:r>
      <w:r w:rsidR="00D80F06" w:rsidRPr="00FB29A2">
        <w:rPr>
          <w:vertAlign w:val="superscript"/>
          <w:lang w:val="fr-FR"/>
        </w:rPr>
        <w:t>e</w:t>
      </w:r>
      <w:r w:rsidR="00D80F06" w:rsidRPr="00F015AC">
        <w:rPr>
          <w:lang w:val="fr-FR"/>
        </w:rPr>
        <w:t> séances (CCPR/C</w:t>
      </w:r>
      <w:r w:rsidR="00FB29A2">
        <w:rPr>
          <w:lang w:val="fr-FR"/>
        </w:rPr>
        <w:t>/SR.3018 et 3019), les 21 et 22 </w:t>
      </w:r>
      <w:r w:rsidR="00D80F06" w:rsidRPr="00F015AC">
        <w:rPr>
          <w:lang w:val="fr-FR"/>
        </w:rPr>
        <w:t xml:space="preserve">octobre 2013. </w:t>
      </w:r>
    </w:p>
    <w:p w:rsidR="00D80F06" w:rsidRPr="00F015AC" w:rsidRDefault="00C87B7B" w:rsidP="00C87B7B">
      <w:pPr>
        <w:pStyle w:val="SingleTxtG"/>
        <w:rPr>
          <w:lang w:val="fr-FR"/>
        </w:rPr>
      </w:pPr>
      <w:r w:rsidRPr="00F015AC">
        <w:rPr>
          <w:lang w:val="fr-FR"/>
        </w:rPr>
        <w:t>2.</w:t>
      </w:r>
      <w:r w:rsidRPr="00F015AC">
        <w:rPr>
          <w:lang w:val="fr-FR"/>
        </w:rPr>
        <w:tab/>
      </w:r>
      <w:r w:rsidR="00D80F06" w:rsidRPr="00F015AC">
        <w:rPr>
          <w:lang w:val="fr-FR"/>
        </w:rPr>
        <w:t>Pays musulman, arabe et africain, la Mauritanie demeure profondément attachée à l</w:t>
      </w:r>
      <w:r w:rsidR="00A24C87">
        <w:rPr>
          <w:lang w:val="fr-FR"/>
        </w:rPr>
        <w:t>’</w:t>
      </w:r>
      <w:r w:rsidR="00D80F06" w:rsidRPr="00F015AC">
        <w:rPr>
          <w:lang w:val="fr-FR"/>
        </w:rPr>
        <w:t>esprit et à la lettre du pacte international relatif aux droits civils et politiques auquel</w:t>
      </w:r>
      <w:r w:rsidR="00D80F06">
        <w:rPr>
          <w:lang w:val="fr-FR"/>
        </w:rPr>
        <w:t xml:space="preserve"> elle a pleinement </w:t>
      </w:r>
      <w:r w:rsidR="00D80F06" w:rsidRPr="00F015AC">
        <w:rPr>
          <w:lang w:val="fr-FR"/>
        </w:rPr>
        <w:t xml:space="preserve">adhéré. </w:t>
      </w:r>
    </w:p>
    <w:p w:rsidR="00D80F06" w:rsidRPr="00F015AC" w:rsidRDefault="00C87B7B" w:rsidP="00C87B7B">
      <w:pPr>
        <w:pStyle w:val="SingleTxtG"/>
        <w:rPr>
          <w:lang w:val="fr-FR"/>
        </w:rPr>
      </w:pPr>
      <w:r w:rsidRPr="00F015AC">
        <w:rPr>
          <w:lang w:val="fr-FR"/>
        </w:rPr>
        <w:t>3.</w:t>
      </w:r>
      <w:r w:rsidRPr="00F015AC">
        <w:rPr>
          <w:lang w:val="fr-FR"/>
        </w:rPr>
        <w:tab/>
      </w:r>
      <w:r w:rsidR="00D80F06" w:rsidRPr="00F015AC">
        <w:rPr>
          <w:lang w:val="fr-FR"/>
        </w:rPr>
        <w:t>Le présent rapport périodique présenté en vertu des dispositions de l</w:t>
      </w:r>
      <w:r w:rsidR="00A24C87">
        <w:rPr>
          <w:lang w:val="fr-FR"/>
        </w:rPr>
        <w:t>’</w:t>
      </w:r>
      <w:r w:rsidR="00D80F06" w:rsidRPr="00F015AC">
        <w:rPr>
          <w:lang w:val="fr-FR"/>
        </w:rPr>
        <w:t xml:space="preserve">article 40 du Pacte international relatif aux droits civils et politiques est établi </w:t>
      </w:r>
      <w:r w:rsidR="00D80F06">
        <w:rPr>
          <w:lang w:val="fr-FR"/>
        </w:rPr>
        <w:t xml:space="preserve">conformément aux directives du </w:t>
      </w:r>
      <w:r w:rsidR="00462A09" w:rsidRPr="00F015AC">
        <w:rPr>
          <w:lang w:val="fr-FR"/>
        </w:rPr>
        <w:t xml:space="preserve">Comité </w:t>
      </w:r>
      <w:r w:rsidR="00D80F06" w:rsidRPr="00F015AC">
        <w:rPr>
          <w:lang w:val="fr-FR"/>
        </w:rPr>
        <w:t xml:space="preserve">des </w:t>
      </w:r>
      <w:r w:rsidR="00462A09">
        <w:rPr>
          <w:lang w:val="fr-FR"/>
        </w:rPr>
        <w:t>d</w:t>
      </w:r>
      <w:r w:rsidR="00D80F06" w:rsidRPr="00F015AC">
        <w:rPr>
          <w:lang w:val="fr-FR"/>
        </w:rPr>
        <w:t>roits de l</w:t>
      </w:r>
      <w:r w:rsidR="00A24C87">
        <w:rPr>
          <w:lang w:val="fr-FR"/>
        </w:rPr>
        <w:t>’</w:t>
      </w:r>
      <w:r w:rsidR="00D80F06" w:rsidRPr="00F015AC">
        <w:rPr>
          <w:lang w:val="fr-FR"/>
        </w:rPr>
        <w:t xml:space="preserve">homme relatives à la présentation des rapports. </w:t>
      </w:r>
    </w:p>
    <w:p w:rsidR="00D80F06" w:rsidRPr="00F015AC" w:rsidRDefault="00C87B7B" w:rsidP="00C87B7B">
      <w:pPr>
        <w:pStyle w:val="SingleTxtG"/>
        <w:rPr>
          <w:lang w:val="fr-FR"/>
        </w:rPr>
      </w:pPr>
      <w:r w:rsidRPr="00F015AC">
        <w:rPr>
          <w:lang w:val="fr-FR"/>
        </w:rPr>
        <w:t>4.</w:t>
      </w:r>
      <w:r w:rsidRPr="00F015AC">
        <w:rPr>
          <w:lang w:val="fr-FR"/>
        </w:rPr>
        <w:tab/>
      </w:r>
      <w:r w:rsidR="00D80F06" w:rsidRPr="00F015AC">
        <w:rPr>
          <w:lang w:val="fr-FR"/>
        </w:rPr>
        <w:t>Ce rapport aborde, dans une première partie le cadre général de présentation du pays (Document de Base Commun), et dans une seconde partie la suite donnée aux recommandations du Comité ainsi que la mise en œuvre des dispositions du Pacte.</w:t>
      </w:r>
    </w:p>
    <w:p w:rsidR="00D80F06" w:rsidRDefault="00C87B7B" w:rsidP="00C87B7B">
      <w:pPr>
        <w:pStyle w:val="SingleTxtG"/>
        <w:rPr>
          <w:lang w:val="fr-FR"/>
        </w:rPr>
      </w:pPr>
      <w:r>
        <w:rPr>
          <w:lang w:val="fr-FR"/>
        </w:rPr>
        <w:t>5.</w:t>
      </w:r>
      <w:r>
        <w:rPr>
          <w:lang w:val="fr-FR"/>
        </w:rPr>
        <w:tab/>
      </w:r>
      <w:r w:rsidR="00D80F06" w:rsidRPr="00F015AC">
        <w:rPr>
          <w:lang w:val="fr-FR"/>
        </w:rPr>
        <w:t>Sa soumission témoigne de l</w:t>
      </w:r>
      <w:r w:rsidR="00A24C87">
        <w:rPr>
          <w:lang w:val="fr-FR"/>
        </w:rPr>
        <w:t>’</w:t>
      </w:r>
      <w:r w:rsidR="00D80F06" w:rsidRPr="00F015AC">
        <w:rPr>
          <w:lang w:val="fr-FR"/>
        </w:rPr>
        <w:t>attachement de la Mauritanie à s</w:t>
      </w:r>
      <w:r w:rsidR="00A24C87">
        <w:rPr>
          <w:lang w:val="fr-FR"/>
        </w:rPr>
        <w:t>’</w:t>
      </w:r>
      <w:r w:rsidR="00D80F06" w:rsidRPr="00F015AC">
        <w:rPr>
          <w:lang w:val="fr-FR"/>
        </w:rPr>
        <w:t>acquitter de ses engagements conventionnels en matière des droits de l</w:t>
      </w:r>
      <w:r w:rsidR="00A24C87">
        <w:rPr>
          <w:lang w:val="fr-FR"/>
        </w:rPr>
        <w:t>’</w:t>
      </w:r>
      <w:r w:rsidR="00D80F06" w:rsidRPr="00F015AC">
        <w:rPr>
          <w:lang w:val="fr-FR"/>
        </w:rPr>
        <w:t>homme et sa détermination à mettre en œuvre les dispositions de cet instr</w:t>
      </w:r>
      <w:r w:rsidR="00313FA3">
        <w:rPr>
          <w:lang w:val="fr-FR"/>
        </w:rPr>
        <w:t>ument juridique international.</w:t>
      </w:r>
    </w:p>
    <w:p w:rsidR="00D80F06" w:rsidRPr="00F015AC" w:rsidRDefault="00C87B7B" w:rsidP="00C87B7B">
      <w:pPr>
        <w:pStyle w:val="SingleTxtG"/>
        <w:rPr>
          <w:lang w:val="fr-FR"/>
        </w:rPr>
      </w:pPr>
      <w:r w:rsidRPr="00F015AC">
        <w:rPr>
          <w:lang w:val="fr-FR"/>
        </w:rPr>
        <w:t>6.</w:t>
      </w:r>
      <w:r w:rsidRPr="00F015AC">
        <w:rPr>
          <w:lang w:val="fr-FR"/>
        </w:rPr>
        <w:tab/>
      </w:r>
      <w:r w:rsidR="00D80F06" w:rsidRPr="00F015AC">
        <w:rPr>
          <w:lang w:val="fr-FR"/>
        </w:rPr>
        <w:t>Le Gouvernement mauritanien tient à rassurer le Comité, à cette occasion, de son entière disponibilité à engager avec lui un dialogue constructif et continu sur la mise en œuvre des dispositions du Pacte.</w:t>
      </w:r>
    </w:p>
    <w:p w:rsidR="00D80F06" w:rsidRPr="002D6CAB" w:rsidRDefault="00C87B7B" w:rsidP="00C87B7B">
      <w:pPr>
        <w:pStyle w:val="SingleTxtG"/>
        <w:rPr>
          <w:lang w:val="fr-FR"/>
        </w:rPr>
      </w:pPr>
      <w:r w:rsidRPr="002D6CAB">
        <w:rPr>
          <w:lang w:val="fr-FR"/>
        </w:rPr>
        <w:t>7.</w:t>
      </w:r>
      <w:r w:rsidRPr="002D6CAB">
        <w:rPr>
          <w:lang w:val="fr-FR"/>
        </w:rPr>
        <w:tab/>
      </w:r>
      <w:r w:rsidR="00D80F06" w:rsidRPr="00F015AC">
        <w:rPr>
          <w:lang w:val="fr-FR"/>
        </w:rPr>
        <w:t>Il réitère par la même occasion son engagement à œuvrer pour le respect, la promotion et la protection des droits de l</w:t>
      </w:r>
      <w:r w:rsidR="00A24C87">
        <w:rPr>
          <w:lang w:val="fr-FR"/>
        </w:rPr>
        <w:t>’</w:t>
      </w:r>
      <w:r w:rsidR="00D80F06" w:rsidRPr="00F015AC">
        <w:rPr>
          <w:lang w:val="fr-FR"/>
        </w:rPr>
        <w:t>homme en général, y compris ceux relatifs aux droits civils et politiques.</w:t>
      </w:r>
    </w:p>
    <w:p w:rsidR="00D80F06" w:rsidRPr="00AB5977" w:rsidRDefault="00D94138" w:rsidP="00027EE8">
      <w:pPr>
        <w:pStyle w:val="HChG"/>
      </w:pPr>
      <w:bookmarkStart w:id="2" w:name="_Toc498901309"/>
      <w:r>
        <w:tab/>
      </w:r>
      <w:r w:rsidR="00B7582D">
        <w:tab/>
      </w:r>
      <w:r w:rsidR="00D80F06" w:rsidRPr="002D6CAB">
        <w:t>Partie I</w:t>
      </w:r>
      <w:r w:rsidR="00D80F06">
        <w:t>.</w:t>
      </w:r>
      <w:r w:rsidR="00B7582D">
        <w:t> </w:t>
      </w:r>
      <w:r w:rsidR="00D80F06" w:rsidRPr="00F015AC">
        <w:rPr>
          <w:lang w:val="fr-FR"/>
        </w:rPr>
        <w:t>Présentation</w:t>
      </w:r>
      <w:r w:rsidR="00D80F06" w:rsidRPr="002D6CAB">
        <w:t xml:space="preserve"> générale</w:t>
      </w:r>
      <w:bookmarkEnd w:id="2"/>
      <w:r w:rsidR="00D80F06" w:rsidRPr="002D6CAB">
        <w:t xml:space="preserve"> </w:t>
      </w:r>
      <w:r w:rsidR="004053DE">
        <w:t xml:space="preserve">– </w:t>
      </w:r>
      <w:r w:rsidR="004053DE" w:rsidRPr="002D6CAB">
        <w:t>Données générales</w:t>
      </w:r>
    </w:p>
    <w:p w:rsidR="00D80F06" w:rsidRPr="002D6CAB" w:rsidRDefault="00D94138" w:rsidP="00027EE8">
      <w:pPr>
        <w:pStyle w:val="H1G"/>
      </w:pPr>
      <w:bookmarkStart w:id="3" w:name="_Toc454388696"/>
      <w:bookmarkStart w:id="4" w:name="_Toc453672856"/>
      <w:bookmarkStart w:id="5" w:name="_Toc455360509"/>
      <w:bookmarkStart w:id="6" w:name="_Toc455364112"/>
      <w:bookmarkStart w:id="7" w:name="_Toc498901311"/>
      <w:r>
        <w:tab/>
      </w:r>
      <w:r w:rsidR="004053DE">
        <w:t>A</w:t>
      </w:r>
      <w:r>
        <w:t>.</w:t>
      </w:r>
      <w:r>
        <w:tab/>
      </w:r>
      <w:r w:rsidR="00D80F06" w:rsidRPr="002D6CAB">
        <w:t>Caractéristiques démographiques et socioéconomiques</w:t>
      </w:r>
      <w:bookmarkEnd w:id="3"/>
      <w:bookmarkEnd w:id="4"/>
      <w:bookmarkEnd w:id="5"/>
      <w:bookmarkEnd w:id="6"/>
      <w:bookmarkEnd w:id="7"/>
    </w:p>
    <w:p w:rsidR="00D80F06" w:rsidRPr="002D6CAB" w:rsidRDefault="00D94138" w:rsidP="00D94138">
      <w:pPr>
        <w:pStyle w:val="H23G"/>
      </w:pPr>
      <w:bookmarkStart w:id="8" w:name="_Toc453672857"/>
      <w:bookmarkStart w:id="9" w:name="_Toc455364113"/>
      <w:bookmarkStart w:id="10" w:name="_Toc498901312"/>
      <w:r>
        <w:tab/>
      </w:r>
      <w:r w:rsidR="00D80F06" w:rsidRPr="002D6CAB">
        <w:t>1</w:t>
      </w:r>
      <w:r w:rsidR="00D80F06">
        <w:t>.</w:t>
      </w:r>
      <w:r>
        <w:tab/>
      </w:r>
      <w:r w:rsidR="00D80F06" w:rsidRPr="002D6CAB">
        <w:t>Données démographiques</w:t>
      </w:r>
      <w:bookmarkEnd w:id="8"/>
      <w:bookmarkEnd w:id="9"/>
      <w:bookmarkEnd w:id="10"/>
      <w:r w:rsidR="00D80F06" w:rsidRPr="002D6CAB">
        <w:t xml:space="preserve"> </w:t>
      </w:r>
    </w:p>
    <w:p w:rsidR="00D80F06" w:rsidRPr="002D6CAB" w:rsidRDefault="00C87B7B" w:rsidP="00C87B7B">
      <w:pPr>
        <w:pStyle w:val="SingleTxtG"/>
        <w:rPr>
          <w:lang w:val="fr-FR"/>
        </w:rPr>
      </w:pPr>
      <w:r w:rsidRPr="002D6CAB">
        <w:rPr>
          <w:lang w:val="fr-FR"/>
        </w:rPr>
        <w:t>8.</w:t>
      </w:r>
      <w:r w:rsidRPr="002D6CAB">
        <w:rPr>
          <w:lang w:val="fr-FR"/>
        </w:rPr>
        <w:tab/>
      </w:r>
      <w:r w:rsidR="00D80F06" w:rsidRPr="002D6CAB">
        <w:rPr>
          <w:lang w:val="fr-FR"/>
        </w:rPr>
        <w:t xml:space="preserve">La Mauritanie est un pays </w:t>
      </w:r>
      <w:proofErr w:type="spellStart"/>
      <w:r w:rsidR="00D80F06" w:rsidRPr="002D6CAB">
        <w:rPr>
          <w:lang w:val="fr-FR"/>
        </w:rPr>
        <w:t>multiethnique</w:t>
      </w:r>
      <w:proofErr w:type="spellEnd"/>
      <w:r w:rsidR="00D80F06" w:rsidRPr="002D6CAB">
        <w:rPr>
          <w:lang w:val="fr-FR"/>
        </w:rPr>
        <w:t xml:space="preserve"> et multiculturel. Sa population est à majorité arabe. Elle compte des minorités </w:t>
      </w:r>
      <w:proofErr w:type="spellStart"/>
      <w:r w:rsidR="00D80F06" w:rsidRPr="002D6CAB">
        <w:rPr>
          <w:lang w:val="fr-FR"/>
        </w:rPr>
        <w:t>pulaars</w:t>
      </w:r>
      <w:proofErr w:type="spellEnd"/>
      <w:r w:rsidR="00D80F06" w:rsidRPr="002D6CAB">
        <w:rPr>
          <w:lang w:val="fr-FR"/>
        </w:rPr>
        <w:t xml:space="preserve">, soninkés et </w:t>
      </w:r>
      <w:r w:rsidR="00D80F06" w:rsidRPr="00F73658">
        <w:rPr>
          <w:lang w:val="fr-FR"/>
        </w:rPr>
        <w:t>wolofs</w:t>
      </w:r>
      <w:r w:rsidR="00313FA3">
        <w:rPr>
          <w:lang w:val="fr-FR"/>
        </w:rPr>
        <w:t>. Sa population s</w:t>
      </w:r>
      <w:r w:rsidR="00A24C87">
        <w:rPr>
          <w:lang w:val="fr-FR"/>
        </w:rPr>
        <w:t>’</w:t>
      </w:r>
      <w:r w:rsidR="00313FA3">
        <w:rPr>
          <w:lang w:val="fr-FR"/>
        </w:rPr>
        <w:t>élève à 3 537 </w:t>
      </w:r>
      <w:r w:rsidR="00D80F06" w:rsidRPr="002D6CAB">
        <w:rPr>
          <w:lang w:val="fr-FR"/>
        </w:rPr>
        <w:t>628 habitants (RGPH 2013) dont 27,1</w:t>
      </w:r>
      <w:r w:rsidR="005E177F">
        <w:rPr>
          <w:lang w:val="fr-FR"/>
        </w:rPr>
        <w:t> </w:t>
      </w:r>
      <w:r w:rsidR="00D80F06" w:rsidRPr="002D6CAB">
        <w:rPr>
          <w:lang w:val="fr-FR"/>
        </w:rPr>
        <w:t>% résident à Nouakchott, capitale du pays</w:t>
      </w:r>
      <w:r w:rsidR="00D80F06" w:rsidRPr="00027EE8">
        <w:rPr>
          <w:rStyle w:val="Appelnotedebasdep"/>
        </w:rPr>
        <w:footnoteReference w:id="3"/>
      </w:r>
      <w:r w:rsidR="00D80F06" w:rsidRPr="002D6CAB">
        <w:rPr>
          <w:lang w:val="fr-FR"/>
        </w:rPr>
        <w:t>.</w:t>
      </w:r>
    </w:p>
    <w:p w:rsidR="00D80F06" w:rsidRPr="007C6114" w:rsidRDefault="004053DE" w:rsidP="00027EE8">
      <w:pPr>
        <w:pStyle w:val="H23G"/>
      </w:pPr>
      <w:bookmarkStart w:id="11" w:name="_Toc498901313"/>
      <w:r>
        <w:tab/>
      </w:r>
      <w:r>
        <w:tab/>
      </w:r>
      <w:r w:rsidR="00D80F06" w:rsidRPr="004053DE">
        <w:rPr>
          <w:b w:val="0"/>
        </w:rPr>
        <w:t>Tableau n</w:t>
      </w:r>
      <w:r w:rsidR="006702FE" w:rsidRPr="00027EE8">
        <w:rPr>
          <w:b w:val="0"/>
          <w:vertAlign w:val="superscript"/>
        </w:rPr>
        <w:t>o</w:t>
      </w:r>
      <w:r w:rsidR="006702FE">
        <w:rPr>
          <w:b w:val="0"/>
        </w:rPr>
        <w:t> </w:t>
      </w:r>
      <w:r w:rsidR="00D80F06" w:rsidRPr="004053DE">
        <w:rPr>
          <w:b w:val="0"/>
        </w:rPr>
        <w:t>1</w:t>
      </w:r>
      <w:r>
        <w:br/>
      </w:r>
      <w:r w:rsidR="00D80F06" w:rsidRPr="007C6114">
        <w:t>Répartition de la population totale, selon le sexe et le groupe d</w:t>
      </w:r>
      <w:r w:rsidR="00A24C87">
        <w:t>’</w:t>
      </w:r>
      <w:r w:rsidR="00D80F06" w:rsidRPr="007C6114">
        <w:t>âge</w:t>
      </w:r>
      <w:bookmarkEnd w:id="11"/>
    </w:p>
    <w:tbl>
      <w:tblPr>
        <w:tblW w:w="0" w:type="auto"/>
        <w:tblInd w:w="1134" w:type="dxa"/>
        <w:tblLayout w:type="fixed"/>
        <w:tblCellMar>
          <w:left w:w="0" w:type="dxa"/>
          <w:right w:w="0" w:type="dxa"/>
        </w:tblCellMar>
        <w:tblLook w:val="04A0" w:firstRow="1" w:lastRow="0" w:firstColumn="1" w:lastColumn="0" w:noHBand="0" w:noVBand="1"/>
      </w:tblPr>
      <w:tblGrid>
        <w:gridCol w:w="1134"/>
        <w:gridCol w:w="737"/>
        <w:gridCol w:w="737"/>
        <w:gridCol w:w="737"/>
        <w:gridCol w:w="737"/>
        <w:gridCol w:w="737"/>
        <w:gridCol w:w="737"/>
        <w:gridCol w:w="737"/>
        <w:gridCol w:w="737"/>
        <w:gridCol w:w="737"/>
        <w:gridCol w:w="737"/>
      </w:tblGrid>
      <w:tr w:rsidR="00201435" w:rsidRPr="004053DE" w:rsidTr="00027EE8">
        <w:trPr>
          <w:tblHeader/>
        </w:trPr>
        <w:tc>
          <w:tcPr>
            <w:tcW w:w="1134" w:type="dxa"/>
            <w:vMerge w:val="restart"/>
            <w:tcBorders>
              <w:top w:val="single" w:sz="4" w:space="0" w:color="auto"/>
            </w:tcBorders>
            <w:shd w:val="clear" w:color="auto" w:fill="auto"/>
            <w:vAlign w:val="bottom"/>
          </w:tcPr>
          <w:p w:rsidR="00201435" w:rsidRPr="00027EE8" w:rsidRDefault="00201435" w:rsidP="00027EE8">
            <w:pPr>
              <w:spacing w:before="80" w:after="80" w:line="200" w:lineRule="exact"/>
              <w:rPr>
                <w:i/>
                <w:sz w:val="16"/>
              </w:rPr>
            </w:pPr>
            <w:r w:rsidRPr="00B7582D">
              <w:rPr>
                <w:i/>
                <w:sz w:val="16"/>
                <w:szCs w:val="16"/>
              </w:rPr>
              <w:t>Groupe d’âge</w:t>
            </w:r>
          </w:p>
        </w:tc>
        <w:tc>
          <w:tcPr>
            <w:tcW w:w="737" w:type="dxa"/>
            <w:tcBorders>
              <w:top w:val="single" w:sz="4" w:space="0" w:color="auto"/>
              <w:bottom w:val="single" w:sz="4" w:space="0" w:color="auto"/>
              <w:right w:val="single" w:sz="24" w:space="0" w:color="FFFFFF" w:themeColor="background1"/>
            </w:tcBorders>
            <w:shd w:val="clear" w:color="auto" w:fill="auto"/>
            <w:vAlign w:val="bottom"/>
          </w:tcPr>
          <w:p w:rsidR="00201435" w:rsidRPr="00027EE8" w:rsidRDefault="00201435" w:rsidP="00027EE8">
            <w:pPr>
              <w:suppressAutoHyphens w:val="0"/>
              <w:spacing w:before="80" w:after="80" w:line="200" w:lineRule="exact"/>
              <w:jc w:val="right"/>
              <w:rPr>
                <w:i/>
                <w:sz w:val="16"/>
              </w:rPr>
            </w:pPr>
            <w:r w:rsidRPr="00027EE8">
              <w:rPr>
                <w:i/>
                <w:sz w:val="16"/>
              </w:rPr>
              <w:t>1977</w:t>
            </w:r>
          </w:p>
        </w:tc>
        <w:tc>
          <w:tcPr>
            <w:tcW w:w="221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201435" w:rsidRPr="00027EE8" w:rsidRDefault="00201435" w:rsidP="00027EE8">
            <w:pPr>
              <w:suppressAutoHyphens w:val="0"/>
              <w:spacing w:before="80" w:after="80" w:line="200" w:lineRule="exact"/>
              <w:jc w:val="center"/>
              <w:rPr>
                <w:i/>
                <w:sz w:val="16"/>
              </w:rPr>
            </w:pPr>
            <w:r w:rsidRPr="00027EE8">
              <w:rPr>
                <w:i/>
                <w:sz w:val="16"/>
              </w:rPr>
              <w:t>1988</w:t>
            </w:r>
          </w:p>
        </w:tc>
        <w:tc>
          <w:tcPr>
            <w:tcW w:w="221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01435" w:rsidRPr="00027EE8" w:rsidRDefault="00201435" w:rsidP="00027EE8">
            <w:pPr>
              <w:suppressAutoHyphens w:val="0"/>
              <w:spacing w:before="80" w:after="80" w:line="200" w:lineRule="exact"/>
              <w:jc w:val="center"/>
              <w:rPr>
                <w:i/>
                <w:sz w:val="16"/>
              </w:rPr>
            </w:pPr>
            <w:r w:rsidRPr="00027EE8">
              <w:rPr>
                <w:i/>
                <w:sz w:val="16"/>
              </w:rPr>
              <w:t>2000</w:t>
            </w:r>
          </w:p>
        </w:tc>
        <w:tc>
          <w:tcPr>
            <w:tcW w:w="2211" w:type="dxa"/>
            <w:gridSpan w:val="3"/>
            <w:tcBorders>
              <w:top w:val="single" w:sz="4" w:space="0" w:color="auto"/>
              <w:left w:val="single" w:sz="24" w:space="0" w:color="FFFFFF" w:themeColor="background1"/>
              <w:bottom w:val="single" w:sz="4" w:space="0" w:color="auto"/>
            </w:tcBorders>
            <w:shd w:val="clear" w:color="auto" w:fill="auto"/>
            <w:vAlign w:val="bottom"/>
          </w:tcPr>
          <w:p w:rsidR="00201435" w:rsidRPr="00027EE8" w:rsidRDefault="00201435" w:rsidP="00027EE8">
            <w:pPr>
              <w:suppressAutoHyphens w:val="0"/>
              <w:spacing w:before="80" w:after="80" w:line="200" w:lineRule="exact"/>
              <w:jc w:val="center"/>
              <w:rPr>
                <w:i/>
                <w:sz w:val="16"/>
              </w:rPr>
            </w:pPr>
            <w:r w:rsidRPr="00027EE8">
              <w:rPr>
                <w:i/>
                <w:sz w:val="16"/>
              </w:rPr>
              <w:t>2013</w:t>
            </w:r>
          </w:p>
        </w:tc>
      </w:tr>
      <w:tr w:rsidR="004053DE" w:rsidRPr="004053DE" w:rsidTr="00027EE8">
        <w:trPr>
          <w:tblHeader/>
        </w:trPr>
        <w:tc>
          <w:tcPr>
            <w:tcW w:w="1134" w:type="dxa"/>
            <w:vMerge/>
            <w:tcBorders>
              <w:bottom w:val="single" w:sz="12" w:space="0" w:color="auto"/>
            </w:tcBorders>
            <w:shd w:val="clear" w:color="auto" w:fill="auto"/>
          </w:tcPr>
          <w:p w:rsidR="004053DE" w:rsidRPr="00027EE8" w:rsidRDefault="004053DE" w:rsidP="00027EE8">
            <w:pPr>
              <w:suppressAutoHyphens w:val="0"/>
              <w:spacing w:before="80" w:after="80" w:line="200" w:lineRule="exact"/>
              <w:rPr>
                <w:i/>
                <w:sz w:val="16"/>
                <w:szCs w:val="16"/>
              </w:rPr>
            </w:pPr>
          </w:p>
        </w:tc>
        <w:tc>
          <w:tcPr>
            <w:tcW w:w="737" w:type="dxa"/>
            <w:tcBorders>
              <w:top w:val="single" w:sz="4" w:space="0" w:color="auto"/>
              <w:bottom w:val="single" w:sz="12" w:space="0" w:color="auto"/>
              <w:right w:val="single" w:sz="24" w:space="0" w:color="FFFFFF" w:themeColor="background1"/>
            </w:tcBorders>
            <w:shd w:val="clear" w:color="auto" w:fill="auto"/>
            <w:vAlign w:val="bottom"/>
          </w:tcPr>
          <w:p w:rsidR="004053DE" w:rsidRPr="00027EE8" w:rsidRDefault="004053DE" w:rsidP="00027EE8">
            <w:pPr>
              <w:suppressAutoHyphens w:val="0"/>
              <w:spacing w:before="80" w:after="80" w:line="200" w:lineRule="exact"/>
              <w:jc w:val="right"/>
              <w:rPr>
                <w:i/>
                <w:sz w:val="16"/>
                <w:szCs w:val="16"/>
              </w:rPr>
            </w:pPr>
            <w:r w:rsidRPr="00027EE8">
              <w:rPr>
                <w:i/>
                <w:sz w:val="16"/>
                <w:szCs w:val="16"/>
              </w:rPr>
              <w:t>Ensemble</w:t>
            </w:r>
          </w:p>
        </w:tc>
        <w:tc>
          <w:tcPr>
            <w:tcW w:w="737" w:type="dxa"/>
            <w:tcBorders>
              <w:top w:val="single" w:sz="4" w:space="0" w:color="auto"/>
              <w:left w:val="single" w:sz="24" w:space="0" w:color="FFFFFF" w:themeColor="background1"/>
              <w:bottom w:val="single" w:sz="12" w:space="0" w:color="auto"/>
            </w:tcBorders>
            <w:shd w:val="clear" w:color="auto" w:fill="auto"/>
            <w:noWrap/>
            <w:vAlign w:val="bottom"/>
          </w:tcPr>
          <w:p w:rsidR="004053DE" w:rsidRPr="00027EE8" w:rsidRDefault="004053DE" w:rsidP="00027EE8">
            <w:pPr>
              <w:suppressAutoHyphens w:val="0"/>
              <w:spacing w:before="80" w:after="80" w:line="200" w:lineRule="exact"/>
              <w:jc w:val="right"/>
              <w:rPr>
                <w:i/>
                <w:sz w:val="16"/>
                <w:szCs w:val="16"/>
              </w:rPr>
            </w:pPr>
            <w:r w:rsidRPr="00027EE8">
              <w:rPr>
                <w:i/>
                <w:sz w:val="16"/>
                <w:szCs w:val="16"/>
              </w:rPr>
              <w:t>Masculin</w:t>
            </w:r>
          </w:p>
        </w:tc>
        <w:tc>
          <w:tcPr>
            <w:tcW w:w="737" w:type="dxa"/>
            <w:tcBorders>
              <w:top w:val="single" w:sz="4" w:space="0" w:color="auto"/>
              <w:bottom w:val="single" w:sz="12" w:space="0" w:color="auto"/>
            </w:tcBorders>
            <w:shd w:val="clear" w:color="auto" w:fill="auto"/>
            <w:noWrap/>
            <w:vAlign w:val="bottom"/>
          </w:tcPr>
          <w:p w:rsidR="004053DE" w:rsidRPr="00027EE8" w:rsidRDefault="004053DE" w:rsidP="00027EE8">
            <w:pPr>
              <w:suppressAutoHyphens w:val="0"/>
              <w:spacing w:before="80" w:after="80" w:line="200" w:lineRule="exact"/>
              <w:jc w:val="right"/>
              <w:rPr>
                <w:i/>
                <w:sz w:val="16"/>
                <w:szCs w:val="16"/>
              </w:rPr>
            </w:pPr>
            <w:r w:rsidRPr="00027EE8">
              <w:rPr>
                <w:i/>
                <w:sz w:val="16"/>
                <w:szCs w:val="16"/>
              </w:rPr>
              <w:t>Féminin</w:t>
            </w:r>
          </w:p>
        </w:tc>
        <w:tc>
          <w:tcPr>
            <w:tcW w:w="737" w:type="dxa"/>
            <w:tcBorders>
              <w:top w:val="single" w:sz="4" w:space="0" w:color="auto"/>
              <w:bottom w:val="single" w:sz="12" w:space="0" w:color="auto"/>
              <w:right w:val="single" w:sz="24" w:space="0" w:color="FFFFFF" w:themeColor="background1"/>
            </w:tcBorders>
            <w:shd w:val="clear" w:color="auto" w:fill="auto"/>
            <w:noWrap/>
            <w:vAlign w:val="bottom"/>
          </w:tcPr>
          <w:p w:rsidR="004053DE" w:rsidRPr="00027EE8" w:rsidRDefault="004053DE" w:rsidP="00027EE8">
            <w:pPr>
              <w:suppressAutoHyphens w:val="0"/>
              <w:spacing w:before="80" w:after="80" w:line="200" w:lineRule="exact"/>
              <w:jc w:val="right"/>
              <w:rPr>
                <w:i/>
                <w:sz w:val="16"/>
                <w:szCs w:val="16"/>
              </w:rPr>
            </w:pPr>
            <w:r w:rsidRPr="00027EE8">
              <w:rPr>
                <w:i/>
                <w:sz w:val="16"/>
                <w:szCs w:val="16"/>
              </w:rPr>
              <w:t>Ensemble</w:t>
            </w:r>
          </w:p>
        </w:tc>
        <w:tc>
          <w:tcPr>
            <w:tcW w:w="737" w:type="dxa"/>
            <w:tcBorders>
              <w:top w:val="single" w:sz="4" w:space="0" w:color="auto"/>
              <w:left w:val="single" w:sz="24" w:space="0" w:color="FFFFFF" w:themeColor="background1"/>
              <w:bottom w:val="single" w:sz="12" w:space="0" w:color="auto"/>
            </w:tcBorders>
            <w:shd w:val="clear" w:color="auto" w:fill="auto"/>
            <w:vAlign w:val="bottom"/>
          </w:tcPr>
          <w:p w:rsidR="004053DE" w:rsidRPr="00027EE8" w:rsidRDefault="004053DE" w:rsidP="00027EE8">
            <w:pPr>
              <w:suppressAutoHyphens w:val="0"/>
              <w:spacing w:before="80" w:after="80" w:line="200" w:lineRule="exact"/>
              <w:jc w:val="right"/>
              <w:rPr>
                <w:i/>
                <w:sz w:val="16"/>
                <w:szCs w:val="16"/>
              </w:rPr>
            </w:pPr>
            <w:r w:rsidRPr="00027EE8">
              <w:rPr>
                <w:i/>
                <w:sz w:val="16"/>
                <w:szCs w:val="16"/>
              </w:rPr>
              <w:t>Masculin</w:t>
            </w:r>
          </w:p>
        </w:tc>
        <w:tc>
          <w:tcPr>
            <w:tcW w:w="737" w:type="dxa"/>
            <w:tcBorders>
              <w:top w:val="single" w:sz="4" w:space="0" w:color="auto"/>
              <w:bottom w:val="single" w:sz="12" w:space="0" w:color="auto"/>
            </w:tcBorders>
            <w:shd w:val="clear" w:color="auto" w:fill="auto"/>
            <w:vAlign w:val="bottom"/>
          </w:tcPr>
          <w:p w:rsidR="004053DE" w:rsidRPr="00027EE8" w:rsidRDefault="004053DE" w:rsidP="00027EE8">
            <w:pPr>
              <w:suppressAutoHyphens w:val="0"/>
              <w:spacing w:before="80" w:after="80" w:line="200" w:lineRule="exact"/>
              <w:jc w:val="right"/>
              <w:rPr>
                <w:i/>
                <w:sz w:val="16"/>
                <w:szCs w:val="16"/>
              </w:rPr>
            </w:pPr>
            <w:r w:rsidRPr="00027EE8">
              <w:rPr>
                <w:i/>
                <w:sz w:val="16"/>
                <w:szCs w:val="16"/>
              </w:rPr>
              <w:t>Féminin</w:t>
            </w:r>
          </w:p>
        </w:tc>
        <w:tc>
          <w:tcPr>
            <w:tcW w:w="737" w:type="dxa"/>
            <w:tcBorders>
              <w:top w:val="single" w:sz="4" w:space="0" w:color="auto"/>
              <w:bottom w:val="single" w:sz="12" w:space="0" w:color="auto"/>
              <w:right w:val="single" w:sz="24" w:space="0" w:color="FFFFFF" w:themeColor="background1"/>
            </w:tcBorders>
            <w:shd w:val="clear" w:color="auto" w:fill="auto"/>
            <w:vAlign w:val="bottom"/>
          </w:tcPr>
          <w:p w:rsidR="004053DE" w:rsidRPr="00027EE8" w:rsidRDefault="004053DE" w:rsidP="00027EE8">
            <w:pPr>
              <w:suppressAutoHyphens w:val="0"/>
              <w:spacing w:before="80" w:after="80" w:line="200" w:lineRule="exact"/>
              <w:jc w:val="right"/>
              <w:rPr>
                <w:i/>
                <w:sz w:val="16"/>
                <w:szCs w:val="16"/>
              </w:rPr>
            </w:pPr>
            <w:r w:rsidRPr="00027EE8">
              <w:rPr>
                <w:i/>
                <w:sz w:val="16"/>
                <w:szCs w:val="16"/>
              </w:rPr>
              <w:t>Ensemble</w:t>
            </w:r>
          </w:p>
        </w:tc>
        <w:tc>
          <w:tcPr>
            <w:tcW w:w="737" w:type="dxa"/>
            <w:tcBorders>
              <w:top w:val="single" w:sz="4" w:space="0" w:color="auto"/>
              <w:left w:val="single" w:sz="24" w:space="0" w:color="FFFFFF" w:themeColor="background1"/>
              <w:bottom w:val="single" w:sz="12" w:space="0" w:color="auto"/>
            </w:tcBorders>
            <w:shd w:val="clear" w:color="auto" w:fill="auto"/>
            <w:vAlign w:val="bottom"/>
          </w:tcPr>
          <w:p w:rsidR="004053DE" w:rsidRPr="00027EE8" w:rsidRDefault="004053DE" w:rsidP="00027EE8">
            <w:pPr>
              <w:suppressAutoHyphens w:val="0"/>
              <w:spacing w:before="80" w:after="80" w:line="200" w:lineRule="exact"/>
              <w:jc w:val="right"/>
              <w:rPr>
                <w:i/>
                <w:sz w:val="16"/>
                <w:szCs w:val="16"/>
              </w:rPr>
            </w:pPr>
            <w:r w:rsidRPr="00027EE8">
              <w:rPr>
                <w:i/>
                <w:sz w:val="16"/>
                <w:szCs w:val="16"/>
              </w:rPr>
              <w:t>Masculin</w:t>
            </w:r>
          </w:p>
        </w:tc>
        <w:tc>
          <w:tcPr>
            <w:tcW w:w="737" w:type="dxa"/>
            <w:tcBorders>
              <w:top w:val="single" w:sz="4" w:space="0" w:color="auto"/>
              <w:bottom w:val="single" w:sz="12" w:space="0" w:color="auto"/>
            </w:tcBorders>
            <w:shd w:val="clear" w:color="auto" w:fill="auto"/>
            <w:vAlign w:val="bottom"/>
          </w:tcPr>
          <w:p w:rsidR="004053DE" w:rsidRPr="00027EE8" w:rsidRDefault="004053DE" w:rsidP="00027EE8">
            <w:pPr>
              <w:suppressAutoHyphens w:val="0"/>
              <w:spacing w:before="80" w:after="80" w:line="200" w:lineRule="exact"/>
              <w:jc w:val="right"/>
              <w:rPr>
                <w:i/>
                <w:sz w:val="16"/>
                <w:szCs w:val="16"/>
              </w:rPr>
            </w:pPr>
            <w:r w:rsidRPr="00027EE8">
              <w:rPr>
                <w:i/>
                <w:sz w:val="16"/>
                <w:szCs w:val="16"/>
              </w:rPr>
              <w:t>Féminin</w:t>
            </w:r>
          </w:p>
        </w:tc>
        <w:tc>
          <w:tcPr>
            <w:tcW w:w="737" w:type="dxa"/>
            <w:tcBorders>
              <w:top w:val="single" w:sz="4" w:space="0" w:color="auto"/>
              <w:bottom w:val="single" w:sz="12" w:space="0" w:color="auto"/>
            </w:tcBorders>
            <w:shd w:val="clear" w:color="auto" w:fill="auto"/>
            <w:vAlign w:val="bottom"/>
          </w:tcPr>
          <w:p w:rsidR="004053DE" w:rsidRPr="00027EE8" w:rsidRDefault="004053DE" w:rsidP="00027EE8">
            <w:pPr>
              <w:suppressAutoHyphens w:val="0"/>
              <w:spacing w:before="80" w:after="80" w:line="200" w:lineRule="exact"/>
              <w:jc w:val="right"/>
              <w:rPr>
                <w:i/>
                <w:sz w:val="16"/>
                <w:szCs w:val="16"/>
              </w:rPr>
            </w:pPr>
            <w:r w:rsidRPr="00027EE8">
              <w:rPr>
                <w:i/>
                <w:sz w:val="16"/>
                <w:szCs w:val="16"/>
              </w:rPr>
              <w:t>Ensemble</w:t>
            </w:r>
          </w:p>
        </w:tc>
      </w:tr>
      <w:tr w:rsidR="004053DE" w:rsidRPr="004053DE" w:rsidTr="00027EE8">
        <w:tc>
          <w:tcPr>
            <w:tcW w:w="1134" w:type="dxa"/>
            <w:tcBorders>
              <w:top w:val="single" w:sz="12" w:space="0" w:color="auto"/>
            </w:tcBorders>
            <w:shd w:val="clear" w:color="auto" w:fill="auto"/>
            <w:noWrap/>
            <w:hideMark/>
          </w:tcPr>
          <w:p w:rsidR="004053DE" w:rsidRPr="004053DE" w:rsidRDefault="004053DE">
            <w:pPr>
              <w:suppressAutoHyphens w:val="0"/>
              <w:spacing w:before="40" w:after="40" w:line="220" w:lineRule="exact"/>
              <w:rPr>
                <w:sz w:val="18"/>
              </w:rPr>
            </w:pPr>
            <w:r w:rsidRPr="004053DE">
              <w:rPr>
                <w:sz w:val="18"/>
              </w:rPr>
              <w:t>00–04</w:t>
            </w:r>
          </w:p>
        </w:tc>
        <w:tc>
          <w:tcPr>
            <w:tcW w:w="737" w:type="dxa"/>
            <w:tcBorders>
              <w:top w:val="single" w:sz="12" w:space="0" w:color="auto"/>
            </w:tcBorders>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216</w:t>
            </w:r>
            <w:r w:rsidR="00353E3D">
              <w:rPr>
                <w:sz w:val="18"/>
              </w:rPr>
              <w:t xml:space="preserve"> </w:t>
            </w:r>
            <w:r w:rsidRPr="004053DE">
              <w:rPr>
                <w:sz w:val="18"/>
              </w:rPr>
              <w:t>787</w:t>
            </w:r>
          </w:p>
        </w:tc>
        <w:tc>
          <w:tcPr>
            <w:tcW w:w="737" w:type="dxa"/>
            <w:tcBorders>
              <w:top w:val="single" w:sz="12" w:space="0" w:color="auto"/>
            </w:tcBorders>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154 808</w:t>
            </w:r>
          </w:p>
        </w:tc>
        <w:tc>
          <w:tcPr>
            <w:tcW w:w="737" w:type="dxa"/>
            <w:tcBorders>
              <w:top w:val="single" w:sz="12" w:space="0" w:color="auto"/>
            </w:tcBorders>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150 305</w:t>
            </w:r>
          </w:p>
        </w:tc>
        <w:tc>
          <w:tcPr>
            <w:tcW w:w="737" w:type="dxa"/>
            <w:tcBorders>
              <w:top w:val="single" w:sz="12" w:space="0" w:color="auto"/>
            </w:tcBorders>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305 113</w:t>
            </w:r>
          </w:p>
        </w:tc>
        <w:tc>
          <w:tcPr>
            <w:tcW w:w="737" w:type="dxa"/>
            <w:tcBorders>
              <w:top w:val="single" w:sz="12" w:space="0" w:color="auto"/>
            </w:tcBorders>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218</w:t>
            </w:r>
            <w:r w:rsidR="008D4F1E">
              <w:rPr>
                <w:sz w:val="18"/>
              </w:rPr>
              <w:t xml:space="preserve"> </w:t>
            </w:r>
            <w:r w:rsidRPr="004053DE">
              <w:rPr>
                <w:sz w:val="18"/>
              </w:rPr>
              <w:t>087</w:t>
            </w:r>
          </w:p>
        </w:tc>
        <w:tc>
          <w:tcPr>
            <w:tcW w:w="737" w:type="dxa"/>
            <w:tcBorders>
              <w:top w:val="single" w:sz="12" w:space="0" w:color="auto"/>
            </w:tcBorders>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208</w:t>
            </w:r>
            <w:r w:rsidR="00235D54">
              <w:rPr>
                <w:sz w:val="18"/>
              </w:rPr>
              <w:t xml:space="preserve"> </w:t>
            </w:r>
            <w:r w:rsidRPr="004053DE">
              <w:rPr>
                <w:sz w:val="18"/>
              </w:rPr>
              <w:t>370</w:t>
            </w:r>
          </w:p>
        </w:tc>
        <w:tc>
          <w:tcPr>
            <w:tcW w:w="737" w:type="dxa"/>
            <w:tcBorders>
              <w:top w:val="single" w:sz="12" w:space="0" w:color="auto"/>
            </w:tcBorders>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426</w:t>
            </w:r>
            <w:r w:rsidR="00836F86">
              <w:rPr>
                <w:sz w:val="18"/>
              </w:rPr>
              <w:t xml:space="preserve"> </w:t>
            </w:r>
            <w:r w:rsidRPr="004053DE">
              <w:rPr>
                <w:sz w:val="18"/>
              </w:rPr>
              <w:t>457</w:t>
            </w:r>
          </w:p>
        </w:tc>
        <w:tc>
          <w:tcPr>
            <w:tcW w:w="737" w:type="dxa"/>
            <w:tcBorders>
              <w:top w:val="single" w:sz="12" w:space="0" w:color="auto"/>
            </w:tcBorders>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316 217</w:t>
            </w:r>
          </w:p>
        </w:tc>
        <w:tc>
          <w:tcPr>
            <w:tcW w:w="737" w:type="dxa"/>
            <w:tcBorders>
              <w:top w:val="single" w:sz="12" w:space="0" w:color="auto"/>
            </w:tcBorders>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298 475</w:t>
            </w:r>
          </w:p>
        </w:tc>
        <w:tc>
          <w:tcPr>
            <w:tcW w:w="737" w:type="dxa"/>
            <w:tcBorders>
              <w:top w:val="single" w:sz="12" w:space="0" w:color="auto"/>
            </w:tcBorders>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614 692</w:t>
            </w:r>
          </w:p>
        </w:tc>
      </w:tr>
      <w:tr w:rsidR="004053DE" w:rsidRPr="004053DE" w:rsidTr="004053DE">
        <w:tc>
          <w:tcPr>
            <w:tcW w:w="1134" w:type="dxa"/>
            <w:shd w:val="clear" w:color="auto" w:fill="auto"/>
            <w:noWrap/>
            <w:hideMark/>
          </w:tcPr>
          <w:p w:rsidR="004053DE" w:rsidRPr="004053DE" w:rsidRDefault="004053DE">
            <w:pPr>
              <w:suppressAutoHyphens w:val="0"/>
              <w:spacing w:before="40" w:after="40" w:line="220" w:lineRule="exact"/>
              <w:rPr>
                <w:sz w:val="18"/>
              </w:rPr>
            </w:pPr>
            <w:r w:rsidRPr="004053DE">
              <w:rPr>
                <w:sz w:val="18"/>
              </w:rPr>
              <w:t>05-09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219</w:t>
            </w:r>
            <w:r w:rsidR="00353E3D">
              <w:rPr>
                <w:sz w:val="18"/>
              </w:rPr>
              <w:t xml:space="preserve"> </w:t>
            </w:r>
            <w:r w:rsidRPr="004053DE">
              <w:rPr>
                <w:sz w:val="18"/>
              </w:rPr>
              <w:t>206</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154 546</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144 263</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298 809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186</w:t>
            </w:r>
            <w:r w:rsidR="008D4F1E">
              <w:rPr>
                <w:sz w:val="18"/>
              </w:rPr>
              <w:t xml:space="preserve"> </w:t>
            </w:r>
            <w:r w:rsidRPr="004053DE">
              <w:rPr>
                <w:sz w:val="18"/>
              </w:rPr>
              <w:t>741</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175</w:t>
            </w:r>
            <w:r w:rsidR="00235D54">
              <w:rPr>
                <w:sz w:val="18"/>
              </w:rPr>
              <w:t xml:space="preserve"> </w:t>
            </w:r>
            <w:r w:rsidRPr="004053DE">
              <w:rPr>
                <w:sz w:val="18"/>
              </w:rPr>
              <w:t>736</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362</w:t>
            </w:r>
            <w:r w:rsidR="00836F86">
              <w:rPr>
                <w:sz w:val="18"/>
              </w:rPr>
              <w:t xml:space="preserve"> </w:t>
            </w:r>
            <w:r w:rsidRPr="004053DE">
              <w:rPr>
                <w:sz w:val="18"/>
              </w:rPr>
              <w:t>477</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263 263</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256 839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520 102</w:t>
            </w:r>
          </w:p>
        </w:tc>
      </w:tr>
      <w:tr w:rsidR="004053DE" w:rsidRPr="004053DE" w:rsidTr="004053DE">
        <w:tc>
          <w:tcPr>
            <w:tcW w:w="1134" w:type="dxa"/>
            <w:shd w:val="clear" w:color="auto" w:fill="auto"/>
            <w:noWrap/>
            <w:hideMark/>
          </w:tcPr>
          <w:p w:rsidR="004053DE" w:rsidRPr="004053DE" w:rsidRDefault="004053DE">
            <w:pPr>
              <w:suppressAutoHyphens w:val="0"/>
              <w:spacing w:before="40" w:after="40" w:line="220" w:lineRule="exact"/>
              <w:rPr>
                <w:sz w:val="18"/>
              </w:rPr>
            </w:pPr>
            <w:r w:rsidRPr="004053DE">
              <w:rPr>
                <w:sz w:val="18"/>
              </w:rPr>
              <w:t>10-14</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152</w:t>
            </w:r>
            <w:r w:rsidR="00353E3D">
              <w:rPr>
                <w:sz w:val="18"/>
              </w:rPr>
              <w:t xml:space="preserve"> </w:t>
            </w:r>
            <w:r w:rsidRPr="004053DE">
              <w:rPr>
                <w:sz w:val="18"/>
              </w:rPr>
              <w:t>665</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114 455</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104 288</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218 743</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154</w:t>
            </w:r>
            <w:r w:rsidR="008D4F1E">
              <w:rPr>
                <w:sz w:val="18"/>
              </w:rPr>
              <w:t xml:space="preserve"> </w:t>
            </w:r>
            <w:r w:rsidRPr="004053DE">
              <w:rPr>
                <w:sz w:val="18"/>
              </w:rPr>
              <w:t>508</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148</w:t>
            </w:r>
            <w:r w:rsidR="00235D54">
              <w:rPr>
                <w:sz w:val="18"/>
              </w:rPr>
              <w:t xml:space="preserve"> </w:t>
            </w:r>
            <w:r w:rsidRPr="004053DE">
              <w:rPr>
                <w:sz w:val="18"/>
              </w:rPr>
              <w:t>164</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302</w:t>
            </w:r>
            <w:r w:rsidR="00836F86">
              <w:rPr>
                <w:sz w:val="18"/>
              </w:rPr>
              <w:t xml:space="preserve"> </w:t>
            </w:r>
            <w:r w:rsidRPr="004053DE">
              <w:rPr>
                <w:sz w:val="18"/>
              </w:rPr>
              <w:t>672</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212 838</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216 667</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429 505</w:t>
            </w:r>
          </w:p>
        </w:tc>
      </w:tr>
      <w:tr w:rsidR="004053DE" w:rsidRPr="004053DE" w:rsidTr="004053DE">
        <w:tc>
          <w:tcPr>
            <w:tcW w:w="1134" w:type="dxa"/>
            <w:shd w:val="clear" w:color="auto" w:fill="auto"/>
            <w:noWrap/>
            <w:hideMark/>
          </w:tcPr>
          <w:p w:rsidR="004053DE" w:rsidRPr="004053DE" w:rsidRDefault="004053DE">
            <w:pPr>
              <w:suppressAutoHyphens w:val="0"/>
              <w:spacing w:before="40" w:after="40" w:line="220" w:lineRule="exact"/>
              <w:rPr>
                <w:sz w:val="18"/>
              </w:rPr>
            </w:pPr>
            <w:r w:rsidRPr="004053DE">
              <w:rPr>
                <w:sz w:val="18"/>
              </w:rPr>
              <w:t>15–19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138</w:t>
            </w:r>
            <w:r w:rsidR="00353E3D">
              <w:rPr>
                <w:sz w:val="18"/>
              </w:rPr>
              <w:t xml:space="preserve"> </w:t>
            </w:r>
            <w:r w:rsidRPr="004053DE">
              <w:rPr>
                <w:sz w:val="18"/>
              </w:rPr>
              <w:t>274</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92 683</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96 807</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189 490</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131</w:t>
            </w:r>
            <w:r w:rsidR="008D4F1E">
              <w:rPr>
                <w:sz w:val="18"/>
              </w:rPr>
              <w:t xml:space="preserve"> </w:t>
            </w:r>
            <w:r w:rsidRPr="004053DE">
              <w:rPr>
                <w:sz w:val="18"/>
              </w:rPr>
              <w:t>240</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138</w:t>
            </w:r>
            <w:r w:rsidR="00235D54">
              <w:rPr>
                <w:sz w:val="18"/>
              </w:rPr>
              <w:t xml:space="preserve"> </w:t>
            </w:r>
            <w:r w:rsidRPr="004053DE">
              <w:rPr>
                <w:sz w:val="18"/>
              </w:rPr>
              <w:t>512</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269</w:t>
            </w:r>
            <w:r w:rsidR="00836F86">
              <w:rPr>
                <w:sz w:val="18"/>
              </w:rPr>
              <w:t xml:space="preserve"> </w:t>
            </w:r>
            <w:r w:rsidRPr="004053DE">
              <w:rPr>
                <w:sz w:val="18"/>
              </w:rPr>
              <w:t>752</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176 116</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185 288</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361 404</w:t>
            </w:r>
          </w:p>
        </w:tc>
      </w:tr>
      <w:tr w:rsidR="004053DE" w:rsidRPr="004053DE" w:rsidTr="004053DE">
        <w:tc>
          <w:tcPr>
            <w:tcW w:w="1134" w:type="dxa"/>
            <w:shd w:val="clear" w:color="auto" w:fill="auto"/>
            <w:noWrap/>
            <w:hideMark/>
          </w:tcPr>
          <w:p w:rsidR="004053DE" w:rsidRPr="004053DE" w:rsidRDefault="004053DE">
            <w:pPr>
              <w:suppressAutoHyphens w:val="0"/>
              <w:spacing w:before="40" w:after="40" w:line="220" w:lineRule="exact"/>
              <w:rPr>
                <w:sz w:val="18"/>
              </w:rPr>
            </w:pPr>
            <w:r w:rsidRPr="004053DE">
              <w:rPr>
                <w:sz w:val="18"/>
              </w:rPr>
              <w:t>20– 4</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111</w:t>
            </w:r>
            <w:r w:rsidR="00353E3D">
              <w:rPr>
                <w:sz w:val="18"/>
              </w:rPr>
              <w:t xml:space="preserve"> </w:t>
            </w:r>
            <w:r w:rsidRPr="004053DE">
              <w:rPr>
                <w:sz w:val="18"/>
              </w:rPr>
              <w:t>318</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74 901</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86 562</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161 463</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100</w:t>
            </w:r>
            <w:r w:rsidR="008D4F1E">
              <w:rPr>
                <w:sz w:val="18"/>
              </w:rPr>
              <w:t xml:space="preserve"> </w:t>
            </w:r>
            <w:r w:rsidRPr="004053DE">
              <w:rPr>
                <w:sz w:val="18"/>
              </w:rPr>
              <w:t>667</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114</w:t>
            </w:r>
            <w:r w:rsidR="00235D54">
              <w:rPr>
                <w:sz w:val="18"/>
              </w:rPr>
              <w:t xml:space="preserve"> </w:t>
            </w:r>
            <w:r w:rsidRPr="004053DE">
              <w:rPr>
                <w:sz w:val="18"/>
              </w:rPr>
              <w:t>292</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214</w:t>
            </w:r>
            <w:r w:rsidR="00836F86">
              <w:rPr>
                <w:sz w:val="18"/>
              </w:rPr>
              <w:t xml:space="preserve"> </w:t>
            </w:r>
            <w:r w:rsidRPr="004053DE">
              <w:rPr>
                <w:sz w:val="18"/>
              </w:rPr>
              <w:t>959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144 478</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157 962</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302 440</w:t>
            </w:r>
          </w:p>
        </w:tc>
      </w:tr>
      <w:tr w:rsidR="004053DE" w:rsidRPr="004053DE" w:rsidTr="004053DE">
        <w:tc>
          <w:tcPr>
            <w:tcW w:w="1134" w:type="dxa"/>
            <w:shd w:val="clear" w:color="auto" w:fill="auto"/>
            <w:noWrap/>
            <w:hideMark/>
          </w:tcPr>
          <w:p w:rsidR="004053DE" w:rsidRPr="004053DE" w:rsidRDefault="004053DE">
            <w:pPr>
              <w:suppressAutoHyphens w:val="0"/>
              <w:spacing w:before="40" w:after="40" w:line="220" w:lineRule="exact"/>
              <w:rPr>
                <w:sz w:val="18"/>
              </w:rPr>
            </w:pPr>
            <w:r w:rsidRPr="004053DE">
              <w:rPr>
                <w:sz w:val="18"/>
              </w:rPr>
              <w:t>25–29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89</w:t>
            </w:r>
            <w:r w:rsidR="00353E3D">
              <w:rPr>
                <w:sz w:val="18"/>
              </w:rPr>
              <w:t xml:space="preserve"> </w:t>
            </w:r>
            <w:r w:rsidRPr="004053DE">
              <w:rPr>
                <w:sz w:val="18"/>
              </w:rPr>
              <w:t>029</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67 126</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77 870</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144 996</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86</w:t>
            </w:r>
            <w:r w:rsidR="008D4F1E">
              <w:rPr>
                <w:sz w:val="18"/>
              </w:rPr>
              <w:t xml:space="preserve"> </w:t>
            </w:r>
            <w:r w:rsidRPr="004053DE">
              <w:rPr>
                <w:sz w:val="18"/>
              </w:rPr>
              <w:t>990</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100</w:t>
            </w:r>
            <w:r w:rsidR="00235D54">
              <w:rPr>
                <w:sz w:val="18"/>
              </w:rPr>
              <w:t xml:space="preserve"> </w:t>
            </w:r>
            <w:r w:rsidRPr="004053DE">
              <w:rPr>
                <w:sz w:val="18"/>
              </w:rPr>
              <w:t>554</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187</w:t>
            </w:r>
            <w:r w:rsidR="00836F86">
              <w:rPr>
                <w:sz w:val="18"/>
              </w:rPr>
              <w:t xml:space="preserve"> </w:t>
            </w:r>
            <w:r w:rsidRPr="004053DE">
              <w:rPr>
                <w:sz w:val="18"/>
              </w:rPr>
              <w:t>544</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121 586</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135 767</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257 353</w:t>
            </w:r>
          </w:p>
        </w:tc>
      </w:tr>
      <w:tr w:rsidR="004053DE" w:rsidRPr="004053DE" w:rsidTr="004053DE">
        <w:tc>
          <w:tcPr>
            <w:tcW w:w="1134" w:type="dxa"/>
            <w:shd w:val="clear" w:color="auto" w:fill="auto"/>
            <w:noWrap/>
            <w:hideMark/>
          </w:tcPr>
          <w:p w:rsidR="004053DE" w:rsidRPr="004053DE" w:rsidRDefault="004053DE">
            <w:pPr>
              <w:suppressAutoHyphens w:val="0"/>
              <w:spacing w:before="40" w:after="40" w:line="220" w:lineRule="exact"/>
              <w:rPr>
                <w:sz w:val="18"/>
              </w:rPr>
            </w:pPr>
            <w:r w:rsidRPr="004053DE">
              <w:rPr>
                <w:sz w:val="18"/>
              </w:rPr>
              <w:t>30–34</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73</w:t>
            </w:r>
            <w:r w:rsidR="00353E3D">
              <w:rPr>
                <w:sz w:val="18"/>
              </w:rPr>
              <w:t xml:space="preserve"> </w:t>
            </w:r>
            <w:r w:rsidRPr="004053DE">
              <w:rPr>
                <w:sz w:val="18"/>
              </w:rPr>
              <w:t>724</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56 457</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60 691</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117 148</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72</w:t>
            </w:r>
            <w:r w:rsidR="008D4F1E">
              <w:rPr>
                <w:sz w:val="18"/>
              </w:rPr>
              <w:t xml:space="preserve"> </w:t>
            </w:r>
            <w:r w:rsidRPr="004053DE">
              <w:rPr>
                <w:sz w:val="18"/>
              </w:rPr>
              <w:t>906</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81</w:t>
            </w:r>
            <w:r w:rsidR="00235D54">
              <w:rPr>
                <w:sz w:val="18"/>
              </w:rPr>
              <w:t xml:space="preserve"> </w:t>
            </w:r>
            <w:r w:rsidRPr="004053DE">
              <w:rPr>
                <w:sz w:val="18"/>
              </w:rPr>
              <w:t>525</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154</w:t>
            </w:r>
            <w:r w:rsidR="00836F86">
              <w:rPr>
                <w:sz w:val="18"/>
              </w:rPr>
              <w:t xml:space="preserve"> </w:t>
            </w:r>
            <w:r w:rsidRPr="004053DE">
              <w:rPr>
                <w:sz w:val="18"/>
              </w:rPr>
              <w:t>431</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99 834</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113 691</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213 525</w:t>
            </w:r>
          </w:p>
        </w:tc>
      </w:tr>
      <w:tr w:rsidR="004053DE" w:rsidRPr="004053DE" w:rsidTr="004053DE">
        <w:tc>
          <w:tcPr>
            <w:tcW w:w="1134" w:type="dxa"/>
            <w:shd w:val="clear" w:color="auto" w:fill="auto"/>
            <w:noWrap/>
            <w:hideMark/>
          </w:tcPr>
          <w:p w:rsidR="004053DE" w:rsidRPr="004053DE" w:rsidRDefault="004053DE">
            <w:pPr>
              <w:suppressAutoHyphens w:val="0"/>
              <w:spacing w:before="40" w:after="40" w:line="220" w:lineRule="exact"/>
              <w:rPr>
                <w:sz w:val="18"/>
              </w:rPr>
            </w:pPr>
            <w:r w:rsidRPr="004053DE">
              <w:rPr>
                <w:sz w:val="18"/>
              </w:rPr>
              <w:t>35 – 39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61</w:t>
            </w:r>
            <w:r w:rsidR="00353E3D">
              <w:rPr>
                <w:sz w:val="18"/>
              </w:rPr>
              <w:t xml:space="preserve"> </w:t>
            </w:r>
            <w:r w:rsidRPr="004053DE">
              <w:rPr>
                <w:sz w:val="18"/>
              </w:rPr>
              <w:t>709</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44 513</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45 159</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89 672</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64</w:t>
            </w:r>
            <w:r w:rsidR="008D4F1E">
              <w:rPr>
                <w:sz w:val="18"/>
              </w:rPr>
              <w:t xml:space="preserve"> </w:t>
            </w:r>
            <w:r w:rsidRPr="004053DE">
              <w:rPr>
                <w:sz w:val="18"/>
              </w:rPr>
              <w:t>465</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70</w:t>
            </w:r>
            <w:r w:rsidR="00235D54">
              <w:rPr>
                <w:sz w:val="18"/>
              </w:rPr>
              <w:t xml:space="preserve"> </w:t>
            </w:r>
            <w:r w:rsidRPr="004053DE">
              <w:rPr>
                <w:sz w:val="18"/>
              </w:rPr>
              <w:t>887</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135</w:t>
            </w:r>
            <w:r w:rsidR="00836F86">
              <w:rPr>
                <w:sz w:val="18"/>
              </w:rPr>
              <w:t xml:space="preserve"> </w:t>
            </w:r>
            <w:r w:rsidRPr="004053DE">
              <w:rPr>
                <w:sz w:val="18"/>
              </w:rPr>
              <w:t>352</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83 578</w:t>
            </w:r>
          </w:p>
        </w:tc>
        <w:tc>
          <w:tcPr>
            <w:tcW w:w="737" w:type="dxa"/>
            <w:shd w:val="clear" w:color="auto" w:fill="auto"/>
            <w:vAlign w:val="bottom"/>
            <w:hideMark/>
          </w:tcPr>
          <w:p w:rsidR="004053DE" w:rsidRPr="004053DE" w:rsidRDefault="004053DE" w:rsidP="00027EE8">
            <w:pPr>
              <w:suppressAutoHyphens w:val="0"/>
              <w:spacing w:before="40" w:after="40" w:line="220" w:lineRule="exact"/>
              <w:jc w:val="right"/>
              <w:rPr>
                <w:sz w:val="18"/>
              </w:rPr>
            </w:pPr>
            <w:r w:rsidRPr="004053DE">
              <w:rPr>
                <w:sz w:val="18"/>
              </w:rPr>
              <w:t>95 379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178 957</w:t>
            </w:r>
          </w:p>
        </w:tc>
      </w:tr>
      <w:tr w:rsidR="004053DE" w:rsidRPr="004053DE" w:rsidTr="004053DE">
        <w:tc>
          <w:tcPr>
            <w:tcW w:w="1134" w:type="dxa"/>
            <w:shd w:val="clear" w:color="auto" w:fill="auto"/>
            <w:noWrap/>
            <w:hideMark/>
          </w:tcPr>
          <w:p w:rsidR="004053DE" w:rsidRPr="004053DE" w:rsidRDefault="004053DE">
            <w:pPr>
              <w:suppressAutoHyphens w:val="0"/>
              <w:spacing w:before="40" w:after="40" w:line="220" w:lineRule="exact"/>
              <w:rPr>
                <w:sz w:val="18"/>
              </w:rPr>
            </w:pPr>
            <w:r w:rsidRPr="004053DE">
              <w:rPr>
                <w:sz w:val="18"/>
              </w:rPr>
              <w:t>40 – 44</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68</w:t>
            </w:r>
            <w:r w:rsidR="00353E3D">
              <w:rPr>
                <w:sz w:val="18"/>
              </w:rPr>
              <w:t xml:space="preserve"> </w:t>
            </w:r>
            <w:r w:rsidRPr="004053DE">
              <w:rPr>
                <w:sz w:val="18"/>
              </w:rPr>
              <w:t>686</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34 802</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38 077</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72 879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53</w:t>
            </w:r>
            <w:r w:rsidR="008D4F1E">
              <w:rPr>
                <w:sz w:val="18"/>
              </w:rPr>
              <w:t xml:space="preserve"> </w:t>
            </w:r>
            <w:r w:rsidRPr="004053DE">
              <w:rPr>
                <w:sz w:val="18"/>
              </w:rPr>
              <w:t>010</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53</w:t>
            </w:r>
            <w:r w:rsidR="00235D54">
              <w:rPr>
                <w:sz w:val="18"/>
              </w:rPr>
              <w:t xml:space="preserve"> </w:t>
            </w:r>
            <w:r w:rsidRPr="004053DE">
              <w:rPr>
                <w:sz w:val="18"/>
              </w:rPr>
              <w:t>129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106</w:t>
            </w:r>
            <w:r w:rsidR="00836F86">
              <w:rPr>
                <w:sz w:val="18"/>
              </w:rPr>
              <w:t xml:space="preserve"> </w:t>
            </w:r>
            <w:r w:rsidRPr="004053DE">
              <w:rPr>
                <w:sz w:val="18"/>
              </w:rPr>
              <w:t>139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72 108</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79 228</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151 336</w:t>
            </w:r>
          </w:p>
        </w:tc>
      </w:tr>
      <w:tr w:rsidR="004053DE" w:rsidRPr="004053DE" w:rsidTr="004053DE">
        <w:tc>
          <w:tcPr>
            <w:tcW w:w="1134" w:type="dxa"/>
            <w:shd w:val="clear" w:color="auto" w:fill="auto"/>
            <w:noWrap/>
            <w:hideMark/>
          </w:tcPr>
          <w:p w:rsidR="004053DE" w:rsidRPr="004053DE" w:rsidRDefault="004053DE">
            <w:pPr>
              <w:suppressAutoHyphens w:val="0"/>
              <w:spacing w:before="40" w:after="40" w:line="220" w:lineRule="exact"/>
              <w:rPr>
                <w:sz w:val="18"/>
              </w:rPr>
            </w:pPr>
            <w:r w:rsidRPr="004053DE">
              <w:rPr>
                <w:sz w:val="18"/>
              </w:rPr>
              <w:lastRenderedPageBreak/>
              <w:t>45 – 49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47</w:t>
            </w:r>
            <w:r w:rsidR="00353E3D">
              <w:rPr>
                <w:sz w:val="18"/>
              </w:rPr>
              <w:t xml:space="preserve"> </w:t>
            </w:r>
            <w:r w:rsidRPr="004053DE">
              <w:rPr>
                <w:sz w:val="18"/>
              </w:rPr>
              <w:t>843</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27 593</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28 108</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55 701</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48</w:t>
            </w:r>
            <w:r w:rsidR="008D4F1E">
              <w:rPr>
                <w:sz w:val="18"/>
              </w:rPr>
              <w:t xml:space="preserve"> </w:t>
            </w:r>
            <w:r w:rsidRPr="004053DE">
              <w:rPr>
                <w:sz w:val="18"/>
              </w:rPr>
              <w:t>653</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50</w:t>
            </w:r>
            <w:r w:rsidR="00235D54">
              <w:rPr>
                <w:sz w:val="18"/>
              </w:rPr>
              <w:t xml:space="preserve"> </w:t>
            </w:r>
            <w:r w:rsidRPr="004053DE">
              <w:rPr>
                <w:sz w:val="18"/>
              </w:rPr>
              <w:t>408</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99</w:t>
            </w:r>
            <w:r w:rsidR="00836F86">
              <w:rPr>
                <w:sz w:val="18"/>
              </w:rPr>
              <w:t xml:space="preserve"> </w:t>
            </w:r>
            <w:r w:rsidRPr="004053DE">
              <w:rPr>
                <w:sz w:val="18"/>
              </w:rPr>
              <w:t>061</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60 297</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64 516</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124 813</w:t>
            </w:r>
          </w:p>
        </w:tc>
      </w:tr>
      <w:tr w:rsidR="004053DE" w:rsidRPr="004053DE" w:rsidTr="004053DE">
        <w:tc>
          <w:tcPr>
            <w:tcW w:w="1134" w:type="dxa"/>
            <w:shd w:val="clear" w:color="auto" w:fill="auto"/>
            <w:noWrap/>
            <w:hideMark/>
          </w:tcPr>
          <w:p w:rsidR="004053DE" w:rsidRPr="004053DE" w:rsidRDefault="004053DE">
            <w:pPr>
              <w:suppressAutoHyphens w:val="0"/>
              <w:spacing w:before="40" w:after="40" w:line="220" w:lineRule="exact"/>
              <w:rPr>
                <w:sz w:val="18"/>
              </w:rPr>
            </w:pPr>
            <w:r w:rsidRPr="004053DE">
              <w:rPr>
                <w:sz w:val="18"/>
              </w:rPr>
              <w:t>50 – 54</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47</w:t>
            </w:r>
            <w:r w:rsidR="00353E3D">
              <w:rPr>
                <w:sz w:val="18"/>
              </w:rPr>
              <w:t xml:space="preserve"> </w:t>
            </w:r>
            <w:r w:rsidRPr="004053DE">
              <w:rPr>
                <w:sz w:val="18"/>
              </w:rPr>
              <w:t>120</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30 023</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31 908</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61 931</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32</w:t>
            </w:r>
            <w:r w:rsidR="008D4F1E">
              <w:rPr>
                <w:sz w:val="18"/>
              </w:rPr>
              <w:t xml:space="preserve"> </w:t>
            </w:r>
            <w:r w:rsidRPr="004053DE">
              <w:rPr>
                <w:sz w:val="18"/>
              </w:rPr>
              <w:t>649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33</w:t>
            </w:r>
            <w:r w:rsidR="00235D54">
              <w:rPr>
                <w:sz w:val="18"/>
              </w:rPr>
              <w:t xml:space="preserve"> </w:t>
            </w:r>
            <w:r w:rsidRPr="004053DE">
              <w:rPr>
                <w:sz w:val="18"/>
              </w:rPr>
              <w:t>165</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65</w:t>
            </w:r>
            <w:r w:rsidR="00836F86">
              <w:rPr>
                <w:sz w:val="18"/>
              </w:rPr>
              <w:t xml:space="preserve"> </w:t>
            </w:r>
            <w:r w:rsidRPr="004053DE">
              <w:rPr>
                <w:sz w:val="18"/>
              </w:rPr>
              <w:t>814</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50 739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51 751</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102 490</w:t>
            </w:r>
          </w:p>
        </w:tc>
      </w:tr>
      <w:tr w:rsidR="004053DE" w:rsidRPr="004053DE" w:rsidTr="004053DE">
        <w:tc>
          <w:tcPr>
            <w:tcW w:w="1134" w:type="dxa"/>
            <w:shd w:val="clear" w:color="auto" w:fill="auto"/>
            <w:noWrap/>
            <w:hideMark/>
          </w:tcPr>
          <w:p w:rsidR="004053DE" w:rsidRPr="004053DE" w:rsidRDefault="004053DE">
            <w:pPr>
              <w:suppressAutoHyphens w:val="0"/>
              <w:spacing w:before="40" w:after="40" w:line="220" w:lineRule="exact"/>
              <w:rPr>
                <w:sz w:val="18"/>
              </w:rPr>
            </w:pPr>
            <w:r w:rsidRPr="004053DE">
              <w:rPr>
                <w:sz w:val="18"/>
              </w:rPr>
              <w:t>55 – 59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34</w:t>
            </w:r>
            <w:r w:rsidR="00353E3D">
              <w:rPr>
                <w:sz w:val="18"/>
              </w:rPr>
              <w:t xml:space="preserve"> </w:t>
            </w:r>
            <w:r w:rsidRPr="004053DE">
              <w:rPr>
                <w:sz w:val="18"/>
              </w:rPr>
              <w:t>398</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16 847</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14 875</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31 722</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23</w:t>
            </w:r>
            <w:r w:rsidR="008D4F1E">
              <w:rPr>
                <w:sz w:val="18"/>
              </w:rPr>
              <w:t xml:space="preserve"> </w:t>
            </w:r>
            <w:r w:rsidRPr="004053DE">
              <w:rPr>
                <w:sz w:val="18"/>
              </w:rPr>
              <w:t>010</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21</w:t>
            </w:r>
            <w:r w:rsidR="00235D54">
              <w:rPr>
                <w:sz w:val="18"/>
              </w:rPr>
              <w:t xml:space="preserve"> </w:t>
            </w:r>
            <w:r w:rsidRPr="004053DE">
              <w:rPr>
                <w:sz w:val="18"/>
              </w:rPr>
              <w:t>638</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44</w:t>
            </w:r>
            <w:r w:rsidR="00836F86">
              <w:rPr>
                <w:sz w:val="18"/>
              </w:rPr>
              <w:t xml:space="preserve"> </w:t>
            </w:r>
            <w:r w:rsidRPr="004053DE">
              <w:rPr>
                <w:sz w:val="18"/>
              </w:rPr>
              <w:t>648</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41 075</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40 645</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81 720</w:t>
            </w:r>
          </w:p>
        </w:tc>
      </w:tr>
      <w:tr w:rsidR="004053DE" w:rsidRPr="004053DE" w:rsidTr="004053DE">
        <w:tc>
          <w:tcPr>
            <w:tcW w:w="1134" w:type="dxa"/>
            <w:shd w:val="clear" w:color="auto" w:fill="auto"/>
            <w:noWrap/>
            <w:hideMark/>
          </w:tcPr>
          <w:p w:rsidR="004053DE" w:rsidRPr="004053DE" w:rsidRDefault="004053DE">
            <w:pPr>
              <w:suppressAutoHyphens w:val="0"/>
              <w:spacing w:before="40" w:after="40" w:line="220" w:lineRule="exact"/>
              <w:rPr>
                <w:sz w:val="18"/>
              </w:rPr>
            </w:pPr>
            <w:r w:rsidRPr="004053DE">
              <w:rPr>
                <w:sz w:val="18"/>
              </w:rPr>
              <w:t>60 – 64</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27</w:t>
            </w:r>
            <w:r w:rsidR="00353E3D">
              <w:rPr>
                <w:sz w:val="18"/>
              </w:rPr>
              <w:t xml:space="preserve"> </w:t>
            </w:r>
            <w:r w:rsidRPr="004053DE">
              <w:rPr>
                <w:sz w:val="18"/>
              </w:rPr>
              <w:t>262</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20 190</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20 603</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40 793</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25</w:t>
            </w:r>
            <w:r w:rsidR="008D4F1E">
              <w:rPr>
                <w:sz w:val="18"/>
              </w:rPr>
              <w:t xml:space="preserve"> </w:t>
            </w:r>
            <w:r w:rsidRPr="004053DE">
              <w:rPr>
                <w:sz w:val="18"/>
              </w:rPr>
              <w:t>093</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24</w:t>
            </w:r>
            <w:r w:rsidR="00235D54">
              <w:rPr>
                <w:sz w:val="18"/>
              </w:rPr>
              <w:t xml:space="preserve"> </w:t>
            </w:r>
            <w:r w:rsidRPr="004053DE">
              <w:rPr>
                <w:sz w:val="18"/>
              </w:rPr>
              <w:t>467</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49</w:t>
            </w:r>
            <w:r w:rsidR="00836F86">
              <w:rPr>
                <w:sz w:val="18"/>
              </w:rPr>
              <w:t xml:space="preserve"> </w:t>
            </w:r>
            <w:r w:rsidRPr="004053DE">
              <w:rPr>
                <w:sz w:val="18"/>
              </w:rPr>
              <w:t>560</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31 660</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30 459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62 119</w:t>
            </w:r>
          </w:p>
        </w:tc>
      </w:tr>
      <w:tr w:rsidR="004053DE" w:rsidRPr="004053DE" w:rsidTr="004053DE">
        <w:tc>
          <w:tcPr>
            <w:tcW w:w="1134" w:type="dxa"/>
            <w:shd w:val="clear" w:color="auto" w:fill="auto"/>
            <w:noWrap/>
            <w:hideMark/>
          </w:tcPr>
          <w:p w:rsidR="004053DE" w:rsidRPr="004053DE" w:rsidRDefault="004053DE">
            <w:pPr>
              <w:suppressAutoHyphens w:val="0"/>
              <w:spacing w:before="40" w:after="40" w:line="220" w:lineRule="exact"/>
              <w:rPr>
                <w:sz w:val="18"/>
              </w:rPr>
            </w:pPr>
            <w:r w:rsidRPr="004053DE">
              <w:rPr>
                <w:sz w:val="18"/>
              </w:rPr>
              <w:t>65 – 69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14</w:t>
            </w:r>
            <w:r w:rsidR="00353E3D">
              <w:rPr>
                <w:sz w:val="18"/>
              </w:rPr>
              <w:t xml:space="preserve"> </w:t>
            </w:r>
            <w:r w:rsidRPr="004053DE">
              <w:rPr>
                <w:sz w:val="18"/>
              </w:rPr>
              <w:t>572</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11 518</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11 131</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22 649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16</w:t>
            </w:r>
            <w:r w:rsidR="008D4F1E">
              <w:rPr>
                <w:sz w:val="18"/>
              </w:rPr>
              <w:t xml:space="preserve"> </w:t>
            </w:r>
            <w:r w:rsidRPr="004053DE">
              <w:rPr>
                <w:sz w:val="18"/>
              </w:rPr>
              <w:t>062</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15</w:t>
            </w:r>
            <w:r w:rsidR="00235D54">
              <w:rPr>
                <w:sz w:val="18"/>
              </w:rPr>
              <w:t xml:space="preserve"> </w:t>
            </w:r>
            <w:r w:rsidRPr="004053DE">
              <w:rPr>
                <w:sz w:val="18"/>
              </w:rPr>
              <w:t>582</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31</w:t>
            </w:r>
            <w:r w:rsidR="00836F86">
              <w:rPr>
                <w:sz w:val="18"/>
              </w:rPr>
              <w:t xml:space="preserve"> </w:t>
            </w:r>
            <w:r w:rsidRPr="004053DE">
              <w:rPr>
                <w:sz w:val="18"/>
              </w:rPr>
              <w:t>644</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24 120</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23 055</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47 175</w:t>
            </w:r>
          </w:p>
        </w:tc>
      </w:tr>
      <w:tr w:rsidR="004053DE" w:rsidRPr="004053DE" w:rsidTr="004053DE">
        <w:tc>
          <w:tcPr>
            <w:tcW w:w="1134" w:type="dxa"/>
            <w:shd w:val="clear" w:color="auto" w:fill="auto"/>
            <w:noWrap/>
            <w:hideMark/>
          </w:tcPr>
          <w:p w:rsidR="004053DE" w:rsidRPr="004053DE" w:rsidRDefault="004053DE">
            <w:pPr>
              <w:suppressAutoHyphens w:val="0"/>
              <w:spacing w:before="40" w:after="40" w:line="220" w:lineRule="exact"/>
              <w:rPr>
                <w:sz w:val="18"/>
              </w:rPr>
            </w:pPr>
            <w:r w:rsidRPr="004053DE">
              <w:rPr>
                <w:sz w:val="18"/>
              </w:rPr>
              <w:t>70 – 74</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18</w:t>
            </w:r>
            <w:r w:rsidR="00353E3D">
              <w:rPr>
                <w:sz w:val="18"/>
              </w:rPr>
              <w:t xml:space="preserve"> </w:t>
            </w:r>
            <w:r w:rsidRPr="004053DE">
              <w:rPr>
                <w:sz w:val="18"/>
              </w:rPr>
              <w:t>414</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10 812</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12 968</w:t>
            </w:r>
          </w:p>
        </w:tc>
        <w:tc>
          <w:tcPr>
            <w:tcW w:w="737" w:type="dxa"/>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23 780</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13</w:t>
            </w:r>
            <w:r w:rsidR="008D4F1E">
              <w:rPr>
                <w:sz w:val="18"/>
              </w:rPr>
              <w:t xml:space="preserve"> </w:t>
            </w:r>
            <w:r w:rsidRPr="004053DE">
              <w:rPr>
                <w:sz w:val="18"/>
              </w:rPr>
              <w:t>773</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13</w:t>
            </w:r>
            <w:r w:rsidR="00235D54">
              <w:rPr>
                <w:sz w:val="18"/>
              </w:rPr>
              <w:t xml:space="preserve"> </w:t>
            </w:r>
            <w:r w:rsidRPr="004053DE">
              <w:rPr>
                <w:sz w:val="18"/>
              </w:rPr>
              <w:t>425</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27</w:t>
            </w:r>
            <w:r w:rsidR="00836F86">
              <w:rPr>
                <w:sz w:val="18"/>
              </w:rPr>
              <w:t xml:space="preserve"> </w:t>
            </w:r>
            <w:r w:rsidRPr="004053DE">
              <w:rPr>
                <w:sz w:val="18"/>
              </w:rPr>
              <w:t>198</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18 167</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17 129</w:t>
            </w:r>
          </w:p>
        </w:tc>
        <w:tc>
          <w:tcPr>
            <w:tcW w:w="737" w:type="dxa"/>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35 296</w:t>
            </w:r>
          </w:p>
        </w:tc>
      </w:tr>
      <w:tr w:rsidR="004053DE" w:rsidRPr="004053DE" w:rsidTr="00027EE8">
        <w:tc>
          <w:tcPr>
            <w:tcW w:w="1134" w:type="dxa"/>
            <w:tcBorders>
              <w:bottom w:val="single" w:sz="4" w:space="0" w:color="auto"/>
            </w:tcBorders>
            <w:shd w:val="clear" w:color="auto" w:fill="auto"/>
            <w:noWrap/>
            <w:hideMark/>
          </w:tcPr>
          <w:p w:rsidR="004053DE" w:rsidRPr="004053DE" w:rsidRDefault="004053DE">
            <w:pPr>
              <w:suppressAutoHyphens w:val="0"/>
              <w:spacing w:before="40" w:after="40" w:line="220" w:lineRule="exact"/>
              <w:rPr>
                <w:sz w:val="18"/>
              </w:rPr>
            </w:pPr>
            <w:r w:rsidRPr="004053DE">
              <w:rPr>
                <w:sz w:val="18"/>
              </w:rPr>
              <w:t>75 ou plus</w:t>
            </w:r>
          </w:p>
        </w:tc>
        <w:tc>
          <w:tcPr>
            <w:tcW w:w="737" w:type="dxa"/>
            <w:tcBorders>
              <w:bottom w:val="single" w:sz="4" w:space="0" w:color="auto"/>
            </w:tcBorders>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17</w:t>
            </w:r>
            <w:r w:rsidR="00353E3D">
              <w:rPr>
                <w:sz w:val="18"/>
              </w:rPr>
              <w:t xml:space="preserve"> </w:t>
            </w:r>
            <w:r w:rsidRPr="004053DE">
              <w:rPr>
                <w:sz w:val="18"/>
              </w:rPr>
              <w:t>823</w:t>
            </w:r>
          </w:p>
        </w:tc>
        <w:tc>
          <w:tcPr>
            <w:tcW w:w="737" w:type="dxa"/>
            <w:tcBorders>
              <w:bottom w:val="single" w:sz="4" w:space="0" w:color="auto"/>
            </w:tcBorders>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11 901</w:t>
            </w:r>
          </w:p>
        </w:tc>
        <w:tc>
          <w:tcPr>
            <w:tcW w:w="737" w:type="dxa"/>
            <w:tcBorders>
              <w:bottom w:val="single" w:sz="4" w:space="0" w:color="auto"/>
            </w:tcBorders>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17 446</w:t>
            </w:r>
          </w:p>
        </w:tc>
        <w:tc>
          <w:tcPr>
            <w:tcW w:w="737" w:type="dxa"/>
            <w:tcBorders>
              <w:bottom w:val="single" w:sz="4" w:space="0" w:color="auto"/>
            </w:tcBorders>
            <w:shd w:val="clear" w:color="auto" w:fill="auto"/>
            <w:noWrap/>
            <w:vAlign w:val="bottom"/>
            <w:hideMark/>
          </w:tcPr>
          <w:p w:rsidR="004053DE" w:rsidRPr="004053DE" w:rsidRDefault="004053DE">
            <w:pPr>
              <w:suppressAutoHyphens w:val="0"/>
              <w:spacing w:before="40" w:after="40" w:line="220" w:lineRule="exact"/>
              <w:jc w:val="right"/>
              <w:rPr>
                <w:sz w:val="18"/>
              </w:rPr>
            </w:pPr>
            <w:r w:rsidRPr="004053DE">
              <w:rPr>
                <w:sz w:val="18"/>
              </w:rPr>
              <w:t>29 347</w:t>
            </w:r>
          </w:p>
        </w:tc>
        <w:tc>
          <w:tcPr>
            <w:tcW w:w="737" w:type="dxa"/>
            <w:tcBorders>
              <w:bottom w:val="single" w:sz="4" w:space="0" w:color="auto"/>
            </w:tcBorders>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13</w:t>
            </w:r>
            <w:r w:rsidR="008D4F1E">
              <w:rPr>
                <w:sz w:val="18"/>
              </w:rPr>
              <w:t xml:space="preserve"> </w:t>
            </w:r>
            <w:r w:rsidRPr="004053DE">
              <w:rPr>
                <w:sz w:val="18"/>
              </w:rPr>
              <w:t>858</w:t>
            </w:r>
          </w:p>
        </w:tc>
        <w:tc>
          <w:tcPr>
            <w:tcW w:w="737" w:type="dxa"/>
            <w:tcBorders>
              <w:bottom w:val="single" w:sz="4" w:space="0" w:color="auto"/>
            </w:tcBorders>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16</w:t>
            </w:r>
            <w:r w:rsidR="00235D54">
              <w:rPr>
                <w:sz w:val="18"/>
              </w:rPr>
              <w:t xml:space="preserve"> </w:t>
            </w:r>
            <w:r w:rsidRPr="004053DE">
              <w:rPr>
                <w:sz w:val="18"/>
              </w:rPr>
              <w:t>593</w:t>
            </w:r>
          </w:p>
        </w:tc>
        <w:tc>
          <w:tcPr>
            <w:tcW w:w="737" w:type="dxa"/>
            <w:tcBorders>
              <w:bottom w:val="single" w:sz="4" w:space="0" w:color="auto"/>
            </w:tcBorders>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30</w:t>
            </w:r>
            <w:r w:rsidR="00836F86">
              <w:rPr>
                <w:sz w:val="18"/>
              </w:rPr>
              <w:t xml:space="preserve"> </w:t>
            </w:r>
            <w:r w:rsidRPr="004053DE">
              <w:rPr>
                <w:sz w:val="18"/>
              </w:rPr>
              <w:t>451</w:t>
            </w:r>
          </w:p>
        </w:tc>
        <w:tc>
          <w:tcPr>
            <w:tcW w:w="737" w:type="dxa"/>
            <w:tcBorders>
              <w:bottom w:val="single" w:sz="4" w:space="0" w:color="auto"/>
            </w:tcBorders>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26 998</w:t>
            </w:r>
          </w:p>
        </w:tc>
        <w:tc>
          <w:tcPr>
            <w:tcW w:w="737" w:type="dxa"/>
            <w:tcBorders>
              <w:bottom w:val="single" w:sz="4" w:space="0" w:color="auto"/>
            </w:tcBorders>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27 443</w:t>
            </w:r>
          </w:p>
        </w:tc>
        <w:tc>
          <w:tcPr>
            <w:tcW w:w="737" w:type="dxa"/>
            <w:tcBorders>
              <w:bottom w:val="single" w:sz="4" w:space="0" w:color="auto"/>
            </w:tcBorders>
            <w:shd w:val="clear" w:color="auto" w:fill="auto"/>
            <w:vAlign w:val="bottom"/>
            <w:hideMark/>
          </w:tcPr>
          <w:p w:rsidR="004053DE" w:rsidRPr="004053DE" w:rsidRDefault="004053DE">
            <w:pPr>
              <w:suppressAutoHyphens w:val="0"/>
              <w:spacing w:before="40" w:after="40" w:line="220" w:lineRule="exact"/>
              <w:jc w:val="right"/>
              <w:rPr>
                <w:sz w:val="18"/>
              </w:rPr>
            </w:pPr>
            <w:r w:rsidRPr="004053DE">
              <w:rPr>
                <w:sz w:val="18"/>
              </w:rPr>
              <w:t>54 441</w:t>
            </w:r>
          </w:p>
        </w:tc>
      </w:tr>
      <w:tr w:rsidR="004053DE" w:rsidRPr="004053DE" w:rsidTr="00027EE8">
        <w:tc>
          <w:tcPr>
            <w:tcW w:w="1134" w:type="dxa"/>
            <w:tcBorders>
              <w:top w:val="single" w:sz="4" w:space="0" w:color="auto"/>
              <w:bottom w:val="single" w:sz="12" w:space="0" w:color="auto"/>
            </w:tcBorders>
            <w:shd w:val="clear" w:color="auto" w:fill="auto"/>
            <w:noWrap/>
            <w:hideMark/>
          </w:tcPr>
          <w:p w:rsidR="004053DE" w:rsidRPr="004053DE" w:rsidRDefault="004053DE" w:rsidP="00027EE8">
            <w:pPr>
              <w:suppressAutoHyphens w:val="0"/>
              <w:spacing w:before="80" w:after="80" w:line="220" w:lineRule="exact"/>
              <w:ind w:left="284"/>
              <w:rPr>
                <w:b/>
                <w:sz w:val="18"/>
              </w:rPr>
            </w:pPr>
            <w:r w:rsidRPr="004053DE">
              <w:rPr>
                <w:b/>
                <w:sz w:val="18"/>
              </w:rPr>
              <w:t>Total</w:t>
            </w:r>
          </w:p>
        </w:tc>
        <w:tc>
          <w:tcPr>
            <w:tcW w:w="737" w:type="dxa"/>
            <w:tcBorders>
              <w:top w:val="single" w:sz="4" w:space="0" w:color="auto"/>
              <w:bottom w:val="single" w:sz="12" w:space="0" w:color="auto"/>
            </w:tcBorders>
            <w:shd w:val="clear" w:color="auto" w:fill="auto"/>
            <w:vAlign w:val="bottom"/>
            <w:hideMark/>
          </w:tcPr>
          <w:p w:rsidR="004053DE" w:rsidRPr="004053DE" w:rsidRDefault="004053DE" w:rsidP="00027EE8">
            <w:pPr>
              <w:suppressAutoHyphens w:val="0"/>
              <w:spacing w:before="80" w:after="80" w:line="220" w:lineRule="exact"/>
              <w:jc w:val="right"/>
              <w:rPr>
                <w:b/>
                <w:sz w:val="18"/>
              </w:rPr>
            </w:pPr>
            <w:r w:rsidRPr="004053DE">
              <w:rPr>
                <w:b/>
                <w:sz w:val="18"/>
              </w:rPr>
              <w:t>1 338 830</w:t>
            </w:r>
          </w:p>
        </w:tc>
        <w:tc>
          <w:tcPr>
            <w:tcW w:w="737" w:type="dxa"/>
            <w:tcBorders>
              <w:top w:val="single" w:sz="4" w:space="0" w:color="auto"/>
              <w:bottom w:val="single" w:sz="12" w:space="0" w:color="auto"/>
            </w:tcBorders>
            <w:shd w:val="clear" w:color="auto" w:fill="auto"/>
            <w:noWrap/>
            <w:vAlign w:val="bottom"/>
            <w:hideMark/>
          </w:tcPr>
          <w:p w:rsidR="004053DE" w:rsidRPr="004053DE" w:rsidRDefault="004053DE" w:rsidP="00027EE8">
            <w:pPr>
              <w:suppressAutoHyphens w:val="0"/>
              <w:spacing w:before="80" w:after="80" w:line="220" w:lineRule="exact"/>
              <w:jc w:val="right"/>
              <w:rPr>
                <w:b/>
                <w:sz w:val="18"/>
              </w:rPr>
            </w:pPr>
            <w:r w:rsidRPr="004053DE">
              <w:rPr>
                <w:b/>
                <w:sz w:val="18"/>
              </w:rPr>
              <w:t>923 175</w:t>
            </w:r>
          </w:p>
        </w:tc>
        <w:tc>
          <w:tcPr>
            <w:tcW w:w="737" w:type="dxa"/>
            <w:tcBorders>
              <w:top w:val="single" w:sz="4" w:space="0" w:color="auto"/>
              <w:bottom w:val="single" w:sz="12" w:space="0" w:color="auto"/>
            </w:tcBorders>
            <w:shd w:val="clear" w:color="auto" w:fill="auto"/>
            <w:noWrap/>
            <w:vAlign w:val="bottom"/>
            <w:hideMark/>
          </w:tcPr>
          <w:p w:rsidR="004053DE" w:rsidRPr="004053DE" w:rsidRDefault="004053DE" w:rsidP="00027EE8">
            <w:pPr>
              <w:suppressAutoHyphens w:val="0"/>
              <w:spacing w:before="80" w:after="80" w:line="220" w:lineRule="exact"/>
              <w:jc w:val="right"/>
              <w:rPr>
                <w:b/>
                <w:sz w:val="18"/>
              </w:rPr>
            </w:pPr>
            <w:r w:rsidRPr="004053DE">
              <w:rPr>
                <w:b/>
                <w:sz w:val="18"/>
              </w:rPr>
              <w:t>941 061</w:t>
            </w:r>
          </w:p>
        </w:tc>
        <w:tc>
          <w:tcPr>
            <w:tcW w:w="737" w:type="dxa"/>
            <w:tcBorders>
              <w:top w:val="single" w:sz="4" w:space="0" w:color="auto"/>
              <w:bottom w:val="single" w:sz="12" w:space="0" w:color="auto"/>
            </w:tcBorders>
            <w:shd w:val="clear" w:color="auto" w:fill="auto"/>
            <w:noWrap/>
            <w:vAlign w:val="bottom"/>
            <w:hideMark/>
          </w:tcPr>
          <w:p w:rsidR="004053DE" w:rsidRPr="004053DE" w:rsidRDefault="004053DE" w:rsidP="00027EE8">
            <w:pPr>
              <w:suppressAutoHyphens w:val="0"/>
              <w:spacing w:before="80" w:after="80" w:line="220" w:lineRule="exact"/>
              <w:jc w:val="right"/>
              <w:rPr>
                <w:b/>
                <w:sz w:val="18"/>
              </w:rPr>
            </w:pPr>
            <w:r w:rsidRPr="004053DE">
              <w:rPr>
                <w:b/>
                <w:sz w:val="18"/>
              </w:rPr>
              <w:t>1 864 236</w:t>
            </w:r>
          </w:p>
        </w:tc>
        <w:tc>
          <w:tcPr>
            <w:tcW w:w="737" w:type="dxa"/>
            <w:tcBorders>
              <w:top w:val="single" w:sz="4" w:space="0" w:color="auto"/>
              <w:bottom w:val="single" w:sz="12" w:space="0" w:color="auto"/>
            </w:tcBorders>
            <w:shd w:val="clear" w:color="auto" w:fill="auto"/>
            <w:vAlign w:val="bottom"/>
            <w:hideMark/>
          </w:tcPr>
          <w:p w:rsidR="004053DE" w:rsidRPr="004053DE" w:rsidRDefault="004053DE" w:rsidP="00027EE8">
            <w:pPr>
              <w:suppressAutoHyphens w:val="0"/>
              <w:spacing w:before="80" w:after="80" w:line="220" w:lineRule="exact"/>
              <w:jc w:val="right"/>
              <w:rPr>
                <w:b/>
                <w:sz w:val="18"/>
              </w:rPr>
            </w:pPr>
            <w:r w:rsidRPr="004053DE">
              <w:rPr>
                <w:b/>
                <w:sz w:val="18"/>
              </w:rPr>
              <w:t>1</w:t>
            </w:r>
            <w:r w:rsidR="00836F86">
              <w:rPr>
                <w:b/>
                <w:sz w:val="18"/>
              </w:rPr>
              <w:t xml:space="preserve"> </w:t>
            </w:r>
            <w:r w:rsidRPr="004053DE">
              <w:rPr>
                <w:b/>
                <w:sz w:val="18"/>
              </w:rPr>
              <w:t>241</w:t>
            </w:r>
            <w:r w:rsidR="00836F86">
              <w:rPr>
                <w:b/>
                <w:sz w:val="18"/>
              </w:rPr>
              <w:t xml:space="preserve"> </w:t>
            </w:r>
            <w:r w:rsidRPr="004053DE">
              <w:rPr>
                <w:b/>
                <w:sz w:val="18"/>
              </w:rPr>
              <w:t>712</w:t>
            </w:r>
          </w:p>
        </w:tc>
        <w:tc>
          <w:tcPr>
            <w:tcW w:w="737" w:type="dxa"/>
            <w:tcBorders>
              <w:top w:val="single" w:sz="4" w:space="0" w:color="auto"/>
              <w:bottom w:val="single" w:sz="12" w:space="0" w:color="auto"/>
            </w:tcBorders>
            <w:shd w:val="clear" w:color="auto" w:fill="auto"/>
            <w:vAlign w:val="bottom"/>
            <w:hideMark/>
          </w:tcPr>
          <w:p w:rsidR="004053DE" w:rsidRPr="004053DE" w:rsidRDefault="004053DE" w:rsidP="00027EE8">
            <w:pPr>
              <w:suppressAutoHyphens w:val="0"/>
              <w:spacing w:before="80" w:after="80" w:line="220" w:lineRule="exact"/>
              <w:jc w:val="right"/>
              <w:rPr>
                <w:b/>
                <w:sz w:val="18"/>
              </w:rPr>
            </w:pPr>
            <w:r w:rsidRPr="004053DE">
              <w:rPr>
                <w:b/>
                <w:sz w:val="18"/>
              </w:rPr>
              <w:t>1 266 447</w:t>
            </w:r>
          </w:p>
        </w:tc>
        <w:tc>
          <w:tcPr>
            <w:tcW w:w="737" w:type="dxa"/>
            <w:tcBorders>
              <w:top w:val="single" w:sz="4" w:space="0" w:color="auto"/>
              <w:bottom w:val="single" w:sz="12" w:space="0" w:color="auto"/>
            </w:tcBorders>
            <w:shd w:val="clear" w:color="auto" w:fill="auto"/>
            <w:vAlign w:val="bottom"/>
            <w:hideMark/>
          </w:tcPr>
          <w:p w:rsidR="004053DE" w:rsidRPr="004053DE" w:rsidRDefault="004053DE" w:rsidP="00027EE8">
            <w:pPr>
              <w:suppressAutoHyphens w:val="0"/>
              <w:spacing w:before="80" w:after="80" w:line="220" w:lineRule="exact"/>
              <w:jc w:val="right"/>
              <w:rPr>
                <w:b/>
                <w:sz w:val="18"/>
              </w:rPr>
            </w:pPr>
            <w:r w:rsidRPr="004053DE">
              <w:rPr>
                <w:b/>
                <w:sz w:val="18"/>
              </w:rPr>
              <w:t>2</w:t>
            </w:r>
            <w:r w:rsidR="00836F86">
              <w:rPr>
                <w:b/>
                <w:sz w:val="18"/>
              </w:rPr>
              <w:t xml:space="preserve"> </w:t>
            </w:r>
            <w:r w:rsidRPr="004053DE">
              <w:rPr>
                <w:b/>
                <w:sz w:val="18"/>
              </w:rPr>
              <w:t>508</w:t>
            </w:r>
            <w:r w:rsidR="00836F86">
              <w:rPr>
                <w:b/>
                <w:sz w:val="18"/>
              </w:rPr>
              <w:t xml:space="preserve"> </w:t>
            </w:r>
            <w:r w:rsidRPr="004053DE">
              <w:rPr>
                <w:b/>
                <w:sz w:val="18"/>
              </w:rPr>
              <w:t>159</w:t>
            </w:r>
          </w:p>
        </w:tc>
        <w:tc>
          <w:tcPr>
            <w:tcW w:w="737" w:type="dxa"/>
            <w:tcBorders>
              <w:top w:val="single" w:sz="4" w:space="0" w:color="auto"/>
              <w:bottom w:val="single" w:sz="12" w:space="0" w:color="auto"/>
            </w:tcBorders>
            <w:shd w:val="clear" w:color="auto" w:fill="auto"/>
            <w:vAlign w:val="bottom"/>
            <w:hideMark/>
          </w:tcPr>
          <w:p w:rsidR="004053DE" w:rsidRPr="004053DE" w:rsidRDefault="004053DE" w:rsidP="00027EE8">
            <w:pPr>
              <w:suppressAutoHyphens w:val="0"/>
              <w:spacing w:before="80" w:after="80" w:line="220" w:lineRule="exact"/>
              <w:jc w:val="right"/>
              <w:rPr>
                <w:b/>
                <w:sz w:val="18"/>
              </w:rPr>
            </w:pPr>
            <w:r w:rsidRPr="004053DE">
              <w:rPr>
                <w:b/>
                <w:sz w:val="18"/>
              </w:rPr>
              <w:t>1 743 074</w:t>
            </w:r>
          </w:p>
        </w:tc>
        <w:tc>
          <w:tcPr>
            <w:tcW w:w="737" w:type="dxa"/>
            <w:tcBorders>
              <w:top w:val="single" w:sz="4" w:space="0" w:color="auto"/>
              <w:bottom w:val="single" w:sz="12" w:space="0" w:color="auto"/>
            </w:tcBorders>
            <w:shd w:val="clear" w:color="auto" w:fill="auto"/>
            <w:vAlign w:val="bottom"/>
            <w:hideMark/>
          </w:tcPr>
          <w:p w:rsidR="004053DE" w:rsidRPr="004053DE" w:rsidRDefault="004053DE" w:rsidP="00027EE8">
            <w:pPr>
              <w:suppressAutoHyphens w:val="0"/>
              <w:spacing w:before="80" w:after="80" w:line="220" w:lineRule="exact"/>
              <w:jc w:val="right"/>
              <w:rPr>
                <w:b/>
                <w:sz w:val="18"/>
              </w:rPr>
            </w:pPr>
            <w:r w:rsidRPr="004053DE">
              <w:rPr>
                <w:b/>
                <w:sz w:val="18"/>
              </w:rPr>
              <w:t>1 794 294</w:t>
            </w:r>
          </w:p>
        </w:tc>
        <w:tc>
          <w:tcPr>
            <w:tcW w:w="737" w:type="dxa"/>
            <w:tcBorders>
              <w:top w:val="single" w:sz="4" w:space="0" w:color="auto"/>
              <w:bottom w:val="single" w:sz="12" w:space="0" w:color="auto"/>
            </w:tcBorders>
            <w:shd w:val="clear" w:color="auto" w:fill="auto"/>
            <w:vAlign w:val="bottom"/>
            <w:hideMark/>
          </w:tcPr>
          <w:p w:rsidR="004053DE" w:rsidRPr="004053DE" w:rsidRDefault="004053DE" w:rsidP="00027EE8">
            <w:pPr>
              <w:suppressAutoHyphens w:val="0"/>
              <w:spacing w:before="80" w:after="80" w:line="220" w:lineRule="exact"/>
              <w:jc w:val="right"/>
              <w:rPr>
                <w:b/>
                <w:sz w:val="18"/>
              </w:rPr>
            </w:pPr>
            <w:r w:rsidRPr="004053DE">
              <w:rPr>
                <w:b/>
                <w:sz w:val="18"/>
              </w:rPr>
              <w:t>3 537 368</w:t>
            </w:r>
          </w:p>
        </w:tc>
      </w:tr>
    </w:tbl>
    <w:p w:rsidR="00D80F06" w:rsidRPr="002D6CAB" w:rsidRDefault="0028541A" w:rsidP="00D94138">
      <w:pPr>
        <w:pStyle w:val="H23G"/>
        <w:rPr>
          <w:lang w:val="fr-FR"/>
        </w:rPr>
      </w:pPr>
      <w:bookmarkStart w:id="12" w:name="_Toc454388697"/>
      <w:bookmarkStart w:id="13" w:name="_Toc453672858"/>
      <w:bookmarkStart w:id="14" w:name="_Toc455360510"/>
      <w:bookmarkStart w:id="15" w:name="_Toc455364114"/>
      <w:bookmarkStart w:id="16" w:name="_Toc498901314"/>
      <w:r>
        <w:rPr>
          <w:lang w:val="fr-FR"/>
        </w:rPr>
        <w:tab/>
      </w:r>
      <w:r w:rsidR="00E54091">
        <w:rPr>
          <w:lang w:val="fr-FR"/>
        </w:rPr>
        <w:t>2</w:t>
      </w:r>
      <w:r w:rsidR="00353E3D">
        <w:rPr>
          <w:lang w:val="fr-FR"/>
        </w:rPr>
        <w:t>.</w:t>
      </w:r>
      <w:r w:rsidR="00D94138">
        <w:rPr>
          <w:lang w:val="fr-FR"/>
        </w:rPr>
        <w:tab/>
      </w:r>
      <w:r w:rsidR="00D80F06" w:rsidRPr="00534914">
        <w:t>Données</w:t>
      </w:r>
      <w:r w:rsidR="00D80F06" w:rsidRPr="002D6CAB">
        <w:rPr>
          <w:lang w:val="fr-FR"/>
        </w:rPr>
        <w:t xml:space="preserve"> </w:t>
      </w:r>
      <w:r w:rsidR="00D80F06" w:rsidRPr="00534914">
        <w:t>socioéconomiques</w:t>
      </w:r>
      <w:bookmarkEnd w:id="12"/>
      <w:bookmarkEnd w:id="13"/>
      <w:bookmarkEnd w:id="14"/>
      <w:bookmarkEnd w:id="15"/>
      <w:bookmarkEnd w:id="16"/>
    </w:p>
    <w:p w:rsidR="00D80F06" w:rsidRPr="002D6CAB" w:rsidRDefault="00C87B7B" w:rsidP="00C87B7B">
      <w:pPr>
        <w:pStyle w:val="SingleTxtG"/>
        <w:rPr>
          <w:lang w:val="fr-FR"/>
        </w:rPr>
      </w:pPr>
      <w:r w:rsidRPr="002D6CAB">
        <w:rPr>
          <w:lang w:val="fr-FR"/>
        </w:rPr>
        <w:t>9.</w:t>
      </w:r>
      <w:r w:rsidRPr="002D6CAB">
        <w:rPr>
          <w:lang w:val="fr-FR"/>
        </w:rPr>
        <w:tab/>
      </w:r>
      <w:r w:rsidR="00D80F06" w:rsidRPr="002D6CAB">
        <w:rPr>
          <w:lang w:val="fr-FR"/>
        </w:rPr>
        <w:t>Suite à l</w:t>
      </w:r>
      <w:r w:rsidR="00A24C87">
        <w:rPr>
          <w:lang w:val="fr-FR"/>
        </w:rPr>
        <w:t>’</w:t>
      </w:r>
      <w:r w:rsidR="00D80F06" w:rsidRPr="002D6CAB">
        <w:rPr>
          <w:lang w:val="fr-FR"/>
        </w:rPr>
        <w:t>achèvement du Cadre Stratégique de Lutte contre la Pauvreté CSLP (2001</w:t>
      </w:r>
      <w:r w:rsidR="0022689C">
        <w:rPr>
          <w:lang w:val="fr-FR"/>
        </w:rPr>
        <w:t>-</w:t>
      </w:r>
      <w:r w:rsidR="00D80F06" w:rsidRPr="002D6CAB">
        <w:rPr>
          <w:lang w:val="fr-FR"/>
        </w:rPr>
        <w:t>2015) la Mauritanie a élaboré une Stratégie de Croissance Accélérée et de Prospérité Partagée (SCAPP) pour la période 2016-2030. Elle s</w:t>
      </w:r>
      <w:r w:rsidR="00A24C87">
        <w:rPr>
          <w:lang w:val="fr-FR"/>
        </w:rPr>
        <w:t>’</w:t>
      </w:r>
      <w:r w:rsidR="00D80F06" w:rsidRPr="002D6CAB">
        <w:rPr>
          <w:lang w:val="fr-FR"/>
        </w:rPr>
        <w:t>inscrit dans l</w:t>
      </w:r>
      <w:r w:rsidR="00A24C87">
        <w:rPr>
          <w:lang w:val="fr-FR"/>
        </w:rPr>
        <w:t>’</w:t>
      </w:r>
      <w:r w:rsidR="00D80F06" w:rsidRPr="002D6CAB">
        <w:rPr>
          <w:lang w:val="fr-FR"/>
        </w:rPr>
        <w:t xml:space="preserve">Agenda 2030 pour le développement durable. </w:t>
      </w:r>
    </w:p>
    <w:p w:rsidR="00D80F06" w:rsidRPr="002D6CAB" w:rsidRDefault="00C87B7B" w:rsidP="00C87B7B">
      <w:pPr>
        <w:pStyle w:val="SingleTxtG"/>
        <w:rPr>
          <w:lang w:val="fr-FR"/>
        </w:rPr>
      </w:pPr>
      <w:r w:rsidRPr="002D6CAB">
        <w:rPr>
          <w:lang w:val="fr-FR"/>
        </w:rPr>
        <w:t>10.</w:t>
      </w:r>
      <w:r w:rsidRPr="002D6CAB">
        <w:rPr>
          <w:lang w:val="fr-FR"/>
        </w:rPr>
        <w:tab/>
      </w:r>
      <w:r w:rsidR="00D80F06" w:rsidRPr="002D6CAB">
        <w:rPr>
          <w:bCs/>
          <w:lang w:val="fr-FR"/>
        </w:rPr>
        <w:t>Cette stratégie orientée vers la création d</w:t>
      </w:r>
      <w:r w:rsidR="00A24C87">
        <w:rPr>
          <w:bCs/>
          <w:lang w:val="fr-FR"/>
        </w:rPr>
        <w:t>’</w:t>
      </w:r>
      <w:r w:rsidR="00D80F06" w:rsidRPr="002D6CAB">
        <w:rPr>
          <w:bCs/>
          <w:lang w:val="fr-FR"/>
        </w:rPr>
        <w:t xml:space="preserve">emplois vise, entre autres, à favoriser une croissance économique </w:t>
      </w:r>
      <w:r w:rsidR="00D80F06" w:rsidRPr="00B62BB2">
        <w:rPr>
          <w:lang w:val="fr-FR"/>
        </w:rPr>
        <w:t>diversifiée</w:t>
      </w:r>
      <w:r w:rsidR="00D80F06" w:rsidRPr="002D6CAB">
        <w:rPr>
          <w:bCs/>
          <w:lang w:val="fr-FR"/>
        </w:rPr>
        <w:t>, inclusive verte et durable, réductrice des iné</w:t>
      </w:r>
      <w:r w:rsidR="00D87A34">
        <w:rPr>
          <w:bCs/>
          <w:lang w:val="fr-FR"/>
        </w:rPr>
        <w:t>galités. Elle </w:t>
      </w:r>
      <w:r w:rsidR="00D80F06">
        <w:rPr>
          <w:bCs/>
          <w:lang w:val="fr-FR"/>
        </w:rPr>
        <w:t xml:space="preserve">vise également à </w:t>
      </w:r>
      <w:r w:rsidR="00D80F06" w:rsidRPr="002D6CAB">
        <w:rPr>
          <w:bCs/>
          <w:lang w:val="fr-FR"/>
        </w:rPr>
        <w:t>renforcer la résilience et à partager équitablement la prospérité.</w:t>
      </w:r>
    </w:p>
    <w:p w:rsidR="00D80F06" w:rsidRPr="002D6CAB" w:rsidRDefault="00C87B7B" w:rsidP="00C87B7B">
      <w:pPr>
        <w:pStyle w:val="SingleTxtG"/>
        <w:rPr>
          <w:lang w:val="fr-FR"/>
        </w:rPr>
      </w:pPr>
      <w:r w:rsidRPr="002D6CAB">
        <w:rPr>
          <w:lang w:val="fr-FR"/>
        </w:rPr>
        <w:t>11.</w:t>
      </w:r>
      <w:r w:rsidRPr="002D6CAB">
        <w:rPr>
          <w:lang w:val="fr-FR"/>
        </w:rPr>
        <w:tab/>
      </w:r>
      <w:r w:rsidR="00D80F06" w:rsidRPr="002D6CAB">
        <w:rPr>
          <w:lang w:val="fr-FR"/>
        </w:rPr>
        <w:t>L</w:t>
      </w:r>
      <w:r w:rsidR="00A24C87">
        <w:rPr>
          <w:lang w:val="fr-FR"/>
        </w:rPr>
        <w:t>’</w:t>
      </w:r>
      <w:r w:rsidR="00D80F06" w:rsidRPr="002D6CAB">
        <w:rPr>
          <w:lang w:val="fr-FR"/>
        </w:rPr>
        <w:t>évaluation du CSLP (2001</w:t>
      </w:r>
      <w:r w:rsidR="0022689C">
        <w:rPr>
          <w:lang w:val="fr-FR"/>
        </w:rPr>
        <w:t>-</w:t>
      </w:r>
      <w:r w:rsidR="00D80F06" w:rsidRPr="002D6CAB">
        <w:rPr>
          <w:lang w:val="fr-FR"/>
        </w:rPr>
        <w:t>2015) a fait ressortir des acquis majeurs</w:t>
      </w:r>
      <w:r w:rsidR="009573B0">
        <w:rPr>
          <w:lang w:val="fr-FR"/>
        </w:rPr>
        <w:t> :</w:t>
      </w:r>
      <w:r w:rsidR="00D80F06" w:rsidRPr="002D6CAB">
        <w:rPr>
          <w:lang w:val="fr-FR"/>
        </w:rPr>
        <w:t xml:space="preserve"> </w:t>
      </w:r>
    </w:p>
    <w:p w:rsidR="00D80F06" w:rsidRPr="002D6CAB" w:rsidRDefault="00C87B7B" w:rsidP="00C87B7B">
      <w:pPr>
        <w:pStyle w:val="Bullet1G"/>
        <w:numPr>
          <w:ilvl w:val="0"/>
          <w:numId w:val="0"/>
        </w:numPr>
        <w:tabs>
          <w:tab w:val="left" w:pos="1701"/>
        </w:tabs>
        <w:ind w:left="1701" w:hanging="170"/>
        <w:rPr>
          <w:lang w:val="fr-FR"/>
        </w:rPr>
      </w:pPr>
      <w:r w:rsidRPr="002D6CAB">
        <w:rPr>
          <w:lang w:val="fr-FR"/>
        </w:rPr>
        <w:t>•</w:t>
      </w:r>
      <w:r w:rsidRPr="002D6CAB">
        <w:rPr>
          <w:lang w:val="fr-FR"/>
        </w:rPr>
        <w:tab/>
      </w:r>
      <w:r w:rsidR="00D94138" w:rsidRPr="002D6CAB">
        <w:rPr>
          <w:lang w:val="fr-FR"/>
        </w:rPr>
        <w:t xml:space="preserve">La stabilisation </w:t>
      </w:r>
      <w:proofErr w:type="spellStart"/>
      <w:r w:rsidR="00D94138" w:rsidRPr="002D6CAB">
        <w:rPr>
          <w:lang w:val="fr-FR"/>
        </w:rPr>
        <w:t>macroéconomique</w:t>
      </w:r>
      <w:proofErr w:type="spellEnd"/>
      <w:r w:rsidR="009573B0">
        <w:rPr>
          <w:lang w:val="fr-FR"/>
        </w:rPr>
        <w:t> ;</w:t>
      </w:r>
    </w:p>
    <w:p w:rsidR="00D80F06" w:rsidRPr="002D6CAB" w:rsidRDefault="00C87B7B" w:rsidP="00C87B7B">
      <w:pPr>
        <w:pStyle w:val="Bullet1G"/>
        <w:numPr>
          <w:ilvl w:val="0"/>
          <w:numId w:val="0"/>
        </w:numPr>
        <w:tabs>
          <w:tab w:val="left" w:pos="1701"/>
        </w:tabs>
        <w:ind w:left="1701" w:hanging="170"/>
        <w:rPr>
          <w:lang w:val="fr-FR"/>
        </w:rPr>
      </w:pPr>
      <w:r w:rsidRPr="002D6CAB">
        <w:rPr>
          <w:lang w:val="fr-FR"/>
        </w:rPr>
        <w:t>•</w:t>
      </w:r>
      <w:r w:rsidRPr="002D6CAB">
        <w:rPr>
          <w:lang w:val="fr-FR"/>
        </w:rPr>
        <w:tab/>
      </w:r>
      <w:r w:rsidR="00D94138" w:rsidRPr="002D6CAB">
        <w:rPr>
          <w:lang w:val="fr-FR"/>
        </w:rPr>
        <w:t>La réalisation d</w:t>
      </w:r>
      <w:r w:rsidR="00A24C87">
        <w:rPr>
          <w:lang w:val="fr-FR"/>
        </w:rPr>
        <w:t>’</w:t>
      </w:r>
      <w:r w:rsidR="00D94138" w:rsidRPr="002D6CAB">
        <w:rPr>
          <w:lang w:val="fr-FR"/>
        </w:rPr>
        <w:t>un ta</w:t>
      </w:r>
      <w:r w:rsidR="00D80F06" w:rsidRPr="002D6CAB">
        <w:rPr>
          <w:lang w:val="fr-FR"/>
        </w:rPr>
        <w:t>ux moyen annuel de croissance de</w:t>
      </w:r>
      <w:r w:rsidR="00D80F06">
        <w:rPr>
          <w:lang w:val="fr-FR"/>
        </w:rPr>
        <w:t xml:space="preserve"> </w:t>
      </w:r>
      <w:r w:rsidR="00D80F06" w:rsidRPr="002D6CAB">
        <w:rPr>
          <w:lang w:val="fr-FR"/>
        </w:rPr>
        <w:t>4,5</w:t>
      </w:r>
      <w:r w:rsidR="00D87A34">
        <w:rPr>
          <w:lang w:val="fr-FR"/>
        </w:rPr>
        <w:t> </w:t>
      </w:r>
      <w:r w:rsidR="00D80F06" w:rsidRPr="002D6CAB">
        <w:rPr>
          <w:lang w:val="fr-FR"/>
        </w:rPr>
        <w:t>%</w:t>
      </w:r>
      <w:r w:rsidR="009573B0">
        <w:rPr>
          <w:lang w:val="fr-FR"/>
        </w:rPr>
        <w:t> ;</w:t>
      </w:r>
      <w:r w:rsidR="00D80F06" w:rsidRPr="002D6CAB">
        <w:rPr>
          <w:lang w:val="fr-FR"/>
        </w:rPr>
        <w:t xml:space="preserve"> </w:t>
      </w:r>
    </w:p>
    <w:p w:rsidR="00D80F06" w:rsidRPr="002D6CAB" w:rsidRDefault="00C87B7B" w:rsidP="00C87B7B">
      <w:pPr>
        <w:pStyle w:val="Bullet1G"/>
        <w:numPr>
          <w:ilvl w:val="0"/>
          <w:numId w:val="0"/>
        </w:numPr>
        <w:tabs>
          <w:tab w:val="left" w:pos="1701"/>
        </w:tabs>
        <w:ind w:left="1701" w:hanging="170"/>
        <w:rPr>
          <w:lang w:val="fr-FR"/>
        </w:rPr>
      </w:pPr>
      <w:r w:rsidRPr="002D6CAB">
        <w:rPr>
          <w:lang w:val="fr-FR"/>
        </w:rPr>
        <w:t>•</w:t>
      </w:r>
      <w:r w:rsidRPr="002D6CAB">
        <w:rPr>
          <w:lang w:val="fr-FR"/>
        </w:rPr>
        <w:tab/>
      </w:r>
      <w:r w:rsidR="00D94138" w:rsidRPr="002D6CAB">
        <w:rPr>
          <w:lang w:val="fr-FR"/>
        </w:rPr>
        <w:t>L</w:t>
      </w:r>
      <w:r w:rsidR="00A24C87">
        <w:rPr>
          <w:lang w:val="fr-FR"/>
        </w:rPr>
        <w:t>’</w:t>
      </w:r>
      <w:r w:rsidR="00D94138" w:rsidRPr="002D6CAB">
        <w:rPr>
          <w:lang w:val="fr-FR"/>
        </w:rPr>
        <w:t>inflat</w:t>
      </w:r>
      <w:r w:rsidR="00D87A34">
        <w:rPr>
          <w:lang w:val="fr-FR"/>
        </w:rPr>
        <w:t>ion a été contenue à moins de 5 </w:t>
      </w:r>
      <w:r w:rsidR="00D94138" w:rsidRPr="002D6CAB">
        <w:rPr>
          <w:lang w:val="fr-FR"/>
        </w:rPr>
        <w:t>% en moyenne</w:t>
      </w:r>
      <w:r w:rsidR="009573B0">
        <w:rPr>
          <w:lang w:val="fr-FR"/>
        </w:rPr>
        <w:t> ;</w:t>
      </w:r>
    </w:p>
    <w:p w:rsidR="00D80F06" w:rsidRPr="002D6CAB" w:rsidRDefault="00C87B7B" w:rsidP="00C87B7B">
      <w:pPr>
        <w:pStyle w:val="Bullet1G"/>
        <w:numPr>
          <w:ilvl w:val="0"/>
          <w:numId w:val="0"/>
        </w:numPr>
        <w:tabs>
          <w:tab w:val="left" w:pos="1701"/>
        </w:tabs>
        <w:ind w:left="1701" w:hanging="170"/>
        <w:rPr>
          <w:lang w:val="fr-FR"/>
        </w:rPr>
      </w:pPr>
      <w:r w:rsidRPr="002D6CAB">
        <w:rPr>
          <w:lang w:val="fr-FR"/>
        </w:rPr>
        <w:t>•</w:t>
      </w:r>
      <w:r w:rsidRPr="002D6CAB">
        <w:rPr>
          <w:lang w:val="fr-FR"/>
        </w:rPr>
        <w:tab/>
      </w:r>
      <w:r w:rsidR="00D94138" w:rsidRPr="002D6CAB">
        <w:rPr>
          <w:lang w:val="fr-FR"/>
        </w:rPr>
        <w:t>L</w:t>
      </w:r>
      <w:r w:rsidR="00A24C87">
        <w:rPr>
          <w:lang w:val="fr-FR"/>
        </w:rPr>
        <w:t>’</w:t>
      </w:r>
      <w:r w:rsidR="00D94138" w:rsidRPr="002D6CAB">
        <w:rPr>
          <w:lang w:val="fr-FR"/>
        </w:rPr>
        <w:t>accroissement des recettes liées aux industries extractives</w:t>
      </w:r>
      <w:r w:rsidR="009573B0">
        <w:rPr>
          <w:lang w:val="fr-FR"/>
        </w:rPr>
        <w:t> ;</w:t>
      </w:r>
    </w:p>
    <w:p w:rsidR="00D80F06" w:rsidRPr="002D6CAB" w:rsidRDefault="00C87B7B" w:rsidP="00C87B7B">
      <w:pPr>
        <w:pStyle w:val="Bullet1G"/>
        <w:numPr>
          <w:ilvl w:val="0"/>
          <w:numId w:val="0"/>
        </w:numPr>
        <w:tabs>
          <w:tab w:val="left" w:pos="1701"/>
        </w:tabs>
        <w:ind w:left="1701" w:hanging="170"/>
        <w:rPr>
          <w:lang w:val="fr-FR"/>
        </w:rPr>
      </w:pPr>
      <w:r w:rsidRPr="002D6CAB">
        <w:rPr>
          <w:lang w:val="fr-FR"/>
        </w:rPr>
        <w:t>•</w:t>
      </w:r>
      <w:r w:rsidRPr="002D6CAB">
        <w:rPr>
          <w:lang w:val="fr-FR"/>
        </w:rPr>
        <w:tab/>
      </w:r>
      <w:r w:rsidR="00D94138" w:rsidRPr="002D6CAB">
        <w:rPr>
          <w:lang w:val="fr-FR"/>
        </w:rPr>
        <w:t>La diminution du taux de pauvreté qui passe de 51</w:t>
      </w:r>
      <w:r w:rsidR="00D87A34">
        <w:rPr>
          <w:lang w:val="fr-FR"/>
        </w:rPr>
        <w:t> </w:t>
      </w:r>
      <w:r w:rsidR="00D94138" w:rsidRPr="002D6CAB">
        <w:rPr>
          <w:lang w:val="fr-FR"/>
        </w:rPr>
        <w:t>% en 2001, 46,</w:t>
      </w:r>
      <w:r w:rsidR="00D87A34">
        <w:rPr>
          <w:lang w:val="fr-FR"/>
        </w:rPr>
        <w:t>70 % en 2004, 42 % en 2008 et 31 </w:t>
      </w:r>
      <w:r w:rsidR="00D94138" w:rsidRPr="002D6CAB">
        <w:rPr>
          <w:lang w:val="fr-FR"/>
        </w:rPr>
        <w:t>%</w:t>
      </w:r>
      <w:r w:rsidR="00D80F06" w:rsidRPr="002D6CAB">
        <w:rPr>
          <w:lang w:val="fr-FR"/>
        </w:rPr>
        <w:t xml:space="preserve"> en 2014.</w:t>
      </w:r>
    </w:p>
    <w:p w:rsidR="00D80F06" w:rsidRPr="002D6CAB" w:rsidRDefault="00C87B7B" w:rsidP="00C87B7B">
      <w:pPr>
        <w:pStyle w:val="SingleTxtG"/>
        <w:rPr>
          <w:lang w:val="fr-FR"/>
        </w:rPr>
      </w:pPr>
      <w:r w:rsidRPr="002D6CAB">
        <w:rPr>
          <w:lang w:val="fr-FR"/>
        </w:rPr>
        <w:t>12.</w:t>
      </w:r>
      <w:r w:rsidRPr="002D6CAB">
        <w:rPr>
          <w:lang w:val="fr-FR"/>
        </w:rPr>
        <w:tab/>
      </w:r>
      <w:r w:rsidR="00D80F06" w:rsidRPr="002D6CAB">
        <w:rPr>
          <w:lang w:val="fr-FR"/>
        </w:rPr>
        <w:t>De plus, d</w:t>
      </w:r>
      <w:r w:rsidR="00A24C87">
        <w:rPr>
          <w:lang w:val="fr-FR"/>
        </w:rPr>
        <w:t>’</w:t>
      </w:r>
      <w:r w:rsidR="00D80F06" w:rsidRPr="002D6CAB">
        <w:rPr>
          <w:lang w:val="fr-FR"/>
        </w:rPr>
        <w:t>importants investissements ont été réalisés dans le domaine des infrastructures sanitaires (construction, réhabilitation et équipement d</w:t>
      </w:r>
      <w:r w:rsidR="00A24C87">
        <w:rPr>
          <w:lang w:val="fr-FR"/>
        </w:rPr>
        <w:t>’</w:t>
      </w:r>
      <w:r w:rsidR="00D80F06" w:rsidRPr="002D6CAB">
        <w:rPr>
          <w:lang w:val="fr-FR"/>
        </w:rPr>
        <w:t>hôpitaux, création d</w:t>
      </w:r>
      <w:r w:rsidR="00A24C87">
        <w:rPr>
          <w:lang w:val="fr-FR"/>
        </w:rPr>
        <w:t>’</w:t>
      </w:r>
      <w:r w:rsidR="00D80F06" w:rsidRPr="002D6CAB">
        <w:rPr>
          <w:lang w:val="fr-FR"/>
        </w:rPr>
        <w:t>écoles de santé …)</w:t>
      </w:r>
      <w:r w:rsidR="00D80F06">
        <w:rPr>
          <w:lang w:val="fr-FR"/>
        </w:rPr>
        <w:t xml:space="preserve"> </w:t>
      </w:r>
      <w:r w:rsidR="00D80F06" w:rsidRPr="002D6CAB">
        <w:rPr>
          <w:lang w:val="fr-FR"/>
        </w:rPr>
        <w:t>ce qui s</w:t>
      </w:r>
      <w:r w:rsidR="00A24C87">
        <w:rPr>
          <w:lang w:val="fr-FR"/>
        </w:rPr>
        <w:t>’</w:t>
      </w:r>
      <w:r w:rsidR="00D80F06" w:rsidRPr="002D6CAB">
        <w:rPr>
          <w:lang w:val="fr-FR"/>
        </w:rPr>
        <w:t>est traduit par d</w:t>
      </w:r>
      <w:r w:rsidR="00A24C87">
        <w:rPr>
          <w:lang w:val="fr-FR"/>
        </w:rPr>
        <w:t>’</w:t>
      </w:r>
      <w:r w:rsidR="00D80F06" w:rsidRPr="002D6CAB">
        <w:rPr>
          <w:lang w:val="fr-FR"/>
        </w:rPr>
        <w:t>importants succès dans la lutte contre la maladie (VIH/SIDA, épidémies, tuberculose et</w:t>
      </w:r>
      <w:r w:rsidR="00D80F06">
        <w:rPr>
          <w:lang w:val="fr-FR"/>
        </w:rPr>
        <w:t xml:space="preserve"> </w:t>
      </w:r>
      <w:r w:rsidR="00D80F06" w:rsidRPr="002D6CAB">
        <w:rPr>
          <w:lang w:val="fr-FR"/>
        </w:rPr>
        <w:t xml:space="preserve">paludisme). </w:t>
      </w:r>
    </w:p>
    <w:p w:rsidR="00D80F06" w:rsidRPr="002D6CAB" w:rsidRDefault="00C87B7B" w:rsidP="00C87B7B">
      <w:pPr>
        <w:pStyle w:val="SingleTxtG"/>
        <w:rPr>
          <w:lang w:val="fr-FR"/>
        </w:rPr>
      </w:pPr>
      <w:r w:rsidRPr="002D6CAB">
        <w:rPr>
          <w:lang w:val="fr-FR"/>
        </w:rPr>
        <w:t>13.</w:t>
      </w:r>
      <w:r w:rsidRPr="002D6CAB">
        <w:rPr>
          <w:lang w:val="fr-FR"/>
        </w:rPr>
        <w:tab/>
      </w:r>
      <w:r w:rsidR="00D80F06" w:rsidRPr="002D6CAB">
        <w:rPr>
          <w:bCs/>
          <w:lang w:val="fr-FR"/>
        </w:rPr>
        <w:t>Dans ce cadre les principaux indicateurs de santé se présentent comme suit</w:t>
      </w:r>
      <w:r w:rsidR="009573B0">
        <w:rPr>
          <w:bCs/>
          <w:lang w:val="fr-FR"/>
        </w:rPr>
        <w:t> :</w:t>
      </w:r>
      <w:r w:rsidR="00D64AC8">
        <w:rPr>
          <w:bCs/>
          <w:lang w:val="fr-FR"/>
        </w:rPr>
        <w:t xml:space="preserve"> (i) </w:t>
      </w:r>
      <w:r w:rsidR="00D80F06" w:rsidRPr="002D6CAB">
        <w:rPr>
          <w:bCs/>
          <w:lang w:val="fr-FR"/>
        </w:rPr>
        <w:t>la couverture sanitaire est de 74</w:t>
      </w:r>
      <w:r w:rsidR="00D64AC8">
        <w:rPr>
          <w:bCs/>
          <w:lang w:val="fr-FR"/>
        </w:rPr>
        <w:t> % dans un rayon de 5 </w:t>
      </w:r>
      <w:r w:rsidR="00D80F06" w:rsidRPr="00B62BB2">
        <w:rPr>
          <w:lang w:val="fr-FR"/>
        </w:rPr>
        <w:t>km</w:t>
      </w:r>
      <w:r w:rsidR="00D80F06" w:rsidRPr="002D6CAB">
        <w:rPr>
          <w:bCs/>
          <w:lang w:val="fr-FR"/>
        </w:rPr>
        <w:t>; (ii</w:t>
      </w:r>
      <w:r w:rsidR="00D64AC8">
        <w:rPr>
          <w:bCs/>
          <w:lang w:val="fr-FR"/>
        </w:rPr>
        <w:t>) </w:t>
      </w:r>
      <w:r w:rsidR="00D80F06" w:rsidRPr="002D6CAB">
        <w:rPr>
          <w:bCs/>
          <w:lang w:val="fr-FR"/>
        </w:rPr>
        <w:t>le taux de mort</w:t>
      </w:r>
      <w:r w:rsidR="00D64AC8">
        <w:rPr>
          <w:bCs/>
          <w:lang w:val="fr-FR"/>
        </w:rPr>
        <w:t>alité des enfants de moins de 5 </w:t>
      </w:r>
      <w:r w:rsidR="00D80F06" w:rsidRPr="002D6CAB">
        <w:rPr>
          <w:bCs/>
          <w:lang w:val="fr-FR"/>
        </w:rPr>
        <w:t>an</w:t>
      </w:r>
      <w:r w:rsidR="00D64AC8">
        <w:rPr>
          <w:bCs/>
          <w:lang w:val="fr-FR"/>
        </w:rPr>
        <w:t>s est de 75 pour 1000 NV</w:t>
      </w:r>
      <w:r w:rsidR="009573B0">
        <w:rPr>
          <w:bCs/>
          <w:lang w:val="fr-FR"/>
        </w:rPr>
        <w:t> ;</w:t>
      </w:r>
      <w:r w:rsidR="00D64AC8">
        <w:rPr>
          <w:bCs/>
          <w:lang w:val="fr-FR"/>
        </w:rPr>
        <w:t xml:space="preserve"> (iii) </w:t>
      </w:r>
      <w:r w:rsidR="00D80F06" w:rsidRPr="002D6CAB">
        <w:rPr>
          <w:bCs/>
          <w:lang w:val="fr-FR"/>
        </w:rPr>
        <w:t>la proportion d</w:t>
      </w:r>
      <w:r w:rsidR="00A24C87">
        <w:rPr>
          <w:bCs/>
          <w:lang w:val="fr-FR"/>
        </w:rPr>
        <w:t>’</w:t>
      </w:r>
      <w:r w:rsidR="00D80F06" w:rsidRPr="002D6CAB">
        <w:rPr>
          <w:bCs/>
          <w:lang w:val="fr-FR"/>
        </w:rPr>
        <w:t>enfants d</w:t>
      </w:r>
      <w:r w:rsidR="00A24C87">
        <w:rPr>
          <w:bCs/>
          <w:lang w:val="fr-FR"/>
        </w:rPr>
        <w:t>’</w:t>
      </w:r>
      <w:r w:rsidR="00D80F06" w:rsidRPr="002D6CAB">
        <w:rPr>
          <w:bCs/>
          <w:lang w:val="fr-FR"/>
        </w:rPr>
        <w:t>un an, vaccinés contre la rougeole a atteint 78</w:t>
      </w:r>
      <w:r w:rsidR="00B253B0">
        <w:rPr>
          <w:bCs/>
          <w:lang w:val="fr-FR"/>
        </w:rPr>
        <w:t> </w:t>
      </w:r>
      <w:r w:rsidR="00D80F06" w:rsidRPr="002D6CAB">
        <w:rPr>
          <w:bCs/>
          <w:lang w:val="fr-FR"/>
        </w:rPr>
        <w:t>%</w:t>
      </w:r>
      <w:r w:rsidR="009573B0">
        <w:rPr>
          <w:bCs/>
          <w:lang w:val="fr-FR"/>
        </w:rPr>
        <w:t> ;</w:t>
      </w:r>
      <w:r w:rsidR="00D64AC8">
        <w:rPr>
          <w:bCs/>
          <w:lang w:val="fr-FR"/>
        </w:rPr>
        <w:t xml:space="preserve"> (iv) </w:t>
      </w:r>
      <w:r w:rsidR="00D80F06" w:rsidRPr="002D6CAB">
        <w:rPr>
          <w:bCs/>
          <w:lang w:val="fr-FR"/>
        </w:rPr>
        <w:t>le taux de</w:t>
      </w:r>
      <w:r w:rsidR="008B417A">
        <w:rPr>
          <w:bCs/>
          <w:lang w:val="fr-FR"/>
        </w:rPr>
        <w:t xml:space="preserve"> mortalité maternelle (pour 100 </w:t>
      </w:r>
      <w:r w:rsidR="00D80F06" w:rsidRPr="002D6CAB">
        <w:rPr>
          <w:bCs/>
          <w:lang w:val="fr-FR"/>
        </w:rPr>
        <w:t>000 naissances) est de 582</w:t>
      </w:r>
      <w:r w:rsidR="009573B0">
        <w:rPr>
          <w:bCs/>
          <w:lang w:val="fr-FR"/>
        </w:rPr>
        <w:t> ;</w:t>
      </w:r>
      <w:r w:rsidR="00D64AC8">
        <w:rPr>
          <w:bCs/>
          <w:lang w:val="fr-FR"/>
        </w:rPr>
        <w:t xml:space="preserve"> (v) </w:t>
      </w:r>
      <w:r w:rsidR="00D80F06" w:rsidRPr="002D6CAB">
        <w:rPr>
          <w:bCs/>
          <w:lang w:val="fr-FR"/>
        </w:rPr>
        <w:t>le taux de contraception est de 11.4</w:t>
      </w:r>
      <w:r w:rsidR="00D64AC8">
        <w:rPr>
          <w:bCs/>
          <w:lang w:val="fr-FR"/>
        </w:rPr>
        <w:t> %; (vi) </w:t>
      </w:r>
      <w:r w:rsidR="00D80F06" w:rsidRPr="002D6CAB">
        <w:rPr>
          <w:bCs/>
          <w:lang w:val="fr-FR"/>
        </w:rPr>
        <w:t>la préva</w:t>
      </w:r>
      <w:r w:rsidR="00D64AC8">
        <w:rPr>
          <w:bCs/>
          <w:lang w:val="fr-FR"/>
        </w:rPr>
        <w:t>lence VIH/SIDA chez les 15 à 24 </w:t>
      </w:r>
      <w:r w:rsidR="008B417A">
        <w:rPr>
          <w:bCs/>
          <w:lang w:val="fr-FR"/>
        </w:rPr>
        <w:t>ans est de 0,</w:t>
      </w:r>
      <w:r w:rsidR="00D80F06" w:rsidRPr="002D6CAB">
        <w:rPr>
          <w:bCs/>
          <w:lang w:val="fr-FR"/>
        </w:rPr>
        <w:t>7</w:t>
      </w:r>
      <w:r w:rsidR="00D64AC8">
        <w:rPr>
          <w:bCs/>
          <w:lang w:val="fr-FR"/>
        </w:rPr>
        <w:t> </w:t>
      </w:r>
      <w:r w:rsidR="00D80F06" w:rsidRPr="002D6CAB">
        <w:rPr>
          <w:bCs/>
          <w:lang w:val="fr-FR"/>
        </w:rPr>
        <w:t>%, maintenue à un niveau inférieur à 1</w:t>
      </w:r>
      <w:r w:rsidR="00D64AC8">
        <w:rPr>
          <w:bCs/>
          <w:lang w:val="fr-FR"/>
        </w:rPr>
        <w:t> </w:t>
      </w:r>
      <w:r w:rsidR="00D80F06" w:rsidRPr="002D6CAB">
        <w:rPr>
          <w:bCs/>
          <w:lang w:val="fr-FR"/>
        </w:rPr>
        <w:t>%</w:t>
      </w:r>
      <w:r w:rsidR="009573B0">
        <w:rPr>
          <w:bCs/>
          <w:lang w:val="fr-FR"/>
        </w:rPr>
        <w:t> ;</w:t>
      </w:r>
      <w:r w:rsidR="00D64AC8">
        <w:rPr>
          <w:bCs/>
          <w:lang w:val="fr-FR"/>
        </w:rPr>
        <w:t xml:space="preserve"> et (vii) </w:t>
      </w:r>
      <w:r w:rsidR="00D80F06" w:rsidRPr="002D6CAB">
        <w:rPr>
          <w:bCs/>
          <w:lang w:val="fr-FR"/>
        </w:rPr>
        <w:t xml:space="preserve">le nombre de décès </w:t>
      </w:r>
      <w:r w:rsidR="00D64AC8">
        <w:rPr>
          <w:bCs/>
          <w:lang w:val="fr-FR"/>
        </w:rPr>
        <w:t>parmi les enfants de moins de 5 </w:t>
      </w:r>
      <w:r w:rsidR="00D80F06" w:rsidRPr="002D6CAB">
        <w:rPr>
          <w:bCs/>
          <w:lang w:val="fr-FR"/>
        </w:rPr>
        <w:t>ans, dus au paludisme, est de 5</w:t>
      </w:r>
      <w:r w:rsidR="005A3386">
        <w:rPr>
          <w:bCs/>
          <w:lang w:val="fr-FR"/>
        </w:rPr>
        <w:t>,</w:t>
      </w:r>
      <w:r w:rsidR="00D80F06" w:rsidRPr="002D6CAB">
        <w:rPr>
          <w:bCs/>
          <w:lang w:val="fr-FR"/>
        </w:rPr>
        <w:t>1</w:t>
      </w:r>
      <w:r w:rsidR="00D64AC8">
        <w:rPr>
          <w:bCs/>
          <w:lang w:val="fr-FR"/>
        </w:rPr>
        <w:t> </w:t>
      </w:r>
      <w:r w:rsidR="00D80F06" w:rsidRPr="002D6CAB">
        <w:rPr>
          <w:bCs/>
          <w:lang w:val="fr-FR"/>
        </w:rPr>
        <w:t xml:space="preserve">%. </w:t>
      </w:r>
    </w:p>
    <w:p w:rsidR="00D80F06" w:rsidRPr="002D6CAB" w:rsidRDefault="00C87B7B" w:rsidP="00C87B7B">
      <w:pPr>
        <w:pStyle w:val="SingleTxtG"/>
        <w:rPr>
          <w:lang w:val="fr-FR"/>
        </w:rPr>
      </w:pPr>
      <w:r w:rsidRPr="002D6CAB">
        <w:rPr>
          <w:lang w:val="fr-FR"/>
        </w:rPr>
        <w:t>14.</w:t>
      </w:r>
      <w:r w:rsidRPr="002D6CAB">
        <w:rPr>
          <w:lang w:val="fr-FR"/>
        </w:rPr>
        <w:tab/>
      </w:r>
      <w:r w:rsidR="00D80F06" w:rsidRPr="002D6CAB">
        <w:rPr>
          <w:bCs/>
          <w:lang w:val="fr-FR"/>
        </w:rPr>
        <w:t>Concernant l</w:t>
      </w:r>
      <w:r w:rsidR="00A24C87">
        <w:rPr>
          <w:bCs/>
          <w:lang w:val="fr-FR"/>
        </w:rPr>
        <w:t>’</w:t>
      </w:r>
      <w:r w:rsidR="00D80F06" w:rsidRPr="002D6CAB">
        <w:rPr>
          <w:bCs/>
          <w:lang w:val="fr-FR"/>
        </w:rPr>
        <w:t xml:space="preserve">éducation, des progrès sensibles ont été enregistrés suite à la mise en œuvre de programmes importants de </w:t>
      </w:r>
      <w:r w:rsidR="00D80F06" w:rsidRPr="00B62BB2">
        <w:rPr>
          <w:lang w:val="fr-FR"/>
        </w:rPr>
        <w:t>construction</w:t>
      </w:r>
      <w:r w:rsidR="00D80F06" w:rsidRPr="002D6CAB">
        <w:rPr>
          <w:bCs/>
          <w:lang w:val="fr-FR"/>
        </w:rPr>
        <w:t xml:space="preserve"> et d</w:t>
      </w:r>
      <w:r w:rsidR="00A24C87">
        <w:rPr>
          <w:bCs/>
          <w:lang w:val="fr-FR"/>
        </w:rPr>
        <w:t>’</w:t>
      </w:r>
      <w:r w:rsidR="00D80F06" w:rsidRPr="002D6CAB">
        <w:rPr>
          <w:bCs/>
          <w:lang w:val="fr-FR"/>
        </w:rPr>
        <w:t>extension d</w:t>
      </w:r>
      <w:r w:rsidR="00A24C87">
        <w:rPr>
          <w:bCs/>
          <w:lang w:val="fr-FR"/>
        </w:rPr>
        <w:t>’</w:t>
      </w:r>
      <w:r w:rsidR="00D80F06" w:rsidRPr="002D6CAB">
        <w:rPr>
          <w:bCs/>
          <w:lang w:val="fr-FR"/>
        </w:rPr>
        <w:t>écoles et de collèges de proximité. Les capacités d</w:t>
      </w:r>
      <w:r w:rsidR="00A24C87">
        <w:rPr>
          <w:bCs/>
          <w:lang w:val="fr-FR"/>
        </w:rPr>
        <w:t>’</w:t>
      </w:r>
      <w:r w:rsidR="00D80F06" w:rsidRPr="002D6CAB">
        <w:rPr>
          <w:bCs/>
          <w:lang w:val="fr-FR"/>
        </w:rPr>
        <w:t>accueil de l</w:t>
      </w:r>
      <w:r w:rsidR="00A24C87">
        <w:rPr>
          <w:bCs/>
          <w:lang w:val="fr-FR"/>
        </w:rPr>
        <w:t>’</w:t>
      </w:r>
      <w:r w:rsidR="00D80F06" w:rsidRPr="002D6CAB">
        <w:rPr>
          <w:bCs/>
          <w:lang w:val="fr-FR"/>
        </w:rPr>
        <w:t>enseignement technique et professionnel ont triplé. L</w:t>
      </w:r>
      <w:r w:rsidR="00A24C87">
        <w:rPr>
          <w:bCs/>
          <w:lang w:val="fr-FR"/>
        </w:rPr>
        <w:t>’</w:t>
      </w:r>
      <w:r w:rsidR="00D80F06" w:rsidRPr="002D6CAB">
        <w:rPr>
          <w:bCs/>
          <w:lang w:val="fr-FR"/>
        </w:rPr>
        <w:t>enseignement supérieur quant à lui, a connu la mise en place de nouveaux établissements universitaires et d</w:t>
      </w:r>
      <w:r w:rsidR="00A24C87">
        <w:rPr>
          <w:bCs/>
          <w:lang w:val="fr-FR"/>
        </w:rPr>
        <w:t>’</w:t>
      </w:r>
      <w:r w:rsidR="00D80F06" w:rsidRPr="002D6CAB">
        <w:rPr>
          <w:bCs/>
          <w:lang w:val="fr-FR"/>
        </w:rPr>
        <w:t xml:space="preserve">écoles spécialisées. </w:t>
      </w:r>
    </w:p>
    <w:p w:rsidR="00D80F06" w:rsidRPr="002D6CAB" w:rsidRDefault="00C87B7B" w:rsidP="00C87B7B">
      <w:pPr>
        <w:pStyle w:val="SingleTxtG"/>
        <w:rPr>
          <w:lang w:val="fr-FR"/>
        </w:rPr>
      </w:pPr>
      <w:r w:rsidRPr="002D6CAB">
        <w:rPr>
          <w:lang w:val="fr-FR"/>
        </w:rPr>
        <w:t>15.</w:t>
      </w:r>
      <w:r w:rsidRPr="002D6CAB">
        <w:rPr>
          <w:lang w:val="fr-FR"/>
        </w:rPr>
        <w:tab/>
      </w:r>
      <w:r w:rsidR="00D80F06" w:rsidRPr="002D6CAB">
        <w:rPr>
          <w:bCs/>
          <w:lang w:val="fr-FR"/>
        </w:rPr>
        <w:t>Le taux d</w:t>
      </w:r>
      <w:r w:rsidR="00A24C87">
        <w:rPr>
          <w:bCs/>
          <w:lang w:val="fr-FR"/>
        </w:rPr>
        <w:t>’</w:t>
      </w:r>
      <w:r w:rsidR="00D80F06" w:rsidRPr="002D6CAB">
        <w:rPr>
          <w:bCs/>
          <w:lang w:val="fr-FR"/>
        </w:rPr>
        <w:t>accès au préscolaire est passé selon le RESEN 2014 de 5,0</w:t>
      </w:r>
      <w:r w:rsidR="008B417A">
        <w:rPr>
          <w:bCs/>
          <w:lang w:val="fr-FR"/>
        </w:rPr>
        <w:t> </w:t>
      </w:r>
      <w:r w:rsidR="00D80F06" w:rsidRPr="002D6CAB">
        <w:rPr>
          <w:bCs/>
          <w:lang w:val="fr-FR"/>
        </w:rPr>
        <w:t>% en 2004 à 9,3</w:t>
      </w:r>
      <w:r w:rsidR="00B253B0">
        <w:rPr>
          <w:bCs/>
          <w:lang w:val="fr-FR"/>
        </w:rPr>
        <w:t> </w:t>
      </w:r>
      <w:r w:rsidR="00D80F06" w:rsidRPr="002D6CAB">
        <w:rPr>
          <w:bCs/>
          <w:lang w:val="fr-FR"/>
        </w:rPr>
        <w:t xml:space="preserve">% en 2014-2015. Au fondamental, le taux brut de </w:t>
      </w:r>
      <w:r w:rsidR="00D80F06" w:rsidRPr="00B62BB2">
        <w:rPr>
          <w:lang w:val="fr-FR"/>
        </w:rPr>
        <w:t>scolarisation</w:t>
      </w:r>
      <w:r w:rsidR="00D80F06" w:rsidRPr="002D6CAB">
        <w:rPr>
          <w:bCs/>
          <w:lang w:val="fr-FR"/>
        </w:rPr>
        <w:t xml:space="preserve"> (TBS) est estimé à 72,4</w:t>
      </w:r>
      <w:r w:rsidR="008B417A">
        <w:rPr>
          <w:bCs/>
          <w:lang w:val="fr-FR"/>
        </w:rPr>
        <w:t> </w:t>
      </w:r>
      <w:r w:rsidR="00D80F06" w:rsidRPr="002D6CAB">
        <w:rPr>
          <w:bCs/>
          <w:lang w:val="fr-FR"/>
        </w:rPr>
        <w:t>% en 2013 contre 68,4</w:t>
      </w:r>
      <w:r w:rsidR="008B417A">
        <w:rPr>
          <w:bCs/>
          <w:lang w:val="fr-FR"/>
        </w:rPr>
        <w:t> </w:t>
      </w:r>
      <w:r w:rsidR="00D80F06" w:rsidRPr="002D6CAB">
        <w:rPr>
          <w:bCs/>
          <w:lang w:val="fr-FR"/>
        </w:rPr>
        <w:t>% en 2000 et 44,7</w:t>
      </w:r>
      <w:r w:rsidR="008B417A">
        <w:rPr>
          <w:bCs/>
          <w:lang w:val="fr-FR"/>
        </w:rPr>
        <w:t> </w:t>
      </w:r>
      <w:r w:rsidR="00D80F06" w:rsidRPr="002D6CAB">
        <w:rPr>
          <w:bCs/>
          <w:lang w:val="fr-FR"/>
        </w:rPr>
        <w:t>% en 1988, selon les données RGPH. Le TBS des filles présente depuis 2000 un écart qui leur est favorable. Au secondaire général, le TBS est, selon la même source, de 30,9</w:t>
      </w:r>
      <w:r w:rsidR="008B417A">
        <w:rPr>
          <w:bCs/>
          <w:lang w:val="fr-FR"/>
        </w:rPr>
        <w:t> </w:t>
      </w:r>
      <w:r w:rsidR="00D80F06" w:rsidRPr="002D6CAB">
        <w:rPr>
          <w:bCs/>
          <w:lang w:val="fr-FR"/>
        </w:rPr>
        <w:t>% en 2013 contre 24,2</w:t>
      </w:r>
      <w:r w:rsidR="008B417A">
        <w:rPr>
          <w:bCs/>
          <w:lang w:val="fr-FR"/>
        </w:rPr>
        <w:t> </w:t>
      </w:r>
      <w:r w:rsidR="00D80F06" w:rsidRPr="002D6CAB">
        <w:rPr>
          <w:bCs/>
          <w:lang w:val="fr-FR"/>
        </w:rPr>
        <w:t xml:space="preserve">% en 2000. </w:t>
      </w:r>
    </w:p>
    <w:p w:rsidR="00D80F06" w:rsidRPr="002D6CAB" w:rsidRDefault="00C87B7B" w:rsidP="00C87B7B">
      <w:pPr>
        <w:pStyle w:val="SingleTxtG"/>
        <w:keepLines/>
        <w:rPr>
          <w:lang w:val="fr-FR"/>
        </w:rPr>
      </w:pPr>
      <w:r w:rsidRPr="002D6CAB">
        <w:rPr>
          <w:lang w:val="fr-FR"/>
        </w:rPr>
        <w:lastRenderedPageBreak/>
        <w:t>16.</w:t>
      </w:r>
      <w:r w:rsidRPr="002D6CAB">
        <w:rPr>
          <w:lang w:val="fr-FR"/>
        </w:rPr>
        <w:tab/>
      </w:r>
      <w:r w:rsidR="00D80F06" w:rsidRPr="002D6CAB">
        <w:rPr>
          <w:bCs/>
          <w:lang w:val="fr-FR"/>
        </w:rPr>
        <w:t>L</w:t>
      </w:r>
      <w:r w:rsidR="00A24C87">
        <w:rPr>
          <w:bCs/>
          <w:lang w:val="fr-FR"/>
        </w:rPr>
        <w:t>’</w:t>
      </w:r>
      <w:r w:rsidR="00D80F06" w:rsidRPr="002D6CAB">
        <w:rPr>
          <w:bCs/>
          <w:lang w:val="fr-FR"/>
        </w:rPr>
        <w:t>offre de la Formation Technique et Professionnelle (FTP) a connu un accroissement important sur la dernière décennie. Selon le RESEN 2014, ses effectifs sont passés de 1 902 apprenants en 2004, à 7 602 en 2014, soit un taux d</w:t>
      </w:r>
      <w:r w:rsidR="00A24C87">
        <w:rPr>
          <w:bCs/>
          <w:lang w:val="fr-FR"/>
        </w:rPr>
        <w:t>’</w:t>
      </w:r>
      <w:r w:rsidR="00D80F06" w:rsidRPr="002D6CAB">
        <w:rPr>
          <w:bCs/>
          <w:lang w:val="fr-FR"/>
        </w:rPr>
        <w:t>accroissement moyen annuel de près de 15</w:t>
      </w:r>
      <w:r w:rsidR="003A756E">
        <w:rPr>
          <w:bCs/>
          <w:lang w:val="fr-FR"/>
        </w:rPr>
        <w:t> </w:t>
      </w:r>
      <w:r w:rsidR="00D80F06" w:rsidRPr="002D6CAB">
        <w:rPr>
          <w:bCs/>
          <w:lang w:val="fr-FR"/>
        </w:rPr>
        <w:t>%. Parmi les effectifs accueillis, 30,5</w:t>
      </w:r>
      <w:r w:rsidR="00377BF1">
        <w:rPr>
          <w:bCs/>
          <w:lang w:val="fr-FR"/>
        </w:rPr>
        <w:t> </w:t>
      </w:r>
      <w:r w:rsidR="00D80F06" w:rsidRPr="002D6CAB">
        <w:rPr>
          <w:bCs/>
          <w:lang w:val="fr-FR"/>
        </w:rPr>
        <w:t xml:space="preserve">% le sont dans des établissements privés. </w:t>
      </w:r>
    </w:p>
    <w:p w:rsidR="00D80F06" w:rsidRPr="002D6CAB" w:rsidRDefault="00C87B7B" w:rsidP="00C87B7B">
      <w:pPr>
        <w:pStyle w:val="SingleTxtG"/>
        <w:rPr>
          <w:lang w:val="fr-FR"/>
        </w:rPr>
      </w:pPr>
      <w:r w:rsidRPr="002D6CAB">
        <w:rPr>
          <w:lang w:val="fr-FR"/>
        </w:rPr>
        <w:t>17.</w:t>
      </w:r>
      <w:r w:rsidRPr="002D6CAB">
        <w:rPr>
          <w:lang w:val="fr-FR"/>
        </w:rPr>
        <w:tab/>
      </w:r>
      <w:r w:rsidR="00D80F06" w:rsidRPr="002D6CAB">
        <w:rPr>
          <w:bCs/>
          <w:lang w:val="fr-FR"/>
        </w:rPr>
        <w:t>Pour l</w:t>
      </w:r>
      <w:r w:rsidR="00A24C87">
        <w:rPr>
          <w:bCs/>
          <w:lang w:val="fr-FR"/>
        </w:rPr>
        <w:t>’</w:t>
      </w:r>
      <w:r w:rsidR="00D80F06" w:rsidRPr="002D6CAB">
        <w:rPr>
          <w:bCs/>
          <w:lang w:val="fr-FR"/>
        </w:rPr>
        <w:t xml:space="preserve">enseignement supérieur, </w:t>
      </w:r>
      <w:r w:rsidR="00D80F06" w:rsidRPr="00B62BB2">
        <w:rPr>
          <w:lang w:val="fr-FR"/>
        </w:rPr>
        <w:t>l</w:t>
      </w:r>
      <w:r w:rsidR="00A24C87">
        <w:rPr>
          <w:lang w:val="fr-FR"/>
        </w:rPr>
        <w:t>’</w:t>
      </w:r>
      <w:r w:rsidR="00D80F06" w:rsidRPr="00B62BB2">
        <w:rPr>
          <w:lang w:val="fr-FR"/>
        </w:rPr>
        <w:t>offre</w:t>
      </w:r>
      <w:r w:rsidR="00D80F06" w:rsidRPr="002D6CAB">
        <w:rPr>
          <w:bCs/>
          <w:lang w:val="fr-FR"/>
        </w:rPr>
        <w:t xml:space="preserve"> publique est constituée de 12 structures d</w:t>
      </w:r>
      <w:r w:rsidR="00A24C87">
        <w:rPr>
          <w:bCs/>
          <w:lang w:val="fr-FR"/>
        </w:rPr>
        <w:t>’</w:t>
      </w:r>
      <w:r w:rsidR="00D80F06" w:rsidRPr="002D6CAB">
        <w:rPr>
          <w:bCs/>
          <w:lang w:val="fr-FR"/>
        </w:rPr>
        <w:t>enseignement. Selon le RESEN 2014, l</w:t>
      </w:r>
      <w:r w:rsidR="00A24C87">
        <w:rPr>
          <w:bCs/>
          <w:lang w:val="fr-FR"/>
        </w:rPr>
        <w:t>’</w:t>
      </w:r>
      <w:r w:rsidR="00D80F06" w:rsidRPr="002D6CAB">
        <w:rPr>
          <w:bCs/>
          <w:lang w:val="fr-FR"/>
        </w:rPr>
        <w:t>effectif des étudiants de l</w:t>
      </w:r>
      <w:r w:rsidR="00A24C87">
        <w:rPr>
          <w:bCs/>
          <w:lang w:val="fr-FR"/>
        </w:rPr>
        <w:t>’</w:t>
      </w:r>
      <w:r w:rsidR="00D80F06" w:rsidRPr="002D6CAB">
        <w:rPr>
          <w:bCs/>
          <w:lang w:val="fr-FR"/>
        </w:rPr>
        <w:t>enseignement supérieur est de 25 454 en 2014 contre 11 474 en 2004, soit un taux d</w:t>
      </w:r>
      <w:r w:rsidR="00A24C87">
        <w:rPr>
          <w:bCs/>
          <w:lang w:val="fr-FR"/>
        </w:rPr>
        <w:t>’</w:t>
      </w:r>
      <w:r w:rsidR="00D80F06" w:rsidRPr="002D6CAB">
        <w:rPr>
          <w:bCs/>
          <w:lang w:val="fr-FR"/>
        </w:rPr>
        <w:t>accroissement annuel de 8,3</w:t>
      </w:r>
      <w:r w:rsidR="00377BF1">
        <w:rPr>
          <w:bCs/>
          <w:lang w:val="fr-FR"/>
        </w:rPr>
        <w:t> </w:t>
      </w:r>
      <w:r w:rsidR="00D80F06" w:rsidRPr="002D6CAB">
        <w:rPr>
          <w:bCs/>
          <w:lang w:val="fr-FR"/>
        </w:rPr>
        <w:t>%.</w:t>
      </w:r>
    </w:p>
    <w:p w:rsidR="00D80F06" w:rsidRPr="002D6CAB" w:rsidRDefault="00C87B7B" w:rsidP="00C87B7B">
      <w:pPr>
        <w:pStyle w:val="SingleTxtG"/>
        <w:rPr>
          <w:lang w:val="fr-FR"/>
        </w:rPr>
      </w:pPr>
      <w:r w:rsidRPr="002D6CAB">
        <w:rPr>
          <w:lang w:val="fr-FR"/>
        </w:rPr>
        <w:t>18.</w:t>
      </w:r>
      <w:r w:rsidRPr="002D6CAB">
        <w:rPr>
          <w:lang w:val="fr-FR"/>
        </w:rPr>
        <w:tab/>
      </w:r>
      <w:r w:rsidR="00D80F06" w:rsidRPr="002D6CAB">
        <w:rPr>
          <w:bCs/>
          <w:lang w:val="fr-FR"/>
        </w:rPr>
        <w:t>L</w:t>
      </w:r>
      <w:r w:rsidR="00A24C87">
        <w:rPr>
          <w:bCs/>
          <w:lang w:val="fr-FR"/>
        </w:rPr>
        <w:t>’</w:t>
      </w:r>
      <w:r w:rsidR="00D80F06" w:rsidRPr="002D6CAB">
        <w:rPr>
          <w:bCs/>
          <w:lang w:val="fr-FR"/>
        </w:rPr>
        <w:t>enseignement privé représente, selon le RESEN 2014, une proportion de 67,7</w:t>
      </w:r>
      <w:r w:rsidR="00377BF1">
        <w:rPr>
          <w:bCs/>
          <w:lang w:val="fr-FR"/>
        </w:rPr>
        <w:t> </w:t>
      </w:r>
      <w:r w:rsidR="00D80F06" w:rsidRPr="002D6CAB">
        <w:rPr>
          <w:bCs/>
          <w:lang w:val="fr-FR"/>
        </w:rPr>
        <w:t>% au préscolaire, 14,8</w:t>
      </w:r>
      <w:r w:rsidR="00377BF1">
        <w:rPr>
          <w:bCs/>
          <w:lang w:val="fr-FR"/>
        </w:rPr>
        <w:t> </w:t>
      </w:r>
      <w:r w:rsidR="00D80F06" w:rsidRPr="002D6CAB">
        <w:rPr>
          <w:bCs/>
          <w:lang w:val="fr-FR"/>
        </w:rPr>
        <w:t>% au fondamental, 25,4</w:t>
      </w:r>
      <w:r w:rsidR="00377BF1">
        <w:rPr>
          <w:bCs/>
          <w:lang w:val="fr-FR"/>
        </w:rPr>
        <w:t> </w:t>
      </w:r>
      <w:r w:rsidR="00D80F06" w:rsidRPr="002D6CAB">
        <w:rPr>
          <w:bCs/>
          <w:lang w:val="fr-FR"/>
        </w:rPr>
        <w:t xml:space="preserve">% au </w:t>
      </w:r>
      <w:r w:rsidR="00D80F06" w:rsidRPr="00B62BB2">
        <w:rPr>
          <w:lang w:val="fr-FR"/>
        </w:rPr>
        <w:t>premier</w:t>
      </w:r>
      <w:r w:rsidR="00D80F06" w:rsidRPr="002D6CAB">
        <w:rPr>
          <w:bCs/>
          <w:lang w:val="fr-FR"/>
        </w:rPr>
        <w:t xml:space="preserve"> cycle secondaire, 39,3</w:t>
      </w:r>
      <w:r w:rsidR="00377BF1">
        <w:rPr>
          <w:bCs/>
          <w:lang w:val="fr-FR"/>
        </w:rPr>
        <w:t> </w:t>
      </w:r>
      <w:r w:rsidR="00D80F06" w:rsidRPr="002D6CAB">
        <w:rPr>
          <w:bCs/>
          <w:lang w:val="fr-FR"/>
        </w:rPr>
        <w:t>% au second cycle, 30,5</w:t>
      </w:r>
      <w:r w:rsidR="00377BF1">
        <w:rPr>
          <w:bCs/>
          <w:lang w:val="fr-FR"/>
        </w:rPr>
        <w:t> </w:t>
      </w:r>
      <w:r w:rsidR="00D80F06" w:rsidRPr="002D6CAB">
        <w:rPr>
          <w:bCs/>
          <w:lang w:val="fr-FR"/>
        </w:rPr>
        <w:t>% à la FTP et 9,8</w:t>
      </w:r>
      <w:r w:rsidR="00377BF1">
        <w:rPr>
          <w:bCs/>
          <w:lang w:val="fr-FR"/>
        </w:rPr>
        <w:t> </w:t>
      </w:r>
      <w:r w:rsidR="00D80F06" w:rsidRPr="002D6CAB">
        <w:rPr>
          <w:bCs/>
          <w:lang w:val="fr-FR"/>
        </w:rPr>
        <w:t xml:space="preserve">% au supérieur. </w:t>
      </w:r>
    </w:p>
    <w:p w:rsidR="00D80F06" w:rsidRPr="002D6CAB" w:rsidRDefault="00C87B7B" w:rsidP="00C87B7B">
      <w:pPr>
        <w:pStyle w:val="SingleTxtG"/>
        <w:rPr>
          <w:lang w:val="fr-FR"/>
        </w:rPr>
      </w:pPr>
      <w:r w:rsidRPr="002D6CAB">
        <w:rPr>
          <w:lang w:val="fr-FR"/>
        </w:rPr>
        <w:t>19.</w:t>
      </w:r>
      <w:r w:rsidRPr="002D6CAB">
        <w:rPr>
          <w:lang w:val="fr-FR"/>
        </w:rPr>
        <w:tab/>
      </w:r>
      <w:r w:rsidR="00D80F06" w:rsidRPr="002D6CAB">
        <w:rPr>
          <w:bCs/>
          <w:lang w:val="fr-FR"/>
        </w:rPr>
        <w:t>Pour ce qui est de l</w:t>
      </w:r>
      <w:r w:rsidR="00A24C87">
        <w:rPr>
          <w:bCs/>
          <w:lang w:val="fr-FR"/>
        </w:rPr>
        <w:t>’</w:t>
      </w:r>
      <w:r w:rsidR="00D80F06" w:rsidRPr="002D6CAB">
        <w:rPr>
          <w:bCs/>
          <w:lang w:val="fr-FR"/>
        </w:rPr>
        <w:t xml:space="preserve">enseignement originel, un recensement réalisé </w:t>
      </w:r>
      <w:r w:rsidR="00377BF1">
        <w:rPr>
          <w:bCs/>
          <w:lang w:val="fr-FR"/>
        </w:rPr>
        <w:t>en 2010 a permis d</w:t>
      </w:r>
      <w:r w:rsidR="00A24C87">
        <w:rPr>
          <w:bCs/>
          <w:lang w:val="fr-FR"/>
        </w:rPr>
        <w:t>’</w:t>
      </w:r>
      <w:r w:rsidR="00377BF1">
        <w:rPr>
          <w:bCs/>
          <w:lang w:val="fr-FR"/>
        </w:rPr>
        <w:t>identifier 9 </w:t>
      </w:r>
      <w:r w:rsidR="00D80F06" w:rsidRPr="002D6CAB">
        <w:rPr>
          <w:bCs/>
          <w:lang w:val="fr-FR"/>
        </w:rPr>
        <w:t xml:space="preserve">170 unités dispensant un </w:t>
      </w:r>
      <w:r w:rsidR="00D80F06" w:rsidRPr="00B62BB2">
        <w:rPr>
          <w:lang w:val="fr-FR"/>
        </w:rPr>
        <w:t>enseignement</w:t>
      </w:r>
      <w:r w:rsidR="00D80F06" w:rsidRPr="002D6CAB">
        <w:rPr>
          <w:bCs/>
          <w:lang w:val="fr-FR"/>
        </w:rPr>
        <w:t xml:space="preserve"> de ce type. Les effectifs évoluant dans ces différents niveaux </w:t>
      </w:r>
      <w:r w:rsidR="00377BF1">
        <w:rPr>
          <w:bCs/>
          <w:lang w:val="fr-FR"/>
        </w:rPr>
        <w:t>étaient estimés à 167 </w:t>
      </w:r>
      <w:r w:rsidR="00D80F06" w:rsidRPr="002D6CAB">
        <w:rPr>
          <w:bCs/>
          <w:lang w:val="fr-FR"/>
        </w:rPr>
        <w:t>152 apprenants. La participation des filles est évaluée à plus de 30</w:t>
      </w:r>
      <w:r w:rsidR="00377BF1">
        <w:rPr>
          <w:bCs/>
          <w:lang w:val="fr-FR"/>
        </w:rPr>
        <w:t> </w:t>
      </w:r>
      <w:r w:rsidR="00D80F06" w:rsidRPr="002D6CAB">
        <w:rPr>
          <w:bCs/>
          <w:lang w:val="fr-FR"/>
        </w:rPr>
        <w:t>%.</w:t>
      </w:r>
    </w:p>
    <w:p w:rsidR="00D80F06" w:rsidRPr="002D6CAB" w:rsidRDefault="00C87B7B" w:rsidP="00C87B7B">
      <w:pPr>
        <w:pStyle w:val="SingleTxtG"/>
        <w:rPr>
          <w:lang w:val="fr-FR"/>
        </w:rPr>
      </w:pPr>
      <w:r w:rsidRPr="002D6CAB">
        <w:rPr>
          <w:lang w:val="fr-FR"/>
        </w:rPr>
        <w:t>20.</w:t>
      </w:r>
      <w:r w:rsidRPr="002D6CAB">
        <w:rPr>
          <w:lang w:val="fr-FR"/>
        </w:rPr>
        <w:tab/>
      </w:r>
      <w:r w:rsidR="00D80F06" w:rsidRPr="002D6CAB">
        <w:rPr>
          <w:bCs/>
          <w:lang w:val="fr-FR"/>
        </w:rPr>
        <w:t>Pour ce qui est de l</w:t>
      </w:r>
      <w:r w:rsidR="00A24C87">
        <w:rPr>
          <w:bCs/>
          <w:lang w:val="fr-FR"/>
        </w:rPr>
        <w:t>’</w:t>
      </w:r>
      <w:r w:rsidR="00D80F06" w:rsidRPr="002D6CAB">
        <w:rPr>
          <w:bCs/>
          <w:lang w:val="fr-FR"/>
        </w:rPr>
        <w:t>alphabétisation, les données du RGPH 2013 donnent un taux d</w:t>
      </w:r>
      <w:r w:rsidR="00A24C87">
        <w:rPr>
          <w:bCs/>
          <w:lang w:val="fr-FR"/>
        </w:rPr>
        <w:t>’</w:t>
      </w:r>
      <w:r w:rsidR="00D80F06" w:rsidRPr="002D6CAB">
        <w:rPr>
          <w:bCs/>
          <w:lang w:val="fr-FR"/>
        </w:rPr>
        <w:t>analphabétisme se situant à 36,3</w:t>
      </w:r>
      <w:r w:rsidR="00377BF1">
        <w:rPr>
          <w:bCs/>
          <w:lang w:val="fr-FR"/>
        </w:rPr>
        <w:t> </w:t>
      </w:r>
      <w:r w:rsidR="00D80F06" w:rsidRPr="002D6CAB">
        <w:rPr>
          <w:bCs/>
          <w:lang w:val="fr-FR"/>
        </w:rPr>
        <w:t>% contre 46,9</w:t>
      </w:r>
      <w:r w:rsidR="00377BF1">
        <w:rPr>
          <w:bCs/>
          <w:lang w:val="fr-FR"/>
        </w:rPr>
        <w:t> </w:t>
      </w:r>
      <w:r w:rsidR="00D80F06" w:rsidRPr="002D6CAB">
        <w:rPr>
          <w:bCs/>
          <w:lang w:val="fr-FR"/>
        </w:rPr>
        <w:t>% en 2000 soit une régression de plus dix (10) points (41,0</w:t>
      </w:r>
      <w:r w:rsidR="00377BF1">
        <w:rPr>
          <w:bCs/>
          <w:lang w:val="fr-FR"/>
        </w:rPr>
        <w:t> </w:t>
      </w:r>
      <w:r w:rsidR="00D80F06" w:rsidRPr="002D6CAB">
        <w:rPr>
          <w:bCs/>
          <w:lang w:val="fr-FR"/>
        </w:rPr>
        <w:t>%</w:t>
      </w:r>
      <w:r w:rsidR="00377BF1">
        <w:rPr>
          <w:bCs/>
          <w:lang w:val="fr-FR"/>
        </w:rPr>
        <w:t xml:space="preserve"> </w:t>
      </w:r>
      <w:r w:rsidR="00D80F06" w:rsidRPr="002D6CAB">
        <w:rPr>
          <w:bCs/>
          <w:lang w:val="fr-FR"/>
        </w:rPr>
        <w:t>pour les femmes et 31,3</w:t>
      </w:r>
      <w:r w:rsidR="00377BF1">
        <w:rPr>
          <w:bCs/>
          <w:lang w:val="fr-FR"/>
        </w:rPr>
        <w:t> </w:t>
      </w:r>
      <w:r w:rsidR="00D80F06" w:rsidRPr="002D6CAB">
        <w:rPr>
          <w:bCs/>
          <w:lang w:val="fr-FR"/>
        </w:rPr>
        <w:t xml:space="preserve">% pour les hommes). </w:t>
      </w:r>
    </w:p>
    <w:p w:rsidR="00D80F06" w:rsidRPr="002D6CAB" w:rsidRDefault="00C87B7B" w:rsidP="00C87B7B">
      <w:pPr>
        <w:pStyle w:val="SingleTxtG"/>
        <w:rPr>
          <w:lang w:val="fr-FR"/>
        </w:rPr>
      </w:pPr>
      <w:r w:rsidRPr="002D6CAB">
        <w:rPr>
          <w:lang w:val="fr-FR"/>
        </w:rPr>
        <w:t>21.</w:t>
      </w:r>
      <w:r w:rsidRPr="002D6CAB">
        <w:rPr>
          <w:lang w:val="fr-FR"/>
        </w:rPr>
        <w:tab/>
      </w:r>
      <w:r w:rsidR="00D80F06" w:rsidRPr="002D6CAB">
        <w:rPr>
          <w:bCs/>
          <w:lang w:val="fr-FR"/>
        </w:rPr>
        <w:t>En matière d</w:t>
      </w:r>
      <w:r w:rsidR="00A24C87">
        <w:rPr>
          <w:bCs/>
          <w:lang w:val="fr-FR"/>
        </w:rPr>
        <w:t>’</w:t>
      </w:r>
      <w:r w:rsidR="00D80F06" w:rsidRPr="002D6CAB">
        <w:rPr>
          <w:bCs/>
          <w:lang w:val="fr-FR"/>
        </w:rPr>
        <w:t>accès à l</w:t>
      </w:r>
      <w:r w:rsidR="00A24C87">
        <w:rPr>
          <w:bCs/>
          <w:lang w:val="fr-FR"/>
        </w:rPr>
        <w:t>’</w:t>
      </w:r>
      <w:r w:rsidR="00D80F06" w:rsidRPr="002D6CAB">
        <w:rPr>
          <w:bCs/>
          <w:lang w:val="fr-FR"/>
        </w:rPr>
        <w:t>eau potable des progrès ont été enregistrés grâce notamment à l</w:t>
      </w:r>
      <w:r w:rsidR="00A24C87">
        <w:rPr>
          <w:bCs/>
          <w:lang w:val="fr-FR"/>
        </w:rPr>
        <w:t>’</w:t>
      </w:r>
      <w:r w:rsidR="00D80F06" w:rsidRPr="002D6CAB">
        <w:rPr>
          <w:bCs/>
          <w:lang w:val="fr-FR"/>
        </w:rPr>
        <w:t xml:space="preserve">accélération de la construction </w:t>
      </w:r>
      <w:r w:rsidR="00D80F06" w:rsidRPr="00B62BB2">
        <w:rPr>
          <w:lang w:val="fr-FR"/>
        </w:rPr>
        <w:t>d</w:t>
      </w:r>
      <w:r w:rsidR="00A24C87">
        <w:rPr>
          <w:lang w:val="fr-FR"/>
        </w:rPr>
        <w:t>’</w:t>
      </w:r>
      <w:r w:rsidR="00D80F06" w:rsidRPr="00B62BB2">
        <w:rPr>
          <w:lang w:val="fr-FR"/>
        </w:rPr>
        <w:t>infrastructures</w:t>
      </w:r>
      <w:r w:rsidR="00D80F06" w:rsidRPr="002D6CAB">
        <w:rPr>
          <w:bCs/>
          <w:lang w:val="fr-FR"/>
        </w:rPr>
        <w:t xml:space="preserve"> (le taux d</w:t>
      </w:r>
      <w:r w:rsidR="00A24C87">
        <w:rPr>
          <w:bCs/>
          <w:lang w:val="fr-FR"/>
        </w:rPr>
        <w:t>’</w:t>
      </w:r>
      <w:r w:rsidR="00D80F06" w:rsidRPr="002D6CAB">
        <w:rPr>
          <w:bCs/>
          <w:lang w:val="fr-FR"/>
        </w:rPr>
        <w:t>accès de la population à une source d</w:t>
      </w:r>
      <w:r w:rsidR="00A24C87">
        <w:rPr>
          <w:bCs/>
          <w:lang w:val="fr-FR"/>
        </w:rPr>
        <w:t>’</w:t>
      </w:r>
      <w:r w:rsidR="00D80F06" w:rsidRPr="002D6CAB">
        <w:rPr>
          <w:bCs/>
          <w:lang w:val="fr-FR"/>
        </w:rPr>
        <w:t>eau potable est passé, de 58,3</w:t>
      </w:r>
      <w:r w:rsidR="00377BF1">
        <w:rPr>
          <w:bCs/>
          <w:lang w:val="fr-FR"/>
        </w:rPr>
        <w:t> </w:t>
      </w:r>
      <w:r w:rsidR="00D80F06" w:rsidRPr="002D6CAB">
        <w:rPr>
          <w:bCs/>
          <w:lang w:val="fr-FR"/>
        </w:rPr>
        <w:t>% en 2008 (EPCV) à 65,4</w:t>
      </w:r>
      <w:r w:rsidR="00377BF1">
        <w:rPr>
          <w:bCs/>
          <w:lang w:val="fr-FR"/>
        </w:rPr>
        <w:t> </w:t>
      </w:r>
      <w:r w:rsidR="00D80F06" w:rsidRPr="002D6CAB">
        <w:rPr>
          <w:bCs/>
          <w:lang w:val="fr-FR"/>
        </w:rPr>
        <w:t>% en 2014 (EPCV2014). Des gros projets hydrauliques ont été réalisés (</w:t>
      </w:r>
      <w:proofErr w:type="spellStart"/>
      <w:r w:rsidR="00D80F06" w:rsidRPr="002D6CAB">
        <w:rPr>
          <w:bCs/>
          <w:lang w:val="fr-FR"/>
        </w:rPr>
        <w:t>Aftout</w:t>
      </w:r>
      <w:proofErr w:type="spellEnd"/>
      <w:r w:rsidR="00D80F06" w:rsidRPr="002D6CAB">
        <w:rPr>
          <w:bCs/>
          <w:lang w:val="fr-FR"/>
        </w:rPr>
        <w:t xml:space="preserve"> </w:t>
      </w:r>
      <w:proofErr w:type="spellStart"/>
      <w:r w:rsidR="00D80F06" w:rsidRPr="002D6CAB">
        <w:rPr>
          <w:bCs/>
          <w:lang w:val="fr-FR"/>
        </w:rPr>
        <w:t>Sahli</w:t>
      </w:r>
      <w:proofErr w:type="spellEnd"/>
      <w:r w:rsidR="00D80F06" w:rsidRPr="002D6CAB">
        <w:rPr>
          <w:bCs/>
          <w:lang w:val="fr-FR"/>
        </w:rPr>
        <w:t>) ou en cours (</w:t>
      </w:r>
      <w:proofErr w:type="spellStart"/>
      <w:r w:rsidR="00D80F06" w:rsidRPr="002D6CAB">
        <w:rPr>
          <w:bCs/>
          <w:lang w:val="fr-FR"/>
        </w:rPr>
        <w:t>Dhar</w:t>
      </w:r>
      <w:proofErr w:type="spellEnd"/>
      <w:r w:rsidR="00D80F06" w:rsidRPr="002D6CAB">
        <w:rPr>
          <w:bCs/>
          <w:lang w:val="fr-FR"/>
        </w:rPr>
        <w:t xml:space="preserve">, </w:t>
      </w:r>
      <w:proofErr w:type="spellStart"/>
      <w:r w:rsidR="00D80F06" w:rsidRPr="002D6CAB">
        <w:rPr>
          <w:bCs/>
          <w:lang w:val="fr-FR"/>
        </w:rPr>
        <w:t>Aftout</w:t>
      </w:r>
      <w:proofErr w:type="spellEnd"/>
      <w:r w:rsidR="00D80F06" w:rsidRPr="002D6CAB">
        <w:rPr>
          <w:bCs/>
          <w:lang w:val="fr-FR"/>
        </w:rPr>
        <w:t xml:space="preserve"> Chergui</w:t>
      </w:r>
      <w:r w:rsidR="00D80F06">
        <w:rPr>
          <w:bCs/>
          <w:lang w:val="fr-FR"/>
        </w:rPr>
        <w:t>)</w:t>
      </w:r>
      <w:r w:rsidR="00D80F06" w:rsidRPr="002D6CAB">
        <w:rPr>
          <w:bCs/>
          <w:lang w:val="fr-FR"/>
        </w:rPr>
        <w:t xml:space="preserve"> et un vaste programme de forages a été</w:t>
      </w:r>
      <w:r w:rsidR="00D80F06">
        <w:rPr>
          <w:bCs/>
          <w:lang w:val="fr-FR"/>
        </w:rPr>
        <w:t xml:space="preserve"> exécuté à l</w:t>
      </w:r>
      <w:r w:rsidR="00A24C87">
        <w:rPr>
          <w:bCs/>
          <w:lang w:val="fr-FR"/>
        </w:rPr>
        <w:t>’</w:t>
      </w:r>
      <w:r w:rsidR="00D80F06">
        <w:rPr>
          <w:bCs/>
          <w:lang w:val="fr-FR"/>
        </w:rPr>
        <w:t>intérieur du pays.</w:t>
      </w:r>
    </w:p>
    <w:p w:rsidR="00D80F06" w:rsidRPr="002D6CAB" w:rsidRDefault="00C87B7B" w:rsidP="00C87B7B">
      <w:pPr>
        <w:pStyle w:val="SingleTxtG"/>
        <w:rPr>
          <w:lang w:val="fr-FR"/>
        </w:rPr>
      </w:pPr>
      <w:r w:rsidRPr="002D6CAB">
        <w:rPr>
          <w:lang w:val="fr-FR"/>
        </w:rPr>
        <w:t>22.</w:t>
      </w:r>
      <w:r w:rsidRPr="002D6CAB">
        <w:rPr>
          <w:lang w:val="fr-FR"/>
        </w:rPr>
        <w:tab/>
      </w:r>
      <w:r w:rsidR="00D80F06" w:rsidRPr="002D6CAB">
        <w:rPr>
          <w:bCs/>
          <w:lang w:val="fr-FR"/>
        </w:rPr>
        <w:t>En milieu rural et semi-urbain, pour les localités de plus de 150 habitants, le taux de desserte est estimé à 42,5</w:t>
      </w:r>
      <w:r w:rsidR="00377BF1">
        <w:rPr>
          <w:bCs/>
          <w:lang w:val="fr-FR"/>
        </w:rPr>
        <w:t> </w:t>
      </w:r>
      <w:r w:rsidR="00D80F06" w:rsidRPr="002D6CAB">
        <w:rPr>
          <w:bCs/>
          <w:lang w:val="fr-FR"/>
        </w:rPr>
        <w:t>% mais le taux de raccordement est seulement de 25,8</w:t>
      </w:r>
      <w:r w:rsidR="00377BF1">
        <w:rPr>
          <w:bCs/>
          <w:lang w:val="fr-FR"/>
        </w:rPr>
        <w:t> </w:t>
      </w:r>
      <w:r w:rsidR="00D80F06" w:rsidRPr="002D6CAB">
        <w:rPr>
          <w:bCs/>
          <w:lang w:val="fr-FR"/>
        </w:rPr>
        <w:t>%. En milieu urbain (gestion SNDE), le taux de desserte moyen sur la base de 40 litres par jour et par personne est de 100</w:t>
      </w:r>
      <w:r w:rsidR="00377BF1">
        <w:rPr>
          <w:bCs/>
          <w:lang w:val="fr-FR"/>
        </w:rPr>
        <w:t> </w:t>
      </w:r>
      <w:r w:rsidR="00D80F06" w:rsidRPr="002D6CAB">
        <w:rPr>
          <w:bCs/>
          <w:lang w:val="fr-FR"/>
        </w:rPr>
        <w:t>% mais dans 11 centres, il est inférieur à 80</w:t>
      </w:r>
      <w:r w:rsidR="00377BF1">
        <w:rPr>
          <w:bCs/>
          <w:lang w:val="fr-FR"/>
        </w:rPr>
        <w:t> </w:t>
      </w:r>
      <w:r w:rsidR="00D80F06" w:rsidRPr="002D6CAB">
        <w:rPr>
          <w:bCs/>
          <w:lang w:val="fr-FR"/>
        </w:rPr>
        <w:t>%. Le taux de raccordement pourra être porté à 72</w:t>
      </w:r>
      <w:r w:rsidR="00377BF1">
        <w:rPr>
          <w:bCs/>
          <w:lang w:val="fr-FR"/>
        </w:rPr>
        <w:t> </w:t>
      </w:r>
      <w:r w:rsidR="00D80F06" w:rsidRPr="002D6CAB">
        <w:rPr>
          <w:bCs/>
          <w:lang w:val="fr-FR"/>
        </w:rPr>
        <w:t>% lorsque les travaux en cours à Nouakchott auront été achevés en 2018. En milieu urbain, le nombre de branchements particuliers à construire pour un taux de raccordement de 100</w:t>
      </w:r>
      <w:r w:rsidR="00377BF1">
        <w:rPr>
          <w:bCs/>
          <w:lang w:val="fr-FR"/>
        </w:rPr>
        <w:t> </w:t>
      </w:r>
      <w:r w:rsidR="00D80F06" w:rsidRPr="002D6CAB">
        <w:rPr>
          <w:bCs/>
          <w:lang w:val="fr-FR"/>
        </w:rPr>
        <w:t>% à l</w:t>
      </w:r>
      <w:r w:rsidR="00A24C87">
        <w:rPr>
          <w:bCs/>
          <w:lang w:val="fr-FR"/>
        </w:rPr>
        <w:t>’</w:t>
      </w:r>
      <w:r w:rsidR="00D80F06" w:rsidRPr="002D6CAB">
        <w:rPr>
          <w:bCs/>
          <w:lang w:val="fr-FR"/>
        </w:rPr>
        <w:t>horizon 203</w:t>
      </w:r>
      <w:r w:rsidR="00377BF1">
        <w:rPr>
          <w:bCs/>
          <w:lang w:val="fr-FR"/>
        </w:rPr>
        <w:t>0 est estimé à 149 900, dont 80 </w:t>
      </w:r>
      <w:r w:rsidR="00D80F06" w:rsidRPr="002D6CAB">
        <w:rPr>
          <w:bCs/>
          <w:lang w:val="fr-FR"/>
        </w:rPr>
        <w:t xml:space="preserve">000 à Nouakchott. </w:t>
      </w:r>
    </w:p>
    <w:p w:rsidR="00D80F06" w:rsidRPr="002D6CAB" w:rsidRDefault="00C87B7B" w:rsidP="00C87B7B">
      <w:pPr>
        <w:pStyle w:val="SingleTxtG"/>
        <w:rPr>
          <w:lang w:val="fr-FR"/>
        </w:rPr>
      </w:pPr>
      <w:r w:rsidRPr="002D6CAB">
        <w:rPr>
          <w:lang w:val="fr-FR"/>
        </w:rPr>
        <w:t>23.</w:t>
      </w:r>
      <w:r w:rsidRPr="002D6CAB">
        <w:rPr>
          <w:lang w:val="fr-FR"/>
        </w:rPr>
        <w:tab/>
      </w:r>
      <w:r w:rsidR="00D80F06" w:rsidRPr="002D6CAB">
        <w:rPr>
          <w:bCs/>
          <w:lang w:val="fr-FR"/>
        </w:rPr>
        <w:t>Au plan de l</w:t>
      </w:r>
      <w:r w:rsidR="00A24C87">
        <w:rPr>
          <w:bCs/>
          <w:lang w:val="fr-FR"/>
        </w:rPr>
        <w:t>’</w:t>
      </w:r>
      <w:r w:rsidR="00D80F06" w:rsidRPr="002D6CAB">
        <w:rPr>
          <w:bCs/>
          <w:lang w:val="fr-FR"/>
        </w:rPr>
        <w:t>accès à l</w:t>
      </w:r>
      <w:r w:rsidR="00A24C87">
        <w:rPr>
          <w:bCs/>
          <w:lang w:val="fr-FR"/>
        </w:rPr>
        <w:t>’</w:t>
      </w:r>
      <w:r w:rsidR="00D80F06" w:rsidRPr="002D6CAB">
        <w:rPr>
          <w:bCs/>
          <w:lang w:val="fr-FR"/>
        </w:rPr>
        <w:t>assainissement et à l</w:t>
      </w:r>
      <w:r w:rsidR="00A24C87">
        <w:rPr>
          <w:bCs/>
          <w:lang w:val="fr-FR"/>
        </w:rPr>
        <w:t>’</w:t>
      </w:r>
      <w:r w:rsidR="00D80F06" w:rsidRPr="002D6CAB">
        <w:rPr>
          <w:bCs/>
          <w:lang w:val="fr-FR"/>
        </w:rPr>
        <w:t>hygiène le taux d</w:t>
      </w:r>
      <w:r w:rsidR="00A24C87">
        <w:rPr>
          <w:bCs/>
          <w:lang w:val="fr-FR"/>
        </w:rPr>
        <w:t>’</w:t>
      </w:r>
      <w:r w:rsidR="00D80F06" w:rsidRPr="002D6CAB">
        <w:rPr>
          <w:bCs/>
          <w:lang w:val="fr-FR"/>
        </w:rPr>
        <w:t>accès des populations à un assainissement amélioré de 22</w:t>
      </w:r>
      <w:r w:rsidR="00377BF1">
        <w:rPr>
          <w:bCs/>
          <w:lang w:val="fr-FR"/>
        </w:rPr>
        <w:t> </w:t>
      </w:r>
      <w:r w:rsidR="00D80F06" w:rsidRPr="002D6CAB">
        <w:rPr>
          <w:bCs/>
          <w:lang w:val="fr-FR"/>
        </w:rPr>
        <w:t>% en 2010, 34,5</w:t>
      </w:r>
      <w:r w:rsidR="00377BF1">
        <w:rPr>
          <w:bCs/>
          <w:lang w:val="fr-FR"/>
        </w:rPr>
        <w:t> </w:t>
      </w:r>
      <w:r w:rsidR="00D80F06" w:rsidRPr="002D6CAB">
        <w:rPr>
          <w:bCs/>
          <w:lang w:val="fr-FR"/>
        </w:rPr>
        <w:t>% en 2013 à 47,5</w:t>
      </w:r>
      <w:r w:rsidR="00377BF1">
        <w:rPr>
          <w:bCs/>
          <w:lang w:val="fr-FR"/>
        </w:rPr>
        <w:t> </w:t>
      </w:r>
      <w:r w:rsidR="00D80F06" w:rsidRPr="002D6CAB">
        <w:rPr>
          <w:bCs/>
          <w:lang w:val="fr-FR"/>
        </w:rPr>
        <w:t>% selon les résultats de l</w:t>
      </w:r>
      <w:r w:rsidR="00A24C87">
        <w:rPr>
          <w:bCs/>
          <w:lang w:val="fr-FR"/>
        </w:rPr>
        <w:t>’</w:t>
      </w:r>
      <w:r w:rsidR="00D80F06" w:rsidRPr="002D6CAB">
        <w:rPr>
          <w:bCs/>
          <w:lang w:val="fr-FR"/>
        </w:rPr>
        <w:t xml:space="preserve">EPCV 2014. </w:t>
      </w:r>
    </w:p>
    <w:p w:rsidR="00D80F06" w:rsidRPr="002D6CAB" w:rsidRDefault="00C87B7B" w:rsidP="00C87B7B">
      <w:pPr>
        <w:pStyle w:val="SingleTxtG"/>
        <w:rPr>
          <w:lang w:val="fr-FR"/>
        </w:rPr>
      </w:pPr>
      <w:r w:rsidRPr="002D6CAB">
        <w:rPr>
          <w:lang w:val="fr-FR"/>
        </w:rPr>
        <w:t>24.</w:t>
      </w:r>
      <w:r w:rsidRPr="002D6CAB">
        <w:rPr>
          <w:lang w:val="fr-FR"/>
        </w:rPr>
        <w:tab/>
      </w:r>
      <w:r w:rsidR="00D80F06" w:rsidRPr="002D6CAB">
        <w:rPr>
          <w:bCs/>
          <w:lang w:val="fr-FR"/>
        </w:rPr>
        <w:t>Dans le domaine des transports, les rou</w:t>
      </w:r>
      <w:r w:rsidR="00377BF1">
        <w:rPr>
          <w:bCs/>
          <w:lang w:val="fr-FR"/>
        </w:rPr>
        <w:t>tes bitumées sont passé de 1</w:t>
      </w:r>
      <w:r w:rsidR="001A40C7">
        <w:rPr>
          <w:bCs/>
          <w:lang w:val="fr-FR"/>
        </w:rPr>
        <w:t> </w:t>
      </w:r>
      <w:r w:rsidR="00377BF1">
        <w:rPr>
          <w:bCs/>
          <w:lang w:val="fr-FR"/>
        </w:rPr>
        <w:t>760 </w:t>
      </w:r>
      <w:r w:rsidR="00D80F06" w:rsidRPr="002D6CAB">
        <w:rPr>
          <w:bCs/>
          <w:lang w:val="fr-FR"/>
        </w:rPr>
        <w:t>km en 2001 à 4</w:t>
      </w:r>
      <w:r w:rsidR="005A3386">
        <w:rPr>
          <w:bCs/>
          <w:lang w:val="fr-FR"/>
        </w:rPr>
        <w:t> </w:t>
      </w:r>
      <w:r w:rsidR="00D80F06" w:rsidRPr="002D6CAB">
        <w:rPr>
          <w:bCs/>
          <w:lang w:val="fr-FR"/>
        </w:rPr>
        <w:t>867</w:t>
      </w:r>
      <w:r w:rsidR="005A3386">
        <w:rPr>
          <w:bCs/>
          <w:lang w:val="fr-FR"/>
        </w:rPr>
        <w:t> </w:t>
      </w:r>
      <w:r w:rsidR="00D80F06" w:rsidRPr="002D6CAB">
        <w:rPr>
          <w:bCs/>
          <w:lang w:val="fr-FR"/>
        </w:rPr>
        <w:t xml:space="preserve">km en 2014. De même, des infrastructures importantes ont été construites, dans les domaines portuaire, aéroportuaire, énergétique et des TIC </w:t>
      </w:r>
      <w:r w:rsidR="00D80F06" w:rsidRPr="00B62BB2">
        <w:rPr>
          <w:lang w:val="fr-FR"/>
        </w:rPr>
        <w:t>et</w:t>
      </w:r>
      <w:r w:rsidR="00D80F06" w:rsidRPr="002D6CAB">
        <w:rPr>
          <w:bCs/>
          <w:lang w:val="fr-FR"/>
        </w:rPr>
        <w:t xml:space="preserve"> de l</w:t>
      </w:r>
      <w:r w:rsidR="00A24C87">
        <w:rPr>
          <w:bCs/>
          <w:lang w:val="fr-FR"/>
        </w:rPr>
        <w:t>’</w:t>
      </w:r>
      <w:r w:rsidR="00D80F06" w:rsidRPr="002D6CAB">
        <w:rPr>
          <w:bCs/>
          <w:lang w:val="fr-FR"/>
        </w:rPr>
        <w:t>agriculture</w:t>
      </w:r>
      <w:r w:rsidR="009573B0">
        <w:rPr>
          <w:bCs/>
          <w:lang w:val="fr-FR"/>
        </w:rPr>
        <w:t> :</w:t>
      </w:r>
      <w:r w:rsidR="00D80F06" w:rsidRPr="002D6CAB">
        <w:rPr>
          <w:bCs/>
          <w:lang w:val="fr-FR"/>
        </w:rPr>
        <w:t xml:space="preserve"> extension du PANPA, du port de Nouadhibou,</w:t>
      </w:r>
      <w:r w:rsidR="00D80F06">
        <w:rPr>
          <w:bCs/>
          <w:lang w:val="fr-FR"/>
        </w:rPr>
        <w:t xml:space="preserve"> </w:t>
      </w:r>
      <w:r w:rsidR="00D80F06" w:rsidRPr="002D6CAB">
        <w:rPr>
          <w:bCs/>
          <w:lang w:val="fr-FR"/>
        </w:rPr>
        <w:t>de Tanit, nouvel aéroport international de Nouakchott, centrales et réseaux électriques ayant porté la production d</w:t>
      </w:r>
      <w:r w:rsidR="00A24C87">
        <w:rPr>
          <w:bCs/>
          <w:lang w:val="fr-FR"/>
        </w:rPr>
        <w:t>’</w:t>
      </w:r>
      <w:r w:rsidR="00D80F06" w:rsidRPr="002D6CAB">
        <w:rPr>
          <w:bCs/>
          <w:lang w:val="fr-FR"/>
        </w:rPr>
        <w:t>électricité de la SOMELEC de 475 millions KW en 2007 à 749 millions KW en 2015 soit une hausse de 80</w:t>
      </w:r>
      <w:r w:rsidR="001A40C7">
        <w:rPr>
          <w:bCs/>
          <w:lang w:val="fr-FR"/>
        </w:rPr>
        <w:t> </w:t>
      </w:r>
      <w:r w:rsidR="00D80F06" w:rsidRPr="002D6CAB">
        <w:rPr>
          <w:bCs/>
          <w:lang w:val="fr-FR"/>
        </w:rPr>
        <w:t>%, câbles sous-marins et liaisons par fibre optique et de l</w:t>
      </w:r>
      <w:r w:rsidR="00A24C87">
        <w:rPr>
          <w:bCs/>
          <w:lang w:val="fr-FR"/>
        </w:rPr>
        <w:t>’</w:t>
      </w:r>
      <w:r w:rsidR="00D80F06" w:rsidRPr="002D6CAB">
        <w:rPr>
          <w:bCs/>
          <w:lang w:val="fr-FR"/>
        </w:rPr>
        <w:t xml:space="preserve">agriculture (aménagements, chenal de </w:t>
      </w:r>
      <w:proofErr w:type="spellStart"/>
      <w:r w:rsidR="00D80F06" w:rsidRPr="002D6CAB">
        <w:rPr>
          <w:bCs/>
          <w:lang w:val="fr-FR"/>
        </w:rPr>
        <w:t>keur</w:t>
      </w:r>
      <w:proofErr w:type="spellEnd"/>
      <w:r w:rsidR="00D80F06" w:rsidRPr="002D6CAB">
        <w:rPr>
          <w:bCs/>
          <w:lang w:val="fr-FR"/>
        </w:rPr>
        <w:t xml:space="preserve"> </w:t>
      </w:r>
      <w:proofErr w:type="spellStart"/>
      <w:r w:rsidR="00D80F06" w:rsidRPr="002D6CAB">
        <w:rPr>
          <w:bCs/>
          <w:lang w:val="fr-FR"/>
        </w:rPr>
        <w:t>Macène</w:t>
      </w:r>
      <w:proofErr w:type="spellEnd"/>
      <w:r w:rsidR="00D80F06" w:rsidRPr="002D6CAB">
        <w:rPr>
          <w:bCs/>
          <w:lang w:val="fr-FR"/>
        </w:rPr>
        <w:t xml:space="preserve"> etc.). </w:t>
      </w:r>
    </w:p>
    <w:p w:rsidR="00D80F06" w:rsidRPr="002D6CAB" w:rsidRDefault="00C87B7B" w:rsidP="00C87B7B">
      <w:pPr>
        <w:pStyle w:val="SingleTxtG"/>
        <w:rPr>
          <w:bCs/>
          <w:lang w:val="fr-FR"/>
        </w:rPr>
      </w:pPr>
      <w:r w:rsidRPr="002D6CAB">
        <w:rPr>
          <w:bCs/>
          <w:lang w:val="fr-FR"/>
        </w:rPr>
        <w:t>25.</w:t>
      </w:r>
      <w:r w:rsidRPr="002D6CAB">
        <w:rPr>
          <w:bCs/>
          <w:lang w:val="fr-FR"/>
        </w:rPr>
        <w:tab/>
      </w:r>
      <w:r w:rsidR="00D80F06" w:rsidRPr="002D6CAB">
        <w:rPr>
          <w:bCs/>
          <w:lang w:val="fr-FR"/>
        </w:rPr>
        <w:t xml:space="preserve">Au plan de la gouvernance, plusieurs réformes constitutionnelles ont été mises en œuvre suite à des concertations entre les divers acteurs et qui ont conduit à un changement profond du paysage institutionnel. Une stratégie de lutte contre la corruption a été adoptée et sa mise en œuvre a permis, notamment un changement des mentalités vis-à-vis des deniers publics. </w:t>
      </w:r>
      <w:r w:rsidR="00A24C87">
        <w:rPr>
          <w:bCs/>
          <w:lang w:val="fr-FR"/>
        </w:rPr>
        <w:t>À</w:t>
      </w:r>
      <w:r w:rsidR="00D80F06" w:rsidRPr="002D6CAB">
        <w:rPr>
          <w:bCs/>
          <w:lang w:val="fr-FR"/>
        </w:rPr>
        <w:t xml:space="preserve"> cela s</w:t>
      </w:r>
      <w:r w:rsidR="00A24C87">
        <w:rPr>
          <w:bCs/>
          <w:lang w:val="fr-FR"/>
        </w:rPr>
        <w:t>’</w:t>
      </w:r>
      <w:r w:rsidR="00D80F06" w:rsidRPr="002D6CAB">
        <w:rPr>
          <w:bCs/>
          <w:lang w:val="fr-FR"/>
        </w:rPr>
        <w:t>ajout</w:t>
      </w:r>
      <w:r w:rsidR="00A24C87">
        <w:rPr>
          <w:bCs/>
          <w:lang w:val="fr-FR"/>
        </w:rPr>
        <w:t>e la réforme en profondeur de l’</w:t>
      </w:r>
      <w:r w:rsidR="00D80F06" w:rsidRPr="002D6CAB">
        <w:rPr>
          <w:bCs/>
          <w:lang w:val="fr-FR"/>
        </w:rPr>
        <w:t>état civil et l</w:t>
      </w:r>
      <w:r w:rsidR="00A24C87">
        <w:rPr>
          <w:bCs/>
          <w:lang w:val="fr-FR"/>
        </w:rPr>
        <w:t>’</w:t>
      </w:r>
      <w:r w:rsidR="00D80F06" w:rsidRPr="002D6CAB">
        <w:rPr>
          <w:bCs/>
          <w:lang w:val="fr-FR"/>
        </w:rPr>
        <w:t xml:space="preserve">introduction de la biométrie. </w:t>
      </w:r>
    </w:p>
    <w:p w:rsidR="00D80F06" w:rsidRPr="002D6CAB" w:rsidRDefault="00C87B7B" w:rsidP="00C87B7B">
      <w:pPr>
        <w:pStyle w:val="SingleTxtG"/>
        <w:rPr>
          <w:bCs/>
          <w:lang w:val="fr-FR"/>
        </w:rPr>
      </w:pPr>
      <w:r w:rsidRPr="002D6CAB">
        <w:rPr>
          <w:bCs/>
          <w:lang w:val="fr-FR"/>
        </w:rPr>
        <w:t>26.</w:t>
      </w:r>
      <w:r w:rsidRPr="002D6CAB">
        <w:rPr>
          <w:bCs/>
          <w:lang w:val="fr-FR"/>
        </w:rPr>
        <w:tab/>
      </w:r>
      <w:r w:rsidR="00D80F06" w:rsidRPr="002D6CAB">
        <w:rPr>
          <w:bCs/>
          <w:lang w:val="fr-FR"/>
        </w:rPr>
        <w:t xml:space="preserve">Des actions visant la bonne gouvernance et le renforcement des capacités ont enregistré des progrès importants dans tous les domaines (politique, démocratique, territoriale, locale, environnementale et économique). </w:t>
      </w:r>
    </w:p>
    <w:p w:rsidR="00D80F06" w:rsidRPr="002D6CAB" w:rsidRDefault="00C87B7B" w:rsidP="00C87B7B">
      <w:pPr>
        <w:pStyle w:val="SingleTxtG"/>
        <w:rPr>
          <w:bCs/>
          <w:lang w:val="fr-FR"/>
        </w:rPr>
      </w:pPr>
      <w:r w:rsidRPr="002D6CAB">
        <w:rPr>
          <w:bCs/>
          <w:lang w:val="fr-FR"/>
        </w:rPr>
        <w:t>27.</w:t>
      </w:r>
      <w:r w:rsidRPr="002D6CAB">
        <w:rPr>
          <w:bCs/>
          <w:lang w:val="fr-FR"/>
        </w:rPr>
        <w:tab/>
      </w:r>
      <w:r w:rsidR="00D80F06" w:rsidRPr="002D6CAB">
        <w:rPr>
          <w:lang w:val="fr-FR"/>
        </w:rPr>
        <w:t>Le Gouvernement a renforcé la gouvernance politique et démocratique, à travers l</w:t>
      </w:r>
      <w:r w:rsidR="00A24C87">
        <w:rPr>
          <w:lang w:val="fr-FR"/>
        </w:rPr>
        <w:t>’</w:t>
      </w:r>
      <w:r w:rsidR="00D80F06" w:rsidRPr="002D6CAB">
        <w:rPr>
          <w:lang w:val="fr-FR"/>
        </w:rPr>
        <w:t>organisation d</w:t>
      </w:r>
      <w:r w:rsidR="00A24C87">
        <w:rPr>
          <w:lang w:val="fr-FR"/>
        </w:rPr>
        <w:t>’</w:t>
      </w:r>
      <w:r w:rsidR="00D80F06" w:rsidRPr="002D6CAB">
        <w:rPr>
          <w:lang w:val="fr-FR"/>
        </w:rPr>
        <w:t xml:space="preserve">un referendum constitutionnel </w:t>
      </w:r>
      <w:bookmarkStart w:id="17" w:name="_Toc454388698"/>
      <w:bookmarkStart w:id="18" w:name="_Toc453672859"/>
      <w:r w:rsidR="00D80F06" w:rsidRPr="002D6CAB">
        <w:rPr>
          <w:lang w:val="fr-FR"/>
        </w:rPr>
        <w:t>transparent issu d</w:t>
      </w:r>
      <w:r w:rsidR="00A24C87">
        <w:rPr>
          <w:lang w:val="fr-FR"/>
        </w:rPr>
        <w:t>’</w:t>
      </w:r>
      <w:r w:rsidR="00D80F06" w:rsidRPr="002D6CAB">
        <w:rPr>
          <w:lang w:val="fr-FR"/>
        </w:rPr>
        <w:t xml:space="preserve">un dialogue politique </w:t>
      </w:r>
      <w:r w:rsidR="00D80F06" w:rsidRPr="002D6CAB">
        <w:rPr>
          <w:lang w:val="fr-FR"/>
        </w:rPr>
        <w:lastRenderedPageBreak/>
        <w:t>inclusif entre la majorité politique et une grande partie de l</w:t>
      </w:r>
      <w:r w:rsidR="00A24C87">
        <w:rPr>
          <w:lang w:val="fr-FR"/>
        </w:rPr>
        <w:t>’</w:t>
      </w:r>
      <w:r w:rsidR="00D80F06" w:rsidRPr="002D6CAB">
        <w:rPr>
          <w:lang w:val="fr-FR"/>
        </w:rPr>
        <w:t xml:space="preserve">opposition, des syndicats et des organisations de la société civile. </w:t>
      </w:r>
      <w:bookmarkStart w:id="19" w:name="_Toc455360511"/>
      <w:bookmarkStart w:id="20" w:name="_Toc455364115"/>
    </w:p>
    <w:p w:rsidR="00D80F06" w:rsidRPr="00534914" w:rsidRDefault="00D94138" w:rsidP="00027EE8">
      <w:pPr>
        <w:pStyle w:val="H1G"/>
      </w:pPr>
      <w:bookmarkStart w:id="21" w:name="_Toc498901315"/>
      <w:r>
        <w:tab/>
      </w:r>
      <w:r w:rsidR="001A40C7">
        <w:t>B</w:t>
      </w:r>
      <w:r w:rsidR="00D80F06">
        <w:t>.</w:t>
      </w:r>
      <w:r w:rsidR="00D80F06">
        <w:tab/>
      </w:r>
      <w:r w:rsidR="00D80F06" w:rsidRPr="00534914">
        <w:t>Structures constitutionnelles et judiciaires</w:t>
      </w:r>
      <w:bookmarkEnd w:id="21"/>
    </w:p>
    <w:p w:rsidR="00D80F06" w:rsidRPr="00534914" w:rsidRDefault="00D94138" w:rsidP="00D94138">
      <w:pPr>
        <w:pStyle w:val="H23G"/>
      </w:pPr>
      <w:bookmarkStart w:id="22" w:name="_Toc454388699"/>
      <w:bookmarkStart w:id="23" w:name="_Toc453672860"/>
      <w:bookmarkStart w:id="24" w:name="_Toc455360512"/>
      <w:bookmarkStart w:id="25" w:name="_Toc455364116"/>
      <w:bookmarkStart w:id="26" w:name="_Toc498901316"/>
      <w:r>
        <w:tab/>
      </w:r>
      <w:r w:rsidR="0028541A">
        <w:t>1.</w:t>
      </w:r>
      <w:r w:rsidR="0028541A">
        <w:tab/>
      </w:r>
      <w:r w:rsidR="00D80F06" w:rsidRPr="00534914">
        <w:t>Structures constitutionnelles</w:t>
      </w:r>
      <w:bookmarkEnd w:id="22"/>
      <w:bookmarkEnd w:id="23"/>
      <w:bookmarkEnd w:id="24"/>
      <w:bookmarkEnd w:id="25"/>
      <w:bookmarkEnd w:id="26"/>
    </w:p>
    <w:p w:rsidR="00D80F06" w:rsidRPr="00027EE8" w:rsidRDefault="00C87B7B" w:rsidP="00C87B7B">
      <w:pPr>
        <w:pStyle w:val="SingleTxtG"/>
        <w:spacing w:line="220" w:lineRule="atLeast"/>
      </w:pPr>
      <w:r w:rsidRPr="00027EE8">
        <w:t>28.</w:t>
      </w:r>
      <w:r w:rsidRPr="00027EE8">
        <w:tab/>
      </w:r>
      <w:r w:rsidR="00D80F06" w:rsidRPr="002D6CAB">
        <w:rPr>
          <w:lang w:val="fr-FR"/>
        </w:rPr>
        <w:t xml:space="preserve">La </w:t>
      </w:r>
      <w:r w:rsidR="00A468C2" w:rsidRPr="002D6CAB">
        <w:rPr>
          <w:lang w:val="fr-FR"/>
        </w:rPr>
        <w:t xml:space="preserve">Constitution </w:t>
      </w:r>
      <w:r w:rsidR="00D80F06" w:rsidRPr="002D6CAB">
        <w:rPr>
          <w:lang w:val="fr-FR"/>
        </w:rPr>
        <w:t xml:space="preserve">de 1991, modifiée en 2006, en 2012 et en 2017 a mis en place plusieurs </w:t>
      </w:r>
      <w:r w:rsidR="00D80F06">
        <w:rPr>
          <w:lang w:val="fr-FR"/>
        </w:rPr>
        <w:t xml:space="preserve">institutions, </w:t>
      </w:r>
      <w:r w:rsidR="00D80F06" w:rsidRPr="002D6CAB">
        <w:rPr>
          <w:lang w:val="fr-FR"/>
        </w:rPr>
        <w:t xml:space="preserve">notamment le Conseil </w:t>
      </w:r>
      <w:r w:rsidR="00A468C2">
        <w:rPr>
          <w:lang w:val="fr-FR"/>
        </w:rPr>
        <w:t>c</w:t>
      </w:r>
      <w:r w:rsidR="00D80F06" w:rsidRPr="002D6CAB">
        <w:rPr>
          <w:lang w:val="fr-FR"/>
        </w:rPr>
        <w:t xml:space="preserve">onstitutionnel, le Conseil </w:t>
      </w:r>
      <w:r w:rsidR="00A468C2">
        <w:rPr>
          <w:lang w:val="fr-FR"/>
        </w:rPr>
        <w:t>é</w:t>
      </w:r>
      <w:r w:rsidR="00D80F06" w:rsidRPr="002D6CAB">
        <w:rPr>
          <w:lang w:val="fr-FR"/>
        </w:rPr>
        <w:t>conomiq</w:t>
      </w:r>
      <w:r w:rsidR="00D80F06">
        <w:rPr>
          <w:lang w:val="fr-FR"/>
        </w:rPr>
        <w:t xml:space="preserve">ue, </w:t>
      </w:r>
      <w:r w:rsidR="00A468C2">
        <w:rPr>
          <w:lang w:val="fr-FR"/>
        </w:rPr>
        <w:t>s</w:t>
      </w:r>
      <w:r w:rsidR="00D80F06">
        <w:rPr>
          <w:lang w:val="fr-FR"/>
        </w:rPr>
        <w:t xml:space="preserve">ocial et </w:t>
      </w:r>
      <w:r w:rsidR="00A468C2">
        <w:rPr>
          <w:lang w:val="fr-FR"/>
        </w:rPr>
        <w:t>e</w:t>
      </w:r>
      <w:r w:rsidR="00D80F06">
        <w:rPr>
          <w:lang w:val="fr-FR"/>
        </w:rPr>
        <w:t xml:space="preserve">nvironnemental, </w:t>
      </w:r>
      <w:r w:rsidR="00D80F06" w:rsidRPr="002D6CAB">
        <w:rPr>
          <w:lang w:val="fr-FR"/>
        </w:rPr>
        <w:t xml:space="preserve">la Cour des </w:t>
      </w:r>
      <w:r w:rsidR="00A468C2">
        <w:rPr>
          <w:lang w:val="fr-FR"/>
        </w:rPr>
        <w:t>c</w:t>
      </w:r>
      <w:r w:rsidR="00D80F06" w:rsidRPr="002D6CAB">
        <w:rPr>
          <w:lang w:val="fr-FR"/>
        </w:rPr>
        <w:t xml:space="preserve">omptes, le Haut Conseil de la </w:t>
      </w:r>
      <w:r w:rsidR="00A468C2">
        <w:rPr>
          <w:lang w:val="fr-FR"/>
        </w:rPr>
        <w:t>f</w:t>
      </w:r>
      <w:r w:rsidR="00D80F06" w:rsidRPr="002D6CAB">
        <w:rPr>
          <w:lang w:val="fr-FR"/>
        </w:rPr>
        <w:t xml:space="preserve">atwa et des </w:t>
      </w:r>
      <w:r w:rsidR="00A468C2">
        <w:rPr>
          <w:lang w:val="fr-FR"/>
        </w:rPr>
        <w:t>r</w:t>
      </w:r>
      <w:r w:rsidR="00D80F06" w:rsidRPr="002D6CAB">
        <w:rPr>
          <w:lang w:val="fr-FR"/>
        </w:rPr>
        <w:t xml:space="preserve">ecours </w:t>
      </w:r>
      <w:r w:rsidR="00A468C2">
        <w:rPr>
          <w:lang w:val="fr-FR"/>
        </w:rPr>
        <w:t>g</w:t>
      </w:r>
      <w:r w:rsidR="00D80F06" w:rsidRPr="002D6CAB">
        <w:rPr>
          <w:lang w:val="fr-FR"/>
        </w:rPr>
        <w:t xml:space="preserve">racieux et la Commission </w:t>
      </w:r>
      <w:r w:rsidR="00A468C2">
        <w:rPr>
          <w:lang w:val="fr-FR"/>
        </w:rPr>
        <w:t>n</w:t>
      </w:r>
      <w:r w:rsidR="00D80F06" w:rsidRPr="002D6CAB">
        <w:rPr>
          <w:lang w:val="fr-FR"/>
        </w:rPr>
        <w:t xml:space="preserve">ationale des </w:t>
      </w:r>
      <w:r w:rsidR="00462A09">
        <w:rPr>
          <w:lang w:val="fr-FR"/>
        </w:rPr>
        <w:t>d</w:t>
      </w:r>
      <w:r w:rsidR="00D80F06" w:rsidRPr="002D6CAB">
        <w:rPr>
          <w:lang w:val="fr-FR"/>
        </w:rPr>
        <w:t>roits de l</w:t>
      </w:r>
      <w:r w:rsidR="00A24C87">
        <w:rPr>
          <w:lang w:val="fr-FR"/>
        </w:rPr>
        <w:t>’</w:t>
      </w:r>
      <w:r w:rsidR="00D80F06" w:rsidRPr="002D6CAB">
        <w:rPr>
          <w:lang w:val="fr-FR"/>
        </w:rPr>
        <w:t>homme</w:t>
      </w:r>
      <w:r w:rsidR="00D80F06">
        <w:rPr>
          <w:lang w:val="fr-FR"/>
        </w:rPr>
        <w:t>.</w:t>
      </w:r>
    </w:p>
    <w:p w:rsidR="00D80F06" w:rsidRPr="002D6CAB" w:rsidRDefault="00C87B7B" w:rsidP="00C87B7B">
      <w:pPr>
        <w:pStyle w:val="SingleTxtG"/>
        <w:spacing w:line="220" w:lineRule="atLeast"/>
        <w:rPr>
          <w:lang w:val="fr-FR"/>
        </w:rPr>
      </w:pPr>
      <w:r w:rsidRPr="002D6CAB">
        <w:rPr>
          <w:lang w:val="fr-FR"/>
        </w:rPr>
        <w:t>29.</w:t>
      </w:r>
      <w:r w:rsidRPr="002D6CAB">
        <w:rPr>
          <w:lang w:val="fr-FR"/>
        </w:rPr>
        <w:tab/>
      </w:r>
      <w:r w:rsidR="00D80F06" w:rsidRPr="002D6CAB">
        <w:rPr>
          <w:lang w:val="fr-FR"/>
        </w:rPr>
        <w:t>L</w:t>
      </w:r>
      <w:r w:rsidR="00A24C87">
        <w:rPr>
          <w:lang w:val="fr-FR"/>
        </w:rPr>
        <w:t>’article </w:t>
      </w:r>
      <w:r w:rsidR="00D80F06" w:rsidRPr="002D6CAB">
        <w:rPr>
          <w:lang w:val="fr-FR"/>
        </w:rPr>
        <w:t>1</w:t>
      </w:r>
      <w:r w:rsidR="00D80F06" w:rsidRPr="00A24C87">
        <w:rPr>
          <w:vertAlign w:val="superscript"/>
          <w:lang w:val="fr-FR"/>
        </w:rPr>
        <w:t>er</w:t>
      </w:r>
      <w:r w:rsidR="00D80F06" w:rsidRPr="002D6CAB">
        <w:rPr>
          <w:lang w:val="fr-FR"/>
        </w:rPr>
        <w:t xml:space="preserve"> de la Constitution</w:t>
      </w:r>
      <w:r w:rsidR="00A468C2">
        <w:rPr>
          <w:lang w:val="fr-FR"/>
        </w:rPr>
        <w:t xml:space="preserve"> </w:t>
      </w:r>
      <w:r w:rsidR="00D80F06" w:rsidRPr="002D6CAB">
        <w:rPr>
          <w:lang w:val="fr-FR"/>
        </w:rPr>
        <w:t>dispose</w:t>
      </w:r>
      <w:r w:rsidR="009573B0">
        <w:rPr>
          <w:lang w:val="fr-FR"/>
        </w:rPr>
        <w:t> :</w:t>
      </w:r>
      <w:r w:rsidR="006702FE">
        <w:rPr>
          <w:lang w:val="fr-FR"/>
        </w:rPr>
        <w:t xml:space="preserve"> </w:t>
      </w:r>
      <w:r w:rsidR="00D80F06" w:rsidRPr="002D6CAB">
        <w:rPr>
          <w:lang w:val="fr-FR"/>
        </w:rPr>
        <w:t>« La Mauritanie est une République islamique, indivisible, démocratique et sociale.</w:t>
      </w:r>
      <w:r w:rsidR="00D80F06">
        <w:rPr>
          <w:lang w:val="fr-FR"/>
        </w:rPr>
        <w:t xml:space="preserve"> </w:t>
      </w:r>
      <w:r w:rsidR="00D80F06" w:rsidRPr="002D6CAB">
        <w:rPr>
          <w:lang w:val="fr-FR"/>
        </w:rPr>
        <w:t>La République assure à tous les citoyens sans distinction d</w:t>
      </w:r>
      <w:r w:rsidR="00A24C87">
        <w:rPr>
          <w:lang w:val="fr-FR"/>
        </w:rPr>
        <w:t>’</w:t>
      </w:r>
      <w:r w:rsidR="00D80F06" w:rsidRPr="002D6CAB">
        <w:rPr>
          <w:lang w:val="fr-FR"/>
        </w:rPr>
        <w:t>origine, de race, de sexe ou de condition sociale l</w:t>
      </w:r>
      <w:r w:rsidR="00A24C87">
        <w:rPr>
          <w:lang w:val="fr-FR"/>
        </w:rPr>
        <w:t>’</w:t>
      </w:r>
      <w:r w:rsidR="00D80F06" w:rsidRPr="002D6CAB">
        <w:rPr>
          <w:lang w:val="fr-FR"/>
        </w:rPr>
        <w:t>égalité devant la loi ». L</w:t>
      </w:r>
      <w:r w:rsidR="00A24C87">
        <w:rPr>
          <w:lang w:val="fr-FR"/>
        </w:rPr>
        <w:t>’</w:t>
      </w:r>
      <w:r w:rsidR="00D80F06" w:rsidRPr="002D6CAB">
        <w:rPr>
          <w:lang w:val="fr-FR"/>
        </w:rPr>
        <w:t>article 3 consacre le principe de la démocratie</w:t>
      </w:r>
      <w:r w:rsidR="009573B0">
        <w:rPr>
          <w:lang w:val="fr-FR"/>
        </w:rPr>
        <w:t> :</w:t>
      </w:r>
      <w:r w:rsidR="00A24C87">
        <w:rPr>
          <w:lang w:val="fr-FR"/>
        </w:rPr>
        <w:t xml:space="preserve"> « </w:t>
      </w:r>
      <w:r w:rsidR="00A468C2">
        <w:rPr>
          <w:lang w:val="fr-FR"/>
        </w:rPr>
        <w:t>L</w:t>
      </w:r>
      <w:r w:rsidR="00D80F06" w:rsidRPr="002D6CAB">
        <w:rPr>
          <w:lang w:val="fr-FR"/>
        </w:rPr>
        <w:t>a souveraineté appartient au peuple qui l</w:t>
      </w:r>
      <w:r w:rsidR="00A24C87">
        <w:rPr>
          <w:lang w:val="fr-FR"/>
        </w:rPr>
        <w:t>’</w:t>
      </w:r>
      <w:r w:rsidR="00D80F06" w:rsidRPr="002D6CAB">
        <w:rPr>
          <w:lang w:val="fr-FR"/>
        </w:rPr>
        <w:t>exerce par ses représen</w:t>
      </w:r>
      <w:r w:rsidR="00A24C87">
        <w:rPr>
          <w:lang w:val="fr-FR"/>
        </w:rPr>
        <w:t>tants ou par voie de référendum </w:t>
      </w:r>
      <w:r w:rsidR="00D80F06" w:rsidRPr="002D6CAB">
        <w:rPr>
          <w:lang w:val="fr-FR"/>
        </w:rPr>
        <w:t xml:space="preserve">». </w:t>
      </w:r>
    </w:p>
    <w:bookmarkEnd w:id="17"/>
    <w:bookmarkEnd w:id="18"/>
    <w:bookmarkEnd w:id="19"/>
    <w:bookmarkEnd w:id="20"/>
    <w:p w:rsidR="00D80F06" w:rsidRPr="002D6CAB" w:rsidRDefault="00C87B7B" w:rsidP="00C87B7B">
      <w:pPr>
        <w:pStyle w:val="SingleTxtG"/>
        <w:spacing w:line="220" w:lineRule="atLeast"/>
        <w:rPr>
          <w:lang w:val="fr-FR"/>
        </w:rPr>
      </w:pPr>
      <w:r w:rsidRPr="002D6CAB">
        <w:rPr>
          <w:lang w:val="fr-FR"/>
        </w:rPr>
        <w:t>30.</w:t>
      </w:r>
      <w:r w:rsidRPr="002D6CAB">
        <w:rPr>
          <w:lang w:val="fr-FR"/>
        </w:rPr>
        <w:tab/>
      </w:r>
      <w:r w:rsidR="00D80F06" w:rsidRPr="002D6CAB">
        <w:rPr>
          <w:lang w:val="fr-FR"/>
        </w:rPr>
        <w:t>La forme républicaine de l</w:t>
      </w:r>
      <w:r w:rsidR="00A24C87">
        <w:rPr>
          <w:lang w:val="fr-FR"/>
        </w:rPr>
        <w:t>’</w:t>
      </w:r>
      <w:r w:rsidR="00B253B0">
        <w:rPr>
          <w:lang w:val="fr-FR"/>
        </w:rPr>
        <w:t xml:space="preserve">État </w:t>
      </w:r>
      <w:r w:rsidR="00D80F06" w:rsidRPr="002D6CAB">
        <w:rPr>
          <w:lang w:val="fr-FR"/>
        </w:rPr>
        <w:t>repose sur le principe de la séparation des pouvoirs. Le Président de la République est élu au suffrage universel direct pour un mandat de cinq ans renouvelable une fois. Il définit la politique de l</w:t>
      </w:r>
      <w:r w:rsidR="00A24C87">
        <w:rPr>
          <w:lang w:val="fr-FR"/>
        </w:rPr>
        <w:t>’</w:t>
      </w:r>
      <w:r w:rsidR="00B253B0">
        <w:rPr>
          <w:lang w:val="fr-FR"/>
        </w:rPr>
        <w:t>État</w:t>
      </w:r>
      <w:r w:rsidR="00D80F06" w:rsidRPr="002D6CAB">
        <w:rPr>
          <w:lang w:val="fr-FR"/>
        </w:rPr>
        <w:t xml:space="preserve"> mise en œuvre par le gouvernement dirigé par un Premier Ministre.</w:t>
      </w:r>
    </w:p>
    <w:p w:rsidR="00D80F06" w:rsidRPr="002D6CAB" w:rsidRDefault="00C87B7B" w:rsidP="00C87B7B">
      <w:pPr>
        <w:pStyle w:val="SingleTxtG"/>
        <w:spacing w:line="220" w:lineRule="atLeast"/>
        <w:rPr>
          <w:lang w:val="fr-FR"/>
        </w:rPr>
      </w:pPr>
      <w:r w:rsidRPr="002D6CAB">
        <w:rPr>
          <w:lang w:val="fr-FR"/>
        </w:rPr>
        <w:t>31.</w:t>
      </w:r>
      <w:r w:rsidRPr="002D6CAB">
        <w:rPr>
          <w:lang w:val="fr-FR"/>
        </w:rPr>
        <w:tab/>
      </w:r>
      <w:r w:rsidR="00D80F06" w:rsidRPr="002D6CAB">
        <w:rPr>
          <w:lang w:val="fr-FR"/>
        </w:rPr>
        <w:t>Le Pouvoir législatif est exercé par le Parlement (une seule chambre, l</w:t>
      </w:r>
      <w:r w:rsidR="00A24C87">
        <w:rPr>
          <w:lang w:val="fr-FR"/>
        </w:rPr>
        <w:t>’</w:t>
      </w:r>
      <w:r w:rsidR="00D80F06" w:rsidRPr="002D6CAB">
        <w:rPr>
          <w:lang w:val="fr-FR"/>
        </w:rPr>
        <w:t>Assemblée Nationale) qui vote les lois et contrôle l</w:t>
      </w:r>
      <w:r w:rsidR="00A24C87">
        <w:rPr>
          <w:lang w:val="fr-FR"/>
        </w:rPr>
        <w:t>’</w:t>
      </w:r>
      <w:r w:rsidR="00D80F06" w:rsidRPr="002D6CAB">
        <w:rPr>
          <w:lang w:val="fr-FR"/>
        </w:rPr>
        <w:t>action gouvernementale.</w:t>
      </w:r>
    </w:p>
    <w:p w:rsidR="00D80F06" w:rsidRPr="002D6CAB" w:rsidRDefault="00C87B7B" w:rsidP="00C87B7B">
      <w:pPr>
        <w:pStyle w:val="SingleTxtG"/>
        <w:spacing w:line="220" w:lineRule="atLeast"/>
        <w:rPr>
          <w:lang w:val="fr-FR"/>
        </w:rPr>
      </w:pPr>
      <w:r w:rsidRPr="002D6CAB">
        <w:rPr>
          <w:lang w:val="fr-FR"/>
        </w:rPr>
        <w:t>32.</w:t>
      </w:r>
      <w:r w:rsidRPr="002D6CAB">
        <w:rPr>
          <w:lang w:val="fr-FR"/>
        </w:rPr>
        <w:tab/>
      </w:r>
      <w:r w:rsidR="00D80F06" w:rsidRPr="002D6CAB">
        <w:rPr>
          <w:lang w:val="fr-FR"/>
        </w:rPr>
        <w:t>L</w:t>
      </w:r>
      <w:r w:rsidR="00A24C87">
        <w:rPr>
          <w:lang w:val="fr-FR"/>
        </w:rPr>
        <w:t>’</w:t>
      </w:r>
      <w:r w:rsidR="00D80F06" w:rsidRPr="002D6CAB">
        <w:rPr>
          <w:lang w:val="fr-FR"/>
        </w:rPr>
        <w:t>organisation administrative est décentralisée et déconcentrée. L</w:t>
      </w:r>
      <w:r w:rsidR="00A24C87">
        <w:rPr>
          <w:lang w:val="fr-FR"/>
        </w:rPr>
        <w:t>’</w:t>
      </w:r>
      <w:r w:rsidR="00D80F06" w:rsidRPr="002D6CAB">
        <w:rPr>
          <w:lang w:val="fr-FR"/>
        </w:rPr>
        <w:t xml:space="preserve">organisation territoriale comporte plusieurs niveaux administratifs, Wilayas (15), </w:t>
      </w:r>
      <w:proofErr w:type="spellStart"/>
      <w:r w:rsidR="00D80F06" w:rsidRPr="002D6CAB">
        <w:rPr>
          <w:lang w:val="fr-FR"/>
        </w:rPr>
        <w:t>Moughataas</w:t>
      </w:r>
      <w:proofErr w:type="spellEnd"/>
      <w:r w:rsidR="00D80F06" w:rsidRPr="002D6CAB">
        <w:rPr>
          <w:lang w:val="fr-FR"/>
        </w:rPr>
        <w:t xml:space="preserve"> (58) et communes (218). Les différents échelons de l</w:t>
      </w:r>
      <w:r w:rsidR="00A24C87">
        <w:rPr>
          <w:lang w:val="fr-FR"/>
        </w:rPr>
        <w:t>’</w:t>
      </w:r>
      <w:r w:rsidR="00D80F06" w:rsidRPr="002D6CAB">
        <w:rPr>
          <w:lang w:val="fr-FR"/>
        </w:rPr>
        <w:t xml:space="preserve">administration concourent au développement politique, économique et social du pays. </w:t>
      </w:r>
      <w:bookmarkStart w:id="27" w:name="_Toc453672861"/>
    </w:p>
    <w:p w:rsidR="00D80F06" w:rsidRPr="00534914" w:rsidRDefault="00D94138" w:rsidP="00D94138">
      <w:pPr>
        <w:pStyle w:val="H23G"/>
      </w:pPr>
      <w:bookmarkStart w:id="28" w:name="_Toc454388700"/>
      <w:bookmarkStart w:id="29" w:name="_Toc455360513"/>
      <w:bookmarkStart w:id="30" w:name="_Toc455364117"/>
      <w:bookmarkStart w:id="31" w:name="_Toc498901317"/>
      <w:r>
        <w:tab/>
      </w:r>
      <w:r w:rsidR="00D80F06">
        <w:t>2.</w:t>
      </w:r>
      <w:r w:rsidR="0028541A">
        <w:tab/>
      </w:r>
      <w:r w:rsidR="00D80F06" w:rsidRPr="00534914">
        <w:t>Institutions judicaires</w:t>
      </w:r>
      <w:bookmarkEnd w:id="27"/>
      <w:bookmarkEnd w:id="28"/>
      <w:bookmarkEnd w:id="29"/>
      <w:bookmarkEnd w:id="30"/>
      <w:bookmarkEnd w:id="31"/>
    </w:p>
    <w:p w:rsidR="00D80F06" w:rsidRPr="002D6CAB" w:rsidRDefault="00C87B7B" w:rsidP="00C87B7B">
      <w:pPr>
        <w:pStyle w:val="SingleTxtG"/>
        <w:spacing w:line="220" w:lineRule="atLeast"/>
        <w:rPr>
          <w:lang w:val="fr-FR"/>
        </w:rPr>
      </w:pPr>
      <w:r w:rsidRPr="002D6CAB">
        <w:rPr>
          <w:lang w:val="fr-FR"/>
        </w:rPr>
        <w:t>33.</w:t>
      </w:r>
      <w:r w:rsidRPr="002D6CAB">
        <w:rPr>
          <w:lang w:val="fr-FR"/>
        </w:rPr>
        <w:tab/>
      </w:r>
      <w:r w:rsidR="00D80F06" w:rsidRPr="002D6CAB">
        <w:rPr>
          <w:lang w:val="fr-FR"/>
        </w:rPr>
        <w:t>Le système judiciaire est fondé sur le principe du double degré de juridiction (les mêmes faits peuvent être jugés en premier et second degré).</w:t>
      </w:r>
      <w:r w:rsidR="00D80F06">
        <w:rPr>
          <w:lang w:val="fr-FR"/>
        </w:rPr>
        <w:t xml:space="preserve"> </w:t>
      </w:r>
      <w:r w:rsidR="00D80F06" w:rsidRPr="002D6CAB">
        <w:rPr>
          <w:lang w:val="fr-FR"/>
        </w:rPr>
        <w:t xml:space="preserve">Ce système comprend des tribunaux dans les </w:t>
      </w:r>
      <w:proofErr w:type="spellStart"/>
      <w:r w:rsidR="00D80F06" w:rsidRPr="002D6CAB">
        <w:rPr>
          <w:lang w:val="fr-FR"/>
        </w:rPr>
        <w:t>moughataa</w:t>
      </w:r>
      <w:proofErr w:type="spellEnd"/>
      <w:r w:rsidR="00D80F06" w:rsidRPr="002D6CAB">
        <w:rPr>
          <w:lang w:val="fr-FR"/>
        </w:rPr>
        <w:t xml:space="preserve"> et les wilayas, des cours d</w:t>
      </w:r>
      <w:r w:rsidR="00A24C87">
        <w:rPr>
          <w:lang w:val="fr-FR"/>
        </w:rPr>
        <w:t>’</w:t>
      </w:r>
      <w:r w:rsidR="00D80F06" w:rsidRPr="002D6CAB">
        <w:rPr>
          <w:lang w:val="fr-FR"/>
        </w:rPr>
        <w:t>appel et une cour suprême.</w:t>
      </w:r>
      <w:r w:rsidR="00D80F06">
        <w:rPr>
          <w:lang w:val="fr-FR"/>
        </w:rPr>
        <w:t xml:space="preserve"> </w:t>
      </w:r>
      <w:r w:rsidR="005C2C7D">
        <w:rPr>
          <w:lang w:val="fr-FR"/>
        </w:rPr>
        <w:t xml:space="preserve">Une </w:t>
      </w:r>
      <w:r w:rsidR="00D80F06" w:rsidRPr="002D6CAB">
        <w:rPr>
          <w:lang w:val="fr-FR"/>
        </w:rPr>
        <w:t xml:space="preserve">Haute Cour de </w:t>
      </w:r>
      <w:r w:rsidR="00A468C2">
        <w:rPr>
          <w:lang w:val="fr-FR"/>
        </w:rPr>
        <w:t>j</w:t>
      </w:r>
      <w:r w:rsidR="00D80F06" w:rsidRPr="002D6CAB">
        <w:rPr>
          <w:lang w:val="fr-FR"/>
        </w:rPr>
        <w:t>ustice est chargée de juger les plus hautes autorités de l</w:t>
      </w:r>
      <w:r w:rsidR="00A24C87">
        <w:rPr>
          <w:lang w:val="fr-FR"/>
        </w:rPr>
        <w:t>’</w:t>
      </w:r>
      <w:r w:rsidR="00B253B0">
        <w:rPr>
          <w:lang w:val="fr-FR"/>
        </w:rPr>
        <w:t>État</w:t>
      </w:r>
      <w:r w:rsidR="00A24C87">
        <w:rPr>
          <w:lang w:val="fr-FR"/>
        </w:rPr>
        <w:t xml:space="preserve"> (</w:t>
      </w:r>
      <w:r w:rsidR="00A468C2">
        <w:rPr>
          <w:lang w:val="fr-FR"/>
        </w:rPr>
        <w:t>l</w:t>
      </w:r>
      <w:r w:rsidR="00A24C87">
        <w:rPr>
          <w:lang w:val="fr-FR"/>
        </w:rPr>
        <w:t>e </w:t>
      </w:r>
      <w:r w:rsidR="00D80F06" w:rsidRPr="002D6CAB">
        <w:rPr>
          <w:lang w:val="fr-FR"/>
        </w:rPr>
        <w:t xml:space="preserve">Président de la République et les membres du gouvernement). La justice constitutionnelle est assurée par le Conseil </w:t>
      </w:r>
      <w:r w:rsidR="00A468C2">
        <w:rPr>
          <w:lang w:val="fr-FR"/>
        </w:rPr>
        <w:t>c</w:t>
      </w:r>
      <w:r w:rsidR="00D80F06" w:rsidRPr="002D6CAB">
        <w:rPr>
          <w:lang w:val="fr-FR"/>
        </w:rPr>
        <w:t xml:space="preserve">onstitutionnel. </w:t>
      </w:r>
    </w:p>
    <w:p w:rsidR="00D80F06" w:rsidRPr="002D6CAB" w:rsidRDefault="00C87B7B" w:rsidP="00C87B7B">
      <w:pPr>
        <w:pStyle w:val="SingleTxtG"/>
        <w:spacing w:line="220" w:lineRule="atLeast"/>
        <w:rPr>
          <w:lang w:val="fr-FR"/>
        </w:rPr>
      </w:pPr>
      <w:r w:rsidRPr="002D6CAB">
        <w:rPr>
          <w:lang w:val="fr-FR"/>
        </w:rPr>
        <w:t>34.</w:t>
      </w:r>
      <w:r w:rsidRPr="002D6CAB">
        <w:rPr>
          <w:lang w:val="fr-FR"/>
        </w:rPr>
        <w:tab/>
      </w:r>
      <w:r w:rsidR="00D80F06" w:rsidRPr="002D6CAB">
        <w:rPr>
          <w:lang w:val="fr-FR"/>
        </w:rPr>
        <w:t>Un Haut Conseil de la fatwa et des recours gracieux permet d</w:t>
      </w:r>
      <w:r w:rsidR="00A24C87">
        <w:rPr>
          <w:lang w:val="fr-FR"/>
        </w:rPr>
        <w:t>’</w:t>
      </w:r>
      <w:r w:rsidR="00D80F06" w:rsidRPr="002D6CAB">
        <w:rPr>
          <w:lang w:val="fr-FR"/>
        </w:rPr>
        <w:t>orienter les usagers vers des solutions conformes au droit musulman.</w:t>
      </w:r>
    </w:p>
    <w:p w:rsidR="00D80F06" w:rsidRDefault="00C87B7B" w:rsidP="00C87B7B">
      <w:pPr>
        <w:pStyle w:val="SingleTxtG"/>
        <w:spacing w:line="220" w:lineRule="atLeast"/>
        <w:rPr>
          <w:lang w:val="fr-FR"/>
        </w:rPr>
      </w:pPr>
      <w:r>
        <w:rPr>
          <w:lang w:val="fr-FR"/>
        </w:rPr>
        <w:t>35.</w:t>
      </w:r>
      <w:r>
        <w:rPr>
          <w:lang w:val="fr-FR"/>
        </w:rPr>
        <w:tab/>
      </w:r>
      <w:r w:rsidR="00D80F06" w:rsidRPr="002D6CAB">
        <w:rPr>
          <w:lang w:val="fr-FR"/>
        </w:rPr>
        <w:t>Le Gouvernement a renforcé l</w:t>
      </w:r>
      <w:r w:rsidR="00A24C87">
        <w:rPr>
          <w:lang w:val="fr-FR"/>
        </w:rPr>
        <w:t>’</w:t>
      </w:r>
      <w:r w:rsidR="00D80F06" w:rsidRPr="002D6CAB">
        <w:rPr>
          <w:lang w:val="fr-FR"/>
        </w:rPr>
        <w:t>efficience de la justice en la rapprochant davantage les justiciables par la création de nouveaux tribunaux dont une cour d</w:t>
      </w:r>
      <w:r w:rsidR="00A24C87">
        <w:rPr>
          <w:lang w:val="fr-FR"/>
        </w:rPr>
        <w:t>’</w:t>
      </w:r>
      <w:r w:rsidR="00D80F06" w:rsidRPr="002D6CAB">
        <w:rPr>
          <w:lang w:val="fr-FR"/>
        </w:rPr>
        <w:t>appel à Aleg, deux tribunaux de wilaya à Nouakchott Nord et Sud et un tribunal de travail à Zouerate, trois cours criminelles spécialisées dans la lutte contre l</w:t>
      </w:r>
      <w:r w:rsidR="00A24C87">
        <w:rPr>
          <w:lang w:val="fr-FR"/>
        </w:rPr>
        <w:t>’</w:t>
      </w:r>
      <w:r w:rsidR="00D80F06" w:rsidRPr="002D6CAB">
        <w:rPr>
          <w:lang w:val="fr-FR"/>
        </w:rPr>
        <w:t xml:space="preserve">esclavage ainsi </w:t>
      </w:r>
      <w:r w:rsidR="00357320" w:rsidRPr="002D6CAB">
        <w:rPr>
          <w:lang w:val="fr-FR"/>
        </w:rPr>
        <w:t>qu</w:t>
      </w:r>
      <w:r w:rsidR="00A24C87">
        <w:rPr>
          <w:lang w:val="fr-FR"/>
        </w:rPr>
        <w:t>’</w:t>
      </w:r>
      <w:r w:rsidR="00357320" w:rsidRPr="002D6CAB">
        <w:rPr>
          <w:lang w:val="fr-FR"/>
        </w:rPr>
        <w:t>un</w:t>
      </w:r>
      <w:r w:rsidR="00357320">
        <w:rPr>
          <w:lang w:val="fr-FR"/>
        </w:rPr>
        <w:t>e</w:t>
      </w:r>
      <w:r w:rsidR="00357320" w:rsidRPr="002D6CAB">
        <w:rPr>
          <w:lang w:val="fr-FR"/>
        </w:rPr>
        <w:t xml:space="preserve"> cour</w:t>
      </w:r>
      <w:r w:rsidR="00D80F06" w:rsidRPr="002D6CAB">
        <w:rPr>
          <w:lang w:val="fr-FR"/>
        </w:rPr>
        <w:t xml:space="preserve"> spécialisée dans la lutte contre la corruption. Par ailleurs, il a mis en place une stratégie nationale de lutte contre la corruption et des plans sectoriels de lutte contre ce phénomène sont exécutés par les départements publics en collaboration avec la société civile qui veille au respect de la législation nationale anticorruption.</w:t>
      </w:r>
    </w:p>
    <w:p w:rsidR="008D3102" w:rsidRDefault="006702FE" w:rsidP="00027EE8">
      <w:pPr>
        <w:pStyle w:val="H23G"/>
      </w:pPr>
      <w:bookmarkStart w:id="32" w:name="_Toc497839580"/>
      <w:bookmarkStart w:id="33" w:name="_Toc498901318"/>
      <w:r>
        <w:tab/>
      </w:r>
      <w:r>
        <w:tab/>
      </w:r>
      <w:r w:rsidR="00D80F06" w:rsidRPr="00027EE8">
        <w:rPr>
          <w:b w:val="0"/>
        </w:rPr>
        <w:t>Tableau n</w:t>
      </w:r>
      <w:r w:rsidRPr="00027EE8">
        <w:rPr>
          <w:vertAlign w:val="superscript"/>
        </w:rPr>
        <w:t>o</w:t>
      </w:r>
      <w:r w:rsidRPr="006702FE">
        <w:t> </w:t>
      </w:r>
      <w:r w:rsidR="00D80F06" w:rsidRPr="00027EE8">
        <w:rPr>
          <w:b w:val="0"/>
        </w:rPr>
        <w:t>2</w:t>
      </w:r>
      <w:r>
        <w:br/>
      </w:r>
      <w:r w:rsidR="00D80F06" w:rsidRPr="0028541A">
        <w:t>Activités des juridictions de premier degré (année 2016)</w:t>
      </w:r>
      <w:bookmarkEnd w:id="32"/>
      <w:bookmarkEnd w:id="33"/>
    </w:p>
    <w:p w:rsidR="00D80F06" w:rsidRPr="0028541A" w:rsidRDefault="008D3102" w:rsidP="005C2C7D">
      <w:pPr>
        <w:pStyle w:val="H23G"/>
        <w:spacing w:before="120"/>
      </w:pPr>
      <w:r>
        <w:tab/>
      </w:r>
      <w:r>
        <w:tab/>
      </w:r>
      <w:r w:rsidR="00D80F06" w:rsidRPr="0028541A">
        <w:t>Affaires civiles, commerciales et administratives</w:t>
      </w:r>
    </w:p>
    <w:tbl>
      <w:tblPr>
        <w:tblW w:w="0" w:type="auto"/>
        <w:tblInd w:w="1134" w:type="dxa"/>
        <w:tblLayout w:type="fixed"/>
        <w:tblCellMar>
          <w:left w:w="0" w:type="dxa"/>
          <w:right w:w="0" w:type="dxa"/>
        </w:tblCellMar>
        <w:tblLook w:val="04A0" w:firstRow="1" w:lastRow="0" w:firstColumn="1" w:lastColumn="0" w:noHBand="0" w:noVBand="1"/>
      </w:tblPr>
      <w:tblGrid>
        <w:gridCol w:w="3969"/>
        <w:gridCol w:w="3402"/>
      </w:tblGrid>
      <w:tr w:rsidR="00D80F06" w:rsidRPr="0065345F" w:rsidTr="00027EE8">
        <w:trPr>
          <w:tblHeader/>
        </w:trPr>
        <w:tc>
          <w:tcPr>
            <w:tcW w:w="3969" w:type="dxa"/>
            <w:tcBorders>
              <w:top w:val="single" w:sz="4" w:space="0" w:color="auto"/>
              <w:bottom w:val="single" w:sz="12" w:space="0" w:color="auto"/>
            </w:tcBorders>
            <w:shd w:val="clear" w:color="auto" w:fill="auto"/>
            <w:vAlign w:val="bottom"/>
            <w:hideMark/>
          </w:tcPr>
          <w:p w:rsidR="00D80F06" w:rsidRPr="0065345F" w:rsidRDefault="00D80F06" w:rsidP="00A24C87">
            <w:pPr>
              <w:pStyle w:val="SingleTxtG"/>
              <w:keepNext/>
              <w:keepLines/>
              <w:suppressAutoHyphens w:val="0"/>
              <w:spacing w:before="80" w:after="80" w:line="200" w:lineRule="exact"/>
              <w:ind w:left="0" w:right="0"/>
              <w:jc w:val="left"/>
              <w:rPr>
                <w:bCs/>
                <w:i/>
                <w:sz w:val="16"/>
              </w:rPr>
            </w:pPr>
            <w:r w:rsidRPr="0065345F">
              <w:rPr>
                <w:bCs/>
                <w:i/>
                <w:sz w:val="16"/>
              </w:rPr>
              <w:t>Nature</w:t>
            </w:r>
          </w:p>
        </w:tc>
        <w:tc>
          <w:tcPr>
            <w:tcW w:w="3402" w:type="dxa"/>
            <w:tcBorders>
              <w:top w:val="single" w:sz="4" w:space="0" w:color="auto"/>
              <w:bottom w:val="single" w:sz="12" w:space="0" w:color="auto"/>
            </w:tcBorders>
            <w:shd w:val="clear" w:color="auto" w:fill="auto"/>
            <w:vAlign w:val="bottom"/>
            <w:hideMark/>
          </w:tcPr>
          <w:p w:rsidR="00D80F06" w:rsidRPr="0065345F" w:rsidRDefault="00D80F06" w:rsidP="00A24C87">
            <w:pPr>
              <w:pStyle w:val="SingleTxtG"/>
              <w:keepNext/>
              <w:keepLines/>
              <w:suppressAutoHyphens w:val="0"/>
              <w:spacing w:before="80" w:after="80" w:line="200" w:lineRule="exact"/>
              <w:ind w:left="0" w:right="0"/>
              <w:jc w:val="right"/>
              <w:rPr>
                <w:bCs/>
                <w:i/>
                <w:sz w:val="16"/>
              </w:rPr>
            </w:pPr>
            <w:r w:rsidRPr="0065345F">
              <w:rPr>
                <w:bCs/>
                <w:i/>
                <w:sz w:val="16"/>
              </w:rPr>
              <w:t>Nombre</w:t>
            </w:r>
          </w:p>
        </w:tc>
      </w:tr>
      <w:tr w:rsidR="00D80F06" w:rsidRPr="0065345F" w:rsidTr="00027EE8">
        <w:tc>
          <w:tcPr>
            <w:tcW w:w="3969" w:type="dxa"/>
            <w:tcBorders>
              <w:top w:val="single" w:sz="12" w:space="0" w:color="auto"/>
            </w:tcBorders>
            <w:shd w:val="clear" w:color="auto" w:fill="auto"/>
            <w:hideMark/>
          </w:tcPr>
          <w:p w:rsidR="00D80F06" w:rsidRPr="0065345F" w:rsidRDefault="00D80F06" w:rsidP="00A24C87">
            <w:pPr>
              <w:pStyle w:val="SingleTxtG"/>
              <w:keepNext/>
              <w:keepLines/>
              <w:suppressAutoHyphens w:val="0"/>
              <w:spacing w:before="40" w:after="40" w:line="220" w:lineRule="exact"/>
              <w:ind w:left="0" w:right="0"/>
              <w:jc w:val="left"/>
              <w:rPr>
                <w:sz w:val="18"/>
              </w:rPr>
            </w:pPr>
            <w:r w:rsidRPr="0065345F">
              <w:rPr>
                <w:sz w:val="18"/>
              </w:rPr>
              <w:t>Affaires introduites</w:t>
            </w:r>
          </w:p>
        </w:tc>
        <w:tc>
          <w:tcPr>
            <w:tcW w:w="3402" w:type="dxa"/>
            <w:tcBorders>
              <w:top w:val="single" w:sz="12" w:space="0" w:color="auto"/>
            </w:tcBorders>
            <w:shd w:val="clear" w:color="auto" w:fill="auto"/>
            <w:vAlign w:val="bottom"/>
            <w:hideMark/>
          </w:tcPr>
          <w:p w:rsidR="00D80F06" w:rsidRPr="0065345F" w:rsidRDefault="00D80F06" w:rsidP="00A24C87">
            <w:pPr>
              <w:pStyle w:val="SingleTxtG"/>
              <w:keepNext/>
              <w:keepLines/>
              <w:suppressAutoHyphens w:val="0"/>
              <w:spacing w:before="40" w:after="40" w:line="220" w:lineRule="exact"/>
              <w:ind w:left="0" w:right="0"/>
              <w:jc w:val="right"/>
              <w:rPr>
                <w:sz w:val="18"/>
              </w:rPr>
            </w:pPr>
            <w:r w:rsidRPr="0065345F">
              <w:rPr>
                <w:sz w:val="18"/>
              </w:rPr>
              <w:t>5</w:t>
            </w:r>
            <w:r w:rsidR="005C2C7D">
              <w:rPr>
                <w:sz w:val="18"/>
              </w:rPr>
              <w:t xml:space="preserve"> </w:t>
            </w:r>
            <w:r w:rsidRPr="0065345F">
              <w:rPr>
                <w:sz w:val="18"/>
              </w:rPr>
              <w:t>952</w:t>
            </w:r>
          </w:p>
        </w:tc>
      </w:tr>
      <w:tr w:rsidR="00D80F06" w:rsidRPr="0065345F" w:rsidTr="00027EE8">
        <w:tc>
          <w:tcPr>
            <w:tcW w:w="3969" w:type="dxa"/>
            <w:shd w:val="clear" w:color="auto" w:fill="auto"/>
            <w:hideMark/>
          </w:tcPr>
          <w:p w:rsidR="00D80F06" w:rsidRPr="0065345F" w:rsidRDefault="00D80F06" w:rsidP="00A24C87">
            <w:pPr>
              <w:pStyle w:val="SingleTxtG"/>
              <w:keepNext/>
              <w:keepLines/>
              <w:suppressAutoHyphens w:val="0"/>
              <w:spacing w:before="40" w:after="40" w:line="220" w:lineRule="exact"/>
              <w:ind w:left="0" w:right="0"/>
              <w:jc w:val="left"/>
              <w:rPr>
                <w:sz w:val="18"/>
              </w:rPr>
            </w:pPr>
            <w:r w:rsidRPr="0065345F">
              <w:rPr>
                <w:sz w:val="18"/>
              </w:rPr>
              <w:t>Jugements rendus</w:t>
            </w:r>
          </w:p>
        </w:tc>
        <w:tc>
          <w:tcPr>
            <w:tcW w:w="3402" w:type="dxa"/>
            <w:shd w:val="clear" w:color="auto" w:fill="auto"/>
            <w:vAlign w:val="bottom"/>
            <w:hideMark/>
          </w:tcPr>
          <w:p w:rsidR="00D80F06" w:rsidRPr="0065345F" w:rsidRDefault="00D80F06" w:rsidP="00A24C87">
            <w:pPr>
              <w:pStyle w:val="SingleTxtG"/>
              <w:keepNext/>
              <w:keepLines/>
              <w:suppressAutoHyphens w:val="0"/>
              <w:spacing w:before="40" w:after="40" w:line="220" w:lineRule="exact"/>
              <w:ind w:left="0" w:right="0"/>
              <w:jc w:val="right"/>
              <w:rPr>
                <w:sz w:val="18"/>
              </w:rPr>
            </w:pPr>
            <w:r w:rsidRPr="0065345F">
              <w:rPr>
                <w:sz w:val="18"/>
              </w:rPr>
              <w:t>2</w:t>
            </w:r>
            <w:r w:rsidR="005C2C7D">
              <w:rPr>
                <w:sz w:val="18"/>
              </w:rPr>
              <w:t xml:space="preserve"> </w:t>
            </w:r>
            <w:r w:rsidRPr="0065345F">
              <w:rPr>
                <w:sz w:val="18"/>
              </w:rPr>
              <w:t>189</w:t>
            </w:r>
          </w:p>
        </w:tc>
      </w:tr>
      <w:tr w:rsidR="00D80F06" w:rsidRPr="0065345F" w:rsidTr="00027EE8">
        <w:tc>
          <w:tcPr>
            <w:tcW w:w="3969" w:type="dxa"/>
            <w:shd w:val="clear" w:color="auto" w:fill="auto"/>
            <w:hideMark/>
          </w:tcPr>
          <w:p w:rsidR="00D80F06" w:rsidRPr="0065345F" w:rsidRDefault="00D80F06" w:rsidP="00A24C87">
            <w:pPr>
              <w:pStyle w:val="SingleTxtG"/>
              <w:keepNext/>
              <w:keepLines/>
              <w:suppressAutoHyphens w:val="0"/>
              <w:spacing w:before="40" w:after="40" w:line="220" w:lineRule="exact"/>
              <w:ind w:left="0" w:right="0"/>
              <w:jc w:val="left"/>
              <w:rPr>
                <w:sz w:val="18"/>
              </w:rPr>
            </w:pPr>
            <w:r w:rsidRPr="0065345F">
              <w:rPr>
                <w:sz w:val="18"/>
              </w:rPr>
              <w:t>Conciliations</w:t>
            </w:r>
          </w:p>
        </w:tc>
        <w:tc>
          <w:tcPr>
            <w:tcW w:w="3402" w:type="dxa"/>
            <w:shd w:val="clear" w:color="auto" w:fill="auto"/>
            <w:vAlign w:val="bottom"/>
            <w:hideMark/>
          </w:tcPr>
          <w:p w:rsidR="00D80F06" w:rsidRPr="0065345F" w:rsidRDefault="00D80F06" w:rsidP="00A24C87">
            <w:pPr>
              <w:pStyle w:val="SingleTxtG"/>
              <w:keepNext/>
              <w:keepLines/>
              <w:suppressAutoHyphens w:val="0"/>
              <w:spacing w:before="40" w:after="40" w:line="220" w:lineRule="exact"/>
              <w:ind w:left="0" w:right="0"/>
              <w:jc w:val="right"/>
              <w:rPr>
                <w:sz w:val="18"/>
              </w:rPr>
            </w:pPr>
            <w:r w:rsidRPr="0065345F">
              <w:rPr>
                <w:sz w:val="18"/>
              </w:rPr>
              <w:t>2</w:t>
            </w:r>
            <w:r w:rsidR="005C2C7D">
              <w:rPr>
                <w:sz w:val="18"/>
              </w:rPr>
              <w:t xml:space="preserve"> </w:t>
            </w:r>
            <w:r w:rsidRPr="0065345F">
              <w:rPr>
                <w:sz w:val="18"/>
              </w:rPr>
              <w:t>158</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Recours en appel</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694</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Pourvois</w:t>
            </w:r>
            <w:r>
              <w:rPr>
                <w:sz w:val="18"/>
              </w:rPr>
              <w:t xml:space="preserve"> </w:t>
            </w:r>
            <w:r w:rsidRPr="0065345F">
              <w:rPr>
                <w:sz w:val="18"/>
              </w:rPr>
              <w:t>en cassation</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115</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lastRenderedPageBreak/>
              <w:t>Ordonnances</w:t>
            </w:r>
            <w:r>
              <w:rPr>
                <w:sz w:val="18"/>
              </w:rPr>
              <w:t xml:space="preserve"> </w:t>
            </w:r>
            <w:r w:rsidRPr="0065345F">
              <w:rPr>
                <w:sz w:val="18"/>
              </w:rPr>
              <w:t>de référé</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2</w:t>
            </w:r>
            <w:r w:rsidR="005C2C7D">
              <w:rPr>
                <w:sz w:val="18"/>
              </w:rPr>
              <w:t xml:space="preserve"> </w:t>
            </w:r>
            <w:r w:rsidRPr="0065345F">
              <w:rPr>
                <w:sz w:val="18"/>
              </w:rPr>
              <w:t>394</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Recours en appel contre les ordonnances de référé</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262</w:t>
            </w:r>
          </w:p>
        </w:tc>
      </w:tr>
      <w:tr w:rsidR="00D80F06" w:rsidRPr="0065345F" w:rsidTr="00027EE8">
        <w:tc>
          <w:tcPr>
            <w:tcW w:w="3969" w:type="dxa"/>
            <w:tcBorders>
              <w:bottom w:val="single" w:sz="12" w:space="0" w:color="auto"/>
            </w:tcBorders>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Recours</w:t>
            </w:r>
            <w:r>
              <w:rPr>
                <w:sz w:val="18"/>
              </w:rPr>
              <w:t xml:space="preserve"> </w:t>
            </w:r>
            <w:r w:rsidRPr="0065345F">
              <w:rPr>
                <w:sz w:val="18"/>
              </w:rPr>
              <w:t>en opposition</w:t>
            </w:r>
          </w:p>
        </w:tc>
        <w:tc>
          <w:tcPr>
            <w:tcW w:w="3402" w:type="dxa"/>
            <w:tcBorders>
              <w:bottom w:val="single" w:sz="12" w:space="0" w:color="auto"/>
            </w:tcBorders>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73</w:t>
            </w:r>
          </w:p>
        </w:tc>
      </w:tr>
    </w:tbl>
    <w:p w:rsidR="00D80F06" w:rsidRPr="0028541A" w:rsidRDefault="008D3102" w:rsidP="00027EE8">
      <w:pPr>
        <w:pStyle w:val="H23G"/>
      </w:pPr>
      <w:r>
        <w:tab/>
      </w:r>
      <w:r>
        <w:tab/>
      </w:r>
      <w:r w:rsidR="00D80F06" w:rsidRPr="0028541A">
        <w:t>Activités des cours criminelles, chambres correctionnelles et chambres pour mineurs</w:t>
      </w:r>
    </w:p>
    <w:tbl>
      <w:tblPr>
        <w:tblW w:w="0" w:type="auto"/>
        <w:tblInd w:w="1134" w:type="dxa"/>
        <w:tblLayout w:type="fixed"/>
        <w:tblCellMar>
          <w:left w:w="0" w:type="dxa"/>
          <w:right w:w="0" w:type="dxa"/>
        </w:tblCellMar>
        <w:tblLook w:val="04A0" w:firstRow="1" w:lastRow="0" w:firstColumn="1" w:lastColumn="0" w:noHBand="0" w:noVBand="1"/>
      </w:tblPr>
      <w:tblGrid>
        <w:gridCol w:w="3969"/>
        <w:gridCol w:w="3402"/>
      </w:tblGrid>
      <w:tr w:rsidR="00D80F06" w:rsidRPr="0065345F" w:rsidTr="00027EE8">
        <w:trPr>
          <w:tblHeader/>
        </w:trPr>
        <w:tc>
          <w:tcPr>
            <w:tcW w:w="3969" w:type="dxa"/>
            <w:tcBorders>
              <w:top w:val="single" w:sz="4" w:space="0" w:color="auto"/>
              <w:bottom w:val="single" w:sz="12" w:space="0" w:color="auto"/>
            </w:tcBorders>
            <w:shd w:val="clear" w:color="auto" w:fill="auto"/>
            <w:vAlign w:val="bottom"/>
            <w:hideMark/>
          </w:tcPr>
          <w:p w:rsidR="00D80F06" w:rsidRPr="0065345F" w:rsidRDefault="00D80F06" w:rsidP="000D7CDD">
            <w:pPr>
              <w:pStyle w:val="SingleTxtG"/>
              <w:suppressAutoHyphens w:val="0"/>
              <w:spacing w:before="80" w:after="80" w:line="200" w:lineRule="exact"/>
              <w:ind w:left="0" w:right="0"/>
              <w:jc w:val="left"/>
              <w:rPr>
                <w:bCs/>
                <w:i/>
                <w:sz w:val="16"/>
              </w:rPr>
            </w:pPr>
            <w:r w:rsidRPr="0065345F">
              <w:rPr>
                <w:bCs/>
                <w:i/>
                <w:sz w:val="16"/>
              </w:rPr>
              <w:t>Nature</w:t>
            </w:r>
          </w:p>
        </w:tc>
        <w:tc>
          <w:tcPr>
            <w:tcW w:w="3402" w:type="dxa"/>
            <w:tcBorders>
              <w:top w:val="single" w:sz="4" w:space="0" w:color="auto"/>
              <w:bottom w:val="single" w:sz="12" w:space="0" w:color="auto"/>
            </w:tcBorders>
            <w:shd w:val="clear" w:color="auto" w:fill="auto"/>
            <w:vAlign w:val="bottom"/>
            <w:hideMark/>
          </w:tcPr>
          <w:p w:rsidR="00D80F06" w:rsidRPr="0065345F" w:rsidRDefault="00D80F06" w:rsidP="000D7CDD">
            <w:pPr>
              <w:pStyle w:val="SingleTxtG"/>
              <w:suppressAutoHyphens w:val="0"/>
              <w:spacing w:before="80" w:after="80" w:line="200" w:lineRule="exact"/>
              <w:ind w:left="0" w:right="0"/>
              <w:jc w:val="right"/>
              <w:rPr>
                <w:bCs/>
                <w:i/>
                <w:sz w:val="16"/>
              </w:rPr>
            </w:pPr>
            <w:r w:rsidRPr="0065345F">
              <w:rPr>
                <w:bCs/>
                <w:i/>
                <w:sz w:val="16"/>
              </w:rPr>
              <w:t>Nombre</w:t>
            </w:r>
          </w:p>
        </w:tc>
      </w:tr>
      <w:tr w:rsidR="00D80F06" w:rsidRPr="0065345F" w:rsidTr="00027EE8">
        <w:tc>
          <w:tcPr>
            <w:tcW w:w="3969" w:type="dxa"/>
            <w:tcBorders>
              <w:top w:val="single" w:sz="12" w:space="0" w:color="auto"/>
            </w:tcBorders>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Affaires introduites</w:t>
            </w:r>
          </w:p>
        </w:tc>
        <w:tc>
          <w:tcPr>
            <w:tcW w:w="3402" w:type="dxa"/>
            <w:tcBorders>
              <w:top w:val="single" w:sz="12" w:space="0" w:color="auto"/>
            </w:tcBorders>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2613</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Jugements rendus</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1764</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Ordonnances</w:t>
            </w:r>
            <w:r>
              <w:rPr>
                <w:sz w:val="18"/>
              </w:rPr>
              <w:t xml:space="preserve"> </w:t>
            </w:r>
            <w:r w:rsidRPr="0065345F">
              <w:rPr>
                <w:sz w:val="18"/>
              </w:rPr>
              <w:t>de référé</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755</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Recours en appel</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986</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Recours en appel contre les ordonnances de référé</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90</w:t>
            </w:r>
          </w:p>
        </w:tc>
      </w:tr>
      <w:tr w:rsidR="00D80F06" w:rsidRPr="0065345F" w:rsidTr="00027EE8">
        <w:tc>
          <w:tcPr>
            <w:tcW w:w="3969" w:type="dxa"/>
            <w:tcBorders>
              <w:bottom w:val="single" w:sz="12" w:space="0" w:color="auto"/>
            </w:tcBorders>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Recours</w:t>
            </w:r>
            <w:r>
              <w:rPr>
                <w:sz w:val="18"/>
              </w:rPr>
              <w:t xml:space="preserve"> </w:t>
            </w:r>
            <w:r w:rsidRPr="0065345F">
              <w:rPr>
                <w:sz w:val="18"/>
              </w:rPr>
              <w:t>en opposition</w:t>
            </w:r>
          </w:p>
        </w:tc>
        <w:tc>
          <w:tcPr>
            <w:tcW w:w="3402" w:type="dxa"/>
            <w:tcBorders>
              <w:bottom w:val="single" w:sz="12" w:space="0" w:color="auto"/>
            </w:tcBorders>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12</w:t>
            </w:r>
          </w:p>
        </w:tc>
      </w:tr>
    </w:tbl>
    <w:p w:rsidR="00D80F06" w:rsidRPr="0028541A" w:rsidRDefault="008D3102" w:rsidP="00027EE8">
      <w:pPr>
        <w:pStyle w:val="H23G"/>
      </w:pPr>
      <w:r>
        <w:tab/>
      </w:r>
      <w:r>
        <w:tab/>
      </w:r>
      <w:r w:rsidR="00D80F06" w:rsidRPr="0028541A">
        <w:t>Activités des cabinets d</w:t>
      </w:r>
      <w:r w:rsidR="00A24C87">
        <w:t>’</w:t>
      </w:r>
      <w:r w:rsidR="00D80F06" w:rsidRPr="0028541A">
        <w:t xml:space="preserve">instruction </w:t>
      </w:r>
    </w:p>
    <w:tbl>
      <w:tblPr>
        <w:tblW w:w="0" w:type="auto"/>
        <w:tblInd w:w="1134" w:type="dxa"/>
        <w:tblLayout w:type="fixed"/>
        <w:tblCellMar>
          <w:left w:w="0" w:type="dxa"/>
          <w:right w:w="0" w:type="dxa"/>
        </w:tblCellMar>
        <w:tblLook w:val="04A0" w:firstRow="1" w:lastRow="0" w:firstColumn="1" w:lastColumn="0" w:noHBand="0" w:noVBand="1"/>
      </w:tblPr>
      <w:tblGrid>
        <w:gridCol w:w="3969"/>
        <w:gridCol w:w="3402"/>
      </w:tblGrid>
      <w:tr w:rsidR="00D80F06" w:rsidRPr="0065345F" w:rsidTr="00027EE8">
        <w:trPr>
          <w:tblHeader/>
        </w:trPr>
        <w:tc>
          <w:tcPr>
            <w:tcW w:w="3969" w:type="dxa"/>
            <w:tcBorders>
              <w:top w:val="single" w:sz="4" w:space="0" w:color="auto"/>
              <w:bottom w:val="single" w:sz="12" w:space="0" w:color="auto"/>
            </w:tcBorders>
            <w:shd w:val="clear" w:color="auto" w:fill="auto"/>
            <w:vAlign w:val="bottom"/>
            <w:hideMark/>
          </w:tcPr>
          <w:p w:rsidR="00D80F06" w:rsidRPr="0065345F" w:rsidRDefault="00D80F06" w:rsidP="000D7CDD">
            <w:pPr>
              <w:pStyle w:val="SingleTxtG"/>
              <w:suppressAutoHyphens w:val="0"/>
              <w:spacing w:before="80" w:after="80" w:line="200" w:lineRule="exact"/>
              <w:ind w:left="0" w:right="0"/>
              <w:jc w:val="left"/>
              <w:rPr>
                <w:bCs/>
                <w:i/>
                <w:sz w:val="16"/>
              </w:rPr>
            </w:pPr>
            <w:r w:rsidRPr="0065345F">
              <w:rPr>
                <w:bCs/>
                <w:i/>
                <w:sz w:val="16"/>
              </w:rPr>
              <w:t xml:space="preserve">Nature </w:t>
            </w:r>
          </w:p>
        </w:tc>
        <w:tc>
          <w:tcPr>
            <w:tcW w:w="3402" w:type="dxa"/>
            <w:tcBorders>
              <w:top w:val="single" w:sz="4" w:space="0" w:color="auto"/>
              <w:bottom w:val="single" w:sz="12" w:space="0" w:color="auto"/>
            </w:tcBorders>
            <w:shd w:val="clear" w:color="auto" w:fill="auto"/>
            <w:vAlign w:val="bottom"/>
            <w:hideMark/>
          </w:tcPr>
          <w:p w:rsidR="00D80F06" w:rsidRPr="0065345F" w:rsidRDefault="00D80F06" w:rsidP="000D7CDD">
            <w:pPr>
              <w:pStyle w:val="SingleTxtG"/>
              <w:suppressAutoHyphens w:val="0"/>
              <w:spacing w:before="80" w:after="80" w:line="200" w:lineRule="exact"/>
              <w:ind w:left="0" w:right="0"/>
              <w:jc w:val="right"/>
              <w:rPr>
                <w:bCs/>
                <w:i/>
                <w:sz w:val="16"/>
              </w:rPr>
            </w:pPr>
            <w:r w:rsidRPr="0065345F">
              <w:rPr>
                <w:bCs/>
                <w:i/>
                <w:sz w:val="16"/>
              </w:rPr>
              <w:t>Nombre</w:t>
            </w:r>
          </w:p>
        </w:tc>
      </w:tr>
      <w:tr w:rsidR="00D80F06" w:rsidRPr="0065345F" w:rsidTr="00027EE8">
        <w:tc>
          <w:tcPr>
            <w:tcW w:w="3969" w:type="dxa"/>
            <w:tcBorders>
              <w:top w:val="single" w:sz="12" w:space="0" w:color="auto"/>
            </w:tcBorders>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Affaires introduites</w:t>
            </w:r>
          </w:p>
        </w:tc>
        <w:tc>
          <w:tcPr>
            <w:tcW w:w="3402" w:type="dxa"/>
            <w:tcBorders>
              <w:top w:val="single" w:sz="12" w:space="0" w:color="auto"/>
            </w:tcBorders>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3396</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Prévenus</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4391</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Affaires renvoyées devant la cour criminelle</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813</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Affaires renvoyées devant la chambre</w:t>
            </w:r>
            <w:r>
              <w:rPr>
                <w:sz w:val="18"/>
              </w:rPr>
              <w:t xml:space="preserve"> </w:t>
            </w:r>
            <w:r w:rsidRPr="0065345F">
              <w:rPr>
                <w:sz w:val="18"/>
              </w:rPr>
              <w:t>correctionnelle</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893</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Affaires sanctionnées par la clôture de</w:t>
            </w:r>
            <w:r w:rsidR="00D23666">
              <w:rPr>
                <w:sz w:val="18"/>
              </w:rPr>
              <w:t> </w:t>
            </w:r>
            <w:r w:rsidRPr="0065345F">
              <w:rPr>
                <w:sz w:val="18"/>
              </w:rPr>
              <w:t>l</w:t>
            </w:r>
            <w:r w:rsidR="00A24C87">
              <w:rPr>
                <w:sz w:val="18"/>
              </w:rPr>
              <w:t>’</w:t>
            </w:r>
            <w:r w:rsidRPr="0065345F">
              <w:rPr>
                <w:sz w:val="18"/>
              </w:rPr>
              <w:t>instruction</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1671</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Mandats de dépôt</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2256</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Ordonnances de mise en liberté</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669</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Ordonnance de mise sous contrôle judiciaire</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1473</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 xml:space="preserve">Ordonnances de </w:t>
            </w:r>
            <w:r w:rsidR="00A53065">
              <w:rPr>
                <w:sz w:val="18"/>
              </w:rPr>
              <w:t>non-</w:t>
            </w:r>
            <w:r w:rsidR="00A53065" w:rsidRPr="0065345F">
              <w:rPr>
                <w:sz w:val="18"/>
              </w:rPr>
              <w:t>lieu</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177</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Procès-verbaux de conciliation</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606</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Cautions</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424</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Visites des prisons</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436</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Commissions rogatoires</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165</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Décision liberté sous caution</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200</w:t>
            </w:r>
          </w:p>
        </w:tc>
      </w:tr>
      <w:tr w:rsidR="00D80F06" w:rsidRPr="0065345F" w:rsidTr="00027EE8">
        <w:tc>
          <w:tcPr>
            <w:tcW w:w="3969"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Expertises</w:t>
            </w:r>
          </w:p>
        </w:tc>
        <w:tc>
          <w:tcPr>
            <w:tcW w:w="3402"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24</w:t>
            </w:r>
          </w:p>
        </w:tc>
      </w:tr>
      <w:tr w:rsidR="00D80F06" w:rsidRPr="0065345F" w:rsidTr="00027EE8">
        <w:tc>
          <w:tcPr>
            <w:tcW w:w="3969" w:type="dxa"/>
            <w:tcBorders>
              <w:bottom w:val="single" w:sz="12" w:space="0" w:color="auto"/>
            </w:tcBorders>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Mandats d</w:t>
            </w:r>
            <w:r w:rsidR="00A24C87">
              <w:rPr>
                <w:sz w:val="18"/>
              </w:rPr>
              <w:t>’</w:t>
            </w:r>
            <w:r w:rsidRPr="0065345F">
              <w:rPr>
                <w:sz w:val="18"/>
              </w:rPr>
              <w:t>arrêt</w:t>
            </w:r>
          </w:p>
        </w:tc>
        <w:tc>
          <w:tcPr>
            <w:tcW w:w="3402" w:type="dxa"/>
            <w:tcBorders>
              <w:bottom w:val="single" w:sz="12" w:space="0" w:color="auto"/>
            </w:tcBorders>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160</w:t>
            </w:r>
          </w:p>
        </w:tc>
      </w:tr>
    </w:tbl>
    <w:p w:rsidR="00D80F06" w:rsidRPr="00D94138" w:rsidRDefault="008D3102" w:rsidP="00027EE8">
      <w:pPr>
        <w:pStyle w:val="H23G"/>
      </w:pPr>
      <w:r>
        <w:tab/>
      </w:r>
      <w:r>
        <w:tab/>
      </w:r>
      <w:r w:rsidR="00D80F06" w:rsidRPr="00D94138">
        <w:t>Statistiques du parquet de Nouakchott (année 2016)</w:t>
      </w:r>
    </w:p>
    <w:p w:rsidR="00D80F06" w:rsidRPr="00D94138" w:rsidRDefault="008D3102" w:rsidP="00027EE8">
      <w:pPr>
        <w:pStyle w:val="H4G"/>
        <w:rPr>
          <w:lang w:val="fr-FR"/>
        </w:rPr>
      </w:pPr>
      <w:r>
        <w:tab/>
      </w:r>
      <w:r>
        <w:tab/>
      </w:r>
      <w:r w:rsidR="00D80F06" w:rsidRPr="00EE1B27">
        <w:t>Crimes</w:t>
      </w:r>
      <w:r w:rsidR="009573B0">
        <w:rPr>
          <w:lang w:val="fr-FR"/>
        </w:rPr>
        <w:t> :</w:t>
      </w:r>
    </w:p>
    <w:tbl>
      <w:tblPr>
        <w:tblW w:w="0" w:type="auto"/>
        <w:tblInd w:w="1134" w:type="dxa"/>
        <w:tblLayout w:type="fixed"/>
        <w:tblCellMar>
          <w:left w:w="0" w:type="dxa"/>
          <w:right w:w="0" w:type="dxa"/>
        </w:tblCellMar>
        <w:tblLook w:val="04A0" w:firstRow="1" w:lastRow="0" w:firstColumn="1" w:lastColumn="0" w:noHBand="0" w:noVBand="1"/>
      </w:tblPr>
      <w:tblGrid>
        <w:gridCol w:w="3686"/>
        <w:gridCol w:w="3686"/>
      </w:tblGrid>
      <w:tr w:rsidR="00D80F06" w:rsidRPr="0065345F" w:rsidTr="00027EE8">
        <w:trPr>
          <w:tblHeader/>
        </w:trPr>
        <w:tc>
          <w:tcPr>
            <w:tcW w:w="3686" w:type="dxa"/>
            <w:tcBorders>
              <w:top w:val="single" w:sz="4" w:space="0" w:color="auto"/>
              <w:bottom w:val="single" w:sz="12" w:space="0" w:color="auto"/>
            </w:tcBorders>
            <w:shd w:val="clear" w:color="auto" w:fill="auto"/>
            <w:vAlign w:val="bottom"/>
            <w:hideMark/>
          </w:tcPr>
          <w:p w:rsidR="00D80F06" w:rsidRPr="0065345F" w:rsidRDefault="00D80F06" w:rsidP="000D7CDD">
            <w:pPr>
              <w:pStyle w:val="SingleTxtG"/>
              <w:suppressAutoHyphens w:val="0"/>
              <w:spacing w:before="80" w:after="80" w:line="200" w:lineRule="exact"/>
              <w:ind w:left="0" w:right="0"/>
              <w:jc w:val="left"/>
              <w:rPr>
                <w:bCs/>
                <w:i/>
                <w:sz w:val="16"/>
              </w:rPr>
            </w:pPr>
            <w:r w:rsidRPr="0065345F">
              <w:rPr>
                <w:bCs/>
                <w:i/>
                <w:sz w:val="16"/>
              </w:rPr>
              <w:t>Qualifications</w:t>
            </w:r>
          </w:p>
        </w:tc>
        <w:tc>
          <w:tcPr>
            <w:tcW w:w="3686" w:type="dxa"/>
            <w:tcBorders>
              <w:top w:val="single" w:sz="4" w:space="0" w:color="auto"/>
              <w:bottom w:val="single" w:sz="12" w:space="0" w:color="auto"/>
            </w:tcBorders>
            <w:shd w:val="clear" w:color="auto" w:fill="auto"/>
            <w:vAlign w:val="bottom"/>
            <w:hideMark/>
          </w:tcPr>
          <w:p w:rsidR="00D80F06" w:rsidRPr="0065345F" w:rsidRDefault="00D80F06" w:rsidP="000D7CDD">
            <w:pPr>
              <w:pStyle w:val="SingleTxtG"/>
              <w:suppressAutoHyphens w:val="0"/>
              <w:spacing w:before="80" w:after="80" w:line="200" w:lineRule="exact"/>
              <w:ind w:left="0" w:right="0"/>
              <w:jc w:val="right"/>
              <w:rPr>
                <w:bCs/>
                <w:i/>
                <w:sz w:val="16"/>
              </w:rPr>
            </w:pPr>
            <w:r w:rsidRPr="0065345F">
              <w:rPr>
                <w:bCs/>
                <w:i/>
                <w:sz w:val="16"/>
              </w:rPr>
              <w:t>Nombre</w:t>
            </w:r>
          </w:p>
        </w:tc>
      </w:tr>
      <w:tr w:rsidR="00D80F06" w:rsidRPr="0065345F" w:rsidTr="00027EE8">
        <w:tc>
          <w:tcPr>
            <w:tcW w:w="3686" w:type="dxa"/>
            <w:tcBorders>
              <w:top w:val="single" w:sz="12" w:space="0" w:color="auto"/>
            </w:tcBorders>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Vols qualifiés</w:t>
            </w:r>
          </w:p>
        </w:tc>
        <w:tc>
          <w:tcPr>
            <w:tcW w:w="3686" w:type="dxa"/>
            <w:tcBorders>
              <w:top w:val="single" w:sz="12" w:space="0" w:color="auto"/>
            </w:tcBorders>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311</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Viols</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58</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Possession, vente et importation de la drogue</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139</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Vente d</w:t>
            </w:r>
            <w:r w:rsidR="00A24C87">
              <w:rPr>
                <w:sz w:val="18"/>
              </w:rPr>
              <w:t>’</w:t>
            </w:r>
            <w:r w:rsidRPr="0065345F">
              <w:rPr>
                <w:sz w:val="18"/>
              </w:rPr>
              <w:t>alcool</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16</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Zina</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20</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Homicide volontaire</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21</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Faux et usage de faux</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10</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Destruction des biens d</w:t>
            </w:r>
            <w:r w:rsidR="00A24C87">
              <w:rPr>
                <w:sz w:val="18"/>
              </w:rPr>
              <w:t>’</w:t>
            </w:r>
            <w:r w:rsidRPr="0065345F">
              <w:rPr>
                <w:sz w:val="18"/>
              </w:rPr>
              <w:t>autrui</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21</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Menace de mort</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4</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lastRenderedPageBreak/>
              <w:t>Coups volontaires</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156</w:t>
            </w:r>
          </w:p>
        </w:tc>
      </w:tr>
      <w:tr w:rsidR="00D80F06" w:rsidRPr="0065345F" w:rsidTr="00027EE8">
        <w:tc>
          <w:tcPr>
            <w:tcW w:w="3686" w:type="dxa"/>
            <w:tcBorders>
              <w:bottom w:val="single" w:sz="12" w:space="0" w:color="auto"/>
            </w:tcBorders>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Terrorisme</w:t>
            </w:r>
          </w:p>
        </w:tc>
        <w:tc>
          <w:tcPr>
            <w:tcW w:w="3686" w:type="dxa"/>
            <w:tcBorders>
              <w:bottom w:val="single" w:sz="12" w:space="0" w:color="auto"/>
            </w:tcBorders>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0</w:t>
            </w:r>
          </w:p>
        </w:tc>
      </w:tr>
    </w:tbl>
    <w:p w:rsidR="00D80F06" w:rsidRPr="00D94138" w:rsidRDefault="008D3102" w:rsidP="00027EE8">
      <w:pPr>
        <w:pStyle w:val="H4G"/>
        <w:rPr>
          <w:lang w:val="fr-FR"/>
        </w:rPr>
      </w:pPr>
      <w:r>
        <w:tab/>
      </w:r>
      <w:r>
        <w:tab/>
      </w:r>
      <w:r w:rsidR="00D80F06" w:rsidRPr="00EE1B27">
        <w:t>Délits</w:t>
      </w:r>
      <w:r w:rsidR="009573B0">
        <w:rPr>
          <w:lang w:val="fr-FR"/>
        </w:rPr>
        <w:t> :</w:t>
      </w:r>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D80F06" w:rsidRPr="0065345F" w:rsidTr="00027EE8">
        <w:trPr>
          <w:tblHeader/>
        </w:trPr>
        <w:tc>
          <w:tcPr>
            <w:tcW w:w="3686" w:type="dxa"/>
            <w:tcBorders>
              <w:top w:val="single" w:sz="4" w:space="0" w:color="auto"/>
              <w:bottom w:val="single" w:sz="12" w:space="0" w:color="auto"/>
            </w:tcBorders>
            <w:shd w:val="clear" w:color="auto" w:fill="auto"/>
            <w:vAlign w:val="bottom"/>
            <w:hideMark/>
          </w:tcPr>
          <w:p w:rsidR="00D80F06" w:rsidRPr="0065345F" w:rsidRDefault="00D80F06" w:rsidP="000D7CDD">
            <w:pPr>
              <w:pStyle w:val="SingleTxtG"/>
              <w:suppressAutoHyphens w:val="0"/>
              <w:spacing w:before="80" w:after="80" w:line="200" w:lineRule="exact"/>
              <w:ind w:left="0" w:right="0"/>
              <w:jc w:val="left"/>
              <w:rPr>
                <w:bCs/>
                <w:i/>
                <w:sz w:val="16"/>
              </w:rPr>
            </w:pPr>
            <w:r w:rsidRPr="0065345F">
              <w:rPr>
                <w:bCs/>
                <w:i/>
                <w:sz w:val="16"/>
              </w:rPr>
              <w:t>Qualifications</w:t>
            </w:r>
          </w:p>
        </w:tc>
        <w:tc>
          <w:tcPr>
            <w:tcW w:w="3686" w:type="dxa"/>
            <w:tcBorders>
              <w:top w:val="single" w:sz="4" w:space="0" w:color="auto"/>
              <w:bottom w:val="single" w:sz="12" w:space="0" w:color="auto"/>
            </w:tcBorders>
            <w:shd w:val="clear" w:color="auto" w:fill="auto"/>
            <w:vAlign w:val="bottom"/>
            <w:hideMark/>
          </w:tcPr>
          <w:p w:rsidR="00D80F06" w:rsidRPr="0065345F" w:rsidRDefault="00D80F06" w:rsidP="000D7CDD">
            <w:pPr>
              <w:pStyle w:val="SingleTxtG"/>
              <w:suppressAutoHyphens w:val="0"/>
              <w:spacing w:before="80" w:after="80" w:line="200" w:lineRule="exact"/>
              <w:ind w:left="0" w:right="0"/>
              <w:jc w:val="right"/>
              <w:rPr>
                <w:bCs/>
                <w:i/>
                <w:sz w:val="16"/>
              </w:rPr>
            </w:pPr>
            <w:r w:rsidRPr="0065345F">
              <w:rPr>
                <w:bCs/>
                <w:i/>
                <w:sz w:val="16"/>
              </w:rPr>
              <w:t>Nombre</w:t>
            </w:r>
          </w:p>
        </w:tc>
      </w:tr>
      <w:tr w:rsidR="00D80F06" w:rsidRPr="0065345F" w:rsidTr="00027EE8">
        <w:tc>
          <w:tcPr>
            <w:tcW w:w="3686" w:type="dxa"/>
            <w:tcBorders>
              <w:top w:val="single" w:sz="12" w:space="0" w:color="auto"/>
            </w:tcBorders>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Vol</w:t>
            </w:r>
          </w:p>
        </w:tc>
        <w:tc>
          <w:tcPr>
            <w:tcW w:w="3686" w:type="dxa"/>
            <w:tcBorders>
              <w:top w:val="single" w:sz="12" w:space="0" w:color="auto"/>
            </w:tcBorders>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364</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Coups et blessures volontaires</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77</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Blessures involontaires</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56</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Homicides involontaires</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59</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Escroquerie</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122</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Abus de confiance</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51</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Consommation de drogue</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140</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Consommations de psychotropes</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151</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 xml:space="preserve">Faux et usage de faux </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14</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Chèque sans provision</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46</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Entrave à l</w:t>
            </w:r>
            <w:r w:rsidR="00A24C87">
              <w:rPr>
                <w:sz w:val="18"/>
              </w:rPr>
              <w:t>’</w:t>
            </w:r>
            <w:r w:rsidRPr="0065345F">
              <w:rPr>
                <w:sz w:val="18"/>
              </w:rPr>
              <w:t>exécution des décisions de justice</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17</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Insubordination parentale</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7</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Atteinte aux mœurs</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12</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Corruption</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Menace</w:t>
            </w:r>
            <w:r>
              <w:rPr>
                <w:sz w:val="18"/>
              </w:rPr>
              <w:t xml:space="preserve"> </w:t>
            </w:r>
            <w:r w:rsidRPr="0065345F">
              <w:rPr>
                <w:sz w:val="18"/>
              </w:rPr>
              <w:t>d</w:t>
            </w:r>
            <w:r w:rsidR="00A24C87">
              <w:rPr>
                <w:sz w:val="18"/>
              </w:rPr>
              <w:t>’</w:t>
            </w:r>
            <w:r w:rsidRPr="0065345F">
              <w:rPr>
                <w:sz w:val="18"/>
              </w:rPr>
              <w:t>agression</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26</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Sorcellerie et charlatanisme</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6</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Jeux de hasard</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3</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Kidnapping</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Vagabondage</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3</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Importation d</w:t>
            </w:r>
            <w:r w:rsidR="00A24C87">
              <w:rPr>
                <w:sz w:val="18"/>
              </w:rPr>
              <w:t>’</w:t>
            </w:r>
            <w:r w:rsidRPr="0065345F">
              <w:rPr>
                <w:sz w:val="18"/>
              </w:rPr>
              <w:t>armes</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3</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Conduite sans permis</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12</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Conduite sans assurance</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8</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Usage de fausse qualité</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7</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Désertion</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0</w:t>
            </w:r>
          </w:p>
        </w:tc>
      </w:tr>
      <w:tr w:rsidR="00D80F06" w:rsidRPr="0065345F" w:rsidTr="00027EE8">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proofErr w:type="spellStart"/>
            <w:r w:rsidRPr="0065345F">
              <w:rPr>
                <w:sz w:val="18"/>
              </w:rPr>
              <w:t>Evasion</w:t>
            </w:r>
            <w:proofErr w:type="spellEnd"/>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7</w:t>
            </w:r>
          </w:p>
        </w:tc>
      </w:tr>
      <w:tr w:rsidR="00D80F06" w:rsidRPr="0065345F" w:rsidTr="00FB1907">
        <w:tc>
          <w:tcPr>
            <w:tcW w:w="3686" w:type="dxa"/>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Incendie</w:t>
            </w:r>
            <w:r>
              <w:rPr>
                <w:sz w:val="18"/>
              </w:rPr>
              <w:t xml:space="preserve"> </w:t>
            </w:r>
            <w:r w:rsidRPr="0065345F">
              <w:rPr>
                <w:sz w:val="18"/>
              </w:rPr>
              <w:t>de domicile</w:t>
            </w:r>
          </w:p>
        </w:tc>
        <w:tc>
          <w:tcPr>
            <w:tcW w:w="3686" w:type="dxa"/>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2</w:t>
            </w:r>
          </w:p>
        </w:tc>
      </w:tr>
      <w:tr w:rsidR="00D80F06" w:rsidRPr="0065345F" w:rsidTr="00FB1907">
        <w:tc>
          <w:tcPr>
            <w:tcW w:w="3686" w:type="dxa"/>
            <w:tcBorders>
              <w:bottom w:val="single" w:sz="12" w:space="0" w:color="auto"/>
            </w:tcBorders>
            <w:shd w:val="clear" w:color="auto" w:fill="auto"/>
            <w:hideMark/>
          </w:tcPr>
          <w:p w:rsidR="00D80F06" w:rsidRPr="0065345F" w:rsidRDefault="00D80F06" w:rsidP="000D7CDD">
            <w:pPr>
              <w:pStyle w:val="SingleTxtG"/>
              <w:suppressAutoHyphens w:val="0"/>
              <w:spacing w:before="40" w:after="40" w:line="220" w:lineRule="exact"/>
              <w:ind w:left="0" w:right="0"/>
              <w:jc w:val="left"/>
              <w:rPr>
                <w:sz w:val="18"/>
              </w:rPr>
            </w:pPr>
            <w:r w:rsidRPr="0065345F">
              <w:rPr>
                <w:sz w:val="18"/>
              </w:rPr>
              <w:t>Autres</w:t>
            </w:r>
            <w:r>
              <w:rPr>
                <w:sz w:val="18"/>
              </w:rPr>
              <w:t xml:space="preserve"> </w:t>
            </w:r>
            <w:r w:rsidRPr="0065345F">
              <w:rPr>
                <w:sz w:val="18"/>
              </w:rPr>
              <w:t>délits</w:t>
            </w:r>
          </w:p>
        </w:tc>
        <w:tc>
          <w:tcPr>
            <w:tcW w:w="3686" w:type="dxa"/>
            <w:tcBorders>
              <w:bottom w:val="single" w:sz="12" w:space="0" w:color="auto"/>
            </w:tcBorders>
            <w:shd w:val="clear" w:color="auto" w:fill="auto"/>
            <w:vAlign w:val="bottom"/>
            <w:hideMark/>
          </w:tcPr>
          <w:p w:rsidR="00D80F06" w:rsidRPr="0065345F" w:rsidRDefault="00D80F06" w:rsidP="000D7CDD">
            <w:pPr>
              <w:pStyle w:val="SingleTxtG"/>
              <w:suppressAutoHyphens w:val="0"/>
              <w:spacing w:before="40" w:after="40" w:line="220" w:lineRule="exact"/>
              <w:ind w:left="0" w:right="0"/>
              <w:jc w:val="right"/>
              <w:rPr>
                <w:sz w:val="18"/>
              </w:rPr>
            </w:pPr>
            <w:r w:rsidRPr="0065345F">
              <w:rPr>
                <w:sz w:val="18"/>
              </w:rPr>
              <w:t>0</w:t>
            </w:r>
          </w:p>
        </w:tc>
      </w:tr>
    </w:tbl>
    <w:p w:rsidR="00D80F06" w:rsidRPr="00AB5977" w:rsidRDefault="00AB5977" w:rsidP="00027EE8">
      <w:pPr>
        <w:pStyle w:val="H1G"/>
      </w:pPr>
      <w:bookmarkStart w:id="34" w:name="_Toc454388701"/>
      <w:bookmarkStart w:id="35" w:name="_Toc453672862"/>
      <w:bookmarkStart w:id="36" w:name="_Toc455360514"/>
      <w:bookmarkStart w:id="37" w:name="_Toc455364118"/>
      <w:bookmarkStart w:id="38" w:name="_Toc498901319"/>
      <w:r>
        <w:tab/>
      </w:r>
      <w:r w:rsidR="008D3102">
        <w:t>C</w:t>
      </w:r>
      <w:r w:rsidR="00D80F06">
        <w:t>.</w:t>
      </w:r>
      <w:r w:rsidR="00D80F06">
        <w:tab/>
      </w:r>
      <w:r w:rsidR="00D80F06" w:rsidRPr="0065345F">
        <w:t>Cadre général de promotion et de protection des droits de l</w:t>
      </w:r>
      <w:r w:rsidR="00A24C87">
        <w:t>’</w:t>
      </w:r>
      <w:r w:rsidR="00D80F06" w:rsidRPr="0065345F">
        <w:t>homme</w:t>
      </w:r>
      <w:bookmarkEnd w:id="34"/>
      <w:bookmarkEnd w:id="35"/>
      <w:bookmarkEnd w:id="36"/>
      <w:bookmarkEnd w:id="37"/>
      <w:bookmarkEnd w:id="38"/>
    </w:p>
    <w:p w:rsidR="00D80F06" w:rsidRDefault="00D94138" w:rsidP="00D94138">
      <w:pPr>
        <w:pStyle w:val="H23G"/>
      </w:pPr>
      <w:bookmarkStart w:id="39" w:name="_Toc453672863"/>
      <w:bookmarkStart w:id="40" w:name="_Toc455364119"/>
      <w:bookmarkStart w:id="41" w:name="_Toc498901320"/>
      <w:r>
        <w:tab/>
      </w:r>
      <w:r w:rsidR="00D80F06">
        <w:t>1</w:t>
      </w:r>
      <w:r w:rsidR="008D3102">
        <w:t>.</w:t>
      </w:r>
      <w:r>
        <w:tab/>
      </w:r>
      <w:r w:rsidR="00D80F06" w:rsidRPr="002D6CAB">
        <w:t>Acceptation des normes internationales relatives aux droits de l</w:t>
      </w:r>
      <w:r w:rsidR="00A24C87">
        <w:t>’</w:t>
      </w:r>
      <w:r w:rsidR="00D80F06" w:rsidRPr="002D6CAB">
        <w:t>homme</w:t>
      </w:r>
      <w:bookmarkEnd w:id="39"/>
      <w:bookmarkEnd w:id="40"/>
      <w:bookmarkEnd w:id="41"/>
    </w:p>
    <w:p w:rsidR="00D80F06" w:rsidRPr="0028541A" w:rsidRDefault="008D3102" w:rsidP="00027EE8">
      <w:pPr>
        <w:pStyle w:val="H23G"/>
        <w:ind w:right="0"/>
      </w:pPr>
      <w:bookmarkStart w:id="42" w:name="_Toc498901321"/>
      <w:r>
        <w:tab/>
      </w:r>
      <w:r>
        <w:tab/>
      </w:r>
      <w:r w:rsidR="00D80F06" w:rsidRPr="00027EE8">
        <w:rPr>
          <w:b w:val="0"/>
        </w:rPr>
        <w:t>Tableau n</w:t>
      </w:r>
      <w:r w:rsidRPr="00027EE8">
        <w:rPr>
          <w:b w:val="0"/>
          <w:vertAlign w:val="superscript"/>
        </w:rPr>
        <w:t>o</w:t>
      </w:r>
      <w:r w:rsidRPr="008D3102">
        <w:rPr>
          <w:b w:val="0"/>
        </w:rPr>
        <w:t> </w:t>
      </w:r>
      <w:r w:rsidR="00D80F06" w:rsidRPr="00027EE8">
        <w:rPr>
          <w:b w:val="0"/>
        </w:rPr>
        <w:t>3</w:t>
      </w:r>
      <w:r>
        <w:br/>
      </w:r>
      <w:r w:rsidR="00D80F06" w:rsidRPr="0028541A">
        <w:t xml:space="preserve">Principaux instruments internationaux des </w:t>
      </w:r>
      <w:r w:rsidR="00462A09">
        <w:t>d</w:t>
      </w:r>
      <w:r w:rsidR="00D80F06" w:rsidRPr="0028541A">
        <w:t>roits de l</w:t>
      </w:r>
      <w:r w:rsidR="00A24C87">
        <w:t>’</w:t>
      </w:r>
      <w:r w:rsidR="00462A09">
        <w:t>h</w:t>
      </w:r>
      <w:r w:rsidR="00D80F06" w:rsidRPr="0028541A">
        <w:t>omme ratifiés par la Mauritanie</w:t>
      </w:r>
      <w:bookmarkEnd w:id="42"/>
    </w:p>
    <w:tbl>
      <w:tblPr>
        <w:tblW w:w="0" w:type="auto"/>
        <w:tblInd w:w="1134" w:type="dxa"/>
        <w:tblLayout w:type="fixed"/>
        <w:tblCellMar>
          <w:left w:w="0" w:type="dxa"/>
          <w:right w:w="0" w:type="dxa"/>
        </w:tblCellMar>
        <w:tblLook w:val="04A0" w:firstRow="1" w:lastRow="0" w:firstColumn="1" w:lastColumn="0" w:noHBand="0" w:noVBand="1"/>
      </w:tblPr>
      <w:tblGrid>
        <w:gridCol w:w="397"/>
        <w:gridCol w:w="2155"/>
        <w:gridCol w:w="1134"/>
        <w:gridCol w:w="1701"/>
        <w:gridCol w:w="3119"/>
      </w:tblGrid>
      <w:tr w:rsidR="00523716" w:rsidRPr="00523716" w:rsidTr="00027EE8">
        <w:trPr>
          <w:tblHeader/>
        </w:trPr>
        <w:tc>
          <w:tcPr>
            <w:tcW w:w="397" w:type="dxa"/>
            <w:tcBorders>
              <w:top w:val="single" w:sz="4" w:space="0" w:color="000000" w:themeColor="text1"/>
              <w:bottom w:val="single" w:sz="12" w:space="0" w:color="000000" w:themeColor="text1"/>
            </w:tcBorders>
            <w:shd w:val="clear" w:color="auto" w:fill="auto"/>
            <w:vAlign w:val="bottom"/>
            <w:hideMark/>
          </w:tcPr>
          <w:p w:rsidR="00D80F06" w:rsidRPr="00027EE8" w:rsidRDefault="00D80F06" w:rsidP="00027EE8">
            <w:pPr>
              <w:spacing w:before="80" w:after="80" w:line="200" w:lineRule="exact"/>
              <w:ind w:right="113"/>
              <w:rPr>
                <w:i/>
                <w:sz w:val="16"/>
              </w:rPr>
            </w:pPr>
            <w:r w:rsidRPr="00027EE8">
              <w:rPr>
                <w:i/>
                <w:sz w:val="16"/>
              </w:rPr>
              <w:t>N</w:t>
            </w:r>
          </w:p>
        </w:tc>
        <w:tc>
          <w:tcPr>
            <w:tcW w:w="2155" w:type="dxa"/>
            <w:tcBorders>
              <w:top w:val="single" w:sz="4" w:space="0" w:color="000000" w:themeColor="text1"/>
              <w:bottom w:val="single" w:sz="12" w:space="0" w:color="000000" w:themeColor="text1"/>
            </w:tcBorders>
            <w:shd w:val="clear" w:color="auto" w:fill="auto"/>
            <w:vAlign w:val="bottom"/>
            <w:hideMark/>
          </w:tcPr>
          <w:p w:rsidR="00D80F06" w:rsidRPr="00027EE8" w:rsidRDefault="00D80F06" w:rsidP="00027EE8">
            <w:pPr>
              <w:spacing w:before="80" w:after="80" w:line="200" w:lineRule="exact"/>
              <w:ind w:right="113"/>
              <w:rPr>
                <w:i/>
                <w:sz w:val="16"/>
              </w:rPr>
            </w:pPr>
            <w:r w:rsidRPr="00027EE8">
              <w:rPr>
                <w:i/>
                <w:sz w:val="16"/>
              </w:rPr>
              <w:t>Instruments</w:t>
            </w:r>
          </w:p>
        </w:tc>
        <w:tc>
          <w:tcPr>
            <w:tcW w:w="1134" w:type="dxa"/>
            <w:tcBorders>
              <w:top w:val="single" w:sz="4" w:space="0" w:color="000000" w:themeColor="text1"/>
              <w:bottom w:val="single" w:sz="12" w:space="0" w:color="000000" w:themeColor="text1"/>
            </w:tcBorders>
            <w:shd w:val="clear" w:color="auto" w:fill="auto"/>
            <w:vAlign w:val="bottom"/>
            <w:hideMark/>
          </w:tcPr>
          <w:p w:rsidR="00D80F06" w:rsidRPr="00027EE8" w:rsidRDefault="00D80F06" w:rsidP="00027EE8">
            <w:pPr>
              <w:spacing w:before="80" w:after="80" w:line="200" w:lineRule="exact"/>
              <w:ind w:right="113"/>
              <w:rPr>
                <w:i/>
                <w:sz w:val="16"/>
              </w:rPr>
            </w:pPr>
            <w:r w:rsidRPr="00027EE8">
              <w:rPr>
                <w:i/>
                <w:sz w:val="16"/>
              </w:rPr>
              <w:t>Date Adoption</w:t>
            </w:r>
          </w:p>
        </w:tc>
        <w:tc>
          <w:tcPr>
            <w:tcW w:w="1701" w:type="dxa"/>
            <w:tcBorders>
              <w:top w:val="single" w:sz="4" w:space="0" w:color="000000" w:themeColor="text1"/>
              <w:bottom w:val="single" w:sz="12" w:space="0" w:color="000000" w:themeColor="text1"/>
            </w:tcBorders>
            <w:shd w:val="clear" w:color="auto" w:fill="auto"/>
            <w:vAlign w:val="bottom"/>
            <w:hideMark/>
          </w:tcPr>
          <w:p w:rsidR="00D80F06" w:rsidRPr="00027EE8" w:rsidRDefault="00D80F06" w:rsidP="00027EE8">
            <w:pPr>
              <w:spacing w:before="80" w:after="80" w:line="200" w:lineRule="exact"/>
              <w:ind w:right="113"/>
              <w:rPr>
                <w:i/>
                <w:sz w:val="16"/>
              </w:rPr>
            </w:pPr>
            <w:r w:rsidRPr="00027EE8">
              <w:rPr>
                <w:i/>
                <w:sz w:val="16"/>
              </w:rPr>
              <w:t>Date de Ratification</w:t>
            </w:r>
          </w:p>
        </w:tc>
        <w:tc>
          <w:tcPr>
            <w:tcW w:w="3119" w:type="dxa"/>
            <w:tcBorders>
              <w:top w:val="single" w:sz="4" w:space="0" w:color="000000" w:themeColor="text1"/>
              <w:bottom w:val="single" w:sz="12" w:space="0" w:color="000000" w:themeColor="text1"/>
            </w:tcBorders>
            <w:shd w:val="clear" w:color="auto" w:fill="auto"/>
            <w:vAlign w:val="bottom"/>
            <w:hideMark/>
          </w:tcPr>
          <w:p w:rsidR="00D80F06" w:rsidRPr="00027EE8" w:rsidRDefault="00D80F06" w:rsidP="00027EE8">
            <w:pPr>
              <w:spacing w:before="80" w:after="80" w:line="200" w:lineRule="exact"/>
              <w:ind w:right="113"/>
              <w:rPr>
                <w:i/>
                <w:sz w:val="16"/>
              </w:rPr>
            </w:pPr>
            <w:r w:rsidRPr="00027EE8">
              <w:rPr>
                <w:i/>
                <w:sz w:val="16"/>
              </w:rPr>
              <w:t>Réserves ou Observations</w:t>
            </w:r>
          </w:p>
        </w:tc>
      </w:tr>
      <w:tr w:rsidR="00523716" w:rsidRPr="00523716" w:rsidTr="00027EE8">
        <w:trPr>
          <w:trHeight w:hRule="exact" w:val="113"/>
          <w:tblHeader/>
        </w:trPr>
        <w:tc>
          <w:tcPr>
            <w:tcW w:w="397" w:type="dxa"/>
            <w:tcBorders>
              <w:top w:val="single" w:sz="12" w:space="0" w:color="000000" w:themeColor="text1"/>
            </w:tcBorders>
            <w:shd w:val="clear" w:color="auto" w:fill="auto"/>
          </w:tcPr>
          <w:p w:rsidR="00523716" w:rsidRPr="00523716" w:rsidRDefault="00523716" w:rsidP="00027EE8">
            <w:pPr>
              <w:spacing w:before="40" w:after="120"/>
              <w:ind w:right="113"/>
            </w:pPr>
          </w:p>
        </w:tc>
        <w:tc>
          <w:tcPr>
            <w:tcW w:w="2155" w:type="dxa"/>
            <w:tcBorders>
              <w:top w:val="single" w:sz="12" w:space="0" w:color="000000" w:themeColor="text1"/>
            </w:tcBorders>
            <w:shd w:val="clear" w:color="auto" w:fill="auto"/>
          </w:tcPr>
          <w:p w:rsidR="00523716" w:rsidRPr="00523716" w:rsidRDefault="00523716" w:rsidP="00027EE8">
            <w:pPr>
              <w:spacing w:before="40" w:after="120"/>
              <w:ind w:right="113"/>
            </w:pPr>
          </w:p>
        </w:tc>
        <w:tc>
          <w:tcPr>
            <w:tcW w:w="1134" w:type="dxa"/>
            <w:tcBorders>
              <w:top w:val="single" w:sz="12" w:space="0" w:color="000000" w:themeColor="text1"/>
            </w:tcBorders>
            <w:shd w:val="clear" w:color="auto" w:fill="auto"/>
          </w:tcPr>
          <w:p w:rsidR="00523716" w:rsidRPr="00523716" w:rsidRDefault="00523716" w:rsidP="00027EE8">
            <w:pPr>
              <w:spacing w:before="40" w:after="120"/>
              <w:ind w:right="113"/>
            </w:pPr>
          </w:p>
        </w:tc>
        <w:tc>
          <w:tcPr>
            <w:tcW w:w="1701" w:type="dxa"/>
            <w:tcBorders>
              <w:top w:val="single" w:sz="12" w:space="0" w:color="000000" w:themeColor="text1"/>
            </w:tcBorders>
            <w:shd w:val="clear" w:color="auto" w:fill="auto"/>
          </w:tcPr>
          <w:p w:rsidR="00523716" w:rsidRPr="00523716" w:rsidRDefault="00523716" w:rsidP="00027EE8">
            <w:pPr>
              <w:spacing w:before="40" w:after="120"/>
              <w:ind w:right="113"/>
            </w:pPr>
          </w:p>
        </w:tc>
        <w:tc>
          <w:tcPr>
            <w:tcW w:w="3119" w:type="dxa"/>
            <w:tcBorders>
              <w:top w:val="single" w:sz="12" w:space="0" w:color="000000" w:themeColor="text1"/>
            </w:tcBorders>
            <w:shd w:val="clear" w:color="auto" w:fill="auto"/>
          </w:tcPr>
          <w:p w:rsidR="00523716" w:rsidRPr="00523716" w:rsidRDefault="00523716" w:rsidP="00027EE8">
            <w:pPr>
              <w:spacing w:before="40" w:after="120"/>
              <w:ind w:right="113"/>
            </w:pPr>
          </w:p>
        </w:tc>
      </w:tr>
      <w:tr w:rsidR="00523716" w:rsidRPr="0055167C" w:rsidTr="00027EE8">
        <w:tc>
          <w:tcPr>
            <w:tcW w:w="397" w:type="dxa"/>
            <w:shd w:val="clear" w:color="auto" w:fill="auto"/>
            <w:hideMark/>
          </w:tcPr>
          <w:p w:rsidR="00D80F06" w:rsidRPr="00B7582D" w:rsidRDefault="00D80F06" w:rsidP="00027EE8">
            <w:pPr>
              <w:spacing w:before="40" w:after="60" w:line="220" w:lineRule="atLeast"/>
              <w:ind w:right="113"/>
              <w:rPr>
                <w:sz w:val="18"/>
                <w:szCs w:val="18"/>
              </w:rPr>
            </w:pPr>
            <w:r w:rsidRPr="00B7582D">
              <w:rPr>
                <w:sz w:val="18"/>
                <w:szCs w:val="18"/>
              </w:rPr>
              <w:t>1</w:t>
            </w:r>
          </w:p>
        </w:tc>
        <w:tc>
          <w:tcPr>
            <w:tcW w:w="2155" w:type="dxa"/>
            <w:shd w:val="clear" w:color="auto" w:fill="auto"/>
            <w:hideMark/>
          </w:tcPr>
          <w:p w:rsidR="00D80F06" w:rsidRPr="00027EE8" w:rsidRDefault="00724F7F" w:rsidP="00027EE8">
            <w:pPr>
              <w:spacing w:before="40" w:after="60" w:line="220" w:lineRule="atLeast"/>
              <w:ind w:right="113"/>
              <w:rPr>
                <w:sz w:val="18"/>
                <w:szCs w:val="18"/>
              </w:rPr>
            </w:pPr>
            <w:r>
              <w:rPr>
                <w:sz w:val="18"/>
                <w:szCs w:val="18"/>
              </w:rPr>
              <w:t>Déclaration Universelle des </w:t>
            </w:r>
            <w:r w:rsidR="00D80F06" w:rsidRPr="00027EE8">
              <w:rPr>
                <w:sz w:val="18"/>
                <w:szCs w:val="18"/>
              </w:rPr>
              <w:t>Droits de l</w:t>
            </w:r>
            <w:r w:rsidR="00A24C87" w:rsidRPr="00027EE8">
              <w:rPr>
                <w:sz w:val="18"/>
                <w:szCs w:val="18"/>
              </w:rPr>
              <w:t>’</w:t>
            </w:r>
            <w:r w:rsidR="00D80F06" w:rsidRPr="00027EE8">
              <w:rPr>
                <w:sz w:val="18"/>
                <w:szCs w:val="18"/>
              </w:rPr>
              <w:t>Homme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1948</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Le Pré</w:t>
            </w:r>
            <w:r w:rsidR="00A8446D" w:rsidRPr="00027EE8">
              <w:rPr>
                <w:sz w:val="18"/>
                <w:szCs w:val="18"/>
              </w:rPr>
              <w:t>ambule de la Constitution du 20 </w:t>
            </w:r>
            <w:r w:rsidRPr="00027EE8">
              <w:rPr>
                <w:sz w:val="18"/>
                <w:szCs w:val="18"/>
              </w:rPr>
              <w:t>juillet 1991</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 xml:space="preserve">Incorporée dans le préambule de la </w:t>
            </w:r>
            <w:r w:rsidR="00A468C2" w:rsidRPr="00027EE8">
              <w:rPr>
                <w:sz w:val="18"/>
                <w:szCs w:val="18"/>
              </w:rPr>
              <w:t xml:space="preserve">Constitution </w:t>
            </w:r>
            <w:r w:rsidRPr="00027EE8">
              <w:rPr>
                <w:sz w:val="18"/>
                <w:szCs w:val="18"/>
              </w:rPr>
              <w:t>du 20</w:t>
            </w:r>
            <w:r w:rsidR="00523716" w:rsidRPr="00027EE8">
              <w:rPr>
                <w:sz w:val="18"/>
                <w:szCs w:val="18"/>
              </w:rPr>
              <w:t> </w:t>
            </w:r>
            <w:r w:rsidRPr="00B7582D">
              <w:rPr>
                <w:sz w:val="18"/>
                <w:szCs w:val="18"/>
              </w:rPr>
              <w:t>juillet 1991</w:t>
            </w:r>
          </w:p>
        </w:tc>
      </w:tr>
      <w:tr w:rsidR="0055167C" w:rsidRPr="0055167C" w:rsidTr="00027EE8">
        <w:tc>
          <w:tcPr>
            <w:tcW w:w="397" w:type="dxa"/>
            <w:shd w:val="clear" w:color="auto" w:fill="auto"/>
            <w:hideMark/>
          </w:tcPr>
          <w:p w:rsidR="00D80F06" w:rsidRPr="00B7582D" w:rsidRDefault="00D80F06" w:rsidP="00027EE8">
            <w:pPr>
              <w:spacing w:before="40" w:after="60" w:line="220" w:lineRule="atLeast"/>
              <w:ind w:right="113"/>
              <w:rPr>
                <w:sz w:val="18"/>
                <w:szCs w:val="18"/>
              </w:rPr>
            </w:pPr>
            <w:r w:rsidRPr="00B7582D">
              <w:rPr>
                <w:sz w:val="18"/>
                <w:szCs w:val="18"/>
              </w:rPr>
              <w:t>2</w:t>
            </w:r>
          </w:p>
        </w:tc>
        <w:tc>
          <w:tcPr>
            <w:tcW w:w="2155"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Convention des Nations Unies Contre la Corruption</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2003</w:t>
            </w:r>
          </w:p>
        </w:tc>
        <w:tc>
          <w:tcPr>
            <w:tcW w:w="1701" w:type="dxa"/>
            <w:shd w:val="clear" w:color="auto" w:fill="auto"/>
          </w:tcPr>
          <w:p w:rsidR="00D80F06" w:rsidRPr="00027EE8" w:rsidRDefault="00D80F06" w:rsidP="00027EE8">
            <w:pPr>
              <w:spacing w:before="40" w:after="60" w:line="220" w:lineRule="atLeast"/>
              <w:ind w:right="113"/>
              <w:rPr>
                <w:sz w:val="18"/>
                <w:szCs w:val="18"/>
              </w:rPr>
            </w:pPr>
          </w:p>
        </w:tc>
        <w:tc>
          <w:tcPr>
            <w:tcW w:w="3119" w:type="dxa"/>
            <w:shd w:val="clear" w:color="auto" w:fill="auto"/>
          </w:tcPr>
          <w:p w:rsidR="00D80F06" w:rsidRPr="00027EE8" w:rsidRDefault="00D80F06" w:rsidP="00027EE8">
            <w:pPr>
              <w:spacing w:before="40" w:after="60" w:line="220" w:lineRule="atLeast"/>
              <w:ind w:right="113"/>
              <w:rPr>
                <w:sz w:val="18"/>
                <w:szCs w:val="18"/>
              </w:rPr>
            </w:pPr>
          </w:p>
        </w:tc>
      </w:tr>
      <w:tr w:rsidR="0055167C" w:rsidRPr="0055167C" w:rsidTr="00027EE8">
        <w:tc>
          <w:tcPr>
            <w:tcW w:w="397" w:type="dxa"/>
            <w:shd w:val="clear" w:color="auto" w:fill="auto"/>
          </w:tcPr>
          <w:p w:rsidR="00D80F06" w:rsidRPr="00B7582D" w:rsidRDefault="00D80F06" w:rsidP="00027EE8">
            <w:pPr>
              <w:spacing w:before="40" w:after="60" w:line="220" w:lineRule="atLeast"/>
              <w:ind w:right="113"/>
              <w:rPr>
                <w:sz w:val="18"/>
                <w:szCs w:val="18"/>
              </w:rPr>
            </w:pPr>
            <w:r w:rsidRPr="00B7582D">
              <w:rPr>
                <w:sz w:val="18"/>
                <w:szCs w:val="18"/>
              </w:rPr>
              <w:t>3</w:t>
            </w:r>
          </w:p>
        </w:tc>
        <w:tc>
          <w:tcPr>
            <w:tcW w:w="2155"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internationale </w:t>
            </w:r>
            <w:r w:rsidRPr="00027EE8">
              <w:rPr>
                <w:sz w:val="18"/>
                <w:szCs w:val="18"/>
              </w:rPr>
              <w:lastRenderedPageBreak/>
              <w:t>sur l</w:t>
            </w:r>
            <w:r w:rsidR="00A24C87" w:rsidRPr="00027EE8">
              <w:rPr>
                <w:sz w:val="18"/>
                <w:szCs w:val="18"/>
              </w:rPr>
              <w:t>’</w:t>
            </w:r>
            <w:proofErr w:type="spellStart"/>
            <w:r w:rsidRPr="00027EE8">
              <w:rPr>
                <w:sz w:val="18"/>
                <w:szCs w:val="18"/>
              </w:rPr>
              <w:t>Elimination</w:t>
            </w:r>
            <w:proofErr w:type="spellEnd"/>
            <w:r w:rsidRPr="00027EE8">
              <w:rPr>
                <w:sz w:val="18"/>
                <w:szCs w:val="18"/>
              </w:rPr>
              <w:t xml:space="preserve"> de toutes les formes de Discrimination Raciale</w:t>
            </w:r>
          </w:p>
        </w:tc>
        <w:tc>
          <w:tcPr>
            <w:tcW w:w="1134"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lastRenderedPageBreak/>
              <w:t>1965</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1988</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Réserve</w:t>
            </w:r>
            <w:r w:rsidR="009573B0" w:rsidRPr="00027EE8">
              <w:rPr>
                <w:sz w:val="18"/>
                <w:szCs w:val="18"/>
              </w:rPr>
              <w:t> :</w:t>
            </w:r>
            <w:r w:rsidRPr="00027EE8">
              <w:rPr>
                <w:sz w:val="18"/>
                <w:szCs w:val="18"/>
              </w:rPr>
              <w:t xml:space="preserve"> Art. 14</w:t>
            </w:r>
            <w:r w:rsidR="009573B0" w:rsidRPr="00027EE8">
              <w:rPr>
                <w:sz w:val="18"/>
                <w:szCs w:val="18"/>
              </w:rPr>
              <w:t> :</w:t>
            </w:r>
            <w:r w:rsidRPr="00027EE8">
              <w:rPr>
                <w:sz w:val="18"/>
                <w:szCs w:val="18"/>
              </w:rPr>
              <w:t xml:space="preserve"> La Mauritanie n</w:t>
            </w:r>
            <w:r w:rsidR="00A24C87" w:rsidRPr="00027EE8">
              <w:rPr>
                <w:sz w:val="18"/>
                <w:szCs w:val="18"/>
              </w:rPr>
              <w:t>’</w:t>
            </w:r>
            <w:r w:rsidRPr="00027EE8">
              <w:rPr>
                <w:sz w:val="18"/>
                <w:szCs w:val="18"/>
              </w:rPr>
              <w:t xml:space="preserve">a pas </w:t>
            </w:r>
            <w:r w:rsidRPr="00027EE8">
              <w:rPr>
                <w:sz w:val="18"/>
                <w:szCs w:val="18"/>
              </w:rPr>
              <w:lastRenderedPageBreak/>
              <w:t>fait la déclaration au titre de l</w:t>
            </w:r>
            <w:r w:rsidR="00A24C87" w:rsidRPr="00027EE8">
              <w:rPr>
                <w:sz w:val="18"/>
                <w:szCs w:val="18"/>
              </w:rPr>
              <w:t>’</w:t>
            </w:r>
            <w:r w:rsidRPr="00027EE8">
              <w:rPr>
                <w:sz w:val="18"/>
                <w:szCs w:val="18"/>
              </w:rPr>
              <w:t>article 14 de la convention reconnaissant la compétence du comité pour recevoir les plaintes individuelles</w:t>
            </w:r>
          </w:p>
        </w:tc>
      </w:tr>
      <w:tr w:rsidR="0055167C" w:rsidRPr="001C5244" w:rsidTr="00027EE8">
        <w:tc>
          <w:tcPr>
            <w:tcW w:w="397" w:type="dxa"/>
            <w:shd w:val="clear" w:color="auto" w:fill="auto"/>
            <w:hideMark/>
          </w:tcPr>
          <w:p w:rsidR="00D80F06" w:rsidRPr="00B7582D" w:rsidRDefault="00D80F06" w:rsidP="00027EE8">
            <w:pPr>
              <w:spacing w:before="40" w:after="60" w:line="220" w:lineRule="atLeast"/>
              <w:ind w:right="113"/>
              <w:rPr>
                <w:sz w:val="18"/>
                <w:szCs w:val="18"/>
              </w:rPr>
            </w:pPr>
            <w:r w:rsidRPr="00B7582D">
              <w:rPr>
                <w:sz w:val="18"/>
                <w:szCs w:val="18"/>
              </w:rPr>
              <w:lastRenderedPageBreak/>
              <w:t>4</w:t>
            </w:r>
          </w:p>
        </w:tc>
        <w:tc>
          <w:tcPr>
            <w:tcW w:w="2155"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Convention sur l</w:t>
            </w:r>
            <w:r w:rsidR="00A24C87" w:rsidRPr="00027EE8">
              <w:rPr>
                <w:sz w:val="18"/>
                <w:szCs w:val="18"/>
              </w:rPr>
              <w:t>’</w:t>
            </w:r>
            <w:proofErr w:type="spellStart"/>
            <w:r w:rsidRPr="00027EE8">
              <w:rPr>
                <w:sz w:val="18"/>
                <w:szCs w:val="18"/>
              </w:rPr>
              <w:t>Elimination</w:t>
            </w:r>
            <w:proofErr w:type="spellEnd"/>
            <w:r w:rsidRPr="00027EE8">
              <w:rPr>
                <w:sz w:val="18"/>
                <w:szCs w:val="18"/>
              </w:rPr>
              <w:t xml:space="preserve"> de toutes les formes de Discrimination à l</w:t>
            </w:r>
            <w:r w:rsidR="00A24C87" w:rsidRPr="00027EE8">
              <w:rPr>
                <w:sz w:val="18"/>
                <w:szCs w:val="18"/>
              </w:rPr>
              <w:t>’</w:t>
            </w:r>
            <w:proofErr w:type="spellStart"/>
            <w:r w:rsidRPr="00027EE8">
              <w:rPr>
                <w:sz w:val="18"/>
                <w:szCs w:val="18"/>
              </w:rPr>
              <w:t>Egard</w:t>
            </w:r>
            <w:proofErr w:type="spellEnd"/>
            <w:r w:rsidRPr="00027EE8">
              <w:rPr>
                <w:sz w:val="18"/>
                <w:szCs w:val="18"/>
              </w:rPr>
              <w:t xml:space="preserve"> des Femmes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1979</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1990</w:t>
            </w:r>
          </w:p>
        </w:tc>
        <w:tc>
          <w:tcPr>
            <w:tcW w:w="3119" w:type="dxa"/>
            <w:shd w:val="clear" w:color="auto" w:fill="auto"/>
            <w:hideMark/>
          </w:tcPr>
          <w:p w:rsidR="00D80F06" w:rsidRPr="00027EE8" w:rsidRDefault="00D80F06" w:rsidP="00027EE8">
            <w:pPr>
              <w:spacing w:before="40" w:after="60" w:line="220" w:lineRule="atLeast"/>
              <w:ind w:right="113"/>
              <w:rPr>
                <w:sz w:val="18"/>
                <w:szCs w:val="18"/>
                <w:lang w:val="en-US"/>
              </w:rPr>
            </w:pPr>
            <w:proofErr w:type="spellStart"/>
            <w:r w:rsidRPr="00027EE8">
              <w:rPr>
                <w:sz w:val="18"/>
                <w:szCs w:val="18"/>
                <w:lang w:val="en-US"/>
              </w:rPr>
              <w:t>Réserves</w:t>
            </w:r>
            <w:proofErr w:type="spellEnd"/>
            <w:r w:rsidR="00546E92" w:rsidRPr="00027EE8">
              <w:rPr>
                <w:sz w:val="18"/>
                <w:szCs w:val="18"/>
                <w:lang w:val="en-US"/>
              </w:rPr>
              <w:t> </w:t>
            </w:r>
            <w:r w:rsidRPr="00027EE8">
              <w:rPr>
                <w:sz w:val="18"/>
                <w:szCs w:val="18"/>
                <w:lang w:val="en-US"/>
              </w:rPr>
              <w:t>: Art.</w:t>
            </w:r>
            <w:r w:rsidR="00313112">
              <w:rPr>
                <w:sz w:val="18"/>
                <w:szCs w:val="18"/>
                <w:lang w:val="en-US"/>
              </w:rPr>
              <w:t> </w:t>
            </w:r>
            <w:r w:rsidRPr="00027EE8">
              <w:rPr>
                <w:sz w:val="18"/>
                <w:szCs w:val="18"/>
                <w:lang w:val="en-US"/>
              </w:rPr>
              <w:t xml:space="preserve">13, </w:t>
            </w:r>
            <w:proofErr w:type="spellStart"/>
            <w:r w:rsidRPr="00027EE8">
              <w:rPr>
                <w:sz w:val="18"/>
                <w:szCs w:val="18"/>
                <w:lang w:val="en-US"/>
              </w:rPr>
              <w:t>alinéa</w:t>
            </w:r>
            <w:proofErr w:type="spellEnd"/>
            <w:r w:rsidRPr="00027EE8">
              <w:rPr>
                <w:sz w:val="18"/>
                <w:szCs w:val="18"/>
                <w:lang w:val="en-US"/>
              </w:rPr>
              <w:t xml:space="preserve"> (a)</w:t>
            </w:r>
          </w:p>
          <w:p w:rsidR="00D80F06" w:rsidRPr="00027EE8" w:rsidRDefault="00D80F06" w:rsidP="00027EE8">
            <w:pPr>
              <w:spacing w:before="40" w:after="60" w:line="220" w:lineRule="atLeast"/>
              <w:ind w:right="113"/>
              <w:rPr>
                <w:sz w:val="18"/>
                <w:szCs w:val="18"/>
                <w:lang w:val="en-US"/>
              </w:rPr>
            </w:pPr>
            <w:r w:rsidRPr="00027EE8">
              <w:rPr>
                <w:sz w:val="18"/>
                <w:szCs w:val="18"/>
                <w:lang w:val="en-US"/>
              </w:rPr>
              <w:t>Art.</w:t>
            </w:r>
            <w:r w:rsidR="00313112">
              <w:rPr>
                <w:sz w:val="18"/>
                <w:szCs w:val="18"/>
                <w:lang w:val="en-US"/>
              </w:rPr>
              <w:t> </w:t>
            </w:r>
            <w:r w:rsidRPr="00027EE8">
              <w:rPr>
                <w:sz w:val="18"/>
                <w:szCs w:val="18"/>
                <w:lang w:val="en-US"/>
              </w:rPr>
              <w:t>16</w:t>
            </w:r>
          </w:p>
        </w:tc>
      </w:tr>
      <w:tr w:rsidR="0055167C" w:rsidRPr="0055167C" w:rsidTr="00027EE8">
        <w:tc>
          <w:tcPr>
            <w:tcW w:w="397" w:type="dxa"/>
            <w:shd w:val="clear" w:color="auto" w:fill="auto"/>
            <w:hideMark/>
          </w:tcPr>
          <w:p w:rsidR="00D80F06" w:rsidRPr="00B7582D" w:rsidRDefault="00D80F06" w:rsidP="00027EE8">
            <w:pPr>
              <w:spacing w:before="40" w:after="60" w:line="220" w:lineRule="atLeast"/>
              <w:ind w:right="113"/>
              <w:rPr>
                <w:sz w:val="18"/>
                <w:szCs w:val="18"/>
              </w:rPr>
            </w:pPr>
            <w:r w:rsidRPr="00B7582D">
              <w:rPr>
                <w:sz w:val="18"/>
                <w:szCs w:val="18"/>
              </w:rPr>
              <w:t>5</w:t>
            </w:r>
          </w:p>
        </w:tc>
        <w:tc>
          <w:tcPr>
            <w:tcW w:w="2155"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Convention internationale sur la protection des droits de tous les travailleurs migrants et des membres de leur famille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1990</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2003</w:t>
            </w:r>
          </w:p>
        </w:tc>
        <w:tc>
          <w:tcPr>
            <w:tcW w:w="3119" w:type="dxa"/>
            <w:shd w:val="clear" w:color="auto" w:fill="auto"/>
          </w:tcPr>
          <w:p w:rsidR="00D80F06" w:rsidRPr="00027EE8" w:rsidRDefault="00D80F06" w:rsidP="00027EE8">
            <w:pPr>
              <w:spacing w:before="40" w:after="60" w:line="220" w:lineRule="atLeast"/>
              <w:ind w:right="113"/>
              <w:rPr>
                <w:sz w:val="18"/>
                <w:szCs w:val="18"/>
              </w:rPr>
            </w:pPr>
          </w:p>
        </w:tc>
      </w:tr>
      <w:tr w:rsidR="0055167C" w:rsidRPr="0055167C" w:rsidTr="00027EE8">
        <w:tc>
          <w:tcPr>
            <w:tcW w:w="397" w:type="dxa"/>
            <w:shd w:val="clear" w:color="auto" w:fill="auto"/>
          </w:tcPr>
          <w:p w:rsidR="00D80F06" w:rsidRPr="00B7582D" w:rsidRDefault="00D80F06" w:rsidP="00027EE8">
            <w:pPr>
              <w:spacing w:before="40" w:after="60" w:line="220" w:lineRule="atLeast"/>
              <w:ind w:right="113"/>
              <w:rPr>
                <w:sz w:val="18"/>
                <w:szCs w:val="18"/>
              </w:rPr>
            </w:pPr>
            <w:r w:rsidRPr="00B7582D">
              <w:rPr>
                <w:sz w:val="18"/>
                <w:szCs w:val="18"/>
              </w:rPr>
              <w:t>6</w:t>
            </w:r>
          </w:p>
        </w:tc>
        <w:tc>
          <w:tcPr>
            <w:tcW w:w="2155"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Convention relative aux droits de l</w:t>
            </w:r>
            <w:r w:rsidR="00A24C87" w:rsidRPr="00027EE8">
              <w:rPr>
                <w:sz w:val="18"/>
                <w:szCs w:val="18"/>
              </w:rPr>
              <w:t>’</w:t>
            </w:r>
            <w:r w:rsidRPr="00027EE8">
              <w:rPr>
                <w:sz w:val="18"/>
                <w:szCs w:val="18"/>
              </w:rPr>
              <w:t>enfant</w:t>
            </w:r>
          </w:p>
        </w:tc>
        <w:tc>
          <w:tcPr>
            <w:tcW w:w="1134"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1989</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1990</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Réserve</w:t>
            </w:r>
            <w:r w:rsidR="009573B0" w:rsidRPr="00027EE8">
              <w:rPr>
                <w:sz w:val="18"/>
                <w:szCs w:val="18"/>
              </w:rPr>
              <w:t> :</w:t>
            </w:r>
            <w:r w:rsidR="00C6009C" w:rsidRPr="00027EE8">
              <w:rPr>
                <w:sz w:val="18"/>
                <w:szCs w:val="18"/>
              </w:rPr>
              <w:t xml:space="preserve"> </w:t>
            </w:r>
            <w:r w:rsidRPr="00027EE8">
              <w:rPr>
                <w:sz w:val="18"/>
                <w:szCs w:val="18"/>
              </w:rPr>
              <w:t>Convention approuvée en toutes et chacune de ses parties non contraires à la Charia islamique</w:t>
            </w:r>
          </w:p>
        </w:tc>
      </w:tr>
      <w:tr w:rsidR="0055167C" w:rsidRPr="0055167C" w:rsidTr="00027EE8">
        <w:tc>
          <w:tcPr>
            <w:tcW w:w="397" w:type="dxa"/>
            <w:shd w:val="clear" w:color="auto" w:fill="auto"/>
            <w:hideMark/>
          </w:tcPr>
          <w:p w:rsidR="00D80F06" w:rsidRPr="00B7582D" w:rsidRDefault="00D80F06" w:rsidP="00027EE8">
            <w:pPr>
              <w:spacing w:before="40" w:after="60" w:line="220" w:lineRule="atLeast"/>
              <w:ind w:right="113"/>
              <w:rPr>
                <w:sz w:val="18"/>
                <w:szCs w:val="18"/>
              </w:rPr>
            </w:pPr>
            <w:r w:rsidRPr="00B7582D">
              <w:rPr>
                <w:sz w:val="18"/>
                <w:szCs w:val="18"/>
              </w:rPr>
              <w:t>7</w:t>
            </w:r>
          </w:p>
        </w:tc>
        <w:tc>
          <w:tcPr>
            <w:tcW w:w="2155"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Convention relative aux droits des personnes handicapées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2006</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2010</w:t>
            </w:r>
          </w:p>
        </w:tc>
        <w:tc>
          <w:tcPr>
            <w:tcW w:w="3119" w:type="dxa"/>
            <w:shd w:val="clear" w:color="auto" w:fill="auto"/>
          </w:tcPr>
          <w:p w:rsidR="00D80F06" w:rsidRPr="00027EE8" w:rsidRDefault="00D80F06" w:rsidP="00027EE8">
            <w:pPr>
              <w:spacing w:before="40" w:after="60" w:line="220" w:lineRule="atLeast"/>
              <w:ind w:right="113"/>
              <w:rPr>
                <w:sz w:val="18"/>
                <w:szCs w:val="18"/>
              </w:rPr>
            </w:pPr>
          </w:p>
        </w:tc>
      </w:tr>
      <w:tr w:rsidR="0055167C" w:rsidRPr="0055167C" w:rsidTr="00027EE8">
        <w:tc>
          <w:tcPr>
            <w:tcW w:w="397" w:type="dxa"/>
            <w:shd w:val="clear" w:color="auto" w:fill="auto"/>
            <w:hideMark/>
          </w:tcPr>
          <w:p w:rsidR="00D80F06" w:rsidRPr="00B7582D" w:rsidRDefault="00D80F06" w:rsidP="00027EE8">
            <w:pPr>
              <w:spacing w:before="40" w:after="60" w:line="220" w:lineRule="atLeast"/>
              <w:ind w:right="113"/>
              <w:rPr>
                <w:sz w:val="18"/>
                <w:szCs w:val="18"/>
              </w:rPr>
            </w:pPr>
            <w:r w:rsidRPr="00B7582D">
              <w:rPr>
                <w:sz w:val="18"/>
                <w:szCs w:val="18"/>
              </w:rPr>
              <w:t>8</w:t>
            </w:r>
          </w:p>
        </w:tc>
        <w:tc>
          <w:tcPr>
            <w:tcW w:w="2155"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Convention internationale pour la protection de toutes les personnes contre les disparitions forcées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2006</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2012</w:t>
            </w:r>
          </w:p>
        </w:tc>
        <w:tc>
          <w:tcPr>
            <w:tcW w:w="3119" w:type="dxa"/>
            <w:shd w:val="clear" w:color="auto" w:fill="auto"/>
          </w:tcPr>
          <w:p w:rsidR="00D80F06" w:rsidRPr="00027EE8" w:rsidRDefault="00D80F06" w:rsidP="00027EE8">
            <w:pPr>
              <w:spacing w:before="40" w:after="60" w:line="220" w:lineRule="atLeast"/>
              <w:ind w:right="113"/>
              <w:rPr>
                <w:sz w:val="18"/>
                <w:szCs w:val="18"/>
              </w:rPr>
            </w:pPr>
          </w:p>
        </w:tc>
      </w:tr>
      <w:tr w:rsidR="0055167C" w:rsidRPr="0055167C" w:rsidTr="00027EE8">
        <w:tc>
          <w:tcPr>
            <w:tcW w:w="397" w:type="dxa"/>
            <w:shd w:val="clear" w:color="auto" w:fill="auto"/>
          </w:tcPr>
          <w:p w:rsidR="00D80F06" w:rsidRPr="00B7582D" w:rsidRDefault="00D80F06" w:rsidP="00027EE8">
            <w:pPr>
              <w:spacing w:before="40" w:after="60" w:line="220" w:lineRule="atLeast"/>
              <w:ind w:right="113"/>
              <w:rPr>
                <w:sz w:val="18"/>
                <w:szCs w:val="18"/>
              </w:rPr>
            </w:pPr>
            <w:r w:rsidRPr="00B7582D">
              <w:rPr>
                <w:sz w:val="18"/>
                <w:szCs w:val="18"/>
              </w:rPr>
              <w:t>9</w:t>
            </w:r>
          </w:p>
        </w:tc>
        <w:tc>
          <w:tcPr>
            <w:tcW w:w="2155"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Pacte international relatif aux droits civils et politiques</w:t>
            </w:r>
          </w:p>
        </w:tc>
        <w:tc>
          <w:tcPr>
            <w:tcW w:w="1134"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1966</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1999</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Réserves</w:t>
            </w:r>
            <w:r w:rsidR="009573B0" w:rsidRPr="00027EE8">
              <w:rPr>
                <w:sz w:val="18"/>
                <w:szCs w:val="18"/>
              </w:rPr>
              <w:t> :</w:t>
            </w:r>
            <w:r w:rsidR="00C6009C" w:rsidRPr="00027EE8">
              <w:rPr>
                <w:sz w:val="18"/>
                <w:szCs w:val="18"/>
              </w:rPr>
              <w:t xml:space="preserve"> </w:t>
            </w:r>
            <w:r w:rsidRPr="00027EE8">
              <w:rPr>
                <w:sz w:val="18"/>
                <w:szCs w:val="18"/>
              </w:rPr>
              <w:t>Art.</w:t>
            </w:r>
            <w:r w:rsidR="00313112">
              <w:rPr>
                <w:sz w:val="18"/>
                <w:szCs w:val="18"/>
              </w:rPr>
              <w:t> </w:t>
            </w:r>
            <w:r w:rsidRPr="00027EE8">
              <w:rPr>
                <w:sz w:val="18"/>
                <w:szCs w:val="18"/>
              </w:rPr>
              <w:t>18, aliénas</w:t>
            </w:r>
            <w:r w:rsidR="009573B0" w:rsidRPr="00027EE8">
              <w:rPr>
                <w:sz w:val="18"/>
                <w:szCs w:val="18"/>
              </w:rPr>
              <w:t> :</w:t>
            </w:r>
            <w:r w:rsidRPr="00027EE8">
              <w:rPr>
                <w:sz w:val="18"/>
                <w:szCs w:val="18"/>
              </w:rPr>
              <w:t xml:space="preserve"> 2-3 et 4 et Art.</w:t>
            </w:r>
            <w:r w:rsidR="00313112">
              <w:rPr>
                <w:sz w:val="18"/>
                <w:szCs w:val="18"/>
              </w:rPr>
              <w:t> </w:t>
            </w:r>
            <w:r w:rsidRPr="00027EE8">
              <w:rPr>
                <w:sz w:val="18"/>
                <w:szCs w:val="18"/>
              </w:rPr>
              <w:t>23</w:t>
            </w:r>
            <w:r w:rsidR="00313112">
              <w:rPr>
                <w:sz w:val="18"/>
                <w:szCs w:val="18"/>
              </w:rPr>
              <w:t>,</w:t>
            </w:r>
            <w:r w:rsidRPr="00027EE8">
              <w:rPr>
                <w:sz w:val="18"/>
                <w:szCs w:val="18"/>
              </w:rPr>
              <w:t xml:space="preserve"> aliéna 4</w:t>
            </w:r>
          </w:p>
          <w:p w:rsidR="00D80F06" w:rsidRPr="00027EE8" w:rsidRDefault="00D80F06" w:rsidP="00027EE8">
            <w:pPr>
              <w:spacing w:before="40" w:after="60" w:line="220" w:lineRule="atLeast"/>
              <w:ind w:right="113"/>
              <w:rPr>
                <w:sz w:val="18"/>
                <w:szCs w:val="18"/>
              </w:rPr>
            </w:pPr>
            <w:r w:rsidRPr="00027EE8">
              <w:rPr>
                <w:sz w:val="18"/>
                <w:szCs w:val="18"/>
              </w:rPr>
              <w:t>Le gouvernement mauritanien déclare que leur application se fera sans préjudice de la charia islamique</w:t>
            </w:r>
          </w:p>
        </w:tc>
      </w:tr>
      <w:tr w:rsidR="0055167C" w:rsidRPr="0055167C" w:rsidTr="00027EE8">
        <w:tc>
          <w:tcPr>
            <w:tcW w:w="397" w:type="dxa"/>
            <w:shd w:val="clear" w:color="auto" w:fill="auto"/>
            <w:hideMark/>
          </w:tcPr>
          <w:p w:rsidR="00D80F06" w:rsidRPr="00B7582D" w:rsidRDefault="00D80F06" w:rsidP="00027EE8">
            <w:pPr>
              <w:spacing w:before="40" w:after="60" w:line="220" w:lineRule="atLeast"/>
              <w:ind w:right="113"/>
              <w:rPr>
                <w:sz w:val="18"/>
                <w:szCs w:val="18"/>
              </w:rPr>
            </w:pPr>
            <w:r w:rsidRPr="00B7582D">
              <w:rPr>
                <w:sz w:val="18"/>
                <w:szCs w:val="18"/>
              </w:rPr>
              <w:t>10</w:t>
            </w:r>
          </w:p>
        </w:tc>
        <w:tc>
          <w:tcPr>
            <w:tcW w:w="2155"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Pacte international relatif aux droits économiques, sociaux et culturels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1966</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1999</w:t>
            </w:r>
          </w:p>
        </w:tc>
        <w:tc>
          <w:tcPr>
            <w:tcW w:w="3119" w:type="dxa"/>
            <w:shd w:val="clear" w:color="auto" w:fill="auto"/>
          </w:tcPr>
          <w:p w:rsidR="00D80F06" w:rsidRPr="00027EE8" w:rsidRDefault="00D80F06" w:rsidP="00027EE8">
            <w:pPr>
              <w:spacing w:before="40" w:after="60" w:line="220" w:lineRule="atLeast"/>
              <w:ind w:right="113"/>
              <w:rPr>
                <w:sz w:val="18"/>
                <w:szCs w:val="18"/>
              </w:rPr>
            </w:pPr>
          </w:p>
        </w:tc>
      </w:tr>
      <w:tr w:rsidR="0055167C" w:rsidRPr="0055167C" w:rsidTr="00027EE8">
        <w:tc>
          <w:tcPr>
            <w:tcW w:w="397" w:type="dxa"/>
            <w:shd w:val="clear" w:color="auto" w:fill="auto"/>
            <w:hideMark/>
          </w:tcPr>
          <w:p w:rsidR="00D80F06" w:rsidRPr="00B7582D" w:rsidRDefault="00D80F06" w:rsidP="00027EE8">
            <w:pPr>
              <w:spacing w:before="40" w:after="60" w:line="220" w:lineRule="atLeast"/>
              <w:ind w:right="113"/>
              <w:rPr>
                <w:sz w:val="18"/>
                <w:szCs w:val="18"/>
              </w:rPr>
            </w:pPr>
            <w:r w:rsidRPr="00B7582D">
              <w:rPr>
                <w:sz w:val="18"/>
                <w:szCs w:val="18"/>
              </w:rPr>
              <w:t>11</w:t>
            </w:r>
          </w:p>
        </w:tc>
        <w:tc>
          <w:tcPr>
            <w:tcW w:w="2155"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Protocole facultatif se rapportant à la Convention contre la torture et autres peines ou traitements cruels, inhumains ou dégradants</w:t>
            </w:r>
          </w:p>
        </w:tc>
        <w:tc>
          <w:tcPr>
            <w:tcW w:w="1134" w:type="dxa"/>
            <w:shd w:val="clear" w:color="auto" w:fill="auto"/>
          </w:tcPr>
          <w:p w:rsidR="00D80F06" w:rsidRPr="00027EE8" w:rsidRDefault="00D80F06" w:rsidP="00027EE8">
            <w:pPr>
              <w:spacing w:before="40" w:after="60" w:line="220" w:lineRule="atLeast"/>
              <w:ind w:right="113"/>
              <w:rPr>
                <w:sz w:val="18"/>
                <w:szCs w:val="18"/>
              </w:rPr>
            </w:pP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2012</w:t>
            </w:r>
          </w:p>
        </w:tc>
        <w:tc>
          <w:tcPr>
            <w:tcW w:w="3119" w:type="dxa"/>
            <w:shd w:val="clear" w:color="auto" w:fill="auto"/>
          </w:tcPr>
          <w:p w:rsidR="00D80F06" w:rsidRPr="00027EE8" w:rsidRDefault="00D80F06" w:rsidP="00027EE8">
            <w:pPr>
              <w:spacing w:before="40" w:after="60" w:line="220" w:lineRule="atLeast"/>
              <w:ind w:right="113"/>
              <w:rPr>
                <w:sz w:val="18"/>
                <w:szCs w:val="18"/>
              </w:rPr>
            </w:pPr>
          </w:p>
        </w:tc>
      </w:tr>
      <w:tr w:rsidR="0055167C" w:rsidRPr="0055167C" w:rsidTr="00027EE8">
        <w:tc>
          <w:tcPr>
            <w:tcW w:w="397" w:type="dxa"/>
            <w:shd w:val="clear" w:color="auto" w:fill="auto"/>
            <w:hideMark/>
          </w:tcPr>
          <w:p w:rsidR="00D80F06" w:rsidRPr="00B7582D" w:rsidRDefault="00D80F06" w:rsidP="00027EE8">
            <w:pPr>
              <w:spacing w:before="40" w:after="60" w:line="220" w:lineRule="atLeast"/>
              <w:ind w:right="113"/>
              <w:rPr>
                <w:sz w:val="18"/>
                <w:szCs w:val="18"/>
              </w:rPr>
            </w:pPr>
            <w:r w:rsidRPr="00B7582D">
              <w:rPr>
                <w:sz w:val="18"/>
                <w:szCs w:val="18"/>
              </w:rPr>
              <w:t>12</w:t>
            </w:r>
          </w:p>
        </w:tc>
        <w:tc>
          <w:tcPr>
            <w:tcW w:w="2155"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Protocole facultatif se rapportant à la Convention relative aux droits des personnes handicapées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2006</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2010</w:t>
            </w:r>
          </w:p>
        </w:tc>
        <w:tc>
          <w:tcPr>
            <w:tcW w:w="3119" w:type="dxa"/>
            <w:shd w:val="clear" w:color="auto" w:fill="auto"/>
          </w:tcPr>
          <w:p w:rsidR="00D80F06" w:rsidRPr="00027EE8" w:rsidRDefault="00D80F06" w:rsidP="00027EE8">
            <w:pPr>
              <w:spacing w:before="40" w:after="60" w:line="220" w:lineRule="atLeast"/>
              <w:ind w:right="113"/>
              <w:rPr>
                <w:sz w:val="18"/>
                <w:szCs w:val="18"/>
              </w:rPr>
            </w:pPr>
          </w:p>
        </w:tc>
      </w:tr>
      <w:tr w:rsidR="0055167C" w:rsidRPr="0055167C" w:rsidTr="00027EE8">
        <w:tc>
          <w:tcPr>
            <w:tcW w:w="397" w:type="dxa"/>
            <w:tcBorders>
              <w:bottom w:val="single" w:sz="12" w:space="0" w:color="000000" w:themeColor="text1"/>
            </w:tcBorders>
            <w:shd w:val="clear" w:color="auto" w:fill="auto"/>
          </w:tcPr>
          <w:p w:rsidR="00D80F06" w:rsidRPr="00B7582D" w:rsidRDefault="00D80F06" w:rsidP="00027EE8">
            <w:pPr>
              <w:spacing w:before="40" w:after="60" w:line="220" w:lineRule="atLeast"/>
              <w:ind w:right="113"/>
              <w:rPr>
                <w:sz w:val="18"/>
                <w:szCs w:val="18"/>
              </w:rPr>
            </w:pPr>
            <w:r w:rsidRPr="00B7582D">
              <w:rPr>
                <w:sz w:val="18"/>
                <w:szCs w:val="18"/>
              </w:rPr>
              <w:t>13</w:t>
            </w:r>
          </w:p>
        </w:tc>
        <w:tc>
          <w:tcPr>
            <w:tcW w:w="2155" w:type="dxa"/>
            <w:tcBorders>
              <w:bottom w:val="single" w:sz="12" w:space="0" w:color="000000" w:themeColor="text1"/>
            </w:tcBorders>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Convention contre la torture et autres peines ou traitements cruels, inhumains ou dégradants</w:t>
            </w:r>
          </w:p>
        </w:tc>
        <w:tc>
          <w:tcPr>
            <w:tcW w:w="1134" w:type="dxa"/>
            <w:tcBorders>
              <w:bottom w:val="single" w:sz="12" w:space="0" w:color="000000" w:themeColor="text1"/>
            </w:tcBorders>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1984</w:t>
            </w:r>
          </w:p>
        </w:tc>
        <w:tc>
          <w:tcPr>
            <w:tcW w:w="1701" w:type="dxa"/>
            <w:tcBorders>
              <w:bottom w:val="single" w:sz="12" w:space="0" w:color="000000" w:themeColor="text1"/>
            </w:tcBorders>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1999</w:t>
            </w:r>
          </w:p>
        </w:tc>
        <w:tc>
          <w:tcPr>
            <w:tcW w:w="3119" w:type="dxa"/>
            <w:tcBorders>
              <w:bottom w:val="single" w:sz="12" w:space="0" w:color="000000" w:themeColor="text1"/>
            </w:tcBorders>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Réserves</w:t>
            </w:r>
            <w:r w:rsidR="009573B0" w:rsidRPr="00027EE8">
              <w:rPr>
                <w:sz w:val="18"/>
                <w:szCs w:val="18"/>
              </w:rPr>
              <w:t> :</w:t>
            </w:r>
            <w:r w:rsidR="00C6009C" w:rsidRPr="00027EE8">
              <w:rPr>
                <w:sz w:val="18"/>
                <w:szCs w:val="18"/>
              </w:rPr>
              <w:t xml:space="preserve"> </w:t>
            </w:r>
            <w:r w:rsidRPr="00027EE8">
              <w:rPr>
                <w:sz w:val="18"/>
                <w:szCs w:val="18"/>
              </w:rPr>
              <w:t>Art. 20, alinéas1, 2, 3, 4 et 5 concernant la compétence accordée au comité</w:t>
            </w:r>
          </w:p>
          <w:p w:rsidR="00D80F06" w:rsidRPr="00027EE8" w:rsidRDefault="00D80F06" w:rsidP="00027EE8">
            <w:pPr>
              <w:spacing w:before="40" w:after="60" w:line="220" w:lineRule="atLeast"/>
              <w:ind w:right="113"/>
              <w:rPr>
                <w:sz w:val="18"/>
                <w:szCs w:val="18"/>
              </w:rPr>
            </w:pPr>
            <w:r w:rsidRPr="00027EE8">
              <w:rPr>
                <w:sz w:val="18"/>
                <w:szCs w:val="18"/>
              </w:rPr>
              <w:t>Art.</w:t>
            </w:r>
            <w:r w:rsidR="00313112">
              <w:rPr>
                <w:sz w:val="18"/>
                <w:szCs w:val="18"/>
              </w:rPr>
              <w:t> </w:t>
            </w:r>
            <w:r w:rsidRPr="00027EE8">
              <w:rPr>
                <w:sz w:val="18"/>
                <w:szCs w:val="18"/>
              </w:rPr>
              <w:t>30, aliéna 1 concernant la Cour Internationale de Justice</w:t>
            </w:r>
          </w:p>
        </w:tc>
      </w:tr>
    </w:tbl>
    <w:p w:rsidR="00D80F06" w:rsidRPr="002D6CAB" w:rsidRDefault="00D94138" w:rsidP="00D94138">
      <w:pPr>
        <w:pStyle w:val="H23G"/>
      </w:pPr>
      <w:bookmarkStart w:id="43" w:name="_Toc454388702"/>
      <w:bookmarkStart w:id="44" w:name="_Toc453672864"/>
      <w:bookmarkStart w:id="45" w:name="_Toc455360515"/>
      <w:bookmarkStart w:id="46" w:name="_Toc455364120"/>
      <w:bookmarkStart w:id="47" w:name="_Toc498901322"/>
      <w:r>
        <w:tab/>
        <w:t>2.</w:t>
      </w:r>
      <w:r>
        <w:tab/>
      </w:r>
      <w:r w:rsidR="00D80F06" w:rsidRPr="002D6CAB">
        <w:t>Nature et portée des réserves</w:t>
      </w:r>
      <w:bookmarkEnd w:id="43"/>
      <w:bookmarkEnd w:id="44"/>
      <w:bookmarkEnd w:id="45"/>
      <w:bookmarkEnd w:id="46"/>
      <w:bookmarkEnd w:id="47"/>
    </w:p>
    <w:p w:rsidR="00D80F06" w:rsidRPr="00096F95" w:rsidRDefault="00A53065" w:rsidP="00027EE8">
      <w:pPr>
        <w:pStyle w:val="H23G"/>
      </w:pPr>
      <w:bookmarkStart w:id="48" w:name="_Toc454388703"/>
      <w:bookmarkStart w:id="49" w:name="_Toc453672865"/>
      <w:bookmarkStart w:id="50" w:name="_Toc455364121"/>
      <w:bookmarkStart w:id="51" w:name="_Toc498901323"/>
      <w:r>
        <w:tab/>
      </w:r>
      <w:r w:rsidR="0028541A" w:rsidRPr="00096F95">
        <w:t>a)</w:t>
      </w:r>
      <w:r w:rsidR="0028541A" w:rsidRPr="00096F95">
        <w:tab/>
      </w:r>
      <w:r w:rsidR="00D80F06" w:rsidRPr="00096F95">
        <w:t>Portée des réserves</w:t>
      </w:r>
      <w:bookmarkEnd w:id="48"/>
      <w:bookmarkEnd w:id="49"/>
      <w:bookmarkEnd w:id="50"/>
      <w:bookmarkEnd w:id="51"/>
    </w:p>
    <w:p w:rsidR="00D80F06" w:rsidRPr="00BF2CB2" w:rsidRDefault="00C87B7B" w:rsidP="00C87B7B">
      <w:pPr>
        <w:pStyle w:val="SingleTxtG"/>
      </w:pPr>
      <w:r w:rsidRPr="00BF2CB2">
        <w:t>36.</w:t>
      </w:r>
      <w:r w:rsidRPr="00BF2CB2">
        <w:tab/>
      </w:r>
      <w:r w:rsidR="00D80F06" w:rsidRPr="00BF2CB2">
        <w:rPr>
          <w:lang w:val="fr-FR"/>
        </w:rPr>
        <w:t>La Mauritanie a émis des réserves générales ou spécifiques sur les conventions suivantes</w:t>
      </w:r>
      <w:r w:rsidR="009573B0">
        <w:rPr>
          <w:lang w:val="fr-FR"/>
        </w:rPr>
        <w:t> :</w:t>
      </w:r>
    </w:p>
    <w:p w:rsidR="00D80F06" w:rsidRPr="00BF2CB2" w:rsidRDefault="00C87B7B" w:rsidP="00C87B7B">
      <w:pPr>
        <w:pStyle w:val="Bullet1G"/>
        <w:numPr>
          <w:ilvl w:val="0"/>
          <w:numId w:val="0"/>
        </w:numPr>
        <w:tabs>
          <w:tab w:val="left" w:pos="1701"/>
        </w:tabs>
        <w:ind w:left="1701" w:hanging="170"/>
      </w:pPr>
      <w:r w:rsidRPr="00BF2CB2">
        <w:t>•</w:t>
      </w:r>
      <w:r w:rsidRPr="00BF2CB2">
        <w:tab/>
      </w:r>
      <w:r w:rsidR="00D80F06" w:rsidRPr="00BF2CB2">
        <w:t>Convention sur l</w:t>
      </w:r>
      <w:r w:rsidR="00A24C87">
        <w:t>’</w:t>
      </w:r>
      <w:r w:rsidR="00D80F06" w:rsidRPr="00BF2CB2">
        <w:t>élimination de toutes les formes de discrimination à l</w:t>
      </w:r>
      <w:r w:rsidR="00A24C87">
        <w:t>’</w:t>
      </w:r>
      <w:r w:rsidR="00D80F06" w:rsidRPr="00BF2CB2">
        <w:t>égard des femmes.</w:t>
      </w:r>
      <w:r w:rsidR="00D80F06">
        <w:t xml:space="preserve"> </w:t>
      </w:r>
      <w:r w:rsidR="00D80F06" w:rsidRPr="00BF2CB2">
        <w:t>Les réserves sont relatives</w:t>
      </w:r>
      <w:r w:rsidR="00D80F06">
        <w:t xml:space="preserve"> </w:t>
      </w:r>
      <w:r w:rsidR="00D80F06" w:rsidRPr="00BF2CB2">
        <w:t>a</w:t>
      </w:r>
      <w:r w:rsidR="00A53065">
        <w:t>ux Art.</w:t>
      </w:r>
      <w:r w:rsidR="00724F7F">
        <w:t> </w:t>
      </w:r>
      <w:r w:rsidR="00A53065">
        <w:t>13, alinéa (a) et Art.</w:t>
      </w:r>
      <w:r w:rsidR="00724F7F">
        <w:t> </w:t>
      </w:r>
      <w:r w:rsidR="00A53065">
        <w:t>16</w:t>
      </w:r>
      <w:r w:rsidR="009573B0">
        <w:t> ;</w:t>
      </w:r>
    </w:p>
    <w:p w:rsidR="00D80F06" w:rsidRPr="002D6CAB" w:rsidRDefault="00C87B7B" w:rsidP="00C87B7B">
      <w:pPr>
        <w:pStyle w:val="Bullet1G"/>
        <w:numPr>
          <w:ilvl w:val="0"/>
          <w:numId w:val="0"/>
        </w:numPr>
        <w:tabs>
          <w:tab w:val="left" w:pos="1701"/>
        </w:tabs>
        <w:ind w:left="1701" w:hanging="170"/>
      </w:pPr>
      <w:r w:rsidRPr="002D6CAB">
        <w:lastRenderedPageBreak/>
        <w:t>•</w:t>
      </w:r>
      <w:r w:rsidRPr="002D6CAB">
        <w:tab/>
      </w:r>
      <w:r w:rsidR="00D80F06" w:rsidRPr="002D6CAB">
        <w:t>Convention relative aux droits de l</w:t>
      </w:r>
      <w:r w:rsidR="00A24C87">
        <w:t>’</w:t>
      </w:r>
      <w:r w:rsidR="00D80F06" w:rsidRPr="002D6CAB">
        <w:t>enfant.</w:t>
      </w:r>
      <w:r w:rsidR="00D80F06">
        <w:t xml:space="preserve"> </w:t>
      </w:r>
      <w:r w:rsidR="00D80F06" w:rsidRPr="002D6CAB">
        <w:rPr>
          <w:lang w:val="fr-FR"/>
        </w:rPr>
        <w:t>Cette Convention est approuvée en toutes et chacune de ses parties non contraires à la Charia islamique</w:t>
      </w:r>
      <w:r w:rsidR="009573B0">
        <w:rPr>
          <w:lang w:val="fr-FR"/>
        </w:rPr>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 xml:space="preserve">Pacte international relatif aux droits civils et politiques. </w:t>
      </w:r>
      <w:r w:rsidR="00D80F06" w:rsidRPr="002D6CAB">
        <w:rPr>
          <w:lang w:val="fr-FR"/>
        </w:rPr>
        <w:t>Les réserves portent sur les articles 18, aliénas</w:t>
      </w:r>
      <w:r w:rsidR="009573B0">
        <w:rPr>
          <w:lang w:val="fr-FR"/>
        </w:rPr>
        <w:t> :</w:t>
      </w:r>
      <w:r w:rsidR="00D80F06" w:rsidRPr="002D6CAB">
        <w:rPr>
          <w:lang w:val="fr-FR"/>
        </w:rPr>
        <w:t xml:space="preserve"> 2-3 et 4 et article 23 aliéna 4</w:t>
      </w:r>
      <w:r w:rsidR="009573B0">
        <w:rPr>
          <w:lang w:val="fr-FR"/>
        </w:rPr>
        <w:t> ;</w:t>
      </w:r>
    </w:p>
    <w:p w:rsidR="00D80F06" w:rsidRPr="002D6CAB" w:rsidRDefault="00C87B7B" w:rsidP="00C87B7B">
      <w:pPr>
        <w:pStyle w:val="Bullet1G"/>
        <w:numPr>
          <w:ilvl w:val="0"/>
          <w:numId w:val="0"/>
        </w:numPr>
        <w:tabs>
          <w:tab w:val="left" w:pos="1701"/>
        </w:tabs>
        <w:ind w:left="1701" w:hanging="170"/>
        <w:rPr>
          <w:lang w:val="fr-FR"/>
        </w:rPr>
      </w:pPr>
      <w:r w:rsidRPr="002D6CAB">
        <w:rPr>
          <w:lang w:val="fr-FR"/>
        </w:rPr>
        <w:t>•</w:t>
      </w:r>
      <w:r w:rsidRPr="002D6CAB">
        <w:rPr>
          <w:lang w:val="fr-FR"/>
        </w:rPr>
        <w:tab/>
      </w:r>
      <w:r w:rsidR="00D80F06" w:rsidRPr="002D6CAB">
        <w:rPr>
          <w:lang w:val="fr-FR"/>
        </w:rPr>
        <w:t>Convention contre la torture et autres peines ou traitements cruels, inhumains ou dégradants</w:t>
      </w:r>
      <w:r w:rsidR="009573B0">
        <w:rPr>
          <w:lang w:val="fr-FR"/>
        </w:rPr>
        <w:t> :</w:t>
      </w:r>
      <w:r w:rsidR="00D80F06" w:rsidRPr="002D6CAB">
        <w:rPr>
          <w:lang w:val="fr-FR"/>
        </w:rPr>
        <w:t xml:space="preserve"> Les réserves portent sur les articles 20, alinéas 1, 2, 3, 4 et 5 concernant la compétence accordée au comité et l</w:t>
      </w:r>
      <w:r w:rsidR="00A24C87">
        <w:rPr>
          <w:lang w:val="fr-FR"/>
        </w:rPr>
        <w:t>’</w:t>
      </w:r>
      <w:r w:rsidR="00D80F06" w:rsidRPr="002D6CAB">
        <w:rPr>
          <w:lang w:val="fr-FR"/>
        </w:rPr>
        <w:t>article 30, aliéna 1 concernant la Cour Pénale Internationale.</w:t>
      </w:r>
      <w:bookmarkStart w:id="52" w:name="_Toc454388704"/>
      <w:bookmarkStart w:id="53" w:name="_Toc453672866"/>
      <w:bookmarkStart w:id="54" w:name="_Toc455364122"/>
    </w:p>
    <w:p w:rsidR="00D80F06" w:rsidRPr="00096F95" w:rsidRDefault="00A53065" w:rsidP="00027EE8">
      <w:pPr>
        <w:pStyle w:val="H23G"/>
      </w:pPr>
      <w:bookmarkStart w:id="55" w:name="_Toc498901324"/>
      <w:r>
        <w:tab/>
      </w:r>
      <w:r w:rsidR="0028541A" w:rsidRPr="00096F95">
        <w:t>b)</w:t>
      </w:r>
      <w:r w:rsidR="0028541A" w:rsidRPr="00096F95">
        <w:tab/>
      </w:r>
      <w:r w:rsidR="00D80F06" w:rsidRPr="00096F95">
        <w:t>Le fondement des réserves</w:t>
      </w:r>
      <w:bookmarkEnd w:id="52"/>
      <w:bookmarkEnd w:id="53"/>
      <w:bookmarkEnd w:id="54"/>
      <w:bookmarkEnd w:id="55"/>
    </w:p>
    <w:p w:rsidR="00D80F06" w:rsidRPr="002D6CAB" w:rsidRDefault="00C87B7B" w:rsidP="00C87B7B">
      <w:pPr>
        <w:pStyle w:val="SingleTxtG"/>
        <w:rPr>
          <w:lang w:val="fr-FR"/>
        </w:rPr>
      </w:pPr>
      <w:r w:rsidRPr="002D6CAB">
        <w:rPr>
          <w:lang w:val="fr-FR"/>
        </w:rPr>
        <w:t>37.</w:t>
      </w:r>
      <w:r w:rsidRPr="002D6CAB">
        <w:rPr>
          <w:lang w:val="fr-FR"/>
        </w:rPr>
        <w:tab/>
      </w:r>
      <w:r w:rsidR="00D80F06" w:rsidRPr="002D6CAB">
        <w:rPr>
          <w:lang w:val="fr-FR"/>
        </w:rPr>
        <w:t>Ces réserves ont été jugées nécessaires puisqu</w:t>
      </w:r>
      <w:r w:rsidR="00A24C87">
        <w:rPr>
          <w:lang w:val="fr-FR"/>
        </w:rPr>
        <w:t>’</w:t>
      </w:r>
      <w:r w:rsidR="00D80F06" w:rsidRPr="002D6CAB">
        <w:rPr>
          <w:lang w:val="fr-FR"/>
        </w:rPr>
        <w:t xml:space="preserve">elles portent sur des dispositions contraires à la </w:t>
      </w:r>
      <w:proofErr w:type="spellStart"/>
      <w:r w:rsidR="00D80F06" w:rsidRPr="002D6CAB">
        <w:rPr>
          <w:lang w:val="fr-FR"/>
        </w:rPr>
        <w:t>chariaa</w:t>
      </w:r>
      <w:proofErr w:type="spellEnd"/>
      <w:r w:rsidR="00D80F06" w:rsidRPr="002D6CAB">
        <w:rPr>
          <w:lang w:val="fr-FR"/>
        </w:rPr>
        <w:t xml:space="preserve">, unique source de droit mauritanien conformément à la </w:t>
      </w:r>
      <w:r w:rsidR="00A468C2" w:rsidRPr="002D6CAB">
        <w:rPr>
          <w:lang w:val="fr-FR"/>
        </w:rPr>
        <w:t>Constitution</w:t>
      </w:r>
      <w:r w:rsidR="00D80F06" w:rsidRPr="002D6CAB">
        <w:rPr>
          <w:lang w:val="fr-FR"/>
        </w:rPr>
        <w:t>.</w:t>
      </w:r>
      <w:bookmarkStart w:id="56" w:name="_Toc453672867"/>
    </w:p>
    <w:p w:rsidR="00D80F06" w:rsidRPr="00096F95" w:rsidRDefault="00A53065" w:rsidP="00027EE8">
      <w:pPr>
        <w:pStyle w:val="H23G"/>
      </w:pPr>
      <w:bookmarkStart w:id="57" w:name="_Toc454388705"/>
      <w:bookmarkStart w:id="58" w:name="_Toc455364123"/>
      <w:bookmarkStart w:id="59" w:name="_Toc498901325"/>
      <w:r>
        <w:tab/>
      </w:r>
      <w:r w:rsidR="00D80F06" w:rsidRPr="00096F95">
        <w:t>c)</w:t>
      </w:r>
      <w:r w:rsidR="0028541A" w:rsidRPr="00096F95">
        <w:tab/>
      </w:r>
      <w:r w:rsidR="00D80F06" w:rsidRPr="00096F95">
        <w:t>Effet des réserves</w:t>
      </w:r>
      <w:bookmarkEnd w:id="56"/>
      <w:bookmarkEnd w:id="57"/>
      <w:bookmarkEnd w:id="58"/>
      <w:bookmarkEnd w:id="59"/>
    </w:p>
    <w:p w:rsidR="00D80F06" w:rsidRDefault="00C87B7B" w:rsidP="00C87B7B">
      <w:pPr>
        <w:pStyle w:val="SingleTxtG"/>
        <w:rPr>
          <w:lang w:val="fr-FR"/>
        </w:rPr>
      </w:pPr>
      <w:r>
        <w:rPr>
          <w:lang w:val="fr-FR"/>
        </w:rPr>
        <w:t>38.</w:t>
      </w:r>
      <w:r>
        <w:rPr>
          <w:lang w:val="fr-FR"/>
        </w:rPr>
        <w:tab/>
      </w:r>
      <w:r w:rsidR="00D80F06" w:rsidRPr="002D6CAB">
        <w:rPr>
          <w:lang w:val="fr-FR"/>
        </w:rPr>
        <w:t>Les dispositions sur lesquelles portent les réserves ne sont pas applicables, les autres gardent tous les effets que leur confère l</w:t>
      </w:r>
      <w:r w:rsidR="00A24C87">
        <w:rPr>
          <w:lang w:val="fr-FR"/>
        </w:rPr>
        <w:t>’</w:t>
      </w:r>
      <w:r w:rsidR="00D80F06" w:rsidRPr="002D6CAB">
        <w:rPr>
          <w:lang w:val="fr-FR"/>
        </w:rPr>
        <w:t xml:space="preserve">article 80 de la </w:t>
      </w:r>
      <w:r w:rsidR="00A468C2" w:rsidRPr="002D6CAB">
        <w:rPr>
          <w:lang w:val="fr-FR"/>
        </w:rPr>
        <w:t>Constitution</w:t>
      </w:r>
      <w:r w:rsidR="00D80F06" w:rsidRPr="002D6CAB">
        <w:rPr>
          <w:lang w:val="fr-FR"/>
        </w:rPr>
        <w:t>.</w:t>
      </w:r>
    </w:p>
    <w:p w:rsidR="00D80F06" w:rsidRPr="00096F95" w:rsidRDefault="00A53065" w:rsidP="00027EE8">
      <w:pPr>
        <w:pStyle w:val="H23G"/>
      </w:pPr>
      <w:bookmarkStart w:id="60" w:name="_Toc454388706"/>
      <w:bookmarkStart w:id="61" w:name="_Toc455364124"/>
      <w:r>
        <w:tab/>
      </w:r>
      <w:r w:rsidR="00D80F06" w:rsidRPr="00096F95">
        <w:t>d)</w:t>
      </w:r>
      <w:r w:rsidR="0028541A" w:rsidRPr="00096F95">
        <w:tab/>
      </w:r>
      <w:r w:rsidR="00D80F06" w:rsidRPr="00096F95">
        <w:t>Suivi des déclarations issues des conférences</w:t>
      </w:r>
      <w:bookmarkEnd w:id="60"/>
      <w:bookmarkEnd w:id="61"/>
    </w:p>
    <w:p w:rsidR="00D80F06" w:rsidRPr="002D6CAB" w:rsidRDefault="00C87B7B" w:rsidP="00C87B7B">
      <w:pPr>
        <w:pStyle w:val="SingleTxtG"/>
        <w:rPr>
          <w:lang w:val="fr-FR"/>
        </w:rPr>
      </w:pPr>
      <w:r w:rsidRPr="002D6CAB">
        <w:rPr>
          <w:lang w:val="fr-FR"/>
        </w:rPr>
        <w:t>39.</w:t>
      </w:r>
      <w:r w:rsidRPr="002D6CAB">
        <w:rPr>
          <w:lang w:val="fr-FR"/>
        </w:rPr>
        <w:tab/>
      </w:r>
      <w:r w:rsidR="00D80F06" w:rsidRPr="002D6CAB">
        <w:rPr>
          <w:lang w:val="fr-FR"/>
        </w:rPr>
        <w:t>La Mauritanie, de par sa participation aux conférences internationales relatives aux droits de l</w:t>
      </w:r>
      <w:r w:rsidR="00A24C87">
        <w:rPr>
          <w:lang w:val="fr-FR"/>
        </w:rPr>
        <w:t>’</w:t>
      </w:r>
      <w:r w:rsidR="00462A09">
        <w:rPr>
          <w:lang w:val="fr-FR"/>
        </w:rPr>
        <w:t>h</w:t>
      </w:r>
      <w:r w:rsidR="00D80F06" w:rsidRPr="002D6CAB">
        <w:rPr>
          <w:lang w:val="fr-FR"/>
        </w:rPr>
        <w:t xml:space="preserve">omme a appuyé de façon efficiente les déclarations, recommandations et engagements formulés. </w:t>
      </w:r>
    </w:p>
    <w:p w:rsidR="00D80F06" w:rsidRPr="002D6CAB" w:rsidRDefault="00C87B7B" w:rsidP="00C87B7B">
      <w:pPr>
        <w:pStyle w:val="SingleTxtG"/>
        <w:rPr>
          <w:lang w:val="fr-FR"/>
        </w:rPr>
      </w:pPr>
      <w:r w:rsidRPr="002D6CAB">
        <w:rPr>
          <w:lang w:val="fr-FR"/>
        </w:rPr>
        <w:t>40.</w:t>
      </w:r>
      <w:r w:rsidRPr="002D6CAB">
        <w:rPr>
          <w:lang w:val="fr-FR"/>
        </w:rPr>
        <w:tab/>
      </w:r>
      <w:r w:rsidR="00D80F06" w:rsidRPr="002D6CAB">
        <w:rPr>
          <w:lang w:val="fr-FR"/>
        </w:rPr>
        <w:t>En application des déclarations et recommandations des conférences internationales, notamment celle de Vienne de 1993, la Mauritanie a retiré et remplacé sa réserve générale à la convention sur l</w:t>
      </w:r>
      <w:r w:rsidR="00A24C87">
        <w:rPr>
          <w:lang w:val="fr-FR"/>
        </w:rPr>
        <w:t>’</w:t>
      </w:r>
      <w:r w:rsidR="00D80F06" w:rsidRPr="002D6CAB">
        <w:rPr>
          <w:lang w:val="fr-FR"/>
        </w:rPr>
        <w:t>élimination de toutes les formes de discrimination à l</w:t>
      </w:r>
      <w:r w:rsidR="00A24C87">
        <w:rPr>
          <w:lang w:val="fr-FR"/>
        </w:rPr>
        <w:t>’</w:t>
      </w:r>
      <w:r w:rsidR="00D80F06" w:rsidRPr="002D6CAB">
        <w:rPr>
          <w:lang w:val="fr-FR"/>
        </w:rPr>
        <w:t>égard des femmes et envisage de faire de même sur celle de portée générale formulée sur la convention relative aux droits de l</w:t>
      </w:r>
      <w:r w:rsidR="00A24C87">
        <w:rPr>
          <w:lang w:val="fr-FR"/>
        </w:rPr>
        <w:t>’</w:t>
      </w:r>
      <w:r w:rsidR="00D80F06" w:rsidRPr="002D6CAB">
        <w:rPr>
          <w:lang w:val="fr-FR"/>
        </w:rPr>
        <w:t>enfant.</w:t>
      </w:r>
    </w:p>
    <w:p w:rsidR="00D80F06" w:rsidRPr="00096F95" w:rsidRDefault="00A53065" w:rsidP="00027EE8">
      <w:pPr>
        <w:pStyle w:val="H23G"/>
      </w:pPr>
      <w:bookmarkStart w:id="62" w:name="_Toc453672868"/>
      <w:bookmarkStart w:id="63" w:name="_Toc454388707"/>
      <w:bookmarkStart w:id="64" w:name="_Toc455364125"/>
      <w:bookmarkStart w:id="65" w:name="_Toc498901326"/>
      <w:r>
        <w:tab/>
      </w:r>
      <w:r w:rsidR="00D80F06" w:rsidRPr="00096F95">
        <w:t>e)</w:t>
      </w:r>
      <w:r w:rsidR="00096F95" w:rsidRPr="00096F95">
        <w:tab/>
      </w:r>
      <w:r w:rsidR="00D80F06" w:rsidRPr="00096F95">
        <w:t>Dérogations, restrictions ou limitations</w:t>
      </w:r>
      <w:bookmarkEnd w:id="62"/>
      <w:bookmarkEnd w:id="63"/>
      <w:bookmarkEnd w:id="64"/>
      <w:bookmarkEnd w:id="65"/>
    </w:p>
    <w:p w:rsidR="00D80F06" w:rsidRPr="002D6CAB" w:rsidRDefault="00C87B7B" w:rsidP="00C87B7B">
      <w:pPr>
        <w:pStyle w:val="SingleTxtG"/>
        <w:rPr>
          <w:lang w:val="fr-FR"/>
        </w:rPr>
      </w:pPr>
      <w:r w:rsidRPr="002D6CAB">
        <w:rPr>
          <w:lang w:val="fr-FR"/>
        </w:rPr>
        <w:t>41.</w:t>
      </w:r>
      <w:r w:rsidRPr="002D6CAB">
        <w:rPr>
          <w:lang w:val="fr-FR"/>
        </w:rPr>
        <w:tab/>
      </w:r>
      <w:r w:rsidR="00D80F06" w:rsidRPr="002D6CAB">
        <w:rPr>
          <w:lang w:val="fr-FR"/>
        </w:rPr>
        <w:t>En dehors des réserves portées sur les instruments internationaux ratifiés par le pays, il n</w:t>
      </w:r>
      <w:r w:rsidR="00A24C87">
        <w:rPr>
          <w:lang w:val="fr-FR"/>
        </w:rPr>
        <w:t>’</w:t>
      </w:r>
      <w:r w:rsidR="00D80F06" w:rsidRPr="002D6CAB">
        <w:rPr>
          <w:lang w:val="fr-FR"/>
        </w:rPr>
        <w:t>existe aucune dérogation, restriction ou limitation à l</w:t>
      </w:r>
      <w:r w:rsidR="00A24C87">
        <w:rPr>
          <w:lang w:val="fr-FR"/>
        </w:rPr>
        <w:t>’</w:t>
      </w:r>
      <w:r w:rsidR="00D80F06" w:rsidRPr="002D6CAB">
        <w:rPr>
          <w:lang w:val="fr-FR"/>
        </w:rPr>
        <w:t>application de ces derniers.</w:t>
      </w:r>
    </w:p>
    <w:p w:rsidR="00D80F06" w:rsidRPr="00E604BE" w:rsidRDefault="00DD27FD" w:rsidP="00027EE8">
      <w:pPr>
        <w:pStyle w:val="H23G"/>
        <w:rPr>
          <w:rStyle w:val="Appeldenotedefin"/>
          <w:sz w:val="20"/>
          <w:vertAlign w:val="baseline"/>
          <w:lang w:val="en-GB"/>
        </w:rPr>
      </w:pPr>
      <w:bookmarkStart w:id="66" w:name="_Toc498901327"/>
      <w:r>
        <w:tab/>
      </w:r>
      <w:r>
        <w:tab/>
      </w:r>
      <w:r w:rsidR="00D80F06" w:rsidRPr="00E604BE">
        <w:rPr>
          <w:rStyle w:val="Appeldenotedefin"/>
          <w:b w:val="0"/>
          <w:sz w:val="20"/>
          <w:vertAlign w:val="baseline"/>
          <w:lang w:val="en-GB"/>
        </w:rPr>
        <w:t>Tableau n</w:t>
      </w:r>
      <w:r w:rsidRPr="00E604BE">
        <w:rPr>
          <w:b w:val="0"/>
          <w:vertAlign w:val="superscript"/>
          <w:lang w:val="en-GB"/>
        </w:rPr>
        <w:t>o</w:t>
      </w:r>
      <w:r w:rsidRPr="00E604BE">
        <w:rPr>
          <w:b w:val="0"/>
          <w:lang w:val="en-GB"/>
        </w:rPr>
        <w:t> </w:t>
      </w:r>
      <w:r w:rsidR="00D80F06" w:rsidRPr="00E604BE">
        <w:rPr>
          <w:rStyle w:val="Appeldenotedefin"/>
          <w:b w:val="0"/>
          <w:sz w:val="20"/>
          <w:vertAlign w:val="baseline"/>
          <w:lang w:val="en-GB"/>
        </w:rPr>
        <w:t>4</w:t>
      </w:r>
      <w:r w:rsidRPr="00E604BE">
        <w:rPr>
          <w:lang w:val="en-GB"/>
        </w:rPr>
        <w:br/>
      </w:r>
      <w:proofErr w:type="spellStart"/>
      <w:r w:rsidR="00CD63D5" w:rsidRPr="00E604BE">
        <w:rPr>
          <w:rStyle w:val="Appeldenotedefin"/>
          <w:sz w:val="20"/>
          <w:vertAlign w:val="baseline"/>
          <w:lang w:val="en-GB"/>
        </w:rPr>
        <w:t>Principales</w:t>
      </w:r>
      <w:proofErr w:type="spellEnd"/>
      <w:r w:rsidR="00CD63D5" w:rsidRPr="00E604BE">
        <w:rPr>
          <w:rStyle w:val="Appeldenotedefin"/>
          <w:sz w:val="20"/>
          <w:vertAlign w:val="baseline"/>
          <w:lang w:val="en-GB"/>
        </w:rPr>
        <w:t xml:space="preserve"> </w:t>
      </w:r>
      <w:r w:rsidR="00D80F06" w:rsidRPr="00E604BE">
        <w:rPr>
          <w:rStyle w:val="Appeldenotedefin"/>
          <w:sz w:val="20"/>
          <w:vertAlign w:val="baseline"/>
          <w:lang w:val="en-GB"/>
        </w:rPr>
        <w:t xml:space="preserve">conventions de </w:t>
      </w:r>
      <w:proofErr w:type="spellStart"/>
      <w:r w:rsidR="00D80F06" w:rsidRPr="00E604BE">
        <w:rPr>
          <w:rStyle w:val="Appeldenotedefin"/>
          <w:sz w:val="20"/>
          <w:vertAlign w:val="baseline"/>
          <w:lang w:val="en-GB"/>
        </w:rPr>
        <w:t>l</w:t>
      </w:r>
      <w:r w:rsidR="00A24C87" w:rsidRPr="00E604BE">
        <w:rPr>
          <w:rStyle w:val="Appeldenotedefin"/>
          <w:sz w:val="20"/>
          <w:vertAlign w:val="baseline"/>
          <w:lang w:val="en-GB"/>
        </w:rPr>
        <w:t>’</w:t>
      </w:r>
      <w:r w:rsidR="00D80F06" w:rsidRPr="00E604BE">
        <w:rPr>
          <w:rStyle w:val="Appeldenotedefin"/>
          <w:sz w:val="20"/>
          <w:vertAlign w:val="baseline"/>
          <w:lang w:val="en-GB"/>
        </w:rPr>
        <w:t>OIT</w:t>
      </w:r>
      <w:proofErr w:type="spellEnd"/>
      <w:r w:rsidR="00D80F06" w:rsidRPr="00E604BE">
        <w:rPr>
          <w:rStyle w:val="Appeldenotedefin"/>
          <w:sz w:val="20"/>
          <w:vertAlign w:val="baseline"/>
          <w:lang w:val="en-GB"/>
        </w:rPr>
        <w:t xml:space="preserve"> </w:t>
      </w:r>
      <w:proofErr w:type="spellStart"/>
      <w:r w:rsidR="00D80F06" w:rsidRPr="00E604BE">
        <w:rPr>
          <w:rStyle w:val="Appeldenotedefin"/>
          <w:sz w:val="20"/>
          <w:vertAlign w:val="baseline"/>
          <w:lang w:val="en-GB"/>
        </w:rPr>
        <w:t>ratifiées</w:t>
      </w:r>
      <w:proofErr w:type="spellEnd"/>
      <w:r w:rsidR="00D80F06" w:rsidRPr="00E604BE">
        <w:rPr>
          <w:rStyle w:val="Appeldenotedefin"/>
          <w:sz w:val="20"/>
          <w:vertAlign w:val="baseline"/>
          <w:lang w:val="en-GB"/>
        </w:rPr>
        <w:t xml:space="preserve"> </w:t>
      </w:r>
      <w:proofErr w:type="spellStart"/>
      <w:r w:rsidR="00D80F06" w:rsidRPr="00E604BE">
        <w:rPr>
          <w:rStyle w:val="Appeldenotedefin"/>
          <w:sz w:val="20"/>
          <w:vertAlign w:val="baseline"/>
          <w:lang w:val="en-GB"/>
        </w:rPr>
        <w:t>par</w:t>
      </w:r>
      <w:proofErr w:type="spellEnd"/>
      <w:r w:rsidR="00D80F06" w:rsidRPr="00E604BE">
        <w:rPr>
          <w:rStyle w:val="Appeldenotedefin"/>
          <w:sz w:val="20"/>
          <w:vertAlign w:val="baseline"/>
          <w:lang w:val="en-GB"/>
        </w:rPr>
        <w:t xml:space="preserve"> la </w:t>
      </w:r>
      <w:proofErr w:type="spellStart"/>
      <w:r w:rsidR="00D80F06" w:rsidRPr="00E604BE">
        <w:rPr>
          <w:rStyle w:val="Appeldenotedefin"/>
          <w:sz w:val="20"/>
          <w:vertAlign w:val="baseline"/>
          <w:lang w:val="en-GB"/>
        </w:rPr>
        <w:t>Mauritanie</w:t>
      </w:r>
      <w:bookmarkEnd w:id="66"/>
      <w:proofErr w:type="spellEnd"/>
    </w:p>
    <w:tbl>
      <w:tblPr>
        <w:tblW w:w="0" w:type="auto"/>
        <w:tblInd w:w="1134" w:type="dxa"/>
        <w:tblLayout w:type="fixed"/>
        <w:tblCellMar>
          <w:left w:w="0" w:type="dxa"/>
          <w:right w:w="0" w:type="dxa"/>
        </w:tblCellMar>
        <w:tblLook w:val="04A0" w:firstRow="1" w:lastRow="0" w:firstColumn="1" w:lastColumn="0" w:noHBand="0" w:noVBand="1"/>
      </w:tblPr>
      <w:tblGrid>
        <w:gridCol w:w="397"/>
        <w:gridCol w:w="3119"/>
        <w:gridCol w:w="1134"/>
        <w:gridCol w:w="1701"/>
        <w:gridCol w:w="2155"/>
      </w:tblGrid>
      <w:tr w:rsidR="00D80F06" w:rsidRPr="00CB7993" w:rsidTr="00027EE8">
        <w:trPr>
          <w:tblHeader/>
        </w:trPr>
        <w:tc>
          <w:tcPr>
            <w:tcW w:w="397" w:type="dxa"/>
            <w:tcBorders>
              <w:top w:val="single" w:sz="4" w:space="0" w:color="auto"/>
              <w:bottom w:val="single" w:sz="12" w:space="0" w:color="auto"/>
            </w:tcBorders>
            <w:shd w:val="clear" w:color="auto" w:fill="auto"/>
            <w:vAlign w:val="bottom"/>
            <w:hideMark/>
          </w:tcPr>
          <w:p w:rsidR="00D80F06" w:rsidRPr="00B7582D" w:rsidRDefault="00D80F06">
            <w:pPr>
              <w:spacing w:before="80" w:after="80" w:line="200" w:lineRule="exact"/>
              <w:ind w:right="113"/>
              <w:rPr>
                <w:i/>
                <w:sz w:val="16"/>
                <w:szCs w:val="16"/>
              </w:rPr>
            </w:pPr>
            <w:r w:rsidRPr="00B7582D">
              <w:rPr>
                <w:i/>
                <w:sz w:val="16"/>
                <w:szCs w:val="16"/>
              </w:rPr>
              <w:t>N°</w:t>
            </w:r>
          </w:p>
        </w:tc>
        <w:tc>
          <w:tcPr>
            <w:tcW w:w="3119" w:type="dxa"/>
            <w:tcBorders>
              <w:top w:val="single" w:sz="4" w:space="0" w:color="auto"/>
              <w:bottom w:val="single" w:sz="12" w:space="0" w:color="auto"/>
            </w:tcBorders>
            <w:shd w:val="clear" w:color="auto" w:fill="auto"/>
            <w:vAlign w:val="bottom"/>
            <w:hideMark/>
          </w:tcPr>
          <w:p w:rsidR="00D80F06" w:rsidRPr="00027EE8" w:rsidRDefault="00D80F06">
            <w:pPr>
              <w:spacing w:before="80" w:after="80" w:line="200" w:lineRule="exact"/>
              <w:ind w:right="113"/>
              <w:rPr>
                <w:i/>
                <w:sz w:val="16"/>
                <w:szCs w:val="16"/>
              </w:rPr>
            </w:pPr>
            <w:r w:rsidRPr="00027EE8">
              <w:rPr>
                <w:i/>
                <w:sz w:val="16"/>
                <w:szCs w:val="16"/>
              </w:rPr>
              <w:t>Instruments</w:t>
            </w:r>
          </w:p>
        </w:tc>
        <w:tc>
          <w:tcPr>
            <w:tcW w:w="1134" w:type="dxa"/>
            <w:tcBorders>
              <w:top w:val="single" w:sz="4" w:space="0" w:color="auto"/>
              <w:bottom w:val="single" w:sz="12" w:space="0" w:color="auto"/>
            </w:tcBorders>
            <w:shd w:val="clear" w:color="auto" w:fill="auto"/>
            <w:vAlign w:val="bottom"/>
            <w:hideMark/>
          </w:tcPr>
          <w:p w:rsidR="00D80F06" w:rsidRPr="00027EE8" w:rsidRDefault="00D80F06">
            <w:pPr>
              <w:spacing w:before="80" w:after="80" w:line="200" w:lineRule="exact"/>
              <w:ind w:right="113"/>
              <w:rPr>
                <w:i/>
                <w:sz w:val="16"/>
                <w:szCs w:val="16"/>
              </w:rPr>
            </w:pPr>
            <w:r w:rsidRPr="00027EE8">
              <w:rPr>
                <w:i/>
                <w:sz w:val="16"/>
                <w:szCs w:val="16"/>
              </w:rPr>
              <w:t>Date Adoption</w:t>
            </w:r>
          </w:p>
        </w:tc>
        <w:tc>
          <w:tcPr>
            <w:tcW w:w="1701" w:type="dxa"/>
            <w:tcBorders>
              <w:top w:val="single" w:sz="4" w:space="0" w:color="auto"/>
              <w:bottom w:val="single" w:sz="12" w:space="0" w:color="auto"/>
            </w:tcBorders>
            <w:shd w:val="clear" w:color="auto" w:fill="auto"/>
            <w:vAlign w:val="bottom"/>
            <w:hideMark/>
          </w:tcPr>
          <w:p w:rsidR="00D80F06" w:rsidRPr="00027EE8" w:rsidRDefault="00D80F06">
            <w:pPr>
              <w:spacing w:before="80" w:after="80" w:line="200" w:lineRule="exact"/>
              <w:ind w:right="113"/>
              <w:rPr>
                <w:i/>
                <w:sz w:val="16"/>
                <w:szCs w:val="16"/>
              </w:rPr>
            </w:pPr>
            <w:r w:rsidRPr="00027EE8">
              <w:rPr>
                <w:i/>
                <w:sz w:val="16"/>
                <w:szCs w:val="16"/>
              </w:rPr>
              <w:t>Date de Ratification</w:t>
            </w:r>
          </w:p>
        </w:tc>
        <w:tc>
          <w:tcPr>
            <w:tcW w:w="2155" w:type="dxa"/>
            <w:tcBorders>
              <w:top w:val="single" w:sz="4" w:space="0" w:color="auto"/>
              <w:bottom w:val="single" w:sz="12" w:space="0" w:color="auto"/>
            </w:tcBorders>
            <w:shd w:val="clear" w:color="auto" w:fill="auto"/>
            <w:vAlign w:val="bottom"/>
            <w:hideMark/>
          </w:tcPr>
          <w:p w:rsidR="00D80F06" w:rsidRPr="00027EE8" w:rsidRDefault="00D80F06">
            <w:pPr>
              <w:spacing w:before="80" w:after="80" w:line="200" w:lineRule="exact"/>
              <w:ind w:right="113"/>
              <w:rPr>
                <w:i/>
                <w:sz w:val="16"/>
                <w:szCs w:val="16"/>
              </w:rPr>
            </w:pPr>
            <w:r w:rsidRPr="00027EE8">
              <w:rPr>
                <w:i/>
                <w:sz w:val="16"/>
                <w:szCs w:val="16"/>
              </w:rPr>
              <w:t>Réserves ou Observations</w:t>
            </w:r>
          </w:p>
        </w:tc>
      </w:tr>
      <w:tr w:rsidR="00D80F06" w:rsidRPr="00CB7993" w:rsidTr="00027EE8">
        <w:trPr>
          <w:trHeight w:hRule="exact" w:val="113"/>
          <w:tblHeader/>
        </w:trPr>
        <w:tc>
          <w:tcPr>
            <w:tcW w:w="397" w:type="dxa"/>
            <w:tcBorders>
              <w:top w:val="single" w:sz="12" w:space="0" w:color="auto"/>
            </w:tcBorders>
            <w:shd w:val="clear" w:color="auto" w:fill="auto"/>
          </w:tcPr>
          <w:p w:rsidR="00D80F06" w:rsidRPr="00027EE8" w:rsidRDefault="00D80F06" w:rsidP="00027EE8">
            <w:pPr>
              <w:spacing w:before="80" w:after="80" w:line="200" w:lineRule="exact"/>
              <w:ind w:right="113"/>
              <w:rPr>
                <w:sz w:val="18"/>
                <w:szCs w:val="18"/>
              </w:rPr>
            </w:pPr>
          </w:p>
        </w:tc>
        <w:tc>
          <w:tcPr>
            <w:tcW w:w="3119" w:type="dxa"/>
            <w:tcBorders>
              <w:top w:val="single" w:sz="12" w:space="0" w:color="auto"/>
            </w:tcBorders>
            <w:shd w:val="clear" w:color="auto" w:fill="auto"/>
          </w:tcPr>
          <w:p w:rsidR="00D80F06" w:rsidRPr="00027EE8" w:rsidRDefault="00D80F06" w:rsidP="00027EE8">
            <w:pPr>
              <w:spacing w:before="80" w:after="80" w:line="200" w:lineRule="exact"/>
              <w:ind w:right="113"/>
              <w:rPr>
                <w:sz w:val="18"/>
                <w:szCs w:val="18"/>
              </w:rPr>
            </w:pPr>
          </w:p>
        </w:tc>
        <w:tc>
          <w:tcPr>
            <w:tcW w:w="1134" w:type="dxa"/>
            <w:tcBorders>
              <w:top w:val="single" w:sz="12" w:space="0" w:color="auto"/>
            </w:tcBorders>
            <w:shd w:val="clear" w:color="auto" w:fill="auto"/>
          </w:tcPr>
          <w:p w:rsidR="00D80F06" w:rsidRPr="00027EE8" w:rsidRDefault="00D80F06" w:rsidP="00027EE8">
            <w:pPr>
              <w:spacing w:before="80" w:after="80" w:line="200" w:lineRule="exact"/>
              <w:ind w:right="113"/>
              <w:rPr>
                <w:sz w:val="18"/>
                <w:szCs w:val="18"/>
              </w:rPr>
            </w:pPr>
          </w:p>
        </w:tc>
        <w:tc>
          <w:tcPr>
            <w:tcW w:w="1701" w:type="dxa"/>
            <w:tcBorders>
              <w:top w:val="single" w:sz="12" w:space="0" w:color="auto"/>
            </w:tcBorders>
            <w:shd w:val="clear" w:color="auto" w:fill="auto"/>
          </w:tcPr>
          <w:p w:rsidR="00D80F06" w:rsidRPr="00027EE8" w:rsidRDefault="00D80F06" w:rsidP="00027EE8">
            <w:pPr>
              <w:spacing w:before="80" w:after="80" w:line="200" w:lineRule="exact"/>
              <w:ind w:right="113"/>
              <w:rPr>
                <w:sz w:val="18"/>
                <w:szCs w:val="18"/>
              </w:rPr>
            </w:pPr>
          </w:p>
        </w:tc>
        <w:tc>
          <w:tcPr>
            <w:tcW w:w="2155" w:type="dxa"/>
            <w:tcBorders>
              <w:top w:val="single" w:sz="12" w:space="0" w:color="auto"/>
            </w:tcBorders>
            <w:shd w:val="clear" w:color="auto" w:fill="auto"/>
          </w:tcPr>
          <w:p w:rsidR="00D80F06" w:rsidRPr="00027EE8" w:rsidRDefault="00D80F06" w:rsidP="00027EE8">
            <w:pPr>
              <w:spacing w:before="80" w:after="80" w:line="200" w:lineRule="exac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E73B7B" w:rsidRPr="00BD5B0E">
              <w:rPr>
                <w:sz w:val="18"/>
                <w:szCs w:val="18"/>
              </w:rPr>
              <w:t>n</w:t>
            </w:r>
            <w:r w:rsidR="00E73B7B" w:rsidRPr="00BD5B0E">
              <w:rPr>
                <w:sz w:val="18"/>
                <w:szCs w:val="18"/>
                <w:vertAlign w:val="superscript"/>
              </w:rPr>
              <w:t>o</w:t>
            </w:r>
            <w:r w:rsidR="00E73B7B">
              <w:rPr>
                <w:sz w:val="18"/>
                <w:szCs w:val="18"/>
              </w:rPr>
              <w:t> </w:t>
            </w:r>
            <w:r w:rsidRPr="00027EE8">
              <w:rPr>
                <w:sz w:val="18"/>
                <w:szCs w:val="18"/>
              </w:rPr>
              <w:t>111 de l</w:t>
            </w:r>
            <w:r w:rsidR="00A24C87" w:rsidRPr="00027EE8">
              <w:rPr>
                <w:sz w:val="18"/>
                <w:szCs w:val="18"/>
              </w:rPr>
              <w:t>’</w:t>
            </w:r>
            <w:r w:rsidRPr="00027EE8">
              <w:rPr>
                <w:sz w:val="18"/>
                <w:szCs w:val="18"/>
              </w:rPr>
              <w:t>OIT concernant la discrimination en matière d</w:t>
            </w:r>
            <w:r w:rsidR="00A24C87" w:rsidRPr="00027EE8">
              <w:rPr>
                <w:sz w:val="18"/>
                <w:szCs w:val="18"/>
              </w:rPr>
              <w:t>’</w:t>
            </w:r>
            <w:r w:rsidRPr="00027EE8">
              <w:rPr>
                <w:sz w:val="18"/>
                <w:szCs w:val="18"/>
              </w:rPr>
              <w:t>emploi et de profession</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1958</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Convention de l</w:t>
            </w:r>
            <w:r w:rsidR="00A24C87" w:rsidRPr="00027EE8">
              <w:rPr>
                <w:sz w:val="18"/>
                <w:szCs w:val="18"/>
              </w:rPr>
              <w:t>’</w:t>
            </w:r>
            <w:r w:rsidRPr="00027EE8">
              <w:rPr>
                <w:sz w:val="18"/>
                <w:szCs w:val="18"/>
              </w:rPr>
              <w:t xml:space="preserve">OIT </w:t>
            </w:r>
            <w:r w:rsidR="00E73B7B" w:rsidRPr="00BD5B0E">
              <w:rPr>
                <w:sz w:val="18"/>
                <w:szCs w:val="18"/>
              </w:rPr>
              <w:t>n</w:t>
            </w:r>
            <w:r w:rsidR="00E73B7B" w:rsidRPr="00BD5B0E">
              <w:rPr>
                <w:sz w:val="18"/>
                <w:szCs w:val="18"/>
                <w:vertAlign w:val="superscript"/>
              </w:rPr>
              <w:t>o</w:t>
            </w:r>
            <w:r w:rsidR="00E73B7B">
              <w:rPr>
                <w:sz w:val="18"/>
                <w:szCs w:val="18"/>
              </w:rPr>
              <w:t> </w:t>
            </w:r>
            <w:r w:rsidRPr="00027EE8">
              <w:rPr>
                <w:sz w:val="18"/>
                <w:szCs w:val="18"/>
              </w:rPr>
              <w:t>19 sur l</w:t>
            </w:r>
            <w:r w:rsidR="00A24C87" w:rsidRPr="00027EE8">
              <w:rPr>
                <w:sz w:val="18"/>
                <w:szCs w:val="18"/>
              </w:rPr>
              <w:t>’</w:t>
            </w:r>
            <w:r w:rsidRPr="00027EE8">
              <w:rPr>
                <w:sz w:val="18"/>
                <w:szCs w:val="18"/>
              </w:rPr>
              <w:t>égalité de traitement (accident du travail)</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1925</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3</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E73B7B" w:rsidRPr="00BD5B0E">
              <w:rPr>
                <w:sz w:val="18"/>
                <w:szCs w:val="18"/>
              </w:rPr>
              <w:t>n</w:t>
            </w:r>
            <w:r w:rsidR="00E73B7B" w:rsidRPr="00BD5B0E">
              <w:rPr>
                <w:sz w:val="18"/>
                <w:szCs w:val="18"/>
                <w:vertAlign w:val="superscript"/>
              </w:rPr>
              <w:t>o</w:t>
            </w:r>
            <w:r w:rsidR="00E73B7B">
              <w:rPr>
                <w:sz w:val="18"/>
                <w:szCs w:val="18"/>
              </w:rPr>
              <w:t> </w:t>
            </w:r>
            <w:r w:rsidRPr="00027EE8">
              <w:rPr>
                <w:sz w:val="18"/>
                <w:szCs w:val="18"/>
              </w:rPr>
              <w:t>100 sur l</w:t>
            </w:r>
            <w:r w:rsidR="00A24C87" w:rsidRPr="00027EE8">
              <w:rPr>
                <w:sz w:val="18"/>
                <w:szCs w:val="18"/>
              </w:rPr>
              <w:t>’</w:t>
            </w:r>
            <w:r w:rsidRPr="00027EE8">
              <w:rPr>
                <w:sz w:val="18"/>
                <w:szCs w:val="18"/>
              </w:rPr>
              <w:t>égalité de rémunérations minima (agriculture)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1951</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03/12/2001</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4</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E73B7B" w:rsidRPr="00BD5B0E">
              <w:rPr>
                <w:sz w:val="18"/>
                <w:szCs w:val="18"/>
              </w:rPr>
              <w:t>n</w:t>
            </w:r>
            <w:r w:rsidR="00E73B7B" w:rsidRPr="00BD5B0E">
              <w:rPr>
                <w:sz w:val="18"/>
                <w:szCs w:val="18"/>
                <w:vertAlign w:val="superscript"/>
              </w:rPr>
              <w:t>o</w:t>
            </w:r>
            <w:r w:rsidR="00E73B7B">
              <w:rPr>
                <w:sz w:val="18"/>
                <w:szCs w:val="18"/>
              </w:rPr>
              <w:t> </w:t>
            </w:r>
            <w:r w:rsidRPr="00027EE8">
              <w:rPr>
                <w:sz w:val="18"/>
                <w:szCs w:val="18"/>
              </w:rPr>
              <w:t>118 sur l</w:t>
            </w:r>
            <w:r w:rsidR="00A24C87" w:rsidRPr="00027EE8">
              <w:rPr>
                <w:sz w:val="18"/>
                <w:szCs w:val="18"/>
              </w:rPr>
              <w:t>’</w:t>
            </w:r>
            <w:r w:rsidRPr="00027EE8">
              <w:rPr>
                <w:sz w:val="18"/>
                <w:szCs w:val="18"/>
              </w:rPr>
              <w:t>égalité de traitement (sécurité sociale)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1962</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15/07/1968</w:t>
            </w:r>
          </w:p>
        </w:tc>
        <w:tc>
          <w:tcPr>
            <w:tcW w:w="2155"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A accepté les branches d) à</w:t>
            </w:r>
            <w:r w:rsidR="00254F9E">
              <w:rPr>
                <w:sz w:val="18"/>
                <w:szCs w:val="18"/>
              </w:rPr>
              <w:t> </w:t>
            </w:r>
            <w:r w:rsidRPr="00027EE8">
              <w:rPr>
                <w:sz w:val="18"/>
                <w:szCs w:val="18"/>
              </w:rPr>
              <w:t>g) et i)</w:t>
            </w: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5</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Convention de l</w:t>
            </w:r>
            <w:r w:rsidR="00A24C87" w:rsidRPr="00027EE8">
              <w:rPr>
                <w:sz w:val="18"/>
                <w:szCs w:val="18"/>
              </w:rPr>
              <w:t>’</w:t>
            </w:r>
            <w:r w:rsidRPr="00027EE8">
              <w:rPr>
                <w:sz w:val="18"/>
                <w:szCs w:val="18"/>
              </w:rPr>
              <w:t xml:space="preserve">OIT </w:t>
            </w:r>
            <w:r w:rsidR="00E73B7B" w:rsidRPr="00BD5B0E">
              <w:rPr>
                <w:sz w:val="18"/>
                <w:szCs w:val="18"/>
              </w:rPr>
              <w:t>n</w:t>
            </w:r>
            <w:r w:rsidR="00E73B7B" w:rsidRPr="00BD5B0E">
              <w:rPr>
                <w:sz w:val="18"/>
                <w:szCs w:val="18"/>
                <w:vertAlign w:val="superscript"/>
              </w:rPr>
              <w:t>o</w:t>
            </w:r>
            <w:r w:rsidR="00E73B7B">
              <w:rPr>
                <w:sz w:val="18"/>
                <w:szCs w:val="18"/>
              </w:rPr>
              <w:t> </w:t>
            </w:r>
            <w:r w:rsidRPr="00027EE8">
              <w:rPr>
                <w:sz w:val="18"/>
                <w:szCs w:val="18"/>
              </w:rPr>
              <w:t>105 concernant l</w:t>
            </w:r>
            <w:r w:rsidR="00A24C87" w:rsidRPr="00027EE8">
              <w:rPr>
                <w:sz w:val="18"/>
                <w:szCs w:val="18"/>
              </w:rPr>
              <w:t>’</w:t>
            </w:r>
            <w:r w:rsidRPr="00027EE8">
              <w:rPr>
                <w:sz w:val="18"/>
                <w:szCs w:val="18"/>
              </w:rPr>
              <w:t>abolition du travail forcé</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1957</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03/04/1997</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6</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Convention de l</w:t>
            </w:r>
            <w:r w:rsidR="00A24C87" w:rsidRPr="00027EE8">
              <w:rPr>
                <w:sz w:val="18"/>
                <w:szCs w:val="18"/>
              </w:rPr>
              <w:t>’</w:t>
            </w:r>
            <w:r w:rsidRPr="00027EE8">
              <w:rPr>
                <w:sz w:val="18"/>
                <w:szCs w:val="18"/>
              </w:rPr>
              <w:t xml:space="preserve">OIT </w:t>
            </w:r>
            <w:r w:rsidR="00E73B7B" w:rsidRPr="00BD5B0E">
              <w:rPr>
                <w:sz w:val="18"/>
                <w:szCs w:val="18"/>
              </w:rPr>
              <w:t>n</w:t>
            </w:r>
            <w:r w:rsidR="00E73B7B" w:rsidRPr="00BD5B0E">
              <w:rPr>
                <w:sz w:val="18"/>
                <w:szCs w:val="18"/>
                <w:vertAlign w:val="superscript"/>
              </w:rPr>
              <w:t>o</w:t>
            </w:r>
            <w:r w:rsidR="00E73B7B">
              <w:rPr>
                <w:sz w:val="18"/>
                <w:szCs w:val="18"/>
              </w:rPr>
              <w:t> </w:t>
            </w:r>
            <w:r w:rsidRPr="00027EE8">
              <w:rPr>
                <w:sz w:val="18"/>
                <w:szCs w:val="18"/>
              </w:rPr>
              <w:t>29 relative au travail forcé</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1930</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20/06/1961</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7</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Convention de l</w:t>
            </w:r>
            <w:r w:rsidR="00A24C87" w:rsidRPr="00027EE8">
              <w:rPr>
                <w:sz w:val="18"/>
                <w:szCs w:val="18"/>
              </w:rPr>
              <w:t>’</w:t>
            </w:r>
            <w:r w:rsidRPr="00027EE8">
              <w:rPr>
                <w:sz w:val="18"/>
                <w:szCs w:val="18"/>
              </w:rPr>
              <w:t xml:space="preserve">OIT </w:t>
            </w:r>
            <w:r w:rsidR="00E73B7B" w:rsidRPr="00BD5B0E">
              <w:rPr>
                <w:sz w:val="18"/>
                <w:szCs w:val="18"/>
              </w:rPr>
              <w:t>n</w:t>
            </w:r>
            <w:r w:rsidR="00E73B7B" w:rsidRPr="00BD5B0E">
              <w:rPr>
                <w:sz w:val="18"/>
                <w:szCs w:val="18"/>
                <w:vertAlign w:val="superscript"/>
              </w:rPr>
              <w:t>o</w:t>
            </w:r>
            <w:r w:rsidR="00E73B7B">
              <w:rPr>
                <w:sz w:val="18"/>
                <w:szCs w:val="18"/>
              </w:rPr>
              <w:t> </w:t>
            </w:r>
            <w:r w:rsidRPr="00027EE8">
              <w:rPr>
                <w:sz w:val="18"/>
                <w:szCs w:val="18"/>
              </w:rPr>
              <w:t>3 sur la protection de la maternité</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1919</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8</w:t>
            </w:r>
          </w:p>
        </w:tc>
        <w:tc>
          <w:tcPr>
            <w:tcW w:w="3119" w:type="dxa"/>
            <w:shd w:val="clear" w:color="auto" w:fill="auto"/>
          </w:tcPr>
          <w:p w:rsidR="00D80F06" w:rsidRPr="00027EE8" w:rsidRDefault="00D80F06" w:rsidP="00313112">
            <w:pPr>
              <w:spacing w:before="40" w:after="60" w:line="220" w:lineRule="atLeast"/>
              <w:ind w:right="113"/>
              <w:rPr>
                <w:sz w:val="18"/>
                <w:szCs w:val="18"/>
              </w:rPr>
            </w:pPr>
            <w:r w:rsidRPr="00027EE8">
              <w:rPr>
                <w:sz w:val="18"/>
                <w:szCs w:val="18"/>
              </w:rPr>
              <w:t>Convention de l</w:t>
            </w:r>
            <w:r w:rsidR="00A24C87" w:rsidRPr="00027EE8">
              <w:rPr>
                <w:sz w:val="18"/>
                <w:szCs w:val="18"/>
              </w:rPr>
              <w:t>’</w:t>
            </w:r>
            <w:r w:rsidRPr="00027EE8">
              <w:rPr>
                <w:sz w:val="18"/>
                <w:szCs w:val="18"/>
              </w:rPr>
              <w:t xml:space="preserve">OIT </w:t>
            </w:r>
            <w:r w:rsidR="00E73B7B" w:rsidRPr="00BD5B0E">
              <w:rPr>
                <w:sz w:val="18"/>
                <w:szCs w:val="18"/>
              </w:rPr>
              <w:t>n</w:t>
            </w:r>
            <w:r w:rsidR="00E73B7B" w:rsidRPr="00BD5B0E">
              <w:rPr>
                <w:sz w:val="18"/>
                <w:szCs w:val="18"/>
                <w:vertAlign w:val="superscript"/>
              </w:rPr>
              <w:t>o</w:t>
            </w:r>
            <w:r w:rsidR="00E73B7B">
              <w:rPr>
                <w:sz w:val="18"/>
                <w:szCs w:val="18"/>
              </w:rPr>
              <w:t> </w:t>
            </w:r>
            <w:r w:rsidRPr="00027EE8">
              <w:rPr>
                <w:sz w:val="18"/>
                <w:szCs w:val="18"/>
              </w:rPr>
              <w:t>4 sur le travail de</w:t>
            </w:r>
            <w:r w:rsidR="00313112">
              <w:rPr>
                <w:sz w:val="18"/>
                <w:szCs w:val="18"/>
              </w:rPr>
              <w:t> </w:t>
            </w:r>
            <w:r w:rsidRPr="00027EE8">
              <w:rPr>
                <w:sz w:val="18"/>
                <w:szCs w:val="18"/>
              </w:rPr>
              <w:t>nuit (femme)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1919</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20/06/1961</w:t>
            </w:r>
          </w:p>
        </w:tc>
        <w:tc>
          <w:tcPr>
            <w:tcW w:w="2155"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Dénoncée par la RIM le 02//08/1965</w:t>
            </w: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9</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Convention de l</w:t>
            </w:r>
            <w:r w:rsidR="00A24C87" w:rsidRPr="00027EE8">
              <w:rPr>
                <w:sz w:val="18"/>
                <w:szCs w:val="18"/>
              </w:rPr>
              <w:t>’</w:t>
            </w:r>
            <w:r w:rsidRPr="00027EE8">
              <w:rPr>
                <w:sz w:val="18"/>
                <w:szCs w:val="18"/>
              </w:rPr>
              <w:t xml:space="preserve">OIT </w:t>
            </w:r>
            <w:r w:rsidR="000B7F8D" w:rsidRPr="00BD5B0E">
              <w:rPr>
                <w:sz w:val="18"/>
                <w:szCs w:val="18"/>
              </w:rPr>
              <w:t>n</w:t>
            </w:r>
            <w:r w:rsidR="000B7F8D" w:rsidRPr="00BD5B0E">
              <w:rPr>
                <w:sz w:val="18"/>
                <w:szCs w:val="18"/>
                <w:vertAlign w:val="superscript"/>
              </w:rPr>
              <w:t>o</w:t>
            </w:r>
            <w:r w:rsidR="000B7F8D">
              <w:rPr>
                <w:sz w:val="18"/>
                <w:szCs w:val="18"/>
              </w:rPr>
              <w:t> </w:t>
            </w:r>
            <w:r w:rsidR="00313112">
              <w:rPr>
                <w:sz w:val="18"/>
                <w:szCs w:val="18"/>
              </w:rPr>
              <w:t xml:space="preserve">41 du travail </w:t>
            </w:r>
            <w:r w:rsidR="00313112">
              <w:rPr>
                <w:sz w:val="18"/>
                <w:szCs w:val="18"/>
              </w:rPr>
              <w:lastRenderedPageBreak/>
              <w:t>de </w:t>
            </w:r>
            <w:r w:rsidRPr="00027EE8">
              <w:rPr>
                <w:sz w:val="18"/>
                <w:szCs w:val="18"/>
              </w:rPr>
              <w:t>nuit (femme)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lastRenderedPageBreak/>
              <w:t>1934</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20/06/1961</w:t>
            </w:r>
          </w:p>
        </w:tc>
        <w:tc>
          <w:tcPr>
            <w:tcW w:w="2155"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Dénoncée du fait de la </w:t>
            </w:r>
            <w:r w:rsidRPr="00027EE8">
              <w:rPr>
                <w:sz w:val="18"/>
                <w:szCs w:val="18"/>
              </w:rPr>
              <w:lastRenderedPageBreak/>
              <w:t xml:space="preserve">ratification de la </w:t>
            </w:r>
            <w:r w:rsidR="00313112" w:rsidRPr="00027EE8">
              <w:rPr>
                <w:sz w:val="18"/>
                <w:szCs w:val="18"/>
              </w:rPr>
              <w:t xml:space="preserve">Convention </w:t>
            </w:r>
            <w:r w:rsidR="00CD63D5" w:rsidRPr="00BD5B0E">
              <w:rPr>
                <w:sz w:val="18"/>
                <w:szCs w:val="18"/>
              </w:rPr>
              <w:t>n</w:t>
            </w:r>
            <w:r w:rsidR="00CD63D5" w:rsidRPr="00BD5B0E">
              <w:rPr>
                <w:sz w:val="18"/>
                <w:szCs w:val="18"/>
                <w:vertAlign w:val="superscript"/>
              </w:rPr>
              <w:t>o</w:t>
            </w:r>
            <w:r w:rsidR="00CD63D5">
              <w:rPr>
                <w:sz w:val="18"/>
                <w:szCs w:val="18"/>
              </w:rPr>
              <w:t> </w:t>
            </w:r>
            <w:r w:rsidRPr="00027EE8">
              <w:rPr>
                <w:sz w:val="18"/>
                <w:szCs w:val="18"/>
              </w:rPr>
              <w:t>89</w:t>
            </w: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lastRenderedPageBreak/>
              <w:t>10</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Convention de l</w:t>
            </w:r>
            <w:r w:rsidR="00A24C87" w:rsidRPr="00027EE8">
              <w:rPr>
                <w:sz w:val="18"/>
                <w:szCs w:val="18"/>
              </w:rPr>
              <w:t>’</w:t>
            </w:r>
            <w:r w:rsidRPr="00027EE8">
              <w:rPr>
                <w:sz w:val="18"/>
                <w:szCs w:val="18"/>
              </w:rPr>
              <w:t xml:space="preserve">OIT </w:t>
            </w:r>
            <w:r w:rsidR="000B7F8D" w:rsidRPr="00BD5B0E">
              <w:rPr>
                <w:sz w:val="18"/>
                <w:szCs w:val="18"/>
              </w:rPr>
              <w:t>n</w:t>
            </w:r>
            <w:r w:rsidR="000B7F8D" w:rsidRPr="00BD5B0E">
              <w:rPr>
                <w:sz w:val="18"/>
                <w:szCs w:val="18"/>
                <w:vertAlign w:val="superscript"/>
              </w:rPr>
              <w:t>o</w:t>
            </w:r>
            <w:r w:rsidR="000B7F8D">
              <w:rPr>
                <w:sz w:val="18"/>
                <w:szCs w:val="18"/>
              </w:rPr>
              <w:t> </w:t>
            </w:r>
            <w:r w:rsidRPr="00027EE8">
              <w:rPr>
                <w:sz w:val="18"/>
                <w:szCs w:val="18"/>
              </w:rPr>
              <w:t>89 sur le travail de nuit (femme)</w:t>
            </w:r>
          </w:p>
        </w:tc>
        <w:tc>
          <w:tcPr>
            <w:tcW w:w="1134"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1948</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11</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0B7F8D" w:rsidRPr="00BD5B0E">
              <w:rPr>
                <w:sz w:val="18"/>
                <w:szCs w:val="18"/>
              </w:rPr>
              <w:t>n</w:t>
            </w:r>
            <w:r w:rsidR="000B7F8D" w:rsidRPr="00BD5B0E">
              <w:rPr>
                <w:sz w:val="18"/>
                <w:szCs w:val="18"/>
                <w:vertAlign w:val="superscript"/>
              </w:rPr>
              <w:t>o</w:t>
            </w:r>
            <w:r w:rsidR="000B7F8D">
              <w:rPr>
                <w:sz w:val="18"/>
                <w:szCs w:val="18"/>
              </w:rPr>
              <w:t> </w:t>
            </w:r>
            <w:r w:rsidRPr="00027EE8">
              <w:rPr>
                <w:sz w:val="18"/>
                <w:szCs w:val="18"/>
              </w:rPr>
              <w:t>182 sur les pires formes de travail des enfants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1999</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03/12/2001</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12</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0B7F8D" w:rsidRPr="00BD5B0E">
              <w:rPr>
                <w:sz w:val="18"/>
                <w:szCs w:val="18"/>
              </w:rPr>
              <w:t>n</w:t>
            </w:r>
            <w:r w:rsidR="000B7F8D" w:rsidRPr="00BD5B0E">
              <w:rPr>
                <w:sz w:val="18"/>
                <w:szCs w:val="18"/>
                <w:vertAlign w:val="superscript"/>
              </w:rPr>
              <w:t>o</w:t>
            </w:r>
            <w:r w:rsidR="000B7F8D">
              <w:rPr>
                <w:sz w:val="18"/>
                <w:szCs w:val="18"/>
              </w:rPr>
              <w:t> </w:t>
            </w:r>
            <w:r w:rsidRPr="00027EE8">
              <w:rPr>
                <w:sz w:val="18"/>
                <w:szCs w:val="18"/>
              </w:rPr>
              <w:t>5 sur l</w:t>
            </w:r>
            <w:r w:rsidR="00A24C87" w:rsidRPr="00027EE8">
              <w:rPr>
                <w:sz w:val="18"/>
                <w:szCs w:val="18"/>
              </w:rPr>
              <w:t>’</w:t>
            </w:r>
            <w:r w:rsidRPr="00027EE8">
              <w:rPr>
                <w:sz w:val="18"/>
                <w:szCs w:val="18"/>
              </w:rPr>
              <w:t>âge minimum (industrie)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1919</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20/06/1961</w:t>
            </w:r>
          </w:p>
        </w:tc>
        <w:tc>
          <w:tcPr>
            <w:tcW w:w="2155"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Dénoncée du fait de la ratification de la </w:t>
            </w:r>
            <w:r w:rsidR="00313112" w:rsidRPr="00027EE8">
              <w:rPr>
                <w:sz w:val="18"/>
                <w:szCs w:val="18"/>
              </w:rPr>
              <w:t xml:space="preserve">Convention </w:t>
            </w:r>
            <w:r w:rsidR="00CD63D5" w:rsidRPr="00BD5B0E">
              <w:rPr>
                <w:sz w:val="18"/>
                <w:szCs w:val="18"/>
              </w:rPr>
              <w:t>n</w:t>
            </w:r>
            <w:r w:rsidR="00CD63D5" w:rsidRPr="00BD5B0E">
              <w:rPr>
                <w:sz w:val="18"/>
                <w:szCs w:val="18"/>
                <w:vertAlign w:val="superscript"/>
              </w:rPr>
              <w:t>o</w:t>
            </w:r>
            <w:r w:rsidR="00CD63D5">
              <w:rPr>
                <w:sz w:val="18"/>
                <w:szCs w:val="18"/>
              </w:rPr>
              <w:t> </w:t>
            </w:r>
            <w:r w:rsidRPr="00027EE8">
              <w:rPr>
                <w:sz w:val="18"/>
                <w:szCs w:val="18"/>
              </w:rPr>
              <w:t>138</w:t>
            </w: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13</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0B7F8D" w:rsidRPr="00BD5B0E">
              <w:rPr>
                <w:sz w:val="18"/>
                <w:szCs w:val="18"/>
              </w:rPr>
              <w:t>n</w:t>
            </w:r>
            <w:r w:rsidR="000B7F8D" w:rsidRPr="00BD5B0E">
              <w:rPr>
                <w:sz w:val="18"/>
                <w:szCs w:val="18"/>
                <w:vertAlign w:val="superscript"/>
              </w:rPr>
              <w:t>o</w:t>
            </w:r>
            <w:r w:rsidR="000B7F8D">
              <w:rPr>
                <w:sz w:val="18"/>
                <w:szCs w:val="18"/>
              </w:rPr>
              <w:t> </w:t>
            </w:r>
            <w:r w:rsidRPr="00027EE8">
              <w:rPr>
                <w:sz w:val="18"/>
                <w:szCs w:val="18"/>
              </w:rPr>
              <w:t>6 sur le travail de nuits des enfants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1919</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20/06/1961</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14</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0B7F8D" w:rsidRPr="00BD5B0E">
              <w:rPr>
                <w:sz w:val="18"/>
                <w:szCs w:val="18"/>
              </w:rPr>
              <w:t>n</w:t>
            </w:r>
            <w:r w:rsidR="000B7F8D" w:rsidRPr="00BD5B0E">
              <w:rPr>
                <w:sz w:val="18"/>
                <w:szCs w:val="18"/>
                <w:vertAlign w:val="superscript"/>
              </w:rPr>
              <w:t>o</w:t>
            </w:r>
            <w:r w:rsidR="000B7F8D">
              <w:rPr>
                <w:sz w:val="18"/>
                <w:szCs w:val="18"/>
              </w:rPr>
              <w:t> </w:t>
            </w:r>
            <w:r w:rsidRPr="00027EE8">
              <w:rPr>
                <w:sz w:val="18"/>
                <w:szCs w:val="18"/>
              </w:rPr>
              <w:t>15 sur l</w:t>
            </w:r>
            <w:r w:rsidR="00A24C87" w:rsidRPr="00027EE8">
              <w:rPr>
                <w:sz w:val="18"/>
                <w:szCs w:val="18"/>
              </w:rPr>
              <w:t>’</w:t>
            </w:r>
            <w:r w:rsidRPr="00027EE8">
              <w:rPr>
                <w:sz w:val="18"/>
                <w:szCs w:val="18"/>
              </w:rPr>
              <w:t>âge minimum (routiers et chauffeurs)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1921</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15</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0B7F8D" w:rsidRPr="00BD5B0E">
              <w:rPr>
                <w:sz w:val="18"/>
                <w:szCs w:val="18"/>
              </w:rPr>
              <w:t>n</w:t>
            </w:r>
            <w:r w:rsidR="000B7F8D" w:rsidRPr="00BD5B0E">
              <w:rPr>
                <w:sz w:val="18"/>
                <w:szCs w:val="18"/>
                <w:vertAlign w:val="superscript"/>
              </w:rPr>
              <w:t>o</w:t>
            </w:r>
            <w:r w:rsidR="000B7F8D">
              <w:rPr>
                <w:sz w:val="18"/>
                <w:szCs w:val="18"/>
              </w:rPr>
              <w:t> </w:t>
            </w:r>
            <w:r w:rsidRPr="00027EE8">
              <w:rPr>
                <w:sz w:val="18"/>
                <w:szCs w:val="18"/>
              </w:rPr>
              <w:t>33 sur l</w:t>
            </w:r>
            <w:r w:rsidR="00A24C87" w:rsidRPr="00027EE8">
              <w:rPr>
                <w:sz w:val="18"/>
                <w:szCs w:val="18"/>
              </w:rPr>
              <w:t>’</w:t>
            </w:r>
            <w:r w:rsidRPr="00027EE8">
              <w:rPr>
                <w:sz w:val="18"/>
                <w:szCs w:val="18"/>
              </w:rPr>
              <w:t>âge minimum (travail non industrie)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1932</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20/06/1961</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16</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0B7F8D" w:rsidRPr="00BD5B0E">
              <w:rPr>
                <w:sz w:val="18"/>
                <w:szCs w:val="18"/>
              </w:rPr>
              <w:t>n</w:t>
            </w:r>
            <w:r w:rsidR="000B7F8D" w:rsidRPr="00BD5B0E">
              <w:rPr>
                <w:sz w:val="18"/>
                <w:szCs w:val="18"/>
                <w:vertAlign w:val="superscript"/>
              </w:rPr>
              <w:t>o</w:t>
            </w:r>
            <w:r w:rsidR="000B7F8D">
              <w:rPr>
                <w:sz w:val="18"/>
                <w:szCs w:val="18"/>
              </w:rPr>
              <w:t> </w:t>
            </w:r>
            <w:r w:rsidRPr="00027EE8">
              <w:rPr>
                <w:sz w:val="18"/>
                <w:szCs w:val="18"/>
              </w:rPr>
              <w:t>58 sur l</w:t>
            </w:r>
            <w:r w:rsidR="00A24C87" w:rsidRPr="00027EE8">
              <w:rPr>
                <w:sz w:val="18"/>
                <w:szCs w:val="18"/>
              </w:rPr>
              <w:t>’</w:t>
            </w:r>
            <w:r w:rsidRPr="00027EE8">
              <w:rPr>
                <w:sz w:val="18"/>
                <w:szCs w:val="18"/>
              </w:rPr>
              <w:t>âge minimum (monture</w:t>
            </w:r>
            <w:r w:rsidR="00DD27FD" w:rsidRPr="00027EE8">
              <w:rPr>
                <w:sz w:val="18"/>
                <w:szCs w:val="18"/>
              </w:rPr>
              <w:t>)</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1936</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17</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90 sur le travail de nuit des enfants (industrie)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1948</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18</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112 sur l</w:t>
            </w:r>
            <w:r w:rsidR="00A24C87" w:rsidRPr="00027EE8">
              <w:rPr>
                <w:sz w:val="18"/>
                <w:szCs w:val="18"/>
              </w:rPr>
              <w:t>’</w:t>
            </w:r>
            <w:r w:rsidRPr="00027EE8">
              <w:rPr>
                <w:sz w:val="18"/>
                <w:szCs w:val="18"/>
              </w:rPr>
              <w:t>âge minimum (pêcheur)</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1957</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138 sur l</w:t>
            </w:r>
            <w:r w:rsidR="00A24C87" w:rsidRPr="00027EE8">
              <w:rPr>
                <w:sz w:val="18"/>
                <w:szCs w:val="18"/>
              </w:rPr>
              <w:t>’</w:t>
            </w:r>
            <w:r w:rsidRPr="00027EE8">
              <w:rPr>
                <w:sz w:val="18"/>
                <w:szCs w:val="18"/>
              </w:rPr>
              <w:t>âge minimum</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1973</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03/12/2001</w:t>
            </w:r>
          </w:p>
        </w:tc>
        <w:tc>
          <w:tcPr>
            <w:tcW w:w="2155" w:type="dxa"/>
            <w:shd w:val="clear" w:color="auto" w:fill="auto"/>
          </w:tcPr>
          <w:p w:rsidR="00D80F06" w:rsidRPr="00027EE8" w:rsidRDefault="007E730E" w:rsidP="00027EE8">
            <w:pPr>
              <w:spacing w:before="40" w:after="60" w:line="220" w:lineRule="atLeast"/>
              <w:ind w:right="113"/>
              <w:rPr>
                <w:sz w:val="18"/>
                <w:szCs w:val="18"/>
              </w:rPr>
            </w:pPr>
            <w:r w:rsidRPr="00027EE8">
              <w:rPr>
                <w:sz w:val="18"/>
                <w:szCs w:val="18"/>
              </w:rPr>
              <w:t>Age minimum spécifié 14 </w:t>
            </w:r>
            <w:r w:rsidR="00D80F06" w:rsidRPr="00027EE8">
              <w:rPr>
                <w:sz w:val="18"/>
                <w:szCs w:val="18"/>
              </w:rPr>
              <w:t>ans</w:t>
            </w: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52 relative aux congés payés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1936</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21</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91 sur les congés payés des marins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1949</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22</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98 sur le droit d</w:t>
            </w:r>
            <w:r w:rsidR="00A24C87" w:rsidRPr="00027EE8">
              <w:rPr>
                <w:sz w:val="18"/>
                <w:szCs w:val="18"/>
              </w:rPr>
              <w:t>’</w:t>
            </w:r>
            <w:r w:rsidRPr="00027EE8">
              <w:rPr>
                <w:sz w:val="18"/>
                <w:szCs w:val="18"/>
              </w:rPr>
              <w:t>organisation et de négociation collective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1949</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03/12/2001</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23</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101 sur les congés payés (agricultures)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1952</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24</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102 sur la sécurité sociale (normes minima)</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1952</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15/07/1968</w:t>
            </w:r>
          </w:p>
        </w:tc>
        <w:tc>
          <w:tcPr>
            <w:tcW w:w="2155"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A accepté les parties V à</w:t>
            </w:r>
            <w:r w:rsidR="00CD63D5">
              <w:rPr>
                <w:sz w:val="18"/>
                <w:szCs w:val="18"/>
              </w:rPr>
              <w:t> </w:t>
            </w:r>
            <w:r w:rsidRPr="00027EE8">
              <w:rPr>
                <w:sz w:val="18"/>
                <w:szCs w:val="18"/>
              </w:rPr>
              <w:t>VII, IX et X</w:t>
            </w: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25</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13 sur la céruse (peinture)</w:t>
            </w:r>
          </w:p>
        </w:tc>
        <w:tc>
          <w:tcPr>
            <w:tcW w:w="1134"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1921</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20/06/1961</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26</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14 sur le repos hebdomadaire (industrie)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1921</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20/06/1961</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27</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00313112">
              <w:rPr>
                <w:sz w:val="18"/>
                <w:szCs w:val="18"/>
              </w:rPr>
              <w:t>17 sur la réparation des </w:t>
            </w:r>
            <w:r w:rsidRPr="00027EE8">
              <w:rPr>
                <w:sz w:val="18"/>
                <w:szCs w:val="18"/>
              </w:rPr>
              <w:t>accidents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1925</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08/01/1963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28</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18 sur les maladies professionnelles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1925</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20/06/1961</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29</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22 sur les contrats d</w:t>
            </w:r>
            <w:r w:rsidR="00A24C87" w:rsidRPr="00027EE8">
              <w:rPr>
                <w:sz w:val="18"/>
                <w:szCs w:val="18"/>
              </w:rPr>
              <w:t>’</w:t>
            </w:r>
            <w:r w:rsidRPr="00027EE8">
              <w:rPr>
                <w:sz w:val="18"/>
                <w:szCs w:val="18"/>
              </w:rPr>
              <w:t>engagement de marins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1926</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30</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00313112">
              <w:rPr>
                <w:sz w:val="18"/>
                <w:szCs w:val="18"/>
              </w:rPr>
              <w:t>23 sur le rapatriement des </w:t>
            </w:r>
            <w:r w:rsidRPr="00027EE8">
              <w:rPr>
                <w:sz w:val="18"/>
                <w:szCs w:val="18"/>
              </w:rPr>
              <w:t>marins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1926</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31</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00313112">
              <w:rPr>
                <w:sz w:val="18"/>
                <w:szCs w:val="18"/>
              </w:rPr>
              <w:t>26 sur les méthodes de </w:t>
            </w:r>
            <w:r w:rsidRPr="00027EE8">
              <w:rPr>
                <w:sz w:val="18"/>
                <w:szCs w:val="18"/>
              </w:rPr>
              <w:t>fixation des salaires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1928</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20/06/1961</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32</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00313112">
              <w:rPr>
                <w:sz w:val="18"/>
                <w:szCs w:val="18"/>
              </w:rPr>
              <w:t>53 sur les brevets de </w:t>
            </w:r>
            <w:r w:rsidRPr="00027EE8">
              <w:rPr>
                <w:sz w:val="18"/>
                <w:szCs w:val="18"/>
              </w:rPr>
              <w:t>capacité des officiers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1936</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33</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00313112">
              <w:rPr>
                <w:sz w:val="18"/>
                <w:szCs w:val="18"/>
              </w:rPr>
              <w:t>62 sur les prescriptions de </w:t>
            </w:r>
            <w:r w:rsidRPr="00027EE8">
              <w:rPr>
                <w:sz w:val="18"/>
                <w:szCs w:val="18"/>
              </w:rPr>
              <w:t>sécurité (Bâtiment)</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1937</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lastRenderedPageBreak/>
              <w:t>34</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81 sur l</w:t>
            </w:r>
            <w:r w:rsidR="00A24C87" w:rsidRPr="00027EE8">
              <w:rPr>
                <w:sz w:val="18"/>
                <w:szCs w:val="18"/>
              </w:rPr>
              <w:t>’</w:t>
            </w:r>
            <w:r w:rsidR="00313112">
              <w:rPr>
                <w:sz w:val="18"/>
                <w:szCs w:val="18"/>
              </w:rPr>
              <w:t>Inspection du </w:t>
            </w:r>
            <w:r w:rsidRPr="00027EE8">
              <w:rPr>
                <w:sz w:val="18"/>
                <w:szCs w:val="18"/>
              </w:rPr>
              <w:t>Travail</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1947</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35</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87 sur la liberté syndicale et la protection du droit syndical</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1948</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20/06/1961</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36</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94 sur les clauses de travail (contrats publics)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1949</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37</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95 sur la protection du salaire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1949</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20/06/1961</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38</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96 sur les bureaux des placements payants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1949</w:t>
            </w:r>
          </w:p>
        </w:tc>
        <w:tc>
          <w:tcPr>
            <w:tcW w:w="1701" w:type="dxa"/>
            <w:shd w:val="clear" w:color="auto" w:fill="auto"/>
          </w:tcPr>
          <w:p w:rsidR="00D80F06" w:rsidRPr="00027EE8" w:rsidRDefault="009F5954" w:rsidP="00027EE8">
            <w:pPr>
              <w:spacing w:before="40" w:after="60" w:line="220" w:lineRule="atLeast"/>
              <w:ind w:right="113"/>
              <w:rPr>
                <w:sz w:val="18"/>
                <w:szCs w:val="18"/>
              </w:rPr>
            </w:pPr>
            <w:r w:rsidRPr="00027EE8">
              <w:rPr>
                <w:sz w:val="18"/>
                <w:szCs w:val="18"/>
              </w:rPr>
              <w:t>31/03/1964</w:t>
            </w:r>
          </w:p>
        </w:tc>
        <w:tc>
          <w:tcPr>
            <w:tcW w:w="2155"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A accepté les dispositions de la partie</w:t>
            </w:r>
            <w:r w:rsidR="00CD63D5">
              <w:rPr>
                <w:sz w:val="18"/>
                <w:szCs w:val="18"/>
              </w:rPr>
              <w:t> </w:t>
            </w:r>
            <w:r w:rsidRPr="00027EE8">
              <w:rPr>
                <w:sz w:val="18"/>
                <w:szCs w:val="18"/>
              </w:rPr>
              <w:t>II</w:t>
            </w: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39</w:t>
            </w:r>
          </w:p>
        </w:tc>
        <w:tc>
          <w:tcPr>
            <w:tcW w:w="3119"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114 sur le contrat d</w:t>
            </w:r>
            <w:r w:rsidR="00A24C87" w:rsidRPr="00027EE8">
              <w:rPr>
                <w:sz w:val="18"/>
                <w:szCs w:val="18"/>
              </w:rPr>
              <w:t>’</w:t>
            </w:r>
            <w:r w:rsidRPr="00027EE8">
              <w:rPr>
                <w:sz w:val="18"/>
                <w:szCs w:val="18"/>
              </w:rPr>
              <w:t>engagement des pêcheurs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1959</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40</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 xml:space="preserve">Convention </w:t>
            </w:r>
            <w:r w:rsidR="00254F9E" w:rsidRPr="00BD5B0E">
              <w:rPr>
                <w:sz w:val="18"/>
                <w:szCs w:val="18"/>
              </w:rPr>
              <w:t>n</w:t>
            </w:r>
            <w:r w:rsidR="00254F9E" w:rsidRPr="00BD5B0E">
              <w:rPr>
                <w:sz w:val="18"/>
                <w:szCs w:val="18"/>
                <w:vertAlign w:val="superscript"/>
              </w:rPr>
              <w:t>o</w:t>
            </w:r>
            <w:r w:rsidR="00254F9E">
              <w:rPr>
                <w:sz w:val="18"/>
                <w:szCs w:val="18"/>
              </w:rPr>
              <w:t> </w:t>
            </w:r>
            <w:r w:rsidRPr="00027EE8">
              <w:rPr>
                <w:sz w:val="18"/>
                <w:szCs w:val="18"/>
              </w:rPr>
              <w:t>116 portant révision des articles finaux</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1961</w:t>
            </w:r>
          </w:p>
        </w:tc>
        <w:tc>
          <w:tcPr>
            <w:tcW w:w="1701" w:type="dxa"/>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08/11/1963</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CB7993" w:rsidTr="00027EE8">
        <w:tc>
          <w:tcPr>
            <w:tcW w:w="397" w:type="dxa"/>
            <w:tcBorders>
              <w:bottom w:val="single" w:sz="12" w:space="0" w:color="auto"/>
            </w:tcBorders>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41</w:t>
            </w:r>
          </w:p>
        </w:tc>
        <w:tc>
          <w:tcPr>
            <w:tcW w:w="3119" w:type="dxa"/>
            <w:tcBorders>
              <w:bottom w:val="single" w:sz="12" w:space="0" w:color="auto"/>
            </w:tcBorders>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Convention n</w:t>
            </w:r>
            <w:r w:rsidR="00254F9E" w:rsidRPr="00027EE8">
              <w:rPr>
                <w:sz w:val="18"/>
                <w:szCs w:val="18"/>
                <w:vertAlign w:val="superscript"/>
              </w:rPr>
              <w:t>o</w:t>
            </w:r>
            <w:r w:rsidR="00254F9E">
              <w:rPr>
                <w:sz w:val="18"/>
                <w:szCs w:val="18"/>
              </w:rPr>
              <w:t> </w:t>
            </w:r>
            <w:r w:rsidRPr="00027EE8">
              <w:rPr>
                <w:sz w:val="18"/>
                <w:szCs w:val="18"/>
              </w:rPr>
              <w:t>122 sur la politique de l</w:t>
            </w:r>
            <w:r w:rsidR="00A24C87" w:rsidRPr="00027EE8">
              <w:rPr>
                <w:sz w:val="18"/>
                <w:szCs w:val="18"/>
              </w:rPr>
              <w:t>’</w:t>
            </w:r>
            <w:r w:rsidRPr="00027EE8">
              <w:rPr>
                <w:sz w:val="18"/>
                <w:szCs w:val="18"/>
              </w:rPr>
              <w:t>emploi</w:t>
            </w:r>
          </w:p>
        </w:tc>
        <w:tc>
          <w:tcPr>
            <w:tcW w:w="1134" w:type="dxa"/>
            <w:tcBorders>
              <w:bottom w:val="single" w:sz="12" w:space="0" w:color="auto"/>
            </w:tcBorders>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1964</w:t>
            </w:r>
          </w:p>
        </w:tc>
        <w:tc>
          <w:tcPr>
            <w:tcW w:w="1701" w:type="dxa"/>
            <w:tcBorders>
              <w:bottom w:val="single" w:sz="12" w:space="0" w:color="auto"/>
            </w:tcBorders>
            <w:shd w:val="clear" w:color="auto" w:fill="auto"/>
          </w:tcPr>
          <w:p w:rsidR="00D80F06" w:rsidRPr="00027EE8" w:rsidRDefault="00D80F06" w:rsidP="00027EE8">
            <w:pPr>
              <w:spacing w:before="40" w:after="60" w:line="220" w:lineRule="atLeast"/>
              <w:ind w:right="113"/>
              <w:rPr>
                <w:sz w:val="18"/>
                <w:szCs w:val="18"/>
              </w:rPr>
            </w:pPr>
            <w:r w:rsidRPr="00027EE8">
              <w:rPr>
                <w:sz w:val="18"/>
                <w:szCs w:val="18"/>
              </w:rPr>
              <w:t>30/07/1971</w:t>
            </w:r>
          </w:p>
        </w:tc>
        <w:tc>
          <w:tcPr>
            <w:tcW w:w="2155" w:type="dxa"/>
            <w:tcBorders>
              <w:bottom w:val="single" w:sz="12" w:space="0" w:color="auto"/>
            </w:tcBorders>
            <w:shd w:val="clear" w:color="auto" w:fill="auto"/>
          </w:tcPr>
          <w:p w:rsidR="00D80F06" w:rsidRPr="00027EE8" w:rsidRDefault="00D80F06" w:rsidP="00027EE8">
            <w:pPr>
              <w:spacing w:before="40" w:after="60" w:line="220" w:lineRule="atLeast"/>
              <w:ind w:right="113"/>
              <w:rPr>
                <w:sz w:val="18"/>
                <w:szCs w:val="18"/>
              </w:rPr>
            </w:pPr>
          </w:p>
        </w:tc>
      </w:tr>
    </w:tbl>
    <w:p w:rsidR="00D80F06" w:rsidRPr="0028541A" w:rsidRDefault="00E17297" w:rsidP="00027EE8">
      <w:pPr>
        <w:pStyle w:val="H23G"/>
      </w:pPr>
      <w:bookmarkStart w:id="67" w:name="_Toc498901328"/>
      <w:r>
        <w:tab/>
      </w:r>
      <w:r>
        <w:tab/>
      </w:r>
      <w:r w:rsidR="00D80F06" w:rsidRPr="00027EE8">
        <w:rPr>
          <w:b w:val="0"/>
        </w:rPr>
        <w:t>Tableau n</w:t>
      </w:r>
      <w:r w:rsidRPr="00027EE8">
        <w:rPr>
          <w:b w:val="0"/>
          <w:vertAlign w:val="superscript"/>
        </w:rPr>
        <w:t>o</w:t>
      </w:r>
      <w:r w:rsidRPr="00E17297">
        <w:rPr>
          <w:b w:val="0"/>
        </w:rPr>
        <w:t> </w:t>
      </w:r>
      <w:r w:rsidR="00D80F06" w:rsidRPr="00027EE8">
        <w:rPr>
          <w:b w:val="0"/>
        </w:rPr>
        <w:t>5</w:t>
      </w:r>
      <w:r w:rsidR="009573B0" w:rsidRPr="00027EE8">
        <w:rPr>
          <w:b w:val="0"/>
        </w:rPr>
        <w:t> </w:t>
      </w:r>
      <w:r w:rsidRPr="00E17297">
        <w:rPr>
          <w:b w:val="0"/>
        </w:rPr>
        <w:br/>
      </w:r>
      <w:r>
        <w:t>R</w:t>
      </w:r>
      <w:r w:rsidR="00D80F06" w:rsidRPr="0028541A">
        <w:t>atification instruments relatifs au Droit International Humanitaire et aux Réfugiés</w:t>
      </w:r>
      <w:bookmarkEnd w:id="67"/>
    </w:p>
    <w:tbl>
      <w:tblPr>
        <w:tblW w:w="0" w:type="auto"/>
        <w:tblInd w:w="1134" w:type="dxa"/>
        <w:tblLayout w:type="fixed"/>
        <w:tblCellMar>
          <w:left w:w="0" w:type="dxa"/>
          <w:right w:w="0" w:type="dxa"/>
        </w:tblCellMar>
        <w:tblLook w:val="04A0" w:firstRow="1" w:lastRow="0" w:firstColumn="1" w:lastColumn="0" w:noHBand="0" w:noVBand="1"/>
      </w:tblPr>
      <w:tblGrid>
        <w:gridCol w:w="397"/>
        <w:gridCol w:w="3119"/>
        <w:gridCol w:w="1134"/>
        <w:gridCol w:w="1701"/>
        <w:gridCol w:w="2155"/>
      </w:tblGrid>
      <w:tr w:rsidR="00D80F06" w:rsidRPr="00E17297" w:rsidTr="00027EE8">
        <w:trPr>
          <w:tblHeader/>
        </w:trPr>
        <w:tc>
          <w:tcPr>
            <w:tcW w:w="397" w:type="dxa"/>
            <w:tcBorders>
              <w:top w:val="single" w:sz="4" w:space="0" w:color="auto"/>
              <w:bottom w:val="single" w:sz="12" w:space="0" w:color="auto"/>
            </w:tcBorders>
            <w:shd w:val="clear" w:color="auto" w:fill="auto"/>
            <w:vAlign w:val="bottom"/>
            <w:hideMark/>
          </w:tcPr>
          <w:p w:rsidR="00D80F06" w:rsidRPr="00B7582D" w:rsidRDefault="00D80F06">
            <w:pPr>
              <w:spacing w:before="80" w:after="80" w:line="200" w:lineRule="exact"/>
              <w:ind w:right="113"/>
              <w:rPr>
                <w:i/>
                <w:sz w:val="16"/>
                <w:szCs w:val="16"/>
              </w:rPr>
            </w:pPr>
            <w:r w:rsidRPr="00B7582D">
              <w:rPr>
                <w:i/>
                <w:sz w:val="16"/>
                <w:szCs w:val="16"/>
              </w:rPr>
              <w:t>N°</w:t>
            </w:r>
          </w:p>
        </w:tc>
        <w:tc>
          <w:tcPr>
            <w:tcW w:w="3119" w:type="dxa"/>
            <w:tcBorders>
              <w:top w:val="single" w:sz="4" w:space="0" w:color="auto"/>
              <w:bottom w:val="single" w:sz="12" w:space="0" w:color="auto"/>
            </w:tcBorders>
            <w:shd w:val="clear" w:color="auto" w:fill="auto"/>
            <w:vAlign w:val="bottom"/>
            <w:hideMark/>
          </w:tcPr>
          <w:p w:rsidR="00D80F06" w:rsidRPr="00027EE8" w:rsidRDefault="00D80F06">
            <w:pPr>
              <w:spacing w:before="80" w:after="80" w:line="200" w:lineRule="exact"/>
              <w:ind w:right="113"/>
              <w:rPr>
                <w:bCs/>
                <w:i/>
                <w:sz w:val="16"/>
                <w:szCs w:val="16"/>
              </w:rPr>
            </w:pPr>
            <w:r w:rsidRPr="00027EE8">
              <w:rPr>
                <w:bCs/>
                <w:i/>
                <w:sz w:val="16"/>
                <w:szCs w:val="16"/>
              </w:rPr>
              <w:t>Instruments</w:t>
            </w:r>
          </w:p>
        </w:tc>
        <w:tc>
          <w:tcPr>
            <w:tcW w:w="1134" w:type="dxa"/>
            <w:tcBorders>
              <w:top w:val="single" w:sz="4" w:space="0" w:color="auto"/>
              <w:bottom w:val="single" w:sz="12" w:space="0" w:color="auto"/>
            </w:tcBorders>
            <w:shd w:val="clear" w:color="auto" w:fill="auto"/>
            <w:vAlign w:val="bottom"/>
            <w:hideMark/>
          </w:tcPr>
          <w:p w:rsidR="00D80F06" w:rsidRPr="00027EE8" w:rsidRDefault="00D80F06">
            <w:pPr>
              <w:spacing w:before="80" w:after="80" w:line="200" w:lineRule="exact"/>
              <w:ind w:right="113"/>
              <w:rPr>
                <w:bCs/>
                <w:i/>
                <w:sz w:val="16"/>
                <w:szCs w:val="16"/>
              </w:rPr>
            </w:pPr>
            <w:r w:rsidRPr="00027EE8">
              <w:rPr>
                <w:bCs/>
                <w:i/>
                <w:sz w:val="16"/>
                <w:szCs w:val="16"/>
              </w:rPr>
              <w:t>Date Adoption</w:t>
            </w:r>
          </w:p>
        </w:tc>
        <w:tc>
          <w:tcPr>
            <w:tcW w:w="1701" w:type="dxa"/>
            <w:tcBorders>
              <w:top w:val="single" w:sz="4" w:space="0" w:color="auto"/>
              <w:bottom w:val="single" w:sz="12" w:space="0" w:color="auto"/>
            </w:tcBorders>
            <w:shd w:val="clear" w:color="auto" w:fill="auto"/>
            <w:vAlign w:val="bottom"/>
            <w:hideMark/>
          </w:tcPr>
          <w:p w:rsidR="00D80F06" w:rsidRPr="00027EE8" w:rsidRDefault="00D80F06">
            <w:pPr>
              <w:spacing w:before="80" w:after="80" w:line="200" w:lineRule="exact"/>
              <w:ind w:right="113"/>
              <w:rPr>
                <w:bCs/>
                <w:i/>
                <w:sz w:val="16"/>
                <w:szCs w:val="16"/>
              </w:rPr>
            </w:pPr>
            <w:r w:rsidRPr="00027EE8">
              <w:rPr>
                <w:bCs/>
                <w:i/>
                <w:sz w:val="16"/>
                <w:szCs w:val="16"/>
              </w:rPr>
              <w:t>Date de Ratification</w:t>
            </w:r>
          </w:p>
        </w:tc>
        <w:tc>
          <w:tcPr>
            <w:tcW w:w="2155" w:type="dxa"/>
            <w:tcBorders>
              <w:top w:val="single" w:sz="4" w:space="0" w:color="auto"/>
              <w:bottom w:val="single" w:sz="12" w:space="0" w:color="auto"/>
            </w:tcBorders>
            <w:shd w:val="clear" w:color="auto" w:fill="auto"/>
            <w:vAlign w:val="bottom"/>
            <w:hideMark/>
          </w:tcPr>
          <w:p w:rsidR="00D80F06" w:rsidRPr="00027EE8" w:rsidRDefault="00D80F06">
            <w:pPr>
              <w:spacing w:before="80" w:after="80" w:line="200" w:lineRule="exact"/>
              <w:ind w:right="113"/>
              <w:rPr>
                <w:bCs/>
                <w:i/>
                <w:sz w:val="16"/>
                <w:szCs w:val="16"/>
              </w:rPr>
            </w:pPr>
            <w:r w:rsidRPr="00027EE8">
              <w:rPr>
                <w:bCs/>
                <w:i/>
                <w:sz w:val="16"/>
                <w:szCs w:val="16"/>
              </w:rPr>
              <w:t>Réserves ou Observations</w:t>
            </w:r>
          </w:p>
        </w:tc>
      </w:tr>
      <w:tr w:rsidR="00D80F06" w:rsidRPr="00E17297" w:rsidTr="00027EE8">
        <w:trPr>
          <w:trHeight w:hRule="exact" w:val="113"/>
          <w:tblHeader/>
        </w:trPr>
        <w:tc>
          <w:tcPr>
            <w:tcW w:w="397" w:type="dxa"/>
            <w:tcBorders>
              <w:top w:val="single" w:sz="12" w:space="0" w:color="auto"/>
            </w:tcBorders>
            <w:shd w:val="clear" w:color="auto" w:fill="auto"/>
          </w:tcPr>
          <w:p w:rsidR="00D80F06" w:rsidRPr="00027EE8" w:rsidRDefault="00D80F06" w:rsidP="00027EE8">
            <w:pPr>
              <w:spacing w:before="80" w:after="80" w:line="200" w:lineRule="exact"/>
              <w:ind w:right="113"/>
              <w:rPr>
                <w:sz w:val="16"/>
                <w:szCs w:val="16"/>
              </w:rPr>
            </w:pPr>
          </w:p>
        </w:tc>
        <w:tc>
          <w:tcPr>
            <w:tcW w:w="3119" w:type="dxa"/>
            <w:tcBorders>
              <w:top w:val="single" w:sz="12" w:space="0" w:color="auto"/>
            </w:tcBorders>
            <w:shd w:val="clear" w:color="auto" w:fill="auto"/>
          </w:tcPr>
          <w:p w:rsidR="00D80F06" w:rsidRPr="00027EE8" w:rsidRDefault="00D80F06" w:rsidP="00027EE8">
            <w:pPr>
              <w:spacing w:before="80" w:after="80" w:line="200" w:lineRule="exact"/>
              <w:ind w:right="113"/>
              <w:rPr>
                <w:bCs/>
                <w:sz w:val="16"/>
                <w:szCs w:val="16"/>
              </w:rPr>
            </w:pPr>
          </w:p>
        </w:tc>
        <w:tc>
          <w:tcPr>
            <w:tcW w:w="1134" w:type="dxa"/>
            <w:tcBorders>
              <w:top w:val="single" w:sz="12" w:space="0" w:color="auto"/>
            </w:tcBorders>
            <w:shd w:val="clear" w:color="auto" w:fill="auto"/>
          </w:tcPr>
          <w:p w:rsidR="00D80F06" w:rsidRPr="00027EE8" w:rsidRDefault="00D80F06" w:rsidP="00027EE8">
            <w:pPr>
              <w:spacing w:before="80" w:after="80" w:line="200" w:lineRule="exact"/>
              <w:ind w:right="113"/>
              <w:rPr>
                <w:bCs/>
                <w:sz w:val="16"/>
                <w:szCs w:val="16"/>
              </w:rPr>
            </w:pPr>
          </w:p>
        </w:tc>
        <w:tc>
          <w:tcPr>
            <w:tcW w:w="1701" w:type="dxa"/>
            <w:tcBorders>
              <w:top w:val="single" w:sz="12" w:space="0" w:color="auto"/>
            </w:tcBorders>
            <w:shd w:val="clear" w:color="auto" w:fill="auto"/>
          </w:tcPr>
          <w:p w:rsidR="00D80F06" w:rsidRPr="00027EE8" w:rsidRDefault="00D80F06" w:rsidP="00027EE8">
            <w:pPr>
              <w:spacing w:before="80" w:after="80" w:line="200" w:lineRule="exact"/>
              <w:ind w:right="113"/>
              <w:rPr>
                <w:bCs/>
                <w:sz w:val="16"/>
                <w:szCs w:val="16"/>
              </w:rPr>
            </w:pPr>
          </w:p>
        </w:tc>
        <w:tc>
          <w:tcPr>
            <w:tcW w:w="2155" w:type="dxa"/>
            <w:tcBorders>
              <w:top w:val="single" w:sz="12" w:space="0" w:color="auto"/>
            </w:tcBorders>
            <w:shd w:val="clear" w:color="auto" w:fill="auto"/>
          </w:tcPr>
          <w:p w:rsidR="00D80F06" w:rsidRPr="00027EE8" w:rsidRDefault="00D80F06" w:rsidP="00027EE8">
            <w:pPr>
              <w:spacing w:before="80" w:after="80" w:line="200" w:lineRule="exact"/>
              <w:ind w:right="113"/>
              <w:rPr>
                <w:bCs/>
                <w:sz w:val="16"/>
                <w:szCs w:val="16"/>
              </w:rPr>
            </w:pPr>
          </w:p>
        </w:tc>
      </w:tr>
      <w:tr w:rsidR="00D80F06" w:rsidRPr="00E17297"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La Co</w:t>
            </w:r>
            <w:r w:rsidR="00313112">
              <w:rPr>
                <w:sz w:val="18"/>
                <w:szCs w:val="18"/>
              </w:rPr>
              <w:t>nvention relative au statut des r</w:t>
            </w:r>
            <w:r w:rsidRPr="00027EE8">
              <w:rPr>
                <w:sz w:val="18"/>
                <w:szCs w:val="18"/>
              </w:rPr>
              <w:t>éfugiés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1951</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1987</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E17297"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Convention de Genève pour l</w:t>
            </w:r>
            <w:r w:rsidR="00A24C87" w:rsidRPr="00027EE8">
              <w:rPr>
                <w:sz w:val="18"/>
                <w:szCs w:val="18"/>
              </w:rPr>
              <w:t>’</w:t>
            </w:r>
            <w:r w:rsidRPr="00027EE8">
              <w:rPr>
                <w:sz w:val="18"/>
                <w:szCs w:val="18"/>
              </w:rPr>
              <w:t xml:space="preserve">amélioration du sort des blessés </w:t>
            </w:r>
            <w:r w:rsidR="00313112">
              <w:rPr>
                <w:sz w:val="18"/>
                <w:szCs w:val="18"/>
              </w:rPr>
              <w:br/>
            </w:r>
            <w:r w:rsidRPr="00027EE8">
              <w:rPr>
                <w:sz w:val="18"/>
                <w:szCs w:val="18"/>
              </w:rPr>
              <w:t xml:space="preserve">et des malades dans les forces armées </w:t>
            </w:r>
            <w:r w:rsidR="00313112">
              <w:rPr>
                <w:sz w:val="18"/>
                <w:szCs w:val="18"/>
              </w:rPr>
              <w:br/>
            </w:r>
            <w:r w:rsidRPr="00027EE8">
              <w:rPr>
                <w:sz w:val="18"/>
                <w:szCs w:val="18"/>
              </w:rPr>
              <w:t>en campagne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1949</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1962</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E17297"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3</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Convention de Genève pour l</w:t>
            </w:r>
            <w:r w:rsidR="00A24C87" w:rsidRPr="00027EE8">
              <w:rPr>
                <w:sz w:val="18"/>
                <w:szCs w:val="18"/>
              </w:rPr>
              <w:t>’</w:t>
            </w:r>
            <w:r w:rsidRPr="00027EE8">
              <w:rPr>
                <w:sz w:val="18"/>
                <w:szCs w:val="18"/>
              </w:rPr>
              <w:t>amélioration du sort des blessés, malades et des naufragés des forces armées sur Mer</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1949</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1962</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E17297"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4</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Convention de Genève relative aux traitements des prisonniers de guerre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1949</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1962</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E17297"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5</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 xml:space="preserve">Convention de Genève relative à la protection des personnes civiles </w:t>
            </w:r>
            <w:r w:rsidR="00313112">
              <w:rPr>
                <w:sz w:val="18"/>
                <w:szCs w:val="18"/>
              </w:rPr>
              <w:br/>
            </w:r>
            <w:r w:rsidRPr="00027EE8">
              <w:rPr>
                <w:sz w:val="18"/>
                <w:szCs w:val="18"/>
              </w:rPr>
              <w:t>en temps de guerre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1949</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1962</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E17297"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6</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Protocole</w:t>
            </w:r>
            <w:r w:rsidR="00313112">
              <w:rPr>
                <w:sz w:val="18"/>
                <w:szCs w:val="18"/>
              </w:rPr>
              <w:t xml:space="preserve"> additionnel aux conventions de </w:t>
            </w:r>
            <w:r w:rsidRPr="00027EE8">
              <w:rPr>
                <w:sz w:val="18"/>
                <w:szCs w:val="18"/>
              </w:rPr>
              <w:t>Genève du 12 Août 1949 relatif à la Protection des victimes des conflits armés internationaux (Protocole 1)</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1977</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1980</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E17297"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7</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 xml:space="preserve">Protocole additionnel </w:t>
            </w:r>
            <w:r w:rsidR="00313112">
              <w:rPr>
                <w:sz w:val="18"/>
                <w:szCs w:val="18"/>
              </w:rPr>
              <w:t>aux conventions de </w:t>
            </w:r>
            <w:r w:rsidRPr="00027EE8">
              <w:rPr>
                <w:sz w:val="18"/>
                <w:szCs w:val="18"/>
              </w:rPr>
              <w:t xml:space="preserve">Genève du 12 Août 1949 relatif à la protection des victimes des conflits armés non internationaux </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1977</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1980</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E17297"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8</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Convention relative au statut des réfugiés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1951</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1987</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E17297"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9</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Convention de l</w:t>
            </w:r>
            <w:r w:rsidR="00A24C87" w:rsidRPr="00027EE8">
              <w:rPr>
                <w:sz w:val="18"/>
                <w:szCs w:val="18"/>
              </w:rPr>
              <w:t>’</w:t>
            </w:r>
            <w:r w:rsidRPr="00027EE8">
              <w:rPr>
                <w:sz w:val="18"/>
                <w:szCs w:val="18"/>
              </w:rPr>
              <w:t>OUA régissant les aspects propres aux problèmes des réfugiés en Afrique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1969</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1972</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E17297"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10</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Protocole relatif aux statuts des réfugiés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1967</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1987</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E17297" w:rsidTr="00027EE8">
        <w:tc>
          <w:tcPr>
            <w:tcW w:w="397" w:type="dxa"/>
            <w:tcBorders>
              <w:bottom w:val="single" w:sz="12" w:space="0" w:color="auto"/>
            </w:tcBorders>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11</w:t>
            </w:r>
          </w:p>
        </w:tc>
        <w:tc>
          <w:tcPr>
            <w:tcW w:w="3119" w:type="dxa"/>
            <w:tcBorders>
              <w:bottom w:val="single" w:sz="12" w:space="0" w:color="auto"/>
            </w:tcBorders>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Convention sur l</w:t>
            </w:r>
            <w:r w:rsidR="00A24C87" w:rsidRPr="00027EE8">
              <w:rPr>
                <w:sz w:val="18"/>
                <w:szCs w:val="18"/>
              </w:rPr>
              <w:t>’</w:t>
            </w:r>
            <w:r w:rsidRPr="00027EE8">
              <w:rPr>
                <w:sz w:val="18"/>
                <w:szCs w:val="18"/>
              </w:rPr>
              <w:t>interdiction de l</w:t>
            </w:r>
            <w:r w:rsidR="00A24C87" w:rsidRPr="00027EE8">
              <w:rPr>
                <w:sz w:val="18"/>
                <w:szCs w:val="18"/>
              </w:rPr>
              <w:t>’</w:t>
            </w:r>
            <w:r w:rsidRPr="00027EE8">
              <w:rPr>
                <w:sz w:val="18"/>
                <w:szCs w:val="18"/>
              </w:rPr>
              <w:t>emploi, du stockage, de la production et du transfert</w:t>
            </w:r>
            <w:r w:rsidR="00313112">
              <w:rPr>
                <w:sz w:val="18"/>
                <w:szCs w:val="18"/>
              </w:rPr>
              <w:t xml:space="preserve"> des mines anti personnelles </w:t>
            </w:r>
            <w:r w:rsidR="00313112">
              <w:rPr>
                <w:sz w:val="18"/>
                <w:szCs w:val="18"/>
              </w:rPr>
              <w:lastRenderedPageBreak/>
              <w:t>et </w:t>
            </w:r>
            <w:r w:rsidRPr="00027EE8">
              <w:rPr>
                <w:sz w:val="18"/>
                <w:szCs w:val="18"/>
              </w:rPr>
              <w:t>sur leur destruction</w:t>
            </w:r>
          </w:p>
        </w:tc>
        <w:tc>
          <w:tcPr>
            <w:tcW w:w="1134" w:type="dxa"/>
            <w:tcBorders>
              <w:bottom w:val="single" w:sz="12" w:space="0" w:color="auto"/>
            </w:tcBorders>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lastRenderedPageBreak/>
              <w:t>1997</w:t>
            </w:r>
          </w:p>
        </w:tc>
        <w:tc>
          <w:tcPr>
            <w:tcW w:w="1701" w:type="dxa"/>
            <w:tcBorders>
              <w:bottom w:val="single" w:sz="12" w:space="0" w:color="auto"/>
            </w:tcBorders>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2000</w:t>
            </w:r>
          </w:p>
        </w:tc>
        <w:tc>
          <w:tcPr>
            <w:tcW w:w="2155" w:type="dxa"/>
            <w:tcBorders>
              <w:bottom w:val="single" w:sz="12" w:space="0" w:color="auto"/>
            </w:tcBorders>
            <w:shd w:val="clear" w:color="auto" w:fill="auto"/>
          </w:tcPr>
          <w:p w:rsidR="00D80F06" w:rsidRPr="00027EE8" w:rsidRDefault="00D80F06" w:rsidP="00027EE8">
            <w:pPr>
              <w:spacing w:before="40" w:after="60" w:line="220" w:lineRule="atLeast"/>
              <w:ind w:right="113"/>
              <w:rPr>
                <w:sz w:val="18"/>
                <w:szCs w:val="18"/>
              </w:rPr>
            </w:pPr>
          </w:p>
        </w:tc>
      </w:tr>
    </w:tbl>
    <w:p w:rsidR="00D80F06" w:rsidRPr="0022553A" w:rsidRDefault="005E0FF3" w:rsidP="00027EE8">
      <w:pPr>
        <w:pStyle w:val="H23G"/>
      </w:pPr>
      <w:bookmarkStart w:id="68" w:name="_Toc498901329"/>
      <w:r>
        <w:tab/>
      </w:r>
      <w:r>
        <w:tab/>
      </w:r>
      <w:r w:rsidR="00D80F06" w:rsidRPr="00027EE8">
        <w:rPr>
          <w:b w:val="0"/>
        </w:rPr>
        <w:t>Tableau n</w:t>
      </w:r>
      <w:r w:rsidRPr="00027EE8">
        <w:rPr>
          <w:b w:val="0"/>
          <w:vertAlign w:val="superscript"/>
        </w:rPr>
        <w:t>o</w:t>
      </w:r>
      <w:r w:rsidRPr="005E0FF3">
        <w:rPr>
          <w:b w:val="0"/>
        </w:rPr>
        <w:t> </w:t>
      </w:r>
      <w:r w:rsidR="00D80F06" w:rsidRPr="00027EE8">
        <w:rPr>
          <w:b w:val="0"/>
        </w:rPr>
        <w:t>6</w:t>
      </w:r>
      <w:r>
        <w:br/>
        <w:t>R</w:t>
      </w:r>
      <w:r w:rsidR="00D80F06" w:rsidRPr="0022553A">
        <w:t>atification d</w:t>
      </w:r>
      <w:r w:rsidR="00A24C87">
        <w:t>’</w:t>
      </w:r>
      <w:r w:rsidR="00D80F06" w:rsidRPr="0022553A">
        <w:t>instruments régionaux relatifs aux droits de l</w:t>
      </w:r>
      <w:r w:rsidR="00A24C87">
        <w:t>’</w:t>
      </w:r>
      <w:r w:rsidR="00D80F06" w:rsidRPr="0022553A">
        <w:t>homme</w:t>
      </w:r>
      <w:bookmarkEnd w:id="68"/>
    </w:p>
    <w:tbl>
      <w:tblPr>
        <w:tblW w:w="0" w:type="auto"/>
        <w:tblInd w:w="1134" w:type="dxa"/>
        <w:tblLayout w:type="fixed"/>
        <w:tblCellMar>
          <w:left w:w="0" w:type="dxa"/>
          <w:right w:w="0" w:type="dxa"/>
        </w:tblCellMar>
        <w:tblLook w:val="04A0" w:firstRow="1" w:lastRow="0" w:firstColumn="1" w:lastColumn="0" w:noHBand="0" w:noVBand="1"/>
      </w:tblPr>
      <w:tblGrid>
        <w:gridCol w:w="397"/>
        <w:gridCol w:w="3119"/>
        <w:gridCol w:w="1134"/>
        <w:gridCol w:w="1701"/>
        <w:gridCol w:w="2155"/>
      </w:tblGrid>
      <w:tr w:rsidR="00D80F06" w:rsidRPr="00BF2CB2" w:rsidTr="00027EE8">
        <w:trPr>
          <w:tblHeader/>
        </w:trPr>
        <w:tc>
          <w:tcPr>
            <w:tcW w:w="397" w:type="dxa"/>
            <w:tcBorders>
              <w:top w:val="single" w:sz="4" w:space="0" w:color="auto"/>
              <w:bottom w:val="single" w:sz="12" w:space="0" w:color="auto"/>
            </w:tcBorders>
            <w:shd w:val="clear" w:color="auto" w:fill="auto"/>
            <w:vAlign w:val="bottom"/>
            <w:hideMark/>
          </w:tcPr>
          <w:p w:rsidR="00D80F06" w:rsidRPr="00BF2CB2" w:rsidRDefault="00D80F06" w:rsidP="000D7CDD">
            <w:pPr>
              <w:spacing w:before="80" w:after="80" w:line="200" w:lineRule="exact"/>
              <w:ind w:right="113"/>
              <w:rPr>
                <w:i/>
                <w:sz w:val="16"/>
              </w:rPr>
            </w:pPr>
            <w:r w:rsidRPr="00BF2CB2">
              <w:rPr>
                <w:i/>
                <w:sz w:val="16"/>
              </w:rPr>
              <w:t>N°</w:t>
            </w:r>
          </w:p>
        </w:tc>
        <w:tc>
          <w:tcPr>
            <w:tcW w:w="3119" w:type="dxa"/>
            <w:tcBorders>
              <w:top w:val="single" w:sz="4" w:space="0" w:color="auto"/>
              <w:bottom w:val="single" w:sz="12" w:space="0" w:color="auto"/>
            </w:tcBorders>
            <w:shd w:val="clear" w:color="auto" w:fill="auto"/>
            <w:vAlign w:val="bottom"/>
            <w:hideMark/>
          </w:tcPr>
          <w:p w:rsidR="00D80F06" w:rsidRPr="00BF2CB2" w:rsidRDefault="00D80F06" w:rsidP="000D7CDD">
            <w:pPr>
              <w:spacing w:before="80" w:after="80" w:line="200" w:lineRule="exact"/>
              <w:ind w:right="113"/>
              <w:rPr>
                <w:bCs/>
                <w:i/>
                <w:sz w:val="16"/>
              </w:rPr>
            </w:pPr>
            <w:r w:rsidRPr="00BF2CB2">
              <w:rPr>
                <w:bCs/>
                <w:i/>
                <w:sz w:val="16"/>
              </w:rPr>
              <w:t>Instruments</w:t>
            </w:r>
          </w:p>
        </w:tc>
        <w:tc>
          <w:tcPr>
            <w:tcW w:w="1134" w:type="dxa"/>
            <w:tcBorders>
              <w:top w:val="single" w:sz="4" w:space="0" w:color="auto"/>
              <w:bottom w:val="single" w:sz="12" w:space="0" w:color="auto"/>
            </w:tcBorders>
            <w:shd w:val="clear" w:color="auto" w:fill="auto"/>
            <w:vAlign w:val="bottom"/>
            <w:hideMark/>
          </w:tcPr>
          <w:p w:rsidR="00D80F06" w:rsidRPr="00BF2CB2" w:rsidRDefault="00D80F06" w:rsidP="000D7CDD">
            <w:pPr>
              <w:spacing w:before="80" w:after="80" w:line="200" w:lineRule="exact"/>
              <w:ind w:right="113"/>
              <w:rPr>
                <w:bCs/>
                <w:i/>
                <w:sz w:val="16"/>
              </w:rPr>
            </w:pPr>
            <w:r w:rsidRPr="00BF2CB2">
              <w:rPr>
                <w:bCs/>
                <w:i/>
                <w:sz w:val="16"/>
              </w:rPr>
              <w:t>Date Adoption</w:t>
            </w:r>
          </w:p>
        </w:tc>
        <w:tc>
          <w:tcPr>
            <w:tcW w:w="1701" w:type="dxa"/>
            <w:tcBorders>
              <w:top w:val="single" w:sz="4" w:space="0" w:color="auto"/>
              <w:bottom w:val="single" w:sz="12" w:space="0" w:color="auto"/>
            </w:tcBorders>
            <w:shd w:val="clear" w:color="auto" w:fill="auto"/>
            <w:vAlign w:val="bottom"/>
            <w:hideMark/>
          </w:tcPr>
          <w:p w:rsidR="00D80F06" w:rsidRPr="00BF2CB2" w:rsidRDefault="00D80F06" w:rsidP="000D7CDD">
            <w:pPr>
              <w:spacing w:before="80" w:after="80" w:line="200" w:lineRule="exact"/>
              <w:ind w:right="113"/>
              <w:rPr>
                <w:bCs/>
                <w:i/>
                <w:sz w:val="16"/>
              </w:rPr>
            </w:pPr>
            <w:r w:rsidRPr="00BF2CB2">
              <w:rPr>
                <w:bCs/>
                <w:i/>
                <w:sz w:val="16"/>
              </w:rPr>
              <w:t>Date de Ratification</w:t>
            </w:r>
          </w:p>
        </w:tc>
        <w:tc>
          <w:tcPr>
            <w:tcW w:w="2155" w:type="dxa"/>
            <w:tcBorders>
              <w:top w:val="single" w:sz="4" w:space="0" w:color="auto"/>
              <w:bottom w:val="single" w:sz="12" w:space="0" w:color="auto"/>
            </w:tcBorders>
            <w:shd w:val="clear" w:color="auto" w:fill="auto"/>
            <w:vAlign w:val="bottom"/>
            <w:hideMark/>
          </w:tcPr>
          <w:p w:rsidR="00D80F06" w:rsidRPr="00BF2CB2" w:rsidRDefault="00D80F06" w:rsidP="000D7CDD">
            <w:pPr>
              <w:spacing w:before="80" w:after="80" w:line="200" w:lineRule="exact"/>
              <w:ind w:right="113"/>
              <w:rPr>
                <w:bCs/>
                <w:i/>
                <w:sz w:val="16"/>
              </w:rPr>
            </w:pPr>
            <w:r w:rsidRPr="00BF2CB2">
              <w:rPr>
                <w:bCs/>
                <w:i/>
                <w:sz w:val="16"/>
              </w:rPr>
              <w:t>Réserves ou Observations</w:t>
            </w:r>
          </w:p>
        </w:tc>
      </w:tr>
      <w:tr w:rsidR="00D80F06" w:rsidRPr="00BF2CB2" w:rsidTr="00027EE8">
        <w:trPr>
          <w:trHeight w:hRule="exact" w:val="113"/>
          <w:tblHeader/>
        </w:trPr>
        <w:tc>
          <w:tcPr>
            <w:tcW w:w="397" w:type="dxa"/>
            <w:tcBorders>
              <w:top w:val="single" w:sz="12" w:space="0" w:color="auto"/>
            </w:tcBorders>
            <w:shd w:val="clear" w:color="auto" w:fill="auto"/>
          </w:tcPr>
          <w:p w:rsidR="00D80F06" w:rsidRPr="00BF2CB2" w:rsidRDefault="00D80F06" w:rsidP="000D7CDD">
            <w:pPr>
              <w:spacing w:before="40" w:after="120"/>
              <w:ind w:right="113"/>
            </w:pPr>
          </w:p>
        </w:tc>
        <w:tc>
          <w:tcPr>
            <w:tcW w:w="3119" w:type="dxa"/>
            <w:tcBorders>
              <w:top w:val="single" w:sz="12" w:space="0" w:color="auto"/>
            </w:tcBorders>
            <w:shd w:val="clear" w:color="auto" w:fill="auto"/>
          </w:tcPr>
          <w:p w:rsidR="00D80F06" w:rsidRPr="00BF2CB2" w:rsidRDefault="00D80F06" w:rsidP="000D7CDD">
            <w:pPr>
              <w:spacing w:before="40" w:after="120"/>
              <w:ind w:right="113"/>
              <w:rPr>
                <w:bCs/>
              </w:rPr>
            </w:pPr>
          </w:p>
        </w:tc>
        <w:tc>
          <w:tcPr>
            <w:tcW w:w="1134" w:type="dxa"/>
            <w:tcBorders>
              <w:top w:val="single" w:sz="12" w:space="0" w:color="auto"/>
            </w:tcBorders>
            <w:shd w:val="clear" w:color="auto" w:fill="auto"/>
          </w:tcPr>
          <w:p w:rsidR="00D80F06" w:rsidRPr="00BF2CB2" w:rsidRDefault="00D80F06" w:rsidP="000D7CDD">
            <w:pPr>
              <w:spacing w:before="40" w:after="120"/>
              <w:ind w:right="113"/>
              <w:rPr>
                <w:bCs/>
              </w:rPr>
            </w:pPr>
          </w:p>
        </w:tc>
        <w:tc>
          <w:tcPr>
            <w:tcW w:w="1701" w:type="dxa"/>
            <w:tcBorders>
              <w:top w:val="single" w:sz="12" w:space="0" w:color="auto"/>
            </w:tcBorders>
            <w:shd w:val="clear" w:color="auto" w:fill="auto"/>
          </w:tcPr>
          <w:p w:rsidR="00D80F06" w:rsidRPr="00BF2CB2" w:rsidRDefault="00D80F06" w:rsidP="000D7CDD">
            <w:pPr>
              <w:spacing w:before="40" w:after="120"/>
              <w:ind w:right="113"/>
              <w:rPr>
                <w:bCs/>
              </w:rPr>
            </w:pPr>
          </w:p>
        </w:tc>
        <w:tc>
          <w:tcPr>
            <w:tcW w:w="2155" w:type="dxa"/>
            <w:tcBorders>
              <w:top w:val="single" w:sz="12" w:space="0" w:color="auto"/>
            </w:tcBorders>
            <w:shd w:val="clear" w:color="auto" w:fill="auto"/>
          </w:tcPr>
          <w:p w:rsidR="00D80F06" w:rsidRPr="00BF2CB2" w:rsidRDefault="00D80F06" w:rsidP="000D7CDD">
            <w:pPr>
              <w:spacing w:before="40" w:after="120"/>
              <w:ind w:right="113"/>
              <w:rPr>
                <w:bCs/>
              </w:rPr>
            </w:pPr>
          </w:p>
        </w:tc>
      </w:tr>
      <w:tr w:rsidR="00D80F06" w:rsidRPr="005E0FF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Charte Africaine des Droits de l</w:t>
            </w:r>
            <w:r w:rsidR="00A24C87" w:rsidRPr="00027EE8">
              <w:rPr>
                <w:sz w:val="18"/>
                <w:szCs w:val="18"/>
              </w:rPr>
              <w:t>’</w:t>
            </w:r>
            <w:r w:rsidRPr="00027EE8">
              <w:rPr>
                <w:sz w:val="18"/>
                <w:szCs w:val="18"/>
              </w:rPr>
              <w:t>Homme et des Peuples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1981</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1986</w:t>
            </w:r>
          </w:p>
        </w:tc>
        <w:tc>
          <w:tcPr>
            <w:tcW w:w="2155"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 xml:space="preserve">Incorporée dans le préambule de la </w:t>
            </w:r>
            <w:r w:rsidR="00A468C2" w:rsidRPr="00027EE8">
              <w:rPr>
                <w:sz w:val="18"/>
                <w:szCs w:val="18"/>
              </w:rPr>
              <w:t xml:space="preserve">Constitution </w:t>
            </w:r>
            <w:r w:rsidRPr="00027EE8">
              <w:rPr>
                <w:sz w:val="18"/>
                <w:szCs w:val="18"/>
              </w:rPr>
              <w:t>du 20 juillet 1991</w:t>
            </w:r>
          </w:p>
        </w:tc>
      </w:tr>
      <w:tr w:rsidR="00D80F06" w:rsidRPr="005E0FF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Protocole portant création de la Cour Africaine des Droits de l</w:t>
            </w:r>
            <w:r w:rsidR="00A24C87" w:rsidRPr="00027EE8">
              <w:rPr>
                <w:sz w:val="18"/>
                <w:szCs w:val="18"/>
              </w:rPr>
              <w:t>’</w:t>
            </w:r>
            <w:r w:rsidRPr="00027EE8">
              <w:rPr>
                <w:sz w:val="18"/>
                <w:szCs w:val="18"/>
              </w:rPr>
              <w:t xml:space="preserve">Homme </w:t>
            </w:r>
            <w:r w:rsidR="00313112">
              <w:rPr>
                <w:sz w:val="18"/>
                <w:szCs w:val="18"/>
              </w:rPr>
              <w:br/>
            </w:r>
            <w:r w:rsidRPr="00027EE8">
              <w:rPr>
                <w:sz w:val="18"/>
                <w:szCs w:val="18"/>
              </w:rPr>
              <w:t>et des Peuples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1988</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2005</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5E0FF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3</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 xml:space="preserve">Charte Africaine des Droits </w:t>
            </w:r>
            <w:r w:rsidR="00313112">
              <w:rPr>
                <w:sz w:val="18"/>
                <w:szCs w:val="18"/>
              </w:rPr>
              <w:br/>
            </w:r>
            <w:r w:rsidRPr="00027EE8">
              <w:rPr>
                <w:sz w:val="18"/>
                <w:szCs w:val="18"/>
              </w:rPr>
              <w:t xml:space="preserve">et du Bien </w:t>
            </w:r>
            <w:proofErr w:type="spellStart"/>
            <w:r w:rsidRPr="00027EE8">
              <w:rPr>
                <w:sz w:val="18"/>
                <w:szCs w:val="18"/>
              </w:rPr>
              <w:t>Etre</w:t>
            </w:r>
            <w:proofErr w:type="spellEnd"/>
            <w:r w:rsidRPr="00027EE8">
              <w:rPr>
                <w:sz w:val="18"/>
                <w:szCs w:val="18"/>
              </w:rPr>
              <w:t xml:space="preserve"> de l</w:t>
            </w:r>
            <w:r w:rsidR="00A24C87" w:rsidRPr="00027EE8">
              <w:rPr>
                <w:sz w:val="18"/>
                <w:szCs w:val="18"/>
              </w:rPr>
              <w:t>’</w:t>
            </w:r>
            <w:r w:rsidRPr="00027EE8">
              <w:rPr>
                <w:sz w:val="18"/>
                <w:szCs w:val="18"/>
              </w:rPr>
              <w:t>Enfant</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1990</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2005</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5E0FF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4</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Protocole à la Charte Africaine des Droits de l</w:t>
            </w:r>
            <w:r w:rsidR="00A24C87" w:rsidRPr="00027EE8">
              <w:rPr>
                <w:sz w:val="18"/>
                <w:szCs w:val="18"/>
              </w:rPr>
              <w:t>’</w:t>
            </w:r>
            <w:r w:rsidRPr="00027EE8">
              <w:rPr>
                <w:sz w:val="18"/>
                <w:szCs w:val="18"/>
              </w:rPr>
              <w:t>Homme et des Peuples relatif aux droits des femmes en Afrique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2003</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2005</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5E0FF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5</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 xml:space="preserve">Charte </w:t>
            </w:r>
            <w:r w:rsidR="00313112">
              <w:rPr>
                <w:sz w:val="18"/>
                <w:szCs w:val="18"/>
              </w:rPr>
              <w:t>Africaine de la Démocratie, des </w:t>
            </w:r>
            <w:proofErr w:type="spellStart"/>
            <w:r w:rsidRPr="00027EE8">
              <w:rPr>
                <w:sz w:val="18"/>
                <w:szCs w:val="18"/>
              </w:rPr>
              <w:t>Elections</w:t>
            </w:r>
            <w:proofErr w:type="spellEnd"/>
            <w:r w:rsidRPr="00027EE8">
              <w:rPr>
                <w:sz w:val="18"/>
                <w:szCs w:val="18"/>
              </w:rPr>
              <w:t xml:space="preserve"> et de la Gouvernance</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2011</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2008</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5E0FF3" w:rsidTr="00027EE8">
        <w:tc>
          <w:tcPr>
            <w:tcW w:w="397"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6</w:t>
            </w:r>
          </w:p>
        </w:tc>
        <w:tc>
          <w:tcPr>
            <w:tcW w:w="3119"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Protocole re</w:t>
            </w:r>
            <w:r w:rsidR="00313112">
              <w:rPr>
                <w:sz w:val="18"/>
                <w:szCs w:val="18"/>
              </w:rPr>
              <w:t>latif à la Charte Africaine des </w:t>
            </w:r>
            <w:r w:rsidR="00462A09">
              <w:rPr>
                <w:sz w:val="18"/>
                <w:szCs w:val="18"/>
              </w:rPr>
              <w:t>D</w:t>
            </w:r>
            <w:r w:rsidRPr="00027EE8">
              <w:rPr>
                <w:sz w:val="18"/>
                <w:szCs w:val="18"/>
              </w:rPr>
              <w:t>roits de l</w:t>
            </w:r>
            <w:r w:rsidR="00A24C87" w:rsidRPr="00027EE8">
              <w:rPr>
                <w:sz w:val="18"/>
                <w:szCs w:val="18"/>
              </w:rPr>
              <w:t>’</w:t>
            </w:r>
            <w:r w:rsidRPr="00027EE8">
              <w:rPr>
                <w:sz w:val="18"/>
                <w:szCs w:val="18"/>
              </w:rPr>
              <w:t>Homme et des Peuples portant création d</w:t>
            </w:r>
            <w:r w:rsidR="00A24C87" w:rsidRPr="00027EE8">
              <w:rPr>
                <w:sz w:val="18"/>
                <w:szCs w:val="18"/>
              </w:rPr>
              <w:t>’</w:t>
            </w:r>
            <w:r w:rsidRPr="00027EE8">
              <w:rPr>
                <w:sz w:val="18"/>
                <w:szCs w:val="18"/>
              </w:rPr>
              <w:t>une</w:t>
            </w:r>
            <w:r w:rsidR="00313112">
              <w:rPr>
                <w:sz w:val="18"/>
                <w:szCs w:val="18"/>
              </w:rPr>
              <w:t xml:space="preserve"> Cour africaine des </w:t>
            </w:r>
            <w:r w:rsidRPr="00027EE8">
              <w:rPr>
                <w:sz w:val="18"/>
                <w:szCs w:val="18"/>
              </w:rPr>
              <w:t>droits de l</w:t>
            </w:r>
            <w:r w:rsidR="00A24C87" w:rsidRPr="00027EE8">
              <w:rPr>
                <w:sz w:val="18"/>
                <w:szCs w:val="18"/>
              </w:rPr>
              <w:t>’</w:t>
            </w:r>
            <w:r w:rsidRPr="00027EE8">
              <w:rPr>
                <w:sz w:val="18"/>
                <w:szCs w:val="18"/>
              </w:rPr>
              <w:t>Homme et des Peuples</w:t>
            </w:r>
          </w:p>
        </w:tc>
        <w:tc>
          <w:tcPr>
            <w:tcW w:w="1134"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1998</w:t>
            </w:r>
          </w:p>
        </w:tc>
        <w:tc>
          <w:tcPr>
            <w:tcW w:w="1701" w:type="dxa"/>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2005</w:t>
            </w:r>
          </w:p>
        </w:tc>
        <w:tc>
          <w:tcPr>
            <w:tcW w:w="2155" w:type="dxa"/>
            <w:shd w:val="clear" w:color="auto" w:fill="auto"/>
          </w:tcPr>
          <w:p w:rsidR="00D80F06" w:rsidRPr="00027EE8" w:rsidRDefault="00D80F06" w:rsidP="00027EE8">
            <w:pPr>
              <w:spacing w:before="40" w:after="60" w:line="220" w:lineRule="atLeast"/>
              <w:ind w:right="113"/>
              <w:rPr>
                <w:sz w:val="18"/>
                <w:szCs w:val="18"/>
              </w:rPr>
            </w:pPr>
          </w:p>
        </w:tc>
      </w:tr>
      <w:tr w:rsidR="00D80F06" w:rsidRPr="005E0FF3" w:rsidTr="00027EE8">
        <w:tc>
          <w:tcPr>
            <w:tcW w:w="397" w:type="dxa"/>
            <w:tcBorders>
              <w:bottom w:val="single" w:sz="12" w:space="0" w:color="auto"/>
            </w:tcBorders>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7</w:t>
            </w:r>
          </w:p>
        </w:tc>
        <w:tc>
          <w:tcPr>
            <w:tcW w:w="3119" w:type="dxa"/>
            <w:tcBorders>
              <w:bottom w:val="single" w:sz="12" w:space="0" w:color="auto"/>
            </w:tcBorders>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Convention de l</w:t>
            </w:r>
            <w:r w:rsidR="00A24C87" w:rsidRPr="00027EE8">
              <w:rPr>
                <w:sz w:val="18"/>
                <w:szCs w:val="18"/>
              </w:rPr>
              <w:t>’</w:t>
            </w:r>
            <w:r w:rsidRPr="00027EE8">
              <w:rPr>
                <w:sz w:val="18"/>
                <w:szCs w:val="18"/>
              </w:rPr>
              <w:t>UA régissant les aspects propre</w:t>
            </w:r>
            <w:r w:rsidR="00313112">
              <w:rPr>
                <w:sz w:val="18"/>
                <w:szCs w:val="18"/>
              </w:rPr>
              <w:t>s aux problèmes des réfugiés en </w:t>
            </w:r>
            <w:r w:rsidRPr="00027EE8">
              <w:rPr>
                <w:sz w:val="18"/>
                <w:szCs w:val="18"/>
              </w:rPr>
              <w:t>Afrique</w:t>
            </w:r>
          </w:p>
        </w:tc>
        <w:tc>
          <w:tcPr>
            <w:tcW w:w="1134" w:type="dxa"/>
            <w:tcBorders>
              <w:bottom w:val="single" w:sz="12" w:space="0" w:color="auto"/>
            </w:tcBorders>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1969</w:t>
            </w:r>
          </w:p>
        </w:tc>
        <w:tc>
          <w:tcPr>
            <w:tcW w:w="1701" w:type="dxa"/>
            <w:tcBorders>
              <w:bottom w:val="single" w:sz="12" w:space="0" w:color="auto"/>
            </w:tcBorders>
            <w:shd w:val="clear" w:color="auto" w:fill="auto"/>
            <w:hideMark/>
          </w:tcPr>
          <w:p w:rsidR="00D80F06" w:rsidRPr="00027EE8" w:rsidRDefault="00D80F06" w:rsidP="00027EE8">
            <w:pPr>
              <w:spacing w:before="40" w:after="60" w:line="220" w:lineRule="atLeast"/>
              <w:ind w:right="113"/>
              <w:rPr>
                <w:sz w:val="18"/>
                <w:szCs w:val="18"/>
              </w:rPr>
            </w:pPr>
            <w:r w:rsidRPr="00027EE8">
              <w:rPr>
                <w:sz w:val="18"/>
                <w:szCs w:val="18"/>
              </w:rPr>
              <w:t>1972</w:t>
            </w:r>
          </w:p>
        </w:tc>
        <w:tc>
          <w:tcPr>
            <w:tcW w:w="2155" w:type="dxa"/>
            <w:tcBorders>
              <w:bottom w:val="single" w:sz="12" w:space="0" w:color="auto"/>
            </w:tcBorders>
            <w:shd w:val="clear" w:color="auto" w:fill="auto"/>
          </w:tcPr>
          <w:p w:rsidR="00D80F06" w:rsidRPr="00027EE8" w:rsidRDefault="00D80F06" w:rsidP="00027EE8">
            <w:pPr>
              <w:spacing w:before="40" w:after="60" w:line="220" w:lineRule="atLeast"/>
              <w:ind w:right="113"/>
              <w:rPr>
                <w:sz w:val="18"/>
                <w:szCs w:val="18"/>
              </w:rPr>
            </w:pPr>
          </w:p>
        </w:tc>
      </w:tr>
    </w:tbl>
    <w:p w:rsidR="00D80F06" w:rsidRPr="002D6CAB" w:rsidRDefault="00096F95" w:rsidP="00096F95">
      <w:pPr>
        <w:pStyle w:val="H23G"/>
      </w:pPr>
      <w:bookmarkStart w:id="69" w:name="_Toc454388708"/>
      <w:bookmarkStart w:id="70" w:name="_Toc454386658"/>
      <w:bookmarkStart w:id="71" w:name="_Toc454386589"/>
      <w:bookmarkStart w:id="72" w:name="_Toc453672869"/>
      <w:bookmarkStart w:id="73" w:name="_Toc455360516"/>
      <w:bookmarkStart w:id="74" w:name="_Toc455364126"/>
      <w:bookmarkStart w:id="75" w:name="_Toc498901330"/>
      <w:r>
        <w:tab/>
      </w:r>
      <w:r w:rsidR="0022553A">
        <w:t>3.</w:t>
      </w:r>
      <w:r w:rsidR="0022553A">
        <w:tab/>
      </w:r>
      <w:r w:rsidR="00D80F06" w:rsidRPr="002D6CAB">
        <w:t>Cadre juridique de la protection des droits de l</w:t>
      </w:r>
      <w:r w:rsidR="00A24C87">
        <w:t>’</w:t>
      </w:r>
      <w:r w:rsidR="00D80F06" w:rsidRPr="002D6CAB">
        <w:t>homme à l</w:t>
      </w:r>
      <w:r w:rsidR="00A24C87">
        <w:t>’</w:t>
      </w:r>
      <w:r w:rsidR="00D80F06" w:rsidRPr="002D6CAB">
        <w:t>échelon national</w:t>
      </w:r>
      <w:bookmarkEnd w:id="69"/>
      <w:bookmarkEnd w:id="70"/>
      <w:bookmarkEnd w:id="71"/>
      <w:bookmarkEnd w:id="72"/>
      <w:bookmarkEnd w:id="73"/>
      <w:bookmarkEnd w:id="74"/>
      <w:bookmarkEnd w:id="75"/>
    </w:p>
    <w:p w:rsidR="00D80F06" w:rsidRPr="00096F95" w:rsidRDefault="00A53065" w:rsidP="00027EE8">
      <w:pPr>
        <w:pStyle w:val="H23G"/>
      </w:pPr>
      <w:bookmarkStart w:id="76" w:name="_Toc454388709"/>
      <w:bookmarkStart w:id="77" w:name="_Toc453672870"/>
      <w:bookmarkStart w:id="78" w:name="_Toc455364127"/>
      <w:bookmarkStart w:id="79" w:name="_Toc498901331"/>
      <w:r>
        <w:tab/>
      </w:r>
      <w:r w:rsidR="00D80F06" w:rsidRPr="00096F95">
        <w:t>a)</w:t>
      </w:r>
      <w:r w:rsidR="0022553A" w:rsidRPr="00096F95">
        <w:tab/>
      </w:r>
      <w:r w:rsidR="00D80F06" w:rsidRPr="00096F95">
        <w:t>La consécration constitutionnelle</w:t>
      </w:r>
      <w:bookmarkEnd w:id="76"/>
      <w:bookmarkEnd w:id="77"/>
      <w:bookmarkEnd w:id="78"/>
      <w:bookmarkEnd w:id="79"/>
    </w:p>
    <w:p w:rsidR="00D80F06" w:rsidRPr="002D6CAB" w:rsidRDefault="00C87B7B" w:rsidP="00C87B7B">
      <w:pPr>
        <w:pStyle w:val="SingleTxtG"/>
        <w:rPr>
          <w:lang w:val="fr-FR"/>
        </w:rPr>
      </w:pPr>
      <w:r w:rsidRPr="002D6CAB">
        <w:rPr>
          <w:lang w:val="fr-FR"/>
        </w:rPr>
        <w:t>42.</w:t>
      </w:r>
      <w:r w:rsidRPr="002D6CAB">
        <w:rPr>
          <w:lang w:val="fr-FR"/>
        </w:rPr>
        <w:tab/>
      </w:r>
      <w:r w:rsidR="00D80F06" w:rsidRPr="002D6CAB">
        <w:rPr>
          <w:lang w:val="fr-FR"/>
        </w:rPr>
        <w:t xml:space="preserve">La </w:t>
      </w:r>
      <w:r w:rsidR="00A468C2" w:rsidRPr="002D6CAB">
        <w:rPr>
          <w:lang w:val="fr-FR"/>
        </w:rPr>
        <w:t>Constitution</w:t>
      </w:r>
      <w:r w:rsidR="00A468C2">
        <w:rPr>
          <w:lang w:val="fr-FR"/>
        </w:rPr>
        <w:t xml:space="preserve"> </w:t>
      </w:r>
      <w:r w:rsidR="00D80F06" w:rsidRPr="002D6CAB">
        <w:rPr>
          <w:lang w:val="fr-FR"/>
        </w:rPr>
        <w:t>consacre les droits de l</w:t>
      </w:r>
      <w:r w:rsidR="00A24C87">
        <w:rPr>
          <w:lang w:val="fr-FR"/>
        </w:rPr>
        <w:t>’</w:t>
      </w:r>
      <w:r w:rsidR="00462A09">
        <w:rPr>
          <w:lang w:val="fr-FR"/>
        </w:rPr>
        <w:t>h</w:t>
      </w:r>
      <w:r w:rsidR="00D80F06" w:rsidRPr="002D6CAB">
        <w:rPr>
          <w:lang w:val="fr-FR"/>
        </w:rPr>
        <w:t>omme dans son préambule</w:t>
      </w:r>
      <w:r w:rsidR="009573B0">
        <w:rPr>
          <w:lang w:val="fr-FR"/>
        </w:rPr>
        <w:t> :</w:t>
      </w:r>
      <w:r w:rsidR="00D80F06" w:rsidRPr="002D6CAB">
        <w:rPr>
          <w:lang w:val="fr-FR"/>
        </w:rPr>
        <w:t xml:space="preserve"> « Fort de ses valeurs spirituelles et du rayonnement de sa civilisation, le Peuple mauritanien proclame en outre, solennellement, son attachement à l</w:t>
      </w:r>
      <w:r w:rsidR="00A24C87">
        <w:rPr>
          <w:lang w:val="fr-FR"/>
        </w:rPr>
        <w:t>’</w:t>
      </w:r>
      <w:r w:rsidR="00D80F06" w:rsidRPr="002D6CAB">
        <w:rPr>
          <w:lang w:val="fr-FR"/>
        </w:rPr>
        <w:t>Islam et aux principes de la démocratie tels qu</w:t>
      </w:r>
      <w:r w:rsidR="00A24C87">
        <w:rPr>
          <w:lang w:val="fr-FR"/>
        </w:rPr>
        <w:t>’</w:t>
      </w:r>
      <w:r w:rsidR="00D80F06" w:rsidRPr="002D6CAB">
        <w:rPr>
          <w:lang w:val="fr-FR"/>
        </w:rPr>
        <w:t xml:space="preserve">ils ont été définis par la Déclaration </w:t>
      </w:r>
      <w:r w:rsidR="00607B64">
        <w:rPr>
          <w:lang w:val="fr-FR"/>
        </w:rPr>
        <w:t>u</w:t>
      </w:r>
      <w:r w:rsidR="00D80F06" w:rsidRPr="002D6CAB">
        <w:rPr>
          <w:lang w:val="fr-FR"/>
        </w:rPr>
        <w:t xml:space="preserve">niverselle des </w:t>
      </w:r>
      <w:r w:rsidR="00607B64">
        <w:rPr>
          <w:lang w:val="fr-FR"/>
        </w:rPr>
        <w:t>d</w:t>
      </w:r>
      <w:r w:rsidR="00D80F06" w:rsidRPr="002D6CAB">
        <w:rPr>
          <w:lang w:val="fr-FR"/>
        </w:rPr>
        <w:t>roits de l</w:t>
      </w:r>
      <w:r w:rsidR="00A24C87">
        <w:rPr>
          <w:lang w:val="fr-FR"/>
        </w:rPr>
        <w:t>’</w:t>
      </w:r>
      <w:r w:rsidR="00607B64">
        <w:rPr>
          <w:lang w:val="fr-FR"/>
        </w:rPr>
        <w:t>h</w:t>
      </w:r>
      <w:r w:rsidR="00D80F06" w:rsidRPr="002D6CAB">
        <w:rPr>
          <w:lang w:val="fr-FR"/>
        </w:rPr>
        <w:t xml:space="preserve">omme du 10 décembre 1948 et par la Charte </w:t>
      </w:r>
      <w:r w:rsidR="00607B64">
        <w:rPr>
          <w:lang w:val="fr-FR"/>
        </w:rPr>
        <w:t>a</w:t>
      </w:r>
      <w:r w:rsidR="00D80F06" w:rsidRPr="002D6CAB">
        <w:rPr>
          <w:lang w:val="fr-FR"/>
        </w:rPr>
        <w:t xml:space="preserve">fricaine des </w:t>
      </w:r>
      <w:r w:rsidR="00607B64">
        <w:rPr>
          <w:lang w:val="fr-FR"/>
        </w:rPr>
        <w:t>d</w:t>
      </w:r>
      <w:r w:rsidR="00D80F06" w:rsidRPr="002D6CAB">
        <w:rPr>
          <w:lang w:val="fr-FR"/>
        </w:rPr>
        <w:t>roits de l</w:t>
      </w:r>
      <w:r w:rsidR="00A24C87">
        <w:rPr>
          <w:lang w:val="fr-FR"/>
        </w:rPr>
        <w:t>’</w:t>
      </w:r>
      <w:r w:rsidR="00607B64">
        <w:rPr>
          <w:lang w:val="fr-FR"/>
        </w:rPr>
        <w:t>h</w:t>
      </w:r>
      <w:r w:rsidR="00D80F06" w:rsidRPr="002D6CAB">
        <w:rPr>
          <w:lang w:val="fr-FR"/>
        </w:rPr>
        <w:t xml:space="preserve">omme et des </w:t>
      </w:r>
      <w:r w:rsidR="00607B64">
        <w:rPr>
          <w:lang w:val="fr-FR"/>
        </w:rPr>
        <w:t>p</w:t>
      </w:r>
      <w:r w:rsidR="00D80F06" w:rsidRPr="002D6CAB">
        <w:rPr>
          <w:lang w:val="fr-FR"/>
        </w:rPr>
        <w:t xml:space="preserve">euples du 28 </w:t>
      </w:r>
      <w:r w:rsidR="007E184D">
        <w:rPr>
          <w:lang w:val="fr-FR"/>
        </w:rPr>
        <w:t>j</w:t>
      </w:r>
      <w:r w:rsidR="00D80F06" w:rsidRPr="002D6CAB">
        <w:rPr>
          <w:lang w:val="fr-FR"/>
        </w:rPr>
        <w:t xml:space="preserve">uin 1981 ainsi que dans les autres conventions internationales auxquelles la Mauritanie a souscrit ». La </w:t>
      </w:r>
      <w:r w:rsidR="00A468C2" w:rsidRPr="002D6CAB">
        <w:rPr>
          <w:lang w:val="fr-FR"/>
        </w:rPr>
        <w:t xml:space="preserve">Constitution </w:t>
      </w:r>
      <w:r w:rsidR="00D80F06" w:rsidRPr="002D6CAB">
        <w:rPr>
          <w:lang w:val="fr-FR"/>
        </w:rPr>
        <w:t>protège l</w:t>
      </w:r>
      <w:r w:rsidR="00A24C87">
        <w:rPr>
          <w:lang w:val="fr-FR"/>
        </w:rPr>
        <w:t>’</w:t>
      </w:r>
      <w:r w:rsidR="00D80F06" w:rsidRPr="002D6CAB">
        <w:rPr>
          <w:lang w:val="fr-FR"/>
        </w:rPr>
        <w:t>ensemble des droits et libertés énoncés dans les instruments auxquels la Mauritanie est partie.</w:t>
      </w:r>
      <w:bookmarkStart w:id="80" w:name="_Toc453672871"/>
    </w:p>
    <w:p w:rsidR="00D80F06" w:rsidRPr="00096F95" w:rsidRDefault="00A53065" w:rsidP="00027EE8">
      <w:pPr>
        <w:pStyle w:val="H23G"/>
      </w:pPr>
      <w:bookmarkStart w:id="81" w:name="_Toc454388710"/>
      <w:bookmarkStart w:id="82" w:name="_Toc455364128"/>
      <w:bookmarkStart w:id="83" w:name="_Toc498901332"/>
      <w:r>
        <w:tab/>
      </w:r>
      <w:r w:rsidR="00D80F06" w:rsidRPr="00096F95">
        <w:t>b)</w:t>
      </w:r>
      <w:r w:rsidR="0022553A" w:rsidRPr="00096F95">
        <w:tab/>
      </w:r>
      <w:r w:rsidR="00D80F06" w:rsidRPr="00096F95">
        <w:t>L</w:t>
      </w:r>
      <w:r w:rsidR="00A24C87">
        <w:t>’</w:t>
      </w:r>
      <w:r w:rsidR="00D80F06" w:rsidRPr="00096F95">
        <w:t xml:space="preserve">incorporation des instruments internationaux relatifs aux </w:t>
      </w:r>
      <w:r w:rsidR="00462A09">
        <w:t>d</w:t>
      </w:r>
      <w:r w:rsidR="00D80F06" w:rsidRPr="00096F95">
        <w:t>roits de l</w:t>
      </w:r>
      <w:r w:rsidR="00A24C87">
        <w:t>’</w:t>
      </w:r>
      <w:r w:rsidR="00462A09">
        <w:t>h</w:t>
      </w:r>
      <w:r w:rsidR="00D80F06" w:rsidRPr="00096F95">
        <w:t>omme</w:t>
      </w:r>
      <w:bookmarkEnd w:id="80"/>
      <w:bookmarkEnd w:id="81"/>
      <w:bookmarkEnd w:id="82"/>
      <w:bookmarkEnd w:id="83"/>
    </w:p>
    <w:p w:rsidR="00D80F06" w:rsidRPr="002D6CAB" w:rsidRDefault="00C87B7B" w:rsidP="00C87B7B">
      <w:pPr>
        <w:pStyle w:val="SingleTxtG"/>
        <w:rPr>
          <w:lang w:val="fr-FR"/>
        </w:rPr>
      </w:pPr>
      <w:r w:rsidRPr="002D6CAB">
        <w:rPr>
          <w:lang w:val="fr-FR"/>
        </w:rPr>
        <w:t>43.</w:t>
      </w:r>
      <w:r w:rsidRPr="002D6CAB">
        <w:rPr>
          <w:lang w:val="fr-FR"/>
        </w:rPr>
        <w:tab/>
      </w:r>
      <w:r w:rsidR="00D80F06" w:rsidRPr="002D6CAB">
        <w:rPr>
          <w:lang w:val="fr-FR"/>
        </w:rPr>
        <w:t xml:space="preserve">En raison du système moniste qui prévaut, les instruments internationaux relatifs aux </w:t>
      </w:r>
      <w:r w:rsidR="00462A09">
        <w:rPr>
          <w:lang w:val="fr-FR"/>
        </w:rPr>
        <w:t>d</w:t>
      </w:r>
      <w:r w:rsidR="00D80F06" w:rsidRPr="002D6CAB">
        <w:rPr>
          <w:lang w:val="fr-FR"/>
        </w:rPr>
        <w:t>roits de l</w:t>
      </w:r>
      <w:r w:rsidR="00A24C87">
        <w:rPr>
          <w:lang w:val="fr-FR"/>
        </w:rPr>
        <w:t>’</w:t>
      </w:r>
      <w:r w:rsidR="00462A09">
        <w:rPr>
          <w:lang w:val="fr-FR"/>
        </w:rPr>
        <w:t>h</w:t>
      </w:r>
      <w:r w:rsidR="00D80F06" w:rsidRPr="002D6CAB">
        <w:rPr>
          <w:lang w:val="fr-FR"/>
        </w:rPr>
        <w:t>omme ratifiés par le pays sont incorporés dans le corpus juridique interne conformément à l</w:t>
      </w:r>
      <w:r w:rsidR="00A24C87">
        <w:rPr>
          <w:lang w:val="fr-FR"/>
        </w:rPr>
        <w:t>’</w:t>
      </w:r>
      <w:r w:rsidR="00D80F06" w:rsidRPr="002D6CAB">
        <w:rPr>
          <w:lang w:val="fr-FR"/>
        </w:rPr>
        <w:t xml:space="preserve">article 80 de la </w:t>
      </w:r>
      <w:r w:rsidR="00A468C2" w:rsidRPr="002D6CAB">
        <w:rPr>
          <w:lang w:val="fr-FR"/>
        </w:rPr>
        <w:t>Constitution</w:t>
      </w:r>
      <w:r w:rsidR="00D80F06" w:rsidRPr="002D6CAB">
        <w:rPr>
          <w:lang w:val="fr-FR"/>
        </w:rPr>
        <w:t xml:space="preserve">. </w:t>
      </w:r>
    </w:p>
    <w:p w:rsidR="00D80F06" w:rsidRPr="00096F95" w:rsidRDefault="00A53065" w:rsidP="00027EE8">
      <w:pPr>
        <w:pStyle w:val="H23G"/>
      </w:pPr>
      <w:bookmarkStart w:id="84" w:name="_Toc453672872"/>
      <w:bookmarkStart w:id="85" w:name="_Toc455364129"/>
      <w:bookmarkStart w:id="86" w:name="_Toc498901333"/>
      <w:r>
        <w:tab/>
      </w:r>
      <w:r w:rsidR="00D80F06" w:rsidRPr="00096F95">
        <w:t>c)</w:t>
      </w:r>
      <w:r w:rsidR="0022553A" w:rsidRPr="00096F95">
        <w:tab/>
      </w:r>
      <w:r w:rsidR="00D80F06" w:rsidRPr="00096F95">
        <w:t>Autorités compétentes en matière des droits de l</w:t>
      </w:r>
      <w:r w:rsidR="00A24C87">
        <w:t>’</w:t>
      </w:r>
      <w:r w:rsidR="00D80F06" w:rsidRPr="00096F95">
        <w:t>homme</w:t>
      </w:r>
      <w:bookmarkEnd w:id="84"/>
      <w:bookmarkEnd w:id="85"/>
      <w:bookmarkEnd w:id="86"/>
    </w:p>
    <w:p w:rsidR="00D80F06" w:rsidRPr="002D6CAB" w:rsidRDefault="00C87B7B" w:rsidP="00C87B7B">
      <w:pPr>
        <w:pStyle w:val="SingleTxtG"/>
        <w:rPr>
          <w:lang w:val="fr-FR"/>
        </w:rPr>
      </w:pPr>
      <w:r w:rsidRPr="002D6CAB">
        <w:rPr>
          <w:lang w:val="fr-FR"/>
        </w:rPr>
        <w:t>44.</w:t>
      </w:r>
      <w:r w:rsidRPr="002D6CAB">
        <w:rPr>
          <w:lang w:val="fr-FR"/>
        </w:rPr>
        <w:tab/>
      </w:r>
      <w:r w:rsidR="00D80F06" w:rsidRPr="002D6CAB">
        <w:rPr>
          <w:lang w:val="fr-FR"/>
        </w:rPr>
        <w:t>Il s</w:t>
      </w:r>
      <w:r w:rsidR="00A24C87">
        <w:rPr>
          <w:lang w:val="fr-FR"/>
        </w:rPr>
        <w:t>’</w:t>
      </w:r>
      <w:r w:rsidR="00D80F06" w:rsidRPr="002D6CAB">
        <w:rPr>
          <w:lang w:val="fr-FR"/>
        </w:rPr>
        <w:t xml:space="preserve">agit principalement du Conseil </w:t>
      </w:r>
      <w:r w:rsidR="00A468C2">
        <w:rPr>
          <w:lang w:val="fr-FR"/>
        </w:rPr>
        <w:t>c</w:t>
      </w:r>
      <w:r w:rsidR="00D80F06" w:rsidRPr="002D6CAB">
        <w:rPr>
          <w:lang w:val="fr-FR"/>
        </w:rPr>
        <w:t xml:space="preserve">onstitutionnel, des </w:t>
      </w:r>
      <w:r w:rsidR="00A468C2">
        <w:rPr>
          <w:lang w:val="fr-FR"/>
        </w:rPr>
        <w:t>t</w:t>
      </w:r>
      <w:r w:rsidR="00D80F06" w:rsidRPr="002D6CAB">
        <w:rPr>
          <w:lang w:val="fr-FR"/>
        </w:rPr>
        <w:t xml:space="preserve">ribunaux, du Commissariat aux </w:t>
      </w:r>
      <w:r w:rsidR="007107E8">
        <w:rPr>
          <w:lang w:val="fr-FR"/>
        </w:rPr>
        <w:t>d</w:t>
      </w:r>
      <w:r w:rsidR="00D80F06" w:rsidRPr="002D6CAB">
        <w:rPr>
          <w:lang w:val="fr-FR"/>
        </w:rPr>
        <w:t>roits de l</w:t>
      </w:r>
      <w:r w:rsidR="00A24C87">
        <w:rPr>
          <w:lang w:val="fr-FR"/>
        </w:rPr>
        <w:t>’</w:t>
      </w:r>
      <w:r w:rsidR="007107E8">
        <w:rPr>
          <w:lang w:val="fr-FR"/>
        </w:rPr>
        <w:t>h</w:t>
      </w:r>
      <w:r w:rsidR="00D80F06" w:rsidRPr="002D6CAB">
        <w:rPr>
          <w:lang w:val="fr-FR"/>
        </w:rPr>
        <w:t>omme et à l</w:t>
      </w:r>
      <w:r w:rsidR="00A24C87">
        <w:rPr>
          <w:lang w:val="fr-FR"/>
        </w:rPr>
        <w:t>’</w:t>
      </w:r>
      <w:r w:rsidR="00A468C2">
        <w:rPr>
          <w:lang w:val="fr-FR"/>
        </w:rPr>
        <w:t>a</w:t>
      </w:r>
      <w:r w:rsidR="00D80F06" w:rsidRPr="002D6CAB">
        <w:rPr>
          <w:lang w:val="fr-FR"/>
        </w:rPr>
        <w:t xml:space="preserve">ction </w:t>
      </w:r>
      <w:r w:rsidR="00A468C2">
        <w:rPr>
          <w:lang w:val="fr-FR"/>
        </w:rPr>
        <w:t>h</w:t>
      </w:r>
      <w:r w:rsidR="00D80F06" w:rsidRPr="002D6CAB">
        <w:rPr>
          <w:lang w:val="fr-FR"/>
        </w:rPr>
        <w:t xml:space="preserve">umanitaire, de la Commission </w:t>
      </w:r>
      <w:r w:rsidR="00A468C2">
        <w:rPr>
          <w:lang w:val="fr-FR"/>
        </w:rPr>
        <w:t>n</w:t>
      </w:r>
      <w:r w:rsidR="00D80F06" w:rsidRPr="002D6CAB">
        <w:rPr>
          <w:lang w:val="fr-FR"/>
        </w:rPr>
        <w:t xml:space="preserve">ationale des </w:t>
      </w:r>
      <w:r w:rsidR="007107E8">
        <w:rPr>
          <w:lang w:val="fr-FR"/>
        </w:rPr>
        <w:t>d</w:t>
      </w:r>
      <w:r w:rsidR="00D80F06" w:rsidRPr="002D6CAB">
        <w:rPr>
          <w:lang w:val="fr-FR"/>
        </w:rPr>
        <w:t>roits de l</w:t>
      </w:r>
      <w:r w:rsidR="00A24C87">
        <w:rPr>
          <w:lang w:val="fr-FR"/>
        </w:rPr>
        <w:t>’</w:t>
      </w:r>
      <w:r w:rsidR="007107E8">
        <w:rPr>
          <w:lang w:val="fr-FR"/>
        </w:rPr>
        <w:t>h</w:t>
      </w:r>
      <w:r w:rsidR="00D80F06" w:rsidRPr="002D6CAB">
        <w:rPr>
          <w:lang w:val="fr-FR"/>
        </w:rPr>
        <w:t xml:space="preserve">omme, des départements ministériels concernés, du Haut Conseil de la </w:t>
      </w:r>
      <w:r w:rsidR="00A468C2">
        <w:rPr>
          <w:lang w:val="fr-FR"/>
        </w:rPr>
        <w:t>f</w:t>
      </w:r>
      <w:r w:rsidR="00D80F06" w:rsidRPr="002D6CAB">
        <w:rPr>
          <w:lang w:val="fr-FR"/>
        </w:rPr>
        <w:t xml:space="preserve">atwa et des recours gracieux, et du Mécanisme </w:t>
      </w:r>
      <w:r w:rsidR="00A468C2">
        <w:rPr>
          <w:lang w:val="fr-FR"/>
        </w:rPr>
        <w:t>n</w:t>
      </w:r>
      <w:r w:rsidR="00D80F06" w:rsidRPr="002D6CAB">
        <w:rPr>
          <w:lang w:val="fr-FR"/>
        </w:rPr>
        <w:t xml:space="preserve">ational de </w:t>
      </w:r>
      <w:r w:rsidR="00A468C2">
        <w:rPr>
          <w:lang w:val="fr-FR"/>
        </w:rPr>
        <w:t>p</w:t>
      </w:r>
      <w:r w:rsidR="00D80F06" w:rsidRPr="002D6CAB">
        <w:rPr>
          <w:lang w:val="fr-FR"/>
        </w:rPr>
        <w:t xml:space="preserve">révention de la </w:t>
      </w:r>
      <w:r w:rsidR="00A468C2">
        <w:rPr>
          <w:lang w:val="fr-FR"/>
        </w:rPr>
        <w:t>t</w:t>
      </w:r>
      <w:r w:rsidR="00D80F06" w:rsidRPr="002D6CAB">
        <w:rPr>
          <w:lang w:val="fr-FR"/>
        </w:rPr>
        <w:t xml:space="preserve">orture, Ils ont compétence nationale sur les questions relatives à leurs attributions respectives. </w:t>
      </w:r>
    </w:p>
    <w:p w:rsidR="00D80F06" w:rsidRPr="00096F95" w:rsidRDefault="00A53065" w:rsidP="00027EE8">
      <w:pPr>
        <w:pStyle w:val="H23G"/>
      </w:pPr>
      <w:bookmarkStart w:id="87" w:name="_Toc454388711"/>
      <w:bookmarkStart w:id="88" w:name="_Toc455364130"/>
      <w:bookmarkStart w:id="89" w:name="_Toc498901334"/>
      <w:r>
        <w:lastRenderedPageBreak/>
        <w:tab/>
      </w:r>
      <w:r w:rsidR="00D80F06" w:rsidRPr="00096F95">
        <w:t>d)</w:t>
      </w:r>
      <w:r w:rsidR="0022553A" w:rsidRPr="00096F95">
        <w:tab/>
      </w:r>
      <w:proofErr w:type="spellStart"/>
      <w:r w:rsidR="00D80F06" w:rsidRPr="00096F95">
        <w:t>Evocation</w:t>
      </w:r>
      <w:proofErr w:type="spellEnd"/>
      <w:r w:rsidR="00D80F06" w:rsidRPr="00096F95">
        <w:t xml:space="preserve"> devant les tribunaux</w:t>
      </w:r>
      <w:bookmarkEnd w:id="87"/>
      <w:bookmarkEnd w:id="88"/>
      <w:bookmarkEnd w:id="89"/>
    </w:p>
    <w:p w:rsidR="00D80F06" w:rsidRPr="002D6CAB" w:rsidRDefault="00C87B7B" w:rsidP="00C87B7B">
      <w:pPr>
        <w:pStyle w:val="SingleTxtG"/>
        <w:rPr>
          <w:lang w:val="fr-FR"/>
        </w:rPr>
      </w:pPr>
      <w:r w:rsidRPr="002D6CAB">
        <w:rPr>
          <w:lang w:val="fr-FR"/>
        </w:rPr>
        <w:t>45.</w:t>
      </w:r>
      <w:r w:rsidRPr="002D6CAB">
        <w:rPr>
          <w:lang w:val="fr-FR"/>
        </w:rPr>
        <w:tab/>
      </w:r>
      <w:r w:rsidR="00D80F06" w:rsidRPr="002D6CAB">
        <w:rPr>
          <w:lang w:val="fr-FR"/>
        </w:rPr>
        <w:t xml:space="preserve">Toutes les dispositions des conventions ratifiées par la Mauritanie peuvent être invoquées devant les juridictions et le juge est tenu de les appliquer. </w:t>
      </w:r>
    </w:p>
    <w:p w:rsidR="00D80F06" w:rsidRPr="00096F95" w:rsidRDefault="00A53065" w:rsidP="00027EE8">
      <w:pPr>
        <w:pStyle w:val="H23G"/>
      </w:pPr>
      <w:bookmarkStart w:id="90" w:name="_Toc453672873"/>
      <w:bookmarkStart w:id="91" w:name="_Toc454388712"/>
      <w:bookmarkStart w:id="92" w:name="_Toc455364131"/>
      <w:bookmarkStart w:id="93" w:name="_Toc498901335"/>
      <w:r>
        <w:tab/>
      </w:r>
      <w:r w:rsidR="00D80F06" w:rsidRPr="00096F95">
        <w:t>e)</w:t>
      </w:r>
      <w:r w:rsidR="0022553A" w:rsidRPr="00096F95">
        <w:tab/>
      </w:r>
      <w:r w:rsidR="00D80F06" w:rsidRPr="00096F95">
        <w:t>Exercice des recours</w:t>
      </w:r>
      <w:bookmarkEnd w:id="90"/>
      <w:bookmarkEnd w:id="91"/>
      <w:bookmarkEnd w:id="92"/>
      <w:bookmarkEnd w:id="93"/>
    </w:p>
    <w:p w:rsidR="00D80F06" w:rsidRPr="002D6CAB" w:rsidRDefault="00C87B7B" w:rsidP="00C87B7B">
      <w:pPr>
        <w:pStyle w:val="SingleTxtG"/>
        <w:rPr>
          <w:lang w:val="fr-FR"/>
        </w:rPr>
      </w:pPr>
      <w:r w:rsidRPr="002D6CAB">
        <w:rPr>
          <w:lang w:val="fr-FR"/>
        </w:rPr>
        <w:t>46.</w:t>
      </w:r>
      <w:r w:rsidRPr="002D6CAB">
        <w:rPr>
          <w:lang w:val="fr-FR"/>
        </w:rPr>
        <w:tab/>
      </w:r>
      <w:r w:rsidR="00D80F06" w:rsidRPr="002D6CAB">
        <w:rPr>
          <w:lang w:val="fr-FR"/>
        </w:rPr>
        <w:t>Les recours administratif et judiciaire sont ouverts et peuvent aboutir à la réparation civile, à la sanction administrative et/ou pénale de leur auteur.</w:t>
      </w:r>
    </w:p>
    <w:p w:rsidR="00D80F06" w:rsidRPr="00096F95" w:rsidRDefault="00A53065" w:rsidP="00027EE8">
      <w:pPr>
        <w:pStyle w:val="H23G"/>
      </w:pPr>
      <w:bookmarkStart w:id="94" w:name="_Toc453672874"/>
      <w:bookmarkStart w:id="95" w:name="_Toc454388713"/>
      <w:bookmarkStart w:id="96" w:name="_Toc455364132"/>
      <w:bookmarkStart w:id="97" w:name="_Toc498901336"/>
      <w:r>
        <w:tab/>
      </w:r>
      <w:r w:rsidR="00D80F06" w:rsidRPr="00096F95">
        <w:t>f)</w:t>
      </w:r>
      <w:r w:rsidR="00096F95" w:rsidRPr="00096F95">
        <w:tab/>
      </w:r>
      <w:r w:rsidR="00D80F06" w:rsidRPr="00096F95">
        <w:t>Mécanismes nationaux de protection et promotion des droits de l</w:t>
      </w:r>
      <w:r w:rsidR="00A24C87">
        <w:t>’</w:t>
      </w:r>
      <w:r w:rsidR="00D80F06" w:rsidRPr="00096F95">
        <w:t>homme</w:t>
      </w:r>
      <w:bookmarkEnd w:id="94"/>
      <w:bookmarkEnd w:id="95"/>
      <w:bookmarkEnd w:id="96"/>
      <w:bookmarkEnd w:id="97"/>
    </w:p>
    <w:p w:rsidR="00D80F06" w:rsidRPr="002D6CAB" w:rsidRDefault="00C87B7B" w:rsidP="00C87B7B">
      <w:pPr>
        <w:pStyle w:val="SingleTxtG"/>
        <w:rPr>
          <w:lang w:val="fr-FR"/>
        </w:rPr>
      </w:pPr>
      <w:r w:rsidRPr="002D6CAB">
        <w:rPr>
          <w:lang w:val="fr-FR"/>
        </w:rPr>
        <w:t>47.</w:t>
      </w:r>
      <w:r w:rsidRPr="002D6CAB">
        <w:rPr>
          <w:lang w:val="fr-FR"/>
        </w:rPr>
        <w:tab/>
      </w:r>
      <w:r w:rsidR="00D80F06" w:rsidRPr="002D6CAB">
        <w:rPr>
          <w:lang w:val="fr-FR"/>
        </w:rPr>
        <w:t xml:space="preserve">Le Commissariat aux </w:t>
      </w:r>
      <w:r w:rsidR="009037FC">
        <w:rPr>
          <w:lang w:val="fr-FR"/>
        </w:rPr>
        <w:t>d</w:t>
      </w:r>
      <w:r w:rsidR="00D80F06" w:rsidRPr="002D6CAB">
        <w:rPr>
          <w:lang w:val="fr-FR"/>
        </w:rPr>
        <w:t>roits de l</w:t>
      </w:r>
      <w:r w:rsidR="00A24C87">
        <w:rPr>
          <w:lang w:val="fr-FR"/>
        </w:rPr>
        <w:t>’</w:t>
      </w:r>
      <w:r w:rsidR="009037FC">
        <w:rPr>
          <w:lang w:val="fr-FR"/>
        </w:rPr>
        <w:t>h</w:t>
      </w:r>
      <w:r w:rsidR="00D80F06" w:rsidRPr="002D6CAB">
        <w:rPr>
          <w:lang w:val="fr-FR"/>
        </w:rPr>
        <w:t>omme et à l</w:t>
      </w:r>
      <w:r w:rsidR="00A24C87">
        <w:rPr>
          <w:lang w:val="fr-FR"/>
        </w:rPr>
        <w:t>’</w:t>
      </w:r>
      <w:r w:rsidR="00D80F06" w:rsidRPr="002D6CAB">
        <w:rPr>
          <w:lang w:val="fr-FR"/>
        </w:rPr>
        <w:t>Action Humanitaire est chargé de l</w:t>
      </w:r>
      <w:r w:rsidR="00A24C87">
        <w:rPr>
          <w:lang w:val="fr-FR"/>
        </w:rPr>
        <w:t>’</w:t>
      </w:r>
      <w:r w:rsidR="00D80F06" w:rsidRPr="002D6CAB">
        <w:rPr>
          <w:lang w:val="fr-FR"/>
        </w:rPr>
        <w:t>élaboration et de la mise en œuvre de la politique nationale de promotion, de défense et de protection des droits de l</w:t>
      </w:r>
      <w:r w:rsidR="00A24C87">
        <w:rPr>
          <w:lang w:val="fr-FR"/>
        </w:rPr>
        <w:t>’</w:t>
      </w:r>
      <w:r w:rsidR="00D80F06" w:rsidRPr="002D6CAB">
        <w:rPr>
          <w:lang w:val="fr-FR"/>
        </w:rPr>
        <w:t>homme.</w:t>
      </w:r>
    </w:p>
    <w:p w:rsidR="00D80F06" w:rsidRPr="002D6CAB" w:rsidRDefault="00C87B7B" w:rsidP="00C87B7B">
      <w:pPr>
        <w:pStyle w:val="SingleTxtG"/>
        <w:rPr>
          <w:lang w:val="fr-FR"/>
        </w:rPr>
      </w:pPr>
      <w:r w:rsidRPr="002D6CAB">
        <w:rPr>
          <w:lang w:val="fr-FR"/>
        </w:rPr>
        <w:t>48.</w:t>
      </w:r>
      <w:r w:rsidRPr="002D6CAB">
        <w:rPr>
          <w:lang w:val="fr-FR"/>
        </w:rPr>
        <w:tab/>
      </w:r>
      <w:r w:rsidR="00D80F06" w:rsidRPr="002D6CAB">
        <w:rPr>
          <w:lang w:val="fr-FR"/>
        </w:rPr>
        <w:t>Le Ministère des Affaires Sociales, de l</w:t>
      </w:r>
      <w:r w:rsidR="00A24C87">
        <w:rPr>
          <w:lang w:val="fr-FR"/>
        </w:rPr>
        <w:t>’</w:t>
      </w:r>
      <w:r w:rsidR="00D80F06" w:rsidRPr="002D6CAB">
        <w:rPr>
          <w:lang w:val="fr-FR"/>
        </w:rPr>
        <w:t>Enfance et de la Famille a notamment pour missions, la proposition de projets et programmes destinés à garantir la promotion de la femme, de son intégration dans le processus de développement, la promotion et la protection des droits de l</w:t>
      </w:r>
      <w:r w:rsidR="00A24C87">
        <w:rPr>
          <w:lang w:val="fr-FR"/>
        </w:rPr>
        <w:t>’</w:t>
      </w:r>
      <w:r w:rsidR="00D80F06" w:rsidRPr="002D6CAB">
        <w:rPr>
          <w:lang w:val="fr-FR"/>
        </w:rPr>
        <w:t>enfant, des personnes handicapées et des personnes âgées.</w:t>
      </w:r>
    </w:p>
    <w:p w:rsidR="00D80F06" w:rsidRPr="002D6CAB" w:rsidRDefault="00C87B7B" w:rsidP="00C87B7B">
      <w:pPr>
        <w:pStyle w:val="SingleTxtG"/>
        <w:rPr>
          <w:lang w:val="fr-FR"/>
        </w:rPr>
      </w:pPr>
      <w:r w:rsidRPr="002D6CAB">
        <w:rPr>
          <w:lang w:val="fr-FR"/>
        </w:rPr>
        <w:t>49.</w:t>
      </w:r>
      <w:r w:rsidRPr="002D6CAB">
        <w:rPr>
          <w:lang w:val="fr-FR"/>
        </w:rPr>
        <w:tab/>
      </w:r>
      <w:r w:rsidR="00D80F06" w:rsidRPr="002D6CAB">
        <w:rPr>
          <w:lang w:val="fr-FR"/>
        </w:rPr>
        <w:t xml:space="preserve">La Commission Nationale des </w:t>
      </w:r>
      <w:r w:rsidR="009037FC">
        <w:rPr>
          <w:lang w:val="fr-FR"/>
        </w:rPr>
        <w:t>d</w:t>
      </w:r>
      <w:r w:rsidR="00D80F06" w:rsidRPr="002D6CAB">
        <w:rPr>
          <w:lang w:val="fr-FR"/>
        </w:rPr>
        <w:t>roits de l</w:t>
      </w:r>
      <w:r w:rsidR="00A24C87">
        <w:rPr>
          <w:lang w:val="fr-FR"/>
        </w:rPr>
        <w:t>’</w:t>
      </w:r>
      <w:r w:rsidR="009037FC">
        <w:rPr>
          <w:lang w:val="fr-FR"/>
        </w:rPr>
        <w:t>h</w:t>
      </w:r>
      <w:r w:rsidR="00D80F06" w:rsidRPr="002D6CAB">
        <w:rPr>
          <w:lang w:val="fr-FR"/>
        </w:rPr>
        <w:t>omme, institution constitutionnelle indépendante, accréditée au Statut A des institutions nationales des droits de l</w:t>
      </w:r>
      <w:r w:rsidR="00A24C87">
        <w:rPr>
          <w:lang w:val="fr-FR"/>
        </w:rPr>
        <w:t>’</w:t>
      </w:r>
      <w:r w:rsidR="00D80F06" w:rsidRPr="002D6CAB">
        <w:rPr>
          <w:lang w:val="fr-FR"/>
        </w:rPr>
        <w:t>homme a pour missions de donner, à la demande du gouvernement, ou sur sa propre initiative, un avis consultatif sur les questions d</w:t>
      </w:r>
      <w:r w:rsidR="00A24C87">
        <w:rPr>
          <w:lang w:val="fr-FR"/>
        </w:rPr>
        <w:t>’</w:t>
      </w:r>
      <w:r w:rsidR="00D80F06" w:rsidRPr="002D6CAB">
        <w:rPr>
          <w:lang w:val="fr-FR"/>
        </w:rPr>
        <w:t>ordre général ou spécifique, se rapportant à la promotion et à la protection des droits de l</w:t>
      </w:r>
      <w:r w:rsidR="00A24C87">
        <w:rPr>
          <w:lang w:val="fr-FR"/>
        </w:rPr>
        <w:t>’</w:t>
      </w:r>
      <w:r w:rsidR="00D80F06" w:rsidRPr="002D6CAB">
        <w:rPr>
          <w:lang w:val="fr-FR"/>
        </w:rPr>
        <w:t>homme au respect des libertés Individuelles et collectives.</w:t>
      </w:r>
      <w:r w:rsidR="00D80F06">
        <w:rPr>
          <w:lang w:val="fr-FR"/>
        </w:rPr>
        <w:t xml:space="preserve"> </w:t>
      </w:r>
    </w:p>
    <w:p w:rsidR="00D80F06" w:rsidRPr="002D6CAB" w:rsidRDefault="00C87B7B" w:rsidP="00C87B7B">
      <w:pPr>
        <w:pStyle w:val="SingleTxtG"/>
        <w:rPr>
          <w:lang w:val="fr-FR"/>
        </w:rPr>
      </w:pPr>
      <w:r w:rsidRPr="002D6CAB">
        <w:rPr>
          <w:lang w:val="fr-FR"/>
        </w:rPr>
        <w:t>50.</w:t>
      </w:r>
      <w:r w:rsidRPr="002D6CAB">
        <w:rPr>
          <w:lang w:val="fr-FR"/>
        </w:rPr>
        <w:tab/>
      </w:r>
      <w:r w:rsidR="00D80F06" w:rsidRPr="002D6CAB">
        <w:rPr>
          <w:lang w:val="fr-FR"/>
        </w:rPr>
        <w:t>Elle est composée majoritairement de représentants des organisations de la société civile, des ordres professionnels ayant voix délibératives et comprend des représentants des différentes administrations concernées qui ont voix consultatives. Elle est financée sur le budget de l</w:t>
      </w:r>
      <w:r w:rsidR="00A24C87">
        <w:rPr>
          <w:lang w:val="fr-FR"/>
        </w:rPr>
        <w:t>’</w:t>
      </w:r>
      <w:r w:rsidR="00B253B0">
        <w:rPr>
          <w:lang w:val="fr-FR"/>
        </w:rPr>
        <w:t>État</w:t>
      </w:r>
      <w:r w:rsidR="00D80F06" w:rsidRPr="002D6CAB">
        <w:rPr>
          <w:lang w:val="fr-FR"/>
        </w:rPr>
        <w:t xml:space="preserve"> sur une ligne distincte de celui-ci.</w:t>
      </w:r>
    </w:p>
    <w:p w:rsidR="00D80F06" w:rsidRPr="002D6CAB" w:rsidRDefault="00C87B7B" w:rsidP="00C87B7B">
      <w:pPr>
        <w:pStyle w:val="SingleTxtG"/>
        <w:rPr>
          <w:lang w:val="fr-FR"/>
        </w:rPr>
      </w:pPr>
      <w:r w:rsidRPr="002D6CAB">
        <w:rPr>
          <w:lang w:val="fr-FR"/>
        </w:rPr>
        <w:t>51.</w:t>
      </w:r>
      <w:r w:rsidRPr="002D6CAB">
        <w:rPr>
          <w:lang w:val="fr-FR"/>
        </w:rPr>
        <w:tab/>
      </w:r>
      <w:r w:rsidR="00D80F06" w:rsidRPr="002D6CAB">
        <w:rPr>
          <w:lang w:val="fr-FR"/>
        </w:rPr>
        <w:t>Les pouvoirs publics, ainsi que les organisations de défense des droits de l</w:t>
      </w:r>
      <w:r w:rsidR="00A24C87">
        <w:rPr>
          <w:lang w:val="fr-FR"/>
        </w:rPr>
        <w:t>’</w:t>
      </w:r>
      <w:r w:rsidR="00D80F06" w:rsidRPr="002D6CAB">
        <w:rPr>
          <w:lang w:val="fr-FR"/>
        </w:rPr>
        <w:t>homme diffusent par voie de presse, ateliers et autres supports promotionnels les différents instruments et conventions auxquels la Mauritanie est partie et les rendent accessibles en les explicitant au besoin dans les différentes langues nationales.</w:t>
      </w:r>
    </w:p>
    <w:p w:rsidR="00D80F06" w:rsidRPr="002D6CAB" w:rsidRDefault="00C87B7B" w:rsidP="00C87B7B">
      <w:pPr>
        <w:pStyle w:val="SingleTxtG"/>
        <w:rPr>
          <w:lang w:val="fr-FR"/>
        </w:rPr>
      </w:pPr>
      <w:r w:rsidRPr="002D6CAB">
        <w:rPr>
          <w:lang w:val="fr-FR"/>
        </w:rPr>
        <w:t>52.</w:t>
      </w:r>
      <w:r w:rsidRPr="002D6CAB">
        <w:rPr>
          <w:lang w:val="fr-FR"/>
        </w:rPr>
        <w:tab/>
      </w:r>
      <w:r w:rsidR="00D80F06" w:rsidRPr="002D6CAB">
        <w:rPr>
          <w:lang w:val="fr-FR"/>
        </w:rPr>
        <w:t xml:space="preserve">Le parlement légifère et veille à la conformité de la législation nationale avec les dispositions des normes internationales ratifiées. Le groupe parlementaire chargé des </w:t>
      </w:r>
      <w:r w:rsidR="009037FC">
        <w:rPr>
          <w:lang w:val="fr-FR"/>
        </w:rPr>
        <w:t>d</w:t>
      </w:r>
      <w:r w:rsidR="00D80F06" w:rsidRPr="002D6CAB">
        <w:rPr>
          <w:lang w:val="fr-FR"/>
        </w:rPr>
        <w:t>roits de l</w:t>
      </w:r>
      <w:r w:rsidR="00A24C87">
        <w:rPr>
          <w:lang w:val="fr-FR"/>
        </w:rPr>
        <w:t>’</w:t>
      </w:r>
      <w:r w:rsidR="009037FC">
        <w:rPr>
          <w:lang w:val="fr-FR"/>
        </w:rPr>
        <w:t>h</w:t>
      </w:r>
      <w:r w:rsidR="00D80F06" w:rsidRPr="002D6CAB">
        <w:rPr>
          <w:lang w:val="fr-FR"/>
        </w:rPr>
        <w:t>omme veille à la promotion et à la vulgarisation des principes des droits humains ainsi qu</w:t>
      </w:r>
      <w:r w:rsidR="00A24C87">
        <w:rPr>
          <w:lang w:val="fr-FR"/>
        </w:rPr>
        <w:t>’</w:t>
      </w:r>
      <w:r w:rsidR="00D80F06" w:rsidRPr="002D6CAB">
        <w:rPr>
          <w:lang w:val="fr-FR"/>
        </w:rPr>
        <w:t>à leur protection.</w:t>
      </w:r>
    </w:p>
    <w:p w:rsidR="00D80F06" w:rsidRPr="002D6CAB" w:rsidRDefault="00C87B7B" w:rsidP="00C87B7B">
      <w:pPr>
        <w:pStyle w:val="SingleTxtG"/>
        <w:rPr>
          <w:lang w:val="fr-FR"/>
        </w:rPr>
      </w:pPr>
      <w:r w:rsidRPr="002D6CAB">
        <w:rPr>
          <w:lang w:val="fr-FR"/>
        </w:rPr>
        <w:t>53.</w:t>
      </w:r>
      <w:r w:rsidRPr="002D6CAB">
        <w:rPr>
          <w:lang w:val="fr-FR"/>
        </w:rPr>
        <w:tab/>
      </w:r>
      <w:r w:rsidR="00D80F06" w:rsidRPr="002D6CAB">
        <w:rPr>
          <w:lang w:val="fr-FR"/>
        </w:rPr>
        <w:t>Le Mécanisme National de Prévention de la Torture veille au respect de la législation en vigueur dans ce domaine.</w:t>
      </w:r>
    </w:p>
    <w:p w:rsidR="00D80F06" w:rsidRPr="002D6CAB" w:rsidRDefault="00C87B7B" w:rsidP="00C87B7B">
      <w:pPr>
        <w:pStyle w:val="SingleTxtG"/>
        <w:rPr>
          <w:lang w:val="fr-FR"/>
        </w:rPr>
      </w:pPr>
      <w:r w:rsidRPr="002D6CAB">
        <w:rPr>
          <w:lang w:val="fr-FR"/>
        </w:rPr>
        <w:t>54.</w:t>
      </w:r>
      <w:r w:rsidRPr="002D6CAB">
        <w:rPr>
          <w:lang w:val="fr-FR"/>
        </w:rPr>
        <w:tab/>
      </w:r>
      <w:r w:rsidR="00D80F06" w:rsidRPr="002D6CAB">
        <w:rPr>
          <w:lang w:val="fr-FR"/>
        </w:rPr>
        <w:t xml:space="preserve">Le Haut Conseil de la </w:t>
      </w:r>
      <w:r w:rsidR="006B0381">
        <w:rPr>
          <w:lang w:val="fr-FR"/>
        </w:rPr>
        <w:t>f</w:t>
      </w:r>
      <w:r w:rsidR="00D80F06" w:rsidRPr="002D6CAB">
        <w:rPr>
          <w:lang w:val="fr-FR"/>
        </w:rPr>
        <w:t xml:space="preserve">atwa et des </w:t>
      </w:r>
      <w:r w:rsidR="006B0381">
        <w:rPr>
          <w:lang w:val="fr-FR"/>
        </w:rPr>
        <w:t>r</w:t>
      </w:r>
      <w:r w:rsidR="00D80F06" w:rsidRPr="002D6CAB">
        <w:rPr>
          <w:lang w:val="fr-FR"/>
        </w:rPr>
        <w:t xml:space="preserve">ecours </w:t>
      </w:r>
      <w:r w:rsidR="006B0381">
        <w:rPr>
          <w:lang w:val="fr-FR"/>
        </w:rPr>
        <w:t>g</w:t>
      </w:r>
      <w:r w:rsidR="00D80F06" w:rsidRPr="002D6CAB">
        <w:rPr>
          <w:lang w:val="fr-FR"/>
        </w:rPr>
        <w:t>racieux en fait de même dans son domaine de compétence.</w:t>
      </w:r>
    </w:p>
    <w:p w:rsidR="00D80F06" w:rsidRPr="002D6CAB" w:rsidRDefault="00C87B7B" w:rsidP="00C87B7B">
      <w:pPr>
        <w:pStyle w:val="SingleTxtG"/>
        <w:rPr>
          <w:lang w:val="fr-FR"/>
        </w:rPr>
      </w:pPr>
      <w:r w:rsidRPr="002D6CAB">
        <w:rPr>
          <w:lang w:val="fr-FR"/>
        </w:rPr>
        <w:t>55.</w:t>
      </w:r>
      <w:r w:rsidRPr="002D6CAB">
        <w:rPr>
          <w:lang w:val="fr-FR"/>
        </w:rPr>
        <w:tab/>
      </w:r>
      <w:r w:rsidR="00D80F06" w:rsidRPr="002D6CAB">
        <w:rPr>
          <w:lang w:val="fr-FR"/>
        </w:rPr>
        <w:t xml:space="preserve">Les associations sont régies par la loi </w:t>
      </w:r>
      <w:r w:rsidR="00C33BDF" w:rsidRPr="002D6CAB">
        <w:t>n</w:t>
      </w:r>
      <w:r w:rsidR="00C33BDF" w:rsidRPr="00BD5B0E">
        <w:rPr>
          <w:vertAlign w:val="superscript"/>
        </w:rPr>
        <w:t>o</w:t>
      </w:r>
      <w:r w:rsidR="00C33BDF">
        <w:t> </w:t>
      </w:r>
      <w:r w:rsidR="00D80F06" w:rsidRPr="002D6CAB">
        <w:rPr>
          <w:lang w:val="fr-FR"/>
        </w:rPr>
        <w:t xml:space="preserve">64.098 du 9 juin 1964 modifiée par la loi </w:t>
      </w:r>
      <w:r w:rsidR="00C33BDF" w:rsidRPr="002D6CAB">
        <w:t>n</w:t>
      </w:r>
      <w:r w:rsidR="00C33BDF" w:rsidRPr="00BD5B0E">
        <w:rPr>
          <w:vertAlign w:val="superscript"/>
        </w:rPr>
        <w:t>o</w:t>
      </w:r>
      <w:r w:rsidR="00C33BDF">
        <w:t> </w:t>
      </w:r>
      <w:r w:rsidR="00D80F06" w:rsidRPr="002D6CAB">
        <w:rPr>
          <w:lang w:val="fr-FR"/>
        </w:rPr>
        <w:t xml:space="preserve">73.007 du 23 juin 1973 et par la loi </w:t>
      </w:r>
      <w:r w:rsidR="00C33BDF" w:rsidRPr="002D6CAB">
        <w:t>n</w:t>
      </w:r>
      <w:r w:rsidR="00C33BDF" w:rsidRPr="00BD5B0E">
        <w:rPr>
          <w:vertAlign w:val="superscript"/>
        </w:rPr>
        <w:t>o</w:t>
      </w:r>
      <w:r w:rsidR="00C33BDF">
        <w:t> </w:t>
      </w:r>
      <w:r w:rsidR="00D80F06" w:rsidRPr="002D6CAB">
        <w:rPr>
          <w:lang w:val="fr-FR"/>
        </w:rPr>
        <w:t>73.157 du 2 juillet 1973. Plus de 6</w:t>
      </w:r>
      <w:r w:rsidR="00C33BDF">
        <w:rPr>
          <w:lang w:val="fr-FR"/>
        </w:rPr>
        <w:t> </w:t>
      </w:r>
      <w:r w:rsidR="00D80F06" w:rsidRPr="002D6CAB">
        <w:rPr>
          <w:lang w:val="fr-FR"/>
        </w:rPr>
        <w:t>028 ONG nationales et 57</w:t>
      </w:r>
      <w:r w:rsidR="007E184D">
        <w:rPr>
          <w:lang w:val="fr-FR"/>
        </w:rPr>
        <w:t> </w:t>
      </w:r>
      <w:r w:rsidR="00D80F06" w:rsidRPr="002D6CAB">
        <w:rPr>
          <w:lang w:val="fr-FR"/>
        </w:rPr>
        <w:t>organisations non gouvernementales internationales exercent leurs activités. Le nombre d</w:t>
      </w:r>
      <w:r w:rsidR="00A24C87">
        <w:rPr>
          <w:lang w:val="fr-FR"/>
        </w:rPr>
        <w:t>’</w:t>
      </w:r>
      <w:r w:rsidR="00D80F06" w:rsidRPr="002D6CAB">
        <w:rPr>
          <w:lang w:val="fr-FR"/>
        </w:rPr>
        <w:t>associations a nettement augmenté à partir de 2008 où il n</w:t>
      </w:r>
      <w:r w:rsidR="00A24C87">
        <w:rPr>
          <w:lang w:val="fr-FR"/>
        </w:rPr>
        <w:t>’</w:t>
      </w:r>
      <w:r w:rsidR="00D80F06" w:rsidRPr="002D6CAB">
        <w:rPr>
          <w:lang w:val="fr-FR"/>
        </w:rPr>
        <w:t>était que de 1</w:t>
      </w:r>
      <w:r w:rsidR="007E184D">
        <w:rPr>
          <w:lang w:val="fr-FR"/>
        </w:rPr>
        <w:t> </w:t>
      </w:r>
      <w:r w:rsidR="00D80F06" w:rsidRPr="002D6CAB">
        <w:rPr>
          <w:lang w:val="fr-FR"/>
        </w:rPr>
        <w:t>106 associations. Les associations</w:t>
      </w:r>
      <w:r w:rsidR="00D80F06">
        <w:rPr>
          <w:lang w:val="fr-FR"/>
        </w:rPr>
        <w:t xml:space="preserve"> sont actives dans les domaines</w:t>
      </w:r>
      <w:r w:rsidR="00D80F06" w:rsidRPr="002D6CAB">
        <w:rPr>
          <w:lang w:val="fr-FR"/>
        </w:rPr>
        <w:t xml:space="preserve"> des droits de l</w:t>
      </w:r>
      <w:r w:rsidR="00A24C87">
        <w:rPr>
          <w:lang w:val="fr-FR"/>
        </w:rPr>
        <w:t>’</w:t>
      </w:r>
      <w:r w:rsidR="00D80F06" w:rsidRPr="002D6CAB">
        <w:rPr>
          <w:lang w:val="fr-FR"/>
        </w:rPr>
        <w:t>homme, du social, du développement, de la santé, de l</w:t>
      </w:r>
      <w:r w:rsidR="00A24C87">
        <w:rPr>
          <w:lang w:val="fr-FR"/>
        </w:rPr>
        <w:t>’</w:t>
      </w:r>
      <w:r w:rsidR="00D80F06" w:rsidRPr="002D6CAB">
        <w:rPr>
          <w:lang w:val="fr-FR"/>
        </w:rPr>
        <w:t>environnement, de la culture, du sport, des arts, etc. Elles peuvent, sur demande, bénéficier d</w:t>
      </w:r>
      <w:r w:rsidR="00A24C87">
        <w:rPr>
          <w:lang w:val="fr-FR"/>
        </w:rPr>
        <w:t>’</w:t>
      </w:r>
      <w:r w:rsidR="00D80F06" w:rsidRPr="002D6CAB">
        <w:rPr>
          <w:lang w:val="fr-FR"/>
        </w:rPr>
        <w:t>exonérations fiscales sur le matériel destiné à la réalisation de leurs activités. Cette exonération est de droit lorsque l</w:t>
      </w:r>
      <w:r w:rsidR="00A24C87">
        <w:rPr>
          <w:lang w:val="fr-FR"/>
        </w:rPr>
        <w:t>’</w:t>
      </w:r>
      <w:r w:rsidR="00D80F06" w:rsidRPr="002D6CAB">
        <w:rPr>
          <w:lang w:val="fr-FR"/>
        </w:rPr>
        <w:t>association est déclarée d</w:t>
      </w:r>
      <w:r w:rsidR="00A24C87">
        <w:rPr>
          <w:lang w:val="fr-FR"/>
        </w:rPr>
        <w:t>’</w:t>
      </w:r>
      <w:r w:rsidR="00D80F06" w:rsidRPr="002D6CAB">
        <w:rPr>
          <w:lang w:val="fr-FR"/>
        </w:rPr>
        <w:t>utilité publique.</w:t>
      </w:r>
    </w:p>
    <w:p w:rsidR="00D80F06" w:rsidRPr="002D6CAB" w:rsidRDefault="00C87B7B" w:rsidP="00C87B7B">
      <w:pPr>
        <w:pStyle w:val="SingleTxtG"/>
        <w:rPr>
          <w:lang w:val="fr-FR"/>
        </w:rPr>
      </w:pPr>
      <w:bookmarkStart w:id="98" w:name="_Toc453672875"/>
      <w:bookmarkStart w:id="99" w:name="_Toc454388714"/>
      <w:bookmarkStart w:id="100" w:name="_Toc455364133"/>
      <w:r w:rsidRPr="002D6CAB">
        <w:rPr>
          <w:lang w:val="fr-FR"/>
        </w:rPr>
        <w:t>56.</w:t>
      </w:r>
      <w:r w:rsidRPr="002D6CAB">
        <w:rPr>
          <w:lang w:val="fr-FR"/>
        </w:rPr>
        <w:tab/>
      </w:r>
      <w:r w:rsidR="00D80F06" w:rsidRPr="002D6CAB">
        <w:rPr>
          <w:lang w:val="fr-FR"/>
        </w:rPr>
        <w:t>Reconnaissance de la compétence d</w:t>
      </w:r>
      <w:r w:rsidR="00A24C87">
        <w:rPr>
          <w:lang w:val="fr-FR"/>
        </w:rPr>
        <w:t>’</w:t>
      </w:r>
      <w:r w:rsidR="00D80F06" w:rsidRPr="002D6CAB">
        <w:rPr>
          <w:lang w:val="fr-FR"/>
        </w:rPr>
        <w:t>une cour régionale des droits de l</w:t>
      </w:r>
      <w:r w:rsidR="00A24C87">
        <w:rPr>
          <w:lang w:val="fr-FR"/>
        </w:rPr>
        <w:t>’</w:t>
      </w:r>
      <w:r w:rsidR="00D80F06" w:rsidRPr="002D6CAB">
        <w:rPr>
          <w:lang w:val="fr-FR"/>
        </w:rPr>
        <w:t>homme ou d</w:t>
      </w:r>
      <w:r w:rsidR="00A24C87">
        <w:rPr>
          <w:lang w:val="fr-FR"/>
        </w:rPr>
        <w:t>’</w:t>
      </w:r>
      <w:r w:rsidR="00D80F06" w:rsidRPr="002D6CAB">
        <w:rPr>
          <w:lang w:val="fr-FR"/>
        </w:rPr>
        <w:t>un mécanisme de cet ordre</w:t>
      </w:r>
      <w:bookmarkEnd w:id="98"/>
      <w:bookmarkEnd w:id="99"/>
      <w:bookmarkEnd w:id="100"/>
      <w:r w:rsidR="00D80F06" w:rsidRPr="002D6CAB">
        <w:rPr>
          <w:lang w:val="fr-FR"/>
        </w:rPr>
        <w:t> </w:t>
      </w:r>
    </w:p>
    <w:p w:rsidR="00D80F06" w:rsidRPr="002D6CAB" w:rsidRDefault="00C87B7B" w:rsidP="00C87B7B">
      <w:pPr>
        <w:pStyle w:val="SingleTxtG"/>
        <w:rPr>
          <w:lang w:val="fr-FR"/>
        </w:rPr>
      </w:pPr>
      <w:r w:rsidRPr="002D6CAB">
        <w:rPr>
          <w:lang w:val="fr-FR"/>
        </w:rPr>
        <w:t>57.</w:t>
      </w:r>
      <w:r w:rsidRPr="002D6CAB">
        <w:rPr>
          <w:lang w:val="fr-FR"/>
        </w:rPr>
        <w:tab/>
      </w:r>
      <w:r w:rsidR="00D80F06" w:rsidRPr="002D6CAB">
        <w:rPr>
          <w:lang w:val="fr-FR"/>
        </w:rPr>
        <w:t>La Mauritanie a souscrit à la compétence de la Cour africaine des droits de l</w:t>
      </w:r>
      <w:r w:rsidR="00A24C87">
        <w:rPr>
          <w:lang w:val="fr-FR"/>
        </w:rPr>
        <w:t>’</w:t>
      </w:r>
      <w:r w:rsidR="00D80F06" w:rsidRPr="002D6CAB">
        <w:rPr>
          <w:lang w:val="fr-FR"/>
        </w:rPr>
        <w:t xml:space="preserve">homme et des peuples. </w:t>
      </w:r>
      <w:bookmarkStart w:id="101" w:name="_Toc453672876"/>
    </w:p>
    <w:p w:rsidR="00D80F06" w:rsidRPr="00096F95" w:rsidRDefault="00A53065" w:rsidP="00027EE8">
      <w:pPr>
        <w:pStyle w:val="H23G"/>
      </w:pPr>
      <w:bookmarkStart w:id="102" w:name="_Toc455364134"/>
      <w:bookmarkStart w:id="103" w:name="_Toc498901337"/>
      <w:r>
        <w:lastRenderedPageBreak/>
        <w:tab/>
      </w:r>
      <w:r w:rsidR="00D80F06" w:rsidRPr="00096F95">
        <w:t>g)</w:t>
      </w:r>
      <w:r w:rsidR="00096F95" w:rsidRPr="00096F95">
        <w:tab/>
      </w:r>
      <w:r w:rsidR="00D80F06" w:rsidRPr="00096F95">
        <w:t>Diffusion des instruments relatifs aux droits de l</w:t>
      </w:r>
      <w:r w:rsidR="00A24C87">
        <w:t>’</w:t>
      </w:r>
      <w:r w:rsidR="00D80F06" w:rsidRPr="00096F95">
        <w:t>homme</w:t>
      </w:r>
      <w:bookmarkEnd w:id="101"/>
      <w:bookmarkEnd w:id="102"/>
      <w:bookmarkEnd w:id="103"/>
    </w:p>
    <w:p w:rsidR="00D80F06" w:rsidRPr="002D6CAB" w:rsidRDefault="00C87B7B" w:rsidP="00C87B7B">
      <w:pPr>
        <w:pStyle w:val="SingleTxtG"/>
        <w:rPr>
          <w:lang w:val="fr-FR"/>
        </w:rPr>
      </w:pPr>
      <w:r w:rsidRPr="002D6CAB">
        <w:rPr>
          <w:lang w:val="fr-FR"/>
        </w:rPr>
        <w:t>58.</w:t>
      </w:r>
      <w:r w:rsidRPr="002D6CAB">
        <w:rPr>
          <w:lang w:val="fr-FR"/>
        </w:rPr>
        <w:tab/>
      </w:r>
      <w:r w:rsidR="00D80F06" w:rsidRPr="002D6CAB">
        <w:rPr>
          <w:lang w:val="fr-FR"/>
        </w:rPr>
        <w:t>Plusieurs conventions ont fait l</w:t>
      </w:r>
      <w:r w:rsidR="00A24C87">
        <w:rPr>
          <w:lang w:val="fr-FR"/>
        </w:rPr>
        <w:t>’</w:t>
      </w:r>
      <w:r w:rsidR="00D80F06" w:rsidRPr="002D6CAB">
        <w:rPr>
          <w:lang w:val="fr-FR"/>
        </w:rPr>
        <w:t>objet de campagnes d</w:t>
      </w:r>
      <w:r w:rsidR="00A24C87">
        <w:rPr>
          <w:lang w:val="fr-FR"/>
        </w:rPr>
        <w:t>’</w:t>
      </w:r>
      <w:r w:rsidR="00D80F06" w:rsidRPr="002D6CAB">
        <w:rPr>
          <w:lang w:val="fr-FR"/>
        </w:rPr>
        <w:t>information et de sensibil</w:t>
      </w:r>
      <w:r w:rsidR="00D80F06">
        <w:rPr>
          <w:lang w:val="fr-FR"/>
        </w:rPr>
        <w:t>isation. Il s</w:t>
      </w:r>
      <w:r w:rsidR="00A24C87">
        <w:rPr>
          <w:lang w:val="fr-FR"/>
        </w:rPr>
        <w:t>’</w:t>
      </w:r>
      <w:r w:rsidR="00D80F06">
        <w:rPr>
          <w:lang w:val="fr-FR"/>
        </w:rPr>
        <w:t>agit notamment de</w:t>
      </w:r>
      <w:r w:rsidR="009573B0">
        <w:rPr>
          <w:lang w:val="fr-FR"/>
        </w:rPr>
        <w:t> </w:t>
      </w:r>
      <w:r w:rsidR="00D80F06" w:rsidRPr="002D6CAB">
        <w:rPr>
          <w:lang w:val="fr-FR"/>
        </w:rPr>
        <w:t>:</w:t>
      </w:r>
    </w:p>
    <w:p w:rsidR="00D80F06" w:rsidRPr="002D6CAB" w:rsidRDefault="00C87B7B" w:rsidP="00C87B7B">
      <w:pPr>
        <w:pStyle w:val="Bullet1G"/>
        <w:keepNext/>
        <w:numPr>
          <w:ilvl w:val="0"/>
          <w:numId w:val="0"/>
        </w:numPr>
        <w:tabs>
          <w:tab w:val="left" w:pos="1701"/>
        </w:tabs>
        <w:ind w:left="1701" w:hanging="170"/>
      </w:pPr>
      <w:bookmarkStart w:id="104" w:name="_Toc454388715"/>
      <w:r w:rsidRPr="002D6CAB">
        <w:t>•</w:t>
      </w:r>
      <w:r w:rsidRPr="002D6CAB">
        <w:tab/>
      </w:r>
      <w:r w:rsidR="00D80F06" w:rsidRPr="002D6CAB">
        <w:t>Convention sur l</w:t>
      </w:r>
      <w:r w:rsidR="00A24C87">
        <w:t>’</w:t>
      </w:r>
      <w:r w:rsidR="00D80F06" w:rsidRPr="002D6CAB">
        <w:t>élimination de toutes les formes de discrimination à l</w:t>
      </w:r>
      <w:r w:rsidR="00A24C87">
        <w:t>’</w:t>
      </w:r>
      <w:r w:rsidR="00D80F06" w:rsidRPr="002D6CAB">
        <w:t>égard des femmes</w:t>
      </w:r>
      <w:bookmarkEnd w:id="104"/>
      <w:r w:rsidR="00D80F06" w:rsidRPr="002D6CAB">
        <w:t>. La vulgarisation de cette convention a été concrétisée par</w:t>
      </w:r>
      <w:r w:rsidR="009573B0">
        <w:t> </w:t>
      </w:r>
      <w:r w:rsidR="00D80F06" w:rsidRPr="002D6CAB">
        <w:t>:</w:t>
      </w:r>
    </w:p>
    <w:p w:rsidR="00D80F06" w:rsidRPr="002D6CAB" w:rsidRDefault="00C87B7B" w:rsidP="00C87B7B">
      <w:pPr>
        <w:pStyle w:val="Bullet2G"/>
        <w:numPr>
          <w:ilvl w:val="0"/>
          <w:numId w:val="0"/>
        </w:numPr>
        <w:tabs>
          <w:tab w:val="left" w:pos="2268"/>
        </w:tabs>
        <w:ind w:left="2268" w:hanging="170"/>
      </w:pPr>
      <w:r w:rsidRPr="002D6CAB">
        <w:t>•</w:t>
      </w:r>
      <w:r w:rsidRPr="002D6CAB">
        <w:tab/>
      </w:r>
      <w:r w:rsidR="00096F95" w:rsidRPr="002D6CAB">
        <w:t>Sa traduction dan</w:t>
      </w:r>
      <w:r w:rsidR="009573B0">
        <w:t>s</w:t>
      </w:r>
      <w:r w:rsidR="009F5954">
        <w:t xml:space="preserve"> les quatre langues nationales ;</w:t>
      </w:r>
    </w:p>
    <w:p w:rsidR="00D80F06" w:rsidRPr="002D6CAB" w:rsidRDefault="00C87B7B" w:rsidP="00C87B7B">
      <w:pPr>
        <w:pStyle w:val="Bullet2G"/>
        <w:numPr>
          <w:ilvl w:val="0"/>
          <w:numId w:val="0"/>
        </w:numPr>
        <w:tabs>
          <w:tab w:val="left" w:pos="2268"/>
        </w:tabs>
        <w:ind w:left="2268" w:hanging="170"/>
      </w:pPr>
      <w:r w:rsidRPr="002D6CAB">
        <w:t>•</w:t>
      </w:r>
      <w:r w:rsidRPr="002D6CAB">
        <w:tab/>
      </w:r>
      <w:r w:rsidR="00096F95" w:rsidRPr="002D6CAB">
        <w:t>Sa simplification à travers un guide et l</w:t>
      </w:r>
      <w:r w:rsidR="00A24C87">
        <w:t>’</w:t>
      </w:r>
      <w:r w:rsidR="00096F95" w:rsidRPr="002D6CAB">
        <w:t>organisation de campagnes de sensibilisation à grande échelle, via les médias</w:t>
      </w:r>
      <w:r w:rsidR="009573B0">
        <w:t xml:space="preserve"> publics (radios et télévision) ;</w:t>
      </w:r>
      <w:r w:rsidR="00096F95" w:rsidRPr="002D6CAB">
        <w:t xml:space="preserve"> </w:t>
      </w:r>
    </w:p>
    <w:p w:rsidR="00D80F06" w:rsidRPr="002D6CAB" w:rsidRDefault="00C87B7B" w:rsidP="00C87B7B">
      <w:pPr>
        <w:pStyle w:val="Bullet2G"/>
        <w:numPr>
          <w:ilvl w:val="0"/>
          <w:numId w:val="0"/>
        </w:numPr>
        <w:tabs>
          <w:tab w:val="left" w:pos="2268"/>
        </w:tabs>
        <w:ind w:left="2268" w:hanging="170"/>
      </w:pPr>
      <w:r w:rsidRPr="002D6CAB">
        <w:t>•</w:t>
      </w:r>
      <w:r w:rsidRPr="002D6CAB">
        <w:tab/>
      </w:r>
      <w:r w:rsidR="00381CF0" w:rsidRPr="002D6CAB">
        <w:t xml:space="preserve">Des </w:t>
      </w:r>
      <w:r w:rsidR="00096F95" w:rsidRPr="002D6CAB">
        <w:t xml:space="preserve">campagnes de proximité effectuées par les </w:t>
      </w:r>
      <w:r w:rsidR="00381CF0" w:rsidRPr="002D6CAB">
        <w:t>ONG</w:t>
      </w:r>
      <w:r w:rsidR="009573B0">
        <w:t> ;</w:t>
      </w:r>
    </w:p>
    <w:p w:rsidR="00D80F06" w:rsidRPr="002D6CAB" w:rsidRDefault="00C87B7B" w:rsidP="00C87B7B">
      <w:pPr>
        <w:pStyle w:val="Bullet2G"/>
        <w:numPr>
          <w:ilvl w:val="0"/>
          <w:numId w:val="0"/>
        </w:numPr>
        <w:tabs>
          <w:tab w:val="left" w:pos="2268"/>
        </w:tabs>
        <w:ind w:left="2268" w:hanging="170"/>
      </w:pPr>
      <w:r w:rsidRPr="002D6CAB">
        <w:t>•</w:t>
      </w:r>
      <w:r w:rsidRPr="002D6CAB">
        <w:tab/>
      </w:r>
      <w:r w:rsidR="00096F95">
        <w:t xml:space="preserve">Et </w:t>
      </w:r>
      <w:r w:rsidR="00D80F06" w:rsidRPr="002D6CAB">
        <w:t>d</w:t>
      </w:r>
      <w:r w:rsidR="00A24C87">
        <w:t>’</w:t>
      </w:r>
      <w:r w:rsidR="00D80F06" w:rsidRPr="002D6CAB">
        <w:t>autres programmes supervisés par la cellule d</w:t>
      </w:r>
      <w:r w:rsidR="00096F95" w:rsidRPr="002D6CAB">
        <w:t xml:space="preserve">e communication du </w:t>
      </w:r>
      <w:r w:rsidR="00381CF0" w:rsidRPr="002D6CAB">
        <w:t xml:space="preserve">MASEF </w:t>
      </w:r>
      <w:r w:rsidR="00096F95" w:rsidRPr="002D6CAB">
        <w:t>à travers ses coordinations régionales</w:t>
      </w:r>
      <w:r w:rsidR="00D80F06" w:rsidRPr="002D6CAB">
        <w:t>.</w:t>
      </w:r>
    </w:p>
    <w:p w:rsidR="00D80F06" w:rsidRPr="002D6CAB" w:rsidRDefault="00C87B7B" w:rsidP="00C87B7B">
      <w:pPr>
        <w:pStyle w:val="Bullet1G"/>
        <w:numPr>
          <w:ilvl w:val="0"/>
          <w:numId w:val="0"/>
        </w:numPr>
        <w:tabs>
          <w:tab w:val="left" w:pos="1701"/>
        </w:tabs>
        <w:ind w:left="1701" w:hanging="170"/>
      </w:pPr>
      <w:bookmarkStart w:id="105" w:name="_Toc454388716"/>
      <w:r w:rsidRPr="002D6CAB">
        <w:t>•</w:t>
      </w:r>
      <w:r w:rsidRPr="002D6CAB">
        <w:tab/>
      </w:r>
      <w:r w:rsidR="00D80F06" w:rsidRPr="002D6CAB">
        <w:t>Convention relative aux droits de l</w:t>
      </w:r>
      <w:r w:rsidR="00A24C87">
        <w:t>’</w:t>
      </w:r>
      <w:r w:rsidR="00D80F06" w:rsidRPr="002D6CAB">
        <w:t>enfant</w:t>
      </w:r>
      <w:bookmarkEnd w:id="105"/>
      <w:r w:rsidR="00D80F06" w:rsidRPr="002D6CAB">
        <w:t>. Cette convention a fait l</w:t>
      </w:r>
      <w:r w:rsidR="00A24C87">
        <w:t>’</w:t>
      </w:r>
      <w:r w:rsidR="00D80F06" w:rsidRPr="002D6CAB">
        <w:t xml:space="preserve">objet de diffusion à </w:t>
      </w:r>
      <w:r w:rsidR="00D80F06" w:rsidRPr="00096F95">
        <w:rPr>
          <w:lang w:val="fr-FR"/>
        </w:rPr>
        <w:t>travers</w:t>
      </w:r>
      <w:r w:rsidR="009573B0">
        <w:rPr>
          <w:lang w:val="fr-FR"/>
        </w:rPr>
        <w:t> </w:t>
      </w:r>
      <w:r w:rsidR="00D80F06" w:rsidRPr="002D6CAB">
        <w:t>:</w:t>
      </w:r>
    </w:p>
    <w:p w:rsidR="00D80F06" w:rsidRPr="002D6CAB" w:rsidRDefault="00C87B7B" w:rsidP="00C87B7B">
      <w:pPr>
        <w:pStyle w:val="Bullet2G"/>
        <w:numPr>
          <w:ilvl w:val="0"/>
          <w:numId w:val="0"/>
        </w:numPr>
        <w:tabs>
          <w:tab w:val="left" w:pos="2268"/>
        </w:tabs>
        <w:ind w:left="2268" w:hanging="170"/>
      </w:pPr>
      <w:r w:rsidRPr="002D6CAB">
        <w:t>•</w:t>
      </w:r>
      <w:r w:rsidRPr="002D6CAB">
        <w:tab/>
      </w:r>
      <w:r w:rsidR="00D80F06" w:rsidRPr="002D6CAB">
        <w:t>L</w:t>
      </w:r>
      <w:r w:rsidR="00A24C87">
        <w:t>’</w:t>
      </w:r>
      <w:r w:rsidR="00D80F06" w:rsidRPr="002D6CAB">
        <w:t>élaboration d</w:t>
      </w:r>
      <w:r w:rsidR="00A24C87">
        <w:t>’</w:t>
      </w:r>
      <w:r w:rsidR="00D80F06" w:rsidRPr="002D6CAB">
        <w:t>un guide simplifié sur la convention et sa vulgarisation</w:t>
      </w:r>
      <w:r w:rsidR="009573B0">
        <w:t> ;</w:t>
      </w:r>
      <w:r w:rsidR="00D80F06">
        <w:t xml:space="preserve"> </w:t>
      </w:r>
    </w:p>
    <w:p w:rsidR="00D80F06" w:rsidRPr="002D6CAB" w:rsidRDefault="00C87B7B" w:rsidP="00C87B7B">
      <w:pPr>
        <w:pStyle w:val="Bullet2G"/>
        <w:numPr>
          <w:ilvl w:val="0"/>
          <w:numId w:val="0"/>
        </w:numPr>
        <w:tabs>
          <w:tab w:val="left" w:pos="2268"/>
        </w:tabs>
        <w:ind w:left="2268" w:hanging="170"/>
      </w:pPr>
      <w:r w:rsidRPr="002D6CAB">
        <w:t>•</w:t>
      </w:r>
      <w:r w:rsidRPr="002D6CAB">
        <w:tab/>
      </w:r>
      <w:r w:rsidR="00D80F06" w:rsidRPr="002D6CAB">
        <w:t>La création dans les régions de mouvements</w:t>
      </w:r>
      <w:r w:rsidR="00D80F06">
        <w:t xml:space="preserve"> </w:t>
      </w:r>
      <w:r w:rsidR="00D80F06" w:rsidRPr="002D6CAB">
        <w:t>des droits de l</w:t>
      </w:r>
      <w:r w:rsidR="00A24C87">
        <w:t>’</w:t>
      </w:r>
      <w:r w:rsidR="00D80F06" w:rsidRPr="002D6CAB">
        <w:t>enfant composés essentiellement de cellules départementales de promotion des droits de l</w:t>
      </w:r>
      <w:r w:rsidR="00A24C87">
        <w:t>’</w:t>
      </w:r>
      <w:r w:rsidR="00D80F06" w:rsidRPr="002D6CAB">
        <w:t>enfant</w:t>
      </w:r>
      <w:r w:rsidR="009573B0">
        <w:t> ;</w:t>
      </w:r>
      <w:r w:rsidR="00D80F06" w:rsidRPr="002D6CAB">
        <w:t xml:space="preserve"> </w:t>
      </w:r>
    </w:p>
    <w:p w:rsidR="00D80F06" w:rsidRPr="002D6CAB" w:rsidRDefault="00C87B7B" w:rsidP="00C87B7B">
      <w:pPr>
        <w:pStyle w:val="Bullet2G"/>
        <w:numPr>
          <w:ilvl w:val="0"/>
          <w:numId w:val="0"/>
        </w:numPr>
        <w:tabs>
          <w:tab w:val="left" w:pos="2268"/>
        </w:tabs>
        <w:ind w:left="2268" w:hanging="170"/>
      </w:pPr>
      <w:r w:rsidRPr="002D6CAB">
        <w:t>•</w:t>
      </w:r>
      <w:r w:rsidRPr="002D6CAB">
        <w:tab/>
      </w:r>
      <w:r w:rsidR="00D80F06" w:rsidRPr="002D6CAB">
        <w:t>L</w:t>
      </w:r>
      <w:r w:rsidR="00A24C87">
        <w:t>’</w:t>
      </w:r>
      <w:r w:rsidR="00D80F06" w:rsidRPr="002D6CAB">
        <w:t>organisation annuelle de campagnes de sensibilisation</w:t>
      </w:r>
      <w:r w:rsidR="00D80F06">
        <w:t xml:space="preserve"> </w:t>
      </w:r>
      <w:r w:rsidR="00D80F06" w:rsidRPr="002D6CAB">
        <w:t>sur les droits de l</w:t>
      </w:r>
      <w:r w:rsidR="00A24C87">
        <w:t>’</w:t>
      </w:r>
      <w:r w:rsidR="00D80F06" w:rsidRPr="002D6CAB">
        <w:t>enfant lors des journées de l</w:t>
      </w:r>
      <w:r w:rsidR="00A24C87">
        <w:t>’</w:t>
      </w:r>
      <w:r w:rsidR="00D80F06" w:rsidRPr="002D6CAB">
        <w:t>enfance</w:t>
      </w:r>
      <w:r w:rsidR="009573B0">
        <w:t> ;</w:t>
      </w:r>
    </w:p>
    <w:p w:rsidR="00D80F06" w:rsidRPr="002D6CAB" w:rsidRDefault="00C87B7B" w:rsidP="00C87B7B">
      <w:pPr>
        <w:pStyle w:val="Bullet2G"/>
        <w:numPr>
          <w:ilvl w:val="0"/>
          <w:numId w:val="0"/>
        </w:numPr>
        <w:tabs>
          <w:tab w:val="left" w:pos="2268"/>
        </w:tabs>
        <w:ind w:left="2268" w:hanging="170"/>
      </w:pPr>
      <w:r w:rsidRPr="002D6CAB">
        <w:t>•</w:t>
      </w:r>
      <w:r w:rsidRPr="002D6CAB">
        <w:tab/>
      </w:r>
      <w:r w:rsidR="00D80F06" w:rsidRPr="002D6CAB">
        <w:t>La formation des acteurs de la société civile sur</w:t>
      </w:r>
      <w:r w:rsidR="00D80F06">
        <w:t xml:space="preserve"> </w:t>
      </w:r>
      <w:r w:rsidR="00D80F06" w:rsidRPr="002D6CAB">
        <w:t>les droits de l</w:t>
      </w:r>
      <w:r w:rsidR="00A24C87">
        <w:t>’</w:t>
      </w:r>
      <w:r w:rsidR="00D80F06" w:rsidRPr="002D6CAB">
        <w:t>enfant.</w:t>
      </w:r>
    </w:p>
    <w:p w:rsidR="00D80F06" w:rsidRPr="002D6CAB" w:rsidRDefault="00C87B7B" w:rsidP="00C87B7B">
      <w:pPr>
        <w:pStyle w:val="Bullet1G"/>
        <w:numPr>
          <w:ilvl w:val="0"/>
          <w:numId w:val="0"/>
        </w:numPr>
        <w:tabs>
          <w:tab w:val="left" w:pos="1701"/>
        </w:tabs>
        <w:ind w:left="1701" w:hanging="170"/>
      </w:pPr>
      <w:bookmarkStart w:id="106" w:name="_Toc454388717"/>
      <w:r w:rsidRPr="002D6CAB">
        <w:t>•</w:t>
      </w:r>
      <w:r w:rsidRPr="002D6CAB">
        <w:tab/>
      </w:r>
      <w:r w:rsidR="00D80F06" w:rsidRPr="002D6CAB">
        <w:t>Convention internationale relative aux droits des personnes handicapées</w:t>
      </w:r>
      <w:bookmarkEnd w:id="106"/>
      <w:r w:rsidR="00D80F06">
        <w:t xml:space="preserve"> </w:t>
      </w:r>
      <w:r w:rsidR="00D80F06" w:rsidRPr="002D6CAB">
        <w:t>Elle a été</w:t>
      </w:r>
      <w:r w:rsidR="00D80F06">
        <w:t xml:space="preserve"> </w:t>
      </w:r>
      <w:r w:rsidR="00D80F06" w:rsidRPr="002D6CAB">
        <w:t>vulgarisée à travers</w:t>
      </w:r>
      <w:r w:rsidR="00FB29A2">
        <w:t> :</w:t>
      </w:r>
    </w:p>
    <w:p w:rsidR="00D80F06" w:rsidRPr="002D6CAB" w:rsidRDefault="00C87B7B" w:rsidP="00C87B7B">
      <w:pPr>
        <w:pStyle w:val="Bullet2G"/>
        <w:numPr>
          <w:ilvl w:val="0"/>
          <w:numId w:val="0"/>
        </w:numPr>
        <w:tabs>
          <w:tab w:val="left" w:pos="2268"/>
        </w:tabs>
        <w:ind w:left="2268" w:hanging="170"/>
      </w:pPr>
      <w:r w:rsidRPr="002D6CAB">
        <w:t>•</w:t>
      </w:r>
      <w:r w:rsidRPr="002D6CAB">
        <w:tab/>
      </w:r>
      <w:r w:rsidR="00D80F06" w:rsidRPr="002D6CAB">
        <w:t>L</w:t>
      </w:r>
      <w:r w:rsidR="00A24C87">
        <w:t>’</w:t>
      </w:r>
      <w:r w:rsidR="00D80F06" w:rsidRPr="002D6CAB">
        <w:t>organisation de campagnes dans toutes les Wilayas du pays</w:t>
      </w:r>
      <w:r w:rsidR="009573B0">
        <w:t> ;</w:t>
      </w:r>
    </w:p>
    <w:p w:rsidR="00D80F06" w:rsidRPr="002D6CAB" w:rsidRDefault="00C87B7B" w:rsidP="00C87B7B">
      <w:pPr>
        <w:pStyle w:val="Bullet2G"/>
        <w:numPr>
          <w:ilvl w:val="0"/>
          <w:numId w:val="0"/>
        </w:numPr>
        <w:tabs>
          <w:tab w:val="left" w:pos="2268"/>
        </w:tabs>
        <w:ind w:left="2268" w:hanging="170"/>
      </w:pPr>
      <w:r w:rsidRPr="002D6CAB">
        <w:t>•</w:t>
      </w:r>
      <w:r w:rsidRPr="002D6CAB">
        <w:tab/>
      </w:r>
      <w:r w:rsidR="00D80F06" w:rsidRPr="002D6CAB">
        <w:t>L</w:t>
      </w:r>
      <w:r w:rsidR="00A24C87">
        <w:t>’</w:t>
      </w:r>
      <w:r w:rsidR="00D80F06" w:rsidRPr="002D6CAB">
        <w:t>élaboration d</w:t>
      </w:r>
      <w:r w:rsidR="00A24C87">
        <w:t>’</w:t>
      </w:r>
      <w:r w:rsidR="00D80F06" w:rsidRPr="002D6CAB">
        <w:t>un guide simplifié sur les dispositions de la convention</w:t>
      </w:r>
      <w:r w:rsidR="009573B0">
        <w:t> ;</w:t>
      </w:r>
    </w:p>
    <w:p w:rsidR="00D80F06" w:rsidRPr="002D6CAB" w:rsidRDefault="00C87B7B" w:rsidP="00C87B7B">
      <w:pPr>
        <w:pStyle w:val="Bullet2G"/>
        <w:numPr>
          <w:ilvl w:val="0"/>
          <w:numId w:val="0"/>
        </w:numPr>
        <w:tabs>
          <w:tab w:val="left" w:pos="2268"/>
        </w:tabs>
        <w:ind w:left="2268" w:hanging="170"/>
      </w:pPr>
      <w:r w:rsidRPr="002D6CAB">
        <w:t>•</w:t>
      </w:r>
      <w:r w:rsidRPr="002D6CAB">
        <w:tab/>
      </w:r>
      <w:r w:rsidR="00D80F06" w:rsidRPr="002D6CAB">
        <w:t>La formation de plusieurs organisations de personnes handicapées.</w:t>
      </w:r>
    </w:p>
    <w:p w:rsidR="00D80F06" w:rsidRPr="002D6CAB" w:rsidRDefault="00C87B7B" w:rsidP="00C87B7B">
      <w:pPr>
        <w:pStyle w:val="Bullet1G"/>
        <w:numPr>
          <w:ilvl w:val="0"/>
          <w:numId w:val="0"/>
        </w:numPr>
        <w:tabs>
          <w:tab w:val="left" w:pos="1701"/>
        </w:tabs>
        <w:ind w:left="1701" w:hanging="170"/>
      </w:pPr>
      <w:bookmarkStart w:id="107" w:name="_Toc454388718"/>
      <w:r w:rsidRPr="002D6CAB">
        <w:t>•</w:t>
      </w:r>
      <w:r w:rsidRPr="002D6CAB">
        <w:tab/>
      </w:r>
      <w:r w:rsidR="00D80F06" w:rsidRPr="002D6CAB">
        <w:t>Convention contre la torture et autres peines ou traitements cruels, inhumains ou dégradants</w:t>
      </w:r>
      <w:bookmarkEnd w:id="107"/>
      <w:r w:rsidR="00D80F06" w:rsidRPr="002D6CAB">
        <w:t>. Plusieurs activités de vulgarisation de cette convention ont été organisées</w:t>
      </w:r>
      <w:r w:rsidR="00FB29A2">
        <w:t> :</w:t>
      </w:r>
    </w:p>
    <w:p w:rsidR="00D80F06" w:rsidRPr="002D6CAB" w:rsidRDefault="00C87B7B" w:rsidP="00C87B7B">
      <w:pPr>
        <w:pStyle w:val="Bullet2G"/>
        <w:numPr>
          <w:ilvl w:val="0"/>
          <w:numId w:val="0"/>
        </w:numPr>
        <w:tabs>
          <w:tab w:val="left" w:pos="2268"/>
        </w:tabs>
        <w:ind w:left="2268" w:hanging="170"/>
        <w:rPr>
          <w:lang w:val="fr-FR"/>
        </w:rPr>
      </w:pPr>
      <w:r w:rsidRPr="002D6CAB">
        <w:rPr>
          <w:lang w:val="fr-FR"/>
        </w:rPr>
        <w:t>•</w:t>
      </w:r>
      <w:r w:rsidRPr="002D6CAB">
        <w:rPr>
          <w:lang w:val="fr-FR"/>
        </w:rPr>
        <w:tab/>
      </w:r>
      <w:r w:rsidR="00D80F06" w:rsidRPr="002D6CAB">
        <w:rPr>
          <w:lang w:val="fr-FR"/>
        </w:rPr>
        <w:t>Des séminaires de formation et de sensibilisation</w:t>
      </w:r>
      <w:r w:rsidR="00D80F06">
        <w:rPr>
          <w:lang w:val="fr-FR"/>
        </w:rPr>
        <w:t xml:space="preserve"> </w:t>
      </w:r>
      <w:r w:rsidR="00D80F06" w:rsidRPr="002D6CAB">
        <w:rPr>
          <w:lang w:val="fr-FR"/>
        </w:rPr>
        <w:t>à l</w:t>
      </w:r>
      <w:r w:rsidR="00A24C87">
        <w:rPr>
          <w:lang w:val="fr-FR"/>
        </w:rPr>
        <w:t>’</w:t>
      </w:r>
      <w:r w:rsidR="00D80F06" w:rsidRPr="002D6CAB">
        <w:rPr>
          <w:lang w:val="fr-FR"/>
        </w:rPr>
        <w:t>intention des éléments des forces</w:t>
      </w:r>
      <w:r w:rsidR="00D80F06">
        <w:rPr>
          <w:lang w:val="fr-FR"/>
        </w:rPr>
        <w:t xml:space="preserve"> </w:t>
      </w:r>
      <w:r w:rsidR="00D80F06" w:rsidRPr="002D6CAB">
        <w:rPr>
          <w:lang w:val="fr-FR"/>
        </w:rPr>
        <w:t>de l</w:t>
      </w:r>
      <w:r w:rsidR="00A24C87">
        <w:rPr>
          <w:lang w:val="fr-FR"/>
        </w:rPr>
        <w:t>’</w:t>
      </w:r>
      <w:r w:rsidR="00D80F06" w:rsidRPr="002D6CAB">
        <w:rPr>
          <w:lang w:val="fr-FR"/>
        </w:rPr>
        <w:t>ordre dans le domaine de l</w:t>
      </w:r>
      <w:r w:rsidR="00A24C87">
        <w:rPr>
          <w:lang w:val="fr-FR"/>
        </w:rPr>
        <w:t>’</w:t>
      </w:r>
      <w:r w:rsidR="00D80F06" w:rsidRPr="002D6CAB">
        <w:rPr>
          <w:lang w:val="fr-FR"/>
        </w:rPr>
        <w:t xml:space="preserve">interdiction de la torture et autres peines et traitements </w:t>
      </w:r>
      <w:r w:rsidR="009F5954">
        <w:rPr>
          <w:lang w:val="fr-FR"/>
        </w:rPr>
        <w:t>inhumains, cruels ou dégradants ;</w:t>
      </w:r>
    </w:p>
    <w:p w:rsidR="00D80F06" w:rsidRPr="002D6CAB" w:rsidRDefault="00C87B7B" w:rsidP="00C87B7B">
      <w:pPr>
        <w:pStyle w:val="Bullet2G"/>
        <w:numPr>
          <w:ilvl w:val="0"/>
          <w:numId w:val="0"/>
        </w:numPr>
        <w:tabs>
          <w:tab w:val="left" w:pos="2268"/>
        </w:tabs>
        <w:ind w:left="2268" w:hanging="170"/>
        <w:rPr>
          <w:lang w:val="fr-FR"/>
        </w:rPr>
      </w:pPr>
      <w:r w:rsidRPr="002D6CAB">
        <w:rPr>
          <w:lang w:val="fr-FR"/>
        </w:rPr>
        <w:t>•</w:t>
      </w:r>
      <w:r w:rsidRPr="002D6CAB">
        <w:rPr>
          <w:lang w:val="fr-FR"/>
        </w:rPr>
        <w:tab/>
      </w:r>
      <w:r w:rsidR="00D80F06" w:rsidRPr="002D6CAB">
        <w:rPr>
          <w:lang w:val="fr-FR"/>
        </w:rPr>
        <w:t>Des ateliers</w:t>
      </w:r>
      <w:r w:rsidR="00D80F06">
        <w:rPr>
          <w:lang w:val="fr-FR"/>
        </w:rPr>
        <w:t xml:space="preserve"> </w:t>
      </w:r>
      <w:r w:rsidR="00D80F06" w:rsidRPr="002D6CAB">
        <w:rPr>
          <w:lang w:val="fr-FR"/>
        </w:rPr>
        <w:t>au profit des magistrats et officiers de police judiciaire sur la garde à vue</w:t>
      </w:r>
      <w:r w:rsidR="00D80F06">
        <w:rPr>
          <w:lang w:val="fr-FR"/>
        </w:rPr>
        <w:t xml:space="preserve"> </w:t>
      </w:r>
      <w:r w:rsidR="00D80F06" w:rsidRPr="002D6CAB">
        <w:rPr>
          <w:lang w:val="fr-FR"/>
        </w:rPr>
        <w:t>et</w:t>
      </w:r>
      <w:r w:rsidR="00D80F06">
        <w:rPr>
          <w:lang w:val="fr-FR"/>
        </w:rPr>
        <w:t xml:space="preserve"> </w:t>
      </w:r>
      <w:r w:rsidR="00D80F06" w:rsidRPr="002D6CAB">
        <w:rPr>
          <w:lang w:val="fr-FR"/>
        </w:rPr>
        <w:t>la lutte contre la torture</w:t>
      </w:r>
      <w:r w:rsidR="009F5954">
        <w:rPr>
          <w:lang w:val="fr-FR"/>
        </w:rPr>
        <w:t>.</w:t>
      </w:r>
    </w:p>
    <w:p w:rsidR="00D80F06" w:rsidRPr="002D6CAB" w:rsidRDefault="00C87B7B" w:rsidP="00C87B7B">
      <w:pPr>
        <w:pStyle w:val="Bullet2G"/>
        <w:numPr>
          <w:ilvl w:val="0"/>
          <w:numId w:val="0"/>
        </w:numPr>
        <w:tabs>
          <w:tab w:val="left" w:pos="2268"/>
        </w:tabs>
        <w:ind w:left="2268" w:hanging="170"/>
        <w:rPr>
          <w:lang w:val="fr-FR"/>
        </w:rPr>
      </w:pPr>
      <w:r w:rsidRPr="002D6CAB">
        <w:rPr>
          <w:lang w:val="fr-FR"/>
        </w:rPr>
        <w:t>•</w:t>
      </w:r>
      <w:r w:rsidRPr="002D6CAB">
        <w:rPr>
          <w:lang w:val="fr-FR"/>
        </w:rPr>
        <w:tab/>
      </w:r>
      <w:r w:rsidR="00D80F06" w:rsidRPr="002D6CAB">
        <w:rPr>
          <w:lang w:val="fr-FR"/>
        </w:rPr>
        <w:t>Les autorités administratives et judiciaires sont tenues d</w:t>
      </w:r>
      <w:r w:rsidR="00A24C87">
        <w:rPr>
          <w:lang w:val="fr-FR"/>
        </w:rPr>
        <w:t>’</w:t>
      </w:r>
      <w:r w:rsidR="00D80F06" w:rsidRPr="002D6CAB">
        <w:rPr>
          <w:lang w:val="fr-FR"/>
        </w:rPr>
        <w:t>ouvrir systématiquement des enquêtes dès qu</w:t>
      </w:r>
      <w:r w:rsidR="00A24C87">
        <w:rPr>
          <w:lang w:val="fr-FR"/>
        </w:rPr>
        <w:t>’</w:t>
      </w:r>
      <w:r w:rsidR="00D80F06" w:rsidRPr="002D6CAB">
        <w:rPr>
          <w:lang w:val="fr-FR"/>
        </w:rPr>
        <w:t>il y a allégation de torture.</w:t>
      </w:r>
    </w:p>
    <w:p w:rsidR="00D80F06" w:rsidRPr="002D6CAB" w:rsidRDefault="00C87B7B" w:rsidP="00C87B7B">
      <w:pPr>
        <w:pStyle w:val="Bullet2G"/>
        <w:numPr>
          <w:ilvl w:val="0"/>
          <w:numId w:val="0"/>
        </w:numPr>
        <w:tabs>
          <w:tab w:val="left" w:pos="2268"/>
        </w:tabs>
        <w:ind w:left="2268" w:hanging="170"/>
        <w:rPr>
          <w:lang w:val="fr-FR"/>
        </w:rPr>
      </w:pPr>
      <w:r w:rsidRPr="002D6CAB">
        <w:rPr>
          <w:lang w:val="fr-FR"/>
        </w:rPr>
        <w:t>•</w:t>
      </w:r>
      <w:r w:rsidRPr="002D6CAB">
        <w:rPr>
          <w:lang w:val="fr-FR"/>
        </w:rPr>
        <w:tab/>
      </w:r>
      <w:r w:rsidR="00D80F06" w:rsidRPr="002D6CAB">
        <w:rPr>
          <w:lang w:val="fr-FR"/>
        </w:rPr>
        <w:t>Les sanctions, s</w:t>
      </w:r>
      <w:r w:rsidR="00A24C87">
        <w:rPr>
          <w:lang w:val="fr-FR"/>
        </w:rPr>
        <w:t>’</w:t>
      </w:r>
      <w:r w:rsidR="00D80F06" w:rsidRPr="002D6CAB">
        <w:rPr>
          <w:lang w:val="fr-FR"/>
        </w:rPr>
        <w:t>il y</w:t>
      </w:r>
      <w:r w:rsidR="00381CF0">
        <w:rPr>
          <w:lang w:val="fr-FR"/>
        </w:rPr>
        <w:t xml:space="preserve"> </w:t>
      </w:r>
      <w:r w:rsidR="00D80F06" w:rsidRPr="002D6CAB">
        <w:rPr>
          <w:lang w:val="fr-FR"/>
        </w:rPr>
        <w:t xml:space="preserve">a lieu, sont celles prévues par la loi </w:t>
      </w:r>
      <w:r w:rsidR="00C33BDF" w:rsidRPr="002D6CAB">
        <w:t>n</w:t>
      </w:r>
      <w:r w:rsidR="00C33BDF" w:rsidRPr="00BD5B0E">
        <w:rPr>
          <w:vertAlign w:val="superscript"/>
        </w:rPr>
        <w:t>o</w:t>
      </w:r>
      <w:r w:rsidR="00C33BDF">
        <w:t> </w:t>
      </w:r>
      <w:r w:rsidR="00D80F06" w:rsidRPr="002D6CAB">
        <w:rPr>
          <w:lang w:val="fr-FR"/>
        </w:rPr>
        <w:t>2015.033 du 10</w:t>
      </w:r>
      <w:r w:rsidR="00C33BDF">
        <w:rPr>
          <w:lang w:val="fr-FR"/>
        </w:rPr>
        <w:t> </w:t>
      </w:r>
      <w:r w:rsidR="00D80F06" w:rsidRPr="002D6CAB">
        <w:rPr>
          <w:lang w:val="fr-FR"/>
        </w:rPr>
        <w:t xml:space="preserve">septembre 2015 portant répression de la torture. </w:t>
      </w:r>
    </w:p>
    <w:p w:rsidR="00D80F06" w:rsidRPr="002D6CAB" w:rsidRDefault="00C87B7B" w:rsidP="00C87B7B">
      <w:pPr>
        <w:pStyle w:val="SingleTxtG"/>
      </w:pPr>
      <w:r w:rsidRPr="002D6CAB">
        <w:t>59.</w:t>
      </w:r>
      <w:r w:rsidRPr="002D6CAB">
        <w:tab/>
      </w:r>
      <w:r w:rsidR="00D80F06" w:rsidRPr="002D6CAB">
        <w:rPr>
          <w:lang w:val="fr-FR"/>
        </w:rPr>
        <w:t>Tous les instruments internationaux objet de contrôle des organes de traités ratifiés par la Mauritanie</w:t>
      </w:r>
      <w:r w:rsidR="00D80F06" w:rsidRPr="002D6CAB">
        <w:t xml:space="preserve"> ont été publiés au journal officiel. </w:t>
      </w:r>
    </w:p>
    <w:p w:rsidR="00D80F06" w:rsidRPr="00DE2934" w:rsidRDefault="00DE2934" w:rsidP="00027EE8">
      <w:pPr>
        <w:pStyle w:val="H23G"/>
      </w:pPr>
      <w:bookmarkStart w:id="108" w:name="_Toc453672877"/>
      <w:bookmarkStart w:id="109" w:name="_Toc454388719"/>
      <w:bookmarkStart w:id="110" w:name="_Toc455364135"/>
      <w:bookmarkStart w:id="111" w:name="_Toc498901338"/>
      <w:r>
        <w:tab/>
      </w:r>
      <w:r w:rsidR="00D80F06" w:rsidRPr="00DE2934">
        <w:t>h)</w:t>
      </w:r>
      <w:r w:rsidRPr="00DE2934">
        <w:tab/>
      </w:r>
      <w:r w:rsidR="00D80F06" w:rsidRPr="00DE2934">
        <w:t>Actions de sensibilisation des agents publics et d</w:t>
      </w:r>
      <w:r w:rsidR="00A24C87">
        <w:t>’</w:t>
      </w:r>
      <w:r w:rsidR="00D80F06" w:rsidRPr="00DE2934">
        <w:t xml:space="preserve">autres professionnels </w:t>
      </w:r>
      <w:r w:rsidR="009F5954">
        <w:br/>
      </w:r>
      <w:r w:rsidR="00D80F06" w:rsidRPr="00DE2934">
        <w:t>des droits de l</w:t>
      </w:r>
      <w:r w:rsidR="00A24C87">
        <w:t>’</w:t>
      </w:r>
      <w:r w:rsidR="00D80F06" w:rsidRPr="00DE2934">
        <w:t>homme</w:t>
      </w:r>
      <w:bookmarkEnd w:id="108"/>
      <w:bookmarkEnd w:id="109"/>
      <w:bookmarkEnd w:id="110"/>
      <w:bookmarkEnd w:id="111"/>
    </w:p>
    <w:p w:rsidR="00D80F06" w:rsidRPr="002D6CAB" w:rsidRDefault="00C87B7B" w:rsidP="00C87B7B">
      <w:pPr>
        <w:pStyle w:val="SingleTxtG"/>
        <w:rPr>
          <w:lang w:val="fr-FR"/>
        </w:rPr>
      </w:pPr>
      <w:r w:rsidRPr="002D6CAB">
        <w:rPr>
          <w:lang w:val="fr-FR"/>
        </w:rPr>
        <w:t>60.</w:t>
      </w:r>
      <w:r w:rsidRPr="002D6CAB">
        <w:rPr>
          <w:lang w:val="fr-FR"/>
        </w:rPr>
        <w:tab/>
      </w:r>
      <w:r w:rsidR="00D80F06" w:rsidRPr="002D6CAB">
        <w:rPr>
          <w:lang w:val="fr-FR"/>
        </w:rPr>
        <w:t>Des</w:t>
      </w:r>
      <w:r w:rsidR="00D80F06">
        <w:rPr>
          <w:lang w:val="fr-FR"/>
        </w:rPr>
        <w:t xml:space="preserve"> </w:t>
      </w:r>
      <w:r w:rsidR="00D80F06" w:rsidRPr="002D6CAB">
        <w:rPr>
          <w:lang w:val="fr-FR"/>
        </w:rPr>
        <w:t>plans d</w:t>
      </w:r>
      <w:r w:rsidR="00A24C87">
        <w:rPr>
          <w:lang w:val="fr-FR"/>
        </w:rPr>
        <w:t>’</w:t>
      </w:r>
      <w:r w:rsidR="00D80F06" w:rsidRPr="002D6CAB">
        <w:rPr>
          <w:lang w:val="fr-FR"/>
        </w:rPr>
        <w:t>action de sensibilisation et de formation des fonctionnaires sur le respect des droits de l</w:t>
      </w:r>
      <w:r w:rsidR="00A24C87">
        <w:rPr>
          <w:lang w:val="fr-FR"/>
        </w:rPr>
        <w:t>’</w:t>
      </w:r>
      <w:r w:rsidR="00D80F06" w:rsidRPr="002D6CAB">
        <w:rPr>
          <w:lang w:val="fr-FR"/>
        </w:rPr>
        <w:t>homme ont été mis en œuvre. Des séminaires ont été organisés à l</w:t>
      </w:r>
      <w:r w:rsidR="00A24C87">
        <w:rPr>
          <w:lang w:val="fr-FR"/>
        </w:rPr>
        <w:t>’</w:t>
      </w:r>
      <w:r w:rsidR="00D80F06" w:rsidRPr="002D6CAB">
        <w:rPr>
          <w:lang w:val="fr-FR"/>
        </w:rPr>
        <w:t xml:space="preserve">intention des agents de la force publique par le Ministère de la Justice, le Commissariat aux </w:t>
      </w:r>
      <w:r w:rsidR="00607B64">
        <w:rPr>
          <w:lang w:val="fr-FR"/>
        </w:rPr>
        <w:t>d</w:t>
      </w:r>
      <w:r w:rsidR="00D80F06" w:rsidRPr="002D6CAB">
        <w:rPr>
          <w:lang w:val="fr-FR"/>
        </w:rPr>
        <w:t>roits de l</w:t>
      </w:r>
      <w:r w:rsidR="00A24C87">
        <w:rPr>
          <w:lang w:val="fr-FR"/>
        </w:rPr>
        <w:t>’</w:t>
      </w:r>
      <w:r w:rsidR="00607B64">
        <w:rPr>
          <w:lang w:val="fr-FR"/>
        </w:rPr>
        <w:t>h</w:t>
      </w:r>
      <w:r w:rsidR="00D80F06" w:rsidRPr="002D6CAB">
        <w:rPr>
          <w:lang w:val="fr-FR"/>
        </w:rPr>
        <w:t>omme et à l</w:t>
      </w:r>
      <w:r w:rsidR="00A24C87">
        <w:rPr>
          <w:lang w:val="fr-FR"/>
        </w:rPr>
        <w:t>’</w:t>
      </w:r>
      <w:r w:rsidR="00607B64">
        <w:rPr>
          <w:lang w:val="fr-FR"/>
        </w:rPr>
        <w:t>a</w:t>
      </w:r>
      <w:r w:rsidR="00D80F06" w:rsidRPr="002D6CAB">
        <w:rPr>
          <w:lang w:val="fr-FR"/>
        </w:rPr>
        <w:t xml:space="preserve">ction </w:t>
      </w:r>
      <w:r w:rsidR="00607B64">
        <w:rPr>
          <w:lang w:val="fr-FR"/>
        </w:rPr>
        <w:t>h</w:t>
      </w:r>
      <w:r w:rsidR="00D80F06" w:rsidRPr="002D6CAB">
        <w:rPr>
          <w:lang w:val="fr-FR"/>
        </w:rPr>
        <w:t xml:space="preserve">umanitaire et la Commission </w:t>
      </w:r>
      <w:r w:rsidR="00607B64">
        <w:rPr>
          <w:lang w:val="fr-FR"/>
        </w:rPr>
        <w:t>n</w:t>
      </w:r>
      <w:r w:rsidR="00D80F06" w:rsidRPr="002D6CAB">
        <w:rPr>
          <w:lang w:val="fr-FR"/>
        </w:rPr>
        <w:t xml:space="preserve">ationale des </w:t>
      </w:r>
      <w:r w:rsidR="00607B64">
        <w:rPr>
          <w:lang w:val="fr-FR"/>
        </w:rPr>
        <w:t>d</w:t>
      </w:r>
      <w:r w:rsidR="00D80F06" w:rsidRPr="002D6CAB">
        <w:rPr>
          <w:lang w:val="fr-FR"/>
        </w:rPr>
        <w:t>roits de l</w:t>
      </w:r>
      <w:r w:rsidR="00A24C87">
        <w:rPr>
          <w:lang w:val="fr-FR"/>
        </w:rPr>
        <w:t>’</w:t>
      </w:r>
      <w:r w:rsidR="00607B64">
        <w:rPr>
          <w:lang w:val="fr-FR"/>
        </w:rPr>
        <w:t>h</w:t>
      </w:r>
      <w:r w:rsidR="00D80F06" w:rsidRPr="002D6CAB">
        <w:rPr>
          <w:lang w:val="fr-FR"/>
        </w:rPr>
        <w:t>omme, avec l</w:t>
      </w:r>
      <w:r w:rsidR="00A24C87">
        <w:rPr>
          <w:lang w:val="fr-FR"/>
        </w:rPr>
        <w:t>’</w:t>
      </w:r>
      <w:r w:rsidR="00D80F06" w:rsidRPr="002D6CAB">
        <w:rPr>
          <w:lang w:val="fr-FR"/>
        </w:rPr>
        <w:t xml:space="preserve">appui technique du bureau du Haut-Commissariat des Nations Unies aux </w:t>
      </w:r>
      <w:r w:rsidR="00607B64">
        <w:rPr>
          <w:lang w:val="fr-FR"/>
        </w:rPr>
        <w:lastRenderedPageBreak/>
        <w:t>d</w:t>
      </w:r>
      <w:r w:rsidR="00D80F06" w:rsidRPr="002D6CAB">
        <w:rPr>
          <w:lang w:val="fr-FR"/>
        </w:rPr>
        <w:t>roits de l</w:t>
      </w:r>
      <w:r w:rsidR="00A24C87">
        <w:rPr>
          <w:lang w:val="fr-FR"/>
        </w:rPr>
        <w:t>’</w:t>
      </w:r>
      <w:r w:rsidR="00607B64">
        <w:rPr>
          <w:lang w:val="fr-FR"/>
        </w:rPr>
        <w:t>h</w:t>
      </w:r>
      <w:r w:rsidR="00D80F06" w:rsidRPr="002D6CAB">
        <w:rPr>
          <w:lang w:val="fr-FR"/>
        </w:rPr>
        <w:t>omme, l</w:t>
      </w:r>
      <w:r w:rsidR="00A24C87">
        <w:rPr>
          <w:lang w:val="fr-FR"/>
        </w:rPr>
        <w:t>’</w:t>
      </w:r>
      <w:r w:rsidR="00D80F06" w:rsidRPr="002D6CAB">
        <w:rPr>
          <w:lang w:val="fr-FR"/>
        </w:rPr>
        <w:t xml:space="preserve">Association pour la </w:t>
      </w:r>
      <w:r w:rsidR="00533D17">
        <w:rPr>
          <w:lang w:val="fr-FR"/>
        </w:rPr>
        <w:t>p</w:t>
      </w:r>
      <w:r w:rsidR="00D80F06" w:rsidRPr="002D6CAB">
        <w:rPr>
          <w:lang w:val="fr-FR"/>
        </w:rPr>
        <w:t xml:space="preserve">révention de la </w:t>
      </w:r>
      <w:r w:rsidR="00533D17">
        <w:rPr>
          <w:lang w:val="fr-FR"/>
        </w:rPr>
        <w:t>t</w:t>
      </w:r>
      <w:r w:rsidR="00D80F06" w:rsidRPr="002D6CAB">
        <w:rPr>
          <w:lang w:val="fr-FR"/>
        </w:rPr>
        <w:t>orture</w:t>
      </w:r>
      <w:r w:rsidR="009037FC">
        <w:rPr>
          <w:lang w:val="fr-FR"/>
        </w:rPr>
        <w:t xml:space="preserve"> </w:t>
      </w:r>
      <w:r w:rsidR="00D80F06" w:rsidRPr="002D6CAB">
        <w:rPr>
          <w:lang w:val="fr-FR"/>
        </w:rPr>
        <w:t>(APT) et l</w:t>
      </w:r>
      <w:r w:rsidR="00A24C87">
        <w:rPr>
          <w:lang w:val="fr-FR"/>
        </w:rPr>
        <w:t>’</w:t>
      </w:r>
      <w:r w:rsidR="00D80F06" w:rsidRPr="002D6CAB">
        <w:rPr>
          <w:lang w:val="fr-FR"/>
        </w:rPr>
        <w:t xml:space="preserve">Action </w:t>
      </w:r>
      <w:r w:rsidR="00533D17">
        <w:rPr>
          <w:lang w:val="fr-FR"/>
        </w:rPr>
        <w:t>c</w:t>
      </w:r>
      <w:r w:rsidR="00D80F06" w:rsidRPr="002D6CAB">
        <w:rPr>
          <w:lang w:val="fr-FR"/>
        </w:rPr>
        <w:t>ontre la torture (ACAT)</w:t>
      </w:r>
      <w:r w:rsidR="005560D9">
        <w:rPr>
          <w:lang w:val="fr-FR"/>
        </w:rPr>
        <w:t> :</w:t>
      </w:r>
    </w:p>
    <w:p w:rsidR="00D80F06" w:rsidRPr="002D6CAB" w:rsidRDefault="00C87B7B" w:rsidP="00C87B7B">
      <w:pPr>
        <w:pStyle w:val="Bullet1G"/>
        <w:numPr>
          <w:ilvl w:val="0"/>
          <w:numId w:val="0"/>
        </w:numPr>
        <w:tabs>
          <w:tab w:val="left" w:pos="1701"/>
        </w:tabs>
        <w:ind w:left="1701" w:hanging="170"/>
        <w:rPr>
          <w:lang w:val="fr-FR"/>
        </w:rPr>
      </w:pPr>
      <w:bookmarkStart w:id="112" w:name="_Toc455364136"/>
      <w:r w:rsidRPr="002D6CAB">
        <w:rPr>
          <w:lang w:val="fr-FR"/>
        </w:rPr>
        <w:t>•</w:t>
      </w:r>
      <w:r w:rsidRPr="002D6CAB">
        <w:rPr>
          <w:lang w:val="fr-FR"/>
        </w:rPr>
        <w:tab/>
      </w:r>
      <w:r w:rsidR="00D80F06" w:rsidRPr="002D6CAB">
        <w:rPr>
          <w:lang w:val="fr-FR"/>
        </w:rPr>
        <w:t>Actions de sensibilisation au moyen de programmes éducatifs et la diffusion d</w:t>
      </w:r>
      <w:r w:rsidR="00A24C87">
        <w:rPr>
          <w:lang w:val="fr-FR"/>
        </w:rPr>
        <w:t>’</w:t>
      </w:r>
      <w:r w:rsidR="00D80F06" w:rsidRPr="002D6CAB">
        <w:rPr>
          <w:lang w:val="fr-FR"/>
        </w:rPr>
        <w:t>informations</w:t>
      </w:r>
      <w:bookmarkEnd w:id="112"/>
      <w:r w:rsidR="00D80F06">
        <w:rPr>
          <w:lang w:val="fr-FR"/>
        </w:rPr>
        <w:t xml:space="preserve"> </w:t>
      </w:r>
      <w:r w:rsidR="00FB29A2">
        <w:rPr>
          <w:lang w:val="fr-FR"/>
        </w:rPr>
        <w:t>à travers des « </w:t>
      </w:r>
      <w:r w:rsidR="00D80F06" w:rsidRPr="002D6CAB">
        <w:rPr>
          <w:lang w:val="fr-FR"/>
        </w:rPr>
        <w:t>Clubs d</w:t>
      </w:r>
      <w:r w:rsidR="00A24C87">
        <w:rPr>
          <w:lang w:val="fr-FR"/>
        </w:rPr>
        <w:t>’</w:t>
      </w:r>
      <w:r w:rsidR="00FB29A2">
        <w:rPr>
          <w:lang w:val="fr-FR"/>
        </w:rPr>
        <w:t>Hygiène, Santé et Environnement »</w:t>
      </w:r>
      <w:r w:rsidR="005560D9">
        <w:rPr>
          <w:lang w:val="fr-FR"/>
        </w:rPr>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rPr>
          <w:lang w:val="fr-FR"/>
        </w:rPr>
        <w:t>Une formation initiale (</w:t>
      </w:r>
      <w:r w:rsidR="00FB29A2">
        <w:rPr>
          <w:lang w:val="fr-FR"/>
        </w:rPr>
        <w:t>É</w:t>
      </w:r>
      <w:r w:rsidR="00D80F06" w:rsidRPr="002D6CAB">
        <w:rPr>
          <w:lang w:val="fr-FR"/>
        </w:rPr>
        <w:t>coles normales des instituteurs</w:t>
      </w:r>
      <w:r w:rsidR="009573B0">
        <w:rPr>
          <w:lang w:val="fr-FR"/>
        </w:rPr>
        <w:t> ;</w:t>
      </w:r>
      <w:r w:rsidR="00FB29A2">
        <w:rPr>
          <w:lang w:val="fr-FR"/>
        </w:rPr>
        <w:t xml:space="preserve"> É</w:t>
      </w:r>
      <w:r w:rsidR="00D80F06" w:rsidRPr="002D6CAB">
        <w:rPr>
          <w:lang w:val="fr-FR"/>
        </w:rPr>
        <w:t>cole Normale Supérieure</w:t>
      </w:r>
      <w:r w:rsidR="00D80F06" w:rsidRPr="002D6CAB">
        <w:t>, ENAJM)</w:t>
      </w:r>
      <w:r w:rsidR="005560D9">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 xml:space="preserve">Une </w:t>
      </w:r>
      <w:r w:rsidR="00D80F06" w:rsidRPr="00C71189">
        <w:rPr>
          <w:lang w:val="fr-FR"/>
        </w:rPr>
        <w:t>formation</w:t>
      </w:r>
      <w:r w:rsidR="00D80F06" w:rsidRPr="002D6CAB">
        <w:t xml:space="preserve"> </w:t>
      </w:r>
      <w:r w:rsidR="00D80F06" w:rsidRPr="00B62BB2">
        <w:rPr>
          <w:lang w:val="fr-FR"/>
        </w:rPr>
        <w:t>continue</w:t>
      </w:r>
      <w:r w:rsidR="00D80F06" w:rsidRPr="002D6CAB">
        <w:t xml:space="preserve"> (campagnes de sensibilisation et modules ponctuels).</w:t>
      </w:r>
    </w:p>
    <w:p w:rsidR="00D80F06" w:rsidRPr="00DE2934" w:rsidRDefault="00502B5C" w:rsidP="00027EE8">
      <w:pPr>
        <w:pStyle w:val="H23G"/>
      </w:pPr>
      <w:bookmarkStart w:id="113" w:name="_Toc454388720"/>
      <w:bookmarkStart w:id="114" w:name="_Toc455360517"/>
      <w:bookmarkStart w:id="115" w:name="_Toc455364137"/>
      <w:bookmarkStart w:id="116" w:name="_Toc453672879"/>
      <w:r>
        <w:tab/>
      </w:r>
      <w:r w:rsidR="00DE2934">
        <w:t>i)</w:t>
      </w:r>
      <w:r w:rsidR="00DE2934">
        <w:tab/>
      </w:r>
      <w:r w:rsidR="00D80F06" w:rsidRPr="00DE2934">
        <w:t>Actions de sensibilisation aux droits de l</w:t>
      </w:r>
      <w:r w:rsidR="00A24C87">
        <w:t>’</w:t>
      </w:r>
      <w:r w:rsidR="00D80F06" w:rsidRPr="00DE2934">
        <w:t>homme par le canal des médias</w:t>
      </w:r>
      <w:bookmarkEnd w:id="113"/>
      <w:bookmarkEnd w:id="114"/>
      <w:bookmarkEnd w:id="115"/>
      <w:bookmarkEnd w:id="116"/>
    </w:p>
    <w:p w:rsidR="00D80F06" w:rsidRPr="002D6CAB" w:rsidRDefault="00C87B7B" w:rsidP="00C87B7B">
      <w:pPr>
        <w:pStyle w:val="SingleTxtG"/>
      </w:pPr>
      <w:r w:rsidRPr="002D6CAB">
        <w:t>61.</w:t>
      </w:r>
      <w:r w:rsidRPr="002D6CAB">
        <w:tab/>
      </w:r>
      <w:r w:rsidR="00D80F06" w:rsidRPr="002D6CAB">
        <w:t xml:space="preserve">Les </w:t>
      </w:r>
      <w:proofErr w:type="spellStart"/>
      <w:r w:rsidR="00D80F06" w:rsidRPr="002D6CAB">
        <w:t>média</w:t>
      </w:r>
      <w:proofErr w:type="spellEnd"/>
      <w:r w:rsidR="00D80F06" w:rsidRPr="002D6CAB">
        <w:t xml:space="preserve"> publics et privés sont mis à contribution pour donner un écho national aux activités de promotion et de protection des droits de l</w:t>
      </w:r>
      <w:r w:rsidR="00A24C87">
        <w:t>’</w:t>
      </w:r>
      <w:r w:rsidR="00D80F06" w:rsidRPr="002D6CAB">
        <w:t xml:space="preserve">homme. Des émissions </w:t>
      </w:r>
      <w:proofErr w:type="spellStart"/>
      <w:r w:rsidR="00D80F06" w:rsidRPr="002D6CAB">
        <w:t>radiotélévisées</w:t>
      </w:r>
      <w:proofErr w:type="spellEnd"/>
      <w:r w:rsidR="00D80F06" w:rsidRPr="002D6CAB">
        <w:t xml:space="preserve"> sont périodiquement organisées sur les thèmes</w:t>
      </w:r>
      <w:r w:rsidR="00D80F06">
        <w:t xml:space="preserve"> </w:t>
      </w:r>
      <w:r w:rsidR="00D80F06" w:rsidRPr="002D6CAB">
        <w:t>relatifs aux droits de l</w:t>
      </w:r>
      <w:r w:rsidR="00A24C87">
        <w:t>’</w:t>
      </w:r>
      <w:r w:rsidR="00D80F06" w:rsidRPr="002D6CAB">
        <w:t>homme.</w:t>
      </w:r>
      <w:bookmarkStart w:id="117" w:name="_Toc453672880"/>
    </w:p>
    <w:p w:rsidR="00D80F06" w:rsidRPr="00DE2934" w:rsidRDefault="00A53065" w:rsidP="00027EE8">
      <w:pPr>
        <w:pStyle w:val="H23G"/>
      </w:pPr>
      <w:bookmarkStart w:id="118" w:name="_Toc455364138"/>
      <w:bookmarkStart w:id="119" w:name="_Toc498901339"/>
      <w:r>
        <w:tab/>
      </w:r>
      <w:r w:rsidR="00D80F06" w:rsidRPr="00DE2934">
        <w:t>j)</w:t>
      </w:r>
      <w:r w:rsidR="00DE2934">
        <w:tab/>
      </w:r>
      <w:r w:rsidR="00D80F06" w:rsidRPr="00DE2934">
        <w:t>Rôle de la société civile</w:t>
      </w:r>
      <w:bookmarkEnd w:id="117"/>
      <w:bookmarkEnd w:id="118"/>
      <w:bookmarkEnd w:id="119"/>
    </w:p>
    <w:p w:rsidR="00D80F06" w:rsidRPr="002D6CAB" w:rsidRDefault="00C87B7B" w:rsidP="00C87B7B">
      <w:pPr>
        <w:pStyle w:val="SingleTxtG"/>
      </w:pPr>
      <w:r w:rsidRPr="002D6CAB">
        <w:t>62.</w:t>
      </w:r>
      <w:r w:rsidRPr="002D6CAB">
        <w:tab/>
      </w:r>
      <w:r w:rsidR="00D80F06" w:rsidRPr="002D6CAB">
        <w:t>La société civile réalise,</w:t>
      </w:r>
      <w:r w:rsidR="00D80F06">
        <w:t xml:space="preserve"> </w:t>
      </w:r>
      <w:r w:rsidR="00D80F06" w:rsidRPr="002D6CAB">
        <w:t xml:space="preserve">en </w:t>
      </w:r>
      <w:r w:rsidR="00D80F06" w:rsidRPr="00B62BB2">
        <w:rPr>
          <w:lang w:val="fr-FR"/>
        </w:rPr>
        <w:t>collaboration</w:t>
      </w:r>
      <w:r w:rsidR="00D80F06" w:rsidRPr="002D6CAB">
        <w:t xml:space="preserve"> avec les autorités, des programmes de sensibilisation du grand public sur les droits de l</w:t>
      </w:r>
      <w:r w:rsidR="00A24C87">
        <w:t>’</w:t>
      </w:r>
      <w:r w:rsidR="00D80F06" w:rsidRPr="002D6CAB">
        <w:t xml:space="preserve">homme. </w:t>
      </w:r>
      <w:bookmarkStart w:id="120" w:name="_Toc453672881"/>
    </w:p>
    <w:p w:rsidR="00D80F06" w:rsidRPr="002D6CAB" w:rsidRDefault="004850FC" w:rsidP="00027EE8">
      <w:pPr>
        <w:pStyle w:val="H23G"/>
      </w:pPr>
      <w:bookmarkStart w:id="121" w:name="_Toc454388721"/>
      <w:bookmarkStart w:id="122" w:name="_Toc455360518"/>
      <w:bookmarkStart w:id="123" w:name="_Toc455364139"/>
      <w:r>
        <w:tab/>
        <w:t>k)</w:t>
      </w:r>
      <w:r>
        <w:tab/>
      </w:r>
      <w:r w:rsidR="00D80F06" w:rsidRPr="002D6CAB">
        <w:t>Affectation de crédits budgétaires et évolution en la matière</w:t>
      </w:r>
      <w:bookmarkEnd w:id="120"/>
      <w:bookmarkEnd w:id="121"/>
      <w:bookmarkEnd w:id="122"/>
      <w:bookmarkEnd w:id="123"/>
      <w:r w:rsidR="00D82E5D">
        <w:t>.</w:t>
      </w:r>
    </w:p>
    <w:p w:rsidR="00D80F06" w:rsidRPr="002D6CAB" w:rsidRDefault="00C87B7B" w:rsidP="00C87B7B">
      <w:pPr>
        <w:pStyle w:val="SingleTxtG"/>
      </w:pPr>
      <w:r w:rsidRPr="002D6CAB">
        <w:t>63.</w:t>
      </w:r>
      <w:r w:rsidRPr="002D6CAB">
        <w:tab/>
      </w:r>
      <w:r w:rsidR="00D80F06" w:rsidRPr="002D6CAB">
        <w:t>Des crédits budgétaires sont alloués annuellement aux départements ministériels, institutions</w:t>
      </w:r>
      <w:r w:rsidR="00D80F06">
        <w:t xml:space="preserve"> </w:t>
      </w:r>
      <w:r w:rsidR="00D80F06" w:rsidRPr="002D6CAB">
        <w:t>et autres structures ou ONG œuvrant dans le domaine des droits de l</w:t>
      </w:r>
      <w:r w:rsidR="00A24C87">
        <w:t>’</w:t>
      </w:r>
      <w:r w:rsidR="00D80F06" w:rsidRPr="002D6CAB">
        <w:t>homme.</w:t>
      </w:r>
      <w:bookmarkStart w:id="124" w:name="_Toc453672882"/>
      <w:bookmarkStart w:id="125" w:name="_Toc455364140"/>
    </w:p>
    <w:p w:rsidR="00D80F06" w:rsidRPr="00DE2934" w:rsidRDefault="00A53065" w:rsidP="00027EE8">
      <w:pPr>
        <w:pStyle w:val="H23G"/>
      </w:pPr>
      <w:bookmarkStart w:id="126" w:name="_Toc498901340"/>
      <w:r>
        <w:tab/>
      </w:r>
      <w:r w:rsidR="004850FC">
        <w:t>l</w:t>
      </w:r>
      <w:r w:rsidR="00D80F06" w:rsidRPr="00DE2934">
        <w:t>)</w:t>
      </w:r>
      <w:r w:rsidR="00DE2934">
        <w:tab/>
      </w:r>
      <w:r w:rsidR="00D80F06" w:rsidRPr="00DE2934">
        <w:t>Coopération et assistance dans le domaine du développement</w:t>
      </w:r>
      <w:bookmarkEnd w:id="124"/>
      <w:bookmarkEnd w:id="125"/>
      <w:bookmarkEnd w:id="126"/>
    </w:p>
    <w:p w:rsidR="00D80F06" w:rsidRPr="002D6CAB" w:rsidRDefault="00C87B7B" w:rsidP="00C87B7B">
      <w:pPr>
        <w:pStyle w:val="SingleTxtG"/>
      </w:pPr>
      <w:r w:rsidRPr="002D6CAB">
        <w:t>64.</w:t>
      </w:r>
      <w:r w:rsidRPr="002D6CAB">
        <w:tab/>
      </w:r>
      <w:r w:rsidR="00D80F06" w:rsidRPr="002D6CAB">
        <w:t xml:space="preserve">Le Bureau du Haut-Commissariat aux </w:t>
      </w:r>
      <w:r w:rsidR="00533D17">
        <w:t>d</w:t>
      </w:r>
      <w:r w:rsidR="00D80F06" w:rsidRPr="002D6CAB">
        <w:t>roits de l</w:t>
      </w:r>
      <w:r w:rsidR="00A24C87">
        <w:t>’</w:t>
      </w:r>
      <w:r w:rsidR="00533D17">
        <w:t>h</w:t>
      </w:r>
      <w:r w:rsidR="00D80F06" w:rsidRPr="002D6CAB">
        <w:t>omme, le PNUD,</w:t>
      </w:r>
      <w:r w:rsidR="00552E7D">
        <w:t xml:space="preserve"> </w:t>
      </w:r>
      <w:r w:rsidR="00D80F06" w:rsidRPr="002D6CAB">
        <w:t>l</w:t>
      </w:r>
      <w:r w:rsidR="00A24C87">
        <w:t>’</w:t>
      </w:r>
      <w:r w:rsidR="00D80F06" w:rsidRPr="002D6CAB">
        <w:t>UNICEF,</w:t>
      </w:r>
      <w:r w:rsidR="00552E7D">
        <w:t xml:space="preserve"> </w:t>
      </w:r>
      <w:r w:rsidR="00D80F06" w:rsidRPr="002D6CAB">
        <w:t>l</w:t>
      </w:r>
      <w:r w:rsidR="00A24C87">
        <w:t>’</w:t>
      </w:r>
      <w:r w:rsidR="00D80F06" w:rsidRPr="002D6CAB">
        <w:t>UNFPA et les autres</w:t>
      </w:r>
      <w:r w:rsidR="00D80F06">
        <w:t xml:space="preserve"> </w:t>
      </w:r>
      <w:r w:rsidR="00D80F06" w:rsidRPr="002D6CAB">
        <w:t>partenaires techniques apportent l</w:t>
      </w:r>
      <w:r w:rsidR="00A24C87">
        <w:t>’</w:t>
      </w:r>
      <w:r w:rsidR="00D80F06" w:rsidRPr="002D6CAB">
        <w:t>assistance dans le domaine de la promotion et la protection des droits de l</w:t>
      </w:r>
      <w:r w:rsidR="00A24C87">
        <w:t>’</w:t>
      </w:r>
      <w:r w:rsidR="00D80F06" w:rsidRPr="002D6CAB">
        <w:t>homme.</w:t>
      </w:r>
      <w:bookmarkStart w:id="127" w:name="_Toc453672883"/>
    </w:p>
    <w:p w:rsidR="00D80F06" w:rsidRPr="00761562" w:rsidRDefault="00DE2934" w:rsidP="00027EE8">
      <w:pPr>
        <w:pStyle w:val="H1G"/>
      </w:pPr>
      <w:bookmarkStart w:id="128" w:name="_Toc454388722"/>
      <w:bookmarkStart w:id="129" w:name="_Toc455360519"/>
      <w:bookmarkStart w:id="130" w:name="_Toc455364141"/>
      <w:bookmarkStart w:id="131" w:name="_Toc498901341"/>
      <w:r>
        <w:tab/>
      </w:r>
      <w:r w:rsidR="00A87148">
        <w:t>D</w:t>
      </w:r>
      <w:r w:rsidR="00D80F06">
        <w:t>.</w:t>
      </w:r>
      <w:r w:rsidR="00D80F06">
        <w:tab/>
      </w:r>
      <w:r w:rsidR="00D80F06" w:rsidRPr="00DE2934">
        <w:t>Facteurs</w:t>
      </w:r>
      <w:r w:rsidR="00D80F06" w:rsidRPr="00761562">
        <w:t xml:space="preserve"> entravant la mise en œuvre des obligations internationales relatives aux droits de l</w:t>
      </w:r>
      <w:r w:rsidR="00A24C87">
        <w:t>’</w:t>
      </w:r>
      <w:r w:rsidR="00D80F06" w:rsidRPr="00761562">
        <w:t>homme</w:t>
      </w:r>
      <w:bookmarkEnd w:id="127"/>
      <w:bookmarkEnd w:id="128"/>
      <w:bookmarkEnd w:id="129"/>
      <w:bookmarkEnd w:id="130"/>
      <w:bookmarkEnd w:id="131"/>
    </w:p>
    <w:p w:rsidR="00D80F06" w:rsidRPr="002D6CAB" w:rsidRDefault="00C87B7B" w:rsidP="00C87B7B">
      <w:pPr>
        <w:pStyle w:val="SingleTxtG"/>
      </w:pPr>
      <w:r w:rsidRPr="002D6CAB">
        <w:t>65.</w:t>
      </w:r>
      <w:r w:rsidRPr="002D6CAB">
        <w:tab/>
      </w:r>
      <w:r w:rsidR="00D80F06" w:rsidRPr="002D6CAB">
        <w:t>Les principaux défis auxquels le pays demeure confronté par rapport à la pleine jouissance des droits de l</w:t>
      </w:r>
      <w:r w:rsidR="00A24C87">
        <w:t>’</w:t>
      </w:r>
      <w:r w:rsidR="00D80F06" w:rsidRPr="002D6CAB">
        <w:t>homme sont, l</w:t>
      </w:r>
      <w:r w:rsidR="00A24C87">
        <w:t>’</w:t>
      </w:r>
      <w:r w:rsidR="00D80F06" w:rsidRPr="002D6CAB">
        <w:t xml:space="preserve">insuffisance des </w:t>
      </w:r>
      <w:r w:rsidR="00D80F06" w:rsidRPr="00B62BB2">
        <w:rPr>
          <w:lang w:val="fr-FR"/>
        </w:rPr>
        <w:t>ressources</w:t>
      </w:r>
      <w:r w:rsidR="00D80F06" w:rsidRPr="002D6CAB">
        <w:t xml:space="preserve"> humaines et financières des institutions et organisations de défense des droits de l</w:t>
      </w:r>
      <w:r w:rsidR="00A24C87">
        <w:t>’</w:t>
      </w:r>
      <w:r w:rsidR="00D80F06" w:rsidRPr="002D6CAB">
        <w:t>homme et la faible spécialisation des acteurs</w:t>
      </w:r>
      <w:r w:rsidR="00D80F06">
        <w:t xml:space="preserve"> </w:t>
      </w:r>
      <w:r w:rsidR="00D80F06" w:rsidRPr="002D6CAB">
        <w:t>des droits de l</w:t>
      </w:r>
      <w:r w:rsidR="00A24C87">
        <w:t>’</w:t>
      </w:r>
      <w:r w:rsidR="00D80F06" w:rsidRPr="002D6CAB">
        <w:t>homme.</w:t>
      </w:r>
    </w:p>
    <w:p w:rsidR="00D80F06" w:rsidRPr="00761562" w:rsidRDefault="00DE2934" w:rsidP="00027EE8">
      <w:pPr>
        <w:pStyle w:val="H1G"/>
      </w:pPr>
      <w:bookmarkStart w:id="132" w:name="_Toc454388723"/>
      <w:bookmarkStart w:id="133" w:name="_Toc454386659"/>
      <w:bookmarkStart w:id="134" w:name="_Toc454386590"/>
      <w:bookmarkStart w:id="135" w:name="_Toc453672884"/>
      <w:bookmarkStart w:id="136" w:name="_Toc455360520"/>
      <w:bookmarkStart w:id="137" w:name="_Toc455364142"/>
      <w:bookmarkStart w:id="138" w:name="_Toc498901342"/>
      <w:r>
        <w:tab/>
      </w:r>
      <w:r w:rsidR="00A87148">
        <w:t>E</w:t>
      </w:r>
      <w:r w:rsidR="00D80F06">
        <w:t>.</w:t>
      </w:r>
      <w:r w:rsidR="00D80F06">
        <w:tab/>
      </w:r>
      <w:r w:rsidR="00D80F06" w:rsidRPr="00DE2934">
        <w:t>Processus</w:t>
      </w:r>
      <w:r w:rsidR="00D80F06" w:rsidRPr="00761562">
        <w:t xml:space="preserve"> d</w:t>
      </w:r>
      <w:r w:rsidR="00A24C87">
        <w:t>’</w:t>
      </w:r>
      <w:r w:rsidR="00D80F06" w:rsidRPr="00761562">
        <w:t>établissement des rapports</w:t>
      </w:r>
      <w:bookmarkEnd w:id="132"/>
      <w:bookmarkEnd w:id="133"/>
      <w:bookmarkEnd w:id="134"/>
      <w:bookmarkEnd w:id="135"/>
      <w:bookmarkEnd w:id="136"/>
      <w:bookmarkEnd w:id="137"/>
      <w:bookmarkEnd w:id="138"/>
    </w:p>
    <w:p w:rsidR="00D80F06" w:rsidRPr="002D6CAB" w:rsidRDefault="00C87B7B" w:rsidP="00C87B7B">
      <w:pPr>
        <w:pStyle w:val="SingleTxtG"/>
        <w:rPr>
          <w:rtl/>
        </w:rPr>
      </w:pPr>
      <w:bookmarkStart w:id="139" w:name="_Toc454388724"/>
      <w:bookmarkStart w:id="140" w:name="_Toc454386660"/>
      <w:bookmarkStart w:id="141" w:name="_Toc454386591"/>
      <w:bookmarkStart w:id="142" w:name="_Toc455360521"/>
      <w:bookmarkStart w:id="143" w:name="_Toc455364143"/>
      <w:bookmarkStart w:id="144" w:name="_Toc453672885"/>
      <w:r w:rsidRPr="002D6CAB">
        <w:rPr>
          <w:rtl/>
        </w:rPr>
        <w:t>66.</w:t>
      </w:r>
      <w:r w:rsidRPr="002D6CAB">
        <w:rPr>
          <w:rtl/>
        </w:rPr>
        <w:tab/>
      </w:r>
      <w:r w:rsidR="00D80F06" w:rsidRPr="002D6CAB">
        <w:t xml:space="preserve">Le Comité technique </w:t>
      </w:r>
      <w:r w:rsidR="00D80F06" w:rsidRPr="00B62BB2">
        <w:rPr>
          <w:lang w:val="fr-FR"/>
        </w:rPr>
        <w:t>interministériel</w:t>
      </w:r>
      <w:r w:rsidR="00D80F06" w:rsidRPr="002D6CAB">
        <w:t xml:space="preserve"> chargé</w:t>
      </w:r>
      <w:r w:rsidR="00D80F06">
        <w:t xml:space="preserve"> </w:t>
      </w:r>
      <w:r w:rsidR="00D80F06" w:rsidRPr="002D6CAB">
        <w:t>de l</w:t>
      </w:r>
      <w:r w:rsidR="00A24C87">
        <w:t>’</w:t>
      </w:r>
      <w:r w:rsidR="00D80F06" w:rsidRPr="002D6CAB">
        <w:t>élaboration des rapports de l</w:t>
      </w:r>
      <w:r w:rsidR="00A24C87">
        <w:t>’</w:t>
      </w:r>
      <w:r w:rsidR="00B253B0">
        <w:t>État</w:t>
      </w:r>
      <w:r w:rsidR="00D80F06" w:rsidRPr="002D6CAB">
        <w:t xml:space="preserve"> relatifs aux instruments juridiques internationaux dans le domaine des droits de l</w:t>
      </w:r>
      <w:r w:rsidR="00A24C87">
        <w:t>’</w:t>
      </w:r>
      <w:r w:rsidR="00D80F06" w:rsidRPr="002D6CAB">
        <w:t>homme</w:t>
      </w:r>
      <w:bookmarkEnd w:id="139"/>
      <w:bookmarkEnd w:id="140"/>
      <w:bookmarkEnd w:id="141"/>
      <w:bookmarkEnd w:id="142"/>
      <w:bookmarkEnd w:id="143"/>
      <w:bookmarkEnd w:id="144"/>
      <w:r w:rsidR="002502D5">
        <w:t>.</w:t>
      </w:r>
    </w:p>
    <w:p w:rsidR="00D80F06" w:rsidRPr="002D6CAB" w:rsidRDefault="00C87B7B" w:rsidP="00C87B7B">
      <w:pPr>
        <w:pStyle w:val="SingleTxtG"/>
      </w:pPr>
      <w:r w:rsidRPr="002D6CAB">
        <w:t>67.</w:t>
      </w:r>
      <w:r w:rsidRPr="002D6CAB">
        <w:tab/>
      </w:r>
      <w:r w:rsidR="00D80F06" w:rsidRPr="002D6CAB">
        <w:t>Le</w:t>
      </w:r>
      <w:r w:rsidR="00D80F06">
        <w:t xml:space="preserve"> </w:t>
      </w:r>
      <w:r w:rsidR="00D80F06" w:rsidRPr="002D6CAB">
        <w:t>Gouvernement a mis en place, un comité technique interministériel chargé de la rédaction des rapports et du suivi de la mise en œuvre des recommandations</w:t>
      </w:r>
      <w:r w:rsidR="00D80F06">
        <w:t xml:space="preserve"> </w:t>
      </w:r>
      <w:r w:rsidR="00D80F06" w:rsidRPr="002D6CAB">
        <w:t>des organes de Traités et de l</w:t>
      </w:r>
      <w:r w:rsidR="00A24C87">
        <w:t>’</w:t>
      </w:r>
      <w:r w:rsidR="00D80F06" w:rsidRPr="002D6CAB">
        <w:t>EPU. Ce comité</w:t>
      </w:r>
      <w:r w:rsidR="00D80F06">
        <w:t xml:space="preserve"> </w:t>
      </w:r>
      <w:r w:rsidR="00D80F06" w:rsidRPr="002D6CAB">
        <w:t>comprend l</w:t>
      </w:r>
      <w:r w:rsidR="00A24C87">
        <w:t>’</w:t>
      </w:r>
      <w:r w:rsidR="00D80F06" w:rsidRPr="002D6CAB">
        <w:t xml:space="preserve">ensemble des </w:t>
      </w:r>
      <w:r w:rsidR="00D80F06" w:rsidRPr="00B62BB2">
        <w:rPr>
          <w:lang w:val="fr-FR"/>
        </w:rPr>
        <w:t>départements</w:t>
      </w:r>
      <w:r w:rsidR="00D80F06" w:rsidRPr="002D6CAB">
        <w:t xml:space="preserve"> ministériels, la commission nationale des droits de l</w:t>
      </w:r>
      <w:r w:rsidR="00A24C87">
        <w:t>’</w:t>
      </w:r>
      <w:r w:rsidR="00552E7D">
        <w:t>h</w:t>
      </w:r>
      <w:r w:rsidR="00D80F06" w:rsidRPr="002D6CAB">
        <w:t>omme. Le bureau d</w:t>
      </w:r>
      <w:r w:rsidR="002502D5">
        <w:t>u Haut-Commissariat des Nations </w:t>
      </w:r>
      <w:r w:rsidR="00D80F06" w:rsidRPr="002D6CAB">
        <w:t>Unies aux droits de l</w:t>
      </w:r>
      <w:r w:rsidR="00A24C87">
        <w:t>’</w:t>
      </w:r>
      <w:r w:rsidR="00D80F06" w:rsidRPr="002D6CAB">
        <w:t>homme en Mauritanie y siège en qualité d</w:t>
      </w:r>
      <w:r w:rsidR="00A24C87">
        <w:t>’</w:t>
      </w:r>
      <w:r w:rsidR="00D80F06" w:rsidRPr="002D6CAB">
        <w:t xml:space="preserve">observateur. </w:t>
      </w:r>
      <w:bookmarkStart w:id="145" w:name="_Toc453672886"/>
      <w:bookmarkStart w:id="146" w:name="_Toc454388725"/>
      <w:bookmarkStart w:id="147" w:name="_Toc455360522"/>
      <w:bookmarkStart w:id="148" w:name="_Toc455364144"/>
    </w:p>
    <w:p w:rsidR="00D80F06" w:rsidRPr="002D6CAB" w:rsidRDefault="00A87148" w:rsidP="00027EE8">
      <w:pPr>
        <w:pStyle w:val="H23G"/>
      </w:pPr>
      <w:r>
        <w:tab/>
      </w:r>
      <w:r w:rsidR="00AF3302">
        <w:t>1.</w:t>
      </w:r>
      <w:r>
        <w:tab/>
      </w:r>
      <w:r w:rsidR="00D80F06" w:rsidRPr="002D6CAB">
        <w:t xml:space="preserve">Transmission des rapports aux parties prenantes avant la présentation </w:t>
      </w:r>
      <w:r w:rsidR="00C61B75">
        <w:br/>
      </w:r>
      <w:r w:rsidR="00D80F06" w:rsidRPr="002D6CAB">
        <w:t>aux organes conventionnels</w:t>
      </w:r>
      <w:bookmarkEnd w:id="145"/>
      <w:bookmarkEnd w:id="146"/>
      <w:bookmarkEnd w:id="147"/>
      <w:bookmarkEnd w:id="148"/>
    </w:p>
    <w:p w:rsidR="00D80F06" w:rsidRPr="002D6CAB" w:rsidRDefault="00C87B7B" w:rsidP="00C87B7B">
      <w:pPr>
        <w:pStyle w:val="SingleTxtG"/>
      </w:pPr>
      <w:r w:rsidRPr="002D6CAB">
        <w:t>68.</w:t>
      </w:r>
      <w:r w:rsidRPr="002D6CAB">
        <w:tab/>
      </w:r>
      <w:r w:rsidR="00D80F06" w:rsidRPr="002D6CAB">
        <w:t>Le rapport national, présenté conformément à la procédure de l</w:t>
      </w:r>
      <w:r w:rsidR="00A24C87">
        <w:t>’</w:t>
      </w:r>
      <w:r w:rsidR="00D80F06" w:rsidRPr="002D6CAB">
        <w:t>EPU, a été transmis aux fins d</w:t>
      </w:r>
      <w:r w:rsidR="00A24C87">
        <w:t>’</w:t>
      </w:r>
      <w:r w:rsidR="00D80F06" w:rsidRPr="002D6CAB">
        <w:t xml:space="preserve">observations et de </w:t>
      </w:r>
      <w:r w:rsidR="00D80F06" w:rsidRPr="00761562">
        <w:t>commentaires</w:t>
      </w:r>
      <w:r w:rsidR="00D80F06" w:rsidRPr="002D6CAB">
        <w:t xml:space="preserve"> au parlement avant sa soumission au groupe de travail. Cette pratique est appliquée à tous</w:t>
      </w:r>
      <w:r w:rsidR="00D80F06">
        <w:t xml:space="preserve"> </w:t>
      </w:r>
      <w:r w:rsidR="00D80F06" w:rsidRPr="002D6CAB">
        <w:t>les rapports à présenter aux organes de traités.</w:t>
      </w:r>
      <w:r w:rsidR="00D80F06">
        <w:t xml:space="preserve"> </w:t>
      </w:r>
    </w:p>
    <w:p w:rsidR="00D80F06" w:rsidRPr="002D6CAB" w:rsidRDefault="002502D5" w:rsidP="002502D5">
      <w:pPr>
        <w:pStyle w:val="H23G"/>
      </w:pPr>
      <w:bookmarkStart w:id="149" w:name="_Toc454388726"/>
      <w:bookmarkStart w:id="150" w:name="_Toc455360523"/>
      <w:bookmarkStart w:id="151" w:name="_Toc455364145"/>
      <w:r>
        <w:lastRenderedPageBreak/>
        <w:tab/>
      </w:r>
      <w:r w:rsidR="00AF3302">
        <w:t>2.</w:t>
      </w:r>
      <w:r>
        <w:tab/>
      </w:r>
      <w:r w:rsidR="00D80F06" w:rsidRPr="002D6CAB">
        <w:t xml:space="preserve">Participation des entités non </w:t>
      </w:r>
      <w:r w:rsidR="00D80F06" w:rsidRPr="00761562">
        <w:t>gouvernementales</w:t>
      </w:r>
      <w:r w:rsidR="00D80F06" w:rsidRPr="002D6CAB">
        <w:t xml:space="preserve"> ou d</w:t>
      </w:r>
      <w:r w:rsidR="00A24C87">
        <w:t>’</w:t>
      </w:r>
      <w:r w:rsidR="00D80F06" w:rsidRPr="002D6CAB">
        <w:t>organismes indépendants</w:t>
      </w:r>
      <w:bookmarkEnd w:id="149"/>
      <w:bookmarkEnd w:id="150"/>
      <w:bookmarkEnd w:id="151"/>
      <w:r w:rsidR="00D80F06" w:rsidRPr="002D6CAB">
        <w:t xml:space="preserve"> </w:t>
      </w:r>
    </w:p>
    <w:p w:rsidR="00D80F06" w:rsidRDefault="00C87B7B" w:rsidP="00C87B7B">
      <w:pPr>
        <w:pStyle w:val="SingleTxtG"/>
      </w:pPr>
      <w:r>
        <w:t>69.</w:t>
      </w:r>
      <w:r>
        <w:tab/>
      </w:r>
      <w:r w:rsidR="00D80F06" w:rsidRPr="002D6CAB">
        <w:t>Les rapports sont validés en prenant en compte les recommandations issues des ateliers de concertation et de</w:t>
      </w:r>
      <w:r w:rsidR="00D80F06">
        <w:t xml:space="preserve"> </w:t>
      </w:r>
      <w:r w:rsidR="00D80F06" w:rsidRPr="002D6CAB">
        <w:t>partage avec la société civile et les instances parlementaires.</w:t>
      </w:r>
      <w:bookmarkStart w:id="152" w:name="_Toc453672887"/>
      <w:bookmarkStart w:id="153" w:name="_Toc454388727"/>
      <w:bookmarkStart w:id="154" w:name="_Toc455360524"/>
      <w:bookmarkStart w:id="155" w:name="_Toc455364146"/>
    </w:p>
    <w:p w:rsidR="00D80F06" w:rsidRPr="00761562" w:rsidRDefault="00DE2934" w:rsidP="00027EE8">
      <w:pPr>
        <w:pStyle w:val="H1G"/>
      </w:pPr>
      <w:bookmarkStart w:id="156" w:name="_Toc454388728"/>
      <w:bookmarkStart w:id="157" w:name="_Toc455360525"/>
      <w:bookmarkStart w:id="158" w:name="_Toc455364147"/>
      <w:bookmarkStart w:id="159" w:name="_Toc497839624"/>
      <w:bookmarkStart w:id="160" w:name="_Toc498901343"/>
      <w:r>
        <w:tab/>
      </w:r>
      <w:r w:rsidR="00685027">
        <w:t>F</w:t>
      </w:r>
      <w:r w:rsidR="00D80F06">
        <w:t>.</w:t>
      </w:r>
      <w:r w:rsidR="00D80F06">
        <w:tab/>
      </w:r>
      <w:r w:rsidR="00D80F06" w:rsidRPr="00761562">
        <w:t>Mesures pour assurer une large diffusion des observations ou recommandations adoptées par un organe conventionnel à l</w:t>
      </w:r>
      <w:r w:rsidR="00A24C87">
        <w:t>’</w:t>
      </w:r>
      <w:r w:rsidR="00EA0415">
        <w:t>issue de </w:t>
      </w:r>
      <w:r w:rsidR="00D80F06" w:rsidRPr="00761562">
        <w:t>l</w:t>
      </w:r>
      <w:r w:rsidR="00A24C87">
        <w:t>’</w:t>
      </w:r>
      <w:r w:rsidR="00D80F06" w:rsidRPr="00761562">
        <w:t>examen d</w:t>
      </w:r>
      <w:r w:rsidR="00A24C87">
        <w:t>’</w:t>
      </w:r>
      <w:r w:rsidR="00D80F06" w:rsidRPr="00761562">
        <w:t>un rapport de l</w:t>
      </w:r>
      <w:r w:rsidR="00A24C87">
        <w:t>’</w:t>
      </w:r>
      <w:r w:rsidR="00B253B0">
        <w:t>État</w:t>
      </w:r>
      <w:r w:rsidR="00D80F06" w:rsidRPr="00761562">
        <w:t xml:space="preserve"> partie</w:t>
      </w:r>
      <w:bookmarkEnd w:id="156"/>
      <w:bookmarkEnd w:id="157"/>
      <w:bookmarkEnd w:id="158"/>
      <w:bookmarkEnd w:id="159"/>
      <w:bookmarkEnd w:id="160"/>
    </w:p>
    <w:p w:rsidR="00D80F06" w:rsidRPr="002D6CAB" w:rsidRDefault="00C87B7B" w:rsidP="00C87B7B">
      <w:pPr>
        <w:pStyle w:val="SingleTxtG"/>
      </w:pPr>
      <w:r w:rsidRPr="002D6CAB">
        <w:t>70.</w:t>
      </w:r>
      <w:r w:rsidRPr="002D6CAB">
        <w:tab/>
      </w:r>
      <w:r w:rsidR="00D80F06" w:rsidRPr="002D6CAB">
        <w:t>Le Comité technique</w:t>
      </w:r>
      <w:r w:rsidR="00D80F06">
        <w:t xml:space="preserve"> </w:t>
      </w:r>
      <w:r w:rsidR="00D80F06" w:rsidRPr="002D6CAB">
        <w:t>interministériel chargé d</w:t>
      </w:r>
      <w:r w:rsidR="00A24C87">
        <w:t>’</w:t>
      </w:r>
      <w:r w:rsidR="00D80F06" w:rsidRPr="002D6CAB">
        <w:t>élaborer les rapports partage ces derniers et les recommandations conclusives des organes de traités et de l</w:t>
      </w:r>
      <w:r w:rsidR="00A24C87">
        <w:t>’</w:t>
      </w:r>
      <w:r w:rsidR="00D80F06" w:rsidRPr="002D6CAB">
        <w:t>EPU avec les membres du Parlement. Les médias sont aussi mis à contribution pour assurer leur diffusion.</w:t>
      </w:r>
    </w:p>
    <w:p w:rsidR="00D80F06" w:rsidRPr="002D6CAB" w:rsidRDefault="00DE2934" w:rsidP="00DE2934">
      <w:pPr>
        <w:pStyle w:val="H23G"/>
      </w:pPr>
      <w:bookmarkStart w:id="161" w:name="_Toc454388729"/>
      <w:bookmarkStart w:id="162" w:name="_Toc453672890"/>
      <w:bookmarkStart w:id="163" w:name="_Toc455360526"/>
      <w:bookmarkStart w:id="164" w:name="_Toc455364148"/>
      <w:bookmarkStart w:id="165" w:name="_Toc453672889"/>
      <w:r>
        <w:tab/>
      </w:r>
      <w:r w:rsidR="00D80F06">
        <w:t>1.</w:t>
      </w:r>
      <w:r>
        <w:tab/>
      </w:r>
      <w:r w:rsidR="00D80F06" w:rsidRPr="002D6CAB">
        <w:t>Suivi des conférences internationales</w:t>
      </w:r>
      <w:bookmarkEnd w:id="161"/>
      <w:bookmarkEnd w:id="162"/>
      <w:bookmarkEnd w:id="163"/>
      <w:bookmarkEnd w:id="164"/>
    </w:p>
    <w:bookmarkEnd w:id="165"/>
    <w:p w:rsidR="00D80F06" w:rsidRPr="002D6CAB" w:rsidRDefault="00C87B7B" w:rsidP="00C87B7B">
      <w:pPr>
        <w:pStyle w:val="SingleTxtG"/>
      </w:pPr>
      <w:r w:rsidRPr="002D6CAB">
        <w:t>71.</w:t>
      </w:r>
      <w:r w:rsidRPr="002D6CAB">
        <w:tab/>
      </w:r>
      <w:r w:rsidR="00D80F06" w:rsidRPr="002D6CAB">
        <w:t>La Mauritanie assure régulièrement le suivi des déclarations issues des différentes conférences mondiales. Il s</w:t>
      </w:r>
      <w:r w:rsidR="00A24C87">
        <w:t>’</w:t>
      </w:r>
      <w:r w:rsidR="00D80F06" w:rsidRPr="002D6CAB">
        <w:t>agit principalement de la</w:t>
      </w:r>
      <w:r w:rsidR="00D80F06">
        <w:t xml:space="preserve"> </w:t>
      </w:r>
      <w:r w:rsidR="00D80F06" w:rsidRPr="002D6CAB">
        <w:t>conférence</w:t>
      </w:r>
      <w:r w:rsidR="00D80F06">
        <w:t xml:space="preserve"> </w:t>
      </w:r>
      <w:r w:rsidR="00D80F06" w:rsidRPr="002D6CAB">
        <w:t>mondiale de Vienne de 1993, de celle de Durban de 2001, de Beijing de 1995; Conférence Mondiale sur les</w:t>
      </w:r>
      <w:r w:rsidR="00D80F06">
        <w:t xml:space="preserve"> </w:t>
      </w:r>
      <w:r w:rsidR="00D80F06" w:rsidRPr="002D6CAB">
        <w:t>Femmes (CSW) COP 23... Le gouvernement met en œuvre, à travers les différents départements ministériels et institutions,</w:t>
      </w:r>
      <w:r w:rsidR="00D80F06">
        <w:t xml:space="preserve"> </w:t>
      </w:r>
      <w:r w:rsidR="00D80F06" w:rsidRPr="002D6CAB">
        <w:t>les engagements souscrits au titre de ces différentes conférences.</w:t>
      </w:r>
      <w:bookmarkStart w:id="166" w:name="_Toc454388730"/>
      <w:bookmarkStart w:id="167" w:name="_Toc454386662"/>
      <w:bookmarkStart w:id="168" w:name="_Toc454386593"/>
      <w:bookmarkStart w:id="169" w:name="_Toc453672891"/>
    </w:p>
    <w:p w:rsidR="00D80F06" w:rsidRPr="002D6CAB" w:rsidRDefault="00DE2934" w:rsidP="00DE2934">
      <w:pPr>
        <w:pStyle w:val="H23G"/>
      </w:pPr>
      <w:bookmarkStart w:id="170" w:name="_Toc455360527"/>
      <w:bookmarkStart w:id="171" w:name="_Toc455364149"/>
      <w:bookmarkStart w:id="172" w:name="_Toc497839625"/>
      <w:bookmarkStart w:id="173" w:name="_Toc498901344"/>
      <w:r>
        <w:tab/>
      </w:r>
      <w:r w:rsidR="00D80F06">
        <w:t>2.</w:t>
      </w:r>
      <w:r>
        <w:tab/>
      </w:r>
      <w:r w:rsidR="00D80F06" w:rsidRPr="002D6CAB">
        <w:t>Informations concernant la non-discrimination, l</w:t>
      </w:r>
      <w:r w:rsidR="00A24C87">
        <w:t>’</w:t>
      </w:r>
      <w:r w:rsidR="00D80F06" w:rsidRPr="002D6CAB">
        <w:t>égalité et les recours utiles</w:t>
      </w:r>
      <w:bookmarkEnd w:id="166"/>
      <w:bookmarkEnd w:id="167"/>
      <w:bookmarkEnd w:id="168"/>
      <w:bookmarkEnd w:id="169"/>
      <w:bookmarkEnd w:id="170"/>
      <w:bookmarkEnd w:id="171"/>
      <w:bookmarkEnd w:id="172"/>
      <w:bookmarkEnd w:id="173"/>
    </w:p>
    <w:p w:rsidR="00D80F06" w:rsidRPr="002D6CAB" w:rsidRDefault="0022553A" w:rsidP="00D30B70">
      <w:pPr>
        <w:pStyle w:val="H4G"/>
      </w:pPr>
      <w:bookmarkStart w:id="174" w:name="_Toc454388731"/>
      <w:bookmarkStart w:id="175" w:name="_Toc453672892"/>
      <w:bookmarkStart w:id="176" w:name="_Toc455364150"/>
      <w:bookmarkStart w:id="177" w:name="_Toc497839626"/>
      <w:bookmarkStart w:id="178" w:name="_Toc498901345"/>
      <w:r>
        <w:tab/>
      </w:r>
      <w:r>
        <w:tab/>
      </w:r>
      <w:r w:rsidR="00D80F06" w:rsidRPr="002D6CAB">
        <w:t>Non-discrimination et égalité</w:t>
      </w:r>
      <w:bookmarkEnd w:id="174"/>
      <w:bookmarkEnd w:id="175"/>
      <w:bookmarkEnd w:id="176"/>
      <w:bookmarkEnd w:id="177"/>
      <w:bookmarkEnd w:id="178"/>
    </w:p>
    <w:p w:rsidR="00D80F06" w:rsidRPr="002D6CAB" w:rsidRDefault="00C87B7B" w:rsidP="00C87B7B">
      <w:pPr>
        <w:pStyle w:val="SingleTxtG"/>
        <w:spacing w:line="220" w:lineRule="atLeast"/>
      </w:pPr>
      <w:r w:rsidRPr="002D6CAB">
        <w:t>72.</w:t>
      </w:r>
      <w:r w:rsidRPr="002D6CAB">
        <w:tab/>
      </w:r>
      <w:r w:rsidR="00D80F06" w:rsidRPr="002D6CAB">
        <w:t xml:space="preserve">Le principe de non-discrimination est affirmé dans la </w:t>
      </w:r>
      <w:r w:rsidR="00000ED8" w:rsidRPr="002D6CAB">
        <w:t>Constitution</w:t>
      </w:r>
      <w:r w:rsidR="00D80F06" w:rsidRPr="002D6CAB">
        <w:t xml:space="preserve">. Il est repris dans la loi et concrétisé dans plusieurs domaines, notamment, </w:t>
      </w:r>
      <w:r w:rsidR="00D80F06" w:rsidRPr="00B62BB2">
        <w:rPr>
          <w:lang w:val="fr-FR"/>
        </w:rPr>
        <w:t>l</w:t>
      </w:r>
      <w:r w:rsidR="00A24C87">
        <w:rPr>
          <w:lang w:val="fr-FR"/>
        </w:rPr>
        <w:t>’</w:t>
      </w:r>
      <w:r w:rsidR="00D80F06" w:rsidRPr="00B62BB2">
        <w:rPr>
          <w:lang w:val="fr-FR"/>
        </w:rPr>
        <w:t>égalité</w:t>
      </w:r>
      <w:r w:rsidR="00D80F06" w:rsidRPr="002D6CAB">
        <w:t xml:space="preserve"> devant l</w:t>
      </w:r>
      <w:r w:rsidR="00A24C87">
        <w:t>’</w:t>
      </w:r>
      <w:r w:rsidR="00D80F06" w:rsidRPr="002D6CAB">
        <w:t>impôt, l</w:t>
      </w:r>
      <w:r w:rsidR="00A24C87">
        <w:t>’</w:t>
      </w:r>
      <w:r w:rsidR="00D80F06" w:rsidRPr="002D6CAB">
        <w:t>accès à la justice l</w:t>
      </w:r>
      <w:r w:rsidR="00A24C87">
        <w:t>’</w:t>
      </w:r>
      <w:r w:rsidR="00D80F06" w:rsidRPr="002D6CAB">
        <w:t>égalité de salaires pour les mêmes emplois et l</w:t>
      </w:r>
      <w:r w:rsidR="00A24C87">
        <w:t>’</w:t>
      </w:r>
      <w:r w:rsidR="00D80F06" w:rsidRPr="002D6CAB">
        <w:t>accès aux services publics etc...</w:t>
      </w:r>
    </w:p>
    <w:p w:rsidR="00D80F06" w:rsidRPr="002D6CAB" w:rsidRDefault="00C87B7B" w:rsidP="00C87B7B">
      <w:pPr>
        <w:pStyle w:val="SingleTxtG"/>
        <w:spacing w:line="220" w:lineRule="atLeast"/>
      </w:pPr>
      <w:r w:rsidRPr="002D6CAB">
        <w:t>73.</w:t>
      </w:r>
      <w:r w:rsidRPr="002D6CAB">
        <w:tab/>
      </w:r>
      <w:r w:rsidR="00D80F06" w:rsidRPr="002D6CAB">
        <w:t xml:space="preserve">La </w:t>
      </w:r>
      <w:r w:rsidR="00000ED8" w:rsidRPr="002D6CAB">
        <w:t xml:space="preserve">Constitution </w:t>
      </w:r>
      <w:r w:rsidR="00D80F06" w:rsidRPr="002D6CAB">
        <w:t xml:space="preserve">garantit à la femme le droit de participer à la vie politique et publique. Elle lui </w:t>
      </w:r>
      <w:proofErr w:type="spellStart"/>
      <w:r w:rsidR="00D80F06" w:rsidRPr="002D6CAB">
        <w:t>reconnait</w:t>
      </w:r>
      <w:proofErr w:type="spellEnd"/>
      <w:r w:rsidR="00D80F06" w:rsidRPr="002D6CAB">
        <w:t xml:space="preserve"> également tous les droits civils, politiques, économiques, sociaux et culturels tels que proclamés par la Déclaration </w:t>
      </w:r>
      <w:r w:rsidR="00552E7D">
        <w:t>u</w:t>
      </w:r>
      <w:r w:rsidR="00D80F06" w:rsidRPr="002D6CAB">
        <w:t xml:space="preserve">niverselle des </w:t>
      </w:r>
      <w:r w:rsidR="00552E7D">
        <w:t>d</w:t>
      </w:r>
      <w:r w:rsidR="00D80F06" w:rsidRPr="002D6CAB">
        <w:t>roits de l</w:t>
      </w:r>
      <w:r w:rsidR="00A24C87">
        <w:t>’</w:t>
      </w:r>
      <w:r w:rsidR="00552E7D">
        <w:t>h</w:t>
      </w:r>
      <w:r w:rsidR="00D80F06" w:rsidRPr="002D6CAB">
        <w:t xml:space="preserve">omme de 1948 et la Charte africaine des </w:t>
      </w:r>
      <w:r w:rsidR="00552E7D">
        <w:t>d</w:t>
      </w:r>
      <w:r w:rsidR="00D80F06" w:rsidRPr="002D6CAB">
        <w:t>roits de l</w:t>
      </w:r>
      <w:r w:rsidR="00A24C87">
        <w:t>’</w:t>
      </w:r>
      <w:r w:rsidR="00552E7D">
        <w:t>h</w:t>
      </w:r>
      <w:r w:rsidR="00D80F06" w:rsidRPr="002D6CAB">
        <w:t>omme et des Peuples de 1981.</w:t>
      </w:r>
    </w:p>
    <w:p w:rsidR="00D80F06" w:rsidRPr="002D6CAB" w:rsidRDefault="00C87B7B" w:rsidP="00C87B7B">
      <w:pPr>
        <w:pStyle w:val="SingleTxtG"/>
        <w:spacing w:line="220" w:lineRule="atLeast"/>
      </w:pPr>
      <w:r w:rsidRPr="002D6CAB">
        <w:t>74.</w:t>
      </w:r>
      <w:r w:rsidRPr="002D6CAB">
        <w:tab/>
      </w:r>
      <w:r w:rsidR="00D80F06" w:rsidRPr="002D6CAB">
        <w:t>L</w:t>
      </w:r>
      <w:r w:rsidR="00A24C87">
        <w:t>’</w:t>
      </w:r>
      <w:r w:rsidR="00D80F06" w:rsidRPr="002D6CAB">
        <w:t>alinéa 2 de l</w:t>
      </w:r>
      <w:r w:rsidR="00A24C87">
        <w:t>’</w:t>
      </w:r>
      <w:r w:rsidR="00D80F06" w:rsidRPr="002D6CAB">
        <w:t>article 1</w:t>
      </w:r>
      <w:r w:rsidR="00D80F06" w:rsidRPr="00027EE8">
        <w:rPr>
          <w:vertAlign w:val="superscript"/>
        </w:rPr>
        <w:t>er</w:t>
      </w:r>
      <w:r w:rsidR="00552E7D">
        <w:t xml:space="preserve"> </w:t>
      </w:r>
      <w:r w:rsidR="00D80F06" w:rsidRPr="002D6CAB">
        <w:t>de la Constitution dispose</w:t>
      </w:r>
      <w:r w:rsidR="00FB29A2">
        <w:t> :</w:t>
      </w:r>
      <w:r w:rsidR="002502D5">
        <w:t xml:space="preserve"> « </w:t>
      </w:r>
      <w:r w:rsidR="00D80F06" w:rsidRPr="002D6CAB">
        <w:t>la République assure à tous les citoyens sans distinction d</w:t>
      </w:r>
      <w:r w:rsidR="00A24C87">
        <w:t>’</w:t>
      </w:r>
      <w:r w:rsidR="00D80F06" w:rsidRPr="002D6CAB">
        <w:t>origine, de race, de sexe ou de condition sociale, l</w:t>
      </w:r>
      <w:r w:rsidR="00A24C87">
        <w:t>’</w:t>
      </w:r>
      <w:r w:rsidR="00D80F06" w:rsidRPr="002D6CAB">
        <w:t>égalité devant la loi</w:t>
      </w:r>
      <w:r w:rsidR="00C33BDF">
        <w:t> </w:t>
      </w:r>
      <w:r w:rsidR="00D80F06" w:rsidRPr="002D6CAB">
        <w:t>». L</w:t>
      </w:r>
      <w:r w:rsidR="00A24C87">
        <w:t>’</w:t>
      </w:r>
      <w:r w:rsidR="00D80F06" w:rsidRPr="002D6CAB">
        <w:t xml:space="preserve">article 12 </w:t>
      </w:r>
      <w:r w:rsidR="00D80F06" w:rsidRPr="00B62BB2">
        <w:rPr>
          <w:lang w:val="fr-FR"/>
        </w:rPr>
        <w:t>dispose</w:t>
      </w:r>
      <w:r w:rsidR="00FB29A2">
        <w:t> :</w:t>
      </w:r>
      <w:r w:rsidR="00D80F06" w:rsidRPr="002D6CAB">
        <w:t xml:space="preserve"> « tous les citoyens peuvent accéder aux fonctions et emplois publics sans autres conditio</w:t>
      </w:r>
      <w:r w:rsidR="002502D5">
        <w:t>ns que celles fixées par la loi </w:t>
      </w:r>
      <w:r w:rsidR="00D80F06" w:rsidRPr="002D6CAB">
        <w:t>».</w:t>
      </w:r>
      <w:r w:rsidR="00D80F06">
        <w:t xml:space="preserve"> </w:t>
      </w:r>
    </w:p>
    <w:p w:rsidR="00D80F06" w:rsidRPr="002D6CAB" w:rsidRDefault="00C87B7B" w:rsidP="00C87B7B">
      <w:pPr>
        <w:pStyle w:val="SingleTxtG"/>
        <w:spacing w:line="220" w:lineRule="atLeast"/>
      </w:pPr>
      <w:r w:rsidRPr="002D6CAB">
        <w:t>75.</w:t>
      </w:r>
      <w:r w:rsidRPr="002D6CAB">
        <w:tab/>
      </w:r>
      <w:r w:rsidR="00D80F06" w:rsidRPr="002D6CAB">
        <w:t>La discrimination positive et les mesures temporaires spéciales ont été appliquées dans le domaine électoral et des fonctions électives. Le quota réservé aux femmes est en nette augmentation. Des places sont réservées dans tous les recrutements pour les femmes.</w:t>
      </w:r>
    </w:p>
    <w:p w:rsidR="00D80F06" w:rsidRPr="002D6CAB" w:rsidRDefault="00DE2934" w:rsidP="00DE2934">
      <w:pPr>
        <w:pStyle w:val="H23G"/>
      </w:pPr>
      <w:bookmarkStart w:id="179" w:name="_Toc454388736"/>
      <w:bookmarkStart w:id="180" w:name="_Toc453672896"/>
      <w:bookmarkStart w:id="181" w:name="_Toc455360529"/>
      <w:bookmarkStart w:id="182" w:name="_Toc455364156"/>
      <w:r>
        <w:tab/>
        <w:t>3.</w:t>
      </w:r>
      <w:r>
        <w:tab/>
      </w:r>
      <w:r w:rsidR="00D80F06" w:rsidRPr="002D6CAB">
        <w:t>L</w:t>
      </w:r>
      <w:r w:rsidR="00A24C87">
        <w:t>’</w:t>
      </w:r>
      <w:r w:rsidR="00D80F06" w:rsidRPr="002D6CAB">
        <w:t>égalité devant la loi et égale protection de la loi</w:t>
      </w:r>
      <w:bookmarkEnd w:id="179"/>
      <w:bookmarkEnd w:id="180"/>
      <w:bookmarkEnd w:id="181"/>
      <w:bookmarkEnd w:id="182"/>
    </w:p>
    <w:p w:rsidR="00D80F06" w:rsidRPr="002D6CAB" w:rsidRDefault="00C87B7B" w:rsidP="00C87B7B">
      <w:pPr>
        <w:pStyle w:val="SingleTxtG"/>
      </w:pPr>
      <w:r w:rsidRPr="002D6CAB">
        <w:t>76.</w:t>
      </w:r>
      <w:r w:rsidRPr="002D6CAB">
        <w:tab/>
      </w:r>
      <w:r w:rsidR="00D80F06" w:rsidRPr="002D6CAB">
        <w:t xml:space="preserve">La Mauritanie a mis en </w:t>
      </w:r>
      <w:r w:rsidR="00D80F06" w:rsidRPr="00B62BB2">
        <w:rPr>
          <w:lang w:val="fr-FR"/>
        </w:rPr>
        <w:t>place</w:t>
      </w:r>
      <w:r w:rsidR="00D80F06" w:rsidRPr="002D6CAB">
        <w:t xml:space="preserve"> un système judiciaire fondé sur le double degré de juridiction et a facilité l</w:t>
      </w:r>
      <w:r w:rsidR="00A24C87">
        <w:t>’</w:t>
      </w:r>
      <w:r w:rsidR="00D80F06" w:rsidRPr="002D6CAB">
        <w:t>accès à la justice par l</w:t>
      </w:r>
      <w:r w:rsidR="00A24C87">
        <w:t>’</w:t>
      </w:r>
      <w:r w:rsidR="00D80F06" w:rsidRPr="002D6CAB">
        <w:t>intermédiaire de l</w:t>
      </w:r>
      <w:r w:rsidR="00A24C87">
        <w:t>’</w:t>
      </w:r>
      <w:r w:rsidR="00D80F06" w:rsidRPr="002D6CAB">
        <w:t>assistance judiciaire.</w:t>
      </w:r>
      <w:bookmarkStart w:id="183" w:name="_Toc454388737"/>
      <w:bookmarkStart w:id="184" w:name="_Toc453672897"/>
    </w:p>
    <w:p w:rsidR="00D80F06" w:rsidRPr="002D6CAB" w:rsidRDefault="00DE2934" w:rsidP="00DE2934">
      <w:pPr>
        <w:pStyle w:val="H23G"/>
      </w:pPr>
      <w:bookmarkStart w:id="185" w:name="_Toc455360530"/>
      <w:bookmarkStart w:id="186" w:name="_Toc455364157"/>
      <w:r>
        <w:tab/>
        <w:t>4.</w:t>
      </w:r>
      <w:r>
        <w:tab/>
      </w:r>
      <w:r w:rsidR="00D80F06" w:rsidRPr="002D6CAB">
        <w:t>Recours utiles</w:t>
      </w:r>
      <w:bookmarkEnd w:id="183"/>
      <w:bookmarkEnd w:id="184"/>
      <w:bookmarkEnd w:id="185"/>
      <w:bookmarkEnd w:id="186"/>
    </w:p>
    <w:p w:rsidR="00D80F06" w:rsidRDefault="00C87B7B" w:rsidP="00C87B7B">
      <w:pPr>
        <w:pStyle w:val="SingleTxtG"/>
      </w:pPr>
      <w:r>
        <w:t>77.</w:t>
      </w:r>
      <w:r>
        <w:tab/>
      </w:r>
      <w:r w:rsidR="00D80F06" w:rsidRPr="002D6CAB">
        <w:t>Les instruments internationaux relatifs aux droits de l</w:t>
      </w:r>
      <w:r w:rsidR="00A24C87">
        <w:t>’</w:t>
      </w:r>
      <w:r w:rsidR="00D80F06" w:rsidRPr="002D6CAB">
        <w:t>homme ratifiés sont incorporés dans l</w:t>
      </w:r>
      <w:r w:rsidR="00A24C87">
        <w:t>’</w:t>
      </w:r>
      <w:r w:rsidR="00D80F06" w:rsidRPr="002D6CAB">
        <w:t>ordre juridique interne conformément à l</w:t>
      </w:r>
      <w:r w:rsidR="00A24C87">
        <w:t>’</w:t>
      </w:r>
      <w:r w:rsidR="00D80F06" w:rsidRPr="002D6CAB">
        <w:t xml:space="preserve">article 80 de la </w:t>
      </w:r>
      <w:r w:rsidR="00000ED8" w:rsidRPr="002D6CAB">
        <w:t>Constitution</w:t>
      </w:r>
      <w:r w:rsidR="00D80F06" w:rsidRPr="002D6CAB">
        <w:t xml:space="preserve">. </w:t>
      </w:r>
      <w:r w:rsidR="004773DE">
        <w:t>À </w:t>
      </w:r>
      <w:r w:rsidR="00D80F06" w:rsidRPr="002D6CAB">
        <w:t>travers</w:t>
      </w:r>
      <w:r w:rsidR="00D80F06">
        <w:t xml:space="preserve"> </w:t>
      </w:r>
      <w:r w:rsidR="00D80F06" w:rsidRPr="002D6CAB">
        <w:t xml:space="preserve">cet article, toutes les dispositions relatives aux </w:t>
      </w:r>
      <w:r w:rsidR="00D80F06" w:rsidRPr="00B62BB2">
        <w:rPr>
          <w:lang w:val="fr-FR"/>
        </w:rPr>
        <w:t>droits</w:t>
      </w:r>
      <w:r w:rsidR="00D80F06" w:rsidRPr="002D6CAB">
        <w:t xml:space="preserve"> de l</w:t>
      </w:r>
      <w:r w:rsidR="00A24C87">
        <w:t>’</w:t>
      </w:r>
      <w:r w:rsidR="00D80F06" w:rsidRPr="002D6CAB">
        <w:t>homme issues des conventions ratifiées peuvent être invoquées devant les juridictions et le juge est tenu de les appliquer.</w:t>
      </w:r>
    </w:p>
    <w:p w:rsidR="00D80F06" w:rsidRPr="00761562" w:rsidRDefault="00DE2934" w:rsidP="00027EE8">
      <w:pPr>
        <w:pStyle w:val="H1G"/>
      </w:pPr>
      <w:bookmarkStart w:id="187" w:name="_Toc498901346"/>
      <w:r>
        <w:lastRenderedPageBreak/>
        <w:tab/>
      </w:r>
      <w:r w:rsidR="00685027">
        <w:t>G</w:t>
      </w:r>
      <w:r w:rsidR="00D80F06">
        <w:t>.</w:t>
      </w:r>
      <w:r w:rsidR="00D80F06">
        <w:tab/>
      </w:r>
      <w:r w:rsidR="00D80F06" w:rsidRPr="00761562">
        <w:t>Suite donnée aux observations finales/conclusions des organes créés en application d</w:t>
      </w:r>
      <w:r w:rsidR="00A24C87">
        <w:t>’</w:t>
      </w:r>
      <w:r w:rsidR="00D80F06" w:rsidRPr="00761562">
        <w:t>instruments internationaux relatifs aux droits de l</w:t>
      </w:r>
      <w:r w:rsidR="00A24C87">
        <w:t>’</w:t>
      </w:r>
      <w:r w:rsidR="00D80F06" w:rsidRPr="00761562">
        <w:t>homme</w:t>
      </w:r>
      <w:bookmarkEnd w:id="152"/>
      <w:bookmarkEnd w:id="153"/>
      <w:bookmarkEnd w:id="154"/>
      <w:bookmarkEnd w:id="155"/>
      <w:bookmarkEnd w:id="187"/>
    </w:p>
    <w:p w:rsidR="00D80F06" w:rsidRDefault="00C87B7B" w:rsidP="00C87B7B">
      <w:pPr>
        <w:pStyle w:val="SingleTxtG"/>
      </w:pPr>
      <w:r>
        <w:t>78.</w:t>
      </w:r>
      <w:r>
        <w:tab/>
      </w:r>
      <w:r w:rsidR="00D80F06" w:rsidRPr="002D6CAB">
        <w:t>Les différentes observations et recommandations sont partagées et soumises à discussion au sein d</w:t>
      </w:r>
      <w:r w:rsidR="00A24C87">
        <w:t>’</w:t>
      </w:r>
      <w:r w:rsidR="00D80F06" w:rsidRPr="002D6CAB">
        <w:t>ateliers dont les conclusions sont transmises aux autorités compétentes. Il en est ainsi des recommandations conclusives des comités pour l</w:t>
      </w:r>
      <w:r w:rsidR="00A24C87">
        <w:t>’</w:t>
      </w:r>
      <w:r w:rsidR="00D80F06" w:rsidRPr="002D6CAB">
        <w:t>élimination de toutes les formes de discrimination à l</w:t>
      </w:r>
      <w:r w:rsidR="00A24C87">
        <w:t>’</w:t>
      </w:r>
      <w:r w:rsidR="00D80F06" w:rsidRPr="002D6CAB">
        <w:t>égard des femmes, de discrimination raciale, des droits de l</w:t>
      </w:r>
      <w:r w:rsidR="00A24C87">
        <w:t>’</w:t>
      </w:r>
      <w:r w:rsidR="00D80F06" w:rsidRPr="002D6CAB">
        <w:t>enfant, de la torture, des droits de l</w:t>
      </w:r>
      <w:r w:rsidR="00A24C87">
        <w:t>’</w:t>
      </w:r>
      <w:r w:rsidR="00D80F06" w:rsidRPr="002D6CAB">
        <w:t>homme et</w:t>
      </w:r>
      <w:r w:rsidR="00D80F06">
        <w:t xml:space="preserve"> </w:t>
      </w:r>
      <w:r w:rsidR="00D80F06" w:rsidRPr="002D6CAB">
        <w:t xml:space="preserve">des droits économiques, </w:t>
      </w:r>
      <w:r w:rsidR="00D80F06" w:rsidRPr="00B62BB2">
        <w:rPr>
          <w:lang w:val="fr-FR"/>
        </w:rPr>
        <w:t>sociaux</w:t>
      </w:r>
      <w:r w:rsidR="00D80F06" w:rsidRPr="002D6CAB">
        <w:t xml:space="preserve"> et culturels. Des plans d</w:t>
      </w:r>
      <w:r w:rsidR="00A24C87">
        <w:t>’</w:t>
      </w:r>
      <w:r w:rsidR="00D80F06" w:rsidRPr="002D6CAB">
        <w:t>actions sectoriels pour leur mise en œuvre sont en cours d</w:t>
      </w:r>
      <w:r w:rsidR="00A24C87">
        <w:t>’</w:t>
      </w:r>
      <w:r w:rsidR="00D80F06" w:rsidRPr="002D6CAB">
        <w:t>exécution. Un plan d</w:t>
      </w:r>
      <w:r w:rsidR="00A24C87">
        <w:t>’</w:t>
      </w:r>
      <w:r w:rsidR="00D80F06" w:rsidRPr="002D6CAB">
        <w:t>actions national est en cours d</w:t>
      </w:r>
      <w:r w:rsidR="00A24C87">
        <w:t>’</w:t>
      </w:r>
      <w:r w:rsidR="00D80F06" w:rsidRPr="002D6CAB">
        <w:t xml:space="preserve">élaboration avec la collaboration du bureau du </w:t>
      </w:r>
      <w:r w:rsidR="002A7AE0">
        <w:t>H</w:t>
      </w:r>
      <w:r w:rsidR="00D80F06" w:rsidRPr="002D6CAB">
        <w:t>aut</w:t>
      </w:r>
      <w:r w:rsidR="002A7AE0">
        <w:t>-</w:t>
      </w:r>
      <w:r w:rsidR="00D80F06" w:rsidRPr="002D6CAB">
        <w:t>commissariat aux droits de l</w:t>
      </w:r>
      <w:r w:rsidR="00A24C87">
        <w:t>’</w:t>
      </w:r>
      <w:r w:rsidR="00D80F06" w:rsidRPr="002D6CAB">
        <w:t>homme. Il concerne les recommandations des organes de traités et de l</w:t>
      </w:r>
      <w:r w:rsidR="00A24C87">
        <w:t>’</w:t>
      </w:r>
      <w:r w:rsidR="00D80F06" w:rsidRPr="002D6CAB">
        <w:t>EPU.</w:t>
      </w:r>
      <w:r w:rsidR="00D80F06">
        <w:t xml:space="preserve"> </w:t>
      </w:r>
      <w:bookmarkStart w:id="188" w:name="_Toc453672888"/>
    </w:p>
    <w:p w:rsidR="00D80F06" w:rsidRDefault="008C19A4" w:rsidP="002A7AE0">
      <w:pPr>
        <w:pStyle w:val="HChG"/>
      </w:pPr>
      <w:bookmarkStart w:id="189" w:name="_Toc498901347"/>
      <w:r>
        <w:tab/>
      </w:r>
      <w:r w:rsidR="002A7AE0">
        <w:tab/>
      </w:r>
      <w:r w:rsidR="002A7AE0">
        <w:tab/>
      </w:r>
      <w:r w:rsidR="00D80F06" w:rsidRPr="002D6CAB">
        <w:t>P</w:t>
      </w:r>
      <w:r w:rsidR="00D80F06">
        <w:t>artie</w:t>
      </w:r>
      <w:r w:rsidR="00D80F06" w:rsidRPr="002D6CAB">
        <w:t xml:space="preserve"> II</w:t>
      </w:r>
      <w:r w:rsidR="008C1382">
        <w:t>. </w:t>
      </w:r>
      <w:r w:rsidR="00D80F06" w:rsidRPr="002D6CAB">
        <w:t xml:space="preserve">Mise en œuvre des dispositions du PIDCP </w:t>
      </w:r>
      <w:r w:rsidR="00881D45">
        <w:br/>
      </w:r>
      <w:r w:rsidR="00D80F06" w:rsidRPr="002D6CAB">
        <w:t xml:space="preserve">et des </w:t>
      </w:r>
      <w:r w:rsidR="00D80F06" w:rsidRPr="002A7AE0">
        <w:t>recommandations</w:t>
      </w:r>
      <w:r w:rsidR="00D80F06" w:rsidRPr="002D6CAB">
        <w:t xml:space="preserve"> du Comité issues </w:t>
      </w:r>
      <w:r w:rsidR="00881D45">
        <w:br/>
      </w:r>
      <w:r w:rsidR="00EA0415">
        <w:t>de la présentation du r</w:t>
      </w:r>
      <w:r w:rsidR="00D80F06" w:rsidRPr="002D6CAB">
        <w:t xml:space="preserve">apport </w:t>
      </w:r>
      <w:bookmarkEnd w:id="189"/>
      <w:r w:rsidR="00EA0415">
        <w:t>i</w:t>
      </w:r>
      <w:r>
        <w:t>nitial</w:t>
      </w:r>
    </w:p>
    <w:p w:rsidR="00D80F06" w:rsidRPr="002D6CAB" w:rsidRDefault="00C87B7B" w:rsidP="00C87B7B">
      <w:pPr>
        <w:pStyle w:val="SingleTxtG"/>
      </w:pPr>
      <w:r w:rsidRPr="002D6CAB">
        <w:t>79.</w:t>
      </w:r>
      <w:r w:rsidRPr="002D6CAB">
        <w:tab/>
      </w:r>
      <w:r w:rsidR="007B39C6">
        <w:t>À</w:t>
      </w:r>
      <w:r w:rsidR="00D80F06" w:rsidRPr="002D6CAB">
        <w:t xml:space="preserve"> la suite de la présentation de son rapport initial</w:t>
      </w:r>
      <w:r w:rsidR="00D80F06">
        <w:t xml:space="preserve"> </w:t>
      </w:r>
      <w:r w:rsidR="00D80F06" w:rsidRPr="002D6CAB">
        <w:t>en octobre 2013, le Gouvernement a poursuivi ses efforts visant à la mise en œuvre des dispositions du P</w:t>
      </w:r>
      <w:r w:rsidR="00002026">
        <w:t>acte international relatif aux droits civils et p</w:t>
      </w:r>
      <w:r w:rsidR="00D80F06" w:rsidRPr="002D6CAB">
        <w:t>olitiques.</w:t>
      </w:r>
    </w:p>
    <w:p w:rsidR="00D80F06" w:rsidRPr="002D6CAB" w:rsidRDefault="00C87B7B" w:rsidP="00C87B7B">
      <w:pPr>
        <w:pStyle w:val="SingleTxtG"/>
      </w:pPr>
      <w:r w:rsidRPr="002D6CAB">
        <w:t>80.</w:t>
      </w:r>
      <w:r w:rsidRPr="002D6CAB">
        <w:tab/>
      </w:r>
      <w:r w:rsidR="00D80F06" w:rsidRPr="002D6CAB">
        <w:t>Il a également mis en œuvre les recommandations conclusives</w:t>
      </w:r>
      <w:r w:rsidR="00D80F06">
        <w:t xml:space="preserve"> </w:t>
      </w:r>
      <w:r w:rsidR="00D80F06" w:rsidRPr="002D6CAB">
        <w:t xml:space="preserve">du Comité des </w:t>
      </w:r>
      <w:r w:rsidR="00552E7D">
        <w:t>d</w:t>
      </w:r>
      <w:r w:rsidR="00D80F06" w:rsidRPr="002D6CAB">
        <w:t>roits de l</w:t>
      </w:r>
      <w:r w:rsidR="00A24C87">
        <w:t>’</w:t>
      </w:r>
      <w:r w:rsidR="00552E7D">
        <w:t>h</w:t>
      </w:r>
      <w:r w:rsidR="00D80F06" w:rsidRPr="002D6CAB">
        <w:t>omme ainsi qu</w:t>
      </w:r>
      <w:r w:rsidR="00A24C87">
        <w:t>’</w:t>
      </w:r>
      <w:r w:rsidR="00D80F06" w:rsidRPr="002D6CAB">
        <w:t>il suit</w:t>
      </w:r>
      <w:r w:rsidR="00FB29A2">
        <w:t> :</w:t>
      </w:r>
    </w:p>
    <w:p w:rsidR="00DF54B5" w:rsidRPr="00865EA1" w:rsidRDefault="00D80F06" w:rsidP="00881D45">
      <w:pPr>
        <w:pStyle w:val="SingleTxtG"/>
        <w:ind w:left="1701"/>
        <w:rPr>
          <w:i/>
        </w:rPr>
      </w:pPr>
      <w:bookmarkStart w:id="190" w:name="_Toc498901348"/>
      <w:r w:rsidRPr="00865EA1">
        <w:rPr>
          <w:i/>
        </w:rPr>
        <w:t>Recommandation 1</w:t>
      </w:r>
      <w:bookmarkEnd w:id="190"/>
      <w:r w:rsidR="00507CAE" w:rsidRPr="00865EA1">
        <w:rPr>
          <w:i/>
        </w:rPr>
        <w:t> :</w:t>
      </w:r>
    </w:p>
    <w:p w:rsidR="00D80F06" w:rsidRPr="00865EA1" w:rsidRDefault="00D80F06" w:rsidP="00881D45">
      <w:pPr>
        <w:pStyle w:val="SingleTxtG"/>
        <w:ind w:left="1701"/>
        <w:rPr>
          <w:i/>
        </w:rPr>
      </w:pPr>
      <w:r w:rsidRPr="00865EA1">
        <w:rPr>
          <w:i/>
        </w:rPr>
        <w:t>L</w:t>
      </w:r>
      <w:r w:rsidR="00A24C87" w:rsidRPr="00865EA1">
        <w:rPr>
          <w:i/>
        </w:rPr>
        <w:t>’</w:t>
      </w:r>
      <w:r w:rsidRPr="00865EA1">
        <w:rPr>
          <w:i/>
        </w:rPr>
        <w:t>État partie devrait publier de manière systématique au Journal Officiel les lois de ratification des traités et conventions des droits de l</w:t>
      </w:r>
      <w:r w:rsidR="00A24C87" w:rsidRPr="00865EA1">
        <w:rPr>
          <w:i/>
        </w:rPr>
        <w:t>’</w:t>
      </w:r>
      <w:r w:rsidRPr="00865EA1">
        <w:rPr>
          <w:i/>
        </w:rPr>
        <w:t xml:space="preserve">homme ainsi que les textes de ces instruments, notamment du Pacte. Il devrait également faire mieux connaître le Pacte auprès des juges, des avocats et des procureurs afin de garantir que ses dispositions soient prises en compte par les tribunaux nationaux. </w:t>
      </w:r>
    </w:p>
    <w:p w:rsidR="00D80F06" w:rsidRPr="00881D45" w:rsidRDefault="00C87B7B" w:rsidP="00C87B7B">
      <w:pPr>
        <w:pStyle w:val="SingleTxtG"/>
        <w:rPr>
          <w:spacing w:val="-4"/>
        </w:rPr>
      </w:pPr>
      <w:r w:rsidRPr="00881D45">
        <w:rPr>
          <w:spacing w:val="-4"/>
        </w:rPr>
        <w:t>81.</w:t>
      </w:r>
      <w:r w:rsidRPr="00881D45">
        <w:rPr>
          <w:spacing w:val="-4"/>
        </w:rPr>
        <w:tab/>
      </w:r>
      <w:r w:rsidR="00D80F06" w:rsidRPr="00881D45">
        <w:rPr>
          <w:spacing w:val="-4"/>
        </w:rPr>
        <w:t>Le Gouvernement a publié avec l</w:t>
      </w:r>
      <w:r w:rsidR="00A24C87" w:rsidRPr="00881D45">
        <w:rPr>
          <w:spacing w:val="-4"/>
        </w:rPr>
        <w:t>’</w:t>
      </w:r>
      <w:r w:rsidR="00D80F06" w:rsidRPr="00881D45">
        <w:rPr>
          <w:spacing w:val="-4"/>
        </w:rPr>
        <w:t>appui du bureau du HCNUDH de Nouakchott les principaux instruments juridiques internationaux ratifiés relatifs aux droits de l</w:t>
      </w:r>
      <w:r w:rsidR="00A24C87" w:rsidRPr="00881D45">
        <w:rPr>
          <w:spacing w:val="-4"/>
        </w:rPr>
        <w:t>’</w:t>
      </w:r>
      <w:r w:rsidR="00475CFF" w:rsidRPr="00881D45">
        <w:rPr>
          <w:spacing w:val="-4"/>
        </w:rPr>
        <w:t>h</w:t>
      </w:r>
      <w:r w:rsidR="00D80F06" w:rsidRPr="00881D45">
        <w:rPr>
          <w:spacing w:val="-4"/>
        </w:rPr>
        <w:t>omme dans une édition spéciale du Journal Officiel n</w:t>
      </w:r>
      <w:r w:rsidR="00507CAE" w:rsidRPr="00881D45">
        <w:rPr>
          <w:spacing w:val="-4"/>
          <w:vertAlign w:val="superscript"/>
        </w:rPr>
        <w:t>o</w:t>
      </w:r>
      <w:r w:rsidR="00507CAE" w:rsidRPr="00881D45">
        <w:rPr>
          <w:spacing w:val="-4"/>
        </w:rPr>
        <w:t> </w:t>
      </w:r>
      <w:r w:rsidR="00D80F06" w:rsidRPr="00881D45">
        <w:rPr>
          <w:spacing w:val="-4"/>
        </w:rPr>
        <w:t>1326</w:t>
      </w:r>
      <w:r w:rsidR="00507CAE" w:rsidRPr="00881D45">
        <w:rPr>
          <w:spacing w:val="-4"/>
        </w:rPr>
        <w:t> </w:t>
      </w:r>
      <w:r w:rsidR="00D80F06" w:rsidRPr="00881D45">
        <w:rPr>
          <w:i/>
          <w:spacing w:val="-4"/>
        </w:rPr>
        <w:t>bis</w:t>
      </w:r>
      <w:r w:rsidR="00D80F06" w:rsidRPr="00881D45">
        <w:rPr>
          <w:spacing w:val="-4"/>
        </w:rPr>
        <w:t xml:space="preserve"> du 9 décembre 2014. Les textes publiés sont</w:t>
      </w:r>
      <w:r w:rsidR="00FB29A2" w:rsidRPr="00881D45">
        <w:rPr>
          <w:spacing w:val="-4"/>
        </w:rPr>
        <w:t> :</w:t>
      </w:r>
    </w:p>
    <w:p w:rsidR="00D80F06" w:rsidRPr="00390E45" w:rsidRDefault="00C87B7B" w:rsidP="00C87B7B">
      <w:pPr>
        <w:pStyle w:val="Bullet1G"/>
        <w:numPr>
          <w:ilvl w:val="0"/>
          <w:numId w:val="0"/>
        </w:numPr>
        <w:tabs>
          <w:tab w:val="left" w:pos="1701"/>
        </w:tabs>
        <w:spacing w:line="220" w:lineRule="atLeast"/>
        <w:ind w:left="1701" w:hanging="170"/>
      </w:pPr>
      <w:r w:rsidRPr="00390E45">
        <w:t>•</w:t>
      </w:r>
      <w:r w:rsidRPr="00390E45">
        <w:tab/>
      </w:r>
      <w:r w:rsidR="00D80F06" w:rsidRPr="00390E45">
        <w:t>Le Pacte international relatif aux dro</w:t>
      </w:r>
      <w:r w:rsidR="00D80F06">
        <w:t>its civils et politiques (PICP)</w:t>
      </w:r>
      <w:r w:rsidR="009573B0">
        <w:t> ;</w:t>
      </w:r>
    </w:p>
    <w:p w:rsidR="00D80F06" w:rsidRPr="002D6CAB" w:rsidRDefault="00C87B7B" w:rsidP="00C87B7B">
      <w:pPr>
        <w:pStyle w:val="Bullet1G"/>
        <w:numPr>
          <w:ilvl w:val="0"/>
          <w:numId w:val="0"/>
        </w:numPr>
        <w:tabs>
          <w:tab w:val="left" w:pos="1701"/>
        </w:tabs>
        <w:spacing w:line="220" w:lineRule="atLeast"/>
        <w:ind w:left="1701" w:hanging="170"/>
      </w:pPr>
      <w:r w:rsidRPr="002D6CAB">
        <w:t>•</w:t>
      </w:r>
      <w:r w:rsidRPr="002D6CAB">
        <w:tab/>
      </w:r>
      <w:r w:rsidR="00D80F06" w:rsidRPr="002D6CAB">
        <w:t>Le Pacte international relatif aux droits économiques</w:t>
      </w:r>
      <w:r w:rsidR="00D80F06">
        <w:t>, sociaux et culturels (PIESCP)</w:t>
      </w:r>
      <w:r w:rsidR="009573B0">
        <w:t> ;</w:t>
      </w:r>
    </w:p>
    <w:p w:rsidR="00D80F06" w:rsidRPr="002D6CAB" w:rsidRDefault="00C87B7B" w:rsidP="00C87B7B">
      <w:pPr>
        <w:pStyle w:val="Bullet1G"/>
        <w:numPr>
          <w:ilvl w:val="0"/>
          <w:numId w:val="0"/>
        </w:numPr>
        <w:tabs>
          <w:tab w:val="left" w:pos="1701"/>
        </w:tabs>
        <w:spacing w:line="220" w:lineRule="atLeast"/>
        <w:ind w:left="1701" w:hanging="170"/>
      </w:pPr>
      <w:r w:rsidRPr="002D6CAB">
        <w:t>•</w:t>
      </w:r>
      <w:r w:rsidRPr="002D6CAB">
        <w:tab/>
      </w:r>
      <w:r w:rsidR="00D80F06" w:rsidRPr="002D6CAB">
        <w:t>La Convention sur l</w:t>
      </w:r>
      <w:r w:rsidR="00A24C87">
        <w:t>’</w:t>
      </w:r>
      <w:r w:rsidR="00D80F06" w:rsidRPr="002D6CAB">
        <w:t>élimination de toutes les formes de discrimination raciale (CEDR)</w:t>
      </w:r>
      <w:r w:rsidR="009573B0">
        <w:t> ;</w:t>
      </w:r>
    </w:p>
    <w:p w:rsidR="00D80F06" w:rsidRPr="002D6CAB" w:rsidRDefault="00C87B7B" w:rsidP="00C87B7B">
      <w:pPr>
        <w:pStyle w:val="Bullet1G"/>
        <w:numPr>
          <w:ilvl w:val="0"/>
          <w:numId w:val="0"/>
        </w:numPr>
        <w:tabs>
          <w:tab w:val="left" w:pos="1701"/>
        </w:tabs>
        <w:spacing w:line="220" w:lineRule="atLeast"/>
        <w:ind w:left="1701" w:hanging="170"/>
      </w:pPr>
      <w:r w:rsidRPr="002D6CAB">
        <w:t>•</w:t>
      </w:r>
      <w:r w:rsidRPr="002D6CAB">
        <w:tab/>
      </w:r>
      <w:r w:rsidR="00D80F06" w:rsidRPr="002D6CAB">
        <w:t>La Convention contre la torture et autres peines ou traitements cruels, inhumains ou dégradants</w:t>
      </w:r>
      <w:r w:rsidR="00D80F06">
        <w:t xml:space="preserve"> </w:t>
      </w:r>
      <w:r w:rsidR="00D80F06" w:rsidRPr="002D6CAB">
        <w:t>(CCT)</w:t>
      </w:r>
      <w:r w:rsidR="009573B0">
        <w:t> ;</w:t>
      </w:r>
    </w:p>
    <w:p w:rsidR="00D80F06" w:rsidRPr="002D6CAB" w:rsidRDefault="00C87B7B" w:rsidP="00C87B7B">
      <w:pPr>
        <w:pStyle w:val="Bullet1G"/>
        <w:numPr>
          <w:ilvl w:val="0"/>
          <w:numId w:val="0"/>
        </w:numPr>
        <w:tabs>
          <w:tab w:val="left" w:pos="1701"/>
        </w:tabs>
        <w:spacing w:line="220" w:lineRule="atLeast"/>
        <w:ind w:left="1701" w:hanging="170"/>
      </w:pPr>
      <w:r w:rsidRPr="002D6CAB">
        <w:t>•</w:t>
      </w:r>
      <w:r w:rsidRPr="002D6CAB">
        <w:tab/>
      </w:r>
      <w:r w:rsidR="00D80F06" w:rsidRPr="002D6CAB">
        <w:t>La Convention sur l</w:t>
      </w:r>
      <w:r w:rsidR="00A24C87">
        <w:t>’</w:t>
      </w:r>
      <w:r w:rsidR="00D80F06" w:rsidRPr="002D6CAB">
        <w:t>élimination de toutes les formes de discrimination à l</w:t>
      </w:r>
      <w:r w:rsidR="00A24C87">
        <w:t>’</w:t>
      </w:r>
      <w:r w:rsidR="00D80F06" w:rsidRPr="002D6CAB">
        <w:t>égard des femmes (CEDEF</w:t>
      </w:r>
      <w:r w:rsidR="009573B0">
        <w:t> ;</w:t>
      </w:r>
    </w:p>
    <w:p w:rsidR="00D80F06" w:rsidRPr="002D6CAB" w:rsidRDefault="00C87B7B" w:rsidP="00C87B7B">
      <w:pPr>
        <w:pStyle w:val="Bullet1G"/>
        <w:numPr>
          <w:ilvl w:val="0"/>
          <w:numId w:val="0"/>
        </w:numPr>
        <w:tabs>
          <w:tab w:val="left" w:pos="1701"/>
        </w:tabs>
        <w:spacing w:line="220" w:lineRule="atLeast"/>
        <w:ind w:left="1701" w:hanging="170"/>
      </w:pPr>
      <w:r w:rsidRPr="002D6CAB">
        <w:t>•</w:t>
      </w:r>
      <w:r w:rsidRPr="002D6CAB">
        <w:tab/>
      </w:r>
      <w:r w:rsidR="00D80F06" w:rsidRPr="002D6CAB">
        <w:t>La Convention relative aux droits de l</w:t>
      </w:r>
      <w:r w:rsidR="00A24C87">
        <w:t>’</w:t>
      </w:r>
      <w:r w:rsidR="00D80F06" w:rsidRPr="002D6CAB">
        <w:t>enfant (CDE)</w:t>
      </w:r>
      <w:r w:rsidR="009573B0">
        <w:t> ;</w:t>
      </w:r>
    </w:p>
    <w:p w:rsidR="00D80F06" w:rsidRPr="002D6CAB" w:rsidRDefault="00C87B7B" w:rsidP="00C87B7B">
      <w:pPr>
        <w:pStyle w:val="Bullet1G"/>
        <w:numPr>
          <w:ilvl w:val="0"/>
          <w:numId w:val="0"/>
        </w:numPr>
        <w:tabs>
          <w:tab w:val="left" w:pos="1701"/>
        </w:tabs>
        <w:spacing w:line="220" w:lineRule="atLeast"/>
        <w:ind w:left="1701" w:hanging="170"/>
      </w:pPr>
      <w:r w:rsidRPr="002D6CAB">
        <w:t>•</w:t>
      </w:r>
      <w:r w:rsidRPr="002D6CAB">
        <w:tab/>
      </w:r>
      <w:r w:rsidR="00D80F06" w:rsidRPr="002D6CAB">
        <w:t>La Convention sur la protection des droits de tous les travailleurs Migrants et des Membres</w:t>
      </w:r>
      <w:r w:rsidR="00D80F06">
        <w:t xml:space="preserve"> </w:t>
      </w:r>
      <w:r w:rsidR="00D80F06" w:rsidRPr="002D6CAB">
        <w:t>de leur famille (CPTM)</w:t>
      </w:r>
      <w:r w:rsidR="009573B0">
        <w:t> ;</w:t>
      </w:r>
    </w:p>
    <w:p w:rsidR="00D80F06" w:rsidRPr="001E77B5" w:rsidRDefault="00C87B7B" w:rsidP="00C87B7B">
      <w:pPr>
        <w:pStyle w:val="Bullet1G"/>
        <w:numPr>
          <w:ilvl w:val="0"/>
          <w:numId w:val="0"/>
        </w:numPr>
        <w:tabs>
          <w:tab w:val="left" w:pos="1701"/>
        </w:tabs>
        <w:spacing w:line="220" w:lineRule="atLeast"/>
        <w:ind w:left="1701" w:hanging="170"/>
        <w:rPr>
          <w:spacing w:val="-2"/>
        </w:rPr>
      </w:pPr>
      <w:r w:rsidRPr="001E77B5">
        <w:rPr>
          <w:spacing w:val="-2"/>
        </w:rPr>
        <w:t>•</w:t>
      </w:r>
      <w:r w:rsidRPr="001E77B5">
        <w:rPr>
          <w:spacing w:val="-2"/>
        </w:rPr>
        <w:tab/>
      </w:r>
      <w:r w:rsidR="00D80F06" w:rsidRPr="001E77B5">
        <w:rPr>
          <w:spacing w:val="-2"/>
        </w:rPr>
        <w:t>La Convention internationale relative aux droits des personnes handicapées (CIDPH)</w:t>
      </w:r>
      <w:r w:rsidR="009573B0" w:rsidRPr="001E77B5">
        <w:rPr>
          <w:spacing w:val="-2"/>
        </w:rPr>
        <w:t> ;</w:t>
      </w:r>
    </w:p>
    <w:p w:rsidR="00D80F06" w:rsidRPr="002D6CAB" w:rsidRDefault="00C87B7B" w:rsidP="00C87B7B">
      <w:pPr>
        <w:pStyle w:val="Bullet1G"/>
        <w:numPr>
          <w:ilvl w:val="0"/>
          <w:numId w:val="0"/>
        </w:numPr>
        <w:tabs>
          <w:tab w:val="left" w:pos="1701"/>
        </w:tabs>
        <w:spacing w:line="220" w:lineRule="atLeast"/>
        <w:ind w:left="1701" w:hanging="170"/>
      </w:pPr>
      <w:r w:rsidRPr="002D6CAB">
        <w:t>•</w:t>
      </w:r>
      <w:r w:rsidRPr="002D6CAB">
        <w:tab/>
      </w:r>
      <w:r w:rsidR="00D80F06" w:rsidRPr="002D6CAB">
        <w:t>La Convention sur la protection des droits des personnes contre les disparitions forcées(CPPDF)</w:t>
      </w:r>
      <w:r w:rsidR="009573B0">
        <w:t> ;</w:t>
      </w:r>
    </w:p>
    <w:p w:rsidR="00D80F06" w:rsidRPr="002D6CAB" w:rsidRDefault="00C87B7B" w:rsidP="00C87B7B">
      <w:pPr>
        <w:pStyle w:val="Bullet1G"/>
        <w:numPr>
          <w:ilvl w:val="0"/>
          <w:numId w:val="0"/>
        </w:numPr>
        <w:tabs>
          <w:tab w:val="left" w:pos="1701"/>
        </w:tabs>
        <w:spacing w:line="220" w:lineRule="atLeast"/>
        <w:ind w:left="1701" w:hanging="170"/>
      </w:pPr>
      <w:r w:rsidRPr="002D6CAB">
        <w:t>•</w:t>
      </w:r>
      <w:r w:rsidRPr="002D6CAB">
        <w:tab/>
      </w:r>
      <w:r w:rsidR="00D80F06" w:rsidRPr="002D6CAB">
        <w:t>Le Protocole facultatif à la convention</w:t>
      </w:r>
      <w:r w:rsidR="00D80F06">
        <w:t xml:space="preserve"> </w:t>
      </w:r>
      <w:r w:rsidR="00D80F06" w:rsidRPr="002D6CAB">
        <w:t>relative</w:t>
      </w:r>
      <w:r w:rsidR="00D80F06">
        <w:t xml:space="preserve"> </w:t>
      </w:r>
      <w:r w:rsidR="00D80F06" w:rsidRPr="002D6CAB">
        <w:t>aux</w:t>
      </w:r>
      <w:r w:rsidR="00D80F06">
        <w:t xml:space="preserve"> </w:t>
      </w:r>
      <w:r w:rsidR="00D80F06" w:rsidRPr="002D6CAB">
        <w:t>droits des</w:t>
      </w:r>
      <w:r w:rsidR="00D80F06">
        <w:t xml:space="preserve"> personnes handicapées (PCIDPH)</w:t>
      </w:r>
      <w:r w:rsidR="009573B0">
        <w:t> ;</w:t>
      </w:r>
    </w:p>
    <w:p w:rsidR="00D80F06" w:rsidRPr="002D6CAB" w:rsidRDefault="00C87B7B" w:rsidP="00C87B7B">
      <w:pPr>
        <w:pStyle w:val="Bullet1G"/>
        <w:numPr>
          <w:ilvl w:val="0"/>
          <w:numId w:val="0"/>
        </w:numPr>
        <w:tabs>
          <w:tab w:val="left" w:pos="1701"/>
        </w:tabs>
        <w:spacing w:line="220" w:lineRule="atLeast"/>
        <w:ind w:left="1701" w:hanging="170"/>
      </w:pPr>
      <w:r w:rsidRPr="002D6CAB">
        <w:t>•</w:t>
      </w:r>
      <w:r w:rsidRPr="002D6CAB">
        <w:tab/>
      </w:r>
      <w:r w:rsidR="00D80F06" w:rsidRPr="002D6CAB">
        <w:t>Le Protocole facultatif à la Convention contre la torture et autres peines ou traitements cruels, inhumains ou dégradants (OPCAT).</w:t>
      </w:r>
    </w:p>
    <w:p w:rsidR="00D80F06" w:rsidRPr="002D6CAB" w:rsidRDefault="00C87B7B" w:rsidP="00C87B7B">
      <w:pPr>
        <w:pStyle w:val="SingleTxtG"/>
        <w:spacing w:line="220" w:lineRule="atLeast"/>
      </w:pPr>
      <w:r w:rsidRPr="002D6CAB">
        <w:lastRenderedPageBreak/>
        <w:t>82.</w:t>
      </w:r>
      <w:r w:rsidRPr="002D6CAB">
        <w:tab/>
      </w:r>
      <w:r w:rsidR="00D80F06" w:rsidRPr="002D6CAB">
        <w:t>Cette décision vise à garantir</w:t>
      </w:r>
      <w:r w:rsidR="00D80F06">
        <w:t xml:space="preserve"> </w:t>
      </w:r>
      <w:r w:rsidR="00D80F06" w:rsidRPr="002D6CAB">
        <w:t>l</w:t>
      </w:r>
      <w:r w:rsidR="00A24C87">
        <w:t>’</w:t>
      </w:r>
      <w:r w:rsidR="00D80F06" w:rsidRPr="002D6CAB">
        <w:t>harmonisation de la législation nationale</w:t>
      </w:r>
      <w:r w:rsidR="00D80F06">
        <w:t xml:space="preserve"> </w:t>
      </w:r>
      <w:r w:rsidR="00D80F06" w:rsidRPr="002D6CAB">
        <w:t>avec ces différents instruments, assurer l</w:t>
      </w:r>
      <w:r w:rsidR="00A24C87">
        <w:t>’</w:t>
      </w:r>
      <w:r w:rsidR="00D80F06" w:rsidRPr="002D6CAB">
        <w:t xml:space="preserve">effectivité des </w:t>
      </w:r>
      <w:r w:rsidR="00D80F06" w:rsidRPr="00B62BB2">
        <w:rPr>
          <w:lang w:val="fr-FR"/>
        </w:rPr>
        <w:t>dispositions</w:t>
      </w:r>
      <w:r w:rsidR="00D80F06" w:rsidRPr="002D6CAB">
        <w:t xml:space="preserve"> de ces textes et leur prise en compte par les juridictions nationales ainsi la sensibilisation et la prise de conscience des différents acteurs. </w:t>
      </w:r>
    </w:p>
    <w:p w:rsidR="00D80F06" w:rsidRPr="002D6CAB" w:rsidRDefault="00C87B7B" w:rsidP="00C87B7B">
      <w:pPr>
        <w:pStyle w:val="SingleTxtG"/>
        <w:spacing w:line="220" w:lineRule="atLeast"/>
      </w:pPr>
      <w:r w:rsidRPr="002D6CAB">
        <w:t>83.</w:t>
      </w:r>
      <w:r w:rsidRPr="002D6CAB">
        <w:tab/>
      </w:r>
      <w:r w:rsidR="00D80F06" w:rsidRPr="002D6CAB">
        <w:t xml:space="preserve">Plusieurs séminaires de formation et </w:t>
      </w:r>
      <w:r w:rsidR="00D80F06" w:rsidRPr="00B62BB2">
        <w:rPr>
          <w:lang w:val="fr-FR"/>
        </w:rPr>
        <w:t>ateliers</w:t>
      </w:r>
      <w:r w:rsidR="00D80F06" w:rsidRPr="002D6CAB">
        <w:t xml:space="preserve"> de sensibilisation</w:t>
      </w:r>
      <w:r w:rsidR="00D80F06">
        <w:t xml:space="preserve"> </w:t>
      </w:r>
      <w:r w:rsidR="00D80F06" w:rsidRPr="002D6CAB">
        <w:t>au profit des magistrats,</w:t>
      </w:r>
      <w:r w:rsidR="00D80F06">
        <w:t xml:space="preserve"> </w:t>
      </w:r>
      <w:r w:rsidR="00D80F06" w:rsidRPr="002D6CAB">
        <w:t>des</w:t>
      </w:r>
      <w:r w:rsidR="00D80F06">
        <w:t xml:space="preserve"> </w:t>
      </w:r>
      <w:r w:rsidR="00D80F06" w:rsidRPr="002D6CAB">
        <w:t>procureurs et avocats ont été organisés par le Ministère de la Justice, le CDHAH, la CNHDH, le MNP et bien d</w:t>
      </w:r>
      <w:r w:rsidR="00A24C87">
        <w:t>’</w:t>
      </w:r>
      <w:r w:rsidR="00D80F06" w:rsidRPr="002D6CAB">
        <w:t>autres institutions.</w:t>
      </w:r>
    </w:p>
    <w:p w:rsidR="00D80F06" w:rsidRPr="00865EA1" w:rsidRDefault="00D80F06" w:rsidP="00027EE8">
      <w:pPr>
        <w:pStyle w:val="SingleTxtG"/>
        <w:keepNext/>
        <w:ind w:left="1701"/>
        <w:rPr>
          <w:i/>
        </w:rPr>
      </w:pPr>
      <w:bookmarkStart w:id="191" w:name="_Toc498901349"/>
      <w:r w:rsidRPr="00865EA1">
        <w:rPr>
          <w:i/>
        </w:rPr>
        <w:t>Recommandation 2</w:t>
      </w:r>
      <w:r w:rsidR="00FB29A2" w:rsidRPr="00865EA1">
        <w:rPr>
          <w:i/>
        </w:rPr>
        <w:t> :</w:t>
      </w:r>
      <w:bookmarkEnd w:id="191"/>
    </w:p>
    <w:p w:rsidR="00D80F06" w:rsidRPr="00865EA1" w:rsidRDefault="00D80F06" w:rsidP="00027EE8">
      <w:pPr>
        <w:pStyle w:val="SingleTxtG"/>
        <w:ind w:left="1701"/>
        <w:rPr>
          <w:i/>
        </w:rPr>
      </w:pPr>
      <w:r w:rsidRPr="00865EA1">
        <w:rPr>
          <w:i/>
        </w:rPr>
        <w:t>L</w:t>
      </w:r>
      <w:r w:rsidR="00A24C87" w:rsidRPr="00865EA1">
        <w:rPr>
          <w:i/>
        </w:rPr>
        <w:t>’</w:t>
      </w:r>
      <w:r w:rsidRPr="00865EA1">
        <w:rPr>
          <w:i/>
        </w:rPr>
        <w:t>État partie devrait s</w:t>
      </w:r>
      <w:r w:rsidR="00A24C87" w:rsidRPr="00865EA1">
        <w:rPr>
          <w:i/>
        </w:rPr>
        <w:t>’</w:t>
      </w:r>
      <w:r w:rsidRPr="00865EA1">
        <w:rPr>
          <w:i/>
        </w:rPr>
        <w:t>assurer que la référence à l</w:t>
      </w:r>
      <w:r w:rsidR="00A24C87" w:rsidRPr="00865EA1">
        <w:rPr>
          <w:i/>
        </w:rPr>
        <w:t>’</w:t>
      </w:r>
      <w:r w:rsidRPr="00865EA1">
        <w:rPr>
          <w:i/>
        </w:rPr>
        <w:t>islam n</w:t>
      </w:r>
      <w:r w:rsidR="00A24C87" w:rsidRPr="00865EA1">
        <w:rPr>
          <w:i/>
        </w:rPr>
        <w:t>’</w:t>
      </w:r>
      <w:r w:rsidRPr="00865EA1">
        <w:rPr>
          <w:i/>
        </w:rPr>
        <w:t>empêche pas la pleine application dans son ordre juridique des dispositions du Pacte et qu</w:t>
      </w:r>
      <w:r w:rsidR="00A24C87" w:rsidRPr="00865EA1">
        <w:rPr>
          <w:i/>
        </w:rPr>
        <w:t>’</w:t>
      </w:r>
      <w:r w:rsidRPr="00865EA1">
        <w:rPr>
          <w:i/>
        </w:rPr>
        <w:t>elle ne constitue pas une justification pour l</w:t>
      </w:r>
      <w:r w:rsidR="00A24C87" w:rsidRPr="00865EA1">
        <w:rPr>
          <w:i/>
        </w:rPr>
        <w:t>’</w:t>
      </w:r>
      <w:r w:rsidRPr="00865EA1">
        <w:rPr>
          <w:i/>
        </w:rPr>
        <w:t>État partie de ne pas mettre en œuvre les obligations contractées en vertu du Pacte. Le Comité encourage l</w:t>
      </w:r>
      <w:r w:rsidR="00A24C87" w:rsidRPr="00865EA1">
        <w:rPr>
          <w:i/>
        </w:rPr>
        <w:t>’</w:t>
      </w:r>
      <w:r w:rsidRPr="00865EA1">
        <w:rPr>
          <w:i/>
        </w:rPr>
        <w:t xml:space="preserve">État partie, par conséquent, à envisager de retirer ses réserves formulées aux articles 18 et 23, paragraphe 4, du Pacte. </w:t>
      </w:r>
    </w:p>
    <w:p w:rsidR="008C19A4" w:rsidRPr="002A7AE0" w:rsidRDefault="00C87B7B" w:rsidP="00C87B7B">
      <w:pPr>
        <w:pStyle w:val="SingleTxtG"/>
      </w:pPr>
      <w:r w:rsidRPr="002A7AE0">
        <w:t>84.</w:t>
      </w:r>
      <w:r w:rsidRPr="002A7AE0">
        <w:tab/>
      </w:r>
      <w:r w:rsidR="00D80F06" w:rsidRPr="002D6CAB">
        <w:t xml:space="preserve">Pays musulman, la Mauritanie a émis </w:t>
      </w:r>
      <w:r w:rsidR="00D80F06" w:rsidRPr="00B62BB2">
        <w:rPr>
          <w:lang w:val="fr-FR"/>
        </w:rPr>
        <w:t>des</w:t>
      </w:r>
      <w:r w:rsidR="00D80F06" w:rsidRPr="002D6CAB">
        <w:t xml:space="preserve"> réserves sur les articles 18 et 23 du Pacte parce que incompatibles avec la Charia, unique source de droit conformément à la </w:t>
      </w:r>
      <w:r w:rsidR="00000ED8" w:rsidRPr="002D6CAB">
        <w:t>Constitution</w:t>
      </w:r>
      <w:r w:rsidR="00D80F06" w:rsidRPr="002D6CAB">
        <w:t>. Toutefois,</w:t>
      </w:r>
      <w:r w:rsidR="00D80F06">
        <w:t xml:space="preserve"> </w:t>
      </w:r>
      <w:r w:rsidR="00D80F06" w:rsidRPr="002D6CAB">
        <w:t>elle demeure profondément attachée à l</w:t>
      </w:r>
      <w:r w:rsidR="00A24C87">
        <w:t>’</w:t>
      </w:r>
      <w:r w:rsidR="00D80F06" w:rsidRPr="002D6CAB">
        <w:t>esprit et à la lettre du pacte dans tous ses articles qui ne sont pas contraires à la Charia.</w:t>
      </w:r>
      <w:bookmarkStart w:id="192" w:name="_Toc498901350"/>
    </w:p>
    <w:p w:rsidR="00D80F06" w:rsidRPr="00865EA1" w:rsidRDefault="00D80F06" w:rsidP="00027EE8">
      <w:pPr>
        <w:pStyle w:val="SingleTxtG"/>
        <w:ind w:left="1701"/>
        <w:rPr>
          <w:i/>
        </w:rPr>
      </w:pPr>
      <w:r w:rsidRPr="00865EA1">
        <w:rPr>
          <w:i/>
        </w:rPr>
        <w:t>Recommandation 3</w:t>
      </w:r>
      <w:r w:rsidR="00FB29A2" w:rsidRPr="00865EA1">
        <w:rPr>
          <w:i/>
        </w:rPr>
        <w:t> :</w:t>
      </w:r>
      <w:bookmarkEnd w:id="192"/>
    </w:p>
    <w:p w:rsidR="00D80F06" w:rsidRPr="00865EA1" w:rsidRDefault="00D80F06" w:rsidP="00027EE8">
      <w:pPr>
        <w:pStyle w:val="SingleTxtG"/>
        <w:ind w:left="1701"/>
        <w:rPr>
          <w:i/>
        </w:rPr>
      </w:pPr>
      <w:r w:rsidRPr="00865EA1">
        <w:rPr>
          <w:i/>
        </w:rPr>
        <w:t>L</w:t>
      </w:r>
      <w:r w:rsidR="00A24C87" w:rsidRPr="00865EA1">
        <w:rPr>
          <w:i/>
        </w:rPr>
        <w:t>’</w:t>
      </w:r>
      <w:r w:rsidRPr="00865EA1">
        <w:rPr>
          <w:i/>
        </w:rPr>
        <w:t>État partie devrait adopter une définition de la discrimination raciale dans sa législation et la prohiber en conformité avec le Pacte. Il devrait également combattre la discrimination fondée sur l</w:t>
      </w:r>
      <w:r w:rsidR="00A24C87" w:rsidRPr="00865EA1">
        <w:rPr>
          <w:i/>
        </w:rPr>
        <w:t>’</w:t>
      </w:r>
      <w:r w:rsidRPr="00865EA1">
        <w:rPr>
          <w:i/>
        </w:rPr>
        <w:t>appartenance ethnique dans tous les domaines et accélérer la rédaction, la validation et l</w:t>
      </w:r>
      <w:r w:rsidR="00A24C87" w:rsidRPr="00865EA1">
        <w:rPr>
          <w:i/>
        </w:rPr>
        <w:t>’</w:t>
      </w:r>
      <w:r w:rsidRPr="00865EA1">
        <w:rPr>
          <w:i/>
        </w:rPr>
        <w:t>adoption du projet de plan d</w:t>
      </w:r>
      <w:r w:rsidR="00A24C87" w:rsidRPr="00865EA1">
        <w:rPr>
          <w:i/>
        </w:rPr>
        <w:t>’</w:t>
      </w:r>
      <w:r w:rsidRPr="00865EA1">
        <w:rPr>
          <w:i/>
        </w:rPr>
        <w:t>action national de lutte contre la discrimination raciale, la xénophobie et l</w:t>
      </w:r>
      <w:r w:rsidR="00A24C87" w:rsidRPr="00865EA1">
        <w:rPr>
          <w:i/>
        </w:rPr>
        <w:t>’</w:t>
      </w:r>
      <w:r w:rsidRPr="00865EA1">
        <w:rPr>
          <w:i/>
        </w:rPr>
        <w:t xml:space="preserve">intolérance qui y est associée, le mettre en œuvre et le vulgariser. </w:t>
      </w:r>
    </w:p>
    <w:p w:rsidR="00D80F06" w:rsidRPr="002D6CAB" w:rsidRDefault="00C87B7B" w:rsidP="00C87B7B">
      <w:pPr>
        <w:pStyle w:val="SingleTxtG"/>
      </w:pPr>
      <w:r w:rsidRPr="002D6CAB">
        <w:t>85.</w:t>
      </w:r>
      <w:r w:rsidRPr="002D6CAB">
        <w:tab/>
      </w:r>
      <w:r w:rsidR="00D80F06" w:rsidRPr="002D6CAB">
        <w:t xml:space="preserve">La Mauritanie demeure attachée aux principes et valeurs guidant le combat mené par la communauté internationale contre le </w:t>
      </w:r>
      <w:r w:rsidR="00D80F06" w:rsidRPr="00B62BB2">
        <w:rPr>
          <w:lang w:val="fr-FR"/>
        </w:rPr>
        <w:t>racisme</w:t>
      </w:r>
      <w:r w:rsidR="00D80F06" w:rsidRPr="002D6CAB">
        <w:t>, la discrimination raciale, la xénophobie et l</w:t>
      </w:r>
      <w:r w:rsidR="00A24C87">
        <w:t>’</w:t>
      </w:r>
      <w:r w:rsidR="00D80F06" w:rsidRPr="002D6CAB">
        <w:t>intolérance qui y est associée.</w:t>
      </w:r>
    </w:p>
    <w:p w:rsidR="00D80F06" w:rsidRPr="002D6CAB" w:rsidRDefault="00C87B7B" w:rsidP="00C87B7B">
      <w:pPr>
        <w:pStyle w:val="SingleTxtG"/>
      </w:pPr>
      <w:r w:rsidRPr="002D6CAB">
        <w:t>86.</w:t>
      </w:r>
      <w:r w:rsidRPr="002D6CAB">
        <w:tab/>
      </w:r>
      <w:r w:rsidR="00D80F06" w:rsidRPr="002D6CAB">
        <w:t xml:space="preserve">La Constitution interdit </w:t>
      </w:r>
      <w:r w:rsidR="00D80F06" w:rsidRPr="00B62BB2">
        <w:rPr>
          <w:lang w:val="fr-FR"/>
        </w:rPr>
        <w:t>toute</w:t>
      </w:r>
      <w:r w:rsidR="00D80F06" w:rsidRPr="002D6CAB">
        <w:t xml:space="preserve"> discrimination raciale ou ethnique et reconnaît aux citoyens les droits civiques et politiques ainsi que les droits économiques et sociaux.</w:t>
      </w:r>
    </w:p>
    <w:p w:rsidR="00D80F06" w:rsidRPr="002D6CAB" w:rsidRDefault="00C87B7B" w:rsidP="00C87B7B">
      <w:pPr>
        <w:pStyle w:val="SingleTxtG"/>
      </w:pPr>
      <w:r w:rsidRPr="002D6CAB">
        <w:t>87.</w:t>
      </w:r>
      <w:r w:rsidRPr="002D6CAB">
        <w:tab/>
      </w:r>
      <w:r w:rsidR="00D80F06" w:rsidRPr="002D6CAB">
        <w:t>Le corpus juridique national consacre la prohibition de toute forme de discrimination. La loi n</w:t>
      </w:r>
      <w:r w:rsidR="00507CAE" w:rsidRPr="00027EE8">
        <w:rPr>
          <w:vertAlign w:val="superscript"/>
        </w:rPr>
        <w:t>o</w:t>
      </w:r>
      <w:r w:rsidR="00507CAE">
        <w:t> </w:t>
      </w:r>
      <w:r w:rsidR="00D80F06" w:rsidRPr="002D6CAB">
        <w:t>2015.031 incriminant l</w:t>
      </w:r>
      <w:r w:rsidR="00A24C87">
        <w:t>’</w:t>
      </w:r>
      <w:r w:rsidR="00D80F06" w:rsidRPr="002D6CAB">
        <w:t xml:space="preserve">esclavage et réprimant les pratiques esclavagistes en son article 2 interdit toute discrimination, sous quelque forme que ce soit </w:t>
      </w:r>
      <w:r w:rsidR="00A53065" w:rsidRPr="002D6CAB">
        <w:t>basé</w:t>
      </w:r>
      <w:r w:rsidR="00D80F06">
        <w:t xml:space="preserve"> </w:t>
      </w:r>
      <w:r w:rsidR="00D80F06" w:rsidRPr="002D6CAB">
        <w:t>sur l</w:t>
      </w:r>
      <w:r w:rsidR="00A24C87">
        <w:t>’</w:t>
      </w:r>
      <w:r w:rsidR="00D80F06" w:rsidRPr="002D6CAB">
        <w:t>esclavage.</w:t>
      </w:r>
      <w:r w:rsidR="00D80F06">
        <w:t xml:space="preserve"> </w:t>
      </w:r>
    </w:p>
    <w:p w:rsidR="00D80F06" w:rsidRPr="002D6CAB" w:rsidRDefault="00C87B7B" w:rsidP="00C87B7B">
      <w:pPr>
        <w:pStyle w:val="SingleTxtG"/>
      </w:pPr>
      <w:r w:rsidRPr="002D6CAB">
        <w:t>88.</w:t>
      </w:r>
      <w:r w:rsidRPr="002D6CAB">
        <w:tab/>
      </w:r>
      <w:r w:rsidR="00D80F06" w:rsidRPr="002D6CAB">
        <w:t xml:space="preserve">Le dispositif relatif à la liberté de presse interdit aux médias toute publication ou discours incitant à la haine, les préjugés ethniques, </w:t>
      </w:r>
      <w:r w:rsidR="00D80F06" w:rsidRPr="00B62BB2">
        <w:rPr>
          <w:lang w:val="fr-FR"/>
        </w:rPr>
        <w:t>régionalistes</w:t>
      </w:r>
      <w:r w:rsidR="00D80F06" w:rsidRPr="002D6CAB">
        <w:t xml:space="preserve">. Dans son article 40, le </w:t>
      </w:r>
      <w:r w:rsidR="00B253B0" w:rsidRPr="002D6CAB">
        <w:t xml:space="preserve">Code </w:t>
      </w:r>
      <w:r w:rsidR="00D80F06" w:rsidRPr="002D6CAB">
        <w:t xml:space="preserve">de la liberté de la presse (ordonnance </w:t>
      </w:r>
      <w:r w:rsidR="00507CAE" w:rsidRPr="002D6CAB">
        <w:t>n</w:t>
      </w:r>
      <w:r w:rsidR="00507CAE" w:rsidRPr="00BD5B0E">
        <w:rPr>
          <w:vertAlign w:val="superscript"/>
        </w:rPr>
        <w:t>o</w:t>
      </w:r>
      <w:r w:rsidR="00507CAE">
        <w:t> </w:t>
      </w:r>
      <w:r w:rsidR="00D80F06" w:rsidRPr="002D6CAB">
        <w:t xml:space="preserve">2006-017 modifiée par la loi </w:t>
      </w:r>
      <w:r w:rsidR="00507CAE" w:rsidRPr="002D6CAB">
        <w:t>n</w:t>
      </w:r>
      <w:r w:rsidR="00507CAE" w:rsidRPr="00BD5B0E">
        <w:rPr>
          <w:vertAlign w:val="superscript"/>
        </w:rPr>
        <w:t>o</w:t>
      </w:r>
      <w:r w:rsidR="00507CAE">
        <w:t> </w:t>
      </w:r>
      <w:r w:rsidR="00D80F06" w:rsidRPr="002D6CAB">
        <w:t>2011-054) incrimine toute diffamation ou injure, en raison de l</w:t>
      </w:r>
      <w:r w:rsidR="00A24C87">
        <w:t>’</w:t>
      </w:r>
      <w:r w:rsidR="00D80F06" w:rsidRPr="002D6CAB">
        <w:t>appartenance ou la non- appartenance à une ethnie, à une nation, à une race, à une région ou à une religion déterminée, comme il interdit et incrimine toute provocation ou incitation à la violence (articles 32 et suivants).</w:t>
      </w:r>
    </w:p>
    <w:p w:rsidR="00D80F06" w:rsidRPr="002D6CAB" w:rsidRDefault="00C87B7B" w:rsidP="00C87B7B">
      <w:pPr>
        <w:pStyle w:val="SingleTxtG"/>
      </w:pPr>
      <w:r w:rsidRPr="002D6CAB">
        <w:t>89.</w:t>
      </w:r>
      <w:r w:rsidRPr="002D6CAB">
        <w:tab/>
      </w:r>
      <w:r w:rsidR="00D80F06" w:rsidRPr="002D6CAB">
        <w:t xml:space="preserve">La loi </w:t>
      </w:r>
      <w:r w:rsidR="00507CAE" w:rsidRPr="002D6CAB">
        <w:t>n</w:t>
      </w:r>
      <w:r w:rsidR="00507CAE" w:rsidRPr="00BD5B0E">
        <w:rPr>
          <w:vertAlign w:val="superscript"/>
        </w:rPr>
        <w:t>o</w:t>
      </w:r>
      <w:r w:rsidR="00507CAE">
        <w:t> </w:t>
      </w:r>
      <w:r w:rsidR="00D80F06" w:rsidRPr="002D6CAB">
        <w:t>2016.007 contre la cybercriminalité, en son article 23 prévoit et réprime la production, l</w:t>
      </w:r>
      <w:r w:rsidR="00A24C87">
        <w:t>’</w:t>
      </w:r>
      <w:r w:rsidR="00D80F06" w:rsidRPr="002D6CAB">
        <w:t>enregistrement, l</w:t>
      </w:r>
      <w:r w:rsidR="00A24C87">
        <w:t>’</w:t>
      </w:r>
      <w:r w:rsidR="00D80F06" w:rsidRPr="002D6CAB">
        <w:t xml:space="preserve">offre, la mise à </w:t>
      </w:r>
      <w:r w:rsidR="00D80F06" w:rsidRPr="00B62BB2">
        <w:rPr>
          <w:lang w:val="fr-FR"/>
        </w:rPr>
        <w:t>disposition</w:t>
      </w:r>
      <w:r w:rsidR="00D80F06" w:rsidRPr="002D6CAB">
        <w:t xml:space="preserve"> ou la diffusion sur un système ou tout support informatiques d</w:t>
      </w:r>
      <w:r w:rsidR="00A24C87">
        <w:t>’</w:t>
      </w:r>
      <w:r w:rsidR="00D80F06" w:rsidRPr="002D6CAB">
        <w:t>un message texte, une image, un son ou toute autre forme de représentation d</w:t>
      </w:r>
      <w:r w:rsidR="00A24C87">
        <w:t>’</w:t>
      </w:r>
      <w:r w:rsidR="00D80F06" w:rsidRPr="002D6CAB">
        <w:t>idées ou de théorie, faisant 1</w:t>
      </w:r>
      <w:r w:rsidR="00A24C87">
        <w:t>’</w:t>
      </w:r>
      <w:r w:rsidR="00D80F06" w:rsidRPr="002D6CAB">
        <w:t>apologie des crimes contre l</w:t>
      </w:r>
      <w:r w:rsidR="00A24C87">
        <w:t>’</w:t>
      </w:r>
      <w:r w:rsidR="00D80F06" w:rsidRPr="002D6CAB">
        <w:t>humanité ou incitant à la violence et/ou à la haine raciale.</w:t>
      </w:r>
    </w:p>
    <w:p w:rsidR="00D80F06" w:rsidRPr="002D6CAB" w:rsidRDefault="00C87B7B" w:rsidP="00C87B7B">
      <w:pPr>
        <w:pStyle w:val="SingleTxtG"/>
      </w:pPr>
      <w:r w:rsidRPr="002D6CAB">
        <w:t>90.</w:t>
      </w:r>
      <w:r w:rsidRPr="002D6CAB">
        <w:tab/>
      </w:r>
      <w:r w:rsidR="00D80F06" w:rsidRPr="002D6CAB">
        <w:t>Le projet de loi incriminant la discrimination, approuvé par le Gouvernement, définit ce phénomène et dispose en son article 1</w:t>
      </w:r>
      <w:r w:rsidR="002A7AE0">
        <w:t> </w:t>
      </w:r>
      <w:r w:rsidR="00D80F06" w:rsidRPr="002D6CAB">
        <w:t>: « la discrimination signifie toute distinction, exclusion, restriction ou préférence ayant ou pouvant avoir pour but ou pour effet de détruire, de compromettre ou de limiter la reconnaissance, la jouissance ou l</w:t>
      </w:r>
      <w:r w:rsidR="00A24C87">
        <w:t>’</w:t>
      </w:r>
      <w:r w:rsidR="00D80F06" w:rsidRPr="002D6CAB">
        <w:t xml:space="preserve">exercice, dans des </w:t>
      </w:r>
      <w:r w:rsidR="00D80F06" w:rsidRPr="00B62BB2">
        <w:rPr>
          <w:lang w:val="fr-FR"/>
        </w:rPr>
        <w:t>conditions</w:t>
      </w:r>
      <w:r w:rsidR="00D80F06" w:rsidRPr="002D6CAB">
        <w:t xml:space="preserve"> d</w:t>
      </w:r>
      <w:r w:rsidR="00A24C87">
        <w:t>’</w:t>
      </w:r>
      <w:r w:rsidR="00D80F06" w:rsidRPr="002D6CAB">
        <w:t>égalité, des droits de l</w:t>
      </w:r>
      <w:r w:rsidR="00A24C87">
        <w:t>’</w:t>
      </w:r>
      <w:r w:rsidR="00D80F06" w:rsidRPr="002D6CAB">
        <w:t>homme et des libertés fondamentales dans les domaines politique, économique social ou culturel ou dans tout autre domaine de la vie sociale », reprenant ainsi intégralement la définition internationale de la discrimination.</w:t>
      </w:r>
    </w:p>
    <w:p w:rsidR="00D80F06" w:rsidRPr="002D6CAB" w:rsidRDefault="00C87B7B" w:rsidP="00C87B7B">
      <w:pPr>
        <w:pStyle w:val="SingleTxtG"/>
      </w:pPr>
      <w:r w:rsidRPr="002D6CAB">
        <w:lastRenderedPageBreak/>
        <w:t>91.</w:t>
      </w:r>
      <w:r w:rsidRPr="002D6CAB">
        <w:tab/>
      </w:r>
      <w:r w:rsidR="00D80F06" w:rsidRPr="002D6CAB">
        <w:t>La loi relative aux partis po</w:t>
      </w:r>
      <w:r w:rsidR="002A7AE0">
        <w:t>litiques fait injonction à ceux-</w:t>
      </w:r>
      <w:r w:rsidR="00D80F06" w:rsidRPr="002D6CAB">
        <w:t>ci de</w:t>
      </w:r>
      <w:r w:rsidR="00D80F06">
        <w:t xml:space="preserve"> </w:t>
      </w:r>
      <w:r w:rsidR="00D80F06" w:rsidRPr="002D6CAB">
        <w:t>s</w:t>
      </w:r>
      <w:r w:rsidR="00A24C87">
        <w:t>’</w:t>
      </w:r>
      <w:r w:rsidR="00D80F06" w:rsidRPr="002D6CAB">
        <w:t>interdire toute incitation à l</w:t>
      </w:r>
      <w:r w:rsidR="00A24C87">
        <w:t>’</w:t>
      </w:r>
      <w:r w:rsidR="00D80F06" w:rsidRPr="002D6CAB">
        <w:t xml:space="preserve">intolérance et à la violence, toute </w:t>
      </w:r>
      <w:r w:rsidR="00D80F06" w:rsidRPr="00B62BB2">
        <w:rPr>
          <w:lang w:val="fr-FR"/>
        </w:rPr>
        <w:t>propagande</w:t>
      </w:r>
      <w:r w:rsidR="00D80F06" w:rsidRPr="002D6CAB">
        <w:t xml:space="preserve"> qui aurait pour but de porter atteinte à l</w:t>
      </w:r>
      <w:r w:rsidR="00A24C87">
        <w:t>’</w:t>
      </w:r>
      <w:r w:rsidR="00D80F06" w:rsidRPr="002D6CAB">
        <w:t>intégrité du territoire ou à l</w:t>
      </w:r>
      <w:r w:rsidR="00A24C87">
        <w:t>’</w:t>
      </w:r>
      <w:r w:rsidR="00D80F06" w:rsidRPr="002D6CAB">
        <w:t>unité de la nation.</w:t>
      </w:r>
    </w:p>
    <w:p w:rsidR="00D80F06" w:rsidRPr="002D6CAB" w:rsidRDefault="00C87B7B" w:rsidP="00C87B7B">
      <w:pPr>
        <w:pStyle w:val="SingleTxtG"/>
      </w:pPr>
      <w:r w:rsidRPr="002D6CAB">
        <w:t>92.</w:t>
      </w:r>
      <w:r w:rsidRPr="002D6CAB">
        <w:tab/>
      </w:r>
      <w:r w:rsidR="00D80F06" w:rsidRPr="002D6CAB">
        <w:t>La Mauritanie a intégré dans sa stratégie de lutte contre la discrimination les recommandations du comité pour l</w:t>
      </w:r>
      <w:r w:rsidR="00A24C87">
        <w:t>’</w:t>
      </w:r>
      <w:r w:rsidR="00D80F06" w:rsidRPr="002D6CAB">
        <w:t xml:space="preserve">élimination de toutes les formes de discrimination raciale ainsi que celles du rapporteur spécial des Nations Unies sur la discrimination. </w:t>
      </w:r>
    </w:p>
    <w:p w:rsidR="00D80F06" w:rsidRPr="002D6CAB" w:rsidRDefault="00C87B7B" w:rsidP="00C87B7B">
      <w:pPr>
        <w:pStyle w:val="SingleTxtG"/>
      </w:pPr>
      <w:r w:rsidRPr="002D6CAB">
        <w:t>93.</w:t>
      </w:r>
      <w:r w:rsidRPr="002D6CAB">
        <w:tab/>
      </w:r>
      <w:r w:rsidR="00D80F06" w:rsidRPr="002D6CAB">
        <w:t xml:space="preserve">Le </w:t>
      </w:r>
      <w:r w:rsidR="00C33BDF" w:rsidRPr="002D6CAB">
        <w:t xml:space="preserve">Code </w:t>
      </w:r>
      <w:r w:rsidR="00D80F06" w:rsidRPr="002D6CAB">
        <w:t>du travail consacre la non-discrimination, et établit expressément l</w:t>
      </w:r>
      <w:r w:rsidR="00A24C87">
        <w:t>’</w:t>
      </w:r>
      <w:r w:rsidR="00D80F06" w:rsidRPr="002D6CAB">
        <w:t>égalité d</w:t>
      </w:r>
      <w:r w:rsidR="00A24C87">
        <w:t>’</w:t>
      </w:r>
      <w:r w:rsidR="00D80F06" w:rsidRPr="002D6CAB">
        <w:t>accès à l</w:t>
      </w:r>
      <w:r w:rsidR="00A24C87">
        <w:t>’</w:t>
      </w:r>
      <w:r w:rsidR="00D80F06" w:rsidRPr="002D6CAB">
        <w:t>emploi. Il interdit toute discrimination, distinction, exclusion ou préférence fondée sur la race, l</w:t>
      </w:r>
      <w:r w:rsidR="00A24C87">
        <w:t>’</w:t>
      </w:r>
      <w:r w:rsidR="00D80F06" w:rsidRPr="002D6CAB">
        <w:t>ascendance nationale, la couleur, le sexe, la religion, les opinions politiques ou l</w:t>
      </w:r>
      <w:r w:rsidR="00A24C87">
        <w:t>’</w:t>
      </w:r>
      <w:r w:rsidR="00D80F06" w:rsidRPr="002D6CAB">
        <w:t xml:space="preserve">origine sociale. </w:t>
      </w:r>
    </w:p>
    <w:p w:rsidR="00D80F06" w:rsidRPr="002D6CAB" w:rsidRDefault="00C87B7B" w:rsidP="00C87B7B">
      <w:pPr>
        <w:pStyle w:val="SingleTxtG"/>
      </w:pPr>
      <w:r w:rsidRPr="002D6CAB">
        <w:t>94.</w:t>
      </w:r>
      <w:r w:rsidRPr="002D6CAB">
        <w:tab/>
      </w:r>
      <w:r w:rsidR="00D80F06" w:rsidRPr="002D6CAB">
        <w:t>Les pouvoirs publics ne soutiennent et ne tolèrent aucun acte de discrimination raciale. Le fonctionnement de l</w:t>
      </w:r>
      <w:r w:rsidR="00A24C87">
        <w:t>’</w:t>
      </w:r>
      <w:r w:rsidR="00D80F06" w:rsidRPr="002D6CAB">
        <w:t>État et des institutions publiques est régi par la Constitution qui interdit la discrimination raciale qu</w:t>
      </w:r>
      <w:r w:rsidR="00A24C87">
        <w:t>’</w:t>
      </w:r>
      <w:r w:rsidR="00D80F06" w:rsidRPr="002D6CAB">
        <w:t>elle érige en infraction. Cette interdiction est consacrée par la loi portant statut général de la fonction publique, principal texte régissant le fonctionnement de l</w:t>
      </w:r>
      <w:r w:rsidR="00A24C87">
        <w:t>’</w:t>
      </w:r>
      <w:r w:rsidR="00D80F06" w:rsidRPr="002D6CAB">
        <w:t>administration publique en Mauritanie.</w:t>
      </w:r>
    </w:p>
    <w:p w:rsidR="00D80F06" w:rsidRPr="002D6CAB" w:rsidRDefault="00C87B7B" w:rsidP="00C87B7B">
      <w:pPr>
        <w:pStyle w:val="SingleTxtG"/>
      </w:pPr>
      <w:r w:rsidRPr="002D6CAB">
        <w:t>95.</w:t>
      </w:r>
      <w:r w:rsidRPr="002D6CAB">
        <w:tab/>
      </w:r>
      <w:r w:rsidR="00D80F06" w:rsidRPr="002D6CAB">
        <w:t>Le gouvernement, le Parlement, les Partis Politiques, les ordres professionnels, les autorités locales</w:t>
      </w:r>
      <w:r w:rsidR="00D80F06">
        <w:t xml:space="preserve"> </w:t>
      </w:r>
      <w:r w:rsidR="00D80F06" w:rsidRPr="002D6CAB">
        <w:t>donnent la priorité à</w:t>
      </w:r>
      <w:r w:rsidR="00D80F06">
        <w:t xml:space="preserve"> </w:t>
      </w:r>
      <w:r w:rsidR="00D80F06" w:rsidRPr="002D6CAB">
        <w:t>l</w:t>
      </w:r>
      <w:r w:rsidR="00A24C87">
        <w:t>’</w:t>
      </w:r>
      <w:r w:rsidR="00D80F06" w:rsidRPr="002D6CAB">
        <w:t xml:space="preserve">exercice et la </w:t>
      </w:r>
      <w:r w:rsidR="00D80F06" w:rsidRPr="00B62BB2">
        <w:rPr>
          <w:lang w:val="fr-FR"/>
        </w:rPr>
        <w:t>jouissance</w:t>
      </w:r>
      <w:r w:rsidR="00D80F06" w:rsidRPr="002D6CAB">
        <w:t xml:space="preserve"> égale et sans discrimination des droits civils et politiques ainsi que des libert</w:t>
      </w:r>
      <w:r w:rsidR="002A7AE0">
        <w:t>és individuelles et collectives.</w:t>
      </w:r>
    </w:p>
    <w:p w:rsidR="00D80F06" w:rsidRDefault="00C87B7B" w:rsidP="00C87B7B">
      <w:pPr>
        <w:pStyle w:val="SingleTxtG"/>
      </w:pPr>
      <w:r>
        <w:t>96.</w:t>
      </w:r>
      <w:r>
        <w:tab/>
      </w:r>
      <w:r w:rsidR="00D80F06" w:rsidRPr="002D6CAB">
        <w:t xml:space="preserve">Une politique de migration </w:t>
      </w:r>
      <w:r w:rsidR="00D80F06" w:rsidRPr="00B62BB2">
        <w:rPr>
          <w:lang w:val="fr-FR"/>
        </w:rPr>
        <w:t>favorisant</w:t>
      </w:r>
      <w:r w:rsidR="00D80F06" w:rsidRPr="002D6CAB">
        <w:t xml:space="preserve"> l</w:t>
      </w:r>
      <w:r w:rsidR="00A24C87">
        <w:t>’</w:t>
      </w:r>
      <w:r w:rsidR="00D80F06" w:rsidRPr="002D6CAB">
        <w:t>entrée, le séjour et l</w:t>
      </w:r>
      <w:r w:rsidR="00A24C87">
        <w:t>’</w:t>
      </w:r>
      <w:r w:rsidR="00D80F06" w:rsidRPr="002D6CAB">
        <w:t>emploi des étrangers sur le sol national a été</w:t>
      </w:r>
      <w:r w:rsidR="00D80F06">
        <w:t xml:space="preserve"> </w:t>
      </w:r>
      <w:r w:rsidR="00D80F06" w:rsidRPr="002D6CAB">
        <w:t>mise en œuvre</w:t>
      </w:r>
      <w:r w:rsidR="00D82E5D">
        <w:t>.</w:t>
      </w:r>
    </w:p>
    <w:p w:rsidR="00D80F06" w:rsidRPr="00865EA1" w:rsidRDefault="00D80F06" w:rsidP="00027EE8">
      <w:pPr>
        <w:pStyle w:val="SingleTxtG"/>
        <w:ind w:left="1701"/>
        <w:rPr>
          <w:i/>
        </w:rPr>
      </w:pPr>
      <w:bookmarkStart w:id="193" w:name="_Toc498901351"/>
      <w:r w:rsidRPr="00865EA1">
        <w:rPr>
          <w:i/>
        </w:rPr>
        <w:t>Recommandation 4</w:t>
      </w:r>
      <w:r w:rsidR="00FB29A2" w:rsidRPr="00865EA1">
        <w:rPr>
          <w:i/>
        </w:rPr>
        <w:t> :</w:t>
      </w:r>
      <w:bookmarkEnd w:id="193"/>
    </w:p>
    <w:p w:rsidR="00D80F06" w:rsidRPr="00865EA1" w:rsidRDefault="00D80F06" w:rsidP="00027EE8">
      <w:pPr>
        <w:pStyle w:val="SingleTxtG"/>
        <w:ind w:left="1701"/>
        <w:rPr>
          <w:i/>
        </w:rPr>
      </w:pPr>
      <w:r w:rsidRPr="00865EA1">
        <w:rPr>
          <w:i/>
        </w:rPr>
        <w:t>Le Comité respecte la diversité des cultures et des principes moraux de tous les pays, mais rappelle que ceux-ci demeurent toujours subordonnés aux principes de l</w:t>
      </w:r>
      <w:r w:rsidR="00A24C87" w:rsidRPr="00865EA1">
        <w:rPr>
          <w:i/>
        </w:rPr>
        <w:t>’</w:t>
      </w:r>
      <w:r w:rsidRPr="00865EA1">
        <w:rPr>
          <w:i/>
        </w:rPr>
        <w:t>universalité des droits de l</w:t>
      </w:r>
      <w:r w:rsidR="00A24C87" w:rsidRPr="00865EA1">
        <w:rPr>
          <w:i/>
        </w:rPr>
        <w:t>’</w:t>
      </w:r>
      <w:r w:rsidRPr="00865EA1">
        <w:rPr>
          <w:i/>
        </w:rPr>
        <w:t>homme et de la non-discrimination (observation générale</w:t>
      </w:r>
      <w:r w:rsidR="00C33BDF" w:rsidRPr="00865EA1">
        <w:rPr>
          <w:i/>
        </w:rPr>
        <w:t xml:space="preserve"> n</w:t>
      </w:r>
      <w:r w:rsidR="00C33BDF" w:rsidRPr="00865EA1">
        <w:rPr>
          <w:i/>
          <w:vertAlign w:val="superscript"/>
        </w:rPr>
        <w:t>o</w:t>
      </w:r>
      <w:r w:rsidR="00C33BDF" w:rsidRPr="00865EA1">
        <w:rPr>
          <w:i/>
        </w:rPr>
        <w:t> </w:t>
      </w:r>
      <w:r w:rsidRPr="00865EA1">
        <w:rPr>
          <w:i/>
        </w:rPr>
        <w:t>34 (2011) sur la liberté d</w:t>
      </w:r>
      <w:r w:rsidR="00A24C87" w:rsidRPr="00865EA1">
        <w:rPr>
          <w:i/>
        </w:rPr>
        <w:t>’</w:t>
      </w:r>
      <w:r w:rsidRPr="00865EA1">
        <w:rPr>
          <w:i/>
        </w:rPr>
        <w:t>opinion et la liberté d</w:t>
      </w:r>
      <w:r w:rsidR="00A24C87" w:rsidRPr="00865EA1">
        <w:rPr>
          <w:i/>
        </w:rPr>
        <w:t>’</w:t>
      </w:r>
      <w:r w:rsidRPr="00865EA1">
        <w:rPr>
          <w:i/>
        </w:rPr>
        <w:t>expression, par. 32). Par conséquent, l</w:t>
      </w:r>
      <w:r w:rsidR="00A24C87" w:rsidRPr="00865EA1">
        <w:rPr>
          <w:i/>
        </w:rPr>
        <w:t>’</w:t>
      </w:r>
      <w:r w:rsidRPr="00865EA1">
        <w:rPr>
          <w:i/>
        </w:rPr>
        <w:t>État partie devrait dépénaliser l</w:t>
      </w:r>
      <w:r w:rsidR="00A24C87" w:rsidRPr="00865EA1">
        <w:rPr>
          <w:i/>
        </w:rPr>
        <w:t>’</w:t>
      </w:r>
      <w:r w:rsidRPr="00865EA1">
        <w:rPr>
          <w:i/>
        </w:rPr>
        <w:t xml:space="preserve">homosexualité et prendre les mesures nécessaires afin de protéger la liberté et la vie privée de la personne. </w:t>
      </w:r>
    </w:p>
    <w:p w:rsidR="00D80F06" w:rsidRPr="002D6CAB" w:rsidRDefault="00C87B7B" w:rsidP="00C87B7B">
      <w:pPr>
        <w:pStyle w:val="SingleTxtG"/>
      </w:pPr>
      <w:r w:rsidRPr="002D6CAB">
        <w:t>97.</w:t>
      </w:r>
      <w:r w:rsidRPr="002D6CAB">
        <w:tab/>
      </w:r>
      <w:r w:rsidR="00D80F06" w:rsidRPr="002D6CAB">
        <w:t>Le système juridique mauritanien est fondé sur la Charia qui est la seule source de droit, laquelle interdit</w:t>
      </w:r>
      <w:r w:rsidR="00D80F06">
        <w:t xml:space="preserve"> </w:t>
      </w:r>
      <w:r w:rsidR="00D80F06" w:rsidRPr="002D6CAB">
        <w:t>l</w:t>
      </w:r>
      <w:r w:rsidR="00A24C87">
        <w:t>’</w:t>
      </w:r>
      <w:r w:rsidR="00D80F06" w:rsidRPr="002D6CAB">
        <w:t xml:space="preserve">homosexualité, ainsi que </w:t>
      </w:r>
      <w:r w:rsidR="00D80F06" w:rsidRPr="00B62BB2">
        <w:rPr>
          <w:lang w:val="fr-FR"/>
        </w:rPr>
        <w:t>toute</w:t>
      </w:r>
      <w:r w:rsidR="00D80F06" w:rsidRPr="002D6CAB">
        <w:t xml:space="preserve"> autre relation contre nature contraire aux principes et valeurs musulmanes.</w:t>
      </w:r>
    </w:p>
    <w:p w:rsidR="00D80F06" w:rsidRPr="00865EA1" w:rsidRDefault="00D80F06" w:rsidP="00027EE8">
      <w:pPr>
        <w:pStyle w:val="SingleTxtG"/>
        <w:ind w:left="1701"/>
        <w:rPr>
          <w:i/>
        </w:rPr>
      </w:pPr>
      <w:bookmarkStart w:id="194" w:name="_Toc498901352"/>
      <w:r w:rsidRPr="00865EA1">
        <w:rPr>
          <w:i/>
        </w:rPr>
        <w:t>Recommandation 5</w:t>
      </w:r>
      <w:r w:rsidR="00FB29A2" w:rsidRPr="00865EA1">
        <w:rPr>
          <w:i/>
        </w:rPr>
        <w:t> :</w:t>
      </w:r>
      <w:bookmarkEnd w:id="194"/>
      <w:r w:rsidRPr="00865EA1">
        <w:rPr>
          <w:i/>
        </w:rPr>
        <w:t xml:space="preserve"> </w:t>
      </w:r>
    </w:p>
    <w:p w:rsidR="00D80F06" w:rsidRPr="00865EA1" w:rsidRDefault="00D80F06" w:rsidP="00027EE8">
      <w:pPr>
        <w:pStyle w:val="SingleTxtG"/>
        <w:ind w:left="1701"/>
        <w:rPr>
          <w:i/>
        </w:rPr>
      </w:pPr>
      <w:r w:rsidRPr="00865EA1">
        <w:rPr>
          <w:i/>
        </w:rPr>
        <w:t>L</w:t>
      </w:r>
      <w:r w:rsidR="00A24C87" w:rsidRPr="00865EA1">
        <w:rPr>
          <w:i/>
        </w:rPr>
        <w:t>’</w:t>
      </w:r>
      <w:r w:rsidRPr="00865EA1">
        <w:rPr>
          <w:i/>
        </w:rPr>
        <w:t>État partie devrait poursuivre ses efforts en vue d</w:t>
      </w:r>
      <w:r w:rsidR="00A24C87" w:rsidRPr="00865EA1">
        <w:rPr>
          <w:i/>
        </w:rPr>
        <w:t>’</w:t>
      </w:r>
      <w:r w:rsidRPr="00865EA1">
        <w:rPr>
          <w:i/>
        </w:rPr>
        <w:t>améliorer le taux de représentation des femmes dans les affaires politiques et publiques, poursuivre des campagnes visant à vulgariser et informer les femmes de leurs droits. L</w:t>
      </w:r>
      <w:r w:rsidR="00A24C87" w:rsidRPr="00865EA1">
        <w:rPr>
          <w:i/>
        </w:rPr>
        <w:t>’</w:t>
      </w:r>
      <w:r w:rsidRPr="00865EA1">
        <w:rPr>
          <w:i/>
        </w:rPr>
        <w:t>État partie devrait réviser son Code de la nationalité afin de permettre aux femmes mauritaniennes de transmettre leur nationalité à égalité avec les hommes et le Code du statut personnel de 2001 afin d</w:t>
      </w:r>
      <w:r w:rsidR="00A24C87" w:rsidRPr="00865EA1">
        <w:rPr>
          <w:i/>
        </w:rPr>
        <w:t>’</w:t>
      </w:r>
      <w:r w:rsidRPr="00865EA1">
        <w:rPr>
          <w:i/>
        </w:rPr>
        <w:t>en retirer les dispositions discriminatoires à l</w:t>
      </w:r>
      <w:r w:rsidR="00A24C87" w:rsidRPr="00865EA1">
        <w:rPr>
          <w:i/>
        </w:rPr>
        <w:t>’</w:t>
      </w:r>
      <w:r w:rsidRPr="00865EA1">
        <w:rPr>
          <w:i/>
        </w:rPr>
        <w:t xml:space="preserve">égard des femmes. </w:t>
      </w:r>
    </w:p>
    <w:p w:rsidR="00D80F06" w:rsidRPr="002D6CAB" w:rsidRDefault="00C87B7B" w:rsidP="00C87B7B">
      <w:pPr>
        <w:pStyle w:val="SingleTxtG"/>
      </w:pPr>
      <w:r w:rsidRPr="002D6CAB">
        <w:t>98.</w:t>
      </w:r>
      <w:r w:rsidRPr="002D6CAB">
        <w:tab/>
      </w:r>
      <w:r w:rsidR="00D80F06" w:rsidRPr="002D6CAB">
        <w:t>L</w:t>
      </w:r>
      <w:r w:rsidR="00A24C87">
        <w:t>’</w:t>
      </w:r>
      <w:r w:rsidR="00D80F06" w:rsidRPr="002D6CAB">
        <w:t xml:space="preserve">article 8 de la loi </w:t>
      </w:r>
      <w:r w:rsidR="00C33BDF" w:rsidRPr="002D6CAB">
        <w:t>n</w:t>
      </w:r>
      <w:r w:rsidR="00C33BDF" w:rsidRPr="00BD5B0E">
        <w:rPr>
          <w:vertAlign w:val="superscript"/>
        </w:rPr>
        <w:t>o</w:t>
      </w:r>
      <w:r w:rsidR="00C33BDF">
        <w:t> </w:t>
      </w:r>
      <w:r w:rsidR="00D80F06" w:rsidRPr="002D6CAB">
        <w:t>61.112 modifiée, portant code de la nationalité mauritanienne, dispose qu</w:t>
      </w:r>
      <w:r w:rsidR="00A24C87">
        <w:t>’</w:t>
      </w:r>
      <w:r w:rsidR="00D80F06" w:rsidRPr="002D6CAB">
        <w:t>est mauritanien d</w:t>
      </w:r>
      <w:r w:rsidR="00A24C87">
        <w:t>’</w:t>
      </w:r>
      <w:r w:rsidR="00D80F06" w:rsidRPr="002D6CAB">
        <w:t>origine, l</w:t>
      </w:r>
      <w:r w:rsidR="00A24C87">
        <w:t>’</w:t>
      </w:r>
      <w:r w:rsidR="00D80F06" w:rsidRPr="002D6CAB">
        <w:t>enfant né d</w:t>
      </w:r>
      <w:r w:rsidR="00A24C87">
        <w:t>’</w:t>
      </w:r>
      <w:r w:rsidR="00D80F06" w:rsidRPr="002D6CAB">
        <w:t xml:space="preserve">une </w:t>
      </w:r>
      <w:r w:rsidR="00D80F06" w:rsidRPr="00B62BB2">
        <w:rPr>
          <w:lang w:val="fr-FR"/>
        </w:rPr>
        <w:t>mère</w:t>
      </w:r>
      <w:r w:rsidR="00D80F06" w:rsidRPr="002D6CAB">
        <w:t xml:space="preserve"> mauritanienne et d</w:t>
      </w:r>
      <w:r w:rsidR="00A24C87">
        <w:t>’</w:t>
      </w:r>
      <w:r w:rsidR="00D80F06" w:rsidRPr="002D6CAB">
        <w:t>un père sans nationalité</w:t>
      </w:r>
      <w:r w:rsidR="00D80F06">
        <w:t xml:space="preserve"> </w:t>
      </w:r>
      <w:r w:rsidR="00D80F06" w:rsidRPr="002D6CAB">
        <w:t>et ou de nationalité inconnue. Aussi, est mauritanien d</w:t>
      </w:r>
      <w:r w:rsidR="00A24C87">
        <w:t>’</w:t>
      </w:r>
      <w:r w:rsidR="00D80F06" w:rsidRPr="002D6CAB">
        <w:t>origine, l</w:t>
      </w:r>
      <w:r w:rsidR="00A24C87">
        <w:t>’</w:t>
      </w:r>
      <w:r w:rsidR="00D80F06" w:rsidRPr="002D6CAB">
        <w:t>enfant né en Mauritanie d</w:t>
      </w:r>
      <w:r w:rsidR="00A24C87">
        <w:t>’</w:t>
      </w:r>
      <w:r w:rsidR="00D80F06" w:rsidRPr="002D6CAB">
        <w:t>une mère mauritanienne et d</w:t>
      </w:r>
      <w:r w:rsidR="00A24C87">
        <w:t>’</w:t>
      </w:r>
      <w:r w:rsidR="00D80F06" w:rsidRPr="002D6CAB">
        <w:t>un père de nationalité étrangère.</w:t>
      </w:r>
    </w:p>
    <w:p w:rsidR="00D80F06" w:rsidRPr="002D6CAB" w:rsidRDefault="00C87B7B" w:rsidP="00C87B7B">
      <w:pPr>
        <w:pStyle w:val="SingleTxtG"/>
      </w:pPr>
      <w:r w:rsidRPr="002D6CAB">
        <w:t>99.</w:t>
      </w:r>
      <w:r w:rsidRPr="002D6CAB">
        <w:tab/>
      </w:r>
      <w:r w:rsidR="00D80F06" w:rsidRPr="002D6CAB">
        <w:t xml:space="preserve">Toutefois, dans le cadre du droit de la nationalité mauritanienne des reformes sont en cours pour harmoniser la loi </w:t>
      </w:r>
      <w:r w:rsidR="00C33BDF" w:rsidRPr="002D6CAB">
        <w:t>n</w:t>
      </w:r>
      <w:r w:rsidR="00C33BDF" w:rsidRPr="00BD5B0E">
        <w:rPr>
          <w:vertAlign w:val="superscript"/>
        </w:rPr>
        <w:t>o</w:t>
      </w:r>
      <w:r w:rsidR="00C33BDF">
        <w:t> </w:t>
      </w:r>
      <w:r w:rsidR="00D80F06" w:rsidRPr="002D6CAB">
        <w:t>61-112 et consacrer l</w:t>
      </w:r>
      <w:r w:rsidR="00A24C87">
        <w:t>’</w:t>
      </w:r>
      <w:r w:rsidR="00D80F06" w:rsidRPr="002D6CAB">
        <w:t>égalité entre l</w:t>
      </w:r>
      <w:r w:rsidR="00A24C87">
        <w:t>’</w:t>
      </w:r>
      <w:r w:rsidR="00D80F06" w:rsidRPr="002D6CAB">
        <w:t>homme et la femme en matière d</w:t>
      </w:r>
      <w:r w:rsidR="00A24C87">
        <w:t>’</w:t>
      </w:r>
      <w:r w:rsidR="00D80F06" w:rsidRPr="002D6CAB">
        <w:t xml:space="preserve">acquisition et de transmission de la nationalité. </w:t>
      </w:r>
    </w:p>
    <w:p w:rsidR="00D80F06" w:rsidRPr="002D6CAB" w:rsidRDefault="00C87B7B" w:rsidP="00C87B7B">
      <w:pPr>
        <w:pStyle w:val="SingleTxtG"/>
      </w:pPr>
      <w:r w:rsidRPr="002D6CAB">
        <w:t>100.</w:t>
      </w:r>
      <w:r w:rsidRPr="002D6CAB">
        <w:tab/>
      </w:r>
      <w:r w:rsidR="00D80F06" w:rsidRPr="002D6CAB">
        <w:t>Par</w:t>
      </w:r>
      <w:r w:rsidR="00D80F06">
        <w:t xml:space="preserve"> </w:t>
      </w:r>
      <w:r w:rsidR="00D80F06" w:rsidRPr="002D6CAB">
        <w:t xml:space="preserve">rapport à la Participation politique des </w:t>
      </w:r>
      <w:r w:rsidR="00D80F06" w:rsidRPr="00B62BB2">
        <w:rPr>
          <w:lang w:val="fr-FR"/>
        </w:rPr>
        <w:t>femmes</w:t>
      </w:r>
      <w:r w:rsidR="00D80F06" w:rsidRPr="002D6CAB">
        <w:t xml:space="preserve"> les mesures suivantes ont été prises</w:t>
      </w:r>
      <w:r w:rsidR="00FB29A2">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w:t>
      </w:r>
      <w:r w:rsidR="00A24C87">
        <w:t>’</w:t>
      </w:r>
      <w:r w:rsidR="00D80F06" w:rsidRPr="002D6CAB">
        <w:t>établissement d</w:t>
      </w:r>
      <w:r w:rsidR="00A24C87">
        <w:t>’</w:t>
      </w:r>
      <w:r w:rsidR="00D80F06" w:rsidRPr="002D6CAB">
        <w:t>une liste nationale de 20 femmes à l</w:t>
      </w:r>
      <w:r w:rsidR="00A24C87">
        <w:t>’</w:t>
      </w:r>
      <w:r w:rsidR="00D80F06" w:rsidRPr="002D6CAB">
        <w:t>élection des députés</w:t>
      </w:r>
      <w:r w:rsidR="009573B0">
        <w:t> ;</w:t>
      </w:r>
      <w:r w:rsidR="00D80F06" w:rsidRPr="002D6CAB">
        <w:t xml:space="preserve">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w:t>
      </w:r>
      <w:r w:rsidR="00A24C87">
        <w:t>’</w:t>
      </w:r>
      <w:r w:rsidR="00D80F06" w:rsidRPr="002D6CAB">
        <w:t>établissement d</w:t>
      </w:r>
      <w:r w:rsidR="00A24C87">
        <w:t>’</w:t>
      </w:r>
      <w:r w:rsidR="00D80F06" w:rsidRPr="002D6CAB">
        <w:t>une liste de 18 sièges à Nouakchott, alternativement composées d</w:t>
      </w:r>
      <w:r w:rsidR="00A24C87">
        <w:t>’</w:t>
      </w:r>
      <w:r w:rsidR="00D80F06" w:rsidRPr="002D6CAB">
        <w:t>hommes et de femmes (1 homme, 1 femme)</w:t>
      </w:r>
      <w:r w:rsidR="009573B0">
        <w:t> ;</w:t>
      </w:r>
    </w:p>
    <w:p w:rsidR="00D80F06" w:rsidRPr="002D6CAB" w:rsidRDefault="00C87B7B" w:rsidP="00C87B7B">
      <w:pPr>
        <w:pStyle w:val="Bullet1G"/>
        <w:numPr>
          <w:ilvl w:val="0"/>
          <w:numId w:val="0"/>
        </w:numPr>
        <w:tabs>
          <w:tab w:val="left" w:pos="1701"/>
        </w:tabs>
        <w:ind w:left="1701" w:hanging="170"/>
      </w:pPr>
      <w:r w:rsidRPr="002D6CAB">
        <w:lastRenderedPageBreak/>
        <w:t>•</w:t>
      </w:r>
      <w:r w:rsidRPr="002D6CAB">
        <w:tab/>
      </w:r>
      <w:r w:rsidR="00D80F06" w:rsidRPr="002D6CAB">
        <w:t>L</w:t>
      </w:r>
      <w:r w:rsidR="00A24C87">
        <w:t>’</w:t>
      </w:r>
      <w:r w:rsidR="00D80F06" w:rsidRPr="002D6CAB">
        <w:t>augmentation du nombre de circonscriptions à 03 sièges à pourvoir dont au moins 1 revient à une femme</w:t>
      </w:r>
      <w:r w:rsidR="009573B0">
        <w:t> ;</w:t>
      </w:r>
      <w:r w:rsidR="00D80F06" w:rsidRPr="002D6CAB">
        <w:t xml:space="preserve">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La progression du taux de participation des femmes à l</w:t>
      </w:r>
      <w:r w:rsidR="00A24C87">
        <w:t>’</w:t>
      </w:r>
      <w:r w:rsidR="00D80F06" w:rsidRPr="002D6CAB">
        <w:t>Assemblée Nationale de 19</w:t>
      </w:r>
      <w:r w:rsidR="002A7AE0">
        <w:t> </w:t>
      </w:r>
      <w:r w:rsidR="00D80F06" w:rsidRPr="002D6CAB">
        <w:t>% en 2006</w:t>
      </w:r>
      <w:r w:rsidR="00D80F06">
        <w:t xml:space="preserve"> </w:t>
      </w:r>
      <w:r w:rsidR="00D80F06" w:rsidRPr="002D6CAB">
        <w:t>à 22,4</w:t>
      </w:r>
      <w:r w:rsidR="002A7AE0">
        <w:t> </w:t>
      </w:r>
      <w:r w:rsidR="00D80F06" w:rsidRPr="002D6CAB">
        <w:t>% en 2013, au niveau communal</w:t>
      </w:r>
      <w:r w:rsidR="00D80F06">
        <w:t xml:space="preserve"> </w:t>
      </w:r>
      <w:r w:rsidR="002A7AE0">
        <w:t>de 30 % en 2006 à 35,58 % en 2013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Présence des femmes dans la sphère de décision</w:t>
      </w:r>
      <w:r w:rsidR="002A7AE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9 ministres sur 27 sont des femmes (33</w:t>
      </w:r>
      <w:r w:rsidR="00B253B0">
        <w:t> </w:t>
      </w:r>
      <w:r w:rsidR="00D80F06" w:rsidRPr="002D6CAB">
        <w:t>%)</w:t>
      </w:r>
      <w:r w:rsidR="009573B0">
        <w:t> ;</w:t>
      </w:r>
      <w:r w:rsidR="00D80F06" w:rsidRPr="002D6CAB">
        <w:t xml:space="preserve">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A7AE0">
        <w:t>31 députées sur 147 soit 21 % ;</w:t>
      </w:r>
      <w:r w:rsidR="00D80F06" w:rsidRPr="002D6CAB">
        <w:t xml:space="preserve">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6 femmes maires dont la présidente de la Communauté Urbaine de Nouakchott capitale du pays et 4 maires de communes rurales</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1</w:t>
      </w:r>
      <w:r w:rsidR="00C33BDF">
        <w:t> </w:t>
      </w:r>
      <w:r w:rsidR="00D80F06" w:rsidRPr="002D6CAB">
        <w:t>317 Conseillères municipales sur 3</w:t>
      </w:r>
      <w:r w:rsidR="00C33BDF">
        <w:t> </w:t>
      </w:r>
      <w:r w:rsidR="00D80F06" w:rsidRPr="002D6CAB">
        <w:t>722 soit un taux de 35,5</w:t>
      </w:r>
      <w:r w:rsidR="002A7AE0">
        <w:t> </w:t>
      </w:r>
      <w:r w:rsidR="00D80F06" w:rsidRPr="002D6CAB">
        <w:t>%.</w:t>
      </w:r>
    </w:p>
    <w:p w:rsidR="00D80F06" w:rsidRPr="002D6CAB" w:rsidRDefault="00C87B7B" w:rsidP="00C87B7B">
      <w:pPr>
        <w:pStyle w:val="SingleTxtG"/>
      </w:pPr>
      <w:r w:rsidRPr="002D6CAB">
        <w:t>101.</w:t>
      </w:r>
      <w:r w:rsidRPr="002D6CAB">
        <w:tab/>
      </w:r>
      <w:r w:rsidR="00D80F06" w:rsidRPr="002D6CAB">
        <w:t>L</w:t>
      </w:r>
      <w:r w:rsidR="00A24C87">
        <w:t>’</w:t>
      </w:r>
      <w:r w:rsidR="00D80F06" w:rsidRPr="002D6CAB">
        <w:t>élection présidentielle de juin 2014 a été marquée par la présence d</w:t>
      </w:r>
      <w:r w:rsidR="00A24C87">
        <w:t>’</w:t>
      </w:r>
      <w:r w:rsidR="00D80F06" w:rsidRPr="002D6CAB">
        <w:t>une femme sur les cinq candidatures retenues.</w:t>
      </w:r>
    </w:p>
    <w:p w:rsidR="00D80F06" w:rsidRPr="002D6CAB" w:rsidRDefault="00C87B7B" w:rsidP="00C87B7B">
      <w:pPr>
        <w:pStyle w:val="SingleTxtG"/>
      </w:pPr>
      <w:r w:rsidRPr="002D6CAB">
        <w:t>102.</w:t>
      </w:r>
      <w:r w:rsidRPr="002D6CAB">
        <w:tab/>
      </w:r>
      <w:r w:rsidR="00D80F06" w:rsidRPr="002D6CAB">
        <w:t>Les femmes</w:t>
      </w:r>
      <w:r w:rsidR="00D80F06">
        <w:t xml:space="preserve"> </w:t>
      </w:r>
      <w:r w:rsidR="00D80F06" w:rsidRPr="002D6CAB">
        <w:t>représentent (34.6</w:t>
      </w:r>
      <w:r w:rsidR="002A7AE0">
        <w:t> </w:t>
      </w:r>
      <w:r w:rsidR="00D80F06" w:rsidRPr="002D6CAB">
        <w:t>%) de la fonction publique et 5.9</w:t>
      </w:r>
      <w:r w:rsidR="002A7AE0">
        <w:t> </w:t>
      </w:r>
      <w:r w:rsidR="00D80F06" w:rsidRPr="002D6CAB">
        <w:t>% des directeurs de l</w:t>
      </w:r>
      <w:r w:rsidR="00A24C87">
        <w:t>’</w:t>
      </w:r>
      <w:r w:rsidR="002A7AE0">
        <w:t>administration. L</w:t>
      </w:r>
      <w:r w:rsidR="00D80F06" w:rsidRPr="002D6CAB">
        <w:t xml:space="preserve">es femmes magistrats sont 3, les femmes secrétaires générales sont 7/30, deux sur six </w:t>
      </w:r>
      <w:proofErr w:type="spellStart"/>
      <w:r w:rsidR="00D80F06" w:rsidRPr="002D6CAB">
        <w:t>chaines</w:t>
      </w:r>
      <w:proofErr w:type="spellEnd"/>
      <w:r w:rsidR="00D80F06" w:rsidRPr="002D6CAB">
        <w:t xml:space="preserve"> de télévision sont dirigées par des femmes (la </w:t>
      </w:r>
      <w:proofErr w:type="spellStart"/>
      <w:r w:rsidR="00D80F06" w:rsidRPr="002D6CAB">
        <w:t>chaine</w:t>
      </w:r>
      <w:proofErr w:type="spellEnd"/>
      <w:r w:rsidR="00D80F06" w:rsidRPr="002D6CAB">
        <w:t xml:space="preserve"> nationale et une </w:t>
      </w:r>
      <w:proofErr w:type="spellStart"/>
      <w:r w:rsidR="00D80F06" w:rsidRPr="002D6CAB">
        <w:t>chaine</w:t>
      </w:r>
      <w:proofErr w:type="spellEnd"/>
      <w:r w:rsidR="00D80F06" w:rsidRPr="002D6CAB">
        <w:t xml:space="preserve"> privée).</w:t>
      </w:r>
    </w:p>
    <w:p w:rsidR="00D80F06" w:rsidRPr="00865EA1" w:rsidRDefault="00D80F06" w:rsidP="00027EE8">
      <w:pPr>
        <w:pStyle w:val="SingleTxtG"/>
        <w:ind w:left="1701"/>
        <w:rPr>
          <w:i/>
        </w:rPr>
      </w:pPr>
      <w:bookmarkStart w:id="195" w:name="_Toc498901353"/>
      <w:r w:rsidRPr="00865EA1">
        <w:rPr>
          <w:i/>
        </w:rPr>
        <w:t>Recommandation 6</w:t>
      </w:r>
      <w:bookmarkEnd w:id="195"/>
      <w:r w:rsidR="00FB29A2" w:rsidRPr="00865EA1">
        <w:rPr>
          <w:i/>
        </w:rPr>
        <w:t> :</w:t>
      </w:r>
    </w:p>
    <w:p w:rsidR="00D80F06" w:rsidRPr="00865EA1" w:rsidRDefault="00D80F06" w:rsidP="00027EE8">
      <w:pPr>
        <w:pStyle w:val="SingleTxtG"/>
        <w:ind w:left="1701"/>
        <w:rPr>
          <w:i/>
        </w:rPr>
      </w:pPr>
      <w:r w:rsidRPr="00865EA1">
        <w:rPr>
          <w:i/>
        </w:rPr>
        <w:t>L</w:t>
      </w:r>
      <w:r w:rsidR="00A24C87" w:rsidRPr="00865EA1">
        <w:rPr>
          <w:i/>
        </w:rPr>
        <w:t>’</w:t>
      </w:r>
      <w:r w:rsidRPr="00865EA1">
        <w:rPr>
          <w:i/>
        </w:rPr>
        <w:t>État partie devrait s</w:t>
      </w:r>
      <w:r w:rsidR="00A24C87" w:rsidRPr="00865EA1">
        <w:rPr>
          <w:i/>
        </w:rPr>
        <w:t>’</w:t>
      </w:r>
      <w:r w:rsidRPr="00865EA1">
        <w:rPr>
          <w:i/>
        </w:rPr>
        <w:t>assurer que les femmes victimes de violences, y compris de viol, peuvent facilement porter plainte, et dans ce sens, devrait revoir l</w:t>
      </w:r>
      <w:r w:rsidR="00A24C87" w:rsidRPr="00865EA1">
        <w:rPr>
          <w:i/>
        </w:rPr>
        <w:t>’</w:t>
      </w:r>
      <w:r w:rsidRPr="00865EA1">
        <w:rPr>
          <w:i/>
        </w:rPr>
        <w:t>exigence de comparution d</w:t>
      </w:r>
      <w:r w:rsidR="00A24C87" w:rsidRPr="00865EA1">
        <w:rPr>
          <w:i/>
        </w:rPr>
        <w:t>’</w:t>
      </w:r>
      <w:r w:rsidRPr="00865EA1">
        <w:rPr>
          <w:i/>
        </w:rPr>
        <w:t>un témoin pour les plaintes de viol. Il devrait également renforcer les mesures de protection à l</w:t>
      </w:r>
      <w:r w:rsidR="00A24C87" w:rsidRPr="00865EA1">
        <w:rPr>
          <w:i/>
        </w:rPr>
        <w:t>’</w:t>
      </w:r>
      <w:r w:rsidRPr="00865EA1">
        <w:rPr>
          <w:i/>
        </w:rPr>
        <w:t>égard des victimes et s</w:t>
      </w:r>
      <w:r w:rsidR="00A24C87" w:rsidRPr="00865EA1">
        <w:rPr>
          <w:i/>
        </w:rPr>
        <w:t>’</w:t>
      </w:r>
      <w:r w:rsidRPr="00865EA1">
        <w:rPr>
          <w:i/>
        </w:rPr>
        <w:t>abstenir de poursuites pénales. L</w:t>
      </w:r>
      <w:r w:rsidR="00A24C87" w:rsidRPr="00865EA1">
        <w:rPr>
          <w:i/>
        </w:rPr>
        <w:t>’</w:t>
      </w:r>
      <w:r w:rsidRPr="00865EA1">
        <w:rPr>
          <w:i/>
        </w:rPr>
        <w:t>État partie devrait enfin renforcer ses campagnes de sensibilisation, notamment dans le cadre du plan d</w:t>
      </w:r>
      <w:r w:rsidR="00A24C87" w:rsidRPr="00865EA1">
        <w:rPr>
          <w:i/>
        </w:rPr>
        <w:t>’</w:t>
      </w:r>
      <w:r w:rsidRPr="00865EA1">
        <w:rPr>
          <w:i/>
        </w:rPr>
        <w:t>action national de lutte contre les violences faites aux femmes et aux filles et former les agents d</w:t>
      </w:r>
      <w:r w:rsidR="00A24C87" w:rsidRPr="00865EA1">
        <w:rPr>
          <w:i/>
        </w:rPr>
        <w:t>’</w:t>
      </w:r>
      <w:r w:rsidRPr="00865EA1">
        <w:rPr>
          <w:i/>
        </w:rPr>
        <w:t>application de la loi sur les violences faites aux femmes. L</w:t>
      </w:r>
      <w:r w:rsidR="00A24C87" w:rsidRPr="00865EA1">
        <w:rPr>
          <w:i/>
        </w:rPr>
        <w:t>’</w:t>
      </w:r>
      <w:r w:rsidRPr="00865EA1">
        <w:rPr>
          <w:i/>
        </w:rPr>
        <w:t>État partie devrait faire figurer dans son prochain rapport au Comité les résultats de l</w:t>
      </w:r>
      <w:r w:rsidR="00A24C87" w:rsidRPr="00865EA1">
        <w:rPr>
          <w:i/>
        </w:rPr>
        <w:t>’</w:t>
      </w:r>
      <w:r w:rsidRPr="00865EA1">
        <w:rPr>
          <w:i/>
        </w:rPr>
        <w:t>enquête réalisée par l</w:t>
      </w:r>
      <w:r w:rsidR="00A24C87" w:rsidRPr="00865EA1">
        <w:rPr>
          <w:i/>
        </w:rPr>
        <w:t>’</w:t>
      </w:r>
      <w:r w:rsidRPr="00865EA1">
        <w:rPr>
          <w:i/>
        </w:rPr>
        <w:t>Office national de la statistique sur toutes les formes de violences à l</w:t>
      </w:r>
      <w:r w:rsidR="00A24C87" w:rsidRPr="00865EA1">
        <w:rPr>
          <w:i/>
        </w:rPr>
        <w:t>’</w:t>
      </w:r>
      <w:r w:rsidRPr="00865EA1">
        <w:rPr>
          <w:i/>
        </w:rPr>
        <w:t>égard des femmes et des fillettes et fournir des données statistiques sur les enquêtes, poursuites, condamnations et sanctions prises à l</w:t>
      </w:r>
      <w:r w:rsidR="00A24C87" w:rsidRPr="00865EA1">
        <w:rPr>
          <w:i/>
        </w:rPr>
        <w:t>’</w:t>
      </w:r>
      <w:r w:rsidRPr="00865EA1">
        <w:rPr>
          <w:i/>
        </w:rPr>
        <w:t>égard des auteurs de violences à l</w:t>
      </w:r>
      <w:r w:rsidR="00A24C87" w:rsidRPr="00865EA1">
        <w:rPr>
          <w:i/>
        </w:rPr>
        <w:t>’</w:t>
      </w:r>
      <w:r w:rsidRPr="00865EA1">
        <w:rPr>
          <w:i/>
        </w:rPr>
        <w:t>égard des femmes.</w:t>
      </w:r>
    </w:p>
    <w:p w:rsidR="00D80F06" w:rsidRPr="002D6CAB" w:rsidRDefault="00C87B7B" w:rsidP="00C87B7B">
      <w:pPr>
        <w:pStyle w:val="SingleTxtG"/>
      </w:pPr>
      <w:r w:rsidRPr="002D6CAB">
        <w:t>103.</w:t>
      </w:r>
      <w:r w:rsidRPr="002D6CAB">
        <w:tab/>
      </w:r>
      <w:r w:rsidR="00D80F06" w:rsidRPr="002D6CAB">
        <w:t xml:space="preserve">Le viol est qualifié de crime, puni des travaux forcés à temps, sans préjudices des peines de </w:t>
      </w:r>
      <w:proofErr w:type="spellStart"/>
      <w:r w:rsidR="00D80F06" w:rsidRPr="002D6CAB">
        <w:t>Had</w:t>
      </w:r>
      <w:proofErr w:type="spellEnd"/>
      <w:r w:rsidR="00D80F06" w:rsidRPr="002D6CAB">
        <w:t xml:space="preserve">, conformément à la loi (article 309 du </w:t>
      </w:r>
      <w:r w:rsidR="00C33BDF" w:rsidRPr="002D6CAB">
        <w:t xml:space="preserve">Code </w:t>
      </w:r>
      <w:r w:rsidR="00D80F06" w:rsidRPr="002D6CAB">
        <w:t xml:space="preserve">pénal). </w:t>
      </w:r>
    </w:p>
    <w:p w:rsidR="00D80F06" w:rsidRPr="002D6CAB" w:rsidRDefault="00C87B7B" w:rsidP="00C87B7B">
      <w:pPr>
        <w:pStyle w:val="SingleTxtG"/>
      </w:pPr>
      <w:r w:rsidRPr="002D6CAB">
        <w:t>104.</w:t>
      </w:r>
      <w:r w:rsidRPr="002D6CAB">
        <w:tab/>
      </w:r>
      <w:r w:rsidR="00D80F06" w:rsidRPr="002D6CAB">
        <w:t>Il n</w:t>
      </w:r>
      <w:r w:rsidR="00A24C87">
        <w:t>’</w:t>
      </w:r>
      <w:r w:rsidR="00D80F06" w:rsidRPr="002D6CAB">
        <w:t>existe pas d</w:t>
      </w:r>
      <w:r w:rsidR="00A24C87">
        <w:t>’</w:t>
      </w:r>
      <w:r w:rsidR="00D80F06" w:rsidRPr="002D6CAB">
        <w:t>exigence spécifique de comparution de témoin pour les plaintes de viol, qui comme toutes infractions à la loi pénale, peuvent être établies par tout mode de preuve conforme à la loi, et le juge décide d</w:t>
      </w:r>
      <w:r w:rsidR="00A24C87">
        <w:t>’</w:t>
      </w:r>
      <w:r w:rsidR="00D80F06" w:rsidRPr="002D6CAB">
        <w:t>après son intime conviction fondée sur les moyens de preuve conformes aussi à la loi, conformément aux dispositions de l</w:t>
      </w:r>
      <w:r w:rsidR="00A24C87">
        <w:t>’</w:t>
      </w:r>
      <w:r w:rsidR="00D80F06" w:rsidRPr="002D6CAB">
        <w:t xml:space="preserve">article 386 du </w:t>
      </w:r>
      <w:r w:rsidR="00B253B0" w:rsidRPr="002D6CAB">
        <w:t xml:space="preserve">Code </w:t>
      </w:r>
      <w:r w:rsidR="00D80F06" w:rsidRPr="002D6CAB">
        <w:t>de procédure pénale.</w:t>
      </w:r>
    </w:p>
    <w:p w:rsidR="00D80F06" w:rsidRPr="002D6CAB" w:rsidRDefault="00C87B7B" w:rsidP="00C87B7B">
      <w:pPr>
        <w:pStyle w:val="SingleTxtG"/>
      </w:pPr>
      <w:r w:rsidRPr="002D6CAB">
        <w:t>105.</w:t>
      </w:r>
      <w:r w:rsidRPr="002D6CAB">
        <w:tab/>
      </w:r>
      <w:r w:rsidR="00D80F06" w:rsidRPr="002D6CAB">
        <w:t>Toutefois, le viol, en tant qu</w:t>
      </w:r>
      <w:r w:rsidR="00A24C87">
        <w:t>’</w:t>
      </w:r>
      <w:r w:rsidR="00D80F06" w:rsidRPr="002D6CAB">
        <w:t xml:space="preserve">acte de violence par lequel une personne non consentante est contrainte à des relations sexuelles, ne se confond pas au crime de </w:t>
      </w:r>
      <w:proofErr w:type="spellStart"/>
      <w:r w:rsidR="00D80F06" w:rsidRPr="002D6CAB">
        <w:t>zina</w:t>
      </w:r>
      <w:proofErr w:type="spellEnd"/>
      <w:r w:rsidR="00D80F06" w:rsidRPr="002D6CAB">
        <w:t xml:space="preserve"> qui est, tout aussi des relations sexuelles hors mariage mais commis volontairement, c</w:t>
      </w:r>
      <w:r w:rsidR="00A24C87">
        <w:t>’</w:t>
      </w:r>
      <w:r w:rsidR="00D80F06" w:rsidRPr="002D6CAB">
        <w:t>est-à-dire par des personnes consentantes, et constaté, soit par (4) quatre témoins, soit par l</w:t>
      </w:r>
      <w:r w:rsidR="00A24C87">
        <w:t>’</w:t>
      </w:r>
      <w:r w:rsidR="00D80F06" w:rsidRPr="002D6CAB">
        <w:t>aveu de l</w:t>
      </w:r>
      <w:r w:rsidR="00A24C87">
        <w:t>’</w:t>
      </w:r>
      <w:r w:rsidR="00D80F06" w:rsidRPr="002D6CAB">
        <w:t xml:space="preserve">auteur, soit, en ce qui concerne la femme, par un état de grossesse (article 307 du </w:t>
      </w:r>
      <w:r w:rsidR="00C33BDF" w:rsidRPr="002D6CAB">
        <w:t xml:space="preserve">Code </w:t>
      </w:r>
      <w:r w:rsidR="00D80F06" w:rsidRPr="002D6CAB">
        <w:t xml:space="preserve">pénal). </w:t>
      </w:r>
    </w:p>
    <w:p w:rsidR="00D80F06" w:rsidRPr="002D6CAB" w:rsidRDefault="00C87B7B" w:rsidP="00C87B7B">
      <w:pPr>
        <w:pStyle w:val="SingleTxtG"/>
      </w:pPr>
      <w:r w:rsidRPr="002D6CAB">
        <w:t>106.</w:t>
      </w:r>
      <w:r w:rsidRPr="002D6CAB">
        <w:tab/>
      </w:r>
      <w:r w:rsidR="00D80F06" w:rsidRPr="002D6CAB">
        <w:t>Toute personne qui se prétend victime lésée par une infraction peut se constituer partie civile à toute étape de la procédure</w:t>
      </w:r>
      <w:r w:rsidR="009573B0">
        <w:t> ;</w:t>
      </w:r>
      <w:r w:rsidR="00D80F06" w:rsidRPr="002D6CAB">
        <w:t xml:space="preserve"> soit en portant plainte devant l</w:t>
      </w:r>
      <w:r w:rsidR="00A24C87">
        <w:t>’</w:t>
      </w:r>
      <w:r w:rsidR="00D80F06" w:rsidRPr="002D6CAB">
        <w:t>officier de police judiciaire ou le procureur de la République, soit devant le juge d</w:t>
      </w:r>
      <w:r w:rsidR="00A24C87">
        <w:t>’</w:t>
      </w:r>
      <w:r w:rsidR="00D80F06" w:rsidRPr="002D6CAB">
        <w:t>instruction ou le président de la juridiction saisie. En cas de classement sans suite de la plainte, la personne lésée a le droit de porter son affaire, dans les conditions définies par la loi, devant le juge d</w:t>
      </w:r>
      <w:r w:rsidR="00A24C87">
        <w:t>’</w:t>
      </w:r>
      <w:r w:rsidR="00D80F06" w:rsidRPr="002D6CAB">
        <w:t xml:space="preserve">instruction ou le président du tribunal. </w:t>
      </w:r>
    </w:p>
    <w:p w:rsidR="00D80F06" w:rsidRPr="002D6CAB" w:rsidRDefault="00C87B7B" w:rsidP="00C87B7B">
      <w:pPr>
        <w:pStyle w:val="SingleTxtG"/>
      </w:pPr>
      <w:r w:rsidRPr="002D6CAB">
        <w:t>107.</w:t>
      </w:r>
      <w:r w:rsidRPr="002D6CAB">
        <w:tab/>
      </w:r>
      <w:r w:rsidR="00D80F06" w:rsidRPr="002D6CAB">
        <w:t>Le projet de loi</w:t>
      </w:r>
      <w:r w:rsidR="006F41E7">
        <w:t>-</w:t>
      </w:r>
      <w:r w:rsidR="00D80F06" w:rsidRPr="002D6CAB">
        <w:t xml:space="preserve">cadre de lutte contre les violences basées sur le genre, approuvé par le Gouvernement, est en instance de vote devant le parlement. </w:t>
      </w:r>
      <w:r w:rsidR="00D80F06" w:rsidRPr="002D6CAB">
        <w:rPr>
          <w:lang w:val="fr-FR"/>
        </w:rPr>
        <w:t>Ce</w:t>
      </w:r>
      <w:r w:rsidR="00D80F06">
        <w:rPr>
          <w:lang w:val="fr-FR"/>
        </w:rPr>
        <w:t xml:space="preserve"> </w:t>
      </w:r>
      <w:r w:rsidR="00D80F06" w:rsidRPr="002D6CAB">
        <w:t>projet</w:t>
      </w:r>
      <w:r w:rsidR="00D80F06">
        <w:t xml:space="preserve"> </w:t>
      </w:r>
      <w:r w:rsidR="00D80F06" w:rsidRPr="002D6CAB">
        <w:t>de loi vise à</w:t>
      </w:r>
      <w:r w:rsidR="00FB29A2">
        <w:t> :</w:t>
      </w:r>
      <w:r w:rsidR="00D80F06" w:rsidRPr="002D6CAB">
        <w:t xml:space="preserve"> </w:t>
      </w:r>
    </w:p>
    <w:p w:rsidR="00D80F06" w:rsidRPr="002D6CAB" w:rsidRDefault="00C87B7B" w:rsidP="00C87B7B">
      <w:pPr>
        <w:pStyle w:val="Bullet1G"/>
        <w:numPr>
          <w:ilvl w:val="0"/>
          <w:numId w:val="0"/>
        </w:numPr>
        <w:tabs>
          <w:tab w:val="left" w:pos="1701"/>
        </w:tabs>
        <w:ind w:left="1701" w:hanging="170"/>
        <w:rPr>
          <w:lang w:val="fr-FR"/>
        </w:rPr>
      </w:pPr>
      <w:r w:rsidRPr="002D6CAB">
        <w:rPr>
          <w:lang w:val="fr-FR"/>
        </w:rPr>
        <w:lastRenderedPageBreak/>
        <w:t>•</w:t>
      </w:r>
      <w:r w:rsidRPr="002D6CAB">
        <w:rPr>
          <w:lang w:val="fr-FR"/>
        </w:rPr>
        <w:tab/>
      </w:r>
      <w:proofErr w:type="spellStart"/>
      <w:r w:rsidR="0022553A" w:rsidRPr="002D6CAB">
        <w:rPr>
          <w:lang w:val="fr-FR"/>
        </w:rPr>
        <w:t>Reconnaitre</w:t>
      </w:r>
      <w:proofErr w:type="spellEnd"/>
      <w:r w:rsidR="0022553A" w:rsidRPr="002D6CAB">
        <w:rPr>
          <w:lang w:val="fr-FR"/>
        </w:rPr>
        <w:t xml:space="preserve"> les droits des femmes victimes de v</w:t>
      </w:r>
      <w:r w:rsidR="002A7AE0">
        <w:rPr>
          <w:lang w:val="fr-FR"/>
        </w:rPr>
        <w:t>iolence ;</w:t>
      </w:r>
      <w:r w:rsidR="00D80F06" w:rsidRPr="002D6CAB">
        <w:rPr>
          <w:lang w:val="fr-FR"/>
        </w:rPr>
        <w:t xml:space="preserve"> </w:t>
      </w:r>
    </w:p>
    <w:p w:rsidR="00D80F06" w:rsidRPr="002D6CAB" w:rsidRDefault="00C87B7B" w:rsidP="00C87B7B">
      <w:pPr>
        <w:pStyle w:val="Bullet1G"/>
        <w:numPr>
          <w:ilvl w:val="0"/>
          <w:numId w:val="0"/>
        </w:numPr>
        <w:tabs>
          <w:tab w:val="left" w:pos="1701"/>
        </w:tabs>
        <w:ind w:left="1701" w:hanging="170"/>
        <w:rPr>
          <w:lang w:val="fr-FR"/>
        </w:rPr>
      </w:pPr>
      <w:r w:rsidRPr="002D6CAB">
        <w:rPr>
          <w:lang w:val="fr-FR"/>
        </w:rPr>
        <w:t>•</w:t>
      </w:r>
      <w:r w:rsidRPr="002D6CAB">
        <w:rPr>
          <w:lang w:val="fr-FR"/>
        </w:rPr>
        <w:tab/>
      </w:r>
      <w:proofErr w:type="spellStart"/>
      <w:r w:rsidR="0022553A" w:rsidRPr="002D6CAB">
        <w:rPr>
          <w:lang w:val="fr-FR"/>
        </w:rPr>
        <w:t>Etablir</w:t>
      </w:r>
      <w:proofErr w:type="spellEnd"/>
      <w:r w:rsidR="0022553A" w:rsidRPr="002D6CAB">
        <w:rPr>
          <w:lang w:val="fr-FR"/>
        </w:rPr>
        <w:t xml:space="preserve"> un système de protection instit</w:t>
      </w:r>
      <w:r w:rsidR="002A7AE0">
        <w:rPr>
          <w:lang w:val="fr-FR"/>
        </w:rPr>
        <w:t>utionnelle ;</w:t>
      </w:r>
    </w:p>
    <w:p w:rsidR="00D80F06" w:rsidRPr="002D6CAB" w:rsidRDefault="00C87B7B" w:rsidP="00C87B7B">
      <w:pPr>
        <w:pStyle w:val="Bullet1G"/>
        <w:numPr>
          <w:ilvl w:val="0"/>
          <w:numId w:val="0"/>
        </w:numPr>
        <w:tabs>
          <w:tab w:val="left" w:pos="1701"/>
        </w:tabs>
        <w:ind w:left="1701" w:hanging="170"/>
        <w:rPr>
          <w:lang w:val="fr-FR"/>
        </w:rPr>
      </w:pPr>
      <w:r w:rsidRPr="002D6CAB">
        <w:rPr>
          <w:lang w:val="fr-FR"/>
        </w:rPr>
        <w:t>•</w:t>
      </w:r>
      <w:r w:rsidRPr="002D6CAB">
        <w:rPr>
          <w:lang w:val="fr-FR"/>
        </w:rPr>
        <w:tab/>
      </w:r>
      <w:r w:rsidR="002A7AE0">
        <w:rPr>
          <w:lang w:val="fr-FR"/>
        </w:rPr>
        <w:t>Renforcer le droit pénal ;</w:t>
      </w:r>
    </w:p>
    <w:p w:rsidR="00D80F06" w:rsidRPr="002D6CAB" w:rsidRDefault="00C87B7B" w:rsidP="00C87B7B">
      <w:pPr>
        <w:pStyle w:val="Bullet1G"/>
        <w:numPr>
          <w:ilvl w:val="0"/>
          <w:numId w:val="0"/>
        </w:numPr>
        <w:tabs>
          <w:tab w:val="left" w:pos="1701"/>
        </w:tabs>
        <w:ind w:left="1701" w:hanging="170"/>
        <w:rPr>
          <w:lang w:val="fr-FR"/>
        </w:rPr>
      </w:pPr>
      <w:r w:rsidRPr="002D6CAB">
        <w:rPr>
          <w:lang w:val="fr-FR"/>
        </w:rPr>
        <w:t>•</w:t>
      </w:r>
      <w:r w:rsidRPr="002D6CAB">
        <w:rPr>
          <w:lang w:val="fr-FR"/>
        </w:rPr>
        <w:tab/>
      </w:r>
      <w:r w:rsidR="0022553A" w:rsidRPr="002D6CAB">
        <w:rPr>
          <w:lang w:val="fr-FR"/>
        </w:rPr>
        <w:t>Assurer aux femmes une protection intégrale</w:t>
      </w:r>
      <w:r w:rsidR="00D80F06">
        <w:rPr>
          <w:lang w:val="fr-FR"/>
        </w:rPr>
        <w:t xml:space="preserve"> </w:t>
      </w:r>
      <w:r w:rsidR="00D80F06" w:rsidRPr="002D6CAB">
        <w:rPr>
          <w:lang w:val="fr-FR"/>
        </w:rPr>
        <w:t>d</w:t>
      </w:r>
      <w:r w:rsidR="002A7AE0">
        <w:rPr>
          <w:lang w:val="fr-FR"/>
        </w:rPr>
        <w:t>evant les instances judiciaires ;</w:t>
      </w:r>
    </w:p>
    <w:p w:rsidR="00D80F06" w:rsidRDefault="00C87B7B" w:rsidP="00C87B7B">
      <w:pPr>
        <w:pStyle w:val="Bullet1G"/>
        <w:numPr>
          <w:ilvl w:val="0"/>
          <w:numId w:val="0"/>
        </w:numPr>
        <w:tabs>
          <w:tab w:val="left" w:pos="1701"/>
        </w:tabs>
        <w:ind w:left="1701" w:hanging="170"/>
        <w:rPr>
          <w:lang w:val="fr-FR"/>
        </w:rPr>
      </w:pPr>
      <w:r>
        <w:rPr>
          <w:lang w:val="fr-FR"/>
        </w:rPr>
        <w:t>•</w:t>
      </w:r>
      <w:r>
        <w:rPr>
          <w:lang w:val="fr-FR"/>
        </w:rPr>
        <w:tab/>
      </w:r>
      <w:r w:rsidR="0022553A" w:rsidRPr="00390E45">
        <w:t>Renforcer</w:t>
      </w:r>
      <w:r w:rsidR="00D80F06" w:rsidRPr="002D6CAB">
        <w:rPr>
          <w:lang w:val="fr-FR"/>
        </w:rPr>
        <w:t xml:space="preserve"> la prise en charge des victimes.</w:t>
      </w:r>
    </w:p>
    <w:p w:rsidR="00D80F06" w:rsidRPr="002D6CAB" w:rsidRDefault="00C87B7B" w:rsidP="00C87B7B">
      <w:pPr>
        <w:pStyle w:val="SingleTxtG"/>
      </w:pPr>
      <w:r w:rsidRPr="002D6CAB">
        <w:t>108.</w:t>
      </w:r>
      <w:r w:rsidRPr="002D6CAB">
        <w:tab/>
      </w:r>
      <w:r w:rsidR="00D80F06" w:rsidRPr="002D6CAB">
        <w:t>Plusieurs actions de vulgarisation et de sensibilisation des acteurs et des populations et une meilleure prise en charge des victimes d</w:t>
      </w:r>
      <w:r w:rsidR="002A7AE0">
        <w:t xml:space="preserve">e violences ont été organisées. </w:t>
      </w:r>
      <w:r w:rsidR="00D80F06" w:rsidRPr="002D6CAB">
        <w:t>Il s</w:t>
      </w:r>
      <w:r w:rsidR="00A24C87">
        <w:t>’</w:t>
      </w:r>
      <w:r w:rsidR="00D80F06" w:rsidRPr="002D6CAB">
        <w:t>agit notamment</w:t>
      </w:r>
      <w:r w:rsidR="00D80F06">
        <w:t xml:space="preserve"> </w:t>
      </w:r>
      <w:r w:rsidR="00D80F06" w:rsidRPr="002D6CAB">
        <w:t>de</w:t>
      </w:r>
      <w:r w:rsidR="00FB29A2">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Séminaires de plaidoyer et de concertation à l</w:t>
      </w:r>
      <w:r w:rsidR="00A24C87">
        <w:t>’</w:t>
      </w:r>
      <w:r w:rsidR="00D80F06" w:rsidRPr="002D6CAB">
        <w:t>endroit des autorités judiciaires (présidents de tribunaux, avocats, officiers de police, gendarmes, commissaires et agents de police)</w:t>
      </w:r>
      <w:r w:rsidR="009573B0">
        <w:t> ;</w:t>
      </w:r>
      <w:r w:rsidR="00D80F06" w:rsidRPr="002D6CAB">
        <w:t xml:space="preserve">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Formation de formateurs et de formatrices sur les Droits Humains</w:t>
      </w:r>
      <w:r w:rsidR="009573B0">
        <w:t> ;</w:t>
      </w:r>
      <w:r w:rsidR="00D80F06" w:rsidRPr="002D6CAB">
        <w:t xml:space="preserve">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A7AE0">
        <w:t>É</w:t>
      </w:r>
      <w:r w:rsidR="00D80F06" w:rsidRPr="002D6CAB">
        <w:t>laboration et vulgarisation d</w:t>
      </w:r>
      <w:r w:rsidR="00A24C87">
        <w:t>’</w:t>
      </w:r>
      <w:r w:rsidR="00D80F06" w:rsidRPr="002D6CAB">
        <w:t xml:space="preserve">un guide </w:t>
      </w:r>
      <w:r w:rsidR="002A7AE0">
        <w:t>sur les procédures judiciaires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Réalisation et mise en œuvre d</w:t>
      </w:r>
      <w:r w:rsidR="00A24C87">
        <w:t>’</w:t>
      </w:r>
      <w:r w:rsidR="00D80F06" w:rsidRPr="002D6CAB">
        <w:t>un guide sur</w:t>
      </w:r>
      <w:r w:rsidR="00D80F06">
        <w:t xml:space="preserve"> </w:t>
      </w:r>
      <w:r w:rsidR="00D80F06" w:rsidRPr="002D6CAB">
        <w:t>procédures opérationnelles standards de lutte contre les violences(SOPS)</w:t>
      </w:r>
      <w:r w:rsidR="00A53065">
        <w:t xml:space="preserve"> </w:t>
      </w:r>
      <w:r w:rsidR="00D80F06" w:rsidRPr="002D6CAB">
        <w:t>dans</w:t>
      </w:r>
      <w:r w:rsidR="00D80F06">
        <w:t xml:space="preserve"> </w:t>
      </w:r>
      <w:r w:rsidR="002A7AE0">
        <w:t>6 régions.</w:t>
      </w:r>
    </w:p>
    <w:p w:rsidR="00D80F06" w:rsidRPr="002D6CAB" w:rsidRDefault="00C87B7B" w:rsidP="00C87B7B">
      <w:pPr>
        <w:pStyle w:val="SingleTxtG"/>
      </w:pPr>
      <w:r w:rsidRPr="002D6CAB">
        <w:t>109.</w:t>
      </w:r>
      <w:r w:rsidRPr="002D6CAB">
        <w:tab/>
      </w:r>
      <w:r w:rsidR="00D80F06" w:rsidRPr="002D6CAB">
        <w:t>L</w:t>
      </w:r>
      <w:r w:rsidR="00A24C87">
        <w:t>’</w:t>
      </w:r>
      <w:r w:rsidR="00D80F06" w:rsidRPr="002D6CAB">
        <w:t>Enquête nationale sur les violences à l</w:t>
      </w:r>
      <w:r w:rsidR="00A24C87">
        <w:t>’</w:t>
      </w:r>
      <w:r w:rsidR="00D80F06" w:rsidRPr="002D6CAB">
        <w:t>égard des femmes (ENVEF2011) a fait un état des lieux du phénomène de la violence faite aux femmes.</w:t>
      </w:r>
      <w:r w:rsidR="00D80F06">
        <w:t xml:space="preserve"> </w:t>
      </w:r>
      <w:r w:rsidR="00D80F06" w:rsidRPr="002D6CAB">
        <w:t>Les formes de violences sur les femmes</w:t>
      </w:r>
      <w:r w:rsidR="00D80F06">
        <w:t xml:space="preserve"> </w:t>
      </w:r>
      <w:r w:rsidR="00D80F06" w:rsidRPr="002D6CAB">
        <w:t>sont désormais reconnues</w:t>
      </w:r>
      <w:r w:rsidR="00FB29A2">
        <w:t> :</w:t>
      </w:r>
      <w:r w:rsidR="00D80F06" w:rsidRPr="002D6CAB">
        <w:t xml:space="preserve">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Violences physiques</w:t>
      </w:r>
      <w:r w:rsidR="00FB29A2">
        <w:t> :</w:t>
      </w:r>
      <w:r w:rsidR="00D80F06" w:rsidRPr="002D6CAB">
        <w:t xml:space="preserve"> 6,1</w:t>
      </w:r>
      <w:r w:rsidR="002A7AE0">
        <w:t> </w:t>
      </w:r>
      <w:r w:rsidR="00D80F06" w:rsidRPr="002D6CAB">
        <w:t>%, violences sexuelles</w:t>
      </w:r>
      <w:r w:rsidR="00FB29A2">
        <w:t> :</w:t>
      </w:r>
      <w:r w:rsidR="00D80F06" w:rsidRPr="002D6CAB">
        <w:t xml:space="preserve"> 14,7</w:t>
      </w:r>
      <w:r w:rsidR="002A7AE0">
        <w:t> </w:t>
      </w:r>
      <w:r w:rsidR="00D80F06" w:rsidRPr="002D6CAB">
        <w:t>% et</w:t>
      </w:r>
      <w:r w:rsidR="00D80F06">
        <w:t xml:space="preserve"> </w:t>
      </w:r>
      <w:r w:rsidR="00D80F06" w:rsidRPr="002D6CAB">
        <w:t>violence psychologique</w:t>
      </w:r>
      <w:r w:rsidR="00FB29A2">
        <w:t> :</w:t>
      </w:r>
      <w:r w:rsidR="00D80F06" w:rsidRPr="002D6CAB">
        <w:t xml:space="preserve"> 63,9</w:t>
      </w:r>
      <w:r w:rsidR="002A7AE0">
        <w:t> </w:t>
      </w:r>
      <w:r w:rsidR="00D80F06" w:rsidRPr="002D6CAB">
        <w:t>%.</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Le taux de violence</w:t>
      </w:r>
      <w:r w:rsidR="00D80F06">
        <w:t xml:space="preserve"> </w:t>
      </w:r>
      <w:r w:rsidR="00D80F06" w:rsidRPr="002D6CAB">
        <w:t>global est estimé à plus de 68</w:t>
      </w:r>
      <w:r w:rsidR="002A7AE0">
        <w:t> </w:t>
      </w:r>
      <w:r w:rsidR="00D80F06" w:rsidRPr="002D6CAB">
        <w:t>% à cause des violences psychologiques.</w:t>
      </w:r>
    </w:p>
    <w:p w:rsidR="00D80F06" w:rsidRDefault="00C87B7B" w:rsidP="00C87B7B">
      <w:pPr>
        <w:pStyle w:val="Bullet1G"/>
        <w:numPr>
          <w:ilvl w:val="0"/>
          <w:numId w:val="0"/>
        </w:numPr>
        <w:tabs>
          <w:tab w:val="left" w:pos="1701"/>
        </w:tabs>
        <w:ind w:left="1701" w:hanging="170"/>
      </w:pPr>
      <w:r>
        <w:t>•</w:t>
      </w:r>
      <w:r>
        <w:tab/>
      </w:r>
      <w:r w:rsidR="00D80F06" w:rsidRPr="002D6CAB">
        <w:t xml:space="preserve">Les violences à caractère sexuel sont désormais reconnues, et des actions de prise en charge sont mises en place. </w:t>
      </w:r>
    </w:p>
    <w:p w:rsidR="00D80F06" w:rsidRPr="00865EA1" w:rsidRDefault="00D80F06" w:rsidP="00027EE8">
      <w:pPr>
        <w:pStyle w:val="SingleTxtG"/>
        <w:ind w:left="1701"/>
        <w:rPr>
          <w:i/>
        </w:rPr>
      </w:pPr>
      <w:bookmarkStart w:id="196" w:name="_Toc498901354"/>
      <w:r w:rsidRPr="00865EA1">
        <w:rPr>
          <w:i/>
        </w:rPr>
        <w:t>Recommandation 7</w:t>
      </w:r>
      <w:bookmarkEnd w:id="196"/>
      <w:r w:rsidR="00FB29A2" w:rsidRPr="00865EA1">
        <w:rPr>
          <w:i/>
        </w:rPr>
        <w:t> :</w:t>
      </w:r>
    </w:p>
    <w:p w:rsidR="00D80F06" w:rsidRPr="00865EA1" w:rsidRDefault="00D80F06" w:rsidP="00027EE8">
      <w:pPr>
        <w:pStyle w:val="SingleTxtG"/>
        <w:ind w:left="1701"/>
        <w:rPr>
          <w:i/>
        </w:rPr>
      </w:pPr>
      <w:r w:rsidRPr="00865EA1">
        <w:rPr>
          <w:i/>
        </w:rPr>
        <w:t>L</w:t>
      </w:r>
      <w:r w:rsidR="00A24C87" w:rsidRPr="00865EA1">
        <w:rPr>
          <w:i/>
        </w:rPr>
        <w:t>’</w:t>
      </w:r>
      <w:r w:rsidRPr="00865EA1">
        <w:rPr>
          <w:i/>
        </w:rPr>
        <w:t>État partie devrait veiller à l</w:t>
      </w:r>
      <w:r w:rsidR="00A24C87" w:rsidRPr="00865EA1">
        <w:rPr>
          <w:i/>
        </w:rPr>
        <w:t>’</w:t>
      </w:r>
      <w:r w:rsidRPr="00865EA1">
        <w:rPr>
          <w:i/>
        </w:rPr>
        <w:t>application effective de l</w:t>
      </w:r>
      <w:r w:rsidR="00A24C87" w:rsidRPr="00865EA1">
        <w:rPr>
          <w:i/>
        </w:rPr>
        <w:t>’</w:t>
      </w:r>
      <w:r w:rsidRPr="00865EA1">
        <w:rPr>
          <w:i/>
        </w:rPr>
        <w:t>article 12 de l</w:t>
      </w:r>
      <w:r w:rsidR="00A24C87" w:rsidRPr="00865EA1">
        <w:rPr>
          <w:i/>
        </w:rPr>
        <w:t>’</w:t>
      </w:r>
      <w:r w:rsidRPr="00865EA1">
        <w:rPr>
          <w:i/>
        </w:rPr>
        <w:t>ordonnance portant protection pénale de l</w:t>
      </w:r>
      <w:r w:rsidR="00A24C87" w:rsidRPr="00865EA1">
        <w:rPr>
          <w:i/>
        </w:rPr>
        <w:t>’</w:t>
      </w:r>
      <w:r w:rsidRPr="00865EA1">
        <w:rPr>
          <w:i/>
        </w:rPr>
        <w:t>enfant et adopter le projet de loi criminalisant de manière spécifique les mutilations génitales féminines. L</w:t>
      </w:r>
      <w:r w:rsidR="00A24C87" w:rsidRPr="00865EA1">
        <w:rPr>
          <w:i/>
        </w:rPr>
        <w:t>’</w:t>
      </w:r>
      <w:r w:rsidRPr="00865EA1">
        <w:rPr>
          <w:i/>
        </w:rPr>
        <w:t xml:space="preserve">État partie devrait également renforcer et poursuivre ses campagnes et autres mesures de sensibilisation et de lutte contre les mutilations génitales féminines auprès des populations, y compris dans les zones rurales. </w:t>
      </w:r>
    </w:p>
    <w:p w:rsidR="00D80F06" w:rsidRPr="002D6CAB" w:rsidRDefault="00C87B7B" w:rsidP="00C87B7B">
      <w:pPr>
        <w:pStyle w:val="SingleTxtG"/>
      </w:pPr>
      <w:r w:rsidRPr="002D6CAB">
        <w:t>110.</w:t>
      </w:r>
      <w:r w:rsidRPr="002D6CAB">
        <w:tab/>
      </w:r>
      <w:r w:rsidR="00D80F06" w:rsidRPr="002D6CAB">
        <w:t>La Mauritanie a renforcé son engagement</w:t>
      </w:r>
      <w:r w:rsidR="00D80F06">
        <w:t xml:space="preserve"> </w:t>
      </w:r>
      <w:r w:rsidR="00D80F06" w:rsidRPr="002D6CAB">
        <w:t>en faveur de la promotion et la protection des droits de la femme,</w:t>
      </w:r>
      <w:r w:rsidR="00D80F06">
        <w:t xml:space="preserve"> </w:t>
      </w:r>
      <w:r w:rsidR="00D80F06" w:rsidRPr="002D6CAB">
        <w:t>dans le cadre de la lutte contre les violences à l</w:t>
      </w:r>
      <w:r w:rsidR="00A24C87">
        <w:t>’</w:t>
      </w:r>
      <w:r w:rsidR="00D80F06" w:rsidRPr="002D6CAB">
        <w:t>égard des Femmes notamment les Mutilations Génitales Féminines(MGF) et ce, en adhérant aux conventions internationales qui protègent ses droits, et en mettant en place un dispositif institutionnel, comprenant</w:t>
      </w:r>
      <w:r w:rsidR="00FB29A2">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 xml:space="preserve">Le </w:t>
      </w:r>
      <w:r w:rsidR="00D80F06" w:rsidRPr="002D6CAB">
        <w:t>comité national de lutte contre les violences basées sur le genre y compris les</w:t>
      </w:r>
      <w:r w:rsidR="00D80F06">
        <w:t xml:space="preserve"> </w:t>
      </w:r>
      <w:r w:rsidR="00D80F06" w:rsidRPr="002D6CAB">
        <w:t>MGF</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 xml:space="preserve">Les </w:t>
      </w:r>
      <w:r w:rsidR="00D80F06" w:rsidRPr="002D6CAB">
        <w:t>comités régionaux de lutte contre les VBG y compris les MGF</w:t>
      </w:r>
      <w:r w:rsidR="009573B0">
        <w:t> ;</w:t>
      </w:r>
      <w:r w:rsidR="00D80F06" w:rsidRPr="002D6CAB">
        <w:t xml:space="preserve">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 xml:space="preserve">La </w:t>
      </w:r>
      <w:r w:rsidR="00D80F06" w:rsidRPr="002D6CAB">
        <w:t>mise en place d</w:t>
      </w:r>
      <w:r w:rsidR="00A24C87">
        <w:t>’</w:t>
      </w:r>
      <w:r w:rsidR="00D80F06" w:rsidRPr="002D6CAB">
        <w:t xml:space="preserve">un réseau </w:t>
      </w:r>
      <w:r w:rsidR="00546E92" w:rsidRPr="002D6CAB">
        <w:t>d</w:t>
      </w:r>
      <w:r w:rsidR="00546E92">
        <w:t>’</w:t>
      </w:r>
      <w:r w:rsidR="00546E92" w:rsidRPr="002D6CAB">
        <w:t>ONG</w:t>
      </w:r>
      <w:r w:rsidR="0022553A" w:rsidRPr="002D6CAB">
        <w:t xml:space="preserve"> </w:t>
      </w:r>
      <w:r w:rsidR="00D80F06" w:rsidRPr="002D6CAB">
        <w:t>spécia</w:t>
      </w:r>
      <w:r w:rsidR="00D80F06">
        <w:t>lisées dans les MGF</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 xml:space="preserve">La </w:t>
      </w:r>
      <w:r w:rsidR="00D80F06" w:rsidRPr="002D6CAB">
        <w:t>mise en œuvre des procédures opérationnelles et standards pour la lutte contre les violences à l</w:t>
      </w:r>
      <w:r w:rsidR="00A24C87">
        <w:t>’</w:t>
      </w:r>
      <w:r w:rsidR="00D80F06" w:rsidRPr="002D6CAB">
        <w:t>égard des femmes (SOPS) pour une meilleure réponse et une prise en charge holistique des survivantes des VBG</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t>L</w:t>
      </w:r>
      <w:r w:rsidR="00A24C87">
        <w:t>’</w:t>
      </w:r>
      <w:r w:rsidR="00D80F06" w:rsidRPr="002D6CAB">
        <w:t>élaboration et l</w:t>
      </w:r>
      <w:r w:rsidR="00A24C87">
        <w:t>’</w:t>
      </w:r>
      <w:r w:rsidR="00D80F06" w:rsidRPr="002D6CAB">
        <w:t>approbation du projet de loi</w:t>
      </w:r>
      <w:r w:rsidR="00D80F06">
        <w:t>-</w:t>
      </w:r>
      <w:r w:rsidR="00D80F06" w:rsidRPr="002D6CAB">
        <w:t>cadre sur les violences à l</w:t>
      </w:r>
      <w:r w:rsidR="00A24C87">
        <w:t>’</w:t>
      </w:r>
      <w:r w:rsidR="00D80F06" w:rsidRPr="002D6CAB">
        <w:t xml:space="preserve">égard des femmes et des filles (MGF, violences sexuelles, conjugales, violences psychologiques </w:t>
      </w:r>
      <w:r w:rsidR="00546E92" w:rsidRPr="002D6CAB">
        <w:t>etc.</w:t>
      </w:r>
      <w:r w:rsidR="00D80F06" w:rsidRPr="002D6CAB">
        <w:t>) en cours d</w:t>
      </w:r>
      <w:r w:rsidR="00A24C87">
        <w:t>’</w:t>
      </w:r>
      <w:r w:rsidR="00D80F06" w:rsidRPr="002D6CAB">
        <w:t>adoption par le parlement</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t>L</w:t>
      </w:r>
      <w:r w:rsidR="00A24C87">
        <w:t>’</w:t>
      </w:r>
      <w:r w:rsidR="00D80F06" w:rsidRPr="002D6CAB">
        <w:t>élaboration d</w:t>
      </w:r>
      <w:r w:rsidR="00A24C87">
        <w:t>’</w:t>
      </w:r>
      <w:r w:rsidR="00D80F06" w:rsidRPr="002D6CAB">
        <w:t>une SCAPP 2016-2030 sensible au genre et aux droits humains</w:t>
      </w:r>
      <w:r w:rsidR="009573B0">
        <w:t> ;</w:t>
      </w:r>
    </w:p>
    <w:p w:rsidR="00D80F06" w:rsidRPr="002D6CAB" w:rsidRDefault="00C87B7B" w:rsidP="00C87B7B">
      <w:pPr>
        <w:pStyle w:val="Bullet1G"/>
        <w:numPr>
          <w:ilvl w:val="0"/>
          <w:numId w:val="0"/>
        </w:numPr>
        <w:tabs>
          <w:tab w:val="left" w:pos="1701"/>
        </w:tabs>
        <w:ind w:left="1701" w:hanging="170"/>
      </w:pPr>
      <w:r w:rsidRPr="002D6CAB">
        <w:lastRenderedPageBreak/>
        <w:t>•</w:t>
      </w:r>
      <w:r w:rsidRPr="002D6CAB">
        <w:tab/>
      </w:r>
      <w:r w:rsidR="0022553A" w:rsidRPr="002D6CAB">
        <w:t xml:space="preserve">La </w:t>
      </w:r>
      <w:r w:rsidR="00D80F06" w:rsidRPr="002D6CAB">
        <w:t>mise en œuvre de la Stratégie Nationale d</w:t>
      </w:r>
      <w:r w:rsidR="00A24C87">
        <w:t>’</w:t>
      </w:r>
      <w:r w:rsidR="00D80F06" w:rsidRPr="002D6CAB">
        <w:t>Institutionnalisation du Genre (SNIG)</w:t>
      </w:r>
      <w:r w:rsidR="00D80F06">
        <w:t xml:space="preserve"> </w:t>
      </w:r>
      <w:r w:rsidR="00D80F06" w:rsidRPr="002D6CAB">
        <w:t>et la mise en place de ses mécanismes institutionnels de coordination, de pilotage et de suivi (Comité national présidé par le Premier Ministre, le Groupe de suivi Genre et les cellules sectorielles)</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 xml:space="preserve">La </w:t>
      </w:r>
      <w:r w:rsidR="00D80F06" w:rsidRPr="002D6CAB">
        <w:t>formation de 180 Imams de Mosquée des régions à haute préva</w:t>
      </w:r>
      <w:r w:rsidR="00E63EC0">
        <w:t>lence sur la prévention des MGF</w:t>
      </w:r>
      <w:r w:rsidR="009573B0">
        <w:t> ;</w:t>
      </w:r>
      <w:r w:rsidR="00D80F06" w:rsidRPr="002D6CAB">
        <w:t xml:space="preserve">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 xml:space="preserve">La </w:t>
      </w:r>
      <w:r w:rsidR="00D80F06" w:rsidRPr="002D6CAB">
        <w:t>mise en œuvre d</w:t>
      </w:r>
      <w:r w:rsidR="00A24C87">
        <w:t>’</w:t>
      </w:r>
      <w:r w:rsidR="00D80F06" w:rsidRPr="002D6CAB">
        <w:t>un plan d</w:t>
      </w:r>
      <w:r w:rsidR="00A24C87">
        <w:t>’</w:t>
      </w:r>
      <w:r w:rsidR="00D80F06" w:rsidRPr="002D6CAB">
        <w:t>action d</w:t>
      </w:r>
      <w:r w:rsidR="00A24C87">
        <w:t>’</w:t>
      </w:r>
      <w:r w:rsidR="00D80F06" w:rsidRPr="002D6CAB">
        <w:t>abandon volontaire des mutilations génitales féminines dans les</w:t>
      </w:r>
      <w:r w:rsidR="00D80F06">
        <w:t xml:space="preserve"> </w:t>
      </w:r>
      <w:r w:rsidR="00D80F06" w:rsidRPr="002D6CAB">
        <w:t>Wilayas à haute prévalence</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 xml:space="preserve">La </w:t>
      </w:r>
      <w:r w:rsidR="00D80F06" w:rsidRPr="002D6CAB">
        <w:t xml:space="preserve">diffusion dans les </w:t>
      </w:r>
      <w:proofErr w:type="spellStart"/>
      <w:r w:rsidR="00D80F06" w:rsidRPr="002D6CAB">
        <w:t>média</w:t>
      </w:r>
      <w:proofErr w:type="spellEnd"/>
      <w:r w:rsidR="00D80F06" w:rsidRPr="002D6CAB">
        <w:t xml:space="preserve"> public</w:t>
      </w:r>
      <w:r w:rsidR="008B417A">
        <w:t>s</w:t>
      </w:r>
      <w:r w:rsidR="00D80F06" w:rsidRPr="002D6CAB">
        <w:t xml:space="preserve"> et privés d</w:t>
      </w:r>
      <w:r w:rsidR="00A24C87">
        <w:t>’</w:t>
      </w:r>
      <w:r w:rsidR="00D80F06" w:rsidRPr="002D6CAB">
        <w:t>une fatwa sur l</w:t>
      </w:r>
      <w:r w:rsidR="00A24C87">
        <w:t>’</w:t>
      </w:r>
      <w:r w:rsidR="00D80F06" w:rsidRPr="002D6CAB">
        <w:t xml:space="preserve">interdiction des </w:t>
      </w:r>
      <w:r w:rsidR="00D80F06">
        <w:t>mutilations génitales féminines</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w:t>
      </w:r>
      <w:r w:rsidR="00A24C87">
        <w:t>’</w:t>
      </w:r>
      <w:r w:rsidR="0022553A" w:rsidRPr="002D6CAB">
        <w:t xml:space="preserve">élaboration </w:t>
      </w:r>
      <w:r w:rsidR="00D80F06" w:rsidRPr="002D6CAB">
        <w:t>d</w:t>
      </w:r>
      <w:r w:rsidR="00A24C87">
        <w:t>’</w:t>
      </w:r>
      <w:r w:rsidR="00D80F06" w:rsidRPr="002D6CAB">
        <w:t>un</w:t>
      </w:r>
      <w:r w:rsidR="00D80F06">
        <w:t xml:space="preserve"> </w:t>
      </w:r>
      <w:r w:rsidR="00D80F06" w:rsidRPr="002D6CAB">
        <w:t>plan d</w:t>
      </w:r>
      <w:r w:rsidR="00A24C87">
        <w:t>’</w:t>
      </w:r>
      <w:r w:rsidR="00D80F06" w:rsidRPr="002D6CAB">
        <w:t>actions national sur les VBG en Mauritanie (2014-2018) qui permettra une compréhension globale de la problématique et une gestion plus efficace des Violences Basées sur le Genre</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La généralisation des cellules et des comités régionaux</w:t>
      </w:r>
      <w:r w:rsidR="00D80F06">
        <w:t xml:space="preserve"> </w:t>
      </w:r>
      <w:r w:rsidR="00D80F06" w:rsidRPr="002D6CAB">
        <w:t>pour le traitement et la résolution des litiges familiaux</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La commémoration d</w:t>
      </w:r>
      <w:r w:rsidR="0022553A">
        <w:t xml:space="preserve">e la journée tolérance zéro </w:t>
      </w:r>
      <w:r w:rsidR="00381CF0">
        <w:t>MGF</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w:t>
      </w:r>
      <w:r w:rsidR="00A24C87">
        <w:t>’</w:t>
      </w:r>
      <w:r w:rsidR="0022553A" w:rsidRPr="002D6CAB">
        <w:t>élaboration de supports (livrets, broch</w:t>
      </w:r>
      <w:r w:rsidR="0022553A">
        <w:t xml:space="preserve">ures, films, module sur les </w:t>
      </w:r>
      <w:r w:rsidR="00381CF0">
        <w:t>MGF</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w:t>
      </w:r>
      <w:r w:rsidR="00A24C87">
        <w:t>’</w:t>
      </w:r>
      <w:r w:rsidR="0022553A" w:rsidRPr="002D6CAB">
        <w:t>élaboration d</w:t>
      </w:r>
      <w:r w:rsidR="00A24C87">
        <w:t>’</w:t>
      </w:r>
      <w:r w:rsidR="0022553A" w:rsidRPr="002D6CAB">
        <w:t>une stratégie d</w:t>
      </w:r>
      <w:r w:rsidR="00A24C87">
        <w:t>’</w:t>
      </w:r>
      <w:r w:rsidR="0022553A" w:rsidRPr="002D6CAB">
        <w:t xml:space="preserve">abandon des </w:t>
      </w:r>
      <w:r w:rsidR="00381CF0" w:rsidRPr="002D6CAB">
        <w:t>MGF</w:t>
      </w:r>
      <w:r w:rsidR="0022553A" w:rsidRPr="002D6CAB">
        <w:t>, assortie d</w:t>
      </w:r>
      <w:r w:rsidR="00A24C87">
        <w:t>’</w:t>
      </w:r>
      <w:r w:rsidR="0022553A" w:rsidRPr="002D6CAB">
        <w:t>un plan quinquennal</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w:t>
      </w:r>
      <w:r w:rsidR="00A24C87">
        <w:t>’</w:t>
      </w:r>
      <w:r w:rsidR="0022553A" w:rsidRPr="002D6CAB">
        <w:t xml:space="preserve">organisation de campagnes de sensibilisation </w:t>
      </w:r>
      <w:r w:rsidR="008B417A">
        <w:t>contre les pratiques néfastes y </w:t>
      </w:r>
      <w:r w:rsidR="0022553A" w:rsidRPr="002D6CAB">
        <w:t xml:space="preserve">compris les </w:t>
      </w:r>
      <w:r w:rsidR="00381CF0" w:rsidRPr="002D6CAB">
        <w:t xml:space="preserve">MGF </w:t>
      </w:r>
      <w:r w:rsidR="0022553A" w:rsidRPr="002D6CAB">
        <w:t xml:space="preserve">et </w:t>
      </w:r>
      <w:r w:rsidR="00E63EC0" w:rsidRPr="002D6CAB">
        <w:t>les mariages</w:t>
      </w:r>
      <w:r w:rsidR="0022553A" w:rsidRPr="002D6CAB">
        <w:t xml:space="preserve"> d</w:t>
      </w:r>
      <w:r w:rsidR="00A24C87">
        <w:t>’</w:t>
      </w:r>
      <w:r w:rsidR="0022553A" w:rsidRPr="002D6CAB">
        <w:t>enfants</w:t>
      </w:r>
      <w:r w:rsidR="008B417A">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w:t>
      </w:r>
      <w:r w:rsidR="00A24C87">
        <w:t>’</w:t>
      </w:r>
      <w:r w:rsidR="0022553A" w:rsidRPr="002D6CAB">
        <w:t xml:space="preserve">élaboration de modules harmonisés de formation sur les </w:t>
      </w:r>
      <w:r w:rsidR="00381CF0" w:rsidRPr="002D6CAB">
        <w:t xml:space="preserve">MGF </w:t>
      </w:r>
      <w:r w:rsidR="0022553A" w:rsidRPr="002D6CAB">
        <w:t>in</w:t>
      </w:r>
      <w:r w:rsidR="00D80F06">
        <w:t>cluant un argumentaire culturel.</w:t>
      </w:r>
      <w:r w:rsidR="00D80F06" w:rsidRPr="002D6CAB">
        <w:t xml:space="preserve"> </w:t>
      </w:r>
    </w:p>
    <w:p w:rsidR="00D80F06" w:rsidRPr="00027EE8" w:rsidRDefault="00C87B7B" w:rsidP="00C87B7B">
      <w:pPr>
        <w:pStyle w:val="SingleTxtG"/>
      </w:pPr>
      <w:r w:rsidRPr="00027EE8">
        <w:t>111.</w:t>
      </w:r>
      <w:r w:rsidRPr="00027EE8">
        <w:tab/>
      </w:r>
      <w:r w:rsidR="00D80F06" w:rsidRPr="002D6CAB">
        <w:t>La prévalence des MGF chez les filles est en baisse continue si l</w:t>
      </w:r>
      <w:r w:rsidR="00A24C87">
        <w:t>’</w:t>
      </w:r>
      <w:r w:rsidR="00D80F06" w:rsidRPr="002D6CAB">
        <w:t>on sait qu</w:t>
      </w:r>
      <w:r w:rsidR="00A24C87">
        <w:t>’</w:t>
      </w:r>
      <w:r w:rsidR="00D80F06" w:rsidRPr="002D6CAB">
        <w:t>en 2007 (MICS 2007) ce taux de 65,8</w:t>
      </w:r>
      <w:r w:rsidR="002A7AE0">
        <w:t> </w:t>
      </w:r>
      <w:r w:rsidR="00D80F06" w:rsidRPr="002D6CAB">
        <w:t>% il est passé à 54,8 en 2011 (MICS 2011) puis à 53,2</w:t>
      </w:r>
      <w:r w:rsidR="002A7AE0">
        <w:t> </w:t>
      </w:r>
      <w:r w:rsidR="00D80F06" w:rsidRPr="002D6CAB">
        <w:t>% en 2015.</w:t>
      </w:r>
    </w:p>
    <w:p w:rsidR="00D80F06" w:rsidRPr="00865EA1" w:rsidRDefault="00D80F06" w:rsidP="00027EE8">
      <w:pPr>
        <w:pStyle w:val="SingleTxtG"/>
        <w:ind w:left="1701"/>
        <w:rPr>
          <w:i/>
        </w:rPr>
      </w:pPr>
      <w:r w:rsidRPr="00865EA1">
        <w:rPr>
          <w:i/>
        </w:rPr>
        <w:t>Recommandation 8</w:t>
      </w:r>
      <w:r w:rsidR="00FB29A2" w:rsidRPr="00865EA1">
        <w:rPr>
          <w:i/>
        </w:rPr>
        <w:t> :</w:t>
      </w:r>
      <w:r w:rsidRPr="00865EA1">
        <w:rPr>
          <w:i/>
        </w:rPr>
        <w:t xml:space="preserve"> </w:t>
      </w:r>
    </w:p>
    <w:p w:rsidR="00D80F06" w:rsidRPr="00865EA1" w:rsidRDefault="00D80F06" w:rsidP="00027EE8">
      <w:pPr>
        <w:pStyle w:val="SingleTxtG"/>
        <w:ind w:left="1701"/>
        <w:rPr>
          <w:i/>
        </w:rPr>
      </w:pPr>
      <w:r w:rsidRPr="00865EA1">
        <w:rPr>
          <w:i/>
        </w:rPr>
        <w:t>L</w:t>
      </w:r>
      <w:r w:rsidR="00A24C87" w:rsidRPr="00865EA1">
        <w:rPr>
          <w:i/>
        </w:rPr>
        <w:t>’</w:t>
      </w:r>
      <w:r w:rsidRPr="00865EA1">
        <w:rPr>
          <w:i/>
        </w:rPr>
        <w:t>État partie devrait envisager d</w:t>
      </w:r>
      <w:r w:rsidR="00A24C87" w:rsidRPr="00865EA1">
        <w:rPr>
          <w:i/>
        </w:rPr>
        <w:t>’</w:t>
      </w:r>
      <w:r w:rsidRPr="00865EA1">
        <w:rPr>
          <w:i/>
        </w:rPr>
        <w:t>abolir la peine de mort et de ratifier le Deuxième protocole facultatif se rapportant au Pacte international relatif aux droits civils et politiques, visant à abolir la peine de mort. L</w:t>
      </w:r>
      <w:r w:rsidR="00A24C87" w:rsidRPr="00865EA1">
        <w:rPr>
          <w:i/>
        </w:rPr>
        <w:t>’</w:t>
      </w:r>
      <w:r w:rsidRPr="00865EA1">
        <w:rPr>
          <w:i/>
        </w:rPr>
        <w:t>État partie devrait s</w:t>
      </w:r>
      <w:r w:rsidR="00A24C87" w:rsidRPr="00865EA1">
        <w:rPr>
          <w:i/>
        </w:rPr>
        <w:t>’</w:t>
      </w:r>
      <w:r w:rsidRPr="00865EA1">
        <w:rPr>
          <w:i/>
        </w:rPr>
        <w:t>assurer que, en aucune circonstance, la peine de mort n</w:t>
      </w:r>
      <w:r w:rsidR="00A24C87" w:rsidRPr="00865EA1">
        <w:rPr>
          <w:i/>
        </w:rPr>
        <w:t>’</w:t>
      </w:r>
      <w:r w:rsidRPr="00865EA1">
        <w:rPr>
          <w:i/>
        </w:rPr>
        <w:t>est imposée en violation des garanties prévues à l</w:t>
      </w:r>
      <w:r w:rsidR="00A24C87" w:rsidRPr="00865EA1">
        <w:rPr>
          <w:i/>
        </w:rPr>
        <w:t>’</w:t>
      </w:r>
      <w:r w:rsidRPr="00865EA1">
        <w:rPr>
          <w:i/>
        </w:rPr>
        <w:t xml:space="preserve">article 6 du Pacte. </w:t>
      </w:r>
    </w:p>
    <w:p w:rsidR="00D80F06" w:rsidRDefault="00C87B7B" w:rsidP="00C87B7B">
      <w:pPr>
        <w:pStyle w:val="SingleTxtG"/>
      </w:pPr>
      <w:r>
        <w:t>112.</w:t>
      </w:r>
      <w:r>
        <w:tab/>
      </w:r>
      <w:r w:rsidR="00D80F06" w:rsidRPr="002D6CAB">
        <w:t>Il existe un moratoire de fait à la peine de mort et aucune exécution capitale n</w:t>
      </w:r>
      <w:r w:rsidR="00A24C87">
        <w:t>’</w:t>
      </w:r>
      <w:r w:rsidR="00D80F06" w:rsidRPr="002D6CAB">
        <w:t>a eu lieu depuis 1987.</w:t>
      </w:r>
      <w:r w:rsidR="00C33BDF">
        <w:t xml:space="preserve"> </w:t>
      </w:r>
      <w:r w:rsidR="00D80F06" w:rsidRPr="002D6CAB">
        <w:t>En droit Mauritanien la peine capitale reste réservée aux crimes les plus graves.</w:t>
      </w:r>
    </w:p>
    <w:p w:rsidR="00D80F06" w:rsidRPr="00865EA1" w:rsidRDefault="00D80F06" w:rsidP="00027EE8">
      <w:pPr>
        <w:pStyle w:val="SingleTxtG"/>
        <w:ind w:left="1701"/>
        <w:rPr>
          <w:i/>
        </w:rPr>
      </w:pPr>
      <w:r w:rsidRPr="00865EA1">
        <w:rPr>
          <w:i/>
        </w:rPr>
        <w:t>Recommandation 9</w:t>
      </w:r>
      <w:r w:rsidR="00FB29A2" w:rsidRPr="00865EA1">
        <w:rPr>
          <w:i/>
        </w:rPr>
        <w:t> :</w:t>
      </w:r>
      <w:r w:rsidRPr="00865EA1">
        <w:rPr>
          <w:i/>
        </w:rPr>
        <w:t xml:space="preserve"> </w:t>
      </w:r>
    </w:p>
    <w:p w:rsidR="00D80F06" w:rsidRPr="00865EA1" w:rsidRDefault="00D80F06" w:rsidP="00027EE8">
      <w:pPr>
        <w:pStyle w:val="SingleTxtG"/>
        <w:ind w:left="1701"/>
        <w:rPr>
          <w:i/>
        </w:rPr>
      </w:pPr>
      <w:r w:rsidRPr="00865EA1">
        <w:rPr>
          <w:i/>
        </w:rPr>
        <w:t>L</w:t>
      </w:r>
      <w:r w:rsidR="00A24C87" w:rsidRPr="00865EA1">
        <w:rPr>
          <w:i/>
        </w:rPr>
        <w:t>’</w:t>
      </w:r>
      <w:r w:rsidRPr="00865EA1">
        <w:rPr>
          <w:i/>
        </w:rPr>
        <w:t>État partie devrait mener systématiquement des enquêtes approfondies sur ces actes, poursuivre les responsables présumés en justice et, s</w:t>
      </w:r>
      <w:r w:rsidR="00A24C87" w:rsidRPr="00865EA1">
        <w:rPr>
          <w:i/>
        </w:rPr>
        <w:t>’</w:t>
      </w:r>
      <w:r w:rsidRPr="00865EA1">
        <w:rPr>
          <w:i/>
        </w:rPr>
        <w:t>ils sont reconnus coupables, les condamner à des peines proportionnées à la gravité des faits et accorder une indemnisation appropriée aux victimes et à leur famille. Il devrait développer et étoffer les programmes d</w:t>
      </w:r>
      <w:r w:rsidR="00A24C87" w:rsidRPr="00865EA1">
        <w:rPr>
          <w:i/>
        </w:rPr>
        <w:t>’</w:t>
      </w:r>
      <w:r w:rsidRPr="00865EA1">
        <w:rPr>
          <w:i/>
        </w:rPr>
        <w:t>enseignement des droits de l</w:t>
      </w:r>
      <w:r w:rsidR="00A24C87" w:rsidRPr="00865EA1">
        <w:rPr>
          <w:i/>
        </w:rPr>
        <w:t>’</w:t>
      </w:r>
      <w:r w:rsidRPr="00865EA1">
        <w:rPr>
          <w:i/>
        </w:rPr>
        <w:t>homme, et ceux portant en particulier sur les dispositions du Pacte, destinés aux membres des forces de sécurité. Dans son prochain rapport, l</w:t>
      </w:r>
      <w:r w:rsidR="00A24C87" w:rsidRPr="00865EA1">
        <w:rPr>
          <w:i/>
        </w:rPr>
        <w:t>’</w:t>
      </w:r>
      <w:r w:rsidRPr="00865EA1">
        <w:rPr>
          <w:i/>
        </w:rPr>
        <w:t>État partie devrait informer le Comité des suites de l</w:t>
      </w:r>
      <w:r w:rsidR="00A24C87" w:rsidRPr="00865EA1">
        <w:rPr>
          <w:i/>
        </w:rPr>
        <w:t>’</w:t>
      </w:r>
      <w:r w:rsidRPr="00865EA1">
        <w:rPr>
          <w:i/>
        </w:rPr>
        <w:t xml:space="preserve">enquête menée par le parquet de </w:t>
      </w:r>
      <w:proofErr w:type="spellStart"/>
      <w:r w:rsidRPr="00865EA1">
        <w:rPr>
          <w:i/>
        </w:rPr>
        <w:t>Kadéi</w:t>
      </w:r>
      <w:proofErr w:type="spellEnd"/>
      <w:r w:rsidRPr="00865EA1">
        <w:rPr>
          <w:i/>
        </w:rPr>
        <w:t xml:space="preserve"> concernant la mort du jeune Lamine </w:t>
      </w:r>
      <w:proofErr w:type="spellStart"/>
      <w:r w:rsidRPr="00865EA1">
        <w:rPr>
          <w:i/>
        </w:rPr>
        <w:t>Manghane</w:t>
      </w:r>
      <w:proofErr w:type="spellEnd"/>
      <w:r w:rsidRPr="00865EA1">
        <w:rPr>
          <w:i/>
        </w:rPr>
        <w:t xml:space="preserve">. </w:t>
      </w:r>
    </w:p>
    <w:p w:rsidR="00D80F06" w:rsidRPr="002D6CAB" w:rsidRDefault="00C87B7B" w:rsidP="00C87B7B">
      <w:pPr>
        <w:pStyle w:val="SingleTxtG"/>
      </w:pPr>
      <w:r w:rsidRPr="002D6CAB">
        <w:t>113.</w:t>
      </w:r>
      <w:r w:rsidRPr="002D6CAB">
        <w:tab/>
      </w:r>
      <w:r w:rsidR="00D80F06" w:rsidRPr="002D6CAB">
        <w:t>Des enquêtes approfondies sont menées systématiquement afin de poursuivre en justice toute personne présumée responsable, qui s</w:t>
      </w:r>
      <w:r w:rsidR="00A24C87">
        <w:t>’</w:t>
      </w:r>
      <w:r w:rsidR="00D80F06" w:rsidRPr="002D6CAB">
        <w:t>expose à la condamnation et la réparation des victimes. Concernant l</w:t>
      </w:r>
      <w:r w:rsidR="00A24C87">
        <w:t>’</w:t>
      </w:r>
      <w:r w:rsidR="00D80F06" w:rsidRPr="002D6CAB">
        <w:t xml:space="preserve">affaire </w:t>
      </w:r>
      <w:proofErr w:type="spellStart"/>
      <w:r w:rsidR="00D80F06" w:rsidRPr="002D6CAB">
        <w:t>Mangane</w:t>
      </w:r>
      <w:proofErr w:type="spellEnd"/>
      <w:r w:rsidR="00D80F06" w:rsidRPr="002D6CAB">
        <w:t>, une enquête judiciaire a été menée par une autorité indépendante autre que la brigade ayant fait face aux événements ; en l</w:t>
      </w:r>
      <w:r w:rsidR="00A24C87">
        <w:t>’</w:t>
      </w:r>
      <w:r w:rsidR="00D80F06" w:rsidRPr="002D6CAB">
        <w:t xml:space="preserve">occurrence la compagnie de gendarmerie nationale du </w:t>
      </w:r>
      <w:proofErr w:type="spellStart"/>
      <w:r w:rsidR="00D80F06" w:rsidRPr="002D6CAB">
        <w:t>Gorgol</w:t>
      </w:r>
      <w:proofErr w:type="spellEnd"/>
      <w:r w:rsidR="00D80F06" w:rsidRPr="002D6CAB">
        <w:t>, sous la direction du procureur de la République du ressort.</w:t>
      </w:r>
      <w:r w:rsidR="00D80F06">
        <w:t xml:space="preserve"> </w:t>
      </w:r>
      <w:r w:rsidR="00D80F06" w:rsidRPr="002D6CAB">
        <w:t>La Compagnie a déféré les conclusions de son enquête à celui-ci</w:t>
      </w:r>
      <w:r w:rsidR="00D80F06">
        <w:t xml:space="preserve"> </w:t>
      </w:r>
      <w:r w:rsidR="00D80F06" w:rsidRPr="002D6CAB">
        <w:t xml:space="preserve">qui a procédé à son classement faute de responsabilité personnelle </w:t>
      </w:r>
      <w:r w:rsidR="00D80F06" w:rsidRPr="002D6CAB">
        <w:lastRenderedPageBreak/>
        <w:t>incriminant un quelconque auteur et compte tenu de l</w:t>
      </w:r>
      <w:r w:rsidR="00A24C87">
        <w:t>’</w:t>
      </w:r>
      <w:r w:rsidR="00D80F06" w:rsidRPr="002D6CAB">
        <w:t>urgence et des conditions de légitime défense des éléments de la brigade assiégée. La famille de la victime a été indemnisée.</w:t>
      </w:r>
    </w:p>
    <w:p w:rsidR="00D80F06" w:rsidRPr="00865EA1" w:rsidRDefault="00D80F06" w:rsidP="00027EE8">
      <w:pPr>
        <w:pStyle w:val="SingleTxtG"/>
        <w:ind w:left="1701"/>
        <w:rPr>
          <w:i/>
        </w:rPr>
      </w:pPr>
      <w:r w:rsidRPr="00865EA1">
        <w:rPr>
          <w:i/>
        </w:rPr>
        <w:t>Recommandation 10</w:t>
      </w:r>
      <w:r w:rsidR="00FB29A2" w:rsidRPr="00865EA1">
        <w:rPr>
          <w:i/>
        </w:rPr>
        <w:t> :</w:t>
      </w:r>
    </w:p>
    <w:p w:rsidR="00D80F06" w:rsidRPr="00865EA1" w:rsidRDefault="00D80F06" w:rsidP="00027EE8">
      <w:pPr>
        <w:pStyle w:val="SingleTxtG"/>
        <w:ind w:left="1701"/>
        <w:rPr>
          <w:i/>
        </w:rPr>
      </w:pPr>
      <w:r w:rsidRPr="00865EA1">
        <w:rPr>
          <w:i/>
        </w:rPr>
        <w:t>L</w:t>
      </w:r>
      <w:r w:rsidR="00A24C87" w:rsidRPr="00865EA1">
        <w:rPr>
          <w:i/>
        </w:rPr>
        <w:t>’</w:t>
      </w:r>
      <w:r w:rsidRPr="00865EA1">
        <w:rPr>
          <w:i/>
        </w:rPr>
        <w:t>État partie devrait adopter une définition de la torture et incriminer clairement la torture dans le Code pénal en conformité avec l</w:t>
      </w:r>
      <w:r w:rsidR="00A24C87" w:rsidRPr="00865EA1">
        <w:rPr>
          <w:i/>
        </w:rPr>
        <w:t>’</w:t>
      </w:r>
      <w:r w:rsidRPr="00865EA1">
        <w:rPr>
          <w:i/>
        </w:rPr>
        <w:t>article premier de la Convention contre la torture et autres peines ou traitements cruels, inhumains ou dégradants et les normes internationales pertinentes. Il devrait également veiller à ce que toute enquête sur des actes de torture, de mauvais traitements ou d</w:t>
      </w:r>
      <w:r w:rsidR="00A24C87" w:rsidRPr="00865EA1">
        <w:rPr>
          <w:i/>
        </w:rPr>
        <w:t>’</w:t>
      </w:r>
      <w:r w:rsidRPr="00865EA1">
        <w:rPr>
          <w:i/>
        </w:rPr>
        <w:t>usage excessif de la force imputés à des membres de la police ou des forces de sécurité soit menée par une autorité indépendante. L</w:t>
      </w:r>
      <w:r w:rsidR="00A24C87" w:rsidRPr="00865EA1">
        <w:rPr>
          <w:i/>
        </w:rPr>
        <w:t>’</w:t>
      </w:r>
      <w:r w:rsidRPr="00865EA1">
        <w:rPr>
          <w:i/>
        </w:rPr>
        <w:t>État partie devrait, en outre, s</w:t>
      </w:r>
      <w:r w:rsidR="00A24C87" w:rsidRPr="00865EA1">
        <w:rPr>
          <w:i/>
        </w:rPr>
        <w:t>’</w:t>
      </w:r>
      <w:r w:rsidRPr="00865EA1">
        <w:rPr>
          <w:i/>
        </w:rPr>
        <w:t>assurer que les membres des forces de l</w:t>
      </w:r>
      <w:r w:rsidR="00A24C87" w:rsidRPr="00865EA1">
        <w:rPr>
          <w:i/>
        </w:rPr>
        <w:t>’</w:t>
      </w:r>
      <w:r w:rsidRPr="00865EA1">
        <w:rPr>
          <w:i/>
        </w:rPr>
        <w:t>ordre soient formés à prévenir la torture et les mauvais traitements et à enquêter sur ces infractions en veillant à ce que le Manuel pour enquêter efficacement sur la torture et autres peines ou traitements cruels, inhumains ou dégradants (Protocole d</w:t>
      </w:r>
      <w:r w:rsidR="00A24C87" w:rsidRPr="00865EA1">
        <w:rPr>
          <w:i/>
        </w:rPr>
        <w:t>’</w:t>
      </w:r>
      <w:r w:rsidRPr="00865EA1">
        <w:rPr>
          <w:i/>
        </w:rPr>
        <w:t>Istanbul) soit intégré dans tous les programmes de formation qui leur sont destinés. Il devrait par ailleurs garantir que les allégations de torture et de mauvais traitements donnent lieu à des enquêtes approfondies et impartiales, et garantir que les auteurs présumés soient traduits en justice et, s</w:t>
      </w:r>
      <w:r w:rsidR="00A24C87" w:rsidRPr="00865EA1">
        <w:rPr>
          <w:i/>
        </w:rPr>
        <w:t>’</w:t>
      </w:r>
      <w:r w:rsidRPr="00865EA1">
        <w:rPr>
          <w:i/>
        </w:rPr>
        <w:t>ils sont reconnus coupables, veiller à ce qu</w:t>
      </w:r>
      <w:r w:rsidR="00A24C87" w:rsidRPr="00865EA1">
        <w:rPr>
          <w:i/>
        </w:rPr>
        <w:t>’</w:t>
      </w:r>
      <w:r w:rsidRPr="00865EA1">
        <w:rPr>
          <w:i/>
        </w:rPr>
        <w:t>ils soient condamnés à des peines proportionnées à la gravité de leurs actes et à ce que les victimes reçoivent une indemnisation adéquate. L</w:t>
      </w:r>
      <w:r w:rsidR="00A24C87" w:rsidRPr="00865EA1">
        <w:rPr>
          <w:i/>
        </w:rPr>
        <w:t>’</w:t>
      </w:r>
      <w:r w:rsidRPr="00865EA1">
        <w:rPr>
          <w:i/>
        </w:rPr>
        <w:t xml:space="preserve">État partie devrait garantir un accès régulier à tous les lieux de privation de liberté et mettre en place le Mécanisme national de prévention contre la torture suite à sa ratification du Protocole facultatif se rapportant à la Convention contre la torture et autres peines ou traitements cruels, inhumains ou dégradants. </w:t>
      </w:r>
    </w:p>
    <w:p w:rsidR="00D80F06" w:rsidRPr="002D6CAB" w:rsidRDefault="00C87B7B" w:rsidP="00C87B7B">
      <w:pPr>
        <w:pStyle w:val="SingleTxtG"/>
      </w:pPr>
      <w:r w:rsidRPr="002D6CAB">
        <w:t>114.</w:t>
      </w:r>
      <w:r w:rsidRPr="002D6CAB">
        <w:tab/>
      </w:r>
      <w:r w:rsidR="00D80F06" w:rsidRPr="002D6CAB">
        <w:t>La Mauritanie a adhéré le 17 novembre 2004 à la Convention sur la torture et autres peines ou traitements cruels, inhumains ou dégradants et son protocole facultatif. L</w:t>
      </w:r>
      <w:r w:rsidR="00A24C87">
        <w:t>’</w:t>
      </w:r>
      <w:r w:rsidR="00D80F06" w:rsidRPr="002D6CAB">
        <w:t>application de ces deux instruments a été traduite par l</w:t>
      </w:r>
      <w:r w:rsidR="00A24C87">
        <w:t>’</w:t>
      </w:r>
      <w:r w:rsidR="00D80F06" w:rsidRPr="002D6CAB">
        <w:t>adoption de la loi</w:t>
      </w:r>
      <w:r w:rsidR="00D80F06">
        <w:t xml:space="preserve"> </w:t>
      </w:r>
      <w:r w:rsidR="00D80F06" w:rsidRPr="002D6CAB">
        <w:t>incriminant la torture et la loi portant création d</w:t>
      </w:r>
      <w:r w:rsidR="00A24C87">
        <w:t>’</w:t>
      </w:r>
      <w:r w:rsidR="00D80F06" w:rsidRPr="002D6CAB">
        <w:t xml:space="preserve">un Mécanisme National de Prévention de la Torture (MNP). </w:t>
      </w:r>
    </w:p>
    <w:p w:rsidR="00D80F06" w:rsidRPr="002D6CAB" w:rsidRDefault="00C87B7B" w:rsidP="00C87B7B">
      <w:pPr>
        <w:pStyle w:val="SingleTxtG"/>
      </w:pPr>
      <w:r w:rsidRPr="002D6CAB">
        <w:t>115.</w:t>
      </w:r>
      <w:r w:rsidRPr="002D6CAB">
        <w:tab/>
      </w:r>
      <w:r w:rsidR="00D80F06" w:rsidRPr="002D6CAB">
        <w:t>La loi incriminant la torture la réprime en tant que crime</w:t>
      </w:r>
      <w:r w:rsidR="00D80F06">
        <w:t xml:space="preserve"> </w:t>
      </w:r>
      <w:r w:rsidR="00D80F06" w:rsidRPr="002D6CAB">
        <w:t>contre l</w:t>
      </w:r>
      <w:r w:rsidR="00A24C87">
        <w:t>’</w:t>
      </w:r>
      <w:r w:rsidR="00D80F06" w:rsidRPr="002D6CAB">
        <w:t>humanité conformément aux dispositions constitutionnelles. Elle définit la torture en prenant en considération son caractère de crime imprescriptible</w:t>
      </w:r>
      <w:r w:rsidR="00D80F06">
        <w:t xml:space="preserve"> </w:t>
      </w:r>
      <w:r w:rsidR="00D80F06" w:rsidRPr="002D6CAB">
        <w:t>afin de prévoir la sanction adéquate. Elle intègre les dispositions</w:t>
      </w:r>
      <w:r w:rsidR="00D80F06">
        <w:t xml:space="preserve"> </w:t>
      </w:r>
      <w:r w:rsidR="00D80F06" w:rsidRPr="002D6CAB">
        <w:t>de la Convention sur la torture et la réparation due aux victimes.</w:t>
      </w:r>
    </w:p>
    <w:p w:rsidR="00D80F06" w:rsidRPr="002D6CAB" w:rsidRDefault="00C87B7B" w:rsidP="00C87B7B">
      <w:pPr>
        <w:pStyle w:val="SingleTxtG"/>
      </w:pPr>
      <w:r w:rsidRPr="002D6CAB">
        <w:t>116.</w:t>
      </w:r>
      <w:r w:rsidRPr="002D6CAB">
        <w:tab/>
      </w:r>
      <w:r w:rsidR="00D80F06" w:rsidRPr="002D6CAB">
        <w:t>La loi définit la terminologie permettant</w:t>
      </w:r>
      <w:r w:rsidR="00D80F06">
        <w:t xml:space="preserve"> </w:t>
      </w:r>
      <w:r w:rsidR="00D80F06" w:rsidRPr="002D6CAB">
        <w:t>aux autorités judiciaires</w:t>
      </w:r>
      <w:r w:rsidR="00D80F06">
        <w:t xml:space="preserve"> </w:t>
      </w:r>
      <w:r w:rsidR="00D80F06" w:rsidRPr="002D6CAB">
        <w:t>de lutter contre la torture. Elle consacre sa prévention à travers</w:t>
      </w:r>
      <w:r w:rsidR="00D80F06">
        <w:t xml:space="preserve"> </w:t>
      </w:r>
      <w:r w:rsidR="00D80F06" w:rsidRPr="002D6CAB">
        <w:t>les garantie</w:t>
      </w:r>
      <w:r w:rsidR="00D80F06">
        <w:t>s concernant</w:t>
      </w:r>
      <w:r w:rsidR="00FB29A2">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La privation de liberté</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w:t>
      </w:r>
      <w:r w:rsidR="00A24C87">
        <w:t>’</w:t>
      </w:r>
      <w:r w:rsidR="0022553A" w:rsidRPr="002D6CAB">
        <w:t>interdiction de la détention illégale</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La valeur de la déclaration sous la torture</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w:t>
      </w:r>
      <w:r w:rsidR="00A24C87">
        <w:t>’</w:t>
      </w:r>
      <w:r w:rsidR="0022553A" w:rsidRPr="002D6CAB">
        <w:t>enseignement de l</w:t>
      </w:r>
      <w:r w:rsidR="00A24C87">
        <w:t>’</w:t>
      </w:r>
      <w:r w:rsidR="0022553A" w:rsidRPr="002D6CAB">
        <w:t>interdiction de la torture</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Le contrôle</w:t>
      </w:r>
      <w:r w:rsidR="00D80F06" w:rsidRPr="002D6CAB">
        <w:t xml:space="preserve"> de la détention.</w:t>
      </w:r>
    </w:p>
    <w:p w:rsidR="00D80F06" w:rsidRPr="002D6CAB" w:rsidRDefault="00C87B7B" w:rsidP="00C87B7B">
      <w:pPr>
        <w:pStyle w:val="SingleTxtG"/>
      </w:pPr>
      <w:r w:rsidRPr="002D6CAB">
        <w:t>117.</w:t>
      </w:r>
      <w:r w:rsidRPr="002D6CAB">
        <w:tab/>
      </w:r>
      <w:r w:rsidR="00D80F06" w:rsidRPr="002D6CAB">
        <w:t>Elle sanctionne la torture en imposant l</w:t>
      </w:r>
      <w:r w:rsidR="00A24C87">
        <w:t>’</w:t>
      </w:r>
      <w:r w:rsidR="00D80F06" w:rsidRPr="002D6CAB">
        <w:t>enquête impartiale systématique</w:t>
      </w:r>
      <w:r w:rsidR="00D80F06">
        <w:t xml:space="preserve"> </w:t>
      </w:r>
      <w:r w:rsidR="00D80F06" w:rsidRPr="002D6CAB">
        <w:t>en cas d</w:t>
      </w:r>
      <w:r w:rsidR="00A24C87">
        <w:t>’</w:t>
      </w:r>
      <w:r w:rsidR="00D80F06" w:rsidRPr="002D6CAB">
        <w:t>allégation, définit la peine encourue et les circonstances aggravantes, interdit la détention au secret et n</w:t>
      </w:r>
      <w:r w:rsidR="00A24C87">
        <w:t>’</w:t>
      </w:r>
      <w:r w:rsidR="00D80F06" w:rsidRPr="002D6CAB">
        <w:t xml:space="preserve">admet aucune justification de la torture. </w:t>
      </w:r>
    </w:p>
    <w:p w:rsidR="00D80F06" w:rsidRPr="002D6CAB" w:rsidRDefault="00C87B7B" w:rsidP="00C87B7B">
      <w:pPr>
        <w:pStyle w:val="SingleTxtG"/>
      </w:pPr>
      <w:r w:rsidRPr="002D6CAB">
        <w:t>118.</w:t>
      </w:r>
      <w:r w:rsidRPr="002D6CAB">
        <w:tab/>
      </w:r>
      <w:r w:rsidR="00D80F06" w:rsidRPr="002D6CAB">
        <w:t>La compétence juridictionnelle, le refus d</w:t>
      </w:r>
      <w:r w:rsidR="00A24C87">
        <w:t>’</w:t>
      </w:r>
      <w:r w:rsidR="00D80F06" w:rsidRPr="002D6CAB">
        <w:t>extradition pour risque de torture et l</w:t>
      </w:r>
      <w:r w:rsidR="00A24C87">
        <w:t>’</w:t>
      </w:r>
      <w:r w:rsidR="00D80F06" w:rsidRPr="002D6CAB">
        <w:t>assistance mutuelle en matière judiciaire y sont organisés pour rendre efficace l</w:t>
      </w:r>
      <w:r w:rsidR="00A24C87">
        <w:t>’</w:t>
      </w:r>
      <w:r w:rsidR="00D80F06" w:rsidRPr="002D6CAB">
        <w:t>action des pouvoirs publics contre la torture.</w:t>
      </w:r>
    </w:p>
    <w:p w:rsidR="00D80F06" w:rsidRPr="002D6CAB" w:rsidRDefault="00C87B7B" w:rsidP="00C87B7B">
      <w:pPr>
        <w:pStyle w:val="SingleTxtG"/>
      </w:pPr>
      <w:r w:rsidRPr="002D6CAB">
        <w:t>119.</w:t>
      </w:r>
      <w:r w:rsidRPr="002D6CAB">
        <w:tab/>
      </w:r>
      <w:r w:rsidR="00D80F06" w:rsidRPr="002D6CAB">
        <w:t>La protection et l</w:t>
      </w:r>
      <w:r w:rsidR="00A24C87">
        <w:t>’</w:t>
      </w:r>
      <w:r w:rsidR="00D80F06" w:rsidRPr="002D6CAB">
        <w:t>assistance</w:t>
      </w:r>
      <w:r w:rsidR="00D80F06">
        <w:t xml:space="preserve"> </w:t>
      </w:r>
      <w:r w:rsidR="00D80F06" w:rsidRPr="002D6CAB">
        <w:t>aux</w:t>
      </w:r>
      <w:r w:rsidR="00D80F06">
        <w:t xml:space="preserve"> </w:t>
      </w:r>
      <w:r w:rsidR="00D80F06" w:rsidRPr="002D6CAB">
        <w:t>victimes de la</w:t>
      </w:r>
      <w:r w:rsidR="00D80F06">
        <w:t xml:space="preserve"> </w:t>
      </w:r>
      <w:r w:rsidR="00D80F06" w:rsidRPr="002D6CAB">
        <w:t>torture, des témoins ou personnes chargées de l</w:t>
      </w:r>
      <w:r w:rsidR="00A24C87">
        <w:t>’</w:t>
      </w:r>
      <w:r w:rsidR="00D80F06" w:rsidRPr="002D6CAB">
        <w:t>enquête ainsi que de leurs familles sont organisées</w:t>
      </w:r>
      <w:r w:rsidR="00D80F06">
        <w:t xml:space="preserve"> </w:t>
      </w:r>
      <w:r w:rsidR="00D80F06" w:rsidRPr="002D6CAB">
        <w:t>et la réparation due aux victimes.</w:t>
      </w:r>
    </w:p>
    <w:p w:rsidR="00D80F06" w:rsidRPr="002D6CAB" w:rsidRDefault="00C87B7B" w:rsidP="00C87B7B">
      <w:pPr>
        <w:pStyle w:val="SingleTxtG"/>
      </w:pPr>
      <w:r w:rsidRPr="002D6CAB">
        <w:t>120.</w:t>
      </w:r>
      <w:r w:rsidRPr="002D6CAB">
        <w:tab/>
      </w:r>
      <w:r w:rsidR="00D80F06" w:rsidRPr="002D6CAB">
        <w:t>Tous les lieux de privation de liberté que ce soit en garde à vue, en détention préventive ou en application de peine sont soumis aux visites, y compris inopinées</w:t>
      </w:r>
      <w:r w:rsidR="00D80F06">
        <w:t xml:space="preserve"> </w:t>
      </w:r>
      <w:r w:rsidR="00D80F06" w:rsidRPr="002D6CAB">
        <w:t xml:space="preserve">du </w:t>
      </w:r>
      <w:r w:rsidR="00D80F06" w:rsidRPr="002D6CAB">
        <w:lastRenderedPageBreak/>
        <w:t>MNP, de la CNDH et de tout autre organe habileté à effectuer des visites en prison notamment les représentants du Ministère Public, les juges d</w:t>
      </w:r>
      <w:r w:rsidR="00A24C87">
        <w:t>’</w:t>
      </w:r>
      <w:r w:rsidR="00D80F06" w:rsidRPr="002D6CAB">
        <w:t>instruction, les juges de l</w:t>
      </w:r>
      <w:r w:rsidR="00A24C87">
        <w:t>’</w:t>
      </w:r>
      <w:r w:rsidR="00D80F06" w:rsidRPr="002D6CAB">
        <w:t>application des peines, les présidents des chambres d</w:t>
      </w:r>
      <w:r w:rsidR="00A24C87">
        <w:t>’</w:t>
      </w:r>
      <w:r w:rsidR="00D80F06" w:rsidRPr="002D6CAB">
        <w:t>accusation mais aussi des acteurs de la société civile conformément au cadre juridique.</w:t>
      </w:r>
    </w:p>
    <w:p w:rsidR="00D80F06" w:rsidRPr="002D6CAB" w:rsidRDefault="00C87B7B" w:rsidP="00C87B7B">
      <w:pPr>
        <w:pStyle w:val="SingleTxtG"/>
      </w:pPr>
      <w:r w:rsidRPr="002D6CAB">
        <w:t>121.</w:t>
      </w:r>
      <w:r w:rsidRPr="002D6CAB">
        <w:tab/>
      </w:r>
      <w:r w:rsidR="00D80F06" w:rsidRPr="002D6CAB">
        <w:t>La loi sur la prévention et l</w:t>
      </w:r>
      <w:r w:rsidR="00A24C87">
        <w:t>’</w:t>
      </w:r>
      <w:r w:rsidR="00D80F06" w:rsidRPr="002D6CAB">
        <w:t>incrimination de la torture consacre la formation des acteurs impliqués dans la prévention et la lutte contre la torture. Plusieurs actions de formation en faveur de magistrats, officiers de police judiciaire, gardes pénitenciers, avocats, ont eu lieu en partenariat avec le MNP, la CNDH, et des PTF et OSC.</w:t>
      </w:r>
    </w:p>
    <w:p w:rsidR="00D80F06" w:rsidRPr="002D6CAB" w:rsidRDefault="00C87B7B" w:rsidP="00C87B7B">
      <w:pPr>
        <w:pStyle w:val="SingleTxtG"/>
      </w:pPr>
      <w:r w:rsidRPr="002D6CAB">
        <w:t>122.</w:t>
      </w:r>
      <w:r w:rsidRPr="002D6CAB">
        <w:tab/>
      </w:r>
      <w:r w:rsidR="00D80F06" w:rsidRPr="002D6CAB">
        <w:t>L</w:t>
      </w:r>
      <w:r w:rsidR="00A24C87">
        <w:t>’</w:t>
      </w:r>
      <w:r w:rsidR="00D80F06" w:rsidRPr="002D6CAB">
        <w:t>enseignement des droits humains et de la prévention et de la lutte contre la torture fait désormais partie du cursus de la formation initiale des écoles (police, garde, ENAJM).</w:t>
      </w:r>
    </w:p>
    <w:p w:rsidR="00D80F06" w:rsidRPr="00865EA1" w:rsidRDefault="00D80F06" w:rsidP="00027EE8">
      <w:pPr>
        <w:pStyle w:val="SingleTxtG"/>
        <w:ind w:left="1701"/>
        <w:rPr>
          <w:i/>
        </w:rPr>
      </w:pPr>
      <w:r w:rsidRPr="00865EA1">
        <w:rPr>
          <w:i/>
        </w:rPr>
        <w:t>Recommandation 11</w:t>
      </w:r>
      <w:r w:rsidR="00FB29A2" w:rsidRPr="00865EA1">
        <w:rPr>
          <w:i/>
        </w:rPr>
        <w:t> :</w:t>
      </w:r>
    </w:p>
    <w:p w:rsidR="00D80F06" w:rsidRPr="00865EA1" w:rsidRDefault="00D80F06" w:rsidP="00027EE8">
      <w:pPr>
        <w:pStyle w:val="SingleTxtG"/>
        <w:ind w:left="1701"/>
        <w:rPr>
          <w:i/>
        </w:rPr>
      </w:pPr>
      <w:r w:rsidRPr="00865EA1">
        <w:rPr>
          <w:i/>
        </w:rPr>
        <w:t>L</w:t>
      </w:r>
      <w:r w:rsidR="00A24C87" w:rsidRPr="00865EA1">
        <w:rPr>
          <w:i/>
        </w:rPr>
        <w:t>’</w:t>
      </w:r>
      <w:r w:rsidRPr="00865EA1">
        <w:rPr>
          <w:i/>
        </w:rPr>
        <w:t>État partie devrait s</w:t>
      </w:r>
      <w:r w:rsidR="00A24C87" w:rsidRPr="00865EA1">
        <w:rPr>
          <w:i/>
        </w:rPr>
        <w:t>’</w:t>
      </w:r>
      <w:r w:rsidRPr="00865EA1">
        <w:rPr>
          <w:i/>
        </w:rPr>
        <w:t>assurer que des aveux obtenus sous la contrainte ne soient pas utilisés ou admis par les tribunaux comme preuve de la culpabilité des suspects. En ce sens, l</w:t>
      </w:r>
      <w:r w:rsidR="00A24C87" w:rsidRPr="00865EA1">
        <w:rPr>
          <w:i/>
        </w:rPr>
        <w:t>’</w:t>
      </w:r>
      <w:r w:rsidRPr="00865EA1">
        <w:rPr>
          <w:i/>
        </w:rPr>
        <w:t>État partie devrait assurer une application effective de son Code de procédure pénale qui dispose que «</w:t>
      </w:r>
      <w:r w:rsidR="002A7AE0" w:rsidRPr="00865EA1">
        <w:rPr>
          <w:i/>
        </w:rPr>
        <w:t> </w:t>
      </w:r>
      <w:r w:rsidRPr="00865EA1">
        <w:rPr>
          <w:i/>
        </w:rPr>
        <w:t>l</w:t>
      </w:r>
      <w:r w:rsidR="00A24C87" w:rsidRPr="00865EA1">
        <w:rPr>
          <w:i/>
        </w:rPr>
        <w:t>’</w:t>
      </w:r>
      <w:r w:rsidRPr="00865EA1">
        <w:rPr>
          <w:i/>
        </w:rPr>
        <w:t>aveu obtenu par la torture, la violence ou la contrainte, n</w:t>
      </w:r>
      <w:r w:rsidR="00A24C87" w:rsidRPr="00865EA1">
        <w:rPr>
          <w:i/>
        </w:rPr>
        <w:t>’</w:t>
      </w:r>
      <w:r w:rsidRPr="00865EA1">
        <w:rPr>
          <w:i/>
        </w:rPr>
        <w:t>a pas de valeur</w:t>
      </w:r>
      <w:r w:rsidR="002A7AE0" w:rsidRPr="00865EA1">
        <w:rPr>
          <w:i/>
        </w:rPr>
        <w:t> </w:t>
      </w:r>
      <w:r w:rsidRPr="00865EA1">
        <w:rPr>
          <w:i/>
        </w:rPr>
        <w:t xml:space="preserve">». </w:t>
      </w:r>
    </w:p>
    <w:p w:rsidR="00D80F06" w:rsidRPr="002D6CAB" w:rsidRDefault="00C87B7B" w:rsidP="00C87B7B">
      <w:pPr>
        <w:pStyle w:val="SingleTxtG"/>
      </w:pPr>
      <w:r w:rsidRPr="002D6CAB">
        <w:t>123.</w:t>
      </w:r>
      <w:r w:rsidRPr="002D6CAB">
        <w:tab/>
      </w:r>
      <w:r w:rsidR="00D80F06" w:rsidRPr="002D6CAB">
        <w:t>Le principe de non validité de l</w:t>
      </w:r>
      <w:r w:rsidR="00A24C87">
        <w:t>’</w:t>
      </w:r>
      <w:r w:rsidR="00D80F06" w:rsidRPr="002D6CAB">
        <w:t>aveu obtenu sous la violence ou la contrainte</w:t>
      </w:r>
      <w:r w:rsidR="00D80F06">
        <w:t xml:space="preserve"> </w:t>
      </w:r>
      <w:r w:rsidR="00D80F06" w:rsidRPr="002D6CAB">
        <w:t>consacré par le Code de procédure pénale</w:t>
      </w:r>
      <w:r w:rsidR="00D80F06">
        <w:t xml:space="preserve"> </w:t>
      </w:r>
      <w:r w:rsidR="00D80F06" w:rsidRPr="002D6CAB">
        <w:t>est d</w:t>
      </w:r>
      <w:r w:rsidR="00A24C87">
        <w:t>’</w:t>
      </w:r>
      <w:r w:rsidR="00D80F06" w:rsidRPr="002D6CAB">
        <w:t>application effective.</w:t>
      </w:r>
      <w:r w:rsidR="00D80F06">
        <w:t xml:space="preserve"> </w:t>
      </w:r>
      <w:r w:rsidR="00D80F06" w:rsidRPr="002D6CAB">
        <w:t>La cour criminelle de Nouakchott, a simplement annulé le procès-verbal d</w:t>
      </w:r>
      <w:r w:rsidR="00A24C87">
        <w:t>’</w:t>
      </w:r>
      <w:r w:rsidR="00D80F06" w:rsidRPr="002D6CAB">
        <w:t>enquête préliminaire dans une affaire de terrorisme, au motif de l</w:t>
      </w:r>
      <w:r w:rsidR="00A24C87">
        <w:t>’</w:t>
      </w:r>
      <w:r w:rsidR="00D80F06" w:rsidRPr="002D6CAB">
        <w:t>existence des présomptions fortes que les déclarations de l</w:t>
      </w:r>
      <w:r w:rsidR="00A24C87">
        <w:t>’</w:t>
      </w:r>
      <w:r w:rsidR="00D80F06" w:rsidRPr="002D6CAB">
        <w:t xml:space="preserve">accusé sont obtenues sous la violence ou la contrainte (jugement </w:t>
      </w:r>
      <w:r w:rsidR="00E53A57" w:rsidRPr="002D6CAB">
        <w:t>n</w:t>
      </w:r>
      <w:r w:rsidR="00E53A57" w:rsidRPr="00BD5B0E">
        <w:rPr>
          <w:vertAlign w:val="superscript"/>
        </w:rPr>
        <w:t>o</w:t>
      </w:r>
      <w:r w:rsidR="00E53A57">
        <w:t> </w:t>
      </w:r>
      <w:r w:rsidR="00D80F06" w:rsidRPr="002D6CAB">
        <w:t xml:space="preserve">128 du 31 juillet 2007, affaire </w:t>
      </w:r>
      <w:r w:rsidR="00E53A57" w:rsidRPr="002D6CAB">
        <w:t>n</w:t>
      </w:r>
      <w:r w:rsidR="00E53A57" w:rsidRPr="00BD5B0E">
        <w:rPr>
          <w:vertAlign w:val="superscript"/>
        </w:rPr>
        <w:t>o</w:t>
      </w:r>
      <w:r w:rsidR="00E53A57">
        <w:t> </w:t>
      </w:r>
      <w:r w:rsidR="00D80F06" w:rsidRPr="002D6CAB">
        <w:t>051RP2006). Aussi, la cour d</w:t>
      </w:r>
      <w:r w:rsidR="00A24C87">
        <w:t>’</w:t>
      </w:r>
      <w:r w:rsidR="00D80F06" w:rsidRPr="002D6CAB">
        <w:t>appel de Nouakchott a après expertise dans une affaire de trafic de stupéfiants et substances psychotropes, rejeté les déclarations d</w:t>
      </w:r>
      <w:r w:rsidR="00A24C87">
        <w:t>’</w:t>
      </w:r>
      <w:r w:rsidR="00D80F06" w:rsidRPr="002D6CAB">
        <w:t xml:space="preserve">un accusé au moins, au motif que ses aveux étaient arrachés sous violence ou contrainte (arrêt </w:t>
      </w:r>
      <w:r w:rsidR="00E53A57" w:rsidRPr="002D6CAB">
        <w:t>n</w:t>
      </w:r>
      <w:r w:rsidR="00E53A57" w:rsidRPr="00BD5B0E">
        <w:rPr>
          <w:vertAlign w:val="superscript"/>
        </w:rPr>
        <w:t>o</w:t>
      </w:r>
      <w:r w:rsidR="00E53A57">
        <w:t> </w:t>
      </w:r>
      <w:r w:rsidR="00D80F06" w:rsidRPr="002D6CAB">
        <w:t xml:space="preserve">102/2016 du 29/08/2016, affaire </w:t>
      </w:r>
      <w:r w:rsidR="00E53A57" w:rsidRPr="002D6CAB">
        <w:t>n</w:t>
      </w:r>
      <w:r w:rsidR="00E53A57" w:rsidRPr="00BD5B0E">
        <w:rPr>
          <w:vertAlign w:val="superscript"/>
        </w:rPr>
        <w:t>o</w:t>
      </w:r>
      <w:r w:rsidR="00E53A57">
        <w:t> </w:t>
      </w:r>
      <w:r w:rsidR="00D80F06" w:rsidRPr="002D6CAB">
        <w:t xml:space="preserve">0101/RP/2016). </w:t>
      </w:r>
    </w:p>
    <w:p w:rsidR="00D80F06" w:rsidRPr="00865EA1" w:rsidRDefault="00D80F06" w:rsidP="00027EE8">
      <w:pPr>
        <w:pStyle w:val="SingleTxtG"/>
        <w:ind w:left="1701"/>
        <w:rPr>
          <w:i/>
        </w:rPr>
      </w:pPr>
      <w:r w:rsidRPr="00865EA1">
        <w:rPr>
          <w:i/>
        </w:rPr>
        <w:t>Recommandation 12</w:t>
      </w:r>
      <w:r w:rsidR="00FB29A2" w:rsidRPr="00865EA1">
        <w:rPr>
          <w:i/>
        </w:rPr>
        <w:t> :</w:t>
      </w:r>
    </w:p>
    <w:p w:rsidR="00D80F06" w:rsidRPr="00865EA1" w:rsidRDefault="00D80F06" w:rsidP="00027EE8">
      <w:pPr>
        <w:pStyle w:val="SingleTxtG"/>
        <w:ind w:left="1701"/>
        <w:rPr>
          <w:i/>
        </w:rPr>
      </w:pPr>
      <w:r w:rsidRPr="00865EA1">
        <w:rPr>
          <w:i/>
        </w:rPr>
        <w:t>L</w:t>
      </w:r>
      <w:r w:rsidR="00A24C87" w:rsidRPr="00865EA1">
        <w:rPr>
          <w:i/>
        </w:rPr>
        <w:t>’</w:t>
      </w:r>
      <w:r w:rsidRPr="00865EA1">
        <w:rPr>
          <w:i/>
        </w:rPr>
        <w:t>État partie devrait prendre des mesures concrètes pour mettre fin à la pratique des châtiments corporels en toutes circonstances. Il devrait encourager l</w:t>
      </w:r>
      <w:r w:rsidR="00A24C87" w:rsidRPr="00865EA1">
        <w:rPr>
          <w:i/>
        </w:rPr>
        <w:t>’</w:t>
      </w:r>
      <w:r w:rsidRPr="00865EA1">
        <w:rPr>
          <w:i/>
        </w:rPr>
        <w:t>utilisation des méthodes disciplinaires non violentes pour remplacer les châtiments corporels et mener des campagnes d</w:t>
      </w:r>
      <w:r w:rsidR="00A24C87" w:rsidRPr="00865EA1">
        <w:rPr>
          <w:i/>
        </w:rPr>
        <w:t>’</w:t>
      </w:r>
      <w:r w:rsidRPr="00865EA1">
        <w:rPr>
          <w:i/>
        </w:rPr>
        <w:t>information afin de sensibiliser le public aux conséquences préjudiciables de ce type de violence.</w:t>
      </w:r>
    </w:p>
    <w:p w:rsidR="00D80F06" w:rsidRPr="002D6CAB" w:rsidRDefault="00C87B7B" w:rsidP="00C87B7B">
      <w:pPr>
        <w:pStyle w:val="SingleTxtG"/>
      </w:pPr>
      <w:r w:rsidRPr="002D6CAB">
        <w:t>124.</w:t>
      </w:r>
      <w:r w:rsidRPr="002D6CAB">
        <w:tab/>
      </w:r>
      <w:r w:rsidR="00D80F06" w:rsidRPr="002D6CAB">
        <w:t>La création d</w:t>
      </w:r>
      <w:r w:rsidR="00A24C87">
        <w:t>’</w:t>
      </w:r>
      <w:r w:rsidR="00D80F06" w:rsidRPr="002D6CAB">
        <w:t>une brigade des mineurs au sein de la police</w:t>
      </w:r>
      <w:r w:rsidR="00D80F06">
        <w:t xml:space="preserve"> </w:t>
      </w:r>
      <w:r w:rsidR="00D80F06" w:rsidRPr="002D6CAB">
        <w:t>chargée des</w:t>
      </w:r>
      <w:r w:rsidR="00D80F06">
        <w:t xml:space="preserve"> </w:t>
      </w:r>
      <w:r w:rsidR="00D80F06" w:rsidRPr="002D6CAB">
        <w:t>enquêtes concernant la prostitution infantile, la traite des enfants, les abus commis sur les enfants a amélioré les capacités d</w:t>
      </w:r>
      <w:r w:rsidR="00A24C87">
        <w:t>’</w:t>
      </w:r>
      <w:r w:rsidR="00D80F06" w:rsidRPr="002D6CAB">
        <w:t>enquêter sur de tels crimes. Il n</w:t>
      </w:r>
      <w:r w:rsidR="00A24C87">
        <w:t>’</w:t>
      </w:r>
      <w:r w:rsidR="00D80F06" w:rsidRPr="002D6CAB">
        <w:t>y a plus, depuis sa création, de cas d</w:t>
      </w:r>
      <w:r w:rsidR="00A24C87">
        <w:t>’</w:t>
      </w:r>
      <w:r w:rsidR="00D80F06" w:rsidRPr="002D6CAB">
        <w:t xml:space="preserve">abus et de traite identifiés et traduits en justice. </w:t>
      </w:r>
    </w:p>
    <w:p w:rsidR="00D80F06" w:rsidRPr="002D6CAB" w:rsidRDefault="00C87B7B" w:rsidP="00C87B7B">
      <w:pPr>
        <w:pStyle w:val="SingleTxtG"/>
      </w:pPr>
      <w:r w:rsidRPr="002D6CAB">
        <w:t>125.</w:t>
      </w:r>
      <w:r w:rsidRPr="002D6CAB">
        <w:tab/>
      </w:r>
      <w:r w:rsidR="00D80F06" w:rsidRPr="002D6CAB">
        <w:t>Un arrêté portant règlement intérieur des établissements scolaires</w:t>
      </w:r>
      <w:r w:rsidR="00D80F06">
        <w:t xml:space="preserve"> </w:t>
      </w:r>
      <w:r w:rsidR="00D80F06" w:rsidRPr="002D6CAB">
        <w:t>interdit tout châtiment corporel en milieu scolaire.</w:t>
      </w:r>
      <w:r w:rsidR="00D80F06">
        <w:t xml:space="preserve"> </w:t>
      </w:r>
      <w:r w:rsidR="00D80F06" w:rsidRPr="002D6CAB">
        <w:t>Quel que soit le lieu où l</w:t>
      </w:r>
      <w:r w:rsidR="00A24C87">
        <w:t>’</w:t>
      </w:r>
      <w:r w:rsidR="00D80F06" w:rsidRPr="002D6CAB">
        <w:t>enfant a subi la violence, l</w:t>
      </w:r>
      <w:r w:rsidR="00A24C87">
        <w:t>’</w:t>
      </w:r>
      <w:r w:rsidR="00D80F06" w:rsidRPr="002D6CAB">
        <w:t>Ordonnance portant Protection Pénale des Enfants (OPPE) est applicable dès que les</w:t>
      </w:r>
      <w:r w:rsidR="00D80F06">
        <w:t xml:space="preserve"> </w:t>
      </w:r>
      <w:r w:rsidR="00D80F06" w:rsidRPr="002D6CAB">
        <w:t>juridictions sont saisies. L</w:t>
      </w:r>
      <w:r w:rsidR="00A24C87">
        <w:t>’</w:t>
      </w:r>
      <w:r w:rsidR="00D80F06" w:rsidRPr="002D6CAB">
        <w:t>OPPE interdit de porter atteinte à l</w:t>
      </w:r>
      <w:r w:rsidR="00A24C87">
        <w:t>’</w:t>
      </w:r>
      <w:r w:rsidR="00D80F06" w:rsidRPr="002D6CAB">
        <w:t>intégrité physique de l</w:t>
      </w:r>
      <w:r w:rsidR="00A24C87">
        <w:t>’</w:t>
      </w:r>
      <w:r w:rsidR="00D80F06" w:rsidRPr="002D6CAB">
        <w:t xml:space="preserve">enfant. </w:t>
      </w:r>
    </w:p>
    <w:p w:rsidR="00D80F06" w:rsidRPr="00865EA1" w:rsidRDefault="00D80F06" w:rsidP="00027EE8">
      <w:pPr>
        <w:pStyle w:val="SingleTxtG"/>
        <w:ind w:left="1701"/>
        <w:rPr>
          <w:i/>
        </w:rPr>
      </w:pPr>
      <w:r w:rsidRPr="00865EA1">
        <w:rPr>
          <w:i/>
        </w:rPr>
        <w:t>Recommandation 13</w:t>
      </w:r>
      <w:r w:rsidR="00FB29A2" w:rsidRPr="00865EA1">
        <w:rPr>
          <w:i/>
        </w:rPr>
        <w:t> :</w:t>
      </w:r>
    </w:p>
    <w:p w:rsidR="00D80F06" w:rsidRPr="00865EA1" w:rsidRDefault="00D80F06" w:rsidP="00027EE8">
      <w:pPr>
        <w:pStyle w:val="SingleTxtG"/>
        <w:ind w:left="1701"/>
        <w:rPr>
          <w:i/>
        </w:rPr>
      </w:pPr>
      <w:r w:rsidRPr="00865EA1">
        <w:rPr>
          <w:i/>
        </w:rPr>
        <w:t>L</w:t>
      </w:r>
      <w:r w:rsidR="00A24C87" w:rsidRPr="00865EA1">
        <w:rPr>
          <w:i/>
        </w:rPr>
        <w:t>’</w:t>
      </w:r>
      <w:r w:rsidRPr="00865EA1">
        <w:rPr>
          <w:i/>
        </w:rPr>
        <w:t>État partie devrait veiller à une application effective de sa législation incriminant l</w:t>
      </w:r>
      <w:r w:rsidR="00A24C87" w:rsidRPr="00865EA1">
        <w:rPr>
          <w:i/>
        </w:rPr>
        <w:t>’</w:t>
      </w:r>
      <w:r w:rsidRPr="00865EA1">
        <w:rPr>
          <w:i/>
        </w:rPr>
        <w:t>esclavage et garantir des recours efficaces aux victimes d</w:t>
      </w:r>
      <w:r w:rsidR="00A24C87" w:rsidRPr="00865EA1">
        <w:rPr>
          <w:i/>
        </w:rPr>
        <w:t>’</w:t>
      </w:r>
      <w:r w:rsidRPr="00865EA1">
        <w:rPr>
          <w:i/>
        </w:rPr>
        <w:t>esclavage ayant déposé plainte. L</w:t>
      </w:r>
      <w:r w:rsidR="00A24C87" w:rsidRPr="00865EA1">
        <w:rPr>
          <w:i/>
        </w:rPr>
        <w:t>’</w:t>
      </w:r>
      <w:r w:rsidRPr="00865EA1">
        <w:rPr>
          <w:i/>
        </w:rPr>
        <w:t>État partie devrait également mener des enquêtes, poursuivre de manière effective les responsables, les condamner et offrir une indemnisation et une réhabilitation aux victimes. L</w:t>
      </w:r>
      <w:r w:rsidR="00A24C87" w:rsidRPr="00865EA1">
        <w:rPr>
          <w:i/>
        </w:rPr>
        <w:t>’</w:t>
      </w:r>
      <w:r w:rsidRPr="00865EA1">
        <w:rPr>
          <w:i/>
        </w:rPr>
        <w:t>État partie devrait, enfin, accélérer le jugement des affaires pendantes; adopter et mettre en œuvre comme politique gouvernementale, la Feuille de route élaborée en collaboration avec le Bureau du Haut-Commissariat des Nations Unies aux droits de l</w:t>
      </w:r>
      <w:r w:rsidR="00A24C87" w:rsidRPr="00865EA1">
        <w:rPr>
          <w:i/>
        </w:rPr>
        <w:t>’</w:t>
      </w:r>
      <w:r w:rsidRPr="00865EA1">
        <w:rPr>
          <w:i/>
        </w:rPr>
        <w:t>homme et portant sur les recommandations de la Rapporteuse spéciale sur les formes contemporaines d</w:t>
      </w:r>
      <w:r w:rsidR="00A24C87" w:rsidRPr="00865EA1">
        <w:rPr>
          <w:i/>
        </w:rPr>
        <w:t>’</w:t>
      </w:r>
      <w:r w:rsidRPr="00865EA1">
        <w:rPr>
          <w:i/>
        </w:rPr>
        <w:t>esclavage, y compris leurs causes et leurs conséquences; et sensibiliser tous les agents d</w:t>
      </w:r>
      <w:r w:rsidR="00A24C87" w:rsidRPr="00865EA1">
        <w:rPr>
          <w:i/>
        </w:rPr>
        <w:t>’</w:t>
      </w:r>
      <w:r w:rsidRPr="00865EA1">
        <w:rPr>
          <w:i/>
        </w:rPr>
        <w:t>application de la loi ainsi que la population, y compris dans les zones rurales.</w:t>
      </w:r>
    </w:p>
    <w:p w:rsidR="00D80F06" w:rsidRPr="002D6CAB" w:rsidRDefault="00C87B7B" w:rsidP="00C87B7B">
      <w:pPr>
        <w:pStyle w:val="SingleTxtG"/>
      </w:pPr>
      <w:r w:rsidRPr="002D6CAB">
        <w:lastRenderedPageBreak/>
        <w:t>126.</w:t>
      </w:r>
      <w:r w:rsidRPr="002D6CAB">
        <w:tab/>
      </w:r>
      <w:r w:rsidR="00D80F06" w:rsidRPr="002D6CAB">
        <w:t>Le Gouvernement a adopté en 2014 une feuille de route pour l</w:t>
      </w:r>
      <w:r w:rsidR="00A24C87">
        <w:t>’</w:t>
      </w:r>
      <w:r w:rsidR="00D80F06" w:rsidRPr="002D6CAB">
        <w:t>éradication des formes contemporaines d</w:t>
      </w:r>
      <w:r w:rsidR="00A24C87">
        <w:t>’</w:t>
      </w:r>
      <w:r w:rsidR="00D80F06" w:rsidRPr="002D6CAB">
        <w:t>esclavage et</w:t>
      </w:r>
      <w:r w:rsidR="00D80F06">
        <w:t xml:space="preserve"> </w:t>
      </w:r>
      <w:r w:rsidR="00D80F06" w:rsidRPr="002D6CAB">
        <w:t>a mis en place un comité interministériel présidé par le Premier Ministre chargé de la mise œuvre des recommandations de ladite feuille de route ainsi qu</w:t>
      </w:r>
      <w:r w:rsidR="00A24C87">
        <w:t>’</w:t>
      </w:r>
      <w:r w:rsidR="00D80F06" w:rsidRPr="002D6CAB">
        <w:t xml:space="preserve">une commission technique de suivi. </w:t>
      </w:r>
    </w:p>
    <w:p w:rsidR="00D80F06" w:rsidRDefault="00C87B7B" w:rsidP="00C87B7B">
      <w:pPr>
        <w:pStyle w:val="SingleTxtG"/>
      </w:pPr>
      <w:r>
        <w:t>127.</w:t>
      </w:r>
      <w:r>
        <w:tab/>
      </w:r>
      <w:r w:rsidR="00D80F06" w:rsidRPr="002D6CAB">
        <w:t>Un plan d</w:t>
      </w:r>
      <w:r w:rsidR="00A24C87">
        <w:t>’</w:t>
      </w:r>
      <w:r w:rsidR="00D80F06" w:rsidRPr="002D6CAB">
        <w:t>actions de mise en œuvre de la feuille de route a été adopté et les principales actions ci</w:t>
      </w:r>
      <w:r w:rsidR="00653E83">
        <w:t>-</w:t>
      </w:r>
      <w:r w:rsidR="00D80F06" w:rsidRPr="002D6CAB">
        <w:t>après ont été menées</w:t>
      </w:r>
      <w:r w:rsidR="00F129A3">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 xml:space="preserve">Adoption de la loi </w:t>
      </w:r>
      <w:r w:rsidR="00A65558" w:rsidRPr="002D6CAB">
        <w:t>n</w:t>
      </w:r>
      <w:r w:rsidR="00A65558" w:rsidRPr="00BD5B0E">
        <w:rPr>
          <w:vertAlign w:val="superscript"/>
        </w:rPr>
        <w:t>o</w:t>
      </w:r>
      <w:r w:rsidR="00A65558">
        <w:t> </w:t>
      </w:r>
      <w:r w:rsidR="00D80F06" w:rsidRPr="002D6CAB">
        <w:t xml:space="preserve">2015-031 abrogeant et remplaçant la loi </w:t>
      </w:r>
      <w:r w:rsidR="00A65558" w:rsidRPr="002D6CAB">
        <w:t>n</w:t>
      </w:r>
      <w:r w:rsidR="00A65558" w:rsidRPr="00BD5B0E">
        <w:rPr>
          <w:vertAlign w:val="superscript"/>
        </w:rPr>
        <w:t>o</w:t>
      </w:r>
      <w:r w:rsidR="00A65558">
        <w:t> </w:t>
      </w:r>
      <w:r w:rsidR="00D80F06" w:rsidRPr="002D6CAB">
        <w:t>2007-048, portant incrimination de l</w:t>
      </w:r>
      <w:r w:rsidR="00A24C87">
        <w:t>’</w:t>
      </w:r>
      <w:r w:rsidR="00D80F06" w:rsidRPr="002D6CAB">
        <w:t>esclavage. L</w:t>
      </w:r>
      <w:r w:rsidR="00A24C87">
        <w:t>’</w:t>
      </w:r>
      <w:r w:rsidR="00D80F06" w:rsidRPr="002D6CAB">
        <w:t>adoption de cette loi et sa mise en œuvre concrétisent la réalisation des recommandations 1 à 6 de la feuille route pour la lutte contre les formes contemporaines de l</w:t>
      </w:r>
      <w:r w:rsidR="00A24C87">
        <w:t>’</w:t>
      </w:r>
      <w:r w:rsidR="00D80F06" w:rsidRPr="002D6CAB">
        <w:t>esclavage</w:t>
      </w:r>
      <w:r w:rsidR="00A65558">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Le parquet général près la Cour Suprême, à travers des circulaires, a rappelé aux magistrats et acteurs de la justice pénale, les directives et orientations qui conduisent la politique pénale nationale sur les aspects prioritaires de mise en mouvement de l</w:t>
      </w:r>
      <w:r w:rsidR="00A24C87">
        <w:t>’</w:t>
      </w:r>
      <w:r w:rsidR="00D80F06" w:rsidRPr="002D6CAB">
        <w:t>action publique, notamment dans les domaines de la lutte contre la criminalité financière, le terrorisme, l</w:t>
      </w:r>
      <w:r w:rsidR="00A24C87">
        <w:t>’</w:t>
      </w:r>
      <w:r w:rsidR="00D80F06" w:rsidRPr="002D6CAB">
        <w:t>esclavage et les pratiques esclavagistes, ainsi que la torture et les atteintes aux libertés et droits de l</w:t>
      </w:r>
      <w:r w:rsidR="00A24C87">
        <w:t>’</w:t>
      </w:r>
      <w:r w:rsidR="00D80F06" w:rsidRPr="002D6CAB">
        <w:t>homme</w:t>
      </w:r>
      <w:r w:rsidR="00A65558">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Le ministère public a accordé un accent particulier au traitement des affaires relatives à l</w:t>
      </w:r>
      <w:r w:rsidR="00A24C87">
        <w:t>’</w:t>
      </w:r>
      <w:r w:rsidR="00D80F06" w:rsidRPr="002D6CAB">
        <w:t>esclavage et les pratiques esclavagistes à travers la circulaire du procureur général, à l</w:t>
      </w:r>
      <w:r w:rsidR="00A24C87">
        <w:t>’</w:t>
      </w:r>
      <w:r w:rsidR="00D80F06" w:rsidRPr="002D6CAB">
        <w:t>intention des procureurs généraux et des procureurs de la République, relative à la poursuite des infractions d</w:t>
      </w:r>
      <w:r w:rsidR="00A24C87">
        <w:t>’</w:t>
      </w:r>
      <w:r w:rsidR="00D80F06" w:rsidRPr="002D6CAB">
        <w:t>esclavage et de pratiques esclavagistes de la manière la plus active</w:t>
      </w:r>
      <w:r w:rsidR="00A65558">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 xml:space="preserve">Adoption du décret </w:t>
      </w:r>
      <w:r w:rsidR="00A65558" w:rsidRPr="002D6CAB">
        <w:t>n</w:t>
      </w:r>
      <w:r w:rsidR="00A65558" w:rsidRPr="00BD5B0E">
        <w:rPr>
          <w:vertAlign w:val="superscript"/>
        </w:rPr>
        <w:t>o</w:t>
      </w:r>
      <w:r w:rsidR="00A65558">
        <w:t> </w:t>
      </w:r>
      <w:r w:rsidR="00D80F06" w:rsidRPr="002D6CAB">
        <w:t>2016-002 du 2 janvier 2016, fixant les sièges et délimitant les ressorts territoriaux de trois cours spéciales de lutte contre l</w:t>
      </w:r>
      <w:r w:rsidR="00A24C87">
        <w:t>’</w:t>
      </w:r>
      <w:r w:rsidR="00D80F06" w:rsidRPr="002D6CAB">
        <w:t>esclavage</w:t>
      </w:r>
      <w:r w:rsidR="00D67940">
        <w:t xml:space="preserve"> et les pratiques esclavagistes ;</w:t>
      </w:r>
      <w:r w:rsidR="00D80F06" w:rsidRPr="002D6CAB">
        <w:t xml:space="preserve">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t>L</w:t>
      </w:r>
      <w:r w:rsidR="00AB36E9">
        <w:t xml:space="preserve">a loi </w:t>
      </w:r>
      <w:r w:rsidR="00A65558" w:rsidRPr="002D6CAB">
        <w:t>n</w:t>
      </w:r>
      <w:r w:rsidR="00A65558" w:rsidRPr="00BD5B0E">
        <w:rPr>
          <w:vertAlign w:val="superscript"/>
        </w:rPr>
        <w:t>o</w:t>
      </w:r>
      <w:r w:rsidR="00A65558">
        <w:t> </w:t>
      </w:r>
      <w:r w:rsidR="00D80F06" w:rsidRPr="002D6CAB">
        <w:t>2015-031 a prévu que toutes les décisions judiciaires octroyant un dédommagement aux victimes de l</w:t>
      </w:r>
      <w:r w:rsidR="00A24C87">
        <w:t>’</w:t>
      </w:r>
      <w:r w:rsidR="00D80F06" w:rsidRPr="002D6CAB">
        <w:t>esclavage, sont exécutoires nonobstant les voies de recours. En outre, le juge pénal, saisi d</w:t>
      </w:r>
      <w:r w:rsidR="00A24C87">
        <w:t>’</w:t>
      </w:r>
      <w:r w:rsidR="00D80F06" w:rsidRPr="002D6CAB">
        <w:t>une infraction relative aux pratiques esclavagistes, est tenu sous peine de prise à partie de préserver les droits des victimes. C</w:t>
      </w:r>
      <w:r w:rsidR="00A24C87">
        <w:t>’</w:t>
      </w:r>
      <w:r w:rsidR="00D80F06" w:rsidRPr="002D6CAB">
        <w:t>est-à-dire d</w:t>
      </w:r>
      <w:r w:rsidR="00A24C87">
        <w:t>’</w:t>
      </w:r>
      <w:r w:rsidR="00D80F06" w:rsidRPr="002D6CAB">
        <w:t>entreprendre d</w:t>
      </w:r>
      <w:r w:rsidR="00A24C87">
        <w:t>’</w:t>
      </w:r>
      <w:r w:rsidR="00D80F06" w:rsidRPr="002D6CAB">
        <w:t>office toutes les mesures conservatoires de nature à préserver les droits des victimes. Elle a précisé que les victimes d</w:t>
      </w:r>
      <w:r w:rsidR="00A24C87">
        <w:t>’</w:t>
      </w:r>
      <w:r w:rsidR="00D80F06" w:rsidRPr="002D6CAB">
        <w:t>esclavage bénéficient d</w:t>
      </w:r>
      <w:r w:rsidR="00A24C87">
        <w:t>’</w:t>
      </w:r>
      <w:r w:rsidR="00D80F06" w:rsidRPr="002D6CAB">
        <w:t>office de l</w:t>
      </w:r>
      <w:r w:rsidR="00A24C87">
        <w:t>’</w:t>
      </w:r>
      <w:r w:rsidR="00D80F06" w:rsidRPr="002D6CAB">
        <w:t>assistance judiciaire et sont exemptées de tous frais et dépens dont l</w:t>
      </w:r>
      <w:r w:rsidR="00A24C87">
        <w:t>’</w:t>
      </w:r>
      <w:r w:rsidR="00D80F06" w:rsidRPr="002D6CAB">
        <w:t>avance est faite par l</w:t>
      </w:r>
      <w:r w:rsidR="00A24C87">
        <w:t>’</w:t>
      </w:r>
      <w:r w:rsidR="00B253B0">
        <w:t>État</w:t>
      </w:r>
      <w:r w:rsidR="00D80F06" w:rsidRPr="002D6CAB">
        <w:t>, sur les frais de justice criminelle. Elles bénéficient en outre des mesures de protection contre d</w:t>
      </w:r>
      <w:r w:rsidR="00A24C87">
        <w:t>’</w:t>
      </w:r>
      <w:r w:rsidR="00D80F06" w:rsidRPr="002D6CAB">
        <w:t>éventuelles intimidations, menaces ou représailles (mesures conservatoires que doit prendre le juge chaque fois qu</w:t>
      </w:r>
      <w:r w:rsidR="00A24C87">
        <w:t>’</w:t>
      </w:r>
      <w:r w:rsidR="00D80F06" w:rsidRPr="002D6CAB">
        <w:t>un cas d</w:t>
      </w:r>
      <w:r w:rsidR="00A24C87">
        <w:t>’</w:t>
      </w:r>
      <w:r w:rsidR="00D67940">
        <w:t>esclavage lui est soumis)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Institution de la</w:t>
      </w:r>
      <w:r w:rsidR="00D80F06">
        <w:t xml:space="preserve"> </w:t>
      </w:r>
      <w:r w:rsidR="00D80F06" w:rsidRPr="002D6CAB">
        <w:t>journée du 6 mars de chaque année, comme Journée Nationale de lutte contre les séquelles de l</w:t>
      </w:r>
      <w:r w:rsidR="00A24C87">
        <w:t>’</w:t>
      </w:r>
      <w:r w:rsidR="00D80F06" w:rsidRPr="002D6CAB">
        <w:t>esclavage. Cette date correspond à celle de l</w:t>
      </w:r>
      <w:r w:rsidR="00A24C87">
        <w:t>’</w:t>
      </w:r>
      <w:r w:rsidR="00D80F06" w:rsidRPr="002D6CAB">
        <w:t>adoption de la feuille de route consensuelle et participative de lutte contre les formes contemporaines de l</w:t>
      </w:r>
      <w:r w:rsidR="00A24C87">
        <w:t>’</w:t>
      </w:r>
      <w:r w:rsidR="00D80F06" w:rsidRPr="002D6CAB">
        <w:t xml:space="preserve">esclavage. </w:t>
      </w:r>
    </w:p>
    <w:p w:rsidR="00D80F06" w:rsidRPr="002D6CAB" w:rsidRDefault="00C87B7B" w:rsidP="00C87B7B">
      <w:pPr>
        <w:pStyle w:val="SingleTxtG"/>
      </w:pPr>
      <w:r w:rsidRPr="002D6CAB">
        <w:t>128.</w:t>
      </w:r>
      <w:r w:rsidRPr="002D6CAB">
        <w:tab/>
      </w:r>
      <w:r w:rsidR="00D80F06" w:rsidRPr="002D6CAB">
        <w:t>Le système judiciaire mauritanien fournit une base solide de protection des victimes de l</w:t>
      </w:r>
      <w:r w:rsidR="00A24C87">
        <w:t>’</w:t>
      </w:r>
      <w:r w:rsidR="00D80F06" w:rsidRPr="002D6CAB">
        <w:t>esclavage contre les abus et toutes les formes d</w:t>
      </w:r>
      <w:r w:rsidR="00A24C87">
        <w:t>’</w:t>
      </w:r>
      <w:r w:rsidR="00D80F06" w:rsidRPr="002D6CAB">
        <w:t xml:space="preserve">exploitation. </w:t>
      </w:r>
    </w:p>
    <w:p w:rsidR="00D80F06" w:rsidRDefault="00C87B7B" w:rsidP="00C87B7B">
      <w:pPr>
        <w:pStyle w:val="SingleTxtG"/>
      </w:pPr>
      <w:r>
        <w:t>129.</w:t>
      </w:r>
      <w:r>
        <w:tab/>
      </w:r>
      <w:r w:rsidR="00D80F06" w:rsidRPr="002D6CAB">
        <w:t>Le rôle des juges y est prépondérant et impose que tous les droits des parties soient protégés. Dans ce cadre, le jugement est exécuté intégralement et provisoirement nonobstant les voies de recours d</w:t>
      </w:r>
      <w:r w:rsidR="00A24C87">
        <w:t>’</w:t>
      </w:r>
      <w:r w:rsidR="00D80F06" w:rsidRPr="002D6CAB">
        <w:t>opposition ou d</w:t>
      </w:r>
      <w:r w:rsidR="00A24C87">
        <w:t>’</w:t>
      </w:r>
      <w:r w:rsidR="00D80F06" w:rsidRPr="002D6CAB">
        <w:t xml:space="preserve">appel. </w:t>
      </w:r>
    </w:p>
    <w:p w:rsidR="00D80F06" w:rsidRPr="002D6CAB" w:rsidRDefault="00C87B7B" w:rsidP="00C87B7B">
      <w:pPr>
        <w:pStyle w:val="SingleTxtG"/>
      </w:pPr>
      <w:r w:rsidRPr="002D6CAB">
        <w:t>130.</w:t>
      </w:r>
      <w:r w:rsidRPr="002D6CAB">
        <w:tab/>
      </w:r>
      <w:r w:rsidR="00D80F06" w:rsidRPr="002D6CAB">
        <w:t>Ce cadre permet aux organisations des droits de l</w:t>
      </w:r>
      <w:r w:rsidR="00A24C87">
        <w:t>’</w:t>
      </w:r>
      <w:r w:rsidR="00D80F06" w:rsidRPr="002D6CAB">
        <w:t>homme d</w:t>
      </w:r>
      <w:r w:rsidR="00A24C87">
        <w:t>’</w:t>
      </w:r>
      <w:r w:rsidR="00D80F06" w:rsidRPr="002D6CAB">
        <w:t>assister les victimes à tous les niveaux de la procédure et même de signaler, dénoncer, porter plainte et se constituer partie civile mettant en mouvement l</w:t>
      </w:r>
      <w:r w:rsidR="00A24C87">
        <w:t>’</w:t>
      </w:r>
      <w:r w:rsidR="00D80F06" w:rsidRPr="002D6CAB">
        <w:t>action publique.</w:t>
      </w:r>
    </w:p>
    <w:p w:rsidR="00D80F06" w:rsidRPr="002D6CAB" w:rsidRDefault="00C87B7B" w:rsidP="00C87B7B">
      <w:pPr>
        <w:pStyle w:val="SingleTxtG"/>
      </w:pPr>
      <w:r w:rsidRPr="002D6CAB">
        <w:t>131.</w:t>
      </w:r>
      <w:r w:rsidRPr="002D6CAB">
        <w:tab/>
      </w:r>
      <w:r w:rsidR="00D80F06" w:rsidRPr="002D6CAB">
        <w:t>Les cours spécialisées sont aujourd</w:t>
      </w:r>
      <w:r w:rsidR="00A24C87">
        <w:t>’</w:t>
      </w:r>
      <w:r w:rsidR="00D80F06" w:rsidRPr="002D6CAB">
        <w:t>hui opérationnelles. Trente-cinq (35) cas ont été déférés devant les juridictions compétentes depuis l</w:t>
      </w:r>
      <w:r w:rsidR="00A24C87">
        <w:t>’</w:t>
      </w:r>
      <w:r w:rsidR="00D80F06" w:rsidRPr="002D6CAB">
        <w:t xml:space="preserve">avènement de la loi </w:t>
      </w:r>
      <w:r w:rsidR="00A65558" w:rsidRPr="002D6CAB">
        <w:t>n</w:t>
      </w:r>
      <w:r w:rsidR="00A65558" w:rsidRPr="00BD5B0E">
        <w:rPr>
          <w:vertAlign w:val="superscript"/>
        </w:rPr>
        <w:t>o</w:t>
      </w:r>
      <w:r w:rsidR="00A65558">
        <w:t> </w:t>
      </w:r>
      <w:r w:rsidR="00D80F06" w:rsidRPr="002D6CAB">
        <w:t xml:space="preserve">2007-048. Certains ont abouti à des règlements de conciliations, non-lieux, acquittements, condamnations, et des réparations civiles. </w:t>
      </w:r>
    </w:p>
    <w:p w:rsidR="00D80F06" w:rsidRPr="002D6CAB" w:rsidRDefault="00C87B7B" w:rsidP="00C87B7B">
      <w:pPr>
        <w:pStyle w:val="SingleTxtG"/>
      </w:pPr>
      <w:r w:rsidRPr="002D6CAB">
        <w:lastRenderedPageBreak/>
        <w:t>132.</w:t>
      </w:r>
      <w:r w:rsidRPr="002D6CAB">
        <w:tab/>
      </w:r>
      <w:r w:rsidR="00D80F06" w:rsidRPr="002D6CAB">
        <w:t>Sur le plan du renforcement des capacités, les acteurs impliqués dans la lutte contre l</w:t>
      </w:r>
      <w:r w:rsidR="00A24C87">
        <w:t>’</w:t>
      </w:r>
      <w:r w:rsidR="00D80F06" w:rsidRPr="002D6CAB">
        <w:t>esclavage (magistrats, officiers de police judiciaire, avocats, greffiers, acteurs de la société civile, etc. ont bénéficié de formation</w:t>
      </w:r>
      <w:r w:rsidR="00D80F06">
        <w:t xml:space="preserve"> </w:t>
      </w:r>
      <w:r w:rsidR="00D80F06" w:rsidRPr="002D6CAB">
        <w:t xml:space="preserve">sur la loi </w:t>
      </w:r>
      <w:r w:rsidR="00A65558" w:rsidRPr="002D6CAB">
        <w:t>n</w:t>
      </w:r>
      <w:r w:rsidR="00A65558" w:rsidRPr="00BD5B0E">
        <w:rPr>
          <w:vertAlign w:val="superscript"/>
        </w:rPr>
        <w:t>o</w:t>
      </w:r>
      <w:r w:rsidR="00A65558">
        <w:t> </w:t>
      </w:r>
      <w:r w:rsidR="00D80F06" w:rsidRPr="002D6CAB">
        <w:t xml:space="preserve">2015-031. </w:t>
      </w:r>
    </w:p>
    <w:p w:rsidR="00D80F06" w:rsidRPr="002D6CAB" w:rsidRDefault="00C87B7B" w:rsidP="00C87B7B">
      <w:pPr>
        <w:pStyle w:val="SingleTxtG"/>
      </w:pPr>
      <w:r w:rsidRPr="002D6CAB">
        <w:t>133.</w:t>
      </w:r>
      <w:r w:rsidRPr="002D6CAB">
        <w:tab/>
      </w:r>
      <w:r w:rsidR="00D80F06" w:rsidRPr="002D6CAB">
        <w:t>Des séminaires ont été organisés en collaboration avec la représentation du Haut</w:t>
      </w:r>
      <w:r w:rsidR="00AB36E9">
        <w:t>-</w:t>
      </w:r>
      <w:r w:rsidR="00D80F06" w:rsidRPr="002D6CAB">
        <w:t>Commissariat au Droit de l</w:t>
      </w:r>
      <w:r w:rsidR="00A24C87">
        <w:t>’</w:t>
      </w:r>
      <w:r w:rsidR="00D80F06" w:rsidRPr="002D6CAB">
        <w:t xml:space="preserve">Homme, SOS-Esclaves. Ces activités ont bénéficié à plus de quatre-vingt-dix (90) magistrats, greffier et officiers de police judiciaire de la Police et de la Gendarmerie. </w:t>
      </w:r>
    </w:p>
    <w:p w:rsidR="00D80F06" w:rsidRDefault="00C87B7B" w:rsidP="00C87B7B">
      <w:pPr>
        <w:pStyle w:val="SingleTxtG"/>
      </w:pPr>
      <w:r>
        <w:t>134.</w:t>
      </w:r>
      <w:r>
        <w:tab/>
      </w:r>
      <w:r w:rsidR="00D80F06" w:rsidRPr="002D6CAB">
        <w:t>Par ailleurs, d</w:t>
      </w:r>
      <w:r w:rsidR="00A24C87">
        <w:t>’</w:t>
      </w:r>
      <w:r w:rsidR="00D80F06" w:rsidRPr="002D6CAB">
        <w:t>autres activités de formation et de sensibilisation bénéficiant à différents acteurs ont été organisées p</w:t>
      </w:r>
      <w:r w:rsidR="00D80F06">
        <w:t>ar la CNDH, le CDHAH, notamment</w:t>
      </w:r>
      <w:r w:rsidR="00FB29A2">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w:t>
      </w:r>
      <w:r w:rsidR="00A24C87">
        <w:t>’</w:t>
      </w:r>
      <w:r w:rsidR="0022553A" w:rsidRPr="002D6CAB">
        <w:t>organisation de campagnes de sensibilisation sur la « </w:t>
      </w:r>
      <w:proofErr w:type="spellStart"/>
      <w:r w:rsidR="00D80F06">
        <w:t>délégitimation</w:t>
      </w:r>
      <w:proofErr w:type="spellEnd"/>
      <w:r w:rsidR="00D80F06">
        <w:t> » de l</w:t>
      </w:r>
      <w:r w:rsidR="00A24C87">
        <w:t>’</w:t>
      </w:r>
      <w:r w:rsidR="00D80F06">
        <w:t>esclavage</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La tenue d</w:t>
      </w:r>
      <w:r w:rsidR="00A24C87">
        <w:t>’</w:t>
      </w:r>
      <w:r w:rsidR="0022553A" w:rsidRPr="002D6CAB">
        <w:t>ateliers au profit des organisations de la société civile (</w:t>
      </w:r>
      <w:r w:rsidR="00E0001D" w:rsidRPr="002D6CAB">
        <w:t>OSC</w:t>
      </w:r>
      <w:r w:rsidR="0022553A" w:rsidRPr="002D6CAB">
        <w:t>) et des médias sur la législation an</w:t>
      </w:r>
      <w:r w:rsidR="00D80F06" w:rsidRPr="002D6CAB">
        <w:t>ti-esclavagiste</w:t>
      </w:r>
      <w:r w:rsidR="009573B0">
        <w:t> ;</w:t>
      </w:r>
      <w:r w:rsidR="00D80F06" w:rsidRPr="002D6CAB">
        <w:t xml:space="preserve">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La promulgation d</w:t>
      </w:r>
      <w:r w:rsidR="00A24C87">
        <w:t>’</w:t>
      </w:r>
      <w:r w:rsidR="0022553A" w:rsidRPr="002D6CAB">
        <w:t>une fatwa, le 27 mars 2015, par l</w:t>
      </w:r>
      <w:r w:rsidR="00A24C87">
        <w:t>’</w:t>
      </w:r>
      <w:r w:rsidR="0022553A" w:rsidRPr="002D6CAB">
        <w:t>association des oulémas (leaders religieux)</w:t>
      </w:r>
      <w:r w:rsidR="00D80F06">
        <w:t xml:space="preserve"> </w:t>
      </w:r>
      <w:r w:rsidR="00D80F06" w:rsidRPr="002D6CAB">
        <w:t>sur l</w:t>
      </w:r>
      <w:r w:rsidR="00A24C87">
        <w:t>’</w:t>
      </w:r>
      <w:r w:rsidR="00D80F06" w:rsidRPr="002D6CAB">
        <w:t>illégitimité de la pratique de l</w:t>
      </w:r>
      <w:r w:rsidR="00A24C87">
        <w:t>’</w:t>
      </w:r>
      <w:r w:rsidR="00D80F06" w:rsidRPr="002D6CAB">
        <w:t>esclavage</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Dans le cadre de la lutte contre la pauvreté le gouvernement a procédé à</w:t>
      </w:r>
      <w:r w:rsidR="00D80F06">
        <w:t xml:space="preserve"> </w:t>
      </w:r>
      <w:r w:rsidR="0022553A" w:rsidRPr="002D6CAB">
        <w:t>l</w:t>
      </w:r>
      <w:r w:rsidR="00A24C87">
        <w:t>’</w:t>
      </w:r>
      <w:r w:rsidR="0022553A" w:rsidRPr="002D6CAB">
        <w:t>institution du ca</w:t>
      </w:r>
      <w:r w:rsidR="00D80F06" w:rsidRPr="002D6CAB">
        <w:t>sh transfert destiné à la scolarisation des enfants en âge de scolarisation</w:t>
      </w:r>
      <w:r w:rsidR="00D80F06">
        <w:t xml:space="preserve"> </w:t>
      </w:r>
      <w:r w:rsidR="00D80F06" w:rsidRPr="002D6CAB">
        <w:t>au profit des familles pauvres et /ou affectées par les séquelles de l</w:t>
      </w:r>
      <w:r w:rsidR="00A24C87">
        <w:t>’</w:t>
      </w:r>
      <w:r w:rsidR="00D80F06" w:rsidRPr="002D6CAB">
        <w:t>esclavage</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La mise en œuvre d</w:t>
      </w:r>
      <w:r w:rsidR="00A24C87">
        <w:t>’</w:t>
      </w:r>
      <w:r w:rsidR="0022553A" w:rsidRPr="002D6CAB">
        <w:t>un plan d</w:t>
      </w:r>
      <w:r w:rsidR="00A24C87">
        <w:t>’</w:t>
      </w:r>
      <w:r w:rsidR="0022553A" w:rsidRPr="002D6CAB">
        <w:t>actions contre le travail des enfants</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Le développement des infrastructures scolaires (écoles, cantines scolaires, etc.) Dans les zones</w:t>
      </w:r>
      <w:r w:rsidR="00D80F06">
        <w:t xml:space="preserve"> </w:t>
      </w:r>
      <w:r w:rsidR="00D80F06" w:rsidRPr="002D6CAB">
        <w:t>d</w:t>
      </w:r>
      <w:r w:rsidR="00A24C87">
        <w:t>’</w:t>
      </w:r>
      <w:r w:rsidR="00D80F06" w:rsidRPr="002D6CAB">
        <w:t>éducation prioritaires</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La mise en place de projets générateurs de revenus au profit des populations affectées par les séquelles de l</w:t>
      </w:r>
      <w:r w:rsidR="00A24C87">
        <w:t>’</w:t>
      </w:r>
      <w:r w:rsidR="0022553A" w:rsidRPr="002D6CAB">
        <w:t>esclavage</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L</w:t>
      </w:r>
      <w:r w:rsidR="00A24C87">
        <w:t>’</w:t>
      </w:r>
      <w:r w:rsidR="0022553A" w:rsidRPr="002D6CAB">
        <w:t>octroi à l</w:t>
      </w:r>
      <w:r w:rsidR="00A24C87">
        <w:t>’</w:t>
      </w:r>
      <w:r w:rsidR="0022553A" w:rsidRPr="002D6CAB">
        <w:t>agence nationale « </w:t>
      </w:r>
      <w:proofErr w:type="spellStart"/>
      <w:r w:rsidR="0022553A" w:rsidRPr="002D6CAB">
        <w:t>tadamoun</w:t>
      </w:r>
      <w:proofErr w:type="spellEnd"/>
      <w:r w:rsidR="0022553A" w:rsidRPr="002D6CAB">
        <w:t> »</w:t>
      </w:r>
      <w:r w:rsidR="00D80F06" w:rsidRPr="002D6CAB">
        <w:t>, d</w:t>
      </w:r>
      <w:r w:rsidR="00A24C87">
        <w:t>’</w:t>
      </w:r>
      <w:r w:rsidR="00D80F06" w:rsidRPr="002D6CAB">
        <w:t>une enveloppe financière annuelle sur</w:t>
      </w:r>
      <w:r w:rsidR="00D80F06">
        <w:t xml:space="preserve"> </w:t>
      </w:r>
      <w:r w:rsidR="00D80F06" w:rsidRPr="002D6CAB">
        <w:t>le budget</w:t>
      </w:r>
      <w:r w:rsidR="00D80F06">
        <w:t xml:space="preserve"> </w:t>
      </w:r>
      <w:r w:rsidR="00D80F06" w:rsidRPr="002D6CAB">
        <w:t>de l</w:t>
      </w:r>
      <w:r w:rsidR="00A24C87">
        <w:t>’</w:t>
      </w:r>
      <w:r w:rsidR="00B253B0">
        <w:t>État</w:t>
      </w:r>
      <w:r w:rsidR="00AB36E9">
        <w:t xml:space="preserve"> de 2,</w:t>
      </w:r>
      <w:r w:rsidR="00D80F06" w:rsidRPr="002D6CAB">
        <w:t>8</w:t>
      </w:r>
      <w:r w:rsidR="00AB36E9">
        <w:t> milliards UM soit 9,7 millions </w:t>
      </w:r>
      <w:r w:rsidR="00D80F06" w:rsidRPr="002D6CAB">
        <w:t xml:space="preserve">$ destinée à la réalisation de ses programmes. </w:t>
      </w:r>
    </w:p>
    <w:p w:rsidR="00D80F06" w:rsidRDefault="00C87B7B" w:rsidP="00C87B7B">
      <w:pPr>
        <w:pStyle w:val="SingleTxtG"/>
      </w:pPr>
      <w:r>
        <w:t>135.</w:t>
      </w:r>
      <w:r>
        <w:tab/>
      </w:r>
      <w:r w:rsidR="00D80F06" w:rsidRPr="002D6CAB">
        <w:t>Ces financements ont permis la réalisation de projets relatifs à l</w:t>
      </w:r>
      <w:r w:rsidR="00A24C87">
        <w:t>’</w:t>
      </w:r>
      <w:r w:rsidR="00D80F06" w:rsidRPr="002D6CAB">
        <w:t>éducation, la formation professionnelle, la santé, l</w:t>
      </w:r>
      <w:r w:rsidR="00A24C87">
        <w:t>’</w:t>
      </w:r>
      <w:r w:rsidR="00D80F06" w:rsidRPr="002D6CAB">
        <w:t>eau, l</w:t>
      </w:r>
      <w:r w:rsidR="00A24C87">
        <w:t>’</w:t>
      </w:r>
      <w:r w:rsidR="00D80F06" w:rsidRPr="002D6CAB">
        <w:t>agriculture, l</w:t>
      </w:r>
      <w:r w:rsidR="00A24C87">
        <w:t>’</w:t>
      </w:r>
      <w:r w:rsidR="00D80F06" w:rsidRPr="002D6CAB">
        <w:t>élevage, la pêche, l</w:t>
      </w:r>
      <w:r w:rsidR="00A24C87">
        <w:t>’</w:t>
      </w:r>
      <w:r w:rsidR="00D80F06" w:rsidRPr="002D6CAB">
        <w:t>environnement, l</w:t>
      </w:r>
      <w:r w:rsidR="00A24C87">
        <w:t>’</w:t>
      </w:r>
      <w:r w:rsidR="00D80F06" w:rsidRPr="002D6CAB">
        <w:t>habitat social et</w:t>
      </w:r>
      <w:r w:rsidR="00D80F06">
        <w:t xml:space="preserve"> </w:t>
      </w:r>
      <w:r w:rsidR="00D80F06" w:rsidRPr="002D6CAB">
        <w:t>les petits métiers</w:t>
      </w:r>
      <w:r w:rsidR="00D80F06">
        <w:t xml:space="preserve"> </w:t>
      </w:r>
      <w:r w:rsidR="00D80F06" w:rsidRPr="002D6CAB">
        <w:t>principalement dans les zones prioritaires. En outre, cette institution est habilitée à se constituer partie civile dans les affaires liées à l</w:t>
      </w:r>
      <w:r w:rsidR="00A24C87">
        <w:t>’</w:t>
      </w:r>
      <w:r w:rsidR="00D80F06" w:rsidRPr="002D6CAB">
        <w:t>esclavage.</w:t>
      </w:r>
    </w:p>
    <w:p w:rsidR="00D80F06" w:rsidRPr="00865EA1" w:rsidRDefault="00D80F06" w:rsidP="00027EE8">
      <w:pPr>
        <w:pStyle w:val="SingleTxtG"/>
        <w:ind w:left="1701"/>
        <w:rPr>
          <w:i/>
        </w:rPr>
      </w:pPr>
      <w:r w:rsidRPr="00865EA1">
        <w:rPr>
          <w:i/>
        </w:rPr>
        <w:t>Recommandation 14</w:t>
      </w:r>
      <w:r w:rsidR="00FB29A2" w:rsidRPr="00865EA1">
        <w:rPr>
          <w:i/>
        </w:rPr>
        <w:t> :</w:t>
      </w:r>
    </w:p>
    <w:p w:rsidR="00D80F06" w:rsidRPr="00865EA1" w:rsidRDefault="00D80F06" w:rsidP="00027EE8">
      <w:pPr>
        <w:pStyle w:val="SingleTxtG"/>
        <w:ind w:left="1701"/>
        <w:rPr>
          <w:i/>
        </w:rPr>
      </w:pPr>
      <w:r w:rsidRPr="00865EA1">
        <w:rPr>
          <w:i/>
        </w:rPr>
        <w:t>L</w:t>
      </w:r>
      <w:r w:rsidR="00A24C87" w:rsidRPr="00865EA1">
        <w:rPr>
          <w:i/>
        </w:rPr>
        <w:t>’</w:t>
      </w:r>
      <w:r w:rsidRPr="00865EA1">
        <w:rPr>
          <w:i/>
        </w:rPr>
        <w:t>État partie devrait rendre la durée de la garde à vue, y compris pour des infractions terroristes, conforme aux dispositions du Pacte. L</w:t>
      </w:r>
      <w:r w:rsidR="00A24C87" w:rsidRPr="00865EA1">
        <w:rPr>
          <w:i/>
        </w:rPr>
        <w:t>’</w:t>
      </w:r>
      <w:r w:rsidRPr="00865EA1">
        <w:rPr>
          <w:i/>
        </w:rPr>
        <w:t>État partie devrait également réviser sa législation pénale afin d</w:t>
      </w:r>
      <w:r w:rsidR="00A24C87" w:rsidRPr="00865EA1">
        <w:rPr>
          <w:i/>
        </w:rPr>
        <w:t>’</w:t>
      </w:r>
      <w:r w:rsidRPr="00865EA1">
        <w:rPr>
          <w:i/>
        </w:rPr>
        <w:t>assurer de jure et de facto les garanties juridiques fondamentales aux personnes privées de liberté, notammen</w:t>
      </w:r>
      <w:r w:rsidR="00AB36E9" w:rsidRPr="00865EA1">
        <w:rPr>
          <w:i/>
        </w:rPr>
        <w:t>t</w:t>
      </w:r>
      <w:r w:rsidR="00FB29A2" w:rsidRPr="00865EA1">
        <w:rPr>
          <w:i/>
        </w:rPr>
        <w:t> :</w:t>
      </w:r>
    </w:p>
    <w:p w:rsidR="00D80F06" w:rsidRPr="00865EA1" w:rsidRDefault="006E4051" w:rsidP="00C87B7B">
      <w:pPr>
        <w:pStyle w:val="Bullet1G"/>
        <w:numPr>
          <w:ilvl w:val="0"/>
          <w:numId w:val="0"/>
        </w:numPr>
        <w:ind w:left="1701" w:firstLine="567"/>
        <w:rPr>
          <w:i/>
        </w:rPr>
      </w:pPr>
      <w:r w:rsidRPr="00865EA1">
        <w:rPr>
          <w:i/>
        </w:rPr>
        <w:t>a)</w:t>
      </w:r>
      <w:r w:rsidRPr="00865EA1">
        <w:rPr>
          <w:i/>
        </w:rPr>
        <w:tab/>
      </w:r>
      <w:r w:rsidR="0022553A" w:rsidRPr="00865EA1">
        <w:rPr>
          <w:i/>
        </w:rPr>
        <w:t>Le droit d</w:t>
      </w:r>
      <w:r w:rsidR="00A24C87" w:rsidRPr="00865EA1">
        <w:rPr>
          <w:i/>
        </w:rPr>
        <w:t>’</w:t>
      </w:r>
      <w:r w:rsidR="0022553A" w:rsidRPr="00865EA1">
        <w:rPr>
          <w:i/>
        </w:rPr>
        <w:t>être informé des motifs de son arrestation</w:t>
      </w:r>
      <w:r w:rsidR="009573B0" w:rsidRPr="00865EA1">
        <w:rPr>
          <w:i/>
        </w:rPr>
        <w:t> ;</w:t>
      </w:r>
    </w:p>
    <w:p w:rsidR="00D80F06" w:rsidRPr="00865EA1" w:rsidRDefault="006E4051" w:rsidP="00C87B7B">
      <w:pPr>
        <w:pStyle w:val="Bullet1G"/>
        <w:numPr>
          <w:ilvl w:val="0"/>
          <w:numId w:val="0"/>
        </w:numPr>
        <w:ind w:left="1701" w:firstLine="567"/>
        <w:rPr>
          <w:i/>
        </w:rPr>
      </w:pPr>
      <w:r w:rsidRPr="00865EA1">
        <w:rPr>
          <w:i/>
        </w:rPr>
        <w:t>b)</w:t>
      </w:r>
      <w:r w:rsidRPr="00865EA1">
        <w:rPr>
          <w:i/>
        </w:rPr>
        <w:tab/>
      </w:r>
      <w:r w:rsidR="0022553A" w:rsidRPr="00865EA1">
        <w:rPr>
          <w:i/>
        </w:rPr>
        <w:t>L</w:t>
      </w:r>
      <w:r w:rsidR="00A24C87" w:rsidRPr="00865EA1">
        <w:rPr>
          <w:i/>
        </w:rPr>
        <w:t>’</w:t>
      </w:r>
      <w:r w:rsidR="0022553A" w:rsidRPr="00865EA1">
        <w:rPr>
          <w:i/>
        </w:rPr>
        <w:t>accès à un avocat ou à un conseil légal indépendant ou à une aide juridictionnelle</w:t>
      </w:r>
      <w:r w:rsidR="009573B0" w:rsidRPr="00865EA1">
        <w:rPr>
          <w:i/>
        </w:rPr>
        <w:t> ;</w:t>
      </w:r>
    </w:p>
    <w:p w:rsidR="00D80F06" w:rsidRPr="00865EA1" w:rsidRDefault="006E4051" w:rsidP="00C87B7B">
      <w:pPr>
        <w:pStyle w:val="Bullet1G"/>
        <w:numPr>
          <w:ilvl w:val="0"/>
          <w:numId w:val="0"/>
        </w:numPr>
        <w:ind w:left="1701" w:firstLine="567"/>
        <w:rPr>
          <w:i/>
        </w:rPr>
      </w:pPr>
      <w:r w:rsidRPr="00865EA1">
        <w:rPr>
          <w:i/>
        </w:rPr>
        <w:t>c)</w:t>
      </w:r>
      <w:r w:rsidRPr="00865EA1">
        <w:rPr>
          <w:i/>
        </w:rPr>
        <w:tab/>
      </w:r>
      <w:r w:rsidR="0022553A" w:rsidRPr="00865EA1">
        <w:rPr>
          <w:i/>
        </w:rPr>
        <w:t>L</w:t>
      </w:r>
      <w:r w:rsidR="00A24C87" w:rsidRPr="00865EA1">
        <w:rPr>
          <w:i/>
        </w:rPr>
        <w:t>’</w:t>
      </w:r>
      <w:r w:rsidR="0022553A" w:rsidRPr="00865EA1">
        <w:rPr>
          <w:i/>
        </w:rPr>
        <w:t>accès à un médecin et l</w:t>
      </w:r>
      <w:r w:rsidR="00D80F06" w:rsidRPr="00865EA1">
        <w:rPr>
          <w:i/>
        </w:rPr>
        <w:t>a possibilité d</w:t>
      </w:r>
      <w:r w:rsidR="00A24C87" w:rsidRPr="00865EA1">
        <w:rPr>
          <w:i/>
        </w:rPr>
        <w:t>’</w:t>
      </w:r>
      <w:r w:rsidR="00D80F06" w:rsidRPr="00865EA1">
        <w:rPr>
          <w:i/>
        </w:rPr>
        <w:t>informer sa famille de sa détention</w:t>
      </w:r>
      <w:r w:rsidR="009573B0" w:rsidRPr="00865EA1">
        <w:rPr>
          <w:i/>
        </w:rPr>
        <w:t> ;</w:t>
      </w:r>
    </w:p>
    <w:p w:rsidR="00D80F06" w:rsidRPr="00865EA1" w:rsidRDefault="006E4051" w:rsidP="00C87B7B">
      <w:pPr>
        <w:pStyle w:val="Bullet1G"/>
        <w:numPr>
          <w:ilvl w:val="0"/>
          <w:numId w:val="0"/>
        </w:numPr>
        <w:ind w:left="1701" w:firstLine="567"/>
        <w:rPr>
          <w:i/>
        </w:rPr>
      </w:pPr>
      <w:r w:rsidRPr="00865EA1">
        <w:rPr>
          <w:i/>
        </w:rPr>
        <w:t>d)</w:t>
      </w:r>
      <w:r w:rsidRPr="00865EA1">
        <w:rPr>
          <w:i/>
        </w:rPr>
        <w:tab/>
      </w:r>
      <w:r w:rsidR="0022553A" w:rsidRPr="00865EA1">
        <w:rPr>
          <w:i/>
        </w:rPr>
        <w:t>La présentation sans délai à un juge et le droit de faire examiner par un tribu</w:t>
      </w:r>
      <w:r w:rsidR="00E63EC0" w:rsidRPr="00865EA1">
        <w:rPr>
          <w:i/>
        </w:rPr>
        <w:t>nal la légalité de sa détention</w:t>
      </w:r>
      <w:r w:rsidR="009573B0" w:rsidRPr="00865EA1">
        <w:rPr>
          <w:i/>
        </w:rPr>
        <w:t> ;</w:t>
      </w:r>
    </w:p>
    <w:p w:rsidR="00D80F06" w:rsidRPr="00865EA1" w:rsidRDefault="006E4051" w:rsidP="00C87B7B">
      <w:pPr>
        <w:pStyle w:val="Bullet1G"/>
        <w:numPr>
          <w:ilvl w:val="0"/>
          <w:numId w:val="0"/>
        </w:numPr>
        <w:ind w:left="1701" w:firstLine="567"/>
        <w:rPr>
          <w:i/>
        </w:rPr>
      </w:pPr>
      <w:r w:rsidRPr="00865EA1">
        <w:rPr>
          <w:i/>
        </w:rPr>
        <w:t>e)</w:t>
      </w:r>
      <w:r w:rsidRPr="00865EA1">
        <w:rPr>
          <w:i/>
        </w:rPr>
        <w:tab/>
      </w:r>
      <w:r w:rsidR="0022553A" w:rsidRPr="00865EA1">
        <w:rPr>
          <w:i/>
        </w:rPr>
        <w:t>L</w:t>
      </w:r>
      <w:r w:rsidR="00A24C87" w:rsidRPr="00865EA1">
        <w:rPr>
          <w:i/>
        </w:rPr>
        <w:t>’</w:t>
      </w:r>
      <w:r w:rsidR="0022553A" w:rsidRPr="00865EA1">
        <w:rPr>
          <w:i/>
        </w:rPr>
        <w:t>état partie devrait mettre en œuvre des mesures visant à améliorer les conditions de déte</w:t>
      </w:r>
      <w:r w:rsidR="00D80F06" w:rsidRPr="00865EA1">
        <w:rPr>
          <w:i/>
        </w:rPr>
        <w:t xml:space="preserve">ntion dans ses prisons et à réduire la surpopulation carcérale. </w:t>
      </w:r>
    </w:p>
    <w:p w:rsidR="00D80F06" w:rsidRPr="002D6CAB" w:rsidRDefault="00C87B7B" w:rsidP="00C87B7B">
      <w:pPr>
        <w:pStyle w:val="SingleTxtG"/>
      </w:pPr>
      <w:r w:rsidRPr="002D6CAB">
        <w:t>136.</w:t>
      </w:r>
      <w:r w:rsidRPr="002D6CAB">
        <w:tab/>
      </w:r>
      <w:r w:rsidR="00D80F06" w:rsidRPr="002D6CAB">
        <w:t>L</w:t>
      </w:r>
      <w:r w:rsidR="00A24C87">
        <w:t>’</w:t>
      </w:r>
      <w:r w:rsidR="00D80F06" w:rsidRPr="002D6CAB">
        <w:t>article 4</w:t>
      </w:r>
      <w:r w:rsidR="00D80F06">
        <w:t xml:space="preserve"> </w:t>
      </w:r>
      <w:r w:rsidR="00D80F06" w:rsidRPr="002D6CAB">
        <w:t>de la loi portant répression des crimes d</w:t>
      </w:r>
      <w:r w:rsidR="00A24C87">
        <w:t>’</w:t>
      </w:r>
      <w:r w:rsidR="00D80F06" w:rsidRPr="002D6CAB">
        <w:t>esclavage et de torture en tant que crimes contre l</w:t>
      </w:r>
      <w:r w:rsidR="00A24C87">
        <w:t>’</w:t>
      </w:r>
      <w:r w:rsidR="00D80F06" w:rsidRPr="002D6CAB">
        <w:t xml:space="preserve">humanité consacre les garanties fondamentales concernant la privation de liberté. </w:t>
      </w:r>
    </w:p>
    <w:p w:rsidR="00D80F06" w:rsidRPr="002D6CAB" w:rsidRDefault="00C87B7B" w:rsidP="00C87B7B">
      <w:pPr>
        <w:pStyle w:val="SingleTxtG"/>
      </w:pPr>
      <w:r w:rsidRPr="002D6CAB">
        <w:lastRenderedPageBreak/>
        <w:t>137.</w:t>
      </w:r>
      <w:r w:rsidRPr="002D6CAB">
        <w:tab/>
      </w:r>
      <w:r w:rsidR="00D80F06" w:rsidRPr="002D6CAB">
        <w:t>Dès l</w:t>
      </w:r>
      <w:r w:rsidR="00A24C87">
        <w:t>’</w:t>
      </w:r>
      <w:r w:rsidR="00D80F06" w:rsidRPr="002D6CAB">
        <w:t>instant où intervient la privation de liberté d</w:t>
      </w:r>
      <w:r w:rsidR="00A24C87">
        <w:t>’</w:t>
      </w:r>
      <w:r w:rsidR="00D80F06" w:rsidRPr="002D6CAB">
        <w:t>une personne, des garanties fondamentales doivent être appliquées, notamment</w:t>
      </w:r>
      <w:r w:rsidR="00FB29A2">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Le droit à ce qu</w:t>
      </w:r>
      <w:r w:rsidR="00A24C87">
        <w:t>’</w:t>
      </w:r>
      <w:r w:rsidR="00D80F06" w:rsidRPr="002D6CAB">
        <w:t>un membre de la famille ou une personne de son choix soit immédiatement informé de sa détention et du lieu de détention</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Le droit, à sa demande, à un examen par un médecin dès son admission, arrestation ou internement</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Le droit d</w:t>
      </w:r>
      <w:r w:rsidR="00A24C87">
        <w:t>’</w:t>
      </w:r>
      <w:r w:rsidR="00D80F06" w:rsidRPr="002D6CAB">
        <w:t>avoir accès à un avocat dès le début de la privation de liberté ou à l</w:t>
      </w:r>
      <w:r w:rsidR="00A24C87">
        <w:t>’</w:t>
      </w:r>
      <w:r w:rsidR="00D80F06" w:rsidRPr="002D6CAB">
        <w:t>assistance d</w:t>
      </w:r>
      <w:r w:rsidR="00A24C87">
        <w:t>’</w:t>
      </w:r>
      <w:r w:rsidR="00D80F06" w:rsidRPr="002D6CAB">
        <w:t>une personne de son choix ainsi que la possibilité d</w:t>
      </w:r>
      <w:r w:rsidR="00A24C87">
        <w:t>’</w:t>
      </w:r>
      <w:r w:rsidR="00D80F06" w:rsidRPr="002D6CAB">
        <w:t>avoir rapidement accès à une aide judiciaire le cas échéant</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Le droit d</w:t>
      </w:r>
      <w:r w:rsidR="00A24C87">
        <w:t>’</w:t>
      </w:r>
      <w:r w:rsidR="00D80F06" w:rsidRPr="002D6CAB">
        <w:t>être présentée sans délai à un juge et de faire examiner par un tribunal la légalité de sa détention, conformément aux lois en vigueur</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Le droit d</w:t>
      </w:r>
      <w:r w:rsidR="00A24C87">
        <w:t>’</w:t>
      </w:r>
      <w:r w:rsidR="00D80F06" w:rsidRPr="002D6CAB">
        <w:t>être informée dans une langue qu</w:t>
      </w:r>
      <w:r w:rsidR="00A24C87">
        <w:t>’</w:t>
      </w:r>
      <w:r w:rsidR="00D80F06" w:rsidRPr="002D6CAB">
        <w:t>elle comprend, des droits ci-dessus énumérés ainsi que la possibilité de solliciter l</w:t>
      </w:r>
      <w:r w:rsidR="00A24C87">
        <w:t>’</w:t>
      </w:r>
      <w:r w:rsidR="00D80F06" w:rsidRPr="002D6CAB">
        <w:t>aide judiciaire</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w:t>
      </w:r>
      <w:r w:rsidR="00A24C87">
        <w:t>’</w:t>
      </w:r>
      <w:r w:rsidR="00D80F06" w:rsidRPr="002D6CAB">
        <w:t>obligation pour l</w:t>
      </w:r>
      <w:r w:rsidR="00A24C87">
        <w:t>’</w:t>
      </w:r>
      <w:r w:rsidR="00D80F06" w:rsidRPr="002D6CAB">
        <w:t>autorité de détention de tenir un registre à jour, indiquant notamment l</w:t>
      </w:r>
      <w:r w:rsidR="00A24C87">
        <w:t>’</w:t>
      </w:r>
      <w:r w:rsidR="00D80F06" w:rsidRPr="002D6CAB">
        <w:t>identité et l</w:t>
      </w:r>
      <w:r w:rsidR="00A24C87">
        <w:t>’</w:t>
      </w:r>
      <w:r w:rsidR="00D80F06" w:rsidRPr="002D6CAB">
        <w:t>état physique et sanitaire de la personne privée de liberté, la date, l</w:t>
      </w:r>
      <w:r w:rsidR="00A24C87">
        <w:t>’</w:t>
      </w:r>
      <w:r w:rsidR="00D80F06" w:rsidRPr="002D6CAB">
        <w:t>heure et le motif de la privation de liberté, l</w:t>
      </w:r>
      <w:r w:rsidR="00A24C87">
        <w:t>’</w:t>
      </w:r>
      <w:r w:rsidR="00D80F06" w:rsidRPr="002D6CAB">
        <w:t>autorité</w:t>
      </w:r>
      <w:r w:rsidR="00D80F06">
        <w:t xml:space="preserve"> </w:t>
      </w:r>
      <w:r w:rsidR="00D80F06" w:rsidRPr="002D6CAB">
        <w:t>qui a procédé à la privation de liberté, la date et l</w:t>
      </w:r>
      <w:r w:rsidR="00A24C87">
        <w:t>’</w:t>
      </w:r>
      <w:r w:rsidR="00D80F06" w:rsidRPr="002D6CAB">
        <w:t>heure de la libération ou du transfert vers un autre lieu de détention, la destination et l</w:t>
      </w:r>
      <w:r w:rsidR="00A24C87">
        <w:t>’</w:t>
      </w:r>
      <w:r w:rsidR="00D80F06" w:rsidRPr="002D6CAB">
        <w:t>autorité chargée du transfert.</w:t>
      </w:r>
    </w:p>
    <w:p w:rsidR="00D80F06" w:rsidRPr="002D6CAB" w:rsidRDefault="00C87B7B" w:rsidP="00C87B7B">
      <w:pPr>
        <w:pStyle w:val="SingleTxtG"/>
      </w:pPr>
      <w:r w:rsidRPr="002D6CAB">
        <w:t>138.</w:t>
      </w:r>
      <w:r w:rsidRPr="002D6CAB">
        <w:tab/>
      </w:r>
      <w:r w:rsidR="00D80F06" w:rsidRPr="002D6CAB">
        <w:t>L</w:t>
      </w:r>
      <w:r w:rsidR="00A24C87">
        <w:t>’</w:t>
      </w:r>
      <w:r w:rsidR="00D80F06" w:rsidRPr="002D6CAB">
        <w:t>inobservation de ces garanties fera l</w:t>
      </w:r>
      <w:r w:rsidR="00A24C87">
        <w:t>’</w:t>
      </w:r>
      <w:r w:rsidR="00D80F06" w:rsidRPr="002D6CAB">
        <w:t>objet de sanctions disciplinaires ou de poursuites pénales s</w:t>
      </w:r>
      <w:r w:rsidR="00A24C87">
        <w:t>’</w:t>
      </w:r>
      <w:r w:rsidR="00D80F06" w:rsidRPr="002D6CAB">
        <w:t>il y a lieu.</w:t>
      </w:r>
    </w:p>
    <w:p w:rsidR="00D80F06" w:rsidRPr="002D6CAB" w:rsidRDefault="00C87B7B" w:rsidP="00C87B7B">
      <w:pPr>
        <w:pStyle w:val="SingleTxtG"/>
      </w:pPr>
      <w:r w:rsidRPr="002D6CAB">
        <w:t>139.</w:t>
      </w:r>
      <w:r w:rsidRPr="002D6CAB">
        <w:tab/>
      </w:r>
      <w:r w:rsidR="00D80F06" w:rsidRPr="002D6CAB">
        <w:t>La législation relative à la lutte contre le terrorisme fait actuellement l</w:t>
      </w:r>
      <w:r w:rsidR="00A24C87">
        <w:t>’</w:t>
      </w:r>
      <w:r w:rsidR="00D80F06" w:rsidRPr="002D6CAB">
        <w:t>objet d</w:t>
      </w:r>
      <w:r w:rsidR="00A24C87">
        <w:t>’</w:t>
      </w:r>
      <w:r w:rsidR="00D80F06" w:rsidRPr="002D6CAB">
        <w:t xml:space="preserve">un audit de la part de la direction du </w:t>
      </w:r>
      <w:proofErr w:type="spellStart"/>
      <w:r w:rsidR="00D80F06" w:rsidRPr="002D6CAB">
        <w:t>contreterrorisme</w:t>
      </w:r>
      <w:proofErr w:type="spellEnd"/>
      <w:r w:rsidR="00D80F06" w:rsidRPr="002D6CAB">
        <w:t xml:space="preserve"> des Nations Unies, de l</w:t>
      </w:r>
      <w:r w:rsidR="00A24C87">
        <w:t>’</w:t>
      </w:r>
      <w:r w:rsidR="00D80F06" w:rsidRPr="002D6CAB">
        <w:t>ONUDC et du PNUD sur initiative des autorités mauritaniennes pour l</w:t>
      </w:r>
      <w:r w:rsidR="00A24C87">
        <w:t>’</w:t>
      </w:r>
      <w:r w:rsidR="00D80F06" w:rsidRPr="002D6CAB">
        <w:t>adapter à l</w:t>
      </w:r>
      <w:r w:rsidR="00A24C87">
        <w:t>’</w:t>
      </w:r>
      <w:r w:rsidR="00D80F06" w:rsidRPr="002D6CAB">
        <w:t>évolution du terrorisme et de la législation internationale dans le respect des droits de l</w:t>
      </w:r>
      <w:r w:rsidR="00A24C87">
        <w:t>’</w:t>
      </w:r>
      <w:r w:rsidR="00D80F06" w:rsidRPr="002D6CAB">
        <w:t>homme.</w:t>
      </w:r>
    </w:p>
    <w:p w:rsidR="00D80F06" w:rsidRPr="002D6CAB" w:rsidRDefault="00C87B7B" w:rsidP="00C87B7B">
      <w:pPr>
        <w:pStyle w:val="SingleTxtG"/>
      </w:pPr>
      <w:r w:rsidRPr="002D6CAB">
        <w:t>140.</w:t>
      </w:r>
      <w:r w:rsidRPr="002D6CAB">
        <w:tab/>
      </w:r>
      <w:r w:rsidR="00D80F06" w:rsidRPr="002D6CAB">
        <w:t>Les pouvoirs publics exercent un contrôle rigoureux des lieux de détention et entreprennent les mesures nécessaires à l</w:t>
      </w:r>
      <w:r w:rsidR="00A24C87">
        <w:t>’</w:t>
      </w:r>
      <w:r w:rsidR="00D80F06" w:rsidRPr="002D6CAB">
        <w:t xml:space="preserve">amélioration des conditions de détention en prisons. </w:t>
      </w:r>
    </w:p>
    <w:p w:rsidR="00D80F06" w:rsidRPr="002D6CAB" w:rsidRDefault="00C87B7B" w:rsidP="00C87B7B">
      <w:pPr>
        <w:pStyle w:val="SingleTxtG"/>
      </w:pPr>
      <w:r w:rsidRPr="002D6CAB">
        <w:t>141.</w:t>
      </w:r>
      <w:r w:rsidRPr="002D6CAB">
        <w:tab/>
      </w:r>
      <w:r w:rsidR="00D80F06" w:rsidRPr="002D6CAB">
        <w:t>L</w:t>
      </w:r>
      <w:r w:rsidR="00A24C87">
        <w:t>’</w:t>
      </w:r>
      <w:r w:rsidR="00B253B0">
        <w:t>État</w:t>
      </w:r>
      <w:r w:rsidR="00D80F06" w:rsidRPr="002D6CAB">
        <w:t xml:space="preserve"> consacre chaque année, au titre du budget de fonctionnement, une allocation importante pour l</w:t>
      </w:r>
      <w:r w:rsidR="00A24C87">
        <w:t>’</w:t>
      </w:r>
      <w:r w:rsidR="00D80F06" w:rsidRPr="002D6CAB">
        <w:t>alimentation des détenus. Il est prévu que cette allocation progresse de près de 15</w:t>
      </w:r>
      <w:r w:rsidR="00AB36E9">
        <w:t> </w:t>
      </w:r>
      <w:r w:rsidR="00D80F06" w:rsidRPr="002D6CAB">
        <w:t xml:space="preserve">% en 2018. </w:t>
      </w:r>
    </w:p>
    <w:p w:rsidR="00D80F06" w:rsidRPr="002D6CAB" w:rsidRDefault="00C87B7B" w:rsidP="00C87B7B">
      <w:pPr>
        <w:pStyle w:val="SingleTxtG"/>
      </w:pPr>
      <w:r w:rsidRPr="002D6CAB">
        <w:t>142.</w:t>
      </w:r>
      <w:r w:rsidRPr="002D6CAB">
        <w:tab/>
      </w:r>
      <w:r w:rsidR="00D80F06" w:rsidRPr="002D6CAB">
        <w:t>En tout état de cause, les pensionnaires ont accès à une alimentation de bonne qualité, ayant la valeur nutritive nécessaire au maintien de leur santé et leurs forces. Trois repas (petit déjeuner, déjeuner et dîner) selon un menu hebdomadaire varié, sont régulièrement servis chaque jour à l</w:t>
      </w:r>
      <w:r w:rsidR="00A24C87">
        <w:t>’</w:t>
      </w:r>
      <w:r w:rsidR="00D80F06" w:rsidRPr="002D6CAB">
        <w:t>ensemble de la population carcérale. Une marmite spéciale est destinée aux détenus vulnérables (malades, femmes enceintes, mineurs et personnes âgées).</w:t>
      </w:r>
    </w:p>
    <w:p w:rsidR="00D80F06" w:rsidRPr="002D6CAB" w:rsidRDefault="00C87B7B" w:rsidP="00C87B7B">
      <w:pPr>
        <w:pStyle w:val="SingleTxtG"/>
      </w:pPr>
      <w:r w:rsidRPr="002D6CAB">
        <w:t>143.</w:t>
      </w:r>
      <w:r w:rsidRPr="002D6CAB">
        <w:tab/>
      </w:r>
      <w:r w:rsidR="00D80F06" w:rsidRPr="002D6CAB">
        <w:t>Toutes les prisons du pays, en service, sont raccordées au réseau domestique d</w:t>
      </w:r>
      <w:r w:rsidR="00A24C87">
        <w:t>’</w:t>
      </w:r>
      <w:r w:rsidR="00D80F06" w:rsidRPr="002D6CAB">
        <w:t>eau potable et d</w:t>
      </w:r>
      <w:r w:rsidR="00A24C87">
        <w:t>’</w:t>
      </w:r>
      <w:r w:rsidR="00D80F06" w:rsidRPr="002D6CAB">
        <w:t>électricité.</w:t>
      </w:r>
    </w:p>
    <w:p w:rsidR="00D80F06" w:rsidRPr="002D6CAB" w:rsidRDefault="00C87B7B" w:rsidP="00C87B7B">
      <w:pPr>
        <w:pStyle w:val="SingleTxtG"/>
      </w:pPr>
      <w:r w:rsidRPr="002D6CAB">
        <w:t>144.</w:t>
      </w:r>
      <w:r w:rsidRPr="002D6CAB">
        <w:tab/>
      </w:r>
      <w:r w:rsidR="00D80F06" w:rsidRPr="002D6CAB">
        <w:t>L</w:t>
      </w:r>
      <w:r w:rsidR="00A24C87">
        <w:t>’</w:t>
      </w:r>
      <w:r w:rsidR="00D80F06" w:rsidRPr="002D6CAB">
        <w:t>hygiène des détenus et la salubrité des établissements sont assurés par la distribution régulière de produits d</w:t>
      </w:r>
      <w:r w:rsidR="00A24C87">
        <w:t>’</w:t>
      </w:r>
      <w:r w:rsidR="00D80F06" w:rsidRPr="002D6CAB">
        <w:t xml:space="preserve">entretien (détergent, eau de javel, savon, insecticides, balais, </w:t>
      </w:r>
      <w:proofErr w:type="spellStart"/>
      <w:r w:rsidR="00D80F06" w:rsidRPr="002D6CAB">
        <w:t>serpillères</w:t>
      </w:r>
      <w:proofErr w:type="spellEnd"/>
      <w:r w:rsidR="00D80F06" w:rsidRPr="002D6CAB">
        <w:t>, raclettes, etc.) dans toutes les prisons.</w:t>
      </w:r>
    </w:p>
    <w:p w:rsidR="00D80F06" w:rsidRPr="002D6CAB" w:rsidRDefault="00C87B7B" w:rsidP="00C87B7B">
      <w:pPr>
        <w:pStyle w:val="SingleTxtG"/>
      </w:pPr>
      <w:r w:rsidRPr="002D6CAB">
        <w:t>145.</w:t>
      </w:r>
      <w:r w:rsidRPr="002D6CAB">
        <w:tab/>
      </w:r>
      <w:r w:rsidR="00D80F06" w:rsidRPr="002D6CAB">
        <w:t>Le matériel de couchage de l</w:t>
      </w:r>
      <w:r w:rsidR="00A24C87">
        <w:t>’</w:t>
      </w:r>
      <w:r w:rsidR="00D80F06" w:rsidRPr="002D6CAB">
        <w:t xml:space="preserve">ensemble des prisons nationales ainsi que les équipements de cuisine ont été renouvelés en 2016. </w:t>
      </w:r>
    </w:p>
    <w:p w:rsidR="00D80F06" w:rsidRPr="002D6CAB" w:rsidRDefault="00C87B7B" w:rsidP="00C87B7B">
      <w:pPr>
        <w:pStyle w:val="SingleTxtG"/>
      </w:pPr>
      <w:r w:rsidRPr="002D6CAB">
        <w:t>146.</w:t>
      </w:r>
      <w:r w:rsidRPr="002D6CAB">
        <w:tab/>
      </w:r>
      <w:r w:rsidR="00D80F06" w:rsidRPr="002D6CAB">
        <w:t>Les grands établissements (Dar-</w:t>
      </w:r>
      <w:proofErr w:type="spellStart"/>
      <w:r w:rsidR="00D80F06" w:rsidRPr="002D6CAB">
        <w:t>naim</w:t>
      </w:r>
      <w:proofErr w:type="spellEnd"/>
      <w:r w:rsidR="00D80F06" w:rsidRPr="002D6CAB">
        <w:t xml:space="preserve">, centrale, prison de femmes, Aleg, Nouadhibou et </w:t>
      </w:r>
      <w:proofErr w:type="spellStart"/>
      <w:r w:rsidR="00D80F06" w:rsidRPr="002D6CAB">
        <w:t>Bir-Moghrein</w:t>
      </w:r>
      <w:proofErr w:type="spellEnd"/>
      <w:r w:rsidR="00D80F06" w:rsidRPr="002D6CAB">
        <w:t>) sont équipés de groupes électrogènes assurant l</w:t>
      </w:r>
      <w:r w:rsidR="00A24C87">
        <w:t>’</w:t>
      </w:r>
      <w:r w:rsidR="00D80F06" w:rsidRPr="002D6CAB">
        <w:t xml:space="preserve">autonomie en cas de coupure ou panne du réseau électrique domestique. </w:t>
      </w:r>
    </w:p>
    <w:p w:rsidR="00D80F06" w:rsidRPr="002D6CAB" w:rsidRDefault="00C87B7B" w:rsidP="00C87B7B">
      <w:pPr>
        <w:pStyle w:val="SingleTxtG"/>
      </w:pPr>
      <w:r w:rsidRPr="002D6CAB">
        <w:t>147.</w:t>
      </w:r>
      <w:r w:rsidRPr="002D6CAB">
        <w:tab/>
      </w:r>
      <w:r w:rsidR="00D80F06" w:rsidRPr="002D6CAB">
        <w:t xml:space="preserve">Des chambres froides pour la conservation des produits frais ont été construites à Nouakchott et </w:t>
      </w:r>
      <w:proofErr w:type="spellStart"/>
      <w:r w:rsidR="00D80F06" w:rsidRPr="002D6CAB">
        <w:t>Al</w:t>
      </w:r>
      <w:r w:rsidR="00357320">
        <w:t>F</w:t>
      </w:r>
      <w:r w:rsidR="00D80F06" w:rsidRPr="002D6CAB">
        <w:t>eg</w:t>
      </w:r>
      <w:proofErr w:type="spellEnd"/>
      <w:r w:rsidR="00D80F06" w:rsidRPr="002D6CAB">
        <w:t>. D</w:t>
      </w:r>
      <w:r w:rsidR="00A24C87">
        <w:t>’</w:t>
      </w:r>
      <w:r w:rsidR="00D80F06" w:rsidRPr="002D6CAB">
        <w:t>autres sont en cours d</w:t>
      </w:r>
      <w:r w:rsidR="00A24C87">
        <w:t>’</w:t>
      </w:r>
      <w:r w:rsidR="00D80F06" w:rsidRPr="002D6CAB">
        <w:t>installations à Nouadhibou.</w:t>
      </w:r>
    </w:p>
    <w:p w:rsidR="00D80F06" w:rsidRPr="002D6CAB" w:rsidRDefault="00C87B7B" w:rsidP="00C87B7B">
      <w:pPr>
        <w:pStyle w:val="SingleTxtG"/>
      </w:pPr>
      <w:r w:rsidRPr="002D6CAB">
        <w:t>148.</w:t>
      </w:r>
      <w:r w:rsidRPr="002D6CAB">
        <w:tab/>
      </w:r>
      <w:r w:rsidR="00D80F06" w:rsidRPr="002D6CAB">
        <w:t>Au</w:t>
      </w:r>
      <w:r w:rsidR="00D80F06">
        <w:t xml:space="preserve"> </w:t>
      </w:r>
      <w:r w:rsidR="00D80F06" w:rsidRPr="002D6CAB">
        <w:t>plan de la santé, la gratuité des soins nécessaires et des produits et spécialités pharmaceutiques est assurée pour l</w:t>
      </w:r>
      <w:r w:rsidR="00A24C87">
        <w:t>’</w:t>
      </w:r>
      <w:r w:rsidR="00D80F06" w:rsidRPr="002D6CAB">
        <w:t xml:space="preserve">ensemble de la population carcérale. Les services de santé fournis aux détenus sont les mêmes que ceux mis à la disposition de la communauté. </w:t>
      </w:r>
    </w:p>
    <w:p w:rsidR="00D80F06" w:rsidRPr="002D6CAB" w:rsidRDefault="00C87B7B" w:rsidP="00C87B7B">
      <w:pPr>
        <w:pStyle w:val="SingleTxtG"/>
      </w:pPr>
      <w:r w:rsidRPr="002D6CAB">
        <w:lastRenderedPageBreak/>
        <w:t>149.</w:t>
      </w:r>
      <w:r w:rsidRPr="002D6CAB">
        <w:tab/>
      </w:r>
      <w:r w:rsidR="00D80F06" w:rsidRPr="002D6CAB">
        <w:t>Tous les établissements pénitentiaires d</w:t>
      </w:r>
      <w:r w:rsidR="00A24C87">
        <w:t>’</w:t>
      </w:r>
      <w:r w:rsidR="00D80F06" w:rsidRPr="002D6CAB">
        <w:t>une capacité de 200 détenus sont pourvus d</w:t>
      </w:r>
      <w:r w:rsidR="00A24C87">
        <w:t>’</w:t>
      </w:r>
      <w:r w:rsidR="00D80F06" w:rsidRPr="002D6CAB">
        <w:t>un poste de santé équipé et doté de personnel médical et paramédical, qui assure un service de proximité de jour comme de nuit. La liaison avec les structures extérieures de santé publique est assurée par des ambulances mises à la disposition des prisons de Nouakchott, d</w:t>
      </w:r>
      <w:r w:rsidR="00A24C87">
        <w:t>’</w:t>
      </w:r>
      <w:r w:rsidR="00D80F06" w:rsidRPr="002D6CAB">
        <w:t xml:space="preserve">Aleg et de </w:t>
      </w:r>
      <w:proofErr w:type="spellStart"/>
      <w:r w:rsidR="00D80F06" w:rsidRPr="002D6CAB">
        <w:t>Birmougrein</w:t>
      </w:r>
      <w:proofErr w:type="spellEnd"/>
      <w:r w:rsidR="00D80F06" w:rsidRPr="002D6CAB">
        <w:t xml:space="preserve">. </w:t>
      </w:r>
    </w:p>
    <w:p w:rsidR="00D80F06" w:rsidRPr="002D6CAB" w:rsidRDefault="00C87B7B" w:rsidP="00C87B7B">
      <w:pPr>
        <w:pStyle w:val="SingleTxtG"/>
      </w:pPr>
      <w:r w:rsidRPr="002D6CAB">
        <w:t>150.</w:t>
      </w:r>
      <w:r w:rsidRPr="002D6CAB">
        <w:tab/>
      </w:r>
      <w:r w:rsidR="00D80F06" w:rsidRPr="002D6CAB">
        <w:t>Le service de santé au sein des prisons de moindre capacité est assuré par les structures de santé publique civiles et militaires de leurs ressorts.</w:t>
      </w:r>
      <w:r w:rsidR="00D80F06">
        <w:t xml:space="preserve"> </w:t>
      </w:r>
    </w:p>
    <w:p w:rsidR="00D80F06" w:rsidRPr="002D6CAB" w:rsidRDefault="00C87B7B" w:rsidP="00C87B7B">
      <w:pPr>
        <w:pStyle w:val="SingleTxtG"/>
      </w:pPr>
      <w:r w:rsidRPr="002D6CAB">
        <w:t>151.</w:t>
      </w:r>
      <w:r w:rsidRPr="002D6CAB">
        <w:tab/>
      </w:r>
      <w:r w:rsidR="00D80F06" w:rsidRPr="002D6CAB">
        <w:t>Le taux global d</w:t>
      </w:r>
      <w:r w:rsidR="00A24C87">
        <w:t>’</w:t>
      </w:r>
      <w:r w:rsidR="00D80F06" w:rsidRPr="002D6CAB">
        <w:t>occupation des prisons est de 100,6</w:t>
      </w:r>
      <w:r w:rsidR="00AB36E9">
        <w:t> </w:t>
      </w:r>
      <w:r w:rsidR="00D80F06" w:rsidRPr="002D6CAB">
        <w:t>%. Ce taux atteint 182,3</w:t>
      </w:r>
      <w:r w:rsidR="00AB36E9">
        <w:t> </w:t>
      </w:r>
      <w:r w:rsidR="00D80F06" w:rsidRPr="002D6CAB">
        <w:t>% à Dar-</w:t>
      </w:r>
      <w:proofErr w:type="spellStart"/>
      <w:r w:rsidR="00D80F06" w:rsidRPr="002D6CAB">
        <w:t>Naim</w:t>
      </w:r>
      <w:proofErr w:type="spellEnd"/>
      <w:r w:rsidR="00D80F06" w:rsidRPr="002D6CAB">
        <w:t xml:space="preserve"> (Nouakchott), 142</w:t>
      </w:r>
      <w:r w:rsidR="00AB36E9">
        <w:t> </w:t>
      </w:r>
      <w:r w:rsidR="00D80F06" w:rsidRPr="002D6CAB">
        <w:t>% à la centrale (Nouakchott). La difficulté liée à la surpopulation carcérale réside plutôt dans la répartition géographique des établissements pénitentiaires que dans la capacité globale d</w:t>
      </w:r>
      <w:r w:rsidR="00A24C87">
        <w:t>’</w:t>
      </w:r>
      <w:r w:rsidR="00D80F06" w:rsidRPr="002D6CAB">
        <w:t xml:space="preserve">accueil de ces établissements. </w:t>
      </w:r>
    </w:p>
    <w:p w:rsidR="00D80F06" w:rsidRPr="002D6CAB" w:rsidRDefault="00C87B7B" w:rsidP="00C87B7B">
      <w:pPr>
        <w:pStyle w:val="SingleTxtG"/>
      </w:pPr>
      <w:r w:rsidRPr="002D6CAB">
        <w:t>152.</w:t>
      </w:r>
      <w:r w:rsidRPr="002D6CAB">
        <w:tab/>
      </w:r>
      <w:r w:rsidR="00D80F06" w:rsidRPr="002D6CAB">
        <w:t>La réhabilitation des prisons de Kaédi et Rosso, et la construction et l</w:t>
      </w:r>
      <w:r w:rsidR="00A24C87">
        <w:t>’</w:t>
      </w:r>
      <w:r w:rsidR="00D80F06" w:rsidRPr="002D6CAB">
        <w:t xml:space="preserve">ouverture de nouveaux établissements déjà opérationnels (la prison secondaire de </w:t>
      </w:r>
      <w:proofErr w:type="spellStart"/>
      <w:r w:rsidR="00D80F06" w:rsidRPr="002D6CAB">
        <w:t>Bir-Moghrein</w:t>
      </w:r>
      <w:proofErr w:type="spellEnd"/>
      <w:r w:rsidR="00D80F06" w:rsidRPr="002D6CAB">
        <w:t xml:space="preserve"> et la prison de femmes à Nouakchott-Sud) et d</w:t>
      </w:r>
      <w:r w:rsidR="00A24C87">
        <w:t>’</w:t>
      </w:r>
      <w:r w:rsidR="00D80F06" w:rsidRPr="002D6CAB">
        <w:t>autres qui sont en cours d</w:t>
      </w:r>
      <w:r w:rsidR="00A24C87">
        <w:t>’</w:t>
      </w:r>
      <w:r w:rsidR="00D80F06" w:rsidRPr="002D6CAB">
        <w:t>achèvement (le Centre fermé pour enfants en conflit avec la loi à Nouakchott-Ouest et la prison de N</w:t>
      </w:r>
      <w:r w:rsidR="00A24C87">
        <w:t>’</w:t>
      </w:r>
      <w:proofErr w:type="spellStart"/>
      <w:r w:rsidR="00D80F06" w:rsidRPr="002D6CAB">
        <w:t>Beika</w:t>
      </w:r>
      <w:proofErr w:type="spellEnd"/>
      <w:r w:rsidR="00D80F06" w:rsidRPr="002D6CAB">
        <w:t xml:space="preserve">), permettront de désengorger davantage les prisons de Nouakchott qui sont les seules à </w:t>
      </w:r>
      <w:proofErr w:type="spellStart"/>
      <w:r w:rsidR="00D80F06" w:rsidRPr="002D6CAB">
        <w:t>connaitre</w:t>
      </w:r>
      <w:proofErr w:type="spellEnd"/>
      <w:r w:rsidR="00D80F06" w:rsidRPr="002D6CAB">
        <w:t xml:space="preserve"> du phénomène de surpopulation. </w:t>
      </w:r>
    </w:p>
    <w:p w:rsidR="00D80F06" w:rsidRPr="002D6CAB" w:rsidRDefault="00C87B7B" w:rsidP="00C87B7B">
      <w:pPr>
        <w:pStyle w:val="SingleTxtG"/>
      </w:pPr>
      <w:r w:rsidRPr="002D6CAB">
        <w:t>153.</w:t>
      </w:r>
      <w:r w:rsidRPr="002D6CAB">
        <w:tab/>
      </w:r>
      <w:r w:rsidR="00D80F06" w:rsidRPr="002D6CAB">
        <w:t>Une opération de répartition équilibrée de la population carcérale,</w:t>
      </w:r>
      <w:r w:rsidR="00D80F06">
        <w:t xml:space="preserve"> </w:t>
      </w:r>
      <w:r w:rsidR="00D80F06" w:rsidRPr="002D6CAB">
        <w:t>parmi les condamnés, entre les différents établissements pénitentiaires a été réalisée. Des opérations de désengorgement ont été effectuées en 2016 et 2017 avec le transfert respectif de 768 et de 434 condamnés de Nouakchott vers des centres pénitenciers d</w:t>
      </w:r>
      <w:r w:rsidR="00A24C87">
        <w:t>’</w:t>
      </w:r>
      <w:r w:rsidR="00D80F06" w:rsidRPr="002D6CAB">
        <w:t xml:space="preserve">accueil disposant de places libres (Aleg, Nouadhibou, </w:t>
      </w:r>
      <w:proofErr w:type="spellStart"/>
      <w:r w:rsidR="00D80F06" w:rsidRPr="002D6CAB">
        <w:t>Bir-Moghrein</w:t>
      </w:r>
      <w:proofErr w:type="spellEnd"/>
      <w:r w:rsidR="00D80F06" w:rsidRPr="002D6CAB">
        <w:t>).</w:t>
      </w:r>
    </w:p>
    <w:p w:rsidR="00D80F06" w:rsidRPr="002D6CAB" w:rsidRDefault="00C87B7B" w:rsidP="00C87B7B">
      <w:pPr>
        <w:pStyle w:val="SingleTxtG"/>
      </w:pPr>
      <w:r w:rsidRPr="002D6CAB">
        <w:t>154.</w:t>
      </w:r>
      <w:r w:rsidRPr="002D6CAB">
        <w:tab/>
      </w:r>
      <w:r w:rsidR="00D80F06" w:rsidRPr="002D6CAB">
        <w:t>Le traitement des détenus au sein des établissements pénitentiaires et de réinsertion</w:t>
      </w:r>
      <w:r w:rsidR="00D80F06">
        <w:t xml:space="preserve"> </w:t>
      </w:r>
      <w:r w:rsidR="00D80F06" w:rsidRPr="002D6CAB">
        <w:t>vise à les réhabiliter grâce à l</w:t>
      </w:r>
      <w:r w:rsidR="00A24C87">
        <w:t>’</w:t>
      </w:r>
      <w:r w:rsidR="00D80F06" w:rsidRPr="002D6CAB">
        <w:t>utilisation des moyens pédagogiques, éducationnels, religieux, sanitaires, l</w:t>
      </w:r>
      <w:r w:rsidR="00A24C87">
        <w:t>’</w:t>
      </w:r>
      <w:r w:rsidR="00D80F06" w:rsidRPr="002D6CAB">
        <w:t xml:space="preserve">apprentissage professionnel, le service social et les activités sportives, culturelles et de loisirs. </w:t>
      </w:r>
    </w:p>
    <w:p w:rsidR="00D80F06" w:rsidRPr="002D6CAB" w:rsidRDefault="00C87B7B" w:rsidP="00C87B7B">
      <w:pPr>
        <w:pStyle w:val="SingleTxtG"/>
      </w:pPr>
      <w:r w:rsidRPr="002D6CAB">
        <w:t>155.</w:t>
      </w:r>
      <w:r w:rsidRPr="002D6CAB">
        <w:tab/>
      </w:r>
      <w:r w:rsidR="00D80F06" w:rsidRPr="002D6CAB">
        <w:t>C</w:t>
      </w:r>
      <w:r w:rsidR="00A24C87">
        <w:t>’</w:t>
      </w:r>
      <w:r w:rsidR="00D80F06" w:rsidRPr="002D6CAB">
        <w:t>est dans ce cadre que l</w:t>
      </w:r>
      <w:r w:rsidR="00A24C87">
        <w:t>’</w:t>
      </w:r>
      <w:r w:rsidR="00D80F06" w:rsidRPr="002D6CAB">
        <w:t>administration pénitentiaire travaille à mettre en place les conditions propices à la réalisation de cet objectif. Plusieurs activités et ateliers de réinsertion ont été créés dans les domaines de la formation professionnelle, l</w:t>
      </w:r>
      <w:r w:rsidR="00A24C87">
        <w:t>’</w:t>
      </w:r>
      <w:r w:rsidR="00D80F06" w:rsidRPr="002D6CAB">
        <w:t>amélioration des conditions de vie et l</w:t>
      </w:r>
      <w:r w:rsidR="00A24C87">
        <w:t>’</w:t>
      </w:r>
      <w:r w:rsidR="00D80F06" w:rsidRPr="002D6CAB">
        <w:t xml:space="preserve">apprentissage aux métiers (soudure et menuiserie métalliques, plomberie sanitaire, électricité bâtiment, traitement de texte et maintenance informatique, fabrique de briques, </w:t>
      </w:r>
      <w:proofErr w:type="spellStart"/>
      <w:r w:rsidR="00D80F06" w:rsidRPr="002D6CAB">
        <w:t>maraichage</w:t>
      </w:r>
      <w:proofErr w:type="spellEnd"/>
      <w:r w:rsidR="00D80F06" w:rsidRPr="002D6CAB">
        <w:t xml:space="preserve">, pépinière, coiffure, boulangerie artisanale, etc.). </w:t>
      </w:r>
    </w:p>
    <w:p w:rsidR="00D80F06" w:rsidRPr="002D6CAB" w:rsidRDefault="00C87B7B" w:rsidP="00C87B7B">
      <w:pPr>
        <w:pStyle w:val="SingleTxtG"/>
      </w:pPr>
      <w:r w:rsidRPr="002D6CAB">
        <w:t>156.</w:t>
      </w:r>
      <w:r w:rsidRPr="002D6CAB">
        <w:tab/>
      </w:r>
      <w:r w:rsidR="00D80F06" w:rsidRPr="002D6CAB">
        <w:t>Le Ministère des Affaires Islamiques et à l</w:t>
      </w:r>
      <w:r w:rsidR="00A24C87">
        <w:t>’</w:t>
      </w:r>
      <w:r w:rsidR="00D80F06" w:rsidRPr="002D6CAB">
        <w:t>Enseignement Originel vient d</w:t>
      </w:r>
      <w:r w:rsidR="00A24C87">
        <w:t>’</w:t>
      </w:r>
      <w:r w:rsidR="00D80F06" w:rsidRPr="002D6CAB">
        <w:t>entamer la prise en charge de la composante initiation civique et religieuse en prison. La direction de l</w:t>
      </w:r>
      <w:r w:rsidR="00A24C87">
        <w:t>’</w:t>
      </w:r>
      <w:r w:rsidR="00D80F06" w:rsidRPr="002D6CAB">
        <w:t>orientation islamique a commencé à dispenser des enseignements au niveau de la prison de femmes de Nouakchott.</w:t>
      </w:r>
      <w:r w:rsidR="00D80F06">
        <w:t xml:space="preserve"> </w:t>
      </w:r>
    </w:p>
    <w:p w:rsidR="00D80F06" w:rsidRPr="002D6CAB" w:rsidRDefault="00C87B7B" w:rsidP="00C87B7B">
      <w:pPr>
        <w:pStyle w:val="SingleTxtG"/>
      </w:pPr>
      <w:r w:rsidRPr="002D6CAB">
        <w:t>157.</w:t>
      </w:r>
      <w:r w:rsidRPr="002D6CAB">
        <w:tab/>
      </w:r>
      <w:r w:rsidR="00D80F06" w:rsidRPr="002D6CAB">
        <w:t>Dans le cadre de l</w:t>
      </w:r>
      <w:r w:rsidR="00A24C87">
        <w:t>’</w:t>
      </w:r>
      <w:r w:rsidR="00D80F06" w:rsidRPr="002D6CAB">
        <w:t>aménagement de peines, depuis 2016, la grâce présidentielle et la libération conditionnelle ont bénéfice à 147 détenus</w:t>
      </w:r>
      <w:r w:rsidR="006E4051">
        <w:t xml:space="preserve"> </w:t>
      </w:r>
      <w:r w:rsidR="00D80F06" w:rsidRPr="002D6CAB">
        <w:t>dont 15 femmes.</w:t>
      </w:r>
    </w:p>
    <w:p w:rsidR="00D80F06" w:rsidRPr="002D6CAB" w:rsidRDefault="00C87B7B" w:rsidP="00C87B7B">
      <w:pPr>
        <w:pStyle w:val="SingleTxtG"/>
      </w:pPr>
      <w:r w:rsidRPr="002D6CAB">
        <w:t>158.</w:t>
      </w:r>
      <w:r w:rsidRPr="002D6CAB">
        <w:tab/>
      </w:r>
      <w:r w:rsidR="00D80F06" w:rsidRPr="002D6CAB">
        <w:t>Le suivi extérieur de ces personnes est assuré en partie par le Ministère chargé des affaires sociales, qui depuis 2016 prend en charge les femmes bénéficiaires de mesures d</w:t>
      </w:r>
      <w:r w:rsidR="00A24C87">
        <w:t>’</w:t>
      </w:r>
      <w:r w:rsidR="00D80F06" w:rsidRPr="002D6CAB">
        <w:t xml:space="preserve">aménagement de peines. Aussi, le Commissariat aux </w:t>
      </w:r>
      <w:r w:rsidR="00533D17">
        <w:t>d</w:t>
      </w:r>
      <w:r w:rsidR="00D80F06" w:rsidRPr="002D6CAB">
        <w:t>roits de l</w:t>
      </w:r>
      <w:r w:rsidR="00A24C87">
        <w:t>’</w:t>
      </w:r>
      <w:r w:rsidR="00533D17">
        <w:t>h</w:t>
      </w:r>
      <w:r w:rsidR="00D80F06" w:rsidRPr="002D6CAB">
        <w:t>omme et à l</w:t>
      </w:r>
      <w:r w:rsidR="00A24C87">
        <w:t>’</w:t>
      </w:r>
      <w:r w:rsidR="00533D17">
        <w:t>a</w:t>
      </w:r>
      <w:r w:rsidR="00D80F06" w:rsidRPr="002D6CAB">
        <w:t xml:space="preserve">ction </w:t>
      </w:r>
      <w:r w:rsidR="00533D17">
        <w:t>h</w:t>
      </w:r>
      <w:r w:rsidR="00D80F06" w:rsidRPr="002D6CAB">
        <w:t>umanitaire (CDHAH) a apporté son appui et accompagnement à la réinsertion d</w:t>
      </w:r>
      <w:r w:rsidR="00A24C87">
        <w:t>’</w:t>
      </w:r>
      <w:r w:rsidR="00D80F06" w:rsidRPr="002D6CAB">
        <w:t xml:space="preserve">un groupe de jeunes ayant bénéficié des mêmes mesures. </w:t>
      </w:r>
    </w:p>
    <w:p w:rsidR="00D80F06" w:rsidRPr="002D6CAB" w:rsidRDefault="00C87B7B" w:rsidP="00C87B7B">
      <w:pPr>
        <w:pStyle w:val="SingleTxtG"/>
      </w:pPr>
      <w:r w:rsidRPr="002D6CAB">
        <w:t>159.</w:t>
      </w:r>
      <w:r w:rsidRPr="002D6CAB">
        <w:tab/>
      </w:r>
      <w:r w:rsidR="00D80F06" w:rsidRPr="002D6CAB">
        <w:t>En outre, des partenaires non-gouvernementaux, comme la Fondation Noura et Caritas-Mauritanie assurent un suivi à l</w:t>
      </w:r>
      <w:r w:rsidR="00A24C87">
        <w:t>’</w:t>
      </w:r>
      <w:r w:rsidR="00D80F06" w:rsidRPr="002D6CAB">
        <w:t>extérieur et financent des activités génératrices de revenus au profit des anciens détenus.</w:t>
      </w:r>
    </w:p>
    <w:p w:rsidR="00D80F06" w:rsidRPr="00865EA1" w:rsidRDefault="00D80F06" w:rsidP="00027EE8">
      <w:pPr>
        <w:pStyle w:val="SingleTxtG"/>
        <w:ind w:left="1701"/>
        <w:rPr>
          <w:i/>
        </w:rPr>
      </w:pPr>
      <w:r w:rsidRPr="00865EA1">
        <w:rPr>
          <w:i/>
        </w:rPr>
        <w:t>Recommandation 15</w:t>
      </w:r>
      <w:r w:rsidR="00FB29A2" w:rsidRPr="00865EA1">
        <w:rPr>
          <w:i/>
        </w:rPr>
        <w:t> :</w:t>
      </w:r>
    </w:p>
    <w:p w:rsidR="00D80F06" w:rsidRPr="00865EA1" w:rsidRDefault="00D80F06" w:rsidP="00027EE8">
      <w:pPr>
        <w:pStyle w:val="SingleTxtG"/>
        <w:ind w:left="1701"/>
        <w:rPr>
          <w:i/>
        </w:rPr>
      </w:pPr>
      <w:r w:rsidRPr="00865EA1">
        <w:rPr>
          <w:i/>
        </w:rPr>
        <w:t>L</w:t>
      </w:r>
      <w:r w:rsidR="00A24C87" w:rsidRPr="00865EA1">
        <w:rPr>
          <w:i/>
        </w:rPr>
        <w:t>’</w:t>
      </w:r>
      <w:r w:rsidRPr="00865EA1">
        <w:rPr>
          <w:i/>
        </w:rPr>
        <w:t>État partie devrait garantir l</w:t>
      </w:r>
      <w:r w:rsidR="00A24C87" w:rsidRPr="00865EA1">
        <w:rPr>
          <w:i/>
        </w:rPr>
        <w:t>’</w:t>
      </w:r>
      <w:r w:rsidRPr="00865EA1">
        <w:rPr>
          <w:i/>
        </w:rPr>
        <w:t>indépendance du système judiciaire et la transparence de ses procédures tout en lui donnant les ressources nécessaires à son fonctionnement. Il devrait également inclure l</w:t>
      </w:r>
      <w:r w:rsidR="00A24C87" w:rsidRPr="00865EA1">
        <w:rPr>
          <w:i/>
        </w:rPr>
        <w:t>’</w:t>
      </w:r>
      <w:r w:rsidRPr="00865EA1">
        <w:rPr>
          <w:i/>
        </w:rPr>
        <w:t>enseignement des droits de l</w:t>
      </w:r>
      <w:r w:rsidR="00A24C87" w:rsidRPr="00865EA1">
        <w:rPr>
          <w:i/>
        </w:rPr>
        <w:t>’</w:t>
      </w:r>
      <w:r w:rsidRPr="00865EA1">
        <w:rPr>
          <w:i/>
        </w:rPr>
        <w:t>homme dans la formation des juges, des magistrats et des avocats. L</w:t>
      </w:r>
      <w:r w:rsidR="00A24C87" w:rsidRPr="00865EA1">
        <w:rPr>
          <w:i/>
        </w:rPr>
        <w:t>’</w:t>
      </w:r>
      <w:r w:rsidRPr="00865EA1">
        <w:rPr>
          <w:i/>
        </w:rPr>
        <w:t>État partie devrait enfin prendre les moyens nécessaires afin que tous les droits prévus à l</w:t>
      </w:r>
      <w:r w:rsidR="00A24C87" w:rsidRPr="00865EA1">
        <w:rPr>
          <w:i/>
        </w:rPr>
        <w:t>’</w:t>
      </w:r>
      <w:r w:rsidRPr="00865EA1">
        <w:rPr>
          <w:i/>
        </w:rPr>
        <w:t xml:space="preserve">article 14 du Pacte soient garantis aux justiciables dans le droit et dans la pratique. </w:t>
      </w:r>
    </w:p>
    <w:p w:rsidR="00D80F06" w:rsidRPr="002D6CAB" w:rsidRDefault="00C87B7B" w:rsidP="00C87B7B">
      <w:pPr>
        <w:pStyle w:val="SingleTxtG"/>
      </w:pPr>
      <w:r w:rsidRPr="002D6CAB">
        <w:lastRenderedPageBreak/>
        <w:t>160.</w:t>
      </w:r>
      <w:r w:rsidRPr="002D6CAB">
        <w:tab/>
      </w:r>
      <w:r w:rsidR="00D80F06" w:rsidRPr="002D6CAB">
        <w:t xml:space="preserve">La </w:t>
      </w:r>
      <w:r w:rsidR="00000ED8" w:rsidRPr="002D6CAB">
        <w:t xml:space="preserve">Constitution </w:t>
      </w:r>
      <w:r w:rsidR="00D80F06" w:rsidRPr="002D6CAB">
        <w:t>garantit la séparation des pouvoirs et l</w:t>
      </w:r>
      <w:r w:rsidR="00A24C87">
        <w:t>’</w:t>
      </w:r>
      <w:r w:rsidR="00D80F06" w:rsidRPr="002D6CAB">
        <w:t xml:space="preserve">indépendance du pouvoir judiciaire. </w:t>
      </w:r>
    </w:p>
    <w:p w:rsidR="00D80F06" w:rsidRPr="002D6CAB" w:rsidRDefault="00C87B7B" w:rsidP="00C87B7B">
      <w:pPr>
        <w:pStyle w:val="SingleTxtG"/>
      </w:pPr>
      <w:r w:rsidRPr="002D6CAB">
        <w:t>161.</w:t>
      </w:r>
      <w:r w:rsidRPr="002D6CAB">
        <w:tab/>
      </w:r>
      <w:r w:rsidR="00D80F06" w:rsidRPr="002D6CAB">
        <w:t>Le pouvoir judiciaire est indépendant du pouvoir législatif et du pouvoir exécutif. Le Président de la République est garant de l</w:t>
      </w:r>
      <w:r w:rsidR="00A24C87">
        <w:t>’</w:t>
      </w:r>
      <w:r w:rsidR="00D80F06" w:rsidRPr="002D6CAB">
        <w:t>indépendance de la Magistrature. Il est assisté par le Conseil Supérieur de la Magistrature qu</w:t>
      </w:r>
      <w:r w:rsidR="00A24C87">
        <w:t>’</w:t>
      </w:r>
      <w:r w:rsidR="00D80F06" w:rsidRPr="002D6CAB">
        <w:t xml:space="preserve">Il préside </w:t>
      </w:r>
      <w:r w:rsidR="00D82E5D">
        <w:t xml:space="preserve">(article 89 de la </w:t>
      </w:r>
      <w:r w:rsidR="00000ED8">
        <w:t>Constitution</w:t>
      </w:r>
      <w:r w:rsidR="00D82E5D">
        <w:t>).</w:t>
      </w:r>
    </w:p>
    <w:p w:rsidR="00D80F06" w:rsidRPr="002D6CAB" w:rsidRDefault="00C87B7B" w:rsidP="00C87B7B">
      <w:pPr>
        <w:pStyle w:val="SingleTxtG"/>
      </w:pPr>
      <w:r w:rsidRPr="002D6CAB">
        <w:t>162.</w:t>
      </w:r>
      <w:r w:rsidRPr="002D6CAB">
        <w:tab/>
      </w:r>
      <w:r w:rsidR="00D80F06" w:rsidRPr="002D6CAB">
        <w:t>Le statut de la magistrature est régi par une loi organique qui fixe la composition, le fonctionnement et attributions du Conseil Supérieur de la Magistrature.</w:t>
      </w:r>
    </w:p>
    <w:p w:rsidR="00D80F06" w:rsidRPr="002D6CAB" w:rsidRDefault="00C87B7B" w:rsidP="00C87B7B">
      <w:pPr>
        <w:pStyle w:val="SingleTxtG"/>
      </w:pPr>
      <w:r w:rsidRPr="002D6CAB">
        <w:t>163.</w:t>
      </w:r>
      <w:r w:rsidRPr="002D6CAB">
        <w:tab/>
      </w:r>
      <w:r w:rsidR="00D80F06" w:rsidRPr="002D6CAB">
        <w:t>Dans le cadre de l</w:t>
      </w:r>
      <w:r w:rsidR="00A24C87">
        <w:t>’</w:t>
      </w:r>
      <w:r w:rsidR="00D80F06" w:rsidRPr="002D6CAB">
        <w:t>exercice de ses fonctions, le juge n</w:t>
      </w:r>
      <w:r w:rsidR="00A24C87">
        <w:t>’</w:t>
      </w:r>
      <w:r w:rsidR="00D80F06" w:rsidRPr="002D6CAB">
        <w:t>obéit qu</w:t>
      </w:r>
      <w:r w:rsidR="00A24C87">
        <w:t>’</w:t>
      </w:r>
      <w:r w:rsidR="00D80F06" w:rsidRPr="002D6CAB">
        <w:t xml:space="preserve">à la loi. Il est protégé contre toute forme de pression de nature à nuire à son libre arbitre. </w:t>
      </w:r>
    </w:p>
    <w:p w:rsidR="00D80F06" w:rsidRPr="002D6CAB" w:rsidRDefault="00C87B7B" w:rsidP="00C87B7B">
      <w:pPr>
        <w:pStyle w:val="SingleTxtG"/>
      </w:pPr>
      <w:r w:rsidRPr="002D6CAB">
        <w:t>164.</w:t>
      </w:r>
      <w:r w:rsidRPr="002D6CAB">
        <w:tab/>
      </w:r>
      <w:r w:rsidR="00D80F06" w:rsidRPr="002D6CAB">
        <w:t>Le principe de l</w:t>
      </w:r>
      <w:r w:rsidR="00A24C87">
        <w:t>’</w:t>
      </w:r>
      <w:r w:rsidR="00D80F06" w:rsidRPr="002D6CAB">
        <w:t>inamovibilité consacré par l</w:t>
      </w:r>
      <w:r w:rsidR="00A24C87">
        <w:t>’</w:t>
      </w:r>
      <w:r w:rsidR="00D80F06" w:rsidRPr="002D6CAB">
        <w:t>article 8 qui dispose « les magistrats du siège sont inamovibles et ne peuvent être affectés que sur leur demande ou à l</w:t>
      </w:r>
      <w:r w:rsidR="00A24C87">
        <w:t>’</w:t>
      </w:r>
      <w:r w:rsidR="00D80F06" w:rsidRPr="002D6CAB">
        <w:t>occasion d</w:t>
      </w:r>
      <w:r w:rsidR="00A24C87">
        <w:t>’</w:t>
      </w:r>
      <w:r w:rsidR="00D80F06" w:rsidRPr="002D6CAB">
        <w:t>une sanction disciplinaire ou pour nécessité majeure de service, après avis conforme du conseil supérieur de la magistrature », garantit l</w:t>
      </w:r>
      <w:r w:rsidR="00A24C87">
        <w:t>’</w:t>
      </w:r>
      <w:r w:rsidR="00D80F06" w:rsidRPr="002D6CAB">
        <w:t xml:space="preserve">indépendance des magistrats. </w:t>
      </w:r>
    </w:p>
    <w:p w:rsidR="00D80F06" w:rsidRPr="002D6CAB" w:rsidRDefault="00C87B7B" w:rsidP="00C87B7B">
      <w:pPr>
        <w:pStyle w:val="SingleTxtG"/>
      </w:pPr>
      <w:r w:rsidRPr="002D6CAB">
        <w:t>165.</w:t>
      </w:r>
      <w:r w:rsidRPr="002D6CAB">
        <w:tab/>
      </w:r>
      <w:r w:rsidR="00D80F06" w:rsidRPr="002D6CAB">
        <w:t xml:space="preserve">Ensuite, la gestion spécifique de leur carrière par le Conseil Supérieur de la magistrature comprenant des magistrats élus par leur </w:t>
      </w:r>
      <w:r w:rsidR="008C19A4" w:rsidRPr="002D6CAB">
        <w:t>père</w:t>
      </w:r>
      <w:r w:rsidR="00D80F06" w:rsidRPr="002D6CAB">
        <w:t>, et le fait qu</w:t>
      </w:r>
      <w:r w:rsidR="00A24C87">
        <w:t>’</w:t>
      </w:r>
      <w:r w:rsidR="00D80F06" w:rsidRPr="002D6CAB">
        <w:t>ils ne soient soumis dans l</w:t>
      </w:r>
      <w:r w:rsidR="00A24C87">
        <w:t>’</w:t>
      </w:r>
      <w:r w:rsidR="00D80F06" w:rsidRPr="002D6CAB">
        <w:t>exercice de leurs fonctions juridictionnelles qu</w:t>
      </w:r>
      <w:r w:rsidR="00A24C87">
        <w:t>’</w:t>
      </w:r>
      <w:r w:rsidR="00D80F06" w:rsidRPr="002D6CAB">
        <w:t>à l</w:t>
      </w:r>
      <w:r w:rsidR="00A24C87">
        <w:t>’</w:t>
      </w:r>
      <w:r w:rsidR="00D80F06" w:rsidRPr="002D6CAB">
        <w:t xml:space="preserve">autorité de la loi, confortent cette indépendance. </w:t>
      </w:r>
    </w:p>
    <w:p w:rsidR="00D80F06" w:rsidRPr="002D6CAB" w:rsidRDefault="00C87B7B" w:rsidP="00C87B7B">
      <w:pPr>
        <w:pStyle w:val="SingleTxtG"/>
      </w:pPr>
      <w:r w:rsidRPr="002D6CAB">
        <w:t>166.</w:t>
      </w:r>
      <w:r w:rsidRPr="002D6CAB">
        <w:tab/>
      </w:r>
      <w:r w:rsidR="00D80F06" w:rsidRPr="002D6CAB">
        <w:t>Même si tous les magistrats relèvent administrativement du Ministre de la Justice, leurs nominations aux divers emplois de la magistrature se fait uniquement suivant leurs grades et leur ancienneté au sein de ces grades.</w:t>
      </w:r>
    </w:p>
    <w:p w:rsidR="00D80F06" w:rsidRPr="002D6CAB" w:rsidRDefault="00C87B7B" w:rsidP="00C87B7B">
      <w:pPr>
        <w:pStyle w:val="SingleTxtG"/>
      </w:pPr>
      <w:r w:rsidRPr="002D6CAB">
        <w:t>167.</w:t>
      </w:r>
      <w:r w:rsidRPr="002D6CAB">
        <w:tab/>
      </w:r>
      <w:r w:rsidR="00D80F06" w:rsidRPr="002D6CAB">
        <w:t>Le droit à un procès équitable est consacré par la Constitution de 1991 notamment dans son article 13 qui dispose</w:t>
      </w:r>
      <w:r w:rsidR="006E4051">
        <w:t> :</w:t>
      </w:r>
    </w:p>
    <w:p w:rsidR="00D80F06" w:rsidRPr="00905D12" w:rsidRDefault="00D80F06" w:rsidP="00027EE8">
      <w:pPr>
        <w:pStyle w:val="SingleTxtG"/>
        <w:ind w:left="1701"/>
      </w:pPr>
      <w:r w:rsidRPr="002D6CAB">
        <w:t>«</w:t>
      </w:r>
      <w:r w:rsidR="00AB36E9">
        <w:t> </w:t>
      </w:r>
      <w:r w:rsidRPr="002D6CAB">
        <w:t>Toute personne est présumée innocente jusqu</w:t>
      </w:r>
      <w:r w:rsidR="00A24C87">
        <w:t>’</w:t>
      </w:r>
      <w:r w:rsidRPr="002D6CAB">
        <w:t>à l</w:t>
      </w:r>
      <w:r w:rsidR="00A24C87">
        <w:t>’</w:t>
      </w:r>
      <w:r w:rsidRPr="002D6CAB">
        <w:t>établissement de sa culpabilité par une juridiction régulièrement constituée. Nul ne peut être poursuivi, arrêté, détenu ou puni que dans le cas déterminé par la loi et selon les formes qu</w:t>
      </w:r>
      <w:r w:rsidR="00A24C87">
        <w:t>’</w:t>
      </w:r>
      <w:r w:rsidRPr="002D6CAB">
        <w:t>elle prescrit.</w:t>
      </w:r>
      <w:r w:rsidR="00AB36E9">
        <w:t> </w:t>
      </w:r>
      <w:r w:rsidRPr="002D6CAB">
        <w:t xml:space="preserve">» </w:t>
      </w:r>
    </w:p>
    <w:p w:rsidR="00905D12" w:rsidRDefault="00C87B7B" w:rsidP="00C87B7B">
      <w:pPr>
        <w:pStyle w:val="SingleTxtG"/>
        <w:keepNext/>
      </w:pPr>
      <w:r>
        <w:t>168.</w:t>
      </w:r>
      <w:r>
        <w:tab/>
      </w:r>
      <w:r w:rsidR="00D80F06" w:rsidRPr="002D6CAB">
        <w:t>L</w:t>
      </w:r>
      <w:r w:rsidR="00A24C87">
        <w:t>’</w:t>
      </w:r>
      <w:r w:rsidR="00D80F06" w:rsidRPr="002D6CAB">
        <w:t xml:space="preserve">ordonnance </w:t>
      </w:r>
      <w:r w:rsidR="006E4051" w:rsidRPr="002D6CAB">
        <w:t>n</w:t>
      </w:r>
      <w:r w:rsidR="006E4051" w:rsidRPr="00BD5B0E">
        <w:rPr>
          <w:vertAlign w:val="superscript"/>
        </w:rPr>
        <w:t>o</w:t>
      </w:r>
      <w:r w:rsidR="006E4051">
        <w:t> </w:t>
      </w:r>
      <w:r w:rsidR="00D80F06" w:rsidRPr="002D6CAB">
        <w:t>2007-012 du 8 février 2007 fixant l</w:t>
      </w:r>
      <w:r w:rsidR="00A24C87">
        <w:t>’</w:t>
      </w:r>
      <w:r w:rsidR="00D80F06" w:rsidRPr="002D6CAB">
        <w:t>organisation judiciaire précise dans son article 7 que</w:t>
      </w:r>
      <w:r w:rsidR="00FB29A2">
        <w:t> :</w:t>
      </w:r>
      <w:r w:rsidR="00D80F06">
        <w:t xml:space="preserve"> </w:t>
      </w:r>
    </w:p>
    <w:p w:rsidR="00D80F06" w:rsidRPr="002D6CAB" w:rsidRDefault="00D80F06" w:rsidP="00027EE8">
      <w:pPr>
        <w:pStyle w:val="SingleTxtG"/>
        <w:ind w:left="1701"/>
      </w:pPr>
      <w:r w:rsidRPr="002D6CAB">
        <w:t>«</w:t>
      </w:r>
      <w:r w:rsidR="009573B0">
        <w:t> </w:t>
      </w:r>
      <w:r w:rsidRPr="002D6CAB">
        <w:t>Nul ne peut être jugé sans être mis en mesure de présenter les moyens de sa défense. La défense et le choix du défenseur sont libres. Les avocats ont libre accès devant toutes les juridictions. Nul ne peut être distrait de ses juges naturels. Seules les juridictions prévues par la loi peuvent en conséquence prononcer des condamnations.</w:t>
      </w:r>
      <w:r w:rsidR="009573B0">
        <w:t> </w:t>
      </w:r>
      <w:r w:rsidRPr="002D6CAB">
        <w:t xml:space="preserve">» </w:t>
      </w:r>
    </w:p>
    <w:p w:rsidR="00D80F06" w:rsidRDefault="00C87B7B" w:rsidP="00C87B7B">
      <w:pPr>
        <w:pStyle w:val="SingleTxtG"/>
      </w:pPr>
      <w:r>
        <w:t>169.</w:t>
      </w:r>
      <w:r>
        <w:tab/>
      </w:r>
      <w:r w:rsidR="00D80F06" w:rsidRPr="002D6CAB">
        <w:t>L</w:t>
      </w:r>
      <w:r w:rsidR="00A24C87">
        <w:t>’</w:t>
      </w:r>
      <w:r w:rsidR="00D80F06" w:rsidRPr="002D6CAB">
        <w:t xml:space="preserve">aide judiciaire peut être accordée aux parties justifiant de leur indigence, dans les conditions prévues par la loi </w:t>
      </w:r>
      <w:r w:rsidR="006E4051" w:rsidRPr="002D6CAB">
        <w:t>n</w:t>
      </w:r>
      <w:r w:rsidR="006E4051" w:rsidRPr="00BD5B0E">
        <w:rPr>
          <w:vertAlign w:val="superscript"/>
        </w:rPr>
        <w:t>o</w:t>
      </w:r>
      <w:r w:rsidR="006E4051">
        <w:t> </w:t>
      </w:r>
      <w:r w:rsidR="00D80F06" w:rsidRPr="002D6CAB">
        <w:t>2015-030 du 10 septembre 2015. L</w:t>
      </w:r>
      <w:r w:rsidR="00A24C87">
        <w:t>’</w:t>
      </w:r>
      <w:r w:rsidR="00D80F06" w:rsidRPr="002D6CAB">
        <w:t>aide est accordée en toute matière à toute personne demanderesse ou défenderesse à t</w:t>
      </w:r>
      <w:r w:rsidR="00AB36E9">
        <w:t>oute étape de la procédure. Les </w:t>
      </w:r>
      <w:r w:rsidR="00D80F06" w:rsidRPr="002D6CAB">
        <w:t>bureaux d</w:t>
      </w:r>
      <w:r w:rsidR="00A24C87">
        <w:t>’</w:t>
      </w:r>
      <w:r w:rsidR="00D80F06" w:rsidRPr="002D6CAB">
        <w:t xml:space="preserve">aide judiciaire ont été institués par arrêté du Ministre de la Justice. </w:t>
      </w:r>
    </w:p>
    <w:p w:rsidR="00D80F06" w:rsidRPr="00865EA1" w:rsidRDefault="00D80F06" w:rsidP="00027EE8">
      <w:pPr>
        <w:pStyle w:val="SingleTxtG"/>
        <w:ind w:left="1701"/>
        <w:rPr>
          <w:i/>
        </w:rPr>
      </w:pPr>
      <w:r w:rsidRPr="00865EA1">
        <w:rPr>
          <w:i/>
        </w:rPr>
        <w:t>Recommandation 16</w:t>
      </w:r>
      <w:r w:rsidR="00FB29A2" w:rsidRPr="00865EA1">
        <w:rPr>
          <w:i/>
        </w:rPr>
        <w:t> :</w:t>
      </w:r>
    </w:p>
    <w:p w:rsidR="00D80F06" w:rsidRPr="00865EA1" w:rsidRDefault="00D80F06" w:rsidP="00027EE8">
      <w:pPr>
        <w:pStyle w:val="SingleTxtG"/>
        <w:ind w:left="1701"/>
        <w:rPr>
          <w:i/>
        </w:rPr>
      </w:pPr>
      <w:r w:rsidRPr="00865EA1">
        <w:rPr>
          <w:i/>
        </w:rPr>
        <w:t>L</w:t>
      </w:r>
      <w:r w:rsidR="00A24C87" w:rsidRPr="00865EA1">
        <w:rPr>
          <w:i/>
        </w:rPr>
        <w:t>’</w:t>
      </w:r>
      <w:r w:rsidRPr="00865EA1">
        <w:rPr>
          <w:i/>
        </w:rPr>
        <w:t>État partie devrait supprimer de sa législation le crime d</w:t>
      </w:r>
      <w:r w:rsidR="00A24C87" w:rsidRPr="00865EA1">
        <w:rPr>
          <w:i/>
        </w:rPr>
        <w:t>’</w:t>
      </w:r>
      <w:r w:rsidRPr="00865EA1">
        <w:rPr>
          <w:i/>
        </w:rPr>
        <w:t>apostasie et autoriser les Mauritaniens à jouir sans réserve de leur liberté de religion, y compris en changeant de religion.</w:t>
      </w:r>
    </w:p>
    <w:p w:rsidR="00D80F06" w:rsidRPr="002D6CAB" w:rsidRDefault="00C87B7B" w:rsidP="00C87B7B">
      <w:pPr>
        <w:pStyle w:val="SingleTxtG"/>
      </w:pPr>
      <w:r w:rsidRPr="002D6CAB">
        <w:t>170.</w:t>
      </w:r>
      <w:r w:rsidRPr="002D6CAB">
        <w:tab/>
      </w:r>
      <w:r w:rsidR="00D80F06" w:rsidRPr="002D6CAB">
        <w:t>La Mauritanie est une République islamique et à ce titre tous ses citoyens sont musulmans. L</w:t>
      </w:r>
      <w:r w:rsidR="00A24C87">
        <w:t>’</w:t>
      </w:r>
      <w:r w:rsidR="00D80F06" w:rsidRPr="002D6CAB">
        <w:t>Islam est la religion du peuple et de l</w:t>
      </w:r>
      <w:r w:rsidR="00A24C87">
        <w:t>’</w:t>
      </w:r>
      <w:r w:rsidR="00B253B0">
        <w:t>État</w:t>
      </w:r>
      <w:r w:rsidR="00D80F06" w:rsidRPr="002D6CAB">
        <w:t>, selon l</w:t>
      </w:r>
      <w:r w:rsidR="00A24C87">
        <w:t>’</w:t>
      </w:r>
      <w:r w:rsidR="00D80F06" w:rsidRPr="002D6CAB">
        <w:t xml:space="preserve">article 5 de la </w:t>
      </w:r>
      <w:r w:rsidR="00000ED8" w:rsidRPr="002D6CAB">
        <w:t>Constitution</w:t>
      </w:r>
      <w:r w:rsidR="00D80F06" w:rsidRPr="002D6CAB">
        <w:t>.</w:t>
      </w:r>
      <w:r w:rsidR="00D80F06">
        <w:t xml:space="preserve"> </w:t>
      </w:r>
      <w:r w:rsidR="00D80F06" w:rsidRPr="002D6CAB">
        <w:t>Les</w:t>
      </w:r>
      <w:r w:rsidR="00D80F06">
        <w:t xml:space="preserve"> </w:t>
      </w:r>
      <w:r w:rsidR="00D80F06" w:rsidRPr="002D6CAB">
        <w:t xml:space="preserve">étrangers exercent librement leur culte, non musulman, dans le respect des lois et règlements, en vigueur. </w:t>
      </w:r>
    </w:p>
    <w:p w:rsidR="00D80F06" w:rsidRPr="00865EA1" w:rsidRDefault="00D80F06" w:rsidP="00027EE8">
      <w:pPr>
        <w:pStyle w:val="SingleTxtG"/>
        <w:ind w:left="1701"/>
        <w:rPr>
          <w:i/>
        </w:rPr>
      </w:pPr>
      <w:r w:rsidRPr="00865EA1">
        <w:rPr>
          <w:i/>
        </w:rPr>
        <w:t>Recommandation 17</w:t>
      </w:r>
      <w:r w:rsidR="00FB29A2" w:rsidRPr="00865EA1">
        <w:rPr>
          <w:i/>
        </w:rPr>
        <w:t> :</w:t>
      </w:r>
    </w:p>
    <w:p w:rsidR="00D80F06" w:rsidRPr="00865EA1" w:rsidRDefault="00D80F06" w:rsidP="00027EE8">
      <w:pPr>
        <w:pStyle w:val="SingleTxtG"/>
        <w:ind w:left="1701"/>
        <w:rPr>
          <w:i/>
        </w:rPr>
      </w:pPr>
      <w:r w:rsidRPr="00865EA1">
        <w:rPr>
          <w:i/>
        </w:rPr>
        <w:t>L</w:t>
      </w:r>
      <w:r w:rsidR="00A24C87" w:rsidRPr="00865EA1">
        <w:rPr>
          <w:i/>
        </w:rPr>
        <w:t>’</w:t>
      </w:r>
      <w:r w:rsidRPr="00865EA1">
        <w:rPr>
          <w:i/>
        </w:rPr>
        <w:t>État partie devrait adopter une nouvelle loi régissant l</w:t>
      </w:r>
      <w:r w:rsidR="00A24C87" w:rsidRPr="00865EA1">
        <w:rPr>
          <w:i/>
        </w:rPr>
        <w:t>’</w:t>
      </w:r>
      <w:r w:rsidRPr="00865EA1">
        <w:rPr>
          <w:i/>
        </w:rPr>
        <w:t>exercice de la liberté d</w:t>
      </w:r>
      <w:r w:rsidR="00A24C87" w:rsidRPr="00865EA1">
        <w:rPr>
          <w:i/>
        </w:rPr>
        <w:t>’</w:t>
      </w:r>
      <w:r w:rsidRPr="00865EA1">
        <w:rPr>
          <w:i/>
        </w:rPr>
        <w:t>association conforme aux normes internationales et offrant la protection requise aux défenseurs des droits de l</w:t>
      </w:r>
      <w:r w:rsidR="00A24C87" w:rsidRPr="00865EA1">
        <w:rPr>
          <w:i/>
        </w:rPr>
        <w:t>’</w:t>
      </w:r>
      <w:r w:rsidRPr="00865EA1">
        <w:rPr>
          <w:i/>
        </w:rPr>
        <w:t>homme. L</w:t>
      </w:r>
      <w:r w:rsidR="00A24C87" w:rsidRPr="00865EA1">
        <w:rPr>
          <w:i/>
        </w:rPr>
        <w:t>’</w:t>
      </w:r>
      <w:r w:rsidRPr="00865EA1">
        <w:rPr>
          <w:i/>
        </w:rPr>
        <w:t>État partie devrait, en outre, prendre des mesures concrètes pour assurer la</w:t>
      </w:r>
      <w:r w:rsidR="00045B16" w:rsidRPr="00865EA1">
        <w:rPr>
          <w:i/>
        </w:rPr>
        <w:t xml:space="preserve"> </w:t>
      </w:r>
      <w:r w:rsidRPr="00865EA1">
        <w:rPr>
          <w:i/>
        </w:rPr>
        <w:t xml:space="preserve">protection des membres des organisations non gouvernementales contre les représailles, ainsi que la protection des manifestations </w:t>
      </w:r>
      <w:r w:rsidRPr="00865EA1">
        <w:rPr>
          <w:i/>
        </w:rPr>
        <w:lastRenderedPageBreak/>
        <w:t>pacifiques organisées sur son territoire et, en cas de violations, mener des enquêtes aux fins de poursuite des responsables.</w:t>
      </w:r>
    </w:p>
    <w:p w:rsidR="00D80F06" w:rsidRPr="002D6CAB" w:rsidRDefault="00C87B7B" w:rsidP="00C87B7B">
      <w:pPr>
        <w:pStyle w:val="SingleTxtG"/>
      </w:pPr>
      <w:r w:rsidRPr="002D6CAB">
        <w:t>171.</w:t>
      </w:r>
      <w:r w:rsidRPr="002D6CAB">
        <w:tab/>
      </w:r>
      <w:r w:rsidR="00D80F06" w:rsidRPr="002D6CAB">
        <w:t>En l</w:t>
      </w:r>
      <w:r w:rsidR="00A24C87">
        <w:t>’</w:t>
      </w:r>
      <w:r w:rsidR="00D80F06" w:rsidRPr="002D6CAB">
        <w:t>état actuel, l</w:t>
      </w:r>
      <w:r w:rsidR="00A24C87">
        <w:t>’</w:t>
      </w:r>
      <w:r w:rsidR="00D80F06" w:rsidRPr="002D6CAB">
        <w:t>agrément des associations se fait par voie de l</w:t>
      </w:r>
      <w:r w:rsidR="00A24C87">
        <w:t>’</w:t>
      </w:r>
      <w:r w:rsidR="00D80F06" w:rsidRPr="002D6CAB">
        <w:t>autorisation accordée par le Ministre de l</w:t>
      </w:r>
      <w:r w:rsidR="00A24C87">
        <w:t>’</w:t>
      </w:r>
      <w:r w:rsidR="00D80F06" w:rsidRPr="002D6CAB">
        <w:t>intérieur et de la décentralisation conformément à la loi n</w:t>
      </w:r>
      <w:r w:rsidR="00045B16" w:rsidRPr="00027EE8">
        <w:rPr>
          <w:vertAlign w:val="superscript"/>
        </w:rPr>
        <w:t>o</w:t>
      </w:r>
      <w:r w:rsidR="00045B16">
        <w:t> </w:t>
      </w:r>
      <w:r w:rsidR="00D80F06" w:rsidRPr="002D6CAB">
        <w:t>064-098 du 9</w:t>
      </w:r>
      <w:r w:rsidR="00045B16">
        <w:t> </w:t>
      </w:r>
      <w:r w:rsidR="00D80F06" w:rsidRPr="002D6CAB">
        <w:t>juin 1964 relative aux associations.</w:t>
      </w:r>
    </w:p>
    <w:p w:rsidR="00D80F06" w:rsidRPr="002D6CAB" w:rsidRDefault="00C87B7B" w:rsidP="00C87B7B">
      <w:pPr>
        <w:pStyle w:val="SingleTxtG"/>
      </w:pPr>
      <w:r w:rsidRPr="002D6CAB">
        <w:t>172.</w:t>
      </w:r>
      <w:r w:rsidRPr="002D6CAB">
        <w:tab/>
      </w:r>
      <w:r w:rsidR="00D80F06" w:rsidRPr="002D6CAB">
        <w:t>Les associations qui demandent à être reconnues constituent un dossier de candidature comprenant le procès-verbal de l</w:t>
      </w:r>
      <w:r w:rsidR="00A24C87">
        <w:t>’</w:t>
      </w:r>
      <w:r w:rsidR="00D80F06" w:rsidRPr="002D6CAB">
        <w:t>Assemblée générale constitutive ainsi que les statuts et le règlement intérieur.</w:t>
      </w:r>
    </w:p>
    <w:p w:rsidR="00D80F06" w:rsidRPr="002D6CAB" w:rsidRDefault="00C87B7B" w:rsidP="00C87B7B">
      <w:pPr>
        <w:pStyle w:val="SingleTxtG"/>
      </w:pPr>
      <w:r w:rsidRPr="002D6CAB">
        <w:t>173.</w:t>
      </w:r>
      <w:r w:rsidRPr="002D6CAB">
        <w:tab/>
      </w:r>
      <w:r w:rsidR="00D80F06" w:rsidRPr="002D6CAB">
        <w:t>Le dossier est transmis à l</w:t>
      </w:r>
      <w:r w:rsidR="00A24C87">
        <w:t>’</w:t>
      </w:r>
      <w:r w:rsidR="00D80F06" w:rsidRPr="002D6CAB">
        <w:t>autorité administrative de la circonscription au niveau de laquelle se trouve le siège de l</w:t>
      </w:r>
      <w:r w:rsidR="00A24C87">
        <w:t>’</w:t>
      </w:r>
      <w:r w:rsidR="00D80F06" w:rsidRPr="002D6CAB">
        <w:t>association.</w:t>
      </w:r>
    </w:p>
    <w:p w:rsidR="00D80F06" w:rsidRPr="002D6CAB" w:rsidRDefault="00C87B7B" w:rsidP="00C87B7B">
      <w:pPr>
        <w:pStyle w:val="SingleTxtG"/>
      </w:pPr>
      <w:r w:rsidRPr="002D6CAB">
        <w:t>174.</w:t>
      </w:r>
      <w:r w:rsidRPr="002D6CAB">
        <w:tab/>
      </w:r>
      <w:r w:rsidR="00D80F06" w:rsidRPr="002D6CAB">
        <w:t>Une enquête de moralité est menée suite à laquelle le dossier est transmis aux autorités compétentes pour agrément. Les</w:t>
      </w:r>
      <w:r w:rsidR="00D80F06">
        <w:t xml:space="preserve"> </w:t>
      </w:r>
      <w:r w:rsidR="00D80F06" w:rsidRPr="002D6CAB">
        <w:t>membres des organisations reconnues jouissent de la protection de la loi et exercent librement, sans aucune entrave ou intimidation.</w:t>
      </w:r>
    </w:p>
    <w:p w:rsidR="00D80F06" w:rsidRPr="002D6CAB" w:rsidRDefault="00C87B7B" w:rsidP="00C87B7B">
      <w:pPr>
        <w:pStyle w:val="SingleTxtG"/>
      </w:pPr>
      <w:r w:rsidRPr="002D6CAB">
        <w:t>175.</w:t>
      </w:r>
      <w:r w:rsidRPr="002D6CAB">
        <w:tab/>
      </w:r>
      <w:r w:rsidR="00D80F06" w:rsidRPr="002D6CAB">
        <w:t>Un projet de loi</w:t>
      </w:r>
      <w:r w:rsidR="00D80F06">
        <w:t xml:space="preserve"> </w:t>
      </w:r>
      <w:r w:rsidR="00D80F06" w:rsidRPr="002D6CAB">
        <w:t>relatif aux associations a été élaboré et en cours d</w:t>
      </w:r>
      <w:r w:rsidR="00A24C87">
        <w:t>’</w:t>
      </w:r>
      <w:r w:rsidR="00D80F06" w:rsidRPr="002D6CAB">
        <w:t>adoption.</w:t>
      </w:r>
    </w:p>
    <w:p w:rsidR="00D80F06" w:rsidRPr="00865EA1" w:rsidRDefault="00D80F06" w:rsidP="00027EE8">
      <w:pPr>
        <w:pStyle w:val="SingleTxtG"/>
        <w:ind w:left="1701"/>
        <w:rPr>
          <w:i/>
        </w:rPr>
      </w:pPr>
      <w:r w:rsidRPr="00865EA1">
        <w:rPr>
          <w:i/>
        </w:rPr>
        <w:t>Recommandation 18</w:t>
      </w:r>
      <w:r w:rsidR="00FB29A2" w:rsidRPr="00865EA1">
        <w:rPr>
          <w:i/>
        </w:rPr>
        <w:t> :</w:t>
      </w:r>
      <w:r w:rsidRPr="00865EA1">
        <w:rPr>
          <w:i/>
        </w:rPr>
        <w:t xml:space="preserve"> </w:t>
      </w:r>
    </w:p>
    <w:p w:rsidR="00D80F06" w:rsidRPr="00865EA1" w:rsidRDefault="00D80F06" w:rsidP="00027EE8">
      <w:pPr>
        <w:pStyle w:val="SingleTxtG"/>
        <w:ind w:left="1701"/>
        <w:rPr>
          <w:i/>
        </w:rPr>
      </w:pPr>
      <w:r w:rsidRPr="00865EA1">
        <w:rPr>
          <w:i/>
        </w:rPr>
        <w:t>L</w:t>
      </w:r>
      <w:r w:rsidR="00A24C87" w:rsidRPr="00865EA1">
        <w:rPr>
          <w:i/>
        </w:rPr>
        <w:t>’</w:t>
      </w:r>
      <w:r w:rsidRPr="00865EA1">
        <w:rPr>
          <w:i/>
        </w:rPr>
        <w:t>État partie devrait veiller à l</w:t>
      </w:r>
      <w:r w:rsidR="00A24C87" w:rsidRPr="00865EA1">
        <w:rPr>
          <w:i/>
        </w:rPr>
        <w:t>’</w:t>
      </w:r>
      <w:r w:rsidRPr="00865EA1">
        <w:rPr>
          <w:i/>
        </w:rPr>
        <w:t>application stricte de sa législation interdisant les mariages précoces. Il devrait poursuivre des campagnes de sensibilisation sur cette législation et faire connaître aux jeunes filles, aux parents et aux chefs des communautés les effets néfastes d</w:t>
      </w:r>
      <w:r w:rsidR="00A24C87" w:rsidRPr="00865EA1">
        <w:rPr>
          <w:i/>
        </w:rPr>
        <w:t>’</w:t>
      </w:r>
      <w:r w:rsidRPr="00865EA1">
        <w:rPr>
          <w:i/>
        </w:rPr>
        <w:t>un mariage précoce.</w:t>
      </w:r>
    </w:p>
    <w:p w:rsidR="00D80F06" w:rsidRPr="002D6CAB" w:rsidRDefault="00C87B7B" w:rsidP="00C87B7B">
      <w:pPr>
        <w:pStyle w:val="SingleTxtG"/>
      </w:pPr>
      <w:r w:rsidRPr="002D6CAB">
        <w:t>176.</w:t>
      </w:r>
      <w:r w:rsidRPr="002D6CAB">
        <w:tab/>
      </w:r>
      <w:r w:rsidR="00D80F06" w:rsidRPr="002D6CAB">
        <w:t>Le Code de Statut Personnel de 2001 fixe l</w:t>
      </w:r>
      <w:r w:rsidR="00A24C87">
        <w:t>’</w:t>
      </w:r>
      <w:r w:rsidR="00D80F06" w:rsidRPr="002D6CAB">
        <w:t>âge du mariage à 18 ans</w:t>
      </w:r>
      <w:r w:rsidR="00AB36E9">
        <w:t>.</w:t>
      </w:r>
    </w:p>
    <w:p w:rsidR="00D80F06" w:rsidRPr="002D6CAB" w:rsidRDefault="00C87B7B" w:rsidP="00C87B7B">
      <w:pPr>
        <w:pStyle w:val="SingleTxtG"/>
      </w:pPr>
      <w:r w:rsidRPr="002D6CAB">
        <w:t>177.</w:t>
      </w:r>
      <w:r w:rsidRPr="002D6CAB">
        <w:tab/>
      </w:r>
      <w:r w:rsidR="00D80F06" w:rsidRPr="002D6CAB">
        <w:t>Le Gouvernement</w:t>
      </w:r>
      <w:r w:rsidR="00D80F06">
        <w:t xml:space="preserve"> </w:t>
      </w:r>
      <w:r w:rsidR="00D80F06" w:rsidRPr="002D6CAB">
        <w:t>a lancé</w:t>
      </w:r>
      <w:r w:rsidR="00D80F06">
        <w:t xml:space="preserve"> </w:t>
      </w:r>
      <w:r w:rsidR="00D80F06" w:rsidRPr="002D6CAB">
        <w:t>en 2014, dans le cadre de la campagne africaine, la campagne de lutte contre le mariage des enfants</w:t>
      </w:r>
      <w:r w:rsidR="00D80F06">
        <w:t xml:space="preserve"> </w:t>
      </w:r>
      <w:r w:rsidR="00D80F06" w:rsidRPr="002D6CAB">
        <w:t>sur toute l</w:t>
      </w:r>
      <w:r w:rsidR="00A24C87">
        <w:t>’</w:t>
      </w:r>
      <w:r w:rsidR="00D80F06" w:rsidRPr="002D6CAB">
        <w:t xml:space="preserve">étendue du territoire et ce pour deux ans. </w:t>
      </w:r>
    </w:p>
    <w:p w:rsidR="00D80F06" w:rsidRPr="002D6CAB" w:rsidRDefault="00C87B7B" w:rsidP="00C87B7B">
      <w:pPr>
        <w:pStyle w:val="SingleTxtG"/>
      </w:pPr>
      <w:r w:rsidRPr="002D6CAB">
        <w:t>178.</w:t>
      </w:r>
      <w:r w:rsidRPr="002D6CAB">
        <w:tab/>
      </w:r>
      <w:r w:rsidR="00DE14A6">
        <w:t>À</w:t>
      </w:r>
      <w:r w:rsidR="00D80F06" w:rsidRPr="002D6CAB">
        <w:t xml:space="preserve"> cet effet, le gouvernement a mis en place un comité multisectoriel comprenant des représentants des ministères</w:t>
      </w:r>
      <w:r w:rsidR="00D80F06">
        <w:t xml:space="preserve"> </w:t>
      </w:r>
      <w:r w:rsidR="00D80F06" w:rsidRPr="002D6CAB">
        <w:t>concernés, des représentants des ONG nationales et des Nations Unies (UNICEF et UNFPA). Ce comité a élaboré un plan d</w:t>
      </w:r>
      <w:r w:rsidR="00A24C87">
        <w:t>’</w:t>
      </w:r>
      <w:r w:rsidR="00D80F06" w:rsidRPr="002D6CAB">
        <w:t>action de la campagne de lutte contre le mariage des enfants.</w:t>
      </w:r>
    </w:p>
    <w:p w:rsidR="00D80F06" w:rsidRPr="002D6CAB" w:rsidRDefault="00C87B7B" w:rsidP="00C87B7B">
      <w:pPr>
        <w:pStyle w:val="SingleTxtG"/>
      </w:pPr>
      <w:r w:rsidRPr="002D6CAB">
        <w:t>179.</w:t>
      </w:r>
      <w:r w:rsidRPr="002D6CAB">
        <w:tab/>
      </w:r>
      <w:r w:rsidR="00D80F06" w:rsidRPr="002D6CAB">
        <w:t>Dans le cadre de la mise en œuvre du plan d</w:t>
      </w:r>
      <w:r w:rsidR="00A24C87">
        <w:t>’</w:t>
      </w:r>
      <w:r w:rsidR="00D80F06" w:rsidRPr="002D6CAB">
        <w:t>action de la campagne de lutte contre le mariage des enfants, la Direction de l</w:t>
      </w:r>
      <w:r w:rsidR="00A24C87">
        <w:t>’</w:t>
      </w:r>
      <w:r w:rsidR="00D80F06" w:rsidRPr="002D6CAB">
        <w:t>Enfance au Ministère des Affaires Sociales, de l</w:t>
      </w:r>
      <w:r w:rsidR="00A24C87">
        <w:t>’</w:t>
      </w:r>
      <w:r w:rsidR="00D80F06" w:rsidRPr="002D6CAB">
        <w:t>Enfance et de la Famille, en collaboration avec l</w:t>
      </w:r>
      <w:r w:rsidR="00A24C87">
        <w:t>’</w:t>
      </w:r>
      <w:r w:rsidR="00D80F06" w:rsidRPr="002D6CAB">
        <w:t>UNICEF et l</w:t>
      </w:r>
      <w:r w:rsidR="00A24C87">
        <w:t>’</w:t>
      </w:r>
      <w:r w:rsidR="00D80F06" w:rsidRPr="002D6CAB">
        <w:t>UNFPA et les principaux membres du comité (g</w:t>
      </w:r>
      <w:r w:rsidR="00D80F06">
        <w:t xml:space="preserve">ynécologue, sociologue, </w:t>
      </w:r>
      <w:proofErr w:type="spellStart"/>
      <w:r w:rsidR="00D80F06">
        <w:t>Vaghih</w:t>
      </w:r>
      <w:proofErr w:type="spellEnd"/>
      <w:r w:rsidR="00D80F06" w:rsidRPr="002D6CAB">
        <w:t>), a organisé périodiquement les activités suivantes</w:t>
      </w:r>
      <w:r w:rsidR="00D82E5D">
        <w:t>.</w:t>
      </w:r>
    </w:p>
    <w:p w:rsidR="00D80F06" w:rsidRPr="002D6CAB" w:rsidRDefault="00C87B7B" w:rsidP="00C87B7B">
      <w:pPr>
        <w:pStyle w:val="SingleTxtG"/>
      </w:pPr>
      <w:r w:rsidRPr="002D6CAB">
        <w:t>180.</w:t>
      </w:r>
      <w:r w:rsidRPr="002D6CAB">
        <w:tab/>
      </w:r>
      <w:r w:rsidR="00DE14A6">
        <w:t>À</w:t>
      </w:r>
      <w:r w:rsidR="00D80F06" w:rsidRPr="002D6CAB">
        <w:t xml:space="preserve"> l</w:t>
      </w:r>
      <w:r w:rsidR="00A24C87">
        <w:t>’</w:t>
      </w:r>
      <w:r w:rsidR="00D80F06" w:rsidRPr="002D6CAB">
        <w:t>occasion des activités commémoratives du 20 novembre 2014 le gouvernement a procédé au</w:t>
      </w:r>
      <w:r w:rsidR="00FB29A2">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22553A" w:rsidRPr="002D6CAB">
        <w:t xml:space="preserve">Lancement </w:t>
      </w:r>
      <w:r w:rsidR="00D80F06" w:rsidRPr="002D6CAB">
        <w:t>de la campagne nationale de lutte contre le mariage des enfants sous la supervision de Madame la Ministre des Affaires Sociales, de l</w:t>
      </w:r>
      <w:r w:rsidR="00A24C87">
        <w:t>’</w:t>
      </w:r>
      <w:r w:rsidR="00D80F06" w:rsidRPr="002D6CAB">
        <w:t>Enfance et de la Famille et du Représentant de l</w:t>
      </w:r>
      <w:r w:rsidR="00A24C87">
        <w:t>’</w:t>
      </w:r>
      <w:r w:rsidR="00D80F06" w:rsidRPr="002D6CAB">
        <w:t>UNFPA et de la Représentante adjointe de l</w:t>
      </w:r>
      <w:r w:rsidR="00A24C87">
        <w:t>’</w:t>
      </w:r>
      <w:r w:rsidR="00D80F06" w:rsidRPr="002D6CAB">
        <w:t>UNICEF, suivi de l</w:t>
      </w:r>
      <w:r w:rsidR="00A24C87">
        <w:t>’</w:t>
      </w:r>
      <w:r w:rsidR="00D80F06" w:rsidRPr="002D6CAB">
        <w:t>organisation d</w:t>
      </w:r>
      <w:r w:rsidR="00A24C87">
        <w:t>’</w:t>
      </w:r>
      <w:r w:rsidR="00D80F06" w:rsidRPr="002D6CAB">
        <w:t>une campagne de sensibilisation et de vulgarisation des droits de l</w:t>
      </w:r>
      <w:r w:rsidR="00A24C87">
        <w:t>’</w:t>
      </w:r>
      <w:r w:rsidR="00D80F06" w:rsidRPr="002D6CAB">
        <w:t xml:space="preserve">enfant dans toutes les </w:t>
      </w:r>
      <w:proofErr w:type="spellStart"/>
      <w:r w:rsidR="00D80F06" w:rsidRPr="002D6CAB">
        <w:t>Moughataa</w:t>
      </w:r>
      <w:proofErr w:type="spellEnd"/>
      <w:r w:rsidR="00D80F06" w:rsidRPr="002D6CAB">
        <w:t xml:space="preserve"> de la Wilayas du </w:t>
      </w:r>
      <w:proofErr w:type="spellStart"/>
      <w:r w:rsidR="00D80F06" w:rsidRPr="002D6CAB">
        <w:t>Brakna</w:t>
      </w:r>
      <w:proofErr w:type="spellEnd"/>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La formation des membres de la Table Régionale de Protection (TRP) des enfants dans la même wilaya sur la lutte contre le mariage des enfants</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w:t>
      </w:r>
      <w:r w:rsidR="00A24C87">
        <w:t>’</w:t>
      </w:r>
      <w:r w:rsidR="00D80F06" w:rsidRPr="002D6CAB">
        <w:t>organisation et l</w:t>
      </w:r>
      <w:r w:rsidR="00A24C87">
        <w:t>’</w:t>
      </w:r>
      <w:r w:rsidR="00D80F06" w:rsidRPr="002D6CAB">
        <w:t>animation des émissions à la radio et à la télévision sur les conséquences du mariage des enfants</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w:t>
      </w:r>
      <w:r w:rsidR="00A24C87">
        <w:t>’</w:t>
      </w:r>
      <w:r w:rsidR="00D80F06" w:rsidRPr="002D6CAB">
        <w:t>insertion de la dimension lutte contre le mariage des enfants dans le programme de la TRP et l</w:t>
      </w:r>
      <w:r w:rsidR="00A24C87">
        <w:t>’</w:t>
      </w:r>
      <w:r w:rsidR="00D80F06" w:rsidRPr="002D6CAB">
        <w:t>élaboration d</w:t>
      </w:r>
      <w:r w:rsidR="00A24C87">
        <w:t>’</w:t>
      </w:r>
      <w:r w:rsidR="00D80F06" w:rsidRPr="002D6CAB">
        <w:t>un plan d</w:t>
      </w:r>
      <w:r w:rsidR="00A24C87">
        <w:t>’</w:t>
      </w:r>
      <w:r w:rsidR="00D80F06" w:rsidRPr="002D6CAB">
        <w:t xml:space="preserve">action régional de lutte contre le mariage des enfants au </w:t>
      </w:r>
      <w:r w:rsidR="0022553A">
        <w:t xml:space="preserve">niveau de la wilaya du </w:t>
      </w:r>
      <w:proofErr w:type="spellStart"/>
      <w:r w:rsidR="0022553A">
        <w:t>Brakna</w:t>
      </w:r>
      <w:proofErr w:type="spellEnd"/>
      <w:r w:rsidR="0022553A">
        <w:t>.</w:t>
      </w:r>
    </w:p>
    <w:p w:rsidR="00D80F06" w:rsidRPr="002D6CAB" w:rsidRDefault="00C87B7B" w:rsidP="00C87B7B">
      <w:pPr>
        <w:pStyle w:val="SingleTxtG"/>
      </w:pPr>
      <w:r w:rsidRPr="002D6CAB">
        <w:t>181.</w:t>
      </w:r>
      <w:r w:rsidRPr="002D6CAB">
        <w:tab/>
      </w:r>
      <w:r w:rsidR="00507CAE">
        <w:t>À</w:t>
      </w:r>
      <w:r w:rsidR="00D80F06" w:rsidRPr="002D6CAB">
        <w:t xml:space="preserve"> l</w:t>
      </w:r>
      <w:r w:rsidR="00A24C87">
        <w:t>’</w:t>
      </w:r>
      <w:r w:rsidR="00D80F06" w:rsidRPr="002D6CAB">
        <w:t>occasion des activités commémoratives du 16 juin 2015</w:t>
      </w:r>
      <w:r w:rsidR="00D80F06">
        <w:t xml:space="preserve"> </w:t>
      </w:r>
      <w:r w:rsidR="00D80F06" w:rsidRPr="002D6CAB">
        <w:t>le MASEF a mis en œuvre les actions suivantes</w:t>
      </w:r>
      <w:r w:rsidR="00FB29A2">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w:t>
      </w:r>
      <w:r w:rsidR="00A24C87">
        <w:t>’</w:t>
      </w:r>
      <w:r w:rsidR="00D80F06" w:rsidRPr="002D6CAB">
        <w:t>élaboration des messages clés pour la lutte contre le mariage des enfants</w:t>
      </w:r>
      <w:r w:rsidR="009573B0">
        <w:t> ;</w:t>
      </w:r>
      <w:r w:rsidR="00D80F06" w:rsidRPr="002D6CAB">
        <w:t xml:space="preserve"> </w:t>
      </w:r>
    </w:p>
    <w:p w:rsidR="00D80F06" w:rsidRPr="002D6CAB" w:rsidRDefault="00C87B7B" w:rsidP="00C87B7B">
      <w:pPr>
        <w:pStyle w:val="Bullet1G"/>
        <w:numPr>
          <w:ilvl w:val="0"/>
          <w:numId w:val="0"/>
        </w:numPr>
        <w:tabs>
          <w:tab w:val="left" w:pos="1701"/>
        </w:tabs>
        <w:ind w:left="1701" w:hanging="170"/>
      </w:pPr>
      <w:r w:rsidRPr="002D6CAB">
        <w:lastRenderedPageBreak/>
        <w:t>•</w:t>
      </w:r>
      <w:r w:rsidRPr="002D6CAB">
        <w:tab/>
      </w:r>
      <w:r w:rsidR="00D80F06" w:rsidRPr="002D6CAB">
        <w:t>La formation de 80 acteurs sur les messages clés de la lutte contre le mariage des enfants. Ces acteurs sont issus des réseaux des jeunes, de la petite enfance, du parlement des enfants, des coopératives féminines, des ONG et OCB actives dans le système de protection de l</w:t>
      </w:r>
      <w:r w:rsidR="00A24C87">
        <w:t>’</w:t>
      </w:r>
      <w:r w:rsidR="00D80F06" w:rsidRPr="002D6CAB">
        <w:t>enfant. Tous ces acteurs ont participé dans la caravane de sensibilisation sur les conséquences du mariage des enfants et se sont engagés à continuer les sensibilisations sur ce phénomène</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w:t>
      </w:r>
      <w:r w:rsidR="00A24C87">
        <w:t>’</w:t>
      </w:r>
      <w:r w:rsidR="00D80F06" w:rsidRPr="002D6CAB">
        <w:t>organisation d</w:t>
      </w:r>
      <w:r w:rsidR="00A24C87">
        <w:t>’</w:t>
      </w:r>
      <w:r w:rsidR="00D80F06" w:rsidRPr="002D6CAB">
        <w:t xml:space="preserve">une caravane de sensibilisation sur les conséquences du mariage et du travail des enfants dans 5 wilayas du pays à savoir le </w:t>
      </w:r>
      <w:proofErr w:type="spellStart"/>
      <w:r w:rsidR="00D80F06" w:rsidRPr="002D6CAB">
        <w:t>Gorgol</w:t>
      </w:r>
      <w:proofErr w:type="spellEnd"/>
      <w:r w:rsidR="00D80F06" w:rsidRPr="002D6CAB">
        <w:t xml:space="preserve">, le </w:t>
      </w:r>
      <w:proofErr w:type="spellStart"/>
      <w:r w:rsidR="00D80F06" w:rsidRPr="002D6CAB">
        <w:t>Guidimagha</w:t>
      </w:r>
      <w:proofErr w:type="spellEnd"/>
      <w:r w:rsidR="00D80F06" w:rsidRPr="002D6CAB">
        <w:t>, Nouakchott Ouest, No</w:t>
      </w:r>
      <w:r w:rsidR="00D80F06">
        <w:t>uakchott Sud et Nouakchott Nord</w:t>
      </w:r>
      <w:r w:rsidR="00EC2C4C">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w:t>
      </w:r>
      <w:r w:rsidR="00A24C87">
        <w:t>’</w:t>
      </w:r>
      <w:r w:rsidR="00D80F06" w:rsidRPr="002D6CAB">
        <w:t>organisation et l</w:t>
      </w:r>
      <w:r w:rsidR="00A24C87">
        <w:t>’</w:t>
      </w:r>
      <w:r w:rsidR="00D80F06" w:rsidRPr="002D6CAB">
        <w:t>animation de plusieurs émissions à la radio et à la télévision sur les cons</w:t>
      </w:r>
      <w:r w:rsidR="00D80F06">
        <w:t>équences du mariage des enfants</w:t>
      </w:r>
      <w:r w:rsidR="00E63EC0">
        <w:t>.</w:t>
      </w:r>
    </w:p>
    <w:p w:rsidR="00D80F06" w:rsidRPr="002D6CAB" w:rsidRDefault="00C87B7B" w:rsidP="00C87B7B">
      <w:pPr>
        <w:pStyle w:val="SingleTxtG"/>
      </w:pPr>
      <w:r w:rsidRPr="002D6CAB">
        <w:t>182.</w:t>
      </w:r>
      <w:r w:rsidRPr="002D6CAB">
        <w:tab/>
      </w:r>
      <w:r w:rsidR="00AB36E9">
        <w:t>À</w:t>
      </w:r>
      <w:r w:rsidR="00D80F06" w:rsidRPr="002D6CAB">
        <w:t xml:space="preserve"> l</w:t>
      </w:r>
      <w:r w:rsidR="00A24C87">
        <w:t>’</w:t>
      </w:r>
      <w:r w:rsidR="00D80F06" w:rsidRPr="002D6CAB">
        <w:t>occasion des activités commémoratives du 20 novembre 2015 le département</w:t>
      </w:r>
      <w:r w:rsidR="00D80F06">
        <w:t xml:space="preserve"> </w:t>
      </w:r>
      <w:r w:rsidR="00D80F06" w:rsidRPr="002D6CAB">
        <w:t>a procédé à</w:t>
      </w:r>
      <w:r w:rsidR="00AB36E9">
        <w:t> </w:t>
      </w:r>
      <w:r w:rsidR="00D80F06" w:rsidRPr="002D6CAB">
        <w:t>:</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w:t>
      </w:r>
      <w:r w:rsidR="00A24C87">
        <w:t>’</w:t>
      </w:r>
      <w:r w:rsidR="00D80F06" w:rsidRPr="002D6CAB">
        <w:t>organisation d</w:t>
      </w:r>
      <w:r w:rsidR="00A24C87">
        <w:t>’</w:t>
      </w:r>
      <w:r w:rsidR="00D80F06" w:rsidRPr="002D6CAB">
        <w:t xml:space="preserve">un atelier de formation sur les conséquences du mariage des enfants au profit des journalistes, des ONG de protection, des enfants parlementaires, des coopératives féminines et des réseaux des jeunes de la wilaya de </w:t>
      </w:r>
      <w:proofErr w:type="spellStart"/>
      <w:r w:rsidR="00D80F06" w:rsidRPr="002D6CAB">
        <w:t>Dakhlet</w:t>
      </w:r>
      <w:proofErr w:type="spellEnd"/>
      <w:r w:rsidR="00D80F06" w:rsidRPr="002D6CAB">
        <w:t xml:space="preserve"> Nouadhibou</w:t>
      </w:r>
      <w:r w:rsidR="00AB36E9">
        <w:t> </w:t>
      </w:r>
      <w:r w:rsidR="00D80F06" w:rsidRPr="002D6CAB">
        <w:t xml:space="preserve">;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La sensibilisation sur les conséquences du mariage des enfa</w:t>
      </w:r>
      <w:r w:rsidR="00D80F06">
        <w:t>nts dans la ville de Nouadhibou</w:t>
      </w:r>
      <w:r w:rsidR="009573B0">
        <w:t>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w:t>
      </w:r>
      <w:r w:rsidR="00A24C87">
        <w:t>’</w:t>
      </w:r>
      <w:r w:rsidR="00D80F06" w:rsidRPr="002D6CAB">
        <w:t>animation par les membres du comité national de lutte contre le mariage des enfants des émissions à la radio et à la télévision sur les conséquences du mariage des enfants</w:t>
      </w:r>
      <w:r w:rsidR="009573B0">
        <w:t> ;</w:t>
      </w:r>
      <w:r w:rsidR="00D80F06" w:rsidRPr="002D6CAB">
        <w:t xml:space="preserve"> </w:t>
      </w:r>
    </w:p>
    <w:p w:rsidR="00D80F06" w:rsidRPr="002D6CAB" w:rsidRDefault="00C87B7B" w:rsidP="00C87B7B">
      <w:pPr>
        <w:pStyle w:val="Bullet1G"/>
        <w:numPr>
          <w:ilvl w:val="0"/>
          <w:numId w:val="0"/>
        </w:numPr>
        <w:tabs>
          <w:tab w:val="left" w:pos="1701"/>
        </w:tabs>
        <w:ind w:left="1701" w:hanging="170"/>
      </w:pPr>
      <w:r w:rsidRPr="002D6CAB">
        <w:t>•</w:t>
      </w:r>
      <w:r w:rsidRPr="002D6CAB">
        <w:tab/>
      </w:r>
      <w:r w:rsidR="00D80F06" w:rsidRPr="002D6CAB">
        <w:t>L</w:t>
      </w:r>
      <w:r w:rsidR="00A24C87">
        <w:t>’</w:t>
      </w:r>
      <w:r w:rsidR="00D80F06" w:rsidRPr="002D6CAB">
        <w:t>élaboration des supports de communication sur la lutte contre ce</w:t>
      </w:r>
      <w:r w:rsidR="0022553A">
        <w:t xml:space="preserve"> phénomène (sketches </w:t>
      </w:r>
      <w:proofErr w:type="spellStart"/>
      <w:r w:rsidR="0022553A">
        <w:t>Breinissa</w:t>
      </w:r>
      <w:proofErr w:type="spellEnd"/>
      <w:r w:rsidR="0022553A">
        <w:t>).</w:t>
      </w:r>
    </w:p>
    <w:p w:rsidR="00D80F06" w:rsidRPr="002D6CAB" w:rsidRDefault="00C87B7B" w:rsidP="00C87B7B">
      <w:pPr>
        <w:pStyle w:val="SingleTxtG"/>
      </w:pPr>
      <w:r w:rsidRPr="002D6CAB">
        <w:t>183.</w:t>
      </w:r>
      <w:r w:rsidRPr="002D6CAB">
        <w:tab/>
      </w:r>
      <w:r w:rsidR="00D80F06" w:rsidRPr="002D6CAB">
        <w:t>Aussi, la Mauritanie, vient de bénéficier des services du projet « Autonomisation des femmes et dividendes démographiques » dont plusieurs axes vont contribuer à réduire considérablement le mariage des enfants comme les axes scolarisation et autonomisation des filles et renforcement et appui économique</w:t>
      </w:r>
      <w:r w:rsidR="00D80F06">
        <w:t xml:space="preserve"> </w:t>
      </w:r>
      <w:r w:rsidR="00D80F06" w:rsidRPr="002D6CAB">
        <w:t xml:space="preserve">aux femmes. </w:t>
      </w:r>
    </w:p>
    <w:p w:rsidR="00D80F06" w:rsidRPr="002D6CAB" w:rsidRDefault="00C87B7B" w:rsidP="00C87B7B">
      <w:pPr>
        <w:pStyle w:val="SingleTxtG"/>
      </w:pPr>
      <w:r w:rsidRPr="002D6CAB">
        <w:t>184.</w:t>
      </w:r>
      <w:r w:rsidRPr="002D6CAB">
        <w:tab/>
      </w:r>
      <w:r w:rsidR="00D80F06" w:rsidRPr="002D6CAB">
        <w:t>En matière de la législation deux projets des lois interdisant les mariages d</w:t>
      </w:r>
      <w:r w:rsidR="00A24C87">
        <w:t>’</w:t>
      </w:r>
      <w:r w:rsidR="00D80F06" w:rsidRPr="002D6CAB">
        <w:t>enfants ont été approuvés par le gouvernement</w:t>
      </w:r>
      <w:r w:rsidR="00D80F06">
        <w:t xml:space="preserve"> </w:t>
      </w:r>
      <w:r w:rsidR="00D80F06" w:rsidRPr="002D6CAB">
        <w:t>et soumis au parlement. Il s</w:t>
      </w:r>
      <w:r w:rsidR="00A24C87">
        <w:t>’</w:t>
      </w:r>
      <w:r w:rsidR="00D80F06" w:rsidRPr="002D6CAB">
        <w:t>agit du</w:t>
      </w:r>
      <w:r w:rsidR="00D80F06">
        <w:t xml:space="preserve"> </w:t>
      </w:r>
      <w:r w:rsidR="00D80F06" w:rsidRPr="002D6CAB">
        <w:t xml:space="preserve">Code </w:t>
      </w:r>
      <w:r w:rsidR="00B253B0">
        <w:t>g</w:t>
      </w:r>
      <w:r w:rsidR="00D80F06" w:rsidRPr="002D6CAB">
        <w:t>énéral de l</w:t>
      </w:r>
      <w:r w:rsidR="00A24C87">
        <w:t>’</w:t>
      </w:r>
      <w:r w:rsidR="00B253B0">
        <w:t>e</w:t>
      </w:r>
      <w:r w:rsidR="00D80F06" w:rsidRPr="002D6CAB">
        <w:t>nfant et de la loi</w:t>
      </w:r>
      <w:r w:rsidR="006F41E7">
        <w:t>-</w:t>
      </w:r>
      <w:r w:rsidR="00D80F06" w:rsidRPr="002D6CAB">
        <w:t>cadre de Lutte contre les violences à l</w:t>
      </w:r>
      <w:r w:rsidR="00A24C87">
        <w:t>’</w:t>
      </w:r>
      <w:r w:rsidR="00D80F06" w:rsidRPr="002D6CAB">
        <w:t xml:space="preserve">égard des femmes et des filles. </w:t>
      </w:r>
    </w:p>
    <w:p w:rsidR="00D80F06" w:rsidRPr="00865EA1" w:rsidRDefault="00D80F06" w:rsidP="00027EE8">
      <w:pPr>
        <w:pStyle w:val="SingleTxtG"/>
        <w:ind w:left="1701"/>
        <w:rPr>
          <w:i/>
        </w:rPr>
      </w:pPr>
      <w:r w:rsidRPr="00865EA1">
        <w:rPr>
          <w:i/>
        </w:rPr>
        <w:t>Recommandation 19</w:t>
      </w:r>
      <w:r w:rsidR="00FB29A2" w:rsidRPr="00865EA1">
        <w:rPr>
          <w:i/>
        </w:rPr>
        <w:t> :</w:t>
      </w:r>
    </w:p>
    <w:p w:rsidR="00D80F06" w:rsidRPr="00865EA1" w:rsidRDefault="00D80F06" w:rsidP="00027EE8">
      <w:pPr>
        <w:pStyle w:val="SingleTxtG"/>
        <w:ind w:left="1701"/>
        <w:rPr>
          <w:i/>
        </w:rPr>
      </w:pPr>
      <w:r w:rsidRPr="00865EA1">
        <w:rPr>
          <w:i/>
        </w:rPr>
        <w:t>L</w:t>
      </w:r>
      <w:r w:rsidR="00A24C87" w:rsidRPr="00865EA1">
        <w:rPr>
          <w:i/>
        </w:rPr>
        <w:t>’</w:t>
      </w:r>
      <w:r w:rsidRPr="00865EA1">
        <w:rPr>
          <w:i/>
        </w:rPr>
        <w:t>État partie devrait accélérer l</w:t>
      </w:r>
      <w:r w:rsidR="00A24C87" w:rsidRPr="00865EA1">
        <w:rPr>
          <w:i/>
        </w:rPr>
        <w:t>’</w:t>
      </w:r>
      <w:r w:rsidRPr="00865EA1">
        <w:rPr>
          <w:i/>
        </w:rPr>
        <w:t>adoption du projet de loi sur l</w:t>
      </w:r>
      <w:r w:rsidR="00A24C87" w:rsidRPr="00865EA1">
        <w:rPr>
          <w:i/>
        </w:rPr>
        <w:t>’</w:t>
      </w:r>
      <w:r w:rsidRPr="00865EA1">
        <w:rPr>
          <w:i/>
        </w:rPr>
        <w:t>asile afin de faciliter les procédures de demande d</w:t>
      </w:r>
      <w:r w:rsidR="00A24C87" w:rsidRPr="00865EA1">
        <w:rPr>
          <w:i/>
        </w:rPr>
        <w:t>’</w:t>
      </w:r>
      <w:r w:rsidRPr="00865EA1">
        <w:rPr>
          <w:i/>
        </w:rPr>
        <w:t>asile. Il devrait également examiner la situation des anciens réfugiés et demandeurs d</w:t>
      </w:r>
      <w:r w:rsidR="00A24C87" w:rsidRPr="00865EA1">
        <w:rPr>
          <w:i/>
        </w:rPr>
        <w:t>’</w:t>
      </w:r>
      <w:r w:rsidRPr="00865EA1">
        <w:rPr>
          <w:i/>
        </w:rPr>
        <w:t>asile afin de leur procurer des documents d</w:t>
      </w:r>
      <w:r w:rsidR="00A24C87" w:rsidRPr="00865EA1">
        <w:rPr>
          <w:i/>
        </w:rPr>
        <w:t>’</w:t>
      </w:r>
      <w:r w:rsidRPr="00865EA1">
        <w:rPr>
          <w:i/>
        </w:rPr>
        <w:t>identité, le cas échéant, et faciliter leurs déplacements. L</w:t>
      </w:r>
      <w:r w:rsidR="00A24C87" w:rsidRPr="00865EA1">
        <w:rPr>
          <w:i/>
        </w:rPr>
        <w:t>’</w:t>
      </w:r>
      <w:r w:rsidRPr="00865EA1">
        <w:rPr>
          <w:i/>
        </w:rPr>
        <w:t>État partie devrait lever les obstacles juridiques à l</w:t>
      </w:r>
      <w:r w:rsidR="00A24C87" w:rsidRPr="00865EA1">
        <w:rPr>
          <w:i/>
        </w:rPr>
        <w:t>’</w:t>
      </w:r>
      <w:r w:rsidRPr="00865EA1">
        <w:rPr>
          <w:i/>
        </w:rPr>
        <w:t>enregistrement des naissances des enfants de réfugiés et demandeurs d</w:t>
      </w:r>
      <w:r w:rsidR="00A24C87" w:rsidRPr="00865EA1">
        <w:rPr>
          <w:i/>
        </w:rPr>
        <w:t>’</w:t>
      </w:r>
      <w:r w:rsidRPr="00865EA1">
        <w:rPr>
          <w:i/>
        </w:rPr>
        <w:t>asile nés en Mauritanie. Il devrait enfin faciliter l</w:t>
      </w:r>
      <w:r w:rsidR="00A24C87" w:rsidRPr="00865EA1">
        <w:rPr>
          <w:i/>
        </w:rPr>
        <w:t>’</w:t>
      </w:r>
      <w:r w:rsidRPr="00865EA1">
        <w:rPr>
          <w:i/>
        </w:rPr>
        <w:t>obtention de documents d</w:t>
      </w:r>
      <w:r w:rsidR="00A24C87" w:rsidRPr="00865EA1">
        <w:rPr>
          <w:i/>
        </w:rPr>
        <w:t>’</w:t>
      </w:r>
      <w:r w:rsidRPr="00865EA1">
        <w:rPr>
          <w:i/>
        </w:rPr>
        <w:t>identité pour les réfugiés rapatriés en vertu de l</w:t>
      </w:r>
      <w:r w:rsidR="00A24C87" w:rsidRPr="00865EA1">
        <w:rPr>
          <w:i/>
        </w:rPr>
        <w:t>’</w:t>
      </w:r>
      <w:r w:rsidRPr="00865EA1">
        <w:rPr>
          <w:i/>
        </w:rPr>
        <w:t>accord tripartite entre l</w:t>
      </w:r>
      <w:r w:rsidR="00A24C87" w:rsidRPr="00865EA1">
        <w:rPr>
          <w:i/>
        </w:rPr>
        <w:t>’</w:t>
      </w:r>
      <w:r w:rsidRPr="00865EA1">
        <w:rPr>
          <w:i/>
        </w:rPr>
        <w:t>État partie, le Sénégal et le Haut-Commissariat des Nations Unies pour les réfugiés et devrait envisager la signature d</w:t>
      </w:r>
      <w:r w:rsidR="00A24C87" w:rsidRPr="00865EA1">
        <w:rPr>
          <w:i/>
        </w:rPr>
        <w:t>’</w:t>
      </w:r>
      <w:r w:rsidRPr="00865EA1">
        <w:rPr>
          <w:i/>
        </w:rPr>
        <w:t>un tel accord pour les Mauritaniens refugiés au Mali, suite aux événements de 1989-1990. Il devrait envisager la mise en place d</w:t>
      </w:r>
      <w:r w:rsidR="00A24C87" w:rsidRPr="00865EA1">
        <w:rPr>
          <w:i/>
        </w:rPr>
        <w:t>’</w:t>
      </w:r>
      <w:r w:rsidRPr="00865EA1">
        <w:rPr>
          <w:i/>
        </w:rPr>
        <w:t>un mécanisme propre à solder le passif humanitaire de ces événements.</w:t>
      </w:r>
    </w:p>
    <w:p w:rsidR="00D80F06" w:rsidRPr="002D6CAB" w:rsidRDefault="00C87B7B" w:rsidP="00C87B7B">
      <w:pPr>
        <w:pStyle w:val="SingleTxtG"/>
      </w:pPr>
      <w:r w:rsidRPr="002D6CAB">
        <w:t>185.</w:t>
      </w:r>
      <w:r w:rsidRPr="002D6CAB">
        <w:tab/>
      </w:r>
      <w:r w:rsidR="00D80F06" w:rsidRPr="002D6CAB">
        <w:t>Grâce à l</w:t>
      </w:r>
      <w:r w:rsidR="00A24C87">
        <w:t>’</w:t>
      </w:r>
      <w:r w:rsidR="00D80F06" w:rsidRPr="002D6CAB">
        <w:t>enrôlement biométrique, les travailleurs migrants et les membres de leur famille ont bénéficié de la régularisation de leur situation à travers leur recensement</w:t>
      </w:r>
      <w:r w:rsidR="00D80F06">
        <w:t xml:space="preserve"> </w:t>
      </w:r>
      <w:r w:rsidR="00D80F06" w:rsidRPr="002D6CAB">
        <w:t>fait avec l</w:t>
      </w:r>
      <w:r w:rsidR="00A24C87">
        <w:t>’</w:t>
      </w:r>
      <w:r w:rsidR="00D80F06" w:rsidRPr="002D6CAB">
        <w:t>appui de leurs représentations diplomatiques ou consulaires et leurs associations. Ce</w:t>
      </w:r>
      <w:r w:rsidR="00D80F06">
        <w:t xml:space="preserve"> </w:t>
      </w:r>
      <w:r w:rsidR="00D80F06" w:rsidRPr="002D6CAB">
        <w:t>recensement est permanent et permet de régulariser la situation des migrants, qui sont aujourd</w:t>
      </w:r>
      <w:r w:rsidR="00A24C87">
        <w:t>’</w:t>
      </w:r>
      <w:r w:rsidR="00D80F06" w:rsidRPr="002D6CAB">
        <w:t>hui, au nombre de</w:t>
      </w:r>
      <w:r w:rsidR="00D80F06">
        <w:t xml:space="preserve"> </w:t>
      </w:r>
      <w:r w:rsidR="00D80F06" w:rsidRPr="002D6CAB">
        <w:t>114</w:t>
      </w:r>
      <w:r w:rsidR="00507CAE">
        <w:t> </w:t>
      </w:r>
      <w:r w:rsidR="00D80F06" w:rsidRPr="002D6CAB">
        <w:t>425, selon le ministère de l</w:t>
      </w:r>
      <w:r w:rsidR="00A24C87">
        <w:t>’</w:t>
      </w:r>
      <w:r w:rsidR="00D80F06" w:rsidRPr="002D6CAB">
        <w:t>intérieur et de la décentralisation.</w:t>
      </w:r>
    </w:p>
    <w:p w:rsidR="00D80F06" w:rsidRPr="002D6CAB" w:rsidRDefault="00C87B7B" w:rsidP="00C87B7B">
      <w:pPr>
        <w:pStyle w:val="SingleTxtG"/>
      </w:pPr>
      <w:r w:rsidRPr="002D6CAB">
        <w:t>186.</w:t>
      </w:r>
      <w:r w:rsidRPr="002D6CAB">
        <w:tab/>
      </w:r>
      <w:r w:rsidR="00D80F06" w:rsidRPr="002D6CAB">
        <w:t>L</w:t>
      </w:r>
      <w:r w:rsidR="00A24C87">
        <w:t>’</w:t>
      </w:r>
      <w:r w:rsidR="00D80F06" w:rsidRPr="002D6CAB">
        <w:t>état civil biométrique comprend des registres réservés aux étrangers qui peuvent enregistrer leurs enfants à leur naissance. Les parents des enfants sont munis de cartes de séjour également délivrées. Les enfants des migrants nés en Mauritanie peuvent demander à leur majorité, la naturalisation.</w:t>
      </w:r>
    </w:p>
    <w:p w:rsidR="00D80F06" w:rsidRPr="002D6CAB" w:rsidRDefault="00C87B7B" w:rsidP="00C87B7B">
      <w:pPr>
        <w:pStyle w:val="SingleTxtG"/>
      </w:pPr>
      <w:r w:rsidRPr="002D6CAB">
        <w:lastRenderedPageBreak/>
        <w:t>187.</w:t>
      </w:r>
      <w:r w:rsidRPr="002D6CAB">
        <w:tab/>
      </w:r>
      <w:r w:rsidR="00D80F06" w:rsidRPr="002D6CAB">
        <w:t>Tous les enfants des travailleurs migrants en Mauritanie sont acceptés au niveau des établissements d</w:t>
      </w:r>
      <w:r w:rsidR="00A24C87">
        <w:t>’</w:t>
      </w:r>
      <w:r w:rsidR="00D80F06" w:rsidRPr="002D6CAB">
        <w:t>enseignement publics,</w:t>
      </w:r>
      <w:r w:rsidR="00D80F06">
        <w:t xml:space="preserve"> </w:t>
      </w:r>
      <w:r w:rsidR="00D80F06" w:rsidRPr="002D6CAB">
        <w:t>gratuitement, selon leur niveau. Ils sont scolarisés dans les mêmes conditions que les enfants mauritaniens. Ils peuvent passer tous les examens nationaux et les bacheliers s</w:t>
      </w:r>
      <w:r w:rsidR="00A24C87">
        <w:t>’</w:t>
      </w:r>
      <w:r w:rsidR="00D80F06" w:rsidRPr="002D6CAB">
        <w:t>inscrire à l</w:t>
      </w:r>
      <w:r w:rsidR="00A24C87">
        <w:t>’</w:t>
      </w:r>
      <w:r w:rsidR="00D80F06" w:rsidRPr="002D6CAB">
        <w:t>université et suivre une formation académique selon leurs</w:t>
      </w:r>
      <w:r w:rsidR="00D80F06">
        <w:t xml:space="preserve"> </w:t>
      </w:r>
      <w:r w:rsidR="00D80F06" w:rsidRPr="002D6CAB">
        <w:t>choix répondant à leurs profils.</w:t>
      </w:r>
    </w:p>
    <w:p w:rsidR="00D80F06" w:rsidRPr="002D6CAB" w:rsidRDefault="00C87B7B" w:rsidP="00C87B7B">
      <w:pPr>
        <w:pStyle w:val="SingleTxtG"/>
      </w:pPr>
      <w:r w:rsidRPr="002D6CAB">
        <w:t>188.</w:t>
      </w:r>
      <w:r w:rsidRPr="002D6CAB">
        <w:tab/>
      </w:r>
      <w:r w:rsidR="00D80F06" w:rsidRPr="002D6CAB">
        <w:t>Pour ce qui est du règlement du passif humanitaire, il a été au centre des préoccupations du gouvernement.</w:t>
      </w:r>
    </w:p>
    <w:p w:rsidR="00D80F06" w:rsidRPr="002D6CAB" w:rsidRDefault="00C87B7B" w:rsidP="00C87B7B">
      <w:pPr>
        <w:pStyle w:val="SingleTxtG"/>
      </w:pPr>
      <w:r w:rsidRPr="002D6CAB">
        <w:t>189.</w:t>
      </w:r>
      <w:r w:rsidRPr="002D6CAB">
        <w:tab/>
      </w:r>
      <w:r w:rsidR="00D80F06" w:rsidRPr="002D6CAB">
        <w:t>Il s</w:t>
      </w:r>
      <w:r w:rsidR="00A24C87">
        <w:t>’</w:t>
      </w:r>
      <w:r w:rsidR="00D80F06" w:rsidRPr="002D6CAB">
        <w:t>est traduit par un retour volontaire digne et organisé de 24</w:t>
      </w:r>
      <w:r w:rsidR="00507CAE">
        <w:t> </w:t>
      </w:r>
      <w:r w:rsidR="00D80F06" w:rsidRPr="002D6CAB">
        <w:t>536 Mauritaniens réfugiés au Sénégal, répartis sur 118 sites dans cinq wilayas et comprenant 5</w:t>
      </w:r>
      <w:r w:rsidR="00507CAE">
        <w:t> </w:t>
      </w:r>
      <w:r w:rsidR="00D80F06" w:rsidRPr="002D6CAB">
        <w:t>817 familles.</w:t>
      </w:r>
    </w:p>
    <w:p w:rsidR="00D80F06" w:rsidRPr="002D6CAB" w:rsidRDefault="00C87B7B" w:rsidP="00C87B7B">
      <w:pPr>
        <w:pStyle w:val="SingleTxtG"/>
      </w:pPr>
      <w:r w:rsidRPr="002D6CAB">
        <w:t>190.</w:t>
      </w:r>
      <w:r w:rsidRPr="002D6CAB">
        <w:tab/>
      </w:r>
      <w:r w:rsidR="00D80F06" w:rsidRPr="002D6CAB">
        <w:t>L</w:t>
      </w:r>
      <w:r w:rsidR="00A24C87">
        <w:t>’</w:t>
      </w:r>
      <w:r w:rsidR="00D80F06" w:rsidRPr="002D6CAB">
        <w:t>opération du retour organisé, des mauritaniens réfugiés au Sénégal fait suite à la signature de l</w:t>
      </w:r>
      <w:r w:rsidR="00A24C87">
        <w:t>’</w:t>
      </w:r>
      <w:r w:rsidR="00D80F06" w:rsidRPr="002D6CAB">
        <w:t>accord tripartite signé le 12 novembre 2007 entre la Mauritanie, le Sénégal et le Haut-Commissariat des Nations Unies pour les Réfugiés (HCR). Cet accord est fondé sur les principes du droit humanitaire relatifs au caractère volontaire du rapatriement et à la préservation de l</w:t>
      </w:r>
      <w:r w:rsidR="00A24C87">
        <w:t>’</w:t>
      </w:r>
      <w:r w:rsidR="00D80F06" w:rsidRPr="002D6CAB">
        <w:t>unité de la famille dans des conditions respectueuses de la dignité humaine. Aux</w:t>
      </w:r>
      <w:r w:rsidR="00D80F06">
        <w:t xml:space="preserve"> </w:t>
      </w:r>
      <w:r w:rsidR="00D80F06" w:rsidRPr="002D6CAB">
        <w:t>termes de cet Accord Tripartite, la Mauritanie a la charge d</w:t>
      </w:r>
      <w:r w:rsidR="00A24C87">
        <w:t>’</w:t>
      </w:r>
      <w:r w:rsidR="00D80F06" w:rsidRPr="002D6CAB">
        <w:t>accueillir les rapatriés en leur garantissant sécurité, dignité et en leur assurant une réinsertion dans le tissu économique et social du pays.</w:t>
      </w:r>
    </w:p>
    <w:p w:rsidR="00D80F06" w:rsidRPr="002D6CAB" w:rsidRDefault="00C87B7B" w:rsidP="00C87B7B">
      <w:pPr>
        <w:pStyle w:val="SingleTxtG"/>
      </w:pPr>
      <w:r w:rsidRPr="002D6CAB">
        <w:t>191.</w:t>
      </w:r>
      <w:r w:rsidRPr="002D6CAB">
        <w:tab/>
      </w:r>
      <w:r w:rsidR="00D80F06" w:rsidRPr="002D6CAB">
        <w:t>L</w:t>
      </w:r>
      <w:r w:rsidR="00A24C87">
        <w:t>’</w:t>
      </w:r>
      <w:r w:rsidR="00B253B0">
        <w:t>État</w:t>
      </w:r>
      <w:r w:rsidR="00D80F06" w:rsidRPr="002D6CAB">
        <w:t xml:space="preserve"> a mis en place un dispositif adéquat pour assurer le rapatriement volontaire organisé des réfugiés et leur insertion économique et sociale. Dans ce cadre, l</w:t>
      </w:r>
      <w:r w:rsidR="00A24C87">
        <w:t>’</w:t>
      </w:r>
      <w:r w:rsidR="00B253B0">
        <w:t>État</w:t>
      </w:r>
      <w:r w:rsidR="00D80F06" w:rsidRPr="002D6CAB">
        <w:t xml:space="preserve"> a créé en 2008, l</w:t>
      </w:r>
      <w:r w:rsidR="00A24C87">
        <w:t>’</w:t>
      </w:r>
      <w:r w:rsidR="00D80F06" w:rsidRPr="002D6CAB">
        <w:t>Agence Nationale d</w:t>
      </w:r>
      <w:r w:rsidR="00A24C87">
        <w:t>’</w:t>
      </w:r>
      <w:r w:rsidR="00D80F06" w:rsidRPr="002D6CAB">
        <w:t>Appui et d</w:t>
      </w:r>
      <w:r w:rsidR="00A24C87">
        <w:t>’</w:t>
      </w:r>
      <w:r w:rsidR="00D80F06" w:rsidRPr="002D6CAB">
        <w:t>Insertion des Réfugiés (ANAIR), ayant pour mission de conduire et d</w:t>
      </w:r>
      <w:r w:rsidR="00A24C87">
        <w:t>’</w:t>
      </w:r>
      <w:r w:rsidR="00D80F06" w:rsidRPr="002D6CAB">
        <w:t>assurer l</w:t>
      </w:r>
      <w:r w:rsidR="00A24C87">
        <w:t>’</w:t>
      </w:r>
      <w:r w:rsidR="00D80F06" w:rsidRPr="002D6CAB">
        <w:t>accueil et l</w:t>
      </w:r>
      <w:r w:rsidR="00A24C87">
        <w:t>’</w:t>
      </w:r>
      <w:r w:rsidR="00D80F06" w:rsidRPr="002D6CAB">
        <w:t>insertion des rapatriés.</w:t>
      </w:r>
    </w:p>
    <w:p w:rsidR="00D80F06" w:rsidRPr="002D6CAB" w:rsidRDefault="00C87B7B" w:rsidP="00C87B7B">
      <w:pPr>
        <w:pStyle w:val="SingleTxtG"/>
      </w:pPr>
      <w:r w:rsidRPr="002D6CAB">
        <w:t>192.</w:t>
      </w:r>
      <w:r w:rsidRPr="002D6CAB">
        <w:tab/>
      </w:r>
      <w:r w:rsidR="00D80F06" w:rsidRPr="002D6CAB">
        <w:t>Ce dispositif a mobilisé également les administrations centrale et territoriale qui ont joué un rôle fondamental pour l</w:t>
      </w:r>
      <w:r w:rsidR="00A24C87">
        <w:t>’</w:t>
      </w:r>
      <w:r w:rsidR="00D80F06" w:rsidRPr="002D6CAB">
        <w:t>accès des rapatriés à la propriété foncière, l</w:t>
      </w:r>
      <w:r w:rsidR="00A24C87">
        <w:t>’</w:t>
      </w:r>
      <w:r w:rsidR="00D80F06" w:rsidRPr="002D6CAB">
        <w:t>habitat et l</w:t>
      </w:r>
      <w:r w:rsidR="00A24C87">
        <w:t>’</w:t>
      </w:r>
      <w:r w:rsidR="00D80F06" w:rsidRPr="002D6CAB">
        <w:t>activité agricole en réglant les conflits les concernant.</w:t>
      </w:r>
    </w:p>
    <w:p w:rsidR="00D80F06" w:rsidRPr="002D6CAB" w:rsidRDefault="00C87B7B" w:rsidP="00C87B7B">
      <w:pPr>
        <w:pStyle w:val="SingleTxtG"/>
      </w:pPr>
      <w:r w:rsidRPr="002D6CAB">
        <w:t>193.</w:t>
      </w:r>
      <w:r w:rsidRPr="002D6CAB">
        <w:tab/>
      </w:r>
      <w:r w:rsidR="00D80F06" w:rsidRPr="002D6CAB">
        <w:t>Par ailleurs, le Gouvernement a mis en place une commission nationale de recensement des agents et fonctionnaires victimes des événements de 1989. Celle-ci a procédé au recensement au niveau national et à l</w:t>
      </w:r>
      <w:r w:rsidR="00A24C87">
        <w:t>’</w:t>
      </w:r>
      <w:r w:rsidR="00D80F06" w:rsidRPr="002D6CAB">
        <w:t>étranger de tous les fonctionnaires et agents contractuels de l</w:t>
      </w:r>
      <w:r w:rsidR="00A24C87">
        <w:t>’</w:t>
      </w:r>
      <w:r w:rsidR="00B253B0">
        <w:t>État</w:t>
      </w:r>
      <w:r w:rsidR="00D80F06" w:rsidRPr="002D6CAB">
        <w:t xml:space="preserve"> concernés en vue de leur réinsertion dans la vie active. Sur ce point, 1</w:t>
      </w:r>
      <w:r w:rsidR="00507CAE">
        <w:t> </w:t>
      </w:r>
      <w:r w:rsidR="00D80F06" w:rsidRPr="002D6CAB">
        <w:t>159 fonctionnaires et agents de l</w:t>
      </w:r>
      <w:r w:rsidR="00A24C87">
        <w:t>’</w:t>
      </w:r>
      <w:r w:rsidR="00B253B0">
        <w:t>État</w:t>
      </w:r>
      <w:r w:rsidR="00D80F06" w:rsidRPr="002D6CAB">
        <w:t xml:space="preserve"> ont obtenu leurs droits conformément aux solutions proposées par la commission nationale de recensement des fonctionnaires et agents contractuels de l</w:t>
      </w:r>
      <w:r w:rsidR="00A24C87">
        <w:t>’</w:t>
      </w:r>
      <w:r w:rsidR="00B253B0">
        <w:t>État</w:t>
      </w:r>
      <w:r w:rsidR="00D80F06" w:rsidRPr="002D6CAB">
        <w:t xml:space="preserve"> qui ont connu l</w:t>
      </w:r>
      <w:r w:rsidR="00A24C87">
        <w:t>’</w:t>
      </w:r>
      <w:r w:rsidR="00D80F06" w:rsidRPr="002D6CAB">
        <w:t>assentiment des représentants des ayants</w:t>
      </w:r>
      <w:r w:rsidR="00D80F06">
        <w:t xml:space="preserve"> </w:t>
      </w:r>
      <w:r w:rsidR="00D80F06" w:rsidRPr="002D6CAB">
        <w:t>droits.</w:t>
      </w:r>
    </w:p>
    <w:p w:rsidR="00D80F06" w:rsidRPr="002D6CAB" w:rsidRDefault="00C87B7B" w:rsidP="00C87B7B">
      <w:pPr>
        <w:pStyle w:val="SingleTxtG"/>
      </w:pPr>
      <w:r w:rsidRPr="002D6CAB">
        <w:t>194.</w:t>
      </w:r>
      <w:r w:rsidRPr="002D6CAB">
        <w:tab/>
      </w:r>
      <w:r w:rsidR="00D80F06" w:rsidRPr="002D6CAB">
        <w:t>Le processus de concertation engagé en 2008 entre les pouvoirs publics et les ayants droits a abouti à au règlement du passif humanitaire conformément au droit mauritanien, aux valeurs islamiques et aux conventions et traités internationaux. Ce règlement s</w:t>
      </w:r>
      <w:r w:rsidR="00A24C87">
        <w:t>’</w:t>
      </w:r>
      <w:r w:rsidR="00D80F06" w:rsidRPr="002D6CAB">
        <w:t>est traduit par le droit à la réparation à travers l</w:t>
      </w:r>
      <w:r w:rsidR="00A24C87">
        <w:t>’</w:t>
      </w:r>
      <w:r w:rsidR="00D80F06" w:rsidRPr="002D6CAB">
        <w:t>indemnisation des ayants droits (</w:t>
      </w:r>
      <w:proofErr w:type="spellStart"/>
      <w:r w:rsidR="00D80F06" w:rsidRPr="002D6CAB">
        <w:t>Diya</w:t>
      </w:r>
      <w:proofErr w:type="spellEnd"/>
      <w:r w:rsidR="00D80F06" w:rsidRPr="002D6CAB">
        <w:t>) et par le devoir de mémoire et de pardon exprimés à l</w:t>
      </w:r>
      <w:r w:rsidR="00A24C87">
        <w:t>’</w:t>
      </w:r>
      <w:r w:rsidR="00D80F06" w:rsidRPr="002D6CAB">
        <w:t xml:space="preserve">occasion de la journée de réconciliation nationale organisée à Kaédi, le 25 </w:t>
      </w:r>
      <w:r w:rsidR="00507CAE">
        <w:t>m</w:t>
      </w:r>
      <w:r w:rsidR="00D80F06" w:rsidRPr="002D6CAB">
        <w:t xml:space="preserve">ars 2009 (Prière en la mémoire des victimes et discours du Président de la République). </w:t>
      </w:r>
    </w:p>
    <w:p w:rsidR="00D80F06" w:rsidRPr="00865EA1" w:rsidRDefault="00D80F06" w:rsidP="00027EE8">
      <w:pPr>
        <w:pStyle w:val="SingleTxtG"/>
        <w:ind w:left="1701"/>
        <w:rPr>
          <w:i/>
        </w:rPr>
      </w:pPr>
      <w:bookmarkStart w:id="197" w:name="_Toc498901355"/>
      <w:r w:rsidRPr="00865EA1">
        <w:rPr>
          <w:i/>
        </w:rPr>
        <w:t>Recommandation 20</w:t>
      </w:r>
      <w:r w:rsidR="00FB29A2" w:rsidRPr="00865EA1">
        <w:rPr>
          <w:i/>
        </w:rPr>
        <w:t> :</w:t>
      </w:r>
      <w:r w:rsidRPr="00865EA1">
        <w:rPr>
          <w:i/>
        </w:rPr>
        <w:t xml:space="preserve"> La vulgarisation du PIDCP</w:t>
      </w:r>
      <w:bookmarkEnd w:id="197"/>
      <w:r w:rsidR="00AB36E9" w:rsidRPr="00865EA1">
        <w:rPr>
          <w:i/>
        </w:rPr>
        <w:t>.</w:t>
      </w:r>
      <w:r w:rsidRPr="00865EA1">
        <w:rPr>
          <w:i/>
        </w:rPr>
        <w:t xml:space="preserve"> </w:t>
      </w:r>
    </w:p>
    <w:p w:rsidR="00D80F06" w:rsidRPr="002D6CAB" w:rsidRDefault="00C87B7B" w:rsidP="00C87B7B">
      <w:pPr>
        <w:pStyle w:val="SingleTxtG"/>
      </w:pPr>
      <w:r w:rsidRPr="002D6CAB">
        <w:t>195.</w:t>
      </w:r>
      <w:r w:rsidRPr="002D6CAB">
        <w:tab/>
      </w:r>
      <w:r w:rsidR="00D80F06" w:rsidRPr="002D6CAB">
        <w:t>Plusieurs séminaires</w:t>
      </w:r>
      <w:r w:rsidR="00D80F06">
        <w:t xml:space="preserve"> </w:t>
      </w:r>
      <w:r w:rsidR="00D80F06" w:rsidRPr="002D6CAB">
        <w:t>et ateliers</w:t>
      </w:r>
      <w:r w:rsidR="00D80F06">
        <w:t xml:space="preserve"> </w:t>
      </w:r>
      <w:r w:rsidR="00D80F06" w:rsidRPr="002D6CAB">
        <w:t>ont été organisés au niveau national sur les dispositions du Pacte international relatif aux droits civils et politiques et les recommandations du comité. Ces séminaires et ateliers ont ciblé les magistrats, auxiliaires de justice, forces de l</w:t>
      </w:r>
      <w:r w:rsidR="00A24C87">
        <w:t>’</w:t>
      </w:r>
      <w:r w:rsidR="00D80F06" w:rsidRPr="002D6CAB">
        <w:t>ordre et</w:t>
      </w:r>
      <w:r w:rsidR="00D80F06">
        <w:t xml:space="preserve"> </w:t>
      </w:r>
      <w:r w:rsidR="00D80F06" w:rsidRPr="002D6CAB">
        <w:t>les organisations de la société civile.</w:t>
      </w:r>
    </w:p>
    <w:p w:rsidR="00D80F06" w:rsidRPr="00865EA1" w:rsidRDefault="00D80F06" w:rsidP="00027EE8">
      <w:pPr>
        <w:pStyle w:val="SingleTxtG"/>
        <w:ind w:left="1701"/>
        <w:rPr>
          <w:i/>
        </w:rPr>
      </w:pPr>
      <w:bookmarkStart w:id="198" w:name="_Toc498901356"/>
      <w:r w:rsidRPr="00865EA1">
        <w:rPr>
          <w:i/>
        </w:rPr>
        <w:t>Recommandation 21</w:t>
      </w:r>
      <w:r w:rsidR="00FB29A2" w:rsidRPr="00865EA1">
        <w:rPr>
          <w:i/>
        </w:rPr>
        <w:t> :</w:t>
      </w:r>
      <w:r w:rsidRPr="00865EA1">
        <w:rPr>
          <w:i/>
        </w:rPr>
        <w:t xml:space="preserve"> Les consultations avec les OSC sur le rapport périodique</w:t>
      </w:r>
      <w:bookmarkEnd w:id="198"/>
      <w:r w:rsidR="00AB36E9" w:rsidRPr="00865EA1">
        <w:rPr>
          <w:i/>
        </w:rPr>
        <w:t>.</w:t>
      </w:r>
    </w:p>
    <w:p w:rsidR="00D80F06" w:rsidRPr="002D6CAB" w:rsidRDefault="00C87B7B" w:rsidP="00C87B7B">
      <w:pPr>
        <w:pStyle w:val="SingleTxtG"/>
      </w:pPr>
      <w:r w:rsidRPr="002D6CAB">
        <w:t>196.</w:t>
      </w:r>
      <w:r w:rsidRPr="002D6CAB">
        <w:tab/>
      </w:r>
      <w:r w:rsidR="00D80F06" w:rsidRPr="002D6CAB">
        <w:t>Les rapports du gouvernement destinés aux</w:t>
      </w:r>
      <w:r w:rsidR="00D80F06">
        <w:t xml:space="preserve"> </w:t>
      </w:r>
      <w:r w:rsidR="00D80F06" w:rsidRPr="002D6CAB">
        <w:t xml:space="preserve">organes de traités et au Conseil des </w:t>
      </w:r>
      <w:r w:rsidR="00475CFF">
        <w:t>d</w:t>
      </w:r>
      <w:r w:rsidR="00D80F06" w:rsidRPr="002D6CAB">
        <w:t>roits de l</w:t>
      </w:r>
      <w:r w:rsidR="00A24C87">
        <w:t>’</w:t>
      </w:r>
      <w:r w:rsidR="00475CFF">
        <w:t>h</w:t>
      </w:r>
      <w:r w:rsidR="00D80F06" w:rsidRPr="002D6CAB">
        <w:t>omme, en vertu de</w:t>
      </w:r>
      <w:r w:rsidR="00D80F06">
        <w:t xml:space="preserve"> </w:t>
      </w:r>
      <w:r w:rsidR="00D80F06" w:rsidRPr="002D6CAB">
        <w:t>l</w:t>
      </w:r>
      <w:r w:rsidR="00A24C87">
        <w:t>’</w:t>
      </w:r>
      <w:r w:rsidR="00D80F06" w:rsidRPr="002D6CAB">
        <w:t>EPU sont validés en prenant en compte les recommandations issues des ateliers de concertation et de</w:t>
      </w:r>
      <w:r w:rsidR="00D80F06">
        <w:t xml:space="preserve"> </w:t>
      </w:r>
      <w:r w:rsidR="00D80F06" w:rsidRPr="002D6CAB">
        <w:t>partage avec la société civile et les instances parlementaires.</w:t>
      </w:r>
      <w:bookmarkStart w:id="199" w:name="_Toc497839661"/>
      <w:bookmarkEnd w:id="188"/>
    </w:p>
    <w:p w:rsidR="00D80F06" w:rsidRPr="002D6CAB" w:rsidRDefault="00855A25" w:rsidP="00855A25">
      <w:pPr>
        <w:pStyle w:val="HChG"/>
      </w:pPr>
      <w:bookmarkStart w:id="200" w:name="_Toc498901357"/>
      <w:r>
        <w:lastRenderedPageBreak/>
        <w:tab/>
      </w:r>
      <w:r>
        <w:tab/>
      </w:r>
      <w:r w:rsidR="00D80F06" w:rsidRPr="002D6CAB">
        <w:t>Conclusion</w:t>
      </w:r>
      <w:bookmarkEnd w:id="199"/>
      <w:bookmarkEnd w:id="200"/>
    </w:p>
    <w:p w:rsidR="00D80F06" w:rsidRPr="002D6CAB" w:rsidRDefault="00C87B7B" w:rsidP="00C87B7B">
      <w:pPr>
        <w:pStyle w:val="SingleTxtG"/>
      </w:pPr>
      <w:r w:rsidRPr="002D6CAB">
        <w:t>197.</w:t>
      </w:r>
      <w:r w:rsidRPr="002D6CAB">
        <w:tab/>
      </w:r>
      <w:r w:rsidR="00D80F06" w:rsidRPr="002D6CAB">
        <w:t>La République islamique de Mauritanie, tient à exprimer</w:t>
      </w:r>
      <w:r w:rsidR="00D80F06">
        <w:t xml:space="preserve"> </w:t>
      </w:r>
      <w:r w:rsidR="00D80F06" w:rsidRPr="002D6CAB">
        <w:t xml:space="preserve">à travers la présentation de son rapport périodique sur la mise en œuvre des dispositions du Pacte international relatif aux droits civils et politiques, et des recommandations du Comité des </w:t>
      </w:r>
      <w:r w:rsidR="00475CFF">
        <w:t>d</w:t>
      </w:r>
      <w:r w:rsidR="00D80F06" w:rsidRPr="002D6CAB">
        <w:t>roits de l</w:t>
      </w:r>
      <w:r w:rsidR="00A24C87">
        <w:t>’</w:t>
      </w:r>
      <w:r w:rsidR="00475CFF">
        <w:t>h</w:t>
      </w:r>
      <w:r w:rsidR="00D80F06" w:rsidRPr="002D6CAB">
        <w:t>omme, sa ferme volonté à mettre en œuvre ses engagements conventionnels souscrits dans le cadre de la promotion et de la protection des droits humains et des libertés fondamentales.</w:t>
      </w:r>
    </w:p>
    <w:p w:rsidR="00D80F06" w:rsidRPr="00D80F06" w:rsidRDefault="00C87B7B" w:rsidP="00C87B7B">
      <w:pPr>
        <w:pStyle w:val="SingleTxtG"/>
        <w:rPr>
          <w:lang w:val="fr-FR"/>
        </w:rPr>
      </w:pPr>
      <w:r w:rsidRPr="00D80F06">
        <w:rPr>
          <w:lang w:val="fr-FR"/>
        </w:rPr>
        <w:t>198.</w:t>
      </w:r>
      <w:r w:rsidRPr="00D80F06">
        <w:rPr>
          <w:lang w:val="fr-FR"/>
        </w:rPr>
        <w:tab/>
      </w:r>
      <w:r w:rsidR="00D80F06" w:rsidRPr="002D6CAB">
        <w:t>Elle réaffirme encore une fois son attachement aux idéaux et principes prescrits par le Pacte international relatif aux droits civils et politiques et reste disposée à</w:t>
      </w:r>
      <w:r w:rsidR="00D80F06">
        <w:t xml:space="preserve"> </w:t>
      </w:r>
      <w:r w:rsidR="00D80F06" w:rsidRPr="002D6CAB">
        <w:t>poursuivre le dialogue constructif mené</w:t>
      </w:r>
      <w:r w:rsidR="00D80F06">
        <w:t xml:space="preserve"> </w:t>
      </w:r>
      <w:r w:rsidR="00D80F06" w:rsidRPr="002D6CAB">
        <w:t>avec le Comité des droits de l</w:t>
      </w:r>
      <w:r w:rsidR="00A24C87">
        <w:t>’</w:t>
      </w:r>
      <w:r w:rsidR="00D80F06" w:rsidRPr="002D6CAB">
        <w:t>homme en vue d</w:t>
      </w:r>
      <w:r w:rsidR="00A24C87">
        <w:t>’</w:t>
      </w:r>
      <w:r w:rsidR="00D80F06" w:rsidRPr="002D6CAB">
        <w:t>une réelle jouissance des droits prévus par cet important instrument juridique international</w:t>
      </w:r>
      <w:r w:rsidR="00D80F06">
        <w:t xml:space="preserve">. </w:t>
      </w:r>
    </w:p>
    <w:p w:rsidR="00D80F06" w:rsidRPr="00D80F06" w:rsidRDefault="00D80F06" w:rsidP="00D80F06">
      <w:pPr>
        <w:pStyle w:val="SingleTxtG"/>
        <w:spacing w:before="240" w:after="0"/>
        <w:jc w:val="center"/>
        <w:rPr>
          <w:u w:val="single"/>
          <w:lang w:val="fr-FR"/>
        </w:rPr>
      </w:pPr>
      <w:r>
        <w:rPr>
          <w:u w:val="single"/>
        </w:rPr>
        <w:tab/>
      </w:r>
      <w:r>
        <w:rPr>
          <w:u w:val="single"/>
        </w:rPr>
        <w:tab/>
      </w:r>
      <w:r>
        <w:rPr>
          <w:u w:val="single"/>
        </w:rPr>
        <w:tab/>
      </w:r>
      <w:r w:rsidR="00AB36E9">
        <w:rPr>
          <w:u w:val="single"/>
        </w:rPr>
        <w:tab/>
      </w:r>
    </w:p>
    <w:sectPr w:rsidR="00D80F06" w:rsidRPr="00D80F06" w:rsidSect="00027EE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8E" w:rsidRDefault="00C0208E"/>
  </w:endnote>
  <w:endnote w:type="continuationSeparator" w:id="0">
    <w:p w:rsidR="00C0208E" w:rsidRDefault="00C0208E"/>
  </w:endnote>
  <w:endnote w:type="continuationNotice" w:id="1">
    <w:p w:rsidR="00C0208E" w:rsidRDefault="00C02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8E" w:rsidRPr="006D7314" w:rsidRDefault="00C0208E" w:rsidP="006D7314">
    <w:pPr>
      <w:pStyle w:val="Pieddepage"/>
      <w:tabs>
        <w:tab w:val="right" w:pos="9638"/>
      </w:tabs>
      <w:rPr>
        <w:sz w:val="18"/>
      </w:rPr>
    </w:pPr>
    <w:r w:rsidRPr="006D7314">
      <w:rPr>
        <w:b/>
        <w:sz w:val="18"/>
      </w:rPr>
      <w:fldChar w:fldCharType="begin"/>
    </w:r>
    <w:r w:rsidRPr="006D7314">
      <w:rPr>
        <w:b/>
        <w:sz w:val="18"/>
      </w:rPr>
      <w:instrText xml:space="preserve"> PAGE  \* MERGEFORMAT </w:instrText>
    </w:r>
    <w:r w:rsidRPr="006D7314">
      <w:rPr>
        <w:b/>
        <w:sz w:val="18"/>
      </w:rPr>
      <w:fldChar w:fldCharType="separate"/>
    </w:r>
    <w:r w:rsidR="002912ED">
      <w:rPr>
        <w:b/>
        <w:noProof/>
        <w:sz w:val="18"/>
      </w:rPr>
      <w:t>20</w:t>
    </w:r>
    <w:r w:rsidRPr="006D731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8E" w:rsidRPr="006D7314" w:rsidRDefault="00C0208E" w:rsidP="006D7314">
    <w:pPr>
      <w:pStyle w:val="Pieddepage"/>
      <w:tabs>
        <w:tab w:val="right" w:pos="9638"/>
      </w:tabs>
      <w:rPr>
        <w:b/>
        <w:sz w:val="18"/>
      </w:rPr>
    </w:pPr>
    <w:r>
      <w:tab/>
    </w:r>
    <w:r w:rsidRPr="006D7314">
      <w:rPr>
        <w:b/>
        <w:sz w:val="18"/>
      </w:rPr>
      <w:fldChar w:fldCharType="begin"/>
    </w:r>
    <w:r w:rsidRPr="006D7314">
      <w:rPr>
        <w:b/>
        <w:sz w:val="18"/>
      </w:rPr>
      <w:instrText xml:space="preserve"> PAGE  \* MERGEFORMAT </w:instrText>
    </w:r>
    <w:r w:rsidRPr="006D7314">
      <w:rPr>
        <w:b/>
        <w:sz w:val="18"/>
      </w:rPr>
      <w:fldChar w:fldCharType="separate"/>
    </w:r>
    <w:r w:rsidR="002912ED">
      <w:rPr>
        <w:b/>
        <w:noProof/>
        <w:sz w:val="18"/>
      </w:rPr>
      <w:t>19</w:t>
    </w:r>
    <w:r w:rsidRPr="006D73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8E" w:rsidRPr="00C0208E" w:rsidRDefault="002912ED" w:rsidP="00C0208E">
    <w:pPr>
      <w:pStyle w:val="Pieddepage"/>
      <w:spacing w:before="120"/>
      <w:rPr>
        <w:sz w:val="20"/>
      </w:rPr>
    </w:pPr>
    <w:r>
      <w:rPr>
        <w:noProof/>
        <w:sz w:val="20"/>
        <w:lang w:eastAsia="fr-CH"/>
      </w:rPr>
      <w:drawing>
        <wp:anchor distT="0" distB="0" distL="114300" distR="114300" simplePos="0" relativeHeight="251658240" behindDoc="0" locked="0" layoutInCell="1" allowOverlap="1">
          <wp:simplePos x="0" y="0"/>
          <wp:positionH relativeFrom="margin">
            <wp:posOffset>5495290</wp:posOffset>
          </wp:positionH>
          <wp:positionV relativeFrom="margin">
            <wp:posOffset>8849360</wp:posOffset>
          </wp:positionV>
          <wp:extent cx="638175" cy="638175"/>
          <wp:effectExtent l="0" t="0" r="9525" b="9525"/>
          <wp:wrapNone/>
          <wp:docPr id="1" name="Image 1" descr="https://undocs.org/m2/QRCode.ashx?DS=CCPR/C/MRT/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RT/2&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08E" w:rsidRPr="00C0208E">
      <w:rPr>
        <w:rFonts w:ascii="C39T30Lfz" w:hAnsi="C39T30Lfz"/>
        <w:noProof/>
        <w:sz w:val="56"/>
        <w:lang w:eastAsia="fr-CH"/>
      </w:rPr>
      <w:drawing>
        <wp:anchor distT="0" distB="0" distL="114300" distR="114300" simplePos="0" relativeHeight="251660288" behindDoc="0" locked="0" layoutInCell="1" allowOverlap="0" wp14:anchorId="05B87EB4" wp14:editId="11E17EB5">
          <wp:simplePos x="0" y="0"/>
          <wp:positionH relativeFrom="margin">
            <wp:posOffset>4320351</wp:posOffset>
          </wp:positionH>
          <wp:positionV relativeFrom="margin">
            <wp:posOffset>9153558</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08E">
      <w:rPr>
        <w:sz w:val="20"/>
      </w:rPr>
      <w:t>GE.18-01308  (F)</w:t>
    </w:r>
    <w:r w:rsidR="00C0208E">
      <w:rPr>
        <w:sz w:val="20"/>
      </w:rPr>
      <w:br/>
    </w:r>
    <w:r w:rsidR="00C0208E" w:rsidRPr="00C0208E">
      <w:rPr>
        <w:rFonts w:ascii="C39T30Lfz" w:hAnsi="C39T30Lfz"/>
        <w:sz w:val="56"/>
      </w:rPr>
      <w:t></w:t>
    </w:r>
    <w:r w:rsidR="00C0208E" w:rsidRPr="00C0208E">
      <w:rPr>
        <w:rFonts w:ascii="C39T30Lfz" w:hAnsi="C39T30Lfz"/>
        <w:sz w:val="56"/>
      </w:rPr>
      <w:t></w:t>
    </w:r>
    <w:r w:rsidR="00C0208E" w:rsidRPr="00C0208E">
      <w:rPr>
        <w:rFonts w:ascii="C39T30Lfz" w:hAnsi="C39T30Lfz"/>
        <w:sz w:val="56"/>
      </w:rPr>
      <w:t></w:t>
    </w:r>
    <w:r w:rsidR="00C0208E" w:rsidRPr="00C0208E">
      <w:rPr>
        <w:rFonts w:ascii="C39T30Lfz" w:hAnsi="C39T30Lfz"/>
        <w:sz w:val="56"/>
      </w:rPr>
      <w:t></w:t>
    </w:r>
    <w:r w:rsidR="00C0208E" w:rsidRPr="00C0208E">
      <w:rPr>
        <w:rFonts w:ascii="C39T30Lfz" w:hAnsi="C39T30Lfz"/>
        <w:sz w:val="56"/>
      </w:rPr>
      <w:t></w:t>
    </w:r>
    <w:r w:rsidR="00C0208E" w:rsidRPr="00C0208E">
      <w:rPr>
        <w:rFonts w:ascii="C39T30Lfz" w:hAnsi="C39T30Lfz"/>
        <w:sz w:val="56"/>
      </w:rPr>
      <w:t></w:t>
    </w:r>
    <w:r w:rsidR="00C0208E" w:rsidRPr="00C0208E">
      <w:rPr>
        <w:rFonts w:ascii="C39T30Lfz" w:hAnsi="C39T30Lfz"/>
        <w:sz w:val="56"/>
      </w:rPr>
      <w:t></w:t>
    </w:r>
    <w:r w:rsidR="00C0208E" w:rsidRPr="00C0208E">
      <w:rPr>
        <w:rFonts w:ascii="C39T30Lfz" w:hAnsi="C39T30Lfz"/>
        <w:sz w:val="56"/>
      </w:rPr>
      <w:t></w:t>
    </w:r>
    <w:r w:rsidR="00C0208E" w:rsidRPr="00C0208E">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8E" w:rsidRPr="00D27D5E" w:rsidRDefault="00C0208E" w:rsidP="00D27D5E">
      <w:pPr>
        <w:tabs>
          <w:tab w:val="right" w:pos="2155"/>
        </w:tabs>
        <w:spacing w:after="80"/>
        <w:ind w:left="680"/>
        <w:rPr>
          <w:u w:val="single"/>
        </w:rPr>
      </w:pPr>
      <w:r>
        <w:rPr>
          <w:u w:val="single"/>
        </w:rPr>
        <w:tab/>
      </w:r>
    </w:p>
  </w:footnote>
  <w:footnote w:type="continuationSeparator" w:id="0">
    <w:p w:rsidR="00C0208E" w:rsidRPr="00091505" w:rsidRDefault="00C0208E" w:rsidP="00091505">
      <w:pPr>
        <w:tabs>
          <w:tab w:val="right" w:pos="2155"/>
        </w:tabs>
        <w:spacing w:after="80"/>
        <w:ind w:left="680"/>
        <w:rPr>
          <w:u w:val="single"/>
        </w:rPr>
      </w:pPr>
      <w:r w:rsidRPr="00091505">
        <w:rPr>
          <w:u w:val="single"/>
        </w:rPr>
        <w:tab/>
      </w:r>
    </w:p>
  </w:footnote>
  <w:footnote w:type="continuationNotice" w:id="1">
    <w:p w:rsidR="00C0208E" w:rsidRDefault="00C0208E"/>
  </w:footnote>
  <w:footnote w:id="2">
    <w:p w:rsidR="00C0208E" w:rsidRPr="00353E03" w:rsidRDefault="00C0208E">
      <w:pPr>
        <w:pStyle w:val="Notedebasdepage"/>
        <w:rPr>
          <w:lang w:val="fr-FR"/>
        </w:rPr>
      </w:pPr>
      <w:r>
        <w:tab/>
      </w:r>
      <w:r w:rsidRPr="000C7C7F">
        <w:rPr>
          <w:sz w:val="20"/>
        </w:rPr>
        <w:t>*</w:t>
      </w:r>
      <w:r>
        <w:rPr>
          <w:sz w:val="20"/>
        </w:rPr>
        <w:tab/>
      </w:r>
      <w:r w:rsidRPr="00013CE0">
        <w:t xml:space="preserve">Le </w:t>
      </w:r>
      <w:bookmarkStart w:id="0" w:name="_GoBack"/>
      <w:bookmarkEnd w:id="0"/>
      <w:r w:rsidRPr="00013CE0">
        <w:t>présent document n</w:t>
      </w:r>
      <w:r>
        <w:t>’</w:t>
      </w:r>
      <w:r w:rsidRPr="00013CE0">
        <w:t>a pas été revu par les services d</w:t>
      </w:r>
      <w:r>
        <w:t>’</w:t>
      </w:r>
      <w:r w:rsidRPr="00013CE0">
        <w:t>édition</w:t>
      </w:r>
      <w:r>
        <w:t>.</w:t>
      </w:r>
    </w:p>
  </w:footnote>
  <w:footnote w:id="3">
    <w:p w:rsidR="00C0208E" w:rsidRPr="00470790" w:rsidRDefault="00C0208E">
      <w:pPr>
        <w:pStyle w:val="Notedebasdepage"/>
      </w:pPr>
      <w:r>
        <w:tab/>
      </w:r>
      <w:r w:rsidRPr="00027EE8">
        <w:rPr>
          <w:rStyle w:val="Appelnotedebasdep"/>
        </w:rPr>
        <w:footnoteRef/>
      </w:r>
      <w:r>
        <w:tab/>
        <w:t>Source : Office National de la Statistique.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8E" w:rsidRPr="006D7314" w:rsidRDefault="00C0208E">
    <w:pPr>
      <w:pStyle w:val="En-tte"/>
    </w:pPr>
    <w:fldSimple w:instr=" TITLE  \* MERGEFORMAT ">
      <w:r>
        <w:t>CCPR/C/MRT/2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8E" w:rsidRPr="006D7314" w:rsidRDefault="00C0208E" w:rsidP="006D7314">
    <w:pPr>
      <w:pStyle w:val="En-tte"/>
      <w:jc w:val="right"/>
    </w:pPr>
    <w:fldSimple w:instr=" TITLE  \* MERGEFORMAT ">
      <w:r>
        <w:t>CCPR/C/MRT/2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830450A"/>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8A49648"/>
    <w:lvl w:ilvl="0">
      <w:start w:val="1"/>
      <w:numFmt w:val="decimal"/>
      <w:lvlText w:val="%1."/>
      <w:lvlJc w:val="left"/>
      <w:pPr>
        <w:tabs>
          <w:tab w:val="num" w:pos="360"/>
        </w:tabs>
        <w:ind w:left="360" w:hanging="360"/>
      </w:pPr>
    </w:lvl>
  </w:abstractNum>
  <w:abstractNum w:abstractNumId="2" w15:restartNumberingAfterBreak="0">
    <w:nsid w:val="02B767CE"/>
    <w:multiLevelType w:val="multilevel"/>
    <w:tmpl w:val="46E8B4C6"/>
    <w:lvl w:ilvl="0">
      <w:start w:val="3"/>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A0A1A"/>
    <w:multiLevelType w:val="hybridMultilevel"/>
    <w:tmpl w:val="AB6E32F4"/>
    <w:lvl w:ilvl="0" w:tplc="F85EE8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2D7755D"/>
    <w:multiLevelType w:val="hybridMultilevel"/>
    <w:tmpl w:val="731C8586"/>
    <w:lvl w:ilvl="0" w:tplc="21062F1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3321BCD"/>
    <w:multiLevelType w:val="hybridMultilevel"/>
    <w:tmpl w:val="0024CF70"/>
    <w:lvl w:ilvl="0" w:tplc="4152785C">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15:restartNumberingAfterBreak="0">
    <w:nsid w:val="134747BC"/>
    <w:multiLevelType w:val="hybridMultilevel"/>
    <w:tmpl w:val="931C08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AB7C9C"/>
    <w:multiLevelType w:val="hybridMultilevel"/>
    <w:tmpl w:val="97E844A8"/>
    <w:lvl w:ilvl="0" w:tplc="02467114">
      <w:numFmt w:val="bullet"/>
      <w:lvlText w:val=""/>
      <w:lvlJc w:val="left"/>
      <w:pPr>
        <w:ind w:left="1068" w:hanging="360"/>
      </w:pPr>
      <w:rPr>
        <w:rFonts w:ascii="Symbol" w:eastAsia="Calibri"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7392DBA"/>
    <w:multiLevelType w:val="hybridMultilevel"/>
    <w:tmpl w:val="C5F6222E"/>
    <w:lvl w:ilvl="0" w:tplc="D652BB14">
      <w:numFmt w:val="bullet"/>
      <w:lvlText w:val="-"/>
      <w:lvlJc w:val="left"/>
      <w:pPr>
        <w:ind w:left="720" w:hanging="360"/>
      </w:pPr>
      <w:rPr>
        <w:rFonts w:ascii="Cambria" w:hAnsi="Cambria" w:cs="Cambria" w:hint="default"/>
        <w:u w:color="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133501"/>
    <w:multiLevelType w:val="hybridMultilevel"/>
    <w:tmpl w:val="582E2E2C"/>
    <w:lvl w:ilvl="0" w:tplc="812C19E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216F67A6"/>
    <w:multiLevelType w:val="hybridMultilevel"/>
    <w:tmpl w:val="3EC2FCB6"/>
    <w:lvl w:ilvl="0" w:tplc="08090001">
      <w:start w:val="1"/>
      <w:numFmt w:val="bullet"/>
      <w:lvlText w:val=""/>
      <w:lvlJc w:val="left"/>
      <w:pPr>
        <w:ind w:left="2126" w:hanging="360"/>
      </w:pPr>
      <w:rPr>
        <w:rFonts w:ascii="Symbol" w:hAnsi="Symbol" w:hint="default"/>
      </w:rPr>
    </w:lvl>
    <w:lvl w:ilvl="1" w:tplc="08090003" w:tentative="1">
      <w:start w:val="1"/>
      <w:numFmt w:val="bullet"/>
      <w:lvlText w:val="o"/>
      <w:lvlJc w:val="left"/>
      <w:pPr>
        <w:ind w:left="2846" w:hanging="360"/>
      </w:pPr>
      <w:rPr>
        <w:rFonts w:ascii="Courier New" w:hAnsi="Courier New" w:cs="Courier New" w:hint="default"/>
      </w:rPr>
    </w:lvl>
    <w:lvl w:ilvl="2" w:tplc="08090005" w:tentative="1">
      <w:start w:val="1"/>
      <w:numFmt w:val="bullet"/>
      <w:lvlText w:val=""/>
      <w:lvlJc w:val="left"/>
      <w:pPr>
        <w:ind w:left="3566" w:hanging="360"/>
      </w:pPr>
      <w:rPr>
        <w:rFonts w:ascii="Wingdings" w:hAnsi="Wingdings" w:hint="default"/>
      </w:rPr>
    </w:lvl>
    <w:lvl w:ilvl="3" w:tplc="08090001" w:tentative="1">
      <w:start w:val="1"/>
      <w:numFmt w:val="bullet"/>
      <w:lvlText w:val=""/>
      <w:lvlJc w:val="left"/>
      <w:pPr>
        <w:ind w:left="4286" w:hanging="360"/>
      </w:pPr>
      <w:rPr>
        <w:rFonts w:ascii="Symbol" w:hAnsi="Symbol" w:hint="default"/>
      </w:rPr>
    </w:lvl>
    <w:lvl w:ilvl="4" w:tplc="08090003" w:tentative="1">
      <w:start w:val="1"/>
      <w:numFmt w:val="bullet"/>
      <w:lvlText w:val="o"/>
      <w:lvlJc w:val="left"/>
      <w:pPr>
        <w:ind w:left="5006" w:hanging="360"/>
      </w:pPr>
      <w:rPr>
        <w:rFonts w:ascii="Courier New" w:hAnsi="Courier New" w:cs="Courier New" w:hint="default"/>
      </w:rPr>
    </w:lvl>
    <w:lvl w:ilvl="5" w:tplc="08090005" w:tentative="1">
      <w:start w:val="1"/>
      <w:numFmt w:val="bullet"/>
      <w:lvlText w:val=""/>
      <w:lvlJc w:val="left"/>
      <w:pPr>
        <w:ind w:left="5726" w:hanging="360"/>
      </w:pPr>
      <w:rPr>
        <w:rFonts w:ascii="Wingdings" w:hAnsi="Wingdings" w:hint="default"/>
      </w:rPr>
    </w:lvl>
    <w:lvl w:ilvl="6" w:tplc="08090001" w:tentative="1">
      <w:start w:val="1"/>
      <w:numFmt w:val="bullet"/>
      <w:lvlText w:val=""/>
      <w:lvlJc w:val="left"/>
      <w:pPr>
        <w:ind w:left="6446" w:hanging="360"/>
      </w:pPr>
      <w:rPr>
        <w:rFonts w:ascii="Symbol" w:hAnsi="Symbol" w:hint="default"/>
      </w:rPr>
    </w:lvl>
    <w:lvl w:ilvl="7" w:tplc="08090003" w:tentative="1">
      <w:start w:val="1"/>
      <w:numFmt w:val="bullet"/>
      <w:lvlText w:val="o"/>
      <w:lvlJc w:val="left"/>
      <w:pPr>
        <w:ind w:left="7166" w:hanging="360"/>
      </w:pPr>
      <w:rPr>
        <w:rFonts w:ascii="Courier New" w:hAnsi="Courier New" w:cs="Courier New" w:hint="default"/>
      </w:rPr>
    </w:lvl>
    <w:lvl w:ilvl="8" w:tplc="08090005" w:tentative="1">
      <w:start w:val="1"/>
      <w:numFmt w:val="bullet"/>
      <w:lvlText w:val=""/>
      <w:lvlJc w:val="left"/>
      <w:pPr>
        <w:ind w:left="7886" w:hanging="360"/>
      </w:pPr>
      <w:rPr>
        <w:rFonts w:ascii="Wingdings" w:hAnsi="Wingdings" w:hint="default"/>
      </w:rPr>
    </w:lvl>
  </w:abstractNum>
  <w:abstractNum w:abstractNumId="13" w15:restartNumberingAfterBreak="0">
    <w:nsid w:val="22763E57"/>
    <w:multiLevelType w:val="hybridMultilevel"/>
    <w:tmpl w:val="5756DEC0"/>
    <w:lvl w:ilvl="0" w:tplc="D04222E6">
      <w:start w:val="4"/>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27423A4E"/>
    <w:multiLevelType w:val="hybridMultilevel"/>
    <w:tmpl w:val="69627270"/>
    <w:lvl w:ilvl="0" w:tplc="84201E6C">
      <w:start w:val="1"/>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27EA7ECF"/>
    <w:multiLevelType w:val="hybridMultilevel"/>
    <w:tmpl w:val="6C2AFA26"/>
    <w:lvl w:ilvl="0" w:tplc="A0207C7C">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8E508B5"/>
    <w:multiLevelType w:val="hybridMultilevel"/>
    <w:tmpl w:val="B6A09352"/>
    <w:lvl w:ilvl="0" w:tplc="6A76A072">
      <w:start w:val="5"/>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2B187307"/>
    <w:multiLevelType w:val="hybridMultilevel"/>
    <w:tmpl w:val="7E3A18EE"/>
    <w:lvl w:ilvl="0" w:tplc="BD18F200">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38281B75"/>
    <w:multiLevelType w:val="hybridMultilevel"/>
    <w:tmpl w:val="077C8986"/>
    <w:lvl w:ilvl="0" w:tplc="BF1E7FD2">
      <w:numFmt w:val="bullet"/>
      <w:lvlText w:val="-"/>
      <w:lvlJc w:val="left"/>
      <w:pPr>
        <w:ind w:left="720" w:hanging="360"/>
      </w:pPr>
      <w:rPr>
        <w:rFonts w:ascii="Calibri" w:eastAsia="Times New Roman" w:hAnsi="Calibri"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9" w15:restartNumberingAfterBreak="0">
    <w:nsid w:val="3A7B4A93"/>
    <w:multiLevelType w:val="hybridMultilevel"/>
    <w:tmpl w:val="418E6B84"/>
    <w:lvl w:ilvl="0" w:tplc="D652BB14">
      <w:numFmt w:val="bullet"/>
      <w:lvlText w:val="-"/>
      <w:lvlJc w:val="left"/>
      <w:pPr>
        <w:ind w:left="720" w:hanging="360"/>
      </w:pPr>
      <w:rPr>
        <w:rFonts w:ascii="Cambria" w:hAnsi="Cambria" w:cs="Cambria" w:hint="default"/>
        <w:u w:color="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C4A1C8F"/>
    <w:multiLevelType w:val="hybridMultilevel"/>
    <w:tmpl w:val="E43EC91C"/>
    <w:lvl w:ilvl="0" w:tplc="ACB2DD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F70293"/>
    <w:multiLevelType w:val="hybridMultilevel"/>
    <w:tmpl w:val="FB6867E6"/>
    <w:lvl w:ilvl="0" w:tplc="A2F4F816">
      <w:start w:val="1"/>
      <w:numFmt w:val="upp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 w15:restartNumberingAfterBreak="0">
    <w:nsid w:val="3D2C7E0B"/>
    <w:multiLevelType w:val="hybridMultilevel"/>
    <w:tmpl w:val="1638C91C"/>
    <w:lvl w:ilvl="0" w:tplc="640A66BE">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4" w15:restartNumberingAfterBreak="0">
    <w:nsid w:val="3E091453"/>
    <w:multiLevelType w:val="hybridMultilevel"/>
    <w:tmpl w:val="7AA4452E"/>
    <w:lvl w:ilvl="0" w:tplc="71FE9284">
      <w:start w:val="1"/>
      <w:numFmt w:val="lowerLetter"/>
      <w:lvlText w:val="%1)"/>
      <w:lvlJc w:val="left"/>
      <w:pPr>
        <w:ind w:left="1495"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44287A3E"/>
    <w:multiLevelType w:val="hybridMultilevel"/>
    <w:tmpl w:val="46B2B0D8"/>
    <w:lvl w:ilvl="0" w:tplc="03927834">
      <w:start w:val="1"/>
      <w:numFmt w:val="decimal"/>
      <w:lvlText w:val="%1."/>
      <w:lvlJc w:val="left"/>
      <w:pPr>
        <w:ind w:left="360" w:hanging="360"/>
      </w:pPr>
      <w:rPr>
        <w:b w:val="0"/>
        <w:i w:val="0"/>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6" w15:restartNumberingAfterBreak="0">
    <w:nsid w:val="4FF81D6E"/>
    <w:multiLevelType w:val="multilevel"/>
    <w:tmpl w:val="83B066B2"/>
    <w:lvl w:ilvl="0">
      <w:start w:val="1"/>
      <w:numFmt w:val="upperRoman"/>
      <w:lvlText w:val="%1."/>
      <w:lvlJc w:val="left"/>
      <w:pPr>
        <w:ind w:left="1854" w:hanging="72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7" w15:restartNumberingAfterBreak="0">
    <w:nsid w:val="50406BF0"/>
    <w:multiLevelType w:val="hybridMultilevel"/>
    <w:tmpl w:val="2FF078C4"/>
    <w:lvl w:ilvl="0" w:tplc="D652BB14">
      <w:numFmt w:val="bullet"/>
      <w:lvlText w:val="-"/>
      <w:lvlJc w:val="left"/>
      <w:pPr>
        <w:ind w:left="786" w:hanging="360"/>
      </w:pPr>
      <w:rPr>
        <w:rFonts w:ascii="Cambria" w:hAnsi="Cambria" w:cs="Cambria" w:hint="default"/>
        <w:b w:val="0"/>
        <w:i w:val="0"/>
        <w:u w:color="FFFFFF"/>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8" w15:restartNumberingAfterBreak="0">
    <w:nsid w:val="508A71E0"/>
    <w:multiLevelType w:val="multilevel"/>
    <w:tmpl w:val="83B066B2"/>
    <w:lvl w:ilvl="0">
      <w:start w:val="1"/>
      <w:numFmt w:val="upperRoman"/>
      <w:lvlText w:val="%1."/>
      <w:lvlJc w:val="left"/>
      <w:pPr>
        <w:ind w:left="1854" w:hanging="72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9" w15:restartNumberingAfterBreak="0">
    <w:nsid w:val="5BFC1A84"/>
    <w:multiLevelType w:val="hybridMultilevel"/>
    <w:tmpl w:val="121ACC6A"/>
    <w:lvl w:ilvl="0" w:tplc="7DFEEB8C">
      <w:start w:val="7"/>
      <w:numFmt w:val="lowerLetter"/>
      <w:lvlText w:val="%1)"/>
      <w:lvlJc w:val="left"/>
      <w:pPr>
        <w:ind w:left="1855" w:hanging="36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30" w15:restartNumberingAfterBreak="0">
    <w:nsid w:val="5C630AB2"/>
    <w:multiLevelType w:val="hybridMultilevel"/>
    <w:tmpl w:val="FDF07DC8"/>
    <w:lvl w:ilvl="0" w:tplc="ECC28FE0">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56645DF"/>
    <w:multiLevelType w:val="hybridMultilevel"/>
    <w:tmpl w:val="756C21D0"/>
    <w:lvl w:ilvl="0" w:tplc="4858A458">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EA21A30"/>
    <w:multiLevelType w:val="hybridMultilevel"/>
    <w:tmpl w:val="29FC28BA"/>
    <w:lvl w:ilvl="0" w:tplc="A376957C">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5" w15:restartNumberingAfterBreak="0">
    <w:nsid w:val="76945149"/>
    <w:multiLevelType w:val="hybridMultilevel"/>
    <w:tmpl w:val="496E5390"/>
    <w:lvl w:ilvl="0" w:tplc="1748630C">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5D6EC1"/>
    <w:multiLevelType w:val="hybridMultilevel"/>
    <w:tmpl w:val="39F24C62"/>
    <w:lvl w:ilvl="0" w:tplc="CACA3E9C">
      <w:start w:val="1"/>
      <w:numFmt w:val="lowerRoman"/>
      <w:lvlText w:val="%1)"/>
      <w:lvlJc w:val="left"/>
      <w:pPr>
        <w:ind w:left="1894" w:hanging="720"/>
      </w:pPr>
      <w:rPr>
        <w:rFonts w:hint="default"/>
      </w:rPr>
    </w:lvl>
    <w:lvl w:ilvl="1" w:tplc="08090019" w:tentative="1">
      <w:start w:val="1"/>
      <w:numFmt w:val="lowerLetter"/>
      <w:lvlText w:val="%2."/>
      <w:lvlJc w:val="left"/>
      <w:pPr>
        <w:ind w:left="2254" w:hanging="360"/>
      </w:pPr>
    </w:lvl>
    <w:lvl w:ilvl="2" w:tplc="0809001B" w:tentative="1">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37" w15:restartNumberingAfterBreak="0">
    <w:nsid w:val="78814B9A"/>
    <w:multiLevelType w:val="hybridMultilevel"/>
    <w:tmpl w:val="C76638C6"/>
    <w:lvl w:ilvl="0" w:tplc="9ACC1B96">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33"/>
  </w:num>
  <w:num w:numId="2">
    <w:abstractNumId w:val="20"/>
  </w:num>
  <w:num w:numId="3">
    <w:abstractNumId w:val="1"/>
  </w:num>
  <w:num w:numId="4">
    <w:abstractNumId w:val="0"/>
  </w:num>
  <w:num w:numId="5">
    <w:abstractNumId w:val="5"/>
  </w:num>
  <w:num w:numId="6">
    <w:abstractNumId w:val="3"/>
  </w:num>
  <w:num w:numId="7">
    <w:abstractNumId w:val="32"/>
  </w:num>
  <w:num w:numId="8">
    <w:abstractNumId w:val="25"/>
  </w:num>
  <w:num w:numId="9">
    <w:abstractNumId w:val="9"/>
  </w:num>
  <w:num w:numId="10">
    <w:abstractNumId w:val="26"/>
  </w:num>
  <w:num w:numId="11">
    <w:abstractNumId w:val="27"/>
  </w:num>
  <w:num w:numId="12">
    <w:abstractNumId w:val="2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16"/>
  </w:num>
  <w:num w:numId="17">
    <w:abstractNumId w:val="18"/>
  </w:num>
  <w:num w:numId="18">
    <w:abstractNumId w:val="10"/>
  </w:num>
  <w:num w:numId="19">
    <w:abstractNumId w:val="19"/>
  </w:num>
  <w:num w:numId="20">
    <w:abstractNumId w:val="35"/>
  </w:num>
  <w:num w:numId="21">
    <w:abstractNumId w:val="21"/>
  </w:num>
  <w:num w:numId="22">
    <w:abstractNumId w:val="15"/>
  </w:num>
  <w:num w:numId="23">
    <w:abstractNumId w:val="28"/>
  </w:num>
  <w:num w:numId="24">
    <w:abstractNumId w:val="14"/>
  </w:num>
  <w:num w:numId="25">
    <w:abstractNumId w:val="6"/>
  </w:num>
  <w:num w:numId="26">
    <w:abstractNumId w:val="2"/>
  </w:num>
  <w:num w:numId="27">
    <w:abstractNumId w:val="29"/>
  </w:num>
  <w:num w:numId="28">
    <w:abstractNumId w:val="12"/>
  </w:num>
  <w:num w:numId="29">
    <w:abstractNumId w:val="11"/>
  </w:num>
  <w:num w:numId="30">
    <w:abstractNumId w:val="34"/>
  </w:num>
  <w:num w:numId="31">
    <w:abstractNumId w:val="4"/>
  </w:num>
  <w:num w:numId="32">
    <w:abstractNumId w:val="30"/>
  </w:num>
  <w:num w:numId="33">
    <w:abstractNumId w:val="22"/>
  </w:num>
  <w:num w:numId="34">
    <w:abstractNumId w:val="37"/>
  </w:num>
  <w:num w:numId="35">
    <w:abstractNumId w:val="17"/>
  </w:num>
  <w:num w:numId="36">
    <w:abstractNumId w:val="7"/>
  </w:num>
  <w:num w:numId="37">
    <w:abstractNumId w:val="36"/>
  </w:num>
  <w:num w:numId="38">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14"/>
    <w:rsid w:val="00000ED8"/>
    <w:rsid w:val="00002026"/>
    <w:rsid w:val="00016AC5"/>
    <w:rsid w:val="00024B3B"/>
    <w:rsid w:val="00025FBC"/>
    <w:rsid w:val="00027EE8"/>
    <w:rsid w:val="00045B16"/>
    <w:rsid w:val="00054639"/>
    <w:rsid w:val="00082AD0"/>
    <w:rsid w:val="00091505"/>
    <w:rsid w:val="00096F95"/>
    <w:rsid w:val="000A147A"/>
    <w:rsid w:val="000B7F8D"/>
    <w:rsid w:val="000C7C7F"/>
    <w:rsid w:val="000D7CDD"/>
    <w:rsid w:val="000E66FF"/>
    <w:rsid w:val="000F28EE"/>
    <w:rsid w:val="000F41F2"/>
    <w:rsid w:val="001234C9"/>
    <w:rsid w:val="00160540"/>
    <w:rsid w:val="001909FA"/>
    <w:rsid w:val="00192EEB"/>
    <w:rsid w:val="001A20FB"/>
    <w:rsid w:val="001A40C7"/>
    <w:rsid w:val="001B102E"/>
    <w:rsid w:val="001C3080"/>
    <w:rsid w:val="001C5244"/>
    <w:rsid w:val="001C5C1A"/>
    <w:rsid w:val="001D7F8A"/>
    <w:rsid w:val="001E29CF"/>
    <w:rsid w:val="001E3FEB"/>
    <w:rsid w:val="001E4A02"/>
    <w:rsid w:val="001E77B5"/>
    <w:rsid w:val="001F25C4"/>
    <w:rsid w:val="00201435"/>
    <w:rsid w:val="002119BF"/>
    <w:rsid w:val="0022553A"/>
    <w:rsid w:val="00225A8C"/>
    <w:rsid w:val="0022689C"/>
    <w:rsid w:val="00233CD4"/>
    <w:rsid w:val="00235D54"/>
    <w:rsid w:val="002502D5"/>
    <w:rsid w:val="00254F9E"/>
    <w:rsid w:val="002659F1"/>
    <w:rsid w:val="0028541A"/>
    <w:rsid w:val="00287E79"/>
    <w:rsid w:val="002912ED"/>
    <w:rsid w:val="002928F9"/>
    <w:rsid w:val="002A5D07"/>
    <w:rsid w:val="002A76B0"/>
    <w:rsid w:val="002A7AE0"/>
    <w:rsid w:val="002B55E6"/>
    <w:rsid w:val="002E0222"/>
    <w:rsid w:val="002E1A7F"/>
    <w:rsid w:val="0030036A"/>
    <w:rsid w:val="003016B7"/>
    <w:rsid w:val="00313112"/>
    <w:rsid w:val="00313FA3"/>
    <w:rsid w:val="003343F8"/>
    <w:rsid w:val="0033797B"/>
    <w:rsid w:val="003515AA"/>
    <w:rsid w:val="00353E03"/>
    <w:rsid w:val="00353E3D"/>
    <w:rsid w:val="00357320"/>
    <w:rsid w:val="00366F5B"/>
    <w:rsid w:val="00374106"/>
    <w:rsid w:val="00377BF1"/>
    <w:rsid w:val="00381CF0"/>
    <w:rsid w:val="00382B6A"/>
    <w:rsid w:val="003976D5"/>
    <w:rsid w:val="003A756E"/>
    <w:rsid w:val="003D62C6"/>
    <w:rsid w:val="003D6C68"/>
    <w:rsid w:val="003D7AC6"/>
    <w:rsid w:val="003E50E3"/>
    <w:rsid w:val="003F0BE7"/>
    <w:rsid w:val="004053DE"/>
    <w:rsid w:val="00413931"/>
    <w:rsid w:val="004159D0"/>
    <w:rsid w:val="004211EF"/>
    <w:rsid w:val="00425463"/>
    <w:rsid w:val="00433355"/>
    <w:rsid w:val="0046033E"/>
    <w:rsid w:val="00462A09"/>
    <w:rsid w:val="00462B35"/>
    <w:rsid w:val="00462FF2"/>
    <w:rsid w:val="00464EEE"/>
    <w:rsid w:val="00470790"/>
    <w:rsid w:val="00475CFF"/>
    <w:rsid w:val="004773DE"/>
    <w:rsid w:val="00484C4F"/>
    <w:rsid w:val="004850FC"/>
    <w:rsid w:val="004B49D8"/>
    <w:rsid w:val="004D125F"/>
    <w:rsid w:val="004F1388"/>
    <w:rsid w:val="00502B5C"/>
    <w:rsid w:val="00506D10"/>
    <w:rsid w:val="00507CAE"/>
    <w:rsid w:val="00523716"/>
    <w:rsid w:val="00533D17"/>
    <w:rsid w:val="00543D5E"/>
    <w:rsid w:val="00546E92"/>
    <w:rsid w:val="0055167C"/>
    <w:rsid w:val="00552E7D"/>
    <w:rsid w:val="005560D9"/>
    <w:rsid w:val="0057168A"/>
    <w:rsid w:val="00571F41"/>
    <w:rsid w:val="0059287D"/>
    <w:rsid w:val="005A3386"/>
    <w:rsid w:val="005C2C7D"/>
    <w:rsid w:val="005E0FF3"/>
    <w:rsid w:val="005E177F"/>
    <w:rsid w:val="005E5D1F"/>
    <w:rsid w:val="00607B64"/>
    <w:rsid w:val="00611D43"/>
    <w:rsid w:val="00612D48"/>
    <w:rsid w:val="00616B45"/>
    <w:rsid w:val="00630D9B"/>
    <w:rsid w:val="00631953"/>
    <w:rsid w:val="0063743A"/>
    <w:rsid w:val="006439EC"/>
    <w:rsid w:val="00653E83"/>
    <w:rsid w:val="006702FE"/>
    <w:rsid w:val="00685027"/>
    <w:rsid w:val="006943F8"/>
    <w:rsid w:val="006A2441"/>
    <w:rsid w:val="006B0381"/>
    <w:rsid w:val="006B4590"/>
    <w:rsid w:val="006C340C"/>
    <w:rsid w:val="006D7314"/>
    <w:rsid w:val="006E4051"/>
    <w:rsid w:val="006F41E7"/>
    <w:rsid w:val="0070347C"/>
    <w:rsid w:val="00710377"/>
    <w:rsid w:val="007107E8"/>
    <w:rsid w:val="0071451B"/>
    <w:rsid w:val="00715F1E"/>
    <w:rsid w:val="007176C1"/>
    <w:rsid w:val="00724F7F"/>
    <w:rsid w:val="00725DC9"/>
    <w:rsid w:val="00737DEE"/>
    <w:rsid w:val="00752C7C"/>
    <w:rsid w:val="00775D99"/>
    <w:rsid w:val="0079474C"/>
    <w:rsid w:val="00796940"/>
    <w:rsid w:val="007B39C6"/>
    <w:rsid w:val="007C6114"/>
    <w:rsid w:val="007C7846"/>
    <w:rsid w:val="007E184D"/>
    <w:rsid w:val="007E730E"/>
    <w:rsid w:val="007F2B58"/>
    <w:rsid w:val="007F55CB"/>
    <w:rsid w:val="00836F86"/>
    <w:rsid w:val="00844750"/>
    <w:rsid w:val="00855A25"/>
    <w:rsid w:val="00865EA1"/>
    <w:rsid w:val="00873B3C"/>
    <w:rsid w:val="00881D45"/>
    <w:rsid w:val="00884E89"/>
    <w:rsid w:val="00892241"/>
    <w:rsid w:val="008A39ED"/>
    <w:rsid w:val="008B00ED"/>
    <w:rsid w:val="008B417A"/>
    <w:rsid w:val="008B44C4"/>
    <w:rsid w:val="008B4A88"/>
    <w:rsid w:val="008C097E"/>
    <w:rsid w:val="008C1382"/>
    <w:rsid w:val="008C19A4"/>
    <w:rsid w:val="008D3102"/>
    <w:rsid w:val="008D4F1E"/>
    <w:rsid w:val="008E2514"/>
    <w:rsid w:val="008E7FAE"/>
    <w:rsid w:val="008F0862"/>
    <w:rsid w:val="008F53ED"/>
    <w:rsid w:val="009037FC"/>
    <w:rsid w:val="00905D12"/>
    <w:rsid w:val="00911BF7"/>
    <w:rsid w:val="00933567"/>
    <w:rsid w:val="00943FFD"/>
    <w:rsid w:val="009573B0"/>
    <w:rsid w:val="00977EC8"/>
    <w:rsid w:val="00985EBA"/>
    <w:rsid w:val="00993DE6"/>
    <w:rsid w:val="00995F93"/>
    <w:rsid w:val="009B0297"/>
    <w:rsid w:val="009B22FA"/>
    <w:rsid w:val="009D3A8C"/>
    <w:rsid w:val="009E7956"/>
    <w:rsid w:val="009F5954"/>
    <w:rsid w:val="00A06405"/>
    <w:rsid w:val="00A228B4"/>
    <w:rsid w:val="00A2492E"/>
    <w:rsid w:val="00A24C87"/>
    <w:rsid w:val="00A468C2"/>
    <w:rsid w:val="00A53065"/>
    <w:rsid w:val="00A571FF"/>
    <w:rsid w:val="00A65558"/>
    <w:rsid w:val="00A720C2"/>
    <w:rsid w:val="00A8446D"/>
    <w:rsid w:val="00A87148"/>
    <w:rsid w:val="00AA1030"/>
    <w:rsid w:val="00AA3390"/>
    <w:rsid w:val="00AB36E9"/>
    <w:rsid w:val="00AB51C8"/>
    <w:rsid w:val="00AB5977"/>
    <w:rsid w:val="00AC67A1"/>
    <w:rsid w:val="00AC7977"/>
    <w:rsid w:val="00AD71D7"/>
    <w:rsid w:val="00AE352C"/>
    <w:rsid w:val="00AF1037"/>
    <w:rsid w:val="00AF1CE8"/>
    <w:rsid w:val="00AF3302"/>
    <w:rsid w:val="00B150A9"/>
    <w:rsid w:val="00B253B0"/>
    <w:rsid w:val="00B3229E"/>
    <w:rsid w:val="00B32389"/>
    <w:rsid w:val="00B32E2D"/>
    <w:rsid w:val="00B37273"/>
    <w:rsid w:val="00B61990"/>
    <w:rsid w:val="00B7582D"/>
    <w:rsid w:val="00B93051"/>
    <w:rsid w:val="00B937B4"/>
    <w:rsid w:val="00BA64B2"/>
    <w:rsid w:val="00BD1881"/>
    <w:rsid w:val="00BF0556"/>
    <w:rsid w:val="00C0208E"/>
    <w:rsid w:val="00C202CA"/>
    <w:rsid w:val="00C261F8"/>
    <w:rsid w:val="00C33100"/>
    <w:rsid w:val="00C33BDF"/>
    <w:rsid w:val="00C4083C"/>
    <w:rsid w:val="00C6009C"/>
    <w:rsid w:val="00C61B75"/>
    <w:rsid w:val="00C74700"/>
    <w:rsid w:val="00C87B7B"/>
    <w:rsid w:val="00C95E0A"/>
    <w:rsid w:val="00CA0AD8"/>
    <w:rsid w:val="00CA629B"/>
    <w:rsid w:val="00CA6A02"/>
    <w:rsid w:val="00CB5A09"/>
    <w:rsid w:val="00CB7993"/>
    <w:rsid w:val="00CD1A71"/>
    <w:rsid w:val="00CD1FBB"/>
    <w:rsid w:val="00CD63D5"/>
    <w:rsid w:val="00CE1CE3"/>
    <w:rsid w:val="00CE5EBD"/>
    <w:rsid w:val="00CF0FEC"/>
    <w:rsid w:val="00CF5128"/>
    <w:rsid w:val="00D016B5"/>
    <w:rsid w:val="00D034F1"/>
    <w:rsid w:val="00D23666"/>
    <w:rsid w:val="00D27C7E"/>
    <w:rsid w:val="00D27D5E"/>
    <w:rsid w:val="00D30B70"/>
    <w:rsid w:val="00D35B2D"/>
    <w:rsid w:val="00D455F3"/>
    <w:rsid w:val="00D45E66"/>
    <w:rsid w:val="00D53EEF"/>
    <w:rsid w:val="00D64AC8"/>
    <w:rsid w:val="00D67940"/>
    <w:rsid w:val="00D80F06"/>
    <w:rsid w:val="00D82E5D"/>
    <w:rsid w:val="00D87A34"/>
    <w:rsid w:val="00D94138"/>
    <w:rsid w:val="00DD27FD"/>
    <w:rsid w:val="00DE14A6"/>
    <w:rsid w:val="00DE2934"/>
    <w:rsid w:val="00DE6D90"/>
    <w:rsid w:val="00DF002F"/>
    <w:rsid w:val="00DF3BF1"/>
    <w:rsid w:val="00DF54B5"/>
    <w:rsid w:val="00E0001D"/>
    <w:rsid w:val="00E0244D"/>
    <w:rsid w:val="00E144C5"/>
    <w:rsid w:val="00E1592C"/>
    <w:rsid w:val="00E17297"/>
    <w:rsid w:val="00E368FF"/>
    <w:rsid w:val="00E53A57"/>
    <w:rsid w:val="00E54091"/>
    <w:rsid w:val="00E604BE"/>
    <w:rsid w:val="00E63EC0"/>
    <w:rsid w:val="00E73B7B"/>
    <w:rsid w:val="00E81E94"/>
    <w:rsid w:val="00E82607"/>
    <w:rsid w:val="00E84AE8"/>
    <w:rsid w:val="00E928CF"/>
    <w:rsid w:val="00EA0415"/>
    <w:rsid w:val="00EC0747"/>
    <w:rsid w:val="00EC2C4C"/>
    <w:rsid w:val="00EE1B27"/>
    <w:rsid w:val="00F01853"/>
    <w:rsid w:val="00F129A3"/>
    <w:rsid w:val="00F33865"/>
    <w:rsid w:val="00F35AFA"/>
    <w:rsid w:val="00F723E4"/>
    <w:rsid w:val="00F940BC"/>
    <w:rsid w:val="00FA5A79"/>
    <w:rsid w:val="00FA6667"/>
    <w:rsid w:val="00FB0BFE"/>
    <w:rsid w:val="00FB1907"/>
    <w:rsid w:val="00FB29A2"/>
    <w:rsid w:val="00FB4C51"/>
    <w:rsid w:val="00FC401C"/>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15:docId w15:val="{EA246AAB-08A9-4C81-9967-EFFF9BF4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037"/>
    <w:pPr>
      <w:suppressAutoHyphens/>
      <w:spacing w:line="240" w:lineRule="atLeast"/>
    </w:pPr>
    <w:rPr>
      <w:lang w:val="fr-CH" w:eastAsia="en-US"/>
    </w:rPr>
  </w:style>
  <w:style w:type="paragraph" w:styleId="Titre1">
    <w:name w:val="heading 1"/>
    <w:aliases w:val="Table_G"/>
    <w:basedOn w:val="SingleTxtG"/>
    <w:next w:val="SingleTxtG"/>
    <w:link w:val="Titre1Car"/>
    <w:qFormat/>
    <w:rsid w:val="00B93051"/>
    <w:pPr>
      <w:keepNext/>
      <w:keepLines/>
      <w:spacing w:after="0" w:line="240" w:lineRule="auto"/>
      <w:ind w:right="0"/>
      <w:jc w:val="left"/>
      <w:outlineLvl w:val="0"/>
    </w:pPr>
  </w:style>
  <w:style w:type="paragraph" w:styleId="Titre2">
    <w:name w:val="heading 2"/>
    <w:basedOn w:val="Normal"/>
    <w:next w:val="Normal"/>
    <w:link w:val="Titre2Car"/>
    <w:qFormat/>
    <w:rsid w:val="008F53ED"/>
    <w:pPr>
      <w:outlineLvl w:val="1"/>
    </w:pPr>
  </w:style>
  <w:style w:type="paragraph" w:styleId="Titre3">
    <w:name w:val="heading 3"/>
    <w:basedOn w:val="Normal"/>
    <w:next w:val="Normal"/>
    <w:link w:val="Titre3Car"/>
    <w:qFormat/>
    <w:rsid w:val="008F53ED"/>
    <w:pPr>
      <w:outlineLvl w:val="2"/>
    </w:pPr>
  </w:style>
  <w:style w:type="paragraph" w:styleId="Titre4">
    <w:name w:val="heading 4"/>
    <w:basedOn w:val="Normal"/>
    <w:next w:val="Normal"/>
    <w:link w:val="Titre4Car"/>
    <w:qFormat/>
    <w:rsid w:val="008F53ED"/>
    <w:pPr>
      <w:outlineLvl w:val="3"/>
    </w:pPr>
  </w:style>
  <w:style w:type="paragraph" w:styleId="Titre5">
    <w:name w:val="heading 5"/>
    <w:basedOn w:val="Normal"/>
    <w:next w:val="Normal"/>
    <w:link w:val="Titre5Car"/>
    <w:qFormat/>
    <w:rsid w:val="008F53ED"/>
    <w:pPr>
      <w:outlineLvl w:val="4"/>
    </w:pPr>
  </w:style>
  <w:style w:type="paragraph" w:styleId="Titre6">
    <w:name w:val="heading 6"/>
    <w:basedOn w:val="Normal"/>
    <w:next w:val="Normal"/>
    <w:link w:val="Titre6Car"/>
    <w:qFormat/>
    <w:rsid w:val="008F53ED"/>
    <w:pPr>
      <w:outlineLvl w:val="5"/>
    </w:pPr>
  </w:style>
  <w:style w:type="paragraph" w:styleId="Titre7">
    <w:name w:val="heading 7"/>
    <w:basedOn w:val="Normal"/>
    <w:next w:val="Normal"/>
    <w:link w:val="Titre7Car"/>
    <w:qFormat/>
    <w:rsid w:val="008F53ED"/>
    <w:pPr>
      <w:outlineLvl w:val="6"/>
    </w:pPr>
  </w:style>
  <w:style w:type="paragraph" w:styleId="Titre8">
    <w:name w:val="heading 8"/>
    <w:basedOn w:val="Normal"/>
    <w:next w:val="Normal"/>
    <w:link w:val="Titre8Car"/>
    <w:qFormat/>
    <w:rsid w:val="008F53ED"/>
    <w:pPr>
      <w:outlineLvl w:val="7"/>
    </w:pPr>
  </w:style>
  <w:style w:type="paragraph" w:styleId="Titre9">
    <w:name w:val="heading 9"/>
    <w:basedOn w:val="Normal"/>
    <w:next w:val="Normal"/>
    <w:link w:val="Titre9Car"/>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qFormat/>
    <w:rsid w:val="008F53ED"/>
    <w:pPr>
      <w:numPr>
        <w:numId w:val="1"/>
      </w:numPr>
      <w:spacing w:after="120"/>
      <w:ind w:right="1134"/>
      <w:jc w:val="both"/>
    </w:pPr>
  </w:style>
  <w:style w:type="paragraph" w:customStyle="1" w:styleId="Bullet2G">
    <w:name w:val="_Bullet 2_G"/>
    <w:basedOn w:val="Normal"/>
    <w:qFormat/>
    <w:rsid w:val="008F53ED"/>
    <w:pPr>
      <w:numPr>
        <w:numId w:val="2"/>
      </w:numPr>
      <w:spacing w:after="120"/>
      <w:ind w:right="1134"/>
      <w:jc w:val="both"/>
    </w:pPr>
  </w:style>
  <w:style w:type="character" w:styleId="Appelnotedebasdep">
    <w:name w:val="footnote reference"/>
    <w:aliases w:val="4_G"/>
    <w:basedOn w:val="Policepardfaut"/>
    <w:qFormat/>
    <w:rsid w:val="00470790"/>
    <w:rPr>
      <w:rFonts w:ascii="Times New Roman" w:hAnsi="Times New Roman"/>
      <w:sz w:val="18"/>
      <w:vertAlign w:val="superscript"/>
      <w:lang w:val="fr-CH"/>
    </w:rPr>
  </w:style>
  <w:style w:type="character" w:styleId="Appeldenotedefin">
    <w:name w:val="endnote reference"/>
    <w:aliases w:val="1_G"/>
    <w:basedOn w:val="Policepardfaut"/>
    <w:qFormat/>
    <w:rsid w:val="00470790"/>
    <w:rPr>
      <w:rFonts w:ascii="Times New Roman" w:hAnsi="Times New Roman"/>
      <w:sz w:val="18"/>
      <w:vertAlign w:val="superscript"/>
      <w:lang w:val="fr-CH"/>
    </w:rPr>
  </w:style>
  <w:style w:type="paragraph" w:styleId="En-tte">
    <w:name w:val="header"/>
    <w:aliases w:val="6_G"/>
    <w:basedOn w:val="Normal"/>
    <w:next w:val="Normal"/>
    <w:link w:val="En-tteCar"/>
    <w:qFormat/>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470790"/>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Notedefin">
    <w:name w:val="endnote text"/>
    <w:aliases w:val="2_G"/>
    <w:basedOn w:val="Notedebasdepage"/>
    <w:link w:val="NotedefinCar"/>
    <w:qFormat/>
    <w:rsid w:val="008F53ED"/>
  </w:style>
  <w:style w:type="character" w:styleId="Numrodepage">
    <w:name w:val="page number"/>
    <w:aliases w:val="7_G"/>
    <w:basedOn w:val="Policepardfaut"/>
    <w:qFormat/>
    <w:rsid w:val="008F53ED"/>
    <w:rPr>
      <w:rFonts w:ascii="Times New Roman" w:hAnsi="Times New Roman"/>
      <w:b/>
      <w:sz w:val="18"/>
      <w:lang w:val="fr-CH"/>
    </w:rPr>
  </w:style>
  <w:style w:type="paragraph" w:styleId="Pieddepage">
    <w:name w:val="footer"/>
    <w:aliases w:val="3_G"/>
    <w:basedOn w:val="Normal"/>
    <w:next w:val="Normal"/>
    <w:link w:val="PieddepageCar"/>
    <w:uiPriority w:val="99"/>
    <w:qFormat/>
    <w:rsid w:val="008F53ED"/>
    <w:pPr>
      <w:spacing w:line="240" w:lineRule="auto"/>
    </w:pPr>
    <w:rPr>
      <w:sz w:val="16"/>
    </w:rPr>
  </w:style>
  <w:style w:type="character" w:styleId="Lienhypertexte">
    <w:name w:val="Hyperlink"/>
    <w:basedOn w:val="Policepardfaut"/>
    <w:uiPriority w:val="99"/>
    <w:rsid w:val="00366F5B"/>
    <w:rPr>
      <w:color w:val="auto"/>
      <w:u w:val="none"/>
    </w:rPr>
  </w:style>
  <w:style w:type="character" w:styleId="Lienhypertextesuivivisit">
    <w:name w:val="FollowedHyperlink"/>
    <w:basedOn w:val="Policepardfaut"/>
    <w:semiHidden/>
    <w:rsid w:val="00366F5B"/>
    <w:rPr>
      <w:color w:val="auto"/>
      <w:u w:val="none"/>
    </w:rPr>
  </w:style>
  <w:style w:type="paragraph" w:styleId="Textedebulles">
    <w:name w:val="Balloon Text"/>
    <w:basedOn w:val="Normal"/>
    <w:link w:val="TextedebullesCar"/>
    <w:semiHidden/>
    <w:rsid w:val="00AF1037"/>
    <w:pPr>
      <w:spacing w:line="240" w:lineRule="auto"/>
    </w:pPr>
    <w:rPr>
      <w:rFonts w:ascii="Tahoma" w:hAnsi="Tahoma" w:cs="Tahoma"/>
      <w:sz w:val="16"/>
      <w:szCs w:val="16"/>
    </w:rPr>
  </w:style>
  <w:style w:type="table" w:styleId="Grilledutableau">
    <w:name w:val="Table Grid"/>
    <w:basedOn w:val="TableauNormal"/>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extedebullesCar">
    <w:name w:val="Texte de bulles Car"/>
    <w:basedOn w:val="Policepardfaut"/>
    <w:link w:val="Textedebulles"/>
    <w:semiHidden/>
    <w:rsid w:val="00AF1037"/>
    <w:rPr>
      <w:rFonts w:ascii="Tahoma" w:hAnsi="Tahoma" w:cs="Tahoma"/>
      <w:sz w:val="16"/>
      <w:szCs w:val="16"/>
      <w:lang w:val="fr-CH" w:eastAsia="en-US"/>
    </w:rPr>
  </w:style>
  <w:style w:type="paragraph" w:customStyle="1" w:styleId="ParNoG">
    <w:name w:val="_ParNo_G"/>
    <w:basedOn w:val="SingleTxtG"/>
    <w:qFormat/>
    <w:rsid w:val="004F1388"/>
    <w:pPr>
      <w:numPr>
        <w:numId w:val="5"/>
      </w:numPr>
      <w:kinsoku w:val="0"/>
      <w:overflowPunct w:val="0"/>
      <w:autoSpaceDE w:val="0"/>
      <w:autoSpaceDN w:val="0"/>
      <w:adjustRightInd w:val="0"/>
      <w:snapToGrid w:val="0"/>
    </w:pPr>
  </w:style>
  <w:style w:type="character" w:customStyle="1" w:styleId="NotedebasdepageCar">
    <w:name w:val="Note de bas de page Car"/>
    <w:aliases w:val="5_G Car"/>
    <w:basedOn w:val="Policepardfaut"/>
    <w:link w:val="Notedebasdepage"/>
    <w:rsid w:val="00470790"/>
    <w:rPr>
      <w:rFonts w:eastAsiaTheme="minorHAnsi"/>
      <w:sz w:val="18"/>
      <w:lang w:val="fr-CH" w:eastAsia="en-US"/>
    </w:rPr>
  </w:style>
  <w:style w:type="character" w:customStyle="1" w:styleId="SingleTxtGChar">
    <w:name w:val="_ Single Txt_G Char"/>
    <w:link w:val="SingleTxtG"/>
    <w:locked/>
    <w:rsid w:val="000C7C7F"/>
    <w:rPr>
      <w:lang w:val="fr-CH" w:eastAsia="en-US"/>
    </w:rPr>
  </w:style>
  <w:style w:type="character" w:customStyle="1" w:styleId="HChGChar">
    <w:name w:val="_ H _Ch_G Char"/>
    <w:link w:val="HChG"/>
    <w:locked/>
    <w:rsid w:val="00D80F06"/>
    <w:rPr>
      <w:b/>
      <w:sz w:val="28"/>
      <w:lang w:val="fr-CH" w:eastAsia="en-US"/>
    </w:rPr>
  </w:style>
  <w:style w:type="character" w:customStyle="1" w:styleId="Titre1Car">
    <w:name w:val="Titre 1 Car"/>
    <w:aliases w:val="Table_G Car"/>
    <w:link w:val="Titre1"/>
    <w:rsid w:val="00D80F06"/>
    <w:rPr>
      <w:lang w:val="fr-CH" w:eastAsia="en-US"/>
    </w:rPr>
  </w:style>
  <w:style w:type="character" w:customStyle="1" w:styleId="Titre2Car">
    <w:name w:val="Titre 2 Car"/>
    <w:link w:val="Titre2"/>
    <w:rsid w:val="00D80F06"/>
    <w:rPr>
      <w:lang w:val="fr-CH" w:eastAsia="en-US"/>
    </w:rPr>
  </w:style>
  <w:style w:type="character" w:customStyle="1" w:styleId="Titre3Car">
    <w:name w:val="Titre 3 Car"/>
    <w:link w:val="Titre3"/>
    <w:rsid w:val="00D80F06"/>
    <w:rPr>
      <w:lang w:val="fr-CH" w:eastAsia="en-US"/>
    </w:rPr>
  </w:style>
  <w:style w:type="character" w:customStyle="1" w:styleId="Titre4Car">
    <w:name w:val="Titre 4 Car"/>
    <w:link w:val="Titre4"/>
    <w:rsid w:val="00D80F06"/>
    <w:rPr>
      <w:lang w:val="fr-CH" w:eastAsia="en-US"/>
    </w:rPr>
  </w:style>
  <w:style w:type="character" w:customStyle="1" w:styleId="Titre5Car">
    <w:name w:val="Titre 5 Car"/>
    <w:link w:val="Titre5"/>
    <w:rsid w:val="00D80F06"/>
    <w:rPr>
      <w:lang w:val="fr-CH" w:eastAsia="en-US"/>
    </w:rPr>
  </w:style>
  <w:style w:type="character" w:customStyle="1" w:styleId="Titre6Car">
    <w:name w:val="Titre 6 Car"/>
    <w:link w:val="Titre6"/>
    <w:rsid w:val="00D80F06"/>
    <w:rPr>
      <w:lang w:val="fr-CH" w:eastAsia="en-US"/>
    </w:rPr>
  </w:style>
  <w:style w:type="character" w:customStyle="1" w:styleId="Titre7Car">
    <w:name w:val="Titre 7 Car"/>
    <w:link w:val="Titre7"/>
    <w:rsid w:val="00D80F06"/>
    <w:rPr>
      <w:lang w:val="fr-CH" w:eastAsia="en-US"/>
    </w:rPr>
  </w:style>
  <w:style w:type="character" w:customStyle="1" w:styleId="Titre8Car">
    <w:name w:val="Titre 8 Car"/>
    <w:link w:val="Titre8"/>
    <w:rsid w:val="00D80F06"/>
    <w:rPr>
      <w:lang w:val="fr-CH" w:eastAsia="en-US"/>
    </w:rPr>
  </w:style>
  <w:style w:type="character" w:customStyle="1" w:styleId="Titre9Car">
    <w:name w:val="Titre 9 Car"/>
    <w:link w:val="Titre9"/>
    <w:rsid w:val="00D80F06"/>
    <w:rPr>
      <w:lang w:val="fr-CH" w:eastAsia="en-US"/>
    </w:rPr>
  </w:style>
  <w:style w:type="character" w:customStyle="1" w:styleId="H23GChar">
    <w:name w:val="_ H_2/3_G Char"/>
    <w:link w:val="H23G"/>
    <w:rsid w:val="00D80F06"/>
    <w:rPr>
      <w:b/>
      <w:lang w:val="fr-CH" w:eastAsia="en-US"/>
    </w:rPr>
  </w:style>
  <w:style w:type="character" w:customStyle="1" w:styleId="En-tteCar">
    <w:name w:val="En-tête Car"/>
    <w:aliases w:val="6_G Car"/>
    <w:link w:val="En-tte"/>
    <w:rsid w:val="00D80F06"/>
    <w:rPr>
      <w:b/>
      <w:sz w:val="18"/>
      <w:lang w:val="fr-CH" w:eastAsia="en-US"/>
    </w:rPr>
  </w:style>
  <w:style w:type="character" w:customStyle="1" w:styleId="NotedefinCar">
    <w:name w:val="Note de fin Car"/>
    <w:aliases w:val="2_G Car"/>
    <w:link w:val="Notedefin"/>
    <w:rsid w:val="00D80F06"/>
    <w:rPr>
      <w:sz w:val="18"/>
      <w:lang w:val="fr-CH" w:eastAsia="en-US"/>
    </w:rPr>
  </w:style>
  <w:style w:type="character" w:customStyle="1" w:styleId="PieddepageCar">
    <w:name w:val="Pied de page Car"/>
    <w:aliases w:val="3_G Car"/>
    <w:link w:val="Pieddepage"/>
    <w:uiPriority w:val="99"/>
    <w:rsid w:val="00D80F06"/>
    <w:rPr>
      <w:sz w:val="16"/>
      <w:lang w:val="fr-CH" w:eastAsia="en-US"/>
    </w:rPr>
  </w:style>
  <w:style w:type="paragraph" w:styleId="Titre">
    <w:name w:val="Title"/>
    <w:aliases w:val="Titre1"/>
    <w:basedOn w:val="Normal"/>
    <w:link w:val="TitreCar"/>
    <w:qFormat/>
    <w:rsid w:val="00D80F06"/>
    <w:pPr>
      <w:suppressAutoHyphens w:val="0"/>
      <w:spacing w:line="240" w:lineRule="auto"/>
      <w:jc w:val="center"/>
    </w:pPr>
    <w:rPr>
      <w:rFonts w:ascii="Arial" w:eastAsia="Calibri" w:hAnsi="Arial" w:cs="Arial"/>
      <w:sz w:val="28"/>
      <w:szCs w:val="24"/>
      <w:lang w:val="fr-FR" w:eastAsia="fr-FR"/>
    </w:rPr>
  </w:style>
  <w:style w:type="character" w:customStyle="1" w:styleId="TitreCar">
    <w:name w:val="Titre Car"/>
    <w:aliases w:val="Titre1 Car"/>
    <w:basedOn w:val="Policepardfaut"/>
    <w:link w:val="Titre"/>
    <w:rsid w:val="00D80F06"/>
    <w:rPr>
      <w:rFonts w:ascii="Arial" w:eastAsia="Calibri" w:hAnsi="Arial" w:cs="Arial"/>
      <w:sz w:val="28"/>
      <w:szCs w:val="24"/>
    </w:rPr>
  </w:style>
  <w:style w:type="paragraph" w:styleId="Sous-titre">
    <w:name w:val="Subtitle"/>
    <w:basedOn w:val="Normal"/>
    <w:link w:val="Sous-titreCar"/>
    <w:qFormat/>
    <w:rsid w:val="00D80F06"/>
    <w:pPr>
      <w:suppressAutoHyphens w:val="0"/>
      <w:spacing w:line="240" w:lineRule="auto"/>
    </w:pPr>
    <w:rPr>
      <w:rFonts w:ascii="Arial" w:eastAsia="Calibri" w:hAnsi="Arial" w:cs="Arial"/>
      <w:sz w:val="28"/>
      <w:szCs w:val="24"/>
      <w:lang w:val="fr-FR" w:eastAsia="fr-FR"/>
    </w:rPr>
  </w:style>
  <w:style w:type="character" w:customStyle="1" w:styleId="Sous-titreCar">
    <w:name w:val="Sous-titre Car"/>
    <w:basedOn w:val="Policepardfaut"/>
    <w:link w:val="Sous-titre"/>
    <w:rsid w:val="00D80F06"/>
    <w:rPr>
      <w:rFonts w:ascii="Arial" w:eastAsia="Calibri" w:hAnsi="Arial" w:cs="Arial"/>
      <w:sz w:val="28"/>
      <w:szCs w:val="24"/>
    </w:rPr>
  </w:style>
  <w:style w:type="paragraph" w:styleId="Corpsdetexte">
    <w:name w:val="Body Text"/>
    <w:basedOn w:val="Normal"/>
    <w:link w:val="CorpsdetexteCar"/>
    <w:rsid w:val="00D80F06"/>
    <w:pPr>
      <w:suppressAutoHyphens w:val="0"/>
      <w:spacing w:line="240" w:lineRule="auto"/>
      <w:jc w:val="both"/>
    </w:pPr>
    <w:rPr>
      <w:rFonts w:eastAsia="Calibri"/>
      <w:sz w:val="32"/>
      <w:szCs w:val="24"/>
      <w:lang w:val="fr-FR" w:eastAsia="fr-FR"/>
    </w:rPr>
  </w:style>
  <w:style w:type="character" w:customStyle="1" w:styleId="CorpsdetexteCar">
    <w:name w:val="Corps de texte Car"/>
    <w:basedOn w:val="Policepardfaut"/>
    <w:link w:val="Corpsdetexte"/>
    <w:rsid w:val="00D80F06"/>
    <w:rPr>
      <w:rFonts w:eastAsia="Calibri"/>
      <w:sz w:val="32"/>
      <w:szCs w:val="24"/>
    </w:rPr>
  </w:style>
  <w:style w:type="paragraph" w:styleId="Retraitcorpsdetexte3">
    <w:name w:val="Body Text Indent 3"/>
    <w:basedOn w:val="Normal"/>
    <w:link w:val="Retraitcorpsdetexte3Car"/>
    <w:rsid w:val="00D80F06"/>
    <w:pPr>
      <w:suppressAutoHyphens w:val="0"/>
      <w:spacing w:line="240" w:lineRule="auto"/>
      <w:ind w:left="360"/>
      <w:jc w:val="both"/>
    </w:pPr>
    <w:rPr>
      <w:rFonts w:eastAsia="Calibri"/>
      <w:sz w:val="24"/>
      <w:szCs w:val="24"/>
      <w:lang w:val="fr-FR" w:eastAsia="fr-FR"/>
    </w:rPr>
  </w:style>
  <w:style w:type="character" w:customStyle="1" w:styleId="Retraitcorpsdetexte3Car">
    <w:name w:val="Retrait corps de texte 3 Car"/>
    <w:basedOn w:val="Policepardfaut"/>
    <w:link w:val="Retraitcorpsdetexte3"/>
    <w:rsid w:val="00D80F06"/>
    <w:rPr>
      <w:rFonts w:eastAsia="Calibri"/>
      <w:sz w:val="24"/>
      <w:szCs w:val="24"/>
    </w:rPr>
  </w:style>
  <w:style w:type="paragraph" w:styleId="Corpsdetexte2">
    <w:name w:val="Body Text 2"/>
    <w:basedOn w:val="Normal"/>
    <w:link w:val="Corpsdetexte2Car"/>
    <w:rsid w:val="00D80F06"/>
    <w:pPr>
      <w:suppressAutoHyphens w:val="0"/>
      <w:spacing w:line="240" w:lineRule="auto"/>
      <w:jc w:val="both"/>
    </w:pPr>
    <w:rPr>
      <w:rFonts w:eastAsia="Calibri"/>
      <w:b/>
      <w:bCs/>
      <w:sz w:val="32"/>
      <w:szCs w:val="24"/>
      <w:lang w:val="fr-FR" w:eastAsia="fr-FR"/>
    </w:rPr>
  </w:style>
  <w:style w:type="character" w:customStyle="1" w:styleId="Corpsdetexte2Car">
    <w:name w:val="Corps de texte 2 Car"/>
    <w:basedOn w:val="Policepardfaut"/>
    <w:link w:val="Corpsdetexte2"/>
    <w:rsid w:val="00D80F06"/>
    <w:rPr>
      <w:rFonts w:eastAsia="Calibri"/>
      <w:b/>
      <w:bCs/>
      <w:sz w:val="32"/>
      <w:szCs w:val="24"/>
    </w:rPr>
  </w:style>
  <w:style w:type="paragraph" w:styleId="Corpsdetexte3">
    <w:name w:val="Body Text 3"/>
    <w:basedOn w:val="Normal"/>
    <w:link w:val="Corpsdetexte3Car"/>
    <w:rsid w:val="00D80F06"/>
    <w:pPr>
      <w:suppressAutoHyphens w:val="0"/>
      <w:spacing w:line="240" w:lineRule="auto"/>
      <w:jc w:val="both"/>
    </w:pPr>
    <w:rPr>
      <w:rFonts w:ascii="Arial" w:eastAsia="Calibri" w:hAnsi="Arial" w:cs="Arial"/>
      <w:b/>
      <w:bCs/>
      <w:sz w:val="22"/>
      <w:szCs w:val="24"/>
      <w:lang w:val="fr-FR" w:eastAsia="fr-FR"/>
    </w:rPr>
  </w:style>
  <w:style w:type="character" w:customStyle="1" w:styleId="Corpsdetexte3Car">
    <w:name w:val="Corps de texte 3 Car"/>
    <w:basedOn w:val="Policepardfaut"/>
    <w:link w:val="Corpsdetexte3"/>
    <w:rsid w:val="00D80F06"/>
    <w:rPr>
      <w:rFonts w:ascii="Arial" w:eastAsia="Calibri" w:hAnsi="Arial" w:cs="Arial"/>
      <w:b/>
      <w:bCs/>
      <w:sz w:val="22"/>
      <w:szCs w:val="24"/>
    </w:rPr>
  </w:style>
  <w:style w:type="paragraph" w:styleId="Retraitcorpsdetexte">
    <w:name w:val="Body Text Indent"/>
    <w:basedOn w:val="Normal"/>
    <w:link w:val="RetraitcorpsdetexteCar"/>
    <w:rsid w:val="00D80F06"/>
    <w:pPr>
      <w:suppressAutoHyphens w:val="0"/>
      <w:spacing w:after="120" w:line="240" w:lineRule="auto"/>
      <w:ind w:left="283"/>
    </w:pPr>
    <w:rPr>
      <w:rFonts w:eastAsia="Calibri"/>
      <w:sz w:val="24"/>
      <w:szCs w:val="24"/>
      <w:lang w:val="fr-FR" w:eastAsia="fr-FR"/>
    </w:rPr>
  </w:style>
  <w:style w:type="character" w:customStyle="1" w:styleId="RetraitcorpsdetexteCar">
    <w:name w:val="Retrait corps de texte Car"/>
    <w:basedOn w:val="Policepardfaut"/>
    <w:link w:val="Retraitcorpsdetexte"/>
    <w:rsid w:val="00D80F06"/>
    <w:rPr>
      <w:rFonts w:eastAsia="Calibri"/>
      <w:sz w:val="24"/>
      <w:szCs w:val="24"/>
    </w:rPr>
  </w:style>
  <w:style w:type="paragraph" w:styleId="Retraitcorpsdetexte2">
    <w:name w:val="Body Text Indent 2"/>
    <w:basedOn w:val="Normal"/>
    <w:link w:val="Retraitcorpsdetexte2Car"/>
    <w:rsid w:val="00D80F06"/>
    <w:pPr>
      <w:suppressAutoHyphens w:val="0"/>
      <w:spacing w:after="120" w:line="480" w:lineRule="auto"/>
      <w:ind w:left="283"/>
    </w:pPr>
    <w:rPr>
      <w:rFonts w:eastAsia="Calibri"/>
      <w:sz w:val="24"/>
      <w:szCs w:val="24"/>
      <w:lang w:val="fr-FR" w:eastAsia="fr-FR"/>
    </w:rPr>
  </w:style>
  <w:style w:type="character" w:customStyle="1" w:styleId="Retraitcorpsdetexte2Car">
    <w:name w:val="Retrait corps de texte 2 Car"/>
    <w:basedOn w:val="Policepardfaut"/>
    <w:link w:val="Retraitcorpsdetexte2"/>
    <w:rsid w:val="00D80F06"/>
    <w:rPr>
      <w:rFonts w:eastAsia="Calibri"/>
      <w:sz w:val="24"/>
      <w:szCs w:val="24"/>
    </w:rPr>
  </w:style>
  <w:style w:type="paragraph" w:customStyle="1" w:styleId="Texte">
    <w:name w:val="Texte"/>
    <w:basedOn w:val="Normal"/>
    <w:rsid w:val="00D80F06"/>
    <w:pPr>
      <w:suppressAutoHyphens w:val="0"/>
      <w:spacing w:before="120" w:after="120" w:line="240" w:lineRule="auto"/>
      <w:ind w:left="20" w:firstLine="567"/>
      <w:jc w:val="both"/>
    </w:pPr>
    <w:rPr>
      <w:rFonts w:ascii="Times" w:eastAsia="Calibri" w:hAnsi="Times"/>
      <w:sz w:val="24"/>
      <w:szCs w:val="24"/>
      <w:lang w:val="fr-FR"/>
    </w:rPr>
  </w:style>
  <w:style w:type="paragraph" w:customStyle="1" w:styleId="Activit">
    <w:name w:val="Activité"/>
    <w:basedOn w:val="Normal"/>
    <w:rsid w:val="00D80F06"/>
    <w:pPr>
      <w:suppressAutoHyphens w:val="0"/>
      <w:spacing w:line="240" w:lineRule="auto"/>
      <w:jc w:val="both"/>
    </w:pPr>
    <w:rPr>
      <w:rFonts w:eastAsia="Calibri"/>
      <w:b/>
      <w:lang w:val="fr-FR"/>
    </w:rPr>
  </w:style>
  <w:style w:type="paragraph" w:styleId="NormalWeb">
    <w:name w:val="Normal (Web)"/>
    <w:basedOn w:val="Normal"/>
    <w:uiPriority w:val="99"/>
    <w:rsid w:val="00D80F06"/>
    <w:pPr>
      <w:suppressAutoHyphens w:val="0"/>
      <w:spacing w:before="100" w:beforeAutospacing="1" w:after="100" w:afterAutospacing="1" w:line="240" w:lineRule="auto"/>
    </w:pPr>
    <w:rPr>
      <w:rFonts w:eastAsia="Calibri"/>
      <w:sz w:val="24"/>
      <w:szCs w:val="24"/>
      <w:lang w:val="fr-FR" w:eastAsia="fr-FR"/>
    </w:rPr>
  </w:style>
  <w:style w:type="paragraph" w:styleId="Normalcentr">
    <w:name w:val="Block Text"/>
    <w:basedOn w:val="Normal"/>
    <w:rsid w:val="00D80F06"/>
    <w:pPr>
      <w:suppressAutoHyphens w:val="0"/>
      <w:spacing w:line="240" w:lineRule="auto"/>
      <w:ind w:left="3600" w:right="612"/>
      <w:jc w:val="both"/>
    </w:pPr>
    <w:rPr>
      <w:rFonts w:eastAsia="Calibri"/>
      <w:b/>
      <w:bCs/>
      <w:sz w:val="26"/>
      <w:szCs w:val="26"/>
      <w:lang w:val="fr-FR" w:eastAsia="fr-FR"/>
    </w:rPr>
  </w:style>
  <w:style w:type="character" w:styleId="lev">
    <w:name w:val="Strong"/>
    <w:qFormat/>
    <w:rsid w:val="00D80F06"/>
    <w:rPr>
      <w:rFonts w:cs="Times New Roman"/>
      <w:b/>
      <w:bCs/>
    </w:rPr>
  </w:style>
  <w:style w:type="paragraph" w:customStyle="1" w:styleId="ListParagraph1">
    <w:name w:val="List Paragraph1"/>
    <w:basedOn w:val="Normal"/>
    <w:qFormat/>
    <w:rsid w:val="00D80F06"/>
    <w:pPr>
      <w:suppressAutoHyphens w:val="0"/>
      <w:spacing w:after="120" w:line="240" w:lineRule="auto"/>
      <w:ind w:left="720" w:hanging="357"/>
      <w:jc w:val="both"/>
    </w:pPr>
    <w:rPr>
      <w:rFonts w:ascii="Calibri" w:hAnsi="Calibri" w:cs="Arial"/>
      <w:sz w:val="22"/>
      <w:szCs w:val="22"/>
      <w:lang w:val="fr-FR"/>
    </w:rPr>
  </w:style>
  <w:style w:type="paragraph" w:customStyle="1" w:styleId="spip">
    <w:name w:val="spip"/>
    <w:basedOn w:val="Normal"/>
    <w:rsid w:val="00D80F06"/>
    <w:pPr>
      <w:suppressAutoHyphens w:val="0"/>
      <w:spacing w:line="240" w:lineRule="auto"/>
    </w:pPr>
    <w:rPr>
      <w:rFonts w:eastAsia="Calibri"/>
      <w:sz w:val="24"/>
      <w:szCs w:val="24"/>
      <w:lang w:val="fr-FR" w:eastAsia="fr-FR"/>
    </w:rPr>
  </w:style>
  <w:style w:type="paragraph" w:customStyle="1" w:styleId="BodyText1">
    <w:name w:val="Body Text1"/>
    <w:basedOn w:val="Corpsdetexte"/>
    <w:rsid w:val="00D80F06"/>
    <w:pPr>
      <w:spacing w:after="120" w:line="276" w:lineRule="auto"/>
      <w:jc w:val="left"/>
    </w:pPr>
    <w:rPr>
      <w:rFonts w:ascii="Calibri" w:eastAsia="Times New Roman" w:hAnsi="Calibri" w:cs="Arial"/>
      <w:sz w:val="22"/>
      <w:szCs w:val="22"/>
      <w:lang w:eastAsia="en-US"/>
    </w:rPr>
  </w:style>
  <w:style w:type="paragraph" w:customStyle="1" w:styleId="Default">
    <w:name w:val="Default"/>
    <w:uiPriority w:val="99"/>
    <w:rsid w:val="00D80F06"/>
    <w:pPr>
      <w:autoSpaceDE w:val="0"/>
      <w:autoSpaceDN w:val="0"/>
      <w:adjustRightInd w:val="0"/>
    </w:pPr>
    <w:rPr>
      <w:rFonts w:ascii="Arial" w:hAnsi="Arial" w:cs="Arial"/>
      <w:color w:val="000000"/>
      <w:sz w:val="24"/>
      <w:szCs w:val="24"/>
    </w:rPr>
  </w:style>
  <w:style w:type="character" w:styleId="Marquedecommentaire">
    <w:name w:val="annotation reference"/>
    <w:rsid w:val="00D80F06"/>
    <w:rPr>
      <w:sz w:val="16"/>
      <w:szCs w:val="16"/>
    </w:rPr>
  </w:style>
  <w:style w:type="paragraph" w:styleId="Commentaire">
    <w:name w:val="annotation text"/>
    <w:basedOn w:val="Normal"/>
    <w:link w:val="CommentaireCar"/>
    <w:rsid w:val="00D80F06"/>
  </w:style>
  <w:style w:type="character" w:customStyle="1" w:styleId="CommentaireCar">
    <w:name w:val="Commentaire Car"/>
    <w:basedOn w:val="Policepardfaut"/>
    <w:link w:val="Commentaire"/>
    <w:rsid w:val="00D80F06"/>
    <w:rPr>
      <w:lang w:val="fr-CH" w:eastAsia="en-US"/>
    </w:rPr>
  </w:style>
  <w:style w:type="paragraph" w:styleId="Objetducommentaire">
    <w:name w:val="annotation subject"/>
    <w:basedOn w:val="Commentaire"/>
    <w:next w:val="Commentaire"/>
    <w:link w:val="ObjetducommentaireCar"/>
    <w:rsid w:val="00D80F06"/>
    <w:rPr>
      <w:b/>
      <w:bCs/>
    </w:rPr>
  </w:style>
  <w:style w:type="character" w:customStyle="1" w:styleId="ObjetducommentaireCar">
    <w:name w:val="Objet du commentaire Car"/>
    <w:basedOn w:val="CommentaireCar"/>
    <w:link w:val="Objetducommentaire"/>
    <w:rsid w:val="00D80F06"/>
    <w:rPr>
      <w:b/>
      <w:bCs/>
      <w:lang w:val="fr-CH" w:eastAsia="en-US"/>
    </w:rPr>
  </w:style>
  <w:style w:type="paragraph" w:customStyle="1" w:styleId="Revision1">
    <w:name w:val="Revision1"/>
    <w:hidden/>
    <w:uiPriority w:val="99"/>
    <w:semiHidden/>
    <w:rsid w:val="00D80F06"/>
    <w:rPr>
      <w:lang w:val="fr-CH" w:eastAsia="en-US"/>
    </w:rPr>
  </w:style>
  <w:style w:type="paragraph" w:styleId="Paragraphedeliste">
    <w:name w:val="List Paragraph"/>
    <w:aliases w:val="References,Bullets,ReferencesCxSpLast,Numbered List Paragraph,Medium Grid 1 - Accent 21,Liste 1,List Paragraph nowy,Colorful List - Accent 11,MCHIP_list paragraph,Recommendation,lp1,texte,WB Para,Paragraphe 2,Paragraphe de liste PBLH"/>
    <w:basedOn w:val="Normal"/>
    <w:uiPriority w:val="34"/>
    <w:qFormat/>
    <w:rsid w:val="00D80F06"/>
    <w:pPr>
      <w:suppressAutoHyphens w:val="0"/>
      <w:spacing w:line="240" w:lineRule="auto"/>
      <w:ind w:left="720"/>
      <w:contextualSpacing/>
    </w:pPr>
    <w:rPr>
      <w:sz w:val="24"/>
      <w:szCs w:val="24"/>
      <w:lang w:val="fr-FR" w:eastAsia="fr-FR"/>
    </w:rPr>
  </w:style>
  <w:style w:type="paragraph" w:customStyle="1" w:styleId="SingleTxt">
    <w:name w:val="__Single Txt"/>
    <w:basedOn w:val="Normal"/>
    <w:qFormat/>
    <w:rsid w:val="00D80F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en-US"/>
    </w:rPr>
  </w:style>
  <w:style w:type="paragraph" w:styleId="Sansinterligne">
    <w:name w:val="No Spacing"/>
    <w:uiPriority w:val="1"/>
    <w:qFormat/>
    <w:rsid w:val="00D80F06"/>
    <w:rPr>
      <w:rFonts w:ascii="Calibri" w:eastAsia="Calibri" w:hAnsi="Calibri" w:cs="Arial"/>
      <w:sz w:val="22"/>
      <w:szCs w:val="22"/>
      <w:lang w:eastAsia="en-US"/>
    </w:rPr>
  </w:style>
  <w:style w:type="paragraph" w:styleId="En-ttedetabledesmatires">
    <w:name w:val="TOC Heading"/>
    <w:basedOn w:val="Titre1"/>
    <w:next w:val="Normal"/>
    <w:uiPriority w:val="39"/>
    <w:unhideWhenUsed/>
    <w:qFormat/>
    <w:rsid w:val="00D80F06"/>
    <w:pPr>
      <w:suppressAutoHyphens w:val="0"/>
      <w:spacing w:before="480" w:line="276" w:lineRule="auto"/>
      <w:ind w:left="0"/>
      <w:outlineLvl w:val="9"/>
    </w:pPr>
    <w:rPr>
      <w:rFonts w:ascii="Cambria" w:hAnsi="Cambria"/>
      <w:b/>
      <w:bCs/>
      <w:color w:val="365F91"/>
      <w:sz w:val="28"/>
      <w:szCs w:val="28"/>
      <w:lang w:val="fr-FR"/>
    </w:rPr>
  </w:style>
  <w:style w:type="paragraph" w:styleId="TM2">
    <w:name w:val="toc 2"/>
    <w:basedOn w:val="Normal"/>
    <w:next w:val="Normal"/>
    <w:autoRedefine/>
    <w:uiPriority w:val="39"/>
    <w:unhideWhenUsed/>
    <w:rsid w:val="00D80F06"/>
    <w:pPr>
      <w:ind w:left="200"/>
    </w:pPr>
  </w:style>
  <w:style w:type="paragraph" w:styleId="TM1">
    <w:name w:val="toc 1"/>
    <w:basedOn w:val="Normal"/>
    <w:next w:val="Normal"/>
    <w:autoRedefine/>
    <w:uiPriority w:val="39"/>
    <w:unhideWhenUsed/>
    <w:rsid w:val="00D80F06"/>
  </w:style>
  <w:style w:type="paragraph" w:styleId="TM3">
    <w:name w:val="toc 3"/>
    <w:basedOn w:val="Normal"/>
    <w:next w:val="Normal"/>
    <w:autoRedefine/>
    <w:uiPriority w:val="39"/>
    <w:unhideWhenUsed/>
    <w:rsid w:val="00D80F06"/>
    <w:pPr>
      <w:ind w:left="400"/>
    </w:pPr>
  </w:style>
  <w:style w:type="character" w:customStyle="1" w:styleId="Mentionnonrsolue">
    <w:name w:val="Mention non résolue"/>
    <w:uiPriority w:val="99"/>
    <w:semiHidden/>
    <w:unhideWhenUsed/>
    <w:rsid w:val="00D80F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07E79-D88A-4E6E-BC61-1E74D8B2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CCPR_F.dotm</Template>
  <TotalTime>0</TotalTime>
  <Pages>35</Pages>
  <Words>16189</Words>
  <Characters>86938</Characters>
  <Application>Microsoft Office Word</Application>
  <DocSecurity>0</DocSecurity>
  <Lines>2229</Lines>
  <Paragraphs>1356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CCPR/C/MRT/2</vt:lpstr>
      <vt:lpstr>CCPR/C/MRT/2</vt:lpstr>
    </vt:vector>
  </TitlesOfParts>
  <Company>CSD</Company>
  <LinksUpToDate>false</LinksUpToDate>
  <CharactersWithSpaces>101771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CCPR/C/MRT/2</dc:title>
  <dc:subject/>
  <dc:creator>Gayla Spasova</dc:creator>
  <cp:keywords/>
  <cp:lastModifiedBy>Nicolas MORIN</cp:lastModifiedBy>
  <cp:revision>2</cp:revision>
  <cp:lastPrinted>2018-01-26T18:37:00Z</cp:lastPrinted>
  <dcterms:created xsi:type="dcterms:W3CDTF">2018-01-31T10:14:00Z</dcterms:created>
  <dcterms:modified xsi:type="dcterms:W3CDTF">2018-01-31T10:14:00Z</dcterms:modified>
</cp:coreProperties>
</file>