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D5F6D" w:rsidRDefault="00D329FB" w:rsidP="00DC18BF">
            <w:pPr>
              <w:spacing w:line="240" w:lineRule="atLeast"/>
              <w:jc w:val="right"/>
              <w:rPr>
                <w:sz w:val="20"/>
                <w:szCs w:val="21"/>
              </w:rPr>
            </w:pPr>
            <w:r>
              <w:rPr>
                <w:sz w:val="40"/>
                <w:szCs w:val="21"/>
              </w:rPr>
              <w:t>CAT</w:t>
            </w:r>
            <w:r w:rsidR="00085EC3">
              <w:rPr>
                <w:sz w:val="20"/>
                <w:szCs w:val="21"/>
              </w:rPr>
              <w:t>/</w:t>
            </w:r>
            <w:r>
              <w:rPr>
                <w:sz w:val="20"/>
                <w:szCs w:val="21"/>
              </w:rPr>
              <w:t>C</w:t>
            </w:r>
            <w:r w:rsidR="00085EC3">
              <w:rPr>
                <w:sz w:val="20"/>
                <w:szCs w:val="21"/>
              </w:rPr>
              <w:t>/</w:t>
            </w:r>
            <w:r>
              <w:rPr>
                <w:sz w:val="20"/>
                <w:szCs w:val="21"/>
              </w:rPr>
              <w:t>63</w:t>
            </w:r>
            <w:r w:rsidR="00085EC3">
              <w:rPr>
                <w:sz w:val="20"/>
                <w:szCs w:val="21"/>
              </w:rPr>
              <w:t>/</w:t>
            </w:r>
            <w:r>
              <w:rPr>
                <w:sz w:val="20"/>
                <w:szCs w:val="21"/>
              </w:rPr>
              <w:t>D</w:t>
            </w:r>
            <w:r w:rsidR="00085EC3">
              <w:rPr>
                <w:sz w:val="20"/>
                <w:szCs w:val="21"/>
              </w:rPr>
              <w:t>/</w:t>
            </w:r>
            <w:r>
              <w:rPr>
                <w:sz w:val="20"/>
                <w:szCs w:val="21"/>
              </w:rPr>
              <w:t>731</w:t>
            </w:r>
            <w:r w:rsidR="00085EC3">
              <w:rPr>
                <w:sz w:val="20"/>
                <w:szCs w:val="21"/>
              </w:rPr>
              <w:t>/</w:t>
            </w:r>
            <w:r>
              <w:rPr>
                <w:sz w:val="20"/>
                <w:szCs w:val="21"/>
              </w:rPr>
              <w:t>2</w:t>
            </w:r>
            <w:r w:rsidR="004D5F6D">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085EC3" w:rsidP="00DC18BF">
            <w:pPr>
              <w:spacing w:before="240" w:line="240" w:lineRule="atLeast"/>
              <w:rPr>
                <w:sz w:val="20"/>
              </w:rPr>
            </w:pPr>
            <w:r>
              <w:rPr>
                <w:sz w:val="20"/>
              </w:rPr>
              <w:t xml:space="preserve">Distr.: </w:t>
            </w:r>
            <w:r w:rsidR="00D329FB">
              <w:rPr>
                <w:sz w:val="20"/>
              </w:rPr>
              <w:t>General</w:t>
            </w:r>
          </w:p>
          <w:p w:rsidR="00494EB8" w:rsidRPr="00F124C6" w:rsidRDefault="00D329FB" w:rsidP="00800C27">
            <w:pPr>
              <w:spacing w:line="240" w:lineRule="atLeast"/>
              <w:rPr>
                <w:sz w:val="20"/>
              </w:rPr>
            </w:pPr>
            <w:r>
              <w:rPr>
                <w:sz w:val="20"/>
              </w:rPr>
              <w:t>23</w:t>
            </w:r>
            <w:r w:rsidR="00800C27">
              <w:rPr>
                <w:sz w:val="20"/>
              </w:rPr>
              <w:t xml:space="preserve"> </w:t>
            </w:r>
            <w:r>
              <w:rPr>
                <w:sz w:val="20"/>
              </w:rPr>
              <w:t>August</w:t>
            </w:r>
            <w:r w:rsidR="005505A1">
              <w:rPr>
                <w:sz w:val="20"/>
              </w:rPr>
              <w:t xml:space="preserve"> </w:t>
            </w:r>
            <w:r>
              <w:rPr>
                <w:sz w:val="20"/>
              </w:rPr>
              <w:t>2</w:t>
            </w:r>
            <w:r w:rsidR="005505A1">
              <w:rPr>
                <w:sz w:val="20"/>
              </w:rPr>
              <w:t>0</w:t>
            </w:r>
            <w:r>
              <w:rPr>
                <w:sz w:val="20"/>
              </w:rPr>
              <w:t>18</w:t>
            </w:r>
          </w:p>
          <w:p w:rsidR="00494EB8" w:rsidRPr="00F124C6" w:rsidRDefault="00D329FB" w:rsidP="00DC18BF">
            <w:pPr>
              <w:spacing w:line="240" w:lineRule="atLeast"/>
              <w:rPr>
                <w:sz w:val="20"/>
              </w:rPr>
            </w:pPr>
            <w:r>
              <w:rPr>
                <w:sz w:val="20"/>
              </w:rPr>
              <w:t>Chinese</w:t>
            </w:r>
            <w:r w:rsidR="00494EB8" w:rsidRPr="00F124C6">
              <w:rPr>
                <w:sz w:val="20"/>
              </w:rPr>
              <w:t xml:space="preserve"> </w:t>
            </w:r>
          </w:p>
          <w:p w:rsidR="00494EB8" w:rsidRPr="00F124C6" w:rsidRDefault="00085EC3" w:rsidP="00DC18BF">
            <w:pPr>
              <w:spacing w:line="240" w:lineRule="atLeast"/>
            </w:pPr>
            <w:r>
              <w:rPr>
                <w:sz w:val="20"/>
              </w:rPr>
              <w:t xml:space="preserve">Original: </w:t>
            </w:r>
            <w:r w:rsidR="00D329FB">
              <w:rPr>
                <w:sz w:val="20"/>
              </w:rPr>
              <w:t>English</w:t>
            </w:r>
          </w:p>
        </w:tc>
      </w:tr>
    </w:tbl>
    <w:p w:rsidR="00F23B48" w:rsidRPr="00EC2359" w:rsidRDefault="00F23B48" w:rsidP="00831F30">
      <w:pPr>
        <w:spacing w:before="120"/>
        <w:rPr>
          <w:rFonts w:eastAsia="黑体"/>
          <w:sz w:val="24"/>
          <w:szCs w:val="24"/>
        </w:rPr>
      </w:pPr>
      <w:r w:rsidRPr="00EC2359">
        <w:rPr>
          <w:rFonts w:eastAsia="黑体" w:hAnsi="Time New Roman" w:hint="eastAsia"/>
          <w:sz w:val="24"/>
          <w:szCs w:val="24"/>
        </w:rPr>
        <w:t>禁止酷刑委员会</w:t>
      </w:r>
    </w:p>
    <w:p w:rsidR="00F23B48" w:rsidRPr="00F23B48" w:rsidRDefault="00F23B48" w:rsidP="00382DD0">
      <w:pPr>
        <w:pStyle w:val="HChGC"/>
        <w:spacing w:after="360"/>
        <w:jc w:val="both"/>
        <w:rPr>
          <w:lang w:val="fr-CH"/>
        </w:rPr>
      </w:pPr>
      <w:r w:rsidRPr="00EC2359">
        <w:rPr>
          <w:rFonts w:hint="eastAsia"/>
          <w:lang w:val="fr-CH"/>
        </w:rPr>
        <w:tab/>
      </w:r>
      <w:r w:rsidRPr="00EC2359">
        <w:rPr>
          <w:rFonts w:hint="eastAsia"/>
          <w:lang w:val="fr-CH"/>
        </w:rPr>
        <w:tab/>
      </w:r>
      <w:r w:rsidRPr="00F23B48">
        <w:rPr>
          <w:lang w:val="en-GB"/>
        </w:rPr>
        <w:t>委员会根据《公约》第</w:t>
      </w:r>
      <w:r w:rsidR="00D329FB">
        <w:rPr>
          <w:lang w:val="en-GB"/>
        </w:rPr>
        <w:t>22</w:t>
      </w:r>
      <w:r w:rsidRPr="00F23B48">
        <w:rPr>
          <w:lang w:val="en-GB"/>
        </w:rPr>
        <w:t>条通过的关于第</w:t>
      </w:r>
      <w:r w:rsidR="00D329FB">
        <w:rPr>
          <w:lang w:val="en-GB"/>
        </w:rPr>
        <w:t>731</w:t>
      </w:r>
      <w:r w:rsidR="00085EC3">
        <w:rPr>
          <w:lang w:val="en-GB"/>
        </w:rPr>
        <w:t>/</w:t>
      </w:r>
      <w:r w:rsidR="00D329FB">
        <w:rPr>
          <w:lang w:val="en-GB"/>
        </w:rPr>
        <w:t>2</w:t>
      </w:r>
      <w:r w:rsidRPr="00F23B48">
        <w:rPr>
          <w:lang w:val="en-GB"/>
        </w:rPr>
        <w:t>0</w:t>
      </w:r>
      <w:r w:rsidR="00D329FB">
        <w:rPr>
          <w:lang w:val="en-GB"/>
        </w:rPr>
        <w:t>16</w:t>
      </w:r>
      <w:r w:rsidRPr="00F23B48">
        <w:rPr>
          <w:lang w:val="en-GB"/>
        </w:rPr>
        <w:t>号来文的决定</w:t>
      </w:r>
      <w:r w:rsidRPr="00F23B48">
        <w:rPr>
          <w:lang w:val="en-GB"/>
        </w:rPr>
        <w:footnoteReference w:customMarkFollows="1" w:id="2"/>
        <w:t>*</w:t>
      </w:r>
      <w:r w:rsidRPr="00257939">
        <w:rPr>
          <w:position w:val="-6"/>
          <w:vertAlign w:val="superscript"/>
          <w:lang w:val="en-GB"/>
        </w:rPr>
        <w:t>、</w:t>
      </w:r>
      <w:r w:rsidRPr="00F23B48">
        <w:rPr>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F23B48" w:rsidRPr="00EC2359" w:rsidTr="0069394F">
        <w:tc>
          <w:tcPr>
            <w:tcW w:w="2459" w:type="dxa"/>
          </w:tcPr>
          <w:p w:rsidR="00F23B48" w:rsidRPr="006B07B3" w:rsidRDefault="00F23B48" w:rsidP="0069394F">
            <w:pPr>
              <w:pStyle w:val="SingleTxtGC"/>
              <w:suppressAutoHyphens w:val="0"/>
              <w:ind w:left="0" w:right="0"/>
              <w:rPr>
                <w:rFonts w:eastAsia="楷体"/>
              </w:rPr>
            </w:pPr>
            <w:bookmarkStart w:id="0" w:name="_GoBack"/>
            <w:bookmarkEnd w:id="0"/>
            <w:r w:rsidRPr="006B07B3">
              <w:rPr>
                <w:rFonts w:eastAsia="楷体" w:hAnsi="Time New Roman" w:hint="eastAsia"/>
              </w:rPr>
              <w:t>提交人</w:t>
            </w:r>
            <w:r w:rsidR="00085EC3">
              <w:rPr>
                <w:rFonts w:eastAsia="楷体" w:hAnsi="Time New Roman" w:hint="eastAsia"/>
              </w:rPr>
              <w:t>：</w:t>
            </w:r>
          </w:p>
        </w:tc>
        <w:tc>
          <w:tcPr>
            <w:tcW w:w="4345" w:type="dxa"/>
          </w:tcPr>
          <w:p w:rsidR="00F23B48" w:rsidRPr="00EC2359" w:rsidRDefault="00D329FB" w:rsidP="0069394F">
            <w:pPr>
              <w:pStyle w:val="SingleTxtGC"/>
              <w:suppressAutoHyphens w:val="0"/>
              <w:ind w:left="0" w:right="0"/>
              <w:rPr>
                <w:snapToGrid/>
                <w:lang w:val="fr-FR"/>
              </w:rPr>
            </w:pPr>
            <w:r>
              <w:rPr>
                <w:rFonts w:eastAsiaTheme="minorEastAsia"/>
                <w:szCs w:val="21"/>
              </w:rPr>
              <w:t>X</w:t>
            </w:r>
            <w:r w:rsidR="00915FFA" w:rsidRPr="00BE703B">
              <w:rPr>
                <w:rFonts w:eastAsiaTheme="minorEastAsia"/>
                <w:szCs w:val="21"/>
              </w:rPr>
              <w:t>.</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据称受害人</w:t>
            </w:r>
            <w:r w:rsidR="00085EC3">
              <w:rPr>
                <w:rFonts w:eastAsia="楷体" w:hAnsi="Time New Roman" w:hint="eastAsia"/>
              </w:rPr>
              <w:t>：</w:t>
            </w:r>
          </w:p>
        </w:tc>
        <w:tc>
          <w:tcPr>
            <w:tcW w:w="4345" w:type="dxa"/>
          </w:tcPr>
          <w:p w:rsidR="00F23B48" w:rsidRPr="00EC2359" w:rsidRDefault="00915FFA" w:rsidP="00915FFA">
            <w:pPr>
              <w:pStyle w:val="SingleTxtGC"/>
              <w:suppressAutoHyphens w:val="0"/>
              <w:ind w:left="0" w:right="0"/>
              <w:rPr>
                <w:snapToGrid/>
                <w:lang w:val="fr-FR"/>
              </w:rPr>
            </w:pPr>
            <w:r w:rsidRPr="00915FFA">
              <w:rPr>
                <w:snapToGrid/>
                <w:lang w:val="en-GB"/>
              </w:rPr>
              <w:t>申诉人、申诉人之妻与两名未成年子女</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所涉缔约国</w:t>
            </w:r>
            <w:r w:rsidR="00085EC3">
              <w:rPr>
                <w:rFonts w:eastAsia="楷体" w:hAnsi="Time New Roman" w:hint="eastAsia"/>
              </w:rPr>
              <w:t>：</w:t>
            </w:r>
          </w:p>
        </w:tc>
        <w:tc>
          <w:tcPr>
            <w:tcW w:w="4345" w:type="dxa"/>
          </w:tcPr>
          <w:p w:rsidR="00F23B48" w:rsidRPr="00EC2359" w:rsidRDefault="00915FFA" w:rsidP="0069394F">
            <w:pPr>
              <w:pStyle w:val="SingleTxtGC"/>
              <w:suppressAutoHyphens w:val="0"/>
              <w:ind w:left="0" w:right="0"/>
              <w:rPr>
                <w:snapToGrid/>
                <w:lang w:val="fr-FR"/>
              </w:rPr>
            </w:pPr>
            <w:r w:rsidRPr="00BE703B">
              <w:rPr>
                <w:rFonts w:eastAsiaTheme="minorEastAsia"/>
                <w:szCs w:val="21"/>
              </w:rPr>
              <w:t>挪威</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申诉日期</w:t>
            </w:r>
            <w:r w:rsidR="00085EC3">
              <w:rPr>
                <w:rFonts w:eastAsia="楷体" w:hAnsi="Time New Roman"/>
              </w:rPr>
              <w:t>：</w:t>
            </w:r>
          </w:p>
        </w:tc>
        <w:tc>
          <w:tcPr>
            <w:tcW w:w="4345" w:type="dxa"/>
          </w:tcPr>
          <w:p w:rsidR="00F23B48" w:rsidRPr="00EC2359" w:rsidRDefault="00D329FB" w:rsidP="0069394F">
            <w:pPr>
              <w:pStyle w:val="SingleTxtGC"/>
              <w:suppressAutoHyphens w:val="0"/>
              <w:ind w:left="0" w:right="0"/>
              <w:rPr>
                <w:snapToGrid/>
                <w:lang w:val="fr-FR"/>
              </w:rPr>
            </w:pPr>
            <w:r>
              <w:rPr>
                <w:rFonts w:eastAsiaTheme="minorEastAsia"/>
                <w:szCs w:val="21"/>
              </w:rPr>
              <w:t>2</w:t>
            </w:r>
            <w:r w:rsidR="00915FFA" w:rsidRPr="00BE703B">
              <w:rPr>
                <w:rFonts w:eastAsiaTheme="minorEastAsia"/>
                <w:szCs w:val="21"/>
              </w:rPr>
              <w:t>0</w:t>
            </w:r>
            <w:r>
              <w:rPr>
                <w:rFonts w:eastAsiaTheme="minorEastAsia"/>
                <w:szCs w:val="21"/>
              </w:rPr>
              <w:t>16</w:t>
            </w:r>
            <w:r w:rsidR="00915FFA" w:rsidRPr="00BE703B">
              <w:rPr>
                <w:rFonts w:eastAsiaTheme="minorEastAsia"/>
                <w:szCs w:val="21"/>
              </w:rPr>
              <w:t>年</w:t>
            </w:r>
            <w:r>
              <w:rPr>
                <w:rFonts w:eastAsiaTheme="minorEastAsia"/>
                <w:szCs w:val="21"/>
              </w:rPr>
              <w:t>2</w:t>
            </w:r>
            <w:r w:rsidR="00915FFA" w:rsidRPr="00BE703B">
              <w:rPr>
                <w:rFonts w:eastAsiaTheme="minorEastAsia"/>
                <w:szCs w:val="21"/>
              </w:rPr>
              <w:t>月</w:t>
            </w:r>
            <w:r>
              <w:rPr>
                <w:rFonts w:eastAsiaTheme="minorEastAsia"/>
                <w:szCs w:val="21"/>
              </w:rPr>
              <w:t>29</w:t>
            </w:r>
            <w:r w:rsidR="00915FFA" w:rsidRPr="00BE703B">
              <w:rPr>
                <w:rFonts w:eastAsiaTheme="minorEastAsia"/>
                <w:szCs w:val="21"/>
              </w:rPr>
              <w:t>日</w:t>
            </w:r>
            <w:r w:rsidR="00085EC3">
              <w:rPr>
                <w:rFonts w:eastAsiaTheme="minorEastAsia"/>
                <w:szCs w:val="21"/>
              </w:rPr>
              <w:t>(</w:t>
            </w:r>
            <w:r w:rsidR="00915FFA" w:rsidRPr="00BE703B">
              <w:rPr>
                <w:rFonts w:eastAsiaTheme="minorEastAsia"/>
                <w:szCs w:val="21"/>
              </w:rPr>
              <w:t>首次提交</w:t>
            </w:r>
            <w:r w:rsidR="00085EC3">
              <w:rPr>
                <w:rFonts w:eastAsiaTheme="minorEastAsia"/>
                <w:szCs w:val="21"/>
              </w:rPr>
              <w:t>)</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决定日期</w:t>
            </w:r>
            <w:r w:rsidR="00085EC3">
              <w:rPr>
                <w:rFonts w:eastAsia="楷体" w:hAnsi="Time New Roman"/>
              </w:rPr>
              <w:t>：</w:t>
            </w:r>
          </w:p>
        </w:tc>
        <w:tc>
          <w:tcPr>
            <w:tcW w:w="4345" w:type="dxa"/>
          </w:tcPr>
          <w:p w:rsidR="00F23B48" w:rsidRPr="00EC2359" w:rsidRDefault="00D329FB" w:rsidP="0069394F">
            <w:pPr>
              <w:pStyle w:val="SingleTxtGC"/>
              <w:suppressAutoHyphens w:val="0"/>
              <w:ind w:left="0" w:right="0"/>
              <w:rPr>
                <w:snapToGrid/>
                <w:lang w:val="fr-FR"/>
              </w:rPr>
            </w:pPr>
            <w:r>
              <w:rPr>
                <w:rFonts w:eastAsiaTheme="minorEastAsia"/>
                <w:szCs w:val="21"/>
              </w:rPr>
              <w:t>2</w:t>
            </w:r>
            <w:r w:rsidR="00F40BD3" w:rsidRPr="00BE703B">
              <w:rPr>
                <w:rFonts w:eastAsiaTheme="minorEastAsia"/>
                <w:szCs w:val="21"/>
              </w:rPr>
              <w:t>0</w:t>
            </w:r>
            <w:r>
              <w:rPr>
                <w:rFonts w:eastAsiaTheme="minorEastAsia"/>
                <w:szCs w:val="21"/>
              </w:rPr>
              <w:t>18</w:t>
            </w:r>
            <w:r w:rsidR="00F40BD3" w:rsidRPr="00BE703B">
              <w:rPr>
                <w:rFonts w:eastAsiaTheme="minorEastAsia"/>
                <w:szCs w:val="21"/>
              </w:rPr>
              <w:t>年</w:t>
            </w:r>
            <w:r>
              <w:rPr>
                <w:rFonts w:eastAsiaTheme="minorEastAsia"/>
                <w:szCs w:val="21"/>
              </w:rPr>
              <w:t>5</w:t>
            </w:r>
            <w:r w:rsidR="00F40BD3" w:rsidRPr="00BE703B">
              <w:rPr>
                <w:rFonts w:eastAsiaTheme="minorEastAsia"/>
                <w:szCs w:val="21"/>
              </w:rPr>
              <w:t>月</w:t>
            </w:r>
            <w:r>
              <w:rPr>
                <w:rFonts w:eastAsiaTheme="minorEastAsia"/>
                <w:szCs w:val="21"/>
              </w:rPr>
              <w:t>4</w:t>
            </w:r>
            <w:r w:rsidR="00F40BD3" w:rsidRPr="00BE703B">
              <w:rPr>
                <w:rFonts w:eastAsiaTheme="minorEastAsia"/>
                <w:szCs w:val="21"/>
              </w:rPr>
              <w:t>日</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事由</w:t>
            </w:r>
            <w:r w:rsidR="00085EC3">
              <w:rPr>
                <w:rFonts w:eastAsia="楷体" w:hAnsi="Time New Roman"/>
              </w:rPr>
              <w:t>：</w:t>
            </w:r>
          </w:p>
        </w:tc>
        <w:tc>
          <w:tcPr>
            <w:tcW w:w="4345" w:type="dxa"/>
          </w:tcPr>
          <w:p w:rsidR="00F23B48" w:rsidRPr="00EC2359" w:rsidRDefault="00F40BD3" w:rsidP="0069394F">
            <w:pPr>
              <w:pStyle w:val="SingleTxtGC"/>
              <w:suppressAutoHyphens w:val="0"/>
              <w:ind w:left="0" w:right="0"/>
              <w:rPr>
                <w:snapToGrid/>
                <w:lang w:val="fr-FR"/>
              </w:rPr>
            </w:pPr>
            <w:r w:rsidRPr="00BE703B">
              <w:rPr>
                <w:rFonts w:eastAsiaTheme="minorEastAsia"/>
                <w:szCs w:val="21"/>
              </w:rPr>
              <w:t>依《都柏林规则》将申诉人转移至法国</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085EC3">
              <w:rPr>
                <w:rFonts w:eastAsia="楷体"/>
                <w:lang w:val="en-GB"/>
              </w:rPr>
              <w:t>：</w:t>
            </w:r>
          </w:p>
        </w:tc>
        <w:tc>
          <w:tcPr>
            <w:tcW w:w="4345" w:type="dxa"/>
          </w:tcPr>
          <w:p w:rsidR="00F23B48" w:rsidRPr="00EC2359" w:rsidRDefault="00F40BD3" w:rsidP="00823C54">
            <w:pPr>
              <w:pStyle w:val="SingleTxtGC"/>
              <w:suppressAutoHyphens w:val="0"/>
              <w:ind w:left="0" w:right="0"/>
              <w:rPr>
                <w:snapToGrid/>
                <w:lang w:val="fr-FR"/>
              </w:rPr>
            </w:pPr>
            <w:r w:rsidRPr="00F40BD3">
              <w:rPr>
                <w:rFonts w:hint="eastAsia"/>
                <w:snapToGrid/>
                <w:lang w:val="fr-FR"/>
              </w:rPr>
              <w:t>可否受理</w:t>
            </w:r>
            <w:r w:rsidR="00823C54" w:rsidRPr="00823C54">
              <w:rPr>
                <w:rFonts w:hint="eastAsia"/>
                <w:snapToGrid/>
                <w:spacing w:val="-50"/>
                <w:lang w:val="fr-FR"/>
              </w:rPr>
              <w:t>―</w:t>
            </w:r>
            <w:r w:rsidR="00823C54" w:rsidRPr="00823C54">
              <w:rPr>
                <w:rFonts w:hint="eastAsia"/>
                <w:snapToGrid/>
                <w:lang w:val="fr-FR"/>
              </w:rPr>
              <w:t>―</w:t>
            </w:r>
            <w:r w:rsidRPr="00F40BD3">
              <w:rPr>
                <w:rFonts w:hint="eastAsia"/>
                <w:snapToGrid/>
                <w:lang w:val="fr-FR"/>
              </w:rPr>
              <w:t>用尽国内补救</w:t>
            </w:r>
            <w:r w:rsidR="00085EC3">
              <w:rPr>
                <w:rFonts w:hint="eastAsia"/>
                <w:snapToGrid/>
                <w:lang w:val="fr-FR"/>
              </w:rPr>
              <w:t>；</w:t>
            </w:r>
            <w:r w:rsidRPr="00F40BD3">
              <w:rPr>
                <w:rFonts w:hint="eastAsia"/>
                <w:snapToGrid/>
                <w:lang w:val="fr-FR"/>
              </w:rPr>
              <w:t>可否受理</w:t>
            </w:r>
            <w:r w:rsidR="00823C54" w:rsidRPr="00823C54">
              <w:rPr>
                <w:rFonts w:hint="eastAsia"/>
                <w:snapToGrid/>
                <w:spacing w:val="-50"/>
                <w:lang w:val="fr-FR"/>
              </w:rPr>
              <w:t>―</w:t>
            </w:r>
            <w:r w:rsidR="00823C54" w:rsidRPr="00823C54">
              <w:rPr>
                <w:rFonts w:hint="eastAsia"/>
                <w:snapToGrid/>
                <w:lang w:val="fr-FR"/>
              </w:rPr>
              <w:t>―</w:t>
            </w:r>
            <w:r w:rsidRPr="00F40BD3">
              <w:rPr>
                <w:rFonts w:hint="eastAsia"/>
                <w:snapToGrid/>
                <w:lang w:val="fr-FR"/>
              </w:rPr>
              <w:t>明显无依据</w:t>
            </w:r>
          </w:p>
        </w:tc>
      </w:tr>
      <w:tr w:rsidR="00F23B48" w:rsidRPr="00EC2359" w:rsidTr="0069394F">
        <w:tc>
          <w:tcPr>
            <w:tcW w:w="2459" w:type="dxa"/>
          </w:tcPr>
          <w:p w:rsidR="00F23B48" w:rsidRPr="006B07B3" w:rsidRDefault="00F23B48" w:rsidP="0069394F">
            <w:pPr>
              <w:pStyle w:val="SingleTxtGC"/>
              <w:suppressAutoHyphens w:val="0"/>
              <w:ind w:left="0" w:right="0"/>
              <w:rPr>
                <w:rFonts w:eastAsia="楷体"/>
              </w:rPr>
            </w:pPr>
            <w:r w:rsidRPr="006B07B3">
              <w:rPr>
                <w:rFonts w:eastAsia="楷体" w:hAnsi="Time New Roman" w:hint="eastAsia"/>
              </w:rPr>
              <w:t>实质性问题</w:t>
            </w:r>
            <w:r w:rsidR="00085EC3">
              <w:rPr>
                <w:rFonts w:eastAsia="楷体" w:hAnsi="Time New Roman"/>
              </w:rPr>
              <w:t>：</w:t>
            </w:r>
          </w:p>
        </w:tc>
        <w:tc>
          <w:tcPr>
            <w:tcW w:w="4345" w:type="dxa"/>
          </w:tcPr>
          <w:p w:rsidR="00F23B48" w:rsidRPr="00EC2359" w:rsidRDefault="00F40BD3" w:rsidP="0069394F">
            <w:pPr>
              <w:pStyle w:val="SingleTxtGC"/>
              <w:suppressAutoHyphens w:val="0"/>
              <w:ind w:left="0" w:right="0"/>
              <w:rPr>
                <w:snapToGrid/>
                <w:lang w:val="fr-FR"/>
              </w:rPr>
            </w:pPr>
            <w:r w:rsidRPr="00BE703B">
              <w:rPr>
                <w:rFonts w:eastAsiaTheme="minorEastAsia"/>
                <w:szCs w:val="21"/>
              </w:rPr>
              <w:t>不驱回</w:t>
            </w:r>
            <w:r w:rsidR="00085EC3">
              <w:rPr>
                <w:rFonts w:eastAsiaTheme="minorEastAsia"/>
                <w:szCs w:val="21"/>
              </w:rPr>
              <w:t>；</w:t>
            </w:r>
            <w:r w:rsidRPr="00BE703B">
              <w:rPr>
                <w:rFonts w:eastAsiaTheme="minorEastAsia"/>
                <w:szCs w:val="21"/>
              </w:rPr>
              <w:t>难民身份</w:t>
            </w:r>
            <w:r w:rsidR="00085EC3">
              <w:rPr>
                <w:rFonts w:eastAsiaTheme="minorEastAsia"/>
                <w:szCs w:val="21"/>
              </w:rPr>
              <w:t>；</w:t>
            </w:r>
            <w:r w:rsidRPr="00BE703B">
              <w:rPr>
                <w:rFonts w:eastAsiaTheme="minorEastAsia"/>
                <w:szCs w:val="21"/>
              </w:rPr>
              <w:t>酷刑</w:t>
            </w:r>
          </w:p>
        </w:tc>
      </w:tr>
      <w:tr w:rsidR="00F23B48" w:rsidRPr="00EC2359" w:rsidTr="0069394F">
        <w:tc>
          <w:tcPr>
            <w:tcW w:w="2459" w:type="dxa"/>
          </w:tcPr>
          <w:p w:rsidR="00F23B48" w:rsidRPr="006B07B3" w:rsidRDefault="00F23B48" w:rsidP="0069394F">
            <w:pPr>
              <w:pStyle w:val="SingleTxtGC"/>
              <w:suppressAutoHyphens w:val="0"/>
              <w:ind w:left="-85" w:right="0"/>
              <w:rPr>
                <w:rFonts w:eastAsia="楷体"/>
              </w:rPr>
            </w:pPr>
            <w:r w:rsidRPr="006B07B3">
              <w:rPr>
                <w:rFonts w:eastAsia="楷体" w:hAnsi="Time New Roman" w:hint="eastAsia"/>
              </w:rPr>
              <w:t>《公约》条款</w:t>
            </w:r>
            <w:r w:rsidR="00085EC3">
              <w:rPr>
                <w:rFonts w:eastAsia="楷体" w:hAnsi="Time New Roman"/>
              </w:rPr>
              <w:t>：</w:t>
            </w:r>
          </w:p>
        </w:tc>
        <w:tc>
          <w:tcPr>
            <w:tcW w:w="4345" w:type="dxa"/>
          </w:tcPr>
          <w:p w:rsidR="00F23B48" w:rsidRPr="00EC2359" w:rsidRDefault="00380378" w:rsidP="0069394F">
            <w:pPr>
              <w:pStyle w:val="SingleTxtGC"/>
              <w:suppressAutoHyphens w:val="0"/>
              <w:ind w:left="0" w:right="0"/>
              <w:rPr>
                <w:lang w:val="en-GB"/>
              </w:rPr>
            </w:pPr>
            <w:r w:rsidRPr="00BE703B">
              <w:rPr>
                <w:rFonts w:eastAsiaTheme="minorEastAsia"/>
                <w:szCs w:val="21"/>
              </w:rPr>
              <w:t>第</w:t>
            </w:r>
            <w:r w:rsidR="00D329FB">
              <w:rPr>
                <w:rFonts w:eastAsiaTheme="minorEastAsia"/>
                <w:szCs w:val="21"/>
              </w:rPr>
              <w:t>2</w:t>
            </w:r>
            <w:r w:rsidRPr="00BE703B">
              <w:rPr>
                <w:rFonts w:eastAsiaTheme="minorEastAsia"/>
                <w:szCs w:val="21"/>
              </w:rPr>
              <w:t>和第</w:t>
            </w:r>
            <w:r w:rsidR="00D329FB">
              <w:rPr>
                <w:rFonts w:eastAsiaTheme="minorEastAsia"/>
                <w:szCs w:val="21"/>
              </w:rPr>
              <w:t>22</w:t>
            </w:r>
            <w:r w:rsidRPr="00BE703B">
              <w:rPr>
                <w:rFonts w:eastAsiaTheme="minorEastAsia"/>
                <w:szCs w:val="21"/>
              </w:rPr>
              <w:t>条</w:t>
            </w:r>
          </w:p>
        </w:tc>
      </w:tr>
    </w:tbl>
    <w:p w:rsidR="00F23B48" w:rsidRPr="00EC2359" w:rsidRDefault="00F23B48" w:rsidP="00831F30">
      <w:pPr>
        <w:pStyle w:val="SingleTxtGC"/>
        <w:rPr>
          <w:lang w:val="en-GB"/>
        </w:rPr>
      </w:pPr>
    </w:p>
    <w:p w:rsidR="00003F57" w:rsidRDefault="00085EC3" w:rsidP="005B030E">
      <w:pPr>
        <w:pStyle w:val="SingleTxtGC"/>
        <w:rPr>
          <w:lang w:val="en-GB"/>
        </w:rPr>
      </w:pPr>
      <w:r>
        <w:rPr>
          <w:lang w:val="en-GB"/>
        </w:rPr>
        <w:t>1.</w:t>
      </w:r>
      <w:r w:rsidR="00D329FB">
        <w:rPr>
          <w:lang w:val="en-GB"/>
        </w:rPr>
        <w:t>1</w:t>
      </w:r>
      <w:r w:rsidR="005B030E">
        <w:rPr>
          <w:lang w:val="en-GB"/>
        </w:rPr>
        <w:t xml:space="preserve">  </w:t>
      </w:r>
      <w:r w:rsidR="00D329FB" w:rsidRPr="00D329FB">
        <w:rPr>
          <w:lang w:val="en-GB"/>
        </w:rPr>
        <w:t>申诉人与家人是刚果公民。本来文提交时</w:t>
      </w:r>
      <w:r>
        <w:rPr>
          <w:lang w:val="en-GB"/>
        </w:rPr>
        <w:t>，</w:t>
      </w:r>
      <w:r w:rsidR="00D329FB" w:rsidRPr="00D329FB">
        <w:rPr>
          <w:lang w:val="en-GB"/>
        </w:rPr>
        <w:t>提交人一家人的庇护申请被挪威拒绝</w:t>
      </w:r>
      <w:r>
        <w:rPr>
          <w:lang w:val="en-GB"/>
        </w:rPr>
        <w:t>，</w:t>
      </w:r>
      <w:r w:rsidR="00D329FB" w:rsidRPr="00D329FB">
        <w:rPr>
          <w:lang w:val="en-GB"/>
        </w:rPr>
        <w:t>依《都柏林规则》将被转移至法国。申诉人称</w:t>
      </w:r>
      <w:r>
        <w:rPr>
          <w:lang w:val="en-GB"/>
        </w:rPr>
        <w:t>，</w:t>
      </w:r>
      <w:r w:rsidR="00D329FB" w:rsidRPr="00D329FB">
        <w:rPr>
          <w:lang w:val="en-GB"/>
        </w:rPr>
        <w:t>挪威遣返他们将构成违反《公约》第</w:t>
      </w:r>
      <w:r w:rsidR="00D329FB">
        <w:rPr>
          <w:lang w:val="en-GB"/>
        </w:rPr>
        <w:t>2</w:t>
      </w:r>
      <w:r w:rsidR="00D329FB" w:rsidRPr="00D329FB">
        <w:rPr>
          <w:lang w:val="en-GB"/>
        </w:rPr>
        <w:t>和第</w:t>
      </w:r>
      <w:r w:rsidR="00D329FB">
        <w:rPr>
          <w:lang w:val="en-GB"/>
        </w:rPr>
        <w:t>22</w:t>
      </w:r>
      <w:r w:rsidR="00D329FB" w:rsidRPr="00D329FB">
        <w:rPr>
          <w:lang w:val="en-GB"/>
        </w:rPr>
        <w:t>条。</w:t>
      </w:r>
    </w:p>
    <w:p w:rsidR="00003F57" w:rsidRDefault="00085EC3" w:rsidP="005B030E">
      <w:pPr>
        <w:pStyle w:val="SingleTxtGC"/>
        <w:rPr>
          <w:lang w:val="en-GB"/>
        </w:rPr>
      </w:pPr>
      <w:r>
        <w:rPr>
          <w:lang w:val="en-GB"/>
        </w:rPr>
        <w:t>1.</w:t>
      </w:r>
      <w:r w:rsidR="00D329FB">
        <w:rPr>
          <w:lang w:val="en-GB"/>
        </w:rPr>
        <w:t>2</w:t>
      </w:r>
      <w:r w:rsidR="005B030E">
        <w:rPr>
          <w:lang w:val="en-GB"/>
        </w:rPr>
        <w:t xml:space="preserve">  </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16</w:t>
      </w:r>
      <w:r w:rsidR="00D329FB" w:rsidRPr="00D329FB">
        <w:rPr>
          <w:lang w:val="en-GB"/>
        </w:rPr>
        <w:t>日</w:t>
      </w:r>
      <w:r>
        <w:rPr>
          <w:lang w:val="en-GB"/>
        </w:rPr>
        <w:t>，</w:t>
      </w:r>
      <w:r w:rsidR="00D329FB" w:rsidRPr="00D329FB">
        <w:rPr>
          <w:lang w:val="en-GB"/>
        </w:rPr>
        <w:t>委员会通过新申诉和临时措施问题报告员行事</w:t>
      </w:r>
      <w:r>
        <w:rPr>
          <w:lang w:val="en-GB"/>
        </w:rPr>
        <w:t>，</w:t>
      </w:r>
      <w:r w:rsidR="00D329FB" w:rsidRPr="00D329FB">
        <w:rPr>
          <w:lang w:val="en-GB"/>
        </w:rPr>
        <w:t>拒绝了申诉人的临时措施申请。缔约国</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21</w:t>
      </w:r>
      <w:r w:rsidR="00D329FB" w:rsidRPr="00D329FB">
        <w:rPr>
          <w:lang w:val="en-GB"/>
        </w:rPr>
        <w:t>日将申诉人及家人转移至法国。</w:t>
      </w:r>
    </w:p>
    <w:p w:rsidR="00003F57" w:rsidRDefault="00085EC3" w:rsidP="005B030E">
      <w:pPr>
        <w:pStyle w:val="SingleTxtGC"/>
        <w:rPr>
          <w:lang w:val="en-GB"/>
        </w:rPr>
      </w:pPr>
      <w:r>
        <w:rPr>
          <w:lang w:val="en-GB"/>
        </w:rPr>
        <w:lastRenderedPageBreak/>
        <w:t>1.</w:t>
      </w:r>
      <w:r w:rsidR="00D329FB">
        <w:rPr>
          <w:lang w:val="en-GB"/>
        </w:rPr>
        <w:t>3</w:t>
      </w:r>
      <w:r w:rsidR="005B030E">
        <w:rPr>
          <w:lang w:val="en-GB"/>
        </w:rPr>
        <w:t xml:space="preserve">  </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7</w:t>
      </w:r>
      <w:r w:rsidR="00D329FB" w:rsidRPr="00D329FB">
        <w:rPr>
          <w:lang w:val="en-GB"/>
        </w:rPr>
        <w:t>月</w:t>
      </w:r>
      <w:r w:rsidR="00D329FB">
        <w:rPr>
          <w:lang w:val="en-GB"/>
        </w:rPr>
        <w:t>27</w:t>
      </w:r>
      <w:r w:rsidR="00D329FB" w:rsidRPr="00D329FB">
        <w:rPr>
          <w:lang w:val="en-GB"/>
        </w:rPr>
        <w:t>日</w:t>
      </w:r>
      <w:r>
        <w:rPr>
          <w:lang w:val="en-GB"/>
        </w:rPr>
        <w:t>，</w:t>
      </w:r>
      <w:r w:rsidR="00D329FB" w:rsidRPr="00D329FB">
        <w:rPr>
          <w:lang w:val="en-GB"/>
        </w:rPr>
        <w:t>应缔约国</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5</w:t>
      </w:r>
      <w:r w:rsidR="00D329FB" w:rsidRPr="00D329FB">
        <w:rPr>
          <w:lang w:val="en-GB"/>
        </w:rPr>
        <w:t>月</w:t>
      </w:r>
      <w:r w:rsidR="00D329FB">
        <w:rPr>
          <w:lang w:val="en-GB"/>
        </w:rPr>
        <w:t>13</w:t>
      </w:r>
      <w:r w:rsidR="00D329FB" w:rsidRPr="00D329FB">
        <w:rPr>
          <w:lang w:val="en-GB"/>
        </w:rPr>
        <w:t>日的请求</w:t>
      </w:r>
      <w:r>
        <w:rPr>
          <w:lang w:val="en-GB"/>
        </w:rPr>
        <w:t>，</w:t>
      </w:r>
      <w:r w:rsidR="00D329FB" w:rsidRPr="00D329FB">
        <w:rPr>
          <w:lang w:val="en-GB"/>
        </w:rPr>
        <w:t>委员会决定将来文可否受理的问题与案情分开审理。</w:t>
      </w:r>
    </w:p>
    <w:p w:rsidR="00003F57" w:rsidRDefault="00D329FB" w:rsidP="005B030E">
      <w:pPr>
        <w:pStyle w:val="H23GC"/>
        <w:rPr>
          <w:lang w:val="en-GB"/>
        </w:rPr>
      </w:pPr>
      <w:r w:rsidRPr="00D329FB">
        <w:rPr>
          <w:lang w:val="en-GB"/>
        </w:rPr>
        <w:tab/>
      </w:r>
      <w:r w:rsidRPr="00D329FB">
        <w:rPr>
          <w:lang w:val="en-GB"/>
        </w:rPr>
        <w:tab/>
      </w:r>
      <w:r w:rsidRPr="00D329FB">
        <w:rPr>
          <w:lang w:val="en-GB"/>
        </w:rPr>
        <w:t>申诉人陈述的事实</w:t>
      </w:r>
    </w:p>
    <w:p w:rsidR="00003F57" w:rsidRDefault="00085EC3" w:rsidP="005B030E">
      <w:pPr>
        <w:pStyle w:val="SingleTxtGC"/>
        <w:rPr>
          <w:lang w:val="en-GB"/>
        </w:rPr>
      </w:pPr>
      <w:r>
        <w:rPr>
          <w:lang w:val="en-GB"/>
        </w:rPr>
        <w:t>2.</w:t>
      </w:r>
      <w:r w:rsidR="00D329FB">
        <w:rPr>
          <w:lang w:val="en-GB"/>
        </w:rPr>
        <w:t>1</w:t>
      </w:r>
      <w:r w:rsidR="005B030E">
        <w:rPr>
          <w:lang w:val="en-GB"/>
        </w:rPr>
        <w:t xml:space="preserve">  </w:t>
      </w:r>
      <w:r w:rsidR="00D329FB" w:rsidRPr="00D329FB">
        <w:rPr>
          <w:lang w:val="en-GB"/>
        </w:rPr>
        <w:t>申诉人</w:t>
      </w:r>
      <w:r w:rsidR="00D329FB">
        <w:rPr>
          <w:lang w:val="en-GB"/>
        </w:rPr>
        <w:t>X</w:t>
      </w:r>
      <w:r w:rsidR="00D329FB" w:rsidRPr="00D329FB">
        <w:rPr>
          <w:lang w:val="en-GB"/>
        </w:rPr>
        <w:t>先生</w:t>
      </w:r>
      <w:r>
        <w:rPr>
          <w:lang w:val="en-GB"/>
        </w:rPr>
        <w:t>，</w:t>
      </w:r>
      <w:r w:rsidR="00D329FB" w:rsidRPr="00D329FB">
        <w:rPr>
          <w:lang w:val="en-GB"/>
        </w:rPr>
        <w:t>刚果国民</w:t>
      </w:r>
      <w:r>
        <w:rPr>
          <w:lang w:val="en-GB"/>
        </w:rPr>
        <w:t>，</w:t>
      </w:r>
      <w:r w:rsidR="00D329FB">
        <w:rPr>
          <w:lang w:val="en-GB"/>
        </w:rPr>
        <w:t>1982</w:t>
      </w:r>
      <w:r w:rsidR="00D329FB" w:rsidRPr="00D329FB">
        <w:rPr>
          <w:lang w:val="en-GB"/>
        </w:rPr>
        <w:t>年出生。他代表自己、妻子</w:t>
      </w:r>
      <w:r>
        <w:rPr>
          <w:lang w:val="en-GB"/>
        </w:rPr>
        <w:t>(</w:t>
      </w:r>
      <w:r w:rsidR="00D329FB">
        <w:rPr>
          <w:lang w:val="en-GB"/>
        </w:rPr>
        <w:t>1987</w:t>
      </w:r>
      <w:r w:rsidR="00D329FB" w:rsidRPr="00D329FB">
        <w:rPr>
          <w:lang w:val="en-GB"/>
        </w:rPr>
        <w:t>年出生</w:t>
      </w:r>
      <w:r>
        <w:rPr>
          <w:lang w:val="en-GB"/>
        </w:rPr>
        <w:t>)</w:t>
      </w:r>
      <w:r>
        <w:rPr>
          <w:lang w:val="en-GB"/>
        </w:rPr>
        <w:t>，</w:t>
      </w:r>
      <w:r w:rsidR="00D329FB" w:rsidRPr="00D329FB">
        <w:rPr>
          <w:lang w:val="en-GB"/>
        </w:rPr>
        <w:t>女儿</w:t>
      </w:r>
      <w:r>
        <w:rPr>
          <w:lang w:val="en-GB"/>
        </w:rPr>
        <w:t>(</w:t>
      </w:r>
      <w:r w:rsidR="00D329FB">
        <w:rPr>
          <w:lang w:val="en-GB"/>
        </w:rPr>
        <w:t>2</w:t>
      </w:r>
      <w:r w:rsidR="00D329FB" w:rsidRPr="00D329FB">
        <w:rPr>
          <w:lang w:val="en-GB"/>
        </w:rPr>
        <w:t>00</w:t>
      </w:r>
      <w:r w:rsidR="00D329FB">
        <w:rPr>
          <w:lang w:val="en-GB"/>
        </w:rPr>
        <w:t>9</w:t>
      </w:r>
      <w:r w:rsidR="00D329FB" w:rsidRPr="00D329FB">
        <w:rPr>
          <w:lang w:val="en-GB"/>
        </w:rPr>
        <w:t>年出生</w:t>
      </w:r>
      <w:r>
        <w:rPr>
          <w:lang w:val="en-GB"/>
        </w:rPr>
        <w:t>)</w:t>
      </w:r>
      <w:r w:rsidR="00D329FB" w:rsidRPr="00D329FB">
        <w:rPr>
          <w:lang w:val="en-GB"/>
        </w:rPr>
        <w:t>和儿子</w:t>
      </w:r>
      <w:r>
        <w:rPr>
          <w:lang w:val="en-GB"/>
        </w:rPr>
        <w:t>(</w:t>
      </w:r>
      <w:r w:rsidR="00D329FB">
        <w:rPr>
          <w:lang w:val="en-GB"/>
        </w:rPr>
        <w:t>2</w:t>
      </w:r>
      <w:r w:rsidR="00D329FB" w:rsidRPr="00D329FB">
        <w:rPr>
          <w:lang w:val="en-GB"/>
        </w:rPr>
        <w:t>0</w:t>
      </w:r>
      <w:r w:rsidR="00D329FB">
        <w:rPr>
          <w:lang w:val="en-GB"/>
        </w:rPr>
        <w:t>12</w:t>
      </w:r>
      <w:r w:rsidR="00D329FB" w:rsidRPr="00D329FB">
        <w:rPr>
          <w:lang w:val="en-GB"/>
        </w:rPr>
        <w:t>年出生</w:t>
      </w:r>
      <w:r>
        <w:rPr>
          <w:lang w:val="en-GB"/>
        </w:rPr>
        <w:t>)</w:t>
      </w:r>
      <w:r w:rsidR="00D329FB" w:rsidRPr="00D329FB">
        <w:rPr>
          <w:lang w:val="en-GB"/>
        </w:rPr>
        <w:t>提交申诉。</w:t>
      </w:r>
    </w:p>
    <w:p w:rsidR="00003F57" w:rsidRDefault="00085EC3" w:rsidP="00D329FB">
      <w:pPr>
        <w:pStyle w:val="SingleTxtGC"/>
        <w:rPr>
          <w:lang w:val="en-GB"/>
        </w:rPr>
      </w:pPr>
      <w:r>
        <w:rPr>
          <w:lang w:val="en-GB"/>
        </w:rPr>
        <w:t>2.</w:t>
      </w:r>
      <w:r w:rsidR="00D329FB">
        <w:rPr>
          <w:lang w:val="en-GB"/>
        </w:rPr>
        <w:t>2</w:t>
      </w:r>
      <w:r w:rsidR="005B030E">
        <w:rPr>
          <w:lang w:val="en-GB"/>
        </w:rPr>
        <w:t xml:space="preserve">  </w:t>
      </w:r>
      <w:r w:rsidR="00D329FB" w:rsidRPr="00D329FB">
        <w:rPr>
          <w:lang w:val="en-GB"/>
        </w:rPr>
        <w:t>申诉人称</w:t>
      </w:r>
      <w:r>
        <w:rPr>
          <w:lang w:val="en-GB"/>
        </w:rPr>
        <w:t>，</w:t>
      </w:r>
      <w:r w:rsidR="00D329FB" w:rsidRPr="00D329FB">
        <w:rPr>
          <w:lang w:val="en-GB"/>
        </w:rPr>
        <w:t>自己自</w:t>
      </w:r>
      <w:r w:rsidR="00D329FB">
        <w:rPr>
          <w:lang w:val="en-GB"/>
        </w:rPr>
        <w:t>2</w:t>
      </w:r>
      <w:r w:rsidR="00D329FB" w:rsidRPr="00D329FB">
        <w:rPr>
          <w:lang w:val="en-GB"/>
        </w:rPr>
        <w:t>00</w:t>
      </w:r>
      <w:r w:rsidR="00D329FB">
        <w:rPr>
          <w:lang w:val="en-GB"/>
        </w:rPr>
        <w:t>8</w:t>
      </w:r>
      <w:r w:rsidR="00D329FB" w:rsidRPr="00D329FB">
        <w:rPr>
          <w:lang w:val="en-GB"/>
        </w:rPr>
        <w:t>年起身为泛非洲民主和社会进步联盟反对党积极成员</w:t>
      </w:r>
      <w:r>
        <w:rPr>
          <w:lang w:val="en-GB"/>
        </w:rPr>
        <w:t>，</w:t>
      </w:r>
      <w:r w:rsidR="00D329FB" w:rsidRPr="00D329FB">
        <w:rPr>
          <w:lang w:val="en-GB"/>
        </w:rPr>
        <w:t>负责在刚果奎卢地区</w:t>
      </w:r>
      <w:r>
        <w:rPr>
          <w:lang w:val="en-GB"/>
        </w:rPr>
        <w:t>(</w:t>
      </w:r>
      <w:r w:rsidR="00D329FB" w:rsidRPr="00D329FB">
        <w:rPr>
          <w:lang w:val="en-GB"/>
        </w:rPr>
        <w:t>黑角</w:t>
      </w:r>
      <w:r>
        <w:rPr>
          <w:lang w:val="en-GB"/>
        </w:rPr>
        <w:t>)</w:t>
      </w:r>
      <w:r w:rsidR="00D329FB" w:rsidRPr="00D329FB">
        <w:rPr>
          <w:lang w:val="en-GB"/>
        </w:rPr>
        <w:t>协调青年倡导活动。</w:t>
      </w:r>
      <w:r w:rsidR="00D329FB">
        <w:rPr>
          <w:lang w:val="en-GB"/>
        </w:rPr>
        <w:t>2</w:t>
      </w:r>
      <w:r w:rsidR="00D329FB" w:rsidRPr="00D329FB">
        <w:rPr>
          <w:lang w:val="en-GB"/>
        </w:rPr>
        <w:t>0</w:t>
      </w:r>
      <w:r w:rsidR="00D329FB">
        <w:rPr>
          <w:lang w:val="en-GB"/>
        </w:rPr>
        <w:t>15</w:t>
      </w:r>
      <w:r w:rsidR="00D329FB" w:rsidRPr="00D329FB">
        <w:rPr>
          <w:lang w:val="en-GB"/>
        </w:rPr>
        <w:t>年</w:t>
      </w:r>
      <w:r w:rsidR="00D329FB">
        <w:rPr>
          <w:lang w:val="en-GB"/>
        </w:rPr>
        <w:t>1</w:t>
      </w:r>
      <w:r w:rsidR="00D329FB" w:rsidRPr="00D329FB">
        <w:rPr>
          <w:lang w:val="en-GB"/>
        </w:rPr>
        <w:t>0</w:t>
      </w:r>
      <w:r w:rsidR="00D329FB" w:rsidRPr="00D329FB">
        <w:rPr>
          <w:lang w:val="en-GB"/>
        </w:rPr>
        <w:t>月</w:t>
      </w:r>
      <w:r w:rsidR="00D329FB">
        <w:rPr>
          <w:lang w:val="en-GB"/>
        </w:rPr>
        <w:t>17</w:t>
      </w:r>
      <w:r w:rsidR="00D329FB" w:rsidRPr="00D329FB">
        <w:rPr>
          <w:lang w:val="en-GB"/>
        </w:rPr>
        <w:t>日</w:t>
      </w:r>
      <w:r>
        <w:rPr>
          <w:lang w:val="en-GB"/>
        </w:rPr>
        <w:t>，</w:t>
      </w:r>
      <w:r w:rsidR="00D329FB" w:rsidRPr="00D329FB">
        <w:rPr>
          <w:lang w:val="en-GB"/>
        </w:rPr>
        <w:t>他在黑角积极调动青年人参加反对党派联盟</w:t>
      </w:r>
      <w:r w:rsidR="00D329FB">
        <w:rPr>
          <w:rFonts w:hint="eastAsia"/>
          <w:lang w:val="en-GB"/>
        </w:rPr>
        <w:t>“</w:t>
      </w:r>
      <w:r w:rsidR="00D329FB" w:rsidRPr="00D329FB">
        <w:rPr>
          <w:lang w:val="en-GB"/>
        </w:rPr>
        <w:t>遵守宪法秩序与民主共和阵线</w:t>
      </w:r>
      <w:r w:rsidR="00D329FB">
        <w:rPr>
          <w:rFonts w:hint="eastAsia"/>
          <w:lang w:val="en-GB"/>
        </w:rPr>
        <w:t>”</w:t>
      </w:r>
      <w:r w:rsidR="00D329FB" w:rsidRPr="00D329FB">
        <w:rPr>
          <w:lang w:val="en-GB"/>
        </w:rPr>
        <w:t>组织的一次抗议</w:t>
      </w:r>
      <w:r>
        <w:rPr>
          <w:lang w:val="en-GB"/>
        </w:rPr>
        <w:t>，</w:t>
      </w:r>
      <w:r w:rsidR="00D329FB" w:rsidRPr="00D329FB">
        <w:rPr>
          <w:lang w:val="en-GB"/>
        </w:rPr>
        <w:t>抗议刚果当局提议的宪法修改。警方暴力镇压并杀害多名抗议者。</w:t>
      </w:r>
      <w:r w:rsidR="00D329FB">
        <w:rPr>
          <w:lang w:val="en-GB"/>
        </w:rPr>
        <w:t>2</w:t>
      </w:r>
      <w:r w:rsidR="00D329FB" w:rsidRPr="00D329FB">
        <w:rPr>
          <w:lang w:val="en-GB"/>
        </w:rPr>
        <w:t>0</w:t>
      </w:r>
      <w:r w:rsidR="00D329FB">
        <w:rPr>
          <w:lang w:val="en-GB"/>
        </w:rPr>
        <w:t>15</w:t>
      </w:r>
      <w:r w:rsidR="00D329FB" w:rsidRPr="00D329FB">
        <w:rPr>
          <w:lang w:val="en-GB"/>
        </w:rPr>
        <w:t>年</w:t>
      </w:r>
      <w:r w:rsidR="00D329FB">
        <w:rPr>
          <w:lang w:val="en-GB"/>
        </w:rPr>
        <w:t>1</w:t>
      </w:r>
      <w:r w:rsidR="00D329FB" w:rsidRPr="00D329FB">
        <w:rPr>
          <w:lang w:val="en-GB"/>
        </w:rPr>
        <w:t>0</w:t>
      </w:r>
      <w:r w:rsidR="00D329FB" w:rsidRPr="00D329FB">
        <w:rPr>
          <w:lang w:val="en-GB"/>
        </w:rPr>
        <w:t>月</w:t>
      </w:r>
      <w:r w:rsidR="00D329FB">
        <w:rPr>
          <w:lang w:val="en-GB"/>
        </w:rPr>
        <w:t>28</w:t>
      </w:r>
      <w:r w:rsidR="00D329FB" w:rsidRPr="00D329FB">
        <w:rPr>
          <w:lang w:val="en-GB"/>
        </w:rPr>
        <w:t>日</w:t>
      </w:r>
      <w:r>
        <w:rPr>
          <w:lang w:val="en-GB"/>
        </w:rPr>
        <w:t>，</w:t>
      </w:r>
      <w:r w:rsidR="00D329FB" w:rsidRPr="00D329FB">
        <w:rPr>
          <w:lang w:val="en-GB"/>
        </w:rPr>
        <w:t>军官逮捕了申诉人和妻子。申诉人的妻子次日获释</w:t>
      </w:r>
      <w:r>
        <w:rPr>
          <w:lang w:val="en-GB"/>
        </w:rPr>
        <w:t>，</w:t>
      </w:r>
      <w:r w:rsidR="00D329FB" w:rsidRPr="00D329FB">
        <w:rPr>
          <w:lang w:val="en-GB"/>
        </w:rPr>
        <w:t>申诉人则拘留至</w:t>
      </w:r>
      <w:r w:rsidR="00D329FB">
        <w:rPr>
          <w:lang w:val="en-GB"/>
        </w:rPr>
        <w:t>2</w:t>
      </w:r>
      <w:r w:rsidR="00D329FB" w:rsidRPr="00D329FB">
        <w:rPr>
          <w:lang w:val="en-GB"/>
        </w:rPr>
        <w:t>0</w:t>
      </w:r>
      <w:r w:rsidR="00D329FB">
        <w:rPr>
          <w:lang w:val="en-GB"/>
        </w:rPr>
        <w:t>15</w:t>
      </w:r>
      <w:r w:rsidR="00D329FB" w:rsidRPr="00D329FB">
        <w:rPr>
          <w:lang w:val="en-GB"/>
        </w:rPr>
        <w:t>年</w:t>
      </w:r>
      <w:r w:rsidR="00D329FB">
        <w:rPr>
          <w:lang w:val="en-GB"/>
        </w:rPr>
        <w:t>1</w:t>
      </w:r>
      <w:r w:rsidR="00D329FB" w:rsidRPr="00D329FB">
        <w:rPr>
          <w:lang w:val="en-GB"/>
        </w:rPr>
        <w:t>0</w:t>
      </w:r>
      <w:r w:rsidR="00D329FB" w:rsidRPr="00D329FB">
        <w:rPr>
          <w:lang w:val="en-GB"/>
        </w:rPr>
        <w:t>月</w:t>
      </w:r>
      <w:r w:rsidR="00D329FB">
        <w:rPr>
          <w:lang w:val="en-GB"/>
        </w:rPr>
        <w:t>29</w:t>
      </w:r>
      <w:r w:rsidR="00D329FB" w:rsidRPr="00D329FB">
        <w:rPr>
          <w:lang w:val="en-GB"/>
        </w:rPr>
        <w:t>日</w:t>
      </w:r>
      <w:r>
        <w:rPr>
          <w:lang w:val="en-GB"/>
        </w:rPr>
        <w:t>，</w:t>
      </w:r>
      <w:r w:rsidR="00D329FB" w:rsidRPr="00D329FB">
        <w:rPr>
          <w:lang w:val="en-GB"/>
        </w:rPr>
        <w:t>在友人贿赂一位高官后才获释。申诉人称拘留期间经常遭受酷刑。申诉人获释后</w:t>
      </w:r>
      <w:r>
        <w:rPr>
          <w:lang w:val="en-GB"/>
        </w:rPr>
        <w:t>，</w:t>
      </w:r>
      <w:r w:rsidR="00D329FB" w:rsidRPr="00D329FB">
        <w:rPr>
          <w:lang w:val="en-GB"/>
        </w:rPr>
        <w:t>友人协助他和家人获得了法国签证。申诉人向法国领事机构提供了假名</w:t>
      </w:r>
      <w:r>
        <w:rPr>
          <w:lang w:val="en-GB"/>
        </w:rPr>
        <w:t>，</w:t>
      </w:r>
      <w:r w:rsidR="00D329FB" w:rsidRPr="00D329FB">
        <w:rPr>
          <w:lang w:val="en-GB"/>
        </w:rPr>
        <w:t>以免离境前被秘密警察拘留。</w:t>
      </w:r>
    </w:p>
    <w:p w:rsidR="00003F57" w:rsidRDefault="00085EC3" w:rsidP="00D329FB">
      <w:pPr>
        <w:pStyle w:val="SingleTxtGC"/>
        <w:rPr>
          <w:lang w:val="en-GB"/>
        </w:rPr>
      </w:pPr>
      <w:r>
        <w:rPr>
          <w:lang w:val="en-GB"/>
        </w:rPr>
        <w:t>2.</w:t>
      </w:r>
      <w:r w:rsidR="00D329FB">
        <w:rPr>
          <w:lang w:val="en-GB"/>
        </w:rPr>
        <w:t>3</w:t>
      </w:r>
      <w:r w:rsidR="005B030E">
        <w:rPr>
          <w:lang w:val="en-GB"/>
        </w:rPr>
        <w:t xml:space="preserve">  </w:t>
      </w:r>
      <w:r w:rsidR="00D329FB" w:rsidRPr="00D329FB">
        <w:rPr>
          <w:lang w:val="en-GB"/>
        </w:rPr>
        <w:t>申诉人及家人</w:t>
      </w:r>
      <w:r w:rsidR="00D329FB">
        <w:rPr>
          <w:lang w:val="en-GB"/>
        </w:rPr>
        <w:t>2</w:t>
      </w:r>
      <w:r w:rsidR="00D329FB" w:rsidRPr="00D329FB">
        <w:rPr>
          <w:lang w:val="en-GB"/>
        </w:rPr>
        <w:t>0</w:t>
      </w:r>
      <w:r w:rsidR="00D329FB">
        <w:rPr>
          <w:lang w:val="en-GB"/>
        </w:rPr>
        <w:t>15</w:t>
      </w:r>
      <w:r w:rsidR="00D329FB" w:rsidRPr="00D329FB">
        <w:rPr>
          <w:lang w:val="en-GB"/>
        </w:rPr>
        <w:t>年</w:t>
      </w:r>
      <w:r w:rsidR="00D329FB">
        <w:rPr>
          <w:lang w:val="en-GB"/>
        </w:rPr>
        <w:t>12</w:t>
      </w:r>
      <w:r w:rsidR="00D329FB" w:rsidRPr="00D329FB">
        <w:rPr>
          <w:lang w:val="en-GB"/>
        </w:rPr>
        <w:t>月</w:t>
      </w:r>
      <w:r w:rsidR="00D329FB">
        <w:rPr>
          <w:lang w:val="en-GB"/>
        </w:rPr>
        <w:t>17</w:t>
      </w:r>
      <w:r w:rsidR="00D329FB" w:rsidRPr="00D329FB">
        <w:rPr>
          <w:lang w:val="en-GB"/>
        </w:rPr>
        <w:t>日抵达挪威并申请庇护</w:t>
      </w:r>
      <w:r>
        <w:rPr>
          <w:lang w:val="en-GB"/>
        </w:rPr>
        <w:t>，</w:t>
      </w:r>
      <w:r w:rsidR="00D329FB" w:rsidRPr="00D329FB">
        <w:rPr>
          <w:lang w:val="en-GB"/>
        </w:rPr>
        <w:t>并</w:t>
      </w:r>
      <w:proofErr w:type="gramStart"/>
      <w:r w:rsidR="00D329FB" w:rsidRPr="00D329FB">
        <w:rPr>
          <w:lang w:val="en-GB"/>
        </w:rPr>
        <w:t>未途径</w:t>
      </w:r>
      <w:proofErr w:type="gramEnd"/>
      <w:r w:rsidR="00D329FB" w:rsidRPr="00D329FB">
        <w:rPr>
          <w:lang w:val="en-GB"/>
        </w:rPr>
        <w:t>法国。</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2</w:t>
      </w:r>
      <w:r w:rsidR="00D329FB" w:rsidRPr="00D329FB">
        <w:rPr>
          <w:lang w:val="en-GB"/>
        </w:rPr>
        <w:t>月</w:t>
      </w:r>
      <w:r w:rsidR="00D329FB">
        <w:rPr>
          <w:lang w:val="en-GB"/>
        </w:rPr>
        <w:t>2</w:t>
      </w:r>
      <w:r w:rsidR="00D329FB" w:rsidRPr="00D329FB">
        <w:rPr>
          <w:lang w:val="en-GB"/>
        </w:rPr>
        <w:t>0</w:t>
      </w:r>
      <w:r w:rsidR="00D329FB" w:rsidRPr="00D329FB">
        <w:rPr>
          <w:lang w:val="en-GB"/>
        </w:rPr>
        <w:t>日</w:t>
      </w:r>
      <w:r>
        <w:rPr>
          <w:lang w:val="en-GB"/>
        </w:rPr>
        <w:t>，</w:t>
      </w:r>
      <w:r w:rsidR="00D329FB" w:rsidRPr="00D329FB">
        <w:rPr>
          <w:lang w:val="en-GB"/>
        </w:rPr>
        <w:t>挪威移民局拒绝了庇护申请</w:t>
      </w:r>
      <w:r>
        <w:rPr>
          <w:lang w:val="en-GB"/>
        </w:rPr>
        <w:t>，</w:t>
      </w:r>
      <w:r w:rsidR="00D329FB" w:rsidRPr="00D329FB">
        <w:rPr>
          <w:lang w:val="en-GB"/>
        </w:rPr>
        <w:t>并决定一家人应</w:t>
      </w:r>
      <w:r w:rsidR="00D329FB" w:rsidRPr="00D329FB">
        <w:t>依</w:t>
      </w:r>
      <w:r w:rsidR="00D329FB" w:rsidRPr="00D329FB">
        <w:rPr>
          <w:lang w:val="en-GB"/>
        </w:rPr>
        <w:t>《都柏林规则》转移至法国</w:t>
      </w:r>
      <w:r>
        <w:rPr>
          <w:lang w:val="en-GB"/>
        </w:rPr>
        <w:t>，</w:t>
      </w:r>
      <w:r w:rsidR="00D329FB" w:rsidRPr="00D329FB">
        <w:rPr>
          <w:lang w:val="en-GB"/>
        </w:rPr>
        <w:t>因为法国给他们发放了入境签证。法国同意接收申诉人及家人。申诉人向移民上诉委员会申请推迟转移</w:t>
      </w:r>
      <w:r>
        <w:rPr>
          <w:lang w:val="en-GB"/>
        </w:rPr>
        <w:t>，</w:t>
      </w:r>
      <w:r w:rsidR="00D329FB" w:rsidRPr="00D329FB">
        <w:rPr>
          <w:lang w:val="en-GB"/>
        </w:rPr>
        <w:t>于</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1</w:t>
      </w:r>
      <w:r w:rsidR="00D329FB" w:rsidRPr="00D329FB">
        <w:rPr>
          <w:lang w:val="en-GB"/>
        </w:rPr>
        <w:t>日被拒绝。</w:t>
      </w:r>
    </w:p>
    <w:p w:rsidR="00003F57" w:rsidRDefault="00085EC3" w:rsidP="00D329FB">
      <w:pPr>
        <w:pStyle w:val="SingleTxtGC"/>
        <w:rPr>
          <w:lang w:val="en-GB"/>
        </w:rPr>
      </w:pPr>
      <w:r>
        <w:rPr>
          <w:lang w:val="en-GB"/>
        </w:rPr>
        <w:t>2.</w:t>
      </w:r>
      <w:r w:rsidR="00D329FB">
        <w:rPr>
          <w:lang w:val="en-GB"/>
        </w:rPr>
        <w:t>4</w:t>
      </w:r>
      <w:r w:rsidR="005B030E">
        <w:rPr>
          <w:lang w:val="en-GB"/>
        </w:rPr>
        <w:t xml:space="preserve">  </w:t>
      </w:r>
      <w:r w:rsidR="00D329FB" w:rsidRPr="00D329FB">
        <w:rPr>
          <w:lang w:val="en-GB"/>
        </w:rPr>
        <w:t>申诉人称</w:t>
      </w:r>
      <w:r>
        <w:rPr>
          <w:lang w:val="en-GB"/>
        </w:rPr>
        <w:t>，</w:t>
      </w:r>
      <w:r w:rsidR="00D329FB" w:rsidRPr="00D329FB">
        <w:rPr>
          <w:lang w:val="en-GB"/>
        </w:rPr>
        <w:t>如将他和家人转移至法国</w:t>
      </w:r>
      <w:r>
        <w:rPr>
          <w:lang w:val="en-GB"/>
        </w:rPr>
        <w:t>，</w:t>
      </w:r>
      <w:r w:rsidR="00D329FB" w:rsidRPr="00D329FB">
        <w:rPr>
          <w:lang w:val="en-GB"/>
        </w:rPr>
        <w:t>他们可能被移交刚果当局</w:t>
      </w:r>
      <w:r>
        <w:rPr>
          <w:lang w:val="en-GB"/>
        </w:rPr>
        <w:t>，</w:t>
      </w:r>
      <w:r w:rsidR="00D329FB" w:rsidRPr="00D329FB">
        <w:rPr>
          <w:lang w:val="en-GB"/>
        </w:rPr>
        <w:t>因为两国政治关联密切。他还称</w:t>
      </w:r>
      <w:r>
        <w:rPr>
          <w:lang w:val="en-GB"/>
        </w:rPr>
        <w:t>，</w:t>
      </w:r>
      <w:r w:rsidR="00D329FB" w:rsidRPr="00D329FB">
        <w:rPr>
          <w:lang w:val="en-GB"/>
        </w:rPr>
        <w:t>多名刚果反对派领袖已被监禁或据称在法国身亡</w:t>
      </w:r>
      <w:r>
        <w:rPr>
          <w:lang w:val="en-GB"/>
        </w:rPr>
        <w:t>，</w:t>
      </w:r>
      <w:r w:rsidR="00D329FB" w:rsidRPr="00D329FB">
        <w:rPr>
          <w:lang w:val="en-GB"/>
        </w:rPr>
        <w:t>因此他在法国不安全。他要求在挪威处理子女的庇护申请</w:t>
      </w:r>
      <w:r>
        <w:rPr>
          <w:lang w:val="en-GB"/>
        </w:rPr>
        <w:t>，</w:t>
      </w:r>
      <w:r w:rsidR="00D329FB" w:rsidRPr="00D329FB">
        <w:rPr>
          <w:lang w:val="en-GB"/>
        </w:rPr>
        <w:t>因为孩子未在法国当局按指纹。但挪威当局决定</w:t>
      </w:r>
      <w:r>
        <w:rPr>
          <w:lang w:val="en-GB"/>
        </w:rPr>
        <w:t>，</w:t>
      </w:r>
      <w:r w:rsidR="00D329FB" w:rsidRPr="00D329FB">
        <w:rPr>
          <w:lang w:val="en-GB"/>
        </w:rPr>
        <w:t>与父母一道转移至法国符合儿童的最大利益。</w:t>
      </w:r>
    </w:p>
    <w:p w:rsidR="00003F57" w:rsidRDefault="00CD7717" w:rsidP="005B030E">
      <w:pPr>
        <w:pStyle w:val="H23GC"/>
        <w:rPr>
          <w:lang w:val="en-GB"/>
        </w:rPr>
      </w:pPr>
      <w:r>
        <w:rPr>
          <w:lang w:val="en-GB"/>
        </w:rPr>
        <w:tab/>
      </w:r>
      <w:r>
        <w:rPr>
          <w:lang w:val="en-GB"/>
        </w:rPr>
        <w:tab/>
      </w:r>
      <w:r w:rsidR="00D329FB" w:rsidRPr="00D329FB">
        <w:rPr>
          <w:lang w:val="en-GB"/>
        </w:rPr>
        <w:t>申诉</w:t>
      </w:r>
    </w:p>
    <w:p w:rsidR="00003F57" w:rsidRDefault="00085EC3" w:rsidP="00D329FB">
      <w:pPr>
        <w:pStyle w:val="SingleTxtGC"/>
        <w:rPr>
          <w:lang w:val="en-GB"/>
        </w:rPr>
      </w:pPr>
      <w:r>
        <w:rPr>
          <w:lang w:val="en-GB"/>
        </w:rPr>
        <w:t>3.</w:t>
      </w:r>
      <w:r w:rsidR="005B030E">
        <w:rPr>
          <w:lang w:val="en-GB"/>
        </w:rPr>
        <w:t xml:space="preserve">  </w:t>
      </w:r>
      <w:r w:rsidR="00D329FB" w:rsidRPr="00D329FB">
        <w:rPr>
          <w:lang w:val="en-GB"/>
        </w:rPr>
        <w:t>申诉人称</w:t>
      </w:r>
      <w:r>
        <w:rPr>
          <w:lang w:val="en-GB"/>
        </w:rPr>
        <w:t>，</w:t>
      </w:r>
      <w:r w:rsidR="00D329FB" w:rsidRPr="00D329FB">
        <w:rPr>
          <w:lang w:val="en-GB"/>
        </w:rPr>
        <w:t>转移至法国将侵犯他和家人根据《公约》第</w:t>
      </w:r>
      <w:r w:rsidR="00D329FB">
        <w:rPr>
          <w:lang w:val="en-GB"/>
        </w:rPr>
        <w:t>2</w:t>
      </w:r>
      <w:r w:rsidR="00D329FB" w:rsidRPr="00D329FB">
        <w:rPr>
          <w:lang w:val="en-GB"/>
        </w:rPr>
        <w:t>和第</w:t>
      </w:r>
      <w:r w:rsidR="00D329FB">
        <w:rPr>
          <w:lang w:val="en-GB"/>
        </w:rPr>
        <w:t>22</w:t>
      </w:r>
      <w:r w:rsidR="00D329FB" w:rsidRPr="00D329FB">
        <w:rPr>
          <w:lang w:val="en-GB"/>
        </w:rPr>
        <w:t>条享有的权利</w:t>
      </w:r>
      <w:r>
        <w:rPr>
          <w:lang w:val="en-GB"/>
        </w:rPr>
        <w:t>，</w:t>
      </w:r>
      <w:r w:rsidR="00D329FB" w:rsidRPr="00D329FB">
        <w:rPr>
          <w:lang w:val="en-GB"/>
        </w:rPr>
        <w:t>因为他们可能继而被遣返刚果或在法国面临生命危险。</w:t>
      </w:r>
    </w:p>
    <w:p w:rsidR="00003F57" w:rsidRDefault="00CD7717" w:rsidP="00CD7717">
      <w:pPr>
        <w:pStyle w:val="H23GC"/>
        <w:rPr>
          <w:lang w:val="en-GB"/>
        </w:rPr>
      </w:pPr>
      <w:r>
        <w:rPr>
          <w:lang w:val="en-GB"/>
        </w:rPr>
        <w:tab/>
      </w:r>
      <w:r>
        <w:rPr>
          <w:lang w:val="en-GB"/>
        </w:rPr>
        <w:tab/>
      </w:r>
      <w:r w:rsidR="00D329FB" w:rsidRPr="00D329FB">
        <w:rPr>
          <w:lang w:val="en-GB"/>
        </w:rPr>
        <w:t>缔约国关于可否受理的意见</w:t>
      </w:r>
    </w:p>
    <w:p w:rsidR="00003F57" w:rsidRDefault="00085EC3" w:rsidP="00D329FB">
      <w:pPr>
        <w:pStyle w:val="SingleTxtGC"/>
        <w:rPr>
          <w:lang w:val="en-GB"/>
        </w:rPr>
      </w:pPr>
      <w:r>
        <w:rPr>
          <w:lang w:val="en-GB"/>
        </w:rPr>
        <w:t>4.</w:t>
      </w:r>
      <w:r w:rsidR="00D329FB">
        <w:rPr>
          <w:lang w:val="en-GB"/>
        </w:rPr>
        <w:t>1</w:t>
      </w:r>
      <w:r w:rsidR="005B030E">
        <w:rPr>
          <w:lang w:val="en-GB"/>
        </w:rPr>
        <w:t xml:space="preserve">  </w:t>
      </w:r>
      <w:r w:rsidR="00D329FB" w:rsidRPr="00D329FB">
        <w:rPr>
          <w:lang w:val="en-GB"/>
        </w:rPr>
        <w:t>缔约国</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5</w:t>
      </w:r>
      <w:r w:rsidR="00D329FB" w:rsidRPr="00D329FB">
        <w:rPr>
          <w:lang w:val="en-GB"/>
        </w:rPr>
        <w:t>月</w:t>
      </w:r>
      <w:r w:rsidR="00D329FB">
        <w:rPr>
          <w:lang w:val="en-GB"/>
        </w:rPr>
        <w:t>13</w:t>
      </w:r>
      <w:r w:rsidR="00D329FB" w:rsidRPr="00D329FB">
        <w:rPr>
          <w:lang w:val="en-GB"/>
        </w:rPr>
        <w:t>日提交了意见。缔约国称</w:t>
      </w:r>
      <w:r>
        <w:rPr>
          <w:lang w:val="en-GB"/>
        </w:rPr>
        <w:t>，</w:t>
      </w:r>
      <w:r w:rsidR="00D329FB" w:rsidRPr="00D329FB">
        <w:rPr>
          <w:lang w:val="en-GB"/>
        </w:rPr>
        <w:t>根据《公约》第</w:t>
      </w:r>
      <w:r w:rsidR="00D329FB">
        <w:rPr>
          <w:lang w:val="en-GB"/>
        </w:rPr>
        <w:t>22</w:t>
      </w:r>
      <w:r w:rsidR="00D329FB" w:rsidRPr="00D329FB">
        <w:rPr>
          <w:lang w:val="en-GB"/>
        </w:rPr>
        <w:t>条</w:t>
      </w:r>
      <w:r>
        <w:rPr>
          <w:lang w:val="en-GB"/>
        </w:rPr>
        <w:t>，</w:t>
      </w:r>
      <w:r w:rsidR="00D329FB" w:rsidRPr="00D329FB">
        <w:rPr>
          <w:lang w:val="en-GB"/>
        </w:rPr>
        <w:t>应认定来文不可受理</w:t>
      </w:r>
      <w:r>
        <w:rPr>
          <w:lang w:val="en-GB"/>
        </w:rPr>
        <w:t>，</w:t>
      </w:r>
      <w:r w:rsidR="00D329FB" w:rsidRPr="00D329FB">
        <w:rPr>
          <w:lang w:val="en-GB"/>
        </w:rPr>
        <w:t>原因是</w:t>
      </w:r>
      <w:r>
        <w:rPr>
          <w:lang w:val="en-GB"/>
        </w:rPr>
        <w:t>：</w:t>
      </w:r>
      <w:r w:rsidR="00D329FB" w:rsidRPr="00D329FB">
        <w:rPr>
          <w:lang w:val="en-GB"/>
        </w:rPr>
        <w:t>来文滥用提交</w:t>
      </w:r>
      <w:proofErr w:type="gramStart"/>
      <w:r w:rsidR="00D329FB" w:rsidRPr="00D329FB">
        <w:rPr>
          <w:lang w:val="en-GB"/>
        </w:rPr>
        <w:t>来文权</w:t>
      </w:r>
      <w:proofErr w:type="gramEnd"/>
      <w:r w:rsidR="00D329FB" w:rsidRPr="00D329FB">
        <w:rPr>
          <w:lang w:val="en-GB"/>
        </w:rPr>
        <w:t>和</w:t>
      </w:r>
      <w:r>
        <w:rPr>
          <w:lang w:val="en-GB"/>
        </w:rPr>
        <w:t>/</w:t>
      </w:r>
      <w:r w:rsidR="00D329FB" w:rsidRPr="00D329FB">
        <w:rPr>
          <w:lang w:val="en-GB"/>
        </w:rPr>
        <w:t>或明显无依据</w:t>
      </w:r>
      <w:r>
        <w:rPr>
          <w:lang w:val="en-GB"/>
        </w:rPr>
        <w:t>；</w:t>
      </w:r>
      <w:r w:rsidR="00D329FB" w:rsidRPr="00D329FB">
        <w:rPr>
          <w:lang w:val="en-GB"/>
        </w:rPr>
        <w:t>来文不符合《公约》规定</w:t>
      </w:r>
      <w:r>
        <w:rPr>
          <w:lang w:val="en-GB"/>
        </w:rPr>
        <w:t>；</w:t>
      </w:r>
      <w:r w:rsidR="00D329FB" w:rsidRPr="00D329FB">
        <w:rPr>
          <w:lang w:val="en-GB"/>
        </w:rPr>
        <w:t>申诉人未用尽可用的有效国内补救。</w:t>
      </w:r>
    </w:p>
    <w:p w:rsidR="00003F57" w:rsidRDefault="00085EC3" w:rsidP="00D329FB">
      <w:pPr>
        <w:pStyle w:val="SingleTxtGC"/>
        <w:rPr>
          <w:lang w:val="en-GB"/>
        </w:rPr>
      </w:pPr>
      <w:r>
        <w:rPr>
          <w:lang w:val="en-GB"/>
        </w:rPr>
        <w:t>4.</w:t>
      </w:r>
      <w:r w:rsidR="00D329FB">
        <w:rPr>
          <w:lang w:val="en-GB"/>
        </w:rPr>
        <w:t>2</w:t>
      </w:r>
      <w:r w:rsidR="005B030E">
        <w:rPr>
          <w:lang w:val="en-GB"/>
        </w:rPr>
        <w:t xml:space="preserve">  </w:t>
      </w:r>
      <w:r w:rsidR="00D329FB" w:rsidRPr="00D329FB">
        <w:rPr>
          <w:lang w:val="en-GB"/>
        </w:rPr>
        <w:t>缔约国提出</w:t>
      </w:r>
      <w:r>
        <w:rPr>
          <w:lang w:val="en-GB"/>
        </w:rPr>
        <w:t>，</w:t>
      </w:r>
      <w:r w:rsidR="00D329FB" w:rsidRPr="00D329FB">
        <w:rPr>
          <w:lang w:val="en-GB"/>
        </w:rPr>
        <w:t>根据《公约》第</w:t>
      </w:r>
      <w:r w:rsidR="00D329FB">
        <w:rPr>
          <w:lang w:val="en-GB"/>
        </w:rPr>
        <w:t>22</w:t>
      </w:r>
      <w:r w:rsidR="00D329FB" w:rsidRPr="00D329FB">
        <w:rPr>
          <w:lang w:val="en-GB"/>
        </w:rPr>
        <w:t>条第</w:t>
      </w:r>
      <w:r w:rsidR="00D329FB">
        <w:rPr>
          <w:lang w:val="en-GB"/>
        </w:rPr>
        <w:t>2</w:t>
      </w:r>
      <w:r w:rsidR="00D329FB" w:rsidRPr="00D329FB">
        <w:rPr>
          <w:lang w:val="en-GB"/>
        </w:rPr>
        <w:t>款</w:t>
      </w:r>
      <w:r>
        <w:rPr>
          <w:lang w:val="en-GB"/>
        </w:rPr>
        <w:t>，</w:t>
      </w:r>
      <w:r w:rsidR="00D329FB" w:rsidRPr="00D329FB">
        <w:rPr>
          <w:lang w:val="en-GB"/>
        </w:rPr>
        <w:t>认定来文明显无依据和滥用提交</w:t>
      </w:r>
      <w:proofErr w:type="gramStart"/>
      <w:r w:rsidR="00D329FB" w:rsidRPr="00D329FB">
        <w:rPr>
          <w:lang w:val="en-GB"/>
        </w:rPr>
        <w:t>来文权</w:t>
      </w:r>
      <w:proofErr w:type="gramEnd"/>
      <w:r w:rsidR="00D329FB" w:rsidRPr="00D329FB">
        <w:rPr>
          <w:lang w:val="en-GB"/>
        </w:rPr>
        <w:t>有三个理由。首先</w:t>
      </w:r>
      <w:r>
        <w:rPr>
          <w:lang w:val="en-GB"/>
        </w:rPr>
        <w:t>，</w:t>
      </w:r>
      <w:r w:rsidR="00D329FB" w:rsidRPr="00D329FB">
        <w:rPr>
          <w:lang w:val="en-GB"/>
        </w:rPr>
        <w:t>申诉人和家人已在</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21</w:t>
      </w:r>
      <w:r w:rsidR="00D329FB" w:rsidRPr="00D329FB">
        <w:rPr>
          <w:lang w:val="en-GB"/>
        </w:rPr>
        <w:t>日被转移至法国</w:t>
      </w:r>
      <w:r>
        <w:rPr>
          <w:lang w:val="en-GB"/>
        </w:rPr>
        <w:t>，</w:t>
      </w:r>
      <w:r w:rsidR="00D329FB" w:rsidRPr="00D329FB">
        <w:rPr>
          <w:lang w:val="en-GB"/>
        </w:rPr>
        <w:t>因此与委员会的决定不再相关。其次</w:t>
      </w:r>
      <w:r>
        <w:rPr>
          <w:lang w:val="en-GB"/>
        </w:rPr>
        <w:t>，</w:t>
      </w:r>
      <w:r w:rsidR="00D329FB" w:rsidRPr="00D329FB">
        <w:rPr>
          <w:lang w:val="en-GB"/>
        </w:rPr>
        <w:t>申诉人未提供充分证据</w:t>
      </w:r>
      <w:r>
        <w:rPr>
          <w:lang w:val="en-GB"/>
        </w:rPr>
        <w:t>，</w:t>
      </w:r>
      <w:r w:rsidR="00D329FB" w:rsidRPr="00D329FB">
        <w:rPr>
          <w:lang w:val="en-GB"/>
        </w:rPr>
        <w:t>证实他关于刚果反对派领袖在法国不安全的说法</w:t>
      </w:r>
      <w:r>
        <w:rPr>
          <w:lang w:val="en-GB"/>
        </w:rPr>
        <w:t>，</w:t>
      </w:r>
      <w:r w:rsidR="00D329FB" w:rsidRPr="00D329FB">
        <w:rPr>
          <w:lang w:val="en-GB"/>
        </w:rPr>
        <w:t>以及如果转移至法国</w:t>
      </w:r>
      <w:r>
        <w:rPr>
          <w:lang w:val="en-GB"/>
        </w:rPr>
        <w:t>，</w:t>
      </w:r>
      <w:r w:rsidR="00D329FB" w:rsidRPr="00D329FB">
        <w:rPr>
          <w:lang w:val="en-GB"/>
        </w:rPr>
        <w:t>他可能被移交刚果当局。第三</w:t>
      </w:r>
      <w:r>
        <w:rPr>
          <w:lang w:val="en-GB"/>
        </w:rPr>
        <w:t>，</w:t>
      </w:r>
      <w:r w:rsidR="00D329FB" w:rsidRPr="00D329FB">
        <w:rPr>
          <w:lang w:val="en-GB"/>
        </w:rPr>
        <w:t>缔约国认为</w:t>
      </w:r>
      <w:r>
        <w:rPr>
          <w:lang w:val="en-GB"/>
        </w:rPr>
        <w:t>，</w:t>
      </w:r>
      <w:r w:rsidR="00D329FB" w:rsidRPr="00D329FB">
        <w:rPr>
          <w:lang w:val="en-GB"/>
        </w:rPr>
        <w:t>没有理由认为法国将不履行本国国际义务</w:t>
      </w:r>
      <w:r>
        <w:rPr>
          <w:lang w:val="en-GB"/>
        </w:rPr>
        <w:t>，</w:t>
      </w:r>
      <w:r w:rsidR="00D329FB" w:rsidRPr="00D329FB">
        <w:rPr>
          <w:lang w:val="en-GB"/>
        </w:rPr>
        <w:t>包括《公约》规定的义务。</w:t>
      </w:r>
    </w:p>
    <w:p w:rsidR="00003F57" w:rsidRDefault="00085EC3" w:rsidP="00D329FB">
      <w:pPr>
        <w:pStyle w:val="SingleTxtGC"/>
        <w:rPr>
          <w:lang w:val="en-GB"/>
        </w:rPr>
      </w:pPr>
      <w:r>
        <w:rPr>
          <w:lang w:val="en-GB"/>
        </w:rPr>
        <w:t>4.</w:t>
      </w:r>
      <w:r w:rsidR="00D329FB">
        <w:rPr>
          <w:lang w:val="en-GB"/>
        </w:rPr>
        <w:t>3</w:t>
      </w:r>
      <w:r w:rsidR="005B030E">
        <w:rPr>
          <w:lang w:val="en-GB"/>
        </w:rPr>
        <w:t xml:space="preserve">  </w:t>
      </w:r>
      <w:r w:rsidR="00D329FB" w:rsidRPr="00D329FB">
        <w:rPr>
          <w:lang w:val="en-GB"/>
        </w:rPr>
        <w:t>缔约国还称</w:t>
      </w:r>
      <w:r>
        <w:rPr>
          <w:lang w:val="en-GB"/>
        </w:rPr>
        <w:t>，</w:t>
      </w:r>
      <w:r w:rsidR="00D329FB" w:rsidRPr="00D329FB">
        <w:rPr>
          <w:lang w:val="en-GB"/>
        </w:rPr>
        <w:t>来文不符合《公约》第</w:t>
      </w:r>
      <w:r w:rsidR="00D329FB">
        <w:rPr>
          <w:lang w:val="en-GB"/>
        </w:rPr>
        <w:t>22</w:t>
      </w:r>
      <w:r w:rsidR="00D329FB" w:rsidRPr="00D329FB">
        <w:rPr>
          <w:lang w:val="en-GB"/>
        </w:rPr>
        <w:t>条第</w:t>
      </w:r>
      <w:r w:rsidR="00D329FB">
        <w:rPr>
          <w:lang w:val="en-GB"/>
        </w:rPr>
        <w:t>2</w:t>
      </w:r>
      <w:r w:rsidR="00D329FB" w:rsidRPr="00D329FB">
        <w:rPr>
          <w:lang w:val="en-GB"/>
        </w:rPr>
        <w:t>款规定及委员会议事规则第</w:t>
      </w:r>
      <w:r w:rsidR="00D329FB">
        <w:rPr>
          <w:lang w:val="en-GB"/>
        </w:rPr>
        <w:t>113</w:t>
      </w:r>
      <w:r w:rsidR="00D329FB" w:rsidRPr="00D329FB">
        <w:rPr>
          <w:lang w:val="en-GB"/>
        </w:rPr>
        <w:t>条</w:t>
      </w:r>
      <w:r>
        <w:rPr>
          <w:lang w:val="en-GB"/>
        </w:rPr>
        <w:t>(</w:t>
      </w:r>
      <w:r w:rsidR="00D329FB">
        <w:rPr>
          <w:lang w:val="en-GB"/>
        </w:rPr>
        <w:t>c</w:t>
      </w:r>
      <w:r>
        <w:rPr>
          <w:lang w:val="en-GB"/>
        </w:rPr>
        <w:t>)</w:t>
      </w:r>
      <w:r w:rsidR="00D329FB" w:rsidRPr="00D329FB">
        <w:rPr>
          <w:lang w:val="en-GB"/>
        </w:rPr>
        <w:t>项。缔约国仅对其辖区内的不作为负有责任。申诉人对法国的指控应针对法国而非挪威。</w:t>
      </w:r>
    </w:p>
    <w:p w:rsidR="00A50CBB" w:rsidRDefault="00A50CBB">
      <w:pPr>
        <w:tabs>
          <w:tab w:val="clear" w:pos="431"/>
        </w:tabs>
        <w:overflowPunct/>
        <w:adjustRightInd/>
        <w:snapToGrid/>
        <w:spacing w:line="240" w:lineRule="auto"/>
        <w:jc w:val="left"/>
        <w:rPr>
          <w:lang w:val="en-GB"/>
        </w:rPr>
      </w:pPr>
      <w:r>
        <w:rPr>
          <w:lang w:val="en-GB"/>
        </w:rPr>
        <w:br w:type="page"/>
      </w:r>
    </w:p>
    <w:p w:rsidR="00003F57" w:rsidRDefault="00085EC3" w:rsidP="00D329FB">
      <w:pPr>
        <w:pStyle w:val="SingleTxtGC"/>
        <w:rPr>
          <w:lang w:val="en-GB"/>
        </w:rPr>
      </w:pPr>
      <w:r>
        <w:rPr>
          <w:lang w:val="en-GB"/>
        </w:rPr>
        <w:t>4.</w:t>
      </w:r>
      <w:r w:rsidR="00D329FB">
        <w:rPr>
          <w:lang w:val="en-GB"/>
        </w:rPr>
        <w:t>4</w:t>
      </w:r>
      <w:r w:rsidR="005B030E">
        <w:rPr>
          <w:lang w:val="en-GB"/>
        </w:rPr>
        <w:t xml:space="preserve">  </w:t>
      </w:r>
      <w:r w:rsidR="00D329FB" w:rsidRPr="00D329FB">
        <w:rPr>
          <w:lang w:val="en-GB"/>
        </w:rPr>
        <w:t>缔约国称</w:t>
      </w:r>
      <w:r>
        <w:rPr>
          <w:lang w:val="en-GB"/>
        </w:rPr>
        <w:t>，</w:t>
      </w:r>
      <w:r w:rsidR="00D329FB" w:rsidRPr="00D329FB">
        <w:rPr>
          <w:lang w:val="en-GB"/>
        </w:rPr>
        <w:t>申诉人不符合《公约》第</w:t>
      </w:r>
      <w:r w:rsidR="00D329FB">
        <w:rPr>
          <w:lang w:val="en-GB"/>
        </w:rPr>
        <w:t>22</w:t>
      </w:r>
      <w:r w:rsidR="00D329FB" w:rsidRPr="00D329FB">
        <w:rPr>
          <w:lang w:val="en-GB"/>
        </w:rPr>
        <w:t>条第</w:t>
      </w:r>
      <w:r w:rsidR="00D329FB">
        <w:rPr>
          <w:lang w:val="en-GB"/>
        </w:rPr>
        <w:t>5</w:t>
      </w:r>
      <w:r w:rsidR="00D329FB" w:rsidRPr="00D329FB">
        <w:rPr>
          <w:lang w:val="en-GB"/>
        </w:rPr>
        <w:t>款</w:t>
      </w:r>
      <w:r>
        <w:rPr>
          <w:lang w:val="en-GB"/>
        </w:rPr>
        <w:t>(</w:t>
      </w:r>
      <w:r w:rsidR="00D329FB">
        <w:rPr>
          <w:lang w:val="en-GB"/>
        </w:rPr>
        <w:t>b</w:t>
      </w:r>
      <w:r>
        <w:rPr>
          <w:lang w:val="en-GB"/>
        </w:rPr>
        <w:t>)</w:t>
      </w:r>
      <w:r w:rsidR="00D329FB" w:rsidRPr="00D329FB">
        <w:rPr>
          <w:lang w:val="en-GB"/>
        </w:rPr>
        <w:t>的要求</w:t>
      </w:r>
      <w:r>
        <w:rPr>
          <w:lang w:val="en-GB"/>
        </w:rPr>
        <w:t>，</w:t>
      </w:r>
      <w:r w:rsidR="00D329FB" w:rsidRPr="00D329FB">
        <w:rPr>
          <w:lang w:val="en-GB"/>
        </w:rPr>
        <w:t>因为他未就行政当局的决定向国内法院提出上诉。申诉人本可就移民上诉委员会</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1</w:t>
      </w:r>
      <w:r w:rsidR="00D329FB" w:rsidRPr="00D329FB">
        <w:rPr>
          <w:lang w:val="en-GB"/>
        </w:rPr>
        <w:t>日拒绝推迟转移至法国的决定提出上诉</w:t>
      </w:r>
      <w:r>
        <w:rPr>
          <w:lang w:val="en-GB"/>
        </w:rPr>
        <w:t>；</w:t>
      </w:r>
      <w:r w:rsidR="00D329FB" w:rsidRPr="00D329FB">
        <w:rPr>
          <w:lang w:val="en-GB"/>
        </w:rPr>
        <w:t>还可要求认定上述决定无效。他本可就挪威移民局</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2</w:t>
      </w:r>
      <w:r w:rsidR="00D329FB" w:rsidRPr="00D329FB">
        <w:rPr>
          <w:lang w:val="en-GB"/>
        </w:rPr>
        <w:t>月</w:t>
      </w:r>
      <w:r w:rsidR="00D329FB">
        <w:rPr>
          <w:lang w:val="en-GB"/>
        </w:rPr>
        <w:t>2</w:t>
      </w:r>
      <w:r w:rsidR="00D329FB" w:rsidRPr="00D329FB">
        <w:rPr>
          <w:lang w:val="en-GB"/>
        </w:rPr>
        <w:t>0</w:t>
      </w:r>
      <w:r w:rsidR="00D329FB" w:rsidRPr="00D329FB">
        <w:rPr>
          <w:lang w:val="en-GB"/>
        </w:rPr>
        <w:t>日将他和家人转移至法国的决定提出上诉</w:t>
      </w:r>
      <w:r>
        <w:rPr>
          <w:lang w:val="en-GB"/>
        </w:rPr>
        <w:t>(</w:t>
      </w:r>
      <w:r w:rsidR="00D329FB" w:rsidRPr="00D329FB">
        <w:rPr>
          <w:lang w:val="en-GB"/>
        </w:rPr>
        <w:t>缔约国提交意见之时尚待移民上诉委员会审理</w:t>
      </w:r>
      <w:r>
        <w:rPr>
          <w:lang w:val="en-GB"/>
        </w:rPr>
        <w:t>)</w:t>
      </w:r>
      <w:r>
        <w:rPr>
          <w:lang w:val="en-GB"/>
        </w:rPr>
        <w:t>，</w:t>
      </w:r>
      <w:r w:rsidR="00D329FB" w:rsidRPr="00D329FB">
        <w:rPr>
          <w:lang w:val="en-GB"/>
        </w:rPr>
        <w:t>如有需要</w:t>
      </w:r>
      <w:r>
        <w:rPr>
          <w:lang w:val="en-GB"/>
        </w:rPr>
        <w:t>，</w:t>
      </w:r>
      <w:r w:rsidR="00D329FB" w:rsidRPr="00D329FB">
        <w:rPr>
          <w:lang w:val="en-GB"/>
        </w:rPr>
        <w:t>可就上诉结果进一步上诉。此外他本可就自己享有的《公约》权利受到侵犯向法院申诉。</w:t>
      </w:r>
    </w:p>
    <w:p w:rsidR="00003F57" w:rsidRDefault="00085EC3" w:rsidP="00D329FB">
      <w:pPr>
        <w:pStyle w:val="SingleTxtGC"/>
        <w:rPr>
          <w:lang w:val="en-GB"/>
        </w:rPr>
      </w:pPr>
      <w:r>
        <w:rPr>
          <w:lang w:val="en-GB"/>
        </w:rPr>
        <w:t>4.</w:t>
      </w:r>
      <w:r w:rsidR="00D329FB">
        <w:rPr>
          <w:lang w:val="en-GB"/>
        </w:rPr>
        <w:t>5</w:t>
      </w:r>
      <w:r w:rsidR="005B030E">
        <w:rPr>
          <w:lang w:val="en-GB"/>
        </w:rPr>
        <w:t xml:space="preserve">  </w:t>
      </w:r>
      <w:r w:rsidR="00D329FB" w:rsidRPr="00D329FB">
        <w:rPr>
          <w:lang w:val="en-GB"/>
        </w:rPr>
        <w:t>因此</w:t>
      </w:r>
      <w:r>
        <w:rPr>
          <w:lang w:val="en-GB"/>
        </w:rPr>
        <w:t>，</w:t>
      </w:r>
      <w:r w:rsidR="00D329FB" w:rsidRPr="00D329FB">
        <w:rPr>
          <w:lang w:val="en-GB"/>
        </w:rPr>
        <w:t>缔约国请委员会认定来文不可受理</w:t>
      </w:r>
      <w:r w:rsidR="00D329FB" w:rsidRPr="00D329FB">
        <w:rPr>
          <w:lang w:val="en-GB"/>
        </w:rPr>
        <w:t>.</w:t>
      </w:r>
    </w:p>
    <w:p w:rsidR="00003F57" w:rsidRDefault="00BC77AD" w:rsidP="00BC77AD">
      <w:pPr>
        <w:pStyle w:val="H23GC"/>
        <w:rPr>
          <w:lang w:val="en-GB"/>
        </w:rPr>
      </w:pPr>
      <w:r>
        <w:rPr>
          <w:lang w:val="en-GB"/>
        </w:rPr>
        <w:tab/>
      </w:r>
      <w:r>
        <w:rPr>
          <w:lang w:val="en-GB"/>
        </w:rPr>
        <w:tab/>
      </w:r>
      <w:r w:rsidR="00D329FB" w:rsidRPr="00D329FB">
        <w:rPr>
          <w:lang w:val="en-GB"/>
        </w:rPr>
        <w:t>申诉人对缔约国意见的评论</w:t>
      </w:r>
    </w:p>
    <w:p w:rsidR="00003F57" w:rsidRDefault="00085EC3" w:rsidP="00D329FB">
      <w:pPr>
        <w:pStyle w:val="SingleTxtGC"/>
        <w:rPr>
          <w:lang w:val="en-GB"/>
        </w:rPr>
      </w:pPr>
      <w:r>
        <w:rPr>
          <w:lang w:val="en-GB"/>
        </w:rPr>
        <w:t>5.</w:t>
      </w:r>
      <w:r w:rsidR="005B030E">
        <w:rPr>
          <w:lang w:val="en-GB"/>
        </w:rPr>
        <w:t xml:space="preserve">  </w:t>
      </w:r>
      <w:r w:rsidR="00D329FB" w:rsidRPr="00D329FB">
        <w:rPr>
          <w:lang w:val="en-GB"/>
        </w:rPr>
        <w:t>申诉人</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7</w:t>
      </w:r>
      <w:r w:rsidR="00D329FB" w:rsidRPr="00D329FB">
        <w:rPr>
          <w:lang w:val="en-GB"/>
        </w:rPr>
        <w:t>月</w:t>
      </w:r>
      <w:r w:rsidR="00D329FB">
        <w:rPr>
          <w:lang w:val="en-GB"/>
        </w:rPr>
        <w:t>18</w:t>
      </w:r>
      <w:r w:rsidR="00D329FB" w:rsidRPr="00D329FB">
        <w:rPr>
          <w:lang w:val="en-GB"/>
        </w:rPr>
        <w:t>日告知委员会</w:t>
      </w:r>
      <w:r>
        <w:rPr>
          <w:lang w:val="en-GB"/>
        </w:rPr>
        <w:t>，</w:t>
      </w:r>
      <w:r w:rsidR="00D329FB" w:rsidRPr="00D329FB">
        <w:rPr>
          <w:lang w:val="en-GB"/>
        </w:rPr>
        <w:t>他和家人从挪威转移至法国</w:t>
      </w:r>
      <w:r>
        <w:rPr>
          <w:lang w:val="en-GB"/>
        </w:rPr>
        <w:t>，</w:t>
      </w:r>
      <w:r w:rsidR="00D329FB" w:rsidRPr="00D329FB">
        <w:rPr>
          <w:lang w:val="en-GB"/>
        </w:rPr>
        <w:t>抵达法国后提出了庇护申请</w:t>
      </w:r>
      <w:r>
        <w:rPr>
          <w:lang w:val="en-GB"/>
        </w:rPr>
        <w:t>，</w:t>
      </w:r>
      <w:r w:rsidR="00D329FB" w:rsidRPr="00D329FB">
        <w:rPr>
          <w:lang w:val="en-GB"/>
        </w:rPr>
        <w:t>仍不知晓申请结果。申诉人否认他提交的来文滥用程序且明显无依据。他表示</w:t>
      </w:r>
      <w:r>
        <w:rPr>
          <w:lang w:val="en-GB"/>
        </w:rPr>
        <w:t>，</w:t>
      </w:r>
      <w:r w:rsidR="00D329FB" w:rsidRPr="00D329FB">
        <w:rPr>
          <w:lang w:val="en-GB"/>
        </w:rPr>
        <w:t>原始申诉中的指控仍然有效。申诉人请委员会向缔约国强</w:t>
      </w:r>
      <w:r w:rsidR="00D329FB" w:rsidRPr="00282B4A">
        <w:rPr>
          <w:spacing w:val="4"/>
          <w:lang w:val="en-GB"/>
        </w:rPr>
        <w:t>调</w:t>
      </w:r>
      <w:r>
        <w:rPr>
          <w:spacing w:val="4"/>
          <w:lang w:val="en-GB"/>
        </w:rPr>
        <w:t>，</w:t>
      </w:r>
      <w:r w:rsidR="00D329FB" w:rsidRPr="00282B4A">
        <w:rPr>
          <w:spacing w:val="4"/>
          <w:lang w:val="en-GB"/>
        </w:rPr>
        <w:t>应接受他和家人的庇护申请</w:t>
      </w:r>
      <w:r>
        <w:rPr>
          <w:spacing w:val="4"/>
          <w:lang w:val="en-GB"/>
        </w:rPr>
        <w:t>，</w:t>
      </w:r>
      <w:r w:rsidR="00D329FB" w:rsidRPr="00282B4A">
        <w:rPr>
          <w:spacing w:val="4"/>
          <w:lang w:val="en-GB"/>
        </w:rPr>
        <w:t>因为他在法国面临死亡威胁并可能被遣返刚</w:t>
      </w:r>
      <w:r w:rsidR="00D329FB" w:rsidRPr="00D329FB">
        <w:rPr>
          <w:lang w:val="en-GB"/>
        </w:rPr>
        <w:t>果。</w:t>
      </w:r>
    </w:p>
    <w:p w:rsidR="00003F57" w:rsidRDefault="00951A17" w:rsidP="00951A17">
      <w:pPr>
        <w:pStyle w:val="H23GC"/>
        <w:rPr>
          <w:lang w:val="en-GB"/>
        </w:rPr>
      </w:pPr>
      <w:r>
        <w:rPr>
          <w:lang w:val="en-GB"/>
        </w:rPr>
        <w:tab/>
      </w:r>
      <w:r>
        <w:rPr>
          <w:lang w:val="en-GB"/>
        </w:rPr>
        <w:tab/>
      </w:r>
      <w:r w:rsidR="00D329FB" w:rsidRPr="00D329FB">
        <w:rPr>
          <w:lang w:val="en-GB"/>
        </w:rPr>
        <w:t>委员会需审理的问题和议事情况</w:t>
      </w:r>
    </w:p>
    <w:p w:rsidR="00003F57" w:rsidRDefault="00951A17" w:rsidP="00951A17">
      <w:pPr>
        <w:pStyle w:val="H4GC"/>
        <w:rPr>
          <w:lang w:val="en-GB"/>
        </w:rPr>
      </w:pPr>
      <w:r>
        <w:rPr>
          <w:lang w:val="en-GB"/>
        </w:rPr>
        <w:tab/>
      </w:r>
      <w:r>
        <w:rPr>
          <w:lang w:val="en-GB"/>
        </w:rPr>
        <w:tab/>
      </w:r>
      <w:r w:rsidR="00D329FB" w:rsidRPr="00D329FB">
        <w:rPr>
          <w:lang w:val="en-GB"/>
        </w:rPr>
        <w:t>审议可否受理</w:t>
      </w:r>
    </w:p>
    <w:p w:rsidR="00003F57" w:rsidRDefault="00085EC3" w:rsidP="00D329FB">
      <w:pPr>
        <w:pStyle w:val="SingleTxtGC"/>
        <w:rPr>
          <w:lang w:val="en-GB"/>
        </w:rPr>
      </w:pPr>
      <w:r>
        <w:rPr>
          <w:lang w:val="en-GB"/>
        </w:rPr>
        <w:t>6.</w:t>
      </w:r>
      <w:r w:rsidR="00D329FB">
        <w:rPr>
          <w:lang w:val="en-GB"/>
        </w:rPr>
        <w:t>1</w:t>
      </w:r>
      <w:r w:rsidR="005B030E">
        <w:rPr>
          <w:lang w:val="en-GB"/>
        </w:rPr>
        <w:t xml:space="preserve">  </w:t>
      </w:r>
      <w:r w:rsidR="00D329FB" w:rsidRPr="00D329FB">
        <w:rPr>
          <w:lang w:val="en-GB"/>
        </w:rPr>
        <w:t>在审议来文所载的任何请求之前</w:t>
      </w:r>
      <w:r>
        <w:rPr>
          <w:lang w:val="en-GB"/>
        </w:rPr>
        <w:t>，</w:t>
      </w:r>
      <w:r w:rsidR="00D329FB" w:rsidRPr="00D329FB">
        <w:rPr>
          <w:lang w:val="en-GB"/>
        </w:rPr>
        <w:t>委员会必须决定来文是否符合《公约》第</w:t>
      </w:r>
      <w:r w:rsidR="00D329FB">
        <w:rPr>
          <w:lang w:val="en-GB"/>
        </w:rPr>
        <w:t>22</w:t>
      </w:r>
      <w:r w:rsidR="00D329FB" w:rsidRPr="00D329FB">
        <w:rPr>
          <w:lang w:val="en-GB"/>
        </w:rPr>
        <w:t>条规定的受理条件。委员会按《公约》第</w:t>
      </w:r>
      <w:r w:rsidR="00D329FB">
        <w:rPr>
          <w:lang w:val="en-GB"/>
        </w:rPr>
        <w:t>22</w:t>
      </w:r>
      <w:r w:rsidR="00D329FB" w:rsidRPr="00D329FB">
        <w:rPr>
          <w:lang w:val="en-GB"/>
        </w:rPr>
        <w:t>条第</w:t>
      </w:r>
      <w:r w:rsidR="00D329FB">
        <w:rPr>
          <w:lang w:val="en-GB"/>
        </w:rPr>
        <w:t>5</w:t>
      </w:r>
      <w:r w:rsidR="00D329FB" w:rsidRPr="00D329FB">
        <w:rPr>
          <w:lang w:val="en-GB"/>
        </w:rPr>
        <w:t>款</w:t>
      </w:r>
      <w:r>
        <w:rPr>
          <w:lang w:val="en-GB"/>
        </w:rPr>
        <w:t>(</w:t>
      </w:r>
      <w:r w:rsidR="00D329FB">
        <w:rPr>
          <w:lang w:val="en-GB"/>
        </w:rPr>
        <w:t>a</w:t>
      </w:r>
      <w:r>
        <w:rPr>
          <w:lang w:val="en-GB"/>
        </w:rPr>
        <w:t>)</w:t>
      </w:r>
      <w:r w:rsidR="00D329FB" w:rsidRPr="00D329FB">
        <w:rPr>
          <w:lang w:val="en-GB"/>
        </w:rPr>
        <w:t>项的要求</w:t>
      </w:r>
      <w:r>
        <w:rPr>
          <w:lang w:val="en-GB"/>
        </w:rPr>
        <w:t>，</w:t>
      </w:r>
      <w:r w:rsidR="00D329FB" w:rsidRPr="00D329FB">
        <w:rPr>
          <w:lang w:val="en-GB"/>
        </w:rPr>
        <w:t>确认该同一事项过去未曾而且目前也没有根据另一项国际调查或解决程序审理。</w:t>
      </w:r>
    </w:p>
    <w:p w:rsidR="00003F57" w:rsidRDefault="00085EC3" w:rsidP="00D329FB">
      <w:pPr>
        <w:pStyle w:val="SingleTxtGC"/>
        <w:rPr>
          <w:lang w:val="en-GB"/>
        </w:rPr>
      </w:pPr>
      <w:r>
        <w:rPr>
          <w:lang w:val="en-GB"/>
        </w:rPr>
        <w:t>6.</w:t>
      </w:r>
      <w:r w:rsidR="00D329FB">
        <w:rPr>
          <w:lang w:val="en-GB"/>
        </w:rPr>
        <w:t>2</w:t>
      </w:r>
      <w:r w:rsidR="005B030E">
        <w:rPr>
          <w:lang w:val="en-GB"/>
        </w:rPr>
        <w:t xml:space="preserve">  </w:t>
      </w:r>
      <w:r w:rsidR="00D329FB" w:rsidRPr="00D329FB">
        <w:rPr>
          <w:lang w:val="en-GB"/>
        </w:rPr>
        <w:t>根据《任择议定书》第五条第</w:t>
      </w:r>
      <w:r w:rsidR="00D329FB">
        <w:rPr>
          <w:lang w:val="en-GB"/>
        </w:rPr>
        <w:t>2</w:t>
      </w:r>
      <w:r w:rsidR="00D329FB" w:rsidRPr="00D329FB">
        <w:rPr>
          <w:lang w:val="en-GB"/>
        </w:rPr>
        <w:t>款</w:t>
      </w:r>
      <w:r>
        <w:rPr>
          <w:lang w:val="en-GB"/>
        </w:rPr>
        <w:t>(</w:t>
      </w:r>
      <w:r w:rsidR="00D329FB" w:rsidRPr="00D329FB">
        <w:rPr>
          <w:lang w:val="en-GB"/>
        </w:rPr>
        <w:t>丑</w:t>
      </w:r>
      <w:r>
        <w:rPr>
          <w:lang w:val="en-GB"/>
        </w:rPr>
        <w:t>)</w:t>
      </w:r>
      <w:r w:rsidR="00D329FB" w:rsidRPr="00D329FB">
        <w:rPr>
          <w:lang w:val="en-GB"/>
        </w:rPr>
        <w:t>项</w:t>
      </w:r>
      <w:r>
        <w:rPr>
          <w:lang w:val="en-GB"/>
        </w:rPr>
        <w:t>，</w:t>
      </w:r>
      <w:r w:rsidR="00D329FB" w:rsidRPr="00D329FB">
        <w:rPr>
          <w:lang w:val="en-GB"/>
        </w:rPr>
        <w:t>除非委员会确定申诉人已用尽一切可用的国内补救办法</w:t>
      </w:r>
      <w:r>
        <w:rPr>
          <w:lang w:val="en-GB"/>
        </w:rPr>
        <w:t>，</w:t>
      </w:r>
      <w:r w:rsidR="00D329FB" w:rsidRPr="00D329FB">
        <w:rPr>
          <w:lang w:val="en-GB"/>
        </w:rPr>
        <w:t>否则不得审议任何来文。</w:t>
      </w:r>
    </w:p>
    <w:p w:rsidR="00003F57" w:rsidRDefault="00085EC3" w:rsidP="00D329FB">
      <w:pPr>
        <w:pStyle w:val="SingleTxtGC"/>
        <w:rPr>
          <w:lang w:val="en-GB"/>
        </w:rPr>
      </w:pPr>
      <w:r>
        <w:rPr>
          <w:lang w:val="en-GB"/>
        </w:rPr>
        <w:t>6.</w:t>
      </w:r>
      <w:r w:rsidR="00D329FB">
        <w:rPr>
          <w:lang w:val="en-GB"/>
        </w:rPr>
        <w:t>3</w:t>
      </w:r>
      <w:r w:rsidR="005B030E">
        <w:rPr>
          <w:lang w:val="en-GB"/>
        </w:rPr>
        <w:t xml:space="preserve">  </w:t>
      </w:r>
      <w:r w:rsidR="00D329FB" w:rsidRPr="00D329FB">
        <w:rPr>
          <w:lang w:val="en-GB"/>
        </w:rPr>
        <w:t>委员会考虑到</w:t>
      </w:r>
      <w:r>
        <w:rPr>
          <w:lang w:val="en-GB"/>
        </w:rPr>
        <w:t>，</w:t>
      </w:r>
      <w:r w:rsidR="00D329FB" w:rsidRPr="00D329FB">
        <w:rPr>
          <w:lang w:val="en-GB"/>
        </w:rPr>
        <w:t>缔约国认为</w:t>
      </w:r>
      <w:r>
        <w:rPr>
          <w:lang w:val="en-GB"/>
        </w:rPr>
        <w:t>，</w:t>
      </w:r>
      <w:r w:rsidR="00D329FB" w:rsidRPr="00D329FB">
        <w:rPr>
          <w:lang w:val="en-GB"/>
        </w:rPr>
        <w:t>本来文中</w:t>
      </w:r>
      <w:r>
        <w:rPr>
          <w:lang w:val="en-GB"/>
        </w:rPr>
        <w:t>，</w:t>
      </w:r>
      <w:r w:rsidR="00D329FB" w:rsidRPr="00D329FB">
        <w:rPr>
          <w:lang w:val="en-GB"/>
        </w:rPr>
        <w:t>申诉人未将委员会审理的问题诉诸国内法院。并指出</w:t>
      </w:r>
      <w:r>
        <w:rPr>
          <w:lang w:val="en-GB"/>
        </w:rPr>
        <w:t>，</w:t>
      </w:r>
      <w:r w:rsidR="00D329FB" w:rsidRPr="00D329FB">
        <w:rPr>
          <w:lang w:val="en-GB"/>
        </w:rPr>
        <w:t>缔约国认为</w:t>
      </w:r>
      <w:r>
        <w:rPr>
          <w:lang w:val="en-GB"/>
        </w:rPr>
        <w:t>，</w:t>
      </w:r>
      <w:r w:rsidR="00D329FB" w:rsidRPr="00D329FB">
        <w:rPr>
          <w:lang w:val="en-GB"/>
        </w:rPr>
        <w:t>具体而言</w:t>
      </w:r>
      <w:r>
        <w:rPr>
          <w:lang w:val="en-GB"/>
        </w:rPr>
        <w:t>，</w:t>
      </w:r>
      <w:r w:rsidR="00D329FB" w:rsidRPr="00D329FB">
        <w:rPr>
          <w:lang w:val="en-GB"/>
        </w:rPr>
        <w:t>申诉人本可就移民上诉委员会</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3</w:t>
      </w:r>
      <w:r w:rsidR="00D329FB" w:rsidRPr="00D329FB">
        <w:rPr>
          <w:lang w:val="en-GB"/>
        </w:rPr>
        <w:t>月</w:t>
      </w:r>
      <w:r w:rsidR="00D329FB">
        <w:rPr>
          <w:lang w:val="en-GB"/>
        </w:rPr>
        <w:t>1</w:t>
      </w:r>
      <w:r w:rsidR="00D329FB" w:rsidRPr="00D329FB">
        <w:rPr>
          <w:lang w:val="en-GB"/>
        </w:rPr>
        <w:t>日拒绝推迟转移至法国的决定提出上诉</w:t>
      </w:r>
      <w:r>
        <w:rPr>
          <w:lang w:val="en-GB"/>
        </w:rPr>
        <w:t>；</w:t>
      </w:r>
      <w:r w:rsidR="00D329FB" w:rsidRPr="00D329FB">
        <w:rPr>
          <w:lang w:val="en-GB"/>
        </w:rPr>
        <w:t>还可要求认定该决定无效</w:t>
      </w:r>
      <w:r>
        <w:rPr>
          <w:lang w:val="en-GB"/>
        </w:rPr>
        <w:t>；</w:t>
      </w:r>
      <w:r w:rsidR="00D329FB" w:rsidRPr="00D329FB">
        <w:rPr>
          <w:lang w:val="en-GB"/>
        </w:rPr>
        <w:t>他本可就挪威移民局</w:t>
      </w:r>
      <w:r w:rsidR="00D329FB">
        <w:rPr>
          <w:lang w:val="en-GB"/>
        </w:rPr>
        <w:t>2</w:t>
      </w:r>
      <w:r w:rsidR="00D329FB" w:rsidRPr="00D329FB">
        <w:rPr>
          <w:lang w:val="en-GB"/>
        </w:rPr>
        <w:t>0</w:t>
      </w:r>
      <w:r w:rsidR="00D329FB">
        <w:rPr>
          <w:lang w:val="en-GB"/>
        </w:rPr>
        <w:t>16</w:t>
      </w:r>
      <w:r w:rsidR="00D329FB" w:rsidRPr="00D329FB">
        <w:rPr>
          <w:lang w:val="en-GB"/>
        </w:rPr>
        <w:t>年</w:t>
      </w:r>
      <w:r w:rsidR="00D329FB">
        <w:rPr>
          <w:lang w:val="en-GB"/>
        </w:rPr>
        <w:t>2</w:t>
      </w:r>
      <w:r w:rsidR="00D329FB" w:rsidRPr="00D329FB">
        <w:rPr>
          <w:lang w:val="en-GB"/>
        </w:rPr>
        <w:t>月</w:t>
      </w:r>
      <w:r w:rsidR="00D329FB">
        <w:rPr>
          <w:lang w:val="en-GB"/>
        </w:rPr>
        <w:t>2</w:t>
      </w:r>
      <w:r w:rsidR="00D329FB" w:rsidRPr="00D329FB">
        <w:rPr>
          <w:lang w:val="en-GB"/>
        </w:rPr>
        <w:t>0</w:t>
      </w:r>
      <w:r w:rsidR="00D329FB" w:rsidRPr="00D329FB">
        <w:rPr>
          <w:lang w:val="en-GB"/>
        </w:rPr>
        <w:t>日将他与家人转移至法国的决定提出上诉</w:t>
      </w:r>
      <w:r>
        <w:rPr>
          <w:lang w:val="en-GB"/>
        </w:rPr>
        <w:t>，</w:t>
      </w:r>
      <w:r w:rsidR="00D329FB" w:rsidRPr="00D329FB">
        <w:rPr>
          <w:lang w:val="en-GB"/>
        </w:rPr>
        <w:t>并就该上诉结果进一步提出上诉。委员会指出</w:t>
      </w:r>
      <w:r>
        <w:rPr>
          <w:lang w:val="en-GB"/>
        </w:rPr>
        <w:t>，</w:t>
      </w:r>
      <w:r w:rsidR="00D329FB" w:rsidRPr="00D329FB">
        <w:rPr>
          <w:lang w:val="en-GB"/>
        </w:rPr>
        <w:t>申诉人未反驳这些意见</w:t>
      </w:r>
      <w:r>
        <w:rPr>
          <w:lang w:val="en-GB"/>
        </w:rPr>
        <w:t>，</w:t>
      </w:r>
      <w:r w:rsidR="00D329FB" w:rsidRPr="00D329FB">
        <w:rPr>
          <w:lang w:val="en-GB"/>
        </w:rPr>
        <w:t>也不否认自己未就行政决定向法院提出上诉的事实。提交人也未就此作任何评论或指出可说明国内补救无效的理由。这种情况下</w:t>
      </w:r>
      <w:r>
        <w:rPr>
          <w:lang w:val="en-GB"/>
        </w:rPr>
        <w:t>，</w:t>
      </w:r>
      <w:r w:rsidR="00D329FB" w:rsidRPr="00D329FB">
        <w:rPr>
          <w:lang w:val="en-GB"/>
        </w:rPr>
        <w:t>同时考虑到关于参照《公约》</w:t>
      </w:r>
      <w:r w:rsidR="00D329FB" w:rsidRPr="0006318A">
        <w:rPr>
          <w:spacing w:val="-2"/>
          <w:lang w:val="en-GB"/>
        </w:rPr>
        <w:t>第</w:t>
      </w:r>
      <w:r w:rsidR="00D329FB" w:rsidRPr="0006318A">
        <w:rPr>
          <w:spacing w:val="-2"/>
          <w:lang w:val="en-GB"/>
        </w:rPr>
        <w:t>22</w:t>
      </w:r>
      <w:r w:rsidR="00D329FB" w:rsidRPr="0006318A">
        <w:rPr>
          <w:spacing w:val="-2"/>
          <w:lang w:val="en-GB"/>
        </w:rPr>
        <w:t>条</w:t>
      </w:r>
      <w:r w:rsidRPr="0006318A">
        <w:rPr>
          <w:rFonts w:hint="eastAsia"/>
          <w:spacing w:val="-2"/>
          <w:lang w:val="en-GB"/>
        </w:rPr>
        <w:t>(</w:t>
      </w:r>
      <w:r w:rsidR="007A5747" w:rsidRPr="0006318A">
        <w:rPr>
          <w:rFonts w:hint="eastAsia"/>
          <w:spacing w:val="-2"/>
          <w:lang w:val="en-GB"/>
        </w:rPr>
        <w:t>第</w:t>
      </w:r>
      <w:r w:rsidR="007A5747" w:rsidRPr="0006318A">
        <w:rPr>
          <w:rFonts w:hint="eastAsia"/>
          <w:spacing w:val="-2"/>
          <w:lang w:val="en-GB"/>
        </w:rPr>
        <w:t>31</w:t>
      </w:r>
      <w:r w:rsidR="007A5747" w:rsidRPr="0006318A">
        <w:rPr>
          <w:rFonts w:hint="eastAsia"/>
          <w:spacing w:val="-2"/>
          <w:lang w:val="en-GB"/>
        </w:rPr>
        <w:t>段、第</w:t>
      </w:r>
      <w:r w:rsidR="007A5747" w:rsidRPr="0006318A">
        <w:rPr>
          <w:rFonts w:hint="eastAsia"/>
          <w:spacing w:val="-2"/>
          <w:lang w:val="en-GB"/>
        </w:rPr>
        <w:t>34-35</w:t>
      </w:r>
      <w:r w:rsidR="007A5747" w:rsidRPr="0006318A">
        <w:rPr>
          <w:rFonts w:hint="eastAsia"/>
          <w:spacing w:val="-2"/>
          <w:lang w:val="en-GB"/>
        </w:rPr>
        <w:t>段</w:t>
      </w:r>
      <w:r w:rsidRPr="0006318A">
        <w:rPr>
          <w:rFonts w:hint="eastAsia"/>
          <w:spacing w:val="-2"/>
          <w:lang w:val="en-GB"/>
        </w:rPr>
        <w:t>)</w:t>
      </w:r>
      <w:r w:rsidR="00D329FB" w:rsidRPr="0006318A">
        <w:rPr>
          <w:spacing w:val="-2"/>
          <w:lang w:val="en-GB"/>
        </w:rPr>
        <w:t>执行《公约》第</w:t>
      </w:r>
      <w:r w:rsidR="00D329FB" w:rsidRPr="0006318A">
        <w:rPr>
          <w:spacing w:val="-2"/>
          <w:lang w:val="en-GB"/>
        </w:rPr>
        <w:t>3</w:t>
      </w:r>
      <w:r w:rsidR="00D329FB" w:rsidRPr="0006318A">
        <w:rPr>
          <w:spacing w:val="-2"/>
          <w:lang w:val="en-GB"/>
        </w:rPr>
        <w:t>条的第</w:t>
      </w:r>
      <w:r w:rsidR="00D329FB" w:rsidRPr="0006318A">
        <w:rPr>
          <w:spacing w:val="-2"/>
          <w:lang w:val="en-GB"/>
        </w:rPr>
        <w:t>4</w:t>
      </w:r>
      <w:r w:rsidR="00D329FB" w:rsidRPr="0006318A">
        <w:rPr>
          <w:spacing w:val="-2"/>
          <w:lang w:val="en-GB"/>
        </w:rPr>
        <w:t>号一般性意见</w:t>
      </w:r>
      <w:r w:rsidRPr="0006318A">
        <w:rPr>
          <w:spacing w:val="-2"/>
          <w:lang w:val="en-GB"/>
        </w:rPr>
        <w:t>(</w:t>
      </w:r>
      <w:r w:rsidR="00D329FB" w:rsidRPr="0006318A">
        <w:rPr>
          <w:spacing w:val="-2"/>
          <w:lang w:val="en-GB"/>
        </w:rPr>
        <w:t>2017</w:t>
      </w:r>
      <w:r w:rsidR="00D329FB" w:rsidRPr="0006318A">
        <w:rPr>
          <w:spacing w:val="-2"/>
          <w:lang w:val="en-GB"/>
        </w:rPr>
        <w:t>年</w:t>
      </w:r>
      <w:r w:rsidRPr="0006318A">
        <w:rPr>
          <w:spacing w:val="-2"/>
          <w:lang w:val="en-GB"/>
        </w:rPr>
        <w:t>)</w:t>
      </w:r>
      <w:r w:rsidRPr="0006318A">
        <w:rPr>
          <w:spacing w:val="-2"/>
          <w:lang w:val="en-GB"/>
        </w:rPr>
        <w:t>，</w:t>
      </w:r>
      <w:r w:rsidR="00D329FB" w:rsidRPr="00D329FB">
        <w:rPr>
          <w:lang w:val="en-GB"/>
        </w:rPr>
        <w:t>委员会认为</w:t>
      </w:r>
      <w:r>
        <w:rPr>
          <w:lang w:val="en-GB"/>
        </w:rPr>
        <w:t>，</w:t>
      </w:r>
      <w:r w:rsidR="00D329FB" w:rsidRPr="00D329FB">
        <w:rPr>
          <w:lang w:val="en-GB"/>
        </w:rPr>
        <w:t>根据《公约》第</w:t>
      </w:r>
      <w:r w:rsidR="00D329FB">
        <w:rPr>
          <w:lang w:val="en-GB"/>
        </w:rPr>
        <w:t>22</w:t>
      </w:r>
      <w:r w:rsidR="00D329FB" w:rsidRPr="00D329FB">
        <w:rPr>
          <w:lang w:val="en-GB"/>
        </w:rPr>
        <w:t>条第</w:t>
      </w:r>
      <w:r w:rsidR="00D329FB">
        <w:rPr>
          <w:lang w:val="en-GB"/>
        </w:rPr>
        <w:t>5</w:t>
      </w:r>
      <w:r w:rsidR="00D329FB" w:rsidRPr="00D329FB">
        <w:rPr>
          <w:lang w:val="en-GB"/>
        </w:rPr>
        <w:t>款</w:t>
      </w:r>
      <w:r>
        <w:rPr>
          <w:lang w:val="en-GB"/>
        </w:rPr>
        <w:t>(</w:t>
      </w:r>
      <w:r w:rsidR="00D329FB">
        <w:rPr>
          <w:lang w:val="en-GB"/>
        </w:rPr>
        <w:t>b</w:t>
      </w:r>
      <w:r>
        <w:rPr>
          <w:lang w:val="en-GB"/>
        </w:rPr>
        <w:t>)</w:t>
      </w:r>
      <w:r w:rsidR="00D329FB" w:rsidRPr="00D329FB">
        <w:rPr>
          <w:lang w:val="en-GB"/>
        </w:rPr>
        <w:t>项</w:t>
      </w:r>
      <w:r>
        <w:rPr>
          <w:lang w:val="en-GB"/>
        </w:rPr>
        <w:t>，</w:t>
      </w:r>
      <w:r w:rsidR="00D329FB" w:rsidRPr="00D329FB">
        <w:rPr>
          <w:lang w:val="en-GB"/>
        </w:rPr>
        <w:t>本来文不可受理。</w:t>
      </w:r>
    </w:p>
    <w:p w:rsidR="00D329FB" w:rsidRPr="00D329FB" w:rsidRDefault="00085EC3" w:rsidP="00D329FB">
      <w:pPr>
        <w:pStyle w:val="SingleTxtGC"/>
        <w:rPr>
          <w:lang w:val="en-GB"/>
        </w:rPr>
      </w:pPr>
      <w:r>
        <w:rPr>
          <w:lang w:val="en-GB"/>
        </w:rPr>
        <w:t>7.</w:t>
      </w:r>
      <w:r w:rsidR="005B030E">
        <w:rPr>
          <w:lang w:val="en-GB"/>
        </w:rPr>
        <w:t xml:space="preserve">  </w:t>
      </w:r>
      <w:r w:rsidR="00D329FB" w:rsidRPr="00D329FB">
        <w:rPr>
          <w:lang w:val="en-GB"/>
        </w:rPr>
        <w:t>因此委员会决定</w:t>
      </w:r>
      <w:r>
        <w:rPr>
          <w:lang w:val="en-GB"/>
        </w:rPr>
        <w:t>：</w:t>
      </w:r>
    </w:p>
    <w:p w:rsidR="00D329FB" w:rsidRPr="00D329FB" w:rsidRDefault="00D329FB" w:rsidP="0072131A">
      <w:pPr>
        <w:pStyle w:val="SingleTxtGC"/>
        <w:numPr>
          <w:ilvl w:val="0"/>
          <w:numId w:val="7"/>
        </w:numPr>
        <w:rPr>
          <w:lang w:val="en-GB"/>
        </w:rPr>
      </w:pPr>
      <w:r w:rsidRPr="00D329FB">
        <w:rPr>
          <w:lang w:val="en-GB"/>
        </w:rPr>
        <w:t>根据《公约》第</w:t>
      </w:r>
      <w:r>
        <w:rPr>
          <w:lang w:val="en-GB"/>
        </w:rPr>
        <w:t>22</w:t>
      </w:r>
      <w:r w:rsidRPr="00D329FB">
        <w:rPr>
          <w:lang w:val="en-GB"/>
        </w:rPr>
        <w:t>条第</w:t>
      </w:r>
      <w:r>
        <w:rPr>
          <w:lang w:val="en-GB"/>
        </w:rPr>
        <w:t>5</w:t>
      </w:r>
      <w:r w:rsidRPr="00D329FB">
        <w:rPr>
          <w:lang w:val="en-GB"/>
        </w:rPr>
        <w:t>款</w:t>
      </w:r>
      <w:r w:rsidR="00085EC3">
        <w:rPr>
          <w:lang w:val="en-GB"/>
        </w:rPr>
        <w:t>(</w:t>
      </w:r>
      <w:r>
        <w:rPr>
          <w:lang w:val="en-GB"/>
        </w:rPr>
        <w:t>b</w:t>
      </w:r>
      <w:r w:rsidR="00085EC3">
        <w:rPr>
          <w:lang w:val="en-GB"/>
        </w:rPr>
        <w:t>)</w:t>
      </w:r>
      <w:r w:rsidRPr="00D329FB">
        <w:rPr>
          <w:lang w:val="en-GB"/>
        </w:rPr>
        <w:t>项</w:t>
      </w:r>
      <w:r w:rsidR="00085EC3">
        <w:rPr>
          <w:lang w:val="en-GB"/>
        </w:rPr>
        <w:t>，</w:t>
      </w:r>
      <w:r w:rsidRPr="00D329FB">
        <w:rPr>
          <w:lang w:val="en-GB"/>
        </w:rPr>
        <w:t>来文不可受理</w:t>
      </w:r>
      <w:r w:rsidR="00085EC3">
        <w:rPr>
          <w:lang w:val="en-GB"/>
        </w:rPr>
        <w:t>；</w:t>
      </w:r>
    </w:p>
    <w:p w:rsidR="004D5F6D" w:rsidRPr="000D6AFA" w:rsidRDefault="00D329FB" w:rsidP="0072131A">
      <w:pPr>
        <w:pStyle w:val="SingleTxtGC"/>
        <w:numPr>
          <w:ilvl w:val="0"/>
          <w:numId w:val="7"/>
        </w:numPr>
      </w:pPr>
      <w:r w:rsidRPr="00D329FB">
        <w:rPr>
          <w:lang w:val="en-GB"/>
        </w:rPr>
        <w:t>将本决定通知申诉人和缔约国。</w:t>
      </w:r>
    </w:p>
    <w:p w:rsidR="000D6AFA" w:rsidRPr="001761A1" w:rsidRDefault="000D6AFA" w:rsidP="001761A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D6AFA" w:rsidRPr="001761A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62" w:rsidRPr="000D319F" w:rsidRDefault="00236E62" w:rsidP="000D319F">
      <w:pPr>
        <w:pStyle w:val="af0"/>
        <w:spacing w:after="240"/>
        <w:ind w:left="907"/>
        <w:rPr>
          <w:rFonts w:asciiTheme="majorBidi" w:eastAsia="宋体" w:hAnsiTheme="majorBidi" w:cstheme="majorBidi"/>
          <w:sz w:val="21"/>
          <w:szCs w:val="21"/>
          <w:lang w:val="en-US"/>
        </w:rPr>
      </w:pPr>
    </w:p>
    <w:p w:rsidR="00236E62" w:rsidRPr="000D319F" w:rsidRDefault="00236E6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6E62" w:rsidRPr="000D319F" w:rsidRDefault="00236E62" w:rsidP="000D319F">
      <w:pPr>
        <w:pStyle w:val="af0"/>
      </w:pPr>
    </w:p>
  </w:endnote>
  <w:endnote w:type="continuationNotice" w:id="1">
    <w:p w:rsidR="00236E62" w:rsidRDefault="00236E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D5F6D" w:rsidRDefault="004D5F6D" w:rsidP="004D5F6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D2236">
      <w:rPr>
        <w:rStyle w:val="af2"/>
        <w:noProof/>
      </w:rPr>
      <w:t>2</w:t>
    </w:r>
    <w:r>
      <w:rPr>
        <w:rStyle w:val="af2"/>
      </w:rPr>
      <w:fldChar w:fldCharType="end"/>
    </w:r>
    <w:r>
      <w:rPr>
        <w:rStyle w:val="af2"/>
      </w:rPr>
      <w:tab/>
    </w:r>
    <w:proofErr w:type="spellStart"/>
    <w:r w:rsidRPr="004D5F6D">
      <w:rPr>
        <w:rStyle w:val="af2"/>
        <w:b w:val="0"/>
        <w:snapToGrid w:val="0"/>
        <w:sz w:val="16"/>
      </w:rPr>
      <w:t>GE.18</w:t>
    </w:r>
    <w:proofErr w:type="spellEnd"/>
    <w:r w:rsidRPr="004D5F6D">
      <w:rPr>
        <w:rStyle w:val="af2"/>
        <w:b w:val="0"/>
        <w:snapToGrid w:val="0"/>
        <w:sz w:val="16"/>
      </w:rPr>
      <w:t>-13872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D5F6D" w:rsidRDefault="004D5F6D" w:rsidP="004D5F6D">
    <w:pPr>
      <w:pStyle w:val="af0"/>
      <w:tabs>
        <w:tab w:val="clear" w:pos="431"/>
        <w:tab w:val="right" w:pos="9638"/>
      </w:tabs>
      <w:rPr>
        <w:rStyle w:val="af2"/>
      </w:rPr>
    </w:pPr>
    <w:proofErr w:type="spellStart"/>
    <w:r>
      <w:t>GE.18</w:t>
    </w:r>
    <w:proofErr w:type="spellEnd"/>
    <w:r>
      <w:t>-13872</w:t>
    </w:r>
    <w:r>
      <w:tab/>
    </w:r>
    <w:r>
      <w:rPr>
        <w:rStyle w:val="af2"/>
      </w:rPr>
      <w:fldChar w:fldCharType="begin"/>
    </w:r>
    <w:r>
      <w:rPr>
        <w:rStyle w:val="af2"/>
      </w:rPr>
      <w:instrText xml:space="preserve"> PAGE  \* MERGEFORMAT </w:instrText>
    </w:r>
    <w:r>
      <w:rPr>
        <w:rStyle w:val="af2"/>
      </w:rPr>
      <w:fldChar w:fldCharType="separate"/>
    </w:r>
    <w:r w:rsidR="00ED223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4D5F6D" w:rsidP="004D5F6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-13872</w:t>
    </w:r>
    <w:r w:rsidR="00731A42" w:rsidRPr="00EE277A">
      <w:rPr>
        <w:sz w:val="20"/>
        <w:lang w:eastAsia="zh-CN"/>
      </w:rPr>
      <w:t xml:space="preserve"> (C)</w:t>
    </w:r>
    <w:r w:rsidR="005505A1">
      <w:rPr>
        <w:sz w:val="20"/>
        <w:lang w:eastAsia="zh-CN"/>
      </w:rPr>
      <w:tab/>
    </w:r>
    <w:r>
      <w:rPr>
        <w:sz w:val="20"/>
        <w:lang w:eastAsia="zh-CN"/>
      </w:rPr>
      <w:t>221</w:t>
    </w:r>
    <w:r w:rsidR="005505A1">
      <w:rPr>
        <w:sz w:val="20"/>
        <w:lang w:eastAsia="zh-CN"/>
      </w:rPr>
      <w:t>01</w:t>
    </w:r>
    <w:r>
      <w:rPr>
        <w:rFonts w:eastAsiaTheme="minorEastAsia"/>
        <w:sz w:val="20"/>
        <w:lang w:eastAsia="zh-CN"/>
      </w:rPr>
      <w:t>8</w:t>
    </w:r>
    <w:r w:rsidR="00731A42">
      <w:rPr>
        <w:sz w:val="20"/>
        <w:lang w:eastAsia="zh-CN"/>
      </w:rPr>
      <w:tab/>
    </w:r>
    <w:r w:rsidR="00731A42" w:rsidRPr="00EE277A">
      <w:rPr>
        <w:sz w:val="20"/>
        <w:lang w:eastAsia="zh-CN"/>
      </w:rPr>
      <w:t>0</w:t>
    </w:r>
    <w:r>
      <w:rPr>
        <w:sz w:val="20"/>
        <w:lang w:eastAsia="zh-CN"/>
      </w:rPr>
      <w:t>211</w:t>
    </w:r>
    <w:r w:rsidR="00731A42">
      <w:rPr>
        <w:sz w:val="20"/>
        <w:lang w:eastAsia="zh-CN"/>
      </w:rPr>
      <w:t>1</w:t>
    </w:r>
    <w:r>
      <w:rPr>
        <w:rFonts w:eastAsiaTheme="minorEastAsia"/>
        <w:sz w:val="20"/>
        <w:lang w:eastAsia="zh-CN"/>
      </w:rPr>
      <w:t>8</w:t>
    </w:r>
  </w:p>
  <w:p w:rsidR="00056632" w:rsidRPr="00487939" w:rsidRDefault="004D5F6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731/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1/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62" w:rsidRPr="000157B1" w:rsidRDefault="00236E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36E62" w:rsidRPr="000157B1" w:rsidRDefault="00236E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36E62" w:rsidRDefault="00236E62"/>
  </w:footnote>
  <w:footnote w:id="2">
    <w:p w:rsidR="00F23B48" w:rsidRPr="00602EC9" w:rsidRDefault="00F23B48" w:rsidP="00EB05BE">
      <w:pPr>
        <w:pStyle w:val="a6"/>
      </w:pPr>
      <w:r w:rsidRPr="002167EE">
        <w:rPr>
          <w:rStyle w:val="a8"/>
          <w:rFonts w:eastAsia="宋体"/>
          <w:szCs w:val="21"/>
          <w:vertAlign w:val="baseline"/>
        </w:rPr>
        <w:tab/>
        <w:t>*</w:t>
      </w:r>
      <w:r w:rsidRPr="002167EE">
        <w:rPr>
          <w:rStyle w:val="a8"/>
          <w:rFonts w:eastAsia="宋体"/>
          <w:szCs w:val="21"/>
          <w:vertAlign w:val="baseline"/>
        </w:rPr>
        <w:tab/>
      </w:r>
      <w:r>
        <w:rPr>
          <w:shd w:val="clear" w:color="auto" w:fill="FFFFFF"/>
        </w:rPr>
        <w:t>委员会第六十三届会议</w:t>
      </w:r>
      <w:r>
        <w:rPr>
          <w:shd w:val="clear" w:color="auto" w:fill="FFFFFF"/>
        </w:rPr>
        <w:t>(2018</w:t>
      </w:r>
      <w:r>
        <w:rPr>
          <w:shd w:val="clear" w:color="auto" w:fill="FFFFFF"/>
        </w:rPr>
        <w:t>年</w:t>
      </w:r>
      <w:r>
        <w:rPr>
          <w:shd w:val="clear" w:color="auto" w:fill="FFFFFF"/>
        </w:rPr>
        <w:t>4</w:t>
      </w:r>
      <w:r>
        <w:rPr>
          <w:shd w:val="clear" w:color="auto" w:fill="FFFFFF"/>
        </w:rPr>
        <w:t>月</w:t>
      </w:r>
      <w:r>
        <w:rPr>
          <w:shd w:val="clear" w:color="auto" w:fill="FFFFFF"/>
        </w:rPr>
        <w:t>23</w:t>
      </w:r>
      <w:r>
        <w:rPr>
          <w:shd w:val="clear" w:color="auto" w:fill="FFFFFF"/>
        </w:rPr>
        <w:t>日至</w:t>
      </w:r>
      <w:r>
        <w:rPr>
          <w:shd w:val="clear" w:color="auto" w:fill="FFFFFF"/>
        </w:rPr>
        <w:t>5</w:t>
      </w:r>
      <w:r>
        <w:rPr>
          <w:shd w:val="clear" w:color="auto" w:fill="FFFFFF"/>
        </w:rPr>
        <w:t>月</w:t>
      </w:r>
      <w:r>
        <w:rPr>
          <w:shd w:val="clear" w:color="auto" w:fill="FFFFFF"/>
        </w:rPr>
        <w:t>11</w:t>
      </w:r>
      <w:r>
        <w:rPr>
          <w:shd w:val="clear" w:color="auto" w:fill="FFFFFF"/>
        </w:rPr>
        <w:t>日</w:t>
      </w:r>
      <w:r>
        <w:rPr>
          <w:shd w:val="clear" w:color="auto" w:fill="FFFFFF"/>
        </w:rPr>
        <w:t>)</w:t>
      </w:r>
      <w:r>
        <w:rPr>
          <w:shd w:val="clear" w:color="auto" w:fill="FFFFFF"/>
        </w:rPr>
        <w:t>通过</w:t>
      </w:r>
      <w:r>
        <w:rPr>
          <w:rFonts w:hint="eastAsia"/>
          <w:sz w:val="20"/>
        </w:rPr>
        <w:t>。</w:t>
      </w:r>
    </w:p>
  </w:footnote>
  <w:footnote w:id="3">
    <w:p w:rsidR="00F23B48" w:rsidRPr="00602EC9" w:rsidRDefault="00F23B48" w:rsidP="00EB05BE">
      <w:pPr>
        <w:pStyle w:val="a6"/>
      </w:pPr>
      <w:r>
        <w:rPr>
          <w:sz w:val="20"/>
        </w:rPr>
        <w:tab/>
      </w:r>
      <w:r w:rsidRPr="002167EE">
        <w:rPr>
          <w:rStyle w:val="a8"/>
          <w:rFonts w:eastAsia="宋体"/>
          <w:szCs w:val="21"/>
          <w:vertAlign w:val="baseline"/>
        </w:rPr>
        <w:t>**</w:t>
      </w:r>
      <w:r>
        <w:rPr>
          <w:sz w:val="20"/>
        </w:rPr>
        <w:tab/>
      </w:r>
      <w:r>
        <w:rPr>
          <w:shd w:val="clear" w:color="auto" w:fill="FFFFFF"/>
        </w:rPr>
        <w:t>参加审议本来文的委员会委员有：阿布德尔瓦哈布</w:t>
      </w:r>
      <w:r w:rsidR="002167EE">
        <w:rPr>
          <w:rFonts w:hint="eastAsia"/>
          <w:sz w:val="20"/>
        </w:rPr>
        <w:t>·</w:t>
      </w:r>
      <w:r>
        <w:rPr>
          <w:shd w:val="clear" w:color="auto" w:fill="FFFFFF"/>
        </w:rPr>
        <w:t>哈尼、克劳德</w:t>
      </w:r>
      <w:r w:rsidR="002167EE">
        <w:rPr>
          <w:rFonts w:hint="eastAsia"/>
          <w:sz w:val="20"/>
        </w:rPr>
        <w:t>·</w:t>
      </w:r>
      <w:r>
        <w:rPr>
          <w:shd w:val="clear" w:color="auto" w:fill="FFFFFF"/>
        </w:rPr>
        <w:t>海勒</w:t>
      </w:r>
      <w:r w:rsidR="00EB05BE">
        <w:rPr>
          <w:rFonts w:hint="eastAsia"/>
          <w:sz w:val="20"/>
        </w:rPr>
        <w:t>·</w:t>
      </w:r>
      <w:r>
        <w:rPr>
          <w:shd w:val="clear" w:color="auto" w:fill="FFFFFF"/>
        </w:rPr>
        <w:t>鲁阿桑特、延斯</w:t>
      </w:r>
      <w:r w:rsidR="00EB05BE">
        <w:rPr>
          <w:rFonts w:hint="eastAsia"/>
          <w:sz w:val="20"/>
        </w:rPr>
        <w:t>·</w:t>
      </w:r>
      <w:r>
        <w:rPr>
          <w:shd w:val="clear" w:color="auto" w:fill="FFFFFF"/>
        </w:rPr>
        <w:t>莫德维格、阿娜</w:t>
      </w:r>
      <w:r w:rsidR="00EB05BE">
        <w:rPr>
          <w:rFonts w:hint="eastAsia"/>
          <w:sz w:val="20"/>
        </w:rPr>
        <w:t>·</w:t>
      </w:r>
      <w:r>
        <w:rPr>
          <w:shd w:val="clear" w:color="auto" w:fill="FFFFFF"/>
        </w:rPr>
        <w:t>拉库、迭戈</w:t>
      </w:r>
      <w:r w:rsidR="00EB05BE">
        <w:rPr>
          <w:rFonts w:hint="eastAsia"/>
          <w:sz w:val="20"/>
        </w:rPr>
        <w:t>·</w:t>
      </w:r>
      <w:r>
        <w:rPr>
          <w:shd w:val="clear" w:color="auto" w:fill="FFFFFF"/>
        </w:rPr>
        <w:t>罗德里格斯－平松、巴赫季亚尔</w:t>
      </w:r>
      <w:r w:rsidR="00EB05BE">
        <w:rPr>
          <w:rFonts w:hint="eastAsia"/>
          <w:sz w:val="20"/>
        </w:rPr>
        <w:t>·</w:t>
      </w:r>
      <w:r>
        <w:rPr>
          <w:shd w:val="clear" w:color="auto" w:fill="FFFFFF"/>
        </w:rPr>
        <w:t>图兹穆哈梅多夫和张红虹</w:t>
      </w:r>
      <w:r>
        <w:rPr>
          <w:rFonts w:hint="eastAsia"/>
          <w:shd w:val="clear" w:color="auto" w:fill="FFFFFF"/>
        </w:rPr>
        <w:t>。</w:t>
      </w:r>
      <w:r w:rsidRPr="00BD7843">
        <w:rPr>
          <w:shd w:val="clear" w:color="auto" w:fill="FFFFFF"/>
        </w:rPr>
        <w:t>根据</w:t>
      </w:r>
      <w:r>
        <w:rPr>
          <w:rFonts w:hint="eastAsia"/>
          <w:shd w:val="clear" w:color="auto" w:fill="FFFFFF"/>
        </w:rPr>
        <w:t>结合</w:t>
      </w:r>
      <w:r w:rsidRPr="00BD7843">
        <w:rPr>
          <w:shd w:val="clear" w:color="auto" w:fill="FFFFFF"/>
        </w:rPr>
        <w:t>委员会议事规则第</w:t>
      </w:r>
      <w:r w:rsidRPr="00BD7843">
        <w:rPr>
          <w:shd w:val="clear" w:color="auto" w:fill="FFFFFF"/>
        </w:rPr>
        <w:t>109</w:t>
      </w:r>
      <w:r w:rsidRPr="00BD7843">
        <w:rPr>
          <w:shd w:val="clear" w:color="auto" w:fill="FFFFFF"/>
        </w:rPr>
        <w:t>条，</w:t>
      </w:r>
      <w:r>
        <w:rPr>
          <w:rFonts w:hint="eastAsia"/>
          <w:shd w:val="clear" w:color="auto" w:fill="FFFFFF"/>
        </w:rPr>
        <w:t>并结合第</w:t>
      </w:r>
      <w:r>
        <w:rPr>
          <w:rFonts w:hint="eastAsia"/>
          <w:shd w:val="clear" w:color="auto" w:fill="FFFFFF"/>
        </w:rPr>
        <w:t>15</w:t>
      </w:r>
      <w:r>
        <w:rPr>
          <w:rFonts w:hint="eastAsia"/>
          <w:shd w:val="clear" w:color="auto" w:fill="FFFFFF"/>
        </w:rPr>
        <w:t>条以及</w:t>
      </w:r>
      <w:r w:rsidRPr="00234ABB">
        <w:rPr>
          <w:shd w:val="clear" w:color="auto" w:fill="FFFFFF"/>
        </w:rPr>
        <w:t>人权条约机构成员独立性和公</w:t>
      </w:r>
      <w:r w:rsidRPr="007A59E4">
        <w:rPr>
          <w:spacing w:val="2"/>
          <w:shd w:val="clear" w:color="auto" w:fill="FFFFFF"/>
        </w:rPr>
        <w:t>正性准则</w:t>
      </w:r>
      <w:r w:rsidRPr="007A59E4">
        <w:rPr>
          <w:rFonts w:hint="eastAsia"/>
          <w:spacing w:val="2"/>
          <w:shd w:val="clear" w:color="auto" w:fill="FFFFFF"/>
        </w:rPr>
        <w:t>(</w:t>
      </w:r>
      <w:r w:rsidRPr="007A59E4">
        <w:rPr>
          <w:rFonts w:hint="eastAsia"/>
          <w:spacing w:val="2"/>
          <w:shd w:val="clear" w:color="auto" w:fill="FFFFFF"/>
        </w:rPr>
        <w:t>“亚的斯亚贝巴准则”</w:t>
      </w:r>
      <w:r w:rsidRPr="007A59E4">
        <w:rPr>
          <w:rFonts w:hint="eastAsia"/>
          <w:spacing w:val="2"/>
          <w:shd w:val="clear" w:color="auto" w:fill="FFFFFF"/>
        </w:rPr>
        <w:t>)</w:t>
      </w:r>
      <w:r w:rsidRPr="007A59E4">
        <w:rPr>
          <w:rFonts w:hint="eastAsia"/>
          <w:spacing w:val="2"/>
          <w:shd w:val="clear" w:color="auto" w:fill="FFFFFF"/>
        </w:rPr>
        <w:t>第</w:t>
      </w:r>
      <w:r w:rsidRPr="007A59E4">
        <w:rPr>
          <w:rFonts w:hint="eastAsia"/>
          <w:spacing w:val="2"/>
          <w:shd w:val="clear" w:color="auto" w:fill="FFFFFF"/>
        </w:rPr>
        <w:t>10</w:t>
      </w:r>
      <w:r w:rsidRPr="007A59E4">
        <w:rPr>
          <w:rFonts w:hint="eastAsia"/>
          <w:spacing w:val="2"/>
          <w:shd w:val="clear" w:color="auto" w:fill="FFFFFF"/>
        </w:rPr>
        <w:t>条一并解读，塞巴斯蒂安</w:t>
      </w:r>
      <w:r w:rsidR="00EB05BE" w:rsidRPr="007A59E4">
        <w:rPr>
          <w:rFonts w:hint="eastAsia"/>
          <w:spacing w:val="2"/>
          <w:sz w:val="20"/>
        </w:rPr>
        <w:t>·</w:t>
      </w:r>
      <w:r w:rsidRPr="007A59E4">
        <w:rPr>
          <w:rFonts w:hint="eastAsia"/>
          <w:spacing w:val="2"/>
          <w:shd w:val="clear" w:color="auto" w:fill="FFFFFF"/>
        </w:rPr>
        <w:t>图泽</w:t>
      </w:r>
      <w:r w:rsidRPr="007A59E4">
        <w:rPr>
          <w:spacing w:val="2"/>
          <w:shd w:val="clear" w:color="auto" w:fill="FFFFFF"/>
        </w:rPr>
        <w:t>没有参加对来文的审</w:t>
      </w:r>
      <w:r>
        <w:rPr>
          <w:rFonts w:hint="eastAsia"/>
          <w:shd w:val="clear" w:color="auto" w:fill="FFFFFF"/>
        </w:rPr>
        <w:t>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D5F6D" w:rsidP="004D5F6D">
    <w:pPr>
      <w:pStyle w:val="af3"/>
    </w:pPr>
    <w:r>
      <w:t>CAT/C/63/D/731/2016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D5F6D" w:rsidP="004D5F6D">
    <w:pPr>
      <w:pStyle w:val="af3"/>
      <w:jc w:val="right"/>
    </w:pPr>
    <w:r>
      <w:t>CAT/C/63/D/731/2016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E6283D"/>
    <w:multiLevelType w:val="hybridMultilevel"/>
    <w:tmpl w:val="F08E3EDC"/>
    <w:lvl w:ilvl="0" w:tplc="09C2DC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50BCF"/>
    <w:multiLevelType w:val="hybridMultilevel"/>
    <w:tmpl w:val="BDC49D50"/>
    <w:lvl w:ilvl="0" w:tplc="A828B1AC">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num w:numId="1">
    <w:abstractNumId w:val="1"/>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62"/>
    <w:rsid w:val="00003F57"/>
    <w:rsid w:val="00011483"/>
    <w:rsid w:val="0003324B"/>
    <w:rsid w:val="0006318A"/>
    <w:rsid w:val="00085EC3"/>
    <w:rsid w:val="000A0B81"/>
    <w:rsid w:val="000B0E35"/>
    <w:rsid w:val="000D319F"/>
    <w:rsid w:val="000D6AFA"/>
    <w:rsid w:val="000E4D0E"/>
    <w:rsid w:val="00144B69"/>
    <w:rsid w:val="00153E86"/>
    <w:rsid w:val="001761A1"/>
    <w:rsid w:val="00192831"/>
    <w:rsid w:val="001B1BD1"/>
    <w:rsid w:val="001C3EF2"/>
    <w:rsid w:val="001D17F6"/>
    <w:rsid w:val="00204B42"/>
    <w:rsid w:val="002167EE"/>
    <w:rsid w:val="002231C3"/>
    <w:rsid w:val="00236E62"/>
    <w:rsid w:val="0024417F"/>
    <w:rsid w:val="00250F8D"/>
    <w:rsid w:val="00256EC7"/>
    <w:rsid w:val="00257939"/>
    <w:rsid w:val="00282B4A"/>
    <w:rsid w:val="00283A4E"/>
    <w:rsid w:val="002D14FC"/>
    <w:rsid w:val="002E1C97"/>
    <w:rsid w:val="002F0F24"/>
    <w:rsid w:val="002F5834"/>
    <w:rsid w:val="003006AB"/>
    <w:rsid w:val="003201CC"/>
    <w:rsid w:val="00326EBF"/>
    <w:rsid w:val="00327FE4"/>
    <w:rsid w:val="00352798"/>
    <w:rsid w:val="00380378"/>
    <w:rsid w:val="00380E39"/>
    <w:rsid w:val="00382DD0"/>
    <w:rsid w:val="003D7DCC"/>
    <w:rsid w:val="00427F63"/>
    <w:rsid w:val="00434D38"/>
    <w:rsid w:val="00442B98"/>
    <w:rsid w:val="00494EB8"/>
    <w:rsid w:val="004A34AA"/>
    <w:rsid w:val="004C4A0A"/>
    <w:rsid w:val="004D5F6D"/>
    <w:rsid w:val="004E5055"/>
    <w:rsid w:val="00501220"/>
    <w:rsid w:val="005505A1"/>
    <w:rsid w:val="00596BDB"/>
    <w:rsid w:val="005B030E"/>
    <w:rsid w:val="005B5D35"/>
    <w:rsid w:val="005E403A"/>
    <w:rsid w:val="00647243"/>
    <w:rsid w:val="00680656"/>
    <w:rsid w:val="006B07B3"/>
    <w:rsid w:val="006B1119"/>
    <w:rsid w:val="006C70CF"/>
    <w:rsid w:val="006E3E46"/>
    <w:rsid w:val="006E71B1"/>
    <w:rsid w:val="0070593B"/>
    <w:rsid w:val="00705D89"/>
    <w:rsid w:val="0072131A"/>
    <w:rsid w:val="00731A42"/>
    <w:rsid w:val="00767E69"/>
    <w:rsid w:val="0077079A"/>
    <w:rsid w:val="007A5599"/>
    <w:rsid w:val="007A5747"/>
    <w:rsid w:val="007A59E4"/>
    <w:rsid w:val="00800C27"/>
    <w:rsid w:val="00823C54"/>
    <w:rsid w:val="00831F30"/>
    <w:rsid w:val="00856233"/>
    <w:rsid w:val="00860F27"/>
    <w:rsid w:val="00880244"/>
    <w:rsid w:val="00892E66"/>
    <w:rsid w:val="008B0560"/>
    <w:rsid w:val="008B2BFA"/>
    <w:rsid w:val="008E6A3F"/>
    <w:rsid w:val="00915FFA"/>
    <w:rsid w:val="00936F03"/>
    <w:rsid w:val="00943B69"/>
    <w:rsid w:val="00944CB3"/>
    <w:rsid w:val="00945B28"/>
    <w:rsid w:val="00951A17"/>
    <w:rsid w:val="00951B31"/>
    <w:rsid w:val="009B09D7"/>
    <w:rsid w:val="009D35ED"/>
    <w:rsid w:val="009E489E"/>
    <w:rsid w:val="00A03CB6"/>
    <w:rsid w:val="00A1364C"/>
    <w:rsid w:val="00A21076"/>
    <w:rsid w:val="00A3739A"/>
    <w:rsid w:val="00A422B2"/>
    <w:rsid w:val="00A50CBB"/>
    <w:rsid w:val="00A52DAF"/>
    <w:rsid w:val="00A84072"/>
    <w:rsid w:val="00B16570"/>
    <w:rsid w:val="00B23B03"/>
    <w:rsid w:val="00B43EB7"/>
    <w:rsid w:val="00B53320"/>
    <w:rsid w:val="00B63E1C"/>
    <w:rsid w:val="00B71DC1"/>
    <w:rsid w:val="00BC6522"/>
    <w:rsid w:val="00BC77AD"/>
    <w:rsid w:val="00C121D5"/>
    <w:rsid w:val="00C17349"/>
    <w:rsid w:val="00C351AA"/>
    <w:rsid w:val="00C42479"/>
    <w:rsid w:val="00C65FE5"/>
    <w:rsid w:val="00C7253F"/>
    <w:rsid w:val="00CD7717"/>
    <w:rsid w:val="00D26A05"/>
    <w:rsid w:val="00D329FB"/>
    <w:rsid w:val="00D97B98"/>
    <w:rsid w:val="00DC18BF"/>
    <w:rsid w:val="00DC671F"/>
    <w:rsid w:val="00DE4DA7"/>
    <w:rsid w:val="00E245ED"/>
    <w:rsid w:val="00E33B38"/>
    <w:rsid w:val="00E47FE5"/>
    <w:rsid w:val="00E572EF"/>
    <w:rsid w:val="00E574AF"/>
    <w:rsid w:val="00EB05BE"/>
    <w:rsid w:val="00ED2236"/>
    <w:rsid w:val="00EF40DA"/>
    <w:rsid w:val="00F118C0"/>
    <w:rsid w:val="00F23B48"/>
    <w:rsid w:val="00F24E6D"/>
    <w:rsid w:val="00F40BD3"/>
    <w:rsid w:val="00F5238F"/>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248184-70AD-42CC-B348-3689CE4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E546-C180-43B3-8AC5-32C7FA2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Pages>
  <Words>2297</Words>
  <Characters>2530</Characters>
  <Application>Microsoft Office Word</Application>
  <DocSecurity>0</DocSecurity>
  <Lines>110</Lines>
  <Paragraphs>54</Paragraphs>
  <ScaleCrop>false</ScaleCrop>
  <Company>DCM</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CAT/C/63/D/731/2016</dc:title>
  <dc:subject>1813872</dc:subject>
  <dc:creator>tian</dc:creator>
  <cp:keywords/>
  <dc:description/>
  <cp:lastModifiedBy>Hui Tian</cp:lastModifiedBy>
  <cp:revision>2</cp:revision>
  <cp:lastPrinted>2018-11-02T15:42:00Z</cp:lastPrinted>
  <dcterms:created xsi:type="dcterms:W3CDTF">2018-11-02T16:22:00Z</dcterms:created>
  <dcterms:modified xsi:type="dcterms:W3CDTF">2018-11-02T16:22:00Z</dcterms:modified>
</cp:coreProperties>
</file>