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F5023">
        <w:trPr>
          <w:trHeight w:hRule="exact" w:val="851"/>
        </w:trPr>
        <w:tc>
          <w:tcPr>
            <w:tcW w:w="1280" w:type="dxa"/>
            <w:tcBorders>
              <w:bottom w:val="single" w:sz="4" w:space="0" w:color="auto"/>
            </w:tcBorders>
          </w:tcPr>
          <w:p w:rsidR="002D5AAC" w:rsidRDefault="002D5AAC" w:rsidP="00E57CA5">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57CA5" w:rsidP="00E57CA5">
            <w:pPr>
              <w:jc w:val="right"/>
            </w:pPr>
            <w:proofErr w:type="spellStart"/>
            <w:r w:rsidRPr="00E57CA5">
              <w:rPr>
                <w:sz w:val="40"/>
              </w:rPr>
              <w:t>CERD</w:t>
            </w:r>
            <w:proofErr w:type="spellEnd"/>
            <w:r>
              <w:t>/C/</w:t>
            </w:r>
            <w:proofErr w:type="spellStart"/>
            <w:r>
              <w:t>CYP</w:t>
            </w:r>
            <w:proofErr w:type="spellEnd"/>
            <w:r>
              <w:t>/23-24</w:t>
            </w:r>
          </w:p>
        </w:tc>
      </w:tr>
      <w:tr w:rsidR="002D5AAC" w:rsidTr="00CF5023">
        <w:trPr>
          <w:trHeight w:hRule="exact" w:val="2835"/>
        </w:trPr>
        <w:tc>
          <w:tcPr>
            <w:tcW w:w="1280" w:type="dxa"/>
            <w:tcBorders>
              <w:top w:val="single" w:sz="4" w:space="0" w:color="auto"/>
              <w:bottom w:val="single" w:sz="12" w:space="0" w:color="auto"/>
            </w:tcBorders>
          </w:tcPr>
          <w:p w:rsidR="002D5AAC" w:rsidRDefault="00CC15A3" w:rsidP="00A17DFD">
            <w:pPr>
              <w:spacing w:before="120"/>
              <w:jc w:val="center"/>
            </w:pPr>
            <w:r>
              <w:rPr>
                <w:noProof/>
              </w:rPr>
              <w:drawing>
                <wp:inline distT="0" distB="0" distL="0" distR="0" wp14:anchorId="28BE20AB" wp14:editId="20F7F94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E57CA5" w:rsidP="00B778C8">
            <w:pPr>
              <w:spacing w:before="240"/>
            </w:pPr>
            <w:proofErr w:type="spellStart"/>
            <w:r>
              <w:t>Distr</w:t>
            </w:r>
            <w:proofErr w:type="spellEnd"/>
            <w:r>
              <w:t>. general</w:t>
            </w:r>
          </w:p>
          <w:p w:rsidR="00E57CA5" w:rsidRDefault="00E57CA5" w:rsidP="00E57CA5">
            <w:pPr>
              <w:spacing w:line="240" w:lineRule="exact"/>
            </w:pPr>
            <w:r>
              <w:t>27 de enero de 2016</w:t>
            </w:r>
          </w:p>
          <w:p w:rsidR="00E57CA5" w:rsidRDefault="00E57CA5" w:rsidP="00E57CA5">
            <w:pPr>
              <w:spacing w:line="240" w:lineRule="exact"/>
            </w:pPr>
            <w:r>
              <w:t>Español</w:t>
            </w:r>
          </w:p>
          <w:p w:rsidR="00E57CA5" w:rsidRDefault="00E57CA5" w:rsidP="00E57CA5">
            <w:pPr>
              <w:spacing w:line="240" w:lineRule="exact"/>
            </w:pPr>
            <w:r>
              <w:t>Original: inglés</w:t>
            </w:r>
          </w:p>
          <w:p w:rsidR="00E57CA5" w:rsidRDefault="00E21DDA" w:rsidP="00E57CA5">
            <w:pPr>
              <w:spacing w:line="240" w:lineRule="exact"/>
            </w:pPr>
            <w:r>
              <w:t>Español, francés e inglés únicamente</w:t>
            </w:r>
          </w:p>
        </w:tc>
      </w:tr>
    </w:tbl>
    <w:p w:rsidR="00CF5023" w:rsidRPr="00CF5023" w:rsidRDefault="00CF5023" w:rsidP="00CF5023">
      <w:pPr>
        <w:spacing w:before="120"/>
        <w:rPr>
          <w:b/>
          <w:sz w:val="24"/>
          <w:szCs w:val="24"/>
        </w:rPr>
      </w:pPr>
      <w:r w:rsidRPr="00CF5023">
        <w:rPr>
          <w:b/>
          <w:sz w:val="24"/>
          <w:szCs w:val="24"/>
        </w:rPr>
        <w:t xml:space="preserve">Comité para </w:t>
      </w:r>
      <w:smartTag w:uri="urn:schemas-microsoft-com:office:smarttags" w:element="PersonName">
        <w:smartTagPr>
          <w:attr w:name="ProductID" w:val="la Eliminaci￳n"/>
        </w:smartTagPr>
        <w:r w:rsidRPr="00CF5023">
          <w:rPr>
            <w:b/>
            <w:sz w:val="24"/>
            <w:szCs w:val="24"/>
          </w:rPr>
          <w:t>la Eliminación</w:t>
        </w:r>
      </w:smartTag>
      <w:r w:rsidRPr="00CF5023">
        <w:rPr>
          <w:b/>
          <w:sz w:val="24"/>
          <w:szCs w:val="24"/>
        </w:rPr>
        <w:t xml:space="preserve"> de </w:t>
      </w:r>
      <w:smartTag w:uri="urn:schemas-microsoft-com:office:smarttags" w:element="PersonName">
        <w:smartTagPr>
          <w:attr w:name="ProductID" w:val="ムヺ̽䰄ベ쥸અ ƅԈlaƘԈѸム̽Z&#10;젤અ잰અ ƝԌヺьムヺ̽䰄ベ쟸અ ƖԈ쟔અ졸અ윈અūԈConvenciónŠԈѸム̽d좜અ쎘અťԈ쎼અ즀અ저અźԈ&#10;ŽԈInformestónŲԈ&#10;venciónŷԈy&#10;e1enciónŌԈ쿼અ타અ콸અIDŁԈѸム̽죜અ율અņԈ음અ쩰અ졸અśԈºy1ŞԈ23őԈѸム̽좴અ쨠અŖԈ&#10;ken List īԌヺьムヺ̽䰄ベ쩨અ ĤԈ쩄અ쬈અ즀અĹԈѸム̽&#10;&#10;범અ쪸અ ľԌヺьムヺ̽䰄ベ쬀અ ķԈ쫜અ쮠અ쩰અČԈѸム̽즼અ쭐અ āԌヺьムヺ̽䰄ベ쮘અ ĚԈ쭴અ참અ쬈અğԈѸム̽즤અ쯨અ ĔԌヺьムヺ̽䰄ベ찰અ ǭԈ찌અ쳐અ쮠અǢԈѸム̽줄અ첀અ ǧԌヺьムヺ̽䰄ベ쳈અ ǰԈ첤અ쵨અ참અǵԈѸム̽춌અ촘અ ǊԌヺьムヺ̽䰄ベ쵠અ ǃԈ촼અ츘અ쳐અǘԈ24ǛԈѸム̽츼અ췈અ ǐԌヺьムヺ̽䰄ベ츐અ ƩԈ췬અ컈અ쵨અƮԈºơԈѸム̽컬અ칸અ ƦԌヺьムヺ̽䰄ベ컀અ ƿԈ캜અ콸અ츘અƴԈqueƷԈѸム̽#쾜અ켨અ ƌԌヺьムヺ̽䰄ベ콰અ ƅԈ콌અ줰અ컈અƚԈlosƝԈѸム̽'퀤"/>
        </w:smartTagPr>
        <w:r w:rsidRPr="00CF5023">
          <w:rPr>
            <w:b/>
            <w:sz w:val="24"/>
            <w:szCs w:val="24"/>
          </w:rPr>
          <w:t>la Discriminación Racial</w:t>
        </w:r>
      </w:smartTag>
    </w:p>
    <w:p w:rsidR="00CF5023" w:rsidRPr="00513E62" w:rsidRDefault="00CF5023" w:rsidP="00CF5023">
      <w:pPr>
        <w:pStyle w:val="HMG"/>
      </w:pPr>
      <w:r>
        <w:tab/>
      </w:r>
      <w:r>
        <w:tab/>
      </w:r>
      <w:r w:rsidRPr="00513E62">
        <w:t>Examen de l</w:t>
      </w:r>
      <w:r>
        <w:t>os informes presentados por los </w:t>
      </w:r>
      <w:r w:rsidRPr="00513E62">
        <w:t>Estados partes</w:t>
      </w:r>
      <w:r>
        <w:t xml:space="preserve"> en virtud del artículo 9 de la </w:t>
      </w:r>
      <w:r w:rsidRPr="00513E62">
        <w:t>Convención</w:t>
      </w:r>
    </w:p>
    <w:p w:rsidR="00CF5023" w:rsidRPr="00513E62" w:rsidRDefault="00CF5023" w:rsidP="00CF5023">
      <w:pPr>
        <w:pStyle w:val="HChG"/>
      </w:pPr>
      <w:r>
        <w:tab/>
      </w:r>
      <w:r>
        <w:tab/>
      </w:r>
      <w:bookmarkStart w:id="0" w:name="_Toc453253386"/>
      <w:r w:rsidRPr="00513E62">
        <w:t>Informes periódicos 23º y 24</w:t>
      </w:r>
      <w:r>
        <w:t>º que los Estados partes debían </w:t>
      </w:r>
      <w:r w:rsidRPr="00513E62">
        <w:t>presentar en 2016</w:t>
      </w:r>
      <w:bookmarkEnd w:id="0"/>
    </w:p>
    <w:p w:rsidR="00CF5023" w:rsidRPr="00513E62" w:rsidRDefault="00CF5023" w:rsidP="00CF5023">
      <w:pPr>
        <w:pStyle w:val="HMG"/>
      </w:pPr>
      <w:r>
        <w:tab/>
      </w:r>
      <w:r w:rsidRPr="00513E62">
        <w:tab/>
        <w:t>Chipre</w:t>
      </w:r>
      <w:r w:rsidRPr="00CF5023">
        <w:rPr>
          <w:rStyle w:val="Refdenotaalpie"/>
          <w:b w:val="0"/>
          <w:sz w:val="20"/>
          <w:vertAlign w:val="baseline"/>
        </w:rPr>
        <w:footnoteReference w:customMarkFollows="1" w:id="1"/>
        <w:t>*</w:t>
      </w:r>
    </w:p>
    <w:p w:rsidR="00CF5023" w:rsidRPr="00513E62" w:rsidRDefault="00CF5023" w:rsidP="00CF5023">
      <w:pPr>
        <w:pStyle w:val="SingleTxtG"/>
        <w:jc w:val="right"/>
      </w:pPr>
      <w:r w:rsidRPr="00513E62">
        <w:t>[Fecha de recepción: 23 de diciembre de 2015]</w:t>
      </w:r>
    </w:p>
    <w:p w:rsidR="00CF5023" w:rsidRDefault="00CF5023" w:rsidP="00CF5023">
      <w:pPr>
        <w:pStyle w:val="SingleTxtG"/>
        <w:ind w:left="0" w:right="0"/>
        <w:jc w:val="left"/>
        <w:rPr>
          <w:sz w:val="28"/>
        </w:rPr>
      </w:pPr>
      <w:r>
        <w:br w:type="page"/>
      </w:r>
      <w:r>
        <w:rPr>
          <w:sz w:val="28"/>
        </w:rPr>
        <w:lastRenderedPageBreak/>
        <w:t>Índice</w:t>
      </w:r>
    </w:p>
    <w:p w:rsidR="00CF5023" w:rsidRDefault="00CF5023" w:rsidP="00CF5023">
      <w:pPr>
        <w:pStyle w:val="SingleTxtG"/>
        <w:tabs>
          <w:tab w:val="right" w:pos="9638"/>
        </w:tabs>
        <w:ind w:left="283" w:right="0"/>
        <w:jc w:val="left"/>
        <w:rPr>
          <w:sz w:val="18"/>
        </w:rPr>
      </w:pPr>
      <w:r>
        <w:rPr>
          <w:i/>
          <w:sz w:val="18"/>
        </w:rPr>
        <w:tab/>
        <w:t>Página</w:t>
      </w:r>
    </w:p>
    <w:p w:rsidR="00EA2810" w:rsidRDefault="00EA2810" w:rsidP="00EA2810">
      <w:pPr>
        <w:pStyle w:val="SingleTxtG"/>
        <w:tabs>
          <w:tab w:val="right" w:pos="850"/>
          <w:tab w:val="left" w:pos="1134"/>
          <w:tab w:val="left" w:pos="1559"/>
          <w:tab w:val="left" w:pos="1984"/>
          <w:tab w:val="left" w:leader="dot" w:pos="8787"/>
          <w:tab w:val="right" w:pos="9638"/>
        </w:tabs>
        <w:ind w:left="0" w:right="0"/>
        <w:jc w:val="left"/>
      </w:pPr>
      <w:r>
        <w:tab/>
        <w:t>I.</w:t>
      </w:r>
      <w:r>
        <w:tab/>
        <w:t>Introducción</w:t>
      </w:r>
      <w:r>
        <w:tab/>
      </w:r>
      <w:r>
        <w:tab/>
        <w:t>3</w:t>
      </w:r>
    </w:p>
    <w:p w:rsidR="00EA2810" w:rsidRDefault="00EA2810" w:rsidP="00EA2810">
      <w:pPr>
        <w:pStyle w:val="SingleTxtG"/>
        <w:tabs>
          <w:tab w:val="right" w:pos="850"/>
          <w:tab w:val="left" w:pos="1134"/>
          <w:tab w:val="left" w:pos="1559"/>
          <w:tab w:val="left" w:pos="1984"/>
          <w:tab w:val="left" w:leader="dot" w:pos="8787"/>
          <w:tab w:val="right" w:pos="9638"/>
        </w:tabs>
        <w:ind w:left="0" w:right="0"/>
        <w:jc w:val="left"/>
      </w:pPr>
      <w:r>
        <w:tab/>
        <w:t>II.</w:t>
      </w:r>
      <w:r>
        <w:tab/>
        <w:t xml:space="preserve">Progresos en la aplicación de la Declaración de </w:t>
      </w:r>
      <w:proofErr w:type="spellStart"/>
      <w:r>
        <w:t>Durban</w:t>
      </w:r>
      <w:proofErr w:type="spellEnd"/>
      <w:r>
        <w:tab/>
      </w:r>
      <w:r>
        <w:tab/>
        <w:t>4</w:t>
      </w:r>
    </w:p>
    <w:p w:rsidR="00EA2810" w:rsidRDefault="00EA2810" w:rsidP="00EA2810">
      <w:pPr>
        <w:pStyle w:val="SingleTxtG"/>
        <w:tabs>
          <w:tab w:val="right" w:pos="850"/>
          <w:tab w:val="left" w:pos="1134"/>
          <w:tab w:val="left" w:pos="1559"/>
          <w:tab w:val="left" w:pos="1984"/>
          <w:tab w:val="left" w:leader="dot" w:pos="8787"/>
          <w:tab w:val="right" w:pos="9638"/>
        </w:tabs>
        <w:ind w:left="0" w:right="0"/>
        <w:jc w:val="left"/>
      </w:pPr>
      <w:r>
        <w:tab/>
      </w:r>
      <w:r>
        <w:tab/>
        <w:t>Artículo 1 – Definición de “discriminación racial”</w:t>
      </w:r>
      <w:r>
        <w:tab/>
      </w:r>
      <w:r>
        <w:tab/>
        <w:t>6</w:t>
      </w:r>
    </w:p>
    <w:p w:rsidR="00EA2810" w:rsidRDefault="00EA2810" w:rsidP="00EA2810">
      <w:pPr>
        <w:pStyle w:val="SingleTxtG"/>
        <w:tabs>
          <w:tab w:val="right" w:pos="850"/>
          <w:tab w:val="left" w:pos="1134"/>
          <w:tab w:val="left" w:pos="1559"/>
          <w:tab w:val="left" w:pos="1984"/>
          <w:tab w:val="left" w:leader="dot" w:pos="8787"/>
          <w:tab w:val="right" w:pos="9638"/>
        </w:tabs>
        <w:ind w:left="0" w:right="0"/>
        <w:jc w:val="left"/>
      </w:pPr>
      <w:r>
        <w:tab/>
      </w:r>
      <w:r>
        <w:tab/>
        <w:t>Artículo 2 – Antecedentes jurídicos</w:t>
      </w:r>
      <w:r>
        <w:tab/>
      </w:r>
      <w:r>
        <w:tab/>
        <w:t>6</w:t>
      </w:r>
    </w:p>
    <w:p w:rsidR="00EA2810" w:rsidRDefault="00EA2810" w:rsidP="00EA2810">
      <w:pPr>
        <w:pStyle w:val="SingleTxtG"/>
        <w:tabs>
          <w:tab w:val="right" w:pos="850"/>
          <w:tab w:val="left" w:pos="1134"/>
          <w:tab w:val="left" w:pos="1559"/>
          <w:tab w:val="left" w:pos="1984"/>
          <w:tab w:val="left" w:leader="dot" w:pos="8787"/>
          <w:tab w:val="right" w:pos="9638"/>
        </w:tabs>
        <w:ind w:left="0" w:right="0"/>
        <w:jc w:val="left"/>
      </w:pPr>
      <w:r>
        <w:tab/>
      </w:r>
      <w:r>
        <w:tab/>
        <w:t>Artículo 3 – Prevención, prohibición y eliminación de la segregación racial</w:t>
      </w:r>
      <w:r>
        <w:tab/>
      </w:r>
      <w:r>
        <w:tab/>
        <w:t>1</w:t>
      </w:r>
      <w:r w:rsidR="00C27EA8">
        <w:t>1</w:t>
      </w:r>
    </w:p>
    <w:p w:rsidR="00EA2810" w:rsidRDefault="00EA2810" w:rsidP="00EA2810">
      <w:pPr>
        <w:pStyle w:val="SingleTxtG"/>
        <w:tabs>
          <w:tab w:val="right" w:pos="850"/>
          <w:tab w:val="left" w:pos="1134"/>
          <w:tab w:val="left" w:pos="1559"/>
          <w:tab w:val="left" w:pos="1984"/>
          <w:tab w:val="left" w:leader="dot" w:pos="8787"/>
          <w:tab w:val="right" w:pos="9638"/>
        </w:tabs>
        <w:ind w:left="0" w:right="0"/>
        <w:jc w:val="left"/>
      </w:pPr>
      <w:r>
        <w:tab/>
      </w:r>
      <w:r>
        <w:tab/>
        <w:t>Artículo 4 – Condena de todas las formas de propaganda racista</w:t>
      </w:r>
      <w:r>
        <w:tab/>
      </w:r>
      <w:r>
        <w:tab/>
        <w:t>13</w:t>
      </w:r>
    </w:p>
    <w:p w:rsidR="00EA2810" w:rsidRDefault="00EA2810" w:rsidP="00EA2810">
      <w:pPr>
        <w:pStyle w:val="SingleTxtG"/>
        <w:tabs>
          <w:tab w:val="right" w:pos="850"/>
          <w:tab w:val="left" w:pos="1134"/>
          <w:tab w:val="left" w:pos="1559"/>
          <w:tab w:val="left" w:pos="1984"/>
          <w:tab w:val="left" w:leader="dot" w:pos="8787"/>
          <w:tab w:val="right" w:pos="9638"/>
        </w:tabs>
        <w:ind w:left="0" w:right="0"/>
        <w:jc w:val="left"/>
      </w:pPr>
      <w:r>
        <w:tab/>
      </w:r>
      <w:r>
        <w:tab/>
        <w:t>Artículo 5 – Disfrute de los derechos sin discriminación</w:t>
      </w:r>
      <w:r>
        <w:tab/>
      </w:r>
      <w:r>
        <w:tab/>
        <w:t>1</w:t>
      </w:r>
      <w:r w:rsidR="00C27EA8">
        <w:t>5</w:t>
      </w:r>
      <w:bookmarkStart w:id="1" w:name="_GoBack"/>
      <w:bookmarkEnd w:id="1"/>
    </w:p>
    <w:p w:rsidR="00EA2810" w:rsidRDefault="00EA2810" w:rsidP="00EA2810">
      <w:pPr>
        <w:pStyle w:val="SingleTxtG"/>
        <w:tabs>
          <w:tab w:val="right" w:pos="850"/>
          <w:tab w:val="left" w:pos="1134"/>
          <w:tab w:val="left" w:pos="1559"/>
          <w:tab w:val="left" w:pos="1984"/>
          <w:tab w:val="left" w:leader="dot" w:pos="8787"/>
          <w:tab w:val="right" w:pos="9638"/>
        </w:tabs>
        <w:ind w:left="0" w:right="0"/>
        <w:jc w:val="left"/>
      </w:pPr>
      <w:r>
        <w:tab/>
      </w:r>
      <w:r>
        <w:tab/>
        <w:t>Artículo 6 – Protección y recursos jurídicos efectivos</w:t>
      </w:r>
      <w:r>
        <w:tab/>
      </w:r>
      <w:r>
        <w:tab/>
        <w:t>25</w:t>
      </w:r>
    </w:p>
    <w:p w:rsidR="00EA2810" w:rsidRDefault="00EA2810" w:rsidP="00EA2810">
      <w:pPr>
        <w:pStyle w:val="SingleTxtG"/>
        <w:tabs>
          <w:tab w:val="right" w:pos="850"/>
          <w:tab w:val="left" w:pos="1134"/>
          <w:tab w:val="left" w:pos="1559"/>
          <w:tab w:val="left" w:pos="1984"/>
          <w:tab w:val="left" w:leader="dot" w:pos="8787"/>
          <w:tab w:val="right" w:pos="9638"/>
        </w:tabs>
        <w:ind w:left="0" w:right="0"/>
        <w:jc w:val="left"/>
      </w:pPr>
      <w:r>
        <w:tab/>
      </w:r>
      <w:r>
        <w:tab/>
        <w:t>Artículo 7 – Educación, cultura e información</w:t>
      </w:r>
      <w:r>
        <w:tab/>
      </w:r>
      <w:r>
        <w:tab/>
        <w:t>26</w:t>
      </w:r>
    </w:p>
    <w:p w:rsidR="00CF5023" w:rsidRPr="00CF5023" w:rsidRDefault="00CF5023" w:rsidP="00CF5023">
      <w:pPr>
        <w:pStyle w:val="H56G"/>
      </w:pPr>
      <w:r>
        <w:tab/>
      </w:r>
      <w:r w:rsidRPr="00513E62">
        <w:t>Anexos</w:t>
      </w:r>
      <w:r w:rsidRPr="00CF5023">
        <w:rPr>
          <w:rStyle w:val="Refdenotaalpie"/>
          <w:sz w:val="20"/>
          <w:vertAlign w:val="baseline"/>
        </w:rPr>
        <w:footnoteReference w:customMarkFollows="1" w:id="2"/>
        <w:t>**</w:t>
      </w:r>
    </w:p>
    <w:p w:rsidR="00CF5023" w:rsidRPr="00513E62" w:rsidRDefault="00CF5023" w:rsidP="00EA2810">
      <w:pPr>
        <w:pStyle w:val="SingleTxtG"/>
      </w:pPr>
    </w:p>
    <w:p w:rsidR="00CD2C0D" w:rsidRPr="00513E62" w:rsidRDefault="00CF5023" w:rsidP="00CD2C0D">
      <w:pPr>
        <w:pStyle w:val="HChG"/>
      </w:pPr>
      <w:r>
        <w:br w:type="page"/>
      </w:r>
      <w:r w:rsidR="00CD2C0D">
        <w:lastRenderedPageBreak/>
        <w:tab/>
      </w:r>
      <w:bookmarkStart w:id="2" w:name="_Toc453253387"/>
      <w:r w:rsidR="00CD2C0D" w:rsidRPr="00513E62">
        <w:t>I.</w:t>
      </w:r>
      <w:r w:rsidR="00CD2C0D" w:rsidRPr="00513E62">
        <w:tab/>
        <w:t>Introducción</w:t>
      </w:r>
      <w:bookmarkEnd w:id="2"/>
    </w:p>
    <w:p w:rsidR="00CD2C0D" w:rsidRPr="00513E62" w:rsidRDefault="00CD2C0D" w:rsidP="00CD2C0D">
      <w:pPr>
        <w:pStyle w:val="SingleTxtG"/>
      </w:pPr>
      <w:r w:rsidRPr="00513E62">
        <w:t>1.</w:t>
      </w:r>
      <w:r w:rsidRPr="00513E62">
        <w:tab/>
        <w:t xml:space="preserve">Los informes periódicos combinados 23º y 24º de Chipre sobre </w:t>
      </w:r>
      <w:smartTag w:uri="urn:schemas-microsoft-com:office:smarttags" w:element="PersonName">
        <w:smartTagPr>
          <w:attr w:name="ProductID" w:val="ムヺ̽䰄ベꋨࣕal ƂԈѸム̽ࣕࣕƇԌǲԈ桀ヹઘ͉樜ヹ̀ム匠̾黈ࣕ﹀̽￀̽ǪԈઈ̾Ѹ̾ǢԈ桀ヹಀ̾樜ヹ̀ム鹈ࣕ齈ࣕ﹀̽￀̽ǚԈઈ̾ϐ̾ǒԈ桀ヹ೰̾樜ヹ̀ム黈ࣕꀐࣕ﹀̽￀̽ǊԈઈ̾Ű̾ ǂԌヺьムヺ̽䰄ベ๰̾ ĻԈ桀ヹൠ̾樜ヹ̀ム齈ࣕꃈࣕ﹀̽￀̽ĳԈ-DosĴԈઈ̾Ѹ̾ĬԌ໐ࢆꅈࣕĢԈ桀ヹැ̾樜ヹ̀ムꀐࣕꅘࣕ﹀̽￀̽ĚԈઈ̾ϐ̾ĒԌ헰ࣗ9ĐԈ桀ヹเ̾樜ヹ̀ムꃈࣕꉠࣕ﹀̽￀̽ĈԈѸム̽࠴ࣛ૨ࣛčԈ&#10;serieĀԈĆԈ䤜攀樌攀䩄攀攀쫘ࣘ헰ࣗ徘ࣗűԈ桀ヹະ̾樜ヹ̀ムꅘࣕ賀ࣛ﹀̽￀̽ũԈ:ken ListŢԈӯÀ䘀ŦԈ鶤ࣕ๸̾ﮰࣔTagśԈ嶰攁嶜攁嶄攁ꇨࣕ嵬攁œԈѸム̽ࣕࣕŔԈunaŋԈѸム̽卤ࣛ哸ࣛŌԈ&#10;serieŃԈWINWORD.EXEŇԌ ͌&#10;Ȍ&#10;1ƻԈઈ̾鶀ࣕƳԈ璨ࣝƷԎunov.orgƫԌ ꒠ล꒠ล꒠ล꒠ล䮐̾䮐̾㤨द㤨द㤨द ƣԌヺьムヺ̽䰄ベഠ̾al ƘԈofƟԈѸム̽{ꗌࣕꕘࣕ ƐԌヺьムヺ̽䰄ベꖠࣕ ƉԈꕼࣕꙘࣕ䍠ࣔƂԈ-ƁԈѸム̽|꙼ࣕꘈࣕ ǺԌヺьムヺ̽"/>
        </w:smartTagPr>
        <w:r w:rsidRPr="00513E62">
          <w:t>la Convención Internacional</w:t>
        </w:r>
      </w:smartTag>
      <w:r w:rsidRPr="00513E62">
        <w:t xml:space="preserve"> sobre </w:t>
      </w:r>
      <w:smartTag w:uri="urn:schemas-microsoft-com:office:smarttags" w:element="PersonName">
        <w:smartTagPr>
          <w:attr w:name="ProductID" w:val="la Eliminaci￳n"/>
        </w:smartTagPr>
        <w:r w:rsidRPr="00513E62">
          <w:t>la Eliminación</w:t>
        </w:r>
      </w:smartTag>
      <w:r w:rsidRPr="00513E62">
        <w:t xml:space="preserve"> de Todas las Formas de Discriminación </w:t>
      </w:r>
      <w:r w:rsidRPr="00513E62">
        <w:rPr>
          <w:iCs/>
        </w:rPr>
        <w:t>Racial</w:t>
      </w:r>
      <w:r w:rsidRPr="00513E62">
        <w:t xml:space="preserve"> (en lo sucesivo, </w:t>
      </w:r>
      <w:r>
        <w:t>“</w:t>
      </w:r>
      <w:r w:rsidRPr="00513E62">
        <w:t>el presente informe</w:t>
      </w:r>
      <w:r>
        <w:t>”</w:t>
      </w:r>
      <w:r w:rsidRPr="00513E62">
        <w:t xml:space="preserve">) se han elaborado de conformidad con las Directrices relativas al documento específicamente destinado al Comité para </w:t>
      </w:r>
      <w:smartTag w:uri="urn:schemas-microsoft-com:office:smarttags" w:element="PersonName">
        <w:smartTagPr>
          <w:attr w:name="ProductID" w:val="la Eliminaci￳n"/>
        </w:smartTagPr>
        <w:r w:rsidRPr="00513E62">
          <w:t>la Eliminación</w:t>
        </w:r>
      </w:smartTag>
      <w:r w:rsidRPr="00513E62">
        <w:t xml:space="preserve"> de </w:t>
      </w:r>
      <w:smartTag w:uri="urn:schemas-microsoft-com:office:smarttags" w:element="PersonName">
        <w:smartTagPr>
          <w:attr w:name="ProductID" w:val="ムヺ̽䰄ベ䔘ઇ ĊԈѸム̽Ŏ䎴ઇ䍀ઇ ďԌヺьムヺ̽䰄ベ䎈ઇ ĘԈ䍤ઇ䏸ઇ䊈ઇĝԈ.ĐԈѸム̽Ő䐜ઇ䀰ઇĕԈ䁔ઇ䒨ઇ䎐ઇǪԈElǭԈѸム̽œ䓌ઇ䑘ઇ ǢԌヺьムヺ̽䰄ベ䒠ઇ ǻԈ䑼ઇ䔠ઇ䏸ઇǰԈinformeǵԈѸム̽ś䕄ઇ䋐ઇǊԈ䋴ઇ䗐ઇ䒨ઇǏԈseǂԈѸム̽Ş䗴ઇ䖀ઇ ǇԌヺьムヺ̽䰄ベ䗈ઇ ǐԈ䖤ઇ䚀ઇ䔠ઇǕԈhaƨԈѸム̽š 䚤ઇ䘰ઇ ƭԌヺьムヺ̽䰄ベ䙸ઇ ƦԈ䙔ઇ䝀ઇ䗐ઇƻԈelaboradoưԈѸム̽ū䝤ઇ䛰ઇ ƵԌヺьムヺ̽䰄ベ䜸ઇ ƎԈ䜔ઇ䟰ઇ䚀ઇƃԈ&#10;sobreƆԈѸム̽ű䠔ઇ䞠ઇ ƛԌヺьムヺ̽䰄ベ䟨ઇ ƔԈ䟄ઇ䢠ઇ䝀ઇũԈlaŬԈѸム̽Ŵ䣄ઇ䡐ઇ šԌヺьムヺ̽䰄ベ䢘ઇ źԈ䡴ઇ䥐ઇ䟰ઇſԈbaseŲԈѸム̽Ź䥴ઇ䤀ઇ ŷԌヺьムヺ̽䰄ベ䥈ઇ ŀԈ䤤ઇ䨀ઇ䢠ઇŅԈdeŘԈѸム̽ż䨤ઇ䦰ઇ ŝԌヺьムヺ̽䰄ベ䧸ઇ ŖԈ䧔ઇ䪰ઇ䥐ઇīԈlaĮԈѸム̽ſ䫔ઇ䩠ઇ ģԌヺьムヺ̽䰄ベ䪨ઇ ļԈ䪄ઇ䭰ઇ䨀ઇıԈinformaciónĶԈѸム̽Ƌ䮔ઇ䬠ઇ ċԌヺьムヺ̽䰄ベ䭨ઇ ĄԈ䭄ઇ䰠"/>
        </w:smartTagPr>
        <w:r w:rsidRPr="00513E62">
          <w:t>la Discriminación Racial</w:t>
        </w:r>
      </w:smartTag>
      <w:r w:rsidRPr="00513E62">
        <w:t xml:space="preserve"> que deben presentar los Estados partes de conformidad con el párrafo 1 del artículo 9 de </w:t>
      </w:r>
      <w:smartTag w:uri="urn:schemas-microsoft-com:office:smarttags" w:element="PersonName">
        <w:smartTagPr>
          <w:attr w:name="ProductID" w:val="la Convenci￳n"/>
        </w:smartTagPr>
        <w:r w:rsidRPr="00513E62">
          <w:t>la Convención</w:t>
        </w:r>
      </w:smartTag>
      <w:r w:rsidRPr="00513E62">
        <w:t xml:space="preserve"> [</w:t>
      </w:r>
      <w:proofErr w:type="spellStart"/>
      <w:r w:rsidRPr="00513E62">
        <w:t>CERD</w:t>
      </w:r>
      <w:proofErr w:type="spellEnd"/>
      <w:r w:rsidRPr="00513E62">
        <w:t xml:space="preserve">/C/2007/1] (en lo sucesivo, </w:t>
      </w:r>
      <w:r>
        <w:t>“</w:t>
      </w:r>
      <w:r w:rsidRPr="00513E62">
        <w:t>las Directrices</w:t>
      </w:r>
      <w:r>
        <w:t>”</w:t>
      </w:r>
      <w:r w:rsidRPr="00513E62">
        <w:t xml:space="preserve">). El presente informe trata de las cuestiones y las recomendaciones formuladas en las observaciones finales del Comité para </w:t>
      </w:r>
      <w:smartTag w:uri="urn:schemas-microsoft-com:office:smarttags" w:element="PersonName">
        <w:smartTagPr>
          <w:attr w:name="ProductID" w:val="la Eliminaci￳n"/>
        </w:smartTagPr>
        <w:r w:rsidRPr="00513E62">
          <w:t>la Eliminación</w:t>
        </w:r>
      </w:smartTag>
      <w:r w:rsidRPr="00513E62">
        <w:t xml:space="preserve"> de la Discriminación Racial</w:t>
      </w:r>
      <w:r w:rsidR="00306C8D">
        <w:t xml:space="preserve"> </w:t>
      </w:r>
      <w:r w:rsidRPr="00513E62">
        <w:t>[</w:t>
      </w:r>
      <w:proofErr w:type="spellStart"/>
      <w:r w:rsidRPr="00513E62">
        <w:t>CERD</w:t>
      </w:r>
      <w:proofErr w:type="spellEnd"/>
      <w:r w:rsidRPr="00513E62">
        <w:t>/C/</w:t>
      </w:r>
      <w:proofErr w:type="spellStart"/>
      <w:r w:rsidRPr="00513E62">
        <w:t>CYP</w:t>
      </w:r>
      <w:proofErr w:type="spellEnd"/>
      <w:r w:rsidRPr="00513E62">
        <w:t xml:space="preserve">/CO/17-22] (en lo sucesivo, </w:t>
      </w:r>
      <w:r>
        <w:t>“</w:t>
      </w:r>
      <w:r w:rsidRPr="00513E62">
        <w:t>las observaciones finales</w:t>
      </w:r>
      <w:r>
        <w:t>”</w:t>
      </w:r>
      <w:r w:rsidRPr="00513E62">
        <w:t>) durante el examen de los informes periódicos 17º a 22º combinados de Chipre [</w:t>
      </w:r>
      <w:proofErr w:type="spellStart"/>
      <w:r w:rsidRPr="00513E62">
        <w:t>CERD</w:t>
      </w:r>
      <w:proofErr w:type="spellEnd"/>
      <w:r w:rsidRPr="00513E62">
        <w:t>/C/</w:t>
      </w:r>
      <w:proofErr w:type="spellStart"/>
      <w:r w:rsidRPr="00513E62">
        <w:t>CYP</w:t>
      </w:r>
      <w:proofErr w:type="spellEnd"/>
      <w:r w:rsidRPr="00513E62">
        <w:t xml:space="preserve">/17-22] (en lo sucesivo, </w:t>
      </w:r>
      <w:r>
        <w:t>“</w:t>
      </w:r>
      <w:r w:rsidRPr="00513E62">
        <w:t>el informe anterior</w:t>
      </w:r>
      <w:r>
        <w:t>”</w:t>
      </w:r>
      <w:r w:rsidRPr="00513E62">
        <w:t>) y abarca los acontecimientos relacionados con la eliminación de todas las formas de discriminación raci</w:t>
      </w:r>
      <w:r>
        <w:t>al ocurridos en el período 2012</w:t>
      </w:r>
      <w:r>
        <w:noBreakHyphen/>
      </w:r>
      <w:r w:rsidRPr="00513E62">
        <w:t>2015.</w:t>
      </w:r>
    </w:p>
    <w:p w:rsidR="00CD2C0D" w:rsidRPr="00513E62" w:rsidRDefault="00CD2C0D" w:rsidP="00CD2C0D">
      <w:pPr>
        <w:pStyle w:val="SingleTxtG"/>
      </w:pPr>
      <w:r w:rsidRPr="00513E62">
        <w:t>2.</w:t>
      </w:r>
      <w:r w:rsidRPr="00513E62">
        <w:tab/>
        <w:t>El presente informe ha sido elaborado por el Comisionado Jurídico de Chipre, que, con arreglo a una decisión del Consejo de Ministros (Decisión núm. 38.958, de 25 de febrero de 1993), tiene la misión de velar por que Chipre cumpla sus obligaciones de presentación de informes a los instrumentos internac</w:t>
      </w:r>
      <w:r>
        <w:t>ionales de derechos humanos. El </w:t>
      </w:r>
      <w:r w:rsidRPr="00513E62">
        <w:t xml:space="preserve">informe se ha elaborado sobre la base de la información y los datos facilitados por los ministerios y servicios que son competentes en las materias concretas. También han facilitado información </w:t>
      </w:r>
      <w:smartTag w:uri="urn:schemas-microsoft-com:office:smarttags" w:element="PersonName">
        <w:smartTagPr>
          <w:attr w:name="ProductID" w:val="la Ombudsman"/>
        </w:smartTagPr>
        <w:r w:rsidRPr="00513E62">
          <w:t>la Ombudsman</w:t>
        </w:r>
      </w:smartTag>
      <w:r w:rsidRPr="00513E62">
        <w:t xml:space="preserve">, el Organismo de Lucha contra </w:t>
      </w:r>
      <w:smartTag w:uri="urn:schemas-microsoft-com:office:smarttags" w:element="PersonName">
        <w:smartTagPr>
          <w:attr w:name="ProductID" w:val="la Discriminaci￳n"/>
        </w:smartTagPr>
        <w:r w:rsidRPr="00513E62">
          <w:t>la Discriminación</w:t>
        </w:r>
      </w:smartTag>
      <w:r w:rsidRPr="00513E62">
        <w:t xml:space="preserve"> y </w:t>
      </w:r>
      <w:smartTag w:uri="urn:schemas-microsoft-com:office:smarttags" w:element="PersonName">
        <w:smartTagPr>
          <w:attr w:name="ProductID" w:val="la Autoridad Independiente"/>
        </w:smartTagPr>
        <w:r w:rsidRPr="00513E62">
          <w:t>la Autoridad Independiente</w:t>
        </w:r>
      </w:smartTag>
      <w:r w:rsidRPr="00513E62">
        <w:t xml:space="preserve"> para </w:t>
      </w:r>
      <w:smartTag w:uri="urn:schemas-microsoft-com:office:smarttags" w:element="PersonName">
        <w:smartTagPr>
          <w:attr w:name="ProductID" w:val="la Investigaci￳n"/>
        </w:smartTagPr>
        <w:r w:rsidRPr="00513E62">
          <w:t>la Investigación</w:t>
        </w:r>
      </w:smartTag>
      <w:r w:rsidRPr="00513E62">
        <w:t xml:space="preserve"> de Denuncias y Quejas contra </w:t>
      </w:r>
      <w:smartTag w:uri="urn:schemas-microsoft-com:office:smarttags" w:element="PersonName">
        <w:smartTagPr>
          <w:attr w:name="ProductID" w:val="la Polic￭a."/>
        </w:smartTagPr>
        <w:r w:rsidRPr="00513E62">
          <w:t>la Policía.</w:t>
        </w:r>
      </w:smartTag>
    </w:p>
    <w:p w:rsidR="00CD2C0D" w:rsidRPr="00513E62" w:rsidRDefault="00CD2C0D" w:rsidP="00CD2C0D">
      <w:pPr>
        <w:pStyle w:val="SingleTxtG"/>
      </w:pPr>
      <w:r w:rsidRPr="00513E62">
        <w:t>3.</w:t>
      </w:r>
      <w:r w:rsidRPr="00513E62">
        <w:tab/>
        <w:t xml:space="preserve">A causa de la continuación de la ocupación extranjera ilegal del 36,2% del territorio de </w:t>
      </w:r>
      <w:smartTag w:uri="urn:schemas-microsoft-com:office:smarttags" w:element="PersonName">
        <w:smartTagPr>
          <w:attr w:name="ProductID" w:val="la Rep￺blica"/>
        </w:smartTagPr>
        <w:r w:rsidRPr="00513E62">
          <w:t>la República</w:t>
        </w:r>
      </w:smartTag>
      <w:r w:rsidRPr="00513E62">
        <w:t xml:space="preserve"> de Chipre, el Gobierno no se encuentra en condiciones de ejercer el control efectivo sobre la totalidad del territorio y, por consiguiente, no puede garantizar la aplicación de los instrumentos internacionales de derechos humanos ni tomar medidas para que se cumplan las recomendaciones de los órganos creados en virtud de tratados en las zonas que no están bajo su control efectivo. Este hecho está reflejado en el informe de </w:t>
      </w:r>
      <w:smartTag w:uri="urn:schemas-microsoft-com:office:smarttags" w:element="PersonName">
        <w:smartTagPr>
          <w:attr w:name="ProductID" w:val="la Oficina"/>
        </w:smartTagPr>
        <w:r w:rsidRPr="00513E62">
          <w:t>la Oficina</w:t>
        </w:r>
      </w:smartTag>
      <w:r w:rsidRPr="00513E62">
        <w:t xml:space="preserve"> del Alto Comisionado de las Naciones Unidas para los Derechos Humanos sobre la cuestión de los derechos humanos en Chipre (A/</w:t>
      </w:r>
      <w:proofErr w:type="spellStart"/>
      <w:r w:rsidRPr="00513E62">
        <w:t>HRC</w:t>
      </w:r>
      <w:proofErr w:type="spellEnd"/>
      <w:r w:rsidRPr="00513E62">
        <w:t xml:space="preserve">/22/18). Como consecuencia de ello, al Gobierno de </w:t>
      </w:r>
      <w:smartTag w:uri="urn:schemas-microsoft-com:office:smarttags" w:element="PersonName">
        <w:smartTagPr>
          <w:attr w:name="ProductID" w:val="la Rep￺blica"/>
        </w:smartTagPr>
        <w:r w:rsidRPr="00513E62">
          <w:t>la República</w:t>
        </w:r>
      </w:smartTag>
      <w:r w:rsidRPr="00513E62">
        <w:t xml:space="preserve"> de Chipre no le es posible garantizar la plena efectividad de sus políticas ni aplicar sus leyes, políticas o programas de derechos humanos y de eliminación de todas las formas de discriminación racial a los habitantes de las partes ocupadas del país. Cabe recordar que la adhesión de Chipre a </w:t>
      </w:r>
      <w:smartTag w:uri="urn:schemas-microsoft-com:office:smarttags" w:element="PersonName">
        <w:smartTagPr>
          <w:attr w:name="ProductID" w:val="la Uni￳n Europea"/>
        </w:smartTagPr>
        <w:r w:rsidRPr="00513E62">
          <w:t>la Unión Europea</w:t>
        </w:r>
      </w:smartTag>
      <w:r w:rsidRPr="00513E62">
        <w:t xml:space="preserve"> fue objeto del Protocolo 10 del Tratado de Adhesión de 2003, en virtud del cual la aplicación del acervo comunitario queda </w:t>
      </w:r>
      <w:r>
        <w:t>“</w:t>
      </w:r>
      <w:r w:rsidRPr="00513E62">
        <w:t xml:space="preserve">suspendida en las zonas de </w:t>
      </w:r>
      <w:smartTag w:uri="urn:schemas-microsoft-com:office:smarttags" w:element="PersonName">
        <w:smartTagPr>
          <w:attr w:name="ProductID" w:val="la Rep￺blica"/>
        </w:smartTagPr>
        <w:r w:rsidRPr="00513E62">
          <w:t>la República</w:t>
        </w:r>
      </w:smartTag>
      <w:r w:rsidRPr="00513E62">
        <w:t xml:space="preserve"> de Chipre en las que el Gobierno de </w:t>
      </w:r>
      <w:smartTag w:uri="urn:schemas-microsoft-com:office:smarttags" w:element="PersonName">
        <w:smartTagPr>
          <w:attr w:name="ProductID" w:val="la Rep￺blica"/>
        </w:smartTagPr>
        <w:r w:rsidRPr="00513E62">
          <w:t>la República</w:t>
        </w:r>
      </w:smartTag>
      <w:r w:rsidRPr="00513E62">
        <w:t xml:space="preserve"> de Chipre no ejerza un control efectivo</w:t>
      </w:r>
      <w:r>
        <w:t>”</w:t>
      </w:r>
      <w:r w:rsidRPr="00513E62">
        <w:t xml:space="preserve">. Por consiguiente, toda la información y los datos facilitados en el presente informe se refieren a las zonas controladas por el Gobierno. Sírvanse consultar también la sección titulada </w:t>
      </w:r>
      <w:r>
        <w:t>“</w:t>
      </w:r>
      <w:r w:rsidRPr="00513E62">
        <w:t>Información de contexto sobre el país</w:t>
      </w:r>
      <w:r>
        <w:t>”</w:t>
      </w:r>
      <w:r w:rsidRPr="00513E62">
        <w:t xml:space="preserve"> del informe nacional presentado por Chipre en 2009 (A/</w:t>
      </w:r>
      <w:proofErr w:type="spellStart"/>
      <w:r w:rsidRPr="00513E62">
        <w:t>HRC</w:t>
      </w:r>
      <w:proofErr w:type="spellEnd"/>
      <w:r w:rsidRPr="00513E62">
        <w:t>/</w:t>
      </w:r>
      <w:proofErr w:type="spellStart"/>
      <w:r w:rsidRPr="00513E62">
        <w:t>WG.6</w:t>
      </w:r>
      <w:proofErr w:type="spellEnd"/>
      <w:r w:rsidRPr="00513E62">
        <w:t>/6/</w:t>
      </w:r>
      <w:proofErr w:type="spellStart"/>
      <w:r w:rsidRPr="00513E62">
        <w:t>CYP</w:t>
      </w:r>
      <w:proofErr w:type="spellEnd"/>
      <w:r w:rsidRPr="00513E62">
        <w:t xml:space="preserve">/1, </w:t>
      </w:r>
      <w:proofErr w:type="spellStart"/>
      <w:r w:rsidRPr="00513E62">
        <w:t>párrs</w:t>
      </w:r>
      <w:proofErr w:type="spellEnd"/>
      <w:r w:rsidRPr="00513E62">
        <w:t xml:space="preserve">. </w:t>
      </w:r>
      <w:smartTag w:uri="urn:schemas-microsoft-com:office:smarttags" w:element="metricconverter">
        <w:smartTagPr>
          <w:attr w:name="ProductID" w:val="5 a"/>
        </w:smartTagPr>
        <w:r w:rsidRPr="00513E62">
          <w:t>5 a</w:t>
        </w:r>
      </w:smartTag>
      <w:r w:rsidRPr="00513E62">
        <w:t xml:space="preserve"> 17).</w:t>
      </w:r>
    </w:p>
    <w:p w:rsidR="00CD2C0D" w:rsidRPr="00513E62" w:rsidRDefault="00CD2C0D" w:rsidP="00CD2C0D">
      <w:pPr>
        <w:pStyle w:val="SingleTxtG"/>
      </w:pPr>
      <w:r w:rsidRPr="00513E62">
        <w:t>4.</w:t>
      </w:r>
      <w:r w:rsidRPr="00513E62">
        <w:tab/>
        <w:t xml:space="preserve">En el tiempo transcurrido desde que se presentó el informe anterior y a pesar de que la situación económica siga siendo difícil, la economía chipriota ha mostrado indicios de estabilización. </w:t>
      </w:r>
      <w:smartTag w:uri="urn:schemas-microsoft-com:office:smarttags" w:element="PersonName">
        <w:smartTagPr>
          <w:attr w:name="ProductID" w:val="la Eliminaci￳n"/>
        </w:smartTagPr>
        <w:r w:rsidRPr="00513E62">
          <w:t>La República</w:t>
        </w:r>
      </w:smartTag>
      <w:r w:rsidRPr="00513E62">
        <w:t xml:space="preserve"> de Chipre ha aplicado una serie de reformas que han transformado su economía en una economía más competitiva y productiva, como confirman también las puntuaciones más elevadas que le han otorgado la agencias de calificación y la considerable disminución de los rendimientos del mercado secundario, lo que ha permitido a </w:t>
      </w:r>
      <w:smartTag w:uri="urn:schemas-microsoft-com:office:smarttags" w:element="PersonName">
        <w:smartTagPr>
          <w:attr w:name="ProductID" w:val="la Rep￺blica"/>
        </w:smartTagPr>
        <w:r w:rsidRPr="00513E62">
          <w:t>la República</w:t>
        </w:r>
      </w:smartTag>
      <w:r w:rsidRPr="00513E62">
        <w:t xml:space="preserve"> volver a</w:t>
      </w:r>
      <w:r w:rsidR="00306C8D">
        <w:t xml:space="preserve"> </w:t>
      </w:r>
      <w:r w:rsidRPr="00513E62">
        <w:t xml:space="preserve">los mercados en busca de financiación. En cuanto a la economía real, los indicios de recuperación son evidentes, ya que se ha registrado un crecimiento </w:t>
      </w:r>
      <w:r w:rsidRPr="00513E62">
        <w:lastRenderedPageBreak/>
        <w:t>positivo en los tres primeros trimestres de 2015. Según los cálculos correspondientes al conjunto del año 2015, la economía registrará una tasa de crecimiento positivo d</w:t>
      </w:r>
      <w:r>
        <w:t xml:space="preserve">el 1,5%. </w:t>
      </w:r>
      <w:r w:rsidRPr="00513E62">
        <w:t xml:space="preserve">Las condiciones del mercado laboral muestran indicios de estabilización, pues la tasa de desempleo ha disminuido ligeramente hasta un 15,5% aproximadamente de la población activa en 2015, después de que hubo alcanzado un máximo del 16,1% en 2014. En cuanto a las finanzas públicas, los objetivos presupuestarios se han cumplido con márgenes considerables, sobre todo gracias a que el presupuesto se ha ejecutado con prudencia y a que la situación económica ha sido mejor de lo previsto. En el sector financiero, las instituciones bancarias se han recapitalizado y reestructurado de manera debida, lo que ha restituido gradualmente la confianza en el sector, con la consiguiente supresión de todos los controles de capitales. Cabe señalar que está previsto que </w:t>
      </w:r>
      <w:smartTag w:uri="urn:schemas-microsoft-com:office:smarttags" w:element="PersonName">
        <w:smartTagPr>
          <w:attr w:name="ProductID" w:val="la Eliminaci￳n"/>
        </w:smartTagPr>
        <w:r w:rsidRPr="00513E62">
          <w:t>la República</w:t>
        </w:r>
      </w:smartTag>
      <w:r w:rsidRPr="00513E62">
        <w:t xml:space="preserve"> de Chipre finalice con éxito el Programa de Ajuste Macroeconómico en marzo de 2016.</w:t>
      </w:r>
    </w:p>
    <w:p w:rsidR="00CD2C0D" w:rsidRPr="00513E62" w:rsidRDefault="00CD2C0D" w:rsidP="00CD2C0D">
      <w:pPr>
        <w:pStyle w:val="SingleTxtG"/>
      </w:pPr>
      <w:r w:rsidRPr="00513E62">
        <w:t>5.</w:t>
      </w:r>
      <w:r w:rsidRPr="00513E62">
        <w:tab/>
        <w:t>A pesar de las dificultades económicas que afronta actualmente, Chipre está decidido a seguir concertando esfuerzos para asegurar el pleno cumplimiento de todos los tratados internacionales de derechos humanos en los que es parte y a salvaguardar los derechos humanos de todas las personas del país. Para Chipre, el respeto de los derechos humanos reviste una importancia capital y las autoridades no cejarán en sus esfuerzos encaminados a tal fin. Chipre sigue otorgando contribuciones voluntarias a diversos fondos y organismos de las Naciones Unidas que participan en actividades relacionadas con los derechos humanos, lo que pone en evidencia su adhesión y determinación por lo que respecta a la promoción de los derechos humanos.</w:t>
      </w:r>
    </w:p>
    <w:p w:rsidR="00CD2C0D" w:rsidRPr="00513E62" w:rsidRDefault="00CD2C0D" w:rsidP="00CD2C0D">
      <w:pPr>
        <w:pStyle w:val="SingleTxtG"/>
      </w:pPr>
      <w:r w:rsidRPr="00513E62">
        <w:t>6.</w:t>
      </w:r>
      <w:r w:rsidRPr="00513E62">
        <w:tab/>
        <w:t>El presente informe sigue la estructura de las Directrices. Comienza haciendo referencia al párrafo 18 de estas y a continuación trata por orden cada uno de los artículos, de conformidad con lo dispuesto en el artículo 19. Se centra en los acontecimientos registrados desde noviembre de 2012 en las esferas de la legislación, las normas administrativas, las políticas gubernamentales y los planes nacionales de acción. Tal como se ha solicitado, se evita repetir información haciendo referencia a la que figura en el informe anterior, en las observaciones finales y en el informe de seguimiento de 14 de julio de 2014 [</w:t>
      </w:r>
      <w:proofErr w:type="spellStart"/>
      <w:r w:rsidRPr="00513E62">
        <w:t>CERD</w:t>
      </w:r>
      <w:proofErr w:type="spellEnd"/>
      <w:r w:rsidRPr="00513E62">
        <w:t>/C/</w:t>
      </w:r>
      <w:proofErr w:type="spellStart"/>
      <w:r w:rsidRPr="00513E62">
        <w:t>CYP</w:t>
      </w:r>
      <w:proofErr w:type="spellEnd"/>
      <w:r w:rsidRPr="00513E62">
        <w:t>/CO/17-22/</w:t>
      </w:r>
      <w:proofErr w:type="spellStart"/>
      <w:r w:rsidRPr="00513E62">
        <w:t>Add.1</w:t>
      </w:r>
      <w:proofErr w:type="spellEnd"/>
      <w:r w:rsidRPr="00513E62">
        <w:t xml:space="preserve">] (en lo sucesivo, </w:t>
      </w:r>
      <w:r>
        <w:t>“</w:t>
      </w:r>
      <w:r w:rsidRPr="00513E62">
        <w:t>el informe de seguimiento</w:t>
      </w:r>
      <w:r>
        <w:t>”</w:t>
      </w:r>
      <w:r w:rsidRPr="00513E62">
        <w:t>).</w:t>
      </w:r>
    </w:p>
    <w:p w:rsidR="00CD2C0D" w:rsidRPr="00513E62" w:rsidRDefault="00CD2C0D" w:rsidP="00CD2C0D">
      <w:pPr>
        <w:pStyle w:val="HChG"/>
      </w:pPr>
      <w:r>
        <w:tab/>
      </w:r>
      <w:bookmarkStart w:id="3" w:name="_Toc453253388"/>
      <w:r w:rsidRPr="00513E62">
        <w:t>II.</w:t>
      </w:r>
      <w:r w:rsidRPr="00513E62">
        <w:tab/>
        <w:t xml:space="preserve">Progresos en la aplicación de </w:t>
      </w:r>
      <w:smartTag w:uri="urn:schemas-microsoft-com:office:smarttags" w:element="PersonName">
        <w:smartTagPr>
          <w:attr w:name="ProductID" w:val="la Declaraci￳n"/>
        </w:smartTagPr>
        <w:r w:rsidRPr="00513E62">
          <w:t>la Declaración</w:t>
        </w:r>
      </w:smartTag>
      <w:r w:rsidRPr="00513E62">
        <w:t xml:space="preserve"> de </w:t>
      </w:r>
      <w:proofErr w:type="spellStart"/>
      <w:r w:rsidRPr="00513E62">
        <w:t>Durban</w:t>
      </w:r>
      <w:bookmarkEnd w:id="3"/>
      <w:proofErr w:type="spellEnd"/>
    </w:p>
    <w:p w:rsidR="00CD2C0D" w:rsidRPr="00513E62" w:rsidRDefault="00CD2C0D" w:rsidP="00CD2C0D">
      <w:pPr>
        <w:pStyle w:val="SingleTxtG"/>
      </w:pPr>
      <w:r w:rsidRPr="00513E62">
        <w:t>[Véase ta</w:t>
      </w:r>
      <w:r w:rsidR="00770B36">
        <w:t>mbién el informe anterior, párrafo</w:t>
      </w:r>
      <w:r w:rsidRPr="00513E62">
        <w:t xml:space="preserve"> 6</w:t>
      </w:r>
      <w:r>
        <w:t>.</w:t>
      </w:r>
      <w:r w:rsidRPr="00513E62">
        <w:t>]</w:t>
      </w:r>
    </w:p>
    <w:p w:rsidR="00CD2C0D" w:rsidRPr="00513E62" w:rsidRDefault="00CD2C0D" w:rsidP="00CD2C0D">
      <w:pPr>
        <w:pStyle w:val="H23G"/>
      </w:pPr>
      <w:r>
        <w:tab/>
      </w:r>
      <w:r>
        <w:tab/>
      </w:r>
      <w:r w:rsidR="00770B36">
        <w:t>Plan Nacional de Acción contra el Racismo</w:t>
      </w:r>
      <w:r w:rsidRPr="00513E62">
        <w:t xml:space="preserve"> </w:t>
      </w:r>
    </w:p>
    <w:p w:rsidR="00CD2C0D" w:rsidRPr="00513E62" w:rsidRDefault="00CD2C0D" w:rsidP="00CD2C0D">
      <w:pPr>
        <w:pStyle w:val="SingleTxtG"/>
      </w:pPr>
      <w:r w:rsidRPr="00513E62">
        <w:t>7.</w:t>
      </w:r>
      <w:r w:rsidRPr="00513E62">
        <w:tab/>
        <w:t xml:space="preserve">El </w:t>
      </w:r>
      <w:r w:rsidR="00770B36">
        <w:t>Plan Nacional de Acción contra el Racismo</w:t>
      </w:r>
      <w:r w:rsidRPr="00513E62">
        <w:t xml:space="preserve">, que redactó después de la declaración de </w:t>
      </w:r>
      <w:proofErr w:type="spellStart"/>
      <w:r w:rsidRPr="00513E62">
        <w:t>Durban</w:t>
      </w:r>
      <w:proofErr w:type="spellEnd"/>
      <w:r w:rsidRPr="00513E62">
        <w:t xml:space="preserve">, concluyó en 2003. Al evaluarlo, se comprobó que cumplía su finalidad: ofrecía la oportunidad de aprovechar y mejorar las políticas y estrategias existentes de lucha contra el racismo en Chipre y de fijar nuevas prioridades y esferas de actividad que pudieran aglutinarse en el plan coherente general. Desde 2004, año en que ingresó en la Unión Europea (UE), Chipre aplica los planes de acción y las políticas de lucha contra el racismo de esta que son plenamente compatibles con la finalidad del Plan </w:t>
      </w:r>
      <w:r w:rsidR="00770B36" w:rsidRPr="00513E62">
        <w:t xml:space="preserve">Nacional </w:t>
      </w:r>
      <w:r w:rsidRPr="00513E62">
        <w:t xml:space="preserve">de </w:t>
      </w:r>
      <w:r w:rsidR="00770B36" w:rsidRPr="00513E62">
        <w:t>Acción</w:t>
      </w:r>
      <w:r w:rsidRPr="00513E62">
        <w:t>, en lo que constituye un proceso continuo.</w:t>
      </w:r>
    </w:p>
    <w:p w:rsidR="00CD2C0D" w:rsidRPr="00513E62" w:rsidRDefault="00CD2C0D" w:rsidP="00CD2C0D">
      <w:pPr>
        <w:pStyle w:val="H23G"/>
      </w:pPr>
      <w:r>
        <w:tab/>
      </w:r>
      <w:r>
        <w:tab/>
      </w:r>
      <w:r w:rsidRPr="00513E62">
        <w:t>Plan Estratégico de Igualdad entre Mujeres y Hombres 2014-2017</w:t>
      </w:r>
    </w:p>
    <w:p w:rsidR="00CD2C0D" w:rsidRPr="00513E62" w:rsidRDefault="00CD2C0D" w:rsidP="00CD2C0D">
      <w:pPr>
        <w:pStyle w:val="SingleTxtG"/>
      </w:pPr>
      <w:r w:rsidRPr="00513E62">
        <w:t>8.</w:t>
      </w:r>
      <w:r w:rsidRPr="00513E62">
        <w:tab/>
        <w:t xml:space="preserve">El Plan Estratégico fue aprobado por el Consejo de Ministros en diciembre de 2014. Fue un logro colectivo que surgió de la estrecha colaboración con todos los departamentos gubernamentales, </w:t>
      </w:r>
      <w:smartTag w:uri="urn:schemas-microsoft-com:office:smarttags" w:element="PersonName">
        <w:smartTagPr>
          <w:attr w:name="ProductID" w:val="la Comisionada"/>
        </w:smartTagPr>
        <w:r w:rsidRPr="00513E62">
          <w:t>la Comisionada</w:t>
        </w:r>
      </w:smartTag>
      <w:r w:rsidRPr="00513E62">
        <w:t xml:space="preserve"> para </w:t>
      </w:r>
      <w:smartTag w:uri="urn:schemas-microsoft-com:office:smarttags" w:element="PersonName">
        <w:smartTagPr>
          <w:attr w:name="ProductID" w:val="la Igualdad"/>
        </w:smartTagPr>
        <w:r w:rsidRPr="00513E62">
          <w:t>la Igualdad</w:t>
        </w:r>
      </w:smartTag>
      <w:r w:rsidRPr="00513E62">
        <w:t xml:space="preserve"> de Género, organizaciones de mujeres y otras organizaciones no gubernamentales (ONG), instituciones académicas y órganos de </w:t>
      </w:r>
      <w:r w:rsidRPr="00513E62">
        <w:lastRenderedPageBreak/>
        <w:t>derechos humanos, a raíz de la revisión del Plan de Acción Nacional sobre la Igualdad de Género 2007-2013.</w:t>
      </w:r>
    </w:p>
    <w:p w:rsidR="00CD2C0D" w:rsidRPr="00513E62" w:rsidRDefault="00CD2C0D" w:rsidP="00CD2C0D">
      <w:pPr>
        <w:pStyle w:val="SingleTxtG"/>
      </w:pPr>
      <w:r w:rsidRPr="00513E62">
        <w:t>9.</w:t>
      </w:r>
      <w:r w:rsidRPr="00513E62">
        <w:tab/>
        <w:t>El Plan Estratégico comprende los siguientes ámbitos temáticos y objetivos:</w:t>
      </w:r>
    </w:p>
    <w:p w:rsidR="00CD2C0D" w:rsidRPr="00513E62" w:rsidRDefault="00CD2C0D" w:rsidP="00CD2C0D">
      <w:pPr>
        <w:pStyle w:val="Bullet1G"/>
      </w:pPr>
      <w:r w:rsidRPr="00513E62">
        <w:t>La reforma institucional para implantar la igualdad de género de manera efectiva;</w:t>
      </w:r>
    </w:p>
    <w:p w:rsidR="00CD2C0D" w:rsidRPr="00513E62" w:rsidRDefault="00CD2C0D" w:rsidP="00CD2C0D">
      <w:pPr>
        <w:pStyle w:val="Bullet1G"/>
      </w:pPr>
      <w:r w:rsidRPr="00513E62">
        <w:t>La reforma legislativa o el perfeccionamiento del marco legislativo;</w:t>
      </w:r>
    </w:p>
    <w:p w:rsidR="00CD2C0D" w:rsidRPr="00513E62" w:rsidRDefault="00CD2C0D" w:rsidP="00CD2C0D">
      <w:pPr>
        <w:pStyle w:val="Bullet1G"/>
      </w:pPr>
      <w:r w:rsidRPr="00513E62">
        <w:t>La participación equilibrada de las mujeres y los hombres en la vida pública y política;</w:t>
      </w:r>
    </w:p>
    <w:p w:rsidR="00CD2C0D" w:rsidRPr="00513E62" w:rsidRDefault="00CD2C0D" w:rsidP="00CD2C0D">
      <w:pPr>
        <w:pStyle w:val="Bullet1G"/>
      </w:pPr>
      <w:r w:rsidRPr="00513E62">
        <w:t>La lucha contra todas las formas de violencia contra la mujer;</w:t>
      </w:r>
    </w:p>
    <w:p w:rsidR="00CD2C0D" w:rsidRPr="00513E62" w:rsidRDefault="00CD2C0D" w:rsidP="00CD2C0D">
      <w:pPr>
        <w:pStyle w:val="Bullet1G"/>
      </w:pPr>
      <w:r w:rsidRPr="00513E62">
        <w:t>El empoderamiento económico de la mujer, y</w:t>
      </w:r>
    </w:p>
    <w:p w:rsidR="00CD2C0D" w:rsidRPr="00513E62" w:rsidRDefault="00CD2C0D" w:rsidP="00CD2C0D">
      <w:pPr>
        <w:pStyle w:val="Bullet1G"/>
      </w:pPr>
      <w:r w:rsidRPr="00513E62">
        <w:t>La erradicación de los estereotipos de género.</w:t>
      </w:r>
    </w:p>
    <w:p w:rsidR="00CD2C0D" w:rsidRPr="00513E62" w:rsidRDefault="00CD2C0D" w:rsidP="00CD2C0D">
      <w:pPr>
        <w:pStyle w:val="SingleTxtG"/>
      </w:pPr>
      <w:r w:rsidRPr="00513E62">
        <w:t>10.</w:t>
      </w:r>
      <w:r w:rsidRPr="00513E62">
        <w:tab/>
        <w:t>En este Plan Estratégico se introducen medidas para atajar las numerosas formas de discriminación que sufren los grupos vulnerables, por ejemplo las siguientes:</w:t>
      </w:r>
    </w:p>
    <w:p w:rsidR="00CD2C0D" w:rsidRPr="00513E62" w:rsidRDefault="00CD2C0D" w:rsidP="00CD2C0D">
      <w:pPr>
        <w:pStyle w:val="SingleTxtG"/>
      </w:pPr>
      <w:r>
        <w:tab/>
      </w:r>
      <w:r w:rsidRPr="00513E62">
        <w:t>a)</w:t>
      </w:r>
      <w:r w:rsidRPr="00513E62">
        <w:tab/>
        <w:t>Un proyecto de activación laboral y social de las personas pertenecientes a grupos vulnerables mediante actividades de preparación para la vida en sociedad y otras actividades;</w:t>
      </w:r>
    </w:p>
    <w:p w:rsidR="00CD2C0D" w:rsidRPr="00513E62" w:rsidRDefault="00CD2C0D" w:rsidP="00CD2C0D">
      <w:pPr>
        <w:pStyle w:val="SingleTxtG"/>
      </w:pPr>
      <w:r>
        <w:tab/>
      </w:r>
      <w:r w:rsidRPr="00513E62">
        <w:t>b)</w:t>
      </w:r>
      <w:r w:rsidRPr="00513E62">
        <w:tab/>
        <w:t>Un centro de información de ayuda a los inmigrantes, creado en el seno del Centro Municipal Polivalente de Nicosia para proporcionar información y prestar servicios conexos a los inmigrantes, por ejemplo servicios sociales, asesoramiento, información sobre cómo conectarse con organizaciones de inmigrantes y otras ONG, etc.;</w:t>
      </w:r>
    </w:p>
    <w:p w:rsidR="00CD2C0D" w:rsidRPr="00513E62" w:rsidRDefault="00CD2C0D" w:rsidP="00CD2C0D">
      <w:pPr>
        <w:pStyle w:val="SingleTxtG"/>
      </w:pPr>
      <w:r>
        <w:tab/>
      </w:r>
      <w:r w:rsidRPr="00513E62">
        <w:t>c)</w:t>
      </w:r>
      <w:r w:rsidRPr="00513E62">
        <w:tab/>
        <w:t>En el Centro Municipal Polivalente de Nicosia se imparten cursos de lengua griega e inglesa y de informática a los inmigrantes adultos;</w:t>
      </w:r>
    </w:p>
    <w:p w:rsidR="00CD2C0D" w:rsidRPr="00513E62" w:rsidRDefault="00CD2C0D" w:rsidP="00CD2C0D">
      <w:pPr>
        <w:pStyle w:val="SingleTxtG"/>
      </w:pPr>
      <w:r>
        <w:tab/>
      </w:r>
      <w:r w:rsidRPr="00513E62">
        <w:t>d)</w:t>
      </w:r>
      <w:r w:rsidRPr="00513E62">
        <w:tab/>
        <w:t>En el mismo centro se imparten, a nacionales de países no pertenecientes a la</w:t>
      </w:r>
      <w:r w:rsidR="00980D59">
        <w:t xml:space="preserve"> Unión Europea</w:t>
      </w:r>
      <w:r w:rsidRPr="00513E62">
        <w:t>, seminarios de orientación en los que se les facilita información general sobre Chipre (vivienda, transporte, comunicaciones, trabajo, servicios de salud);</w:t>
      </w:r>
    </w:p>
    <w:p w:rsidR="00CD2C0D" w:rsidRPr="00513E62" w:rsidRDefault="00CD2C0D" w:rsidP="00CD2C0D">
      <w:pPr>
        <w:pStyle w:val="SingleTxtG"/>
      </w:pPr>
      <w:r>
        <w:tab/>
      </w:r>
      <w:r w:rsidRPr="00513E62">
        <w:t>e)</w:t>
      </w:r>
      <w:r w:rsidRPr="00513E62">
        <w:tab/>
        <w:t>Los programas de estudios de las escuelas están concebidos para promover la igualdad y el respeto mutuo entre todos los niños dentro de las aulas, con independencia de su origen y su género.</w:t>
      </w:r>
    </w:p>
    <w:p w:rsidR="00CD2C0D" w:rsidRPr="00513E62" w:rsidRDefault="00CD2C0D" w:rsidP="00CD2C0D">
      <w:pPr>
        <w:pStyle w:val="SingleTxtG"/>
      </w:pPr>
      <w:r w:rsidRPr="00513E62">
        <w:t>11.</w:t>
      </w:r>
      <w:r w:rsidRPr="00513E62">
        <w:tab/>
        <w:t xml:space="preserve">Se ha distribuido este </w:t>
      </w:r>
      <w:r w:rsidR="00770B36" w:rsidRPr="00513E62">
        <w:t xml:space="preserve">Plan Estratégico </w:t>
      </w:r>
      <w:r w:rsidRPr="00513E62">
        <w:t xml:space="preserve">a todos los ministerios, los órganos gubernamentales, los órganos que velan por la igualdad, las organizaciones de mujeres, las ONG, las administraciones locales y </w:t>
      </w:r>
      <w:smartTag w:uri="urn:schemas-microsoft-com:office:smarttags" w:element="PersonName">
        <w:smartTagPr>
          <w:attr w:name="ProductID" w:val="la C￡mara"/>
        </w:smartTagPr>
        <w:r w:rsidRPr="00513E62">
          <w:t>la Cámara</w:t>
        </w:r>
      </w:smartTag>
      <w:r w:rsidRPr="00513E62">
        <w:t xml:space="preserve"> de Representantes, para que promuevan y potencien sus respectivas labores y apliquen medidas para favorecer la igualdad de género dentro de sus respectivas competencias.</w:t>
      </w:r>
    </w:p>
    <w:p w:rsidR="00CD2C0D" w:rsidRPr="00513E62" w:rsidRDefault="00CD2C0D" w:rsidP="00CD2C0D">
      <w:pPr>
        <w:pStyle w:val="H23G"/>
      </w:pPr>
      <w:r>
        <w:tab/>
      </w:r>
      <w:r>
        <w:tab/>
      </w:r>
      <w:r w:rsidRPr="00513E62">
        <w:t xml:space="preserve">Mecanismo Nacional para los Derechos de </w:t>
      </w:r>
      <w:smartTag w:uri="urn:schemas-microsoft-com:office:smarttags" w:element="PersonName">
        <w:smartTagPr>
          <w:attr w:name="ProductID" w:val="la Mujer"/>
        </w:smartTagPr>
        <w:r w:rsidRPr="00513E62">
          <w:t>la Mujer</w:t>
        </w:r>
      </w:smartTag>
    </w:p>
    <w:p w:rsidR="00CD2C0D" w:rsidRPr="00513E62" w:rsidRDefault="00CD2C0D" w:rsidP="00CD2C0D">
      <w:pPr>
        <w:pStyle w:val="SingleTxtG"/>
      </w:pPr>
      <w:r w:rsidRPr="00513E62">
        <w:t>12.</w:t>
      </w:r>
      <w:r w:rsidRPr="00513E62">
        <w:tab/>
        <w:t xml:space="preserve">Dentro del Mecanismo Nacional para los Derechos de </w:t>
      </w:r>
      <w:smartTag w:uri="urn:schemas-microsoft-com:office:smarttags" w:element="PersonName">
        <w:smartTagPr>
          <w:attr w:name="ProductID" w:val="la Mujer"/>
        </w:smartTagPr>
        <w:r w:rsidRPr="00513E62">
          <w:t>la Mujer</w:t>
        </w:r>
      </w:smartTag>
      <w:r w:rsidRPr="00513E62">
        <w:t xml:space="preserve"> se han constituido los seis comités siguientes:</w:t>
      </w:r>
    </w:p>
    <w:p w:rsidR="00CD2C0D" w:rsidRPr="00513E62" w:rsidRDefault="00CD2C0D" w:rsidP="00CD2C0D">
      <w:pPr>
        <w:pStyle w:val="Bullet1G"/>
      </w:pPr>
      <w:r w:rsidRPr="00513E62">
        <w:t xml:space="preserve">Comité para </w:t>
      </w:r>
      <w:smartTag w:uri="urn:schemas-microsoft-com:office:smarttags" w:element="PersonName">
        <w:smartTagPr>
          <w:attr w:name="ProductID" w:val="la Igualdad"/>
        </w:smartTagPr>
        <w:r w:rsidRPr="00513E62">
          <w:t>la Igualdad</w:t>
        </w:r>
      </w:smartTag>
      <w:r w:rsidRPr="00513E62">
        <w:t xml:space="preserve"> de Participación entre Mujeres y Hombres en </w:t>
      </w:r>
      <w:smartTag w:uri="urn:schemas-microsoft-com:office:smarttags" w:element="PersonName">
        <w:smartTagPr>
          <w:attr w:name="ProductID" w:val="la Vida P￺blica"/>
        </w:smartTagPr>
        <w:r w:rsidRPr="00513E62">
          <w:t>la Vida Pública</w:t>
        </w:r>
      </w:smartTag>
      <w:r w:rsidRPr="00513E62">
        <w:t xml:space="preserve"> y Política;</w:t>
      </w:r>
    </w:p>
    <w:p w:rsidR="00CD2C0D" w:rsidRPr="00513E62" w:rsidRDefault="00CD2C0D" w:rsidP="00CD2C0D">
      <w:pPr>
        <w:pStyle w:val="Bullet1G"/>
      </w:pPr>
      <w:r w:rsidRPr="00513E62">
        <w:t xml:space="preserve">Comité sobre </w:t>
      </w:r>
      <w:smartTag w:uri="urn:schemas-microsoft-com:office:smarttags" w:element="PersonName">
        <w:smartTagPr>
          <w:attr w:name="ProductID" w:val="la Violencia"/>
        </w:smartTagPr>
        <w:r w:rsidRPr="00513E62">
          <w:t>la Violencia</w:t>
        </w:r>
      </w:smartTag>
      <w:r w:rsidRPr="00513E62">
        <w:t xml:space="preserve"> contra </w:t>
      </w:r>
      <w:smartTag w:uri="urn:schemas-microsoft-com:office:smarttags" w:element="PersonName">
        <w:smartTagPr>
          <w:attr w:name="ProductID" w:val="la Mujer"/>
        </w:smartTagPr>
        <w:r w:rsidRPr="00513E62">
          <w:t>la Mujer</w:t>
        </w:r>
      </w:smartTag>
      <w:r w:rsidRPr="00513E62">
        <w:t xml:space="preserve"> y </w:t>
      </w:r>
      <w:smartTag w:uri="urn:schemas-microsoft-com:office:smarttags" w:element="PersonName">
        <w:smartTagPr>
          <w:attr w:name="ProductID" w:val="la Trata"/>
        </w:smartTagPr>
        <w:r w:rsidRPr="00513E62">
          <w:t>la Trata</w:t>
        </w:r>
      </w:smartTag>
      <w:r w:rsidRPr="00513E62">
        <w:t xml:space="preserve"> de Seres Humanos;</w:t>
      </w:r>
    </w:p>
    <w:p w:rsidR="00CD2C0D" w:rsidRPr="00513E62" w:rsidRDefault="00CD2C0D" w:rsidP="00CD2C0D">
      <w:pPr>
        <w:pStyle w:val="Bullet1G"/>
      </w:pPr>
      <w:r w:rsidRPr="00513E62">
        <w:t>Comité de Relaciones Europeas;</w:t>
      </w:r>
    </w:p>
    <w:p w:rsidR="00CD2C0D" w:rsidRPr="00513E62" w:rsidRDefault="00CD2C0D" w:rsidP="00CD2C0D">
      <w:pPr>
        <w:pStyle w:val="Bullet1G"/>
      </w:pPr>
      <w:r w:rsidRPr="00513E62">
        <w:t xml:space="preserve">Comité de Empleo y Empoderamiento Económico de </w:t>
      </w:r>
      <w:smartTag w:uri="urn:schemas-microsoft-com:office:smarttags" w:element="PersonName">
        <w:smartTagPr>
          <w:attr w:name="ProductID" w:val="la Mujer"/>
        </w:smartTagPr>
        <w:r w:rsidRPr="00513E62">
          <w:t>la Mujer</w:t>
        </w:r>
      </w:smartTag>
      <w:r w:rsidRPr="00513E62">
        <w:t>;</w:t>
      </w:r>
    </w:p>
    <w:p w:rsidR="00CD2C0D" w:rsidRPr="00513E62" w:rsidRDefault="00CD2C0D" w:rsidP="00CD2C0D">
      <w:pPr>
        <w:pStyle w:val="Bullet1G"/>
      </w:pPr>
      <w:r w:rsidRPr="00513E62">
        <w:t xml:space="preserve">Comité para </w:t>
      </w:r>
      <w:smartTag w:uri="urn:schemas-microsoft-com:office:smarttags" w:element="PersonName">
        <w:smartTagPr>
          <w:attr w:name="ProductID" w:val="la Erradicaci￳n"/>
        </w:smartTagPr>
        <w:r w:rsidRPr="00513E62">
          <w:t>la Erradicación</w:t>
        </w:r>
      </w:smartTag>
      <w:r w:rsidRPr="00513E62">
        <w:t xml:space="preserve"> de los Estereotipos de Género, y</w:t>
      </w:r>
    </w:p>
    <w:p w:rsidR="00CD2C0D" w:rsidRPr="00513E62" w:rsidRDefault="00CD2C0D" w:rsidP="00CD2C0D">
      <w:pPr>
        <w:pStyle w:val="Bullet1G"/>
      </w:pPr>
      <w:r w:rsidRPr="00513E62">
        <w:lastRenderedPageBreak/>
        <w:t xml:space="preserve">Comité de Cooperación </w:t>
      </w:r>
      <w:proofErr w:type="spellStart"/>
      <w:r w:rsidRPr="00513E62">
        <w:t>Bicomunal</w:t>
      </w:r>
      <w:proofErr w:type="spellEnd"/>
      <w:r w:rsidRPr="00513E62">
        <w:t>, que se encarga de ejecutar las medidas previstas en el Plan Estratégico de Igualdad entre Mujeres y Hombres y de promover adicionalmente las cuestiones relativas a la igualdad de género en Chipre.</w:t>
      </w:r>
    </w:p>
    <w:p w:rsidR="00CD2C0D" w:rsidRPr="00513E62" w:rsidRDefault="00CD2C0D" w:rsidP="00CD2C0D">
      <w:pPr>
        <w:pStyle w:val="SingleTxtG"/>
      </w:pPr>
      <w:r w:rsidRPr="00513E62">
        <w:t>13.</w:t>
      </w:r>
      <w:r w:rsidRPr="00513E62">
        <w:tab/>
        <w:t xml:space="preserve">Se ha creado un Comité de Cooperación </w:t>
      </w:r>
      <w:proofErr w:type="spellStart"/>
      <w:r w:rsidRPr="00513E62">
        <w:t>Bicomunal</w:t>
      </w:r>
      <w:proofErr w:type="spellEnd"/>
      <w:r w:rsidRPr="00513E62">
        <w:t>, con objeto de unir a las mujeres de las dos comunidades de Chipre y promover la igualdad de género, la reconciliación y la paz, mediante la organización de actividades y proyectos en los que participen las dos comunidades.</w:t>
      </w:r>
    </w:p>
    <w:p w:rsidR="00CD2C0D" w:rsidRPr="00513E62" w:rsidRDefault="00CD2C0D" w:rsidP="00CD2C0D">
      <w:pPr>
        <w:pStyle w:val="H1G"/>
      </w:pPr>
      <w:r>
        <w:tab/>
      </w:r>
      <w:r>
        <w:tab/>
      </w:r>
      <w:bookmarkStart w:id="4" w:name="_Toc453253389"/>
      <w:r w:rsidRPr="00513E62">
        <w:t>Artículo 1</w:t>
      </w:r>
      <w:r w:rsidR="00D45525">
        <w:br/>
      </w:r>
      <w:r w:rsidRPr="00513E62">
        <w:t xml:space="preserve">Definición de </w:t>
      </w:r>
      <w:r>
        <w:t>“</w:t>
      </w:r>
      <w:r w:rsidRPr="00513E62">
        <w:t>discriminación racial</w:t>
      </w:r>
      <w:r>
        <w:t>”</w:t>
      </w:r>
      <w:bookmarkEnd w:id="4"/>
    </w:p>
    <w:p w:rsidR="00CD2C0D" w:rsidRPr="00513E62" w:rsidRDefault="00CD2C0D" w:rsidP="00CD2C0D">
      <w:pPr>
        <w:pStyle w:val="H23G"/>
      </w:pPr>
      <w:r>
        <w:tab/>
      </w:r>
      <w:r w:rsidRPr="00513E62">
        <w:t>a)</w:t>
      </w:r>
      <w:r w:rsidRPr="00513E62">
        <w:tab/>
        <w:t xml:space="preserve">Evaluación del grado en que la definición de </w:t>
      </w:r>
      <w:r>
        <w:t>“</w:t>
      </w:r>
      <w:r w:rsidRPr="00513E62">
        <w:t>discrimi</w:t>
      </w:r>
      <w:r>
        <w:t>nación racial” que figura en la </w:t>
      </w:r>
      <w:r w:rsidRPr="00513E62">
        <w:t>legislación nacional se ajusta a la definición del</w:t>
      </w:r>
      <w:r>
        <w:t xml:space="preserve"> párrafo 1 del artículo 1 de la </w:t>
      </w:r>
      <w:r w:rsidRPr="00513E62">
        <w:t>Convención</w:t>
      </w:r>
    </w:p>
    <w:p w:rsidR="00CD2C0D" w:rsidRPr="00513E62" w:rsidRDefault="00CD2C0D" w:rsidP="00CD2C0D">
      <w:pPr>
        <w:pStyle w:val="SingleTxtG"/>
      </w:pPr>
      <w:r w:rsidRPr="00513E62">
        <w:t>[Véase el informe anterior, párr</w:t>
      </w:r>
      <w:r w:rsidR="00770B36">
        <w:t>afo</w:t>
      </w:r>
      <w:r w:rsidRPr="00513E62">
        <w:t>s 9 y 10</w:t>
      </w:r>
      <w:r>
        <w:t>.</w:t>
      </w:r>
      <w:r w:rsidRPr="00513E62">
        <w:t>]</w:t>
      </w:r>
    </w:p>
    <w:p w:rsidR="00CD2C0D" w:rsidRPr="00513E62" w:rsidRDefault="00CD2C0D" w:rsidP="00CD2C0D">
      <w:pPr>
        <w:pStyle w:val="H23G"/>
      </w:pPr>
      <w:r>
        <w:tab/>
      </w:r>
      <w:r w:rsidRPr="00513E62">
        <w:t>b)</w:t>
      </w:r>
      <w:r w:rsidRPr="00513E62">
        <w:tab/>
        <w:t xml:space="preserve">Información sobre si el sistema jurídico del Estado </w:t>
      </w:r>
      <w:r>
        <w:t>parte permite o dispone medidas </w:t>
      </w:r>
      <w:r w:rsidRPr="00513E62">
        <w:t>especiales para garantizar la pro</w:t>
      </w:r>
      <w:r>
        <w:t>moción adecuada de los grupos e </w:t>
      </w:r>
      <w:r w:rsidRPr="00513E62">
        <w:t>indi</w:t>
      </w:r>
      <w:r>
        <w:t>viduos </w:t>
      </w:r>
      <w:r w:rsidRPr="00513E62">
        <w:t xml:space="preserve">protegidos por </w:t>
      </w:r>
      <w:smartTag w:uri="urn:schemas-microsoft-com:office:smarttags" w:element="PersonName">
        <w:smartTagPr>
          <w:attr w:name="ProductID" w:val="la Convenci￳n"/>
        </w:smartTagPr>
        <w:r w:rsidRPr="00513E62">
          <w:t>la Convención</w:t>
        </w:r>
      </w:smartTag>
    </w:p>
    <w:p w:rsidR="00CD2C0D" w:rsidRPr="00513E62" w:rsidRDefault="00CD2C0D" w:rsidP="00CD2C0D">
      <w:pPr>
        <w:pStyle w:val="SingleTxtG"/>
      </w:pPr>
      <w:r w:rsidRPr="00513E62">
        <w:t>[Véase el informe anterior, párr</w:t>
      </w:r>
      <w:r w:rsidR="00770B36">
        <w:t>afo</w:t>
      </w:r>
      <w:r w:rsidRPr="00513E62">
        <w:t xml:space="preserve"> 11, y el presente informe, análisis del artículo 5</w:t>
      </w:r>
      <w:r>
        <w:t>.</w:t>
      </w:r>
      <w:r w:rsidRPr="00513E62">
        <w:t>]</w:t>
      </w:r>
    </w:p>
    <w:p w:rsidR="00CD2C0D" w:rsidRPr="00513E62" w:rsidRDefault="00CD2C0D" w:rsidP="00CD2C0D">
      <w:pPr>
        <w:pStyle w:val="H1G"/>
      </w:pPr>
      <w:r>
        <w:tab/>
      </w:r>
      <w:r>
        <w:tab/>
      </w:r>
      <w:bookmarkStart w:id="5" w:name="_Toc453253390"/>
      <w:r w:rsidRPr="00513E62">
        <w:t>Artículo 2</w:t>
      </w:r>
      <w:r w:rsidR="00D45525">
        <w:br/>
      </w:r>
      <w:r w:rsidRPr="00513E62">
        <w:t>Antecedentes jurídicos</w:t>
      </w:r>
      <w:bookmarkEnd w:id="5"/>
    </w:p>
    <w:p w:rsidR="00CD2C0D" w:rsidRPr="00513E62" w:rsidRDefault="00CD2C0D" w:rsidP="00CD2C0D">
      <w:pPr>
        <w:pStyle w:val="H23G"/>
      </w:pPr>
      <w:r>
        <w:tab/>
      </w:r>
      <w:r w:rsidRPr="00513E62">
        <w:t>a)</w:t>
      </w:r>
      <w:r w:rsidRPr="00513E62">
        <w:tab/>
        <w:t>Breve descripción del marco jurídico y las polít</w:t>
      </w:r>
      <w:r>
        <w:t>icas generales para eliminar la </w:t>
      </w:r>
      <w:r w:rsidRPr="00513E62">
        <w:t>discriminación racial</w:t>
      </w:r>
    </w:p>
    <w:p w:rsidR="00CD2C0D" w:rsidRPr="00513E62" w:rsidRDefault="00CD2C0D" w:rsidP="00CD2C0D">
      <w:pPr>
        <w:pStyle w:val="SingleTxtG"/>
      </w:pPr>
      <w:r w:rsidRPr="00513E62">
        <w:t>[Véanse ta</w:t>
      </w:r>
      <w:r w:rsidR="00770B36">
        <w:t>mbién el informe anterior, párrafo</w:t>
      </w:r>
      <w:r w:rsidRPr="00513E62">
        <w:t xml:space="preserve"> 12, y </w:t>
      </w:r>
      <w:r w:rsidR="00770B36">
        <w:t>el informe de seguimiento, párrafo</w:t>
      </w:r>
      <w:r w:rsidRPr="00513E62">
        <w:t xml:space="preserve"> 18</w:t>
      </w:r>
      <w:r>
        <w:t>.</w:t>
      </w:r>
      <w:r w:rsidRPr="00513E62">
        <w:t>]</w:t>
      </w:r>
    </w:p>
    <w:p w:rsidR="00CD2C0D" w:rsidRPr="00513E62" w:rsidRDefault="00CD2C0D" w:rsidP="00CD2C0D">
      <w:pPr>
        <w:pStyle w:val="SingleTxtG"/>
      </w:pPr>
      <w:r w:rsidRPr="00513E62">
        <w:t>14.</w:t>
      </w:r>
      <w:r w:rsidRPr="00513E62">
        <w:tab/>
        <w:t>Chipre ha incorporado en su ordenamiento jurídico nacional una serie de instrumentos vinculantes de ámbito europeo e internacional y ha modificado y aprobado leyes para elimina</w:t>
      </w:r>
      <w:r>
        <w:t>r el racismo de manera efectiva.</w:t>
      </w:r>
    </w:p>
    <w:p w:rsidR="00CD2C0D" w:rsidRPr="00513E62" w:rsidRDefault="00CD2C0D" w:rsidP="00CD2C0D">
      <w:pPr>
        <w:pStyle w:val="H4G"/>
      </w:pPr>
      <w:r>
        <w:tab/>
      </w:r>
      <w:r w:rsidRPr="00513E62">
        <w:t>i)</w:t>
      </w:r>
      <w:r w:rsidRPr="00513E62">
        <w:tab/>
        <w:t>Ley de reforma de la normativa jurídica de prevenci</w:t>
      </w:r>
      <w:r>
        <w:t>ón y lucha contra la trata y la </w:t>
      </w:r>
      <w:r w:rsidRPr="00513E62">
        <w:t>explotación de personas y de protección de las víctimas [</w:t>
      </w:r>
      <w:r w:rsidR="00AA7E5A">
        <w:t xml:space="preserve">núm. </w:t>
      </w:r>
      <w:proofErr w:type="spellStart"/>
      <w:r w:rsidR="00770B36">
        <w:t>L.60</w:t>
      </w:r>
      <w:proofErr w:type="spellEnd"/>
      <w:r w:rsidR="00770B36">
        <w:t>(I</w:t>
      </w:r>
      <w:r w:rsidRPr="00513E62">
        <w:t>)/2014]</w:t>
      </w:r>
    </w:p>
    <w:p w:rsidR="00CD2C0D" w:rsidRPr="00513E62" w:rsidRDefault="00CD2C0D" w:rsidP="00CD2C0D">
      <w:pPr>
        <w:pStyle w:val="SingleTxtG"/>
      </w:pPr>
      <w:r w:rsidRPr="00513E62">
        <w:t>15.</w:t>
      </w:r>
      <w:r w:rsidRPr="00513E62">
        <w:tab/>
        <w:t xml:space="preserve">La presente </w:t>
      </w:r>
      <w:r w:rsidR="00770B36" w:rsidRPr="00513E62">
        <w:t xml:space="preserve">Ley </w:t>
      </w:r>
      <w:r w:rsidRPr="00513E62">
        <w:t>reemplaza a la anterior Ley de Lucha contra la Trata de Seres Humanos. Armoniza la legislación chipriota con la Directiva</w:t>
      </w:r>
      <w:r w:rsidR="00306C8D">
        <w:t xml:space="preserve"> núm.</w:t>
      </w:r>
      <w:r w:rsidRPr="00513E62">
        <w:t xml:space="preserve"> 2004/81/CE del Consejo, con </w:t>
      </w:r>
      <w:smartTag w:uri="urn:schemas-microsoft-com:office:smarttags" w:element="PersonName">
        <w:smartTagPr>
          <w:attr w:name="ProductID" w:val="la Directiva"/>
        </w:smartTagPr>
        <w:r w:rsidRPr="00513E62">
          <w:t>la Directiva</w:t>
        </w:r>
      </w:smartTag>
      <w:r w:rsidRPr="00513E62">
        <w:t xml:space="preserve"> </w:t>
      </w:r>
      <w:r w:rsidR="00306C8D">
        <w:t xml:space="preserve">núm. </w:t>
      </w:r>
      <w:r w:rsidRPr="00513E62">
        <w:t xml:space="preserve">2011/36/CE del Parlamento Europeo y del Consejo y con </w:t>
      </w:r>
      <w:smartTag w:uri="urn:schemas-microsoft-com:office:smarttags" w:element="PersonName">
        <w:smartTagPr>
          <w:attr w:name="ProductID" w:val="la Decisi￳n"/>
        </w:smartTagPr>
        <w:r w:rsidRPr="00513E62">
          <w:t>la Decisión</w:t>
        </w:r>
      </w:smartTag>
      <w:r w:rsidRPr="00513E62">
        <w:t xml:space="preserve"> marco </w:t>
      </w:r>
      <w:r w:rsidR="00306C8D">
        <w:t xml:space="preserve">núm. </w:t>
      </w:r>
      <w:r w:rsidRPr="00513E62">
        <w:t xml:space="preserve">2001/220/JAI de </w:t>
      </w:r>
      <w:smartTag w:uri="urn:schemas-microsoft-com:office:smarttags" w:element="PersonName">
        <w:smartTagPr>
          <w:attr w:name="ProductID" w:val="la Uni￳n Europea"/>
        </w:smartTagPr>
        <w:r w:rsidRPr="00513E62">
          <w:t>la Unión Europea</w:t>
        </w:r>
      </w:smartTag>
      <w:r w:rsidRPr="00513E62">
        <w:t xml:space="preserve"> relativa al estatuto de la víctima en el proceso penal. En ella se prevén disposiciones para mejorar la aplicación de la Convención de las Naciones Unidas contra la Delincuencia Organizada</w:t>
      </w:r>
      <w:r w:rsidR="00306C8D">
        <w:t xml:space="preserve"> Transnacional (y </w:t>
      </w:r>
      <w:r w:rsidRPr="00513E62">
        <w:t xml:space="preserve">sus Protocolos) y, en particular, el Protocolo para prevenir, reprimir y sancionar la trata de personas, especialmente mujeres y niños, el Convenio para la represión de la trata de personas y de la explotación de la prostitución ajena, el Protocolo </w:t>
      </w:r>
      <w:r w:rsidR="00770B36" w:rsidRPr="00513E62">
        <w:t xml:space="preserve">Facultativo </w:t>
      </w:r>
      <w:r w:rsidRPr="00513E62">
        <w:t xml:space="preserve">de la Convención sobre los Derechos del Niño relativo a la venta de niños, la prostitución infantil y la utilización de niños en la pornografía y el Convenio del Consejo de Europa sobre la lucha contra la trata de seres humanos. En la presente </w:t>
      </w:r>
      <w:r w:rsidR="00770B36" w:rsidRPr="00513E62">
        <w:t xml:space="preserve">Ley </w:t>
      </w:r>
      <w:r w:rsidRPr="00513E62">
        <w:t>se afianza la protección de las víctimas, dado que se prevé protegerlas sin ninguna clase de discriminación por motivos de sexo, raza, convicciones políticas, color, religión, lengua, procedencia nacional o extracción social o pertenencia a una minoría nacional, posesiones, nacimiento o cualquier otra condición.</w:t>
      </w:r>
      <w:r w:rsidR="00306C8D">
        <w:t xml:space="preserve"> </w:t>
      </w:r>
      <w:r w:rsidRPr="00513E62">
        <w:t xml:space="preserve">Se legisla sobre diversas formas de trata de seres humanos y se amplía la </w:t>
      </w:r>
      <w:r w:rsidRPr="00513E62">
        <w:lastRenderedPageBreak/>
        <w:t xml:space="preserve">definición de </w:t>
      </w:r>
      <w:r>
        <w:t>“</w:t>
      </w:r>
      <w:r w:rsidRPr="00513E62">
        <w:t>víctima</w:t>
      </w:r>
      <w:r>
        <w:t>”</w:t>
      </w:r>
      <w:r w:rsidRPr="00513E62">
        <w:t xml:space="preserve"> mediante la inclusión, en esa categoría, de las personas que hayan sido objeto de trata o explotación, con independencia de que hayan sufrido, o no, perjuicios.</w:t>
      </w:r>
    </w:p>
    <w:p w:rsidR="00CD2C0D" w:rsidRPr="00513E62" w:rsidRDefault="00CD2C0D" w:rsidP="00CD2C0D">
      <w:pPr>
        <w:pStyle w:val="H4G"/>
      </w:pPr>
      <w:r>
        <w:tab/>
      </w:r>
      <w:r w:rsidRPr="00513E62">
        <w:t>ii)</w:t>
      </w:r>
      <w:r w:rsidRPr="00513E62">
        <w:tab/>
        <w:t xml:space="preserve">Ley de </w:t>
      </w:r>
      <w:r w:rsidR="00811C9F" w:rsidRPr="00513E62">
        <w:t xml:space="preserve">Agencias </w:t>
      </w:r>
      <w:r w:rsidRPr="00513E62">
        <w:t xml:space="preserve">de </w:t>
      </w:r>
      <w:r w:rsidR="00811C9F" w:rsidRPr="00513E62">
        <w:t xml:space="preserve">Empleo Privadas </w:t>
      </w:r>
      <w:r w:rsidRPr="00513E62">
        <w:t>[</w:t>
      </w:r>
      <w:r w:rsidR="00AA7E5A">
        <w:t xml:space="preserve">núm. </w:t>
      </w:r>
      <w:proofErr w:type="spellStart"/>
      <w:r w:rsidRPr="00513E62">
        <w:t>L.126</w:t>
      </w:r>
      <w:proofErr w:type="spellEnd"/>
      <w:r w:rsidRPr="00513E62">
        <w:t>(I)/2012, reformada]</w:t>
      </w:r>
    </w:p>
    <w:p w:rsidR="00CD2C0D" w:rsidRPr="00513E62" w:rsidRDefault="00CD2C0D" w:rsidP="00CD2C0D">
      <w:pPr>
        <w:pStyle w:val="SingleTxtG"/>
      </w:pPr>
      <w:r w:rsidRPr="00513E62">
        <w:t>16.</w:t>
      </w:r>
      <w:r w:rsidRPr="00513E62">
        <w:tab/>
        <w:t xml:space="preserve">En la presente </w:t>
      </w:r>
      <w:r w:rsidR="00770B36" w:rsidRPr="00513E62">
        <w:t xml:space="preserve">Ley </w:t>
      </w:r>
      <w:r w:rsidRPr="00513E62">
        <w:t>se armoniza la legislación chipriota con la Directiva</w:t>
      </w:r>
      <w:r w:rsidR="00306C8D">
        <w:t xml:space="preserve"> núm. </w:t>
      </w:r>
      <w:r w:rsidRPr="00513E62">
        <w:t>2006/123/CE del Parlamento Europeo y del Consejo. Se reglamenta la constitución y el funcionamiento de las agencias de empleo privadas, a fin de luchar contra la explotación laboral, sobre todo de trabajadores migrantes, dado que esas agencias se ocupan casi exclusivamente de la contratación de nacionales de países no pertenecientes a la</w:t>
      </w:r>
      <w:r w:rsidR="00980D59">
        <w:t xml:space="preserve"> Unión Europea</w:t>
      </w:r>
      <w:r w:rsidRPr="00513E62">
        <w:t xml:space="preserve"> para ejercer un empleo en Chipre. Se prevén las condiciones y las cualificaciones que deben cumplir las personas físicas o jurídicas que gestionan esas agencias y se fijan las penas por delitos de trata. Se examinan los antecedentes penales del solicitante para velar por que las personas que participan en la gestión de esas agencias no hayan sido condenadas por delitos tales como la explotación sexual, la trata de personas u otro delito grave. La autoridad competente puede revocar la licencia del establecimiento cuando el responsable de su gestión o cualquiera de los miembros del Consejo de Dirección (en caso de una empresa) o cualquiera de los socios (en el caso de una sociedad de personas) haya sido condenado por un delito relacionado con la trata de personas. La presente </w:t>
      </w:r>
      <w:r w:rsidR="00770B36" w:rsidRPr="00513E62">
        <w:t xml:space="preserve">Ley </w:t>
      </w:r>
      <w:r w:rsidRPr="00513E62">
        <w:t xml:space="preserve">fue reformada en 2013 en virtud de la Ley </w:t>
      </w:r>
      <w:r w:rsidR="00AA7E5A">
        <w:t xml:space="preserve">núm. </w:t>
      </w:r>
      <w:proofErr w:type="spellStart"/>
      <w:r w:rsidRPr="00513E62">
        <w:t>L.150</w:t>
      </w:r>
      <w:proofErr w:type="spellEnd"/>
      <w:r w:rsidRPr="00513E62">
        <w:t xml:space="preserve">(I)/2013, con miras a armonizar la legislación chipriota con </w:t>
      </w:r>
      <w:smartTag w:uri="urn:schemas-microsoft-com:office:smarttags" w:element="PersonName">
        <w:smartTagPr>
          <w:attr w:name="ProductID" w:val="la Directiva"/>
        </w:smartTagPr>
        <w:r w:rsidRPr="00513E62">
          <w:t>la Directiva</w:t>
        </w:r>
      </w:smartTag>
      <w:r w:rsidRPr="00513E62">
        <w:t xml:space="preserve"> </w:t>
      </w:r>
      <w:r w:rsidR="00306C8D">
        <w:t xml:space="preserve">núm. </w:t>
      </w:r>
      <w:r w:rsidRPr="00513E62">
        <w:t xml:space="preserve">2008/104/CE del Parlamento Europeo y del Consejo, relativa al trabajo a través de empresas de trabajo temporal, y a reforzar más los procedimientos de inspección. El caso núm. 29524/10, </w:t>
      </w:r>
      <w:r w:rsidRPr="00513E62">
        <w:rPr>
          <w:i/>
        </w:rPr>
        <w:t xml:space="preserve">Jefe de </w:t>
      </w:r>
      <w:smartTag w:uri="urn:schemas-microsoft-com:office:smarttags" w:element="PersonName">
        <w:smartTagPr>
          <w:attr w:name="ProductID" w:val="la Polic￭a"/>
        </w:smartTagPr>
        <w:r w:rsidRPr="00513E62">
          <w:rPr>
            <w:i/>
          </w:rPr>
          <w:t>la Policía</w:t>
        </w:r>
      </w:smartTag>
      <w:r w:rsidRPr="00513E62">
        <w:rPr>
          <w:i/>
        </w:rPr>
        <w:t xml:space="preserve"> de </w:t>
      </w:r>
      <w:proofErr w:type="spellStart"/>
      <w:r w:rsidRPr="00513E62">
        <w:rPr>
          <w:i/>
        </w:rPr>
        <w:t>Limassol</w:t>
      </w:r>
      <w:proofErr w:type="spellEnd"/>
      <w:r w:rsidRPr="00513E62">
        <w:rPr>
          <w:i/>
        </w:rPr>
        <w:t xml:space="preserve"> c. </w:t>
      </w:r>
      <w:proofErr w:type="spellStart"/>
      <w:r w:rsidRPr="00513E62">
        <w:rPr>
          <w:i/>
        </w:rPr>
        <w:t>Kallisthenis</w:t>
      </w:r>
      <w:proofErr w:type="spellEnd"/>
      <w:r w:rsidRPr="00513E62">
        <w:rPr>
          <w:i/>
        </w:rPr>
        <w:t xml:space="preserve"> </w:t>
      </w:r>
      <w:proofErr w:type="spellStart"/>
      <w:r w:rsidRPr="00513E62">
        <w:rPr>
          <w:i/>
        </w:rPr>
        <w:t>Iona</w:t>
      </w:r>
      <w:proofErr w:type="spellEnd"/>
      <w:r w:rsidRPr="00513E62">
        <w:rPr>
          <w:i/>
        </w:rPr>
        <w:t xml:space="preserve"> </w:t>
      </w:r>
      <w:proofErr w:type="spellStart"/>
      <w:r w:rsidRPr="00513E62">
        <w:rPr>
          <w:i/>
        </w:rPr>
        <w:t>Nicolaou</w:t>
      </w:r>
      <w:proofErr w:type="spellEnd"/>
      <w:r w:rsidRPr="00513E62">
        <w:t xml:space="preserve">, constituye un ejemplo de </w:t>
      </w:r>
      <w:proofErr w:type="spellStart"/>
      <w:r w:rsidRPr="00513E62">
        <w:t>como</w:t>
      </w:r>
      <w:proofErr w:type="spellEnd"/>
      <w:r w:rsidRPr="00513E62">
        <w:t xml:space="preserve">, en virtud de lo dispuesto en la presente </w:t>
      </w:r>
      <w:r w:rsidR="00770B36" w:rsidRPr="00513E62">
        <w:t xml:space="preserve">Ley </w:t>
      </w:r>
      <w:r w:rsidRPr="00513E62">
        <w:t xml:space="preserve">y en cumplimiento de un fallo judicial por el cual el responsable de la gestión de una agencia de empleo privada había sido condenado por el delito de trata de personas, la autoridad competente revocó la licencia de esa agencia. </w:t>
      </w:r>
    </w:p>
    <w:p w:rsidR="00CD2C0D" w:rsidRPr="00513E62" w:rsidRDefault="00CD2C0D" w:rsidP="00CD2C0D">
      <w:pPr>
        <w:pStyle w:val="H4G"/>
      </w:pPr>
      <w:r>
        <w:tab/>
      </w:r>
      <w:r w:rsidRPr="00513E62">
        <w:t>iii)</w:t>
      </w:r>
      <w:r w:rsidRPr="00513E62">
        <w:tab/>
        <w:t xml:space="preserve">Ley de </w:t>
      </w:r>
      <w:r w:rsidR="00811C9F" w:rsidRPr="00513E62">
        <w:t xml:space="preserve">Agencias </w:t>
      </w:r>
      <w:r w:rsidRPr="00513E62">
        <w:t xml:space="preserve">de </w:t>
      </w:r>
      <w:r w:rsidR="00811C9F" w:rsidRPr="00513E62">
        <w:t xml:space="preserve">Empleo Temporal </w:t>
      </w:r>
      <w:r w:rsidRPr="00513E62">
        <w:t>(</w:t>
      </w:r>
      <w:r w:rsidR="00AA7E5A">
        <w:t xml:space="preserve">núm. </w:t>
      </w:r>
      <w:proofErr w:type="spellStart"/>
      <w:r w:rsidRPr="00513E62">
        <w:t>L.174</w:t>
      </w:r>
      <w:proofErr w:type="spellEnd"/>
      <w:r w:rsidRPr="00513E62">
        <w:t>(I)/2012]</w:t>
      </w:r>
    </w:p>
    <w:p w:rsidR="00CD2C0D" w:rsidRPr="00513E62" w:rsidRDefault="00CD2C0D" w:rsidP="00CD2C0D">
      <w:pPr>
        <w:pStyle w:val="SingleTxtG"/>
      </w:pPr>
      <w:r w:rsidRPr="00513E62">
        <w:t>17.</w:t>
      </w:r>
      <w:r w:rsidRPr="00513E62">
        <w:tab/>
        <w:t xml:space="preserve">En la presente </w:t>
      </w:r>
      <w:r w:rsidR="00770B36" w:rsidRPr="00513E62">
        <w:t xml:space="preserve">Ley </w:t>
      </w:r>
      <w:r w:rsidRPr="00513E62">
        <w:t>se armoniza la legislación chipriota con la Directiva</w:t>
      </w:r>
      <w:r w:rsidR="00306C8D">
        <w:t xml:space="preserve"> núm. </w:t>
      </w:r>
      <w:r w:rsidRPr="00513E62">
        <w:t>2008/104/CE del Parlamento Europeo y del Consejo relativa al trabajo a través de empresas de trabajo temporal, y se reglamenta la constitución y el funcionamiento de esas empresas y la protección de sus trabajadores. Se examinan los antecedentes penales del solicitante para velar por que las personas que participan en la gestión de esas agencias no hayan sido condenadas por delitos de explotación sexual, trata de personas, delitos que atenten contra las leyes y los reglamentos de extranjería e inmigración o cualquier otro delito grave.</w:t>
      </w:r>
    </w:p>
    <w:p w:rsidR="00CD2C0D" w:rsidRPr="00513E62" w:rsidRDefault="00CD2C0D" w:rsidP="00CD2C0D">
      <w:pPr>
        <w:pStyle w:val="H4G"/>
      </w:pPr>
      <w:r>
        <w:tab/>
      </w:r>
      <w:r w:rsidRPr="00513E62">
        <w:t>iv)</w:t>
      </w:r>
      <w:r w:rsidRPr="00513E62">
        <w:tab/>
        <w:t xml:space="preserve">Ley de </w:t>
      </w:r>
      <w:r w:rsidR="00811C9F" w:rsidRPr="00513E62">
        <w:t xml:space="preserve">Derechos </w:t>
      </w:r>
      <w:r w:rsidRPr="00513E62">
        <w:t xml:space="preserve">de las </w:t>
      </w:r>
      <w:r w:rsidR="00811C9F" w:rsidRPr="00513E62">
        <w:t xml:space="preserve">Personas Detenidas </w:t>
      </w:r>
      <w:r w:rsidRPr="00513E62">
        <w:t xml:space="preserve">y </w:t>
      </w:r>
      <w:r w:rsidR="00811C9F" w:rsidRPr="00513E62">
        <w:t xml:space="preserve">Recluidas </w:t>
      </w:r>
      <w:r w:rsidRPr="00513E62">
        <w:t>[</w:t>
      </w:r>
      <w:r w:rsidR="00AA7E5A">
        <w:t xml:space="preserve">núm. </w:t>
      </w:r>
      <w:proofErr w:type="spellStart"/>
      <w:r w:rsidRPr="00513E62">
        <w:t>L.163</w:t>
      </w:r>
      <w:proofErr w:type="spellEnd"/>
      <w:r w:rsidRPr="00513E62">
        <w:t xml:space="preserve">(I)/2005, </w:t>
      </w:r>
      <w:r w:rsidR="00AA7E5A">
        <w:br/>
      </w:r>
      <w:r w:rsidRPr="00513E62">
        <w:t>reformada]</w:t>
      </w:r>
    </w:p>
    <w:p w:rsidR="00CD2C0D" w:rsidRPr="00513E62" w:rsidRDefault="00CD2C0D" w:rsidP="00CD2C0D">
      <w:pPr>
        <w:pStyle w:val="SingleTxtG"/>
      </w:pPr>
      <w:r w:rsidRPr="00513E62">
        <w:t>18.</w:t>
      </w:r>
      <w:r w:rsidRPr="00513E62">
        <w:tab/>
        <w:t xml:space="preserve">La presente </w:t>
      </w:r>
      <w:r w:rsidR="00770B36" w:rsidRPr="00513E62">
        <w:t xml:space="preserve">Ley </w:t>
      </w:r>
      <w:r w:rsidRPr="00513E62">
        <w:t xml:space="preserve">se ha reformado recientemente en virtud de la Ley </w:t>
      </w:r>
      <w:r w:rsidR="000F59AD">
        <w:t>núm. </w:t>
      </w:r>
      <w:r w:rsidRPr="00513E62">
        <w:t xml:space="preserve">185(I)/2014, a fin de armonizar la legislación chipriota con la Directiva </w:t>
      </w:r>
      <w:r w:rsidR="000F59AD">
        <w:t>núm. </w:t>
      </w:r>
      <w:r w:rsidRPr="00513E62">
        <w:t xml:space="preserve">2012/13/UE del Parlamento Europeo y del Consejo, relativa al derecho a la información en los procesos penales. En la </w:t>
      </w:r>
      <w:r w:rsidR="00770B36" w:rsidRPr="00513E62">
        <w:t xml:space="preserve">Ley </w:t>
      </w:r>
      <w:r w:rsidRPr="00513E62">
        <w:t>reformada se incorporan nuevos derechos y se aclaran y refuerzan los antiguos, por ejemplo la obligación de facilitar información sobre el derecho a la asistencia letrada gratuita y el derecho a permanecer en silencio. [Véase tambié</w:t>
      </w:r>
      <w:r w:rsidR="00811C9F">
        <w:t>n el presente informe, artículo </w:t>
      </w:r>
      <w:r w:rsidRPr="00513E62">
        <w:t>5</w:t>
      </w:r>
      <w:r w:rsidR="00811C9F">
        <w:t>.</w:t>
      </w:r>
      <w:r w:rsidRPr="00513E62">
        <w:t>]</w:t>
      </w:r>
    </w:p>
    <w:p w:rsidR="00CD2C0D" w:rsidRPr="00513E62" w:rsidRDefault="00CD2C0D" w:rsidP="00CD2C0D">
      <w:pPr>
        <w:pStyle w:val="H4G"/>
      </w:pPr>
      <w:r>
        <w:tab/>
      </w:r>
      <w:r w:rsidRPr="00513E62">
        <w:t>v)</w:t>
      </w:r>
      <w:r w:rsidRPr="00513E62">
        <w:tab/>
        <w:t>Código Penal [</w:t>
      </w:r>
      <w:proofErr w:type="spellStart"/>
      <w:r w:rsidRPr="00513E62">
        <w:t>CAP.154</w:t>
      </w:r>
      <w:proofErr w:type="spellEnd"/>
      <w:r w:rsidRPr="00513E62">
        <w:t>, reformado]</w:t>
      </w:r>
    </w:p>
    <w:p w:rsidR="00CD2C0D" w:rsidRPr="00513E62" w:rsidRDefault="00CD2C0D" w:rsidP="00CD2C0D">
      <w:pPr>
        <w:pStyle w:val="SingleTxtG"/>
      </w:pPr>
      <w:r w:rsidRPr="00513E62">
        <w:t>19.</w:t>
      </w:r>
      <w:r w:rsidRPr="00513E62">
        <w:tab/>
        <w:t xml:space="preserve">El Código Penal se ha reformado en virtud de la Ley </w:t>
      </w:r>
      <w:r w:rsidR="00AA7E5A">
        <w:t xml:space="preserve">núm. </w:t>
      </w:r>
      <w:proofErr w:type="spellStart"/>
      <w:r w:rsidRPr="00513E62">
        <w:t>L.87</w:t>
      </w:r>
      <w:proofErr w:type="spellEnd"/>
      <w:r w:rsidRPr="00513E62">
        <w:t xml:space="preserve">(I)/2015, a fin de tipificar como delito la incitación pública a cometer actos que resulten discriminatorios o actos de odio o violencia contra las personas por razón de su orientación sexual o su </w:t>
      </w:r>
      <w:r w:rsidRPr="00513E62">
        <w:lastRenderedPageBreak/>
        <w:t>identidad de género. En caso de condena, se impondrá una pena de prisión no superior a tres años o una multa no superior a 5.000 euros, o ambas penas.</w:t>
      </w:r>
    </w:p>
    <w:p w:rsidR="00CD2C0D" w:rsidRPr="00513E62" w:rsidRDefault="00CD2C0D" w:rsidP="00CD2C0D">
      <w:pPr>
        <w:pStyle w:val="H4G"/>
      </w:pPr>
      <w:r>
        <w:tab/>
      </w:r>
      <w:r w:rsidRPr="00513E62">
        <w:t>vi)</w:t>
      </w:r>
      <w:r w:rsidRPr="00513E62">
        <w:tab/>
        <w:t xml:space="preserve">Ley de </w:t>
      </w:r>
      <w:r w:rsidR="00811C9F" w:rsidRPr="00513E62">
        <w:t xml:space="preserve">Asistencia Jurídica </w:t>
      </w:r>
      <w:r w:rsidRPr="00513E62">
        <w:t>[</w:t>
      </w:r>
      <w:r w:rsidR="00AA7E5A">
        <w:t xml:space="preserve">núm. </w:t>
      </w:r>
      <w:proofErr w:type="spellStart"/>
      <w:r w:rsidRPr="00513E62">
        <w:t>L.165</w:t>
      </w:r>
      <w:proofErr w:type="spellEnd"/>
      <w:r w:rsidRPr="00513E62">
        <w:t>(I)/2002, reformada]</w:t>
      </w:r>
    </w:p>
    <w:p w:rsidR="00CD2C0D" w:rsidRPr="00513E62" w:rsidRDefault="00CD2C0D" w:rsidP="00CD2C0D">
      <w:pPr>
        <w:pStyle w:val="SingleTxtG"/>
        <w:rPr>
          <w:bCs/>
        </w:rPr>
      </w:pPr>
      <w:r w:rsidRPr="00513E62">
        <w:t>20.</w:t>
      </w:r>
      <w:r w:rsidRPr="00513E62">
        <w:tab/>
        <w:t xml:space="preserve">La presente </w:t>
      </w:r>
      <w:r w:rsidR="00811C9F" w:rsidRPr="00513E62">
        <w:t xml:space="preserve">Ley </w:t>
      </w:r>
      <w:r w:rsidRPr="00513E62">
        <w:t xml:space="preserve">se ha reformado en virtud de la Ley </w:t>
      </w:r>
      <w:r w:rsidR="00AA7E5A">
        <w:t xml:space="preserve">núm. </w:t>
      </w:r>
      <w:proofErr w:type="spellStart"/>
      <w:r w:rsidRPr="00513E62">
        <w:t>L.105</w:t>
      </w:r>
      <w:proofErr w:type="spellEnd"/>
      <w:r w:rsidRPr="00513E62">
        <w:t xml:space="preserve">(I)/2014, a fin de armonizar más estrechamente la legislación chipriota con </w:t>
      </w:r>
      <w:smartTag w:uri="urn:schemas-microsoft-com:office:smarttags" w:element="PersonName">
        <w:smartTagPr>
          <w:attr w:name="ProductID" w:val="la Directiva"/>
        </w:smartTagPr>
        <w:r w:rsidRPr="00513E62">
          <w:t>la Directiva</w:t>
        </w:r>
      </w:smartTag>
      <w:r w:rsidRPr="00513E62">
        <w:t xml:space="preserve"> </w:t>
      </w:r>
      <w:r w:rsidR="00306C8D">
        <w:t xml:space="preserve">núm. </w:t>
      </w:r>
      <w:r w:rsidRPr="00513E62">
        <w:t xml:space="preserve">2005/85/CE del Consejo sobre normas mínimas para los procedimientos que deben aplicar los Estados miembros para conceder o retirar la condición de refugiado, </w:t>
      </w:r>
      <w:smartTag w:uri="urn:schemas-microsoft-com:office:smarttags" w:element="PersonName">
        <w:smartTagPr>
          <w:attr w:name="ProductID" w:val="la Directiva"/>
        </w:smartTagPr>
        <w:r w:rsidRPr="00513E62">
          <w:t>la Directiva</w:t>
        </w:r>
      </w:smartTag>
      <w:r w:rsidRPr="00513E62">
        <w:t xml:space="preserve"> </w:t>
      </w:r>
      <w:r w:rsidR="00306C8D">
        <w:t xml:space="preserve">núm. </w:t>
      </w:r>
      <w:r w:rsidRPr="00513E62">
        <w:t>2008/115/CE del Parlamento Europeo y del Consejo sobre normas y procedimientos comunes en los Estados miembros para el retorno de los nacionales de terceros países en situación irregular</w:t>
      </w:r>
      <w:r w:rsidR="00306C8D">
        <w:t xml:space="preserve"> </w:t>
      </w:r>
      <w:r w:rsidRPr="00513E62">
        <w:t xml:space="preserve">y </w:t>
      </w:r>
      <w:smartTag w:uri="urn:schemas-microsoft-com:office:smarttags" w:element="PersonName">
        <w:smartTagPr>
          <w:attr w:name="ProductID" w:val="la Directiva"/>
        </w:smartTagPr>
        <w:r w:rsidRPr="00513E62">
          <w:t>la Directiva</w:t>
        </w:r>
      </w:smartTag>
      <w:r w:rsidRPr="00513E62">
        <w:t xml:space="preserve"> </w:t>
      </w:r>
      <w:r w:rsidR="00306C8D">
        <w:t xml:space="preserve">núm. </w:t>
      </w:r>
      <w:r w:rsidRPr="00513E62">
        <w:t xml:space="preserve">2011/93/UE del Parlamento Europeo y del Consejo sobre </w:t>
      </w:r>
      <w:r w:rsidRPr="00513E62">
        <w:rPr>
          <w:bCs/>
        </w:rPr>
        <w:t xml:space="preserve">la lucha contra los abusos sexuales y la explotación sexual de los menores y la pornografía infantil, y a fin de reemplazar </w:t>
      </w:r>
      <w:smartTag w:uri="urn:schemas-microsoft-com:office:smarttags" w:element="PersonName">
        <w:smartTagPr>
          <w:attr w:name="ProductID" w:val="la Decisi￳n"/>
        </w:smartTagPr>
        <w:r w:rsidRPr="00513E62">
          <w:rPr>
            <w:bCs/>
          </w:rPr>
          <w:t>la Decisión</w:t>
        </w:r>
      </w:smartTag>
      <w:r w:rsidRPr="00513E62">
        <w:rPr>
          <w:bCs/>
        </w:rPr>
        <w:t xml:space="preserve"> marco </w:t>
      </w:r>
      <w:r w:rsidR="00306C8D">
        <w:t xml:space="preserve">núm. </w:t>
      </w:r>
      <w:r w:rsidRPr="00513E62">
        <w:rPr>
          <w:bCs/>
        </w:rPr>
        <w:t xml:space="preserve">2004/68/JAI del Consejo. Se presta asistencia jurídica gratuita a los solicitantes de protección internacional durante los procedimientos de apelación en primera instancia ante el Tribunal Administrativo, en virtud del artículo 146 de </w:t>
      </w:r>
      <w:smartTag w:uri="urn:schemas-microsoft-com:office:smarttags" w:element="PersonName">
        <w:smartTagPr>
          <w:attr w:name="ProductID" w:val="la Constituci￳n"/>
        </w:smartTagPr>
        <w:r w:rsidRPr="00513E62">
          <w:rPr>
            <w:bCs/>
          </w:rPr>
          <w:t>la Constitución</w:t>
        </w:r>
      </w:smartTag>
      <w:r w:rsidRPr="00513E62">
        <w:rPr>
          <w:bCs/>
        </w:rPr>
        <w:t xml:space="preserve">, en caso de retirada o expiración de la condición de refugiado o una condición subsidiaria. La presente </w:t>
      </w:r>
      <w:r w:rsidR="00770B36" w:rsidRPr="00513E62">
        <w:rPr>
          <w:bCs/>
        </w:rPr>
        <w:t xml:space="preserve">Ley </w:t>
      </w:r>
      <w:r w:rsidRPr="00513E62">
        <w:rPr>
          <w:bCs/>
        </w:rPr>
        <w:t xml:space="preserve">se volvió a reformar en virtud de la </w:t>
      </w:r>
      <w:r w:rsidR="00306C8D" w:rsidRPr="00513E62">
        <w:rPr>
          <w:bCs/>
        </w:rPr>
        <w:t>Ley</w:t>
      </w:r>
      <w:r w:rsidR="00306C8D">
        <w:rPr>
          <w:bCs/>
        </w:rPr>
        <w:t xml:space="preserve"> núm. </w:t>
      </w:r>
      <w:proofErr w:type="spellStart"/>
      <w:r w:rsidRPr="00513E62">
        <w:rPr>
          <w:bCs/>
        </w:rPr>
        <w:t>L.20</w:t>
      </w:r>
      <w:proofErr w:type="spellEnd"/>
      <w:r w:rsidRPr="00513E62">
        <w:rPr>
          <w:bCs/>
        </w:rPr>
        <w:t xml:space="preserve">(I)/2015 para armonizar la legislación chipriota con </w:t>
      </w:r>
      <w:smartTag w:uri="urn:schemas-microsoft-com:office:smarttags" w:element="PersonName">
        <w:smartTagPr>
          <w:attr w:name="ProductID" w:val="la Directiva"/>
        </w:smartTagPr>
        <w:r w:rsidRPr="00513E62">
          <w:rPr>
            <w:bCs/>
          </w:rPr>
          <w:t>la Directiva</w:t>
        </w:r>
      </w:smartTag>
      <w:r w:rsidRPr="00513E62">
        <w:rPr>
          <w:bCs/>
        </w:rPr>
        <w:t xml:space="preserve"> </w:t>
      </w:r>
      <w:r w:rsidR="00306C8D">
        <w:t>núm. </w:t>
      </w:r>
      <w:r w:rsidRPr="00513E62">
        <w:rPr>
          <w:bCs/>
        </w:rPr>
        <w:t xml:space="preserve">2013/33/UE del Parlamento Europeo y del Consejo por la que se aprueban normas para la acogida de los solicitantes de protección internacional (texto refundido), por lo que respecta a la prestación de asistencia jurídica. En la presente </w:t>
      </w:r>
      <w:r w:rsidR="00770B36" w:rsidRPr="00513E62">
        <w:rPr>
          <w:bCs/>
        </w:rPr>
        <w:t xml:space="preserve">Ley </w:t>
      </w:r>
      <w:r w:rsidRPr="00513E62">
        <w:rPr>
          <w:bCs/>
        </w:rPr>
        <w:t>se dispone que se preste asistencia jurídica en los procedimientos judiciales cuando el solicitante de protección internacional que se halle detenido o recluido solicite una revisión judicial: a) en impugnación de un acto administrativo que tenga efectos jurídicos en su detención</w:t>
      </w:r>
      <w:r w:rsidR="00770B36">
        <w:rPr>
          <w:bCs/>
        </w:rPr>
        <w:t>,</w:t>
      </w:r>
      <w:r w:rsidRPr="00513E62">
        <w:rPr>
          <w:bCs/>
        </w:rPr>
        <w:t xml:space="preserve"> o b) en relación con la legalidad de la duración de su detención (solicitud de </w:t>
      </w:r>
      <w:r w:rsidRPr="00CD2C0D">
        <w:rPr>
          <w:bCs/>
          <w:i/>
        </w:rPr>
        <w:t>habeas corpus</w:t>
      </w:r>
      <w:r w:rsidRPr="00513E62">
        <w:rPr>
          <w:bCs/>
        </w:rPr>
        <w:t>). En tal caso, el solicitante puede comparecer ante el tribunal competente para ejercer su derecho a recibir asistencia jurídica gratuita, acompañado por la policía. Esa asistencia comprende la preparación de la documentación requerida para el procedimiento y la comparecencia ante el tribunal en representación del solicitante.</w:t>
      </w:r>
    </w:p>
    <w:p w:rsidR="00CD2C0D" w:rsidRPr="00513E62" w:rsidRDefault="00CD2C0D" w:rsidP="00CD2C0D">
      <w:pPr>
        <w:pStyle w:val="H4G"/>
      </w:pPr>
      <w:r>
        <w:tab/>
      </w:r>
      <w:r w:rsidRPr="00513E62">
        <w:t>vii)</w:t>
      </w:r>
      <w:r w:rsidRPr="00513E62">
        <w:tab/>
        <w:t xml:space="preserve">Leyes de </w:t>
      </w:r>
      <w:r w:rsidR="00811C9F" w:rsidRPr="00513E62">
        <w:t xml:space="preserve">Refugiados </w:t>
      </w:r>
      <w:r w:rsidRPr="00513E62">
        <w:t>[2000-2014],</w:t>
      </w:r>
      <w:r w:rsidR="00306C8D">
        <w:t xml:space="preserve"> </w:t>
      </w:r>
      <w:r w:rsidRPr="00513E62">
        <w:t xml:space="preserve">reformadas en 2013 en virtud de la Ley </w:t>
      </w:r>
      <w:r w:rsidR="00AA7E5A">
        <w:t>núm. </w:t>
      </w:r>
      <w:proofErr w:type="spellStart"/>
      <w:r w:rsidRPr="00513E62">
        <w:t>L.9</w:t>
      </w:r>
      <w:proofErr w:type="spellEnd"/>
      <w:r>
        <w:t>(I)/2013, a </w:t>
      </w:r>
      <w:r w:rsidR="00306C8D">
        <w:t>fin </w:t>
      </w:r>
      <w:r w:rsidRPr="00513E62">
        <w:t xml:space="preserve">de armonizar la legislación chipriota con </w:t>
      </w:r>
      <w:smartTag w:uri="urn:schemas-microsoft-com:office:smarttags" w:element="PersonName">
        <w:smartTagPr>
          <w:attr w:name="ProductID" w:val="la Directiva"/>
        </w:smartTagPr>
        <w:r w:rsidRPr="00513E62">
          <w:t>la Directiva</w:t>
        </w:r>
      </w:smartTag>
      <w:r w:rsidRPr="00513E62">
        <w:t xml:space="preserve"> </w:t>
      </w:r>
      <w:r w:rsidR="00306C8D">
        <w:t>núm.</w:t>
      </w:r>
      <w:r w:rsidR="00AA7E5A">
        <w:t> </w:t>
      </w:r>
      <w:r w:rsidRPr="00513E62">
        <w:t>2005/85/CE del Consejo</w:t>
      </w:r>
      <w:r w:rsidR="00306C8D">
        <w:t> </w:t>
      </w:r>
      <w:r>
        <w:t>sobre </w:t>
      </w:r>
      <w:r w:rsidRPr="00513E62">
        <w:t>normas mínimas pa</w:t>
      </w:r>
      <w:r w:rsidR="00AA7E5A">
        <w:t>ra los procedimientos que deben </w:t>
      </w:r>
      <w:r w:rsidRPr="00513E62">
        <w:t>aplicar los Estad</w:t>
      </w:r>
      <w:r>
        <w:t xml:space="preserve">os miembros para </w:t>
      </w:r>
      <w:r w:rsidRPr="00513E62">
        <w:t>conceder o retirar</w:t>
      </w:r>
      <w:r w:rsidR="00AA7E5A">
        <w:t xml:space="preserve"> la condición de refugiado y la </w:t>
      </w:r>
      <w:r w:rsidRPr="00513E62">
        <w:t>Directiva</w:t>
      </w:r>
      <w:r>
        <w:t xml:space="preserve"> </w:t>
      </w:r>
      <w:r w:rsidR="00306C8D">
        <w:t>núm. </w:t>
      </w:r>
      <w:r>
        <w:t>2004/83/CE del </w:t>
      </w:r>
      <w:r w:rsidRPr="00513E62">
        <w:t>Consejo por la que se establecen normas mínimas rel</w:t>
      </w:r>
      <w:r w:rsidR="00306C8D">
        <w:t>ativas a los </w:t>
      </w:r>
      <w:r>
        <w:t>requisitos para el </w:t>
      </w:r>
      <w:r w:rsidRPr="00513E62">
        <w:t xml:space="preserve">reconocimiento y el estatuto de nacionales de terceros países o apátridas como refugiados o personas que necesitan otro tipo de protección </w:t>
      </w:r>
      <w:r w:rsidR="00306C8D">
        <w:t>internacional </w:t>
      </w:r>
      <w:r>
        <w:t>y al contenido de </w:t>
      </w:r>
      <w:r w:rsidRPr="00513E62">
        <w:t>la protección concedida</w:t>
      </w:r>
    </w:p>
    <w:p w:rsidR="00CD2C0D" w:rsidRPr="00513E62" w:rsidRDefault="00CD2C0D" w:rsidP="00CD2C0D">
      <w:pPr>
        <w:pStyle w:val="SingleTxtG"/>
      </w:pPr>
      <w:r w:rsidRPr="00513E62">
        <w:t>21.</w:t>
      </w:r>
      <w:r w:rsidRPr="00513E62">
        <w:tab/>
        <w:t xml:space="preserve">Las presentes leyes se reformaron de nuevo en 2014 en virtud de las </w:t>
      </w:r>
      <w:r w:rsidR="00AA7E5A" w:rsidRPr="00513E62">
        <w:t xml:space="preserve">Leyes </w:t>
      </w:r>
      <w:proofErr w:type="spellStart"/>
      <w:r w:rsidR="00AA7E5A">
        <w:t>núms</w:t>
      </w:r>
      <w:proofErr w:type="spellEnd"/>
      <w:r w:rsidR="00AA7E5A">
        <w:t>. </w:t>
      </w:r>
      <w:proofErr w:type="spellStart"/>
      <w:r w:rsidRPr="00513E62">
        <w:t>L.58</w:t>
      </w:r>
      <w:proofErr w:type="spellEnd"/>
      <w:r w:rsidRPr="00513E62">
        <w:t xml:space="preserve">(I)/2014 y </w:t>
      </w:r>
      <w:proofErr w:type="spellStart"/>
      <w:r w:rsidRPr="00513E62">
        <w:t>L.59</w:t>
      </w:r>
      <w:proofErr w:type="spellEnd"/>
      <w:r w:rsidRPr="00513E62">
        <w:t xml:space="preserve">(I)/2014 para armonizar la legislación chipriota con </w:t>
      </w:r>
      <w:smartTag w:uri="urn:schemas-microsoft-com:office:smarttags" w:element="PersonName">
        <w:smartTagPr>
          <w:attr w:name="ProductID" w:val="la Directiva"/>
        </w:smartTagPr>
        <w:r w:rsidRPr="00513E62">
          <w:t>la Directiva</w:t>
        </w:r>
      </w:smartTag>
      <w:r w:rsidRPr="00513E62">
        <w:t xml:space="preserve"> </w:t>
      </w:r>
      <w:r w:rsidR="00306C8D">
        <w:t>núm. </w:t>
      </w:r>
      <w:r w:rsidRPr="00513E62">
        <w:t>2011/95/UE del Parlamento Europeo y del Consejo por la que se establecen normas relativas a los requisitos para el reconocimiento de nacionales de terceros países o apátridas como beneficiarios de protección internacional, a un estatuto uniforme para los refugiados o para las personas con derecho a protección subsidiaria y al contenido de la protección concedida (refundición)</w:t>
      </w:r>
      <w:r w:rsidR="00306C8D">
        <w:t xml:space="preserve"> </w:t>
      </w:r>
      <w:r w:rsidRPr="00513E62">
        <w:t xml:space="preserve">y para armonizar más estrechamente la legislación chipriota con las Directivas del Consejo </w:t>
      </w:r>
      <w:proofErr w:type="spellStart"/>
      <w:r w:rsidR="00306C8D">
        <w:t>núms</w:t>
      </w:r>
      <w:proofErr w:type="spellEnd"/>
      <w:r w:rsidR="00306C8D">
        <w:t xml:space="preserve">. </w:t>
      </w:r>
      <w:r w:rsidRPr="00513E62">
        <w:t>2005/85/CE, 2003/86/CE y 2001/55/CE. [Véase también el presente informe, párr</w:t>
      </w:r>
      <w:r w:rsidR="00770B36">
        <w:t>afo</w:t>
      </w:r>
      <w:r w:rsidRPr="00513E62">
        <w:t>s 74 y 75</w:t>
      </w:r>
      <w:r>
        <w:t>.</w:t>
      </w:r>
      <w:r w:rsidRPr="00513E62">
        <w:t>]</w:t>
      </w:r>
    </w:p>
    <w:p w:rsidR="00CD2C0D" w:rsidRPr="00513E62" w:rsidRDefault="00CD2C0D" w:rsidP="00CD2C0D">
      <w:pPr>
        <w:pStyle w:val="H4G"/>
      </w:pPr>
      <w:r>
        <w:lastRenderedPageBreak/>
        <w:tab/>
      </w:r>
      <w:r w:rsidRPr="00513E62">
        <w:t>viii)</w:t>
      </w:r>
      <w:r w:rsidRPr="00513E62">
        <w:tab/>
        <w:t xml:space="preserve">Ley de </w:t>
      </w:r>
      <w:r w:rsidR="00811C9F" w:rsidRPr="00513E62">
        <w:t xml:space="preserve">Educación </w:t>
      </w:r>
      <w:r w:rsidRPr="00513E62">
        <w:t xml:space="preserve">y </w:t>
      </w:r>
      <w:r w:rsidR="00811C9F" w:rsidRPr="00513E62">
        <w:t xml:space="preserve">Formación </w:t>
      </w:r>
      <w:r w:rsidRPr="00513E62">
        <w:t xml:space="preserve">de los </w:t>
      </w:r>
      <w:r w:rsidR="00811C9F" w:rsidRPr="00513E62">
        <w:t xml:space="preserve">Niños </w:t>
      </w:r>
      <w:r w:rsidRPr="00513E62">
        <w:t xml:space="preserve">con </w:t>
      </w:r>
      <w:r w:rsidR="00811C9F" w:rsidRPr="00513E62">
        <w:t xml:space="preserve">Necesidades Especiales </w:t>
      </w:r>
      <w:r w:rsidRPr="00513E62">
        <w:t>[</w:t>
      </w:r>
      <w:r w:rsidR="00AA7E5A">
        <w:t>núm. </w:t>
      </w:r>
      <w:proofErr w:type="spellStart"/>
      <w:r w:rsidRPr="00513E62">
        <w:t>L.113</w:t>
      </w:r>
      <w:proofErr w:type="spellEnd"/>
      <w:r w:rsidRPr="00513E62">
        <w:t>(I)/1999, reformada] y Reglamento correspondiente [</w:t>
      </w:r>
      <w:r w:rsidR="00AA7E5A">
        <w:t>núm. </w:t>
      </w:r>
      <w:proofErr w:type="spellStart"/>
      <w:r w:rsidR="00AA7E5A">
        <w:t>R.185</w:t>
      </w:r>
      <w:proofErr w:type="spellEnd"/>
      <w:r w:rsidR="00AA7E5A">
        <w:t>/2001, </w:t>
      </w:r>
      <w:r w:rsidRPr="00513E62">
        <w:t>reformado]</w:t>
      </w:r>
    </w:p>
    <w:p w:rsidR="00CD2C0D" w:rsidRPr="00513E62" w:rsidRDefault="00CD2C0D" w:rsidP="00CD2C0D">
      <w:pPr>
        <w:pStyle w:val="SingleTxtG"/>
      </w:pPr>
      <w:r w:rsidRPr="00513E62">
        <w:t>22.</w:t>
      </w:r>
      <w:r w:rsidRPr="00513E62">
        <w:tab/>
        <w:t xml:space="preserve">La presente </w:t>
      </w:r>
      <w:r w:rsidR="00770B36" w:rsidRPr="00513E62">
        <w:t xml:space="preserve">Ley </w:t>
      </w:r>
      <w:r w:rsidRPr="00513E62">
        <w:t xml:space="preserve">y el presente </w:t>
      </w:r>
      <w:r w:rsidR="00770B36" w:rsidRPr="00513E62">
        <w:t xml:space="preserve">Reglamento </w:t>
      </w:r>
      <w:r w:rsidRPr="00513E62">
        <w:t xml:space="preserve">se han reformado en virtud de la Ley </w:t>
      </w:r>
      <w:r w:rsidR="00AA7E5A">
        <w:t>núm. </w:t>
      </w:r>
      <w:proofErr w:type="spellStart"/>
      <w:r w:rsidRPr="00513E62">
        <w:t>L.87</w:t>
      </w:r>
      <w:proofErr w:type="spellEnd"/>
      <w:r w:rsidRPr="00513E62">
        <w:t xml:space="preserve">(I)/2014 y del Reglamento </w:t>
      </w:r>
      <w:r w:rsidR="00AA7E5A">
        <w:t xml:space="preserve">núm. </w:t>
      </w:r>
      <w:proofErr w:type="spellStart"/>
      <w:r w:rsidRPr="00513E62">
        <w:t>R.416</w:t>
      </w:r>
      <w:proofErr w:type="spellEnd"/>
      <w:r w:rsidRPr="00513E62">
        <w:t>/2013 respectivamente, a fin de reforzar adicionalmente los derechos de los niños con discapacidad</w:t>
      </w:r>
      <w:r w:rsidR="00306C8D">
        <w:t>.</w:t>
      </w:r>
      <w:r w:rsidRPr="00513E62">
        <w:t xml:space="preserve"> [Véase también el presente informe, artículo 7</w:t>
      </w:r>
      <w:r>
        <w:t>.</w:t>
      </w:r>
      <w:r w:rsidRPr="00513E62">
        <w:t>]</w:t>
      </w:r>
    </w:p>
    <w:p w:rsidR="00CD2C0D" w:rsidRPr="00513E62" w:rsidRDefault="00CD2C0D" w:rsidP="00CD2C0D">
      <w:pPr>
        <w:pStyle w:val="H4G"/>
      </w:pPr>
      <w:r>
        <w:tab/>
      </w:r>
      <w:r w:rsidRPr="00513E62">
        <w:t>ix)</w:t>
      </w:r>
      <w:r w:rsidRPr="00513E62">
        <w:tab/>
        <w:t xml:space="preserve">Ley de </w:t>
      </w:r>
      <w:r w:rsidR="00811C9F" w:rsidRPr="00513E62">
        <w:t xml:space="preserve">Constitución </w:t>
      </w:r>
      <w:r w:rsidRPr="00513E62">
        <w:t xml:space="preserve">y </w:t>
      </w:r>
      <w:r w:rsidR="00811C9F" w:rsidRPr="00513E62">
        <w:t xml:space="preserve">Funcionamiento </w:t>
      </w:r>
      <w:r w:rsidRPr="00513E62">
        <w:t>del Tribunal Administrativo [</w:t>
      </w:r>
      <w:r w:rsidR="00AA7E5A">
        <w:t xml:space="preserve">núm. </w:t>
      </w:r>
      <w:proofErr w:type="spellStart"/>
      <w:r w:rsidRPr="00513E62">
        <w:t>L.131</w:t>
      </w:r>
      <w:proofErr w:type="spellEnd"/>
      <w:r w:rsidRPr="00513E62">
        <w:t xml:space="preserve">(I)/2015] </w:t>
      </w:r>
      <w:r>
        <w:t>en virtud </w:t>
      </w:r>
      <w:r w:rsidRPr="00513E62">
        <w:t xml:space="preserve">de la cual se armoniza la legislación chipriota con parte de </w:t>
      </w:r>
      <w:smartTag w:uri="urn:schemas-microsoft-com:office:smarttags" w:element="PersonName">
        <w:smartTagPr>
          <w:attr w:name="ProductID" w:val="la Directiva"/>
        </w:smartTagPr>
        <w:r w:rsidRPr="00513E62">
          <w:t>la Directiva</w:t>
        </w:r>
      </w:smartTag>
      <w:r w:rsidRPr="00513E62">
        <w:t xml:space="preserve"> </w:t>
      </w:r>
      <w:r w:rsidR="00306C8D">
        <w:t>núm. </w:t>
      </w:r>
      <w:r w:rsidRPr="00513E62">
        <w:t>2013/32/UE del Parlamento Europeo y del Consejo sobre</w:t>
      </w:r>
      <w:r w:rsidR="00811C9F">
        <w:t xml:space="preserve"> procedimientos comunes </w:t>
      </w:r>
      <w:r>
        <w:t>para la </w:t>
      </w:r>
      <w:r w:rsidRPr="00513E62">
        <w:t>concesión o la retirada de la protección i</w:t>
      </w:r>
      <w:r w:rsidR="00811C9F">
        <w:t>nternacional (refundición) y la </w:t>
      </w:r>
      <w:r w:rsidRPr="00513E62">
        <w:t>Directiva</w:t>
      </w:r>
      <w:r>
        <w:t> </w:t>
      </w:r>
      <w:r w:rsidR="00306C8D">
        <w:t xml:space="preserve">núm. </w:t>
      </w:r>
      <w:r>
        <w:t>2013/33/</w:t>
      </w:r>
      <w:r w:rsidRPr="00513E62">
        <w:t>U</w:t>
      </w:r>
      <w:r>
        <w:t>E</w:t>
      </w:r>
      <w:r w:rsidRPr="00513E62">
        <w:t xml:space="preserve"> del Parlamento Europeo y del Consejo por la</w:t>
      </w:r>
      <w:r>
        <w:t xml:space="preserve"> que se aprueban normas para la </w:t>
      </w:r>
      <w:r w:rsidRPr="00513E62">
        <w:t xml:space="preserve">acogida de los solicitantes de </w:t>
      </w:r>
      <w:r w:rsidR="00811C9F">
        <w:t>protección internacional [Véase </w:t>
      </w:r>
      <w:r w:rsidRPr="00513E62">
        <w:t>también</w:t>
      </w:r>
      <w:r>
        <w:t xml:space="preserve"> el presente </w:t>
      </w:r>
      <w:r w:rsidRPr="00513E62">
        <w:t>informe, artículo 6</w:t>
      </w:r>
      <w:r>
        <w:t>.</w:t>
      </w:r>
      <w:r w:rsidRPr="00513E62">
        <w:t>]</w:t>
      </w:r>
    </w:p>
    <w:p w:rsidR="00CD2C0D" w:rsidRPr="00513E62" w:rsidRDefault="00CD2C0D" w:rsidP="00CD2C0D">
      <w:pPr>
        <w:pStyle w:val="H23G"/>
      </w:pPr>
      <w:r>
        <w:tab/>
      </w:r>
      <w:r w:rsidRPr="00513E62">
        <w:t>b)</w:t>
      </w:r>
      <w:r w:rsidRPr="00513E62">
        <w:tab/>
        <w:t>Información concreta y detallada sobre las medidas legislativas, judiciales, administrativas o de otra índole adoptadas</w:t>
      </w:r>
    </w:p>
    <w:p w:rsidR="00CD2C0D" w:rsidRPr="00513E62" w:rsidRDefault="00CD2C0D" w:rsidP="00CD2C0D">
      <w:pPr>
        <w:pStyle w:val="SingleTxtG"/>
      </w:pPr>
      <w:r w:rsidRPr="00513E62">
        <w:t>[Véase también el informe anterior, párr</w:t>
      </w:r>
      <w:r w:rsidR="00770B36">
        <w:t>afo</w:t>
      </w:r>
      <w:r w:rsidRPr="00513E62">
        <w:t xml:space="preserve">s </w:t>
      </w:r>
      <w:smartTag w:uri="urn:schemas-microsoft-com:office:smarttags" w:element="metricconverter">
        <w:smartTagPr>
          <w:attr w:name="ProductID" w:val="16 a"/>
        </w:smartTagPr>
        <w:r w:rsidRPr="00513E62">
          <w:t>16 a</w:t>
        </w:r>
      </w:smartTag>
      <w:r w:rsidRPr="00513E62">
        <w:t xml:space="preserve"> 21</w:t>
      </w:r>
      <w:r>
        <w:t>.</w:t>
      </w:r>
      <w:r w:rsidRPr="00513E62">
        <w:t>]</w:t>
      </w:r>
    </w:p>
    <w:p w:rsidR="00CD2C0D" w:rsidRPr="00513E62" w:rsidRDefault="00CD2C0D" w:rsidP="00CD2C0D">
      <w:pPr>
        <w:pStyle w:val="SingleTxtG"/>
      </w:pPr>
      <w:r w:rsidRPr="00513E62">
        <w:t>23.</w:t>
      </w:r>
      <w:r w:rsidRPr="00513E62">
        <w:tab/>
      </w:r>
      <w:smartTag w:uri="urn:schemas-microsoft-com:office:smarttags" w:element="PersonName">
        <w:smartTagPr>
          <w:attr w:name="ProductID" w:val="la Polic￭a"/>
        </w:smartTagPr>
        <w:r w:rsidRPr="00513E62">
          <w:t>La Policía</w:t>
        </w:r>
      </w:smartTag>
      <w:r w:rsidRPr="00513E62">
        <w:t xml:space="preserve"> de Chipre sigue impartiendo instrucción y capacitación en cuestiones de derechos humanos, sobre todo la lucha contra la discriminación racial y la xenofobia.</w:t>
      </w:r>
    </w:p>
    <w:p w:rsidR="00CD2C0D" w:rsidRPr="00513E62" w:rsidRDefault="00CD2C0D" w:rsidP="00CD2C0D">
      <w:pPr>
        <w:pStyle w:val="SingleTxtG"/>
      </w:pPr>
      <w:r w:rsidRPr="00513E62">
        <w:t>24.</w:t>
      </w:r>
      <w:r w:rsidRPr="00513E62">
        <w:tab/>
        <w:t xml:space="preserve">A raíz de la promulgación de la Ley </w:t>
      </w:r>
      <w:r w:rsidR="00AA7E5A">
        <w:t xml:space="preserve">núm. </w:t>
      </w:r>
      <w:proofErr w:type="spellStart"/>
      <w:r w:rsidRPr="00513E62">
        <w:t>L.185</w:t>
      </w:r>
      <w:proofErr w:type="spellEnd"/>
      <w:r w:rsidRPr="00513E62">
        <w:t xml:space="preserve">(I)/2014 (en virtud de la cual se reformó la Ley </w:t>
      </w:r>
      <w:r w:rsidR="00AA7E5A">
        <w:t xml:space="preserve">núm. </w:t>
      </w:r>
      <w:proofErr w:type="spellStart"/>
      <w:r w:rsidRPr="00513E62">
        <w:t>L.163</w:t>
      </w:r>
      <w:proofErr w:type="spellEnd"/>
      <w:r w:rsidRPr="00513E62">
        <w:t>(I)/2005),</w:t>
      </w:r>
      <w:r w:rsidR="00306C8D">
        <w:t xml:space="preserve"> </w:t>
      </w:r>
      <w:r w:rsidRPr="00513E62">
        <w:t xml:space="preserve">la Academia de Policía de Chipre puso en marcha, los días 28 y 29 de mayo de 2015, un programa dirigido a un grupo concreto de agentes policiales que se encargaban de tratar con los detenidos. En el programa figuraban temas relativos a los derechos humanos de los detenidos y las obligaciones jurídicas y morales de </w:t>
      </w:r>
      <w:smartTag w:uri="urn:schemas-microsoft-com:office:smarttags" w:element="PersonName">
        <w:smartTagPr>
          <w:attr w:name="ProductID" w:val="ࡳ쬘ࡲlǸЊIla PresidenciaǲЌJ&#10;la Prevenci￳nČЎKla Promoci￳nahoĆЎLla Promoci￳nĀЌM&#10;la Protecci￳nĚЌNla Recomendaci￳n N￺m.ĒЊOla RedbĮЎPla Rep￺blicaĨЈQla StopĤЊR&#10;la Tortura￼ĿЎSla Trata耀ĺЌTla UEĶЊUla UE.aĲЈVla UE. AsimismoŌЎWla Uni￳n EuropeaŅЊXla UniversidadşЈYla Vida P￺blicařЎZla ViolenciaœЌĢ[ ProductIDĖŮЎ\ьムヺ̽䰄ベꋨࣕal ƂԈѸム̽ࣕࣕƇԌǲԈ桀ヹઘ͉樜ヹ̀ム匠̾黈ࣕ﹀̽￀̽ǪԈઈ̾Ѹ̾ǢԈ桀ヹಀ̾樜ヹ̀ム鹈ࣕ齈ࣕ﹀̽￀̽ǚԈઈ̾ϐ̾ǒԈ桀ヹ೰̾樜ヹ̀ム黈ࣕꀐࣕ﹀̽￀̽ǊԈઈ̾Ű̾ ǂԌヺьムヺ̽䰄ベ๰̾ ĻԈ桀ヹൠ̾樜ヹ̀ム齈ࣕꃈࣕ﹀̽￀̽ĳԈ-DosĴԈઈ̾Ѹ̾ĬԌ໐ࢆꅈࣕĢԈ桀ヹැ̾樜ヹ̀ムꀐࣕꅘࣕ﹀̽￀̽ĚԈઈ̾ϐ̾ĒԌ헰ࣗ9ĐԈ桀ヹเ̾樜ヹ̀ムꃈࣕꉠࣕ﹀̽￀̽ĈԈѸム̽࠴ࣛ૨ࣛčԈ&#10;serieĀԈĆԈ䤜攀樌攀䩄攀攀쫘ࣘ헰ࣗ徘ࣗűԈ桀ヹະ̾樜ヹ̀ムꅘࣕ賀ࣛ﹀̽￀̽ũԈ:ken ListŢԈӯÀ䘀ŦԈ鶤ࣕ๸̾ﮰࣔTagśԈ嶰攁嶜攁嶄攁ꇨࣕ嵬攁œԈѸム̽ࣕࣕŔԈunaŋԈѸム̽卤ࣛ哸ࣛŌԈ&#10;serieŃԈWINWORD.EXEŇԌ ͌&#10;Ȍ&#10;1ƻԈઈ̾鶀ࣕƳԈ璨ࣝƷԎunov.orgƫԌ ꒠ล꒠ล꒠ล꒠ล䮐̾䮐̾㤨द㤨द㤨द ƣԌヺьムヺ̽䰄ベഠ̾al ƘԈofƟԈѸム̽{ꗌࣕꕘࣕ ƐԌヺьムヺ̽䰄ベꖠࣕ ƉԈꕼࣕꙘࣕ䍠ࣔƂԈ-ƁԈѸム̽|꙼ࣕꘈࣕ ǺԌヺьムヺ̽ĖĖŸЎ]ьムヺ̽䰄ベ㹈ᡁĠ Ƥ؈䇤᠌䮨ᡁ䫨ᡁallƯ؈㷼ᡁ퀀៛㳀ᡁ ƪ،ヺьムヺ̽䰄ベ쿸៛ Ʊ؈⿜ᡂ㽰ᡁ⽈ᡂƼ؈,劘Ɨƹ؈Ѹム̽;㾔ᡁ㼠ᡁ Ƅ،ヺьムヺ̽䰄ベ㽨ᡁ Ƌ؈㽄ᡁ䀠ᡁ㻀ᡁƐƖ؈ob NeƓ؈Ѹム̽=䁄ᡁ㿐ᡁ ƞ،ヺьムヺ̽䰄ベ䀘ᡁ苌ࡢ ť؈㿴ᡁ䃐ᡁ㽰ᡁ搔᠈木᠈Š؈,ŭ؈Ѹム̽䃴ᡁ䂀ᡁ Ũ،ヺьムヺ̽䰄ベ䃈ᡁ"/>
        </w:smartTagPr>
        <w:r w:rsidRPr="00513E62">
          <w:t>la Policía</w:t>
        </w:r>
      </w:smartTag>
      <w:r w:rsidRPr="00513E62">
        <w:t xml:space="preserve"> en virtud de la legislación aplicable y del Reglamento del Cuerpo. Formaban parte del programa unas conferencias dictadas por un representante de </w:t>
      </w:r>
      <w:smartTag w:uri="urn:schemas-microsoft-com:office:smarttags" w:element="PersonName">
        <w:smartTagPr>
          <w:attr w:name="ProductID" w:val="la Oficina"/>
        </w:smartTagPr>
        <w:r w:rsidRPr="00513E62">
          <w:t>la Oficina</w:t>
        </w:r>
      </w:smartTag>
      <w:r w:rsidRPr="00513E62">
        <w:t xml:space="preserve"> del Ombudsman sobre temas relacionados con los derechos humanos de los detenidos.</w:t>
      </w:r>
    </w:p>
    <w:p w:rsidR="00CD2C0D" w:rsidRPr="00513E62" w:rsidRDefault="00CD2C0D" w:rsidP="00CD2C0D">
      <w:pPr>
        <w:pStyle w:val="SingleTxtG"/>
      </w:pPr>
      <w:r w:rsidRPr="00513E62">
        <w:t>25.</w:t>
      </w:r>
      <w:r w:rsidRPr="00513E62">
        <w:tab/>
        <w:t xml:space="preserve">Se ha emprendido un programa de capacitación de 14 semanas de duración para los agentes policiales destinados en el Centro de Internamiento de </w:t>
      </w:r>
      <w:proofErr w:type="spellStart"/>
      <w:r w:rsidRPr="00513E62">
        <w:t>Menoyia</w:t>
      </w:r>
      <w:proofErr w:type="spellEnd"/>
      <w:r w:rsidRPr="00513E62">
        <w:t xml:space="preserve">. El programa comprende una sección sobre derechos humanos y se imparte al menos una vez cada seis meses. </w:t>
      </w:r>
      <w:smartTag w:uri="urn:schemas-microsoft-com:office:smarttags" w:element="PersonName">
        <w:smartTagPr>
          <w:attr w:name="ProductID" w:val="la Oficina"/>
        </w:smartTagPr>
        <w:r w:rsidRPr="00513E62">
          <w:t>La Oficina</w:t>
        </w:r>
      </w:smartTag>
      <w:r w:rsidRPr="00513E62">
        <w:t xml:space="preserve"> del Ombudsman participa sistemáticamente en todas las actividades educativas dirigidas a los agentes que trabajan en </w:t>
      </w:r>
      <w:proofErr w:type="spellStart"/>
      <w:r w:rsidRPr="00513E62">
        <w:t>Menoyia</w:t>
      </w:r>
      <w:proofErr w:type="spellEnd"/>
      <w:r w:rsidRPr="00513E62">
        <w:t>, tanto en las de capacitación inicial como en las de refuerzo que se imp</w:t>
      </w:r>
      <w:r>
        <w:t>arten a intervalos semestrales.</w:t>
      </w:r>
    </w:p>
    <w:p w:rsidR="00CD2C0D" w:rsidRPr="00513E62" w:rsidRDefault="00CD2C0D" w:rsidP="00CD2C0D">
      <w:pPr>
        <w:pStyle w:val="SingleTxtG"/>
      </w:pPr>
      <w:r w:rsidRPr="00513E62">
        <w:t>26.</w:t>
      </w:r>
      <w:r w:rsidRPr="00513E62">
        <w:tab/>
        <w:t xml:space="preserve">El Jefe de </w:t>
      </w:r>
      <w:smartTag w:uri="urn:schemas-microsoft-com:office:smarttags" w:element="PersonName">
        <w:smartTagPr>
          <w:attr w:name="ProductID" w:val="la Polic￭a"/>
        </w:smartTagPr>
        <w:r w:rsidRPr="00513E62">
          <w:t>la Policía</w:t>
        </w:r>
      </w:smartTag>
      <w:r w:rsidRPr="00513E62">
        <w:t xml:space="preserve"> ha enviado, a todos los miembros del Cuerpo, unas circulares en las que recalca que es de suma importancia que los agentes salvaguarden y defiendan los derechos humanos, sobre todo en el trato que den a los detenidos. Insiste en que hay que acatar y aplicar las leyes de derechos humanos para evitar que se vulneren estos.</w:t>
      </w:r>
    </w:p>
    <w:p w:rsidR="00CD2C0D" w:rsidRPr="00513E62" w:rsidRDefault="00CD2C0D" w:rsidP="00CD2C0D">
      <w:pPr>
        <w:pStyle w:val="H23G"/>
      </w:pPr>
      <w:r>
        <w:tab/>
      </w:r>
      <w:r w:rsidRPr="00513E62">
        <w:t>c)</w:t>
      </w:r>
      <w:r w:rsidRPr="00513E62">
        <w:tab/>
        <w:t>Información sobre si una institución naciona</w:t>
      </w:r>
      <w:r>
        <w:t>l de derechos humanos creada de </w:t>
      </w:r>
      <w:r w:rsidRPr="00513E62">
        <w:t>conformidad con los Principios de París u otros órg</w:t>
      </w:r>
      <w:r>
        <w:t>anos apropiados han recibido el </w:t>
      </w:r>
      <w:r w:rsidRPr="00513E62">
        <w:t>mandato de combatir la discriminación racial</w:t>
      </w:r>
    </w:p>
    <w:p w:rsidR="00CD2C0D" w:rsidRPr="00513E62" w:rsidRDefault="00CD2C0D" w:rsidP="00CD2C0D">
      <w:pPr>
        <w:pStyle w:val="SingleTxtG"/>
      </w:pPr>
      <w:r w:rsidRPr="00513E62">
        <w:t>27.</w:t>
      </w:r>
      <w:r w:rsidRPr="00513E62">
        <w:tab/>
        <w:t xml:space="preserve">El Subcomité de Acreditación del Comité Internacional de Coordinación de las Instituciones Nacionales para </w:t>
      </w:r>
      <w:smartTag w:uri="urn:schemas-microsoft-com:office:smarttags" w:element="PersonName">
        <w:smartTagPr>
          <w:attr w:name="ProductID" w:val="la Promoci￳n"/>
        </w:smartTagPr>
        <w:r w:rsidRPr="00513E62">
          <w:t>la Promoción</w:t>
        </w:r>
      </w:smartTag>
      <w:r w:rsidRPr="00513E62">
        <w:t xml:space="preserve"> y Protección de los Derechos Humanos, en el período de sesiones que celebró del 16 al 20 de noviembre de 2015, examinó la solicitud que había presentado </w:t>
      </w:r>
      <w:smartTag w:uri="urn:schemas-microsoft-com:office:smarttags" w:element="PersonName">
        <w:smartTagPr>
          <w:attr w:name="ProductID" w:val="la Oficina"/>
        </w:smartTagPr>
        <w:r w:rsidRPr="00513E62">
          <w:t>la Oficina</w:t>
        </w:r>
      </w:smartTag>
      <w:r w:rsidRPr="00513E62">
        <w:t xml:space="preserve"> del Comisionado para </w:t>
      </w:r>
      <w:smartTag w:uri="urn:schemas-microsoft-com:office:smarttags" w:element="PersonName">
        <w:smartTagPr>
          <w:attr w:name="ProductID" w:val="la Administraci￳n"/>
        </w:smartTagPr>
        <w:r w:rsidRPr="00513E62">
          <w:t>la Administración</w:t>
        </w:r>
      </w:smartTag>
      <w:r w:rsidRPr="00513E62">
        <w:t xml:space="preserve"> y </w:t>
      </w:r>
      <w:smartTag w:uri="urn:schemas-microsoft-com:office:smarttags" w:element="PersonName">
        <w:smartTagPr>
          <w:attr w:name="ProductID" w:val="la Protecci￳n"/>
        </w:smartTagPr>
        <w:r w:rsidRPr="00513E62">
          <w:t>la Protección</w:t>
        </w:r>
      </w:smartTag>
      <w:r w:rsidRPr="00513E62">
        <w:t xml:space="preserve"> de los Derechos Humanos para que se la acreditara como institución nacional de derechos humanos. El Subcomité se felicitó de que se hubiera creado esa oficina, tomó nota de la amplia labor que había realizado y propuso que se la acreditara como institución de </w:t>
      </w:r>
      <w:r w:rsidRPr="00513E62">
        <w:lastRenderedPageBreak/>
        <w:t xml:space="preserve">categoría B. El Subcomité formuló cinco recomendaciones concretas, por ejemplo la de que se velara por que el Comisionado o </w:t>
      </w:r>
      <w:smartTag w:uri="urn:schemas-microsoft-com:office:smarttags" w:element="PersonName">
        <w:smartTagPr>
          <w:attr w:name="ProductID" w:val="la Comisionada"/>
        </w:smartTagPr>
        <w:r w:rsidRPr="00513E62">
          <w:t>la Comisionada</w:t>
        </w:r>
      </w:smartTag>
      <w:r w:rsidRPr="00513E62">
        <w:t xml:space="preserve"> dispusiera de fondos suficientes y de autonomía económica y tuviera la posibilidad de contratar a su propio personal. Está previsto que, transcurrido un plazo de 28 días durante el cual el Comisionado o </w:t>
      </w:r>
      <w:smartTag w:uri="urn:schemas-microsoft-com:office:smarttags" w:element="PersonName">
        <w:smartTagPr>
          <w:attr w:name="ProductID" w:val="la Comisionada"/>
        </w:smartTagPr>
        <w:r w:rsidRPr="00513E62">
          <w:t>la Comisionada</w:t>
        </w:r>
      </w:smartTag>
      <w:r w:rsidRPr="00513E62">
        <w:t xml:space="preserve"> podrá oponerse a esas recomendaciones, se remitan las mismas a </w:t>
      </w:r>
      <w:smartTag w:uri="urn:schemas-microsoft-com:office:smarttags" w:element="PersonName">
        <w:smartTagPr>
          <w:attr w:name="ProductID" w:val="la Mesa"/>
        </w:smartTagPr>
        <w:r w:rsidRPr="00513E62">
          <w:t>la Mesa</w:t>
        </w:r>
      </w:smartTag>
      <w:r w:rsidRPr="00513E62">
        <w:t xml:space="preserve"> del Comité Internacional para que adopte una decisión definitiva con respecto a su aprobación. </w:t>
      </w:r>
      <w:smartTag w:uri="urn:schemas-microsoft-com:office:smarttags" w:element="PersonName">
        <w:smartTagPr>
          <w:attr w:name="ProductID" w:val="la Oficina"/>
        </w:smartTagPr>
        <w:r w:rsidRPr="00513E62">
          <w:t>La Oficina</w:t>
        </w:r>
      </w:smartTag>
      <w:r w:rsidRPr="00513E62">
        <w:t xml:space="preserve"> del Ombudsman ejerce su mandato como institución nacional de derechos humanos y seguirá ejerciéndolo, aparte de sus otros mandatos específicos como Organismo de Lucha contra la Discriminación, Mecanismo Nacional de Prevención de </w:t>
      </w:r>
      <w:smartTag w:uri="urn:schemas-microsoft-com:office:smarttags" w:element="PersonName">
        <w:smartTagPr>
          <w:attr w:name="ProductID" w:val="la Tortura"/>
        </w:smartTagPr>
        <w:r w:rsidRPr="00513E62">
          <w:t>la Tortura</w:t>
        </w:r>
      </w:smartTag>
      <w:r w:rsidRPr="00513E62">
        <w:t xml:space="preserve"> y Autoridad Independiente para </w:t>
      </w:r>
      <w:smartTag w:uri="urn:schemas-microsoft-com:office:smarttags" w:element="PersonName">
        <w:smartTagPr>
          <w:attr w:name="ProductID" w:val="la Promoci￳n"/>
        </w:smartTagPr>
        <w:r w:rsidRPr="00513E62">
          <w:t>la Promoción</w:t>
        </w:r>
      </w:smartTag>
      <w:r w:rsidRPr="00513E62">
        <w:t xml:space="preserve"> de los Derechos de las Personas con Discapacidad. [Véanse también el informe anterior, párr</w:t>
      </w:r>
      <w:r w:rsidR="00770B36">
        <w:t>afos</w:t>
      </w:r>
      <w:r w:rsidRPr="00513E62">
        <w:t xml:space="preserve"> 11, 12 h) y 23, y el informe de seguimiento, párr</w:t>
      </w:r>
      <w:r w:rsidR="00770B36">
        <w:t>afo</w:t>
      </w:r>
      <w:r w:rsidRPr="00513E62">
        <w:t xml:space="preserve"> 23, primer apartado</w:t>
      </w:r>
      <w:r>
        <w:t>.</w:t>
      </w:r>
      <w:r w:rsidRPr="00513E62">
        <w:t>]</w:t>
      </w:r>
    </w:p>
    <w:p w:rsidR="00CD2C0D" w:rsidRPr="00513E62" w:rsidRDefault="00CD2C0D" w:rsidP="00CD2C0D">
      <w:pPr>
        <w:pStyle w:val="H23G"/>
      </w:pPr>
      <w:r>
        <w:tab/>
      </w:r>
      <w:r w:rsidRPr="00513E62">
        <w:t>d)</w:t>
      </w:r>
      <w:r w:rsidRPr="00513E62">
        <w:tab/>
        <w:t>Información sobre los grupos e individuos beneficiar</w:t>
      </w:r>
      <w:r>
        <w:t>ios de las medidas especiales y </w:t>
      </w:r>
      <w:r w:rsidRPr="00513E62">
        <w:t>concretas adoptadas en las esferas social, económica, cultural y de otra índole</w:t>
      </w:r>
    </w:p>
    <w:p w:rsidR="00CD2C0D" w:rsidRPr="00513E62" w:rsidRDefault="00CD2C0D" w:rsidP="00CD2C0D">
      <w:pPr>
        <w:pStyle w:val="SingleTxtG"/>
      </w:pPr>
      <w:r w:rsidRPr="00513E62">
        <w:t>28.</w:t>
      </w:r>
      <w:r w:rsidRPr="00513E62">
        <w:tab/>
        <w:t xml:space="preserve">El Plan </w:t>
      </w:r>
      <w:r w:rsidR="00770B36" w:rsidRPr="00513E62">
        <w:t xml:space="preserve">Nacional </w:t>
      </w:r>
      <w:r w:rsidRPr="00513E62">
        <w:t xml:space="preserve">de </w:t>
      </w:r>
      <w:r w:rsidR="00770B36" w:rsidRPr="00513E62">
        <w:t xml:space="preserve">Acción </w:t>
      </w:r>
      <w:r w:rsidRPr="00513E62">
        <w:t xml:space="preserve">sobre </w:t>
      </w:r>
      <w:r w:rsidR="00770B36" w:rsidRPr="00513E62">
        <w:t xml:space="preserve">Atenuación </w:t>
      </w:r>
      <w:r w:rsidRPr="00513E62">
        <w:t xml:space="preserve">de las </w:t>
      </w:r>
      <w:r w:rsidR="00770B36" w:rsidRPr="00513E62">
        <w:t xml:space="preserve">Consecuencias </w:t>
      </w:r>
      <w:r w:rsidRPr="00513E62">
        <w:t xml:space="preserve">de la </w:t>
      </w:r>
      <w:r w:rsidR="00770B36" w:rsidRPr="00513E62">
        <w:t xml:space="preserve">Crisis Económica </w:t>
      </w:r>
      <w:r w:rsidRPr="00513E62">
        <w:t xml:space="preserve">para los </w:t>
      </w:r>
      <w:r w:rsidR="00770B36" w:rsidRPr="00513E62">
        <w:t xml:space="preserve">Servicios Públicos </w:t>
      </w:r>
      <w:r w:rsidRPr="00513E62">
        <w:t xml:space="preserve">de </w:t>
      </w:r>
      <w:r w:rsidR="00770B36" w:rsidRPr="00513E62">
        <w:t xml:space="preserve">Atención </w:t>
      </w:r>
      <w:r w:rsidRPr="00513E62">
        <w:t xml:space="preserve">de la </w:t>
      </w:r>
      <w:r w:rsidR="00770B36" w:rsidRPr="00513E62">
        <w:t>Salud</w:t>
      </w:r>
      <w:r w:rsidRPr="00513E62">
        <w:t xml:space="preserve">, ejecutado entre septiembre de 2013 y septiembre de 2015, se ha concebido expresamente para potenciar los programas de salud pública existentes destinados a los grupos vulnerables. A pesar de la presión que entrañan los recortes presupuestarios, el Ministerio de Salud procura, en todo momento, que todas las personas que viven en Chipre, en especial las pertenecientes a grupos vulnerables, tengan acceso a los servicios de salud. Por ejemplo, el Gobierno ofrece atención médica gratuita a todos los niños y las embarazadas en Chipre, así como a las víctimas de la trata y la explotación y a los solicitantes de asilo. </w:t>
      </w:r>
    </w:p>
    <w:p w:rsidR="00CD2C0D" w:rsidRPr="00513E62" w:rsidRDefault="00CD2C0D" w:rsidP="00CD2C0D">
      <w:pPr>
        <w:pStyle w:val="SingleTxtG"/>
      </w:pPr>
      <w:r w:rsidRPr="00513E62">
        <w:t>29.</w:t>
      </w:r>
      <w:r w:rsidRPr="00513E62">
        <w:tab/>
        <w:t xml:space="preserve">Una vez concluida la ejecución del citado </w:t>
      </w:r>
      <w:r w:rsidR="00770B36" w:rsidRPr="00513E62">
        <w:t xml:space="preserve">Plan Nacional </w:t>
      </w:r>
      <w:r w:rsidRPr="00513E62">
        <w:t xml:space="preserve">de </w:t>
      </w:r>
      <w:r w:rsidR="00770B36" w:rsidRPr="00513E62">
        <w:t>A</w:t>
      </w:r>
      <w:r w:rsidRPr="00513E62">
        <w:t xml:space="preserve">cción, el Ministerio de Salud elaboró un nuevo </w:t>
      </w:r>
      <w:r w:rsidR="00770B36" w:rsidRPr="00513E62">
        <w:t xml:space="preserve">Plan Nacional </w:t>
      </w:r>
      <w:r w:rsidRPr="00513E62">
        <w:t xml:space="preserve">de </w:t>
      </w:r>
      <w:r w:rsidR="00770B36" w:rsidRPr="00513E62">
        <w:t xml:space="preserve">Acción </w:t>
      </w:r>
      <w:r w:rsidRPr="00513E62">
        <w:t xml:space="preserve">de </w:t>
      </w:r>
      <w:r w:rsidR="00770B36" w:rsidRPr="00513E62">
        <w:t>Sal</w:t>
      </w:r>
      <w:r w:rsidR="00770B36">
        <w:t xml:space="preserve">ud Pública </w:t>
      </w:r>
      <w:r>
        <w:t>para el período 2016</w:t>
      </w:r>
      <w:r>
        <w:noBreakHyphen/>
      </w:r>
      <w:r w:rsidRPr="00513E62">
        <w:t>2018, que se dirigía a grupos vulnerables concretos y hacía especial hincapié en lo siguiente:</w:t>
      </w:r>
    </w:p>
    <w:p w:rsidR="00CD2C0D" w:rsidRPr="00513E62" w:rsidRDefault="00CD2C0D" w:rsidP="00CD2C0D">
      <w:pPr>
        <w:pStyle w:val="Bullet1G"/>
      </w:pPr>
      <w:r w:rsidRPr="00513E62">
        <w:t>La protección y la promoción de la salud de todos los niños de Chipre, con independencia de su nacionalidad, y</w:t>
      </w:r>
    </w:p>
    <w:p w:rsidR="00CD2C0D" w:rsidRPr="00513E62" w:rsidRDefault="00CD2C0D" w:rsidP="00CD2C0D">
      <w:pPr>
        <w:pStyle w:val="Bullet1G"/>
      </w:pPr>
      <w:r w:rsidRPr="00513E62">
        <w:t>El examen de las capacidades que permitan prestar servicios de salud a los inmigrantes y la elaboración de la estrategia pertinente.</w:t>
      </w:r>
    </w:p>
    <w:p w:rsidR="00CD2C0D" w:rsidRPr="00513E62" w:rsidRDefault="00CD2C0D" w:rsidP="00CD2C0D">
      <w:pPr>
        <w:pStyle w:val="SingleTxtG"/>
      </w:pPr>
      <w:r w:rsidRPr="00513E62">
        <w:t>30.</w:t>
      </w:r>
      <w:r w:rsidRPr="00513E62">
        <w:tab/>
        <w:t>En la actualidad, las autoridades competentes elaboran un nuevo régimen de seguros de salud cuya estructura de financiación y cobertura se basa en los principios de solidaridad, justicia y universalidad, a fin de prestar una cobertura universal e igual para todos.</w:t>
      </w:r>
    </w:p>
    <w:p w:rsidR="00CD2C0D" w:rsidRPr="00513E62" w:rsidRDefault="00CD2C0D" w:rsidP="00CD2C0D">
      <w:pPr>
        <w:pStyle w:val="SingleTxtG"/>
      </w:pPr>
      <w:r w:rsidRPr="00513E62">
        <w:t>31.</w:t>
      </w:r>
      <w:r w:rsidRPr="00513E62">
        <w:tab/>
        <w:t>Desde enero de 2015, los trabajadores domésticos y las personas cuyos derechos de residencia hayan sido limitados previamente en virtud de lo dispuesto en la legislación y las prácticas administrativas aplicables, no quedan privados de la posibilidad de obtener un permiso de residencia de largo plazo. A fin de concienciar a la opinión pública al respecto, el comité encargado de examinar las solicitudes de obtención de permisos de residencia de largo plazo puso un anuncio, el 19 de enero de 2015, en el sitio web del Departamento de Registro Civil y Migraciones. Asimismo, se pueden encontrar aclaraciones detalladas sobre el asunto en dicho sitio web, en la página de información de la sección de residencia de largo plazo.</w:t>
      </w:r>
    </w:p>
    <w:p w:rsidR="00CD2C0D" w:rsidRPr="00513E62" w:rsidRDefault="00CD2C0D" w:rsidP="00CD2C0D">
      <w:pPr>
        <w:pStyle w:val="H1G"/>
      </w:pPr>
      <w:r>
        <w:lastRenderedPageBreak/>
        <w:tab/>
      </w:r>
      <w:r>
        <w:tab/>
      </w:r>
      <w:bookmarkStart w:id="6" w:name="_Toc453253391"/>
      <w:r w:rsidRPr="00513E62">
        <w:t>Artículo 3</w:t>
      </w:r>
      <w:r w:rsidR="00D45525">
        <w:br/>
      </w:r>
      <w:r w:rsidRPr="00513E62">
        <w:t xml:space="preserve">Prevención, prohibición </w:t>
      </w:r>
      <w:r>
        <w:t>y eliminación de la segregación </w:t>
      </w:r>
      <w:r w:rsidRPr="00513E62">
        <w:t>racial</w:t>
      </w:r>
      <w:bookmarkEnd w:id="6"/>
    </w:p>
    <w:p w:rsidR="00CD2C0D" w:rsidRPr="00513E62" w:rsidRDefault="00CD2C0D" w:rsidP="00CD2C0D">
      <w:pPr>
        <w:pStyle w:val="SingleTxtG"/>
      </w:pPr>
      <w:r w:rsidRPr="00513E62">
        <w:t>[Véase tam</w:t>
      </w:r>
      <w:r w:rsidR="00770B36">
        <w:t>bién el informe anterior, párrafos</w:t>
      </w:r>
      <w:r w:rsidRPr="00513E62">
        <w:t xml:space="preserve"> </w:t>
      </w:r>
      <w:smartTag w:uri="urn:schemas-microsoft-com:office:smarttags" w:element="metricconverter">
        <w:smartTagPr>
          <w:attr w:name="ProductID" w:val="33 a"/>
        </w:smartTagPr>
        <w:r w:rsidRPr="00513E62">
          <w:t>33 a</w:t>
        </w:r>
      </w:smartTag>
      <w:r w:rsidRPr="00513E62">
        <w:t xml:space="preserve"> 36</w:t>
      </w:r>
      <w:r>
        <w:t>.</w:t>
      </w:r>
      <w:r w:rsidRPr="00513E62">
        <w:t>]</w:t>
      </w:r>
    </w:p>
    <w:p w:rsidR="00CD2C0D" w:rsidRPr="00513E62" w:rsidRDefault="00CD2C0D" w:rsidP="00CD2C0D">
      <w:pPr>
        <w:pStyle w:val="SingleTxtG"/>
      </w:pPr>
      <w:r w:rsidRPr="00513E62">
        <w:t>32.</w:t>
      </w:r>
      <w:r w:rsidRPr="00513E62">
        <w:tab/>
        <w:t xml:space="preserve">Uno de los principales objetivos del Gobierno es eliminar la segregación racial incorporando a la población romaní en la sociedad chipriota. Los Servicios de Asistencia Social, que también constan de servicios de asesoramiento, subvencionan dos programas sociales que aplican medidas dirigidas expresamente a los romaníes: uno se ejecuta en </w:t>
      </w:r>
      <w:proofErr w:type="spellStart"/>
      <w:r w:rsidRPr="00513E62">
        <w:t>Limassol</w:t>
      </w:r>
      <w:proofErr w:type="spellEnd"/>
      <w:r w:rsidRPr="00513E62">
        <w:t xml:space="preserve"> (el Centro </w:t>
      </w:r>
      <w:proofErr w:type="spellStart"/>
      <w:r w:rsidRPr="00513E62">
        <w:t>Bicomunal</w:t>
      </w:r>
      <w:proofErr w:type="spellEnd"/>
      <w:r w:rsidRPr="00513E62">
        <w:t xml:space="preserve">) y el otro es un programa de cooperación entre dos administraciones (la de </w:t>
      </w:r>
      <w:proofErr w:type="spellStart"/>
      <w:r w:rsidRPr="00513E62">
        <w:t>Pano</w:t>
      </w:r>
      <w:proofErr w:type="spellEnd"/>
      <w:r w:rsidRPr="00513E62">
        <w:t xml:space="preserve"> </w:t>
      </w:r>
      <w:proofErr w:type="spellStart"/>
      <w:r w:rsidRPr="00513E62">
        <w:t>Polemidia</w:t>
      </w:r>
      <w:proofErr w:type="spellEnd"/>
      <w:r w:rsidRPr="00513E62">
        <w:t xml:space="preserve"> y la de </w:t>
      </w:r>
      <w:proofErr w:type="spellStart"/>
      <w:r w:rsidRPr="00513E62">
        <w:t>Kato</w:t>
      </w:r>
      <w:proofErr w:type="spellEnd"/>
      <w:r w:rsidRPr="00513E62">
        <w:t xml:space="preserve"> </w:t>
      </w:r>
      <w:proofErr w:type="spellStart"/>
      <w:r w:rsidRPr="00513E62">
        <w:t>Polemidia</w:t>
      </w:r>
      <w:proofErr w:type="spellEnd"/>
      <w:r w:rsidRPr="00513E62">
        <w:t xml:space="preserve">). La finalidad principal del Centro </w:t>
      </w:r>
      <w:proofErr w:type="spellStart"/>
      <w:r w:rsidRPr="00513E62">
        <w:t>Bicomunal</w:t>
      </w:r>
      <w:proofErr w:type="spellEnd"/>
      <w:r w:rsidRPr="00513E62">
        <w:t xml:space="preserve"> es aliviar las condiciones de exclusión social del territorio de Agios </w:t>
      </w:r>
      <w:proofErr w:type="spellStart"/>
      <w:r w:rsidRPr="00513E62">
        <w:t>Antonios</w:t>
      </w:r>
      <w:proofErr w:type="spellEnd"/>
      <w:r w:rsidRPr="00513E62">
        <w:t xml:space="preserve">. El Centro presta servicios de apoyo y asesoramiento a los padres de familia, los niños, los jóvenes y las personas de edad. Coopera con las escuelas vecinas en cuestiones como la asistencia escolar y demás cuestiones conexas. Promueve varios programas dirigidos tanto a los turcochipriotas como a los grecochipriotas que viven en la zona. También imparte cursos especiales a niños de </w:t>
      </w:r>
      <w:smartTag w:uri="urn:schemas-microsoft-com:office:smarttags" w:element="metricconverter">
        <w:smartTagPr>
          <w:attr w:name="ProductID" w:val="13 a"/>
        </w:smartTagPr>
        <w:r w:rsidRPr="00513E62">
          <w:t>13 a</w:t>
        </w:r>
      </w:smartTag>
      <w:r w:rsidRPr="00513E62">
        <w:t xml:space="preserve"> 18 años de edad, para sensibilizarlos acerca del uso indebido de sustancias psicotrópicas, y pro</w:t>
      </w:r>
      <w:r>
        <w:t>gramas a personas de entre 16 y </w:t>
      </w:r>
      <w:r w:rsidRPr="00513E62">
        <w:t xml:space="preserve">40 años para prepararlos para encontrar empleo y ayudarlos a adquirir otras calificaciones que faciliten su inserción social y laboral. El programa </w:t>
      </w:r>
      <w:proofErr w:type="spellStart"/>
      <w:r w:rsidRPr="00513E62">
        <w:t>HERACLETOS</w:t>
      </w:r>
      <w:proofErr w:type="spellEnd"/>
      <w:r w:rsidRPr="00513E62">
        <w:t xml:space="preserve"> promueve medidas de inserción social de los romaníes chipriotas que viven en la zona de </w:t>
      </w:r>
      <w:proofErr w:type="spellStart"/>
      <w:r w:rsidRPr="00513E62">
        <w:t>Polemidia</w:t>
      </w:r>
      <w:proofErr w:type="spellEnd"/>
      <w:r w:rsidRPr="00513E62">
        <w:t>. Promueve varias medidas de inserción social de los romaníes que viven en el territorio, entre ellas campañas para concienciar a los padres acerca de la importancia de que sus hijos vayan a la escuela, clases de lengua griega (en colaboración con los centros de enseñanza de adultos del Ministerio de Educación y Cultura), clases de preparación para la vida en sociedad y clases de higiene personal.</w:t>
      </w:r>
    </w:p>
    <w:p w:rsidR="00CD2C0D" w:rsidRPr="00513E62" w:rsidRDefault="00CD2C0D" w:rsidP="00CD2C0D">
      <w:pPr>
        <w:pStyle w:val="SingleTxtG"/>
      </w:pPr>
      <w:r w:rsidRPr="00513E62">
        <w:t>33.</w:t>
      </w:r>
      <w:r w:rsidRPr="00513E62">
        <w:tab/>
        <w:t>Por lo que respecta a la educación de los niños romaníes, el Ministerio de Educación y Cultura ha diseñado y ejecutado programas de enseñanza para alumnos romaníes y otros alumnos que no hablan la lengua autóctona, por ejemplo programas de provisión de maestros bilingües y programas de apoyo especial del Servicio de Psicología Educativa y los Servicios de Asistencia Social.</w:t>
      </w:r>
    </w:p>
    <w:p w:rsidR="00CD2C0D" w:rsidRPr="00513E62" w:rsidRDefault="00CD2C0D" w:rsidP="00CD2C0D">
      <w:pPr>
        <w:pStyle w:val="SingleTxtG"/>
      </w:pPr>
      <w:r w:rsidRPr="00513E62">
        <w:t>34.</w:t>
      </w:r>
      <w:r w:rsidRPr="00513E62">
        <w:tab/>
        <w:t xml:space="preserve">El 28 de diciembre de 2013, el Defensor de los Derechos del Niño publicó un informe sobre la situación de la enseñanza en la escuela primaria de Agios </w:t>
      </w:r>
      <w:proofErr w:type="spellStart"/>
      <w:r w:rsidRPr="00513E62">
        <w:t>Antonios</w:t>
      </w:r>
      <w:proofErr w:type="spellEnd"/>
      <w:r w:rsidRPr="00513E62">
        <w:t>, que fue remitido al Ministro de Educación y Cultura y al Ministerio de Trabajo y Seguridad Social. En el informe constan las conclusiones del Defensor de los Derechos del Niño y se formulan recomendaciones concretas en relación con lo siguiente: 1) la composición de la población escolar y sus necesidades pedagógicas concretas</w:t>
      </w:r>
      <w:r>
        <w:t>;</w:t>
      </w:r>
      <w:r w:rsidRPr="00513E62">
        <w:t xml:space="preserve"> y 2) la inserción social de la comunidad romaní y la cooperación con ella. El Ministerio de Educación y Cultura reaccionó favorablemente, desde el principio, hacia el informe, organizó una reunión con el Defensor de los Derechos del Niño, visitó la citada escuela y se comprometió a aplicar las recomendaciones del Defensor. </w:t>
      </w:r>
    </w:p>
    <w:p w:rsidR="00CD2C0D" w:rsidRPr="00513E62" w:rsidRDefault="00CD2C0D" w:rsidP="00CD2C0D">
      <w:pPr>
        <w:pStyle w:val="SingleTxtG"/>
      </w:pPr>
      <w:r w:rsidRPr="00513E62">
        <w:t>35.</w:t>
      </w:r>
      <w:r w:rsidRPr="00513E62">
        <w:tab/>
        <w:t xml:space="preserve">Durante el ejercicio académico de 2013/2014, la escuela de enseñanza primaria de Agios </w:t>
      </w:r>
      <w:proofErr w:type="spellStart"/>
      <w:r w:rsidRPr="00513E62">
        <w:t>Antonios</w:t>
      </w:r>
      <w:proofErr w:type="spellEnd"/>
      <w:r w:rsidRPr="00513E62">
        <w:t xml:space="preserve">, de </w:t>
      </w:r>
      <w:proofErr w:type="spellStart"/>
      <w:r w:rsidRPr="00513E62">
        <w:t>Limassol</w:t>
      </w:r>
      <w:proofErr w:type="spellEnd"/>
      <w:r w:rsidRPr="00513E62">
        <w:t>, en la que estaban matriculados muchos alumnos romaníes, ofreció lo siguiente:</w:t>
      </w:r>
    </w:p>
    <w:p w:rsidR="00CD2C0D" w:rsidRPr="00513E62" w:rsidRDefault="00CD2C0D" w:rsidP="00CD2C0D">
      <w:pPr>
        <w:pStyle w:val="Bullet1G"/>
      </w:pPr>
      <w:r w:rsidRPr="00513E62">
        <w:t>Un programa de baile y teatro para mejorar el comportamiento y la autodisciplina de los alumnos;</w:t>
      </w:r>
    </w:p>
    <w:p w:rsidR="00CD2C0D" w:rsidRPr="00513E62" w:rsidRDefault="00CD2C0D" w:rsidP="00CD2C0D">
      <w:pPr>
        <w:pStyle w:val="Bullet1G"/>
      </w:pPr>
      <w:r w:rsidRPr="00513E62">
        <w:t>Libros de texto de lengua turca, y</w:t>
      </w:r>
    </w:p>
    <w:p w:rsidR="00CD2C0D" w:rsidRPr="00513E62" w:rsidRDefault="00CD2C0D" w:rsidP="00CD2C0D">
      <w:pPr>
        <w:pStyle w:val="Bullet1G"/>
      </w:pPr>
      <w:r w:rsidRPr="00513E62">
        <w:t>Clases de refuerzo vespertinas para los alumnos.</w:t>
      </w:r>
    </w:p>
    <w:p w:rsidR="00CD2C0D" w:rsidRPr="00513E62" w:rsidRDefault="00CD2C0D" w:rsidP="00CD2C0D">
      <w:pPr>
        <w:pStyle w:val="SingleTxtG"/>
      </w:pPr>
      <w:r w:rsidRPr="00513E62">
        <w:lastRenderedPageBreak/>
        <w:t>36.</w:t>
      </w:r>
      <w:r w:rsidRPr="00513E62">
        <w:tab/>
        <w:t xml:space="preserve">La escuela ha participado en el programa de educación permanente </w:t>
      </w:r>
      <w:proofErr w:type="spellStart"/>
      <w:r w:rsidRPr="00513E62">
        <w:t>Comenius</w:t>
      </w:r>
      <w:proofErr w:type="spellEnd"/>
      <w:r w:rsidRPr="00513E62">
        <w:t xml:space="preserve">, bajo el lema </w:t>
      </w:r>
      <w:r>
        <w:t>“</w:t>
      </w:r>
      <w:r w:rsidRPr="00513E62">
        <w:t>Todos distintos, todos iguales, los niños europeos</w:t>
      </w:r>
      <w:r>
        <w:t>”</w:t>
      </w:r>
      <w:r w:rsidRPr="00513E62">
        <w:t>, y ha ejecutado proyectos de diversidad por los siguientes medios:</w:t>
      </w:r>
    </w:p>
    <w:p w:rsidR="00CD2C0D" w:rsidRPr="00513E62" w:rsidRDefault="00CD2C0D" w:rsidP="00CD2C0D">
      <w:pPr>
        <w:pStyle w:val="Bullet1G"/>
      </w:pPr>
      <w:r w:rsidRPr="00513E62">
        <w:t>Grabación en vídeo de poemas, canciones y otros elementos culturales;</w:t>
      </w:r>
    </w:p>
    <w:p w:rsidR="00CD2C0D" w:rsidRPr="00513E62" w:rsidRDefault="00CD2C0D" w:rsidP="00CD2C0D">
      <w:pPr>
        <w:pStyle w:val="Bullet1G"/>
      </w:pPr>
      <w:r w:rsidRPr="00513E62">
        <w:t>Organización de festivales gastronómicos con comida de los distintos países de los niños;</w:t>
      </w:r>
    </w:p>
    <w:p w:rsidR="00CD2C0D" w:rsidRPr="00513E62" w:rsidRDefault="00CD2C0D" w:rsidP="00CD2C0D">
      <w:pPr>
        <w:pStyle w:val="Bullet1G"/>
      </w:pPr>
      <w:r w:rsidRPr="00513E62">
        <w:t>Celebración del Día Internacional de los Romaníes, durante el cual, en el ejercicio académico 2014/2015, la escuela organizó las siguientes actividades:</w:t>
      </w:r>
    </w:p>
    <w:p w:rsidR="00CD2C0D" w:rsidRPr="00513E62" w:rsidRDefault="00CD2C0D" w:rsidP="00CD2C0D">
      <w:pPr>
        <w:pStyle w:val="Bullet2G"/>
      </w:pPr>
      <w:r w:rsidRPr="00513E62">
        <w:t>Una exposición de fotografías sobre actividades internacionale</w:t>
      </w:r>
      <w:r w:rsidR="00770B36">
        <w:t>s relacionadas con los romaníes;</w:t>
      </w:r>
    </w:p>
    <w:p w:rsidR="00CD2C0D" w:rsidRDefault="00CD2C0D" w:rsidP="00CD2C0D">
      <w:pPr>
        <w:pStyle w:val="Bullet2G"/>
      </w:pPr>
      <w:r w:rsidRPr="00513E62">
        <w:t>Un concierto de música tradicional romaní</w:t>
      </w:r>
      <w:r w:rsidR="00770B36">
        <w:t>,</w:t>
      </w:r>
      <w:r w:rsidRPr="00513E62">
        <w:t xml:space="preserve"> y</w:t>
      </w:r>
    </w:p>
    <w:p w:rsidR="00CD2C0D" w:rsidRPr="00513E62" w:rsidRDefault="00CD2C0D" w:rsidP="00CD2C0D">
      <w:pPr>
        <w:pStyle w:val="Bullet2G"/>
      </w:pPr>
      <w:r w:rsidRPr="00513E62">
        <w:t>Una cena abierta a la comunidad y a los padres de los alumnos.</w:t>
      </w:r>
    </w:p>
    <w:p w:rsidR="00CD2C0D" w:rsidRPr="00513E62" w:rsidRDefault="00CD2C0D" w:rsidP="00CD2C0D">
      <w:pPr>
        <w:pStyle w:val="SingleTxtG"/>
      </w:pPr>
      <w:r w:rsidRPr="00513E62">
        <w:t>37.</w:t>
      </w:r>
      <w:r w:rsidRPr="00513E62">
        <w:tab/>
        <w:t>Durante el actua</w:t>
      </w:r>
      <w:r w:rsidR="00770B36">
        <w:t>l ejercicio académico de 2015/</w:t>
      </w:r>
      <w:r w:rsidRPr="00513E62">
        <w:t xml:space="preserve">16, la escuela organiza diversas actividades para facilitar el aprendizaje de los alumnos y desarrollar al máximo su potencial, en combinación con la enseñanza </w:t>
      </w:r>
      <w:r w:rsidRPr="00CD2C0D">
        <w:rPr>
          <w:i/>
        </w:rPr>
        <w:t>in situ</w:t>
      </w:r>
      <w:r w:rsidRPr="00513E62">
        <w:t>.</w:t>
      </w:r>
    </w:p>
    <w:p w:rsidR="00CD2C0D" w:rsidRPr="00513E62" w:rsidRDefault="00CD2C0D" w:rsidP="00CD2C0D">
      <w:pPr>
        <w:pStyle w:val="SingleTxtG"/>
      </w:pPr>
      <w:r w:rsidRPr="00513E62">
        <w:t>38.</w:t>
      </w:r>
      <w:r w:rsidRPr="00513E62">
        <w:tab/>
        <w:t xml:space="preserve">En la escuela de enseñanza secundaria de Agios </w:t>
      </w:r>
      <w:proofErr w:type="spellStart"/>
      <w:r w:rsidRPr="00513E62">
        <w:t>Antonios</w:t>
      </w:r>
      <w:proofErr w:type="spellEnd"/>
      <w:r w:rsidRPr="00513E62">
        <w:t>, el maestro de estudios turcos y el de lengua turcochipriota han fomentado la participación de los alumnos en debates en las aulas con ocasión del Día Internacional de los Romaníes. Los alumnos romaníes turcochipriotas han participado en varias actividades organizadas por la escuela, con lo que han tenido la oportunidad de relacionarse con sus compañeros y afianzar su propia identidad cultural al mismo tiempo. También se han organizado varios actos para informar a los maestros y al personal escolar acerca de las tradiciones culturales y las costumbres de los alumnos romaníes.</w:t>
      </w:r>
    </w:p>
    <w:p w:rsidR="00CD2C0D" w:rsidRPr="00513E62" w:rsidRDefault="00CD2C0D" w:rsidP="00CD2C0D">
      <w:pPr>
        <w:pStyle w:val="SingleTxtG"/>
      </w:pPr>
      <w:r w:rsidRPr="00513E62">
        <w:t>39.</w:t>
      </w:r>
      <w:r w:rsidRPr="00513E62">
        <w:tab/>
        <w:t xml:space="preserve">El Ministerio de Educación y Cultura ha organizado dos grupos de niños romaníes para impartirles cursos sobre su historia y otros aspectos de su cultura, de manera gratuita. El curso denominado </w:t>
      </w:r>
      <w:r>
        <w:t>“</w:t>
      </w:r>
      <w:r w:rsidRPr="00513E62">
        <w:t>Historia, lengua y cultura</w:t>
      </w:r>
      <w:r>
        <w:t>”</w:t>
      </w:r>
      <w:r w:rsidRPr="00513E62">
        <w:t xml:space="preserve"> se ha i</w:t>
      </w:r>
      <w:r>
        <w:t>mpartido una vez por semana (90 </w:t>
      </w:r>
      <w:r w:rsidRPr="00513E62">
        <w:t xml:space="preserve">minutos), durante 24 semanas. Este curso se ha impartido durante dos ejercicios académicos consecutivos (de </w:t>
      </w:r>
      <w:smartTag w:uri="urn:schemas-microsoft-com:office:smarttags" w:element="metricconverter">
        <w:smartTagPr>
          <w:attr w:name="ProductID" w:val="2013 a"/>
        </w:smartTagPr>
        <w:r w:rsidRPr="00513E62">
          <w:t>2013 a</w:t>
        </w:r>
      </w:smartTag>
      <w:r w:rsidRPr="00513E62">
        <w:t xml:space="preserve"> 2015) y se sigue impartiendo en el ejer</w:t>
      </w:r>
      <w:r w:rsidR="00770B36">
        <w:t>cicio académico de 2015/</w:t>
      </w:r>
      <w:r w:rsidRPr="00513E62">
        <w:t>16 a 13 alumnos divididos en dos grupos.</w:t>
      </w:r>
    </w:p>
    <w:p w:rsidR="00CD2C0D" w:rsidRPr="00513E62" w:rsidRDefault="00CD2C0D" w:rsidP="00CD2C0D">
      <w:pPr>
        <w:pStyle w:val="SingleTxtG"/>
      </w:pPr>
      <w:r w:rsidRPr="00513E62">
        <w:t>40.</w:t>
      </w:r>
      <w:r w:rsidRPr="00513E62">
        <w:tab/>
        <w:t xml:space="preserve">Se ha aplicado un programa especial de enseñanza e inclusión para menores no acompañados o solicitantes de protección internacional que viven en Chipre acogidos por los Servicios de Asistencia Social. El programa tiene por objeto impartir unos conocimientos elementales de lengua griega a los menores no acompañados o solicitantes de asilo internacional y ayudarlos a adquirir conocimientos útiles, a fin de facilitarles la relación con sus compañeros y la inserción en la escuela. El programa ha sido cofinanciado por el Fondo Europeo para los Refugiados y </w:t>
      </w:r>
      <w:smartTag w:uri="urn:schemas-microsoft-com:office:smarttags" w:element="PersonName">
        <w:smartTagPr>
          <w:attr w:name="ProductID" w:val="la Rep￺blica"/>
        </w:smartTagPr>
        <w:r w:rsidRPr="00513E62">
          <w:t>la República</w:t>
        </w:r>
      </w:smartTag>
      <w:r w:rsidRPr="00513E62">
        <w:t xml:space="preserve"> de Chipre.</w:t>
      </w:r>
    </w:p>
    <w:p w:rsidR="00CD2C0D" w:rsidRPr="00513E62" w:rsidRDefault="00CD2C0D" w:rsidP="00CD2C0D">
      <w:pPr>
        <w:pStyle w:val="SingleTxtG"/>
      </w:pPr>
      <w:r w:rsidRPr="00513E62">
        <w:t>41.</w:t>
      </w:r>
      <w:r w:rsidRPr="00513E62">
        <w:tab/>
        <w:t>En las escuelas técnicas se han aplicado diversas medidas, entre ellas las siguientes:</w:t>
      </w:r>
    </w:p>
    <w:p w:rsidR="00CD2C0D" w:rsidRPr="00513E62" w:rsidRDefault="00CD2C0D" w:rsidP="00CD2C0D">
      <w:pPr>
        <w:pStyle w:val="Bullet1G"/>
      </w:pPr>
      <w:r w:rsidRPr="00513E62">
        <w:t>Se ha creado un comité de intervención directa encargado de investigar y tratar los incidentes racistas en la escuela;</w:t>
      </w:r>
    </w:p>
    <w:p w:rsidR="00CD2C0D" w:rsidRPr="00513E62" w:rsidRDefault="00CD2C0D" w:rsidP="00CD2C0D">
      <w:pPr>
        <w:pStyle w:val="Bullet1G"/>
      </w:pPr>
      <w:r w:rsidRPr="00513E62">
        <w:t>Los asesores pedagógicos han informado al personal docente sobre los alumnos procedentes de otros países, a fin de concienciarlos al respecto y de fomentar y estrechar la confianza entre alumnos y maestros;</w:t>
      </w:r>
    </w:p>
    <w:p w:rsidR="00CD2C0D" w:rsidRPr="00513E62" w:rsidRDefault="00CD2C0D" w:rsidP="00CD2C0D">
      <w:pPr>
        <w:pStyle w:val="Bullet1G"/>
      </w:pPr>
      <w:r w:rsidRPr="00513E62">
        <w:t>Se han impartido clases de refuerzo para mejorar el nivel académico de los alumnos migrantes, y</w:t>
      </w:r>
    </w:p>
    <w:p w:rsidR="00CD2C0D" w:rsidRPr="00513E62" w:rsidRDefault="00CD2C0D" w:rsidP="00CD2C0D">
      <w:pPr>
        <w:pStyle w:val="Bullet1G"/>
      </w:pPr>
      <w:r w:rsidRPr="00513E62">
        <w:t>Se ha organizado una conferencia de alumnos sobre la lucha contra el racismo.</w:t>
      </w:r>
    </w:p>
    <w:p w:rsidR="00CD2C0D" w:rsidRPr="00513E62" w:rsidRDefault="00CD2C0D" w:rsidP="00CD2C0D">
      <w:pPr>
        <w:pStyle w:val="SingleTxtG"/>
      </w:pPr>
      <w:r w:rsidRPr="00513E62">
        <w:lastRenderedPageBreak/>
        <w:t>42.</w:t>
      </w:r>
      <w:r w:rsidRPr="00513E62">
        <w:tab/>
        <w:t>El Servicio de Psicología Educativa ha realizado evaluaciones psicológicas de los alumnos, que conta</w:t>
      </w:r>
      <w:r w:rsidR="00F5410C">
        <w:t xml:space="preserve">ban entre 3 y 18 años de edad, </w:t>
      </w:r>
      <w:r w:rsidRPr="00513E62">
        <w:t>ha mantenido entrevistas de asesoramiento con ellos y ha puesto de relieve las tendencias que podrían dar lugar a segregación racial. Esas evaluaciones tenían por objeto garantizar que hubiera una supervisión apropiada, para evitar que se produjera una discriminación múltiple por motivo de los bajos ingresos, la raza, el color, la ascendencia, la procedencia nacional, la orientación sexual o las necesidades educativas especiales. También se ha prestado ayuda a las familias de los alumnos y a los maestros, mediante servicios de asesoramiento.</w:t>
      </w:r>
    </w:p>
    <w:p w:rsidR="00CD2C0D" w:rsidRPr="00513E62" w:rsidRDefault="00CD2C0D" w:rsidP="00CD2C0D">
      <w:pPr>
        <w:pStyle w:val="H1G"/>
      </w:pPr>
      <w:r>
        <w:tab/>
      </w:r>
      <w:r>
        <w:tab/>
      </w:r>
      <w:bookmarkStart w:id="7" w:name="_Toc453253392"/>
      <w:r w:rsidRPr="00513E62">
        <w:t>Artículo 4</w:t>
      </w:r>
      <w:r w:rsidR="00D45525">
        <w:br/>
      </w:r>
      <w:r w:rsidRPr="00513E62">
        <w:t>Condena de todas las formas de propaganda racista</w:t>
      </w:r>
      <w:bookmarkEnd w:id="7"/>
    </w:p>
    <w:p w:rsidR="00CD2C0D" w:rsidRPr="00513E62" w:rsidRDefault="00CD2C0D" w:rsidP="00CD2C0D">
      <w:pPr>
        <w:pStyle w:val="H23G"/>
      </w:pPr>
      <w:r>
        <w:tab/>
      </w:r>
      <w:r w:rsidRPr="00513E62">
        <w:t>a)</w:t>
      </w:r>
      <w:r>
        <w:tab/>
      </w:r>
      <w:r w:rsidRPr="00513E62">
        <w:t>Información sobre las medidas legislativas, judiciales, administra</w:t>
      </w:r>
      <w:r>
        <w:t>tivas o de otra índole </w:t>
      </w:r>
      <w:r w:rsidRPr="00513E62">
        <w:t>adoptadas para dar efecto a las disposiciones</w:t>
      </w:r>
      <w:r>
        <w:t xml:space="preserve"> del artículo 4 de la </w:t>
      </w:r>
      <w:r w:rsidRPr="00513E62">
        <w:t>Convención</w:t>
      </w:r>
    </w:p>
    <w:p w:rsidR="00CD2C0D" w:rsidRPr="00513E62" w:rsidRDefault="00CD2C0D" w:rsidP="00CD2C0D">
      <w:pPr>
        <w:pStyle w:val="SingleTxtG"/>
      </w:pPr>
      <w:r w:rsidRPr="00513E62">
        <w:t>[Véanse también el presente informe, artículo 2, y e</w:t>
      </w:r>
      <w:r w:rsidR="00770B36">
        <w:t>l informe de seguimiento, párrafos</w:t>
      </w:r>
      <w:r w:rsidRPr="00513E62">
        <w:t xml:space="preserve"> </w:t>
      </w:r>
      <w:smartTag w:uri="urn:schemas-microsoft-com:office:smarttags" w:element="metricconverter">
        <w:smartTagPr>
          <w:attr w:name="ProductID" w:val="8 a"/>
        </w:smartTagPr>
        <w:r w:rsidRPr="00513E62">
          <w:t>8 a</w:t>
        </w:r>
        <w:r w:rsidR="00770B36">
          <w:t> </w:t>
        </w:r>
      </w:smartTag>
      <w:r w:rsidRPr="00513E62">
        <w:t>15</w:t>
      </w:r>
      <w:r>
        <w:t>.</w:t>
      </w:r>
      <w:r w:rsidRPr="00513E62">
        <w:t>]</w:t>
      </w:r>
    </w:p>
    <w:p w:rsidR="00CD2C0D" w:rsidRPr="00513E62" w:rsidRDefault="00CD2C0D" w:rsidP="00CD2C0D">
      <w:pPr>
        <w:pStyle w:val="SingleTxtG"/>
      </w:pPr>
      <w:r w:rsidRPr="00513E62">
        <w:t>43.</w:t>
      </w:r>
      <w:r w:rsidRPr="00513E62">
        <w:tab/>
      </w:r>
      <w:smartTag w:uri="urn:schemas-microsoft-com:office:smarttags" w:element="PersonName">
        <w:smartTagPr>
          <w:attr w:name="ProductID" w:val="la Oficina"/>
        </w:smartTagPr>
        <w:r w:rsidRPr="00513E62">
          <w:t>La Oficina</w:t>
        </w:r>
      </w:smartTag>
      <w:r w:rsidRPr="00513E62">
        <w:t xml:space="preserve"> del Ombudsman ha colaborado estrechamente con las autoridades gubernamentales:</w:t>
      </w:r>
    </w:p>
    <w:p w:rsidR="00CD2C0D" w:rsidRPr="00513E62" w:rsidRDefault="00CD2C0D" w:rsidP="00CD2C0D">
      <w:pPr>
        <w:pStyle w:val="SingleTxtG"/>
      </w:pPr>
      <w:r w:rsidRPr="00513E62">
        <w:tab/>
        <w:t>a)</w:t>
      </w:r>
      <w:r w:rsidRPr="00513E62">
        <w:tab/>
        <w:t xml:space="preserve">En el marco de la campaña del </w:t>
      </w:r>
      <w:r>
        <w:t>Consejo de Europa denominada “</w:t>
      </w:r>
      <w:r w:rsidRPr="00513E62">
        <w:t xml:space="preserve">No </w:t>
      </w:r>
      <w:proofErr w:type="spellStart"/>
      <w:r w:rsidRPr="00513E62">
        <w:t>Hate</w:t>
      </w:r>
      <w:proofErr w:type="spellEnd"/>
      <w:r w:rsidRPr="00513E62">
        <w:t xml:space="preserve"> </w:t>
      </w:r>
      <w:proofErr w:type="spellStart"/>
      <w:r w:rsidRPr="00513E62">
        <w:t>Speech</w:t>
      </w:r>
      <w:proofErr w:type="spellEnd"/>
      <w:r w:rsidRPr="00513E62">
        <w:t xml:space="preserve"> </w:t>
      </w:r>
      <w:proofErr w:type="spellStart"/>
      <w:r w:rsidRPr="00513E62">
        <w:t>Movement</w:t>
      </w:r>
      <w:proofErr w:type="spellEnd"/>
      <w:r>
        <w:t>”</w:t>
      </w:r>
      <w:r w:rsidRPr="00513E62">
        <w:t xml:space="preserve">, el Organismo de Lucha contra </w:t>
      </w:r>
      <w:smartTag w:uri="urn:schemas-microsoft-com:office:smarttags" w:element="PersonName">
        <w:smartTagPr>
          <w:attr w:name="ProductID" w:val="la Discriminaci￳n"/>
        </w:smartTagPr>
        <w:r w:rsidRPr="00513E62">
          <w:t>la Discriminación</w:t>
        </w:r>
      </w:smartTag>
      <w:r w:rsidRPr="00513E62">
        <w:t xml:space="preserve"> y el Consejo de </w:t>
      </w:r>
      <w:smartTag w:uri="urn:schemas-microsoft-com:office:smarttags" w:element="PersonName">
        <w:smartTagPr>
          <w:attr w:name="ProductID" w:val="la Juventud"/>
        </w:smartTagPr>
        <w:r w:rsidRPr="00513E62">
          <w:t>la Juventud</w:t>
        </w:r>
      </w:smartTag>
      <w:r w:rsidRPr="00513E62">
        <w:t xml:space="preserve"> de Chipre redactaron y publicaron un manual titulado </w:t>
      </w:r>
      <w:r>
        <w:t>“</w:t>
      </w:r>
      <w:r w:rsidRPr="00513E62">
        <w:t>Definir y erradicar el odio</w:t>
      </w:r>
      <w:r>
        <w:t>”</w:t>
      </w:r>
      <w:r w:rsidRPr="00513E62">
        <w:t xml:space="preserve"> (marzo de 2014). El objetivo principal del manual era ayudar a los jóvenes a entender los vocablos que denotaban las diversas expresiones del odio racial, a fin de </w:t>
      </w:r>
      <w:r>
        <w:t>evitarlos y de oponerse a ellos.</w:t>
      </w:r>
    </w:p>
    <w:p w:rsidR="00CD2C0D" w:rsidRPr="00513E62" w:rsidRDefault="00CD2C0D" w:rsidP="00CD2C0D">
      <w:pPr>
        <w:pStyle w:val="SingleTxtG"/>
      </w:pPr>
      <w:r w:rsidRPr="00513E62">
        <w:tab/>
        <w:t>b)</w:t>
      </w:r>
      <w:r w:rsidRPr="00513E62">
        <w:tab/>
        <w:t>En un informe del Organismo de Lucha contra la Discriminación</w:t>
      </w:r>
      <w:r>
        <w:t xml:space="preserve"> </w:t>
      </w:r>
      <w:r w:rsidRPr="00513E62">
        <w:t>(diciembre de 2014) sobre la manera en que reaccionaba la Organización</w:t>
      </w:r>
      <w:r>
        <w:t xml:space="preserve"> </w:t>
      </w:r>
      <w:r w:rsidRPr="00513E62">
        <w:t xml:space="preserve">del Deporte de Chipre ante los insultos racistas que había recibido un jugador de fútbol de color, se observó que, aunque en la legislación pertinente se prohibían las consignas racistas, en la práctica el Organismo Disciplinario del Fútbol no hacía frente, de manera eficaz, a los atentados racistas que se producían en espacios deportivos. Para resolver ese problema, a principios de 2015 el Organismo de Lucha contra </w:t>
      </w:r>
      <w:smartTag w:uri="urn:schemas-microsoft-com:office:smarttags" w:element="PersonName">
        <w:smartTagPr>
          <w:attr w:name="ProductID" w:val="la Discriminaci￳n"/>
        </w:smartTagPr>
        <w:r w:rsidRPr="00513E62">
          <w:t>la Discriminación</w:t>
        </w:r>
      </w:smartTag>
      <w:r w:rsidRPr="00513E62">
        <w:t xml:space="preserve">, en cooperación con </w:t>
      </w:r>
      <w:smartTag w:uri="urn:schemas-microsoft-com:office:smarttags" w:element="PersonName">
        <w:smartTagPr>
          <w:attr w:name="ProductID" w:val="la Organizaci￳n"/>
        </w:smartTagPr>
        <w:r w:rsidRPr="00513E62">
          <w:t>la Organización</w:t>
        </w:r>
      </w:smartTag>
      <w:r w:rsidRPr="00513E62">
        <w:t xml:space="preserve"> del Deporte de Chipre, emprendió una campaña nacional de lucha contra el racismo en el fútbol, que incluía la emisión de un anu</w:t>
      </w:r>
      <w:r>
        <w:t>ncio televisivo y otras medidas.</w:t>
      </w:r>
    </w:p>
    <w:p w:rsidR="00CD2C0D" w:rsidRPr="00513E62" w:rsidRDefault="00CD2C0D" w:rsidP="00CD2C0D">
      <w:pPr>
        <w:pStyle w:val="SingleTxtG"/>
      </w:pPr>
      <w:r w:rsidRPr="00513E62">
        <w:tab/>
        <w:t>c)</w:t>
      </w:r>
      <w:r w:rsidRPr="00513E62">
        <w:tab/>
        <w:t xml:space="preserve">A raíz del informe del Organismo de Lucha contra </w:t>
      </w:r>
      <w:smartTag w:uri="urn:schemas-microsoft-com:office:smarttags" w:element="PersonName">
        <w:smartTagPr>
          <w:attr w:name="ProductID" w:val="la Discriminaci￳n"/>
        </w:smartTagPr>
        <w:r w:rsidRPr="00513E62">
          <w:t>la Discriminación</w:t>
        </w:r>
      </w:smartTag>
      <w:r w:rsidRPr="00513E62">
        <w:t xml:space="preserve"> (noviembre de 2011) sobre el tratamiento</w:t>
      </w:r>
      <w:r w:rsidR="00F5410C">
        <w:t xml:space="preserve"> que daba el Cuerpo de Policía </w:t>
      </w:r>
      <w:r w:rsidRPr="00513E62">
        <w:t>a los incidentes racistas, el Cuerpo adoptó un nuevo documento de políticas (agosto de 2013) sobre el tratamiento de los incidentes racistas en el que se recogían las recomendaciones del informe de la Ombudsman</w:t>
      </w:r>
      <w:r>
        <w:t>.</w:t>
      </w:r>
    </w:p>
    <w:p w:rsidR="00CD2C0D" w:rsidRPr="00513E62" w:rsidRDefault="00CD2C0D" w:rsidP="00CD2C0D">
      <w:pPr>
        <w:pStyle w:val="SingleTxtG"/>
      </w:pPr>
      <w:r w:rsidRPr="00513E62">
        <w:tab/>
        <w:t>d)</w:t>
      </w:r>
      <w:r w:rsidRPr="00513E62">
        <w:tab/>
        <w:t xml:space="preserve">Por lo que respecta al Plan de </w:t>
      </w:r>
      <w:r w:rsidR="00770B36" w:rsidRPr="00513E62">
        <w:t xml:space="preserve">Acción Nacional </w:t>
      </w:r>
      <w:r w:rsidRPr="00513E62">
        <w:t xml:space="preserve">para la </w:t>
      </w:r>
      <w:r w:rsidR="00770B36" w:rsidRPr="00513E62">
        <w:t xml:space="preserve">Integración </w:t>
      </w:r>
      <w:r w:rsidRPr="00513E62">
        <w:t xml:space="preserve">de los </w:t>
      </w:r>
      <w:r w:rsidR="00770B36" w:rsidRPr="00513E62">
        <w:t xml:space="preserve">Nacionales </w:t>
      </w:r>
      <w:r w:rsidRPr="00513E62">
        <w:t xml:space="preserve">de </w:t>
      </w:r>
      <w:r w:rsidR="00770B36" w:rsidRPr="00513E62">
        <w:t xml:space="preserve">Terceros Países </w:t>
      </w:r>
      <w:r w:rsidRPr="00513E62">
        <w:t>2014-2016, el Ministro del Interior y la Ombudsman han acordado cooperar estrechamente, con miras a examinar y renovar ese plan para el período 2016-2018. [Véase también el informe de seguimiento, párr</w:t>
      </w:r>
      <w:r w:rsidR="00770B36">
        <w:t>afo</w:t>
      </w:r>
      <w:r w:rsidRPr="00513E62">
        <w:t xml:space="preserve"> 17</w:t>
      </w:r>
      <w:r>
        <w:t>.</w:t>
      </w:r>
      <w:r w:rsidRPr="00513E62">
        <w:t>]</w:t>
      </w:r>
    </w:p>
    <w:p w:rsidR="00CD2C0D" w:rsidRPr="00513E62" w:rsidRDefault="00CD2C0D" w:rsidP="00CD2C0D">
      <w:pPr>
        <w:pStyle w:val="H23G"/>
      </w:pPr>
      <w:r>
        <w:tab/>
      </w:r>
      <w:r w:rsidRPr="00513E62">
        <w:t>b)</w:t>
      </w:r>
      <w:r w:rsidRPr="00513E62">
        <w:tab/>
        <w:t xml:space="preserve">Información sobre si los motivos raciales se consideran una </w:t>
      </w:r>
      <w:r>
        <w:t>circunstancia agravante </w:t>
      </w:r>
      <w:r w:rsidRPr="00513E62">
        <w:t>en la legislación penal interna</w:t>
      </w:r>
    </w:p>
    <w:p w:rsidR="00CD2C0D" w:rsidRPr="00513E62" w:rsidRDefault="00CD2C0D" w:rsidP="00CD2C0D">
      <w:pPr>
        <w:pStyle w:val="SingleTxtG"/>
      </w:pPr>
      <w:r w:rsidRPr="00513E62">
        <w:t>[Véanse también el prese</w:t>
      </w:r>
      <w:r w:rsidR="00770B36">
        <w:t xml:space="preserve">nte informe, artículo </w:t>
      </w:r>
      <w:proofErr w:type="spellStart"/>
      <w:r w:rsidR="00770B36">
        <w:t>2.A</w:t>
      </w:r>
      <w:proofErr w:type="spellEnd"/>
      <w:r w:rsidR="00770B36">
        <w:t>, párrafo</w:t>
      </w:r>
      <w:r w:rsidRPr="00513E62">
        <w:t xml:space="preserve"> 1</w:t>
      </w:r>
      <w:r w:rsidR="00770B36">
        <w:t>6 v); el informe anterior, párrafo</w:t>
      </w:r>
      <w:r w:rsidRPr="00513E62">
        <w:t xml:space="preserve"> 42, y el informe de seguimiento, párr</w:t>
      </w:r>
      <w:r w:rsidR="00770B36">
        <w:t>afo</w:t>
      </w:r>
      <w:r w:rsidRPr="00513E62">
        <w:t xml:space="preserve">s </w:t>
      </w:r>
      <w:smartTag w:uri="urn:schemas-microsoft-com:office:smarttags" w:element="metricconverter">
        <w:smartTagPr>
          <w:attr w:name="ProductID" w:val="8 a"/>
        </w:smartTagPr>
        <w:r w:rsidRPr="00513E62">
          <w:t>8 a</w:t>
        </w:r>
      </w:smartTag>
      <w:r w:rsidRPr="00513E62">
        <w:t xml:space="preserve"> 15</w:t>
      </w:r>
      <w:r>
        <w:t>.</w:t>
      </w:r>
      <w:r w:rsidRPr="00513E62">
        <w:t>]</w:t>
      </w:r>
    </w:p>
    <w:p w:rsidR="00770B36" w:rsidRDefault="00CD2C0D" w:rsidP="00CD2C0D">
      <w:pPr>
        <w:pStyle w:val="SingleTxtG"/>
      </w:pPr>
      <w:r w:rsidRPr="00513E62">
        <w:lastRenderedPageBreak/>
        <w:t>44.</w:t>
      </w:r>
      <w:r w:rsidRPr="00513E62">
        <w:tab/>
        <w:t xml:space="preserve">Según el artículo 8 de la </w:t>
      </w:r>
      <w:r w:rsidRPr="00770B36">
        <w:rPr>
          <w:iCs/>
        </w:rPr>
        <w:t xml:space="preserve">Ley de </w:t>
      </w:r>
      <w:r w:rsidR="00770B36" w:rsidRPr="00770B36">
        <w:rPr>
          <w:iCs/>
        </w:rPr>
        <w:t xml:space="preserve">Lucha </w:t>
      </w:r>
      <w:r w:rsidRPr="00770B36">
        <w:rPr>
          <w:iCs/>
        </w:rPr>
        <w:t xml:space="preserve">contra </w:t>
      </w:r>
      <w:r w:rsidR="00770B36" w:rsidRPr="00770B36">
        <w:rPr>
          <w:iCs/>
        </w:rPr>
        <w:t>Determinadas Formas</w:t>
      </w:r>
      <w:r w:rsidRPr="00770B36">
        <w:rPr>
          <w:iCs/>
        </w:rPr>
        <w:t xml:space="preserve"> y </w:t>
      </w:r>
      <w:r w:rsidR="00770B36" w:rsidRPr="00770B36">
        <w:rPr>
          <w:iCs/>
        </w:rPr>
        <w:t xml:space="preserve">Manifestaciones </w:t>
      </w:r>
      <w:r w:rsidRPr="00770B36">
        <w:rPr>
          <w:iCs/>
        </w:rPr>
        <w:t xml:space="preserve">de </w:t>
      </w:r>
      <w:r w:rsidR="00770B36" w:rsidRPr="00770B36">
        <w:rPr>
          <w:iCs/>
        </w:rPr>
        <w:t xml:space="preserve">Racismo </w:t>
      </w:r>
      <w:r w:rsidRPr="00770B36">
        <w:rPr>
          <w:iCs/>
        </w:rPr>
        <w:t xml:space="preserve">y </w:t>
      </w:r>
      <w:r w:rsidR="00770B36" w:rsidRPr="00770B36">
        <w:rPr>
          <w:iCs/>
        </w:rPr>
        <w:t xml:space="preserve">Xenofobia </w:t>
      </w:r>
      <w:r w:rsidRPr="00770B36">
        <w:rPr>
          <w:iCs/>
        </w:rPr>
        <w:t xml:space="preserve">mediante el </w:t>
      </w:r>
      <w:r w:rsidR="00770B36" w:rsidRPr="00770B36">
        <w:rPr>
          <w:iCs/>
        </w:rPr>
        <w:t>Derecho Penal</w:t>
      </w:r>
      <w:r w:rsidR="00770B36" w:rsidRPr="00513E62">
        <w:rPr>
          <w:i/>
          <w:iCs/>
        </w:rPr>
        <w:t xml:space="preserve"> </w:t>
      </w:r>
      <w:r w:rsidRPr="00513E62">
        <w:t>[</w:t>
      </w:r>
      <w:r w:rsidR="00AA7E5A">
        <w:t xml:space="preserve">núm. </w:t>
      </w:r>
      <w:proofErr w:type="spellStart"/>
      <w:r w:rsidRPr="00513E62">
        <w:t>L.134</w:t>
      </w:r>
      <w:proofErr w:type="spellEnd"/>
      <w:r w:rsidRPr="00513E62">
        <w:t>(I)/2011, reformada], la motivación racista y xenófoba se considera circunstancia agravante en todos los delitos</w:t>
      </w:r>
      <w:r w:rsidR="00770B36">
        <w:t>. Este principio no se aplica únicamente a delitos específicos de discriminación.</w:t>
      </w:r>
    </w:p>
    <w:p w:rsidR="00CD2C0D" w:rsidRPr="00513E62" w:rsidRDefault="00770B36" w:rsidP="00CD2C0D">
      <w:pPr>
        <w:pStyle w:val="SingleTxtG"/>
      </w:pPr>
      <w:r>
        <w:t>45.</w:t>
      </w:r>
      <w:r>
        <w:tab/>
        <w:t>El Fiscal General, en una carta de 13 de mayo de 2015 dirigida al Jefe de la Policía</w:t>
      </w:r>
      <w:r w:rsidR="00CD2C0D" w:rsidRPr="00513E62">
        <w:t xml:space="preserve">, </w:t>
      </w:r>
      <w:r>
        <w:t xml:space="preserve">destacó que, en virtud del artículo 8 de la Ley núm. </w:t>
      </w:r>
      <w:proofErr w:type="spellStart"/>
      <w:r>
        <w:t>L.134</w:t>
      </w:r>
      <w:proofErr w:type="spellEnd"/>
      <w:r>
        <w:t xml:space="preserve">(I)/2011, la motivación racista y xenófoba se consideraba circunstancia agravante en todos los delitos, </w:t>
      </w:r>
      <w:r w:rsidR="00CD2C0D" w:rsidRPr="00513E62">
        <w:t>incluidos los tipificados en el Código Penal. El Fiscal General ordenó al Jefe de la Policía que el artíc</w:t>
      </w:r>
      <w:r w:rsidR="003E5441">
        <w:t>ulo </w:t>
      </w:r>
      <w:r w:rsidR="00CD2C0D" w:rsidRPr="00513E62">
        <w:t xml:space="preserve">8 de dicha </w:t>
      </w:r>
      <w:r w:rsidRPr="00513E62">
        <w:t xml:space="preserve">Ley </w:t>
      </w:r>
      <w:r w:rsidR="00CD2C0D" w:rsidRPr="00513E62">
        <w:t xml:space="preserve">constara en las actas de acusación y que la existencia de una motivación racial o xenófoba se mencionara en los tribunales para que se la tomara en consideración como circunstancia agravante. En la misma carta, el Fiscal General encareció al Jefe de la Policía la importancia que tenían las disposiciones de derecho penal en materia de racismo y xenofobia, en particular las de la </w:t>
      </w:r>
      <w:r w:rsidR="00CD2C0D" w:rsidRPr="003E5441">
        <w:rPr>
          <w:iCs/>
        </w:rPr>
        <w:t xml:space="preserve">Ley de ratificación de la Convención Internacional sobre la Eliminación de </w:t>
      </w:r>
      <w:r w:rsidR="00F5410C" w:rsidRPr="003E5441">
        <w:rPr>
          <w:iCs/>
        </w:rPr>
        <w:t xml:space="preserve">Todas </w:t>
      </w:r>
      <w:r w:rsidR="00CD2C0D" w:rsidRPr="003E5441">
        <w:rPr>
          <w:iCs/>
        </w:rPr>
        <w:t>las Formas de Discriminación Racial</w:t>
      </w:r>
      <w:r w:rsidR="00CD2C0D" w:rsidRPr="003E5441">
        <w:t xml:space="preserve"> </w:t>
      </w:r>
      <w:r w:rsidR="00CD2C0D" w:rsidRPr="00513E62">
        <w:t>[</w:t>
      </w:r>
      <w:r w:rsidR="003E5441">
        <w:t>núm. </w:t>
      </w:r>
      <w:proofErr w:type="spellStart"/>
      <w:r w:rsidR="00CD2C0D" w:rsidRPr="00513E62">
        <w:t>L.12</w:t>
      </w:r>
      <w:proofErr w:type="spellEnd"/>
      <w:r w:rsidR="00CD2C0D" w:rsidRPr="00513E62">
        <w:t xml:space="preserve">/67, reformada]. En cumplimiento de las instrucciones del Fiscal General, el 22 de mayo de 2015, el Jefe de </w:t>
      </w:r>
      <w:smartTag w:uri="urn:schemas-microsoft-com:office:smarttags" w:element="PersonName">
        <w:smartTagPr>
          <w:attr w:name="ProductID" w:val="la Polic￭a"/>
        </w:smartTagPr>
        <w:r w:rsidR="00CD2C0D" w:rsidRPr="00513E62">
          <w:t>la Policía</w:t>
        </w:r>
      </w:smartTag>
      <w:r w:rsidR="00CD2C0D" w:rsidRPr="00513E62">
        <w:t xml:space="preserve"> emitió una circular sobre </w:t>
      </w:r>
      <w:r w:rsidR="00CD2C0D">
        <w:t>“</w:t>
      </w:r>
      <w:r w:rsidR="00CD2C0D" w:rsidRPr="00513E62">
        <w:t>Investigación de casos penales relacionados con delitos raciales</w:t>
      </w:r>
      <w:r w:rsidR="00CD2C0D">
        <w:t>”</w:t>
      </w:r>
      <w:r w:rsidR="00CD2C0D" w:rsidRPr="00513E62">
        <w:t xml:space="preserve"> en la que exponía la importancia que tenían las disposiciones de las leyes de lucha contra la discriminación y el carácter de circunstancia agravante que tenía la motivación racista como cargo adicional en los delitos penales. El 9 de diciembre de 2015, el Jefe de </w:t>
      </w:r>
      <w:smartTag w:uri="urn:schemas-microsoft-com:office:smarttags" w:element="PersonName">
        <w:smartTagPr>
          <w:attr w:name="ProductID" w:val="la Polic￭a"/>
        </w:smartTagPr>
        <w:r w:rsidR="00CD2C0D" w:rsidRPr="00513E62">
          <w:t>la Policía</w:t>
        </w:r>
      </w:smartTag>
      <w:r w:rsidR="00CD2C0D" w:rsidRPr="00513E62">
        <w:t xml:space="preserve"> emitió otra circular en la que se insistía, una vez más, en las cuestiones anteriores, así como en el principio de actuación inmediata en la investigación efectiva y los procedimientos judiciales relativos a los delitos cometidos por motivos raciales. [Véase también e</w:t>
      </w:r>
      <w:r w:rsidR="003E5441">
        <w:t>l presente informe, párrafos</w:t>
      </w:r>
      <w:r w:rsidR="00F5410C">
        <w:t xml:space="preserve"> 52 y </w:t>
      </w:r>
      <w:r w:rsidR="00CD2C0D" w:rsidRPr="00513E62">
        <w:t>53</w:t>
      </w:r>
      <w:r w:rsidR="00CD2C0D">
        <w:t>.</w:t>
      </w:r>
      <w:r w:rsidR="00CD2C0D" w:rsidRPr="00513E62">
        <w:t>]</w:t>
      </w:r>
    </w:p>
    <w:p w:rsidR="00CD2C0D" w:rsidRPr="00513E62" w:rsidRDefault="00CD2C0D" w:rsidP="00CD2C0D">
      <w:pPr>
        <w:pStyle w:val="H23G"/>
      </w:pPr>
      <w:r>
        <w:tab/>
      </w:r>
      <w:r w:rsidRPr="00513E62">
        <w:t>c)</w:t>
      </w:r>
      <w:r w:rsidRPr="00513E62">
        <w:tab/>
        <w:t>Datos estadísticos sobre las denuncias presentadas, lo</w:t>
      </w:r>
      <w:r>
        <w:t>s procedimientos incoados y los </w:t>
      </w:r>
      <w:r w:rsidRPr="00513E62">
        <w:t xml:space="preserve">fallos dictados por actos prohibidos en el artículo 4 de </w:t>
      </w:r>
      <w:smartTag w:uri="urn:schemas-microsoft-com:office:smarttags" w:element="PersonName">
        <w:smartTagPr>
          <w:attr w:name="ProductID" w:val="la Convenci￳n"/>
        </w:smartTagPr>
        <w:r w:rsidRPr="00513E62">
          <w:t>la Convención</w:t>
        </w:r>
      </w:smartTag>
    </w:p>
    <w:p w:rsidR="00CD2C0D" w:rsidRPr="00513E62" w:rsidRDefault="00CD2C0D" w:rsidP="00CD2C0D">
      <w:pPr>
        <w:pStyle w:val="SingleTxtG"/>
      </w:pPr>
      <w:r w:rsidRPr="00513E62">
        <w:t>46.</w:t>
      </w:r>
      <w:r w:rsidRPr="00513E62">
        <w:tab/>
        <w:t xml:space="preserve">Los datos sobre delitos e incidentes de carácter racial o que obedecen a motivos raciales los recoge </w:t>
      </w:r>
      <w:smartTag w:uri="urn:schemas-microsoft-com:office:smarttags" w:element="PersonName">
        <w:smartTagPr>
          <w:attr w:name="ProductID" w:val="la Oficina"/>
        </w:smartTagPr>
        <w:r w:rsidRPr="00513E62">
          <w:t>la Oficina</w:t>
        </w:r>
      </w:smartTag>
      <w:r w:rsidRPr="00513E62">
        <w:t xml:space="preserve"> de Lucha contra </w:t>
      </w:r>
      <w:smartTag w:uri="urn:schemas-microsoft-com:office:smarttags" w:element="PersonName">
        <w:smartTagPr>
          <w:attr w:name="ProductID" w:val="la Discriminaci￳n"/>
        </w:smartTagPr>
        <w:r w:rsidRPr="00513E62">
          <w:t>la Discriminación</w:t>
        </w:r>
      </w:smartTag>
      <w:r w:rsidRPr="00513E62">
        <w:t xml:space="preserve"> de </w:t>
      </w:r>
      <w:smartTag w:uri="urn:schemas-microsoft-com:office:smarttags" w:element="PersonName">
        <w:smartTagPr>
          <w:attr w:name="ProductID" w:val="la Polic￭a"/>
        </w:smartTagPr>
        <w:r w:rsidRPr="00513E62">
          <w:t>la Policía</w:t>
        </w:r>
      </w:smartTag>
      <w:r w:rsidRPr="00513E62">
        <w:t xml:space="preserve"> desde 2005. Entre esos datos figura la información sobre los cargos imputados y las actuaciones judiciales. Los criterios para definir los delitos o los incidentes que obedecen a motivos raciales, así como las bases del racismo, se tratan en un curso de adiestramiento policial específico denominado </w:t>
      </w:r>
      <w:r>
        <w:t>“</w:t>
      </w:r>
      <w:r w:rsidRPr="00513E62">
        <w:t>Discriminación racial y de otra índole</w:t>
      </w:r>
      <w:r>
        <w:t>”</w:t>
      </w:r>
      <w:r w:rsidRPr="00513E62">
        <w:t xml:space="preserve">, así como en el nuevo programa de formación sobre el nuevo Reglamento de </w:t>
      </w:r>
      <w:smartTag w:uri="urn:schemas-microsoft-com:office:smarttags" w:element="PersonName">
        <w:smartTagPr>
          <w:attr w:name="ProductID" w:val="la Polic￭a"/>
        </w:smartTagPr>
        <w:r w:rsidRPr="00513E62">
          <w:t>la Policía</w:t>
        </w:r>
      </w:smartTag>
      <w:r w:rsidRPr="00513E62">
        <w:t xml:space="preserve"> </w:t>
      </w:r>
      <w:r w:rsidR="00F5410C">
        <w:t xml:space="preserve">núm. 3/38 (Ref. N. </w:t>
      </w:r>
      <w:proofErr w:type="spellStart"/>
      <w:r w:rsidR="00F5410C">
        <w:t>CPC</w:t>
      </w:r>
      <w:proofErr w:type="spellEnd"/>
      <w:r w:rsidR="00F5410C">
        <w:t> </w:t>
      </w:r>
      <w:r w:rsidRPr="00513E62">
        <w:t>09/13).</w:t>
      </w:r>
    </w:p>
    <w:p w:rsidR="00CD2C0D" w:rsidRPr="00513E62" w:rsidRDefault="00CD2C0D" w:rsidP="00CD2C0D">
      <w:pPr>
        <w:pStyle w:val="SingleTxtG"/>
      </w:pPr>
      <w:r w:rsidRPr="00513E62">
        <w:t>47.</w:t>
      </w:r>
      <w:r w:rsidRPr="00513E62">
        <w:tab/>
        <w:t xml:space="preserve">En los datos de </w:t>
      </w:r>
      <w:smartTag w:uri="urn:schemas-microsoft-com:office:smarttags" w:element="PersonName">
        <w:smartTagPr>
          <w:attr w:name="ProductID" w:val="la Polic￭a"/>
        </w:smartTagPr>
        <w:r w:rsidRPr="00513E62">
          <w:t>la Policía</w:t>
        </w:r>
      </w:smartTag>
      <w:r w:rsidRPr="00513E62">
        <w:t xml:space="preserve"> se tienen en cuenta el motivo racista y la posibilidad de un motivo doble o múltiple que se corresponde con varias subcategorías. El sistema de registro se actualiza de forma continua y se realizan exámenes periódicos. Se lleva a cabo un examen oficial, a finales de cada año, antes de publicar las estadísticas oficiales de </w:t>
      </w:r>
      <w:smartTag w:uri="urn:schemas-microsoft-com:office:smarttags" w:element="PersonName">
        <w:smartTagPr>
          <w:attr w:name="ProductID" w:val="la Polic￭a"/>
        </w:smartTagPr>
        <w:r w:rsidRPr="00513E62">
          <w:t>la Policía</w:t>
        </w:r>
      </w:smartTag>
      <w:r w:rsidRPr="00513E62">
        <w:t xml:space="preserve"> sobre la cuestión.</w:t>
      </w:r>
    </w:p>
    <w:p w:rsidR="00CD2C0D" w:rsidRPr="00513E62" w:rsidRDefault="00CD2C0D" w:rsidP="00CD2C0D">
      <w:pPr>
        <w:pStyle w:val="SingleTxtG"/>
      </w:pPr>
      <w:r w:rsidRPr="00513E62">
        <w:t>48.</w:t>
      </w:r>
      <w:r w:rsidRPr="00513E62">
        <w:tab/>
        <w:t xml:space="preserve">Hay datos policiales sobre la cuestión que se hallan a disposición directa del público en el sitio web de </w:t>
      </w:r>
      <w:smartTag w:uri="urn:schemas-microsoft-com:office:smarttags" w:element="PersonName">
        <w:smartTagPr>
          <w:attr w:name="ProductID" w:val="la Polic￭a"/>
        </w:smartTagPr>
        <w:r w:rsidRPr="00513E62">
          <w:t>la Policía</w:t>
        </w:r>
      </w:smartTag>
      <w:r w:rsidRPr="00513E62">
        <w:t xml:space="preserve"> de Chipre (datos estadísticos generales, datos estadísticos sobre delincuencia, datos sobre incidentes raciales), cuya dirección es la siguiente: </w:t>
      </w:r>
      <w:r w:rsidRPr="00DC5DC4">
        <w:t>http://www.police.gov.cy/police/police.nsf/All/C6B13F5246033542C2257E1B0038E6E7/$file/Ratsismos%20Agglika%202005-2014.pdf</w:t>
      </w:r>
      <w:r w:rsidRPr="00513E62">
        <w:t>. Véase también el anexo A.</w:t>
      </w:r>
    </w:p>
    <w:p w:rsidR="00CD2C0D" w:rsidRPr="00513E62" w:rsidRDefault="00CD2C0D" w:rsidP="00CD2C0D">
      <w:pPr>
        <w:pStyle w:val="H1G"/>
      </w:pPr>
      <w:r>
        <w:lastRenderedPageBreak/>
        <w:tab/>
      </w:r>
      <w:r>
        <w:tab/>
      </w:r>
      <w:bookmarkStart w:id="8" w:name="_Toc453253393"/>
      <w:r w:rsidRPr="00513E62">
        <w:t>Artículo 5</w:t>
      </w:r>
      <w:r w:rsidR="00D45525">
        <w:br/>
      </w:r>
      <w:r w:rsidRPr="00513E62">
        <w:t>Disfrute de los derechos sin discriminación</w:t>
      </w:r>
      <w:bookmarkEnd w:id="8"/>
    </w:p>
    <w:p w:rsidR="00CD2C0D" w:rsidRPr="00513E62" w:rsidRDefault="00CD2C0D" w:rsidP="00CD2C0D">
      <w:pPr>
        <w:pStyle w:val="H23G"/>
      </w:pPr>
      <w:r>
        <w:tab/>
      </w:r>
      <w:r w:rsidRPr="00513E62">
        <w:t>a)</w:t>
      </w:r>
      <w:r w:rsidRPr="00513E62">
        <w:tab/>
        <w:t>Derecho a la igualdad de trato en los tribunales y otr</w:t>
      </w:r>
      <w:r>
        <w:t>os órganos de administración de </w:t>
      </w:r>
      <w:r w:rsidRPr="00513E62">
        <w:t>justicia</w:t>
      </w:r>
    </w:p>
    <w:p w:rsidR="00CD2C0D" w:rsidRPr="00513E62" w:rsidRDefault="00CD2C0D" w:rsidP="00CD2C0D">
      <w:pPr>
        <w:pStyle w:val="SingleTxtG"/>
      </w:pPr>
      <w:r w:rsidRPr="00513E62">
        <w:t>49.</w:t>
      </w:r>
      <w:r w:rsidRPr="00513E62">
        <w:tab/>
        <w:t xml:space="preserve">En 2013, </w:t>
      </w:r>
      <w:smartTag w:uri="urn:schemas-microsoft-com:office:smarttags" w:element="PersonName">
        <w:smartTagPr>
          <w:attr w:name="ProductID" w:val="la Polic￭a"/>
        </w:smartTagPr>
        <w:r w:rsidRPr="00513E62">
          <w:t>la Policía</w:t>
        </w:r>
      </w:smartTag>
      <w:r w:rsidRPr="00513E62">
        <w:t xml:space="preserve"> y </w:t>
      </w:r>
      <w:smartTag w:uri="urn:schemas-microsoft-com:office:smarttags" w:element="PersonName">
        <w:smartTagPr>
          <w:attr w:name="ProductID" w:val="la Oficina"/>
        </w:smartTagPr>
        <w:r w:rsidRPr="00513E62">
          <w:t>la Oficina</w:t>
        </w:r>
      </w:smartTag>
      <w:r w:rsidRPr="00513E62">
        <w:t xml:space="preserve"> del Ombudsman acordaron un marco de acción de </w:t>
      </w:r>
      <w:smartTag w:uri="urn:schemas-microsoft-com:office:smarttags" w:element="PersonName">
        <w:smartTagPr>
          <w:attr w:name="ProductID" w:val="la Polic￭a"/>
        </w:smartTagPr>
        <w:r w:rsidRPr="00513E62">
          <w:t>la Policía</w:t>
        </w:r>
      </w:smartTag>
      <w:r w:rsidRPr="00513E62">
        <w:t xml:space="preserve"> sobre el tratamiento de la violencia racista, la xenofobia y la discriminación y la lucha contra estos fenómenos, mediante la publicación de un documento policial de prevención y tratamiento de la discriminación y los crímenes racistas y de lucha contra ellos. En el documento se reestructuraba, desarrollaba y perfeccionaba el marco anterior, y se insistía en la formulación de medidas proactivas y disuasorias, la prestación de apoyo moral, ayuda y protección a las víctimas y la adopción de unas medidas de investigación más eficaces.</w:t>
      </w:r>
    </w:p>
    <w:p w:rsidR="00CD2C0D" w:rsidRPr="00513E62" w:rsidRDefault="00CD2C0D" w:rsidP="00CD2C0D">
      <w:pPr>
        <w:pStyle w:val="SingleTxtG"/>
      </w:pPr>
      <w:r w:rsidRPr="00513E62">
        <w:t>50.</w:t>
      </w:r>
      <w:r w:rsidRPr="00513E62">
        <w:tab/>
        <w:t xml:space="preserve">Atendiendo a las observaciones finales (párr. 11), </w:t>
      </w:r>
      <w:smartTag w:uri="urn:schemas-microsoft-com:office:smarttags" w:element="PersonName">
        <w:smartTagPr>
          <w:attr w:name="ProductID" w:val="la Polic￭a"/>
        </w:smartTagPr>
        <w:r w:rsidRPr="00513E62">
          <w:t>la Policía</w:t>
        </w:r>
      </w:smartTag>
      <w:r w:rsidRPr="00513E62">
        <w:t xml:space="preserve"> revisó el programa de adiestramiento y el Reglamento, a fin de prevenir la discriminación, fomentar la denuncia de las medidas discriminatorias y velar por la objetividad de los procedimientos de investigación respecto de cualquier motivo de discriminación basado en los prejuicios. Como parte del plan de adiestramiento policial, </w:t>
      </w:r>
      <w:smartTag w:uri="urn:schemas-microsoft-com:office:smarttags" w:element="PersonName">
        <w:smartTagPr>
          <w:attr w:name="ProductID" w:val="la Academia"/>
        </w:smartTagPr>
        <w:r w:rsidRPr="00513E62">
          <w:t>la Academia</w:t>
        </w:r>
      </w:smartTag>
      <w:r w:rsidRPr="00513E62">
        <w:t xml:space="preserve"> de Policía de Chipre, en cooperación con </w:t>
      </w:r>
      <w:smartTag w:uri="urn:schemas-microsoft-com:office:smarttags" w:element="PersonName">
        <w:smartTagPr>
          <w:attr w:name="ProductID" w:val="la Oficina"/>
        </w:smartTagPr>
        <w:r w:rsidRPr="00513E62">
          <w:t>la Oficina</w:t>
        </w:r>
      </w:smartTag>
      <w:r w:rsidRPr="00513E62">
        <w:t xml:space="preserve"> de Lucha contra </w:t>
      </w:r>
      <w:smartTag w:uri="urn:schemas-microsoft-com:office:smarttags" w:element="PersonName">
        <w:smartTagPr>
          <w:attr w:name="ProductID" w:val="la Discriminaci￳n"/>
        </w:smartTagPr>
        <w:r w:rsidRPr="00513E62">
          <w:t>la Discriminación</w:t>
        </w:r>
      </w:smartTag>
      <w:r w:rsidRPr="00513E62">
        <w:t xml:space="preserve"> del Cuerpo, ha ideado un programa de formación exhaustivo para implantar las prácticas y las obligaciones profesionales que se han formulado en el nuevo documento de política policial y en el Reglamento revisado del Cuerpo </w:t>
      </w:r>
      <w:r w:rsidR="00F5410C">
        <w:t xml:space="preserve">núm. </w:t>
      </w:r>
      <w:r w:rsidRPr="00513E62">
        <w:t xml:space="preserve">3/38 (Ref. N. </w:t>
      </w:r>
      <w:proofErr w:type="spellStart"/>
      <w:r w:rsidRPr="00513E62">
        <w:t>CPC</w:t>
      </w:r>
      <w:proofErr w:type="spellEnd"/>
      <w:r w:rsidRPr="00513E62">
        <w:t xml:space="preserve"> 09/13). El programa de formación comprende los cursos denominados </w:t>
      </w:r>
      <w:r>
        <w:t>“</w:t>
      </w:r>
      <w:r w:rsidRPr="00513E62">
        <w:t>Política de lucha contra la violencia racista, la xenofobia y la discriminación</w:t>
      </w:r>
      <w:r>
        <w:t>”</w:t>
      </w:r>
      <w:r w:rsidRPr="00513E62">
        <w:t xml:space="preserve"> y </w:t>
      </w:r>
      <w:r>
        <w:t>“</w:t>
      </w:r>
      <w:r w:rsidRPr="00513E62">
        <w:t>Discriminación racial y de otra índole: legislación e investigación</w:t>
      </w:r>
      <w:r>
        <w:t>”</w:t>
      </w:r>
      <w:r w:rsidRPr="00513E62">
        <w:t xml:space="preserve">, dirigidos a agentes y sargentos de </w:t>
      </w:r>
      <w:smartTag w:uri="urn:schemas-microsoft-com:office:smarttags" w:element="PersonName">
        <w:smartTagPr>
          <w:attr w:name="ProductID" w:val="la Polic￭a"/>
        </w:smartTagPr>
        <w:r w:rsidRPr="00513E62">
          <w:t>la Policía</w:t>
        </w:r>
      </w:smartTag>
      <w:r w:rsidRPr="00513E62">
        <w:t xml:space="preserve">, en particular a los que se ocupan de la investigación y de procedimientos policiales análogos (comisarías de policía, Departamento de Investigaciones Criminales). Un funcionario del Organismo de Lucha contra </w:t>
      </w:r>
      <w:smartTag w:uri="urn:schemas-microsoft-com:office:smarttags" w:element="PersonName">
        <w:smartTagPr>
          <w:attr w:name="ProductID" w:val="la Discriminaci￳n"/>
        </w:smartTagPr>
        <w:r w:rsidRPr="00513E62">
          <w:t>la Discriminación</w:t>
        </w:r>
      </w:smartTag>
      <w:r w:rsidRPr="00513E62">
        <w:t xml:space="preserve"> dicta conferencias periódicas sobre racismo y xenofobia.</w:t>
      </w:r>
    </w:p>
    <w:p w:rsidR="00CD2C0D" w:rsidRPr="00513E62" w:rsidRDefault="00CD2C0D" w:rsidP="00CD2C0D">
      <w:pPr>
        <w:pStyle w:val="SingleTxtG"/>
      </w:pPr>
      <w:r w:rsidRPr="00513E62">
        <w:t>51.</w:t>
      </w:r>
      <w:r w:rsidRPr="00513E62">
        <w:tab/>
        <w:t xml:space="preserve">En virtud de la Ley </w:t>
      </w:r>
      <w:r w:rsidR="00AA7E5A">
        <w:t xml:space="preserve">núm. </w:t>
      </w:r>
      <w:proofErr w:type="spellStart"/>
      <w:r w:rsidRPr="00513E62">
        <w:t>L.163</w:t>
      </w:r>
      <w:proofErr w:type="spellEnd"/>
      <w:r w:rsidRPr="00513E62">
        <w:t xml:space="preserve">(I)/2005 (reformada), </w:t>
      </w:r>
      <w:smartTag w:uri="urn:schemas-microsoft-com:office:smarttags" w:element="PersonName">
        <w:smartTagPr>
          <w:attr w:name="ProductID" w:val="la Polic￭a"/>
        </w:smartTagPr>
        <w:r w:rsidRPr="00513E62">
          <w:t>la Policía</w:t>
        </w:r>
      </w:smartTag>
      <w:r w:rsidRPr="00513E62">
        <w:t xml:space="preserve"> estará obligada, cuando detenga a una persona o presente cargos contra ella, a informarle de sus derechos procesales esenciales, así como de su derecho a disponer de un abogado, su derecho a permanecer en silencio, su derecho a disponer de servicios de interpretación y traducción, etc., y a proporcionarle el documento informativo titulado </w:t>
      </w:r>
      <w:r>
        <w:t>“</w:t>
      </w:r>
      <w:r w:rsidRPr="00513E62">
        <w:t>Derechos de los detenidos y los reclusos</w:t>
      </w:r>
      <w:r>
        <w:t>”</w:t>
      </w:r>
      <w:r w:rsidRPr="00513E62">
        <w:t>, en una lengua que la persona entienda. [Véase también el presente informe, artículo 2</w:t>
      </w:r>
      <w:r>
        <w:t>.</w:t>
      </w:r>
      <w:r w:rsidRPr="00513E62">
        <w:t>]</w:t>
      </w:r>
    </w:p>
    <w:p w:rsidR="00CD2C0D" w:rsidRPr="00513E62" w:rsidRDefault="00CD2C0D" w:rsidP="00CD2C0D">
      <w:pPr>
        <w:pStyle w:val="SingleTxtG"/>
      </w:pPr>
      <w:r>
        <w:t>52.</w:t>
      </w:r>
      <w:r>
        <w:tab/>
        <w:t>Más concretamente,</w:t>
      </w:r>
      <w:r w:rsidRPr="00513E62">
        <w:t xml:space="preserve"> toda persona detenida por </w:t>
      </w:r>
      <w:smartTag w:uri="urn:schemas-microsoft-com:office:smarttags" w:element="PersonName">
        <w:smartTagPr>
          <w:attr w:name="ProductID" w:val="la Polic￭a"/>
        </w:smartTagPr>
        <w:r w:rsidRPr="00513E62">
          <w:t>la Policía</w:t>
        </w:r>
      </w:smartTag>
      <w:r w:rsidRPr="00513E62">
        <w:t xml:space="preserve"> es informada después de su detención, en una lengua que entienda, de lo siguiente:</w:t>
      </w:r>
    </w:p>
    <w:p w:rsidR="00CD2C0D" w:rsidRPr="00513E62" w:rsidRDefault="00CD2C0D" w:rsidP="00CD2C0D">
      <w:pPr>
        <w:pStyle w:val="Bullet1G"/>
      </w:pPr>
      <w:r w:rsidRPr="00513E62">
        <w:t>Las razones de su detención o reclusión y el delito que se le imputa;</w:t>
      </w:r>
    </w:p>
    <w:p w:rsidR="00CD2C0D" w:rsidRPr="00513E62" w:rsidRDefault="00CD2C0D" w:rsidP="00CD2C0D">
      <w:pPr>
        <w:pStyle w:val="Bullet1G"/>
      </w:pPr>
      <w:r w:rsidRPr="00513E62">
        <w:t>Su derecho a disponer de un abogado;</w:t>
      </w:r>
    </w:p>
    <w:p w:rsidR="00CD2C0D" w:rsidRPr="00513E62" w:rsidRDefault="00CD2C0D" w:rsidP="00CD2C0D">
      <w:pPr>
        <w:pStyle w:val="Bullet1G"/>
      </w:pPr>
      <w:r w:rsidRPr="00513E62">
        <w:t>Su derecho a recibir asistencia o asesoramiento jurídicos gratuitos y las condiciones que debe cumplir para recibirla;</w:t>
      </w:r>
    </w:p>
    <w:p w:rsidR="00CD2C0D" w:rsidRPr="00513E62" w:rsidRDefault="00CD2C0D" w:rsidP="00CD2C0D">
      <w:pPr>
        <w:pStyle w:val="Bullet1G"/>
      </w:pPr>
      <w:r w:rsidRPr="00513E62">
        <w:t>El derecho a disponer de servicios de interpretación y traducción;</w:t>
      </w:r>
    </w:p>
    <w:p w:rsidR="00CD2C0D" w:rsidRPr="00513E62" w:rsidRDefault="00CD2C0D" w:rsidP="00CD2C0D">
      <w:pPr>
        <w:pStyle w:val="Bullet1G"/>
      </w:pPr>
      <w:r w:rsidRPr="00513E62">
        <w:t>El derecho a permanecer en silencio, y</w:t>
      </w:r>
    </w:p>
    <w:p w:rsidR="00CD2C0D" w:rsidRPr="00513E62" w:rsidRDefault="00CD2C0D" w:rsidP="00CD2C0D">
      <w:pPr>
        <w:pStyle w:val="Bullet1G"/>
      </w:pPr>
      <w:r w:rsidRPr="00513E62">
        <w:t>El derecho a comunicarse con un abogado o cualquier otra persona para informarle de la detención o la reclusión.</w:t>
      </w:r>
    </w:p>
    <w:p w:rsidR="00CD2C0D" w:rsidRPr="00513E62" w:rsidRDefault="00CD2C0D" w:rsidP="00CD2C0D">
      <w:pPr>
        <w:pStyle w:val="SingleTxtG"/>
      </w:pPr>
      <w:r w:rsidRPr="00513E62">
        <w:t>53.</w:t>
      </w:r>
      <w:r w:rsidRPr="00513E62">
        <w:tab/>
        <w:t xml:space="preserve">Mediante el documento titulado </w:t>
      </w:r>
      <w:r>
        <w:t>“</w:t>
      </w:r>
      <w:r w:rsidRPr="00513E62">
        <w:t>Derechos de los detenidos y los reclusos</w:t>
      </w:r>
      <w:r>
        <w:t>”</w:t>
      </w:r>
      <w:r w:rsidRPr="00513E62">
        <w:t>, el detenido o recluso recibe información adicional sobre lo siguiente:</w:t>
      </w:r>
    </w:p>
    <w:p w:rsidR="00CD2C0D" w:rsidRPr="00513E62" w:rsidRDefault="00CD2C0D" w:rsidP="00CD2C0D">
      <w:pPr>
        <w:pStyle w:val="Bullet1G"/>
      </w:pPr>
      <w:r w:rsidRPr="00513E62">
        <w:lastRenderedPageBreak/>
        <w:t>El derecho a disponer de la documentación que hace al caso;</w:t>
      </w:r>
    </w:p>
    <w:p w:rsidR="00CD2C0D" w:rsidRPr="00513E62" w:rsidRDefault="00CD2C0D" w:rsidP="00CD2C0D">
      <w:pPr>
        <w:pStyle w:val="Bullet1G"/>
      </w:pPr>
      <w:r w:rsidRPr="00513E62">
        <w:t>El derecho de informar a las autoridades consulares o a cualquier otra persona;</w:t>
      </w:r>
    </w:p>
    <w:p w:rsidR="00CD2C0D" w:rsidRPr="00513E62" w:rsidRDefault="00CD2C0D" w:rsidP="00CD2C0D">
      <w:pPr>
        <w:pStyle w:val="Bullet1G"/>
      </w:pPr>
      <w:r w:rsidRPr="00513E62">
        <w:t>El derecho a disponer de atención médica urgente;</w:t>
      </w:r>
    </w:p>
    <w:p w:rsidR="00CD2C0D" w:rsidRPr="00513E62" w:rsidRDefault="00CD2C0D" w:rsidP="00CD2C0D">
      <w:pPr>
        <w:pStyle w:val="Bullet1G"/>
      </w:pPr>
      <w:r w:rsidRPr="00513E62">
        <w:t>El plazo máximo de detención, y</w:t>
      </w:r>
    </w:p>
    <w:p w:rsidR="00CD2C0D" w:rsidRPr="00513E62" w:rsidRDefault="00CD2C0D" w:rsidP="00CD2C0D">
      <w:pPr>
        <w:pStyle w:val="Bullet1G"/>
      </w:pPr>
      <w:r w:rsidRPr="00513E62">
        <w:t>El derecho a impugnar la legalidad de la detención y la reclusión.</w:t>
      </w:r>
    </w:p>
    <w:p w:rsidR="00CD2C0D" w:rsidRPr="00513E62" w:rsidRDefault="00CD2C0D" w:rsidP="00CD2C0D">
      <w:pPr>
        <w:pStyle w:val="SingleTxtG"/>
      </w:pPr>
      <w:r w:rsidRPr="00513E62">
        <w:t>54.</w:t>
      </w:r>
      <w:r w:rsidRPr="00513E62">
        <w:tab/>
        <w:t>En caso de que el documento no esté disponible en una lengua que entienda la persona, esta será informada de sus derechos oralmente, en</w:t>
      </w:r>
      <w:r w:rsidR="00F5410C">
        <w:t xml:space="preserve"> una lengua que sí entienda. El </w:t>
      </w:r>
      <w:r w:rsidRPr="00513E62">
        <w:t>documento se entregará a la persona inmediatamente y sin demoras indebidas, en una lengua que entienda.</w:t>
      </w:r>
    </w:p>
    <w:p w:rsidR="00CD2C0D" w:rsidRPr="00513E62" w:rsidRDefault="00CD2C0D" w:rsidP="00CD2C0D">
      <w:pPr>
        <w:pStyle w:val="SingleTxtG"/>
      </w:pPr>
      <w:r w:rsidRPr="00513E62">
        <w:t>55.</w:t>
      </w:r>
      <w:r w:rsidRPr="00513E62">
        <w:tab/>
        <w:t xml:space="preserve">El detenido podrá leer el documento y tendrá derecho a guardarlo en posesión a lo largo de su internamiento. </w:t>
      </w:r>
      <w:smartTag w:uri="urn:schemas-microsoft-com:office:smarttags" w:element="PersonName">
        <w:smartTagPr>
          <w:attr w:name="ProductID" w:val="la Polic￭a"/>
        </w:smartTagPr>
        <w:r w:rsidRPr="00513E62">
          <w:t>La Policía</w:t>
        </w:r>
      </w:smartTag>
      <w:r w:rsidRPr="00513E62">
        <w:t xml:space="preserve"> de Chipre ha traducido ese documento a 17 lenguas (filipino, inglés, árabe, vietnamita, búlgaro, francés, georgiano, griego, farsi, mandarín, letón, bengalí, polaco, rumano, ruso, turco y cingalés).</w:t>
      </w:r>
    </w:p>
    <w:p w:rsidR="00CD2C0D" w:rsidRPr="00513E62" w:rsidRDefault="00CD2C0D" w:rsidP="00CD2C0D">
      <w:pPr>
        <w:pStyle w:val="SingleTxtG"/>
      </w:pPr>
      <w:r w:rsidRPr="00513E62">
        <w:t>56.</w:t>
      </w:r>
      <w:r w:rsidRPr="00513E62">
        <w:tab/>
        <w:t xml:space="preserve">Por orden del Jefe de </w:t>
      </w:r>
      <w:smartTag w:uri="urn:schemas-microsoft-com:office:smarttags" w:element="PersonName">
        <w:smartTagPr>
          <w:attr w:name="ProductID" w:val="la Polic￭a"/>
        </w:smartTagPr>
        <w:r w:rsidRPr="00513E62">
          <w:t>la Policía</w:t>
        </w:r>
      </w:smartTag>
      <w:r w:rsidRPr="00513E62">
        <w:t xml:space="preserve">, en mayo de 2015 se nombró instructores superiores a unos funcionarios policiales de alto rango de todos los departamentos o unidades de los distritos y de todas las direcciones, que se encargarían de instruir a sus subordinados en los temas siguientes: </w:t>
      </w:r>
    </w:p>
    <w:p w:rsidR="00CD2C0D" w:rsidRPr="00513E62" w:rsidRDefault="00CD2C0D" w:rsidP="00CD2C0D">
      <w:pPr>
        <w:pStyle w:val="Bullet1G"/>
      </w:pPr>
      <w:r w:rsidRPr="00513E62">
        <w:t>Derechos humanos y trato a los detenidos;</w:t>
      </w:r>
    </w:p>
    <w:p w:rsidR="00CD2C0D" w:rsidRPr="00513E62" w:rsidRDefault="00CD2C0D" w:rsidP="00CD2C0D">
      <w:pPr>
        <w:pStyle w:val="Bullet1G"/>
      </w:pPr>
      <w:r w:rsidRPr="00513E62">
        <w:t xml:space="preserve">Orden de </w:t>
      </w:r>
      <w:smartTag w:uri="urn:schemas-microsoft-com:office:smarttags" w:element="PersonName">
        <w:smartTagPr>
          <w:attr w:name="ProductID" w:val="la Polic￭a"/>
        </w:smartTagPr>
        <w:r w:rsidRPr="00513E62">
          <w:t>la Policía</w:t>
        </w:r>
      </w:smartTag>
      <w:r w:rsidRPr="00513E62">
        <w:t xml:space="preserve"> revisada</w:t>
      </w:r>
      <w:r w:rsidR="00F5410C">
        <w:t xml:space="preserve"> núm.</w:t>
      </w:r>
      <w:r w:rsidRPr="00513E62">
        <w:t xml:space="preserve"> 5/3 (Derechos de las personas detenidas y trato correspondiente);</w:t>
      </w:r>
    </w:p>
    <w:p w:rsidR="00CD2C0D" w:rsidRPr="00513E62" w:rsidRDefault="00CD2C0D" w:rsidP="00CD2C0D">
      <w:pPr>
        <w:pStyle w:val="Bullet1G"/>
      </w:pPr>
      <w:r w:rsidRPr="00513E62">
        <w:t>Obligaciones jurídicas dimanantes del derecho internacional de prohibir la tortura y otros tratos crueles, inhumanos, vejatorios o degradantes;</w:t>
      </w:r>
    </w:p>
    <w:p w:rsidR="00CD2C0D" w:rsidRPr="00513E62" w:rsidRDefault="00CD2C0D" w:rsidP="00CD2C0D">
      <w:pPr>
        <w:pStyle w:val="Bullet1G"/>
      </w:pPr>
      <w:r w:rsidRPr="00513E62">
        <w:t xml:space="preserve">Facultades en materia </w:t>
      </w:r>
      <w:r w:rsidR="00F5410C">
        <w:t>de registro: técnicas de cacheo;</w:t>
      </w:r>
    </w:p>
    <w:p w:rsidR="00CD2C0D" w:rsidRPr="00513E62" w:rsidRDefault="00CD2C0D" w:rsidP="00CD2C0D">
      <w:pPr>
        <w:pStyle w:val="Bullet1G"/>
      </w:pPr>
      <w:r w:rsidRPr="00513E62">
        <w:t>Respeto y protección de los derechos humanos.</w:t>
      </w:r>
    </w:p>
    <w:p w:rsidR="00CD2C0D" w:rsidRPr="00513E62" w:rsidRDefault="00CD2C0D" w:rsidP="00CD2C0D">
      <w:pPr>
        <w:pStyle w:val="H4G"/>
      </w:pPr>
      <w:r>
        <w:tab/>
      </w:r>
      <w:r>
        <w:tab/>
      </w:r>
      <w:r w:rsidRPr="00513E62">
        <w:t>Duración de la detención</w:t>
      </w:r>
    </w:p>
    <w:p w:rsidR="00CD2C0D" w:rsidRPr="00513E62" w:rsidRDefault="00CD2C0D" w:rsidP="00CD2C0D">
      <w:pPr>
        <w:pStyle w:val="SingleTxtG"/>
      </w:pPr>
      <w:r w:rsidRPr="00513E62">
        <w:t>57.</w:t>
      </w:r>
      <w:r w:rsidRPr="00513E62">
        <w:tab/>
        <w:t>Los casos de detención de personas que no sean nacionales de un país perteneciente a la</w:t>
      </w:r>
      <w:r w:rsidR="00980D59">
        <w:t xml:space="preserve"> Unión Europea</w:t>
      </w:r>
      <w:r w:rsidRPr="00513E62">
        <w:t xml:space="preserve"> los examina el Director del Departamento de Registro Civil y Migración cada dos meses y durante todo el período de detención. El Director reexamina todos los casos a los seis meses y, si determina que no se ha podido repatriar al detenido por falta de cooperación de este y que se lo podrá repatriar en un futuro próximo, prorrogará la detención por otros seis meses. En algunos casos excepcionales que requieran más tiempo, la detención se prorrogará por otros </w:t>
      </w:r>
      <w:r w:rsidR="003E5441">
        <w:t>6</w:t>
      </w:r>
      <w:r w:rsidRPr="00513E62">
        <w:t xml:space="preserve"> meses más, con lo que se llegará al plazo máximo de 18 meses, según las disposiciones pertinentes del artículo 18 de la Ley de </w:t>
      </w:r>
      <w:r w:rsidR="00811C9F" w:rsidRPr="00513E62">
        <w:t xml:space="preserve">Extranjería </w:t>
      </w:r>
      <w:r w:rsidRPr="00513E62">
        <w:t xml:space="preserve">e </w:t>
      </w:r>
      <w:r w:rsidR="00811C9F" w:rsidRPr="00513E62">
        <w:t xml:space="preserve">Inmigración </w:t>
      </w:r>
      <w:r w:rsidRPr="00513E62">
        <w:t>[</w:t>
      </w:r>
      <w:proofErr w:type="spellStart"/>
      <w:r w:rsidRPr="00513E62">
        <w:t>CAP.105</w:t>
      </w:r>
      <w:proofErr w:type="spellEnd"/>
      <w:r w:rsidRPr="00513E62">
        <w:t>, reformada]. En cualquier momento del período de detención, si las autoridades se dan cuenta de que la repatriación será inviable, pondrán en libertad al detenido.</w:t>
      </w:r>
    </w:p>
    <w:p w:rsidR="00CD2C0D" w:rsidRPr="00513E62" w:rsidRDefault="00CD2C0D" w:rsidP="00CD2C0D">
      <w:pPr>
        <w:pStyle w:val="H4G"/>
      </w:pPr>
      <w:r>
        <w:tab/>
      </w:r>
      <w:r>
        <w:tab/>
      </w:r>
      <w:r w:rsidRPr="00513E62">
        <w:t>Denuncias de malos tratos por parte de los detenidos</w:t>
      </w:r>
    </w:p>
    <w:p w:rsidR="00CD2C0D" w:rsidRPr="00513E62" w:rsidRDefault="00CD2C0D" w:rsidP="00CD2C0D">
      <w:pPr>
        <w:pStyle w:val="SingleTxtG"/>
      </w:pPr>
      <w:r w:rsidRPr="00513E62">
        <w:t>58.</w:t>
      </w:r>
      <w:r w:rsidRPr="00513E62">
        <w:tab/>
      </w:r>
      <w:smartTag w:uri="urn:schemas-microsoft-com:office:smarttags" w:element="PersonName">
        <w:smartTagPr>
          <w:attr w:name="ProductID" w:val="la Polic￭a"/>
        </w:smartTagPr>
        <w:r w:rsidRPr="00513E62">
          <w:t>La Policía</w:t>
        </w:r>
      </w:smartTag>
      <w:r w:rsidRPr="00513E62">
        <w:t xml:space="preserve"> de Chipre muestra sensibilidad hacia las cuestiones de los malos tratos o el uso de la fuerza por parte de sus integrantes. Cuando una persona estime que las autoridades la han discriminado o maltratado o que han vulnerado sus derechos humanos, tendrá derecho a interponer una denuncia. Hay varios mecanismos para investigar las denuncias de conducta indebida contra </w:t>
      </w:r>
      <w:smartTag w:uri="urn:schemas-microsoft-com:office:smarttags" w:element="PersonName">
        <w:smartTagPr>
          <w:attr w:name="ProductID" w:val="la Polic￭a"/>
        </w:smartTagPr>
        <w:r w:rsidRPr="00513E62">
          <w:t>la Policía</w:t>
        </w:r>
      </w:smartTag>
      <w:r w:rsidRPr="00513E62">
        <w:t xml:space="preserve">: </w:t>
      </w:r>
      <w:smartTag w:uri="urn:schemas-microsoft-com:office:smarttags" w:element="PersonName">
        <w:smartTagPr>
          <w:attr w:name="ProductID" w:val="la Autoridad Independiente"/>
        </w:smartTagPr>
        <w:r w:rsidRPr="00513E62">
          <w:t>la Autoridad Independiente</w:t>
        </w:r>
      </w:smartTag>
      <w:r w:rsidRPr="00513E62">
        <w:t xml:space="preserve"> para </w:t>
      </w:r>
      <w:smartTag w:uri="urn:schemas-microsoft-com:office:smarttags" w:element="PersonName">
        <w:smartTagPr>
          <w:attr w:name="ProductID" w:val="la Investigaci￳n"/>
        </w:smartTagPr>
        <w:r w:rsidRPr="00513E62">
          <w:t>la Investigación</w:t>
        </w:r>
      </w:smartTag>
      <w:r w:rsidRPr="00513E62">
        <w:t xml:space="preserve"> de Denuncias y Quejas contra </w:t>
      </w:r>
      <w:smartTag w:uri="urn:schemas-microsoft-com:office:smarttags" w:element="PersonName">
        <w:smartTagPr>
          <w:attr w:name="ProductID" w:val="la Polic￭a"/>
        </w:smartTagPr>
        <w:r w:rsidRPr="00513E62">
          <w:t>la Policía</w:t>
        </w:r>
      </w:smartTag>
      <w:r w:rsidRPr="00513E62">
        <w:t xml:space="preserve">, el Fiscal General, </w:t>
      </w:r>
      <w:smartTag w:uri="urn:schemas-microsoft-com:office:smarttags" w:element="PersonName">
        <w:smartTagPr>
          <w:attr w:name="ProductID" w:val="la Ombudsman"/>
        </w:smartTagPr>
        <w:r w:rsidRPr="00513E62">
          <w:t>la Ombudsman</w:t>
        </w:r>
      </w:smartTag>
      <w:r w:rsidRPr="00513E62">
        <w:t xml:space="preserve">, el Defensor de los Derechos del Niño y </w:t>
      </w:r>
      <w:smartTag w:uri="urn:schemas-microsoft-com:office:smarttags" w:element="PersonName">
        <w:smartTagPr>
          <w:attr w:name="ProductID" w:val="la Direcci￳n"/>
        </w:smartTagPr>
        <w:r w:rsidRPr="00513E62">
          <w:t>la Dirección</w:t>
        </w:r>
      </w:smartTag>
      <w:r w:rsidRPr="00513E62">
        <w:t xml:space="preserve"> de Normas Profesionales, Auditoría e </w:t>
      </w:r>
      <w:r w:rsidRPr="00513E62">
        <w:lastRenderedPageBreak/>
        <w:t xml:space="preserve">Inspección de </w:t>
      </w:r>
      <w:smartTag w:uri="urn:schemas-microsoft-com:office:smarttags" w:element="PersonName">
        <w:smartTagPr>
          <w:attr w:name="ProductID" w:val="la Polic￭a. La"/>
        </w:smartTagPr>
        <w:r w:rsidRPr="00513E62">
          <w:t>la Policía. La</w:t>
        </w:r>
      </w:smartTag>
      <w:r w:rsidRPr="00513E62">
        <w:t xml:space="preserve"> misión de esos mecanismos es investigar objetivamente las denuncias y evitar toda conducta improcedente de los funcionarios de </w:t>
      </w:r>
      <w:smartTag w:uri="urn:schemas-microsoft-com:office:smarttags" w:element="PersonName">
        <w:r w:rsidRPr="00513E62">
          <w:t>la Policía.</w:t>
        </w:r>
      </w:smartTag>
      <w:r w:rsidRPr="00513E62">
        <w:t xml:space="preserve"> [Véase también el informe anterior, párr</w:t>
      </w:r>
      <w:r w:rsidR="003E5441">
        <w:t>afo</w:t>
      </w:r>
      <w:r w:rsidRPr="00513E62">
        <w:t xml:space="preserve">s </w:t>
      </w:r>
      <w:smartTag w:uri="urn:schemas-microsoft-com:office:smarttags" w:element="metricconverter">
        <w:smartTagPr>
          <w:attr w:name="ProductID" w:val="60 a"/>
        </w:smartTagPr>
        <w:r w:rsidRPr="00513E62">
          <w:t>60 a</w:t>
        </w:r>
      </w:smartTag>
      <w:r w:rsidRPr="00513E62">
        <w:t xml:space="preserve"> 67</w:t>
      </w:r>
      <w:r>
        <w:t>.</w:t>
      </w:r>
      <w:r w:rsidRPr="00513E62">
        <w:t>]</w:t>
      </w:r>
    </w:p>
    <w:p w:rsidR="00CD2C0D" w:rsidRPr="00513E62" w:rsidRDefault="00CD2C0D" w:rsidP="00CD2C0D">
      <w:pPr>
        <w:pStyle w:val="SingleTxtG"/>
      </w:pPr>
      <w:r w:rsidRPr="00513E62">
        <w:t>59.</w:t>
      </w:r>
      <w:r w:rsidRPr="00513E62">
        <w:tab/>
        <w:t xml:space="preserve">En relación con lo anterior, el Jefe de </w:t>
      </w:r>
      <w:smartTag w:uri="urn:schemas-microsoft-com:office:smarttags" w:element="PersonName">
        <w:smartTagPr>
          <w:attr w:name="ProductID" w:val="la Polic￭a"/>
        </w:smartTagPr>
        <w:r w:rsidRPr="00513E62">
          <w:t>la Policía</w:t>
        </w:r>
      </w:smartTag>
      <w:r w:rsidRPr="00513E62">
        <w:t xml:space="preserve"> emitió unas circulares (fechadas el 2 de julio de 2014, el 17 de septiembre de 2014 y el 10 de marzo de 2015), con miras a informar a los funcionarios del Cuerpo de las instrucciones del Fiscal General, que, previo examen de diversos interrogatorios penales e investigaciones administrativas sobre las denuncias de abusos o actos de violencia cometidos por funcionarios del Cuerpo, presentadas por ciudadanos, exigió que, cuando se presentaran tales denuncias, se lo informara a la brevedad (en un plazo máximo de 24 horas), para que pudiera ejercer sus facultades, entre las que se contaba la de nombrar unos investigadores independientes que estudiaran las denuncias. También se debía informar, en un plazo de 24 horas, a </w:t>
      </w:r>
      <w:smartTag w:uri="urn:schemas-microsoft-com:office:smarttags" w:element="PersonName">
        <w:smartTagPr>
          <w:attr w:name="ProductID" w:val="la Autoridad Independiente"/>
        </w:smartTagPr>
        <w:r w:rsidRPr="00513E62">
          <w:t>la Autoridad Independiente</w:t>
        </w:r>
      </w:smartTag>
      <w:r w:rsidRPr="00513E62">
        <w:t xml:space="preserve"> para </w:t>
      </w:r>
      <w:smartTag w:uri="urn:schemas-microsoft-com:office:smarttags" w:element="PersonName">
        <w:smartTagPr>
          <w:attr w:name="ProductID" w:val="la Investigaci￳n"/>
        </w:smartTagPr>
        <w:r w:rsidRPr="00513E62">
          <w:t>la Investigación</w:t>
        </w:r>
      </w:smartTag>
      <w:r w:rsidRPr="00513E62">
        <w:t xml:space="preserve"> de Denuncias y Quejas contra </w:t>
      </w:r>
      <w:smartTag w:uri="urn:schemas-microsoft-com:office:smarttags" w:element="PersonName">
        <w:smartTagPr>
          <w:attr w:name="ProductID" w:val="la Polic￭a"/>
        </w:smartTagPr>
        <w:r w:rsidRPr="00513E62">
          <w:t>la Policía</w:t>
        </w:r>
      </w:smartTag>
      <w:r w:rsidRPr="00513E62">
        <w:t xml:space="preserve">, que tenía competencia para actuar de oficio. </w:t>
      </w:r>
    </w:p>
    <w:p w:rsidR="00CD2C0D" w:rsidRPr="00513E62" w:rsidRDefault="00CD2C0D" w:rsidP="00CD2C0D">
      <w:pPr>
        <w:pStyle w:val="SingleTxtG"/>
      </w:pPr>
      <w:r w:rsidRPr="00513E62">
        <w:t>60.</w:t>
      </w:r>
      <w:r w:rsidRPr="00513E62">
        <w:tab/>
        <w:t xml:space="preserve">El Fiscal General ha dado las siguientes instrucciones sobre los procedimientos que debe aplicar </w:t>
      </w:r>
      <w:smartTag w:uri="urn:schemas-microsoft-com:office:smarttags" w:element="PersonName">
        <w:smartTagPr>
          <w:attr w:name="ProductID" w:val="la Polic￭a"/>
        </w:smartTagPr>
        <w:r w:rsidRPr="00513E62">
          <w:t>la Policía</w:t>
        </w:r>
      </w:smartTag>
      <w:r w:rsidRPr="00513E62">
        <w:t>:</w:t>
      </w:r>
    </w:p>
    <w:p w:rsidR="00CD2C0D" w:rsidRPr="00513E62" w:rsidRDefault="00CD2C0D" w:rsidP="00CD2C0D">
      <w:pPr>
        <w:pStyle w:val="Bullet1G"/>
      </w:pPr>
      <w:r w:rsidRPr="00513E62">
        <w:t>Poner fin a la práctica policial anterior de efectuar una investigación administ</w:t>
      </w:r>
      <w:r>
        <w:t>rativa o criminal en esos casos.</w:t>
      </w:r>
    </w:p>
    <w:p w:rsidR="00CD2C0D" w:rsidRPr="00513E62" w:rsidRDefault="00CD2C0D" w:rsidP="00CD2C0D">
      <w:pPr>
        <w:pStyle w:val="Bullet1G"/>
      </w:pPr>
      <w:r w:rsidRPr="00513E62">
        <w:t xml:space="preserve">Cuando una persona interponga una denuncia en la que alegue haber sufrido abusos o violencia por parte de miembros de </w:t>
      </w:r>
      <w:smartTag w:uri="urn:schemas-microsoft-com:office:smarttags" w:element="PersonName">
        <w:smartTagPr>
          <w:attr w:name="ProductID" w:val="la Polic￭a"/>
        </w:smartTagPr>
        <w:r w:rsidRPr="00513E62">
          <w:t>la Policía</w:t>
        </w:r>
      </w:smartTag>
      <w:r w:rsidRPr="00513E62">
        <w:t>, deberá ser examinada por un médico forense que presentará el informe correspondiente sobre la condición de esa persona. El informe</w:t>
      </w:r>
      <w:r>
        <w:t xml:space="preserve"> se remitirá al Fiscal General.</w:t>
      </w:r>
    </w:p>
    <w:p w:rsidR="00CD2C0D" w:rsidRPr="00513E62" w:rsidRDefault="00CD2C0D" w:rsidP="00CD2C0D">
      <w:pPr>
        <w:pStyle w:val="Bullet1G"/>
      </w:pPr>
      <w:r w:rsidRPr="00513E62">
        <w:t>Cuando la denuncia la haya interpuesto un nacional extranjero, se informará también al Jefe del Servicio de Extranjería e Inmigración, para que no se ejecute</w:t>
      </w:r>
      <w:r>
        <w:t>n procedimientos de deportación.</w:t>
      </w:r>
    </w:p>
    <w:p w:rsidR="00CD2C0D" w:rsidRPr="00513E62" w:rsidRDefault="00CD2C0D" w:rsidP="00CD2C0D">
      <w:pPr>
        <w:pStyle w:val="H4G"/>
      </w:pPr>
      <w:r>
        <w:tab/>
      </w:r>
      <w:r>
        <w:tab/>
      </w:r>
      <w:r w:rsidRPr="00513E62">
        <w:t xml:space="preserve">Centros de internamiento de </w:t>
      </w:r>
      <w:smartTag w:uri="urn:schemas-microsoft-com:office:smarttags" w:element="PersonName">
        <w:smartTagPr>
          <w:attr w:name="ProductID" w:val="la Polic￭a"/>
        </w:smartTagPr>
        <w:r w:rsidRPr="00513E62">
          <w:t>la Policía</w:t>
        </w:r>
      </w:smartTag>
    </w:p>
    <w:p w:rsidR="00CD2C0D" w:rsidRPr="00513E62" w:rsidRDefault="00CD2C0D" w:rsidP="00CD2C0D">
      <w:pPr>
        <w:pStyle w:val="SingleTxtG"/>
      </w:pPr>
      <w:r w:rsidRPr="00513E62">
        <w:t>61.</w:t>
      </w:r>
      <w:r w:rsidRPr="00513E62">
        <w:tab/>
        <w:t xml:space="preserve">Todos los centros de internamiento de </w:t>
      </w:r>
      <w:smartTag w:uri="urn:schemas-microsoft-com:office:smarttags" w:element="PersonName">
        <w:smartTagPr>
          <w:attr w:name="ProductID" w:val="la Polic￭a"/>
        </w:smartTagPr>
        <w:r w:rsidRPr="00513E62">
          <w:t>la Policía</w:t>
        </w:r>
      </w:smartTag>
      <w:r w:rsidRPr="00513E62">
        <w:t xml:space="preserve"> son objeto de inspección periódica por parte de órganos y comisiones nacionales (</w:t>
      </w:r>
      <w:smartTag w:uri="urn:schemas-microsoft-com:office:smarttags" w:element="PersonName">
        <w:smartTagPr>
          <w:attr w:name="ProductID" w:val="la Ombudsman"/>
        </w:smartTagPr>
        <w:r w:rsidRPr="00513E62">
          <w:t>la Ombudsman</w:t>
        </w:r>
      </w:smartTag>
      <w:r w:rsidRPr="00513E62">
        <w:t xml:space="preserve">, </w:t>
      </w:r>
      <w:smartTag w:uri="urn:schemas-microsoft-com:office:smarttags" w:element="PersonName">
        <w:smartTagPr>
          <w:attr w:name="ProductID" w:val="ムヺ̽䰄ベ㹈ᡁĠ Ƥ؈䇤᠌䮨ᡁ䫨ᡁallƯ؈㷼ᡁ퀀៛㳀ᡁ ƪ،ヺьムヺ̽䰄ベ쿸៛ Ʊ؈⿜ᡂ㽰ᡁ⽈ᡂƼ؈,劘Ɨƹ؈Ѹム̽;㾔ᡁ㼠ᡁ Ƅ،ヺьムヺ̽䰄ベ㽨ᡁ Ƌ؈㽄ᡁ䀠ᡁ㻀ᡁƐƖ؈ob NeƓ؈Ѹム̽=䁄ᡁ㿐ᡁ ƞ،ヺьムヺ̽䰄ベ䀘ᡁ苌ࡢ ť؈㿴ᡁ䃐ᡁ㽰ᡁ搔᠈木᠈Š؈,ŭ؈Ѹム̽䃴ᡁ䂀ᡁ Ũ،ヺьムヺ̽䰄ベ䃈ᡁೋ ſ؈䂤ᡁ䈨ᡁ䀠ᡁź؈&#10;˅᧍Ň؈yy1ń؈•Ł؈visitasstnŌ؈Comunicaciónŗ؈Ѹム̽䭼ᡁ䈈᠌Œ؈Ѹム̽䄤ᡁ䇘ᡁ ŝ،ヺьムヺ̽䰄ベ䈠ᡁႛ Ĥ؈䇼ᡁ䋀ᡁ䃐ᡁP ႜį؈Ѹム̽䅤ᡁ䉰ᡁ Ī،ヺьムヺ̽䰄ベ䊸ᡁ ı؈䊔ᡁ䍘ᡁ䈨ᡁႛᨿļ؈Ѹム̽䄌ᡁ䌈ᡁ ć،ヺьムヺ̽䰄ベ䍐ᡁP Ď؈䌬ᡁ䏰ᡁ䋀ᡁ岍䂇ĉ؈Ѹム̽⛜ᡂ䎠ᡁ Ĕ،ヺьムヺ̽䰄ベ䏨ᡁ ě؈䏄ᡁ䒈ᡁ䍘ᡁTTǦ؈Ѹム̽䒬ᡁ䐸ᡁ ǡ،ヺьムヺ̽䰄ベ䒀ᡁ Ǩ؈䑜ᡁ䔸ᡁ䏰ᡁǳ؈deሀTiǰ؈Ѹム̽ 䕜ᡁ䓨ᡁ ǻ،ヺьムヺ̽䰄ベ䔰ᡁᎼࡢ ǂ؈䔌ᡁ䗸ᡁ䒈ᡁ讄࡛Ǎ؈parientesೋ〡ǈ؈Ѹム̽'䘜ᡁ䖨ᡁ Ǔ،ヺьムヺ̽䰄ベ䗰ᡁ딒。 ǚ؈䗌ᡁ䚨ᡁ䔸ᡁT¬ƥ؈,Ƣ؈Ѹム̽)䛌ᡁ䙘ᡁ ƭ،ヺьムヺ̽䰄ベ"/>
        </w:smartTagPr>
        <w:r w:rsidRPr="00513E62">
          <w:t>la Comisión Parlamentaria</w:t>
        </w:r>
      </w:smartTag>
      <w:r w:rsidRPr="00513E62">
        <w:t xml:space="preserve"> de Derechos Humanos), internacionales y europeos</w:t>
      </w:r>
      <w:r w:rsidR="00F5410C">
        <w:t xml:space="preserve"> </w:t>
      </w:r>
      <w:r w:rsidRPr="00513E62">
        <w:t xml:space="preserve">(por ejemplo, </w:t>
      </w:r>
      <w:smartTag w:uri="urn:schemas-microsoft-com:office:smarttags" w:element="PersonName">
        <w:smartTagPr>
          <w:attr w:name="ProductID" w:val="la Oficina"/>
        </w:smartTagPr>
        <w:r w:rsidRPr="00513E62">
          <w:t>la Oficina</w:t>
        </w:r>
      </w:smartTag>
      <w:r w:rsidRPr="00513E62">
        <w:t xml:space="preserve"> del Alto Comisionado de las Naciones Unidas para los Refugiados (ACNUR) y Amnistía Internacional), que se encargan de vigilar la situación de los derechos humanos. Entre las ONG nacionales que se ocupan del asunto se cuentan </w:t>
      </w:r>
      <w:proofErr w:type="spellStart"/>
      <w:r w:rsidRPr="00513E62">
        <w:t>Movement</w:t>
      </w:r>
      <w:proofErr w:type="spellEnd"/>
      <w:r w:rsidRPr="00513E62">
        <w:t xml:space="preserve"> </w:t>
      </w:r>
      <w:proofErr w:type="spellStart"/>
      <w:r w:rsidRPr="00513E62">
        <w:t>for</w:t>
      </w:r>
      <w:proofErr w:type="spellEnd"/>
      <w:r w:rsidRPr="00513E62">
        <w:t xml:space="preserve"> </w:t>
      </w:r>
      <w:proofErr w:type="spellStart"/>
      <w:r w:rsidRPr="00513E62">
        <w:t>Equality</w:t>
      </w:r>
      <w:proofErr w:type="spellEnd"/>
      <w:r w:rsidRPr="00513E62">
        <w:t xml:space="preserve">, </w:t>
      </w:r>
      <w:proofErr w:type="spellStart"/>
      <w:r w:rsidRPr="00513E62">
        <w:t>Support</w:t>
      </w:r>
      <w:proofErr w:type="spellEnd"/>
      <w:r w:rsidRPr="00513E62">
        <w:t>, Anti-</w:t>
      </w:r>
      <w:proofErr w:type="spellStart"/>
      <w:r w:rsidRPr="00513E62">
        <w:t>Racism</w:t>
      </w:r>
      <w:proofErr w:type="spellEnd"/>
      <w:r w:rsidRPr="00513E62">
        <w:t xml:space="preserve"> (MESAR) y la Cruz Roja de Chipre.</w:t>
      </w:r>
    </w:p>
    <w:p w:rsidR="00CD2C0D" w:rsidRPr="00513E62" w:rsidRDefault="00CD2C0D" w:rsidP="00CD2C0D">
      <w:pPr>
        <w:pStyle w:val="H4G"/>
      </w:pPr>
      <w:r>
        <w:tab/>
      </w:r>
      <w:r>
        <w:tab/>
      </w:r>
      <w:r w:rsidRPr="00513E62">
        <w:t xml:space="preserve">Centro de Internamiento de </w:t>
      </w:r>
      <w:proofErr w:type="spellStart"/>
      <w:r w:rsidRPr="00513E62">
        <w:t>Menoyia</w:t>
      </w:r>
      <w:proofErr w:type="spellEnd"/>
    </w:p>
    <w:p w:rsidR="00CD2C0D" w:rsidRPr="00513E62" w:rsidRDefault="00CD2C0D" w:rsidP="00CD2C0D">
      <w:pPr>
        <w:pStyle w:val="SingleTxtG"/>
      </w:pPr>
      <w:r w:rsidRPr="00513E62">
        <w:t>62.</w:t>
      </w:r>
      <w:r w:rsidRPr="00513E62">
        <w:tab/>
        <w:t xml:space="preserve">El Centro de Internamiento de </w:t>
      </w:r>
      <w:proofErr w:type="spellStart"/>
      <w:r w:rsidRPr="00513E62">
        <w:t>Menoyia</w:t>
      </w:r>
      <w:proofErr w:type="spellEnd"/>
      <w:r w:rsidRPr="00513E62">
        <w:t xml:space="preserve"> funciona desde enero de 2013 y tiene capacidad para acoger a un máximo de 256 personas que aguarden su deportación. Solo se emplea para detener a los inmigrantes que se hallen en vías de deportación en virtud de una orden de la autoridad competente y se rige por </w:t>
      </w:r>
      <w:smartTag w:uri="urn:schemas-microsoft-com:office:smarttags" w:element="PersonName">
        <w:smartTagPr>
          <w:attr w:name="ProductID" w:val="la Ley"/>
        </w:smartTagPr>
        <w:r w:rsidRPr="00513E62">
          <w:t xml:space="preserve">la </w:t>
        </w:r>
        <w:r w:rsidRPr="00AA7E5A">
          <w:t>Ley</w:t>
        </w:r>
      </w:smartTag>
      <w:r w:rsidRPr="00AA7E5A">
        <w:t xml:space="preserve"> y el Reglamento de </w:t>
      </w:r>
      <w:r w:rsidR="00AA7E5A" w:rsidRPr="00AA7E5A">
        <w:t xml:space="preserve">Establecimiento </w:t>
      </w:r>
      <w:r w:rsidRPr="00AA7E5A">
        <w:t xml:space="preserve">y </w:t>
      </w:r>
      <w:r w:rsidR="00AA7E5A" w:rsidRPr="00AA7E5A">
        <w:t xml:space="preserve">Regulación </w:t>
      </w:r>
      <w:r w:rsidRPr="00AA7E5A">
        <w:t xml:space="preserve">de los </w:t>
      </w:r>
      <w:r w:rsidR="00AA7E5A" w:rsidRPr="00AA7E5A">
        <w:t xml:space="preserve">Locales </w:t>
      </w:r>
      <w:r w:rsidRPr="00AA7E5A">
        <w:t xml:space="preserve">para </w:t>
      </w:r>
      <w:r w:rsidR="00AA7E5A" w:rsidRPr="00AA7E5A">
        <w:t>Inmigrantes Prohibidos</w:t>
      </w:r>
      <w:r w:rsidR="00AA7E5A" w:rsidRPr="00513E62">
        <w:t xml:space="preserve"> </w:t>
      </w:r>
      <w:r w:rsidRPr="00513E62">
        <w:t>(</w:t>
      </w:r>
      <w:r w:rsidR="00AA7E5A">
        <w:t xml:space="preserve">núm. </w:t>
      </w:r>
      <w:proofErr w:type="spellStart"/>
      <w:r w:rsidRPr="00513E62">
        <w:t>L.83</w:t>
      </w:r>
      <w:proofErr w:type="spellEnd"/>
      <w:r w:rsidRPr="00513E62">
        <w:t xml:space="preserve">(I)/2011 y Reglamento </w:t>
      </w:r>
      <w:r w:rsidR="00F5410C">
        <w:t>núm. </w:t>
      </w:r>
      <w:r w:rsidRPr="00513E62">
        <w:t xml:space="preserve">161/2011) que cumplen las normas del Comité Europeo para </w:t>
      </w:r>
      <w:smartTag w:uri="urn:schemas-microsoft-com:office:smarttags" w:element="PersonName">
        <w:smartTagPr>
          <w:attr w:name="ProductID" w:val="la Prevenci￳n"/>
        </w:smartTagPr>
        <w:r w:rsidRPr="00513E62">
          <w:t>la Prevención</w:t>
        </w:r>
      </w:smartTag>
      <w:r w:rsidRPr="00513E62">
        <w:t xml:space="preserve"> de </w:t>
      </w:r>
      <w:smartTag w:uri="urn:schemas-microsoft-com:office:smarttags" w:element="PersonName">
        <w:smartTagPr>
          <w:attr w:name="ProductID" w:val="la Tortura"/>
        </w:smartTagPr>
        <w:r w:rsidRPr="00513E62">
          <w:t>la Tortura</w:t>
        </w:r>
      </w:smartTag>
      <w:r w:rsidRPr="00513E62">
        <w:t xml:space="preserve"> y de las Penas o Tratos Inhumanos o Degradantes relativas a las condiciones de detención de inmigrantes y de trato a estos. </w:t>
      </w:r>
    </w:p>
    <w:p w:rsidR="00CD2C0D" w:rsidRPr="00513E62" w:rsidRDefault="00CD2C0D" w:rsidP="00CD2C0D">
      <w:pPr>
        <w:pStyle w:val="SingleTxtG"/>
      </w:pPr>
      <w:r w:rsidRPr="00513E62">
        <w:t>63.</w:t>
      </w:r>
      <w:r w:rsidRPr="00513E62">
        <w:tab/>
        <w:t xml:space="preserve">En el Centro de Internamiento de </w:t>
      </w:r>
      <w:proofErr w:type="spellStart"/>
      <w:r w:rsidRPr="00513E62">
        <w:t>Menoyia</w:t>
      </w:r>
      <w:proofErr w:type="spellEnd"/>
      <w:r w:rsidRPr="00513E62">
        <w:t xml:space="preserve"> se garantizan a todos los detenidos todos los derechos reconocidos en </w:t>
      </w:r>
      <w:smartTag w:uri="urn:schemas-microsoft-com:office:smarttags" w:element="PersonName">
        <w:smartTagPr>
          <w:attr w:name="ProductID" w:val="la Ley"/>
        </w:smartTagPr>
        <w:r w:rsidRPr="00513E62">
          <w:t>la Ley</w:t>
        </w:r>
      </w:smartTag>
      <w:r w:rsidRPr="00513E62">
        <w:t xml:space="preserve"> y el Reglamento citados, por ejemplo: </w:t>
      </w:r>
    </w:p>
    <w:p w:rsidR="00CD2C0D" w:rsidRPr="00513E62" w:rsidRDefault="00CD2C0D" w:rsidP="00CD2C0D">
      <w:pPr>
        <w:pStyle w:val="Bullet1G"/>
      </w:pPr>
      <w:r w:rsidRPr="00513E62">
        <w:t>Condiciones materiales (iluminación adecuada, ventilación, aire acondicionado, timbre de llamada, agua y alimentos, productos de higiene personal, etc.);</w:t>
      </w:r>
    </w:p>
    <w:p w:rsidR="00CD2C0D" w:rsidRPr="00513E62" w:rsidRDefault="00CD2C0D" w:rsidP="00CD2C0D">
      <w:pPr>
        <w:pStyle w:val="Bullet1G"/>
      </w:pPr>
      <w:r w:rsidRPr="00513E62">
        <w:lastRenderedPageBreak/>
        <w:t xml:space="preserve">Comunicaciones y visitas de los parientes, los amigos, los abogados, </w:t>
      </w:r>
      <w:smartTag w:uri="urn:schemas-microsoft-com:office:smarttags" w:element="PersonName">
        <w:smartTagPr>
          <w:attr w:name="ProductID" w:val="la Ombudsman"/>
        </w:smartTagPr>
        <w:r w:rsidRPr="00513E62">
          <w:t>la Ombudsman</w:t>
        </w:r>
      </w:smartTag>
      <w:r w:rsidRPr="00513E62">
        <w:t xml:space="preserve">, el Defensor de los Derechos del Niño, </w:t>
      </w:r>
      <w:smartTag w:uri="urn:schemas-microsoft-com:office:smarttags" w:element="PersonName">
        <w:smartTagPr>
          <w:attr w:name="ProductID" w:val="la Cruz Roja"/>
        </w:smartTagPr>
        <w:r w:rsidRPr="00513E62">
          <w:t>la Cruz Roja</w:t>
        </w:r>
      </w:smartTag>
      <w:r w:rsidRPr="00513E62">
        <w:t xml:space="preserve"> de Chipre, el ACNUR, las ONG, etc.;</w:t>
      </w:r>
    </w:p>
    <w:p w:rsidR="00CD2C0D" w:rsidRPr="00513E62" w:rsidRDefault="00CD2C0D" w:rsidP="00CD2C0D">
      <w:pPr>
        <w:pStyle w:val="Bullet1G"/>
      </w:pPr>
      <w:r w:rsidRPr="00513E62">
        <w:t>Envío y recepción de cartas;</w:t>
      </w:r>
    </w:p>
    <w:p w:rsidR="00CD2C0D" w:rsidRPr="00513E62" w:rsidRDefault="00CD2C0D" w:rsidP="00CD2C0D">
      <w:pPr>
        <w:pStyle w:val="Bullet1G"/>
      </w:pPr>
      <w:r w:rsidRPr="00513E62">
        <w:t>Comunicaciones telefónicas;</w:t>
      </w:r>
    </w:p>
    <w:p w:rsidR="00CD2C0D" w:rsidRPr="00513E62" w:rsidRDefault="00CD2C0D" w:rsidP="00CD2C0D">
      <w:pPr>
        <w:pStyle w:val="Bullet1G"/>
      </w:pPr>
      <w:r w:rsidRPr="00513E62">
        <w:t>Nutrición;</w:t>
      </w:r>
    </w:p>
    <w:p w:rsidR="00CD2C0D" w:rsidRPr="00513E62" w:rsidRDefault="00CD2C0D" w:rsidP="00CD2C0D">
      <w:pPr>
        <w:pStyle w:val="Bullet1G"/>
      </w:pPr>
      <w:r w:rsidRPr="00513E62">
        <w:t>Acceso a un abogado y un médico;</w:t>
      </w:r>
    </w:p>
    <w:p w:rsidR="00CD2C0D" w:rsidRPr="00513E62" w:rsidRDefault="00CD2C0D" w:rsidP="00CD2C0D">
      <w:pPr>
        <w:pStyle w:val="Bullet1G"/>
      </w:pPr>
      <w:r w:rsidRPr="00513E62">
        <w:t>Servicios de interpretación y posibilidad de hacer ejercicio al aire libre, etc.</w:t>
      </w:r>
    </w:p>
    <w:p w:rsidR="00CD2C0D" w:rsidRPr="00513E62" w:rsidRDefault="00CD2C0D" w:rsidP="00CD2C0D">
      <w:pPr>
        <w:pStyle w:val="SingleTxtG"/>
      </w:pPr>
      <w:r w:rsidRPr="00513E62">
        <w:t>64.</w:t>
      </w:r>
      <w:r w:rsidRPr="00513E62">
        <w:tab/>
        <w:t xml:space="preserve">Hay cuatro pabellones (con 64 plazas cada uno). Cada pabellón cuenta con </w:t>
      </w:r>
      <w:r w:rsidR="003E5441">
        <w:t>1</w:t>
      </w:r>
      <w:r w:rsidRPr="00513E62">
        <w:t xml:space="preserve"> restaurante, </w:t>
      </w:r>
      <w:r w:rsidR="003E5441">
        <w:t>1</w:t>
      </w:r>
      <w:r w:rsidRPr="00513E62">
        <w:t xml:space="preserve"> zona donde se sirven comidas, salas de ocio independientes para fumadores y no fumadores con biblioteca y televisión, cuartos de baño, lavaderos y </w:t>
      </w:r>
      <w:r w:rsidR="003E5441">
        <w:t>1</w:t>
      </w:r>
      <w:r w:rsidRPr="00513E62">
        <w:t xml:space="preserve"> cuarto de almacenaje. Los detenidos permanecen encerrados en su celda solo durante las horas de sueño y de descanso por razones de seguridad (de 13</w:t>
      </w:r>
      <w:r w:rsidR="00F5410C">
        <w:t>.</w:t>
      </w:r>
      <w:r w:rsidRPr="00513E62">
        <w:t>30 a 15</w:t>
      </w:r>
      <w:r w:rsidR="00F5410C">
        <w:t>.</w:t>
      </w:r>
      <w:r w:rsidRPr="00513E62">
        <w:t>00 y de 23</w:t>
      </w:r>
      <w:r w:rsidR="00F5410C">
        <w:t>.</w:t>
      </w:r>
      <w:r w:rsidRPr="00513E62">
        <w:t>00 a 07</w:t>
      </w:r>
      <w:r w:rsidR="00F5410C">
        <w:t>.</w:t>
      </w:r>
      <w:r w:rsidRPr="00513E62">
        <w:t xml:space="preserve">30). Todas las celdas están equipadas con un timbre de llamada que los detenidos pueden usar cuando tengan que ir al baño, etc., y los agentes de policía atienden siempre las llamadas. Durante el resto de la jornada, tienen un programa diario, con arreglo al cual utilizan las zonas recreativas exteriores durante unas cuatro horas diarias; las salas de televisión, durante unas seis horas diarias, y el restaurante, en el desayuno, la comida y la cena durante unas dos horas. Además, hay una zona de ejercicio al aire libre con pista de entrenamiento y quioscos para que los detenidos se resguarden de las condiciones meteorológicas (el sol, la lluvia, etc.). Los detenidos pueden usar sus teléfonos móviles o sus ordenadores portátiles. </w:t>
      </w:r>
      <w:smartTag w:uri="urn:schemas-microsoft-com:office:smarttags" w:element="PersonName">
        <w:smartTagPr>
          <w:attr w:name="ProductID" w:val="la Polic￭a"/>
        </w:smartTagPr>
        <w:r w:rsidRPr="00513E62">
          <w:t>La Policía</w:t>
        </w:r>
      </w:smartTag>
      <w:r w:rsidRPr="00513E62">
        <w:t xml:space="preserve"> está modificando el programa diario de los detenidos y añadiendo actividades de ocio y al aire libre, así como programas educativos, en cooperación con otras instituciones gubernamentales.</w:t>
      </w:r>
    </w:p>
    <w:p w:rsidR="00CD2C0D" w:rsidRPr="00513E62" w:rsidRDefault="00CD2C0D" w:rsidP="00CD2C0D">
      <w:pPr>
        <w:pStyle w:val="SingleTxtG"/>
      </w:pPr>
      <w:r w:rsidRPr="00513E62">
        <w:t>65.</w:t>
      </w:r>
      <w:r w:rsidRPr="00513E62">
        <w:tab/>
        <w:t xml:space="preserve">En 2015, </w:t>
      </w:r>
      <w:smartTag w:uri="urn:schemas-microsoft-com:office:smarttags" w:element="PersonName">
        <w:smartTagPr>
          <w:attr w:name="ProductID" w:val="la Polic￭a"/>
        </w:smartTagPr>
        <w:r w:rsidRPr="00513E62">
          <w:t>la Policía</w:t>
        </w:r>
      </w:smartTag>
      <w:r w:rsidRPr="00513E62">
        <w:t xml:space="preserve">, en cooperación con </w:t>
      </w:r>
      <w:smartTag w:uri="urn:schemas-microsoft-com:office:smarttags" w:element="PersonName">
        <w:smartTagPr>
          <w:attr w:name="ProductID" w:val="la Cruz Roja"/>
        </w:smartTagPr>
        <w:smartTag w:uri="urn:schemas-microsoft-com:office:smarttags" w:element="PersonName">
          <w:smartTagPr>
            <w:attr w:name="ProductID" w:val="la Cruz"/>
          </w:smartTagPr>
          <w:r w:rsidRPr="00513E62">
            <w:t>la Cruz</w:t>
          </w:r>
        </w:smartTag>
        <w:r w:rsidRPr="00513E62">
          <w:t xml:space="preserve"> Roja</w:t>
        </w:r>
      </w:smartTag>
      <w:r w:rsidRPr="00513E62">
        <w:t xml:space="preserve"> de Chipre, puso en marcha un programa, financiado por el Mecanismo Financiero d</w:t>
      </w:r>
      <w:r w:rsidR="00F5410C">
        <w:t>el Espacio Económico Europeo (o </w:t>
      </w:r>
      <w:proofErr w:type="spellStart"/>
      <w:r w:rsidRPr="00513E62">
        <w:t>EEA</w:t>
      </w:r>
      <w:proofErr w:type="spellEnd"/>
      <w:r w:rsidRPr="00513E62">
        <w:t xml:space="preserve"> </w:t>
      </w:r>
      <w:proofErr w:type="spellStart"/>
      <w:r w:rsidRPr="00513E62">
        <w:t>Grants</w:t>
      </w:r>
      <w:proofErr w:type="spellEnd"/>
      <w:r w:rsidRPr="00513E62">
        <w:t xml:space="preserve">), a fin de proporcionar asistencia psicosocial a los detenidos del Centro de Internamiento de </w:t>
      </w:r>
      <w:proofErr w:type="spellStart"/>
      <w:r w:rsidRPr="00513E62">
        <w:t>Menoyia</w:t>
      </w:r>
      <w:proofErr w:type="spellEnd"/>
      <w:r w:rsidRPr="00513E62">
        <w:t xml:space="preserve"> y a sus familias. Una vez terminado el programa, </w:t>
      </w:r>
      <w:smartTag w:uri="urn:schemas-microsoft-com:office:smarttags" w:element="PersonName">
        <w:smartTagPr>
          <w:attr w:name="ProductID" w:val="la Cruz Roja"/>
        </w:smartTagPr>
        <w:smartTag w:uri="urn:schemas-microsoft-com:office:smarttags" w:element="PersonName">
          <w:smartTagPr>
            <w:attr w:name="ProductID" w:val="la Cruz"/>
          </w:smartTagPr>
          <w:r w:rsidRPr="00513E62">
            <w:t>la Cruz</w:t>
          </w:r>
        </w:smartTag>
        <w:r w:rsidRPr="00513E62">
          <w:t xml:space="preserve"> Roja</w:t>
        </w:r>
      </w:smartTag>
      <w:r w:rsidRPr="00513E62">
        <w:t xml:space="preserve"> de Chipre presentó un informe con propuestas a la Policía. Actualmente, esta estudia y evalúa esas propuestas, con miras a aplicarlas y mejorar así, las condiciones de vida de los detenidos.</w:t>
      </w:r>
    </w:p>
    <w:p w:rsidR="00CD2C0D" w:rsidRPr="00513E62" w:rsidRDefault="00CD2C0D" w:rsidP="00CD2C0D">
      <w:pPr>
        <w:pStyle w:val="SingleTxtG"/>
      </w:pPr>
      <w:r w:rsidRPr="00513E62">
        <w:t>66.</w:t>
      </w:r>
      <w:r w:rsidRPr="00513E62">
        <w:tab/>
      </w:r>
      <w:smartTag w:uri="urn:schemas-microsoft-com:office:smarttags" w:element="PersonName">
        <w:smartTagPr>
          <w:attr w:name="ProductID" w:val="la Polic￭a"/>
        </w:smartTagPr>
        <w:r w:rsidRPr="00513E62">
          <w:t>La Policía</w:t>
        </w:r>
      </w:smartTag>
      <w:r w:rsidRPr="00513E62">
        <w:t xml:space="preserve"> chipriota ha solicitado asistencia a las embajadas extranjeras en Chipre y a </w:t>
      </w:r>
      <w:smartTag w:uri="urn:schemas-microsoft-com:office:smarttags" w:element="PersonName">
        <w:smartTagPr>
          <w:attr w:name="ProductID" w:val="la Cruz Roja"/>
        </w:smartTagPr>
        <w:r w:rsidRPr="00513E62">
          <w:t>la Cruz Roja</w:t>
        </w:r>
      </w:smartTag>
      <w:r w:rsidRPr="00513E62">
        <w:t xml:space="preserve"> del país para que proporcionen a todos los centros de internamiento, incluido el de </w:t>
      </w:r>
      <w:proofErr w:type="spellStart"/>
      <w:r w:rsidRPr="00513E62">
        <w:t>Menoyia</w:t>
      </w:r>
      <w:proofErr w:type="spellEnd"/>
      <w:r w:rsidRPr="00513E62">
        <w:t>, libros en diversas lenguas. Esos libros se entregan a los detenidos para que se ocupen en actividades creativas.</w:t>
      </w:r>
    </w:p>
    <w:p w:rsidR="00CD2C0D" w:rsidRPr="00513E62" w:rsidRDefault="00CD2C0D" w:rsidP="00CD2C0D">
      <w:pPr>
        <w:pStyle w:val="SingleTxtG"/>
      </w:pPr>
      <w:r w:rsidRPr="00513E62">
        <w:t>67.</w:t>
      </w:r>
      <w:r w:rsidRPr="00513E62">
        <w:tab/>
        <w:t xml:space="preserve">El Ministerio de Educación y Cultura ha nombrado un instructor que visita el Centro de Internamiento de </w:t>
      </w:r>
      <w:proofErr w:type="spellStart"/>
      <w:r w:rsidRPr="00513E62">
        <w:t>Menoyia</w:t>
      </w:r>
      <w:proofErr w:type="spellEnd"/>
      <w:r w:rsidRPr="00513E62">
        <w:t xml:space="preserve"> tres veces por semana durante seis horas aproximadamente y se encarga de formar a los detenidos.</w:t>
      </w:r>
    </w:p>
    <w:p w:rsidR="00CD2C0D" w:rsidRPr="00513E62" w:rsidRDefault="00CD2C0D" w:rsidP="00CD2C0D">
      <w:pPr>
        <w:pStyle w:val="SingleTxtG"/>
      </w:pPr>
      <w:r w:rsidRPr="00513E62">
        <w:t>68.</w:t>
      </w:r>
      <w:r w:rsidRPr="00513E62">
        <w:tab/>
        <w:t xml:space="preserve">En 2012 y 2013, </w:t>
      </w:r>
      <w:smartTag w:uri="urn:schemas-microsoft-com:office:smarttags" w:element="PersonName">
        <w:smartTagPr>
          <w:attr w:name="ProductID" w:val="la Ombudsman"/>
        </w:smartTagPr>
        <w:r w:rsidRPr="00513E62">
          <w:t>la Ombudsman</w:t>
        </w:r>
      </w:smartTag>
      <w:r w:rsidRPr="00513E62">
        <w:t xml:space="preserve">, en su condición de mecanismo nacional de prevención con arreglo al </w:t>
      </w:r>
      <w:r w:rsidRPr="00513E62">
        <w:rPr>
          <w:bCs/>
        </w:rPr>
        <w:t xml:space="preserve">Protocolo Facultativo de </w:t>
      </w:r>
      <w:smartTag w:uri="urn:schemas-microsoft-com:office:smarttags" w:element="PersonName">
        <w:smartTagPr>
          <w:attr w:name="ProductID" w:val="la Convenci￳n"/>
        </w:smartTagPr>
        <w:r w:rsidRPr="00513E62">
          <w:rPr>
            <w:bCs/>
          </w:rPr>
          <w:t>la Convención</w:t>
        </w:r>
      </w:smartTag>
      <w:r w:rsidRPr="00513E62">
        <w:rPr>
          <w:bCs/>
        </w:rPr>
        <w:t xml:space="preserve"> contra </w:t>
      </w:r>
      <w:smartTag w:uri="urn:schemas-microsoft-com:office:smarttags" w:element="PersonName">
        <w:smartTagPr>
          <w:attr w:name="ProductID" w:val="la Tortura"/>
        </w:smartTagPr>
        <w:r w:rsidRPr="00513E62">
          <w:rPr>
            <w:bCs/>
          </w:rPr>
          <w:t>la Tortura</w:t>
        </w:r>
      </w:smartTag>
      <w:r w:rsidRPr="00513E62">
        <w:rPr>
          <w:bCs/>
        </w:rPr>
        <w:t xml:space="preserve"> y Otros Tratos o Penas Crueles, Inhumanos o Degradantes</w:t>
      </w:r>
      <w:r w:rsidRPr="00513E62">
        <w:t xml:space="preserve">, participó en la capacitación que recibió el personal del citado centro para prevenir toda forma de maltrato y vulneración de los derechos humanos de los detenidos. Desde entonces, </w:t>
      </w:r>
      <w:smartTag w:uri="urn:schemas-microsoft-com:office:smarttags" w:element="PersonName">
        <w:smartTagPr>
          <w:attr w:name="ProductID" w:val="la Ombudsman"/>
        </w:smartTagPr>
        <w:r w:rsidRPr="00513E62">
          <w:t>la Ombudsman</w:t>
        </w:r>
      </w:smartTag>
      <w:r w:rsidRPr="00513E62">
        <w:t xml:space="preserve"> participa en todas las sesiones complementarias de capacitación en materia de derechos humanos dirigidas al personal policial.</w:t>
      </w:r>
    </w:p>
    <w:p w:rsidR="00CD2C0D" w:rsidRPr="00513E62" w:rsidRDefault="00CD2C0D" w:rsidP="00CD2C0D">
      <w:pPr>
        <w:pStyle w:val="H4G"/>
      </w:pPr>
      <w:r>
        <w:lastRenderedPageBreak/>
        <w:tab/>
      </w:r>
      <w:r>
        <w:tab/>
      </w:r>
      <w:r w:rsidRPr="00513E62">
        <w:t xml:space="preserve">Comité de Supervisión de los </w:t>
      </w:r>
      <w:r w:rsidR="003E5441" w:rsidRPr="00513E62">
        <w:t xml:space="preserve">Centros </w:t>
      </w:r>
      <w:r w:rsidRPr="00513E62">
        <w:t xml:space="preserve">de </w:t>
      </w:r>
      <w:r w:rsidR="003E5441" w:rsidRPr="00513E62">
        <w:t xml:space="preserve">Internamiento </w:t>
      </w:r>
      <w:r w:rsidRPr="00513E62">
        <w:t xml:space="preserve">de </w:t>
      </w:r>
      <w:r w:rsidR="003E5441" w:rsidRPr="00513E62">
        <w:t>Inmigrantes Prohibidos</w:t>
      </w:r>
    </w:p>
    <w:p w:rsidR="00CD2C0D" w:rsidRPr="00513E62" w:rsidRDefault="00CD2C0D" w:rsidP="00CD2C0D">
      <w:pPr>
        <w:pStyle w:val="SingleTxtG"/>
      </w:pPr>
      <w:r w:rsidRPr="00513E62">
        <w:t>69.</w:t>
      </w:r>
      <w:r w:rsidRPr="00513E62">
        <w:tab/>
        <w:t xml:space="preserve">En el artículo 5 de </w:t>
      </w:r>
      <w:smartTag w:uri="urn:schemas-microsoft-com:office:smarttags" w:element="PersonName">
        <w:smartTagPr>
          <w:attr w:name="ProductID" w:val="la Ley"/>
        </w:smartTagPr>
        <w:r w:rsidRPr="00513E62">
          <w:t xml:space="preserve">la </w:t>
        </w:r>
        <w:r w:rsidRPr="00AA7E5A">
          <w:t>Ley</w:t>
        </w:r>
      </w:smartTag>
      <w:r w:rsidRPr="00AA7E5A">
        <w:t xml:space="preserve"> de </w:t>
      </w:r>
      <w:r w:rsidR="00AA7E5A" w:rsidRPr="00AA7E5A">
        <w:t xml:space="preserve">Establecimiento </w:t>
      </w:r>
      <w:r w:rsidRPr="00AA7E5A">
        <w:t xml:space="preserve">y </w:t>
      </w:r>
      <w:r w:rsidR="00AA7E5A" w:rsidRPr="00AA7E5A">
        <w:t xml:space="preserve">Regulación </w:t>
      </w:r>
      <w:r w:rsidRPr="00AA7E5A">
        <w:t xml:space="preserve">de los </w:t>
      </w:r>
      <w:r w:rsidR="00AA7E5A" w:rsidRPr="00AA7E5A">
        <w:t xml:space="preserve">Locales </w:t>
      </w:r>
      <w:r w:rsidRPr="00AA7E5A">
        <w:t xml:space="preserve">para </w:t>
      </w:r>
      <w:r w:rsidR="00AA7E5A" w:rsidRPr="00AA7E5A">
        <w:t>Inmigrantes Prohibidos</w:t>
      </w:r>
      <w:r w:rsidR="00AA7E5A" w:rsidRPr="00513E62">
        <w:t xml:space="preserve"> </w:t>
      </w:r>
      <w:r w:rsidRPr="00513E62">
        <w:t>[</w:t>
      </w:r>
      <w:r w:rsidR="00AA7E5A">
        <w:t xml:space="preserve">núm. </w:t>
      </w:r>
      <w:proofErr w:type="spellStart"/>
      <w:r w:rsidRPr="00513E62">
        <w:t>L.83</w:t>
      </w:r>
      <w:proofErr w:type="spellEnd"/>
      <w:r w:rsidRPr="00513E62">
        <w:t xml:space="preserve">(1)/2011] se dispone que se establezca un comité para supervisar los centros de internamiento de inmigrantes prohibidos (Comité de Supervisión) por decisión del Consejo de Ministros (Decisión </w:t>
      </w:r>
      <w:r>
        <w:t>núm.</w:t>
      </w:r>
      <w:r w:rsidRPr="00513E62">
        <w:t xml:space="preserve"> 74.638, de 5 de febrero de 2013). En virtud de dicha </w:t>
      </w:r>
      <w:r w:rsidR="003E5441" w:rsidRPr="00513E62">
        <w:t>Ley</w:t>
      </w:r>
      <w:r w:rsidRPr="00513E62">
        <w:t>, el Comité visita los centros de internamiento de inmigrantes prohibidos al menos ocho veces al año y siempre que lo considere necesario con fines de supervisión.</w:t>
      </w:r>
    </w:p>
    <w:p w:rsidR="00CD2C0D" w:rsidRPr="00513E62" w:rsidRDefault="00CD2C0D" w:rsidP="00CD2C0D">
      <w:pPr>
        <w:pStyle w:val="H4G"/>
      </w:pPr>
      <w:r>
        <w:tab/>
      </w:r>
      <w:r>
        <w:tab/>
      </w:r>
      <w:r w:rsidRPr="00513E62">
        <w:t xml:space="preserve">Comité de Quejas del Centro de Internamiento de Inmigrantes Prohibidos de </w:t>
      </w:r>
      <w:proofErr w:type="spellStart"/>
      <w:r w:rsidRPr="00513E62">
        <w:t>Menoyia</w:t>
      </w:r>
      <w:proofErr w:type="spellEnd"/>
    </w:p>
    <w:p w:rsidR="00CD2C0D" w:rsidRPr="00513E62" w:rsidRDefault="00CD2C0D" w:rsidP="00CD2C0D">
      <w:pPr>
        <w:pStyle w:val="SingleTxtG"/>
      </w:pPr>
      <w:r w:rsidRPr="00513E62">
        <w:t>70.</w:t>
      </w:r>
      <w:r w:rsidRPr="00513E62">
        <w:tab/>
        <w:t xml:space="preserve">El presente Comité se estableció por decisión ministerial de 5 de mayo de 2013, en virtud del artículo 28 del </w:t>
      </w:r>
      <w:r w:rsidRPr="00AA7E5A">
        <w:t xml:space="preserve">Reglamento de </w:t>
      </w:r>
      <w:r w:rsidR="00AA7E5A" w:rsidRPr="00AA7E5A">
        <w:t xml:space="preserve">Establecimiento </w:t>
      </w:r>
      <w:r w:rsidRPr="00AA7E5A">
        <w:t xml:space="preserve">y </w:t>
      </w:r>
      <w:r w:rsidR="00AA7E5A" w:rsidRPr="00AA7E5A">
        <w:t xml:space="preserve">Regulación </w:t>
      </w:r>
      <w:r w:rsidRPr="00AA7E5A">
        <w:t xml:space="preserve">de los </w:t>
      </w:r>
      <w:r w:rsidR="00AA7E5A" w:rsidRPr="00AA7E5A">
        <w:t xml:space="preserve">Locales </w:t>
      </w:r>
      <w:r w:rsidRPr="00AA7E5A">
        <w:t xml:space="preserve">para </w:t>
      </w:r>
      <w:r w:rsidR="00AA7E5A" w:rsidRPr="00AA7E5A">
        <w:t>Inmigrantes Ilegales</w:t>
      </w:r>
      <w:r w:rsidR="00AA7E5A" w:rsidRPr="00513E62">
        <w:t xml:space="preserve"> </w:t>
      </w:r>
      <w:r>
        <w:t>núm.</w:t>
      </w:r>
      <w:r w:rsidRPr="00513E62">
        <w:t xml:space="preserve"> 161/2011, en el cual se dispone que el Ministro de Justicia y Orden Público nombre un comité de quejas compuesto por tres miembros (representantes del Ministerio de Salud, del Ministerio del Interior y del Ministerio de Trabajo y Seguridad Social). Este </w:t>
      </w:r>
      <w:r w:rsidR="00F5410C" w:rsidRPr="00513E62">
        <w:t>Comité</w:t>
      </w:r>
      <w:r w:rsidRPr="00513E62">
        <w:t>, ya sea por iniciativa propia o previa queja de un deten</w:t>
      </w:r>
      <w:r w:rsidR="00F5410C">
        <w:t>ido, puede: a) </w:t>
      </w:r>
      <w:r w:rsidRPr="00513E62">
        <w:t>volver a examinar la decisión del director del centro de internamiento</w:t>
      </w:r>
      <w:r w:rsidR="00F5410C">
        <w:t>,</w:t>
      </w:r>
      <w:r w:rsidRPr="00513E62">
        <w:t xml:space="preserve"> y b) examinar las quejas de los detenidos con respecto a las condiciones de detención y de trato. Los detenidos pueden: a) recurrir decisiones del director del centro</w:t>
      </w:r>
      <w:r w:rsidR="00F5410C">
        <w:t>,</w:t>
      </w:r>
      <w:r w:rsidRPr="00513E62">
        <w:t xml:space="preserve"> o b) presentar una queja por cualquier asunto relacionado con las condiciones de detenci</w:t>
      </w:r>
      <w:r w:rsidR="00843AC3">
        <w:t>ón o de trato, dentro de los 15 </w:t>
      </w:r>
      <w:r w:rsidRPr="00513E62">
        <w:t>días siguientes a la fecha en que se hubo adoptado la decisión o en que tuvo lugar el acto, la omisión o el trato que motivó la queja. El Comité, antes de tomar una decisión, escucha a ambas partes (ya sea en audiencia o por escrito) dentro de los 15 días siguientes a la fecha de la apelación o la presentación de la queja, y puede suspender la decisión del director del centro de internamiento hasta que se haya ultimado el procedimiento de revisión. En cada pabellón del centro de internamiento hay un buzón de quejas al que tienen libre acceso los detenidos. El director del centro de internamiento tiene la obligación de transmitir inmediatamente al Comité de Quejas cualquier queja presentada verbalmente por cualquier persona detenida por medio de una llamada telefónica o por fax.</w:t>
      </w:r>
    </w:p>
    <w:p w:rsidR="00CD2C0D" w:rsidRPr="00513E62" w:rsidRDefault="00CD2C0D" w:rsidP="00CD2C0D">
      <w:pPr>
        <w:pStyle w:val="H23G"/>
      </w:pPr>
      <w:r>
        <w:tab/>
      </w:r>
      <w:r w:rsidRPr="00513E62">
        <w:t>b)</w:t>
      </w:r>
      <w:r w:rsidRPr="00513E62">
        <w:tab/>
        <w:t>El derecho a la seguridad personal y a la protección</w:t>
      </w:r>
      <w:r>
        <w:t xml:space="preserve"> del Estado contra todo acto de </w:t>
      </w:r>
      <w:r w:rsidRPr="00513E62">
        <w:t>violencia o atentado contra la integridad personal cometido por funcionarios públicos o por cualquier individuo, grupo o institución</w:t>
      </w:r>
    </w:p>
    <w:p w:rsidR="00CD2C0D" w:rsidRPr="00513E62" w:rsidRDefault="00CD2C0D" w:rsidP="00CD2C0D">
      <w:pPr>
        <w:pStyle w:val="SingleTxtG"/>
      </w:pPr>
      <w:r w:rsidRPr="00513E62">
        <w:t xml:space="preserve">[Véase también el presente informe, artículo </w:t>
      </w:r>
      <w:proofErr w:type="spellStart"/>
      <w:r w:rsidRPr="00513E62">
        <w:t>5.A</w:t>
      </w:r>
      <w:proofErr w:type="spellEnd"/>
      <w:r w:rsidRPr="00513E62">
        <w:t>. Los datos estadísticos figuran en los anexos A y B</w:t>
      </w:r>
      <w:r>
        <w:t>.</w:t>
      </w:r>
      <w:r w:rsidRPr="00513E62">
        <w:t>]</w:t>
      </w:r>
    </w:p>
    <w:p w:rsidR="00CD2C0D" w:rsidRPr="00513E62" w:rsidRDefault="00CD2C0D" w:rsidP="00CD2C0D">
      <w:pPr>
        <w:pStyle w:val="SingleTxtG"/>
      </w:pPr>
      <w:r w:rsidRPr="00513E62">
        <w:t>[Véase también el informe anterior, párr</w:t>
      </w:r>
      <w:r w:rsidR="003E5441">
        <w:t>afo</w:t>
      </w:r>
      <w:r w:rsidRPr="00513E62">
        <w:t>s 61 y 72</w:t>
      </w:r>
      <w:r>
        <w:t>.</w:t>
      </w:r>
      <w:r w:rsidRPr="00513E62">
        <w:t>]</w:t>
      </w:r>
    </w:p>
    <w:p w:rsidR="00CD2C0D" w:rsidRPr="00513E62" w:rsidRDefault="00CD2C0D" w:rsidP="00CD2C0D">
      <w:pPr>
        <w:pStyle w:val="SingleTxtG"/>
      </w:pPr>
      <w:r w:rsidRPr="00513E62">
        <w:t>71.</w:t>
      </w:r>
      <w:r w:rsidRPr="00513E62">
        <w:tab/>
        <w:t>En mayo de 2014, tuvo lugar, en Nicosia, un seminario práctico de cuatro días de duración, cofinanciado por el Programa Anual de 2012 del Fondo Europeo para los Refugiados, cuya finalidad era concienciar e informar al personal de plantilla que se ocupaba de la documentación y la investigación de las denuncias de tortura y malos tratos, para que estuviera alerta ante los indicios de tortura y malos tratos.</w:t>
      </w:r>
    </w:p>
    <w:p w:rsidR="00CD2C0D" w:rsidRPr="00513E62" w:rsidRDefault="00CD2C0D" w:rsidP="00CD2C0D">
      <w:pPr>
        <w:pStyle w:val="SingleTxtG"/>
      </w:pPr>
      <w:r w:rsidRPr="00513E62">
        <w:t>72.</w:t>
      </w:r>
      <w:r w:rsidRPr="00513E62">
        <w:tab/>
        <w:t xml:space="preserve">El curso de capacitación de funcionarios (personal médico, psicólogos, etc.) en el diagnóstico de las necesidades especiales de las víctimas de tortura que requieren protección internacional tenía por objeto capacitarlos para aplicar el Protocolo de Estambul a dicho diagnóstico. Asistieron al curso los miembros del Consejo Médico, los funcionarios del Servicio de Asilo y </w:t>
      </w:r>
      <w:smartTag w:uri="urn:schemas-microsoft-com:office:smarttags" w:element="PersonName">
        <w:smartTagPr>
          <w:attr w:name="ProductID" w:val="la Direcci￳n"/>
        </w:smartTagPr>
        <w:r w:rsidRPr="00513E62">
          <w:t>la Dirección</w:t>
        </w:r>
      </w:smartTag>
      <w:r w:rsidRPr="00513E62">
        <w:t xml:space="preserve"> encargada de examinar la situación de los refugiados y el personal del centro de acogida de </w:t>
      </w:r>
      <w:proofErr w:type="spellStart"/>
      <w:r w:rsidRPr="00513E62">
        <w:t>Kofinou</w:t>
      </w:r>
      <w:proofErr w:type="spellEnd"/>
      <w:r w:rsidRPr="00513E62">
        <w:t>. Se ha previsto impartir más capacitación sobre ese tema en la programación del Fondo de Asilo, Migración e Integración para el período 2014-2020.</w:t>
      </w:r>
    </w:p>
    <w:p w:rsidR="00CD2C0D" w:rsidRPr="00513E62" w:rsidRDefault="00CD2C0D" w:rsidP="00CD2C0D">
      <w:pPr>
        <w:pStyle w:val="SingleTxtG"/>
      </w:pPr>
      <w:r w:rsidRPr="00513E62">
        <w:lastRenderedPageBreak/>
        <w:t>73.</w:t>
      </w:r>
      <w:r w:rsidRPr="00513E62">
        <w:tab/>
        <w:t xml:space="preserve">En el marco del Programa de Apoyo Especial a Chipre de </w:t>
      </w:r>
      <w:smartTag w:uri="urn:schemas-microsoft-com:office:smarttags" w:element="PersonName">
        <w:smartTagPr>
          <w:attr w:name="ProductID" w:val="la Oficina Europea"/>
        </w:smartTagPr>
        <w:r w:rsidRPr="00513E62">
          <w:t>la Oficina Europea</w:t>
        </w:r>
      </w:smartTag>
      <w:r w:rsidRPr="00513E62">
        <w:t xml:space="preserve"> de Apoyo al Asilo, atendiendo a las observaciones y las recomendaciones del </w:t>
      </w:r>
      <w:r w:rsidRPr="00513E62">
        <w:rPr>
          <w:bCs/>
        </w:rPr>
        <w:t xml:space="preserve">Comité Europeo para </w:t>
      </w:r>
      <w:smartTag w:uri="urn:schemas-microsoft-com:office:smarttags" w:element="PersonName">
        <w:r w:rsidRPr="00513E62">
          <w:rPr>
            <w:bCs/>
          </w:rPr>
          <w:t>la Prevención</w:t>
        </w:r>
      </w:smartTag>
      <w:r w:rsidRPr="00513E62">
        <w:rPr>
          <w:bCs/>
        </w:rPr>
        <w:t xml:space="preserve"> de </w:t>
      </w:r>
      <w:smartTag w:uri="urn:schemas-microsoft-com:office:smarttags" w:element="PersonName">
        <w:smartTagPr>
          <w:attr w:name="ProductID" w:val="la Tortura"/>
        </w:smartTagPr>
        <w:r w:rsidRPr="00513E62">
          <w:rPr>
            <w:bCs/>
          </w:rPr>
          <w:t>la Tortura</w:t>
        </w:r>
      </w:smartTag>
      <w:r w:rsidRPr="00513E62">
        <w:rPr>
          <w:bCs/>
        </w:rPr>
        <w:t xml:space="preserve"> y de las Penas o Tratos Inhumanos o Degradantes</w:t>
      </w:r>
      <w:r w:rsidRPr="00513E62">
        <w:t xml:space="preserve"> y en virtud de lo dispuesto en el Protocolo de Estambul en materia de examen y documentación efectivos de la tortura y otros tratos o penas crueles, inhumanos o degradantes, se han programado una serie de sesiones de capacitación para concienciar a los profesionales de los servicios de salud que participan en el proceso de examen de las presuntas víctimas de tortura. Actualmente se prepara material orientativo a los efectos. Los citados profesionales deberían contar con la experiencia técnica necesaria para documentar objetivamente sus dictámenes. La documentación de los dictámenes sobre el estado físico y psicológico de los examinados se debería basar en los conocimientos adquiridos mediante una capacitación esencial de carácter cont</w:t>
      </w:r>
      <w:r w:rsidR="00843AC3">
        <w:t>inuo.</w:t>
      </w:r>
    </w:p>
    <w:p w:rsidR="00CD2C0D" w:rsidRPr="00513E62" w:rsidRDefault="00CD2C0D" w:rsidP="00CD2C0D">
      <w:pPr>
        <w:pStyle w:val="SingleTxtG"/>
      </w:pPr>
      <w:r w:rsidRPr="00513E62">
        <w:t>74.</w:t>
      </w:r>
      <w:r w:rsidRPr="00513E62">
        <w:tab/>
      </w:r>
      <w:smartTag w:uri="urn:schemas-microsoft-com:office:smarttags" w:element="PersonName">
        <w:smartTagPr>
          <w:attr w:name="ProductID" w:val="la Ombudsman"/>
        </w:smartTagPr>
        <w:r w:rsidRPr="00513E62">
          <w:t>La Ombudsman</w:t>
        </w:r>
      </w:smartTag>
      <w:r w:rsidRPr="00513E62">
        <w:t xml:space="preserve"> presentó un informe (marzo de 2015) en el que solicitaba mantener consultas con las autoridades competentes en relación con el proceso de examen de las denuncias de tortura durante el procedimiento de asilo. Subrayó que había que adoptar unas normas y unos procedimientos claros, que estuvieran basados en el Protocolo de Estambul, ofrecieran las garantías necesarias de evaluación eficiente y objetiva y tuvieran en cuenta debidamente los parámetros psicológicos y culturales de cada caso. Después de que se hubo presentado dicho informe, se celebraron dos reuniones con las autoridades competentes (abril y septiembre de 2015). </w:t>
      </w:r>
      <w:smartTag w:uri="urn:schemas-microsoft-com:office:smarttags" w:element="PersonName">
        <w:smartTagPr>
          <w:attr w:name="ProductID" w:val="la Ombudsman"/>
        </w:smartTagPr>
        <w:r w:rsidRPr="00513E62">
          <w:t>La Ombudsman</w:t>
        </w:r>
      </w:smartTag>
      <w:r w:rsidRPr="00513E62">
        <w:t xml:space="preserve"> recalcó que la evaluación psicológica debía formar parte del proceso, la capacitación del personal médico participante debería ser continua y se deberían proporcionar los servicios de interpretación oportunos. El Ministerio de Salud ha tomado medidas y está en vías de aplicar un nuevo procedimiento de evaluación.</w:t>
      </w:r>
    </w:p>
    <w:p w:rsidR="00CD2C0D" w:rsidRPr="00513E62" w:rsidRDefault="00CD2C0D" w:rsidP="00CD2C0D">
      <w:pPr>
        <w:pStyle w:val="H23G"/>
      </w:pPr>
      <w:r>
        <w:tab/>
      </w:r>
      <w:r w:rsidRPr="00513E62">
        <w:t>c)</w:t>
      </w:r>
      <w:r w:rsidRPr="00513E62">
        <w:tab/>
        <w:t>Derechos políticos, en particular el de tomar parte en elecciones, elegir y ser elegido</w:t>
      </w:r>
      <w:r>
        <w:t> </w:t>
      </w:r>
      <w:r w:rsidRPr="00513E62">
        <w:t>sobre la base del sufragio universal e igual</w:t>
      </w:r>
    </w:p>
    <w:p w:rsidR="00CD2C0D" w:rsidRPr="00513E62" w:rsidRDefault="00CD2C0D" w:rsidP="00CD2C0D">
      <w:pPr>
        <w:pStyle w:val="SingleTxtG"/>
      </w:pPr>
      <w:r w:rsidRPr="00513E62">
        <w:t>75.</w:t>
      </w:r>
      <w:r w:rsidRPr="00513E62">
        <w:tab/>
        <w:t xml:space="preserve">Ni en </w:t>
      </w:r>
      <w:smartTag w:uri="urn:schemas-microsoft-com:office:smarttags" w:element="PersonName">
        <w:smartTagPr>
          <w:attr w:name="ProductID" w:val="la Ley"/>
        </w:smartTagPr>
        <w:r w:rsidRPr="00513E62">
          <w:t>la Ley</w:t>
        </w:r>
      </w:smartTag>
      <w:r w:rsidRPr="00513E62">
        <w:t xml:space="preserve"> del </w:t>
      </w:r>
      <w:r w:rsidR="00AA7E5A" w:rsidRPr="00513E62">
        <w:t xml:space="preserve">Registro Civil </w:t>
      </w:r>
      <w:r w:rsidRPr="00513E62">
        <w:t>[</w:t>
      </w:r>
      <w:r w:rsidR="00AA7E5A">
        <w:t xml:space="preserve">núm. </w:t>
      </w:r>
      <w:proofErr w:type="spellStart"/>
      <w:r w:rsidRPr="00513E62">
        <w:t>L.14</w:t>
      </w:r>
      <w:r w:rsidR="003E5441">
        <w:t>1</w:t>
      </w:r>
      <w:proofErr w:type="spellEnd"/>
      <w:r w:rsidRPr="00513E62">
        <w:t>(I)/2002, reformada] ni en la política aplicada en relación con el procedimiento de naturalización se permite ninguna discriminación por motivos de etnia u origen. Todas las solicitudes se examinan atendiendo a su fondo y se aprueban cuando se cumplen los criterios pertinentes.</w:t>
      </w:r>
    </w:p>
    <w:p w:rsidR="00CD2C0D" w:rsidRPr="00513E62" w:rsidRDefault="00CD2C0D" w:rsidP="00CD2C0D">
      <w:pPr>
        <w:pStyle w:val="SingleTxtG"/>
      </w:pPr>
      <w:r w:rsidRPr="00513E62">
        <w:t>76.</w:t>
      </w:r>
      <w:r w:rsidRPr="00513E62">
        <w:tab/>
        <w:t>En virtud de una ley de enmienda [</w:t>
      </w:r>
      <w:r w:rsidR="00AA7E5A">
        <w:t xml:space="preserve">núm. </w:t>
      </w:r>
      <w:proofErr w:type="spellStart"/>
      <w:r w:rsidRPr="00513E62">
        <w:t>L.35</w:t>
      </w:r>
      <w:proofErr w:type="spellEnd"/>
      <w:r w:rsidRPr="00513E62">
        <w:t xml:space="preserve">(I)/2014] de </w:t>
      </w:r>
      <w:smartTag w:uri="urn:schemas-microsoft-com:office:smarttags" w:element="PersonName">
        <w:smartTagPr>
          <w:attr w:name="ProductID" w:val="la Ley"/>
        </w:smartTagPr>
        <w:r w:rsidRPr="00513E62">
          <w:t xml:space="preserve">la </w:t>
        </w:r>
        <w:r w:rsidRPr="00AA7E5A">
          <w:t>Ley</w:t>
        </w:r>
      </w:smartTag>
      <w:r w:rsidRPr="00AA7E5A">
        <w:t xml:space="preserve"> de </w:t>
      </w:r>
      <w:r w:rsidR="00AA7E5A" w:rsidRPr="00AA7E5A">
        <w:t xml:space="preserve">Elección </w:t>
      </w:r>
      <w:r w:rsidRPr="00AA7E5A">
        <w:t xml:space="preserve">de </w:t>
      </w:r>
      <w:r w:rsidR="00AA7E5A" w:rsidRPr="00AA7E5A">
        <w:t xml:space="preserve">Miembros </w:t>
      </w:r>
      <w:r w:rsidRPr="00AA7E5A">
        <w:t>del Parlamento Europeo</w:t>
      </w:r>
      <w:r w:rsidRPr="00513E62">
        <w:t xml:space="preserve"> [</w:t>
      </w:r>
      <w:r w:rsidR="00AA7E5A">
        <w:t xml:space="preserve">núm. </w:t>
      </w:r>
      <w:proofErr w:type="spellStart"/>
      <w:r w:rsidRPr="00513E62">
        <w:t>L.10</w:t>
      </w:r>
      <w:proofErr w:type="spellEnd"/>
      <w:r w:rsidRPr="00513E62">
        <w:t xml:space="preserve">(I)/2004, reformada], en el artículo 9 de esta </w:t>
      </w:r>
      <w:r w:rsidR="00AA7E5A" w:rsidRPr="00513E62">
        <w:t xml:space="preserve">Ley </w:t>
      </w:r>
      <w:r w:rsidRPr="00513E62">
        <w:t xml:space="preserve">se prevé que todos los ciudadanos chipriotas residentes en las zonas de Chipre controladas por el Gobierno tengan los mismos derechos electorales. En dicha </w:t>
      </w:r>
      <w:r w:rsidR="00AA7E5A" w:rsidRPr="00513E62">
        <w:t xml:space="preserve">Ley </w:t>
      </w:r>
      <w:r w:rsidRPr="00513E62">
        <w:t xml:space="preserve">se prevé la inclusión automática, en las listas electorales, de todos los ciudadanos que tengan un carné de identidad de </w:t>
      </w:r>
      <w:smartTag w:uri="urn:schemas-microsoft-com:office:smarttags" w:element="PersonName">
        <w:smartTagPr>
          <w:attr w:name="ProductID" w:val="la Ley L.185"/>
        </w:smartTagPr>
        <w:r w:rsidRPr="00513E62">
          <w:t>la República</w:t>
        </w:r>
      </w:smartTag>
      <w:r w:rsidRPr="00513E62">
        <w:t xml:space="preserve"> de Chipre con un domicilio declarado, con arreglo a la información que figure en el sistema de registro civil, y residan en zonas que no estén bajo control efectivo del Gobierno. En cumplimiento de esa disposición legislativa, 58.637 turcochipriotas, de los 95.000 aproximadamente que han obtenido un carné de identidad de </w:t>
      </w:r>
      <w:smartTag w:uri="urn:schemas-microsoft-com:office:smarttags" w:element="PersonName">
        <w:smartTagPr>
          <w:attr w:name="ProductID" w:val="la Ley L.185"/>
        </w:smartTagPr>
        <w:r w:rsidRPr="00513E62">
          <w:t>la República</w:t>
        </w:r>
      </w:smartTag>
      <w:r w:rsidRPr="00513E62">
        <w:t xml:space="preserve"> de Chipre expedido por el sistema de registro civil, han sido trasladados automáticamente a la lista para las elecciones europeas.</w:t>
      </w:r>
    </w:p>
    <w:p w:rsidR="00CD2C0D" w:rsidRPr="00513E62" w:rsidRDefault="00CD2C0D" w:rsidP="00CD2C0D">
      <w:pPr>
        <w:pStyle w:val="H23G"/>
      </w:pPr>
      <w:r>
        <w:tab/>
      </w:r>
      <w:r w:rsidRPr="00513E62">
        <w:t>d)</w:t>
      </w:r>
      <w:r w:rsidRPr="00513E62">
        <w:tab/>
        <w:t>Otros derechos civiles</w:t>
      </w:r>
    </w:p>
    <w:p w:rsidR="00CD2C0D" w:rsidRPr="00513E62" w:rsidRDefault="00CD2C0D" w:rsidP="00CD2C0D">
      <w:pPr>
        <w:pStyle w:val="SingleTxtG"/>
      </w:pPr>
      <w:r w:rsidRPr="00513E62">
        <w:t>77.</w:t>
      </w:r>
      <w:r w:rsidRPr="00513E62">
        <w:tab/>
        <w:t xml:space="preserve">En virtud del artículo 110, párrafo 2), de </w:t>
      </w:r>
      <w:smartTag w:uri="urn:schemas-microsoft-com:office:smarttags" w:element="PersonName">
        <w:smartTagPr>
          <w:attr w:name="ProductID" w:val="la Ley"/>
        </w:smartTagPr>
        <w:r w:rsidRPr="00513E62">
          <w:t xml:space="preserve">la </w:t>
        </w:r>
        <w:r w:rsidRPr="00F5410C">
          <w:t>Ley</w:t>
        </w:r>
      </w:smartTag>
      <w:r w:rsidRPr="00F5410C">
        <w:t xml:space="preserve"> del </w:t>
      </w:r>
      <w:r w:rsidR="00AA7E5A" w:rsidRPr="00F5410C">
        <w:t>Registro Civil</w:t>
      </w:r>
      <w:r w:rsidR="00AA7E5A" w:rsidRPr="00513E62">
        <w:t xml:space="preserve"> </w:t>
      </w:r>
      <w:r w:rsidRPr="00513E62">
        <w:t>[</w:t>
      </w:r>
      <w:r w:rsidR="00AA7E5A">
        <w:t>núm. </w:t>
      </w:r>
      <w:proofErr w:type="spellStart"/>
      <w:r w:rsidRPr="00513E62">
        <w:t>L.141</w:t>
      </w:r>
      <w:proofErr w:type="spellEnd"/>
      <w:r w:rsidRPr="00513E62">
        <w:t xml:space="preserve">(I)/2002, reformada], el Ministro del Interior podrá, cuando se cumplan determinadas condiciones, otorgar la ciudadanía a los cónyuges de ciudadanos chipriotas que residan ilegalmente en las zonas que estén bajo control efectivo del Gobierno de </w:t>
      </w:r>
      <w:smartTag w:uri="urn:schemas-microsoft-com:office:smarttags" w:element="PersonName">
        <w:smartTagPr>
          <w:attr w:name="ProductID" w:val="la Ley L.185"/>
        </w:smartTagPr>
        <w:r w:rsidRPr="00513E62">
          <w:t>la República</w:t>
        </w:r>
      </w:smartTag>
      <w:r w:rsidRPr="00513E62">
        <w:t xml:space="preserve"> de Chipre.</w:t>
      </w:r>
    </w:p>
    <w:p w:rsidR="00CD2C0D" w:rsidRPr="00513E62" w:rsidRDefault="00CD2C0D" w:rsidP="00CD2C0D">
      <w:pPr>
        <w:pStyle w:val="H4G"/>
      </w:pPr>
      <w:r>
        <w:lastRenderedPageBreak/>
        <w:tab/>
      </w:r>
      <w:r>
        <w:tab/>
      </w:r>
      <w:r w:rsidRPr="00513E62">
        <w:t>Procedimiento de asilo</w:t>
      </w:r>
    </w:p>
    <w:p w:rsidR="00CD2C0D" w:rsidRPr="00513E62" w:rsidRDefault="00CD2C0D" w:rsidP="00CD2C0D">
      <w:pPr>
        <w:pStyle w:val="SingleTxtG"/>
      </w:pPr>
      <w:r w:rsidRPr="00513E62">
        <w:t>78.</w:t>
      </w:r>
      <w:r w:rsidRPr="00513E62">
        <w:tab/>
        <w:t>El Servicio de Asilo, al examinar las solicitudes de protección internacional, toma en consideración la información del país de origen que sea más reciente, válida y digna de crédito, sobre todo la procedente del Portal Común de la</w:t>
      </w:r>
      <w:r w:rsidR="00980D59">
        <w:t xml:space="preserve"> Unión Europea</w:t>
      </w:r>
      <w:r w:rsidRPr="00513E62">
        <w:t xml:space="preserve"> de Información sobre el País de Origen (administrado por </w:t>
      </w:r>
      <w:smartTag w:uri="urn:schemas-microsoft-com:office:smarttags" w:element="PersonName">
        <w:smartTagPr>
          <w:attr w:name="ProductID" w:val="la Oficina Europea"/>
        </w:smartTagPr>
        <w:smartTag w:uri="urn:schemas-microsoft-com:office:smarttags" w:element="PersonName">
          <w:smartTagPr>
            <w:attr w:name="ProductID" w:val="la Oficina"/>
          </w:smartTagPr>
          <w:r w:rsidRPr="00513E62">
            <w:t>la Oficina</w:t>
          </w:r>
        </w:smartTag>
        <w:r w:rsidRPr="00513E62">
          <w:t xml:space="preserve"> Europea</w:t>
        </w:r>
      </w:smartTag>
      <w:r w:rsidRPr="00513E62">
        <w:t xml:space="preserve"> de Apoyo al Asilo) y del ACNUR.</w:t>
      </w:r>
    </w:p>
    <w:p w:rsidR="00CD2C0D" w:rsidRPr="00513E62" w:rsidRDefault="00CD2C0D" w:rsidP="00CD2C0D">
      <w:pPr>
        <w:pStyle w:val="SingleTxtG"/>
      </w:pPr>
      <w:r w:rsidRPr="00513E62">
        <w:t>79.</w:t>
      </w:r>
      <w:r w:rsidRPr="00513E62">
        <w:tab/>
        <w:t xml:space="preserve">Según </w:t>
      </w:r>
      <w:proofErr w:type="spellStart"/>
      <w:r w:rsidRPr="00513E62">
        <w:t>Eurostat</w:t>
      </w:r>
      <w:proofErr w:type="spellEnd"/>
      <w:r w:rsidRPr="00513E62">
        <w:t>, Chipre ocupa el tercer puesto de los Estados miembros de la</w:t>
      </w:r>
      <w:r w:rsidR="00980D59">
        <w:t xml:space="preserve"> Unión Europea</w:t>
      </w:r>
      <w:r w:rsidRPr="00513E62">
        <w:t xml:space="preserve"> en materia de prestación de protección internacional </w:t>
      </w:r>
      <w:r w:rsidRPr="00843AC3">
        <w:t>(http://</w:t>
      </w:r>
      <w:proofErr w:type="spellStart"/>
      <w:r w:rsidRPr="00843AC3">
        <w:t>www.euronews.com</w:t>
      </w:r>
      <w:proofErr w:type="spellEnd"/>
      <w:r w:rsidRPr="00843AC3">
        <w:t>/</w:t>
      </w:r>
      <w:r w:rsidR="00843AC3">
        <w:br/>
      </w:r>
      <w:r w:rsidRPr="00843AC3">
        <w:t>2015/04/20/data-raises-questions-over-eu-s-attitude-towards-asylum-seekers/#.VTZd-wnZz</w:t>
      </w:r>
      <w:r w:rsidR="00843AC3">
        <w:br/>
      </w:r>
      <w:proofErr w:type="spellStart"/>
      <w:r w:rsidRPr="00843AC3">
        <w:t>0s.email</w:t>
      </w:r>
      <w:proofErr w:type="spellEnd"/>
      <w:r w:rsidRPr="00843AC3">
        <w:t xml:space="preserve">). </w:t>
      </w:r>
      <w:r w:rsidRPr="00513E62">
        <w:t>Durante 2014, Chipre recibió 1.305 solicitudes de protección internacional de sirios, de los cuales 995 obtuvieron decisiones favorables (de concesión de la condición de refugiado o de protección subsidiaria). Esos sirios, que habían fundamentado su temor a sufrir persecución personal, tienen derecho a la condición de refugiado (es el caso, por ejemplo, de los palestinos apátridas de Siria). En general, no se aplica el procedimiento de devolución a los sirios.</w:t>
      </w:r>
    </w:p>
    <w:p w:rsidR="00CD2C0D" w:rsidRPr="00513E62" w:rsidRDefault="00CD2C0D" w:rsidP="00CD2C0D">
      <w:pPr>
        <w:pStyle w:val="SingleTxtG"/>
      </w:pPr>
      <w:r w:rsidRPr="00513E62">
        <w:t>80.</w:t>
      </w:r>
      <w:r w:rsidRPr="00513E62">
        <w:tab/>
        <w:t xml:space="preserve">En virtud de los artículos </w:t>
      </w:r>
      <w:smartTag w:uri="urn:schemas-microsoft-com:office:smarttags" w:element="metricconverter">
        <w:smartTagPr>
          <w:attr w:name="ProductID" w:val="4 a"/>
        </w:smartTagPr>
        <w:r w:rsidRPr="00513E62">
          <w:t>4 a</w:t>
        </w:r>
      </w:smartTag>
      <w:r w:rsidRPr="00513E62">
        <w:t>) y 29, párrafo 4, de</w:t>
      </w:r>
      <w:r w:rsidR="00F5410C">
        <w:t xml:space="preserve"> la</w:t>
      </w:r>
      <w:r w:rsidR="00843AC3">
        <w:t>s</w:t>
      </w:r>
      <w:r w:rsidR="00F5410C">
        <w:t xml:space="preserve"> </w:t>
      </w:r>
      <w:r w:rsidR="00843AC3">
        <w:t xml:space="preserve">Leyes </w:t>
      </w:r>
      <w:r w:rsidR="00F5410C">
        <w:t xml:space="preserve">de </w:t>
      </w:r>
      <w:r w:rsidR="00843AC3">
        <w:t xml:space="preserve">Refugiados </w:t>
      </w:r>
      <w:r w:rsidR="00F5410C">
        <w:t>de 2000</w:t>
      </w:r>
      <w:r w:rsidR="00F5410C">
        <w:noBreakHyphen/>
      </w:r>
      <w:r w:rsidRPr="00513E62">
        <w:t xml:space="preserve">2014, ningún solicitante o beneficiario de protección internacional será deportado o enviado a un país donde su vida o su libertad corran peligro o donde pueda ser sometido a tortura u otro trato cruel, inhumano o degradante o sufrir persecución por motivos de sexo, raza, religión, nacionalidad, pertenencia a determinado grupo social o convicciones políticas. Las autoridades respetan íntegramente tanto el principio de no devolución como el derecho de acceder a los procedimientos de asilo en </w:t>
      </w:r>
      <w:smartTag w:uri="urn:schemas-microsoft-com:office:smarttags" w:element="PersonName">
        <w:smartTagPr>
          <w:attr w:name="ProductID" w:val="la Ley L.185"/>
        </w:smartTagPr>
        <w:r w:rsidRPr="00513E62">
          <w:t>la República</w:t>
        </w:r>
      </w:smartTag>
      <w:r w:rsidRPr="00513E62">
        <w:t xml:space="preserve"> de Chipre.</w:t>
      </w:r>
    </w:p>
    <w:p w:rsidR="00CD2C0D" w:rsidRPr="00513E62" w:rsidRDefault="00CD2C0D" w:rsidP="00CD2C0D">
      <w:pPr>
        <w:pStyle w:val="SingleTxtG"/>
      </w:pPr>
      <w:r w:rsidRPr="00513E62">
        <w:t>81.</w:t>
      </w:r>
      <w:r w:rsidRPr="00513E62">
        <w:tab/>
        <w:t xml:space="preserve">Por lo que respecta a los derechos laborales, se prevé introducir una enmienda a </w:t>
      </w:r>
      <w:smartTag w:uri="urn:schemas-microsoft-com:office:smarttags" w:element="PersonName">
        <w:smartTagPr>
          <w:attr w:name="ProductID" w:val="la Ley"/>
        </w:smartTagPr>
        <w:r w:rsidRPr="00513E62">
          <w:t>la Ley</w:t>
        </w:r>
      </w:smartTag>
      <w:r w:rsidRPr="00513E62">
        <w:t xml:space="preserve"> de </w:t>
      </w:r>
      <w:r w:rsidR="00AA7E5A" w:rsidRPr="00513E62">
        <w:t>Refugiados</w:t>
      </w:r>
      <w:r w:rsidRPr="00513E62">
        <w:t xml:space="preserve">, a fin de armonizar la legislación chipriota con </w:t>
      </w:r>
      <w:smartTag w:uri="urn:schemas-microsoft-com:office:smarttags" w:element="PersonName">
        <w:smartTagPr>
          <w:attr w:name="ProductID" w:val="la Directiva"/>
        </w:smartTagPr>
        <w:r w:rsidRPr="00513E62">
          <w:t>la Directiva</w:t>
        </w:r>
      </w:smartTag>
      <w:r w:rsidRPr="00513E62">
        <w:t xml:space="preserve"> </w:t>
      </w:r>
      <w:r w:rsidR="00306C8D">
        <w:t>núm. </w:t>
      </w:r>
      <w:r w:rsidRPr="00513E62">
        <w:t>2013/33/UE del Parlamento Europeo y del Consejo por la que se aprueban normas para la acogida de los solicitantes de protección internacional, lo que facilitará a los solicitantes de protección internacional la obtención de acceso efectivo al mercado laboral. El proyecto de ley de enmienda lo estudian actualmente los ministerios competentes y se elevará al Consejo de Ministros para que lo examine.</w:t>
      </w:r>
    </w:p>
    <w:p w:rsidR="00CD2C0D" w:rsidRPr="00513E62" w:rsidRDefault="00CD2C0D" w:rsidP="00CD2C0D">
      <w:pPr>
        <w:pStyle w:val="H4G"/>
      </w:pPr>
      <w:r>
        <w:tab/>
      </w:r>
      <w:r>
        <w:tab/>
      </w:r>
      <w:r w:rsidRPr="00513E62">
        <w:t xml:space="preserve">Plan Nacional de Acción contra </w:t>
      </w:r>
      <w:smartTag w:uri="urn:schemas-microsoft-com:office:smarttags" w:element="PersonName">
        <w:smartTagPr>
          <w:attr w:name="ProductID" w:val="la Trata"/>
        </w:smartTagPr>
        <w:r w:rsidRPr="00513E62">
          <w:t>la Trata</w:t>
        </w:r>
      </w:smartTag>
      <w:r w:rsidRPr="00513E62">
        <w:t xml:space="preserve"> de Personas 2013-2015</w:t>
      </w:r>
    </w:p>
    <w:p w:rsidR="00CD2C0D" w:rsidRPr="00513E62" w:rsidRDefault="00CD2C0D" w:rsidP="00CD2C0D">
      <w:pPr>
        <w:pStyle w:val="SingleTxtG"/>
      </w:pPr>
      <w:r w:rsidRPr="00513E62">
        <w:t>82.</w:t>
      </w:r>
      <w:r w:rsidRPr="00513E62">
        <w:tab/>
        <w:t xml:space="preserve">En el presente Plan Nacional de Acción se prevé una normativa amplia para luchar contra la posible trata de personas en Chipre. Fue elaborado por el Grupo de Coordinación Multidisciplinario, y aprobado por el Consejo de Ministros el 10 de abril de 2013. En el Plan se tomó en consideración la evaluación del Plan anterior para el período 2010-2012, las recomendaciones de los grupos de trabajo nombrados a los efectos, las disposiciones de </w:t>
      </w:r>
      <w:smartTag w:uri="urn:schemas-microsoft-com:office:smarttags" w:element="PersonName">
        <w:smartTagPr>
          <w:attr w:name="ProductID" w:val="la Directiva"/>
        </w:smartTagPr>
        <w:r w:rsidRPr="00513E62">
          <w:t>la Directiva</w:t>
        </w:r>
      </w:smartTag>
      <w:r w:rsidRPr="00513E62">
        <w:t xml:space="preserve"> </w:t>
      </w:r>
      <w:r w:rsidR="00306C8D">
        <w:t xml:space="preserve">núm. </w:t>
      </w:r>
      <w:r w:rsidRPr="00513E62">
        <w:t xml:space="preserve">2011/36/UE del Parlamento Europeo y del Consejo relativa a la prevención y lucha contra la trata de seres humanos y a la protección de las víctimas, </w:t>
      </w:r>
      <w:smartTag w:uri="urn:schemas-microsoft-com:office:smarttags" w:element="PersonName">
        <w:smartTagPr>
          <w:attr w:name="ProductID" w:val="la Estrategia Europea"/>
        </w:smartTagPr>
        <w:r w:rsidRPr="00513E62">
          <w:t>la Estrategia Europea</w:t>
        </w:r>
      </w:smartTag>
      <w:r w:rsidRPr="00513E62">
        <w:t xml:space="preserve"> contra </w:t>
      </w:r>
      <w:smartTag w:uri="urn:schemas-microsoft-com:office:smarttags" w:element="PersonName">
        <w:smartTagPr>
          <w:attr w:name="ProductID" w:val="la Trata"/>
        </w:smartTagPr>
        <w:r w:rsidRPr="00513E62">
          <w:t>la Trata</w:t>
        </w:r>
      </w:smartTag>
      <w:r w:rsidRPr="00513E62">
        <w:t xml:space="preserve"> de Personas 2012-2016 y las recomendaciones del Comité de Expertos del Consejo de Europa.</w:t>
      </w:r>
    </w:p>
    <w:p w:rsidR="00CD2C0D" w:rsidRPr="00513E62" w:rsidRDefault="00CD2C0D" w:rsidP="00CD2C0D">
      <w:pPr>
        <w:pStyle w:val="SingleTxtG"/>
      </w:pPr>
      <w:r w:rsidRPr="00513E62">
        <w:t>83.</w:t>
      </w:r>
      <w:r w:rsidRPr="00513E62">
        <w:tab/>
        <w:t>El Plan Nacional de Acción versa sobre la coordinación, la prevención, la identificación de víctimas, la prestación de protección y asistencia a estas, la supresión de la trata y el enjuiciamiento de los responsables, la recopilación de datos, la capacitación, la cooperación internacional y la evaluación, y comprende medidas prácticas que se deben aplicar en unos plazos especificados.</w:t>
      </w:r>
    </w:p>
    <w:p w:rsidR="00CD2C0D" w:rsidRPr="00513E62" w:rsidRDefault="00CD2C0D" w:rsidP="00CD2C0D">
      <w:pPr>
        <w:pStyle w:val="SingleTxtG"/>
      </w:pPr>
      <w:r w:rsidRPr="00513E62">
        <w:t>84.</w:t>
      </w:r>
      <w:r w:rsidRPr="00513E62">
        <w:tab/>
        <w:t>Entre las medidas del Plan Nacional de Acción figuran las siguientes:</w:t>
      </w:r>
    </w:p>
    <w:p w:rsidR="00CD2C0D" w:rsidRPr="00513E62" w:rsidRDefault="00CD2C0D" w:rsidP="00CD2C0D">
      <w:pPr>
        <w:pStyle w:val="Bullet1G"/>
      </w:pPr>
      <w:r w:rsidRPr="00513E62">
        <w:t>Capacitación de funcionarios;</w:t>
      </w:r>
    </w:p>
    <w:p w:rsidR="00CD2C0D" w:rsidRPr="00513E62" w:rsidRDefault="00CD2C0D" w:rsidP="00CD2C0D">
      <w:pPr>
        <w:pStyle w:val="Bullet1G"/>
      </w:pPr>
      <w:r w:rsidRPr="00513E62">
        <w:t>Funcionarios de los servicios de respuesta inicial y jueces;</w:t>
      </w:r>
    </w:p>
    <w:p w:rsidR="00CD2C0D" w:rsidRPr="00513E62" w:rsidRDefault="00CD2C0D" w:rsidP="00CD2C0D">
      <w:pPr>
        <w:pStyle w:val="Bullet1G"/>
      </w:pPr>
      <w:r w:rsidRPr="00513E62">
        <w:lastRenderedPageBreak/>
        <w:t>Producción de material informativo;</w:t>
      </w:r>
    </w:p>
    <w:p w:rsidR="00CD2C0D" w:rsidRPr="00513E62" w:rsidRDefault="00CD2C0D" w:rsidP="00CD2C0D">
      <w:pPr>
        <w:pStyle w:val="Bullet1G"/>
      </w:pPr>
      <w:r w:rsidRPr="00513E62">
        <w:t xml:space="preserve">Campañas de </w:t>
      </w:r>
      <w:r w:rsidR="003E5441">
        <w:t>concienciación</w:t>
      </w:r>
      <w:r w:rsidRPr="00513E62">
        <w:t>;</w:t>
      </w:r>
    </w:p>
    <w:p w:rsidR="00CD2C0D" w:rsidRPr="00513E62" w:rsidRDefault="00CD2C0D" w:rsidP="00CD2C0D">
      <w:pPr>
        <w:pStyle w:val="Bullet1G"/>
      </w:pPr>
      <w:r w:rsidRPr="00513E62">
        <w:t>Seminarios en escuelas;</w:t>
      </w:r>
    </w:p>
    <w:p w:rsidR="00CD2C0D" w:rsidRPr="00513E62" w:rsidRDefault="00CD2C0D" w:rsidP="00CD2C0D">
      <w:pPr>
        <w:pStyle w:val="Bullet1G"/>
      </w:pPr>
      <w:r w:rsidRPr="00513E62">
        <w:t>Capacitación del personal que trabaja en los medios de difusión;</w:t>
      </w:r>
    </w:p>
    <w:p w:rsidR="00CD2C0D" w:rsidRPr="00513E62" w:rsidRDefault="00CD2C0D" w:rsidP="00CD2C0D">
      <w:pPr>
        <w:pStyle w:val="Bullet1G"/>
      </w:pPr>
      <w:r w:rsidRPr="00513E62">
        <w:t>Traducción de los contratos de empleo a la lengua de los países de origen de los extranjeros que corran grave peligro de sufrir explotación y evaluación de su contenido;</w:t>
      </w:r>
    </w:p>
    <w:p w:rsidR="00CD2C0D" w:rsidRPr="00513E62" w:rsidRDefault="00CD2C0D" w:rsidP="00CD2C0D">
      <w:pPr>
        <w:pStyle w:val="Bullet1G"/>
      </w:pPr>
      <w:r w:rsidRPr="00513E62">
        <w:t>Cooperación con las autoridades locales y otras instancias competentes en la identificación de las posibles víctimas;</w:t>
      </w:r>
    </w:p>
    <w:p w:rsidR="00CD2C0D" w:rsidRPr="00513E62" w:rsidRDefault="00CD2C0D" w:rsidP="00CD2C0D">
      <w:pPr>
        <w:pStyle w:val="Bullet1G"/>
      </w:pPr>
      <w:r w:rsidRPr="00513E62">
        <w:t>Aumento de los controles y las investigaciones de los locales privados y de otra índole en los que se pueda desarrollar la trata y la explotación de seres humanos, etc.</w:t>
      </w:r>
    </w:p>
    <w:p w:rsidR="00CD2C0D" w:rsidRPr="00513E62" w:rsidRDefault="00CD2C0D" w:rsidP="00CD2C0D">
      <w:pPr>
        <w:pStyle w:val="SingleTxtG"/>
      </w:pPr>
      <w:r w:rsidRPr="00513E62">
        <w:t>85.</w:t>
      </w:r>
      <w:r w:rsidRPr="00513E62">
        <w:tab/>
      </w:r>
      <w:smartTag w:uri="urn:schemas-microsoft-com:office:smarttags" w:element="PersonName">
        <w:smartTagPr>
          <w:attr w:name="ProductID" w:val="la Polic￭a"/>
        </w:smartTagPr>
        <w:r w:rsidRPr="00513E62">
          <w:t>La Policía</w:t>
        </w:r>
      </w:smartTag>
      <w:r w:rsidRPr="00513E62">
        <w:t xml:space="preserve"> de Chipre participa en varias medidas del Plan Nacional de Acción. La aplicación de esas medidas está en curso y la Policía desempeña un papel activo en la educación y </w:t>
      </w:r>
      <w:r w:rsidR="003E5441">
        <w:t>la</w:t>
      </w:r>
      <w:r w:rsidRPr="00513E62">
        <w:t xml:space="preserve"> </w:t>
      </w:r>
      <w:r w:rsidR="003E5441">
        <w:t>concienciación</w:t>
      </w:r>
      <w:r w:rsidRPr="00513E62">
        <w:t xml:space="preserve"> respecto de las cuestiones relativas a la trata. Se han tomado medidas específicas para organizar sesiones de capacitación conjunta de profesionales de formación diversa, con miras a crear y mantener unos equipos eficaces de lucha contra la trata. En las sesiones de capacitación de grupos de tareas múltiples han participado funcionarios públicos que trabajaban en los servicios de respuesta inicial a los casos de trata. Se ha impartido capacitación a funcionarios de asistencia social, psicólogos de los servicios de salud mental, policías, fiscales, funcionarios del registro civil y del Departamento de Migración, funcionarios del Ministerio de Trabajo, inspectores de trabajo, personal médico y funcionarios de las administraciones locales.</w:t>
      </w:r>
    </w:p>
    <w:p w:rsidR="00CD2C0D" w:rsidRPr="00513E62" w:rsidRDefault="00CD2C0D" w:rsidP="00CD2C0D">
      <w:pPr>
        <w:pStyle w:val="SingleTxtG"/>
      </w:pPr>
      <w:r w:rsidRPr="00513E62">
        <w:t>86.</w:t>
      </w:r>
      <w:r w:rsidRPr="00513E62">
        <w:tab/>
        <w:t xml:space="preserve">Habida cuenta de que el Plan Nacional de Acción finalizará pronto, ya se elabora un Plan Nacional de Acción contra </w:t>
      </w:r>
      <w:smartTag w:uri="urn:schemas-microsoft-com:office:smarttags" w:element="PersonName">
        <w:smartTagPr>
          <w:attr w:name="ProductID" w:val="la Trata"/>
        </w:smartTagPr>
        <w:r w:rsidRPr="00513E62">
          <w:t>la Trata</w:t>
        </w:r>
      </w:smartTag>
      <w:r w:rsidRPr="00513E62">
        <w:t xml:space="preserve"> de Personas para el período 2016-2018. Se tendrán en cuenta las recomendaciones del Comité de Expertos del Consejo de Europa para luchar contra la trata.</w:t>
      </w:r>
    </w:p>
    <w:p w:rsidR="00CD2C0D" w:rsidRPr="00513E62" w:rsidRDefault="00CD2C0D" w:rsidP="00CD2C0D">
      <w:pPr>
        <w:pStyle w:val="SingleTxtG"/>
      </w:pPr>
      <w:r w:rsidRPr="00513E62">
        <w:t>87.</w:t>
      </w:r>
      <w:r w:rsidRPr="00513E62">
        <w:tab/>
      </w:r>
      <w:smartTag w:uri="urn:schemas-microsoft-com:office:smarttags" w:element="PersonName">
        <w:smartTagPr>
          <w:attr w:name="ProductID" w:val="la Oficina"/>
        </w:smartTagPr>
        <w:r w:rsidRPr="00513E62">
          <w:t>La Oficina</w:t>
        </w:r>
      </w:smartTag>
      <w:r w:rsidRPr="00513E62">
        <w:t xml:space="preserve"> de Lucha contra </w:t>
      </w:r>
      <w:smartTag w:uri="urn:schemas-microsoft-com:office:smarttags" w:element="PersonName">
        <w:smartTagPr>
          <w:attr w:name="ProductID" w:val="la Trata"/>
        </w:smartTagPr>
        <w:r w:rsidRPr="00513E62">
          <w:t>la Trata</w:t>
        </w:r>
      </w:smartTag>
      <w:r w:rsidRPr="00513E62">
        <w:t xml:space="preserve"> de </w:t>
      </w:r>
      <w:smartTag w:uri="urn:schemas-microsoft-com:office:smarttags" w:element="PersonName">
        <w:smartTagPr>
          <w:attr w:name="ProductID" w:val="la Polic￭a"/>
        </w:smartTagPr>
        <w:r w:rsidRPr="00513E62">
          <w:t>la Policía</w:t>
        </w:r>
      </w:smartTag>
      <w:r w:rsidRPr="00513E62">
        <w:t xml:space="preserve"> se ha reforzado con investigadores especializados y expertos que se encargan de todos los casos de trata y los investigan.</w:t>
      </w:r>
    </w:p>
    <w:p w:rsidR="00CD2C0D" w:rsidRPr="00513E62" w:rsidRDefault="00CD2C0D" w:rsidP="00CD2C0D">
      <w:pPr>
        <w:pStyle w:val="SingleTxtG"/>
      </w:pPr>
      <w:r w:rsidRPr="00513E62">
        <w:t>88.</w:t>
      </w:r>
      <w:r w:rsidRPr="00513E62">
        <w:tab/>
        <w:t>Una vez al año, el Ministerio de Trabajo y Seguridad Social imparte, a los propietarios de las agencias de empleo privadas, capacitación especial en cuestiones relativas a la trata de seres humanos y las disposiciones de las leyes pertinentes.</w:t>
      </w:r>
    </w:p>
    <w:p w:rsidR="00CD2C0D" w:rsidRPr="00513E62" w:rsidRDefault="00CD2C0D" w:rsidP="00CD2C0D">
      <w:pPr>
        <w:pStyle w:val="H23G"/>
      </w:pPr>
      <w:r>
        <w:tab/>
      </w:r>
      <w:r w:rsidRPr="00513E62">
        <w:t>e)</w:t>
      </w:r>
      <w:r w:rsidRPr="00513E62">
        <w:tab/>
        <w:t>Derechos económicos, sociales y culturales</w:t>
      </w:r>
    </w:p>
    <w:p w:rsidR="00CD2C0D" w:rsidRPr="00513E62" w:rsidRDefault="00CD2C0D" w:rsidP="00CD2C0D">
      <w:pPr>
        <w:pStyle w:val="H4G"/>
      </w:pPr>
      <w:r>
        <w:tab/>
      </w:r>
      <w:r>
        <w:tab/>
      </w:r>
      <w:r w:rsidRPr="00513E62">
        <w:t>Derecho al trabajo</w:t>
      </w:r>
    </w:p>
    <w:p w:rsidR="00CD2C0D" w:rsidRPr="00513E62" w:rsidRDefault="00CD2C0D" w:rsidP="00CD2C0D">
      <w:pPr>
        <w:pStyle w:val="SingleTxtG"/>
      </w:pPr>
      <w:r w:rsidRPr="00513E62">
        <w:t>89.</w:t>
      </w:r>
      <w:r w:rsidRPr="00513E62">
        <w:tab/>
        <w:t>Los trabajadores domésticos pueden cambiar de empleador cuando así lo deseen. Las únicas limitaciones que se les imponen son las siguientes:</w:t>
      </w:r>
    </w:p>
    <w:p w:rsidR="00CD2C0D" w:rsidRPr="00513E62" w:rsidRDefault="00CD2C0D" w:rsidP="00CD2C0D">
      <w:pPr>
        <w:pStyle w:val="SingleTxtG"/>
      </w:pPr>
      <w:r w:rsidRPr="00513E62">
        <w:tab/>
        <w:t>a)</w:t>
      </w:r>
      <w:r w:rsidRPr="00513E62">
        <w:tab/>
        <w:t>No se permitirán más de dos cambios de empleador durante los seis primeros años de empleo de esos trabajadores (salvo en caso de que el empleador fallezca, se repatríe, se traslade a una residencia para personas de edad, cometa un delito contra el nacional de un país no perteneciente a la</w:t>
      </w:r>
      <w:r w:rsidR="00980D59">
        <w:t xml:space="preserve"> Unión Europea</w:t>
      </w:r>
      <w:r w:rsidRPr="00513E62">
        <w:t xml:space="preserve"> o el Comité de Disputas Laborales dictamine en favor del nacional extranjero), y</w:t>
      </w:r>
    </w:p>
    <w:p w:rsidR="00CD2C0D" w:rsidRPr="00513E62" w:rsidRDefault="00CD2C0D" w:rsidP="00CD2C0D">
      <w:pPr>
        <w:pStyle w:val="SingleTxtG"/>
      </w:pPr>
      <w:r w:rsidRPr="00513E62">
        <w:tab/>
        <w:t>b)</w:t>
      </w:r>
      <w:r w:rsidRPr="00513E62">
        <w:tab/>
        <w:t>No se permitirá cambiar de empleador una vez cumplidos seis años de empleo.</w:t>
      </w:r>
    </w:p>
    <w:p w:rsidR="00CD2C0D" w:rsidRPr="00513E62" w:rsidRDefault="00CD2C0D" w:rsidP="00CD2C0D">
      <w:pPr>
        <w:pStyle w:val="SingleTxtG"/>
      </w:pPr>
      <w:r w:rsidRPr="00513E62">
        <w:t>[Véase ta</w:t>
      </w:r>
      <w:r w:rsidR="003E5441">
        <w:t>mbién el informe anterior, párrafo</w:t>
      </w:r>
      <w:r w:rsidRPr="00513E62">
        <w:t xml:space="preserve"> 92</w:t>
      </w:r>
      <w:r>
        <w:t>.</w:t>
      </w:r>
      <w:r w:rsidRPr="00513E62">
        <w:t>]</w:t>
      </w:r>
    </w:p>
    <w:p w:rsidR="00CD2C0D" w:rsidRPr="00513E62" w:rsidRDefault="00CD2C0D" w:rsidP="00CD2C0D">
      <w:pPr>
        <w:pStyle w:val="SingleTxtG"/>
      </w:pPr>
      <w:r w:rsidRPr="00513E62">
        <w:lastRenderedPageBreak/>
        <w:t>90.</w:t>
      </w:r>
      <w:r w:rsidRPr="00513E62">
        <w:tab/>
        <w:t xml:space="preserve">La supresión de los visados especiales para artistas y la implantación de una nueva política han dado resultados positivos: </w:t>
      </w:r>
      <w:r>
        <w:t>en 2009, se expidieron</w:t>
      </w:r>
      <w:r w:rsidRPr="00513E62">
        <w:t xml:space="preserve"> 1.136 permisos de trabajo de esa índole, mientras que en 2014 solo se expidieron 52. Además, también disminuye la cifra de permisos de trabajo expedidos a nacionales de países no pertenecientes a la</w:t>
      </w:r>
      <w:r w:rsidR="00980D59">
        <w:t xml:space="preserve"> Unión Europea</w:t>
      </w:r>
      <w:r w:rsidRPr="00513E62">
        <w:t xml:space="preserve"> para que trabajen como camareros de barra, ya que en 2009 se expidieron 235 permisos y en 2014, solo 45. La disminución se debe a que en la política vigente se han fijado unos criterios más estrictos para dar empleo a nacionales de países no pertenecientes a la</w:t>
      </w:r>
      <w:r w:rsidR="00980D59">
        <w:t xml:space="preserve"> Unión Europea</w:t>
      </w:r>
      <w:r w:rsidRPr="00513E62">
        <w:t xml:space="preserve"> en esos sectores.</w:t>
      </w:r>
    </w:p>
    <w:p w:rsidR="00CD2C0D" w:rsidRPr="00513E62" w:rsidRDefault="00CD2C0D" w:rsidP="00CD2C0D">
      <w:pPr>
        <w:pStyle w:val="H4G"/>
      </w:pPr>
      <w:r>
        <w:tab/>
      </w:r>
      <w:r>
        <w:tab/>
        <w:t>Centros</w:t>
      </w:r>
      <w:r w:rsidRPr="00513E62">
        <w:t xml:space="preserve"> de recepción y acogida de solicitantes de protección </w:t>
      </w:r>
      <w:r w:rsidR="003E5441" w:rsidRPr="00513E62">
        <w:t>internacional</w:t>
      </w:r>
    </w:p>
    <w:p w:rsidR="00CD2C0D" w:rsidRPr="00513E62" w:rsidRDefault="00CD2C0D" w:rsidP="00CD2C0D">
      <w:pPr>
        <w:pStyle w:val="SingleTxtG"/>
      </w:pPr>
      <w:r w:rsidRPr="00513E62">
        <w:t>91.</w:t>
      </w:r>
      <w:r w:rsidRPr="00513E62">
        <w:tab/>
        <w:t xml:space="preserve">Centro de Recepción y Acogida de Solicitantes de Protección Internacional de </w:t>
      </w:r>
      <w:proofErr w:type="spellStart"/>
      <w:r w:rsidRPr="00513E62">
        <w:t>Kofinou</w:t>
      </w:r>
      <w:proofErr w:type="spellEnd"/>
      <w:r w:rsidRPr="00513E62">
        <w:t>. [Véase tam</w:t>
      </w:r>
      <w:r w:rsidR="003E5441">
        <w:t>bién el informe anterior, párrafos</w:t>
      </w:r>
      <w:r w:rsidRPr="00513E62">
        <w:t xml:space="preserve"> 97 y 98</w:t>
      </w:r>
      <w:r>
        <w:t>.</w:t>
      </w:r>
      <w:r w:rsidRPr="00513E62">
        <w:t>]</w:t>
      </w:r>
    </w:p>
    <w:p w:rsidR="00CD2C0D" w:rsidRPr="00513E62" w:rsidRDefault="00CD2C0D" w:rsidP="00CD2C0D">
      <w:pPr>
        <w:pStyle w:val="SingleTxtG"/>
      </w:pPr>
      <w:r w:rsidRPr="00513E62">
        <w:t>92.</w:t>
      </w:r>
      <w:r w:rsidRPr="00513E62">
        <w:tab/>
        <w:t xml:space="preserve">En 2014, se incrementó la capacidad del Centro de Recepción y Acogida de Solicitantes de Protección Internacional de </w:t>
      </w:r>
      <w:proofErr w:type="spellStart"/>
      <w:r w:rsidRPr="00513E62">
        <w:t>Kofinou</w:t>
      </w:r>
      <w:proofErr w:type="spellEnd"/>
      <w:r w:rsidRPr="00513E62">
        <w:t xml:space="preserve">, que era de 70 plazas, a 400 plazas (con la adición de más unidades de vivienda, incluidas habitaciones comunes, cocinas y habitaciones para lavar y almacenar enseres, equipadas todas ellas con muebles, electrodomésticos y accesorios eléctricos, y una unidad médica). En el Centro, también hay salas para actividades recreativas, en las que los residentes disponen de Internet y televisión por cable, y aulas en las que se imparten periódicamente clases de lengua griega e inglesa, con cargo a maestros voluntarios o al Fondo Europeo para los Refugiados. Durante 2014, hubo una mejora y una renovación generales de las infraestructuras del Centro, se instalaron equipamientos nuevos y se crearon una nueva sala de juegos, una biblioteca, un aula de capacitación y una tienda de artículos de segunda mano. Se mejoraron las condiciones de vida, gracias a la ayuda económica del Fondo Europeo para los Refugiados (Medidas de Emergencia). La unidad médica del Centro estuvo en funcionamiento entre marzo y junio de 2015, con una plantilla compuesta por </w:t>
      </w:r>
      <w:r w:rsidR="003E5441">
        <w:t>1</w:t>
      </w:r>
      <w:r w:rsidRPr="00513E62">
        <w:t xml:space="preserve"> enfermero, </w:t>
      </w:r>
      <w:r w:rsidR="003E5441">
        <w:t>1</w:t>
      </w:r>
      <w:r w:rsidRPr="00513E62">
        <w:t xml:space="preserve"> médico visitador y </w:t>
      </w:r>
      <w:r w:rsidR="003E5441">
        <w:t>1</w:t>
      </w:r>
      <w:r w:rsidRPr="00513E62">
        <w:t xml:space="preserve"> psicólogo. Funcionó como programa experimental bajo el patrocinio del Ministerio de Salud y del Fondo Europeo para los Refugiados. Está previsto que la unidad siga funcionando con cargo a nuevos fondos de la</w:t>
      </w:r>
      <w:r w:rsidR="00980D59">
        <w:t xml:space="preserve"> Unión Europea</w:t>
      </w:r>
      <w:r w:rsidRPr="00513E62">
        <w:t xml:space="preserve">. Asimismo, los solicitantes también tienen acceso directo al Centro de Salud Pública de </w:t>
      </w:r>
      <w:proofErr w:type="spellStart"/>
      <w:r w:rsidRPr="00513E62">
        <w:t>Kofinou</w:t>
      </w:r>
      <w:proofErr w:type="spellEnd"/>
      <w:r w:rsidRPr="00513E62">
        <w:t xml:space="preserve"> y al Hospital Público General de </w:t>
      </w:r>
      <w:proofErr w:type="spellStart"/>
      <w:r w:rsidRPr="00513E62">
        <w:t>Larnaca</w:t>
      </w:r>
      <w:proofErr w:type="spellEnd"/>
      <w:r w:rsidRPr="00513E62">
        <w:t xml:space="preserve">. A las personas acogidas en el Centro de Recepción y Acogida de Solicitantes de Protección Internacional de </w:t>
      </w:r>
      <w:proofErr w:type="spellStart"/>
      <w:r w:rsidRPr="00513E62">
        <w:t>Kofinou</w:t>
      </w:r>
      <w:proofErr w:type="spellEnd"/>
      <w:r w:rsidRPr="00513E62">
        <w:t xml:space="preserve"> se les han proporcionado abonos mensuales de transporte en autobús. Además, durante el citado período, ha sido habitual que hubiera intérpretes en el Centro, sobre todo intérpretes de lengua árabe (la mayoritaria). En el Centro se ofrecen habitualmente servicios de interpretación.</w:t>
      </w:r>
    </w:p>
    <w:p w:rsidR="00CD2C0D" w:rsidRPr="00513E62" w:rsidRDefault="00CD2C0D" w:rsidP="00CD2C0D">
      <w:pPr>
        <w:pStyle w:val="SingleTxtG"/>
      </w:pPr>
      <w:r w:rsidRPr="00513E62">
        <w:t>93.</w:t>
      </w:r>
      <w:r w:rsidRPr="00513E62">
        <w:tab/>
        <w:t xml:space="preserve">Ha habido dos centros de recepción y acogida más que funcionaron por un período de dos años, desde marzo de </w:t>
      </w:r>
      <w:smartTag w:uri="urn:schemas-microsoft-com:office:smarttags" w:element="metricconverter">
        <w:smartTagPr>
          <w:attr w:name="ProductID" w:val="2011 a"/>
        </w:smartTagPr>
        <w:r w:rsidRPr="00513E62">
          <w:t>2011 a</w:t>
        </w:r>
      </w:smartTag>
      <w:r w:rsidRPr="00513E62">
        <w:t xml:space="preserve"> abril de 2013, en hoteles privados (que servían de centros colectivos abiertos) de dos ciudades (el Centro de </w:t>
      </w:r>
      <w:proofErr w:type="spellStart"/>
      <w:r w:rsidRPr="00513E62">
        <w:t>Onisillos</w:t>
      </w:r>
      <w:proofErr w:type="spellEnd"/>
      <w:r w:rsidRPr="00513E62">
        <w:t xml:space="preserve">, en </w:t>
      </w:r>
      <w:proofErr w:type="spellStart"/>
      <w:r w:rsidRPr="00513E62">
        <w:t>Larnaca</w:t>
      </w:r>
      <w:proofErr w:type="spellEnd"/>
      <w:r w:rsidRPr="00513E62">
        <w:t xml:space="preserve">, y el Centro de </w:t>
      </w:r>
      <w:proofErr w:type="spellStart"/>
      <w:r w:rsidRPr="00513E62">
        <w:t>Agapinor</w:t>
      </w:r>
      <w:proofErr w:type="spellEnd"/>
      <w:r w:rsidRPr="00513E62">
        <w:t xml:space="preserve">, en </w:t>
      </w:r>
      <w:proofErr w:type="spellStart"/>
      <w:r w:rsidRPr="00513E62">
        <w:t>Pafos</w:t>
      </w:r>
      <w:proofErr w:type="spellEnd"/>
      <w:r w:rsidRPr="00513E62">
        <w:t xml:space="preserve">). La capacidad total de los dos centros era de 149 personas (los niños menores de </w:t>
      </w:r>
      <w:r w:rsidR="003E5441">
        <w:t>2</w:t>
      </w:r>
      <w:r w:rsidRPr="00513E62">
        <w:t xml:space="preserve"> años no entraban en el cómputo de su capacidad total). Esa medida se concibió en el marco del Fondo Europeo para los Refugiados como medida de prestación de servicios de alojamiento y servicios conexos a los solicitantes de asilo, a los que se instaló en centros de ciudades principales. Se encargaba de la gestión diaria de los centros un subcontratista del sector privado al que se había adjudicado el contrato mediante un procedimiento de licitación pública. Entre los servicios que se prestaban en los dos centros se contaban la provisión de tres comidas diarias y la prestación de servicios de apoyo (administrativos y de asistencia social) también diarios. En 2011 y 2012, se alojaron en ambos centros 247 y 232 personas respectivamente.</w:t>
      </w:r>
    </w:p>
    <w:p w:rsidR="00CD2C0D" w:rsidRPr="00513E62" w:rsidRDefault="00CD2C0D" w:rsidP="00CD2C0D">
      <w:pPr>
        <w:pStyle w:val="SingleTxtG"/>
      </w:pPr>
      <w:r w:rsidRPr="00513E62">
        <w:t>94.</w:t>
      </w:r>
      <w:r w:rsidRPr="00513E62">
        <w:tab/>
        <w:t xml:space="preserve">Dado que la principal dificultad que se arrostró en 2014 fue la entrada imprevista de cantidades ingentes de personas que necesitaban protección internacional, las autoridades chipriotas trazaron un plan de emergencia para alojarlas, que se ejecuta bajo la supervisión </w:t>
      </w:r>
      <w:r w:rsidRPr="00513E62">
        <w:lastRenderedPageBreak/>
        <w:t xml:space="preserve">general del Servicio de Asilo, que comprende varios servicios públicos y de otra índole. A tal fin, en 2014 se creó también un nuevo centro de recepción abierto para casos urgentes que ofrecía alojamiento temporal a esas personas en las afueras de Nicosia, con la ayuda económica del Fondo Europeo para los Refugiados (Medidas de Emergencia). En septiembre de ese mismo año, se empleó ese centro, por primera vez, para alojar a 337 personas procedentes de Siria que habían sido rescatadas en el mar (nacionales sirios, y palestinos). El centro estuvo en funcionamiento hasta principios de febrero de 2015. </w:t>
      </w:r>
    </w:p>
    <w:p w:rsidR="00CD2C0D" w:rsidRPr="00513E62" w:rsidRDefault="00CD2C0D" w:rsidP="00CD2C0D">
      <w:pPr>
        <w:pStyle w:val="SingleTxtG"/>
      </w:pPr>
      <w:r w:rsidRPr="00513E62">
        <w:t>95.</w:t>
      </w:r>
      <w:r w:rsidRPr="00513E62">
        <w:tab/>
        <w:t xml:space="preserve">En julio de 2014, entró en funcionamiento el albergue infantil </w:t>
      </w:r>
      <w:r>
        <w:t>“</w:t>
      </w:r>
      <w:r w:rsidRPr="00513E62">
        <w:t>Casa de la Esperanza</w:t>
      </w:r>
      <w:r>
        <w:t>”</w:t>
      </w:r>
      <w:r w:rsidRPr="00513E62">
        <w:t>. El albergue está situado en el centro de Nicosia</w:t>
      </w:r>
      <w:r w:rsidR="003E5441">
        <w:t>, donde ocupa una superficie de </w:t>
      </w:r>
      <w:smartTag w:uri="urn:schemas-microsoft-com:office:smarttags" w:element="metricconverter">
        <w:smartTagPr>
          <w:attr w:name="ProductID" w:val="5.000 m2"/>
        </w:smartTagPr>
        <w:r w:rsidRPr="00513E62">
          <w:t xml:space="preserve">5.000 </w:t>
        </w:r>
        <w:proofErr w:type="spellStart"/>
        <w:r w:rsidRPr="00513E62">
          <w:t>m</w:t>
        </w:r>
        <w:r w:rsidRPr="00513E62">
          <w:rPr>
            <w:vertAlign w:val="superscript"/>
          </w:rPr>
          <w:t>2</w:t>
        </w:r>
      </w:smartTag>
      <w:proofErr w:type="spellEnd"/>
      <w:r w:rsidRPr="00513E62">
        <w:t xml:space="preserve">, y cuenta con </w:t>
      </w:r>
      <w:r w:rsidR="003E5441">
        <w:t>1</w:t>
      </w:r>
      <w:r w:rsidRPr="00513E62">
        <w:t xml:space="preserve"> cocina, </w:t>
      </w:r>
      <w:r w:rsidR="003E5441">
        <w:t>1</w:t>
      </w:r>
      <w:r w:rsidRPr="00513E62">
        <w:t xml:space="preserve"> comedor, </w:t>
      </w:r>
      <w:r w:rsidR="003E5441">
        <w:t>1</w:t>
      </w:r>
      <w:r w:rsidRPr="00513E62">
        <w:t xml:space="preserve"> sala de estar con televisión, </w:t>
      </w:r>
      <w:r w:rsidR="003E5441">
        <w:t>1</w:t>
      </w:r>
      <w:r w:rsidRPr="00513E62">
        <w:t xml:space="preserve"> biblioteca, </w:t>
      </w:r>
      <w:r w:rsidR="003E5441">
        <w:t>1 </w:t>
      </w:r>
      <w:r w:rsidRPr="00513E62">
        <w:t xml:space="preserve">sala de ordenadores, </w:t>
      </w:r>
      <w:r w:rsidR="003E5441">
        <w:t>1</w:t>
      </w:r>
      <w:r w:rsidRPr="00513E62">
        <w:t xml:space="preserve"> cancha de baloncesto, </w:t>
      </w:r>
      <w:r w:rsidR="003E5441">
        <w:t>1</w:t>
      </w:r>
      <w:r w:rsidRPr="00513E62">
        <w:t xml:space="preserve"> sistema de intercomunicadores, red de conexión </w:t>
      </w:r>
      <w:proofErr w:type="spellStart"/>
      <w:r w:rsidRPr="00513E62">
        <w:t>wi</w:t>
      </w:r>
      <w:proofErr w:type="spellEnd"/>
      <w:r w:rsidRPr="00513E62">
        <w:t xml:space="preserve">-fi, etc. Tiene capacidad para acoger a 24 solicitantes de asilo que sean menores no acompañados y dispone de personal calificado que presta diariamente servicios de cuidados y de asistencia psicosocial y jurídica. Esos servicios tienen por objeto insertar y rehabilitar a los niños. El albergue cuenta con una plantilla compuesta por profesionales muy calificados, cocineros y personal auxiliar. Su funcionamiento lo cofinancia el Fondo Europeo para los Refugiados. [Véase también </w:t>
      </w:r>
      <w:r w:rsidR="003E5441">
        <w:t>el informe de seguimiento, párrafo</w:t>
      </w:r>
      <w:r w:rsidRPr="00513E62">
        <w:t xml:space="preserve"> 18</w:t>
      </w:r>
      <w:r>
        <w:t>.</w:t>
      </w:r>
      <w:r w:rsidRPr="00513E62">
        <w:t>]</w:t>
      </w:r>
    </w:p>
    <w:p w:rsidR="00CD2C0D" w:rsidRPr="00513E62" w:rsidRDefault="00CD2C0D" w:rsidP="00CD2C0D">
      <w:pPr>
        <w:pStyle w:val="SingleTxtG"/>
      </w:pPr>
      <w:r w:rsidRPr="00513E62">
        <w:t>96.</w:t>
      </w:r>
      <w:r w:rsidRPr="00513E62">
        <w:tab/>
        <w:t xml:space="preserve">La oficina de </w:t>
      </w:r>
      <w:smartTag w:uri="urn:schemas-microsoft-com:office:smarttags" w:element="PersonName">
        <w:smartTagPr>
          <w:attr w:name="ProductID" w:val="la Organizaci￳n Internacional"/>
        </w:smartTagPr>
        <w:smartTag w:uri="urn:schemas-microsoft-com:office:smarttags" w:element="PersonName">
          <w:smartTagPr>
            <w:attr w:name="ProductID" w:val="la Organizaci￳n"/>
          </w:smartTagPr>
          <w:r w:rsidRPr="00513E62">
            <w:t>la Organización</w:t>
          </w:r>
        </w:smartTag>
        <w:r w:rsidRPr="00513E62">
          <w:t xml:space="preserve"> Internacional</w:t>
        </w:r>
      </w:smartTag>
      <w:r w:rsidRPr="00513E62">
        <w:t xml:space="preserve"> para las Migraciones de Chipre lleva en funcionamiento desde octubre de 2014. Actualmente, la oficina y el Ministerio del Interior debaten sobre la aplicación de medidas en materia de migración y asilo.</w:t>
      </w:r>
    </w:p>
    <w:p w:rsidR="00CD2C0D" w:rsidRPr="00513E62" w:rsidRDefault="00CD2C0D" w:rsidP="00CD2C0D">
      <w:pPr>
        <w:pStyle w:val="H4G"/>
      </w:pPr>
      <w:r>
        <w:tab/>
      </w:r>
      <w:r>
        <w:tab/>
      </w:r>
      <w:r w:rsidRPr="00513E62">
        <w:t>Derecho a la educación</w:t>
      </w:r>
    </w:p>
    <w:p w:rsidR="00CD2C0D" w:rsidRPr="00513E62" w:rsidRDefault="00CD2C0D" w:rsidP="00CD2C0D">
      <w:pPr>
        <w:pStyle w:val="SingleTxtG"/>
      </w:pPr>
      <w:r w:rsidRPr="00513E62">
        <w:t>[Véase también el presente informe, artículo 7</w:t>
      </w:r>
      <w:r>
        <w:t>.</w:t>
      </w:r>
      <w:r w:rsidRPr="00513E62">
        <w:t>]</w:t>
      </w:r>
    </w:p>
    <w:p w:rsidR="00CD2C0D" w:rsidRPr="00513E62" w:rsidRDefault="00CD2C0D" w:rsidP="00CD2C0D">
      <w:pPr>
        <w:pStyle w:val="SingleTxtG"/>
      </w:pPr>
      <w:r w:rsidRPr="00513E62">
        <w:t>97.</w:t>
      </w:r>
      <w:r w:rsidRPr="00513E62">
        <w:tab/>
        <w:t xml:space="preserve">Por lo que respecta al programa de zonas de prioridad educativa y a la estrategia de </w:t>
      </w:r>
      <w:smartTag w:uri="urn:schemas-microsoft-com:office:smarttags" w:element="PersonName">
        <w:smartTagPr>
          <w:attr w:name="ProductID" w:val="la Organizaci￳n"/>
        </w:smartTagPr>
        <w:r w:rsidRPr="00513E62">
          <w:t>la Organización</w:t>
        </w:r>
      </w:smartTag>
      <w:r w:rsidRPr="00513E62">
        <w:t xml:space="preserve"> de las Naciones Unidas para </w:t>
      </w:r>
      <w:smartTag w:uri="urn:schemas-microsoft-com:office:smarttags" w:element="PersonName">
        <w:smartTagPr>
          <w:attr w:name="ProductID" w:val="la Educaci￳n"/>
        </w:smartTagPr>
        <w:r w:rsidRPr="00513E62">
          <w:t>la Educación</w:t>
        </w:r>
      </w:smartTag>
      <w:r w:rsidRPr="00513E62">
        <w:t xml:space="preserve">, </w:t>
      </w:r>
      <w:smartTag w:uri="urn:schemas-microsoft-com:office:smarttags" w:element="PersonName">
        <w:smartTagPr>
          <w:attr w:name="ProductID" w:val="la Ciencia"/>
        </w:smartTagPr>
        <w:r w:rsidRPr="00513E62">
          <w:t>la Ciencia</w:t>
        </w:r>
      </w:smartTag>
      <w:r w:rsidRPr="00513E62">
        <w:t xml:space="preserve"> y </w:t>
      </w:r>
      <w:smartTag w:uri="urn:schemas-microsoft-com:office:smarttags" w:element="PersonName">
        <w:smartTagPr>
          <w:attr w:name="ProductID" w:val="la Cultura"/>
        </w:smartTagPr>
        <w:r w:rsidRPr="00513E62">
          <w:t>la Cultura</w:t>
        </w:r>
      </w:smartTag>
      <w:r w:rsidRPr="00513E62">
        <w:t xml:space="preserve"> en materia de discriminación positiva y a fin de afrontar los asuntos conexos, se prestan servicios de apoyo extraordinarios a los alum</w:t>
      </w:r>
      <w:r w:rsidR="00F5410C">
        <w:t xml:space="preserve">nos, los padres y los maestros </w:t>
      </w:r>
      <w:r w:rsidRPr="00513E62">
        <w:t>m</w:t>
      </w:r>
      <w:r w:rsidR="00F5410C">
        <w:t xml:space="preserve">ediante la creación de centros </w:t>
      </w:r>
      <w:r w:rsidRPr="00513E62">
        <w:t>de información y apoyo socioemocional. Estos centros ofrecen unos servicios y programas diseñados por especialistas cuya finalidad última es prevenir la delincuencia, el uso indebido de sustancias psicotrópicas, la expresión de comportamientos peligrosos y la violencia. La actividad de esas instituciones ha dado resultados positivos, como la reducción del abandono escolar, del fracaso escolar (traslados y repeticiones) y de las remisiones al Servicio de Psicología Educativa, y la mejora de las calificaciones académicas. En 2013</w:t>
      </w:r>
      <w:r w:rsidR="00F5410C">
        <w:t xml:space="preserve">, el porcentaje de alumnos que </w:t>
      </w:r>
      <w:r w:rsidRPr="00513E62">
        <w:t>desertaron del sistema educativo (es decir, personas de edades comprendidas entre los 18 y los 24 años que habían terminado la educación secundaria pero carecen de educación o formación ulterior) se redujo en un 9%, muy por debajo del objetivo inicial, que se había fijado en el 10%. Además, en e</w:t>
      </w:r>
      <w:r w:rsidR="003E5441">
        <w:t>l ejercicio académico de 2010/</w:t>
      </w:r>
      <w:r w:rsidRPr="00513E62">
        <w:t>11 no hubo abandono escolar en la enseñanza primaria y, en cuanto a la secundaria, el porcentaje fue de un escaso 1,1%. En e</w:t>
      </w:r>
      <w:r w:rsidR="003E5441">
        <w:t>l ejercicio académico de 2015/</w:t>
      </w:r>
      <w:r w:rsidRPr="00513E62">
        <w:t xml:space="preserve">16 se implantó un nuevo programa, titulado </w:t>
      </w:r>
      <w:r>
        <w:t>“</w:t>
      </w:r>
      <w:r w:rsidRPr="00513E62">
        <w:t>Medidas de inclusión social en la escuela</w:t>
      </w:r>
      <w:r>
        <w:t>”</w:t>
      </w:r>
      <w:r w:rsidRPr="00513E62">
        <w:t>, cuya finalidad era mantener, expandir y mejorar la institución de las zonas de prioridad educativa. El programa abarca el período 2015-2020, está cofinanciado por el Fondo Social Europeo y tiene por finalidad ayudar a la población que vive por debajo del umbral de pobreza o corre el riesgo de caer en la pobreza o la exclusión social. También tiene por finalidad ofrecer prestaciones sociales y ayuda económica a los grupos de población más débiles, que se ven particularmente afectados por la crisis económica; reducir la deserción escolar; mejorar los resultados de académicos y reducir el fracaso y la delincuencia escolares.</w:t>
      </w:r>
    </w:p>
    <w:p w:rsidR="00CD2C0D" w:rsidRPr="00513E62" w:rsidRDefault="00CD2C0D" w:rsidP="00CD2C0D">
      <w:pPr>
        <w:pStyle w:val="SingleTxtG"/>
      </w:pPr>
      <w:r w:rsidRPr="00513E62">
        <w:t>98.</w:t>
      </w:r>
      <w:r w:rsidRPr="00513E62">
        <w:tab/>
        <w:t xml:space="preserve">El sistema educativo chipriota prevé que se enseñen la lengua armenia y la lengua árabe que hablan los maronitas de Chipre en las escuelas a las que asisten miembros de los correspondientes grupos religiosos que constituyen minorías nacionales. El inglés se enseña </w:t>
      </w:r>
      <w:r w:rsidRPr="00513E62">
        <w:lastRenderedPageBreak/>
        <w:t>como lengua extranjera en las escuelas de enseñanza primaria y los alumnos estudian inglés y francés hasta el primer curso del ciclo superior de la secundaria. En los últimos dos cursos de este ciclo, los alumnos pueden elegir las dos lenguas que prefieran entre el alemán, el español, el francés, el inglés, el italiano, el ruso y el turco y también pueden elegir otras dos lenguas c</w:t>
      </w:r>
      <w:r w:rsidR="00F5410C">
        <w:t>omo asignaturas optativas.</w:t>
      </w:r>
    </w:p>
    <w:p w:rsidR="00CD2C0D" w:rsidRPr="00513E62" w:rsidRDefault="00CD2C0D" w:rsidP="00CD2C0D">
      <w:pPr>
        <w:pStyle w:val="SingleTxtG"/>
      </w:pPr>
      <w:r w:rsidRPr="00513E62">
        <w:t>99.</w:t>
      </w:r>
      <w:r w:rsidRPr="00513E62">
        <w:tab/>
        <w:t xml:space="preserve">El Estado sufraga las tasas universitarias de los refugiados que estudian en las universidades públicas de Chipre, que ofrecen plazas supernumerarias (10%), además de las plazas a las que se puede acceder mediante los exámenes </w:t>
      </w:r>
      <w:proofErr w:type="spellStart"/>
      <w:r w:rsidRPr="00513E62">
        <w:t>panchipriotas</w:t>
      </w:r>
      <w:proofErr w:type="spellEnd"/>
      <w:r w:rsidRPr="00513E62">
        <w:t>, a los alumnos que han terminado el ciclo superior de la enseñanza secundaria y son ciudadanos de países de la</w:t>
      </w:r>
      <w:r w:rsidR="00980D59">
        <w:t xml:space="preserve"> Unión Europea</w:t>
      </w:r>
      <w:r w:rsidRPr="00513E62">
        <w:t xml:space="preserve"> y de fuera de ella.</w:t>
      </w:r>
    </w:p>
    <w:p w:rsidR="00CD2C0D" w:rsidRPr="00513E62" w:rsidRDefault="00CD2C0D" w:rsidP="00CD2C0D">
      <w:pPr>
        <w:pStyle w:val="H4G"/>
      </w:pPr>
      <w:r>
        <w:tab/>
      </w:r>
      <w:r>
        <w:tab/>
      </w:r>
      <w:r w:rsidRPr="00513E62">
        <w:t>Derecho a la igualdad de participación en las actividades culturales</w:t>
      </w:r>
    </w:p>
    <w:p w:rsidR="00CD2C0D" w:rsidRPr="00513E62" w:rsidRDefault="00CD2C0D" w:rsidP="00CD2C0D">
      <w:pPr>
        <w:pStyle w:val="SingleTxtG"/>
      </w:pPr>
      <w:r w:rsidRPr="00513E62">
        <w:t>100.</w:t>
      </w:r>
      <w:r w:rsidRPr="00513E62">
        <w:tab/>
        <w:t xml:space="preserve">En 2013 se nombró al Comisionado de </w:t>
      </w:r>
      <w:smartTag w:uri="urn:schemas-microsoft-com:office:smarttags" w:element="PersonName">
        <w:smartTagPr>
          <w:attr w:name="ProductID" w:val="la Presidencia"/>
        </w:smartTagPr>
        <w:r w:rsidRPr="00513E62">
          <w:t>la Presidencia</w:t>
        </w:r>
      </w:smartTag>
      <w:r w:rsidRPr="00513E62">
        <w:t xml:space="preserve"> encargado de los Asuntos Humanitarios y de los Chipriotas Residentes en el Extranjero, un funcionario público independiente cuyo mandato era fomentar la cooperación entre el Estado y los tres grupos religiosos de Chipre que constituían minorías nacionales y estaban reconocidos como tales en </w:t>
      </w:r>
      <w:smartTag w:uri="urn:schemas-microsoft-com:office:smarttags" w:element="PersonName">
        <w:smartTagPr>
          <w:attr w:name="ProductID" w:val="la Constituci￳n. Se"/>
        </w:smartTagPr>
        <w:smartTag w:uri="urn:schemas-microsoft-com:office:smarttags" w:element="PersonName">
          <w:smartTagPr>
            <w:attr w:name="ProductID" w:val="la Constituci￳n."/>
          </w:smartTagPr>
          <w:r w:rsidRPr="00513E62">
            <w:t>la Constitución.</w:t>
          </w:r>
        </w:smartTag>
        <w:r w:rsidRPr="00513E62">
          <w:t xml:space="preserve"> Se</w:t>
        </w:r>
      </w:smartTag>
      <w:r w:rsidRPr="00513E62">
        <w:t xml:space="preserve"> encarga de promover y proteger los derechos de esos grupos (armenios, maronitas y latinos) mediante la participación del país en los instrumentos internacionales de derechos humanos ratificados por él, en particular el </w:t>
      </w:r>
      <w:r w:rsidRPr="00513E62">
        <w:rPr>
          <w:bCs/>
        </w:rPr>
        <w:t xml:space="preserve">Convenio Marco para </w:t>
      </w:r>
      <w:smartTag w:uri="urn:schemas-microsoft-com:office:smarttags" w:element="PersonName">
        <w:smartTagPr>
          <w:attr w:name="ProductID" w:val="la Protecci￳n"/>
        </w:smartTagPr>
        <w:r w:rsidRPr="00513E62">
          <w:rPr>
            <w:bCs/>
          </w:rPr>
          <w:t>la Protección</w:t>
        </w:r>
      </w:smartTag>
      <w:r w:rsidRPr="00513E62">
        <w:rPr>
          <w:bCs/>
        </w:rPr>
        <w:t xml:space="preserve"> de las Minorías Nacionales del Consejo de Europa y </w:t>
      </w:r>
      <w:smartTag w:uri="urn:schemas-microsoft-com:office:smarttags" w:element="PersonName">
        <w:smartTagPr>
          <w:attr w:name="ProductID" w:val="la Carta Europea"/>
        </w:smartTagPr>
        <w:r w:rsidRPr="00513E62">
          <w:rPr>
            <w:bCs/>
          </w:rPr>
          <w:t>la Carta Europea</w:t>
        </w:r>
      </w:smartTag>
      <w:r w:rsidRPr="00513E62">
        <w:rPr>
          <w:bCs/>
        </w:rPr>
        <w:t xml:space="preserve"> de las Lenguas Regionales o Minoritarias. El Comisionado vela por que se elabore y adopte una política estructurada sobre las cuestiones y las inquietudes planteadas por los grupos religiosos que constituyen minorías nacionales y celebra reuniones con sus representantes y expone las opiniones de estos al Gobierno.</w:t>
      </w:r>
    </w:p>
    <w:p w:rsidR="00CD2C0D" w:rsidRPr="00513E62" w:rsidRDefault="00CD2C0D" w:rsidP="00CD2C0D">
      <w:pPr>
        <w:pStyle w:val="SingleTxtG"/>
      </w:pPr>
      <w:r w:rsidRPr="00513E62">
        <w:t>101.</w:t>
      </w:r>
      <w:r w:rsidRPr="00513E62">
        <w:tab/>
        <w:t xml:space="preserve">Hay diversos programas de subvenciones y colaboración entre los Servicios Culturales del Ministerio de Educación y Cultura y los tres </w:t>
      </w:r>
      <w:r w:rsidRPr="00513E62">
        <w:rPr>
          <w:bCs/>
        </w:rPr>
        <w:t>grupos religiosos que constituyen minorías nacionales de Chipre. Dentro de esos programas se proporciona ayuda económica pública a los correspondientes centros culturales y fundaciones. Por ejemplo:</w:t>
      </w:r>
    </w:p>
    <w:p w:rsidR="00CD2C0D" w:rsidRPr="00513E62" w:rsidRDefault="00CD2C0D" w:rsidP="00CD2C0D">
      <w:pPr>
        <w:pStyle w:val="Bullet1G"/>
      </w:pPr>
      <w:r w:rsidRPr="00513E62">
        <w:t>Maronitas: se patrocinan las actividades culturales de asociaciones y par</w:t>
      </w:r>
      <w:r w:rsidR="003E5441">
        <w:t>ticulares.</w:t>
      </w:r>
    </w:p>
    <w:p w:rsidR="00CD2C0D" w:rsidRPr="00513E62" w:rsidRDefault="00CD2C0D" w:rsidP="00CD2C0D">
      <w:pPr>
        <w:pStyle w:val="Bullet1G"/>
      </w:pPr>
      <w:r w:rsidRPr="00513E62">
        <w:t>Armenios: todos los años, se patrocinan actividades de promoción de la cultura armenia por intermedio de las instituciones culturales de la comunidad. Los programas de enseñanza de la cultura armenia se financian con una suma anual de entre 15.0</w:t>
      </w:r>
      <w:r w:rsidR="003E5441">
        <w:t>00 y 20.000 euros.</w:t>
      </w:r>
    </w:p>
    <w:p w:rsidR="00CD2C0D" w:rsidRPr="00513E62" w:rsidRDefault="00CD2C0D" w:rsidP="00CD2C0D">
      <w:pPr>
        <w:pStyle w:val="Bullet1G"/>
      </w:pPr>
      <w:r w:rsidRPr="00513E62">
        <w:t>Latinos: Se aportan 8.000 euros para producir un documental sobre la cultura latina de Chipre. Los Servicios Culturales han colaborado en la cesión de un edificio para crear un recinto de exposiciones de la comunidad latina en Nicosia.</w:t>
      </w:r>
    </w:p>
    <w:p w:rsidR="00CD2C0D" w:rsidRPr="00513E62" w:rsidRDefault="00CD2C0D" w:rsidP="00CD2C0D">
      <w:pPr>
        <w:pStyle w:val="SingleTxtG"/>
      </w:pPr>
      <w:r w:rsidRPr="00513E62">
        <w:t>102.</w:t>
      </w:r>
      <w:r w:rsidRPr="00513E62">
        <w:tab/>
        <w:t>La ejecución de un programa de subvenciones para publicar traducciones al griego de obras literarias escritas por autores turcochipriotas, y viceversa, también promueve el diálogo intercultural y la diversidad.</w:t>
      </w:r>
    </w:p>
    <w:p w:rsidR="00CD2C0D" w:rsidRPr="00513E62" w:rsidRDefault="00CD2C0D" w:rsidP="00CD2C0D">
      <w:pPr>
        <w:pStyle w:val="H1G"/>
      </w:pPr>
      <w:r>
        <w:tab/>
      </w:r>
      <w:r>
        <w:tab/>
      </w:r>
      <w:bookmarkStart w:id="9" w:name="_Toc453253394"/>
      <w:r w:rsidRPr="00513E62">
        <w:t>Artículo 6</w:t>
      </w:r>
      <w:r w:rsidR="00D45525">
        <w:br/>
      </w:r>
      <w:r w:rsidRPr="00513E62">
        <w:t>Protección y recursos jurídicos efectivos</w:t>
      </w:r>
      <w:bookmarkEnd w:id="9"/>
    </w:p>
    <w:p w:rsidR="00CD2C0D" w:rsidRPr="00513E62" w:rsidRDefault="00CD2C0D" w:rsidP="00CD2C0D">
      <w:pPr>
        <w:pStyle w:val="H23G"/>
      </w:pPr>
      <w:r>
        <w:tab/>
      </w:r>
      <w:r w:rsidRPr="00513E62">
        <w:t>a)</w:t>
      </w:r>
      <w:r w:rsidRPr="00513E62">
        <w:tab/>
        <w:t>Información sobre las medidas legislativas, judiciales, a</w:t>
      </w:r>
      <w:r>
        <w:t>dministrativas o de otra índole </w:t>
      </w:r>
      <w:r w:rsidRPr="00513E62">
        <w:t xml:space="preserve">para dar efecto a las disposiciones del artículo 6 de </w:t>
      </w:r>
      <w:smartTag w:uri="urn:schemas-microsoft-com:office:smarttags" w:element="PersonName">
        <w:smartTagPr>
          <w:attr w:name="ProductID" w:val="la Convenci￳n"/>
        </w:smartTagPr>
        <w:r w:rsidRPr="00513E62">
          <w:t>la Convención</w:t>
        </w:r>
      </w:smartTag>
    </w:p>
    <w:p w:rsidR="00CD2C0D" w:rsidRPr="00513E62" w:rsidRDefault="00CD2C0D" w:rsidP="00CD2C0D">
      <w:pPr>
        <w:pStyle w:val="SingleTxtG"/>
      </w:pPr>
      <w:r w:rsidRPr="00513E62">
        <w:t>[Véase también el presente informe, artículos 2 y 5</w:t>
      </w:r>
      <w:r>
        <w:t>.</w:t>
      </w:r>
      <w:r w:rsidRPr="00513E62">
        <w:t>]</w:t>
      </w:r>
    </w:p>
    <w:p w:rsidR="00CD2C0D" w:rsidRPr="00513E62" w:rsidRDefault="00CD2C0D" w:rsidP="00CD2C0D">
      <w:pPr>
        <w:pStyle w:val="SingleTxtG"/>
      </w:pPr>
      <w:r w:rsidRPr="00513E62">
        <w:t>103.</w:t>
      </w:r>
      <w:r w:rsidRPr="00513E62">
        <w:tab/>
        <w:t xml:space="preserve">En </w:t>
      </w:r>
      <w:smartTag w:uri="urn:schemas-microsoft-com:office:smarttags" w:element="PersonName">
        <w:smartTagPr>
          <w:attr w:name="ProductID" w:val="la Ley"/>
        </w:smartTagPr>
        <w:r w:rsidRPr="00513E62">
          <w:t xml:space="preserve">la </w:t>
        </w:r>
        <w:r w:rsidRPr="00AA7E5A">
          <w:t>Ley</w:t>
        </w:r>
      </w:smartTag>
      <w:r w:rsidRPr="00AA7E5A">
        <w:t xml:space="preserve"> de </w:t>
      </w:r>
      <w:r w:rsidR="00AA7E5A" w:rsidRPr="00AA7E5A">
        <w:t xml:space="preserve">Constitución </w:t>
      </w:r>
      <w:r w:rsidRPr="00AA7E5A">
        <w:t xml:space="preserve">y </w:t>
      </w:r>
      <w:r w:rsidR="00AA7E5A" w:rsidRPr="00AA7E5A">
        <w:t xml:space="preserve">Funcionamiento </w:t>
      </w:r>
      <w:r w:rsidRPr="00AA7E5A">
        <w:t>del Tribunal Administrativo</w:t>
      </w:r>
      <w:r w:rsidRPr="00513E62">
        <w:t xml:space="preserve"> [</w:t>
      </w:r>
      <w:r w:rsidR="00AA7E5A">
        <w:t>núm. </w:t>
      </w:r>
      <w:proofErr w:type="spellStart"/>
      <w:r w:rsidRPr="00513E62">
        <w:t>L.131</w:t>
      </w:r>
      <w:proofErr w:type="spellEnd"/>
      <w:r w:rsidRPr="00513E62">
        <w:t xml:space="preserve">(I)/2015], en virtud de la cual se constituye el Tribunal Administrativo, se </w:t>
      </w:r>
      <w:r w:rsidRPr="00513E62">
        <w:lastRenderedPageBreak/>
        <w:t>prevé una protección extraordinaria para quienes soliciten protección internacional, habida cuenta de que al Tribunal se le confieren competencias para entender en recursos judiciales de primera instancia y, particularmente en casos de tributación y protección internacional, para examinar el fondo del caso y modificar o reemplazar la decisión administrativa correspondiente cuando lo estime oportuno. Se ha nombrado a los jueces del Tribunal y está previsto que este entre en funcionamiento en enero de 2016.</w:t>
      </w:r>
    </w:p>
    <w:p w:rsidR="00CD2C0D" w:rsidRPr="00513E62" w:rsidRDefault="00CD2C0D" w:rsidP="00CD2C0D">
      <w:pPr>
        <w:pStyle w:val="SingleTxtG"/>
      </w:pPr>
      <w:r w:rsidRPr="00513E62">
        <w:t>104.</w:t>
      </w:r>
      <w:r w:rsidRPr="00513E62">
        <w:tab/>
        <w:t>Se han publicado folletos informativos en siete lenguas (árabe, bengalí, griego, inglés, rumano, ruso y cingalés), con miras a informar a los nacionales de países no pertenecientes a la</w:t>
      </w:r>
      <w:r w:rsidR="00980D59">
        <w:t xml:space="preserve"> Unión Europea</w:t>
      </w:r>
      <w:r w:rsidRPr="00513E62">
        <w:t xml:space="preserve"> que trabajan en Chipre sobre </w:t>
      </w:r>
      <w:r w:rsidR="00F5410C">
        <w:t>sus derechos y obligaciones. El</w:t>
      </w:r>
      <w:r w:rsidR="00AA7E5A">
        <w:t xml:space="preserve"> </w:t>
      </w:r>
      <w:r w:rsidRPr="00513E62">
        <w:t>contrato modelo de empleo para nacionales de países no pertenecientes a la</w:t>
      </w:r>
      <w:r w:rsidR="00980D59">
        <w:t xml:space="preserve"> Unión Europea</w:t>
      </w:r>
      <w:r w:rsidRPr="00513E62">
        <w:t xml:space="preserve"> que se había publicado en griego e inglés se tradujo, en 2014, al árabe, el mandarín y el cingalés. Así, se informa a los trabajadores extranjeros de las cláusulas y las condiciones de su contrato de empleo en su propia lengua. En 2013, se publicaron unos folletos informativos sobre las disposiciones de </w:t>
      </w:r>
      <w:smartTag w:uri="urn:schemas-microsoft-com:office:smarttags" w:element="PersonName">
        <w:smartTagPr>
          <w:attr w:name="ProductID" w:val="la Ley"/>
        </w:smartTagPr>
        <w:r w:rsidRPr="00513E62">
          <w:t>la Ley</w:t>
        </w:r>
      </w:smartTag>
      <w:r w:rsidRPr="00513E62">
        <w:t xml:space="preserve"> de </w:t>
      </w:r>
      <w:r w:rsidR="00AA7E5A" w:rsidRPr="00513E62">
        <w:t xml:space="preserve">Agencias </w:t>
      </w:r>
      <w:r w:rsidRPr="00513E62">
        <w:t xml:space="preserve">de </w:t>
      </w:r>
      <w:r w:rsidR="00AA7E5A" w:rsidRPr="00513E62">
        <w:t xml:space="preserve">Empleo Privadas </w:t>
      </w:r>
      <w:r w:rsidRPr="00513E62">
        <w:t>y las obligaciones de estas agencias.</w:t>
      </w:r>
    </w:p>
    <w:p w:rsidR="00CD2C0D" w:rsidRPr="00513E62" w:rsidRDefault="00CD2C0D" w:rsidP="00CD2C0D">
      <w:pPr>
        <w:pStyle w:val="SingleTxtG"/>
      </w:pPr>
      <w:r w:rsidRPr="00513E62">
        <w:t>105.</w:t>
      </w:r>
      <w:r w:rsidRPr="00513E62">
        <w:tab/>
        <w:t>El mecanismo de denuncia tuvo é</w:t>
      </w:r>
      <w:r w:rsidR="00F5410C">
        <w:t xml:space="preserve">xito en su labor de prestar el </w:t>
      </w:r>
      <w:r w:rsidRPr="00513E62">
        <w:t>asesoramiento necesario para que las partes hallaran soluciones convenidas de mutuo acuerdo y se mantuviera la relación laboral de los trabajadores migrantes con su empleador. Las denuncias de los trabajadores domésticos han disminuido gradualmente. En total, dur</w:t>
      </w:r>
      <w:r w:rsidR="00F5410C">
        <w:t>ante </w:t>
      </w:r>
      <w:r w:rsidRPr="00513E62">
        <w:t>2014, esos trabajadores presentaron 799 denuncias, en comparación con las 815 que habían presentado en 2013 y las 911 que habían presentado en 2012. En 2014, 201 denuncias que afectaban a trabajadores domésticos se resolvieron mediante la firma de un contrato de liberación.</w:t>
      </w:r>
    </w:p>
    <w:p w:rsidR="00CD2C0D" w:rsidRPr="00513E62" w:rsidRDefault="00CD2C0D" w:rsidP="00CD2C0D">
      <w:pPr>
        <w:pStyle w:val="SingleTxtG"/>
      </w:pPr>
      <w:r w:rsidRPr="00513E62">
        <w:t>106.</w:t>
      </w:r>
      <w:r w:rsidRPr="00513E62">
        <w:tab/>
        <w:t>Se ha hecho un esfuerzo constante por mejorar el funcionamiento del mecanismo de inspección</w:t>
      </w:r>
      <w:r w:rsidR="00F5410C">
        <w:t>, capacitando a los inspectores</w:t>
      </w:r>
      <w:r w:rsidRPr="00513E62">
        <w:t xml:space="preserve"> y elaborando unos manuales que sirvan para distintos tipos de inspecciones. Hay un programa cofinanciado por el Fondo Social Europeo, que empezó en julio de 2010 y terminará a finales de 2015 y cuya finalidad es mejorar la implantación de la igualdad en las leyes de empleo y, en concreto, promover medidas para reducir las diferencias de sueldo que obedecen a motivos de género. Se ha instaurado un mecanismo de inspección cuyas inspecciones garantizarán la aplicación efectiva de las leyes de igualdad (igualdad de trato de las mujeres y los hombres, con independencia del color y la ascendencia étnica). Las inspecciones incumben a las dependencias de inspección del trabajo no declarado e ilegal.</w:t>
      </w:r>
    </w:p>
    <w:p w:rsidR="00CD2C0D" w:rsidRPr="00513E62" w:rsidRDefault="00CD2C0D" w:rsidP="00CD2C0D">
      <w:pPr>
        <w:pStyle w:val="H23G"/>
      </w:pPr>
      <w:r>
        <w:tab/>
      </w:r>
      <w:r w:rsidRPr="00513E62">
        <w:t>b)</w:t>
      </w:r>
      <w:r w:rsidRPr="00513E62">
        <w:tab/>
        <w:t xml:space="preserve">Información sobre si se ha establecido o </w:t>
      </w:r>
      <w:r>
        <w:t>designado un órgano, dentro del </w:t>
      </w:r>
      <w:r w:rsidRPr="00513E62">
        <w:t>ordenamiento jurídico nacional, que sea compete</w:t>
      </w:r>
      <w:r>
        <w:t>nte para recibir y examinar </w:t>
      </w:r>
      <w:r w:rsidRPr="00513E62">
        <w:t>peticiones de personas o grupos de personas</w:t>
      </w:r>
    </w:p>
    <w:p w:rsidR="00CD2C0D" w:rsidRPr="00513E62" w:rsidRDefault="00CD2C0D" w:rsidP="00CD2C0D">
      <w:pPr>
        <w:pStyle w:val="SingleTxtG"/>
      </w:pPr>
      <w:r w:rsidRPr="00513E62">
        <w:t>107.</w:t>
      </w:r>
      <w:r w:rsidRPr="00513E62">
        <w:tab/>
        <w:t xml:space="preserve">En virtud de una declaración de 30 de diciembre de 1993, la República de Chipre reconoció la competencia del Comité </w:t>
      </w:r>
      <w:r w:rsidR="003E5441">
        <w:t>para</w:t>
      </w:r>
      <w:r w:rsidRPr="00513E62">
        <w:t xml:space="preserve"> la Eliminación de </w:t>
      </w:r>
      <w:r w:rsidR="003E5441">
        <w:t xml:space="preserve">la </w:t>
      </w:r>
      <w:r w:rsidRPr="00513E62">
        <w:t>Discriminación Racial establecida conforme el artículo 14, párrafo 1, de la Convención, para recibir y examinar comunicaciones de personas o grupos de personas comprendidas dentro de su jurisdicción que consideraran ser víctimas de violaciones, por parte de la República de Chipre, de cualquiera de los derechos estipulados en la Convención.</w:t>
      </w:r>
    </w:p>
    <w:p w:rsidR="00CD2C0D" w:rsidRPr="00513E62" w:rsidRDefault="00CD2C0D" w:rsidP="00CD2C0D">
      <w:pPr>
        <w:pStyle w:val="H1G"/>
      </w:pPr>
      <w:r>
        <w:tab/>
      </w:r>
      <w:r>
        <w:tab/>
      </w:r>
      <w:bookmarkStart w:id="10" w:name="_Toc453253395"/>
      <w:r w:rsidRPr="00513E62">
        <w:t>Artículo 7</w:t>
      </w:r>
      <w:r w:rsidR="00D45525">
        <w:br/>
      </w:r>
      <w:r w:rsidRPr="00513E62">
        <w:t>Educación, cultura e información</w:t>
      </w:r>
      <w:bookmarkEnd w:id="10"/>
    </w:p>
    <w:p w:rsidR="00CD2C0D" w:rsidRPr="00513E62" w:rsidRDefault="00CD2C0D" w:rsidP="00CD2C0D">
      <w:pPr>
        <w:pStyle w:val="H23G"/>
      </w:pPr>
      <w:r>
        <w:tab/>
      </w:r>
      <w:r w:rsidRPr="00513E62">
        <w:t>a)</w:t>
      </w:r>
      <w:r w:rsidRPr="00513E62">
        <w:tab/>
        <w:t>Educación y enseñanza</w:t>
      </w:r>
    </w:p>
    <w:p w:rsidR="00CD2C0D" w:rsidRPr="00513E62" w:rsidRDefault="00CD2C0D" w:rsidP="00CD2C0D">
      <w:pPr>
        <w:pStyle w:val="SingleTxtG"/>
      </w:pPr>
      <w:r w:rsidRPr="00513E62">
        <w:t>108.</w:t>
      </w:r>
      <w:r w:rsidRPr="00513E62">
        <w:tab/>
        <w:t xml:space="preserve">El Ministerio de Educación y Cultura envía a las escuelas, de manera periódica, unas circulares que versan sobre la cuestión de la igualdad de trato con independencia de la </w:t>
      </w:r>
      <w:r w:rsidRPr="00513E62">
        <w:lastRenderedPageBreak/>
        <w:t xml:space="preserve">ascendencia racial o étnica y ha instituido unos programas para promover el entendimiento, la tolerancia y la diversidad. Por ejemplo, los programas </w:t>
      </w:r>
      <w:r>
        <w:t>“</w:t>
      </w:r>
      <w:r w:rsidRPr="00513E62">
        <w:t>Cultivo de actitudes y comportamientos propios de un ciudadano democrático</w:t>
      </w:r>
      <w:r>
        <w:t>”</w:t>
      </w:r>
      <w:r w:rsidRPr="00513E62">
        <w:t xml:space="preserve"> (2012-2013) y </w:t>
      </w:r>
      <w:r>
        <w:t>“</w:t>
      </w:r>
      <w:r w:rsidRPr="00513E62">
        <w:t>Fomento de la ciudadanía activa con un énfasis especial en la solidaridad social</w:t>
      </w:r>
      <w:r>
        <w:t>”</w:t>
      </w:r>
      <w:r w:rsidRPr="00513E62">
        <w:t xml:space="preserve"> (2013-2014). La diversidad es un tema recurrente en muchas asignaturas de los programas de estudio y </w:t>
      </w:r>
      <w:r w:rsidR="00F5410C">
        <w:t xml:space="preserve">los libros de texto escolares, </w:t>
      </w:r>
      <w:r w:rsidRPr="00513E62">
        <w:t xml:space="preserve">como historia, lengua griega contemporánea, literatura y educación sanitaria. </w:t>
      </w:r>
    </w:p>
    <w:p w:rsidR="00CD2C0D" w:rsidRPr="00513E62" w:rsidRDefault="00CD2C0D" w:rsidP="00CD2C0D">
      <w:pPr>
        <w:pStyle w:val="SingleTxtG"/>
      </w:pPr>
      <w:r w:rsidRPr="00513E62">
        <w:t>109.</w:t>
      </w:r>
      <w:r w:rsidRPr="00513E62">
        <w:tab/>
        <w:t xml:space="preserve">Se han promulgado una serie de enmiendas a </w:t>
      </w:r>
      <w:smartTag w:uri="urn:schemas-microsoft-com:office:smarttags" w:element="PersonName">
        <w:smartTagPr>
          <w:attr w:name="ProductID" w:val="la Ley"/>
        </w:smartTagPr>
        <w:r w:rsidRPr="00513E62">
          <w:t xml:space="preserve">la </w:t>
        </w:r>
        <w:r w:rsidRPr="00AA7E5A">
          <w:t>Ley</w:t>
        </w:r>
      </w:smartTag>
      <w:r w:rsidRPr="00AA7E5A">
        <w:t xml:space="preserve"> de </w:t>
      </w:r>
      <w:r w:rsidR="00AA7E5A" w:rsidRPr="00AA7E5A">
        <w:t xml:space="preserve">Educación </w:t>
      </w:r>
      <w:r w:rsidRPr="00AA7E5A">
        <w:t xml:space="preserve">y </w:t>
      </w:r>
      <w:r w:rsidR="00AA7E5A" w:rsidRPr="00AA7E5A">
        <w:t xml:space="preserve">Formación </w:t>
      </w:r>
      <w:r w:rsidRPr="00AA7E5A">
        <w:t xml:space="preserve">de los </w:t>
      </w:r>
      <w:r w:rsidR="00AA7E5A" w:rsidRPr="00AA7E5A">
        <w:t xml:space="preserve">Niños </w:t>
      </w:r>
      <w:r w:rsidRPr="00AA7E5A">
        <w:t xml:space="preserve">con </w:t>
      </w:r>
      <w:r w:rsidR="00AA7E5A" w:rsidRPr="00AA7E5A">
        <w:t>Necesidades Especiales</w:t>
      </w:r>
      <w:r w:rsidR="00AA7E5A" w:rsidRPr="00513E62">
        <w:t xml:space="preserve"> </w:t>
      </w:r>
      <w:r w:rsidRPr="00513E62">
        <w:t>[</w:t>
      </w:r>
      <w:r w:rsidR="00AA7E5A">
        <w:t xml:space="preserve">núm. </w:t>
      </w:r>
      <w:proofErr w:type="spellStart"/>
      <w:r w:rsidRPr="00513E62">
        <w:t>L.87</w:t>
      </w:r>
      <w:proofErr w:type="spellEnd"/>
      <w:r w:rsidRPr="00513E62">
        <w:t xml:space="preserve">(I)/2014] y al Reglamento correspondiente </w:t>
      </w:r>
      <w:r w:rsidR="00AA7E5A">
        <w:t xml:space="preserve">núm. </w:t>
      </w:r>
      <w:proofErr w:type="spellStart"/>
      <w:r w:rsidRPr="00513E62">
        <w:t>R.416</w:t>
      </w:r>
      <w:proofErr w:type="spellEnd"/>
      <w:r w:rsidRPr="00513E62">
        <w:t>/2013, a fin de reforzar adicionalmente los derechos de los niños con discapacidad. Por ejemplo:</w:t>
      </w:r>
    </w:p>
    <w:p w:rsidR="00CD2C0D" w:rsidRPr="00513E62" w:rsidRDefault="00CD2C0D" w:rsidP="00CD2C0D">
      <w:pPr>
        <w:pStyle w:val="Bullet1G"/>
      </w:pPr>
      <w:r w:rsidRPr="00513E62">
        <w:t xml:space="preserve">Los niños con problemas de salud que se ausenten durante mucho tiempo de la escuela se pueden clasificar como niños con necesidades especiales </w:t>
      </w:r>
      <w:r w:rsidRPr="00513E62">
        <w:rPr>
          <w:i/>
        </w:rPr>
        <w:t>temporales</w:t>
      </w:r>
      <w:r w:rsidRPr="00513E62">
        <w:t xml:space="preserve"> y, por tanto, tener derecho a recibir clases particulares</w:t>
      </w:r>
      <w:r>
        <w:t xml:space="preserve"> en casa o en el hospital.</w:t>
      </w:r>
    </w:p>
    <w:p w:rsidR="00CD2C0D" w:rsidRPr="00513E62" w:rsidRDefault="00CD2C0D" w:rsidP="00CD2C0D">
      <w:pPr>
        <w:pStyle w:val="Bullet1G"/>
      </w:pPr>
      <w:r w:rsidRPr="00513E62">
        <w:t>Los equipos multidisciplinarios que se formen en los comités educativos de distrito para evaluar las necesidades educativas de los niños contarán con los especialistas apropiados según las neces</w:t>
      </w:r>
      <w:r>
        <w:t>idades específicas de cada niño.</w:t>
      </w:r>
    </w:p>
    <w:p w:rsidR="00CD2C0D" w:rsidRPr="00513E62" w:rsidRDefault="00CD2C0D" w:rsidP="00CD2C0D">
      <w:pPr>
        <w:pStyle w:val="Bullet1G"/>
      </w:pPr>
      <w:r w:rsidRPr="00513E62">
        <w:t>Los alumnos de educación especial que asistan a escuelas de enseñanza secundaria o escuelas especiales tendrán derecho a permanecer en ellas</w:t>
      </w:r>
      <w:r>
        <w:t xml:space="preserve"> hasta los 21 años de edad.</w:t>
      </w:r>
    </w:p>
    <w:p w:rsidR="00CD2C0D" w:rsidRPr="00513E62" w:rsidRDefault="00CD2C0D" w:rsidP="00CD2C0D">
      <w:pPr>
        <w:pStyle w:val="Bullet1G"/>
      </w:pPr>
      <w:r w:rsidRPr="00513E62">
        <w:t>Artículo 6 del Reglamento: Los padres tienen derecho a obtener una copia del texto del historial de su hijo que se guarda en el archivo del</w:t>
      </w:r>
      <w:r>
        <w:t xml:space="preserve"> comité educativo de distrito.</w:t>
      </w:r>
    </w:p>
    <w:p w:rsidR="00CD2C0D" w:rsidRPr="00513E62" w:rsidRDefault="00CD2C0D" w:rsidP="00CD2C0D">
      <w:pPr>
        <w:pStyle w:val="Bullet1G"/>
      </w:pPr>
      <w:r w:rsidRPr="00513E62">
        <w:t xml:space="preserve">Artículos 65, 67 y 68 del Reglamento: </w:t>
      </w:r>
      <w:r w:rsidR="00306C8D" w:rsidRPr="00513E62">
        <w:t xml:space="preserve">Cuando </w:t>
      </w:r>
      <w:r w:rsidRPr="00513E62">
        <w:t>los niños con necesidades educativas especiales tengan derecho a los servicios especiales de un transcriptor no tendrán que especificar la gramática de sus palabras al examinador. El empleo de este u otros servicios no constará en los certificados escolares.</w:t>
      </w:r>
    </w:p>
    <w:p w:rsidR="00CD2C0D" w:rsidRPr="00513E62" w:rsidRDefault="00CD2C0D" w:rsidP="00CD2C0D">
      <w:pPr>
        <w:pStyle w:val="SingleTxtG"/>
      </w:pPr>
      <w:r w:rsidRPr="00513E62">
        <w:t>110.</w:t>
      </w:r>
      <w:r w:rsidRPr="00513E62">
        <w:tab/>
        <w:t xml:space="preserve">Además, en marzo de 2015, 15 consejeros escolares acompañaron a una serie de alumnos de origen migrante a un foro sobre la lucha contra el racismo y la discriminación organizado por </w:t>
      </w:r>
      <w:smartTag w:uri="urn:schemas-microsoft-com:office:smarttags" w:element="PersonName">
        <w:smartTagPr>
          <w:attr w:name="ProductID" w:val="la Oficina"/>
        </w:smartTagPr>
        <w:r w:rsidRPr="00513E62">
          <w:t>la Oficina</w:t>
        </w:r>
      </w:smartTag>
      <w:r w:rsidRPr="00513E62">
        <w:t xml:space="preserve"> del Ombudsman, el Consejo de </w:t>
      </w:r>
      <w:smartTag w:uri="urn:schemas-microsoft-com:office:smarttags" w:element="PersonName">
        <w:smartTagPr>
          <w:attr w:name="ProductID" w:val="la Juventud"/>
        </w:smartTagPr>
        <w:r w:rsidRPr="00513E62">
          <w:t>la Juventud</w:t>
        </w:r>
      </w:smartTag>
      <w:r w:rsidRPr="00513E62">
        <w:t xml:space="preserve"> de Chipre, el Observatorio de </w:t>
      </w:r>
      <w:smartTag w:uri="urn:schemas-microsoft-com:office:smarttags" w:element="PersonName">
        <w:smartTagPr>
          <w:attr w:name="ProductID" w:val="la Violencia"/>
        </w:smartTagPr>
        <w:r w:rsidRPr="00513E62">
          <w:t>la Violencia</w:t>
        </w:r>
      </w:smartTag>
      <w:r w:rsidRPr="00513E62">
        <w:t xml:space="preserve"> en las Escuelas y el Servicio de Asesoramiento y Educación. El foro tenía por finalidad determinar los aspect</w:t>
      </w:r>
      <w:r w:rsidR="00306C8D">
        <w:t xml:space="preserve">os problemáticos que entrañaba </w:t>
      </w:r>
      <w:r w:rsidRPr="00513E62">
        <w:t>la lucha contra los incidentes racistas en la escuela y dejar constancia de ellos. Y, para ello, los alumnos realizaron actividades destinadas a promover la revelación y el intercambio de experiencias personales y buenas prácticas entre los consejeros escolares.</w:t>
      </w:r>
    </w:p>
    <w:p w:rsidR="00CD2C0D" w:rsidRDefault="00CD2C0D" w:rsidP="00CD2C0D">
      <w:pPr>
        <w:pStyle w:val="SingleTxtG"/>
      </w:pPr>
      <w:r w:rsidRPr="00513E62">
        <w:t>111.</w:t>
      </w:r>
      <w:r w:rsidRPr="00513E62">
        <w:tab/>
        <w:t xml:space="preserve">El equipo interdisciplinario de expertos del Grupo de Trabajo sobre </w:t>
      </w:r>
      <w:r w:rsidR="000F0209" w:rsidRPr="00513E62">
        <w:t xml:space="preserve">Violencia Escolar </w:t>
      </w:r>
      <w:r w:rsidRPr="00513E62">
        <w:t>proporciona ayuda y orientación a las escuelas que sufren situaciones de emergencia provocadas por la violencia y la delincuencia juvenil, entre ellas los incidentes racistas. En el cuadro siguiente figuran las solicitudes de intervención del Grupo de Traba</w:t>
      </w:r>
      <w:r w:rsidR="00306C8D">
        <w:t>jo presentadas por las escuelas.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7"/>
        <w:gridCol w:w="2456"/>
        <w:gridCol w:w="2457"/>
      </w:tblGrid>
      <w:tr w:rsidR="00CD2C0D" w:rsidRPr="00AF74E6" w:rsidTr="003E5441">
        <w:tc>
          <w:tcPr>
            <w:tcW w:w="3259" w:type="dxa"/>
            <w:tcBorders>
              <w:top w:val="single" w:sz="4" w:space="0" w:color="auto"/>
              <w:bottom w:val="single" w:sz="12" w:space="0" w:color="auto"/>
            </w:tcBorders>
            <w:shd w:val="clear" w:color="auto" w:fill="auto"/>
            <w:vAlign w:val="bottom"/>
          </w:tcPr>
          <w:p w:rsidR="00CD2C0D" w:rsidRPr="00AF74E6" w:rsidRDefault="00CD2C0D" w:rsidP="003E5441">
            <w:pPr>
              <w:pStyle w:val="SingleTxtG"/>
              <w:spacing w:before="80" w:after="80" w:line="200" w:lineRule="exact"/>
              <w:ind w:left="0" w:right="0"/>
              <w:jc w:val="left"/>
              <w:rPr>
                <w:i/>
                <w:sz w:val="16"/>
              </w:rPr>
            </w:pPr>
            <w:r w:rsidRPr="00AF74E6">
              <w:rPr>
                <w:i/>
                <w:sz w:val="16"/>
              </w:rPr>
              <w:t>Ejercicio académico</w:t>
            </w:r>
          </w:p>
        </w:tc>
        <w:tc>
          <w:tcPr>
            <w:tcW w:w="3259" w:type="dxa"/>
            <w:tcBorders>
              <w:top w:val="single" w:sz="4" w:space="0" w:color="auto"/>
              <w:bottom w:val="single" w:sz="12" w:space="0" w:color="auto"/>
            </w:tcBorders>
            <w:shd w:val="clear" w:color="auto" w:fill="auto"/>
            <w:vAlign w:val="bottom"/>
          </w:tcPr>
          <w:p w:rsidR="00CD2C0D" w:rsidRPr="00AF74E6" w:rsidRDefault="00CD2C0D" w:rsidP="003E5441">
            <w:pPr>
              <w:pStyle w:val="SingleTxtG"/>
              <w:spacing w:before="80" w:after="80" w:line="200" w:lineRule="exact"/>
              <w:ind w:left="0" w:right="0"/>
              <w:jc w:val="right"/>
              <w:rPr>
                <w:i/>
                <w:sz w:val="16"/>
              </w:rPr>
            </w:pPr>
            <w:r w:rsidRPr="00AF74E6">
              <w:rPr>
                <w:i/>
                <w:sz w:val="16"/>
              </w:rPr>
              <w:t>Enseñanza primaria</w:t>
            </w:r>
          </w:p>
        </w:tc>
        <w:tc>
          <w:tcPr>
            <w:tcW w:w="3260" w:type="dxa"/>
            <w:tcBorders>
              <w:top w:val="single" w:sz="4" w:space="0" w:color="auto"/>
              <w:bottom w:val="single" w:sz="12" w:space="0" w:color="auto"/>
            </w:tcBorders>
            <w:shd w:val="clear" w:color="auto" w:fill="auto"/>
            <w:vAlign w:val="bottom"/>
          </w:tcPr>
          <w:p w:rsidR="00CD2C0D" w:rsidRPr="00AF74E6" w:rsidRDefault="00CD2C0D" w:rsidP="003E5441">
            <w:pPr>
              <w:pStyle w:val="SingleTxtG"/>
              <w:spacing w:before="80" w:after="80" w:line="200" w:lineRule="exact"/>
              <w:ind w:left="0" w:right="0"/>
              <w:jc w:val="right"/>
              <w:rPr>
                <w:i/>
                <w:sz w:val="16"/>
              </w:rPr>
            </w:pPr>
            <w:r w:rsidRPr="00AF74E6">
              <w:rPr>
                <w:i/>
                <w:sz w:val="16"/>
              </w:rPr>
              <w:t>Enseñanza secundaria</w:t>
            </w:r>
          </w:p>
        </w:tc>
      </w:tr>
      <w:tr w:rsidR="00CD2C0D" w:rsidRPr="00AF74E6" w:rsidTr="003E5441">
        <w:tc>
          <w:tcPr>
            <w:tcW w:w="3259" w:type="dxa"/>
            <w:tcBorders>
              <w:top w:val="single" w:sz="12" w:space="0" w:color="auto"/>
            </w:tcBorders>
            <w:shd w:val="clear" w:color="auto" w:fill="auto"/>
            <w:vAlign w:val="bottom"/>
          </w:tcPr>
          <w:p w:rsidR="00CD2C0D" w:rsidRPr="00AF74E6" w:rsidRDefault="000F0209" w:rsidP="003E5441">
            <w:pPr>
              <w:pStyle w:val="SingleTxtG"/>
              <w:spacing w:before="40" w:after="40" w:line="220" w:lineRule="exact"/>
              <w:ind w:left="0" w:right="0"/>
              <w:jc w:val="left"/>
              <w:rPr>
                <w:sz w:val="18"/>
              </w:rPr>
            </w:pPr>
            <w:r>
              <w:t>2012/</w:t>
            </w:r>
            <w:r w:rsidR="00CD2C0D" w:rsidRPr="00513E62">
              <w:t>13</w:t>
            </w:r>
          </w:p>
        </w:tc>
        <w:tc>
          <w:tcPr>
            <w:tcW w:w="3259" w:type="dxa"/>
            <w:tcBorders>
              <w:top w:val="single" w:sz="12" w:space="0" w:color="auto"/>
            </w:tcBorders>
            <w:shd w:val="clear" w:color="auto" w:fill="auto"/>
            <w:vAlign w:val="bottom"/>
          </w:tcPr>
          <w:p w:rsidR="00CD2C0D" w:rsidRPr="00AF74E6" w:rsidRDefault="00CD2C0D" w:rsidP="003E5441">
            <w:pPr>
              <w:pStyle w:val="SingleTxtG"/>
              <w:spacing w:before="40" w:after="40" w:line="220" w:lineRule="exact"/>
              <w:ind w:left="0" w:right="0"/>
              <w:jc w:val="right"/>
              <w:rPr>
                <w:sz w:val="18"/>
              </w:rPr>
            </w:pPr>
            <w:r>
              <w:rPr>
                <w:sz w:val="18"/>
              </w:rPr>
              <w:t>73</w:t>
            </w:r>
          </w:p>
        </w:tc>
        <w:tc>
          <w:tcPr>
            <w:tcW w:w="3260" w:type="dxa"/>
            <w:tcBorders>
              <w:top w:val="single" w:sz="12" w:space="0" w:color="auto"/>
            </w:tcBorders>
            <w:shd w:val="clear" w:color="auto" w:fill="auto"/>
            <w:vAlign w:val="bottom"/>
          </w:tcPr>
          <w:p w:rsidR="00CD2C0D" w:rsidRPr="00AF74E6" w:rsidRDefault="00CD2C0D" w:rsidP="003E5441">
            <w:pPr>
              <w:pStyle w:val="SingleTxtG"/>
              <w:spacing w:before="40" w:after="40" w:line="220" w:lineRule="exact"/>
              <w:ind w:left="0" w:right="0"/>
              <w:jc w:val="right"/>
              <w:rPr>
                <w:sz w:val="18"/>
              </w:rPr>
            </w:pPr>
            <w:r>
              <w:rPr>
                <w:sz w:val="18"/>
              </w:rPr>
              <w:t>60</w:t>
            </w:r>
          </w:p>
        </w:tc>
      </w:tr>
      <w:tr w:rsidR="00CD2C0D" w:rsidRPr="00AF74E6" w:rsidTr="003E5441">
        <w:tc>
          <w:tcPr>
            <w:tcW w:w="3259" w:type="dxa"/>
            <w:shd w:val="clear" w:color="auto" w:fill="auto"/>
            <w:vAlign w:val="bottom"/>
          </w:tcPr>
          <w:p w:rsidR="00CD2C0D" w:rsidRPr="00AF74E6" w:rsidRDefault="000F0209" w:rsidP="003E5441">
            <w:pPr>
              <w:pStyle w:val="SingleTxtG"/>
              <w:spacing w:before="40" w:after="40" w:line="220" w:lineRule="exact"/>
              <w:ind w:left="0" w:right="0"/>
              <w:jc w:val="left"/>
              <w:rPr>
                <w:sz w:val="18"/>
              </w:rPr>
            </w:pPr>
            <w:r>
              <w:t>2013/</w:t>
            </w:r>
            <w:r w:rsidR="00CD2C0D" w:rsidRPr="00513E62">
              <w:t>14</w:t>
            </w:r>
          </w:p>
        </w:tc>
        <w:tc>
          <w:tcPr>
            <w:tcW w:w="3259" w:type="dxa"/>
            <w:shd w:val="clear" w:color="auto" w:fill="auto"/>
            <w:vAlign w:val="bottom"/>
          </w:tcPr>
          <w:p w:rsidR="00CD2C0D" w:rsidRPr="00AF74E6" w:rsidRDefault="00CD2C0D" w:rsidP="003E5441">
            <w:pPr>
              <w:pStyle w:val="SingleTxtG"/>
              <w:spacing w:before="40" w:after="40" w:line="220" w:lineRule="exact"/>
              <w:ind w:left="0" w:right="0"/>
              <w:jc w:val="right"/>
              <w:rPr>
                <w:sz w:val="18"/>
              </w:rPr>
            </w:pPr>
            <w:r>
              <w:rPr>
                <w:sz w:val="18"/>
              </w:rPr>
              <w:t>100</w:t>
            </w:r>
          </w:p>
        </w:tc>
        <w:tc>
          <w:tcPr>
            <w:tcW w:w="3260" w:type="dxa"/>
            <w:shd w:val="clear" w:color="auto" w:fill="auto"/>
            <w:vAlign w:val="bottom"/>
          </w:tcPr>
          <w:p w:rsidR="00CD2C0D" w:rsidRPr="00AF74E6" w:rsidRDefault="00CD2C0D" w:rsidP="003E5441">
            <w:pPr>
              <w:pStyle w:val="SingleTxtG"/>
              <w:spacing w:before="40" w:after="40" w:line="220" w:lineRule="exact"/>
              <w:ind w:left="0" w:right="0"/>
              <w:jc w:val="right"/>
              <w:rPr>
                <w:sz w:val="18"/>
              </w:rPr>
            </w:pPr>
            <w:r>
              <w:rPr>
                <w:sz w:val="18"/>
              </w:rPr>
              <w:t>70</w:t>
            </w:r>
          </w:p>
        </w:tc>
      </w:tr>
      <w:tr w:rsidR="00CD2C0D" w:rsidRPr="00AF74E6" w:rsidTr="003E5441">
        <w:tc>
          <w:tcPr>
            <w:tcW w:w="3259" w:type="dxa"/>
            <w:tcBorders>
              <w:bottom w:val="single" w:sz="4" w:space="0" w:color="auto"/>
            </w:tcBorders>
            <w:shd w:val="clear" w:color="auto" w:fill="auto"/>
            <w:vAlign w:val="bottom"/>
          </w:tcPr>
          <w:p w:rsidR="00CD2C0D" w:rsidRPr="00AF74E6" w:rsidRDefault="000F0209" w:rsidP="003E5441">
            <w:pPr>
              <w:pStyle w:val="SingleTxtG"/>
              <w:spacing w:before="40" w:after="40" w:line="220" w:lineRule="exact"/>
              <w:ind w:left="0" w:right="0"/>
              <w:jc w:val="left"/>
              <w:rPr>
                <w:sz w:val="18"/>
              </w:rPr>
            </w:pPr>
            <w:r>
              <w:t>2014/</w:t>
            </w:r>
            <w:r w:rsidR="00CD2C0D" w:rsidRPr="00513E62">
              <w:t>15</w:t>
            </w:r>
          </w:p>
        </w:tc>
        <w:tc>
          <w:tcPr>
            <w:tcW w:w="3259" w:type="dxa"/>
            <w:tcBorders>
              <w:bottom w:val="single" w:sz="4" w:space="0" w:color="auto"/>
            </w:tcBorders>
            <w:shd w:val="clear" w:color="auto" w:fill="auto"/>
            <w:vAlign w:val="bottom"/>
          </w:tcPr>
          <w:p w:rsidR="00CD2C0D" w:rsidRPr="00AF74E6" w:rsidRDefault="00CD2C0D" w:rsidP="003E5441">
            <w:pPr>
              <w:pStyle w:val="SingleTxtG"/>
              <w:spacing w:before="40" w:after="40" w:line="220" w:lineRule="exact"/>
              <w:ind w:left="0" w:right="0"/>
              <w:jc w:val="right"/>
              <w:rPr>
                <w:sz w:val="18"/>
              </w:rPr>
            </w:pPr>
            <w:r>
              <w:rPr>
                <w:sz w:val="18"/>
              </w:rPr>
              <w:t>112</w:t>
            </w:r>
          </w:p>
        </w:tc>
        <w:tc>
          <w:tcPr>
            <w:tcW w:w="3260" w:type="dxa"/>
            <w:tcBorders>
              <w:bottom w:val="single" w:sz="4" w:space="0" w:color="auto"/>
            </w:tcBorders>
            <w:shd w:val="clear" w:color="auto" w:fill="auto"/>
            <w:vAlign w:val="bottom"/>
          </w:tcPr>
          <w:p w:rsidR="00CD2C0D" w:rsidRPr="00AF74E6" w:rsidRDefault="00CD2C0D" w:rsidP="003E5441">
            <w:pPr>
              <w:pStyle w:val="SingleTxtG"/>
              <w:spacing w:before="40" w:after="40" w:line="220" w:lineRule="exact"/>
              <w:ind w:left="0" w:right="0"/>
              <w:jc w:val="right"/>
              <w:rPr>
                <w:sz w:val="18"/>
              </w:rPr>
            </w:pPr>
            <w:r>
              <w:rPr>
                <w:sz w:val="18"/>
              </w:rPr>
              <w:t>116</w:t>
            </w:r>
          </w:p>
        </w:tc>
      </w:tr>
      <w:tr w:rsidR="00CD2C0D" w:rsidRPr="00AF74E6" w:rsidTr="003E5441">
        <w:tc>
          <w:tcPr>
            <w:tcW w:w="3259" w:type="dxa"/>
            <w:tcBorders>
              <w:top w:val="single" w:sz="4" w:space="0" w:color="auto"/>
              <w:bottom w:val="single" w:sz="4" w:space="0" w:color="auto"/>
            </w:tcBorders>
            <w:shd w:val="clear" w:color="auto" w:fill="auto"/>
            <w:vAlign w:val="bottom"/>
          </w:tcPr>
          <w:p w:rsidR="00CD2C0D" w:rsidRPr="00AF74E6" w:rsidRDefault="00CD2C0D" w:rsidP="003E5441">
            <w:pPr>
              <w:pStyle w:val="SingleTxtG"/>
              <w:spacing w:before="80" w:after="80" w:line="220" w:lineRule="exact"/>
              <w:ind w:left="283" w:right="0"/>
              <w:jc w:val="left"/>
              <w:rPr>
                <w:b/>
                <w:sz w:val="18"/>
              </w:rPr>
            </w:pPr>
            <w:r w:rsidRPr="00AF74E6">
              <w:rPr>
                <w:b/>
              </w:rPr>
              <w:t>Subtotal</w:t>
            </w:r>
          </w:p>
        </w:tc>
        <w:tc>
          <w:tcPr>
            <w:tcW w:w="3259" w:type="dxa"/>
            <w:tcBorders>
              <w:top w:val="single" w:sz="4" w:space="0" w:color="auto"/>
              <w:bottom w:val="single" w:sz="4" w:space="0" w:color="auto"/>
            </w:tcBorders>
            <w:shd w:val="clear" w:color="auto" w:fill="auto"/>
            <w:vAlign w:val="bottom"/>
          </w:tcPr>
          <w:p w:rsidR="00CD2C0D" w:rsidRPr="00AF74E6" w:rsidRDefault="00CD2C0D" w:rsidP="003E5441">
            <w:pPr>
              <w:pStyle w:val="SingleTxtG"/>
              <w:spacing w:before="80" w:after="80" w:line="220" w:lineRule="exact"/>
              <w:ind w:left="0" w:right="0"/>
              <w:jc w:val="right"/>
              <w:rPr>
                <w:b/>
                <w:sz w:val="18"/>
              </w:rPr>
            </w:pPr>
            <w:r w:rsidRPr="00AF74E6">
              <w:rPr>
                <w:b/>
                <w:sz w:val="18"/>
              </w:rPr>
              <w:t>285</w:t>
            </w:r>
          </w:p>
        </w:tc>
        <w:tc>
          <w:tcPr>
            <w:tcW w:w="3260" w:type="dxa"/>
            <w:tcBorders>
              <w:top w:val="single" w:sz="4" w:space="0" w:color="auto"/>
              <w:bottom w:val="single" w:sz="4" w:space="0" w:color="auto"/>
            </w:tcBorders>
            <w:shd w:val="clear" w:color="auto" w:fill="auto"/>
            <w:vAlign w:val="bottom"/>
          </w:tcPr>
          <w:p w:rsidR="00CD2C0D" w:rsidRPr="00AF74E6" w:rsidRDefault="00CD2C0D" w:rsidP="003E5441">
            <w:pPr>
              <w:pStyle w:val="SingleTxtG"/>
              <w:spacing w:before="80" w:after="80" w:line="220" w:lineRule="exact"/>
              <w:ind w:left="0" w:right="0"/>
              <w:jc w:val="right"/>
              <w:rPr>
                <w:b/>
                <w:sz w:val="18"/>
              </w:rPr>
            </w:pPr>
            <w:r w:rsidRPr="00AF74E6">
              <w:rPr>
                <w:b/>
                <w:sz w:val="18"/>
              </w:rPr>
              <w:t>246</w:t>
            </w:r>
          </w:p>
        </w:tc>
      </w:tr>
      <w:tr w:rsidR="00CD2C0D" w:rsidRPr="00AF74E6" w:rsidTr="003E5441">
        <w:tc>
          <w:tcPr>
            <w:tcW w:w="3259" w:type="dxa"/>
            <w:tcBorders>
              <w:top w:val="single" w:sz="4" w:space="0" w:color="auto"/>
              <w:bottom w:val="single" w:sz="12" w:space="0" w:color="auto"/>
            </w:tcBorders>
            <w:shd w:val="clear" w:color="auto" w:fill="auto"/>
            <w:vAlign w:val="bottom"/>
          </w:tcPr>
          <w:p w:rsidR="00CD2C0D" w:rsidRPr="00AF74E6" w:rsidRDefault="00CD2C0D" w:rsidP="003E5441">
            <w:pPr>
              <w:pStyle w:val="SingleTxtG"/>
              <w:spacing w:before="80" w:after="80" w:line="220" w:lineRule="exact"/>
              <w:ind w:left="283" w:right="0"/>
              <w:jc w:val="left"/>
              <w:rPr>
                <w:b/>
                <w:sz w:val="18"/>
              </w:rPr>
            </w:pPr>
            <w:r w:rsidRPr="00AF74E6">
              <w:rPr>
                <w:b/>
              </w:rPr>
              <w:t>Total</w:t>
            </w:r>
          </w:p>
        </w:tc>
        <w:tc>
          <w:tcPr>
            <w:tcW w:w="3259" w:type="dxa"/>
            <w:tcBorders>
              <w:top w:val="single" w:sz="4" w:space="0" w:color="auto"/>
              <w:bottom w:val="single" w:sz="12" w:space="0" w:color="auto"/>
            </w:tcBorders>
            <w:shd w:val="clear" w:color="auto" w:fill="auto"/>
            <w:vAlign w:val="bottom"/>
          </w:tcPr>
          <w:p w:rsidR="00CD2C0D" w:rsidRPr="00AF74E6" w:rsidRDefault="00CD2C0D" w:rsidP="003E5441">
            <w:pPr>
              <w:pStyle w:val="SingleTxtG"/>
              <w:spacing w:before="80" w:after="80" w:line="220" w:lineRule="exact"/>
              <w:ind w:left="0" w:right="0"/>
              <w:jc w:val="right"/>
              <w:rPr>
                <w:b/>
                <w:sz w:val="18"/>
              </w:rPr>
            </w:pPr>
          </w:p>
        </w:tc>
        <w:tc>
          <w:tcPr>
            <w:tcW w:w="3260" w:type="dxa"/>
            <w:tcBorders>
              <w:top w:val="single" w:sz="4" w:space="0" w:color="auto"/>
              <w:bottom w:val="single" w:sz="12" w:space="0" w:color="auto"/>
            </w:tcBorders>
            <w:shd w:val="clear" w:color="auto" w:fill="auto"/>
            <w:vAlign w:val="bottom"/>
          </w:tcPr>
          <w:p w:rsidR="00CD2C0D" w:rsidRPr="00AF74E6" w:rsidRDefault="00CD2C0D" w:rsidP="003E5441">
            <w:pPr>
              <w:pStyle w:val="SingleTxtG"/>
              <w:spacing w:before="80" w:after="80" w:line="220" w:lineRule="exact"/>
              <w:ind w:left="0" w:right="0"/>
              <w:jc w:val="right"/>
              <w:rPr>
                <w:b/>
                <w:sz w:val="18"/>
              </w:rPr>
            </w:pPr>
            <w:r w:rsidRPr="00AF74E6">
              <w:rPr>
                <w:b/>
                <w:sz w:val="18"/>
              </w:rPr>
              <w:t>531</w:t>
            </w:r>
          </w:p>
        </w:tc>
      </w:tr>
    </w:tbl>
    <w:p w:rsidR="00CD2C0D" w:rsidRPr="00513E62" w:rsidRDefault="00CD2C0D" w:rsidP="00CD2C0D">
      <w:pPr>
        <w:pStyle w:val="SingleTxtG"/>
        <w:spacing w:before="240"/>
      </w:pPr>
      <w:r w:rsidRPr="00513E62">
        <w:lastRenderedPageBreak/>
        <w:t>112.</w:t>
      </w:r>
      <w:r w:rsidRPr="00513E62">
        <w:tab/>
        <w:t xml:space="preserve">El Grupo de Trabajo también presta ayuda al Programa de Mediación Escolar, que promueve el entendimiento, la tolerancia y la amistad entre los alumnos. El Programa lleva funcionando desde septiembre de 2012 en las escuelas secundarias y desde 2013 en las primarias. Más del 30% de las escuelas han optado por el Programa en los dos últimos años. Los maestros y los alumnos se convierten en mediadores adquiriendo la capacitación que imparte el Grupo de Trabajo y, a su vez, promueven el Programa en su escuela respectiva. El programa de estudios comprende la preparación para la vida en sociedad, la comunicación y la mediación, el control de la agresividad, la empatía, la negociación, la tolerancia y la conciliación. Además, en junio de 2015, los funcionarios del Grupo de Trabajo participaron en el curso de capacitación denominado </w:t>
      </w:r>
      <w:r>
        <w:t>“</w:t>
      </w:r>
      <w:r w:rsidRPr="00513E62">
        <w:t>Experiencias de participación y empoderamiento de los jóvenes romaníes</w:t>
      </w:r>
      <w:r>
        <w:t>”</w:t>
      </w:r>
      <w:r w:rsidRPr="00513E62">
        <w:t xml:space="preserve"> y organizado por el Centro de Políticas </w:t>
      </w:r>
      <w:r>
        <w:t>“</w:t>
      </w:r>
      <w:r w:rsidRPr="00513E62">
        <w:t>Esperanza para los Niños</w:t>
      </w:r>
      <w:r>
        <w:t>”</w:t>
      </w:r>
      <w:r w:rsidRPr="00513E62">
        <w:t xml:space="preserve"> del Consejo de Derechos Humanos.</w:t>
      </w:r>
    </w:p>
    <w:p w:rsidR="00CD2C0D" w:rsidRPr="00513E62" w:rsidRDefault="00CD2C0D" w:rsidP="00CD2C0D">
      <w:pPr>
        <w:pStyle w:val="SingleTxtG"/>
      </w:pPr>
      <w:r w:rsidRPr="00513E62">
        <w:t>113.</w:t>
      </w:r>
      <w:r w:rsidRPr="00513E62">
        <w:tab/>
        <w:t>Actualmente se está reformando el Servicio de Asesoramiento y Educación. La reforma se lleva a cabo por diversos medios, entre ellos la introducción de nuevos programas y calendarios de estudios. Su finalidad es satisfacer la necesidad que hay desde hace mucho tiempo de crear un entorno escolar democrático y centrado en el ser humano, donde todos los niños estudien juntos para prepararse para su futuro común.</w:t>
      </w:r>
    </w:p>
    <w:p w:rsidR="00CD2C0D" w:rsidRPr="00513E62" w:rsidRDefault="00CD2C0D" w:rsidP="00CD2C0D">
      <w:pPr>
        <w:pStyle w:val="SingleTxtG"/>
      </w:pPr>
      <w:r w:rsidRPr="00513E62">
        <w:t>114.</w:t>
      </w:r>
      <w:r w:rsidRPr="00513E62">
        <w:tab/>
        <w:t xml:space="preserve">El programa de estudios de educación sanitaria comprende capítulos independientes sobre las diversas formas de racismo. La educación sanitaria se enseña como asignatura independiente en la escuela primaria (años </w:t>
      </w:r>
      <w:r w:rsidR="00306C8D">
        <w:t>1º</w:t>
      </w:r>
      <w:r w:rsidRPr="00513E62">
        <w:t xml:space="preserve"> a </w:t>
      </w:r>
      <w:r w:rsidR="00306C8D">
        <w:t>6º</w:t>
      </w:r>
      <w:r w:rsidRPr="00513E62">
        <w:t xml:space="preserve">) y como parte de asignaturas relacionadas en la secundaria (años </w:t>
      </w:r>
      <w:r w:rsidR="00306C8D">
        <w:t>7º</w:t>
      </w:r>
      <w:r w:rsidRPr="00513E62">
        <w:t xml:space="preserve"> a </w:t>
      </w:r>
      <w:r w:rsidR="00306C8D">
        <w:t>9º</w:t>
      </w:r>
      <w:r w:rsidRPr="00513E62">
        <w:t>). El programa de estudios se usa como guía de las intervenciones escolares, ya que en él se fijan unas normas para promover la colaboración entre maestros, alumnos y padres.</w:t>
      </w:r>
    </w:p>
    <w:p w:rsidR="00CD2C0D" w:rsidRPr="00513E62" w:rsidRDefault="00CD2C0D" w:rsidP="00CD2C0D">
      <w:pPr>
        <w:pStyle w:val="SingleTxtG"/>
      </w:pPr>
      <w:r w:rsidRPr="00513E62">
        <w:t>115.</w:t>
      </w:r>
      <w:r w:rsidRPr="00513E62">
        <w:tab/>
        <w:t xml:space="preserve">Las esferas temáticas de </w:t>
      </w:r>
      <w:r>
        <w:t>“</w:t>
      </w:r>
      <w:r w:rsidRPr="00513E62">
        <w:t>diversidad y multiculturalidad</w:t>
      </w:r>
      <w:r>
        <w:t>”</w:t>
      </w:r>
      <w:r w:rsidRPr="00513E62">
        <w:t xml:space="preserve"> y de </w:t>
      </w:r>
      <w:r>
        <w:t>“</w:t>
      </w:r>
      <w:r w:rsidRPr="00513E62">
        <w:t>derechos humanos</w:t>
      </w:r>
      <w:r>
        <w:t>”</w:t>
      </w:r>
      <w:r w:rsidRPr="00513E62">
        <w:t xml:space="preserve"> se introdujeron en 2014 y constituyen esferas temáticas independientes del programa de estudios de educación sanitaria; su finalidad es dotar a los alumnos de la capacidad de reconocer y afrontar tanto el racismo </w:t>
      </w:r>
      <w:r>
        <w:t>“</w:t>
      </w:r>
      <w:r w:rsidRPr="00513E62">
        <w:t>oculto</w:t>
      </w:r>
      <w:r>
        <w:t>”</w:t>
      </w:r>
      <w:r w:rsidRPr="00513E62">
        <w:t xml:space="preserve"> como el </w:t>
      </w:r>
      <w:r>
        <w:t>“</w:t>
      </w:r>
      <w:r w:rsidRPr="00513E62">
        <w:t>evidente</w:t>
      </w:r>
      <w:r>
        <w:t>”</w:t>
      </w:r>
      <w:r w:rsidRPr="00513E62">
        <w:t>. Algunos de los indicadores de resultados del programa de estudios son los siguientes:</w:t>
      </w:r>
    </w:p>
    <w:p w:rsidR="00CD2C0D" w:rsidRPr="00513E62" w:rsidRDefault="00CD2C0D" w:rsidP="00CD2C0D">
      <w:pPr>
        <w:pStyle w:val="Bullet1G"/>
      </w:pPr>
      <w:r w:rsidRPr="00513E62">
        <w:t xml:space="preserve">Comportamiento intimidatorio: por ejemplo, darse cuenta del comportamiento intimidatorio, reconocerlo y resistirse a él, </w:t>
      </w:r>
      <w:r>
        <w:t>“</w:t>
      </w:r>
      <w:r w:rsidRPr="00513E62">
        <w:t>proponer soluciones para atajar el fenómeno del acoso escolar</w:t>
      </w:r>
      <w:r>
        <w:t>”</w:t>
      </w:r>
      <w:r w:rsidRPr="00513E62">
        <w:t>;</w:t>
      </w:r>
    </w:p>
    <w:p w:rsidR="00CD2C0D" w:rsidRPr="00513E62" w:rsidRDefault="00CD2C0D" w:rsidP="00CD2C0D">
      <w:pPr>
        <w:pStyle w:val="Bullet1G"/>
      </w:pPr>
      <w:r w:rsidRPr="00513E62">
        <w:t>Violencia: por ejemplo, distinguir las consecuencias negativas que se derivan de toda forma de exclusión o discriminación y distinguir las diversas formas de violencia (física, sexual, psicológica y socioeconómica);</w:t>
      </w:r>
    </w:p>
    <w:p w:rsidR="00CD2C0D" w:rsidRPr="00513E62" w:rsidRDefault="00CD2C0D" w:rsidP="00CD2C0D">
      <w:pPr>
        <w:pStyle w:val="Bullet1G"/>
      </w:pPr>
      <w:r w:rsidRPr="00513E62">
        <w:t>Desarrollo de las identidades social y de género: por ejemplo, reconocer los factores que afectan al desarrollo del género social;</w:t>
      </w:r>
    </w:p>
    <w:p w:rsidR="00CD2C0D" w:rsidRPr="00513E62" w:rsidRDefault="00CD2C0D" w:rsidP="00CD2C0D">
      <w:pPr>
        <w:pStyle w:val="Bullet1G"/>
      </w:pPr>
      <w:r w:rsidRPr="00513E62">
        <w:t>Diversidad: por ejemplo, determinar y evaluar la existencia de estereotipos en el entorno cercano y el lejano, participar en actividades de promoción de la diversidad y destacar los efectos positivos de la diversidad en el aula</w:t>
      </w:r>
      <w:r w:rsidR="000F0209">
        <w:t>, en la familia y la sociedad;</w:t>
      </w:r>
    </w:p>
    <w:p w:rsidR="00CD2C0D" w:rsidRPr="00513E62" w:rsidRDefault="00CD2C0D" w:rsidP="00CD2C0D">
      <w:pPr>
        <w:pStyle w:val="Bullet1G"/>
      </w:pPr>
      <w:r w:rsidRPr="00513E62">
        <w:t xml:space="preserve">Derechos humanos y medidas de convivencia pacífica: por ejemplo, proponer y adoptar comportamientos que muestren respeto por los derechos de los demás en la escuela; describir los derechos del niño, como los que figuran en </w:t>
      </w:r>
      <w:smartTag w:uri="urn:schemas-microsoft-com:office:smarttags" w:element="PersonName">
        <w:smartTagPr>
          <w:attr w:name="ProductID" w:val="la Convenci￳n"/>
        </w:smartTagPr>
        <w:r w:rsidRPr="00513E62">
          <w:t>la Convención</w:t>
        </w:r>
      </w:smartTag>
      <w:r w:rsidRPr="00513E62">
        <w:t xml:space="preserve"> de las Naciones Unidas sobre los Derechos del Niño; proponer y ejecutar medidas que ayuden a defender los derechos del niño en la escuela y la sociedad, y recomendar actividades o medidas que promuevan una convivencia sana de las personas en la escuela y la sociedad y participar en ellas.</w:t>
      </w:r>
    </w:p>
    <w:p w:rsidR="00CD2C0D" w:rsidRPr="00513E62" w:rsidRDefault="00CD2C0D" w:rsidP="00CD2C0D">
      <w:pPr>
        <w:pStyle w:val="SingleTxtG"/>
      </w:pPr>
      <w:r w:rsidRPr="00513E62">
        <w:t>116.</w:t>
      </w:r>
      <w:r w:rsidRPr="00513E62">
        <w:tab/>
        <w:t xml:space="preserve">El material pedagógico titulado </w:t>
      </w:r>
      <w:r>
        <w:t>“</w:t>
      </w:r>
      <w:r w:rsidRPr="00513E62">
        <w:t>Descubrir el elefante</w:t>
      </w:r>
      <w:r>
        <w:t>”</w:t>
      </w:r>
      <w:r w:rsidRPr="00513E62">
        <w:t xml:space="preserve">, que se introdujo en las escuelas en 2014, se basa en los principios de la educación multicultural crítica y ofrece a </w:t>
      </w:r>
      <w:r w:rsidRPr="00513E62">
        <w:lastRenderedPageBreak/>
        <w:t>los maestros las herramientas y los conocimientos prácticos necesarios para hacer frente al acoso escolar, la retórica racista y los incidentes racistas, con independencia de las intenciones.</w:t>
      </w:r>
    </w:p>
    <w:p w:rsidR="00CD2C0D" w:rsidRPr="00513E62" w:rsidRDefault="00CD2C0D" w:rsidP="00CD2C0D">
      <w:pPr>
        <w:pStyle w:val="SingleTxtG"/>
      </w:pPr>
      <w:r w:rsidRPr="00513E62">
        <w:t>117.</w:t>
      </w:r>
      <w:r w:rsidRPr="00513E62">
        <w:tab/>
        <w:t>A fin de dar a los maestros la oportunidad de seguir perfeccionando sus criterios de aprendizaje y enseñanza, el Instituto Pedagógico organiza periódicamente seminarios y conferencias de asistencia obligatoria u optativa, que se imparten en sus locales, para maestros que enseñan a alumnos desfavorecidos, como migrantes, refugiados y solicitantes de asilo, así como a alumnos pertenecientes a minorías, y también les ofrece seminarios optativos de educación intercultural.</w:t>
      </w:r>
    </w:p>
    <w:p w:rsidR="00CD2C0D" w:rsidRPr="00513E62" w:rsidRDefault="00CD2C0D" w:rsidP="00CD2C0D">
      <w:pPr>
        <w:pStyle w:val="SingleTxtG"/>
      </w:pPr>
      <w:r w:rsidRPr="00513E62">
        <w:t>118.</w:t>
      </w:r>
      <w:r w:rsidRPr="00513E62">
        <w:tab/>
        <w:t>Durant</w:t>
      </w:r>
      <w:r w:rsidR="000F0209">
        <w:t>e el ejercicio académico 2014/</w:t>
      </w:r>
      <w:r w:rsidRPr="00513E62">
        <w:t xml:space="preserve">15, el Instituto Pedagógico organizó una serie de seminarios vespertinos optativos para ayudar a los maestros de enseñanza primaria y secundaria que participaban en la aplicación, a título experimental, de la política antirracista del Ministerio de Educación y Cultura. Se ofrecieron los siguientes seminarios: </w:t>
      </w:r>
      <w:r>
        <w:t>“</w:t>
      </w:r>
      <w:r w:rsidRPr="00513E62">
        <w:t>Diversidad e interculturalidad en la educación sanitaria</w:t>
      </w:r>
      <w:r>
        <w:t>”</w:t>
      </w:r>
      <w:r w:rsidRPr="00513E62">
        <w:t xml:space="preserve"> y </w:t>
      </w:r>
      <w:r>
        <w:t>“</w:t>
      </w:r>
      <w:r w:rsidRPr="00513E62">
        <w:t>La enseñanza de temas controvertidos en la educación sanitaria</w:t>
      </w:r>
      <w:r>
        <w:t>”</w:t>
      </w:r>
      <w:r w:rsidRPr="00513E62">
        <w:t xml:space="preserve">. Los seminarios y cursos prácticos de capacitación de maestros denominados </w:t>
      </w:r>
      <w:r>
        <w:t>“</w:t>
      </w:r>
      <w:r w:rsidRPr="00513E62">
        <w:t>Diversidad e interculturalidad en la vida escolar cotidiana</w:t>
      </w:r>
      <w:r>
        <w:t>”</w:t>
      </w:r>
      <w:r w:rsidRPr="00513E62">
        <w:t xml:space="preserve"> se impartieron en nueve escuelas durante e</w:t>
      </w:r>
      <w:r w:rsidR="000F0209">
        <w:t>l ejercicio académico de 2014/</w:t>
      </w:r>
      <w:r w:rsidRPr="00513E62">
        <w:t>15.</w:t>
      </w:r>
    </w:p>
    <w:p w:rsidR="00CD2C0D" w:rsidRPr="00513E62" w:rsidRDefault="00CD2C0D" w:rsidP="00CD2C0D">
      <w:pPr>
        <w:pStyle w:val="SingleTxtG"/>
      </w:pPr>
      <w:r w:rsidRPr="00513E62">
        <w:t>119.</w:t>
      </w:r>
      <w:r w:rsidRPr="00513E62">
        <w:tab/>
        <w:t xml:space="preserve">En 2014, el Ministerio de Educación y Cultura participó como asociado en el proyecto experimental </w:t>
      </w:r>
      <w:r>
        <w:t>“</w:t>
      </w:r>
      <w:r w:rsidRPr="00513E62">
        <w:t>Derechos humanos y democracia en acción</w:t>
      </w:r>
      <w:r>
        <w:t>”</w:t>
      </w:r>
      <w:r w:rsidRPr="00513E62">
        <w:t xml:space="preserve"> de </w:t>
      </w:r>
      <w:smartTag w:uri="urn:schemas-microsoft-com:office:smarttags" w:element="PersonName">
        <w:smartTagPr>
          <w:attr w:name="ProductID" w:val="la Comisi￳n Europea"/>
        </w:smartTagPr>
        <w:smartTag w:uri="urn:schemas-microsoft-com:office:smarttags" w:element="PersonName">
          <w:smartTagPr>
            <w:attr w:name="ProductID" w:val="la Comisi￳n"/>
          </w:smartTagPr>
          <w:r w:rsidRPr="00513E62">
            <w:t>la Comisión</w:t>
          </w:r>
        </w:smartTag>
        <w:r w:rsidRPr="00513E62">
          <w:t xml:space="preserve"> Europea</w:t>
        </w:r>
      </w:smartTag>
      <w:r w:rsidRPr="00513E62">
        <w:t xml:space="preserve"> y el Consejo de Europa. El Reino Unido coordinó el proyecto denominado </w:t>
      </w:r>
      <w:r>
        <w:t>“</w:t>
      </w:r>
      <w:r w:rsidRPr="00513E62">
        <w:t>Enseñanza de temas controvertidos: desarrollo de una capacitación eficaz para maestros y directores de centros escolares</w:t>
      </w:r>
      <w:r>
        <w:t>”</w:t>
      </w:r>
      <w:r w:rsidRPr="00513E62">
        <w:t xml:space="preserve">, al que asistieron otros países participantes (Irlanda, Montenegro y España, mientras que Albania, Austria y Suecia ejercieron como colaboradores). En el proyecto se evaluaron tanto la metodología de instrucción como la metodología educativa mediante la cual se enseñaban, en las aulas, los temas controvertidos, especialmente los relacionados con la discriminación racial (por ejemplo, la educación de los romaníes, los solicitantes de asilo, </w:t>
      </w:r>
      <w:r w:rsidR="000F0209">
        <w:t>la</w:t>
      </w:r>
      <w:r w:rsidRPr="00513E62">
        <w:t xml:space="preserve"> migración, etc.). Los países participantes plantearon, elaboraron y aplicaron un programa experimental de formación de maestros, cuyo objetivo era capacitar a estos para e</w:t>
      </w:r>
      <w:r w:rsidR="00306C8D">
        <w:t>nseñar temas controvertidos. El </w:t>
      </w:r>
      <w:r w:rsidRPr="00513E62">
        <w:t xml:space="preserve">programa se basaba en unos principios, unos procedimientos y unas prácticas idóneas efectivos y se aplicó en todos los países en el curso de dos sesiones. Posteriormente se evaluó y los resultados de la evaluación se expusieron en la conferencia de clausura. Debido a la gran demanda que tuvo en el medio docente, la formación se impartió en cinco ocasiones durante los seminarios de asistencia obligatoria del Instituto Pedagógico. </w:t>
      </w:r>
    </w:p>
    <w:p w:rsidR="00CD2C0D" w:rsidRPr="00513E62" w:rsidRDefault="00CD2C0D" w:rsidP="00CD2C0D">
      <w:pPr>
        <w:pStyle w:val="SingleTxtG"/>
      </w:pPr>
      <w:r w:rsidRPr="00513E62">
        <w:t>120.</w:t>
      </w:r>
      <w:r w:rsidRPr="00513E62">
        <w:tab/>
        <w:t xml:space="preserve">En 2014, el Servicio de Psicología Educativa y el Instituto Pedagógico organizaron un seminario de asistencia obligatoria titulado </w:t>
      </w:r>
      <w:r>
        <w:t>“</w:t>
      </w:r>
      <w:r w:rsidRPr="00513E62">
        <w:t>Tratamiento de los traumas de los alumnos que son refugiados y solicitantes de asilo</w:t>
      </w:r>
      <w:r>
        <w:t>”</w:t>
      </w:r>
      <w:r w:rsidRPr="00513E62">
        <w:t xml:space="preserve"> y dirigido a todos los psicólogos de la educación. El seminario fue cofinanciado por el Fondo Europeo para los Refugiados y </w:t>
      </w:r>
      <w:smartTag w:uri="urn:schemas-microsoft-com:office:smarttags" w:element="PersonName">
        <w:smartTagPr>
          <w:attr w:name="ProductID" w:val="la Directiva"/>
        </w:smartTagPr>
        <w:r w:rsidRPr="00513E62">
          <w:t>la República</w:t>
        </w:r>
      </w:smartTag>
      <w:r w:rsidRPr="00513E62">
        <w:t xml:space="preserve"> de Chipre. En 2015, todos los consejeros escolares asistieron al seminario titulado </w:t>
      </w:r>
      <w:r>
        <w:t>“</w:t>
      </w:r>
      <w:r w:rsidR="00306C8D">
        <w:t>La </w:t>
      </w:r>
      <w:r w:rsidRPr="00513E62">
        <w:t>aportación del consejero escolar a la integración en la escuela y la inclusión social de los alumnos que son solicitantes de asilo y beneficiarios de protección internacional</w:t>
      </w:r>
      <w:r>
        <w:t>”</w:t>
      </w:r>
      <w:r w:rsidRPr="00513E62">
        <w:t xml:space="preserve">, cofinanciado también por el Fondo Europeo para los Refugiados y </w:t>
      </w:r>
      <w:smartTag w:uri="urn:schemas-microsoft-com:office:smarttags" w:element="PersonName">
        <w:smartTagPr>
          <w:attr w:name="ProductID" w:val="la Directiva"/>
        </w:smartTagPr>
        <w:r w:rsidRPr="00513E62">
          <w:t>la República</w:t>
        </w:r>
      </w:smartTag>
      <w:r w:rsidRPr="00513E62">
        <w:t xml:space="preserve"> de Chipre.</w:t>
      </w:r>
    </w:p>
    <w:p w:rsidR="00CD2C0D" w:rsidRPr="00513E62" w:rsidRDefault="000F0209" w:rsidP="00CD2C0D">
      <w:pPr>
        <w:pStyle w:val="SingleTxtG"/>
      </w:pPr>
      <w:r>
        <w:t>121.</w:t>
      </w:r>
      <w:r>
        <w:tab/>
      </w:r>
      <w:r w:rsidR="00CD2C0D" w:rsidRPr="00513E62">
        <w:t xml:space="preserve">En cooperación con los grupos religiosos que constituyen minorías nacionales, el Ministerio de Educación y Cultura ha elaborado unos capítulos breves sobre la religión y la cultura de cada uno de ellos. Esos capítulos se han incorporado en los libros de texto de instrucción religiosa que se usan en el tercer curso de la enseñanza primaria de todas las escuelas. Esas unidades se titulan </w:t>
      </w:r>
      <w:r w:rsidR="00CD2C0D">
        <w:t>“</w:t>
      </w:r>
      <w:r w:rsidR="00CD2C0D" w:rsidRPr="00513E62">
        <w:t>Nuestros vecinos los armenios</w:t>
      </w:r>
      <w:r w:rsidR="00CD2C0D">
        <w:t>”</w:t>
      </w:r>
      <w:r w:rsidR="00CD2C0D" w:rsidRPr="00513E62">
        <w:t xml:space="preserve">, </w:t>
      </w:r>
      <w:r w:rsidR="00CD2C0D">
        <w:t>“</w:t>
      </w:r>
      <w:r w:rsidR="00CD2C0D" w:rsidRPr="00513E62">
        <w:t>Nuestros vecinos los maronitas</w:t>
      </w:r>
      <w:r w:rsidR="00CD2C0D">
        <w:t>”</w:t>
      </w:r>
      <w:r w:rsidR="00CD2C0D" w:rsidRPr="00513E62">
        <w:t xml:space="preserve"> y </w:t>
      </w:r>
      <w:r w:rsidR="00CD2C0D">
        <w:t>“</w:t>
      </w:r>
      <w:r w:rsidR="00CD2C0D" w:rsidRPr="00513E62">
        <w:t>Nuestros vecinos los latinos</w:t>
      </w:r>
      <w:r w:rsidR="00CD2C0D">
        <w:t>”</w:t>
      </w:r>
      <w:r w:rsidR="00CD2C0D" w:rsidRPr="00513E62">
        <w:t>. Los libros se distribuyeron a las escuelas durant</w:t>
      </w:r>
      <w:r>
        <w:t>e el ejercicio académico 2012/</w:t>
      </w:r>
      <w:r w:rsidR="00CD2C0D" w:rsidRPr="00513E62">
        <w:t>13.</w:t>
      </w:r>
    </w:p>
    <w:p w:rsidR="00CD2C0D" w:rsidRPr="00513E62" w:rsidRDefault="00CD2C0D" w:rsidP="00CD2C0D">
      <w:pPr>
        <w:pStyle w:val="SingleTxtG"/>
      </w:pPr>
      <w:r w:rsidRPr="00513E62">
        <w:lastRenderedPageBreak/>
        <w:t>122.</w:t>
      </w:r>
      <w:r w:rsidRPr="00513E62">
        <w:tab/>
        <w:t xml:space="preserve">En abril de 2015 y por orden del Jefe de </w:t>
      </w:r>
      <w:smartTag w:uri="urn:schemas-microsoft-com:office:smarttags" w:element="PersonName">
        <w:smartTagPr>
          <w:attr w:name="ProductID" w:val="ࡳ쬘ࡲlǸЊIla PresidenciaǲЌJ&#10;la Prevenci￳nČЎKla Promoci￳nahoĆЎLla Promoci￳nĀЌM&#10;la Protecci￳nĚЌNla Recomendaci￳n N￺m.ĒЊOla RedbĮЎPla Rep￺blicaĨЈQla StopĤЊR&#10;la Tortura￼ĿЎSla Trata耀ĺЌTla UEĶЊUla UE.aĲЈVla UE. AsimismoŌЎWla Uni￳n EuropeaŅЊXla UniversidadşЈYla Vida P￺blicařЎZla ViolenciaœЌĢ[ ProductIDĖŮЎ\ьムヺ̽䰄ベꋨࣕal ƂԈѸム̽ࣕࣕƇԌǲԈ桀ヹઘ͉樜ヹ̀ム匠̾黈ࣕ﹀̽￀̽ǪԈઈ̾Ѹ̾ǢԈ桀ヹಀ̾樜ヹ̀ム鹈ࣕ齈ࣕ﹀̽￀̽ǚԈઈ̾ϐ̾ǒԈ桀ヹ೰̾樜ヹ̀ム黈ࣕꀐࣕ﹀̽￀̽ǊԈઈ̾Ű̾ ǂԌヺьムヺ̽䰄ベ๰̾ ĻԈ桀ヹൠ̾樜ヹ̀ム齈ࣕꃈࣕ﹀̽￀̽ĳԈ-DosĴԈઈ̾Ѹ̾ĬԌ໐ࢆꅈࣕĢԈ桀ヹැ̾樜ヹ̀ムꀐࣕꅘࣕ﹀̽￀̽ĚԈઈ̾ϐ̾ĒԌ헰ࣗ9ĐԈ桀ヹเ̾樜ヹ̀ムꃈࣕꉠࣕ﹀̽￀̽ĈԈѸム̽࠴ࣛ૨ࣛčԈ&#10;serieĀԈĆԈ䤜攀樌攀䩄攀攀쫘ࣘ헰ࣗ徘ࣗűԈ桀ヹະ̾樜ヹ̀ムꅘࣕ賀ࣛ﹀̽￀̽ũԈ:ken ListŢԈӯÀ䘀ŦԈ鶤ࣕ๸̾ﮰࣔTagśԈ嶰攁嶜攁嶄攁ꇨࣕ嵬攁œԈѸム̽ࣕࣕŔԈunaŋԈѸム̽卤ࣛ哸ࣛŌԈ&#10;serieŃԈWINWORD.EXEŇԌ ͌&#10;Ȍ&#10;1ƻԈઈ̾鶀ࣕƳԈ璨ࣝƷԎunov.orgƫԌ ꒠ล꒠ล꒠ล꒠ล䮐̾䮐̾㤨द㤨द㤨द ƣԌヺьムヺ̽䰄ベഠ̾al ƘԈofƟԈѸム̽{ꗌࣕꕘࣕ ƐԌヺьムヺ̽䰄ベꖠࣕ ƉԈꕼࣕꙘࣕ䍠ࣔƂԈ-ƁԈѸム̽|꙼ࣕꘈࣕ ǺԌヺьムヺ̽ĖĖŸЎ]ьムヺ̽䰄ベ㹈ᡁĠ Ƥ؈䇤᠌䮨ᡁ䫨ᡁallƯ؈㷼ᡁ퀀៛㳀ᡁ ƪ،ヺьムヺ̽䰄ベ쿸៛ Ʊ؈⿜ᡂ㽰ᡁ⽈ᡂƼ؈,劘Ɨƹ؈Ѹム̽;㾔ᡁ㼠ᡁ Ƅ،ヺьムヺ̽䰄ベ㽨ᡁ Ƌ؈㽄ᡁ䀠ᡁ㻀ᡁƐƖ؈ob NeƓ؈Ѹム̽=䁄ᡁ㿐ᡁ ƞ،ヺьムヺ̽䰄ベ䀘ᡁ苌ࡢ ť؈㿴ᡁ䃐ᡁ㽰ᡁ搔᠈木᠈Š؈,ŭ؈Ѹム̽䃴ᡁ䂀ᡁ Ũ،ヺьムヺ̽䰄ベ䃈ᡁ"/>
        </w:smartTagPr>
        <w:r w:rsidRPr="00513E62">
          <w:t>la Policía</w:t>
        </w:r>
      </w:smartTag>
      <w:r w:rsidRPr="00513E62">
        <w:t xml:space="preserve">, se formó un comité conjunto basado en un protocolo de cooperación entre </w:t>
      </w:r>
      <w:smartTag w:uri="urn:schemas-microsoft-com:office:smarttags" w:element="PersonName">
        <w:smartTagPr>
          <w:attr w:name="ProductID" w:val="la Polic￭a"/>
        </w:smartTagPr>
        <w:r w:rsidRPr="00513E62">
          <w:t>la Policía</w:t>
        </w:r>
      </w:smartTag>
      <w:r w:rsidRPr="00513E62">
        <w:t xml:space="preserve"> de Chipre y </w:t>
      </w:r>
      <w:smartTag w:uri="urn:schemas-microsoft-com:office:smarttags" w:element="PersonName">
        <w:smartTagPr>
          <w:attr w:name="ProductID" w:val="la ONG MESAR."/>
        </w:smartTagPr>
        <w:smartTag w:uri="urn:schemas-microsoft-com:office:smarttags" w:element="PersonName">
          <w:smartTagPr>
            <w:attr w:name="ProductID" w:val="la ONG"/>
          </w:smartTagPr>
          <w:r w:rsidRPr="00513E62">
            <w:t>la ONG</w:t>
          </w:r>
        </w:smartTag>
        <w:r w:rsidRPr="00513E62">
          <w:t xml:space="preserve"> MESAR.</w:t>
        </w:r>
      </w:smartTag>
      <w:r w:rsidRPr="00513E62">
        <w:t xml:space="preserve"> La finalidad de ese protocolo es trazar unas directrices para reforzar la cooperación entre </w:t>
      </w:r>
      <w:smartTag w:uri="urn:schemas-microsoft-com:office:smarttags" w:element="PersonName">
        <w:smartTagPr>
          <w:attr w:name="ProductID" w:val="la Polic￭a"/>
        </w:smartTagPr>
        <w:r w:rsidRPr="00513E62">
          <w:t>la Policía</w:t>
        </w:r>
      </w:smartTag>
      <w:r w:rsidRPr="00513E62">
        <w:t xml:space="preserve"> y MESAR en los ámbitos de la migración, el asilo, el racismo y la trata de seres humanos. En el protocolo se prevé también impartir capacitación a los funcionarios del orden público, intercambiar información sobre la vulneración de los derechos humanos o los delitos racistas o motivados por prejuicios.</w:t>
      </w:r>
    </w:p>
    <w:p w:rsidR="00CD2C0D" w:rsidRPr="00513E62" w:rsidRDefault="00CD2C0D" w:rsidP="00CD2C0D">
      <w:pPr>
        <w:pStyle w:val="SingleTxtG"/>
      </w:pPr>
      <w:r w:rsidRPr="00513E62">
        <w:t>123.</w:t>
      </w:r>
      <w:r w:rsidRPr="00513E62">
        <w:tab/>
        <w:t xml:space="preserve">El Colegio de Abogados de Chipre organiza seminarios junto con otras instituciones (por ejemplo, asociaciones profesionales u otros colegios de abogados del extranjero) y participa en conferencias sobre el tema de los derechos humanos tanto en Chipre como en el extranjero. [Véase también el presente informe, artículo </w:t>
      </w:r>
      <w:proofErr w:type="spellStart"/>
      <w:r w:rsidRPr="00513E62">
        <w:t>2.B</w:t>
      </w:r>
      <w:proofErr w:type="spellEnd"/>
      <w:r>
        <w:t>.</w:t>
      </w:r>
      <w:r w:rsidRPr="00513E62">
        <w:t>]</w:t>
      </w:r>
    </w:p>
    <w:p w:rsidR="00CD2C0D" w:rsidRPr="00513E62" w:rsidRDefault="00CD2C0D" w:rsidP="00CD2C0D">
      <w:pPr>
        <w:pStyle w:val="H23G"/>
      </w:pPr>
      <w:r>
        <w:tab/>
      </w:r>
      <w:r w:rsidRPr="00513E62">
        <w:t>b)</w:t>
      </w:r>
      <w:r w:rsidRPr="00513E62">
        <w:tab/>
        <w:t>Cultura</w:t>
      </w:r>
    </w:p>
    <w:p w:rsidR="00CD2C0D" w:rsidRPr="00513E62" w:rsidRDefault="00CD2C0D" w:rsidP="00CD2C0D">
      <w:pPr>
        <w:pStyle w:val="SingleTxtG"/>
      </w:pPr>
      <w:r w:rsidRPr="00513E62">
        <w:t>124.</w:t>
      </w:r>
      <w:r w:rsidRPr="00513E62">
        <w:tab/>
        <w:t xml:space="preserve">Desde enero de 2015, el Ministerio de Cultura consigna un presupuesto especial para satisfacer las necesidades de los grupos religiosos que constituyen minorías nacionales, que comprende créditos para sufragar los gastos de investigación sobre la lengua árabe que hablan los maronitas de Chipre, la enseñanza de esta lengua y del armenio, el campamento de verano anual de </w:t>
      </w:r>
      <w:r>
        <w:t>“</w:t>
      </w:r>
      <w:r w:rsidRPr="00513E62">
        <w:t>inmersión lingüística</w:t>
      </w:r>
      <w:r>
        <w:t>”</w:t>
      </w:r>
      <w:r w:rsidRPr="00513E62">
        <w:t xml:space="preserve"> de </w:t>
      </w:r>
      <w:proofErr w:type="spellStart"/>
      <w:r w:rsidRPr="00513E62">
        <w:t>Kormakitis</w:t>
      </w:r>
      <w:proofErr w:type="spellEnd"/>
      <w:r w:rsidRPr="00513E62">
        <w:t xml:space="preserve"> y las tasas académicas de los alumnos de esos grupos religiosos que estudian en escuelas privadas. La investigación sobre la lengua árabe de los maronitas de Chipre comprende la recopilación de datos mediante entrevistas con hablantes nativos, la transcripción fonológica de la lengua, la transcripción ortográfica y la producción de material pedagógico. El material pedagógico que se ha producido se usará para enseñar el árabe maronita de Chipre en la escuela primaria de San </w:t>
      </w:r>
      <w:proofErr w:type="spellStart"/>
      <w:r w:rsidRPr="00513E62">
        <w:t>Maronas</w:t>
      </w:r>
      <w:proofErr w:type="spellEnd"/>
      <w:r w:rsidRPr="00513E62">
        <w:t xml:space="preserve">, en los centros de enseñanza de adultos y en el campamento de verano anual de </w:t>
      </w:r>
      <w:proofErr w:type="spellStart"/>
      <w:r w:rsidRPr="00513E62">
        <w:t>Kormakitis</w:t>
      </w:r>
      <w:proofErr w:type="spellEnd"/>
      <w:r w:rsidRPr="00513E62">
        <w:t>.</w:t>
      </w:r>
    </w:p>
    <w:p w:rsidR="00CD2C0D" w:rsidRPr="00513E62" w:rsidRDefault="00CD2C0D" w:rsidP="00CD2C0D">
      <w:pPr>
        <w:pStyle w:val="SingleTxtG"/>
      </w:pPr>
      <w:r w:rsidRPr="00513E62">
        <w:t>125.</w:t>
      </w:r>
      <w:r w:rsidRPr="00513E62">
        <w:tab/>
        <w:t>Se impartieron clases de lengua armenia en dos niveles en la Universidad de Chipre durante e</w:t>
      </w:r>
      <w:r w:rsidR="000F0209">
        <w:t>l ejercicio académico de 2014/</w:t>
      </w:r>
      <w:r w:rsidRPr="00513E62">
        <w:t>15. A partir del último trimestre de 2014, se han impartido clases de árabe maronita de Chipre en un centro de enseñanza de adultos (y se pueden impartir en más centros, en caso necesario). Por lo que respecta a la formación de los maestros, en junio de 2015 se impartió un curso intensivo de formación en árabe maronita de Chipre en el Instituto Pedagógico.</w:t>
      </w:r>
    </w:p>
    <w:p w:rsidR="00CD2C0D" w:rsidRPr="00513E62" w:rsidRDefault="00CD2C0D" w:rsidP="00CD2C0D">
      <w:pPr>
        <w:pStyle w:val="SingleTxtG"/>
      </w:pPr>
      <w:r w:rsidRPr="00513E62">
        <w:t>126.</w:t>
      </w:r>
      <w:r w:rsidRPr="00513E62">
        <w:tab/>
        <w:t xml:space="preserve">El Programa de Financiación Pública de </w:t>
      </w:r>
      <w:smartTag w:uri="urn:schemas-microsoft-com:office:smarttags" w:element="PersonName">
        <w:smartTagPr>
          <w:attr w:name="ProductID" w:val="la Cultura"/>
        </w:smartTagPr>
        <w:r w:rsidRPr="00513E62">
          <w:t>la Cultura</w:t>
        </w:r>
      </w:smartTag>
      <w:r w:rsidRPr="00513E62">
        <w:t xml:space="preserve"> ofrece igualdad de oportunidades a las instituciones y las asociaciones culturales que representan a los grupos religiosos que constituyen minorías nacionales para que promuevan sus actos, programas y actividades culturales, por ejemplo la danza tradicional, la interpretación con instrumentos tradicionales y el canto tradicional, el teatro y la presentación o la traducción de obras literarias escritas en su lengua, así como el mantenimiento de las páginas web correspondientes. Se concedieron fondos a lo largo de </w:t>
      </w:r>
      <w:smartTag w:uri="urn:schemas-microsoft-com:office:smarttags" w:element="metricconverter">
        <w:smartTagPr>
          <w:attr w:name="ProductID" w:val="2015, a"/>
        </w:smartTagPr>
        <w:r w:rsidRPr="00513E62">
          <w:t>2015, a</w:t>
        </w:r>
      </w:smartTag>
      <w:r w:rsidRPr="00513E62">
        <w:t xml:space="preserve"> pesar de las dificultades económicas que seguían aquejando al país. [Véanse también </w:t>
      </w:r>
      <w:r w:rsidR="000F0209">
        <w:t>las observaciones finales, párrafo</w:t>
      </w:r>
      <w:r w:rsidRPr="00513E62">
        <w:t xml:space="preserve"> 14</w:t>
      </w:r>
      <w:r>
        <w:t>.</w:t>
      </w:r>
      <w:r w:rsidRPr="00513E62">
        <w:t>]</w:t>
      </w:r>
    </w:p>
    <w:p w:rsidR="00CD2C0D" w:rsidRPr="00513E62" w:rsidRDefault="00CD2C0D" w:rsidP="00CD2C0D">
      <w:pPr>
        <w:pStyle w:val="SingleTxtG"/>
      </w:pPr>
      <w:r w:rsidRPr="00513E62">
        <w:t>127.</w:t>
      </w:r>
      <w:r w:rsidRPr="00513E62">
        <w:tab/>
        <w:t xml:space="preserve">El Ministerio de Educación y Cultura, atendiendo a la recomendación del Organismo de Lucha contra </w:t>
      </w:r>
      <w:smartTag w:uri="urn:schemas-microsoft-com:office:smarttags" w:element="PersonName">
        <w:smartTagPr>
          <w:attr w:name="ProductID" w:val="la Discriminación"/>
        </w:smartTagPr>
        <w:r w:rsidRPr="00513E62">
          <w:t>la Discriminación</w:t>
        </w:r>
      </w:smartTag>
      <w:r w:rsidRPr="00513E62">
        <w:t xml:space="preserve">, adoptó un código de conducta contra el racismo y guía para tratar y denunciar los incidentes racistas (en lo sucesivo, </w:t>
      </w:r>
      <w:r>
        <w:t>“</w:t>
      </w:r>
      <w:r w:rsidRPr="00513E62">
        <w:t>el Código</w:t>
      </w:r>
      <w:r>
        <w:t>”</w:t>
      </w:r>
      <w:r w:rsidRPr="00513E62">
        <w:t xml:space="preserve">). El Código fue presentado en público por el citado ministerio y por el Jefe del citado organismo en una conferencia de prensa que tuvo lugar en junio de 2014. La elaboración y la aplicación de la política de lucha contra el racismo obedece a la directriz núm. 10 de la Comisión Europea contra el Racismo y la Intolerancia para </w:t>
      </w:r>
      <w:r w:rsidR="000F0209" w:rsidRPr="00513E62">
        <w:t xml:space="preserve">Luchar </w:t>
      </w:r>
      <w:r w:rsidRPr="00513E62">
        <w:t xml:space="preserve">contra el </w:t>
      </w:r>
      <w:r w:rsidR="000F0209" w:rsidRPr="00513E62">
        <w:t xml:space="preserve">Racismo </w:t>
      </w:r>
      <w:r w:rsidRPr="00513E62">
        <w:t xml:space="preserve">y la </w:t>
      </w:r>
      <w:r w:rsidR="000F0209" w:rsidRPr="00513E62">
        <w:t xml:space="preserve">Discriminación Racial </w:t>
      </w:r>
      <w:r w:rsidRPr="00513E62">
        <w:t xml:space="preserve">en y a través de la educación escolar y también está en consonancia con diversas convenciones europeas e internacionales que ha ratificado Chipre, como la Convención sobre los Derechos del Niño, la Recomendación </w:t>
      </w:r>
      <w:r>
        <w:t>núm.</w:t>
      </w:r>
      <w:r w:rsidRPr="00513E62">
        <w:t xml:space="preserve"> 5 (2010) del Comité de Ministros a los Estados miembros sobre las medidas destinadas a combatir la discriminación por motivos de orientación sexual o identidad de género, del Consejo de </w:t>
      </w:r>
      <w:r w:rsidRPr="00513E62">
        <w:lastRenderedPageBreak/>
        <w:t xml:space="preserve">Europa, la Convención sobre la </w:t>
      </w:r>
      <w:r w:rsidR="000F0209" w:rsidRPr="00513E62">
        <w:t xml:space="preserve">Eliminación </w:t>
      </w:r>
      <w:r w:rsidRPr="00513E62">
        <w:t xml:space="preserve">de </w:t>
      </w:r>
      <w:r w:rsidR="000F0209" w:rsidRPr="00513E62">
        <w:t xml:space="preserve">Todas </w:t>
      </w:r>
      <w:r w:rsidRPr="00513E62">
        <w:t xml:space="preserve">‎las </w:t>
      </w:r>
      <w:r w:rsidR="000F0209" w:rsidRPr="00513E62">
        <w:t xml:space="preserve">Formas </w:t>
      </w:r>
      <w:r w:rsidRPr="00513E62">
        <w:t xml:space="preserve">de </w:t>
      </w:r>
      <w:r w:rsidR="000F0209" w:rsidRPr="00513E62">
        <w:t xml:space="preserve">Discriminación </w:t>
      </w:r>
      <w:r w:rsidRPr="00513E62">
        <w:t xml:space="preserve">contra la </w:t>
      </w:r>
      <w:r w:rsidR="000F0209" w:rsidRPr="00513E62">
        <w:t xml:space="preserve">Mujer </w:t>
      </w:r>
      <w:r w:rsidRPr="00513E62">
        <w:t>y la Carta Social Europea.</w:t>
      </w:r>
    </w:p>
    <w:p w:rsidR="00CD2C0D" w:rsidRPr="00513E62" w:rsidRDefault="00CD2C0D" w:rsidP="00CD2C0D">
      <w:pPr>
        <w:pStyle w:val="SingleTxtG"/>
      </w:pPr>
      <w:r w:rsidRPr="00513E62">
        <w:t>128.</w:t>
      </w:r>
      <w:r w:rsidRPr="00513E62">
        <w:tab/>
        <w:t xml:space="preserve">En el Código se subraya la necesidad de implantar una política de lucha contra el racismo en la escuela, aplicando un concepto amplio del racismo. Asimismo, se ofrece a las escuelas y los maestros un plan detallado para tratar y prevenir los incidentes racistas. Se incluyen definiciones de los conceptos básicos (por ejemplo, racismo, incidente racista, homofobia, </w:t>
      </w:r>
      <w:proofErr w:type="spellStart"/>
      <w:r w:rsidRPr="00513E62">
        <w:t>transfobia</w:t>
      </w:r>
      <w:proofErr w:type="spellEnd"/>
      <w:r w:rsidRPr="00513E62">
        <w:t>, acoso escolar, discriminación, estereotipos, diversidad, etc.), se enuncian las responsabilidades y los compromisos que incumben a cada integrante del medio escolar y se explican los pasos que deben seguir las escuelas para tratar los incidentes racistas en la práctica. Dado que en el Código se considera la diversidad como un fenómeno múltiple, que engloba diversos aspectos de las identidades de las personas, se espera que ayude a reducir el acoso y la discriminación por motivos de diversidad (religión, etnia, lengua, apariencia, discapacidad, género, etc.) en las escuelas.</w:t>
      </w:r>
    </w:p>
    <w:p w:rsidR="00CD2C0D" w:rsidRPr="00513E62" w:rsidRDefault="00CD2C0D" w:rsidP="00CD2C0D">
      <w:pPr>
        <w:pStyle w:val="SingleTxtG"/>
      </w:pPr>
      <w:r w:rsidRPr="00513E62">
        <w:t>129.</w:t>
      </w:r>
      <w:r w:rsidRPr="00513E62">
        <w:tab/>
        <w:t>El Código se ha aplicado, a título experimental, en siete escuelas. Se revisó en septiembre de 2015 y, por lo que respecta al present</w:t>
      </w:r>
      <w:r w:rsidR="000F0209">
        <w:t>e ejercicio académico de 2015/</w:t>
      </w:r>
      <w:r w:rsidRPr="00513E62">
        <w:t xml:space="preserve">16, se exhorta a las escuelas a que lo apliquen prestando especial atención a concienciar a los alumnos acerca del racismo y la intolerancia y promover la igualdad y el respeto en el marco de la campaña del Consejo de Europa contra la incitación al odio. La aplicación experimental y los correspondientes seminarios de formación de maestros se beneficiaron del apoyo prestado por el Organismo de Lucha contra </w:t>
      </w:r>
      <w:smartTag w:uri="urn:schemas-microsoft-com:office:smarttags" w:element="PersonName">
        <w:smartTagPr>
          <w:attr w:name="ProductID" w:val="la Discriminaci￳n"/>
        </w:smartTagPr>
        <w:r w:rsidRPr="00513E62">
          <w:t>la Discriminación</w:t>
        </w:r>
      </w:smartTag>
      <w:r w:rsidRPr="00513E62">
        <w:t xml:space="preserve"> y </w:t>
      </w:r>
      <w:smartTag w:uri="urn:schemas-microsoft-com:office:smarttags" w:element="PersonName">
        <w:smartTagPr>
          <w:attr w:name="ProductID" w:val="la Oficina"/>
        </w:smartTagPr>
        <w:r w:rsidRPr="00513E62">
          <w:t>la Oficina</w:t>
        </w:r>
      </w:smartTag>
      <w:r w:rsidRPr="00513E62">
        <w:t xml:space="preserve"> del ACNUR en Chipre. En mayo de 2015 se celebró una conferencia para evaluar la aplicación experimental de la política de lucha contra el racismo y reflexionar al respecto. De la evaluación se desprende que, en general, ha habido resultados positivos en cuanto al grado de </w:t>
      </w:r>
      <w:r w:rsidR="003E5441">
        <w:t>concienciación</w:t>
      </w:r>
      <w:r w:rsidRPr="00513E62">
        <w:t xml:space="preserve"> y sensibilización acerca de los asuntos relativos al racismo y la discriminación que exhiben todos los integrantes del medio escolar. Las escuelas donde se realizó el experimento también han comunicado que las medidas pedagógicas previstas en el Código para tratar a los responsables de incidentes racistas han tenido éxito, dado que la mayoría de esas personas han dejado de exhibir comportamientos racistas. Por último, en la evaluación de la aplicación experimental se señala que las víctimas y los espectadores de incidentes racistas se han sentido lo suficientemente fuertes como para denunciarlos a los maestros y los padres, ya que ahora saben identificar las diversas formas de racismo y conocen la política escolar.</w:t>
      </w:r>
    </w:p>
    <w:p w:rsidR="00CD2C0D" w:rsidRPr="00513E62" w:rsidRDefault="00CD2C0D" w:rsidP="00CD2C0D">
      <w:pPr>
        <w:pStyle w:val="SingleTxtG"/>
      </w:pPr>
      <w:r w:rsidRPr="00513E62">
        <w:t>130.</w:t>
      </w:r>
      <w:r w:rsidRPr="00513E62">
        <w:tab/>
        <w:t>Durante e</w:t>
      </w:r>
      <w:r w:rsidR="000F0209">
        <w:t>l ejercicio académico de 2012/</w:t>
      </w:r>
      <w:r w:rsidRPr="00513E62">
        <w:t xml:space="preserve">13, la Oficina del Ombudsman organizó, en cooperación con la Oficina del ACNUR en Chipre y la Representación de la Comisión Europea, un concurso escolar denominado </w:t>
      </w:r>
      <w:r>
        <w:t>“</w:t>
      </w:r>
      <w:r w:rsidRPr="00513E62">
        <w:t>Hablar del racismo y la xenofobia: el silencio no soluciona nada</w:t>
      </w:r>
      <w:r>
        <w:t>”</w:t>
      </w:r>
      <w:r w:rsidRPr="00513E62">
        <w:t>, que tenía por objeto informar y sensibilizar a los jóvenes acerca de las cuestiones relativas a la migración y el asilo y, en particular, acerca de la prevención y el tratamiento de los incidentes de xenofobia y racismo que ocurrieran en el medio escolar.</w:t>
      </w:r>
    </w:p>
    <w:p w:rsidR="00CD2C0D" w:rsidRPr="00513E62" w:rsidRDefault="00CD2C0D" w:rsidP="00CD2C0D">
      <w:pPr>
        <w:pStyle w:val="SingleTxtG"/>
      </w:pPr>
      <w:r w:rsidRPr="00513E62">
        <w:t>131.</w:t>
      </w:r>
      <w:r w:rsidRPr="00513E62">
        <w:tab/>
        <w:t xml:space="preserve">El Servicio de Psicología Educativa también colabora en la aplicación del Código realizando entrevistas y evaluaciones a los alumnos y asesorando a los maestros siempre que se producen incidentes racistas o discriminatorios de cualquier índole en una escuela pública. Los psicólogos de la educación deben desempeñar una función primordial de prevención de los incidentes de acoso escolar y de adopción de medidas al respecto organizando intervenciones específicas. </w:t>
      </w:r>
    </w:p>
    <w:p w:rsidR="00CD2C0D" w:rsidRPr="00513E62" w:rsidRDefault="00CD2C0D" w:rsidP="00CD2C0D">
      <w:pPr>
        <w:pStyle w:val="SingleTxtG"/>
      </w:pPr>
      <w:r w:rsidRPr="00513E62">
        <w:t>132.</w:t>
      </w:r>
      <w:r w:rsidRPr="00513E62">
        <w:tab/>
        <w:t xml:space="preserve">El Observatorio de </w:t>
      </w:r>
      <w:smartTag w:uri="urn:schemas-microsoft-com:office:smarttags" w:element="PersonName">
        <w:smartTagPr>
          <w:attr w:name="ProductID" w:val="la Violencia"/>
        </w:smartTagPr>
        <w:r w:rsidRPr="00513E62">
          <w:t>la Violencia</w:t>
        </w:r>
      </w:smartTag>
      <w:r w:rsidRPr="00513E62">
        <w:t xml:space="preserve"> en las Escuelas registra y evalúa datos sobre la magnitud y las variedades de la violencia que hay en las escuelas. También recoge datos cuantitativos y cualitativos sobre buenas prácticas de prevención de la violencia en las escuelas, sobre la investigación nacional e internacional acerca del medio escolar, sobre la violencia escolar y sobre la delincuencia juvenil. A fin de reducir la violencia en las escuelas, el Observatorio ha coordinado la implantación de una política de procedimientos de prevención e intervención en casos de acoso escolar. A tal fin, en febrero de 2015 se </w:t>
      </w:r>
      <w:r w:rsidRPr="00513E62">
        <w:lastRenderedPageBreak/>
        <w:t>publicaron, por me</w:t>
      </w:r>
      <w:r w:rsidR="00306C8D">
        <w:t xml:space="preserve">dio de una circular detallada, </w:t>
      </w:r>
      <w:r w:rsidRPr="00513E62">
        <w:t>vari</w:t>
      </w:r>
      <w:r w:rsidR="00306C8D">
        <w:t>a</w:t>
      </w:r>
      <w:r w:rsidRPr="00513E62">
        <w:t>s directrices y un manual para los maestros de todos los cursos. Los diversos servicios del Ministerio de Cultura y Educación organizaron unas sesiones de formación en el empleo para maestros que versaron sobre esa cuestión.</w:t>
      </w:r>
    </w:p>
    <w:p w:rsidR="00CD2C0D" w:rsidRPr="00513E62" w:rsidRDefault="00CD2C0D" w:rsidP="00CD2C0D">
      <w:pPr>
        <w:pStyle w:val="SingleTxtG"/>
      </w:pPr>
      <w:r w:rsidRPr="00513E62">
        <w:t>133.</w:t>
      </w:r>
      <w:r w:rsidRPr="00513E62">
        <w:tab/>
        <w:t xml:space="preserve">El Observatorio, en colaboración con el Defensor de los Derechos del Niño, creó </w:t>
      </w:r>
      <w:smartTag w:uri="urn:schemas-microsoft-com:office:smarttags" w:element="PersonName">
        <w:smartTagPr>
          <w:attr w:name="ProductID" w:val="la Red"/>
        </w:smartTagPr>
        <w:r w:rsidRPr="00513E62">
          <w:t>la Red</w:t>
        </w:r>
      </w:smartTag>
      <w:r w:rsidRPr="00513E62">
        <w:t xml:space="preserve"> de Lucha contra </w:t>
      </w:r>
      <w:smartTag w:uri="urn:schemas-microsoft-com:office:smarttags" w:element="PersonName">
        <w:smartTagPr>
          <w:attr w:name="ProductID" w:val="la Violencia"/>
        </w:smartTagPr>
        <w:r w:rsidRPr="00513E62">
          <w:t>la Violencia</w:t>
        </w:r>
      </w:smartTag>
      <w:r w:rsidRPr="00513E62">
        <w:t xml:space="preserve"> en </w:t>
      </w:r>
      <w:smartTag w:uri="urn:schemas-microsoft-com:office:smarttags" w:element="PersonName">
        <w:smartTagPr>
          <w:attr w:name="ProductID" w:val="la Escuela"/>
        </w:smartTagPr>
        <w:r w:rsidRPr="00513E62">
          <w:t>la Escuela</w:t>
        </w:r>
      </w:smartTag>
      <w:r w:rsidRPr="00513E62">
        <w:t xml:space="preserve"> en 2014, cuya finalidad era reforzar la labor que realizaban diversos agentes sociales (gubernamentales y no gubernamentales) de combatir la violencia en las escuelas y promover los derechos de los niños. En el marco de </w:t>
      </w:r>
      <w:smartTag w:uri="urn:schemas-microsoft-com:office:smarttags" w:element="PersonName">
        <w:smartTagPr>
          <w:attr w:name="ProductID" w:val="la Red"/>
        </w:smartTagPr>
        <w:r w:rsidRPr="00513E62">
          <w:t>la Red</w:t>
        </w:r>
      </w:smartTag>
      <w:r w:rsidRPr="00513E62">
        <w:t>, se han aplicado varias medidas para sensibilizar a la opinión pública acerca de la cuestión de la violencia en la escuela y la eliminación de la discriminación racial en la sociedad chipriota.</w:t>
      </w:r>
    </w:p>
    <w:p w:rsidR="00CD2C0D" w:rsidRPr="00513E62" w:rsidRDefault="00CD2C0D" w:rsidP="00CD2C0D">
      <w:pPr>
        <w:pStyle w:val="SingleTxtG"/>
      </w:pPr>
      <w:r>
        <w:t>134.</w:t>
      </w:r>
      <w:r>
        <w:tab/>
      </w:r>
      <w:r w:rsidRPr="00513E62">
        <w:t xml:space="preserve">En diciembre de 2014, el Observatorio organizó un curso de formación de personal, de cuatro días de duración, sobre el tema </w:t>
      </w:r>
      <w:r>
        <w:t>“</w:t>
      </w:r>
      <w:r w:rsidRPr="00513E62">
        <w:t>Prevención de los abusos y la explotación sexuales de que son víctimas los menores y lucha contra estos fenómenos</w:t>
      </w:r>
      <w:r>
        <w:t>”</w:t>
      </w:r>
      <w:r w:rsidRPr="00513E62">
        <w:t xml:space="preserve">. Los asistentes al curso fueron los fundadores y socios de </w:t>
      </w:r>
      <w:smartTag w:uri="urn:schemas-microsoft-com:office:smarttags" w:element="PersonName">
        <w:smartTagPr>
          <w:attr w:name="ProductID" w:val="la Stop"/>
        </w:smartTagPr>
        <w:r w:rsidRPr="00513E62">
          <w:t>la Stop</w:t>
        </w:r>
      </w:smartTag>
      <w:r w:rsidRPr="00513E62">
        <w:t xml:space="preserve"> </w:t>
      </w:r>
      <w:proofErr w:type="spellStart"/>
      <w:r w:rsidRPr="00513E62">
        <w:t>the</w:t>
      </w:r>
      <w:proofErr w:type="spellEnd"/>
      <w:r w:rsidRPr="00513E62">
        <w:t xml:space="preserve"> </w:t>
      </w:r>
      <w:proofErr w:type="spellStart"/>
      <w:r w:rsidRPr="00513E62">
        <w:t>Silence</w:t>
      </w:r>
      <w:proofErr w:type="spellEnd"/>
      <w:r w:rsidRPr="00513E62">
        <w:t xml:space="preserve"> </w:t>
      </w:r>
      <w:proofErr w:type="spellStart"/>
      <w:r w:rsidRPr="00513E62">
        <w:t>Association</w:t>
      </w:r>
      <w:proofErr w:type="spellEnd"/>
      <w:r w:rsidRPr="00513E62">
        <w:t xml:space="preserve"> de los Estados Unidos. Los representantes de diversos departamentos del Ministerio de Educación y Cultura han constituido un comité de coordinación para la prevención de los abusos y la explotación sexuales de que son víctimas los menores y de lucha contra estos fenómenos, que se encargará de trazar una política detallada que puedan aplicar las escuelas en caso de abusos sexuales contra menores o de explotación sexual de estos. </w:t>
      </w:r>
    </w:p>
    <w:p w:rsidR="00CD2C0D" w:rsidRPr="00513E62" w:rsidRDefault="00CD2C0D" w:rsidP="00CD2C0D">
      <w:pPr>
        <w:pStyle w:val="SingleTxtG"/>
      </w:pPr>
      <w:r w:rsidRPr="00513E62">
        <w:t>135.</w:t>
      </w:r>
      <w:r w:rsidRPr="00513E62">
        <w:tab/>
        <w:t xml:space="preserve">En enero de 2014 y abril de 2015, el Ministro de Educación y Cultura mantuvo consultas con el Equipo de Asesores Juveniles del Defensor de los Derechos del Niño (un grupo oficial de adolescentes de todas las regiones de Chipre, con extracciones diversas, entre ellos hijos de familias migrantes y de familias pertenecientes a minorías). Durante esas consultas, el Ministro tuvo la oportunidad de oír las opiniones que tenían los propios niños sobre cuestiones de educación sexual (por ejemplo, </w:t>
      </w:r>
      <w:r w:rsidR="003E5441">
        <w:t>la concienciación</w:t>
      </w:r>
      <w:r w:rsidRPr="00513E62">
        <w:t xml:space="preserve"> acerca de la explotación y los abusos sexuales) y sobre el fenómeno del acoso escolar. El Equipo expuso sus opiniones sobre la naturaleza de los incidentes que habían encontrado en las escuelas y formularon</w:t>
      </w:r>
      <w:r w:rsidR="00306C8D">
        <w:t xml:space="preserve"> </w:t>
      </w:r>
      <w:r w:rsidRPr="00513E62">
        <w:t xml:space="preserve">propuestas acerca de las medidas que había que tomar para luchar contra los abusos sexuales y el acoso de los que eran víctimas los niños y cómo se debería tratar la educación sexual en los programas de estudios. El Ministro tomó en consideración las opiniones del Equipo al formular la política de su ministerio. En marzo de 2015, el Observatorio participó en la organización de un </w:t>
      </w:r>
      <w:r>
        <w:t>“</w:t>
      </w:r>
      <w:r w:rsidRPr="00513E62">
        <w:t>Foro de alumnos contra el racismo y la discriminación</w:t>
      </w:r>
      <w:r>
        <w:t>”</w:t>
      </w:r>
      <w:r w:rsidRPr="00513E62">
        <w:t xml:space="preserve">, en colaboración con </w:t>
      </w:r>
      <w:smartTag w:uri="urn:schemas-microsoft-com:office:smarttags" w:element="PersonName">
        <w:smartTagPr>
          <w:attr w:name="ProductID" w:val="la Oficina"/>
        </w:smartTagPr>
        <w:r w:rsidRPr="00513E62">
          <w:t>la Oficina</w:t>
        </w:r>
      </w:smartTag>
      <w:r w:rsidRPr="00513E62">
        <w:t xml:space="preserve"> del Ombudsman.</w:t>
      </w:r>
    </w:p>
    <w:p w:rsidR="00CD2C0D" w:rsidRPr="00513E62" w:rsidRDefault="00CD2C0D" w:rsidP="00CD2C0D">
      <w:pPr>
        <w:pStyle w:val="SingleTxtG"/>
      </w:pPr>
      <w:r w:rsidRPr="00513E62">
        <w:t>136.</w:t>
      </w:r>
      <w:r w:rsidRPr="00513E62">
        <w:tab/>
        <w:t xml:space="preserve">Por lo que respecta a la educación, </w:t>
      </w:r>
      <w:r w:rsidR="003E5441">
        <w:t>la</w:t>
      </w:r>
      <w:r w:rsidRPr="00513E62">
        <w:t xml:space="preserve"> </w:t>
      </w:r>
      <w:r w:rsidR="003E5441">
        <w:t>concienciación</w:t>
      </w:r>
      <w:r w:rsidRPr="00513E62">
        <w:t xml:space="preserve"> y la capacitación de los agentes policiales y otros funcionarios públicos, el Organismo de Lucha contra la Discriminación realiza las siguientes actividades:</w:t>
      </w:r>
    </w:p>
    <w:p w:rsidR="00CD2C0D" w:rsidRPr="00513E62" w:rsidRDefault="00CD2C0D" w:rsidP="00CD2C0D">
      <w:pPr>
        <w:pStyle w:val="Bullet1G"/>
      </w:pPr>
      <w:r w:rsidRPr="00513E62">
        <w:t xml:space="preserve">Imparte conferencias a agentes policiales, en colaboración con </w:t>
      </w:r>
      <w:smartTag w:uri="urn:schemas-microsoft-com:office:smarttags" w:element="PersonName">
        <w:smartTagPr>
          <w:attr w:name="ProductID" w:val="la Academia"/>
        </w:smartTagPr>
        <w:r w:rsidRPr="00513E62">
          <w:t>la Academia</w:t>
        </w:r>
      </w:smartTag>
      <w:r w:rsidRPr="00513E62">
        <w:t xml:space="preserve"> de Policía de Chipre, sobre el tema </w:t>
      </w:r>
      <w:r>
        <w:t>“</w:t>
      </w:r>
      <w:r w:rsidRPr="00513E62">
        <w:t>Cuestiones relativas al ejercicio de la labor policial</w:t>
      </w:r>
      <w:r>
        <w:t xml:space="preserve"> en sociedades multiculturales”.</w:t>
      </w:r>
    </w:p>
    <w:p w:rsidR="00CD2C0D" w:rsidRPr="00513E62" w:rsidRDefault="00CD2C0D" w:rsidP="00CD2C0D">
      <w:pPr>
        <w:pStyle w:val="Bullet1G"/>
      </w:pPr>
      <w:r w:rsidRPr="00513E62">
        <w:t xml:space="preserve">En 2012 y 2013, </w:t>
      </w:r>
      <w:smartTag w:uri="urn:schemas-microsoft-com:office:smarttags" w:element="PersonName">
        <w:smartTagPr>
          <w:attr w:name="ProductID" w:val="la Ombudsman"/>
        </w:smartTagPr>
        <w:r w:rsidRPr="00513E62">
          <w:t>la Ombudsman</w:t>
        </w:r>
      </w:smartTag>
      <w:r w:rsidRPr="00513E62">
        <w:t xml:space="preserve">, en su condición de mecanismo nacional de prevención con arreglo al </w:t>
      </w:r>
      <w:r w:rsidRPr="00513E62">
        <w:rPr>
          <w:bCs/>
        </w:rPr>
        <w:t xml:space="preserve">Protocolo Facultativo de </w:t>
      </w:r>
      <w:smartTag w:uri="urn:schemas-microsoft-com:office:smarttags" w:element="PersonName">
        <w:smartTagPr>
          <w:attr w:name="ProductID" w:val="la Convenci￳n"/>
        </w:smartTagPr>
        <w:r w:rsidRPr="00513E62">
          <w:rPr>
            <w:bCs/>
          </w:rPr>
          <w:t>la Convención</w:t>
        </w:r>
      </w:smartTag>
      <w:r w:rsidRPr="00513E62">
        <w:rPr>
          <w:bCs/>
        </w:rPr>
        <w:t xml:space="preserve"> contra </w:t>
      </w:r>
      <w:smartTag w:uri="urn:schemas-microsoft-com:office:smarttags" w:element="PersonName">
        <w:smartTagPr>
          <w:attr w:name="ProductID" w:val="la Tortura"/>
        </w:smartTagPr>
        <w:r w:rsidRPr="00513E62">
          <w:rPr>
            <w:bCs/>
          </w:rPr>
          <w:t>la Tortura</w:t>
        </w:r>
      </w:smartTag>
      <w:r w:rsidRPr="00513E62">
        <w:rPr>
          <w:bCs/>
        </w:rPr>
        <w:t xml:space="preserve"> y Otros Tratos o Penas Crueles, Inhumanos o Degradantes, participó en la capacitación del personal del Centro de Internamiento de Migrantes Irregulares de </w:t>
      </w:r>
      <w:proofErr w:type="spellStart"/>
      <w:r w:rsidRPr="00513E62">
        <w:rPr>
          <w:bCs/>
        </w:rPr>
        <w:t>Menoyia</w:t>
      </w:r>
      <w:proofErr w:type="spellEnd"/>
      <w:r w:rsidRPr="00513E62">
        <w:rPr>
          <w:bCs/>
        </w:rPr>
        <w:t xml:space="preserve">, fundado recientemente, con objeto de prevenir todas las formas de menoscabo y vulneración de los derechos humanos de los detenidos. Desde entonces, </w:t>
      </w:r>
      <w:smartTag w:uri="urn:schemas-microsoft-com:office:smarttags" w:element="PersonName">
        <w:smartTagPr>
          <w:attr w:name="ProductID" w:val="la Ombudsman"/>
        </w:smartTagPr>
        <w:r w:rsidRPr="00513E62">
          <w:rPr>
            <w:bCs/>
          </w:rPr>
          <w:t>la Ombudsman</w:t>
        </w:r>
      </w:smartTag>
      <w:r w:rsidRPr="00513E62">
        <w:rPr>
          <w:bCs/>
        </w:rPr>
        <w:t xml:space="preserve"> participa también en las sesio</w:t>
      </w:r>
      <w:r>
        <w:rPr>
          <w:bCs/>
        </w:rPr>
        <w:t>nes de capacitación de refuerzo.</w:t>
      </w:r>
    </w:p>
    <w:p w:rsidR="00CD2C0D" w:rsidRPr="00513E62" w:rsidRDefault="00CD2C0D" w:rsidP="00CD2C0D">
      <w:pPr>
        <w:pStyle w:val="Bullet1G"/>
      </w:pPr>
      <w:r w:rsidRPr="00513E62">
        <w:t xml:space="preserve">En 2013 y 2014, unos subordinados de </w:t>
      </w:r>
      <w:smartTag w:uri="urn:schemas-microsoft-com:office:smarttags" w:element="PersonName">
        <w:smartTagPr>
          <w:attr w:name="ProductID" w:val="la Ombudsman"/>
        </w:smartTagPr>
        <w:r w:rsidRPr="00513E62">
          <w:t>la Ombudsman</w:t>
        </w:r>
      </w:smartTag>
      <w:r w:rsidRPr="00513E62">
        <w:t xml:space="preserve"> expusieron el tema </w:t>
      </w:r>
      <w:r>
        <w:t>“</w:t>
      </w:r>
      <w:r w:rsidRPr="00513E62">
        <w:t>Hacer frente a la discriminación</w:t>
      </w:r>
      <w:r>
        <w:t>”</w:t>
      </w:r>
      <w:r w:rsidRPr="00513E62">
        <w:t xml:space="preserve"> durante el curso obligatorio de capacitación impartido </w:t>
      </w:r>
      <w:r w:rsidRPr="00513E62">
        <w:lastRenderedPageBreak/>
        <w:t xml:space="preserve">por </w:t>
      </w:r>
      <w:smartTag w:uri="urn:schemas-microsoft-com:office:smarttags" w:element="PersonName">
        <w:smartTagPr>
          <w:attr w:name="ProductID" w:val="la Academia"/>
        </w:smartTagPr>
        <w:r w:rsidRPr="00513E62">
          <w:t>la Academia</w:t>
        </w:r>
      </w:smartTag>
      <w:r w:rsidRPr="00513E62">
        <w:t xml:space="preserve"> de Administración Pública de Chipre a los funcionarios públicos recién contratados. Asimismo, en 2013, el Organismo de Lucha contra </w:t>
      </w:r>
      <w:smartTag w:uri="urn:schemas-microsoft-com:office:smarttags" w:element="PersonName">
        <w:smartTagPr>
          <w:attr w:name="ProductID" w:val="la Discriminaci￳n"/>
        </w:smartTagPr>
        <w:r w:rsidRPr="00513E62">
          <w:t>la Discriminación</w:t>
        </w:r>
      </w:smartTag>
      <w:r w:rsidRPr="00513E62">
        <w:t xml:space="preserve">, en colaboración con </w:t>
      </w:r>
      <w:smartTag w:uri="urn:schemas-microsoft-com:office:smarttags" w:element="PersonName">
        <w:smartTagPr>
          <w:attr w:name="ProductID" w:val="la Academia"/>
        </w:smartTagPr>
        <w:r w:rsidRPr="00513E62">
          <w:t>la Academia</w:t>
        </w:r>
      </w:smartTag>
      <w:r w:rsidRPr="00513E62">
        <w:t xml:space="preserve">, organizó cursos de capacitación dirigidos a funcionarios públicos para promover y aplicar el </w:t>
      </w:r>
      <w:r>
        <w:t>“</w:t>
      </w:r>
      <w:r w:rsidRPr="00513E62">
        <w:t>Código de Conducta y Deontología de la Administración Pública</w:t>
      </w:r>
      <w:r>
        <w:t>”</w:t>
      </w:r>
      <w:r w:rsidRPr="00513E62">
        <w:t>, en el que se tratan las cuestiones del respeto y la protección de los derechos civiles, los derechos humanos</w:t>
      </w:r>
      <w:r>
        <w:t xml:space="preserve"> y la diversidad.</w:t>
      </w:r>
    </w:p>
    <w:p w:rsidR="00CD2C0D" w:rsidRPr="00513E62" w:rsidRDefault="00CD2C0D" w:rsidP="00CD2C0D">
      <w:pPr>
        <w:pStyle w:val="Bullet1G"/>
      </w:pPr>
      <w:r w:rsidRPr="00513E62">
        <w:t xml:space="preserve">En 2014, los subordinados de </w:t>
      </w:r>
      <w:smartTag w:uri="urn:schemas-microsoft-com:office:smarttags" w:element="PersonName">
        <w:smartTagPr>
          <w:attr w:name="ProductID" w:val="la Ombudsman"/>
        </w:smartTagPr>
        <w:r w:rsidRPr="00513E62">
          <w:t>la Ombudsman</w:t>
        </w:r>
      </w:smartTag>
      <w:r w:rsidRPr="00513E62">
        <w:t xml:space="preserve"> colaboraron con una ONG que trabajaba en el ámbito de la igualdad de género para impartir una conferencia a funcionarios públicos varones sobre el factor de la demanda en la trata de mujeres </w:t>
      </w:r>
      <w:r>
        <w:t>con fines de explotación sexual.</w:t>
      </w:r>
    </w:p>
    <w:p w:rsidR="00CD2C0D" w:rsidRPr="00513E62" w:rsidRDefault="00CD2C0D" w:rsidP="00CD2C0D">
      <w:pPr>
        <w:pStyle w:val="Bullet1G"/>
      </w:pPr>
      <w:r w:rsidRPr="00513E62">
        <w:t xml:space="preserve">En 2014, </w:t>
      </w:r>
      <w:smartTag w:uri="urn:schemas-microsoft-com:office:smarttags" w:element="PersonName">
        <w:smartTagPr>
          <w:attr w:name="ProductID" w:val="la Oficina"/>
        </w:smartTagPr>
        <w:r w:rsidRPr="00513E62">
          <w:t>la Oficina</w:t>
        </w:r>
      </w:smartTag>
      <w:r w:rsidRPr="00513E62">
        <w:t xml:space="preserve"> del Ombudsman expuso, ante el personal del Departamento Penitenciario, los temas </w:t>
      </w:r>
      <w:r>
        <w:t>“</w:t>
      </w:r>
      <w:r w:rsidRPr="00513E62">
        <w:t>Los derechos humanos y las instituciones penitenciarias</w:t>
      </w:r>
      <w:r>
        <w:t>”</w:t>
      </w:r>
      <w:r w:rsidRPr="00513E62">
        <w:t xml:space="preserve"> y </w:t>
      </w:r>
      <w:r>
        <w:t>“</w:t>
      </w:r>
      <w:r w:rsidRPr="00513E62">
        <w:t>La discriminación y los incidentes racistas</w:t>
      </w:r>
      <w:r>
        <w:t>”</w:t>
      </w:r>
      <w:r w:rsidRPr="00513E62">
        <w:t>.</w:t>
      </w:r>
    </w:p>
    <w:p w:rsidR="00CD2C0D" w:rsidRPr="00513E62" w:rsidRDefault="00CD2C0D" w:rsidP="00CD2C0D">
      <w:pPr>
        <w:pStyle w:val="Bullet1G"/>
      </w:pPr>
      <w:r w:rsidRPr="00513E62">
        <w:t xml:space="preserve">En 2014, </w:t>
      </w:r>
      <w:smartTag w:uri="urn:schemas-microsoft-com:office:smarttags" w:element="PersonName">
        <w:smartTagPr>
          <w:attr w:name="ProductID" w:val="la Ombudsman"/>
        </w:smartTagPr>
        <w:r w:rsidRPr="00513E62">
          <w:t>la Ombudsman</w:t>
        </w:r>
      </w:smartTag>
      <w:r w:rsidRPr="00513E62">
        <w:t xml:space="preserve">, teniendo en cuenta que una gran parte de los migrantes eran usuarios frecuentes de los autobuses, preparó, en colaboración con </w:t>
      </w:r>
      <w:smartTag w:uri="urn:schemas-microsoft-com:office:smarttags" w:element="PersonName">
        <w:smartTagPr>
          <w:attr w:name="ProductID" w:val="la Organizaci￳n"/>
        </w:smartTagPr>
        <w:r w:rsidRPr="00513E62">
          <w:t>la Organización</w:t>
        </w:r>
      </w:smartTag>
      <w:r w:rsidRPr="00513E62">
        <w:t xml:space="preserve"> de Transportes del Distrito de Nicosia, un manual para los conductores de autobuses en el que se les imponía el deber de prestar servicio sin discriminación, se exponía la normativa de lucha contra la discriminación y se impartían directrices sobre las responsabilidades de las partes en los asuntos relacionados con el comportamiento hacia los pasajeros de autobús de ascendencia étnica diferente y el trato que se les</w:t>
      </w:r>
      <w:r>
        <w:t xml:space="preserve"> había de dar.</w:t>
      </w:r>
    </w:p>
    <w:p w:rsidR="00CD2C0D" w:rsidRPr="00513E62" w:rsidRDefault="00CD2C0D" w:rsidP="00CD2C0D">
      <w:pPr>
        <w:pStyle w:val="Bullet1G"/>
      </w:pPr>
      <w:r w:rsidRPr="00513E62">
        <w:t xml:space="preserve">Gracias a la financiación obtenida por el programa </w:t>
      </w:r>
      <w:proofErr w:type="spellStart"/>
      <w:r w:rsidRPr="00513E62">
        <w:t>PROGRESS</w:t>
      </w:r>
      <w:proofErr w:type="spellEnd"/>
      <w:r w:rsidRPr="00513E62">
        <w:t xml:space="preserve"> de la</w:t>
      </w:r>
      <w:r w:rsidR="00980D59">
        <w:t xml:space="preserve"> Unión Europea</w:t>
      </w:r>
      <w:r w:rsidRPr="00513E62">
        <w:t xml:space="preserve">, el Organismo de Lucha contra </w:t>
      </w:r>
      <w:smartTag w:uri="urn:schemas-microsoft-com:office:smarttags" w:element="PersonName">
        <w:smartTagPr>
          <w:attr w:name="ProductID" w:val="la Discriminaci￳n"/>
        </w:smartTagPr>
        <w:r w:rsidRPr="00513E62">
          <w:t>la Discriminación</w:t>
        </w:r>
      </w:smartTag>
      <w:r w:rsidRPr="00513E62">
        <w:t xml:space="preserve"> aplica, en la actualidad, una serie de medidas (como la denominada </w:t>
      </w:r>
      <w:r>
        <w:t>“</w:t>
      </w:r>
      <w:r w:rsidRPr="00513E62">
        <w:t>Tolerancia cero hacia la violencia que sufren las mujeres y las niñas en Chipre</w:t>
      </w:r>
      <w:r>
        <w:t>”</w:t>
      </w:r>
      <w:r w:rsidRPr="00513E62">
        <w:t xml:space="preserve">), en colaboración con otras </w:t>
      </w:r>
      <w:r w:rsidR="00306C8D">
        <w:t>organizaciones (el </w:t>
      </w:r>
      <w:r w:rsidRPr="00513E62">
        <w:t xml:space="preserve">Comité Asesor para </w:t>
      </w:r>
      <w:smartTag w:uri="urn:schemas-microsoft-com:office:smarttags" w:element="PersonName">
        <w:smartTagPr>
          <w:attr w:name="ProductID" w:val="la Prevenci￳n"/>
        </w:smartTagPr>
        <w:r w:rsidRPr="00513E62">
          <w:t>la Prevención</w:t>
        </w:r>
      </w:smartTag>
      <w:r w:rsidRPr="00513E62">
        <w:t xml:space="preserve"> y </w:t>
      </w:r>
      <w:smartTag w:uri="urn:schemas-microsoft-com:office:smarttags" w:element="PersonName">
        <w:smartTagPr>
          <w:attr w:name="ProductID" w:val="la Lucha"/>
        </w:smartTagPr>
        <w:r w:rsidRPr="00513E62">
          <w:t>la Lucha</w:t>
        </w:r>
      </w:smartTag>
      <w:r w:rsidRPr="00513E62">
        <w:t xml:space="preserve"> contra </w:t>
      </w:r>
      <w:smartTag w:uri="urn:schemas-microsoft-com:office:smarttags" w:element="PersonName">
        <w:smartTagPr>
          <w:attr w:name="ProductID" w:val="la Violencia"/>
        </w:smartTagPr>
        <w:r w:rsidRPr="00513E62">
          <w:t>la Violencia</w:t>
        </w:r>
      </w:smartTag>
      <w:r w:rsidRPr="00513E62">
        <w:t xml:space="preserve"> en </w:t>
      </w:r>
      <w:smartTag w:uri="urn:schemas-microsoft-com:office:smarttags" w:element="PersonName">
        <w:smartTagPr>
          <w:attr w:name="ProductID" w:val="la Familia"/>
        </w:smartTagPr>
        <w:r w:rsidRPr="00513E62">
          <w:t>la Familia</w:t>
        </w:r>
      </w:smartTag>
      <w:r w:rsidRPr="00513E62">
        <w:t xml:space="preserve">, </w:t>
      </w:r>
      <w:smartTag w:uri="urn:schemas-microsoft-com:office:smarttags" w:element="PersonName">
        <w:smartTagPr>
          <w:attr w:name="ProductID" w:val="la Academia"/>
        </w:smartTagPr>
        <w:r w:rsidRPr="00513E62">
          <w:t>la Academia</w:t>
        </w:r>
      </w:smartTag>
      <w:r w:rsidRPr="00513E62">
        <w:t xml:space="preserve"> de Administración Pública de Chipre y el Instituto Mediterráneo de Estudios de Género), para luchar contra la violencia que sufren las mujeres y las niñas y eliminarla. Uno de los dos objetivos principales de la campaña es sensibilizar, informar y apoyar a los profesionales (principalmente funcionarios públicos) que trabajan en los diversos servicios competentes (por ejemplo, profesionales de la salud, docentes, asistentes sociales, policías, fiscales, etc.), así como a ONG, organizaciones de mujeres y periodistas, impartiéndoles diversos tipos de formación. Además de impartir esa formación, se ha emprendido, en los medios de difusión, una campaña específica de lucha contra la violencia que sufren las mujeres, de</w:t>
      </w:r>
      <w:r>
        <w:t xml:space="preserve"> </w:t>
      </w:r>
      <w:r w:rsidRPr="00513E62">
        <w:t xml:space="preserve">ámbito nacional, con la que se pretende concienciar y sensibilizar a la opinión pública general acerca de esa violencia. En la campaña se hace especial hincapié en la vulnerabilidad particular de </w:t>
      </w:r>
      <w:r w:rsidR="00306C8D">
        <w:t>las mujeres de origen migrante.</w:t>
      </w:r>
    </w:p>
    <w:p w:rsidR="00CD2C0D" w:rsidRPr="00513E62" w:rsidRDefault="00CD2C0D" w:rsidP="00CD2C0D">
      <w:pPr>
        <w:pStyle w:val="H23G"/>
      </w:pPr>
      <w:r>
        <w:tab/>
      </w:r>
      <w:r w:rsidRPr="00513E62">
        <w:t>c)</w:t>
      </w:r>
      <w:r w:rsidRPr="00513E62">
        <w:tab/>
        <w:t>Información</w:t>
      </w:r>
    </w:p>
    <w:p w:rsidR="00CD2C0D" w:rsidRPr="00513E62" w:rsidRDefault="00CD2C0D" w:rsidP="00CD2C0D">
      <w:pPr>
        <w:pStyle w:val="SingleTxtG"/>
      </w:pPr>
      <w:r w:rsidRPr="00513E62">
        <w:t>137.</w:t>
      </w:r>
      <w:r w:rsidRPr="00513E62">
        <w:tab/>
        <w:t xml:space="preserve">El Organismo de Radio y Televisión de Chipre tiene competencias, entre otras cosas, para promover la eliminación de todas las formas de discriminación racial. Puede emitir circulares, directrices y recomendaciones para que se cumplan, por ejemplo, las disposiciones de las </w:t>
      </w:r>
      <w:r w:rsidRPr="00AF74E6">
        <w:t xml:space="preserve">Leyes de las </w:t>
      </w:r>
      <w:r w:rsidR="00AA7E5A" w:rsidRPr="00AF74E6">
        <w:t xml:space="preserve">Entidades </w:t>
      </w:r>
      <w:r w:rsidRPr="00AF74E6">
        <w:t xml:space="preserve">de </w:t>
      </w:r>
      <w:r w:rsidR="00AA7E5A" w:rsidRPr="00AF74E6">
        <w:t xml:space="preserve">Radio </w:t>
      </w:r>
      <w:r w:rsidRPr="00AF74E6">
        <w:t xml:space="preserve">y </w:t>
      </w:r>
      <w:r w:rsidR="00AA7E5A" w:rsidRPr="00AF74E6">
        <w:t>Televisión</w:t>
      </w:r>
      <w:r w:rsidR="00AA7E5A" w:rsidRPr="00513E62">
        <w:t xml:space="preserve"> </w:t>
      </w:r>
      <w:r w:rsidRPr="00513E62">
        <w:t xml:space="preserve">(de </w:t>
      </w:r>
      <w:smartTag w:uri="urn:schemas-microsoft-com:office:smarttags" w:element="metricconverter">
        <w:smartTagPr>
          <w:attr w:name="ProductID" w:val="1998 a"/>
        </w:smartTagPr>
        <w:r w:rsidRPr="00513E62">
          <w:t>1998 a</w:t>
        </w:r>
      </w:smartTag>
      <w:r w:rsidRPr="00513E62">
        <w:t xml:space="preserve"> 2015) y los reglamentos correspondientes. En particular, el Organismo emitió la circular </w:t>
      </w:r>
      <w:r w:rsidR="00306C8D">
        <w:t xml:space="preserve">núm. </w:t>
      </w:r>
      <w:r w:rsidRPr="00513E62">
        <w:t xml:space="preserve">14/2014, de 25 de septiembre de 2014, que iba dirigida a </w:t>
      </w:r>
      <w:smartTag w:uri="urn:schemas-microsoft-com:office:smarttags" w:element="PersonName">
        <w:smartTagPr>
          <w:attr w:name="ProductID" w:val="la Emisora"/>
        </w:smartTagPr>
        <w:r w:rsidRPr="00513E62">
          <w:t>la Emisora</w:t>
        </w:r>
      </w:smartTag>
      <w:r w:rsidRPr="00513E62">
        <w:t xml:space="preserve"> de Radio y Televisión de Chipre y a todas las entidades de televisión privadas y en la que exponía cómo presentar los reportajes sobre las operaciones de rescate de los inmigrantes en las cercanías del distrito de </w:t>
      </w:r>
      <w:proofErr w:type="spellStart"/>
      <w:r w:rsidRPr="00513E62">
        <w:t>Pafos</w:t>
      </w:r>
      <w:proofErr w:type="spellEnd"/>
      <w:r w:rsidRPr="00513E62">
        <w:t xml:space="preserve">, para evitar toda referencia racista o discriminatoria. En la circular se subrayó que había que procurar que las noticias no contribuyeran a crear un clima o unas opiniones </w:t>
      </w:r>
      <w:r w:rsidRPr="00513E62">
        <w:lastRenderedPageBreak/>
        <w:t xml:space="preserve">desfavorables hacia los inmigrantes. Se insistió particularmente en que </w:t>
      </w:r>
      <w:r>
        <w:t>“</w:t>
      </w:r>
      <w:r w:rsidRPr="00513E62">
        <w:t>el Organismo de Radio y Televisión de Chipre espera que las emisoras de televisión informen del incidente humanitario del rescate de inmigrantes con el respeto y la sensibilidad debidos y respetando tanto los derechos humanos de los propios inmigrantes como la sensibilidad del público</w:t>
      </w:r>
      <w:r>
        <w:t>”</w:t>
      </w:r>
      <w:r w:rsidRPr="00513E62">
        <w:t>.</w:t>
      </w:r>
    </w:p>
    <w:p w:rsidR="00CD2C0D" w:rsidRPr="00513E62" w:rsidRDefault="00CD2C0D" w:rsidP="00CD2C0D">
      <w:pPr>
        <w:pStyle w:val="SingleTxtG"/>
      </w:pPr>
      <w:r w:rsidRPr="00513E62">
        <w:t>138.</w:t>
      </w:r>
      <w:r w:rsidRPr="00513E62">
        <w:tab/>
        <w:t xml:space="preserve">Por otra parte, </w:t>
      </w:r>
      <w:smartTag w:uri="urn:schemas-microsoft-com:office:smarttags" w:element="PersonName">
        <w:smartTagPr>
          <w:attr w:name="ProductID" w:val="la Comisi￳n"/>
        </w:smartTagPr>
        <w:r w:rsidRPr="00513E62">
          <w:t>la Comisión</w:t>
        </w:r>
      </w:smartTag>
      <w:r w:rsidRPr="00513E62">
        <w:t xml:space="preserve"> de Quejas contra los Medios de Difusión de Chipre se encarga de vigilar que tanto los medios impresos como los electrónicos, incluidos los medios que se publican en línea, apliquen el Código de Práctica del Periodismo. El Código contiene disposiciones destinadas a evitar la discriminación o los prejuicios </w:t>
      </w:r>
      <w:r>
        <w:t>“</w:t>
      </w:r>
      <w:r w:rsidRPr="00513E62">
        <w:t>por motivos de raza, color, lengua, religión, convicciones políticas o de otra índole, procedencia nacional o social, posesiones, extracción, género, edad o cualquier otra condición personal</w:t>
      </w:r>
      <w:r>
        <w:t>”</w:t>
      </w:r>
      <w:r w:rsidRPr="00513E62">
        <w:t xml:space="preserve"> y a prohibir </w:t>
      </w:r>
      <w:r>
        <w:t>“</w:t>
      </w:r>
      <w:r w:rsidRPr="00513E62">
        <w:t>la burla, la ridiculización y el insulto contra individuos y grupos</w:t>
      </w:r>
      <w:r>
        <w:t>”</w:t>
      </w:r>
      <w:r w:rsidR="00306C8D">
        <w:t>. La </w:t>
      </w:r>
      <w:r w:rsidRPr="00513E62">
        <w:t>Comisión está facultada para estudiar las quejas contra publicaciones insultantes u ofensivas o emisiones que atenten contra el Código.</w:t>
      </w:r>
    </w:p>
    <w:p w:rsidR="00CD2C0D" w:rsidRPr="00513E62" w:rsidRDefault="00CD2C0D" w:rsidP="00CD2C0D">
      <w:pPr>
        <w:pStyle w:val="SingleTxtG"/>
      </w:pPr>
      <w:r w:rsidRPr="00513E62">
        <w:t>139.</w:t>
      </w:r>
      <w:r w:rsidRPr="00513E62">
        <w:tab/>
        <w:t>La Comisión ha tomado parte en varias campañas de lucha contra el racismo junto con organismos que combaten este fenómeno y apoyan a los migrantes y refugiados, entre ellos el ACNUR.</w:t>
      </w:r>
    </w:p>
    <w:p w:rsidR="00CD2C0D" w:rsidRPr="00513E62" w:rsidRDefault="00CD2C0D" w:rsidP="00CD2C0D">
      <w:pPr>
        <w:pStyle w:val="H4G"/>
      </w:pPr>
      <w:r>
        <w:tab/>
      </w:r>
      <w:r>
        <w:tab/>
      </w:r>
      <w:r w:rsidRPr="00513E62">
        <w:t>Incitación al odio</w:t>
      </w:r>
    </w:p>
    <w:p w:rsidR="00CD2C0D" w:rsidRPr="00513E62" w:rsidRDefault="00CD2C0D" w:rsidP="00CD2C0D">
      <w:pPr>
        <w:pStyle w:val="SingleTxtG"/>
      </w:pPr>
      <w:r w:rsidRPr="00513E62">
        <w:t>[Véase también e</w:t>
      </w:r>
      <w:r w:rsidR="000F0209">
        <w:t>l informe de seguimiento, párrafos</w:t>
      </w:r>
      <w:r w:rsidRPr="00513E62">
        <w:t xml:space="preserve"> </w:t>
      </w:r>
      <w:smartTag w:uri="urn:schemas-microsoft-com:office:smarttags" w:element="metricconverter">
        <w:smartTagPr>
          <w:attr w:name="ProductID" w:val="8 a"/>
        </w:smartTagPr>
        <w:r w:rsidRPr="00513E62">
          <w:t>8 a</w:t>
        </w:r>
      </w:smartTag>
      <w:r w:rsidRPr="00513E62">
        <w:t xml:space="preserve"> 15</w:t>
      </w:r>
      <w:r>
        <w:t>.</w:t>
      </w:r>
      <w:r w:rsidRPr="00513E62">
        <w:t>]</w:t>
      </w:r>
    </w:p>
    <w:p w:rsidR="00CD2C0D" w:rsidRPr="00513E62" w:rsidRDefault="00CD2C0D" w:rsidP="00CD2C0D">
      <w:pPr>
        <w:pStyle w:val="SingleTxtG"/>
      </w:pPr>
      <w:r w:rsidRPr="00513E62">
        <w:t>140.</w:t>
      </w:r>
      <w:r w:rsidRPr="00513E62">
        <w:tab/>
      </w:r>
      <w:smartTag w:uri="urn:schemas-microsoft-com:office:smarttags" w:element="PersonName">
        <w:smartTagPr>
          <w:attr w:name="ProductID" w:val="la Comisi￳n"/>
        </w:smartTagPr>
        <w:r w:rsidRPr="00513E62">
          <w:t>La Comisión</w:t>
        </w:r>
      </w:smartTag>
      <w:r w:rsidRPr="00513E62">
        <w:t xml:space="preserve"> de Quejas contra los Medios de Difusión de Chipre, en cooperación con el ACNUR, elaboró, en febrero de 2015, una adición al Código de Práctica del Periodismo basada en </w:t>
      </w:r>
      <w:smartTag w:uri="urn:schemas-microsoft-com:office:smarttags" w:element="PersonName">
        <w:smartTagPr>
          <w:attr w:name="ProductID" w:val="la Declaraci￳n"/>
        </w:smartTagPr>
        <w:r w:rsidRPr="00513E62">
          <w:t>la Declaración</w:t>
        </w:r>
      </w:smartTag>
      <w:r w:rsidRPr="00513E62">
        <w:t xml:space="preserve"> de Roma, en la que se explicaban detalladamente las disposiciones de las leyes y los reglamentos de lucha contra la discriminación y se impartían directrices sobre cómo deberían tratar los periodistas las noticias sobre los migrantes, los refugiados y los solicitantes de asilo. </w:t>
      </w:r>
    </w:p>
    <w:p w:rsidR="00CD2C0D" w:rsidRPr="00513E62" w:rsidRDefault="00CD2C0D" w:rsidP="00CD2C0D">
      <w:pPr>
        <w:pStyle w:val="SingleTxtG"/>
      </w:pPr>
      <w:r w:rsidRPr="00513E62">
        <w:t>141.</w:t>
      </w:r>
      <w:r w:rsidRPr="00513E62">
        <w:tab/>
        <w:t xml:space="preserve">En el Código también se dan instrucciones a los periodistas sobre la necesidad de diferenciar entre solicitantes de asilo, refugiados, beneficiarios de protección subsidiaria, víctimas de la trata, migrantes y </w:t>
      </w:r>
      <w:r>
        <w:t>“</w:t>
      </w:r>
      <w:r w:rsidRPr="00513E62">
        <w:t>migrantes indocumentados</w:t>
      </w:r>
      <w:r>
        <w:t>”</w:t>
      </w:r>
      <w:r w:rsidRPr="00513E62">
        <w:t xml:space="preserve"> (</w:t>
      </w:r>
      <w:r w:rsidRPr="00AF74E6">
        <w:rPr>
          <w:bCs/>
        </w:rPr>
        <w:t>http://</w:t>
      </w:r>
      <w:proofErr w:type="spellStart"/>
      <w:r w:rsidRPr="00AF74E6">
        <w:rPr>
          <w:bCs/>
        </w:rPr>
        <w:t>www.cmcc.org.cy</w:t>
      </w:r>
      <w:proofErr w:type="spellEnd"/>
      <w:r w:rsidRPr="00AF74E6">
        <w:rPr>
          <w:bCs/>
        </w:rPr>
        <w:t>/</w:t>
      </w:r>
      <w:r w:rsidR="00306C8D">
        <w:rPr>
          <w:bCs/>
        </w:rPr>
        <w:br/>
      </w:r>
      <w:proofErr w:type="spellStart"/>
      <w:r w:rsidRPr="00AF74E6">
        <w:rPr>
          <w:bCs/>
        </w:rPr>
        <w:t>code_practice2.html</w:t>
      </w:r>
      <w:proofErr w:type="spellEnd"/>
      <w:r w:rsidRPr="00513E62">
        <w:t>).</w:t>
      </w:r>
    </w:p>
    <w:p w:rsidR="00CD2C0D" w:rsidRPr="00513E62" w:rsidRDefault="00CD2C0D" w:rsidP="00CD2C0D">
      <w:pPr>
        <w:pStyle w:val="SingleTxtG"/>
      </w:pPr>
      <w:r w:rsidRPr="00513E62">
        <w:t>142.</w:t>
      </w:r>
      <w:r w:rsidRPr="00513E62">
        <w:tab/>
        <w:t>En la citada adición se declara, entre otras cosas, lo siguiente:</w:t>
      </w:r>
    </w:p>
    <w:p w:rsidR="00CD2C0D" w:rsidRPr="00513E62" w:rsidRDefault="00CD2C0D" w:rsidP="00CD2C0D">
      <w:pPr>
        <w:pStyle w:val="Bullet1G"/>
      </w:pPr>
      <w:r w:rsidRPr="00513E62">
        <w:t>Siempre hay que tener en cuenta el elemento de diversidad, ya sea cultural, racial, nacional, religiosa, social o de apariencia, a fin de promover el entendimiento mutuo entre los diferent</w:t>
      </w:r>
      <w:r>
        <w:t>es grupos de población.</w:t>
      </w:r>
    </w:p>
    <w:p w:rsidR="00CD2C0D" w:rsidRPr="00513E62" w:rsidRDefault="00CD2C0D" w:rsidP="00CD2C0D">
      <w:pPr>
        <w:pStyle w:val="Bullet1G"/>
      </w:pPr>
      <w:r w:rsidRPr="00513E62">
        <w:t>No hay que revelar la procedencia nacional o racial en las noticias cuando esta no sea un componente informativo. Por ejemplo, cuando uno no mencionaría que la parte o las partes relacionadas con una noticia son chipriotas, no lo debería mencionar cuando la parte o las partes fuer</w:t>
      </w:r>
      <w:r>
        <w:t>an migrantes.</w:t>
      </w:r>
    </w:p>
    <w:p w:rsidR="00CD2C0D" w:rsidRPr="00513E62" w:rsidRDefault="00CD2C0D" w:rsidP="00CD2C0D">
      <w:pPr>
        <w:pStyle w:val="Bullet1G"/>
      </w:pPr>
      <w:r w:rsidRPr="00513E62">
        <w:t>No hay que redactar ni contar noticias sob</w:t>
      </w:r>
      <w:r w:rsidR="000F0209">
        <w:t>r</w:t>
      </w:r>
      <w:r w:rsidRPr="00513E62">
        <w:t>e incidentes en los que estén envueltos migrantes, refugiados, solicitantes de asilo o víctimas de la trata cuando tales incidentes no se consideraran noticiosos en caso de que las personas envueltas en ellos fueran chipriotas</w:t>
      </w:r>
      <w:r>
        <w:t>.</w:t>
      </w:r>
    </w:p>
    <w:p w:rsidR="00CD2C0D" w:rsidRPr="00513E62" w:rsidRDefault="00CD2C0D" w:rsidP="00CD2C0D">
      <w:pPr>
        <w:pStyle w:val="Bullet1G"/>
      </w:pPr>
      <w:r w:rsidRPr="00513E62">
        <w:t>No hay que dar publicidad excesiva a las noticias en las que las víctimas o los delincuentes sean migrantes. Hay que presentarlas como si las personas implicadas fueran chipriotas</w:t>
      </w:r>
      <w:r>
        <w:t>.</w:t>
      </w:r>
    </w:p>
    <w:p w:rsidR="00CD2C0D" w:rsidRPr="00513E62" w:rsidRDefault="00CD2C0D" w:rsidP="00CD2C0D">
      <w:pPr>
        <w:pStyle w:val="Bullet1G"/>
      </w:pPr>
      <w:r w:rsidRPr="00513E62">
        <w:t>Especialmente en caso de que se hayan cometido delitos o faltas, no hay que mencionar la proced</w:t>
      </w:r>
      <w:r w:rsidR="00306C8D">
        <w:t>encia nacional del sospechoso o</w:t>
      </w:r>
      <w:r w:rsidRPr="00513E62">
        <w:t xml:space="preserve"> los sospechosos, cuando ello no sea un elemento constitutivo o necesario de la noticia</w:t>
      </w:r>
      <w:r>
        <w:t>.</w:t>
      </w:r>
    </w:p>
    <w:p w:rsidR="00CD2C0D" w:rsidRPr="00513E62" w:rsidRDefault="00CD2C0D" w:rsidP="00CD2C0D">
      <w:pPr>
        <w:pStyle w:val="Bullet1G"/>
      </w:pPr>
      <w:r w:rsidRPr="00513E62">
        <w:lastRenderedPageBreak/>
        <w:t>No hay que vulnerar el principio jurídico de la presunción de inocencia ni dar información sobre la vida privada o la situación personal de los individ</w:t>
      </w:r>
      <w:r>
        <w:t>uos implicados o sus familiares.</w:t>
      </w:r>
    </w:p>
    <w:p w:rsidR="00CD2C0D" w:rsidRPr="00513E62" w:rsidRDefault="00CD2C0D" w:rsidP="00CD2C0D">
      <w:pPr>
        <w:pStyle w:val="Bullet1G"/>
      </w:pPr>
      <w:r w:rsidRPr="00513E62">
        <w:t xml:space="preserve">Hay que evitar mencionar el origen, la religión y la condición jurídica de los migrantes, salvo cuando ello ayude a entender los acontecimientos. (En el titular </w:t>
      </w:r>
      <w:r>
        <w:t>“</w:t>
      </w:r>
      <w:r w:rsidRPr="00513E62">
        <w:t>Un migrante ilegal roba una motocicleta</w:t>
      </w:r>
      <w:r>
        <w:t>”</w:t>
      </w:r>
      <w:r w:rsidRPr="00513E62">
        <w:t xml:space="preserve"> se concede mucha importancia, para explicar el robo, a la condición jurídica del individuo, cuando la razón del robo puede no haber tenido nada que ver con dicha condición.)</w:t>
      </w:r>
    </w:p>
    <w:p w:rsidR="00CD2C0D" w:rsidRPr="00513E62" w:rsidRDefault="00CD2C0D" w:rsidP="00CD2C0D">
      <w:pPr>
        <w:pStyle w:val="Bullet1G"/>
      </w:pPr>
      <w:r w:rsidRPr="00513E62">
        <w:t xml:space="preserve">No hay que usar expresiones ni términos generalizadores, ni expresiones o caracterizaciones </w:t>
      </w:r>
      <w:r>
        <w:t>despreciativas.</w:t>
      </w:r>
    </w:p>
    <w:p w:rsidR="00CD2C0D" w:rsidRPr="00513E62" w:rsidRDefault="00CD2C0D" w:rsidP="00CD2C0D">
      <w:pPr>
        <w:pStyle w:val="Bullet1G"/>
      </w:pPr>
      <w:r w:rsidRPr="00513E62">
        <w:t xml:space="preserve">No hay que describir a todos los extranjeros como inmigrantes </w:t>
      </w:r>
      <w:r>
        <w:t>ilegales o de manera peyorativa.</w:t>
      </w:r>
    </w:p>
    <w:p w:rsidR="00CD2C0D" w:rsidRPr="00513E62" w:rsidRDefault="00CD2C0D" w:rsidP="00CD2C0D">
      <w:pPr>
        <w:pStyle w:val="Bullet1G"/>
      </w:pPr>
      <w:r w:rsidRPr="00513E62">
        <w:t>Al referirse a los migrantes, hay que especificar si son migrantes económicos, refugiados, solicitantes de asilo, migrantes irregulares, víctimas de la trata o personas que gozan de la protección</w:t>
      </w:r>
      <w:r>
        <w:t xml:space="preserve"> del Estado por alguna razón.</w:t>
      </w:r>
    </w:p>
    <w:p w:rsidR="00CD2C0D" w:rsidRPr="00513E62" w:rsidRDefault="00CD2C0D" w:rsidP="00CD2C0D">
      <w:pPr>
        <w:pStyle w:val="Bullet1G"/>
      </w:pPr>
      <w:r w:rsidRPr="00513E62">
        <w:t xml:space="preserve">Los términos que aconsejan usar las organizaciones internacionales de derechos humanos para nombrar a los migrantes que llegan a un país o residen en él sin documentación legal son </w:t>
      </w:r>
      <w:r>
        <w:t>“</w:t>
      </w:r>
      <w:r w:rsidRPr="00513E62">
        <w:t>migrantes irregulares</w:t>
      </w:r>
      <w:r>
        <w:t>”</w:t>
      </w:r>
      <w:r w:rsidRPr="00513E62">
        <w:t xml:space="preserve"> o </w:t>
      </w:r>
      <w:r>
        <w:t>“</w:t>
      </w:r>
      <w:r w:rsidRPr="00513E62">
        <w:t>migrantes indocumentados</w:t>
      </w:r>
      <w:r>
        <w:t>”</w:t>
      </w:r>
      <w:r w:rsidRPr="00513E62">
        <w:t>.</w:t>
      </w:r>
    </w:p>
    <w:p w:rsidR="00CD2C0D" w:rsidRPr="00513E62" w:rsidRDefault="00CD2C0D" w:rsidP="00CD2C0D">
      <w:pPr>
        <w:pStyle w:val="SingleTxtG"/>
      </w:pPr>
      <w:r w:rsidRPr="00513E62">
        <w:t>143.</w:t>
      </w:r>
      <w:r w:rsidRPr="00513E62">
        <w:tab/>
        <w:t>Por lo que respecta al enjuiciamiento de los actos constitutivos de incitación al odio:</w:t>
      </w:r>
    </w:p>
    <w:p w:rsidR="00CD2C0D" w:rsidRPr="00513E62" w:rsidRDefault="00CD2C0D" w:rsidP="00CD2C0D">
      <w:pPr>
        <w:pStyle w:val="SingleTxtG"/>
      </w:pPr>
      <w:r w:rsidRPr="00513E62">
        <w:tab/>
        <w:t>a)</w:t>
      </w:r>
      <w:r w:rsidRPr="00513E62">
        <w:tab/>
        <w:t xml:space="preserve">Uno de los casos investigados por </w:t>
      </w:r>
      <w:r w:rsidRPr="00513E62">
        <w:tab/>
        <w:t xml:space="preserve">el Organismo de Radio y Televisión de Chipre [caso </w:t>
      </w:r>
      <w:r>
        <w:t>núm.</w:t>
      </w:r>
      <w:r w:rsidRPr="00513E62">
        <w:t xml:space="preserve"> 14/2013(3), de 3 de abril de 2013] trataba de la emisión, por parte de un canal privado de televisión, el 19 de diciembre de 2012, de un programa televisivo en el que se empleaban expresiones que podían resultar ofensivas para las personas de origen extranjero. El Organismo impuso, como sanción, una amonestación por incumplimiento del artículo 25, párrafo </w:t>
      </w:r>
      <w:smartTag w:uri="urn:schemas-microsoft-com:office:smarttags" w:element="metricconverter">
        <w:smartTagPr>
          <w:attr w:name="ProductID" w:val="3 a"/>
        </w:smartTagPr>
        <w:r w:rsidRPr="00513E62">
          <w:t>3 a</w:t>
        </w:r>
      </w:smartTag>
      <w:r w:rsidRPr="00513E62">
        <w:t>), del Reglamento de las Emisoras de Radio y Televisión de 2000 (</w:t>
      </w:r>
      <w:r w:rsidR="00306C8D">
        <w:t xml:space="preserve">núm. </w:t>
      </w:r>
      <w:r w:rsidRPr="00513E62">
        <w:t xml:space="preserve">10/2000), que versa sobre el empleo de expresiones que puedan herir la </w:t>
      </w:r>
      <w:r>
        <w:t>sensibilidad de los extranjeros.</w:t>
      </w:r>
    </w:p>
    <w:p w:rsidR="00CD2C0D" w:rsidRPr="00513E62" w:rsidRDefault="00CD2C0D" w:rsidP="00CD2C0D">
      <w:pPr>
        <w:pStyle w:val="SingleTxtG"/>
      </w:pPr>
      <w:r w:rsidRPr="00513E62">
        <w:tab/>
        <w:t>b)</w:t>
      </w:r>
      <w:r w:rsidRPr="00513E62">
        <w:tab/>
        <w:t xml:space="preserve">En el caso núm. 24/2013(3), de 24 de abril de 2013, el Organismo de Radio y Televisión de Chipre examinó la emisión, por parte de un canal privado de televisión, el 31 de enero de 2013, de un programa televisivo en el que se empleaban expresiones que podían resultar ofensivas para las personas de origen extranjero. El Organismo impuso, como sanción, una amonestación por incumplimiento del artículo 25, párrafo </w:t>
      </w:r>
      <w:smartTag w:uri="urn:schemas-microsoft-com:office:smarttags" w:element="metricconverter">
        <w:smartTagPr>
          <w:attr w:name="ProductID" w:val="3 a"/>
        </w:smartTagPr>
        <w:r w:rsidRPr="00513E62">
          <w:t>3 a</w:t>
        </w:r>
      </w:smartTag>
      <w:r w:rsidRPr="00513E62">
        <w:t>), del Reglamento de las Emisoras de Radio y Televisión de 2000 (</w:t>
      </w:r>
      <w:r w:rsidR="00306C8D">
        <w:t xml:space="preserve">núm. </w:t>
      </w:r>
      <w:r w:rsidRPr="00513E62">
        <w:t>10/2000)</w:t>
      </w:r>
      <w:r>
        <w:t>.</w:t>
      </w:r>
    </w:p>
    <w:p w:rsidR="00CD2C0D" w:rsidRPr="00513E62" w:rsidRDefault="00CD2C0D" w:rsidP="00CD2C0D">
      <w:pPr>
        <w:pStyle w:val="SingleTxtG"/>
      </w:pPr>
      <w:r w:rsidRPr="00513E62">
        <w:tab/>
        <w:t>c)</w:t>
      </w:r>
      <w:r w:rsidRPr="00513E62">
        <w:tab/>
        <w:t xml:space="preserve">En 2014, el Organismo de Radio y Televisión de Chipre examinó el caso </w:t>
      </w:r>
      <w:r w:rsidR="00306C8D">
        <w:t xml:space="preserve">núm. </w:t>
      </w:r>
      <w:r w:rsidRPr="00513E62">
        <w:t xml:space="preserve">47/2014(2) y concluyó, entre otras cosas, que se había incumplido el artículo 26 </w:t>
      </w:r>
      <w:proofErr w:type="spellStart"/>
      <w:r w:rsidRPr="00513E62">
        <w:t>ib</w:t>
      </w:r>
      <w:proofErr w:type="spellEnd"/>
      <w:r w:rsidRPr="00513E62">
        <w:t>) del citado reglamento, en el que se prohibía emitir programas de espectáculos que ofendieran la dignidad de cualquiera de los sexos y de los grupos raciales, étnicos o religiosos o los grupos con necesidades especiales. El Organismo, en virtud de su decisión de 4 de marzo de 2015, impuso como sanción, entre otras cosas, una amonestación por incumplimiento de dicho artículo.</w:t>
      </w:r>
    </w:p>
    <w:p w:rsidR="00381C24" w:rsidRPr="00CD2C0D" w:rsidRDefault="00CD2C0D" w:rsidP="00CD2C0D">
      <w:pPr>
        <w:pStyle w:val="SingleTxtG"/>
        <w:suppressAutoHyphens/>
        <w:spacing w:before="240" w:after="0"/>
        <w:jc w:val="center"/>
        <w:rPr>
          <w:u w:val="single"/>
        </w:rPr>
      </w:pPr>
      <w:r>
        <w:rPr>
          <w:u w:val="single"/>
        </w:rPr>
        <w:tab/>
      </w:r>
      <w:r>
        <w:rPr>
          <w:u w:val="single"/>
        </w:rPr>
        <w:tab/>
      </w:r>
      <w:r>
        <w:rPr>
          <w:u w:val="single"/>
        </w:rPr>
        <w:tab/>
      </w:r>
    </w:p>
    <w:p w:rsidR="00CD2C0D" w:rsidRPr="001075E9" w:rsidRDefault="00CD2C0D" w:rsidP="00CF5023">
      <w:pPr>
        <w:pStyle w:val="SingleTxtG"/>
      </w:pPr>
    </w:p>
    <w:sectPr w:rsidR="00CD2C0D" w:rsidRPr="001075E9" w:rsidSect="00E57CA5">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441" w:rsidRPr="00D43FF0" w:rsidRDefault="003E5441" w:rsidP="00D43FF0">
      <w:pPr>
        <w:pStyle w:val="Piedepgina"/>
      </w:pPr>
    </w:p>
  </w:endnote>
  <w:endnote w:type="continuationSeparator" w:id="0">
    <w:p w:rsidR="003E5441" w:rsidRPr="00D43FF0" w:rsidRDefault="003E5441"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41" w:rsidRPr="00E57CA5" w:rsidRDefault="003E5441" w:rsidP="00E57CA5">
    <w:pPr>
      <w:pStyle w:val="Piedepgina"/>
      <w:tabs>
        <w:tab w:val="right" w:pos="9638"/>
      </w:tabs>
    </w:pPr>
    <w:r w:rsidRPr="00E57CA5">
      <w:rPr>
        <w:b/>
        <w:sz w:val="18"/>
      </w:rPr>
      <w:fldChar w:fldCharType="begin"/>
    </w:r>
    <w:r w:rsidRPr="00E57CA5">
      <w:rPr>
        <w:b/>
        <w:sz w:val="18"/>
      </w:rPr>
      <w:instrText xml:space="preserve"> PAGE  \* MERGEFORMAT </w:instrText>
    </w:r>
    <w:r w:rsidRPr="00E57CA5">
      <w:rPr>
        <w:b/>
        <w:sz w:val="18"/>
      </w:rPr>
      <w:fldChar w:fldCharType="separate"/>
    </w:r>
    <w:r w:rsidR="003D54E2">
      <w:rPr>
        <w:b/>
        <w:noProof/>
        <w:sz w:val="18"/>
      </w:rPr>
      <w:t>34</w:t>
    </w:r>
    <w:r w:rsidRPr="00E57CA5">
      <w:rPr>
        <w:b/>
        <w:sz w:val="18"/>
      </w:rPr>
      <w:fldChar w:fldCharType="end"/>
    </w:r>
    <w:r>
      <w:rPr>
        <w:b/>
        <w:sz w:val="18"/>
      </w:rPr>
      <w:tab/>
    </w:r>
    <w:proofErr w:type="spellStart"/>
    <w:r>
      <w:t>GE.16</w:t>
    </w:r>
    <w:proofErr w:type="spellEnd"/>
    <w:r>
      <w:t>-01046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41" w:rsidRPr="00E57CA5" w:rsidRDefault="003E5441" w:rsidP="00E57CA5">
    <w:pPr>
      <w:pStyle w:val="Piedepgina"/>
      <w:tabs>
        <w:tab w:val="right" w:pos="9638"/>
      </w:tabs>
      <w:rPr>
        <w:b/>
        <w:sz w:val="18"/>
      </w:rPr>
    </w:pPr>
    <w:proofErr w:type="spellStart"/>
    <w:r>
      <w:t>GE.16</w:t>
    </w:r>
    <w:proofErr w:type="spellEnd"/>
    <w:r>
      <w:t>-01046</w:t>
    </w:r>
    <w:r>
      <w:tab/>
    </w:r>
    <w:r w:rsidRPr="00E57CA5">
      <w:rPr>
        <w:b/>
        <w:sz w:val="18"/>
      </w:rPr>
      <w:fldChar w:fldCharType="begin"/>
    </w:r>
    <w:r w:rsidRPr="00E57CA5">
      <w:rPr>
        <w:b/>
        <w:sz w:val="18"/>
      </w:rPr>
      <w:instrText xml:space="preserve"> PAGE  \* MERGEFORMAT </w:instrText>
    </w:r>
    <w:r w:rsidRPr="00E57CA5">
      <w:rPr>
        <w:b/>
        <w:sz w:val="18"/>
      </w:rPr>
      <w:fldChar w:fldCharType="separate"/>
    </w:r>
    <w:r w:rsidR="003D54E2">
      <w:rPr>
        <w:b/>
        <w:noProof/>
        <w:sz w:val="18"/>
      </w:rPr>
      <w:t>35</w:t>
    </w:r>
    <w:r w:rsidRPr="00E57CA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41" w:rsidRPr="00E57CA5" w:rsidRDefault="003E5441" w:rsidP="00E57CA5">
    <w:pPr>
      <w:pStyle w:val="Piedepgina"/>
      <w:spacing w:before="120" w:line="240" w:lineRule="auto"/>
      <w:rPr>
        <w:sz w:val="20"/>
      </w:rPr>
    </w:pPr>
    <w:proofErr w:type="spellStart"/>
    <w:r>
      <w:rPr>
        <w:sz w:val="20"/>
      </w:rPr>
      <w:t>GE.</w:t>
    </w:r>
    <w:r>
      <w:rPr>
        <w:noProof/>
      </w:rPr>
      <w:drawing>
        <wp:anchor distT="0" distB="0" distL="114300" distR="114300" simplePos="0" relativeHeight="251657728" behindDoc="0" locked="1" layoutInCell="1" allowOverlap="1" wp14:anchorId="68F25964" wp14:editId="345C319D">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spellEnd"/>
    <w:r>
      <w:rPr>
        <w:sz w:val="20"/>
      </w:rPr>
      <w:t>-</w:t>
    </w:r>
    <w:proofErr w:type="gramStart"/>
    <w:r>
      <w:rPr>
        <w:sz w:val="20"/>
      </w:rPr>
      <w:t>01046  (</w:t>
    </w:r>
    <w:proofErr w:type="gramEnd"/>
    <w:r>
      <w:rPr>
        <w:sz w:val="20"/>
      </w:rPr>
      <w:t>S)    140316    1</w:t>
    </w:r>
    <w:r w:rsidR="00730455">
      <w:rPr>
        <w:sz w:val="20"/>
      </w:rPr>
      <w:t>3</w:t>
    </w:r>
    <w:r>
      <w:rPr>
        <w:sz w:val="20"/>
      </w:rPr>
      <w:t>0616</w:t>
    </w:r>
    <w:r>
      <w:rPr>
        <w:sz w:val="20"/>
      </w:rPr>
      <w:br/>
    </w:r>
    <w:r w:rsidRPr="00E57CA5">
      <w:rPr>
        <w:rFonts w:ascii="C39T30Lfz" w:hAnsi="C39T30Lfz"/>
        <w:sz w:val="56"/>
      </w:rPr>
      <w:t></w:t>
    </w:r>
    <w:r w:rsidRPr="00E57CA5">
      <w:rPr>
        <w:rFonts w:ascii="C39T30Lfz" w:hAnsi="C39T30Lfz"/>
        <w:sz w:val="56"/>
      </w:rPr>
      <w:t></w:t>
    </w:r>
    <w:r w:rsidRPr="00E57CA5">
      <w:rPr>
        <w:rFonts w:ascii="C39T30Lfz" w:hAnsi="C39T30Lfz"/>
        <w:sz w:val="56"/>
      </w:rPr>
      <w:t></w:t>
    </w:r>
    <w:r w:rsidRPr="00E57CA5">
      <w:rPr>
        <w:rFonts w:ascii="C39T30Lfz" w:hAnsi="C39T30Lfz"/>
        <w:sz w:val="56"/>
      </w:rPr>
      <w:t></w:t>
    </w:r>
    <w:r w:rsidRPr="00E57CA5">
      <w:rPr>
        <w:rFonts w:ascii="C39T30Lfz" w:hAnsi="C39T30Lfz"/>
        <w:sz w:val="56"/>
      </w:rPr>
      <w:t></w:t>
    </w:r>
    <w:r w:rsidRPr="00E57CA5">
      <w:rPr>
        <w:rFonts w:ascii="C39T30Lfz" w:hAnsi="C39T30Lfz"/>
        <w:sz w:val="56"/>
      </w:rPr>
      <w:t></w:t>
    </w:r>
    <w:r w:rsidRPr="00E57CA5">
      <w:rPr>
        <w:rFonts w:ascii="C39T30Lfz" w:hAnsi="C39T30Lfz"/>
        <w:sz w:val="56"/>
      </w:rPr>
      <w:t></w:t>
    </w:r>
    <w:r w:rsidRPr="00E57CA5">
      <w:rPr>
        <w:rFonts w:ascii="C39T30Lfz" w:hAnsi="C39T30Lfz"/>
        <w:sz w:val="56"/>
      </w:rPr>
      <w:t></w:t>
    </w:r>
    <w:r w:rsidRPr="00E57CA5">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ERD/C/CYP/23-2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CYP/23-2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441" w:rsidRPr="001075E9" w:rsidRDefault="003E5441" w:rsidP="001075E9">
      <w:pPr>
        <w:tabs>
          <w:tab w:val="right" w:pos="2155"/>
        </w:tabs>
        <w:spacing w:after="80" w:line="240" w:lineRule="auto"/>
        <w:ind w:left="680"/>
        <w:rPr>
          <w:u w:val="single"/>
        </w:rPr>
      </w:pPr>
      <w:r>
        <w:rPr>
          <w:u w:val="single"/>
        </w:rPr>
        <w:tab/>
      </w:r>
    </w:p>
  </w:footnote>
  <w:footnote w:type="continuationSeparator" w:id="0">
    <w:p w:rsidR="003E5441" w:rsidRDefault="003E5441" w:rsidP="00D43FF0">
      <w:pPr>
        <w:tabs>
          <w:tab w:val="right" w:pos="2155"/>
        </w:tabs>
        <w:spacing w:after="80" w:line="240" w:lineRule="auto"/>
        <w:ind w:left="680"/>
        <w:rPr>
          <w:u w:val="single"/>
        </w:rPr>
      </w:pPr>
      <w:r>
        <w:rPr>
          <w:u w:val="single"/>
        </w:rPr>
        <w:tab/>
      </w:r>
    </w:p>
  </w:footnote>
  <w:footnote w:id="1">
    <w:p w:rsidR="003E5441" w:rsidRPr="00CF5023" w:rsidRDefault="003E5441">
      <w:pPr>
        <w:pStyle w:val="Textonotapie"/>
        <w:rPr>
          <w:sz w:val="20"/>
        </w:rPr>
      </w:pPr>
      <w:r>
        <w:tab/>
      </w:r>
      <w:r w:rsidRPr="00CF5023">
        <w:rPr>
          <w:rStyle w:val="Refdenotaalpie"/>
          <w:sz w:val="20"/>
          <w:vertAlign w:val="baseline"/>
        </w:rPr>
        <w:t>*</w:t>
      </w:r>
      <w:r w:rsidRPr="00CF5023">
        <w:rPr>
          <w:rStyle w:val="Refdenotaalpie"/>
          <w:vertAlign w:val="baseline"/>
        </w:rPr>
        <w:tab/>
      </w:r>
      <w:r w:rsidRPr="00CF5023">
        <w:t>El presente documento se publica sin haber sido objeto de revisión editorial oficial.</w:t>
      </w:r>
    </w:p>
  </w:footnote>
  <w:footnote w:id="2">
    <w:p w:rsidR="003E5441" w:rsidRPr="00CF5023" w:rsidRDefault="003E5441">
      <w:pPr>
        <w:pStyle w:val="Textonotapie"/>
        <w:rPr>
          <w:sz w:val="20"/>
        </w:rPr>
      </w:pPr>
      <w:r>
        <w:tab/>
      </w:r>
      <w:r w:rsidRPr="00CF5023">
        <w:rPr>
          <w:rStyle w:val="Refdenotaalpie"/>
          <w:sz w:val="20"/>
          <w:vertAlign w:val="baseline"/>
        </w:rPr>
        <w:t>**</w:t>
      </w:r>
      <w:r w:rsidRPr="00CF5023">
        <w:rPr>
          <w:rStyle w:val="Refdenotaalpie"/>
          <w:vertAlign w:val="baseline"/>
        </w:rPr>
        <w:tab/>
      </w:r>
      <w:r w:rsidRPr="00CF5023">
        <w:t>Los anexos pueden consultarse en los archivos de la secretaría.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41" w:rsidRPr="00E57CA5" w:rsidRDefault="003E5441">
    <w:pPr>
      <w:pStyle w:val="Encabezado"/>
    </w:pPr>
    <w:proofErr w:type="spellStart"/>
    <w:r>
      <w:t>CERD</w:t>
    </w:r>
    <w:proofErr w:type="spellEnd"/>
    <w:r>
      <w:t>/C/</w:t>
    </w:r>
    <w:proofErr w:type="spellStart"/>
    <w:r>
      <w:t>CYP</w:t>
    </w:r>
    <w:proofErr w:type="spellEnd"/>
    <w:r>
      <w:t>/23-24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41" w:rsidRPr="00E57CA5" w:rsidRDefault="003E5441" w:rsidP="00E57CA5">
    <w:pPr>
      <w:pStyle w:val="Encabezado"/>
      <w:jc w:val="right"/>
    </w:pPr>
    <w:proofErr w:type="spellStart"/>
    <w:r>
      <w:t>CERD</w:t>
    </w:r>
    <w:proofErr w:type="spellEnd"/>
    <w:r>
      <w:t>/C/</w:t>
    </w:r>
    <w:proofErr w:type="spellStart"/>
    <w:r>
      <w:t>CYP</w:t>
    </w:r>
    <w:proofErr w:type="spellEnd"/>
    <w:r>
      <w:t>/23-24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8DD"/>
    <w:rsid w:val="00006BB9"/>
    <w:rsid w:val="000107A1"/>
    <w:rsid w:val="0002339D"/>
    <w:rsid w:val="00036733"/>
    <w:rsid w:val="000B57E7"/>
    <w:rsid w:val="000F0209"/>
    <w:rsid w:val="000F09DF"/>
    <w:rsid w:val="000F59AD"/>
    <w:rsid w:val="000F61B2"/>
    <w:rsid w:val="00100EA7"/>
    <w:rsid w:val="00103A93"/>
    <w:rsid w:val="001075E9"/>
    <w:rsid w:val="0012497D"/>
    <w:rsid w:val="00133DFF"/>
    <w:rsid w:val="001346B1"/>
    <w:rsid w:val="0014568F"/>
    <w:rsid w:val="00145F2F"/>
    <w:rsid w:val="00160FF7"/>
    <w:rsid w:val="00180183"/>
    <w:rsid w:val="00196389"/>
    <w:rsid w:val="001C7A89"/>
    <w:rsid w:val="00201F1A"/>
    <w:rsid w:val="002433EC"/>
    <w:rsid w:val="0025226E"/>
    <w:rsid w:val="00281DDE"/>
    <w:rsid w:val="00283ED7"/>
    <w:rsid w:val="002A2EFC"/>
    <w:rsid w:val="002C0E18"/>
    <w:rsid w:val="002C33BB"/>
    <w:rsid w:val="002D5AAC"/>
    <w:rsid w:val="00301299"/>
    <w:rsid w:val="00306C8D"/>
    <w:rsid w:val="00322004"/>
    <w:rsid w:val="003402C2"/>
    <w:rsid w:val="00381C24"/>
    <w:rsid w:val="003958D0"/>
    <w:rsid w:val="003D54E2"/>
    <w:rsid w:val="003E5441"/>
    <w:rsid w:val="004031F0"/>
    <w:rsid w:val="00454E07"/>
    <w:rsid w:val="00471CB3"/>
    <w:rsid w:val="004D5930"/>
    <w:rsid w:val="0050108D"/>
    <w:rsid w:val="0051740C"/>
    <w:rsid w:val="00517BCE"/>
    <w:rsid w:val="00570F49"/>
    <w:rsid w:val="00572E19"/>
    <w:rsid w:val="005D50EA"/>
    <w:rsid w:val="005F0B42"/>
    <w:rsid w:val="00634841"/>
    <w:rsid w:val="00655A21"/>
    <w:rsid w:val="006713CC"/>
    <w:rsid w:val="0067198A"/>
    <w:rsid w:val="006725B3"/>
    <w:rsid w:val="006808A9"/>
    <w:rsid w:val="006D631C"/>
    <w:rsid w:val="006F35EE"/>
    <w:rsid w:val="007021FF"/>
    <w:rsid w:val="007076CB"/>
    <w:rsid w:val="00730455"/>
    <w:rsid w:val="00770B36"/>
    <w:rsid w:val="007967DF"/>
    <w:rsid w:val="007C1DDC"/>
    <w:rsid w:val="00811A5D"/>
    <w:rsid w:val="00811C9F"/>
    <w:rsid w:val="00834B71"/>
    <w:rsid w:val="00843AC3"/>
    <w:rsid w:val="0086445C"/>
    <w:rsid w:val="00865A80"/>
    <w:rsid w:val="00865FAC"/>
    <w:rsid w:val="008728CD"/>
    <w:rsid w:val="008A08D7"/>
    <w:rsid w:val="008A13F9"/>
    <w:rsid w:val="008C0F65"/>
    <w:rsid w:val="008C29C4"/>
    <w:rsid w:val="008C2B12"/>
    <w:rsid w:val="00906890"/>
    <w:rsid w:val="00951972"/>
    <w:rsid w:val="00954E65"/>
    <w:rsid w:val="00980D59"/>
    <w:rsid w:val="009A380D"/>
    <w:rsid w:val="009C44B6"/>
    <w:rsid w:val="00A17DFD"/>
    <w:rsid w:val="00A414EF"/>
    <w:rsid w:val="00A4674B"/>
    <w:rsid w:val="00A917B3"/>
    <w:rsid w:val="00AA7E5A"/>
    <w:rsid w:val="00AB4B51"/>
    <w:rsid w:val="00B066FC"/>
    <w:rsid w:val="00B10CC7"/>
    <w:rsid w:val="00B62458"/>
    <w:rsid w:val="00B778C8"/>
    <w:rsid w:val="00BA3587"/>
    <w:rsid w:val="00BB36EA"/>
    <w:rsid w:val="00BD33EE"/>
    <w:rsid w:val="00C27EA8"/>
    <w:rsid w:val="00C60F0C"/>
    <w:rsid w:val="00C63C2A"/>
    <w:rsid w:val="00C805C9"/>
    <w:rsid w:val="00C907F0"/>
    <w:rsid w:val="00CA1679"/>
    <w:rsid w:val="00CC15A3"/>
    <w:rsid w:val="00CD2C0D"/>
    <w:rsid w:val="00CF5023"/>
    <w:rsid w:val="00D05347"/>
    <w:rsid w:val="00D43FF0"/>
    <w:rsid w:val="00D45525"/>
    <w:rsid w:val="00D62D5C"/>
    <w:rsid w:val="00D90138"/>
    <w:rsid w:val="00DA26B8"/>
    <w:rsid w:val="00DD4E25"/>
    <w:rsid w:val="00E028DD"/>
    <w:rsid w:val="00E21DDA"/>
    <w:rsid w:val="00E57CA5"/>
    <w:rsid w:val="00E73F76"/>
    <w:rsid w:val="00EA2810"/>
    <w:rsid w:val="00EA31D8"/>
    <w:rsid w:val="00EA5579"/>
    <w:rsid w:val="00EB1E88"/>
    <w:rsid w:val="00EF1360"/>
    <w:rsid w:val="00EF3220"/>
    <w:rsid w:val="00EF7198"/>
    <w:rsid w:val="00F41883"/>
    <w:rsid w:val="00F45524"/>
    <w:rsid w:val="00F5410C"/>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Hyperlink" w:uiPriority="99"/>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uiPriority w:val="99"/>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CF5023"/>
    <w:rPr>
      <w:sz w:val="18"/>
      <w:lang w:val="es-ES" w:eastAsia="es-ES"/>
    </w:rPr>
  </w:style>
  <w:style w:type="character" w:customStyle="1" w:styleId="SingleTxtGChar">
    <w:name w:val="_ Single Txt_G Char"/>
    <w:link w:val="SingleTxtG"/>
    <w:rsid w:val="00CF5023"/>
    <w:rPr>
      <w:lang w:val="es-ES" w:eastAsia="es-ES"/>
    </w:rPr>
  </w:style>
  <w:style w:type="paragraph" w:styleId="TDC1">
    <w:name w:val="toc 1"/>
    <w:basedOn w:val="Normal"/>
    <w:next w:val="Normal"/>
    <w:autoRedefine/>
    <w:uiPriority w:val="39"/>
    <w:rsid w:val="00EA2810"/>
    <w:pPr>
      <w:spacing w:after="100"/>
    </w:pPr>
  </w:style>
  <w:style w:type="paragraph" w:styleId="TDC2">
    <w:name w:val="toc 2"/>
    <w:basedOn w:val="Normal"/>
    <w:next w:val="Normal"/>
    <w:autoRedefine/>
    <w:uiPriority w:val="39"/>
    <w:rsid w:val="00EA2810"/>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Hyperlink" w:uiPriority="99"/>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uiPriority w:val="99"/>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CF5023"/>
    <w:rPr>
      <w:sz w:val="18"/>
      <w:lang w:val="es-ES" w:eastAsia="es-ES"/>
    </w:rPr>
  </w:style>
  <w:style w:type="character" w:customStyle="1" w:styleId="SingleTxtGChar">
    <w:name w:val="_ Single Txt_G Char"/>
    <w:link w:val="SingleTxtG"/>
    <w:rsid w:val="00CF5023"/>
    <w:rPr>
      <w:lang w:val="es-ES" w:eastAsia="es-ES"/>
    </w:rPr>
  </w:style>
  <w:style w:type="paragraph" w:styleId="TDC1">
    <w:name w:val="toc 1"/>
    <w:basedOn w:val="Normal"/>
    <w:next w:val="Normal"/>
    <w:autoRedefine/>
    <w:uiPriority w:val="39"/>
    <w:rsid w:val="00EA2810"/>
    <w:pPr>
      <w:spacing w:after="100"/>
    </w:pPr>
  </w:style>
  <w:style w:type="paragraph" w:styleId="TDC2">
    <w:name w:val="toc 2"/>
    <w:basedOn w:val="Normal"/>
    <w:next w:val="Normal"/>
    <w:autoRedefine/>
    <w:uiPriority w:val="39"/>
    <w:rsid w:val="00EA2810"/>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70C6E-D9FE-41AC-A974-16D27D087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1</TotalTime>
  <Pages>35</Pages>
  <Words>18387</Words>
  <Characters>101129</Characters>
  <Application>Microsoft Office Word</Application>
  <DocSecurity>0</DocSecurity>
  <Lines>842</Lines>
  <Paragraphs>238</Paragraphs>
  <ScaleCrop>false</ScaleCrop>
  <HeadingPairs>
    <vt:vector size="2" baseType="variant">
      <vt:variant>
        <vt:lpstr>Título</vt:lpstr>
      </vt:variant>
      <vt:variant>
        <vt:i4>1</vt:i4>
      </vt:variant>
    </vt:vector>
  </HeadingPairs>
  <TitlesOfParts>
    <vt:vector size="1" baseType="lpstr">
      <vt:lpstr>CERD/C/CYP/23-24</vt:lpstr>
    </vt:vector>
  </TitlesOfParts>
  <Company/>
  <LinksUpToDate>false</LinksUpToDate>
  <CharactersWithSpaces>119278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CERD/C/CYP/23-24</dc:title>
  <dc:subject>16-01046 (páginas 1 a 33 del original inglés)</dc:subject>
  <dc:creator>Ruth Maquera</dc:creator>
  <cp:keywords/>
  <dc:description/>
  <cp:lastModifiedBy>Generic TPSSPA1</cp:lastModifiedBy>
  <cp:revision>3</cp:revision>
  <cp:lastPrinted>2016-06-13T08:59:00Z</cp:lastPrinted>
  <dcterms:created xsi:type="dcterms:W3CDTF">2016-06-13T08:59:00Z</dcterms:created>
  <dcterms:modified xsi:type="dcterms:W3CDTF">2016-06-13T09:00:00Z</dcterms:modified>
</cp:coreProperties>
</file>