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39916FF" w14:textId="77777777" w:rsidTr="00C01462">
        <w:trPr>
          <w:cantSplit/>
          <w:trHeight w:hRule="exact" w:val="851"/>
        </w:trPr>
        <w:tc>
          <w:tcPr>
            <w:tcW w:w="1276" w:type="dxa"/>
            <w:tcBorders>
              <w:bottom w:val="single" w:sz="4" w:space="0" w:color="auto"/>
            </w:tcBorders>
            <w:vAlign w:val="bottom"/>
          </w:tcPr>
          <w:p w14:paraId="7D9B13BC" w14:textId="77777777" w:rsidR="00307688" w:rsidRPr="00DA7116" w:rsidRDefault="00307688" w:rsidP="00C01462">
            <w:pPr>
              <w:pStyle w:val="SingleTxtG"/>
              <w:rPr>
                <w:lang w:val="fr-CH"/>
              </w:rPr>
            </w:pPr>
          </w:p>
        </w:tc>
        <w:tc>
          <w:tcPr>
            <w:tcW w:w="2268" w:type="dxa"/>
            <w:tcBorders>
              <w:bottom w:val="single" w:sz="4" w:space="0" w:color="auto"/>
            </w:tcBorders>
            <w:vAlign w:val="bottom"/>
          </w:tcPr>
          <w:p w14:paraId="41511719" w14:textId="2106FA68" w:rsidR="00307688" w:rsidRPr="00B97172" w:rsidRDefault="00307688" w:rsidP="00C01462">
            <w:pPr>
              <w:spacing w:after="80" w:line="300" w:lineRule="exact"/>
              <w:rPr>
                <w:b/>
                <w:sz w:val="24"/>
                <w:szCs w:val="24"/>
              </w:rPr>
            </w:pPr>
            <w:r>
              <w:rPr>
                <w:sz w:val="28"/>
                <w:szCs w:val="28"/>
              </w:rPr>
              <w:t>United</w:t>
            </w:r>
            <w:r w:rsidR="00541D05">
              <w:rPr>
                <w:sz w:val="28"/>
                <w:szCs w:val="28"/>
              </w:rPr>
              <w:t xml:space="preserve"> </w:t>
            </w:r>
            <w:r>
              <w:rPr>
                <w:sz w:val="28"/>
                <w:szCs w:val="28"/>
              </w:rPr>
              <w:t>Nations</w:t>
            </w:r>
          </w:p>
        </w:tc>
        <w:tc>
          <w:tcPr>
            <w:tcW w:w="6095" w:type="dxa"/>
            <w:gridSpan w:val="2"/>
            <w:tcBorders>
              <w:bottom w:val="single" w:sz="4" w:space="0" w:color="auto"/>
            </w:tcBorders>
            <w:vAlign w:val="bottom"/>
          </w:tcPr>
          <w:p w14:paraId="5EEFE10A" w14:textId="77777777" w:rsidR="00307688" w:rsidRPr="002E51B7" w:rsidRDefault="00D9258C" w:rsidP="00D9258C">
            <w:pPr>
              <w:suppressAutoHyphens w:val="0"/>
              <w:spacing w:after="20"/>
              <w:jc w:val="right"/>
            </w:pPr>
            <w:r w:rsidRPr="00D9258C">
              <w:rPr>
                <w:sz w:val="40"/>
              </w:rPr>
              <w:t>CERD</w:t>
            </w:r>
            <w:r>
              <w:t>/C/BRA/18-20</w:t>
            </w:r>
          </w:p>
        </w:tc>
      </w:tr>
      <w:tr w:rsidR="00307688" w14:paraId="2DE3471C" w14:textId="77777777" w:rsidTr="00C01462">
        <w:trPr>
          <w:cantSplit/>
          <w:trHeight w:hRule="exact" w:val="2835"/>
        </w:trPr>
        <w:tc>
          <w:tcPr>
            <w:tcW w:w="1276" w:type="dxa"/>
            <w:tcBorders>
              <w:top w:val="single" w:sz="4" w:space="0" w:color="auto"/>
              <w:bottom w:val="single" w:sz="12" w:space="0" w:color="auto"/>
            </w:tcBorders>
          </w:tcPr>
          <w:p w14:paraId="131410BA" w14:textId="77777777" w:rsidR="00307688" w:rsidRDefault="00307688" w:rsidP="00C01462">
            <w:pPr>
              <w:spacing w:before="120"/>
              <w:jc w:val="center"/>
            </w:pPr>
            <w:r>
              <w:rPr>
                <w:noProof/>
                <w:lang w:eastAsia="en-GB"/>
              </w:rPr>
              <w:drawing>
                <wp:inline distT="0" distB="0" distL="0" distR="0" wp14:anchorId="1FD21E96" wp14:editId="5AEC2B45">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26C1E" w14:textId="620FD3E6" w:rsidR="00307688" w:rsidRPr="000B4EF7" w:rsidRDefault="00307688" w:rsidP="00C01462">
            <w:pPr>
              <w:spacing w:before="120" w:line="380" w:lineRule="exact"/>
              <w:rPr>
                <w:b/>
                <w:sz w:val="34"/>
                <w:szCs w:val="40"/>
              </w:rPr>
            </w:pPr>
            <w:r w:rsidRPr="000B4EF7">
              <w:rPr>
                <w:b/>
                <w:sz w:val="34"/>
                <w:szCs w:val="40"/>
              </w:rPr>
              <w:t>International</w:t>
            </w:r>
            <w:r w:rsidR="00541D05">
              <w:rPr>
                <w:b/>
                <w:sz w:val="34"/>
                <w:szCs w:val="40"/>
              </w:rPr>
              <w:t xml:space="preserve"> </w:t>
            </w:r>
            <w:r w:rsidRPr="000B4EF7">
              <w:rPr>
                <w:b/>
                <w:sz w:val="34"/>
                <w:szCs w:val="40"/>
              </w:rPr>
              <w:t>Convention</w:t>
            </w:r>
            <w:r w:rsidR="00541D05">
              <w:rPr>
                <w:b/>
                <w:sz w:val="34"/>
                <w:szCs w:val="40"/>
              </w:rPr>
              <w:t xml:space="preserve"> </w:t>
            </w:r>
            <w:r w:rsidRPr="000B4EF7">
              <w:rPr>
                <w:b/>
                <w:sz w:val="34"/>
                <w:szCs w:val="40"/>
              </w:rPr>
              <w:t>on</w:t>
            </w:r>
            <w:r>
              <w:rPr>
                <w:b/>
                <w:sz w:val="34"/>
                <w:szCs w:val="40"/>
              </w:rPr>
              <w:br/>
              <w:t>the</w:t>
            </w:r>
            <w:r w:rsidR="00541D05">
              <w:rPr>
                <w:b/>
                <w:sz w:val="34"/>
                <w:szCs w:val="40"/>
              </w:rPr>
              <w:t xml:space="preserve"> </w:t>
            </w:r>
            <w:r>
              <w:rPr>
                <w:b/>
                <w:sz w:val="34"/>
                <w:szCs w:val="40"/>
              </w:rPr>
              <w:t>Elimination</w:t>
            </w:r>
            <w:r w:rsidR="00541D05">
              <w:rPr>
                <w:b/>
                <w:sz w:val="34"/>
                <w:szCs w:val="40"/>
              </w:rPr>
              <w:t xml:space="preserve"> </w:t>
            </w:r>
            <w:r>
              <w:rPr>
                <w:b/>
                <w:sz w:val="34"/>
                <w:szCs w:val="40"/>
              </w:rPr>
              <w:t>of</w:t>
            </w:r>
            <w:r w:rsidR="00541D05">
              <w:rPr>
                <w:b/>
                <w:sz w:val="34"/>
                <w:szCs w:val="40"/>
              </w:rPr>
              <w:t xml:space="preserve"> </w:t>
            </w:r>
            <w:r>
              <w:rPr>
                <w:b/>
                <w:sz w:val="34"/>
                <w:szCs w:val="40"/>
              </w:rPr>
              <w:t>A</w:t>
            </w:r>
            <w:r w:rsidRPr="000B4EF7">
              <w:rPr>
                <w:b/>
                <w:sz w:val="34"/>
                <w:szCs w:val="40"/>
              </w:rPr>
              <w:t>ll</w:t>
            </w:r>
            <w:r w:rsidR="00541D05">
              <w:rPr>
                <w:b/>
                <w:sz w:val="34"/>
                <w:szCs w:val="40"/>
              </w:rPr>
              <w:t xml:space="preserve"> </w:t>
            </w:r>
            <w:r w:rsidRPr="000B4EF7">
              <w:rPr>
                <w:b/>
                <w:sz w:val="34"/>
                <w:szCs w:val="40"/>
              </w:rPr>
              <w:t>Forms</w:t>
            </w:r>
            <w:r>
              <w:rPr>
                <w:b/>
                <w:sz w:val="34"/>
                <w:szCs w:val="40"/>
              </w:rPr>
              <w:br/>
            </w:r>
            <w:r w:rsidRPr="000B4EF7">
              <w:rPr>
                <w:b/>
                <w:sz w:val="34"/>
                <w:szCs w:val="40"/>
              </w:rPr>
              <w:t>of</w:t>
            </w:r>
            <w:r w:rsidR="00541D05">
              <w:rPr>
                <w:b/>
                <w:sz w:val="34"/>
                <w:szCs w:val="40"/>
              </w:rPr>
              <w:t xml:space="preserve"> </w:t>
            </w:r>
            <w:r w:rsidRPr="000B4EF7">
              <w:rPr>
                <w:b/>
                <w:sz w:val="34"/>
                <w:szCs w:val="40"/>
              </w:rPr>
              <w:t>Racial</w:t>
            </w:r>
            <w:r w:rsidR="00541D05">
              <w:rPr>
                <w:b/>
                <w:sz w:val="34"/>
                <w:szCs w:val="40"/>
              </w:rPr>
              <w:t xml:space="preserve"> </w:t>
            </w:r>
            <w:r w:rsidRPr="000B4EF7">
              <w:rPr>
                <w:b/>
                <w:sz w:val="34"/>
                <w:szCs w:val="40"/>
              </w:rPr>
              <w:t>Discrimination</w:t>
            </w:r>
          </w:p>
          <w:p w14:paraId="3A8A6562"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A603A10" w14:textId="1BFEC6EF" w:rsidR="00307688" w:rsidRDefault="00D9258C" w:rsidP="00D9258C">
            <w:pPr>
              <w:spacing w:before="240"/>
            </w:pPr>
            <w:r>
              <w:t>Distr.:</w:t>
            </w:r>
            <w:r w:rsidR="00541D05">
              <w:t xml:space="preserve"> </w:t>
            </w:r>
            <w:r>
              <w:t>General</w:t>
            </w:r>
          </w:p>
          <w:p w14:paraId="08A0735F" w14:textId="2E5910A8" w:rsidR="00D9258C" w:rsidRDefault="00D9258C" w:rsidP="00D9258C">
            <w:pPr>
              <w:suppressAutoHyphens w:val="0"/>
            </w:pPr>
            <w:r>
              <w:t>15</w:t>
            </w:r>
            <w:r w:rsidR="00541D05">
              <w:t xml:space="preserve"> </w:t>
            </w:r>
            <w:r>
              <w:t>September</w:t>
            </w:r>
            <w:r w:rsidR="00541D05">
              <w:t xml:space="preserve"> </w:t>
            </w:r>
            <w:r>
              <w:t>2020</w:t>
            </w:r>
          </w:p>
          <w:p w14:paraId="0E76CB26" w14:textId="77777777" w:rsidR="00D9258C" w:rsidRDefault="00D9258C" w:rsidP="00D9258C">
            <w:pPr>
              <w:suppressAutoHyphens w:val="0"/>
            </w:pPr>
          </w:p>
          <w:p w14:paraId="68AB3A70" w14:textId="2E44815A" w:rsidR="00D9258C" w:rsidRDefault="00D9258C" w:rsidP="00D9258C">
            <w:pPr>
              <w:suppressAutoHyphens w:val="0"/>
            </w:pPr>
            <w:r>
              <w:t>Original:</w:t>
            </w:r>
            <w:r w:rsidR="00541D05">
              <w:t xml:space="preserve"> </w:t>
            </w:r>
            <w:r>
              <w:t>English</w:t>
            </w:r>
          </w:p>
          <w:p w14:paraId="7E5C16CA" w14:textId="3D1D03AA" w:rsidR="00D9258C" w:rsidRDefault="00D9258C" w:rsidP="00D9258C">
            <w:pPr>
              <w:suppressAutoHyphens w:val="0"/>
            </w:pPr>
            <w:r>
              <w:t>English,</w:t>
            </w:r>
            <w:r w:rsidR="00541D05">
              <w:t xml:space="preserve"> </w:t>
            </w:r>
            <w:r>
              <w:t>French</w:t>
            </w:r>
            <w:r w:rsidR="00541D05">
              <w:t xml:space="preserve"> </w:t>
            </w:r>
            <w:r>
              <w:t>and</w:t>
            </w:r>
            <w:r w:rsidR="00541D05">
              <w:t xml:space="preserve"> </w:t>
            </w:r>
            <w:r>
              <w:t>Spanish</w:t>
            </w:r>
            <w:r w:rsidR="00541D05">
              <w:t xml:space="preserve"> </w:t>
            </w:r>
            <w:r>
              <w:t>only</w:t>
            </w:r>
          </w:p>
        </w:tc>
      </w:tr>
    </w:tbl>
    <w:p w14:paraId="03CF8369" w14:textId="248C4BCF" w:rsidR="00D9258C" w:rsidRPr="00D9258C" w:rsidRDefault="00D9258C" w:rsidP="00D9258C">
      <w:pPr>
        <w:spacing w:before="120"/>
        <w:rPr>
          <w:b/>
          <w:bCs/>
          <w:sz w:val="24"/>
          <w:szCs w:val="24"/>
        </w:rPr>
      </w:pPr>
      <w:bookmarkStart w:id="0" w:name="_Hlk51057409"/>
      <w:r w:rsidRPr="00D9258C">
        <w:rPr>
          <w:b/>
          <w:bCs/>
          <w:sz w:val="24"/>
          <w:szCs w:val="24"/>
        </w:rPr>
        <w:t>Committee</w:t>
      </w:r>
      <w:r w:rsidR="00541D05">
        <w:rPr>
          <w:b/>
          <w:bCs/>
          <w:sz w:val="24"/>
          <w:szCs w:val="24"/>
        </w:rPr>
        <w:t xml:space="preserve"> </w:t>
      </w:r>
      <w:r w:rsidRPr="00D9258C">
        <w:rPr>
          <w:b/>
          <w:bCs/>
          <w:sz w:val="24"/>
          <w:szCs w:val="24"/>
        </w:rPr>
        <w:t>on</w:t>
      </w:r>
      <w:r w:rsidR="00541D05">
        <w:rPr>
          <w:b/>
          <w:bCs/>
          <w:sz w:val="24"/>
          <w:szCs w:val="24"/>
        </w:rPr>
        <w:t xml:space="preserve"> </w:t>
      </w:r>
      <w:r w:rsidRPr="00D9258C">
        <w:rPr>
          <w:b/>
          <w:bCs/>
          <w:sz w:val="24"/>
          <w:szCs w:val="24"/>
        </w:rPr>
        <w:t>the</w:t>
      </w:r>
      <w:r w:rsidR="00541D05">
        <w:rPr>
          <w:b/>
          <w:bCs/>
          <w:sz w:val="24"/>
          <w:szCs w:val="24"/>
        </w:rPr>
        <w:t xml:space="preserve"> </w:t>
      </w:r>
      <w:r w:rsidRPr="00D9258C">
        <w:rPr>
          <w:b/>
          <w:bCs/>
          <w:sz w:val="24"/>
          <w:szCs w:val="24"/>
        </w:rPr>
        <w:t>Elimination</w:t>
      </w:r>
      <w:r w:rsidR="00541D05">
        <w:rPr>
          <w:b/>
          <w:bCs/>
          <w:sz w:val="24"/>
          <w:szCs w:val="24"/>
        </w:rPr>
        <w:t xml:space="preserve"> </w:t>
      </w:r>
      <w:r w:rsidRPr="00D9258C">
        <w:rPr>
          <w:b/>
          <w:bCs/>
          <w:sz w:val="24"/>
          <w:szCs w:val="24"/>
        </w:rPr>
        <w:t>of</w:t>
      </w:r>
      <w:r w:rsidR="00541D05">
        <w:rPr>
          <w:b/>
          <w:bCs/>
          <w:sz w:val="24"/>
          <w:szCs w:val="24"/>
        </w:rPr>
        <w:t xml:space="preserve"> </w:t>
      </w:r>
      <w:r w:rsidRPr="00D9258C">
        <w:rPr>
          <w:b/>
          <w:bCs/>
          <w:sz w:val="24"/>
          <w:szCs w:val="24"/>
        </w:rPr>
        <w:t>Racial</w:t>
      </w:r>
      <w:r w:rsidR="00541D05">
        <w:rPr>
          <w:b/>
          <w:bCs/>
          <w:sz w:val="24"/>
          <w:szCs w:val="24"/>
        </w:rPr>
        <w:t xml:space="preserve"> </w:t>
      </w:r>
      <w:r w:rsidRPr="00D9258C">
        <w:rPr>
          <w:b/>
          <w:bCs/>
          <w:sz w:val="24"/>
          <w:szCs w:val="24"/>
        </w:rPr>
        <w:t>Discrimination</w:t>
      </w:r>
    </w:p>
    <w:p w14:paraId="4AF0F2EA" w14:textId="5F368A21" w:rsidR="00D9258C" w:rsidRPr="00FD6A6A" w:rsidRDefault="00D9258C" w:rsidP="005964CF">
      <w:pPr>
        <w:pStyle w:val="HMG"/>
      </w:pPr>
      <w:r w:rsidRPr="00FD6A6A">
        <w:tab/>
      </w:r>
      <w:r w:rsidRPr="00FD6A6A">
        <w:tab/>
        <w:t>Eighteenth</w:t>
      </w:r>
      <w:r w:rsidR="00541D05">
        <w:t xml:space="preserve"> </w:t>
      </w:r>
      <w:r w:rsidRPr="00FD6A6A">
        <w:t>to</w:t>
      </w:r>
      <w:r w:rsidR="00541D05">
        <w:t xml:space="preserve"> </w:t>
      </w:r>
      <w:r w:rsidRPr="00FD6A6A">
        <w:t>twentieth</w:t>
      </w:r>
      <w:r w:rsidR="00541D05">
        <w:t xml:space="preserve"> </w:t>
      </w:r>
      <w:r w:rsidRPr="00FD6A6A">
        <w:t>periodic</w:t>
      </w:r>
      <w:r w:rsidR="00541D05">
        <w:t xml:space="preserve"> </w:t>
      </w:r>
      <w:r w:rsidRPr="00FD6A6A">
        <w:t>reports</w:t>
      </w:r>
      <w:r w:rsidR="00541D05">
        <w:t xml:space="preserve"> </w:t>
      </w:r>
      <w:r w:rsidRPr="00FD6A6A">
        <w:t>submitted</w:t>
      </w:r>
      <w:r w:rsidR="00541D05">
        <w:t xml:space="preserve"> </w:t>
      </w:r>
      <w:r w:rsidRPr="00FD6A6A">
        <w:t>by</w:t>
      </w:r>
      <w:r w:rsidR="00541D05">
        <w:t xml:space="preserve"> </w:t>
      </w:r>
      <w:r w:rsidRPr="00FD6A6A">
        <w:t>Brazil</w:t>
      </w:r>
      <w:r w:rsidR="00541D05">
        <w:t xml:space="preserve"> </w:t>
      </w:r>
      <w:r w:rsidRPr="00FD6A6A">
        <w:t>under</w:t>
      </w:r>
      <w:r w:rsidR="00541D05">
        <w:t xml:space="preserve"> </w:t>
      </w:r>
      <w:r w:rsidRPr="00FD6A6A">
        <w:t>article</w:t>
      </w:r>
      <w:r w:rsidR="00541D05">
        <w:t xml:space="preserve"> </w:t>
      </w:r>
      <w:r w:rsidRPr="00FD6A6A">
        <w:t>9</w:t>
      </w:r>
      <w:r w:rsidR="00541D05">
        <w:t xml:space="preserve"> </w:t>
      </w:r>
      <w:r w:rsidRPr="00FD6A6A">
        <w:t>of</w:t>
      </w:r>
      <w:r w:rsidR="00541D05">
        <w:t xml:space="preserve"> </w:t>
      </w:r>
      <w:r w:rsidRPr="00FD6A6A">
        <w:t>the</w:t>
      </w:r>
      <w:r w:rsidR="00541D05">
        <w:t xml:space="preserve"> </w:t>
      </w:r>
      <w:r w:rsidRPr="00FD6A6A">
        <w:t>Convention,</w:t>
      </w:r>
      <w:r w:rsidR="00541D05">
        <w:t xml:space="preserve"> </w:t>
      </w:r>
      <w:r w:rsidRPr="00FD6A6A">
        <w:br/>
        <w:t>due</w:t>
      </w:r>
      <w:r w:rsidR="00541D05">
        <w:t xml:space="preserve"> </w:t>
      </w:r>
      <w:r w:rsidRPr="00FD6A6A">
        <w:t>in</w:t>
      </w:r>
      <w:r w:rsidR="00541D05">
        <w:t xml:space="preserve"> </w:t>
      </w:r>
      <w:r w:rsidRPr="00FD6A6A">
        <w:t>2008</w:t>
      </w:r>
      <w:r w:rsidR="005964CF" w:rsidRPr="005964CF">
        <w:rPr>
          <w:rStyle w:val="FootnoteReference"/>
          <w:b w:val="0"/>
          <w:bCs/>
          <w:sz w:val="20"/>
          <w:vertAlign w:val="baseline"/>
        </w:rPr>
        <w:footnoteReference w:customMarkFollows="1" w:id="1"/>
        <w:t>*</w:t>
      </w:r>
    </w:p>
    <w:p w14:paraId="18A3D573" w14:textId="42EF25A5" w:rsidR="00D9258C" w:rsidRPr="00FD6A6A" w:rsidRDefault="00D9258C" w:rsidP="005964CF">
      <w:pPr>
        <w:pStyle w:val="SingleTxtG"/>
        <w:jc w:val="right"/>
      </w:pPr>
      <w:bookmarkStart w:id="1" w:name="_GoBack"/>
      <w:r w:rsidRPr="00FD6A6A">
        <w:t>[</w:t>
      </w:r>
      <w:bookmarkEnd w:id="1"/>
      <w:r w:rsidRPr="00FD6A6A">
        <w:t>Date</w:t>
      </w:r>
      <w:r w:rsidR="00541D05">
        <w:t xml:space="preserve"> </w:t>
      </w:r>
      <w:r w:rsidRPr="00FD6A6A">
        <w:t>received:</w:t>
      </w:r>
      <w:r w:rsidR="00541D05">
        <w:t xml:space="preserve"> </w:t>
      </w:r>
      <w:r w:rsidRPr="00FD6A6A">
        <w:t>14</w:t>
      </w:r>
      <w:r w:rsidR="00541D05">
        <w:t xml:space="preserve"> </w:t>
      </w:r>
      <w:r w:rsidRPr="00FD6A6A">
        <w:t>July</w:t>
      </w:r>
      <w:r w:rsidR="00541D05">
        <w:t xml:space="preserve"> </w:t>
      </w:r>
      <w:r w:rsidRPr="00FD6A6A">
        <w:t>2020]</w:t>
      </w:r>
    </w:p>
    <w:p w14:paraId="60405978" w14:textId="77777777" w:rsidR="00D9258C" w:rsidRPr="00FD6A6A" w:rsidRDefault="00D9258C" w:rsidP="00D9258C">
      <w:r w:rsidRPr="00FD6A6A">
        <w:br w:type="page"/>
      </w:r>
    </w:p>
    <w:p w14:paraId="1FB52F61" w14:textId="3382D81D" w:rsidR="00D9258C" w:rsidRPr="00FD6A6A" w:rsidRDefault="00D9258C" w:rsidP="005964CF">
      <w:pPr>
        <w:pStyle w:val="HChG"/>
      </w:pPr>
      <w:r w:rsidRPr="00FD6A6A">
        <w:lastRenderedPageBreak/>
        <w:tab/>
      </w:r>
      <w:r w:rsidRPr="00FD6A6A">
        <w:tab/>
        <w:t>List</w:t>
      </w:r>
      <w:r w:rsidR="00541D05">
        <w:t xml:space="preserve"> </w:t>
      </w:r>
      <w:r w:rsidRPr="00FD6A6A">
        <w:t>of</w:t>
      </w:r>
      <w:r w:rsidR="00541D05">
        <w:t xml:space="preserve"> </w:t>
      </w:r>
      <w:r w:rsidRPr="00FD6A6A">
        <w:t>Acronyms</w:t>
      </w:r>
    </w:p>
    <w:p w14:paraId="04E76D77" w14:textId="70551915" w:rsidR="00D9258C" w:rsidRPr="00FD6A6A" w:rsidRDefault="00D9258C" w:rsidP="005964CF">
      <w:pPr>
        <w:pStyle w:val="SingleTxtG"/>
        <w:ind w:left="2835" w:hanging="1701"/>
        <w:jc w:val="left"/>
      </w:pPr>
      <w:r w:rsidRPr="004751CE">
        <w:t>UNHCR</w:t>
      </w:r>
      <w:r w:rsidRPr="004751CE">
        <w:tab/>
      </w:r>
      <w:r w:rsidRPr="00FD6A6A">
        <w:tab/>
        <w:t>United</w:t>
      </w:r>
      <w:r w:rsidR="00541D05">
        <w:t xml:space="preserve"> </w:t>
      </w:r>
      <w:r w:rsidRPr="00FD6A6A">
        <w:t>Nations</w:t>
      </w:r>
      <w:r w:rsidR="00541D05">
        <w:t xml:space="preserve"> </w:t>
      </w:r>
      <w:r w:rsidRPr="00FD6A6A">
        <w:t>High</w:t>
      </w:r>
      <w:r w:rsidR="00541D05">
        <w:t xml:space="preserve"> </w:t>
      </w:r>
      <w:r w:rsidRPr="00FD6A6A">
        <w:t>Commissioner</w:t>
      </w:r>
      <w:r w:rsidR="00541D05">
        <w:t xml:space="preserve"> </w:t>
      </w:r>
      <w:r w:rsidRPr="00FD6A6A">
        <w:t>for</w:t>
      </w:r>
      <w:r w:rsidR="00541D05">
        <w:t xml:space="preserve"> </w:t>
      </w:r>
      <w:r w:rsidRPr="00FD6A6A">
        <w:t>Refugees</w:t>
      </w:r>
    </w:p>
    <w:p w14:paraId="3D5F1DCF" w14:textId="55C92DCA" w:rsidR="00D9258C" w:rsidRPr="00FD6A6A" w:rsidRDefault="00D9258C" w:rsidP="005964CF">
      <w:pPr>
        <w:pStyle w:val="SingleTxtG"/>
        <w:ind w:left="2835" w:hanging="1701"/>
        <w:jc w:val="left"/>
      </w:pPr>
      <w:r w:rsidRPr="00FD6A6A">
        <w:t>ADCT</w:t>
      </w:r>
      <w:r w:rsidRPr="00FD6A6A">
        <w:tab/>
      </w:r>
      <w:r w:rsidRPr="00FD6A6A">
        <w:tab/>
        <w:t>Temporary</w:t>
      </w:r>
      <w:r w:rsidR="00541D05">
        <w:t xml:space="preserve"> </w:t>
      </w:r>
      <w:r w:rsidRPr="00FD6A6A">
        <w:t>Constitutional</w:t>
      </w:r>
      <w:r w:rsidR="00541D05">
        <w:t xml:space="preserve"> </w:t>
      </w:r>
      <w:r w:rsidRPr="00FD6A6A">
        <w:t>Provisions</w:t>
      </w:r>
      <w:r w:rsidR="00541D05">
        <w:t xml:space="preserve"> </w:t>
      </w:r>
      <w:r w:rsidRPr="00FD6A6A">
        <w:t>Act</w:t>
      </w:r>
    </w:p>
    <w:p w14:paraId="05077528" w14:textId="2954BF4B" w:rsidR="00D9258C" w:rsidRPr="00FD6A6A" w:rsidRDefault="00D9258C" w:rsidP="005964CF">
      <w:pPr>
        <w:pStyle w:val="SingleTxtG"/>
        <w:ind w:left="2835" w:hanging="1701"/>
        <w:jc w:val="left"/>
      </w:pPr>
      <w:r w:rsidRPr="00FD6A6A">
        <w:t>CadÚnico</w:t>
      </w:r>
      <w:r w:rsidRPr="00FD6A6A">
        <w:tab/>
      </w:r>
      <w:r w:rsidRPr="00FD6A6A">
        <w:tab/>
        <w:t>Sole</w:t>
      </w:r>
      <w:r w:rsidR="00541D05">
        <w:t xml:space="preserve"> </w:t>
      </w:r>
      <w:r w:rsidRPr="00FD6A6A">
        <w:t>Registration</w:t>
      </w:r>
      <w:r w:rsidR="00541D05">
        <w:t xml:space="preserve"> </w:t>
      </w:r>
      <w:r w:rsidRPr="00FD6A6A">
        <w:t>for</w:t>
      </w:r>
      <w:r w:rsidR="00541D05">
        <w:t xml:space="preserve"> </w:t>
      </w:r>
      <w:r w:rsidRPr="00FD6A6A">
        <w:t>Social</w:t>
      </w:r>
      <w:r w:rsidR="00541D05">
        <w:t xml:space="preserve"> </w:t>
      </w:r>
      <w:r w:rsidRPr="00FD6A6A">
        <w:t>Programs</w:t>
      </w:r>
      <w:r w:rsidR="00541D05">
        <w:t xml:space="preserve"> </w:t>
      </w:r>
      <w:r w:rsidRPr="00FD6A6A">
        <w:t>of</w:t>
      </w:r>
      <w:r w:rsidR="00541D05">
        <w:t xml:space="preserve"> </w:t>
      </w:r>
      <w:r w:rsidRPr="00FD6A6A">
        <w:t>the</w:t>
      </w:r>
      <w:r w:rsidR="00541D05">
        <w:t xml:space="preserve"> </w:t>
      </w:r>
      <w:r w:rsidRPr="00FD6A6A">
        <w:t>Federal</w:t>
      </w:r>
      <w:r w:rsidR="00541D05">
        <w:t xml:space="preserve"> </w:t>
      </w:r>
      <w:r w:rsidRPr="00FD6A6A">
        <w:t>Government</w:t>
      </w:r>
    </w:p>
    <w:p w14:paraId="0A2622AD" w14:textId="1981085B" w:rsidR="00D9258C" w:rsidRPr="00FD6A6A" w:rsidRDefault="00D9258C" w:rsidP="005964CF">
      <w:pPr>
        <w:pStyle w:val="SingleTxtG"/>
        <w:ind w:left="2835" w:hanging="1701"/>
        <w:jc w:val="left"/>
      </w:pPr>
      <w:r w:rsidRPr="00FD6A6A">
        <w:t>CF</w:t>
      </w:r>
      <w:r w:rsidRPr="00FD6A6A">
        <w:tab/>
      </w:r>
      <w:r w:rsidRPr="00FD6A6A">
        <w:tab/>
        <w:t>Brazilian</w:t>
      </w:r>
      <w:r w:rsidR="00541D05">
        <w:t xml:space="preserve"> </w:t>
      </w:r>
      <w:r w:rsidRPr="00FD6A6A">
        <w:t>Federal</w:t>
      </w:r>
      <w:r w:rsidR="00541D05">
        <w:t xml:space="preserve"> </w:t>
      </w:r>
      <w:r w:rsidRPr="00FD6A6A">
        <w:t>Constitution</w:t>
      </w:r>
    </w:p>
    <w:p w14:paraId="740D0197" w14:textId="2D968139" w:rsidR="00D9258C" w:rsidRPr="00FD6A6A" w:rsidRDefault="00D9258C" w:rsidP="005964CF">
      <w:pPr>
        <w:pStyle w:val="SingleTxtG"/>
        <w:ind w:left="2835" w:hanging="1701"/>
        <w:jc w:val="left"/>
      </w:pPr>
      <w:r w:rsidRPr="00FD6A6A">
        <w:t>CONAPIR</w:t>
      </w:r>
      <w:r w:rsidRPr="00FD6A6A">
        <w:tab/>
      </w:r>
      <w:r w:rsidRPr="00FD6A6A">
        <w:tab/>
        <w:t>National</w:t>
      </w:r>
      <w:r w:rsidR="00541D05">
        <w:t xml:space="preserve"> </w:t>
      </w:r>
      <w:r w:rsidRPr="00FD6A6A">
        <w:t>Conference</w:t>
      </w:r>
      <w:r w:rsidR="00541D05">
        <w:t xml:space="preserve"> </w:t>
      </w:r>
      <w:r w:rsidRPr="00FD6A6A">
        <w:t>for</w:t>
      </w:r>
      <w:r w:rsidR="00541D05">
        <w:t xml:space="preserve"> </w:t>
      </w:r>
      <w:r w:rsidRPr="00FD6A6A">
        <w:t>Promotion</w:t>
      </w:r>
      <w:r w:rsidR="00541D05">
        <w:t xml:space="preserve"> </w:t>
      </w:r>
      <w:r w:rsidRPr="00FD6A6A">
        <w:t>of</w:t>
      </w:r>
      <w:r w:rsidR="00541D05">
        <w:t xml:space="preserve"> </w:t>
      </w:r>
      <w:r w:rsidRPr="00FD6A6A">
        <w:t>Racial</w:t>
      </w:r>
      <w:r w:rsidR="00541D05">
        <w:t xml:space="preserve"> </w:t>
      </w:r>
      <w:r w:rsidRPr="00FD6A6A">
        <w:t>Equality</w:t>
      </w:r>
    </w:p>
    <w:p w14:paraId="3202E748" w14:textId="51D92795" w:rsidR="00D9258C" w:rsidRPr="00FD6A6A" w:rsidRDefault="00D9258C" w:rsidP="005964CF">
      <w:pPr>
        <w:pStyle w:val="SingleTxtG"/>
        <w:ind w:left="2835" w:hanging="1701"/>
        <w:jc w:val="left"/>
      </w:pPr>
      <w:r w:rsidRPr="00FD6A6A">
        <w:t>CONAR</w:t>
      </w:r>
      <w:r w:rsidRPr="00FD6A6A">
        <w:tab/>
      </w:r>
      <w:r w:rsidRPr="00FD6A6A">
        <w:tab/>
        <w:t>National</w:t>
      </w:r>
      <w:r w:rsidR="00541D05">
        <w:t xml:space="preserve"> </w:t>
      </w:r>
      <w:r w:rsidRPr="00FD6A6A">
        <w:t>Council</w:t>
      </w:r>
      <w:r w:rsidR="00541D05">
        <w:t xml:space="preserve"> </w:t>
      </w:r>
      <w:r w:rsidRPr="00FD6A6A">
        <w:t>for</w:t>
      </w:r>
      <w:r w:rsidR="00541D05">
        <w:t xml:space="preserve"> </w:t>
      </w:r>
      <w:r w:rsidRPr="00FD6A6A">
        <w:t>Self-Regulation</w:t>
      </w:r>
      <w:r w:rsidR="00541D05">
        <w:t xml:space="preserve"> </w:t>
      </w:r>
      <w:r w:rsidRPr="00FD6A6A">
        <w:t>in</w:t>
      </w:r>
      <w:r w:rsidR="00541D05">
        <w:t xml:space="preserve"> </w:t>
      </w:r>
      <w:r w:rsidRPr="00FD6A6A">
        <w:t>Advertising</w:t>
      </w:r>
    </w:p>
    <w:p w14:paraId="346F7E83" w14:textId="198F0BE2" w:rsidR="00D9258C" w:rsidRPr="00FD6A6A" w:rsidRDefault="00D9258C" w:rsidP="005964CF">
      <w:pPr>
        <w:pStyle w:val="SingleTxtG"/>
        <w:ind w:left="2835" w:hanging="1701"/>
        <w:jc w:val="left"/>
      </w:pPr>
      <w:r w:rsidRPr="00FD6A6A">
        <w:t>CONARE</w:t>
      </w:r>
      <w:r w:rsidRPr="00FD6A6A">
        <w:tab/>
      </w:r>
      <w:r w:rsidRPr="00FD6A6A">
        <w:tab/>
        <w:t>National</w:t>
      </w:r>
      <w:r w:rsidR="00541D05">
        <w:t xml:space="preserve"> </w:t>
      </w:r>
      <w:r w:rsidRPr="00FD6A6A">
        <w:t>Committee</w:t>
      </w:r>
      <w:r w:rsidR="00541D05">
        <w:t xml:space="preserve"> </w:t>
      </w:r>
      <w:r w:rsidRPr="00FD6A6A">
        <w:t>for</w:t>
      </w:r>
      <w:r w:rsidR="00541D05">
        <w:t xml:space="preserve"> </w:t>
      </w:r>
      <w:r w:rsidRPr="00FD6A6A">
        <w:t>Refugees</w:t>
      </w:r>
    </w:p>
    <w:p w14:paraId="34553AC3" w14:textId="56B11B23" w:rsidR="00D9258C" w:rsidRPr="00FD6A6A" w:rsidRDefault="00D9258C" w:rsidP="005964CF">
      <w:pPr>
        <w:pStyle w:val="SingleTxtG"/>
        <w:ind w:left="2835" w:hanging="1701"/>
        <w:jc w:val="left"/>
      </w:pPr>
      <w:r w:rsidRPr="00FD6A6A">
        <w:t>EBC</w:t>
      </w:r>
      <w:r w:rsidRPr="00FD6A6A">
        <w:tab/>
      </w:r>
      <w:r w:rsidRPr="00FD6A6A">
        <w:tab/>
        <w:t>Brazil</w:t>
      </w:r>
      <w:r w:rsidR="00541D05">
        <w:t xml:space="preserve"> </w:t>
      </w:r>
      <w:r w:rsidRPr="00FD6A6A">
        <w:t>Communication</w:t>
      </w:r>
      <w:r w:rsidR="00541D05">
        <w:t xml:space="preserve"> </w:t>
      </w:r>
      <w:r w:rsidRPr="00FD6A6A">
        <w:t>Company</w:t>
      </w:r>
    </w:p>
    <w:p w14:paraId="44BC1625" w14:textId="2B368CD9" w:rsidR="00D9258C" w:rsidRPr="00FD6A6A" w:rsidRDefault="00D9258C" w:rsidP="005964CF">
      <w:pPr>
        <w:pStyle w:val="SingleTxtG"/>
        <w:ind w:left="2835" w:hanging="1701"/>
        <w:jc w:val="left"/>
      </w:pPr>
      <w:r w:rsidRPr="00FD6A6A">
        <w:t>IBGE</w:t>
      </w:r>
      <w:r w:rsidRPr="00FD6A6A">
        <w:tab/>
      </w:r>
      <w:r w:rsidRPr="00FD6A6A">
        <w:tab/>
        <w:t>Brazilian</w:t>
      </w:r>
      <w:r w:rsidR="00541D05">
        <w:t xml:space="preserve"> </w:t>
      </w:r>
      <w:r w:rsidRPr="00FD6A6A">
        <w:t>Institute</w:t>
      </w:r>
      <w:r w:rsidR="00541D05">
        <w:t xml:space="preserve"> </w:t>
      </w:r>
      <w:r w:rsidRPr="00FD6A6A">
        <w:t>of</w:t>
      </w:r>
      <w:r w:rsidR="00541D05">
        <w:t xml:space="preserve"> </w:t>
      </w:r>
      <w:r w:rsidRPr="00FD6A6A">
        <w:t>Geography</w:t>
      </w:r>
      <w:r w:rsidR="00541D05">
        <w:t xml:space="preserve"> </w:t>
      </w:r>
      <w:r w:rsidRPr="00FD6A6A">
        <w:t>and</w:t>
      </w:r>
      <w:r w:rsidR="00541D05">
        <w:t xml:space="preserve"> </w:t>
      </w:r>
      <w:r w:rsidRPr="00FD6A6A">
        <w:t>Statistics</w:t>
      </w:r>
    </w:p>
    <w:p w14:paraId="7EAA51F8" w14:textId="7E48DB3F" w:rsidR="00D9258C" w:rsidRPr="00FD6A6A" w:rsidRDefault="00D9258C" w:rsidP="005964CF">
      <w:pPr>
        <w:pStyle w:val="SingleTxtG"/>
        <w:ind w:left="2835" w:hanging="1701"/>
        <w:jc w:val="left"/>
      </w:pPr>
      <w:r w:rsidRPr="00FD6A6A">
        <w:t>INCRA</w:t>
      </w:r>
      <w:r w:rsidRPr="00FD6A6A">
        <w:tab/>
      </w:r>
      <w:r w:rsidRPr="00FD6A6A">
        <w:tab/>
        <w:t>National</w:t>
      </w:r>
      <w:r w:rsidR="00541D05">
        <w:t xml:space="preserve"> </w:t>
      </w:r>
      <w:r w:rsidRPr="00FD6A6A">
        <w:t>Institute</w:t>
      </w:r>
      <w:r w:rsidR="00541D05">
        <w:t xml:space="preserve"> </w:t>
      </w:r>
      <w:r w:rsidRPr="00FD6A6A">
        <w:t>of</w:t>
      </w:r>
      <w:r w:rsidR="00541D05">
        <w:t xml:space="preserve"> </w:t>
      </w:r>
      <w:r w:rsidRPr="00FD6A6A">
        <w:t>Colonization</w:t>
      </w:r>
      <w:r w:rsidR="00541D05">
        <w:t xml:space="preserve"> </w:t>
      </w:r>
      <w:r w:rsidRPr="00FD6A6A">
        <w:t>and</w:t>
      </w:r>
      <w:r w:rsidR="00541D05">
        <w:t xml:space="preserve"> </w:t>
      </w:r>
      <w:r w:rsidRPr="00FD6A6A">
        <w:t>Agrarian</w:t>
      </w:r>
      <w:r w:rsidR="00541D05">
        <w:t xml:space="preserve"> </w:t>
      </w:r>
      <w:r w:rsidRPr="00FD6A6A">
        <w:t>Reform</w:t>
      </w:r>
    </w:p>
    <w:p w14:paraId="671790B3" w14:textId="072DEED0" w:rsidR="00D9258C" w:rsidRPr="00FD6A6A" w:rsidRDefault="00D9258C" w:rsidP="005964CF">
      <w:pPr>
        <w:pStyle w:val="SingleTxtG"/>
        <w:ind w:left="2835" w:hanging="1701"/>
        <w:jc w:val="left"/>
      </w:pPr>
      <w:r w:rsidRPr="00FD6A6A">
        <w:t>INHOPE</w:t>
      </w:r>
      <w:r w:rsidRPr="00FD6A6A">
        <w:tab/>
      </w:r>
      <w:r w:rsidRPr="00FD6A6A">
        <w:tab/>
        <w:t>International</w:t>
      </w:r>
      <w:r w:rsidR="00541D05">
        <w:t xml:space="preserve"> </w:t>
      </w:r>
      <w:r w:rsidRPr="00FD6A6A">
        <w:t>Association</w:t>
      </w:r>
      <w:r w:rsidR="00541D05">
        <w:t xml:space="preserve"> </w:t>
      </w:r>
      <w:r w:rsidRPr="00FD6A6A">
        <w:t>of</w:t>
      </w:r>
      <w:r w:rsidR="00541D05">
        <w:t xml:space="preserve"> </w:t>
      </w:r>
      <w:r w:rsidRPr="00FD6A6A">
        <w:t>Internet</w:t>
      </w:r>
      <w:r w:rsidR="00541D05">
        <w:t xml:space="preserve"> </w:t>
      </w:r>
      <w:r w:rsidRPr="00FD6A6A">
        <w:t>Hotlines</w:t>
      </w:r>
    </w:p>
    <w:p w14:paraId="0E171BBD" w14:textId="0E76EFD0" w:rsidR="00D9258C" w:rsidRPr="00FD6A6A" w:rsidRDefault="00D9258C" w:rsidP="005964CF">
      <w:pPr>
        <w:pStyle w:val="SingleTxtG"/>
        <w:ind w:left="2835" w:hanging="1701"/>
        <w:jc w:val="left"/>
      </w:pPr>
      <w:r w:rsidRPr="00FD6A6A">
        <w:t>LpT</w:t>
      </w:r>
      <w:r w:rsidRPr="00FD6A6A">
        <w:tab/>
      </w:r>
      <w:r w:rsidRPr="00FD6A6A">
        <w:tab/>
        <w:t>Luz</w:t>
      </w:r>
      <w:r w:rsidR="00541D05">
        <w:t xml:space="preserve"> </w:t>
      </w:r>
      <w:r w:rsidRPr="00FD6A6A">
        <w:t>para</w:t>
      </w:r>
      <w:r w:rsidR="00541D05">
        <w:t xml:space="preserve"> </w:t>
      </w:r>
      <w:r w:rsidRPr="00FD6A6A">
        <w:t>Todos</w:t>
      </w:r>
      <w:r w:rsidR="00541D05">
        <w:t xml:space="preserve"> </w:t>
      </w:r>
      <w:r w:rsidRPr="00FD6A6A">
        <w:t>Program</w:t>
      </w:r>
    </w:p>
    <w:p w14:paraId="278FED0A" w14:textId="4DB15A2F" w:rsidR="00D9258C" w:rsidRPr="00FD6A6A" w:rsidRDefault="00D9258C" w:rsidP="005964CF">
      <w:pPr>
        <w:pStyle w:val="SingleTxtG"/>
        <w:ind w:left="2835" w:hanging="1701"/>
        <w:jc w:val="left"/>
      </w:pPr>
      <w:r w:rsidRPr="004751CE">
        <w:t>MEC</w:t>
      </w:r>
      <w:r w:rsidRPr="004751CE">
        <w:tab/>
      </w:r>
      <w:r w:rsidRPr="00FD6A6A">
        <w:tab/>
        <w:t>Ministry</w:t>
      </w:r>
      <w:r w:rsidR="00541D05">
        <w:t xml:space="preserve"> </w:t>
      </w:r>
      <w:r w:rsidRPr="00FD6A6A">
        <w:t>of</w:t>
      </w:r>
      <w:r w:rsidR="00541D05">
        <w:t xml:space="preserve"> </w:t>
      </w:r>
      <w:r w:rsidRPr="00FD6A6A">
        <w:t>Education</w:t>
      </w:r>
    </w:p>
    <w:p w14:paraId="57856821" w14:textId="26D0B32B" w:rsidR="00D9258C" w:rsidRPr="00FD6A6A" w:rsidRDefault="00D9258C" w:rsidP="005964CF">
      <w:pPr>
        <w:pStyle w:val="SingleTxtG"/>
        <w:ind w:left="2835" w:hanging="1701"/>
        <w:jc w:val="left"/>
      </w:pPr>
      <w:r w:rsidRPr="00FD6A6A">
        <w:t>MDH</w:t>
      </w:r>
      <w:r w:rsidRPr="00FD6A6A">
        <w:tab/>
      </w:r>
      <w:r w:rsidRPr="00FD6A6A">
        <w:tab/>
        <w:t>Ministry</w:t>
      </w:r>
      <w:r w:rsidR="00541D05">
        <w:t xml:space="preserve"> </w:t>
      </w:r>
      <w:r w:rsidRPr="00FD6A6A">
        <w:t>of</w:t>
      </w:r>
      <w:r w:rsidR="00541D05">
        <w:t xml:space="preserve"> </w:t>
      </w:r>
      <w:r w:rsidRPr="00FD6A6A">
        <w:t>Human</w:t>
      </w:r>
      <w:r w:rsidR="00541D05">
        <w:t xml:space="preserve"> </w:t>
      </w:r>
      <w:r w:rsidRPr="00FD6A6A">
        <w:t>Rights</w:t>
      </w:r>
    </w:p>
    <w:p w14:paraId="33F8AF7A" w14:textId="4931E0B1" w:rsidR="00D9258C" w:rsidRPr="00FD6A6A" w:rsidRDefault="00D9258C" w:rsidP="005964CF">
      <w:pPr>
        <w:pStyle w:val="SingleTxtG"/>
        <w:ind w:left="2835" w:hanging="1701"/>
        <w:jc w:val="left"/>
      </w:pPr>
      <w:r w:rsidRPr="00FD6A6A">
        <w:t>Neabs</w:t>
      </w:r>
      <w:r w:rsidRPr="00FD6A6A">
        <w:tab/>
      </w:r>
      <w:r w:rsidRPr="00FD6A6A">
        <w:tab/>
        <w:t>Center</w:t>
      </w:r>
      <w:r w:rsidR="00541D05">
        <w:t xml:space="preserve"> </w:t>
      </w:r>
      <w:r w:rsidRPr="00FD6A6A">
        <w:t>for</w:t>
      </w:r>
      <w:r w:rsidR="00541D05">
        <w:t xml:space="preserve"> </w:t>
      </w:r>
      <w:r w:rsidRPr="00FD6A6A">
        <w:t>Afro-Brazilian</w:t>
      </w:r>
      <w:r w:rsidR="00541D05">
        <w:t xml:space="preserve"> </w:t>
      </w:r>
      <w:r w:rsidRPr="00FD6A6A">
        <w:t>Studies</w:t>
      </w:r>
    </w:p>
    <w:p w14:paraId="6670ADF7" w14:textId="71E474A7" w:rsidR="00D9258C" w:rsidRPr="00FD6A6A" w:rsidRDefault="00D9258C" w:rsidP="005964CF">
      <w:pPr>
        <w:pStyle w:val="SingleTxtG"/>
        <w:ind w:left="2835" w:hanging="1701"/>
        <w:jc w:val="left"/>
      </w:pPr>
      <w:r w:rsidRPr="00FD6A6A">
        <w:t>ILO</w:t>
      </w:r>
      <w:r w:rsidRPr="00FD6A6A">
        <w:tab/>
      </w:r>
      <w:r w:rsidRPr="00FD6A6A">
        <w:tab/>
        <w:t>International</w:t>
      </w:r>
      <w:r w:rsidR="00541D05">
        <w:t xml:space="preserve"> </w:t>
      </w:r>
      <w:r w:rsidRPr="00FD6A6A">
        <w:t>Labor</w:t>
      </w:r>
      <w:r w:rsidR="00541D05">
        <w:t xml:space="preserve"> </w:t>
      </w:r>
      <w:r w:rsidRPr="00FD6A6A">
        <w:t>Organization</w:t>
      </w:r>
    </w:p>
    <w:p w14:paraId="0BCEC3FC" w14:textId="43F04BD7" w:rsidR="00D9258C" w:rsidRPr="00FD6A6A" w:rsidRDefault="00D9258C" w:rsidP="005964CF">
      <w:pPr>
        <w:pStyle w:val="SingleTxtG"/>
        <w:ind w:left="2835" w:hanging="1701"/>
        <w:jc w:val="left"/>
      </w:pPr>
      <w:r w:rsidRPr="00FD6A6A">
        <w:t>PBP</w:t>
      </w:r>
      <w:r w:rsidRPr="00FD6A6A">
        <w:tab/>
      </w:r>
      <w:r w:rsidRPr="00FD6A6A">
        <w:tab/>
        <w:t>Bolsa</w:t>
      </w:r>
      <w:r w:rsidR="00541D05">
        <w:t xml:space="preserve"> </w:t>
      </w:r>
      <w:r w:rsidRPr="00FD6A6A">
        <w:t>Permanência</w:t>
      </w:r>
      <w:r w:rsidR="00541D05">
        <w:t xml:space="preserve"> </w:t>
      </w:r>
      <w:r w:rsidRPr="00FD6A6A">
        <w:t>Program</w:t>
      </w:r>
    </w:p>
    <w:p w14:paraId="16415990" w14:textId="019EE710" w:rsidR="00D9258C" w:rsidRPr="00FD6A6A" w:rsidRDefault="00D9258C" w:rsidP="005964CF">
      <w:pPr>
        <w:pStyle w:val="SingleTxtG"/>
        <w:ind w:left="2835" w:hanging="1701"/>
        <w:jc w:val="left"/>
      </w:pPr>
      <w:r w:rsidRPr="00FD6A6A">
        <w:t>Pcerp</w:t>
      </w:r>
      <w:r w:rsidRPr="00FD6A6A">
        <w:tab/>
      </w:r>
      <w:r w:rsidRPr="00FD6A6A">
        <w:tab/>
        <w:t>Survey</w:t>
      </w:r>
      <w:r w:rsidR="00541D05">
        <w:t xml:space="preserve"> </w:t>
      </w:r>
      <w:r w:rsidRPr="00FD6A6A">
        <w:t>on</w:t>
      </w:r>
      <w:r w:rsidR="00541D05">
        <w:t xml:space="preserve"> </w:t>
      </w:r>
      <w:r w:rsidRPr="00FD6A6A">
        <w:t>the</w:t>
      </w:r>
      <w:r w:rsidR="00541D05">
        <w:t xml:space="preserve"> </w:t>
      </w:r>
      <w:r w:rsidRPr="00FD6A6A">
        <w:t>Ethnic</w:t>
      </w:r>
      <w:r w:rsidR="00541D05">
        <w:t xml:space="preserve"> </w:t>
      </w:r>
      <w:r w:rsidRPr="00FD6A6A">
        <w:t>and</w:t>
      </w:r>
      <w:r w:rsidR="00541D05">
        <w:t xml:space="preserve"> </w:t>
      </w:r>
      <w:r w:rsidRPr="00FD6A6A">
        <w:t>Racial</w:t>
      </w:r>
      <w:r w:rsidR="00541D05">
        <w:t xml:space="preserve"> </w:t>
      </w:r>
      <w:r w:rsidRPr="00FD6A6A">
        <w:t>Characteristics</w:t>
      </w:r>
      <w:r w:rsidR="00541D05">
        <w:t xml:space="preserve"> </w:t>
      </w:r>
      <w:r w:rsidRPr="00FD6A6A">
        <w:t>of</w:t>
      </w:r>
      <w:r w:rsidR="00541D05">
        <w:t xml:space="preserve"> </w:t>
      </w:r>
      <w:r w:rsidRPr="00FD6A6A">
        <w:t>the</w:t>
      </w:r>
      <w:r w:rsidR="00541D05">
        <w:t xml:space="preserve"> </w:t>
      </w:r>
      <w:r w:rsidRPr="00FD6A6A">
        <w:t>Population</w:t>
      </w:r>
    </w:p>
    <w:p w14:paraId="6415B9EF" w14:textId="79BF02B7" w:rsidR="00D9258C" w:rsidRPr="00FD6A6A" w:rsidRDefault="00D9258C" w:rsidP="005964CF">
      <w:pPr>
        <w:pStyle w:val="SingleTxtG"/>
        <w:ind w:left="2835" w:hanging="1701"/>
        <w:jc w:val="left"/>
      </w:pPr>
      <w:r w:rsidRPr="00FD6A6A">
        <w:t>PCT</w:t>
      </w:r>
      <w:r w:rsidRPr="00FD6A6A">
        <w:tab/>
      </w:r>
      <w:r w:rsidRPr="00FD6A6A">
        <w:tab/>
        <w:t>Traditional</w:t>
      </w:r>
      <w:r w:rsidR="00541D05">
        <w:t xml:space="preserve"> </w:t>
      </w:r>
      <w:r w:rsidRPr="00FD6A6A">
        <w:t>peoples</w:t>
      </w:r>
      <w:r w:rsidR="00541D05">
        <w:t xml:space="preserve"> </w:t>
      </w:r>
      <w:r w:rsidRPr="00FD6A6A">
        <w:t>and</w:t>
      </w:r>
      <w:r w:rsidR="00541D05">
        <w:t xml:space="preserve"> </w:t>
      </w:r>
      <w:r w:rsidRPr="00FD6A6A">
        <w:t>communities</w:t>
      </w:r>
    </w:p>
    <w:p w14:paraId="308AF0C0" w14:textId="06CF898F" w:rsidR="00D9258C" w:rsidRPr="00FD6A6A" w:rsidRDefault="00D9258C" w:rsidP="005964CF">
      <w:pPr>
        <w:pStyle w:val="SingleTxtG"/>
        <w:ind w:left="2835" w:hanging="1701"/>
        <w:jc w:val="left"/>
      </w:pPr>
      <w:r w:rsidRPr="00FD6A6A">
        <w:t>PMCMV</w:t>
      </w:r>
      <w:r w:rsidRPr="00FD6A6A">
        <w:tab/>
      </w:r>
      <w:r w:rsidRPr="00FD6A6A">
        <w:tab/>
        <w:t>Minha</w:t>
      </w:r>
      <w:r w:rsidR="00541D05">
        <w:t xml:space="preserve"> </w:t>
      </w:r>
      <w:r w:rsidRPr="00FD6A6A">
        <w:t>Casa</w:t>
      </w:r>
      <w:r w:rsidR="00541D05">
        <w:t xml:space="preserve"> </w:t>
      </w:r>
      <w:r w:rsidRPr="00FD6A6A">
        <w:t>Minha</w:t>
      </w:r>
      <w:r w:rsidR="00541D05">
        <w:t xml:space="preserve"> </w:t>
      </w:r>
      <w:r w:rsidRPr="00FD6A6A">
        <w:t>Vida</w:t>
      </w:r>
      <w:r w:rsidR="00541D05">
        <w:t xml:space="preserve"> </w:t>
      </w:r>
      <w:r w:rsidRPr="00FD6A6A">
        <w:t>Program</w:t>
      </w:r>
    </w:p>
    <w:p w14:paraId="5D42B0F1" w14:textId="21DD5462" w:rsidR="00D9258C" w:rsidRPr="00FD6A6A" w:rsidRDefault="00D9258C" w:rsidP="005964CF">
      <w:pPr>
        <w:pStyle w:val="SingleTxtG"/>
        <w:ind w:left="2835" w:hanging="1701"/>
        <w:jc w:val="left"/>
      </w:pPr>
      <w:r w:rsidRPr="00FD6A6A">
        <w:t>PNAD</w:t>
      </w:r>
      <w:r w:rsidRPr="00FD6A6A">
        <w:tab/>
      </w:r>
      <w:r w:rsidRPr="00FD6A6A">
        <w:tab/>
        <w:t>National</w:t>
      </w:r>
      <w:r w:rsidR="00541D05">
        <w:t xml:space="preserve"> </w:t>
      </w:r>
      <w:r w:rsidRPr="00FD6A6A">
        <w:t>Household</w:t>
      </w:r>
      <w:r w:rsidR="00541D05">
        <w:t xml:space="preserve"> </w:t>
      </w:r>
      <w:r w:rsidRPr="00FD6A6A">
        <w:t>Sample</w:t>
      </w:r>
      <w:r w:rsidR="00541D05">
        <w:t xml:space="preserve"> </w:t>
      </w:r>
      <w:r w:rsidRPr="00FD6A6A">
        <w:t>Survey</w:t>
      </w:r>
    </w:p>
    <w:p w14:paraId="628AFA6B" w14:textId="2D918057" w:rsidR="00D9258C" w:rsidRPr="00FD6A6A" w:rsidRDefault="00D9258C" w:rsidP="005964CF">
      <w:pPr>
        <w:pStyle w:val="SingleTxtG"/>
        <w:ind w:left="2835" w:hanging="1701"/>
        <w:jc w:val="left"/>
      </w:pPr>
      <w:r w:rsidRPr="00FD6A6A">
        <w:t>PNDH-3</w:t>
      </w:r>
      <w:r w:rsidRPr="00FD6A6A">
        <w:tab/>
      </w:r>
      <w:r w:rsidRPr="00FD6A6A">
        <w:tab/>
        <w:t>National</w:t>
      </w:r>
      <w:r w:rsidR="00541D05">
        <w:t xml:space="preserve"> </w:t>
      </w:r>
      <w:r w:rsidRPr="00FD6A6A">
        <w:t>Human</w:t>
      </w:r>
      <w:r w:rsidR="00541D05">
        <w:t xml:space="preserve"> </w:t>
      </w:r>
      <w:r w:rsidRPr="00FD6A6A">
        <w:t>Rights</w:t>
      </w:r>
      <w:r w:rsidR="00541D05">
        <w:t xml:space="preserve"> </w:t>
      </w:r>
      <w:r w:rsidRPr="00FD6A6A">
        <w:t>Program</w:t>
      </w:r>
    </w:p>
    <w:p w14:paraId="08B5D828" w14:textId="7B37400C" w:rsidR="00D9258C" w:rsidRPr="00FD6A6A" w:rsidRDefault="00D9258C" w:rsidP="005964CF">
      <w:pPr>
        <w:pStyle w:val="SingleTxtG"/>
        <w:ind w:left="2835" w:hanging="1701"/>
        <w:jc w:val="left"/>
      </w:pPr>
      <w:r w:rsidRPr="00FD6A6A">
        <w:t>PNPCT</w:t>
      </w:r>
      <w:r w:rsidRPr="00FD6A6A">
        <w:tab/>
      </w:r>
      <w:r w:rsidRPr="00FD6A6A">
        <w:tab/>
        <w:t>National</w:t>
      </w:r>
      <w:r w:rsidR="00541D05">
        <w:t xml:space="preserve"> </w:t>
      </w:r>
      <w:r w:rsidRPr="00FD6A6A">
        <w:t>Policy</w:t>
      </w:r>
      <w:r w:rsidR="00541D05">
        <w:t xml:space="preserve"> </w:t>
      </w:r>
      <w:r w:rsidRPr="00FD6A6A">
        <w:t>for</w:t>
      </w:r>
      <w:r w:rsidR="00541D05">
        <w:t xml:space="preserve"> </w:t>
      </w:r>
      <w:r w:rsidRPr="00FD6A6A">
        <w:t>the</w:t>
      </w:r>
      <w:r w:rsidR="00541D05">
        <w:t xml:space="preserve"> </w:t>
      </w:r>
      <w:r w:rsidRPr="00FD6A6A">
        <w:t>Sustainable</w:t>
      </w:r>
      <w:r w:rsidR="00541D05">
        <w:t xml:space="preserve"> </w:t>
      </w:r>
      <w:r w:rsidRPr="00FD6A6A">
        <w:t>Development</w:t>
      </w:r>
      <w:r w:rsidR="00541D05">
        <w:t xml:space="preserve"> </w:t>
      </w:r>
      <w:r w:rsidRPr="00FD6A6A">
        <w:t>of</w:t>
      </w:r>
      <w:r w:rsidR="00541D05">
        <w:t xml:space="preserve"> </w:t>
      </w:r>
      <w:r w:rsidRPr="00FD6A6A">
        <w:t>Traditional</w:t>
      </w:r>
      <w:r w:rsidR="00541D05">
        <w:t xml:space="preserve"> </w:t>
      </w:r>
      <w:r w:rsidRPr="00FD6A6A">
        <w:t>Peoples</w:t>
      </w:r>
      <w:r w:rsidR="00541D05">
        <w:t xml:space="preserve"> </w:t>
      </w:r>
      <w:r w:rsidRPr="00FD6A6A">
        <w:t>and</w:t>
      </w:r>
      <w:r w:rsidR="00541D05">
        <w:t xml:space="preserve"> </w:t>
      </w:r>
      <w:r w:rsidRPr="00FD6A6A">
        <w:t>Communities</w:t>
      </w:r>
    </w:p>
    <w:p w14:paraId="43321E9E" w14:textId="2DC14BAB" w:rsidR="00D9258C" w:rsidRPr="00FD6A6A" w:rsidRDefault="00D9258C" w:rsidP="005964CF">
      <w:pPr>
        <w:pStyle w:val="SingleTxtG"/>
        <w:ind w:left="2835" w:hanging="1701"/>
        <w:jc w:val="left"/>
      </w:pPr>
      <w:r w:rsidRPr="00FD6A6A">
        <w:t>PNSIPN</w:t>
      </w:r>
      <w:r w:rsidRPr="00FD6A6A">
        <w:tab/>
      </w:r>
      <w:r w:rsidRPr="00FD6A6A">
        <w:tab/>
        <w:t>National</w:t>
      </w:r>
      <w:r w:rsidR="00541D05">
        <w:t xml:space="preserve"> </w:t>
      </w:r>
      <w:r w:rsidRPr="00FD6A6A">
        <w:t>Policy</w:t>
      </w:r>
      <w:r w:rsidR="00541D05">
        <w:t xml:space="preserve"> </w:t>
      </w:r>
      <w:r w:rsidRPr="00FD6A6A">
        <w:t>for</w:t>
      </w:r>
      <w:r w:rsidR="00541D05">
        <w:t xml:space="preserve"> </w:t>
      </w:r>
      <w:r w:rsidRPr="00FD6A6A">
        <w:t>Comprehensive</w:t>
      </w:r>
      <w:r w:rsidR="00541D05">
        <w:t xml:space="preserve"> </w:t>
      </w:r>
      <w:r w:rsidRPr="00FD6A6A">
        <w:t>Health</w:t>
      </w:r>
      <w:r w:rsidR="00541D05">
        <w:t xml:space="preserve"> </w:t>
      </w:r>
      <w:r w:rsidRPr="00FD6A6A">
        <w:t>Care</w:t>
      </w:r>
      <w:r w:rsidR="00541D05">
        <w:t xml:space="preserve"> </w:t>
      </w:r>
      <w:r w:rsidRPr="00FD6A6A">
        <w:t>to</w:t>
      </w:r>
      <w:r w:rsidR="00541D05">
        <w:t xml:space="preserve"> </w:t>
      </w:r>
      <w:r w:rsidRPr="00FD6A6A">
        <w:t>the</w:t>
      </w:r>
      <w:r w:rsidR="00541D05">
        <w:t xml:space="preserve"> </w:t>
      </w:r>
      <w:r w:rsidRPr="00FD6A6A">
        <w:t>Afro-Brazilian</w:t>
      </w:r>
      <w:r w:rsidRPr="00FD6A6A">
        <w:tab/>
        <w:t>Population</w:t>
      </w:r>
    </w:p>
    <w:p w14:paraId="74CD740E" w14:textId="6AA38FEC" w:rsidR="00D9258C" w:rsidRPr="00FD6A6A" w:rsidRDefault="00D9258C" w:rsidP="005964CF">
      <w:pPr>
        <w:pStyle w:val="SingleTxtG"/>
        <w:ind w:left="2835" w:hanging="1701"/>
        <w:jc w:val="left"/>
      </w:pPr>
      <w:r w:rsidRPr="00FD6A6A">
        <w:t>PROEXT</w:t>
      </w:r>
      <w:r w:rsidRPr="00FD6A6A">
        <w:tab/>
      </w:r>
      <w:r w:rsidRPr="00FD6A6A">
        <w:tab/>
        <w:t>Continuing</w:t>
      </w:r>
      <w:r w:rsidR="00541D05">
        <w:t xml:space="preserve"> </w:t>
      </w:r>
      <w:r w:rsidRPr="00FD6A6A">
        <w:t>Education</w:t>
      </w:r>
      <w:r w:rsidR="00541D05">
        <w:t xml:space="preserve"> </w:t>
      </w:r>
      <w:r w:rsidRPr="00FD6A6A">
        <w:t>Program</w:t>
      </w:r>
    </w:p>
    <w:p w14:paraId="08EA2311" w14:textId="1DEC4752" w:rsidR="00D9258C" w:rsidRPr="00FD6A6A" w:rsidRDefault="00D9258C" w:rsidP="005964CF">
      <w:pPr>
        <w:pStyle w:val="SingleTxtG"/>
        <w:ind w:left="2835" w:hanging="1701"/>
        <w:jc w:val="left"/>
      </w:pPr>
      <w:r w:rsidRPr="00FD6A6A">
        <w:t>Pronacampo</w:t>
      </w:r>
      <w:r w:rsidRPr="00FD6A6A">
        <w:tab/>
      </w:r>
      <w:r w:rsidRPr="00FD6A6A">
        <w:tab/>
        <w:t>National</w:t>
      </w:r>
      <w:r w:rsidR="00541D05">
        <w:t xml:space="preserve"> </w:t>
      </w:r>
      <w:r w:rsidRPr="00FD6A6A">
        <w:t>Program</w:t>
      </w:r>
      <w:r w:rsidR="00541D05">
        <w:t xml:space="preserve"> </w:t>
      </w:r>
      <w:r w:rsidRPr="00FD6A6A">
        <w:t>for</w:t>
      </w:r>
      <w:r w:rsidR="00541D05">
        <w:t xml:space="preserve"> </w:t>
      </w:r>
      <w:r w:rsidRPr="00FD6A6A">
        <w:t>Rural</w:t>
      </w:r>
      <w:r w:rsidR="00541D05">
        <w:t xml:space="preserve"> </w:t>
      </w:r>
      <w:r w:rsidRPr="00FD6A6A">
        <w:t>Education</w:t>
      </w:r>
    </w:p>
    <w:p w14:paraId="194FFEE5" w14:textId="76429C67" w:rsidR="00D9258C" w:rsidRPr="00FD6A6A" w:rsidRDefault="00D9258C" w:rsidP="005964CF">
      <w:pPr>
        <w:pStyle w:val="SingleTxtG"/>
        <w:ind w:left="2835" w:hanging="1701"/>
        <w:jc w:val="left"/>
      </w:pPr>
      <w:r w:rsidRPr="00FD6A6A">
        <w:t>ProUni</w:t>
      </w:r>
      <w:r w:rsidRPr="00FD6A6A">
        <w:tab/>
      </w:r>
      <w:r w:rsidRPr="00FD6A6A">
        <w:tab/>
        <w:t>Universidade</w:t>
      </w:r>
      <w:r w:rsidR="00541D05">
        <w:t xml:space="preserve"> </w:t>
      </w:r>
      <w:r w:rsidRPr="00FD6A6A">
        <w:t>para</w:t>
      </w:r>
      <w:r w:rsidR="00541D05">
        <w:t xml:space="preserve"> </w:t>
      </w:r>
      <w:r w:rsidRPr="00FD6A6A">
        <w:t>Todos</w:t>
      </w:r>
      <w:r w:rsidR="00541D05">
        <w:t xml:space="preserve"> </w:t>
      </w:r>
      <w:r w:rsidRPr="00FD6A6A">
        <w:t>Program</w:t>
      </w:r>
    </w:p>
    <w:p w14:paraId="2CF2681E" w14:textId="690201E3" w:rsidR="00D9258C" w:rsidRPr="00FD6A6A" w:rsidRDefault="00D9258C" w:rsidP="005964CF">
      <w:pPr>
        <w:pStyle w:val="SingleTxtG"/>
        <w:ind w:left="2835" w:hanging="1701"/>
        <w:jc w:val="left"/>
      </w:pPr>
      <w:r w:rsidRPr="00FD6A6A">
        <w:t>PSF</w:t>
      </w:r>
      <w:r w:rsidRPr="00FD6A6A">
        <w:tab/>
      </w:r>
      <w:r w:rsidRPr="00FD6A6A">
        <w:tab/>
        <w:t>Estratégia</w:t>
      </w:r>
      <w:r w:rsidR="00541D05">
        <w:t xml:space="preserve"> </w:t>
      </w:r>
      <w:r w:rsidRPr="00FD6A6A">
        <w:t>Saúde</w:t>
      </w:r>
      <w:r w:rsidR="00541D05">
        <w:t xml:space="preserve"> </w:t>
      </w:r>
      <w:r w:rsidRPr="00FD6A6A">
        <w:t>da</w:t>
      </w:r>
      <w:r w:rsidR="00541D05">
        <w:t xml:space="preserve"> </w:t>
      </w:r>
      <w:r w:rsidRPr="00FD6A6A">
        <w:t>Família</w:t>
      </w:r>
      <w:r w:rsidR="00541D05">
        <w:t xml:space="preserve"> </w:t>
      </w:r>
      <w:r w:rsidRPr="00FD6A6A">
        <w:t>Program</w:t>
      </w:r>
    </w:p>
    <w:p w14:paraId="6A9100F7" w14:textId="3B926F0C" w:rsidR="00D9258C" w:rsidRPr="00FD6A6A" w:rsidRDefault="00D9258C" w:rsidP="005964CF">
      <w:pPr>
        <w:pStyle w:val="SingleTxtG"/>
        <w:ind w:left="2835" w:hanging="1701"/>
        <w:jc w:val="left"/>
      </w:pPr>
      <w:r w:rsidRPr="004751CE">
        <w:t>SECADI</w:t>
      </w:r>
      <w:r w:rsidRPr="004751CE">
        <w:tab/>
      </w:r>
      <w:r w:rsidRPr="00FD6A6A">
        <w:tab/>
        <w:t>Office</w:t>
      </w:r>
      <w:r w:rsidR="00541D05">
        <w:t xml:space="preserve"> </w:t>
      </w:r>
      <w:r w:rsidRPr="00FD6A6A">
        <w:t>of</w:t>
      </w:r>
      <w:r w:rsidR="00541D05">
        <w:t xml:space="preserve"> </w:t>
      </w:r>
      <w:r w:rsidRPr="00FD6A6A">
        <w:t>Continuing</w:t>
      </w:r>
      <w:r w:rsidR="00541D05">
        <w:t xml:space="preserve"> </w:t>
      </w:r>
      <w:r w:rsidRPr="00FD6A6A">
        <w:t>Education,</w:t>
      </w:r>
      <w:r w:rsidR="00541D05">
        <w:t xml:space="preserve"> </w:t>
      </w:r>
      <w:r w:rsidRPr="00FD6A6A">
        <w:t>Literacy,</w:t>
      </w:r>
      <w:r w:rsidR="00541D05">
        <w:t xml:space="preserve"> </w:t>
      </w:r>
      <w:r w:rsidRPr="00FD6A6A">
        <w:t>and</w:t>
      </w:r>
      <w:r w:rsidR="00541D05">
        <w:t xml:space="preserve"> </w:t>
      </w:r>
      <w:r w:rsidRPr="00FD6A6A">
        <w:t>Diversity</w:t>
      </w:r>
    </w:p>
    <w:p w14:paraId="57DEFB2A" w14:textId="4AC0B99D" w:rsidR="00D9258C" w:rsidRPr="00FD6A6A" w:rsidRDefault="00D9258C" w:rsidP="005964CF">
      <w:pPr>
        <w:pStyle w:val="SingleTxtG"/>
        <w:ind w:left="2835" w:hanging="1701"/>
        <w:jc w:val="left"/>
      </w:pPr>
      <w:r w:rsidRPr="00FD6A6A">
        <w:t>SEPPIR</w:t>
      </w:r>
      <w:r w:rsidRPr="00FD6A6A">
        <w:tab/>
      </w:r>
      <w:r w:rsidRPr="00FD6A6A">
        <w:tab/>
        <w:t>Special</w:t>
      </w:r>
      <w:r w:rsidR="00541D05">
        <w:t xml:space="preserve"> </w:t>
      </w:r>
      <w:r w:rsidRPr="00FD6A6A">
        <w:t>Office</w:t>
      </w:r>
      <w:r w:rsidR="00541D05">
        <w:t xml:space="preserve"> </w:t>
      </w:r>
      <w:r w:rsidRPr="00FD6A6A">
        <w:t>for</w:t>
      </w:r>
      <w:r w:rsidR="00541D05">
        <w:t xml:space="preserve"> </w:t>
      </w:r>
      <w:r w:rsidRPr="00FD6A6A">
        <w:t>Policies</w:t>
      </w:r>
      <w:r w:rsidR="00541D05">
        <w:t xml:space="preserve"> </w:t>
      </w:r>
      <w:r w:rsidRPr="00FD6A6A">
        <w:t>for</w:t>
      </w:r>
      <w:r w:rsidR="00541D05">
        <w:t xml:space="preserve"> </w:t>
      </w:r>
      <w:r w:rsidRPr="00FD6A6A">
        <w:t>Promotion</w:t>
      </w:r>
      <w:r w:rsidR="00541D05">
        <w:t xml:space="preserve"> </w:t>
      </w:r>
      <w:r w:rsidRPr="00FD6A6A">
        <w:t>of</w:t>
      </w:r>
      <w:r w:rsidR="00541D05">
        <w:t xml:space="preserve"> </w:t>
      </w:r>
      <w:r w:rsidRPr="00FD6A6A">
        <w:t>Racial</w:t>
      </w:r>
      <w:r w:rsidR="00541D05">
        <w:t xml:space="preserve"> </w:t>
      </w:r>
      <w:r w:rsidRPr="00FD6A6A">
        <w:t>Equality</w:t>
      </w:r>
    </w:p>
    <w:p w14:paraId="205668A1" w14:textId="1FF48257" w:rsidR="00D9258C" w:rsidRPr="00FD6A6A" w:rsidRDefault="00D9258C" w:rsidP="005964CF">
      <w:pPr>
        <w:pStyle w:val="SingleTxtG"/>
        <w:ind w:left="2835" w:hanging="1701"/>
        <w:jc w:val="left"/>
      </w:pPr>
      <w:r w:rsidRPr="00FD6A6A">
        <w:t>SINAPIR</w:t>
      </w:r>
      <w:r w:rsidRPr="00FD6A6A">
        <w:tab/>
      </w:r>
      <w:r w:rsidRPr="00FD6A6A">
        <w:tab/>
        <w:t>National</w:t>
      </w:r>
      <w:r w:rsidR="00541D05">
        <w:t xml:space="preserve"> </w:t>
      </w:r>
      <w:r w:rsidRPr="00FD6A6A">
        <w:t>System</w:t>
      </w:r>
      <w:r w:rsidR="00541D05">
        <w:t xml:space="preserve"> </w:t>
      </w:r>
      <w:r w:rsidRPr="00FD6A6A">
        <w:t>for</w:t>
      </w:r>
      <w:r w:rsidR="00541D05">
        <w:t xml:space="preserve"> </w:t>
      </w:r>
      <w:r w:rsidRPr="00FD6A6A">
        <w:t>Promotion</w:t>
      </w:r>
      <w:r w:rsidR="00541D05">
        <w:t xml:space="preserve"> </w:t>
      </w:r>
      <w:r w:rsidRPr="00FD6A6A">
        <w:t>of</w:t>
      </w:r>
      <w:r w:rsidR="00541D05">
        <w:t xml:space="preserve"> </w:t>
      </w:r>
      <w:r w:rsidRPr="00FD6A6A">
        <w:t>Racial</w:t>
      </w:r>
      <w:r w:rsidR="00541D05">
        <w:t xml:space="preserve"> </w:t>
      </w:r>
      <w:r w:rsidRPr="00FD6A6A">
        <w:t>Equality</w:t>
      </w:r>
    </w:p>
    <w:p w14:paraId="2DF8B152" w14:textId="6150975B" w:rsidR="00D9258C" w:rsidRPr="00FD6A6A" w:rsidRDefault="00D9258C" w:rsidP="005964CF">
      <w:pPr>
        <w:pStyle w:val="SingleTxtG"/>
        <w:ind w:left="2835" w:hanging="1701"/>
        <w:jc w:val="left"/>
      </w:pPr>
      <w:r w:rsidRPr="00FD6A6A">
        <w:t>SNPPIR</w:t>
      </w:r>
      <w:r w:rsidRPr="00FD6A6A">
        <w:tab/>
      </w:r>
      <w:r w:rsidRPr="00FD6A6A">
        <w:tab/>
        <w:t>National</w:t>
      </w:r>
      <w:r w:rsidR="00541D05">
        <w:t xml:space="preserve"> </w:t>
      </w:r>
      <w:r w:rsidRPr="00FD6A6A">
        <w:t>Office</w:t>
      </w:r>
      <w:r w:rsidR="00541D05">
        <w:t xml:space="preserve"> </w:t>
      </w:r>
      <w:r w:rsidRPr="00FD6A6A">
        <w:t>for</w:t>
      </w:r>
      <w:r w:rsidR="00541D05">
        <w:t xml:space="preserve"> </w:t>
      </w:r>
      <w:r w:rsidRPr="00FD6A6A">
        <w:t>Racial</w:t>
      </w:r>
      <w:r w:rsidR="00541D05">
        <w:t xml:space="preserve"> </w:t>
      </w:r>
      <w:r w:rsidRPr="00FD6A6A">
        <w:t>Equality</w:t>
      </w:r>
      <w:r w:rsidR="00541D05">
        <w:t xml:space="preserve"> </w:t>
      </w:r>
      <w:r w:rsidRPr="00FD6A6A">
        <w:t>Promotion</w:t>
      </w:r>
      <w:r w:rsidR="00541D05">
        <w:t xml:space="preserve"> </w:t>
      </w:r>
      <w:r w:rsidRPr="00FD6A6A">
        <w:t>Policies</w:t>
      </w:r>
    </w:p>
    <w:p w14:paraId="38B75F8C" w14:textId="2066B2F3" w:rsidR="00D9258C" w:rsidRPr="00FD6A6A" w:rsidRDefault="00D9258C" w:rsidP="005964CF">
      <w:pPr>
        <w:pStyle w:val="SingleTxtG"/>
        <w:ind w:left="2835" w:hanging="1701"/>
        <w:jc w:val="left"/>
      </w:pPr>
      <w:r w:rsidRPr="00FD6A6A">
        <w:t>STF</w:t>
      </w:r>
      <w:r w:rsidRPr="00FD6A6A">
        <w:tab/>
      </w:r>
      <w:r w:rsidRPr="00FD6A6A">
        <w:tab/>
        <w:t>Brazilian</w:t>
      </w:r>
      <w:r w:rsidR="00541D05">
        <w:t xml:space="preserve"> </w:t>
      </w:r>
      <w:r w:rsidRPr="00FD6A6A">
        <w:t>Supreme</w:t>
      </w:r>
      <w:r w:rsidR="00541D05">
        <w:t xml:space="preserve"> </w:t>
      </w:r>
      <w:r w:rsidRPr="00FD6A6A">
        <w:t>Court</w:t>
      </w:r>
    </w:p>
    <w:p w14:paraId="6DD93FA5" w14:textId="45A24CD5" w:rsidR="00D9258C" w:rsidRPr="00FD6A6A" w:rsidRDefault="00D9258C" w:rsidP="005964CF">
      <w:pPr>
        <w:pStyle w:val="SingleTxtG"/>
        <w:ind w:left="2835" w:hanging="1701"/>
        <w:jc w:val="left"/>
      </w:pPr>
      <w:r w:rsidRPr="00FD6A6A">
        <w:t>STJ</w:t>
      </w:r>
      <w:r w:rsidRPr="00FD6A6A">
        <w:tab/>
      </w:r>
      <w:r w:rsidRPr="00FD6A6A">
        <w:tab/>
        <w:t>Superior</w:t>
      </w:r>
      <w:r w:rsidR="00541D05">
        <w:t xml:space="preserve"> </w:t>
      </w:r>
      <w:r w:rsidRPr="00FD6A6A">
        <w:t>Court</w:t>
      </w:r>
      <w:r w:rsidR="00541D05">
        <w:t xml:space="preserve"> </w:t>
      </w:r>
      <w:r w:rsidRPr="00FD6A6A">
        <w:t>of</w:t>
      </w:r>
      <w:r w:rsidR="00541D05">
        <w:t xml:space="preserve"> </w:t>
      </w:r>
      <w:r w:rsidRPr="00FD6A6A">
        <w:t>Justice</w:t>
      </w:r>
    </w:p>
    <w:p w14:paraId="426B8937" w14:textId="1E6A8895" w:rsidR="00D9258C" w:rsidRPr="00FD6A6A" w:rsidRDefault="00D9258C" w:rsidP="005964CF">
      <w:pPr>
        <w:pStyle w:val="SingleTxtG"/>
        <w:ind w:left="2835" w:hanging="1701"/>
        <w:jc w:val="left"/>
      </w:pPr>
      <w:r w:rsidRPr="00FD6A6A">
        <w:t>SUS</w:t>
      </w:r>
      <w:r w:rsidRPr="00FD6A6A">
        <w:tab/>
      </w:r>
      <w:r w:rsidRPr="00FD6A6A">
        <w:tab/>
        <w:t>Unified</w:t>
      </w:r>
      <w:r w:rsidR="00541D05">
        <w:t xml:space="preserve"> </w:t>
      </w:r>
      <w:r w:rsidRPr="00FD6A6A">
        <w:t>Health</w:t>
      </w:r>
      <w:r w:rsidR="00541D05">
        <w:t xml:space="preserve"> </w:t>
      </w:r>
      <w:r w:rsidRPr="00FD6A6A">
        <w:t>System</w:t>
      </w:r>
    </w:p>
    <w:p w14:paraId="327BC897" w14:textId="1C733F5B" w:rsidR="00D9258C" w:rsidRPr="00FD6A6A" w:rsidRDefault="00D9258C" w:rsidP="005964CF">
      <w:pPr>
        <w:pStyle w:val="SingleTxtG"/>
        <w:ind w:left="2835" w:hanging="1701"/>
        <w:jc w:val="left"/>
      </w:pPr>
      <w:r w:rsidRPr="00FD6A6A">
        <w:t>UERJ</w:t>
      </w:r>
      <w:r w:rsidRPr="00FD6A6A">
        <w:tab/>
      </w:r>
      <w:r w:rsidRPr="00FD6A6A">
        <w:tab/>
        <w:t>University</w:t>
      </w:r>
      <w:r w:rsidR="00541D05">
        <w:t xml:space="preserve"> </w:t>
      </w:r>
      <w:r w:rsidRPr="00FD6A6A">
        <w:t>of</w:t>
      </w:r>
      <w:r w:rsidR="00541D05">
        <w:t xml:space="preserve"> </w:t>
      </w:r>
      <w:r w:rsidRPr="00FD6A6A">
        <w:t>the</w:t>
      </w:r>
      <w:r w:rsidR="00541D05">
        <w:t xml:space="preserve"> </w:t>
      </w:r>
      <w:r w:rsidRPr="00FD6A6A">
        <w:t>State</w:t>
      </w:r>
      <w:r w:rsidR="00541D05">
        <w:t xml:space="preserve"> </w:t>
      </w:r>
      <w:r w:rsidRPr="00FD6A6A">
        <w:t>of</w:t>
      </w:r>
      <w:r w:rsidR="00541D05">
        <w:t xml:space="preserve"> </w:t>
      </w:r>
      <w:r w:rsidRPr="00FD6A6A">
        <w:t>Rio</w:t>
      </w:r>
      <w:r w:rsidR="00541D05">
        <w:t xml:space="preserve"> </w:t>
      </w:r>
      <w:r w:rsidRPr="00FD6A6A">
        <w:t>de</w:t>
      </w:r>
      <w:r w:rsidR="00541D05">
        <w:t xml:space="preserve"> </w:t>
      </w:r>
      <w:r w:rsidRPr="00FD6A6A">
        <w:t>Janeiro</w:t>
      </w:r>
    </w:p>
    <w:p w14:paraId="51CB18E1" w14:textId="6EC70EF9" w:rsidR="00D9258C" w:rsidRPr="00FD6A6A" w:rsidRDefault="00D9258C" w:rsidP="005964CF">
      <w:pPr>
        <w:pStyle w:val="SingleTxtG"/>
        <w:ind w:left="2835" w:hanging="1701"/>
        <w:jc w:val="left"/>
      </w:pPr>
      <w:r w:rsidRPr="00FD6A6A">
        <w:t>UENF</w:t>
      </w:r>
      <w:r w:rsidRPr="00FD6A6A">
        <w:tab/>
      </w:r>
      <w:r w:rsidRPr="00FD6A6A">
        <w:tab/>
        <w:t>State</w:t>
      </w:r>
      <w:r w:rsidR="00541D05">
        <w:t xml:space="preserve"> </w:t>
      </w:r>
      <w:r w:rsidRPr="00FD6A6A">
        <w:t>University</w:t>
      </w:r>
      <w:r w:rsidR="00541D05">
        <w:t xml:space="preserve"> </w:t>
      </w:r>
      <w:r w:rsidRPr="00FD6A6A">
        <w:t>of</w:t>
      </w:r>
      <w:r w:rsidR="00541D05">
        <w:t xml:space="preserve"> </w:t>
      </w:r>
      <w:r w:rsidRPr="00FD6A6A">
        <w:t>the</w:t>
      </w:r>
      <w:r w:rsidR="00541D05">
        <w:t xml:space="preserve"> </w:t>
      </w:r>
      <w:r w:rsidRPr="00FD6A6A">
        <w:t>North</w:t>
      </w:r>
      <w:r w:rsidR="00541D05">
        <w:t xml:space="preserve"> </w:t>
      </w:r>
      <w:r w:rsidRPr="00FD6A6A">
        <w:t>of</w:t>
      </w:r>
      <w:r w:rsidR="00541D05">
        <w:t xml:space="preserve"> </w:t>
      </w:r>
      <w:r w:rsidRPr="00FD6A6A">
        <w:t>the</w:t>
      </w:r>
      <w:r w:rsidR="00541D05">
        <w:t xml:space="preserve"> </w:t>
      </w:r>
      <w:r w:rsidRPr="00FD6A6A">
        <w:t>State</w:t>
      </w:r>
      <w:r w:rsidR="00541D05">
        <w:t xml:space="preserve"> </w:t>
      </w:r>
      <w:r w:rsidRPr="00FD6A6A">
        <w:t>of</w:t>
      </w:r>
      <w:r w:rsidR="00541D05">
        <w:t xml:space="preserve"> </w:t>
      </w:r>
      <w:r w:rsidRPr="00FD6A6A">
        <w:t>Rio</w:t>
      </w:r>
      <w:r w:rsidR="00541D05">
        <w:t xml:space="preserve"> </w:t>
      </w:r>
      <w:r w:rsidRPr="00FD6A6A">
        <w:t>de</w:t>
      </w:r>
      <w:r w:rsidR="00541D05">
        <w:t xml:space="preserve"> </w:t>
      </w:r>
      <w:r w:rsidRPr="00FD6A6A">
        <w:t>Janeiro</w:t>
      </w:r>
    </w:p>
    <w:p w14:paraId="77864946" w14:textId="77777777" w:rsidR="00D9258C" w:rsidRPr="00FD6A6A" w:rsidRDefault="00D9258C" w:rsidP="005964CF">
      <w:pPr>
        <w:pStyle w:val="HChG"/>
      </w:pPr>
      <w:r w:rsidRPr="00FD6A6A">
        <w:lastRenderedPageBreak/>
        <w:tab/>
        <w:t>I.</w:t>
      </w:r>
      <w:r w:rsidRPr="00FD6A6A">
        <w:tab/>
        <w:t>Introduction</w:t>
      </w:r>
    </w:p>
    <w:p w14:paraId="75B604F4" w14:textId="548DDF13" w:rsidR="00D9258C" w:rsidRPr="00FD6A6A" w:rsidRDefault="00166390" w:rsidP="00166390">
      <w:pPr>
        <w:pStyle w:val="ParaNoG"/>
        <w:numPr>
          <w:ilvl w:val="0"/>
          <w:numId w:val="0"/>
        </w:numPr>
        <w:tabs>
          <w:tab w:val="left" w:pos="0"/>
        </w:tabs>
        <w:ind w:left="1134"/>
      </w:pPr>
      <w:r w:rsidRPr="00FD6A6A">
        <w:t>1.</w:t>
      </w:r>
      <w:r w:rsidRPr="00FD6A6A">
        <w:tab/>
      </w:r>
      <w:r w:rsidR="00D9258C" w:rsidRPr="00FD6A6A">
        <w:t>The</w:t>
      </w:r>
      <w:r w:rsidR="00541D05">
        <w:t xml:space="preserve"> </w:t>
      </w:r>
      <w:r w:rsidR="00D9258C" w:rsidRPr="00FD6A6A">
        <w:t>Government</w:t>
      </w:r>
      <w:r w:rsidR="00541D05">
        <w:t xml:space="preserve"> </w:t>
      </w:r>
      <w:r w:rsidR="00D9258C" w:rsidRPr="00FD6A6A">
        <w:t>of</w:t>
      </w:r>
      <w:r w:rsidR="00541D05">
        <w:t xml:space="preserve"> </w:t>
      </w:r>
      <w:r w:rsidR="00D9258C" w:rsidRPr="00FD6A6A">
        <w:t>the</w:t>
      </w:r>
      <w:r w:rsidR="00541D05">
        <w:t xml:space="preserve"> </w:t>
      </w:r>
      <w:r w:rsidR="00D9258C" w:rsidRPr="00FD6A6A">
        <w:t>Federative</w:t>
      </w:r>
      <w:r w:rsidR="00541D05">
        <w:t xml:space="preserve"> </w:t>
      </w:r>
      <w:r w:rsidR="00D9258C" w:rsidRPr="00FD6A6A">
        <w:t>Republic</w:t>
      </w:r>
      <w:r w:rsidR="00541D05">
        <w:t xml:space="preserve"> </w:t>
      </w:r>
      <w:r w:rsidR="00D9258C" w:rsidRPr="00FD6A6A">
        <w:t>of</w:t>
      </w:r>
      <w:r w:rsidR="00541D05">
        <w:t xml:space="preserve"> </w:t>
      </w:r>
      <w:r w:rsidR="00D9258C" w:rsidRPr="00FD6A6A">
        <w:t>Brazil</w:t>
      </w:r>
      <w:r w:rsidR="00541D05">
        <w:t xml:space="preserve"> </w:t>
      </w:r>
      <w:r w:rsidR="00D9258C" w:rsidRPr="00FD6A6A">
        <w:t>presents</w:t>
      </w:r>
      <w:r w:rsidR="00541D05">
        <w:t xml:space="preserve"> </w:t>
      </w:r>
      <w:r w:rsidR="00D9258C" w:rsidRPr="00FD6A6A">
        <w:t>herewith</w:t>
      </w:r>
      <w:r w:rsidR="00541D05">
        <w:t xml:space="preserve"> </w:t>
      </w:r>
      <w:r w:rsidR="00D9258C" w:rsidRPr="00FD6A6A">
        <w:t>its</w:t>
      </w:r>
      <w:r w:rsidR="00541D05">
        <w:t xml:space="preserve"> </w:t>
      </w:r>
      <w:r w:rsidR="00D9258C" w:rsidRPr="00FD6A6A">
        <w:t>18th</w:t>
      </w:r>
      <w:r w:rsidR="00541D05">
        <w:t xml:space="preserve"> </w:t>
      </w:r>
      <w:r w:rsidR="00D9258C" w:rsidRPr="00FD6A6A">
        <w:t>to</w:t>
      </w:r>
      <w:r w:rsidR="00541D05">
        <w:t xml:space="preserve"> </w:t>
      </w:r>
      <w:r w:rsidR="00D9258C" w:rsidRPr="00FD6A6A">
        <w:t>20th</w:t>
      </w:r>
      <w:r w:rsidR="00541D05">
        <w:t xml:space="preserve"> </w:t>
      </w:r>
      <w:r w:rsidR="00D9258C" w:rsidRPr="00FD6A6A">
        <w:t>reports</w:t>
      </w:r>
      <w:r w:rsidR="00541D05">
        <w:t xml:space="preserve"> </w:t>
      </w:r>
      <w:r w:rsidR="00D9258C" w:rsidRPr="00FD6A6A">
        <w:t>on</w:t>
      </w:r>
      <w:r w:rsidR="00541D05">
        <w:t xml:space="preserve"> </w:t>
      </w:r>
      <w:r w:rsidR="00D9258C" w:rsidRPr="00FD6A6A">
        <w:t>the</w:t>
      </w:r>
      <w:r w:rsidR="00541D05">
        <w:t xml:space="preserve"> </w:t>
      </w:r>
      <w:r w:rsidR="00D9258C" w:rsidRPr="00FD6A6A">
        <w:t>International</w:t>
      </w:r>
      <w:r w:rsidR="00541D05">
        <w:t xml:space="preserve"> </w:t>
      </w:r>
      <w:r w:rsidR="00D9258C" w:rsidRPr="00FD6A6A">
        <w:t>Convention</w:t>
      </w:r>
      <w:r w:rsidR="00541D05">
        <w:t xml:space="preserve"> </w:t>
      </w:r>
      <w:r w:rsidR="00D9258C" w:rsidRPr="00FD6A6A">
        <w:t>on</w:t>
      </w:r>
      <w:r w:rsidR="00541D05">
        <w:t xml:space="preserve"> </w:t>
      </w:r>
      <w:r w:rsidR="00D9258C" w:rsidRPr="00FD6A6A">
        <w:t>the</w:t>
      </w:r>
      <w:r w:rsidR="00541D05">
        <w:t xml:space="preserve"> </w:t>
      </w:r>
      <w:r w:rsidR="00D9258C" w:rsidRPr="00FD6A6A">
        <w:t>Elimination</w:t>
      </w:r>
      <w:r w:rsidR="00541D05">
        <w:t xml:space="preserve"> </w:t>
      </w:r>
      <w:r w:rsidR="00D9258C" w:rsidRPr="00FD6A6A">
        <w:t>of</w:t>
      </w:r>
      <w:r w:rsidR="00541D05">
        <w:t xml:space="preserve"> </w:t>
      </w:r>
      <w:r w:rsidR="00D9258C" w:rsidRPr="00FD6A6A">
        <w:t>All</w:t>
      </w:r>
      <w:r w:rsidR="00541D05">
        <w:t xml:space="preserve"> </w:t>
      </w:r>
      <w:r w:rsidR="00D9258C" w:rsidRPr="00FD6A6A">
        <w:t>Forms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(hereinafter</w:t>
      </w:r>
      <w:r w:rsidR="00541D05">
        <w:t xml:space="preserve"> </w:t>
      </w:r>
      <w:r w:rsidR="00D9258C" w:rsidRPr="00FD6A6A">
        <w:t>the</w:t>
      </w:r>
      <w:r w:rsidR="00541D05">
        <w:t xml:space="preserve"> </w:t>
      </w:r>
      <w:r w:rsidR="00EA62F1">
        <w:t>“</w:t>
      </w:r>
      <w:r w:rsidR="00D9258C" w:rsidRPr="00FD6A6A">
        <w:t>Convention</w:t>
      </w:r>
      <w:r w:rsidR="00EA62F1">
        <w:t>”</w:t>
      </w:r>
      <w:r w:rsidR="00D9258C" w:rsidRPr="00FD6A6A">
        <w:t>),</w:t>
      </w:r>
      <w:r w:rsidR="00541D05">
        <w:t xml:space="preserve"> </w:t>
      </w:r>
      <w:r w:rsidR="00D9258C" w:rsidRPr="00FD6A6A">
        <w:t>pursuant</w:t>
      </w:r>
      <w:r w:rsidR="00541D05">
        <w:t xml:space="preserve"> </w:t>
      </w:r>
      <w:r w:rsidR="00D9258C" w:rsidRPr="00FD6A6A">
        <w:t>to</w:t>
      </w:r>
      <w:r w:rsidR="00541D05">
        <w:t xml:space="preserve"> </w:t>
      </w:r>
      <w:r w:rsidR="00D9258C" w:rsidRPr="00FD6A6A">
        <w:t>the</w:t>
      </w:r>
      <w:r w:rsidR="00541D05">
        <w:t xml:space="preserve"> </w:t>
      </w:r>
      <w:r w:rsidR="00D9258C" w:rsidRPr="00FD6A6A">
        <w:t>provisions</w:t>
      </w:r>
      <w:r w:rsidR="00541D05">
        <w:t xml:space="preserve"> </w:t>
      </w:r>
      <w:r w:rsidR="00D9258C" w:rsidRPr="00FD6A6A">
        <w:t>of</w:t>
      </w:r>
      <w:r w:rsidR="00541D05">
        <w:t xml:space="preserve"> </w:t>
      </w:r>
      <w:r w:rsidR="00D9258C" w:rsidRPr="00FD6A6A">
        <w:t>article</w:t>
      </w:r>
      <w:r w:rsidR="00541D05">
        <w:t xml:space="preserve"> </w:t>
      </w:r>
      <w:r w:rsidR="00D9258C" w:rsidRPr="00FD6A6A">
        <w:t>9.</w:t>
      </w:r>
    </w:p>
    <w:p w14:paraId="62E8EEAA" w14:textId="05BD91C5" w:rsidR="00D9258C" w:rsidRPr="00FD6A6A" w:rsidRDefault="00166390" w:rsidP="00166390">
      <w:pPr>
        <w:pStyle w:val="ParaNoG"/>
        <w:numPr>
          <w:ilvl w:val="0"/>
          <w:numId w:val="0"/>
        </w:numPr>
        <w:tabs>
          <w:tab w:val="left" w:pos="0"/>
        </w:tabs>
        <w:ind w:left="1134"/>
      </w:pPr>
      <w:r w:rsidRPr="00FD6A6A">
        <w:t>2.</w:t>
      </w:r>
      <w:r w:rsidRPr="00FD6A6A">
        <w:tab/>
      </w:r>
      <w:r w:rsidR="00D9258C" w:rsidRPr="00FD6A6A">
        <w:t>This</w:t>
      </w:r>
      <w:r w:rsidR="00541D05">
        <w:t xml:space="preserve"> </w:t>
      </w:r>
      <w:r w:rsidR="00D9258C" w:rsidRPr="00FD6A6A">
        <w:t>Report</w:t>
      </w:r>
      <w:r w:rsidR="00541D05">
        <w:t xml:space="preserve"> </w:t>
      </w:r>
      <w:r w:rsidR="00D9258C" w:rsidRPr="00FD6A6A">
        <w:t>presents</w:t>
      </w:r>
      <w:r w:rsidR="00541D05">
        <w:t xml:space="preserve"> </w:t>
      </w:r>
      <w:r w:rsidR="00D9258C" w:rsidRPr="00FD6A6A">
        <w:t>the</w:t>
      </w:r>
      <w:r w:rsidR="00541D05">
        <w:t xml:space="preserve"> </w:t>
      </w:r>
      <w:r w:rsidR="00D9258C" w:rsidRPr="00FD6A6A">
        <w:t>main</w:t>
      </w:r>
      <w:r w:rsidR="00541D05">
        <w:t xml:space="preserve"> </w:t>
      </w:r>
      <w:r w:rsidR="00D9258C" w:rsidRPr="00FD6A6A">
        <w:t>legislative,</w:t>
      </w:r>
      <w:r w:rsidR="00541D05">
        <w:t xml:space="preserve"> </w:t>
      </w:r>
      <w:r w:rsidR="00D9258C" w:rsidRPr="00FD6A6A">
        <w:t>judicial,</w:t>
      </w:r>
      <w:r w:rsidR="00541D05">
        <w:t xml:space="preserve"> </w:t>
      </w:r>
      <w:r w:rsidR="00D9258C" w:rsidRPr="00FD6A6A">
        <w:t>and</w:t>
      </w:r>
      <w:r w:rsidR="00541D05">
        <w:t xml:space="preserve"> </w:t>
      </w:r>
      <w:r w:rsidR="00D9258C" w:rsidRPr="00FD6A6A">
        <w:t>administrative</w:t>
      </w:r>
      <w:r w:rsidR="00541D05">
        <w:t xml:space="preserve"> </w:t>
      </w:r>
      <w:r w:rsidR="00D9258C" w:rsidRPr="00FD6A6A">
        <w:t>measures</w:t>
      </w:r>
      <w:r w:rsidR="00541D05">
        <w:t xml:space="preserve"> </w:t>
      </w:r>
      <w:r w:rsidR="00D9258C" w:rsidRPr="00FD6A6A">
        <w:t>implemented</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for</w:t>
      </w:r>
      <w:r w:rsidR="00541D05">
        <w:t xml:space="preserve"> </w:t>
      </w:r>
      <w:r w:rsidR="00D9258C" w:rsidRPr="00FD6A6A">
        <w:t>the</w:t>
      </w:r>
      <w:r w:rsidR="00541D05">
        <w:t xml:space="preserve"> </w:t>
      </w:r>
      <w:r w:rsidR="00D9258C" w:rsidRPr="00FD6A6A">
        <w:t>elimination</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The</w:t>
      </w:r>
      <w:r w:rsidR="00541D05">
        <w:t xml:space="preserve"> </w:t>
      </w:r>
      <w:r w:rsidR="00D9258C" w:rsidRPr="00FD6A6A">
        <w:t>Report</w:t>
      </w:r>
      <w:r w:rsidR="00541D05">
        <w:t xml:space="preserve"> </w:t>
      </w:r>
      <w:r w:rsidR="00D9258C" w:rsidRPr="00FD6A6A">
        <w:t>covers</w:t>
      </w:r>
      <w:r w:rsidR="00541D05">
        <w:t xml:space="preserve"> </w:t>
      </w:r>
      <w:r w:rsidR="00D9258C" w:rsidRPr="00FD6A6A">
        <w:t>the</w:t>
      </w:r>
      <w:r w:rsidR="00541D05">
        <w:t xml:space="preserve"> </w:t>
      </w:r>
      <w:r w:rsidR="00D9258C" w:rsidRPr="00FD6A6A">
        <w:t>period</w:t>
      </w:r>
      <w:r w:rsidR="00541D05">
        <w:t xml:space="preserve"> </w:t>
      </w:r>
      <w:r w:rsidR="00D9258C" w:rsidRPr="00FD6A6A">
        <w:t>of</w:t>
      </w:r>
      <w:r w:rsidR="00541D05">
        <w:t xml:space="preserve"> </w:t>
      </w:r>
      <w:r w:rsidR="00D9258C" w:rsidRPr="00FD6A6A">
        <w:t>2004</w:t>
      </w:r>
      <w:r w:rsidR="00541D05">
        <w:t xml:space="preserve"> </w:t>
      </w:r>
      <w:r w:rsidR="00D9258C" w:rsidRPr="00FD6A6A">
        <w:t>to</w:t>
      </w:r>
      <w:r w:rsidR="00541D05">
        <w:t xml:space="preserve"> </w:t>
      </w:r>
      <w:r w:rsidR="00D9258C" w:rsidRPr="00FD6A6A">
        <w:t>2017,</w:t>
      </w:r>
      <w:r w:rsidR="00541D05">
        <w:t xml:space="preserve"> </w:t>
      </w:r>
      <w:r w:rsidR="00D9258C" w:rsidRPr="00FD6A6A">
        <w:t>but</w:t>
      </w:r>
      <w:r w:rsidR="00541D05">
        <w:t xml:space="preserve"> </w:t>
      </w:r>
      <w:r w:rsidR="00D9258C" w:rsidRPr="00FD6A6A">
        <w:t>includes</w:t>
      </w:r>
      <w:r w:rsidR="00541D05">
        <w:t xml:space="preserve"> </w:t>
      </w:r>
      <w:r w:rsidR="00D9258C" w:rsidRPr="00FD6A6A">
        <w:t>references</w:t>
      </w:r>
      <w:r w:rsidR="00541D05">
        <w:t xml:space="preserve"> </w:t>
      </w:r>
      <w:r w:rsidR="00D9258C" w:rsidRPr="00FD6A6A">
        <w:t>to</w:t>
      </w:r>
      <w:r w:rsidR="00541D05">
        <w:t xml:space="preserve"> </w:t>
      </w:r>
      <w:r w:rsidR="00D9258C" w:rsidRPr="00FD6A6A">
        <w:t>key</w:t>
      </w:r>
      <w:r w:rsidR="00541D05">
        <w:t xml:space="preserve"> </w:t>
      </w:r>
      <w:r w:rsidR="00D9258C" w:rsidRPr="00FD6A6A">
        <w:t>measures</w:t>
      </w:r>
      <w:r w:rsidR="00541D05">
        <w:t xml:space="preserve"> </w:t>
      </w:r>
      <w:r w:rsidR="00D9258C" w:rsidRPr="00FD6A6A">
        <w:t>prior</w:t>
      </w:r>
      <w:r w:rsidR="00541D05">
        <w:t xml:space="preserve"> </w:t>
      </w:r>
      <w:r w:rsidR="00D9258C" w:rsidRPr="00FD6A6A">
        <w:t>to</w:t>
      </w:r>
      <w:r w:rsidR="00541D05">
        <w:t xml:space="preserve"> </w:t>
      </w:r>
      <w:r w:rsidR="00D9258C" w:rsidRPr="00FD6A6A">
        <w:t>this</w:t>
      </w:r>
      <w:r w:rsidR="00541D05">
        <w:t xml:space="preserve"> </w:t>
      </w:r>
      <w:r w:rsidR="00D9258C" w:rsidRPr="00FD6A6A">
        <w:t>period,</w:t>
      </w:r>
      <w:r w:rsidR="00541D05">
        <w:t xml:space="preserve"> </w:t>
      </w:r>
      <w:r w:rsidR="00D9258C" w:rsidRPr="00FD6A6A">
        <w:t>aiming</w:t>
      </w:r>
      <w:r w:rsidR="00541D05">
        <w:t xml:space="preserve"> </w:t>
      </w:r>
      <w:r w:rsidR="00D9258C" w:rsidRPr="00FD6A6A">
        <w:t>at</w:t>
      </w:r>
      <w:r w:rsidR="00541D05">
        <w:t xml:space="preserve"> </w:t>
      </w:r>
      <w:r w:rsidR="00D9258C" w:rsidRPr="00FD6A6A">
        <w:t>contextualizing</w:t>
      </w:r>
      <w:r w:rsidR="00541D05">
        <w:t xml:space="preserve"> </w:t>
      </w:r>
      <w:r w:rsidR="00D9258C" w:rsidRPr="00FD6A6A">
        <w:t>or</w:t>
      </w:r>
      <w:r w:rsidR="00541D05">
        <w:t xml:space="preserve"> </w:t>
      </w:r>
      <w:r w:rsidR="00D9258C" w:rsidRPr="00FD6A6A">
        <w:t>responding</w:t>
      </w:r>
      <w:r w:rsidR="00541D05">
        <w:t xml:space="preserve"> </w:t>
      </w:r>
      <w:r w:rsidR="00D9258C" w:rsidRPr="00FD6A6A">
        <w:t>to</w:t>
      </w:r>
      <w:r w:rsidR="00541D05">
        <w:t xml:space="preserve"> </w:t>
      </w:r>
      <w:r w:rsidR="00D9258C" w:rsidRPr="00FD6A6A">
        <w:t>specific</w:t>
      </w:r>
      <w:r w:rsidR="00541D05">
        <w:t xml:space="preserve"> </w:t>
      </w:r>
      <w:r w:rsidR="00D9258C" w:rsidRPr="00FD6A6A">
        <w:t>questions</w:t>
      </w:r>
      <w:r w:rsidR="00541D05">
        <w:t xml:space="preserve"> </w:t>
      </w:r>
      <w:r w:rsidR="00D9258C" w:rsidRPr="00FD6A6A">
        <w:t>submitted</w:t>
      </w:r>
      <w:r w:rsidR="00541D05">
        <w:t xml:space="preserve"> </w:t>
      </w:r>
      <w:r w:rsidR="00D9258C" w:rsidRPr="00FD6A6A">
        <w:t>by</w:t>
      </w:r>
      <w:r w:rsidR="00541D05">
        <w:t xml:space="preserve"> </w:t>
      </w:r>
      <w:r w:rsidR="00D9258C" w:rsidRPr="00FD6A6A">
        <w:t>the</w:t>
      </w:r>
      <w:r w:rsidR="00541D05">
        <w:t xml:space="preserve"> </w:t>
      </w:r>
      <w:r w:rsidR="00D9258C" w:rsidRPr="00FD6A6A">
        <w:t>Committee.</w:t>
      </w:r>
    </w:p>
    <w:p w14:paraId="1D18CA80" w14:textId="5AD3ADC0" w:rsidR="00D9258C" w:rsidRPr="00FD6A6A" w:rsidRDefault="00166390" w:rsidP="00166390">
      <w:pPr>
        <w:pStyle w:val="ParaNoG"/>
        <w:numPr>
          <w:ilvl w:val="0"/>
          <w:numId w:val="0"/>
        </w:numPr>
        <w:tabs>
          <w:tab w:val="left" w:pos="0"/>
        </w:tabs>
        <w:ind w:left="1134"/>
      </w:pPr>
      <w:r w:rsidRPr="00FD6A6A">
        <w:t>3.</w:t>
      </w:r>
      <w:r w:rsidRPr="00FD6A6A">
        <w:tab/>
      </w:r>
      <w:r w:rsidR="00D9258C" w:rsidRPr="00FD6A6A">
        <w:t>The</w:t>
      </w:r>
      <w:r w:rsidR="00541D05">
        <w:t xml:space="preserve"> </w:t>
      </w:r>
      <w:r w:rsidR="00D9258C" w:rsidRPr="00FD6A6A">
        <w:t>document</w:t>
      </w:r>
      <w:r w:rsidR="00541D05">
        <w:t xml:space="preserve"> </w:t>
      </w:r>
      <w:r w:rsidR="00D9258C" w:rsidRPr="00FD6A6A">
        <w:t>was</w:t>
      </w:r>
      <w:r w:rsidR="00541D05">
        <w:t xml:space="preserve"> </w:t>
      </w:r>
      <w:r w:rsidR="00D9258C" w:rsidRPr="00FD6A6A">
        <w:t>prepared</w:t>
      </w:r>
      <w:r w:rsidR="00541D05">
        <w:t xml:space="preserve"> </w:t>
      </w:r>
      <w:r w:rsidR="00D9258C" w:rsidRPr="00FD6A6A">
        <w:t>based</w:t>
      </w:r>
      <w:r w:rsidR="00541D05">
        <w:t xml:space="preserve"> </w:t>
      </w:r>
      <w:r w:rsidR="00D9258C" w:rsidRPr="00FD6A6A">
        <w:t>on</w:t>
      </w:r>
      <w:r w:rsidR="00541D05">
        <w:t xml:space="preserve"> </w:t>
      </w:r>
      <w:r w:rsidR="00D9258C" w:rsidRPr="00FD6A6A">
        <w:t>the</w:t>
      </w:r>
      <w:r w:rsidR="00541D05">
        <w:t xml:space="preserve"> </w:t>
      </w:r>
      <w:r w:rsidR="00D9258C" w:rsidRPr="00FD6A6A">
        <w:t>harmonized</w:t>
      </w:r>
      <w:r w:rsidR="00541D05">
        <w:t xml:space="preserve"> </w:t>
      </w:r>
      <w:r w:rsidR="00D9258C" w:rsidRPr="00FD6A6A">
        <w:t>guidelines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submission</w:t>
      </w:r>
      <w:r w:rsidR="00541D05">
        <w:t xml:space="preserve"> </w:t>
      </w:r>
      <w:r w:rsidR="00D9258C" w:rsidRPr="00FD6A6A">
        <w:t>of</w:t>
      </w:r>
      <w:r w:rsidR="00541D05">
        <w:t xml:space="preserve"> </w:t>
      </w:r>
      <w:r w:rsidR="00D9258C" w:rsidRPr="00FD6A6A">
        <w:t>national</w:t>
      </w:r>
      <w:r w:rsidR="00541D05">
        <w:t xml:space="preserve"> </w:t>
      </w:r>
      <w:r w:rsidR="00D9258C" w:rsidRPr="00FD6A6A">
        <w:t>periodic</w:t>
      </w:r>
      <w:r w:rsidR="00541D05">
        <w:t xml:space="preserve"> </w:t>
      </w:r>
      <w:r w:rsidR="00D9258C" w:rsidRPr="00FD6A6A">
        <w:t>reports</w:t>
      </w:r>
      <w:r w:rsidR="00541D05">
        <w:t xml:space="preserve"> </w:t>
      </w:r>
      <w:r w:rsidR="00D9258C" w:rsidRPr="00FD6A6A">
        <w:t>on</w:t>
      </w:r>
      <w:r w:rsidR="00541D05">
        <w:t xml:space="preserve"> </w:t>
      </w:r>
      <w:r w:rsidR="00D9258C" w:rsidRPr="00FD6A6A">
        <w:t>human</w:t>
      </w:r>
      <w:r w:rsidR="00541D05">
        <w:t xml:space="preserve"> </w:t>
      </w:r>
      <w:r w:rsidR="00D9258C" w:rsidRPr="00FD6A6A">
        <w:t>rights,</w:t>
      </w:r>
      <w:r w:rsidR="00541D05">
        <w:t xml:space="preserve"> </w:t>
      </w:r>
      <w:r w:rsidR="00D9258C" w:rsidRPr="00FD6A6A">
        <w:t>on</w:t>
      </w:r>
      <w:r w:rsidR="00541D05">
        <w:t xml:space="preserve"> </w:t>
      </w:r>
      <w:r w:rsidR="00D9258C" w:rsidRPr="00FD6A6A">
        <w:t>the</w:t>
      </w:r>
      <w:r w:rsidR="00541D05">
        <w:t xml:space="preserve"> </w:t>
      </w:r>
      <w:r w:rsidR="00D9258C" w:rsidRPr="00FD6A6A">
        <w:t>guidelines</w:t>
      </w:r>
      <w:r w:rsidR="00541D05">
        <w:t xml:space="preserve"> </w:t>
      </w:r>
      <w:r w:rsidR="00D9258C" w:rsidRPr="00FD6A6A">
        <w:t>aiming</w:t>
      </w:r>
      <w:r w:rsidR="00541D05">
        <w:t xml:space="preserve"> </w:t>
      </w:r>
      <w:r w:rsidR="00D9258C" w:rsidRPr="00FD6A6A">
        <w:t>at</w:t>
      </w:r>
      <w:r w:rsidR="00541D05">
        <w:t xml:space="preserve"> </w:t>
      </w:r>
      <w:r w:rsidR="00D9258C" w:rsidRPr="00FD6A6A">
        <w:t>reinforcing</w:t>
      </w:r>
      <w:r w:rsidR="00541D05">
        <w:t xml:space="preserve"> </w:t>
      </w:r>
      <w:r w:rsidR="00D9258C" w:rsidRPr="00FD6A6A">
        <w:t>and</w:t>
      </w:r>
      <w:r w:rsidR="00541D05">
        <w:t xml:space="preserve"> </w:t>
      </w:r>
      <w:r w:rsidR="00D9258C" w:rsidRPr="00FD6A6A">
        <w:t>improving</w:t>
      </w:r>
      <w:r w:rsidR="00541D05">
        <w:t xml:space="preserve"> </w:t>
      </w:r>
      <w:r w:rsidR="00D9258C" w:rsidRPr="00FD6A6A">
        <w:t>the</w:t>
      </w:r>
      <w:r w:rsidR="00541D05">
        <w:t xml:space="preserve"> </w:t>
      </w:r>
      <w:r w:rsidR="00D9258C" w:rsidRPr="00FD6A6A">
        <w:t>effective</w:t>
      </w:r>
      <w:r w:rsidR="00541D05">
        <w:t xml:space="preserve"> </w:t>
      </w:r>
      <w:r w:rsidR="00D9258C" w:rsidRPr="00FD6A6A">
        <w:t>operation</w:t>
      </w:r>
      <w:r w:rsidR="00541D05">
        <w:t xml:space="preserve"> </w:t>
      </w:r>
      <w:r w:rsidR="00D9258C" w:rsidRPr="00FD6A6A">
        <w:t>of</w:t>
      </w:r>
      <w:r w:rsidR="00541D05">
        <w:t xml:space="preserve"> </w:t>
      </w:r>
      <w:r w:rsidR="00D9258C" w:rsidRPr="00FD6A6A">
        <w:t>the</w:t>
      </w:r>
      <w:r w:rsidR="00541D05">
        <w:t xml:space="preserve"> </w:t>
      </w:r>
      <w:r w:rsidR="00D9258C" w:rsidRPr="00FD6A6A">
        <w:t>human</w:t>
      </w:r>
      <w:r w:rsidR="00541D05">
        <w:t xml:space="preserve"> </w:t>
      </w:r>
      <w:r w:rsidR="00D9258C" w:rsidRPr="00FD6A6A">
        <w:t>rights</w:t>
      </w:r>
      <w:r w:rsidR="00541D05">
        <w:t xml:space="preserve"> </w:t>
      </w:r>
      <w:r w:rsidR="00D9258C" w:rsidRPr="00FD6A6A">
        <w:t>body</w:t>
      </w:r>
      <w:r w:rsidR="00541D05">
        <w:t xml:space="preserve"> </w:t>
      </w:r>
      <w:r w:rsidR="00D9258C" w:rsidRPr="00FD6A6A">
        <w:t>system</w:t>
      </w:r>
      <w:r w:rsidR="00541D05">
        <w:t xml:space="preserve"> </w:t>
      </w:r>
      <w:r w:rsidR="00D9258C" w:rsidRPr="00FD6A6A">
        <w:t>(HRI/GEN/2/</w:t>
      </w:r>
      <w:r w:rsidR="00541D05">
        <w:t xml:space="preserve"> </w:t>
      </w:r>
      <w:r w:rsidR="00D9258C" w:rsidRPr="00FD6A6A">
        <w:t>Rev.6</w:t>
      </w:r>
      <w:r w:rsidR="00541D05">
        <w:t xml:space="preserve"> </w:t>
      </w:r>
      <w:r w:rsidR="00D9258C" w:rsidRPr="00FD6A6A">
        <w:t>and</w:t>
      </w:r>
      <w:r w:rsidR="00541D05">
        <w:t xml:space="preserve"> </w:t>
      </w:r>
      <w:r w:rsidR="00D9258C" w:rsidRPr="00FD6A6A">
        <w:t>A/RES/68/268),</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specific</w:t>
      </w:r>
      <w:r w:rsidR="00541D05">
        <w:t xml:space="preserve"> </w:t>
      </w:r>
      <w:r w:rsidR="00D9258C" w:rsidRPr="00FD6A6A">
        <w:t>guidelines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Convention,</w:t>
      </w:r>
      <w:r w:rsidR="00541D05">
        <w:t xml:space="preserve"> </w:t>
      </w:r>
      <w:r w:rsidR="00D9258C" w:rsidRPr="00FD6A6A">
        <w:t>pursuant</w:t>
      </w:r>
      <w:r w:rsidR="00541D05">
        <w:t xml:space="preserve"> </w:t>
      </w:r>
      <w:r w:rsidR="00D9258C" w:rsidRPr="00FD6A6A">
        <w:t>to</w:t>
      </w:r>
      <w:r w:rsidR="00541D05">
        <w:t xml:space="preserve"> </w:t>
      </w:r>
      <w:r w:rsidR="00D9258C" w:rsidRPr="00FD6A6A">
        <w:t>the</w:t>
      </w:r>
      <w:r w:rsidR="00541D05">
        <w:t xml:space="preserve"> </w:t>
      </w:r>
      <w:r w:rsidR="00D9258C" w:rsidRPr="00FD6A6A">
        <w:t>instructions</w:t>
      </w:r>
      <w:r w:rsidR="00541D05">
        <w:t xml:space="preserve"> </w:t>
      </w:r>
      <w:r w:rsidR="00D9258C" w:rsidRPr="00FD6A6A">
        <w:t>in</w:t>
      </w:r>
      <w:r w:rsidR="00541D05">
        <w:t xml:space="preserve"> </w:t>
      </w:r>
      <w:r w:rsidR="00D9258C" w:rsidRPr="00FD6A6A">
        <w:t>the</w:t>
      </w:r>
      <w:r w:rsidR="00541D05">
        <w:t xml:space="preserve"> </w:t>
      </w:r>
      <w:r w:rsidR="00D9258C" w:rsidRPr="00FD6A6A">
        <w:t>document</w:t>
      </w:r>
      <w:r w:rsidR="00541D05">
        <w:t xml:space="preserve"> </w:t>
      </w:r>
      <w:r w:rsidR="00D9258C" w:rsidRPr="00FD6A6A">
        <w:t>CERD/C/70/Rev.5.</w:t>
      </w:r>
    </w:p>
    <w:p w14:paraId="5B1D42B3" w14:textId="3F11587E" w:rsidR="00D9258C" w:rsidRPr="00FD6A6A" w:rsidRDefault="00D9258C" w:rsidP="005964CF">
      <w:pPr>
        <w:pStyle w:val="HChG"/>
      </w:pPr>
      <w:r w:rsidRPr="00FD6A6A">
        <w:tab/>
        <w:t>II.</w:t>
      </w:r>
      <w:r w:rsidRPr="00FD6A6A">
        <w:tab/>
        <w:t>Article</w:t>
      </w:r>
      <w:r w:rsidR="00541D05">
        <w:t xml:space="preserve"> </w:t>
      </w:r>
      <w:r w:rsidRPr="00FD6A6A">
        <w:t>1</w:t>
      </w:r>
      <w:r w:rsidR="00541D05">
        <w:t xml:space="preserve"> </w:t>
      </w:r>
      <w:r w:rsidRPr="00FD6A6A">
        <w:t>–</w:t>
      </w:r>
      <w:r w:rsidR="00541D05">
        <w:t xml:space="preserve"> </w:t>
      </w:r>
      <w:r w:rsidRPr="00FD6A6A">
        <w:t>Concept</w:t>
      </w:r>
      <w:r w:rsidR="00541D05">
        <w:t xml:space="preserve"> </w:t>
      </w:r>
      <w:r w:rsidRPr="00FD6A6A">
        <w:t>of</w:t>
      </w:r>
      <w:r w:rsidR="00541D05">
        <w:t xml:space="preserve"> </w:t>
      </w:r>
      <w:r w:rsidRPr="00FD6A6A">
        <w:t>ethnic</w:t>
      </w:r>
      <w:r w:rsidR="00541D05">
        <w:t xml:space="preserve"> </w:t>
      </w:r>
      <w:r w:rsidRPr="00FD6A6A">
        <w:t>and</w:t>
      </w:r>
      <w:r w:rsidR="00541D05">
        <w:t xml:space="preserve"> </w:t>
      </w:r>
      <w:r w:rsidRPr="00FD6A6A">
        <w:t>racial</w:t>
      </w:r>
      <w:r w:rsidR="00541D05">
        <w:t xml:space="preserve"> </w:t>
      </w:r>
      <w:r w:rsidRPr="00FD6A6A">
        <w:t>discrimination</w:t>
      </w:r>
    </w:p>
    <w:p w14:paraId="0C94C1B2" w14:textId="512B7E36" w:rsidR="00D9258C" w:rsidRPr="005964CF" w:rsidRDefault="00D9258C" w:rsidP="005964CF">
      <w:pPr>
        <w:pStyle w:val="SingleTxtG"/>
        <w:rPr>
          <w:b/>
          <w:bCs/>
        </w:rPr>
      </w:pPr>
      <w:r w:rsidRPr="005964CF">
        <w:rPr>
          <w:b/>
          <w:bCs/>
        </w:rPr>
        <w:t>The</w:t>
      </w:r>
      <w:r w:rsidR="00541D05">
        <w:rPr>
          <w:b/>
          <w:bCs/>
        </w:rPr>
        <w:t xml:space="preserve"> </w:t>
      </w:r>
      <w:r w:rsidRPr="005964CF">
        <w:rPr>
          <w:b/>
          <w:bCs/>
        </w:rPr>
        <w:t>document</w:t>
      </w:r>
      <w:r w:rsidR="00541D05">
        <w:rPr>
          <w:b/>
          <w:bCs/>
        </w:rPr>
        <w:t xml:space="preserve"> </w:t>
      </w:r>
      <w:r w:rsidRPr="005964CF">
        <w:rPr>
          <w:b/>
          <w:bCs/>
        </w:rPr>
        <w:t>should</w:t>
      </w:r>
      <w:r w:rsidR="00541D05">
        <w:rPr>
          <w:b/>
          <w:bCs/>
        </w:rPr>
        <w:t xml:space="preserve"> </w:t>
      </w:r>
      <w:r w:rsidRPr="005964CF">
        <w:rPr>
          <w:b/>
          <w:bCs/>
        </w:rPr>
        <w:t>inform</w:t>
      </w:r>
      <w:r w:rsidR="00541D05">
        <w:rPr>
          <w:b/>
          <w:bCs/>
        </w:rPr>
        <w:t xml:space="preserve"> </w:t>
      </w:r>
      <w:r w:rsidRPr="005964CF">
        <w:rPr>
          <w:b/>
          <w:bCs/>
        </w:rPr>
        <w:t>whether</w:t>
      </w:r>
      <w:r w:rsidR="00541D05">
        <w:rPr>
          <w:b/>
          <w:bCs/>
        </w:rPr>
        <w:t xml:space="preserve"> </w:t>
      </w:r>
      <w:r w:rsidRPr="005964CF">
        <w:rPr>
          <w:b/>
          <w:bCs/>
        </w:rPr>
        <w:t>the</w:t>
      </w:r>
      <w:r w:rsidR="00541D05">
        <w:rPr>
          <w:b/>
          <w:bCs/>
        </w:rPr>
        <w:t xml:space="preserve"> </w:t>
      </w:r>
      <w:r w:rsidRPr="005964CF">
        <w:rPr>
          <w:b/>
          <w:bCs/>
        </w:rPr>
        <w:t>concept</w:t>
      </w:r>
      <w:r w:rsidR="00541D05">
        <w:rPr>
          <w:b/>
          <w:bCs/>
        </w:rPr>
        <w:t xml:space="preserve"> </w:t>
      </w:r>
      <w:r w:rsidRPr="005964CF">
        <w:rPr>
          <w:b/>
          <w:bCs/>
        </w:rPr>
        <w:t>of</w:t>
      </w:r>
      <w:r w:rsidR="00541D05">
        <w:rPr>
          <w:b/>
          <w:bCs/>
        </w:rPr>
        <w:t xml:space="preserve"> </w:t>
      </w:r>
      <w:r w:rsidRPr="005964CF">
        <w:rPr>
          <w:b/>
          <w:bCs/>
        </w:rPr>
        <w:t>racial</w:t>
      </w:r>
      <w:r w:rsidR="00541D05">
        <w:rPr>
          <w:b/>
          <w:bCs/>
        </w:rPr>
        <w:t xml:space="preserve"> </w:t>
      </w:r>
      <w:r w:rsidRPr="005964CF">
        <w:rPr>
          <w:b/>
          <w:bCs/>
        </w:rPr>
        <w:t>discrimination</w:t>
      </w:r>
      <w:r w:rsidR="00541D05">
        <w:rPr>
          <w:b/>
          <w:bCs/>
        </w:rPr>
        <w:t xml:space="preserve"> </w:t>
      </w:r>
      <w:r w:rsidRPr="005964CF">
        <w:rPr>
          <w:b/>
          <w:bCs/>
        </w:rPr>
        <w:t>incorporated</w:t>
      </w:r>
      <w:r w:rsidR="00541D05">
        <w:rPr>
          <w:b/>
          <w:bCs/>
        </w:rPr>
        <w:t xml:space="preserve"> </w:t>
      </w:r>
      <w:r w:rsidRPr="005964CF">
        <w:rPr>
          <w:b/>
          <w:bCs/>
        </w:rPr>
        <w:t>to</w:t>
      </w:r>
      <w:r w:rsidR="00541D05">
        <w:rPr>
          <w:b/>
          <w:bCs/>
        </w:rPr>
        <w:t xml:space="preserve"> </w:t>
      </w:r>
      <w:r w:rsidRPr="005964CF">
        <w:rPr>
          <w:b/>
          <w:bCs/>
        </w:rPr>
        <w:t>the</w:t>
      </w:r>
      <w:r w:rsidR="00541D05">
        <w:rPr>
          <w:b/>
          <w:bCs/>
        </w:rPr>
        <w:t xml:space="preserve"> </w:t>
      </w:r>
      <w:r w:rsidRPr="005964CF">
        <w:rPr>
          <w:b/>
          <w:bCs/>
        </w:rPr>
        <w:t>national</w:t>
      </w:r>
      <w:r w:rsidR="00541D05">
        <w:rPr>
          <w:b/>
          <w:bCs/>
        </w:rPr>
        <w:t xml:space="preserve"> </w:t>
      </w:r>
      <w:r w:rsidRPr="005964CF">
        <w:rPr>
          <w:b/>
          <w:bCs/>
        </w:rPr>
        <w:t>laws</w:t>
      </w:r>
      <w:r w:rsidR="00541D05">
        <w:rPr>
          <w:b/>
          <w:bCs/>
        </w:rPr>
        <w:t xml:space="preserve"> </w:t>
      </w:r>
      <w:r w:rsidRPr="005964CF">
        <w:rPr>
          <w:b/>
          <w:bCs/>
        </w:rPr>
        <w:t>and</w:t>
      </w:r>
      <w:r w:rsidR="00541D05">
        <w:rPr>
          <w:b/>
          <w:bCs/>
        </w:rPr>
        <w:t xml:space="preserve"> </w:t>
      </w:r>
      <w:r w:rsidRPr="005964CF">
        <w:rPr>
          <w:b/>
          <w:bCs/>
        </w:rPr>
        <w:t>regulations</w:t>
      </w:r>
      <w:r w:rsidR="00541D05">
        <w:rPr>
          <w:b/>
          <w:bCs/>
        </w:rPr>
        <w:t xml:space="preserve"> </w:t>
      </w:r>
      <w:r w:rsidRPr="005964CF">
        <w:rPr>
          <w:b/>
          <w:bCs/>
        </w:rPr>
        <w:t>comprises</w:t>
      </w:r>
      <w:r w:rsidR="00541D05">
        <w:rPr>
          <w:b/>
          <w:bCs/>
        </w:rPr>
        <w:t xml:space="preserve"> </w:t>
      </w:r>
      <w:r w:rsidRPr="005964CF">
        <w:rPr>
          <w:b/>
          <w:bCs/>
        </w:rPr>
        <w:t>discrimination</w:t>
      </w:r>
      <w:r w:rsidR="00541D05">
        <w:rPr>
          <w:b/>
          <w:bCs/>
        </w:rPr>
        <w:t xml:space="preserve"> </w:t>
      </w:r>
      <w:r w:rsidRPr="005964CF">
        <w:rPr>
          <w:b/>
          <w:bCs/>
        </w:rPr>
        <w:t>based</w:t>
      </w:r>
      <w:r w:rsidR="00541D05">
        <w:rPr>
          <w:b/>
          <w:bCs/>
        </w:rPr>
        <w:t xml:space="preserve"> </w:t>
      </w:r>
      <w:r w:rsidRPr="005964CF">
        <w:rPr>
          <w:b/>
          <w:bCs/>
        </w:rPr>
        <w:t>on</w:t>
      </w:r>
      <w:r w:rsidR="00541D05">
        <w:rPr>
          <w:b/>
          <w:bCs/>
        </w:rPr>
        <w:t xml:space="preserve"> </w:t>
      </w:r>
      <w:r w:rsidRPr="005964CF">
        <w:rPr>
          <w:b/>
          <w:bCs/>
        </w:rPr>
        <w:t>race,</w:t>
      </w:r>
      <w:r w:rsidR="00541D05">
        <w:rPr>
          <w:b/>
          <w:bCs/>
        </w:rPr>
        <w:t xml:space="preserve"> </w:t>
      </w:r>
      <w:r w:rsidRPr="005964CF">
        <w:rPr>
          <w:b/>
          <w:bCs/>
        </w:rPr>
        <w:t>skin</w:t>
      </w:r>
      <w:r w:rsidR="00541D05">
        <w:rPr>
          <w:b/>
          <w:bCs/>
        </w:rPr>
        <w:t xml:space="preserve"> </w:t>
      </w:r>
      <w:r w:rsidRPr="005964CF">
        <w:rPr>
          <w:b/>
          <w:bCs/>
        </w:rPr>
        <w:t>tone,</w:t>
      </w:r>
      <w:r w:rsidR="00541D05">
        <w:rPr>
          <w:b/>
          <w:bCs/>
        </w:rPr>
        <w:t xml:space="preserve"> </w:t>
      </w:r>
      <w:r w:rsidRPr="005964CF">
        <w:rPr>
          <w:b/>
          <w:bCs/>
        </w:rPr>
        <w:t>ancestry,</w:t>
      </w:r>
      <w:r w:rsidR="00541D05">
        <w:rPr>
          <w:b/>
          <w:bCs/>
        </w:rPr>
        <w:t xml:space="preserve"> </w:t>
      </w:r>
      <w:r w:rsidRPr="005964CF">
        <w:rPr>
          <w:b/>
          <w:bCs/>
        </w:rPr>
        <w:t>ethnic</w:t>
      </w:r>
      <w:r w:rsidR="00541D05">
        <w:rPr>
          <w:b/>
          <w:bCs/>
        </w:rPr>
        <w:t xml:space="preserve"> </w:t>
      </w:r>
      <w:r w:rsidRPr="005964CF">
        <w:rPr>
          <w:b/>
          <w:bCs/>
        </w:rPr>
        <w:t>origin,</w:t>
      </w:r>
      <w:r w:rsidR="00541D05">
        <w:rPr>
          <w:b/>
          <w:bCs/>
        </w:rPr>
        <w:t xml:space="preserve"> </w:t>
      </w:r>
      <w:r w:rsidRPr="005964CF">
        <w:rPr>
          <w:b/>
          <w:bCs/>
        </w:rPr>
        <w:t>or</w:t>
      </w:r>
      <w:r w:rsidR="00541D05">
        <w:rPr>
          <w:b/>
          <w:bCs/>
        </w:rPr>
        <w:t xml:space="preserve"> </w:t>
      </w:r>
      <w:r w:rsidRPr="005964CF">
        <w:rPr>
          <w:b/>
          <w:bCs/>
        </w:rPr>
        <w:t>nationality;</w:t>
      </w:r>
    </w:p>
    <w:p w14:paraId="41D77606" w14:textId="71AEE209" w:rsidR="00D9258C" w:rsidRPr="005964CF" w:rsidRDefault="00D9258C" w:rsidP="005964CF">
      <w:pPr>
        <w:pStyle w:val="SingleTxtG"/>
        <w:rPr>
          <w:b/>
          <w:bCs/>
        </w:rPr>
      </w:pPr>
      <w:r w:rsidRPr="005964CF">
        <w:rPr>
          <w:b/>
          <w:bCs/>
        </w:rPr>
        <w:t>If</w:t>
      </w:r>
      <w:r w:rsidR="00541D05">
        <w:rPr>
          <w:b/>
          <w:bCs/>
        </w:rPr>
        <w:t xml:space="preserve"> </w:t>
      </w:r>
      <w:r w:rsidRPr="005964CF">
        <w:rPr>
          <w:b/>
          <w:bCs/>
        </w:rPr>
        <w:t>direct</w:t>
      </w:r>
      <w:r w:rsidR="00541D05">
        <w:rPr>
          <w:b/>
          <w:bCs/>
        </w:rPr>
        <w:t xml:space="preserve"> </w:t>
      </w:r>
      <w:r w:rsidRPr="005964CF">
        <w:rPr>
          <w:b/>
          <w:bCs/>
        </w:rPr>
        <w:t>or</w:t>
      </w:r>
      <w:r w:rsidR="00541D05">
        <w:rPr>
          <w:b/>
          <w:bCs/>
        </w:rPr>
        <w:t xml:space="preserve"> </w:t>
      </w:r>
      <w:r w:rsidRPr="005964CF">
        <w:rPr>
          <w:b/>
          <w:bCs/>
        </w:rPr>
        <w:t>indirect</w:t>
      </w:r>
      <w:r w:rsidR="00541D05">
        <w:rPr>
          <w:b/>
          <w:bCs/>
        </w:rPr>
        <w:t xml:space="preserve"> </w:t>
      </w:r>
      <w:r w:rsidRPr="005964CF">
        <w:rPr>
          <w:b/>
          <w:bCs/>
        </w:rPr>
        <w:t>forms</w:t>
      </w:r>
      <w:r w:rsidR="00541D05">
        <w:rPr>
          <w:b/>
          <w:bCs/>
        </w:rPr>
        <w:t xml:space="preserve"> </w:t>
      </w:r>
      <w:r w:rsidRPr="005964CF">
        <w:rPr>
          <w:b/>
          <w:bCs/>
        </w:rPr>
        <w:t>of</w:t>
      </w:r>
      <w:r w:rsidR="00541D05">
        <w:rPr>
          <w:b/>
          <w:bCs/>
        </w:rPr>
        <w:t xml:space="preserve"> </w:t>
      </w:r>
      <w:r w:rsidRPr="005964CF">
        <w:rPr>
          <w:b/>
          <w:bCs/>
        </w:rPr>
        <w:t>discrimination</w:t>
      </w:r>
      <w:r w:rsidR="00541D05">
        <w:rPr>
          <w:b/>
          <w:bCs/>
        </w:rPr>
        <w:t xml:space="preserve"> </w:t>
      </w:r>
      <w:r w:rsidRPr="005964CF">
        <w:rPr>
          <w:b/>
          <w:bCs/>
        </w:rPr>
        <w:t>are</w:t>
      </w:r>
      <w:r w:rsidR="00541D05">
        <w:rPr>
          <w:b/>
          <w:bCs/>
        </w:rPr>
        <w:t xml:space="preserve"> </w:t>
      </w:r>
      <w:r w:rsidRPr="005964CF">
        <w:rPr>
          <w:b/>
          <w:bCs/>
        </w:rPr>
        <w:t>included</w:t>
      </w:r>
      <w:r w:rsidR="00541D05">
        <w:rPr>
          <w:b/>
          <w:bCs/>
        </w:rPr>
        <w:t xml:space="preserve"> </w:t>
      </w:r>
      <w:r w:rsidRPr="005964CF">
        <w:rPr>
          <w:b/>
          <w:bCs/>
        </w:rPr>
        <w:t>in</w:t>
      </w:r>
      <w:r w:rsidR="00541D05">
        <w:rPr>
          <w:b/>
          <w:bCs/>
        </w:rPr>
        <w:t xml:space="preserve"> </w:t>
      </w:r>
      <w:r w:rsidRPr="005964CF">
        <w:rPr>
          <w:b/>
          <w:bCs/>
        </w:rPr>
        <w:t>the</w:t>
      </w:r>
      <w:r w:rsidR="00541D05">
        <w:rPr>
          <w:b/>
          <w:bCs/>
        </w:rPr>
        <w:t xml:space="preserve"> </w:t>
      </w:r>
      <w:r w:rsidRPr="005964CF">
        <w:rPr>
          <w:b/>
          <w:bCs/>
        </w:rPr>
        <w:t>legal</w:t>
      </w:r>
      <w:r w:rsidR="00541D05">
        <w:rPr>
          <w:b/>
          <w:bCs/>
        </w:rPr>
        <w:t xml:space="preserve"> </w:t>
      </w:r>
      <w:r w:rsidRPr="005964CF">
        <w:rPr>
          <w:b/>
          <w:bCs/>
        </w:rPr>
        <w:t>concept;</w:t>
      </w:r>
      <w:r w:rsidR="00541D05">
        <w:rPr>
          <w:b/>
          <w:bCs/>
        </w:rPr>
        <w:t xml:space="preserve"> </w:t>
      </w:r>
    </w:p>
    <w:p w14:paraId="01D78C0A" w14:textId="08CD10C4" w:rsidR="00D9258C" w:rsidRPr="005964CF" w:rsidRDefault="00D9258C" w:rsidP="005964CF">
      <w:pPr>
        <w:pStyle w:val="SingleTxtG"/>
        <w:rPr>
          <w:b/>
          <w:bCs/>
        </w:rPr>
      </w:pPr>
      <w:r w:rsidRPr="005964CF">
        <w:rPr>
          <w:b/>
          <w:bCs/>
        </w:rPr>
        <w:t>The</w:t>
      </w:r>
      <w:r w:rsidR="00541D05">
        <w:rPr>
          <w:b/>
          <w:bCs/>
        </w:rPr>
        <w:t xml:space="preserve"> </w:t>
      </w:r>
      <w:r w:rsidRPr="005964CF">
        <w:rPr>
          <w:b/>
          <w:bCs/>
        </w:rPr>
        <w:t>document</w:t>
      </w:r>
      <w:r w:rsidR="00541D05">
        <w:rPr>
          <w:b/>
          <w:bCs/>
        </w:rPr>
        <w:t xml:space="preserve"> </w:t>
      </w:r>
      <w:r w:rsidRPr="005964CF">
        <w:rPr>
          <w:b/>
          <w:bCs/>
        </w:rPr>
        <w:t>should</w:t>
      </w:r>
      <w:r w:rsidR="00541D05">
        <w:rPr>
          <w:b/>
          <w:bCs/>
        </w:rPr>
        <w:t xml:space="preserve"> </w:t>
      </w:r>
      <w:r w:rsidRPr="005964CF">
        <w:rPr>
          <w:b/>
          <w:bCs/>
        </w:rPr>
        <w:t>inform</w:t>
      </w:r>
      <w:r w:rsidR="00541D05">
        <w:rPr>
          <w:b/>
          <w:bCs/>
        </w:rPr>
        <w:t xml:space="preserve"> </w:t>
      </w:r>
      <w:r w:rsidRPr="005964CF">
        <w:rPr>
          <w:b/>
          <w:bCs/>
        </w:rPr>
        <w:t>whether</w:t>
      </w:r>
      <w:r w:rsidR="00541D05">
        <w:rPr>
          <w:b/>
          <w:bCs/>
        </w:rPr>
        <w:t xml:space="preserve"> </w:t>
      </w:r>
      <w:r w:rsidRPr="005964CF">
        <w:rPr>
          <w:b/>
          <w:bCs/>
        </w:rPr>
        <w:t>the</w:t>
      </w:r>
      <w:r w:rsidR="00541D05">
        <w:rPr>
          <w:b/>
          <w:bCs/>
        </w:rPr>
        <w:t xml:space="preserve"> </w:t>
      </w:r>
      <w:r w:rsidRPr="005964CF">
        <w:rPr>
          <w:b/>
          <w:bCs/>
        </w:rPr>
        <w:t>national</w:t>
      </w:r>
      <w:r w:rsidR="00541D05">
        <w:rPr>
          <w:b/>
          <w:bCs/>
        </w:rPr>
        <w:t xml:space="preserve"> </w:t>
      </w:r>
      <w:r w:rsidRPr="005964CF">
        <w:rPr>
          <w:b/>
          <w:bCs/>
        </w:rPr>
        <w:t>laws</w:t>
      </w:r>
      <w:r w:rsidR="00541D05">
        <w:rPr>
          <w:b/>
          <w:bCs/>
        </w:rPr>
        <w:t xml:space="preserve"> </w:t>
      </w:r>
      <w:r w:rsidRPr="005964CF">
        <w:rPr>
          <w:b/>
          <w:bCs/>
        </w:rPr>
        <w:t>provide</w:t>
      </w:r>
      <w:r w:rsidR="00541D05">
        <w:rPr>
          <w:b/>
          <w:bCs/>
        </w:rPr>
        <w:t xml:space="preserve"> </w:t>
      </w:r>
      <w:r w:rsidRPr="005964CF">
        <w:rPr>
          <w:b/>
          <w:bCs/>
        </w:rPr>
        <w:t>for</w:t>
      </w:r>
      <w:r w:rsidR="00541D05">
        <w:rPr>
          <w:b/>
          <w:bCs/>
        </w:rPr>
        <w:t xml:space="preserve"> </w:t>
      </w:r>
      <w:r w:rsidRPr="005964CF">
        <w:rPr>
          <w:b/>
          <w:bCs/>
        </w:rPr>
        <w:t>different</w:t>
      </w:r>
      <w:r w:rsidR="00541D05">
        <w:rPr>
          <w:b/>
          <w:bCs/>
        </w:rPr>
        <w:t xml:space="preserve"> </w:t>
      </w:r>
      <w:r w:rsidRPr="005964CF">
        <w:rPr>
          <w:b/>
          <w:bCs/>
        </w:rPr>
        <w:t>treatment</w:t>
      </w:r>
      <w:r w:rsidR="00541D05">
        <w:rPr>
          <w:b/>
          <w:bCs/>
        </w:rPr>
        <w:t xml:space="preserve"> </w:t>
      </w:r>
      <w:r w:rsidRPr="005964CF">
        <w:rPr>
          <w:b/>
          <w:bCs/>
        </w:rPr>
        <w:t>towards</w:t>
      </w:r>
      <w:r w:rsidR="00541D05">
        <w:rPr>
          <w:b/>
          <w:bCs/>
        </w:rPr>
        <w:t xml:space="preserve"> </w:t>
      </w:r>
      <w:r w:rsidRPr="005964CF">
        <w:rPr>
          <w:b/>
          <w:bCs/>
        </w:rPr>
        <w:t>immigrants</w:t>
      </w:r>
      <w:r w:rsidR="00541D05">
        <w:rPr>
          <w:b/>
          <w:bCs/>
        </w:rPr>
        <w:t xml:space="preserve"> </w:t>
      </w:r>
      <w:r w:rsidRPr="005964CF">
        <w:rPr>
          <w:b/>
          <w:bCs/>
        </w:rPr>
        <w:t>or</w:t>
      </w:r>
      <w:r w:rsidR="00541D05">
        <w:rPr>
          <w:b/>
          <w:bCs/>
        </w:rPr>
        <w:t xml:space="preserve"> </w:t>
      </w:r>
      <w:r w:rsidRPr="005964CF">
        <w:rPr>
          <w:b/>
          <w:bCs/>
        </w:rPr>
        <w:t>foreigners.</w:t>
      </w:r>
    </w:p>
    <w:p w14:paraId="45241687" w14:textId="75BFD177" w:rsidR="00D9258C" w:rsidRPr="00FD6A6A" w:rsidRDefault="00166390" w:rsidP="00166390">
      <w:pPr>
        <w:pStyle w:val="ParaNoG"/>
        <w:numPr>
          <w:ilvl w:val="0"/>
          <w:numId w:val="0"/>
        </w:numPr>
        <w:tabs>
          <w:tab w:val="left" w:pos="0"/>
        </w:tabs>
        <w:ind w:left="1134"/>
      </w:pPr>
      <w:r w:rsidRPr="00FD6A6A">
        <w:t>4.</w:t>
      </w:r>
      <w:r w:rsidRPr="00FD6A6A">
        <w:tab/>
      </w:r>
      <w:r w:rsidR="00D9258C" w:rsidRPr="00FD6A6A">
        <w:t>Brazil</w:t>
      </w:r>
      <w:r w:rsidR="00541D05">
        <w:t xml:space="preserve"> </w:t>
      </w:r>
      <w:r w:rsidR="00D9258C" w:rsidRPr="00FD6A6A">
        <w:t>does</w:t>
      </w:r>
      <w:r w:rsidR="00541D05">
        <w:t xml:space="preserve"> </w:t>
      </w:r>
      <w:r w:rsidR="00D9258C" w:rsidRPr="00FD6A6A">
        <w:t>not</w:t>
      </w:r>
      <w:r w:rsidR="00541D05">
        <w:t xml:space="preserve"> </w:t>
      </w:r>
      <w:r w:rsidR="00D9258C" w:rsidRPr="00FD6A6A">
        <w:t>have</w:t>
      </w:r>
      <w:r w:rsidR="00541D05">
        <w:t xml:space="preserve"> </w:t>
      </w:r>
      <w:r w:rsidR="00D9258C" w:rsidRPr="00FD6A6A">
        <w:t>an</w:t>
      </w:r>
      <w:r w:rsidR="00541D05">
        <w:t xml:space="preserve"> </w:t>
      </w:r>
      <w:r w:rsidR="00D9258C" w:rsidRPr="00FD6A6A">
        <w:t>official</w:t>
      </w:r>
      <w:r w:rsidR="00541D05">
        <w:t xml:space="preserve"> </w:t>
      </w:r>
      <w:r w:rsidR="00D9258C" w:rsidRPr="00FD6A6A">
        <w:t>definition</w:t>
      </w:r>
      <w:r w:rsidR="00541D05">
        <w:t xml:space="preserve"> </w:t>
      </w:r>
      <w:r w:rsidR="00D9258C" w:rsidRPr="00FD6A6A">
        <w:t>for</w:t>
      </w:r>
      <w:r w:rsidR="00541D05">
        <w:t xml:space="preserve"> </w:t>
      </w:r>
      <w:r w:rsidR="00D9258C" w:rsidRPr="00FD6A6A">
        <w:t>race.</w:t>
      </w:r>
      <w:r w:rsidR="00541D05">
        <w:t xml:space="preserve"> </w:t>
      </w:r>
      <w:r w:rsidR="00D9258C" w:rsidRPr="00FD6A6A">
        <w:t>However,</w:t>
      </w:r>
      <w:r w:rsidR="00541D05">
        <w:t xml:space="preserve"> </w:t>
      </w:r>
      <w:r w:rsidR="00D9258C" w:rsidRPr="00FD6A6A">
        <w:t>since</w:t>
      </w:r>
      <w:r w:rsidR="00541D05">
        <w:t xml:space="preserve"> </w:t>
      </w:r>
      <w:r w:rsidR="00D9258C" w:rsidRPr="00FD6A6A">
        <w:t>the</w:t>
      </w:r>
      <w:r w:rsidR="00541D05">
        <w:t xml:space="preserve"> </w:t>
      </w:r>
      <w:r w:rsidR="00D9258C" w:rsidRPr="00FD6A6A">
        <w:t>1872</w:t>
      </w:r>
      <w:r w:rsidR="00541D05">
        <w:t xml:space="preserve"> </w:t>
      </w:r>
      <w:r w:rsidR="00D9258C" w:rsidRPr="00FD6A6A">
        <w:t>Census,</w:t>
      </w:r>
      <w:r w:rsidR="00541D05">
        <w:t xml:space="preserve"> </w:t>
      </w:r>
      <w:r w:rsidR="00D9258C" w:rsidRPr="00FD6A6A">
        <w:t>the</w:t>
      </w:r>
      <w:r w:rsidR="00541D05">
        <w:t xml:space="preserve"> </w:t>
      </w:r>
      <w:r w:rsidR="00D9258C" w:rsidRPr="00FD6A6A">
        <w:t>demographic</w:t>
      </w:r>
      <w:r w:rsidR="00541D05">
        <w:t xml:space="preserve"> </w:t>
      </w:r>
      <w:r w:rsidR="00D9258C" w:rsidRPr="00FD6A6A">
        <w:t>statistics</w:t>
      </w:r>
      <w:r w:rsidR="00541D05">
        <w:t xml:space="preserve"> </w:t>
      </w:r>
      <w:r w:rsidR="00D9258C" w:rsidRPr="00FD6A6A">
        <w:t>generally</w:t>
      </w:r>
      <w:r w:rsidR="00541D05">
        <w:t xml:space="preserve"> </w:t>
      </w:r>
      <w:r w:rsidR="00D9258C" w:rsidRPr="00FD6A6A">
        <w:t>classify</w:t>
      </w:r>
      <w:r w:rsidR="00541D05">
        <w:t xml:space="preserve"> </w:t>
      </w:r>
      <w:r w:rsidR="00D9258C" w:rsidRPr="00FD6A6A">
        <w:t>the</w:t>
      </w:r>
      <w:r w:rsidR="00541D05">
        <w:t xml:space="preserve"> </w:t>
      </w:r>
      <w:r w:rsidR="00D9258C" w:rsidRPr="00FD6A6A">
        <w:t>population</w:t>
      </w:r>
      <w:r w:rsidR="00541D05">
        <w:t xml:space="preserve"> </w:t>
      </w:r>
      <w:r w:rsidR="00D9258C" w:rsidRPr="00FD6A6A">
        <w:t>into</w:t>
      </w:r>
      <w:r w:rsidR="00541D05">
        <w:t xml:space="preserve"> </w:t>
      </w:r>
      <w:r w:rsidR="00D9258C" w:rsidRPr="00FD6A6A">
        <w:t>white,</w:t>
      </w:r>
      <w:r w:rsidR="00541D05">
        <w:t xml:space="preserve"> </w:t>
      </w:r>
      <w:r w:rsidR="00D9258C" w:rsidRPr="00FD6A6A">
        <w:t>black</w:t>
      </w:r>
      <w:r w:rsidR="00541D05">
        <w:t xml:space="preserve"> </w:t>
      </w:r>
      <w:r w:rsidR="00D9258C" w:rsidRPr="00DC505F">
        <w:rPr>
          <w:i/>
          <w:iCs/>
        </w:rPr>
        <w:t>pardo</w:t>
      </w:r>
      <w:r w:rsidR="00541D05">
        <w:t xml:space="preserve"> </w:t>
      </w:r>
      <w:r w:rsidR="00D9258C" w:rsidRPr="00FD6A6A">
        <w:t>(mixed</w:t>
      </w:r>
      <w:r w:rsidR="00541D05">
        <w:t xml:space="preserve"> </w:t>
      </w:r>
      <w:r w:rsidR="00D9258C" w:rsidRPr="00FD6A6A">
        <w:t>race),</w:t>
      </w:r>
      <w:r w:rsidR="00541D05">
        <w:t xml:space="preserve"> </w:t>
      </w:r>
      <w:r w:rsidR="00D9258C" w:rsidRPr="00FD6A6A">
        <w:t>Asian-Brazilian</w:t>
      </w:r>
      <w:r w:rsidR="00541D05">
        <w:t xml:space="preserve"> </w:t>
      </w:r>
      <w:r w:rsidR="00D9258C" w:rsidRPr="00FD6A6A">
        <w:t>and</w:t>
      </w:r>
      <w:r w:rsidR="00541D05">
        <w:t xml:space="preserve"> </w:t>
      </w:r>
      <w:r w:rsidR="00D9258C" w:rsidRPr="00FD6A6A">
        <w:t>Indigenous.</w:t>
      </w:r>
      <w:r w:rsidR="00541D05">
        <w:t xml:space="preserve"> </w:t>
      </w:r>
      <w:r w:rsidR="00D9258C" w:rsidRPr="00FD6A6A">
        <w:t>This</w:t>
      </w:r>
      <w:r w:rsidR="00541D05">
        <w:t xml:space="preserve"> </w:t>
      </w:r>
      <w:r w:rsidR="00D9258C" w:rsidRPr="00FD6A6A">
        <w:t>classification</w:t>
      </w:r>
      <w:r w:rsidR="00541D05">
        <w:t xml:space="preserve"> </w:t>
      </w:r>
      <w:r w:rsidR="00D9258C" w:rsidRPr="00FD6A6A">
        <w:t>is</w:t>
      </w:r>
      <w:r w:rsidR="00541D05">
        <w:t xml:space="preserve"> </w:t>
      </w:r>
      <w:r w:rsidR="00D9258C" w:rsidRPr="00FD6A6A">
        <w:t>used</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Institute</w:t>
      </w:r>
      <w:r w:rsidR="00541D05">
        <w:t xml:space="preserve"> </w:t>
      </w:r>
      <w:r w:rsidR="00D9258C" w:rsidRPr="00FD6A6A">
        <w:t>of</w:t>
      </w:r>
      <w:r w:rsidR="00541D05">
        <w:t xml:space="preserve"> </w:t>
      </w:r>
      <w:r w:rsidR="00D9258C" w:rsidRPr="00FD6A6A">
        <w:t>Geography</w:t>
      </w:r>
      <w:r w:rsidR="00541D05">
        <w:t xml:space="preserve"> </w:t>
      </w:r>
      <w:r w:rsidR="00D9258C" w:rsidRPr="00FD6A6A">
        <w:t>and</w:t>
      </w:r>
      <w:r w:rsidR="00541D05">
        <w:t xml:space="preserve"> </w:t>
      </w:r>
      <w:r w:rsidR="00D9258C" w:rsidRPr="00FD6A6A">
        <w:t>Statistics</w:t>
      </w:r>
      <w:r w:rsidR="00541D05">
        <w:t xml:space="preserve"> </w:t>
      </w:r>
      <w:r w:rsidR="00D9258C" w:rsidRPr="00FD6A6A">
        <w:t>(IBGE)</w:t>
      </w:r>
      <w:r w:rsidR="00541D05">
        <w:t xml:space="preserve"> </w:t>
      </w:r>
      <w:r w:rsidR="00D9258C" w:rsidRPr="00FD6A6A">
        <w:t>in</w:t>
      </w:r>
      <w:r w:rsidR="00541D05">
        <w:t xml:space="preserve"> </w:t>
      </w:r>
      <w:r w:rsidR="00D9258C" w:rsidRPr="00FD6A6A">
        <w:t>the</w:t>
      </w:r>
      <w:r w:rsidR="00541D05">
        <w:t xml:space="preserve"> </w:t>
      </w:r>
      <w:r w:rsidR="00D9258C" w:rsidRPr="00FD6A6A">
        <w:t>ten-year</w:t>
      </w:r>
      <w:r w:rsidR="00541D05">
        <w:t xml:space="preserve"> </w:t>
      </w:r>
      <w:r w:rsidR="00D9258C" w:rsidRPr="00FD6A6A">
        <w:t>demographic</w:t>
      </w:r>
      <w:r w:rsidR="00541D05">
        <w:t xml:space="preserve"> </w:t>
      </w:r>
      <w:r w:rsidR="00D9258C" w:rsidRPr="00FD6A6A">
        <w:t>censuses,</w:t>
      </w:r>
      <w:r w:rsidR="00541D05">
        <w:t xml:space="preserve"> </w:t>
      </w:r>
      <w:r w:rsidR="00D9258C" w:rsidRPr="00FD6A6A">
        <w:t>by</w:t>
      </w:r>
      <w:r w:rsidR="00541D05">
        <w:t xml:space="preserve"> </w:t>
      </w:r>
      <w:r w:rsidR="00D9258C" w:rsidRPr="00FD6A6A">
        <w:t>self-declaration.</w:t>
      </w:r>
      <w:r w:rsidR="00541D05">
        <w:t xml:space="preserve"> </w:t>
      </w:r>
      <w:r w:rsidR="00D9258C" w:rsidRPr="00FD6A6A">
        <w:t>Since</w:t>
      </w:r>
      <w:r w:rsidR="00541D05">
        <w:t xml:space="preserve"> </w:t>
      </w:r>
      <w:r w:rsidR="00D9258C" w:rsidRPr="00FD6A6A">
        <w:t>the</w:t>
      </w:r>
      <w:r w:rsidR="00541D05">
        <w:t xml:space="preserve"> </w:t>
      </w:r>
      <w:r w:rsidR="00D9258C" w:rsidRPr="00FD6A6A">
        <w:t>1980s,</w:t>
      </w:r>
      <w:r w:rsidR="00541D05">
        <w:t xml:space="preserve"> </w:t>
      </w:r>
      <w:r w:rsidR="00D9258C" w:rsidRPr="00FD6A6A">
        <w:t>it</w:t>
      </w:r>
      <w:r w:rsidR="00541D05">
        <w:t xml:space="preserve"> </w:t>
      </w:r>
      <w:r w:rsidR="00D9258C" w:rsidRPr="00FD6A6A">
        <w:t>has</w:t>
      </w:r>
      <w:r w:rsidR="00541D05">
        <w:t xml:space="preserve"> </w:t>
      </w:r>
      <w:r w:rsidR="00D9258C" w:rsidRPr="00FD6A6A">
        <w:t>been</w:t>
      </w:r>
      <w:r w:rsidR="00541D05">
        <w:t xml:space="preserve"> </w:t>
      </w:r>
      <w:r w:rsidR="00D9258C" w:rsidRPr="00FD6A6A">
        <w:t>used</w:t>
      </w:r>
      <w:r w:rsidR="00541D05">
        <w:t xml:space="preserve"> </w:t>
      </w:r>
      <w:r w:rsidR="00D9258C" w:rsidRPr="00FD6A6A">
        <w:t>in</w:t>
      </w:r>
      <w:r w:rsidR="00541D05">
        <w:t xml:space="preserve"> </w:t>
      </w:r>
      <w:r w:rsidR="00D9258C" w:rsidRPr="00FD6A6A">
        <w:t>an</w:t>
      </w:r>
      <w:r w:rsidR="00541D05">
        <w:t xml:space="preserve"> </w:t>
      </w:r>
      <w:r w:rsidR="00D9258C" w:rsidRPr="00FD6A6A">
        <w:t>increasing</w:t>
      </w:r>
      <w:r w:rsidR="00541D05">
        <w:t xml:space="preserve"> </w:t>
      </w:r>
      <w:r w:rsidR="00D9258C" w:rsidRPr="00FD6A6A">
        <w:t>number</w:t>
      </w:r>
      <w:r w:rsidR="00541D05">
        <w:t xml:space="preserve"> </w:t>
      </w:r>
      <w:r w:rsidR="00D9258C" w:rsidRPr="00FD6A6A">
        <w:t>of</w:t>
      </w:r>
      <w:r w:rsidR="00541D05">
        <w:t xml:space="preserve"> </w:t>
      </w:r>
      <w:r w:rsidR="00D9258C" w:rsidRPr="00FD6A6A">
        <w:t>sample</w:t>
      </w:r>
      <w:r w:rsidR="00541D05">
        <w:t xml:space="preserve"> </w:t>
      </w:r>
      <w:r w:rsidR="00D9258C" w:rsidRPr="00FD6A6A">
        <w:t>surveys,</w:t>
      </w:r>
      <w:r w:rsidR="00541D05">
        <w:t xml:space="preserve"> </w:t>
      </w:r>
      <w:r w:rsidR="00D9258C" w:rsidRPr="00FD6A6A">
        <w:t>and,</w:t>
      </w:r>
      <w:r w:rsidR="00541D05">
        <w:t xml:space="preserve"> </w:t>
      </w:r>
      <w:r w:rsidR="00D9258C" w:rsidRPr="00FD6A6A">
        <w:t>since</w:t>
      </w:r>
      <w:r w:rsidR="00541D05">
        <w:t xml:space="preserve"> </w:t>
      </w:r>
      <w:r w:rsidR="00D9258C" w:rsidRPr="00FD6A6A">
        <w:t>the</w:t>
      </w:r>
      <w:r w:rsidR="00541D05">
        <w:t xml:space="preserve"> </w:t>
      </w:r>
      <w:r w:rsidR="00D9258C" w:rsidRPr="00FD6A6A">
        <w:t>2000s,</w:t>
      </w:r>
      <w:r w:rsidR="00541D05">
        <w:t xml:space="preserve"> </w:t>
      </w:r>
      <w:r w:rsidR="00D9258C" w:rsidRPr="00FD6A6A">
        <w:t>in</w:t>
      </w:r>
      <w:r w:rsidR="00541D05">
        <w:t xml:space="preserve"> </w:t>
      </w:r>
      <w:r w:rsidR="00D9258C" w:rsidRPr="00FD6A6A">
        <w:t>the</w:t>
      </w:r>
      <w:r w:rsidR="00541D05">
        <w:t xml:space="preserve"> </w:t>
      </w:r>
      <w:r w:rsidR="00D9258C" w:rsidRPr="00FD6A6A">
        <w:t>Government</w:t>
      </w:r>
      <w:r w:rsidR="00EA62F1">
        <w:t>’</w:t>
      </w:r>
      <w:r w:rsidR="00D9258C" w:rsidRPr="00FD6A6A">
        <w:t>s</w:t>
      </w:r>
      <w:r w:rsidR="00541D05">
        <w:t xml:space="preserve"> </w:t>
      </w:r>
      <w:r w:rsidR="00D9258C" w:rsidRPr="00FD6A6A">
        <w:t>administrative</w:t>
      </w:r>
      <w:r w:rsidR="00541D05">
        <w:t xml:space="preserve"> </w:t>
      </w:r>
      <w:r w:rsidR="00D9258C" w:rsidRPr="00FD6A6A">
        <w:t>records.</w:t>
      </w:r>
      <w:r w:rsidR="00541D05">
        <w:t xml:space="preserve"> </w:t>
      </w:r>
      <w:r w:rsidR="00D9258C" w:rsidRPr="00FD6A6A">
        <w:t>Due</w:t>
      </w:r>
      <w:r w:rsidR="00541D05">
        <w:t xml:space="preserve"> </w:t>
      </w:r>
      <w:r w:rsidR="00D9258C" w:rsidRPr="00FD6A6A">
        <w:t>to</w:t>
      </w:r>
      <w:r w:rsidR="00541D05">
        <w:t xml:space="preserve"> </w:t>
      </w:r>
      <w:r w:rsidR="00D9258C" w:rsidRPr="00FD6A6A">
        <w:t>the</w:t>
      </w:r>
      <w:r w:rsidR="00541D05">
        <w:t xml:space="preserve"> </w:t>
      </w:r>
      <w:r w:rsidR="00D9258C" w:rsidRPr="00FD6A6A">
        <w:t>wide</w:t>
      </w:r>
      <w:r w:rsidR="00541D05">
        <w:t xml:space="preserve"> </w:t>
      </w:r>
      <w:r w:rsidR="00D9258C" w:rsidRPr="00FD6A6A">
        <w:t>availability</w:t>
      </w:r>
      <w:r w:rsidR="00541D05">
        <w:t xml:space="preserve"> </w:t>
      </w:r>
      <w:r w:rsidR="00D9258C" w:rsidRPr="00FD6A6A">
        <w:t>of</w:t>
      </w:r>
      <w:r w:rsidR="00541D05">
        <w:t xml:space="preserve"> </w:t>
      </w:r>
      <w:r w:rsidR="00D9258C" w:rsidRPr="00FD6A6A">
        <w:t>the</w:t>
      </w:r>
      <w:r w:rsidR="00541D05">
        <w:t xml:space="preserve"> </w:t>
      </w:r>
      <w:r w:rsidR="00D9258C" w:rsidRPr="00FD6A6A">
        <w:t>racial</w:t>
      </w:r>
      <w:r w:rsidR="00541D05">
        <w:t xml:space="preserve"> </w:t>
      </w:r>
      <w:r w:rsidR="00D9258C" w:rsidRPr="00FD6A6A">
        <w:t>classification</w:t>
      </w:r>
      <w:r w:rsidR="00541D05">
        <w:t xml:space="preserve"> </w:t>
      </w:r>
      <w:r w:rsidR="00D9258C" w:rsidRPr="00FD6A6A">
        <w:t>data,</w:t>
      </w:r>
      <w:r w:rsidR="00541D05">
        <w:t xml:space="preserve"> </w:t>
      </w:r>
      <w:r w:rsidR="00D9258C" w:rsidRPr="00FD6A6A">
        <w:t>Brazil</w:t>
      </w:r>
      <w:r w:rsidR="00541D05">
        <w:t xml:space="preserve"> </w:t>
      </w:r>
      <w:r w:rsidR="00D9258C" w:rsidRPr="00FD6A6A">
        <w:t>is</w:t>
      </w:r>
      <w:r w:rsidR="00541D05">
        <w:t xml:space="preserve"> </w:t>
      </w:r>
      <w:r w:rsidR="00D9258C" w:rsidRPr="00FD6A6A">
        <w:t>able</w:t>
      </w:r>
      <w:r w:rsidR="00541D05">
        <w:t xml:space="preserve"> </w:t>
      </w:r>
      <w:r w:rsidR="00D9258C" w:rsidRPr="00FD6A6A">
        <w:t>to</w:t>
      </w:r>
      <w:r w:rsidR="00541D05">
        <w:t xml:space="preserve"> </w:t>
      </w:r>
      <w:r w:rsidR="00D9258C" w:rsidRPr="00FD6A6A">
        <w:t>calculate</w:t>
      </w:r>
      <w:r w:rsidR="00541D05">
        <w:t xml:space="preserve"> </w:t>
      </w:r>
      <w:r w:rsidR="00D9258C" w:rsidRPr="00FD6A6A">
        <w:t>a</w:t>
      </w:r>
      <w:r w:rsidR="00541D05">
        <w:t xml:space="preserve"> </w:t>
      </w:r>
      <w:r w:rsidR="00D9258C" w:rsidRPr="00FD6A6A">
        <w:t>range</w:t>
      </w:r>
      <w:r w:rsidR="00541D05">
        <w:t xml:space="preserve"> </w:t>
      </w:r>
      <w:r w:rsidR="00D9258C" w:rsidRPr="00FD6A6A">
        <w:t>of</w:t>
      </w:r>
      <w:r w:rsidR="00541D05">
        <w:t xml:space="preserve"> </w:t>
      </w:r>
      <w:r w:rsidR="00D9258C" w:rsidRPr="00FD6A6A">
        <w:t>socio-economic</w:t>
      </w:r>
      <w:r w:rsidR="00541D05">
        <w:t xml:space="preserve"> </w:t>
      </w:r>
      <w:r w:rsidR="00D9258C" w:rsidRPr="00FD6A6A">
        <w:t>indicators</w:t>
      </w:r>
      <w:r w:rsidR="00541D05">
        <w:t xml:space="preserve"> </w:t>
      </w:r>
      <w:r w:rsidR="00D9258C" w:rsidRPr="00FD6A6A">
        <w:t>according</w:t>
      </w:r>
      <w:r w:rsidR="00541D05">
        <w:t xml:space="preserve"> </w:t>
      </w:r>
      <w:r w:rsidR="00D9258C" w:rsidRPr="00FD6A6A">
        <w:t>to</w:t>
      </w:r>
      <w:r w:rsidR="00541D05">
        <w:t xml:space="preserve"> </w:t>
      </w:r>
      <w:r w:rsidR="00D9258C" w:rsidRPr="00FD6A6A">
        <w:t>such</w:t>
      </w:r>
      <w:r w:rsidR="00541D05">
        <w:t xml:space="preserve"> </w:t>
      </w:r>
      <w:r w:rsidR="00D9258C" w:rsidRPr="00FD6A6A">
        <w:t>categories</w:t>
      </w:r>
      <w:r w:rsidR="00541D05">
        <w:t xml:space="preserve"> </w:t>
      </w:r>
      <w:r w:rsidR="00D9258C" w:rsidRPr="00FD6A6A">
        <w:t>and</w:t>
      </w:r>
      <w:r w:rsidR="00541D05">
        <w:t xml:space="preserve"> </w:t>
      </w:r>
      <w:r w:rsidR="00D9258C" w:rsidRPr="00FD6A6A">
        <w:t>has</w:t>
      </w:r>
      <w:r w:rsidR="00541D05">
        <w:t xml:space="preserve"> </w:t>
      </w:r>
      <w:r w:rsidR="00D9258C" w:rsidRPr="00FD6A6A">
        <w:t>build</w:t>
      </w:r>
      <w:r w:rsidR="00541D05">
        <w:t xml:space="preserve"> </w:t>
      </w:r>
      <w:r w:rsidR="00D9258C" w:rsidRPr="00FD6A6A">
        <w:t>long</w:t>
      </w:r>
      <w:r w:rsidR="00541D05">
        <w:t xml:space="preserve"> </w:t>
      </w:r>
      <w:r w:rsidR="00D9258C" w:rsidRPr="00FD6A6A">
        <w:t>historical</w:t>
      </w:r>
      <w:r w:rsidR="00541D05">
        <w:t xml:space="preserve"> </w:t>
      </w:r>
      <w:r w:rsidR="00D9258C" w:rsidRPr="00FD6A6A">
        <w:t>series</w:t>
      </w:r>
      <w:r w:rsidR="00541D05">
        <w:t xml:space="preserve"> </w:t>
      </w:r>
      <w:r w:rsidR="00D9258C" w:rsidRPr="00FD6A6A">
        <w:t>to</w:t>
      </w:r>
      <w:r w:rsidR="00541D05">
        <w:t xml:space="preserve"> </w:t>
      </w:r>
      <w:r w:rsidR="00D9258C" w:rsidRPr="00FD6A6A">
        <w:t>analyze</w:t>
      </w:r>
      <w:r w:rsidR="00541D05">
        <w:t xml:space="preserve"> </w:t>
      </w:r>
      <w:r w:rsidR="00D9258C" w:rsidRPr="00FD6A6A">
        <w:t>trends</w:t>
      </w:r>
      <w:r w:rsidR="00541D05">
        <w:t xml:space="preserve"> </w:t>
      </w:r>
      <w:r w:rsidR="00D9258C" w:rsidRPr="00FD6A6A">
        <w:t>based</w:t>
      </w:r>
      <w:r w:rsidR="00541D05">
        <w:t xml:space="preserve"> </w:t>
      </w:r>
      <w:r w:rsidR="00D9258C" w:rsidRPr="00FD6A6A">
        <w:t>on</w:t>
      </w:r>
      <w:r w:rsidR="00541D05">
        <w:t xml:space="preserve"> </w:t>
      </w:r>
      <w:r w:rsidR="00D9258C" w:rsidRPr="00FD6A6A">
        <w:t>such</w:t>
      </w:r>
      <w:r w:rsidR="00541D05">
        <w:t xml:space="preserve"> </w:t>
      </w:r>
      <w:r w:rsidR="00D9258C" w:rsidRPr="00FD6A6A">
        <w:t>indicators.</w:t>
      </w:r>
    </w:p>
    <w:p w14:paraId="14810A0C" w14:textId="3431CE30" w:rsidR="00D9258C" w:rsidRPr="00FD6A6A" w:rsidRDefault="00166390" w:rsidP="00166390">
      <w:pPr>
        <w:pStyle w:val="ParaNoG"/>
        <w:numPr>
          <w:ilvl w:val="0"/>
          <w:numId w:val="0"/>
        </w:numPr>
        <w:tabs>
          <w:tab w:val="left" w:pos="0"/>
        </w:tabs>
        <w:ind w:left="1134"/>
      </w:pPr>
      <w:r w:rsidRPr="00FD6A6A">
        <w:t>5.</w:t>
      </w:r>
      <w:r w:rsidRPr="00FD6A6A">
        <w:tab/>
      </w:r>
      <w:r w:rsidR="00D9258C" w:rsidRPr="00FD6A6A">
        <w:t>IBGE</w:t>
      </w:r>
      <w:r w:rsidR="00EA62F1">
        <w:t>’</w:t>
      </w:r>
      <w:r w:rsidR="00D9258C" w:rsidRPr="00FD6A6A">
        <w:t>s</w:t>
      </w:r>
      <w:r w:rsidR="00541D05">
        <w:t xml:space="preserve"> </w:t>
      </w:r>
      <w:r w:rsidR="00D9258C" w:rsidRPr="00FD6A6A">
        <w:t>classification</w:t>
      </w:r>
      <w:r w:rsidR="00541D05">
        <w:t xml:space="preserve"> </w:t>
      </w:r>
      <w:r w:rsidR="00D9258C" w:rsidRPr="00FD6A6A">
        <w:t>is</w:t>
      </w:r>
      <w:r w:rsidR="00541D05">
        <w:t xml:space="preserve"> </w:t>
      </w:r>
      <w:r w:rsidR="00D9258C" w:rsidRPr="00FD6A6A">
        <w:t>more</w:t>
      </w:r>
      <w:r w:rsidR="00541D05">
        <w:t xml:space="preserve"> </w:t>
      </w:r>
      <w:r w:rsidR="00D9258C" w:rsidRPr="00FD6A6A">
        <w:t>than</w:t>
      </w:r>
      <w:r w:rsidR="00541D05">
        <w:t xml:space="preserve"> </w:t>
      </w:r>
      <w:r w:rsidR="00D9258C" w:rsidRPr="00FD6A6A">
        <w:t>a</w:t>
      </w:r>
      <w:r w:rsidR="00541D05">
        <w:t xml:space="preserve"> </w:t>
      </w:r>
      <w:r w:rsidR="00D9258C" w:rsidRPr="00FD6A6A">
        <w:t>mere</w:t>
      </w:r>
      <w:r w:rsidR="00541D05">
        <w:t xml:space="preserve"> </w:t>
      </w:r>
      <w:r w:rsidR="00D9258C" w:rsidRPr="00FD6A6A">
        <w:t>taxonomy</w:t>
      </w:r>
      <w:r w:rsidR="00541D05">
        <w:t xml:space="preserve"> </w:t>
      </w:r>
      <w:r w:rsidR="00D9258C" w:rsidRPr="00FD6A6A">
        <w:t>created</w:t>
      </w:r>
      <w:r w:rsidR="00541D05">
        <w:t xml:space="preserve"> </w:t>
      </w:r>
      <w:r w:rsidR="00D9258C" w:rsidRPr="00FD6A6A">
        <w:t>by</w:t>
      </w:r>
      <w:r w:rsidR="00541D05">
        <w:t xml:space="preserve"> </w:t>
      </w:r>
      <w:r w:rsidR="00D9258C" w:rsidRPr="00FD6A6A">
        <w:t>bureaucrats.</w:t>
      </w:r>
      <w:r w:rsidR="00541D05">
        <w:t xml:space="preserve"> </w:t>
      </w:r>
      <w:r w:rsidR="00D9258C" w:rsidRPr="00FD6A6A">
        <w:t>It</w:t>
      </w:r>
      <w:r w:rsidR="00541D05">
        <w:t xml:space="preserve"> </w:t>
      </w:r>
      <w:r w:rsidR="00D9258C" w:rsidRPr="00FD6A6A">
        <w:t>is</w:t>
      </w:r>
      <w:r w:rsidR="00541D05">
        <w:t xml:space="preserve"> </w:t>
      </w:r>
      <w:r w:rsidR="00D9258C" w:rsidRPr="00FD6A6A">
        <w:t>based</w:t>
      </w:r>
      <w:r w:rsidR="00541D05">
        <w:t xml:space="preserve"> </w:t>
      </w:r>
      <w:r w:rsidR="00D9258C" w:rsidRPr="00FD6A6A">
        <w:t>on</w:t>
      </w:r>
      <w:r w:rsidR="00541D05">
        <w:t xml:space="preserve"> </w:t>
      </w:r>
      <w:r w:rsidR="00D9258C" w:rsidRPr="00FD6A6A">
        <w:t>the</w:t>
      </w:r>
      <w:r w:rsidR="00541D05">
        <w:t xml:space="preserve"> </w:t>
      </w:r>
      <w:r w:rsidR="00D9258C" w:rsidRPr="00FD6A6A">
        <w:t>perception</w:t>
      </w:r>
      <w:r w:rsidR="00541D05">
        <w:t xml:space="preserve"> </w:t>
      </w:r>
      <w:r w:rsidR="00D9258C" w:rsidRPr="00FD6A6A">
        <w:t>that</w:t>
      </w:r>
      <w:r w:rsidR="00541D05">
        <w:t xml:space="preserve"> </w:t>
      </w:r>
      <w:r w:rsidR="00D9258C" w:rsidRPr="00FD6A6A">
        <w:t>Brazil</w:t>
      </w:r>
      <w:r w:rsidR="00541D05">
        <w:t xml:space="preserve"> </w:t>
      </w:r>
      <w:r w:rsidR="00D9258C" w:rsidRPr="00FD6A6A">
        <w:t>was</w:t>
      </w:r>
      <w:r w:rsidR="00541D05">
        <w:t xml:space="preserve"> </w:t>
      </w:r>
      <w:r w:rsidR="00D9258C" w:rsidRPr="00FD6A6A">
        <w:t>composed</w:t>
      </w:r>
      <w:r w:rsidR="00541D05">
        <w:t xml:space="preserve"> </w:t>
      </w:r>
      <w:r w:rsidR="00D9258C" w:rsidRPr="00FD6A6A">
        <w:t>of</w:t>
      </w:r>
      <w:r w:rsidR="00541D05">
        <w:t xml:space="preserve"> </w:t>
      </w:r>
      <w:r w:rsidR="00D9258C" w:rsidRPr="00FD6A6A">
        <w:t>two</w:t>
      </w:r>
      <w:r w:rsidR="00541D05">
        <w:t xml:space="preserve"> </w:t>
      </w:r>
      <w:r w:rsidR="00D9258C" w:rsidRPr="00FD6A6A">
        <w:t>races</w:t>
      </w:r>
      <w:r w:rsidR="00541D05">
        <w:t xml:space="preserve"> </w:t>
      </w:r>
      <w:r w:rsidR="00D9258C" w:rsidRPr="00FD6A6A">
        <w:t>at</w:t>
      </w:r>
      <w:r w:rsidR="00541D05">
        <w:t xml:space="preserve"> </w:t>
      </w:r>
      <w:r w:rsidR="00D9258C" w:rsidRPr="00FD6A6A">
        <w:t>the</w:t>
      </w:r>
      <w:r w:rsidR="00541D05">
        <w:t xml:space="preserve"> </w:t>
      </w:r>
      <w:r w:rsidR="00D9258C" w:rsidRPr="00FD6A6A">
        <w:t>end</w:t>
      </w:r>
      <w:r w:rsidR="00541D05">
        <w:t xml:space="preserve"> </w:t>
      </w:r>
      <w:r w:rsidR="00D9258C" w:rsidRPr="00FD6A6A">
        <w:t>of</w:t>
      </w:r>
      <w:r w:rsidR="00541D05">
        <w:t xml:space="preserve"> </w:t>
      </w:r>
      <w:r w:rsidR="00D9258C" w:rsidRPr="00FD6A6A">
        <w:t>the</w:t>
      </w:r>
      <w:r w:rsidR="00541D05">
        <w:t xml:space="preserve"> </w:t>
      </w:r>
      <w:r w:rsidR="00D9258C" w:rsidRPr="00FD6A6A">
        <w:t>19th</w:t>
      </w:r>
      <w:r w:rsidR="00541D05">
        <w:t xml:space="preserve"> </w:t>
      </w:r>
      <w:r w:rsidR="00D9258C" w:rsidRPr="00FD6A6A">
        <w:t>century,</w:t>
      </w:r>
      <w:r w:rsidR="00541D05">
        <w:t xml:space="preserve"> </w:t>
      </w:r>
      <w:r w:rsidR="00D9258C" w:rsidRPr="00FD6A6A">
        <w:t>through</w:t>
      </w:r>
      <w:r w:rsidR="00541D05">
        <w:t xml:space="preserve"> </w:t>
      </w:r>
      <w:r w:rsidR="00D9258C" w:rsidRPr="00FD6A6A">
        <w:t>the</w:t>
      </w:r>
      <w:r w:rsidR="00541D05">
        <w:t xml:space="preserve"> </w:t>
      </w:r>
      <w:r w:rsidR="00D9258C" w:rsidRPr="00FD6A6A">
        <w:t>use</w:t>
      </w:r>
      <w:r w:rsidR="00541D05">
        <w:t xml:space="preserve"> </w:t>
      </w:r>
      <w:r w:rsidR="00D9258C" w:rsidRPr="00FD6A6A">
        <w:t>of</w:t>
      </w:r>
      <w:r w:rsidR="00541D05">
        <w:t xml:space="preserve"> </w:t>
      </w:r>
      <w:r w:rsidR="00D9258C" w:rsidRPr="00FD6A6A">
        <w:t>categories</w:t>
      </w:r>
      <w:r w:rsidR="00541D05">
        <w:t xml:space="preserve"> </w:t>
      </w:r>
      <w:r w:rsidR="00D9258C" w:rsidRPr="00FD6A6A">
        <w:t>current</w:t>
      </w:r>
      <w:r w:rsidR="00541D05">
        <w:t xml:space="preserve"> </w:t>
      </w:r>
      <w:r w:rsidR="00D9258C" w:rsidRPr="00FD6A6A">
        <w:t>at</w:t>
      </w:r>
      <w:r w:rsidR="00541D05">
        <w:t xml:space="preserve"> </w:t>
      </w:r>
      <w:r w:rsidR="00D9258C" w:rsidRPr="00FD6A6A">
        <w:t>the</w:t>
      </w:r>
      <w:r w:rsidR="00541D05">
        <w:t xml:space="preserve"> </w:t>
      </w:r>
      <w:r w:rsidR="00D9258C" w:rsidRPr="00FD6A6A">
        <w:t>time</w:t>
      </w:r>
      <w:r w:rsidR="00541D05">
        <w:t xml:space="preserve"> </w:t>
      </w:r>
      <w:r w:rsidR="00D9258C" w:rsidRPr="00FD6A6A">
        <w:t>for</w:t>
      </w:r>
      <w:r w:rsidR="00541D05">
        <w:t xml:space="preserve"> </w:t>
      </w:r>
      <w:r w:rsidR="00D9258C" w:rsidRPr="00FD6A6A">
        <w:t>classification</w:t>
      </w:r>
      <w:r w:rsidR="00541D05">
        <w:t xml:space="preserve"> </w:t>
      </w:r>
      <w:r w:rsidR="00D9258C" w:rsidRPr="00FD6A6A">
        <w:t>of</w:t>
      </w:r>
      <w:r w:rsidR="00541D05">
        <w:t xml:space="preserve"> </w:t>
      </w:r>
      <w:r w:rsidR="00D9258C" w:rsidRPr="00FD6A6A">
        <w:t>individuals.</w:t>
      </w:r>
      <w:r w:rsidR="00541D05">
        <w:t xml:space="preserve"> </w:t>
      </w:r>
      <w:r w:rsidR="00D9258C" w:rsidRPr="00FD6A6A">
        <w:t>In</w:t>
      </w:r>
      <w:r w:rsidR="00541D05">
        <w:t xml:space="preserve"> </w:t>
      </w:r>
      <w:r w:rsidR="00D9258C" w:rsidRPr="00FD6A6A">
        <w:t>a</w:t>
      </w:r>
      <w:r w:rsidR="00541D05">
        <w:t xml:space="preserve"> </w:t>
      </w:r>
      <w:r w:rsidR="00D9258C" w:rsidRPr="00FD6A6A">
        <w:t>reflective</w:t>
      </w:r>
      <w:r w:rsidR="00541D05">
        <w:t xml:space="preserve"> </w:t>
      </w:r>
      <w:r w:rsidR="00D9258C" w:rsidRPr="00FD6A6A">
        <w:t>process,</w:t>
      </w:r>
      <w:r w:rsidR="00541D05">
        <w:t xml:space="preserve"> </w:t>
      </w:r>
      <w:r w:rsidR="00D9258C" w:rsidRPr="00FD6A6A">
        <w:t>it</w:t>
      </w:r>
      <w:r w:rsidR="00541D05">
        <w:t xml:space="preserve"> </w:t>
      </w:r>
      <w:r w:rsidR="00D9258C" w:rsidRPr="00FD6A6A">
        <w:t>is</w:t>
      </w:r>
      <w:r w:rsidR="00541D05">
        <w:t xml:space="preserve"> </w:t>
      </w:r>
      <w:r w:rsidR="00D9258C" w:rsidRPr="00FD6A6A">
        <w:t>the</w:t>
      </w:r>
      <w:r w:rsidR="00541D05">
        <w:t xml:space="preserve"> </w:t>
      </w:r>
      <w:r w:rsidR="00D9258C" w:rsidRPr="00FD6A6A">
        <w:t>main</w:t>
      </w:r>
      <w:r w:rsidR="00541D05">
        <w:t xml:space="preserve"> </w:t>
      </w:r>
      <w:r w:rsidR="00D9258C" w:rsidRPr="00FD6A6A">
        <w:t>pillar</w:t>
      </w:r>
      <w:r w:rsidR="00541D05">
        <w:t xml:space="preserve"> </w:t>
      </w:r>
      <w:r w:rsidR="00D9258C" w:rsidRPr="00FD6A6A">
        <w:t>of</w:t>
      </w:r>
      <w:r w:rsidR="00541D05">
        <w:t xml:space="preserve"> </w:t>
      </w:r>
      <w:r w:rsidR="00D9258C" w:rsidRPr="00FD6A6A">
        <w:t>the</w:t>
      </w:r>
      <w:r w:rsidR="00541D05">
        <w:t xml:space="preserve"> </w:t>
      </w:r>
      <w:r w:rsidR="00D9258C" w:rsidRPr="00FD6A6A">
        <w:t>national</w:t>
      </w:r>
      <w:r w:rsidR="00541D05">
        <w:t xml:space="preserve"> </w:t>
      </w:r>
      <w:r w:rsidR="00D9258C" w:rsidRPr="00FD6A6A">
        <w:t>representation</w:t>
      </w:r>
      <w:r w:rsidR="00541D05">
        <w:t xml:space="preserve"> </w:t>
      </w:r>
      <w:r w:rsidR="00D9258C" w:rsidRPr="00FD6A6A">
        <w:t>of</w:t>
      </w:r>
      <w:r w:rsidR="00541D05">
        <w:t xml:space="preserve"> </w:t>
      </w:r>
      <w:r w:rsidR="00D9258C" w:rsidRPr="00FD6A6A">
        <w:t>races.</w:t>
      </w:r>
      <w:r w:rsidR="00541D05">
        <w:t xml:space="preserve"> </w:t>
      </w:r>
      <w:r w:rsidR="00D9258C" w:rsidRPr="00FD6A6A">
        <w:t>Brazilians</w:t>
      </w:r>
      <w:r w:rsidR="00541D05">
        <w:t xml:space="preserve"> </w:t>
      </w:r>
      <w:r w:rsidR="00D9258C" w:rsidRPr="00FD6A6A">
        <w:t>generally</w:t>
      </w:r>
      <w:r w:rsidR="00541D05">
        <w:t xml:space="preserve"> </w:t>
      </w:r>
      <w:r w:rsidR="00D9258C" w:rsidRPr="00FD6A6A">
        <w:t>perceive</w:t>
      </w:r>
      <w:r w:rsidR="00541D05">
        <w:t xml:space="preserve"> </w:t>
      </w:r>
      <w:r w:rsidR="00D9258C" w:rsidRPr="00FD6A6A">
        <w:t>race</w:t>
      </w:r>
      <w:r w:rsidR="00541D05">
        <w:t xml:space="preserve"> </w:t>
      </w:r>
      <w:r w:rsidR="00D9258C" w:rsidRPr="00FD6A6A">
        <w:t>as</w:t>
      </w:r>
      <w:r w:rsidR="00541D05">
        <w:t xml:space="preserve"> </w:t>
      </w:r>
      <w:r w:rsidR="00D9258C" w:rsidRPr="00FD6A6A">
        <w:t>defined</w:t>
      </w:r>
      <w:r w:rsidR="00541D05">
        <w:t xml:space="preserve"> </w:t>
      </w:r>
      <w:r w:rsidR="00D9258C" w:rsidRPr="00FD6A6A">
        <w:t>by</w:t>
      </w:r>
      <w:r w:rsidR="00541D05">
        <w:t xml:space="preserve"> </w:t>
      </w:r>
      <w:r w:rsidR="00D9258C" w:rsidRPr="00FD6A6A">
        <w:t>individuals</w:t>
      </w:r>
      <w:r w:rsidR="00EA62F1">
        <w:t>’</w:t>
      </w:r>
      <w:r w:rsidR="00541D05">
        <w:t xml:space="preserve"> </w:t>
      </w:r>
      <w:r w:rsidR="00D9258C" w:rsidRPr="00FD6A6A">
        <w:t>physical</w:t>
      </w:r>
      <w:r w:rsidR="00541D05">
        <w:t xml:space="preserve"> </w:t>
      </w:r>
      <w:r w:rsidR="00D9258C" w:rsidRPr="00FD6A6A">
        <w:t>characteristics,</w:t>
      </w:r>
      <w:r w:rsidR="00541D05">
        <w:t xml:space="preserve"> </w:t>
      </w:r>
      <w:r w:rsidR="00D9258C" w:rsidRPr="00FD6A6A">
        <w:t>such</w:t>
      </w:r>
      <w:r w:rsidR="00541D05">
        <w:t xml:space="preserve"> </w:t>
      </w:r>
      <w:r w:rsidR="00D9258C" w:rsidRPr="00FD6A6A">
        <w:t>as</w:t>
      </w:r>
      <w:r w:rsidR="00541D05">
        <w:t xml:space="preserve"> </w:t>
      </w:r>
      <w:r w:rsidR="00D9258C" w:rsidRPr="00FD6A6A">
        <w:t>skin</w:t>
      </w:r>
      <w:r w:rsidR="00541D05">
        <w:t xml:space="preserve"> </w:t>
      </w:r>
      <w:r w:rsidR="00D9258C" w:rsidRPr="00FD6A6A">
        <w:t>tone,</w:t>
      </w:r>
      <w:r w:rsidR="00541D05">
        <w:t xml:space="preserve"> </w:t>
      </w:r>
      <w:r w:rsidR="00D9258C" w:rsidRPr="00FD6A6A">
        <w:t>hair</w:t>
      </w:r>
      <w:r w:rsidR="00541D05">
        <w:t xml:space="preserve"> </w:t>
      </w:r>
      <w:r w:rsidR="00D9258C" w:rsidRPr="00FD6A6A">
        <w:t>type,</w:t>
      </w:r>
      <w:r w:rsidR="00541D05">
        <w:t xml:space="preserve"> </w:t>
      </w:r>
      <w:r w:rsidR="00D9258C" w:rsidRPr="00FD6A6A">
        <w:t>and</w:t>
      </w:r>
      <w:r w:rsidR="00541D05">
        <w:t xml:space="preserve"> </w:t>
      </w:r>
      <w:r w:rsidR="00D9258C" w:rsidRPr="00FD6A6A">
        <w:t>traits.</w:t>
      </w:r>
    </w:p>
    <w:p w14:paraId="356B200A" w14:textId="11D1AEF6" w:rsidR="00D9258C" w:rsidRPr="00FD6A6A" w:rsidRDefault="00166390" w:rsidP="00166390">
      <w:pPr>
        <w:pStyle w:val="ParaNoG"/>
        <w:numPr>
          <w:ilvl w:val="0"/>
          <w:numId w:val="0"/>
        </w:numPr>
        <w:tabs>
          <w:tab w:val="left" w:pos="0"/>
        </w:tabs>
        <w:ind w:left="1134"/>
      </w:pPr>
      <w:r w:rsidRPr="00FD6A6A">
        <w:t>6.</w:t>
      </w:r>
      <w:r w:rsidRPr="00FD6A6A">
        <w:tab/>
      </w:r>
      <w:r w:rsidR="00D9258C" w:rsidRPr="00FD6A6A">
        <w:t>The</w:t>
      </w:r>
      <w:r w:rsidR="00541D05">
        <w:t xml:space="preserve"> </w:t>
      </w:r>
      <w:r w:rsidR="00D9258C" w:rsidRPr="00FD6A6A">
        <w:t>official</w:t>
      </w:r>
      <w:r w:rsidR="00541D05">
        <w:t xml:space="preserve"> </w:t>
      </w:r>
      <w:r w:rsidR="00D9258C" w:rsidRPr="00FD6A6A">
        <w:t>agencies,</w:t>
      </w:r>
      <w:r w:rsidR="00541D05">
        <w:t xml:space="preserve"> </w:t>
      </w:r>
      <w:r w:rsidR="00D9258C" w:rsidRPr="00FD6A6A">
        <w:t>together</w:t>
      </w:r>
      <w:r w:rsidR="00541D05">
        <w:t xml:space="preserve"> </w:t>
      </w:r>
      <w:r w:rsidR="00D9258C" w:rsidRPr="00FD6A6A">
        <w:t>with</w:t>
      </w:r>
      <w:r w:rsidR="00541D05">
        <w:t xml:space="preserve"> </w:t>
      </w:r>
      <w:r w:rsidR="00D9258C" w:rsidRPr="00FD6A6A">
        <w:t>civil</w:t>
      </w:r>
      <w:r w:rsidR="00541D05">
        <w:t xml:space="preserve"> </w:t>
      </w:r>
      <w:r w:rsidR="00D9258C" w:rsidRPr="00FD6A6A">
        <w:t>society</w:t>
      </w:r>
      <w:r w:rsidR="00541D05">
        <w:t xml:space="preserve"> </w:t>
      </w:r>
      <w:r w:rsidR="00D9258C" w:rsidRPr="00FD6A6A">
        <w:t>organizations</w:t>
      </w:r>
      <w:r w:rsidR="00541D05">
        <w:t xml:space="preserve"> </w:t>
      </w:r>
      <w:r w:rsidR="00D9258C" w:rsidRPr="00FD6A6A">
        <w:t>and</w:t>
      </w:r>
      <w:r w:rsidR="00541D05">
        <w:t xml:space="preserve"> </w:t>
      </w:r>
      <w:r w:rsidR="00D9258C" w:rsidRPr="00FD6A6A">
        <w:t>public</w:t>
      </w:r>
      <w:r w:rsidR="00541D05">
        <w:t xml:space="preserve"> </w:t>
      </w:r>
      <w:r w:rsidR="00D9258C" w:rsidRPr="00FD6A6A">
        <w:t>and</w:t>
      </w:r>
      <w:r w:rsidR="00541D05">
        <w:t xml:space="preserve"> </w:t>
      </w:r>
      <w:r w:rsidR="00D9258C" w:rsidRPr="00FD6A6A">
        <w:t>private</w:t>
      </w:r>
      <w:r w:rsidR="00541D05">
        <w:t xml:space="preserve"> </w:t>
      </w:r>
      <w:r w:rsidR="00D9258C" w:rsidRPr="00FD6A6A">
        <w:t>research</w:t>
      </w:r>
      <w:r w:rsidR="00541D05">
        <w:t xml:space="preserve"> </w:t>
      </w:r>
      <w:r w:rsidR="00D9258C" w:rsidRPr="00FD6A6A">
        <w:t>centers,</w:t>
      </w:r>
      <w:r w:rsidR="00541D05">
        <w:t xml:space="preserve"> </w:t>
      </w:r>
      <w:r w:rsidR="00D9258C" w:rsidRPr="00FD6A6A">
        <w:t>recognize</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as</w:t>
      </w:r>
      <w:r w:rsidR="00541D05">
        <w:t xml:space="preserve"> </w:t>
      </w:r>
      <w:r w:rsidR="00D9258C" w:rsidRPr="00FD6A6A">
        <w:t>being</w:t>
      </w:r>
      <w:r w:rsidR="00541D05">
        <w:t xml:space="preserve"> </w:t>
      </w:r>
      <w:r w:rsidR="00D9258C" w:rsidRPr="00FD6A6A">
        <w:t>composed</w:t>
      </w:r>
      <w:r w:rsidR="00541D05">
        <w:t xml:space="preserve"> </w:t>
      </w:r>
      <w:r w:rsidR="00D9258C" w:rsidRPr="00FD6A6A">
        <w:t>of</w:t>
      </w:r>
      <w:r w:rsidR="00541D05">
        <w:t xml:space="preserve"> </w:t>
      </w:r>
      <w:r w:rsidR="00D9258C" w:rsidRPr="00FD6A6A">
        <w:t>self-declared</w:t>
      </w:r>
      <w:r w:rsidR="00541D05">
        <w:t xml:space="preserve"> </w:t>
      </w:r>
      <w:r w:rsidR="00D9258C" w:rsidRPr="00FD6A6A">
        <w:t>black</w:t>
      </w:r>
      <w:r w:rsidR="00541D05">
        <w:t xml:space="preserve"> </w:t>
      </w:r>
      <w:r w:rsidR="00D9258C" w:rsidRPr="00FD6A6A">
        <w:t>and</w:t>
      </w:r>
      <w:r w:rsidR="00541D05">
        <w:t xml:space="preserve"> </w:t>
      </w:r>
      <w:r w:rsidR="00D9258C" w:rsidRPr="00DC505F">
        <w:rPr>
          <w:i/>
          <w:iCs/>
        </w:rPr>
        <w:t>pardo</w:t>
      </w:r>
      <w:r w:rsidR="00541D05">
        <w:t xml:space="preserve"> </w:t>
      </w:r>
      <w:r w:rsidR="00D9258C" w:rsidRPr="00FD6A6A">
        <w:t>individuas.</w:t>
      </w:r>
      <w:r w:rsidR="00541D05">
        <w:t xml:space="preserve"> </w:t>
      </w:r>
      <w:r w:rsidR="00D9258C" w:rsidRPr="00FD6A6A">
        <w:t>By</w:t>
      </w:r>
      <w:r w:rsidR="00541D05">
        <w:t xml:space="preserve"> </w:t>
      </w:r>
      <w:r w:rsidR="00D9258C" w:rsidRPr="00FD6A6A">
        <w:t>incorporating</w:t>
      </w:r>
      <w:r w:rsidR="00541D05">
        <w:t xml:space="preserve"> </w:t>
      </w:r>
      <w:r w:rsidR="00D9258C" w:rsidRPr="00FD6A6A">
        <w:t>IBGE</w:t>
      </w:r>
      <w:r w:rsidR="00EA62F1">
        <w:t>’</w:t>
      </w:r>
      <w:r w:rsidR="00D9258C" w:rsidRPr="00FD6A6A">
        <w:t>s</w:t>
      </w:r>
      <w:r w:rsidR="00541D05">
        <w:t xml:space="preserve"> </w:t>
      </w:r>
      <w:r w:rsidR="00D9258C" w:rsidRPr="00FD6A6A">
        <w:t>classification</w:t>
      </w:r>
      <w:r w:rsidR="00541D05">
        <w:t xml:space="preserve"> </w:t>
      </w:r>
      <w:r w:rsidR="00D9258C" w:rsidRPr="00FD6A6A">
        <w:t>system</w:t>
      </w:r>
      <w:r w:rsidR="00541D05">
        <w:t xml:space="preserve"> </w:t>
      </w:r>
      <w:r w:rsidR="00D9258C" w:rsidRPr="00FD6A6A">
        <w:t>as</w:t>
      </w:r>
      <w:r w:rsidR="00541D05">
        <w:t xml:space="preserve"> </w:t>
      </w:r>
      <w:r w:rsidR="00D9258C" w:rsidRPr="00FD6A6A">
        <w:t>the</w:t>
      </w:r>
      <w:r w:rsidR="00541D05">
        <w:t xml:space="preserve"> </w:t>
      </w:r>
      <w:r w:rsidR="00D9258C" w:rsidRPr="00FD6A6A">
        <w:t>basis</w:t>
      </w:r>
      <w:r w:rsidR="00541D05">
        <w:t xml:space="preserve"> </w:t>
      </w:r>
      <w:r w:rsidR="00D9258C" w:rsidRPr="00FD6A6A">
        <w:t>of</w:t>
      </w:r>
      <w:r w:rsidR="00541D05">
        <w:t xml:space="preserve"> </w:t>
      </w:r>
      <w:r w:rsidR="00D9258C" w:rsidRPr="00FD6A6A">
        <w:t>its</w:t>
      </w:r>
      <w:r w:rsidR="00541D05">
        <w:t xml:space="preserve"> </w:t>
      </w:r>
      <w:r w:rsidR="00D9258C" w:rsidRPr="00FD6A6A">
        <w:t>public</w:t>
      </w:r>
      <w:r w:rsidR="00541D05">
        <w:t xml:space="preserve"> </w:t>
      </w:r>
      <w:r w:rsidR="00D9258C" w:rsidRPr="00FD6A6A">
        <w:t>policies,</w:t>
      </w:r>
      <w:r w:rsidR="00541D05">
        <w:t xml:space="preserve"> </w:t>
      </w:r>
      <w:r w:rsidR="00D9258C" w:rsidRPr="00FD6A6A">
        <w:t>the</w:t>
      </w:r>
      <w:r w:rsidR="00541D05">
        <w:t xml:space="preserve"> </w:t>
      </w:r>
      <w:r w:rsidR="00D9258C" w:rsidRPr="00FD6A6A">
        <w:t>Government</w:t>
      </w:r>
      <w:r w:rsidR="00541D05">
        <w:t xml:space="preserve"> </w:t>
      </w:r>
      <w:r w:rsidR="00D9258C" w:rsidRPr="00FD6A6A">
        <w:t>considers</w:t>
      </w:r>
      <w:r w:rsidR="00541D05">
        <w:t xml:space="preserve"> </w:t>
      </w:r>
      <w:r w:rsidR="00D9258C" w:rsidRPr="00FD6A6A">
        <w:t>the</w:t>
      </w:r>
      <w:r w:rsidR="00541D05">
        <w:t xml:space="preserve"> </w:t>
      </w:r>
      <w:r w:rsidR="00D9258C" w:rsidRPr="00DC505F">
        <w:rPr>
          <w:i/>
          <w:iCs/>
        </w:rPr>
        <w:t>pardo</w:t>
      </w:r>
      <w:r w:rsidR="00541D05">
        <w:t xml:space="preserve"> </w:t>
      </w:r>
      <w:r w:rsidR="00D9258C" w:rsidRPr="00FD6A6A">
        <w:t>individual</w:t>
      </w:r>
      <w:r w:rsidR="00541D05">
        <w:t xml:space="preserve"> </w:t>
      </w:r>
      <w:r w:rsidR="00D9258C" w:rsidRPr="00FD6A6A">
        <w:t>to</w:t>
      </w:r>
      <w:r w:rsidR="00541D05">
        <w:t xml:space="preserve"> </w:t>
      </w:r>
      <w:r w:rsidR="00D9258C" w:rsidRPr="00FD6A6A">
        <w:t>be</w:t>
      </w:r>
      <w:r w:rsidR="00541D05">
        <w:t xml:space="preserve"> </w:t>
      </w:r>
      <w:r w:rsidR="00D9258C" w:rsidRPr="00FD6A6A">
        <w:t>Afro-Brazilian,</w:t>
      </w:r>
      <w:r w:rsidR="00541D05">
        <w:t xml:space="preserve"> </w:t>
      </w:r>
      <w:r w:rsidR="00D9258C" w:rsidRPr="00FD6A6A">
        <w:t>officially</w:t>
      </w:r>
      <w:r w:rsidR="00541D05">
        <w:t xml:space="preserve"> </w:t>
      </w:r>
      <w:r w:rsidR="00D9258C" w:rsidRPr="00FD6A6A">
        <w:t>acknowledging</w:t>
      </w:r>
      <w:r w:rsidR="00541D05">
        <w:t xml:space="preserve"> </w:t>
      </w:r>
      <w:r w:rsidR="00D9258C" w:rsidRPr="00FD6A6A">
        <w:t>that</w:t>
      </w:r>
      <w:r w:rsidR="00541D05">
        <w:t xml:space="preserve"> </w:t>
      </w:r>
      <w:r w:rsidR="00D9258C" w:rsidRPr="00FD6A6A">
        <w:t>the</w:t>
      </w:r>
      <w:r w:rsidR="00541D05">
        <w:t xml:space="preserve"> </w:t>
      </w:r>
      <w:r w:rsidR="00D9258C" w:rsidRPr="00FD6A6A">
        <w:t>presence</w:t>
      </w:r>
      <w:r w:rsidR="00541D05">
        <w:t xml:space="preserve"> </w:t>
      </w:r>
      <w:r w:rsidR="00D9258C" w:rsidRPr="00FD6A6A">
        <w:t>of</w:t>
      </w:r>
      <w:r w:rsidR="00541D05">
        <w:t xml:space="preserve"> </w:t>
      </w:r>
      <w:r w:rsidR="00D9258C" w:rsidRPr="00FD6A6A">
        <w:t>phenotypic</w:t>
      </w:r>
      <w:r w:rsidR="00541D05">
        <w:t xml:space="preserve"> </w:t>
      </w:r>
      <w:r w:rsidR="00D9258C" w:rsidRPr="00FD6A6A">
        <w:t>traits</w:t>
      </w:r>
      <w:r w:rsidR="00541D05">
        <w:t xml:space="preserve"> </w:t>
      </w:r>
      <w:r w:rsidR="00D9258C" w:rsidRPr="00FD6A6A">
        <w:t>may</w:t>
      </w:r>
      <w:r w:rsidR="00541D05">
        <w:t xml:space="preserve"> </w:t>
      </w:r>
      <w:r w:rsidR="00D9258C" w:rsidRPr="00FD6A6A">
        <w:t>subject</w:t>
      </w:r>
      <w:r w:rsidR="00541D05">
        <w:t xml:space="preserve"> </w:t>
      </w:r>
      <w:r w:rsidR="00D9258C" w:rsidRPr="00FD6A6A">
        <w:t>this</w:t>
      </w:r>
      <w:r w:rsidR="00541D05">
        <w:t xml:space="preserve"> </w:t>
      </w:r>
      <w:r w:rsidR="00D9258C" w:rsidRPr="00FD6A6A">
        <w:t>segment</w:t>
      </w:r>
      <w:r w:rsidR="00541D05">
        <w:t xml:space="preserve"> </w:t>
      </w:r>
      <w:r w:rsidR="00D9258C" w:rsidRPr="00FD6A6A">
        <w:t>of</w:t>
      </w:r>
      <w:r w:rsidR="00541D05">
        <w:t xml:space="preserve"> </w:t>
      </w:r>
      <w:r w:rsidR="00D9258C" w:rsidRPr="00FD6A6A">
        <w:t>the</w:t>
      </w:r>
      <w:r w:rsidR="00541D05">
        <w:t xml:space="preserve"> </w:t>
      </w:r>
      <w:r w:rsidR="00D9258C" w:rsidRPr="00FD6A6A">
        <w:t>population</w:t>
      </w:r>
      <w:r w:rsidR="00541D05">
        <w:t xml:space="preserve"> </w:t>
      </w:r>
      <w:r w:rsidR="00D9258C" w:rsidRPr="00FD6A6A">
        <w:t>to</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The</w:t>
      </w:r>
      <w:r w:rsidR="00541D05">
        <w:t xml:space="preserve"> </w:t>
      </w:r>
      <w:r w:rsidR="00D9258C" w:rsidRPr="00FD6A6A">
        <w:t>socio-economic</w:t>
      </w:r>
      <w:r w:rsidR="00541D05">
        <w:t xml:space="preserve"> </w:t>
      </w:r>
      <w:r w:rsidR="00D9258C" w:rsidRPr="00FD6A6A">
        <w:t>homogeneity</w:t>
      </w:r>
      <w:r w:rsidR="00541D05">
        <w:t xml:space="preserve"> </w:t>
      </w:r>
      <w:r w:rsidR="00D9258C" w:rsidRPr="00FD6A6A">
        <w:t>between</w:t>
      </w:r>
      <w:r w:rsidR="00541D05">
        <w:t xml:space="preserve"> </w:t>
      </w:r>
      <w:r w:rsidR="00D9258C" w:rsidRPr="00FD6A6A">
        <w:t>blacks</w:t>
      </w:r>
      <w:r w:rsidR="00541D05">
        <w:t xml:space="preserve"> </w:t>
      </w:r>
      <w:r w:rsidR="00D9258C" w:rsidRPr="00FD6A6A">
        <w:t>and</w:t>
      </w:r>
      <w:r w:rsidR="00541D05">
        <w:t xml:space="preserve"> </w:t>
      </w:r>
      <w:r w:rsidR="00D9258C" w:rsidRPr="00DC505F">
        <w:rPr>
          <w:i/>
          <w:iCs/>
        </w:rPr>
        <w:t>pardos</w:t>
      </w:r>
      <w:r w:rsidR="00541D05">
        <w:t xml:space="preserve"> </w:t>
      </w:r>
      <w:r w:rsidR="00D9258C" w:rsidRPr="00FD6A6A">
        <w:t>is</w:t>
      </w:r>
      <w:r w:rsidR="00541D05">
        <w:t xml:space="preserve"> </w:t>
      </w:r>
      <w:r w:rsidR="00D9258C" w:rsidRPr="00FD6A6A">
        <w:t>a</w:t>
      </w:r>
      <w:r w:rsidR="00541D05">
        <w:t xml:space="preserve"> </w:t>
      </w:r>
      <w:r w:rsidR="00D9258C" w:rsidRPr="00FD6A6A">
        <w:t>symptom</w:t>
      </w:r>
      <w:r w:rsidR="00541D05">
        <w:t xml:space="preserve"> </w:t>
      </w:r>
      <w:r w:rsidR="00D9258C" w:rsidRPr="00FD6A6A">
        <w:t>of</w:t>
      </w:r>
      <w:r w:rsidR="00541D05">
        <w:t xml:space="preserve"> </w:t>
      </w:r>
      <w:r w:rsidR="00D9258C" w:rsidRPr="00FD6A6A">
        <w:t>discrimination,</w:t>
      </w:r>
      <w:r w:rsidR="00541D05">
        <w:t xml:space="preserve"> </w:t>
      </w:r>
      <w:r w:rsidR="00D9258C" w:rsidRPr="00FD6A6A">
        <w:t>rather</w:t>
      </w:r>
      <w:r w:rsidR="00541D05">
        <w:t xml:space="preserve"> </w:t>
      </w:r>
      <w:r w:rsidR="00D9258C" w:rsidRPr="00FD6A6A">
        <w:t>than</w:t>
      </w:r>
      <w:r w:rsidR="00541D05">
        <w:t xml:space="preserve"> </w:t>
      </w:r>
      <w:r w:rsidR="00D9258C" w:rsidRPr="00FD6A6A">
        <w:t>an</w:t>
      </w:r>
      <w:r w:rsidR="00541D05">
        <w:t xml:space="preserve"> </w:t>
      </w:r>
      <w:r w:rsidR="00D9258C" w:rsidRPr="00FD6A6A">
        <w:t>ultimate</w:t>
      </w:r>
      <w:r w:rsidR="00541D05">
        <w:t xml:space="preserve"> </w:t>
      </w:r>
      <w:r w:rsidR="00D9258C" w:rsidRPr="00FD6A6A">
        <w:t>reason</w:t>
      </w:r>
      <w:r w:rsidR="00541D05">
        <w:t xml:space="preserve"> </w:t>
      </w:r>
      <w:r w:rsidR="00D9258C" w:rsidRPr="00FD6A6A">
        <w:t>for</w:t>
      </w:r>
      <w:r w:rsidR="00541D05">
        <w:t xml:space="preserve"> </w:t>
      </w:r>
      <w:r w:rsidR="00D9258C" w:rsidRPr="00FD6A6A">
        <w:t>the</w:t>
      </w:r>
      <w:r w:rsidR="00541D05">
        <w:t xml:space="preserve"> </w:t>
      </w:r>
      <w:r w:rsidR="00D9258C" w:rsidRPr="00FD6A6A">
        <w:t>grouping</w:t>
      </w:r>
      <w:r w:rsidR="00541D05">
        <w:t xml:space="preserve"> </w:t>
      </w:r>
      <w:r w:rsidR="00D9258C" w:rsidRPr="00FD6A6A">
        <w:t>of</w:t>
      </w:r>
      <w:r w:rsidR="00541D05">
        <w:t xml:space="preserve"> </w:t>
      </w:r>
      <w:r w:rsidR="00D9258C" w:rsidRPr="00FD6A6A">
        <w:t>this</w:t>
      </w:r>
      <w:r w:rsidR="00541D05">
        <w:t xml:space="preserve"> </w:t>
      </w:r>
      <w:r w:rsidR="00D9258C" w:rsidRPr="00FD6A6A">
        <w:t>population.</w:t>
      </w:r>
    </w:p>
    <w:p w14:paraId="69B8E384" w14:textId="0EA2ACF3" w:rsidR="00D9258C" w:rsidRPr="00FD6A6A" w:rsidRDefault="00166390" w:rsidP="00166390">
      <w:pPr>
        <w:pStyle w:val="ParaNoG"/>
        <w:numPr>
          <w:ilvl w:val="0"/>
          <w:numId w:val="0"/>
        </w:numPr>
        <w:tabs>
          <w:tab w:val="left" w:pos="0"/>
        </w:tabs>
        <w:ind w:left="1134"/>
      </w:pPr>
      <w:r w:rsidRPr="00FD6A6A">
        <w:t>7.</w:t>
      </w:r>
      <w:r w:rsidRPr="00FD6A6A">
        <w:tab/>
      </w:r>
      <w:r w:rsidR="00D9258C" w:rsidRPr="00FD6A6A">
        <w:t>In</w:t>
      </w:r>
      <w:r w:rsidR="00541D05">
        <w:t xml:space="preserve"> </w:t>
      </w:r>
      <w:r w:rsidR="00D9258C" w:rsidRPr="00FD6A6A">
        <w:t>2008,</w:t>
      </w:r>
      <w:r w:rsidR="00541D05">
        <w:t xml:space="preserve"> </w:t>
      </w:r>
      <w:r w:rsidR="00D9258C" w:rsidRPr="00FD6A6A">
        <w:t>IBGE</w:t>
      </w:r>
      <w:r w:rsidR="00541D05">
        <w:t xml:space="preserve"> </w:t>
      </w:r>
      <w:r w:rsidR="00D9258C" w:rsidRPr="00FD6A6A">
        <w:t>carried</w:t>
      </w:r>
      <w:r w:rsidR="00541D05">
        <w:t xml:space="preserve"> </w:t>
      </w:r>
      <w:r w:rsidR="00D9258C" w:rsidRPr="00FD6A6A">
        <w:t>out</w:t>
      </w:r>
      <w:r w:rsidR="00541D05">
        <w:t xml:space="preserve"> </w:t>
      </w:r>
      <w:r w:rsidR="00D9258C" w:rsidRPr="00FD6A6A">
        <w:t>research</w:t>
      </w:r>
      <w:r w:rsidR="00541D05">
        <w:t xml:space="preserve"> </w:t>
      </w:r>
      <w:r w:rsidR="00D9258C" w:rsidRPr="00FD6A6A">
        <w:t>to</w:t>
      </w:r>
      <w:r w:rsidR="00541D05">
        <w:t xml:space="preserve"> </w:t>
      </w:r>
      <w:r w:rsidR="00D9258C" w:rsidRPr="00FD6A6A">
        <w:t>improve</w:t>
      </w:r>
      <w:r w:rsidR="00541D05">
        <w:t xml:space="preserve"> </w:t>
      </w:r>
      <w:r w:rsidR="00D9258C" w:rsidRPr="00FD6A6A">
        <w:t>its</w:t>
      </w:r>
      <w:r w:rsidR="00541D05">
        <w:t xml:space="preserve"> </w:t>
      </w:r>
      <w:r w:rsidR="00D9258C" w:rsidRPr="00FD6A6A">
        <w:t>production</w:t>
      </w:r>
      <w:r w:rsidR="00541D05">
        <w:t xml:space="preserve"> </w:t>
      </w:r>
      <w:r w:rsidR="00D9258C" w:rsidRPr="00FD6A6A">
        <w:t>of</w:t>
      </w:r>
      <w:r w:rsidR="00541D05">
        <w:t xml:space="preserve"> </w:t>
      </w:r>
      <w:r w:rsidR="00D9258C" w:rsidRPr="00FD6A6A">
        <w:t>statistics</w:t>
      </w:r>
      <w:r w:rsidR="00541D05">
        <w:t xml:space="preserve"> </w:t>
      </w:r>
      <w:r w:rsidR="00D9258C" w:rsidRPr="00FD6A6A">
        <w:t>on</w:t>
      </w:r>
      <w:r w:rsidR="00541D05">
        <w:t xml:space="preserve"> </w:t>
      </w:r>
      <w:r w:rsidR="00D9258C" w:rsidRPr="00FD6A6A">
        <w:t>skin</w:t>
      </w:r>
      <w:r w:rsidR="00541D05">
        <w:t xml:space="preserve"> </w:t>
      </w:r>
      <w:r w:rsidR="00D9258C" w:rsidRPr="00FD6A6A">
        <w:t>tone/race,</w:t>
      </w:r>
      <w:r w:rsidR="00541D05">
        <w:t xml:space="preserve"> </w:t>
      </w:r>
      <w:r w:rsidR="00D9258C" w:rsidRPr="00FD6A6A">
        <w:t>following</w:t>
      </w:r>
      <w:r w:rsidR="00541D05">
        <w:t xml:space="preserve"> </w:t>
      </w:r>
      <w:r w:rsidR="00D9258C" w:rsidRPr="00FD6A6A">
        <w:t>on</w:t>
      </w:r>
      <w:r w:rsidR="00541D05">
        <w:t xml:space="preserve"> </w:t>
      </w:r>
      <w:r w:rsidR="00D9258C" w:rsidRPr="00FD6A6A">
        <w:t>work</w:t>
      </w:r>
      <w:r w:rsidR="00541D05">
        <w:t xml:space="preserve"> </w:t>
      </w:r>
      <w:r w:rsidR="00D9258C" w:rsidRPr="00FD6A6A">
        <w:t>procedures</w:t>
      </w:r>
      <w:r w:rsidR="00541D05">
        <w:t xml:space="preserve"> </w:t>
      </w:r>
      <w:r w:rsidR="00D9258C" w:rsidRPr="00FD6A6A">
        <w:t>adopted</w:t>
      </w:r>
      <w:r w:rsidR="00541D05">
        <w:t xml:space="preserve"> </w:t>
      </w:r>
      <w:r w:rsidR="00D9258C" w:rsidRPr="00FD6A6A">
        <w:t>in</w:t>
      </w:r>
      <w:r w:rsidR="00541D05">
        <w:t xml:space="preserve"> </w:t>
      </w:r>
      <w:r w:rsidR="00D9258C" w:rsidRPr="00FD6A6A">
        <w:t>1976</w:t>
      </w:r>
      <w:r w:rsidR="00541D05">
        <w:t xml:space="preserve"> </w:t>
      </w:r>
      <w:r w:rsidR="00D9258C" w:rsidRPr="00FD6A6A">
        <w:t>and</w:t>
      </w:r>
      <w:r w:rsidR="00541D05">
        <w:t xml:space="preserve"> </w:t>
      </w:r>
      <w:r w:rsidR="00D9258C" w:rsidRPr="00FD6A6A">
        <w:t>1998.</w:t>
      </w:r>
      <w:r w:rsidR="00541D05">
        <w:t xml:space="preserve"> </w:t>
      </w:r>
      <w:r w:rsidR="00D9258C" w:rsidRPr="00FD6A6A">
        <w:t>The</w:t>
      </w:r>
      <w:r w:rsidR="00541D05">
        <w:t xml:space="preserve"> </w:t>
      </w:r>
      <w:r w:rsidR="00D9258C" w:rsidRPr="00FD6A6A">
        <w:t>2008</w:t>
      </w:r>
      <w:r w:rsidR="00541D05">
        <w:t xml:space="preserve"> </w:t>
      </w:r>
      <w:r w:rsidR="00D9258C" w:rsidRPr="00FD6A6A">
        <w:t>Survey</w:t>
      </w:r>
      <w:r w:rsidR="00541D05">
        <w:t xml:space="preserve"> </w:t>
      </w:r>
      <w:r w:rsidR="00D9258C" w:rsidRPr="00FD6A6A">
        <w:t>on</w:t>
      </w:r>
      <w:r w:rsidR="00541D05">
        <w:t xml:space="preserve"> </w:t>
      </w:r>
      <w:r w:rsidR="00D9258C" w:rsidRPr="00FD6A6A">
        <w:t>the</w:t>
      </w:r>
      <w:r w:rsidR="00541D05">
        <w:t xml:space="preserve"> </w:t>
      </w:r>
      <w:r w:rsidR="00D9258C" w:rsidRPr="00FD6A6A">
        <w:t>Ethnic</w:t>
      </w:r>
      <w:r w:rsidR="00541D05">
        <w:t xml:space="preserve"> </w:t>
      </w:r>
      <w:r w:rsidR="00D9258C" w:rsidRPr="00FD6A6A">
        <w:t>and</w:t>
      </w:r>
      <w:r w:rsidR="00541D05">
        <w:t xml:space="preserve"> </w:t>
      </w:r>
      <w:r w:rsidR="00D9258C" w:rsidRPr="00FD6A6A">
        <w:t>Racial</w:t>
      </w:r>
      <w:r w:rsidR="00541D05">
        <w:t xml:space="preserve"> </w:t>
      </w:r>
      <w:r w:rsidR="00D9258C" w:rsidRPr="00FD6A6A">
        <w:t>Characteristics</w:t>
      </w:r>
      <w:r w:rsidR="00541D05">
        <w:t xml:space="preserve"> </w:t>
      </w:r>
      <w:r w:rsidR="00D9258C" w:rsidRPr="00FD6A6A">
        <w:t>of</w:t>
      </w:r>
      <w:r w:rsidR="00541D05">
        <w:t xml:space="preserve"> </w:t>
      </w:r>
      <w:r w:rsidR="00D9258C" w:rsidRPr="00FD6A6A">
        <w:t>the</w:t>
      </w:r>
      <w:r w:rsidR="00541D05">
        <w:t xml:space="preserve"> </w:t>
      </w:r>
      <w:r w:rsidR="00D9258C" w:rsidRPr="00FD6A6A">
        <w:t>Population</w:t>
      </w:r>
      <w:r w:rsidR="00541D05">
        <w:t xml:space="preserve"> </w:t>
      </w:r>
      <w:r w:rsidR="00D9258C" w:rsidRPr="00FD6A6A">
        <w:t>(PCERP)</w:t>
      </w:r>
      <w:r w:rsidR="00541D05">
        <w:t xml:space="preserve"> </w:t>
      </w:r>
      <w:r w:rsidR="00D9258C" w:rsidRPr="00FD6A6A">
        <w:t>confirmed</w:t>
      </w:r>
      <w:r w:rsidR="00541D05">
        <w:t xml:space="preserve"> </w:t>
      </w:r>
      <w:r w:rsidR="00D9258C" w:rsidRPr="00FD6A6A">
        <w:t>that</w:t>
      </w:r>
      <w:r w:rsidR="00541D05">
        <w:t xml:space="preserve"> </w:t>
      </w:r>
      <w:r w:rsidR="00D9258C" w:rsidRPr="00FD6A6A">
        <w:t>most</w:t>
      </w:r>
      <w:r w:rsidR="00541D05">
        <w:t xml:space="preserve"> </w:t>
      </w:r>
      <w:r w:rsidR="00D9258C" w:rsidRPr="00FD6A6A">
        <w:t>of</w:t>
      </w:r>
      <w:r w:rsidR="00541D05">
        <w:t xml:space="preserve"> </w:t>
      </w:r>
      <w:r w:rsidR="00D9258C" w:rsidRPr="00FD6A6A">
        <w:t>the</w:t>
      </w:r>
      <w:r w:rsidR="00541D05">
        <w:t xml:space="preserve"> </w:t>
      </w:r>
      <w:r w:rsidR="00D9258C" w:rsidRPr="00FD6A6A">
        <w:t>adult</w:t>
      </w:r>
      <w:r w:rsidR="00541D05">
        <w:t xml:space="preserve"> </w:t>
      </w:r>
      <w:r w:rsidR="00D9258C" w:rsidRPr="00FD6A6A">
        <w:t>population</w:t>
      </w:r>
      <w:r w:rsidR="00541D05">
        <w:t xml:space="preserve"> </w:t>
      </w:r>
      <w:r w:rsidR="00D9258C" w:rsidRPr="00FD6A6A">
        <w:t>in</w:t>
      </w:r>
      <w:r w:rsidR="00541D05">
        <w:t xml:space="preserve"> </w:t>
      </w:r>
      <w:r w:rsidR="00D9258C" w:rsidRPr="00FD6A6A">
        <w:t>several</w:t>
      </w:r>
      <w:r w:rsidR="00541D05">
        <w:t xml:space="preserve"> </w:t>
      </w:r>
      <w:r w:rsidR="00D9258C" w:rsidRPr="00FD6A6A">
        <w:t>Brazilian</w:t>
      </w:r>
      <w:r w:rsidR="00541D05">
        <w:t xml:space="preserve"> </w:t>
      </w:r>
      <w:r w:rsidR="00D9258C" w:rsidRPr="00FD6A6A">
        <w:t>regions</w:t>
      </w:r>
      <w:r w:rsidR="00541D05">
        <w:t xml:space="preserve"> </w:t>
      </w:r>
      <w:r w:rsidR="00D9258C" w:rsidRPr="00FD6A6A">
        <w:t>considered</w:t>
      </w:r>
      <w:r w:rsidR="00541D05">
        <w:t xml:space="preserve"> </w:t>
      </w:r>
      <w:r w:rsidR="00D9258C" w:rsidRPr="00FD6A6A">
        <w:t>that</w:t>
      </w:r>
      <w:r w:rsidR="00541D05">
        <w:t xml:space="preserve"> </w:t>
      </w:r>
      <w:r w:rsidR="00D9258C" w:rsidRPr="00FD6A6A">
        <w:t>race</w:t>
      </w:r>
      <w:r w:rsidR="00541D05">
        <w:t xml:space="preserve"> </w:t>
      </w:r>
      <w:r w:rsidR="00D9258C" w:rsidRPr="00FD6A6A">
        <w:t>was</w:t>
      </w:r>
      <w:r w:rsidR="00541D05">
        <w:t xml:space="preserve"> </w:t>
      </w:r>
      <w:r w:rsidR="00D9258C" w:rsidRPr="00FD6A6A">
        <w:t>defined</w:t>
      </w:r>
      <w:r w:rsidR="00541D05">
        <w:t xml:space="preserve"> </w:t>
      </w:r>
      <w:r w:rsidR="00D9258C" w:rsidRPr="00FD6A6A">
        <w:t>by</w:t>
      </w:r>
      <w:r w:rsidR="00541D05">
        <w:t xml:space="preserve"> </w:t>
      </w:r>
      <w:r w:rsidR="00D9258C" w:rsidRPr="00FD6A6A">
        <w:t>appearance,</w:t>
      </w:r>
      <w:r w:rsidR="00541D05">
        <w:t xml:space="preserve"> </w:t>
      </w:r>
      <w:r w:rsidR="00D9258C" w:rsidRPr="00FD6A6A">
        <w:t>with</w:t>
      </w:r>
      <w:r w:rsidR="00541D05">
        <w:t xml:space="preserve"> </w:t>
      </w:r>
      <w:r w:rsidR="00D9258C" w:rsidRPr="00FD6A6A">
        <w:t>skin</w:t>
      </w:r>
      <w:r w:rsidR="00541D05">
        <w:t xml:space="preserve"> </w:t>
      </w:r>
      <w:r w:rsidR="00D9258C" w:rsidRPr="00FD6A6A">
        <w:t>tone</w:t>
      </w:r>
      <w:r w:rsidR="00541D05">
        <w:t xml:space="preserve"> </w:t>
      </w:r>
      <w:r w:rsidR="00D9258C" w:rsidRPr="00FD6A6A">
        <w:t>as</w:t>
      </w:r>
      <w:r w:rsidR="00541D05">
        <w:t xml:space="preserve"> </w:t>
      </w:r>
      <w:r w:rsidR="00D9258C" w:rsidRPr="00FD6A6A">
        <w:t>the</w:t>
      </w:r>
      <w:r w:rsidR="00541D05">
        <w:t xml:space="preserve"> </w:t>
      </w:r>
      <w:r w:rsidR="00D9258C" w:rsidRPr="00FD6A6A">
        <w:t>main</w:t>
      </w:r>
      <w:r w:rsidR="00541D05">
        <w:t xml:space="preserve"> </w:t>
      </w:r>
      <w:r w:rsidR="00D9258C" w:rsidRPr="00FD6A6A">
        <w:t>attribute.</w:t>
      </w:r>
      <w:r w:rsidR="00541D05">
        <w:t xml:space="preserve"> </w:t>
      </w:r>
      <w:r w:rsidR="00D9258C" w:rsidRPr="00FD6A6A">
        <w:t>It</w:t>
      </w:r>
      <w:r w:rsidR="00541D05">
        <w:t xml:space="preserve"> </w:t>
      </w:r>
      <w:r w:rsidR="00D9258C" w:rsidRPr="00FD6A6A">
        <w:t>was</w:t>
      </w:r>
      <w:r w:rsidR="00541D05">
        <w:t xml:space="preserve"> </w:t>
      </w:r>
      <w:r w:rsidR="00D9258C" w:rsidRPr="00FD6A6A">
        <w:t>also</w:t>
      </w:r>
      <w:r w:rsidR="00541D05">
        <w:t xml:space="preserve"> </w:t>
      </w:r>
      <w:r w:rsidR="00D9258C" w:rsidRPr="00FD6A6A">
        <w:t>confirmed</w:t>
      </w:r>
      <w:r w:rsidR="00541D05">
        <w:t xml:space="preserve"> </w:t>
      </w:r>
      <w:r w:rsidR="00D9258C" w:rsidRPr="00FD6A6A">
        <w:t>that</w:t>
      </w:r>
      <w:r w:rsidR="00541D05">
        <w:t xml:space="preserve"> </w:t>
      </w:r>
      <w:r w:rsidR="00D9258C" w:rsidRPr="00FD6A6A">
        <w:t>Brazilians</w:t>
      </w:r>
      <w:r w:rsidR="00541D05">
        <w:t xml:space="preserve"> </w:t>
      </w:r>
      <w:r w:rsidR="00D9258C" w:rsidRPr="00FD6A6A">
        <w:t>understand</w:t>
      </w:r>
      <w:r w:rsidR="00541D05">
        <w:t xml:space="preserve"> </w:t>
      </w:r>
      <w:r w:rsidR="00D9258C" w:rsidRPr="00FD6A6A">
        <w:t>that</w:t>
      </w:r>
      <w:r w:rsidR="00541D05">
        <w:t xml:space="preserve"> </w:t>
      </w:r>
      <w:r w:rsidR="00D9258C" w:rsidRPr="00FD6A6A">
        <w:t>a</w:t>
      </w:r>
      <w:r w:rsidR="00541D05">
        <w:t xml:space="preserve"> </w:t>
      </w:r>
      <w:r w:rsidR="00D9258C" w:rsidRPr="00FD6A6A">
        <w:t>person</w:t>
      </w:r>
      <w:r w:rsidR="00EA62F1">
        <w:t>’</w:t>
      </w:r>
      <w:r w:rsidR="00D9258C" w:rsidRPr="00FD6A6A">
        <w:t>s</w:t>
      </w:r>
      <w:r w:rsidR="00541D05">
        <w:t xml:space="preserve"> </w:t>
      </w:r>
      <w:r w:rsidR="00D9258C" w:rsidRPr="00FD6A6A">
        <w:t>skin</w:t>
      </w:r>
      <w:r w:rsidR="00541D05">
        <w:t xml:space="preserve"> </w:t>
      </w:r>
      <w:r w:rsidR="00D9258C" w:rsidRPr="00FD6A6A">
        <w:t>tone/race</w:t>
      </w:r>
      <w:r w:rsidR="00541D05">
        <w:t xml:space="preserve"> </w:t>
      </w:r>
      <w:r w:rsidR="00D9258C" w:rsidRPr="00FD6A6A">
        <w:t>affects</w:t>
      </w:r>
      <w:r w:rsidR="00541D05">
        <w:t xml:space="preserve"> </w:t>
      </w:r>
      <w:r w:rsidR="00D9258C" w:rsidRPr="00FD6A6A">
        <w:t>his/her</w:t>
      </w:r>
      <w:r w:rsidR="00541D05">
        <w:t xml:space="preserve"> </w:t>
      </w:r>
      <w:r w:rsidR="00D9258C" w:rsidRPr="00FD6A6A">
        <w:t>opportunities</w:t>
      </w:r>
      <w:r w:rsidR="00541D05">
        <w:t xml:space="preserve"> </w:t>
      </w:r>
      <w:r w:rsidR="00D9258C" w:rsidRPr="00FD6A6A">
        <w:t>and</w:t>
      </w:r>
      <w:r w:rsidR="00541D05">
        <w:t xml:space="preserve"> </w:t>
      </w:r>
      <w:r w:rsidR="00D9258C" w:rsidRPr="00FD6A6A">
        <w:t>chances</w:t>
      </w:r>
      <w:r w:rsidR="00541D05">
        <w:t xml:space="preserve"> </w:t>
      </w:r>
      <w:r w:rsidR="00D9258C" w:rsidRPr="00FD6A6A">
        <w:t>in</w:t>
      </w:r>
      <w:r w:rsidR="00541D05">
        <w:t xml:space="preserve"> </w:t>
      </w:r>
      <w:r w:rsidR="00D9258C" w:rsidRPr="00FD6A6A">
        <w:t>life,</w:t>
      </w:r>
      <w:r w:rsidR="00541D05">
        <w:t xml:space="preserve"> </w:t>
      </w:r>
      <w:r w:rsidR="00D9258C" w:rsidRPr="00FD6A6A">
        <w:t>reinforcing</w:t>
      </w:r>
      <w:r w:rsidR="00541D05">
        <w:t xml:space="preserve"> </w:t>
      </w:r>
      <w:r w:rsidR="00D9258C" w:rsidRPr="00FD6A6A">
        <w:t>the</w:t>
      </w:r>
      <w:r w:rsidR="00541D05">
        <w:t xml:space="preserve"> </w:t>
      </w:r>
      <w:r w:rsidR="00D9258C" w:rsidRPr="00FD6A6A">
        <w:t>idea</w:t>
      </w:r>
      <w:r w:rsidR="00541D05">
        <w:t xml:space="preserve"> </w:t>
      </w:r>
      <w:r w:rsidR="00D9258C" w:rsidRPr="00FD6A6A">
        <w:t>that</w:t>
      </w:r>
      <w:r w:rsidR="00541D05">
        <w:t xml:space="preserve"> </w:t>
      </w:r>
      <w:r w:rsidR="00D9258C" w:rsidRPr="00FD6A6A">
        <w:t>this</w:t>
      </w:r>
      <w:r w:rsidR="00541D05">
        <w:t xml:space="preserve"> </w:t>
      </w:r>
      <w:r w:rsidR="00D9258C" w:rsidRPr="00FD6A6A">
        <w:t>indicator</w:t>
      </w:r>
      <w:r w:rsidR="00541D05">
        <w:t xml:space="preserve"> </w:t>
      </w:r>
      <w:r w:rsidR="00D9258C" w:rsidRPr="00FD6A6A">
        <w:t>is</w:t>
      </w:r>
      <w:r w:rsidR="00541D05">
        <w:t xml:space="preserve"> </w:t>
      </w:r>
      <w:r w:rsidR="00D9258C" w:rsidRPr="00FD6A6A">
        <w:t>a</w:t>
      </w:r>
      <w:r w:rsidR="00541D05">
        <w:t xml:space="preserve"> </w:t>
      </w:r>
      <w:r w:rsidR="00D9258C" w:rsidRPr="00FD6A6A">
        <w:t>form</w:t>
      </w:r>
      <w:r w:rsidR="00541D05">
        <w:t xml:space="preserve"> </w:t>
      </w:r>
      <w:r w:rsidR="00D9258C" w:rsidRPr="00FD6A6A">
        <w:t>of</w:t>
      </w:r>
      <w:r w:rsidR="00541D05">
        <w:t xml:space="preserve"> </w:t>
      </w:r>
      <w:r w:rsidR="00D9258C" w:rsidRPr="00FD6A6A">
        <w:t>perceiving</w:t>
      </w:r>
      <w:r w:rsidR="00541D05">
        <w:t xml:space="preserve"> </w:t>
      </w:r>
      <w:r w:rsidR="00D9258C" w:rsidRPr="00FD6A6A">
        <w:t>and</w:t>
      </w:r>
      <w:r w:rsidR="00541D05">
        <w:t xml:space="preserve"> </w:t>
      </w:r>
      <w:r w:rsidR="00D9258C" w:rsidRPr="00FD6A6A">
        <w:t>hierarchizing</w:t>
      </w:r>
      <w:r w:rsidR="00541D05">
        <w:t xml:space="preserve"> </w:t>
      </w:r>
      <w:r w:rsidR="00D9258C" w:rsidRPr="00FD6A6A">
        <w:t>differences.</w:t>
      </w:r>
      <w:r w:rsidR="00541D05">
        <w:t xml:space="preserve"> </w:t>
      </w:r>
      <w:r w:rsidR="00D9258C" w:rsidRPr="00FD6A6A">
        <w:lastRenderedPageBreak/>
        <w:t>Almost</w:t>
      </w:r>
      <w:r w:rsidR="00541D05">
        <w:t xml:space="preserve"> </w:t>
      </w:r>
      <w:r w:rsidR="00D9258C" w:rsidRPr="00FD6A6A">
        <w:t>all</w:t>
      </w:r>
      <w:r w:rsidR="00541D05">
        <w:t xml:space="preserve"> </w:t>
      </w:r>
      <w:r w:rsidR="00D9258C" w:rsidRPr="00FD6A6A">
        <w:t>interviewees</w:t>
      </w:r>
      <w:r w:rsidR="00541D05">
        <w:t xml:space="preserve"> </w:t>
      </w:r>
      <w:r w:rsidR="00D9258C" w:rsidRPr="00FD6A6A">
        <w:t>claimed</w:t>
      </w:r>
      <w:r w:rsidR="00541D05">
        <w:t xml:space="preserve"> </w:t>
      </w:r>
      <w:r w:rsidR="00D9258C" w:rsidRPr="00FD6A6A">
        <w:t>to</w:t>
      </w:r>
      <w:r w:rsidR="00541D05">
        <w:t xml:space="preserve"> </w:t>
      </w:r>
      <w:r w:rsidR="00D9258C" w:rsidRPr="00FD6A6A">
        <w:t>be</w:t>
      </w:r>
      <w:r w:rsidR="00541D05">
        <w:t xml:space="preserve"> </w:t>
      </w:r>
      <w:r w:rsidR="00D9258C" w:rsidRPr="00FD6A6A">
        <w:t>able</w:t>
      </w:r>
      <w:r w:rsidR="00541D05">
        <w:t xml:space="preserve"> </w:t>
      </w:r>
      <w:r w:rsidR="00D9258C" w:rsidRPr="00FD6A6A">
        <w:t>to</w:t>
      </w:r>
      <w:r w:rsidR="00541D05">
        <w:t xml:space="preserve"> </w:t>
      </w:r>
      <w:r w:rsidR="00D9258C" w:rsidRPr="00FD6A6A">
        <w:t>define</w:t>
      </w:r>
      <w:r w:rsidR="00541D05">
        <w:t xml:space="preserve"> </w:t>
      </w:r>
      <w:r w:rsidR="00D9258C" w:rsidRPr="00FD6A6A">
        <w:t>their</w:t>
      </w:r>
      <w:r w:rsidR="00541D05">
        <w:t xml:space="preserve"> </w:t>
      </w:r>
      <w:r w:rsidR="00D9258C" w:rsidRPr="00FD6A6A">
        <w:t>own</w:t>
      </w:r>
      <w:r w:rsidR="00541D05">
        <w:t xml:space="preserve"> </w:t>
      </w:r>
      <w:r w:rsidR="00D9258C" w:rsidRPr="00FD6A6A">
        <w:t>racial</w:t>
      </w:r>
      <w:r w:rsidR="00541D05">
        <w:t xml:space="preserve"> </w:t>
      </w:r>
      <w:r w:rsidR="00D9258C" w:rsidRPr="00FD6A6A">
        <w:t>characteristic</w:t>
      </w:r>
      <w:r w:rsidR="00541D05">
        <w:t xml:space="preserve"> </w:t>
      </w:r>
      <w:r w:rsidR="00D9258C" w:rsidRPr="00FD6A6A">
        <w:t>(96%),</w:t>
      </w:r>
      <w:r w:rsidR="00541D05">
        <w:t xml:space="preserve"> </w:t>
      </w:r>
      <w:r w:rsidR="00D9258C" w:rsidRPr="00FD6A6A">
        <w:t>and</w:t>
      </w:r>
      <w:r w:rsidR="00541D05">
        <w:t xml:space="preserve"> </w:t>
      </w:r>
      <w:r w:rsidR="00D9258C" w:rsidRPr="00FD6A6A">
        <w:t>most</w:t>
      </w:r>
      <w:r w:rsidR="00541D05">
        <w:t xml:space="preserve"> </w:t>
      </w:r>
      <w:r w:rsidR="00D9258C" w:rsidRPr="00FD6A6A">
        <w:t>spontaneously</w:t>
      </w:r>
      <w:r w:rsidR="00541D05">
        <w:t xml:space="preserve"> </w:t>
      </w:r>
      <w:r w:rsidR="00D9258C" w:rsidRPr="00FD6A6A">
        <w:t>choose</w:t>
      </w:r>
      <w:r w:rsidR="00541D05">
        <w:t xml:space="preserve"> </w:t>
      </w:r>
      <w:r w:rsidR="00D9258C" w:rsidRPr="00FD6A6A">
        <w:t>IBGE</w:t>
      </w:r>
      <w:r w:rsidR="00EA62F1">
        <w:t>’</w:t>
      </w:r>
      <w:r w:rsidR="00D9258C" w:rsidRPr="00FD6A6A">
        <w:t>s</w:t>
      </w:r>
      <w:r w:rsidR="00541D05">
        <w:t xml:space="preserve"> </w:t>
      </w:r>
      <w:r w:rsidR="00D9258C" w:rsidRPr="00FD6A6A">
        <w:t>classification</w:t>
      </w:r>
      <w:r w:rsidR="00541D05">
        <w:t xml:space="preserve"> </w:t>
      </w:r>
      <w:r w:rsidR="00D9258C" w:rsidRPr="00FD6A6A">
        <w:t>categories</w:t>
      </w:r>
      <w:r w:rsidR="00541D05">
        <w:t xml:space="preserve"> </w:t>
      </w:r>
      <w:r w:rsidR="00D9258C" w:rsidRPr="00FD6A6A">
        <w:t>to</w:t>
      </w:r>
      <w:r w:rsidR="00541D05">
        <w:t xml:space="preserve"> </w:t>
      </w:r>
      <w:r w:rsidR="00D9258C" w:rsidRPr="00FD6A6A">
        <w:t>do</w:t>
      </w:r>
      <w:r w:rsidR="00541D05">
        <w:t xml:space="preserve"> </w:t>
      </w:r>
      <w:r w:rsidR="00D9258C" w:rsidRPr="00FD6A6A">
        <w:t>so.</w:t>
      </w:r>
    </w:p>
    <w:p w14:paraId="74FD2E85" w14:textId="199545C7" w:rsidR="00D9258C" w:rsidRPr="00FD6A6A" w:rsidRDefault="00166390" w:rsidP="00166390">
      <w:pPr>
        <w:pStyle w:val="ParaNoG"/>
        <w:numPr>
          <w:ilvl w:val="0"/>
          <w:numId w:val="0"/>
        </w:numPr>
        <w:tabs>
          <w:tab w:val="left" w:pos="0"/>
        </w:tabs>
        <w:ind w:left="1134"/>
      </w:pPr>
      <w:r w:rsidRPr="00FD6A6A">
        <w:t>8.</w:t>
      </w:r>
      <w:r w:rsidRPr="00FD6A6A">
        <w:tab/>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address</w:t>
      </w:r>
      <w:r w:rsidR="00541D05">
        <w:t xml:space="preserve"> </w:t>
      </w:r>
      <w:r w:rsidR="00D9258C" w:rsidRPr="00FD6A6A">
        <w:t>this</w:t>
      </w:r>
      <w:r w:rsidR="00541D05">
        <w:t xml:space="preserve"> </w:t>
      </w:r>
      <w:r w:rsidR="00D9258C" w:rsidRPr="00FD6A6A">
        <w:t>situation,</w:t>
      </w:r>
      <w:r w:rsidR="00541D05">
        <w:t xml:space="preserve"> </w:t>
      </w:r>
      <w:r w:rsidR="00D9258C" w:rsidRPr="00FD6A6A">
        <w:t>the</w:t>
      </w:r>
      <w:r w:rsidR="00541D05">
        <w:t xml:space="preserve"> </w:t>
      </w:r>
      <w:r w:rsidR="00D9258C" w:rsidRPr="00FD6A6A">
        <w:t>Government</w:t>
      </w:r>
      <w:r w:rsidR="00541D05">
        <w:t xml:space="preserve"> </w:t>
      </w:r>
      <w:r w:rsidR="00D9258C" w:rsidRPr="00FD6A6A">
        <w:t>has</w:t>
      </w:r>
      <w:r w:rsidR="00541D05">
        <w:t xml:space="preserve"> </w:t>
      </w:r>
      <w:r w:rsidR="00D9258C" w:rsidRPr="00FD6A6A">
        <w:t>adopted</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30</w:t>
      </w:r>
      <w:r w:rsidR="00541D05">
        <w:t xml:space="preserve"> </w:t>
      </w:r>
      <w:r w:rsidR="00D9258C" w:rsidRPr="00FD6A6A">
        <w:t>years</w:t>
      </w:r>
      <w:r w:rsidR="00541D05">
        <w:t xml:space="preserve"> </w:t>
      </w:r>
      <w:r w:rsidR="00D9258C" w:rsidRPr="00FD6A6A">
        <w:t>major</w:t>
      </w:r>
      <w:r w:rsidR="00541D05">
        <w:t xml:space="preserve"> </w:t>
      </w:r>
      <w:r w:rsidR="00D9258C" w:rsidRPr="00FD6A6A">
        <w:t>anti-discrimination</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that</w:t>
      </w:r>
      <w:r w:rsidR="00541D05">
        <w:t xml:space="preserve"> </w:t>
      </w:r>
      <w:r w:rsidR="00D9258C" w:rsidRPr="00FD6A6A">
        <w:t>have</w:t>
      </w:r>
      <w:r w:rsidR="00541D05">
        <w:t xml:space="preserve"> </w:t>
      </w:r>
      <w:r w:rsidR="00D9258C" w:rsidRPr="00FD6A6A">
        <w:t>shaped</w:t>
      </w:r>
      <w:r w:rsidR="00541D05">
        <w:t xml:space="preserve"> </w:t>
      </w:r>
      <w:r w:rsidR="00D9258C" w:rsidRPr="00FD6A6A">
        <w:t>and</w:t>
      </w:r>
      <w:r w:rsidR="00541D05">
        <w:t xml:space="preserve"> </w:t>
      </w:r>
      <w:r w:rsidR="00D9258C" w:rsidRPr="00FD6A6A">
        <w:t>informed</w:t>
      </w:r>
      <w:r w:rsidR="00541D05">
        <w:t xml:space="preserve"> </w:t>
      </w:r>
      <w:r w:rsidR="00D9258C" w:rsidRPr="00FD6A6A">
        <w:t>the</w:t>
      </w:r>
      <w:r w:rsidR="00541D05">
        <w:t xml:space="preserve"> </w:t>
      </w:r>
      <w:r w:rsidR="00D9258C" w:rsidRPr="00FD6A6A">
        <w:t>understanding</w:t>
      </w:r>
      <w:r w:rsidR="00541D05">
        <w:t xml:space="preserve"> </w:t>
      </w:r>
      <w:r w:rsidR="00D9258C" w:rsidRPr="00FD6A6A">
        <w:t>of</w:t>
      </w:r>
      <w:r w:rsidR="00541D05">
        <w:t xml:space="preserve"> </w:t>
      </w:r>
      <w:r w:rsidR="00D9258C" w:rsidRPr="00FD6A6A">
        <w:t>ethnic</w:t>
      </w:r>
      <w:r w:rsidR="00541D05">
        <w:t xml:space="preserve"> </w:t>
      </w:r>
      <w:r w:rsidR="00D9258C" w:rsidRPr="00FD6A6A">
        <w:t>and</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resulting</w:t>
      </w:r>
      <w:r w:rsidR="00541D05">
        <w:t xml:space="preserve"> </w:t>
      </w:r>
      <w:r w:rsidR="00D9258C" w:rsidRPr="00FD6A6A">
        <w:t>from</w:t>
      </w:r>
      <w:r w:rsidR="00541D05">
        <w:t xml:space="preserve"> </w:t>
      </w:r>
      <w:r w:rsidR="00D9258C" w:rsidRPr="00FD6A6A">
        <w:t>the</w:t>
      </w:r>
      <w:r w:rsidR="00541D05">
        <w:t xml:space="preserve"> </w:t>
      </w:r>
      <w:r w:rsidR="00D9258C" w:rsidRPr="00FD6A6A">
        <w:t>internal</w:t>
      </w:r>
      <w:r w:rsidR="00541D05">
        <w:t xml:space="preserve"> </w:t>
      </w:r>
      <w:r w:rsidR="00D9258C" w:rsidRPr="00FD6A6A">
        <w:t>debate</w:t>
      </w:r>
      <w:r w:rsidR="00541D05">
        <w:t xml:space="preserve"> </w:t>
      </w:r>
      <w:r w:rsidR="00D9258C" w:rsidRPr="00FD6A6A">
        <w:t>but</w:t>
      </w:r>
      <w:r w:rsidR="00541D05">
        <w:t xml:space="preserve"> </w:t>
      </w:r>
      <w:r w:rsidR="00D9258C" w:rsidRPr="00FD6A6A">
        <w:t>also</w:t>
      </w:r>
      <w:r w:rsidR="00541D05">
        <w:t xml:space="preserve"> </w:t>
      </w:r>
      <w:r w:rsidR="00D9258C" w:rsidRPr="00FD6A6A">
        <w:t>from</w:t>
      </w:r>
      <w:r w:rsidR="00541D05">
        <w:t xml:space="preserve"> </w:t>
      </w:r>
      <w:r w:rsidR="00D9258C" w:rsidRPr="00FD6A6A">
        <w:t>international</w:t>
      </w:r>
      <w:r w:rsidR="00541D05">
        <w:t xml:space="preserve"> </w:t>
      </w:r>
      <w:r w:rsidR="00D9258C" w:rsidRPr="00FD6A6A">
        <w:t>rules</w:t>
      </w:r>
      <w:r w:rsidR="00541D05">
        <w:t xml:space="preserve"> </w:t>
      </w:r>
      <w:r w:rsidR="00D9258C" w:rsidRPr="00FD6A6A">
        <w:t>and</w:t>
      </w:r>
      <w:r w:rsidR="00541D05">
        <w:t xml:space="preserve"> </w:t>
      </w:r>
      <w:r w:rsidR="00D9258C" w:rsidRPr="00FD6A6A">
        <w:t>conventions</w:t>
      </w:r>
      <w:r w:rsidR="00541D05">
        <w:t xml:space="preserve"> </w:t>
      </w:r>
      <w:r w:rsidR="00D9258C" w:rsidRPr="00FD6A6A">
        <w:t>on</w:t>
      </w:r>
      <w:r w:rsidR="00541D05">
        <w:t xml:space="preserve"> </w:t>
      </w:r>
      <w:r w:rsidR="00D9258C" w:rsidRPr="00FD6A6A">
        <w:t>human</w:t>
      </w:r>
      <w:r w:rsidR="00541D05">
        <w:t xml:space="preserve"> </w:t>
      </w:r>
      <w:r w:rsidR="00D9258C" w:rsidRPr="00FD6A6A">
        <w:t>rights.</w:t>
      </w:r>
    </w:p>
    <w:p w14:paraId="2FEE8FEA" w14:textId="5925C8CD" w:rsidR="00D9258C" w:rsidRPr="00FD6A6A" w:rsidRDefault="00166390" w:rsidP="00166390">
      <w:pPr>
        <w:pStyle w:val="ParaNoG"/>
        <w:numPr>
          <w:ilvl w:val="0"/>
          <w:numId w:val="0"/>
        </w:numPr>
        <w:tabs>
          <w:tab w:val="left" w:pos="0"/>
        </w:tabs>
        <w:ind w:left="1134"/>
      </w:pPr>
      <w:r w:rsidRPr="00FD6A6A">
        <w:t>9.</w:t>
      </w:r>
      <w:r w:rsidRPr="00FD6A6A">
        <w:tab/>
      </w:r>
      <w:r w:rsidR="00D9258C" w:rsidRPr="00FD6A6A">
        <w:t>In</w:t>
      </w:r>
      <w:r w:rsidR="00541D05">
        <w:t xml:space="preserve"> </w:t>
      </w:r>
      <w:r w:rsidR="00D9258C" w:rsidRPr="00FD6A6A">
        <w:t>December</w:t>
      </w:r>
      <w:r w:rsidR="00541D05">
        <w:t xml:space="preserve"> </w:t>
      </w:r>
      <w:r w:rsidR="00D9258C" w:rsidRPr="00FD6A6A">
        <w:t>2008,</w:t>
      </w:r>
      <w:r w:rsidR="00541D05">
        <w:t xml:space="preserve"> </w:t>
      </w:r>
      <w:r w:rsidR="00D9258C" w:rsidRPr="00FD6A6A">
        <w:t>the</w:t>
      </w:r>
      <w:r w:rsidR="00541D05">
        <w:t xml:space="preserve"> </w:t>
      </w:r>
      <w:r w:rsidR="00D9258C" w:rsidRPr="00FD6A6A">
        <w:t>Brazilian</w:t>
      </w:r>
      <w:r w:rsidR="00541D05">
        <w:t xml:space="preserve"> </w:t>
      </w:r>
      <w:r w:rsidR="00D9258C" w:rsidRPr="00FD6A6A">
        <w:t>Supreme</w:t>
      </w:r>
      <w:r w:rsidR="00541D05">
        <w:t xml:space="preserve"> </w:t>
      </w:r>
      <w:r w:rsidR="00D9258C" w:rsidRPr="00FD6A6A">
        <w:t>Court</w:t>
      </w:r>
      <w:r w:rsidR="00541D05">
        <w:t xml:space="preserve"> </w:t>
      </w:r>
      <w:r w:rsidR="00D9258C" w:rsidRPr="00FD6A6A">
        <w:t>partially</w:t>
      </w:r>
      <w:r w:rsidR="00541D05">
        <w:t xml:space="preserve"> </w:t>
      </w:r>
      <w:r w:rsidR="00D9258C" w:rsidRPr="00FD6A6A">
        <w:t>changed</w:t>
      </w:r>
      <w:r w:rsidR="00541D05">
        <w:t xml:space="preserve"> </w:t>
      </w:r>
      <w:r w:rsidR="00D9258C" w:rsidRPr="00FD6A6A">
        <w:t>the</w:t>
      </w:r>
      <w:r w:rsidR="00541D05">
        <w:t xml:space="preserve"> </w:t>
      </w:r>
      <w:r w:rsidR="00D9258C" w:rsidRPr="00FD6A6A">
        <w:t>case</w:t>
      </w:r>
      <w:r w:rsidR="00541D05">
        <w:t xml:space="preserve"> </w:t>
      </w:r>
      <w:r w:rsidR="00D9258C" w:rsidRPr="00FD6A6A">
        <w:t>law</w:t>
      </w:r>
      <w:r w:rsidR="00541D05">
        <w:t xml:space="preserve"> </w:t>
      </w:r>
      <w:r w:rsidR="00D9258C" w:rsidRPr="00FD6A6A">
        <w:t>on</w:t>
      </w:r>
      <w:r w:rsidR="00541D05">
        <w:t xml:space="preserve"> </w:t>
      </w:r>
      <w:r w:rsidR="00D9258C" w:rsidRPr="00FD6A6A">
        <w:t>the</w:t>
      </w:r>
      <w:r w:rsidR="00541D05">
        <w:t xml:space="preserve"> </w:t>
      </w:r>
      <w:r w:rsidR="00D9258C" w:rsidRPr="00FD6A6A">
        <w:t>legal</w:t>
      </w:r>
      <w:r w:rsidR="00541D05">
        <w:t xml:space="preserve"> </w:t>
      </w:r>
      <w:r w:rsidR="00D9258C" w:rsidRPr="00FD6A6A">
        <w:t>status</w:t>
      </w:r>
      <w:r w:rsidR="00541D05">
        <w:t xml:space="preserve"> </w:t>
      </w:r>
      <w:r w:rsidR="00D9258C" w:rsidRPr="00FD6A6A">
        <w:t>of</w:t>
      </w:r>
      <w:r w:rsidR="00541D05">
        <w:t xml:space="preserve"> </w:t>
      </w:r>
      <w:r w:rsidR="00D9258C" w:rsidRPr="00FD6A6A">
        <w:t>the</w:t>
      </w:r>
      <w:r w:rsidR="00541D05">
        <w:t xml:space="preserve"> </w:t>
      </w:r>
      <w:r w:rsidR="00D9258C" w:rsidRPr="00FD6A6A">
        <w:t>international</w:t>
      </w:r>
      <w:r w:rsidR="00541D05">
        <w:t xml:space="preserve"> </w:t>
      </w:r>
      <w:r w:rsidR="00D9258C" w:rsidRPr="00FD6A6A">
        <w:t>treaties</w:t>
      </w:r>
      <w:r w:rsidR="00541D05">
        <w:t xml:space="preserve"> </w:t>
      </w:r>
      <w:r w:rsidR="00D9258C" w:rsidRPr="00FD6A6A">
        <w:t>ratified</w:t>
      </w:r>
      <w:r w:rsidR="00541D05">
        <w:t xml:space="preserve"> </w:t>
      </w:r>
      <w:r w:rsidR="00D9258C" w:rsidRPr="00FD6A6A">
        <w:t>by</w:t>
      </w:r>
      <w:r w:rsidR="00541D05">
        <w:t xml:space="preserve"> </w:t>
      </w:r>
      <w:r w:rsidR="00D9258C" w:rsidRPr="00FD6A6A">
        <w:t>Brazil.</w:t>
      </w:r>
      <w:r w:rsidR="00541D05">
        <w:t xml:space="preserve"> </w:t>
      </w:r>
      <w:r w:rsidR="00D9258C" w:rsidRPr="00FD6A6A">
        <w:t>If</w:t>
      </w:r>
      <w:r w:rsidR="00541D05">
        <w:t xml:space="preserve"> </w:t>
      </w:r>
      <w:r w:rsidR="00D9258C" w:rsidRPr="00FD6A6A">
        <w:t>the</w:t>
      </w:r>
      <w:r w:rsidR="00541D05">
        <w:t xml:space="preserve"> </w:t>
      </w:r>
      <w:r w:rsidR="00D9258C" w:rsidRPr="00FD6A6A">
        <w:t>instrument</w:t>
      </w:r>
      <w:r w:rsidR="00541D05">
        <w:t xml:space="preserve"> </w:t>
      </w:r>
      <w:r w:rsidR="00D9258C" w:rsidRPr="00FD6A6A">
        <w:t>is</w:t>
      </w:r>
      <w:r w:rsidR="00541D05">
        <w:t xml:space="preserve"> </w:t>
      </w:r>
      <w:r w:rsidR="00D9258C" w:rsidRPr="00FD6A6A">
        <w:t>a</w:t>
      </w:r>
      <w:r w:rsidR="00541D05">
        <w:t xml:space="preserve"> </w:t>
      </w:r>
      <w:r w:rsidR="00D9258C" w:rsidRPr="00FD6A6A">
        <w:t>human</w:t>
      </w:r>
      <w:r w:rsidR="00541D05">
        <w:t xml:space="preserve"> </w:t>
      </w:r>
      <w:r w:rsidR="00D9258C" w:rsidRPr="00FD6A6A">
        <w:t>rights</w:t>
      </w:r>
      <w:r w:rsidR="00541D05">
        <w:t xml:space="preserve"> </w:t>
      </w:r>
      <w:r w:rsidR="00D9258C" w:rsidRPr="00FD6A6A">
        <w:t>treaty,</w:t>
      </w:r>
      <w:r w:rsidR="00541D05">
        <w:t xml:space="preserve"> </w:t>
      </w:r>
      <w:r w:rsidR="00D9258C" w:rsidRPr="00FD6A6A">
        <w:t>it</w:t>
      </w:r>
      <w:r w:rsidR="00541D05">
        <w:t xml:space="preserve"> </w:t>
      </w:r>
      <w:r w:rsidR="00D9258C" w:rsidRPr="00FD6A6A">
        <w:t>has</w:t>
      </w:r>
      <w:r w:rsidR="00541D05">
        <w:t xml:space="preserve"> </w:t>
      </w:r>
      <w:r w:rsidR="00D9258C" w:rsidRPr="00FD6A6A">
        <w:t>a</w:t>
      </w:r>
      <w:r w:rsidR="00541D05">
        <w:t xml:space="preserve"> </w:t>
      </w:r>
      <w:r w:rsidR="00D9258C" w:rsidRPr="00FD6A6A">
        <w:t>supra-legal</w:t>
      </w:r>
      <w:r w:rsidR="00541D05">
        <w:t xml:space="preserve"> </w:t>
      </w:r>
      <w:r w:rsidR="00D9258C" w:rsidRPr="00FD6A6A">
        <w:t>status,</w:t>
      </w:r>
      <w:r w:rsidR="00541D05">
        <w:t xml:space="preserve"> </w:t>
      </w:r>
      <w:r w:rsidR="00D9258C" w:rsidRPr="00FD6A6A">
        <w:t>i.e.,</w:t>
      </w:r>
      <w:r w:rsidR="00541D05">
        <w:t xml:space="preserve"> </w:t>
      </w:r>
      <w:r w:rsidR="00D9258C" w:rsidRPr="00FD6A6A">
        <w:t>it</w:t>
      </w:r>
      <w:r w:rsidR="00541D05">
        <w:t xml:space="preserve"> </w:t>
      </w:r>
      <w:r w:rsidR="00D9258C" w:rsidRPr="00FD6A6A">
        <w:t>is</w:t>
      </w:r>
      <w:r w:rsidR="00541D05">
        <w:t xml:space="preserve"> </w:t>
      </w:r>
      <w:r w:rsidR="00D9258C" w:rsidRPr="00FD6A6A">
        <w:t>considered</w:t>
      </w:r>
      <w:r w:rsidR="00541D05">
        <w:t xml:space="preserve"> </w:t>
      </w:r>
      <w:r w:rsidR="00D9258C" w:rsidRPr="00FD6A6A">
        <w:t>superior</w:t>
      </w:r>
      <w:r w:rsidR="00541D05">
        <w:t xml:space="preserve"> </w:t>
      </w:r>
      <w:r w:rsidR="00D9258C" w:rsidRPr="00FD6A6A">
        <w:t>to</w:t>
      </w:r>
      <w:r w:rsidR="00541D05">
        <w:t xml:space="preserve"> </w:t>
      </w:r>
      <w:r w:rsidR="00D9258C" w:rsidRPr="00FD6A6A">
        <w:t>ordinary</w:t>
      </w:r>
      <w:r w:rsidR="00541D05">
        <w:t xml:space="preserve"> </w:t>
      </w:r>
      <w:r w:rsidR="00D9258C" w:rsidRPr="00FD6A6A">
        <w:t>and</w:t>
      </w:r>
      <w:r w:rsidR="00541D05">
        <w:t xml:space="preserve"> </w:t>
      </w:r>
      <w:r w:rsidR="00D9258C" w:rsidRPr="00FD6A6A">
        <w:t>complementary</w:t>
      </w:r>
      <w:r w:rsidR="00541D05">
        <w:t xml:space="preserve"> </w:t>
      </w:r>
      <w:r w:rsidR="00D9258C" w:rsidRPr="00FD6A6A">
        <w:t>laws.</w:t>
      </w:r>
      <w:r w:rsidR="00541D05">
        <w:t xml:space="preserve"> </w:t>
      </w:r>
      <w:r w:rsidR="00D9258C" w:rsidRPr="00FD6A6A">
        <w:t>If</w:t>
      </w:r>
      <w:r w:rsidR="00541D05">
        <w:t xml:space="preserve"> </w:t>
      </w:r>
      <w:r w:rsidR="00D9258C" w:rsidRPr="00FD6A6A">
        <w:t>the</w:t>
      </w:r>
      <w:r w:rsidR="00541D05">
        <w:t xml:space="preserve"> </w:t>
      </w:r>
      <w:r w:rsidR="00D9258C" w:rsidRPr="00FD6A6A">
        <w:t>ratification</w:t>
      </w:r>
      <w:r w:rsidR="00541D05">
        <w:t xml:space="preserve"> </w:t>
      </w:r>
      <w:r w:rsidR="00D9258C" w:rsidRPr="00FD6A6A">
        <w:t>has</w:t>
      </w:r>
      <w:r w:rsidR="00541D05">
        <w:t xml:space="preserve"> </w:t>
      </w:r>
      <w:r w:rsidR="00D9258C" w:rsidRPr="00FD6A6A">
        <w:t>occurred</w:t>
      </w:r>
      <w:r w:rsidR="00541D05">
        <w:t xml:space="preserve"> </w:t>
      </w:r>
      <w:r w:rsidR="00D9258C" w:rsidRPr="00FD6A6A">
        <w:t>with</w:t>
      </w:r>
      <w:r w:rsidR="00541D05">
        <w:t xml:space="preserve"> </w:t>
      </w:r>
      <w:r w:rsidR="00D9258C" w:rsidRPr="00FD6A6A">
        <w:t>a</w:t>
      </w:r>
      <w:r w:rsidR="00541D05">
        <w:t xml:space="preserve"> </w:t>
      </w:r>
      <w:r w:rsidR="00D9258C" w:rsidRPr="00FD6A6A">
        <w:t>special</w:t>
      </w:r>
      <w:r w:rsidR="00541D05">
        <w:t xml:space="preserve"> </w:t>
      </w:r>
      <w:r w:rsidR="00D9258C" w:rsidRPr="00FD6A6A">
        <w:t>quorum</w:t>
      </w:r>
      <w:r w:rsidR="00541D05">
        <w:t xml:space="preserve"> </w:t>
      </w:r>
      <w:r w:rsidR="00D9258C" w:rsidRPr="00FD6A6A">
        <w:t>(art.</w:t>
      </w:r>
      <w:r w:rsidR="00541D05">
        <w:t xml:space="preserve"> </w:t>
      </w:r>
      <w:r w:rsidR="00D9258C" w:rsidRPr="00FD6A6A">
        <w:t>5,</w:t>
      </w:r>
      <w:r w:rsidR="00541D05">
        <w:t xml:space="preserve"> </w:t>
      </w:r>
      <w:r w:rsidR="00D9258C" w:rsidRPr="00FD6A6A">
        <w:t>paragraph</w:t>
      </w:r>
      <w:r w:rsidR="00541D05">
        <w:t xml:space="preserve"> </w:t>
      </w:r>
      <w:r w:rsidR="00D9258C" w:rsidRPr="00FD6A6A">
        <w:t>3</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of</w:t>
      </w:r>
      <w:r w:rsidR="00541D05">
        <w:t xml:space="preserve"> </w:t>
      </w:r>
      <w:r w:rsidR="00D9258C" w:rsidRPr="00FD6A6A">
        <w:t>1988),</w:t>
      </w:r>
      <w:r w:rsidR="00541D05">
        <w:t xml:space="preserve"> </w:t>
      </w:r>
      <w:r w:rsidR="00D9258C" w:rsidRPr="00FD6A6A">
        <w:t>the</w:t>
      </w:r>
      <w:r w:rsidR="00541D05">
        <w:t xml:space="preserve"> </w:t>
      </w:r>
      <w:r w:rsidR="00D9258C" w:rsidRPr="00FD6A6A">
        <w:t>instrument</w:t>
      </w:r>
      <w:r w:rsidR="00541D05">
        <w:t xml:space="preserve"> </w:t>
      </w:r>
      <w:r w:rsidR="00D9258C" w:rsidRPr="00FD6A6A">
        <w:t>has</w:t>
      </w:r>
      <w:r w:rsidR="00541D05">
        <w:t xml:space="preserve"> </w:t>
      </w:r>
      <w:r w:rsidR="00D9258C" w:rsidRPr="00FD6A6A">
        <w:t>a</w:t>
      </w:r>
      <w:r w:rsidR="00541D05">
        <w:t xml:space="preserve"> </w:t>
      </w:r>
      <w:r w:rsidR="00D9258C" w:rsidRPr="00FD6A6A">
        <w:t>constitutional</w:t>
      </w:r>
      <w:r w:rsidR="00541D05">
        <w:t xml:space="preserve"> </w:t>
      </w:r>
      <w:r w:rsidR="00D9258C" w:rsidRPr="00FD6A6A">
        <w:t>status.</w:t>
      </w:r>
      <w:r w:rsidR="00541D05">
        <w:t xml:space="preserve"> </w:t>
      </w:r>
      <w:r w:rsidR="00D9258C" w:rsidRPr="00FD6A6A">
        <w:t>In</w:t>
      </w:r>
      <w:r w:rsidR="00541D05">
        <w:t xml:space="preserve"> </w:t>
      </w:r>
      <w:r w:rsidR="00D9258C" w:rsidRPr="00FD6A6A">
        <w:t>the</w:t>
      </w:r>
      <w:r w:rsidR="00541D05">
        <w:t xml:space="preserve"> </w:t>
      </w:r>
      <w:r w:rsidR="00D9258C" w:rsidRPr="00FD6A6A">
        <w:t>event</w:t>
      </w:r>
      <w:r w:rsidR="00541D05">
        <w:t xml:space="preserve"> </w:t>
      </w:r>
      <w:r w:rsidR="00D9258C" w:rsidRPr="00FD6A6A">
        <w:t>of</w:t>
      </w:r>
      <w:r w:rsidR="00541D05">
        <w:t xml:space="preserve"> </w:t>
      </w:r>
      <w:r w:rsidR="00D9258C" w:rsidRPr="00FD6A6A">
        <w:t>conflict</w:t>
      </w:r>
      <w:r w:rsidR="00541D05">
        <w:t xml:space="preserve"> </w:t>
      </w:r>
      <w:r w:rsidR="00D9258C" w:rsidRPr="00FD6A6A">
        <w:t>between</w:t>
      </w:r>
      <w:r w:rsidR="00541D05">
        <w:t xml:space="preserve"> </w:t>
      </w:r>
      <w:r w:rsidR="00D9258C" w:rsidRPr="00FD6A6A">
        <w:t>such</w:t>
      </w:r>
      <w:r w:rsidR="00541D05">
        <w:t xml:space="preserve"> </w:t>
      </w:r>
      <w:r w:rsidR="00D9258C" w:rsidRPr="00FD6A6A">
        <w:t>conventions</w:t>
      </w:r>
      <w:r w:rsidR="00541D05">
        <w:t xml:space="preserve"> </w:t>
      </w:r>
      <w:r w:rsidR="00D9258C" w:rsidRPr="00FD6A6A">
        <w:t>and</w:t>
      </w:r>
      <w:r w:rsidR="00541D05">
        <w:t xml:space="preserve"> </w:t>
      </w:r>
      <w:r w:rsidR="00D9258C" w:rsidRPr="00FD6A6A">
        <w:t>the</w:t>
      </w:r>
      <w:r w:rsidR="00541D05">
        <w:t xml:space="preserve"> </w:t>
      </w:r>
      <w:r w:rsidR="00D9258C" w:rsidRPr="00FD6A6A">
        <w:t>domestic</w:t>
      </w:r>
      <w:r w:rsidR="00541D05">
        <w:t xml:space="preserve"> </w:t>
      </w:r>
      <w:r w:rsidR="00D9258C" w:rsidRPr="00FD6A6A">
        <w:t>law,</w:t>
      </w:r>
      <w:r w:rsidR="00541D05">
        <w:t xml:space="preserve"> </w:t>
      </w:r>
      <w:r w:rsidR="00D9258C" w:rsidRPr="00FD6A6A">
        <w:t>the</w:t>
      </w:r>
      <w:r w:rsidR="00541D05">
        <w:t xml:space="preserve"> </w:t>
      </w:r>
      <w:r w:rsidR="00D9258C" w:rsidRPr="00FD6A6A">
        <w:t>rules</w:t>
      </w:r>
      <w:r w:rsidR="00541D05">
        <w:t xml:space="preserve"> </w:t>
      </w:r>
      <w:r w:rsidR="00D9258C" w:rsidRPr="00FD6A6A">
        <w:t>and</w:t>
      </w:r>
      <w:r w:rsidR="00541D05">
        <w:t xml:space="preserve"> </w:t>
      </w:r>
      <w:r w:rsidR="00D9258C" w:rsidRPr="00FD6A6A">
        <w:t>interpretations</w:t>
      </w:r>
      <w:r w:rsidR="00541D05">
        <w:t xml:space="preserve"> </w:t>
      </w:r>
      <w:r w:rsidR="00D9258C" w:rsidRPr="00FD6A6A">
        <w:t>deemed</w:t>
      </w:r>
      <w:r w:rsidR="00541D05">
        <w:t xml:space="preserve"> </w:t>
      </w:r>
      <w:r w:rsidR="00D9258C" w:rsidRPr="00FD6A6A">
        <w:t>more</w:t>
      </w:r>
      <w:r w:rsidR="00541D05">
        <w:t xml:space="preserve"> </w:t>
      </w:r>
      <w:r w:rsidR="00D9258C" w:rsidRPr="00FD6A6A">
        <w:t>favorable</w:t>
      </w:r>
      <w:r w:rsidR="00541D05">
        <w:t xml:space="preserve"> </w:t>
      </w:r>
      <w:r w:rsidR="00D9258C" w:rsidRPr="00FD6A6A">
        <w:t>to</w:t>
      </w:r>
      <w:r w:rsidR="00541D05">
        <w:t xml:space="preserve"> </w:t>
      </w:r>
      <w:r w:rsidR="00D9258C" w:rsidRPr="00FD6A6A">
        <w:t>the</w:t>
      </w:r>
      <w:r w:rsidR="00541D05">
        <w:t xml:space="preserve"> </w:t>
      </w:r>
      <w:r w:rsidR="00D9258C" w:rsidRPr="00FD6A6A">
        <w:t>individual</w:t>
      </w:r>
      <w:r w:rsidR="00541D05">
        <w:t xml:space="preserve"> </w:t>
      </w:r>
      <w:r w:rsidR="00D9258C" w:rsidRPr="00FD6A6A">
        <w:t>shall</w:t>
      </w:r>
      <w:r w:rsidR="00541D05">
        <w:t xml:space="preserve"> </w:t>
      </w:r>
      <w:r w:rsidR="00D9258C" w:rsidRPr="00FD6A6A">
        <w:t>prevail.</w:t>
      </w:r>
      <w:r w:rsidR="00541D05">
        <w:t xml:space="preserve"> </w:t>
      </w:r>
      <w:r w:rsidR="00D9258C" w:rsidRPr="00FD6A6A">
        <w:t>With</w:t>
      </w:r>
      <w:r w:rsidR="00541D05">
        <w:t xml:space="preserve"> </w:t>
      </w:r>
      <w:r w:rsidR="00D9258C" w:rsidRPr="00FD6A6A">
        <w:t>reference</w:t>
      </w:r>
      <w:r w:rsidR="00541D05">
        <w:t xml:space="preserve"> </w:t>
      </w:r>
      <w:r w:rsidR="00D9258C" w:rsidRPr="00FD6A6A">
        <w:t>to</w:t>
      </w:r>
      <w:r w:rsidR="00541D05">
        <w:t xml:space="preserve"> </w:t>
      </w:r>
      <w:r w:rsidR="00D9258C" w:rsidRPr="00FD6A6A">
        <w:t>human</w:t>
      </w:r>
      <w:r w:rsidR="00541D05">
        <w:t xml:space="preserve"> </w:t>
      </w:r>
      <w:r w:rsidR="00D9258C" w:rsidRPr="00FD6A6A">
        <w:t>rights,</w:t>
      </w:r>
      <w:r w:rsidR="00541D05">
        <w:t xml:space="preserve"> </w:t>
      </w:r>
      <w:r w:rsidR="00D9258C" w:rsidRPr="00FD6A6A">
        <w:t>setbacks</w:t>
      </w:r>
      <w:r w:rsidR="00541D05">
        <w:t xml:space="preserve"> </w:t>
      </w:r>
      <w:r w:rsidR="00D9258C" w:rsidRPr="00FD6A6A">
        <w:t>are</w:t>
      </w:r>
      <w:r w:rsidR="00541D05">
        <w:t xml:space="preserve"> </w:t>
      </w:r>
      <w:r w:rsidR="00D9258C" w:rsidRPr="00FD6A6A">
        <w:t>prohibited</w:t>
      </w:r>
      <w:r w:rsidR="00541D05">
        <w:t xml:space="preserve"> </w:t>
      </w:r>
      <w:r w:rsidR="00D9258C" w:rsidRPr="00FD6A6A">
        <w:t>by</w:t>
      </w:r>
      <w:r w:rsidR="00541D05">
        <w:t xml:space="preserve"> </w:t>
      </w:r>
      <w:r w:rsidR="00D9258C" w:rsidRPr="00FD6A6A">
        <w:t>law.</w:t>
      </w:r>
    </w:p>
    <w:p w14:paraId="6E13D78D" w14:textId="3949A403" w:rsidR="00D9258C" w:rsidRPr="00FD6A6A" w:rsidRDefault="00166390" w:rsidP="00166390">
      <w:pPr>
        <w:pStyle w:val="ParaNoG"/>
        <w:numPr>
          <w:ilvl w:val="0"/>
          <w:numId w:val="0"/>
        </w:numPr>
        <w:tabs>
          <w:tab w:val="left" w:pos="0"/>
        </w:tabs>
        <w:ind w:left="1134"/>
      </w:pPr>
      <w:r w:rsidRPr="00FD6A6A">
        <w:t>10.</w:t>
      </w:r>
      <w:r w:rsidRPr="00FD6A6A">
        <w:tab/>
      </w:r>
      <w:r w:rsidR="00D9258C" w:rsidRPr="00FD6A6A">
        <w:t>In</w:t>
      </w:r>
      <w:r w:rsidR="00541D05">
        <w:t xml:space="preserve"> </w:t>
      </w:r>
      <w:r w:rsidR="00D9258C" w:rsidRPr="00FD6A6A">
        <w:t>the</w:t>
      </w:r>
      <w:r w:rsidR="00541D05">
        <w:t xml:space="preserve"> </w:t>
      </w:r>
      <w:r w:rsidR="00D9258C" w:rsidRPr="00FD6A6A">
        <w:t>Federal</w:t>
      </w:r>
      <w:r w:rsidR="00541D05">
        <w:t xml:space="preserve"> </w:t>
      </w:r>
      <w:r w:rsidR="00D9258C" w:rsidRPr="00FD6A6A">
        <w:t>Executive</w:t>
      </w:r>
      <w:r w:rsidR="00541D05">
        <w:t xml:space="preserve"> </w:t>
      </w:r>
      <w:r w:rsidR="00D9258C" w:rsidRPr="00FD6A6A">
        <w:t>Branch,</w:t>
      </w:r>
      <w:r w:rsidR="00541D05">
        <w:t xml:space="preserve"> </w:t>
      </w:r>
      <w:r w:rsidR="00D9258C" w:rsidRPr="00FD6A6A">
        <w:t>Circular</w:t>
      </w:r>
      <w:r w:rsidR="00541D05">
        <w:t xml:space="preserve"> </w:t>
      </w:r>
      <w:r w:rsidR="00D9258C" w:rsidRPr="00FD6A6A">
        <w:t>Letter</w:t>
      </w:r>
      <w:r w:rsidR="00541D05">
        <w:t xml:space="preserve"> </w:t>
      </w:r>
      <w:r w:rsidR="00D9258C" w:rsidRPr="00FD6A6A">
        <w:t>No.</w:t>
      </w:r>
      <w:r w:rsidR="00541D05">
        <w:t xml:space="preserve"> </w:t>
      </w:r>
      <w:r w:rsidR="00D9258C" w:rsidRPr="00FD6A6A">
        <w:t>1</w:t>
      </w:r>
      <w:r w:rsidR="00541D05">
        <w:t xml:space="preserve"> </w:t>
      </w:r>
      <w:r w:rsidR="00D9258C" w:rsidRPr="00FD6A6A">
        <w:t>of</w:t>
      </w:r>
      <w:r w:rsidR="00541D05">
        <w:t xml:space="preserve"> </w:t>
      </w:r>
      <w:r w:rsidR="00D9258C" w:rsidRPr="00FD6A6A">
        <w:t>December</w:t>
      </w:r>
      <w:r w:rsidR="00541D05">
        <w:t xml:space="preserve"> </w:t>
      </w:r>
      <w:r w:rsidR="00D9258C" w:rsidRPr="00FD6A6A">
        <w:t>28,</w:t>
      </w:r>
      <w:r w:rsidR="00541D05">
        <w:t xml:space="preserve"> </w:t>
      </w:r>
      <w:r w:rsidR="00D9258C" w:rsidRPr="00FD6A6A">
        <w:t>2012,</w:t>
      </w:r>
      <w:r w:rsidR="00541D05">
        <w:t xml:space="preserve"> </w:t>
      </w:r>
      <w:r w:rsidR="00D9258C" w:rsidRPr="00FD6A6A">
        <w:t>signed</w:t>
      </w:r>
      <w:r w:rsidR="00541D05">
        <w:t xml:space="preserve"> </w:t>
      </w:r>
      <w:r w:rsidR="00D9258C" w:rsidRPr="00FD6A6A">
        <w:t>by</w:t>
      </w:r>
      <w:r w:rsidR="00541D05">
        <w:t xml:space="preserve"> </w:t>
      </w:r>
      <w:r w:rsidR="00D9258C" w:rsidRPr="00FD6A6A">
        <w:t>the</w:t>
      </w:r>
      <w:r w:rsidR="00541D05">
        <w:t xml:space="preserve"> </w:t>
      </w:r>
      <w:r w:rsidR="00D9258C" w:rsidRPr="00FD6A6A">
        <w:t>Secretaries</w:t>
      </w:r>
      <w:r w:rsidR="00541D05">
        <w:t xml:space="preserve"> </w:t>
      </w:r>
      <w:r w:rsidR="00D9258C" w:rsidRPr="00FD6A6A">
        <w:t>of</w:t>
      </w:r>
      <w:r w:rsidR="00541D05">
        <w:t xml:space="preserve"> </w:t>
      </w:r>
      <w:r w:rsidR="00D9258C" w:rsidRPr="00FD6A6A">
        <w:t>State</w:t>
      </w:r>
      <w:r w:rsidR="00541D05">
        <w:t xml:space="preserve"> </w:t>
      </w:r>
      <w:r w:rsidR="00D9258C" w:rsidRPr="00FD6A6A">
        <w:t>for</w:t>
      </w:r>
      <w:r w:rsidR="00541D05">
        <w:t xml:space="preserve"> </w:t>
      </w:r>
      <w:r w:rsidR="00D9258C" w:rsidRPr="00FD6A6A">
        <w:t>Racial</w:t>
      </w:r>
      <w:r w:rsidR="00541D05">
        <w:t xml:space="preserve"> </w:t>
      </w:r>
      <w:r w:rsidR="00D9258C" w:rsidRPr="00FD6A6A">
        <w:t>Equality</w:t>
      </w:r>
      <w:r w:rsidR="00541D05">
        <w:t xml:space="preserve"> </w:t>
      </w:r>
      <w:r w:rsidR="00D9258C" w:rsidRPr="00FD6A6A">
        <w:t>and</w:t>
      </w:r>
      <w:r w:rsidR="00541D05">
        <w:t xml:space="preserve"> </w:t>
      </w:r>
      <w:r w:rsidR="00D9258C" w:rsidRPr="00FD6A6A">
        <w:t>for</w:t>
      </w:r>
      <w:r w:rsidR="00541D05">
        <w:t xml:space="preserve"> </w:t>
      </w:r>
      <w:r w:rsidR="00D9258C" w:rsidRPr="00FD6A6A">
        <w:t>Policies</w:t>
      </w:r>
      <w:r w:rsidR="00541D05">
        <w:t xml:space="preserve"> </w:t>
      </w:r>
      <w:r w:rsidR="00D9258C" w:rsidRPr="00FD6A6A">
        <w:t>for</w:t>
      </w:r>
      <w:r w:rsidR="00541D05">
        <w:t xml:space="preserve"> </w:t>
      </w:r>
      <w:r w:rsidR="00D9258C" w:rsidRPr="00FD6A6A">
        <w:t>Women,</w:t>
      </w:r>
      <w:r w:rsidR="00541D05">
        <w:t xml:space="preserve"> </w:t>
      </w:r>
      <w:r w:rsidR="00D9258C" w:rsidRPr="00FD6A6A">
        <w:t>together</w:t>
      </w:r>
      <w:r w:rsidR="00541D05">
        <w:t xml:space="preserve"> </w:t>
      </w:r>
      <w:r w:rsidR="00D9258C" w:rsidRPr="00FD6A6A">
        <w:t>with</w:t>
      </w:r>
      <w:r w:rsidR="00541D05">
        <w:t xml:space="preserve"> </w:t>
      </w:r>
      <w:r w:rsidR="00D9258C" w:rsidRPr="00FD6A6A">
        <w:t>the</w:t>
      </w:r>
      <w:r w:rsidR="00541D05">
        <w:t xml:space="preserve"> </w:t>
      </w:r>
      <w:r w:rsidR="00D9258C" w:rsidRPr="00FD6A6A">
        <w:t>Minister</w:t>
      </w:r>
      <w:r w:rsidR="00541D05">
        <w:t xml:space="preserve"> </w:t>
      </w:r>
      <w:r w:rsidR="00D9258C" w:rsidRPr="00FD6A6A">
        <w:t>for</w:t>
      </w:r>
      <w:r w:rsidR="00541D05">
        <w:t xml:space="preserve"> </w:t>
      </w:r>
      <w:r w:rsidR="00D9258C" w:rsidRPr="00FD6A6A">
        <w:t>Civil</w:t>
      </w:r>
      <w:r w:rsidR="00541D05">
        <w:t xml:space="preserve"> </w:t>
      </w:r>
      <w:r w:rsidR="00D9258C" w:rsidRPr="00FD6A6A">
        <w:t>Affairs</w:t>
      </w:r>
      <w:r w:rsidR="00541D05">
        <w:t xml:space="preserve"> </w:t>
      </w:r>
      <w:r w:rsidR="00D9258C" w:rsidRPr="00FD6A6A">
        <w:t>of</w:t>
      </w:r>
      <w:r w:rsidR="00541D05">
        <w:t xml:space="preserve"> </w:t>
      </w:r>
      <w:r w:rsidR="00D9258C" w:rsidRPr="00FD6A6A">
        <w:t>the</w:t>
      </w:r>
      <w:r w:rsidR="00541D05">
        <w:t xml:space="preserve"> </w:t>
      </w:r>
      <w:r w:rsidR="00D9258C" w:rsidRPr="00FD6A6A">
        <w:t>Presidency</w:t>
      </w:r>
      <w:r w:rsidR="00541D05">
        <w:t xml:space="preserve"> </w:t>
      </w:r>
      <w:r w:rsidR="00D9258C" w:rsidRPr="00FD6A6A">
        <w:t>of</w:t>
      </w:r>
      <w:r w:rsidR="00541D05">
        <w:t xml:space="preserve"> </w:t>
      </w:r>
      <w:r w:rsidR="00D9258C" w:rsidRPr="00FD6A6A">
        <w:t>the</w:t>
      </w:r>
      <w:r w:rsidR="00541D05">
        <w:t xml:space="preserve"> </w:t>
      </w:r>
      <w:r w:rsidR="00D9258C" w:rsidRPr="00FD6A6A">
        <w:t>Republic,</w:t>
      </w:r>
      <w:r w:rsidR="00541D05">
        <w:t xml:space="preserve"> </w:t>
      </w:r>
      <w:r w:rsidR="00D9258C" w:rsidRPr="00FD6A6A">
        <w:t>established</w:t>
      </w:r>
      <w:r w:rsidR="00541D05">
        <w:t xml:space="preserve"> </w:t>
      </w:r>
      <w:r w:rsidR="00D9258C" w:rsidRPr="00FD6A6A">
        <w:t>that</w:t>
      </w:r>
      <w:r w:rsidR="00541D05">
        <w:t xml:space="preserve"> </w:t>
      </w:r>
      <w:r w:rsidR="00EA62F1">
        <w:t>“</w:t>
      </w:r>
      <w:r w:rsidR="00D9258C" w:rsidRPr="00FD6A6A">
        <w:t>skin</w:t>
      </w:r>
      <w:r w:rsidR="00541D05">
        <w:t xml:space="preserve"> </w:t>
      </w:r>
      <w:r w:rsidR="00D9258C" w:rsidRPr="00FD6A6A">
        <w:t>tone</w:t>
      </w:r>
      <w:r w:rsidR="00541D05">
        <w:t xml:space="preserve"> </w:t>
      </w:r>
      <w:r w:rsidR="00D9258C" w:rsidRPr="00FD6A6A">
        <w:t>or</w:t>
      </w:r>
      <w:r w:rsidR="00541D05">
        <w:t xml:space="preserve"> </w:t>
      </w:r>
      <w:r w:rsidR="00D9258C" w:rsidRPr="00FD6A6A">
        <w:t>race</w:t>
      </w:r>
      <w:r w:rsidR="00EA62F1">
        <w:t>”</w:t>
      </w:r>
      <w:r w:rsidR="00541D05">
        <w:t xml:space="preserve"> </w:t>
      </w:r>
      <w:r w:rsidR="00D9258C" w:rsidRPr="00FD6A6A">
        <w:t>is</w:t>
      </w:r>
      <w:r w:rsidR="00541D05">
        <w:t xml:space="preserve"> </w:t>
      </w:r>
      <w:r w:rsidR="00D9258C" w:rsidRPr="00FD6A6A">
        <w:t>mandatory</w:t>
      </w:r>
      <w:r w:rsidR="00541D05">
        <w:t xml:space="preserve"> </w:t>
      </w:r>
      <w:r w:rsidR="00D9258C" w:rsidRPr="00FD6A6A">
        <w:t>in</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EA62F1">
        <w:t>’</w:t>
      </w:r>
      <w:r w:rsidR="00D9258C" w:rsidRPr="00FD6A6A">
        <w:t>s</w:t>
      </w:r>
      <w:r w:rsidR="00541D05">
        <w:t xml:space="preserve"> </w:t>
      </w:r>
      <w:r w:rsidR="00D9258C" w:rsidRPr="00FD6A6A">
        <w:t>administrative</w:t>
      </w:r>
      <w:r w:rsidR="00541D05">
        <w:t xml:space="preserve"> </w:t>
      </w:r>
      <w:r w:rsidR="00D9258C" w:rsidRPr="00FD6A6A">
        <w:t>records,</w:t>
      </w:r>
      <w:r w:rsidR="00541D05">
        <w:t xml:space="preserve"> </w:t>
      </w:r>
      <w:r w:rsidR="00D9258C" w:rsidRPr="00FD6A6A">
        <w:t>registrations,</w:t>
      </w:r>
      <w:r w:rsidR="00541D05">
        <w:t xml:space="preserve"> </w:t>
      </w:r>
      <w:r w:rsidR="00D9258C" w:rsidRPr="00FD6A6A">
        <w:t>forms,</w:t>
      </w:r>
      <w:r w:rsidR="00541D05">
        <w:t xml:space="preserve"> </w:t>
      </w:r>
      <w:r w:rsidR="00D9258C" w:rsidRPr="00FD6A6A">
        <w:t>and</w:t>
      </w:r>
      <w:r w:rsidR="00541D05">
        <w:t xml:space="preserve"> </w:t>
      </w:r>
      <w:r w:rsidR="00D9258C" w:rsidRPr="00FD6A6A">
        <w:t>databases.</w:t>
      </w:r>
    </w:p>
    <w:p w14:paraId="0A412A5F" w14:textId="1D7C0146" w:rsidR="00D9258C" w:rsidRPr="00FD6A6A" w:rsidRDefault="00166390" w:rsidP="00166390">
      <w:pPr>
        <w:pStyle w:val="ParaNoG"/>
        <w:numPr>
          <w:ilvl w:val="0"/>
          <w:numId w:val="0"/>
        </w:numPr>
        <w:tabs>
          <w:tab w:val="left" w:pos="0"/>
        </w:tabs>
        <w:ind w:left="1134"/>
      </w:pPr>
      <w:r w:rsidRPr="00FD6A6A">
        <w:t>11.</w:t>
      </w:r>
      <w:r w:rsidRPr="00FD6A6A">
        <w:tab/>
      </w:r>
      <w:r w:rsidR="00D9258C" w:rsidRPr="00FD6A6A">
        <w:t>The</w:t>
      </w:r>
      <w:r w:rsidR="00541D05">
        <w:t xml:space="preserve"> </w:t>
      </w:r>
      <w:r w:rsidR="00D9258C" w:rsidRPr="00FD6A6A">
        <w:t>concept</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contained</w:t>
      </w:r>
      <w:r w:rsidR="00541D05">
        <w:t xml:space="preserve"> </w:t>
      </w:r>
      <w:r w:rsidR="00D9258C" w:rsidRPr="00FD6A6A">
        <w:t>in</w:t>
      </w:r>
      <w:r w:rsidR="00541D05">
        <w:t xml:space="preserve"> </w:t>
      </w:r>
      <w:r w:rsidR="00D9258C" w:rsidRPr="00FD6A6A">
        <w:t>the</w:t>
      </w:r>
      <w:r w:rsidR="00541D05">
        <w:t xml:space="preserve"> </w:t>
      </w:r>
      <w:r w:rsidR="00D9258C" w:rsidRPr="00FD6A6A">
        <w:t>International</w:t>
      </w:r>
      <w:r w:rsidR="00541D05">
        <w:t xml:space="preserve"> </w:t>
      </w:r>
      <w:r w:rsidR="00D9258C" w:rsidRPr="00FD6A6A">
        <w:t>Convention</w:t>
      </w:r>
      <w:r w:rsidR="00541D05">
        <w:t xml:space="preserve"> </w:t>
      </w:r>
      <w:r w:rsidR="00D9258C" w:rsidRPr="00FD6A6A">
        <w:t>on</w:t>
      </w:r>
      <w:r w:rsidR="00541D05">
        <w:t xml:space="preserve"> </w:t>
      </w:r>
      <w:r w:rsidR="00D9258C" w:rsidRPr="00FD6A6A">
        <w:t>the</w:t>
      </w:r>
      <w:r w:rsidR="00541D05">
        <w:t xml:space="preserve"> </w:t>
      </w:r>
      <w:r w:rsidR="00D9258C" w:rsidRPr="00FD6A6A">
        <w:t>Elimination</w:t>
      </w:r>
      <w:r w:rsidR="00541D05">
        <w:t xml:space="preserve"> </w:t>
      </w:r>
      <w:r w:rsidR="00D9258C" w:rsidRPr="00FD6A6A">
        <w:t>of</w:t>
      </w:r>
      <w:r w:rsidR="00541D05">
        <w:t xml:space="preserve"> </w:t>
      </w:r>
      <w:r w:rsidR="00D9258C" w:rsidRPr="00FD6A6A">
        <w:t>All</w:t>
      </w:r>
      <w:r w:rsidR="00541D05">
        <w:t xml:space="preserve"> </w:t>
      </w:r>
      <w:r w:rsidR="00D9258C" w:rsidRPr="00FD6A6A">
        <w:t>Forms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has</w:t>
      </w:r>
      <w:r w:rsidR="00541D05">
        <w:t xml:space="preserve"> </w:t>
      </w:r>
      <w:r w:rsidR="00D9258C" w:rsidRPr="00FD6A6A">
        <w:t>been</w:t>
      </w:r>
      <w:r w:rsidR="00541D05">
        <w:t xml:space="preserve"> </w:t>
      </w:r>
      <w:r w:rsidR="00D9258C" w:rsidRPr="00FD6A6A">
        <w:t>integrated</w:t>
      </w:r>
      <w:r w:rsidR="00541D05">
        <w:t xml:space="preserve"> </w:t>
      </w:r>
      <w:r w:rsidR="00D9258C" w:rsidRPr="00FD6A6A">
        <w:t>into</w:t>
      </w:r>
      <w:r w:rsidR="00541D05">
        <w:t xml:space="preserve"> </w:t>
      </w:r>
      <w:r w:rsidR="00D9258C" w:rsidRPr="00FD6A6A">
        <w:t>the</w:t>
      </w:r>
      <w:r w:rsidR="00541D05">
        <w:t xml:space="preserve"> </w:t>
      </w:r>
      <w:r w:rsidR="00D9258C" w:rsidRPr="00FD6A6A">
        <w:t>national</w:t>
      </w:r>
      <w:r w:rsidR="00541D05">
        <w:t xml:space="preserve"> </w:t>
      </w:r>
      <w:r w:rsidR="00D9258C" w:rsidRPr="00FD6A6A">
        <w:t>legal</w:t>
      </w:r>
      <w:r w:rsidR="00541D05">
        <w:t xml:space="preserve"> </w:t>
      </w:r>
      <w:r w:rsidR="00D9258C" w:rsidRPr="00FD6A6A">
        <w:t>system,</w:t>
      </w:r>
      <w:r w:rsidR="00541D05">
        <w:t xml:space="preserve"> </w:t>
      </w:r>
      <w:r w:rsidR="00D9258C" w:rsidRPr="00FD6A6A">
        <w:t>which</w:t>
      </w:r>
      <w:r w:rsidR="00541D05">
        <w:t xml:space="preserve"> </w:t>
      </w:r>
      <w:r w:rsidR="00D9258C" w:rsidRPr="00FD6A6A">
        <w:t>defines</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as</w:t>
      </w:r>
      <w:r w:rsidR="00541D05">
        <w:t xml:space="preserve"> </w:t>
      </w:r>
      <w:r w:rsidR="00EA62F1">
        <w:t>“</w:t>
      </w:r>
      <w:r w:rsidR="00D9258C" w:rsidRPr="00FD6A6A">
        <w:t>any</w:t>
      </w:r>
      <w:r w:rsidR="00541D05">
        <w:t xml:space="preserve"> </w:t>
      </w:r>
      <w:r w:rsidR="00D9258C" w:rsidRPr="00FD6A6A">
        <w:t>distinction,</w:t>
      </w:r>
      <w:r w:rsidR="00541D05">
        <w:t xml:space="preserve"> </w:t>
      </w:r>
      <w:r w:rsidR="00D9258C" w:rsidRPr="00FD6A6A">
        <w:t>exclusion,</w:t>
      </w:r>
      <w:r w:rsidR="00541D05">
        <w:t xml:space="preserve"> </w:t>
      </w:r>
      <w:r w:rsidR="00D9258C" w:rsidRPr="00FD6A6A">
        <w:t>restriction,</w:t>
      </w:r>
      <w:r w:rsidR="00541D05">
        <w:t xml:space="preserve"> </w:t>
      </w:r>
      <w:r w:rsidR="00D9258C" w:rsidRPr="00FD6A6A">
        <w:t>or</w:t>
      </w:r>
      <w:r w:rsidR="00541D05">
        <w:t xml:space="preserve"> </w:t>
      </w:r>
      <w:r w:rsidR="00D9258C" w:rsidRPr="00FD6A6A">
        <w:t>preference</w:t>
      </w:r>
      <w:r w:rsidR="00541D05">
        <w:t xml:space="preserve"> </w:t>
      </w:r>
      <w:r w:rsidR="00D9258C" w:rsidRPr="00FD6A6A">
        <w:t>based</w:t>
      </w:r>
      <w:r w:rsidR="00541D05">
        <w:t xml:space="preserve"> </w:t>
      </w:r>
      <w:r w:rsidR="00D9258C" w:rsidRPr="00FD6A6A">
        <w:t>on</w:t>
      </w:r>
      <w:r w:rsidR="00541D05">
        <w:t xml:space="preserve"> </w:t>
      </w:r>
      <w:r w:rsidR="00D9258C" w:rsidRPr="00FD6A6A">
        <w:t>race,</w:t>
      </w:r>
      <w:r w:rsidR="00541D05">
        <w:t xml:space="preserve"> </w:t>
      </w:r>
      <w:r w:rsidR="00D9258C" w:rsidRPr="00FD6A6A">
        <w:t>skin</w:t>
      </w:r>
      <w:r w:rsidR="00541D05">
        <w:t xml:space="preserve"> </w:t>
      </w:r>
      <w:r w:rsidR="00D9258C" w:rsidRPr="00FD6A6A">
        <w:t>tone,</w:t>
      </w:r>
      <w:r w:rsidR="00541D05">
        <w:t xml:space="preserve"> </w:t>
      </w:r>
      <w:r w:rsidR="00D9258C" w:rsidRPr="00FD6A6A">
        <w:t>ancestry,</w:t>
      </w:r>
      <w:r w:rsidR="00541D05">
        <w:t xml:space="preserve"> </w:t>
      </w:r>
      <w:r w:rsidR="00D9258C" w:rsidRPr="00FD6A6A">
        <w:t>nationality,</w:t>
      </w:r>
      <w:r w:rsidR="00541D05">
        <w:t xml:space="preserve"> </w:t>
      </w:r>
      <w:r w:rsidR="00D9258C" w:rsidRPr="00FD6A6A">
        <w:t>or</w:t>
      </w:r>
      <w:r w:rsidR="00541D05">
        <w:t xml:space="preserve"> </w:t>
      </w:r>
      <w:r w:rsidR="00D9258C" w:rsidRPr="00FD6A6A">
        <w:t>ethnicity</w:t>
      </w:r>
      <w:r w:rsidR="00541D05">
        <w:t xml:space="preserve"> </w:t>
      </w:r>
      <w:r w:rsidR="00D9258C" w:rsidRPr="00FD6A6A">
        <w:t>that</w:t>
      </w:r>
      <w:r w:rsidR="00541D05">
        <w:t xml:space="preserve"> </w:t>
      </w:r>
      <w:r w:rsidR="00D9258C" w:rsidRPr="00FD6A6A">
        <w:t>has</w:t>
      </w:r>
      <w:r w:rsidR="00541D05">
        <w:t xml:space="preserve"> </w:t>
      </w:r>
      <w:r w:rsidR="00D9258C" w:rsidRPr="00FD6A6A">
        <w:t>the</w:t>
      </w:r>
      <w:r w:rsidR="00541D05">
        <w:t xml:space="preserve"> </w:t>
      </w:r>
      <w:r w:rsidR="00D9258C" w:rsidRPr="00FD6A6A">
        <w:t>purpose</w:t>
      </w:r>
      <w:r w:rsidR="00541D05">
        <w:t xml:space="preserve"> </w:t>
      </w:r>
      <w:r w:rsidR="00D9258C" w:rsidRPr="00FD6A6A">
        <w:t>or</w:t>
      </w:r>
      <w:r w:rsidR="00541D05">
        <w:t xml:space="preserve"> </w:t>
      </w:r>
      <w:r w:rsidR="00D9258C" w:rsidRPr="00FD6A6A">
        <w:t>effect</w:t>
      </w:r>
      <w:r w:rsidR="00541D05">
        <w:t xml:space="preserve"> </w:t>
      </w:r>
      <w:r w:rsidR="00D9258C" w:rsidRPr="00FD6A6A">
        <w:t>to</w:t>
      </w:r>
      <w:r w:rsidR="00541D05">
        <w:t xml:space="preserve"> </w:t>
      </w:r>
      <w:r w:rsidR="00D9258C" w:rsidRPr="00FD6A6A">
        <w:t>invalidate</w:t>
      </w:r>
      <w:r w:rsidR="00541D05">
        <w:t xml:space="preserve"> </w:t>
      </w:r>
      <w:r w:rsidR="00D9258C" w:rsidRPr="00FD6A6A">
        <w:t>or</w:t>
      </w:r>
      <w:r w:rsidR="00541D05">
        <w:t xml:space="preserve"> </w:t>
      </w:r>
      <w:r w:rsidR="00D9258C" w:rsidRPr="00FD6A6A">
        <w:t>restrict</w:t>
      </w:r>
      <w:r w:rsidR="00541D05">
        <w:t xml:space="preserve"> </w:t>
      </w:r>
      <w:r w:rsidR="00D9258C" w:rsidRPr="00FD6A6A">
        <w:t>the</w:t>
      </w:r>
      <w:r w:rsidR="00541D05">
        <w:t xml:space="preserve"> </w:t>
      </w:r>
      <w:r w:rsidR="00D9258C" w:rsidRPr="00FD6A6A">
        <w:t>recognition,</w:t>
      </w:r>
      <w:r w:rsidR="00541D05">
        <w:t xml:space="preserve"> </w:t>
      </w:r>
      <w:r w:rsidR="00D9258C" w:rsidRPr="00FD6A6A">
        <w:t>enjoyment,</w:t>
      </w:r>
      <w:r w:rsidR="00541D05">
        <w:t xml:space="preserve"> </w:t>
      </w:r>
      <w:r w:rsidR="00D9258C" w:rsidRPr="00FD6A6A">
        <w:t>or</w:t>
      </w:r>
      <w:r w:rsidR="00541D05">
        <w:t xml:space="preserve"> </w:t>
      </w:r>
      <w:r w:rsidR="00D9258C" w:rsidRPr="00FD6A6A">
        <w:t>exercise,</w:t>
      </w:r>
      <w:r w:rsidR="00541D05">
        <w:t xml:space="preserve"> </w:t>
      </w:r>
      <w:r w:rsidR="00D9258C" w:rsidRPr="00FD6A6A">
        <w:t>on</w:t>
      </w:r>
      <w:r w:rsidR="00541D05">
        <w:t xml:space="preserve"> </w:t>
      </w:r>
      <w:r w:rsidR="00D9258C" w:rsidRPr="00FD6A6A">
        <w:t>the</w:t>
      </w:r>
      <w:r w:rsidR="00541D05">
        <w:t xml:space="preserve"> </w:t>
      </w:r>
      <w:r w:rsidR="00D9258C" w:rsidRPr="00FD6A6A">
        <w:t>same</w:t>
      </w:r>
      <w:r w:rsidR="00541D05">
        <w:t xml:space="preserve"> </w:t>
      </w:r>
      <w:r w:rsidR="00D9258C" w:rsidRPr="00FD6A6A">
        <w:t>plane</w:t>
      </w:r>
      <w:r w:rsidR="00541D05">
        <w:t xml:space="preserve"> </w:t>
      </w:r>
      <w:r w:rsidR="00D9258C" w:rsidRPr="00FD6A6A">
        <w:t>(in</w:t>
      </w:r>
      <w:r w:rsidR="00541D05">
        <w:t xml:space="preserve"> </w:t>
      </w:r>
      <w:r w:rsidR="00D9258C" w:rsidRPr="00FD6A6A">
        <w:t>equal</w:t>
      </w:r>
      <w:r w:rsidR="00541D05">
        <w:t xml:space="preserve"> </w:t>
      </w:r>
      <w:r w:rsidR="00D9258C" w:rsidRPr="00FD6A6A">
        <w:t>conditions),</w:t>
      </w:r>
      <w:r w:rsidR="00541D05">
        <w:t xml:space="preserve"> </w:t>
      </w:r>
      <w:r w:rsidR="00D9258C" w:rsidRPr="00FD6A6A">
        <w:t>human</w:t>
      </w:r>
      <w:r w:rsidR="00541D05">
        <w:t xml:space="preserve"> </w:t>
      </w:r>
      <w:r w:rsidR="00D9258C" w:rsidRPr="00FD6A6A">
        <w:t>rights</w:t>
      </w:r>
      <w:r w:rsidR="00541D05">
        <w:t xml:space="preserve"> </w:t>
      </w:r>
      <w:r w:rsidR="00D9258C" w:rsidRPr="00FD6A6A">
        <w:t>and</w:t>
      </w:r>
      <w:r w:rsidR="00541D05">
        <w:t xml:space="preserve"> </w:t>
      </w:r>
      <w:r w:rsidR="00D9258C" w:rsidRPr="00FD6A6A">
        <w:t>fundamental</w:t>
      </w:r>
      <w:r w:rsidR="00541D05">
        <w:t xml:space="preserve"> </w:t>
      </w:r>
      <w:r w:rsidR="00D9258C" w:rsidRPr="00FD6A6A">
        <w:t>freedoms</w:t>
      </w:r>
      <w:r w:rsidR="00541D05">
        <w:t xml:space="preserve"> </w:t>
      </w:r>
      <w:r w:rsidR="00D9258C" w:rsidRPr="00FD6A6A">
        <w:t>in</w:t>
      </w:r>
      <w:r w:rsidR="00541D05">
        <w:t xml:space="preserve"> </w:t>
      </w:r>
      <w:r w:rsidR="00D9258C" w:rsidRPr="00FD6A6A">
        <w:t>the</w:t>
      </w:r>
      <w:r w:rsidR="00541D05">
        <w:t xml:space="preserve"> </w:t>
      </w:r>
      <w:r w:rsidR="00D9258C" w:rsidRPr="00FD6A6A">
        <w:t>political,</w:t>
      </w:r>
      <w:r w:rsidR="00541D05">
        <w:t xml:space="preserve"> </w:t>
      </w:r>
      <w:r w:rsidR="00D9258C" w:rsidRPr="00FD6A6A">
        <w:t>economic,</w:t>
      </w:r>
      <w:r w:rsidR="00541D05">
        <w:t xml:space="preserve"> </w:t>
      </w:r>
      <w:r w:rsidR="00D9258C" w:rsidRPr="00FD6A6A">
        <w:t>social,</w:t>
      </w:r>
      <w:r w:rsidR="00541D05">
        <w:t xml:space="preserve"> </w:t>
      </w:r>
      <w:r w:rsidR="00D9258C" w:rsidRPr="00FD6A6A">
        <w:t>cultural,</w:t>
      </w:r>
      <w:r w:rsidR="00541D05">
        <w:t xml:space="preserve"> </w:t>
      </w:r>
      <w:r w:rsidR="00D9258C" w:rsidRPr="00FD6A6A">
        <w:t>or</w:t>
      </w:r>
      <w:r w:rsidR="00541D05">
        <w:t xml:space="preserve"> </w:t>
      </w:r>
      <w:r w:rsidR="00D9258C" w:rsidRPr="00FD6A6A">
        <w:t>any</w:t>
      </w:r>
      <w:r w:rsidR="00541D05">
        <w:t xml:space="preserve"> </w:t>
      </w:r>
      <w:r w:rsidR="00D9258C" w:rsidRPr="00FD6A6A">
        <w:t>other</w:t>
      </w:r>
      <w:r w:rsidR="00541D05">
        <w:t xml:space="preserve"> </w:t>
      </w:r>
      <w:r w:rsidR="00D9258C" w:rsidRPr="00FD6A6A">
        <w:t>scope</w:t>
      </w:r>
      <w:r w:rsidR="00541D05">
        <w:t xml:space="preserve"> </w:t>
      </w:r>
      <w:r w:rsidR="00D9258C" w:rsidRPr="00FD6A6A">
        <w:t>in</w:t>
      </w:r>
      <w:r w:rsidR="00541D05">
        <w:t xml:space="preserve"> </w:t>
      </w:r>
      <w:r w:rsidR="00D9258C" w:rsidRPr="00FD6A6A">
        <w:t>their</w:t>
      </w:r>
      <w:r w:rsidR="00541D05">
        <w:t xml:space="preserve"> </w:t>
      </w:r>
      <w:r w:rsidR="00D9258C" w:rsidRPr="00FD6A6A">
        <w:t>lives.</w:t>
      </w:r>
      <w:r w:rsidR="00EA62F1">
        <w:t>”</w:t>
      </w:r>
    </w:p>
    <w:p w14:paraId="01033297" w14:textId="1948EB6A" w:rsidR="00D9258C" w:rsidRPr="00FD6A6A" w:rsidRDefault="00166390" w:rsidP="00166390">
      <w:pPr>
        <w:pStyle w:val="ParaNoG"/>
        <w:numPr>
          <w:ilvl w:val="0"/>
          <w:numId w:val="0"/>
        </w:numPr>
        <w:tabs>
          <w:tab w:val="left" w:pos="0"/>
        </w:tabs>
        <w:ind w:left="1134"/>
      </w:pPr>
      <w:r w:rsidRPr="00FD6A6A">
        <w:t>12.</w:t>
      </w:r>
      <w:r w:rsidRPr="00FD6A6A">
        <w:tab/>
      </w:r>
      <w:r w:rsidR="00D9258C" w:rsidRPr="00FD6A6A">
        <w:t>From</w:t>
      </w:r>
      <w:r w:rsidR="00541D05">
        <w:t xml:space="preserve"> </w:t>
      </w:r>
      <w:r w:rsidR="00D9258C" w:rsidRPr="00FD6A6A">
        <w:t>a</w:t>
      </w:r>
      <w:r w:rsidR="00541D05">
        <w:t xml:space="preserve"> </w:t>
      </w:r>
      <w:r w:rsidR="00D9258C" w:rsidRPr="00FD6A6A">
        <w:t>strictly</w:t>
      </w:r>
      <w:r w:rsidR="00541D05">
        <w:t xml:space="preserve"> </w:t>
      </w:r>
      <w:r w:rsidR="00D9258C" w:rsidRPr="00FD6A6A">
        <w:t>legal</w:t>
      </w:r>
      <w:r w:rsidR="00541D05">
        <w:t xml:space="preserve"> </w:t>
      </w:r>
      <w:r w:rsidR="00D9258C" w:rsidRPr="00FD6A6A">
        <w:t>point</w:t>
      </w:r>
      <w:r w:rsidR="00541D05">
        <w:t xml:space="preserve"> </w:t>
      </w:r>
      <w:r w:rsidR="00D9258C" w:rsidRPr="00FD6A6A">
        <w:t>of</w:t>
      </w:r>
      <w:r w:rsidR="00541D05">
        <w:t xml:space="preserve"> </w:t>
      </w:r>
      <w:r w:rsidR="00D9258C" w:rsidRPr="00FD6A6A">
        <w:t>view,</w:t>
      </w:r>
      <w:r w:rsidR="00541D05">
        <w:t xml:space="preserve"> </w:t>
      </w:r>
      <w:r w:rsidR="00D9258C" w:rsidRPr="00FD6A6A">
        <w:t>the</w:t>
      </w:r>
      <w:r w:rsidR="00541D05">
        <w:t xml:space="preserve"> </w:t>
      </w:r>
      <w:r w:rsidR="00D9258C" w:rsidRPr="00FD6A6A">
        <w:t>system</w:t>
      </w:r>
      <w:r w:rsidR="00541D05">
        <w:t xml:space="preserve"> </w:t>
      </w:r>
      <w:r w:rsidR="00D9258C" w:rsidRPr="00FD6A6A">
        <w:t>therefore</w:t>
      </w:r>
      <w:r w:rsidR="00541D05">
        <w:t xml:space="preserve"> </w:t>
      </w:r>
      <w:r w:rsidR="00D9258C" w:rsidRPr="00FD6A6A">
        <w:t>incorporated</w:t>
      </w:r>
      <w:r w:rsidR="00541D05">
        <w:t xml:space="preserve"> </w:t>
      </w:r>
      <w:r w:rsidR="00D9258C" w:rsidRPr="00FD6A6A">
        <w:t>the</w:t>
      </w:r>
      <w:r w:rsidR="00541D05">
        <w:t xml:space="preserve"> </w:t>
      </w:r>
      <w:r w:rsidR="00D9258C" w:rsidRPr="00FD6A6A">
        <w:t>concepts</w:t>
      </w:r>
      <w:r w:rsidR="00541D05">
        <w:t xml:space="preserve"> </w:t>
      </w:r>
      <w:r w:rsidR="00D9258C" w:rsidRPr="00FD6A6A">
        <w:t>of</w:t>
      </w:r>
      <w:r w:rsidR="00541D05">
        <w:t xml:space="preserve"> </w:t>
      </w:r>
      <w:r w:rsidR="00D9258C" w:rsidRPr="00FD6A6A">
        <w:t>direct</w:t>
      </w:r>
      <w:r w:rsidR="00541D05">
        <w:t xml:space="preserve"> </w:t>
      </w:r>
      <w:r w:rsidR="00D9258C" w:rsidRPr="00FD6A6A">
        <w:t>and</w:t>
      </w:r>
      <w:r w:rsidR="00541D05">
        <w:t xml:space="preserve"> </w:t>
      </w:r>
      <w:r w:rsidR="00D9258C" w:rsidRPr="00FD6A6A">
        <w:t>indirect</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not</w:t>
      </w:r>
      <w:r w:rsidR="00541D05">
        <w:t xml:space="preserve"> </w:t>
      </w:r>
      <w:r w:rsidR="00D9258C" w:rsidRPr="00FD6A6A">
        <w:t>only</w:t>
      </w:r>
      <w:r w:rsidR="00541D05">
        <w:t xml:space="preserve"> </w:t>
      </w:r>
      <w:r w:rsidR="00D9258C" w:rsidRPr="00FD6A6A">
        <w:t>acknowledging</w:t>
      </w:r>
      <w:r w:rsidR="00541D05">
        <w:t xml:space="preserve"> </w:t>
      </w:r>
      <w:r w:rsidR="00D9258C" w:rsidRPr="00FD6A6A">
        <w:t>direct</w:t>
      </w:r>
      <w:r w:rsidR="00541D05">
        <w:t xml:space="preserve"> </w:t>
      </w:r>
      <w:r w:rsidR="00D9258C" w:rsidRPr="00FD6A6A">
        <w:t>discrimination,</w:t>
      </w:r>
      <w:r w:rsidR="00541D05">
        <w:t xml:space="preserve"> </w:t>
      </w:r>
      <w:r w:rsidR="00D9258C" w:rsidRPr="00FD6A6A">
        <w:t>through</w:t>
      </w:r>
      <w:r w:rsidR="00541D05">
        <w:t xml:space="preserve"> </w:t>
      </w:r>
      <w:r w:rsidR="00D9258C" w:rsidRPr="00FD6A6A">
        <w:t>intentional</w:t>
      </w:r>
      <w:r w:rsidR="00541D05">
        <w:t xml:space="preserve"> </w:t>
      </w:r>
      <w:r w:rsidR="00D9258C" w:rsidRPr="00FD6A6A">
        <w:t>acts,</w:t>
      </w:r>
      <w:r w:rsidR="00541D05">
        <w:t xml:space="preserve"> </w:t>
      </w:r>
      <w:r w:rsidR="00D9258C" w:rsidRPr="00FD6A6A">
        <w:t>but</w:t>
      </w:r>
      <w:r w:rsidR="00541D05">
        <w:t xml:space="preserve"> </w:t>
      </w:r>
      <w:r w:rsidR="00D9258C" w:rsidRPr="00FD6A6A">
        <w:t>also</w:t>
      </w:r>
      <w:r w:rsidR="00541D05">
        <w:t xml:space="preserve"> </w:t>
      </w:r>
      <w:r w:rsidR="00D9258C" w:rsidRPr="00FD6A6A">
        <w:t>indirect</w:t>
      </w:r>
      <w:r w:rsidR="00541D05">
        <w:t xml:space="preserve"> </w:t>
      </w:r>
      <w:r w:rsidR="00D9258C" w:rsidRPr="00FD6A6A">
        <w:t>forms,</w:t>
      </w:r>
      <w:r w:rsidR="00541D05">
        <w:t xml:space="preserve"> </w:t>
      </w:r>
      <w:r w:rsidR="00D9258C" w:rsidRPr="00FD6A6A">
        <w:t>i.e.,</w:t>
      </w:r>
      <w:r w:rsidR="00541D05">
        <w:t xml:space="preserve"> </w:t>
      </w:r>
      <w:r w:rsidR="00D9258C" w:rsidRPr="00FD6A6A">
        <w:t>the</w:t>
      </w:r>
      <w:r w:rsidR="00541D05">
        <w:t xml:space="preserve"> </w:t>
      </w:r>
      <w:r w:rsidR="00D9258C" w:rsidRPr="00FD6A6A">
        <w:t>ones</w:t>
      </w:r>
      <w:r w:rsidR="00541D05">
        <w:t xml:space="preserve"> </w:t>
      </w:r>
      <w:r w:rsidR="00D9258C" w:rsidRPr="00FD6A6A">
        <w:t>produced</w:t>
      </w:r>
      <w:r w:rsidR="00541D05">
        <w:t xml:space="preserve"> </w:t>
      </w:r>
      <w:r w:rsidR="00D9258C" w:rsidRPr="00FD6A6A">
        <w:t>and</w:t>
      </w:r>
      <w:r w:rsidR="00541D05">
        <w:t xml:space="preserve"> </w:t>
      </w:r>
      <w:r w:rsidR="00D9258C" w:rsidRPr="00FD6A6A">
        <w:t>reproduced</w:t>
      </w:r>
      <w:r w:rsidR="00541D05">
        <w:t xml:space="preserve"> </w:t>
      </w:r>
      <w:r w:rsidR="00D9258C" w:rsidRPr="00FD6A6A">
        <w:t>in</w:t>
      </w:r>
      <w:r w:rsidR="00541D05">
        <w:t xml:space="preserve"> </w:t>
      </w:r>
      <w:r w:rsidR="00D9258C" w:rsidRPr="00FD6A6A">
        <w:t>absentia</w:t>
      </w:r>
      <w:r w:rsidR="00541D05">
        <w:t xml:space="preserve"> </w:t>
      </w:r>
      <w:r w:rsidR="00D9258C" w:rsidRPr="00FD6A6A">
        <w:t>of</w:t>
      </w:r>
      <w:r w:rsidR="00541D05">
        <w:t xml:space="preserve"> </w:t>
      </w:r>
      <w:r w:rsidR="00D9258C" w:rsidRPr="00FD6A6A">
        <w:t>intention</w:t>
      </w:r>
      <w:r w:rsidR="00541D05">
        <w:t xml:space="preserve"> </w:t>
      </w:r>
      <w:r w:rsidR="00D9258C" w:rsidRPr="00FD6A6A">
        <w:t>by</w:t>
      </w:r>
      <w:r w:rsidR="00541D05">
        <w:t xml:space="preserve"> </w:t>
      </w:r>
      <w:r w:rsidR="00D9258C" w:rsidRPr="00FD6A6A">
        <w:t>a</w:t>
      </w:r>
      <w:r w:rsidR="00541D05">
        <w:t xml:space="preserve"> </w:t>
      </w:r>
      <w:r w:rsidR="00D9258C" w:rsidRPr="00FD6A6A">
        <w:t>specific</w:t>
      </w:r>
      <w:r w:rsidR="00541D05">
        <w:t xml:space="preserve"> </w:t>
      </w:r>
      <w:r w:rsidR="00D9258C" w:rsidRPr="00FD6A6A">
        <w:t>agent.</w:t>
      </w:r>
    </w:p>
    <w:p w14:paraId="72B8878B" w14:textId="71B3C992" w:rsidR="00D9258C" w:rsidRPr="00FD6A6A" w:rsidRDefault="00166390" w:rsidP="00166390">
      <w:pPr>
        <w:pStyle w:val="ParaNoG"/>
        <w:numPr>
          <w:ilvl w:val="0"/>
          <w:numId w:val="0"/>
        </w:numPr>
        <w:tabs>
          <w:tab w:val="left" w:pos="0"/>
        </w:tabs>
        <w:ind w:left="1134"/>
      </w:pPr>
      <w:r w:rsidRPr="00FD6A6A">
        <w:t>13.</w:t>
      </w:r>
      <w:r w:rsidRPr="00FD6A6A">
        <w:tab/>
      </w:r>
      <w:r w:rsidR="00D9258C" w:rsidRPr="00FD6A6A">
        <w:t>Direct</w:t>
      </w:r>
      <w:r w:rsidR="00541D05">
        <w:t xml:space="preserve"> </w:t>
      </w:r>
      <w:r w:rsidR="00D9258C" w:rsidRPr="00FD6A6A">
        <w:t>and</w:t>
      </w:r>
      <w:r w:rsidR="00541D05">
        <w:t xml:space="preserve"> </w:t>
      </w:r>
      <w:r w:rsidR="00D9258C" w:rsidRPr="00FD6A6A">
        <w:t>indirect</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are</w:t>
      </w:r>
      <w:r w:rsidR="00541D05">
        <w:t xml:space="preserve"> </w:t>
      </w:r>
      <w:r w:rsidR="00D9258C" w:rsidRPr="00FD6A6A">
        <w:t>also</w:t>
      </w:r>
      <w:r w:rsidR="00541D05">
        <w:t xml:space="preserve"> </w:t>
      </w:r>
      <w:r w:rsidR="00D9258C" w:rsidRPr="00FD6A6A">
        <w:t>reflected</w:t>
      </w:r>
      <w:r w:rsidR="00541D05">
        <w:t xml:space="preserve"> </w:t>
      </w:r>
      <w:r w:rsidR="00D9258C" w:rsidRPr="00FD6A6A">
        <w:t>by</w:t>
      </w:r>
      <w:r w:rsidR="00541D05">
        <w:t xml:space="preserve"> </w:t>
      </w:r>
      <w:r w:rsidR="00D9258C" w:rsidRPr="00FD6A6A">
        <w:t>the</w:t>
      </w:r>
      <w:r w:rsidR="00541D05">
        <w:t xml:space="preserve"> </w:t>
      </w:r>
      <w:r w:rsidR="00D9258C" w:rsidRPr="00FD6A6A">
        <w:t>political</w:t>
      </w:r>
      <w:r w:rsidR="00541D05">
        <w:t xml:space="preserve"> </w:t>
      </w:r>
      <w:r w:rsidR="00D9258C" w:rsidRPr="00FD6A6A">
        <w:t>responses</w:t>
      </w:r>
      <w:r w:rsidR="00541D05">
        <w:t xml:space="preserve"> </w:t>
      </w:r>
      <w:r w:rsidR="00D9258C" w:rsidRPr="00FD6A6A">
        <w:t>elicited,</w:t>
      </w:r>
      <w:r w:rsidR="00541D05">
        <w:t xml:space="preserve"> </w:t>
      </w:r>
      <w:r w:rsidR="00D9258C" w:rsidRPr="00FD6A6A">
        <w:t>through</w:t>
      </w:r>
      <w:r w:rsidR="00541D05">
        <w:t xml:space="preserve"> </w:t>
      </w:r>
      <w:r w:rsidR="00D9258C" w:rsidRPr="00FD6A6A">
        <w:t>repressive</w:t>
      </w:r>
      <w:r w:rsidR="00541D05">
        <w:t xml:space="preserve"> </w:t>
      </w:r>
      <w:r w:rsidR="00D9258C" w:rsidRPr="00FD6A6A">
        <w:t>actions</w:t>
      </w:r>
      <w:r w:rsidR="00541D05">
        <w:t xml:space="preserve"> </w:t>
      </w:r>
      <w:r w:rsidR="00D9258C" w:rsidRPr="00FD6A6A">
        <w:t>or</w:t>
      </w:r>
      <w:r w:rsidR="00541D05">
        <w:t xml:space="preserve"> </w:t>
      </w:r>
      <w:r w:rsidR="00D9258C" w:rsidRPr="00FD6A6A">
        <w:t>equality</w:t>
      </w:r>
      <w:r w:rsidR="00541D05">
        <w:t xml:space="preserve"> </w:t>
      </w:r>
      <w:r w:rsidR="00D9258C" w:rsidRPr="00FD6A6A">
        <w:t>promotion</w:t>
      </w:r>
      <w:r w:rsidR="00541D05">
        <w:t xml:space="preserve"> </w:t>
      </w:r>
      <w:r w:rsidR="00D9258C" w:rsidRPr="00FD6A6A">
        <w:t>policies.</w:t>
      </w:r>
      <w:r w:rsidR="00541D05">
        <w:t xml:space="preserve"> </w:t>
      </w:r>
      <w:r w:rsidR="00D9258C" w:rsidRPr="00FD6A6A">
        <w:t>Repressive</w:t>
      </w:r>
      <w:r w:rsidR="00541D05">
        <w:t xml:space="preserve"> </w:t>
      </w:r>
      <w:r w:rsidR="00D9258C" w:rsidRPr="00FD6A6A">
        <w:t>mechanisms</w:t>
      </w:r>
      <w:r w:rsidR="00541D05">
        <w:t xml:space="preserve"> </w:t>
      </w:r>
      <w:r w:rsidR="00D9258C" w:rsidRPr="00FD6A6A">
        <w:t>are</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the</w:t>
      </w:r>
      <w:r w:rsidR="00541D05">
        <w:t xml:space="preserve"> </w:t>
      </w:r>
      <w:r w:rsidR="00D9258C" w:rsidRPr="00FD6A6A">
        <w:t>criminal,</w:t>
      </w:r>
      <w:r w:rsidR="00541D05">
        <w:t xml:space="preserve"> </w:t>
      </w:r>
      <w:r w:rsidR="00D9258C" w:rsidRPr="00FD6A6A">
        <w:t>labor,</w:t>
      </w:r>
      <w:r w:rsidR="00541D05">
        <w:t xml:space="preserve"> </w:t>
      </w:r>
      <w:r w:rsidR="00D9258C" w:rsidRPr="00FD6A6A">
        <w:t>administrative,</w:t>
      </w:r>
      <w:r w:rsidR="00541D05">
        <w:t xml:space="preserve"> </w:t>
      </w:r>
      <w:r w:rsidR="00D9258C" w:rsidRPr="00FD6A6A">
        <w:t>and</w:t>
      </w:r>
      <w:r w:rsidR="00541D05">
        <w:t xml:space="preserve"> </w:t>
      </w:r>
      <w:r w:rsidR="00D9258C" w:rsidRPr="00FD6A6A">
        <w:t>civil</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focused</w:t>
      </w:r>
      <w:r w:rsidR="00541D05">
        <w:t xml:space="preserve"> </w:t>
      </w:r>
      <w:r w:rsidR="00D9258C" w:rsidRPr="00FD6A6A">
        <w:t>on</w:t>
      </w:r>
      <w:r w:rsidR="00541D05">
        <w:t xml:space="preserve"> </w:t>
      </w:r>
      <w:r w:rsidR="00D9258C" w:rsidRPr="00FD6A6A">
        <w:t>direct</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Promotion</w:t>
      </w:r>
      <w:r w:rsidR="00541D05">
        <w:t xml:space="preserve"> </w:t>
      </w:r>
      <w:r w:rsidR="00D9258C" w:rsidRPr="00FD6A6A">
        <w:t>policies</w:t>
      </w:r>
      <w:r w:rsidR="00541D05">
        <w:t xml:space="preserve"> </w:t>
      </w:r>
      <w:r w:rsidR="00D9258C" w:rsidRPr="00FD6A6A">
        <w:t>are</w:t>
      </w:r>
      <w:r w:rsidR="00541D05">
        <w:t xml:space="preserve"> </w:t>
      </w:r>
      <w:r w:rsidR="00D9258C" w:rsidRPr="00FD6A6A">
        <w:t>especially</w:t>
      </w:r>
      <w:r w:rsidR="00541D05">
        <w:t xml:space="preserve"> </w:t>
      </w:r>
      <w:r w:rsidR="00D9258C" w:rsidRPr="00FD6A6A">
        <w:t>intended</w:t>
      </w:r>
      <w:r w:rsidR="00541D05">
        <w:t xml:space="preserve"> </w:t>
      </w:r>
      <w:r w:rsidR="00D9258C" w:rsidRPr="00FD6A6A">
        <w:t>to</w:t>
      </w:r>
      <w:r w:rsidR="00541D05">
        <w:t xml:space="preserve"> </w:t>
      </w:r>
      <w:r w:rsidR="00D9258C" w:rsidRPr="00FD6A6A">
        <w:t>respond</w:t>
      </w:r>
      <w:r w:rsidR="00541D05">
        <w:t xml:space="preserve"> </w:t>
      </w:r>
      <w:r w:rsidR="00D9258C" w:rsidRPr="00FD6A6A">
        <w:t>to</w:t>
      </w:r>
      <w:r w:rsidR="00541D05">
        <w:t xml:space="preserve"> </w:t>
      </w:r>
      <w:r w:rsidR="00D9258C" w:rsidRPr="00FD6A6A">
        <w:t>indirect</w:t>
      </w:r>
      <w:r w:rsidR="00541D05">
        <w:t xml:space="preserve"> </w:t>
      </w:r>
      <w:r w:rsidR="00D9258C" w:rsidRPr="00FD6A6A">
        <w:t>discrimination,</w:t>
      </w:r>
      <w:r w:rsidR="00541D05">
        <w:t xml:space="preserve"> </w:t>
      </w:r>
      <w:r w:rsidR="00D9258C" w:rsidRPr="00FD6A6A">
        <w:t>through</w:t>
      </w:r>
      <w:r w:rsidR="00541D05">
        <w:t xml:space="preserve"> </w:t>
      </w:r>
      <w:r w:rsidR="00D9258C" w:rsidRPr="00FD6A6A">
        <w:t>actions</w:t>
      </w:r>
      <w:r w:rsidR="00541D05">
        <w:t xml:space="preserve"> </w:t>
      </w:r>
      <w:r w:rsidR="00D9258C" w:rsidRPr="00FD6A6A">
        <w:t>aimed</w:t>
      </w:r>
      <w:r w:rsidR="00541D05">
        <w:t xml:space="preserve"> </w:t>
      </w:r>
      <w:r w:rsidR="00D9258C" w:rsidRPr="00FD6A6A">
        <w:t>at</w:t>
      </w:r>
      <w:r w:rsidR="00541D05">
        <w:t xml:space="preserve"> </w:t>
      </w:r>
      <w:r w:rsidR="00D9258C" w:rsidRPr="00FD6A6A">
        <w:t>reaching</w:t>
      </w:r>
      <w:r w:rsidR="00541D05">
        <w:t xml:space="preserve"> </w:t>
      </w:r>
      <w:r w:rsidR="00D9258C" w:rsidRPr="00FD6A6A">
        <w:t>the</w:t>
      </w:r>
      <w:r w:rsidR="00541D05">
        <w:t xml:space="preserve"> </w:t>
      </w:r>
      <w:r w:rsidR="00D9258C" w:rsidRPr="00FD6A6A">
        <w:t>foundations</w:t>
      </w:r>
      <w:r w:rsidR="00541D05">
        <w:t xml:space="preserve"> </w:t>
      </w:r>
      <w:r w:rsidR="00D9258C" w:rsidRPr="00FD6A6A">
        <w:t>of</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as</w:t>
      </w:r>
      <w:r w:rsidR="00541D05">
        <w:t xml:space="preserve"> </w:t>
      </w:r>
      <w:r w:rsidR="00D9258C" w:rsidRPr="00FD6A6A">
        <w:t>is</w:t>
      </w:r>
      <w:r w:rsidR="00541D05">
        <w:t xml:space="preserve"> </w:t>
      </w:r>
      <w:r w:rsidR="00D9258C" w:rsidRPr="00FD6A6A">
        <w:t>the</w:t>
      </w:r>
      <w:r w:rsidR="00541D05">
        <w:t xml:space="preserve"> </w:t>
      </w:r>
      <w:r w:rsidR="00D9258C" w:rsidRPr="00FD6A6A">
        <w:t>case</w:t>
      </w:r>
      <w:r w:rsidR="00541D05">
        <w:t xml:space="preserve"> </w:t>
      </w:r>
      <w:r w:rsidR="00D9258C" w:rsidRPr="00FD6A6A">
        <w:t>of</w:t>
      </w:r>
      <w:r w:rsidR="00541D05">
        <w:t xml:space="preserve"> </w:t>
      </w:r>
      <w:r w:rsidR="00D9258C" w:rsidRPr="00FD6A6A">
        <w:t>quota</w:t>
      </w:r>
      <w:r w:rsidR="00541D05">
        <w:t xml:space="preserve"> </w:t>
      </w:r>
      <w:r w:rsidR="00D9258C" w:rsidRPr="00FD6A6A">
        <w:t>policies</w:t>
      </w:r>
      <w:r w:rsidR="00541D05">
        <w:t xml:space="preserve"> </w:t>
      </w:r>
      <w:r w:rsidR="00D9258C" w:rsidRPr="00FD6A6A">
        <w:t>and</w:t>
      </w:r>
      <w:r w:rsidR="00541D05">
        <w:t xml:space="preserve"> </w:t>
      </w:r>
      <w:r w:rsidR="00D9258C" w:rsidRPr="00FD6A6A">
        <w:t>other</w:t>
      </w:r>
      <w:r w:rsidR="00541D05">
        <w:t xml:space="preserve"> </w:t>
      </w:r>
      <w:r w:rsidR="00D9258C" w:rsidRPr="00FD6A6A">
        <w:t>mechanisms</w:t>
      </w:r>
      <w:r w:rsidR="00541D05">
        <w:t xml:space="preserve"> </w:t>
      </w:r>
      <w:r w:rsidR="00D9258C" w:rsidRPr="00FD6A6A">
        <w:t>for</w:t>
      </w:r>
      <w:r w:rsidR="00541D05">
        <w:t xml:space="preserve"> </w:t>
      </w:r>
      <w:r w:rsidR="00D9258C" w:rsidRPr="00FD6A6A">
        <w:t>inclusion,</w:t>
      </w:r>
      <w:r w:rsidR="00541D05">
        <w:t xml:space="preserve"> </w:t>
      </w:r>
      <w:r w:rsidR="00D9258C" w:rsidRPr="00FD6A6A">
        <w:t>incorporated</w:t>
      </w:r>
      <w:r w:rsidR="00541D05">
        <w:t xml:space="preserve"> </w:t>
      </w:r>
      <w:r w:rsidR="00D9258C" w:rsidRPr="00FD6A6A">
        <w:t>into</w:t>
      </w:r>
      <w:r w:rsidR="00541D05">
        <w:t xml:space="preserve"> </w:t>
      </w:r>
      <w:r w:rsidR="00D9258C" w:rsidRPr="00FD6A6A">
        <w:t>Brazilian</w:t>
      </w:r>
      <w:r w:rsidR="00541D05">
        <w:t xml:space="preserve"> </w:t>
      </w:r>
      <w:r w:rsidR="00D9258C" w:rsidRPr="00FD6A6A">
        <w:t>public</w:t>
      </w:r>
      <w:r w:rsidR="00541D05">
        <w:t xml:space="preserve"> </w:t>
      </w:r>
      <w:r w:rsidR="00D9258C" w:rsidRPr="00FD6A6A">
        <w:t>policies.</w:t>
      </w:r>
    </w:p>
    <w:p w14:paraId="2C34E4A5" w14:textId="261E4117" w:rsidR="00D9258C" w:rsidRPr="00FD6A6A" w:rsidRDefault="00166390" w:rsidP="00166390">
      <w:pPr>
        <w:pStyle w:val="ParaNoG"/>
        <w:numPr>
          <w:ilvl w:val="0"/>
          <w:numId w:val="0"/>
        </w:numPr>
        <w:tabs>
          <w:tab w:val="left" w:pos="0"/>
        </w:tabs>
        <w:ind w:left="1134"/>
      </w:pPr>
      <w:r w:rsidRPr="00FD6A6A">
        <w:t>14.</w:t>
      </w:r>
      <w:r w:rsidRPr="00FD6A6A">
        <w:tab/>
      </w:r>
      <w:r w:rsidR="00D9258C" w:rsidRPr="00FD6A6A">
        <w:t>Protection</w:t>
      </w:r>
      <w:r w:rsidR="00541D05">
        <w:t xml:space="preserve"> </w:t>
      </w:r>
      <w:r w:rsidR="00D9258C" w:rsidRPr="00FD6A6A">
        <w:t>against</w:t>
      </w:r>
      <w:r w:rsidR="00541D05">
        <w:t xml:space="preserve"> </w:t>
      </w:r>
      <w:r w:rsidR="00D9258C" w:rsidRPr="00FD6A6A">
        <w:t>discriminatory</w:t>
      </w:r>
      <w:r w:rsidR="00541D05">
        <w:t xml:space="preserve"> </w:t>
      </w:r>
      <w:r w:rsidR="00D9258C" w:rsidRPr="00FD6A6A">
        <w:t>treatment</w:t>
      </w:r>
      <w:r w:rsidR="00541D05">
        <w:t xml:space="preserve"> </w:t>
      </w:r>
      <w:r w:rsidR="00D9258C" w:rsidRPr="00FD6A6A">
        <w:t>does</w:t>
      </w:r>
      <w:r w:rsidR="00541D05">
        <w:t xml:space="preserve"> </w:t>
      </w:r>
      <w:r w:rsidR="00D9258C" w:rsidRPr="00FD6A6A">
        <w:t>not</w:t>
      </w:r>
      <w:r w:rsidR="00541D05">
        <w:t xml:space="preserve"> </w:t>
      </w:r>
      <w:r w:rsidR="00D9258C" w:rsidRPr="00FD6A6A">
        <w:t>make</w:t>
      </w:r>
      <w:r w:rsidR="00541D05">
        <w:t xml:space="preserve"> </w:t>
      </w:r>
      <w:r w:rsidR="00D9258C" w:rsidRPr="00FD6A6A">
        <w:t>a</w:t>
      </w:r>
      <w:r w:rsidR="00541D05">
        <w:t xml:space="preserve"> </w:t>
      </w:r>
      <w:r w:rsidR="00D9258C" w:rsidRPr="00FD6A6A">
        <w:t>distinction</w:t>
      </w:r>
      <w:r w:rsidR="00541D05">
        <w:t xml:space="preserve"> </w:t>
      </w:r>
      <w:r w:rsidR="00D9258C" w:rsidRPr="00FD6A6A">
        <w:t>between</w:t>
      </w:r>
      <w:r w:rsidR="00541D05">
        <w:t xml:space="preserve"> </w:t>
      </w:r>
      <w:r w:rsidR="00D9258C" w:rsidRPr="00FD6A6A">
        <w:t>Brazilians</w:t>
      </w:r>
      <w:r w:rsidR="00541D05">
        <w:t xml:space="preserve"> </w:t>
      </w:r>
      <w:r w:rsidR="00D9258C" w:rsidRPr="00FD6A6A">
        <w:t>and</w:t>
      </w:r>
      <w:r w:rsidR="00541D05">
        <w:t xml:space="preserve"> </w:t>
      </w:r>
      <w:r w:rsidR="00D9258C" w:rsidRPr="00FD6A6A">
        <w:t>foreigners.</w:t>
      </w:r>
      <w:r w:rsidR="00541D05">
        <w:t xml:space="preserve"> </w:t>
      </w:r>
      <w:r w:rsidR="00D9258C" w:rsidRPr="00FD6A6A">
        <w:t>Law</w:t>
      </w:r>
      <w:r w:rsidR="00541D05">
        <w:t xml:space="preserve"> </w:t>
      </w:r>
      <w:r w:rsidR="00D9258C" w:rsidRPr="00FD6A6A">
        <w:t>No.</w:t>
      </w:r>
      <w:r w:rsidR="00541D05">
        <w:t xml:space="preserve"> </w:t>
      </w:r>
      <w:r w:rsidR="00D9258C" w:rsidRPr="00FD6A6A">
        <w:t>13,445/2017</w:t>
      </w:r>
      <w:r w:rsidR="00541D05">
        <w:t xml:space="preserve"> </w:t>
      </w:r>
      <w:r w:rsidR="00D9258C" w:rsidRPr="00FD6A6A">
        <w:t>provides</w:t>
      </w:r>
      <w:r w:rsidR="00541D05">
        <w:t xml:space="preserve"> </w:t>
      </w:r>
      <w:r w:rsidR="00D9258C" w:rsidRPr="00FD6A6A">
        <w:t>for</w:t>
      </w:r>
      <w:r w:rsidR="00541D05">
        <w:t xml:space="preserve"> </w:t>
      </w:r>
      <w:r w:rsidR="00D9258C" w:rsidRPr="00FD6A6A">
        <w:t>the</w:t>
      </w:r>
      <w:r w:rsidR="00541D05">
        <w:t xml:space="preserve"> </w:t>
      </w:r>
      <w:r w:rsidR="00D9258C" w:rsidRPr="00FD6A6A">
        <w:t>rights</w:t>
      </w:r>
      <w:r w:rsidR="00541D05">
        <w:t xml:space="preserve"> </w:t>
      </w:r>
      <w:r w:rsidR="00D9258C" w:rsidRPr="00FD6A6A">
        <w:t>and</w:t>
      </w:r>
      <w:r w:rsidR="00541D05">
        <w:t xml:space="preserve"> </w:t>
      </w:r>
      <w:r w:rsidR="00D9258C" w:rsidRPr="00FD6A6A">
        <w:t>duties</w:t>
      </w:r>
      <w:r w:rsidR="00541D05">
        <w:t xml:space="preserve"> </w:t>
      </w:r>
      <w:r w:rsidR="00D9258C" w:rsidRPr="00FD6A6A">
        <w:t>of</w:t>
      </w:r>
      <w:r w:rsidR="00541D05">
        <w:t xml:space="preserve"> </w:t>
      </w:r>
      <w:r w:rsidR="00D9258C" w:rsidRPr="00FD6A6A">
        <w:t>migrants</w:t>
      </w:r>
      <w:r w:rsidR="00541D05">
        <w:t xml:space="preserve"> </w:t>
      </w:r>
      <w:r w:rsidR="00D9258C" w:rsidRPr="00FD6A6A">
        <w:t>and</w:t>
      </w:r>
      <w:r w:rsidR="00541D05">
        <w:t xml:space="preserve"> </w:t>
      </w:r>
      <w:r w:rsidR="00D9258C" w:rsidRPr="00FD6A6A">
        <w:t>people</w:t>
      </w:r>
      <w:r w:rsidR="00541D05">
        <w:t xml:space="preserve"> </w:t>
      </w:r>
      <w:r w:rsidR="00D9258C" w:rsidRPr="00FD6A6A">
        <w:t>visiting</w:t>
      </w:r>
      <w:r w:rsidR="00541D05">
        <w:t xml:space="preserve"> </w:t>
      </w:r>
      <w:r w:rsidR="00D9258C" w:rsidRPr="00FD6A6A">
        <w:t>the</w:t>
      </w:r>
      <w:r w:rsidR="00541D05">
        <w:t xml:space="preserve"> </w:t>
      </w:r>
      <w:r w:rsidR="00D9258C" w:rsidRPr="00FD6A6A">
        <w:t>country,</w:t>
      </w:r>
      <w:r w:rsidR="00541D05">
        <w:t xml:space="preserve"> </w:t>
      </w:r>
      <w:r w:rsidR="00D9258C" w:rsidRPr="00FD6A6A">
        <w:t>revoking</w:t>
      </w:r>
      <w:r w:rsidR="00541D05">
        <w:t xml:space="preserve"> </w:t>
      </w:r>
      <w:r w:rsidR="00D9258C" w:rsidRPr="00FD6A6A">
        <w:t>the</w:t>
      </w:r>
      <w:r w:rsidR="00541D05">
        <w:t xml:space="preserve"> </w:t>
      </w:r>
      <w:r w:rsidR="00D9258C" w:rsidRPr="00FD6A6A">
        <w:t>norm</w:t>
      </w:r>
      <w:r w:rsidR="00541D05">
        <w:t xml:space="preserve"> </w:t>
      </w:r>
      <w:r w:rsidR="00D9258C" w:rsidRPr="00FD6A6A">
        <w:t>that</w:t>
      </w:r>
      <w:r w:rsidR="00541D05">
        <w:t xml:space="preserve"> </w:t>
      </w:r>
      <w:r w:rsidR="00D9258C" w:rsidRPr="00FD6A6A">
        <w:t>addressed</w:t>
      </w:r>
      <w:r w:rsidR="00541D05">
        <w:t xml:space="preserve"> </w:t>
      </w:r>
      <w:r w:rsidR="00D9258C" w:rsidRPr="00FD6A6A">
        <w:t>foreigners</w:t>
      </w:r>
      <w:r w:rsidR="00541D05">
        <w:t xml:space="preserve"> </w:t>
      </w:r>
      <w:r w:rsidR="00D9258C" w:rsidRPr="00FD6A6A">
        <w:t>as</w:t>
      </w:r>
      <w:r w:rsidR="00541D05">
        <w:t xml:space="preserve"> </w:t>
      </w:r>
      <w:r w:rsidR="00D9258C" w:rsidRPr="00FD6A6A">
        <w:t>a</w:t>
      </w:r>
      <w:r w:rsidR="00541D05">
        <w:t xml:space="preserve"> </w:t>
      </w:r>
      <w:r w:rsidR="00D9258C" w:rsidRPr="00FD6A6A">
        <w:t>national</w:t>
      </w:r>
      <w:r w:rsidR="00541D05">
        <w:t xml:space="preserve"> </w:t>
      </w:r>
      <w:r w:rsidR="00D9258C" w:rsidRPr="00FD6A6A">
        <w:t>security</w:t>
      </w:r>
      <w:r w:rsidR="00541D05">
        <w:t xml:space="preserve"> </w:t>
      </w:r>
      <w:r w:rsidR="00D9258C" w:rsidRPr="00FD6A6A">
        <w:t>issue.</w:t>
      </w:r>
      <w:r w:rsidR="00541D05">
        <w:t xml:space="preserve"> </w:t>
      </w:r>
      <w:r w:rsidR="00D9258C" w:rsidRPr="00FD6A6A">
        <w:t>This</w:t>
      </w:r>
      <w:r w:rsidR="00541D05">
        <w:t xml:space="preserve"> </w:t>
      </w:r>
      <w:r w:rsidR="00D9258C" w:rsidRPr="00FD6A6A">
        <w:t>new</w:t>
      </w:r>
      <w:r w:rsidR="00541D05">
        <w:t xml:space="preserve"> </w:t>
      </w:r>
      <w:r w:rsidR="00D9258C" w:rsidRPr="00FD6A6A">
        <w:t>regulatory</w:t>
      </w:r>
      <w:r w:rsidR="00541D05">
        <w:t xml:space="preserve"> </w:t>
      </w:r>
      <w:r w:rsidR="00D9258C" w:rsidRPr="00FD6A6A">
        <w:t>framework</w:t>
      </w:r>
      <w:r w:rsidR="00541D05">
        <w:t xml:space="preserve"> </w:t>
      </w:r>
      <w:r w:rsidR="00D9258C" w:rsidRPr="00FD6A6A">
        <w:t>on</w:t>
      </w:r>
      <w:r w:rsidR="00541D05">
        <w:t xml:space="preserve"> </w:t>
      </w:r>
      <w:r w:rsidR="00D9258C" w:rsidRPr="00FD6A6A">
        <w:t>migration</w:t>
      </w:r>
      <w:r w:rsidR="00541D05">
        <w:t xml:space="preserve"> </w:t>
      </w:r>
      <w:r w:rsidR="00D9258C" w:rsidRPr="00FD6A6A">
        <w:t>incorporates</w:t>
      </w:r>
      <w:r w:rsidR="00541D05">
        <w:t xml:space="preserve"> </w:t>
      </w:r>
      <w:r w:rsidR="00D9258C" w:rsidRPr="00FD6A6A">
        <w:t>principles</w:t>
      </w:r>
      <w:r w:rsidR="00541D05">
        <w:t xml:space="preserve"> </w:t>
      </w:r>
      <w:r w:rsidR="00D9258C" w:rsidRPr="00FD6A6A">
        <w:t>of</w:t>
      </w:r>
      <w:r w:rsidR="00541D05">
        <w:t xml:space="preserve"> </w:t>
      </w:r>
      <w:r w:rsidR="00D9258C" w:rsidRPr="00FD6A6A">
        <w:t>the</w:t>
      </w:r>
      <w:r w:rsidR="00541D05">
        <w:t xml:space="preserve"> </w:t>
      </w:r>
      <w:r w:rsidR="00D9258C" w:rsidRPr="00FD6A6A">
        <w:t>Constitution</w:t>
      </w:r>
      <w:r w:rsidR="00541D05">
        <w:t xml:space="preserve"> </w:t>
      </w:r>
      <w:r w:rsidR="00D9258C" w:rsidRPr="00FD6A6A">
        <w:t>by</w:t>
      </w:r>
      <w:r w:rsidR="00541D05">
        <w:t xml:space="preserve"> </w:t>
      </w:r>
      <w:r w:rsidR="00D9258C" w:rsidRPr="00FD6A6A">
        <w:t>adopting</w:t>
      </w:r>
      <w:r w:rsidR="00541D05">
        <w:t xml:space="preserve"> </w:t>
      </w:r>
      <w:r w:rsidR="00D9258C" w:rsidRPr="00FD6A6A">
        <w:t>a</w:t>
      </w:r>
      <w:r w:rsidR="00541D05">
        <w:t xml:space="preserve"> </w:t>
      </w:r>
      <w:r w:rsidR="00D9258C" w:rsidRPr="00FD6A6A">
        <w:t>human</w:t>
      </w:r>
      <w:r w:rsidR="00541D05">
        <w:t xml:space="preserve"> </w:t>
      </w:r>
      <w:r w:rsidR="00D9258C" w:rsidRPr="00FD6A6A">
        <w:t>rights</w:t>
      </w:r>
      <w:r w:rsidR="00541D05">
        <w:t xml:space="preserve"> </w:t>
      </w:r>
      <w:r w:rsidR="00D9258C" w:rsidRPr="00FD6A6A">
        <w:t>perspective.</w:t>
      </w:r>
      <w:r w:rsidR="00541D05">
        <w:t xml:space="preserve"> </w:t>
      </w:r>
    </w:p>
    <w:p w14:paraId="04346AC8" w14:textId="1EC27C10" w:rsidR="00D9258C" w:rsidRPr="00FD6A6A" w:rsidRDefault="00166390" w:rsidP="00166390">
      <w:pPr>
        <w:pStyle w:val="ParaNoG"/>
        <w:numPr>
          <w:ilvl w:val="0"/>
          <w:numId w:val="0"/>
        </w:numPr>
        <w:tabs>
          <w:tab w:val="left" w:pos="0"/>
        </w:tabs>
        <w:ind w:left="1134"/>
      </w:pPr>
      <w:r w:rsidRPr="00FD6A6A">
        <w:t>15.</w:t>
      </w:r>
      <w:r w:rsidRPr="00FD6A6A">
        <w:tab/>
      </w:r>
      <w:r w:rsidR="00D9258C" w:rsidRPr="00FD6A6A">
        <w:t>The</w:t>
      </w:r>
      <w:r w:rsidR="00541D05">
        <w:t xml:space="preserve"> </w:t>
      </w:r>
      <w:r w:rsidR="00D9258C" w:rsidRPr="00FD6A6A">
        <w:t>principles</w:t>
      </w:r>
      <w:r w:rsidR="00541D05">
        <w:t xml:space="preserve"> </w:t>
      </w:r>
      <w:r w:rsidR="00D9258C" w:rsidRPr="00FD6A6A">
        <w:t>and</w:t>
      </w:r>
      <w:r w:rsidR="00541D05">
        <w:t xml:space="preserve"> </w:t>
      </w:r>
      <w:r w:rsidR="00D9258C" w:rsidRPr="00FD6A6A">
        <w:t>guidelines</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migration</w:t>
      </w:r>
      <w:r w:rsidR="00541D05">
        <w:t xml:space="preserve"> </w:t>
      </w:r>
      <w:r w:rsidR="00D9258C" w:rsidRPr="00FD6A6A">
        <w:t>policy</w:t>
      </w:r>
      <w:r w:rsidR="00541D05">
        <w:t xml:space="preserve"> </w:t>
      </w:r>
      <w:r w:rsidR="00D9258C" w:rsidRPr="00FD6A6A">
        <w:t>include</w:t>
      </w:r>
      <w:r w:rsidR="00541D05">
        <w:t xml:space="preserve"> </w:t>
      </w:r>
      <w:r w:rsidR="00D9258C" w:rsidRPr="00FD6A6A">
        <w:t>repudiation</w:t>
      </w:r>
      <w:r w:rsidR="00541D05">
        <w:t xml:space="preserve"> </w:t>
      </w:r>
      <w:r w:rsidR="00D9258C" w:rsidRPr="00FD6A6A">
        <w:t>and</w:t>
      </w:r>
      <w:r w:rsidR="00541D05">
        <w:t xml:space="preserve"> </w:t>
      </w:r>
      <w:r w:rsidR="00D9258C" w:rsidRPr="00FD6A6A">
        <w:t>prevention</w:t>
      </w:r>
      <w:r w:rsidR="00541D05">
        <w:t xml:space="preserve"> </w:t>
      </w:r>
      <w:r w:rsidR="00D9258C" w:rsidRPr="00FD6A6A">
        <w:t>of</w:t>
      </w:r>
      <w:r w:rsidR="00541D05">
        <w:t xml:space="preserve"> </w:t>
      </w:r>
      <w:r w:rsidR="00D9258C" w:rsidRPr="00FD6A6A">
        <w:t>xenophobia,</w:t>
      </w:r>
      <w:r w:rsidR="00541D05">
        <w:t xml:space="preserve"> </w:t>
      </w:r>
      <w:r w:rsidR="00D9258C" w:rsidRPr="00FD6A6A">
        <w:t>racism,</w:t>
      </w:r>
      <w:r w:rsidR="00541D05">
        <w:t xml:space="preserve"> </w:t>
      </w:r>
      <w:r w:rsidR="00D9258C" w:rsidRPr="00FD6A6A">
        <w:t>and</w:t>
      </w:r>
      <w:r w:rsidR="00541D05">
        <w:t xml:space="preserve"> </w:t>
      </w:r>
      <w:r w:rsidR="00D9258C" w:rsidRPr="00FD6A6A">
        <w:t>any</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(Art.</w:t>
      </w:r>
      <w:r w:rsidR="00541D05">
        <w:t xml:space="preserve"> </w:t>
      </w:r>
      <w:r w:rsidR="00D9258C" w:rsidRPr="00FD6A6A">
        <w:t>3,</w:t>
      </w:r>
      <w:r w:rsidR="00541D05">
        <w:t xml:space="preserve"> </w:t>
      </w:r>
      <w:r w:rsidR="00D9258C" w:rsidRPr="00FD6A6A">
        <w:t>II);</w:t>
      </w:r>
      <w:r w:rsidR="00541D05">
        <w:t xml:space="preserve"> </w:t>
      </w:r>
      <w:r w:rsidR="00D9258C" w:rsidRPr="00FD6A6A">
        <w:t>nondiscriminatory</w:t>
      </w:r>
      <w:r w:rsidR="00541D05">
        <w:t xml:space="preserve"> </w:t>
      </w:r>
      <w:r w:rsidR="00D9258C" w:rsidRPr="00FD6A6A">
        <w:t>criteria</w:t>
      </w:r>
      <w:r w:rsidR="00541D05">
        <w:t xml:space="preserve"> </w:t>
      </w:r>
      <w:r w:rsidR="00D9258C" w:rsidRPr="00FD6A6A">
        <w:t>through</w:t>
      </w:r>
      <w:r w:rsidR="00541D05">
        <w:t xml:space="preserve"> </w:t>
      </w:r>
      <w:r w:rsidR="00D9258C" w:rsidRPr="00FD6A6A">
        <w:t>which</w:t>
      </w:r>
      <w:r w:rsidR="00541D05">
        <w:t xml:space="preserve"> </w:t>
      </w:r>
      <w:r w:rsidR="00D9258C" w:rsidRPr="00FD6A6A">
        <w:t>someone</w:t>
      </w:r>
      <w:r w:rsidR="00541D05">
        <w:t xml:space="preserve"> </w:t>
      </w:r>
      <w:r w:rsidR="00D9258C" w:rsidRPr="00FD6A6A">
        <w:t>is</w:t>
      </w:r>
      <w:r w:rsidR="00541D05">
        <w:t xml:space="preserve"> </w:t>
      </w:r>
      <w:r w:rsidR="00D9258C" w:rsidRPr="00FD6A6A">
        <w:t>allowed</w:t>
      </w:r>
      <w:r w:rsidR="00541D05">
        <w:t xml:space="preserve"> </w:t>
      </w:r>
      <w:r w:rsidR="00D9258C" w:rsidRPr="00FD6A6A">
        <w:t>into</w:t>
      </w:r>
      <w:r w:rsidR="00541D05">
        <w:t xml:space="preserve"> </w:t>
      </w:r>
      <w:r w:rsidR="00D9258C" w:rsidRPr="00FD6A6A">
        <w:t>national</w:t>
      </w:r>
      <w:r w:rsidR="00541D05">
        <w:t xml:space="preserve"> </w:t>
      </w:r>
      <w:r w:rsidR="00D9258C" w:rsidRPr="00FD6A6A">
        <w:t>territory</w:t>
      </w:r>
      <w:r w:rsidR="00541D05">
        <w:t xml:space="preserve"> </w:t>
      </w:r>
      <w:r w:rsidR="00D9258C" w:rsidRPr="00FD6A6A">
        <w:t>(Art.</w:t>
      </w:r>
      <w:r w:rsidR="00541D05">
        <w:t xml:space="preserve"> </w:t>
      </w:r>
      <w:r w:rsidR="00D9258C" w:rsidRPr="00FD6A6A">
        <w:t>3,</w:t>
      </w:r>
      <w:r w:rsidR="00541D05">
        <w:t xml:space="preserve"> </w:t>
      </w:r>
      <w:r w:rsidR="00D9258C" w:rsidRPr="00FD6A6A">
        <w:t>IV).</w:t>
      </w:r>
      <w:r w:rsidR="00541D05">
        <w:t xml:space="preserve"> </w:t>
      </w:r>
      <w:r w:rsidR="00D9258C" w:rsidRPr="00FD6A6A">
        <w:t>The</w:t>
      </w:r>
      <w:r w:rsidR="00541D05">
        <w:t xml:space="preserve"> </w:t>
      </w:r>
      <w:r w:rsidR="00D9258C" w:rsidRPr="00FD6A6A">
        <w:t>following</w:t>
      </w:r>
      <w:r w:rsidR="00541D05">
        <w:t xml:space="preserve"> </w:t>
      </w:r>
      <w:r w:rsidR="00D9258C" w:rsidRPr="00FD6A6A">
        <w:t>are</w:t>
      </w:r>
      <w:r w:rsidR="00541D05">
        <w:t xml:space="preserve"> </w:t>
      </w:r>
      <w:r w:rsidR="00D9258C" w:rsidRPr="00FD6A6A">
        <w:t>also</w:t>
      </w:r>
      <w:r w:rsidR="00541D05">
        <w:t xml:space="preserve"> </w:t>
      </w:r>
      <w:r w:rsidR="00D9258C" w:rsidRPr="00FD6A6A">
        <w:t>ensured:</w:t>
      </w:r>
      <w:r w:rsidR="00541D05">
        <w:t xml:space="preserve"> </w:t>
      </w:r>
      <w:r w:rsidR="00D9258C" w:rsidRPr="00FD6A6A">
        <w:t>equal</w:t>
      </w:r>
      <w:r w:rsidR="00541D05">
        <w:t xml:space="preserve"> </w:t>
      </w:r>
      <w:r w:rsidR="00D9258C" w:rsidRPr="00FD6A6A">
        <w:t>treatment</w:t>
      </w:r>
      <w:r w:rsidR="00541D05">
        <w:t xml:space="preserve"> </w:t>
      </w:r>
      <w:r w:rsidR="00D9258C" w:rsidRPr="00FD6A6A">
        <w:t>and</w:t>
      </w:r>
      <w:r w:rsidR="00541D05">
        <w:t xml:space="preserve"> </w:t>
      </w:r>
      <w:r w:rsidR="00D9258C" w:rsidRPr="00FD6A6A">
        <w:t>opportunity</w:t>
      </w:r>
      <w:r w:rsidR="00541D05">
        <w:t xml:space="preserve"> </w:t>
      </w:r>
      <w:r w:rsidR="00D9258C" w:rsidRPr="00FD6A6A">
        <w:t>to</w:t>
      </w:r>
      <w:r w:rsidR="00541D05">
        <w:t xml:space="preserve"> </w:t>
      </w:r>
      <w:r w:rsidR="00D9258C" w:rsidRPr="00FD6A6A">
        <w:t>migrants</w:t>
      </w:r>
      <w:r w:rsidR="00541D05">
        <w:t xml:space="preserve"> </w:t>
      </w:r>
      <w:r w:rsidR="00D9258C" w:rsidRPr="00FD6A6A">
        <w:t>and</w:t>
      </w:r>
      <w:r w:rsidR="00541D05">
        <w:t xml:space="preserve"> </w:t>
      </w:r>
      <w:r w:rsidR="00D9258C" w:rsidRPr="00FD6A6A">
        <w:t>their</w:t>
      </w:r>
      <w:r w:rsidR="00541D05">
        <w:t xml:space="preserve"> </w:t>
      </w:r>
      <w:r w:rsidR="00D9258C" w:rsidRPr="00FD6A6A">
        <w:t>family</w:t>
      </w:r>
      <w:r w:rsidR="00541D05">
        <w:t xml:space="preserve"> </w:t>
      </w:r>
      <w:r w:rsidR="00D9258C" w:rsidRPr="00FD6A6A">
        <w:t>(Art.</w:t>
      </w:r>
      <w:r w:rsidR="00541D05">
        <w:t xml:space="preserve"> </w:t>
      </w:r>
      <w:r w:rsidR="00D9258C" w:rsidRPr="00FD6A6A">
        <w:t>3,</w:t>
      </w:r>
      <w:r w:rsidR="00541D05">
        <w:t xml:space="preserve"> </w:t>
      </w:r>
      <w:r w:rsidR="00D9258C" w:rsidRPr="00FD6A6A">
        <w:t>IX);</w:t>
      </w:r>
      <w:r w:rsidR="00541D05">
        <w:t xml:space="preserve"> </w:t>
      </w:r>
      <w:r w:rsidR="00D9258C" w:rsidRPr="00FD6A6A">
        <w:t>free</w:t>
      </w:r>
      <w:r w:rsidR="00541D05">
        <w:t xml:space="preserve"> </w:t>
      </w:r>
      <w:r w:rsidR="00D9258C" w:rsidRPr="00FD6A6A">
        <w:t>and</w:t>
      </w:r>
      <w:r w:rsidR="00541D05">
        <w:t xml:space="preserve"> </w:t>
      </w:r>
      <w:r w:rsidR="00D9258C" w:rsidRPr="00FD6A6A">
        <w:t>egalitarian</w:t>
      </w:r>
      <w:r w:rsidR="00541D05">
        <w:t xml:space="preserve"> </w:t>
      </w:r>
      <w:r w:rsidR="00D9258C" w:rsidRPr="00FD6A6A">
        <w:t>access</w:t>
      </w:r>
      <w:r w:rsidR="00541D05">
        <w:t xml:space="preserve"> </w:t>
      </w:r>
      <w:r w:rsidR="00D9258C" w:rsidRPr="00FD6A6A">
        <w:t>to</w:t>
      </w:r>
      <w:r w:rsidR="00541D05">
        <w:t xml:space="preserve"> </w:t>
      </w:r>
      <w:r w:rsidR="00D9258C" w:rsidRPr="00FD6A6A">
        <w:t>social</w:t>
      </w:r>
      <w:r w:rsidR="00541D05">
        <w:t xml:space="preserve"> </w:t>
      </w:r>
      <w:r w:rsidR="00D9258C" w:rsidRPr="00FD6A6A">
        <w:t>services,</w:t>
      </w:r>
      <w:r w:rsidR="00541D05">
        <w:t xml:space="preserve"> </w:t>
      </w:r>
      <w:r w:rsidR="00D9258C" w:rsidRPr="00FD6A6A">
        <w:t>programs,</w:t>
      </w:r>
      <w:r w:rsidR="00541D05">
        <w:t xml:space="preserve"> </w:t>
      </w:r>
      <w:r w:rsidR="00D9258C" w:rsidRPr="00FD6A6A">
        <w:t>and</w:t>
      </w:r>
      <w:r w:rsidR="00541D05">
        <w:t xml:space="preserve"> </w:t>
      </w:r>
      <w:r w:rsidR="00D9258C" w:rsidRPr="00FD6A6A">
        <w:t>benefits,</w:t>
      </w:r>
      <w:r w:rsidR="00541D05">
        <w:t xml:space="preserve"> </w:t>
      </w:r>
      <w:r w:rsidR="00D9258C" w:rsidRPr="00FD6A6A">
        <w:t>public</w:t>
      </w:r>
      <w:r w:rsidR="00541D05">
        <w:t xml:space="preserve"> </w:t>
      </w:r>
      <w:r w:rsidR="00D9258C" w:rsidRPr="00FD6A6A">
        <w:t>goods,</w:t>
      </w:r>
      <w:r w:rsidR="00541D05">
        <w:t xml:space="preserve"> </w:t>
      </w:r>
      <w:r w:rsidR="00D9258C" w:rsidRPr="00FD6A6A">
        <w:t>education,</w:t>
      </w:r>
      <w:r w:rsidR="00541D05">
        <w:t xml:space="preserve"> </w:t>
      </w:r>
      <w:r w:rsidR="00D9258C" w:rsidRPr="00FD6A6A">
        <w:t>full</w:t>
      </w:r>
      <w:r w:rsidR="00541D05">
        <w:t xml:space="preserve"> </w:t>
      </w:r>
      <w:r w:rsidR="00D9258C" w:rsidRPr="00FD6A6A">
        <w:t>public</w:t>
      </w:r>
      <w:r w:rsidR="00541D05">
        <w:t xml:space="preserve"> </w:t>
      </w:r>
      <w:r w:rsidR="00D9258C" w:rsidRPr="00FD6A6A">
        <w:t>legal</w:t>
      </w:r>
      <w:r w:rsidR="00541D05">
        <w:t xml:space="preserve"> </w:t>
      </w:r>
      <w:r w:rsidR="00D9258C" w:rsidRPr="00FD6A6A">
        <w:t>assistance,</w:t>
      </w:r>
      <w:r w:rsidR="00541D05">
        <w:t xml:space="preserve"> </w:t>
      </w:r>
      <w:r w:rsidR="00D9258C" w:rsidRPr="00FD6A6A">
        <w:t>work,</w:t>
      </w:r>
      <w:r w:rsidR="00541D05">
        <w:t xml:space="preserve"> </w:t>
      </w:r>
      <w:r w:rsidR="00D9258C" w:rsidRPr="00FD6A6A">
        <w:t>housing,</w:t>
      </w:r>
      <w:r w:rsidR="00541D05">
        <w:t xml:space="preserve"> </w:t>
      </w:r>
      <w:r w:rsidR="00D9258C" w:rsidRPr="00FD6A6A">
        <w:t>banking</w:t>
      </w:r>
      <w:r w:rsidR="00541D05">
        <w:t xml:space="preserve"> </w:t>
      </w:r>
      <w:r w:rsidR="00D9258C" w:rsidRPr="00FD6A6A">
        <w:t>services,</w:t>
      </w:r>
      <w:r w:rsidR="00541D05">
        <w:t xml:space="preserve"> </w:t>
      </w:r>
      <w:r w:rsidR="00D9258C" w:rsidRPr="00FD6A6A">
        <w:t>and</w:t>
      </w:r>
      <w:r w:rsidR="00541D05">
        <w:t xml:space="preserve"> </w:t>
      </w:r>
      <w:r w:rsidR="00D9258C" w:rsidRPr="00FD6A6A">
        <w:t>social</w:t>
      </w:r>
      <w:r w:rsidR="00541D05">
        <w:t xml:space="preserve"> </w:t>
      </w:r>
      <w:r w:rsidR="00D9258C" w:rsidRPr="00FD6A6A">
        <w:t>security</w:t>
      </w:r>
      <w:r w:rsidR="00541D05">
        <w:t xml:space="preserve"> </w:t>
      </w:r>
      <w:r w:rsidR="00D9258C" w:rsidRPr="00FD6A6A">
        <w:t>(Art.</w:t>
      </w:r>
      <w:r w:rsidR="00541D05">
        <w:t xml:space="preserve"> </w:t>
      </w:r>
      <w:r w:rsidR="00D9258C" w:rsidRPr="00FD6A6A">
        <w:t>3,</w:t>
      </w:r>
      <w:r w:rsidR="00541D05">
        <w:t xml:space="preserve"> </w:t>
      </w:r>
      <w:r w:rsidR="00D9258C" w:rsidRPr="00FD6A6A">
        <w:t>XI).</w:t>
      </w:r>
    </w:p>
    <w:p w14:paraId="69F13027" w14:textId="03BA57AF" w:rsidR="00D9258C" w:rsidRPr="00FD6A6A" w:rsidRDefault="00166390" w:rsidP="00166390">
      <w:pPr>
        <w:pStyle w:val="ParaNoG"/>
        <w:numPr>
          <w:ilvl w:val="0"/>
          <w:numId w:val="0"/>
        </w:numPr>
        <w:tabs>
          <w:tab w:val="left" w:pos="0"/>
        </w:tabs>
        <w:ind w:left="1134"/>
      </w:pPr>
      <w:r w:rsidRPr="00FD6A6A">
        <w:t>16.</w:t>
      </w:r>
      <w:r w:rsidRPr="00FD6A6A">
        <w:tab/>
      </w:r>
      <w:r w:rsidR="00D9258C" w:rsidRPr="00FD6A6A">
        <w:t>Even</w:t>
      </w:r>
      <w:r w:rsidR="00541D05">
        <w:t xml:space="preserve"> </w:t>
      </w:r>
      <w:r w:rsidR="00D9258C" w:rsidRPr="00FD6A6A">
        <w:t>though</w:t>
      </w:r>
      <w:r w:rsidR="00541D05">
        <w:t xml:space="preserve"> </w:t>
      </w:r>
      <w:r w:rsidR="00D9258C" w:rsidRPr="00FD6A6A">
        <w:t>foreigners</w:t>
      </w:r>
      <w:r w:rsidR="00541D05">
        <w:t xml:space="preserve"> </w:t>
      </w:r>
      <w:r w:rsidR="00D9258C" w:rsidRPr="00FD6A6A">
        <w:t>and</w:t>
      </w:r>
      <w:r w:rsidR="00541D05">
        <w:t xml:space="preserve"> </w:t>
      </w:r>
      <w:r w:rsidR="00D9258C" w:rsidRPr="00FD6A6A">
        <w:t>immigrants</w:t>
      </w:r>
      <w:r w:rsidR="00541D05">
        <w:t xml:space="preserve"> </w:t>
      </w:r>
      <w:r w:rsidR="00D9258C" w:rsidRPr="00FD6A6A">
        <w:t>cannot</w:t>
      </w:r>
      <w:r w:rsidR="00541D05">
        <w:t xml:space="preserve"> </w:t>
      </w:r>
      <w:r w:rsidR="00D9258C" w:rsidRPr="00FD6A6A">
        <w:t>be</w:t>
      </w:r>
      <w:r w:rsidR="00541D05">
        <w:t xml:space="preserve"> </w:t>
      </w:r>
      <w:r w:rsidR="00D9258C" w:rsidRPr="00FD6A6A">
        <w:t>discriminated</w:t>
      </w:r>
      <w:r w:rsidR="00541D05">
        <w:t xml:space="preserve"> </w:t>
      </w:r>
      <w:r w:rsidR="00D9258C" w:rsidRPr="00FD6A6A">
        <w:t>with</w:t>
      </w:r>
      <w:r w:rsidR="00541D05">
        <w:t xml:space="preserve"> </w:t>
      </w:r>
      <w:r w:rsidR="00D9258C" w:rsidRPr="00FD6A6A">
        <w:t>respect</w:t>
      </w:r>
      <w:r w:rsidR="00541D05">
        <w:t xml:space="preserve"> </w:t>
      </w:r>
      <w:r w:rsidR="00D9258C" w:rsidRPr="00FD6A6A">
        <w:t>to</w:t>
      </w:r>
      <w:r w:rsidR="00541D05">
        <w:t xml:space="preserve"> </w:t>
      </w:r>
      <w:r w:rsidR="00D9258C" w:rsidRPr="00FD6A6A">
        <w:t>Brazilians,</w:t>
      </w:r>
      <w:r w:rsidR="00541D05">
        <w:t xml:space="preserve"> </w:t>
      </w:r>
      <w:r w:rsidR="00D9258C" w:rsidRPr="00FD6A6A">
        <w:t>there</w:t>
      </w:r>
      <w:r w:rsidR="00541D05">
        <w:t xml:space="preserve"> </w:t>
      </w:r>
      <w:r w:rsidR="00D9258C" w:rsidRPr="00FD6A6A">
        <w:t>are</w:t>
      </w:r>
      <w:r w:rsidR="00541D05">
        <w:t xml:space="preserve"> </w:t>
      </w:r>
      <w:r w:rsidR="00D9258C" w:rsidRPr="00FD6A6A">
        <w:t>different</w:t>
      </w:r>
      <w:r w:rsidR="00541D05">
        <w:t xml:space="preserve"> </w:t>
      </w:r>
      <w:r w:rsidR="00D9258C" w:rsidRPr="00FD6A6A">
        <w:t>legal</w:t>
      </w:r>
      <w:r w:rsidR="00541D05">
        <w:t xml:space="preserve"> </w:t>
      </w:r>
      <w:r w:rsidR="00D9258C" w:rsidRPr="00FD6A6A">
        <w:t>norms</w:t>
      </w:r>
      <w:r w:rsidR="00541D05">
        <w:t xml:space="preserve"> </w:t>
      </w:r>
      <w:r w:rsidR="00D9258C" w:rsidRPr="00FD6A6A">
        <w:t>to</w:t>
      </w:r>
      <w:r w:rsidR="00541D05">
        <w:t xml:space="preserve"> </w:t>
      </w:r>
      <w:r w:rsidR="00D9258C" w:rsidRPr="00FD6A6A">
        <w:t>take</w:t>
      </w:r>
      <w:r w:rsidR="00541D05">
        <w:t xml:space="preserve"> </w:t>
      </w:r>
      <w:r w:rsidR="00D9258C" w:rsidRPr="00FD6A6A">
        <w:t>into</w:t>
      </w:r>
      <w:r w:rsidR="00541D05">
        <w:t xml:space="preserve"> </w:t>
      </w:r>
      <w:r w:rsidR="00D9258C" w:rsidRPr="00FD6A6A">
        <w:t>account</w:t>
      </w:r>
      <w:r w:rsidR="00541D05">
        <w:t xml:space="preserve"> </w:t>
      </w:r>
      <w:r w:rsidR="00D9258C" w:rsidRPr="00FD6A6A">
        <w:t>the</w:t>
      </w:r>
      <w:r w:rsidR="00541D05">
        <w:t xml:space="preserve"> </w:t>
      </w:r>
      <w:r w:rsidR="00D9258C" w:rsidRPr="00FD6A6A">
        <w:t>specificities</w:t>
      </w:r>
      <w:r w:rsidR="00541D05">
        <w:t xml:space="preserve"> </w:t>
      </w:r>
      <w:r w:rsidR="00D9258C" w:rsidRPr="00FD6A6A">
        <w:t>of</w:t>
      </w:r>
      <w:r w:rsidR="00541D05">
        <w:t xml:space="preserve"> </w:t>
      </w:r>
      <w:r w:rsidR="00D9258C" w:rsidRPr="00FD6A6A">
        <w:t>the</w:t>
      </w:r>
      <w:r w:rsidR="00541D05">
        <w:t xml:space="preserve"> </w:t>
      </w:r>
      <w:r w:rsidR="00D9258C" w:rsidRPr="00FD6A6A">
        <w:t>groups</w:t>
      </w:r>
      <w:r w:rsidR="00541D05">
        <w:t xml:space="preserve"> </w:t>
      </w:r>
      <w:r w:rsidR="00D9258C" w:rsidRPr="00FD6A6A">
        <w:t>included</w:t>
      </w:r>
      <w:r w:rsidR="00541D05">
        <w:t xml:space="preserve"> </w:t>
      </w:r>
      <w:r w:rsidR="00D9258C" w:rsidRPr="00FD6A6A">
        <w:t>in</w:t>
      </w:r>
      <w:r w:rsidR="00541D05">
        <w:t xml:space="preserve"> </w:t>
      </w:r>
      <w:r w:rsidR="00D9258C" w:rsidRPr="00FD6A6A">
        <w:t>this</w:t>
      </w:r>
      <w:r w:rsidR="00541D05">
        <w:t xml:space="preserve"> </w:t>
      </w:r>
      <w:r w:rsidR="00D9258C" w:rsidRPr="00FD6A6A">
        <w:t>Convention.</w:t>
      </w:r>
      <w:r w:rsidR="00541D05">
        <w:t xml:space="preserve"> </w:t>
      </w:r>
      <w:r w:rsidR="00D9258C" w:rsidRPr="00FD6A6A">
        <w:t>The</w:t>
      </w:r>
      <w:r w:rsidR="00541D05">
        <w:t xml:space="preserve"> </w:t>
      </w:r>
      <w:r w:rsidR="00D9258C" w:rsidRPr="00FD6A6A">
        <w:t>3rd</w:t>
      </w:r>
      <w:r w:rsidR="00541D05">
        <w:t xml:space="preserve"> </w:t>
      </w:r>
      <w:r w:rsidR="00D9258C" w:rsidRPr="00FD6A6A">
        <w:t>Brazilian</w:t>
      </w:r>
      <w:r w:rsidR="00541D05">
        <w:t xml:space="preserve"> </w:t>
      </w:r>
      <w:r w:rsidR="00D9258C" w:rsidRPr="00FD6A6A">
        <w:t>report</w:t>
      </w:r>
      <w:r w:rsidR="00541D05">
        <w:t xml:space="preserve"> </w:t>
      </w:r>
      <w:r w:rsidR="00D9258C" w:rsidRPr="00FD6A6A">
        <w:t>on</w:t>
      </w:r>
      <w:r w:rsidR="00541D05">
        <w:t xml:space="preserve"> </w:t>
      </w:r>
      <w:r w:rsidR="00D9258C" w:rsidRPr="00FD6A6A">
        <w:t>the</w:t>
      </w:r>
      <w:r w:rsidR="00541D05">
        <w:t xml:space="preserve"> </w:t>
      </w:r>
      <w:r w:rsidR="00D9258C" w:rsidRPr="00FD6A6A">
        <w:t>compliance</w:t>
      </w:r>
      <w:r w:rsidR="00541D05">
        <w:t xml:space="preserve"> </w:t>
      </w:r>
      <w:r w:rsidR="00D9258C" w:rsidRPr="00FD6A6A">
        <w:t>with</w:t>
      </w:r>
      <w:r w:rsidR="00541D05">
        <w:t xml:space="preserve"> </w:t>
      </w:r>
      <w:r w:rsidR="00D9258C" w:rsidRPr="00FD6A6A">
        <w:t>the</w:t>
      </w:r>
      <w:r w:rsidR="00541D05">
        <w:t xml:space="preserve"> </w:t>
      </w:r>
      <w:r w:rsidR="00D9258C" w:rsidRPr="00FD6A6A">
        <w:t>International</w:t>
      </w:r>
      <w:r w:rsidR="00541D05">
        <w:t xml:space="preserve"> </w:t>
      </w:r>
      <w:r w:rsidR="00D9258C" w:rsidRPr="00FD6A6A">
        <w:t>Covenant</w:t>
      </w:r>
      <w:r w:rsidR="00541D05">
        <w:t xml:space="preserve"> </w:t>
      </w:r>
      <w:r w:rsidR="00D9258C" w:rsidRPr="00FD6A6A">
        <w:t>on</w:t>
      </w:r>
      <w:r w:rsidR="00541D05">
        <w:t xml:space="preserve"> </w:t>
      </w:r>
      <w:r w:rsidR="00D9258C" w:rsidRPr="00FD6A6A">
        <w:t>Economic,</w:t>
      </w:r>
      <w:r w:rsidR="00541D05">
        <w:t xml:space="preserve"> </w:t>
      </w:r>
      <w:r w:rsidR="00D9258C" w:rsidRPr="00FD6A6A">
        <w:t>Social,</w:t>
      </w:r>
      <w:r w:rsidR="00541D05">
        <w:t xml:space="preserve"> </w:t>
      </w:r>
      <w:r w:rsidR="00D9258C" w:rsidRPr="00FD6A6A">
        <w:t>and</w:t>
      </w:r>
      <w:r w:rsidR="00541D05">
        <w:t xml:space="preserve"> </w:t>
      </w:r>
      <w:r w:rsidR="00D9258C" w:rsidRPr="00FD6A6A">
        <w:t>Cultural</w:t>
      </w:r>
      <w:r w:rsidR="00541D05">
        <w:t xml:space="preserve"> </w:t>
      </w:r>
      <w:r w:rsidR="00D9258C" w:rsidRPr="00FD6A6A">
        <w:t>Rights</w:t>
      </w:r>
      <w:r w:rsidR="00541D05">
        <w:t xml:space="preserve"> </w:t>
      </w:r>
      <w:r w:rsidR="00D9258C" w:rsidRPr="00FD6A6A">
        <w:t>addresses</w:t>
      </w:r>
      <w:r w:rsidR="00541D05">
        <w:t xml:space="preserve"> </w:t>
      </w:r>
      <w:r w:rsidR="00D9258C" w:rsidRPr="00FD6A6A">
        <w:t>the</w:t>
      </w:r>
      <w:r w:rsidR="00541D05">
        <w:t xml:space="preserve"> </w:t>
      </w:r>
      <w:r w:rsidR="00D9258C" w:rsidRPr="00FD6A6A">
        <w:t>matter</w:t>
      </w:r>
      <w:r w:rsidR="00541D05">
        <w:t xml:space="preserve"> </w:t>
      </w:r>
      <w:r w:rsidR="00D9258C" w:rsidRPr="00FD6A6A">
        <w:t>more</w:t>
      </w:r>
      <w:r w:rsidR="00541D05">
        <w:t xml:space="preserve"> </w:t>
      </w:r>
      <w:r w:rsidR="00D9258C" w:rsidRPr="00FD6A6A">
        <w:t>carefully,</w:t>
      </w:r>
      <w:r w:rsidR="00541D05">
        <w:t xml:space="preserve"> </w:t>
      </w:r>
      <w:r w:rsidR="00D9258C" w:rsidRPr="00FD6A6A">
        <w:t>highlighting</w:t>
      </w:r>
      <w:r w:rsidR="00541D05">
        <w:t xml:space="preserve"> </w:t>
      </w:r>
      <w:r w:rsidR="00D9258C" w:rsidRPr="00FD6A6A">
        <w:t>the</w:t>
      </w:r>
      <w:r w:rsidR="00541D05">
        <w:t xml:space="preserve"> </w:t>
      </w:r>
      <w:r w:rsidR="00D9258C" w:rsidRPr="00FD6A6A">
        <w:t>new</w:t>
      </w:r>
      <w:r w:rsidR="00541D05">
        <w:t xml:space="preserve"> </w:t>
      </w:r>
      <w:r w:rsidR="00D9258C" w:rsidRPr="00FD6A6A">
        <w:t>Brazilian</w:t>
      </w:r>
      <w:r w:rsidR="00541D05">
        <w:t xml:space="preserve"> </w:t>
      </w:r>
      <w:r w:rsidR="00D9258C" w:rsidRPr="00FD6A6A">
        <w:t>Migration</w:t>
      </w:r>
      <w:r w:rsidR="00541D05">
        <w:t xml:space="preserve"> </w:t>
      </w:r>
      <w:r w:rsidR="00D9258C" w:rsidRPr="00FD6A6A">
        <w:t>Law</w:t>
      </w:r>
      <w:r w:rsidR="00541D05">
        <w:t xml:space="preserve"> </w:t>
      </w:r>
      <w:r w:rsidR="00D9258C" w:rsidRPr="00FD6A6A">
        <w:t>(Law</w:t>
      </w:r>
      <w:r w:rsidR="00541D05">
        <w:t xml:space="preserve"> </w:t>
      </w:r>
      <w:r w:rsidR="00D9258C" w:rsidRPr="00FD6A6A">
        <w:t>No.</w:t>
      </w:r>
      <w:r w:rsidR="00541D05">
        <w:t xml:space="preserve"> </w:t>
      </w:r>
      <w:r w:rsidR="00D9258C" w:rsidRPr="00FD6A6A">
        <w:t>13,445/2017)</w:t>
      </w:r>
      <w:r w:rsidR="00541D05">
        <w:t xml:space="preserve"> </w:t>
      </w:r>
      <w:r w:rsidR="00D9258C" w:rsidRPr="00FD6A6A">
        <w:t>of</w:t>
      </w:r>
      <w:r w:rsidR="00541D05">
        <w:t xml:space="preserve"> </w:t>
      </w:r>
      <w:r w:rsidR="00D9258C" w:rsidRPr="00FD6A6A">
        <w:t>May</w:t>
      </w:r>
      <w:r w:rsidR="00541D05">
        <w:t xml:space="preserve"> </w:t>
      </w:r>
      <w:r w:rsidR="00D9258C" w:rsidRPr="00FD6A6A">
        <w:t>24,</w:t>
      </w:r>
      <w:r w:rsidR="00541D05">
        <w:t xml:space="preserve"> </w:t>
      </w:r>
      <w:r w:rsidR="00D9258C" w:rsidRPr="00FD6A6A">
        <w:t>2017.</w:t>
      </w:r>
    </w:p>
    <w:p w14:paraId="64D13C88" w14:textId="33C4BBCC" w:rsidR="00D9258C" w:rsidRPr="00FD6A6A" w:rsidRDefault="00D9258C" w:rsidP="0090016A">
      <w:pPr>
        <w:pStyle w:val="HChG"/>
      </w:pPr>
      <w:r w:rsidRPr="00FD6A6A">
        <w:lastRenderedPageBreak/>
        <w:tab/>
        <w:t>III.</w:t>
      </w:r>
      <w:r w:rsidRPr="00FD6A6A">
        <w:tab/>
        <w:t>Article</w:t>
      </w:r>
      <w:r w:rsidR="00541D05">
        <w:t xml:space="preserve"> </w:t>
      </w:r>
      <w:r w:rsidRPr="00FD6A6A">
        <w:t>2</w:t>
      </w:r>
      <w:r w:rsidR="00541D05">
        <w:t xml:space="preserve"> </w:t>
      </w:r>
      <w:r w:rsidRPr="00FD6A6A">
        <w:t>–</w:t>
      </w:r>
      <w:r w:rsidR="00541D05">
        <w:t xml:space="preserve"> </w:t>
      </w:r>
      <w:r w:rsidRPr="00FD6A6A">
        <w:t>Legal</w:t>
      </w:r>
      <w:r w:rsidR="00541D05">
        <w:t xml:space="preserve"> </w:t>
      </w:r>
      <w:r w:rsidRPr="00FD6A6A">
        <w:t>provisions</w:t>
      </w:r>
      <w:r w:rsidR="00541D05">
        <w:t xml:space="preserve"> </w:t>
      </w:r>
      <w:r w:rsidRPr="00FD6A6A">
        <w:t>and</w:t>
      </w:r>
      <w:r w:rsidR="00541D05">
        <w:t xml:space="preserve"> </w:t>
      </w:r>
      <w:r w:rsidRPr="00FD6A6A">
        <w:t>policies</w:t>
      </w:r>
      <w:r w:rsidR="00541D05">
        <w:t xml:space="preserve"> </w:t>
      </w:r>
      <w:r w:rsidRPr="00FD6A6A">
        <w:t>for</w:t>
      </w:r>
      <w:r w:rsidR="00541D05">
        <w:t xml:space="preserve"> </w:t>
      </w:r>
      <w:r w:rsidRPr="00FD6A6A">
        <w:t>elimination</w:t>
      </w:r>
      <w:r w:rsidR="00541D05">
        <w:t xml:space="preserve"> </w:t>
      </w:r>
      <w:r w:rsidRPr="00FD6A6A">
        <w:t>of</w:t>
      </w:r>
      <w:r w:rsidR="00541D05">
        <w:t xml:space="preserve"> </w:t>
      </w:r>
      <w:r w:rsidRPr="00FD6A6A">
        <w:t>racial</w:t>
      </w:r>
      <w:r w:rsidR="00541D05">
        <w:t xml:space="preserve"> </w:t>
      </w:r>
      <w:r w:rsidRPr="00FD6A6A">
        <w:t>discrimination</w:t>
      </w:r>
    </w:p>
    <w:p w14:paraId="4A0C0A9E" w14:textId="3627C82B" w:rsidR="00D9258C" w:rsidRPr="00FD6A6A" w:rsidRDefault="00D9258C" w:rsidP="00541D05">
      <w:pPr>
        <w:pStyle w:val="H1G"/>
      </w:pPr>
      <w:r w:rsidRPr="00FD6A6A">
        <w:tab/>
        <w:t>A.</w:t>
      </w:r>
      <w:r w:rsidRPr="00FD6A6A">
        <w:tab/>
        <w:t>Brief</w:t>
      </w:r>
      <w:r w:rsidR="00541D05">
        <w:t xml:space="preserve"> </w:t>
      </w:r>
      <w:r w:rsidRPr="00FD6A6A">
        <w:t>description</w:t>
      </w:r>
      <w:r w:rsidR="00541D05">
        <w:t xml:space="preserve"> </w:t>
      </w:r>
      <w:r w:rsidRPr="00FD6A6A">
        <w:t>of</w:t>
      </w:r>
      <w:r w:rsidR="00541D05">
        <w:t xml:space="preserve"> </w:t>
      </w:r>
      <w:r w:rsidRPr="00FD6A6A">
        <w:t>the</w:t>
      </w:r>
      <w:r w:rsidR="00541D05">
        <w:t xml:space="preserve"> </w:t>
      </w:r>
      <w:r w:rsidRPr="00FD6A6A">
        <w:t>legal</w:t>
      </w:r>
      <w:r w:rsidR="00541D05">
        <w:t xml:space="preserve"> </w:t>
      </w:r>
      <w:r w:rsidRPr="00FD6A6A">
        <w:t>provisions</w:t>
      </w:r>
      <w:r w:rsidR="00541D05">
        <w:t xml:space="preserve"> </w:t>
      </w:r>
      <w:r w:rsidRPr="00FD6A6A">
        <w:t>and</w:t>
      </w:r>
      <w:r w:rsidR="00541D05">
        <w:t xml:space="preserve"> </w:t>
      </w:r>
      <w:r w:rsidRPr="00FD6A6A">
        <w:t>policies</w:t>
      </w:r>
      <w:r w:rsidR="00541D05">
        <w:t xml:space="preserve"> </w:t>
      </w:r>
      <w:r w:rsidRPr="00FD6A6A">
        <w:t>directed</w:t>
      </w:r>
      <w:r w:rsidR="00541D05">
        <w:t xml:space="preserve"> </w:t>
      </w:r>
      <w:r w:rsidRPr="00FD6A6A">
        <w:t>to</w:t>
      </w:r>
      <w:r w:rsidR="00541D05">
        <w:t xml:space="preserve"> </w:t>
      </w:r>
      <w:r w:rsidRPr="00FD6A6A">
        <w:t>the</w:t>
      </w:r>
      <w:r w:rsidR="00541D05">
        <w:t xml:space="preserve"> </w:t>
      </w:r>
      <w:r w:rsidRPr="00FD6A6A">
        <w:t>elimination</w:t>
      </w:r>
      <w:r w:rsidR="00541D05">
        <w:t xml:space="preserve"> </w:t>
      </w:r>
      <w:r w:rsidRPr="00FD6A6A">
        <w:t>of</w:t>
      </w:r>
      <w:r w:rsidR="00541D05">
        <w:t xml:space="preserve"> </w:t>
      </w:r>
      <w:r w:rsidRPr="00FD6A6A">
        <w:t>racial</w:t>
      </w:r>
      <w:r w:rsidR="00541D05">
        <w:t xml:space="preserve"> </w:t>
      </w:r>
      <w:r w:rsidRPr="00FD6A6A">
        <w:t>discrimination</w:t>
      </w:r>
      <w:r w:rsidR="00541D05">
        <w:t xml:space="preserve"> </w:t>
      </w:r>
      <w:r w:rsidRPr="00FD6A6A">
        <w:t>and</w:t>
      </w:r>
      <w:r w:rsidR="00541D05">
        <w:t xml:space="preserve"> </w:t>
      </w:r>
      <w:r w:rsidRPr="00FD6A6A">
        <w:t>to</w:t>
      </w:r>
      <w:r w:rsidR="00541D05">
        <w:t xml:space="preserve"> </w:t>
      </w:r>
      <w:r w:rsidRPr="00FD6A6A">
        <w:t>effecting</w:t>
      </w:r>
      <w:r w:rsidR="00541D05">
        <w:t xml:space="preserve"> </w:t>
      </w:r>
      <w:r w:rsidRPr="00FD6A6A">
        <w:t>Art.</w:t>
      </w:r>
      <w:r w:rsidR="00541D05">
        <w:t xml:space="preserve"> </w:t>
      </w:r>
      <w:r w:rsidRPr="00FD6A6A">
        <w:t>2</w:t>
      </w:r>
      <w:r w:rsidR="00541D05">
        <w:t xml:space="preserve"> </w:t>
      </w:r>
      <w:r w:rsidRPr="00FD6A6A">
        <w:t>and</w:t>
      </w:r>
      <w:r w:rsidR="00541D05">
        <w:t xml:space="preserve"> </w:t>
      </w:r>
      <w:r w:rsidRPr="00FD6A6A">
        <w:t>its</w:t>
      </w:r>
      <w:r w:rsidR="00541D05">
        <w:t xml:space="preserve"> </w:t>
      </w:r>
      <w:r w:rsidRPr="00FD6A6A">
        <w:t>paragraphs.</w:t>
      </w:r>
    </w:p>
    <w:p w14:paraId="4B0027BD" w14:textId="41480A27" w:rsidR="00D9258C" w:rsidRPr="00FD6A6A" w:rsidRDefault="00166390" w:rsidP="00166390">
      <w:pPr>
        <w:pStyle w:val="ParaNoG"/>
        <w:numPr>
          <w:ilvl w:val="0"/>
          <w:numId w:val="0"/>
        </w:numPr>
        <w:tabs>
          <w:tab w:val="left" w:pos="0"/>
        </w:tabs>
        <w:ind w:left="1134"/>
      </w:pPr>
      <w:r w:rsidRPr="00FD6A6A">
        <w:t>17.</w:t>
      </w:r>
      <w:r w:rsidRPr="00FD6A6A">
        <w:tab/>
      </w:r>
      <w:r w:rsidR="00D9258C" w:rsidRPr="00FD6A6A">
        <w:t>Brazil</w:t>
      </w:r>
      <w:r w:rsidR="00541D05">
        <w:t xml:space="preserve"> </w:t>
      </w:r>
      <w:r w:rsidR="00D9258C" w:rsidRPr="00FD6A6A">
        <w:t>has</w:t>
      </w:r>
      <w:r w:rsidR="00541D05">
        <w:t xml:space="preserve"> </w:t>
      </w:r>
      <w:r w:rsidR="00D9258C" w:rsidRPr="00FD6A6A">
        <w:t>instituted</w:t>
      </w:r>
      <w:r w:rsidR="00541D05">
        <w:t xml:space="preserve"> </w:t>
      </w:r>
      <w:r w:rsidR="00D9258C" w:rsidRPr="00FD6A6A">
        <w:t>extensive</w:t>
      </w:r>
      <w:r w:rsidR="00541D05">
        <w:t xml:space="preserve"> </w:t>
      </w:r>
      <w:r w:rsidR="00D9258C" w:rsidRPr="00FD6A6A">
        <w:t>anti-discrimination</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consisting</w:t>
      </w:r>
      <w:r w:rsidR="00541D05">
        <w:t xml:space="preserve"> </w:t>
      </w:r>
      <w:r w:rsidR="00D9258C" w:rsidRPr="00FD6A6A">
        <w:t>of</w:t>
      </w:r>
      <w:r w:rsidR="00541D05">
        <w:t xml:space="preserve"> </w:t>
      </w:r>
      <w:r w:rsidR="00D9258C" w:rsidRPr="00FD6A6A">
        <w:t>rules</w:t>
      </w:r>
      <w:r w:rsidR="00541D05">
        <w:t xml:space="preserve"> </w:t>
      </w:r>
      <w:r w:rsidR="00D9258C" w:rsidRPr="00FD6A6A">
        <w:t>of</w:t>
      </w:r>
      <w:r w:rsidR="00541D05">
        <w:t xml:space="preserve"> </w:t>
      </w:r>
      <w:r w:rsidR="00D9258C" w:rsidRPr="00FD6A6A">
        <w:t>constitutional,</w:t>
      </w:r>
      <w:r w:rsidR="00541D05">
        <w:t xml:space="preserve"> </w:t>
      </w:r>
      <w:r w:rsidR="00D9258C" w:rsidRPr="00FD6A6A">
        <w:t>administrative,</w:t>
      </w:r>
      <w:r w:rsidR="00541D05">
        <w:t xml:space="preserve"> </w:t>
      </w:r>
      <w:r w:rsidR="00D9258C" w:rsidRPr="00FD6A6A">
        <w:t>criminal,</w:t>
      </w:r>
      <w:r w:rsidR="00541D05">
        <w:t xml:space="preserve"> </w:t>
      </w:r>
      <w:r w:rsidR="00D9258C" w:rsidRPr="00FD6A6A">
        <w:t>civil,</w:t>
      </w:r>
      <w:r w:rsidR="00541D05">
        <w:t xml:space="preserve"> </w:t>
      </w:r>
      <w:r w:rsidR="00D9258C" w:rsidRPr="00FD6A6A">
        <w:t>labor,</w:t>
      </w:r>
      <w:r w:rsidR="00541D05">
        <w:t xml:space="preserve"> </w:t>
      </w:r>
      <w:r w:rsidR="00D9258C" w:rsidRPr="00FD6A6A">
        <w:t>tax,</w:t>
      </w:r>
      <w:r w:rsidR="00541D05">
        <w:t xml:space="preserve"> </w:t>
      </w:r>
      <w:r w:rsidR="00D9258C" w:rsidRPr="00FD6A6A">
        <w:t>and</w:t>
      </w:r>
      <w:r w:rsidR="00541D05">
        <w:t xml:space="preserve"> </w:t>
      </w:r>
      <w:r w:rsidR="00D9258C" w:rsidRPr="00FD6A6A">
        <w:t>social-security</w:t>
      </w:r>
      <w:r w:rsidR="00541D05">
        <w:t xml:space="preserve"> </w:t>
      </w:r>
      <w:r w:rsidR="00D9258C" w:rsidRPr="00FD6A6A">
        <w:t>nature.</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several</w:t>
      </w:r>
      <w:r w:rsidR="00541D05">
        <w:t xml:space="preserve"> </w:t>
      </w:r>
      <w:r w:rsidR="00D9258C" w:rsidRPr="00FD6A6A">
        <w:t>measures</w:t>
      </w:r>
      <w:r w:rsidR="00541D05">
        <w:t xml:space="preserve"> </w:t>
      </w:r>
      <w:r w:rsidR="00D9258C" w:rsidRPr="00FD6A6A">
        <w:t>were</w:t>
      </w:r>
      <w:r w:rsidR="00541D05">
        <w:t xml:space="preserve"> </w:t>
      </w:r>
      <w:r w:rsidR="00D9258C" w:rsidRPr="00FD6A6A">
        <w:t>adopted</w:t>
      </w:r>
      <w:r w:rsidR="00541D05">
        <w:t xml:space="preserve"> </w:t>
      </w:r>
      <w:r w:rsidR="00D9258C" w:rsidRPr="00FD6A6A">
        <w:t>contributing</w:t>
      </w:r>
      <w:r w:rsidR="00541D05">
        <w:t xml:space="preserve"> </w:t>
      </w:r>
      <w:r w:rsidR="00D9258C" w:rsidRPr="00FD6A6A">
        <w:t>to</w:t>
      </w:r>
      <w:r w:rsidR="00541D05">
        <w:t xml:space="preserve"> </w:t>
      </w:r>
      <w:r w:rsidR="00D9258C" w:rsidRPr="00FD6A6A">
        <w:t>the</w:t>
      </w:r>
      <w:r w:rsidR="00541D05">
        <w:t xml:space="preserve"> </w:t>
      </w:r>
      <w:r w:rsidR="00D9258C" w:rsidRPr="00FD6A6A">
        <w:t>establishment</w:t>
      </w:r>
      <w:r w:rsidR="00541D05">
        <w:t xml:space="preserve"> </w:t>
      </w:r>
      <w:r w:rsidR="00D9258C" w:rsidRPr="00FD6A6A">
        <w:t>of</w:t>
      </w:r>
      <w:r w:rsidR="00541D05">
        <w:t xml:space="preserve"> </w:t>
      </w:r>
      <w:r w:rsidR="00D9258C" w:rsidRPr="00FD6A6A">
        <w:t>a</w:t>
      </w:r>
      <w:r w:rsidR="00541D05">
        <w:t xml:space="preserve"> </w:t>
      </w:r>
      <w:r w:rsidR="00D9258C" w:rsidRPr="00FD6A6A">
        <w:t>system</w:t>
      </w:r>
      <w:r w:rsidR="00541D05">
        <w:t xml:space="preserve"> </w:t>
      </w:r>
      <w:r w:rsidR="00D9258C" w:rsidRPr="00FD6A6A">
        <w:t>of</w:t>
      </w:r>
      <w:r w:rsidR="00541D05">
        <w:t xml:space="preserve"> </w:t>
      </w:r>
      <w:r w:rsidR="00D9258C" w:rsidRPr="00FD6A6A">
        <w:t>protection</w:t>
      </w:r>
      <w:r w:rsidR="00541D05">
        <w:t xml:space="preserve"> </w:t>
      </w:r>
      <w:r w:rsidR="00D9258C" w:rsidRPr="00FD6A6A">
        <w:t>against</w:t>
      </w:r>
      <w:r w:rsidR="00541D05">
        <w:t xml:space="preserve"> </w:t>
      </w:r>
      <w:r w:rsidR="00D9258C" w:rsidRPr="00FD6A6A">
        <w:t>discrimination,</w:t>
      </w:r>
      <w:r w:rsidR="00541D05">
        <w:t xml:space="preserve"> </w:t>
      </w:r>
      <w:r w:rsidR="00D9258C" w:rsidRPr="00FD6A6A">
        <w:t>that</w:t>
      </w:r>
      <w:r w:rsidR="00541D05">
        <w:t xml:space="preserve"> </w:t>
      </w:r>
      <w:r w:rsidR="00D9258C" w:rsidRPr="00FD6A6A">
        <w:t>provide</w:t>
      </w:r>
      <w:r w:rsidR="00541D05">
        <w:t xml:space="preserve"> </w:t>
      </w:r>
      <w:r w:rsidR="00D9258C" w:rsidRPr="00FD6A6A">
        <w:t>penal</w:t>
      </w:r>
      <w:r w:rsidR="00541D05">
        <w:t xml:space="preserve"> </w:t>
      </w:r>
      <w:r w:rsidR="00D9258C" w:rsidRPr="00FD6A6A">
        <w:t>redress</w:t>
      </w:r>
      <w:r w:rsidR="00541D05">
        <w:t xml:space="preserve"> </w:t>
      </w:r>
      <w:r w:rsidR="00D9258C" w:rsidRPr="00FD6A6A">
        <w:t>not</w:t>
      </w:r>
      <w:r w:rsidR="00541D05">
        <w:t xml:space="preserve"> </w:t>
      </w:r>
      <w:r w:rsidR="00D9258C" w:rsidRPr="00FD6A6A">
        <w:t>only</w:t>
      </w:r>
      <w:r w:rsidR="00541D05">
        <w:t xml:space="preserve"> </w:t>
      </w:r>
      <w:r w:rsidR="00D9258C" w:rsidRPr="00FD6A6A">
        <w:t>against</w:t>
      </w:r>
      <w:r w:rsidR="00541D05">
        <w:t xml:space="preserve"> </w:t>
      </w:r>
      <w:r w:rsidR="00D9258C" w:rsidRPr="00FD6A6A">
        <w:t>practices</w:t>
      </w:r>
      <w:r w:rsidR="00541D05">
        <w:t xml:space="preserve"> </w:t>
      </w:r>
      <w:r w:rsidR="00D9258C" w:rsidRPr="00FD6A6A">
        <w:t>but</w:t>
      </w:r>
      <w:r w:rsidR="00541D05">
        <w:t xml:space="preserve"> </w:t>
      </w:r>
      <w:r w:rsidR="00D9258C" w:rsidRPr="00FD6A6A">
        <w:t>also</w:t>
      </w:r>
      <w:r w:rsidR="00541D05">
        <w:t xml:space="preserve"> </w:t>
      </w:r>
      <w:r w:rsidR="00D9258C" w:rsidRPr="00FD6A6A">
        <w:t>their</w:t>
      </w:r>
      <w:r w:rsidR="00541D05">
        <w:t xml:space="preserve"> </w:t>
      </w:r>
      <w:r w:rsidR="00D9258C" w:rsidRPr="00FD6A6A">
        <w:t>effects.</w:t>
      </w:r>
    </w:p>
    <w:p w14:paraId="60015D6B" w14:textId="498D000F" w:rsidR="00D9258C" w:rsidRPr="00FD6A6A" w:rsidRDefault="00166390" w:rsidP="00166390">
      <w:pPr>
        <w:pStyle w:val="ParaNoG"/>
        <w:numPr>
          <w:ilvl w:val="0"/>
          <w:numId w:val="0"/>
        </w:numPr>
        <w:tabs>
          <w:tab w:val="left" w:pos="0"/>
        </w:tabs>
        <w:ind w:left="1134"/>
      </w:pPr>
      <w:r w:rsidRPr="00FD6A6A">
        <w:t>18.</w:t>
      </w:r>
      <w:r w:rsidRPr="00FD6A6A">
        <w:tab/>
      </w:r>
      <w:r w:rsidR="00D9258C" w:rsidRPr="00FD6A6A">
        <w:t>These</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are</w:t>
      </w:r>
      <w:r w:rsidR="00541D05">
        <w:t xml:space="preserve"> </w:t>
      </w:r>
      <w:r w:rsidR="00D9258C" w:rsidRPr="00FD6A6A">
        <w:t>also</w:t>
      </w:r>
      <w:r w:rsidR="00541D05">
        <w:t xml:space="preserve"> </w:t>
      </w:r>
      <w:r w:rsidR="00D9258C" w:rsidRPr="00FD6A6A">
        <w:t>based</w:t>
      </w:r>
      <w:r w:rsidR="00541D05">
        <w:t xml:space="preserve"> </w:t>
      </w:r>
      <w:r w:rsidR="00D9258C" w:rsidRPr="00FD6A6A">
        <w:t>on</w:t>
      </w:r>
      <w:r w:rsidR="00541D05">
        <w:t xml:space="preserve"> </w:t>
      </w:r>
      <w:r w:rsidR="00D9258C" w:rsidRPr="00FD6A6A">
        <w:t>the</w:t>
      </w:r>
      <w:r w:rsidR="00541D05">
        <w:t xml:space="preserve"> </w:t>
      </w:r>
      <w:r w:rsidR="00D9258C" w:rsidRPr="00FD6A6A">
        <w:t>international</w:t>
      </w:r>
      <w:r w:rsidR="00541D05">
        <w:t xml:space="preserve"> </w:t>
      </w:r>
      <w:r w:rsidR="00D9258C" w:rsidRPr="00FD6A6A">
        <w:t>human</w:t>
      </w:r>
      <w:r w:rsidR="00541D05">
        <w:t xml:space="preserve"> </w:t>
      </w:r>
      <w:r w:rsidR="00D9258C" w:rsidRPr="00FD6A6A">
        <w:t>rights</w:t>
      </w:r>
      <w:r w:rsidR="00541D05">
        <w:t xml:space="preserve"> </w:t>
      </w:r>
      <w:r w:rsidR="00D9258C" w:rsidRPr="00FD6A6A">
        <w:t>covenants</w:t>
      </w:r>
      <w:r w:rsidR="00541D05">
        <w:t xml:space="preserve"> </w:t>
      </w:r>
      <w:r w:rsidR="00D9258C" w:rsidRPr="00FD6A6A">
        <w:t>to</w:t>
      </w:r>
      <w:r w:rsidR="00541D05">
        <w:t xml:space="preserve"> </w:t>
      </w:r>
      <w:r w:rsidR="00D9258C" w:rsidRPr="00FD6A6A">
        <w:t>which</w:t>
      </w:r>
      <w:r w:rsidR="00541D05">
        <w:t xml:space="preserve"> </w:t>
      </w:r>
      <w:r w:rsidR="00D9258C" w:rsidRPr="00FD6A6A">
        <w:t>the</w:t>
      </w:r>
      <w:r w:rsidR="00541D05">
        <w:t xml:space="preserve"> </w:t>
      </w:r>
      <w:r w:rsidR="00D9258C" w:rsidRPr="00FD6A6A">
        <w:t>country</w:t>
      </w:r>
      <w:r w:rsidR="00541D05">
        <w:t xml:space="preserve"> </w:t>
      </w:r>
      <w:r w:rsidR="00D9258C" w:rsidRPr="00FD6A6A">
        <w:t>is</w:t>
      </w:r>
      <w:r w:rsidR="00541D05">
        <w:t xml:space="preserve"> </w:t>
      </w:r>
      <w:r w:rsidR="00D9258C" w:rsidRPr="00FD6A6A">
        <w:t>a</w:t>
      </w:r>
      <w:r w:rsidR="00541D05">
        <w:t xml:space="preserve"> </w:t>
      </w:r>
      <w:r w:rsidR="00D9258C" w:rsidRPr="00FD6A6A">
        <w:t>signatory,</w:t>
      </w:r>
      <w:r w:rsidR="00541D05">
        <w:t xml:space="preserve"> </w:t>
      </w:r>
      <w:r w:rsidR="00D9258C" w:rsidRPr="00FD6A6A">
        <w:t>taking</w:t>
      </w:r>
      <w:r w:rsidR="00541D05">
        <w:t xml:space="preserve"> </w:t>
      </w:r>
      <w:r w:rsidR="00D9258C" w:rsidRPr="00FD6A6A">
        <w:t>into</w:t>
      </w:r>
      <w:r w:rsidR="00541D05">
        <w:t xml:space="preserve"> </w:t>
      </w:r>
      <w:r w:rsidR="00D9258C" w:rsidRPr="00FD6A6A">
        <w:t>account</w:t>
      </w:r>
      <w:r w:rsidR="00541D05">
        <w:t xml:space="preserve"> </w:t>
      </w:r>
      <w:r w:rsidR="00D9258C" w:rsidRPr="00FD6A6A">
        <w:t>the</w:t>
      </w:r>
      <w:r w:rsidR="00541D05">
        <w:t xml:space="preserve"> </w:t>
      </w:r>
      <w:r w:rsidR="00D9258C" w:rsidRPr="00FD6A6A">
        <w:t>legal</w:t>
      </w:r>
      <w:r w:rsidR="00541D05">
        <w:t xml:space="preserve"> </w:t>
      </w:r>
      <w:r w:rsidR="00D9258C" w:rsidRPr="00FD6A6A">
        <w:t>understanding</w:t>
      </w:r>
      <w:r w:rsidR="00541D05">
        <w:t xml:space="preserve"> </w:t>
      </w:r>
      <w:r w:rsidR="00D9258C" w:rsidRPr="00FD6A6A">
        <w:t>provided</w:t>
      </w:r>
      <w:r w:rsidR="00541D05">
        <w:t xml:space="preserve"> </w:t>
      </w:r>
      <w:r w:rsidR="00D9258C" w:rsidRPr="00FD6A6A">
        <w:t>by</w:t>
      </w:r>
      <w:r w:rsidR="00541D05">
        <w:t xml:space="preserve"> </w:t>
      </w:r>
      <w:r w:rsidR="00D9258C" w:rsidRPr="00FD6A6A">
        <w:t>the</w:t>
      </w:r>
      <w:r w:rsidR="00541D05">
        <w:t xml:space="preserve"> </w:t>
      </w:r>
      <w:r w:rsidR="00D9258C" w:rsidRPr="00FD6A6A">
        <w:t>STF.</w:t>
      </w:r>
    </w:p>
    <w:p w14:paraId="2F69B0F5" w14:textId="777473D7" w:rsidR="00D9258C" w:rsidRPr="00FD6A6A" w:rsidRDefault="00166390" w:rsidP="00166390">
      <w:pPr>
        <w:pStyle w:val="ParaNoG"/>
        <w:numPr>
          <w:ilvl w:val="0"/>
          <w:numId w:val="0"/>
        </w:numPr>
        <w:tabs>
          <w:tab w:val="left" w:pos="0"/>
        </w:tabs>
        <w:ind w:left="1134"/>
      </w:pPr>
      <w:r w:rsidRPr="00FD6A6A">
        <w:t>19.</w:t>
      </w:r>
      <w:r w:rsidRPr="00FD6A6A">
        <w:tab/>
      </w:r>
      <w:r w:rsidR="00D9258C" w:rsidRPr="00FD6A6A">
        <w:t>According</w:t>
      </w:r>
      <w:r w:rsidR="00541D05">
        <w:t xml:space="preserve"> </w:t>
      </w:r>
      <w:r w:rsidR="00D9258C" w:rsidRPr="00FD6A6A">
        <w:t>to</w:t>
      </w:r>
      <w:r w:rsidR="00541D05">
        <w:t xml:space="preserve"> </w:t>
      </w:r>
      <w:r w:rsidR="00D9258C" w:rsidRPr="00FD6A6A">
        <w:t>Article</w:t>
      </w:r>
      <w:r w:rsidR="00541D05">
        <w:t xml:space="preserve"> </w:t>
      </w:r>
      <w:r w:rsidR="00D9258C" w:rsidRPr="00FD6A6A">
        <w:t>3,</w:t>
      </w:r>
      <w:r w:rsidR="00541D05">
        <w:t xml:space="preserve"> </w:t>
      </w:r>
      <w:r w:rsidR="00D9258C" w:rsidRPr="00FD6A6A">
        <w:t>item</w:t>
      </w:r>
      <w:r w:rsidR="00541D05">
        <w:t xml:space="preserve"> </w:t>
      </w:r>
      <w:r w:rsidR="00D9258C" w:rsidRPr="00FD6A6A">
        <w:t>IV,</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(FC),</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well-being</w:t>
      </w:r>
      <w:r w:rsidR="00541D05">
        <w:t xml:space="preserve"> </w:t>
      </w:r>
      <w:r w:rsidR="00D9258C" w:rsidRPr="00FD6A6A">
        <w:t>to</w:t>
      </w:r>
      <w:r w:rsidR="00541D05">
        <w:t xml:space="preserve"> </w:t>
      </w:r>
      <w:r w:rsidR="00D9258C" w:rsidRPr="00FD6A6A">
        <w:t>all,</w:t>
      </w:r>
      <w:r w:rsidR="00541D05">
        <w:t xml:space="preserve"> </w:t>
      </w:r>
      <w:r w:rsidR="00D9258C" w:rsidRPr="00FD6A6A">
        <w:t>irrespective</w:t>
      </w:r>
      <w:r w:rsidR="00541D05">
        <w:t xml:space="preserve"> </w:t>
      </w:r>
      <w:r w:rsidR="00D9258C" w:rsidRPr="00FD6A6A">
        <w:t>of</w:t>
      </w:r>
      <w:r w:rsidR="00541D05">
        <w:t xml:space="preserve"> </w:t>
      </w:r>
      <w:r w:rsidR="00D9258C" w:rsidRPr="00FD6A6A">
        <w:t>nationality,</w:t>
      </w:r>
      <w:r w:rsidR="00541D05">
        <w:t xml:space="preserve"> </w:t>
      </w:r>
      <w:r w:rsidR="00D9258C" w:rsidRPr="00FD6A6A">
        <w:t>gender,</w:t>
      </w:r>
      <w:r w:rsidR="00541D05">
        <w:t xml:space="preserve"> </w:t>
      </w:r>
      <w:r w:rsidR="00D9258C" w:rsidRPr="00FD6A6A">
        <w:t>skin</w:t>
      </w:r>
      <w:r w:rsidR="00541D05">
        <w:t xml:space="preserve"> </w:t>
      </w:r>
      <w:r w:rsidR="00D9258C" w:rsidRPr="00FD6A6A">
        <w:t>tone,</w:t>
      </w:r>
      <w:r w:rsidR="00541D05">
        <w:t xml:space="preserve"> </w:t>
      </w:r>
      <w:r w:rsidR="00D9258C" w:rsidRPr="00FD6A6A">
        <w:t>and</w:t>
      </w:r>
      <w:r w:rsidR="00541D05">
        <w:t xml:space="preserve"> </w:t>
      </w:r>
      <w:r w:rsidR="00D9258C" w:rsidRPr="00FD6A6A">
        <w:t>age</w:t>
      </w:r>
      <w:r w:rsidR="00541D05">
        <w:t xml:space="preserve"> </w:t>
      </w:r>
      <w:r w:rsidR="00D9258C" w:rsidRPr="00FD6A6A">
        <w:t>and</w:t>
      </w:r>
      <w:r w:rsidR="00541D05">
        <w:t xml:space="preserve"> </w:t>
      </w:r>
      <w:r w:rsidR="00D9258C" w:rsidRPr="00FD6A6A">
        <w:t>any</w:t>
      </w:r>
      <w:r w:rsidR="00541D05">
        <w:t xml:space="preserve"> </w:t>
      </w:r>
      <w:r w:rsidR="00D9258C" w:rsidRPr="00FD6A6A">
        <w:t>other</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are</w:t>
      </w:r>
      <w:r w:rsidR="00541D05">
        <w:t xml:space="preserve"> </w:t>
      </w:r>
      <w:r w:rsidR="00D9258C" w:rsidRPr="00FD6A6A">
        <w:t>fundamental</w:t>
      </w:r>
      <w:r w:rsidR="00541D05">
        <w:t xml:space="preserve"> </w:t>
      </w:r>
      <w:r w:rsidR="00D9258C" w:rsidRPr="00FD6A6A">
        <w:t>goals</w:t>
      </w:r>
      <w:r w:rsidR="00541D05">
        <w:t xml:space="preserve"> </w:t>
      </w:r>
      <w:r w:rsidR="00D9258C" w:rsidRPr="00FD6A6A">
        <w:t>of</w:t>
      </w:r>
      <w:r w:rsidR="00541D05">
        <w:t xml:space="preserve"> </w:t>
      </w:r>
      <w:r w:rsidR="00D9258C" w:rsidRPr="00FD6A6A">
        <w:t>the</w:t>
      </w:r>
      <w:r w:rsidR="00541D05">
        <w:t xml:space="preserve"> </w:t>
      </w:r>
      <w:r w:rsidR="00D9258C" w:rsidRPr="00FD6A6A">
        <w:t>Federative</w:t>
      </w:r>
      <w:r w:rsidR="00541D05">
        <w:t xml:space="preserve"> </w:t>
      </w:r>
      <w:r w:rsidR="00D9258C" w:rsidRPr="00FD6A6A">
        <w:t>Republic</w:t>
      </w:r>
      <w:r w:rsidR="00541D05">
        <w:t xml:space="preserve"> </w:t>
      </w:r>
      <w:r w:rsidR="00D9258C" w:rsidRPr="00FD6A6A">
        <w:t>of</w:t>
      </w:r>
      <w:r w:rsidR="00541D05">
        <w:t xml:space="preserve"> </w:t>
      </w:r>
      <w:r w:rsidR="00D9258C" w:rsidRPr="00FD6A6A">
        <w:t>Brazil.</w:t>
      </w:r>
      <w:r w:rsidR="00541D05">
        <w:t xml:space="preserve"> </w:t>
      </w:r>
      <w:r w:rsidR="00D9258C" w:rsidRPr="00FD6A6A">
        <w:t>Pursuant</w:t>
      </w:r>
      <w:r w:rsidR="00541D05">
        <w:t xml:space="preserve"> </w:t>
      </w:r>
      <w:r w:rsidR="00D9258C" w:rsidRPr="00FD6A6A">
        <w:t>to</w:t>
      </w:r>
      <w:r w:rsidR="00541D05">
        <w:t xml:space="preserve"> </w:t>
      </w:r>
      <w:r w:rsidR="00D9258C" w:rsidRPr="00FD6A6A">
        <w:t>Art.</w:t>
      </w:r>
      <w:r w:rsidR="00541D05">
        <w:t xml:space="preserve"> </w:t>
      </w:r>
      <w:r w:rsidR="00D9258C" w:rsidRPr="00FD6A6A">
        <w:t>3,</w:t>
      </w:r>
      <w:r w:rsidR="00541D05">
        <w:t xml:space="preserve"> </w:t>
      </w:r>
      <w:r w:rsidR="00D9258C" w:rsidRPr="00FD6A6A">
        <w:t>art.</w:t>
      </w:r>
      <w:r w:rsidR="00541D05">
        <w:t xml:space="preserve"> </w:t>
      </w:r>
      <w:r w:rsidR="00D9258C" w:rsidRPr="00FD6A6A">
        <w:t>5</w:t>
      </w:r>
      <w:r w:rsidR="00541D05">
        <w:t xml:space="preserve"> </w:t>
      </w:r>
      <w:r w:rsidR="00D9258C" w:rsidRPr="00FD6A6A">
        <w:t>of</w:t>
      </w:r>
      <w:r w:rsidR="00541D05">
        <w:t xml:space="preserve"> </w:t>
      </w:r>
      <w:r w:rsidR="00D9258C" w:rsidRPr="00FD6A6A">
        <w:t>the</w:t>
      </w:r>
      <w:r w:rsidR="00541D05">
        <w:t xml:space="preserve"> </w:t>
      </w:r>
      <w:r w:rsidR="00D9258C" w:rsidRPr="00FD6A6A">
        <w:t>Constitution,</w:t>
      </w:r>
      <w:r w:rsidR="00541D05">
        <w:t xml:space="preserve"> </w:t>
      </w:r>
      <w:r w:rsidR="00D9258C" w:rsidRPr="00FD6A6A">
        <w:t>all</w:t>
      </w:r>
      <w:r w:rsidR="00541D05">
        <w:t xml:space="preserve"> </w:t>
      </w:r>
      <w:r w:rsidR="00D9258C" w:rsidRPr="00FD6A6A">
        <w:t>individuals</w:t>
      </w:r>
      <w:r w:rsidR="00541D05">
        <w:t xml:space="preserve"> </w:t>
      </w:r>
      <w:r w:rsidR="00D9258C" w:rsidRPr="00FD6A6A">
        <w:t>are</w:t>
      </w:r>
      <w:r w:rsidR="00541D05">
        <w:t xml:space="preserve"> </w:t>
      </w:r>
      <w:r w:rsidR="00D9258C" w:rsidRPr="00FD6A6A">
        <w:t>equal</w:t>
      </w:r>
      <w:r w:rsidR="00541D05">
        <w:t xml:space="preserve"> </w:t>
      </w:r>
      <w:r w:rsidR="00D9258C" w:rsidRPr="00FD6A6A">
        <w:t>before</w:t>
      </w:r>
      <w:r w:rsidR="00541D05">
        <w:t xml:space="preserve"> </w:t>
      </w:r>
      <w:r w:rsidR="00D9258C" w:rsidRPr="00FD6A6A">
        <w:t>the</w:t>
      </w:r>
      <w:r w:rsidR="00541D05">
        <w:t xml:space="preserve"> </w:t>
      </w:r>
      <w:r w:rsidR="00D9258C" w:rsidRPr="00FD6A6A">
        <w:t>law,</w:t>
      </w:r>
      <w:r w:rsidR="00541D05">
        <w:t xml:space="preserve"> </w:t>
      </w:r>
      <w:r w:rsidR="00D9258C" w:rsidRPr="00FD6A6A">
        <w:t>without</w:t>
      </w:r>
      <w:r w:rsidR="00541D05">
        <w:t xml:space="preserve"> </w:t>
      </w:r>
      <w:r w:rsidR="00D9258C" w:rsidRPr="00FD6A6A">
        <w:t>distinction</w:t>
      </w:r>
      <w:r w:rsidR="00541D05">
        <w:t xml:space="preserve"> </w:t>
      </w:r>
      <w:r w:rsidR="00D9258C" w:rsidRPr="00FD6A6A">
        <w:t>between</w:t>
      </w:r>
      <w:r w:rsidR="00541D05">
        <w:t xml:space="preserve"> </w:t>
      </w:r>
      <w:r w:rsidR="00D9258C" w:rsidRPr="00FD6A6A">
        <w:t>Brazilians</w:t>
      </w:r>
      <w:r w:rsidR="00541D05">
        <w:t xml:space="preserve"> </w:t>
      </w:r>
      <w:r w:rsidR="00D9258C" w:rsidRPr="00FD6A6A">
        <w:t>and</w:t>
      </w:r>
      <w:r w:rsidR="00541D05">
        <w:t xml:space="preserve"> </w:t>
      </w:r>
      <w:r w:rsidR="00D9258C" w:rsidRPr="00FD6A6A">
        <w:t>foreigners</w:t>
      </w:r>
      <w:r w:rsidR="00541D05">
        <w:t xml:space="preserve"> </w:t>
      </w:r>
      <w:r w:rsidR="00D9258C" w:rsidRPr="00FD6A6A">
        <w:t>living</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guaranteeing</w:t>
      </w:r>
      <w:r w:rsidR="00541D05">
        <w:t xml:space="preserve"> </w:t>
      </w:r>
      <w:r w:rsidR="00D9258C" w:rsidRPr="00FD6A6A">
        <w:t>the</w:t>
      </w:r>
      <w:r w:rsidR="00541D05">
        <w:t xml:space="preserve"> </w:t>
      </w:r>
      <w:r w:rsidR="00D9258C" w:rsidRPr="00FD6A6A">
        <w:t>inviolability</w:t>
      </w:r>
      <w:r w:rsidR="00541D05">
        <w:t xml:space="preserve"> </w:t>
      </w:r>
      <w:r w:rsidR="00D9258C" w:rsidRPr="00FD6A6A">
        <w:t>of</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life,</w:t>
      </w:r>
      <w:r w:rsidR="00541D05">
        <w:t xml:space="preserve"> </w:t>
      </w:r>
      <w:r w:rsidR="00D9258C" w:rsidRPr="00FD6A6A">
        <w:t>freedom,</w:t>
      </w:r>
      <w:r w:rsidR="00541D05">
        <w:t xml:space="preserve"> </w:t>
      </w:r>
      <w:r w:rsidR="00D9258C" w:rsidRPr="00FD6A6A">
        <w:t>security,</w:t>
      </w:r>
      <w:r w:rsidR="00541D05">
        <w:t xml:space="preserve"> </w:t>
      </w:r>
      <w:r w:rsidR="00D9258C" w:rsidRPr="00FD6A6A">
        <w:t>and</w:t>
      </w:r>
      <w:r w:rsidR="00541D05">
        <w:t xml:space="preserve"> </w:t>
      </w:r>
      <w:r w:rsidR="00D9258C" w:rsidRPr="00FD6A6A">
        <w:t>property.</w:t>
      </w:r>
      <w:r w:rsidR="00541D05">
        <w:t xml:space="preserve"> </w:t>
      </w:r>
      <w:r w:rsidR="00D9258C" w:rsidRPr="00FD6A6A">
        <w:t>Article</w:t>
      </w:r>
      <w:r w:rsidR="00541D05">
        <w:t xml:space="preserve"> </w:t>
      </w:r>
      <w:r w:rsidR="00D9258C" w:rsidRPr="00FD6A6A">
        <w:t>5,</w:t>
      </w:r>
      <w:r w:rsidR="00541D05">
        <w:t xml:space="preserve"> </w:t>
      </w:r>
      <w:r w:rsidR="00D9258C" w:rsidRPr="00FD6A6A">
        <w:t>sub-item</w:t>
      </w:r>
      <w:r w:rsidR="00541D05">
        <w:t xml:space="preserve"> </w:t>
      </w:r>
      <w:r w:rsidR="00D9258C" w:rsidRPr="00FD6A6A">
        <w:t>I,</w:t>
      </w:r>
      <w:r w:rsidR="00541D05">
        <w:t xml:space="preserve"> </w:t>
      </w:r>
      <w:r w:rsidR="00D9258C" w:rsidRPr="00FD6A6A">
        <w:t>clarifies</w:t>
      </w:r>
      <w:r w:rsidR="00541D05">
        <w:t xml:space="preserve"> </w:t>
      </w:r>
      <w:r w:rsidR="00D9258C" w:rsidRPr="00FD6A6A">
        <w:t>that</w:t>
      </w:r>
      <w:r w:rsidR="00541D05">
        <w:t xml:space="preserve"> </w:t>
      </w:r>
      <w:r w:rsidR="00D9258C" w:rsidRPr="00FD6A6A">
        <w:t>men</w:t>
      </w:r>
      <w:r w:rsidR="00541D05">
        <w:t xml:space="preserve"> </w:t>
      </w:r>
      <w:r w:rsidR="00D9258C" w:rsidRPr="00FD6A6A">
        <w:t>and</w:t>
      </w:r>
      <w:r w:rsidR="00541D05">
        <w:t xml:space="preserve"> </w:t>
      </w:r>
      <w:r w:rsidR="00D9258C" w:rsidRPr="00FD6A6A">
        <w:t>women</w:t>
      </w:r>
      <w:r w:rsidR="00541D05">
        <w:t xml:space="preserve"> </w:t>
      </w:r>
      <w:r w:rsidR="00D9258C" w:rsidRPr="00FD6A6A">
        <w:t>have</w:t>
      </w:r>
      <w:r w:rsidR="00541D05">
        <w:t xml:space="preserve"> </w:t>
      </w:r>
      <w:r w:rsidR="00D9258C" w:rsidRPr="00FD6A6A">
        <w:t>equal</w:t>
      </w:r>
      <w:r w:rsidR="00541D05">
        <w:t xml:space="preserve"> </w:t>
      </w:r>
      <w:r w:rsidR="00D9258C" w:rsidRPr="00FD6A6A">
        <w:t>rights</w:t>
      </w:r>
      <w:r w:rsidR="00541D05">
        <w:t xml:space="preserve"> </w:t>
      </w:r>
      <w:r w:rsidR="00D9258C" w:rsidRPr="00FD6A6A">
        <w:t>and</w:t>
      </w:r>
      <w:r w:rsidR="00541D05">
        <w:t xml:space="preserve"> </w:t>
      </w:r>
      <w:r w:rsidR="00D9258C" w:rsidRPr="00FD6A6A">
        <w:t>obligations.</w:t>
      </w:r>
      <w:r w:rsidR="00541D05">
        <w:t xml:space="preserve"> </w:t>
      </w:r>
      <w:r w:rsidR="00D9258C" w:rsidRPr="00FD6A6A">
        <w:t>Article</w:t>
      </w:r>
      <w:r w:rsidR="00541D05">
        <w:t xml:space="preserve"> </w:t>
      </w:r>
      <w:r w:rsidR="00D9258C" w:rsidRPr="00FD6A6A">
        <w:t>7,</w:t>
      </w:r>
      <w:r w:rsidR="00541D05">
        <w:t xml:space="preserve"> </w:t>
      </w:r>
      <w:r w:rsidR="00D9258C" w:rsidRPr="00FD6A6A">
        <w:t>XLII</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D9258C" w:rsidRPr="00FD6A6A">
        <w:t>racism</w:t>
      </w:r>
      <w:r w:rsidR="00541D05">
        <w:t xml:space="preserve"> </w:t>
      </w:r>
      <w:r w:rsidR="00D9258C" w:rsidRPr="00FD6A6A">
        <w:t>is</w:t>
      </w:r>
      <w:r w:rsidR="00541D05">
        <w:t xml:space="preserve"> </w:t>
      </w:r>
      <w:r w:rsidR="00D9258C" w:rsidRPr="00FD6A6A">
        <w:t>a</w:t>
      </w:r>
      <w:r w:rsidR="00541D05">
        <w:t xml:space="preserve"> </w:t>
      </w:r>
      <w:r w:rsidR="00D9258C" w:rsidRPr="00FD6A6A">
        <w:t>non-bailable,</w:t>
      </w:r>
      <w:r w:rsidR="00541D05">
        <w:t xml:space="preserve"> </w:t>
      </w:r>
      <w:r w:rsidR="00D9258C" w:rsidRPr="00FD6A6A">
        <w:t>imprescriptible</w:t>
      </w:r>
      <w:r w:rsidR="00541D05">
        <w:t xml:space="preserve"> </w:t>
      </w:r>
      <w:r w:rsidR="00D9258C" w:rsidRPr="00FD6A6A">
        <w:t>crime,</w:t>
      </w:r>
      <w:r w:rsidR="00541D05">
        <w:t xml:space="preserve"> </w:t>
      </w:r>
      <w:r w:rsidR="00D9258C" w:rsidRPr="00FD6A6A">
        <w:t>subject</w:t>
      </w:r>
      <w:r w:rsidR="00541D05">
        <w:t xml:space="preserve"> </w:t>
      </w:r>
      <w:r w:rsidR="00D9258C" w:rsidRPr="00FD6A6A">
        <w:t>to</w:t>
      </w:r>
      <w:r w:rsidR="00541D05">
        <w:t xml:space="preserve"> </w:t>
      </w:r>
      <w:r w:rsidR="00D9258C" w:rsidRPr="00FD6A6A">
        <w:t>confinement</w:t>
      </w:r>
      <w:r w:rsidR="00541D05">
        <w:t xml:space="preserve"> </w:t>
      </w:r>
      <w:r w:rsidR="00D9258C" w:rsidRPr="00FD6A6A">
        <w:t>as</w:t>
      </w:r>
      <w:r w:rsidR="00541D05">
        <w:t xml:space="preserve"> </w:t>
      </w:r>
      <w:r w:rsidR="00D9258C" w:rsidRPr="00FD6A6A">
        <w:t>provided</w:t>
      </w:r>
      <w:r w:rsidR="00541D05">
        <w:t xml:space="preserve"> </w:t>
      </w:r>
      <w:r w:rsidR="00D9258C" w:rsidRPr="00FD6A6A">
        <w:t>by</w:t>
      </w:r>
      <w:r w:rsidR="00541D05">
        <w:t xml:space="preserve"> </w:t>
      </w:r>
      <w:r w:rsidR="00D9258C" w:rsidRPr="00FD6A6A">
        <w:t>law.</w:t>
      </w:r>
    </w:p>
    <w:p w14:paraId="04B66DBD" w14:textId="65793F0B" w:rsidR="00D9258C" w:rsidRPr="00FD6A6A" w:rsidRDefault="00166390" w:rsidP="00166390">
      <w:pPr>
        <w:pStyle w:val="ParaNoG"/>
        <w:numPr>
          <w:ilvl w:val="0"/>
          <w:numId w:val="0"/>
        </w:numPr>
        <w:tabs>
          <w:tab w:val="left" w:pos="0"/>
        </w:tabs>
        <w:ind w:left="1134"/>
      </w:pPr>
      <w:r w:rsidRPr="00FD6A6A">
        <w:t>20.</w:t>
      </w:r>
      <w:r w:rsidRPr="00FD6A6A">
        <w:tab/>
      </w:r>
      <w:r w:rsidR="00D9258C" w:rsidRPr="00FD6A6A">
        <w:t>Article</w:t>
      </w:r>
      <w:r w:rsidR="00541D05">
        <w:t xml:space="preserve"> </w:t>
      </w:r>
      <w:r w:rsidR="00D9258C" w:rsidRPr="00FD6A6A">
        <w:t>5</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in</w:t>
      </w:r>
      <w:r w:rsidR="00541D05">
        <w:t xml:space="preserve"> </w:t>
      </w:r>
      <w:r w:rsidR="00D9258C" w:rsidRPr="00FD6A6A">
        <w:t>sub-items</w:t>
      </w:r>
      <w:r w:rsidR="00541D05">
        <w:t xml:space="preserve"> </w:t>
      </w:r>
      <w:r w:rsidR="00D9258C" w:rsidRPr="00FD6A6A">
        <w:t>XLI</w:t>
      </w:r>
      <w:r w:rsidR="00541D05">
        <w:t xml:space="preserve"> </w:t>
      </w:r>
      <w:r w:rsidR="00D9258C" w:rsidRPr="00FD6A6A">
        <w:t>and</w:t>
      </w:r>
      <w:r w:rsidR="00541D05">
        <w:t xml:space="preserve"> </w:t>
      </w:r>
      <w:r w:rsidR="00D9258C" w:rsidRPr="00FD6A6A">
        <w:t>XLII,</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D9258C" w:rsidRPr="00FD6A6A">
        <w:t>the</w:t>
      </w:r>
      <w:r w:rsidR="00541D05">
        <w:t xml:space="preserve"> </w:t>
      </w:r>
      <w:r w:rsidR="00D9258C" w:rsidRPr="00FD6A6A">
        <w:t>law</w:t>
      </w:r>
      <w:r w:rsidR="00541D05">
        <w:t xml:space="preserve"> </w:t>
      </w:r>
      <w:r w:rsidR="00D9258C" w:rsidRPr="00FD6A6A">
        <w:t>shall</w:t>
      </w:r>
      <w:r w:rsidR="00541D05">
        <w:t xml:space="preserve"> </w:t>
      </w:r>
      <w:r w:rsidR="00D9258C" w:rsidRPr="00FD6A6A">
        <w:t>punish</w:t>
      </w:r>
      <w:r w:rsidR="00541D05">
        <w:t xml:space="preserve"> </w:t>
      </w:r>
      <w:r w:rsidR="00D9258C" w:rsidRPr="00FD6A6A">
        <w:t>any</w:t>
      </w:r>
      <w:r w:rsidR="00541D05">
        <w:t xml:space="preserve"> </w:t>
      </w:r>
      <w:r w:rsidR="00D9258C" w:rsidRPr="00FD6A6A">
        <w:t>discrimination</w:t>
      </w:r>
      <w:r w:rsidR="00541D05">
        <w:t xml:space="preserve"> </w:t>
      </w:r>
      <w:r w:rsidR="00D9258C" w:rsidRPr="00FD6A6A">
        <w:t>that</w:t>
      </w:r>
      <w:r w:rsidR="00541D05">
        <w:t xml:space="preserve"> </w:t>
      </w:r>
      <w:r w:rsidR="00D9258C" w:rsidRPr="00FD6A6A">
        <w:t>violates</w:t>
      </w:r>
      <w:r w:rsidR="00541D05">
        <w:t xml:space="preserve"> </w:t>
      </w:r>
      <w:r w:rsidR="00D9258C" w:rsidRPr="00FD6A6A">
        <w:t>fundamental</w:t>
      </w:r>
      <w:r w:rsidR="00541D05">
        <w:t xml:space="preserve"> </w:t>
      </w:r>
      <w:r w:rsidR="00D9258C" w:rsidRPr="00FD6A6A">
        <w:t>rights</w:t>
      </w:r>
      <w:r w:rsidR="00541D05">
        <w:t xml:space="preserve"> </w:t>
      </w:r>
      <w:r w:rsidR="00D9258C" w:rsidRPr="00FD6A6A">
        <w:t>and</w:t>
      </w:r>
      <w:r w:rsidR="00541D05">
        <w:t xml:space="preserve"> </w:t>
      </w:r>
      <w:r w:rsidR="00D9258C" w:rsidRPr="00FD6A6A">
        <w:t>freedoms,</w:t>
      </w:r>
      <w:r w:rsidR="00541D05">
        <w:t xml:space="preserve"> </w:t>
      </w:r>
      <w:r w:rsidR="00D9258C" w:rsidRPr="00FD6A6A">
        <w:t>and</w:t>
      </w:r>
      <w:r w:rsidR="00541D05">
        <w:t xml:space="preserve"> </w:t>
      </w:r>
      <w:r w:rsidR="00D9258C" w:rsidRPr="00FD6A6A">
        <w:t>that</w:t>
      </w:r>
      <w:r w:rsidR="00541D05">
        <w:t xml:space="preserve"> </w:t>
      </w:r>
      <w:r w:rsidR="00D9258C" w:rsidRPr="00FD6A6A">
        <w:t>racism</w:t>
      </w:r>
      <w:r w:rsidR="00541D05">
        <w:t xml:space="preserve"> </w:t>
      </w:r>
      <w:r w:rsidR="00D9258C" w:rsidRPr="00FD6A6A">
        <w:t>is</w:t>
      </w:r>
      <w:r w:rsidR="00541D05">
        <w:t xml:space="preserve"> </w:t>
      </w:r>
      <w:r w:rsidR="00D9258C" w:rsidRPr="00FD6A6A">
        <w:t>a</w:t>
      </w:r>
      <w:r w:rsidR="00541D05">
        <w:t xml:space="preserve"> </w:t>
      </w:r>
      <w:r w:rsidR="00D9258C" w:rsidRPr="00FD6A6A">
        <w:t>non-bailable,</w:t>
      </w:r>
      <w:r w:rsidR="00541D05">
        <w:t xml:space="preserve"> </w:t>
      </w:r>
      <w:r w:rsidR="00D9258C" w:rsidRPr="00FD6A6A">
        <w:t>imprescriptible</w:t>
      </w:r>
      <w:r w:rsidR="00541D05">
        <w:t xml:space="preserve"> </w:t>
      </w:r>
      <w:r w:rsidR="00D9258C" w:rsidRPr="00FD6A6A">
        <w:t>crime,</w:t>
      </w:r>
      <w:r w:rsidR="00541D05">
        <w:t xml:space="preserve"> </w:t>
      </w:r>
      <w:r w:rsidR="00D9258C" w:rsidRPr="00FD6A6A">
        <w:t>which</w:t>
      </w:r>
      <w:r w:rsidR="00541D05">
        <w:t xml:space="preserve"> </w:t>
      </w:r>
      <w:r w:rsidR="00D9258C" w:rsidRPr="00FD6A6A">
        <w:t>the</w:t>
      </w:r>
      <w:r w:rsidR="00541D05">
        <w:t xml:space="preserve"> </w:t>
      </w:r>
      <w:r w:rsidR="00D9258C" w:rsidRPr="00FD6A6A">
        <w:t>offender</w:t>
      </w:r>
      <w:r w:rsidR="00541D05">
        <w:t xml:space="preserve"> </w:t>
      </w:r>
      <w:r w:rsidR="00D9258C" w:rsidRPr="00FD6A6A">
        <w:t>is</w:t>
      </w:r>
      <w:r w:rsidR="00541D05">
        <w:t xml:space="preserve"> </w:t>
      </w:r>
      <w:r w:rsidR="00D9258C" w:rsidRPr="00FD6A6A">
        <w:t>subject</w:t>
      </w:r>
      <w:r w:rsidR="00541D05">
        <w:t xml:space="preserve"> </w:t>
      </w:r>
      <w:r w:rsidR="00D9258C" w:rsidRPr="00FD6A6A">
        <w:t>to</w:t>
      </w:r>
      <w:r w:rsidR="00541D05">
        <w:t xml:space="preserve"> </w:t>
      </w:r>
      <w:r w:rsidR="00D9258C" w:rsidRPr="00FD6A6A">
        <w:t>confinement.</w:t>
      </w:r>
      <w:r w:rsidR="00541D05">
        <w:t xml:space="preserve"> </w:t>
      </w:r>
      <w:r w:rsidR="00D9258C" w:rsidRPr="00FD6A6A">
        <w:t>The</w:t>
      </w:r>
      <w:r w:rsidR="00541D05">
        <w:t xml:space="preserve"> </w:t>
      </w:r>
      <w:r w:rsidR="00D9258C" w:rsidRPr="00FD6A6A">
        <w:t>existence</w:t>
      </w:r>
      <w:r w:rsidR="00541D05">
        <w:t xml:space="preserve"> </w:t>
      </w:r>
      <w:r w:rsidR="00D9258C" w:rsidRPr="00FD6A6A">
        <w:t>of</w:t>
      </w:r>
      <w:r w:rsidR="00541D05">
        <w:t xml:space="preserve"> </w:t>
      </w:r>
      <w:r w:rsidR="00D9258C" w:rsidRPr="00FD6A6A">
        <w:t>such</w:t>
      </w:r>
      <w:r w:rsidR="00541D05">
        <w:t xml:space="preserve"> </w:t>
      </w:r>
      <w:r w:rsidR="00D9258C" w:rsidRPr="00FD6A6A">
        <w:t>constitutional</w:t>
      </w:r>
      <w:r w:rsidR="00541D05">
        <w:t xml:space="preserve"> </w:t>
      </w:r>
      <w:r w:rsidR="00D9258C" w:rsidRPr="00FD6A6A">
        <w:t>provisions</w:t>
      </w:r>
      <w:r w:rsidR="00541D05">
        <w:t xml:space="preserve"> </w:t>
      </w:r>
      <w:r w:rsidR="00D9258C" w:rsidRPr="00FD6A6A">
        <w:t>acknowledges</w:t>
      </w:r>
      <w:r w:rsidR="00541D05">
        <w:t xml:space="preserve"> </w:t>
      </w:r>
      <w:r w:rsidR="00D9258C" w:rsidRPr="00FD6A6A">
        <w:t>that</w:t>
      </w:r>
      <w:r w:rsidR="00541D05">
        <w:t xml:space="preserve"> </w:t>
      </w:r>
      <w:r w:rsidR="00D9258C" w:rsidRPr="00FD6A6A">
        <w:t>racism</w:t>
      </w:r>
      <w:r w:rsidR="00541D05">
        <w:t xml:space="preserve"> </w:t>
      </w:r>
      <w:r w:rsidR="00D9258C" w:rsidRPr="00FD6A6A">
        <w:t>is</w:t>
      </w:r>
      <w:r w:rsidR="00541D05">
        <w:t xml:space="preserve"> </w:t>
      </w:r>
      <w:r w:rsidR="00D9258C" w:rsidRPr="00FD6A6A">
        <w:t>a</w:t>
      </w:r>
      <w:r w:rsidR="00541D05">
        <w:t xml:space="preserve"> </w:t>
      </w:r>
      <w:r w:rsidR="00D9258C" w:rsidRPr="00FD6A6A">
        <w:t>component</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social,</w:t>
      </w:r>
      <w:r w:rsidR="00541D05">
        <w:t xml:space="preserve"> </w:t>
      </w:r>
      <w:r w:rsidR="00D9258C" w:rsidRPr="00FD6A6A">
        <w:t>political,</w:t>
      </w:r>
      <w:r w:rsidR="00541D05">
        <w:t xml:space="preserve"> </w:t>
      </w:r>
      <w:r w:rsidR="00D9258C" w:rsidRPr="00FD6A6A">
        <w:t>and</w:t>
      </w:r>
      <w:r w:rsidR="00541D05">
        <w:t xml:space="preserve"> </w:t>
      </w:r>
      <w:r w:rsidR="00D9258C" w:rsidRPr="00FD6A6A">
        <w:t>economic</w:t>
      </w:r>
      <w:r w:rsidR="00541D05">
        <w:t xml:space="preserve"> </w:t>
      </w:r>
      <w:r w:rsidR="00D9258C" w:rsidRPr="00FD6A6A">
        <w:t>order,</w:t>
      </w:r>
      <w:r w:rsidR="00541D05">
        <w:t xml:space="preserve"> </w:t>
      </w:r>
      <w:r w:rsidR="00D9258C" w:rsidRPr="00FD6A6A">
        <w:t>that</w:t>
      </w:r>
      <w:r w:rsidR="00541D05">
        <w:t xml:space="preserve"> </w:t>
      </w:r>
      <w:r w:rsidR="00D9258C" w:rsidRPr="00FD6A6A">
        <w:t>needs</w:t>
      </w:r>
      <w:r w:rsidR="00541D05">
        <w:t xml:space="preserve"> </w:t>
      </w:r>
      <w:r w:rsidR="00D9258C" w:rsidRPr="00FD6A6A">
        <w:t>to</w:t>
      </w:r>
      <w:r w:rsidR="00541D05">
        <w:t xml:space="preserve"> </w:t>
      </w:r>
      <w:r w:rsidR="00D9258C" w:rsidRPr="00FD6A6A">
        <w:t>be</w:t>
      </w:r>
      <w:r w:rsidR="00541D05">
        <w:t xml:space="preserve"> </w:t>
      </w:r>
      <w:r w:rsidR="00D9258C" w:rsidRPr="00FD6A6A">
        <w:t>faced</w:t>
      </w:r>
      <w:r w:rsidR="00541D05">
        <w:t xml:space="preserve"> </w:t>
      </w:r>
      <w:r w:rsidR="00D9258C" w:rsidRPr="00FD6A6A">
        <w:t>by</w:t>
      </w:r>
      <w:r w:rsidR="00541D05">
        <w:t xml:space="preserve"> </w:t>
      </w:r>
      <w:r w:rsidR="00D9258C" w:rsidRPr="00FD6A6A">
        <w:t>public</w:t>
      </w:r>
      <w:r w:rsidR="00541D05">
        <w:t xml:space="preserve"> </w:t>
      </w:r>
      <w:r w:rsidR="00D9258C" w:rsidRPr="00FD6A6A">
        <w:t>authorities.</w:t>
      </w:r>
    </w:p>
    <w:p w14:paraId="659CB11E" w14:textId="42DAF86D" w:rsidR="00D9258C" w:rsidRPr="00FD6A6A" w:rsidRDefault="00166390" w:rsidP="00166390">
      <w:pPr>
        <w:pStyle w:val="ParaNoG"/>
        <w:numPr>
          <w:ilvl w:val="0"/>
          <w:numId w:val="0"/>
        </w:numPr>
        <w:tabs>
          <w:tab w:val="left" w:pos="0"/>
        </w:tabs>
        <w:ind w:left="1134"/>
      </w:pPr>
      <w:r w:rsidRPr="00FD6A6A">
        <w:t>21.</w:t>
      </w:r>
      <w:r w:rsidRPr="00FD6A6A">
        <w:tab/>
      </w:r>
      <w:r w:rsidR="00D9258C" w:rsidRPr="00FD6A6A">
        <w:t>These</w:t>
      </w:r>
      <w:r w:rsidR="00541D05">
        <w:t xml:space="preserve"> </w:t>
      </w:r>
      <w:r w:rsidR="00D9258C" w:rsidRPr="00FD6A6A">
        <w:t>provisions</w:t>
      </w:r>
      <w:r w:rsidR="00541D05">
        <w:t xml:space="preserve"> </w:t>
      </w:r>
      <w:r w:rsidR="00D9258C" w:rsidRPr="00FD6A6A">
        <w:t>provide</w:t>
      </w:r>
      <w:r w:rsidR="00541D05">
        <w:t xml:space="preserve"> </w:t>
      </w:r>
      <w:r w:rsidR="00D9258C" w:rsidRPr="00FD6A6A">
        <w:t>guidance</w:t>
      </w:r>
      <w:r w:rsidR="00541D05">
        <w:t xml:space="preserve"> </w:t>
      </w:r>
      <w:r w:rsidR="00D9258C" w:rsidRPr="00FD6A6A">
        <w:t>to</w:t>
      </w:r>
      <w:r w:rsidR="00541D05">
        <w:t xml:space="preserve"> </w:t>
      </w:r>
      <w:r w:rsidR="00D9258C" w:rsidRPr="00FD6A6A">
        <w:t>all</w:t>
      </w:r>
      <w:r w:rsidR="00541D05">
        <w:t xml:space="preserve"> </w:t>
      </w:r>
      <w:r w:rsidR="00D9258C" w:rsidRPr="00FD6A6A">
        <w:t>ordinary</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in</w:t>
      </w:r>
      <w:r w:rsidR="00541D05">
        <w:t xml:space="preserve"> </w:t>
      </w:r>
      <w:r w:rsidR="00D9258C" w:rsidRPr="00FD6A6A">
        <w:t>force</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Regarding</w:t>
      </w:r>
      <w:r w:rsidR="00541D05">
        <w:t xml:space="preserve"> </w:t>
      </w:r>
      <w:r w:rsidR="00D9258C" w:rsidRPr="00FD6A6A">
        <w:t>the</w:t>
      </w:r>
      <w:r w:rsidR="00541D05">
        <w:t xml:space="preserve"> </w:t>
      </w:r>
      <w:r w:rsidR="00D9258C" w:rsidRPr="00FD6A6A">
        <w:t>job</w:t>
      </w:r>
      <w:r w:rsidR="00541D05">
        <w:t xml:space="preserve"> </w:t>
      </w:r>
      <w:r w:rsidR="00D9258C" w:rsidRPr="00FD6A6A">
        <w:t>market,</w:t>
      </w:r>
      <w:r w:rsidR="00541D05">
        <w:t xml:space="preserve"> </w:t>
      </w:r>
      <w:r w:rsidR="00D9258C" w:rsidRPr="00FD6A6A">
        <w:t>Law</w:t>
      </w:r>
      <w:r w:rsidR="00541D05">
        <w:t xml:space="preserve"> </w:t>
      </w:r>
      <w:r w:rsidR="00D9258C" w:rsidRPr="00FD6A6A">
        <w:t>No.</w:t>
      </w:r>
      <w:r w:rsidR="00541D05">
        <w:t xml:space="preserve"> </w:t>
      </w:r>
      <w:r w:rsidR="00D9258C" w:rsidRPr="00FD6A6A">
        <w:t>9,029/1995</w:t>
      </w:r>
      <w:r w:rsidR="00541D05">
        <w:t xml:space="preserve"> </w:t>
      </w:r>
      <w:r w:rsidR="00D9258C" w:rsidRPr="00FD6A6A">
        <w:t>expressly</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EA62F1">
        <w:t>“</w:t>
      </w:r>
      <w:r w:rsidR="00D9258C" w:rsidRPr="00FD6A6A">
        <w:t>it</w:t>
      </w:r>
      <w:r w:rsidR="00541D05">
        <w:t xml:space="preserve"> </w:t>
      </w:r>
      <w:r w:rsidR="00D9258C" w:rsidRPr="00FD6A6A">
        <w:t>is</w:t>
      </w:r>
      <w:r w:rsidR="00541D05">
        <w:t xml:space="preserve"> </w:t>
      </w:r>
      <w:r w:rsidR="00D9258C" w:rsidRPr="00FD6A6A">
        <w:t>forbidden</w:t>
      </w:r>
      <w:r w:rsidR="00541D05">
        <w:t xml:space="preserve"> </w:t>
      </w:r>
      <w:r w:rsidR="00D9258C" w:rsidRPr="00FD6A6A">
        <w:t>to</w:t>
      </w:r>
      <w:r w:rsidR="00541D05">
        <w:t xml:space="preserve"> </w:t>
      </w:r>
      <w:r w:rsidR="00D9258C" w:rsidRPr="00FD6A6A">
        <w:t>adopt</w:t>
      </w:r>
      <w:r w:rsidR="00541D05">
        <w:t xml:space="preserve"> </w:t>
      </w:r>
      <w:r w:rsidR="00D9258C" w:rsidRPr="00FD6A6A">
        <w:t>any</w:t>
      </w:r>
      <w:r w:rsidR="00541D05">
        <w:t xml:space="preserve"> </w:t>
      </w:r>
      <w:r w:rsidR="00D9258C" w:rsidRPr="00FD6A6A">
        <w:t>discriminatory</w:t>
      </w:r>
      <w:r w:rsidR="00541D05">
        <w:t xml:space="preserve"> </w:t>
      </w:r>
      <w:r w:rsidR="00D9258C" w:rsidRPr="00FD6A6A">
        <w:t>or</w:t>
      </w:r>
      <w:r w:rsidR="00541D05">
        <w:t xml:space="preserve"> </w:t>
      </w:r>
      <w:r w:rsidR="00D9258C" w:rsidRPr="00FD6A6A">
        <w:t>restrictive</w:t>
      </w:r>
      <w:r w:rsidR="00541D05">
        <w:t xml:space="preserve"> </w:t>
      </w:r>
      <w:r w:rsidR="00D9258C" w:rsidRPr="00FD6A6A">
        <w:t>practices</w:t>
      </w:r>
      <w:r w:rsidR="00541D05">
        <w:t xml:space="preserve"> </w:t>
      </w:r>
      <w:r w:rsidR="00D9258C" w:rsidRPr="00FD6A6A">
        <w:t>regarding</w:t>
      </w:r>
      <w:r w:rsidR="00541D05">
        <w:t xml:space="preserve"> </w:t>
      </w:r>
      <w:r w:rsidR="00D9258C" w:rsidRPr="00FD6A6A">
        <w:t>access</w:t>
      </w:r>
      <w:r w:rsidR="00541D05">
        <w:t xml:space="preserve"> </w:t>
      </w:r>
      <w:r w:rsidR="00D9258C" w:rsidRPr="00FD6A6A">
        <w:t>to</w:t>
      </w:r>
      <w:r w:rsidR="00541D05">
        <w:t xml:space="preserve"> </w:t>
      </w:r>
      <w:r w:rsidR="00D9258C" w:rsidRPr="00FD6A6A">
        <w:t>or</w:t>
      </w:r>
      <w:r w:rsidR="00541D05">
        <w:t xml:space="preserve"> </w:t>
      </w:r>
      <w:r w:rsidR="00D9258C" w:rsidRPr="00FD6A6A">
        <w:t>maintenance</w:t>
      </w:r>
      <w:r w:rsidR="00541D05">
        <w:t xml:space="preserve"> </w:t>
      </w:r>
      <w:r w:rsidR="00D9258C" w:rsidRPr="00FD6A6A">
        <w:t>of</w:t>
      </w:r>
      <w:r w:rsidR="00541D05">
        <w:t xml:space="preserve"> </w:t>
      </w:r>
      <w:r w:rsidR="00D9258C" w:rsidRPr="00FD6A6A">
        <w:t>employment</w:t>
      </w:r>
      <w:r w:rsidR="00541D05">
        <w:t xml:space="preserve"> </w:t>
      </w:r>
      <w:r w:rsidR="00D9258C" w:rsidRPr="00FD6A6A">
        <w:t>relationships</w:t>
      </w:r>
      <w:r w:rsidR="00541D05">
        <w:t xml:space="preserve"> </w:t>
      </w:r>
      <w:r w:rsidR="00D9258C" w:rsidRPr="00FD6A6A">
        <w:t>on</w:t>
      </w:r>
      <w:r w:rsidR="00541D05">
        <w:t xml:space="preserve"> </w:t>
      </w:r>
      <w:r w:rsidR="00D9258C" w:rsidRPr="00FD6A6A">
        <w:t>the</w:t>
      </w:r>
      <w:r w:rsidR="00541D05">
        <w:t xml:space="preserve"> </w:t>
      </w:r>
      <w:r w:rsidR="00D9258C" w:rsidRPr="00FD6A6A">
        <w:t>grounds</w:t>
      </w:r>
      <w:r w:rsidR="00541D05">
        <w:t xml:space="preserve"> </w:t>
      </w:r>
      <w:r w:rsidR="00D9258C" w:rsidRPr="00FD6A6A">
        <w:t>of</w:t>
      </w:r>
      <w:r w:rsidR="00541D05">
        <w:t xml:space="preserve"> </w:t>
      </w:r>
      <w:r w:rsidR="00D9258C" w:rsidRPr="00FD6A6A">
        <w:t>gender,</w:t>
      </w:r>
      <w:r w:rsidR="00541D05">
        <w:t xml:space="preserve"> </w:t>
      </w:r>
      <w:r w:rsidR="00D9258C" w:rsidRPr="00541D05">
        <w:rPr>
          <w:b/>
          <w:bCs/>
        </w:rPr>
        <w:t>nationality</w:t>
      </w:r>
      <w:r w:rsidR="00D9258C" w:rsidRPr="00FD6A6A">
        <w:t>,</w:t>
      </w:r>
      <w:r w:rsidR="00541D05">
        <w:t xml:space="preserve"> </w:t>
      </w:r>
      <w:r w:rsidR="00D9258C" w:rsidRPr="00541D05">
        <w:rPr>
          <w:b/>
          <w:bCs/>
        </w:rPr>
        <w:t>race</w:t>
      </w:r>
      <w:r w:rsidR="00D9258C" w:rsidRPr="00FD6A6A">
        <w:t>,</w:t>
      </w:r>
      <w:r w:rsidR="00541D05">
        <w:t xml:space="preserve"> </w:t>
      </w:r>
      <w:r w:rsidR="00D9258C" w:rsidRPr="00541D05">
        <w:rPr>
          <w:b/>
          <w:bCs/>
        </w:rPr>
        <w:t>skin</w:t>
      </w:r>
      <w:r w:rsidR="00541D05">
        <w:rPr>
          <w:b/>
          <w:bCs/>
        </w:rPr>
        <w:t xml:space="preserve"> </w:t>
      </w:r>
      <w:r w:rsidR="00D9258C" w:rsidRPr="00541D05">
        <w:rPr>
          <w:b/>
          <w:bCs/>
        </w:rPr>
        <w:t>tone</w:t>
      </w:r>
      <w:r w:rsidR="00D9258C" w:rsidRPr="00FD6A6A">
        <w:t>,</w:t>
      </w:r>
      <w:r w:rsidR="00541D05">
        <w:t xml:space="preserve"> </w:t>
      </w:r>
      <w:r w:rsidR="00D9258C" w:rsidRPr="00FD6A6A">
        <w:t>marital</w:t>
      </w:r>
      <w:r w:rsidR="00541D05">
        <w:t xml:space="preserve"> </w:t>
      </w:r>
      <w:r w:rsidR="00D9258C" w:rsidRPr="00FD6A6A">
        <w:t>status,</w:t>
      </w:r>
      <w:r w:rsidR="00541D05">
        <w:t xml:space="preserve"> </w:t>
      </w:r>
      <w:r w:rsidR="00D9258C" w:rsidRPr="00FD6A6A">
        <w:t>household</w:t>
      </w:r>
      <w:r w:rsidR="00541D05">
        <w:t xml:space="preserve"> </w:t>
      </w:r>
      <w:r w:rsidR="00D9258C" w:rsidRPr="00FD6A6A">
        <w:t>conditions,</w:t>
      </w:r>
      <w:r w:rsidR="00541D05">
        <w:t xml:space="preserve"> </w:t>
      </w:r>
      <w:r w:rsidR="00D9258C" w:rsidRPr="00FD6A6A">
        <w:t>disability,</w:t>
      </w:r>
      <w:r w:rsidR="00541D05">
        <w:t xml:space="preserve"> </w:t>
      </w:r>
      <w:r w:rsidR="00D9258C" w:rsidRPr="00FD6A6A">
        <w:t>professional</w:t>
      </w:r>
      <w:r w:rsidR="00541D05">
        <w:t xml:space="preserve"> </w:t>
      </w:r>
      <w:r w:rsidR="00D9258C" w:rsidRPr="00FD6A6A">
        <w:t>rehabilitation,</w:t>
      </w:r>
      <w:r w:rsidR="00541D05">
        <w:t xml:space="preserve"> </w:t>
      </w:r>
      <w:r w:rsidR="00D9258C" w:rsidRPr="00FD6A6A">
        <w:t>age,</w:t>
      </w:r>
      <w:r w:rsidR="00541D05">
        <w:t xml:space="preserve"> </w:t>
      </w:r>
      <w:r w:rsidR="00D9258C" w:rsidRPr="00FD6A6A">
        <w:t>among</w:t>
      </w:r>
      <w:r w:rsidR="00541D05">
        <w:t xml:space="preserve"> </w:t>
      </w:r>
      <w:r w:rsidR="00D9258C" w:rsidRPr="00FD6A6A">
        <w:t>others,</w:t>
      </w:r>
      <w:r w:rsidR="00541D05">
        <w:t xml:space="preserve"> </w:t>
      </w:r>
      <w:r w:rsidR="00D9258C" w:rsidRPr="00FD6A6A">
        <w:t>except</w:t>
      </w:r>
      <w:r w:rsidR="00541D05">
        <w:t xml:space="preserve"> </w:t>
      </w:r>
      <w:r w:rsidR="00D9258C" w:rsidRPr="00FD6A6A">
        <w:t>for</w:t>
      </w:r>
      <w:r w:rsidR="00541D05">
        <w:t xml:space="preserve"> </w:t>
      </w:r>
      <w:r w:rsidR="00D9258C" w:rsidRPr="00FD6A6A">
        <w:t>the</w:t>
      </w:r>
      <w:r w:rsidR="00541D05">
        <w:t xml:space="preserve"> </w:t>
      </w:r>
      <w:r w:rsidR="00D9258C" w:rsidRPr="00FD6A6A">
        <w:t>cases</w:t>
      </w:r>
      <w:r w:rsidR="00541D05">
        <w:t xml:space="preserve"> </w:t>
      </w:r>
      <w:r w:rsidR="00D9258C" w:rsidRPr="00FD6A6A">
        <w:t>of</w:t>
      </w:r>
      <w:r w:rsidR="00541D05">
        <w:t xml:space="preserve"> </w:t>
      </w:r>
      <w:r w:rsidR="00D9258C" w:rsidRPr="00FD6A6A">
        <w:t>children</w:t>
      </w:r>
      <w:r w:rsidR="00541D05">
        <w:t xml:space="preserve"> </w:t>
      </w:r>
      <w:r w:rsidR="00D9258C" w:rsidRPr="00FD6A6A">
        <w:t>and</w:t>
      </w:r>
      <w:r w:rsidR="00541D05">
        <w:t xml:space="preserve"> </w:t>
      </w:r>
      <w:r w:rsidR="00D9258C" w:rsidRPr="00FD6A6A">
        <w:t>the</w:t>
      </w:r>
      <w:r w:rsidR="00541D05">
        <w:t xml:space="preserve"> </w:t>
      </w:r>
      <w:r w:rsidR="00D9258C" w:rsidRPr="00FD6A6A">
        <w:t>adolescents</w:t>
      </w:r>
      <w:r w:rsidR="00541D05">
        <w:t xml:space="preserve"> </w:t>
      </w:r>
      <w:r w:rsidR="00D9258C" w:rsidRPr="00FD6A6A">
        <w:t>as</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item</w:t>
      </w:r>
      <w:r w:rsidR="00541D05">
        <w:t xml:space="preserve"> </w:t>
      </w:r>
      <w:r w:rsidR="00D9258C" w:rsidRPr="00FD6A6A">
        <w:t>XXXIII</w:t>
      </w:r>
      <w:r w:rsidR="00541D05">
        <w:t xml:space="preserve"> </w:t>
      </w:r>
      <w:r w:rsidR="00D9258C" w:rsidRPr="00FD6A6A">
        <w:t>of</w:t>
      </w:r>
      <w:r w:rsidR="00541D05">
        <w:t xml:space="preserve"> </w:t>
      </w:r>
      <w:r w:rsidR="00D9258C" w:rsidRPr="00FD6A6A">
        <w:t>art.</w:t>
      </w:r>
      <w:r w:rsidR="00541D05">
        <w:t xml:space="preserve"> </w:t>
      </w:r>
      <w:r w:rsidR="00D9258C" w:rsidRPr="00FD6A6A">
        <w:t>7</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EA62F1">
        <w:t>”</w:t>
      </w:r>
    </w:p>
    <w:p w14:paraId="4743B459" w14:textId="2302F0C2" w:rsidR="00D9258C" w:rsidRPr="00FD6A6A" w:rsidRDefault="00166390" w:rsidP="00166390">
      <w:pPr>
        <w:pStyle w:val="ParaNoG"/>
        <w:numPr>
          <w:ilvl w:val="0"/>
          <w:numId w:val="0"/>
        </w:numPr>
        <w:tabs>
          <w:tab w:val="left" w:pos="0"/>
        </w:tabs>
        <w:ind w:left="1134"/>
      </w:pPr>
      <w:r w:rsidRPr="00FD6A6A">
        <w:t>22.</w:t>
      </w:r>
      <w:r w:rsidRPr="00FD6A6A">
        <w:tab/>
      </w:r>
      <w:r w:rsidR="00D9258C" w:rsidRPr="00FD6A6A">
        <w:t>Three</w:t>
      </w:r>
      <w:r w:rsidR="00541D05">
        <w:t xml:space="preserve"> </w:t>
      </w:r>
      <w:r w:rsidR="00D9258C" w:rsidRPr="00FD6A6A">
        <w:t>major</w:t>
      </w:r>
      <w:r w:rsidR="00541D05">
        <w:t xml:space="preserve"> </w:t>
      </w:r>
      <w:r w:rsidR="00D9258C" w:rsidRPr="00FD6A6A">
        <w:t>types</w:t>
      </w:r>
      <w:r w:rsidR="00541D05">
        <w:t xml:space="preserve"> </w:t>
      </w:r>
      <w:r w:rsidR="00D9258C" w:rsidRPr="00FD6A6A">
        <w:t>of</w:t>
      </w:r>
      <w:r w:rsidR="00541D05">
        <w:t xml:space="preserve"> </w:t>
      </w:r>
      <w:r w:rsidR="00D9258C" w:rsidRPr="00FD6A6A">
        <w:t>conducts</w:t>
      </w:r>
      <w:r w:rsidR="00541D05">
        <w:t xml:space="preserve"> </w:t>
      </w:r>
      <w:r w:rsidR="00D9258C" w:rsidRPr="00FD6A6A">
        <w:t>are</w:t>
      </w:r>
      <w:r w:rsidR="00541D05">
        <w:t xml:space="preserve"> </w:t>
      </w:r>
      <w:r w:rsidR="00D9258C" w:rsidRPr="00FD6A6A">
        <w:t>characterized</w:t>
      </w:r>
      <w:r w:rsidR="00541D05">
        <w:t xml:space="preserve"> </w:t>
      </w:r>
      <w:r w:rsidR="00D9258C" w:rsidRPr="00FD6A6A">
        <w:t>as</w:t>
      </w:r>
      <w:r w:rsidR="00541D05">
        <w:t xml:space="preserve"> </w:t>
      </w:r>
      <w:r w:rsidR="00D9258C" w:rsidRPr="00FD6A6A">
        <w:t>crime</w:t>
      </w:r>
      <w:r w:rsidR="00541D05">
        <w:t xml:space="preserve"> </w:t>
      </w:r>
      <w:r w:rsidR="00D9258C" w:rsidRPr="00FD6A6A">
        <w:t>or</w:t>
      </w:r>
      <w:r w:rsidR="00541D05">
        <w:t xml:space="preserve"> </w:t>
      </w:r>
      <w:r w:rsidR="00D9258C" w:rsidRPr="00FD6A6A">
        <w:t>misdemeanors</w:t>
      </w:r>
      <w:r w:rsidR="00541D05">
        <w:t xml:space="preserve"> </w:t>
      </w:r>
      <w:r w:rsidR="00D9258C" w:rsidRPr="00FD6A6A">
        <w:t>based</w:t>
      </w:r>
      <w:r w:rsidR="00541D05">
        <w:t xml:space="preserve"> </w:t>
      </w:r>
      <w:r w:rsidR="00D9258C" w:rsidRPr="00FD6A6A">
        <w:t>on</w:t>
      </w:r>
      <w:r w:rsidR="00541D05">
        <w:t xml:space="preserve"> </w:t>
      </w:r>
      <w:r w:rsidR="00D9258C" w:rsidRPr="00FD6A6A">
        <w:t>discriminatory</w:t>
      </w:r>
      <w:r w:rsidR="00541D05">
        <w:t xml:space="preserve"> </w:t>
      </w:r>
      <w:r w:rsidR="00D9258C" w:rsidRPr="00FD6A6A">
        <w:t>elements</w:t>
      </w:r>
      <w:r w:rsidR="00541D05">
        <w:t xml:space="preserve"> </w:t>
      </w:r>
      <w:r w:rsidR="00D9258C" w:rsidRPr="00FD6A6A">
        <w:t>regarding</w:t>
      </w:r>
      <w:r w:rsidR="00541D05">
        <w:t xml:space="preserve"> </w:t>
      </w:r>
      <w:r w:rsidR="00D9258C" w:rsidRPr="00FD6A6A">
        <w:t>racial</w:t>
      </w:r>
      <w:r w:rsidR="00541D05">
        <w:t xml:space="preserve"> </w:t>
      </w:r>
      <w:r w:rsidR="00D9258C" w:rsidRPr="00FD6A6A">
        <w:t>identity:</w:t>
      </w:r>
      <w:r w:rsidR="00EA62F1">
        <w:t xml:space="preserve"> </w:t>
      </w:r>
      <w:r w:rsidR="00D9258C" w:rsidRPr="00FD6A6A">
        <w:t>the</w:t>
      </w:r>
      <w:r w:rsidR="00541D05">
        <w:t xml:space="preserve"> </w:t>
      </w:r>
      <w:r w:rsidR="00D9258C" w:rsidRPr="00FD6A6A">
        <w:t>one</w:t>
      </w:r>
      <w:r w:rsidR="00541D05">
        <w:t xml:space="preserve"> </w:t>
      </w:r>
      <w:r w:rsidR="00D9258C" w:rsidRPr="00FD6A6A">
        <w:t>described</w:t>
      </w:r>
      <w:r w:rsidR="00541D05">
        <w:t xml:space="preserve"> </w:t>
      </w:r>
      <w:r w:rsidR="00D9258C" w:rsidRPr="00FD6A6A">
        <w:t>in</w:t>
      </w:r>
      <w:r w:rsidR="00541D05">
        <w:t xml:space="preserve"> </w:t>
      </w:r>
      <w:r w:rsidR="00D9258C" w:rsidRPr="00FD6A6A">
        <w:t>Art.</w:t>
      </w:r>
      <w:r w:rsidR="00541D05">
        <w:t xml:space="preserve"> </w:t>
      </w:r>
      <w:r w:rsidR="00D9258C" w:rsidRPr="00FD6A6A">
        <w:t>20</w:t>
      </w:r>
      <w:r w:rsidR="00541D05">
        <w:t xml:space="preserve"> </w:t>
      </w:r>
      <w:r w:rsidR="00D9258C" w:rsidRPr="00FD6A6A">
        <w:t>of</w:t>
      </w:r>
      <w:r w:rsidR="00541D05">
        <w:t xml:space="preserve"> </w:t>
      </w:r>
      <w:r w:rsidR="00D9258C" w:rsidRPr="00FD6A6A">
        <w:t>Law</w:t>
      </w:r>
      <w:r w:rsidR="00541D05">
        <w:t xml:space="preserve"> </w:t>
      </w:r>
      <w:r w:rsidR="00D9258C" w:rsidRPr="00FD6A6A">
        <w:t>7,716/1989,</w:t>
      </w:r>
      <w:r w:rsidR="00541D05">
        <w:t xml:space="preserve"> </w:t>
      </w:r>
      <w:r w:rsidR="00D9258C" w:rsidRPr="00FD6A6A">
        <w:t>generally</w:t>
      </w:r>
      <w:r w:rsidR="00541D05">
        <w:t xml:space="preserve"> </w:t>
      </w:r>
      <w:r w:rsidR="00D9258C" w:rsidRPr="00FD6A6A">
        <w:t>regulating</w:t>
      </w:r>
      <w:r w:rsidR="00541D05">
        <w:t xml:space="preserve"> </w:t>
      </w:r>
      <w:r w:rsidR="00D9258C" w:rsidRPr="00FD6A6A">
        <w:t>prejudice</w:t>
      </w:r>
      <w:r w:rsidR="00541D05">
        <w:t xml:space="preserve"> </w:t>
      </w:r>
      <w:r w:rsidR="00D9258C" w:rsidRPr="00FD6A6A">
        <w:t>on</w:t>
      </w:r>
      <w:r w:rsidR="00541D05">
        <w:t xml:space="preserve"> </w:t>
      </w:r>
      <w:r w:rsidR="00D9258C" w:rsidRPr="00FD6A6A">
        <w:t>the</w:t>
      </w:r>
      <w:r w:rsidR="00541D05">
        <w:t xml:space="preserve"> </w:t>
      </w:r>
      <w:r w:rsidR="00D9258C" w:rsidRPr="00FD6A6A">
        <w:t>grounds</w:t>
      </w:r>
      <w:r w:rsidR="00541D05">
        <w:t xml:space="preserve"> </w:t>
      </w:r>
      <w:r w:rsidR="00D9258C" w:rsidRPr="00FD6A6A">
        <w:t>of</w:t>
      </w:r>
      <w:r w:rsidR="00541D05">
        <w:t xml:space="preserve"> </w:t>
      </w:r>
      <w:r w:rsidR="00D9258C" w:rsidRPr="00FD6A6A">
        <w:t>race/skin</w:t>
      </w:r>
      <w:r w:rsidR="00541D05">
        <w:t xml:space="preserve"> </w:t>
      </w:r>
      <w:r w:rsidR="00D9258C" w:rsidRPr="00FD6A6A">
        <w:t>tone,</w:t>
      </w:r>
      <w:r w:rsidR="00541D05">
        <w:t xml:space="preserve"> </w:t>
      </w:r>
      <w:r w:rsidR="00D9258C" w:rsidRPr="00FD6A6A">
        <w:t>religion</w:t>
      </w:r>
      <w:r w:rsidR="00541D05">
        <w:t xml:space="preserve"> </w:t>
      </w:r>
      <w:r w:rsidR="00D9258C" w:rsidRPr="00FD6A6A">
        <w:t>or</w:t>
      </w:r>
      <w:r w:rsidR="00541D05">
        <w:t xml:space="preserve"> </w:t>
      </w:r>
      <w:r w:rsidR="00D9258C" w:rsidRPr="00FD6A6A">
        <w:t>country</w:t>
      </w:r>
      <w:r w:rsidR="00541D05">
        <w:t xml:space="preserve"> </w:t>
      </w:r>
      <w:r w:rsidR="00D9258C" w:rsidRPr="00FD6A6A">
        <w:t>of</w:t>
      </w:r>
      <w:r w:rsidR="00541D05">
        <w:t xml:space="preserve"> </w:t>
      </w:r>
      <w:r w:rsidR="00D9258C" w:rsidRPr="00FD6A6A">
        <w:t>origin;</w:t>
      </w:r>
      <w:r w:rsidR="00541D05">
        <w:t xml:space="preserve"> </w:t>
      </w:r>
      <w:r w:rsidR="00D9258C" w:rsidRPr="00FD6A6A">
        <w:t>the</w:t>
      </w:r>
      <w:r w:rsidR="00541D05">
        <w:t xml:space="preserve"> </w:t>
      </w:r>
      <w:r w:rsidR="00D9258C" w:rsidRPr="00FD6A6A">
        <w:t>conducts</w:t>
      </w:r>
      <w:r w:rsidR="00541D05">
        <w:t xml:space="preserve"> </w:t>
      </w:r>
      <w:r w:rsidR="00D9258C" w:rsidRPr="00FD6A6A">
        <w:t>involving</w:t>
      </w:r>
      <w:r w:rsidR="00541D05">
        <w:t xml:space="preserve"> </w:t>
      </w:r>
      <w:r w:rsidR="00D9258C" w:rsidRPr="00FD6A6A">
        <w:t>disparate</w:t>
      </w:r>
      <w:r w:rsidR="00541D05">
        <w:t xml:space="preserve"> </w:t>
      </w:r>
      <w:r w:rsidR="00D9258C" w:rsidRPr="00FD6A6A">
        <w:t>treatment,</w:t>
      </w:r>
      <w:r w:rsidR="00541D05">
        <w:t xml:space="preserve"> </w:t>
      </w:r>
      <w:r w:rsidR="00D9258C" w:rsidRPr="00FD6A6A">
        <w:t>impeding</w:t>
      </w:r>
      <w:r w:rsidR="00541D05">
        <w:t xml:space="preserve"> </w:t>
      </w:r>
      <w:r w:rsidR="00D9258C" w:rsidRPr="00FD6A6A">
        <w:t>or</w:t>
      </w:r>
      <w:r w:rsidR="00541D05">
        <w:t xml:space="preserve"> </w:t>
      </w:r>
      <w:r w:rsidR="00D9258C" w:rsidRPr="00FD6A6A">
        <w:t>denying</w:t>
      </w:r>
      <w:r w:rsidR="00541D05">
        <w:t xml:space="preserve"> </w:t>
      </w:r>
      <w:r w:rsidR="00D9258C" w:rsidRPr="00FD6A6A">
        <w:t>access</w:t>
      </w:r>
      <w:r w:rsidR="00541D05">
        <w:t xml:space="preserve"> </w:t>
      </w:r>
      <w:r w:rsidR="00D9258C" w:rsidRPr="00FD6A6A">
        <w:t>to</w:t>
      </w:r>
      <w:r w:rsidR="00541D05">
        <w:t xml:space="preserve"> </w:t>
      </w:r>
      <w:r w:rsidR="00D9258C" w:rsidRPr="00FD6A6A">
        <w:t>the</w:t>
      </w:r>
      <w:r w:rsidR="00541D05">
        <w:t xml:space="preserve"> </w:t>
      </w:r>
      <w:r w:rsidR="00D9258C" w:rsidRPr="00FD6A6A">
        <w:t>places</w:t>
      </w:r>
      <w:r w:rsidR="00541D05">
        <w:t xml:space="preserve"> </w:t>
      </w:r>
      <w:r w:rsidR="00D9258C" w:rsidRPr="00FD6A6A">
        <w:t>and</w:t>
      </w:r>
      <w:r w:rsidR="00541D05">
        <w:t xml:space="preserve"> </w:t>
      </w:r>
      <w:r w:rsidR="00D9258C" w:rsidRPr="00FD6A6A">
        <w:t>services</w:t>
      </w:r>
      <w:r w:rsidR="00541D05">
        <w:t xml:space="preserve"> </w:t>
      </w:r>
      <w:r w:rsidR="00D9258C" w:rsidRPr="00FD6A6A">
        <w:t>specified</w:t>
      </w:r>
      <w:r w:rsidR="00541D05">
        <w:t xml:space="preserve"> </w:t>
      </w:r>
      <w:r w:rsidR="00D9258C" w:rsidRPr="00FD6A6A">
        <w:t>therein,</w:t>
      </w:r>
      <w:r w:rsidR="00541D05">
        <w:t xml:space="preserve"> </w:t>
      </w:r>
      <w:r w:rsidR="00D9258C" w:rsidRPr="00FD6A6A">
        <w:t>based</w:t>
      </w:r>
      <w:r w:rsidR="00541D05">
        <w:t xml:space="preserve"> </w:t>
      </w:r>
      <w:r w:rsidR="00D9258C" w:rsidRPr="00FD6A6A">
        <w:t>on</w:t>
      </w:r>
      <w:r w:rsidR="00541D05">
        <w:t xml:space="preserve"> </w:t>
      </w:r>
      <w:r w:rsidR="00D9258C" w:rsidRPr="00FD6A6A">
        <w:t>the</w:t>
      </w:r>
      <w:r w:rsidR="00541D05">
        <w:t xml:space="preserve"> </w:t>
      </w:r>
      <w:r w:rsidR="00D9258C" w:rsidRPr="00FD6A6A">
        <w:t>discriminatory</w:t>
      </w:r>
      <w:r w:rsidR="00541D05">
        <w:t xml:space="preserve"> </w:t>
      </w:r>
      <w:r w:rsidR="00D9258C" w:rsidRPr="00FD6A6A">
        <w:t>acts</w:t>
      </w:r>
      <w:r w:rsidR="00541D05">
        <w:t xml:space="preserve"> </w:t>
      </w:r>
      <w:r w:rsidR="00D9258C" w:rsidRPr="00FD6A6A">
        <w:t>described</w:t>
      </w:r>
      <w:r w:rsidR="00541D05">
        <w:t xml:space="preserve"> </w:t>
      </w:r>
      <w:r w:rsidR="00D9258C" w:rsidRPr="00FD6A6A">
        <w:t>in</w:t>
      </w:r>
      <w:r w:rsidR="00541D05">
        <w:t xml:space="preserve"> </w:t>
      </w:r>
      <w:r w:rsidR="00D9258C" w:rsidRPr="00FD6A6A">
        <w:t>arts.</w:t>
      </w:r>
      <w:r w:rsidR="00541D05">
        <w:t xml:space="preserve"> </w:t>
      </w:r>
      <w:r w:rsidR="00D9258C" w:rsidRPr="00FD6A6A">
        <w:t>3</w:t>
      </w:r>
      <w:r w:rsidR="00541D05">
        <w:t xml:space="preserve"> </w:t>
      </w:r>
      <w:r w:rsidR="00D9258C" w:rsidRPr="00FD6A6A">
        <w:t>to</w:t>
      </w:r>
      <w:r w:rsidR="00541D05">
        <w:t xml:space="preserve"> </w:t>
      </w:r>
      <w:r w:rsidR="00D9258C" w:rsidRPr="00FD6A6A">
        <w:t>14</w:t>
      </w:r>
      <w:r w:rsidR="00541D05">
        <w:t xml:space="preserve"> </w:t>
      </w:r>
      <w:r w:rsidR="00D9258C" w:rsidRPr="00FD6A6A">
        <w:t>of</w:t>
      </w:r>
      <w:r w:rsidR="00541D05">
        <w:t xml:space="preserve"> </w:t>
      </w:r>
      <w:r w:rsidR="00D9258C" w:rsidRPr="00FD6A6A">
        <w:t>the</w:t>
      </w:r>
      <w:r w:rsidR="00541D05">
        <w:t xml:space="preserve"> </w:t>
      </w:r>
      <w:r w:rsidR="00D9258C" w:rsidRPr="00FD6A6A">
        <w:t>abovementioned</w:t>
      </w:r>
      <w:r w:rsidR="00541D05">
        <w:t xml:space="preserve"> </w:t>
      </w:r>
      <w:r w:rsidR="00D9258C" w:rsidRPr="00FD6A6A">
        <w:t>law;</w:t>
      </w:r>
      <w:r w:rsidR="00541D05">
        <w:t xml:space="preserve"> </w:t>
      </w:r>
      <w:r w:rsidR="00D9258C" w:rsidRPr="00FD6A6A">
        <w:t>racial</w:t>
      </w:r>
      <w:r w:rsidR="00541D05">
        <w:t xml:space="preserve"> </w:t>
      </w:r>
      <w:r w:rsidR="00D9258C" w:rsidRPr="00FD6A6A">
        <w:t>slur,</w:t>
      </w:r>
      <w:r w:rsidR="00541D05">
        <w:t xml:space="preserve"> </w:t>
      </w:r>
      <w:r w:rsidR="00D9258C" w:rsidRPr="00FD6A6A">
        <w:t>a</w:t>
      </w:r>
      <w:r w:rsidR="00541D05">
        <w:t xml:space="preserve"> </w:t>
      </w:r>
      <w:r w:rsidR="00D9258C" w:rsidRPr="00FD6A6A">
        <w:t>subtype</w:t>
      </w:r>
      <w:r w:rsidR="00541D05">
        <w:t xml:space="preserve"> </w:t>
      </w:r>
      <w:r w:rsidR="00D9258C" w:rsidRPr="00FD6A6A">
        <w:t>of</w:t>
      </w:r>
      <w:r w:rsidR="00541D05">
        <w:t xml:space="preserve"> </w:t>
      </w:r>
      <w:r w:rsidR="00D9258C" w:rsidRPr="00FD6A6A">
        <w:t>crime</w:t>
      </w:r>
      <w:r w:rsidR="00541D05">
        <w:t xml:space="preserve"> </w:t>
      </w:r>
      <w:r w:rsidR="00D9258C" w:rsidRPr="00FD6A6A">
        <w:t>against</w:t>
      </w:r>
      <w:r w:rsidR="00541D05">
        <w:t xml:space="preserve"> </w:t>
      </w:r>
      <w:r w:rsidR="00D9258C" w:rsidRPr="00FD6A6A">
        <w:t>a</w:t>
      </w:r>
      <w:r w:rsidR="00541D05">
        <w:t xml:space="preserve"> </w:t>
      </w:r>
      <w:r w:rsidR="00D9258C" w:rsidRPr="00FD6A6A">
        <w:t>person</w:t>
      </w:r>
      <w:r w:rsidR="00EA62F1">
        <w:t>’</w:t>
      </w:r>
      <w:r w:rsidR="00D9258C" w:rsidRPr="00FD6A6A">
        <w:t>s</w:t>
      </w:r>
      <w:r w:rsidR="00541D05">
        <w:t xml:space="preserve"> </w:t>
      </w:r>
      <w:r w:rsidR="00D9258C" w:rsidRPr="00FD6A6A">
        <w:t>dignity,</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paragraph</w:t>
      </w:r>
      <w:r w:rsidR="00541D05">
        <w:t xml:space="preserve"> </w:t>
      </w:r>
      <w:r w:rsidR="00D9258C" w:rsidRPr="00FD6A6A">
        <w:t>3,</w:t>
      </w:r>
      <w:r w:rsidR="00541D05">
        <w:t xml:space="preserve"> </w:t>
      </w:r>
      <w:r w:rsidR="00D9258C" w:rsidRPr="00FD6A6A">
        <w:t>Art.</w:t>
      </w:r>
      <w:r w:rsidR="00541D05">
        <w:t xml:space="preserve"> </w:t>
      </w:r>
      <w:r w:rsidR="00D9258C" w:rsidRPr="00FD6A6A">
        <w:t>140</w:t>
      </w:r>
      <w:r w:rsidR="00541D05">
        <w:t xml:space="preserve"> </w:t>
      </w:r>
      <w:r w:rsidR="00D9258C" w:rsidRPr="00FD6A6A">
        <w:t>of</w:t>
      </w:r>
      <w:r w:rsidR="00541D05">
        <w:t xml:space="preserve"> </w:t>
      </w:r>
      <w:r w:rsidR="00D9258C" w:rsidRPr="00FD6A6A">
        <w:t>Brazilian</w:t>
      </w:r>
      <w:r w:rsidR="00541D05">
        <w:t xml:space="preserve"> </w:t>
      </w:r>
      <w:r w:rsidR="00D9258C" w:rsidRPr="00FD6A6A">
        <w:t>Penal</w:t>
      </w:r>
      <w:r w:rsidR="00541D05">
        <w:t xml:space="preserve"> </w:t>
      </w:r>
      <w:r w:rsidR="00D9258C" w:rsidRPr="00FD6A6A">
        <w:t>Code.</w:t>
      </w:r>
    </w:p>
    <w:p w14:paraId="0B6A9C1E" w14:textId="13399482" w:rsidR="00D9258C" w:rsidRPr="00FD6A6A" w:rsidRDefault="00166390" w:rsidP="00166390">
      <w:pPr>
        <w:pStyle w:val="ParaNoG"/>
        <w:numPr>
          <w:ilvl w:val="0"/>
          <w:numId w:val="0"/>
        </w:numPr>
        <w:tabs>
          <w:tab w:val="left" w:pos="0"/>
        </w:tabs>
        <w:ind w:left="1134"/>
      </w:pPr>
      <w:r w:rsidRPr="00FD6A6A">
        <w:t>23.</w:t>
      </w:r>
      <w:r w:rsidRPr="00FD6A6A">
        <w:tab/>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racial</w:t>
      </w:r>
      <w:r w:rsidR="00541D05">
        <w:t xml:space="preserve"> </w:t>
      </w:r>
      <w:r w:rsidR="00D9258C" w:rsidRPr="00FD6A6A">
        <w:t>slur</w:t>
      </w:r>
      <w:r w:rsidR="00541D05">
        <w:t xml:space="preserve"> </w:t>
      </w:r>
      <w:r w:rsidR="00D9258C" w:rsidRPr="00FD6A6A">
        <w:t>is</w:t>
      </w:r>
      <w:r w:rsidR="00541D05">
        <w:t xml:space="preserve"> </w:t>
      </w:r>
      <w:r w:rsidR="00D9258C" w:rsidRPr="00FD6A6A">
        <w:t>committed</w:t>
      </w:r>
      <w:r w:rsidR="00541D05">
        <w:t xml:space="preserve"> </w:t>
      </w:r>
      <w:r w:rsidR="00D9258C" w:rsidRPr="00FD6A6A">
        <w:t>with</w:t>
      </w:r>
      <w:r w:rsidR="00541D05">
        <w:t xml:space="preserve"> </w:t>
      </w:r>
      <w:r w:rsidR="00D9258C" w:rsidRPr="00FD6A6A">
        <w:t>the</w:t>
      </w:r>
      <w:r w:rsidR="00541D05">
        <w:t xml:space="preserve"> </w:t>
      </w:r>
      <w:r w:rsidR="00D9258C" w:rsidRPr="00FD6A6A">
        <w:t>intention</w:t>
      </w:r>
      <w:r w:rsidR="00541D05">
        <w:t xml:space="preserve"> </w:t>
      </w:r>
      <w:r w:rsidR="00D9258C" w:rsidRPr="00FD6A6A">
        <w:t>of</w:t>
      </w:r>
      <w:r w:rsidR="00541D05">
        <w:t xml:space="preserve"> </w:t>
      </w:r>
      <w:r w:rsidR="00D9258C" w:rsidRPr="00FD6A6A">
        <w:t>affecting</w:t>
      </w:r>
      <w:r w:rsidR="00541D05">
        <w:t xml:space="preserve"> </w:t>
      </w:r>
      <w:r w:rsidR="00D9258C" w:rsidRPr="00FD6A6A">
        <w:t>a</w:t>
      </w:r>
      <w:r w:rsidR="00541D05">
        <w:t xml:space="preserve"> </w:t>
      </w:r>
      <w:r w:rsidR="00D9258C" w:rsidRPr="00FD6A6A">
        <w:t>certain</w:t>
      </w:r>
      <w:r w:rsidR="00541D05">
        <w:t xml:space="preserve"> </w:t>
      </w:r>
      <w:r w:rsidR="00D9258C" w:rsidRPr="00FD6A6A">
        <w:t>person</w:t>
      </w:r>
      <w:r w:rsidR="00EA62F1">
        <w:t>’</w:t>
      </w:r>
      <w:r w:rsidR="00D9258C" w:rsidRPr="00FD6A6A">
        <w:t>s</w:t>
      </w:r>
      <w:r w:rsidR="00541D05">
        <w:t xml:space="preserve"> </w:t>
      </w:r>
      <w:r w:rsidR="00D9258C" w:rsidRPr="00FD6A6A">
        <w:t>dignity.</w:t>
      </w:r>
      <w:r w:rsidR="00541D05">
        <w:t xml:space="preserve"> </w:t>
      </w:r>
      <w:r w:rsidR="00D9258C" w:rsidRPr="00FD6A6A">
        <w:t>The</w:t>
      </w:r>
      <w:r w:rsidR="00541D05">
        <w:t xml:space="preserve"> </w:t>
      </w:r>
      <w:r w:rsidR="00D9258C" w:rsidRPr="00FD6A6A">
        <w:t>offender,</w:t>
      </w:r>
      <w:r w:rsidR="00541D05">
        <w:t xml:space="preserve"> </w:t>
      </w:r>
      <w:r w:rsidR="00D9258C" w:rsidRPr="00FD6A6A">
        <w:t>in</w:t>
      </w:r>
      <w:r w:rsidR="00541D05">
        <w:t xml:space="preserve"> </w:t>
      </w:r>
      <w:r w:rsidR="00D9258C" w:rsidRPr="00FD6A6A">
        <w:t>this</w:t>
      </w:r>
      <w:r w:rsidR="00541D05">
        <w:t xml:space="preserve"> </w:t>
      </w:r>
      <w:r w:rsidR="00D9258C" w:rsidRPr="00FD6A6A">
        <w:t>case,</w:t>
      </w:r>
      <w:r w:rsidR="00541D05">
        <w:t xml:space="preserve"> </w:t>
      </w:r>
      <w:r w:rsidR="00D9258C" w:rsidRPr="00FD6A6A">
        <w:t>uses</w:t>
      </w:r>
      <w:r w:rsidR="00541D05">
        <w:t xml:space="preserve"> </w:t>
      </w:r>
      <w:r w:rsidR="00D9258C" w:rsidRPr="00FD6A6A">
        <w:t>elements</w:t>
      </w:r>
      <w:r w:rsidR="00541D05">
        <w:t xml:space="preserve"> </w:t>
      </w:r>
      <w:r w:rsidR="00D9258C" w:rsidRPr="00FD6A6A">
        <w:t>related</w:t>
      </w:r>
      <w:r w:rsidR="00541D05">
        <w:t xml:space="preserve"> </w:t>
      </w:r>
      <w:r w:rsidR="00D9258C" w:rsidRPr="00FD6A6A">
        <w:t>to</w:t>
      </w:r>
      <w:r w:rsidR="00541D05">
        <w:t xml:space="preserve"> </w:t>
      </w:r>
      <w:r w:rsidR="00D9258C" w:rsidRPr="00FD6A6A">
        <w:t>race,</w:t>
      </w:r>
      <w:r w:rsidR="00541D05">
        <w:t xml:space="preserve"> </w:t>
      </w:r>
      <w:r w:rsidR="00D9258C" w:rsidRPr="00FD6A6A">
        <w:t>skin</w:t>
      </w:r>
      <w:r w:rsidR="00541D05">
        <w:t xml:space="preserve"> </w:t>
      </w:r>
      <w:r w:rsidR="00D9258C" w:rsidRPr="00FD6A6A">
        <w:t>tone,</w:t>
      </w:r>
      <w:r w:rsidR="00541D05">
        <w:t xml:space="preserve"> </w:t>
      </w:r>
      <w:r w:rsidR="00D9258C" w:rsidRPr="00FD6A6A">
        <w:t>ethnicity,</w:t>
      </w:r>
      <w:r w:rsidR="00541D05">
        <w:t xml:space="preserve"> </w:t>
      </w:r>
      <w:r w:rsidR="00D9258C" w:rsidRPr="00FD6A6A">
        <w:t>religion,</w:t>
      </w:r>
      <w:r w:rsidR="00541D05">
        <w:t xml:space="preserve"> </w:t>
      </w:r>
      <w:r w:rsidR="00D9258C" w:rsidRPr="00FD6A6A">
        <w:t>nationality,</w:t>
      </w:r>
      <w:r w:rsidR="00541D05">
        <w:t xml:space="preserve"> </w:t>
      </w:r>
      <w:r w:rsidR="00D9258C" w:rsidRPr="00FD6A6A">
        <w:t>or</w:t>
      </w:r>
      <w:r w:rsidR="00541D05">
        <w:t xml:space="preserve"> </w:t>
      </w:r>
      <w:r w:rsidR="00D9258C" w:rsidRPr="00FD6A6A">
        <w:t>the</w:t>
      </w:r>
      <w:r w:rsidR="00541D05">
        <w:t xml:space="preserve"> </w:t>
      </w:r>
      <w:r w:rsidR="00D9258C" w:rsidRPr="00FD6A6A">
        <w:t>offended</w:t>
      </w:r>
      <w:r w:rsidR="00541D05">
        <w:t xml:space="preserve"> </w:t>
      </w:r>
      <w:r w:rsidR="00D9258C" w:rsidRPr="00FD6A6A">
        <w:t>person</w:t>
      </w:r>
      <w:r w:rsidR="00EA62F1">
        <w:t>’</w:t>
      </w:r>
      <w:r w:rsidR="00D9258C" w:rsidRPr="00FD6A6A">
        <w:t>s</w:t>
      </w:r>
      <w:r w:rsidR="00541D05">
        <w:t xml:space="preserve"> </w:t>
      </w:r>
      <w:r w:rsidR="00D9258C" w:rsidRPr="00FD6A6A">
        <w:t>elderly</w:t>
      </w:r>
      <w:r w:rsidR="00541D05">
        <w:t xml:space="preserve"> </w:t>
      </w:r>
      <w:r w:rsidR="00D9258C" w:rsidRPr="00FD6A6A">
        <w:t>condition</w:t>
      </w:r>
      <w:r w:rsidR="00541D05">
        <w:t xml:space="preserve"> </w:t>
      </w:r>
      <w:r w:rsidR="00D9258C" w:rsidRPr="00FD6A6A">
        <w:t>or</w:t>
      </w:r>
      <w:r w:rsidR="00541D05">
        <w:t xml:space="preserve"> </w:t>
      </w:r>
      <w:r w:rsidR="00D9258C" w:rsidRPr="00FD6A6A">
        <w:t>disability.</w:t>
      </w:r>
    </w:p>
    <w:p w14:paraId="13F3DFF3" w14:textId="33F6842D" w:rsidR="00D9258C" w:rsidRPr="00FD6A6A" w:rsidRDefault="00166390" w:rsidP="00166390">
      <w:pPr>
        <w:pStyle w:val="ParaNoG"/>
        <w:numPr>
          <w:ilvl w:val="0"/>
          <w:numId w:val="0"/>
        </w:numPr>
        <w:tabs>
          <w:tab w:val="left" w:pos="0"/>
        </w:tabs>
        <w:ind w:left="1134"/>
      </w:pPr>
      <w:r w:rsidRPr="00FD6A6A">
        <w:t>24.</w:t>
      </w:r>
      <w:r w:rsidRPr="00FD6A6A">
        <w:tab/>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racism</w:t>
      </w:r>
      <w:r w:rsidR="00541D05">
        <w:t xml:space="preserve"> </w:t>
      </w:r>
      <w:r w:rsidR="00D9258C" w:rsidRPr="00FD6A6A">
        <w:t>is</w:t>
      </w:r>
      <w:r w:rsidR="00541D05">
        <w:t xml:space="preserve"> </w:t>
      </w:r>
      <w:r w:rsidR="00D9258C" w:rsidRPr="00FD6A6A">
        <w:t>directed</w:t>
      </w:r>
      <w:r w:rsidR="00541D05">
        <w:t xml:space="preserve"> </w:t>
      </w:r>
      <w:r w:rsidR="00D9258C" w:rsidRPr="00FD6A6A">
        <w:t>to</w:t>
      </w:r>
      <w:r w:rsidR="00541D05">
        <w:t xml:space="preserve"> </w:t>
      </w:r>
      <w:r w:rsidR="00D9258C" w:rsidRPr="00FD6A6A">
        <w:t>an</w:t>
      </w:r>
      <w:r w:rsidR="00541D05">
        <w:t xml:space="preserve"> </w:t>
      </w:r>
      <w:r w:rsidR="00D9258C" w:rsidRPr="00FD6A6A">
        <w:t>undetermined</w:t>
      </w:r>
      <w:r w:rsidR="00541D05">
        <w:t xml:space="preserve"> </w:t>
      </w:r>
      <w:r w:rsidR="00D9258C" w:rsidRPr="00FD6A6A">
        <w:t>group</w:t>
      </w:r>
      <w:r w:rsidR="00541D05">
        <w:t xml:space="preserve"> </w:t>
      </w:r>
      <w:r w:rsidR="00D9258C" w:rsidRPr="00FD6A6A">
        <w:t>of</w:t>
      </w:r>
      <w:r w:rsidR="00541D05">
        <w:t xml:space="preserve"> </w:t>
      </w:r>
      <w:r w:rsidR="00D9258C" w:rsidRPr="00FD6A6A">
        <w:t>individuals,</w:t>
      </w:r>
      <w:r w:rsidR="00541D05">
        <w:t xml:space="preserve"> </w:t>
      </w:r>
      <w:r w:rsidR="00D9258C" w:rsidRPr="00FD6A6A">
        <w:t>discriminating</w:t>
      </w:r>
      <w:r w:rsidR="00541D05">
        <w:t xml:space="preserve"> </w:t>
      </w:r>
      <w:r w:rsidR="00D9258C" w:rsidRPr="00FD6A6A">
        <w:t>the</w:t>
      </w:r>
      <w:r w:rsidR="00541D05">
        <w:t xml:space="preserve"> </w:t>
      </w:r>
      <w:r w:rsidR="00D9258C" w:rsidRPr="00FD6A6A">
        <w:t>entire</w:t>
      </w:r>
      <w:r w:rsidR="00541D05">
        <w:t xml:space="preserve"> </w:t>
      </w:r>
      <w:r w:rsidR="00D9258C" w:rsidRPr="00FD6A6A">
        <w:t>social</w:t>
      </w:r>
      <w:r w:rsidR="00541D05">
        <w:t xml:space="preserve"> </w:t>
      </w:r>
      <w:r w:rsidR="00D9258C" w:rsidRPr="00FD6A6A">
        <w:t>group</w:t>
      </w:r>
      <w:r w:rsidR="00541D05">
        <w:t xml:space="preserve"> </w:t>
      </w:r>
      <w:r w:rsidR="00D9258C" w:rsidRPr="00FD6A6A">
        <w:t>characterized</w:t>
      </w:r>
      <w:r w:rsidR="00541D05">
        <w:t xml:space="preserve"> </w:t>
      </w:r>
      <w:r w:rsidR="00D9258C" w:rsidRPr="00FD6A6A">
        <w:t>for</w:t>
      </w:r>
      <w:r w:rsidR="00541D05">
        <w:t xml:space="preserve"> </w:t>
      </w:r>
      <w:r w:rsidR="00D9258C" w:rsidRPr="00FD6A6A">
        <w:t>skin</w:t>
      </w:r>
      <w:r w:rsidR="00541D05">
        <w:t xml:space="preserve"> </w:t>
      </w:r>
      <w:r w:rsidR="00D9258C" w:rsidRPr="00FD6A6A">
        <w:t>tone/race,</w:t>
      </w:r>
      <w:r w:rsidR="00541D05">
        <w:t xml:space="preserve"> </w:t>
      </w:r>
      <w:r w:rsidR="00D9258C" w:rsidRPr="00FD6A6A">
        <w:t>ethnicity,</w:t>
      </w:r>
      <w:r w:rsidR="00541D05">
        <w:t xml:space="preserve"> </w:t>
      </w:r>
      <w:r w:rsidR="00D9258C" w:rsidRPr="00FD6A6A">
        <w:t>religion,</w:t>
      </w:r>
      <w:r w:rsidR="00541D05">
        <w:t xml:space="preserve"> </w:t>
      </w:r>
      <w:r w:rsidR="00D9258C" w:rsidRPr="00FD6A6A">
        <w:t>background,</w:t>
      </w:r>
      <w:r w:rsidR="00541D05">
        <w:t xml:space="preserve"> </w:t>
      </w:r>
      <w:r w:rsidR="00D9258C" w:rsidRPr="00FD6A6A">
        <w:t>or</w:t>
      </w:r>
      <w:r w:rsidR="00541D05">
        <w:t xml:space="preserve"> </w:t>
      </w:r>
      <w:r w:rsidR="00D9258C" w:rsidRPr="00FD6A6A">
        <w:t>country</w:t>
      </w:r>
      <w:r w:rsidR="00541D05">
        <w:t xml:space="preserve"> </w:t>
      </w:r>
      <w:r w:rsidR="00D9258C" w:rsidRPr="00FD6A6A">
        <w:t>of</w:t>
      </w:r>
      <w:r w:rsidR="00541D05">
        <w:t xml:space="preserve"> </w:t>
      </w:r>
      <w:r w:rsidR="00D9258C" w:rsidRPr="00FD6A6A">
        <w:t>origin.</w:t>
      </w:r>
      <w:r w:rsidR="00541D05">
        <w:t xml:space="preserve"> </w:t>
      </w:r>
      <w:r w:rsidR="00D9258C" w:rsidRPr="00FD6A6A">
        <w:t>The</w:t>
      </w:r>
      <w:r w:rsidR="00541D05">
        <w:t xml:space="preserve"> </w:t>
      </w:r>
      <w:r w:rsidR="00D9258C" w:rsidRPr="00FD6A6A">
        <w:t>penalty</w:t>
      </w:r>
      <w:r w:rsidR="00541D05">
        <w:t xml:space="preserve"> </w:t>
      </w:r>
      <w:r w:rsidR="00D9258C" w:rsidRPr="00FD6A6A">
        <w:t>related</w:t>
      </w:r>
      <w:r w:rsidR="00541D05">
        <w:t xml:space="preserve"> </w:t>
      </w:r>
      <w:r w:rsidR="00D9258C" w:rsidRPr="00FD6A6A">
        <w:t>thereto</w:t>
      </w:r>
      <w:r w:rsidR="00541D05">
        <w:t xml:space="preserve"> </w:t>
      </w:r>
      <w:r w:rsidR="00D9258C" w:rsidRPr="00FD6A6A">
        <w:t>is</w:t>
      </w:r>
      <w:r w:rsidR="00541D05">
        <w:t xml:space="preserve"> </w:t>
      </w:r>
      <w:r w:rsidR="00D9258C" w:rsidRPr="00FD6A6A">
        <w:t>established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7,716/1989.</w:t>
      </w:r>
    </w:p>
    <w:p w14:paraId="0DE337D6" w14:textId="5F4D4FAD" w:rsidR="00D9258C" w:rsidRPr="00FD6A6A" w:rsidRDefault="00166390" w:rsidP="00166390">
      <w:pPr>
        <w:pStyle w:val="ParaNoG"/>
        <w:numPr>
          <w:ilvl w:val="0"/>
          <w:numId w:val="0"/>
        </w:numPr>
        <w:tabs>
          <w:tab w:val="left" w:pos="0"/>
        </w:tabs>
        <w:ind w:left="1134"/>
      </w:pPr>
      <w:r w:rsidRPr="00FD6A6A">
        <w:t>25.</w:t>
      </w:r>
      <w:r w:rsidRPr="00FD6A6A">
        <w:tab/>
      </w:r>
      <w:r w:rsidR="00D9258C" w:rsidRPr="00FD6A6A">
        <w:t>For</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racial</w:t>
      </w:r>
      <w:r w:rsidR="00541D05">
        <w:t xml:space="preserve"> </w:t>
      </w:r>
      <w:r w:rsidR="00D9258C" w:rsidRPr="00FD6A6A">
        <w:t>slur,</w:t>
      </w:r>
      <w:r w:rsidR="00541D05">
        <w:t xml:space="preserve"> </w:t>
      </w:r>
      <w:r w:rsidR="00D9258C" w:rsidRPr="00FD6A6A">
        <w:t>the</w:t>
      </w:r>
      <w:r w:rsidR="00541D05">
        <w:t xml:space="preserve"> </w:t>
      </w:r>
      <w:r w:rsidR="00D9258C" w:rsidRPr="00FD6A6A">
        <w:t>Brazilian</w:t>
      </w:r>
      <w:r w:rsidR="00541D05">
        <w:t xml:space="preserve"> </w:t>
      </w:r>
      <w:r w:rsidR="00D9258C" w:rsidRPr="00FD6A6A">
        <w:t>Penal</w:t>
      </w:r>
      <w:r w:rsidR="00541D05">
        <w:t xml:space="preserve"> </w:t>
      </w:r>
      <w:r w:rsidR="00D9258C" w:rsidRPr="00FD6A6A">
        <w:t>Code</w:t>
      </w:r>
      <w:r w:rsidR="00541D05">
        <w:t xml:space="preserve"> </w:t>
      </w:r>
      <w:r w:rsidR="00D9258C" w:rsidRPr="00FD6A6A">
        <w:t>sets</w:t>
      </w:r>
      <w:r w:rsidR="00541D05">
        <w:t xml:space="preserve"> </w:t>
      </w:r>
      <w:r w:rsidR="00D9258C" w:rsidRPr="00FD6A6A">
        <w:t>forth</w:t>
      </w:r>
      <w:r w:rsidR="00541D05">
        <w:t xml:space="preserve"> </w:t>
      </w:r>
      <w:r w:rsidR="00D9258C" w:rsidRPr="00FD6A6A">
        <w:t>a</w:t>
      </w:r>
      <w:r w:rsidR="00541D05">
        <w:t xml:space="preserve"> </w:t>
      </w:r>
      <w:r w:rsidR="00D9258C" w:rsidRPr="00FD6A6A">
        <w:t>penalty</w:t>
      </w:r>
      <w:r w:rsidR="00541D05">
        <w:t xml:space="preserve"> </w:t>
      </w:r>
      <w:r w:rsidR="00D9258C" w:rsidRPr="00FD6A6A">
        <w:t>of</w:t>
      </w:r>
      <w:r w:rsidR="00541D05">
        <w:t xml:space="preserve"> </w:t>
      </w:r>
      <w:r w:rsidR="00D9258C" w:rsidRPr="00FD6A6A">
        <w:t>confinement</w:t>
      </w:r>
      <w:r w:rsidR="00541D05">
        <w:t xml:space="preserve"> </w:t>
      </w:r>
      <w:r w:rsidR="00D9258C" w:rsidRPr="00FD6A6A">
        <w:t>from</w:t>
      </w:r>
      <w:r w:rsidR="00541D05">
        <w:t xml:space="preserve"> </w:t>
      </w:r>
      <w:r w:rsidR="00D9258C" w:rsidRPr="00FD6A6A">
        <w:t>one</w:t>
      </w:r>
      <w:r w:rsidR="00541D05">
        <w:t xml:space="preserve"> </w:t>
      </w:r>
      <w:r w:rsidR="00D9258C" w:rsidRPr="00FD6A6A">
        <w:t>to</w:t>
      </w:r>
      <w:r w:rsidR="00541D05">
        <w:t xml:space="preserve"> </w:t>
      </w:r>
      <w:r w:rsidR="00D9258C" w:rsidRPr="00FD6A6A">
        <w:t>three</w:t>
      </w:r>
      <w:r w:rsidR="00541D05">
        <w:t xml:space="preserve"> </w:t>
      </w:r>
      <w:r w:rsidR="00D9258C" w:rsidRPr="00FD6A6A">
        <w:t>years,</w:t>
      </w:r>
      <w:r w:rsidR="00541D05">
        <w:t xml:space="preserve"> </w:t>
      </w:r>
      <w:r w:rsidR="00D9258C" w:rsidRPr="00FD6A6A">
        <w:t>and</w:t>
      </w:r>
      <w:r w:rsidR="00541D05">
        <w:t xml:space="preserve"> </w:t>
      </w:r>
      <w:r w:rsidR="00D9258C" w:rsidRPr="00FD6A6A">
        <w:t>a</w:t>
      </w:r>
      <w:r w:rsidR="00541D05">
        <w:t xml:space="preserve"> </w:t>
      </w:r>
      <w:r w:rsidR="00D9258C" w:rsidRPr="00FD6A6A">
        <w:t>fine.</w:t>
      </w:r>
      <w:r w:rsidR="00541D05">
        <w:t xml:space="preserve"> </w:t>
      </w:r>
      <w:r w:rsidR="00D9258C" w:rsidRPr="00FD6A6A">
        <w:t>For</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racism,</w:t>
      </w:r>
      <w:r w:rsidR="00541D05">
        <w:t xml:space="preserve"> </w:t>
      </w:r>
      <w:r w:rsidR="00D9258C" w:rsidRPr="00FD6A6A">
        <w:t>there</w:t>
      </w:r>
      <w:r w:rsidR="00541D05">
        <w:t xml:space="preserve"> </w:t>
      </w:r>
      <w:r w:rsidR="00D9258C" w:rsidRPr="00FD6A6A">
        <w:t>are</w:t>
      </w:r>
      <w:r w:rsidR="00541D05">
        <w:t xml:space="preserve"> </w:t>
      </w:r>
      <w:r w:rsidR="00D9258C" w:rsidRPr="00FD6A6A">
        <w:t>several</w:t>
      </w:r>
      <w:r w:rsidR="00541D05">
        <w:t xml:space="preserve"> </w:t>
      </w:r>
      <w:r w:rsidR="00D9258C" w:rsidRPr="00FD6A6A">
        <w:t>penalties</w:t>
      </w:r>
      <w:r w:rsidR="00541D05">
        <w:t xml:space="preserve"> </w:t>
      </w:r>
      <w:r w:rsidR="00D9258C" w:rsidRPr="00FD6A6A">
        <w:t>for</w:t>
      </w:r>
      <w:r w:rsidR="00541D05">
        <w:t xml:space="preserve"> </w:t>
      </w:r>
      <w:r w:rsidR="00D9258C" w:rsidRPr="00FD6A6A">
        <w:t>different</w:t>
      </w:r>
      <w:r w:rsidR="00541D05">
        <w:t xml:space="preserve"> </w:t>
      </w:r>
      <w:r w:rsidR="00D9258C" w:rsidRPr="00FD6A6A">
        <w:t>types</w:t>
      </w:r>
      <w:r w:rsidR="00541D05">
        <w:t xml:space="preserve"> </w:t>
      </w:r>
      <w:r w:rsidR="00D9258C" w:rsidRPr="00FD6A6A">
        <w:t>of</w:t>
      </w:r>
      <w:r w:rsidR="00541D05">
        <w:t xml:space="preserve"> </w:t>
      </w:r>
      <w:r w:rsidR="00D9258C" w:rsidRPr="00FD6A6A">
        <w:t>conduct,</w:t>
      </w:r>
      <w:r w:rsidR="00541D05">
        <w:t xml:space="preserve"> </w:t>
      </w:r>
      <w:r w:rsidR="00D9258C" w:rsidRPr="00FD6A6A">
        <w:t>as</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Law</w:t>
      </w:r>
      <w:r w:rsidR="00541D05">
        <w:t xml:space="preserve"> </w:t>
      </w:r>
      <w:r w:rsidR="00D9258C" w:rsidRPr="00FD6A6A">
        <w:t>No.</w:t>
      </w:r>
      <w:r w:rsidR="00541D05">
        <w:t xml:space="preserve"> </w:t>
      </w:r>
      <w:r w:rsidR="00D9258C" w:rsidRPr="00FD6A6A">
        <w:t>7,716/1989.</w:t>
      </w:r>
      <w:r w:rsidR="00541D05">
        <w:t xml:space="preserve"> </w:t>
      </w:r>
      <w:r w:rsidR="00D9258C" w:rsidRPr="00FD6A6A">
        <w:t>Although</w:t>
      </w:r>
      <w:r w:rsidR="00541D05">
        <w:t xml:space="preserve"> </w:t>
      </w:r>
      <w:r w:rsidR="00D9258C" w:rsidRPr="00FD6A6A">
        <w:t>it</w:t>
      </w:r>
      <w:r w:rsidR="00541D05">
        <w:t xml:space="preserve"> </w:t>
      </w:r>
      <w:r w:rsidR="00D9258C" w:rsidRPr="00FD6A6A">
        <w:lastRenderedPageBreak/>
        <w:t>regulates</w:t>
      </w:r>
      <w:r w:rsidR="00541D05">
        <w:t xml:space="preserve"> </w:t>
      </w:r>
      <w:r w:rsidR="00D9258C" w:rsidRPr="00FD6A6A">
        <w:t>a</w:t>
      </w:r>
      <w:r w:rsidR="00541D05">
        <w:t xml:space="preserve"> </w:t>
      </w:r>
      <w:r w:rsidR="00D9258C" w:rsidRPr="00FD6A6A">
        <w:t>wide</w:t>
      </w:r>
      <w:r w:rsidR="00541D05">
        <w:t xml:space="preserve"> </w:t>
      </w:r>
      <w:r w:rsidR="00D9258C" w:rsidRPr="00FD6A6A">
        <w:t>range</w:t>
      </w:r>
      <w:r w:rsidR="00541D05">
        <w:t xml:space="preserve"> </w:t>
      </w:r>
      <w:r w:rsidR="00D9258C" w:rsidRPr="00FD6A6A">
        <w:t>of</w:t>
      </w:r>
      <w:r w:rsidR="00541D05">
        <w:t xml:space="preserve"> </w:t>
      </w:r>
      <w:r w:rsidR="00D9258C" w:rsidRPr="00FD6A6A">
        <w:t>conducts,</w:t>
      </w:r>
      <w:r w:rsidR="00541D05">
        <w:t xml:space="preserve"> </w:t>
      </w:r>
      <w:r w:rsidR="00D9258C" w:rsidRPr="00FD6A6A">
        <w:t>the</w:t>
      </w:r>
      <w:r w:rsidR="00541D05">
        <w:t xml:space="preserve"> </w:t>
      </w:r>
      <w:r w:rsidR="00D9258C" w:rsidRPr="00FD6A6A">
        <w:t>abovementioned</w:t>
      </w:r>
      <w:r w:rsidR="00541D05">
        <w:t xml:space="preserve"> </w:t>
      </w:r>
      <w:r w:rsidR="00D9258C" w:rsidRPr="00FD6A6A">
        <w:t>laws</w:t>
      </w:r>
      <w:r w:rsidR="00541D05">
        <w:t xml:space="preserve"> </w:t>
      </w:r>
      <w:r w:rsidR="00D9258C" w:rsidRPr="00FD6A6A">
        <w:t>provide</w:t>
      </w:r>
      <w:r w:rsidR="00541D05">
        <w:t xml:space="preserve"> </w:t>
      </w:r>
      <w:r w:rsidR="00D9258C" w:rsidRPr="00FD6A6A">
        <w:t>for</w:t>
      </w:r>
      <w:r w:rsidR="00541D05">
        <w:t xml:space="preserve"> </w:t>
      </w:r>
      <w:r w:rsidR="00D9258C" w:rsidRPr="00FD6A6A">
        <w:t>distinct</w:t>
      </w:r>
      <w:r w:rsidR="00541D05">
        <w:t xml:space="preserve"> </w:t>
      </w:r>
      <w:r w:rsidR="00D9258C" w:rsidRPr="00FD6A6A">
        <w:t>criminal</w:t>
      </w:r>
      <w:r w:rsidR="00541D05">
        <w:t xml:space="preserve"> </w:t>
      </w:r>
      <w:r w:rsidR="00D9258C" w:rsidRPr="00FD6A6A">
        <w:t>sanctions</w:t>
      </w:r>
      <w:r w:rsidR="00541D05">
        <w:t xml:space="preserve"> </w:t>
      </w:r>
      <w:r w:rsidR="00D9258C" w:rsidRPr="00FD6A6A">
        <w:t>for</w:t>
      </w:r>
      <w:r w:rsidR="00541D05">
        <w:t xml:space="preserve"> </w:t>
      </w:r>
      <w:r w:rsidR="00D9258C" w:rsidRPr="00FD6A6A">
        <w:t>similar</w:t>
      </w:r>
      <w:r w:rsidR="00541D05">
        <w:t xml:space="preserve"> </w:t>
      </w:r>
      <w:r w:rsidR="00D9258C" w:rsidRPr="00FD6A6A">
        <w:t>situations,</w:t>
      </w:r>
      <w:r w:rsidR="00541D05">
        <w:t xml:space="preserve"> </w:t>
      </w:r>
      <w:r w:rsidR="00D9258C" w:rsidRPr="00FD6A6A">
        <w:t>which</w:t>
      </w:r>
      <w:r w:rsidR="00541D05">
        <w:t xml:space="preserve"> </w:t>
      </w:r>
      <w:r w:rsidR="00D9258C" w:rsidRPr="00FD6A6A">
        <w:t>could</w:t>
      </w:r>
      <w:r w:rsidR="00541D05">
        <w:t xml:space="preserve"> </w:t>
      </w:r>
      <w:r w:rsidR="00D9258C" w:rsidRPr="00FD6A6A">
        <w:t>indicate</w:t>
      </w:r>
      <w:r w:rsidR="00541D05">
        <w:t xml:space="preserve"> </w:t>
      </w:r>
      <w:r w:rsidR="00D9258C" w:rsidRPr="00FD6A6A">
        <w:t>the</w:t>
      </w:r>
      <w:r w:rsidR="00541D05">
        <w:t xml:space="preserve"> </w:t>
      </w:r>
      <w:r w:rsidR="00D9258C" w:rsidRPr="00FD6A6A">
        <w:t>need</w:t>
      </w:r>
      <w:r w:rsidR="00541D05">
        <w:t xml:space="preserve"> </w:t>
      </w:r>
      <w:r w:rsidR="00D9258C" w:rsidRPr="00FD6A6A">
        <w:t>for</w:t>
      </w:r>
      <w:r w:rsidR="00541D05">
        <w:t xml:space="preserve"> </w:t>
      </w:r>
      <w:r w:rsidR="00D9258C" w:rsidRPr="00FD6A6A">
        <w:t>enhancing</w:t>
      </w:r>
      <w:r w:rsidR="00541D05">
        <w:t xml:space="preserve"> </w:t>
      </w:r>
      <w:r w:rsidR="00D9258C" w:rsidRPr="00FD6A6A">
        <w:t>the</w:t>
      </w:r>
      <w:r w:rsidR="00541D05">
        <w:t xml:space="preserve"> </w:t>
      </w:r>
      <w:r w:rsidR="00D9258C" w:rsidRPr="00FD6A6A">
        <w:t>legislation.</w:t>
      </w:r>
    </w:p>
    <w:p w14:paraId="60E1B5F3" w14:textId="1E4BDC40" w:rsidR="00D9258C" w:rsidRPr="00FD6A6A" w:rsidRDefault="00166390" w:rsidP="00166390">
      <w:pPr>
        <w:pStyle w:val="ParaNoG"/>
        <w:numPr>
          <w:ilvl w:val="0"/>
          <w:numId w:val="0"/>
        </w:numPr>
        <w:tabs>
          <w:tab w:val="left" w:pos="0"/>
        </w:tabs>
        <w:ind w:left="1134"/>
      </w:pPr>
      <w:r w:rsidRPr="00FD6A6A">
        <w:t>26.</w:t>
      </w:r>
      <w:r w:rsidRPr="00FD6A6A">
        <w:tab/>
      </w:r>
      <w:r w:rsidR="00D9258C" w:rsidRPr="00FD6A6A">
        <w:t>Until</w:t>
      </w:r>
      <w:r w:rsidR="00541D05">
        <w:t xml:space="preserve"> </w:t>
      </w:r>
      <w:r w:rsidR="00D9258C" w:rsidRPr="00FD6A6A">
        <w:t>2016,</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racial</w:t>
      </w:r>
      <w:r w:rsidR="00541D05">
        <w:t xml:space="preserve"> </w:t>
      </w:r>
      <w:r w:rsidR="00D9258C" w:rsidRPr="00FD6A6A">
        <w:t>slur</w:t>
      </w:r>
      <w:r w:rsidR="00541D05">
        <w:t xml:space="preserve"> </w:t>
      </w:r>
      <w:r w:rsidR="00D9258C" w:rsidRPr="00FD6A6A">
        <w:t>was</w:t>
      </w:r>
      <w:r w:rsidR="00541D05">
        <w:t xml:space="preserve"> </w:t>
      </w:r>
      <w:r w:rsidR="00D9258C" w:rsidRPr="00FD6A6A">
        <w:t>a</w:t>
      </w:r>
      <w:r w:rsidR="00541D05">
        <w:t xml:space="preserve"> </w:t>
      </w:r>
      <w:r w:rsidR="00D9258C" w:rsidRPr="00FD6A6A">
        <w:t>bailable</w:t>
      </w:r>
      <w:r w:rsidR="00541D05">
        <w:t xml:space="preserve"> </w:t>
      </w:r>
      <w:r w:rsidR="00D9258C" w:rsidRPr="00FD6A6A">
        <w:t>and</w:t>
      </w:r>
      <w:r w:rsidR="00541D05">
        <w:t xml:space="preserve"> </w:t>
      </w:r>
      <w:r w:rsidR="00D9258C" w:rsidRPr="00FD6A6A">
        <w:t>prescribable</w:t>
      </w:r>
      <w:r w:rsidR="00541D05">
        <w:t xml:space="preserve"> </w:t>
      </w:r>
      <w:r w:rsidR="00D9258C" w:rsidRPr="00FD6A6A">
        <w:t>crime,</w:t>
      </w:r>
      <w:r w:rsidR="00541D05">
        <w:t xml:space="preserve"> </w:t>
      </w:r>
      <w:r w:rsidR="00D9258C" w:rsidRPr="00FD6A6A">
        <w:t>different</w:t>
      </w:r>
      <w:r w:rsidR="00541D05">
        <w:t xml:space="preserve"> </w:t>
      </w:r>
      <w:r w:rsidR="00D9258C" w:rsidRPr="00FD6A6A">
        <w:t>from</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racism.</w:t>
      </w:r>
      <w:r w:rsidR="00541D05">
        <w:t xml:space="preserve"> </w:t>
      </w:r>
      <w:r w:rsidR="00D9258C" w:rsidRPr="00FD6A6A">
        <w:t>In</w:t>
      </w:r>
      <w:r w:rsidR="00541D05">
        <w:t xml:space="preserve"> </w:t>
      </w:r>
      <w:r w:rsidR="00D9258C" w:rsidRPr="00FD6A6A">
        <w:t>January</w:t>
      </w:r>
      <w:r w:rsidR="00541D05">
        <w:t xml:space="preserve"> </w:t>
      </w:r>
      <w:r w:rsidR="00D9258C" w:rsidRPr="00FD6A6A">
        <w:t>2016,</w:t>
      </w:r>
      <w:r w:rsidR="00541D05">
        <w:t xml:space="preserve"> </w:t>
      </w:r>
      <w:r w:rsidR="00D9258C" w:rsidRPr="00FD6A6A">
        <w:t>the</w:t>
      </w:r>
      <w:r w:rsidR="00541D05">
        <w:t xml:space="preserve"> </w:t>
      </w:r>
      <w:r w:rsidR="00D9258C" w:rsidRPr="00FD6A6A">
        <w:t>Superior</w:t>
      </w:r>
      <w:r w:rsidR="00541D05">
        <w:t xml:space="preserve"> </w:t>
      </w:r>
      <w:r w:rsidR="00D9258C" w:rsidRPr="00FD6A6A">
        <w:t>Court</w:t>
      </w:r>
      <w:r w:rsidR="00541D05">
        <w:t xml:space="preserve"> </w:t>
      </w:r>
      <w:r w:rsidR="00D9258C" w:rsidRPr="00FD6A6A">
        <w:t>of</w:t>
      </w:r>
      <w:r w:rsidR="00541D05">
        <w:t xml:space="preserve"> </w:t>
      </w:r>
      <w:r w:rsidR="00D9258C" w:rsidRPr="00FD6A6A">
        <w:t>Justice</w:t>
      </w:r>
      <w:r w:rsidR="00541D05">
        <w:t xml:space="preserve"> </w:t>
      </w:r>
      <w:r w:rsidR="00D9258C" w:rsidRPr="00FD6A6A">
        <w:t>(STJ)</w:t>
      </w:r>
      <w:r w:rsidR="00541D05">
        <w:t xml:space="preserve"> </w:t>
      </w:r>
      <w:r w:rsidR="00D9258C" w:rsidRPr="00FD6A6A">
        <w:t>ruled</w:t>
      </w:r>
      <w:r w:rsidR="00541D05">
        <w:t xml:space="preserve"> </w:t>
      </w:r>
      <w:r w:rsidR="00D9258C" w:rsidRPr="00FD6A6A">
        <w:t>that</w:t>
      </w:r>
      <w:r w:rsidR="00541D05">
        <w:t xml:space="preserve"> </w:t>
      </w:r>
      <w:r w:rsidR="00D9258C" w:rsidRPr="00FD6A6A">
        <w:t>racial</w:t>
      </w:r>
      <w:r w:rsidR="00541D05">
        <w:t xml:space="preserve"> </w:t>
      </w:r>
      <w:r w:rsidR="00D9258C" w:rsidRPr="00FD6A6A">
        <w:t>slur</w:t>
      </w:r>
      <w:r w:rsidR="00541D05">
        <w:t xml:space="preserve"> </w:t>
      </w:r>
      <w:r w:rsidR="00D9258C" w:rsidRPr="00FD6A6A">
        <w:t>is</w:t>
      </w:r>
      <w:r w:rsidR="00541D05">
        <w:t xml:space="preserve"> </w:t>
      </w:r>
      <w:r w:rsidR="00D9258C" w:rsidRPr="00FD6A6A">
        <w:t>also</w:t>
      </w:r>
      <w:r w:rsidR="00541D05">
        <w:t xml:space="preserve"> </w:t>
      </w:r>
      <w:r w:rsidR="00D9258C" w:rsidRPr="00FD6A6A">
        <w:t>an</w:t>
      </w:r>
      <w:r w:rsidR="00541D05">
        <w:t xml:space="preserve"> </w:t>
      </w:r>
      <w:r w:rsidR="00D9258C" w:rsidRPr="00FD6A6A">
        <w:t>imprescriptible</w:t>
      </w:r>
      <w:r w:rsidR="00541D05">
        <w:t xml:space="preserve"> </w:t>
      </w:r>
      <w:r w:rsidR="00D9258C" w:rsidRPr="00FD6A6A">
        <w:t>crime,</w:t>
      </w:r>
      <w:r w:rsidR="00541D05">
        <w:t xml:space="preserve"> </w:t>
      </w:r>
      <w:r w:rsidR="00D9258C" w:rsidRPr="00FD6A6A">
        <w:t>which</w:t>
      </w:r>
      <w:r w:rsidR="00541D05">
        <w:t xml:space="preserve"> </w:t>
      </w:r>
      <w:r w:rsidR="00D9258C" w:rsidRPr="00FD6A6A">
        <w:t>differs</w:t>
      </w:r>
      <w:r w:rsidR="00541D05">
        <w:t xml:space="preserve"> </w:t>
      </w:r>
      <w:r w:rsidR="00D9258C" w:rsidRPr="00FD6A6A">
        <w:t>from</w:t>
      </w:r>
      <w:r w:rsidR="00541D05">
        <w:t xml:space="preserve"> </w:t>
      </w:r>
      <w:r w:rsidR="00D9258C" w:rsidRPr="00FD6A6A">
        <w:t>the</w:t>
      </w:r>
      <w:r w:rsidR="00541D05">
        <w:t xml:space="preserve"> </w:t>
      </w:r>
      <w:r w:rsidR="00D9258C" w:rsidRPr="00FD6A6A">
        <w:t>regulation</w:t>
      </w:r>
      <w:r w:rsidR="00541D05">
        <w:t xml:space="preserve"> </w:t>
      </w:r>
      <w:r w:rsidR="00D9258C" w:rsidRPr="00FD6A6A">
        <w:t>established</w:t>
      </w:r>
      <w:r w:rsidR="00541D05">
        <w:t xml:space="preserve"> </w:t>
      </w:r>
      <w:r w:rsidR="00D9258C" w:rsidRPr="00FD6A6A">
        <w:t>for</w:t>
      </w:r>
      <w:r w:rsidR="00541D05">
        <w:t xml:space="preserve"> </w:t>
      </w:r>
      <w:r w:rsidR="00D9258C" w:rsidRPr="00FD6A6A">
        <w:t>the</w:t>
      </w:r>
      <w:r w:rsidR="00541D05">
        <w:t xml:space="preserve"> </w:t>
      </w:r>
      <w:r w:rsidR="00D9258C" w:rsidRPr="00FD6A6A">
        <w:t>other</w:t>
      </w:r>
      <w:r w:rsidR="00541D05">
        <w:t xml:space="preserve"> </w:t>
      </w:r>
      <w:r w:rsidR="00D9258C" w:rsidRPr="00FD6A6A">
        <w:t>crimes</w:t>
      </w:r>
      <w:r w:rsidR="00541D05">
        <w:t xml:space="preserve"> </w:t>
      </w:r>
      <w:r w:rsidR="00D9258C" w:rsidRPr="00FD6A6A">
        <w:t>against</w:t>
      </w:r>
      <w:r w:rsidR="00541D05">
        <w:t xml:space="preserve"> </w:t>
      </w:r>
      <w:r w:rsidR="00D9258C" w:rsidRPr="00FD6A6A">
        <w:t>personal</w:t>
      </w:r>
      <w:r w:rsidR="00541D05">
        <w:t xml:space="preserve"> </w:t>
      </w:r>
      <w:r w:rsidR="00D9258C" w:rsidRPr="00FD6A6A">
        <w:t>dignity.</w:t>
      </w:r>
      <w:r w:rsidR="00541D05">
        <w:t xml:space="preserve"> </w:t>
      </w:r>
      <w:r w:rsidR="00D9258C" w:rsidRPr="00FD6A6A">
        <w:t>The</w:t>
      </w:r>
      <w:r w:rsidR="00541D05">
        <w:t xml:space="preserve"> </w:t>
      </w:r>
      <w:r w:rsidR="00D9258C" w:rsidRPr="00FD6A6A">
        <w:t>case</w:t>
      </w:r>
      <w:r w:rsidR="00541D05">
        <w:t xml:space="preserve"> </w:t>
      </w:r>
      <w:r w:rsidR="00D9258C" w:rsidRPr="00FD6A6A">
        <w:t>law</w:t>
      </w:r>
      <w:r w:rsidR="00541D05">
        <w:t xml:space="preserve"> </w:t>
      </w:r>
      <w:r w:rsidR="00D9258C" w:rsidRPr="00FD6A6A">
        <w:t>has</w:t>
      </w:r>
      <w:r w:rsidR="00541D05">
        <w:t xml:space="preserve"> </w:t>
      </w:r>
      <w:r w:rsidR="00D9258C" w:rsidRPr="00FD6A6A">
        <w:t>consolidated</w:t>
      </w:r>
      <w:r w:rsidR="00541D05">
        <w:t xml:space="preserve"> </w:t>
      </w:r>
      <w:r w:rsidR="00D9258C" w:rsidRPr="00FD6A6A">
        <w:t>a</w:t>
      </w:r>
      <w:r w:rsidR="00541D05">
        <w:t xml:space="preserve"> </w:t>
      </w:r>
      <w:r w:rsidR="00D9258C" w:rsidRPr="00FD6A6A">
        <w:t>specific</w:t>
      </w:r>
      <w:r w:rsidR="00541D05">
        <w:t xml:space="preserve"> </w:t>
      </w:r>
      <w:r w:rsidR="00D9258C" w:rsidRPr="00FD6A6A">
        <w:t>legal</w:t>
      </w:r>
      <w:r w:rsidR="00541D05">
        <w:t xml:space="preserve"> </w:t>
      </w:r>
      <w:r w:rsidR="00D9258C" w:rsidRPr="00FD6A6A">
        <w:t>regime</w:t>
      </w:r>
      <w:r w:rsidR="00541D05">
        <w:t xml:space="preserve"> </w:t>
      </w:r>
      <w:r w:rsidR="00D9258C" w:rsidRPr="00FD6A6A">
        <w:t>to</w:t>
      </w:r>
      <w:r w:rsidR="00541D05">
        <w:t xml:space="preserve"> </w:t>
      </w:r>
      <w:r w:rsidR="00D9258C" w:rsidRPr="00FD6A6A">
        <w:t>address</w:t>
      </w:r>
      <w:r w:rsidR="00541D05">
        <w:t xml:space="preserve"> </w:t>
      </w:r>
      <w:r w:rsidR="00D9258C" w:rsidRPr="00FD6A6A">
        <w:t>discriminatory</w:t>
      </w:r>
      <w:r w:rsidR="00541D05">
        <w:t xml:space="preserve"> </w:t>
      </w:r>
      <w:r w:rsidR="00D9258C" w:rsidRPr="00FD6A6A">
        <w:t>practices</w:t>
      </w:r>
      <w:r w:rsidR="00541D05">
        <w:t xml:space="preserve"> </w:t>
      </w:r>
      <w:r w:rsidR="00D9258C" w:rsidRPr="00FD6A6A">
        <w:t>on</w:t>
      </w:r>
      <w:r w:rsidR="00541D05">
        <w:t xml:space="preserve"> </w:t>
      </w:r>
      <w:r w:rsidR="00D9258C" w:rsidRPr="00FD6A6A">
        <w:t>the</w:t>
      </w:r>
      <w:r w:rsidR="00541D05">
        <w:t xml:space="preserve"> </w:t>
      </w:r>
      <w:r w:rsidR="00D9258C" w:rsidRPr="00FD6A6A">
        <w:t>basis</w:t>
      </w:r>
      <w:r w:rsidR="00541D05">
        <w:t xml:space="preserve"> </w:t>
      </w:r>
      <w:r w:rsidR="00D9258C" w:rsidRPr="00FD6A6A">
        <w:t>of</w:t>
      </w:r>
      <w:r w:rsidR="00541D05">
        <w:t xml:space="preserve"> </w:t>
      </w:r>
      <w:r w:rsidR="00D9258C" w:rsidRPr="00FD6A6A">
        <w:t>race.</w:t>
      </w:r>
    </w:p>
    <w:p w14:paraId="4E0E27BC" w14:textId="0C331225" w:rsidR="00D9258C" w:rsidRPr="00FD6A6A" w:rsidRDefault="00166390" w:rsidP="00166390">
      <w:pPr>
        <w:pStyle w:val="ParaNoG"/>
        <w:numPr>
          <w:ilvl w:val="0"/>
          <w:numId w:val="0"/>
        </w:numPr>
        <w:tabs>
          <w:tab w:val="left" w:pos="0"/>
        </w:tabs>
        <w:ind w:left="1134"/>
      </w:pPr>
      <w:r w:rsidRPr="00FD6A6A">
        <w:t>27.</w:t>
      </w:r>
      <w:r w:rsidRPr="00FD6A6A">
        <w:tab/>
      </w:r>
      <w:r w:rsidR="00D9258C" w:rsidRPr="00FD6A6A">
        <w:t>By</w:t>
      </w:r>
      <w:r w:rsidR="00541D05">
        <w:t xml:space="preserve"> </w:t>
      </w:r>
      <w:r w:rsidR="00D9258C" w:rsidRPr="00FD6A6A">
        <w:t>considering</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racial</w:t>
      </w:r>
      <w:r w:rsidR="00541D05">
        <w:t xml:space="preserve"> </w:t>
      </w:r>
      <w:r w:rsidR="00D9258C" w:rsidRPr="00FD6A6A">
        <w:t>slur</w:t>
      </w:r>
      <w:r w:rsidR="00541D05">
        <w:t xml:space="preserve"> </w:t>
      </w:r>
      <w:r w:rsidR="00D9258C" w:rsidRPr="00FD6A6A">
        <w:t>as</w:t>
      </w:r>
      <w:r w:rsidR="00541D05">
        <w:t xml:space="preserve"> </w:t>
      </w:r>
      <w:r w:rsidR="00D9258C" w:rsidRPr="00FD6A6A">
        <w:t>a</w:t>
      </w:r>
      <w:r w:rsidR="00541D05">
        <w:t xml:space="preserve"> </w:t>
      </w:r>
      <w:r w:rsidR="00D9258C" w:rsidRPr="00FD6A6A">
        <w:t>non-bailable</w:t>
      </w:r>
      <w:r w:rsidR="00541D05">
        <w:t xml:space="preserve"> </w:t>
      </w:r>
      <w:r w:rsidR="00D9258C" w:rsidRPr="00FD6A6A">
        <w:t>and</w:t>
      </w:r>
      <w:r w:rsidR="00541D05">
        <w:t xml:space="preserve"> </w:t>
      </w:r>
      <w:r w:rsidR="00D9258C" w:rsidRPr="00FD6A6A">
        <w:t>imprescriptible,</w:t>
      </w:r>
      <w:r w:rsidR="00541D05">
        <w:t xml:space="preserve"> </w:t>
      </w:r>
      <w:r w:rsidR="00D9258C" w:rsidRPr="00FD6A6A">
        <w:t>Brazil</w:t>
      </w:r>
      <w:r w:rsidR="00541D05">
        <w:t xml:space="preserve"> </w:t>
      </w:r>
      <w:r w:rsidR="00D9258C" w:rsidRPr="00FD6A6A">
        <w:t>confirms</w:t>
      </w:r>
      <w:r w:rsidR="00541D05">
        <w:t xml:space="preserve"> </w:t>
      </w:r>
      <w:r w:rsidR="00D9258C" w:rsidRPr="00FD6A6A">
        <w:t>the</w:t>
      </w:r>
      <w:r w:rsidR="00541D05">
        <w:t xml:space="preserve"> </w:t>
      </w:r>
      <w:r w:rsidR="00D9258C" w:rsidRPr="00FD6A6A">
        <w:t>social,</w:t>
      </w:r>
      <w:r w:rsidR="00541D05">
        <w:t xml:space="preserve"> </w:t>
      </w:r>
      <w:r w:rsidR="00D9258C" w:rsidRPr="00FD6A6A">
        <w:t>political,</w:t>
      </w:r>
      <w:r w:rsidR="00541D05">
        <w:t xml:space="preserve"> </w:t>
      </w:r>
      <w:r w:rsidR="00D9258C" w:rsidRPr="00FD6A6A">
        <w:t>and</w:t>
      </w:r>
      <w:r w:rsidR="00541D05">
        <w:t xml:space="preserve"> </w:t>
      </w:r>
      <w:r w:rsidR="00D9258C" w:rsidRPr="00FD6A6A">
        <w:t>institutional</w:t>
      </w:r>
      <w:r w:rsidR="00541D05">
        <w:t xml:space="preserve"> </w:t>
      </w:r>
      <w:r w:rsidR="00541D05" w:rsidRPr="00FD6A6A">
        <w:t>condemnation</w:t>
      </w:r>
      <w:r w:rsidR="00541D05">
        <w:t xml:space="preserve"> </w:t>
      </w:r>
      <w:r w:rsidR="00D9258C" w:rsidRPr="00FD6A6A">
        <w:t>of</w:t>
      </w:r>
      <w:r w:rsidR="00541D05">
        <w:t xml:space="preserve"> </w:t>
      </w:r>
      <w:r w:rsidR="00D9258C" w:rsidRPr="00FD6A6A">
        <w:t>racist</w:t>
      </w:r>
      <w:r w:rsidR="00541D05">
        <w:t xml:space="preserve"> </w:t>
      </w:r>
      <w:r w:rsidR="00D9258C" w:rsidRPr="00FD6A6A">
        <w:t>conducts</w:t>
      </w:r>
      <w:r w:rsidR="00541D05">
        <w:t xml:space="preserve"> </w:t>
      </w:r>
      <w:r w:rsidR="00D9258C" w:rsidRPr="00FD6A6A">
        <w:t>of</w:t>
      </w:r>
      <w:r w:rsidR="00541D05">
        <w:t xml:space="preserve"> </w:t>
      </w:r>
      <w:r w:rsidR="00D9258C" w:rsidRPr="00FD6A6A">
        <w:t>any</w:t>
      </w:r>
      <w:r w:rsidR="00541D05">
        <w:t xml:space="preserve"> </w:t>
      </w:r>
      <w:r w:rsidR="00D9258C" w:rsidRPr="00FD6A6A">
        <w:t>kind,</w:t>
      </w:r>
      <w:r w:rsidR="00541D05">
        <w:t xml:space="preserve"> </w:t>
      </w:r>
      <w:r w:rsidR="00D9258C" w:rsidRPr="00FD6A6A">
        <w:t>while</w:t>
      </w:r>
      <w:r w:rsidR="00541D05">
        <w:t xml:space="preserve"> </w:t>
      </w:r>
      <w:r w:rsidR="00D9258C" w:rsidRPr="00FD6A6A">
        <w:t>also</w:t>
      </w:r>
      <w:r w:rsidR="00541D05">
        <w:t xml:space="preserve"> </w:t>
      </w:r>
      <w:r w:rsidR="00D9258C" w:rsidRPr="00FD6A6A">
        <w:t>acknowledging</w:t>
      </w:r>
      <w:r w:rsidR="00541D05">
        <w:t xml:space="preserve"> </w:t>
      </w:r>
      <w:r w:rsidR="00D9258C" w:rsidRPr="00FD6A6A">
        <w:t>the</w:t>
      </w:r>
      <w:r w:rsidR="00541D05">
        <w:t xml:space="preserve"> </w:t>
      </w:r>
      <w:r w:rsidR="00D9258C" w:rsidRPr="00FD6A6A">
        <w:t>severity</w:t>
      </w:r>
      <w:r w:rsidR="00541D05">
        <w:t xml:space="preserve"> </w:t>
      </w:r>
      <w:r w:rsidR="00D9258C" w:rsidRPr="00FD6A6A">
        <w:t>of</w:t>
      </w:r>
      <w:r w:rsidR="00541D05">
        <w:t xml:space="preserve"> </w:t>
      </w:r>
      <w:r w:rsidR="00D9258C" w:rsidRPr="00FD6A6A">
        <w:t>its</w:t>
      </w:r>
      <w:r w:rsidR="00541D05">
        <w:t xml:space="preserve"> </w:t>
      </w:r>
      <w:r w:rsidR="00D9258C" w:rsidRPr="00FD6A6A">
        <w:t>damage.</w:t>
      </w:r>
    </w:p>
    <w:p w14:paraId="101725D3" w14:textId="23FBC14B" w:rsidR="00D9258C" w:rsidRPr="00FD6A6A" w:rsidRDefault="00166390" w:rsidP="00166390">
      <w:pPr>
        <w:pStyle w:val="ParaNoG"/>
        <w:numPr>
          <w:ilvl w:val="0"/>
          <w:numId w:val="0"/>
        </w:numPr>
        <w:tabs>
          <w:tab w:val="left" w:pos="0"/>
        </w:tabs>
        <w:ind w:left="1134"/>
      </w:pPr>
      <w:r w:rsidRPr="00FD6A6A">
        <w:t>28.</w:t>
      </w:r>
      <w:r w:rsidRPr="00FD6A6A">
        <w:tab/>
      </w:r>
      <w:r w:rsidR="00D9258C" w:rsidRPr="00FD6A6A">
        <w:t>There</w:t>
      </w:r>
      <w:r w:rsidR="00541D05">
        <w:t xml:space="preserve"> </w:t>
      </w:r>
      <w:r w:rsidR="00D9258C" w:rsidRPr="00FD6A6A">
        <w:t>is</w:t>
      </w:r>
      <w:r w:rsidR="00541D05">
        <w:t xml:space="preserve"> </w:t>
      </w:r>
      <w:r w:rsidR="00D9258C" w:rsidRPr="00FD6A6A">
        <w:t>a</w:t>
      </w:r>
      <w:r w:rsidR="00541D05">
        <w:t xml:space="preserve"> </w:t>
      </w:r>
      <w:r w:rsidR="00D9258C" w:rsidRPr="00FD6A6A">
        <w:t>wide</w:t>
      </w:r>
      <w:r w:rsidR="00541D05">
        <w:t xml:space="preserve"> </w:t>
      </w:r>
      <w:r w:rsidR="00D9258C" w:rsidRPr="00FD6A6A">
        <w:t>range</w:t>
      </w:r>
      <w:r w:rsidR="00541D05">
        <w:t xml:space="preserve"> </w:t>
      </w:r>
      <w:r w:rsidR="00D9258C" w:rsidRPr="00FD6A6A">
        <w:t>of</w:t>
      </w:r>
      <w:r w:rsidR="00541D05">
        <w:t xml:space="preserve"> </w:t>
      </w:r>
      <w:r w:rsidR="00D9258C" w:rsidRPr="00FD6A6A">
        <w:t>institutions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protection</w:t>
      </w:r>
      <w:r w:rsidR="00541D05">
        <w:t xml:space="preserve"> </w:t>
      </w:r>
      <w:r w:rsidR="00D9258C" w:rsidRPr="00FD6A6A">
        <w:t>and</w:t>
      </w:r>
      <w:r w:rsidR="00541D05">
        <w:t xml:space="preserve"> </w:t>
      </w:r>
      <w:r w:rsidR="00D9258C" w:rsidRPr="00FD6A6A">
        <w:t>promotion</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in</w:t>
      </w:r>
      <w:r w:rsidR="00541D05">
        <w:t xml:space="preserve"> </w:t>
      </w:r>
      <w:r w:rsidR="00D9258C" w:rsidRPr="00FD6A6A">
        <w:t>Brazil.</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Family,</w:t>
      </w:r>
      <w:r w:rsidR="00541D05">
        <w:t xml:space="preserve"> </w:t>
      </w:r>
      <w:r w:rsidR="00D9258C" w:rsidRPr="00FD6A6A">
        <w:t>Women</w:t>
      </w:r>
      <w:r w:rsidR="00541D05">
        <w:t xml:space="preserve"> </w:t>
      </w:r>
      <w:r w:rsidR="00D9258C" w:rsidRPr="00FD6A6A">
        <w:t>and</w:t>
      </w:r>
      <w:r w:rsidR="00541D05">
        <w:t xml:space="preserve"> </w:t>
      </w:r>
      <w:r w:rsidR="00D9258C" w:rsidRPr="00FD6A6A">
        <w:t>Human</w:t>
      </w:r>
      <w:r w:rsidR="00541D05">
        <w:t xml:space="preserve"> </w:t>
      </w:r>
      <w:r w:rsidR="00D9258C" w:rsidRPr="00FD6A6A">
        <w:t>Rights</w:t>
      </w:r>
      <w:r w:rsidR="00541D05">
        <w:t xml:space="preserve"> </w:t>
      </w:r>
      <w:r w:rsidR="00D9258C" w:rsidRPr="00FD6A6A">
        <w:t>(MDH)</w:t>
      </w:r>
      <w:r w:rsidR="00541D05">
        <w:t xml:space="preserve"> </w:t>
      </w:r>
      <w:r w:rsidR="00D9258C" w:rsidRPr="00FD6A6A">
        <w:t>is</w:t>
      </w:r>
      <w:r w:rsidR="00541D05">
        <w:t xml:space="preserve"> </w:t>
      </w:r>
      <w:r w:rsidR="00D9258C" w:rsidRPr="00FD6A6A">
        <w:t>the</w:t>
      </w:r>
      <w:r w:rsidR="00541D05">
        <w:t xml:space="preserve"> </w:t>
      </w:r>
      <w:r w:rsidR="00D9258C" w:rsidRPr="00FD6A6A">
        <w:t>main</w:t>
      </w:r>
      <w:r w:rsidR="00541D05">
        <w:t xml:space="preserve"> </w:t>
      </w:r>
      <w:r w:rsidR="00D9258C" w:rsidRPr="00FD6A6A">
        <w:t>government</w:t>
      </w:r>
      <w:r w:rsidR="00541D05">
        <w:t xml:space="preserve"> </w:t>
      </w:r>
      <w:r w:rsidR="00D9258C" w:rsidRPr="00FD6A6A">
        <w:t>agency</w:t>
      </w:r>
      <w:r w:rsidR="00541D05">
        <w:t xml:space="preserve"> </w:t>
      </w:r>
      <w:r w:rsidR="00D9258C" w:rsidRPr="00FD6A6A">
        <w:t>responsible</w:t>
      </w:r>
      <w:r w:rsidR="00541D05">
        <w:t xml:space="preserve"> </w:t>
      </w:r>
      <w:r w:rsidR="00D9258C" w:rsidRPr="00FD6A6A">
        <w:t>for</w:t>
      </w:r>
      <w:r w:rsidR="00541D05">
        <w:t xml:space="preserve"> </w:t>
      </w:r>
      <w:r w:rsidR="00D9258C" w:rsidRPr="00FD6A6A">
        <w:t>preparing,</w:t>
      </w:r>
      <w:r w:rsidR="00541D05">
        <w:t xml:space="preserve"> </w:t>
      </w:r>
      <w:r w:rsidR="00D9258C" w:rsidRPr="00FD6A6A">
        <w:t>coordinating,</w:t>
      </w:r>
      <w:r w:rsidR="00541D05">
        <w:t xml:space="preserve"> </w:t>
      </w:r>
      <w:r w:rsidR="00D9258C" w:rsidRPr="00FD6A6A">
        <w:t>and</w:t>
      </w:r>
      <w:r w:rsidR="00541D05">
        <w:t xml:space="preserve"> </w:t>
      </w:r>
      <w:r w:rsidR="00D9258C" w:rsidRPr="00FD6A6A">
        <w:t>enforcing</w:t>
      </w:r>
      <w:r w:rsidR="00541D05">
        <w:t xml:space="preserve"> </w:t>
      </w:r>
      <w:r w:rsidR="00D9258C" w:rsidRPr="00FD6A6A">
        <w:t>public</w:t>
      </w:r>
      <w:r w:rsidR="00541D05">
        <w:t xml:space="preserve"> </w:t>
      </w:r>
      <w:r w:rsidR="00D9258C" w:rsidRPr="00FD6A6A">
        <w:t>policies</w:t>
      </w:r>
      <w:r w:rsidR="00541D05">
        <w:t xml:space="preserve"> </w:t>
      </w:r>
      <w:r w:rsidR="00D9258C" w:rsidRPr="00FD6A6A">
        <w:t>on</w:t>
      </w:r>
      <w:r w:rsidR="00541D05">
        <w:t xml:space="preserve"> </w:t>
      </w:r>
      <w:r w:rsidR="00D9258C" w:rsidRPr="00FD6A6A">
        <w:t>the</w:t>
      </w:r>
      <w:r w:rsidR="00541D05">
        <w:t xml:space="preserve"> </w:t>
      </w:r>
      <w:r w:rsidR="00D9258C" w:rsidRPr="00FD6A6A">
        <w:t>issue.</w:t>
      </w:r>
      <w:r w:rsidR="00541D05">
        <w:t xml:space="preserve"> </w:t>
      </w:r>
      <w:r w:rsidR="00D9258C" w:rsidRPr="00FD6A6A">
        <w:t>The</w:t>
      </w:r>
      <w:r w:rsidR="00541D05">
        <w:t xml:space="preserve"> </w:t>
      </w:r>
      <w:r w:rsidR="00D9258C" w:rsidRPr="00FD6A6A">
        <w:t>Common</w:t>
      </w:r>
      <w:r w:rsidR="00541D05">
        <w:t xml:space="preserve"> </w:t>
      </w:r>
      <w:r w:rsidR="00D9258C" w:rsidRPr="00FD6A6A">
        <w:t>Core</w:t>
      </w:r>
      <w:r w:rsidR="00541D05">
        <w:t xml:space="preserve"> </w:t>
      </w:r>
      <w:r w:rsidR="00D9258C" w:rsidRPr="00FD6A6A">
        <w:t>Document</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presents</w:t>
      </w:r>
      <w:r w:rsidR="00541D05">
        <w:t xml:space="preserve"> </w:t>
      </w:r>
      <w:r w:rsidR="00D9258C" w:rsidRPr="00FD6A6A">
        <w:t>more</w:t>
      </w:r>
      <w:r w:rsidR="00541D05">
        <w:t xml:space="preserve"> </w:t>
      </w:r>
      <w:r w:rsidR="00D9258C" w:rsidRPr="00FD6A6A">
        <w:t>detailed</w:t>
      </w:r>
      <w:r w:rsidR="00541D05">
        <w:t xml:space="preserve"> </w:t>
      </w:r>
      <w:r w:rsidR="00D9258C" w:rsidRPr="00FD6A6A">
        <w:t>information.</w:t>
      </w:r>
      <w:r w:rsidR="00541D05">
        <w:t xml:space="preserve"> </w:t>
      </w:r>
      <w:r w:rsidR="00D9258C" w:rsidRPr="00FD6A6A">
        <w:t>The</w:t>
      </w:r>
      <w:r w:rsidR="00541D05">
        <w:t xml:space="preserve"> </w:t>
      </w:r>
      <w:r w:rsidR="00D9258C" w:rsidRPr="00FD6A6A">
        <w:t>National</w:t>
      </w:r>
      <w:r w:rsidR="00541D05">
        <w:t xml:space="preserve"> </w:t>
      </w:r>
      <w:r w:rsidR="00D9258C" w:rsidRPr="00FD6A6A">
        <w:t>Office</w:t>
      </w:r>
      <w:r w:rsidR="00541D05">
        <w:t xml:space="preserve"> </w:t>
      </w:r>
      <w:r w:rsidR="00D9258C" w:rsidRPr="00FD6A6A">
        <w:t>for</w:t>
      </w:r>
      <w:r w:rsidR="00541D05">
        <w:t xml:space="preserve"> </w:t>
      </w:r>
      <w:r w:rsidR="00D9258C" w:rsidRPr="00FD6A6A">
        <w:t>Racial</w:t>
      </w:r>
      <w:r w:rsidR="00541D05">
        <w:t xml:space="preserve"> </w:t>
      </w:r>
      <w:r w:rsidR="00D9258C" w:rsidRPr="00FD6A6A">
        <w:t>Equality</w:t>
      </w:r>
      <w:r w:rsidR="00541D05">
        <w:t xml:space="preserve"> </w:t>
      </w:r>
      <w:r w:rsidR="00D9258C" w:rsidRPr="00FD6A6A">
        <w:t>Promotion</w:t>
      </w:r>
      <w:r w:rsidR="00541D05">
        <w:t xml:space="preserve"> </w:t>
      </w:r>
      <w:r w:rsidR="00D9258C" w:rsidRPr="00FD6A6A">
        <w:t>Policies</w:t>
      </w:r>
      <w:r w:rsidR="00541D05">
        <w:t xml:space="preserve"> </w:t>
      </w:r>
      <w:r w:rsidR="00D9258C" w:rsidRPr="00FD6A6A">
        <w:t>(SNPPIR),</w:t>
      </w:r>
      <w:r w:rsidR="00541D05">
        <w:t xml:space="preserve"> </w:t>
      </w:r>
      <w:r w:rsidR="00D9258C" w:rsidRPr="00FD6A6A">
        <w:t>created</w:t>
      </w:r>
      <w:r w:rsidR="00541D05">
        <w:t xml:space="preserve"> </w:t>
      </w:r>
      <w:r w:rsidR="00D9258C" w:rsidRPr="00FD6A6A">
        <w:t>in</w:t>
      </w:r>
      <w:r w:rsidR="00541D05">
        <w:t xml:space="preserve"> </w:t>
      </w:r>
      <w:r w:rsidR="00D9258C" w:rsidRPr="00FD6A6A">
        <w:t>2003,</w:t>
      </w:r>
      <w:r w:rsidR="00541D05">
        <w:t xml:space="preserve"> </w:t>
      </w:r>
      <w:r w:rsidR="00D9258C" w:rsidRPr="00FD6A6A">
        <w:t>contributed</w:t>
      </w:r>
      <w:r w:rsidR="00541D05">
        <w:t xml:space="preserve"> </w:t>
      </w:r>
      <w:r w:rsidR="00D9258C" w:rsidRPr="00FD6A6A">
        <w:t>to</w:t>
      </w:r>
      <w:r w:rsidR="00541D05">
        <w:t xml:space="preserve"> </w:t>
      </w:r>
      <w:r w:rsidR="00D9258C" w:rsidRPr="00FD6A6A">
        <w:t>institutionalize</w:t>
      </w:r>
      <w:r w:rsidR="00541D05">
        <w:t xml:space="preserve"> </w:t>
      </w:r>
      <w:r w:rsidR="00D9258C" w:rsidRPr="00FD6A6A">
        <w:t>and</w:t>
      </w:r>
      <w:r w:rsidR="00541D05">
        <w:t xml:space="preserve"> </w:t>
      </w:r>
      <w:r w:rsidR="00D9258C" w:rsidRPr="00FD6A6A">
        <w:t>consolidate</w:t>
      </w:r>
      <w:r w:rsidR="00541D05">
        <w:t xml:space="preserve"> </w:t>
      </w:r>
      <w:r w:rsidR="00D9258C" w:rsidRPr="00FD6A6A">
        <w:t>racial</w:t>
      </w:r>
      <w:r w:rsidR="00541D05">
        <w:t xml:space="preserve"> </w:t>
      </w:r>
      <w:r w:rsidR="00D9258C" w:rsidRPr="00FD6A6A">
        <w:t>equality</w:t>
      </w:r>
      <w:r w:rsidR="00541D05">
        <w:t xml:space="preserve"> </w:t>
      </w:r>
      <w:r w:rsidR="00D9258C" w:rsidRPr="00FD6A6A">
        <w:t>policy</w:t>
      </w:r>
      <w:r w:rsidR="00541D05">
        <w:t xml:space="preserve"> </w:t>
      </w:r>
      <w:r w:rsidR="00D9258C" w:rsidRPr="00FD6A6A">
        <w:t>as</w:t>
      </w:r>
      <w:r w:rsidR="00541D05">
        <w:t xml:space="preserve"> </w:t>
      </w:r>
      <w:r w:rsidR="00D9258C" w:rsidRPr="00FD6A6A">
        <w:t>a</w:t>
      </w:r>
      <w:r w:rsidR="00541D05">
        <w:t xml:space="preserve"> </w:t>
      </w:r>
      <w:r w:rsidR="00D9258C" w:rsidRPr="00FD6A6A">
        <w:t>national</w:t>
      </w:r>
      <w:r w:rsidR="00541D05">
        <w:t xml:space="preserve"> </w:t>
      </w:r>
      <w:r w:rsidR="00D9258C" w:rsidRPr="00FD6A6A">
        <w:t>policy.</w:t>
      </w:r>
    </w:p>
    <w:p w14:paraId="6312D0EA" w14:textId="130AE4E4" w:rsidR="00D9258C" w:rsidRPr="00FD6A6A" w:rsidRDefault="00166390" w:rsidP="00166390">
      <w:pPr>
        <w:pStyle w:val="ParaNoG"/>
        <w:numPr>
          <w:ilvl w:val="0"/>
          <w:numId w:val="0"/>
        </w:numPr>
        <w:tabs>
          <w:tab w:val="left" w:pos="0"/>
        </w:tabs>
        <w:ind w:left="1134"/>
      </w:pPr>
      <w:r w:rsidRPr="00FD6A6A">
        <w:t>29.</w:t>
      </w:r>
      <w:r w:rsidRPr="00FD6A6A">
        <w:tab/>
      </w:r>
      <w:r w:rsidR="00D9258C" w:rsidRPr="00FD6A6A">
        <w:t>The</w:t>
      </w:r>
      <w:r w:rsidR="00541D05">
        <w:t xml:space="preserve"> </w:t>
      </w:r>
      <w:r w:rsidR="00D9258C" w:rsidRPr="00FD6A6A">
        <w:t>former</w:t>
      </w:r>
      <w:r w:rsidR="00541D05">
        <w:t xml:space="preserve"> </w:t>
      </w:r>
      <w:r w:rsidR="00D9258C" w:rsidRPr="00FD6A6A">
        <w:t>Special</w:t>
      </w:r>
      <w:r w:rsidR="00541D05">
        <w:t xml:space="preserve"> </w:t>
      </w:r>
      <w:r w:rsidR="00D9258C" w:rsidRPr="00FD6A6A">
        <w:t>Office</w:t>
      </w:r>
      <w:r w:rsidR="00541D05">
        <w:t xml:space="preserve"> </w:t>
      </w:r>
      <w:r w:rsidR="00D9258C" w:rsidRPr="00FD6A6A">
        <w:t>for</w:t>
      </w:r>
      <w:r w:rsidR="00541D05">
        <w:t xml:space="preserve"> </w:t>
      </w:r>
      <w:r w:rsidR="00D9258C" w:rsidRPr="00FD6A6A">
        <w:t>Policies</w:t>
      </w:r>
      <w:r w:rsidR="00541D05">
        <w:t xml:space="preserve"> </w:t>
      </w:r>
      <w:r w:rsidR="00D9258C" w:rsidRPr="00FD6A6A">
        <w:t>for</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(SEPPIR),</w:t>
      </w:r>
      <w:r w:rsidR="00541D05">
        <w:t xml:space="preserve"> </w:t>
      </w:r>
      <w:r w:rsidR="00D9258C" w:rsidRPr="00FD6A6A">
        <w:t>currently</w:t>
      </w:r>
      <w:r w:rsidR="00541D05">
        <w:t xml:space="preserve"> </w:t>
      </w:r>
      <w:r w:rsidR="00D9258C" w:rsidRPr="00FD6A6A">
        <w:t>SNPPIR,</w:t>
      </w:r>
      <w:r w:rsidR="00541D05">
        <w:t xml:space="preserve"> </w:t>
      </w:r>
      <w:r w:rsidR="00D9258C" w:rsidRPr="00FD6A6A">
        <w:t>at</w:t>
      </w:r>
      <w:r w:rsidR="00541D05">
        <w:t xml:space="preserve"> </w:t>
      </w:r>
      <w:r w:rsidR="00D9258C" w:rsidRPr="00FD6A6A">
        <w:t>the</w:t>
      </w:r>
      <w:r w:rsidR="00541D05">
        <w:t xml:space="preserve"> </w:t>
      </w:r>
      <w:r w:rsidR="00D9258C" w:rsidRPr="00FD6A6A">
        <w:t>federal</w:t>
      </w:r>
      <w:r w:rsidR="00541D05">
        <w:t xml:space="preserve"> </w:t>
      </w:r>
      <w:r w:rsidR="00D9258C" w:rsidRPr="00FD6A6A">
        <w:t>level,</w:t>
      </w:r>
      <w:r w:rsidR="00541D05">
        <w:t xml:space="preserve"> </w:t>
      </w:r>
      <w:r w:rsidR="00D9258C" w:rsidRPr="00FD6A6A">
        <w:t>fostered</w:t>
      </w:r>
      <w:r w:rsidR="00541D05">
        <w:t xml:space="preserve"> </w:t>
      </w:r>
      <w:r w:rsidR="00D9258C" w:rsidRPr="00FD6A6A">
        <w:t>the</w:t>
      </w:r>
      <w:r w:rsidR="00541D05">
        <w:t xml:space="preserve"> </w:t>
      </w:r>
      <w:r w:rsidR="00D9258C" w:rsidRPr="00FD6A6A">
        <w:t>establishment</w:t>
      </w:r>
      <w:r w:rsidR="00541D05">
        <w:t xml:space="preserve"> </w:t>
      </w:r>
      <w:r w:rsidR="00D9258C" w:rsidRPr="00FD6A6A">
        <w:t>of</w:t>
      </w:r>
      <w:r w:rsidR="00541D05">
        <w:t xml:space="preserve"> </w:t>
      </w:r>
      <w:r w:rsidR="00D9258C" w:rsidRPr="00FD6A6A">
        <w:t>similar</w:t>
      </w:r>
      <w:r w:rsidR="00541D05">
        <w:t xml:space="preserve"> </w:t>
      </w:r>
      <w:r w:rsidR="00D9258C" w:rsidRPr="00FD6A6A">
        <w:t>bodies</w:t>
      </w:r>
      <w:r w:rsidR="00541D05">
        <w:t xml:space="preserve"> </w:t>
      </w:r>
      <w:r w:rsidR="00D9258C" w:rsidRPr="00FD6A6A">
        <w:t>in</w:t>
      </w:r>
      <w:r w:rsidR="00541D05">
        <w:t xml:space="preserve"> </w:t>
      </w:r>
      <w:r w:rsidR="00D9258C" w:rsidRPr="00FD6A6A">
        <w:t>states</w:t>
      </w:r>
      <w:r w:rsidR="00541D05">
        <w:t xml:space="preserve"> </w:t>
      </w:r>
      <w:r w:rsidR="00D9258C" w:rsidRPr="00FD6A6A">
        <w:t>and</w:t>
      </w:r>
      <w:r w:rsidR="00541D05">
        <w:t xml:space="preserve"> </w:t>
      </w:r>
      <w:r w:rsidR="00D9258C" w:rsidRPr="00FD6A6A">
        <w:t>municipalities.</w:t>
      </w:r>
      <w:r w:rsidR="00541D05">
        <w:t xml:space="preserve"> </w:t>
      </w:r>
      <w:r w:rsidR="00D9258C" w:rsidRPr="00FD6A6A">
        <w:t>These</w:t>
      </w:r>
      <w:r w:rsidR="00541D05">
        <w:t xml:space="preserve"> </w:t>
      </w:r>
      <w:r w:rsidR="00D9258C" w:rsidRPr="00FD6A6A">
        <w:t>agencies</w:t>
      </w:r>
      <w:r w:rsidR="00541D05">
        <w:t xml:space="preserve"> </w:t>
      </w:r>
      <w:r w:rsidR="00D9258C" w:rsidRPr="00FD6A6A">
        <w:t>were,</w:t>
      </w:r>
      <w:r w:rsidR="00541D05">
        <w:t xml:space="preserve"> </w:t>
      </w:r>
      <w:r w:rsidR="00D9258C" w:rsidRPr="00FD6A6A">
        <w:t>as</w:t>
      </w:r>
      <w:r w:rsidR="00541D05">
        <w:t xml:space="preserve"> </w:t>
      </w:r>
      <w:r w:rsidR="00D9258C" w:rsidRPr="00FD6A6A">
        <w:t>a</w:t>
      </w:r>
      <w:r w:rsidR="00541D05">
        <w:t xml:space="preserve"> </w:t>
      </w:r>
      <w:r w:rsidR="00D9258C" w:rsidRPr="00FD6A6A">
        <w:t>rule,</w:t>
      </w:r>
      <w:r w:rsidR="00541D05">
        <w:t xml:space="preserve"> </w:t>
      </w:r>
      <w:r w:rsidR="00D9258C" w:rsidRPr="00FD6A6A">
        <w:t>structured</w:t>
      </w:r>
      <w:r w:rsidR="00541D05">
        <w:t xml:space="preserve"> </w:t>
      </w:r>
      <w:r w:rsidR="00D9258C" w:rsidRPr="00FD6A6A">
        <w:t>to</w:t>
      </w:r>
      <w:r w:rsidR="00541D05">
        <w:t xml:space="preserve"> </w:t>
      </w:r>
      <w:r w:rsidR="00D9258C" w:rsidRPr="00FD6A6A">
        <w:t>mainstream</w:t>
      </w:r>
      <w:r w:rsidR="00541D05">
        <w:t xml:space="preserve"> </w:t>
      </w:r>
      <w:r w:rsidR="00D9258C" w:rsidRPr="00FD6A6A">
        <w:t>national</w:t>
      </w:r>
      <w:r w:rsidR="00541D05">
        <w:t xml:space="preserve"> </w:t>
      </w:r>
      <w:r w:rsidR="00D9258C" w:rsidRPr="00FD6A6A">
        <w:t>public</w:t>
      </w:r>
      <w:r w:rsidR="00541D05">
        <w:t xml:space="preserve"> </w:t>
      </w:r>
      <w:r w:rsidR="00D9258C" w:rsidRPr="00FD6A6A">
        <w:t>policies</w:t>
      </w:r>
      <w:r w:rsidR="00541D05">
        <w:t xml:space="preserve"> </w:t>
      </w:r>
      <w:r w:rsidR="00D9258C" w:rsidRPr="00FD6A6A">
        <w:t>and</w:t>
      </w:r>
      <w:r w:rsidR="00541D05">
        <w:t xml:space="preserve"> </w:t>
      </w:r>
      <w:r w:rsidR="00541D05" w:rsidRPr="00FD6A6A">
        <w:t>initiatives</w:t>
      </w:r>
      <w:r w:rsidR="00D9258C" w:rsidRPr="00FD6A6A">
        <w:t>,</w:t>
      </w:r>
      <w:r w:rsidR="00541D05">
        <w:t xml:space="preserve"> </w:t>
      </w:r>
      <w:r w:rsidR="00D9258C" w:rsidRPr="00FD6A6A">
        <w:t>facilitating</w:t>
      </w:r>
      <w:r w:rsidR="00541D05">
        <w:t xml:space="preserve"> </w:t>
      </w:r>
      <w:r w:rsidR="00541D05" w:rsidRPr="00FD6A6A">
        <w:t>coordination</w:t>
      </w:r>
      <w:r w:rsidR="00541D05">
        <w:t xml:space="preserve"> </w:t>
      </w:r>
      <w:r w:rsidR="00D9258C" w:rsidRPr="00FD6A6A">
        <w:t>at</w:t>
      </w:r>
      <w:r w:rsidR="00541D05">
        <w:t xml:space="preserve"> </w:t>
      </w:r>
      <w:r w:rsidR="00D9258C" w:rsidRPr="00FD6A6A">
        <w:t>the</w:t>
      </w:r>
      <w:r w:rsidR="00541D05">
        <w:t xml:space="preserve"> </w:t>
      </w:r>
      <w:r w:rsidR="00D9258C" w:rsidRPr="00FD6A6A">
        <w:t>federal,</w:t>
      </w:r>
      <w:r w:rsidR="00541D05">
        <w:t xml:space="preserve"> </w:t>
      </w:r>
      <w:r w:rsidR="00D9258C" w:rsidRPr="00FD6A6A">
        <w:t>state</w:t>
      </w:r>
      <w:r w:rsidR="00541D05">
        <w:t xml:space="preserve"> </w:t>
      </w:r>
      <w:r w:rsidR="00D9258C" w:rsidRPr="00FD6A6A">
        <w:t>and</w:t>
      </w:r>
      <w:r w:rsidR="00541D05">
        <w:t xml:space="preserve"> </w:t>
      </w:r>
      <w:r w:rsidR="00D9258C" w:rsidRPr="00FD6A6A">
        <w:t>local</w:t>
      </w:r>
      <w:r w:rsidR="00541D05">
        <w:t xml:space="preserve"> </w:t>
      </w:r>
      <w:r w:rsidR="00D9258C" w:rsidRPr="00FD6A6A">
        <w:t>levels,</w:t>
      </w:r>
      <w:r w:rsidR="00541D05">
        <w:t xml:space="preserve"> </w:t>
      </w:r>
      <w:r w:rsidR="00D9258C" w:rsidRPr="00FD6A6A">
        <w:t>including</w:t>
      </w:r>
      <w:r w:rsidR="00541D05">
        <w:t xml:space="preserve"> </w:t>
      </w:r>
      <w:r w:rsidR="00D9258C" w:rsidRPr="00FD6A6A">
        <w:t>with</w:t>
      </w:r>
      <w:r w:rsidR="00541D05">
        <w:t xml:space="preserve"> </w:t>
      </w:r>
      <w:r w:rsidR="00D9258C" w:rsidRPr="00FD6A6A">
        <w:t>private</w:t>
      </w:r>
      <w:r w:rsidR="00541D05">
        <w:t xml:space="preserve"> </w:t>
      </w:r>
      <w:r w:rsidR="00D9258C" w:rsidRPr="00FD6A6A">
        <w:t>actors</w:t>
      </w:r>
      <w:r w:rsidR="00541D05">
        <w:t xml:space="preserve"> </w:t>
      </w:r>
      <w:r w:rsidR="00D9258C" w:rsidRPr="00FD6A6A">
        <w:t>and</w:t>
      </w:r>
      <w:r w:rsidR="00541D05">
        <w:t xml:space="preserve"> </w:t>
      </w:r>
      <w:r w:rsidR="00D9258C" w:rsidRPr="00FD6A6A">
        <w:t>civil</w:t>
      </w:r>
      <w:r w:rsidR="00541D05">
        <w:t xml:space="preserve"> </w:t>
      </w:r>
      <w:r w:rsidR="00D9258C" w:rsidRPr="00FD6A6A">
        <w:t>society</w:t>
      </w:r>
      <w:r w:rsidR="00541D05">
        <w:t xml:space="preserve"> </w:t>
      </w:r>
      <w:r w:rsidR="00D9258C" w:rsidRPr="00FD6A6A">
        <w:t>institutions.</w:t>
      </w:r>
    </w:p>
    <w:p w14:paraId="63E582DD" w14:textId="30D5BEF1" w:rsidR="00D9258C" w:rsidRPr="00FD6A6A" w:rsidRDefault="00166390" w:rsidP="00166390">
      <w:pPr>
        <w:pStyle w:val="ParaNoG"/>
        <w:numPr>
          <w:ilvl w:val="0"/>
          <w:numId w:val="0"/>
        </w:numPr>
        <w:tabs>
          <w:tab w:val="left" w:pos="0"/>
        </w:tabs>
        <w:ind w:left="1134"/>
      </w:pPr>
      <w:r w:rsidRPr="00FD6A6A">
        <w:t>30.</w:t>
      </w:r>
      <w:r w:rsidRPr="00FD6A6A">
        <w:tab/>
      </w:r>
      <w:r w:rsidR="00D9258C" w:rsidRPr="00FD6A6A">
        <w:t>The</w:t>
      </w:r>
      <w:r w:rsidR="00541D05">
        <w:t xml:space="preserve"> </w:t>
      </w:r>
      <w:r w:rsidR="00D9258C" w:rsidRPr="00FD6A6A">
        <w:t>National</w:t>
      </w:r>
      <w:r w:rsidR="00541D05">
        <w:t xml:space="preserve"> </w:t>
      </w:r>
      <w:r w:rsidR="00D9258C" w:rsidRPr="00FD6A6A">
        <w:t>System</w:t>
      </w:r>
      <w:r w:rsidR="00541D05">
        <w:t xml:space="preserve"> </w:t>
      </w:r>
      <w:r w:rsidR="00D9258C" w:rsidRPr="00FD6A6A">
        <w:t>for</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(SINAPIR)</w:t>
      </w:r>
      <w:r w:rsidR="00541D05">
        <w:t xml:space="preserve"> </w:t>
      </w:r>
      <w:r w:rsidR="00D9258C" w:rsidRPr="00FD6A6A">
        <w:t>was</w:t>
      </w:r>
      <w:r w:rsidR="00541D05">
        <w:t xml:space="preserve"> </w:t>
      </w:r>
      <w:r w:rsidR="00D9258C" w:rsidRPr="00FD6A6A">
        <w:t>established</w:t>
      </w:r>
      <w:r w:rsidR="00541D05">
        <w:t xml:space="preserve"> </w:t>
      </w:r>
      <w:r w:rsidR="00D9258C" w:rsidRPr="00FD6A6A">
        <w:t>with</w:t>
      </w:r>
      <w:r w:rsidR="00541D05">
        <w:t xml:space="preserve"> </w:t>
      </w:r>
      <w:r w:rsidR="00D9258C" w:rsidRPr="00FD6A6A">
        <w:t>a</w:t>
      </w:r>
      <w:r w:rsidR="00541D05">
        <w:t xml:space="preserve"> </w:t>
      </w:r>
      <w:r w:rsidR="00D9258C" w:rsidRPr="00FD6A6A">
        <w:t>view</w:t>
      </w:r>
      <w:r w:rsidR="00541D05">
        <w:t xml:space="preserve"> </w:t>
      </w:r>
      <w:r w:rsidR="00D9258C" w:rsidRPr="00FD6A6A">
        <w:t>to</w:t>
      </w:r>
      <w:r w:rsidR="00541D05">
        <w:t xml:space="preserve"> </w:t>
      </w:r>
      <w:r w:rsidR="00D9258C" w:rsidRPr="00FD6A6A">
        <w:t>further</w:t>
      </w:r>
      <w:r w:rsidR="00541D05">
        <w:t xml:space="preserve"> </w:t>
      </w:r>
      <w:r w:rsidR="00D9258C" w:rsidRPr="00FD6A6A">
        <w:t>encouraging</w:t>
      </w:r>
      <w:r w:rsidR="00541D05">
        <w:t xml:space="preserve"> </w:t>
      </w:r>
      <w:r w:rsidR="00D9258C" w:rsidRPr="00FD6A6A">
        <w:t>the</w:t>
      </w:r>
      <w:r w:rsidR="00541D05">
        <w:t xml:space="preserve"> </w:t>
      </w:r>
      <w:r w:rsidR="00D9258C" w:rsidRPr="00FD6A6A">
        <w:t>diffusion,</w:t>
      </w:r>
      <w:r w:rsidR="00541D05">
        <w:t xml:space="preserve"> </w:t>
      </w:r>
      <w:r w:rsidR="00D9258C" w:rsidRPr="00FD6A6A">
        <w:t>coordination,</w:t>
      </w:r>
      <w:r w:rsidR="00541D05">
        <w:t xml:space="preserve"> </w:t>
      </w:r>
      <w:r w:rsidR="00D9258C" w:rsidRPr="00FD6A6A">
        <w:t>and</w:t>
      </w:r>
      <w:r w:rsidR="00541D05">
        <w:t xml:space="preserve"> </w:t>
      </w:r>
      <w:r w:rsidR="00D9258C" w:rsidRPr="00FD6A6A">
        <w:t>expansion</w:t>
      </w:r>
      <w:r w:rsidR="00541D05">
        <w:t xml:space="preserve"> </w:t>
      </w:r>
      <w:r w:rsidR="00D9258C" w:rsidRPr="00FD6A6A">
        <w:t>of</w:t>
      </w:r>
      <w:r w:rsidR="00541D05">
        <w:t xml:space="preserve"> </w:t>
      </w:r>
      <w:r w:rsidR="00D9258C" w:rsidRPr="00FD6A6A">
        <w:t>actions</w:t>
      </w:r>
      <w:r w:rsidR="00541D05">
        <w:t xml:space="preserve"> </w:t>
      </w:r>
      <w:r w:rsidR="00D9258C" w:rsidRPr="00FD6A6A">
        <w:t>to</w:t>
      </w:r>
      <w:r w:rsidR="00541D05">
        <w:t xml:space="preserve"> </w:t>
      </w:r>
      <w:r w:rsidR="00D9258C" w:rsidRPr="00FD6A6A">
        <w:t>fight</w:t>
      </w:r>
      <w:r w:rsidR="00541D05">
        <w:t xml:space="preserve"> </w:t>
      </w:r>
      <w:r w:rsidR="00D9258C" w:rsidRPr="00FD6A6A">
        <w:t>racism.</w:t>
      </w:r>
      <w:r w:rsidR="00541D05">
        <w:t xml:space="preserve"> </w:t>
      </w:r>
      <w:r w:rsidR="00D9258C" w:rsidRPr="00FD6A6A">
        <w:t>The</w:t>
      </w:r>
      <w:r w:rsidR="00541D05">
        <w:t xml:space="preserve"> </w:t>
      </w:r>
      <w:r w:rsidR="00D9258C" w:rsidRPr="00FD6A6A">
        <w:t>System</w:t>
      </w:r>
      <w:r w:rsidR="00541D05">
        <w:t xml:space="preserve"> </w:t>
      </w:r>
      <w:r w:rsidR="00D9258C" w:rsidRPr="00FD6A6A">
        <w:t>intends</w:t>
      </w:r>
      <w:r w:rsidR="00541D05">
        <w:t xml:space="preserve"> </w:t>
      </w:r>
      <w:r w:rsidR="00D9258C" w:rsidRPr="00FD6A6A">
        <w:t>to</w:t>
      </w:r>
      <w:r w:rsidR="00541D05">
        <w:t xml:space="preserve"> </w:t>
      </w:r>
      <w:r w:rsidR="00D9258C" w:rsidRPr="00FD6A6A">
        <w:t>become</w:t>
      </w:r>
      <w:r w:rsidR="00541D05">
        <w:t xml:space="preserve"> </w:t>
      </w:r>
      <w:r w:rsidR="00D9258C" w:rsidRPr="00FD6A6A">
        <w:t>the</w:t>
      </w:r>
      <w:r w:rsidR="00541D05">
        <w:t xml:space="preserve"> </w:t>
      </w:r>
      <w:r w:rsidR="00D9258C" w:rsidRPr="00FD6A6A">
        <w:t>locus</w:t>
      </w:r>
      <w:r w:rsidR="00541D05">
        <w:t xml:space="preserve"> </w:t>
      </w:r>
      <w:r w:rsidR="00D9258C" w:rsidRPr="00FD6A6A">
        <w:t>to</w:t>
      </w:r>
      <w:r w:rsidR="00541D05">
        <w:t xml:space="preserve"> </w:t>
      </w:r>
      <w:r w:rsidR="00D9258C" w:rsidRPr="00FD6A6A">
        <w:t>organize</w:t>
      </w:r>
      <w:r w:rsidR="00541D05">
        <w:t xml:space="preserve"> </w:t>
      </w:r>
      <w:r w:rsidR="00D9258C" w:rsidRPr="00FD6A6A">
        <w:t>and</w:t>
      </w:r>
      <w:r w:rsidR="00541D05">
        <w:t xml:space="preserve"> </w:t>
      </w:r>
      <w:r w:rsidR="00D9258C" w:rsidRPr="00FD6A6A">
        <w:t>coordinate</w:t>
      </w:r>
      <w:r w:rsidR="00541D05">
        <w:t xml:space="preserve"> </w:t>
      </w:r>
      <w:r w:rsidR="00D9258C" w:rsidRPr="00FD6A6A">
        <w:t>policies</w:t>
      </w:r>
      <w:r w:rsidR="00541D05">
        <w:t xml:space="preserve"> </w:t>
      </w:r>
      <w:r w:rsidR="00D9258C" w:rsidRPr="00FD6A6A">
        <w:t>and</w:t>
      </w:r>
      <w:r w:rsidR="00541D05">
        <w:t xml:space="preserve"> </w:t>
      </w:r>
      <w:r w:rsidR="00D9258C" w:rsidRPr="00FD6A6A">
        <w:t>services</w:t>
      </w:r>
      <w:r w:rsidR="00541D05">
        <w:t xml:space="preserve"> </w:t>
      </w:r>
      <w:r w:rsidR="00D9258C" w:rsidRPr="00FD6A6A">
        <w:t>to</w:t>
      </w:r>
      <w:r w:rsidR="00541D05">
        <w:t xml:space="preserve"> </w:t>
      </w:r>
      <w:r w:rsidR="00D9258C" w:rsidRPr="00FD6A6A">
        <w:t>overcome</w:t>
      </w:r>
      <w:r w:rsidR="00541D05">
        <w:t xml:space="preserve"> </w:t>
      </w:r>
      <w:r w:rsidR="00D9258C" w:rsidRPr="00FD6A6A">
        <w:t>racial</w:t>
      </w:r>
      <w:r w:rsidR="00541D05">
        <w:t xml:space="preserve"> </w:t>
      </w:r>
      <w:r w:rsidR="00D9258C" w:rsidRPr="00FD6A6A">
        <w:t>inequality</w:t>
      </w:r>
      <w:r w:rsidR="00541D05">
        <w:t xml:space="preserve"> </w:t>
      </w:r>
      <w:r w:rsidR="00D9258C" w:rsidRPr="00FD6A6A">
        <w:t>in</w:t>
      </w:r>
      <w:r w:rsidR="00541D05">
        <w:t xml:space="preserve"> </w:t>
      </w:r>
      <w:r w:rsidR="00D9258C" w:rsidRPr="00FD6A6A">
        <w:t>Brazil.</w:t>
      </w:r>
      <w:r w:rsidR="00541D05">
        <w:t xml:space="preserve"> </w:t>
      </w:r>
      <w:r w:rsidR="00D9258C" w:rsidRPr="00FD6A6A">
        <w:t>Created</w:t>
      </w:r>
      <w:r w:rsidR="00541D05">
        <w:t xml:space="preserve"> </w:t>
      </w:r>
      <w:r w:rsidR="00D9258C" w:rsidRPr="00FD6A6A">
        <w:t>by</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in</w:t>
      </w:r>
      <w:r w:rsidR="00541D05">
        <w:t xml:space="preserve"> </w:t>
      </w:r>
      <w:r w:rsidR="00D9258C" w:rsidRPr="00FD6A6A">
        <w:t>May</w:t>
      </w:r>
      <w:r w:rsidR="00541D05">
        <w:t xml:space="preserve"> </w:t>
      </w:r>
      <w:r w:rsidR="00D9258C" w:rsidRPr="00FD6A6A">
        <w:t>2015,</w:t>
      </w:r>
      <w:r w:rsidR="00541D05">
        <w:t xml:space="preserve"> </w:t>
      </w:r>
      <w:r w:rsidR="00D9258C" w:rsidRPr="00FD6A6A">
        <w:t>it</w:t>
      </w:r>
      <w:r w:rsidR="00541D05">
        <w:t xml:space="preserve"> </w:t>
      </w:r>
      <w:r w:rsidR="00D9258C" w:rsidRPr="00FD6A6A">
        <w:t>aggregates</w:t>
      </w:r>
      <w:r w:rsidR="00541D05">
        <w:t xml:space="preserve"> </w:t>
      </w:r>
      <w:r w:rsidR="00D9258C" w:rsidRPr="00FD6A6A">
        <w:t>197</w:t>
      </w:r>
      <w:r w:rsidR="00541D05">
        <w:t xml:space="preserve"> </w:t>
      </w:r>
      <w:r w:rsidR="00D9258C" w:rsidRPr="00FD6A6A">
        <w:t>bodies</w:t>
      </w:r>
      <w:r w:rsidR="00541D05">
        <w:t xml:space="preserve"> </w:t>
      </w:r>
      <w:r w:rsidR="00D9258C" w:rsidRPr="00FD6A6A">
        <w:t>and</w:t>
      </w:r>
      <w:r w:rsidR="00541D05">
        <w:t xml:space="preserve"> </w:t>
      </w:r>
      <w:r w:rsidR="00D9258C" w:rsidRPr="00FD6A6A">
        <w:t>106</w:t>
      </w:r>
      <w:r w:rsidR="00541D05">
        <w:t xml:space="preserve"> </w:t>
      </w:r>
      <w:r w:rsidR="00D9258C" w:rsidRPr="00FD6A6A">
        <w:t>councils</w:t>
      </w:r>
      <w:r w:rsidR="00541D05">
        <w:t xml:space="preserve"> </w:t>
      </w:r>
      <w:r w:rsidR="00D9258C" w:rsidRPr="00FD6A6A">
        <w:t>for</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in</w:t>
      </w:r>
      <w:r w:rsidR="00541D05">
        <w:t xml:space="preserve"> </w:t>
      </w:r>
      <w:r w:rsidR="00D9258C" w:rsidRPr="00FD6A6A">
        <w:t>the</w:t>
      </w:r>
      <w:r w:rsidR="00541D05">
        <w:t xml:space="preserve"> </w:t>
      </w:r>
      <w:r w:rsidR="00D9258C" w:rsidRPr="00FD6A6A">
        <w:t>entire</w:t>
      </w:r>
      <w:r w:rsidR="00541D05">
        <w:t xml:space="preserve"> </w:t>
      </w:r>
      <w:r w:rsidR="00D9258C" w:rsidRPr="00FD6A6A">
        <w:t>country.</w:t>
      </w:r>
    </w:p>
    <w:p w14:paraId="76DA3AAA" w14:textId="1F2D8861" w:rsidR="00D9258C" w:rsidRPr="00FD6A6A" w:rsidRDefault="00166390" w:rsidP="00166390">
      <w:pPr>
        <w:pStyle w:val="ParaNoG"/>
        <w:numPr>
          <w:ilvl w:val="0"/>
          <w:numId w:val="0"/>
        </w:numPr>
        <w:tabs>
          <w:tab w:val="left" w:pos="0"/>
        </w:tabs>
        <w:ind w:left="1134"/>
      </w:pPr>
      <w:r w:rsidRPr="00FD6A6A">
        <w:t>31.</w:t>
      </w:r>
      <w:r w:rsidRPr="00FD6A6A">
        <w:tab/>
      </w:r>
      <w:r w:rsidR="00D9258C" w:rsidRPr="00FD6A6A">
        <w:t>The</w:t>
      </w:r>
      <w:r w:rsidR="00541D05">
        <w:t xml:space="preserve"> </w:t>
      </w:r>
      <w:r w:rsidR="00D9258C" w:rsidRPr="00FD6A6A">
        <w:t>National</w:t>
      </w:r>
      <w:r w:rsidR="00541D05">
        <w:t xml:space="preserve"> </w:t>
      </w:r>
      <w:r w:rsidR="00D9258C" w:rsidRPr="00FD6A6A">
        <w:t>Conference</w:t>
      </w:r>
      <w:r w:rsidR="00541D05">
        <w:t xml:space="preserve"> </w:t>
      </w:r>
      <w:r w:rsidR="00D9258C" w:rsidRPr="00FD6A6A">
        <w:t>for</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(CONAPIR),</w:t>
      </w:r>
      <w:r w:rsidR="00541D05">
        <w:t xml:space="preserve"> </w:t>
      </w:r>
      <w:r w:rsidR="00D9258C" w:rsidRPr="00FD6A6A">
        <w:t>held</w:t>
      </w:r>
      <w:r w:rsidR="00541D05">
        <w:t xml:space="preserve"> </w:t>
      </w:r>
      <w:r w:rsidR="00D9258C" w:rsidRPr="00FD6A6A">
        <w:t>every</w:t>
      </w:r>
      <w:r w:rsidR="00541D05">
        <w:t xml:space="preserve"> </w:t>
      </w:r>
      <w:r w:rsidR="00D9258C" w:rsidRPr="00FD6A6A">
        <w:t>four</w:t>
      </w:r>
      <w:r w:rsidR="00541D05">
        <w:t xml:space="preserve"> </w:t>
      </w:r>
      <w:r w:rsidR="00D9258C" w:rsidRPr="00FD6A6A">
        <w:t>years,</w:t>
      </w:r>
      <w:r w:rsidR="00541D05">
        <w:t xml:space="preserve"> </w:t>
      </w:r>
      <w:r w:rsidR="00D9258C" w:rsidRPr="00FD6A6A">
        <w:t>also</w:t>
      </w:r>
      <w:r w:rsidR="00541D05">
        <w:t xml:space="preserve"> </w:t>
      </w:r>
      <w:r w:rsidR="00D9258C" w:rsidRPr="00FD6A6A">
        <w:t>promotes</w:t>
      </w:r>
      <w:r w:rsidR="00541D05">
        <w:t xml:space="preserve"> </w:t>
      </w:r>
      <w:r w:rsidR="00D9258C" w:rsidRPr="00FD6A6A">
        <w:t>social</w:t>
      </w:r>
      <w:r w:rsidR="00541D05">
        <w:t xml:space="preserve"> </w:t>
      </w:r>
      <w:r w:rsidR="00D9258C" w:rsidRPr="00FD6A6A">
        <w:t>participation</w:t>
      </w:r>
      <w:r w:rsidR="00541D05">
        <w:t xml:space="preserve"> </w:t>
      </w:r>
      <w:r w:rsidR="00D9258C" w:rsidRPr="00FD6A6A">
        <w:t>and</w:t>
      </w:r>
      <w:r w:rsidR="00541D05">
        <w:t xml:space="preserve"> </w:t>
      </w:r>
      <w:r w:rsidR="00D9258C" w:rsidRPr="00FD6A6A">
        <w:t>integration</w:t>
      </w:r>
      <w:r w:rsidR="00541D05">
        <w:t xml:space="preserve"> </w:t>
      </w:r>
      <w:r w:rsidR="00D9258C" w:rsidRPr="00FD6A6A">
        <w:t>of</w:t>
      </w:r>
      <w:r w:rsidR="00541D05">
        <w:t xml:space="preserve"> </w:t>
      </w:r>
      <w:r w:rsidR="00D9258C" w:rsidRPr="00FD6A6A">
        <w:t>the</w:t>
      </w:r>
      <w:r w:rsidR="00541D05">
        <w:t xml:space="preserve"> </w:t>
      </w:r>
      <w:r w:rsidR="00D9258C" w:rsidRPr="00FD6A6A">
        <w:t>racial</w:t>
      </w:r>
      <w:r w:rsidR="00541D05">
        <w:t xml:space="preserve"> </w:t>
      </w:r>
      <w:r w:rsidR="00D9258C" w:rsidRPr="00FD6A6A">
        <w:t>debate</w:t>
      </w:r>
      <w:r w:rsidR="00541D05">
        <w:t xml:space="preserve"> </w:t>
      </w:r>
      <w:r w:rsidR="00D9258C" w:rsidRPr="00FD6A6A">
        <w:t>in</w:t>
      </w:r>
      <w:r w:rsidR="00541D05">
        <w:t xml:space="preserve"> </w:t>
      </w:r>
      <w:r w:rsidR="00D9258C" w:rsidRPr="00FD6A6A">
        <w:t>Brazilian</w:t>
      </w:r>
      <w:r w:rsidR="00541D05">
        <w:t xml:space="preserve"> </w:t>
      </w:r>
      <w:r w:rsidR="00D9258C" w:rsidRPr="00FD6A6A">
        <w:t>society.</w:t>
      </w:r>
      <w:r w:rsidR="00541D05">
        <w:t xml:space="preserve"> </w:t>
      </w:r>
      <w:r w:rsidR="00D9258C" w:rsidRPr="00FD6A6A">
        <w:t>On</w:t>
      </w:r>
      <w:r w:rsidR="00541D05">
        <w:t xml:space="preserve"> </w:t>
      </w:r>
      <w:r w:rsidR="00D9258C" w:rsidRPr="00FD6A6A">
        <w:t>its</w:t>
      </w:r>
      <w:r w:rsidR="00541D05">
        <w:t xml:space="preserve"> </w:t>
      </w:r>
      <w:r w:rsidR="00D9258C" w:rsidRPr="00FD6A6A">
        <w:t>latest</w:t>
      </w:r>
      <w:r w:rsidR="00541D05">
        <w:t xml:space="preserve"> </w:t>
      </w:r>
      <w:r w:rsidR="00D9258C" w:rsidRPr="00FD6A6A">
        <w:t>edition,</w:t>
      </w:r>
      <w:r w:rsidR="00541D05">
        <w:t xml:space="preserve"> </w:t>
      </w:r>
      <w:r w:rsidR="00D9258C" w:rsidRPr="00FD6A6A">
        <w:t>in</w:t>
      </w:r>
      <w:r w:rsidR="00541D05">
        <w:t xml:space="preserve"> </w:t>
      </w:r>
      <w:r w:rsidR="00D9258C" w:rsidRPr="00FD6A6A">
        <w:t>2018,</w:t>
      </w:r>
      <w:r w:rsidR="00541D05">
        <w:t xml:space="preserve"> </w:t>
      </w:r>
      <w:r w:rsidR="00D9258C" w:rsidRPr="00FD6A6A">
        <w:t>the</w:t>
      </w:r>
      <w:r w:rsidR="00541D05">
        <w:t xml:space="preserve"> </w:t>
      </w:r>
      <w:r w:rsidR="00D9258C" w:rsidRPr="00FD6A6A">
        <w:t>Conference</w:t>
      </w:r>
      <w:r w:rsidR="00541D05">
        <w:t xml:space="preserve"> </w:t>
      </w:r>
      <w:r w:rsidR="00D9258C" w:rsidRPr="00FD6A6A">
        <w:t>congregated</w:t>
      </w:r>
      <w:r w:rsidR="00541D05">
        <w:t xml:space="preserve"> </w:t>
      </w:r>
      <w:r w:rsidR="00D9258C" w:rsidRPr="00FD6A6A">
        <w:t>approximately</w:t>
      </w:r>
      <w:r w:rsidR="00541D05">
        <w:t xml:space="preserve"> </w:t>
      </w:r>
      <w:r w:rsidR="00D9258C" w:rsidRPr="00FD6A6A">
        <w:t>six</w:t>
      </w:r>
      <w:r w:rsidR="00541D05">
        <w:t xml:space="preserve"> </w:t>
      </w:r>
      <w:r w:rsidR="00D9258C" w:rsidRPr="00FD6A6A">
        <w:t>hundred</w:t>
      </w:r>
      <w:r w:rsidR="00541D05">
        <w:t xml:space="preserve"> </w:t>
      </w:r>
      <w:r w:rsidR="00D9258C" w:rsidRPr="00FD6A6A">
        <w:t>representatives</w:t>
      </w:r>
      <w:r w:rsidR="00541D05">
        <w:t xml:space="preserve"> </w:t>
      </w:r>
      <w:r w:rsidR="00D9258C" w:rsidRPr="00FD6A6A">
        <w:t>from</w:t>
      </w:r>
      <w:r w:rsidR="00541D05">
        <w:t xml:space="preserve"> </w:t>
      </w:r>
      <w:r w:rsidR="00D9258C" w:rsidRPr="00FD6A6A">
        <w:t>the</w:t>
      </w:r>
      <w:r w:rsidR="00541D05">
        <w:t xml:space="preserve"> </w:t>
      </w:r>
      <w:r w:rsidR="00D9258C" w:rsidRPr="00FD6A6A">
        <w:t>entire</w:t>
      </w:r>
      <w:r w:rsidR="00541D05">
        <w:t xml:space="preserve"> </w:t>
      </w:r>
      <w:r w:rsidR="00D9258C" w:rsidRPr="00FD6A6A">
        <w:t>country.</w:t>
      </w:r>
      <w:r w:rsidR="00541D05">
        <w:t xml:space="preserve"> </w:t>
      </w:r>
      <w:r w:rsidR="00D9258C" w:rsidRPr="00FD6A6A">
        <w:t>Four</w:t>
      </w:r>
      <w:r w:rsidR="00541D05">
        <w:t xml:space="preserve"> </w:t>
      </w:r>
      <w:r w:rsidR="00D9258C" w:rsidRPr="00FD6A6A">
        <w:t>conferences</w:t>
      </w:r>
      <w:r w:rsidR="00541D05">
        <w:t xml:space="preserve"> </w:t>
      </w:r>
      <w:r w:rsidR="00D9258C" w:rsidRPr="00FD6A6A">
        <w:t>were</w:t>
      </w:r>
      <w:r w:rsidR="00541D05">
        <w:t xml:space="preserve"> </w:t>
      </w:r>
      <w:r w:rsidR="00D9258C" w:rsidRPr="00FD6A6A">
        <w:t>held</w:t>
      </w:r>
      <w:r w:rsidR="00541D05">
        <w:t xml:space="preserve"> </w:t>
      </w:r>
      <w:r w:rsidR="00D9258C" w:rsidRPr="00FD6A6A">
        <w:t>from</w:t>
      </w:r>
      <w:r w:rsidR="00541D05">
        <w:t xml:space="preserve"> </w:t>
      </w:r>
      <w:r w:rsidR="00D9258C" w:rsidRPr="00FD6A6A">
        <w:t>2004</w:t>
      </w:r>
      <w:r w:rsidR="00541D05">
        <w:t xml:space="preserve"> </w:t>
      </w:r>
      <w:r w:rsidR="00D9258C" w:rsidRPr="00FD6A6A">
        <w:t>to</w:t>
      </w:r>
      <w:r w:rsidR="00541D05">
        <w:t xml:space="preserve"> </w:t>
      </w:r>
      <w:r w:rsidR="00D9258C" w:rsidRPr="00FD6A6A">
        <w:t>2018,</w:t>
      </w:r>
      <w:r w:rsidR="00541D05">
        <w:t xml:space="preserve"> </w:t>
      </w:r>
      <w:r w:rsidR="00D9258C" w:rsidRPr="00FD6A6A">
        <w:t>with</w:t>
      </w:r>
      <w:r w:rsidR="00541D05">
        <w:t xml:space="preserve"> </w:t>
      </w:r>
      <w:r w:rsidR="00D9258C" w:rsidRPr="00FD6A6A">
        <w:t>the</w:t>
      </w:r>
      <w:r w:rsidR="00541D05">
        <w:t xml:space="preserve"> </w:t>
      </w:r>
      <w:r w:rsidR="00D9258C" w:rsidRPr="00FD6A6A">
        <w:t>participation</w:t>
      </w:r>
      <w:r w:rsidR="00541D05">
        <w:t xml:space="preserve"> </w:t>
      </w:r>
      <w:r w:rsidR="00D9258C" w:rsidRPr="00FD6A6A">
        <w:t>of</w:t>
      </w:r>
      <w:r w:rsidR="00541D05">
        <w:t xml:space="preserve"> </w:t>
      </w:r>
      <w:r w:rsidR="00D9258C" w:rsidRPr="00FD6A6A">
        <w:t>several</w:t>
      </w:r>
      <w:r w:rsidR="00541D05">
        <w:t xml:space="preserve"> </w:t>
      </w:r>
      <w:r w:rsidR="00D9258C" w:rsidRPr="00FD6A6A">
        <w:t>organizations</w:t>
      </w:r>
      <w:r w:rsidR="00541D05">
        <w:t xml:space="preserve"> </w:t>
      </w:r>
      <w:r w:rsidR="00D9258C" w:rsidRPr="00FD6A6A">
        <w:t>of</w:t>
      </w:r>
      <w:r w:rsidR="00541D05">
        <w:t xml:space="preserve"> </w:t>
      </w:r>
      <w:r w:rsidR="00D9258C" w:rsidRPr="00FD6A6A">
        <w:t>civil</w:t>
      </w:r>
      <w:r w:rsidR="00541D05">
        <w:t xml:space="preserve"> </w:t>
      </w:r>
      <w:r w:rsidR="00D9258C" w:rsidRPr="00FD6A6A">
        <w:t>society,</w:t>
      </w:r>
      <w:r w:rsidR="00541D05">
        <w:t xml:space="preserve"> </w:t>
      </w:r>
      <w:r w:rsidR="00D9258C" w:rsidRPr="00FD6A6A">
        <w:t>together</w:t>
      </w:r>
      <w:r w:rsidR="00541D05">
        <w:t xml:space="preserve"> </w:t>
      </w:r>
      <w:r w:rsidR="00D9258C" w:rsidRPr="00FD6A6A">
        <w:t>with</w:t>
      </w:r>
      <w:r w:rsidR="00541D05">
        <w:t xml:space="preserve"> </w:t>
      </w:r>
      <w:r w:rsidR="00D9258C" w:rsidRPr="00FD6A6A">
        <w:t>the</w:t>
      </w:r>
      <w:r w:rsidR="00541D05">
        <w:t xml:space="preserve"> </w:t>
      </w:r>
      <w:r w:rsidR="00D9258C" w:rsidRPr="00FD6A6A">
        <w:t>three</w:t>
      </w:r>
      <w:r w:rsidR="00541D05">
        <w:t xml:space="preserve"> </w:t>
      </w:r>
      <w:r w:rsidR="00D9258C" w:rsidRPr="00FD6A6A">
        <w:t>levels</w:t>
      </w:r>
      <w:r w:rsidR="00541D05">
        <w:t xml:space="preserve"> </w:t>
      </w:r>
      <w:r w:rsidR="00D9258C" w:rsidRPr="00FD6A6A">
        <w:t>of</w:t>
      </w:r>
      <w:r w:rsidR="00541D05">
        <w:t xml:space="preserve"> </w:t>
      </w:r>
      <w:r w:rsidR="00D9258C" w:rsidRPr="00FD6A6A">
        <w:t>governments.</w:t>
      </w:r>
    </w:p>
    <w:p w14:paraId="2D09788E" w14:textId="078F4A99" w:rsidR="00D9258C" w:rsidRPr="00FD6A6A" w:rsidRDefault="00166390" w:rsidP="00166390">
      <w:pPr>
        <w:pStyle w:val="ParaNoG"/>
        <w:numPr>
          <w:ilvl w:val="0"/>
          <w:numId w:val="0"/>
        </w:numPr>
        <w:tabs>
          <w:tab w:val="left" w:pos="0"/>
        </w:tabs>
        <w:ind w:left="1134"/>
      </w:pPr>
      <w:r w:rsidRPr="00FD6A6A">
        <w:t>32.</w:t>
      </w:r>
      <w:r w:rsidRPr="00FD6A6A">
        <w:tab/>
      </w:r>
      <w:r w:rsidR="00D9258C" w:rsidRPr="00FD6A6A">
        <w:t>Since</w:t>
      </w:r>
      <w:r w:rsidR="00541D05">
        <w:t xml:space="preserve"> </w:t>
      </w:r>
      <w:r w:rsidR="00D9258C" w:rsidRPr="00FD6A6A">
        <w:t>the</w:t>
      </w:r>
      <w:r w:rsidR="00541D05">
        <w:t xml:space="preserve"> </w:t>
      </w:r>
      <w:r w:rsidR="00D9258C" w:rsidRPr="00FD6A6A">
        <w:t>1970s,</w:t>
      </w:r>
      <w:r w:rsidR="00541D05">
        <w:t xml:space="preserve"> </w:t>
      </w:r>
      <w:r w:rsidR="00D9258C" w:rsidRPr="00FD6A6A">
        <w:t>Afro-Brazilian</w:t>
      </w:r>
      <w:r w:rsidR="00541D05">
        <w:t xml:space="preserve"> </w:t>
      </w:r>
      <w:r w:rsidR="00D9258C" w:rsidRPr="00FD6A6A">
        <w:t>organizations</w:t>
      </w:r>
      <w:r w:rsidR="00541D05">
        <w:t xml:space="preserve"> </w:t>
      </w:r>
      <w:r w:rsidR="00D9258C" w:rsidRPr="00FD6A6A">
        <w:t>have</w:t>
      </w:r>
      <w:r w:rsidR="00541D05">
        <w:t xml:space="preserve"> </w:t>
      </w:r>
      <w:r w:rsidR="00D9258C" w:rsidRPr="00FD6A6A">
        <w:t>been</w:t>
      </w:r>
      <w:r w:rsidR="00541D05">
        <w:t xml:space="preserve"> </w:t>
      </w:r>
      <w:r w:rsidR="00D9258C" w:rsidRPr="00FD6A6A">
        <w:t>expanding,</w:t>
      </w:r>
      <w:r w:rsidR="00541D05">
        <w:t xml:space="preserve"> </w:t>
      </w:r>
      <w:r w:rsidR="00D9258C" w:rsidRPr="00FD6A6A">
        <w:t>in</w:t>
      </w:r>
      <w:r w:rsidR="00541D05">
        <w:t xml:space="preserve"> </w:t>
      </w:r>
      <w:r w:rsidR="00D9258C" w:rsidRPr="00FD6A6A">
        <w:t>defense</w:t>
      </w:r>
      <w:r w:rsidR="00541D05">
        <w:t xml:space="preserve"> </w:t>
      </w:r>
      <w:r w:rsidR="00D9258C" w:rsidRPr="00FD6A6A">
        <w:t>of</w:t>
      </w:r>
      <w:r w:rsidR="00541D05">
        <w:t xml:space="preserve"> </w:t>
      </w:r>
      <w:r w:rsidR="00D9258C" w:rsidRPr="00FD6A6A">
        <w:t>traditional</w:t>
      </w:r>
      <w:r w:rsidR="00541D05">
        <w:t xml:space="preserve"> </w:t>
      </w:r>
      <w:r w:rsidR="00D9258C" w:rsidRPr="00FD6A6A">
        <w:t>and</w:t>
      </w:r>
      <w:r w:rsidR="00541D05">
        <w:t xml:space="preserve"> </w:t>
      </w:r>
      <w:r w:rsidR="00EE5A2A" w:rsidRPr="00FD6A6A">
        <w:t>contemporary</w:t>
      </w:r>
      <w:r w:rsidR="00541D05">
        <w:t xml:space="preserve"> </w:t>
      </w:r>
      <w:r w:rsidR="00D9258C" w:rsidRPr="00FD6A6A">
        <w:t>causes.</w:t>
      </w:r>
      <w:r w:rsidR="00541D05">
        <w:t xml:space="preserve"> </w:t>
      </w:r>
      <w:r w:rsidR="00D9258C" w:rsidRPr="00FD6A6A">
        <w:t>In</w:t>
      </w:r>
      <w:r w:rsidR="00541D05">
        <w:t xml:space="preserve"> </w:t>
      </w:r>
      <w:r w:rsidR="00D9258C" w:rsidRPr="00FD6A6A">
        <w:t>places</w:t>
      </w:r>
      <w:r w:rsidR="00541D05">
        <w:t xml:space="preserve"> </w:t>
      </w:r>
      <w:r w:rsidR="00D9258C" w:rsidRPr="00FD6A6A">
        <w:t>were</w:t>
      </w:r>
      <w:r w:rsidR="00541D05">
        <w:t xml:space="preserve"> </w:t>
      </w:r>
      <w:r w:rsidR="00D9258C" w:rsidRPr="00FD6A6A">
        <w:t>public</w:t>
      </w:r>
      <w:r w:rsidR="00541D05">
        <w:t xml:space="preserve"> </w:t>
      </w:r>
      <w:r w:rsidR="00D9258C" w:rsidRPr="00FD6A6A">
        <w:t>services</w:t>
      </w:r>
      <w:r w:rsidR="00541D05">
        <w:t xml:space="preserve"> </w:t>
      </w:r>
      <w:r w:rsidR="00D9258C" w:rsidRPr="00FD6A6A">
        <w:t>are</w:t>
      </w:r>
      <w:r w:rsidR="00541D05">
        <w:t xml:space="preserve"> </w:t>
      </w:r>
      <w:r w:rsidR="00D9258C" w:rsidRPr="00FD6A6A">
        <w:t>not</w:t>
      </w:r>
      <w:r w:rsidR="00541D05">
        <w:t xml:space="preserve"> </w:t>
      </w:r>
      <w:r w:rsidR="00D9258C" w:rsidRPr="00FD6A6A">
        <w:t>widely</w:t>
      </w:r>
      <w:r w:rsidR="00541D05">
        <w:t xml:space="preserve"> </w:t>
      </w:r>
      <w:r w:rsidR="00D9258C" w:rsidRPr="00FD6A6A">
        <w:t>available,</w:t>
      </w:r>
      <w:r w:rsidR="00541D05">
        <w:t xml:space="preserve"> </w:t>
      </w:r>
      <w:r w:rsidR="00D9258C" w:rsidRPr="00FD6A6A">
        <w:t>they</w:t>
      </w:r>
      <w:r w:rsidR="00541D05">
        <w:t xml:space="preserve"> </w:t>
      </w:r>
      <w:r w:rsidR="00D9258C" w:rsidRPr="00FD6A6A">
        <w:t>offer</w:t>
      </w:r>
      <w:r w:rsidR="00541D05">
        <w:t xml:space="preserve"> </w:t>
      </w:r>
      <w:r w:rsidR="00D9258C" w:rsidRPr="00FD6A6A">
        <w:t>assistance</w:t>
      </w:r>
      <w:r w:rsidR="00541D05">
        <w:t xml:space="preserve"> </w:t>
      </w:r>
      <w:r w:rsidR="00D9258C" w:rsidRPr="00FD6A6A">
        <w:t>to</w:t>
      </w:r>
      <w:r w:rsidR="00541D05">
        <w:t xml:space="preserve"> </w:t>
      </w:r>
      <w:r w:rsidR="00D9258C" w:rsidRPr="00FD6A6A">
        <w:t>victims</w:t>
      </w:r>
      <w:r w:rsidR="00541D05">
        <w:t xml:space="preserve"> </w:t>
      </w:r>
      <w:r w:rsidR="00D9258C" w:rsidRPr="00FD6A6A">
        <w:t>of</w:t>
      </w:r>
      <w:r w:rsidR="00541D05">
        <w:t xml:space="preserve"> </w:t>
      </w:r>
      <w:r w:rsidR="00D9258C" w:rsidRPr="00FD6A6A">
        <w:t>discrimination,</w:t>
      </w:r>
      <w:r w:rsidR="00541D05">
        <w:t xml:space="preserve"> </w:t>
      </w:r>
      <w:r w:rsidR="00D9258C" w:rsidRPr="00FD6A6A">
        <w:t>providing</w:t>
      </w:r>
      <w:r w:rsidR="00541D05">
        <w:t xml:space="preserve"> </w:t>
      </w:r>
      <w:r w:rsidR="00D9258C" w:rsidRPr="00FD6A6A">
        <w:t>legal</w:t>
      </w:r>
      <w:r w:rsidR="00541D05">
        <w:t xml:space="preserve"> </w:t>
      </w:r>
      <w:r w:rsidR="00D9258C" w:rsidRPr="00FD6A6A">
        <w:t>and</w:t>
      </w:r>
      <w:r w:rsidR="00541D05">
        <w:t xml:space="preserve"> </w:t>
      </w:r>
      <w:r w:rsidR="00D9258C" w:rsidRPr="00FD6A6A">
        <w:t>psychological</w:t>
      </w:r>
      <w:r w:rsidR="00541D05">
        <w:t xml:space="preserve"> </w:t>
      </w:r>
      <w:r w:rsidR="00D9258C" w:rsidRPr="00FD6A6A">
        <w:t>counseling.</w:t>
      </w:r>
      <w:r w:rsidR="00541D05">
        <w:t xml:space="preserve"> </w:t>
      </w:r>
      <w:r w:rsidR="00D9258C" w:rsidRPr="00FD6A6A">
        <w:t>Initially,</w:t>
      </w:r>
      <w:r w:rsidR="00541D05">
        <w:t xml:space="preserve"> </w:t>
      </w:r>
      <w:r w:rsidR="00D9258C" w:rsidRPr="00FD6A6A">
        <w:t>such</w:t>
      </w:r>
      <w:r w:rsidR="00541D05">
        <w:t xml:space="preserve"> </w:t>
      </w:r>
      <w:r w:rsidR="00D9258C" w:rsidRPr="00FD6A6A">
        <w:t>organizations</w:t>
      </w:r>
      <w:r w:rsidR="00541D05">
        <w:t xml:space="preserve"> </w:t>
      </w:r>
      <w:r w:rsidR="00D9258C" w:rsidRPr="00FD6A6A">
        <w:t>depended</w:t>
      </w:r>
      <w:r w:rsidR="00541D05">
        <w:t xml:space="preserve"> </w:t>
      </w:r>
      <w:r w:rsidR="00D9258C" w:rsidRPr="00FD6A6A">
        <w:t>on</w:t>
      </w:r>
      <w:r w:rsidR="00541D05">
        <w:t xml:space="preserve"> </w:t>
      </w:r>
      <w:r w:rsidR="00D9258C" w:rsidRPr="00FD6A6A">
        <w:t>the</w:t>
      </w:r>
      <w:r w:rsidR="00541D05">
        <w:t xml:space="preserve"> </w:t>
      </w:r>
      <w:r w:rsidR="00D9258C" w:rsidRPr="00FD6A6A">
        <w:t>support</w:t>
      </w:r>
      <w:r w:rsidR="00541D05">
        <w:t xml:space="preserve"> </w:t>
      </w:r>
      <w:r w:rsidR="00D9258C" w:rsidRPr="00FD6A6A">
        <w:t>of</w:t>
      </w:r>
      <w:r w:rsidR="00541D05">
        <w:t xml:space="preserve"> </w:t>
      </w:r>
      <w:r w:rsidR="00D9258C" w:rsidRPr="00FD6A6A">
        <w:t>international</w:t>
      </w:r>
      <w:r w:rsidR="00541D05">
        <w:t xml:space="preserve"> </w:t>
      </w:r>
      <w:r w:rsidR="00D9258C" w:rsidRPr="00FD6A6A">
        <w:t>foundations,</w:t>
      </w:r>
      <w:r w:rsidR="00541D05">
        <w:t xml:space="preserve"> </w:t>
      </w:r>
      <w:r w:rsidR="00D9258C" w:rsidRPr="00FD6A6A">
        <w:t>given</w:t>
      </w:r>
      <w:r w:rsidR="00541D05">
        <w:t xml:space="preserve"> </w:t>
      </w:r>
      <w:r w:rsidR="00D9258C" w:rsidRPr="00FD6A6A">
        <w:t>that</w:t>
      </w:r>
      <w:r w:rsidR="00541D05">
        <w:t xml:space="preserve"> </w:t>
      </w:r>
      <w:r w:rsidR="00D9258C" w:rsidRPr="00FD6A6A">
        <w:t>traditional</w:t>
      </w:r>
      <w:r w:rsidR="00541D05">
        <w:t xml:space="preserve"> </w:t>
      </w:r>
      <w:r w:rsidR="00D9258C" w:rsidRPr="00FD6A6A">
        <w:t>human</w:t>
      </w:r>
      <w:r w:rsidR="00541D05">
        <w:t xml:space="preserve"> </w:t>
      </w:r>
      <w:r w:rsidR="00D9258C" w:rsidRPr="00FD6A6A">
        <w:t>rights</w:t>
      </w:r>
      <w:r w:rsidR="00541D05">
        <w:t xml:space="preserve"> </w:t>
      </w:r>
      <w:r w:rsidR="00D9258C" w:rsidRPr="00FD6A6A">
        <w:t>NGOs</w:t>
      </w:r>
      <w:r w:rsidR="00541D05">
        <w:t xml:space="preserve"> </w:t>
      </w:r>
      <w:r w:rsidR="00D9258C" w:rsidRPr="00FD6A6A">
        <w:t>were</w:t>
      </w:r>
      <w:r w:rsidR="00541D05">
        <w:t xml:space="preserve"> </w:t>
      </w:r>
      <w:r w:rsidR="00D9258C" w:rsidRPr="00FD6A6A">
        <w:t>not</w:t>
      </w:r>
      <w:r w:rsidR="00541D05">
        <w:t xml:space="preserve"> </w:t>
      </w:r>
      <w:r w:rsidR="00D9258C" w:rsidRPr="00FD6A6A">
        <w:t>focused</w:t>
      </w:r>
      <w:r w:rsidR="00541D05">
        <w:t xml:space="preserve"> </w:t>
      </w:r>
      <w:r w:rsidR="00D9258C" w:rsidRPr="00FD6A6A">
        <w:t>on</w:t>
      </w:r>
      <w:r w:rsidR="00541D05">
        <w:t xml:space="preserve"> </w:t>
      </w:r>
      <w:r w:rsidR="00D9258C" w:rsidRPr="00FD6A6A">
        <w:t>the</w:t>
      </w:r>
      <w:r w:rsidR="00541D05">
        <w:t xml:space="preserve"> </w:t>
      </w:r>
      <w:r w:rsidR="00D9258C" w:rsidRPr="00FD6A6A">
        <w:t>racial</w:t>
      </w:r>
      <w:r w:rsidR="00541D05">
        <w:t xml:space="preserve"> </w:t>
      </w:r>
      <w:r w:rsidR="00D9258C" w:rsidRPr="00FD6A6A">
        <w:t>debate</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These</w:t>
      </w:r>
      <w:r w:rsidR="00541D05">
        <w:t xml:space="preserve"> </w:t>
      </w:r>
      <w:r w:rsidR="00D9258C" w:rsidRPr="00FD6A6A">
        <w:t>Afro-Brazilian</w:t>
      </w:r>
      <w:r w:rsidR="00541D05">
        <w:t xml:space="preserve"> </w:t>
      </w:r>
      <w:r w:rsidR="00D9258C" w:rsidRPr="00FD6A6A">
        <w:t>organizations</w:t>
      </w:r>
      <w:r w:rsidR="00541D05">
        <w:t xml:space="preserve"> </w:t>
      </w:r>
      <w:r w:rsidR="00D9258C" w:rsidRPr="00FD6A6A">
        <w:t>were</w:t>
      </w:r>
      <w:r w:rsidR="00541D05">
        <w:t xml:space="preserve"> </w:t>
      </w:r>
      <w:r w:rsidR="00D9258C" w:rsidRPr="00FD6A6A">
        <w:t>responsible</w:t>
      </w:r>
      <w:r w:rsidR="00541D05">
        <w:t xml:space="preserve"> </w:t>
      </w:r>
      <w:r w:rsidR="00D9258C" w:rsidRPr="00FD6A6A">
        <w:t>for</w:t>
      </w:r>
      <w:r w:rsidR="00541D05">
        <w:t xml:space="preserve"> </w:t>
      </w:r>
      <w:r w:rsidR="00D9258C" w:rsidRPr="00FD6A6A">
        <w:t>raising</w:t>
      </w:r>
      <w:r w:rsidR="00541D05">
        <w:t xml:space="preserve"> </w:t>
      </w:r>
      <w:r w:rsidR="00D9258C" w:rsidRPr="00FD6A6A">
        <w:t>awareness</w:t>
      </w:r>
      <w:r w:rsidR="00541D05">
        <w:t xml:space="preserve"> </w:t>
      </w:r>
      <w:r w:rsidR="00D9258C" w:rsidRPr="00FD6A6A">
        <w:t>among</w:t>
      </w:r>
      <w:r w:rsidR="00541D05">
        <w:t xml:space="preserve"> </w:t>
      </w:r>
      <w:r w:rsidR="00D9258C" w:rsidRPr="00FD6A6A">
        <w:t>judges,</w:t>
      </w:r>
      <w:r w:rsidR="00541D05">
        <w:t xml:space="preserve"> </w:t>
      </w:r>
      <w:r w:rsidR="00D9258C" w:rsidRPr="00FD6A6A">
        <w:t>public</w:t>
      </w:r>
      <w:r w:rsidR="00541D05">
        <w:t xml:space="preserve"> </w:t>
      </w:r>
      <w:r w:rsidR="00D9258C" w:rsidRPr="00FD6A6A">
        <w:t>prosecutors</w:t>
      </w:r>
      <w:r w:rsidR="00541D05">
        <w:t xml:space="preserve"> </w:t>
      </w:r>
      <w:r w:rsidR="00D9258C" w:rsidRPr="00FD6A6A">
        <w:t>and</w:t>
      </w:r>
      <w:r w:rsidR="00541D05">
        <w:t xml:space="preserve"> </w:t>
      </w:r>
      <w:r w:rsidR="00D9258C" w:rsidRPr="00FD6A6A">
        <w:t>human</w:t>
      </w:r>
      <w:r w:rsidR="00541D05">
        <w:t xml:space="preserve"> </w:t>
      </w:r>
      <w:r w:rsidR="00D9258C" w:rsidRPr="00FD6A6A">
        <w:t>rights</w:t>
      </w:r>
      <w:r w:rsidR="00541D05">
        <w:t xml:space="preserve"> </w:t>
      </w:r>
      <w:r w:rsidR="00D9258C" w:rsidRPr="00FD6A6A">
        <w:t>activists</w:t>
      </w:r>
      <w:r w:rsidR="00541D05">
        <w:t xml:space="preserve"> </w:t>
      </w:r>
      <w:r w:rsidR="00D9258C" w:rsidRPr="00FD6A6A">
        <w:t>about</w:t>
      </w:r>
      <w:r w:rsidR="00541D05">
        <w:t xml:space="preserve"> </w:t>
      </w:r>
      <w:r w:rsidR="00D9258C" w:rsidRPr="00FD6A6A">
        <w:t>the</w:t>
      </w:r>
      <w:r w:rsidR="00541D05">
        <w:t xml:space="preserve"> </w:t>
      </w:r>
      <w:r w:rsidR="00D9258C" w:rsidRPr="00FD6A6A">
        <w:t>need</w:t>
      </w:r>
      <w:r w:rsidR="00541D05">
        <w:t xml:space="preserve"> </w:t>
      </w:r>
      <w:r w:rsidR="00D9258C" w:rsidRPr="00FD6A6A">
        <w:t>to</w:t>
      </w:r>
      <w:r w:rsidR="00541D05">
        <w:t xml:space="preserve"> </w:t>
      </w:r>
      <w:r w:rsidR="00D9258C" w:rsidRPr="00FD6A6A">
        <w:t>reevaluate</w:t>
      </w:r>
      <w:r w:rsidR="00541D05">
        <w:t xml:space="preserve"> </w:t>
      </w:r>
      <w:r w:rsidR="00D9258C" w:rsidRPr="00FD6A6A">
        <w:t>how</w:t>
      </w:r>
      <w:r w:rsidR="00541D05">
        <w:t xml:space="preserve"> </w:t>
      </w:r>
      <w:r w:rsidR="00D9258C" w:rsidRPr="00FD6A6A">
        <w:t>complaints</w:t>
      </w:r>
      <w:r w:rsidR="00541D05">
        <w:t xml:space="preserve"> </w:t>
      </w:r>
      <w:r w:rsidR="00D9258C" w:rsidRPr="00FD6A6A">
        <w:t>of</w:t>
      </w:r>
      <w:r w:rsidR="00541D05">
        <w:t xml:space="preserve"> </w:t>
      </w:r>
      <w:r w:rsidR="00D9258C" w:rsidRPr="00FD6A6A">
        <w:t>racism</w:t>
      </w:r>
      <w:r w:rsidR="00541D05">
        <w:t xml:space="preserve"> </w:t>
      </w:r>
      <w:r w:rsidR="00D9258C" w:rsidRPr="00FD6A6A">
        <w:t>were</w:t>
      </w:r>
      <w:r w:rsidR="00541D05">
        <w:t xml:space="preserve"> </w:t>
      </w:r>
      <w:r w:rsidR="00D9258C" w:rsidRPr="00FD6A6A">
        <w:t>addressed</w:t>
      </w:r>
      <w:r w:rsidR="00541D05">
        <w:t xml:space="preserve"> </w:t>
      </w:r>
      <w:r w:rsidR="00D9258C" w:rsidRPr="00FD6A6A">
        <w:t>in</w:t>
      </w:r>
      <w:r w:rsidR="00541D05">
        <w:t xml:space="preserve"> </w:t>
      </w:r>
      <w:r w:rsidR="00D9258C" w:rsidRPr="00FD6A6A">
        <w:t>the</w:t>
      </w:r>
      <w:r w:rsidR="00541D05">
        <w:t xml:space="preserve"> </w:t>
      </w:r>
      <w:r w:rsidR="00D9258C" w:rsidRPr="00FD6A6A">
        <w:t>justice</w:t>
      </w:r>
      <w:r w:rsidR="00541D05">
        <w:t xml:space="preserve"> </w:t>
      </w:r>
      <w:r w:rsidR="00D9258C" w:rsidRPr="00FD6A6A">
        <w:t>system.</w:t>
      </w:r>
    </w:p>
    <w:p w14:paraId="5F62AF88" w14:textId="7F4B1D68" w:rsidR="00D9258C" w:rsidRPr="00FD6A6A" w:rsidRDefault="00D9258C" w:rsidP="00EE5A2A">
      <w:pPr>
        <w:pStyle w:val="HChG"/>
      </w:pPr>
      <w:r w:rsidRPr="00FD6A6A">
        <w:tab/>
        <w:t>IV.</w:t>
      </w:r>
      <w:r w:rsidRPr="00FD6A6A">
        <w:tab/>
        <w:t>Article</w:t>
      </w:r>
      <w:r w:rsidR="00541D05">
        <w:t xml:space="preserve"> </w:t>
      </w:r>
      <w:r w:rsidRPr="00FD6A6A">
        <w:t>3</w:t>
      </w:r>
      <w:r w:rsidR="00541D05">
        <w:t xml:space="preserve"> </w:t>
      </w:r>
      <w:r w:rsidRPr="00FD6A6A">
        <w:t>–</w:t>
      </w:r>
      <w:r w:rsidR="00541D05">
        <w:t xml:space="preserve"> </w:t>
      </w:r>
      <w:r w:rsidRPr="00FD6A6A">
        <w:t>Socio-spatial</w:t>
      </w:r>
      <w:r w:rsidR="00541D05">
        <w:t xml:space="preserve"> </w:t>
      </w:r>
      <w:r w:rsidRPr="00FD6A6A">
        <w:t>segregation</w:t>
      </w:r>
    </w:p>
    <w:p w14:paraId="67F4ED57" w14:textId="3D54C7FB" w:rsidR="00D9258C" w:rsidRPr="00EE5A2A" w:rsidRDefault="00D9258C" w:rsidP="00EE5A2A">
      <w:pPr>
        <w:pStyle w:val="SingleTxtG"/>
        <w:rPr>
          <w:b/>
          <w:bCs/>
        </w:rPr>
      </w:pPr>
      <w:r w:rsidRPr="00EE5A2A">
        <w:rPr>
          <w:b/>
          <w:bCs/>
        </w:rPr>
        <w:t>The</w:t>
      </w:r>
      <w:r w:rsidR="00541D05" w:rsidRPr="00EE5A2A">
        <w:rPr>
          <w:b/>
          <w:bCs/>
        </w:rPr>
        <w:t xml:space="preserve"> </w:t>
      </w:r>
      <w:r w:rsidRPr="00EE5A2A">
        <w:rPr>
          <w:b/>
          <w:bCs/>
        </w:rPr>
        <w:t>report</w:t>
      </w:r>
      <w:r w:rsidR="00541D05" w:rsidRPr="00EE5A2A">
        <w:rPr>
          <w:b/>
          <w:bCs/>
        </w:rPr>
        <w:t xml:space="preserve"> </w:t>
      </w:r>
      <w:r w:rsidRPr="00EE5A2A">
        <w:rPr>
          <w:b/>
          <w:bCs/>
        </w:rPr>
        <w:t>must</w:t>
      </w:r>
      <w:r w:rsidR="00541D05" w:rsidRPr="00EE5A2A">
        <w:rPr>
          <w:b/>
          <w:bCs/>
        </w:rPr>
        <w:t xml:space="preserve"> </w:t>
      </w:r>
      <w:r w:rsidRPr="00EE5A2A">
        <w:rPr>
          <w:b/>
          <w:bCs/>
        </w:rPr>
        <w:t>inform</w:t>
      </w:r>
      <w:r w:rsidR="00541D05" w:rsidRPr="00EE5A2A">
        <w:rPr>
          <w:b/>
          <w:bCs/>
        </w:rPr>
        <w:t xml:space="preserve"> </w:t>
      </w:r>
      <w:r w:rsidRPr="00EE5A2A">
        <w:rPr>
          <w:b/>
          <w:bCs/>
        </w:rPr>
        <w:t>whether</w:t>
      </w:r>
      <w:r w:rsidR="00541D05" w:rsidRPr="00EE5A2A">
        <w:rPr>
          <w:b/>
          <w:bCs/>
        </w:rPr>
        <w:t xml:space="preserve"> </w:t>
      </w:r>
      <w:r w:rsidRPr="00EE5A2A">
        <w:rPr>
          <w:b/>
          <w:bCs/>
        </w:rPr>
        <w:t>there</w:t>
      </w:r>
      <w:r w:rsidR="00541D05" w:rsidRPr="00EE5A2A">
        <w:rPr>
          <w:b/>
          <w:bCs/>
        </w:rPr>
        <w:t xml:space="preserve"> </w:t>
      </w:r>
      <w:r w:rsidRPr="00EE5A2A">
        <w:rPr>
          <w:b/>
          <w:bCs/>
        </w:rPr>
        <w:t>are</w:t>
      </w:r>
      <w:r w:rsidR="00541D05" w:rsidRPr="00EE5A2A">
        <w:rPr>
          <w:b/>
          <w:bCs/>
        </w:rPr>
        <w:t xml:space="preserve"> </w:t>
      </w:r>
      <w:r w:rsidRPr="00EE5A2A">
        <w:rPr>
          <w:b/>
          <w:bCs/>
        </w:rPr>
        <w:t>measures</w:t>
      </w:r>
      <w:r w:rsidR="00541D05" w:rsidRPr="00EE5A2A">
        <w:rPr>
          <w:b/>
          <w:bCs/>
        </w:rPr>
        <w:t xml:space="preserve"> </w:t>
      </w:r>
      <w:r w:rsidRPr="00EE5A2A">
        <w:rPr>
          <w:b/>
          <w:bCs/>
        </w:rPr>
        <w:t>adopted</w:t>
      </w:r>
      <w:r w:rsidR="00541D05" w:rsidRPr="00EE5A2A">
        <w:rPr>
          <w:b/>
          <w:bCs/>
        </w:rPr>
        <w:t xml:space="preserve"> </w:t>
      </w:r>
      <w:r w:rsidRPr="00EE5A2A">
        <w:rPr>
          <w:b/>
          <w:bCs/>
        </w:rPr>
        <w:t>to</w:t>
      </w:r>
      <w:r w:rsidR="00541D05" w:rsidRPr="00EE5A2A">
        <w:rPr>
          <w:b/>
          <w:bCs/>
        </w:rPr>
        <w:t xml:space="preserve"> </w:t>
      </w:r>
      <w:r w:rsidRPr="00EE5A2A">
        <w:rPr>
          <w:b/>
          <w:bCs/>
        </w:rPr>
        <w:t>prohibit</w:t>
      </w:r>
      <w:r w:rsidR="00541D05" w:rsidRPr="00EE5A2A">
        <w:rPr>
          <w:b/>
          <w:bCs/>
        </w:rPr>
        <w:t xml:space="preserve"> </w:t>
      </w:r>
      <w:r w:rsidRPr="00EE5A2A">
        <w:rPr>
          <w:b/>
          <w:bCs/>
        </w:rPr>
        <w:t>or</w:t>
      </w:r>
      <w:r w:rsidR="00541D05" w:rsidRPr="00EE5A2A">
        <w:rPr>
          <w:b/>
          <w:bCs/>
        </w:rPr>
        <w:t xml:space="preserve"> </w:t>
      </w:r>
      <w:r w:rsidRPr="00EE5A2A">
        <w:rPr>
          <w:b/>
          <w:bCs/>
        </w:rPr>
        <w:t>eradicate</w:t>
      </w:r>
      <w:r w:rsidR="00541D05" w:rsidRPr="00EE5A2A">
        <w:rPr>
          <w:b/>
          <w:bCs/>
        </w:rPr>
        <w:t xml:space="preserve"> </w:t>
      </w:r>
      <w:r w:rsidRPr="00EE5A2A">
        <w:rPr>
          <w:b/>
          <w:bCs/>
        </w:rPr>
        <w:t>segregation</w:t>
      </w:r>
      <w:r w:rsidR="00541D05" w:rsidRPr="00EE5A2A">
        <w:rPr>
          <w:b/>
          <w:bCs/>
        </w:rPr>
        <w:t xml:space="preserve"> </w:t>
      </w:r>
      <w:r w:rsidRPr="00EE5A2A">
        <w:rPr>
          <w:b/>
          <w:bCs/>
        </w:rPr>
        <w:t>practices</w:t>
      </w:r>
      <w:r w:rsidR="00541D05" w:rsidRPr="00EE5A2A">
        <w:rPr>
          <w:b/>
          <w:bCs/>
        </w:rPr>
        <w:t xml:space="preserve"> </w:t>
      </w:r>
      <w:r w:rsidRPr="00EE5A2A">
        <w:rPr>
          <w:b/>
          <w:bCs/>
        </w:rPr>
        <w:t>across</w:t>
      </w:r>
      <w:r w:rsidR="00541D05" w:rsidRPr="00EE5A2A">
        <w:rPr>
          <w:b/>
          <w:bCs/>
        </w:rPr>
        <w:t xml:space="preserve"> </w:t>
      </w:r>
      <w:r w:rsidRPr="00EE5A2A">
        <w:rPr>
          <w:b/>
          <w:bCs/>
        </w:rPr>
        <w:t>all</w:t>
      </w:r>
      <w:r w:rsidR="00541D05" w:rsidRPr="00EE5A2A">
        <w:rPr>
          <w:b/>
          <w:bCs/>
        </w:rPr>
        <w:t xml:space="preserve"> </w:t>
      </w:r>
      <w:r w:rsidRPr="00EE5A2A">
        <w:rPr>
          <w:b/>
          <w:bCs/>
        </w:rPr>
        <w:t>territories;</w:t>
      </w:r>
    </w:p>
    <w:p w14:paraId="3A4202E4" w14:textId="7888B8E1" w:rsidR="00D9258C" w:rsidRPr="00EE5A2A" w:rsidRDefault="00D9258C" w:rsidP="00EE5A2A">
      <w:pPr>
        <w:pStyle w:val="SingleTxtG"/>
        <w:rPr>
          <w:b/>
          <w:bCs/>
        </w:rPr>
      </w:pPr>
      <w:r w:rsidRPr="00EE5A2A">
        <w:rPr>
          <w:b/>
          <w:bCs/>
        </w:rPr>
        <w:t>The</w:t>
      </w:r>
      <w:r w:rsidR="00541D05" w:rsidRPr="00EE5A2A">
        <w:rPr>
          <w:b/>
          <w:bCs/>
        </w:rPr>
        <w:t xml:space="preserve"> </w:t>
      </w:r>
      <w:r w:rsidRPr="00EE5A2A">
        <w:rPr>
          <w:b/>
          <w:bCs/>
        </w:rPr>
        <w:t>report</w:t>
      </w:r>
      <w:r w:rsidR="00541D05" w:rsidRPr="00EE5A2A">
        <w:rPr>
          <w:b/>
          <w:bCs/>
        </w:rPr>
        <w:t xml:space="preserve"> </w:t>
      </w:r>
      <w:r w:rsidRPr="00EE5A2A">
        <w:rPr>
          <w:b/>
          <w:bCs/>
        </w:rPr>
        <w:t>must</w:t>
      </w:r>
      <w:r w:rsidR="00541D05" w:rsidRPr="00EE5A2A">
        <w:rPr>
          <w:b/>
          <w:bCs/>
        </w:rPr>
        <w:t xml:space="preserve"> </w:t>
      </w:r>
      <w:r w:rsidRPr="00EE5A2A">
        <w:rPr>
          <w:b/>
          <w:bCs/>
        </w:rPr>
        <w:t>indicate</w:t>
      </w:r>
      <w:r w:rsidR="00541D05" w:rsidRPr="00EE5A2A">
        <w:rPr>
          <w:b/>
          <w:bCs/>
        </w:rPr>
        <w:t xml:space="preserve"> </w:t>
      </w:r>
      <w:r w:rsidRPr="00EE5A2A">
        <w:rPr>
          <w:b/>
          <w:bCs/>
        </w:rPr>
        <w:t>whether</w:t>
      </w:r>
      <w:r w:rsidR="00541D05" w:rsidRPr="00EE5A2A">
        <w:rPr>
          <w:b/>
          <w:bCs/>
        </w:rPr>
        <w:t xml:space="preserve"> </w:t>
      </w:r>
      <w:r w:rsidRPr="00EE5A2A">
        <w:rPr>
          <w:b/>
          <w:bCs/>
        </w:rPr>
        <w:t>there</w:t>
      </w:r>
      <w:r w:rsidR="00541D05" w:rsidRPr="00EE5A2A">
        <w:rPr>
          <w:b/>
          <w:bCs/>
        </w:rPr>
        <w:t xml:space="preserve"> </w:t>
      </w:r>
      <w:r w:rsidRPr="00EE5A2A">
        <w:rPr>
          <w:b/>
          <w:bCs/>
        </w:rPr>
        <w:t>are</w:t>
      </w:r>
      <w:r w:rsidR="00541D05" w:rsidRPr="00EE5A2A">
        <w:rPr>
          <w:b/>
          <w:bCs/>
        </w:rPr>
        <w:t xml:space="preserve"> </w:t>
      </w:r>
      <w:r w:rsidRPr="00EE5A2A">
        <w:rPr>
          <w:b/>
          <w:bCs/>
        </w:rPr>
        <w:t>measures</w:t>
      </w:r>
      <w:r w:rsidR="00541D05" w:rsidRPr="00EE5A2A">
        <w:rPr>
          <w:b/>
          <w:bCs/>
        </w:rPr>
        <w:t xml:space="preserve"> </w:t>
      </w:r>
      <w:r w:rsidRPr="00EE5A2A">
        <w:rPr>
          <w:b/>
          <w:bCs/>
        </w:rPr>
        <w:t>related</w:t>
      </w:r>
      <w:r w:rsidR="00541D05" w:rsidRPr="00EE5A2A">
        <w:rPr>
          <w:b/>
          <w:bCs/>
        </w:rPr>
        <w:t xml:space="preserve"> </w:t>
      </w:r>
      <w:r w:rsidRPr="00EE5A2A">
        <w:rPr>
          <w:b/>
          <w:bCs/>
        </w:rPr>
        <w:t>to</w:t>
      </w:r>
      <w:r w:rsidR="00541D05" w:rsidRPr="00EE5A2A">
        <w:rPr>
          <w:b/>
          <w:bCs/>
        </w:rPr>
        <w:t xml:space="preserve"> </w:t>
      </w:r>
      <w:r w:rsidRPr="00EE5A2A">
        <w:rPr>
          <w:b/>
          <w:bCs/>
        </w:rPr>
        <w:t>the</w:t>
      </w:r>
      <w:r w:rsidR="00541D05" w:rsidRPr="00EE5A2A">
        <w:rPr>
          <w:b/>
          <w:bCs/>
        </w:rPr>
        <w:t xml:space="preserve"> </w:t>
      </w:r>
      <w:r w:rsidRPr="00EE5A2A">
        <w:rPr>
          <w:b/>
          <w:bCs/>
        </w:rPr>
        <w:t>monitoring</w:t>
      </w:r>
      <w:r w:rsidR="00541D05" w:rsidRPr="00EE5A2A">
        <w:rPr>
          <w:b/>
          <w:bCs/>
        </w:rPr>
        <w:t xml:space="preserve"> </w:t>
      </w:r>
      <w:r w:rsidRPr="00EE5A2A">
        <w:rPr>
          <w:b/>
          <w:bCs/>
        </w:rPr>
        <w:t>of</w:t>
      </w:r>
      <w:r w:rsidR="00541D05" w:rsidRPr="00EE5A2A">
        <w:rPr>
          <w:b/>
          <w:bCs/>
        </w:rPr>
        <w:t xml:space="preserve"> </w:t>
      </w:r>
      <w:r w:rsidRPr="00EE5A2A">
        <w:rPr>
          <w:b/>
          <w:bCs/>
        </w:rPr>
        <w:t>tendency</w:t>
      </w:r>
      <w:r w:rsidR="00541D05" w:rsidRPr="00EE5A2A">
        <w:rPr>
          <w:b/>
          <w:bCs/>
        </w:rPr>
        <w:t xml:space="preserve"> </w:t>
      </w:r>
      <w:r w:rsidRPr="00EE5A2A">
        <w:rPr>
          <w:b/>
          <w:bCs/>
        </w:rPr>
        <w:t>of</w:t>
      </w:r>
      <w:r w:rsidR="00541D05" w:rsidRPr="00EE5A2A">
        <w:rPr>
          <w:b/>
          <w:bCs/>
        </w:rPr>
        <w:t xml:space="preserve"> </w:t>
      </w:r>
      <w:r w:rsidRPr="00EE5A2A">
        <w:rPr>
          <w:b/>
          <w:bCs/>
        </w:rPr>
        <w:t>segregation,</w:t>
      </w:r>
      <w:r w:rsidR="00541D05" w:rsidRPr="00EE5A2A">
        <w:rPr>
          <w:b/>
          <w:bCs/>
        </w:rPr>
        <w:t xml:space="preserve"> </w:t>
      </w:r>
      <w:r w:rsidRPr="00EE5A2A">
        <w:rPr>
          <w:b/>
          <w:bCs/>
        </w:rPr>
        <w:t>keeping</w:t>
      </w:r>
      <w:r w:rsidR="00541D05" w:rsidRPr="00EE5A2A">
        <w:rPr>
          <w:b/>
          <w:bCs/>
        </w:rPr>
        <w:t xml:space="preserve"> </w:t>
      </w:r>
      <w:r w:rsidRPr="00EE5A2A">
        <w:rPr>
          <w:b/>
          <w:bCs/>
        </w:rPr>
        <w:t>in</w:t>
      </w:r>
      <w:r w:rsidR="00541D05" w:rsidRPr="00EE5A2A">
        <w:rPr>
          <w:b/>
          <w:bCs/>
        </w:rPr>
        <w:t xml:space="preserve"> </w:t>
      </w:r>
      <w:r w:rsidRPr="00EE5A2A">
        <w:rPr>
          <w:b/>
          <w:bCs/>
        </w:rPr>
        <w:t>mind</w:t>
      </w:r>
      <w:r w:rsidR="00541D05" w:rsidRPr="00EE5A2A">
        <w:rPr>
          <w:b/>
          <w:bCs/>
        </w:rPr>
        <w:t xml:space="preserve"> </w:t>
      </w:r>
      <w:r w:rsidRPr="00EE5A2A">
        <w:rPr>
          <w:b/>
          <w:bCs/>
        </w:rPr>
        <w:t>that</w:t>
      </w:r>
      <w:r w:rsidR="00541D05" w:rsidRPr="00EE5A2A">
        <w:rPr>
          <w:b/>
          <w:bCs/>
        </w:rPr>
        <w:t xml:space="preserve"> </w:t>
      </w:r>
      <w:r w:rsidRPr="00EE5A2A">
        <w:rPr>
          <w:b/>
          <w:bCs/>
        </w:rPr>
        <w:t>racial</w:t>
      </w:r>
      <w:r w:rsidR="00541D05" w:rsidRPr="00EE5A2A">
        <w:rPr>
          <w:b/>
          <w:bCs/>
        </w:rPr>
        <w:t xml:space="preserve"> </w:t>
      </w:r>
      <w:r w:rsidRPr="00EE5A2A">
        <w:rPr>
          <w:b/>
          <w:bCs/>
        </w:rPr>
        <w:t>segregation</w:t>
      </w:r>
      <w:r w:rsidR="00541D05" w:rsidRPr="00EE5A2A">
        <w:rPr>
          <w:b/>
          <w:bCs/>
        </w:rPr>
        <w:t xml:space="preserve"> </w:t>
      </w:r>
      <w:r w:rsidRPr="00EE5A2A">
        <w:rPr>
          <w:b/>
          <w:bCs/>
        </w:rPr>
        <w:t>may</w:t>
      </w:r>
      <w:r w:rsidR="00541D05" w:rsidRPr="00EE5A2A">
        <w:rPr>
          <w:b/>
          <w:bCs/>
        </w:rPr>
        <w:t xml:space="preserve"> </w:t>
      </w:r>
      <w:r w:rsidRPr="00EE5A2A">
        <w:rPr>
          <w:b/>
          <w:bCs/>
        </w:rPr>
        <w:t>occur</w:t>
      </w:r>
      <w:r w:rsidR="00541D05" w:rsidRPr="00EE5A2A">
        <w:rPr>
          <w:b/>
          <w:bCs/>
        </w:rPr>
        <w:t xml:space="preserve"> </w:t>
      </w:r>
      <w:r w:rsidRPr="00EE5A2A">
        <w:rPr>
          <w:b/>
          <w:bCs/>
        </w:rPr>
        <w:t>even</w:t>
      </w:r>
      <w:r w:rsidR="00541D05" w:rsidRPr="00EE5A2A">
        <w:rPr>
          <w:b/>
          <w:bCs/>
        </w:rPr>
        <w:t xml:space="preserve"> </w:t>
      </w:r>
      <w:r w:rsidRPr="00EE5A2A">
        <w:rPr>
          <w:b/>
          <w:bCs/>
        </w:rPr>
        <w:t>without</w:t>
      </w:r>
      <w:r w:rsidR="00541D05" w:rsidRPr="00EE5A2A">
        <w:rPr>
          <w:b/>
          <w:bCs/>
        </w:rPr>
        <w:t xml:space="preserve"> </w:t>
      </w:r>
      <w:r w:rsidRPr="00EE5A2A">
        <w:rPr>
          <w:b/>
          <w:bCs/>
        </w:rPr>
        <w:t>direct</w:t>
      </w:r>
      <w:r w:rsidR="00541D05" w:rsidRPr="00EE5A2A">
        <w:rPr>
          <w:b/>
          <w:bCs/>
        </w:rPr>
        <w:t xml:space="preserve"> </w:t>
      </w:r>
      <w:r w:rsidRPr="00EE5A2A">
        <w:rPr>
          <w:b/>
          <w:bCs/>
        </w:rPr>
        <w:t>involvement</w:t>
      </w:r>
      <w:r w:rsidR="00541D05" w:rsidRPr="00EE5A2A">
        <w:rPr>
          <w:b/>
          <w:bCs/>
        </w:rPr>
        <w:t xml:space="preserve"> </w:t>
      </w:r>
      <w:r w:rsidRPr="00EE5A2A">
        <w:rPr>
          <w:b/>
          <w:bCs/>
        </w:rPr>
        <w:t>of</w:t>
      </w:r>
      <w:r w:rsidR="00541D05" w:rsidRPr="00EE5A2A">
        <w:rPr>
          <w:b/>
          <w:bCs/>
        </w:rPr>
        <w:t xml:space="preserve"> </w:t>
      </w:r>
      <w:r w:rsidRPr="00EE5A2A">
        <w:rPr>
          <w:b/>
          <w:bCs/>
        </w:rPr>
        <w:t>public</w:t>
      </w:r>
      <w:r w:rsidR="00541D05" w:rsidRPr="00EE5A2A">
        <w:rPr>
          <w:b/>
          <w:bCs/>
        </w:rPr>
        <w:t xml:space="preserve"> </w:t>
      </w:r>
      <w:r w:rsidRPr="00EE5A2A">
        <w:rPr>
          <w:b/>
          <w:bCs/>
        </w:rPr>
        <w:t>authorities;</w:t>
      </w:r>
    </w:p>
    <w:p w14:paraId="1175A7F8" w14:textId="302981A1" w:rsidR="00D9258C" w:rsidRPr="00EE5A2A" w:rsidRDefault="00D9258C" w:rsidP="00EE5A2A">
      <w:pPr>
        <w:pStyle w:val="SingleTxtG"/>
        <w:rPr>
          <w:b/>
          <w:bCs/>
        </w:rPr>
      </w:pPr>
      <w:r w:rsidRPr="00EE5A2A">
        <w:rPr>
          <w:b/>
          <w:bCs/>
        </w:rPr>
        <w:t>The</w:t>
      </w:r>
      <w:r w:rsidR="00541D05" w:rsidRPr="00EE5A2A">
        <w:rPr>
          <w:b/>
          <w:bCs/>
        </w:rPr>
        <w:t xml:space="preserve"> </w:t>
      </w:r>
      <w:r w:rsidRPr="00EE5A2A">
        <w:rPr>
          <w:b/>
          <w:bCs/>
        </w:rPr>
        <w:t>report</w:t>
      </w:r>
      <w:r w:rsidR="00541D05" w:rsidRPr="00EE5A2A">
        <w:rPr>
          <w:b/>
          <w:bCs/>
        </w:rPr>
        <w:t xml:space="preserve"> </w:t>
      </w:r>
      <w:r w:rsidRPr="00EE5A2A">
        <w:rPr>
          <w:b/>
          <w:bCs/>
        </w:rPr>
        <w:t>must</w:t>
      </w:r>
      <w:r w:rsidR="00541D05" w:rsidRPr="00EE5A2A">
        <w:rPr>
          <w:b/>
          <w:bCs/>
        </w:rPr>
        <w:t xml:space="preserve"> </w:t>
      </w:r>
      <w:r w:rsidRPr="00EE5A2A">
        <w:rPr>
          <w:b/>
          <w:bCs/>
        </w:rPr>
        <w:t>also</w:t>
      </w:r>
      <w:r w:rsidR="00541D05" w:rsidRPr="00EE5A2A">
        <w:rPr>
          <w:b/>
          <w:bCs/>
        </w:rPr>
        <w:t xml:space="preserve"> </w:t>
      </w:r>
      <w:r w:rsidRPr="00EE5A2A">
        <w:rPr>
          <w:b/>
          <w:bCs/>
        </w:rPr>
        <w:t>indicate</w:t>
      </w:r>
      <w:r w:rsidR="00541D05" w:rsidRPr="00EE5A2A">
        <w:rPr>
          <w:b/>
          <w:bCs/>
        </w:rPr>
        <w:t xml:space="preserve"> </w:t>
      </w:r>
      <w:r w:rsidRPr="00EE5A2A">
        <w:rPr>
          <w:b/>
          <w:bCs/>
        </w:rPr>
        <w:t>which</w:t>
      </w:r>
      <w:r w:rsidR="00541D05" w:rsidRPr="00EE5A2A">
        <w:rPr>
          <w:b/>
          <w:bCs/>
        </w:rPr>
        <w:t xml:space="preserve"> </w:t>
      </w:r>
      <w:r w:rsidRPr="00EE5A2A">
        <w:rPr>
          <w:b/>
          <w:bCs/>
        </w:rPr>
        <w:t>measures</w:t>
      </w:r>
      <w:r w:rsidR="00541D05" w:rsidRPr="00EE5A2A">
        <w:rPr>
          <w:b/>
          <w:bCs/>
        </w:rPr>
        <w:t xml:space="preserve"> </w:t>
      </w:r>
      <w:r w:rsidRPr="00EE5A2A">
        <w:rPr>
          <w:b/>
          <w:bCs/>
        </w:rPr>
        <w:t>have</w:t>
      </w:r>
      <w:r w:rsidR="00541D05" w:rsidRPr="00EE5A2A">
        <w:rPr>
          <w:b/>
          <w:bCs/>
        </w:rPr>
        <w:t xml:space="preserve"> </w:t>
      </w:r>
      <w:r w:rsidRPr="00EE5A2A">
        <w:rPr>
          <w:b/>
          <w:bCs/>
        </w:rPr>
        <w:t>been</w:t>
      </w:r>
      <w:r w:rsidR="00541D05" w:rsidRPr="00EE5A2A">
        <w:rPr>
          <w:b/>
          <w:bCs/>
        </w:rPr>
        <w:t xml:space="preserve"> </w:t>
      </w:r>
      <w:r w:rsidRPr="00EE5A2A">
        <w:rPr>
          <w:b/>
          <w:bCs/>
        </w:rPr>
        <w:t>adopted</w:t>
      </w:r>
      <w:r w:rsidR="00541D05" w:rsidRPr="00EE5A2A">
        <w:rPr>
          <w:b/>
          <w:bCs/>
        </w:rPr>
        <w:t xml:space="preserve"> </w:t>
      </w:r>
      <w:r w:rsidRPr="00EE5A2A">
        <w:rPr>
          <w:b/>
          <w:bCs/>
        </w:rPr>
        <w:t>to</w:t>
      </w:r>
      <w:r w:rsidR="00541D05" w:rsidRPr="00EE5A2A">
        <w:rPr>
          <w:b/>
          <w:bCs/>
        </w:rPr>
        <w:t xml:space="preserve"> </w:t>
      </w:r>
      <w:r w:rsidRPr="00EE5A2A">
        <w:rPr>
          <w:b/>
          <w:bCs/>
        </w:rPr>
        <w:t>prevent</w:t>
      </w:r>
      <w:r w:rsidR="00541D05" w:rsidRPr="00EE5A2A">
        <w:rPr>
          <w:b/>
          <w:bCs/>
        </w:rPr>
        <w:t xml:space="preserve"> </w:t>
      </w:r>
      <w:r w:rsidRPr="00EE5A2A">
        <w:rPr>
          <w:b/>
          <w:bCs/>
        </w:rPr>
        <w:t>and</w:t>
      </w:r>
      <w:r w:rsidR="00541D05" w:rsidRPr="00EE5A2A">
        <w:rPr>
          <w:b/>
          <w:bCs/>
        </w:rPr>
        <w:t xml:space="preserve"> </w:t>
      </w:r>
      <w:r w:rsidRPr="00EE5A2A">
        <w:rPr>
          <w:b/>
          <w:bCs/>
        </w:rPr>
        <w:t>avoid</w:t>
      </w:r>
      <w:r w:rsidR="00541D05" w:rsidRPr="00EE5A2A">
        <w:rPr>
          <w:b/>
          <w:bCs/>
        </w:rPr>
        <w:t xml:space="preserve"> </w:t>
      </w:r>
      <w:r w:rsidRPr="00EE5A2A">
        <w:rPr>
          <w:b/>
          <w:bCs/>
        </w:rPr>
        <w:t>segregation</w:t>
      </w:r>
      <w:r w:rsidR="00541D05" w:rsidRPr="00EE5A2A">
        <w:rPr>
          <w:b/>
          <w:bCs/>
        </w:rPr>
        <w:t xml:space="preserve"> </w:t>
      </w:r>
      <w:r w:rsidRPr="00EE5A2A">
        <w:rPr>
          <w:b/>
          <w:bCs/>
        </w:rPr>
        <w:t>of</w:t>
      </w:r>
      <w:r w:rsidR="00541D05" w:rsidRPr="00EE5A2A">
        <w:rPr>
          <w:b/>
          <w:bCs/>
        </w:rPr>
        <w:t xml:space="preserve"> </w:t>
      </w:r>
      <w:r w:rsidRPr="00EE5A2A">
        <w:rPr>
          <w:b/>
          <w:bCs/>
        </w:rPr>
        <w:t>individuals/groups</w:t>
      </w:r>
      <w:r w:rsidR="00541D05" w:rsidRPr="00EE5A2A">
        <w:rPr>
          <w:b/>
          <w:bCs/>
        </w:rPr>
        <w:t xml:space="preserve"> </w:t>
      </w:r>
      <w:r w:rsidRPr="00EE5A2A">
        <w:rPr>
          <w:b/>
          <w:bCs/>
        </w:rPr>
        <w:t>protected</w:t>
      </w:r>
      <w:r w:rsidR="00541D05" w:rsidRPr="00EE5A2A">
        <w:rPr>
          <w:b/>
          <w:bCs/>
        </w:rPr>
        <w:t xml:space="preserve"> </w:t>
      </w:r>
      <w:r w:rsidRPr="00EE5A2A">
        <w:rPr>
          <w:b/>
          <w:bCs/>
        </w:rPr>
        <w:t>by</w:t>
      </w:r>
      <w:r w:rsidR="00541D05" w:rsidRPr="00EE5A2A">
        <w:rPr>
          <w:b/>
          <w:bCs/>
        </w:rPr>
        <w:t xml:space="preserve"> </w:t>
      </w:r>
      <w:r w:rsidRPr="00EE5A2A">
        <w:rPr>
          <w:b/>
          <w:bCs/>
        </w:rPr>
        <w:t>the</w:t>
      </w:r>
      <w:r w:rsidR="00541D05" w:rsidRPr="00EE5A2A">
        <w:rPr>
          <w:b/>
          <w:bCs/>
        </w:rPr>
        <w:t xml:space="preserve"> </w:t>
      </w:r>
      <w:r w:rsidRPr="00EE5A2A">
        <w:rPr>
          <w:b/>
          <w:bCs/>
        </w:rPr>
        <w:t>Convention,</w:t>
      </w:r>
      <w:r w:rsidR="00541D05" w:rsidRPr="00EE5A2A">
        <w:rPr>
          <w:b/>
          <w:bCs/>
        </w:rPr>
        <w:t xml:space="preserve"> </w:t>
      </w:r>
      <w:r w:rsidRPr="00EE5A2A">
        <w:rPr>
          <w:b/>
          <w:bCs/>
        </w:rPr>
        <w:t>including</w:t>
      </w:r>
      <w:r w:rsidR="00541D05" w:rsidRPr="00EE5A2A">
        <w:rPr>
          <w:b/>
          <w:bCs/>
        </w:rPr>
        <w:t xml:space="preserve"> </w:t>
      </w:r>
      <w:r w:rsidRPr="00EE5A2A">
        <w:rPr>
          <w:b/>
          <w:bCs/>
        </w:rPr>
        <w:t>Romani</w:t>
      </w:r>
      <w:r w:rsidR="00541D05" w:rsidRPr="00EE5A2A">
        <w:rPr>
          <w:b/>
          <w:bCs/>
        </w:rPr>
        <w:t xml:space="preserve"> </w:t>
      </w:r>
      <w:r w:rsidRPr="00EE5A2A">
        <w:rPr>
          <w:b/>
          <w:bCs/>
        </w:rPr>
        <w:t>populations</w:t>
      </w:r>
      <w:r w:rsidR="00541D05" w:rsidRPr="00EE5A2A">
        <w:rPr>
          <w:b/>
          <w:bCs/>
        </w:rPr>
        <w:t xml:space="preserve"> </w:t>
      </w:r>
      <w:r w:rsidRPr="00EE5A2A">
        <w:rPr>
          <w:b/>
          <w:bCs/>
        </w:rPr>
        <w:t>and</w:t>
      </w:r>
      <w:r w:rsidR="00541D05" w:rsidRPr="00EE5A2A">
        <w:rPr>
          <w:b/>
          <w:bCs/>
        </w:rPr>
        <w:t xml:space="preserve"> </w:t>
      </w:r>
      <w:r w:rsidRPr="00EE5A2A">
        <w:rPr>
          <w:b/>
          <w:bCs/>
        </w:rPr>
        <w:t>non-naturalized</w:t>
      </w:r>
      <w:r w:rsidR="00541D05" w:rsidRPr="00EE5A2A">
        <w:rPr>
          <w:b/>
          <w:bCs/>
        </w:rPr>
        <w:t xml:space="preserve"> </w:t>
      </w:r>
      <w:r w:rsidRPr="00EE5A2A">
        <w:rPr>
          <w:b/>
          <w:bCs/>
        </w:rPr>
        <w:t>foreigners,</w:t>
      </w:r>
      <w:r w:rsidR="00541D05" w:rsidRPr="00EE5A2A">
        <w:rPr>
          <w:b/>
          <w:bCs/>
        </w:rPr>
        <w:t xml:space="preserve"> </w:t>
      </w:r>
      <w:r w:rsidRPr="00EE5A2A">
        <w:rPr>
          <w:b/>
          <w:bCs/>
        </w:rPr>
        <w:t>especially</w:t>
      </w:r>
      <w:r w:rsidR="00541D05" w:rsidRPr="00EE5A2A">
        <w:rPr>
          <w:b/>
          <w:bCs/>
        </w:rPr>
        <w:t xml:space="preserve"> </w:t>
      </w:r>
      <w:r w:rsidRPr="00EE5A2A">
        <w:rPr>
          <w:b/>
          <w:bCs/>
        </w:rPr>
        <w:t>in</w:t>
      </w:r>
      <w:r w:rsidR="00541D05" w:rsidRPr="00EE5A2A">
        <w:rPr>
          <w:b/>
          <w:bCs/>
        </w:rPr>
        <w:t xml:space="preserve"> </w:t>
      </w:r>
      <w:r w:rsidRPr="00EE5A2A">
        <w:rPr>
          <w:b/>
          <w:bCs/>
        </w:rPr>
        <w:t>the</w:t>
      </w:r>
      <w:r w:rsidR="00541D05" w:rsidRPr="00EE5A2A">
        <w:rPr>
          <w:b/>
          <w:bCs/>
        </w:rPr>
        <w:t xml:space="preserve"> </w:t>
      </w:r>
      <w:r w:rsidRPr="00EE5A2A">
        <w:rPr>
          <w:b/>
          <w:bCs/>
        </w:rPr>
        <w:t>fields</w:t>
      </w:r>
      <w:r w:rsidR="00541D05" w:rsidRPr="00EE5A2A">
        <w:rPr>
          <w:b/>
          <w:bCs/>
        </w:rPr>
        <w:t xml:space="preserve"> </w:t>
      </w:r>
      <w:r w:rsidRPr="00EE5A2A">
        <w:rPr>
          <w:b/>
          <w:bCs/>
        </w:rPr>
        <w:t>of</w:t>
      </w:r>
      <w:r w:rsidR="00541D05" w:rsidRPr="00EE5A2A">
        <w:rPr>
          <w:b/>
          <w:bCs/>
        </w:rPr>
        <w:t xml:space="preserve"> </w:t>
      </w:r>
      <w:r w:rsidRPr="00EE5A2A">
        <w:rPr>
          <w:b/>
          <w:bCs/>
        </w:rPr>
        <w:t>education</w:t>
      </w:r>
      <w:r w:rsidR="00541D05" w:rsidRPr="00EE5A2A">
        <w:rPr>
          <w:b/>
          <w:bCs/>
        </w:rPr>
        <w:t xml:space="preserve"> </w:t>
      </w:r>
      <w:r w:rsidRPr="00EE5A2A">
        <w:rPr>
          <w:b/>
          <w:bCs/>
        </w:rPr>
        <w:t>and</w:t>
      </w:r>
      <w:r w:rsidR="00541D05" w:rsidRPr="00EE5A2A">
        <w:rPr>
          <w:b/>
          <w:bCs/>
        </w:rPr>
        <w:t xml:space="preserve"> </w:t>
      </w:r>
      <w:r w:rsidRPr="00EE5A2A">
        <w:rPr>
          <w:b/>
          <w:bCs/>
        </w:rPr>
        <w:t>housing.</w:t>
      </w:r>
    </w:p>
    <w:p w14:paraId="69B97EFA" w14:textId="5A4AEDBD" w:rsidR="00D9258C" w:rsidRPr="00FD6A6A" w:rsidRDefault="00166390" w:rsidP="00166390">
      <w:pPr>
        <w:pStyle w:val="ParaNoG"/>
        <w:numPr>
          <w:ilvl w:val="0"/>
          <w:numId w:val="0"/>
        </w:numPr>
        <w:tabs>
          <w:tab w:val="left" w:pos="0"/>
        </w:tabs>
        <w:ind w:left="1134"/>
      </w:pPr>
      <w:r w:rsidRPr="00FD6A6A">
        <w:lastRenderedPageBreak/>
        <w:t>33.</w:t>
      </w:r>
      <w:r w:rsidRPr="00FD6A6A">
        <w:tab/>
      </w:r>
      <w:r w:rsidR="00D9258C" w:rsidRPr="00FD6A6A">
        <w:t>Housing</w:t>
      </w:r>
      <w:r w:rsidR="00541D05">
        <w:t xml:space="preserve"> </w:t>
      </w:r>
      <w:r w:rsidR="00D9258C" w:rsidRPr="00FD6A6A">
        <w:t>is</w:t>
      </w:r>
      <w:r w:rsidR="00541D05">
        <w:t xml:space="preserve"> </w:t>
      </w:r>
      <w:r w:rsidR="00D9258C" w:rsidRPr="00FD6A6A">
        <w:t>a</w:t>
      </w:r>
      <w:r w:rsidR="00541D05">
        <w:t xml:space="preserve"> </w:t>
      </w:r>
      <w:r w:rsidR="00D9258C" w:rsidRPr="00FD6A6A">
        <w:t>social</w:t>
      </w:r>
      <w:r w:rsidR="00541D05">
        <w:t xml:space="preserve"> </w:t>
      </w:r>
      <w:r w:rsidR="00D9258C" w:rsidRPr="00FD6A6A">
        <w:t>right</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the</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ensured</w:t>
      </w:r>
      <w:r w:rsidR="00541D05">
        <w:t xml:space="preserve"> </w:t>
      </w:r>
      <w:r w:rsidR="00D9258C" w:rsidRPr="00FD6A6A">
        <w:t>by</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states,</w:t>
      </w:r>
      <w:r w:rsidR="00541D05">
        <w:t xml:space="preserve"> </w:t>
      </w:r>
      <w:r w:rsidR="00D9258C" w:rsidRPr="00FD6A6A">
        <w:t>and</w:t>
      </w:r>
      <w:r w:rsidR="00541D05">
        <w:t xml:space="preserve"> </w:t>
      </w:r>
      <w:r w:rsidR="00D9258C" w:rsidRPr="00FD6A6A">
        <w:t>municipalities</w:t>
      </w:r>
      <w:r w:rsidR="00541D05">
        <w:t xml:space="preserve"> </w:t>
      </w:r>
      <w:r w:rsidR="00D9258C" w:rsidRPr="00FD6A6A">
        <w:t>which</w:t>
      </w:r>
      <w:r w:rsidR="00541D05">
        <w:t xml:space="preserve"> </w:t>
      </w:r>
      <w:r w:rsidR="00D9258C" w:rsidRPr="00FD6A6A">
        <w:t>should</w:t>
      </w:r>
      <w:r w:rsidR="00541D05">
        <w:t xml:space="preserve"> </w:t>
      </w:r>
      <w:r w:rsidR="00D9258C" w:rsidRPr="00FD6A6A">
        <w:t>build</w:t>
      </w:r>
      <w:r w:rsidR="00541D05">
        <w:t xml:space="preserve"> </w:t>
      </w:r>
      <w:r w:rsidR="00D9258C" w:rsidRPr="00FD6A6A">
        <w:t>adequate</w:t>
      </w:r>
      <w:r w:rsidR="00541D05">
        <w:t xml:space="preserve"> </w:t>
      </w:r>
      <w:r w:rsidR="00D9258C" w:rsidRPr="00FD6A6A">
        <w:t>housing</w:t>
      </w:r>
      <w:r w:rsidR="00541D05">
        <w:t xml:space="preserve"> </w:t>
      </w:r>
      <w:r w:rsidR="00D9258C" w:rsidRPr="00FD6A6A">
        <w:t>as</w:t>
      </w:r>
      <w:r w:rsidR="00541D05">
        <w:t xml:space="preserve"> </w:t>
      </w:r>
      <w:r w:rsidR="00D9258C" w:rsidRPr="00FD6A6A">
        <w:t>necessary</w:t>
      </w:r>
      <w:r w:rsidR="00541D05">
        <w:t xml:space="preserve"> </w:t>
      </w:r>
      <w:r w:rsidR="00D9258C" w:rsidRPr="00FD6A6A">
        <w:t>and</w:t>
      </w:r>
      <w:r w:rsidR="00541D05">
        <w:t xml:space="preserve"> </w:t>
      </w:r>
      <w:r w:rsidR="00D9258C" w:rsidRPr="00FD6A6A">
        <w:t>improve</w:t>
      </w:r>
      <w:r w:rsidR="00541D05">
        <w:t xml:space="preserve"> </w:t>
      </w:r>
      <w:r w:rsidR="00D9258C" w:rsidRPr="00FD6A6A">
        <w:t>pre-existing</w:t>
      </w:r>
      <w:r w:rsidR="00541D05">
        <w:t xml:space="preserve"> </w:t>
      </w:r>
      <w:r w:rsidR="00D9258C" w:rsidRPr="00FD6A6A">
        <w:t>homes.</w:t>
      </w:r>
      <w:r w:rsidR="00541D05">
        <w:t xml:space="preserve"> </w:t>
      </w:r>
      <w:r w:rsidR="00D9258C" w:rsidRPr="00FD6A6A">
        <w:t>The</w:t>
      </w:r>
      <w:r w:rsidR="00541D05">
        <w:t xml:space="preserve"> </w:t>
      </w:r>
      <w:r w:rsidR="00D9258C" w:rsidRPr="00FD6A6A">
        <w:t>Constitution</w:t>
      </w:r>
      <w:r w:rsidR="00541D05">
        <w:t xml:space="preserve"> </w:t>
      </w:r>
      <w:r w:rsidR="00D9258C" w:rsidRPr="00FD6A6A">
        <w:t>also</w:t>
      </w:r>
      <w:r w:rsidR="00541D05">
        <w:t xml:space="preserve"> </w:t>
      </w:r>
      <w:r w:rsidR="00D9258C" w:rsidRPr="00FD6A6A">
        <w:t>incorporated</w:t>
      </w:r>
      <w:r w:rsidR="00541D05">
        <w:t xml:space="preserve"> </w:t>
      </w:r>
      <w:r w:rsidR="00D9258C" w:rsidRPr="00FD6A6A">
        <w:t>the</w:t>
      </w:r>
      <w:r w:rsidR="00541D05">
        <w:t xml:space="preserve"> </w:t>
      </w:r>
      <w:r w:rsidR="00D9258C" w:rsidRPr="00FD6A6A">
        <w:t>concept</w:t>
      </w:r>
      <w:r w:rsidR="00541D05">
        <w:t xml:space="preserve"> </w:t>
      </w:r>
      <w:r w:rsidR="00D9258C" w:rsidRPr="00FD6A6A">
        <w:t>of</w:t>
      </w:r>
      <w:r w:rsidR="00541D05">
        <w:t xml:space="preserve"> </w:t>
      </w:r>
      <w:r w:rsidR="00D9258C" w:rsidRPr="00FD6A6A">
        <w:t>adequate</w:t>
      </w:r>
      <w:r w:rsidR="00541D05">
        <w:t xml:space="preserve"> </w:t>
      </w:r>
      <w:r w:rsidR="00D9258C" w:rsidRPr="00FD6A6A">
        <w:t>housing</w:t>
      </w:r>
      <w:r w:rsidR="00541D05">
        <w:t xml:space="preserve"> </w:t>
      </w:r>
      <w:r w:rsidR="00D9258C" w:rsidRPr="00FD6A6A">
        <w:t>as</w:t>
      </w:r>
      <w:r w:rsidR="00541D05">
        <w:t xml:space="preserve"> </w:t>
      </w:r>
      <w:r w:rsidR="00D9258C" w:rsidRPr="00FD6A6A">
        <w:t>the</w:t>
      </w:r>
      <w:r w:rsidR="00541D05">
        <w:t xml:space="preserve"> </w:t>
      </w:r>
      <w:r w:rsidR="00D9258C" w:rsidRPr="00FD6A6A">
        <w:t>guarantee</w:t>
      </w:r>
      <w:r w:rsidR="00541D05">
        <w:t xml:space="preserve"> </w:t>
      </w:r>
      <w:r w:rsidR="00D9258C" w:rsidRPr="00FD6A6A">
        <w:t>of</w:t>
      </w:r>
      <w:r w:rsidR="00541D05">
        <w:t xml:space="preserve"> </w:t>
      </w:r>
      <w:r w:rsidR="00D9258C" w:rsidRPr="00FD6A6A">
        <w:t>the</w:t>
      </w:r>
      <w:r w:rsidR="00541D05">
        <w:t xml:space="preserve"> </w:t>
      </w:r>
      <w:r w:rsidR="00D9258C" w:rsidRPr="00FD6A6A">
        <w:t>urban</w:t>
      </w:r>
      <w:r w:rsidR="00541D05">
        <w:t xml:space="preserve"> </w:t>
      </w:r>
      <w:r w:rsidR="00D9258C" w:rsidRPr="00FD6A6A">
        <w:t>infrastructure</w:t>
      </w:r>
      <w:r w:rsidR="00541D05">
        <w:t xml:space="preserve"> </w:t>
      </w:r>
      <w:r w:rsidR="00D9258C" w:rsidRPr="00FD6A6A">
        <w:t>and</w:t>
      </w:r>
      <w:r w:rsidR="00541D05">
        <w:t xml:space="preserve"> </w:t>
      </w:r>
      <w:r w:rsidR="00D9258C" w:rsidRPr="00FD6A6A">
        <w:t>the</w:t>
      </w:r>
      <w:r w:rsidR="00541D05">
        <w:t xml:space="preserve"> </w:t>
      </w:r>
      <w:r w:rsidR="00D9258C" w:rsidRPr="00FD6A6A">
        <w:t>community</w:t>
      </w:r>
      <w:r w:rsidR="00541D05">
        <w:t xml:space="preserve"> </w:t>
      </w:r>
      <w:r w:rsidR="00D9258C" w:rsidRPr="00FD6A6A">
        <w:t>facilities</w:t>
      </w:r>
      <w:r w:rsidR="00541D05">
        <w:t xml:space="preserve"> </w:t>
      </w:r>
      <w:r w:rsidR="00D9258C" w:rsidRPr="00FD6A6A">
        <w:t>related</w:t>
      </w:r>
      <w:r w:rsidR="00541D05">
        <w:t xml:space="preserve"> </w:t>
      </w:r>
      <w:r w:rsidR="00D9258C" w:rsidRPr="00FD6A6A">
        <w:t>to</w:t>
      </w:r>
      <w:r w:rsidR="00541D05">
        <w:t xml:space="preserve"> </w:t>
      </w:r>
      <w:r w:rsidR="00D9258C" w:rsidRPr="00FD6A6A">
        <w:t>housing,</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technical</w:t>
      </w:r>
      <w:r w:rsidR="00541D05">
        <w:t xml:space="preserve"> </w:t>
      </w:r>
      <w:r w:rsidR="00D9258C" w:rsidRPr="00FD6A6A">
        <w:t>and</w:t>
      </w:r>
      <w:r w:rsidR="00541D05">
        <w:t xml:space="preserve"> </w:t>
      </w:r>
      <w:r w:rsidR="00D9258C" w:rsidRPr="00FD6A6A">
        <w:t>legal</w:t>
      </w:r>
      <w:r w:rsidR="00541D05">
        <w:t xml:space="preserve"> </w:t>
      </w:r>
      <w:r w:rsidR="00D9258C" w:rsidRPr="00FD6A6A">
        <w:t>support</w:t>
      </w:r>
      <w:r w:rsidR="00541D05">
        <w:t xml:space="preserve"> </w:t>
      </w:r>
      <w:r w:rsidR="00D9258C" w:rsidRPr="00FD6A6A">
        <w:t>for</w:t>
      </w:r>
      <w:r w:rsidR="00541D05">
        <w:t xml:space="preserve"> </w:t>
      </w:r>
      <w:r w:rsidR="00D9258C" w:rsidRPr="00FD6A6A">
        <w:t>construction,</w:t>
      </w:r>
      <w:r w:rsidR="00541D05">
        <w:t xml:space="preserve"> </w:t>
      </w:r>
      <w:r w:rsidR="00D9258C" w:rsidRPr="00FD6A6A">
        <w:t>renovation,</w:t>
      </w:r>
      <w:r w:rsidR="00541D05">
        <w:t xml:space="preserve"> </w:t>
      </w:r>
      <w:r w:rsidR="00D9258C" w:rsidRPr="00FD6A6A">
        <w:t>or</w:t>
      </w:r>
      <w:r w:rsidR="00541D05">
        <w:t xml:space="preserve"> </w:t>
      </w:r>
      <w:r w:rsidR="00D9258C" w:rsidRPr="00FD6A6A">
        <w:t>land</w:t>
      </w:r>
      <w:r w:rsidR="00541D05">
        <w:t xml:space="preserve"> </w:t>
      </w:r>
      <w:r w:rsidR="00D9258C" w:rsidRPr="00FD6A6A">
        <w:t>regularization</w:t>
      </w:r>
      <w:r w:rsidR="00541D05">
        <w:t xml:space="preserve"> </w:t>
      </w:r>
      <w:r w:rsidR="00D9258C" w:rsidRPr="00FD6A6A">
        <w:t>for</w:t>
      </w:r>
      <w:r w:rsidR="00541D05">
        <w:t xml:space="preserve"> </w:t>
      </w:r>
      <w:r w:rsidR="00D9258C" w:rsidRPr="00FD6A6A">
        <w:t>housing</w:t>
      </w:r>
      <w:r w:rsidR="00541D05">
        <w:t xml:space="preserve"> </w:t>
      </w:r>
      <w:r w:rsidR="00D9258C" w:rsidRPr="00FD6A6A">
        <w:t>in</w:t>
      </w:r>
      <w:r w:rsidR="00541D05">
        <w:t xml:space="preserve"> </w:t>
      </w:r>
      <w:r w:rsidR="00D9258C" w:rsidRPr="00FD6A6A">
        <w:t>urban</w:t>
      </w:r>
      <w:r w:rsidR="00541D05">
        <w:t xml:space="preserve"> </w:t>
      </w:r>
      <w:r w:rsidR="00D9258C" w:rsidRPr="00FD6A6A">
        <w:t>areas.</w:t>
      </w:r>
    </w:p>
    <w:p w14:paraId="0C492B45" w14:textId="7CBC2E58" w:rsidR="00D9258C" w:rsidRPr="00FD6A6A" w:rsidRDefault="00166390" w:rsidP="00166390">
      <w:pPr>
        <w:pStyle w:val="ParaNoG"/>
        <w:numPr>
          <w:ilvl w:val="0"/>
          <w:numId w:val="0"/>
        </w:numPr>
        <w:tabs>
          <w:tab w:val="left" w:pos="0"/>
        </w:tabs>
        <w:ind w:left="1134"/>
      </w:pPr>
      <w:r w:rsidRPr="00FD6A6A">
        <w:t>34.</w:t>
      </w:r>
      <w:r w:rsidRPr="00FD6A6A">
        <w:tab/>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EA62F1">
        <w:t>“</w:t>
      </w:r>
      <w:r w:rsidR="00D9258C" w:rsidRPr="00FD6A6A">
        <w:t>the</w:t>
      </w:r>
      <w:r w:rsidR="00541D05">
        <w:t xml:space="preserve"> </w:t>
      </w:r>
      <w:r w:rsidR="00D9258C" w:rsidRPr="00FD6A6A">
        <w:t>government</w:t>
      </w:r>
      <w:r w:rsidR="00541D05">
        <w:t xml:space="preserve"> </w:t>
      </w:r>
      <w:r w:rsidR="00D9258C" w:rsidRPr="00FD6A6A">
        <w:t>shall</w:t>
      </w:r>
      <w:r w:rsidR="00541D05">
        <w:t xml:space="preserve"> </w:t>
      </w:r>
      <w:r w:rsidR="00D9258C" w:rsidRPr="00FD6A6A">
        <w:t>secure</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r w:rsidR="00541D05">
        <w:t xml:space="preserve"> </w:t>
      </w:r>
      <w:r w:rsidR="00D9258C" w:rsidRPr="00FD6A6A">
        <w:t>to</w:t>
      </w:r>
      <w:r w:rsidR="00541D05">
        <w:t xml:space="preserve"> </w:t>
      </w:r>
      <w:r w:rsidR="00D9258C" w:rsidRPr="00FD6A6A">
        <w:t>ensure</w:t>
      </w:r>
      <w:r w:rsidR="00541D05">
        <w:t xml:space="preserve"> </w:t>
      </w:r>
      <w:r w:rsidR="00D9258C" w:rsidRPr="00FD6A6A">
        <w:t>right</w:t>
      </w:r>
      <w:r w:rsidR="00541D05">
        <w:t xml:space="preserve"> </w:t>
      </w:r>
      <w:r w:rsidR="00D9258C" w:rsidRPr="00FD6A6A">
        <w:t>to</w:t>
      </w:r>
      <w:r w:rsidR="00541D05">
        <w:t xml:space="preserve"> </w:t>
      </w:r>
      <w:r w:rsidR="00EE5A2A" w:rsidRPr="00FD6A6A">
        <w:t>adequate</w:t>
      </w:r>
      <w:r w:rsidR="00541D05">
        <w:t xml:space="preserve"> </w:t>
      </w:r>
      <w:r w:rsidR="00D9258C" w:rsidRPr="00FD6A6A">
        <w:t>housing</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living</w:t>
      </w:r>
      <w:r w:rsidR="00541D05">
        <w:t xml:space="preserve"> </w:t>
      </w:r>
      <w:r w:rsidR="00D9258C" w:rsidRPr="00FD6A6A">
        <w:t>in</w:t>
      </w:r>
      <w:r w:rsidR="00541D05">
        <w:t xml:space="preserve"> </w:t>
      </w:r>
      <w:r w:rsidR="00D9258C" w:rsidRPr="00FD6A6A">
        <w:t>slums,</w:t>
      </w:r>
      <w:r w:rsidR="00541D05">
        <w:t xml:space="preserve"> </w:t>
      </w:r>
      <w:r w:rsidR="00D9258C" w:rsidRPr="00FD6A6A">
        <w:t>tenements,</w:t>
      </w:r>
      <w:r w:rsidR="00541D05">
        <w:t xml:space="preserve"> </w:t>
      </w:r>
      <w:r w:rsidR="00D9258C" w:rsidRPr="00FD6A6A">
        <w:t>underused</w:t>
      </w:r>
      <w:r w:rsidR="00541D05">
        <w:t xml:space="preserve"> </w:t>
      </w:r>
      <w:r w:rsidR="00D9258C" w:rsidRPr="00FD6A6A">
        <w:t>urban</w:t>
      </w:r>
      <w:r w:rsidR="00541D05">
        <w:t xml:space="preserve"> </w:t>
      </w:r>
      <w:r w:rsidR="00D9258C" w:rsidRPr="00FD6A6A">
        <w:t>areas,</w:t>
      </w:r>
      <w:r w:rsidR="00541D05">
        <w:t xml:space="preserve"> </w:t>
      </w:r>
      <w:r w:rsidR="00D9258C" w:rsidRPr="00FD6A6A">
        <w:t>and</w:t>
      </w:r>
      <w:r w:rsidR="00541D05">
        <w:t xml:space="preserve"> </w:t>
      </w:r>
      <w:r w:rsidR="00D9258C" w:rsidRPr="00FD6A6A">
        <w:t>areas</w:t>
      </w:r>
      <w:r w:rsidR="00541D05">
        <w:t xml:space="preserve"> </w:t>
      </w:r>
      <w:r w:rsidR="00D9258C" w:rsidRPr="00FD6A6A">
        <w:t>degraded</w:t>
      </w:r>
      <w:r w:rsidR="00541D05">
        <w:t xml:space="preserve"> </w:t>
      </w:r>
      <w:r w:rsidR="00D9258C" w:rsidRPr="00FD6A6A">
        <w:t>or</w:t>
      </w:r>
      <w:r w:rsidR="00541D05">
        <w:t xml:space="preserve"> </w:t>
      </w:r>
      <w:r w:rsidR="00D9258C" w:rsidRPr="00FD6A6A">
        <w:t>in</w:t>
      </w:r>
      <w:r w:rsidR="00541D05">
        <w:t xml:space="preserve"> </w:t>
      </w:r>
      <w:r w:rsidR="00D9258C" w:rsidRPr="00FD6A6A">
        <w:t>imminent</w:t>
      </w:r>
      <w:r w:rsidR="00541D05">
        <w:t xml:space="preserve"> </w:t>
      </w:r>
      <w:r w:rsidR="00D9258C" w:rsidRPr="00FD6A6A">
        <w:t>degradation</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reintegrate</w:t>
      </w:r>
      <w:r w:rsidR="00541D05">
        <w:t xml:space="preserve"> </w:t>
      </w:r>
      <w:r w:rsidR="00D9258C" w:rsidRPr="00FD6A6A">
        <w:t>them</w:t>
      </w:r>
      <w:r w:rsidR="00541D05">
        <w:t xml:space="preserve"> </w:t>
      </w:r>
      <w:r w:rsidR="00D9258C" w:rsidRPr="00FD6A6A">
        <w:t>to</w:t>
      </w:r>
      <w:r w:rsidR="00541D05">
        <w:t xml:space="preserve"> </w:t>
      </w:r>
      <w:r w:rsidR="00D9258C" w:rsidRPr="00FD6A6A">
        <w:t>the</w:t>
      </w:r>
      <w:r w:rsidR="00541D05">
        <w:t xml:space="preserve"> </w:t>
      </w:r>
      <w:r w:rsidR="00D9258C" w:rsidRPr="00FD6A6A">
        <w:t>urban</w:t>
      </w:r>
      <w:r w:rsidR="00541D05">
        <w:t xml:space="preserve"> </w:t>
      </w:r>
      <w:r w:rsidR="00D9258C" w:rsidRPr="00FD6A6A">
        <w:t>dynamics</w:t>
      </w:r>
      <w:r w:rsidR="00541D05">
        <w:t xml:space="preserve"> </w:t>
      </w:r>
      <w:r w:rsidR="00D9258C" w:rsidRPr="00FD6A6A">
        <w:t>and</w:t>
      </w:r>
      <w:r w:rsidR="00541D05">
        <w:t xml:space="preserve"> </w:t>
      </w:r>
      <w:r w:rsidR="00D9258C" w:rsidRPr="00FD6A6A">
        <w:t>improve</w:t>
      </w:r>
      <w:r w:rsidR="00541D05">
        <w:t xml:space="preserve"> </w:t>
      </w:r>
      <w:r w:rsidR="00D9258C" w:rsidRPr="00FD6A6A">
        <w:t>the</w:t>
      </w:r>
      <w:r w:rsidR="00541D05">
        <w:t xml:space="preserve"> </w:t>
      </w:r>
      <w:r w:rsidR="00D9258C" w:rsidRPr="00FD6A6A">
        <w:t>environment</w:t>
      </w:r>
      <w:r w:rsidR="00541D05">
        <w:t xml:space="preserve"> </w:t>
      </w:r>
      <w:r w:rsidR="00D9258C" w:rsidRPr="00FD6A6A">
        <w:t>and</w:t>
      </w:r>
      <w:r w:rsidR="00541D05">
        <w:t xml:space="preserve"> </w:t>
      </w:r>
      <w:r w:rsidR="00D9258C" w:rsidRPr="00FD6A6A">
        <w:t>the</w:t>
      </w:r>
      <w:r w:rsidR="00541D05">
        <w:t xml:space="preserve"> </w:t>
      </w:r>
      <w:r w:rsidR="00D9258C" w:rsidRPr="00FD6A6A">
        <w:t>quality</w:t>
      </w:r>
      <w:r w:rsidR="00541D05">
        <w:t xml:space="preserve"> </w:t>
      </w:r>
      <w:r w:rsidR="00D9258C" w:rsidRPr="00FD6A6A">
        <w:t>of</w:t>
      </w:r>
      <w:r w:rsidR="00541D05">
        <w:t xml:space="preserve"> </w:t>
      </w:r>
      <w:r w:rsidR="00D9258C" w:rsidRPr="00FD6A6A">
        <w:t>life</w:t>
      </w:r>
      <w:r w:rsidR="00EA62F1">
        <w:t>”</w:t>
      </w:r>
      <w:r w:rsidR="00541D05">
        <w:t xml:space="preserve"> </w:t>
      </w:r>
      <w:r w:rsidR="00D9258C" w:rsidRPr="00FD6A6A">
        <w:t>(Art.</w:t>
      </w:r>
      <w:r w:rsidR="00541D05">
        <w:t xml:space="preserve"> </w:t>
      </w:r>
      <w:r w:rsidR="00D9258C" w:rsidRPr="00FD6A6A">
        <w:t>35).</w:t>
      </w:r>
    </w:p>
    <w:p w14:paraId="6E0D9F80" w14:textId="1D69BE74" w:rsidR="00D9258C" w:rsidRPr="00FD6A6A" w:rsidRDefault="00166390" w:rsidP="00166390">
      <w:pPr>
        <w:pStyle w:val="ParaNoG"/>
        <w:numPr>
          <w:ilvl w:val="0"/>
          <w:numId w:val="0"/>
        </w:numPr>
        <w:tabs>
          <w:tab w:val="left" w:pos="0"/>
        </w:tabs>
        <w:ind w:left="1134"/>
      </w:pPr>
      <w:r w:rsidRPr="00FD6A6A">
        <w:t>35.</w:t>
      </w:r>
      <w:r w:rsidRPr="00FD6A6A">
        <w:tab/>
      </w:r>
      <w:r w:rsidR="00D9258C" w:rsidRPr="00FD6A6A">
        <w:t>The</w:t>
      </w:r>
      <w:r w:rsidR="00541D05">
        <w:t xml:space="preserve"> </w:t>
      </w:r>
      <w:r w:rsidR="00D9258C" w:rsidRPr="00FD6A6A">
        <w:t>III</w:t>
      </w:r>
      <w:r w:rsidR="00541D05">
        <w:t xml:space="preserve"> </w:t>
      </w:r>
      <w:r w:rsidR="00D9258C" w:rsidRPr="00FD6A6A">
        <w:t>National</w:t>
      </w:r>
      <w:r w:rsidR="00541D05">
        <w:t xml:space="preserve"> </w:t>
      </w:r>
      <w:r w:rsidR="00D9258C" w:rsidRPr="00FD6A6A">
        <w:t>Human</w:t>
      </w:r>
      <w:r w:rsidR="00541D05">
        <w:t xml:space="preserve"> </w:t>
      </w:r>
      <w:r w:rsidR="00D9258C" w:rsidRPr="00FD6A6A">
        <w:t>Rights</w:t>
      </w:r>
      <w:r w:rsidR="00541D05">
        <w:t xml:space="preserve"> </w:t>
      </w:r>
      <w:r w:rsidR="00D9258C" w:rsidRPr="00FD6A6A">
        <w:t>Program</w:t>
      </w:r>
      <w:r w:rsidR="00541D05">
        <w:t xml:space="preserve"> </w:t>
      </w:r>
      <w:r w:rsidR="00D9258C" w:rsidRPr="00FD6A6A">
        <w:t>(PNDH-3),</w:t>
      </w:r>
      <w:r w:rsidR="00541D05">
        <w:t xml:space="preserve"> </w:t>
      </w:r>
      <w:r w:rsidR="00D9258C" w:rsidRPr="00FD6A6A">
        <w:t>in</w:t>
      </w:r>
      <w:r w:rsidR="00541D05">
        <w:t xml:space="preserve"> </w:t>
      </w:r>
      <w:r w:rsidR="00D9258C" w:rsidRPr="00FD6A6A">
        <w:t>the</w:t>
      </w:r>
      <w:r w:rsidR="00541D05">
        <w:t xml:space="preserve"> </w:t>
      </w:r>
      <w:r w:rsidR="00D9258C" w:rsidRPr="00FD6A6A">
        <w:t>section</w:t>
      </w:r>
      <w:r w:rsidR="00541D05">
        <w:t xml:space="preserve"> </w:t>
      </w:r>
      <w:r w:rsidR="00D9258C" w:rsidRPr="00FD6A6A">
        <w:t>addressing</w:t>
      </w:r>
      <w:r w:rsidR="00541D05">
        <w:t xml:space="preserve"> </w:t>
      </w:r>
      <w:r w:rsidR="00D9258C" w:rsidRPr="00FD6A6A">
        <w:t>the</w:t>
      </w:r>
      <w:r w:rsidR="00541D05">
        <w:t xml:space="preserve"> </w:t>
      </w:r>
      <w:r w:rsidR="00D9258C" w:rsidRPr="00FD6A6A">
        <w:t>universalization</w:t>
      </w:r>
      <w:r w:rsidR="00541D05">
        <w:t xml:space="preserve"> </w:t>
      </w:r>
      <w:r w:rsidR="00D9258C" w:rsidRPr="00FD6A6A">
        <w:t>of</w:t>
      </w:r>
      <w:r w:rsidR="00541D05">
        <w:t xml:space="preserve"> </w:t>
      </w:r>
      <w:r w:rsidR="00D9258C" w:rsidRPr="00FD6A6A">
        <w:t>rights</w:t>
      </w:r>
      <w:r w:rsidR="00541D05">
        <w:t xml:space="preserve"> </w:t>
      </w:r>
      <w:r w:rsidR="00D9258C" w:rsidRPr="00FD6A6A">
        <w:t>in</w:t>
      </w:r>
      <w:r w:rsidR="00541D05">
        <w:t xml:space="preserve"> </w:t>
      </w:r>
      <w:r w:rsidR="00D9258C" w:rsidRPr="00FD6A6A">
        <w:t>a</w:t>
      </w:r>
      <w:r w:rsidR="00541D05">
        <w:t xml:space="preserve"> </w:t>
      </w:r>
      <w:r w:rsidR="00D9258C" w:rsidRPr="00FD6A6A">
        <w:t>context</w:t>
      </w:r>
      <w:r w:rsidR="00541D05">
        <w:t xml:space="preserve"> </w:t>
      </w:r>
      <w:r w:rsidR="00D9258C" w:rsidRPr="00FD6A6A">
        <w:t>of</w:t>
      </w:r>
      <w:r w:rsidR="00541D05">
        <w:t xml:space="preserve"> </w:t>
      </w:r>
      <w:r w:rsidR="00D9258C" w:rsidRPr="00FD6A6A">
        <w:t>inequality,</w:t>
      </w:r>
      <w:r w:rsidR="00541D05">
        <w:t xml:space="preserve"> </w:t>
      </w:r>
      <w:r w:rsidR="00D9258C" w:rsidRPr="00FD6A6A">
        <w:t>establishes,</w:t>
      </w:r>
      <w:r w:rsidR="00541D05">
        <w:t xml:space="preserve"> </w:t>
      </w:r>
      <w:r w:rsidR="00D9258C" w:rsidRPr="00FD6A6A">
        <w:t>as</w:t>
      </w:r>
      <w:r w:rsidR="00541D05">
        <w:t xml:space="preserve"> </w:t>
      </w:r>
      <w:r w:rsidR="00D9258C" w:rsidRPr="00FD6A6A">
        <w:t>a</w:t>
      </w:r>
      <w:r w:rsidR="00541D05">
        <w:t xml:space="preserve"> </w:t>
      </w:r>
      <w:r w:rsidR="00D9258C" w:rsidRPr="00FD6A6A">
        <w:t>commitment</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that</w:t>
      </w:r>
      <w:r w:rsidR="00541D05">
        <w:t xml:space="preserve"> </w:t>
      </w:r>
      <w:r w:rsidR="00D9258C" w:rsidRPr="00FD6A6A">
        <w:t>low-income</w:t>
      </w:r>
      <w:r w:rsidR="00541D05">
        <w:t xml:space="preserve"> </w:t>
      </w:r>
      <w:r w:rsidR="00D9258C" w:rsidRPr="00FD6A6A">
        <w:t>populations,</w:t>
      </w:r>
      <w:r w:rsidR="00541D05">
        <w:t xml:space="preserve"> </w:t>
      </w:r>
      <w:r w:rsidR="00D9258C" w:rsidRPr="00FD6A6A">
        <w:t>populations</w:t>
      </w:r>
      <w:r w:rsidR="00541D05">
        <w:t xml:space="preserve"> </w:t>
      </w:r>
      <w:r w:rsidR="00D9258C" w:rsidRPr="00FD6A6A">
        <w:t>in</w:t>
      </w:r>
      <w:r w:rsidR="00541D05">
        <w:t xml:space="preserve"> </w:t>
      </w:r>
      <w:r w:rsidR="00D9258C" w:rsidRPr="00FD6A6A">
        <w:t>street</w:t>
      </w:r>
      <w:r w:rsidR="00541D05">
        <w:t xml:space="preserve"> </w:t>
      </w:r>
      <w:r w:rsidR="00D9258C" w:rsidRPr="00FD6A6A">
        <w:t>situation</w:t>
      </w:r>
      <w:r w:rsidR="00541D05">
        <w:t xml:space="preserve"> </w:t>
      </w:r>
      <w:r w:rsidR="00D9258C" w:rsidRPr="00FD6A6A">
        <w:t>and</w:t>
      </w:r>
      <w:r w:rsidR="00541D05">
        <w:t xml:space="preserve"> </w:t>
      </w:r>
      <w:r w:rsidR="00D9258C" w:rsidRPr="00FD6A6A">
        <w:t>vulnerable</w:t>
      </w:r>
      <w:r w:rsidR="00541D05">
        <w:t xml:space="preserve"> </w:t>
      </w:r>
      <w:r w:rsidR="00D9258C" w:rsidRPr="00FD6A6A">
        <w:t>social</w:t>
      </w:r>
      <w:r w:rsidR="00541D05">
        <w:t xml:space="preserve"> </w:t>
      </w:r>
      <w:r w:rsidR="00D9258C" w:rsidRPr="00FD6A6A">
        <w:t>groups</w:t>
      </w:r>
      <w:r w:rsidR="00541D05">
        <w:t xml:space="preserve"> </w:t>
      </w:r>
      <w:r w:rsidR="00D9258C" w:rsidRPr="00FD6A6A">
        <w:t>in</w:t>
      </w:r>
      <w:r w:rsidR="00541D05">
        <w:t xml:space="preserve"> </w:t>
      </w:r>
      <w:r w:rsidR="00D9258C" w:rsidRPr="00FD6A6A">
        <w:t>the</w:t>
      </w:r>
      <w:r w:rsidR="00541D05">
        <w:t xml:space="preserve"> </w:t>
      </w:r>
      <w:r w:rsidR="00D9258C" w:rsidRPr="00FD6A6A">
        <w:t>urban</w:t>
      </w:r>
      <w:r w:rsidR="00541D05">
        <w:t xml:space="preserve"> </w:t>
      </w:r>
      <w:r w:rsidR="00D9258C" w:rsidRPr="00FD6A6A">
        <w:t>and</w:t>
      </w:r>
      <w:r w:rsidR="00541D05">
        <w:t xml:space="preserve"> </w:t>
      </w:r>
      <w:r w:rsidR="00D9258C" w:rsidRPr="00FD6A6A">
        <w:t>rural</w:t>
      </w:r>
      <w:r w:rsidR="00541D05">
        <w:t xml:space="preserve"> </w:t>
      </w:r>
      <w:r w:rsidR="00D9258C" w:rsidRPr="00FD6A6A">
        <w:t>spaces</w:t>
      </w:r>
      <w:r w:rsidR="00541D05">
        <w:t xml:space="preserve"> </w:t>
      </w:r>
      <w:r w:rsidR="00D9258C" w:rsidRPr="00FD6A6A">
        <w:t>should</w:t>
      </w:r>
      <w:r w:rsidR="00541D05">
        <w:t xml:space="preserve"> </w:t>
      </w:r>
      <w:r w:rsidR="00D9258C" w:rsidRPr="00FD6A6A">
        <w:t>be</w:t>
      </w:r>
      <w:r w:rsidR="00541D05">
        <w:t xml:space="preserve"> </w:t>
      </w:r>
      <w:r w:rsidR="00D9258C" w:rsidRPr="00FD6A6A">
        <w:t>granted</w:t>
      </w:r>
      <w:r w:rsidR="00541D05">
        <w:t xml:space="preserve"> </w:t>
      </w:r>
      <w:r w:rsidR="00D9258C" w:rsidRPr="00FD6A6A">
        <w:t>priority</w:t>
      </w:r>
      <w:r w:rsidR="00541D05">
        <w:t xml:space="preserve"> </w:t>
      </w:r>
      <w:r w:rsidR="00D9258C" w:rsidRPr="00FD6A6A">
        <w:t>in</w:t>
      </w:r>
      <w:r w:rsidR="00541D05">
        <w:t xml:space="preserve"> </w:t>
      </w:r>
      <w:r w:rsidR="00D9258C" w:rsidRPr="00FD6A6A">
        <w:t>public</w:t>
      </w:r>
      <w:r w:rsidR="00541D05">
        <w:t xml:space="preserve"> </w:t>
      </w:r>
      <w:r w:rsidR="00D9258C" w:rsidRPr="00FD6A6A">
        <w:t>housing</w:t>
      </w:r>
      <w:r w:rsidR="00541D05">
        <w:t xml:space="preserve"> </w:t>
      </w:r>
      <w:r w:rsidR="00D9258C" w:rsidRPr="00FD6A6A">
        <w:t>programs.</w:t>
      </w:r>
      <w:r w:rsidR="00541D05">
        <w:t xml:space="preserve"> </w:t>
      </w:r>
      <w:r w:rsidR="00D9258C" w:rsidRPr="00FD6A6A">
        <w:t>It</w:t>
      </w:r>
      <w:r w:rsidR="00541D05">
        <w:t xml:space="preserve"> </w:t>
      </w:r>
      <w:r w:rsidR="00D9258C" w:rsidRPr="00FD6A6A">
        <w:t>further</w:t>
      </w:r>
      <w:r w:rsidR="00541D05">
        <w:t xml:space="preserve"> </w:t>
      </w:r>
      <w:r w:rsidR="00D9258C" w:rsidRPr="00FD6A6A">
        <w:t>establishes</w:t>
      </w:r>
      <w:r w:rsidR="00541D05">
        <w:t xml:space="preserve"> </w:t>
      </w:r>
      <w:r w:rsidR="00D9258C" w:rsidRPr="00FD6A6A">
        <w:t>that</w:t>
      </w:r>
      <w:r w:rsidR="00541D05">
        <w:t xml:space="preserve"> </w:t>
      </w:r>
      <w:r w:rsidR="00D9258C" w:rsidRPr="00FD6A6A">
        <w:t>the</w:t>
      </w:r>
      <w:r w:rsidR="00541D05">
        <w:t xml:space="preserve"> </w:t>
      </w:r>
      <w:r w:rsidR="00D9258C" w:rsidRPr="00FD6A6A">
        <w:t>principles</w:t>
      </w:r>
      <w:r w:rsidR="00541D05">
        <w:t xml:space="preserve"> </w:t>
      </w:r>
      <w:r w:rsidR="00D9258C" w:rsidRPr="00FD6A6A">
        <w:t>of</w:t>
      </w:r>
      <w:r w:rsidR="00541D05">
        <w:t xml:space="preserve"> </w:t>
      </w:r>
      <w:r w:rsidR="00D9258C" w:rsidRPr="00FD6A6A">
        <w:t>decent</w:t>
      </w:r>
      <w:r w:rsidR="00541D05">
        <w:t xml:space="preserve"> </w:t>
      </w:r>
      <w:r w:rsidR="00D9258C" w:rsidRPr="00FD6A6A">
        <w:t>housing,</w:t>
      </w:r>
      <w:r w:rsidR="00541D05">
        <w:t xml:space="preserve"> </w:t>
      </w:r>
      <w:r w:rsidR="00D9258C" w:rsidRPr="00FD6A6A">
        <w:t>universal</w:t>
      </w:r>
      <w:r w:rsidR="00541D05">
        <w:t xml:space="preserve"> </w:t>
      </w:r>
      <w:r w:rsidR="00D9258C" w:rsidRPr="00FD6A6A">
        <w:t>design,</w:t>
      </w:r>
      <w:r w:rsidR="00541D05">
        <w:t xml:space="preserve"> </w:t>
      </w:r>
      <w:r w:rsidR="00D9258C" w:rsidRPr="00FD6A6A">
        <w:t>and</w:t>
      </w:r>
      <w:r w:rsidR="00541D05">
        <w:t xml:space="preserve"> </w:t>
      </w:r>
      <w:r w:rsidR="00D9258C" w:rsidRPr="00FD6A6A">
        <w:t>accessibility</w:t>
      </w:r>
      <w:r w:rsidR="00541D05">
        <w:t xml:space="preserve"> </w:t>
      </w:r>
      <w:r w:rsidR="00D9258C" w:rsidRPr="00FD6A6A">
        <w:t>shall</w:t>
      </w:r>
      <w:r w:rsidR="00541D05">
        <w:t xml:space="preserve"> </w:t>
      </w:r>
      <w:r w:rsidR="00D9258C" w:rsidRPr="00FD6A6A">
        <w:t>be</w:t>
      </w:r>
      <w:r w:rsidR="00541D05">
        <w:t xml:space="preserve"> </w:t>
      </w:r>
      <w:r w:rsidR="00D9258C" w:rsidRPr="00FD6A6A">
        <w:t>taken</w:t>
      </w:r>
      <w:r w:rsidR="00541D05">
        <w:t xml:space="preserve"> </w:t>
      </w:r>
      <w:r w:rsidR="00D9258C" w:rsidRPr="00FD6A6A">
        <w:t>into</w:t>
      </w:r>
      <w:r w:rsidR="00541D05">
        <w:t xml:space="preserve"> </w:t>
      </w:r>
      <w:r w:rsidR="00D9258C" w:rsidRPr="00FD6A6A">
        <w:t>account</w:t>
      </w:r>
      <w:r w:rsidR="00541D05">
        <w:t xml:space="preserve"> </w:t>
      </w:r>
      <w:r w:rsidR="00D9258C" w:rsidRPr="00FD6A6A">
        <w:t>in</w:t>
      </w:r>
      <w:r w:rsidR="00541D05">
        <w:t xml:space="preserve"> </w:t>
      </w:r>
      <w:r w:rsidR="00D9258C" w:rsidRPr="00FD6A6A">
        <w:t>the</w:t>
      </w:r>
      <w:r w:rsidR="00541D05">
        <w:t xml:space="preserve"> </w:t>
      </w:r>
      <w:r w:rsidR="00D9258C" w:rsidRPr="00FD6A6A">
        <w:t>building</w:t>
      </w:r>
      <w:r w:rsidR="00541D05">
        <w:t xml:space="preserve"> </w:t>
      </w:r>
      <w:r w:rsidR="00D9258C" w:rsidRPr="00FD6A6A">
        <w:t>projects.</w:t>
      </w:r>
      <w:r w:rsidR="00541D05">
        <w:t xml:space="preserve"> </w:t>
      </w:r>
      <w:r w:rsidR="00D9258C" w:rsidRPr="00FD6A6A">
        <w:t>The</w:t>
      </w:r>
      <w:r w:rsidR="00541D05">
        <w:t xml:space="preserve"> </w:t>
      </w:r>
      <w:r w:rsidR="00D9258C" w:rsidRPr="00FD6A6A">
        <w:t>Program</w:t>
      </w:r>
      <w:r w:rsidR="00541D05">
        <w:t xml:space="preserve"> </w:t>
      </w:r>
      <w:r w:rsidR="00D9258C" w:rsidRPr="00FD6A6A">
        <w:t>also</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D9258C" w:rsidRPr="00FD6A6A">
        <w:t>tracts</w:t>
      </w:r>
      <w:r w:rsidR="00541D05">
        <w:t xml:space="preserve"> </w:t>
      </w:r>
      <w:r w:rsidR="00D9258C" w:rsidRPr="00FD6A6A">
        <w:t>of</w:t>
      </w:r>
      <w:r w:rsidR="00541D05">
        <w:t xml:space="preserve"> </w:t>
      </w:r>
      <w:r w:rsidR="00D9258C" w:rsidRPr="00FD6A6A">
        <w:t>land,</w:t>
      </w:r>
      <w:r w:rsidR="00541D05">
        <w:t xml:space="preserve"> </w:t>
      </w:r>
      <w:r w:rsidR="00D9258C" w:rsidRPr="00FD6A6A">
        <w:t>empty</w:t>
      </w:r>
      <w:r w:rsidR="00541D05">
        <w:t xml:space="preserve"> </w:t>
      </w:r>
      <w:r w:rsidR="00D9258C" w:rsidRPr="00FD6A6A">
        <w:t>or</w:t>
      </w:r>
      <w:r w:rsidR="00541D05">
        <w:t xml:space="preserve"> </w:t>
      </w:r>
      <w:r w:rsidR="00D9258C" w:rsidRPr="00FD6A6A">
        <w:t>underused</w:t>
      </w:r>
      <w:r w:rsidR="00541D05">
        <w:t xml:space="preserve"> </w:t>
      </w:r>
      <w:r w:rsidR="00D9258C" w:rsidRPr="00FD6A6A">
        <w:t>buildings</w:t>
      </w:r>
      <w:r w:rsidR="00541D05">
        <w:t xml:space="preserve"> </w:t>
      </w:r>
      <w:r w:rsidR="00D9258C" w:rsidRPr="00FD6A6A">
        <w:t>owned</w:t>
      </w:r>
      <w:r w:rsidR="00541D05">
        <w:t xml:space="preserve"> </w:t>
      </w:r>
      <w:r w:rsidR="00D9258C" w:rsidRPr="00FD6A6A">
        <w:t>by</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should</w:t>
      </w:r>
      <w:r w:rsidR="00541D05">
        <w:t xml:space="preserve"> </w:t>
      </w:r>
      <w:r w:rsidR="00D9258C" w:rsidRPr="00FD6A6A">
        <w:t>be</w:t>
      </w:r>
      <w:r w:rsidR="00541D05">
        <w:t xml:space="preserve"> </w:t>
      </w:r>
      <w:r w:rsidR="00D9258C" w:rsidRPr="00FD6A6A">
        <w:t>allocated</w:t>
      </w:r>
      <w:r w:rsidR="00541D05">
        <w:t xml:space="preserve"> </w:t>
      </w:r>
      <w:r w:rsidR="00D9258C" w:rsidRPr="00FD6A6A">
        <w:t>to</w:t>
      </w:r>
      <w:r w:rsidR="00541D05">
        <w:t xml:space="preserve"> </w:t>
      </w:r>
      <w:r w:rsidR="00D9258C" w:rsidRPr="00FD6A6A">
        <w:t>the</w:t>
      </w:r>
      <w:r w:rsidR="00541D05">
        <w:t xml:space="preserve"> </w:t>
      </w:r>
      <w:r w:rsidR="00D9258C" w:rsidRPr="00FD6A6A">
        <w:t>low-income</w:t>
      </w:r>
      <w:r w:rsidR="00541D05">
        <w:t xml:space="preserve"> </w:t>
      </w:r>
      <w:r w:rsidR="00D9258C" w:rsidRPr="00FD6A6A">
        <w:t>population,</w:t>
      </w:r>
      <w:r w:rsidR="00541D05">
        <w:t xml:space="preserve"> </w:t>
      </w:r>
      <w:r w:rsidR="00D9258C" w:rsidRPr="00FD6A6A">
        <w:t>in</w:t>
      </w:r>
      <w:r w:rsidR="00541D05">
        <w:t xml:space="preserve"> </w:t>
      </w:r>
      <w:r w:rsidR="00D9258C" w:rsidRPr="00FD6A6A">
        <w:t>a</w:t>
      </w:r>
      <w:r w:rsidR="00541D05">
        <w:t xml:space="preserve"> </w:t>
      </w:r>
      <w:r w:rsidR="00D9258C" w:rsidRPr="00FD6A6A">
        <w:t>fair</w:t>
      </w:r>
      <w:r w:rsidR="00541D05">
        <w:t xml:space="preserve"> </w:t>
      </w:r>
      <w:r w:rsidR="00D9258C" w:rsidRPr="00FD6A6A">
        <w:t>and</w:t>
      </w:r>
      <w:r w:rsidR="00541D05">
        <w:t xml:space="preserve"> </w:t>
      </w:r>
      <w:r w:rsidR="00D9258C" w:rsidRPr="00FD6A6A">
        <w:t>pacific</w:t>
      </w:r>
      <w:r w:rsidR="00541D05">
        <w:t xml:space="preserve"> </w:t>
      </w:r>
      <w:r w:rsidR="00D9258C" w:rsidRPr="00FD6A6A">
        <w:t>manner.</w:t>
      </w:r>
    </w:p>
    <w:p w14:paraId="1BACDC80" w14:textId="19E265D8" w:rsidR="00D9258C" w:rsidRPr="00FD6A6A" w:rsidRDefault="00166390" w:rsidP="00166390">
      <w:pPr>
        <w:pStyle w:val="ParaNoG"/>
        <w:numPr>
          <w:ilvl w:val="0"/>
          <w:numId w:val="0"/>
        </w:numPr>
        <w:tabs>
          <w:tab w:val="left" w:pos="0"/>
        </w:tabs>
        <w:ind w:left="1134"/>
      </w:pPr>
      <w:r w:rsidRPr="00FD6A6A">
        <w:t>36.</w:t>
      </w:r>
      <w:r w:rsidRPr="00FD6A6A">
        <w:tab/>
      </w:r>
      <w:r w:rsidR="00D9258C" w:rsidRPr="00FD6A6A">
        <w:t>Nevertheless,</w:t>
      </w:r>
      <w:r w:rsidR="00541D05">
        <w:t xml:space="preserve"> </w:t>
      </w:r>
      <w:r w:rsidR="00D9258C" w:rsidRPr="00FD6A6A">
        <w:t>several</w:t>
      </w:r>
      <w:r w:rsidR="00541D05">
        <w:t xml:space="preserve"> </w:t>
      </w:r>
      <w:r w:rsidR="00D9258C" w:rsidRPr="00FD6A6A">
        <w:t>mechanisms</w:t>
      </w:r>
      <w:r w:rsidR="00541D05">
        <w:t xml:space="preserve"> </w:t>
      </w:r>
      <w:r w:rsidR="00D9258C" w:rsidRPr="00FD6A6A">
        <w:t>have</w:t>
      </w:r>
      <w:r w:rsidR="00541D05">
        <w:t xml:space="preserve"> </w:t>
      </w:r>
      <w:r w:rsidR="00D9258C" w:rsidRPr="00FD6A6A">
        <w:t>produced</w:t>
      </w:r>
      <w:r w:rsidR="00541D05">
        <w:t xml:space="preserve"> </w:t>
      </w:r>
      <w:r w:rsidR="00D9258C" w:rsidRPr="00FD6A6A">
        <w:t>and</w:t>
      </w:r>
      <w:r w:rsidR="00541D05">
        <w:t xml:space="preserve"> </w:t>
      </w:r>
      <w:r w:rsidR="00D9258C" w:rsidRPr="00FD6A6A">
        <w:t>continue</w:t>
      </w:r>
      <w:r w:rsidR="00541D05">
        <w:t xml:space="preserve"> </w:t>
      </w:r>
      <w:r w:rsidR="00D9258C" w:rsidRPr="00FD6A6A">
        <w:t>to</w:t>
      </w:r>
      <w:r w:rsidR="00541D05">
        <w:t xml:space="preserve"> </w:t>
      </w:r>
      <w:r w:rsidR="00D9258C" w:rsidRPr="00FD6A6A">
        <w:t>reproduce</w:t>
      </w:r>
      <w:r w:rsidR="00541D05">
        <w:t xml:space="preserve"> </w:t>
      </w:r>
      <w:r w:rsidR="00D9258C" w:rsidRPr="00FD6A6A">
        <w:t>forms</w:t>
      </w:r>
      <w:r w:rsidR="00541D05">
        <w:t xml:space="preserve"> </w:t>
      </w:r>
      <w:r w:rsidR="00D9258C" w:rsidRPr="00FD6A6A">
        <w:t>of</w:t>
      </w:r>
      <w:r w:rsidR="00541D05">
        <w:t xml:space="preserve"> </w:t>
      </w:r>
      <w:r w:rsidR="00D9258C" w:rsidRPr="00FD6A6A">
        <w:t>land</w:t>
      </w:r>
      <w:r w:rsidR="00541D05">
        <w:t xml:space="preserve"> </w:t>
      </w:r>
      <w:r w:rsidR="00D9258C" w:rsidRPr="00FD6A6A">
        <w:t>and</w:t>
      </w:r>
      <w:r w:rsidR="00541D05">
        <w:t xml:space="preserve"> </w:t>
      </w:r>
      <w:r w:rsidR="00D9258C" w:rsidRPr="00FD6A6A">
        <w:t>soil</w:t>
      </w:r>
      <w:r w:rsidR="00541D05">
        <w:t xml:space="preserve"> </w:t>
      </w:r>
      <w:r w:rsidR="00D9258C" w:rsidRPr="00FD6A6A">
        <w:t>occupancy</w:t>
      </w:r>
      <w:r w:rsidR="00541D05">
        <w:t xml:space="preserve"> </w:t>
      </w:r>
      <w:r w:rsidR="00D9258C" w:rsidRPr="00FD6A6A">
        <w:t>that</w:t>
      </w:r>
      <w:r w:rsidR="00541D05">
        <w:t xml:space="preserve"> </w:t>
      </w:r>
      <w:r w:rsidR="00D9258C" w:rsidRPr="00FD6A6A">
        <w:t>induced</w:t>
      </w:r>
      <w:r w:rsidR="00541D05">
        <w:t xml:space="preserve"> </w:t>
      </w:r>
      <w:r w:rsidR="00D9258C" w:rsidRPr="00FD6A6A">
        <w:t>spatial</w:t>
      </w:r>
      <w:r w:rsidR="00541D05">
        <w:t xml:space="preserve"> </w:t>
      </w:r>
      <w:r w:rsidR="00D9258C" w:rsidRPr="00FD6A6A">
        <w:t>segregation</w:t>
      </w:r>
      <w:r w:rsidR="00541D05">
        <w:t xml:space="preserve"> </w:t>
      </w:r>
      <w:r w:rsidR="00D9258C" w:rsidRPr="00FD6A6A">
        <w:t>of</w:t>
      </w:r>
      <w:r w:rsidR="00541D05">
        <w:t xml:space="preserve"> </w:t>
      </w:r>
      <w:r w:rsidR="00D9258C" w:rsidRPr="00FD6A6A">
        <w:t>vulnerable</w:t>
      </w:r>
      <w:r w:rsidR="00541D05">
        <w:t xml:space="preserve"> </w:t>
      </w:r>
      <w:r w:rsidR="00D9258C" w:rsidRPr="00FD6A6A">
        <w:t>social</w:t>
      </w:r>
      <w:r w:rsidR="00541D05">
        <w:t xml:space="preserve"> </w:t>
      </w:r>
      <w:r w:rsidR="00D9258C" w:rsidRPr="00FD6A6A">
        <w:t>groups,</w:t>
      </w:r>
      <w:r w:rsidR="00541D05">
        <w:t xml:space="preserve"> </w:t>
      </w:r>
      <w:r w:rsidR="00D9258C" w:rsidRPr="00FD6A6A">
        <w:t>in</w:t>
      </w:r>
      <w:r w:rsidR="00541D05">
        <w:t xml:space="preserve"> </w:t>
      </w:r>
      <w:r w:rsidR="00D9258C" w:rsidRPr="00FD6A6A">
        <w:t>the</w:t>
      </w:r>
      <w:r w:rsidR="00541D05">
        <w:t xml:space="preserve"> </w:t>
      </w:r>
      <w:r w:rsidR="00D9258C" w:rsidRPr="00FD6A6A">
        <w:t>past.</w:t>
      </w:r>
      <w:r w:rsidR="00541D05">
        <w:t xml:space="preserve"> </w:t>
      </w:r>
      <w:r w:rsidR="00D9258C" w:rsidRPr="00FD6A6A">
        <w:t>Resettlement,</w:t>
      </w:r>
      <w:r w:rsidR="00541D05">
        <w:t xml:space="preserve"> </w:t>
      </w:r>
      <w:r w:rsidR="00D9258C" w:rsidRPr="00FD6A6A">
        <w:t>creation</w:t>
      </w:r>
      <w:r w:rsidR="00541D05">
        <w:t xml:space="preserve"> </w:t>
      </w:r>
      <w:r w:rsidR="00D9258C" w:rsidRPr="00FD6A6A">
        <w:t>of</w:t>
      </w:r>
      <w:r w:rsidR="00541D05">
        <w:t xml:space="preserve"> </w:t>
      </w:r>
      <w:r w:rsidR="00D9258C" w:rsidRPr="00FD6A6A">
        <w:t>neighborhoods</w:t>
      </w:r>
      <w:r w:rsidR="00541D05">
        <w:t xml:space="preserve"> </w:t>
      </w:r>
      <w:r w:rsidR="00D9258C" w:rsidRPr="00FD6A6A">
        <w:t>with</w:t>
      </w:r>
      <w:r w:rsidR="00541D05">
        <w:t xml:space="preserve"> </w:t>
      </w:r>
      <w:r w:rsidR="00D9258C" w:rsidRPr="00FD6A6A">
        <w:t>affordable</w:t>
      </w:r>
      <w:r w:rsidR="00541D05">
        <w:t xml:space="preserve"> </w:t>
      </w:r>
      <w:r w:rsidR="00D9258C" w:rsidRPr="00FD6A6A">
        <w:t>housing,</w:t>
      </w:r>
      <w:r w:rsidR="00541D05">
        <w:t xml:space="preserve"> </w:t>
      </w:r>
      <w:r w:rsidR="00EE5A2A" w:rsidRPr="00FD6A6A">
        <w:t>relocation</w:t>
      </w:r>
      <w:r w:rsidR="00541D05">
        <w:t xml:space="preserve"> </w:t>
      </w:r>
      <w:r w:rsidR="00D9258C" w:rsidRPr="00FD6A6A">
        <w:t>of</w:t>
      </w:r>
      <w:r w:rsidR="00541D05">
        <w:t xml:space="preserve"> </w:t>
      </w:r>
      <w:r w:rsidR="00D9258C" w:rsidRPr="00FD6A6A">
        <w:t>residents</w:t>
      </w:r>
      <w:r w:rsidR="00541D05">
        <w:t xml:space="preserve"> </w:t>
      </w:r>
      <w:r w:rsidR="00D9258C" w:rsidRPr="00FD6A6A">
        <w:t>from</w:t>
      </w:r>
      <w:r w:rsidR="00541D05">
        <w:t xml:space="preserve"> </w:t>
      </w:r>
      <w:r w:rsidR="00D9258C" w:rsidRPr="00FD6A6A">
        <w:t>downtown</w:t>
      </w:r>
      <w:r w:rsidR="00541D05">
        <w:t xml:space="preserve"> </w:t>
      </w:r>
      <w:r w:rsidR="00D9258C" w:rsidRPr="00FD6A6A">
        <w:t>to</w:t>
      </w:r>
      <w:r w:rsidR="00541D05">
        <w:t xml:space="preserve"> </w:t>
      </w:r>
      <w:r w:rsidR="00D9258C" w:rsidRPr="00FD6A6A">
        <w:t>the</w:t>
      </w:r>
      <w:r w:rsidR="00541D05">
        <w:t xml:space="preserve"> </w:t>
      </w:r>
      <w:r w:rsidR="00D9258C" w:rsidRPr="00FD6A6A">
        <w:t>outskirts,</w:t>
      </w:r>
      <w:r w:rsidR="00541D05">
        <w:t xml:space="preserve"> </w:t>
      </w:r>
      <w:r w:rsidR="00D9258C" w:rsidRPr="00FD6A6A">
        <w:t>and</w:t>
      </w:r>
      <w:r w:rsidR="00541D05">
        <w:t xml:space="preserve"> </w:t>
      </w:r>
      <w:r w:rsidR="00D9258C" w:rsidRPr="00FD6A6A">
        <w:t>migration</w:t>
      </w:r>
      <w:r w:rsidR="00541D05">
        <w:t xml:space="preserve"> </w:t>
      </w:r>
      <w:r w:rsidR="00D9258C" w:rsidRPr="00FD6A6A">
        <w:t>from</w:t>
      </w:r>
      <w:r w:rsidR="00541D05">
        <w:t xml:space="preserve"> </w:t>
      </w:r>
      <w:r w:rsidR="00D9258C" w:rsidRPr="00FD6A6A">
        <w:t>rural</w:t>
      </w:r>
      <w:r w:rsidR="00541D05">
        <w:t xml:space="preserve"> </w:t>
      </w:r>
      <w:r w:rsidR="00D9258C" w:rsidRPr="00FD6A6A">
        <w:t>areas</w:t>
      </w:r>
      <w:r w:rsidR="00541D05">
        <w:t xml:space="preserve"> </w:t>
      </w:r>
      <w:r w:rsidR="00D9258C" w:rsidRPr="00FD6A6A">
        <w:t>into</w:t>
      </w:r>
      <w:r w:rsidR="00541D05">
        <w:t xml:space="preserve"> </w:t>
      </w:r>
      <w:r w:rsidR="00D9258C" w:rsidRPr="00FD6A6A">
        <w:t>urban</w:t>
      </w:r>
      <w:r w:rsidR="00541D05">
        <w:t xml:space="preserve"> </w:t>
      </w:r>
      <w:r w:rsidR="00D9258C" w:rsidRPr="00FD6A6A">
        <w:t>centers</w:t>
      </w:r>
      <w:r w:rsidR="00541D05">
        <w:t xml:space="preserve"> </w:t>
      </w:r>
      <w:r w:rsidR="00D9258C" w:rsidRPr="00FD6A6A">
        <w:t>are</w:t>
      </w:r>
      <w:r w:rsidR="00541D05">
        <w:t xml:space="preserve"> </w:t>
      </w:r>
      <w:r w:rsidR="00D9258C" w:rsidRPr="00FD6A6A">
        <w:t>among</w:t>
      </w:r>
      <w:r w:rsidR="00541D05">
        <w:t xml:space="preserve"> </w:t>
      </w:r>
      <w:r w:rsidR="00D9258C" w:rsidRPr="00FD6A6A">
        <w:t>the</w:t>
      </w:r>
      <w:r w:rsidR="00541D05">
        <w:t xml:space="preserve"> </w:t>
      </w:r>
      <w:r w:rsidR="00D9258C" w:rsidRPr="00FD6A6A">
        <w:t>causes</w:t>
      </w:r>
      <w:r w:rsidR="00541D05">
        <w:t xml:space="preserve"> </w:t>
      </w:r>
      <w:r w:rsidR="00D9258C" w:rsidRPr="00FD6A6A">
        <w:t>of</w:t>
      </w:r>
      <w:r w:rsidR="00541D05">
        <w:t xml:space="preserve"> </w:t>
      </w:r>
      <w:r w:rsidR="00D9258C" w:rsidRPr="00FD6A6A">
        <w:t>direct</w:t>
      </w:r>
      <w:r w:rsidR="00541D05">
        <w:t xml:space="preserve"> </w:t>
      </w:r>
      <w:r w:rsidR="00D9258C" w:rsidRPr="00FD6A6A">
        <w:t>and</w:t>
      </w:r>
      <w:r w:rsidR="00541D05">
        <w:t xml:space="preserve"> </w:t>
      </w:r>
      <w:r w:rsidR="00D9258C" w:rsidRPr="00FD6A6A">
        <w:t>indirect</w:t>
      </w:r>
      <w:r w:rsidR="00541D05">
        <w:t xml:space="preserve"> </w:t>
      </w:r>
      <w:r w:rsidR="00D9258C" w:rsidRPr="00FD6A6A">
        <w:t>socio-spatial</w:t>
      </w:r>
      <w:r w:rsidR="00541D05">
        <w:t xml:space="preserve"> </w:t>
      </w:r>
      <w:r w:rsidR="00D9258C" w:rsidRPr="00FD6A6A">
        <w:t>segregation.</w:t>
      </w:r>
    </w:p>
    <w:p w14:paraId="5193DCA9" w14:textId="034219BF" w:rsidR="00D9258C" w:rsidRPr="00FD6A6A" w:rsidRDefault="00166390" w:rsidP="00166390">
      <w:pPr>
        <w:pStyle w:val="ParaNoG"/>
        <w:numPr>
          <w:ilvl w:val="0"/>
          <w:numId w:val="0"/>
        </w:numPr>
        <w:tabs>
          <w:tab w:val="left" w:pos="0"/>
        </w:tabs>
        <w:ind w:left="1134"/>
      </w:pPr>
      <w:r w:rsidRPr="00FD6A6A">
        <w:t>37.</w:t>
      </w:r>
      <w:r w:rsidRPr="00FD6A6A">
        <w:tab/>
      </w:r>
      <w:r w:rsidR="00D9258C" w:rsidRPr="00FD6A6A">
        <w:t>Slums</w:t>
      </w:r>
      <w:r w:rsidR="00541D05">
        <w:t xml:space="preserve"> </w:t>
      </w:r>
      <w:r w:rsidR="00D9258C" w:rsidRPr="00FD6A6A">
        <w:t>are</w:t>
      </w:r>
      <w:r w:rsidR="00541D05">
        <w:t xml:space="preserve"> </w:t>
      </w:r>
      <w:r w:rsidR="00D9258C" w:rsidRPr="00FD6A6A">
        <w:t>among</w:t>
      </w:r>
      <w:r w:rsidR="00541D05">
        <w:t xml:space="preserve"> </w:t>
      </w:r>
      <w:r w:rsidR="00D9258C" w:rsidRPr="00FD6A6A">
        <w:t>well-known</w:t>
      </w:r>
      <w:r w:rsidR="00541D05">
        <w:t xml:space="preserve"> </w:t>
      </w:r>
      <w:r w:rsidR="00D9258C" w:rsidRPr="00FD6A6A">
        <w:t>socio-spatial</w:t>
      </w:r>
      <w:r w:rsidR="00541D05">
        <w:t xml:space="preserve"> </w:t>
      </w:r>
      <w:r w:rsidR="00D9258C" w:rsidRPr="00FD6A6A">
        <w:t>formations</w:t>
      </w:r>
      <w:r w:rsidR="00541D05">
        <w:t xml:space="preserve"> </w:t>
      </w:r>
      <w:r w:rsidR="00D9258C" w:rsidRPr="00FD6A6A">
        <w:t>present</w:t>
      </w:r>
      <w:r w:rsidR="00541D05">
        <w:t xml:space="preserve"> </w:t>
      </w:r>
      <w:r w:rsidR="00D9258C" w:rsidRPr="00FD6A6A">
        <w:t>in</w:t>
      </w:r>
      <w:r w:rsidR="00541D05">
        <w:t xml:space="preserve"> </w:t>
      </w:r>
      <w:r w:rsidR="00D9258C" w:rsidRPr="00FD6A6A">
        <w:t>the</w:t>
      </w:r>
      <w:r w:rsidR="00541D05">
        <w:t xml:space="preserve"> </w:t>
      </w:r>
      <w:r w:rsidR="00D9258C" w:rsidRPr="00FD6A6A">
        <w:t>landscape</w:t>
      </w:r>
      <w:r w:rsidR="00541D05">
        <w:t xml:space="preserve"> </w:t>
      </w:r>
      <w:r w:rsidR="00D9258C" w:rsidRPr="00FD6A6A">
        <w:t>of</w:t>
      </w:r>
      <w:r w:rsidR="00541D05">
        <w:t xml:space="preserve"> </w:t>
      </w:r>
      <w:r w:rsidR="00D9258C" w:rsidRPr="00FD6A6A">
        <w:t>Brazilian</w:t>
      </w:r>
      <w:r w:rsidR="00541D05">
        <w:t xml:space="preserve"> </w:t>
      </w:r>
      <w:r w:rsidR="00D9258C" w:rsidRPr="00FD6A6A">
        <w:t>cities.</w:t>
      </w:r>
      <w:r w:rsidR="00541D05">
        <w:t xml:space="preserve"> </w:t>
      </w:r>
      <w:r w:rsidR="00D9258C" w:rsidRPr="00FD6A6A">
        <w:t>Designated</w:t>
      </w:r>
      <w:r w:rsidR="00541D05">
        <w:t xml:space="preserve"> </w:t>
      </w:r>
      <w:r w:rsidR="00D9258C" w:rsidRPr="00FD6A6A">
        <w:t>by</w:t>
      </w:r>
      <w:r w:rsidR="00541D05">
        <w:t xml:space="preserve"> </w:t>
      </w:r>
      <w:r w:rsidR="00D9258C" w:rsidRPr="00FD6A6A">
        <w:t>IBGE</w:t>
      </w:r>
      <w:r w:rsidR="00541D05">
        <w:t xml:space="preserve"> </w:t>
      </w:r>
      <w:r w:rsidR="00D9258C" w:rsidRPr="00FD6A6A">
        <w:t>as</w:t>
      </w:r>
      <w:r w:rsidR="00541D05">
        <w:t xml:space="preserve"> </w:t>
      </w:r>
      <w:r w:rsidR="00D9258C" w:rsidRPr="00FD6A6A">
        <w:t>subnormal</w:t>
      </w:r>
      <w:r w:rsidR="00541D05">
        <w:t xml:space="preserve"> </w:t>
      </w:r>
      <w:r w:rsidR="00D9258C" w:rsidRPr="00FD6A6A">
        <w:t>agglomerations,</w:t>
      </w:r>
      <w:r w:rsidR="00541D05">
        <w:t xml:space="preserve"> </w:t>
      </w:r>
      <w:r w:rsidR="00D9258C" w:rsidRPr="00FD6A6A">
        <w:t>slums</w:t>
      </w:r>
      <w:r w:rsidR="00541D05">
        <w:t xml:space="preserve"> </w:t>
      </w:r>
      <w:r w:rsidR="00D9258C" w:rsidRPr="00FD6A6A">
        <w:t>had,</w:t>
      </w:r>
      <w:r w:rsidR="00541D05">
        <w:t xml:space="preserve"> </w:t>
      </w:r>
      <w:r w:rsidR="00D9258C" w:rsidRPr="00FD6A6A">
        <w:t>in</w:t>
      </w:r>
      <w:r w:rsidR="00541D05">
        <w:t xml:space="preserve"> </w:t>
      </w:r>
      <w:r w:rsidR="00D9258C" w:rsidRPr="00FD6A6A">
        <w:t>2011,</w:t>
      </w:r>
      <w:r w:rsidR="00541D05">
        <w:t xml:space="preserve"> </w:t>
      </w:r>
      <w:r w:rsidR="00D9258C" w:rsidRPr="00FD6A6A">
        <w:t>11.4</w:t>
      </w:r>
      <w:r w:rsidR="00541D05">
        <w:t xml:space="preserve"> </w:t>
      </w:r>
      <w:r w:rsidR="00D9258C" w:rsidRPr="00FD6A6A">
        <w:t>million</w:t>
      </w:r>
      <w:r w:rsidR="00541D05">
        <w:t xml:space="preserve"> </w:t>
      </w:r>
      <w:r w:rsidR="00D9258C" w:rsidRPr="00FD6A6A">
        <w:t>residents,</w:t>
      </w:r>
      <w:r w:rsidR="00541D05">
        <w:t xml:space="preserve"> </w:t>
      </w:r>
      <w:r w:rsidR="00D9258C" w:rsidRPr="00FD6A6A">
        <w:t>of</w:t>
      </w:r>
      <w:r w:rsidR="00541D05">
        <w:t xml:space="preserve"> </w:t>
      </w:r>
      <w:r w:rsidR="00D9258C" w:rsidRPr="00FD6A6A">
        <w:t>which</w:t>
      </w:r>
      <w:r w:rsidR="00541D05">
        <w:t xml:space="preserve"> </w:t>
      </w:r>
      <w:r w:rsidR="00D9258C" w:rsidRPr="00FD6A6A">
        <w:t>68.33%</w:t>
      </w:r>
      <w:r w:rsidR="00541D05">
        <w:t xml:space="preserve"> </w:t>
      </w:r>
      <w:r w:rsidR="00D9258C" w:rsidRPr="00FD6A6A">
        <w:t>were</w:t>
      </w:r>
      <w:r w:rsidR="00541D05">
        <w:t xml:space="preserve"> </w:t>
      </w:r>
      <w:r w:rsidR="00D9258C" w:rsidRPr="00FD6A6A">
        <w:t>Afro-Brazilian,</w:t>
      </w:r>
      <w:r w:rsidR="00541D05">
        <w:t xml:space="preserve"> </w:t>
      </w:r>
      <w:r w:rsidR="00D9258C" w:rsidRPr="00FD6A6A">
        <w:t>30.57%</w:t>
      </w:r>
      <w:r w:rsidR="00541D05">
        <w:t xml:space="preserve"> </w:t>
      </w:r>
      <w:r w:rsidR="00D9258C" w:rsidRPr="00FD6A6A">
        <w:t>were</w:t>
      </w:r>
      <w:r w:rsidR="00541D05">
        <w:t xml:space="preserve"> </w:t>
      </w:r>
      <w:r w:rsidR="00D9258C" w:rsidRPr="00FD6A6A">
        <w:t>whites</w:t>
      </w:r>
      <w:r w:rsidR="00541D05">
        <w:t xml:space="preserve"> </w:t>
      </w:r>
      <w:r w:rsidR="00D9258C" w:rsidRPr="00FD6A6A">
        <w:t>and</w:t>
      </w:r>
      <w:r w:rsidR="00541D05">
        <w:t xml:space="preserve"> </w:t>
      </w:r>
      <w:r w:rsidR="00D9258C" w:rsidRPr="00FD6A6A">
        <w:t>0.2%</w:t>
      </w:r>
      <w:r w:rsidR="00541D05">
        <w:t xml:space="preserve"> </w:t>
      </w:r>
      <w:r w:rsidR="00D9258C" w:rsidRPr="00FD6A6A">
        <w:t>were</w:t>
      </w:r>
      <w:r w:rsidR="00541D05">
        <w:t xml:space="preserve"> </w:t>
      </w:r>
      <w:r w:rsidR="00D9258C" w:rsidRPr="00FD6A6A">
        <w:t>indigenous.</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residents</w:t>
      </w:r>
      <w:r w:rsidR="00541D05">
        <w:t xml:space="preserve"> </w:t>
      </w:r>
      <w:r w:rsidR="00D9258C" w:rsidRPr="00FD6A6A">
        <w:t>in</w:t>
      </w:r>
      <w:r w:rsidR="00541D05">
        <w:t xml:space="preserve"> </w:t>
      </w:r>
      <w:r w:rsidR="00D9258C" w:rsidRPr="00FD6A6A">
        <w:t>subnormal</w:t>
      </w:r>
      <w:r w:rsidR="00541D05">
        <w:t xml:space="preserve"> </w:t>
      </w:r>
      <w:r w:rsidR="00D9258C" w:rsidRPr="00FD6A6A">
        <w:t>agglomerates,</w:t>
      </w:r>
      <w:r w:rsidR="00541D05">
        <w:t xml:space="preserve"> </w:t>
      </w:r>
      <w:r w:rsidR="00D9258C" w:rsidRPr="00FD6A6A">
        <w:t>68.42%</w:t>
      </w:r>
      <w:r w:rsidR="00541D05">
        <w:t xml:space="preserve"> </w:t>
      </w:r>
      <w:r w:rsidR="00D9258C" w:rsidRPr="00FD6A6A">
        <w:t>did</w:t>
      </w:r>
      <w:r w:rsidR="00541D05">
        <w:t xml:space="preserve"> </w:t>
      </w:r>
      <w:r w:rsidR="00D9258C" w:rsidRPr="00FD6A6A">
        <w:t>not</w:t>
      </w:r>
      <w:r w:rsidR="00541D05">
        <w:t xml:space="preserve"> </w:t>
      </w:r>
      <w:r w:rsidR="00D9258C" w:rsidRPr="00FD6A6A">
        <w:t>have</w:t>
      </w:r>
      <w:r w:rsidR="00541D05">
        <w:t xml:space="preserve"> </w:t>
      </w:r>
      <w:r w:rsidR="00D9258C" w:rsidRPr="00FD6A6A">
        <w:t>access</w:t>
      </w:r>
      <w:r w:rsidR="00541D05">
        <w:t xml:space="preserve"> </w:t>
      </w:r>
      <w:r w:rsidR="00D9258C" w:rsidRPr="00FD6A6A">
        <w:t>to</w:t>
      </w:r>
      <w:r w:rsidR="00541D05">
        <w:t xml:space="preserve"> </w:t>
      </w:r>
      <w:r w:rsidR="00D9258C" w:rsidRPr="00FD6A6A">
        <w:t>street</w:t>
      </w:r>
      <w:r w:rsidR="00541D05">
        <w:t xml:space="preserve"> </w:t>
      </w:r>
      <w:r w:rsidR="00D9258C" w:rsidRPr="00FD6A6A">
        <w:t>lighting,</w:t>
      </w:r>
      <w:r w:rsidR="00541D05">
        <w:t xml:space="preserve"> </w:t>
      </w:r>
      <w:r w:rsidR="00D9258C" w:rsidRPr="00FD6A6A">
        <w:t>67.93%</w:t>
      </w:r>
      <w:r w:rsidR="00541D05">
        <w:t xml:space="preserve"> </w:t>
      </w:r>
      <w:r w:rsidR="00D9258C" w:rsidRPr="00FD6A6A">
        <w:t>had</w:t>
      </w:r>
      <w:r w:rsidR="00541D05">
        <w:t xml:space="preserve"> </w:t>
      </w:r>
      <w:r w:rsidR="00D9258C" w:rsidRPr="00FD6A6A">
        <w:t>accumulated</w:t>
      </w:r>
      <w:r w:rsidR="00541D05">
        <w:t xml:space="preserve"> </w:t>
      </w:r>
      <w:r w:rsidR="00D9258C" w:rsidRPr="00FD6A6A">
        <w:t>garbage</w:t>
      </w:r>
      <w:r w:rsidR="00541D05">
        <w:t xml:space="preserve"> </w:t>
      </w:r>
      <w:r w:rsidR="00D9258C" w:rsidRPr="00FD6A6A">
        <w:t>in</w:t>
      </w:r>
      <w:r w:rsidR="00541D05">
        <w:t xml:space="preserve"> </w:t>
      </w:r>
      <w:r w:rsidR="00D9258C" w:rsidRPr="00FD6A6A">
        <w:t>the</w:t>
      </w:r>
      <w:r w:rsidR="00541D05">
        <w:t xml:space="preserve"> </w:t>
      </w:r>
      <w:r w:rsidR="00D9258C" w:rsidRPr="00FD6A6A">
        <w:t>street,</w:t>
      </w:r>
      <w:r w:rsidR="00541D05">
        <w:t xml:space="preserve"> </w:t>
      </w:r>
      <w:r w:rsidR="00D9258C" w:rsidRPr="00FD6A6A">
        <w:t>70.37%</w:t>
      </w:r>
      <w:r w:rsidR="00541D05">
        <w:t xml:space="preserve"> </w:t>
      </w:r>
      <w:r w:rsidR="00D9258C" w:rsidRPr="00FD6A6A">
        <w:t>had</w:t>
      </w:r>
      <w:r w:rsidR="00541D05">
        <w:t xml:space="preserve"> </w:t>
      </w:r>
      <w:r w:rsidR="00D9258C" w:rsidRPr="00FD6A6A">
        <w:t>no</w:t>
      </w:r>
      <w:r w:rsidR="00541D05">
        <w:t xml:space="preserve"> </w:t>
      </w:r>
      <w:r w:rsidR="00D9258C" w:rsidRPr="00FD6A6A">
        <w:t>pavement,</w:t>
      </w:r>
      <w:r w:rsidR="00541D05">
        <w:t xml:space="preserve"> </w:t>
      </w:r>
      <w:r w:rsidR="00D9258C" w:rsidRPr="00FD6A6A">
        <w:t>and</w:t>
      </w:r>
      <w:r w:rsidR="00541D05">
        <w:t xml:space="preserve"> </w:t>
      </w:r>
      <w:r w:rsidR="00D9258C" w:rsidRPr="00FD6A6A">
        <w:t>66.13%</w:t>
      </w:r>
      <w:r w:rsidR="00541D05">
        <w:t xml:space="preserve"> </w:t>
      </w:r>
      <w:r w:rsidR="00D9258C" w:rsidRPr="00FD6A6A">
        <w:t>had</w:t>
      </w:r>
      <w:r w:rsidR="00541D05">
        <w:t xml:space="preserve"> </w:t>
      </w:r>
      <w:r w:rsidR="00D9258C" w:rsidRPr="00FD6A6A">
        <w:t>open</w:t>
      </w:r>
      <w:r w:rsidR="00541D05">
        <w:t xml:space="preserve"> </w:t>
      </w:r>
      <w:r w:rsidR="00D9258C" w:rsidRPr="00FD6A6A">
        <w:t>sewage.</w:t>
      </w:r>
    </w:p>
    <w:p w14:paraId="30852825" w14:textId="0596BFA0" w:rsidR="00D9258C" w:rsidRPr="00FD6A6A" w:rsidRDefault="00166390" w:rsidP="00166390">
      <w:pPr>
        <w:pStyle w:val="ParaNoG"/>
        <w:numPr>
          <w:ilvl w:val="0"/>
          <w:numId w:val="0"/>
        </w:numPr>
        <w:tabs>
          <w:tab w:val="left" w:pos="0"/>
        </w:tabs>
        <w:ind w:left="1134"/>
      </w:pPr>
      <w:r w:rsidRPr="00FD6A6A">
        <w:t>38.</w:t>
      </w:r>
      <w:r w:rsidRPr="00FD6A6A">
        <w:tab/>
      </w:r>
      <w:r w:rsidR="00D9258C" w:rsidRPr="00FD6A6A">
        <w:t>A</w:t>
      </w:r>
      <w:r w:rsidR="00541D05">
        <w:t xml:space="preserve"> </w:t>
      </w:r>
      <w:r w:rsidR="00D9258C" w:rsidRPr="00FD6A6A">
        <w:t>survey</w:t>
      </w:r>
      <w:r w:rsidR="00541D05">
        <w:t xml:space="preserve"> </w:t>
      </w:r>
      <w:r w:rsidR="00D9258C" w:rsidRPr="00FD6A6A">
        <w:t>prepared</w:t>
      </w:r>
      <w:r w:rsidR="00541D05">
        <w:t xml:space="preserve"> </w:t>
      </w:r>
      <w:r w:rsidR="00D9258C" w:rsidRPr="00FD6A6A">
        <w:t>by</w:t>
      </w:r>
      <w:r w:rsidR="00541D05">
        <w:t xml:space="preserve"> </w:t>
      </w:r>
      <w:r w:rsidR="00D9258C" w:rsidRPr="00FD6A6A">
        <w:t>the</w:t>
      </w:r>
      <w:r w:rsidR="00541D05">
        <w:t xml:space="preserve"> </w:t>
      </w:r>
      <w:r w:rsidR="00D9258C" w:rsidRPr="00FD6A6A">
        <w:t>João</w:t>
      </w:r>
      <w:r w:rsidR="00541D05">
        <w:t xml:space="preserve"> </w:t>
      </w:r>
      <w:r w:rsidR="00D9258C" w:rsidRPr="00FD6A6A">
        <w:t>Pinheiro</w:t>
      </w:r>
      <w:r w:rsidR="00541D05">
        <w:t xml:space="preserve"> </w:t>
      </w:r>
      <w:r w:rsidR="00D9258C" w:rsidRPr="00FD6A6A">
        <w:t>Foundation,</w:t>
      </w:r>
      <w:r w:rsidR="00541D05">
        <w:t xml:space="preserve"> </w:t>
      </w:r>
      <w:r w:rsidR="00D9258C" w:rsidRPr="00FD6A6A">
        <w:t>a</w:t>
      </w:r>
      <w:r w:rsidR="00541D05">
        <w:t xml:space="preserve"> </w:t>
      </w:r>
      <w:r w:rsidR="00D9258C" w:rsidRPr="00FD6A6A">
        <w:t>research</w:t>
      </w:r>
      <w:r w:rsidR="00541D05">
        <w:t xml:space="preserve"> </w:t>
      </w:r>
      <w:r w:rsidR="00D9258C" w:rsidRPr="00FD6A6A">
        <w:t>institution</w:t>
      </w:r>
      <w:r w:rsidR="00541D05">
        <w:t xml:space="preserve"> </w:t>
      </w:r>
      <w:r w:rsidR="00D9258C" w:rsidRPr="00FD6A6A">
        <w:t>linked</w:t>
      </w:r>
      <w:r w:rsidR="00541D05">
        <w:t xml:space="preserve"> </w:t>
      </w:r>
      <w:r w:rsidR="00D9258C" w:rsidRPr="00FD6A6A">
        <w:t>to</w:t>
      </w:r>
      <w:r w:rsidR="00541D05">
        <w:t xml:space="preserve"> </w:t>
      </w:r>
      <w:r w:rsidR="00D9258C" w:rsidRPr="00FD6A6A">
        <w:t>the</w:t>
      </w:r>
      <w:r w:rsidR="00541D05">
        <w:t xml:space="preserve"> </w:t>
      </w:r>
      <w:r w:rsidR="00D9258C" w:rsidRPr="00FD6A6A">
        <w:t>Government</w:t>
      </w:r>
      <w:r w:rsidR="00541D05">
        <w:t xml:space="preserve"> </w:t>
      </w:r>
      <w:r w:rsidR="00D9258C" w:rsidRPr="00FD6A6A">
        <w:t>of</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Minas</w:t>
      </w:r>
      <w:r w:rsidR="00541D05">
        <w:t xml:space="preserve"> </w:t>
      </w:r>
      <w:r w:rsidR="00D9258C" w:rsidRPr="00FD6A6A">
        <w:t>Gerais,</w:t>
      </w:r>
      <w:r w:rsidR="00541D05">
        <w:t xml:space="preserve"> </w:t>
      </w:r>
      <w:r w:rsidR="00D9258C" w:rsidRPr="00FD6A6A">
        <w:t>highlights</w:t>
      </w:r>
      <w:r w:rsidR="00541D05">
        <w:t xml:space="preserve"> </w:t>
      </w:r>
      <w:r w:rsidR="00D9258C" w:rsidRPr="00FD6A6A">
        <w:t>that,</w:t>
      </w:r>
      <w:r w:rsidR="00541D05">
        <w:t xml:space="preserve"> </w:t>
      </w:r>
      <w:r w:rsidR="00D9258C" w:rsidRPr="00FD6A6A">
        <w:t>in</w:t>
      </w:r>
      <w:r w:rsidR="00541D05">
        <w:t xml:space="preserve"> </w:t>
      </w:r>
      <w:r w:rsidR="00D9258C" w:rsidRPr="00FD6A6A">
        <w:t>2014,</w:t>
      </w:r>
      <w:r w:rsidR="00541D05">
        <w:t xml:space="preserve"> </w:t>
      </w:r>
      <w:r w:rsidR="00D9258C" w:rsidRPr="00FD6A6A">
        <w:t>there</w:t>
      </w:r>
      <w:r w:rsidR="00541D05">
        <w:t xml:space="preserve"> </w:t>
      </w:r>
      <w:r w:rsidR="00D9258C" w:rsidRPr="00FD6A6A">
        <w:t>were</w:t>
      </w:r>
      <w:r w:rsidR="00541D05">
        <w:t xml:space="preserve"> </w:t>
      </w:r>
      <w:r w:rsidR="00D9258C" w:rsidRPr="00FD6A6A">
        <w:t>11.3</w:t>
      </w:r>
      <w:r w:rsidR="00541D05">
        <w:t xml:space="preserve"> </w:t>
      </w:r>
      <w:r w:rsidR="00D9258C" w:rsidRPr="00FD6A6A">
        <w:t>million</w:t>
      </w:r>
      <w:r w:rsidR="00541D05">
        <w:t xml:space="preserve"> </w:t>
      </w:r>
      <w:r w:rsidR="00D9258C" w:rsidRPr="00FD6A6A">
        <w:t>housing</w:t>
      </w:r>
      <w:r w:rsidR="00541D05">
        <w:t xml:space="preserve"> </w:t>
      </w:r>
      <w:r w:rsidR="00D9258C" w:rsidRPr="00FD6A6A">
        <w:t>units</w:t>
      </w:r>
      <w:r w:rsidR="00541D05">
        <w:t xml:space="preserve"> </w:t>
      </w:r>
      <w:r w:rsidR="00D9258C" w:rsidRPr="00FD6A6A">
        <w:t>in</w:t>
      </w:r>
      <w:r w:rsidR="00541D05">
        <w:t xml:space="preserve"> </w:t>
      </w:r>
      <w:r w:rsidR="00D9258C" w:rsidRPr="00FD6A6A">
        <w:t>inadequate</w:t>
      </w:r>
      <w:r w:rsidR="00541D05">
        <w:t xml:space="preserve"> </w:t>
      </w:r>
      <w:r w:rsidR="00D9258C" w:rsidRPr="00FD6A6A">
        <w:t>conditions,</w:t>
      </w:r>
      <w:r w:rsidR="00541D05">
        <w:t xml:space="preserve"> </w:t>
      </w:r>
      <w:r w:rsidR="00D9258C" w:rsidRPr="00FD6A6A">
        <w:t>including</w:t>
      </w:r>
      <w:r w:rsidR="00541D05">
        <w:t xml:space="preserve"> </w:t>
      </w:r>
      <w:r w:rsidR="00D9258C" w:rsidRPr="00FD6A6A">
        <w:t>lack</w:t>
      </w:r>
      <w:r w:rsidR="00541D05">
        <w:t xml:space="preserve"> </w:t>
      </w:r>
      <w:r w:rsidR="00D9258C" w:rsidRPr="00FD6A6A">
        <w:t>of</w:t>
      </w:r>
      <w:r w:rsidR="00541D05">
        <w:t xml:space="preserve"> </w:t>
      </w:r>
      <w:r w:rsidR="00D9258C" w:rsidRPr="00FD6A6A">
        <w:t>infrastructure,</w:t>
      </w:r>
      <w:r w:rsidR="00541D05">
        <w:t xml:space="preserve"> </w:t>
      </w:r>
      <w:r w:rsidR="00D9258C" w:rsidRPr="00FD6A6A">
        <w:t>excessive</w:t>
      </w:r>
      <w:r w:rsidR="00541D05">
        <w:t xml:space="preserve"> </w:t>
      </w:r>
      <w:r w:rsidR="00D9258C" w:rsidRPr="00FD6A6A">
        <w:t>concentration,</w:t>
      </w:r>
      <w:r w:rsidR="00541D05">
        <w:t xml:space="preserve"> </w:t>
      </w:r>
      <w:r w:rsidR="00D9258C" w:rsidRPr="00FD6A6A">
        <w:t>lack</w:t>
      </w:r>
      <w:r w:rsidR="00541D05">
        <w:t xml:space="preserve"> </w:t>
      </w:r>
      <w:r w:rsidR="00D9258C" w:rsidRPr="00FD6A6A">
        <w:t>of</w:t>
      </w:r>
      <w:r w:rsidR="00541D05">
        <w:t xml:space="preserve"> </w:t>
      </w:r>
      <w:r w:rsidR="00D9258C" w:rsidRPr="00FD6A6A">
        <w:t>exclusive</w:t>
      </w:r>
      <w:r w:rsidR="00541D05">
        <w:t xml:space="preserve"> </w:t>
      </w:r>
      <w:r w:rsidR="00D9258C" w:rsidRPr="00FD6A6A">
        <w:t>bathroom,</w:t>
      </w:r>
      <w:r w:rsidR="00541D05">
        <w:t xml:space="preserve"> </w:t>
      </w:r>
      <w:r w:rsidR="00D9258C" w:rsidRPr="00FD6A6A">
        <w:t>improper</w:t>
      </w:r>
      <w:r w:rsidR="00541D05">
        <w:t xml:space="preserve"> </w:t>
      </w:r>
      <w:r w:rsidR="00D9258C" w:rsidRPr="00FD6A6A">
        <w:t>roof</w:t>
      </w:r>
      <w:r w:rsidR="00541D05">
        <w:t xml:space="preserve"> </w:t>
      </w:r>
      <w:r w:rsidR="00D9258C" w:rsidRPr="00FD6A6A">
        <w:t>and</w:t>
      </w:r>
      <w:r w:rsidR="00541D05">
        <w:t xml:space="preserve"> </w:t>
      </w:r>
      <w:r w:rsidR="00D9258C" w:rsidRPr="00FD6A6A">
        <w:t>land</w:t>
      </w:r>
      <w:r w:rsidR="00541D05">
        <w:t xml:space="preserve"> </w:t>
      </w:r>
      <w:r w:rsidR="00D9258C" w:rsidRPr="00FD6A6A">
        <w:t>inadequacy.</w:t>
      </w:r>
      <w:r w:rsidR="00541D05">
        <w:t xml:space="preserve"> </w:t>
      </w:r>
      <w:r w:rsidR="00D9258C" w:rsidRPr="00FD6A6A">
        <w:t>The</w:t>
      </w:r>
      <w:r w:rsidR="00541D05">
        <w:t xml:space="preserve"> </w:t>
      </w:r>
      <w:r w:rsidR="00D9258C" w:rsidRPr="00FD6A6A">
        <w:t>estimated</w:t>
      </w:r>
      <w:r w:rsidR="00541D05">
        <w:t xml:space="preserve"> </w:t>
      </w:r>
      <w:r w:rsidR="00D9258C" w:rsidRPr="00FD6A6A">
        <w:t>housing</w:t>
      </w:r>
      <w:r w:rsidR="00541D05">
        <w:t xml:space="preserve"> </w:t>
      </w:r>
      <w:r w:rsidR="00D9258C" w:rsidRPr="00FD6A6A">
        <w:t>deficit</w:t>
      </w:r>
      <w:r w:rsidR="00541D05">
        <w:t xml:space="preserve"> </w:t>
      </w:r>
      <w:r w:rsidR="00D9258C" w:rsidRPr="00FD6A6A">
        <w:t>in</w:t>
      </w:r>
      <w:r w:rsidR="00541D05">
        <w:t xml:space="preserve"> </w:t>
      </w:r>
      <w:r w:rsidR="00D9258C" w:rsidRPr="00FD6A6A">
        <w:t>Brazil</w:t>
      </w:r>
      <w:r w:rsidR="00541D05">
        <w:t xml:space="preserve"> </w:t>
      </w:r>
      <w:r w:rsidR="00D9258C" w:rsidRPr="00FD6A6A">
        <w:t>is</w:t>
      </w:r>
      <w:r w:rsidR="00541D05">
        <w:t xml:space="preserve"> </w:t>
      </w:r>
      <w:r w:rsidR="00D9258C" w:rsidRPr="00FD6A6A">
        <w:t>6.1</w:t>
      </w:r>
      <w:r w:rsidR="00541D05">
        <w:t xml:space="preserve"> </w:t>
      </w:r>
      <w:r w:rsidR="00D9258C" w:rsidRPr="00FD6A6A">
        <w:t>million</w:t>
      </w:r>
      <w:r w:rsidR="00541D05">
        <w:t xml:space="preserve"> </w:t>
      </w:r>
      <w:r w:rsidR="00D9258C" w:rsidRPr="00FD6A6A">
        <w:t>units,</w:t>
      </w:r>
      <w:r w:rsidR="00541D05">
        <w:t xml:space="preserve"> </w:t>
      </w:r>
      <w:r w:rsidR="00D9258C" w:rsidRPr="00FD6A6A">
        <w:t>estimated</w:t>
      </w:r>
      <w:r w:rsidR="00541D05">
        <w:t xml:space="preserve"> </w:t>
      </w:r>
      <w:r w:rsidR="00D9258C" w:rsidRPr="00FD6A6A">
        <w:t>by</w:t>
      </w:r>
      <w:r w:rsidR="00541D05">
        <w:t xml:space="preserve"> </w:t>
      </w:r>
      <w:r w:rsidR="00D9258C" w:rsidRPr="00FD6A6A">
        <w:t>adding</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persons</w:t>
      </w:r>
      <w:r w:rsidR="00541D05">
        <w:t xml:space="preserve"> </w:t>
      </w:r>
      <w:r w:rsidR="00D9258C" w:rsidRPr="00FD6A6A">
        <w:t>living</w:t>
      </w:r>
      <w:r w:rsidR="00541D05">
        <w:t xml:space="preserve"> </w:t>
      </w:r>
      <w:r w:rsidR="00D9258C" w:rsidRPr="00FD6A6A">
        <w:t>in</w:t>
      </w:r>
      <w:r w:rsidR="00541D05">
        <w:t xml:space="preserve"> </w:t>
      </w:r>
      <w:r w:rsidR="00D9258C" w:rsidRPr="00FD6A6A">
        <w:t>precarious</w:t>
      </w:r>
      <w:r w:rsidR="00541D05">
        <w:t xml:space="preserve"> </w:t>
      </w:r>
      <w:r w:rsidR="00D9258C" w:rsidRPr="00FD6A6A">
        <w:t>housing,</w:t>
      </w:r>
      <w:r w:rsidR="00541D05">
        <w:t xml:space="preserve"> </w:t>
      </w:r>
      <w:r w:rsidR="00D9258C" w:rsidRPr="00FD6A6A">
        <w:t>cohabitation,</w:t>
      </w:r>
      <w:r w:rsidR="00541D05">
        <w:t xml:space="preserve"> </w:t>
      </w:r>
      <w:r w:rsidR="00D9258C" w:rsidRPr="00FD6A6A">
        <w:t>excessive</w:t>
      </w:r>
      <w:r w:rsidR="00541D05">
        <w:t xml:space="preserve"> </w:t>
      </w:r>
      <w:r w:rsidR="00D9258C" w:rsidRPr="00FD6A6A">
        <w:t>rental</w:t>
      </w:r>
      <w:r w:rsidR="00541D05">
        <w:t xml:space="preserve"> </w:t>
      </w:r>
      <w:r w:rsidR="00D9258C" w:rsidRPr="00FD6A6A">
        <w:t>costs</w:t>
      </w:r>
      <w:r w:rsidR="00541D05">
        <w:t xml:space="preserve"> </w:t>
      </w:r>
      <w:r w:rsidR="00D9258C" w:rsidRPr="00FD6A6A">
        <w:t>or</w:t>
      </w:r>
      <w:r w:rsidR="00541D05">
        <w:t xml:space="preserve"> </w:t>
      </w:r>
      <w:r w:rsidR="00D9258C" w:rsidRPr="00FD6A6A">
        <w:t>excessive</w:t>
      </w:r>
      <w:r w:rsidR="00541D05">
        <w:t xml:space="preserve"> </w:t>
      </w:r>
      <w:r w:rsidR="00D9258C" w:rsidRPr="00FD6A6A">
        <w:t>concentration</w:t>
      </w:r>
      <w:r w:rsidR="00541D05">
        <w:t xml:space="preserve"> </w:t>
      </w:r>
      <w:r w:rsidR="00D9258C" w:rsidRPr="00FD6A6A">
        <w:t>in</w:t>
      </w:r>
      <w:r w:rsidR="00541D05">
        <w:t xml:space="preserve"> </w:t>
      </w:r>
      <w:r w:rsidR="00D9258C" w:rsidRPr="00FD6A6A">
        <w:t>rental</w:t>
      </w:r>
      <w:r w:rsidR="00541D05">
        <w:t xml:space="preserve"> </w:t>
      </w:r>
      <w:r w:rsidR="00D9258C" w:rsidRPr="00FD6A6A">
        <w:t>properties.</w:t>
      </w:r>
      <w:r w:rsidR="00541D05">
        <w:t xml:space="preserve"> </w:t>
      </w:r>
      <w:r w:rsidR="00D9258C" w:rsidRPr="00FD6A6A">
        <w:t>Most</w:t>
      </w:r>
      <w:r w:rsidR="00541D05">
        <w:t xml:space="preserve"> </w:t>
      </w:r>
      <w:r w:rsidR="00D9258C" w:rsidRPr="00FD6A6A">
        <w:t>demand</w:t>
      </w:r>
      <w:r w:rsidR="00541D05">
        <w:t xml:space="preserve"> </w:t>
      </w:r>
      <w:r w:rsidR="00D9258C" w:rsidRPr="00FD6A6A">
        <w:t>for</w:t>
      </w:r>
      <w:r w:rsidR="00541D05">
        <w:t xml:space="preserve"> </w:t>
      </w:r>
      <w:r w:rsidR="00D9258C" w:rsidRPr="00FD6A6A">
        <w:t>new</w:t>
      </w:r>
      <w:r w:rsidR="00541D05">
        <w:t xml:space="preserve"> </w:t>
      </w:r>
      <w:r w:rsidR="00D9258C" w:rsidRPr="00FD6A6A">
        <w:t>homes</w:t>
      </w:r>
      <w:r w:rsidR="00541D05">
        <w:t xml:space="preserve"> </w:t>
      </w:r>
      <w:r w:rsidR="00D9258C" w:rsidRPr="00FD6A6A">
        <w:t>(83.9%)</w:t>
      </w:r>
      <w:r w:rsidR="00541D05">
        <w:t xml:space="preserve"> </w:t>
      </w:r>
      <w:r w:rsidR="00D9258C" w:rsidRPr="00FD6A6A">
        <w:t>is</w:t>
      </w:r>
      <w:r w:rsidR="00541D05">
        <w:t xml:space="preserve"> </w:t>
      </w:r>
      <w:r w:rsidR="00D9258C" w:rsidRPr="00FD6A6A">
        <w:t>concentrated</w:t>
      </w:r>
      <w:r w:rsidR="00541D05">
        <w:t xml:space="preserve"> </w:t>
      </w:r>
      <w:r w:rsidR="00D9258C" w:rsidRPr="00FD6A6A">
        <w:t>in</w:t>
      </w:r>
      <w:r w:rsidR="00541D05">
        <w:t xml:space="preserve"> </w:t>
      </w:r>
      <w:r w:rsidR="00D9258C" w:rsidRPr="00FD6A6A">
        <w:t>the</w:t>
      </w:r>
      <w:r w:rsidR="00541D05">
        <w:t xml:space="preserve"> </w:t>
      </w:r>
      <w:r w:rsidR="00D9258C" w:rsidRPr="00FD6A6A">
        <w:t>group</w:t>
      </w:r>
      <w:r w:rsidR="00541D05">
        <w:t xml:space="preserve"> </w:t>
      </w:r>
      <w:r w:rsidR="00D9258C" w:rsidRPr="00FD6A6A">
        <w:t>of</w:t>
      </w:r>
      <w:r w:rsidR="00541D05">
        <w:t xml:space="preserve"> </w:t>
      </w:r>
      <w:r w:rsidR="00D9258C" w:rsidRPr="00FD6A6A">
        <w:t>families</w:t>
      </w:r>
      <w:r w:rsidR="00541D05">
        <w:t xml:space="preserve"> </w:t>
      </w:r>
      <w:r w:rsidR="00D9258C" w:rsidRPr="00FD6A6A">
        <w:t>earning</w:t>
      </w:r>
      <w:r w:rsidR="00541D05">
        <w:t xml:space="preserve"> </w:t>
      </w:r>
      <w:r w:rsidR="00D9258C" w:rsidRPr="00FD6A6A">
        <w:t>up</w:t>
      </w:r>
      <w:r w:rsidR="00541D05">
        <w:t xml:space="preserve"> </w:t>
      </w:r>
      <w:r w:rsidR="00D9258C" w:rsidRPr="00FD6A6A">
        <w:t>to</w:t>
      </w:r>
      <w:r w:rsidR="00541D05">
        <w:t xml:space="preserve"> </w:t>
      </w:r>
      <w:r w:rsidR="00D9258C" w:rsidRPr="00FD6A6A">
        <w:t>three</w:t>
      </w:r>
      <w:r w:rsidR="00541D05">
        <w:t xml:space="preserve"> </w:t>
      </w:r>
      <w:r w:rsidR="00D9258C" w:rsidRPr="00FD6A6A">
        <w:t>minimum</w:t>
      </w:r>
      <w:r w:rsidR="00541D05">
        <w:t xml:space="preserve"> </w:t>
      </w:r>
      <w:r w:rsidR="00D9258C" w:rsidRPr="00FD6A6A">
        <w:t>wages,</w:t>
      </w:r>
      <w:r w:rsidR="00541D05">
        <w:t xml:space="preserve"> </w:t>
      </w:r>
      <w:r w:rsidR="00D9258C" w:rsidRPr="00FD6A6A">
        <w:t>most</w:t>
      </w:r>
      <w:r w:rsidR="00541D05">
        <w:t xml:space="preserve"> </w:t>
      </w:r>
      <w:r w:rsidR="00D9258C" w:rsidRPr="00FD6A6A">
        <w:t>of</w:t>
      </w:r>
      <w:r w:rsidR="00541D05">
        <w:t xml:space="preserve"> </w:t>
      </w:r>
      <w:r w:rsidR="00D9258C" w:rsidRPr="00FD6A6A">
        <w:t>which</w:t>
      </w:r>
      <w:r w:rsidR="00541D05">
        <w:t xml:space="preserve"> </w:t>
      </w:r>
      <w:r w:rsidR="00D9258C" w:rsidRPr="00FD6A6A">
        <w:t>are</w:t>
      </w:r>
      <w:r w:rsidR="00541D05">
        <w:t xml:space="preserve"> </w:t>
      </w:r>
      <w:r w:rsidR="00D9258C" w:rsidRPr="00FD6A6A">
        <w:t>Afro-Brazilians.</w:t>
      </w:r>
    </w:p>
    <w:p w14:paraId="7F61EABB" w14:textId="08F6F80D" w:rsidR="00D9258C" w:rsidRPr="00FD6A6A" w:rsidRDefault="00166390" w:rsidP="00166390">
      <w:pPr>
        <w:pStyle w:val="ParaNoG"/>
        <w:numPr>
          <w:ilvl w:val="0"/>
          <w:numId w:val="0"/>
        </w:numPr>
        <w:tabs>
          <w:tab w:val="left" w:pos="0"/>
        </w:tabs>
        <w:ind w:left="1134"/>
      </w:pPr>
      <w:r w:rsidRPr="00FD6A6A">
        <w:t>39.</w:t>
      </w:r>
      <w:r w:rsidRPr="00FD6A6A">
        <w:tab/>
      </w:r>
      <w:r w:rsidR="00D9258C" w:rsidRPr="00FD6A6A">
        <w:t>Despite</w:t>
      </w:r>
      <w:r w:rsidR="00541D05">
        <w:t xml:space="preserve"> </w:t>
      </w:r>
      <w:r w:rsidR="00D9258C" w:rsidRPr="00FD6A6A">
        <w:t>the</w:t>
      </w:r>
      <w:r w:rsidR="00541D05">
        <w:t xml:space="preserve"> </w:t>
      </w:r>
      <w:r w:rsidR="00D9258C" w:rsidRPr="00FD6A6A">
        <w:t>fact</w:t>
      </w:r>
      <w:r w:rsidR="00541D05">
        <w:t xml:space="preserve"> </w:t>
      </w:r>
      <w:r w:rsidR="00D9258C" w:rsidRPr="00FD6A6A">
        <w:t>that</w:t>
      </w:r>
      <w:r w:rsidR="00541D05">
        <w:t xml:space="preserve"> </w:t>
      </w:r>
      <w:r w:rsidR="00D9258C" w:rsidRPr="00FD6A6A">
        <w:t>there</w:t>
      </w:r>
      <w:r w:rsidR="00541D05">
        <w:t xml:space="preserve"> </w:t>
      </w:r>
      <w:r w:rsidR="00D9258C" w:rsidRPr="00FD6A6A">
        <w:t>were</w:t>
      </w:r>
      <w:r w:rsidR="00541D05">
        <w:t xml:space="preserve"> </w:t>
      </w:r>
      <w:r w:rsidR="00D9258C" w:rsidRPr="00FD6A6A">
        <w:t>no</w:t>
      </w:r>
      <w:r w:rsidR="00541D05">
        <w:t xml:space="preserve"> </w:t>
      </w:r>
      <w:r w:rsidR="00D9258C" w:rsidRPr="00FD6A6A">
        <w:t>specific</w:t>
      </w:r>
      <w:r w:rsidR="00541D05">
        <w:t xml:space="preserve"> </w:t>
      </w:r>
      <w:r w:rsidR="00D9258C" w:rsidRPr="00FD6A6A">
        <w:t>initiatives</w:t>
      </w:r>
      <w:r w:rsidR="00541D05">
        <w:t xml:space="preserve"> </w:t>
      </w:r>
      <w:r w:rsidR="00D9258C" w:rsidRPr="00FD6A6A">
        <w:t>to</w:t>
      </w:r>
      <w:r w:rsidR="00541D05">
        <w:t xml:space="preserve"> </w:t>
      </w:r>
      <w:r w:rsidR="00D9258C" w:rsidRPr="00FD6A6A">
        <w:t>address</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housing</w:t>
      </w:r>
      <w:r w:rsidR="00541D05">
        <w:t xml:space="preserve"> </w:t>
      </w:r>
      <w:r w:rsidR="00D9258C" w:rsidRPr="00FD6A6A">
        <w:t>policies</w:t>
      </w:r>
      <w:r w:rsidR="00541D05">
        <w:t xml:space="preserve"> </w:t>
      </w:r>
      <w:r w:rsidR="00D9258C" w:rsidRPr="00FD6A6A">
        <w:t>have</w:t>
      </w:r>
      <w:r w:rsidR="00541D05">
        <w:t xml:space="preserve"> </w:t>
      </w:r>
      <w:r w:rsidR="00D9258C" w:rsidRPr="00FD6A6A">
        <w:t>benefited</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since</w:t>
      </w:r>
      <w:r w:rsidR="00541D05">
        <w:t xml:space="preserve"> </w:t>
      </w:r>
      <w:r w:rsidR="00D9258C" w:rsidRPr="00FD6A6A">
        <w:t>they</w:t>
      </w:r>
      <w:r w:rsidR="00541D05">
        <w:t xml:space="preserve"> </w:t>
      </w:r>
      <w:r w:rsidR="00D9258C" w:rsidRPr="00FD6A6A">
        <w:t>adopt</w:t>
      </w:r>
      <w:r w:rsidR="00541D05">
        <w:t xml:space="preserve"> </w:t>
      </w:r>
      <w:r w:rsidR="00D9258C" w:rsidRPr="00FD6A6A">
        <w:t>income</w:t>
      </w:r>
      <w:r w:rsidR="00541D05">
        <w:t xml:space="preserve"> </w:t>
      </w:r>
      <w:r w:rsidR="00D9258C" w:rsidRPr="00FD6A6A">
        <w:t>criteria</w:t>
      </w:r>
      <w:r w:rsidR="00541D05">
        <w:t xml:space="preserve"> </w:t>
      </w:r>
      <w:r w:rsidR="00D9258C" w:rsidRPr="00FD6A6A">
        <w:t>to</w:t>
      </w:r>
      <w:r w:rsidR="00541D05">
        <w:t xml:space="preserve"> </w:t>
      </w:r>
      <w:r w:rsidR="00D9258C" w:rsidRPr="00FD6A6A">
        <w:t>define</w:t>
      </w:r>
      <w:r w:rsidR="00541D05">
        <w:t xml:space="preserve"> </w:t>
      </w:r>
      <w:r w:rsidR="00D9258C" w:rsidRPr="00FD6A6A">
        <w:t>the</w:t>
      </w:r>
      <w:r w:rsidR="00541D05">
        <w:t xml:space="preserve"> </w:t>
      </w:r>
      <w:r w:rsidR="00D9258C" w:rsidRPr="00FD6A6A">
        <w:t>target</w:t>
      </w:r>
      <w:r w:rsidR="00541D05">
        <w:t xml:space="preserve"> </w:t>
      </w:r>
      <w:r w:rsidR="00D9258C" w:rsidRPr="00FD6A6A">
        <w:t>group.</w:t>
      </w:r>
    </w:p>
    <w:p w14:paraId="6A76F939" w14:textId="1DB02137" w:rsidR="00D9258C" w:rsidRPr="00FD6A6A" w:rsidRDefault="00166390" w:rsidP="00166390">
      <w:pPr>
        <w:pStyle w:val="ParaNoG"/>
        <w:numPr>
          <w:ilvl w:val="0"/>
          <w:numId w:val="0"/>
        </w:numPr>
        <w:tabs>
          <w:tab w:val="left" w:pos="0"/>
        </w:tabs>
        <w:ind w:left="1134"/>
      </w:pPr>
      <w:r w:rsidRPr="00FD6A6A">
        <w:t>40.</w:t>
      </w:r>
      <w:r w:rsidRPr="00FD6A6A">
        <w:tab/>
      </w:r>
      <w:r w:rsidR="00D9258C" w:rsidRPr="00FD6A6A">
        <w:t>The</w:t>
      </w:r>
      <w:r w:rsidR="00541D05">
        <w:t xml:space="preserve"> </w:t>
      </w:r>
      <w:r w:rsidR="00D9258C" w:rsidRPr="00FD6A6A">
        <w:t>main</w:t>
      </w:r>
      <w:r w:rsidR="00541D05">
        <w:t xml:space="preserve"> </w:t>
      </w:r>
      <w:r w:rsidR="00D9258C" w:rsidRPr="00FD6A6A">
        <w:t>policy</w:t>
      </w:r>
      <w:r w:rsidR="00541D05">
        <w:t xml:space="preserve"> </w:t>
      </w:r>
      <w:r w:rsidR="00D9258C" w:rsidRPr="00FD6A6A">
        <w:t>directed</w:t>
      </w:r>
      <w:r w:rsidR="00541D05">
        <w:t xml:space="preserve"> </w:t>
      </w:r>
      <w:r w:rsidR="00D9258C" w:rsidRPr="00FD6A6A">
        <w:t>to</w:t>
      </w:r>
      <w:r w:rsidR="00541D05">
        <w:t xml:space="preserve"> </w:t>
      </w:r>
      <w:r w:rsidR="00D9258C" w:rsidRPr="00FD6A6A">
        <w:t>ensuring</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housing</w:t>
      </w:r>
      <w:r w:rsidR="00541D05">
        <w:t xml:space="preserve"> </w:t>
      </w:r>
      <w:r w:rsidR="00D9258C" w:rsidRPr="00FD6A6A">
        <w:t>in</w:t>
      </w:r>
      <w:r w:rsidR="00541D05">
        <w:t xml:space="preserve"> </w:t>
      </w:r>
      <w:r w:rsidR="00D9258C" w:rsidRPr="00FD6A6A">
        <w:t>Brazil</w:t>
      </w:r>
      <w:r w:rsidR="00541D05">
        <w:t xml:space="preserve"> </w:t>
      </w:r>
      <w:r w:rsidR="00D9258C" w:rsidRPr="00FD6A6A">
        <w:t>is</w:t>
      </w:r>
      <w:r w:rsidR="00541D05">
        <w:t xml:space="preserve"> </w:t>
      </w:r>
      <w:r w:rsidR="00D9258C" w:rsidRPr="00FD6A6A">
        <w:t>the</w:t>
      </w:r>
      <w:r w:rsidR="00541D05">
        <w:t xml:space="preserve"> </w:t>
      </w:r>
      <w:r w:rsidR="00D9258C" w:rsidRPr="00FD6A6A">
        <w:t>Minha</w:t>
      </w:r>
      <w:r w:rsidR="00541D05">
        <w:t xml:space="preserve"> </w:t>
      </w:r>
      <w:r w:rsidR="00D9258C" w:rsidRPr="00FD6A6A">
        <w:t>Casa</w:t>
      </w:r>
      <w:r w:rsidR="00541D05">
        <w:t xml:space="preserve"> </w:t>
      </w:r>
      <w:r w:rsidR="00D9258C" w:rsidRPr="00FD6A6A">
        <w:t>Minha</w:t>
      </w:r>
      <w:r w:rsidR="00541D05">
        <w:t xml:space="preserve"> </w:t>
      </w:r>
      <w:r w:rsidR="00D9258C" w:rsidRPr="00FD6A6A">
        <w:t>Vida</w:t>
      </w:r>
      <w:r w:rsidR="00541D05">
        <w:t xml:space="preserve"> </w:t>
      </w:r>
      <w:r w:rsidR="00D9258C" w:rsidRPr="00FD6A6A">
        <w:t>Program</w:t>
      </w:r>
      <w:r w:rsidR="00541D05">
        <w:t xml:space="preserve"> </w:t>
      </w:r>
      <w:r w:rsidR="00D9258C" w:rsidRPr="00FD6A6A">
        <w:t>(PMCMV),</w:t>
      </w:r>
      <w:r w:rsidR="00541D05">
        <w:t xml:space="preserve"> </w:t>
      </w:r>
      <w:r w:rsidR="00D9258C" w:rsidRPr="00FD6A6A">
        <w:t>established</w:t>
      </w:r>
      <w:r w:rsidR="00541D05">
        <w:t xml:space="preserve"> </w:t>
      </w:r>
      <w:r w:rsidR="00D9258C" w:rsidRPr="00FD6A6A">
        <w:t>in</w:t>
      </w:r>
      <w:r w:rsidR="00541D05">
        <w:t xml:space="preserve"> </w:t>
      </w:r>
      <w:r w:rsidR="00D9258C" w:rsidRPr="00FD6A6A">
        <w:t>2009.</w:t>
      </w:r>
      <w:r w:rsidR="00541D05">
        <w:t xml:space="preserve"> </w:t>
      </w:r>
      <w:r w:rsidR="00D9258C" w:rsidRPr="00FD6A6A">
        <w:t>Initially</w:t>
      </w:r>
      <w:r w:rsidR="00541D05">
        <w:t xml:space="preserve"> </w:t>
      </w:r>
      <w:r w:rsidR="00D9258C" w:rsidRPr="00FD6A6A">
        <w:t>aimed</w:t>
      </w:r>
      <w:r w:rsidR="00541D05">
        <w:t xml:space="preserve"> </w:t>
      </w:r>
      <w:r w:rsidR="00D9258C" w:rsidRPr="00FD6A6A">
        <w:t>at</w:t>
      </w:r>
      <w:r w:rsidR="00541D05">
        <w:t xml:space="preserve"> </w:t>
      </w:r>
      <w:r w:rsidR="00D9258C" w:rsidRPr="00FD6A6A">
        <w:t>the</w:t>
      </w:r>
      <w:r w:rsidR="00541D05">
        <w:t xml:space="preserve"> </w:t>
      </w:r>
      <w:r w:rsidR="00D9258C" w:rsidRPr="00FD6A6A">
        <w:t>general</w:t>
      </w:r>
      <w:r w:rsidR="00541D05">
        <w:t xml:space="preserve"> </w:t>
      </w:r>
      <w:r w:rsidR="00D9258C" w:rsidRPr="00FD6A6A">
        <w:t>housing</w:t>
      </w:r>
      <w:r w:rsidR="00541D05">
        <w:t xml:space="preserve"> </w:t>
      </w:r>
      <w:r w:rsidR="00D9258C" w:rsidRPr="00FD6A6A">
        <w:t>market,</w:t>
      </w:r>
      <w:r w:rsidR="00541D05">
        <w:t xml:space="preserve"> </w:t>
      </w:r>
      <w:r w:rsidR="00D9258C" w:rsidRPr="00FD6A6A">
        <w:t>the</w:t>
      </w:r>
      <w:r w:rsidR="00541D05">
        <w:t xml:space="preserve"> </w:t>
      </w:r>
      <w:r w:rsidR="00D9258C" w:rsidRPr="00FD6A6A">
        <w:t>PMCMV</w:t>
      </w:r>
      <w:r w:rsidR="00541D05">
        <w:t xml:space="preserve"> </w:t>
      </w:r>
      <w:r w:rsidR="00D9258C" w:rsidRPr="00FD6A6A">
        <w:t>expanded</w:t>
      </w:r>
      <w:r w:rsidR="00541D05">
        <w:t xml:space="preserve"> </w:t>
      </w:r>
      <w:r w:rsidR="00D9258C" w:rsidRPr="00FD6A6A">
        <w:t>to</w:t>
      </w:r>
      <w:r w:rsidR="00541D05">
        <w:t xml:space="preserve"> </w:t>
      </w:r>
      <w:r w:rsidR="00D9258C" w:rsidRPr="00FD6A6A">
        <w:t>include</w:t>
      </w:r>
      <w:r w:rsidR="00541D05">
        <w:t xml:space="preserve"> </w:t>
      </w:r>
      <w:r w:rsidR="00D9258C" w:rsidRPr="00FD6A6A">
        <w:t>social</w:t>
      </w:r>
      <w:r w:rsidR="00541D05">
        <w:t xml:space="preserve"> </w:t>
      </w:r>
      <w:r w:rsidR="00D9258C" w:rsidRPr="00FD6A6A">
        <w:t>housing,</w:t>
      </w:r>
      <w:r w:rsidR="00541D05">
        <w:t xml:space="preserve"> </w:t>
      </w:r>
      <w:r w:rsidR="00D9258C" w:rsidRPr="00FD6A6A">
        <w:t>by</w:t>
      </w:r>
      <w:r w:rsidR="00541D05">
        <w:t xml:space="preserve"> </w:t>
      </w:r>
      <w:r w:rsidR="00D9258C" w:rsidRPr="00FD6A6A">
        <w:t>offering</w:t>
      </w:r>
      <w:r w:rsidR="00541D05">
        <w:t xml:space="preserve"> </w:t>
      </w:r>
      <w:r w:rsidR="00D9258C" w:rsidRPr="00FD6A6A">
        <w:t>housing</w:t>
      </w:r>
      <w:r w:rsidR="00541D05">
        <w:t xml:space="preserve"> </w:t>
      </w:r>
      <w:r w:rsidR="00D9258C" w:rsidRPr="00FD6A6A">
        <w:t>to</w:t>
      </w:r>
      <w:r w:rsidR="00541D05">
        <w:t xml:space="preserve"> </w:t>
      </w:r>
      <w:r w:rsidR="00D9258C" w:rsidRPr="00FD6A6A">
        <w:t>the</w:t>
      </w:r>
      <w:r w:rsidR="00541D05">
        <w:t xml:space="preserve"> </w:t>
      </w:r>
      <w:r w:rsidR="00D9258C" w:rsidRPr="00FD6A6A">
        <w:t>low-income</w:t>
      </w:r>
      <w:r w:rsidR="00541D05">
        <w:t xml:space="preserve"> </w:t>
      </w:r>
      <w:r w:rsidR="00D9258C" w:rsidRPr="00FD6A6A">
        <w:t>population</w:t>
      </w:r>
      <w:r w:rsidR="00541D05">
        <w:t xml:space="preserve"> </w:t>
      </w:r>
      <w:r w:rsidR="00D9258C" w:rsidRPr="00FD6A6A">
        <w:t>(income</w:t>
      </w:r>
      <w:r w:rsidR="00541D05">
        <w:t xml:space="preserve"> </w:t>
      </w:r>
      <w:r w:rsidR="00D9258C" w:rsidRPr="00FD6A6A">
        <w:t>up</w:t>
      </w:r>
      <w:r w:rsidR="00541D05">
        <w:t xml:space="preserve"> </w:t>
      </w:r>
      <w:r w:rsidR="00D9258C" w:rsidRPr="00FD6A6A">
        <w:t>to</w:t>
      </w:r>
      <w:r w:rsidR="00541D05">
        <w:t xml:space="preserve"> </w:t>
      </w:r>
      <w:r w:rsidR="00D9258C" w:rsidRPr="00FD6A6A">
        <w:t>three</w:t>
      </w:r>
      <w:r w:rsidR="00541D05">
        <w:t xml:space="preserve"> </w:t>
      </w:r>
      <w:r w:rsidR="00D9258C" w:rsidRPr="00FD6A6A">
        <w:t>minimum</w:t>
      </w:r>
      <w:r w:rsidR="00541D05">
        <w:t xml:space="preserve"> </w:t>
      </w:r>
      <w:r w:rsidR="00D9258C" w:rsidRPr="00FD6A6A">
        <w:t>wages)</w:t>
      </w:r>
      <w:r w:rsidR="00541D05">
        <w:t xml:space="preserve"> </w:t>
      </w:r>
      <w:r w:rsidR="00D9258C" w:rsidRPr="00FD6A6A">
        <w:t>and</w:t>
      </w:r>
      <w:r w:rsidR="00541D05">
        <w:t xml:space="preserve"> </w:t>
      </w:r>
      <w:r w:rsidR="00D9258C" w:rsidRPr="00FD6A6A">
        <w:t>granting</w:t>
      </w:r>
      <w:r w:rsidR="00541D05">
        <w:t xml:space="preserve"> </w:t>
      </w:r>
      <w:r w:rsidR="00D9258C" w:rsidRPr="00FD6A6A">
        <w:t>subsidies</w:t>
      </w:r>
      <w:r w:rsidR="00541D05">
        <w:t xml:space="preserve"> </w:t>
      </w:r>
      <w:r w:rsidR="00D9258C" w:rsidRPr="00FD6A6A">
        <w:t>covering</w:t>
      </w:r>
      <w:r w:rsidR="00541D05">
        <w:t xml:space="preserve"> </w:t>
      </w:r>
      <w:r w:rsidR="00D9258C" w:rsidRPr="00FD6A6A">
        <w:t>up</w:t>
      </w:r>
      <w:r w:rsidR="00541D05">
        <w:t xml:space="preserve"> </w:t>
      </w:r>
      <w:r w:rsidR="00D9258C" w:rsidRPr="00FD6A6A">
        <w:t>to</w:t>
      </w:r>
      <w:r w:rsidR="00541D05">
        <w:t xml:space="preserve"> </w:t>
      </w:r>
      <w:r w:rsidR="00D9258C" w:rsidRPr="00FD6A6A">
        <w:t>90%</w:t>
      </w:r>
      <w:r w:rsidR="00541D05">
        <w:t xml:space="preserve"> </w:t>
      </w:r>
      <w:r w:rsidR="00D9258C" w:rsidRPr="00FD6A6A">
        <w:t>of</w:t>
      </w:r>
      <w:r w:rsidR="00541D05">
        <w:t xml:space="preserve"> </w:t>
      </w:r>
      <w:r w:rsidR="00D9258C" w:rsidRPr="00FD6A6A">
        <w:t>the</w:t>
      </w:r>
      <w:r w:rsidR="00541D05">
        <w:t xml:space="preserve"> </w:t>
      </w:r>
      <w:r w:rsidR="00D9258C" w:rsidRPr="00FD6A6A">
        <w:t>price</w:t>
      </w:r>
      <w:r w:rsidR="00541D05">
        <w:t xml:space="preserve"> </w:t>
      </w:r>
      <w:r w:rsidR="00D9258C" w:rsidRPr="00FD6A6A">
        <w:t>of</w:t>
      </w:r>
      <w:r w:rsidR="00541D05">
        <w:t xml:space="preserve"> </w:t>
      </w:r>
      <w:r w:rsidR="00D9258C" w:rsidRPr="00FD6A6A">
        <w:t>the</w:t>
      </w:r>
      <w:r w:rsidR="00541D05">
        <w:t xml:space="preserve"> </w:t>
      </w:r>
      <w:r w:rsidR="00D9258C" w:rsidRPr="00FD6A6A">
        <w:t>listed</w:t>
      </w:r>
      <w:r w:rsidR="00541D05">
        <w:t xml:space="preserve"> </w:t>
      </w:r>
      <w:r w:rsidR="00D9258C" w:rsidRPr="00FD6A6A">
        <w:t>properties.</w:t>
      </w:r>
      <w:r w:rsidR="00541D05">
        <w:t xml:space="preserve"> </w:t>
      </w:r>
      <w:r w:rsidR="00D9258C" w:rsidRPr="00FD6A6A">
        <w:t>From</w:t>
      </w:r>
      <w:r w:rsidR="00541D05">
        <w:t xml:space="preserve"> </w:t>
      </w:r>
      <w:r w:rsidR="00D9258C" w:rsidRPr="00FD6A6A">
        <w:t>2009</w:t>
      </w:r>
      <w:r w:rsidR="00541D05">
        <w:t xml:space="preserve"> </w:t>
      </w:r>
      <w:r w:rsidR="00D9258C" w:rsidRPr="00FD6A6A">
        <w:t>to</w:t>
      </w:r>
      <w:r w:rsidR="00541D05">
        <w:t xml:space="preserve"> </w:t>
      </w:r>
      <w:r w:rsidR="00D9258C" w:rsidRPr="00FD6A6A">
        <w:t>2016,</w:t>
      </w:r>
      <w:r w:rsidR="00541D05">
        <w:t xml:space="preserve"> </w:t>
      </w:r>
      <w:r w:rsidR="00D9258C" w:rsidRPr="00FD6A6A">
        <w:t>4.5</w:t>
      </w:r>
      <w:r w:rsidR="00541D05">
        <w:t xml:space="preserve"> </w:t>
      </w:r>
      <w:r w:rsidR="00D9258C" w:rsidRPr="00FD6A6A">
        <w:t>million</w:t>
      </w:r>
      <w:r w:rsidR="00541D05">
        <w:t xml:space="preserve"> </w:t>
      </w:r>
      <w:r w:rsidR="00D9258C" w:rsidRPr="00FD6A6A">
        <w:t>new</w:t>
      </w:r>
      <w:r w:rsidR="00541D05">
        <w:t xml:space="preserve"> </w:t>
      </w:r>
      <w:r w:rsidR="00D9258C" w:rsidRPr="00FD6A6A">
        <w:t>homes</w:t>
      </w:r>
      <w:r w:rsidR="00541D05">
        <w:t xml:space="preserve"> </w:t>
      </w:r>
      <w:r w:rsidR="00D9258C" w:rsidRPr="00FD6A6A">
        <w:t>were</w:t>
      </w:r>
      <w:r w:rsidR="00541D05">
        <w:t xml:space="preserve"> </w:t>
      </w:r>
      <w:r w:rsidR="00D9258C" w:rsidRPr="00FD6A6A">
        <w:t>contracted</w:t>
      </w:r>
      <w:r w:rsidR="00541D05">
        <w:t xml:space="preserve"> </w:t>
      </w:r>
      <w:r w:rsidR="00D9258C" w:rsidRPr="00FD6A6A">
        <w:t>in</w:t>
      </w:r>
      <w:r w:rsidR="00541D05">
        <w:t xml:space="preserve"> </w:t>
      </w:r>
      <w:r w:rsidR="00D9258C" w:rsidRPr="00FD6A6A">
        <w:t>96%</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cities.</w:t>
      </w:r>
      <w:r w:rsidR="00541D05">
        <w:t xml:space="preserve"> </w:t>
      </w:r>
      <w:r w:rsidR="00D9258C" w:rsidRPr="00FD6A6A">
        <w:t>In</w:t>
      </w:r>
      <w:r w:rsidR="00541D05">
        <w:t xml:space="preserve"> </w:t>
      </w:r>
      <w:r w:rsidR="00D9258C" w:rsidRPr="00FD6A6A">
        <w:t>2016,</w:t>
      </w:r>
      <w:r w:rsidR="00541D05">
        <w:t xml:space="preserve"> </w:t>
      </w:r>
      <w:r w:rsidR="00D9258C" w:rsidRPr="00FD6A6A">
        <w:t>3.2</w:t>
      </w:r>
      <w:r w:rsidR="00541D05">
        <w:t xml:space="preserve"> </w:t>
      </w:r>
      <w:r w:rsidR="00D9258C" w:rsidRPr="00FD6A6A">
        <w:t>million</w:t>
      </w:r>
      <w:r w:rsidR="00541D05">
        <w:t xml:space="preserve"> </w:t>
      </w:r>
      <w:r w:rsidR="00D9258C" w:rsidRPr="00FD6A6A">
        <w:t>residential</w:t>
      </w:r>
      <w:r w:rsidR="00541D05">
        <w:t xml:space="preserve"> </w:t>
      </w:r>
      <w:r w:rsidR="00D9258C" w:rsidRPr="00FD6A6A">
        <w:t>units</w:t>
      </w:r>
      <w:r w:rsidR="00541D05">
        <w:t xml:space="preserve"> </w:t>
      </w:r>
      <w:r w:rsidR="00D9258C" w:rsidRPr="00FD6A6A">
        <w:t>had</w:t>
      </w:r>
      <w:r w:rsidR="00541D05">
        <w:t xml:space="preserve"> </w:t>
      </w:r>
      <w:r w:rsidR="00D9258C" w:rsidRPr="00FD6A6A">
        <w:t>already</w:t>
      </w:r>
      <w:r w:rsidR="00541D05">
        <w:t xml:space="preserve"> </w:t>
      </w:r>
      <w:r w:rsidR="00D9258C" w:rsidRPr="00FD6A6A">
        <w:t>been</w:t>
      </w:r>
      <w:r w:rsidR="00541D05">
        <w:t xml:space="preserve"> </w:t>
      </w:r>
      <w:r w:rsidR="00D9258C" w:rsidRPr="00FD6A6A">
        <w:t>made</w:t>
      </w:r>
      <w:r w:rsidR="00541D05">
        <w:t xml:space="preserve"> </w:t>
      </w:r>
      <w:r w:rsidR="00D9258C" w:rsidRPr="00FD6A6A">
        <w:t>available</w:t>
      </w:r>
      <w:r w:rsidR="00541D05">
        <w:t xml:space="preserve"> </w:t>
      </w:r>
      <w:r w:rsidR="00D9258C" w:rsidRPr="00FD6A6A">
        <w:t>to</w:t>
      </w:r>
      <w:r w:rsidR="00541D05">
        <w:t xml:space="preserve"> </w:t>
      </w:r>
      <w:r w:rsidR="00D9258C" w:rsidRPr="00FD6A6A">
        <w:t>11</w:t>
      </w:r>
      <w:r w:rsidR="00541D05">
        <w:t xml:space="preserve"> </w:t>
      </w:r>
      <w:r w:rsidR="00D9258C" w:rsidRPr="00FD6A6A">
        <w:t>million</w:t>
      </w:r>
      <w:r w:rsidR="00541D05">
        <w:t xml:space="preserve"> </w:t>
      </w:r>
      <w:r w:rsidR="00D9258C" w:rsidRPr="00FD6A6A">
        <w:t>people,</w:t>
      </w:r>
      <w:r w:rsidR="00541D05">
        <w:t xml:space="preserve"> </w:t>
      </w:r>
      <w:r w:rsidR="00D9258C" w:rsidRPr="00FD6A6A">
        <w:t>of</w:t>
      </w:r>
      <w:r w:rsidR="00541D05">
        <w:t xml:space="preserve"> </w:t>
      </w:r>
      <w:r w:rsidR="00D9258C" w:rsidRPr="00FD6A6A">
        <w:t>which</w:t>
      </w:r>
      <w:r w:rsidR="00541D05">
        <w:t xml:space="preserve"> </w:t>
      </w:r>
      <w:r w:rsidR="00D9258C" w:rsidRPr="00FD6A6A">
        <w:t>91%</w:t>
      </w:r>
      <w:r w:rsidR="00541D05">
        <w:t xml:space="preserve"> </w:t>
      </w:r>
      <w:r w:rsidR="00D9258C" w:rsidRPr="00FD6A6A">
        <w:t>belonged</w:t>
      </w:r>
      <w:r w:rsidR="00541D05">
        <w:t xml:space="preserve"> </w:t>
      </w:r>
      <w:r w:rsidR="00D9258C" w:rsidRPr="00FD6A6A">
        <w:t>to</w:t>
      </w:r>
      <w:r w:rsidR="00541D05">
        <w:t xml:space="preserve"> </w:t>
      </w:r>
      <w:r w:rsidR="00D9258C" w:rsidRPr="00FD6A6A">
        <w:t>the</w:t>
      </w:r>
      <w:r w:rsidR="00541D05">
        <w:t xml:space="preserve"> </w:t>
      </w:r>
      <w:r w:rsidR="00D9258C" w:rsidRPr="00FD6A6A">
        <w:t>lowest</w:t>
      </w:r>
      <w:r w:rsidR="00541D05">
        <w:t xml:space="preserve"> </w:t>
      </w:r>
      <w:r w:rsidR="00D9258C" w:rsidRPr="00FD6A6A">
        <w:t>income</w:t>
      </w:r>
      <w:r w:rsidR="00541D05">
        <w:t xml:space="preserve"> </w:t>
      </w:r>
      <w:r w:rsidR="00D9258C" w:rsidRPr="00FD6A6A">
        <w:t>ranges</w:t>
      </w:r>
      <w:r w:rsidR="00541D05">
        <w:t xml:space="preserve"> </w:t>
      </w:r>
      <w:r w:rsidR="00D9258C" w:rsidRPr="00FD6A6A">
        <w:t>established</w:t>
      </w:r>
      <w:r w:rsidR="00541D05">
        <w:t xml:space="preserve"> </w:t>
      </w:r>
      <w:r w:rsidR="00D9258C" w:rsidRPr="00FD6A6A">
        <w:t>by</w:t>
      </w:r>
      <w:r w:rsidR="00541D05">
        <w:t xml:space="preserve"> </w:t>
      </w:r>
      <w:r w:rsidR="00D9258C" w:rsidRPr="00FD6A6A">
        <w:t>the</w:t>
      </w:r>
      <w:r w:rsidR="00541D05">
        <w:t xml:space="preserve"> </w:t>
      </w:r>
      <w:r w:rsidR="00D9258C" w:rsidRPr="00FD6A6A">
        <w:t>program</w:t>
      </w:r>
      <w:r w:rsidR="00541D05">
        <w:t xml:space="preserve"> </w:t>
      </w:r>
      <w:r w:rsidR="00D9258C" w:rsidRPr="00FD6A6A">
        <w:t>itself.</w:t>
      </w:r>
    </w:p>
    <w:p w14:paraId="7143F21F" w14:textId="10335E2A" w:rsidR="00D9258C" w:rsidRPr="00FD6A6A" w:rsidRDefault="00166390" w:rsidP="00166390">
      <w:pPr>
        <w:pStyle w:val="ParaNoG"/>
        <w:numPr>
          <w:ilvl w:val="0"/>
          <w:numId w:val="0"/>
        </w:numPr>
        <w:tabs>
          <w:tab w:val="left" w:pos="0"/>
        </w:tabs>
        <w:ind w:left="1134"/>
      </w:pPr>
      <w:r w:rsidRPr="00FD6A6A">
        <w:t>41.</w:t>
      </w:r>
      <w:r w:rsidRPr="00FD6A6A">
        <w:tab/>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meet</w:t>
      </w:r>
      <w:r w:rsidR="00541D05">
        <w:t xml:space="preserve"> </w:t>
      </w:r>
      <w:r w:rsidR="00D9258C" w:rsidRPr="00FD6A6A">
        <w:t>the</w:t>
      </w:r>
      <w:r w:rsidR="00541D05">
        <w:t xml:space="preserve"> </w:t>
      </w:r>
      <w:r w:rsidR="00D9258C" w:rsidRPr="00FD6A6A">
        <w:t>demand</w:t>
      </w:r>
      <w:r w:rsidR="00541D05">
        <w:t xml:space="preserve"> </w:t>
      </w:r>
      <w:r w:rsidR="00D9258C" w:rsidRPr="00FD6A6A">
        <w:t>for</w:t>
      </w:r>
      <w:r w:rsidR="00541D05">
        <w:t xml:space="preserve"> </w:t>
      </w:r>
      <w:r w:rsidR="00D9258C" w:rsidRPr="00FD6A6A">
        <w:t>adequate</w:t>
      </w:r>
      <w:r w:rsidR="00541D05">
        <w:t xml:space="preserve"> </w:t>
      </w:r>
      <w:r w:rsidR="00D9258C" w:rsidRPr="00FD6A6A">
        <w:t>housing,</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has</w:t>
      </w:r>
      <w:r w:rsidR="00541D05">
        <w:t xml:space="preserve"> </w:t>
      </w:r>
      <w:r w:rsidR="00D9258C" w:rsidRPr="00FD6A6A">
        <w:t>adopted,</w:t>
      </w:r>
      <w:r w:rsidR="00541D05">
        <w:t xml:space="preserve"> </w:t>
      </w:r>
      <w:r w:rsidR="00D9258C" w:rsidRPr="00FD6A6A">
        <w:t>since</w:t>
      </w:r>
      <w:r w:rsidR="00541D05">
        <w:t xml:space="preserve"> </w:t>
      </w:r>
      <w:r w:rsidR="00D9258C" w:rsidRPr="00FD6A6A">
        <w:t>2007,</w:t>
      </w:r>
      <w:r w:rsidR="00541D05">
        <w:t xml:space="preserve"> </w:t>
      </w:r>
      <w:r w:rsidR="00D9258C" w:rsidRPr="00FD6A6A">
        <w:t>a</w:t>
      </w:r>
      <w:r w:rsidR="00541D05">
        <w:t xml:space="preserve"> </w:t>
      </w:r>
      <w:r w:rsidR="00D9258C" w:rsidRPr="00FD6A6A">
        <w:t>set</w:t>
      </w:r>
      <w:r w:rsidR="00541D05">
        <w:t xml:space="preserve"> </w:t>
      </w:r>
      <w:r w:rsidR="00D9258C" w:rsidRPr="00FD6A6A">
        <w:t>of</w:t>
      </w:r>
      <w:r w:rsidR="00541D05">
        <w:t xml:space="preserve"> </w:t>
      </w:r>
      <w:r w:rsidR="00D9258C" w:rsidRPr="00FD6A6A">
        <w:t>measures</w:t>
      </w:r>
      <w:r w:rsidR="00541D05">
        <w:t xml:space="preserve"> </w:t>
      </w:r>
      <w:r w:rsidR="00D9258C" w:rsidRPr="00FD6A6A">
        <w:t>to</w:t>
      </w:r>
      <w:r w:rsidR="00541D05">
        <w:t xml:space="preserve"> </w:t>
      </w:r>
      <w:r w:rsidR="00D9258C" w:rsidRPr="00FD6A6A">
        <w:t>improve</w:t>
      </w:r>
      <w:r w:rsidR="00541D05">
        <w:t xml:space="preserve"> </w:t>
      </w:r>
      <w:r w:rsidR="00D9258C" w:rsidRPr="00FD6A6A">
        <w:t>the</w:t>
      </w:r>
      <w:r w:rsidR="00541D05">
        <w:t xml:space="preserve"> </w:t>
      </w:r>
      <w:r w:rsidR="00D9258C" w:rsidRPr="00FD6A6A">
        <w:t>urban</w:t>
      </w:r>
      <w:r w:rsidR="00541D05">
        <w:t xml:space="preserve"> </w:t>
      </w:r>
      <w:r w:rsidR="00D9258C" w:rsidRPr="00FD6A6A">
        <w:t>infrastructure,</w:t>
      </w:r>
      <w:r w:rsidR="00541D05">
        <w:t xml:space="preserve"> </w:t>
      </w:r>
      <w:r w:rsidR="00D9258C" w:rsidRPr="00FD6A6A">
        <w:t>emphasizing</w:t>
      </w:r>
      <w:r w:rsidR="00541D05">
        <w:t xml:space="preserve"> </w:t>
      </w:r>
      <w:r w:rsidR="00D9258C" w:rsidRPr="00FD6A6A">
        <w:t>land</w:t>
      </w:r>
      <w:r w:rsidR="00541D05">
        <w:t xml:space="preserve"> </w:t>
      </w:r>
      <w:r w:rsidR="00D9258C" w:rsidRPr="00FD6A6A">
        <w:t>regularization,</w:t>
      </w:r>
      <w:r w:rsidR="00541D05">
        <w:t xml:space="preserve"> </w:t>
      </w:r>
      <w:r w:rsidR="00D9258C" w:rsidRPr="00FD6A6A">
        <w:t>security,</w:t>
      </w:r>
      <w:r w:rsidR="00541D05">
        <w:t xml:space="preserve"> </w:t>
      </w:r>
      <w:r w:rsidR="00D9258C" w:rsidRPr="00FD6A6A">
        <w:t>hygiene,</w:t>
      </w:r>
      <w:r w:rsidR="00541D05">
        <w:t xml:space="preserve"> </w:t>
      </w:r>
      <w:r w:rsidR="00D9258C" w:rsidRPr="00FD6A6A">
        <w:t>and</w:t>
      </w:r>
      <w:r w:rsidR="00541D05">
        <w:t xml:space="preserve"> </w:t>
      </w:r>
      <w:r w:rsidR="00D9258C" w:rsidRPr="00FD6A6A">
        <w:t>habitability</w:t>
      </w:r>
      <w:r w:rsidR="00541D05">
        <w:t xml:space="preserve"> </w:t>
      </w:r>
      <w:r w:rsidR="00D9258C" w:rsidRPr="00FD6A6A">
        <w:t>for</w:t>
      </w:r>
      <w:r w:rsidR="00541D05">
        <w:t xml:space="preserve"> </w:t>
      </w:r>
      <w:r w:rsidR="00D9258C" w:rsidRPr="00FD6A6A">
        <w:t>the</w:t>
      </w:r>
      <w:r w:rsidR="00541D05">
        <w:t xml:space="preserve"> </w:t>
      </w:r>
      <w:r w:rsidR="00D9258C" w:rsidRPr="00FD6A6A">
        <w:t>population</w:t>
      </w:r>
      <w:r w:rsidR="00541D05">
        <w:t xml:space="preserve"> </w:t>
      </w:r>
      <w:r w:rsidR="00D9258C" w:rsidRPr="00FD6A6A">
        <w:t>in</w:t>
      </w:r>
      <w:r w:rsidR="00541D05">
        <w:t xml:space="preserve"> </w:t>
      </w:r>
      <w:r w:rsidR="00D9258C" w:rsidRPr="00FD6A6A">
        <w:t>areas</w:t>
      </w:r>
      <w:r w:rsidR="00541D05">
        <w:t xml:space="preserve"> </w:t>
      </w:r>
      <w:r w:rsidR="00D9258C" w:rsidRPr="00FD6A6A">
        <w:t>deemed</w:t>
      </w:r>
      <w:r w:rsidR="00541D05">
        <w:t xml:space="preserve"> </w:t>
      </w:r>
      <w:r w:rsidR="00D9258C" w:rsidRPr="00FD6A6A">
        <w:t>inappropriate</w:t>
      </w:r>
      <w:r w:rsidR="00541D05">
        <w:t xml:space="preserve"> </w:t>
      </w:r>
      <w:r w:rsidR="00D9258C" w:rsidRPr="00FD6A6A">
        <w:t>for</w:t>
      </w:r>
      <w:r w:rsidR="00541D05">
        <w:t xml:space="preserve"> </w:t>
      </w:r>
      <w:r w:rsidR="00D9258C" w:rsidRPr="00FD6A6A">
        <w:t>housing.</w:t>
      </w:r>
      <w:r w:rsidR="00541D05">
        <w:t xml:space="preserve"> </w:t>
      </w:r>
      <w:r w:rsidR="00D9258C" w:rsidRPr="00FD6A6A">
        <w:t>Such</w:t>
      </w:r>
      <w:r w:rsidR="00541D05">
        <w:t xml:space="preserve"> </w:t>
      </w:r>
      <w:r w:rsidR="00D9258C" w:rsidRPr="00FD6A6A">
        <w:t>measures</w:t>
      </w:r>
      <w:r w:rsidR="00541D05">
        <w:t xml:space="preserve"> </w:t>
      </w:r>
      <w:r w:rsidR="00D9258C" w:rsidRPr="00FD6A6A">
        <w:t>promoted</w:t>
      </w:r>
      <w:r w:rsidR="00541D05">
        <w:t xml:space="preserve"> </w:t>
      </w:r>
      <w:r w:rsidR="00D9258C" w:rsidRPr="00FD6A6A">
        <w:t>permanent</w:t>
      </w:r>
      <w:r w:rsidR="00541D05">
        <w:t xml:space="preserve"> </w:t>
      </w:r>
      <w:r w:rsidR="00D9258C" w:rsidRPr="00FD6A6A">
        <w:t>residency</w:t>
      </w:r>
      <w:r w:rsidR="00541D05">
        <w:t xml:space="preserve"> </w:t>
      </w:r>
      <w:r w:rsidR="00D9258C" w:rsidRPr="00FD6A6A">
        <w:t>or</w:t>
      </w:r>
      <w:r w:rsidR="00541D05">
        <w:t xml:space="preserve"> </w:t>
      </w:r>
      <w:r w:rsidR="00D9258C" w:rsidRPr="00FD6A6A">
        <w:t>relocation,</w:t>
      </w:r>
      <w:r w:rsidR="00541D05">
        <w:t xml:space="preserve"> </w:t>
      </w:r>
      <w:r w:rsidR="00D9258C" w:rsidRPr="00FD6A6A">
        <w:t>integrating</w:t>
      </w:r>
      <w:r w:rsidR="00541D05">
        <w:t xml:space="preserve"> </w:t>
      </w:r>
      <w:r w:rsidR="00D9258C" w:rsidRPr="00FD6A6A">
        <w:t>actions</w:t>
      </w:r>
      <w:r w:rsidR="00541D05">
        <w:t xml:space="preserve"> </w:t>
      </w:r>
      <w:r w:rsidR="00D9258C" w:rsidRPr="00FD6A6A">
        <w:t>for</w:t>
      </w:r>
      <w:r w:rsidR="00541D05">
        <w:t xml:space="preserve"> </w:t>
      </w:r>
      <w:r w:rsidR="00D9258C" w:rsidRPr="00FD6A6A">
        <w:t>housing,</w:t>
      </w:r>
      <w:r w:rsidR="00541D05">
        <w:t xml:space="preserve"> </w:t>
      </w:r>
      <w:r w:rsidR="00D9258C" w:rsidRPr="00FD6A6A">
        <w:t>sanitation,</w:t>
      </w:r>
      <w:r w:rsidR="00541D05">
        <w:t xml:space="preserve"> </w:t>
      </w:r>
      <w:r w:rsidR="00D9258C" w:rsidRPr="00FD6A6A">
        <w:t>and</w:t>
      </w:r>
      <w:r w:rsidR="00541D05">
        <w:t xml:space="preserve"> </w:t>
      </w:r>
      <w:r w:rsidR="00D9258C" w:rsidRPr="00FD6A6A">
        <w:t>social</w:t>
      </w:r>
      <w:r w:rsidR="00541D05">
        <w:t xml:space="preserve"> </w:t>
      </w:r>
      <w:r w:rsidR="00D9258C" w:rsidRPr="00FD6A6A">
        <w:t>inclusion.</w:t>
      </w:r>
      <w:r w:rsidR="00541D05">
        <w:t xml:space="preserve"> </w:t>
      </w:r>
      <w:r w:rsidR="00D9258C" w:rsidRPr="00FD6A6A">
        <w:t>As</w:t>
      </w:r>
      <w:r w:rsidR="00541D05">
        <w:t xml:space="preserve"> </w:t>
      </w:r>
      <w:r w:rsidR="00D9258C" w:rsidRPr="00FD6A6A">
        <w:t>an</w:t>
      </w:r>
      <w:r w:rsidR="00541D05">
        <w:t xml:space="preserve"> </w:t>
      </w:r>
      <w:r w:rsidR="00D9258C" w:rsidRPr="00FD6A6A">
        <w:t>integral</w:t>
      </w:r>
      <w:r w:rsidR="00541D05">
        <w:t xml:space="preserve"> </w:t>
      </w:r>
      <w:r w:rsidR="00D9258C" w:rsidRPr="00FD6A6A">
        <w:t>part</w:t>
      </w:r>
      <w:r w:rsidR="00541D05">
        <w:t xml:space="preserve"> </w:t>
      </w:r>
      <w:r w:rsidR="00D9258C" w:rsidRPr="00FD6A6A">
        <w:t>of</w:t>
      </w:r>
      <w:r w:rsidR="00541D05">
        <w:t xml:space="preserve"> </w:t>
      </w:r>
      <w:r w:rsidR="00D9258C" w:rsidRPr="00FD6A6A">
        <w:lastRenderedPageBreak/>
        <w:t>Growth</w:t>
      </w:r>
      <w:r w:rsidR="00541D05">
        <w:t xml:space="preserve"> </w:t>
      </w:r>
      <w:r w:rsidR="00D9258C" w:rsidRPr="00FD6A6A">
        <w:t>Acceleration</w:t>
      </w:r>
      <w:r w:rsidR="00541D05">
        <w:t xml:space="preserve"> </w:t>
      </w:r>
      <w:r w:rsidR="00D9258C" w:rsidRPr="00FD6A6A">
        <w:t>Plan</w:t>
      </w:r>
      <w:r w:rsidR="00541D05">
        <w:t xml:space="preserve"> </w:t>
      </w:r>
      <w:r w:rsidR="00D9258C" w:rsidRPr="00FD6A6A">
        <w:t>adopted</w:t>
      </w:r>
      <w:r w:rsidR="00541D05">
        <w:t xml:space="preserve"> </w:t>
      </w:r>
      <w:r w:rsidR="00D9258C" w:rsidRPr="00FD6A6A">
        <w:t>in</w:t>
      </w:r>
      <w:r w:rsidR="00541D05">
        <w:t xml:space="preserve"> </w:t>
      </w:r>
      <w:r w:rsidR="00D9258C" w:rsidRPr="00FD6A6A">
        <w:t>2009,</w:t>
      </w:r>
      <w:r w:rsidR="00541D05">
        <w:t xml:space="preserve"> </w:t>
      </w:r>
      <w:r w:rsidR="00D9258C" w:rsidRPr="00FD6A6A">
        <w:t>it</w:t>
      </w:r>
      <w:r w:rsidR="00541D05">
        <w:t xml:space="preserve"> </w:t>
      </w:r>
      <w:r w:rsidR="00D9258C" w:rsidRPr="00FD6A6A">
        <w:t>favoured</w:t>
      </w:r>
      <w:r w:rsidR="00541D05">
        <w:t xml:space="preserve"> </w:t>
      </w:r>
      <w:r w:rsidR="00D9258C" w:rsidRPr="00FD6A6A">
        <w:t>populations</w:t>
      </w:r>
      <w:r w:rsidR="00541D05">
        <w:t xml:space="preserve"> </w:t>
      </w:r>
      <w:r w:rsidR="00D9258C" w:rsidRPr="00FD6A6A">
        <w:t>residing</w:t>
      </w:r>
      <w:r w:rsidR="00541D05">
        <w:t xml:space="preserve"> </w:t>
      </w:r>
      <w:r w:rsidR="00D9258C" w:rsidRPr="00FD6A6A">
        <w:t>in</w:t>
      </w:r>
      <w:r w:rsidR="00541D05">
        <w:t xml:space="preserve"> </w:t>
      </w:r>
      <w:r w:rsidR="00D9258C" w:rsidRPr="00FD6A6A">
        <w:t>areas</w:t>
      </w:r>
      <w:r w:rsidR="00541D05">
        <w:t xml:space="preserve"> </w:t>
      </w:r>
      <w:r w:rsidR="00D9258C" w:rsidRPr="00FD6A6A">
        <w:t>subject</w:t>
      </w:r>
      <w:r w:rsidR="00541D05">
        <w:t xml:space="preserve"> </w:t>
      </w:r>
      <w:r w:rsidR="00D9258C" w:rsidRPr="00FD6A6A">
        <w:t>to</w:t>
      </w:r>
      <w:r w:rsidR="00541D05">
        <w:t xml:space="preserve"> </w:t>
      </w:r>
      <w:r w:rsidR="00D9258C" w:rsidRPr="00FD6A6A">
        <w:t>risk</w:t>
      </w:r>
      <w:r w:rsidR="00541D05">
        <w:t xml:space="preserve"> </w:t>
      </w:r>
      <w:r w:rsidR="00D9258C" w:rsidRPr="00FD6A6A">
        <w:t>factors,</w:t>
      </w:r>
      <w:r w:rsidR="00541D05">
        <w:t xml:space="preserve"> </w:t>
      </w:r>
      <w:r w:rsidR="00D9258C" w:rsidRPr="00FD6A6A">
        <w:t>health</w:t>
      </w:r>
      <w:r w:rsidR="00541D05">
        <w:t xml:space="preserve"> </w:t>
      </w:r>
      <w:r w:rsidR="00D9258C" w:rsidRPr="00FD6A6A">
        <w:t>hazards,</w:t>
      </w:r>
      <w:r w:rsidR="00541D05">
        <w:t xml:space="preserve"> </w:t>
      </w:r>
      <w:r w:rsidR="00D9258C" w:rsidRPr="00FD6A6A">
        <w:t>or</w:t>
      </w:r>
      <w:r w:rsidR="00541D05">
        <w:t xml:space="preserve"> </w:t>
      </w:r>
      <w:r w:rsidR="00D9258C" w:rsidRPr="00FD6A6A">
        <w:t>environmental</w:t>
      </w:r>
      <w:r w:rsidR="00541D05">
        <w:t xml:space="preserve"> </w:t>
      </w:r>
      <w:r w:rsidR="00D9258C" w:rsidRPr="00FD6A6A">
        <w:t>degradation,</w:t>
      </w:r>
      <w:r w:rsidR="00541D05">
        <w:t xml:space="preserve"> </w:t>
      </w:r>
      <w:r w:rsidR="00D9258C" w:rsidRPr="00FD6A6A">
        <w:t>aiming</w:t>
      </w:r>
      <w:r w:rsidR="00541D05">
        <w:t xml:space="preserve"> </w:t>
      </w:r>
      <w:r w:rsidR="00D9258C" w:rsidRPr="00FD6A6A">
        <w:t>at</w:t>
      </w:r>
      <w:r w:rsidR="00541D05">
        <w:t xml:space="preserve"> </w:t>
      </w:r>
      <w:r w:rsidR="00D9258C" w:rsidRPr="00FD6A6A">
        <w:t>supporting</w:t>
      </w:r>
      <w:r w:rsidR="00541D05">
        <w:t xml:space="preserve"> </w:t>
      </w:r>
      <w:r w:rsidR="00D9258C" w:rsidRPr="00FD6A6A">
        <w:t>families</w:t>
      </w:r>
      <w:r w:rsidR="00541D05">
        <w:t xml:space="preserve"> </w:t>
      </w:r>
      <w:r w:rsidR="00D9258C" w:rsidRPr="00FD6A6A">
        <w:t>with</w:t>
      </w:r>
      <w:r w:rsidR="00541D05">
        <w:t xml:space="preserve"> </w:t>
      </w:r>
      <w:r w:rsidR="00D9258C" w:rsidRPr="00FD6A6A">
        <w:t>a</w:t>
      </w:r>
      <w:r w:rsidR="00541D05">
        <w:t xml:space="preserve"> </w:t>
      </w:r>
      <w:r w:rsidR="00D9258C" w:rsidRPr="00FD6A6A">
        <w:t>lower</w:t>
      </w:r>
      <w:r w:rsidR="00541D05">
        <w:t xml:space="preserve"> </w:t>
      </w:r>
      <w:r w:rsidR="00D9258C" w:rsidRPr="00FD6A6A">
        <w:t>per</w:t>
      </w:r>
      <w:r w:rsidR="00541D05">
        <w:t xml:space="preserve"> </w:t>
      </w:r>
      <w:r w:rsidR="00D9258C" w:rsidRPr="00FD6A6A">
        <w:t>capita</w:t>
      </w:r>
      <w:r w:rsidR="00541D05">
        <w:t xml:space="preserve"> </w:t>
      </w:r>
      <w:r w:rsidR="00D9258C" w:rsidRPr="00FD6A6A">
        <w:t>income</w:t>
      </w:r>
      <w:r w:rsidR="00541D05">
        <w:t xml:space="preserve"> </w:t>
      </w:r>
      <w:r w:rsidR="00D9258C" w:rsidRPr="00FD6A6A">
        <w:t>and</w:t>
      </w:r>
      <w:r w:rsidR="00541D05">
        <w:t xml:space="preserve"> </w:t>
      </w:r>
      <w:r w:rsidR="00D9258C" w:rsidRPr="00FD6A6A">
        <w:t>a</w:t>
      </w:r>
      <w:r w:rsidR="00541D05">
        <w:t xml:space="preserve"> </w:t>
      </w:r>
      <w:r w:rsidR="00D9258C" w:rsidRPr="00FD6A6A">
        <w:t>large</w:t>
      </w:r>
      <w:r w:rsidR="00541D05">
        <w:t xml:space="preserve"> </w:t>
      </w:r>
      <w:r w:rsidR="00D9258C" w:rsidRPr="00FD6A6A">
        <w:t>number</w:t>
      </w:r>
      <w:r w:rsidR="00541D05">
        <w:t xml:space="preserve"> </w:t>
      </w:r>
      <w:r w:rsidR="00D9258C" w:rsidRPr="00FD6A6A">
        <w:t>dependents,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households</w:t>
      </w:r>
      <w:r w:rsidR="00541D05">
        <w:t xml:space="preserve"> </w:t>
      </w:r>
      <w:r w:rsidR="00D9258C" w:rsidRPr="00FD6A6A">
        <w:t>headed</w:t>
      </w:r>
      <w:r w:rsidR="00541D05">
        <w:t xml:space="preserve"> </w:t>
      </w:r>
      <w:r w:rsidR="00D9258C" w:rsidRPr="00FD6A6A">
        <w:t>by</w:t>
      </w:r>
      <w:r w:rsidR="00541D05">
        <w:t xml:space="preserve"> </w:t>
      </w:r>
      <w:r w:rsidR="00D9258C" w:rsidRPr="00FD6A6A">
        <w:t>women,</w:t>
      </w:r>
      <w:r w:rsidR="00541D05">
        <w:t xml:space="preserve"> </w:t>
      </w:r>
      <w:r w:rsidR="00D9258C" w:rsidRPr="00FD6A6A">
        <w:t>elderly</w:t>
      </w:r>
      <w:r w:rsidR="00541D05">
        <w:t xml:space="preserve"> </w:t>
      </w:r>
      <w:r w:rsidR="00D9258C" w:rsidRPr="00FD6A6A">
        <w:t>people,</w:t>
      </w:r>
      <w:r w:rsidR="00541D05">
        <w:t xml:space="preserve"> </w:t>
      </w:r>
      <w:r w:rsidR="00D9258C" w:rsidRPr="00FD6A6A">
        <w:t>people</w:t>
      </w:r>
      <w:r w:rsidR="00541D05">
        <w:t xml:space="preserve"> </w:t>
      </w:r>
      <w:r w:rsidR="00D9258C" w:rsidRPr="00FD6A6A">
        <w:t>with</w:t>
      </w:r>
      <w:r w:rsidR="00541D05">
        <w:t xml:space="preserve"> </w:t>
      </w:r>
      <w:r w:rsidR="00D9258C" w:rsidRPr="00FD6A6A">
        <w:t>disabilities,</w:t>
      </w:r>
      <w:r w:rsidR="00541D05">
        <w:t xml:space="preserve"> </w:t>
      </w:r>
      <w:r w:rsidR="00D9258C" w:rsidRPr="00EE5A2A">
        <w:rPr>
          <w:i/>
          <w:iCs/>
        </w:rPr>
        <w:t>Quilombolas</w:t>
      </w:r>
      <w:r w:rsidR="00D9258C" w:rsidRPr="00FD6A6A">
        <w:t>,</w:t>
      </w:r>
      <w:r w:rsidR="00541D05">
        <w:t xml:space="preserve"> </w:t>
      </w:r>
      <w:r w:rsidR="00D9258C" w:rsidRPr="00FD6A6A">
        <w:t>Afro-Brazilian</w:t>
      </w:r>
      <w:r w:rsidR="00541D05">
        <w:t xml:space="preserve"> </w:t>
      </w:r>
      <w:r w:rsidR="00D9258C" w:rsidRPr="00FD6A6A">
        <w:t>and</w:t>
      </w:r>
      <w:r w:rsidR="00541D05">
        <w:t xml:space="preserve"> </w:t>
      </w:r>
      <w:r w:rsidR="00D9258C" w:rsidRPr="00FD6A6A">
        <w:t>Indigenous</w:t>
      </w:r>
      <w:r w:rsidR="00541D05">
        <w:t xml:space="preserve"> </w:t>
      </w:r>
      <w:r w:rsidR="00D9258C" w:rsidRPr="00FD6A6A">
        <w:t>communities.</w:t>
      </w:r>
      <w:r w:rsidR="00541D05">
        <w:t xml:space="preserve"> </w:t>
      </w:r>
      <w:r w:rsidR="00D9258C" w:rsidRPr="00FD6A6A">
        <w:t>The</w:t>
      </w:r>
      <w:r w:rsidR="00541D05">
        <w:t xml:space="preserve"> </w:t>
      </w:r>
      <w:r w:rsidR="00D9258C" w:rsidRPr="00FD6A6A">
        <w:t>Program</w:t>
      </w:r>
      <w:r w:rsidR="00541D05">
        <w:t xml:space="preserve"> </w:t>
      </w:r>
      <w:r w:rsidR="00D9258C" w:rsidRPr="00FD6A6A">
        <w:t>was</w:t>
      </w:r>
      <w:r w:rsidR="00541D05">
        <w:t xml:space="preserve"> </w:t>
      </w:r>
      <w:r w:rsidR="00D9258C" w:rsidRPr="00FD6A6A">
        <w:t>not</w:t>
      </w:r>
      <w:r w:rsidR="00541D05">
        <w:t xml:space="preserve"> </w:t>
      </w:r>
      <w:r w:rsidR="00D9258C" w:rsidRPr="00FD6A6A">
        <w:t>limited</w:t>
      </w:r>
      <w:r w:rsidR="00541D05">
        <w:t xml:space="preserve"> </w:t>
      </w:r>
      <w:r w:rsidR="00D9258C" w:rsidRPr="00FD6A6A">
        <w:t>to</w:t>
      </w:r>
      <w:r w:rsidR="00541D05">
        <w:t xml:space="preserve"> </w:t>
      </w:r>
      <w:r w:rsidR="00D9258C" w:rsidRPr="00FD6A6A">
        <w:t>subnormal</w:t>
      </w:r>
      <w:r w:rsidR="00541D05">
        <w:t xml:space="preserve"> </w:t>
      </w:r>
      <w:r w:rsidR="00D9258C" w:rsidRPr="00FD6A6A">
        <w:t>agglomerations,</w:t>
      </w:r>
      <w:r w:rsidR="00541D05">
        <w:t xml:space="preserve"> </w:t>
      </w:r>
      <w:r w:rsidR="00D9258C" w:rsidRPr="00FD6A6A">
        <w:t>but</w:t>
      </w:r>
      <w:r w:rsidR="00541D05">
        <w:t xml:space="preserve"> </w:t>
      </w:r>
      <w:r w:rsidR="00D9258C" w:rsidRPr="00FD6A6A">
        <w:t>benefited</w:t>
      </w:r>
      <w:r w:rsidR="00541D05">
        <w:t xml:space="preserve"> </w:t>
      </w:r>
      <w:r w:rsidR="00D9258C" w:rsidRPr="00FD6A6A">
        <w:t>them</w:t>
      </w:r>
      <w:r w:rsidR="00541D05">
        <w:t xml:space="preserve"> </w:t>
      </w:r>
      <w:r w:rsidR="00D9258C" w:rsidRPr="00FD6A6A">
        <w:t>in</w:t>
      </w:r>
      <w:r w:rsidR="00541D05">
        <w:t xml:space="preserve"> </w:t>
      </w:r>
      <w:r w:rsidR="00D9258C" w:rsidRPr="00FD6A6A">
        <w:t>a</w:t>
      </w:r>
      <w:r w:rsidR="00541D05">
        <w:t xml:space="preserve"> </w:t>
      </w:r>
      <w:r w:rsidR="00D9258C" w:rsidRPr="00FD6A6A">
        <w:t>significant</w:t>
      </w:r>
      <w:r w:rsidR="00541D05">
        <w:t xml:space="preserve"> </w:t>
      </w:r>
      <w:r w:rsidR="00D9258C" w:rsidRPr="00FD6A6A">
        <w:t>manner.</w:t>
      </w:r>
    </w:p>
    <w:p w14:paraId="56AC771C" w14:textId="4451C65B" w:rsidR="00D9258C" w:rsidRPr="00FD6A6A" w:rsidRDefault="00166390" w:rsidP="00166390">
      <w:pPr>
        <w:pStyle w:val="ParaNoG"/>
        <w:numPr>
          <w:ilvl w:val="0"/>
          <w:numId w:val="0"/>
        </w:numPr>
        <w:tabs>
          <w:tab w:val="left" w:pos="0"/>
        </w:tabs>
        <w:ind w:left="1134"/>
      </w:pPr>
      <w:r w:rsidRPr="00FD6A6A">
        <w:t>42.</w:t>
      </w:r>
      <w:r w:rsidRPr="00FD6A6A">
        <w:tab/>
      </w:r>
      <w:r w:rsidR="00D9258C" w:rsidRPr="00FD6A6A">
        <w:t>From</w:t>
      </w:r>
      <w:r w:rsidR="00541D05">
        <w:t xml:space="preserve"> </w:t>
      </w:r>
      <w:r w:rsidR="00D9258C" w:rsidRPr="00FD6A6A">
        <w:t>2007</w:t>
      </w:r>
      <w:r w:rsidR="00541D05">
        <w:t xml:space="preserve"> </w:t>
      </w:r>
      <w:r w:rsidR="00D9258C" w:rsidRPr="00FD6A6A">
        <w:t>to</w:t>
      </w:r>
      <w:r w:rsidR="00541D05">
        <w:t xml:space="preserve"> </w:t>
      </w:r>
      <w:r w:rsidR="00D9258C" w:rsidRPr="00FD6A6A">
        <w:t>2014,</w:t>
      </w:r>
      <w:r w:rsidR="00541D05">
        <w:t xml:space="preserve"> </w:t>
      </w:r>
      <w:r w:rsidR="00D9258C" w:rsidRPr="00FD6A6A">
        <w:t>1,055</w:t>
      </w:r>
      <w:r w:rsidR="00541D05">
        <w:t xml:space="preserve"> </w:t>
      </w:r>
      <w:r w:rsidR="00D9258C" w:rsidRPr="00FD6A6A">
        <w:t>urbanization</w:t>
      </w:r>
      <w:r w:rsidR="00541D05">
        <w:t xml:space="preserve"> </w:t>
      </w:r>
      <w:r w:rsidR="00D9258C" w:rsidRPr="00FD6A6A">
        <w:t>operations</w:t>
      </w:r>
      <w:r w:rsidR="00541D05">
        <w:t xml:space="preserve"> </w:t>
      </w:r>
      <w:r w:rsidR="00D9258C" w:rsidRPr="00FD6A6A">
        <w:t>were</w:t>
      </w:r>
      <w:r w:rsidR="00541D05">
        <w:t xml:space="preserve"> </w:t>
      </w:r>
      <w:r w:rsidR="00D9258C" w:rsidRPr="00FD6A6A">
        <w:t>carried</w:t>
      </w:r>
      <w:r w:rsidR="00541D05">
        <w:t xml:space="preserve"> </w:t>
      </w:r>
      <w:r w:rsidR="00D9258C" w:rsidRPr="00FD6A6A">
        <w:t>out</w:t>
      </w:r>
      <w:r w:rsidR="00541D05">
        <w:t xml:space="preserve"> </w:t>
      </w:r>
      <w:r w:rsidR="00D9258C" w:rsidRPr="00FD6A6A">
        <w:t>in</w:t>
      </w:r>
      <w:r w:rsidR="00541D05">
        <w:t xml:space="preserve"> </w:t>
      </w:r>
      <w:r w:rsidR="00D9258C" w:rsidRPr="00FD6A6A">
        <w:t>precarious</w:t>
      </w:r>
      <w:r w:rsidR="00541D05">
        <w:t xml:space="preserve"> </w:t>
      </w:r>
      <w:r w:rsidR="00D9258C" w:rsidRPr="00FD6A6A">
        <w:t>settlements,</w:t>
      </w:r>
      <w:r w:rsidR="00541D05">
        <w:t xml:space="preserve"> </w:t>
      </w:r>
      <w:r w:rsidR="00D9258C" w:rsidRPr="00FD6A6A">
        <w:t>benefitting</w:t>
      </w:r>
      <w:r w:rsidR="00541D05">
        <w:t xml:space="preserve"> </w:t>
      </w:r>
      <w:r w:rsidR="00D9258C" w:rsidRPr="00FD6A6A">
        <w:t>2,125,865</w:t>
      </w:r>
      <w:r w:rsidR="00541D05">
        <w:t xml:space="preserve"> </w:t>
      </w:r>
      <w:r w:rsidR="00D9258C" w:rsidRPr="00FD6A6A">
        <w:t>families</w:t>
      </w:r>
      <w:r w:rsidR="00541D05">
        <w:t xml:space="preserve"> </w:t>
      </w:r>
      <w:r w:rsidR="00D9258C" w:rsidRPr="00FD6A6A">
        <w:t>according</w:t>
      </w:r>
      <w:r w:rsidR="00541D05">
        <w:t xml:space="preserve"> </w:t>
      </w:r>
      <w:r w:rsidR="00D9258C" w:rsidRPr="00FD6A6A">
        <w:t>to</w:t>
      </w:r>
      <w:r w:rsidR="00541D05">
        <w:t xml:space="preserve"> </w:t>
      </w:r>
      <w:r w:rsidR="00D9258C" w:rsidRPr="00FD6A6A">
        <w:t>information</w:t>
      </w:r>
      <w:r w:rsidR="00541D05">
        <w:t xml:space="preserve"> </w:t>
      </w:r>
      <w:r w:rsidR="00D9258C" w:rsidRPr="00FD6A6A">
        <w:t>provided</w:t>
      </w:r>
      <w:r w:rsidR="00541D05">
        <w:t xml:space="preserve"> </w:t>
      </w:r>
      <w:r w:rsidR="00D9258C" w:rsidRPr="00FD6A6A">
        <w:t>by</w:t>
      </w:r>
      <w:r w:rsidR="00541D05">
        <w:t xml:space="preserve"> </w:t>
      </w:r>
      <w:r w:rsidR="00D9258C" w:rsidRPr="00FD6A6A">
        <w:t>the</w:t>
      </w:r>
      <w:r w:rsidR="00541D05">
        <w:t xml:space="preserve"> </w:t>
      </w:r>
      <w:r w:rsidR="00D9258C" w:rsidRPr="00FD6A6A">
        <w:t>National</w:t>
      </w:r>
      <w:r w:rsidR="00541D05">
        <w:t xml:space="preserve"> </w:t>
      </w:r>
      <w:r w:rsidR="00D9258C" w:rsidRPr="00FD6A6A">
        <w:t>Housing</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Regional</w:t>
      </w:r>
      <w:r w:rsidR="00541D05">
        <w:t xml:space="preserve"> </w:t>
      </w:r>
      <w:r w:rsidR="00D9258C" w:rsidRPr="00FD6A6A">
        <w:t>Development.</w:t>
      </w:r>
      <w:r w:rsidR="00541D05">
        <w:t xml:space="preserve"> </w:t>
      </w:r>
      <w:r w:rsidR="00D9258C" w:rsidRPr="00FD6A6A">
        <w:t>Out</w:t>
      </w:r>
      <w:r w:rsidR="00541D05">
        <w:t xml:space="preserve"> </w:t>
      </w:r>
      <w:r w:rsidR="00D9258C" w:rsidRPr="00FD6A6A">
        <w:t>of</w:t>
      </w:r>
      <w:r w:rsidR="00541D05">
        <w:t xml:space="preserve"> </w:t>
      </w:r>
      <w:r w:rsidR="00D9258C" w:rsidRPr="00FD6A6A">
        <w:t>the</w:t>
      </w:r>
      <w:r w:rsidR="00541D05">
        <w:t xml:space="preserve"> </w:t>
      </w:r>
      <w:r w:rsidR="00D9258C" w:rsidRPr="00FD6A6A">
        <w:t>total</w:t>
      </w:r>
      <w:r w:rsidR="00541D05">
        <w:t xml:space="preserve"> </w:t>
      </w:r>
      <w:r w:rsidR="00D9258C" w:rsidRPr="00FD6A6A">
        <w:t>investments</w:t>
      </w:r>
      <w:r w:rsidR="00541D05">
        <w:t xml:space="preserve"> </w:t>
      </w:r>
      <w:r w:rsidR="00D9258C" w:rsidRPr="00FD6A6A">
        <w:t>in</w:t>
      </w:r>
      <w:r w:rsidR="00541D05">
        <w:t xml:space="preserve"> </w:t>
      </w:r>
      <w:r w:rsidR="00D9258C" w:rsidRPr="00FD6A6A">
        <w:t>precarious</w:t>
      </w:r>
      <w:r w:rsidR="00541D05">
        <w:t xml:space="preserve"> </w:t>
      </w:r>
      <w:r w:rsidR="00D9258C" w:rsidRPr="00FD6A6A">
        <w:t>settlements,</w:t>
      </w:r>
      <w:r w:rsidR="00541D05">
        <w:t xml:space="preserve"> </w:t>
      </w:r>
      <w:r w:rsidR="00D9258C" w:rsidRPr="00FD6A6A">
        <w:t>30%</w:t>
      </w:r>
      <w:r w:rsidR="00541D05">
        <w:t xml:space="preserve"> </w:t>
      </w:r>
      <w:r w:rsidR="00D9258C" w:rsidRPr="00FD6A6A">
        <w:t>were</w:t>
      </w:r>
      <w:r w:rsidR="00541D05">
        <w:t xml:space="preserve"> </w:t>
      </w:r>
      <w:r w:rsidR="00D9258C" w:rsidRPr="00FD6A6A">
        <w:t>directed</w:t>
      </w:r>
      <w:r w:rsidR="00541D05">
        <w:t xml:space="preserve"> </w:t>
      </w:r>
      <w:r w:rsidR="00D9258C" w:rsidRPr="00FD6A6A">
        <w:t>to</w:t>
      </w:r>
      <w:r w:rsidR="00541D05">
        <w:t xml:space="preserve"> </w:t>
      </w:r>
      <w:r w:rsidR="00D9258C" w:rsidRPr="00FD6A6A">
        <w:t>construction</w:t>
      </w:r>
      <w:r w:rsidR="00541D05">
        <w:t xml:space="preserve"> </w:t>
      </w:r>
      <w:r w:rsidR="00D9258C" w:rsidRPr="00FD6A6A">
        <w:t>of</w:t>
      </w:r>
      <w:r w:rsidR="00541D05">
        <w:t xml:space="preserve"> </w:t>
      </w:r>
      <w:r w:rsidR="00D9258C" w:rsidRPr="00FD6A6A">
        <w:t>residences,</w:t>
      </w:r>
      <w:r w:rsidR="00541D05">
        <w:t xml:space="preserve"> </w:t>
      </w:r>
      <w:r w:rsidR="00D9258C" w:rsidRPr="00FD6A6A">
        <w:t>26%</w:t>
      </w:r>
      <w:r w:rsidR="00541D05">
        <w:t xml:space="preserve"> </w:t>
      </w:r>
      <w:r w:rsidR="00D9258C" w:rsidRPr="00FD6A6A">
        <w:t>to</w:t>
      </w:r>
      <w:r w:rsidR="00541D05">
        <w:t xml:space="preserve"> </w:t>
      </w:r>
      <w:r w:rsidR="00D9258C" w:rsidRPr="00FD6A6A">
        <w:t>infrastructure,</w:t>
      </w:r>
      <w:r w:rsidR="00541D05">
        <w:t xml:space="preserve"> </w:t>
      </w:r>
      <w:r w:rsidR="00D9258C" w:rsidRPr="00FD6A6A">
        <w:t>19%</w:t>
      </w:r>
      <w:r w:rsidR="00541D05">
        <w:t xml:space="preserve"> </w:t>
      </w:r>
      <w:r w:rsidR="00D9258C" w:rsidRPr="00FD6A6A">
        <w:t>to</w:t>
      </w:r>
      <w:r w:rsidR="00541D05">
        <w:t xml:space="preserve"> </w:t>
      </w:r>
      <w:r w:rsidR="00D9258C" w:rsidRPr="00FD6A6A">
        <w:t>sanitation,</w:t>
      </w:r>
      <w:r w:rsidR="00541D05">
        <w:t xml:space="preserve"> </w:t>
      </w:r>
      <w:r w:rsidR="00D9258C" w:rsidRPr="00FD6A6A">
        <w:t>and</w:t>
      </w:r>
      <w:r w:rsidR="00541D05">
        <w:t xml:space="preserve"> </w:t>
      </w:r>
      <w:r w:rsidR="00D9258C" w:rsidRPr="00FD6A6A">
        <w:t>5%</w:t>
      </w:r>
      <w:r w:rsidR="00541D05">
        <w:t xml:space="preserve"> </w:t>
      </w:r>
      <w:r w:rsidR="00D9258C" w:rsidRPr="00FD6A6A">
        <w:t>to</w:t>
      </w:r>
      <w:r w:rsidR="00541D05">
        <w:t xml:space="preserve"> </w:t>
      </w:r>
      <w:r w:rsidR="00D9258C" w:rsidRPr="00FD6A6A">
        <w:t>residential</w:t>
      </w:r>
      <w:r w:rsidR="00541D05">
        <w:t xml:space="preserve"> </w:t>
      </w:r>
      <w:r w:rsidR="00D9258C" w:rsidRPr="00FD6A6A">
        <w:t>improvements.</w:t>
      </w:r>
    </w:p>
    <w:p w14:paraId="31626416" w14:textId="4A29E562" w:rsidR="00D9258C" w:rsidRPr="00FD6A6A" w:rsidRDefault="00166390" w:rsidP="00166390">
      <w:pPr>
        <w:pStyle w:val="ParaNoG"/>
        <w:numPr>
          <w:ilvl w:val="0"/>
          <w:numId w:val="0"/>
        </w:numPr>
        <w:tabs>
          <w:tab w:val="left" w:pos="0"/>
        </w:tabs>
        <w:ind w:left="1134"/>
      </w:pPr>
      <w:r w:rsidRPr="00FD6A6A">
        <w:t>43.</w:t>
      </w:r>
      <w:r w:rsidRPr="00FD6A6A">
        <w:tab/>
      </w:r>
      <w:r w:rsidR="00D9258C" w:rsidRPr="00FD6A6A">
        <w:t>Given</w:t>
      </w:r>
      <w:r w:rsidR="00541D05">
        <w:t xml:space="preserve"> </w:t>
      </w:r>
      <w:r w:rsidR="00D9258C" w:rsidRPr="00FD6A6A">
        <w:t>the</w:t>
      </w:r>
      <w:r w:rsidR="00541D05">
        <w:t xml:space="preserve"> </w:t>
      </w:r>
      <w:r w:rsidR="00D9258C" w:rsidRPr="00FD6A6A">
        <w:t>large</w:t>
      </w:r>
      <w:r w:rsidR="00541D05">
        <w:t xml:space="preserve"> </w:t>
      </w:r>
      <w:r w:rsidR="00D9258C" w:rsidRPr="00FD6A6A">
        <w:t>volume</w:t>
      </w:r>
      <w:r w:rsidR="00541D05">
        <w:t xml:space="preserve"> </w:t>
      </w:r>
      <w:r w:rsidR="00D9258C" w:rsidRPr="00FD6A6A">
        <w:t>of</w:t>
      </w:r>
      <w:r w:rsidR="00541D05">
        <w:t xml:space="preserve"> </w:t>
      </w:r>
      <w:r w:rsidR="00D9258C" w:rsidRPr="00FD6A6A">
        <w:t>investments,</w:t>
      </w:r>
      <w:r w:rsidR="00541D05">
        <w:t xml:space="preserve"> </w:t>
      </w:r>
      <w:r w:rsidR="00D9258C" w:rsidRPr="00FD6A6A">
        <w:t>these</w:t>
      </w:r>
      <w:r w:rsidR="00541D05">
        <w:t xml:space="preserve"> </w:t>
      </w:r>
      <w:r w:rsidR="00D9258C" w:rsidRPr="00FD6A6A">
        <w:t>actions</w:t>
      </w:r>
      <w:r w:rsidR="00541D05">
        <w:t xml:space="preserve"> </w:t>
      </w:r>
      <w:r w:rsidR="00D9258C" w:rsidRPr="00FD6A6A">
        <w:t>enabled</w:t>
      </w:r>
      <w:r w:rsidR="00541D05">
        <w:t xml:space="preserve"> </w:t>
      </w:r>
      <w:r w:rsidR="00D9258C" w:rsidRPr="00FD6A6A">
        <w:t>the</w:t>
      </w:r>
      <w:r w:rsidR="00541D05">
        <w:t xml:space="preserve"> </w:t>
      </w:r>
      <w:r w:rsidR="00D9258C" w:rsidRPr="00FD6A6A">
        <w:t>Government</w:t>
      </w:r>
      <w:r w:rsidR="00541D05">
        <w:t xml:space="preserve"> </w:t>
      </w:r>
      <w:r w:rsidR="00D9258C" w:rsidRPr="00FD6A6A">
        <w:t>to</w:t>
      </w:r>
      <w:r w:rsidR="00541D05">
        <w:t xml:space="preserve"> </w:t>
      </w:r>
      <w:r w:rsidR="00D9258C" w:rsidRPr="00FD6A6A">
        <w:t>act</w:t>
      </w:r>
      <w:r w:rsidR="00541D05">
        <w:t xml:space="preserve"> </w:t>
      </w:r>
      <w:r w:rsidR="00D9258C" w:rsidRPr="00FD6A6A">
        <w:t>in</w:t>
      </w:r>
      <w:r w:rsidR="00541D05">
        <w:t xml:space="preserve"> </w:t>
      </w:r>
      <w:r w:rsidR="00D9258C" w:rsidRPr="00FD6A6A">
        <w:t>dense,</w:t>
      </w:r>
      <w:r w:rsidR="00541D05">
        <w:t xml:space="preserve"> </w:t>
      </w:r>
      <w:r w:rsidR="00D9258C" w:rsidRPr="00FD6A6A">
        <w:t>complex</w:t>
      </w:r>
      <w:r w:rsidR="00541D05">
        <w:t xml:space="preserve"> </w:t>
      </w:r>
      <w:r w:rsidR="00D9258C" w:rsidRPr="00FD6A6A">
        <w:t>areas</w:t>
      </w:r>
      <w:r w:rsidR="00541D05">
        <w:t xml:space="preserve"> </w:t>
      </w:r>
      <w:r w:rsidR="00D9258C" w:rsidRPr="00FD6A6A">
        <w:t>in</w:t>
      </w:r>
      <w:r w:rsidR="00541D05">
        <w:t xml:space="preserve"> </w:t>
      </w:r>
      <w:r w:rsidR="00D9258C" w:rsidRPr="00FD6A6A">
        <w:t>a</w:t>
      </w:r>
      <w:r w:rsidR="00541D05">
        <w:t xml:space="preserve"> </w:t>
      </w:r>
      <w:r w:rsidR="00D9258C" w:rsidRPr="00FD6A6A">
        <w:t>comprehensive</w:t>
      </w:r>
      <w:r w:rsidR="00541D05">
        <w:t xml:space="preserve"> </w:t>
      </w:r>
      <w:r w:rsidR="00D9258C" w:rsidRPr="00FD6A6A">
        <w:t>and</w:t>
      </w:r>
      <w:r w:rsidR="00541D05">
        <w:t xml:space="preserve"> </w:t>
      </w:r>
      <w:r w:rsidR="00D9258C" w:rsidRPr="00FD6A6A">
        <w:t>integrated</w:t>
      </w:r>
      <w:r w:rsidR="00541D05">
        <w:t xml:space="preserve"> </w:t>
      </w:r>
      <w:r w:rsidR="00D9258C" w:rsidRPr="00FD6A6A">
        <w:t>fashion</w:t>
      </w:r>
      <w:r w:rsidR="00541D05">
        <w:t xml:space="preserve"> </w:t>
      </w:r>
      <w:r w:rsidR="00D9258C" w:rsidRPr="00FD6A6A">
        <w:t>in</w:t>
      </w:r>
      <w:r w:rsidR="00541D05">
        <w:t xml:space="preserve"> </w:t>
      </w:r>
      <w:r w:rsidR="00D9258C" w:rsidRPr="00FD6A6A">
        <w:t>all</w:t>
      </w:r>
      <w:r w:rsidR="00541D05">
        <w:t xml:space="preserve"> </w:t>
      </w:r>
      <w:r w:rsidR="00D9258C" w:rsidRPr="00FD6A6A">
        <w:t>cities</w:t>
      </w:r>
      <w:r w:rsidR="00541D05">
        <w:t xml:space="preserve"> </w:t>
      </w:r>
      <w:r w:rsidR="00D9258C" w:rsidRPr="00FD6A6A">
        <w:t>with</w:t>
      </w:r>
      <w:r w:rsidR="00541D05">
        <w:t xml:space="preserve"> </w:t>
      </w:r>
      <w:r w:rsidR="00D9258C" w:rsidRPr="00FD6A6A">
        <w:t>precarious</w:t>
      </w:r>
      <w:r w:rsidR="00541D05">
        <w:t xml:space="preserve"> </w:t>
      </w:r>
      <w:r w:rsidR="00D9258C" w:rsidRPr="00FD6A6A">
        <w:t>settlements.</w:t>
      </w:r>
      <w:r w:rsidR="00541D05">
        <w:t xml:space="preserve"> </w:t>
      </w:r>
      <w:r w:rsidR="00D9258C" w:rsidRPr="00FD6A6A">
        <w:t>Public</w:t>
      </w:r>
      <w:r w:rsidR="00541D05">
        <w:t xml:space="preserve"> </w:t>
      </w:r>
      <w:r w:rsidR="00D9258C" w:rsidRPr="00FD6A6A">
        <w:t>facilities,</w:t>
      </w:r>
      <w:r w:rsidR="00541D05">
        <w:t xml:space="preserve"> </w:t>
      </w:r>
      <w:r w:rsidR="00D9258C" w:rsidRPr="00FD6A6A">
        <w:t>such</w:t>
      </w:r>
      <w:r w:rsidR="00541D05">
        <w:t xml:space="preserve"> </w:t>
      </w:r>
      <w:r w:rsidR="00D9258C" w:rsidRPr="00FD6A6A">
        <w:t>as</w:t>
      </w:r>
      <w:r w:rsidR="00541D05">
        <w:t xml:space="preserve"> </w:t>
      </w:r>
      <w:r w:rsidR="00D9258C" w:rsidRPr="00FD6A6A">
        <w:t>day-care</w:t>
      </w:r>
      <w:r w:rsidR="00541D05">
        <w:t xml:space="preserve"> </w:t>
      </w:r>
      <w:r w:rsidR="00D9258C" w:rsidRPr="00FD6A6A">
        <w:t>centers,</w:t>
      </w:r>
      <w:r w:rsidR="00541D05">
        <w:t xml:space="preserve"> </w:t>
      </w:r>
      <w:r w:rsidR="00D9258C" w:rsidRPr="00FD6A6A">
        <w:t>schools,</w:t>
      </w:r>
      <w:r w:rsidR="00541D05">
        <w:t xml:space="preserve"> </w:t>
      </w:r>
      <w:r w:rsidR="00D9258C" w:rsidRPr="00FD6A6A">
        <w:t>and</w:t>
      </w:r>
      <w:r w:rsidR="00541D05">
        <w:t xml:space="preserve"> </w:t>
      </w:r>
      <w:r w:rsidR="00D9258C" w:rsidRPr="00FD6A6A">
        <w:t>health</w:t>
      </w:r>
      <w:r w:rsidR="00541D05">
        <w:t xml:space="preserve"> </w:t>
      </w:r>
      <w:r w:rsidR="00D9258C" w:rsidRPr="00FD6A6A">
        <w:t>clinics,</w:t>
      </w:r>
      <w:r w:rsidR="00541D05">
        <w:t xml:space="preserve"> </w:t>
      </w:r>
      <w:r w:rsidR="00D9258C" w:rsidRPr="00FD6A6A">
        <w:t>have</w:t>
      </w:r>
      <w:r w:rsidR="00541D05">
        <w:t xml:space="preserve"> </w:t>
      </w:r>
      <w:r w:rsidR="00D9258C" w:rsidRPr="00FD6A6A">
        <w:t>been</w:t>
      </w:r>
      <w:r w:rsidR="00541D05">
        <w:t xml:space="preserve"> </w:t>
      </w:r>
      <w:r w:rsidR="00D9258C" w:rsidRPr="00FD6A6A">
        <w:t>improved.</w:t>
      </w:r>
      <w:r w:rsidR="00541D05">
        <w:t xml:space="preserve"> </w:t>
      </w:r>
      <w:r w:rsidR="00D9258C" w:rsidRPr="00FD6A6A">
        <w:t>The</w:t>
      </w:r>
      <w:r w:rsidR="00541D05">
        <w:t xml:space="preserve"> </w:t>
      </w:r>
      <w:r w:rsidR="00D9258C" w:rsidRPr="00FD6A6A">
        <w:t>expansion</w:t>
      </w:r>
      <w:r w:rsidR="00541D05">
        <w:t xml:space="preserve"> </w:t>
      </w:r>
      <w:r w:rsidR="00D9258C" w:rsidRPr="00FD6A6A">
        <w:t>of</w:t>
      </w:r>
      <w:r w:rsidR="00541D05">
        <w:t xml:space="preserve"> </w:t>
      </w:r>
      <w:r w:rsidR="00D9258C" w:rsidRPr="00FD6A6A">
        <w:t>urbanization</w:t>
      </w:r>
      <w:r w:rsidR="00541D05">
        <w:t xml:space="preserve"> </w:t>
      </w:r>
      <w:r w:rsidR="00D9258C" w:rsidRPr="00FD6A6A">
        <w:t>also</w:t>
      </w:r>
      <w:r w:rsidR="00541D05">
        <w:t xml:space="preserve"> </w:t>
      </w:r>
      <w:r w:rsidR="00D9258C" w:rsidRPr="00FD6A6A">
        <w:t>mitigated</w:t>
      </w:r>
      <w:r w:rsidR="00541D05">
        <w:t xml:space="preserve"> </w:t>
      </w:r>
      <w:r w:rsidR="00D9258C" w:rsidRPr="00FD6A6A">
        <w:t>risks</w:t>
      </w:r>
      <w:r w:rsidR="00541D05">
        <w:t xml:space="preserve"> </w:t>
      </w:r>
      <w:r w:rsidR="00D9258C" w:rsidRPr="00FD6A6A">
        <w:t>and</w:t>
      </w:r>
      <w:r w:rsidR="00541D05">
        <w:t xml:space="preserve"> </w:t>
      </w:r>
      <w:r w:rsidR="00D9258C" w:rsidRPr="00FD6A6A">
        <w:t>environmental</w:t>
      </w:r>
      <w:r w:rsidR="00541D05">
        <w:t xml:space="preserve"> </w:t>
      </w:r>
      <w:r w:rsidR="00D9258C" w:rsidRPr="00FD6A6A">
        <w:t>impacts,</w:t>
      </w:r>
      <w:r w:rsidR="00541D05">
        <w:t xml:space="preserve"> </w:t>
      </w:r>
      <w:r w:rsidR="00D9258C" w:rsidRPr="00FD6A6A">
        <w:t>induced</w:t>
      </w:r>
      <w:r w:rsidR="00541D05">
        <w:t xml:space="preserve"> </w:t>
      </w:r>
      <w:r w:rsidR="00D9258C" w:rsidRPr="00FD6A6A">
        <w:t>the</w:t>
      </w:r>
      <w:r w:rsidR="00541D05">
        <w:t xml:space="preserve"> </w:t>
      </w:r>
      <w:r w:rsidR="00D9258C" w:rsidRPr="00FD6A6A">
        <w:t>expansion</w:t>
      </w:r>
      <w:r w:rsidR="00541D05">
        <w:t xml:space="preserve"> </w:t>
      </w:r>
      <w:r w:rsidR="00D9258C" w:rsidRPr="00FD6A6A">
        <w:t>of</w:t>
      </w:r>
      <w:r w:rsidR="00541D05">
        <w:t xml:space="preserve"> </w:t>
      </w:r>
      <w:r w:rsidR="00D9258C" w:rsidRPr="00FD6A6A">
        <w:t>land</w:t>
      </w:r>
      <w:r w:rsidR="00541D05">
        <w:t xml:space="preserve"> </w:t>
      </w:r>
      <w:r w:rsidR="00D9258C" w:rsidRPr="00FD6A6A">
        <w:t>regularization</w:t>
      </w:r>
      <w:r w:rsidR="00541D05">
        <w:t xml:space="preserve"> </w:t>
      </w:r>
      <w:r w:rsidR="00D9258C" w:rsidRPr="00FD6A6A">
        <w:t>programs</w:t>
      </w:r>
      <w:r w:rsidR="00541D05">
        <w:t xml:space="preserve"> </w:t>
      </w:r>
      <w:r w:rsidR="00D9258C" w:rsidRPr="00FD6A6A">
        <w:t>and</w:t>
      </w:r>
      <w:r w:rsidR="00541D05">
        <w:t xml:space="preserve"> </w:t>
      </w:r>
      <w:r w:rsidR="00D9258C" w:rsidRPr="00FD6A6A">
        <w:t>incorporated</w:t>
      </w:r>
      <w:r w:rsidR="00541D05">
        <w:t xml:space="preserve"> </w:t>
      </w:r>
      <w:r w:rsidR="00D9258C" w:rsidRPr="00FD6A6A">
        <w:t>human</w:t>
      </w:r>
      <w:r w:rsidR="00541D05">
        <w:t xml:space="preserve"> </w:t>
      </w:r>
      <w:r w:rsidR="00D9258C" w:rsidRPr="00FD6A6A">
        <w:t>mobility</w:t>
      </w:r>
      <w:r w:rsidR="00541D05">
        <w:t xml:space="preserve"> </w:t>
      </w:r>
      <w:r w:rsidR="00D9258C" w:rsidRPr="00FD6A6A">
        <w:t>measures,</w:t>
      </w:r>
      <w:r w:rsidR="00541D05">
        <w:t xml:space="preserve"> </w:t>
      </w:r>
      <w:r w:rsidR="00D9258C" w:rsidRPr="00FD6A6A">
        <w:t>promoting</w:t>
      </w:r>
      <w:r w:rsidR="00541D05">
        <w:t xml:space="preserve"> </w:t>
      </w:r>
      <w:r w:rsidR="00D9258C" w:rsidRPr="00FD6A6A">
        <w:t>better</w:t>
      </w:r>
      <w:r w:rsidR="00541D05">
        <w:t xml:space="preserve"> </w:t>
      </w:r>
      <w:r w:rsidR="00D9258C" w:rsidRPr="00FD6A6A">
        <w:t>integration</w:t>
      </w:r>
      <w:r w:rsidR="00541D05">
        <w:t xml:space="preserve"> </w:t>
      </w:r>
      <w:r w:rsidR="00D9258C" w:rsidRPr="00FD6A6A">
        <w:t>of</w:t>
      </w:r>
      <w:r w:rsidR="00541D05">
        <w:t xml:space="preserve"> </w:t>
      </w:r>
      <w:r w:rsidR="00D9258C" w:rsidRPr="00FD6A6A">
        <w:t>urban</w:t>
      </w:r>
      <w:r w:rsidR="00541D05">
        <w:t xml:space="preserve"> </w:t>
      </w:r>
      <w:r w:rsidR="00D9258C" w:rsidRPr="00FD6A6A">
        <w:t>areas.</w:t>
      </w:r>
    </w:p>
    <w:p w14:paraId="26A65D96" w14:textId="2FD64536" w:rsidR="00D9258C" w:rsidRPr="00FD6A6A" w:rsidRDefault="00166390" w:rsidP="00166390">
      <w:pPr>
        <w:pStyle w:val="ParaNoG"/>
        <w:numPr>
          <w:ilvl w:val="0"/>
          <w:numId w:val="0"/>
        </w:numPr>
        <w:tabs>
          <w:tab w:val="left" w:pos="0"/>
        </w:tabs>
        <w:ind w:left="1134"/>
      </w:pPr>
      <w:r w:rsidRPr="00FD6A6A">
        <w:t>44.</w:t>
      </w:r>
      <w:r w:rsidRPr="00FD6A6A">
        <w:tab/>
      </w:r>
      <w:r w:rsidR="00D9258C" w:rsidRPr="00FD6A6A">
        <w:t>The</w:t>
      </w:r>
      <w:r w:rsidR="00541D05">
        <w:t xml:space="preserve"> </w:t>
      </w:r>
      <w:r w:rsidR="00D9258C" w:rsidRPr="00FD6A6A">
        <w:t>Brazilian</w:t>
      </w:r>
      <w:r w:rsidR="00541D05">
        <w:t xml:space="preserve"> </w:t>
      </w:r>
      <w:r w:rsidR="00D9258C" w:rsidRPr="00FD6A6A">
        <w:t>housing</w:t>
      </w:r>
      <w:r w:rsidR="00541D05">
        <w:t xml:space="preserve"> </w:t>
      </w:r>
      <w:r w:rsidR="00D9258C" w:rsidRPr="00FD6A6A">
        <w:t>policy,</w:t>
      </w:r>
      <w:r w:rsidR="00541D05">
        <w:t xml:space="preserve"> </w:t>
      </w:r>
      <w:r w:rsidR="00D9258C" w:rsidRPr="00FD6A6A">
        <w:t>although</w:t>
      </w:r>
      <w:r w:rsidR="00541D05">
        <w:t xml:space="preserve"> </w:t>
      </w:r>
      <w:r w:rsidR="00D9258C" w:rsidRPr="00FD6A6A">
        <w:t>reaching</w:t>
      </w:r>
      <w:r w:rsidR="00541D05">
        <w:t xml:space="preserve"> </w:t>
      </w:r>
      <w:r w:rsidR="00D9258C" w:rsidRPr="00FD6A6A">
        <w:t>significant</w:t>
      </w:r>
      <w:r w:rsidR="00541D05">
        <w:t xml:space="preserve"> </w:t>
      </w:r>
      <w:r w:rsidR="00D9258C" w:rsidRPr="00FD6A6A">
        <w:t>results</w:t>
      </w:r>
      <w:r w:rsidR="00541D05">
        <w:t xml:space="preserve"> </w:t>
      </w:r>
      <w:r w:rsidR="00D9258C" w:rsidRPr="00FD6A6A">
        <w:t>through</w:t>
      </w:r>
      <w:r w:rsidR="00541D05">
        <w:t xml:space="preserve"> </w:t>
      </w:r>
      <w:r w:rsidR="00D9258C" w:rsidRPr="00FD6A6A">
        <w:t>the</w:t>
      </w:r>
      <w:r w:rsidR="00541D05">
        <w:t xml:space="preserve"> </w:t>
      </w:r>
      <w:r w:rsidR="00D9258C" w:rsidRPr="00FD6A6A">
        <w:t>PMCMV,</w:t>
      </w:r>
      <w:r w:rsidR="00541D05">
        <w:t xml:space="preserve"> </w:t>
      </w:r>
      <w:r w:rsidR="00D9258C" w:rsidRPr="00FD6A6A">
        <w:t>was</w:t>
      </w:r>
      <w:r w:rsidR="00541D05">
        <w:t xml:space="preserve"> </w:t>
      </w:r>
      <w:r w:rsidR="00D9258C" w:rsidRPr="00FD6A6A">
        <w:t>still</w:t>
      </w:r>
      <w:r w:rsidR="00541D05">
        <w:t xml:space="preserve"> </w:t>
      </w:r>
      <w:r w:rsidR="00D9258C" w:rsidRPr="00FD6A6A">
        <w:t>not</w:t>
      </w:r>
      <w:r w:rsidR="00541D05">
        <w:t xml:space="preserve"> </w:t>
      </w:r>
      <w:r w:rsidR="00D9258C" w:rsidRPr="00FD6A6A">
        <w:t>sufficient</w:t>
      </w:r>
      <w:r w:rsidR="00541D05">
        <w:t xml:space="preserve"> </w:t>
      </w:r>
      <w:r w:rsidR="00D9258C" w:rsidRPr="00FD6A6A">
        <w:t>to</w:t>
      </w:r>
      <w:r w:rsidR="00541D05">
        <w:t xml:space="preserve"> </w:t>
      </w:r>
      <w:r w:rsidR="00D9258C" w:rsidRPr="00FD6A6A">
        <w:t>definitively</w:t>
      </w:r>
      <w:r w:rsidR="00541D05">
        <w:t xml:space="preserve"> </w:t>
      </w:r>
      <w:r w:rsidR="00D9258C" w:rsidRPr="00FD6A6A">
        <w:t>break</w:t>
      </w:r>
      <w:r w:rsidR="00541D05">
        <w:t xml:space="preserve"> </w:t>
      </w:r>
      <w:r w:rsidR="00D9258C" w:rsidRPr="00FD6A6A">
        <w:t>the</w:t>
      </w:r>
      <w:r w:rsidR="00541D05">
        <w:t xml:space="preserve"> </w:t>
      </w:r>
      <w:r w:rsidR="00D9258C" w:rsidRPr="00FD6A6A">
        <w:t>segregationist</w:t>
      </w:r>
      <w:r w:rsidR="00541D05">
        <w:t xml:space="preserve"> </w:t>
      </w:r>
      <w:r w:rsidR="00D9258C" w:rsidRPr="00FD6A6A">
        <w:t>logic</w:t>
      </w:r>
      <w:r w:rsidR="00541D05">
        <w:t xml:space="preserve"> </w:t>
      </w:r>
      <w:r w:rsidR="00D9258C" w:rsidRPr="00FD6A6A">
        <w:t>that</w:t>
      </w:r>
      <w:r w:rsidR="00541D05">
        <w:t xml:space="preserve"> </w:t>
      </w:r>
      <w:r w:rsidR="00D9258C" w:rsidRPr="00FD6A6A">
        <w:t>characterizes</w:t>
      </w:r>
      <w:r w:rsidR="00541D05">
        <w:t xml:space="preserve"> </w:t>
      </w:r>
      <w:r w:rsidR="00D9258C" w:rsidRPr="00FD6A6A">
        <w:t>the</w:t>
      </w:r>
      <w:r w:rsidR="00541D05">
        <w:t xml:space="preserve"> </w:t>
      </w:r>
      <w:r w:rsidR="00D9258C" w:rsidRPr="00FD6A6A">
        <w:t>geography</w:t>
      </w:r>
      <w:r w:rsidR="00541D05">
        <w:t xml:space="preserve"> </w:t>
      </w:r>
      <w:r w:rsidR="00D9258C" w:rsidRPr="00FD6A6A">
        <w:t>of</w:t>
      </w:r>
      <w:r w:rsidR="00541D05">
        <w:t xml:space="preserve"> </w:t>
      </w:r>
      <w:r w:rsidR="00D9258C" w:rsidRPr="00FD6A6A">
        <w:t>the</w:t>
      </w:r>
      <w:r w:rsidR="00541D05">
        <w:t xml:space="preserve"> </w:t>
      </w:r>
      <w:r w:rsidR="00D9258C" w:rsidRPr="00FD6A6A">
        <w:t>main</w:t>
      </w:r>
      <w:r w:rsidR="00541D05">
        <w:t xml:space="preserve"> </w:t>
      </w:r>
      <w:r w:rsidR="00D9258C" w:rsidRPr="00FD6A6A">
        <w:t>Brazilian</w:t>
      </w:r>
      <w:r w:rsidR="00541D05">
        <w:t xml:space="preserve"> </w:t>
      </w:r>
      <w:r w:rsidR="00D9258C" w:rsidRPr="00FD6A6A">
        <w:t>cities.</w:t>
      </w:r>
      <w:r w:rsidR="00541D05">
        <w:t xml:space="preserve"> </w:t>
      </w:r>
      <w:r w:rsidR="00D9258C" w:rsidRPr="00FD6A6A">
        <w:t>Generally,</w:t>
      </w:r>
      <w:r w:rsidR="00541D05">
        <w:t xml:space="preserve"> </w:t>
      </w:r>
      <w:r w:rsidR="00D9258C" w:rsidRPr="00FD6A6A">
        <w:t>most</w:t>
      </w:r>
      <w:r w:rsidR="00541D05">
        <w:t xml:space="preserve"> </w:t>
      </w:r>
      <w:r w:rsidR="00D9258C" w:rsidRPr="00FD6A6A">
        <w:t>units</w:t>
      </w:r>
      <w:r w:rsidR="00541D05">
        <w:t xml:space="preserve"> </w:t>
      </w:r>
      <w:r w:rsidR="00D9258C" w:rsidRPr="00FD6A6A">
        <w:t>directed</w:t>
      </w:r>
      <w:r w:rsidR="00541D05">
        <w:t xml:space="preserve"> </w:t>
      </w:r>
      <w:r w:rsidR="00D9258C" w:rsidRPr="00FD6A6A">
        <w:t>to</w:t>
      </w:r>
      <w:r w:rsidR="00541D05">
        <w:t xml:space="preserve"> </w:t>
      </w:r>
      <w:r w:rsidR="00D9258C" w:rsidRPr="00FD6A6A">
        <w:t>the</w:t>
      </w:r>
      <w:r w:rsidR="00541D05">
        <w:t xml:space="preserve"> </w:t>
      </w:r>
      <w:r w:rsidR="00D9258C" w:rsidRPr="00FD6A6A">
        <w:t>low-income</w:t>
      </w:r>
      <w:r w:rsidR="00541D05">
        <w:t xml:space="preserve"> </w:t>
      </w:r>
      <w:r w:rsidR="00D9258C" w:rsidRPr="00FD6A6A">
        <w:t>population</w:t>
      </w:r>
      <w:r w:rsidR="00541D05">
        <w:t xml:space="preserve"> </w:t>
      </w:r>
      <w:r w:rsidR="00D9258C" w:rsidRPr="00FD6A6A">
        <w:t>were</w:t>
      </w:r>
      <w:r w:rsidR="00541D05">
        <w:t xml:space="preserve"> </w:t>
      </w:r>
      <w:r w:rsidR="00D9258C" w:rsidRPr="00FD6A6A">
        <w:t>concentrated</w:t>
      </w:r>
      <w:r w:rsidR="00541D05">
        <w:t xml:space="preserve"> </w:t>
      </w:r>
      <w:r w:rsidR="00D9258C" w:rsidRPr="00FD6A6A">
        <w:t>in</w:t>
      </w:r>
      <w:r w:rsidR="00541D05">
        <w:t xml:space="preserve"> </w:t>
      </w:r>
      <w:r w:rsidR="00D9258C" w:rsidRPr="00FD6A6A">
        <w:t>regions</w:t>
      </w:r>
      <w:r w:rsidR="00541D05">
        <w:t xml:space="preserve"> </w:t>
      </w:r>
      <w:r w:rsidR="00D9258C" w:rsidRPr="00FD6A6A">
        <w:t>with</w:t>
      </w:r>
      <w:r w:rsidR="00541D05">
        <w:t xml:space="preserve"> </w:t>
      </w:r>
      <w:r w:rsidR="00D9258C" w:rsidRPr="00FD6A6A">
        <w:t>low</w:t>
      </w:r>
      <w:r w:rsidR="00541D05">
        <w:t xml:space="preserve"> </w:t>
      </w:r>
      <w:r w:rsidR="00D9258C" w:rsidRPr="00FD6A6A">
        <w:t>urban</w:t>
      </w:r>
      <w:r w:rsidR="00541D05">
        <w:t xml:space="preserve"> </w:t>
      </w:r>
      <w:r w:rsidR="00D9258C" w:rsidRPr="00FD6A6A">
        <w:t>quality,</w:t>
      </w:r>
      <w:r w:rsidR="00541D05">
        <w:t xml:space="preserve"> </w:t>
      </w:r>
      <w:r w:rsidR="00D9258C" w:rsidRPr="00FD6A6A">
        <w:t>precarious</w:t>
      </w:r>
      <w:r w:rsidR="00541D05">
        <w:t xml:space="preserve"> </w:t>
      </w:r>
      <w:r w:rsidR="00D9258C" w:rsidRPr="00FD6A6A">
        <w:t>buildings,</w:t>
      </w:r>
      <w:r w:rsidR="00541D05">
        <w:t xml:space="preserve"> </w:t>
      </w:r>
      <w:r w:rsidR="00D9258C" w:rsidRPr="00FD6A6A">
        <w:t>insufficient</w:t>
      </w:r>
      <w:r w:rsidR="00541D05">
        <w:t xml:space="preserve"> </w:t>
      </w:r>
      <w:r w:rsidR="00D9258C" w:rsidRPr="00FD6A6A">
        <w:t>supply</w:t>
      </w:r>
      <w:r w:rsidR="00541D05">
        <w:t xml:space="preserve"> </w:t>
      </w:r>
      <w:r w:rsidR="00D9258C" w:rsidRPr="00FD6A6A">
        <w:t>of</w:t>
      </w:r>
      <w:r w:rsidR="00541D05">
        <w:t xml:space="preserve"> </w:t>
      </w:r>
      <w:r w:rsidR="00D9258C" w:rsidRPr="00FD6A6A">
        <w:t>public</w:t>
      </w:r>
      <w:r w:rsidR="00541D05">
        <w:t xml:space="preserve"> </w:t>
      </w:r>
      <w:r w:rsidR="00D9258C" w:rsidRPr="00FD6A6A">
        <w:t>goods</w:t>
      </w:r>
      <w:r w:rsidR="00541D05">
        <w:t xml:space="preserve"> </w:t>
      </w:r>
      <w:r w:rsidR="00D9258C" w:rsidRPr="00FD6A6A">
        <w:t>and</w:t>
      </w:r>
      <w:r w:rsidR="00541D05">
        <w:t xml:space="preserve"> </w:t>
      </w:r>
      <w:r w:rsidR="00D9258C" w:rsidRPr="00FD6A6A">
        <w:t>services,</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social</w:t>
      </w:r>
      <w:r w:rsidR="00541D05">
        <w:t xml:space="preserve"> </w:t>
      </w:r>
      <w:r w:rsidR="00D9258C" w:rsidRPr="00FD6A6A">
        <w:t>issues,</w:t>
      </w:r>
      <w:r w:rsidR="00541D05">
        <w:t xml:space="preserve"> </w:t>
      </w:r>
      <w:r w:rsidR="00D9258C" w:rsidRPr="00FD6A6A">
        <w:t>most</w:t>
      </w:r>
      <w:r w:rsidR="00541D05">
        <w:t xml:space="preserve"> </w:t>
      </w:r>
      <w:r w:rsidR="00D9258C" w:rsidRPr="00FD6A6A">
        <w:t>notably</w:t>
      </w:r>
      <w:r w:rsidR="00541D05">
        <w:t xml:space="preserve"> </w:t>
      </w:r>
      <w:r w:rsidR="00D9258C" w:rsidRPr="00FD6A6A">
        <w:t>criminal</w:t>
      </w:r>
      <w:r w:rsidR="00541D05">
        <w:t xml:space="preserve"> </w:t>
      </w:r>
      <w:r w:rsidR="00D9258C" w:rsidRPr="00FD6A6A">
        <w:t>violence.</w:t>
      </w:r>
    </w:p>
    <w:p w14:paraId="576102CE" w14:textId="7C143F88" w:rsidR="00D9258C" w:rsidRPr="00FD6A6A" w:rsidRDefault="00166390" w:rsidP="00166390">
      <w:pPr>
        <w:pStyle w:val="ParaNoG"/>
        <w:numPr>
          <w:ilvl w:val="0"/>
          <w:numId w:val="0"/>
        </w:numPr>
        <w:tabs>
          <w:tab w:val="left" w:pos="0"/>
        </w:tabs>
        <w:ind w:left="1134"/>
      </w:pPr>
      <w:r w:rsidRPr="00FD6A6A">
        <w:t>45.</w:t>
      </w:r>
      <w:r w:rsidRPr="00FD6A6A">
        <w:tab/>
      </w:r>
      <w:r w:rsidR="00D9258C" w:rsidRPr="00FD6A6A">
        <w:t>With</w:t>
      </w:r>
      <w:r w:rsidR="00541D05">
        <w:t xml:space="preserve"> </w:t>
      </w:r>
      <w:r w:rsidR="00D9258C" w:rsidRPr="00FD6A6A">
        <w:t>regard</w:t>
      </w:r>
      <w:r w:rsidR="00541D05">
        <w:t xml:space="preserve"> </w:t>
      </w:r>
      <w:r w:rsidR="00D9258C" w:rsidRPr="00FD6A6A">
        <w:t>to</w:t>
      </w:r>
      <w:r w:rsidR="00541D05">
        <w:t xml:space="preserve"> </w:t>
      </w:r>
      <w:r w:rsidR="00D9258C" w:rsidRPr="00FD6A6A">
        <w:t>incarceration,</w:t>
      </w:r>
      <w:r w:rsidR="00541D05">
        <w:t xml:space="preserve"> </w:t>
      </w:r>
      <w:r w:rsidR="00D9258C" w:rsidRPr="00FD6A6A">
        <w:t>in</w:t>
      </w:r>
      <w:r w:rsidR="00541D05">
        <w:t xml:space="preserve"> </w:t>
      </w:r>
      <w:r w:rsidR="00D9258C" w:rsidRPr="00FD6A6A">
        <w:t>June</w:t>
      </w:r>
      <w:r w:rsidR="00541D05">
        <w:t xml:space="preserve"> </w:t>
      </w:r>
      <w:r w:rsidR="00D9258C" w:rsidRPr="00FD6A6A">
        <w:t>2016,</w:t>
      </w:r>
      <w:r w:rsidR="00541D05">
        <w:t xml:space="preserve"> </w:t>
      </w:r>
      <w:r w:rsidR="00D9258C" w:rsidRPr="00FD6A6A">
        <w:t>the</w:t>
      </w:r>
      <w:r w:rsidR="00541D05">
        <w:t xml:space="preserve"> </w:t>
      </w:r>
      <w:r w:rsidR="00D9258C" w:rsidRPr="00FD6A6A">
        <w:t>Brazilian</w:t>
      </w:r>
      <w:r w:rsidR="00541D05">
        <w:t xml:space="preserve"> </w:t>
      </w:r>
      <w:r w:rsidR="00D9258C" w:rsidRPr="00FD6A6A">
        <w:t>prison</w:t>
      </w:r>
      <w:r w:rsidR="00541D05">
        <w:t xml:space="preserve"> </w:t>
      </w:r>
      <w:r w:rsidR="00D9258C" w:rsidRPr="00FD6A6A">
        <w:t>population</w:t>
      </w:r>
      <w:r w:rsidR="00541D05">
        <w:t xml:space="preserve"> </w:t>
      </w:r>
      <w:r w:rsidR="00D9258C" w:rsidRPr="00FD6A6A">
        <w:t>reached</w:t>
      </w:r>
      <w:r w:rsidR="00541D05">
        <w:t xml:space="preserve"> </w:t>
      </w:r>
      <w:r w:rsidR="00D9258C" w:rsidRPr="00FD6A6A">
        <w:t>726,712</w:t>
      </w:r>
      <w:r w:rsidR="00541D05">
        <w:t xml:space="preserve"> </w:t>
      </w:r>
      <w:r w:rsidR="00D9258C" w:rsidRPr="00FD6A6A">
        <w:t>people,</w:t>
      </w:r>
      <w:r w:rsidR="00541D05">
        <w:t xml:space="preserve"> </w:t>
      </w:r>
      <w:r w:rsidR="00D9258C" w:rsidRPr="00FD6A6A">
        <w:t>of</w:t>
      </w:r>
      <w:r w:rsidR="00541D05">
        <w:t xml:space="preserve"> </w:t>
      </w:r>
      <w:r w:rsidR="00D9258C" w:rsidRPr="00FD6A6A">
        <w:t>which</w:t>
      </w:r>
      <w:r w:rsidR="00541D05">
        <w:t xml:space="preserve"> </w:t>
      </w:r>
      <w:r w:rsidR="00D9258C" w:rsidRPr="00FD6A6A">
        <w:t>40%</w:t>
      </w:r>
      <w:r w:rsidR="00541D05">
        <w:t xml:space="preserve"> </w:t>
      </w:r>
      <w:r w:rsidR="00D9258C" w:rsidRPr="00FD6A6A">
        <w:t>were</w:t>
      </w:r>
      <w:r w:rsidR="00541D05">
        <w:t xml:space="preserve"> </w:t>
      </w:r>
      <w:r w:rsidR="00D9258C" w:rsidRPr="00FD6A6A">
        <w:t>in</w:t>
      </w:r>
      <w:r w:rsidR="00541D05">
        <w:t xml:space="preserve"> </w:t>
      </w:r>
      <w:r w:rsidR="00D9258C" w:rsidRPr="00FD6A6A">
        <w:t>situation</w:t>
      </w:r>
      <w:r w:rsidR="00541D05">
        <w:t xml:space="preserve"> </w:t>
      </w:r>
      <w:r w:rsidR="00D9258C" w:rsidRPr="00FD6A6A">
        <w:t>of</w:t>
      </w:r>
      <w:r w:rsidR="00541D05">
        <w:t xml:space="preserve"> </w:t>
      </w:r>
      <w:r w:rsidR="00D9258C" w:rsidRPr="00FD6A6A">
        <w:t>temporary</w:t>
      </w:r>
      <w:r w:rsidR="00541D05">
        <w:t xml:space="preserve"> </w:t>
      </w:r>
      <w:r w:rsidR="00D9258C" w:rsidRPr="00FD6A6A">
        <w:t>imprisonment,</w:t>
      </w:r>
      <w:r w:rsidR="00541D05">
        <w:t xml:space="preserve"> </w:t>
      </w:r>
      <w:r w:rsidR="00D9258C" w:rsidRPr="00FD6A6A">
        <w:t>i.e.,</w:t>
      </w:r>
      <w:r w:rsidR="00541D05">
        <w:t xml:space="preserve"> </w:t>
      </w:r>
      <w:r w:rsidR="00D9258C" w:rsidRPr="00FD6A6A">
        <w:t>there</w:t>
      </w:r>
      <w:r w:rsidR="00541D05">
        <w:t xml:space="preserve"> </w:t>
      </w:r>
      <w:r w:rsidR="00D9258C" w:rsidRPr="00FD6A6A">
        <w:t>was</w:t>
      </w:r>
      <w:r w:rsidR="00541D05">
        <w:t xml:space="preserve"> </w:t>
      </w:r>
      <w:r w:rsidR="00D9258C" w:rsidRPr="00FD6A6A">
        <w:t>no</w:t>
      </w:r>
      <w:r w:rsidR="00541D05">
        <w:t xml:space="preserve"> </w:t>
      </w:r>
      <w:r w:rsidR="00D9258C" w:rsidRPr="00FD6A6A">
        <w:t>final</w:t>
      </w:r>
      <w:r w:rsidR="00541D05">
        <w:t xml:space="preserve"> </w:t>
      </w:r>
      <w:r w:rsidR="00D9258C" w:rsidRPr="00FD6A6A">
        <w:t>judicial</w:t>
      </w:r>
      <w:r w:rsidR="00541D05">
        <w:t xml:space="preserve"> </w:t>
      </w:r>
      <w:r w:rsidR="00D9258C" w:rsidRPr="00FD6A6A">
        <w:t>ruling</w:t>
      </w:r>
      <w:r w:rsidR="00541D05">
        <w:t xml:space="preserve"> </w:t>
      </w:r>
      <w:r w:rsidR="00D9258C" w:rsidRPr="00FD6A6A">
        <w:t>on</w:t>
      </w:r>
      <w:r w:rsidR="00541D05">
        <w:t xml:space="preserve"> </w:t>
      </w:r>
      <w:r w:rsidR="00D9258C" w:rsidRPr="00FD6A6A">
        <w:t>the</w:t>
      </w:r>
      <w:r w:rsidR="00541D05">
        <w:t xml:space="preserve"> </w:t>
      </w:r>
      <w:r w:rsidR="00D9258C" w:rsidRPr="00FD6A6A">
        <w:t>case.</w:t>
      </w:r>
      <w:r w:rsidR="00541D05">
        <w:t xml:space="preserve"> </w:t>
      </w:r>
      <w:r w:rsidR="00D9258C" w:rsidRPr="00FD6A6A">
        <w:t>Of</w:t>
      </w:r>
      <w:r w:rsidR="00541D05">
        <w:t xml:space="preserve"> </w:t>
      </w:r>
      <w:r w:rsidR="00D9258C" w:rsidRPr="00FD6A6A">
        <w:t>this</w:t>
      </w:r>
      <w:r w:rsidR="00541D05">
        <w:t xml:space="preserve"> </w:t>
      </w:r>
      <w:r w:rsidR="00D9258C" w:rsidRPr="00FD6A6A">
        <w:t>total,</w:t>
      </w:r>
      <w:r w:rsidR="00541D05">
        <w:t xml:space="preserve"> </w:t>
      </w:r>
      <w:r w:rsidR="00D9258C" w:rsidRPr="00FD6A6A">
        <w:t>more</w:t>
      </w:r>
      <w:r w:rsidR="00541D05">
        <w:t xml:space="preserve"> </w:t>
      </w:r>
      <w:r w:rsidR="00D9258C" w:rsidRPr="00FD6A6A">
        <w:t>than</w:t>
      </w:r>
      <w:r w:rsidR="00541D05">
        <w:t xml:space="preserve"> </w:t>
      </w:r>
      <w:r w:rsidR="00D9258C" w:rsidRPr="00FD6A6A">
        <w:t>half</w:t>
      </w:r>
      <w:r w:rsidR="00541D05">
        <w:t xml:space="preserve"> </w:t>
      </w:r>
      <w:r w:rsidR="00D9258C" w:rsidRPr="00FD6A6A">
        <w:t>are</w:t>
      </w:r>
      <w:r w:rsidR="00541D05">
        <w:t xml:space="preserve"> </w:t>
      </w:r>
      <w:r w:rsidR="00D9258C" w:rsidRPr="00FD6A6A">
        <w:t>young</w:t>
      </w:r>
      <w:r w:rsidR="00541D05">
        <w:t xml:space="preserve"> </w:t>
      </w:r>
      <w:r w:rsidR="00D9258C" w:rsidRPr="00FD6A6A">
        <w:t>adults</w:t>
      </w:r>
      <w:r w:rsidR="00541D05">
        <w:t xml:space="preserve"> </w:t>
      </w:r>
      <w:r w:rsidR="00D9258C" w:rsidRPr="00FD6A6A">
        <w:t>in</w:t>
      </w:r>
      <w:r w:rsidR="00541D05">
        <w:t xml:space="preserve"> </w:t>
      </w:r>
      <w:r w:rsidR="00D9258C" w:rsidRPr="00FD6A6A">
        <w:t>full</w:t>
      </w:r>
      <w:r w:rsidR="00541D05">
        <w:t xml:space="preserve"> </w:t>
      </w:r>
      <w:r w:rsidR="00D9258C" w:rsidRPr="00FD6A6A">
        <w:t>working</w:t>
      </w:r>
      <w:r w:rsidR="00541D05">
        <w:t xml:space="preserve"> </w:t>
      </w:r>
      <w:r w:rsidR="00D9258C" w:rsidRPr="00FD6A6A">
        <w:t>age</w:t>
      </w:r>
      <w:r w:rsidR="00541D05">
        <w:t xml:space="preserve"> </w:t>
      </w:r>
      <w:r w:rsidR="00D9258C" w:rsidRPr="00FD6A6A">
        <w:t>(between</w:t>
      </w:r>
      <w:r w:rsidR="00541D05">
        <w:t xml:space="preserve"> </w:t>
      </w:r>
      <w:r w:rsidR="00D9258C" w:rsidRPr="00FD6A6A">
        <w:t>18</w:t>
      </w:r>
      <w:r w:rsidR="00541D05">
        <w:t xml:space="preserve"> </w:t>
      </w:r>
      <w:r w:rsidR="00D9258C" w:rsidRPr="00FD6A6A">
        <w:t>and</w:t>
      </w:r>
      <w:r w:rsidR="00541D05">
        <w:t xml:space="preserve"> </w:t>
      </w:r>
      <w:r w:rsidR="00D9258C" w:rsidRPr="00FD6A6A">
        <w:t>29</w:t>
      </w:r>
      <w:r w:rsidR="00541D05">
        <w:t xml:space="preserve"> </w:t>
      </w:r>
      <w:r w:rsidR="00D9258C" w:rsidRPr="00FD6A6A">
        <w:t>years)</w:t>
      </w:r>
      <w:r w:rsidR="00541D05">
        <w:t xml:space="preserve"> </w:t>
      </w:r>
      <w:r w:rsidR="00D9258C" w:rsidRPr="00FD6A6A">
        <w:t>and</w:t>
      </w:r>
      <w:r w:rsidR="00541D05">
        <w:t xml:space="preserve"> </w:t>
      </w:r>
      <w:r w:rsidR="00D9258C" w:rsidRPr="00FD6A6A">
        <w:t>64%</w:t>
      </w:r>
      <w:r w:rsidR="00541D05">
        <w:t xml:space="preserve"> </w:t>
      </w:r>
      <w:r w:rsidR="00D9258C" w:rsidRPr="00FD6A6A">
        <w:t>are</w:t>
      </w:r>
      <w:r w:rsidR="00541D05">
        <w:t xml:space="preserve"> </w:t>
      </w:r>
      <w:r w:rsidR="00D9258C" w:rsidRPr="00FD6A6A">
        <w:t>Afro-Brazilian.</w:t>
      </w:r>
    </w:p>
    <w:p w14:paraId="3FB58555" w14:textId="687C1A92" w:rsidR="00D9258C" w:rsidRPr="00FD6A6A" w:rsidRDefault="00166390" w:rsidP="00166390">
      <w:pPr>
        <w:pStyle w:val="ParaNoG"/>
        <w:numPr>
          <w:ilvl w:val="0"/>
          <w:numId w:val="0"/>
        </w:numPr>
        <w:tabs>
          <w:tab w:val="left" w:pos="0"/>
        </w:tabs>
        <w:ind w:left="1134"/>
      </w:pPr>
      <w:r w:rsidRPr="00FD6A6A">
        <w:t>46.</w:t>
      </w:r>
      <w:r w:rsidRPr="00FD6A6A">
        <w:tab/>
      </w:r>
      <w:r w:rsidR="00D9258C" w:rsidRPr="00FD6A6A">
        <w:t>The</w:t>
      </w:r>
      <w:r w:rsidR="00541D05">
        <w:t xml:space="preserve"> </w:t>
      </w:r>
      <w:r w:rsidR="00D9258C" w:rsidRPr="00FD6A6A">
        <w:t>National</w:t>
      </w:r>
      <w:r w:rsidR="00541D05">
        <w:t xml:space="preserve"> </w:t>
      </w:r>
      <w:r w:rsidR="00D9258C" w:rsidRPr="00FD6A6A">
        <w:t>Penitentiary</w:t>
      </w:r>
      <w:r w:rsidR="00541D05">
        <w:t xml:space="preserve"> </w:t>
      </w:r>
      <w:r w:rsidR="00D9258C" w:rsidRPr="00FD6A6A">
        <w:t>Information</w:t>
      </w:r>
      <w:r w:rsidR="00541D05">
        <w:t xml:space="preserve"> </w:t>
      </w:r>
      <w:r w:rsidR="00D9258C" w:rsidRPr="00FD6A6A">
        <w:t>System,</w:t>
      </w:r>
      <w:r w:rsidR="00541D05">
        <w:t xml:space="preserve"> </w:t>
      </w:r>
      <w:r w:rsidR="00D9258C" w:rsidRPr="00FD6A6A">
        <w:t>updated</w:t>
      </w:r>
      <w:r w:rsidR="00541D05">
        <w:t xml:space="preserve"> </w:t>
      </w:r>
      <w:r w:rsidR="00D9258C" w:rsidRPr="00FD6A6A">
        <w:t>in</w:t>
      </w:r>
      <w:r w:rsidR="00541D05">
        <w:t xml:space="preserve"> </w:t>
      </w:r>
      <w:r w:rsidR="00D9258C" w:rsidRPr="00FD6A6A">
        <w:t>2016</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Justice</w:t>
      </w:r>
      <w:r w:rsidR="00541D05">
        <w:t xml:space="preserve"> </w:t>
      </w:r>
      <w:r w:rsidR="00D9258C" w:rsidRPr="00FD6A6A">
        <w:t>and</w:t>
      </w:r>
      <w:r w:rsidR="00541D05">
        <w:t xml:space="preserve"> </w:t>
      </w:r>
      <w:r w:rsidR="00D9258C" w:rsidRPr="00FD6A6A">
        <w:t>Public</w:t>
      </w:r>
      <w:r w:rsidR="00541D05">
        <w:t xml:space="preserve"> </w:t>
      </w:r>
      <w:r w:rsidR="00D9258C" w:rsidRPr="00FD6A6A">
        <w:t>Security,</w:t>
      </w:r>
      <w:r w:rsidR="00541D05">
        <w:t xml:space="preserve"> </w:t>
      </w:r>
      <w:r w:rsidR="00D9258C" w:rsidRPr="00FD6A6A">
        <w:t>highlights</w:t>
      </w:r>
      <w:r w:rsidR="00541D05">
        <w:t xml:space="preserve"> </w:t>
      </w:r>
      <w:r w:rsidR="00D9258C" w:rsidRPr="00FD6A6A">
        <w:t>that</w:t>
      </w:r>
      <w:r w:rsidR="00541D05">
        <w:t xml:space="preserve"> </w:t>
      </w:r>
      <w:r w:rsidR="00D9258C" w:rsidRPr="00FD6A6A">
        <w:t>75%</w:t>
      </w:r>
      <w:r w:rsidR="00541D05">
        <w:t xml:space="preserve"> </w:t>
      </w:r>
      <w:r w:rsidR="00D9258C" w:rsidRPr="00FD6A6A">
        <w:t>of</w:t>
      </w:r>
      <w:r w:rsidR="00541D05">
        <w:t xml:space="preserve"> </w:t>
      </w:r>
      <w:r w:rsidR="00D9258C" w:rsidRPr="00FD6A6A">
        <w:t>the</w:t>
      </w:r>
      <w:r w:rsidR="00541D05">
        <w:t xml:space="preserve"> </w:t>
      </w:r>
      <w:r w:rsidR="00D9258C" w:rsidRPr="00FD6A6A">
        <w:t>prison</w:t>
      </w:r>
      <w:r w:rsidR="00541D05">
        <w:t xml:space="preserve"> </w:t>
      </w:r>
      <w:r w:rsidR="00D9258C" w:rsidRPr="00FD6A6A">
        <w:t>population</w:t>
      </w:r>
      <w:r w:rsidR="00541D05">
        <w:t xml:space="preserve"> </w:t>
      </w:r>
      <w:r w:rsidR="00D9258C" w:rsidRPr="00FD6A6A">
        <w:t>did</w:t>
      </w:r>
      <w:r w:rsidR="00541D05">
        <w:t xml:space="preserve"> </w:t>
      </w:r>
      <w:r w:rsidR="00D9258C" w:rsidRPr="00FD6A6A">
        <w:t>not</w:t>
      </w:r>
      <w:r w:rsidR="00541D05">
        <w:t xml:space="preserve"> </w:t>
      </w:r>
      <w:r w:rsidR="00D9258C" w:rsidRPr="00FD6A6A">
        <w:t>complete</w:t>
      </w:r>
      <w:r w:rsidR="00541D05">
        <w:t xml:space="preserve"> </w:t>
      </w:r>
      <w:r w:rsidR="00D9258C" w:rsidRPr="00FD6A6A">
        <w:t>the</w:t>
      </w:r>
      <w:r w:rsidR="00541D05">
        <w:t xml:space="preserve"> </w:t>
      </w:r>
      <w:r w:rsidR="00D9258C" w:rsidRPr="00FD6A6A">
        <w:t>basic</w:t>
      </w:r>
      <w:r w:rsidR="00541D05">
        <w:t xml:space="preserve"> </w:t>
      </w:r>
      <w:r w:rsidR="00D9258C" w:rsidRPr="00FD6A6A">
        <w:t>educational</w:t>
      </w:r>
      <w:r w:rsidR="00541D05">
        <w:t xml:space="preserve"> </w:t>
      </w:r>
      <w:r w:rsidR="00D9258C" w:rsidRPr="00FD6A6A">
        <w:t>cycle.</w:t>
      </w:r>
      <w:r w:rsidR="00541D05">
        <w:t xml:space="preserve"> </w:t>
      </w:r>
      <w:r w:rsidR="00D9258C" w:rsidRPr="00FD6A6A">
        <w:t>Approximately</w:t>
      </w:r>
      <w:r w:rsidR="00541D05">
        <w:t xml:space="preserve"> </w:t>
      </w:r>
      <w:r w:rsidR="00D9258C" w:rsidRPr="00FD6A6A">
        <w:t>12%</w:t>
      </w:r>
      <w:r w:rsidR="00541D05">
        <w:t xml:space="preserve"> </w:t>
      </w:r>
      <w:r w:rsidR="00D9258C" w:rsidRPr="00FD6A6A">
        <w:t>of</w:t>
      </w:r>
      <w:r w:rsidR="00541D05">
        <w:t xml:space="preserve"> </w:t>
      </w:r>
      <w:r w:rsidR="00D9258C" w:rsidRPr="00FD6A6A">
        <w:t>inmates</w:t>
      </w:r>
      <w:r w:rsidR="00541D05">
        <w:t xml:space="preserve"> </w:t>
      </w:r>
      <w:r w:rsidR="00D9258C" w:rsidRPr="00FD6A6A">
        <w:t>undertook</w:t>
      </w:r>
      <w:r w:rsidR="00541D05">
        <w:t xml:space="preserve"> </w:t>
      </w:r>
      <w:r w:rsidR="00D9258C" w:rsidRPr="00FD6A6A">
        <w:t>educational</w:t>
      </w:r>
      <w:r w:rsidR="00541D05">
        <w:t xml:space="preserve"> </w:t>
      </w:r>
      <w:r w:rsidR="00D9258C" w:rsidRPr="00FD6A6A">
        <w:t>activities,</w:t>
      </w:r>
      <w:r w:rsidR="00541D05">
        <w:t xml:space="preserve"> </w:t>
      </w:r>
      <w:r w:rsidR="00D9258C" w:rsidRPr="00FD6A6A">
        <w:t>similar</w:t>
      </w:r>
      <w:r w:rsidR="00541D05">
        <w:t xml:space="preserve"> </w:t>
      </w:r>
      <w:r w:rsidR="00D9258C" w:rsidRPr="00FD6A6A">
        <w:t>to</w:t>
      </w:r>
      <w:r w:rsidR="00541D05">
        <w:t xml:space="preserve"> </w:t>
      </w:r>
      <w:r w:rsidR="00D9258C" w:rsidRPr="00FD6A6A">
        <w:t>the</w:t>
      </w:r>
      <w:r w:rsidR="00541D05">
        <w:t xml:space="preserve"> </w:t>
      </w:r>
      <w:r w:rsidR="00D9258C" w:rsidRPr="00FD6A6A">
        <w:t>level</w:t>
      </w:r>
      <w:r w:rsidR="00541D05">
        <w:t xml:space="preserve"> </w:t>
      </w:r>
      <w:r w:rsidR="00D9258C" w:rsidRPr="00FD6A6A">
        <w:t>(15%)</w:t>
      </w:r>
      <w:r w:rsidR="00541D05">
        <w:t xml:space="preserve"> </w:t>
      </w:r>
      <w:r w:rsidR="00D9258C" w:rsidRPr="00FD6A6A">
        <w:t>that</w:t>
      </w:r>
      <w:r w:rsidR="00541D05">
        <w:t xml:space="preserve"> </w:t>
      </w:r>
      <w:r w:rsidR="00D9258C" w:rsidRPr="00FD6A6A">
        <w:t>undertook</w:t>
      </w:r>
      <w:r w:rsidR="00541D05">
        <w:t xml:space="preserve"> </w:t>
      </w:r>
      <w:r w:rsidR="00D9258C" w:rsidRPr="00FD6A6A">
        <w:t>work</w:t>
      </w:r>
      <w:r w:rsidR="00541D05">
        <w:t xml:space="preserve"> </w:t>
      </w:r>
      <w:r w:rsidR="00D9258C" w:rsidRPr="00FD6A6A">
        <w:t>activities.</w:t>
      </w:r>
      <w:r w:rsidR="00541D05">
        <w:t xml:space="preserve"> </w:t>
      </w:r>
      <w:r w:rsidR="00D9258C" w:rsidRPr="00FD6A6A">
        <w:t>Of</w:t>
      </w:r>
      <w:r w:rsidR="00541D05">
        <w:t xml:space="preserve"> </w:t>
      </w:r>
      <w:r w:rsidR="00D9258C" w:rsidRPr="00FD6A6A">
        <w:t>the</w:t>
      </w:r>
      <w:r w:rsidR="00541D05">
        <w:t xml:space="preserve"> </w:t>
      </w:r>
      <w:r w:rsidR="00D9258C" w:rsidRPr="00FD6A6A">
        <w:t>inmates</w:t>
      </w:r>
      <w:r w:rsidR="00541D05">
        <w:t xml:space="preserve"> </w:t>
      </w:r>
      <w:r w:rsidR="00D9258C" w:rsidRPr="00FD6A6A">
        <w:t>involved</w:t>
      </w:r>
      <w:r w:rsidR="00541D05">
        <w:t xml:space="preserve"> </w:t>
      </w:r>
      <w:r w:rsidR="00D9258C" w:rsidRPr="00FD6A6A">
        <w:t>in</w:t>
      </w:r>
      <w:r w:rsidR="00541D05">
        <w:t xml:space="preserve"> </w:t>
      </w:r>
      <w:r w:rsidR="00D9258C" w:rsidRPr="00FD6A6A">
        <w:t>work</w:t>
      </w:r>
      <w:r w:rsidR="00541D05">
        <w:t xml:space="preserve"> </w:t>
      </w:r>
      <w:r w:rsidR="00D9258C" w:rsidRPr="00FD6A6A">
        <w:t>activities,</w:t>
      </w:r>
      <w:r w:rsidR="00541D05">
        <w:t xml:space="preserve"> </w:t>
      </w:r>
      <w:r w:rsidR="00D9258C" w:rsidRPr="00FD6A6A">
        <w:t>75%</w:t>
      </w:r>
      <w:r w:rsidR="00541D05">
        <w:t xml:space="preserve"> </w:t>
      </w:r>
      <w:r w:rsidR="00D9258C" w:rsidRPr="00FD6A6A">
        <w:t>were</w:t>
      </w:r>
      <w:r w:rsidR="00541D05">
        <w:t xml:space="preserve"> </w:t>
      </w:r>
      <w:r w:rsidR="00D9258C" w:rsidRPr="00FD6A6A">
        <w:t>not</w:t>
      </w:r>
      <w:r w:rsidR="00541D05">
        <w:t xml:space="preserve"> </w:t>
      </w:r>
      <w:r w:rsidR="00D9258C" w:rsidRPr="00FD6A6A">
        <w:t>paid</w:t>
      </w:r>
      <w:r w:rsidR="00541D05">
        <w:t xml:space="preserve"> </w:t>
      </w:r>
      <w:r w:rsidR="00D9258C" w:rsidRPr="00FD6A6A">
        <w:t>or</w:t>
      </w:r>
      <w:r w:rsidR="00541D05">
        <w:t xml:space="preserve"> </w:t>
      </w:r>
      <w:r w:rsidR="00D9258C" w:rsidRPr="00FD6A6A">
        <w:t>earned</w:t>
      </w:r>
      <w:r w:rsidR="00541D05">
        <w:t xml:space="preserve"> </w:t>
      </w:r>
      <w:r w:rsidR="00D9258C" w:rsidRPr="00FD6A6A">
        <w:t>less</w:t>
      </w:r>
      <w:r w:rsidR="00541D05">
        <w:t xml:space="preserve"> </w:t>
      </w:r>
      <w:r w:rsidR="00D9258C" w:rsidRPr="00FD6A6A">
        <w:t>than</w:t>
      </w:r>
      <w:r w:rsidR="00541D05">
        <w:t xml:space="preserve"> </w:t>
      </w:r>
      <w:r w:rsidR="00D9258C" w:rsidRPr="00FD6A6A">
        <w:t>3/4</w:t>
      </w:r>
      <w:r w:rsidR="00541D05">
        <w:t xml:space="preserve"> </w:t>
      </w:r>
      <w:r w:rsidR="00D9258C" w:rsidRPr="00FD6A6A">
        <w:t>of</w:t>
      </w:r>
      <w:r w:rsidR="00541D05">
        <w:t xml:space="preserve"> </w:t>
      </w:r>
      <w:r w:rsidR="00D9258C" w:rsidRPr="00FD6A6A">
        <w:t>the</w:t>
      </w:r>
      <w:r w:rsidR="00541D05">
        <w:t xml:space="preserve"> </w:t>
      </w:r>
      <w:r w:rsidR="00D9258C" w:rsidRPr="00FD6A6A">
        <w:t>minimum</w:t>
      </w:r>
      <w:r w:rsidR="00541D05">
        <w:t xml:space="preserve"> </w:t>
      </w:r>
      <w:r w:rsidR="00D9258C" w:rsidRPr="00FD6A6A">
        <w:t>wage,</w:t>
      </w:r>
      <w:r w:rsidR="00541D05">
        <w:t xml:space="preserve"> </w:t>
      </w:r>
      <w:r w:rsidR="00D9258C" w:rsidRPr="00FD6A6A">
        <w:t>in</w:t>
      </w:r>
      <w:r w:rsidR="00541D05">
        <w:t xml:space="preserve"> </w:t>
      </w:r>
      <w:r w:rsidR="00D9258C" w:rsidRPr="00FD6A6A">
        <w:t>violation</w:t>
      </w:r>
      <w:r w:rsidR="00541D05">
        <w:t xml:space="preserve"> </w:t>
      </w:r>
      <w:r w:rsidR="00D9258C" w:rsidRPr="00FD6A6A">
        <w:t>of</w:t>
      </w:r>
      <w:r w:rsidR="00541D05">
        <w:t xml:space="preserve"> </w:t>
      </w:r>
      <w:r w:rsidR="00D9258C" w:rsidRPr="00FD6A6A">
        <w:t>the</w:t>
      </w:r>
      <w:r w:rsidR="00541D05">
        <w:t xml:space="preserve"> </w:t>
      </w:r>
      <w:r w:rsidR="00D9258C" w:rsidRPr="00FD6A6A">
        <w:t>Criminal</w:t>
      </w:r>
      <w:r w:rsidR="00541D05">
        <w:t xml:space="preserve"> </w:t>
      </w:r>
      <w:r w:rsidR="00D9258C" w:rsidRPr="00FD6A6A">
        <w:t>Enforcement</w:t>
      </w:r>
      <w:r w:rsidR="00541D05">
        <w:t xml:space="preserve"> </w:t>
      </w:r>
      <w:r w:rsidR="00D9258C" w:rsidRPr="00FD6A6A">
        <w:t>Law.</w:t>
      </w:r>
      <w:r w:rsidR="00541D05">
        <w:t xml:space="preserve"> </w:t>
      </w:r>
      <w:r w:rsidR="00D9258C" w:rsidRPr="00FD6A6A">
        <w:t>36%</w:t>
      </w:r>
      <w:r w:rsidR="00541D05">
        <w:t xml:space="preserve"> </w:t>
      </w:r>
      <w:r w:rsidR="00D9258C" w:rsidRPr="00FD6A6A">
        <w:t>of</w:t>
      </w:r>
      <w:r w:rsidR="00541D05">
        <w:t xml:space="preserve"> </w:t>
      </w:r>
      <w:r w:rsidR="00D9258C" w:rsidRPr="00FD6A6A">
        <w:t>Brazilian</w:t>
      </w:r>
      <w:r w:rsidR="00541D05">
        <w:t xml:space="preserve"> </w:t>
      </w:r>
      <w:r w:rsidR="00D9258C" w:rsidRPr="00FD6A6A">
        <w:t>prisons</w:t>
      </w:r>
      <w:r w:rsidR="00541D05">
        <w:t xml:space="preserve"> </w:t>
      </w:r>
      <w:r w:rsidR="00D9258C" w:rsidRPr="00FD6A6A">
        <w:t>had</w:t>
      </w:r>
      <w:r w:rsidR="00541D05">
        <w:t xml:space="preserve"> </w:t>
      </w:r>
      <w:r w:rsidR="00D9258C" w:rsidRPr="00FD6A6A">
        <w:t>an</w:t>
      </w:r>
      <w:r w:rsidR="00541D05">
        <w:t xml:space="preserve"> </w:t>
      </w:r>
      <w:r w:rsidR="00D9258C" w:rsidRPr="00FD6A6A">
        <w:t>occupancy</w:t>
      </w:r>
      <w:r w:rsidR="00541D05">
        <w:t xml:space="preserve"> </w:t>
      </w:r>
      <w:r w:rsidR="00D9258C" w:rsidRPr="00FD6A6A">
        <w:t>rate</w:t>
      </w:r>
      <w:r w:rsidR="00541D05">
        <w:t xml:space="preserve"> </w:t>
      </w:r>
      <w:r w:rsidR="00D9258C" w:rsidRPr="00FD6A6A">
        <w:t>higher</w:t>
      </w:r>
      <w:r w:rsidR="00541D05">
        <w:t xml:space="preserve"> </w:t>
      </w:r>
      <w:r w:rsidR="00D9258C" w:rsidRPr="00FD6A6A">
        <w:t>than</w:t>
      </w:r>
      <w:r w:rsidR="00541D05">
        <w:t xml:space="preserve"> </w:t>
      </w:r>
      <w:r w:rsidR="00D9258C" w:rsidRPr="00FD6A6A">
        <w:t>200%,</w:t>
      </w:r>
      <w:r w:rsidR="00541D05">
        <w:t xml:space="preserve"> </w:t>
      </w:r>
      <w:r w:rsidR="00D9258C" w:rsidRPr="00FD6A6A">
        <w:t>and</w:t>
      </w:r>
      <w:r w:rsidR="00541D05">
        <w:t xml:space="preserve"> </w:t>
      </w:r>
      <w:r w:rsidR="00D9258C" w:rsidRPr="00FD6A6A">
        <w:t>41%</w:t>
      </w:r>
      <w:r w:rsidR="00541D05">
        <w:t xml:space="preserve"> </w:t>
      </w:r>
      <w:r w:rsidR="00D9258C" w:rsidRPr="00FD6A6A">
        <w:t>had</w:t>
      </w:r>
      <w:r w:rsidR="00541D05">
        <w:t xml:space="preserve"> </w:t>
      </w:r>
      <w:r w:rsidR="00D9258C" w:rsidRPr="00FD6A6A">
        <w:t>an</w:t>
      </w:r>
      <w:r w:rsidR="00541D05">
        <w:t xml:space="preserve"> </w:t>
      </w:r>
      <w:r w:rsidR="00D9258C" w:rsidRPr="00FD6A6A">
        <w:t>occupancy</w:t>
      </w:r>
      <w:r w:rsidR="00541D05">
        <w:t xml:space="preserve"> </w:t>
      </w:r>
      <w:r w:rsidR="00D9258C" w:rsidRPr="00FD6A6A">
        <w:t>rate</w:t>
      </w:r>
      <w:r w:rsidR="00541D05">
        <w:t xml:space="preserve"> </w:t>
      </w:r>
      <w:r w:rsidR="00D9258C" w:rsidRPr="00FD6A6A">
        <w:t>between</w:t>
      </w:r>
      <w:r w:rsidR="00541D05">
        <w:t xml:space="preserve"> </w:t>
      </w:r>
      <w:r w:rsidR="00D9258C" w:rsidRPr="00FD6A6A">
        <w:t>101%</w:t>
      </w:r>
      <w:r w:rsidR="00541D05">
        <w:t xml:space="preserve"> </w:t>
      </w:r>
      <w:r w:rsidR="00D9258C" w:rsidRPr="00FD6A6A">
        <w:t>and</w:t>
      </w:r>
      <w:r w:rsidR="00541D05">
        <w:t xml:space="preserve"> </w:t>
      </w:r>
      <w:r w:rsidR="00D9258C" w:rsidRPr="00FD6A6A">
        <w:t>200%.</w:t>
      </w:r>
      <w:r w:rsidR="00541D05">
        <w:t xml:space="preserve"> </w:t>
      </w:r>
      <w:r w:rsidR="00D9258C" w:rsidRPr="00FD6A6A">
        <w:t>Only</w:t>
      </w:r>
      <w:r w:rsidR="00541D05">
        <w:t xml:space="preserve"> </w:t>
      </w:r>
      <w:r w:rsidR="00D9258C" w:rsidRPr="00FD6A6A">
        <w:t>7%</w:t>
      </w:r>
      <w:r w:rsidR="00541D05">
        <w:t xml:space="preserve"> </w:t>
      </w:r>
      <w:r w:rsidR="00D9258C" w:rsidRPr="00FD6A6A">
        <w:t>of</w:t>
      </w:r>
      <w:r w:rsidR="00541D05">
        <w:t xml:space="preserve"> </w:t>
      </w:r>
      <w:r w:rsidR="00D9258C" w:rsidRPr="00FD6A6A">
        <w:t>the</w:t>
      </w:r>
      <w:r w:rsidR="00541D05">
        <w:t xml:space="preserve"> </w:t>
      </w:r>
      <w:r w:rsidR="00D9258C" w:rsidRPr="00FD6A6A">
        <w:t>prison</w:t>
      </w:r>
      <w:r w:rsidR="00541D05">
        <w:t xml:space="preserve"> </w:t>
      </w:r>
      <w:r w:rsidR="00D9258C" w:rsidRPr="00FD6A6A">
        <w:t>population</w:t>
      </w:r>
      <w:r w:rsidR="00541D05">
        <w:t xml:space="preserve"> </w:t>
      </w:r>
      <w:r w:rsidR="00D9258C" w:rsidRPr="00FD6A6A">
        <w:t>are</w:t>
      </w:r>
      <w:r w:rsidR="00541D05">
        <w:t xml:space="preserve"> </w:t>
      </w:r>
      <w:r w:rsidR="00D9258C" w:rsidRPr="00FD6A6A">
        <w:t>in</w:t>
      </w:r>
      <w:r w:rsidR="00541D05">
        <w:t xml:space="preserve"> </w:t>
      </w:r>
      <w:r w:rsidR="00D9258C" w:rsidRPr="00FD6A6A">
        <w:t>facilities</w:t>
      </w:r>
      <w:r w:rsidR="00541D05">
        <w:t xml:space="preserve"> </w:t>
      </w:r>
      <w:r w:rsidR="00D9258C" w:rsidRPr="00FD6A6A">
        <w:t>with</w:t>
      </w:r>
      <w:r w:rsidR="00541D05">
        <w:t xml:space="preserve"> </w:t>
      </w:r>
      <w:r w:rsidR="00D9258C" w:rsidRPr="00FD6A6A">
        <w:t>no</w:t>
      </w:r>
      <w:r w:rsidR="00541D05">
        <w:t xml:space="preserve"> </w:t>
      </w:r>
      <w:r w:rsidR="00D9258C" w:rsidRPr="00FD6A6A">
        <w:t>overcrowding.</w:t>
      </w:r>
    </w:p>
    <w:p w14:paraId="31C8E852" w14:textId="585C5029" w:rsidR="00D9258C" w:rsidRPr="00FD6A6A" w:rsidRDefault="00166390" w:rsidP="00166390">
      <w:pPr>
        <w:pStyle w:val="ParaNoG"/>
        <w:numPr>
          <w:ilvl w:val="0"/>
          <w:numId w:val="0"/>
        </w:numPr>
        <w:tabs>
          <w:tab w:val="left" w:pos="0"/>
        </w:tabs>
        <w:ind w:left="1134"/>
      </w:pPr>
      <w:r w:rsidRPr="00FD6A6A">
        <w:t>47.</w:t>
      </w:r>
      <w:r w:rsidRPr="00FD6A6A">
        <w:tab/>
      </w:r>
      <w:r w:rsidR="00D9258C" w:rsidRPr="00FD6A6A">
        <w:t>In</w:t>
      </w:r>
      <w:r w:rsidR="00541D05">
        <w:t xml:space="preserve"> </w:t>
      </w:r>
      <w:r w:rsidR="00D9258C" w:rsidRPr="00FD6A6A">
        <w:t>June</w:t>
      </w:r>
      <w:r w:rsidR="00541D05">
        <w:t xml:space="preserve"> </w:t>
      </w:r>
      <w:r w:rsidR="00D9258C" w:rsidRPr="00FD6A6A">
        <w:t>2016,</w:t>
      </w:r>
      <w:r w:rsidR="00541D05">
        <w:t xml:space="preserve"> </w:t>
      </w:r>
      <w:r w:rsidR="00D9258C" w:rsidRPr="00FD6A6A">
        <w:t>the</w:t>
      </w:r>
      <w:r w:rsidR="00541D05">
        <w:t xml:space="preserve"> </w:t>
      </w:r>
      <w:r w:rsidR="00D9258C" w:rsidRPr="00FD6A6A">
        <w:t>female</w:t>
      </w:r>
      <w:r w:rsidR="00541D05">
        <w:t xml:space="preserve"> </w:t>
      </w:r>
      <w:r w:rsidR="00D9258C" w:rsidRPr="00FD6A6A">
        <w:t>prison</w:t>
      </w:r>
      <w:r w:rsidR="00541D05">
        <w:t xml:space="preserve"> </w:t>
      </w:r>
      <w:r w:rsidR="00D9258C" w:rsidRPr="00FD6A6A">
        <w:t>population</w:t>
      </w:r>
      <w:r w:rsidR="00541D05">
        <w:t xml:space="preserve"> </w:t>
      </w:r>
      <w:r w:rsidR="00D9258C" w:rsidRPr="00FD6A6A">
        <w:t>amounted</w:t>
      </w:r>
      <w:r w:rsidR="00541D05">
        <w:t xml:space="preserve"> </w:t>
      </w:r>
      <w:r w:rsidR="00D9258C" w:rsidRPr="00FD6A6A">
        <w:t>to</w:t>
      </w:r>
      <w:r w:rsidR="00541D05">
        <w:t xml:space="preserve"> </w:t>
      </w:r>
      <w:r w:rsidR="00D9258C" w:rsidRPr="00FD6A6A">
        <w:t>42,355</w:t>
      </w:r>
      <w:r w:rsidR="00541D05">
        <w:t xml:space="preserve"> </w:t>
      </w:r>
      <w:r w:rsidR="00D9258C" w:rsidRPr="00FD6A6A">
        <w:t>individuals</w:t>
      </w:r>
      <w:r w:rsidR="00541D05">
        <w:t xml:space="preserve"> </w:t>
      </w:r>
      <w:r w:rsidR="00D9258C" w:rsidRPr="00FD6A6A">
        <w:t>under</w:t>
      </w:r>
      <w:r w:rsidR="00541D05">
        <w:t xml:space="preserve"> </w:t>
      </w:r>
      <w:r w:rsidR="00D9258C" w:rsidRPr="00FD6A6A">
        <w:t>custody</w:t>
      </w:r>
      <w:r w:rsidR="00541D05">
        <w:t xml:space="preserve"> </w:t>
      </w:r>
      <w:r w:rsidR="00D9258C" w:rsidRPr="00FD6A6A">
        <w:t>–</w:t>
      </w:r>
      <w:r w:rsidR="00541D05">
        <w:t xml:space="preserve"> </w:t>
      </w:r>
      <w:r w:rsidR="00D9258C" w:rsidRPr="00FD6A6A">
        <w:t>the</w:t>
      </w:r>
      <w:r w:rsidR="00541D05">
        <w:t xml:space="preserve"> </w:t>
      </w:r>
      <w:r w:rsidR="00D9258C" w:rsidRPr="00FD6A6A">
        <w:t>fourth</w:t>
      </w:r>
      <w:r w:rsidR="00541D05">
        <w:t xml:space="preserve"> </w:t>
      </w:r>
      <w:r w:rsidR="00D9258C" w:rsidRPr="00FD6A6A">
        <w:t>largest</w:t>
      </w:r>
      <w:r w:rsidR="00541D05">
        <w:t xml:space="preserve"> </w:t>
      </w:r>
      <w:r w:rsidR="00D9258C" w:rsidRPr="00FD6A6A">
        <w:t>number</w:t>
      </w:r>
      <w:r w:rsidR="00541D05">
        <w:t xml:space="preserve"> </w:t>
      </w:r>
      <w:r w:rsidR="00D9258C" w:rsidRPr="00FD6A6A">
        <w:t>of</w:t>
      </w:r>
      <w:r w:rsidR="00541D05">
        <w:t xml:space="preserve"> </w:t>
      </w:r>
      <w:r w:rsidR="00D9258C" w:rsidRPr="00FD6A6A">
        <w:t>female</w:t>
      </w:r>
      <w:r w:rsidR="00541D05">
        <w:t xml:space="preserve"> </w:t>
      </w:r>
      <w:r w:rsidR="00D9258C" w:rsidRPr="00FD6A6A">
        <w:t>inmates</w:t>
      </w:r>
      <w:r w:rsidR="00541D05">
        <w:t xml:space="preserve"> </w:t>
      </w:r>
      <w:r w:rsidR="00D9258C" w:rsidRPr="00FD6A6A">
        <w:t>in</w:t>
      </w:r>
      <w:r w:rsidR="00541D05">
        <w:t xml:space="preserve"> </w:t>
      </w:r>
      <w:r w:rsidR="00D9258C" w:rsidRPr="00FD6A6A">
        <w:t>the</w:t>
      </w:r>
      <w:r w:rsidR="00541D05">
        <w:t xml:space="preserve"> </w:t>
      </w:r>
      <w:r w:rsidR="00D9258C" w:rsidRPr="00FD6A6A">
        <w:t>world</w:t>
      </w:r>
      <w:r w:rsidR="00541D05">
        <w:t xml:space="preserve"> </w:t>
      </w:r>
      <w:r w:rsidR="00D9258C" w:rsidRPr="00FD6A6A">
        <w:t>in</w:t>
      </w:r>
      <w:r w:rsidR="00541D05">
        <w:t xml:space="preserve"> </w:t>
      </w:r>
      <w:r w:rsidR="00D9258C" w:rsidRPr="00FD6A6A">
        <w:t>absolute</w:t>
      </w:r>
      <w:r w:rsidR="00541D05">
        <w:t xml:space="preserve"> </w:t>
      </w:r>
      <w:r w:rsidR="00D9258C" w:rsidRPr="00FD6A6A">
        <w:t>terms</w:t>
      </w:r>
      <w:r w:rsidR="00541D05">
        <w:t xml:space="preserve"> </w:t>
      </w:r>
      <w:r w:rsidR="00D9258C" w:rsidRPr="00FD6A6A">
        <w:t>and</w:t>
      </w:r>
      <w:r w:rsidR="00541D05">
        <w:t xml:space="preserve"> </w:t>
      </w:r>
      <w:r w:rsidR="00D9258C" w:rsidRPr="00FD6A6A">
        <w:t>third</w:t>
      </w:r>
      <w:r w:rsidR="00541D05">
        <w:t xml:space="preserve"> </w:t>
      </w:r>
      <w:r w:rsidR="00D9258C" w:rsidRPr="00FD6A6A">
        <w:t>according</w:t>
      </w:r>
      <w:r w:rsidR="00541D05">
        <w:t xml:space="preserve"> </w:t>
      </w:r>
      <w:r w:rsidR="00D9258C" w:rsidRPr="00FD6A6A">
        <w:t>to</w:t>
      </w:r>
      <w:r w:rsidR="00541D05">
        <w:t xml:space="preserve"> </w:t>
      </w:r>
      <w:r w:rsidR="00D9258C" w:rsidRPr="00FD6A6A">
        <w:t>incarceration</w:t>
      </w:r>
      <w:r w:rsidR="00541D05">
        <w:t xml:space="preserve"> </w:t>
      </w:r>
      <w:r w:rsidR="00D9258C" w:rsidRPr="00FD6A6A">
        <w:t>rate</w:t>
      </w:r>
      <w:r w:rsidR="00541D05">
        <w:t xml:space="preserve"> </w:t>
      </w:r>
      <w:r w:rsidR="00D9258C" w:rsidRPr="00FD6A6A">
        <w:t>(number</w:t>
      </w:r>
      <w:r w:rsidR="00541D05">
        <w:t xml:space="preserve"> </w:t>
      </w:r>
      <w:r w:rsidR="00D9258C" w:rsidRPr="00FD6A6A">
        <w:t>of</w:t>
      </w:r>
      <w:r w:rsidR="00541D05">
        <w:t xml:space="preserve"> </w:t>
      </w:r>
      <w:r w:rsidR="00D9258C" w:rsidRPr="00FD6A6A">
        <w:t>incarcerated</w:t>
      </w:r>
      <w:r w:rsidR="00541D05">
        <w:t xml:space="preserve"> </w:t>
      </w:r>
      <w:r w:rsidR="00D9258C" w:rsidRPr="00FD6A6A">
        <w:t>women</w:t>
      </w:r>
      <w:r w:rsidR="00541D05">
        <w:t xml:space="preserve"> </w:t>
      </w:r>
      <w:r w:rsidR="00D9258C" w:rsidRPr="00FD6A6A">
        <w:t>per</w:t>
      </w:r>
      <w:r w:rsidR="00541D05">
        <w:t xml:space="preserve"> </w:t>
      </w:r>
      <w:r w:rsidR="00D9258C" w:rsidRPr="00FD6A6A">
        <w:t>100</w:t>
      </w:r>
      <w:r w:rsidR="00541D05">
        <w:t xml:space="preserve"> </w:t>
      </w:r>
      <w:r w:rsidR="00D9258C" w:rsidRPr="00FD6A6A">
        <w:t>thousand</w:t>
      </w:r>
      <w:r w:rsidR="00541D05">
        <w:t xml:space="preserve"> </w:t>
      </w:r>
      <w:r w:rsidR="00D9258C" w:rsidRPr="00FD6A6A">
        <w:t>inhabitants).</w:t>
      </w:r>
      <w:r w:rsidR="00541D05">
        <w:t xml:space="preserve"> </w:t>
      </w:r>
      <w:r w:rsidR="00D9258C" w:rsidRPr="00FD6A6A">
        <w:t>Between</w:t>
      </w:r>
      <w:r w:rsidR="00541D05">
        <w:t xml:space="preserve"> </w:t>
      </w:r>
      <w:r w:rsidR="00D9258C" w:rsidRPr="00FD6A6A">
        <w:t>2000</w:t>
      </w:r>
      <w:r w:rsidR="00541D05">
        <w:t xml:space="preserve"> </w:t>
      </w:r>
      <w:r w:rsidR="00D9258C" w:rsidRPr="00FD6A6A">
        <w:t>and</w:t>
      </w:r>
      <w:r w:rsidR="00541D05">
        <w:t xml:space="preserve"> </w:t>
      </w:r>
      <w:r w:rsidR="00D9258C" w:rsidRPr="00FD6A6A">
        <w:t>2016,</w:t>
      </w:r>
      <w:r w:rsidR="00541D05">
        <w:t xml:space="preserve"> </w:t>
      </w:r>
      <w:r w:rsidR="00D9258C" w:rsidRPr="00FD6A6A">
        <w:t>the</w:t>
      </w:r>
      <w:r w:rsidR="00541D05">
        <w:t xml:space="preserve"> </w:t>
      </w:r>
      <w:r w:rsidR="00D9258C" w:rsidRPr="00FD6A6A">
        <w:t>female</w:t>
      </w:r>
      <w:r w:rsidR="00541D05">
        <w:t xml:space="preserve"> </w:t>
      </w:r>
      <w:r w:rsidR="00D9258C" w:rsidRPr="00FD6A6A">
        <w:t>incarceration</w:t>
      </w:r>
      <w:r w:rsidR="00541D05">
        <w:t xml:space="preserve"> </w:t>
      </w:r>
      <w:r w:rsidR="00D9258C" w:rsidRPr="00FD6A6A">
        <w:t>rate</w:t>
      </w:r>
      <w:r w:rsidR="00541D05">
        <w:t xml:space="preserve"> </w:t>
      </w:r>
      <w:r w:rsidR="00D9258C" w:rsidRPr="00FD6A6A">
        <w:t>increased</w:t>
      </w:r>
      <w:r w:rsidR="00541D05">
        <w:t xml:space="preserve"> </w:t>
      </w:r>
      <w:r w:rsidR="00D9258C" w:rsidRPr="00FD6A6A">
        <w:t>by</w:t>
      </w:r>
      <w:r w:rsidR="00541D05">
        <w:t xml:space="preserve"> </w:t>
      </w:r>
      <w:r w:rsidR="00D9258C" w:rsidRPr="00FD6A6A">
        <w:t>455%,</w:t>
      </w:r>
      <w:r w:rsidR="00541D05">
        <w:t xml:space="preserve"> </w:t>
      </w:r>
      <w:r w:rsidR="00D9258C" w:rsidRPr="00FD6A6A">
        <w:t>a</w:t>
      </w:r>
      <w:r w:rsidR="00541D05">
        <w:t xml:space="preserve"> </w:t>
      </w:r>
      <w:r w:rsidR="00D9258C" w:rsidRPr="00FD6A6A">
        <w:t>growth</w:t>
      </w:r>
      <w:r w:rsidR="00541D05">
        <w:t xml:space="preserve"> </w:t>
      </w:r>
      <w:r w:rsidR="00D9258C" w:rsidRPr="00FD6A6A">
        <w:t>unprecedented</w:t>
      </w:r>
      <w:r w:rsidR="00541D05">
        <w:t xml:space="preserve"> </w:t>
      </w:r>
      <w:r w:rsidR="00D9258C" w:rsidRPr="00FD6A6A">
        <w:t>in</w:t>
      </w:r>
      <w:r w:rsidR="00541D05">
        <w:t xml:space="preserve"> </w:t>
      </w:r>
      <w:r w:rsidR="00D9258C" w:rsidRPr="00FD6A6A">
        <w:t>the</w:t>
      </w:r>
      <w:r w:rsidR="00541D05">
        <w:t xml:space="preserve"> </w:t>
      </w:r>
      <w:r w:rsidR="00D9258C" w:rsidRPr="00FD6A6A">
        <w:t>world.</w:t>
      </w:r>
    </w:p>
    <w:p w14:paraId="03854E7C" w14:textId="07014FBA" w:rsidR="00D9258C" w:rsidRPr="00FD6A6A" w:rsidRDefault="00166390" w:rsidP="00166390">
      <w:pPr>
        <w:pStyle w:val="ParaNoG"/>
        <w:numPr>
          <w:ilvl w:val="0"/>
          <w:numId w:val="0"/>
        </w:numPr>
        <w:tabs>
          <w:tab w:val="left" w:pos="0"/>
        </w:tabs>
        <w:ind w:left="1134"/>
      </w:pPr>
      <w:r w:rsidRPr="00FD6A6A">
        <w:t>48.</w:t>
      </w:r>
      <w:r w:rsidRPr="00FD6A6A">
        <w:tab/>
      </w:r>
      <w:r w:rsidR="00D9258C" w:rsidRPr="00FD6A6A">
        <w:t>The</w:t>
      </w:r>
      <w:r w:rsidR="00541D05">
        <w:t xml:space="preserve"> </w:t>
      </w:r>
      <w:r w:rsidR="00D9258C" w:rsidRPr="00FD6A6A">
        <w:t>profile</w:t>
      </w:r>
      <w:r w:rsidR="00541D05">
        <w:t xml:space="preserve"> </w:t>
      </w:r>
      <w:r w:rsidR="00D9258C" w:rsidRPr="00FD6A6A">
        <w:t>of</w:t>
      </w:r>
      <w:r w:rsidR="00541D05">
        <w:t xml:space="preserve"> </w:t>
      </w:r>
      <w:r w:rsidR="00D9258C" w:rsidRPr="00FD6A6A">
        <w:t>the</w:t>
      </w:r>
      <w:r w:rsidR="00541D05">
        <w:t xml:space="preserve"> </w:t>
      </w:r>
      <w:r w:rsidR="00D9258C" w:rsidRPr="00FD6A6A">
        <w:t>female</w:t>
      </w:r>
      <w:r w:rsidR="00541D05">
        <w:t xml:space="preserve"> </w:t>
      </w:r>
      <w:r w:rsidR="00D9258C" w:rsidRPr="00FD6A6A">
        <w:t>prison</w:t>
      </w:r>
      <w:r w:rsidR="00541D05">
        <w:t xml:space="preserve"> </w:t>
      </w:r>
      <w:r w:rsidR="00D9258C" w:rsidRPr="00FD6A6A">
        <w:t>population</w:t>
      </w:r>
      <w:r w:rsidR="00541D05">
        <w:t xml:space="preserve"> </w:t>
      </w:r>
      <w:r w:rsidR="00D9258C" w:rsidRPr="00FD6A6A">
        <w:t>follows</w:t>
      </w:r>
      <w:r w:rsidR="00541D05">
        <w:t xml:space="preserve"> </w:t>
      </w:r>
      <w:r w:rsidR="00D9258C" w:rsidRPr="00FD6A6A">
        <w:t>patterns</w:t>
      </w:r>
      <w:r w:rsidR="00541D05">
        <w:t xml:space="preserve"> </w:t>
      </w:r>
      <w:r w:rsidR="00D9258C" w:rsidRPr="00FD6A6A">
        <w:t>similar</w:t>
      </w:r>
      <w:r w:rsidR="00541D05">
        <w:t xml:space="preserve"> </w:t>
      </w:r>
      <w:r w:rsidR="00D9258C" w:rsidRPr="00FD6A6A">
        <w:t>to</w:t>
      </w:r>
      <w:r w:rsidR="00541D05">
        <w:t xml:space="preserve"> </w:t>
      </w:r>
      <w:r w:rsidR="00D9258C" w:rsidRPr="00FD6A6A">
        <w:t>the</w:t>
      </w:r>
      <w:r w:rsidR="00541D05">
        <w:t xml:space="preserve"> </w:t>
      </w:r>
      <w:r w:rsidR="00D9258C" w:rsidRPr="00FD6A6A">
        <w:t>ones</w:t>
      </w:r>
      <w:r w:rsidR="00541D05">
        <w:t xml:space="preserve"> </w:t>
      </w:r>
      <w:r w:rsidR="00D9258C" w:rsidRPr="00FD6A6A">
        <w:t>observed</w:t>
      </w:r>
      <w:r w:rsidR="00541D05">
        <w:t xml:space="preserve"> </w:t>
      </w:r>
      <w:r w:rsidR="00D9258C" w:rsidRPr="00FD6A6A">
        <w:t>in</w:t>
      </w:r>
      <w:r w:rsidR="00541D05">
        <w:t xml:space="preserve"> </w:t>
      </w:r>
      <w:r w:rsidR="00D9258C" w:rsidRPr="00FD6A6A">
        <w:t>the</w:t>
      </w:r>
      <w:r w:rsidR="00541D05">
        <w:t xml:space="preserve"> </w:t>
      </w:r>
      <w:r w:rsidR="00D9258C" w:rsidRPr="00FD6A6A">
        <w:t>male</w:t>
      </w:r>
      <w:r w:rsidR="00541D05">
        <w:t xml:space="preserve"> </w:t>
      </w:r>
      <w:r w:rsidR="00D9258C" w:rsidRPr="00FD6A6A">
        <w:t>population:</w:t>
      </w:r>
      <w:r w:rsidR="00541D05">
        <w:t xml:space="preserve"> </w:t>
      </w:r>
      <w:r w:rsidR="00D9258C" w:rsidRPr="00FD6A6A">
        <w:t>62%</w:t>
      </w:r>
      <w:r w:rsidR="00541D05">
        <w:t xml:space="preserve"> </w:t>
      </w:r>
      <w:r w:rsidR="00D9258C" w:rsidRPr="00FD6A6A">
        <w:t>of</w:t>
      </w:r>
      <w:r w:rsidR="00541D05">
        <w:t xml:space="preserve"> </w:t>
      </w:r>
      <w:r w:rsidR="00D9258C" w:rsidRPr="00FD6A6A">
        <w:t>inmates</w:t>
      </w:r>
      <w:r w:rsidR="00541D05">
        <w:t xml:space="preserve"> </w:t>
      </w:r>
      <w:r w:rsidR="00D9258C" w:rsidRPr="00FD6A6A">
        <w:t>are</w:t>
      </w:r>
      <w:r w:rsidR="00541D05">
        <w:t xml:space="preserve"> </w:t>
      </w:r>
      <w:r w:rsidR="00D9258C" w:rsidRPr="00FD6A6A">
        <w:t>young</w:t>
      </w:r>
      <w:r w:rsidR="00541D05">
        <w:t xml:space="preserve"> </w:t>
      </w:r>
      <w:r w:rsidR="00D9258C" w:rsidRPr="00FD6A6A">
        <w:t>Afro-Brazilians</w:t>
      </w:r>
      <w:r w:rsidR="00541D05">
        <w:t xml:space="preserve"> </w:t>
      </w:r>
      <w:r w:rsidR="00D9258C" w:rsidRPr="00FD6A6A">
        <w:t>with</w:t>
      </w:r>
      <w:r w:rsidR="00541D05">
        <w:t xml:space="preserve"> </w:t>
      </w:r>
      <w:r w:rsidR="00D9258C" w:rsidRPr="00FD6A6A">
        <w:t>low</w:t>
      </w:r>
      <w:r w:rsidR="00541D05">
        <w:t xml:space="preserve"> </w:t>
      </w:r>
      <w:r w:rsidR="00D9258C" w:rsidRPr="00FD6A6A">
        <w:t>education</w:t>
      </w:r>
      <w:r w:rsidR="00541D05">
        <w:t xml:space="preserve"> </w:t>
      </w:r>
      <w:r w:rsidR="00D9258C" w:rsidRPr="00FD6A6A">
        <w:t>(about</w:t>
      </w:r>
      <w:r w:rsidR="00541D05">
        <w:t xml:space="preserve"> </w:t>
      </w:r>
      <w:r w:rsidR="00D9258C" w:rsidRPr="00FD6A6A">
        <w:t>66%</w:t>
      </w:r>
      <w:r w:rsidR="00541D05">
        <w:t xml:space="preserve"> </w:t>
      </w:r>
      <w:r w:rsidR="00D9258C" w:rsidRPr="00FD6A6A">
        <w:t>have</w:t>
      </w:r>
      <w:r w:rsidR="00541D05">
        <w:t xml:space="preserve"> </w:t>
      </w:r>
      <w:r w:rsidR="00D9258C" w:rsidRPr="00FD6A6A">
        <w:t>graduated</w:t>
      </w:r>
      <w:r w:rsidR="00541D05">
        <w:t xml:space="preserve"> </w:t>
      </w:r>
      <w:r w:rsidR="00D9258C" w:rsidRPr="00FD6A6A">
        <w:t>from</w:t>
      </w:r>
      <w:r w:rsidR="00541D05">
        <w:t xml:space="preserve"> </w:t>
      </w:r>
      <w:r w:rsidR="00D9258C" w:rsidRPr="00FD6A6A">
        <w:t>elementary</w:t>
      </w:r>
      <w:r w:rsidR="00541D05">
        <w:t xml:space="preserve"> </w:t>
      </w:r>
      <w:r w:rsidR="00D9258C" w:rsidRPr="00FD6A6A">
        <w:t>and</w:t>
      </w:r>
      <w:r w:rsidR="00541D05">
        <w:t xml:space="preserve"> </w:t>
      </w:r>
      <w:r w:rsidR="00D9258C" w:rsidRPr="00FD6A6A">
        <w:t>middle</w:t>
      </w:r>
      <w:r w:rsidR="00541D05">
        <w:t xml:space="preserve"> </w:t>
      </w:r>
      <w:r w:rsidR="00D9258C" w:rsidRPr="00FD6A6A">
        <w:t>school).</w:t>
      </w:r>
      <w:r w:rsidR="00541D05">
        <w:t xml:space="preserve"> </w:t>
      </w:r>
      <w:r w:rsidR="00D9258C" w:rsidRPr="00FD6A6A">
        <w:t>Only</w:t>
      </w:r>
      <w:r w:rsidR="00541D05">
        <w:t xml:space="preserve"> </w:t>
      </w:r>
      <w:r w:rsidR="00D9258C" w:rsidRPr="00FD6A6A">
        <w:t>25%</w:t>
      </w:r>
      <w:r w:rsidR="00541D05">
        <w:t xml:space="preserve"> </w:t>
      </w:r>
      <w:r w:rsidR="00D9258C" w:rsidRPr="00FD6A6A">
        <w:t>of</w:t>
      </w:r>
      <w:r w:rsidR="00541D05">
        <w:t xml:space="preserve"> </w:t>
      </w:r>
      <w:r w:rsidR="00D9258C" w:rsidRPr="00FD6A6A">
        <w:t>the</w:t>
      </w:r>
      <w:r w:rsidR="00541D05">
        <w:t xml:space="preserve"> </w:t>
      </w:r>
      <w:r w:rsidR="00D9258C" w:rsidRPr="00FD6A6A">
        <w:t>female</w:t>
      </w:r>
      <w:r w:rsidR="00541D05">
        <w:t xml:space="preserve"> </w:t>
      </w:r>
      <w:r w:rsidR="00D9258C" w:rsidRPr="00FD6A6A">
        <w:t>prison</w:t>
      </w:r>
      <w:r w:rsidR="00541D05">
        <w:t xml:space="preserve"> </w:t>
      </w:r>
      <w:r w:rsidR="00D9258C" w:rsidRPr="00FD6A6A">
        <w:t>population</w:t>
      </w:r>
      <w:r w:rsidR="00541D05">
        <w:t xml:space="preserve"> </w:t>
      </w:r>
      <w:r w:rsidR="00D9258C" w:rsidRPr="00FD6A6A">
        <w:t>was</w:t>
      </w:r>
      <w:r w:rsidR="00541D05">
        <w:t xml:space="preserve"> </w:t>
      </w:r>
      <w:r w:rsidR="00D9258C" w:rsidRPr="00FD6A6A">
        <w:t>involved</w:t>
      </w:r>
      <w:r w:rsidR="00541D05">
        <w:t xml:space="preserve"> </w:t>
      </w:r>
      <w:r w:rsidR="00D9258C" w:rsidRPr="00FD6A6A">
        <w:t>in</w:t>
      </w:r>
      <w:r w:rsidR="00541D05">
        <w:t xml:space="preserve"> </w:t>
      </w:r>
      <w:r w:rsidR="00D9258C" w:rsidRPr="00FD6A6A">
        <w:t>education</w:t>
      </w:r>
      <w:r w:rsidR="00541D05">
        <w:t xml:space="preserve"> </w:t>
      </w:r>
      <w:r w:rsidR="00D9258C" w:rsidRPr="00FD6A6A">
        <w:t>activities</w:t>
      </w:r>
      <w:r w:rsidR="00541D05">
        <w:t xml:space="preserve"> </w:t>
      </w:r>
      <w:r w:rsidR="00D9258C" w:rsidRPr="00FD6A6A">
        <w:t>in</w:t>
      </w:r>
      <w:r w:rsidR="00541D05">
        <w:t xml:space="preserve"> </w:t>
      </w:r>
      <w:r w:rsidR="00D9258C" w:rsidRPr="00FD6A6A">
        <w:t>2016,</w:t>
      </w:r>
      <w:r w:rsidR="00541D05">
        <w:t xml:space="preserve"> </w:t>
      </w:r>
      <w:r w:rsidR="00D9258C" w:rsidRPr="00FD6A6A">
        <w:t>24%</w:t>
      </w:r>
      <w:r w:rsidR="00541D05">
        <w:t xml:space="preserve"> </w:t>
      </w:r>
      <w:r w:rsidR="00D9258C" w:rsidRPr="00FD6A6A">
        <w:t>developed</w:t>
      </w:r>
      <w:r w:rsidR="00541D05">
        <w:t xml:space="preserve"> </w:t>
      </w:r>
      <w:r w:rsidR="00D9258C" w:rsidRPr="00FD6A6A">
        <w:t>work</w:t>
      </w:r>
      <w:r w:rsidR="00541D05">
        <w:t xml:space="preserve"> </w:t>
      </w:r>
      <w:r w:rsidR="00D9258C" w:rsidRPr="00FD6A6A">
        <w:t>activities,</w:t>
      </w:r>
      <w:r w:rsidR="00541D05">
        <w:t xml:space="preserve"> </w:t>
      </w:r>
      <w:r w:rsidR="00D9258C" w:rsidRPr="00FD6A6A">
        <w:t>while</w:t>
      </w:r>
      <w:r w:rsidR="00541D05">
        <w:t xml:space="preserve"> </w:t>
      </w:r>
      <w:r w:rsidR="00D9258C" w:rsidRPr="00FD6A6A">
        <w:t>63%</w:t>
      </w:r>
      <w:r w:rsidR="00541D05">
        <w:t xml:space="preserve"> </w:t>
      </w:r>
      <w:r w:rsidR="00D9258C" w:rsidRPr="00FD6A6A">
        <w:t>either</w:t>
      </w:r>
      <w:r w:rsidR="00541D05">
        <w:t xml:space="preserve"> </w:t>
      </w:r>
      <w:r w:rsidR="00D9258C" w:rsidRPr="00FD6A6A">
        <w:t>did</w:t>
      </w:r>
      <w:r w:rsidR="00541D05">
        <w:t xml:space="preserve"> </w:t>
      </w:r>
      <w:r w:rsidR="00D9258C" w:rsidRPr="00FD6A6A">
        <w:t>not</w:t>
      </w:r>
      <w:r w:rsidR="00541D05">
        <w:t xml:space="preserve"> </w:t>
      </w:r>
      <w:r w:rsidR="00D9258C" w:rsidRPr="00FD6A6A">
        <w:t>get</w:t>
      </w:r>
      <w:r w:rsidR="00541D05">
        <w:t xml:space="preserve"> </w:t>
      </w:r>
      <w:r w:rsidR="00D9258C" w:rsidRPr="00FD6A6A">
        <w:t>paid</w:t>
      </w:r>
      <w:r w:rsidR="00541D05">
        <w:t xml:space="preserve"> </w:t>
      </w:r>
      <w:r w:rsidR="00D9258C" w:rsidRPr="00FD6A6A">
        <w:t>or</w:t>
      </w:r>
      <w:r w:rsidR="00541D05">
        <w:t xml:space="preserve"> </w:t>
      </w:r>
      <w:r w:rsidR="00D9258C" w:rsidRPr="00FD6A6A">
        <w:t>earned</w:t>
      </w:r>
      <w:r w:rsidR="00541D05">
        <w:t xml:space="preserve"> </w:t>
      </w:r>
      <w:r w:rsidR="00D9258C" w:rsidRPr="00FD6A6A">
        <w:t>less</w:t>
      </w:r>
      <w:r w:rsidR="00541D05">
        <w:t xml:space="preserve"> </w:t>
      </w:r>
      <w:r w:rsidR="00D9258C" w:rsidRPr="00FD6A6A">
        <w:t>than</w:t>
      </w:r>
      <w:r w:rsidR="00541D05">
        <w:t xml:space="preserve"> </w:t>
      </w:r>
      <w:r w:rsidR="00D9258C" w:rsidRPr="00FD6A6A">
        <w:t>3/4</w:t>
      </w:r>
      <w:r w:rsidR="00541D05">
        <w:t xml:space="preserve"> </w:t>
      </w:r>
      <w:r w:rsidR="00D9258C" w:rsidRPr="00FD6A6A">
        <w:t>of</w:t>
      </w:r>
      <w:r w:rsidR="00541D05">
        <w:t xml:space="preserve"> </w:t>
      </w:r>
      <w:r w:rsidR="00D9258C" w:rsidRPr="00FD6A6A">
        <w:t>the</w:t>
      </w:r>
      <w:r w:rsidR="00541D05">
        <w:t xml:space="preserve"> </w:t>
      </w:r>
      <w:r w:rsidR="00D9258C" w:rsidRPr="00FD6A6A">
        <w:t>minimum</w:t>
      </w:r>
      <w:r w:rsidR="00541D05">
        <w:t xml:space="preserve"> </w:t>
      </w:r>
      <w:r w:rsidR="00D9258C" w:rsidRPr="00FD6A6A">
        <w:t>wage.</w:t>
      </w:r>
      <w:r w:rsidR="00541D05">
        <w:t xml:space="preserve"> </w:t>
      </w:r>
      <w:r w:rsidR="00D9258C" w:rsidRPr="00FD6A6A">
        <w:t>The</w:t>
      </w:r>
      <w:r w:rsidR="00541D05">
        <w:t xml:space="preserve"> </w:t>
      </w:r>
      <w:r w:rsidR="00D9258C" w:rsidRPr="00FD6A6A">
        <w:t>occupancy</w:t>
      </w:r>
      <w:r w:rsidR="00541D05">
        <w:t xml:space="preserve"> </w:t>
      </w:r>
      <w:r w:rsidR="00D9258C" w:rsidRPr="00FD6A6A">
        <w:t>rate</w:t>
      </w:r>
      <w:r w:rsidR="00541D05">
        <w:t xml:space="preserve"> </w:t>
      </w:r>
      <w:r w:rsidR="00D9258C" w:rsidRPr="00FD6A6A">
        <w:t>for</w:t>
      </w:r>
      <w:r w:rsidR="00541D05">
        <w:t xml:space="preserve"> </w:t>
      </w:r>
      <w:r w:rsidR="00D9258C" w:rsidRPr="00FD6A6A">
        <w:t>women</w:t>
      </w:r>
      <w:r w:rsidR="00541D05">
        <w:t xml:space="preserve"> </w:t>
      </w:r>
      <w:r w:rsidR="00D9258C" w:rsidRPr="00FD6A6A">
        <w:t>was</w:t>
      </w:r>
      <w:r w:rsidR="00541D05">
        <w:t xml:space="preserve"> </w:t>
      </w:r>
      <w:r w:rsidR="00D9258C" w:rsidRPr="00FD6A6A">
        <w:t>156.7%</w:t>
      </w:r>
      <w:r w:rsidR="00541D05">
        <w:t xml:space="preserve"> </w:t>
      </w:r>
      <w:r w:rsidR="00D9258C" w:rsidRPr="00FD6A6A">
        <w:t>in</w:t>
      </w:r>
      <w:r w:rsidR="00541D05">
        <w:t xml:space="preserve"> </w:t>
      </w:r>
      <w:r w:rsidR="00D9258C" w:rsidRPr="00FD6A6A">
        <w:t>2016.</w:t>
      </w:r>
      <w:r w:rsidR="00541D05">
        <w:t xml:space="preserve"> </w:t>
      </w:r>
      <w:r w:rsidR="00D9258C" w:rsidRPr="00FD6A6A">
        <w:t>Additionally,</w:t>
      </w:r>
      <w:r w:rsidR="00541D05">
        <w:t xml:space="preserve"> </w:t>
      </w:r>
      <w:r w:rsidR="00D9258C" w:rsidRPr="00FD6A6A">
        <w:t>the</w:t>
      </w:r>
      <w:r w:rsidR="00541D05">
        <w:t xml:space="preserve"> </w:t>
      </w:r>
      <w:r w:rsidR="00D9258C" w:rsidRPr="00FD6A6A">
        <w:t>prison</w:t>
      </w:r>
      <w:r w:rsidR="00541D05">
        <w:t xml:space="preserve"> </w:t>
      </w:r>
      <w:r w:rsidR="00CE13EA" w:rsidRPr="00FD6A6A">
        <w:t>system</w:t>
      </w:r>
      <w:r w:rsidR="00541D05">
        <w:t xml:space="preserve"> </w:t>
      </w:r>
      <w:r w:rsidR="00D9258C" w:rsidRPr="00FD6A6A">
        <w:t>experiences</w:t>
      </w:r>
      <w:r w:rsidR="00541D05">
        <w:t xml:space="preserve"> </w:t>
      </w:r>
      <w:r w:rsidR="00D9258C" w:rsidRPr="00FD6A6A">
        <w:t>deficiencies</w:t>
      </w:r>
      <w:r w:rsidR="00541D05">
        <w:t xml:space="preserve"> </w:t>
      </w:r>
      <w:r w:rsidR="00D9258C" w:rsidRPr="00FD6A6A">
        <w:t>to</w:t>
      </w:r>
      <w:r w:rsidR="00541D05">
        <w:t xml:space="preserve"> </w:t>
      </w:r>
      <w:r w:rsidR="00D9258C" w:rsidRPr="00FD6A6A">
        <w:t>meet</w:t>
      </w:r>
      <w:r w:rsidR="00541D05">
        <w:t xml:space="preserve"> </w:t>
      </w:r>
      <w:r w:rsidR="00D9258C" w:rsidRPr="00FD6A6A">
        <w:t>the</w:t>
      </w:r>
      <w:r w:rsidR="00541D05">
        <w:t xml:space="preserve"> </w:t>
      </w:r>
      <w:r w:rsidR="00D9258C" w:rsidRPr="00FD6A6A">
        <w:t>specific</w:t>
      </w:r>
      <w:r w:rsidR="00541D05">
        <w:t xml:space="preserve"> </w:t>
      </w:r>
      <w:r w:rsidR="00D9258C" w:rsidRPr="00FD6A6A">
        <w:t>demands</w:t>
      </w:r>
      <w:r w:rsidR="00541D05">
        <w:t xml:space="preserve"> </w:t>
      </w:r>
      <w:r w:rsidR="00D9258C" w:rsidRPr="00FD6A6A">
        <w:t>and</w:t>
      </w:r>
      <w:r w:rsidR="00541D05">
        <w:t xml:space="preserve"> </w:t>
      </w:r>
      <w:r w:rsidR="00D9258C" w:rsidRPr="00FD6A6A">
        <w:t>needs</w:t>
      </w:r>
      <w:r w:rsidR="00541D05">
        <w:t xml:space="preserve"> </w:t>
      </w:r>
      <w:r w:rsidR="00D9258C" w:rsidRPr="00FD6A6A">
        <w:t>of</w:t>
      </w:r>
      <w:r w:rsidR="00541D05">
        <w:t xml:space="preserve"> </w:t>
      </w:r>
      <w:r w:rsidR="00D9258C" w:rsidRPr="00FD6A6A">
        <w:t>women,</w:t>
      </w:r>
      <w:r w:rsidR="00541D05">
        <w:t xml:space="preserve"> </w:t>
      </w:r>
      <w:r w:rsidR="00D9258C" w:rsidRPr="00FD6A6A">
        <w:t>for</w:t>
      </w:r>
      <w:r w:rsidR="00541D05">
        <w:t xml:space="preserve"> </w:t>
      </w:r>
      <w:r w:rsidR="00D9258C" w:rsidRPr="00FD6A6A">
        <w:t>example,</w:t>
      </w:r>
      <w:r w:rsidR="00541D05">
        <w:t xml:space="preserve"> </w:t>
      </w:r>
      <w:r w:rsidR="00D9258C" w:rsidRPr="00FD6A6A">
        <w:t>adequate</w:t>
      </w:r>
      <w:r w:rsidR="00541D05">
        <w:t xml:space="preserve"> </w:t>
      </w:r>
      <w:r w:rsidR="00D9258C" w:rsidRPr="00FD6A6A">
        <w:t>food</w:t>
      </w:r>
      <w:r w:rsidR="00541D05">
        <w:t xml:space="preserve"> </w:t>
      </w:r>
      <w:r w:rsidR="00D9258C" w:rsidRPr="00FD6A6A">
        <w:t>for</w:t>
      </w:r>
      <w:r w:rsidR="00541D05">
        <w:t xml:space="preserve"> </w:t>
      </w:r>
      <w:r w:rsidR="00D9258C" w:rsidRPr="00FD6A6A">
        <w:t>pregnant</w:t>
      </w:r>
      <w:r w:rsidR="00541D05">
        <w:t xml:space="preserve"> </w:t>
      </w:r>
      <w:r w:rsidR="00D9258C" w:rsidRPr="00FD6A6A">
        <w:t>and</w:t>
      </w:r>
      <w:r w:rsidR="00541D05">
        <w:t xml:space="preserve"> </w:t>
      </w:r>
      <w:r w:rsidR="00D9258C" w:rsidRPr="00FD6A6A">
        <w:t>breastfeeding</w:t>
      </w:r>
      <w:r w:rsidR="00541D05">
        <w:t xml:space="preserve"> </w:t>
      </w:r>
      <w:r w:rsidR="00D9258C" w:rsidRPr="00FD6A6A">
        <w:t>women,</w:t>
      </w:r>
      <w:r w:rsidR="00541D05">
        <w:t xml:space="preserve"> </w:t>
      </w:r>
      <w:r w:rsidR="00D9258C" w:rsidRPr="00FD6A6A">
        <w:t>space</w:t>
      </w:r>
      <w:r w:rsidR="00541D05">
        <w:t xml:space="preserve"> </w:t>
      </w:r>
      <w:r w:rsidR="00D9258C" w:rsidRPr="00FD6A6A">
        <w:t>for</w:t>
      </w:r>
      <w:r w:rsidR="00541D05">
        <w:t xml:space="preserve"> </w:t>
      </w:r>
      <w:r w:rsidR="00D9258C" w:rsidRPr="00FD6A6A">
        <w:t>newborn</w:t>
      </w:r>
      <w:r w:rsidR="00541D05">
        <w:t xml:space="preserve"> </w:t>
      </w:r>
      <w:r w:rsidR="00D9258C" w:rsidRPr="00FD6A6A">
        <w:t>children,</w:t>
      </w:r>
      <w:r w:rsidR="00541D05">
        <w:t xml:space="preserve"> </w:t>
      </w:r>
      <w:r w:rsidR="00D9258C" w:rsidRPr="00FD6A6A">
        <w:t>sleeping</w:t>
      </w:r>
      <w:r w:rsidR="00541D05">
        <w:t xml:space="preserve"> </w:t>
      </w:r>
      <w:r w:rsidR="00D9258C" w:rsidRPr="00FD6A6A">
        <w:t>quarters</w:t>
      </w:r>
      <w:r w:rsidR="00541D05">
        <w:t xml:space="preserve"> </w:t>
      </w:r>
      <w:r w:rsidR="00D9258C" w:rsidRPr="00FD6A6A">
        <w:t>for</w:t>
      </w:r>
      <w:r w:rsidR="00541D05">
        <w:t xml:space="preserve"> </w:t>
      </w:r>
      <w:r w:rsidR="00D9258C" w:rsidRPr="00FD6A6A">
        <w:t>pregnant</w:t>
      </w:r>
      <w:r w:rsidR="00541D05">
        <w:t xml:space="preserve"> </w:t>
      </w:r>
      <w:r w:rsidR="00D9258C" w:rsidRPr="00FD6A6A">
        <w:t>women,</w:t>
      </w:r>
      <w:r w:rsidR="00541D05">
        <w:t xml:space="preserve"> </w:t>
      </w:r>
      <w:r w:rsidR="00D9258C" w:rsidRPr="00FD6A6A">
        <w:t>as</w:t>
      </w:r>
      <w:r w:rsidR="00541D05">
        <w:t xml:space="preserve"> </w:t>
      </w:r>
      <w:r w:rsidR="00D9258C" w:rsidRPr="00FD6A6A">
        <w:t>pointed</w:t>
      </w:r>
      <w:r w:rsidR="00541D05">
        <w:t xml:space="preserve"> </w:t>
      </w:r>
      <w:r w:rsidR="00D9258C" w:rsidRPr="00FD6A6A">
        <w:t>out</w:t>
      </w:r>
      <w:r w:rsidR="00541D05">
        <w:t xml:space="preserve"> </w:t>
      </w:r>
      <w:r w:rsidR="00D9258C" w:rsidRPr="00FD6A6A">
        <w:t>by</w:t>
      </w:r>
      <w:r w:rsidR="00541D05">
        <w:t xml:space="preserve"> </w:t>
      </w:r>
      <w:r w:rsidR="00D9258C" w:rsidRPr="00FD6A6A">
        <w:t>the</w:t>
      </w:r>
      <w:r w:rsidR="00541D05">
        <w:t xml:space="preserve"> </w:t>
      </w:r>
      <w:r w:rsidR="00D9258C" w:rsidRPr="00FD6A6A">
        <w:t>2016</w:t>
      </w:r>
      <w:r w:rsidR="00541D05">
        <w:t xml:space="preserve"> </w:t>
      </w:r>
      <w:r w:rsidR="00D9258C" w:rsidRPr="00FD6A6A">
        <w:t>National</w:t>
      </w:r>
      <w:r w:rsidR="00541D05">
        <w:t xml:space="preserve"> </w:t>
      </w:r>
      <w:r w:rsidR="00D9258C" w:rsidRPr="00FD6A6A">
        <w:t>Penitentiary</w:t>
      </w:r>
      <w:r w:rsidR="00541D05">
        <w:t xml:space="preserve"> </w:t>
      </w:r>
      <w:r w:rsidR="00D9258C" w:rsidRPr="00FD6A6A">
        <w:t>Information</w:t>
      </w:r>
      <w:r w:rsidR="00541D05">
        <w:t xml:space="preserve"> </w:t>
      </w:r>
      <w:r w:rsidR="00D9258C" w:rsidRPr="00FD6A6A">
        <w:t>System.</w:t>
      </w:r>
    </w:p>
    <w:p w14:paraId="2C20A378" w14:textId="50B8CBB3" w:rsidR="00D9258C" w:rsidRPr="00FD6A6A" w:rsidRDefault="00D9258C" w:rsidP="00EE5A2A">
      <w:pPr>
        <w:pStyle w:val="HChG"/>
      </w:pPr>
      <w:r w:rsidRPr="00FD6A6A">
        <w:lastRenderedPageBreak/>
        <w:tab/>
        <w:t>V.</w:t>
      </w:r>
      <w:r w:rsidRPr="00FD6A6A">
        <w:tab/>
        <w:t>Article</w:t>
      </w:r>
      <w:r w:rsidR="00541D05">
        <w:t xml:space="preserve"> </w:t>
      </w:r>
      <w:r w:rsidRPr="00FD6A6A">
        <w:t>4</w:t>
      </w:r>
      <w:r w:rsidR="00541D05">
        <w:t xml:space="preserve"> </w:t>
      </w:r>
      <w:r w:rsidRPr="00FD6A6A">
        <w:t>–</w:t>
      </w:r>
      <w:r w:rsidR="00541D05">
        <w:t xml:space="preserve"> </w:t>
      </w:r>
      <w:r w:rsidRPr="00FD6A6A">
        <w:t>Fight</w:t>
      </w:r>
      <w:r w:rsidR="00541D05">
        <w:t xml:space="preserve"> </w:t>
      </w:r>
      <w:r w:rsidRPr="00FD6A6A">
        <w:t>against</w:t>
      </w:r>
      <w:r w:rsidR="00541D05">
        <w:t xml:space="preserve"> </w:t>
      </w:r>
      <w:r w:rsidRPr="00FD6A6A">
        <w:t>propaganda</w:t>
      </w:r>
      <w:r w:rsidR="00541D05">
        <w:t xml:space="preserve"> </w:t>
      </w:r>
      <w:r w:rsidRPr="00FD6A6A">
        <w:t>with</w:t>
      </w:r>
      <w:r w:rsidR="00541D05">
        <w:t xml:space="preserve"> </w:t>
      </w:r>
      <w:r w:rsidRPr="00FD6A6A">
        <w:t>racial</w:t>
      </w:r>
      <w:r w:rsidR="00541D05">
        <w:t xml:space="preserve"> </w:t>
      </w:r>
      <w:r w:rsidRPr="00FD6A6A">
        <w:t>superiority</w:t>
      </w:r>
      <w:r w:rsidR="00541D05">
        <w:t xml:space="preserve"> </w:t>
      </w:r>
      <w:r w:rsidRPr="00FD6A6A">
        <w:t>and</w:t>
      </w:r>
      <w:r w:rsidR="00541D05">
        <w:t xml:space="preserve"> </w:t>
      </w:r>
      <w:r w:rsidRPr="00FD6A6A">
        <w:t>incitement</w:t>
      </w:r>
      <w:r w:rsidR="00541D05">
        <w:t xml:space="preserve"> </w:t>
      </w:r>
      <w:r w:rsidRPr="00FD6A6A">
        <w:t>to</w:t>
      </w:r>
      <w:r w:rsidR="00541D05">
        <w:t xml:space="preserve"> </w:t>
      </w:r>
      <w:r w:rsidRPr="00FD6A6A">
        <w:t>racial</w:t>
      </w:r>
      <w:r w:rsidR="00541D05">
        <w:t xml:space="preserve"> </w:t>
      </w:r>
      <w:r w:rsidRPr="00FD6A6A">
        <w:t>discrimination</w:t>
      </w:r>
    </w:p>
    <w:p w14:paraId="7B2C03D0" w14:textId="40548F11" w:rsidR="00D9258C" w:rsidRPr="00FD6A6A" w:rsidRDefault="00166390" w:rsidP="00166390">
      <w:pPr>
        <w:pStyle w:val="ParaNoG"/>
        <w:numPr>
          <w:ilvl w:val="0"/>
          <w:numId w:val="0"/>
        </w:numPr>
        <w:tabs>
          <w:tab w:val="left" w:pos="0"/>
        </w:tabs>
        <w:ind w:left="1134"/>
      </w:pPr>
      <w:r w:rsidRPr="00FD6A6A">
        <w:t>49.</w:t>
      </w:r>
      <w:r w:rsidRPr="00FD6A6A">
        <w:tab/>
      </w:r>
      <w:r w:rsidR="00D9258C" w:rsidRPr="00FD6A6A">
        <w:t>Law</w:t>
      </w:r>
      <w:r w:rsidR="00541D05">
        <w:t xml:space="preserve"> </w:t>
      </w:r>
      <w:r w:rsidR="00D9258C" w:rsidRPr="00FD6A6A">
        <w:t>No.</w:t>
      </w:r>
      <w:r w:rsidR="00541D05">
        <w:t xml:space="preserve"> </w:t>
      </w:r>
      <w:r w:rsidR="00D9258C" w:rsidRPr="00FD6A6A">
        <w:t>7,716/1989</w:t>
      </w:r>
      <w:r w:rsidR="00541D05">
        <w:t xml:space="preserve"> </w:t>
      </w:r>
      <w:r w:rsidR="00D9258C" w:rsidRPr="00FD6A6A">
        <w:t>defined</w:t>
      </w:r>
      <w:r w:rsidR="00541D05">
        <w:t xml:space="preserve"> </w:t>
      </w:r>
      <w:r w:rsidR="00D9258C" w:rsidRPr="00FD6A6A">
        <w:t>the</w:t>
      </w:r>
      <w:r w:rsidR="00541D05">
        <w:t xml:space="preserve"> </w:t>
      </w:r>
      <w:r w:rsidR="00D9258C" w:rsidRPr="00FD6A6A">
        <w:t>crimes</w:t>
      </w:r>
      <w:r w:rsidR="00541D05">
        <w:t xml:space="preserve"> </w:t>
      </w:r>
      <w:r w:rsidR="00D9258C" w:rsidRPr="00FD6A6A">
        <w:t>related</w:t>
      </w:r>
      <w:r w:rsidR="00541D05">
        <w:t xml:space="preserve"> </w:t>
      </w:r>
      <w:r w:rsidR="00D9258C" w:rsidRPr="00FD6A6A">
        <w:t>to</w:t>
      </w:r>
      <w:r w:rsidR="00541D05">
        <w:t xml:space="preserve"> </w:t>
      </w:r>
      <w:r w:rsidR="00D9258C" w:rsidRPr="00FD6A6A">
        <w:t>discrimination</w:t>
      </w:r>
      <w:r w:rsidR="00541D05">
        <w:t xml:space="preserve"> </w:t>
      </w:r>
      <w:r w:rsidR="00D9258C" w:rsidRPr="00FD6A6A">
        <w:t>or</w:t>
      </w:r>
      <w:r w:rsidR="00541D05">
        <w:t xml:space="preserve"> </w:t>
      </w:r>
      <w:r w:rsidR="00D9258C" w:rsidRPr="00FD6A6A">
        <w:t>prejudice</w:t>
      </w:r>
      <w:r w:rsidR="00541D05">
        <w:t xml:space="preserve"> </w:t>
      </w:r>
      <w:r w:rsidR="00D9258C" w:rsidRPr="00FD6A6A">
        <w:t>related</w:t>
      </w:r>
      <w:r w:rsidR="00541D05">
        <w:t xml:space="preserve"> </w:t>
      </w:r>
      <w:r w:rsidR="00D9258C" w:rsidRPr="00FD6A6A">
        <w:t>to</w:t>
      </w:r>
      <w:r w:rsidR="00541D05">
        <w:t xml:space="preserve"> </w:t>
      </w:r>
      <w:r w:rsidR="00D9258C" w:rsidRPr="00FD6A6A">
        <w:t>race,</w:t>
      </w:r>
      <w:r w:rsidR="00541D05">
        <w:t xml:space="preserve"> </w:t>
      </w:r>
      <w:r w:rsidR="00D9258C" w:rsidRPr="00FD6A6A">
        <w:t>skin</w:t>
      </w:r>
      <w:r w:rsidR="00541D05">
        <w:t xml:space="preserve"> </w:t>
      </w:r>
      <w:r w:rsidR="00D9258C" w:rsidRPr="00FD6A6A">
        <w:t>tone,</w:t>
      </w:r>
      <w:r w:rsidR="00541D05">
        <w:t xml:space="preserve"> </w:t>
      </w:r>
      <w:r w:rsidR="00D9258C" w:rsidRPr="00FD6A6A">
        <w:t>ethnicity,</w:t>
      </w:r>
      <w:r w:rsidR="00541D05">
        <w:t xml:space="preserve"> </w:t>
      </w:r>
      <w:r w:rsidR="00D9258C" w:rsidRPr="00FD6A6A">
        <w:t>religion,</w:t>
      </w:r>
      <w:r w:rsidR="00541D05">
        <w:t xml:space="preserve"> </w:t>
      </w:r>
      <w:r w:rsidR="00D9258C" w:rsidRPr="00FD6A6A">
        <w:t>or</w:t>
      </w:r>
      <w:r w:rsidR="00541D05">
        <w:t xml:space="preserve"> </w:t>
      </w:r>
      <w:r w:rsidR="00D9258C" w:rsidRPr="00FD6A6A">
        <w:t>nationality,</w:t>
      </w:r>
      <w:r w:rsidR="00541D05">
        <w:t xml:space="preserve"> </w:t>
      </w:r>
      <w:r w:rsidR="00D9258C" w:rsidRPr="00FD6A6A">
        <w:t>and</w:t>
      </w:r>
      <w:r w:rsidR="00541D05">
        <w:t xml:space="preserve"> </w:t>
      </w:r>
      <w:r w:rsidR="00D9258C" w:rsidRPr="00FD6A6A">
        <w:t>established</w:t>
      </w:r>
      <w:r w:rsidR="00541D05">
        <w:t xml:space="preserve"> </w:t>
      </w:r>
      <w:r w:rsidR="00D9258C" w:rsidRPr="00FD6A6A">
        <w:t>a</w:t>
      </w:r>
      <w:r w:rsidR="00541D05">
        <w:t xml:space="preserve"> </w:t>
      </w:r>
      <w:r w:rsidR="00D9258C" w:rsidRPr="00FD6A6A">
        <w:t>penalty</w:t>
      </w:r>
      <w:r w:rsidR="00541D05">
        <w:t xml:space="preserve"> </w:t>
      </w:r>
      <w:r w:rsidR="00D9258C" w:rsidRPr="00FD6A6A">
        <w:t>of</w:t>
      </w:r>
      <w:r w:rsidR="00541D05">
        <w:t xml:space="preserve"> </w:t>
      </w:r>
      <w:r w:rsidR="00D9258C" w:rsidRPr="00FD6A6A">
        <w:t>confinement</w:t>
      </w:r>
      <w:r w:rsidR="00541D05">
        <w:t xml:space="preserve"> </w:t>
      </w:r>
      <w:r w:rsidR="00D9258C" w:rsidRPr="00FD6A6A">
        <w:t>for</w:t>
      </w:r>
      <w:r w:rsidR="00541D05">
        <w:t xml:space="preserve"> </w:t>
      </w:r>
      <w:r w:rsidR="00D9258C" w:rsidRPr="00FD6A6A">
        <w:t>all</w:t>
      </w:r>
      <w:r w:rsidR="00541D05">
        <w:t xml:space="preserve"> </w:t>
      </w:r>
      <w:r w:rsidR="00D9258C" w:rsidRPr="00FD6A6A">
        <w:t>forms</w:t>
      </w:r>
      <w:r w:rsidR="00541D05">
        <w:t xml:space="preserve"> </w:t>
      </w:r>
      <w:r w:rsidR="00D9258C" w:rsidRPr="00FD6A6A">
        <w:t>of</w:t>
      </w:r>
      <w:r w:rsidR="00541D05">
        <w:t xml:space="preserve"> </w:t>
      </w:r>
      <w:r w:rsidR="00D9258C" w:rsidRPr="00FD6A6A">
        <w:t>crimes</w:t>
      </w:r>
      <w:r w:rsidR="00541D05">
        <w:t xml:space="preserve"> </w:t>
      </w:r>
      <w:r w:rsidR="00D9258C" w:rsidRPr="00FD6A6A">
        <w:t>set</w:t>
      </w:r>
      <w:r w:rsidR="00541D05">
        <w:t xml:space="preserve"> </w:t>
      </w:r>
      <w:r w:rsidR="00D9258C" w:rsidRPr="00FD6A6A">
        <w:t>out</w:t>
      </w:r>
      <w:r w:rsidR="00541D05">
        <w:t xml:space="preserve"> </w:t>
      </w:r>
      <w:r w:rsidR="00D9258C" w:rsidRPr="00FD6A6A">
        <w:t>therein,</w:t>
      </w:r>
      <w:r w:rsidR="00541D05">
        <w:t xml:space="preserve"> </w:t>
      </w:r>
      <w:r w:rsidR="00D9258C" w:rsidRPr="00FD6A6A">
        <w:t>from</w:t>
      </w:r>
      <w:r w:rsidR="00541D05">
        <w:t xml:space="preserve"> </w:t>
      </w:r>
      <w:r w:rsidR="00D9258C" w:rsidRPr="00FD6A6A">
        <w:t>one</w:t>
      </w:r>
      <w:r w:rsidR="00541D05">
        <w:t xml:space="preserve"> </w:t>
      </w:r>
      <w:r w:rsidR="00D9258C" w:rsidRPr="00FD6A6A">
        <w:t>to</w:t>
      </w:r>
      <w:r w:rsidR="00541D05">
        <w:t xml:space="preserve"> </w:t>
      </w:r>
      <w:r w:rsidR="00D9258C" w:rsidRPr="00FD6A6A">
        <w:t>five</w:t>
      </w:r>
      <w:r w:rsidR="00541D05">
        <w:t xml:space="preserve"> </w:t>
      </w:r>
      <w:r w:rsidR="00D9258C" w:rsidRPr="00FD6A6A">
        <w:t>years,</w:t>
      </w:r>
      <w:r w:rsidR="00541D05">
        <w:t xml:space="preserve"> </w:t>
      </w:r>
      <w:r w:rsidR="00D9258C" w:rsidRPr="00FD6A6A">
        <w:t>depending</w:t>
      </w:r>
      <w:r w:rsidR="00541D05">
        <w:t xml:space="preserve"> </w:t>
      </w:r>
      <w:r w:rsidR="00D9258C" w:rsidRPr="00FD6A6A">
        <w:t>on</w:t>
      </w:r>
      <w:r w:rsidR="00541D05">
        <w:t xml:space="preserve"> </w:t>
      </w:r>
      <w:r w:rsidR="00D9258C" w:rsidRPr="00FD6A6A">
        <w:t>the</w:t>
      </w:r>
      <w:r w:rsidR="00541D05">
        <w:t xml:space="preserve"> </w:t>
      </w:r>
      <w:r w:rsidR="00D9258C" w:rsidRPr="00FD6A6A">
        <w:t>court</w:t>
      </w:r>
      <w:r w:rsidR="00541D05">
        <w:t xml:space="preserve"> </w:t>
      </w:r>
      <w:r w:rsidR="00D9258C" w:rsidRPr="00FD6A6A">
        <w:t>decision.</w:t>
      </w:r>
    </w:p>
    <w:p w14:paraId="629B3EDE" w14:textId="1B986482" w:rsidR="00D9258C" w:rsidRPr="00FD6A6A" w:rsidRDefault="00166390" w:rsidP="00166390">
      <w:pPr>
        <w:pStyle w:val="ParaNoG"/>
        <w:numPr>
          <w:ilvl w:val="0"/>
          <w:numId w:val="0"/>
        </w:numPr>
        <w:tabs>
          <w:tab w:val="left" w:pos="0"/>
        </w:tabs>
        <w:ind w:left="1134"/>
      </w:pPr>
      <w:r w:rsidRPr="00FD6A6A">
        <w:t>50.</w:t>
      </w:r>
      <w:r w:rsidRPr="00FD6A6A">
        <w:tab/>
      </w:r>
      <w:r w:rsidR="00D9258C" w:rsidRPr="00FD6A6A">
        <w:t>Law</w:t>
      </w:r>
      <w:r w:rsidR="00541D05">
        <w:t xml:space="preserve"> </w:t>
      </w:r>
      <w:r w:rsidR="00D9258C" w:rsidRPr="00FD6A6A">
        <w:t>No.</w:t>
      </w:r>
      <w:r w:rsidR="00541D05">
        <w:t xml:space="preserve"> </w:t>
      </w:r>
      <w:r w:rsidR="00D9258C" w:rsidRPr="00FD6A6A">
        <w:t>9,459/1997</w:t>
      </w:r>
      <w:r w:rsidR="00541D05">
        <w:t xml:space="preserve"> </w:t>
      </w:r>
      <w:r w:rsidR="00D9258C" w:rsidRPr="00FD6A6A">
        <w:t>established</w:t>
      </w:r>
      <w:r w:rsidR="00541D05">
        <w:t xml:space="preserve"> </w:t>
      </w:r>
      <w:r w:rsidR="00D9258C" w:rsidRPr="00FD6A6A">
        <w:t>new</w:t>
      </w:r>
      <w:r w:rsidR="00541D05">
        <w:t xml:space="preserve"> </w:t>
      </w:r>
      <w:r w:rsidR="00D9258C" w:rsidRPr="00FD6A6A">
        <w:t>incrimination</w:t>
      </w:r>
      <w:r w:rsidR="00541D05">
        <w:t xml:space="preserve"> </w:t>
      </w:r>
      <w:r w:rsidR="00D9258C" w:rsidRPr="00FD6A6A">
        <w:t>hypotheses</w:t>
      </w:r>
      <w:r w:rsidR="00541D05">
        <w:t xml:space="preserve"> </w:t>
      </w:r>
      <w:r w:rsidR="00D9258C" w:rsidRPr="00FD6A6A">
        <w:t>to</w:t>
      </w:r>
      <w:r w:rsidR="00541D05">
        <w:t xml:space="preserve"> </w:t>
      </w:r>
      <w:r w:rsidR="00D9258C" w:rsidRPr="00FD6A6A">
        <w:t>be</w:t>
      </w:r>
      <w:r w:rsidR="00541D05">
        <w:t xml:space="preserve"> </w:t>
      </w:r>
      <w:r w:rsidR="00D9258C" w:rsidRPr="00FD6A6A">
        <w:t>added</w:t>
      </w:r>
      <w:r w:rsidR="00541D05">
        <w:t xml:space="preserve"> </w:t>
      </w:r>
      <w:r w:rsidR="00D9258C" w:rsidRPr="00FD6A6A">
        <w:t>to</w:t>
      </w:r>
      <w:r w:rsidR="00541D05">
        <w:t xml:space="preserve"> </w:t>
      </w:r>
      <w:r w:rsidR="00D9258C" w:rsidRPr="00FD6A6A">
        <w:t>Art.</w:t>
      </w:r>
      <w:r w:rsidR="00541D05">
        <w:t xml:space="preserve"> </w:t>
      </w:r>
      <w:r w:rsidR="00D9258C" w:rsidRPr="00FD6A6A">
        <w:t>20</w:t>
      </w:r>
      <w:r w:rsidR="00541D05">
        <w:t xml:space="preserve"> </w:t>
      </w:r>
      <w:r w:rsidR="00D9258C" w:rsidRPr="00FD6A6A">
        <w:t>of</w:t>
      </w:r>
      <w:r w:rsidR="00541D05">
        <w:t xml:space="preserve"> </w:t>
      </w:r>
      <w:r w:rsidR="00D9258C" w:rsidRPr="00FD6A6A">
        <w:t>Law</w:t>
      </w:r>
      <w:r w:rsidR="00541D05">
        <w:t xml:space="preserve"> </w:t>
      </w:r>
      <w:r w:rsidR="00D9258C" w:rsidRPr="00FD6A6A">
        <w:t>No.</w:t>
      </w:r>
      <w:r w:rsidR="00541D05">
        <w:t xml:space="preserve"> </w:t>
      </w:r>
      <w:r w:rsidR="00D9258C" w:rsidRPr="00FD6A6A">
        <w:t>7,716/1989,</w:t>
      </w:r>
      <w:r w:rsidR="00541D05">
        <w:t xml:space="preserve"> </w:t>
      </w:r>
      <w:r w:rsidR="00D9258C" w:rsidRPr="00FD6A6A">
        <w:t>imposing</w:t>
      </w:r>
      <w:r w:rsidR="00541D05">
        <w:t xml:space="preserve"> </w:t>
      </w:r>
      <w:r w:rsidR="00D9258C" w:rsidRPr="00FD6A6A">
        <w:t>several</w:t>
      </w:r>
      <w:r w:rsidR="00541D05">
        <w:t xml:space="preserve"> </w:t>
      </w:r>
      <w:r w:rsidR="00D9258C" w:rsidRPr="00FD6A6A">
        <w:t>penalties</w:t>
      </w:r>
      <w:r w:rsidR="00541D05">
        <w:t xml:space="preserve"> </w:t>
      </w:r>
      <w:r w:rsidR="00D9258C" w:rsidRPr="00FD6A6A">
        <w:t>to</w:t>
      </w:r>
      <w:r w:rsidR="00541D05">
        <w:t xml:space="preserve"> </w:t>
      </w:r>
      <w:r w:rsidR="00D9258C" w:rsidRPr="00FD6A6A">
        <w:t>any</w:t>
      </w:r>
      <w:r w:rsidR="00541D05">
        <w:t xml:space="preserve"> </w:t>
      </w:r>
      <w:r w:rsidR="00D9258C" w:rsidRPr="00FD6A6A">
        <w:t>and</w:t>
      </w:r>
      <w:r w:rsidR="00541D05">
        <w:t xml:space="preserve"> </w:t>
      </w:r>
      <w:r w:rsidR="00D9258C" w:rsidRPr="00FD6A6A">
        <w:t>all</w:t>
      </w:r>
      <w:r w:rsidR="00541D05">
        <w:t xml:space="preserve"> </w:t>
      </w:r>
      <w:r w:rsidR="00D9258C" w:rsidRPr="00FD6A6A">
        <w:t>form</w:t>
      </w:r>
      <w:r w:rsidR="00541D05">
        <w:t xml:space="preserve"> </w:t>
      </w:r>
      <w:r w:rsidR="00D9258C" w:rsidRPr="00FD6A6A">
        <w:t>of</w:t>
      </w:r>
      <w:r w:rsidR="00541D05">
        <w:t xml:space="preserve"> </w:t>
      </w:r>
      <w:r w:rsidR="00D9258C" w:rsidRPr="00FD6A6A">
        <w:t>propaganda,</w:t>
      </w:r>
      <w:r w:rsidR="00541D05">
        <w:t xml:space="preserve"> </w:t>
      </w:r>
      <w:r w:rsidR="00D9258C" w:rsidRPr="00FD6A6A">
        <w:t>incitement,</w:t>
      </w:r>
      <w:r w:rsidR="00541D05">
        <w:t xml:space="preserve"> </w:t>
      </w:r>
      <w:r w:rsidR="00D9258C" w:rsidRPr="00FD6A6A">
        <w:t>or</w:t>
      </w:r>
      <w:r w:rsidR="00541D05">
        <w:t xml:space="preserve"> </w:t>
      </w:r>
      <w:r w:rsidR="00D9258C" w:rsidRPr="00FD6A6A">
        <w:t>diffusion</w:t>
      </w:r>
      <w:r w:rsidR="00541D05">
        <w:t xml:space="preserve"> </w:t>
      </w:r>
      <w:r w:rsidR="00D9258C" w:rsidRPr="00FD6A6A">
        <w:t>of</w:t>
      </w:r>
      <w:r w:rsidR="00541D05">
        <w:t xml:space="preserve"> </w:t>
      </w:r>
      <w:r w:rsidR="00D9258C" w:rsidRPr="00FD6A6A">
        <w:t>racist</w:t>
      </w:r>
      <w:r w:rsidR="00541D05">
        <w:t xml:space="preserve"> </w:t>
      </w:r>
      <w:r w:rsidR="00D9258C" w:rsidRPr="00FD6A6A">
        <w:t>ideas.</w:t>
      </w:r>
    </w:p>
    <w:p w14:paraId="78C7B1AC" w14:textId="1C8E567B" w:rsidR="00D9258C" w:rsidRPr="00FD6A6A" w:rsidRDefault="00166390" w:rsidP="00166390">
      <w:pPr>
        <w:pStyle w:val="ParaNoG"/>
        <w:numPr>
          <w:ilvl w:val="0"/>
          <w:numId w:val="0"/>
        </w:numPr>
        <w:tabs>
          <w:tab w:val="left" w:pos="0"/>
        </w:tabs>
        <w:ind w:left="1134"/>
      </w:pPr>
      <w:r w:rsidRPr="00FD6A6A">
        <w:t>51.</w:t>
      </w:r>
      <w:r w:rsidRPr="00FD6A6A">
        <w:tab/>
      </w:r>
      <w:r w:rsidR="00D9258C" w:rsidRPr="00FD6A6A">
        <w:t>Paragraph</w:t>
      </w:r>
      <w:r w:rsidR="00541D05">
        <w:t xml:space="preserve"> </w:t>
      </w:r>
      <w:r w:rsidR="00D9258C" w:rsidRPr="00FD6A6A">
        <w:t>1</w:t>
      </w:r>
      <w:r w:rsidR="00541D05">
        <w:t xml:space="preserve"> </w:t>
      </w:r>
      <w:r w:rsidR="00D9258C" w:rsidRPr="00FD6A6A">
        <w:t>of</w:t>
      </w:r>
      <w:r w:rsidR="00541D05">
        <w:t xml:space="preserve"> </w:t>
      </w:r>
      <w:r w:rsidR="00D9258C" w:rsidRPr="00FD6A6A">
        <w:t>Art.</w:t>
      </w:r>
      <w:r w:rsidR="00541D05">
        <w:t xml:space="preserve"> </w:t>
      </w:r>
      <w:r w:rsidR="00D9258C" w:rsidRPr="00FD6A6A">
        <w:t>20</w:t>
      </w:r>
      <w:r w:rsidR="00541D05">
        <w:t xml:space="preserve"> </w:t>
      </w:r>
      <w:r w:rsidR="00D9258C" w:rsidRPr="00FD6A6A">
        <w:t>establishes</w:t>
      </w:r>
      <w:r w:rsidR="00541D05">
        <w:t xml:space="preserve"> </w:t>
      </w:r>
      <w:r w:rsidR="00D9258C" w:rsidRPr="00FD6A6A">
        <w:t>that</w:t>
      </w:r>
      <w:r w:rsidR="00541D05">
        <w:t xml:space="preserve"> </w:t>
      </w:r>
      <w:r w:rsidR="00D9258C" w:rsidRPr="00FD6A6A">
        <w:t>manufacturing,</w:t>
      </w:r>
      <w:r w:rsidR="00541D05">
        <w:t xml:space="preserve"> </w:t>
      </w:r>
      <w:r w:rsidR="00D9258C" w:rsidRPr="00FD6A6A">
        <w:t>trading,</w:t>
      </w:r>
      <w:r w:rsidR="00541D05">
        <w:t xml:space="preserve"> </w:t>
      </w:r>
      <w:r w:rsidR="00D9258C" w:rsidRPr="00FD6A6A">
        <w:t>distributing</w:t>
      </w:r>
      <w:r w:rsidR="00541D05">
        <w:t xml:space="preserve"> </w:t>
      </w:r>
      <w:r w:rsidR="00D9258C" w:rsidRPr="00FD6A6A">
        <w:t>or</w:t>
      </w:r>
      <w:r w:rsidR="00541D05">
        <w:t xml:space="preserve"> </w:t>
      </w:r>
      <w:r w:rsidR="00D9258C" w:rsidRPr="00FD6A6A">
        <w:t>diffusing</w:t>
      </w:r>
      <w:r w:rsidR="00541D05">
        <w:t xml:space="preserve"> </w:t>
      </w:r>
      <w:r w:rsidR="00D9258C" w:rsidRPr="00FD6A6A">
        <w:t>symbols,</w:t>
      </w:r>
      <w:r w:rsidR="00541D05">
        <w:t xml:space="preserve"> </w:t>
      </w:r>
      <w:r w:rsidR="00D9258C" w:rsidRPr="00FD6A6A">
        <w:t>emblems,</w:t>
      </w:r>
      <w:r w:rsidR="00541D05">
        <w:t xml:space="preserve"> </w:t>
      </w:r>
      <w:r w:rsidR="00D9258C" w:rsidRPr="00FD6A6A">
        <w:t>ornaments,</w:t>
      </w:r>
      <w:r w:rsidR="00541D05">
        <w:t xml:space="preserve"> </w:t>
      </w:r>
      <w:r w:rsidR="00D9258C" w:rsidRPr="00FD6A6A">
        <w:t>signs,</w:t>
      </w:r>
      <w:r w:rsidR="00541D05">
        <w:t xml:space="preserve"> </w:t>
      </w:r>
      <w:r w:rsidR="00D9258C" w:rsidRPr="00FD6A6A">
        <w:t>or</w:t>
      </w:r>
      <w:r w:rsidR="00541D05">
        <w:t xml:space="preserve"> </w:t>
      </w:r>
      <w:r w:rsidR="00D9258C" w:rsidRPr="00FD6A6A">
        <w:t>propaganda</w:t>
      </w:r>
      <w:r w:rsidR="00541D05">
        <w:t xml:space="preserve"> </w:t>
      </w:r>
      <w:r w:rsidR="00D9258C" w:rsidRPr="00FD6A6A">
        <w:t>using</w:t>
      </w:r>
      <w:r w:rsidR="00541D05">
        <w:t xml:space="preserve"> </w:t>
      </w:r>
      <w:r w:rsidR="00D9258C" w:rsidRPr="00FD6A6A">
        <w:t>the</w:t>
      </w:r>
      <w:r w:rsidR="00541D05">
        <w:t xml:space="preserve"> </w:t>
      </w:r>
      <w:r w:rsidR="00D9258C" w:rsidRPr="00FD6A6A">
        <w:t>swastika</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promote</w:t>
      </w:r>
      <w:r w:rsidR="00541D05">
        <w:t xml:space="preserve"> </w:t>
      </w:r>
      <w:r w:rsidR="00D9258C" w:rsidRPr="00FD6A6A">
        <w:t>Nazism</w:t>
      </w:r>
      <w:r w:rsidR="00541D05">
        <w:t xml:space="preserve"> </w:t>
      </w:r>
      <w:r w:rsidR="00D9258C" w:rsidRPr="00FD6A6A">
        <w:t>shall</w:t>
      </w:r>
      <w:r w:rsidR="00541D05">
        <w:t xml:space="preserve"> </w:t>
      </w:r>
      <w:r w:rsidR="00D9258C" w:rsidRPr="00FD6A6A">
        <w:t>be</w:t>
      </w:r>
      <w:r w:rsidR="00541D05">
        <w:t xml:space="preserve"> </w:t>
      </w:r>
      <w:r w:rsidR="00D9258C" w:rsidRPr="00FD6A6A">
        <w:t>punished</w:t>
      </w:r>
      <w:r w:rsidR="00541D05">
        <w:t xml:space="preserve"> </w:t>
      </w:r>
      <w:r w:rsidR="00D9258C" w:rsidRPr="00FD6A6A">
        <w:t>with</w:t>
      </w:r>
      <w:r w:rsidR="00541D05">
        <w:t xml:space="preserve"> </w:t>
      </w:r>
      <w:r w:rsidR="00D9258C" w:rsidRPr="00FD6A6A">
        <w:t>a</w:t>
      </w:r>
      <w:r w:rsidR="00541D05">
        <w:t xml:space="preserve"> </w:t>
      </w:r>
      <w:r w:rsidR="00D9258C" w:rsidRPr="00FD6A6A">
        <w:t>penalty</w:t>
      </w:r>
      <w:r w:rsidR="00541D05">
        <w:t xml:space="preserve"> </w:t>
      </w:r>
      <w:r w:rsidR="00D9258C" w:rsidRPr="00FD6A6A">
        <w:t>of</w:t>
      </w:r>
      <w:r w:rsidR="00541D05">
        <w:t xml:space="preserve"> </w:t>
      </w:r>
      <w:r w:rsidR="00D9258C" w:rsidRPr="00FD6A6A">
        <w:t>confinement</w:t>
      </w:r>
      <w:r w:rsidR="00541D05">
        <w:t xml:space="preserve"> </w:t>
      </w:r>
      <w:r w:rsidR="00D9258C" w:rsidRPr="00FD6A6A">
        <w:t>from</w:t>
      </w:r>
      <w:r w:rsidR="00541D05">
        <w:t xml:space="preserve"> </w:t>
      </w:r>
      <w:r w:rsidR="00D9258C" w:rsidRPr="00FD6A6A">
        <w:t>two</w:t>
      </w:r>
      <w:r w:rsidR="00541D05">
        <w:t xml:space="preserve"> </w:t>
      </w:r>
      <w:r w:rsidR="00D9258C" w:rsidRPr="00FD6A6A">
        <w:t>to</w:t>
      </w:r>
      <w:r w:rsidR="00541D05">
        <w:t xml:space="preserve"> </w:t>
      </w:r>
      <w:r w:rsidR="00D9258C" w:rsidRPr="00FD6A6A">
        <w:t>five</w:t>
      </w:r>
      <w:r w:rsidR="00541D05">
        <w:t xml:space="preserve"> </w:t>
      </w:r>
      <w:r w:rsidR="00D9258C" w:rsidRPr="00FD6A6A">
        <w:t>years,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a</w:t>
      </w:r>
      <w:r w:rsidR="00541D05">
        <w:t xml:space="preserve"> </w:t>
      </w:r>
      <w:r w:rsidR="00D9258C" w:rsidRPr="00FD6A6A">
        <w:t>fine.</w:t>
      </w:r>
      <w:r w:rsidR="00541D05">
        <w:t xml:space="preserve"> </w:t>
      </w:r>
      <w:r w:rsidR="00D9258C" w:rsidRPr="00FD6A6A">
        <w:t>The</w:t>
      </w:r>
      <w:r w:rsidR="00541D05">
        <w:t xml:space="preserve"> </w:t>
      </w:r>
      <w:r w:rsidR="00D9258C" w:rsidRPr="00FD6A6A">
        <w:t>same</w:t>
      </w:r>
      <w:r w:rsidR="00541D05">
        <w:t xml:space="preserve"> </w:t>
      </w:r>
      <w:r w:rsidR="00D9258C" w:rsidRPr="00FD6A6A">
        <w:t>penalty</w:t>
      </w:r>
      <w:r w:rsidR="00541D05">
        <w:t xml:space="preserve"> </w:t>
      </w:r>
      <w:r w:rsidR="00D9258C" w:rsidRPr="00FD6A6A">
        <w:t>will</w:t>
      </w:r>
      <w:r w:rsidR="00541D05">
        <w:t xml:space="preserve"> </w:t>
      </w:r>
      <w:r w:rsidR="00D9258C" w:rsidRPr="00FD6A6A">
        <w:t>be</w:t>
      </w:r>
      <w:r w:rsidR="00541D05">
        <w:t xml:space="preserve"> </w:t>
      </w:r>
      <w:r w:rsidR="00D9258C" w:rsidRPr="00FD6A6A">
        <w:t>imposed</w:t>
      </w:r>
      <w:r w:rsidR="00541D05">
        <w:t xml:space="preserve"> </w:t>
      </w:r>
      <w:r w:rsidR="00D9258C" w:rsidRPr="00FD6A6A">
        <w:t>on</w:t>
      </w:r>
      <w:r w:rsidR="00541D05">
        <w:t xml:space="preserve"> </w:t>
      </w:r>
      <w:r w:rsidR="00D9258C" w:rsidRPr="00FD6A6A">
        <w:t>whoever</w:t>
      </w:r>
      <w:r w:rsidR="00541D05">
        <w:t xml:space="preserve"> </w:t>
      </w:r>
      <w:r w:rsidR="00D9258C" w:rsidRPr="00FD6A6A">
        <w:t>practices,</w:t>
      </w:r>
      <w:r w:rsidR="00541D05">
        <w:t xml:space="preserve"> </w:t>
      </w:r>
      <w:r w:rsidR="00D9258C" w:rsidRPr="00FD6A6A">
        <w:t>induces,</w:t>
      </w:r>
      <w:r w:rsidR="00541D05">
        <w:t xml:space="preserve"> </w:t>
      </w:r>
      <w:r w:rsidR="00D9258C" w:rsidRPr="00FD6A6A">
        <w:t>or</w:t>
      </w:r>
      <w:r w:rsidR="00541D05">
        <w:t xml:space="preserve"> </w:t>
      </w:r>
      <w:r w:rsidR="00D9258C" w:rsidRPr="00FD6A6A">
        <w:t>incites</w:t>
      </w:r>
      <w:r w:rsidR="00541D05">
        <w:t xml:space="preserve"> </w:t>
      </w:r>
      <w:r w:rsidR="00D9258C" w:rsidRPr="00FD6A6A">
        <w:t>discrimination</w:t>
      </w:r>
      <w:r w:rsidR="00541D05">
        <w:t xml:space="preserve"> </w:t>
      </w:r>
      <w:r w:rsidR="00D9258C" w:rsidRPr="00FD6A6A">
        <w:t>or</w:t>
      </w:r>
      <w:r w:rsidR="00541D05">
        <w:t xml:space="preserve"> </w:t>
      </w:r>
      <w:r w:rsidR="00D9258C" w:rsidRPr="00FD6A6A">
        <w:t>prejudice</w:t>
      </w:r>
      <w:r w:rsidR="00541D05">
        <w:t xml:space="preserve"> </w:t>
      </w:r>
      <w:r w:rsidR="00D9258C" w:rsidRPr="00FD6A6A">
        <w:t>related</w:t>
      </w:r>
      <w:r w:rsidR="00541D05">
        <w:t xml:space="preserve"> </w:t>
      </w:r>
      <w:r w:rsidR="00D9258C" w:rsidRPr="00FD6A6A">
        <w:t>to</w:t>
      </w:r>
      <w:r w:rsidR="00541D05">
        <w:t xml:space="preserve"> </w:t>
      </w:r>
      <w:r w:rsidR="00D9258C" w:rsidRPr="00FD6A6A">
        <w:t>race,</w:t>
      </w:r>
      <w:r w:rsidR="00541D05">
        <w:t xml:space="preserve"> </w:t>
      </w:r>
      <w:r w:rsidR="00D9258C" w:rsidRPr="00FD6A6A">
        <w:t>skin</w:t>
      </w:r>
      <w:r w:rsidR="00541D05">
        <w:t xml:space="preserve"> </w:t>
      </w:r>
      <w:r w:rsidR="00D9258C" w:rsidRPr="00FD6A6A">
        <w:t>tone,</w:t>
      </w:r>
      <w:r w:rsidR="00541D05">
        <w:t xml:space="preserve"> </w:t>
      </w:r>
      <w:r w:rsidR="00D9258C" w:rsidRPr="00FD6A6A">
        <w:t>ethnicity,</w:t>
      </w:r>
      <w:r w:rsidR="00541D05">
        <w:t xml:space="preserve"> </w:t>
      </w:r>
      <w:r w:rsidR="00D9258C" w:rsidRPr="00FD6A6A">
        <w:t>religion,</w:t>
      </w:r>
      <w:r w:rsidR="00541D05">
        <w:t xml:space="preserve"> </w:t>
      </w:r>
      <w:r w:rsidR="00D9258C" w:rsidRPr="00FD6A6A">
        <w:t>or</w:t>
      </w:r>
      <w:r w:rsidR="00541D05">
        <w:t xml:space="preserve"> </w:t>
      </w:r>
      <w:r w:rsidR="00D9258C" w:rsidRPr="00FD6A6A">
        <w:t>national</w:t>
      </w:r>
      <w:r w:rsidR="00541D05">
        <w:t xml:space="preserve"> </w:t>
      </w:r>
      <w:r w:rsidR="00D9258C" w:rsidRPr="00FD6A6A">
        <w:t>origin</w:t>
      </w:r>
      <w:r w:rsidR="00541D05">
        <w:t xml:space="preserve"> </w:t>
      </w:r>
      <w:r w:rsidR="00D9258C" w:rsidRPr="00FD6A6A">
        <w:t>through</w:t>
      </w:r>
      <w:r w:rsidR="00541D05">
        <w:t xml:space="preserve"> </w:t>
      </w:r>
      <w:r w:rsidR="00D9258C" w:rsidRPr="00FD6A6A">
        <w:t>social</w:t>
      </w:r>
      <w:r w:rsidR="00541D05">
        <w:t xml:space="preserve"> </w:t>
      </w:r>
      <w:r w:rsidR="00D9258C" w:rsidRPr="00FD6A6A">
        <w:t>media</w:t>
      </w:r>
      <w:r w:rsidR="00541D05">
        <w:t xml:space="preserve"> </w:t>
      </w:r>
      <w:r w:rsidR="00D9258C" w:rsidRPr="00FD6A6A">
        <w:t>or</w:t>
      </w:r>
      <w:r w:rsidR="00541D05">
        <w:t xml:space="preserve"> </w:t>
      </w:r>
      <w:r w:rsidR="00D9258C" w:rsidRPr="00FD6A6A">
        <w:t>any</w:t>
      </w:r>
      <w:r w:rsidR="00541D05">
        <w:t xml:space="preserve"> </w:t>
      </w:r>
      <w:r w:rsidR="00D9258C" w:rsidRPr="00FD6A6A">
        <w:t>kind</w:t>
      </w:r>
      <w:r w:rsidR="00541D05">
        <w:t xml:space="preserve"> </w:t>
      </w:r>
      <w:r w:rsidR="00D9258C" w:rsidRPr="00FD6A6A">
        <w:t>of</w:t>
      </w:r>
      <w:r w:rsidR="00541D05">
        <w:t xml:space="preserve"> </w:t>
      </w:r>
      <w:r w:rsidR="00D9258C" w:rsidRPr="00FD6A6A">
        <w:t>publication,</w:t>
      </w:r>
      <w:r w:rsidR="00541D05">
        <w:t xml:space="preserve"> </w:t>
      </w:r>
      <w:r w:rsidR="00D9258C" w:rsidRPr="00FD6A6A">
        <w:t>according</w:t>
      </w:r>
      <w:r w:rsidR="00541D05">
        <w:t xml:space="preserve"> </w:t>
      </w:r>
      <w:r w:rsidR="00D9258C" w:rsidRPr="00FD6A6A">
        <w:t>to</w:t>
      </w:r>
      <w:r w:rsidR="00541D05">
        <w:t xml:space="preserve"> </w:t>
      </w:r>
      <w:r w:rsidR="00D9258C" w:rsidRPr="00FD6A6A">
        <w:t>paragraph</w:t>
      </w:r>
      <w:r w:rsidR="00541D05">
        <w:t xml:space="preserve"> </w:t>
      </w:r>
      <w:r w:rsidR="00D9258C" w:rsidRPr="00FD6A6A">
        <w:t>2</w:t>
      </w:r>
      <w:r w:rsidR="00541D05">
        <w:t xml:space="preserve"> </w:t>
      </w:r>
      <w:r w:rsidR="00D9258C" w:rsidRPr="00FD6A6A">
        <w:t>of</w:t>
      </w:r>
      <w:r w:rsidR="00541D05">
        <w:t xml:space="preserve"> </w:t>
      </w:r>
      <w:r w:rsidR="00D9258C" w:rsidRPr="00FD6A6A">
        <w:t>Art.</w:t>
      </w:r>
      <w:r w:rsidR="00541D05">
        <w:t xml:space="preserve"> </w:t>
      </w:r>
      <w:r w:rsidR="00D9258C" w:rsidRPr="00FD6A6A">
        <w:t>20.</w:t>
      </w:r>
    </w:p>
    <w:p w14:paraId="1FF80A53" w14:textId="6AFA39F5" w:rsidR="00D9258C" w:rsidRPr="00FD6A6A" w:rsidRDefault="00166390" w:rsidP="00166390">
      <w:pPr>
        <w:pStyle w:val="ParaNoG"/>
        <w:numPr>
          <w:ilvl w:val="0"/>
          <w:numId w:val="0"/>
        </w:numPr>
        <w:tabs>
          <w:tab w:val="left" w:pos="0"/>
        </w:tabs>
        <w:ind w:left="1134"/>
      </w:pPr>
      <w:r w:rsidRPr="00FD6A6A">
        <w:t>52.</w:t>
      </w:r>
      <w:r w:rsidRPr="00FD6A6A">
        <w:tab/>
      </w:r>
      <w:r w:rsidR="00D9258C" w:rsidRPr="00FD6A6A">
        <w:t>Paragraph</w:t>
      </w:r>
      <w:r w:rsidR="00541D05">
        <w:t xml:space="preserve"> </w:t>
      </w:r>
      <w:r w:rsidR="00D9258C" w:rsidRPr="00FD6A6A">
        <w:t>3</w:t>
      </w:r>
      <w:r w:rsidR="00541D05">
        <w:t xml:space="preserve"> </w:t>
      </w:r>
      <w:r w:rsidR="00D9258C" w:rsidRPr="00FD6A6A">
        <w:t>of</w:t>
      </w:r>
      <w:r w:rsidR="00541D05">
        <w:t xml:space="preserve"> </w:t>
      </w:r>
      <w:r w:rsidR="00D9258C" w:rsidRPr="00FD6A6A">
        <w:t>Art.</w:t>
      </w:r>
      <w:r w:rsidR="00541D05">
        <w:t xml:space="preserve"> </w:t>
      </w:r>
      <w:r w:rsidR="00D9258C" w:rsidRPr="00FD6A6A">
        <w:t>20</w:t>
      </w:r>
      <w:r w:rsidR="00541D05">
        <w:t xml:space="preserve"> </w:t>
      </w:r>
      <w:r w:rsidR="00D9258C" w:rsidRPr="00FD6A6A">
        <w:t>also</w:t>
      </w:r>
      <w:r w:rsidR="00541D05">
        <w:t xml:space="preserve"> </w:t>
      </w:r>
      <w:r w:rsidR="00D9258C" w:rsidRPr="00FD6A6A">
        <w:t>establishes</w:t>
      </w:r>
      <w:r w:rsidR="00541D05">
        <w:t xml:space="preserve"> </w:t>
      </w:r>
      <w:r w:rsidR="00D9258C" w:rsidRPr="00FD6A6A">
        <w:t>that</w:t>
      </w:r>
      <w:r w:rsidR="00541D05">
        <w:t xml:space="preserve"> </w:t>
      </w:r>
      <w:r w:rsidR="00D9258C" w:rsidRPr="00FD6A6A">
        <w:t>the</w:t>
      </w:r>
      <w:r w:rsidR="00541D05">
        <w:t xml:space="preserve"> </w:t>
      </w:r>
      <w:r w:rsidR="00D9258C" w:rsidRPr="00FD6A6A">
        <w:t>judge,</w:t>
      </w:r>
      <w:r w:rsidR="00541D05">
        <w:t xml:space="preserve"> </w:t>
      </w:r>
      <w:r w:rsidR="00D9258C" w:rsidRPr="00FD6A6A">
        <w:t>upon</w:t>
      </w:r>
      <w:r w:rsidR="00541D05">
        <w:t xml:space="preserve"> </w:t>
      </w:r>
      <w:r w:rsidR="00D9258C" w:rsidRPr="00FD6A6A">
        <w:t>hearing</w:t>
      </w:r>
      <w:r w:rsidR="00541D05">
        <w:t xml:space="preserve"> </w:t>
      </w:r>
      <w:r w:rsidR="00D9258C" w:rsidRPr="00FD6A6A">
        <w:t>the</w:t>
      </w:r>
      <w:r w:rsidR="00541D05">
        <w:t xml:space="preserve"> </w:t>
      </w:r>
      <w:r w:rsidR="00D9258C" w:rsidRPr="00FD6A6A">
        <w:t>Prosecution</w:t>
      </w:r>
      <w:r w:rsidR="00541D05">
        <w:t xml:space="preserve"> </w:t>
      </w:r>
      <w:r w:rsidR="00D9258C" w:rsidRPr="00FD6A6A">
        <w:t>Service</w:t>
      </w:r>
      <w:r w:rsidR="00541D05">
        <w:t xml:space="preserve"> </w:t>
      </w:r>
      <w:r w:rsidR="00D9258C" w:rsidRPr="00FD6A6A">
        <w:t>or</w:t>
      </w:r>
      <w:r w:rsidR="00541D05">
        <w:t xml:space="preserve"> </w:t>
      </w:r>
      <w:r w:rsidR="00D9258C" w:rsidRPr="00FD6A6A">
        <w:t>at</w:t>
      </w:r>
      <w:r w:rsidR="00541D05">
        <w:t xml:space="preserve"> </w:t>
      </w:r>
      <w:r w:rsidR="00D9258C" w:rsidRPr="00FD6A6A">
        <w:t>the</w:t>
      </w:r>
      <w:r w:rsidR="00541D05">
        <w:t xml:space="preserve"> </w:t>
      </w:r>
      <w:r w:rsidR="00D9258C" w:rsidRPr="00FD6A6A">
        <w:t>request</w:t>
      </w:r>
      <w:r w:rsidR="00541D05">
        <w:t xml:space="preserve"> </w:t>
      </w:r>
      <w:r w:rsidR="00D9258C" w:rsidRPr="00FD6A6A">
        <w:t>thereof,</w:t>
      </w:r>
      <w:r w:rsidR="00541D05">
        <w:t xml:space="preserve"> </w:t>
      </w:r>
      <w:r w:rsidR="00D9258C" w:rsidRPr="00FD6A6A">
        <w:t>prior</w:t>
      </w:r>
      <w:r w:rsidR="00541D05">
        <w:t xml:space="preserve"> </w:t>
      </w:r>
      <w:r w:rsidR="00D9258C" w:rsidRPr="00FD6A6A">
        <w:t>to</w:t>
      </w:r>
      <w:r w:rsidR="00541D05">
        <w:t xml:space="preserve"> </w:t>
      </w:r>
      <w:r w:rsidR="00D9258C" w:rsidRPr="00FD6A6A">
        <w:t>the</w:t>
      </w:r>
      <w:r w:rsidR="00541D05">
        <w:t xml:space="preserve"> </w:t>
      </w:r>
      <w:r w:rsidR="00D9258C" w:rsidRPr="00FD6A6A">
        <w:t>police</w:t>
      </w:r>
      <w:r w:rsidR="00541D05">
        <w:t xml:space="preserve"> </w:t>
      </w:r>
      <w:r w:rsidR="00D9258C" w:rsidRPr="00FD6A6A">
        <w:t>investigation,</w:t>
      </w:r>
      <w:r w:rsidR="00541D05">
        <w:t xml:space="preserve"> </w:t>
      </w:r>
      <w:r w:rsidR="00D9258C" w:rsidRPr="00FD6A6A">
        <w:t>under</w:t>
      </w:r>
      <w:r w:rsidR="00541D05">
        <w:t xml:space="preserve"> </w:t>
      </w:r>
      <w:r w:rsidR="00D9258C" w:rsidRPr="00FD6A6A">
        <w:t>penalty</w:t>
      </w:r>
      <w:r w:rsidR="00541D05">
        <w:t xml:space="preserve"> </w:t>
      </w:r>
      <w:r w:rsidR="00D9258C" w:rsidRPr="00FD6A6A">
        <w:t>of</w:t>
      </w:r>
      <w:r w:rsidR="00541D05">
        <w:t xml:space="preserve"> </w:t>
      </w:r>
      <w:r w:rsidR="00D9258C" w:rsidRPr="00FD6A6A">
        <w:t>disobedience,</w:t>
      </w:r>
      <w:r w:rsidR="00541D05">
        <w:t xml:space="preserve"> </w:t>
      </w:r>
      <w:r w:rsidR="00D9258C" w:rsidRPr="00FD6A6A">
        <w:t>may</w:t>
      </w:r>
      <w:r w:rsidR="00541D05">
        <w:t xml:space="preserve"> </w:t>
      </w:r>
      <w:r w:rsidR="00D9258C" w:rsidRPr="00FD6A6A">
        <w:t>determine</w:t>
      </w:r>
      <w:r w:rsidR="00541D05">
        <w:t xml:space="preserve"> </w:t>
      </w:r>
      <w:r w:rsidR="00D9258C" w:rsidRPr="00FD6A6A">
        <w:t>the</w:t>
      </w:r>
      <w:r w:rsidR="00541D05">
        <w:t xml:space="preserve"> </w:t>
      </w:r>
      <w:r w:rsidR="00D9258C" w:rsidRPr="00FD6A6A">
        <w:t>immediate</w:t>
      </w:r>
      <w:r w:rsidR="00541D05">
        <w:t xml:space="preserve"> </w:t>
      </w:r>
      <w:r w:rsidR="00D9258C" w:rsidRPr="00FD6A6A">
        <w:t>collection</w:t>
      </w:r>
      <w:r w:rsidR="00541D05">
        <w:t xml:space="preserve"> </w:t>
      </w:r>
      <w:r w:rsidR="00D9258C" w:rsidRPr="00FD6A6A">
        <w:t>or</w:t>
      </w:r>
      <w:r w:rsidR="00541D05">
        <w:t xml:space="preserve"> </w:t>
      </w:r>
      <w:r w:rsidR="00D9258C" w:rsidRPr="00FD6A6A">
        <w:t>search</w:t>
      </w:r>
      <w:r w:rsidR="00541D05">
        <w:t xml:space="preserve"> </w:t>
      </w:r>
      <w:r w:rsidR="00D9258C" w:rsidRPr="00FD6A6A">
        <w:t>and</w:t>
      </w:r>
      <w:r w:rsidR="00541D05">
        <w:t xml:space="preserve"> </w:t>
      </w:r>
      <w:r w:rsidR="00D9258C" w:rsidRPr="00FD6A6A">
        <w:t>seizure</w:t>
      </w:r>
      <w:r w:rsidR="00541D05">
        <w:t xml:space="preserve"> </w:t>
      </w:r>
      <w:r w:rsidR="00D9258C" w:rsidRPr="00FD6A6A">
        <w:t>of</w:t>
      </w:r>
      <w:r w:rsidR="00541D05">
        <w:t xml:space="preserve"> </w:t>
      </w:r>
      <w:r w:rsidR="00D9258C" w:rsidRPr="00FD6A6A">
        <w:t>the</w:t>
      </w:r>
      <w:r w:rsidR="00541D05">
        <w:t xml:space="preserve"> </w:t>
      </w:r>
      <w:r w:rsidR="00D9258C" w:rsidRPr="00FD6A6A">
        <w:t>copies</w:t>
      </w:r>
      <w:r w:rsidR="00541D05">
        <w:t xml:space="preserve"> </w:t>
      </w:r>
      <w:r w:rsidR="00D9258C" w:rsidRPr="00FD6A6A">
        <w:t>of</w:t>
      </w:r>
      <w:r w:rsidR="00541D05">
        <w:t xml:space="preserve"> </w:t>
      </w:r>
      <w:r w:rsidR="00D9258C" w:rsidRPr="00FD6A6A">
        <w:t>the</w:t>
      </w:r>
      <w:r w:rsidR="00541D05">
        <w:t xml:space="preserve"> </w:t>
      </w:r>
      <w:r w:rsidR="00D9258C" w:rsidRPr="00FD6A6A">
        <w:t>relevant</w:t>
      </w:r>
      <w:r w:rsidR="00541D05">
        <w:t xml:space="preserve"> </w:t>
      </w:r>
      <w:r w:rsidR="00D9258C" w:rsidRPr="00FD6A6A">
        <w:t>material,</w:t>
      </w:r>
      <w:r w:rsidR="00541D05">
        <w:t xml:space="preserve"> </w:t>
      </w:r>
      <w:r w:rsidR="00D9258C" w:rsidRPr="00FD6A6A">
        <w:t>the</w:t>
      </w:r>
      <w:r w:rsidR="00541D05">
        <w:t xml:space="preserve"> </w:t>
      </w:r>
      <w:r w:rsidR="00D9258C" w:rsidRPr="00FD6A6A">
        <w:t>cessation</w:t>
      </w:r>
      <w:r w:rsidR="00541D05">
        <w:t xml:space="preserve"> </w:t>
      </w:r>
      <w:r w:rsidR="00D9258C" w:rsidRPr="00FD6A6A">
        <w:t>of</w:t>
      </w:r>
      <w:r w:rsidR="00541D05">
        <w:t xml:space="preserve"> </w:t>
      </w:r>
      <w:r w:rsidR="00D9258C" w:rsidRPr="00FD6A6A">
        <w:t>the</w:t>
      </w:r>
      <w:r w:rsidR="00541D05">
        <w:t xml:space="preserve"> </w:t>
      </w:r>
      <w:r w:rsidR="00D9258C" w:rsidRPr="00FD6A6A">
        <w:t>relevant</w:t>
      </w:r>
      <w:r w:rsidR="00541D05">
        <w:t xml:space="preserve"> </w:t>
      </w:r>
      <w:r w:rsidR="00D9258C" w:rsidRPr="00FD6A6A">
        <w:t>radiophonic,</w:t>
      </w:r>
      <w:r w:rsidR="00541D05">
        <w:t xml:space="preserve"> </w:t>
      </w:r>
      <w:r w:rsidR="00D9258C" w:rsidRPr="00FD6A6A">
        <w:t>television,</w:t>
      </w:r>
      <w:r w:rsidR="00541D05">
        <w:t xml:space="preserve"> </w:t>
      </w:r>
      <w:r w:rsidR="00D9258C" w:rsidRPr="00FD6A6A">
        <w:t>or</w:t>
      </w:r>
      <w:r w:rsidR="00541D05">
        <w:t xml:space="preserve"> </w:t>
      </w:r>
      <w:r w:rsidR="00D9258C" w:rsidRPr="00FD6A6A">
        <w:t>electronic</w:t>
      </w:r>
      <w:r w:rsidR="00541D05">
        <w:t xml:space="preserve"> </w:t>
      </w:r>
      <w:r w:rsidR="00D9258C" w:rsidRPr="00FD6A6A">
        <w:t>transmissions</w:t>
      </w:r>
      <w:r w:rsidR="00541D05">
        <w:t xml:space="preserve"> </w:t>
      </w:r>
      <w:r w:rsidR="00D9258C" w:rsidRPr="00FD6A6A">
        <w:t>or</w:t>
      </w:r>
      <w:r w:rsidR="00541D05">
        <w:t xml:space="preserve"> </w:t>
      </w:r>
      <w:r w:rsidR="00D9258C" w:rsidRPr="00FD6A6A">
        <w:t>publication</w:t>
      </w:r>
      <w:r w:rsidR="00541D05">
        <w:t xml:space="preserve"> </w:t>
      </w:r>
      <w:r w:rsidR="00D9258C" w:rsidRPr="00FD6A6A">
        <w:t>through</w:t>
      </w:r>
      <w:r w:rsidR="00541D05">
        <w:t xml:space="preserve"> </w:t>
      </w:r>
      <w:r w:rsidR="00D9258C" w:rsidRPr="00FD6A6A">
        <w:t>any</w:t>
      </w:r>
      <w:r w:rsidR="00541D05">
        <w:t xml:space="preserve"> </w:t>
      </w:r>
      <w:r w:rsidR="00D9258C" w:rsidRPr="00FD6A6A">
        <w:t>means,</w:t>
      </w:r>
      <w:r w:rsidR="00541D05">
        <w:t xml:space="preserve"> </w:t>
      </w:r>
      <w:r w:rsidR="00D9258C" w:rsidRPr="00FD6A6A">
        <w:t>and</w:t>
      </w:r>
      <w:r w:rsidR="00541D05">
        <w:t xml:space="preserve"> </w:t>
      </w:r>
      <w:r w:rsidR="00D9258C" w:rsidRPr="00FD6A6A">
        <w:t>the</w:t>
      </w:r>
      <w:r w:rsidR="00541D05">
        <w:t xml:space="preserve"> </w:t>
      </w:r>
      <w:r w:rsidR="00D9258C" w:rsidRPr="00FD6A6A">
        <w:t>interdiction</w:t>
      </w:r>
      <w:r w:rsidR="00541D05">
        <w:t xml:space="preserve"> </w:t>
      </w:r>
      <w:r w:rsidR="00D9258C" w:rsidRPr="00FD6A6A">
        <w:t>of</w:t>
      </w:r>
      <w:r w:rsidR="00541D05">
        <w:t xml:space="preserve"> </w:t>
      </w:r>
      <w:r w:rsidR="00D9258C" w:rsidRPr="00FD6A6A">
        <w:t>the</w:t>
      </w:r>
      <w:r w:rsidR="00541D05">
        <w:t xml:space="preserve"> </w:t>
      </w:r>
      <w:r w:rsidR="00D9258C" w:rsidRPr="00FD6A6A">
        <w:t>respective</w:t>
      </w:r>
      <w:r w:rsidR="00541D05">
        <w:t xml:space="preserve"> </w:t>
      </w:r>
      <w:r w:rsidR="00D9258C" w:rsidRPr="00FD6A6A">
        <w:t>messages</w:t>
      </w:r>
      <w:r w:rsidR="00541D05">
        <w:t xml:space="preserve"> </w:t>
      </w:r>
      <w:r w:rsidR="00D9258C" w:rsidRPr="00FD6A6A">
        <w:t>or</w:t>
      </w:r>
      <w:r w:rsidR="00541D05">
        <w:t xml:space="preserve"> </w:t>
      </w:r>
      <w:r w:rsidR="00D9258C" w:rsidRPr="00FD6A6A">
        <w:t>pages</w:t>
      </w:r>
      <w:r w:rsidR="00541D05">
        <w:t xml:space="preserve"> </w:t>
      </w:r>
      <w:r w:rsidR="00D9258C" w:rsidRPr="00FD6A6A">
        <w:t>of</w:t>
      </w:r>
      <w:r w:rsidR="00541D05">
        <w:t xml:space="preserve"> </w:t>
      </w:r>
      <w:r w:rsidR="00D9258C" w:rsidRPr="00FD6A6A">
        <w:t>information</w:t>
      </w:r>
      <w:r w:rsidR="00541D05">
        <w:t xml:space="preserve"> </w:t>
      </w:r>
      <w:r w:rsidR="00D9258C" w:rsidRPr="00FD6A6A">
        <w:t>in</w:t>
      </w:r>
      <w:r w:rsidR="00541D05">
        <w:t xml:space="preserve"> </w:t>
      </w:r>
      <w:r w:rsidR="00D9258C" w:rsidRPr="00FD6A6A">
        <w:t>the</w:t>
      </w:r>
      <w:r w:rsidR="00541D05">
        <w:t xml:space="preserve"> </w:t>
      </w:r>
      <w:r w:rsidR="00D9258C" w:rsidRPr="00FD6A6A">
        <w:t>world</w:t>
      </w:r>
      <w:r w:rsidR="00541D05">
        <w:t xml:space="preserve"> </w:t>
      </w:r>
      <w:r w:rsidR="00D9258C" w:rsidRPr="00FD6A6A">
        <w:t>wide</w:t>
      </w:r>
      <w:r w:rsidR="00541D05">
        <w:t xml:space="preserve"> </w:t>
      </w:r>
      <w:r w:rsidR="00D9258C" w:rsidRPr="00FD6A6A">
        <w:t>web.</w:t>
      </w:r>
      <w:r w:rsidR="00541D05">
        <w:t xml:space="preserve"> </w:t>
      </w:r>
      <w:r w:rsidR="00D9258C" w:rsidRPr="00FD6A6A">
        <w:t>Paragraph</w:t>
      </w:r>
      <w:r w:rsidR="00541D05">
        <w:t xml:space="preserve"> </w:t>
      </w:r>
      <w:r w:rsidR="00D9258C" w:rsidRPr="00FD6A6A">
        <w:t>4</w:t>
      </w:r>
      <w:r w:rsidR="00541D05">
        <w:t xml:space="preserve"> </w:t>
      </w:r>
      <w:r w:rsidR="00D9258C" w:rsidRPr="00FD6A6A">
        <w:t>establishes</w:t>
      </w:r>
      <w:r w:rsidR="00541D05">
        <w:t xml:space="preserve"> </w:t>
      </w:r>
      <w:r w:rsidR="00D9258C" w:rsidRPr="00FD6A6A">
        <w:t>that,</w:t>
      </w:r>
      <w:r w:rsidR="00541D05">
        <w:t xml:space="preserve"> </w:t>
      </w:r>
      <w:r w:rsidR="00D9258C" w:rsidRPr="00FD6A6A">
        <w:t>after</w:t>
      </w:r>
      <w:r w:rsidR="00541D05">
        <w:t xml:space="preserve"> </w:t>
      </w:r>
      <w:r w:rsidR="00D9258C" w:rsidRPr="00FD6A6A">
        <w:t>the</w:t>
      </w:r>
      <w:r w:rsidR="00541D05">
        <w:t xml:space="preserve"> </w:t>
      </w:r>
      <w:r w:rsidR="00D9258C" w:rsidRPr="00FD6A6A">
        <w:t>decision</w:t>
      </w:r>
      <w:r w:rsidR="00541D05">
        <w:t xml:space="preserve"> </w:t>
      </w:r>
      <w:r w:rsidR="00D9258C" w:rsidRPr="00FD6A6A">
        <w:t>becomes</w:t>
      </w:r>
      <w:r w:rsidR="00541D05">
        <w:t xml:space="preserve"> </w:t>
      </w:r>
      <w:r w:rsidR="00D9258C" w:rsidRPr="00FD6A6A">
        <w:t>final</w:t>
      </w:r>
      <w:r w:rsidR="00541D05">
        <w:t xml:space="preserve"> </w:t>
      </w:r>
      <w:r w:rsidR="00D9258C" w:rsidRPr="00FD6A6A">
        <w:t>and</w:t>
      </w:r>
      <w:r w:rsidR="00541D05">
        <w:t xml:space="preserve"> </w:t>
      </w:r>
      <w:r w:rsidR="00D9258C" w:rsidRPr="00FD6A6A">
        <w:t>unappealable,</w:t>
      </w:r>
      <w:r w:rsidR="00541D05">
        <w:t xml:space="preserve"> </w:t>
      </w:r>
      <w:r w:rsidR="00D9258C" w:rsidRPr="00FD6A6A">
        <w:t>the</w:t>
      </w:r>
      <w:r w:rsidR="00541D05">
        <w:t xml:space="preserve"> </w:t>
      </w:r>
      <w:r w:rsidR="00D9258C" w:rsidRPr="00FD6A6A">
        <w:t>material</w:t>
      </w:r>
      <w:r w:rsidR="00541D05">
        <w:t xml:space="preserve"> </w:t>
      </w:r>
      <w:r w:rsidR="00D9258C" w:rsidRPr="00FD6A6A">
        <w:t>seized</w:t>
      </w:r>
      <w:r w:rsidR="00541D05">
        <w:t xml:space="preserve"> </w:t>
      </w:r>
      <w:r w:rsidR="00D9258C" w:rsidRPr="00FD6A6A">
        <w:t>must</w:t>
      </w:r>
      <w:r w:rsidR="00541D05">
        <w:t xml:space="preserve"> </w:t>
      </w:r>
      <w:r w:rsidR="00D9258C" w:rsidRPr="00FD6A6A">
        <w:t>be</w:t>
      </w:r>
      <w:r w:rsidR="00541D05">
        <w:t xml:space="preserve"> </w:t>
      </w:r>
      <w:r w:rsidR="00D9258C" w:rsidRPr="00FD6A6A">
        <w:t>destroyed.</w:t>
      </w:r>
    </w:p>
    <w:p w14:paraId="09B0C8EE" w14:textId="15BF67B5" w:rsidR="00D9258C" w:rsidRPr="00FD6A6A" w:rsidRDefault="00166390" w:rsidP="00166390">
      <w:pPr>
        <w:pStyle w:val="ParaNoG"/>
        <w:numPr>
          <w:ilvl w:val="0"/>
          <w:numId w:val="0"/>
        </w:numPr>
        <w:tabs>
          <w:tab w:val="left" w:pos="0"/>
        </w:tabs>
        <w:ind w:left="1134"/>
      </w:pPr>
      <w:r w:rsidRPr="00FD6A6A">
        <w:t>53.</w:t>
      </w:r>
      <w:r w:rsidRPr="00FD6A6A">
        <w:tab/>
      </w:r>
      <w:r w:rsidR="00D9258C" w:rsidRPr="00FD6A6A">
        <w:t>If</w:t>
      </w:r>
      <w:r w:rsidR="00541D05">
        <w:t xml:space="preserve"> </w:t>
      </w:r>
      <w:r w:rsidR="00D9258C" w:rsidRPr="00FD6A6A">
        <w:t>racial</w:t>
      </w:r>
      <w:r w:rsidR="00541D05">
        <w:t xml:space="preserve"> </w:t>
      </w:r>
      <w:r w:rsidR="00D9258C" w:rsidRPr="00FD6A6A">
        <w:t>prejudice</w:t>
      </w:r>
      <w:r w:rsidR="00541D05">
        <w:t xml:space="preserve"> </w:t>
      </w:r>
      <w:r w:rsidR="00D9258C" w:rsidRPr="00FD6A6A">
        <w:t>and</w:t>
      </w:r>
      <w:r w:rsidR="00541D05">
        <w:t xml:space="preserve"> </w:t>
      </w:r>
      <w:r w:rsidR="00D9258C" w:rsidRPr="00FD6A6A">
        <w:t>discrimination</w:t>
      </w:r>
      <w:r w:rsidR="00541D05">
        <w:t xml:space="preserve"> </w:t>
      </w:r>
      <w:r w:rsidR="00D9258C" w:rsidRPr="00FD6A6A">
        <w:t>are</w:t>
      </w:r>
      <w:r w:rsidR="00541D05">
        <w:t xml:space="preserve"> </w:t>
      </w:r>
      <w:r w:rsidR="00D9258C" w:rsidRPr="00FD6A6A">
        <w:t>deemed</w:t>
      </w:r>
      <w:r w:rsidR="00541D05">
        <w:t xml:space="preserve"> </w:t>
      </w:r>
      <w:r w:rsidR="00D9258C" w:rsidRPr="00FD6A6A">
        <w:t>acts</w:t>
      </w:r>
      <w:r w:rsidR="00541D05">
        <w:t xml:space="preserve"> </w:t>
      </w:r>
      <w:r w:rsidR="00D9258C" w:rsidRPr="00FD6A6A">
        <w:t>that</w:t>
      </w:r>
      <w:r w:rsidR="00541D05">
        <w:t xml:space="preserve"> </w:t>
      </w:r>
      <w:r w:rsidR="00D9258C" w:rsidRPr="00FD6A6A">
        <w:t>threaten,</w:t>
      </w:r>
      <w:r w:rsidR="00541D05">
        <w:t xml:space="preserve"> </w:t>
      </w:r>
      <w:r w:rsidR="00D9258C" w:rsidRPr="00FD6A6A">
        <w:t>restrict,</w:t>
      </w:r>
      <w:r w:rsidR="00541D05">
        <w:t xml:space="preserve"> </w:t>
      </w:r>
      <w:r w:rsidR="00D9258C" w:rsidRPr="00FD6A6A">
        <w:t>or</w:t>
      </w:r>
      <w:r w:rsidR="00541D05">
        <w:t xml:space="preserve"> </w:t>
      </w:r>
      <w:r w:rsidR="00D9258C" w:rsidRPr="00FD6A6A">
        <w:t>cause</w:t>
      </w:r>
      <w:r w:rsidR="00541D05">
        <w:t xml:space="preserve"> </w:t>
      </w:r>
      <w:r w:rsidR="00D9258C" w:rsidRPr="00FD6A6A">
        <w:t>moral</w:t>
      </w:r>
      <w:r w:rsidR="00541D05">
        <w:t xml:space="preserve"> </w:t>
      </w:r>
      <w:r w:rsidR="00D9258C" w:rsidRPr="00FD6A6A">
        <w:t>damage</w:t>
      </w:r>
      <w:r w:rsidR="00541D05">
        <w:t xml:space="preserve"> </w:t>
      </w:r>
      <w:r w:rsidR="00D9258C" w:rsidRPr="00FD6A6A">
        <w:t>to</w:t>
      </w:r>
      <w:r w:rsidR="00541D05">
        <w:t xml:space="preserve"> </w:t>
      </w:r>
      <w:r w:rsidR="00D9258C" w:rsidRPr="00FD6A6A">
        <w:t>the</w:t>
      </w:r>
      <w:r w:rsidR="00541D05">
        <w:t xml:space="preserve"> </w:t>
      </w:r>
      <w:r w:rsidR="00D9258C" w:rsidRPr="00FD6A6A">
        <w:t>personality</w:t>
      </w:r>
      <w:r w:rsidR="00541D05">
        <w:t xml:space="preserve"> </w:t>
      </w:r>
      <w:r w:rsidR="00D9258C" w:rsidRPr="00FD6A6A">
        <w:t>of</w:t>
      </w:r>
      <w:r w:rsidR="00541D05">
        <w:t xml:space="preserve"> </w:t>
      </w:r>
      <w:r w:rsidR="00D9258C" w:rsidRPr="00FD6A6A">
        <w:t>citizens,</w:t>
      </w:r>
      <w:r w:rsidR="00541D05">
        <w:t xml:space="preserve"> </w:t>
      </w:r>
      <w:r w:rsidR="00D9258C" w:rsidRPr="00FD6A6A">
        <w:t>the</w:t>
      </w:r>
      <w:r w:rsidR="00541D05">
        <w:t xml:space="preserve"> </w:t>
      </w:r>
      <w:r w:rsidR="00D9258C" w:rsidRPr="00FD6A6A">
        <w:t>perpetrators</w:t>
      </w:r>
      <w:r w:rsidR="00541D05">
        <w:t xml:space="preserve"> </w:t>
      </w:r>
      <w:r w:rsidR="00D9258C" w:rsidRPr="00FD6A6A">
        <w:t>of</w:t>
      </w:r>
      <w:r w:rsidR="00541D05">
        <w:t xml:space="preserve"> </w:t>
      </w:r>
      <w:r w:rsidR="00D9258C" w:rsidRPr="00FD6A6A">
        <w:t>these</w:t>
      </w:r>
      <w:r w:rsidR="00541D05">
        <w:t xml:space="preserve"> </w:t>
      </w:r>
      <w:r w:rsidR="00D9258C" w:rsidRPr="00FD6A6A">
        <w:t>illegal</w:t>
      </w:r>
      <w:r w:rsidR="00541D05">
        <w:t xml:space="preserve"> </w:t>
      </w:r>
      <w:r w:rsidR="00D9258C" w:rsidRPr="00FD6A6A">
        <w:t>acts</w:t>
      </w:r>
      <w:r w:rsidR="00541D05">
        <w:t xml:space="preserve"> </w:t>
      </w:r>
      <w:r w:rsidR="00D9258C" w:rsidRPr="00FD6A6A">
        <w:t>may</w:t>
      </w:r>
      <w:r w:rsidR="00541D05">
        <w:t xml:space="preserve"> </w:t>
      </w:r>
      <w:r w:rsidR="00D9258C" w:rsidRPr="00FD6A6A">
        <w:t>also</w:t>
      </w:r>
      <w:r w:rsidR="00541D05">
        <w:t xml:space="preserve"> </w:t>
      </w:r>
      <w:r w:rsidR="00D9258C" w:rsidRPr="00FD6A6A">
        <w:t>be</w:t>
      </w:r>
      <w:r w:rsidR="00541D05">
        <w:t xml:space="preserve"> </w:t>
      </w:r>
      <w:r w:rsidR="00D9258C" w:rsidRPr="00FD6A6A">
        <w:t>subject</w:t>
      </w:r>
      <w:r w:rsidR="00541D05">
        <w:t xml:space="preserve"> </w:t>
      </w:r>
      <w:r w:rsidR="00D9258C" w:rsidRPr="00FD6A6A">
        <w:t>payment</w:t>
      </w:r>
      <w:r w:rsidR="00541D05">
        <w:t xml:space="preserve"> </w:t>
      </w:r>
      <w:r w:rsidR="00D9258C" w:rsidRPr="00FD6A6A">
        <w:t>of</w:t>
      </w:r>
      <w:r w:rsidR="00541D05">
        <w:t xml:space="preserve"> </w:t>
      </w:r>
      <w:r w:rsidR="00D9258C" w:rsidRPr="00FD6A6A">
        <w:t>compensation</w:t>
      </w:r>
      <w:r w:rsidR="00541D05">
        <w:t xml:space="preserve"> </w:t>
      </w:r>
      <w:r w:rsidR="00D9258C" w:rsidRPr="00FD6A6A">
        <w:t>through</w:t>
      </w:r>
      <w:r w:rsidR="00541D05">
        <w:t xml:space="preserve"> </w:t>
      </w:r>
      <w:r w:rsidR="00D9258C" w:rsidRPr="00FD6A6A">
        <w:t>civil</w:t>
      </w:r>
      <w:r w:rsidR="00541D05">
        <w:t xml:space="preserve"> </w:t>
      </w:r>
      <w:r w:rsidR="00D9258C" w:rsidRPr="00FD6A6A">
        <w:t>lawsuits.</w:t>
      </w:r>
    </w:p>
    <w:p w14:paraId="5E18FD78" w14:textId="0C1B7E0D" w:rsidR="00D9258C" w:rsidRPr="00FD6A6A" w:rsidRDefault="00166390" w:rsidP="00166390">
      <w:pPr>
        <w:pStyle w:val="ParaNoG"/>
        <w:numPr>
          <w:ilvl w:val="0"/>
          <w:numId w:val="0"/>
        </w:numPr>
        <w:tabs>
          <w:tab w:val="left" w:pos="0"/>
        </w:tabs>
        <w:ind w:left="1134"/>
      </w:pPr>
      <w:r w:rsidRPr="00FD6A6A">
        <w:t>54.</w:t>
      </w:r>
      <w:r w:rsidRPr="00FD6A6A">
        <w:tab/>
      </w:r>
      <w:r w:rsidR="00D9258C" w:rsidRPr="00FD6A6A">
        <w:t>National</w:t>
      </w:r>
      <w:r w:rsidR="00541D05">
        <w:t xml:space="preserve"> </w:t>
      </w:r>
      <w:r w:rsidR="00D9258C" w:rsidRPr="00FD6A6A">
        <w:t>data</w:t>
      </w:r>
      <w:r w:rsidR="00541D05">
        <w:t xml:space="preserve"> </w:t>
      </w:r>
      <w:r w:rsidR="00D9258C" w:rsidRPr="00FD6A6A">
        <w:t>on</w:t>
      </w:r>
      <w:r w:rsidR="00541D05">
        <w:t xml:space="preserve"> </w:t>
      </w:r>
      <w:r w:rsidR="00D9258C" w:rsidRPr="00FD6A6A">
        <w:t>legal</w:t>
      </w:r>
      <w:r w:rsidR="00541D05">
        <w:t xml:space="preserve"> </w:t>
      </w:r>
      <w:r w:rsidR="00D9258C" w:rsidRPr="00FD6A6A">
        <w:t>suits</w:t>
      </w:r>
      <w:r w:rsidR="00541D05">
        <w:t xml:space="preserve"> </w:t>
      </w:r>
      <w:r w:rsidR="00D9258C" w:rsidRPr="00FD6A6A">
        <w:t>for</w:t>
      </w:r>
      <w:r w:rsidR="00541D05">
        <w:t xml:space="preserve"> </w:t>
      </w:r>
      <w:r w:rsidR="00D9258C" w:rsidRPr="00FD6A6A">
        <w:t>racism</w:t>
      </w:r>
      <w:r w:rsidR="00541D05">
        <w:t xml:space="preserve"> </w:t>
      </w:r>
      <w:r w:rsidR="00D9258C" w:rsidRPr="00FD6A6A">
        <w:t>or</w:t>
      </w:r>
      <w:r w:rsidR="00541D05">
        <w:t xml:space="preserve"> </w:t>
      </w:r>
      <w:r w:rsidR="00D9258C" w:rsidRPr="00FD6A6A">
        <w:t>racial</w:t>
      </w:r>
      <w:r w:rsidR="00541D05">
        <w:t xml:space="preserve"> </w:t>
      </w:r>
      <w:r w:rsidR="00D9258C" w:rsidRPr="00FD6A6A">
        <w:t>slur</w:t>
      </w:r>
      <w:r w:rsidR="00541D05">
        <w:t xml:space="preserve"> </w:t>
      </w:r>
      <w:r w:rsidR="00D9258C" w:rsidRPr="00FD6A6A">
        <w:t>that</w:t>
      </w:r>
      <w:r w:rsidR="00541D05">
        <w:t xml:space="preserve"> </w:t>
      </w:r>
      <w:r w:rsidR="00D9258C" w:rsidRPr="00FD6A6A">
        <w:t>have</w:t>
      </w:r>
      <w:r w:rsidR="00541D05">
        <w:t xml:space="preserve"> </w:t>
      </w:r>
      <w:r w:rsidR="00D9258C" w:rsidRPr="00FD6A6A">
        <w:t>been</w:t>
      </w:r>
      <w:r w:rsidR="00541D05">
        <w:t xml:space="preserve"> </w:t>
      </w:r>
      <w:r w:rsidR="00D9258C" w:rsidRPr="00FD6A6A">
        <w:t>processed</w:t>
      </w:r>
      <w:r w:rsidR="00541D05">
        <w:t xml:space="preserve"> </w:t>
      </w:r>
      <w:r w:rsidR="00D9258C" w:rsidRPr="00FD6A6A">
        <w:t>in</w:t>
      </w:r>
      <w:r w:rsidR="00541D05">
        <w:t xml:space="preserve"> </w:t>
      </w:r>
      <w:r w:rsidR="00D9258C" w:rsidRPr="00FD6A6A">
        <w:t>the</w:t>
      </w:r>
      <w:r w:rsidR="00541D05">
        <w:t xml:space="preserve"> </w:t>
      </w:r>
      <w:r w:rsidR="00D9258C" w:rsidRPr="00FD6A6A">
        <w:t>legal</w:t>
      </w:r>
      <w:r w:rsidR="00541D05">
        <w:t xml:space="preserve"> </w:t>
      </w:r>
      <w:r w:rsidR="00D9258C" w:rsidRPr="00FD6A6A">
        <w:t>system</w:t>
      </w:r>
      <w:r w:rsidR="00541D05">
        <w:t xml:space="preserve"> </w:t>
      </w:r>
      <w:r w:rsidR="00D9258C" w:rsidRPr="00FD6A6A">
        <w:t>indicate</w:t>
      </w:r>
      <w:r w:rsidR="00541D05">
        <w:t xml:space="preserve"> </w:t>
      </w:r>
      <w:r w:rsidR="00D9258C" w:rsidRPr="00FD6A6A">
        <w:t>virtually</w:t>
      </w:r>
      <w:r w:rsidR="00541D05">
        <w:t xml:space="preserve"> </w:t>
      </w:r>
      <w:r w:rsidR="00D9258C" w:rsidRPr="00FD6A6A">
        <w:t>no</w:t>
      </w:r>
      <w:r w:rsidR="00541D05">
        <w:t xml:space="preserve"> </w:t>
      </w:r>
      <w:r w:rsidR="00D9258C" w:rsidRPr="00FD6A6A">
        <w:t>cases</w:t>
      </w:r>
      <w:r w:rsidR="00541D05">
        <w:t xml:space="preserve"> </w:t>
      </w:r>
      <w:r w:rsidR="00D9258C" w:rsidRPr="00FD6A6A">
        <w:t>of</w:t>
      </w:r>
      <w:r w:rsidR="00541D05">
        <w:t xml:space="preserve"> </w:t>
      </w:r>
      <w:r w:rsidR="00D9258C" w:rsidRPr="00FD6A6A">
        <w:t>convictions</w:t>
      </w:r>
      <w:r w:rsidR="00541D05">
        <w:t xml:space="preserve"> </w:t>
      </w:r>
      <w:r w:rsidR="00D9258C" w:rsidRPr="00FD6A6A">
        <w:t>or</w:t>
      </w:r>
      <w:r w:rsidR="00541D05">
        <w:t xml:space="preserve"> </w:t>
      </w:r>
      <w:r w:rsidR="00D9258C" w:rsidRPr="00FD6A6A">
        <w:t>liability</w:t>
      </w:r>
      <w:r w:rsidR="00541D05">
        <w:t xml:space="preserve"> </w:t>
      </w:r>
      <w:r w:rsidR="00D9258C" w:rsidRPr="00FD6A6A">
        <w:t>for</w:t>
      </w:r>
      <w:r w:rsidR="00541D05">
        <w:t xml:space="preserve"> </w:t>
      </w:r>
      <w:r w:rsidR="00D9258C" w:rsidRPr="00FD6A6A">
        <w:t>the</w:t>
      </w:r>
      <w:r w:rsidR="00541D05">
        <w:t xml:space="preserve"> </w:t>
      </w:r>
      <w:r w:rsidR="00D9258C" w:rsidRPr="00FD6A6A">
        <w:t>indicted</w:t>
      </w:r>
      <w:r w:rsidR="00541D05">
        <w:t xml:space="preserve"> </w:t>
      </w:r>
      <w:r w:rsidR="00D9258C" w:rsidRPr="00FD6A6A">
        <w:t>individuals.</w:t>
      </w:r>
      <w:r w:rsidR="00541D05">
        <w:t xml:space="preserve"> </w:t>
      </w:r>
      <w:r w:rsidR="00D9258C" w:rsidRPr="00FD6A6A">
        <w:t>Research</w:t>
      </w:r>
      <w:r w:rsidR="00541D05">
        <w:t xml:space="preserve"> </w:t>
      </w:r>
      <w:r w:rsidR="00D9258C" w:rsidRPr="00FD6A6A">
        <w:t>carried</w:t>
      </w:r>
      <w:r w:rsidR="00541D05">
        <w:t xml:space="preserve"> </w:t>
      </w:r>
      <w:r w:rsidR="00D9258C" w:rsidRPr="00FD6A6A">
        <w:t>out</w:t>
      </w:r>
      <w:r w:rsidR="00541D05">
        <w:t xml:space="preserve"> </w:t>
      </w:r>
      <w:r w:rsidR="00D9258C" w:rsidRPr="00FD6A6A">
        <w:t>between</w:t>
      </w:r>
      <w:r w:rsidR="00541D05">
        <w:t xml:space="preserve"> </w:t>
      </w:r>
      <w:r w:rsidR="00D9258C" w:rsidRPr="00FD6A6A">
        <w:t>1995</w:t>
      </w:r>
      <w:r w:rsidR="00541D05">
        <w:t xml:space="preserve"> </w:t>
      </w:r>
      <w:r w:rsidR="00D9258C" w:rsidRPr="00FD6A6A">
        <w:t>and</w:t>
      </w:r>
      <w:r w:rsidR="00541D05">
        <w:t xml:space="preserve"> </w:t>
      </w:r>
      <w:r w:rsidR="00D9258C" w:rsidRPr="00FD6A6A">
        <w:t>2000</w:t>
      </w:r>
      <w:r w:rsidR="00541D05">
        <w:t xml:space="preserve"> </w:t>
      </w:r>
      <w:r w:rsidR="00D9258C" w:rsidRPr="00FD6A6A">
        <w:t>revealed</w:t>
      </w:r>
      <w:r w:rsidR="00541D05">
        <w:t xml:space="preserve"> </w:t>
      </w:r>
      <w:r w:rsidR="00D9258C" w:rsidRPr="00FD6A6A">
        <w:t>that,</w:t>
      </w:r>
      <w:r w:rsidR="00541D05">
        <w:t xml:space="preserve"> </w:t>
      </w:r>
      <w:r w:rsidR="00D9258C" w:rsidRPr="00FD6A6A">
        <w:t>of</w:t>
      </w:r>
      <w:r w:rsidR="00541D05">
        <w:t xml:space="preserve"> </w:t>
      </w:r>
      <w:r w:rsidR="00D9258C" w:rsidRPr="00FD6A6A">
        <w:t>1,050</w:t>
      </w:r>
      <w:r w:rsidR="00541D05">
        <w:t xml:space="preserve"> </w:t>
      </w:r>
      <w:r w:rsidR="00D9258C" w:rsidRPr="00FD6A6A">
        <w:t>police</w:t>
      </w:r>
      <w:r w:rsidR="00541D05">
        <w:t xml:space="preserve"> </w:t>
      </w:r>
      <w:r w:rsidR="00D9258C" w:rsidRPr="00FD6A6A">
        <w:t>reports</w:t>
      </w:r>
      <w:r w:rsidR="00541D05">
        <w:t xml:space="preserve"> </w:t>
      </w:r>
      <w:r w:rsidR="00D9258C" w:rsidRPr="00FD6A6A">
        <w:t>filed</w:t>
      </w:r>
      <w:r w:rsidR="00541D05">
        <w:t xml:space="preserve"> </w:t>
      </w:r>
      <w:r w:rsidR="00D9258C" w:rsidRPr="00FD6A6A">
        <w:t>by</w:t>
      </w:r>
      <w:r w:rsidR="00541D05">
        <w:t xml:space="preserve"> </w:t>
      </w:r>
      <w:r w:rsidR="00D9258C" w:rsidRPr="00FD6A6A">
        <w:t>victims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62%</w:t>
      </w:r>
      <w:r w:rsidR="00541D05">
        <w:t xml:space="preserve"> </w:t>
      </w:r>
      <w:r w:rsidR="00D9258C" w:rsidRPr="00FD6A6A">
        <w:t>were</w:t>
      </w:r>
      <w:r w:rsidR="00541D05">
        <w:t xml:space="preserve"> </w:t>
      </w:r>
      <w:r w:rsidR="00D9258C" w:rsidRPr="00FD6A6A">
        <w:t>investigated</w:t>
      </w:r>
      <w:r w:rsidR="00541D05">
        <w:t xml:space="preserve"> </w:t>
      </w:r>
      <w:r w:rsidR="00D9258C" w:rsidRPr="00FD6A6A">
        <w:t>and</w:t>
      </w:r>
      <w:r w:rsidR="00541D05">
        <w:t xml:space="preserve"> </w:t>
      </w:r>
      <w:r w:rsidR="00D9258C" w:rsidRPr="00FD6A6A">
        <w:t>37%</w:t>
      </w:r>
      <w:r w:rsidR="00541D05">
        <w:t xml:space="preserve"> </w:t>
      </w:r>
      <w:r w:rsidR="00D9258C" w:rsidRPr="00FD6A6A">
        <w:t>resulted</w:t>
      </w:r>
      <w:r w:rsidR="00541D05">
        <w:t xml:space="preserve"> </w:t>
      </w:r>
      <w:r w:rsidR="00D9258C" w:rsidRPr="00FD6A6A">
        <w:t>in</w:t>
      </w:r>
      <w:r w:rsidR="00541D05">
        <w:t xml:space="preserve"> </w:t>
      </w:r>
      <w:r w:rsidR="00D9258C" w:rsidRPr="00FD6A6A">
        <w:t>legal</w:t>
      </w:r>
      <w:r w:rsidR="00541D05">
        <w:t xml:space="preserve"> </w:t>
      </w:r>
      <w:r w:rsidR="00D9258C" w:rsidRPr="00FD6A6A">
        <w:t>suits.</w:t>
      </w:r>
      <w:r w:rsidR="00541D05">
        <w:t xml:space="preserve"> </w:t>
      </w:r>
      <w:r w:rsidR="00D9258C" w:rsidRPr="00FD6A6A">
        <w:t>The</w:t>
      </w:r>
      <w:r w:rsidR="00541D05">
        <w:t xml:space="preserve"> </w:t>
      </w:r>
      <w:r w:rsidR="00D9258C" w:rsidRPr="00FD6A6A">
        <w:t>percentage</w:t>
      </w:r>
      <w:r w:rsidR="00541D05">
        <w:t xml:space="preserve"> </w:t>
      </w:r>
      <w:r w:rsidR="00D9258C" w:rsidRPr="00FD6A6A">
        <w:t>of</w:t>
      </w:r>
      <w:r w:rsidR="00541D05">
        <w:t xml:space="preserve"> </w:t>
      </w:r>
      <w:r w:rsidR="00D9258C" w:rsidRPr="00FD6A6A">
        <w:t>convictions</w:t>
      </w:r>
      <w:r w:rsidR="00541D05">
        <w:t xml:space="preserve"> </w:t>
      </w:r>
      <w:r w:rsidR="00D9258C" w:rsidRPr="00FD6A6A">
        <w:t>in</w:t>
      </w:r>
      <w:r w:rsidR="00541D05">
        <w:t xml:space="preserve"> </w:t>
      </w:r>
      <w:r w:rsidR="00D9258C" w:rsidRPr="00FD6A6A">
        <w:t>these</w:t>
      </w:r>
      <w:r w:rsidR="00541D05">
        <w:t xml:space="preserve"> </w:t>
      </w:r>
      <w:r w:rsidR="00D9258C" w:rsidRPr="00FD6A6A">
        <w:t>proceedings</w:t>
      </w:r>
      <w:r w:rsidR="00541D05">
        <w:t xml:space="preserve"> </w:t>
      </w:r>
      <w:r w:rsidR="00D9258C" w:rsidRPr="00FD6A6A">
        <w:t>was</w:t>
      </w:r>
      <w:r w:rsidR="00541D05">
        <w:t xml:space="preserve"> </w:t>
      </w:r>
      <w:r w:rsidR="00D9258C" w:rsidRPr="00FD6A6A">
        <w:t>only</w:t>
      </w:r>
      <w:r w:rsidR="00541D05">
        <w:t xml:space="preserve"> </w:t>
      </w:r>
      <w:r w:rsidR="00D9258C" w:rsidRPr="00FD6A6A">
        <w:t>0.4%.</w:t>
      </w:r>
    </w:p>
    <w:p w14:paraId="7FC0C878" w14:textId="70371487" w:rsidR="00D9258C" w:rsidRPr="00FD6A6A" w:rsidRDefault="00166390" w:rsidP="00166390">
      <w:pPr>
        <w:pStyle w:val="ParaNoG"/>
        <w:numPr>
          <w:ilvl w:val="0"/>
          <w:numId w:val="0"/>
        </w:numPr>
        <w:tabs>
          <w:tab w:val="left" w:pos="0"/>
        </w:tabs>
        <w:ind w:left="1134"/>
      </w:pPr>
      <w:r w:rsidRPr="00FD6A6A">
        <w:t>55.</w:t>
      </w:r>
      <w:r w:rsidRPr="00FD6A6A">
        <w:tab/>
      </w:r>
      <w:r w:rsidR="00D9258C" w:rsidRPr="00FD6A6A">
        <w:t>Research</w:t>
      </w:r>
      <w:r w:rsidR="00541D05">
        <w:t xml:space="preserve"> </w:t>
      </w:r>
      <w:r w:rsidR="00D9258C" w:rsidRPr="00FD6A6A">
        <w:t>carried</w:t>
      </w:r>
      <w:r w:rsidR="00541D05">
        <w:t xml:space="preserve"> </w:t>
      </w:r>
      <w:r w:rsidR="00D9258C" w:rsidRPr="00FD6A6A">
        <w:t>out</w:t>
      </w:r>
      <w:r w:rsidR="00541D05">
        <w:t xml:space="preserve"> </w:t>
      </w:r>
      <w:r w:rsidR="00D9258C" w:rsidRPr="00FD6A6A">
        <w:t>with</w:t>
      </w:r>
      <w:r w:rsidR="00541D05">
        <w:t xml:space="preserve"> </w:t>
      </w:r>
      <w:r w:rsidR="00D9258C" w:rsidRPr="00FD6A6A">
        <w:t>data</w:t>
      </w:r>
      <w:r w:rsidR="00541D05">
        <w:t xml:space="preserve"> </w:t>
      </w:r>
      <w:r w:rsidR="00D9258C" w:rsidRPr="00FD6A6A">
        <w:t>from</w:t>
      </w:r>
      <w:r w:rsidR="00541D05">
        <w:t xml:space="preserve"> </w:t>
      </w:r>
      <w:r w:rsidR="00D9258C" w:rsidRPr="00FD6A6A">
        <w:t>2003</w:t>
      </w:r>
      <w:r w:rsidR="00541D05">
        <w:t xml:space="preserve"> </w:t>
      </w:r>
      <w:r w:rsidR="00D9258C" w:rsidRPr="00FD6A6A">
        <w:t>to</w:t>
      </w:r>
      <w:r w:rsidR="00541D05">
        <w:t xml:space="preserve"> </w:t>
      </w:r>
      <w:r w:rsidR="00D9258C" w:rsidRPr="00FD6A6A">
        <w:t>2011</w:t>
      </w:r>
      <w:r w:rsidR="00541D05">
        <w:t xml:space="preserve"> </w:t>
      </w:r>
      <w:r w:rsidR="00D9258C" w:rsidRPr="00FD6A6A">
        <w:t>on</w:t>
      </w:r>
      <w:r w:rsidR="00541D05">
        <w:t xml:space="preserve"> </w:t>
      </w:r>
      <w:r w:rsidR="00D9258C" w:rsidRPr="00FD6A6A">
        <w:t>how</w:t>
      </w:r>
      <w:r w:rsidR="00541D05">
        <w:t xml:space="preserve"> </w:t>
      </w:r>
      <w:r w:rsidR="00D9258C" w:rsidRPr="00FD6A6A">
        <w:t>the</w:t>
      </w:r>
      <w:r w:rsidR="00541D05">
        <w:t xml:space="preserve"> </w:t>
      </w:r>
      <w:r w:rsidR="00D9258C" w:rsidRPr="00FD6A6A">
        <w:t>São</w:t>
      </w:r>
      <w:r w:rsidR="00541D05">
        <w:t xml:space="preserve"> </w:t>
      </w:r>
      <w:r w:rsidR="00D9258C" w:rsidRPr="00FD6A6A">
        <w:t>Paulo</w:t>
      </w:r>
      <w:r w:rsidR="00541D05">
        <w:t xml:space="preserve"> </w:t>
      </w:r>
      <w:r w:rsidR="00D9258C" w:rsidRPr="00FD6A6A">
        <w:t>State</w:t>
      </w:r>
      <w:r w:rsidR="00541D05">
        <w:t xml:space="preserve"> </w:t>
      </w:r>
      <w:r w:rsidR="00D9258C" w:rsidRPr="00FD6A6A">
        <w:t>Court</w:t>
      </w:r>
      <w:r w:rsidR="00541D05">
        <w:t xml:space="preserve"> </w:t>
      </w:r>
      <w:r w:rsidR="00D9258C" w:rsidRPr="00FD6A6A">
        <w:t>of</w:t>
      </w:r>
      <w:r w:rsidR="00541D05">
        <w:t xml:space="preserve"> </w:t>
      </w:r>
      <w:r w:rsidR="00D9258C" w:rsidRPr="00FD6A6A">
        <w:t>Appeals</w:t>
      </w:r>
      <w:r w:rsidR="00541D05">
        <w:t xml:space="preserve"> </w:t>
      </w:r>
      <w:r w:rsidR="00D9258C" w:rsidRPr="00FD6A6A">
        <w:t>processed</w:t>
      </w:r>
      <w:r w:rsidR="00541D05">
        <w:t xml:space="preserve"> </w:t>
      </w:r>
      <w:r w:rsidR="00D9258C" w:rsidRPr="00FD6A6A">
        <w:t>complaints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w:t>
      </w:r>
      <w:r w:rsidR="00541D05">
        <w:t xml:space="preserve"> </w:t>
      </w:r>
      <w:r w:rsidR="00D9258C" w:rsidRPr="00FD6A6A">
        <w:t>police</w:t>
      </w:r>
      <w:r w:rsidR="00541D05">
        <w:t xml:space="preserve"> </w:t>
      </w:r>
      <w:r w:rsidR="00D9258C" w:rsidRPr="00FD6A6A">
        <w:t>reports</w:t>
      </w:r>
      <w:r w:rsidR="00541D05">
        <w:t xml:space="preserve"> </w:t>
      </w:r>
      <w:r w:rsidR="00D9258C" w:rsidRPr="00FD6A6A">
        <w:t>and</w:t>
      </w:r>
      <w:r w:rsidR="00541D05">
        <w:t xml:space="preserve"> </w:t>
      </w:r>
      <w:r w:rsidR="00D9258C" w:rsidRPr="00FD6A6A">
        <w:t>legal</w:t>
      </w:r>
      <w:r w:rsidR="00541D05">
        <w:t xml:space="preserve"> </w:t>
      </w:r>
      <w:r w:rsidR="00D9258C" w:rsidRPr="00FD6A6A">
        <w:t>representation</w:t>
      </w:r>
      <w:r w:rsidR="00541D05">
        <w:t xml:space="preserve"> </w:t>
      </w:r>
      <w:r w:rsidR="00D9258C" w:rsidRPr="00FD6A6A">
        <w:t>of</w:t>
      </w:r>
      <w:r w:rsidR="00541D05">
        <w:t xml:space="preserve"> </w:t>
      </w:r>
      <w:r w:rsidR="00D9258C" w:rsidRPr="00FD6A6A">
        <w:t>victims</w:t>
      </w:r>
      <w:r w:rsidR="00541D05">
        <w:t xml:space="preserve"> </w:t>
      </w:r>
      <w:r w:rsidR="00D9258C" w:rsidRPr="00FD6A6A">
        <w:t>by</w:t>
      </w:r>
      <w:r w:rsidR="00541D05">
        <w:t xml:space="preserve"> </w:t>
      </w:r>
      <w:r w:rsidR="00D9258C" w:rsidRPr="00FD6A6A">
        <w:t>their</w:t>
      </w:r>
      <w:r w:rsidR="00541D05">
        <w:t xml:space="preserve"> </w:t>
      </w:r>
      <w:r w:rsidR="00D9258C" w:rsidRPr="00FD6A6A">
        <w:t>attorneys.</w:t>
      </w:r>
      <w:r w:rsidR="00541D05">
        <w:t xml:space="preserve"> </w:t>
      </w:r>
      <w:r w:rsidR="00D9258C" w:rsidRPr="00FD6A6A">
        <w:t>Of</w:t>
      </w:r>
      <w:r w:rsidR="00541D05">
        <w:t xml:space="preserve"> </w:t>
      </w:r>
      <w:r w:rsidR="00D9258C" w:rsidRPr="00FD6A6A">
        <w:t>the</w:t>
      </w:r>
      <w:r w:rsidR="00541D05">
        <w:t xml:space="preserve"> </w:t>
      </w:r>
      <w:r w:rsidR="00D9258C" w:rsidRPr="00FD6A6A">
        <w:t>total</w:t>
      </w:r>
      <w:r w:rsidR="00541D05">
        <w:t xml:space="preserve"> </w:t>
      </w:r>
      <w:r w:rsidR="00D9258C" w:rsidRPr="00FD6A6A">
        <w:t>of</w:t>
      </w:r>
      <w:r w:rsidR="00541D05">
        <w:t xml:space="preserve"> </w:t>
      </w:r>
      <w:r w:rsidR="00D9258C" w:rsidRPr="00FD6A6A">
        <w:t>807</w:t>
      </w:r>
      <w:r w:rsidR="00541D05">
        <w:t xml:space="preserve"> </w:t>
      </w:r>
      <w:r w:rsidR="00D9258C" w:rsidRPr="00FD6A6A">
        <w:t>legal</w:t>
      </w:r>
      <w:r w:rsidR="00541D05">
        <w:t xml:space="preserve"> </w:t>
      </w:r>
      <w:r w:rsidR="00D9258C" w:rsidRPr="00FD6A6A">
        <w:t>documents</w:t>
      </w:r>
      <w:r w:rsidR="00541D05">
        <w:t xml:space="preserve"> </w:t>
      </w:r>
      <w:r w:rsidR="00D9258C" w:rsidRPr="00FD6A6A">
        <w:t>on</w:t>
      </w:r>
      <w:r w:rsidR="00541D05">
        <w:t xml:space="preserve"> </w:t>
      </w:r>
      <w:r w:rsidR="00D9258C" w:rsidRPr="00FD6A6A">
        <w:t>cases</w:t>
      </w:r>
      <w:r w:rsidR="00541D05">
        <w:t xml:space="preserve"> </w:t>
      </w:r>
      <w:r w:rsidR="00D9258C" w:rsidRPr="00FD6A6A">
        <w:t>of</w:t>
      </w:r>
      <w:r w:rsidR="00541D05">
        <w:t xml:space="preserve"> </w:t>
      </w:r>
      <w:r w:rsidR="00D9258C" w:rsidRPr="00FD6A6A">
        <w:t>discriminatory</w:t>
      </w:r>
      <w:r w:rsidR="00541D05">
        <w:t xml:space="preserve"> </w:t>
      </w:r>
      <w:r w:rsidR="00D9258C" w:rsidRPr="00FD6A6A">
        <w:t>offenses</w:t>
      </w:r>
      <w:r w:rsidR="00541D05">
        <w:t xml:space="preserve"> </w:t>
      </w:r>
      <w:r w:rsidR="00D9258C" w:rsidRPr="00FD6A6A">
        <w:t>or</w:t>
      </w:r>
      <w:r w:rsidR="00541D05">
        <w:t xml:space="preserve"> </w:t>
      </w:r>
      <w:r w:rsidR="00D9258C" w:rsidRPr="00FD6A6A">
        <w:t>treatment,</w:t>
      </w:r>
      <w:r w:rsidR="00541D05">
        <w:t xml:space="preserve"> </w:t>
      </w:r>
      <w:r w:rsidR="00D9258C" w:rsidRPr="00FD6A6A">
        <w:t>only</w:t>
      </w:r>
      <w:r w:rsidR="00541D05">
        <w:t xml:space="preserve"> </w:t>
      </w:r>
      <w:r w:rsidR="00D9258C" w:rsidRPr="00FD6A6A">
        <w:t>119</w:t>
      </w:r>
      <w:r w:rsidR="00541D05">
        <w:t xml:space="preserve"> </w:t>
      </w:r>
      <w:r w:rsidR="00D9258C" w:rsidRPr="00FD6A6A">
        <w:t>(14.7%)</w:t>
      </w:r>
      <w:r w:rsidR="00541D05">
        <w:t xml:space="preserve"> </w:t>
      </w:r>
      <w:r w:rsidR="00D9258C" w:rsidRPr="00FD6A6A">
        <w:t>resulted</w:t>
      </w:r>
      <w:r w:rsidR="00541D05">
        <w:t xml:space="preserve"> </w:t>
      </w:r>
      <w:r w:rsidR="00D9258C" w:rsidRPr="00FD6A6A">
        <w:t>in</w:t>
      </w:r>
      <w:r w:rsidR="00541D05">
        <w:t xml:space="preserve"> </w:t>
      </w:r>
      <w:r w:rsidR="00D9258C" w:rsidRPr="00FD6A6A">
        <w:t>investigations</w:t>
      </w:r>
      <w:r w:rsidR="00541D05">
        <w:t xml:space="preserve"> </w:t>
      </w:r>
      <w:r w:rsidR="00D9258C" w:rsidRPr="00FD6A6A">
        <w:t>and</w:t>
      </w:r>
      <w:r w:rsidR="00541D05">
        <w:t xml:space="preserve"> </w:t>
      </w:r>
      <w:r w:rsidR="00D9258C" w:rsidRPr="00FD6A6A">
        <w:t>legal</w:t>
      </w:r>
      <w:r w:rsidR="00541D05">
        <w:t xml:space="preserve"> </w:t>
      </w:r>
      <w:r w:rsidR="00D9258C" w:rsidRPr="00FD6A6A">
        <w:t>proceedings.</w:t>
      </w:r>
    </w:p>
    <w:p w14:paraId="21D7A8AB" w14:textId="34E27F36" w:rsidR="00D9258C" w:rsidRPr="00FD6A6A" w:rsidRDefault="00166390" w:rsidP="00166390">
      <w:pPr>
        <w:pStyle w:val="ParaNoG"/>
        <w:numPr>
          <w:ilvl w:val="0"/>
          <w:numId w:val="0"/>
        </w:numPr>
        <w:tabs>
          <w:tab w:val="left" w:pos="0"/>
        </w:tabs>
        <w:ind w:left="1134"/>
      </w:pPr>
      <w:r w:rsidRPr="00FD6A6A">
        <w:t>56.</w:t>
      </w:r>
      <w:r w:rsidRPr="00FD6A6A">
        <w:tab/>
      </w:r>
      <w:r w:rsidR="00D9258C" w:rsidRPr="00FD6A6A">
        <w:t>At</w:t>
      </w:r>
      <w:r w:rsidR="00541D05">
        <w:t xml:space="preserve"> </w:t>
      </w:r>
      <w:r w:rsidR="00D9258C" w:rsidRPr="00FD6A6A">
        <w:t>the</w:t>
      </w:r>
      <w:r w:rsidR="00541D05">
        <w:t xml:space="preserve"> </w:t>
      </w:r>
      <w:r w:rsidR="00EE5A2A" w:rsidRPr="00FD6A6A">
        <w:t>ini</w:t>
      </w:r>
      <w:r w:rsidR="0036377C">
        <w:t>c</w:t>
      </w:r>
      <w:r w:rsidR="00EE5A2A" w:rsidRPr="00FD6A6A">
        <w:t>ial</w:t>
      </w:r>
      <w:r w:rsidR="00541D05">
        <w:t xml:space="preserve"> </w:t>
      </w:r>
      <w:r w:rsidR="00D9258C" w:rsidRPr="00FD6A6A">
        <w:t>level,</w:t>
      </w:r>
      <w:r w:rsidR="00541D05">
        <w:t xml:space="preserve"> </w:t>
      </w:r>
      <w:r w:rsidR="00D9258C" w:rsidRPr="00FD6A6A">
        <w:t>such</w:t>
      </w:r>
      <w:r w:rsidR="00541D05">
        <w:t xml:space="preserve"> </w:t>
      </w:r>
      <w:r w:rsidR="00D9258C" w:rsidRPr="00FD6A6A">
        <w:t>cases</w:t>
      </w:r>
      <w:r w:rsidR="00541D05">
        <w:t xml:space="preserve"> </w:t>
      </w:r>
      <w:r w:rsidR="00D9258C" w:rsidRPr="00FD6A6A">
        <w:t>processed</w:t>
      </w:r>
      <w:r w:rsidR="00541D05">
        <w:t xml:space="preserve"> </w:t>
      </w:r>
      <w:r w:rsidR="00D9258C" w:rsidRPr="00FD6A6A">
        <w:t>by</w:t>
      </w:r>
      <w:r w:rsidR="00541D05">
        <w:t xml:space="preserve"> </w:t>
      </w:r>
      <w:r w:rsidR="00D9258C" w:rsidRPr="00FD6A6A">
        <w:t>Special</w:t>
      </w:r>
      <w:r w:rsidR="00541D05">
        <w:t xml:space="preserve"> </w:t>
      </w:r>
      <w:r w:rsidR="00D9258C" w:rsidRPr="00FD6A6A">
        <w:t>Criminal</w:t>
      </w:r>
      <w:r w:rsidR="00541D05">
        <w:t xml:space="preserve"> </w:t>
      </w:r>
      <w:r w:rsidR="00D9258C" w:rsidRPr="00FD6A6A">
        <w:t>Courts.</w:t>
      </w:r>
      <w:r w:rsidR="00541D05">
        <w:t xml:space="preserve"> </w:t>
      </w:r>
      <w:r w:rsidR="00D9258C" w:rsidRPr="00FD6A6A">
        <w:t>Most</w:t>
      </w:r>
      <w:r w:rsidR="00541D05">
        <w:t xml:space="preserve"> </w:t>
      </w:r>
      <w:r w:rsidR="00D9258C" w:rsidRPr="00FD6A6A">
        <w:t>investigations</w:t>
      </w:r>
      <w:r w:rsidR="00541D05">
        <w:t xml:space="preserve"> </w:t>
      </w:r>
      <w:r w:rsidR="00D9258C" w:rsidRPr="00FD6A6A">
        <w:t>identified</w:t>
      </w:r>
      <w:r w:rsidR="00541D05">
        <w:t xml:space="preserve"> </w:t>
      </w:r>
      <w:r w:rsidR="00D9258C" w:rsidRPr="00FD6A6A">
        <w:t>the</w:t>
      </w:r>
      <w:r w:rsidR="00541D05">
        <w:t xml:space="preserve"> </w:t>
      </w:r>
      <w:r w:rsidR="00D9258C" w:rsidRPr="00FD6A6A">
        <w:t>cases</w:t>
      </w:r>
      <w:r w:rsidR="00541D05">
        <w:t xml:space="preserve"> </w:t>
      </w:r>
      <w:r w:rsidR="00D9258C" w:rsidRPr="00FD6A6A">
        <w:t>as</w:t>
      </w:r>
      <w:r w:rsidR="00541D05">
        <w:t xml:space="preserve"> </w:t>
      </w:r>
      <w:r w:rsidR="00D9258C" w:rsidRPr="00FD6A6A">
        <w:t>racial</w:t>
      </w:r>
      <w:r w:rsidR="00541D05">
        <w:t xml:space="preserve"> </w:t>
      </w:r>
      <w:r w:rsidR="00D9258C" w:rsidRPr="00FD6A6A">
        <w:t>slur</w:t>
      </w:r>
      <w:r w:rsidR="00541D05">
        <w:t xml:space="preserve"> </w:t>
      </w:r>
      <w:r w:rsidR="00D9258C" w:rsidRPr="00FD6A6A">
        <w:t>(73%)</w:t>
      </w:r>
      <w:r w:rsidR="00541D05">
        <w:t xml:space="preserve"> </w:t>
      </w:r>
      <w:r w:rsidR="00D9258C" w:rsidRPr="00FD6A6A">
        <w:t>and</w:t>
      </w:r>
      <w:r w:rsidR="00541D05">
        <w:t xml:space="preserve"> </w:t>
      </w:r>
      <w:r w:rsidR="00D9258C" w:rsidRPr="00FD6A6A">
        <w:t>racism</w:t>
      </w:r>
      <w:r w:rsidR="00541D05">
        <w:t xml:space="preserve"> </w:t>
      </w:r>
      <w:r w:rsidR="00D9258C" w:rsidRPr="00FD6A6A">
        <w:t>(15%).</w:t>
      </w:r>
      <w:r w:rsidR="00541D05">
        <w:t xml:space="preserve"> </w:t>
      </w:r>
      <w:r w:rsidR="00D9258C" w:rsidRPr="00FD6A6A">
        <w:t>In</w:t>
      </w:r>
      <w:r w:rsidR="00541D05">
        <w:t xml:space="preserve"> </w:t>
      </w:r>
      <w:r w:rsidR="00D9258C" w:rsidRPr="00FD6A6A">
        <w:t>the</w:t>
      </w:r>
      <w:r w:rsidR="00541D05">
        <w:t xml:space="preserve"> </w:t>
      </w:r>
      <w:r w:rsidR="00D9258C" w:rsidRPr="00FD6A6A">
        <w:t>legal</w:t>
      </w:r>
      <w:r w:rsidR="00541D05">
        <w:t xml:space="preserve"> </w:t>
      </w:r>
      <w:r w:rsidR="00D9258C" w:rsidRPr="00FD6A6A">
        <w:t>proceedings,</w:t>
      </w:r>
      <w:r w:rsidR="00541D05">
        <w:t xml:space="preserve"> </w:t>
      </w:r>
      <w:r w:rsidR="00D9258C" w:rsidRPr="00FD6A6A">
        <w:t>53%</w:t>
      </w:r>
      <w:r w:rsidR="00541D05">
        <w:t xml:space="preserve"> </w:t>
      </w:r>
      <w:r w:rsidR="00D9258C" w:rsidRPr="00FD6A6A">
        <w:t>were</w:t>
      </w:r>
      <w:r w:rsidR="00541D05">
        <w:t xml:space="preserve"> </w:t>
      </w:r>
      <w:r w:rsidR="00D9258C" w:rsidRPr="00FD6A6A">
        <w:t>classified</w:t>
      </w:r>
      <w:r w:rsidR="00541D05">
        <w:t xml:space="preserve"> </w:t>
      </w:r>
      <w:r w:rsidR="00D9258C" w:rsidRPr="00FD6A6A">
        <w:t>as</w:t>
      </w:r>
      <w:r w:rsidR="00541D05">
        <w:t xml:space="preserve"> </w:t>
      </w:r>
      <w:r w:rsidR="00D9258C" w:rsidRPr="00FD6A6A">
        <w:t>racial</w:t>
      </w:r>
      <w:r w:rsidR="00541D05">
        <w:t xml:space="preserve"> </w:t>
      </w:r>
      <w:r w:rsidR="00D9258C" w:rsidRPr="00FD6A6A">
        <w:t>slur</w:t>
      </w:r>
      <w:r w:rsidR="00541D05">
        <w:t xml:space="preserve"> </w:t>
      </w:r>
      <w:r w:rsidR="00D9258C" w:rsidRPr="00FD6A6A">
        <w:t>and</w:t>
      </w:r>
      <w:r w:rsidR="00541D05">
        <w:t xml:space="preserve"> </w:t>
      </w:r>
      <w:r w:rsidR="00D9258C" w:rsidRPr="00FD6A6A">
        <w:t>7%</w:t>
      </w:r>
      <w:r w:rsidR="00541D05">
        <w:t xml:space="preserve"> </w:t>
      </w:r>
      <w:r w:rsidR="00D9258C" w:rsidRPr="00FD6A6A">
        <w:t>as</w:t>
      </w:r>
      <w:r w:rsidR="00541D05">
        <w:t xml:space="preserve"> </w:t>
      </w:r>
      <w:r w:rsidR="00D9258C" w:rsidRPr="00FD6A6A">
        <w:t>racism.</w:t>
      </w:r>
      <w:r w:rsidR="00541D05">
        <w:t xml:space="preserve"> </w:t>
      </w:r>
      <w:r w:rsidR="00D9258C" w:rsidRPr="00FD6A6A">
        <w:t>Most</w:t>
      </w:r>
      <w:r w:rsidR="00541D05">
        <w:t xml:space="preserve"> </w:t>
      </w:r>
      <w:r w:rsidR="00D9258C" w:rsidRPr="00FD6A6A">
        <w:t>investigations</w:t>
      </w:r>
      <w:r w:rsidR="00541D05">
        <w:t xml:space="preserve"> </w:t>
      </w:r>
      <w:r w:rsidR="00D9258C" w:rsidRPr="00FD6A6A">
        <w:t>are</w:t>
      </w:r>
      <w:r w:rsidR="00541D05">
        <w:t xml:space="preserve"> </w:t>
      </w:r>
      <w:r w:rsidR="00D9258C" w:rsidRPr="00FD6A6A">
        <w:t>dismissed</w:t>
      </w:r>
      <w:r w:rsidR="00541D05">
        <w:t xml:space="preserve"> </w:t>
      </w:r>
      <w:r w:rsidR="00D9258C" w:rsidRPr="00FD6A6A">
        <w:t>and</w:t>
      </w:r>
      <w:r w:rsidR="00541D05">
        <w:t xml:space="preserve"> </w:t>
      </w:r>
      <w:r w:rsidR="00D9258C" w:rsidRPr="00FD6A6A">
        <w:t>closed</w:t>
      </w:r>
      <w:r w:rsidR="00541D05">
        <w:t xml:space="preserve"> </w:t>
      </w:r>
      <w:r w:rsidR="00D9258C" w:rsidRPr="00FD6A6A">
        <w:t>by</w:t>
      </w:r>
      <w:r w:rsidR="00541D05">
        <w:t xml:space="preserve"> </w:t>
      </w:r>
      <w:r w:rsidR="00D9258C" w:rsidRPr="00FD6A6A">
        <w:t>magistrates,</w:t>
      </w:r>
      <w:r w:rsidR="00541D05">
        <w:t xml:space="preserve"> </w:t>
      </w:r>
      <w:r w:rsidR="00D9258C" w:rsidRPr="00FD6A6A">
        <w:t>resulting</w:t>
      </w:r>
      <w:r w:rsidR="00541D05">
        <w:t xml:space="preserve"> </w:t>
      </w:r>
      <w:r w:rsidR="00D9258C" w:rsidRPr="00FD6A6A">
        <w:t>few</w:t>
      </w:r>
      <w:r w:rsidR="00541D05">
        <w:t xml:space="preserve"> </w:t>
      </w:r>
      <w:r w:rsidR="00D9258C" w:rsidRPr="00FD6A6A">
        <w:t>convictions</w:t>
      </w:r>
      <w:r w:rsidR="00541D05">
        <w:t xml:space="preserve"> </w:t>
      </w:r>
      <w:r w:rsidR="00D9258C" w:rsidRPr="00FD6A6A">
        <w:t>(4%)</w:t>
      </w:r>
      <w:r w:rsidR="00541D05">
        <w:t xml:space="preserve"> </w:t>
      </w:r>
      <w:r w:rsidR="00D9258C" w:rsidRPr="00FD6A6A">
        <w:t>for</w:t>
      </w:r>
      <w:r w:rsidR="00541D05">
        <w:t xml:space="preserve"> </w:t>
      </w:r>
      <w:r w:rsidR="00D9258C" w:rsidRPr="00FD6A6A">
        <w:t>racial</w:t>
      </w:r>
      <w:r w:rsidR="00541D05">
        <w:t xml:space="preserve"> </w:t>
      </w:r>
      <w:r w:rsidR="00D9258C" w:rsidRPr="00FD6A6A">
        <w:t>slur</w:t>
      </w:r>
      <w:r w:rsidR="00541D05">
        <w:t xml:space="preserve"> </w:t>
      </w:r>
      <w:r w:rsidR="00D9258C" w:rsidRPr="00FD6A6A">
        <w:t>or</w:t>
      </w:r>
      <w:r w:rsidR="00541D05">
        <w:t xml:space="preserve"> </w:t>
      </w:r>
      <w:r w:rsidR="00D9258C" w:rsidRPr="00FD6A6A">
        <w:t>racism.</w:t>
      </w:r>
    </w:p>
    <w:p w14:paraId="696E725F" w14:textId="6ABECD9A" w:rsidR="00D9258C" w:rsidRPr="00FD6A6A" w:rsidRDefault="00166390" w:rsidP="00166390">
      <w:pPr>
        <w:pStyle w:val="ParaNoG"/>
        <w:numPr>
          <w:ilvl w:val="0"/>
          <w:numId w:val="0"/>
        </w:numPr>
        <w:tabs>
          <w:tab w:val="left" w:pos="0"/>
        </w:tabs>
        <w:ind w:left="1134"/>
      </w:pPr>
      <w:r w:rsidRPr="00FD6A6A">
        <w:t>57.</w:t>
      </w:r>
      <w:r w:rsidRPr="00FD6A6A">
        <w:tab/>
      </w:r>
      <w:r w:rsidR="00D9258C" w:rsidRPr="00FD6A6A">
        <w:t>Court</w:t>
      </w:r>
      <w:r w:rsidR="00541D05">
        <w:t xml:space="preserve"> </w:t>
      </w:r>
      <w:r w:rsidR="00D9258C" w:rsidRPr="00FD6A6A">
        <w:t>decisions</w:t>
      </w:r>
      <w:r w:rsidR="00541D05">
        <w:t xml:space="preserve"> </w:t>
      </w:r>
      <w:r w:rsidR="00D9258C" w:rsidRPr="00FD6A6A">
        <w:t>to</w:t>
      </w:r>
      <w:r w:rsidR="00541D05">
        <w:t xml:space="preserve"> </w:t>
      </w:r>
      <w:r w:rsidR="00D9258C" w:rsidRPr="00FD6A6A">
        <w:t>close</w:t>
      </w:r>
      <w:r w:rsidR="00541D05">
        <w:t xml:space="preserve"> </w:t>
      </w:r>
      <w:r w:rsidR="00D9258C" w:rsidRPr="00FD6A6A">
        <w:t>or</w:t>
      </w:r>
      <w:r w:rsidR="00541D05">
        <w:t xml:space="preserve"> </w:t>
      </w:r>
      <w:r w:rsidR="00D9258C" w:rsidRPr="00FD6A6A">
        <w:t>dismiss</w:t>
      </w:r>
      <w:r w:rsidR="00541D05">
        <w:t xml:space="preserve"> </w:t>
      </w:r>
      <w:r w:rsidR="00D9258C" w:rsidRPr="00FD6A6A">
        <w:t>a</w:t>
      </w:r>
      <w:r w:rsidR="00541D05">
        <w:t xml:space="preserve"> </w:t>
      </w:r>
      <w:r w:rsidR="00D9258C" w:rsidRPr="00FD6A6A">
        <w:t>file</w:t>
      </w:r>
      <w:r w:rsidR="00541D05">
        <w:t xml:space="preserve"> </w:t>
      </w:r>
      <w:r w:rsidR="00D9258C" w:rsidRPr="00FD6A6A">
        <w:t>were</w:t>
      </w:r>
      <w:r w:rsidR="00541D05">
        <w:t xml:space="preserve"> </w:t>
      </w:r>
      <w:r w:rsidR="00D9258C" w:rsidRPr="00FD6A6A">
        <w:t>justified,</w:t>
      </w:r>
      <w:r w:rsidR="00541D05">
        <w:t xml:space="preserve"> </w:t>
      </w:r>
      <w:r w:rsidR="00D9258C" w:rsidRPr="00FD6A6A">
        <w:t>among</w:t>
      </w:r>
      <w:r w:rsidR="00541D05">
        <w:t xml:space="preserve"> </w:t>
      </w:r>
      <w:r w:rsidR="00D9258C" w:rsidRPr="00FD6A6A">
        <w:t>other</w:t>
      </w:r>
      <w:r w:rsidR="00541D05">
        <w:t xml:space="preserve"> </w:t>
      </w:r>
      <w:r w:rsidR="00D9258C" w:rsidRPr="00FD6A6A">
        <w:t>factors,</w:t>
      </w:r>
      <w:r w:rsidR="00541D05">
        <w:t xml:space="preserve"> </w:t>
      </w:r>
      <w:r w:rsidR="00D9258C" w:rsidRPr="00FD6A6A">
        <w:t>by</w:t>
      </w:r>
      <w:r w:rsidR="00541D05">
        <w:t xml:space="preserve"> </w:t>
      </w:r>
      <w:r w:rsidR="00D9258C" w:rsidRPr="00FD6A6A">
        <w:t>the</w:t>
      </w:r>
      <w:r w:rsidR="00541D05">
        <w:t xml:space="preserve"> </w:t>
      </w:r>
      <w:r w:rsidR="00D9258C" w:rsidRPr="00FD6A6A">
        <w:t>prescription</w:t>
      </w:r>
      <w:r w:rsidR="00541D05">
        <w:t xml:space="preserve"> </w:t>
      </w:r>
      <w:r w:rsidR="00D9258C" w:rsidRPr="00FD6A6A">
        <w:t>of</w:t>
      </w:r>
      <w:r w:rsidR="00541D05">
        <w:t xml:space="preserve"> </w:t>
      </w:r>
      <w:r w:rsidR="00D9258C" w:rsidRPr="00FD6A6A">
        <w:t>the</w:t>
      </w:r>
      <w:r w:rsidR="00541D05">
        <w:t xml:space="preserve"> </w:t>
      </w:r>
      <w:r w:rsidR="00D9258C" w:rsidRPr="00FD6A6A">
        <w:t>deadline</w:t>
      </w:r>
      <w:r w:rsidR="00541D05">
        <w:t xml:space="preserve"> </w:t>
      </w:r>
      <w:r w:rsidR="00D9258C" w:rsidRPr="00FD6A6A">
        <w:t>for</w:t>
      </w:r>
      <w:r w:rsidR="00541D05">
        <w:t xml:space="preserve"> </w:t>
      </w:r>
      <w:r w:rsidR="00D9258C" w:rsidRPr="00FD6A6A">
        <w:t>filing</w:t>
      </w:r>
      <w:r w:rsidR="00541D05">
        <w:t xml:space="preserve"> </w:t>
      </w:r>
      <w:r w:rsidR="00D9258C" w:rsidRPr="00FD6A6A">
        <w:t>the</w:t>
      </w:r>
      <w:r w:rsidR="00541D05">
        <w:t xml:space="preserve"> </w:t>
      </w:r>
      <w:r w:rsidR="00D9258C" w:rsidRPr="00FD6A6A">
        <w:t>criminal</w:t>
      </w:r>
      <w:r w:rsidR="00541D05">
        <w:t xml:space="preserve"> </w:t>
      </w:r>
      <w:r w:rsidR="00D9258C" w:rsidRPr="00FD6A6A">
        <w:t>complaint,</w:t>
      </w:r>
      <w:r w:rsidR="00541D05">
        <w:t xml:space="preserve"> </w:t>
      </w:r>
      <w:r w:rsidR="00D9258C" w:rsidRPr="00FD6A6A">
        <w:t>lack</w:t>
      </w:r>
      <w:r w:rsidR="00541D05">
        <w:t xml:space="preserve"> </w:t>
      </w:r>
      <w:r w:rsidR="00D9258C" w:rsidRPr="00FD6A6A">
        <w:t>of</w:t>
      </w:r>
      <w:r w:rsidR="00541D05">
        <w:t xml:space="preserve"> </w:t>
      </w:r>
      <w:r w:rsidR="00D9258C" w:rsidRPr="00FD6A6A">
        <w:t>consistent</w:t>
      </w:r>
      <w:r w:rsidR="00541D05">
        <w:t xml:space="preserve"> </w:t>
      </w:r>
      <w:r w:rsidR="00D9258C" w:rsidRPr="00FD6A6A">
        <w:t>material</w:t>
      </w:r>
      <w:r w:rsidR="00541D05">
        <w:t xml:space="preserve"> </w:t>
      </w:r>
      <w:r w:rsidR="00D9258C" w:rsidRPr="00FD6A6A">
        <w:t>evidence</w:t>
      </w:r>
      <w:r w:rsidR="00541D05">
        <w:t xml:space="preserve"> </w:t>
      </w:r>
      <w:r w:rsidR="00D9258C" w:rsidRPr="00FD6A6A">
        <w:t>on</w:t>
      </w:r>
      <w:r w:rsidR="00541D05">
        <w:t xml:space="preserve"> </w:t>
      </w:r>
      <w:r w:rsidR="00D9258C" w:rsidRPr="00FD6A6A">
        <w:t>the</w:t>
      </w:r>
      <w:r w:rsidR="00541D05">
        <w:t xml:space="preserve"> </w:t>
      </w:r>
      <w:r w:rsidR="00D9258C" w:rsidRPr="00FD6A6A">
        <w:t>facts,</w:t>
      </w:r>
      <w:r w:rsidR="00541D05">
        <w:t xml:space="preserve"> </w:t>
      </w:r>
      <w:r w:rsidR="00D9258C" w:rsidRPr="00FD6A6A">
        <w:t>reclassification</w:t>
      </w:r>
      <w:r w:rsidR="00541D05">
        <w:t xml:space="preserve"> </w:t>
      </w:r>
      <w:r w:rsidR="00D9258C" w:rsidRPr="00FD6A6A">
        <w:t>of</w:t>
      </w:r>
      <w:r w:rsidR="00541D05">
        <w:t xml:space="preserve"> </w:t>
      </w:r>
      <w:r w:rsidR="00D9258C" w:rsidRPr="00FD6A6A">
        <w:t>racism</w:t>
      </w:r>
      <w:r w:rsidR="00541D05">
        <w:t xml:space="preserve"> </w:t>
      </w:r>
      <w:r w:rsidR="00D9258C" w:rsidRPr="00FD6A6A">
        <w:t>into</w:t>
      </w:r>
      <w:r w:rsidR="00541D05">
        <w:t xml:space="preserve"> </w:t>
      </w:r>
      <w:r w:rsidR="00D9258C" w:rsidRPr="00FD6A6A">
        <w:t>racial</w:t>
      </w:r>
      <w:r w:rsidR="00541D05">
        <w:t xml:space="preserve"> </w:t>
      </w:r>
      <w:r w:rsidR="00D9258C" w:rsidRPr="00FD6A6A">
        <w:t>slur,</w:t>
      </w:r>
      <w:r w:rsidR="00541D05">
        <w:t xml:space="preserve"> </w:t>
      </w:r>
      <w:r w:rsidR="00D9258C" w:rsidRPr="00FD6A6A">
        <w:t>followed</w:t>
      </w:r>
      <w:r w:rsidR="00541D05">
        <w:t xml:space="preserve"> </w:t>
      </w:r>
      <w:r w:rsidR="00D9258C" w:rsidRPr="00FD6A6A">
        <w:t>by</w:t>
      </w:r>
      <w:r w:rsidR="00541D05">
        <w:t xml:space="preserve"> </w:t>
      </w:r>
      <w:r w:rsidR="00D9258C" w:rsidRPr="00FD6A6A">
        <w:t>the</w:t>
      </w:r>
      <w:r w:rsidR="00541D05">
        <w:t xml:space="preserve"> </w:t>
      </w:r>
      <w:r w:rsidR="00D9258C" w:rsidRPr="00FD6A6A">
        <w:t>prescription</w:t>
      </w:r>
      <w:r w:rsidR="00541D05">
        <w:t xml:space="preserve"> </w:t>
      </w:r>
      <w:r w:rsidR="00D9258C" w:rsidRPr="00FD6A6A">
        <w:t>of</w:t>
      </w:r>
      <w:r w:rsidR="00541D05">
        <w:t xml:space="preserve"> </w:t>
      </w:r>
      <w:r w:rsidR="00D9258C" w:rsidRPr="00FD6A6A">
        <w:t>the</w:t>
      </w:r>
      <w:r w:rsidR="00541D05">
        <w:t xml:space="preserve"> </w:t>
      </w:r>
      <w:r w:rsidR="00D9258C" w:rsidRPr="00FD6A6A">
        <w:t>new</w:t>
      </w:r>
      <w:r w:rsidR="00541D05">
        <w:t xml:space="preserve"> </w:t>
      </w:r>
      <w:r w:rsidR="00D9258C" w:rsidRPr="00FD6A6A">
        <w:t>deadline</w:t>
      </w:r>
      <w:r w:rsidR="00541D05">
        <w:t xml:space="preserve"> </w:t>
      </w:r>
      <w:r w:rsidR="00D9258C" w:rsidRPr="00FD6A6A">
        <w:t>for</w:t>
      </w:r>
      <w:r w:rsidR="00541D05">
        <w:t xml:space="preserve"> </w:t>
      </w:r>
      <w:r w:rsidR="00D9258C" w:rsidRPr="00FD6A6A">
        <w:t>filing</w:t>
      </w:r>
      <w:r w:rsidR="00541D05">
        <w:t xml:space="preserve"> </w:t>
      </w:r>
      <w:r w:rsidR="00D9258C" w:rsidRPr="00FD6A6A">
        <w:t>the</w:t>
      </w:r>
      <w:r w:rsidR="00541D05">
        <w:t xml:space="preserve"> </w:t>
      </w:r>
      <w:r w:rsidR="00D9258C" w:rsidRPr="00FD6A6A">
        <w:t>criminal</w:t>
      </w:r>
      <w:r w:rsidR="00541D05">
        <w:t xml:space="preserve"> </w:t>
      </w:r>
      <w:r w:rsidR="00D9258C" w:rsidRPr="00FD6A6A">
        <w:t>complaint.</w:t>
      </w:r>
    </w:p>
    <w:p w14:paraId="4D26A6F0" w14:textId="1C6506B3" w:rsidR="00D9258C" w:rsidRPr="00FD6A6A" w:rsidRDefault="00166390" w:rsidP="00166390">
      <w:pPr>
        <w:pStyle w:val="ParaNoG"/>
        <w:numPr>
          <w:ilvl w:val="0"/>
          <w:numId w:val="0"/>
        </w:numPr>
        <w:tabs>
          <w:tab w:val="left" w:pos="0"/>
        </w:tabs>
        <w:ind w:left="1134"/>
      </w:pPr>
      <w:r w:rsidRPr="00FD6A6A">
        <w:t>58.</w:t>
      </w:r>
      <w:r w:rsidRPr="00FD6A6A">
        <w:tab/>
      </w:r>
      <w:r w:rsidR="00D9258C" w:rsidRPr="00FD6A6A">
        <w:t>The</w:t>
      </w:r>
      <w:r w:rsidR="00541D05">
        <w:t xml:space="preserve"> </w:t>
      </w:r>
      <w:r w:rsidR="00D9258C" w:rsidRPr="00FD6A6A">
        <w:t>courts</w:t>
      </w:r>
      <w:r w:rsidR="00541D05">
        <w:t xml:space="preserve"> </w:t>
      </w:r>
      <w:r w:rsidR="00D9258C" w:rsidRPr="00FD6A6A">
        <w:t>of</w:t>
      </w:r>
      <w:r w:rsidR="00541D05">
        <w:t xml:space="preserve"> </w:t>
      </w:r>
      <w:r w:rsidR="00D9258C" w:rsidRPr="00FD6A6A">
        <w:t>appeals</w:t>
      </w:r>
      <w:r w:rsidR="00541D05">
        <w:t xml:space="preserve"> </w:t>
      </w:r>
      <w:r w:rsidR="00D9258C" w:rsidRPr="00FD6A6A">
        <w:t>of</w:t>
      </w:r>
      <w:r w:rsidR="00541D05">
        <w:t xml:space="preserve"> </w:t>
      </w:r>
      <w:r w:rsidR="00D9258C" w:rsidRPr="00FD6A6A">
        <w:t>other</w:t>
      </w:r>
      <w:r w:rsidR="00541D05">
        <w:t xml:space="preserve"> </w:t>
      </w:r>
      <w:r w:rsidR="00D9258C" w:rsidRPr="00FD6A6A">
        <w:t>federative</w:t>
      </w:r>
      <w:r w:rsidR="00541D05">
        <w:t xml:space="preserve"> </w:t>
      </w:r>
      <w:r w:rsidR="00D9258C" w:rsidRPr="00FD6A6A">
        <w:t>units</w:t>
      </w:r>
      <w:r w:rsidR="00541D05">
        <w:t xml:space="preserve"> </w:t>
      </w:r>
      <w:r w:rsidR="00D9258C" w:rsidRPr="00FD6A6A">
        <w:t>have</w:t>
      </w:r>
      <w:r w:rsidR="00541D05">
        <w:t xml:space="preserve"> </w:t>
      </w:r>
      <w:r w:rsidR="00D9258C" w:rsidRPr="00FD6A6A">
        <w:t>not</w:t>
      </w:r>
      <w:r w:rsidR="00541D05">
        <w:t xml:space="preserve"> </w:t>
      </w:r>
      <w:r w:rsidR="00D9258C" w:rsidRPr="00FD6A6A">
        <w:t>acted</w:t>
      </w:r>
      <w:r w:rsidR="00541D05">
        <w:t xml:space="preserve"> </w:t>
      </w:r>
      <w:r w:rsidR="00D9258C" w:rsidRPr="00FD6A6A">
        <w:t>differently,</w:t>
      </w:r>
      <w:r w:rsidR="00541D05">
        <w:t xml:space="preserve"> </w:t>
      </w:r>
      <w:r w:rsidR="00D9258C" w:rsidRPr="00FD6A6A">
        <w:t>given</w:t>
      </w:r>
      <w:r w:rsidR="00541D05">
        <w:t xml:space="preserve"> </w:t>
      </w:r>
      <w:r w:rsidR="00D9258C" w:rsidRPr="00FD6A6A">
        <w:t>the</w:t>
      </w:r>
      <w:r w:rsidR="00541D05">
        <w:t xml:space="preserve"> </w:t>
      </w:r>
      <w:r w:rsidR="00D9258C" w:rsidRPr="00FD6A6A">
        <w:t>high</w:t>
      </w:r>
      <w:r w:rsidR="00541D05">
        <w:t xml:space="preserve"> </w:t>
      </w:r>
      <w:r w:rsidR="00D9258C" w:rsidRPr="00FD6A6A">
        <w:t>rate</w:t>
      </w:r>
      <w:r w:rsidR="00541D05">
        <w:t xml:space="preserve"> </w:t>
      </w:r>
      <w:r w:rsidR="00D9258C" w:rsidRPr="00FD6A6A">
        <w:t>of</w:t>
      </w:r>
      <w:r w:rsidR="00541D05">
        <w:t xml:space="preserve"> </w:t>
      </w:r>
      <w:r w:rsidR="00D9258C" w:rsidRPr="00FD6A6A">
        <w:t>dismissal</w:t>
      </w:r>
      <w:r w:rsidR="00541D05">
        <w:t xml:space="preserve"> </w:t>
      </w:r>
      <w:r w:rsidR="00D9258C" w:rsidRPr="00FD6A6A">
        <w:t>of</w:t>
      </w:r>
      <w:r w:rsidR="00541D05">
        <w:t xml:space="preserve"> </w:t>
      </w:r>
      <w:r w:rsidR="00D9258C" w:rsidRPr="00FD6A6A">
        <w:t>legal</w:t>
      </w:r>
      <w:r w:rsidR="00541D05">
        <w:t xml:space="preserve"> </w:t>
      </w:r>
      <w:r w:rsidR="00D9258C" w:rsidRPr="00FD6A6A">
        <w:t>proceedings</w:t>
      </w:r>
      <w:r w:rsidR="00541D05">
        <w:t xml:space="preserve"> </w:t>
      </w:r>
      <w:r w:rsidR="00D9258C" w:rsidRPr="00FD6A6A">
        <w:t>and</w:t>
      </w:r>
      <w:r w:rsidR="00541D05">
        <w:t xml:space="preserve"> </w:t>
      </w:r>
      <w:r w:rsidR="00D9258C" w:rsidRPr="00FD6A6A">
        <w:t>the</w:t>
      </w:r>
      <w:r w:rsidR="00541D05">
        <w:t xml:space="preserve"> </w:t>
      </w:r>
      <w:r w:rsidR="00D9258C" w:rsidRPr="00FD6A6A">
        <w:t>predominance</w:t>
      </w:r>
      <w:r w:rsidR="00541D05">
        <w:t xml:space="preserve"> </w:t>
      </w:r>
      <w:r w:rsidR="00D9258C" w:rsidRPr="00FD6A6A">
        <w:t>of</w:t>
      </w:r>
      <w:r w:rsidR="00541D05">
        <w:t xml:space="preserve"> </w:t>
      </w:r>
      <w:r w:rsidR="00D9258C" w:rsidRPr="00FD6A6A">
        <w:t>judges</w:t>
      </w:r>
      <w:r w:rsidR="00EA62F1">
        <w:t>’</w:t>
      </w:r>
      <w:r w:rsidR="00541D05">
        <w:t xml:space="preserve"> </w:t>
      </w:r>
      <w:r w:rsidR="00D9258C" w:rsidRPr="00FD6A6A">
        <w:t>interpretation</w:t>
      </w:r>
      <w:r w:rsidR="00541D05">
        <w:t xml:space="preserve"> </w:t>
      </w:r>
      <w:r w:rsidR="00D9258C" w:rsidRPr="00FD6A6A">
        <w:t>of</w:t>
      </w:r>
      <w:r w:rsidR="00541D05">
        <w:t xml:space="preserve"> </w:t>
      </w:r>
      <w:r w:rsidR="00D9258C" w:rsidRPr="00FD6A6A">
        <w:t>the</w:t>
      </w:r>
      <w:r w:rsidR="00541D05">
        <w:t xml:space="preserve"> </w:t>
      </w:r>
      <w:r w:rsidR="00D9258C" w:rsidRPr="00FD6A6A">
        <w:t>cases</w:t>
      </w:r>
      <w:r w:rsidR="00541D05">
        <w:t xml:space="preserve"> </w:t>
      </w:r>
      <w:r w:rsidR="00D9258C" w:rsidRPr="00FD6A6A">
        <w:t>reported</w:t>
      </w:r>
      <w:r w:rsidR="00541D05">
        <w:t xml:space="preserve"> </w:t>
      </w:r>
      <w:r w:rsidR="00D9258C" w:rsidRPr="00FD6A6A">
        <w:t>as</w:t>
      </w:r>
      <w:r w:rsidR="00541D05">
        <w:t xml:space="preserve"> </w:t>
      </w:r>
      <w:r w:rsidR="00D9258C" w:rsidRPr="00FD6A6A">
        <w:t>slander,</w:t>
      </w:r>
      <w:r w:rsidR="00541D05">
        <w:t xml:space="preserve"> </w:t>
      </w:r>
      <w:r w:rsidR="00D9258C" w:rsidRPr="00FD6A6A">
        <w:t>not</w:t>
      </w:r>
      <w:r w:rsidR="00541D05">
        <w:t xml:space="preserve"> </w:t>
      </w:r>
      <w:r w:rsidR="00D9258C" w:rsidRPr="00FD6A6A">
        <w:t>racial</w:t>
      </w:r>
      <w:r w:rsidR="00541D05">
        <w:t xml:space="preserve"> </w:t>
      </w:r>
      <w:r w:rsidR="00D9258C" w:rsidRPr="00FD6A6A">
        <w:t>slur,</w:t>
      </w:r>
      <w:r w:rsidR="00541D05">
        <w:t xml:space="preserve"> </w:t>
      </w:r>
      <w:r w:rsidR="00D9258C" w:rsidRPr="00FD6A6A">
        <w:t>under</w:t>
      </w:r>
      <w:r w:rsidR="00541D05">
        <w:t xml:space="preserve"> </w:t>
      </w:r>
      <w:r w:rsidR="00D9258C" w:rsidRPr="00FD6A6A">
        <w:t>the</w:t>
      </w:r>
      <w:r w:rsidR="00541D05">
        <w:t xml:space="preserve"> </w:t>
      </w:r>
      <w:r w:rsidR="00D9258C" w:rsidRPr="00FD6A6A">
        <w:t>argument</w:t>
      </w:r>
      <w:r w:rsidR="00541D05">
        <w:t xml:space="preserve"> </w:t>
      </w:r>
      <w:r w:rsidR="00D9258C" w:rsidRPr="00FD6A6A">
        <w:t>that</w:t>
      </w:r>
      <w:r w:rsidR="00541D05">
        <w:t xml:space="preserve"> </w:t>
      </w:r>
      <w:r w:rsidR="00D9258C" w:rsidRPr="00FD6A6A">
        <w:t>the</w:t>
      </w:r>
      <w:r w:rsidR="00541D05">
        <w:t xml:space="preserve"> </w:t>
      </w:r>
      <w:r w:rsidR="00D9258C" w:rsidRPr="00FD6A6A">
        <w:t>motivation</w:t>
      </w:r>
      <w:r w:rsidR="00541D05">
        <w:t xml:space="preserve"> </w:t>
      </w:r>
      <w:r w:rsidR="00D9258C" w:rsidRPr="00FD6A6A">
        <w:t>for</w:t>
      </w:r>
      <w:r w:rsidR="00541D05">
        <w:t xml:space="preserve"> </w:t>
      </w:r>
      <w:r w:rsidR="00D9258C" w:rsidRPr="00FD6A6A">
        <w:t>such</w:t>
      </w:r>
      <w:r w:rsidR="00541D05">
        <w:t xml:space="preserve"> </w:t>
      </w:r>
      <w:r w:rsidR="00D9258C" w:rsidRPr="00FD6A6A">
        <w:t>acts</w:t>
      </w:r>
      <w:r w:rsidR="00541D05">
        <w:t xml:space="preserve"> </w:t>
      </w:r>
      <w:r w:rsidR="00D9258C" w:rsidRPr="00FD6A6A">
        <w:t>did</w:t>
      </w:r>
      <w:r w:rsidR="00541D05">
        <w:t xml:space="preserve"> </w:t>
      </w:r>
      <w:r w:rsidR="00D9258C" w:rsidRPr="00FD6A6A">
        <w:t>not</w:t>
      </w:r>
      <w:r w:rsidR="00541D05">
        <w:t xml:space="preserve"> </w:t>
      </w:r>
      <w:r w:rsidR="00D9258C" w:rsidRPr="00FD6A6A">
        <w:t>result</w:t>
      </w:r>
      <w:r w:rsidR="00541D05">
        <w:t xml:space="preserve"> </w:t>
      </w:r>
      <w:r w:rsidR="00D9258C" w:rsidRPr="00FD6A6A">
        <w:t>from</w:t>
      </w:r>
      <w:r w:rsidR="00541D05">
        <w:t xml:space="preserve"> </w:t>
      </w:r>
      <w:r w:rsidR="00D9258C" w:rsidRPr="00FD6A6A">
        <w:t>the</w:t>
      </w:r>
      <w:r w:rsidR="00541D05">
        <w:t xml:space="preserve"> </w:t>
      </w:r>
      <w:r w:rsidR="00D9258C" w:rsidRPr="00FD6A6A">
        <w:t>notion</w:t>
      </w:r>
      <w:r w:rsidR="00541D05">
        <w:t xml:space="preserve"> </w:t>
      </w:r>
      <w:r w:rsidR="00D9258C" w:rsidRPr="00FD6A6A">
        <w:t>of</w:t>
      </w:r>
      <w:r w:rsidR="00541D05">
        <w:t xml:space="preserve"> </w:t>
      </w:r>
      <w:r w:rsidR="00D9258C" w:rsidRPr="00FD6A6A">
        <w:t>race</w:t>
      </w:r>
      <w:r w:rsidR="00541D05">
        <w:t xml:space="preserve"> </w:t>
      </w:r>
      <w:r w:rsidR="00D9258C" w:rsidRPr="00FD6A6A">
        <w:t>or</w:t>
      </w:r>
      <w:r w:rsidR="00541D05">
        <w:t xml:space="preserve"> </w:t>
      </w:r>
      <w:r w:rsidR="00D9258C" w:rsidRPr="00FD6A6A">
        <w:t>racism.</w:t>
      </w:r>
      <w:r w:rsidR="00541D05">
        <w:t xml:space="preserve"> </w:t>
      </w:r>
      <w:r w:rsidR="00D9258C" w:rsidRPr="00FD6A6A">
        <w:t>For</w:t>
      </w:r>
      <w:r w:rsidR="00541D05">
        <w:t xml:space="preserve"> </w:t>
      </w:r>
      <w:r w:rsidR="00D9258C" w:rsidRPr="00FD6A6A">
        <w:t>most</w:t>
      </w:r>
      <w:r w:rsidR="00541D05">
        <w:t xml:space="preserve"> </w:t>
      </w:r>
      <w:r w:rsidR="00D9258C" w:rsidRPr="00FD6A6A">
        <w:t>Brazilian</w:t>
      </w:r>
      <w:r w:rsidR="00541D05">
        <w:t xml:space="preserve"> </w:t>
      </w:r>
      <w:r w:rsidR="00D9258C" w:rsidRPr="00FD6A6A">
        <w:t>judges,</w:t>
      </w:r>
      <w:r w:rsidR="00541D05">
        <w:t xml:space="preserve"> </w:t>
      </w:r>
      <w:r w:rsidR="00D9258C" w:rsidRPr="00FD6A6A">
        <w:t>slanderous</w:t>
      </w:r>
      <w:r w:rsidR="00541D05">
        <w:t xml:space="preserve"> </w:t>
      </w:r>
      <w:r w:rsidR="00D9258C" w:rsidRPr="00FD6A6A">
        <w:t>acts</w:t>
      </w:r>
      <w:r w:rsidR="00541D05">
        <w:t xml:space="preserve"> </w:t>
      </w:r>
      <w:r w:rsidR="00D9258C" w:rsidRPr="00FD6A6A">
        <w:t>against</w:t>
      </w:r>
      <w:r w:rsidR="00541D05">
        <w:t xml:space="preserve"> </w:t>
      </w:r>
      <w:r w:rsidR="00D9258C" w:rsidRPr="00FD6A6A">
        <w:t>Afro-Brazilians</w:t>
      </w:r>
      <w:r w:rsidR="00541D05">
        <w:t xml:space="preserve"> </w:t>
      </w:r>
      <w:r w:rsidR="00D9258C" w:rsidRPr="00FD6A6A">
        <w:t>tend</w:t>
      </w:r>
      <w:r w:rsidR="00541D05">
        <w:t xml:space="preserve"> </w:t>
      </w:r>
      <w:r w:rsidR="00D9258C" w:rsidRPr="00FD6A6A">
        <w:t>to</w:t>
      </w:r>
      <w:r w:rsidR="00541D05">
        <w:t xml:space="preserve"> </w:t>
      </w:r>
      <w:r w:rsidR="00D9258C" w:rsidRPr="00FD6A6A">
        <w:t>be</w:t>
      </w:r>
      <w:r w:rsidR="00541D05">
        <w:t xml:space="preserve"> </w:t>
      </w:r>
      <w:r w:rsidR="00D9258C" w:rsidRPr="00FD6A6A">
        <w:t>interpreted</w:t>
      </w:r>
      <w:r w:rsidR="00541D05">
        <w:t xml:space="preserve"> </w:t>
      </w:r>
      <w:r w:rsidR="00D9258C" w:rsidRPr="00FD6A6A">
        <w:t>as</w:t>
      </w:r>
      <w:r w:rsidR="00541D05">
        <w:t xml:space="preserve"> </w:t>
      </w:r>
      <w:r w:rsidR="00D9258C" w:rsidRPr="00FD6A6A">
        <w:t>personal</w:t>
      </w:r>
      <w:r w:rsidR="00541D05">
        <w:t xml:space="preserve"> </w:t>
      </w:r>
      <w:r w:rsidR="00D9258C" w:rsidRPr="00FD6A6A">
        <w:t>quarrels.</w:t>
      </w:r>
    </w:p>
    <w:p w14:paraId="5EDF2BC3" w14:textId="5254DB11" w:rsidR="00D9258C" w:rsidRPr="00FD6A6A" w:rsidRDefault="00166390" w:rsidP="00166390">
      <w:pPr>
        <w:pStyle w:val="ParaNoG"/>
        <w:numPr>
          <w:ilvl w:val="0"/>
          <w:numId w:val="0"/>
        </w:numPr>
        <w:tabs>
          <w:tab w:val="left" w:pos="0"/>
        </w:tabs>
        <w:ind w:left="1134"/>
      </w:pPr>
      <w:r w:rsidRPr="00FD6A6A">
        <w:t>59.</w:t>
      </w:r>
      <w:r w:rsidRPr="00FD6A6A">
        <w:tab/>
      </w:r>
      <w:r w:rsidR="00D9258C" w:rsidRPr="00FD6A6A">
        <w:t>An</w:t>
      </w:r>
      <w:r w:rsidR="00541D05">
        <w:t xml:space="preserve"> </w:t>
      </w:r>
      <w:r w:rsidR="00D9258C" w:rsidRPr="00FD6A6A">
        <w:t>understanding</w:t>
      </w:r>
      <w:r w:rsidR="00541D05">
        <w:t xml:space="preserve"> </w:t>
      </w:r>
      <w:r w:rsidR="00D9258C" w:rsidRPr="00FD6A6A">
        <w:t>to</w:t>
      </w:r>
      <w:r w:rsidR="00541D05">
        <w:t xml:space="preserve"> </w:t>
      </w:r>
      <w:r w:rsidR="00D9258C" w:rsidRPr="00FD6A6A">
        <w:t>the</w:t>
      </w:r>
      <w:r w:rsidR="00541D05">
        <w:t xml:space="preserve"> </w:t>
      </w:r>
      <w:r w:rsidR="00D9258C" w:rsidRPr="00FD6A6A">
        <w:t>contrary</w:t>
      </w:r>
      <w:r w:rsidR="00541D05">
        <w:t xml:space="preserve"> </w:t>
      </w:r>
      <w:r w:rsidR="00D9258C" w:rsidRPr="00FD6A6A">
        <w:t>occurred</w:t>
      </w:r>
      <w:r w:rsidR="00541D05">
        <w:t xml:space="preserve"> </w:t>
      </w:r>
      <w:r w:rsidR="00D9258C" w:rsidRPr="00FD6A6A">
        <w:t>specifically</w:t>
      </w:r>
      <w:r w:rsidR="00541D05">
        <w:t xml:space="preserve"> </w:t>
      </w:r>
      <w:r w:rsidR="00D9258C" w:rsidRPr="00FD6A6A">
        <w:t>in</w:t>
      </w:r>
      <w:r w:rsidR="00541D05">
        <w:t xml:space="preserve"> </w:t>
      </w:r>
      <w:r w:rsidR="00D9258C" w:rsidRPr="00FD6A6A">
        <w:t>the</w:t>
      </w:r>
      <w:r w:rsidR="00541D05">
        <w:t xml:space="preserve"> </w:t>
      </w:r>
      <w:r w:rsidR="00D9258C" w:rsidRPr="00FD6A6A">
        <w:t>consecutive</w:t>
      </w:r>
      <w:r w:rsidR="00541D05">
        <w:t xml:space="preserve"> </w:t>
      </w:r>
      <w:r w:rsidR="00D9258C" w:rsidRPr="00FD6A6A">
        <w:t>judgments</w:t>
      </w:r>
      <w:r w:rsidR="00541D05">
        <w:t xml:space="preserve"> </w:t>
      </w:r>
      <w:r w:rsidR="00D9258C" w:rsidRPr="00FD6A6A">
        <w:t>of</w:t>
      </w:r>
      <w:r w:rsidR="00541D05">
        <w:t xml:space="preserve"> </w:t>
      </w:r>
      <w:r w:rsidR="00D9258C" w:rsidRPr="00FD6A6A">
        <w:t>the</w:t>
      </w:r>
      <w:r w:rsidR="00541D05">
        <w:t xml:space="preserve"> </w:t>
      </w:r>
      <w:r w:rsidR="00D9258C" w:rsidRPr="00FD6A6A">
        <w:t>so-called</w:t>
      </w:r>
      <w:r w:rsidR="00541D05">
        <w:t xml:space="preserve"> </w:t>
      </w:r>
      <w:r w:rsidR="00D9258C" w:rsidRPr="00FD6A6A">
        <w:t>Ellwanger</w:t>
      </w:r>
      <w:r w:rsidR="00541D05">
        <w:t xml:space="preserve"> </w:t>
      </w:r>
      <w:r w:rsidR="00D9258C" w:rsidRPr="00FD6A6A">
        <w:t>case</w:t>
      </w:r>
      <w:r w:rsidR="00541D05">
        <w:t xml:space="preserve"> </w:t>
      </w:r>
      <w:r w:rsidR="00D9258C" w:rsidRPr="00FD6A6A">
        <w:t>regarding</w:t>
      </w:r>
      <w:r w:rsidR="00541D05">
        <w:t xml:space="preserve"> </w:t>
      </w:r>
      <w:r w:rsidR="00D9258C" w:rsidRPr="00FD6A6A">
        <w:t>an</w:t>
      </w:r>
      <w:r w:rsidR="00541D05">
        <w:t xml:space="preserve"> </w:t>
      </w:r>
      <w:r w:rsidR="00D9258C" w:rsidRPr="00FD6A6A">
        <w:t>accusation</w:t>
      </w:r>
      <w:r w:rsidR="00541D05">
        <w:t xml:space="preserve"> </w:t>
      </w:r>
      <w:r w:rsidR="00D9258C" w:rsidRPr="00FD6A6A">
        <w:t>of</w:t>
      </w:r>
      <w:r w:rsidR="00541D05">
        <w:t xml:space="preserve"> </w:t>
      </w:r>
      <w:r w:rsidR="00D9258C" w:rsidRPr="00FD6A6A">
        <w:t>anti-Semitism.</w:t>
      </w:r>
      <w:r w:rsidR="00541D05">
        <w:t xml:space="preserve"> </w:t>
      </w:r>
      <w:r w:rsidR="00D9258C" w:rsidRPr="00FD6A6A">
        <w:t>This</w:t>
      </w:r>
      <w:r w:rsidR="00541D05">
        <w:t xml:space="preserve"> </w:t>
      </w:r>
      <w:r w:rsidR="00D9258C" w:rsidRPr="00FD6A6A">
        <w:t>case</w:t>
      </w:r>
      <w:r w:rsidR="00541D05">
        <w:t xml:space="preserve"> </w:t>
      </w:r>
      <w:r w:rsidR="00D9258C" w:rsidRPr="00FD6A6A">
        <w:t>started</w:t>
      </w:r>
      <w:r w:rsidR="00541D05">
        <w:t xml:space="preserve"> </w:t>
      </w:r>
      <w:r w:rsidR="00D9258C" w:rsidRPr="00FD6A6A">
        <w:t>in</w:t>
      </w:r>
      <w:r w:rsidR="00541D05">
        <w:t xml:space="preserve"> </w:t>
      </w:r>
      <w:r w:rsidR="00D9258C" w:rsidRPr="00FD6A6A">
        <w:t>1990</w:t>
      </w:r>
      <w:r w:rsidR="00541D05">
        <w:t xml:space="preserve"> </w:t>
      </w:r>
      <w:r w:rsidR="00D9258C" w:rsidRPr="00FD6A6A">
        <w:t>and</w:t>
      </w:r>
      <w:r w:rsidR="00541D05">
        <w:t xml:space="preserve"> </w:t>
      </w:r>
      <w:r w:rsidR="00D9258C" w:rsidRPr="00FD6A6A">
        <w:t>concluded</w:t>
      </w:r>
      <w:r w:rsidR="00541D05">
        <w:t xml:space="preserve"> </w:t>
      </w:r>
      <w:r w:rsidR="00D9258C" w:rsidRPr="00FD6A6A">
        <w:t>thirteen</w:t>
      </w:r>
      <w:r w:rsidR="00541D05">
        <w:t xml:space="preserve"> </w:t>
      </w:r>
      <w:r w:rsidR="00D9258C" w:rsidRPr="00FD6A6A">
        <w:t>years</w:t>
      </w:r>
      <w:r w:rsidR="00541D05">
        <w:t xml:space="preserve"> </w:t>
      </w:r>
      <w:r w:rsidR="00D9258C" w:rsidRPr="00FD6A6A">
        <w:t>later,</w:t>
      </w:r>
      <w:r w:rsidR="00541D05">
        <w:t xml:space="preserve"> </w:t>
      </w:r>
      <w:r w:rsidR="00D9258C" w:rsidRPr="00FD6A6A">
        <w:t>in</w:t>
      </w:r>
      <w:r w:rsidR="00541D05">
        <w:t xml:space="preserve"> </w:t>
      </w:r>
      <w:r w:rsidR="00D9258C" w:rsidRPr="00FD6A6A">
        <w:t>2003.</w:t>
      </w:r>
      <w:r w:rsidR="00541D05">
        <w:t xml:space="preserve"> </w:t>
      </w:r>
      <w:r w:rsidR="00D9258C" w:rsidRPr="00FD6A6A">
        <w:t>Siegfried</w:t>
      </w:r>
      <w:r w:rsidR="00541D05">
        <w:t xml:space="preserve"> </w:t>
      </w:r>
      <w:r w:rsidR="00D9258C" w:rsidRPr="00FD6A6A">
        <w:t>Ellwanger</w:t>
      </w:r>
      <w:r w:rsidR="00541D05">
        <w:t xml:space="preserve"> </w:t>
      </w:r>
      <w:r w:rsidR="00D9258C" w:rsidRPr="00FD6A6A">
        <w:t>Castan,</w:t>
      </w:r>
      <w:r w:rsidR="00541D05">
        <w:t xml:space="preserve"> </w:t>
      </w:r>
      <w:r w:rsidR="00D9258C" w:rsidRPr="00FD6A6A">
        <w:t>born</w:t>
      </w:r>
      <w:r w:rsidR="00541D05">
        <w:t xml:space="preserve"> </w:t>
      </w:r>
      <w:r w:rsidR="00D9258C" w:rsidRPr="00FD6A6A">
        <w:t>in</w:t>
      </w:r>
      <w:r w:rsidR="00541D05">
        <w:t xml:space="preserve"> </w:t>
      </w:r>
      <w:r w:rsidR="00D9258C" w:rsidRPr="00FD6A6A">
        <w:t>Candelária,</w:t>
      </w:r>
      <w:r w:rsidR="00541D05">
        <w:t xml:space="preserve"> </w:t>
      </w:r>
      <w:r w:rsidR="00D9258C" w:rsidRPr="00FD6A6A">
        <w:t>state</w:t>
      </w:r>
      <w:r w:rsidR="00541D05">
        <w:t xml:space="preserve"> </w:t>
      </w:r>
      <w:r w:rsidR="00D9258C" w:rsidRPr="00FD6A6A">
        <w:t>of</w:t>
      </w:r>
      <w:r w:rsidR="00541D05">
        <w:t xml:space="preserve"> </w:t>
      </w:r>
      <w:r w:rsidR="00D9258C" w:rsidRPr="00FD6A6A">
        <w:t>Rio</w:t>
      </w:r>
      <w:r w:rsidR="00541D05">
        <w:t xml:space="preserve"> </w:t>
      </w:r>
      <w:r w:rsidR="00D9258C" w:rsidRPr="00FD6A6A">
        <w:t>Grande</w:t>
      </w:r>
      <w:r w:rsidR="00541D05">
        <w:t xml:space="preserve"> </w:t>
      </w:r>
      <w:r w:rsidR="00D9258C" w:rsidRPr="00FD6A6A">
        <w:t>do</w:t>
      </w:r>
      <w:r w:rsidR="00541D05">
        <w:t xml:space="preserve"> </w:t>
      </w:r>
      <w:r w:rsidR="00D9258C" w:rsidRPr="00FD6A6A">
        <w:t>Sul,</w:t>
      </w:r>
      <w:r w:rsidR="00541D05">
        <w:t xml:space="preserve"> </w:t>
      </w:r>
      <w:r w:rsidR="00D9258C" w:rsidRPr="00FD6A6A">
        <w:t>was</w:t>
      </w:r>
      <w:r w:rsidR="00541D05">
        <w:t xml:space="preserve"> </w:t>
      </w:r>
      <w:r w:rsidR="00D9258C" w:rsidRPr="00FD6A6A">
        <w:t>the</w:t>
      </w:r>
      <w:r w:rsidR="00541D05">
        <w:t xml:space="preserve"> </w:t>
      </w:r>
      <w:r w:rsidR="00D9258C" w:rsidRPr="00FD6A6A">
        <w:t>director</w:t>
      </w:r>
      <w:r w:rsidR="00541D05">
        <w:t xml:space="preserve"> </w:t>
      </w:r>
      <w:r w:rsidR="00D9258C" w:rsidRPr="00FD6A6A">
        <w:t>of</w:t>
      </w:r>
      <w:r w:rsidR="00541D05">
        <w:t xml:space="preserve"> </w:t>
      </w:r>
      <w:r w:rsidR="00D9258C" w:rsidRPr="00FD6A6A">
        <w:t>Editora</w:t>
      </w:r>
      <w:r w:rsidR="00541D05">
        <w:t xml:space="preserve"> </w:t>
      </w:r>
      <w:r w:rsidR="00D9258C" w:rsidRPr="00FD6A6A">
        <w:t>Revisão</w:t>
      </w:r>
      <w:r w:rsidR="00541D05">
        <w:t xml:space="preserve"> </w:t>
      </w:r>
      <w:r w:rsidR="00D9258C" w:rsidRPr="00FD6A6A">
        <w:t>in</w:t>
      </w:r>
      <w:r w:rsidR="00541D05">
        <w:t xml:space="preserve"> </w:t>
      </w:r>
      <w:r w:rsidR="00D9258C" w:rsidRPr="00FD6A6A">
        <w:t>the</w:t>
      </w:r>
      <w:r w:rsidR="00541D05">
        <w:t xml:space="preserve"> </w:t>
      </w:r>
      <w:r w:rsidR="00D9258C" w:rsidRPr="00FD6A6A">
        <w:t>1980s</w:t>
      </w:r>
      <w:r w:rsidR="00541D05">
        <w:t xml:space="preserve"> </w:t>
      </w:r>
      <w:r w:rsidR="00D9258C" w:rsidRPr="00FD6A6A">
        <w:lastRenderedPageBreak/>
        <w:t>and,</w:t>
      </w:r>
      <w:r w:rsidR="00541D05">
        <w:t xml:space="preserve"> </w:t>
      </w:r>
      <w:r w:rsidR="00D9258C" w:rsidRPr="00FD6A6A">
        <w:t>as</w:t>
      </w:r>
      <w:r w:rsidR="00541D05">
        <w:t xml:space="preserve"> </w:t>
      </w:r>
      <w:r w:rsidR="00D9258C" w:rsidRPr="00FD6A6A">
        <w:t>such,</w:t>
      </w:r>
      <w:r w:rsidR="00541D05">
        <w:t xml:space="preserve"> </w:t>
      </w:r>
      <w:r w:rsidR="00D9258C" w:rsidRPr="00FD6A6A">
        <w:t>published</w:t>
      </w:r>
      <w:r w:rsidR="00541D05">
        <w:t xml:space="preserve"> </w:t>
      </w:r>
      <w:r w:rsidR="00D9258C" w:rsidRPr="00FD6A6A">
        <w:t>books</w:t>
      </w:r>
      <w:r w:rsidR="00541D05">
        <w:t xml:space="preserve"> </w:t>
      </w:r>
      <w:r w:rsidR="00D9258C" w:rsidRPr="00FD6A6A">
        <w:t>focused</w:t>
      </w:r>
      <w:r w:rsidR="00541D05">
        <w:t xml:space="preserve"> </w:t>
      </w:r>
      <w:r w:rsidR="00D9258C" w:rsidRPr="00FD6A6A">
        <w:t>on</w:t>
      </w:r>
      <w:r w:rsidR="00541D05">
        <w:t xml:space="preserve"> </w:t>
      </w:r>
      <w:r w:rsidR="00D9258C" w:rsidRPr="00FD6A6A">
        <w:t>the</w:t>
      </w:r>
      <w:r w:rsidR="00541D05">
        <w:t xml:space="preserve"> </w:t>
      </w:r>
      <w:r w:rsidR="00D9258C" w:rsidRPr="00FD6A6A">
        <w:t>historical</w:t>
      </w:r>
      <w:r w:rsidR="00541D05">
        <w:t xml:space="preserve"> </w:t>
      </w:r>
      <w:r w:rsidR="00D9258C" w:rsidRPr="00FD6A6A">
        <w:t>revisionism</w:t>
      </w:r>
      <w:r w:rsidR="00541D05">
        <w:t xml:space="preserve"> </w:t>
      </w:r>
      <w:r w:rsidR="00D9258C" w:rsidRPr="00FD6A6A">
        <w:t>of</w:t>
      </w:r>
      <w:r w:rsidR="00541D05">
        <w:t xml:space="preserve"> </w:t>
      </w:r>
      <w:r w:rsidR="00D9258C" w:rsidRPr="00FD6A6A">
        <w:t>World</w:t>
      </w:r>
      <w:r w:rsidR="00541D05">
        <w:t xml:space="preserve"> </w:t>
      </w:r>
      <w:r w:rsidR="00D9258C" w:rsidRPr="00FD6A6A">
        <w:t>War</w:t>
      </w:r>
      <w:r w:rsidR="00541D05">
        <w:t xml:space="preserve"> </w:t>
      </w:r>
      <w:r w:rsidR="00D9258C" w:rsidRPr="00FD6A6A">
        <w:t>II</w:t>
      </w:r>
      <w:r w:rsidR="00541D05">
        <w:t xml:space="preserve"> </w:t>
      </w:r>
      <w:r w:rsidR="00D9258C" w:rsidRPr="00FD6A6A">
        <w:t>and</w:t>
      </w:r>
      <w:r w:rsidR="00541D05">
        <w:t xml:space="preserve"> </w:t>
      </w:r>
      <w:r w:rsidR="00D9258C" w:rsidRPr="00FD6A6A">
        <w:t>Holocaust</w:t>
      </w:r>
      <w:r w:rsidR="00541D05">
        <w:t xml:space="preserve"> </w:t>
      </w:r>
      <w:r w:rsidR="00D9258C" w:rsidRPr="00FD6A6A">
        <w:t>denial.</w:t>
      </w:r>
      <w:r w:rsidR="00541D05">
        <w:t xml:space="preserve"> </w:t>
      </w:r>
      <w:r w:rsidR="00D9258C" w:rsidRPr="00FD6A6A">
        <w:t>At</w:t>
      </w:r>
      <w:r w:rsidR="00541D05">
        <w:t xml:space="preserve"> </w:t>
      </w:r>
      <w:r w:rsidR="00D9258C" w:rsidRPr="00FD6A6A">
        <w:t>least</w:t>
      </w:r>
      <w:r w:rsidR="00541D05">
        <w:t xml:space="preserve"> </w:t>
      </w:r>
      <w:r w:rsidR="00D9258C" w:rsidRPr="00FD6A6A">
        <w:t>four</w:t>
      </w:r>
      <w:r w:rsidR="00541D05">
        <w:t xml:space="preserve"> </w:t>
      </w:r>
      <w:r w:rsidR="00D9258C" w:rsidRPr="00FD6A6A">
        <w:t>books</w:t>
      </w:r>
      <w:r w:rsidR="00541D05">
        <w:t xml:space="preserve"> </w:t>
      </w:r>
      <w:r w:rsidR="00D9258C" w:rsidRPr="00FD6A6A">
        <w:t>were</w:t>
      </w:r>
      <w:r w:rsidR="00541D05">
        <w:t xml:space="preserve"> </w:t>
      </w:r>
      <w:r w:rsidR="00D9258C" w:rsidRPr="00FD6A6A">
        <w:t>published</w:t>
      </w:r>
      <w:r w:rsidR="00541D05">
        <w:t xml:space="preserve"> </w:t>
      </w:r>
      <w:r w:rsidR="00D9258C" w:rsidRPr="00FD6A6A">
        <w:t>in</w:t>
      </w:r>
      <w:r w:rsidR="00541D05">
        <w:t xml:space="preserve"> </w:t>
      </w:r>
      <w:r w:rsidR="00D9258C" w:rsidRPr="00FD6A6A">
        <w:t>this</w:t>
      </w:r>
      <w:r w:rsidR="00541D05">
        <w:t xml:space="preserve"> </w:t>
      </w:r>
      <w:r w:rsidR="00D9258C" w:rsidRPr="00FD6A6A">
        <w:t>regard,</w:t>
      </w:r>
      <w:r w:rsidR="00541D05">
        <w:t xml:space="preserve"> </w:t>
      </w:r>
      <w:r w:rsidR="00D9258C" w:rsidRPr="00FD6A6A">
        <w:t>which</w:t>
      </w:r>
      <w:r w:rsidR="00541D05">
        <w:t xml:space="preserve"> </w:t>
      </w:r>
      <w:r w:rsidR="00D9258C" w:rsidRPr="00FD6A6A">
        <w:t>caused</w:t>
      </w:r>
      <w:r w:rsidR="00541D05">
        <w:t xml:space="preserve"> </w:t>
      </w:r>
      <w:r w:rsidR="00D9258C" w:rsidRPr="00FD6A6A">
        <w:t>Ellwanger</w:t>
      </w:r>
      <w:r w:rsidR="00541D05">
        <w:t xml:space="preserve"> </w:t>
      </w:r>
      <w:r w:rsidR="00D9258C" w:rsidRPr="00FD6A6A">
        <w:t>to</w:t>
      </w:r>
      <w:r w:rsidR="00541D05">
        <w:t xml:space="preserve"> </w:t>
      </w:r>
      <w:r w:rsidR="00D9258C" w:rsidRPr="00FD6A6A">
        <w:t>be</w:t>
      </w:r>
      <w:r w:rsidR="00541D05">
        <w:t xml:space="preserve"> </w:t>
      </w:r>
      <w:r w:rsidR="00D9258C" w:rsidRPr="00FD6A6A">
        <w:t>indicted</w:t>
      </w:r>
      <w:r w:rsidR="00541D05">
        <w:t xml:space="preserve"> </w:t>
      </w:r>
      <w:r w:rsidR="00D9258C" w:rsidRPr="00FD6A6A">
        <w:t>in</w:t>
      </w:r>
      <w:r w:rsidR="00541D05">
        <w:t xml:space="preserve"> </w:t>
      </w:r>
      <w:r w:rsidR="00D9258C" w:rsidRPr="00FD6A6A">
        <w:t>1990</w:t>
      </w:r>
      <w:r w:rsidR="00541D05">
        <w:t xml:space="preserve"> </w:t>
      </w:r>
      <w:r w:rsidR="00D9258C" w:rsidRPr="00FD6A6A">
        <w:t>for</w:t>
      </w:r>
      <w:r w:rsidR="00541D05">
        <w:t xml:space="preserve"> </w:t>
      </w:r>
      <w:r w:rsidR="00D9258C" w:rsidRPr="00FD6A6A">
        <w:t>conveying</w:t>
      </w:r>
      <w:r w:rsidR="00541D05">
        <w:t xml:space="preserve"> </w:t>
      </w:r>
      <w:r w:rsidR="00D9258C" w:rsidRPr="00FD6A6A">
        <w:t>Nazi</w:t>
      </w:r>
      <w:r w:rsidR="00541D05">
        <w:t xml:space="preserve"> </w:t>
      </w:r>
      <w:r w:rsidR="00D9258C" w:rsidRPr="00FD6A6A">
        <w:t>and</w:t>
      </w:r>
      <w:r w:rsidR="00541D05">
        <w:t xml:space="preserve"> </w:t>
      </w:r>
      <w:r w:rsidR="00D9258C" w:rsidRPr="00FD6A6A">
        <w:t>anti-Semitic</w:t>
      </w:r>
      <w:r w:rsidR="00541D05">
        <w:t xml:space="preserve"> </w:t>
      </w:r>
      <w:r w:rsidR="00D9258C" w:rsidRPr="00FD6A6A">
        <w:t>ideas.</w:t>
      </w:r>
      <w:r w:rsidR="00541D05">
        <w:t xml:space="preserve"> </w:t>
      </w:r>
      <w:r w:rsidR="00D9258C" w:rsidRPr="00FD6A6A">
        <w:t>He</w:t>
      </w:r>
      <w:r w:rsidR="00541D05">
        <w:t xml:space="preserve"> </w:t>
      </w:r>
      <w:r w:rsidR="00D9258C" w:rsidRPr="00FD6A6A">
        <w:t>was</w:t>
      </w:r>
      <w:r w:rsidR="00541D05">
        <w:t xml:space="preserve"> </w:t>
      </w:r>
      <w:r w:rsidR="00D9258C" w:rsidRPr="00FD6A6A">
        <w:t>acquitted</w:t>
      </w:r>
      <w:r w:rsidR="00541D05">
        <w:t xml:space="preserve"> </w:t>
      </w:r>
      <w:r w:rsidR="00D9258C" w:rsidRPr="00FD6A6A">
        <w:t>in</w:t>
      </w:r>
      <w:r w:rsidR="00541D05">
        <w:t xml:space="preserve"> </w:t>
      </w:r>
      <w:r w:rsidR="00D9258C" w:rsidRPr="00FD6A6A">
        <w:t>the</w:t>
      </w:r>
      <w:r w:rsidR="00541D05">
        <w:t xml:space="preserve"> </w:t>
      </w:r>
      <w:r w:rsidR="00D9258C" w:rsidRPr="00FD6A6A">
        <w:t>first</w:t>
      </w:r>
      <w:r w:rsidR="00541D05">
        <w:t xml:space="preserve"> </w:t>
      </w:r>
      <w:r w:rsidR="00D9258C" w:rsidRPr="00FD6A6A">
        <w:t>trial.</w:t>
      </w:r>
      <w:r w:rsidR="00541D05">
        <w:t xml:space="preserve"> </w:t>
      </w:r>
      <w:r w:rsidR="00D9258C" w:rsidRPr="00FD6A6A">
        <w:t>In</w:t>
      </w:r>
      <w:r w:rsidR="00541D05">
        <w:t xml:space="preserve"> </w:t>
      </w:r>
      <w:r w:rsidR="00D9258C" w:rsidRPr="00FD6A6A">
        <w:t>1998,</w:t>
      </w:r>
      <w:r w:rsidR="00541D05">
        <w:t xml:space="preserve"> </w:t>
      </w:r>
      <w:r w:rsidR="00D9258C" w:rsidRPr="00FD6A6A">
        <w:t>Ellwanger</w:t>
      </w:r>
      <w:r w:rsidR="00541D05">
        <w:t xml:space="preserve"> </w:t>
      </w:r>
      <w:r w:rsidR="00D9258C" w:rsidRPr="00FD6A6A">
        <w:t>was</w:t>
      </w:r>
      <w:r w:rsidR="00541D05">
        <w:t xml:space="preserve"> </w:t>
      </w:r>
      <w:r w:rsidR="00D9258C" w:rsidRPr="00FD6A6A">
        <w:t>indicted</w:t>
      </w:r>
      <w:r w:rsidR="00541D05">
        <w:t xml:space="preserve"> </w:t>
      </w:r>
      <w:r w:rsidR="00D9258C" w:rsidRPr="00FD6A6A">
        <w:t>again</w:t>
      </w:r>
      <w:r w:rsidR="00541D05">
        <w:t xml:space="preserve"> </w:t>
      </w:r>
      <w:r w:rsidR="00D9258C" w:rsidRPr="00FD6A6A">
        <w:t>for</w:t>
      </w:r>
      <w:r w:rsidR="00541D05">
        <w:t xml:space="preserve"> </w:t>
      </w:r>
      <w:r w:rsidR="00D9258C" w:rsidRPr="00FD6A6A">
        <w:t>the</w:t>
      </w:r>
      <w:r w:rsidR="00541D05">
        <w:t xml:space="preserve"> </w:t>
      </w:r>
      <w:r w:rsidR="00D9258C" w:rsidRPr="00FD6A6A">
        <w:t>same</w:t>
      </w:r>
      <w:r w:rsidR="00541D05">
        <w:t xml:space="preserve"> </w:t>
      </w:r>
      <w:r w:rsidR="00D9258C" w:rsidRPr="00FD6A6A">
        <w:t>conduct.</w:t>
      </w:r>
      <w:r w:rsidR="00541D05">
        <w:t xml:space="preserve"> </w:t>
      </w:r>
      <w:r w:rsidR="00D9258C" w:rsidRPr="00FD6A6A">
        <w:t>In</w:t>
      </w:r>
      <w:r w:rsidR="00541D05">
        <w:t xml:space="preserve"> </w:t>
      </w:r>
      <w:r w:rsidR="00D9258C" w:rsidRPr="00FD6A6A">
        <w:t>that</w:t>
      </w:r>
      <w:r w:rsidR="00541D05">
        <w:t xml:space="preserve"> </w:t>
      </w:r>
      <w:r w:rsidR="00D9258C" w:rsidRPr="00FD6A6A">
        <w:t>second</w:t>
      </w:r>
      <w:r w:rsidR="00541D05">
        <w:t xml:space="preserve"> </w:t>
      </w:r>
      <w:r w:rsidR="00D9258C" w:rsidRPr="00FD6A6A">
        <w:t>trial,</w:t>
      </w:r>
      <w:r w:rsidR="00541D05">
        <w:t xml:space="preserve"> </w:t>
      </w:r>
      <w:r w:rsidR="00D9258C" w:rsidRPr="00FD6A6A">
        <w:t>he</w:t>
      </w:r>
      <w:r w:rsidR="00541D05">
        <w:t xml:space="preserve"> </w:t>
      </w:r>
      <w:r w:rsidR="00D9258C" w:rsidRPr="00FD6A6A">
        <w:t>was</w:t>
      </w:r>
      <w:r w:rsidR="00541D05">
        <w:t xml:space="preserve"> </w:t>
      </w:r>
      <w:r w:rsidR="00D9258C" w:rsidRPr="00FD6A6A">
        <w:t>sentenced</w:t>
      </w:r>
      <w:r w:rsidR="00541D05">
        <w:t xml:space="preserve"> </w:t>
      </w:r>
      <w:r w:rsidR="00D9258C" w:rsidRPr="00FD6A6A">
        <w:t>to</w:t>
      </w:r>
      <w:r w:rsidR="00541D05">
        <w:t xml:space="preserve"> </w:t>
      </w:r>
      <w:r w:rsidR="00D9258C" w:rsidRPr="00FD6A6A">
        <w:t>imprisonment</w:t>
      </w:r>
      <w:r w:rsidR="00541D05">
        <w:t xml:space="preserve"> </w:t>
      </w:r>
      <w:r w:rsidR="00D9258C" w:rsidRPr="00FD6A6A">
        <w:t>for</w:t>
      </w:r>
      <w:r w:rsidR="00541D05">
        <w:t xml:space="preserve"> </w:t>
      </w:r>
      <w:r w:rsidR="00D9258C" w:rsidRPr="00FD6A6A">
        <w:t>two</w:t>
      </w:r>
      <w:r w:rsidR="00541D05">
        <w:t xml:space="preserve"> </w:t>
      </w:r>
      <w:r w:rsidR="00D9258C" w:rsidRPr="00FD6A6A">
        <w:t>years</w:t>
      </w:r>
      <w:r w:rsidR="00541D05">
        <w:t xml:space="preserve"> </w:t>
      </w:r>
      <w:r w:rsidR="00D9258C" w:rsidRPr="00FD6A6A">
        <w:t>for</w:t>
      </w:r>
      <w:r w:rsidR="00541D05">
        <w:t xml:space="preserve"> </w:t>
      </w:r>
      <w:r w:rsidR="00D9258C" w:rsidRPr="00FD6A6A">
        <w:t>the</w:t>
      </w:r>
      <w:r w:rsidR="00541D05">
        <w:t xml:space="preserve"> </w:t>
      </w:r>
      <w:r w:rsidR="00D9258C" w:rsidRPr="00FD6A6A">
        <w:t>crime</w:t>
      </w:r>
      <w:r w:rsidR="00541D05">
        <w:t xml:space="preserve"> </w:t>
      </w:r>
      <w:r w:rsidR="00D9258C" w:rsidRPr="00FD6A6A">
        <w:t>of</w:t>
      </w:r>
      <w:r w:rsidR="00541D05">
        <w:t xml:space="preserve"> </w:t>
      </w:r>
      <w:r w:rsidR="00D9258C" w:rsidRPr="00FD6A6A">
        <w:t>racism.</w:t>
      </w:r>
    </w:p>
    <w:p w14:paraId="329ECB3B" w14:textId="5677F091" w:rsidR="00D9258C" w:rsidRPr="00FD6A6A" w:rsidRDefault="00166390" w:rsidP="00166390">
      <w:pPr>
        <w:pStyle w:val="ParaNoG"/>
        <w:numPr>
          <w:ilvl w:val="0"/>
          <w:numId w:val="0"/>
        </w:numPr>
        <w:tabs>
          <w:tab w:val="left" w:pos="0"/>
        </w:tabs>
        <w:ind w:left="1134"/>
      </w:pPr>
      <w:r w:rsidRPr="00FD6A6A">
        <w:t>60.</w:t>
      </w:r>
      <w:r w:rsidRPr="00FD6A6A">
        <w:tab/>
      </w:r>
      <w:r w:rsidR="00D9258C" w:rsidRPr="00FD6A6A">
        <w:t>The</w:t>
      </w:r>
      <w:r w:rsidR="00541D05">
        <w:t xml:space="preserve"> </w:t>
      </w:r>
      <w:r w:rsidR="00D9258C" w:rsidRPr="00FD6A6A">
        <w:t>Ellwanger</w:t>
      </w:r>
      <w:r w:rsidR="00541D05">
        <w:t xml:space="preserve"> </w:t>
      </w:r>
      <w:r w:rsidR="00D9258C" w:rsidRPr="00FD6A6A">
        <w:t>case</w:t>
      </w:r>
      <w:r w:rsidR="00541D05">
        <w:t xml:space="preserve"> </w:t>
      </w:r>
      <w:r w:rsidR="00D9258C" w:rsidRPr="00FD6A6A">
        <w:t>became</w:t>
      </w:r>
      <w:r w:rsidR="00541D05">
        <w:t xml:space="preserve"> </w:t>
      </w:r>
      <w:r w:rsidR="00D9258C" w:rsidRPr="00FD6A6A">
        <w:t>a</w:t>
      </w:r>
      <w:r w:rsidR="00541D05">
        <w:t xml:space="preserve"> </w:t>
      </w:r>
      <w:r w:rsidR="00D9258C" w:rsidRPr="00FD6A6A">
        <w:t>paradigm.</w:t>
      </w:r>
      <w:r w:rsidR="00541D05">
        <w:t xml:space="preserve"> </w:t>
      </w:r>
      <w:r w:rsidR="00D9258C" w:rsidRPr="00FD6A6A">
        <w:t>Jewish</w:t>
      </w:r>
      <w:r w:rsidR="00541D05">
        <w:t xml:space="preserve"> </w:t>
      </w:r>
      <w:r w:rsidR="00D9258C" w:rsidRPr="00FD6A6A">
        <w:t>and</w:t>
      </w:r>
      <w:r w:rsidR="00541D05">
        <w:t xml:space="preserve"> </w:t>
      </w:r>
      <w:r w:rsidR="00D9258C" w:rsidRPr="00FD6A6A">
        <w:t>non-Jewish</w:t>
      </w:r>
      <w:r w:rsidR="00541D05">
        <w:t xml:space="preserve"> </w:t>
      </w:r>
      <w:r w:rsidR="00D9258C" w:rsidRPr="00FD6A6A">
        <w:t>leaders</w:t>
      </w:r>
      <w:r w:rsidR="00541D05">
        <w:t xml:space="preserve"> </w:t>
      </w:r>
      <w:r w:rsidR="00D9258C" w:rsidRPr="00FD6A6A">
        <w:t>supported</w:t>
      </w:r>
      <w:r w:rsidR="00541D05">
        <w:t xml:space="preserve"> </w:t>
      </w:r>
      <w:r w:rsidR="00D9258C" w:rsidRPr="00FD6A6A">
        <w:t>the</w:t>
      </w:r>
      <w:r w:rsidR="00541D05">
        <w:t xml:space="preserve"> </w:t>
      </w:r>
      <w:r w:rsidR="00D9258C" w:rsidRPr="00FD6A6A">
        <w:t>court</w:t>
      </w:r>
      <w:r w:rsidR="00541D05">
        <w:t xml:space="preserve"> </w:t>
      </w:r>
      <w:r w:rsidR="00D9258C" w:rsidRPr="00FD6A6A">
        <w:t>decision.</w:t>
      </w:r>
      <w:r w:rsidR="00541D05">
        <w:t xml:space="preserve"> </w:t>
      </w:r>
      <w:r w:rsidR="00D9258C" w:rsidRPr="00FD6A6A">
        <w:t>However,</w:t>
      </w:r>
      <w:r w:rsidR="00541D05">
        <w:t xml:space="preserve"> </w:t>
      </w:r>
      <w:r w:rsidR="00D9258C" w:rsidRPr="00FD6A6A">
        <w:t>this</w:t>
      </w:r>
      <w:r w:rsidR="00541D05">
        <w:t xml:space="preserve"> </w:t>
      </w:r>
      <w:r w:rsidR="00D9258C" w:rsidRPr="00FD6A6A">
        <w:t>was</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few</w:t>
      </w:r>
      <w:r w:rsidR="00541D05">
        <w:t xml:space="preserve"> </w:t>
      </w:r>
      <w:r w:rsidR="00D9258C" w:rsidRPr="00FD6A6A">
        <w:t>times</w:t>
      </w:r>
      <w:r w:rsidR="00541D05">
        <w:t xml:space="preserve"> </w:t>
      </w:r>
      <w:r w:rsidR="00D9258C" w:rsidRPr="00FD6A6A">
        <w:t>that</w:t>
      </w:r>
      <w:r w:rsidR="00541D05">
        <w:t xml:space="preserve"> </w:t>
      </w:r>
      <w:r w:rsidR="00D9258C" w:rsidRPr="00FD6A6A">
        <w:t>Laws</w:t>
      </w:r>
      <w:r w:rsidR="00541D05">
        <w:t xml:space="preserve"> </w:t>
      </w:r>
      <w:r w:rsidR="00D9258C" w:rsidRPr="00FD6A6A">
        <w:t>No.</w:t>
      </w:r>
      <w:r w:rsidR="00541D05">
        <w:t xml:space="preserve"> </w:t>
      </w:r>
      <w:r w:rsidR="00D9258C" w:rsidRPr="00FD6A6A">
        <w:t>7,716</w:t>
      </w:r>
      <w:r w:rsidR="00541D05">
        <w:t xml:space="preserve"> </w:t>
      </w:r>
      <w:r w:rsidR="00D9258C" w:rsidRPr="00FD6A6A">
        <w:t>and</w:t>
      </w:r>
      <w:r w:rsidR="00541D05">
        <w:t xml:space="preserve"> </w:t>
      </w:r>
      <w:r w:rsidR="00D9258C" w:rsidRPr="00FD6A6A">
        <w:t>9,459</w:t>
      </w:r>
      <w:r w:rsidR="00541D05">
        <w:t xml:space="preserve"> </w:t>
      </w:r>
      <w:r w:rsidR="00D9258C" w:rsidRPr="00FD6A6A">
        <w:t>were</w:t>
      </w:r>
      <w:r w:rsidR="00541D05">
        <w:t xml:space="preserve"> </w:t>
      </w:r>
      <w:r w:rsidR="00D9258C" w:rsidRPr="00FD6A6A">
        <w:t>enforced</w:t>
      </w:r>
      <w:r w:rsidR="00541D05">
        <w:t xml:space="preserve"> </w:t>
      </w:r>
      <w:r w:rsidR="00D9258C" w:rsidRPr="00FD6A6A">
        <w:t>in</w:t>
      </w:r>
      <w:r w:rsidR="00541D05">
        <w:t xml:space="preserve"> </w:t>
      </w:r>
      <w:r w:rsidR="00D9258C" w:rsidRPr="00FD6A6A">
        <w:t>a</w:t>
      </w:r>
      <w:r w:rsidR="00541D05">
        <w:t xml:space="preserve"> </w:t>
      </w:r>
      <w:r w:rsidR="00D9258C" w:rsidRPr="00FD6A6A">
        <w:t>racism</w:t>
      </w:r>
      <w:r w:rsidR="00541D05">
        <w:t xml:space="preserve"> </w:t>
      </w:r>
      <w:r w:rsidR="00D9258C" w:rsidRPr="00FD6A6A">
        <w:t>case</w:t>
      </w:r>
      <w:r w:rsidR="00541D05">
        <w:t xml:space="preserve"> </w:t>
      </w:r>
      <w:r w:rsidR="00D9258C" w:rsidRPr="00FD6A6A">
        <w:t>in</w:t>
      </w:r>
      <w:r w:rsidR="00541D05">
        <w:t xml:space="preserve"> </w:t>
      </w:r>
      <w:r w:rsidR="00D9258C" w:rsidRPr="00FD6A6A">
        <w:t>Brazil,</w:t>
      </w:r>
      <w:r w:rsidR="00541D05">
        <w:t xml:space="preserve"> </w:t>
      </w:r>
      <w:r w:rsidR="00D9258C" w:rsidRPr="00FD6A6A">
        <w:t>attributing</w:t>
      </w:r>
      <w:r w:rsidR="00541D05">
        <w:t xml:space="preserve"> </w:t>
      </w:r>
      <w:r w:rsidR="00D9258C" w:rsidRPr="00FD6A6A">
        <w:t>to</w:t>
      </w:r>
      <w:r w:rsidR="00541D05">
        <w:t xml:space="preserve"> </w:t>
      </w:r>
      <w:r w:rsidR="00D9258C" w:rsidRPr="00FD6A6A">
        <w:t>the</w:t>
      </w:r>
      <w:r w:rsidR="00541D05">
        <w:t xml:space="preserve"> </w:t>
      </w:r>
      <w:r w:rsidR="00D9258C" w:rsidRPr="00FD6A6A">
        <w:t>author</w:t>
      </w:r>
      <w:r w:rsidR="00541D05">
        <w:t xml:space="preserve"> </w:t>
      </w:r>
      <w:r w:rsidR="00D9258C" w:rsidRPr="00FD6A6A">
        <w:t>full</w:t>
      </w:r>
      <w:r w:rsidR="00541D05">
        <w:t xml:space="preserve"> </w:t>
      </w:r>
      <w:r w:rsidR="00D9258C" w:rsidRPr="00FD6A6A">
        <w:t>criminal</w:t>
      </w:r>
      <w:r w:rsidR="00541D05">
        <w:t xml:space="preserve"> </w:t>
      </w:r>
      <w:r w:rsidR="00D9258C" w:rsidRPr="00FD6A6A">
        <w:t>liability.</w:t>
      </w:r>
      <w:r w:rsidR="00541D05">
        <w:t xml:space="preserve"> </w:t>
      </w:r>
      <w:r w:rsidR="00D9258C" w:rsidRPr="00FD6A6A">
        <w:t>Cases</w:t>
      </w:r>
      <w:r w:rsidR="00541D05">
        <w:t xml:space="preserve"> </w:t>
      </w:r>
      <w:r w:rsidR="00D9258C" w:rsidRPr="00FD6A6A">
        <w:t>of</w:t>
      </w:r>
      <w:r w:rsidR="00541D05">
        <w:t xml:space="preserve"> </w:t>
      </w:r>
      <w:r w:rsidR="00D9258C" w:rsidRPr="00FD6A6A">
        <w:t>racism</w:t>
      </w:r>
      <w:r w:rsidR="00541D05">
        <w:t xml:space="preserve"> </w:t>
      </w:r>
      <w:r w:rsidR="00D9258C" w:rsidRPr="00FD6A6A">
        <w:t>against</w:t>
      </w:r>
      <w:r w:rsidR="00541D05">
        <w:t xml:space="preserve"> </w:t>
      </w:r>
      <w:r w:rsidR="00D9258C" w:rsidRPr="00FD6A6A">
        <w:t>Afro-Brazilians,</w:t>
      </w:r>
      <w:r w:rsidR="00541D05">
        <w:t xml:space="preserve"> </w:t>
      </w:r>
      <w:r w:rsidR="00D9258C" w:rsidRPr="00FD6A6A">
        <w:t>whether</w:t>
      </w:r>
      <w:r w:rsidR="00541D05">
        <w:t xml:space="preserve"> </w:t>
      </w:r>
      <w:r w:rsidR="00D9258C" w:rsidRPr="00FD6A6A">
        <w:t>slander</w:t>
      </w:r>
      <w:r w:rsidR="00541D05">
        <w:t xml:space="preserve"> </w:t>
      </w:r>
      <w:r w:rsidR="00D9258C" w:rsidRPr="00FD6A6A">
        <w:t>or</w:t>
      </w:r>
      <w:r w:rsidR="00541D05">
        <w:t xml:space="preserve"> </w:t>
      </w:r>
      <w:r w:rsidR="00D9258C" w:rsidRPr="00FD6A6A">
        <w:t>discrimination,</w:t>
      </w:r>
      <w:r w:rsidR="00541D05">
        <w:t xml:space="preserve"> </w:t>
      </w:r>
      <w:r w:rsidR="00D9258C" w:rsidRPr="00FD6A6A">
        <w:t>did</w:t>
      </w:r>
      <w:r w:rsidR="00541D05">
        <w:t xml:space="preserve"> </w:t>
      </w:r>
      <w:r w:rsidR="00D9258C" w:rsidRPr="00FD6A6A">
        <w:t>not</w:t>
      </w:r>
      <w:r w:rsidR="00541D05">
        <w:t xml:space="preserve"> </w:t>
      </w:r>
      <w:r w:rsidR="00D9258C" w:rsidRPr="00FD6A6A">
        <w:t>have</w:t>
      </w:r>
      <w:r w:rsidR="00541D05">
        <w:t xml:space="preserve"> </w:t>
      </w:r>
      <w:r w:rsidR="00D9258C" w:rsidRPr="00FD6A6A">
        <w:t>the</w:t>
      </w:r>
      <w:r w:rsidR="00541D05">
        <w:t xml:space="preserve"> </w:t>
      </w:r>
      <w:r w:rsidR="00D9258C" w:rsidRPr="00FD6A6A">
        <w:t>same</w:t>
      </w:r>
      <w:r w:rsidR="00541D05">
        <w:t xml:space="preserve"> </w:t>
      </w:r>
      <w:r w:rsidR="00D9258C" w:rsidRPr="00FD6A6A">
        <w:t>fate.</w:t>
      </w:r>
    </w:p>
    <w:p w14:paraId="10E765C9" w14:textId="68C130BF" w:rsidR="00D9258C" w:rsidRPr="00FD6A6A" w:rsidRDefault="00166390" w:rsidP="00166390">
      <w:pPr>
        <w:pStyle w:val="ParaNoG"/>
        <w:numPr>
          <w:ilvl w:val="0"/>
          <w:numId w:val="0"/>
        </w:numPr>
        <w:tabs>
          <w:tab w:val="left" w:pos="0"/>
        </w:tabs>
        <w:ind w:left="1134"/>
      </w:pPr>
      <w:r w:rsidRPr="00FD6A6A">
        <w:t>61.</w:t>
      </w:r>
      <w:r w:rsidRPr="00FD6A6A">
        <w:tab/>
      </w:r>
      <w:r w:rsidR="00D9258C" w:rsidRPr="00FD6A6A">
        <w:t>In</w:t>
      </w:r>
      <w:r w:rsidR="00541D05">
        <w:t xml:space="preserve"> </w:t>
      </w:r>
      <w:r w:rsidR="00D9258C" w:rsidRPr="00FD6A6A">
        <w:t>2006,</w:t>
      </w:r>
      <w:r w:rsidR="00541D05">
        <w:t xml:space="preserve"> </w:t>
      </w:r>
      <w:r w:rsidR="00D9258C" w:rsidRPr="00FD6A6A">
        <w:t>the</w:t>
      </w:r>
      <w:r w:rsidR="00541D05">
        <w:t xml:space="preserve"> </w:t>
      </w:r>
      <w:r w:rsidR="00D9258C" w:rsidRPr="00FD6A6A">
        <w:t>partnership</w:t>
      </w:r>
      <w:r w:rsidR="00541D05">
        <w:t xml:space="preserve"> </w:t>
      </w:r>
      <w:r w:rsidR="00D9258C" w:rsidRPr="00FD6A6A">
        <w:t>between</w:t>
      </w:r>
      <w:r w:rsidR="00541D05">
        <w:t xml:space="preserve"> </w:t>
      </w:r>
      <w:r w:rsidR="00D9258C" w:rsidRPr="00FD6A6A">
        <w:t>the</w:t>
      </w:r>
      <w:r w:rsidR="00541D05">
        <w:t xml:space="preserve"> </w:t>
      </w:r>
      <w:r w:rsidR="00D9258C" w:rsidRPr="00FD6A6A">
        <w:t>NGO</w:t>
      </w:r>
      <w:r w:rsidR="00541D05">
        <w:t xml:space="preserve"> </w:t>
      </w:r>
      <w:r w:rsidR="00D9258C" w:rsidRPr="00FD6A6A">
        <w:t>SaferNet</w:t>
      </w:r>
      <w:r w:rsidR="00541D05">
        <w:t xml:space="preserve"> </w:t>
      </w:r>
      <w:r w:rsidR="00D9258C" w:rsidRPr="00FD6A6A">
        <w:t>Brasil,</w:t>
      </w:r>
      <w:r w:rsidR="00541D05">
        <w:t xml:space="preserve"> </w:t>
      </w:r>
      <w:r w:rsidR="00D9258C" w:rsidRPr="00FD6A6A">
        <w:t>the</w:t>
      </w:r>
      <w:r w:rsidR="00541D05">
        <w:t xml:space="preserve"> </w:t>
      </w:r>
      <w:r w:rsidR="00D9258C" w:rsidRPr="00FD6A6A">
        <w:t>NGO</w:t>
      </w:r>
      <w:r w:rsidR="00541D05">
        <w:t xml:space="preserve"> </w:t>
      </w:r>
      <w:r w:rsidR="00D9258C" w:rsidRPr="00FD6A6A">
        <w:t>International</w:t>
      </w:r>
      <w:r w:rsidR="00541D05">
        <w:t xml:space="preserve"> </w:t>
      </w:r>
      <w:r w:rsidR="00D9258C" w:rsidRPr="00FD6A6A">
        <w:t>Association</w:t>
      </w:r>
      <w:r w:rsidR="00541D05">
        <w:t xml:space="preserve"> </w:t>
      </w:r>
      <w:r w:rsidR="00D9258C" w:rsidRPr="00FD6A6A">
        <w:t>of</w:t>
      </w:r>
      <w:r w:rsidR="00541D05">
        <w:t xml:space="preserve"> </w:t>
      </w:r>
      <w:r w:rsidR="00D9258C" w:rsidRPr="00FD6A6A">
        <w:t>Internet</w:t>
      </w:r>
      <w:r w:rsidR="00541D05">
        <w:t xml:space="preserve"> </w:t>
      </w:r>
      <w:r w:rsidR="00D9258C" w:rsidRPr="00FD6A6A">
        <w:t>Hotlines</w:t>
      </w:r>
      <w:r w:rsidR="00541D05">
        <w:t xml:space="preserve"> </w:t>
      </w:r>
      <w:r w:rsidR="00D9258C" w:rsidRPr="00FD6A6A">
        <w:t>(INHOPE),</w:t>
      </w:r>
      <w:r w:rsidR="00541D05">
        <w:t xml:space="preserve"> </w:t>
      </w:r>
      <w:r w:rsidR="00D9258C" w:rsidRPr="00FD6A6A">
        <w:t>the</w:t>
      </w:r>
      <w:r w:rsidR="00541D05">
        <w:t xml:space="preserve"> </w:t>
      </w:r>
      <w:r w:rsidR="00D9258C" w:rsidRPr="00FD6A6A">
        <w:t>Federal</w:t>
      </w:r>
      <w:r w:rsidR="00541D05">
        <w:t xml:space="preserve"> </w:t>
      </w:r>
      <w:r w:rsidR="00D9258C" w:rsidRPr="00FD6A6A">
        <w:t>Prosecution</w:t>
      </w:r>
      <w:r w:rsidR="00541D05">
        <w:t xml:space="preserve"> </w:t>
      </w:r>
      <w:r w:rsidR="00D9258C" w:rsidRPr="00FD6A6A">
        <w:t>Service,</w:t>
      </w:r>
      <w:r w:rsidR="00541D05">
        <w:t xml:space="preserve"> </w:t>
      </w:r>
      <w:r w:rsidR="00D9258C" w:rsidRPr="00FD6A6A">
        <w:t>the</w:t>
      </w:r>
      <w:r w:rsidR="00541D05">
        <w:t xml:space="preserve"> </w:t>
      </w:r>
      <w:r w:rsidR="00D9258C" w:rsidRPr="00FD6A6A">
        <w:t>Federal</w:t>
      </w:r>
      <w:r w:rsidR="00541D05">
        <w:t xml:space="preserve"> </w:t>
      </w:r>
      <w:r w:rsidR="00D9258C" w:rsidRPr="00FD6A6A">
        <w:t>Police,</w:t>
      </w:r>
      <w:r w:rsidR="00541D05">
        <w:t xml:space="preserve"> </w:t>
      </w:r>
      <w:r w:rsidR="00D9258C" w:rsidRPr="00FD6A6A">
        <w:t>the</w:t>
      </w:r>
      <w:r w:rsidR="00541D05">
        <w:t xml:space="preserve"> </w:t>
      </w:r>
      <w:r w:rsidR="00D9258C" w:rsidRPr="00FD6A6A">
        <w:t>Federal</w:t>
      </w:r>
      <w:r w:rsidR="00541D05">
        <w:t xml:space="preserve"> </w:t>
      </w:r>
      <w:r w:rsidR="00D9258C" w:rsidRPr="00FD6A6A">
        <w:t>Senate,</w:t>
      </w:r>
      <w:r w:rsidR="00541D05">
        <w:t xml:space="preserve"> </w:t>
      </w:r>
      <w:r w:rsidR="00D9258C" w:rsidRPr="00FD6A6A">
        <w:t>and</w:t>
      </w:r>
      <w:r w:rsidR="00541D05">
        <w:t xml:space="preserve"> </w:t>
      </w:r>
      <w:r w:rsidR="00D9258C" w:rsidRPr="00FD6A6A">
        <w:t>the</w:t>
      </w:r>
      <w:r w:rsidR="00541D05">
        <w:t xml:space="preserve"> </w:t>
      </w:r>
      <w:r w:rsidR="00D9258C" w:rsidRPr="00FD6A6A">
        <w:t>Office</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of</w:t>
      </w:r>
      <w:r w:rsidR="00541D05">
        <w:t xml:space="preserve"> </w:t>
      </w:r>
      <w:r w:rsidR="00D9258C" w:rsidRPr="00FD6A6A">
        <w:t>the</w:t>
      </w:r>
      <w:r w:rsidR="00541D05">
        <w:t xml:space="preserve"> </w:t>
      </w:r>
      <w:r w:rsidR="00D9258C" w:rsidRPr="00FD6A6A">
        <w:t>Presidency</w:t>
      </w:r>
      <w:r w:rsidR="00541D05">
        <w:t xml:space="preserve"> </w:t>
      </w:r>
      <w:r w:rsidR="00D9258C" w:rsidRPr="00FD6A6A">
        <w:t>of</w:t>
      </w:r>
      <w:r w:rsidR="00541D05">
        <w:t xml:space="preserve"> </w:t>
      </w:r>
      <w:r w:rsidR="00D9258C" w:rsidRPr="00FD6A6A">
        <w:t>the</w:t>
      </w:r>
      <w:r w:rsidR="00541D05">
        <w:t xml:space="preserve"> </w:t>
      </w:r>
      <w:r w:rsidR="00D9258C" w:rsidRPr="00FD6A6A">
        <w:t>Republic</w:t>
      </w:r>
      <w:r w:rsidR="00541D05">
        <w:t xml:space="preserve"> </w:t>
      </w:r>
      <w:r w:rsidR="00D9258C" w:rsidRPr="00FD6A6A">
        <w:t>–</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t>of</w:t>
      </w:r>
      <w:r w:rsidR="00541D05">
        <w:t xml:space="preserve"> </w:t>
      </w:r>
      <w:r w:rsidR="00D9258C" w:rsidRPr="00FD6A6A">
        <w:t>compliance</w:t>
      </w:r>
      <w:r w:rsidR="00541D05">
        <w:t xml:space="preserve"> </w:t>
      </w:r>
      <w:r w:rsidR="00D9258C" w:rsidRPr="00FD6A6A">
        <w:t>with</w:t>
      </w:r>
      <w:r w:rsidR="00541D05">
        <w:t xml:space="preserve"> </w:t>
      </w:r>
      <w:r w:rsidR="00D9258C" w:rsidRPr="00FD6A6A">
        <w:t>international</w:t>
      </w:r>
      <w:r w:rsidR="00541D05">
        <w:t xml:space="preserve"> </w:t>
      </w:r>
      <w:r w:rsidR="00D9258C" w:rsidRPr="00FD6A6A">
        <w:t>human</w:t>
      </w:r>
      <w:r w:rsidR="00541D05">
        <w:t xml:space="preserve"> </w:t>
      </w:r>
      <w:r w:rsidR="00D9258C" w:rsidRPr="00FD6A6A">
        <w:t>rights</w:t>
      </w:r>
      <w:r w:rsidR="00541D05">
        <w:t xml:space="preserve"> </w:t>
      </w:r>
      <w:r w:rsidR="00D9258C" w:rsidRPr="00FD6A6A">
        <w:t>conventions</w:t>
      </w:r>
      <w:r w:rsidR="00541D05">
        <w:t xml:space="preserve"> </w:t>
      </w:r>
      <w:r w:rsidR="00D9258C" w:rsidRPr="00FD6A6A">
        <w:t>ratified</w:t>
      </w:r>
      <w:r w:rsidR="00541D05">
        <w:t xml:space="preserve"> </w:t>
      </w:r>
      <w:r w:rsidR="00D9258C" w:rsidRPr="00FD6A6A">
        <w:t>by</w:t>
      </w:r>
      <w:r w:rsidR="00541D05">
        <w:t xml:space="preserve"> </w:t>
      </w:r>
      <w:r w:rsidR="00D9258C" w:rsidRPr="00FD6A6A">
        <w:t>Brazil</w:t>
      </w:r>
      <w:r w:rsidR="00541D05">
        <w:t xml:space="preserve"> </w:t>
      </w:r>
      <w:r w:rsidR="00D9258C" w:rsidRPr="00FD6A6A">
        <w:t>–</w:t>
      </w:r>
      <w:r w:rsidR="00541D05">
        <w:t xml:space="preserve"> </w:t>
      </w:r>
      <w:r w:rsidR="00D9258C" w:rsidRPr="00FD6A6A">
        <w:t>gave</w:t>
      </w:r>
      <w:r w:rsidR="00541D05">
        <w:t xml:space="preserve"> </w:t>
      </w:r>
      <w:r w:rsidR="00D9258C" w:rsidRPr="00FD6A6A">
        <w:t>rise</w:t>
      </w:r>
      <w:r w:rsidR="00541D05">
        <w:t xml:space="preserve"> </w:t>
      </w:r>
      <w:r w:rsidR="00D9258C" w:rsidRPr="00FD6A6A">
        <w:t>to</w:t>
      </w:r>
      <w:r w:rsidR="00541D05">
        <w:t xml:space="preserve"> </w:t>
      </w:r>
      <w:r w:rsidR="00D9258C" w:rsidRPr="00FD6A6A">
        <w:t>the</w:t>
      </w:r>
      <w:r w:rsidR="00541D05">
        <w:t xml:space="preserve"> </w:t>
      </w:r>
      <w:r w:rsidR="00D9258C" w:rsidRPr="00FD6A6A">
        <w:t>online</w:t>
      </w:r>
      <w:r w:rsidR="00541D05">
        <w:t xml:space="preserve"> </w:t>
      </w:r>
      <w:r w:rsidR="00D9258C" w:rsidRPr="00FD6A6A">
        <w:t>system</w:t>
      </w:r>
      <w:r w:rsidR="00541D05">
        <w:t xml:space="preserve"> </w:t>
      </w:r>
      <w:r w:rsidR="00D9258C" w:rsidRPr="00FD6A6A">
        <w:t>for</w:t>
      </w:r>
      <w:r w:rsidR="00541D05">
        <w:t xml:space="preserve"> </w:t>
      </w:r>
      <w:r w:rsidR="00D9258C" w:rsidRPr="00FD6A6A">
        <w:t>reporting</w:t>
      </w:r>
      <w:r w:rsidR="00541D05">
        <w:t xml:space="preserve"> </w:t>
      </w:r>
      <w:r w:rsidR="00D9258C" w:rsidRPr="00FD6A6A">
        <w:t>of</w:t>
      </w:r>
      <w:r w:rsidR="00541D05">
        <w:t xml:space="preserve"> </w:t>
      </w:r>
      <w:r w:rsidR="00D9258C" w:rsidRPr="00FD6A6A">
        <w:t>crimes</w:t>
      </w:r>
      <w:r w:rsidR="00541D05">
        <w:t xml:space="preserve"> </w:t>
      </w:r>
      <w:r w:rsidR="00D9258C" w:rsidRPr="00FD6A6A">
        <w:t>and</w:t>
      </w:r>
      <w:r w:rsidR="00541D05">
        <w:t xml:space="preserve"> </w:t>
      </w:r>
      <w:r w:rsidR="00D9258C" w:rsidRPr="00FD6A6A">
        <w:t>violations</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committed</w:t>
      </w:r>
      <w:r w:rsidR="00541D05">
        <w:t xml:space="preserve"> </w:t>
      </w:r>
      <w:r w:rsidR="00D9258C" w:rsidRPr="00FD6A6A">
        <w:t>in</w:t>
      </w:r>
      <w:r w:rsidR="00541D05">
        <w:t xml:space="preserve"> </w:t>
      </w:r>
      <w:r w:rsidR="00D9258C" w:rsidRPr="00FD6A6A">
        <w:t>the</w:t>
      </w:r>
      <w:r w:rsidR="00541D05">
        <w:t xml:space="preserve"> </w:t>
      </w:r>
      <w:r w:rsidR="00D9258C" w:rsidRPr="00FD6A6A">
        <w:t>cyberspace.</w:t>
      </w:r>
      <w:r w:rsidR="00541D05">
        <w:t xml:space="preserve"> </w:t>
      </w:r>
      <w:r w:rsidR="00D9258C" w:rsidRPr="00FD6A6A">
        <w:t>Cyber</w:t>
      </w:r>
      <w:r w:rsidR="00541D05">
        <w:t xml:space="preserve"> </w:t>
      </w:r>
      <w:r w:rsidR="00D9258C" w:rsidRPr="00FD6A6A">
        <w:t>cases</w:t>
      </w:r>
      <w:r w:rsidR="00541D05">
        <w:t xml:space="preserve"> </w:t>
      </w:r>
      <w:r w:rsidR="00D9258C" w:rsidRPr="00FD6A6A">
        <w:t>of</w:t>
      </w:r>
      <w:r w:rsidR="00541D05">
        <w:t xml:space="preserve"> </w:t>
      </w:r>
      <w:r w:rsidR="00D9258C" w:rsidRPr="00FD6A6A">
        <w:t>racism,</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xenophobia,</w:t>
      </w:r>
      <w:r w:rsidR="00541D05">
        <w:t xml:space="preserve"> </w:t>
      </w:r>
      <w:r w:rsidR="00D9258C" w:rsidRPr="00FD6A6A">
        <w:t>anti-Semitism,</w:t>
      </w:r>
      <w:r w:rsidR="00541D05">
        <w:t xml:space="preserve"> </w:t>
      </w:r>
      <w:r w:rsidR="00D9258C" w:rsidRPr="00FD6A6A">
        <w:t>among</w:t>
      </w:r>
      <w:r w:rsidR="00541D05">
        <w:t xml:space="preserve"> </w:t>
      </w:r>
      <w:r w:rsidR="00D9258C" w:rsidRPr="00FD6A6A">
        <w:t>others,</w:t>
      </w:r>
      <w:r w:rsidR="00541D05">
        <w:t xml:space="preserve"> </w:t>
      </w:r>
      <w:r w:rsidR="00D9258C" w:rsidRPr="00FD6A6A">
        <w:t>started</w:t>
      </w:r>
      <w:r w:rsidR="00541D05">
        <w:t xml:space="preserve"> </w:t>
      </w:r>
      <w:r w:rsidR="00D9258C" w:rsidRPr="00FD6A6A">
        <w:t>to</w:t>
      </w:r>
      <w:r w:rsidR="00541D05">
        <w:t xml:space="preserve"> </w:t>
      </w:r>
      <w:r w:rsidR="00D9258C" w:rsidRPr="00FD6A6A">
        <w:t>be</w:t>
      </w:r>
      <w:r w:rsidR="00541D05">
        <w:t xml:space="preserve"> </w:t>
      </w:r>
      <w:r w:rsidR="00D9258C" w:rsidRPr="00FD6A6A">
        <w:t>monitored,</w:t>
      </w:r>
      <w:r w:rsidR="00541D05">
        <w:t xml:space="preserve"> </w:t>
      </w:r>
      <w:r w:rsidR="00D9258C" w:rsidRPr="00FD6A6A">
        <w:t>investigated,</w:t>
      </w:r>
      <w:r w:rsidR="00541D05">
        <w:t xml:space="preserve"> </w:t>
      </w:r>
      <w:r w:rsidR="00D9258C" w:rsidRPr="00FD6A6A">
        <w:t>and</w:t>
      </w:r>
      <w:r w:rsidR="00541D05">
        <w:t xml:space="preserve"> </w:t>
      </w:r>
      <w:r w:rsidR="00D9258C" w:rsidRPr="00FD6A6A">
        <w:t>punished</w:t>
      </w:r>
      <w:r w:rsidR="00541D05">
        <w:t xml:space="preserve"> </w:t>
      </w:r>
      <w:r w:rsidR="00D9258C" w:rsidRPr="00FD6A6A">
        <w:t>through</w:t>
      </w:r>
      <w:r w:rsidR="00541D05">
        <w:t xml:space="preserve"> </w:t>
      </w:r>
      <w:r w:rsidR="00D9258C" w:rsidRPr="00FD6A6A">
        <w:t>the</w:t>
      </w:r>
      <w:r w:rsidR="00541D05">
        <w:t xml:space="preserve"> </w:t>
      </w:r>
      <w:r w:rsidR="00D9258C" w:rsidRPr="00FD6A6A">
        <w:t>joint</w:t>
      </w:r>
      <w:r w:rsidR="00541D05">
        <w:t xml:space="preserve"> </w:t>
      </w:r>
      <w:r w:rsidR="00D9258C" w:rsidRPr="00FD6A6A">
        <w:t>efforts</w:t>
      </w:r>
      <w:r w:rsidR="00541D05">
        <w:t xml:space="preserve"> </w:t>
      </w:r>
      <w:r w:rsidR="00D9258C" w:rsidRPr="00FD6A6A">
        <w:t>of</w:t>
      </w:r>
      <w:r w:rsidR="00541D05">
        <w:t xml:space="preserve"> </w:t>
      </w:r>
      <w:r w:rsidR="00D9258C" w:rsidRPr="00FD6A6A">
        <w:t>governments.</w:t>
      </w:r>
    </w:p>
    <w:p w14:paraId="18389136" w14:textId="72455455" w:rsidR="00D9258C" w:rsidRPr="00FD6A6A" w:rsidRDefault="00166390" w:rsidP="00166390">
      <w:pPr>
        <w:pStyle w:val="ParaNoG"/>
        <w:numPr>
          <w:ilvl w:val="0"/>
          <w:numId w:val="0"/>
        </w:numPr>
        <w:tabs>
          <w:tab w:val="left" w:pos="0"/>
        </w:tabs>
        <w:ind w:left="1134"/>
      </w:pPr>
      <w:r w:rsidRPr="00FD6A6A">
        <w:t>62.</w:t>
      </w:r>
      <w:r w:rsidRPr="00FD6A6A">
        <w:tab/>
      </w:r>
      <w:r w:rsidR="00D9258C" w:rsidRPr="00FD6A6A">
        <w:t>Brazilian</w:t>
      </w:r>
      <w:r w:rsidR="00541D05">
        <w:t xml:space="preserve"> </w:t>
      </w:r>
      <w:r w:rsidR="00D9258C" w:rsidRPr="00FD6A6A">
        <w:t>society</w:t>
      </w:r>
      <w:r w:rsidR="00541D05">
        <w:t xml:space="preserve"> </w:t>
      </w:r>
      <w:r w:rsidR="00D9258C" w:rsidRPr="00FD6A6A">
        <w:t>has</w:t>
      </w:r>
      <w:r w:rsidR="00541D05">
        <w:t xml:space="preserve"> </w:t>
      </w:r>
      <w:r w:rsidR="00D9258C" w:rsidRPr="00FD6A6A">
        <w:t>used</w:t>
      </w:r>
      <w:r w:rsidR="00541D05">
        <w:t xml:space="preserve"> </w:t>
      </w:r>
      <w:r w:rsidR="00D9258C" w:rsidRPr="00FD6A6A">
        <w:t>this</w:t>
      </w:r>
      <w:r w:rsidR="00541D05">
        <w:t xml:space="preserve"> </w:t>
      </w:r>
      <w:r w:rsidR="00D9258C" w:rsidRPr="00FD6A6A">
        <w:t>tool</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the</w:t>
      </w:r>
      <w:r w:rsidR="00541D05">
        <w:t xml:space="preserve"> </w:t>
      </w:r>
      <w:r w:rsidR="00D9258C" w:rsidRPr="00FD6A6A">
        <w:t>hotline</w:t>
      </w:r>
      <w:r w:rsidR="00541D05">
        <w:t xml:space="preserve"> </w:t>
      </w:r>
      <w:r w:rsidR="00D9258C" w:rsidRPr="00FD6A6A">
        <w:t>channels</w:t>
      </w:r>
      <w:r w:rsidR="00541D05">
        <w:t xml:space="preserve"> </w:t>
      </w:r>
      <w:r w:rsidR="00D9258C" w:rsidRPr="00FD6A6A">
        <w:t>(Disque</w:t>
      </w:r>
      <w:r w:rsidR="00541D05">
        <w:t xml:space="preserve"> </w:t>
      </w:r>
      <w:r w:rsidR="00D9258C" w:rsidRPr="00FD6A6A">
        <w:t>100,</w:t>
      </w:r>
      <w:r w:rsidR="00541D05">
        <w:t xml:space="preserve"> </w:t>
      </w:r>
      <w:r w:rsidR="00D9258C" w:rsidRPr="00FD6A6A">
        <w:t>police</w:t>
      </w:r>
      <w:r w:rsidR="00541D05">
        <w:t xml:space="preserve"> </w:t>
      </w:r>
      <w:r w:rsidR="00D9258C" w:rsidRPr="00FD6A6A">
        <w:t>reports,</w:t>
      </w:r>
      <w:r w:rsidR="00541D05">
        <w:t xml:space="preserve"> </w:t>
      </w:r>
      <w:r w:rsidR="00D9258C" w:rsidRPr="00FD6A6A">
        <w:t>criminal</w:t>
      </w:r>
      <w:r w:rsidR="00541D05">
        <w:t xml:space="preserve"> </w:t>
      </w:r>
      <w:r w:rsidR="00D9258C" w:rsidRPr="00FD6A6A">
        <w:t>complaints</w:t>
      </w:r>
      <w:r w:rsidR="00EE5A2A">
        <w:t>,</w:t>
      </w:r>
      <w:r w:rsidR="00541D05">
        <w:t xml:space="preserve"> </w:t>
      </w:r>
      <w:r w:rsidR="00D9258C" w:rsidRPr="00FD6A6A">
        <w:t>etc</w:t>
      </w:r>
      <w:r w:rsidR="00EE5A2A">
        <w:t>.</w:t>
      </w:r>
      <w:r w:rsidR="00D9258C" w:rsidRPr="00FD6A6A">
        <w:t>)</w:t>
      </w:r>
      <w:r w:rsidR="00541D05">
        <w:t xml:space="preserve"> </w:t>
      </w:r>
      <w:r w:rsidR="00D9258C" w:rsidRPr="00FD6A6A">
        <w:t>as</w:t>
      </w:r>
      <w:r w:rsidR="00541D05">
        <w:t xml:space="preserve"> </w:t>
      </w:r>
      <w:r w:rsidR="00D9258C" w:rsidRPr="00FD6A6A">
        <w:t>a</w:t>
      </w:r>
      <w:r w:rsidR="00541D05">
        <w:t xml:space="preserve"> </w:t>
      </w:r>
      <w:r w:rsidR="00D9258C" w:rsidRPr="00FD6A6A">
        <w:t>form</w:t>
      </w:r>
      <w:r w:rsidR="00541D05">
        <w:t xml:space="preserve"> </w:t>
      </w:r>
      <w:r w:rsidR="00D9258C" w:rsidRPr="00FD6A6A">
        <w:t>of</w:t>
      </w:r>
      <w:r w:rsidR="00541D05">
        <w:t xml:space="preserve"> </w:t>
      </w:r>
      <w:r w:rsidR="00D9258C" w:rsidRPr="00FD6A6A">
        <w:t>antiracist</w:t>
      </w:r>
      <w:r w:rsidR="00541D05">
        <w:t xml:space="preserve"> </w:t>
      </w:r>
      <w:r w:rsidR="00D9258C" w:rsidRPr="00FD6A6A">
        <w:t>protection</w:t>
      </w:r>
      <w:r w:rsidR="00541D05">
        <w:t xml:space="preserve"> </w:t>
      </w:r>
      <w:r w:rsidR="00D9258C" w:rsidRPr="00FD6A6A">
        <w:t>in</w:t>
      </w:r>
      <w:r w:rsidR="00541D05">
        <w:t xml:space="preserve"> </w:t>
      </w:r>
      <w:r w:rsidR="00D9258C" w:rsidRPr="00FD6A6A">
        <w:t>crimes</w:t>
      </w:r>
      <w:r w:rsidR="00541D05">
        <w:t xml:space="preserve"> </w:t>
      </w:r>
      <w:r w:rsidR="00D9258C" w:rsidRPr="00FD6A6A">
        <w:t>committed</w:t>
      </w:r>
      <w:r w:rsidR="00541D05">
        <w:t xml:space="preserve"> </w:t>
      </w:r>
      <w:r w:rsidR="00D9258C" w:rsidRPr="00FD6A6A">
        <w:t>online</w:t>
      </w:r>
      <w:r w:rsidR="00541D05">
        <w:t xml:space="preserve"> </w:t>
      </w:r>
      <w:r w:rsidR="00D9258C" w:rsidRPr="00FD6A6A">
        <w:t>by</w:t>
      </w:r>
      <w:r w:rsidR="00541D05">
        <w:t xml:space="preserve"> </w:t>
      </w:r>
      <w:r w:rsidR="00D9258C" w:rsidRPr="00FD6A6A">
        <w:t>forwarding</w:t>
      </w:r>
      <w:r w:rsidR="00541D05">
        <w:t xml:space="preserve"> </w:t>
      </w:r>
      <w:r w:rsidR="00D9258C" w:rsidRPr="00FD6A6A">
        <w:t>offenses</w:t>
      </w:r>
      <w:r w:rsidR="00541D05">
        <w:t xml:space="preserve"> </w:t>
      </w:r>
      <w:r w:rsidR="00D9258C" w:rsidRPr="00FD6A6A">
        <w:t>caught</w:t>
      </w:r>
      <w:r w:rsidR="00541D05">
        <w:t xml:space="preserve"> </w:t>
      </w:r>
      <w:r w:rsidR="00D9258C" w:rsidRPr="00FD6A6A">
        <w:t>in</w:t>
      </w:r>
      <w:r w:rsidR="00541D05">
        <w:t xml:space="preserve"> </w:t>
      </w:r>
      <w:r w:rsidR="00D9258C" w:rsidRPr="00FD6A6A">
        <w:t>the</w:t>
      </w:r>
      <w:r w:rsidR="00541D05">
        <w:t xml:space="preserve"> </w:t>
      </w:r>
      <w:r w:rsidR="00D9258C" w:rsidRPr="00FD6A6A">
        <w:t>act</w:t>
      </w:r>
      <w:r w:rsidR="00541D05">
        <w:t xml:space="preserve"> </w:t>
      </w:r>
      <w:r w:rsidR="00D9258C" w:rsidRPr="00FD6A6A">
        <w:t>and</w:t>
      </w:r>
      <w:r w:rsidR="00541D05">
        <w:t xml:space="preserve"> </w:t>
      </w:r>
      <w:r w:rsidR="00D9258C" w:rsidRPr="00FD6A6A">
        <w:t>formalizing</w:t>
      </w:r>
      <w:r w:rsidR="00541D05">
        <w:t xml:space="preserve"> </w:t>
      </w:r>
      <w:r w:rsidR="00D9258C" w:rsidRPr="00FD6A6A">
        <w:t>complaints</w:t>
      </w:r>
      <w:r w:rsidR="00541D05">
        <w:t xml:space="preserve"> </w:t>
      </w:r>
      <w:r w:rsidR="00D9258C" w:rsidRPr="00FD6A6A">
        <w:t>online.</w:t>
      </w:r>
      <w:r w:rsidR="00541D05">
        <w:t xml:space="preserve"> </w:t>
      </w:r>
      <w:r w:rsidR="00D9258C" w:rsidRPr="00FD6A6A">
        <w:t>Upon</w:t>
      </w:r>
      <w:r w:rsidR="00541D05">
        <w:t xml:space="preserve"> </w:t>
      </w:r>
      <w:r w:rsidR="00D9258C" w:rsidRPr="00FD6A6A">
        <w:t>investigation</w:t>
      </w:r>
      <w:r w:rsidR="00541D05">
        <w:t xml:space="preserve"> </w:t>
      </w:r>
      <w:r w:rsidR="00D9258C" w:rsidRPr="00FD6A6A">
        <w:t>by</w:t>
      </w:r>
      <w:r w:rsidR="00541D05">
        <w:t xml:space="preserve"> </w:t>
      </w:r>
      <w:r w:rsidR="00D9258C" w:rsidRPr="00FD6A6A">
        <w:t>the</w:t>
      </w:r>
      <w:r w:rsidR="00541D05">
        <w:t xml:space="preserve"> </w:t>
      </w:r>
      <w:r w:rsidR="00D9258C" w:rsidRPr="00FD6A6A">
        <w:t>relevant</w:t>
      </w:r>
      <w:r w:rsidR="00541D05">
        <w:t xml:space="preserve"> </w:t>
      </w:r>
      <w:r w:rsidR="00D9258C" w:rsidRPr="00FD6A6A">
        <w:t>authorities,</w:t>
      </w:r>
      <w:r w:rsidR="00541D05">
        <w:t xml:space="preserve"> </w:t>
      </w:r>
      <w:r w:rsidR="00D9258C" w:rsidRPr="00FD6A6A">
        <w:t>and</w:t>
      </w:r>
      <w:r w:rsidR="00541D05">
        <w:t xml:space="preserve"> </w:t>
      </w:r>
      <w:r w:rsidR="00D9258C" w:rsidRPr="00FD6A6A">
        <w:t>whenever</w:t>
      </w:r>
      <w:r w:rsidR="00541D05">
        <w:t xml:space="preserve"> </w:t>
      </w:r>
      <w:r w:rsidR="00D9258C" w:rsidRPr="00FD6A6A">
        <w:t>the</w:t>
      </w:r>
      <w:r w:rsidR="00541D05">
        <w:t xml:space="preserve"> </w:t>
      </w:r>
      <w:r w:rsidR="00D9258C" w:rsidRPr="00FD6A6A">
        <w:t>crime</w:t>
      </w:r>
      <w:r w:rsidR="00541D05">
        <w:t xml:space="preserve"> </w:t>
      </w:r>
      <w:r w:rsidR="00D9258C" w:rsidRPr="00FD6A6A">
        <w:t>perpetrator</w:t>
      </w:r>
      <w:r w:rsidR="00541D05">
        <w:t xml:space="preserve"> </w:t>
      </w:r>
      <w:r w:rsidR="00D9258C" w:rsidRPr="00FD6A6A">
        <w:t>is</w:t>
      </w:r>
      <w:r w:rsidR="00541D05">
        <w:t xml:space="preserve"> </w:t>
      </w:r>
      <w:r w:rsidR="00D9258C" w:rsidRPr="00FD6A6A">
        <w:t>identified,</w:t>
      </w:r>
      <w:r w:rsidR="00541D05">
        <w:t xml:space="preserve"> </w:t>
      </w:r>
      <w:r w:rsidR="00D9258C" w:rsidRPr="00FD6A6A">
        <w:t>complaints</w:t>
      </w:r>
      <w:r w:rsidR="00541D05">
        <w:t xml:space="preserve"> </w:t>
      </w:r>
      <w:r w:rsidR="00D9258C" w:rsidRPr="00FD6A6A">
        <w:t>may</w:t>
      </w:r>
      <w:r w:rsidR="00541D05">
        <w:t xml:space="preserve"> </w:t>
      </w:r>
      <w:r w:rsidR="00D9258C" w:rsidRPr="00FD6A6A">
        <w:t>attribute</w:t>
      </w:r>
      <w:r w:rsidR="00541D05">
        <w:t xml:space="preserve"> </w:t>
      </w:r>
      <w:r w:rsidR="00D9258C" w:rsidRPr="00FD6A6A">
        <w:t>criminal</w:t>
      </w:r>
      <w:r w:rsidR="00541D05">
        <w:t xml:space="preserve"> </w:t>
      </w:r>
      <w:r w:rsidR="00D9258C" w:rsidRPr="00FD6A6A">
        <w:t>liability</w:t>
      </w:r>
      <w:r w:rsidR="00541D05">
        <w:t xml:space="preserve"> </w:t>
      </w:r>
      <w:r w:rsidR="00D9258C" w:rsidRPr="00FD6A6A">
        <w:t>to</w:t>
      </w:r>
      <w:r w:rsidR="00541D05">
        <w:t xml:space="preserve"> </w:t>
      </w:r>
      <w:r w:rsidR="00D9258C" w:rsidRPr="00FD6A6A">
        <w:t>the</w:t>
      </w:r>
      <w:r w:rsidR="00541D05">
        <w:t xml:space="preserve"> </w:t>
      </w:r>
      <w:r w:rsidR="00D9258C" w:rsidRPr="00FD6A6A">
        <w:t>indicted</w:t>
      </w:r>
      <w:r w:rsidR="00541D05">
        <w:t xml:space="preserve"> </w:t>
      </w:r>
      <w:r w:rsidR="00D9258C" w:rsidRPr="00FD6A6A">
        <w:t>individuals.</w:t>
      </w:r>
      <w:r w:rsidR="00541D05">
        <w:t xml:space="preserve"> </w:t>
      </w:r>
      <w:r w:rsidR="00D9258C" w:rsidRPr="00FD6A6A">
        <w:t>However,</w:t>
      </w:r>
      <w:r w:rsidR="00541D05">
        <w:t xml:space="preserve"> </w:t>
      </w:r>
      <w:r w:rsidR="00D9258C" w:rsidRPr="00FD6A6A">
        <w:t>the</w:t>
      </w:r>
      <w:r w:rsidR="00541D05">
        <w:t xml:space="preserve"> </w:t>
      </w:r>
      <w:r w:rsidR="00D9258C" w:rsidRPr="00FD6A6A">
        <w:t>most</w:t>
      </w:r>
      <w:r w:rsidR="00541D05">
        <w:t xml:space="preserve"> </w:t>
      </w:r>
      <w:r w:rsidR="00D9258C" w:rsidRPr="00FD6A6A">
        <w:t>common</w:t>
      </w:r>
      <w:r w:rsidR="00541D05">
        <w:t xml:space="preserve"> </w:t>
      </w:r>
      <w:r w:rsidR="00D9258C" w:rsidRPr="00FD6A6A">
        <w:t>path</w:t>
      </w:r>
      <w:r w:rsidR="00541D05">
        <w:t xml:space="preserve"> </w:t>
      </w:r>
      <w:r w:rsidR="00D9258C" w:rsidRPr="00FD6A6A">
        <w:t>in</w:t>
      </w:r>
      <w:r w:rsidR="00541D05">
        <w:t xml:space="preserve"> </w:t>
      </w:r>
      <w:r w:rsidR="00D9258C" w:rsidRPr="00FD6A6A">
        <w:t>a</w:t>
      </w:r>
      <w:r w:rsidR="00541D05">
        <w:t xml:space="preserve"> </w:t>
      </w:r>
      <w:r w:rsidR="00D9258C" w:rsidRPr="00FD6A6A">
        <w:t>legal</w:t>
      </w:r>
      <w:r w:rsidR="00541D05">
        <w:t xml:space="preserve"> </w:t>
      </w:r>
      <w:r w:rsidR="00D9258C" w:rsidRPr="00FD6A6A">
        <w:t>proceeding,</w:t>
      </w:r>
      <w:r w:rsidR="00541D05">
        <w:t xml:space="preserve"> </w:t>
      </w:r>
      <w:r w:rsidR="00D9258C" w:rsidRPr="00FD6A6A">
        <w:t>rather</w:t>
      </w:r>
      <w:r w:rsidR="00541D05">
        <w:t xml:space="preserve"> </w:t>
      </w:r>
      <w:r w:rsidR="00D9258C" w:rsidRPr="00FD6A6A">
        <w:t>than</w:t>
      </w:r>
      <w:r w:rsidR="00541D05">
        <w:t xml:space="preserve"> </w:t>
      </w:r>
      <w:r w:rsidR="00D9258C" w:rsidRPr="00FD6A6A">
        <w:t>strict</w:t>
      </w:r>
      <w:r w:rsidR="00541D05">
        <w:t xml:space="preserve"> </w:t>
      </w:r>
      <w:r w:rsidR="00D9258C" w:rsidRPr="00FD6A6A">
        <w:t>criminal</w:t>
      </w:r>
      <w:r w:rsidR="00541D05">
        <w:t xml:space="preserve"> </w:t>
      </w:r>
      <w:r w:rsidR="00D9258C" w:rsidRPr="00FD6A6A">
        <w:t>liability,</w:t>
      </w:r>
      <w:r w:rsidR="00541D05">
        <w:t xml:space="preserve"> </w:t>
      </w:r>
      <w:r w:rsidR="00D9258C" w:rsidRPr="00FD6A6A">
        <w:t>has</w:t>
      </w:r>
      <w:r w:rsidR="00541D05">
        <w:t xml:space="preserve"> </w:t>
      </w:r>
      <w:r w:rsidR="00D9258C" w:rsidRPr="00FD6A6A">
        <w:t>been</w:t>
      </w:r>
      <w:r w:rsidR="00541D05">
        <w:t xml:space="preserve"> </w:t>
      </w:r>
      <w:r w:rsidR="00D9258C" w:rsidRPr="00FD6A6A">
        <w:t>the</w:t>
      </w:r>
      <w:r w:rsidR="00541D05">
        <w:t xml:space="preserve"> </w:t>
      </w:r>
      <w:r w:rsidR="00D9258C" w:rsidRPr="00FD6A6A">
        <w:t>mandatory</w:t>
      </w:r>
      <w:r w:rsidR="00541D05">
        <w:t xml:space="preserve"> </w:t>
      </w:r>
      <w:r w:rsidR="00D9258C" w:rsidRPr="00FD6A6A">
        <w:t>removal</w:t>
      </w:r>
      <w:r w:rsidR="00541D05">
        <w:t xml:space="preserve"> </w:t>
      </w:r>
      <w:r w:rsidR="00D9258C" w:rsidRPr="00FD6A6A">
        <w:t>of</w:t>
      </w:r>
      <w:r w:rsidR="00541D05">
        <w:t xml:space="preserve"> </w:t>
      </w:r>
      <w:r w:rsidR="00D9258C" w:rsidRPr="00FD6A6A">
        <w:t>racist</w:t>
      </w:r>
      <w:r w:rsidR="00541D05">
        <w:t xml:space="preserve"> </w:t>
      </w:r>
      <w:r w:rsidR="00D9258C" w:rsidRPr="00FD6A6A">
        <w:t>content</w:t>
      </w:r>
      <w:r w:rsidR="00541D05">
        <w:t xml:space="preserve"> </w:t>
      </w:r>
      <w:r w:rsidR="00D9258C" w:rsidRPr="00FD6A6A">
        <w:t>from</w:t>
      </w:r>
      <w:r w:rsidR="00541D05">
        <w:t xml:space="preserve"> </w:t>
      </w:r>
      <w:r w:rsidR="00D9258C" w:rsidRPr="00FD6A6A">
        <w:t>the</w:t>
      </w:r>
      <w:r w:rsidR="00541D05">
        <w:t xml:space="preserve"> </w:t>
      </w:r>
      <w:r w:rsidR="00D9258C" w:rsidRPr="00FD6A6A">
        <w:t>web,</w:t>
      </w:r>
      <w:r w:rsidR="00541D05">
        <w:t xml:space="preserve"> </w:t>
      </w:r>
      <w:r w:rsidR="00D9258C" w:rsidRPr="00FD6A6A">
        <w:t>from</w:t>
      </w:r>
      <w:r w:rsidR="00541D05">
        <w:t xml:space="preserve"> </w:t>
      </w:r>
      <w:r w:rsidR="00D9258C" w:rsidRPr="00FD6A6A">
        <w:t>short</w:t>
      </w:r>
      <w:r w:rsidR="00541D05">
        <w:t xml:space="preserve"> </w:t>
      </w:r>
      <w:r w:rsidR="00D9258C" w:rsidRPr="00FD6A6A">
        <w:t>comments</w:t>
      </w:r>
      <w:r w:rsidR="00541D05">
        <w:t xml:space="preserve"> </w:t>
      </w:r>
      <w:r w:rsidR="00D9258C" w:rsidRPr="00FD6A6A">
        <w:t>to</w:t>
      </w:r>
      <w:r w:rsidR="00541D05">
        <w:t xml:space="preserve"> </w:t>
      </w:r>
      <w:r w:rsidR="00D9258C" w:rsidRPr="00FD6A6A">
        <w:t>entire</w:t>
      </w:r>
      <w:r w:rsidR="00541D05">
        <w:t xml:space="preserve"> </w:t>
      </w:r>
      <w:r w:rsidR="00D9258C" w:rsidRPr="00FD6A6A">
        <w:t>pages.</w:t>
      </w:r>
    </w:p>
    <w:p w14:paraId="4D277924" w14:textId="756657DB" w:rsidR="00D9258C" w:rsidRPr="00FD6A6A" w:rsidRDefault="00166390" w:rsidP="00166390">
      <w:pPr>
        <w:pStyle w:val="ParaNoG"/>
        <w:numPr>
          <w:ilvl w:val="0"/>
          <w:numId w:val="0"/>
        </w:numPr>
        <w:tabs>
          <w:tab w:val="left" w:pos="0"/>
        </w:tabs>
        <w:ind w:left="1134"/>
      </w:pPr>
      <w:r w:rsidRPr="00FD6A6A">
        <w:t>63.</w:t>
      </w:r>
      <w:r w:rsidRPr="00FD6A6A">
        <w:tab/>
      </w:r>
      <w:r w:rsidR="00D9258C" w:rsidRPr="00FD6A6A">
        <w:t>Complaints</w:t>
      </w:r>
      <w:r w:rsidR="00541D05">
        <w:t xml:space="preserve"> </w:t>
      </w:r>
      <w:r w:rsidR="00D9258C" w:rsidRPr="00FD6A6A">
        <w:t>filed</w:t>
      </w:r>
      <w:r w:rsidR="00541D05">
        <w:t xml:space="preserve"> </w:t>
      </w:r>
      <w:r w:rsidR="00D9258C" w:rsidRPr="00FD6A6A">
        <w:t>in</w:t>
      </w:r>
      <w:r w:rsidR="00541D05">
        <w:t xml:space="preserve"> </w:t>
      </w:r>
      <w:r w:rsidR="00D9258C" w:rsidRPr="00FD6A6A">
        <w:t>SaferNet</w:t>
      </w:r>
      <w:r w:rsidR="00EA62F1">
        <w:t>’</w:t>
      </w:r>
      <w:r w:rsidR="00D9258C" w:rsidRPr="00FD6A6A">
        <w:t>s</w:t>
      </w:r>
      <w:r w:rsidR="00541D05">
        <w:t xml:space="preserve"> </w:t>
      </w:r>
      <w:r w:rsidR="00D9258C" w:rsidRPr="00FD6A6A">
        <w:t>and</w:t>
      </w:r>
      <w:r w:rsidR="00541D05">
        <w:t xml:space="preserve"> </w:t>
      </w:r>
      <w:r w:rsidR="00D9258C" w:rsidRPr="00FD6A6A">
        <w:t>governmental</w:t>
      </w:r>
      <w:r w:rsidR="00541D05">
        <w:t xml:space="preserve"> </w:t>
      </w:r>
      <w:r w:rsidR="00D9258C" w:rsidRPr="00FD6A6A">
        <w:t>institutions</w:t>
      </w:r>
      <w:r w:rsidR="00EA62F1">
        <w:t>’</w:t>
      </w:r>
      <w:r w:rsidR="00541D05">
        <w:t xml:space="preserve"> </w:t>
      </w:r>
      <w:r w:rsidR="00D9258C" w:rsidRPr="00FD6A6A">
        <w:t>channels,</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being</w:t>
      </w:r>
      <w:r w:rsidR="00541D05">
        <w:t xml:space="preserve"> </w:t>
      </w:r>
      <w:r w:rsidR="00D9258C" w:rsidRPr="00FD6A6A">
        <w:t>received</w:t>
      </w:r>
      <w:r w:rsidR="00541D05">
        <w:t xml:space="preserve"> </w:t>
      </w:r>
      <w:r w:rsidR="00D9258C" w:rsidRPr="00FD6A6A">
        <w:t>and</w:t>
      </w:r>
      <w:r w:rsidR="00541D05">
        <w:t xml:space="preserve"> </w:t>
      </w:r>
      <w:r w:rsidR="00D9258C" w:rsidRPr="00FD6A6A">
        <w:t>processed,</w:t>
      </w:r>
      <w:r w:rsidR="00541D05">
        <w:t xml:space="preserve"> </w:t>
      </w:r>
      <w:r w:rsidR="00D9258C" w:rsidRPr="00FD6A6A">
        <w:t>are</w:t>
      </w:r>
      <w:r w:rsidR="00541D05">
        <w:t xml:space="preserve"> </w:t>
      </w:r>
      <w:r w:rsidR="00D9258C" w:rsidRPr="00FD6A6A">
        <w:t>filed</w:t>
      </w:r>
      <w:r w:rsidR="00541D05">
        <w:t xml:space="preserve"> </w:t>
      </w:r>
      <w:r w:rsidR="00D9258C" w:rsidRPr="00FD6A6A">
        <w:t>by</w:t>
      </w:r>
      <w:r w:rsidR="00541D05">
        <w:t xml:space="preserve"> </w:t>
      </w:r>
      <w:r w:rsidR="00D9258C" w:rsidRPr="00FD6A6A">
        <w:t>the</w:t>
      </w:r>
      <w:r w:rsidR="00541D05">
        <w:t xml:space="preserve"> </w:t>
      </w:r>
      <w:r w:rsidR="00D9258C" w:rsidRPr="00FD6A6A">
        <w:t>NGO</w:t>
      </w:r>
      <w:r w:rsidR="00EA62F1">
        <w:t>’</w:t>
      </w:r>
      <w:r w:rsidR="00D9258C" w:rsidRPr="00FD6A6A">
        <w:t>s</w:t>
      </w:r>
      <w:r w:rsidR="00541D05">
        <w:t xml:space="preserve"> </w:t>
      </w:r>
      <w:r w:rsidR="00D9258C" w:rsidRPr="00FD6A6A">
        <w:t>online</w:t>
      </w:r>
      <w:r w:rsidR="00541D05">
        <w:t xml:space="preserve"> </w:t>
      </w:r>
      <w:r w:rsidR="00D9258C" w:rsidRPr="00FD6A6A">
        <w:t>system,</w:t>
      </w:r>
      <w:r w:rsidR="00541D05">
        <w:t xml:space="preserve"> </w:t>
      </w:r>
      <w:r w:rsidR="00D9258C" w:rsidRPr="00FD6A6A">
        <w:t>which</w:t>
      </w:r>
      <w:r w:rsidR="00541D05">
        <w:t xml:space="preserve"> </w:t>
      </w:r>
      <w:r w:rsidR="00D9258C" w:rsidRPr="00FD6A6A">
        <w:t>also</w:t>
      </w:r>
      <w:r w:rsidR="00541D05">
        <w:t xml:space="preserve"> </w:t>
      </w:r>
      <w:r w:rsidR="00D9258C" w:rsidRPr="00FD6A6A">
        <w:t>prepares</w:t>
      </w:r>
      <w:r w:rsidR="00541D05">
        <w:t xml:space="preserve"> </w:t>
      </w:r>
      <w:r w:rsidR="00D9258C" w:rsidRPr="00FD6A6A">
        <w:t>and</w:t>
      </w:r>
      <w:r w:rsidR="00541D05">
        <w:t xml:space="preserve"> </w:t>
      </w:r>
      <w:r w:rsidR="00D9258C" w:rsidRPr="00FD6A6A">
        <w:t>provides</w:t>
      </w:r>
      <w:r w:rsidR="00541D05">
        <w:t xml:space="preserve"> </w:t>
      </w:r>
      <w:r w:rsidR="00D9258C" w:rsidRPr="00FD6A6A">
        <w:t>some</w:t>
      </w:r>
      <w:r w:rsidR="00541D05">
        <w:t xml:space="preserve"> </w:t>
      </w:r>
      <w:r w:rsidR="00D9258C" w:rsidRPr="00FD6A6A">
        <w:t>relevant</w:t>
      </w:r>
      <w:r w:rsidR="00541D05">
        <w:t xml:space="preserve"> </w:t>
      </w:r>
      <w:r w:rsidR="00D9258C" w:rsidRPr="00FD6A6A">
        <w:t>indicators.</w:t>
      </w:r>
      <w:r w:rsidR="00541D05">
        <w:t xml:space="preserve"> </w:t>
      </w:r>
      <w:r w:rsidR="00D9258C" w:rsidRPr="00FD6A6A">
        <w:t>With</w:t>
      </w:r>
      <w:r w:rsidR="00541D05">
        <w:t xml:space="preserve"> </w:t>
      </w:r>
      <w:r w:rsidR="00D9258C" w:rsidRPr="00FD6A6A">
        <w:t>respect</w:t>
      </w:r>
      <w:r w:rsidR="00541D05">
        <w:t xml:space="preserve"> </w:t>
      </w:r>
      <w:r w:rsidR="00D9258C" w:rsidRPr="00FD6A6A">
        <w:t>to</w:t>
      </w:r>
      <w:r w:rsidR="00541D05">
        <w:t xml:space="preserve"> </w:t>
      </w:r>
      <w:r w:rsidR="00D9258C" w:rsidRPr="00FD6A6A">
        <w:t>Brazil,</w:t>
      </w:r>
      <w:r w:rsidR="00541D05">
        <w:t xml:space="preserve"> </w:t>
      </w:r>
      <w:r w:rsidR="00D9258C" w:rsidRPr="00FD6A6A">
        <w:t>complaints</w:t>
      </w:r>
      <w:r w:rsidR="00541D05">
        <w:t xml:space="preserve"> </w:t>
      </w:r>
      <w:r w:rsidR="00D9258C" w:rsidRPr="00FD6A6A">
        <w:t>can</w:t>
      </w:r>
      <w:r w:rsidR="00541D05">
        <w:t xml:space="preserve"> </w:t>
      </w:r>
      <w:r w:rsidR="00D9258C" w:rsidRPr="00FD6A6A">
        <w:t>be</w:t>
      </w:r>
      <w:r w:rsidR="00541D05">
        <w:t xml:space="preserve"> </w:t>
      </w:r>
      <w:r w:rsidR="00D9258C" w:rsidRPr="00FD6A6A">
        <w:t>filed</w:t>
      </w:r>
      <w:r w:rsidR="00541D05">
        <w:t xml:space="preserve"> </w:t>
      </w:r>
      <w:r w:rsidR="00D9258C" w:rsidRPr="00FD6A6A">
        <w:t>from</w:t>
      </w:r>
      <w:r w:rsidR="00541D05">
        <w:t xml:space="preserve"> </w:t>
      </w:r>
      <w:r w:rsidR="00D9258C" w:rsidRPr="00FD6A6A">
        <w:t>any</w:t>
      </w:r>
      <w:r w:rsidR="00541D05">
        <w:t xml:space="preserve"> </w:t>
      </w:r>
      <w:r w:rsidR="00D9258C" w:rsidRPr="00FD6A6A">
        <w:t>country</w:t>
      </w:r>
      <w:r w:rsidR="00541D05">
        <w:t xml:space="preserve"> </w:t>
      </w:r>
      <w:r w:rsidR="00D9258C" w:rsidRPr="00FD6A6A">
        <w:t>in</w:t>
      </w:r>
      <w:r w:rsidR="00541D05">
        <w:t xml:space="preserve"> </w:t>
      </w:r>
      <w:r w:rsidR="00D9258C" w:rsidRPr="00FD6A6A">
        <w:t>the</w:t>
      </w:r>
      <w:r w:rsidR="00541D05">
        <w:t xml:space="preserve"> </w:t>
      </w:r>
      <w:r w:rsidR="00D9258C" w:rsidRPr="00FD6A6A">
        <w:t>world</w:t>
      </w:r>
      <w:r w:rsidR="00541D05">
        <w:t xml:space="preserve"> </w:t>
      </w:r>
      <w:r w:rsidR="00D9258C" w:rsidRPr="00FD6A6A">
        <w:t>and</w:t>
      </w:r>
      <w:r w:rsidR="00541D05">
        <w:t xml:space="preserve"> </w:t>
      </w:r>
      <w:r w:rsidR="00D9258C" w:rsidRPr="00FD6A6A">
        <w:t>in</w:t>
      </w:r>
      <w:r w:rsidR="00541D05">
        <w:t xml:space="preserve"> </w:t>
      </w:r>
      <w:r w:rsidR="00D9258C" w:rsidRPr="00FD6A6A">
        <w:t>any</w:t>
      </w:r>
      <w:r w:rsidR="00541D05">
        <w:t xml:space="preserve"> </w:t>
      </w:r>
      <w:r w:rsidR="00D9258C" w:rsidRPr="00FD6A6A">
        <w:t>language.</w:t>
      </w:r>
      <w:r w:rsidR="00541D05">
        <w:t xml:space="preserve"> </w:t>
      </w:r>
      <w:r w:rsidR="00D9258C" w:rsidRPr="00FD6A6A">
        <w:t>Most</w:t>
      </w:r>
      <w:r w:rsidR="00541D05">
        <w:t xml:space="preserve"> </w:t>
      </w:r>
      <w:r w:rsidR="00D9258C" w:rsidRPr="00FD6A6A">
        <w:t>complaints</w:t>
      </w:r>
      <w:r w:rsidR="00541D05">
        <w:t xml:space="preserve"> </w:t>
      </w:r>
      <w:r w:rsidR="00D9258C" w:rsidRPr="00FD6A6A">
        <w:t>between</w:t>
      </w:r>
      <w:r w:rsidR="00541D05">
        <w:t xml:space="preserve"> </w:t>
      </w:r>
      <w:r w:rsidR="00D9258C" w:rsidRPr="00FD6A6A">
        <w:t>2006</w:t>
      </w:r>
      <w:r w:rsidR="00541D05">
        <w:t xml:space="preserve"> </w:t>
      </w:r>
      <w:r w:rsidR="00D9258C" w:rsidRPr="00FD6A6A">
        <w:t>and</w:t>
      </w:r>
      <w:r w:rsidR="00541D05">
        <w:t xml:space="preserve"> </w:t>
      </w:r>
      <w:r w:rsidR="00D9258C" w:rsidRPr="00FD6A6A">
        <w:t>2017</w:t>
      </w:r>
      <w:r w:rsidR="00541D05">
        <w:t xml:space="preserve"> </w:t>
      </w:r>
      <w:r w:rsidR="00D9258C" w:rsidRPr="00FD6A6A">
        <w:t>were</w:t>
      </w:r>
      <w:r w:rsidR="00541D05">
        <w:t xml:space="preserve"> </w:t>
      </w:r>
      <w:r w:rsidR="00D9258C" w:rsidRPr="00FD6A6A">
        <w:t>made</w:t>
      </w:r>
      <w:r w:rsidR="00541D05">
        <w:t xml:space="preserve"> </w:t>
      </w:r>
      <w:r w:rsidR="00D9258C" w:rsidRPr="00FD6A6A">
        <w:t>in</w:t>
      </w:r>
      <w:r w:rsidR="00541D05">
        <w:t xml:space="preserve"> </w:t>
      </w:r>
      <w:r w:rsidR="00D9258C" w:rsidRPr="00FD6A6A">
        <w:t>Portuguese,</w:t>
      </w:r>
      <w:r w:rsidR="00541D05">
        <w:t xml:space="preserve"> </w:t>
      </w:r>
      <w:r w:rsidR="00D9258C" w:rsidRPr="00FD6A6A">
        <w:t>reaching</w:t>
      </w:r>
      <w:r w:rsidR="00541D05">
        <w:t xml:space="preserve"> </w:t>
      </w:r>
      <w:r w:rsidR="00D9258C" w:rsidRPr="00FD6A6A">
        <w:t>25%,</w:t>
      </w:r>
      <w:r w:rsidR="00541D05">
        <w:t xml:space="preserve"> </w:t>
      </w:r>
      <w:r w:rsidR="00D9258C" w:rsidRPr="00FD6A6A">
        <w:t>compared</w:t>
      </w:r>
      <w:r w:rsidR="00541D05">
        <w:t xml:space="preserve"> </w:t>
      </w:r>
      <w:r w:rsidR="00D9258C" w:rsidRPr="00FD6A6A">
        <w:t>to</w:t>
      </w:r>
      <w:r w:rsidR="00541D05">
        <w:t xml:space="preserve"> </w:t>
      </w:r>
      <w:r w:rsidR="00D9258C" w:rsidRPr="00FD6A6A">
        <w:t>17%</w:t>
      </w:r>
      <w:r w:rsidR="00541D05">
        <w:t xml:space="preserve"> </w:t>
      </w:r>
      <w:r w:rsidR="00D9258C" w:rsidRPr="00FD6A6A">
        <w:t>complaints</w:t>
      </w:r>
      <w:r w:rsidR="00541D05">
        <w:t xml:space="preserve"> </w:t>
      </w:r>
      <w:r w:rsidR="00D9258C" w:rsidRPr="00FD6A6A">
        <w:t>in</w:t>
      </w:r>
      <w:r w:rsidR="00541D05">
        <w:t xml:space="preserve"> </w:t>
      </w:r>
      <w:r w:rsidR="00D9258C" w:rsidRPr="00FD6A6A">
        <w:t>English</w:t>
      </w:r>
      <w:r w:rsidR="00541D05">
        <w:t xml:space="preserve"> </w:t>
      </w:r>
      <w:r w:rsidR="00D9258C" w:rsidRPr="00FD6A6A">
        <w:t>and</w:t>
      </w:r>
      <w:r w:rsidR="00541D05">
        <w:t xml:space="preserve"> </w:t>
      </w:r>
      <w:r w:rsidR="00D9258C" w:rsidRPr="00FD6A6A">
        <w:t>2%</w:t>
      </w:r>
      <w:r w:rsidR="00541D05">
        <w:t xml:space="preserve"> </w:t>
      </w:r>
      <w:r w:rsidR="00D9258C" w:rsidRPr="00FD6A6A">
        <w:t>in</w:t>
      </w:r>
      <w:r w:rsidR="00541D05">
        <w:t xml:space="preserve"> </w:t>
      </w:r>
      <w:r w:rsidR="00D9258C" w:rsidRPr="00FD6A6A">
        <w:t>Russian.</w:t>
      </w:r>
    </w:p>
    <w:p w14:paraId="7E5F4094" w14:textId="4C47B137" w:rsidR="00D9258C" w:rsidRPr="00FD6A6A" w:rsidRDefault="00166390" w:rsidP="00166390">
      <w:pPr>
        <w:pStyle w:val="ParaNoG"/>
        <w:numPr>
          <w:ilvl w:val="0"/>
          <w:numId w:val="0"/>
        </w:numPr>
        <w:tabs>
          <w:tab w:val="left" w:pos="0"/>
        </w:tabs>
        <w:ind w:left="1134"/>
      </w:pPr>
      <w:r w:rsidRPr="00FD6A6A">
        <w:t>64.</w:t>
      </w:r>
      <w:r w:rsidRPr="00FD6A6A">
        <w:tab/>
      </w:r>
      <w:r w:rsidR="00D9258C" w:rsidRPr="00FD6A6A">
        <w:t>An</w:t>
      </w:r>
      <w:r w:rsidR="00541D05">
        <w:t xml:space="preserve"> </w:t>
      </w:r>
      <w:r w:rsidR="00D9258C" w:rsidRPr="00FD6A6A">
        <w:t>assessment</w:t>
      </w:r>
      <w:r w:rsidR="00541D05">
        <w:t xml:space="preserve"> </w:t>
      </w:r>
      <w:r w:rsidR="00D9258C" w:rsidRPr="00FD6A6A">
        <w:t>of</w:t>
      </w:r>
      <w:r w:rsidR="00541D05">
        <w:t xml:space="preserve"> </w:t>
      </w:r>
      <w:r w:rsidR="00D9258C" w:rsidRPr="00FD6A6A">
        <w:t>racism</w:t>
      </w:r>
      <w:r w:rsidR="00541D05">
        <w:t xml:space="preserve"> </w:t>
      </w:r>
      <w:r w:rsidR="00D9258C" w:rsidRPr="00FD6A6A">
        <w:t>complaints</w:t>
      </w:r>
      <w:r w:rsidR="00541D05">
        <w:t xml:space="preserve"> </w:t>
      </w:r>
      <w:r w:rsidR="00D9258C" w:rsidRPr="00FD6A6A">
        <w:t>in</w:t>
      </w:r>
      <w:r w:rsidR="00541D05">
        <w:t xml:space="preserve"> </w:t>
      </w:r>
      <w:r w:rsidR="00D9258C" w:rsidRPr="00FD6A6A">
        <w:t>cyberspace</w:t>
      </w:r>
      <w:r w:rsidR="00541D05">
        <w:t xml:space="preserve"> </w:t>
      </w:r>
      <w:r w:rsidR="00D9258C" w:rsidRPr="00FD6A6A">
        <w:t>can</w:t>
      </w:r>
      <w:r w:rsidR="00541D05">
        <w:t xml:space="preserve"> </w:t>
      </w:r>
      <w:r w:rsidR="00D9258C" w:rsidRPr="00FD6A6A">
        <w:t>contribute</w:t>
      </w:r>
      <w:r w:rsidR="00541D05">
        <w:t xml:space="preserve"> </w:t>
      </w:r>
      <w:r w:rsidR="00D9258C" w:rsidRPr="00FD6A6A">
        <w:t>to</w:t>
      </w:r>
      <w:r w:rsidR="00541D05">
        <w:t xml:space="preserve"> </w:t>
      </w:r>
      <w:r w:rsidR="00D9258C" w:rsidRPr="00FD6A6A">
        <w:t>define</w:t>
      </w:r>
      <w:r w:rsidR="00541D05">
        <w:t xml:space="preserve"> </w:t>
      </w:r>
      <w:r w:rsidR="00D9258C" w:rsidRPr="00FD6A6A">
        <w:t>better</w:t>
      </w:r>
      <w:r w:rsidR="00541D05">
        <w:t xml:space="preserve"> </w:t>
      </w:r>
      <w:r w:rsidR="00D9258C" w:rsidRPr="00FD6A6A">
        <w:t>strategies</w:t>
      </w:r>
      <w:r w:rsidR="00541D05">
        <w:t xml:space="preserve"> </w:t>
      </w:r>
      <w:r w:rsidR="00D9258C" w:rsidRPr="00FD6A6A">
        <w:t>to</w:t>
      </w:r>
      <w:r w:rsidR="00541D05">
        <w:t xml:space="preserve"> </w:t>
      </w:r>
      <w:r w:rsidR="00D9258C" w:rsidRPr="00FD6A6A">
        <w:t>fight</w:t>
      </w:r>
      <w:r w:rsidR="00541D05">
        <w:t xml:space="preserve"> </w:t>
      </w:r>
      <w:r w:rsidR="00D9258C" w:rsidRPr="00FD6A6A">
        <w:t>violations.</w:t>
      </w:r>
      <w:r w:rsidR="00541D05">
        <w:t xml:space="preserve"> </w:t>
      </w:r>
      <w:r w:rsidR="00D9258C" w:rsidRPr="00FD6A6A">
        <w:t>Four</w:t>
      </w:r>
      <w:r w:rsidR="00541D05">
        <w:t xml:space="preserve"> </w:t>
      </w:r>
      <w:r w:rsidR="00D9258C" w:rsidRPr="00FD6A6A">
        <w:t>channels</w:t>
      </w:r>
      <w:r w:rsidR="00541D05">
        <w:t xml:space="preserve"> </w:t>
      </w:r>
      <w:r w:rsidR="00D9258C" w:rsidRPr="00FD6A6A">
        <w:t>receive</w:t>
      </w:r>
      <w:r w:rsidR="00541D05">
        <w:t xml:space="preserve"> </w:t>
      </w:r>
      <w:r w:rsidR="00D9258C" w:rsidRPr="00FD6A6A">
        <w:t>complaints</w:t>
      </w:r>
      <w:r w:rsidR="00541D05">
        <w:t xml:space="preserve"> </w:t>
      </w:r>
      <w:r w:rsidR="00D9258C" w:rsidRPr="00FD6A6A">
        <w:t>electronically</w:t>
      </w:r>
      <w:r w:rsidR="00541D05">
        <w:t xml:space="preserve"> </w:t>
      </w:r>
      <w:r w:rsidR="00D9258C" w:rsidRPr="00FD6A6A">
        <w:t>in</w:t>
      </w:r>
      <w:r w:rsidR="00541D05">
        <w:t xml:space="preserve"> </w:t>
      </w:r>
      <w:r w:rsidR="00D9258C" w:rsidRPr="00FD6A6A">
        <w:t>Brazil</w:t>
      </w:r>
      <w:r w:rsidR="00541D05">
        <w:t xml:space="preserve"> </w:t>
      </w:r>
      <w:r w:rsidR="00D9258C" w:rsidRPr="00FD6A6A">
        <w:t>and</w:t>
      </w:r>
      <w:r w:rsidR="00541D05">
        <w:t xml:space="preserve"> </w:t>
      </w:r>
      <w:r w:rsidR="00D9258C" w:rsidRPr="00FD6A6A">
        <w:t>around</w:t>
      </w:r>
      <w:r w:rsidR="00541D05">
        <w:t xml:space="preserve"> </w:t>
      </w:r>
      <w:r w:rsidR="00D9258C" w:rsidRPr="00FD6A6A">
        <w:t>the</w:t>
      </w:r>
      <w:r w:rsidR="00541D05">
        <w:t xml:space="preserve"> </w:t>
      </w:r>
      <w:r w:rsidR="00D9258C" w:rsidRPr="00FD6A6A">
        <w:t>world:</w:t>
      </w:r>
      <w:r w:rsidR="00541D05">
        <w:t xml:space="preserve"> </w:t>
      </w:r>
      <w:r w:rsidR="00D9258C" w:rsidRPr="00FD6A6A">
        <w:t>the</w:t>
      </w:r>
      <w:r w:rsidR="00541D05">
        <w:t xml:space="preserve"> </w:t>
      </w:r>
      <w:r w:rsidR="00D9258C" w:rsidRPr="00FD6A6A">
        <w:t>National</w:t>
      </w:r>
      <w:r w:rsidR="00541D05">
        <w:t xml:space="preserve"> </w:t>
      </w:r>
      <w:r w:rsidR="00D9258C" w:rsidRPr="00FD6A6A">
        <w:t>Complaint</w:t>
      </w:r>
      <w:r w:rsidR="00541D05">
        <w:t xml:space="preserve"> </w:t>
      </w:r>
      <w:r w:rsidR="00D9258C" w:rsidRPr="00FD6A6A">
        <w:t>Central,</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Family,</w:t>
      </w:r>
      <w:r w:rsidR="00541D05">
        <w:t xml:space="preserve"> </w:t>
      </w:r>
      <w:r w:rsidR="00D9258C" w:rsidRPr="00FD6A6A">
        <w:t>Women</w:t>
      </w:r>
      <w:r w:rsidR="00541D05">
        <w:t xml:space="preserve"> </w:t>
      </w:r>
      <w:r w:rsidR="00D9258C" w:rsidRPr="00FD6A6A">
        <w:t>and</w:t>
      </w:r>
      <w:r w:rsidR="00541D05">
        <w:t xml:space="preserve"> </w:t>
      </w:r>
      <w:r w:rsidR="00D9258C" w:rsidRPr="00FD6A6A">
        <w:t>Human</w:t>
      </w:r>
      <w:r w:rsidR="00541D05">
        <w:t xml:space="preserve"> </w:t>
      </w:r>
      <w:r w:rsidR="00D9258C" w:rsidRPr="00FD6A6A">
        <w:t>Rights,</w:t>
      </w:r>
      <w:r w:rsidR="00541D05">
        <w:t xml:space="preserve"> </w:t>
      </w:r>
      <w:r w:rsidR="00D9258C" w:rsidRPr="00FD6A6A">
        <w:t>the</w:t>
      </w:r>
      <w:r w:rsidR="00541D05">
        <w:t xml:space="preserve"> </w:t>
      </w:r>
      <w:r w:rsidR="00D9258C" w:rsidRPr="00FD6A6A">
        <w:t>Federal</w:t>
      </w:r>
      <w:r w:rsidR="00541D05">
        <w:t xml:space="preserve"> </w:t>
      </w:r>
      <w:r w:rsidR="00D9258C" w:rsidRPr="00FD6A6A">
        <w:t>Police,</w:t>
      </w:r>
      <w:r w:rsidR="00541D05">
        <w:t xml:space="preserve"> </w:t>
      </w:r>
      <w:r w:rsidR="00D9258C" w:rsidRPr="00FD6A6A">
        <w:t>and</w:t>
      </w:r>
      <w:r w:rsidR="00541D05">
        <w:t xml:space="preserve"> </w:t>
      </w:r>
      <w:r w:rsidR="00D9258C" w:rsidRPr="00FD6A6A">
        <w:t>SaferNet.</w:t>
      </w:r>
      <w:r w:rsidR="00541D05">
        <w:t xml:space="preserve"> </w:t>
      </w:r>
      <w:r w:rsidR="00D9258C" w:rsidRPr="00FD6A6A">
        <w:t>The</w:t>
      </w:r>
      <w:r w:rsidR="00541D05">
        <w:t xml:space="preserve"> </w:t>
      </w:r>
      <w:r w:rsidR="00D9258C" w:rsidRPr="00FD6A6A">
        <w:t>main</w:t>
      </w:r>
      <w:r w:rsidR="00541D05">
        <w:t xml:space="preserve"> </w:t>
      </w:r>
      <w:r w:rsidR="00D9258C" w:rsidRPr="00FD6A6A">
        <w:t>way</w:t>
      </w:r>
      <w:r w:rsidR="00541D05">
        <w:t xml:space="preserve"> </w:t>
      </w:r>
      <w:r w:rsidR="00D9258C" w:rsidRPr="00FD6A6A">
        <w:t>to</w:t>
      </w:r>
      <w:r w:rsidR="00541D05">
        <w:t xml:space="preserve"> </w:t>
      </w:r>
      <w:r w:rsidR="00D9258C" w:rsidRPr="00FD6A6A">
        <w:t>approach</w:t>
      </w:r>
      <w:r w:rsidR="00541D05">
        <w:t xml:space="preserve"> </w:t>
      </w:r>
      <w:r w:rsidR="00D9258C" w:rsidRPr="00FD6A6A">
        <w:t>and</w:t>
      </w:r>
      <w:r w:rsidR="00541D05">
        <w:t xml:space="preserve"> </w:t>
      </w:r>
      <w:r w:rsidR="00D9258C" w:rsidRPr="00FD6A6A">
        <w:t>solve</w:t>
      </w:r>
      <w:r w:rsidR="00541D05">
        <w:t xml:space="preserve"> </w:t>
      </w:r>
      <w:r w:rsidR="00D9258C" w:rsidRPr="00FD6A6A">
        <w:t>complaints</w:t>
      </w:r>
      <w:r w:rsidR="00541D05">
        <w:t xml:space="preserve"> </w:t>
      </w:r>
      <w:r w:rsidR="00D9258C" w:rsidRPr="00FD6A6A">
        <w:t>of</w:t>
      </w:r>
      <w:r w:rsidR="00541D05">
        <w:t xml:space="preserve"> </w:t>
      </w:r>
      <w:r w:rsidR="00D9258C" w:rsidRPr="00FD6A6A">
        <w:t>racism</w:t>
      </w:r>
      <w:r w:rsidR="00541D05">
        <w:t xml:space="preserve"> </w:t>
      </w:r>
      <w:r w:rsidR="00D9258C" w:rsidRPr="00FD6A6A">
        <w:t>in</w:t>
      </w:r>
      <w:r w:rsidR="00541D05">
        <w:t xml:space="preserve"> </w:t>
      </w:r>
      <w:r w:rsidR="00D9258C" w:rsidRPr="00FD6A6A">
        <w:t>cyberspace</w:t>
      </w:r>
      <w:r w:rsidR="00541D05">
        <w:t xml:space="preserve"> </w:t>
      </w:r>
      <w:r w:rsidR="00D9258C" w:rsidRPr="00FD6A6A">
        <w:t>has</w:t>
      </w:r>
      <w:r w:rsidR="00541D05">
        <w:t xml:space="preserve"> </w:t>
      </w:r>
      <w:r w:rsidR="00D9258C" w:rsidRPr="00FD6A6A">
        <w:t>been</w:t>
      </w:r>
      <w:r w:rsidR="00541D05">
        <w:t xml:space="preserve"> </w:t>
      </w:r>
      <w:r w:rsidR="00D9258C" w:rsidRPr="00FD6A6A">
        <w:t>the</w:t>
      </w:r>
      <w:r w:rsidR="00541D05">
        <w:t xml:space="preserve"> </w:t>
      </w:r>
      <w:r w:rsidR="00D9258C" w:rsidRPr="00FD6A6A">
        <w:t>mandatory</w:t>
      </w:r>
      <w:r w:rsidR="00541D05">
        <w:t xml:space="preserve"> </w:t>
      </w:r>
      <w:r w:rsidR="00D9258C" w:rsidRPr="00FD6A6A">
        <w:t>removal</w:t>
      </w:r>
      <w:r w:rsidR="00541D05">
        <w:t xml:space="preserve"> </w:t>
      </w:r>
      <w:r w:rsidR="00D9258C" w:rsidRPr="00FD6A6A">
        <w:t>of</w:t>
      </w:r>
      <w:r w:rsidR="00541D05">
        <w:t xml:space="preserve"> </w:t>
      </w:r>
      <w:r w:rsidR="00D9258C" w:rsidRPr="00FD6A6A">
        <w:t>pages</w:t>
      </w:r>
      <w:r w:rsidR="00541D05">
        <w:t xml:space="preserve"> </w:t>
      </w:r>
      <w:r w:rsidR="00D9258C" w:rsidRPr="00FD6A6A">
        <w:t>that</w:t>
      </w:r>
      <w:r w:rsidR="00541D05">
        <w:t xml:space="preserve"> </w:t>
      </w:r>
      <w:r w:rsidR="00D9258C" w:rsidRPr="00FD6A6A">
        <w:t>hosted</w:t>
      </w:r>
      <w:r w:rsidR="00541D05">
        <w:t xml:space="preserve"> </w:t>
      </w:r>
      <w:r w:rsidR="00D9258C" w:rsidRPr="00FD6A6A">
        <w:t>the</w:t>
      </w:r>
      <w:r w:rsidR="00541D05">
        <w:t xml:space="preserve"> </w:t>
      </w:r>
      <w:r w:rsidR="00D9258C" w:rsidRPr="00FD6A6A">
        <w:t>violations</w:t>
      </w:r>
      <w:r w:rsidR="00541D05">
        <w:t xml:space="preserve"> </w:t>
      </w:r>
      <w:r w:rsidR="00D9258C" w:rsidRPr="00FD6A6A">
        <w:t>and</w:t>
      </w:r>
      <w:r w:rsidR="00541D05">
        <w:t xml:space="preserve"> </w:t>
      </w:r>
      <w:r w:rsidR="00D9258C" w:rsidRPr="00FD6A6A">
        <w:t>did</w:t>
      </w:r>
      <w:r w:rsidR="00541D05">
        <w:t xml:space="preserve"> </w:t>
      </w:r>
      <w:r w:rsidR="00D9258C" w:rsidRPr="00FD6A6A">
        <w:t>not</w:t>
      </w:r>
      <w:r w:rsidR="00541D05">
        <w:t xml:space="preserve"> </w:t>
      </w:r>
      <w:r w:rsidR="00D9258C" w:rsidRPr="00FD6A6A">
        <w:t>spontaneously</w:t>
      </w:r>
      <w:r w:rsidR="00541D05">
        <w:t xml:space="preserve"> </w:t>
      </w:r>
      <w:r w:rsidR="00D9258C" w:rsidRPr="00FD6A6A">
        <w:t>correct</w:t>
      </w:r>
      <w:r w:rsidR="00541D05">
        <w:t xml:space="preserve"> </w:t>
      </w:r>
      <w:r w:rsidR="00D9258C" w:rsidRPr="00FD6A6A">
        <w:t>them.</w:t>
      </w:r>
      <w:r w:rsidR="00541D05">
        <w:t xml:space="preserve"> </w:t>
      </w:r>
      <w:r w:rsidR="00D9258C" w:rsidRPr="00FD6A6A">
        <w:t>Currently,</w:t>
      </w:r>
      <w:r w:rsidR="00541D05">
        <w:t xml:space="preserve"> </w:t>
      </w:r>
      <w:r w:rsidR="00D9258C" w:rsidRPr="00FD6A6A">
        <w:t>there</w:t>
      </w:r>
      <w:r w:rsidR="00541D05">
        <w:t xml:space="preserve"> </w:t>
      </w:r>
      <w:r w:rsidR="00D9258C" w:rsidRPr="00FD6A6A">
        <w:t>are</w:t>
      </w:r>
      <w:r w:rsidR="00541D05">
        <w:t xml:space="preserve"> </w:t>
      </w:r>
      <w:r w:rsidR="00D9258C" w:rsidRPr="00FD6A6A">
        <w:t>discussions</w:t>
      </w:r>
      <w:r w:rsidR="00541D05">
        <w:t xml:space="preserve"> </w:t>
      </w:r>
      <w:r w:rsidR="00D9258C" w:rsidRPr="00FD6A6A">
        <w:t>in</w:t>
      </w:r>
      <w:r w:rsidR="00541D05">
        <w:t xml:space="preserve"> </w:t>
      </w:r>
      <w:r w:rsidR="00D9258C" w:rsidRPr="00FD6A6A">
        <w:t>progress</w:t>
      </w:r>
      <w:r w:rsidR="00541D05">
        <w:t xml:space="preserve"> </w:t>
      </w:r>
      <w:r w:rsidR="00D9258C" w:rsidRPr="00FD6A6A">
        <w:t>on</w:t>
      </w:r>
      <w:r w:rsidR="00541D05">
        <w:t xml:space="preserve"> </w:t>
      </w:r>
      <w:r w:rsidR="00D9258C" w:rsidRPr="00FD6A6A">
        <w:t>the</w:t>
      </w:r>
      <w:r w:rsidR="00541D05">
        <w:t xml:space="preserve"> </w:t>
      </w:r>
      <w:r w:rsidR="00D9258C" w:rsidRPr="00FD6A6A">
        <w:t>adequacy</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antiracist</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to</w:t>
      </w:r>
      <w:r w:rsidR="00541D05">
        <w:t xml:space="preserve"> </w:t>
      </w:r>
      <w:r w:rsidR="00D9258C" w:rsidRPr="00FD6A6A">
        <w:t>cybercrimes</w:t>
      </w:r>
      <w:r w:rsidR="00541D05">
        <w:t xml:space="preserve"> </w:t>
      </w:r>
      <w:r w:rsidR="00D9258C" w:rsidRPr="00FD6A6A">
        <w:t>and</w:t>
      </w:r>
      <w:r w:rsidR="00541D05">
        <w:t xml:space="preserve"> </w:t>
      </w:r>
      <w:r w:rsidR="00D9258C" w:rsidRPr="00FD6A6A">
        <w:t>violations.</w:t>
      </w:r>
      <w:r w:rsidR="00541D05">
        <w:t xml:space="preserve"> </w:t>
      </w:r>
      <w:r w:rsidR="00D9258C" w:rsidRPr="00FD6A6A">
        <w:t>As</w:t>
      </w:r>
      <w:r w:rsidR="00541D05">
        <w:t xml:space="preserve"> </w:t>
      </w:r>
      <w:r w:rsidR="00D9258C" w:rsidRPr="00FD6A6A">
        <w:t>the</w:t>
      </w:r>
      <w:r w:rsidR="00541D05">
        <w:t xml:space="preserve"> </w:t>
      </w:r>
      <w:r w:rsidR="00D9258C" w:rsidRPr="00FD6A6A">
        <w:t>prevailing</w:t>
      </w:r>
      <w:r w:rsidR="00541D05">
        <w:t xml:space="preserve"> </w:t>
      </w:r>
      <w:r w:rsidR="00D9258C" w:rsidRPr="00FD6A6A">
        <w:t>laws</w:t>
      </w:r>
      <w:r w:rsidR="00541D05">
        <w:t xml:space="preserve"> </w:t>
      </w:r>
      <w:r w:rsidR="00D9258C" w:rsidRPr="00FD6A6A">
        <w:t>do</w:t>
      </w:r>
      <w:r w:rsidR="00541D05">
        <w:t xml:space="preserve"> </w:t>
      </w:r>
      <w:r w:rsidR="00D9258C" w:rsidRPr="00FD6A6A">
        <w:t>not</w:t>
      </w:r>
      <w:r w:rsidR="00541D05">
        <w:t xml:space="preserve"> </w:t>
      </w:r>
      <w:r w:rsidR="00D9258C" w:rsidRPr="00FD6A6A">
        <w:t>fully</w:t>
      </w:r>
      <w:r w:rsidR="00541D05">
        <w:t xml:space="preserve"> </w:t>
      </w:r>
      <w:r w:rsidR="00D9258C" w:rsidRPr="00FD6A6A">
        <w:t>provide</w:t>
      </w:r>
      <w:r w:rsidR="00541D05">
        <w:t xml:space="preserve"> </w:t>
      </w:r>
      <w:r w:rsidR="00D9258C" w:rsidRPr="00FD6A6A">
        <w:t>for</w:t>
      </w:r>
      <w:r w:rsidR="00541D05">
        <w:t xml:space="preserve"> </w:t>
      </w:r>
      <w:r w:rsidR="00D9258C" w:rsidRPr="00FD6A6A">
        <w:t>cyberspace</w:t>
      </w:r>
      <w:r w:rsidR="00541D05">
        <w:t xml:space="preserve"> </w:t>
      </w:r>
      <w:r w:rsidR="00D9258C" w:rsidRPr="00FD6A6A">
        <w:t>as</w:t>
      </w:r>
      <w:r w:rsidR="00541D05">
        <w:t xml:space="preserve"> </w:t>
      </w:r>
      <w:r w:rsidR="00D9258C" w:rsidRPr="00FD6A6A">
        <w:t>a</w:t>
      </w:r>
      <w:r w:rsidR="00541D05">
        <w:t xml:space="preserve"> </w:t>
      </w:r>
      <w:r w:rsidR="00D9258C" w:rsidRPr="00FD6A6A">
        <w:t>means</w:t>
      </w:r>
      <w:r w:rsidR="00541D05">
        <w:t xml:space="preserve"> </w:t>
      </w:r>
      <w:r w:rsidR="00D9258C" w:rsidRPr="00FD6A6A">
        <w:t>through</w:t>
      </w:r>
      <w:r w:rsidR="00541D05">
        <w:t xml:space="preserve"> </w:t>
      </w:r>
      <w:r w:rsidR="00D9258C" w:rsidRPr="00FD6A6A">
        <w:t>which</w:t>
      </w:r>
      <w:r w:rsidR="00541D05">
        <w:t xml:space="preserve"> </w:t>
      </w:r>
      <w:r w:rsidR="00D9258C" w:rsidRPr="00FD6A6A">
        <w:t>crimes</w:t>
      </w:r>
      <w:r w:rsidR="00541D05">
        <w:t xml:space="preserve"> </w:t>
      </w:r>
      <w:r w:rsidR="00D9258C" w:rsidRPr="00FD6A6A">
        <w:t>can</w:t>
      </w:r>
      <w:r w:rsidR="00541D05">
        <w:t xml:space="preserve"> </w:t>
      </w:r>
      <w:r w:rsidR="00D9258C" w:rsidRPr="00FD6A6A">
        <w:t>occur,</w:t>
      </w:r>
      <w:r w:rsidR="00541D05">
        <w:t xml:space="preserve"> </w:t>
      </w:r>
      <w:r w:rsidR="00D9258C" w:rsidRPr="00FD6A6A">
        <w:t>authorities</w:t>
      </w:r>
      <w:r w:rsidR="00541D05">
        <w:t xml:space="preserve"> </w:t>
      </w:r>
      <w:r w:rsidR="00D9258C" w:rsidRPr="00FD6A6A">
        <w:t>have</w:t>
      </w:r>
      <w:r w:rsidR="00541D05">
        <w:t xml:space="preserve"> </w:t>
      </w:r>
      <w:r w:rsidR="00D9258C" w:rsidRPr="00FD6A6A">
        <w:t>found</w:t>
      </w:r>
      <w:r w:rsidR="00541D05">
        <w:t xml:space="preserve"> </w:t>
      </w:r>
      <w:r w:rsidR="00D9258C" w:rsidRPr="00FD6A6A">
        <w:t>obstacles</w:t>
      </w:r>
      <w:r w:rsidR="00541D05">
        <w:t xml:space="preserve"> </w:t>
      </w:r>
      <w:r w:rsidR="00D9258C" w:rsidRPr="00FD6A6A">
        <w:t>for</w:t>
      </w:r>
      <w:r w:rsidR="00541D05">
        <w:t xml:space="preserve"> </w:t>
      </w:r>
      <w:r w:rsidR="00D9258C" w:rsidRPr="00FD6A6A">
        <w:t>their</w:t>
      </w:r>
      <w:r w:rsidR="00541D05">
        <w:t xml:space="preserve"> </w:t>
      </w:r>
      <w:r w:rsidR="00D9258C" w:rsidRPr="00FD6A6A">
        <w:t>investigative</w:t>
      </w:r>
      <w:r w:rsidR="00541D05">
        <w:t xml:space="preserve"> </w:t>
      </w:r>
      <w:r w:rsidR="00D9258C" w:rsidRPr="00FD6A6A">
        <w:t>and</w:t>
      </w:r>
      <w:r w:rsidR="00541D05">
        <w:t xml:space="preserve"> </w:t>
      </w:r>
      <w:r w:rsidR="00D9258C" w:rsidRPr="00FD6A6A">
        <w:t>punitive</w:t>
      </w:r>
      <w:r w:rsidR="00541D05">
        <w:t xml:space="preserve"> </w:t>
      </w:r>
      <w:r w:rsidR="00D9258C" w:rsidRPr="00FD6A6A">
        <w:t>actions.</w:t>
      </w:r>
      <w:r w:rsidR="00541D05">
        <w:t xml:space="preserve"> </w:t>
      </w:r>
      <w:r w:rsidR="00D9258C" w:rsidRPr="00FD6A6A">
        <w:t>Anyway,</w:t>
      </w:r>
      <w:r w:rsidR="00541D05">
        <w:t xml:space="preserve"> </w:t>
      </w:r>
      <w:r w:rsidR="00D9258C" w:rsidRPr="00FD6A6A">
        <w:t>from</w:t>
      </w:r>
      <w:r w:rsidR="00541D05">
        <w:t xml:space="preserve"> </w:t>
      </w:r>
      <w:r w:rsidR="00D9258C" w:rsidRPr="00FD6A6A">
        <w:t>2006</w:t>
      </w:r>
      <w:r w:rsidR="00541D05">
        <w:t xml:space="preserve"> </w:t>
      </w:r>
      <w:r w:rsidR="00D9258C" w:rsidRPr="00FD6A6A">
        <w:t>to</w:t>
      </w:r>
      <w:r w:rsidR="00541D05">
        <w:t xml:space="preserve"> </w:t>
      </w:r>
      <w:r w:rsidR="00D9258C" w:rsidRPr="00FD6A6A">
        <w:t>2017,</w:t>
      </w:r>
      <w:r w:rsidR="00541D05">
        <w:t xml:space="preserve"> </w:t>
      </w:r>
      <w:r w:rsidR="00D9258C" w:rsidRPr="00FD6A6A">
        <w:t>taking</w:t>
      </w:r>
      <w:r w:rsidR="00541D05">
        <w:t xml:space="preserve"> </w:t>
      </w:r>
      <w:r w:rsidR="00D9258C" w:rsidRPr="00FD6A6A">
        <w:t>all</w:t>
      </w:r>
      <w:r w:rsidR="00541D05">
        <w:t xml:space="preserve"> </w:t>
      </w:r>
      <w:r w:rsidR="00D9258C" w:rsidRPr="00FD6A6A">
        <w:t>four</w:t>
      </w:r>
      <w:r w:rsidR="00541D05">
        <w:t xml:space="preserve"> </w:t>
      </w:r>
      <w:r w:rsidR="00D9258C" w:rsidRPr="00FD6A6A">
        <w:t>channels</w:t>
      </w:r>
      <w:r w:rsidR="00541D05">
        <w:t xml:space="preserve"> </w:t>
      </w:r>
      <w:r w:rsidR="00D9258C" w:rsidRPr="00FD6A6A">
        <w:t>into</w:t>
      </w:r>
      <w:r w:rsidR="00541D05">
        <w:t xml:space="preserve"> </w:t>
      </w:r>
      <w:r w:rsidR="00D9258C" w:rsidRPr="00FD6A6A">
        <w:t>account,</w:t>
      </w:r>
      <w:r w:rsidR="00541D05">
        <w:t xml:space="preserve"> </w:t>
      </w:r>
      <w:r w:rsidR="00D9258C" w:rsidRPr="00FD6A6A">
        <w:t>the</w:t>
      </w:r>
      <w:r w:rsidR="00541D05">
        <w:t xml:space="preserve"> </w:t>
      </w:r>
      <w:r w:rsidR="00D9258C" w:rsidRPr="00FD6A6A">
        <w:t>total</w:t>
      </w:r>
      <w:r w:rsidR="00541D05">
        <w:t xml:space="preserve"> </w:t>
      </w:r>
      <w:r w:rsidR="00D9258C" w:rsidRPr="00FD6A6A">
        <w:t>amount</w:t>
      </w:r>
      <w:r w:rsidR="00541D05">
        <w:t xml:space="preserve"> </w:t>
      </w:r>
      <w:r w:rsidR="00D9258C" w:rsidRPr="00FD6A6A">
        <w:t>of</w:t>
      </w:r>
      <w:r w:rsidR="00541D05">
        <w:t xml:space="preserve"> </w:t>
      </w:r>
      <w:r w:rsidR="00D9258C" w:rsidRPr="00FD6A6A">
        <w:t>cyber</w:t>
      </w:r>
      <w:r w:rsidR="00541D05">
        <w:t xml:space="preserve"> </w:t>
      </w:r>
      <w:r w:rsidR="00D9258C" w:rsidRPr="00FD6A6A">
        <w:t>racism</w:t>
      </w:r>
      <w:r w:rsidR="00541D05">
        <w:t xml:space="preserve"> </w:t>
      </w:r>
      <w:r w:rsidR="00D9258C" w:rsidRPr="00FD6A6A">
        <w:t>complaints</w:t>
      </w:r>
      <w:r w:rsidR="00541D05">
        <w:t xml:space="preserve"> </w:t>
      </w:r>
      <w:r w:rsidR="00D9258C" w:rsidRPr="00FD6A6A">
        <w:t>in</w:t>
      </w:r>
      <w:r w:rsidR="00541D05">
        <w:t xml:space="preserve"> </w:t>
      </w:r>
      <w:r w:rsidR="00D9258C" w:rsidRPr="00FD6A6A">
        <w:t>Brazil</w:t>
      </w:r>
      <w:r w:rsidR="00541D05">
        <w:t xml:space="preserve"> </w:t>
      </w:r>
      <w:r w:rsidR="00D9258C" w:rsidRPr="00FD6A6A">
        <w:t>is</w:t>
      </w:r>
      <w:r w:rsidR="00541D05">
        <w:t xml:space="preserve"> </w:t>
      </w:r>
      <w:r w:rsidR="00D9258C" w:rsidRPr="00FD6A6A">
        <w:t>about</w:t>
      </w:r>
      <w:r w:rsidR="00541D05">
        <w:t xml:space="preserve"> </w:t>
      </w:r>
      <w:r w:rsidR="00D9258C" w:rsidRPr="00FD6A6A">
        <w:t>1.130</w:t>
      </w:r>
      <w:r w:rsidR="00541D05">
        <w:t xml:space="preserve"> </w:t>
      </w:r>
      <w:r w:rsidR="00D9258C" w:rsidRPr="00FD6A6A">
        <w:t>million.</w:t>
      </w:r>
      <w:r w:rsidR="00541D05">
        <w:t xml:space="preserve"> </w:t>
      </w:r>
      <w:r w:rsidR="00D9258C" w:rsidRPr="00FD6A6A">
        <w:t>Complaints</w:t>
      </w:r>
      <w:r w:rsidR="00541D05">
        <w:t xml:space="preserve"> </w:t>
      </w:r>
      <w:r w:rsidR="00D9258C" w:rsidRPr="00FD6A6A">
        <w:t>encompassed</w:t>
      </w:r>
      <w:r w:rsidR="00541D05">
        <w:t xml:space="preserve"> </w:t>
      </w:r>
      <w:r w:rsidR="00D9258C" w:rsidRPr="00FD6A6A">
        <w:t>187,677</w:t>
      </w:r>
      <w:r w:rsidR="00541D05">
        <w:t xml:space="preserve"> </w:t>
      </w:r>
      <w:r w:rsidR="00D9258C" w:rsidRPr="00FD6A6A">
        <w:t>pages</w:t>
      </w:r>
      <w:r w:rsidR="00541D05">
        <w:t xml:space="preserve"> </w:t>
      </w:r>
      <w:r w:rsidR="00D9258C" w:rsidRPr="00FD6A6A">
        <w:t>and,</w:t>
      </w:r>
      <w:r w:rsidR="00541D05">
        <w:t xml:space="preserve"> </w:t>
      </w:r>
      <w:r w:rsidR="00D9258C" w:rsidRPr="00FD6A6A">
        <w:t>with</w:t>
      </w:r>
      <w:r w:rsidR="00541D05">
        <w:t xml:space="preserve"> </w:t>
      </w:r>
      <w:r w:rsidR="00D9258C" w:rsidRPr="00FD6A6A">
        <w:t>respect</w:t>
      </w:r>
      <w:r w:rsidR="00541D05">
        <w:t xml:space="preserve"> </w:t>
      </w:r>
      <w:r w:rsidR="00D9258C" w:rsidRPr="00FD6A6A">
        <w:t>thereto,</w:t>
      </w:r>
      <w:r w:rsidR="00541D05">
        <w:t xml:space="preserve"> </w:t>
      </w:r>
      <w:r w:rsidR="00D9258C" w:rsidRPr="00FD6A6A">
        <w:t>25.7%</w:t>
      </w:r>
      <w:r w:rsidR="00541D05">
        <w:t xml:space="preserve"> </w:t>
      </w:r>
      <w:r w:rsidR="00D9258C" w:rsidRPr="00FD6A6A">
        <w:t>–</w:t>
      </w:r>
      <w:r w:rsidR="00541D05">
        <w:t xml:space="preserve"> </w:t>
      </w:r>
      <w:r w:rsidR="00D9258C" w:rsidRPr="00FD6A6A">
        <w:t>or</w:t>
      </w:r>
      <w:r w:rsidR="00541D05">
        <w:t xml:space="preserve"> </w:t>
      </w:r>
      <w:r w:rsidR="00D9258C" w:rsidRPr="00FD6A6A">
        <w:t>48,305</w:t>
      </w:r>
      <w:r w:rsidR="00541D05">
        <w:t xml:space="preserve"> </w:t>
      </w:r>
      <w:r w:rsidR="00D9258C" w:rsidRPr="00FD6A6A">
        <w:t>–</w:t>
      </w:r>
      <w:r w:rsidR="00541D05">
        <w:t xml:space="preserve"> </w:t>
      </w:r>
      <w:r w:rsidR="00D9258C" w:rsidRPr="00FD6A6A">
        <w:t>were</w:t>
      </w:r>
      <w:r w:rsidR="00541D05">
        <w:t xml:space="preserve"> </w:t>
      </w:r>
      <w:r w:rsidR="00D9258C" w:rsidRPr="00FD6A6A">
        <w:t>removed.</w:t>
      </w:r>
      <w:r w:rsidR="00541D05">
        <w:t xml:space="preserve"> </w:t>
      </w:r>
      <w:r w:rsidR="00D9258C" w:rsidRPr="00FD6A6A">
        <w:t>These</w:t>
      </w:r>
      <w:r w:rsidR="00541D05">
        <w:t xml:space="preserve"> </w:t>
      </w:r>
      <w:r w:rsidR="00D9258C" w:rsidRPr="00FD6A6A">
        <w:t>data</w:t>
      </w:r>
      <w:r w:rsidR="00541D05">
        <w:t xml:space="preserve"> </w:t>
      </w:r>
      <w:r w:rsidR="00D9258C" w:rsidRPr="00FD6A6A">
        <w:t>reveal</w:t>
      </w:r>
      <w:r w:rsidR="00541D05">
        <w:t xml:space="preserve"> </w:t>
      </w:r>
      <w:r w:rsidR="00D9258C" w:rsidRPr="00FD6A6A">
        <w:t>that</w:t>
      </w:r>
      <w:r w:rsidR="00541D05">
        <w:t xml:space="preserve"> </w:t>
      </w:r>
      <w:r w:rsidR="00D9258C" w:rsidRPr="00FD6A6A">
        <w:t>discriminatory</w:t>
      </w:r>
      <w:r w:rsidR="00541D05">
        <w:t xml:space="preserve"> </w:t>
      </w:r>
      <w:r w:rsidR="00D9258C" w:rsidRPr="00FD6A6A">
        <w:t>acts</w:t>
      </w:r>
      <w:r w:rsidR="00541D05">
        <w:t xml:space="preserve"> </w:t>
      </w:r>
      <w:r w:rsidR="00D9258C" w:rsidRPr="00FD6A6A">
        <w:t>and</w:t>
      </w:r>
      <w:r w:rsidR="00541D05">
        <w:t xml:space="preserve"> </w:t>
      </w:r>
      <w:r w:rsidR="00D9258C" w:rsidRPr="00FD6A6A">
        <w:t>offences</w:t>
      </w:r>
      <w:r w:rsidR="00541D05">
        <w:t xml:space="preserve"> </w:t>
      </w:r>
      <w:r w:rsidR="00D9258C" w:rsidRPr="00FD6A6A">
        <w:t>based</w:t>
      </w:r>
      <w:r w:rsidR="00541D05">
        <w:t xml:space="preserve"> </w:t>
      </w:r>
      <w:r w:rsidR="00D9258C" w:rsidRPr="00FD6A6A">
        <w:t>on</w:t>
      </w:r>
      <w:r w:rsidR="00541D05">
        <w:t xml:space="preserve"> </w:t>
      </w:r>
      <w:r w:rsidR="00D9258C" w:rsidRPr="00FD6A6A">
        <w:t>race</w:t>
      </w:r>
      <w:r w:rsidR="00541D05">
        <w:t xml:space="preserve"> </w:t>
      </w:r>
      <w:r w:rsidR="00D9258C" w:rsidRPr="00FD6A6A">
        <w:t>are</w:t>
      </w:r>
      <w:r w:rsidR="00541D05">
        <w:t xml:space="preserve"> </w:t>
      </w:r>
      <w:r w:rsidR="00D9258C" w:rsidRPr="00FD6A6A">
        <w:t>very</w:t>
      </w:r>
      <w:r w:rsidR="00541D05">
        <w:t xml:space="preserve"> </w:t>
      </w:r>
      <w:r w:rsidR="00D9258C" w:rsidRPr="00FD6A6A">
        <w:t>frequent</w:t>
      </w:r>
      <w:r w:rsidR="00541D05">
        <w:t xml:space="preserve"> </w:t>
      </w:r>
      <w:r w:rsidR="00D9258C" w:rsidRPr="00FD6A6A">
        <w:t>in</w:t>
      </w:r>
      <w:r w:rsidR="00541D05">
        <w:t xml:space="preserve"> </w:t>
      </w:r>
      <w:r w:rsidR="00D9258C" w:rsidRPr="00FD6A6A">
        <w:t>the</w:t>
      </w:r>
      <w:r w:rsidR="00541D05">
        <w:t xml:space="preserve"> </w:t>
      </w:r>
      <w:r w:rsidR="00D9258C" w:rsidRPr="00FD6A6A">
        <w:t>cyberspace.</w:t>
      </w:r>
    </w:p>
    <w:p w14:paraId="273D5A30" w14:textId="0A21C322" w:rsidR="00D9258C" w:rsidRPr="00FD6A6A" w:rsidRDefault="00166390" w:rsidP="00166390">
      <w:pPr>
        <w:pStyle w:val="ParaNoG"/>
        <w:numPr>
          <w:ilvl w:val="0"/>
          <w:numId w:val="0"/>
        </w:numPr>
        <w:tabs>
          <w:tab w:val="left" w:pos="0"/>
        </w:tabs>
        <w:ind w:left="1134"/>
      </w:pPr>
      <w:r w:rsidRPr="00FD6A6A">
        <w:t>65.</w:t>
      </w:r>
      <w:r w:rsidRPr="00FD6A6A">
        <w:tab/>
      </w:r>
      <w:r w:rsidR="00D9258C" w:rsidRPr="00FD6A6A">
        <w:t>Until</w:t>
      </w:r>
      <w:r w:rsidR="00541D05">
        <w:t xml:space="preserve"> </w:t>
      </w:r>
      <w:r w:rsidR="00D9258C" w:rsidRPr="00FD6A6A">
        <w:t>2016,</w:t>
      </w:r>
      <w:r w:rsidR="00541D05">
        <w:t xml:space="preserve"> </w:t>
      </w:r>
      <w:r w:rsidR="00D9258C" w:rsidRPr="00FD6A6A">
        <w:t>there</w:t>
      </w:r>
      <w:r w:rsidR="00541D05">
        <w:t xml:space="preserve"> </w:t>
      </w:r>
      <w:r w:rsidR="00D9258C" w:rsidRPr="00FD6A6A">
        <w:t>was</w:t>
      </w:r>
      <w:r w:rsidR="00541D05">
        <w:t xml:space="preserve"> </w:t>
      </w:r>
      <w:r w:rsidR="00D9258C" w:rsidRPr="00FD6A6A">
        <w:t>no</w:t>
      </w:r>
      <w:r w:rsidR="00541D05">
        <w:t xml:space="preserve"> </w:t>
      </w:r>
      <w:r w:rsidR="00D9258C" w:rsidRPr="00FD6A6A">
        <w:t>consensus</w:t>
      </w:r>
      <w:r w:rsidR="00541D05">
        <w:t xml:space="preserve"> </w:t>
      </w:r>
      <w:r w:rsidR="00D9258C" w:rsidRPr="00FD6A6A">
        <w:t>as</w:t>
      </w:r>
      <w:r w:rsidR="00541D05">
        <w:t xml:space="preserve"> </w:t>
      </w:r>
      <w:r w:rsidR="00D9258C" w:rsidRPr="00FD6A6A">
        <w:t>to</w:t>
      </w:r>
      <w:r w:rsidR="00541D05">
        <w:t xml:space="preserve"> </w:t>
      </w:r>
      <w:r w:rsidR="00D9258C" w:rsidRPr="00FD6A6A">
        <w:t>the</w:t>
      </w:r>
      <w:r w:rsidR="00541D05">
        <w:t xml:space="preserve"> </w:t>
      </w:r>
      <w:r w:rsidR="00D9258C" w:rsidRPr="00FD6A6A">
        <w:t>adequacy</w:t>
      </w:r>
      <w:r w:rsidR="00541D05">
        <w:t xml:space="preserve"> </w:t>
      </w:r>
      <w:r w:rsidR="00D9258C" w:rsidRPr="00FD6A6A">
        <w:t>of</w:t>
      </w:r>
      <w:r w:rsidR="00541D05">
        <w:t xml:space="preserve"> </w:t>
      </w:r>
      <w:r w:rsidR="00D9258C" w:rsidRPr="00FD6A6A">
        <w:t>the</w:t>
      </w:r>
      <w:r w:rsidR="00541D05">
        <w:t xml:space="preserve"> </w:t>
      </w:r>
      <w:r w:rsidR="00D9258C" w:rsidRPr="00FD6A6A">
        <w:t>current</w:t>
      </w:r>
      <w:r w:rsidR="00541D05">
        <w:t xml:space="preserve"> </w:t>
      </w:r>
      <w:r w:rsidR="00D9258C" w:rsidRPr="00FD6A6A">
        <w:t>Brazilian</w:t>
      </w:r>
      <w:r w:rsidR="00541D05">
        <w:t xml:space="preserve"> </w:t>
      </w:r>
      <w:r w:rsidR="00D9258C" w:rsidRPr="00FD6A6A">
        <w:t>anti-racist</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to</w:t>
      </w:r>
      <w:r w:rsidR="00541D05">
        <w:t xml:space="preserve"> </w:t>
      </w:r>
      <w:r w:rsidR="00D9258C" w:rsidRPr="00FD6A6A">
        <w:t>the</w:t>
      </w:r>
      <w:r w:rsidR="00541D05">
        <w:t xml:space="preserve"> </w:t>
      </w:r>
      <w:r w:rsidR="00D9258C" w:rsidRPr="00FD6A6A">
        <w:t>Internet.</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the</w:t>
      </w:r>
      <w:r w:rsidR="00541D05">
        <w:t xml:space="preserve"> </w:t>
      </w:r>
      <w:r w:rsidR="00D9258C" w:rsidRPr="00FD6A6A">
        <w:t>first</w:t>
      </w:r>
      <w:r w:rsidR="00541D05">
        <w:t xml:space="preserve"> </w:t>
      </w:r>
      <w:r w:rsidR="00D9258C" w:rsidRPr="00FD6A6A">
        <w:t>amendment</w:t>
      </w:r>
      <w:r w:rsidR="00541D05">
        <w:t xml:space="preserve"> </w:t>
      </w:r>
      <w:r w:rsidR="00D9258C" w:rsidRPr="00FD6A6A">
        <w:t>made</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12,735/2012,</w:t>
      </w:r>
      <w:r w:rsidR="00541D05">
        <w:t xml:space="preserve"> </w:t>
      </w:r>
      <w:r w:rsidR="00D9258C" w:rsidRPr="00FD6A6A">
        <w:t>a</w:t>
      </w:r>
      <w:r w:rsidR="00541D05">
        <w:t xml:space="preserve"> </w:t>
      </w:r>
      <w:r w:rsidR="00D9258C" w:rsidRPr="00FD6A6A">
        <w:t>recent</w:t>
      </w:r>
      <w:r w:rsidR="00541D05">
        <w:t xml:space="preserve"> </w:t>
      </w:r>
      <w:r w:rsidR="00D9258C" w:rsidRPr="00FD6A6A">
        <w:t>Bill</w:t>
      </w:r>
      <w:r w:rsidR="00541D05">
        <w:t xml:space="preserve"> </w:t>
      </w:r>
      <w:r w:rsidR="00D9258C" w:rsidRPr="00FD6A6A">
        <w:t>of</w:t>
      </w:r>
      <w:r w:rsidR="00541D05">
        <w:t xml:space="preserve"> </w:t>
      </w:r>
      <w:r w:rsidR="00D9258C" w:rsidRPr="00FD6A6A">
        <w:t>the</w:t>
      </w:r>
      <w:r w:rsidR="00541D05">
        <w:t xml:space="preserve"> </w:t>
      </w:r>
      <w:r w:rsidR="00D9258C" w:rsidRPr="00FD6A6A">
        <w:t>Federal</w:t>
      </w:r>
      <w:r w:rsidR="00541D05">
        <w:t xml:space="preserve"> </w:t>
      </w:r>
      <w:r w:rsidR="00D9258C" w:rsidRPr="00FD6A6A">
        <w:t>Senate</w:t>
      </w:r>
      <w:r w:rsidR="00541D05">
        <w:t xml:space="preserve"> </w:t>
      </w:r>
      <w:r w:rsidR="00D9258C" w:rsidRPr="00FD6A6A">
        <w:t>(Senate</w:t>
      </w:r>
      <w:r w:rsidR="00541D05">
        <w:t xml:space="preserve"> </w:t>
      </w:r>
      <w:r w:rsidR="00D9258C" w:rsidRPr="00FD6A6A">
        <w:t>Bill</w:t>
      </w:r>
      <w:r w:rsidR="00541D05">
        <w:t xml:space="preserve"> </w:t>
      </w:r>
      <w:r w:rsidR="00D9258C" w:rsidRPr="00FD6A6A">
        <w:t>No.</w:t>
      </w:r>
      <w:r w:rsidR="00541D05">
        <w:t xml:space="preserve"> </w:t>
      </w:r>
      <w:r w:rsidR="00D9258C" w:rsidRPr="00FD6A6A">
        <w:t>80/2016)</w:t>
      </w:r>
      <w:r w:rsidR="00541D05">
        <w:t xml:space="preserve"> </w:t>
      </w:r>
      <w:r w:rsidR="00D9258C" w:rsidRPr="00FD6A6A">
        <w:t>aims</w:t>
      </w:r>
      <w:r w:rsidR="00541D05">
        <w:t xml:space="preserve"> </w:t>
      </w:r>
      <w:r w:rsidR="00D9258C" w:rsidRPr="00FD6A6A">
        <w:t>precisely</w:t>
      </w:r>
      <w:r w:rsidR="00541D05">
        <w:t xml:space="preserve"> </w:t>
      </w:r>
      <w:r w:rsidR="00D9258C" w:rsidRPr="00FD6A6A">
        <w:t>at</w:t>
      </w:r>
      <w:r w:rsidR="00541D05">
        <w:t xml:space="preserve"> </w:t>
      </w:r>
      <w:r w:rsidR="00D9258C" w:rsidRPr="00FD6A6A">
        <w:t>amending</w:t>
      </w:r>
      <w:r w:rsidR="00541D05">
        <w:t xml:space="preserve"> </w:t>
      </w:r>
      <w:r w:rsidR="00D9258C" w:rsidRPr="00FD6A6A">
        <w:t>once</w:t>
      </w:r>
      <w:r w:rsidR="00541D05">
        <w:t xml:space="preserve"> </w:t>
      </w:r>
      <w:r w:rsidR="00D9258C" w:rsidRPr="00FD6A6A">
        <w:t>again</w:t>
      </w:r>
      <w:r w:rsidR="00541D05">
        <w:t xml:space="preserve"> </w:t>
      </w:r>
      <w:r w:rsidR="00D9258C" w:rsidRPr="00FD6A6A">
        <w:t>the</w:t>
      </w:r>
      <w:r w:rsidR="00541D05">
        <w:t xml:space="preserve"> </w:t>
      </w:r>
      <w:r w:rsidR="00D9258C" w:rsidRPr="00FD6A6A">
        <w:t>wording</w:t>
      </w:r>
      <w:r w:rsidR="00541D05">
        <w:t xml:space="preserve"> </w:t>
      </w:r>
      <w:r w:rsidR="00D9258C" w:rsidRPr="00FD6A6A">
        <w:t>of</w:t>
      </w:r>
      <w:r w:rsidR="00541D05">
        <w:t xml:space="preserve"> </w:t>
      </w:r>
      <w:r w:rsidR="00D9258C" w:rsidRPr="00FD6A6A">
        <w:t>Law</w:t>
      </w:r>
      <w:r w:rsidR="00541D05">
        <w:t xml:space="preserve"> </w:t>
      </w:r>
      <w:r w:rsidR="00D9258C" w:rsidRPr="00FD6A6A">
        <w:t>No.</w:t>
      </w:r>
      <w:r w:rsidR="00541D05">
        <w:t xml:space="preserve"> </w:t>
      </w:r>
      <w:r w:rsidR="00D9258C" w:rsidRPr="00FD6A6A">
        <w:t>7,716,</w:t>
      </w:r>
      <w:r w:rsidR="00541D05">
        <w:t xml:space="preserve"> </w:t>
      </w:r>
      <w:r w:rsidR="00D9258C" w:rsidRPr="00FD6A6A">
        <w:t>making</w:t>
      </w:r>
      <w:r w:rsidR="00541D05">
        <w:t xml:space="preserve"> </w:t>
      </w:r>
      <w:r w:rsidR="00D9258C" w:rsidRPr="00FD6A6A">
        <w:t>it</w:t>
      </w:r>
      <w:r w:rsidR="00541D05">
        <w:t xml:space="preserve"> </w:t>
      </w:r>
      <w:r w:rsidR="00D9258C" w:rsidRPr="00FD6A6A">
        <w:t>compatible</w:t>
      </w:r>
      <w:r w:rsidR="00541D05">
        <w:t xml:space="preserve"> </w:t>
      </w:r>
      <w:r w:rsidR="00D9258C" w:rsidRPr="00FD6A6A">
        <w:t>with</w:t>
      </w:r>
      <w:r w:rsidR="00541D05">
        <w:t xml:space="preserve"> </w:t>
      </w:r>
      <w:r w:rsidR="00D9258C" w:rsidRPr="00FD6A6A">
        <w:t>the</w:t>
      </w:r>
      <w:r w:rsidR="00541D05">
        <w:t xml:space="preserve"> </w:t>
      </w:r>
      <w:r w:rsidR="00D9258C" w:rsidRPr="00FD6A6A">
        <w:t>current</w:t>
      </w:r>
      <w:r w:rsidR="00541D05">
        <w:t xml:space="preserve"> </w:t>
      </w:r>
      <w:r w:rsidR="00D9258C" w:rsidRPr="00FD6A6A">
        <w:t>reality</w:t>
      </w:r>
      <w:r w:rsidR="00541D05">
        <w:t xml:space="preserve"> </w:t>
      </w:r>
      <w:r w:rsidR="00D9258C" w:rsidRPr="00FD6A6A">
        <w:t>of</w:t>
      </w:r>
      <w:r w:rsidR="00541D05">
        <w:t xml:space="preserve"> </w:t>
      </w:r>
      <w:r w:rsidR="00D9258C" w:rsidRPr="00FD6A6A">
        <w:t>cyber</w:t>
      </w:r>
      <w:r w:rsidR="00541D05">
        <w:t xml:space="preserve"> </w:t>
      </w:r>
      <w:r w:rsidR="00D9258C" w:rsidRPr="00FD6A6A">
        <w:t>racism</w:t>
      </w:r>
      <w:r w:rsidR="00541D05">
        <w:t xml:space="preserve"> </w:t>
      </w:r>
      <w:r w:rsidR="00D9258C" w:rsidRPr="00FD6A6A">
        <w:t>and</w:t>
      </w:r>
      <w:r w:rsidR="00541D05">
        <w:t xml:space="preserve"> </w:t>
      </w:r>
      <w:r w:rsidR="00D9258C" w:rsidRPr="00FD6A6A">
        <w:t>granting</w:t>
      </w:r>
      <w:r w:rsidR="00541D05">
        <w:t xml:space="preserve"> </w:t>
      </w:r>
      <w:r w:rsidR="00D9258C" w:rsidRPr="00FD6A6A">
        <w:t>more</w:t>
      </w:r>
      <w:r w:rsidR="00541D05">
        <w:t xml:space="preserve"> </w:t>
      </w:r>
      <w:r w:rsidR="00D9258C" w:rsidRPr="00FD6A6A">
        <w:t>prohibitive</w:t>
      </w:r>
      <w:r w:rsidR="00541D05">
        <w:t xml:space="preserve"> </w:t>
      </w:r>
      <w:r w:rsidR="00D9258C" w:rsidRPr="00FD6A6A">
        <w:t>and</w:t>
      </w:r>
      <w:r w:rsidR="00541D05">
        <w:t xml:space="preserve"> </w:t>
      </w:r>
      <w:r w:rsidR="00D9258C" w:rsidRPr="00FD6A6A">
        <w:t>punitive</w:t>
      </w:r>
      <w:r w:rsidR="00541D05">
        <w:t xml:space="preserve"> </w:t>
      </w:r>
      <w:r w:rsidR="00D9258C" w:rsidRPr="00FD6A6A">
        <w:t>powers</w:t>
      </w:r>
      <w:r w:rsidR="00541D05">
        <w:t xml:space="preserve"> </w:t>
      </w:r>
      <w:r w:rsidR="00D9258C" w:rsidRPr="00FD6A6A">
        <w:t>to</w:t>
      </w:r>
      <w:r w:rsidR="00541D05">
        <w:t xml:space="preserve"> </w:t>
      </w:r>
      <w:r w:rsidR="00D9258C" w:rsidRPr="00FD6A6A">
        <w:t>the</w:t>
      </w:r>
      <w:r w:rsidR="00541D05">
        <w:t xml:space="preserve"> </w:t>
      </w:r>
      <w:r w:rsidR="00D9258C" w:rsidRPr="00FD6A6A">
        <w:t>members</w:t>
      </w:r>
      <w:r w:rsidR="00541D05">
        <w:t xml:space="preserve"> </w:t>
      </w:r>
      <w:r w:rsidR="00D9258C" w:rsidRPr="00FD6A6A">
        <w:t>of</w:t>
      </w:r>
      <w:r w:rsidR="00541D05">
        <w:t xml:space="preserve"> </w:t>
      </w:r>
      <w:r w:rsidR="00D9258C" w:rsidRPr="00FD6A6A">
        <w:t>the</w:t>
      </w:r>
      <w:r w:rsidR="00541D05">
        <w:t xml:space="preserve"> </w:t>
      </w:r>
      <w:r w:rsidR="00D9258C" w:rsidRPr="00FD6A6A">
        <w:t>judicial</w:t>
      </w:r>
      <w:r w:rsidR="00541D05">
        <w:t xml:space="preserve"> </w:t>
      </w:r>
      <w:r w:rsidR="00D9258C" w:rsidRPr="00FD6A6A">
        <w:t>system.</w:t>
      </w:r>
      <w:r w:rsidR="00541D05">
        <w:t xml:space="preserve"> </w:t>
      </w:r>
      <w:r w:rsidR="00D9258C" w:rsidRPr="00FD6A6A">
        <w:t>Despite</w:t>
      </w:r>
      <w:r w:rsidR="00541D05">
        <w:t xml:space="preserve"> </w:t>
      </w:r>
      <w:r w:rsidR="00D9258C" w:rsidRPr="00FD6A6A">
        <w:t>the</w:t>
      </w:r>
      <w:r w:rsidR="00541D05">
        <w:t xml:space="preserve"> </w:t>
      </w:r>
      <w:r w:rsidR="00D9258C" w:rsidRPr="00FD6A6A">
        <w:t>fact</w:t>
      </w:r>
      <w:r w:rsidR="00541D05">
        <w:t xml:space="preserve"> </w:t>
      </w:r>
      <w:r w:rsidR="00D9258C" w:rsidRPr="00FD6A6A">
        <w:t>that</w:t>
      </w:r>
      <w:r w:rsidR="00541D05">
        <w:t xml:space="preserve"> </w:t>
      </w:r>
      <w:r w:rsidR="00D9258C" w:rsidRPr="00FD6A6A">
        <w:t>the</w:t>
      </w:r>
      <w:r w:rsidR="00541D05">
        <w:t xml:space="preserve"> </w:t>
      </w:r>
      <w:r w:rsidR="00D9258C" w:rsidRPr="00FD6A6A">
        <w:t>advocates</w:t>
      </w:r>
      <w:r w:rsidR="00541D05">
        <w:t xml:space="preserve"> </w:t>
      </w:r>
      <w:r w:rsidR="00D9258C" w:rsidRPr="00FD6A6A">
        <w:t>for</w:t>
      </w:r>
      <w:r w:rsidR="00541D05">
        <w:t xml:space="preserve"> </w:t>
      </w:r>
      <w:r w:rsidR="00D9258C" w:rsidRPr="00FD6A6A">
        <w:t>unrestricted</w:t>
      </w:r>
      <w:r w:rsidR="00541D05">
        <w:t xml:space="preserve"> </w:t>
      </w:r>
      <w:r w:rsidR="00D9258C" w:rsidRPr="00FD6A6A">
        <w:t>freedom</w:t>
      </w:r>
      <w:r w:rsidR="00541D05">
        <w:t xml:space="preserve"> </w:t>
      </w:r>
      <w:r w:rsidR="00D9258C" w:rsidRPr="00FD6A6A">
        <w:t>of</w:t>
      </w:r>
      <w:r w:rsidR="00541D05">
        <w:t xml:space="preserve"> </w:t>
      </w:r>
      <w:r w:rsidR="00D9258C" w:rsidRPr="00FD6A6A">
        <w:t>speech</w:t>
      </w:r>
      <w:r w:rsidR="00541D05">
        <w:t xml:space="preserve"> </w:t>
      </w:r>
      <w:r w:rsidR="00D9258C" w:rsidRPr="00FD6A6A">
        <w:t>in</w:t>
      </w:r>
      <w:r w:rsidR="00541D05">
        <w:t xml:space="preserve"> </w:t>
      </w:r>
      <w:r w:rsidR="00D9258C" w:rsidRPr="00FD6A6A">
        <w:t>the</w:t>
      </w:r>
      <w:r w:rsidR="00541D05">
        <w:t xml:space="preserve"> </w:t>
      </w:r>
      <w:r w:rsidR="00D9258C" w:rsidRPr="00FD6A6A">
        <w:t>virtual</w:t>
      </w:r>
      <w:r w:rsidR="00541D05">
        <w:t xml:space="preserve"> </w:t>
      </w:r>
      <w:r w:rsidR="00D9258C" w:rsidRPr="00FD6A6A">
        <w:t>space</w:t>
      </w:r>
      <w:r w:rsidR="00541D05">
        <w:t xml:space="preserve"> </w:t>
      </w:r>
      <w:r w:rsidR="00D9258C" w:rsidRPr="00FD6A6A">
        <w:t>consider</w:t>
      </w:r>
      <w:r w:rsidR="00541D05">
        <w:t xml:space="preserve"> </w:t>
      </w:r>
      <w:r w:rsidR="00D9258C" w:rsidRPr="00FD6A6A">
        <w:t>it</w:t>
      </w:r>
      <w:r w:rsidR="00541D05">
        <w:t xml:space="preserve"> </w:t>
      </w:r>
      <w:r w:rsidR="00D9258C" w:rsidRPr="00FD6A6A">
        <w:t>as</w:t>
      </w:r>
      <w:r w:rsidR="00541D05">
        <w:t xml:space="preserve"> </w:t>
      </w:r>
      <w:r w:rsidR="00D9258C" w:rsidRPr="00FD6A6A">
        <w:t>conflicting</w:t>
      </w:r>
      <w:r w:rsidR="00541D05">
        <w:t xml:space="preserve"> </w:t>
      </w:r>
      <w:r w:rsidR="00D9258C" w:rsidRPr="00FD6A6A">
        <w:t>with</w:t>
      </w:r>
      <w:r w:rsidR="00541D05">
        <w:t xml:space="preserve"> </w:t>
      </w:r>
      <w:r w:rsidR="00D9258C" w:rsidRPr="00FD6A6A">
        <w:t>the</w:t>
      </w:r>
      <w:r w:rsidR="00541D05">
        <w:t xml:space="preserve"> </w:t>
      </w:r>
      <w:r w:rsidR="00D9258C" w:rsidRPr="00FD6A6A">
        <w:t>prevention</w:t>
      </w:r>
      <w:r w:rsidR="00541D05">
        <w:t xml:space="preserve"> </w:t>
      </w:r>
      <w:r w:rsidR="00D9258C" w:rsidRPr="00FD6A6A">
        <w:t>of</w:t>
      </w:r>
      <w:r w:rsidR="00541D05">
        <w:t xml:space="preserve"> </w:t>
      </w:r>
      <w:r w:rsidR="00D9258C" w:rsidRPr="00FD6A6A">
        <w:t>racism</w:t>
      </w:r>
      <w:r w:rsidR="00541D05">
        <w:t xml:space="preserve"> </w:t>
      </w:r>
      <w:r w:rsidR="00D9258C" w:rsidRPr="00FD6A6A">
        <w:t>by</w:t>
      </w:r>
      <w:r w:rsidR="00541D05">
        <w:t xml:space="preserve"> </w:t>
      </w:r>
      <w:r w:rsidR="00D9258C" w:rsidRPr="00FD6A6A">
        <w:t>the</w:t>
      </w:r>
      <w:r w:rsidR="00541D05">
        <w:t xml:space="preserve"> </w:t>
      </w:r>
      <w:r w:rsidR="00D9258C" w:rsidRPr="00FD6A6A">
        <w:t>Government,</w:t>
      </w:r>
      <w:r w:rsidR="00541D05">
        <w:t xml:space="preserve"> </w:t>
      </w:r>
      <w:r w:rsidR="00D9258C" w:rsidRPr="00FD6A6A">
        <w:t>Senate</w:t>
      </w:r>
      <w:r w:rsidR="00541D05">
        <w:t xml:space="preserve"> </w:t>
      </w:r>
      <w:r w:rsidR="00D9258C" w:rsidRPr="00FD6A6A">
        <w:t>Bill</w:t>
      </w:r>
      <w:r w:rsidR="00541D05">
        <w:t xml:space="preserve"> </w:t>
      </w:r>
      <w:r w:rsidR="00D9258C" w:rsidRPr="00FD6A6A">
        <w:t>No.</w:t>
      </w:r>
      <w:r w:rsidR="00541D05">
        <w:t xml:space="preserve"> </w:t>
      </w:r>
      <w:r w:rsidR="00D9258C" w:rsidRPr="00FD6A6A">
        <w:t>80</w:t>
      </w:r>
      <w:r w:rsidR="00541D05">
        <w:t xml:space="preserve"> </w:t>
      </w:r>
      <w:r w:rsidR="00D9258C" w:rsidRPr="00FD6A6A">
        <w:t>has</w:t>
      </w:r>
      <w:r w:rsidR="00541D05">
        <w:t xml:space="preserve"> </w:t>
      </w:r>
      <w:r w:rsidR="00D9258C" w:rsidRPr="00FD6A6A">
        <w:t>made</w:t>
      </w:r>
      <w:r w:rsidR="00541D05">
        <w:t xml:space="preserve"> </w:t>
      </w:r>
      <w:r w:rsidR="00D9258C" w:rsidRPr="00FD6A6A">
        <w:t>important</w:t>
      </w:r>
      <w:r w:rsidR="00541D05">
        <w:t xml:space="preserve"> </w:t>
      </w:r>
      <w:r w:rsidR="00D9258C" w:rsidRPr="00FD6A6A">
        <w:t>progress</w:t>
      </w:r>
      <w:r w:rsidR="00541D05">
        <w:t xml:space="preserve"> </w:t>
      </w:r>
      <w:r w:rsidR="00D9258C" w:rsidRPr="00FD6A6A">
        <w:t>in</w:t>
      </w:r>
      <w:r w:rsidR="00541D05">
        <w:t xml:space="preserve"> </w:t>
      </w:r>
      <w:r w:rsidR="00D9258C" w:rsidRPr="00FD6A6A">
        <w:t>the</w:t>
      </w:r>
      <w:r w:rsidR="00541D05">
        <w:t xml:space="preserve"> </w:t>
      </w:r>
      <w:r w:rsidR="00D9258C" w:rsidRPr="00FD6A6A">
        <w:t>processes</w:t>
      </w:r>
      <w:r w:rsidR="00541D05">
        <w:t xml:space="preserve"> </w:t>
      </w:r>
      <w:r w:rsidR="00D9258C" w:rsidRPr="00FD6A6A">
        <w:t>for</w:t>
      </w:r>
      <w:r w:rsidR="00541D05">
        <w:t xml:space="preserve"> </w:t>
      </w:r>
      <w:r w:rsidR="00D9258C" w:rsidRPr="00FD6A6A">
        <w:t>assessment</w:t>
      </w:r>
      <w:r w:rsidR="00541D05">
        <w:t xml:space="preserve"> </w:t>
      </w:r>
      <w:r w:rsidR="00D9258C" w:rsidRPr="00FD6A6A">
        <w:t>of</w:t>
      </w:r>
      <w:r w:rsidR="00541D05">
        <w:t xml:space="preserve"> </w:t>
      </w:r>
      <w:r w:rsidR="00D9258C" w:rsidRPr="00FD6A6A">
        <w:t>merits</w:t>
      </w:r>
      <w:r w:rsidR="00541D05">
        <w:t xml:space="preserve"> </w:t>
      </w:r>
      <w:r w:rsidR="00D9258C" w:rsidRPr="00FD6A6A">
        <w:t>and</w:t>
      </w:r>
      <w:r w:rsidR="00541D05">
        <w:t xml:space="preserve"> </w:t>
      </w:r>
      <w:r w:rsidR="00D9258C" w:rsidRPr="00FD6A6A">
        <w:t>approval</w:t>
      </w:r>
      <w:r w:rsidR="00541D05">
        <w:t xml:space="preserve"> </w:t>
      </w:r>
      <w:r w:rsidR="00D9258C" w:rsidRPr="00FD6A6A">
        <w:t>by</w:t>
      </w:r>
      <w:r w:rsidR="00541D05">
        <w:t xml:space="preserve"> </w:t>
      </w:r>
      <w:r w:rsidR="00D9258C" w:rsidRPr="00FD6A6A">
        <w:t>the</w:t>
      </w:r>
      <w:r w:rsidR="00541D05">
        <w:t xml:space="preserve"> </w:t>
      </w:r>
      <w:r w:rsidR="00D9258C" w:rsidRPr="00FD6A6A">
        <w:t>Federal</w:t>
      </w:r>
      <w:r w:rsidR="00541D05">
        <w:t xml:space="preserve"> </w:t>
      </w:r>
      <w:r w:rsidR="00D9258C" w:rsidRPr="00FD6A6A">
        <w:t>Senate,</w:t>
      </w:r>
      <w:r w:rsidR="00541D05">
        <w:t xml:space="preserve"> </w:t>
      </w:r>
      <w:r w:rsidR="00D9258C" w:rsidRPr="00FD6A6A">
        <w:t>and</w:t>
      </w:r>
      <w:r w:rsidR="00541D05">
        <w:t xml:space="preserve"> </w:t>
      </w:r>
      <w:r w:rsidR="00D9258C" w:rsidRPr="00FD6A6A">
        <w:t>it</w:t>
      </w:r>
      <w:r w:rsidR="00541D05">
        <w:t xml:space="preserve"> </w:t>
      </w:r>
      <w:r w:rsidR="00D9258C" w:rsidRPr="00FD6A6A">
        <w:t>is</w:t>
      </w:r>
      <w:r w:rsidR="00541D05">
        <w:t xml:space="preserve"> </w:t>
      </w:r>
      <w:r w:rsidR="00D9258C" w:rsidRPr="00FD6A6A">
        <w:t>currently</w:t>
      </w:r>
      <w:r w:rsidR="00541D05">
        <w:t xml:space="preserve"> </w:t>
      </w:r>
      <w:r w:rsidR="00D9258C" w:rsidRPr="00FD6A6A">
        <w:t>in</w:t>
      </w:r>
      <w:r w:rsidR="00541D05">
        <w:t xml:space="preserve"> </w:t>
      </w:r>
      <w:r w:rsidR="00D9258C" w:rsidRPr="00FD6A6A">
        <w:t>the</w:t>
      </w:r>
      <w:r w:rsidR="00541D05">
        <w:t xml:space="preserve"> </w:t>
      </w:r>
      <w:r w:rsidR="00D9258C" w:rsidRPr="00FD6A6A">
        <w:t>final</w:t>
      </w:r>
      <w:r w:rsidR="00541D05">
        <w:t xml:space="preserve"> </w:t>
      </w:r>
      <w:r w:rsidR="00D9258C" w:rsidRPr="00FD6A6A">
        <w:t>decision</w:t>
      </w:r>
      <w:r w:rsidR="00541D05">
        <w:t xml:space="preserve"> </w:t>
      </w:r>
      <w:r w:rsidR="00D9258C" w:rsidRPr="00FD6A6A">
        <w:t>stage.</w:t>
      </w:r>
    </w:p>
    <w:p w14:paraId="77B9B6FB" w14:textId="1EBD9B51" w:rsidR="00D9258C" w:rsidRPr="00FD6A6A" w:rsidRDefault="00D9258C" w:rsidP="00EE5A2A">
      <w:pPr>
        <w:pStyle w:val="HChG"/>
      </w:pPr>
      <w:r w:rsidRPr="00FD6A6A">
        <w:lastRenderedPageBreak/>
        <w:tab/>
        <w:t>VI.</w:t>
      </w:r>
      <w:r w:rsidRPr="00FD6A6A">
        <w:tab/>
        <w:t>Article</w:t>
      </w:r>
      <w:r w:rsidR="00541D05">
        <w:t xml:space="preserve"> </w:t>
      </w:r>
      <w:r w:rsidRPr="00FD6A6A">
        <w:t>5</w:t>
      </w:r>
      <w:r w:rsidR="00541D05">
        <w:t xml:space="preserve"> </w:t>
      </w:r>
      <w:r w:rsidRPr="00FD6A6A">
        <w:t>–</w:t>
      </w:r>
      <w:r w:rsidR="00541D05">
        <w:t xml:space="preserve"> </w:t>
      </w:r>
      <w:r w:rsidRPr="00FD6A6A">
        <w:t>Corporate</w:t>
      </w:r>
      <w:r w:rsidR="00541D05">
        <w:t xml:space="preserve"> </w:t>
      </w:r>
      <w:r w:rsidRPr="00FD6A6A">
        <w:t>rights</w:t>
      </w:r>
      <w:r w:rsidR="00541D05">
        <w:t xml:space="preserve"> </w:t>
      </w:r>
      <w:r w:rsidRPr="00FD6A6A">
        <w:t>of</w:t>
      </w:r>
      <w:r w:rsidR="00541D05">
        <w:t xml:space="preserve"> </w:t>
      </w:r>
      <w:r w:rsidRPr="00FD6A6A">
        <w:t>the</w:t>
      </w:r>
      <w:r w:rsidR="00541D05">
        <w:t xml:space="preserve"> </w:t>
      </w:r>
      <w:r w:rsidRPr="00FD6A6A">
        <w:t>Afro-Brazilian</w:t>
      </w:r>
      <w:r w:rsidR="00541D05">
        <w:t xml:space="preserve"> </w:t>
      </w:r>
      <w:r w:rsidRPr="00FD6A6A">
        <w:t>population</w:t>
      </w:r>
    </w:p>
    <w:p w14:paraId="2AADA954" w14:textId="7D83E25C" w:rsidR="00D9258C" w:rsidRPr="00FD6A6A" w:rsidRDefault="00D9258C" w:rsidP="00EE5A2A">
      <w:pPr>
        <w:pStyle w:val="H1G"/>
      </w:pPr>
      <w:r w:rsidRPr="00FD6A6A">
        <w:tab/>
      </w:r>
      <w:r w:rsidRPr="00FD6A6A">
        <w:tab/>
        <w:t>Work,</w:t>
      </w:r>
      <w:r w:rsidR="00541D05">
        <w:t xml:space="preserve"> </w:t>
      </w:r>
      <w:r w:rsidRPr="00FD6A6A">
        <w:t>education,</w:t>
      </w:r>
      <w:r w:rsidR="00541D05">
        <w:t xml:space="preserve"> </w:t>
      </w:r>
      <w:r w:rsidRPr="00FD6A6A">
        <w:t>inequality,</w:t>
      </w:r>
      <w:r w:rsidR="00541D05">
        <w:t xml:space="preserve"> </w:t>
      </w:r>
      <w:r w:rsidRPr="00FD6A6A">
        <w:t>and</w:t>
      </w:r>
      <w:r w:rsidR="00541D05">
        <w:t xml:space="preserve"> </w:t>
      </w:r>
      <w:r w:rsidRPr="00FD6A6A">
        <w:t>income</w:t>
      </w:r>
    </w:p>
    <w:p w14:paraId="6345D5F4" w14:textId="766E8CF0" w:rsidR="00D9258C" w:rsidRPr="00FD6A6A" w:rsidRDefault="00166390" w:rsidP="00166390">
      <w:pPr>
        <w:pStyle w:val="ParaNoG"/>
        <w:numPr>
          <w:ilvl w:val="0"/>
          <w:numId w:val="0"/>
        </w:numPr>
        <w:tabs>
          <w:tab w:val="left" w:pos="0"/>
        </w:tabs>
        <w:ind w:left="1134"/>
      </w:pPr>
      <w:r w:rsidRPr="00FD6A6A">
        <w:t>66.</w:t>
      </w:r>
      <w:r w:rsidRPr="00FD6A6A">
        <w:tab/>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there</w:t>
      </w:r>
      <w:r w:rsidR="00541D05">
        <w:t xml:space="preserve"> </w:t>
      </w:r>
      <w:r w:rsidR="00D9258C" w:rsidRPr="00FD6A6A">
        <w:t>has</w:t>
      </w:r>
      <w:r w:rsidR="00541D05">
        <w:t xml:space="preserve"> </w:t>
      </w:r>
      <w:r w:rsidR="00D9258C" w:rsidRPr="00FD6A6A">
        <w:t>been</w:t>
      </w:r>
      <w:r w:rsidR="00541D05">
        <w:t xml:space="preserve"> </w:t>
      </w:r>
      <w:r w:rsidR="00D9258C" w:rsidRPr="00FD6A6A">
        <w:t>a</w:t>
      </w:r>
      <w:r w:rsidR="00541D05">
        <w:t xml:space="preserve"> </w:t>
      </w:r>
      <w:r w:rsidR="00D9258C" w:rsidRPr="00FD6A6A">
        <w:t>gradual</w:t>
      </w:r>
      <w:r w:rsidR="00541D05">
        <w:t xml:space="preserve"> </w:t>
      </w:r>
      <w:r w:rsidR="00D9258C" w:rsidRPr="00FD6A6A">
        <w:t>expansion</w:t>
      </w:r>
      <w:r w:rsidR="00541D05">
        <w:t xml:space="preserve"> </w:t>
      </w:r>
      <w:r w:rsidR="00D9258C" w:rsidRPr="00FD6A6A">
        <w:t>of</w:t>
      </w:r>
      <w:r w:rsidR="00541D05">
        <w:t xml:space="preserve"> </w:t>
      </w:r>
      <w:r w:rsidR="00D9258C" w:rsidRPr="00FD6A6A">
        <w:t>governmental</w:t>
      </w:r>
      <w:r w:rsidR="00541D05">
        <w:t xml:space="preserve"> </w:t>
      </w:r>
      <w:r w:rsidR="00D9258C" w:rsidRPr="00FD6A6A">
        <w:t>and</w:t>
      </w:r>
      <w:r w:rsidR="00541D05">
        <w:t xml:space="preserve"> </w:t>
      </w:r>
      <w:r w:rsidR="00D9258C" w:rsidRPr="00FD6A6A">
        <w:t>non-governmental</w:t>
      </w:r>
      <w:r w:rsidR="00541D05">
        <w:t xml:space="preserve"> </w:t>
      </w:r>
      <w:r w:rsidR="00D9258C" w:rsidRPr="00FD6A6A">
        <w:t>actions</w:t>
      </w:r>
      <w:r w:rsidR="00541D05">
        <w:t xml:space="preserve"> </w:t>
      </w:r>
      <w:r w:rsidR="00D9258C" w:rsidRPr="00FD6A6A">
        <w:t>seeking</w:t>
      </w:r>
      <w:r w:rsidR="00541D05">
        <w:t xml:space="preserve"> </w:t>
      </w:r>
      <w:r w:rsidR="00D9258C" w:rsidRPr="00FD6A6A">
        <w:t>to</w:t>
      </w:r>
      <w:r w:rsidR="00541D05">
        <w:t xml:space="preserve"> </w:t>
      </w:r>
      <w:r w:rsidR="00D9258C" w:rsidRPr="00FD6A6A">
        <w:t>speed</w:t>
      </w:r>
      <w:r w:rsidR="00541D05">
        <w:t xml:space="preserve"> </w:t>
      </w:r>
      <w:r w:rsidR="00D9258C" w:rsidRPr="00FD6A6A">
        <w:t>up</w:t>
      </w:r>
      <w:r w:rsidR="00541D05">
        <w:t xml:space="preserve"> </w:t>
      </w:r>
      <w:r w:rsidR="00D9258C" w:rsidRPr="00FD6A6A">
        <w:t>the</w:t>
      </w:r>
      <w:r w:rsidR="00541D05">
        <w:t xml:space="preserve"> </w:t>
      </w:r>
      <w:r w:rsidR="00D9258C" w:rsidRPr="00FD6A6A">
        <w:t>reduction</w:t>
      </w:r>
      <w:r w:rsidR="00541D05">
        <w:t xml:space="preserve"> </w:t>
      </w:r>
      <w:r w:rsidR="00D9258C" w:rsidRPr="00FD6A6A">
        <w:t>in</w:t>
      </w:r>
      <w:r w:rsidR="00541D05">
        <w:t xml:space="preserve"> </w:t>
      </w:r>
      <w:r w:rsidR="00D9258C" w:rsidRPr="00FD6A6A">
        <w:t>the</w:t>
      </w:r>
      <w:r w:rsidR="00541D05">
        <w:t xml:space="preserve"> </w:t>
      </w:r>
      <w:r w:rsidR="00D9258C" w:rsidRPr="00FD6A6A">
        <w:t>still</w:t>
      </w:r>
      <w:r w:rsidR="00541D05">
        <w:t xml:space="preserve"> </w:t>
      </w:r>
      <w:r w:rsidR="00D9258C" w:rsidRPr="00FD6A6A">
        <w:t>high</w:t>
      </w:r>
      <w:r w:rsidR="00541D05">
        <w:t xml:space="preserve"> </w:t>
      </w:r>
      <w:r w:rsidR="00D9258C" w:rsidRPr="00FD6A6A">
        <w:t>numbers</w:t>
      </w:r>
      <w:r w:rsidR="00541D05">
        <w:t xml:space="preserve"> </w:t>
      </w:r>
      <w:r w:rsidR="00D9258C" w:rsidRPr="00FD6A6A">
        <w:t>of</w:t>
      </w:r>
      <w:r w:rsidR="00541D05">
        <w:t xml:space="preserve"> </w:t>
      </w:r>
      <w:r w:rsidR="00D9258C" w:rsidRPr="00FD6A6A">
        <w:t>racial</w:t>
      </w:r>
      <w:r w:rsidR="00541D05">
        <w:t xml:space="preserve"> </w:t>
      </w:r>
      <w:r w:rsidR="00D9258C" w:rsidRPr="00FD6A6A">
        <w:t>inequalities</w:t>
      </w:r>
      <w:r w:rsidR="00541D05">
        <w:t xml:space="preserve"> </w:t>
      </w:r>
      <w:r w:rsidR="00D9258C" w:rsidRPr="00FD6A6A">
        <w:t>in</w:t>
      </w:r>
      <w:r w:rsidR="00541D05">
        <w:t xml:space="preserve"> </w:t>
      </w:r>
      <w:r w:rsidR="00D9258C" w:rsidRPr="00FD6A6A">
        <w:t>Brazil.</w:t>
      </w:r>
      <w:r w:rsidR="00541D05">
        <w:t xml:space="preserve"> </w:t>
      </w:r>
      <w:r w:rsidR="00D9258C" w:rsidRPr="00FD6A6A">
        <w:t>Several</w:t>
      </w:r>
      <w:r w:rsidR="00541D05">
        <w:t xml:space="preserve"> </w:t>
      </w:r>
      <w:r w:rsidR="00D9258C" w:rsidRPr="00FD6A6A">
        <w:t>Actions</w:t>
      </w:r>
      <w:r w:rsidR="00541D05">
        <w:t xml:space="preserve"> </w:t>
      </w:r>
      <w:r w:rsidR="00D9258C" w:rsidRPr="00FD6A6A">
        <w:t>have</w:t>
      </w:r>
      <w:r w:rsidR="00541D05">
        <w:t xml:space="preserve"> </w:t>
      </w:r>
      <w:r w:rsidR="00D9258C" w:rsidRPr="00FD6A6A">
        <w:t>been</w:t>
      </w:r>
      <w:r w:rsidR="00541D05">
        <w:t xml:space="preserve"> </w:t>
      </w:r>
      <w:r w:rsidR="00D9258C" w:rsidRPr="00FD6A6A">
        <w:t>taken,</w:t>
      </w:r>
      <w:r w:rsidR="00541D05">
        <w:t xml:space="preserve"> </w:t>
      </w:r>
      <w:r w:rsidR="00D9258C" w:rsidRPr="00FD6A6A">
        <w:t>more</w:t>
      </w:r>
      <w:r w:rsidR="00541D05">
        <w:t xml:space="preserve"> </w:t>
      </w:r>
      <w:r w:rsidR="00D9258C" w:rsidRPr="00FD6A6A">
        <w:t>or</w:t>
      </w:r>
      <w:r w:rsidR="00541D05">
        <w:t xml:space="preserve"> </w:t>
      </w:r>
      <w:r w:rsidR="00D9258C" w:rsidRPr="00FD6A6A">
        <w:t>less</w:t>
      </w:r>
      <w:r w:rsidR="00541D05">
        <w:t xml:space="preserve"> </w:t>
      </w:r>
      <w:r w:rsidR="00D9258C" w:rsidRPr="00FD6A6A">
        <w:t>comprehensively,</w:t>
      </w:r>
      <w:r w:rsidR="00541D05">
        <w:t xml:space="preserve"> </w:t>
      </w:r>
      <w:r w:rsidR="00D9258C" w:rsidRPr="00FD6A6A">
        <w:t>with</w:t>
      </w:r>
      <w:r w:rsidR="00541D05">
        <w:t xml:space="preserve"> </w:t>
      </w:r>
      <w:r w:rsidR="00D9258C" w:rsidRPr="00FD6A6A">
        <w:t>different</w:t>
      </w:r>
      <w:r w:rsidR="00541D05">
        <w:t xml:space="preserve"> </w:t>
      </w:r>
      <w:r w:rsidR="00D9258C" w:rsidRPr="00FD6A6A">
        <w:t>levels</w:t>
      </w:r>
      <w:r w:rsidR="00541D05">
        <w:t xml:space="preserve"> </w:t>
      </w:r>
      <w:r w:rsidR="00D9258C" w:rsidRPr="00FD6A6A">
        <w:t>of</w:t>
      </w:r>
      <w:r w:rsidR="00541D05">
        <w:t xml:space="preserve"> </w:t>
      </w:r>
      <w:r w:rsidR="00D9258C" w:rsidRPr="00FD6A6A">
        <w:t>effectiveness,</w:t>
      </w:r>
      <w:r w:rsidR="00541D05">
        <w:t xml:space="preserve"> </w:t>
      </w:r>
      <w:r w:rsidR="00D9258C" w:rsidRPr="00FD6A6A">
        <w:t>directed</w:t>
      </w:r>
      <w:r w:rsidR="00541D05">
        <w:t xml:space="preserve"> </w:t>
      </w:r>
      <w:r w:rsidR="00D9258C" w:rsidRPr="00FD6A6A">
        <w:t>to</w:t>
      </w:r>
      <w:r w:rsidR="00541D05">
        <w:t xml:space="preserve"> </w:t>
      </w:r>
      <w:r w:rsidR="00D9258C" w:rsidRPr="00FD6A6A">
        <w:t>ensuring</w:t>
      </w:r>
      <w:r w:rsidR="00541D05">
        <w:t xml:space="preserve"> </w:t>
      </w:r>
      <w:r w:rsidR="00D9258C" w:rsidRPr="00FD6A6A">
        <w:t>that</w:t>
      </w:r>
      <w:r w:rsidR="00541D05">
        <w:t xml:space="preserve"> </w:t>
      </w:r>
      <w:r w:rsidR="00D9258C" w:rsidRPr="00FD6A6A">
        <w:t>the</w:t>
      </w:r>
      <w:r w:rsidR="00541D05">
        <w:t xml:space="preserve"> </w:t>
      </w:r>
      <w:r w:rsidR="00D9258C" w:rsidRPr="00FD6A6A">
        <w:t>Afro-Brazilian</w:t>
      </w:r>
      <w:r w:rsidR="00541D05">
        <w:t xml:space="preserve"> </w:t>
      </w:r>
      <w:r w:rsidR="00D9258C" w:rsidRPr="00FD6A6A">
        <w:t>people</w:t>
      </w:r>
      <w:r w:rsidR="00541D05">
        <w:t xml:space="preserve"> </w:t>
      </w:r>
      <w:r w:rsidR="00D9258C" w:rsidRPr="00FD6A6A">
        <w:t>have</w:t>
      </w:r>
      <w:r w:rsidR="00541D05">
        <w:t xml:space="preserve"> </w:t>
      </w:r>
      <w:r w:rsidR="00D9258C" w:rsidRPr="00FD6A6A">
        <w:t>an</w:t>
      </w:r>
      <w:r w:rsidR="00541D05">
        <w:t xml:space="preserve"> </w:t>
      </w:r>
      <w:r w:rsidR="00D9258C" w:rsidRPr="00FD6A6A">
        <w:t>improved</w:t>
      </w:r>
      <w:r w:rsidR="00541D05">
        <w:t xml:space="preserve"> </w:t>
      </w:r>
      <w:r w:rsidR="00D9258C" w:rsidRPr="00FD6A6A">
        <w:t>access</w:t>
      </w:r>
      <w:r w:rsidR="00541D05">
        <w:t xml:space="preserve"> </w:t>
      </w:r>
      <w:r w:rsidR="00D9258C" w:rsidRPr="00FD6A6A">
        <w:t>to</w:t>
      </w:r>
      <w:r w:rsidR="00541D05">
        <w:t xml:space="preserve"> </w:t>
      </w:r>
      <w:r w:rsidR="00D9258C" w:rsidRPr="00FD6A6A">
        <w:t>the</w:t>
      </w:r>
      <w:r w:rsidR="00541D05">
        <w:t xml:space="preserve"> </w:t>
      </w:r>
      <w:r w:rsidR="00D9258C" w:rsidRPr="00FD6A6A">
        <w:t>citizenship</w:t>
      </w:r>
      <w:r w:rsidR="00541D05">
        <w:t xml:space="preserve"> </w:t>
      </w:r>
      <w:r w:rsidR="00D9258C" w:rsidRPr="00FD6A6A">
        <w:t>rights</w:t>
      </w:r>
      <w:r w:rsidR="00541D05">
        <w:t xml:space="preserve"> </w:t>
      </w:r>
      <w:r w:rsidR="00D9258C" w:rsidRPr="00FD6A6A">
        <w:t>set</w:t>
      </w:r>
      <w:r w:rsidR="00541D05">
        <w:t xml:space="preserve"> </w:t>
      </w:r>
      <w:r w:rsidR="00D9258C" w:rsidRPr="00FD6A6A">
        <w:t>forth</w:t>
      </w:r>
      <w:r w:rsidR="00541D05">
        <w:t xml:space="preserve"> </w:t>
      </w:r>
      <w:r w:rsidR="00D9258C" w:rsidRPr="00FD6A6A">
        <w:t>in</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of</w:t>
      </w:r>
      <w:r w:rsidR="00541D05">
        <w:t xml:space="preserve"> </w:t>
      </w:r>
      <w:r w:rsidR="00D9258C" w:rsidRPr="00FD6A6A">
        <w:t>1988.</w:t>
      </w:r>
      <w:r w:rsidR="00541D05">
        <w:t xml:space="preserve"> </w:t>
      </w:r>
      <w:r w:rsidR="00D9258C" w:rsidRPr="00FD6A6A">
        <w:t>These</w:t>
      </w:r>
      <w:r w:rsidR="00541D05">
        <w:t xml:space="preserve"> </w:t>
      </w:r>
      <w:r w:rsidR="00D9258C" w:rsidRPr="00FD6A6A">
        <w:t>measures</w:t>
      </w:r>
      <w:r w:rsidR="00541D05">
        <w:t xml:space="preserve"> </w:t>
      </w:r>
      <w:r w:rsidR="00D9258C" w:rsidRPr="00FD6A6A">
        <w:t>were</w:t>
      </w:r>
      <w:r w:rsidR="00541D05">
        <w:t xml:space="preserve"> </w:t>
      </w:r>
      <w:r w:rsidR="00D9258C" w:rsidRPr="00FD6A6A">
        <w:t>varied</w:t>
      </w:r>
      <w:r w:rsidR="00541D05">
        <w:t xml:space="preserve"> </w:t>
      </w:r>
      <w:r w:rsidR="00D9258C" w:rsidRPr="00FD6A6A">
        <w:t>and</w:t>
      </w:r>
      <w:r w:rsidR="00541D05">
        <w:t xml:space="preserve"> </w:t>
      </w:r>
      <w:r w:rsidR="00D9258C" w:rsidRPr="00FD6A6A">
        <w:t>contemplated</w:t>
      </w:r>
      <w:r w:rsidR="00541D05">
        <w:t xml:space="preserve"> </w:t>
      </w:r>
      <w:r w:rsidR="00D9258C" w:rsidRPr="00FD6A6A">
        <w:t>the</w:t>
      </w:r>
      <w:r w:rsidR="00541D05">
        <w:t xml:space="preserve"> </w:t>
      </w:r>
      <w:r w:rsidR="00D9258C" w:rsidRPr="00FD6A6A">
        <w:t>domains</w:t>
      </w:r>
      <w:r w:rsidR="00541D05">
        <w:t xml:space="preserve"> </w:t>
      </w:r>
      <w:r w:rsidR="00D9258C" w:rsidRPr="00FD6A6A">
        <w:t>of</w:t>
      </w:r>
      <w:r w:rsidR="00541D05">
        <w:t xml:space="preserve"> </w:t>
      </w:r>
      <w:r w:rsidR="00D9258C" w:rsidRPr="00FD6A6A">
        <w:t>the</w:t>
      </w:r>
      <w:r w:rsidR="00541D05">
        <w:t xml:space="preserve"> </w:t>
      </w:r>
      <w:r w:rsidR="00D9258C" w:rsidRPr="00FD6A6A">
        <w:t>legal</w:t>
      </w:r>
      <w:r w:rsidR="00541D05">
        <w:t xml:space="preserve"> </w:t>
      </w:r>
      <w:r w:rsidR="00D9258C" w:rsidRPr="00FD6A6A">
        <w:t>system,</w:t>
      </w:r>
      <w:r w:rsidR="00541D05">
        <w:t xml:space="preserve"> </w:t>
      </w:r>
      <w:r w:rsidR="00D9258C" w:rsidRPr="00FD6A6A">
        <w:t>justice,</w:t>
      </w:r>
      <w:r w:rsidR="00541D05">
        <w:t xml:space="preserve"> </w:t>
      </w:r>
      <w:r w:rsidR="00D9258C" w:rsidRPr="00FD6A6A">
        <w:t>civil</w:t>
      </w:r>
      <w:r w:rsidR="00541D05">
        <w:t xml:space="preserve"> </w:t>
      </w:r>
      <w:r w:rsidR="00D9258C" w:rsidRPr="00FD6A6A">
        <w:t>society,</w:t>
      </w:r>
      <w:r w:rsidR="00541D05">
        <w:t xml:space="preserve"> </w:t>
      </w:r>
      <w:r w:rsidR="00D9258C" w:rsidRPr="00FD6A6A">
        <w:t>primary</w:t>
      </w:r>
      <w:r w:rsidR="00541D05">
        <w:t xml:space="preserve"> </w:t>
      </w:r>
      <w:r w:rsidR="00D9258C" w:rsidRPr="00FD6A6A">
        <w:t>and</w:t>
      </w:r>
      <w:r w:rsidR="00541D05">
        <w:t xml:space="preserve"> </w:t>
      </w:r>
      <w:r w:rsidR="00D9258C" w:rsidRPr="00FD6A6A">
        <w:t>higher</w:t>
      </w:r>
      <w:r w:rsidR="00541D05">
        <w:t xml:space="preserve"> </w:t>
      </w:r>
      <w:r w:rsidR="00D9258C" w:rsidRPr="00FD6A6A">
        <w:t>education,</w:t>
      </w:r>
      <w:r w:rsidR="00541D05">
        <w:t xml:space="preserve"> </w:t>
      </w:r>
      <w:r w:rsidR="00D9258C" w:rsidRPr="00FD6A6A">
        <w:t>culture,</w:t>
      </w:r>
      <w:r w:rsidR="00541D05">
        <w:t xml:space="preserve"> </w:t>
      </w:r>
      <w:r w:rsidR="00D9258C" w:rsidRPr="00FD6A6A">
        <w:t>health,</w:t>
      </w:r>
      <w:r w:rsidR="00541D05">
        <w:t xml:space="preserve"> </w:t>
      </w:r>
      <w:r w:rsidR="00D9258C" w:rsidRPr="00FD6A6A">
        <w:t>and</w:t>
      </w:r>
      <w:r w:rsidR="00541D05">
        <w:t xml:space="preserve"> </w:t>
      </w:r>
      <w:r w:rsidR="00D9258C" w:rsidRPr="00FD6A6A">
        <w:t>work.</w:t>
      </w:r>
    </w:p>
    <w:p w14:paraId="092DD4B3" w14:textId="4E463510" w:rsidR="00D9258C" w:rsidRPr="00FD6A6A" w:rsidRDefault="00166390" w:rsidP="00166390">
      <w:pPr>
        <w:pStyle w:val="ParaNoG"/>
        <w:numPr>
          <w:ilvl w:val="0"/>
          <w:numId w:val="0"/>
        </w:numPr>
        <w:tabs>
          <w:tab w:val="left" w:pos="0"/>
        </w:tabs>
        <w:ind w:left="1134"/>
      </w:pPr>
      <w:r w:rsidRPr="00FD6A6A">
        <w:t>67.</w:t>
      </w:r>
      <w:r w:rsidRPr="00FD6A6A">
        <w:tab/>
      </w:r>
      <w:r w:rsidR="00D9258C" w:rsidRPr="00FD6A6A">
        <w:t>The</w:t>
      </w:r>
      <w:r w:rsidR="00541D05">
        <w:t xml:space="preserve"> </w:t>
      </w:r>
      <w:r w:rsidR="00D9258C" w:rsidRPr="00FD6A6A">
        <w:t>Brazilian</w:t>
      </w:r>
      <w:r w:rsidR="00541D05">
        <w:t xml:space="preserve"> </w:t>
      </w:r>
      <w:r w:rsidR="00D9258C" w:rsidRPr="00FD6A6A">
        <w:t>social</w:t>
      </w:r>
      <w:r w:rsidR="00541D05">
        <w:t xml:space="preserve"> </w:t>
      </w:r>
      <w:r w:rsidR="00D9258C" w:rsidRPr="00FD6A6A">
        <w:t>agenda</w:t>
      </w:r>
      <w:r w:rsidR="00541D05">
        <w:t xml:space="preserve"> </w:t>
      </w:r>
      <w:r w:rsidR="00D9258C" w:rsidRPr="00FD6A6A">
        <w:t>recently</w:t>
      </w:r>
      <w:r w:rsidR="00541D05">
        <w:t xml:space="preserve"> </w:t>
      </w:r>
      <w:r w:rsidR="00D9258C" w:rsidRPr="00FD6A6A">
        <w:t>combined</w:t>
      </w:r>
      <w:r w:rsidR="00541D05">
        <w:t xml:space="preserve"> </w:t>
      </w:r>
      <w:r w:rsidR="00D9258C" w:rsidRPr="00FD6A6A">
        <w:t>universal</w:t>
      </w:r>
      <w:r w:rsidR="00541D05">
        <w:t xml:space="preserve"> </w:t>
      </w:r>
      <w:r w:rsidR="00D9258C" w:rsidRPr="00FD6A6A">
        <w:t>policies</w:t>
      </w:r>
      <w:r w:rsidR="00541D05">
        <w:t xml:space="preserve"> </w:t>
      </w:r>
      <w:r w:rsidR="00D9258C" w:rsidRPr="00FD6A6A">
        <w:t>and</w:t>
      </w:r>
      <w:r w:rsidR="00541D05">
        <w:t xml:space="preserve"> </w:t>
      </w:r>
      <w:r w:rsidR="00D9258C" w:rsidRPr="00FD6A6A">
        <w:t>inclusive</w:t>
      </w:r>
      <w:r w:rsidR="00541D05">
        <w:t xml:space="preserve"> </w:t>
      </w:r>
      <w:r w:rsidR="00D9258C" w:rsidRPr="00FD6A6A">
        <w:t>policies</w:t>
      </w:r>
      <w:r w:rsidR="00541D05">
        <w:t xml:space="preserve"> </w:t>
      </w:r>
      <w:r w:rsidR="00D9258C" w:rsidRPr="00FD6A6A">
        <w:t>based</w:t>
      </w:r>
      <w:r w:rsidR="00541D05">
        <w:t xml:space="preserve"> </w:t>
      </w:r>
      <w:r w:rsidR="00D9258C" w:rsidRPr="00FD6A6A">
        <w:t>on</w:t>
      </w:r>
      <w:r w:rsidR="00541D05">
        <w:t xml:space="preserve"> </w:t>
      </w:r>
      <w:r w:rsidR="00D9258C" w:rsidRPr="00FD6A6A">
        <w:t>programs</w:t>
      </w:r>
      <w:r w:rsidR="00541D05">
        <w:t xml:space="preserve"> </w:t>
      </w:r>
      <w:r w:rsidR="00D9258C" w:rsidRPr="00FD6A6A">
        <w:t>for</w:t>
      </w:r>
      <w:r w:rsidR="00541D05">
        <w:t xml:space="preserve"> </w:t>
      </w:r>
      <w:r w:rsidR="00D9258C" w:rsidRPr="00FD6A6A">
        <w:t>affirmative</w:t>
      </w:r>
      <w:r w:rsidR="00541D05">
        <w:t xml:space="preserve"> </w:t>
      </w:r>
      <w:r w:rsidR="00D9258C" w:rsidRPr="00FD6A6A">
        <w:t>actions,</w:t>
      </w:r>
      <w:r w:rsidR="00541D05">
        <w:t xml:space="preserve"> </w:t>
      </w:r>
      <w:r w:rsidR="00D9258C" w:rsidRPr="00FD6A6A">
        <w:t>protection,</w:t>
      </w:r>
      <w:r w:rsidR="00541D05">
        <w:t xml:space="preserve"> </w:t>
      </w:r>
      <w:r w:rsidR="00D9258C" w:rsidRPr="00FD6A6A">
        <w:t>and</w:t>
      </w:r>
      <w:r w:rsidR="00541D05">
        <w:t xml:space="preserve"> </w:t>
      </w:r>
      <w:r w:rsidR="00D9258C" w:rsidRPr="00FD6A6A">
        <w:t>social</w:t>
      </w:r>
      <w:r w:rsidR="00541D05">
        <w:t xml:space="preserve"> </w:t>
      </w:r>
      <w:r w:rsidR="00D9258C" w:rsidRPr="00FD6A6A">
        <w:t>promotion.</w:t>
      </w:r>
      <w:r w:rsidR="00541D05">
        <w:t xml:space="preserve"> </w:t>
      </w:r>
      <w:r w:rsidR="00D9258C" w:rsidRPr="00FD6A6A">
        <w:t>Extreme</w:t>
      </w:r>
      <w:r w:rsidR="00541D05">
        <w:t xml:space="preserve"> </w:t>
      </w:r>
      <w:r w:rsidR="00D9258C" w:rsidRPr="00FD6A6A">
        <w:t>poverty</w:t>
      </w:r>
      <w:r w:rsidR="00541D05">
        <w:t xml:space="preserve"> </w:t>
      </w:r>
      <w:r w:rsidR="00D9258C" w:rsidRPr="00FD6A6A">
        <w:t>presented</w:t>
      </w:r>
      <w:r w:rsidR="00541D05">
        <w:t xml:space="preserve"> </w:t>
      </w:r>
      <w:r w:rsidR="00D9258C" w:rsidRPr="00FD6A6A">
        <w:t>a</w:t>
      </w:r>
      <w:r w:rsidR="00541D05">
        <w:t xml:space="preserve"> </w:t>
      </w:r>
      <w:r w:rsidR="00D9258C" w:rsidRPr="00FD6A6A">
        <w:t>63%</w:t>
      </w:r>
      <w:r w:rsidR="00541D05">
        <w:t xml:space="preserve"> </w:t>
      </w:r>
      <w:r w:rsidR="00D9258C" w:rsidRPr="00FD6A6A">
        <w:t>decrease</w:t>
      </w:r>
      <w:r w:rsidR="00541D05">
        <w:t xml:space="preserve"> </w:t>
      </w:r>
      <w:r w:rsidR="00D9258C" w:rsidRPr="00FD6A6A">
        <w:t>from</w:t>
      </w:r>
      <w:r w:rsidR="00541D05">
        <w:t xml:space="preserve"> </w:t>
      </w:r>
      <w:r w:rsidR="00D9258C" w:rsidRPr="00FD6A6A">
        <w:t>2004</w:t>
      </w:r>
      <w:r w:rsidR="00541D05">
        <w:t xml:space="preserve"> </w:t>
      </w:r>
      <w:r w:rsidR="00D9258C" w:rsidRPr="00FD6A6A">
        <w:t>to</w:t>
      </w:r>
      <w:r w:rsidR="00541D05">
        <w:t xml:space="preserve"> </w:t>
      </w:r>
      <w:r w:rsidR="00D9258C" w:rsidRPr="00FD6A6A">
        <w:t>2014,</w:t>
      </w:r>
      <w:r w:rsidR="00541D05">
        <w:t xml:space="preserve"> </w:t>
      </w:r>
      <w:r w:rsidR="00D9258C" w:rsidRPr="00FD6A6A">
        <w:t>which</w:t>
      </w:r>
      <w:r w:rsidR="00541D05">
        <w:t xml:space="preserve"> </w:t>
      </w:r>
      <w:r w:rsidR="00D9258C" w:rsidRPr="00FD6A6A">
        <w:t>is</w:t>
      </w:r>
      <w:r w:rsidR="00541D05">
        <w:t xml:space="preserve"> </w:t>
      </w:r>
      <w:r w:rsidR="00D9258C" w:rsidRPr="00FD6A6A">
        <w:t>a</w:t>
      </w:r>
      <w:r w:rsidR="00541D05">
        <w:t xml:space="preserve"> </w:t>
      </w:r>
      <w:r w:rsidR="00D9258C" w:rsidRPr="00FD6A6A">
        <w:t>result,</w:t>
      </w:r>
      <w:r w:rsidR="00541D05">
        <w:t xml:space="preserve"> </w:t>
      </w:r>
      <w:r w:rsidR="00D9258C" w:rsidRPr="00FD6A6A">
        <w:t>above</w:t>
      </w:r>
      <w:r w:rsidR="00541D05">
        <w:t xml:space="preserve"> </w:t>
      </w:r>
      <w:r w:rsidR="00D9258C" w:rsidRPr="00FD6A6A">
        <w:t>all,</w:t>
      </w:r>
      <w:r w:rsidR="00541D05">
        <w:t xml:space="preserve"> </w:t>
      </w:r>
      <w:r w:rsidR="00D9258C" w:rsidRPr="00FD6A6A">
        <w:t>of</w:t>
      </w:r>
      <w:r w:rsidR="00541D05">
        <w:t xml:space="preserve"> </w:t>
      </w:r>
      <w:r w:rsidR="00D9258C" w:rsidRPr="00FD6A6A">
        <w:t>the</w:t>
      </w:r>
      <w:r w:rsidR="00541D05">
        <w:t xml:space="preserve"> </w:t>
      </w:r>
      <w:r w:rsidR="00D9258C" w:rsidRPr="00FD6A6A">
        <w:t>combination</w:t>
      </w:r>
      <w:r w:rsidR="00541D05">
        <w:t xml:space="preserve"> </w:t>
      </w:r>
      <w:r w:rsidR="00D9258C" w:rsidRPr="00FD6A6A">
        <w:t>of</w:t>
      </w:r>
      <w:r w:rsidR="00541D05">
        <w:t xml:space="preserve"> </w:t>
      </w:r>
      <w:r w:rsidR="00D9258C" w:rsidRPr="00FD6A6A">
        <w:t>improvement</w:t>
      </w:r>
      <w:r w:rsidR="00541D05">
        <w:t xml:space="preserve"> </w:t>
      </w:r>
      <w:r w:rsidR="00D9258C" w:rsidRPr="00FD6A6A">
        <w:t>in</w:t>
      </w:r>
      <w:r w:rsidR="00541D05">
        <w:t xml:space="preserve"> </w:t>
      </w:r>
      <w:r w:rsidR="00D9258C" w:rsidRPr="00FD6A6A">
        <w:t>the</w:t>
      </w:r>
      <w:r w:rsidR="00541D05">
        <w:t xml:space="preserve"> </w:t>
      </w:r>
      <w:r w:rsidR="00D9258C" w:rsidRPr="00FD6A6A">
        <w:t>employment</w:t>
      </w:r>
      <w:r w:rsidR="00541D05">
        <w:t xml:space="preserve"> </w:t>
      </w:r>
      <w:r w:rsidR="00D9258C" w:rsidRPr="00FD6A6A">
        <w:t>indicators,</w:t>
      </w:r>
      <w:r w:rsidR="00541D05">
        <w:t xml:space="preserve"> </w:t>
      </w:r>
      <w:r w:rsidR="00D9258C" w:rsidRPr="00FD6A6A">
        <w:t>in</w:t>
      </w:r>
      <w:r w:rsidR="00541D05">
        <w:t xml:space="preserve"> </w:t>
      </w:r>
      <w:r w:rsidR="00D9258C" w:rsidRPr="00FD6A6A">
        <w:t>the</w:t>
      </w:r>
      <w:r w:rsidR="00541D05">
        <w:t xml:space="preserve"> </w:t>
      </w:r>
      <w:r w:rsidR="00D9258C" w:rsidRPr="00FD6A6A">
        <w:t>income</w:t>
      </w:r>
      <w:r w:rsidR="00541D05">
        <w:t xml:space="preserve"> </w:t>
      </w:r>
      <w:r w:rsidR="00D9258C" w:rsidRPr="00FD6A6A">
        <w:t>related</w:t>
      </w:r>
      <w:r w:rsidR="00541D05">
        <w:t xml:space="preserve"> </w:t>
      </w:r>
      <w:r w:rsidR="00D9258C" w:rsidRPr="00FD6A6A">
        <w:t>to</w:t>
      </w:r>
      <w:r w:rsidR="00541D05">
        <w:t xml:space="preserve"> </w:t>
      </w:r>
      <w:r w:rsidR="00D9258C" w:rsidRPr="00FD6A6A">
        <w:t>work,</w:t>
      </w:r>
      <w:r w:rsidR="00541D05">
        <w:t xml:space="preserve"> </w:t>
      </w:r>
      <w:r w:rsidR="00D9258C" w:rsidRPr="00FD6A6A">
        <w:t>in</w:t>
      </w:r>
      <w:r w:rsidR="00541D05">
        <w:t xml:space="preserve"> </w:t>
      </w:r>
      <w:r w:rsidR="00D9258C" w:rsidRPr="00FD6A6A">
        <w:t>the</w:t>
      </w:r>
      <w:r w:rsidR="00541D05">
        <w:t xml:space="preserve"> </w:t>
      </w:r>
      <w:r w:rsidR="00D9258C" w:rsidRPr="00FD6A6A">
        <w:t>increase</w:t>
      </w:r>
      <w:r w:rsidR="00541D05">
        <w:t xml:space="preserve"> </w:t>
      </w:r>
      <w:r w:rsidR="00D9258C" w:rsidRPr="00FD6A6A">
        <w:t>in</w:t>
      </w:r>
      <w:r w:rsidR="00541D05">
        <w:t xml:space="preserve"> </w:t>
      </w:r>
      <w:r w:rsidR="00D9258C" w:rsidRPr="00FD6A6A">
        <w:t>social-security</w:t>
      </w:r>
      <w:r w:rsidR="00541D05">
        <w:t xml:space="preserve"> </w:t>
      </w:r>
      <w:r w:rsidR="00D9258C" w:rsidRPr="00FD6A6A">
        <w:t>coverage,</w:t>
      </w:r>
      <w:r w:rsidR="00541D05">
        <w:t xml:space="preserve"> </w:t>
      </w:r>
      <w:r w:rsidR="00D9258C" w:rsidRPr="00FD6A6A">
        <w:t>and</w:t>
      </w:r>
      <w:r w:rsidR="00541D05">
        <w:t xml:space="preserve"> </w:t>
      </w:r>
      <w:r w:rsidR="00D9258C" w:rsidRPr="00FD6A6A">
        <w:t>in</w:t>
      </w:r>
      <w:r w:rsidR="00541D05">
        <w:t xml:space="preserve"> </w:t>
      </w:r>
      <w:r w:rsidR="00D9258C" w:rsidRPr="00FD6A6A">
        <w:t>the</w:t>
      </w:r>
      <w:r w:rsidR="00541D05">
        <w:t xml:space="preserve"> </w:t>
      </w:r>
      <w:r w:rsidR="00D9258C" w:rsidRPr="00FD6A6A">
        <w:t>funds</w:t>
      </w:r>
      <w:r w:rsidR="00541D05">
        <w:t xml:space="preserve"> </w:t>
      </w:r>
      <w:r w:rsidR="00D9258C" w:rsidRPr="00FD6A6A">
        <w:t>disbursed</w:t>
      </w:r>
      <w:r w:rsidR="00541D05">
        <w:t xml:space="preserve"> </w:t>
      </w:r>
      <w:r w:rsidR="00D9258C" w:rsidRPr="00FD6A6A">
        <w:t>with</w:t>
      </w:r>
      <w:r w:rsidR="00541D05">
        <w:t xml:space="preserve"> </w:t>
      </w:r>
      <w:r w:rsidR="00D9258C" w:rsidRPr="00FD6A6A">
        <w:t>income</w:t>
      </w:r>
      <w:r w:rsidR="00541D05">
        <w:t xml:space="preserve"> </w:t>
      </w:r>
      <w:r w:rsidR="00D9258C" w:rsidRPr="00FD6A6A">
        <w:t>transfer</w:t>
      </w:r>
      <w:r w:rsidR="00541D05">
        <w:t xml:space="preserve"> </w:t>
      </w:r>
      <w:r w:rsidR="00D9258C" w:rsidRPr="00FD6A6A">
        <w:t>policies.</w:t>
      </w:r>
    </w:p>
    <w:p w14:paraId="3E458F73" w14:textId="6B238F88" w:rsidR="00D9258C" w:rsidRPr="00FD6A6A" w:rsidRDefault="00166390" w:rsidP="00166390">
      <w:pPr>
        <w:pStyle w:val="ParaNoG"/>
        <w:numPr>
          <w:ilvl w:val="0"/>
          <w:numId w:val="0"/>
        </w:numPr>
        <w:tabs>
          <w:tab w:val="left" w:pos="0"/>
        </w:tabs>
        <w:ind w:left="1134"/>
      </w:pPr>
      <w:r w:rsidRPr="00FD6A6A">
        <w:t>68.</w:t>
      </w:r>
      <w:r w:rsidRPr="00FD6A6A">
        <w:tab/>
      </w:r>
      <w:r w:rsidR="00D9258C" w:rsidRPr="00FD6A6A">
        <w:t>As</w:t>
      </w:r>
      <w:r w:rsidR="00541D05">
        <w:t xml:space="preserve"> </w:t>
      </w:r>
      <w:r w:rsidR="00D9258C" w:rsidRPr="00FD6A6A">
        <w:t>for</w:t>
      </w:r>
      <w:r w:rsidR="00541D05">
        <w:t xml:space="preserve"> </w:t>
      </w:r>
      <w:r w:rsidR="00D9258C" w:rsidRPr="00FD6A6A">
        <w:t>the</w:t>
      </w:r>
      <w:r w:rsidR="00541D05">
        <w:t xml:space="preserve"> </w:t>
      </w:r>
      <w:r w:rsidR="00D9258C" w:rsidRPr="00FD6A6A">
        <w:t>job</w:t>
      </w:r>
      <w:r w:rsidR="00541D05">
        <w:t xml:space="preserve"> </w:t>
      </w:r>
      <w:r w:rsidR="00D9258C" w:rsidRPr="00FD6A6A">
        <w:t>market</w:t>
      </w:r>
      <w:r w:rsidR="00541D05">
        <w:t xml:space="preserve"> </w:t>
      </w:r>
      <w:r w:rsidR="00D9258C" w:rsidRPr="00FD6A6A">
        <w:t>indicators,</w:t>
      </w:r>
      <w:r w:rsidR="00541D05">
        <w:t xml:space="preserve"> </w:t>
      </w:r>
      <w:r w:rsidR="00D9258C" w:rsidRPr="00FD6A6A">
        <w:t>informal</w:t>
      </w:r>
      <w:r w:rsidR="00541D05">
        <w:t xml:space="preserve"> </w:t>
      </w:r>
      <w:r w:rsidR="00D9258C" w:rsidRPr="00FD6A6A">
        <w:t>employment</w:t>
      </w:r>
      <w:r w:rsidR="00541D05">
        <w:t xml:space="preserve"> </w:t>
      </w:r>
      <w:r w:rsidR="00D9258C" w:rsidRPr="00FD6A6A">
        <w:t>rate</w:t>
      </w:r>
      <w:r w:rsidR="00541D05">
        <w:t xml:space="preserve"> </w:t>
      </w:r>
      <w:r w:rsidR="00D9258C" w:rsidRPr="00FD6A6A">
        <w:t>was</w:t>
      </w:r>
      <w:r w:rsidR="00541D05">
        <w:t xml:space="preserve"> </w:t>
      </w:r>
      <w:r w:rsidR="00D9258C" w:rsidRPr="00FD6A6A">
        <w:t>stable</w:t>
      </w:r>
      <w:r w:rsidR="00541D05">
        <w:t xml:space="preserve"> </w:t>
      </w:r>
      <w:r w:rsidR="00D9258C" w:rsidRPr="00FD6A6A">
        <w:t>both</w:t>
      </w:r>
      <w:r w:rsidR="00541D05">
        <w:t xml:space="preserve"> </w:t>
      </w:r>
      <w:r w:rsidR="00D9258C" w:rsidRPr="00FD6A6A">
        <w:t>for</w:t>
      </w:r>
      <w:r w:rsidR="00541D05">
        <w:t xml:space="preserve"> </w:t>
      </w:r>
      <w:r w:rsidR="00D9258C" w:rsidRPr="00FD6A6A">
        <w:t>White</w:t>
      </w:r>
      <w:r w:rsidR="00541D05">
        <w:t xml:space="preserve"> </w:t>
      </w:r>
      <w:r w:rsidR="00D9258C" w:rsidRPr="00FD6A6A">
        <w:t>and</w:t>
      </w:r>
      <w:r w:rsidR="00541D05">
        <w:t xml:space="preserve"> </w:t>
      </w:r>
      <w:r w:rsidR="00D9258C" w:rsidRPr="00FD6A6A">
        <w:t>Afro-Brazilians,</w:t>
      </w:r>
      <w:r w:rsidR="00541D05">
        <w:t xml:space="preserve"> </w:t>
      </w:r>
      <w:r w:rsidR="00D9258C" w:rsidRPr="00FD6A6A">
        <w:t>but</w:t>
      </w:r>
      <w:r w:rsidR="00541D05">
        <w:t xml:space="preserve"> </w:t>
      </w:r>
      <w:r w:rsidR="00D9258C" w:rsidRPr="00FD6A6A">
        <w:t>decreased</w:t>
      </w:r>
      <w:r w:rsidR="00541D05">
        <w:t xml:space="preserve"> </w:t>
      </w:r>
      <w:r w:rsidR="00D9258C" w:rsidRPr="00FD6A6A">
        <w:t>until</w:t>
      </w:r>
      <w:r w:rsidR="00541D05">
        <w:t xml:space="preserve"> </w:t>
      </w:r>
      <w:r w:rsidR="00D9258C" w:rsidRPr="00FD6A6A">
        <w:t>2015,</w:t>
      </w:r>
      <w:r w:rsidR="00541D05">
        <w:t xml:space="preserve"> </w:t>
      </w:r>
      <w:r w:rsidR="00D9258C" w:rsidRPr="00FD6A6A">
        <w:t>when</w:t>
      </w:r>
      <w:r w:rsidR="00541D05">
        <w:t xml:space="preserve"> </w:t>
      </w:r>
      <w:r w:rsidR="00D9258C" w:rsidRPr="00FD6A6A">
        <w:t>it</w:t>
      </w:r>
      <w:r w:rsidR="00541D05">
        <w:t xml:space="preserve"> </w:t>
      </w:r>
      <w:r w:rsidR="00D9258C" w:rsidRPr="00FD6A6A">
        <w:t>started</w:t>
      </w:r>
      <w:r w:rsidR="00541D05">
        <w:t xml:space="preserve"> </w:t>
      </w:r>
      <w:r w:rsidR="00D9258C" w:rsidRPr="00FD6A6A">
        <w:t>to</w:t>
      </w:r>
      <w:r w:rsidR="00541D05">
        <w:t xml:space="preserve"> </w:t>
      </w:r>
      <w:r w:rsidR="00D9258C" w:rsidRPr="00FD6A6A">
        <w:t>increase</w:t>
      </w:r>
      <w:r w:rsidR="00541D05">
        <w:t xml:space="preserve"> </w:t>
      </w:r>
      <w:r w:rsidR="00D9258C" w:rsidRPr="00FD6A6A">
        <w:t>again,</w:t>
      </w:r>
      <w:r w:rsidR="00541D05">
        <w:t xml:space="preserve"> </w:t>
      </w:r>
      <w:r w:rsidR="00D9258C" w:rsidRPr="00FD6A6A">
        <w:t>returning</w:t>
      </w:r>
      <w:r w:rsidR="00541D05">
        <w:t xml:space="preserve"> </w:t>
      </w:r>
      <w:r w:rsidR="00D9258C" w:rsidRPr="00FD6A6A">
        <w:t>to</w:t>
      </w:r>
      <w:r w:rsidR="00541D05">
        <w:t xml:space="preserve"> </w:t>
      </w:r>
      <w:r w:rsidR="00D9258C" w:rsidRPr="00FD6A6A">
        <w:t>2013</w:t>
      </w:r>
      <w:r w:rsidR="00541D05">
        <w:t xml:space="preserve"> </w:t>
      </w:r>
      <w:r w:rsidR="00D9258C" w:rsidRPr="00FD6A6A">
        <w:t>levels.</w:t>
      </w:r>
      <w:r w:rsidR="00541D05">
        <w:t xml:space="preserve"> </w:t>
      </w:r>
      <w:r w:rsidR="00D9258C" w:rsidRPr="00FD6A6A">
        <w:t>The</w:t>
      </w:r>
      <w:r w:rsidR="00541D05">
        <w:t xml:space="preserve"> </w:t>
      </w:r>
      <w:r w:rsidR="00D9258C" w:rsidRPr="00FD6A6A">
        <w:t>unemployment</w:t>
      </w:r>
      <w:r w:rsidR="00541D05">
        <w:t xml:space="preserve"> </w:t>
      </w:r>
      <w:r w:rsidR="00D9258C" w:rsidRPr="00FD6A6A">
        <w:t>rate</w:t>
      </w:r>
      <w:r w:rsidR="00541D05">
        <w:t xml:space="preserve"> </w:t>
      </w:r>
      <w:r w:rsidR="00D9258C" w:rsidRPr="00FD6A6A">
        <w:t>also</w:t>
      </w:r>
      <w:r w:rsidR="00541D05">
        <w:t xml:space="preserve"> </w:t>
      </w:r>
      <w:r w:rsidR="00D9258C" w:rsidRPr="00FD6A6A">
        <w:t>decreased</w:t>
      </w:r>
      <w:r w:rsidR="00541D05">
        <w:t xml:space="preserve"> </w:t>
      </w:r>
      <w:r w:rsidR="00D9258C" w:rsidRPr="00FD6A6A">
        <w:t>until</w:t>
      </w:r>
      <w:r w:rsidR="00541D05">
        <w:t xml:space="preserve"> </w:t>
      </w:r>
      <w:r w:rsidR="00D9258C" w:rsidRPr="00FD6A6A">
        <w:t>2012;</w:t>
      </w:r>
      <w:r w:rsidR="00541D05">
        <w:t xml:space="preserve"> </w:t>
      </w:r>
      <w:r w:rsidR="00D9258C" w:rsidRPr="00FD6A6A">
        <w:t>in</w:t>
      </w:r>
      <w:r w:rsidR="00541D05">
        <w:t xml:space="preserve"> </w:t>
      </w:r>
      <w:r w:rsidR="00D9258C" w:rsidRPr="00FD6A6A">
        <w:t>2013,</w:t>
      </w:r>
      <w:r w:rsidR="00541D05">
        <w:t xml:space="preserve"> </w:t>
      </w:r>
      <w:r w:rsidR="00D9258C" w:rsidRPr="00FD6A6A">
        <w:t>this</w:t>
      </w:r>
      <w:r w:rsidR="00541D05">
        <w:t xml:space="preserve"> </w:t>
      </w:r>
      <w:r w:rsidR="00D9258C" w:rsidRPr="00FD6A6A">
        <w:t>trend</w:t>
      </w:r>
      <w:r w:rsidR="00541D05">
        <w:t xml:space="preserve"> </w:t>
      </w:r>
      <w:r w:rsidR="00D9258C" w:rsidRPr="00FD6A6A">
        <w:t>started</w:t>
      </w:r>
      <w:r w:rsidR="00541D05">
        <w:t xml:space="preserve"> </w:t>
      </w:r>
      <w:r w:rsidR="00D9258C" w:rsidRPr="00FD6A6A">
        <w:t>to</w:t>
      </w:r>
      <w:r w:rsidR="00541D05">
        <w:t xml:space="preserve"> </w:t>
      </w:r>
      <w:r w:rsidR="00D9258C" w:rsidRPr="00FD6A6A">
        <w:t>change,</w:t>
      </w:r>
      <w:r w:rsidR="00541D05">
        <w:t xml:space="preserve"> </w:t>
      </w:r>
      <w:r w:rsidR="00D9258C" w:rsidRPr="00FD6A6A">
        <w:t>and,</w:t>
      </w:r>
      <w:r w:rsidR="00541D05">
        <w:t xml:space="preserve"> </w:t>
      </w:r>
      <w:r w:rsidR="00D9258C" w:rsidRPr="00FD6A6A">
        <w:t>as</w:t>
      </w:r>
      <w:r w:rsidR="00541D05">
        <w:t xml:space="preserve"> </w:t>
      </w:r>
      <w:r w:rsidR="00D9258C" w:rsidRPr="00FD6A6A">
        <w:t>of</w:t>
      </w:r>
      <w:r w:rsidR="00541D05">
        <w:t xml:space="preserve"> </w:t>
      </w:r>
      <w:r w:rsidR="00D9258C" w:rsidRPr="00FD6A6A">
        <w:t>2015,</w:t>
      </w:r>
      <w:r w:rsidR="00541D05">
        <w:t xml:space="preserve"> </w:t>
      </w:r>
      <w:r w:rsidR="00D9258C" w:rsidRPr="00FD6A6A">
        <w:t>the</w:t>
      </w:r>
      <w:r w:rsidR="00541D05">
        <w:t xml:space="preserve"> </w:t>
      </w:r>
      <w:r w:rsidR="00D9258C" w:rsidRPr="00FD6A6A">
        <w:t>most</w:t>
      </w:r>
      <w:r w:rsidR="00541D05">
        <w:t xml:space="preserve"> </w:t>
      </w:r>
      <w:r w:rsidR="00D9258C" w:rsidRPr="00FD6A6A">
        <w:t>intense</w:t>
      </w:r>
      <w:r w:rsidR="00541D05">
        <w:t xml:space="preserve"> </w:t>
      </w:r>
      <w:r w:rsidR="00D9258C" w:rsidRPr="00FD6A6A">
        <w:t>increase</w:t>
      </w:r>
      <w:r w:rsidR="00541D05">
        <w:t xml:space="preserve"> </w:t>
      </w:r>
      <w:r w:rsidR="00D9258C" w:rsidRPr="00FD6A6A">
        <w:t>started.</w:t>
      </w:r>
      <w:r w:rsidR="00541D05">
        <w:t xml:space="preserve"> </w:t>
      </w:r>
      <w:r w:rsidR="00D9258C" w:rsidRPr="00FD6A6A">
        <w:t>In</w:t>
      </w:r>
      <w:r w:rsidR="00541D05">
        <w:t xml:space="preserve"> </w:t>
      </w:r>
      <w:r w:rsidR="00D9258C" w:rsidRPr="00FD6A6A">
        <w:t>2012,</w:t>
      </w:r>
      <w:r w:rsidR="00541D05">
        <w:t xml:space="preserve"> </w:t>
      </w:r>
      <w:r w:rsidR="00D9258C" w:rsidRPr="00FD6A6A">
        <w:t>the</w:t>
      </w:r>
      <w:r w:rsidR="00541D05">
        <w:t xml:space="preserve"> </w:t>
      </w:r>
      <w:r w:rsidR="00D9258C" w:rsidRPr="00FD6A6A">
        <w:t>percentage</w:t>
      </w:r>
      <w:r w:rsidR="00541D05">
        <w:t xml:space="preserve"> </w:t>
      </w:r>
      <w:r w:rsidR="00D9258C" w:rsidRPr="00FD6A6A">
        <w:t>of</w:t>
      </w:r>
      <w:r w:rsidR="00541D05">
        <w:t xml:space="preserve"> </w:t>
      </w:r>
      <w:r w:rsidR="00D9258C" w:rsidRPr="00FD6A6A">
        <w:t>unemployed</w:t>
      </w:r>
      <w:r w:rsidR="00541D05">
        <w:t xml:space="preserve"> </w:t>
      </w:r>
      <w:r w:rsidR="00D9258C" w:rsidRPr="00FD6A6A">
        <w:t>Afro-Brazilians</w:t>
      </w:r>
      <w:r w:rsidR="00541D05">
        <w:t xml:space="preserve"> </w:t>
      </w:r>
      <w:r w:rsidR="00D9258C" w:rsidRPr="00FD6A6A">
        <w:t>was</w:t>
      </w:r>
      <w:r w:rsidR="00541D05">
        <w:t xml:space="preserve"> </w:t>
      </w:r>
      <w:r w:rsidR="00D9258C" w:rsidRPr="00FD6A6A">
        <w:t>6.9%,</w:t>
      </w:r>
      <w:r w:rsidR="00541D05">
        <w:t xml:space="preserve"> </w:t>
      </w:r>
      <w:r w:rsidR="00D9258C" w:rsidRPr="00FD6A6A">
        <w:t>and</w:t>
      </w:r>
      <w:r w:rsidR="00541D05">
        <w:t xml:space="preserve"> </w:t>
      </w:r>
      <w:r w:rsidR="00D9258C" w:rsidRPr="00FD6A6A">
        <w:t>it</w:t>
      </w:r>
      <w:r w:rsidR="00541D05">
        <w:t xml:space="preserve"> </w:t>
      </w:r>
      <w:r w:rsidR="00D9258C" w:rsidRPr="00FD6A6A">
        <w:t>increased</w:t>
      </w:r>
      <w:r w:rsidR="00541D05">
        <w:t xml:space="preserve"> </w:t>
      </w:r>
      <w:r w:rsidR="00D9258C" w:rsidRPr="00FD6A6A">
        <w:t>to</w:t>
      </w:r>
      <w:r w:rsidR="00541D05">
        <w:t xml:space="preserve"> </w:t>
      </w:r>
      <w:r w:rsidR="00D9258C" w:rsidRPr="00FD6A6A">
        <w:t>10.6%</w:t>
      </w:r>
      <w:r w:rsidR="00541D05">
        <w:t xml:space="preserve"> </w:t>
      </w:r>
      <w:r w:rsidR="00D9258C" w:rsidRPr="00FD6A6A">
        <w:t>in</w:t>
      </w:r>
      <w:r w:rsidR="00541D05">
        <w:t xml:space="preserve"> </w:t>
      </w:r>
      <w:r w:rsidR="00D9258C" w:rsidRPr="00FD6A6A">
        <w:t>2015.</w:t>
      </w:r>
      <w:r w:rsidR="00541D05">
        <w:t xml:space="preserve"> </w:t>
      </w:r>
      <w:r w:rsidR="00D9258C" w:rsidRPr="00FD6A6A">
        <w:t>Regardless</w:t>
      </w:r>
      <w:r w:rsidR="00541D05">
        <w:t xml:space="preserve"> </w:t>
      </w:r>
      <w:r w:rsidR="00D9258C" w:rsidRPr="00FD6A6A">
        <w:t>of</w:t>
      </w:r>
      <w:r w:rsidR="00541D05">
        <w:t xml:space="preserve"> </w:t>
      </w:r>
      <w:r w:rsidR="00D9258C" w:rsidRPr="00FD6A6A">
        <w:t>the</w:t>
      </w:r>
      <w:r w:rsidR="00541D05">
        <w:t xml:space="preserve"> </w:t>
      </w:r>
      <w:r w:rsidR="00D9258C" w:rsidRPr="00FD6A6A">
        <w:t>cycle,</w:t>
      </w:r>
      <w:r w:rsidR="00541D05">
        <w:t xml:space="preserve"> </w:t>
      </w:r>
      <w:r w:rsidR="00D9258C" w:rsidRPr="00FD6A6A">
        <w:t>however,</w:t>
      </w:r>
      <w:r w:rsidR="00541D05">
        <w:t xml:space="preserve"> </w:t>
      </w:r>
      <w:r w:rsidR="00D9258C" w:rsidRPr="00FD6A6A">
        <w:t>Afro-Brazilians</w:t>
      </w:r>
      <w:r w:rsidR="00541D05">
        <w:t xml:space="preserve"> </w:t>
      </w:r>
      <w:r w:rsidR="00D9258C" w:rsidRPr="00FD6A6A">
        <w:t>have</w:t>
      </w:r>
      <w:r w:rsidR="00541D05">
        <w:t xml:space="preserve"> </w:t>
      </w:r>
      <w:r w:rsidR="00D9258C" w:rsidRPr="00FD6A6A">
        <w:t>always</w:t>
      </w:r>
      <w:r w:rsidR="00541D05">
        <w:t xml:space="preserve"> </w:t>
      </w:r>
      <w:r w:rsidR="00D9258C" w:rsidRPr="00FD6A6A">
        <w:t>had</w:t>
      </w:r>
      <w:r w:rsidR="00541D05">
        <w:t xml:space="preserve"> </w:t>
      </w:r>
      <w:r w:rsidR="00D9258C" w:rsidRPr="00FD6A6A">
        <w:t>higher</w:t>
      </w:r>
      <w:r w:rsidR="00541D05">
        <w:t xml:space="preserve"> </w:t>
      </w:r>
      <w:r w:rsidR="00D9258C" w:rsidRPr="00FD6A6A">
        <w:t>unemployment</w:t>
      </w:r>
      <w:r w:rsidR="00541D05">
        <w:t xml:space="preserve"> </w:t>
      </w:r>
      <w:r w:rsidR="00D9258C" w:rsidRPr="00FD6A6A">
        <w:t>rates</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White.</w:t>
      </w:r>
    </w:p>
    <w:p w14:paraId="0D9D0001" w14:textId="4CEAEA19" w:rsidR="00D9258C" w:rsidRPr="00FD6A6A" w:rsidRDefault="00166390" w:rsidP="00166390">
      <w:pPr>
        <w:pStyle w:val="ParaNoG"/>
        <w:numPr>
          <w:ilvl w:val="0"/>
          <w:numId w:val="0"/>
        </w:numPr>
        <w:tabs>
          <w:tab w:val="left" w:pos="0"/>
        </w:tabs>
        <w:ind w:left="1134"/>
      </w:pPr>
      <w:r w:rsidRPr="00FD6A6A">
        <w:t>69.</w:t>
      </w:r>
      <w:r w:rsidRPr="00FD6A6A">
        <w:tab/>
      </w:r>
      <w:r w:rsidR="00D9258C" w:rsidRPr="00FD6A6A">
        <w:t>Income</w:t>
      </w:r>
      <w:r w:rsidR="00541D05">
        <w:t xml:space="preserve"> </w:t>
      </w:r>
      <w:r w:rsidR="00D9258C" w:rsidRPr="00FD6A6A">
        <w:t>from</w:t>
      </w:r>
      <w:r w:rsidR="00541D05">
        <w:t xml:space="preserve"> </w:t>
      </w:r>
      <w:r w:rsidR="00D9258C" w:rsidRPr="00FD6A6A">
        <w:t>labor</w:t>
      </w:r>
      <w:r w:rsidR="00541D05">
        <w:t xml:space="preserve"> </w:t>
      </w:r>
      <w:r w:rsidR="00D9258C" w:rsidRPr="00FD6A6A">
        <w:t>also</w:t>
      </w:r>
      <w:r w:rsidR="00541D05">
        <w:t xml:space="preserve"> </w:t>
      </w:r>
      <w:r w:rsidR="00D9258C" w:rsidRPr="00FD6A6A">
        <w:t>increased</w:t>
      </w:r>
      <w:r w:rsidR="00541D05">
        <w:t xml:space="preserve"> </w:t>
      </w:r>
      <w:r w:rsidR="00D9258C" w:rsidRPr="00FD6A6A">
        <w:t>from</w:t>
      </w:r>
      <w:r w:rsidR="00541D05">
        <w:t xml:space="preserve"> </w:t>
      </w:r>
      <w:r w:rsidR="00D9258C" w:rsidRPr="00FD6A6A">
        <w:t>2004</w:t>
      </w:r>
      <w:r w:rsidR="00541D05">
        <w:t xml:space="preserve"> </w:t>
      </w:r>
      <w:r w:rsidR="00D9258C" w:rsidRPr="00FD6A6A">
        <w:t>to</w:t>
      </w:r>
      <w:r w:rsidR="00541D05">
        <w:t xml:space="preserve"> </w:t>
      </w:r>
      <w:r w:rsidR="00D9258C" w:rsidRPr="00FD6A6A">
        <w:t>2015,</w:t>
      </w:r>
      <w:r w:rsidR="00541D05">
        <w:t xml:space="preserve"> </w:t>
      </w:r>
      <w:r w:rsidR="00D9258C" w:rsidRPr="00FD6A6A">
        <w:t>with</w:t>
      </w:r>
      <w:r w:rsidR="00541D05">
        <w:t xml:space="preserve"> </w:t>
      </w:r>
      <w:r w:rsidR="00D9258C" w:rsidRPr="00FD6A6A">
        <w:t>a</w:t>
      </w:r>
      <w:r w:rsidR="00541D05">
        <w:t xml:space="preserve"> </w:t>
      </w:r>
      <w:r w:rsidR="00D9258C" w:rsidRPr="00FD6A6A">
        <w:t>6.76%</w:t>
      </w:r>
      <w:r w:rsidR="00541D05">
        <w:t xml:space="preserve"> </w:t>
      </w:r>
      <w:r w:rsidR="00D9258C" w:rsidRPr="00FD6A6A">
        <w:t>decrease</w:t>
      </w:r>
      <w:r w:rsidR="00541D05">
        <w:t xml:space="preserve"> </w:t>
      </w:r>
      <w:r w:rsidR="00D9258C" w:rsidRPr="00FD6A6A">
        <w:t>in</w:t>
      </w:r>
      <w:r w:rsidR="00541D05">
        <w:t xml:space="preserve"> </w:t>
      </w:r>
      <w:r w:rsidR="00D9258C" w:rsidRPr="00FD6A6A">
        <w:t>inequality</w:t>
      </w:r>
      <w:r w:rsidR="00541D05">
        <w:t xml:space="preserve"> </w:t>
      </w:r>
      <w:r w:rsidR="00D9258C" w:rsidRPr="00FD6A6A">
        <w:t>between</w:t>
      </w:r>
      <w:r w:rsidR="00541D05">
        <w:t xml:space="preserve"> </w:t>
      </w:r>
      <w:r w:rsidR="00D9258C" w:rsidRPr="00FD6A6A">
        <w:t>Afro-Brazilians</w:t>
      </w:r>
      <w:r w:rsidR="00541D05">
        <w:t xml:space="preserve"> </w:t>
      </w:r>
      <w:r w:rsidR="00D9258C" w:rsidRPr="00FD6A6A">
        <w:t>and</w:t>
      </w:r>
      <w:r w:rsidR="00541D05">
        <w:t xml:space="preserve"> </w:t>
      </w:r>
      <w:r w:rsidR="00D9258C" w:rsidRPr="00FD6A6A">
        <w:t>White.</w:t>
      </w:r>
      <w:r w:rsidR="00541D05">
        <w:t xml:space="preserve"> </w:t>
      </w:r>
      <w:r w:rsidR="00D9258C" w:rsidRPr="00FD6A6A">
        <w:t>However,</w:t>
      </w:r>
      <w:r w:rsidR="00541D05">
        <w:t xml:space="preserve"> </w:t>
      </w:r>
      <w:r w:rsidR="00D9258C" w:rsidRPr="00FD6A6A">
        <w:t>the</w:t>
      </w:r>
      <w:r w:rsidR="00541D05">
        <w:t xml:space="preserve"> </w:t>
      </w:r>
      <w:r w:rsidR="00D9258C" w:rsidRPr="00FD6A6A">
        <w:t>differences</w:t>
      </w:r>
      <w:r w:rsidR="00541D05">
        <w:t xml:space="preserve"> </w:t>
      </w:r>
      <w:r w:rsidR="00D9258C" w:rsidRPr="00FD6A6A">
        <w:t>are</w:t>
      </w:r>
      <w:r w:rsidR="00541D05">
        <w:t xml:space="preserve"> </w:t>
      </w:r>
      <w:r w:rsidR="00D9258C" w:rsidRPr="00FD6A6A">
        <w:t>still</w:t>
      </w:r>
      <w:r w:rsidR="00541D05">
        <w:t xml:space="preserve"> </w:t>
      </w:r>
      <w:r w:rsidR="00D9258C" w:rsidRPr="00FD6A6A">
        <w:t>stark</w:t>
      </w:r>
      <w:r w:rsidR="00541D05">
        <w:t xml:space="preserve"> </w:t>
      </w:r>
      <w:r w:rsidR="00D9258C" w:rsidRPr="00FD6A6A">
        <w:t>between</w:t>
      </w:r>
      <w:r w:rsidR="00541D05">
        <w:t xml:space="preserve"> </w:t>
      </w:r>
      <w:r w:rsidR="00D9258C" w:rsidRPr="00FD6A6A">
        <w:t>both</w:t>
      </w:r>
      <w:r w:rsidR="00541D05">
        <w:t xml:space="preserve"> </w:t>
      </w:r>
      <w:r w:rsidR="00D9258C" w:rsidRPr="00FD6A6A">
        <w:t>groups:</w:t>
      </w:r>
      <w:r w:rsidR="00541D05">
        <w:t xml:space="preserve"> </w:t>
      </w:r>
      <w:r w:rsidR="00D9258C" w:rsidRPr="00FD6A6A">
        <w:t>in</w:t>
      </w:r>
      <w:r w:rsidR="00541D05">
        <w:t xml:space="preserve"> </w:t>
      </w:r>
      <w:r w:rsidR="00D9258C" w:rsidRPr="00FD6A6A">
        <w:t>2015,</w:t>
      </w:r>
      <w:r w:rsidR="00541D05">
        <w:t xml:space="preserve"> </w:t>
      </w:r>
      <w:r w:rsidR="00D9258C" w:rsidRPr="00FD6A6A">
        <w:t>Afro-Brazilians</w:t>
      </w:r>
      <w:r w:rsidR="00541D05">
        <w:t xml:space="preserve"> </w:t>
      </w:r>
      <w:r w:rsidR="00D9258C" w:rsidRPr="00FD6A6A">
        <w:t>earned</w:t>
      </w:r>
      <w:r w:rsidR="00541D05">
        <w:t xml:space="preserve"> </w:t>
      </w:r>
      <w:r w:rsidR="00D9258C" w:rsidRPr="00FD6A6A">
        <w:t>58.21%</w:t>
      </w:r>
      <w:r w:rsidR="00541D05">
        <w:t xml:space="preserve"> </w:t>
      </w:r>
      <w:r w:rsidR="00D9258C" w:rsidRPr="00FD6A6A">
        <w:t>of</w:t>
      </w:r>
      <w:r w:rsidR="00541D05">
        <w:t xml:space="preserve"> </w:t>
      </w:r>
      <w:r w:rsidR="00D9258C" w:rsidRPr="00FD6A6A">
        <w:t>the</w:t>
      </w:r>
      <w:r w:rsidR="00541D05">
        <w:t xml:space="preserve"> </w:t>
      </w:r>
      <w:r w:rsidR="00D9258C" w:rsidRPr="00FD6A6A">
        <w:t>average</w:t>
      </w:r>
      <w:r w:rsidR="00541D05">
        <w:t xml:space="preserve"> </w:t>
      </w:r>
      <w:r w:rsidR="00D9258C" w:rsidRPr="00FD6A6A">
        <w:t>income</w:t>
      </w:r>
      <w:r w:rsidR="00541D05">
        <w:t xml:space="preserve"> </w:t>
      </w:r>
      <w:r w:rsidR="00D9258C" w:rsidRPr="00FD6A6A">
        <w:t>earned</w:t>
      </w:r>
      <w:r w:rsidR="00541D05">
        <w:t xml:space="preserve"> </w:t>
      </w:r>
      <w:r w:rsidR="00D9258C" w:rsidRPr="00FD6A6A">
        <w:t>by</w:t>
      </w:r>
      <w:r w:rsidR="00541D05">
        <w:t xml:space="preserve"> </w:t>
      </w:r>
      <w:r w:rsidR="00D9258C" w:rsidRPr="00FD6A6A">
        <w:t>White</w:t>
      </w:r>
      <w:r w:rsidR="00541D05">
        <w:t xml:space="preserve"> </w:t>
      </w:r>
      <w:r w:rsidR="00D9258C" w:rsidRPr="00FD6A6A">
        <w:t>population;</w:t>
      </w:r>
      <w:r w:rsidR="00541D05">
        <w:t xml:space="preserve"> </w:t>
      </w:r>
      <w:r w:rsidR="00D9258C" w:rsidRPr="00FD6A6A">
        <w:t>Afro-Brazilian</w:t>
      </w:r>
      <w:r w:rsidR="00541D05">
        <w:t xml:space="preserve"> </w:t>
      </w:r>
      <w:r w:rsidR="00D9258C" w:rsidRPr="00FD6A6A">
        <w:t>men</w:t>
      </w:r>
      <w:r w:rsidR="00541D05">
        <w:t xml:space="preserve"> </w:t>
      </w:r>
      <w:r w:rsidR="00D9258C" w:rsidRPr="00FD6A6A">
        <w:t>earned</w:t>
      </w:r>
      <w:r w:rsidR="00541D05">
        <w:t xml:space="preserve"> </w:t>
      </w:r>
      <w:r w:rsidR="00D9258C" w:rsidRPr="00FD6A6A">
        <w:t>57.14%</w:t>
      </w:r>
      <w:r w:rsidR="00541D05">
        <w:t xml:space="preserve"> </w:t>
      </w:r>
      <w:r w:rsidR="00D9258C" w:rsidRPr="00FD6A6A">
        <w:t>of</w:t>
      </w:r>
      <w:r w:rsidR="00541D05">
        <w:t xml:space="preserve"> </w:t>
      </w:r>
      <w:r w:rsidR="00D9258C" w:rsidRPr="00FD6A6A">
        <w:t>the</w:t>
      </w:r>
      <w:r w:rsidR="00541D05">
        <w:t xml:space="preserve"> </w:t>
      </w:r>
      <w:r w:rsidR="00D9258C" w:rsidRPr="00FD6A6A">
        <w:t>average</w:t>
      </w:r>
      <w:r w:rsidR="00541D05">
        <w:t xml:space="preserve"> </w:t>
      </w:r>
      <w:r w:rsidR="00D9258C" w:rsidRPr="00FD6A6A">
        <w:t>income</w:t>
      </w:r>
      <w:r w:rsidR="00541D05">
        <w:t xml:space="preserve"> </w:t>
      </w:r>
      <w:r w:rsidR="00D9258C" w:rsidRPr="00FD6A6A">
        <w:t>of</w:t>
      </w:r>
      <w:r w:rsidR="00541D05">
        <w:t xml:space="preserve"> </w:t>
      </w:r>
      <w:r w:rsidR="00D9258C" w:rsidRPr="00FD6A6A">
        <w:t>White</w:t>
      </w:r>
      <w:r w:rsidR="00541D05">
        <w:t xml:space="preserve"> </w:t>
      </w:r>
      <w:r w:rsidR="00D9258C" w:rsidRPr="00FD6A6A">
        <w:t>men,</w:t>
      </w:r>
      <w:r w:rsidR="00541D05">
        <w:t xml:space="preserve"> </w:t>
      </w:r>
      <w:r w:rsidR="00D9258C" w:rsidRPr="00FD6A6A">
        <w:t>and</w:t>
      </w:r>
      <w:r w:rsidR="00541D05">
        <w:t xml:space="preserve"> </w:t>
      </w:r>
      <w:r w:rsidR="00D9258C" w:rsidRPr="00FD6A6A">
        <w:t>Afro-Brazilian</w:t>
      </w:r>
      <w:r w:rsidR="00541D05">
        <w:t xml:space="preserve"> </w:t>
      </w:r>
      <w:r w:rsidR="00D9258C" w:rsidRPr="00FD6A6A">
        <w:t>women,</w:t>
      </w:r>
      <w:r w:rsidR="00541D05">
        <w:t xml:space="preserve"> </w:t>
      </w:r>
      <w:r w:rsidR="00D9258C" w:rsidRPr="00FD6A6A">
        <w:t>40.94%.</w:t>
      </w:r>
    </w:p>
    <w:p w14:paraId="5B15D5F1" w14:textId="6F312F27" w:rsidR="00D9258C" w:rsidRPr="00FD6A6A" w:rsidRDefault="00166390" w:rsidP="00166390">
      <w:pPr>
        <w:pStyle w:val="ParaNoG"/>
        <w:numPr>
          <w:ilvl w:val="0"/>
          <w:numId w:val="0"/>
        </w:numPr>
        <w:tabs>
          <w:tab w:val="left" w:pos="0"/>
        </w:tabs>
        <w:ind w:left="1134"/>
      </w:pPr>
      <w:r w:rsidRPr="00FD6A6A">
        <w:t>70.</w:t>
      </w:r>
      <w:r w:rsidRPr="00FD6A6A">
        <w:tab/>
      </w:r>
      <w:r w:rsidR="00D9258C" w:rsidRPr="00FD6A6A">
        <w:t>The</w:t>
      </w:r>
      <w:r w:rsidR="00541D05">
        <w:t xml:space="preserve"> </w:t>
      </w:r>
      <w:r w:rsidR="00D9258C" w:rsidRPr="00FD6A6A">
        <w:t>income</w:t>
      </w:r>
      <w:r w:rsidR="00541D05">
        <w:t xml:space="preserve"> </w:t>
      </w:r>
      <w:r w:rsidR="00D9258C" w:rsidRPr="00FD6A6A">
        <w:t>ratio</w:t>
      </w:r>
      <w:r w:rsidR="00541D05">
        <w:t xml:space="preserve"> </w:t>
      </w:r>
      <w:r w:rsidR="00D9258C" w:rsidRPr="00FD6A6A">
        <w:t>is</w:t>
      </w:r>
      <w:r w:rsidR="00541D05">
        <w:t xml:space="preserve"> </w:t>
      </w:r>
      <w:r w:rsidR="00D9258C" w:rsidRPr="00FD6A6A">
        <w:t>uneven,</w:t>
      </w:r>
      <w:r w:rsidR="00541D05">
        <w:t xml:space="preserve"> </w:t>
      </w:r>
      <w:r w:rsidR="00D9258C" w:rsidRPr="00FD6A6A">
        <w:t>even</w:t>
      </w:r>
      <w:r w:rsidR="00541D05">
        <w:t xml:space="preserve"> </w:t>
      </w:r>
      <w:r w:rsidR="00D9258C" w:rsidRPr="00FD6A6A">
        <w:t>when</w:t>
      </w:r>
      <w:r w:rsidR="00541D05">
        <w:t xml:space="preserve"> </w:t>
      </w:r>
      <w:r w:rsidR="00D9258C" w:rsidRPr="00FD6A6A">
        <w:t>the</w:t>
      </w:r>
      <w:r w:rsidR="00541D05">
        <w:t xml:space="preserve"> </w:t>
      </w:r>
      <w:r w:rsidR="00D9258C" w:rsidRPr="00FD6A6A">
        <w:t>different</w:t>
      </w:r>
      <w:r w:rsidR="00541D05">
        <w:t xml:space="preserve"> </w:t>
      </w:r>
      <w:r w:rsidR="00D9258C" w:rsidRPr="00FD6A6A">
        <w:t>forms</w:t>
      </w:r>
      <w:r w:rsidR="00541D05">
        <w:t xml:space="preserve"> </w:t>
      </w:r>
      <w:r w:rsidR="00D9258C" w:rsidRPr="00FD6A6A">
        <w:t>of</w:t>
      </w:r>
      <w:r w:rsidR="00541D05">
        <w:t xml:space="preserve"> </w:t>
      </w:r>
      <w:r w:rsidR="00D9258C" w:rsidRPr="00FD6A6A">
        <w:t>insertion</w:t>
      </w:r>
      <w:r w:rsidR="00541D05">
        <w:t xml:space="preserve"> </w:t>
      </w:r>
      <w:r w:rsidR="00D9258C" w:rsidRPr="00FD6A6A">
        <w:t>into</w:t>
      </w:r>
      <w:r w:rsidR="00541D05">
        <w:t xml:space="preserve"> </w:t>
      </w:r>
      <w:r w:rsidR="00D9258C" w:rsidRPr="00FD6A6A">
        <w:t>the</w:t>
      </w:r>
      <w:r w:rsidR="00541D05">
        <w:t xml:space="preserve"> </w:t>
      </w:r>
      <w:r w:rsidR="00D9258C" w:rsidRPr="00FD6A6A">
        <w:t>job</w:t>
      </w:r>
      <w:r w:rsidR="00541D05">
        <w:t xml:space="preserve"> </w:t>
      </w:r>
      <w:r w:rsidR="00D9258C" w:rsidRPr="00FD6A6A">
        <w:t>market</w:t>
      </w:r>
      <w:r w:rsidR="00541D05">
        <w:t xml:space="preserve"> </w:t>
      </w:r>
      <w:r w:rsidR="00D9258C" w:rsidRPr="00FD6A6A">
        <w:t>are</w:t>
      </w:r>
      <w:r w:rsidR="00541D05">
        <w:t xml:space="preserve"> </w:t>
      </w:r>
      <w:r w:rsidR="00D9258C" w:rsidRPr="00FD6A6A">
        <w:t>considered.</w:t>
      </w:r>
      <w:r w:rsidR="00541D05">
        <w:t xml:space="preserve"> </w:t>
      </w:r>
      <w:r w:rsidR="00D9258C" w:rsidRPr="00FD6A6A">
        <w:t>The</w:t>
      </w:r>
      <w:r w:rsidR="00541D05">
        <w:t xml:space="preserve"> </w:t>
      </w:r>
      <w:r w:rsidR="00D9258C" w:rsidRPr="00FD6A6A">
        <w:t>income</w:t>
      </w:r>
      <w:r w:rsidR="00541D05">
        <w:t xml:space="preserve"> </w:t>
      </w:r>
      <w:r w:rsidR="00D9258C" w:rsidRPr="00FD6A6A">
        <w:t>ratio</w:t>
      </w:r>
      <w:r w:rsidR="00541D05">
        <w:t xml:space="preserve"> </w:t>
      </w:r>
      <w:r w:rsidR="00D9258C" w:rsidRPr="00FD6A6A">
        <w:t>of</w:t>
      </w:r>
      <w:r w:rsidR="00541D05">
        <w:t xml:space="preserve"> </w:t>
      </w:r>
      <w:r w:rsidR="00D9258C" w:rsidRPr="00FD6A6A">
        <w:t>Afro-Brazilians</w:t>
      </w:r>
      <w:r w:rsidR="00541D05">
        <w:t xml:space="preserve"> </w:t>
      </w:r>
      <w:r w:rsidR="00D9258C" w:rsidRPr="00FD6A6A">
        <w:t>in</w:t>
      </w:r>
      <w:r w:rsidR="00541D05">
        <w:t xml:space="preserve"> </w:t>
      </w:r>
      <w:r w:rsidR="00D9258C" w:rsidRPr="00FD6A6A">
        <w:t>formal</w:t>
      </w:r>
      <w:r w:rsidR="00541D05">
        <w:t xml:space="preserve"> </w:t>
      </w:r>
      <w:r w:rsidR="00D9258C" w:rsidRPr="00FD6A6A">
        <w:t>occupations</w:t>
      </w:r>
      <w:r w:rsidR="00541D05">
        <w:t xml:space="preserve"> </w:t>
      </w:r>
      <w:r w:rsidR="00D9258C" w:rsidRPr="00FD6A6A">
        <w:t>was</w:t>
      </w:r>
      <w:r w:rsidR="00541D05">
        <w:t xml:space="preserve"> </w:t>
      </w:r>
      <w:r w:rsidR="00D9258C" w:rsidRPr="00FD6A6A">
        <w:t>61.4%,</w:t>
      </w:r>
      <w:r w:rsidR="00541D05">
        <w:t xml:space="preserve"> </w:t>
      </w:r>
      <w:r w:rsidR="00D9258C" w:rsidRPr="00FD6A6A">
        <w:t>in</w:t>
      </w:r>
      <w:r w:rsidR="00541D05">
        <w:t xml:space="preserve"> </w:t>
      </w:r>
      <w:r w:rsidR="00D9258C" w:rsidRPr="00FD6A6A">
        <w:t>comparison</w:t>
      </w:r>
      <w:r w:rsidR="00541D05">
        <w:t xml:space="preserve"> </w:t>
      </w:r>
      <w:r w:rsidR="00D9258C" w:rsidRPr="00FD6A6A">
        <w:t>with</w:t>
      </w:r>
      <w:r w:rsidR="00541D05">
        <w:t xml:space="preserve"> </w:t>
      </w:r>
      <w:r w:rsidR="00D9258C" w:rsidRPr="00FD6A6A">
        <w:t>the</w:t>
      </w:r>
      <w:r w:rsidR="00541D05">
        <w:t xml:space="preserve"> </w:t>
      </w:r>
      <w:r w:rsidR="00D9258C" w:rsidRPr="00FD6A6A">
        <w:t>income</w:t>
      </w:r>
      <w:r w:rsidR="00541D05">
        <w:t xml:space="preserve"> </w:t>
      </w:r>
      <w:r w:rsidR="00D9258C" w:rsidRPr="00FD6A6A">
        <w:t>of</w:t>
      </w:r>
      <w:r w:rsidR="00541D05">
        <w:t xml:space="preserve"> </w:t>
      </w:r>
      <w:r w:rsidR="00D9258C" w:rsidRPr="00FD6A6A">
        <w:t>White</w:t>
      </w:r>
      <w:r w:rsidR="00541D05">
        <w:t xml:space="preserve"> </w:t>
      </w:r>
      <w:r w:rsidR="00D9258C" w:rsidRPr="00FD6A6A">
        <w:t>in</w:t>
      </w:r>
      <w:r w:rsidR="00541D05">
        <w:t xml:space="preserve"> </w:t>
      </w:r>
      <w:r w:rsidR="00D9258C" w:rsidRPr="00FD6A6A">
        <w:t>the</w:t>
      </w:r>
      <w:r w:rsidR="00541D05">
        <w:t xml:space="preserve"> </w:t>
      </w:r>
      <w:r w:rsidR="00D9258C" w:rsidRPr="00FD6A6A">
        <w:t>same</w:t>
      </w:r>
      <w:r w:rsidR="00541D05">
        <w:t xml:space="preserve"> </w:t>
      </w:r>
      <w:r w:rsidR="00D9258C" w:rsidRPr="00FD6A6A">
        <w:t>types</w:t>
      </w:r>
      <w:r w:rsidR="00541D05">
        <w:t xml:space="preserve"> </w:t>
      </w:r>
      <w:r w:rsidR="00D9258C" w:rsidRPr="00FD6A6A">
        <w:t>of</w:t>
      </w:r>
      <w:r w:rsidR="00541D05">
        <w:t xml:space="preserve"> </w:t>
      </w:r>
      <w:r w:rsidR="00D9258C" w:rsidRPr="00FD6A6A">
        <w:t>occupation</w:t>
      </w:r>
      <w:r w:rsidR="00541D05">
        <w:t xml:space="preserve"> </w:t>
      </w:r>
      <w:r w:rsidR="00D9258C" w:rsidRPr="00FD6A6A">
        <w:t>in</w:t>
      </w:r>
      <w:r w:rsidR="00541D05">
        <w:t xml:space="preserve"> </w:t>
      </w:r>
      <w:r w:rsidR="00D9258C" w:rsidRPr="00FD6A6A">
        <w:t>2016.</w:t>
      </w:r>
      <w:r w:rsidR="00541D05">
        <w:t xml:space="preserve"> </w:t>
      </w:r>
      <w:r w:rsidR="00D9258C" w:rsidRPr="00FD6A6A">
        <w:t>In</w:t>
      </w:r>
      <w:r w:rsidR="00541D05">
        <w:t xml:space="preserve"> </w:t>
      </w:r>
      <w:r w:rsidR="00D9258C" w:rsidRPr="00FD6A6A">
        <w:t>informal</w:t>
      </w:r>
      <w:r w:rsidR="00541D05">
        <w:t xml:space="preserve"> </w:t>
      </w:r>
      <w:r w:rsidR="00D9258C" w:rsidRPr="00FD6A6A">
        <w:t>occupations,</w:t>
      </w:r>
      <w:r w:rsidR="00541D05">
        <w:t xml:space="preserve"> </w:t>
      </w:r>
      <w:r w:rsidR="00D9258C" w:rsidRPr="00FD6A6A">
        <w:t>the</w:t>
      </w:r>
      <w:r w:rsidR="00541D05">
        <w:t xml:space="preserve"> </w:t>
      </w:r>
      <w:r w:rsidR="00D9258C" w:rsidRPr="00FD6A6A">
        <w:t>differences</w:t>
      </w:r>
      <w:r w:rsidR="00541D05">
        <w:t xml:space="preserve"> </w:t>
      </w:r>
      <w:r w:rsidR="00D9258C" w:rsidRPr="00FD6A6A">
        <w:t>are</w:t>
      </w:r>
      <w:r w:rsidR="00541D05">
        <w:t xml:space="preserve"> </w:t>
      </w:r>
      <w:r w:rsidR="00D9258C" w:rsidRPr="00FD6A6A">
        <w:t>even</w:t>
      </w:r>
      <w:r w:rsidR="00541D05">
        <w:t xml:space="preserve"> </w:t>
      </w:r>
      <w:r w:rsidR="00D9258C" w:rsidRPr="00FD6A6A">
        <w:t>bigger</w:t>
      </w:r>
      <w:r w:rsidR="00541D05">
        <w:t xml:space="preserve"> </w:t>
      </w:r>
      <w:r w:rsidR="00D9258C" w:rsidRPr="00FD6A6A">
        <w:t>and</w:t>
      </w:r>
      <w:r w:rsidR="00541D05">
        <w:t xml:space="preserve"> </w:t>
      </w:r>
      <w:r w:rsidR="00D9258C" w:rsidRPr="00FD6A6A">
        <w:t>the</w:t>
      </w:r>
      <w:r w:rsidR="00541D05">
        <w:t xml:space="preserve"> </w:t>
      </w:r>
      <w:r w:rsidR="00D9258C" w:rsidRPr="00FD6A6A">
        <w:t>discrepancy</w:t>
      </w:r>
      <w:r w:rsidR="00541D05">
        <w:t xml:space="preserve"> </w:t>
      </w:r>
      <w:r w:rsidR="00D9258C" w:rsidRPr="00FD6A6A">
        <w:t>trend</w:t>
      </w:r>
      <w:r w:rsidR="00541D05">
        <w:t xml:space="preserve"> </w:t>
      </w:r>
      <w:r w:rsidR="00D9258C" w:rsidRPr="00FD6A6A">
        <w:t>is</w:t>
      </w:r>
      <w:r w:rsidR="00541D05">
        <w:t xml:space="preserve"> </w:t>
      </w:r>
      <w:r w:rsidR="00D9258C" w:rsidRPr="00FD6A6A">
        <w:t>even</w:t>
      </w:r>
      <w:r w:rsidR="00541D05">
        <w:t xml:space="preserve"> </w:t>
      </w:r>
      <w:r w:rsidR="00D9258C" w:rsidRPr="00FD6A6A">
        <w:t>more</w:t>
      </w:r>
      <w:r w:rsidR="00541D05">
        <w:t xml:space="preserve"> </w:t>
      </w:r>
      <w:r w:rsidR="00D9258C" w:rsidRPr="00FD6A6A">
        <w:t>intense:</w:t>
      </w:r>
      <w:r w:rsidR="00541D05">
        <w:t xml:space="preserve"> </w:t>
      </w:r>
      <w:r w:rsidR="00D9258C" w:rsidRPr="00FD6A6A">
        <w:t>in</w:t>
      </w:r>
      <w:r w:rsidR="00541D05">
        <w:t xml:space="preserve"> </w:t>
      </w:r>
      <w:r w:rsidR="00D9258C" w:rsidRPr="00FD6A6A">
        <w:t>2015,</w:t>
      </w:r>
      <w:r w:rsidR="00541D05">
        <w:t xml:space="preserve"> </w:t>
      </w:r>
      <w:r w:rsidR="00D9258C" w:rsidRPr="00FD6A6A">
        <w:t>Afro-Brazilians</w:t>
      </w:r>
      <w:r w:rsidR="00541D05">
        <w:t xml:space="preserve"> </w:t>
      </w:r>
      <w:r w:rsidR="00D9258C" w:rsidRPr="00FD6A6A">
        <w:t>inserted</w:t>
      </w:r>
      <w:r w:rsidR="00541D05">
        <w:t xml:space="preserve"> </w:t>
      </w:r>
      <w:r w:rsidR="00D9258C" w:rsidRPr="00FD6A6A">
        <w:t>into</w:t>
      </w:r>
      <w:r w:rsidR="00541D05">
        <w:t xml:space="preserve"> </w:t>
      </w:r>
      <w:r w:rsidR="00D9258C" w:rsidRPr="00FD6A6A">
        <w:t>the</w:t>
      </w:r>
      <w:r w:rsidR="00541D05">
        <w:t xml:space="preserve"> </w:t>
      </w:r>
      <w:r w:rsidR="00D9258C" w:rsidRPr="00FD6A6A">
        <w:t>informal</w:t>
      </w:r>
      <w:r w:rsidR="00541D05">
        <w:t xml:space="preserve"> </w:t>
      </w:r>
      <w:r w:rsidR="00D9258C" w:rsidRPr="00FD6A6A">
        <w:t>sectors</w:t>
      </w:r>
      <w:r w:rsidR="00541D05">
        <w:t xml:space="preserve"> </w:t>
      </w:r>
      <w:r w:rsidR="00D9258C" w:rsidRPr="00FD6A6A">
        <w:t>earned</w:t>
      </w:r>
      <w:r w:rsidR="00541D05">
        <w:t xml:space="preserve"> </w:t>
      </w:r>
      <w:r w:rsidR="00D9258C" w:rsidRPr="00FD6A6A">
        <w:t>62.3%</w:t>
      </w:r>
      <w:r w:rsidR="00541D05">
        <w:t xml:space="preserve"> </w:t>
      </w:r>
      <w:r w:rsidR="00D9258C" w:rsidRPr="00FD6A6A">
        <w:t>of</w:t>
      </w:r>
      <w:r w:rsidR="00541D05">
        <w:t xml:space="preserve"> </w:t>
      </w:r>
      <w:r w:rsidR="00D9258C" w:rsidRPr="00FD6A6A">
        <w:t>the</w:t>
      </w:r>
      <w:r w:rsidR="00541D05">
        <w:t xml:space="preserve"> </w:t>
      </w:r>
      <w:r w:rsidR="00D9258C" w:rsidRPr="00FD6A6A">
        <w:t>average</w:t>
      </w:r>
      <w:r w:rsidR="00541D05">
        <w:t xml:space="preserve"> </w:t>
      </w:r>
      <w:r w:rsidR="00D9258C" w:rsidRPr="00FD6A6A">
        <w:t>monthly</w:t>
      </w:r>
      <w:r w:rsidR="00541D05">
        <w:t xml:space="preserve"> </w:t>
      </w:r>
      <w:r w:rsidR="00D9258C" w:rsidRPr="00FD6A6A">
        <w:t>income</w:t>
      </w:r>
      <w:r w:rsidR="00541D05">
        <w:t xml:space="preserve"> </w:t>
      </w:r>
      <w:r w:rsidR="00D9258C" w:rsidRPr="00FD6A6A">
        <w:t>received</w:t>
      </w:r>
      <w:r w:rsidR="00541D05">
        <w:t xml:space="preserve"> </w:t>
      </w:r>
      <w:r w:rsidR="00D9258C" w:rsidRPr="00FD6A6A">
        <w:t>by</w:t>
      </w:r>
      <w:r w:rsidR="00541D05">
        <w:t xml:space="preserve"> </w:t>
      </w:r>
      <w:r w:rsidR="00D9258C" w:rsidRPr="00FD6A6A">
        <w:t>the</w:t>
      </w:r>
      <w:r w:rsidR="00541D05">
        <w:t xml:space="preserve"> </w:t>
      </w:r>
      <w:r w:rsidR="00D9258C" w:rsidRPr="00FD6A6A">
        <w:t>self-declared</w:t>
      </w:r>
      <w:r w:rsidR="00541D05">
        <w:t xml:space="preserve"> </w:t>
      </w:r>
      <w:r w:rsidR="00D9258C" w:rsidRPr="00FD6A6A">
        <w:t>White</w:t>
      </w:r>
      <w:r w:rsidR="00541D05">
        <w:t xml:space="preserve"> </w:t>
      </w:r>
      <w:r w:rsidR="00D9258C" w:rsidRPr="00FD6A6A">
        <w:t>population.</w:t>
      </w:r>
      <w:r w:rsidR="00541D05">
        <w:t xml:space="preserve"> </w:t>
      </w:r>
      <w:r w:rsidR="00D9258C" w:rsidRPr="00FD6A6A">
        <w:t>In</w:t>
      </w:r>
      <w:r w:rsidR="00541D05">
        <w:t xml:space="preserve"> </w:t>
      </w:r>
      <w:r w:rsidR="00D9258C" w:rsidRPr="00FD6A6A">
        <w:t>2016,</w:t>
      </w:r>
      <w:r w:rsidR="00541D05">
        <w:t xml:space="preserve"> </w:t>
      </w:r>
      <w:r w:rsidR="00D9258C" w:rsidRPr="00FD6A6A">
        <w:t>the</w:t>
      </w:r>
      <w:r w:rsidR="00541D05">
        <w:t xml:space="preserve"> </w:t>
      </w:r>
      <w:r w:rsidR="00D9258C" w:rsidRPr="00FD6A6A">
        <w:t>income</w:t>
      </w:r>
      <w:r w:rsidR="00541D05">
        <w:t xml:space="preserve"> </w:t>
      </w:r>
      <w:r w:rsidR="00D9258C" w:rsidRPr="00FD6A6A">
        <w:t>ratio</w:t>
      </w:r>
      <w:r w:rsidR="00541D05">
        <w:t xml:space="preserve"> </w:t>
      </w:r>
      <w:r w:rsidR="00D9258C" w:rsidRPr="00FD6A6A">
        <w:t>decreased</w:t>
      </w:r>
      <w:r w:rsidR="00541D05">
        <w:t xml:space="preserve"> </w:t>
      </w:r>
      <w:r w:rsidR="00D9258C" w:rsidRPr="00FD6A6A">
        <w:t>to</w:t>
      </w:r>
      <w:r w:rsidR="00541D05">
        <w:t xml:space="preserve"> </w:t>
      </w:r>
      <w:r w:rsidR="00D9258C" w:rsidRPr="00FD6A6A">
        <w:t>54.4%,</w:t>
      </w:r>
      <w:r w:rsidR="00541D05">
        <w:t xml:space="preserve"> </w:t>
      </w:r>
      <w:r w:rsidR="00D9258C" w:rsidRPr="00FD6A6A">
        <w:t>indicating</w:t>
      </w:r>
      <w:r w:rsidR="00541D05">
        <w:t xml:space="preserve"> </w:t>
      </w:r>
      <w:r w:rsidR="00D9258C" w:rsidRPr="00FD6A6A">
        <w:t>that</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is</w:t>
      </w:r>
      <w:r w:rsidR="00541D05">
        <w:t xml:space="preserve"> </w:t>
      </w:r>
      <w:r w:rsidR="00D9258C" w:rsidRPr="00FD6A6A">
        <w:t>more</w:t>
      </w:r>
      <w:r w:rsidR="00541D05">
        <w:t xml:space="preserve"> </w:t>
      </w:r>
      <w:r w:rsidR="00D9258C" w:rsidRPr="00FD6A6A">
        <w:t>vulnerable</w:t>
      </w:r>
      <w:r w:rsidR="00541D05">
        <w:t xml:space="preserve"> </w:t>
      </w:r>
      <w:r w:rsidR="00D9258C" w:rsidRPr="00FD6A6A">
        <w:t>to</w:t>
      </w:r>
      <w:r w:rsidR="00541D05">
        <w:t xml:space="preserve"> </w:t>
      </w:r>
      <w:r w:rsidR="00D9258C" w:rsidRPr="00FD6A6A">
        <w:t>the</w:t>
      </w:r>
      <w:r w:rsidR="00541D05">
        <w:t xml:space="preserve"> </w:t>
      </w:r>
      <w:r w:rsidR="00D9258C" w:rsidRPr="00FD6A6A">
        <w:t>cycles</w:t>
      </w:r>
      <w:r w:rsidR="00541D05">
        <w:t xml:space="preserve"> </w:t>
      </w:r>
      <w:r w:rsidR="00D9258C" w:rsidRPr="00FD6A6A">
        <w:t>of</w:t>
      </w:r>
      <w:r w:rsidR="00541D05">
        <w:t xml:space="preserve"> </w:t>
      </w:r>
      <w:r w:rsidR="00D9258C" w:rsidRPr="00FD6A6A">
        <w:t>economic</w:t>
      </w:r>
      <w:r w:rsidR="00541D05">
        <w:t xml:space="preserve"> </w:t>
      </w:r>
      <w:r w:rsidR="00D9258C" w:rsidRPr="00FD6A6A">
        <w:t>activities.</w:t>
      </w:r>
    </w:p>
    <w:p w14:paraId="6FBD6580" w14:textId="46B02967" w:rsidR="00D9258C" w:rsidRPr="00FD6A6A" w:rsidRDefault="00166390" w:rsidP="00166390">
      <w:pPr>
        <w:pStyle w:val="ParaNoG"/>
        <w:numPr>
          <w:ilvl w:val="0"/>
          <w:numId w:val="0"/>
        </w:numPr>
        <w:tabs>
          <w:tab w:val="left" w:pos="0"/>
        </w:tabs>
        <w:ind w:left="1134"/>
      </w:pPr>
      <w:r w:rsidRPr="00FD6A6A">
        <w:t>71.</w:t>
      </w:r>
      <w:r w:rsidRPr="00FD6A6A">
        <w:tab/>
      </w:r>
      <w:r w:rsidR="00D9258C" w:rsidRPr="00FD6A6A">
        <w:t>Paid</w:t>
      </w:r>
      <w:r w:rsidR="00541D05">
        <w:t xml:space="preserve"> </w:t>
      </w:r>
      <w:r w:rsidR="00D9258C" w:rsidRPr="00FD6A6A">
        <w:t>domestic</w:t>
      </w:r>
      <w:r w:rsidR="00541D05">
        <w:t xml:space="preserve"> </w:t>
      </w:r>
      <w:r w:rsidR="00D9258C" w:rsidRPr="00FD6A6A">
        <w:t>work</w:t>
      </w:r>
      <w:r w:rsidR="00541D05">
        <w:t xml:space="preserve"> </w:t>
      </w:r>
      <w:r w:rsidR="00D9258C" w:rsidRPr="00FD6A6A">
        <w:t>is</w:t>
      </w:r>
      <w:r w:rsidR="00541D05">
        <w:t xml:space="preserve"> </w:t>
      </w:r>
      <w:r w:rsidR="00D9258C" w:rsidRPr="00FD6A6A">
        <w:t>another</w:t>
      </w:r>
      <w:r w:rsidR="00541D05">
        <w:t xml:space="preserve"> </w:t>
      </w:r>
      <w:r w:rsidR="00D9258C" w:rsidRPr="00FD6A6A">
        <w:t>sector</w:t>
      </w:r>
      <w:r w:rsidR="00541D05">
        <w:t xml:space="preserve"> </w:t>
      </w:r>
      <w:r w:rsidR="00D9258C" w:rsidRPr="00FD6A6A">
        <w:t>characterized</w:t>
      </w:r>
      <w:r w:rsidR="00541D05">
        <w:t xml:space="preserve"> </w:t>
      </w:r>
      <w:r w:rsidR="00D9258C" w:rsidRPr="00FD6A6A">
        <w:t>by</w:t>
      </w:r>
      <w:r w:rsidR="00541D05">
        <w:t xml:space="preserve"> </w:t>
      </w:r>
      <w:r w:rsidR="00D9258C" w:rsidRPr="00FD6A6A">
        <w:t>a</w:t>
      </w:r>
      <w:r w:rsidR="00541D05">
        <w:t xml:space="preserve"> </w:t>
      </w:r>
      <w:r w:rsidR="00D9258C" w:rsidRPr="00FD6A6A">
        <w:t>majority</w:t>
      </w:r>
      <w:r w:rsidR="00541D05">
        <w:t xml:space="preserve"> </w:t>
      </w:r>
      <w:r w:rsidR="00D9258C" w:rsidRPr="00FD6A6A">
        <w:t>of</w:t>
      </w:r>
      <w:r w:rsidR="00541D05">
        <w:t xml:space="preserve"> </w:t>
      </w:r>
      <w:r w:rsidR="00D9258C" w:rsidRPr="00FD6A6A">
        <w:t>Afro-Brazilian</w:t>
      </w:r>
      <w:r w:rsidR="00541D05">
        <w:t xml:space="preserve"> </w:t>
      </w:r>
      <w:r w:rsidR="00D9258C" w:rsidRPr="00FD6A6A">
        <w:t>women</w:t>
      </w:r>
      <w:r w:rsidR="00541D05">
        <w:t xml:space="preserve"> </w:t>
      </w:r>
      <w:r w:rsidR="00D9258C" w:rsidRPr="00FD6A6A">
        <w:t>(67.15%</w:t>
      </w:r>
      <w:r w:rsidR="00541D05">
        <w:t xml:space="preserve"> </w:t>
      </w:r>
      <w:r w:rsidR="00D9258C" w:rsidRPr="00FD6A6A">
        <w:t>in</w:t>
      </w:r>
      <w:r w:rsidR="00541D05">
        <w:t xml:space="preserve"> </w:t>
      </w:r>
      <w:r w:rsidR="00D9258C" w:rsidRPr="00FD6A6A">
        <w:t>2016),</w:t>
      </w:r>
      <w:r w:rsidR="00541D05">
        <w:t xml:space="preserve"> </w:t>
      </w:r>
      <w:r w:rsidR="00D9258C" w:rsidRPr="00FD6A6A">
        <w:t>with</w:t>
      </w:r>
      <w:r w:rsidR="00541D05">
        <w:t xml:space="preserve"> </w:t>
      </w:r>
      <w:r w:rsidR="00D9258C" w:rsidRPr="00FD6A6A">
        <w:t>low</w:t>
      </w:r>
      <w:r w:rsidR="00541D05">
        <w:t xml:space="preserve"> </w:t>
      </w:r>
      <w:r w:rsidR="00D9258C" w:rsidRPr="00FD6A6A">
        <w:t>education</w:t>
      </w:r>
      <w:r w:rsidR="00541D05">
        <w:t xml:space="preserve"> </w:t>
      </w:r>
      <w:r w:rsidR="00D9258C" w:rsidRPr="00FD6A6A">
        <w:t>level,</w:t>
      </w:r>
      <w:r w:rsidR="00541D05">
        <w:t xml:space="preserve"> </w:t>
      </w:r>
      <w:r w:rsidR="00D9258C" w:rsidRPr="00FD6A6A">
        <w:t>low</w:t>
      </w:r>
      <w:r w:rsidR="00541D05">
        <w:t xml:space="preserve"> </w:t>
      </w:r>
      <w:r w:rsidR="00D9258C" w:rsidRPr="00FD6A6A">
        <w:t>remuneration</w:t>
      </w:r>
      <w:r w:rsidR="00541D05">
        <w:t xml:space="preserve"> </w:t>
      </w:r>
      <w:r w:rsidR="00D9258C" w:rsidRPr="00FD6A6A">
        <w:t>standard,</w:t>
      </w:r>
      <w:r w:rsidR="00541D05">
        <w:t xml:space="preserve"> </w:t>
      </w:r>
      <w:r w:rsidR="00D9258C" w:rsidRPr="00FD6A6A">
        <w:t>low</w:t>
      </w:r>
      <w:r w:rsidR="00541D05">
        <w:t xml:space="preserve"> </w:t>
      </w:r>
      <w:r w:rsidR="00D9258C" w:rsidRPr="00FD6A6A">
        <w:t>formalization</w:t>
      </w:r>
      <w:r w:rsidR="00541D05">
        <w:t xml:space="preserve"> </w:t>
      </w:r>
      <w:r w:rsidR="00D9258C" w:rsidRPr="00FD6A6A">
        <w:t>ratio</w:t>
      </w:r>
      <w:r w:rsidR="00541D05">
        <w:t xml:space="preserve"> </w:t>
      </w:r>
      <w:r w:rsidR="00D9258C" w:rsidRPr="00FD6A6A">
        <w:t>(below</w:t>
      </w:r>
      <w:r w:rsidR="00541D05">
        <w:t xml:space="preserve"> </w:t>
      </w:r>
      <w:r w:rsidR="00D9258C" w:rsidRPr="00FD6A6A">
        <w:t>30%),</w:t>
      </w:r>
      <w:r w:rsidR="00541D05">
        <w:t xml:space="preserve"> </w:t>
      </w:r>
      <w:r w:rsidR="00D9258C" w:rsidRPr="00FD6A6A">
        <w:t>and</w:t>
      </w:r>
      <w:r w:rsidR="00541D05">
        <w:t xml:space="preserve"> </w:t>
      </w:r>
      <w:r w:rsidR="00D9258C" w:rsidRPr="00FD6A6A">
        <w:t>low</w:t>
      </w:r>
      <w:r w:rsidR="00541D05">
        <w:t xml:space="preserve"> </w:t>
      </w:r>
      <w:r w:rsidR="00D9258C" w:rsidRPr="00FD6A6A">
        <w:t>social-security</w:t>
      </w:r>
      <w:r w:rsidR="00541D05">
        <w:t xml:space="preserve"> </w:t>
      </w:r>
      <w:r w:rsidR="00D9258C" w:rsidRPr="00FD6A6A">
        <w:t>coverage.</w:t>
      </w:r>
    </w:p>
    <w:p w14:paraId="4FEBCF5E" w14:textId="7B5D55C4" w:rsidR="00D9258C" w:rsidRPr="00FD6A6A" w:rsidRDefault="00166390" w:rsidP="00166390">
      <w:pPr>
        <w:pStyle w:val="ParaNoG"/>
        <w:numPr>
          <w:ilvl w:val="0"/>
          <w:numId w:val="0"/>
        </w:numPr>
        <w:tabs>
          <w:tab w:val="left" w:pos="0"/>
        </w:tabs>
        <w:ind w:left="1134"/>
      </w:pPr>
      <w:r w:rsidRPr="00FD6A6A">
        <w:t>72.</w:t>
      </w:r>
      <w:r w:rsidRPr="00FD6A6A">
        <w:tab/>
      </w:r>
      <w:r w:rsidR="00D9258C" w:rsidRPr="00FD6A6A">
        <w:t>These</w:t>
      </w:r>
      <w:r w:rsidR="00541D05">
        <w:t xml:space="preserve"> </w:t>
      </w:r>
      <w:r w:rsidR="00D9258C" w:rsidRPr="00FD6A6A">
        <w:t>indicators,</w:t>
      </w:r>
      <w:r w:rsidR="00541D05">
        <w:t xml:space="preserve"> </w:t>
      </w:r>
      <w:r w:rsidR="00D9258C" w:rsidRPr="00FD6A6A">
        <w:t>when</w:t>
      </w:r>
      <w:r w:rsidR="00541D05">
        <w:t xml:space="preserve"> </w:t>
      </w:r>
      <w:r w:rsidR="00D9258C" w:rsidRPr="00FD6A6A">
        <w:t>put</w:t>
      </w:r>
      <w:r w:rsidR="00541D05">
        <w:t xml:space="preserve"> </w:t>
      </w:r>
      <w:r w:rsidR="00D9258C" w:rsidRPr="00FD6A6A">
        <w:t>together</w:t>
      </w:r>
      <w:r w:rsidR="00541D05">
        <w:t xml:space="preserve"> </w:t>
      </w:r>
      <w:r w:rsidR="00D9258C" w:rsidRPr="00FD6A6A">
        <w:t>with</w:t>
      </w:r>
      <w:r w:rsidR="00541D05">
        <w:t xml:space="preserve"> </w:t>
      </w:r>
      <w:r w:rsidR="00D9258C" w:rsidRPr="00FD6A6A">
        <w:t>data</w:t>
      </w:r>
      <w:r w:rsidR="00541D05">
        <w:t xml:space="preserve"> </w:t>
      </w:r>
      <w:r w:rsidR="00D9258C" w:rsidRPr="00FD6A6A">
        <w:t>on</w:t>
      </w:r>
      <w:r w:rsidR="00541D05">
        <w:t xml:space="preserve"> </w:t>
      </w:r>
      <w:r w:rsidR="00D9258C" w:rsidRPr="00FD6A6A">
        <w:t>education,</w:t>
      </w:r>
      <w:r w:rsidR="00541D05">
        <w:t xml:space="preserve"> </w:t>
      </w:r>
      <w:r w:rsidR="00D9258C" w:rsidRPr="00FD6A6A">
        <w:t>show</w:t>
      </w:r>
      <w:r w:rsidR="00541D05">
        <w:t xml:space="preserve"> </w:t>
      </w:r>
      <w:r w:rsidR="00D9258C" w:rsidRPr="00FD6A6A">
        <w:t>why</w:t>
      </w:r>
      <w:r w:rsidR="00541D05">
        <w:t xml:space="preserve"> </w:t>
      </w:r>
      <w:r w:rsidR="00D9258C" w:rsidRPr="00FD6A6A">
        <w:t>the</w:t>
      </w:r>
      <w:r w:rsidR="00541D05">
        <w:t xml:space="preserve"> </w:t>
      </w:r>
      <w:r w:rsidR="00D9258C" w:rsidRPr="00FD6A6A">
        <w:t>social</w:t>
      </w:r>
      <w:r w:rsidR="00541D05">
        <w:t xml:space="preserve"> </w:t>
      </w:r>
      <w:r w:rsidR="00D9258C" w:rsidRPr="00FD6A6A">
        <w:t>mobility</w:t>
      </w:r>
      <w:r w:rsidR="00541D05">
        <w:t xml:space="preserve"> </w:t>
      </w:r>
      <w:r w:rsidR="00D9258C" w:rsidRPr="00FD6A6A">
        <w:t>of</w:t>
      </w:r>
      <w:r w:rsidR="00541D05">
        <w:t xml:space="preserve"> </w:t>
      </w:r>
      <w:r w:rsidR="00D9258C" w:rsidRPr="00FD6A6A">
        <w:t>Afro-Brazilians</w:t>
      </w:r>
      <w:r w:rsidR="00541D05">
        <w:t xml:space="preserve"> </w:t>
      </w:r>
      <w:r w:rsidR="00D9258C" w:rsidRPr="00FD6A6A">
        <w:t>is</w:t>
      </w:r>
      <w:r w:rsidR="00541D05">
        <w:t xml:space="preserve"> </w:t>
      </w:r>
      <w:r w:rsidR="00D9258C" w:rsidRPr="00FD6A6A">
        <w:t>more</w:t>
      </w:r>
      <w:r w:rsidR="00541D05">
        <w:t xml:space="preserve"> </w:t>
      </w:r>
      <w:r w:rsidR="00D9258C" w:rsidRPr="00FD6A6A">
        <w:t>limited</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the</w:t>
      </w:r>
      <w:r w:rsidR="00541D05">
        <w:t xml:space="preserve"> </w:t>
      </w:r>
      <w:r w:rsidR="00D9258C" w:rsidRPr="00FD6A6A">
        <w:t>possibilities</w:t>
      </w:r>
      <w:r w:rsidR="00541D05">
        <w:t xml:space="preserve"> </w:t>
      </w:r>
      <w:r w:rsidR="00D9258C" w:rsidRPr="00FD6A6A">
        <w:t>of</w:t>
      </w:r>
      <w:r w:rsidR="00541D05">
        <w:t xml:space="preserve"> </w:t>
      </w:r>
      <w:r w:rsidR="00D9258C" w:rsidRPr="00FD6A6A">
        <w:t>intergenerational</w:t>
      </w:r>
      <w:r w:rsidR="00541D05">
        <w:t xml:space="preserve"> </w:t>
      </w:r>
      <w:r w:rsidR="00D9258C" w:rsidRPr="00FD6A6A">
        <w:t>ascension</w:t>
      </w:r>
      <w:r w:rsidR="00541D05">
        <w:t xml:space="preserve"> </w:t>
      </w:r>
      <w:r w:rsidR="00D9258C" w:rsidRPr="00FD6A6A">
        <w:t>among</w:t>
      </w:r>
      <w:r w:rsidR="00541D05">
        <w:t xml:space="preserve"> </w:t>
      </w:r>
      <w:r w:rsidR="00D9258C" w:rsidRPr="00FD6A6A">
        <w:t>White</w:t>
      </w:r>
      <w:r w:rsidR="00541D05">
        <w:t xml:space="preserve"> </w:t>
      </w:r>
      <w:r w:rsidR="00D9258C" w:rsidRPr="00FD6A6A">
        <w:t>in</w:t>
      </w:r>
      <w:r w:rsidR="00541D05">
        <w:t xml:space="preserve"> </w:t>
      </w:r>
      <w:r w:rsidR="00D9258C" w:rsidRPr="00FD6A6A">
        <w:t>the</w:t>
      </w:r>
      <w:r w:rsidR="00541D05">
        <w:t xml:space="preserve"> </w:t>
      </w:r>
      <w:r w:rsidR="00D9258C" w:rsidRPr="00FD6A6A">
        <w:t>occupational</w:t>
      </w:r>
      <w:r w:rsidR="00541D05">
        <w:t xml:space="preserve"> </w:t>
      </w:r>
      <w:r w:rsidR="00D9258C" w:rsidRPr="00FD6A6A">
        <w:t>structure.</w:t>
      </w:r>
      <w:r w:rsidR="00541D05">
        <w:t xml:space="preserve"> </w:t>
      </w:r>
      <w:r w:rsidR="00D9258C" w:rsidRPr="00FD6A6A">
        <w:t>According</w:t>
      </w:r>
      <w:r w:rsidR="00541D05">
        <w:t xml:space="preserve"> </w:t>
      </w:r>
      <w:r w:rsidR="00D9258C" w:rsidRPr="00FD6A6A">
        <w:t>to</w:t>
      </w:r>
      <w:r w:rsidR="00541D05">
        <w:t xml:space="preserve"> </w:t>
      </w:r>
      <w:r w:rsidR="00D9258C" w:rsidRPr="00FD6A6A">
        <w:t>2014</w:t>
      </w:r>
      <w:r w:rsidR="00541D05">
        <w:t xml:space="preserve"> </w:t>
      </w:r>
      <w:r w:rsidR="00D9258C" w:rsidRPr="00FD6A6A">
        <w:t>IBGE</w:t>
      </w:r>
      <w:r w:rsidR="00541D05">
        <w:t xml:space="preserve"> </w:t>
      </w:r>
      <w:r w:rsidR="00D9258C" w:rsidRPr="00FD6A6A">
        <w:t>data,</w:t>
      </w:r>
      <w:r w:rsidR="00541D05">
        <w:t xml:space="preserve"> </w:t>
      </w:r>
      <w:r w:rsidR="00D9258C" w:rsidRPr="00FD6A6A">
        <w:t>among</w:t>
      </w:r>
      <w:r w:rsidR="00541D05">
        <w:t xml:space="preserve"> </w:t>
      </w:r>
      <w:r w:rsidR="00D9258C" w:rsidRPr="00FD6A6A">
        <w:t>Afro-Brazilians,</w:t>
      </w:r>
      <w:r w:rsidR="00541D05">
        <w:t xml:space="preserve"> </w:t>
      </w:r>
      <w:r w:rsidR="00D9258C" w:rsidRPr="00FD6A6A">
        <w:t>48.3%</w:t>
      </w:r>
      <w:r w:rsidR="00541D05">
        <w:t xml:space="preserve"> </w:t>
      </w:r>
      <w:r w:rsidR="00D9258C" w:rsidRPr="00FD6A6A">
        <w:t>of</w:t>
      </w:r>
      <w:r w:rsidR="00541D05">
        <w:t xml:space="preserve"> </w:t>
      </w:r>
      <w:r w:rsidR="00D9258C" w:rsidRPr="00FD6A6A">
        <w:t>individuals</w:t>
      </w:r>
      <w:r w:rsidR="00541D05">
        <w:t xml:space="preserve"> </w:t>
      </w:r>
      <w:r w:rsidR="00D9258C" w:rsidRPr="00FD6A6A">
        <w:t>of</w:t>
      </w:r>
      <w:r w:rsidR="00541D05">
        <w:t xml:space="preserve"> </w:t>
      </w:r>
      <w:r w:rsidR="00D9258C" w:rsidRPr="00FD6A6A">
        <w:t>ages</w:t>
      </w:r>
      <w:r w:rsidR="00541D05">
        <w:t xml:space="preserve"> </w:t>
      </w:r>
      <w:r w:rsidR="00D9258C" w:rsidRPr="00FD6A6A">
        <w:t>between</w:t>
      </w:r>
      <w:r w:rsidR="00541D05">
        <w:t xml:space="preserve"> </w:t>
      </w:r>
      <w:r w:rsidR="00D9258C" w:rsidRPr="00FD6A6A">
        <w:t>25</w:t>
      </w:r>
      <w:r w:rsidR="00541D05">
        <w:t xml:space="preserve"> </w:t>
      </w:r>
      <w:r w:rsidR="00D9258C" w:rsidRPr="00FD6A6A">
        <w:t>and</w:t>
      </w:r>
      <w:r w:rsidR="00541D05">
        <w:t xml:space="preserve"> </w:t>
      </w:r>
      <w:r w:rsidR="00D9258C" w:rsidRPr="00FD6A6A">
        <w:t>65</w:t>
      </w:r>
      <w:r w:rsidR="00541D05">
        <w:t xml:space="preserve"> </w:t>
      </w:r>
      <w:r w:rsidR="00D9258C" w:rsidRPr="00FD6A6A">
        <w:t>were</w:t>
      </w:r>
      <w:r w:rsidR="00541D05">
        <w:t xml:space="preserve"> </w:t>
      </w:r>
      <w:r w:rsidR="00D9258C" w:rsidRPr="00FD6A6A">
        <w:t>in</w:t>
      </w:r>
      <w:r w:rsidR="00541D05">
        <w:t xml:space="preserve"> </w:t>
      </w:r>
      <w:r w:rsidR="00D9258C" w:rsidRPr="00FD6A6A">
        <w:t>a</w:t>
      </w:r>
      <w:r w:rsidR="00541D05">
        <w:t xml:space="preserve"> </w:t>
      </w:r>
      <w:r w:rsidR="00D9258C" w:rsidRPr="00FD6A6A">
        <w:t>higher</w:t>
      </w:r>
      <w:r w:rsidR="00541D05">
        <w:t xml:space="preserve"> </w:t>
      </w:r>
      <w:r w:rsidR="00D9258C" w:rsidRPr="00FD6A6A">
        <w:t>socio-economic</w:t>
      </w:r>
      <w:r w:rsidR="00541D05">
        <w:t xml:space="preserve"> </w:t>
      </w:r>
      <w:r w:rsidR="00D9258C" w:rsidRPr="00FD6A6A">
        <w:t>layer</w:t>
      </w:r>
      <w:r w:rsidR="00541D05">
        <w:t xml:space="preserve"> </w:t>
      </w:r>
      <w:r w:rsidR="00D9258C" w:rsidRPr="00FD6A6A">
        <w:t>than</w:t>
      </w:r>
      <w:r w:rsidR="00541D05">
        <w:t xml:space="preserve"> </w:t>
      </w:r>
      <w:r w:rsidR="00D9258C" w:rsidRPr="00FD6A6A">
        <w:t>their</w:t>
      </w:r>
      <w:r w:rsidR="00541D05">
        <w:t xml:space="preserve"> </w:t>
      </w:r>
      <w:r w:rsidR="00D9258C" w:rsidRPr="00FD6A6A">
        <w:t>parents,</w:t>
      </w:r>
      <w:r w:rsidR="00541D05">
        <w:t xml:space="preserve"> </w:t>
      </w:r>
      <w:r w:rsidR="00D9258C" w:rsidRPr="00FD6A6A">
        <w:t>34.9%</w:t>
      </w:r>
      <w:r w:rsidR="00541D05">
        <w:t xml:space="preserve"> </w:t>
      </w:r>
      <w:r w:rsidR="00D9258C" w:rsidRPr="00FD6A6A">
        <w:t>were</w:t>
      </w:r>
      <w:r w:rsidR="00541D05">
        <w:t xml:space="preserve"> </w:t>
      </w:r>
      <w:r w:rsidR="00D9258C" w:rsidRPr="00FD6A6A">
        <w:t>in</w:t>
      </w:r>
      <w:r w:rsidR="00541D05">
        <w:t xml:space="preserve"> </w:t>
      </w:r>
      <w:r w:rsidR="00D9258C" w:rsidRPr="00FD6A6A">
        <w:t>the</w:t>
      </w:r>
      <w:r w:rsidR="00541D05">
        <w:t xml:space="preserve"> </w:t>
      </w:r>
      <w:r w:rsidR="00D9258C" w:rsidRPr="00FD6A6A">
        <w:t>same</w:t>
      </w:r>
      <w:r w:rsidR="00541D05">
        <w:t xml:space="preserve"> </w:t>
      </w:r>
      <w:r w:rsidR="00D9258C" w:rsidRPr="00FD6A6A">
        <w:t>position,</w:t>
      </w:r>
      <w:r w:rsidR="00541D05">
        <w:t xml:space="preserve"> </w:t>
      </w:r>
      <w:r w:rsidR="00D9258C" w:rsidRPr="00FD6A6A">
        <w:t>and</w:t>
      </w:r>
      <w:r w:rsidR="00541D05">
        <w:t xml:space="preserve"> </w:t>
      </w:r>
      <w:r w:rsidR="00D9258C" w:rsidRPr="00FD6A6A">
        <w:t>16.9%</w:t>
      </w:r>
      <w:r w:rsidR="00541D05">
        <w:t xml:space="preserve"> </w:t>
      </w:r>
      <w:r w:rsidR="00D9258C" w:rsidRPr="00FD6A6A">
        <w:t>in</w:t>
      </w:r>
      <w:r w:rsidR="00541D05">
        <w:t xml:space="preserve"> </w:t>
      </w:r>
      <w:r w:rsidR="00D9258C" w:rsidRPr="00FD6A6A">
        <w:t>a</w:t>
      </w:r>
      <w:r w:rsidR="00541D05">
        <w:t xml:space="preserve"> </w:t>
      </w:r>
      <w:r w:rsidR="00D9258C" w:rsidRPr="00FD6A6A">
        <w:t>lower</w:t>
      </w:r>
      <w:r w:rsidR="00541D05">
        <w:t xml:space="preserve"> </w:t>
      </w:r>
      <w:r w:rsidR="00D9258C" w:rsidRPr="00FD6A6A">
        <w:t>layer.</w:t>
      </w:r>
      <w:r w:rsidR="00541D05">
        <w:t xml:space="preserve"> </w:t>
      </w:r>
      <w:r w:rsidR="00D9258C" w:rsidRPr="00FD6A6A">
        <w:t>With</w:t>
      </w:r>
      <w:r w:rsidR="00541D05">
        <w:t xml:space="preserve"> </w:t>
      </w:r>
      <w:r w:rsidR="00D9258C" w:rsidRPr="00FD6A6A">
        <w:t>respect</w:t>
      </w:r>
      <w:r w:rsidR="00541D05">
        <w:t xml:space="preserve"> </w:t>
      </w:r>
      <w:r w:rsidR="00D9258C" w:rsidRPr="00FD6A6A">
        <w:t>to</w:t>
      </w:r>
      <w:r w:rsidR="00541D05">
        <w:t xml:space="preserve"> </w:t>
      </w:r>
      <w:r w:rsidR="00D9258C" w:rsidRPr="00FD6A6A">
        <w:t>White,</w:t>
      </w:r>
      <w:r w:rsidR="00541D05">
        <w:t xml:space="preserve"> </w:t>
      </w:r>
      <w:r w:rsidR="00D9258C" w:rsidRPr="00FD6A6A">
        <w:t>the</w:t>
      </w:r>
      <w:r w:rsidR="00541D05">
        <w:t xml:space="preserve"> </w:t>
      </w:r>
      <w:r w:rsidR="00D9258C" w:rsidRPr="00FD6A6A">
        <w:t>inter-generational</w:t>
      </w:r>
      <w:r w:rsidR="00541D05">
        <w:t xml:space="preserve"> </w:t>
      </w:r>
      <w:r w:rsidR="00D9258C" w:rsidRPr="00FD6A6A">
        <w:t>mobility</w:t>
      </w:r>
      <w:r w:rsidR="00541D05">
        <w:t xml:space="preserve"> </w:t>
      </w:r>
      <w:r w:rsidR="00D9258C" w:rsidRPr="00FD6A6A">
        <w:t>was</w:t>
      </w:r>
      <w:r w:rsidR="00541D05">
        <w:t xml:space="preserve"> </w:t>
      </w:r>
      <w:r w:rsidR="00D9258C" w:rsidRPr="00FD6A6A">
        <w:t>somewhat</w:t>
      </w:r>
      <w:r w:rsidR="00541D05">
        <w:t xml:space="preserve"> </w:t>
      </w:r>
      <w:r w:rsidR="00D9258C" w:rsidRPr="00FD6A6A">
        <w:t>superior,</w:t>
      </w:r>
      <w:r w:rsidR="00541D05">
        <w:t xml:space="preserve"> </w:t>
      </w:r>
      <w:r w:rsidR="00D9258C" w:rsidRPr="00FD6A6A">
        <w:t>with</w:t>
      </w:r>
      <w:r w:rsidR="00541D05">
        <w:t xml:space="preserve"> </w:t>
      </w:r>
      <w:r w:rsidR="00D9258C" w:rsidRPr="00FD6A6A">
        <w:t>51.8%</w:t>
      </w:r>
      <w:r w:rsidR="00541D05">
        <w:t xml:space="preserve"> </w:t>
      </w:r>
      <w:r w:rsidR="00D9258C" w:rsidRPr="00FD6A6A">
        <w:t>in</w:t>
      </w:r>
      <w:r w:rsidR="00541D05">
        <w:t xml:space="preserve"> </w:t>
      </w:r>
      <w:r w:rsidR="00D9258C" w:rsidRPr="00FD6A6A">
        <w:t>an</w:t>
      </w:r>
      <w:r w:rsidR="00541D05">
        <w:t xml:space="preserve"> </w:t>
      </w:r>
      <w:r w:rsidR="00D9258C" w:rsidRPr="00FD6A6A">
        <w:t>ascendant</w:t>
      </w:r>
      <w:r w:rsidR="00541D05">
        <w:t xml:space="preserve"> </w:t>
      </w:r>
      <w:r w:rsidR="00D9258C" w:rsidRPr="00FD6A6A">
        <w:t>mobility,</w:t>
      </w:r>
      <w:r w:rsidR="00541D05">
        <w:t xml:space="preserve"> </w:t>
      </w:r>
      <w:r w:rsidR="00D9258C" w:rsidRPr="00FD6A6A">
        <w:t>31.2%</w:t>
      </w:r>
      <w:r w:rsidR="00541D05">
        <w:t xml:space="preserve"> </w:t>
      </w:r>
      <w:r w:rsidR="00D9258C" w:rsidRPr="00FD6A6A">
        <w:t>in</w:t>
      </w:r>
      <w:r w:rsidR="00541D05">
        <w:t xml:space="preserve"> </w:t>
      </w:r>
      <w:r w:rsidR="00D9258C" w:rsidRPr="00FD6A6A">
        <w:t>immobility,</w:t>
      </w:r>
      <w:r w:rsidR="00541D05">
        <w:t xml:space="preserve"> </w:t>
      </w:r>
      <w:r w:rsidR="00D9258C" w:rsidRPr="00FD6A6A">
        <w:t>and</w:t>
      </w:r>
      <w:r w:rsidR="00541D05">
        <w:t xml:space="preserve"> </w:t>
      </w:r>
      <w:r w:rsidR="00D9258C" w:rsidRPr="00FD6A6A">
        <w:t>17%</w:t>
      </w:r>
      <w:r w:rsidR="00541D05">
        <w:t xml:space="preserve"> </w:t>
      </w:r>
      <w:r w:rsidR="00D9258C" w:rsidRPr="00FD6A6A">
        <w:t>in</w:t>
      </w:r>
      <w:r w:rsidR="00541D05">
        <w:t xml:space="preserve"> </w:t>
      </w:r>
      <w:r w:rsidR="00D9258C" w:rsidRPr="00FD6A6A">
        <w:t>a</w:t>
      </w:r>
      <w:r w:rsidR="00541D05">
        <w:t xml:space="preserve"> </w:t>
      </w:r>
      <w:r w:rsidR="00D9258C" w:rsidRPr="00FD6A6A">
        <w:t>downward</w:t>
      </w:r>
      <w:r w:rsidR="00541D05">
        <w:t xml:space="preserve"> </w:t>
      </w:r>
      <w:r w:rsidR="00D9258C" w:rsidRPr="00FD6A6A">
        <w:t>trend.</w:t>
      </w:r>
    </w:p>
    <w:p w14:paraId="247F2A55" w14:textId="0BC0B7F1" w:rsidR="00D9258C" w:rsidRPr="00FD6A6A" w:rsidRDefault="00166390" w:rsidP="00166390">
      <w:pPr>
        <w:pStyle w:val="ParaNoG"/>
        <w:numPr>
          <w:ilvl w:val="0"/>
          <w:numId w:val="0"/>
        </w:numPr>
        <w:tabs>
          <w:tab w:val="left" w:pos="0"/>
        </w:tabs>
        <w:ind w:left="1134"/>
      </w:pPr>
      <w:r w:rsidRPr="00FD6A6A">
        <w:t>73.</w:t>
      </w:r>
      <w:r w:rsidRPr="00FD6A6A">
        <w:tab/>
      </w:r>
      <w:r w:rsidR="00D9258C" w:rsidRPr="00FD6A6A">
        <w:t>However,</w:t>
      </w:r>
      <w:r w:rsidR="00541D05">
        <w:t xml:space="preserve"> </w:t>
      </w:r>
      <w:r w:rsidR="00D9258C" w:rsidRPr="00FD6A6A">
        <w:t>a</w:t>
      </w:r>
      <w:r w:rsidR="00541D05">
        <w:t xml:space="preserve"> </w:t>
      </w:r>
      <w:r w:rsidR="00D9258C" w:rsidRPr="00FD6A6A">
        <w:t>significant</w:t>
      </w:r>
      <w:r w:rsidR="00541D05">
        <w:t xml:space="preserve"> </w:t>
      </w:r>
      <w:r w:rsidR="00D9258C" w:rsidRPr="00FD6A6A">
        <w:t>portion</w:t>
      </w:r>
      <w:r w:rsidR="00541D05">
        <w:t xml:space="preserve"> </w:t>
      </w:r>
      <w:r w:rsidR="00D9258C" w:rsidRPr="00FD6A6A">
        <w:t>of</w:t>
      </w:r>
      <w:r w:rsidR="00541D05">
        <w:t xml:space="preserve"> </w:t>
      </w:r>
      <w:r w:rsidR="00D9258C" w:rsidRPr="00FD6A6A">
        <w:t>this</w:t>
      </w:r>
      <w:r w:rsidR="00541D05">
        <w:t xml:space="preserve"> </w:t>
      </w:r>
      <w:r w:rsidR="00D9258C" w:rsidRPr="00FD6A6A">
        <w:t>mobility</w:t>
      </w:r>
      <w:r w:rsidR="00541D05">
        <w:t xml:space="preserve"> </w:t>
      </w:r>
      <w:r w:rsidR="00D9258C" w:rsidRPr="00FD6A6A">
        <w:t>was</w:t>
      </w:r>
      <w:r w:rsidR="00541D05">
        <w:t xml:space="preserve"> </w:t>
      </w:r>
      <w:r w:rsidR="00D9258C" w:rsidRPr="00FD6A6A">
        <w:t>within</w:t>
      </w:r>
      <w:r w:rsidR="00541D05">
        <w:t xml:space="preserve"> </w:t>
      </w:r>
      <w:r w:rsidR="00D9258C" w:rsidRPr="00FD6A6A">
        <w:t>short</w:t>
      </w:r>
      <w:r w:rsidR="00541D05">
        <w:t xml:space="preserve"> </w:t>
      </w:r>
      <w:r w:rsidR="00D9258C" w:rsidRPr="00FD6A6A">
        <w:t>distance,</w:t>
      </w:r>
      <w:r w:rsidR="00541D05">
        <w:t xml:space="preserve"> </w:t>
      </w:r>
      <w:r w:rsidR="00D9258C" w:rsidRPr="00FD6A6A">
        <w:t>i.e.,</w:t>
      </w:r>
      <w:r w:rsidR="00541D05">
        <w:t xml:space="preserve"> </w:t>
      </w:r>
      <w:r w:rsidR="00D9258C" w:rsidRPr="00FD6A6A">
        <w:t>a</w:t>
      </w:r>
      <w:r w:rsidR="00541D05">
        <w:t xml:space="preserve"> </w:t>
      </w:r>
      <w:r w:rsidR="00D9258C" w:rsidRPr="00FD6A6A">
        <w:t>very</w:t>
      </w:r>
      <w:r w:rsidR="00541D05">
        <w:t xml:space="preserve"> </w:t>
      </w:r>
      <w:r w:rsidR="00D9258C" w:rsidRPr="00FD6A6A">
        <w:t>low</w:t>
      </w:r>
      <w:r w:rsidR="00541D05">
        <w:t xml:space="preserve"> </w:t>
      </w:r>
      <w:r w:rsidR="00D9258C" w:rsidRPr="00FD6A6A">
        <w:t>percentage</w:t>
      </w:r>
      <w:r w:rsidR="00541D05">
        <w:t xml:space="preserve"> </w:t>
      </w:r>
      <w:r w:rsidR="00D9258C" w:rsidRPr="00FD6A6A">
        <w:t>of</w:t>
      </w:r>
      <w:r w:rsidR="00541D05">
        <w:t xml:space="preserve"> </w:t>
      </w:r>
      <w:r w:rsidR="00D9258C" w:rsidRPr="00FD6A6A">
        <w:t>Afro-Brazilians</w:t>
      </w:r>
      <w:r w:rsidR="00541D05">
        <w:t xml:space="preserve"> </w:t>
      </w:r>
      <w:r w:rsidR="00D9258C" w:rsidRPr="00FD6A6A">
        <w:t>managed</w:t>
      </w:r>
      <w:r w:rsidR="00541D05">
        <w:t xml:space="preserve"> </w:t>
      </w:r>
      <w:r w:rsidR="00D9258C" w:rsidRPr="00FD6A6A">
        <w:t>to</w:t>
      </w:r>
      <w:r w:rsidR="00541D05">
        <w:t xml:space="preserve"> </w:t>
      </w:r>
      <w:r w:rsidR="00D9258C" w:rsidRPr="00FD6A6A">
        <w:t>achieve</w:t>
      </w:r>
      <w:r w:rsidR="00541D05">
        <w:t xml:space="preserve"> </w:t>
      </w:r>
      <w:r w:rsidR="00D9258C" w:rsidRPr="00FD6A6A">
        <w:t>better</w:t>
      </w:r>
      <w:r w:rsidR="00541D05">
        <w:t xml:space="preserve"> </w:t>
      </w:r>
      <w:r w:rsidR="00D9258C" w:rsidRPr="00FD6A6A">
        <w:t>relative</w:t>
      </w:r>
      <w:r w:rsidR="00541D05">
        <w:t xml:space="preserve"> </w:t>
      </w:r>
      <w:r w:rsidR="00D9258C" w:rsidRPr="00FD6A6A">
        <w:t>positions</w:t>
      </w:r>
      <w:r w:rsidR="00541D05">
        <w:t xml:space="preserve"> </w:t>
      </w:r>
      <w:r w:rsidR="00D9258C" w:rsidRPr="00FD6A6A">
        <w:t>in</w:t>
      </w:r>
      <w:r w:rsidR="00541D05">
        <w:t xml:space="preserve"> </w:t>
      </w:r>
      <w:r w:rsidR="00D9258C" w:rsidRPr="00FD6A6A">
        <w:t>comparison</w:t>
      </w:r>
      <w:r w:rsidR="00541D05">
        <w:t xml:space="preserve"> </w:t>
      </w:r>
      <w:r w:rsidR="00D9258C" w:rsidRPr="00FD6A6A">
        <w:t>with</w:t>
      </w:r>
      <w:r w:rsidR="00541D05">
        <w:t xml:space="preserve"> </w:t>
      </w:r>
      <w:r w:rsidR="00D9258C" w:rsidRPr="00FD6A6A">
        <w:t>their</w:t>
      </w:r>
      <w:r w:rsidR="00541D05">
        <w:t xml:space="preserve"> </w:t>
      </w:r>
      <w:r w:rsidR="00D9258C" w:rsidRPr="00FD6A6A">
        <w:t>parents.</w:t>
      </w:r>
      <w:r w:rsidR="00541D05">
        <w:t xml:space="preserve"> </w:t>
      </w:r>
      <w:r w:rsidR="00D9258C" w:rsidRPr="00FD6A6A">
        <w:t>In</w:t>
      </w:r>
      <w:r w:rsidR="00541D05">
        <w:t xml:space="preserve"> </w:t>
      </w:r>
      <w:r w:rsidR="00D9258C" w:rsidRPr="00FD6A6A">
        <w:t>2014,</w:t>
      </w:r>
      <w:r w:rsidR="00541D05">
        <w:t xml:space="preserve"> </w:t>
      </w:r>
      <w:r w:rsidR="00D9258C" w:rsidRPr="00FD6A6A">
        <w:t>only</w:t>
      </w:r>
      <w:r w:rsidR="00541D05">
        <w:t xml:space="preserve"> </w:t>
      </w:r>
      <w:r w:rsidR="00D9258C" w:rsidRPr="00FD6A6A">
        <w:t>8.4%</w:t>
      </w:r>
      <w:r w:rsidR="00541D05">
        <w:t xml:space="preserve"> </w:t>
      </w:r>
      <w:r w:rsidR="00D9258C" w:rsidRPr="00FD6A6A">
        <w:t>of</w:t>
      </w:r>
      <w:r w:rsidR="00541D05">
        <w:t xml:space="preserve"> </w:t>
      </w:r>
      <w:r w:rsidR="00D9258C" w:rsidRPr="00FD6A6A">
        <w:t>the</w:t>
      </w:r>
      <w:r w:rsidR="00541D05">
        <w:t xml:space="preserve"> </w:t>
      </w:r>
      <w:r w:rsidR="00D9258C" w:rsidRPr="00FD6A6A">
        <w:t>Afro-Brazilians</w:t>
      </w:r>
      <w:r w:rsidR="00541D05">
        <w:t xml:space="preserve"> </w:t>
      </w:r>
      <w:r w:rsidR="00D9258C" w:rsidRPr="00FD6A6A">
        <w:t>in</w:t>
      </w:r>
      <w:r w:rsidR="00541D05">
        <w:t xml:space="preserve"> </w:t>
      </w:r>
      <w:r w:rsidR="00D9258C" w:rsidRPr="00FD6A6A">
        <w:t>ascendant</w:t>
      </w:r>
      <w:r w:rsidR="00541D05">
        <w:t xml:space="preserve"> </w:t>
      </w:r>
      <w:r w:rsidR="00D9258C" w:rsidRPr="00FD6A6A">
        <w:t>mobility</w:t>
      </w:r>
      <w:r w:rsidR="00541D05">
        <w:t xml:space="preserve"> </w:t>
      </w:r>
      <w:r w:rsidR="00D9258C" w:rsidRPr="00FD6A6A">
        <w:t>moved</w:t>
      </w:r>
      <w:r w:rsidR="00541D05">
        <w:t xml:space="preserve"> </w:t>
      </w:r>
      <w:r w:rsidR="00D9258C" w:rsidRPr="00FD6A6A">
        <w:t>into</w:t>
      </w:r>
      <w:r w:rsidR="00541D05">
        <w:t xml:space="preserve"> </w:t>
      </w:r>
      <w:r w:rsidR="00D9258C" w:rsidRPr="00FD6A6A">
        <w:t>a</w:t>
      </w:r>
      <w:r w:rsidR="00541D05">
        <w:t xml:space="preserve"> </w:t>
      </w:r>
      <w:r w:rsidR="00D9258C" w:rsidRPr="00FD6A6A">
        <w:t>very</w:t>
      </w:r>
      <w:r w:rsidR="00541D05">
        <w:t xml:space="preserve"> </w:t>
      </w:r>
      <w:r w:rsidR="00D9258C" w:rsidRPr="00FD6A6A">
        <w:t>different</w:t>
      </w:r>
      <w:r w:rsidR="00541D05">
        <w:t xml:space="preserve"> </w:t>
      </w:r>
      <w:r w:rsidR="00D9258C" w:rsidRPr="00FD6A6A">
        <w:t>social</w:t>
      </w:r>
      <w:r w:rsidR="00541D05">
        <w:t xml:space="preserve"> </w:t>
      </w:r>
      <w:r w:rsidR="00D9258C" w:rsidRPr="00FD6A6A">
        <w:t>class</w:t>
      </w:r>
      <w:r w:rsidR="00541D05">
        <w:t xml:space="preserve"> </w:t>
      </w:r>
      <w:r w:rsidR="00D9258C" w:rsidRPr="00FD6A6A">
        <w:t>than</w:t>
      </w:r>
      <w:r w:rsidR="00541D05">
        <w:t xml:space="preserve"> </w:t>
      </w:r>
      <w:r w:rsidR="00D9258C" w:rsidRPr="00FD6A6A">
        <w:t>their</w:t>
      </w:r>
      <w:r w:rsidR="00541D05">
        <w:t xml:space="preserve"> </w:t>
      </w:r>
      <w:r w:rsidR="00D9258C" w:rsidRPr="00FD6A6A">
        <w:t>parents</w:t>
      </w:r>
      <w:r w:rsidR="00EA62F1">
        <w:t>’</w:t>
      </w:r>
      <w:r w:rsidR="00D9258C" w:rsidRPr="00FD6A6A">
        <w:t>.</w:t>
      </w:r>
    </w:p>
    <w:p w14:paraId="3D87C8E9" w14:textId="46001209" w:rsidR="00D9258C" w:rsidRPr="00FD6A6A" w:rsidRDefault="00166390" w:rsidP="00166390">
      <w:pPr>
        <w:pStyle w:val="ParaNoG"/>
        <w:numPr>
          <w:ilvl w:val="0"/>
          <w:numId w:val="0"/>
        </w:numPr>
        <w:tabs>
          <w:tab w:val="left" w:pos="0"/>
        </w:tabs>
        <w:ind w:left="1134"/>
      </w:pPr>
      <w:r w:rsidRPr="00FD6A6A">
        <w:t>74.</w:t>
      </w:r>
      <w:r w:rsidRPr="00FD6A6A">
        <w:tab/>
      </w:r>
      <w:r w:rsidR="00D9258C" w:rsidRPr="00FD6A6A">
        <w:t>Part</w:t>
      </w:r>
      <w:r w:rsidR="00541D05">
        <w:t xml:space="preserve"> </w:t>
      </w:r>
      <w:r w:rsidR="00D9258C" w:rsidRPr="00FD6A6A">
        <w:t>of</w:t>
      </w:r>
      <w:r w:rsidR="00541D05">
        <w:t xml:space="preserve"> </w:t>
      </w:r>
      <w:r w:rsidR="00D9258C" w:rsidRPr="00FD6A6A">
        <w:t>this</w:t>
      </w:r>
      <w:r w:rsidR="00541D05">
        <w:t xml:space="preserve"> </w:t>
      </w:r>
      <w:r w:rsidR="00D9258C" w:rsidRPr="00FD6A6A">
        <w:t>inequality</w:t>
      </w:r>
      <w:r w:rsidR="00541D05">
        <w:t xml:space="preserve"> </w:t>
      </w:r>
      <w:r w:rsidR="00D9258C" w:rsidRPr="00FD6A6A">
        <w:t>is</w:t>
      </w:r>
      <w:r w:rsidR="00541D05">
        <w:t xml:space="preserve"> </w:t>
      </w:r>
      <w:r w:rsidR="00D9258C" w:rsidRPr="00FD6A6A">
        <w:t>related</w:t>
      </w:r>
      <w:r w:rsidR="00541D05">
        <w:t xml:space="preserve"> </w:t>
      </w:r>
      <w:r w:rsidR="00D9258C" w:rsidRPr="00FD6A6A">
        <w:t>to</w:t>
      </w:r>
      <w:r w:rsidR="00541D05">
        <w:t xml:space="preserve"> </w:t>
      </w:r>
      <w:r w:rsidR="00D9258C" w:rsidRPr="00FD6A6A">
        <w:t>education</w:t>
      </w:r>
      <w:r w:rsidR="00541D05">
        <w:t xml:space="preserve"> </w:t>
      </w:r>
      <w:r w:rsidR="00D9258C" w:rsidRPr="00FD6A6A">
        <w:t>differences.</w:t>
      </w:r>
      <w:r w:rsidR="00541D05">
        <w:t xml:space="preserve"> </w:t>
      </w:r>
      <w:r w:rsidR="00D9258C" w:rsidRPr="00FD6A6A">
        <w:t>Even</w:t>
      </w:r>
      <w:r w:rsidR="00541D05">
        <w:t xml:space="preserve"> </w:t>
      </w:r>
      <w:r w:rsidR="00D9258C" w:rsidRPr="00FD6A6A">
        <w:t>when</w:t>
      </w:r>
      <w:r w:rsidR="00541D05">
        <w:t xml:space="preserve"> </w:t>
      </w:r>
      <w:r w:rsidR="00D9258C" w:rsidRPr="00FD6A6A">
        <w:t>the</w:t>
      </w:r>
      <w:r w:rsidR="00541D05">
        <w:t xml:space="preserve"> </w:t>
      </w:r>
      <w:r w:rsidR="00D9258C" w:rsidRPr="00FD6A6A">
        <w:t>situation</w:t>
      </w:r>
      <w:r w:rsidR="00541D05">
        <w:t xml:space="preserve"> </w:t>
      </w:r>
      <w:r w:rsidR="00D9258C" w:rsidRPr="00FD6A6A">
        <w:t>of</w:t>
      </w:r>
      <w:r w:rsidR="00541D05">
        <w:t xml:space="preserve"> </w:t>
      </w:r>
      <w:r w:rsidR="00D9258C" w:rsidRPr="00FD6A6A">
        <w:t>poverty</w:t>
      </w:r>
      <w:r w:rsidR="00541D05">
        <w:t xml:space="preserve"> </w:t>
      </w:r>
      <w:r w:rsidR="00D9258C" w:rsidRPr="00FD6A6A">
        <w:t>is</w:t>
      </w:r>
      <w:r w:rsidR="00541D05">
        <w:t xml:space="preserve"> </w:t>
      </w:r>
      <w:r w:rsidR="00D9258C" w:rsidRPr="00FD6A6A">
        <w:t>taken</w:t>
      </w:r>
      <w:r w:rsidR="00541D05">
        <w:t xml:space="preserve"> </w:t>
      </w:r>
      <w:r w:rsidR="00D9258C" w:rsidRPr="00FD6A6A">
        <w:t>into</w:t>
      </w:r>
      <w:r w:rsidR="00541D05">
        <w:t xml:space="preserve"> </w:t>
      </w:r>
      <w:r w:rsidR="00D9258C" w:rsidRPr="00FD6A6A">
        <w:t>account,</w:t>
      </w:r>
      <w:r w:rsidR="00541D05">
        <w:t xml:space="preserve"> </w:t>
      </w:r>
      <w:r w:rsidR="00D9258C" w:rsidRPr="00FD6A6A">
        <w:t>we</w:t>
      </w:r>
      <w:r w:rsidR="00541D05">
        <w:t xml:space="preserve"> </w:t>
      </w:r>
      <w:r w:rsidR="00D9258C" w:rsidRPr="00FD6A6A">
        <w:t>find</w:t>
      </w:r>
      <w:r w:rsidR="00541D05">
        <w:t xml:space="preserve"> </w:t>
      </w:r>
      <w:r w:rsidR="00D9258C" w:rsidRPr="00FD6A6A">
        <w:t>that</w:t>
      </w:r>
      <w:r w:rsidR="00541D05">
        <w:t xml:space="preserve"> </w:t>
      </w:r>
      <w:r w:rsidR="00D9258C" w:rsidRPr="00FD6A6A">
        <w:t>poor</w:t>
      </w:r>
      <w:r w:rsidR="00541D05">
        <w:t xml:space="preserve"> </w:t>
      </w:r>
      <w:r w:rsidR="00D9258C" w:rsidRPr="00FD6A6A">
        <w:t>Afro-Brazilians</w:t>
      </w:r>
      <w:r w:rsidR="00541D05">
        <w:t xml:space="preserve"> </w:t>
      </w:r>
      <w:r w:rsidR="00D9258C" w:rsidRPr="00FD6A6A">
        <w:t>are</w:t>
      </w:r>
      <w:r w:rsidR="00541D05">
        <w:t xml:space="preserve"> </w:t>
      </w:r>
      <w:r w:rsidR="00D9258C" w:rsidRPr="00FD6A6A">
        <w:t>more</w:t>
      </w:r>
      <w:r w:rsidR="00541D05">
        <w:t xml:space="preserve"> </w:t>
      </w:r>
      <w:r w:rsidR="00D9258C" w:rsidRPr="00FD6A6A">
        <w:t>vulnerable</w:t>
      </w:r>
      <w:r w:rsidR="00541D05">
        <w:t xml:space="preserve"> </w:t>
      </w:r>
      <w:r w:rsidR="00D9258C" w:rsidRPr="00FD6A6A">
        <w:t>when</w:t>
      </w:r>
      <w:r w:rsidR="00541D05">
        <w:t xml:space="preserve"> </w:t>
      </w:r>
      <w:r w:rsidR="00D9258C" w:rsidRPr="00FD6A6A">
        <w:lastRenderedPageBreak/>
        <w:t>compared</w:t>
      </w:r>
      <w:r w:rsidR="00541D05">
        <w:t xml:space="preserve"> </w:t>
      </w:r>
      <w:r w:rsidR="00D9258C" w:rsidRPr="00FD6A6A">
        <w:t>to</w:t>
      </w:r>
      <w:r w:rsidR="00541D05">
        <w:t xml:space="preserve"> </w:t>
      </w:r>
      <w:r w:rsidR="00D9258C" w:rsidRPr="00FD6A6A">
        <w:t>poor</w:t>
      </w:r>
      <w:r w:rsidR="00541D05">
        <w:t xml:space="preserve"> </w:t>
      </w:r>
      <w:r w:rsidR="00D9258C" w:rsidRPr="00FD6A6A">
        <w:t>White.</w:t>
      </w:r>
      <w:r w:rsidR="00541D05">
        <w:t xml:space="preserve"> </w:t>
      </w:r>
      <w:r w:rsidR="00D9258C" w:rsidRPr="00FD6A6A">
        <w:t>Afro-Brazilians</w:t>
      </w:r>
      <w:r w:rsidR="00541D05">
        <w:t xml:space="preserve"> </w:t>
      </w:r>
      <w:r w:rsidR="00D9258C" w:rsidRPr="00FD6A6A">
        <w:t>have</w:t>
      </w:r>
      <w:r w:rsidR="00541D05">
        <w:t xml:space="preserve"> </w:t>
      </w:r>
      <w:r w:rsidR="00D9258C" w:rsidRPr="00FD6A6A">
        <w:t>an</w:t>
      </w:r>
      <w:r w:rsidR="00541D05">
        <w:t xml:space="preserve"> </w:t>
      </w:r>
      <w:r w:rsidR="00D9258C" w:rsidRPr="00FD6A6A">
        <w:t>average</w:t>
      </w:r>
      <w:r w:rsidR="00541D05">
        <w:t xml:space="preserve"> </w:t>
      </w:r>
      <w:r w:rsidR="00D9258C" w:rsidRPr="00FD6A6A">
        <w:t>of</w:t>
      </w:r>
      <w:r w:rsidR="00541D05">
        <w:t xml:space="preserve"> </w:t>
      </w:r>
      <w:r w:rsidR="00D9258C" w:rsidRPr="00FD6A6A">
        <w:t>5.9</w:t>
      </w:r>
      <w:r w:rsidR="00541D05">
        <w:t xml:space="preserve"> </w:t>
      </w:r>
      <w:r w:rsidR="00D9258C" w:rsidRPr="00FD6A6A">
        <w:t>years</w:t>
      </w:r>
      <w:r w:rsidR="00541D05">
        <w:t xml:space="preserve"> </w:t>
      </w:r>
      <w:r w:rsidR="00D9258C" w:rsidRPr="00FD6A6A">
        <w:t>of</w:t>
      </w:r>
      <w:r w:rsidR="00541D05">
        <w:t xml:space="preserve"> </w:t>
      </w:r>
      <w:r w:rsidR="00D9258C" w:rsidRPr="00FD6A6A">
        <w:t>study.</w:t>
      </w:r>
      <w:r w:rsidR="00541D05">
        <w:t xml:space="preserve"> </w:t>
      </w:r>
      <w:r w:rsidR="00D9258C" w:rsidRPr="00FD6A6A">
        <w:t>White</w:t>
      </w:r>
      <w:r w:rsidR="00541D05">
        <w:t xml:space="preserve"> </w:t>
      </w:r>
      <w:r w:rsidR="00D9258C" w:rsidRPr="00FD6A6A">
        <w:t>in</w:t>
      </w:r>
      <w:r w:rsidR="00541D05">
        <w:t xml:space="preserve"> </w:t>
      </w:r>
      <w:r w:rsidR="00D9258C" w:rsidRPr="00FD6A6A">
        <w:t>the</w:t>
      </w:r>
      <w:r w:rsidR="00541D05">
        <w:t xml:space="preserve"> </w:t>
      </w:r>
      <w:r w:rsidR="00D9258C" w:rsidRPr="00FD6A6A">
        <w:t>same</w:t>
      </w:r>
      <w:r w:rsidR="00541D05">
        <w:t xml:space="preserve"> </w:t>
      </w:r>
      <w:r w:rsidR="00D9258C" w:rsidRPr="00FD6A6A">
        <w:t>situation</w:t>
      </w:r>
      <w:r w:rsidR="00541D05">
        <w:t xml:space="preserve"> </w:t>
      </w:r>
      <w:r w:rsidR="00D9258C" w:rsidRPr="00FD6A6A">
        <w:t>of</w:t>
      </w:r>
      <w:r w:rsidR="00541D05">
        <w:t xml:space="preserve"> </w:t>
      </w:r>
      <w:r w:rsidR="00D9258C" w:rsidRPr="00FD6A6A">
        <w:t>poverty</w:t>
      </w:r>
      <w:r w:rsidR="00541D05">
        <w:t xml:space="preserve"> </w:t>
      </w:r>
      <w:r w:rsidR="00D9258C" w:rsidRPr="00FD6A6A">
        <w:t>have</w:t>
      </w:r>
      <w:r w:rsidR="00541D05">
        <w:t xml:space="preserve"> </w:t>
      </w:r>
      <w:r w:rsidR="00D9258C" w:rsidRPr="00FD6A6A">
        <w:t>7.4</w:t>
      </w:r>
      <w:r w:rsidR="00541D05">
        <w:t xml:space="preserve"> </w:t>
      </w:r>
      <w:r w:rsidR="00D9258C" w:rsidRPr="00FD6A6A">
        <w:t>more</w:t>
      </w:r>
      <w:r w:rsidR="00541D05">
        <w:t xml:space="preserve"> </w:t>
      </w:r>
      <w:r w:rsidR="00D9258C" w:rsidRPr="00FD6A6A">
        <w:t>years</w:t>
      </w:r>
      <w:r w:rsidR="00541D05">
        <w:t xml:space="preserve"> </w:t>
      </w:r>
      <w:r w:rsidR="00D9258C" w:rsidRPr="00FD6A6A">
        <w:t>of</w:t>
      </w:r>
      <w:r w:rsidR="00541D05">
        <w:t xml:space="preserve"> </w:t>
      </w:r>
      <w:r w:rsidR="00D9258C" w:rsidRPr="00FD6A6A">
        <w:t>study.</w:t>
      </w:r>
      <w:r w:rsidR="00541D05">
        <w:t xml:space="preserve"> </w:t>
      </w:r>
      <w:r w:rsidR="00D9258C" w:rsidRPr="00FD6A6A">
        <w:t>Better</w:t>
      </w:r>
      <w:r w:rsidR="00541D05">
        <w:t xml:space="preserve"> </w:t>
      </w:r>
      <w:r w:rsidR="00D9258C" w:rsidRPr="00FD6A6A">
        <w:t>education</w:t>
      </w:r>
      <w:r w:rsidR="00541D05">
        <w:t xml:space="preserve"> </w:t>
      </w:r>
      <w:r w:rsidR="00D9258C" w:rsidRPr="00FD6A6A">
        <w:t>increases</w:t>
      </w:r>
      <w:r w:rsidR="00541D05">
        <w:t xml:space="preserve"> </w:t>
      </w:r>
      <w:r w:rsidR="00D9258C" w:rsidRPr="00FD6A6A">
        <w:t>the</w:t>
      </w:r>
      <w:r w:rsidR="00541D05">
        <w:t xml:space="preserve"> </w:t>
      </w:r>
      <w:r w:rsidR="00D9258C" w:rsidRPr="00FD6A6A">
        <w:t>chances</w:t>
      </w:r>
      <w:r w:rsidR="00541D05">
        <w:t xml:space="preserve"> </w:t>
      </w:r>
      <w:r w:rsidR="00D9258C" w:rsidRPr="00FD6A6A">
        <w:t>of</w:t>
      </w:r>
      <w:r w:rsidR="00541D05">
        <w:t xml:space="preserve"> </w:t>
      </w:r>
      <w:r w:rsidR="00D9258C" w:rsidRPr="00FD6A6A">
        <w:t>leaving</w:t>
      </w:r>
      <w:r w:rsidR="00541D05">
        <w:t xml:space="preserve"> </w:t>
      </w:r>
      <w:r w:rsidR="00D9258C" w:rsidRPr="00FD6A6A">
        <w:t>poverty</w:t>
      </w:r>
      <w:r w:rsidR="00541D05">
        <w:t xml:space="preserve"> </w:t>
      </w:r>
      <w:r w:rsidR="00D9258C" w:rsidRPr="00FD6A6A">
        <w:t>behind.</w:t>
      </w:r>
    </w:p>
    <w:p w14:paraId="1D3357CE" w14:textId="2AC79732" w:rsidR="00D9258C" w:rsidRPr="00FD6A6A" w:rsidRDefault="00166390" w:rsidP="00166390">
      <w:pPr>
        <w:pStyle w:val="ParaNoG"/>
        <w:numPr>
          <w:ilvl w:val="0"/>
          <w:numId w:val="0"/>
        </w:numPr>
        <w:tabs>
          <w:tab w:val="left" w:pos="0"/>
        </w:tabs>
        <w:ind w:left="1134"/>
      </w:pPr>
      <w:r w:rsidRPr="00FD6A6A">
        <w:t>75.</w:t>
      </w:r>
      <w:r w:rsidRPr="00FD6A6A">
        <w:tab/>
      </w:r>
      <w:r w:rsidR="00D9258C" w:rsidRPr="00FD6A6A">
        <w:t>However,</w:t>
      </w:r>
      <w:r w:rsidR="00541D05">
        <w:t xml:space="preserve"> </w:t>
      </w:r>
      <w:r w:rsidR="00D9258C" w:rsidRPr="00FD6A6A">
        <w:t>education</w:t>
      </w:r>
      <w:r w:rsidR="00541D05">
        <w:t xml:space="preserve"> </w:t>
      </w:r>
      <w:r w:rsidR="00D9258C" w:rsidRPr="00FD6A6A">
        <w:t>has</w:t>
      </w:r>
      <w:r w:rsidR="00541D05">
        <w:t xml:space="preserve"> </w:t>
      </w:r>
      <w:r w:rsidR="00D9258C" w:rsidRPr="00FD6A6A">
        <w:t>the</w:t>
      </w:r>
      <w:r w:rsidR="00541D05">
        <w:t xml:space="preserve"> </w:t>
      </w:r>
      <w:r w:rsidR="00D9258C" w:rsidRPr="00FD6A6A">
        <w:t>greatest</w:t>
      </w:r>
      <w:r w:rsidR="00541D05">
        <w:t xml:space="preserve"> </w:t>
      </w:r>
      <w:r w:rsidR="00D9258C" w:rsidRPr="00FD6A6A">
        <w:t>amount</w:t>
      </w:r>
      <w:r w:rsidR="00541D05">
        <w:t xml:space="preserve"> </w:t>
      </w:r>
      <w:r w:rsidR="00D9258C" w:rsidRPr="00FD6A6A">
        <w:t>of</w:t>
      </w:r>
      <w:r w:rsidR="00541D05">
        <w:t xml:space="preserve"> </w:t>
      </w:r>
      <w:r w:rsidR="00D9258C" w:rsidRPr="00FD6A6A">
        <w:t>initiatives</w:t>
      </w:r>
      <w:r w:rsidR="00541D05">
        <w:t xml:space="preserve"> </w:t>
      </w:r>
      <w:r w:rsidR="00D9258C" w:rsidRPr="00FD6A6A">
        <w:t>aimed</w:t>
      </w:r>
      <w:r w:rsidR="00541D05">
        <w:t xml:space="preserve"> </w:t>
      </w:r>
      <w:r w:rsidR="00D9258C" w:rsidRPr="00FD6A6A">
        <w:t>at</w:t>
      </w:r>
      <w:r w:rsidR="00541D05">
        <w:t xml:space="preserve"> </w:t>
      </w:r>
      <w:r w:rsidR="00D9258C" w:rsidRPr="00FD6A6A">
        <w:t>combatting</w:t>
      </w:r>
      <w:r w:rsidR="00541D05">
        <w:t xml:space="preserve"> </w:t>
      </w:r>
      <w:r w:rsidR="00D9258C" w:rsidRPr="00FD6A6A">
        <w:t>discrimination</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As</w:t>
      </w:r>
      <w:r w:rsidR="00541D05">
        <w:t xml:space="preserve"> </w:t>
      </w:r>
      <w:r w:rsidR="00D9258C" w:rsidRPr="00FD6A6A">
        <w:t>the</w:t>
      </w:r>
      <w:r w:rsidR="00541D05">
        <w:t xml:space="preserve"> </w:t>
      </w:r>
      <w:r w:rsidR="00D9258C" w:rsidRPr="00FD6A6A">
        <w:t>result</w:t>
      </w:r>
      <w:r w:rsidR="00541D05">
        <w:t xml:space="preserve"> </w:t>
      </w:r>
      <w:r w:rsidR="00D9258C" w:rsidRPr="00FD6A6A">
        <w:t>of</w:t>
      </w:r>
      <w:r w:rsidR="00541D05">
        <w:t xml:space="preserve"> </w:t>
      </w:r>
      <w:r w:rsidR="00D9258C" w:rsidRPr="00FD6A6A">
        <w:t>investments</w:t>
      </w:r>
      <w:r w:rsidR="00541D05">
        <w:t xml:space="preserve"> </w:t>
      </w:r>
      <w:r w:rsidR="00D9258C" w:rsidRPr="00FD6A6A">
        <w:t>made</w:t>
      </w:r>
      <w:r w:rsidR="00541D05">
        <w:t xml:space="preserve"> </w:t>
      </w:r>
      <w:r w:rsidR="00D9258C" w:rsidRPr="00FD6A6A">
        <w:t>since</w:t>
      </w:r>
      <w:r w:rsidR="00541D05">
        <w:t xml:space="preserve"> </w:t>
      </w:r>
      <w:r w:rsidR="00D9258C" w:rsidRPr="00FD6A6A">
        <w:t>the</w:t>
      </w:r>
      <w:r w:rsidR="00541D05">
        <w:t xml:space="preserve"> </w:t>
      </w:r>
      <w:r w:rsidR="00D9258C" w:rsidRPr="00FD6A6A">
        <w:t>1990s,</w:t>
      </w:r>
      <w:r w:rsidR="00541D05">
        <w:t xml:space="preserve"> </w:t>
      </w:r>
      <w:r w:rsidR="00D9258C" w:rsidRPr="00FD6A6A">
        <w:t>the</w:t>
      </w:r>
      <w:r w:rsidR="00541D05">
        <w:t xml:space="preserve"> </w:t>
      </w:r>
      <w:r w:rsidR="00D9258C" w:rsidRPr="00FD6A6A">
        <w:t>indicators</w:t>
      </w:r>
      <w:r w:rsidR="00541D05">
        <w:t xml:space="preserve"> </w:t>
      </w:r>
      <w:r w:rsidR="00D9258C" w:rsidRPr="00FD6A6A">
        <w:t>of</w:t>
      </w:r>
      <w:r w:rsidR="00541D05">
        <w:t xml:space="preserve"> </w:t>
      </w:r>
      <w:r w:rsidR="00D9258C" w:rsidRPr="00FD6A6A">
        <w:t>coverage</w:t>
      </w:r>
      <w:r w:rsidR="00541D05">
        <w:t xml:space="preserve"> </w:t>
      </w:r>
      <w:r w:rsidR="00D9258C" w:rsidRPr="00FD6A6A">
        <w:t>have</w:t>
      </w:r>
      <w:r w:rsidR="00541D05">
        <w:t xml:space="preserve"> </w:t>
      </w:r>
      <w:r w:rsidR="00D9258C" w:rsidRPr="00FD6A6A">
        <w:t>grown</w:t>
      </w:r>
      <w:r w:rsidR="00541D05">
        <w:t xml:space="preserve"> </w:t>
      </w:r>
      <w:r w:rsidR="00D9258C" w:rsidRPr="00FD6A6A">
        <w:t>significantly,</w:t>
      </w:r>
      <w:r w:rsidR="00541D05">
        <w:t xml:space="preserve"> </w:t>
      </w:r>
      <w:r w:rsidR="00D9258C" w:rsidRPr="00FD6A6A">
        <w:t>especially</w:t>
      </w:r>
      <w:r w:rsidR="00541D05">
        <w:t xml:space="preserve"> </w:t>
      </w:r>
      <w:r w:rsidR="00D9258C" w:rsidRPr="00FD6A6A">
        <w:t>for</w:t>
      </w:r>
      <w:r w:rsidR="00541D05">
        <w:t xml:space="preserve"> </w:t>
      </w:r>
      <w:r w:rsidR="00D9258C" w:rsidRPr="00FD6A6A">
        <w:t>populations</w:t>
      </w:r>
      <w:r w:rsidR="00541D05">
        <w:t xml:space="preserve"> </w:t>
      </w:r>
      <w:r w:rsidR="00D9258C" w:rsidRPr="00FD6A6A">
        <w:t>from</w:t>
      </w:r>
      <w:r w:rsidR="00541D05">
        <w:t xml:space="preserve"> </w:t>
      </w:r>
      <w:r w:rsidR="00D9258C" w:rsidRPr="00FD6A6A">
        <w:t>7</w:t>
      </w:r>
      <w:r w:rsidR="00541D05">
        <w:t xml:space="preserve"> </w:t>
      </w:r>
      <w:r w:rsidR="00D9258C" w:rsidRPr="00FD6A6A">
        <w:t>to</w:t>
      </w:r>
      <w:r w:rsidR="00541D05">
        <w:t xml:space="preserve"> </w:t>
      </w:r>
      <w:r w:rsidR="00D9258C" w:rsidRPr="00FD6A6A">
        <w:t>14</w:t>
      </w:r>
      <w:r w:rsidR="00541D05">
        <w:t xml:space="preserve"> </w:t>
      </w:r>
      <w:r w:rsidR="00D9258C" w:rsidRPr="00FD6A6A">
        <w:t>years</w:t>
      </w:r>
      <w:r w:rsidR="00541D05">
        <w:t xml:space="preserve"> </w:t>
      </w:r>
      <w:r w:rsidR="00D9258C" w:rsidRPr="00FD6A6A">
        <w:t>old</w:t>
      </w:r>
      <w:r w:rsidR="00541D05">
        <w:t xml:space="preserve"> </w:t>
      </w:r>
      <w:r w:rsidR="00D9258C" w:rsidRPr="00FD6A6A">
        <w:t>and</w:t>
      </w:r>
      <w:r w:rsidR="00541D05">
        <w:t xml:space="preserve"> </w:t>
      </w:r>
      <w:r w:rsidR="00D9258C" w:rsidRPr="00FD6A6A">
        <w:t>15</w:t>
      </w:r>
      <w:r w:rsidR="00541D05">
        <w:t xml:space="preserve"> </w:t>
      </w:r>
      <w:r w:rsidR="00D9258C" w:rsidRPr="00FD6A6A">
        <w:t>to</w:t>
      </w:r>
      <w:r w:rsidR="00541D05">
        <w:t xml:space="preserve"> </w:t>
      </w:r>
      <w:r w:rsidR="00D9258C" w:rsidRPr="00FD6A6A">
        <w:t>17</w:t>
      </w:r>
      <w:r w:rsidR="00541D05">
        <w:t xml:space="preserve"> </w:t>
      </w:r>
      <w:r w:rsidR="00D9258C" w:rsidRPr="00FD6A6A">
        <w:t>years</w:t>
      </w:r>
      <w:r w:rsidR="00541D05">
        <w:t xml:space="preserve"> </w:t>
      </w:r>
      <w:r w:rsidR="00D9258C" w:rsidRPr="00FD6A6A">
        <w:t>old.</w:t>
      </w:r>
      <w:r w:rsidR="00541D05">
        <w:t xml:space="preserve"> </w:t>
      </w:r>
      <w:r w:rsidR="00D9258C" w:rsidRPr="00FD6A6A">
        <w:t>For</w:t>
      </w:r>
      <w:r w:rsidR="00541D05">
        <w:t xml:space="preserve"> </w:t>
      </w:r>
      <w:r w:rsidR="00D9258C" w:rsidRPr="00FD6A6A">
        <w:t>0</w:t>
      </w:r>
      <w:r w:rsidR="00541D05">
        <w:t xml:space="preserve"> </w:t>
      </w:r>
      <w:r w:rsidR="00D9258C" w:rsidRPr="00FD6A6A">
        <w:t>to</w:t>
      </w:r>
      <w:r w:rsidR="00541D05">
        <w:t xml:space="preserve"> </w:t>
      </w:r>
      <w:r w:rsidR="00D9258C" w:rsidRPr="00FD6A6A">
        <w:t>3</w:t>
      </w:r>
      <w:r w:rsidR="00541D05">
        <w:t xml:space="preserve"> </w:t>
      </w:r>
      <w:r w:rsidR="00D9258C" w:rsidRPr="00FD6A6A">
        <w:t>years</w:t>
      </w:r>
      <w:r w:rsidR="00541D05">
        <w:t xml:space="preserve"> </w:t>
      </w:r>
      <w:r w:rsidR="00D9258C" w:rsidRPr="00FD6A6A">
        <w:t>old,</w:t>
      </w:r>
      <w:r w:rsidR="00541D05">
        <w:t xml:space="preserve"> </w:t>
      </w:r>
      <w:r w:rsidR="00D9258C" w:rsidRPr="00FD6A6A">
        <w:t>however,</w:t>
      </w:r>
      <w:r w:rsidR="00541D05">
        <w:t xml:space="preserve"> </w:t>
      </w:r>
      <w:r w:rsidR="00D9258C" w:rsidRPr="00FD6A6A">
        <w:t>the</w:t>
      </w:r>
      <w:r w:rsidR="00541D05">
        <w:t xml:space="preserve"> </w:t>
      </w:r>
      <w:r w:rsidR="00D9258C" w:rsidRPr="00FD6A6A">
        <w:t>coverage</w:t>
      </w:r>
      <w:r w:rsidR="00541D05">
        <w:t xml:space="preserve"> </w:t>
      </w:r>
      <w:r w:rsidR="00D9258C" w:rsidRPr="00FD6A6A">
        <w:t>is</w:t>
      </w:r>
      <w:r w:rsidR="00541D05">
        <w:t xml:space="preserve"> </w:t>
      </w:r>
      <w:r w:rsidR="00D9258C" w:rsidRPr="00FD6A6A">
        <w:t>very</w:t>
      </w:r>
      <w:r w:rsidR="00541D05">
        <w:t xml:space="preserve"> </w:t>
      </w:r>
      <w:r w:rsidR="00D9258C" w:rsidRPr="00FD6A6A">
        <w:t>low,</w:t>
      </w:r>
      <w:r w:rsidR="00541D05">
        <w:t xml:space="preserve"> </w:t>
      </w:r>
      <w:r w:rsidR="00D9258C" w:rsidRPr="00FD6A6A">
        <w:t>reaching</w:t>
      </w:r>
      <w:r w:rsidR="00541D05">
        <w:t xml:space="preserve"> </w:t>
      </w:r>
      <w:r w:rsidR="00D9258C" w:rsidRPr="00FD6A6A">
        <w:t>only</w:t>
      </w:r>
      <w:r w:rsidR="00541D05">
        <w:t xml:space="preserve"> </w:t>
      </w:r>
      <w:r w:rsidR="00D9258C" w:rsidRPr="00FD6A6A">
        <w:t>22%</w:t>
      </w:r>
      <w:r w:rsidR="00541D05">
        <w:t xml:space="preserve"> </w:t>
      </w:r>
      <w:r w:rsidR="00D9258C" w:rsidRPr="00FD6A6A">
        <w:t>of</w:t>
      </w:r>
      <w:r w:rsidR="00541D05">
        <w:t xml:space="preserve"> </w:t>
      </w:r>
      <w:r w:rsidR="00D9258C" w:rsidRPr="00FD6A6A">
        <w:t>Afro-Brazilian</w:t>
      </w:r>
      <w:r w:rsidR="00541D05">
        <w:t xml:space="preserve"> </w:t>
      </w:r>
      <w:r w:rsidR="00D9258C" w:rsidRPr="00FD6A6A">
        <w:t>children</w:t>
      </w:r>
      <w:r w:rsidR="00541D05">
        <w:t xml:space="preserve"> </w:t>
      </w:r>
      <w:r w:rsidR="00D9258C" w:rsidRPr="00FD6A6A">
        <w:t>and</w:t>
      </w:r>
      <w:r w:rsidR="00541D05">
        <w:t xml:space="preserve"> </w:t>
      </w:r>
      <w:r w:rsidR="00D9258C" w:rsidRPr="00FD6A6A">
        <w:t>29%</w:t>
      </w:r>
      <w:r w:rsidR="00541D05">
        <w:t xml:space="preserve"> </w:t>
      </w:r>
      <w:r w:rsidR="00D9258C" w:rsidRPr="00FD6A6A">
        <w:t>of</w:t>
      </w:r>
      <w:r w:rsidR="00541D05">
        <w:t xml:space="preserve"> </w:t>
      </w:r>
      <w:r w:rsidR="00D9258C" w:rsidRPr="00FD6A6A">
        <w:t>White</w:t>
      </w:r>
      <w:r w:rsidR="00541D05">
        <w:t xml:space="preserve"> </w:t>
      </w:r>
      <w:r w:rsidR="00D9258C" w:rsidRPr="00FD6A6A">
        <w:t>children.</w:t>
      </w:r>
      <w:r w:rsidR="00541D05">
        <w:t xml:space="preserve"> </w:t>
      </w:r>
      <w:r w:rsidR="00D9258C" w:rsidRPr="00FD6A6A">
        <w:t>This</w:t>
      </w:r>
      <w:r w:rsidR="00541D05">
        <w:t xml:space="preserve"> </w:t>
      </w:r>
      <w:r w:rsidR="00D9258C" w:rsidRPr="00FD6A6A">
        <w:t>indicator</w:t>
      </w:r>
      <w:r w:rsidR="00541D05">
        <w:t xml:space="preserve"> </w:t>
      </w:r>
      <w:r w:rsidR="00D9258C" w:rsidRPr="00FD6A6A">
        <w:t>points</w:t>
      </w:r>
      <w:r w:rsidR="00541D05">
        <w:t xml:space="preserve"> </w:t>
      </w:r>
      <w:r w:rsidR="00D9258C" w:rsidRPr="00FD6A6A">
        <w:t>out</w:t>
      </w:r>
      <w:r w:rsidR="00541D05">
        <w:t xml:space="preserve"> </w:t>
      </w:r>
      <w:r w:rsidR="00D9258C" w:rsidRPr="00FD6A6A">
        <w:t>a</w:t>
      </w:r>
      <w:r w:rsidR="00541D05">
        <w:t xml:space="preserve"> </w:t>
      </w:r>
      <w:r w:rsidR="00D9258C" w:rsidRPr="00FD6A6A">
        <w:t>low</w:t>
      </w:r>
      <w:r w:rsidR="00541D05">
        <w:t xml:space="preserve"> </w:t>
      </w:r>
      <w:r w:rsidR="00D9258C" w:rsidRPr="00FD6A6A">
        <w:t>institutionalization</w:t>
      </w:r>
      <w:r w:rsidR="00541D05">
        <w:t xml:space="preserve"> </w:t>
      </w:r>
      <w:r w:rsidR="00D9258C" w:rsidRPr="00FD6A6A">
        <w:t>of</w:t>
      </w:r>
      <w:r w:rsidR="00541D05">
        <w:t xml:space="preserve"> </w:t>
      </w:r>
      <w:r w:rsidR="00D9258C" w:rsidRPr="00FD6A6A">
        <w:t>a</w:t>
      </w:r>
      <w:r w:rsidR="00541D05">
        <w:t xml:space="preserve"> </w:t>
      </w:r>
      <w:r w:rsidR="00D9258C" w:rsidRPr="00FD6A6A">
        <w:t>policy</w:t>
      </w:r>
      <w:r w:rsidR="00541D05">
        <w:t xml:space="preserve"> </w:t>
      </w:r>
      <w:r w:rsidR="00D9258C" w:rsidRPr="00FD6A6A">
        <w:t>of</w:t>
      </w:r>
      <w:r w:rsidR="00541D05">
        <w:t xml:space="preserve"> </w:t>
      </w:r>
      <w:r w:rsidR="00D9258C" w:rsidRPr="00FD6A6A">
        <w:t>care,</w:t>
      </w:r>
      <w:r w:rsidR="00541D05">
        <w:t xml:space="preserve"> </w:t>
      </w:r>
      <w:r w:rsidR="00D9258C" w:rsidRPr="00FD6A6A">
        <w:t>adversely</w:t>
      </w:r>
      <w:r w:rsidR="00541D05">
        <w:t xml:space="preserve"> </w:t>
      </w:r>
      <w:r w:rsidR="00D9258C" w:rsidRPr="00FD6A6A">
        <w:t>affecting</w:t>
      </w:r>
      <w:r w:rsidR="00541D05">
        <w:t xml:space="preserve"> </w:t>
      </w:r>
      <w:r w:rsidR="00D9258C" w:rsidRPr="00FD6A6A">
        <w:t>women</w:t>
      </w:r>
      <w:r w:rsidR="00541D05">
        <w:t xml:space="preserve"> </w:t>
      </w:r>
      <w:r w:rsidR="00D9258C" w:rsidRPr="00FD6A6A">
        <w:t>specifically.</w:t>
      </w:r>
    </w:p>
    <w:p w14:paraId="55BC4669" w14:textId="39EF4219" w:rsidR="00D9258C" w:rsidRPr="00FD6A6A" w:rsidRDefault="00166390" w:rsidP="00166390">
      <w:pPr>
        <w:pStyle w:val="ParaNoG"/>
        <w:numPr>
          <w:ilvl w:val="0"/>
          <w:numId w:val="0"/>
        </w:numPr>
        <w:tabs>
          <w:tab w:val="left" w:pos="0"/>
        </w:tabs>
        <w:ind w:left="1134"/>
      </w:pPr>
      <w:r w:rsidRPr="00FD6A6A">
        <w:t>76.</w:t>
      </w:r>
      <w:r w:rsidRPr="00FD6A6A">
        <w:tab/>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school</w:t>
      </w:r>
      <w:r w:rsidR="00541D05">
        <w:t xml:space="preserve"> </w:t>
      </w:r>
      <w:r w:rsidR="00D9258C" w:rsidRPr="00FD6A6A">
        <w:t>coverage,</w:t>
      </w:r>
      <w:r w:rsidR="00541D05">
        <w:t xml:space="preserve"> </w:t>
      </w:r>
      <w:r w:rsidR="00D9258C" w:rsidRPr="00FD6A6A">
        <w:t>there</w:t>
      </w:r>
      <w:r w:rsidR="00541D05">
        <w:t xml:space="preserve"> </w:t>
      </w:r>
      <w:r w:rsidR="00D9258C" w:rsidRPr="00FD6A6A">
        <w:t>were</w:t>
      </w:r>
      <w:r w:rsidR="00541D05">
        <w:t xml:space="preserve"> </w:t>
      </w:r>
      <w:r w:rsidR="00D9258C" w:rsidRPr="00FD6A6A">
        <w:t>also</w:t>
      </w:r>
      <w:r w:rsidR="00541D05">
        <w:t xml:space="preserve"> </w:t>
      </w:r>
      <w:r w:rsidR="00D9258C" w:rsidRPr="00FD6A6A">
        <w:t>improvements</w:t>
      </w:r>
      <w:r w:rsidR="00541D05">
        <w:t xml:space="preserve"> </w:t>
      </w:r>
      <w:r w:rsidR="00D9258C" w:rsidRPr="00FD6A6A">
        <w:t>to</w:t>
      </w:r>
      <w:r w:rsidR="00541D05">
        <w:t xml:space="preserve"> </w:t>
      </w:r>
      <w:r w:rsidR="00D9258C" w:rsidRPr="00FD6A6A">
        <w:t>the</w:t>
      </w:r>
      <w:r w:rsidR="00541D05">
        <w:t xml:space="preserve"> </w:t>
      </w:r>
      <w:r w:rsidR="00D9258C" w:rsidRPr="00FD6A6A">
        <w:t>flow,</w:t>
      </w:r>
      <w:r w:rsidR="00541D05">
        <w:t xml:space="preserve"> </w:t>
      </w:r>
      <w:r w:rsidR="00D9258C" w:rsidRPr="00FD6A6A">
        <w:t>decreasing</w:t>
      </w:r>
      <w:r w:rsidR="00541D05">
        <w:t xml:space="preserve"> </w:t>
      </w:r>
      <w:r w:rsidR="00D9258C" w:rsidRPr="00FD6A6A">
        <w:t>the</w:t>
      </w:r>
      <w:r w:rsidR="00541D05">
        <w:t xml:space="preserve"> </w:t>
      </w:r>
      <w:r w:rsidR="00D9258C" w:rsidRPr="00FD6A6A">
        <w:t>distortion</w:t>
      </w:r>
      <w:r w:rsidR="00541D05">
        <w:t xml:space="preserve"> </w:t>
      </w:r>
      <w:r w:rsidR="00D9258C" w:rsidRPr="00FD6A6A">
        <w:t>between</w:t>
      </w:r>
      <w:r w:rsidR="00541D05">
        <w:t xml:space="preserve"> </w:t>
      </w:r>
      <w:r w:rsidR="00D9258C" w:rsidRPr="00FD6A6A">
        <w:t>age</w:t>
      </w:r>
      <w:r w:rsidR="00541D05">
        <w:t xml:space="preserve"> </w:t>
      </w:r>
      <w:r w:rsidR="00D9258C" w:rsidRPr="00FD6A6A">
        <w:t>and</w:t>
      </w:r>
      <w:r w:rsidR="00541D05">
        <w:t xml:space="preserve"> </w:t>
      </w:r>
      <w:r w:rsidR="00D9258C" w:rsidRPr="00FD6A6A">
        <w:t>grade,</w:t>
      </w:r>
      <w:r w:rsidR="00541D05">
        <w:t xml:space="preserve"> </w:t>
      </w:r>
      <w:r w:rsidR="00D9258C" w:rsidRPr="00FD6A6A">
        <w:t>i.e.,</w:t>
      </w:r>
      <w:r w:rsidR="00541D05">
        <w:t xml:space="preserve"> </w:t>
      </w:r>
      <w:r w:rsidR="00D9258C" w:rsidRPr="00FD6A6A">
        <w:t>individuals</w:t>
      </w:r>
      <w:r w:rsidR="00541D05">
        <w:t xml:space="preserve"> </w:t>
      </w:r>
      <w:r w:rsidR="00D9258C" w:rsidRPr="00FD6A6A">
        <w:t>are</w:t>
      </w:r>
      <w:r w:rsidR="00541D05">
        <w:t xml:space="preserve"> </w:t>
      </w:r>
      <w:r w:rsidR="00D9258C" w:rsidRPr="00FD6A6A">
        <w:t>accessing</w:t>
      </w:r>
      <w:r w:rsidR="00541D05">
        <w:t xml:space="preserve"> </w:t>
      </w:r>
      <w:r w:rsidR="00D9258C" w:rsidRPr="00FD6A6A">
        <w:t>different</w:t>
      </w:r>
      <w:r w:rsidR="00541D05">
        <w:t xml:space="preserve"> </w:t>
      </w:r>
      <w:r w:rsidR="00D9258C" w:rsidRPr="00FD6A6A">
        <w:t>school</w:t>
      </w:r>
      <w:r w:rsidR="00541D05">
        <w:t xml:space="preserve"> </w:t>
      </w:r>
      <w:r w:rsidR="00D9258C" w:rsidRPr="00FD6A6A">
        <w:t>cycles</w:t>
      </w:r>
      <w:r w:rsidR="00541D05">
        <w:t xml:space="preserve"> </w:t>
      </w:r>
      <w:r w:rsidR="00D9258C" w:rsidRPr="00FD6A6A">
        <w:t>in</w:t>
      </w:r>
      <w:r w:rsidR="00541D05">
        <w:t xml:space="preserve"> </w:t>
      </w:r>
      <w:r w:rsidR="00D9258C" w:rsidRPr="00FD6A6A">
        <w:t>the</w:t>
      </w:r>
      <w:r w:rsidR="00541D05">
        <w:t xml:space="preserve"> </w:t>
      </w:r>
      <w:r w:rsidR="00D9258C" w:rsidRPr="00FD6A6A">
        <w:t>desirable</w:t>
      </w:r>
      <w:r w:rsidR="00541D05">
        <w:t xml:space="preserve"> </w:t>
      </w:r>
      <w:r w:rsidR="00D9258C" w:rsidRPr="00FD6A6A">
        <w:t>ages.</w:t>
      </w:r>
      <w:r w:rsidR="00541D05">
        <w:t xml:space="preserve"> </w:t>
      </w:r>
      <w:r w:rsidR="00D9258C" w:rsidRPr="00FD6A6A">
        <w:t>In</w:t>
      </w:r>
      <w:r w:rsidR="00541D05">
        <w:t xml:space="preserve"> </w:t>
      </w:r>
      <w:r w:rsidR="00D9258C" w:rsidRPr="00FD6A6A">
        <w:t>2004,</w:t>
      </w:r>
      <w:r w:rsidR="00541D05">
        <w:t xml:space="preserve"> </w:t>
      </w:r>
      <w:r w:rsidR="00D9258C" w:rsidRPr="00FD6A6A">
        <w:t>the</w:t>
      </w:r>
      <w:r w:rsidR="00541D05">
        <w:t xml:space="preserve"> </w:t>
      </w:r>
      <w:r w:rsidR="00D9258C" w:rsidRPr="00FD6A6A">
        <w:t>rate</w:t>
      </w:r>
      <w:r w:rsidR="00541D05">
        <w:t xml:space="preserve"> </w:t>
      </w:r>
      <w:r w:rsidR="00D9258C" w:rsidRPr="00FD6A6A">
        <w:t>of</w:t>
      </w:r>
      <w:r w:rsidR="00541D05">
        <w:t xml:space="preserve"> </w:t>
      </w:r>
      <w:r w:rsidR="00D9258C" w:rsidRPr="00FD6A6A">
        <w:t>distortion</w:t>
      </w:r>
      <w:r w:rsidR="00541D05">
        <w:t xml:space="preserve"> </w:t>
      </w:r>
      <w:r w:rsidR="00D9258C" w:rsidRPr="00FD6A6A">
        <w:t>between</w:t>
      </w:r>
      <w:r w:rsidR="00541D05">
        <w:t xml:space="preserve"> </w:t>
      </w:r>
      <w:r w:rsidR="00D9258C" w:rsidRPr="00FD6A6A">
        <w:t>age</w:t>
      </w:r>
      <w:r w:rsidR="00541D05">
        <w:t xml:space="preserve"> </w:t>
      </w:r>
      <w:r w:rsidR="00D9258C" w:rsidRPr="00FD6A6A">
        <w:t>and</w:t>
      </w:r>
      <w:r w:rsidR="00541D05">
        <w:t xml:space="preserve"> </w:t>
      </w:r>
      <w:r w:rsidR="00D9258C" w:rsidRPr="00FD6A6A">
        <w:t>grade</w:t>
      </w:r>
      <w:r w:rsidR="00541D05">
        <w:t xml:space="preserve"> </w:t>
      </w:r>
      <w:r w:rsidR="00D9258C" w:rsidRPr="00FD6A6A">
        <w:t>was</w:t>
      </w:r>
      <w:r w:rsidR="00541D05">
        <w:t xml:space="preserve"> </w:t>
      </w:r>
      <w:r w:rsidR="00D9258C" w:rsidRPr="00FD6A6A">
        <w:t>52.1%,</w:t>
      </w:r>
      <w:r w:rsidR="00541D05">
        <w:t xml:space="preserve"> </w:t>
      </w:r>
      <w:r w:rsidR="00D9258C" w:rsidRPr="00FD6A6A">
        <w:t>decreasing</w:t>
      </w:r>
      <w:r w:rsidR="00541D05">
        <w:t xml:space="preserve"> </w:t>
      </w:r>
      <w:r w:rsidR="00D9258C" w:rsidRPr="00FD6A6A">
        <w:t>to</w:t>
      </w:r>
      <w:r w:rsidR="00541D05">
        <w:t xml:space="preserve"> </w:t>
      </w:r>
      <w:r w:rsidR="00D9258C" w:rsidRPr="00FD6A6A">
        <w:t>29%</w:t>
      </w:r>
      <w:r w:rsidR="00541D05">
        <w:t xml:space="preserve"> </w:t>
      </w:r>
      <w:r w:rsidR="00D9258C" w:rsidRPr="00FD6A6A">
        <w:t>in</w:t>
      </w:r>
      <w:r w:rsidR="00541D05">
        <w:t xml:space="preserve"> </w:t>
      </w:r>
      <w:r w:rsidR="00D9258C" w:rsidRPr="00FD6A6A">
        <w:t>2015.</w:t>
      </w:r>
    </w:p>
    <w:p w14:paraId="32E61C69" w14:textId="57E2FC20" w:rsidR="00D9258C" w:rsidRPr="00FD6A6A" w:rsidRDefault="00166390" w:rsidP="00166390">
      <w:pPr>
        <w:pStyle w:val="ParaNoG"/>
        <w:numPr>
          <w:ilvl w:val="0"/>
          <w:numId w:val="0"/>
        </w:numPr>
        <w:tabs>
          <w:tab w:val="left" w:pos="0"/>
        </w:tabs>
        <w:ind w:left="1134"/>
      </w:pPr>
      <w:r w:rsidRPr="00FD6A6A">
        <w:t>77.</w:t>
      </w:r>
      <w:r w:rsidRPr="00FD6A6A">
        <w:tab/>
      </w:r>
      <w:r w:rsidR="00D9258C" w:rsidRPr="00FD6A6A">
        <w:t>Between</w:t>
      </w:r>
      <w:r w:rsidR="00541D05">
        <w:t xml:space="preserve"> </w:t>
      </w:r>
      <w:r w:rsidR="00D9258C" w:rsidRPr="00FD6A6A">
        <w:t>18</w:t>
      </w:r>
      <w:r w:rsidR="00541D05">
        <w:t xml:space="preserve"> </w:t>
      </w:r>
      <w:r w:rsidR="00D9258C" w:rsidRPr="00FD6A6A">
        <w:t>and</w:t>
      </w:r>
      <w:r w:rsidR="00541D05">
        <w:t xml:space="preserve"> </w:t>
      </w:r>
      <w:r w:rsidR="00D9258C" w:rsidRPr="00FD6A6A">
        <w:t>24</w:t>
      </w:r>
      <w:r w:rsidR="00541D05">
        <w:t xml:space="preserve"> </w:t>
      </w:r>
      <w:r w:rsidR="00D9258C" w:rsidRPr="00FD6A6A">
        <w:t>years</w:t>
      </w:r>
      <w:r w:rsidR="00541D05">
        <w:t xml:space="preserve"> </w:t>
      </w:r>
      <w:r w:rsidR="00D9258C" w:rsidRPr="00FD6A6A">
        <w:t>old,</w:t>
      </w:r>
      <w:r w:rsidR="00541D05">
        <w:t xml:space="preserve"> </w:t>
      </w:r>
      <w:r w:rsidR="00D9258C" w:rsidRPr="00FD6A6A">
        <w:t>school</w:t>
      </w:r>
      <w:r w:rsidR="00541D05">
        <w:t xml:space="preserve"> </w:t>
      </w:r>
      <w:r w:rsidR="00D9258C" w:rsidRPr="00FD6A6A">
        <w:t>coverage</w:t>
      </w:r>
      <w:r w:rsidR="00541D05">
        <w:t xml:space="preserve"> </w:t>
      </w:r>
      <w:r w:rsidR="00D9258C" w:rsidRPr="00FD6A6A">
        <w:t>decreases</w:t>
      </w:r>
      <w:r w:rsidR="00541D05">
        <w:t xml:space="preserve"> </w:t>
      </w:r>
      <w:r w:rsidR="00D9258C" w:rsidRPr="00FD6A6A">
        <w:t>in</w:t>
      </w:r>
      <w:r w:rsidR="00541D05">
        <w:t xml:space="preserve"> </w:t>
      </w:r>
      <w:r w:rsidR="00D9258C" w:rsidRPr="00FD6A6A">
        <w:t>both</w:t>
      </w:r>
      <w:r w:rsidR="00541D05">
        <w:t xml:space="preserve"> </w:t>
      </w:r>
      <w:r w:rsidR="00D9258C" w:rsidRPr="00FD6A6A">
        <w:t>groups,</w:t>
      </w:r>
      <w:r w:rsidR="00541D05">
        <w:t xml:space="preserve"> </w:t>
      </w:r>
      <w:r w:rsidR="00D9258C" w:rsidRPr="00FD6A6A">
        <w:t>and</w:t>
      </w:r>
      <w:r w:rsidR="00541D05">
        <w:t xml:space="preserve"> </w:t>
      </w:r>
      <w:r w:rsidR="00D9258C" w:rsidRPr="00FD6A6A">
        <w:t>in</w:t>
      </w:r>
      <w:r w:rsidR="00541D05">
        <w:t xml:space="preserve"> </w:t>
      </w:r>
      <w:r w:rsidR="00D9258C" w:rsidRPr="00FD6A6A">
        <w:t>this</w:t>
      </w:r>
      <w:r w:rsidR="00541D05">
        <w:t xml:space="preserve"> </w:t>
      </w:r>
      <w:r w:rsidR="00D9258C" w:rsidRPr="00FD6A6A">
        <w:t>age</w:t>
      </w:r>
      <w:r w:rsidR="00541D05">
        <w:t xml:space="preserve"> </w:t>
      </w:r>
      <w:r w:rsidR="00D9258C" w:rsidRPr="00FD6A6A">
        <w:t>group,</w:t>
      </w:r>
      <w:r w:rsidR="00541D05">
        <w:t xml:space="preserve"> </w:t>
      </w:r>
      <w:r w:rsidR="00D9258C" w:rsidRPr="00FD6A6A">
        <w:t>individuals</w:t>
      </w:r>
      <w:r w:rsidR="00541D05">
        <w:t xml:space="preserve"> </w:t>
      </w:r>
      <w:r w:rsidR="00D9258C" w:rsidRPr="00FD6A6A">
        <w:t>experience</w:t>
      </w:r>
      <w:r w:rsidR="00541D05">
        <w:t xml:space="preserve"> </w:t>
      </w:r>
      <w:r w:rsidR="00D9258C" w:rsidRPr="00FD6A6A">
        <w:t>access</w:t>
      </w:r>
      <w:r w:rsidR="00541D05">
        <w:t xml:space="preserve"> </w:t>
      </w:r>
      <w:r w:rsidR="00D9258C" w:rsidRPr="00FD6A6A">
        <w:t>to</w:t>
      </w:r>
      <w:r w:rsidR="00541D05">
        <w:t xml:space="preserve"> </w:t>
      </w:r>
      <w:r w:rsidR="00D9258C" w:rsidRPr="00FD6A6A">
        <w:t>higher</w:t>
      </w:r>
      <w:r w:rsidR="00541D05">
        <w:t xml:space="preserve"> </w:t>
      </w:r>
      <w:r w:rsidR="00D9258C" w:rsidRPr="00FD6A6A">
        <w:t>education</w:t>
      </w:r>
      <w:r w:rsidR="00541D05">
        <w:t xml:space="preserve"> </w:t>
      </w:r>
      <w:r w:rsidR="00D9258C" w:rsidRPr="00FD6A6A">
        <w:t>as</w:t>
      </w:r>
      <w:r w:rsidR="00541D05">
        <w:t xml:space="preserve"> </w:t>
      </w:r>
      <w:r w:rsidR="00D9258C" w:rsidRPr="00FD6A6A">
        <w:t>a</w:t>
      </w:r>
      <w:r w:rsidR="00541D05">
        <w:t xml:space="preserve"> </w:t>
      </w:r>
      <w:r w:rsidR="00D9258C" w:rsidRPr="00FD6A6A">
        <w:t>rule.</w:t>
      </w:r>
      <w:r w:rsidR="00541D05">
        <w:t xml:space="preserve"> </w:t>
      </w:r>
      <w:r w:rsidR="00D9258C" w:rsidRPr="00FD6A6A">
        <w:t>However,</w:t>
      </w:r>
      <w:r w:rsidR="00541D05">
        <w:t xml:space="preserve"> </w:t>
      </w:r>
      <w:r w:rsidR="00D9258C" w:rsidRPr="00FD6A6A">
        <w:t>coverage</w:t>
      </w:r>
      <w:r w:rsidR="00541D05">
        <w:t xml:space="preserve"> </w:t>
      </w:r>
      <w:r w:rsidR="00D9258C" w:rsidRPr="00FD6A6A">
        <w:t>indicators</w:t>
      </w:r>
      <w:r w:rsidR="00541D05">
        <w:t xml:space="preserve"> </w:t>
      </w:r>
      <w:r w:rsidR="00D9258C" w:rsidRPr="00FD6A6A">
        <w:t>have</w:t>
      </w:r>
      <w:r w:rsidR="00541D05">
        <w:t xml:space="preserve"> </w:t>
      </w:r>
      <w:r w:rsidR="00D9258C" w:rsidRPr="00FD6A6A">
        <w:t>decreased.</w:t>
      </w:r>
      <w:r w:rsidR="00541D05">
        <w:t xml:space="preserve"> </w:t>
      </w:r>
      <w:r w:rsidR="00D9258C" w:rsidRPr="00FD6A6A">
        <w:t>In</w:t>
      </w:r>
      <w:r w:rsidR="00541D05">
        <w:t xml:space="preserve"> </w:t>
      </w:r>
      <w:r w:rsidR="00D9258C" w:rsidRPr="00FD6A6A">
        <w:t>2015,</w:t>
      </w:r>
      <w:r w:rsidR="00541D05">
        <w:t xml:space="preserve"> </w:t>
      </w:r>
      <w:r w:rsidR="00D9258C" w:rsidRPr="00FD6A6A">
        <w:t>school</w:t>
      </w:r>
      <w:r w:rsidR="00541D05">
        <w:t xml:space="preserve"> </w:t>
      </w:r>
      <w:r w:rsidR="00D9258C" w:rsidRPr="00FD6A6A">
        <w:t>coverage</w:t>
      </w:r>
      <w:r w:rsidR="00541D05">
        <w:t xml:space="preserve"> </w:t>
      </w:r>
      <w:r w:rsidR="00D9258C" w:rsidRPr="00FD6A6A">
        <w:t>for</w:t>
      </w:r>
      <w:r w:rsidR="00541D05">
        <w:t xml:space="preserve"> </w:t>
      </w:r>
      <w:r w:rsidR="00D9258C" w:rsidRPr="00FD6A6A">
        <w:t>Afro-Brazilian</w:t>
      </w:r>
      <w:r w:rsidR="00541D05">
        <w:t xml:space="preserve"> </w:t>
      </w:r>
      <w:r w:rsidR="00D9258C" w:rsidRPr="00FD6A6A">
        <w:t>youth</w:t>
      </w:r>
      <w:r w:rsidR="00541D05">
        <w:t xml:space="preserve"> </w:t>
      </w:r>
      <w:r w:rsidR="00D9258C" w:rsidRPr="00FD6A6A">
        <w:t>from</w:t>
      </w:r>
      <w:r w:rsidR="00541D05">
        <w:t xml:space="preserve"> </w:t>
      </w:r>
      <w:r w:rsidR="00D9258C" w:rsidRPr="00FD6A6A">
        <w:t>18</w:t>
      </w:r>
      <w:r w:rsidR="00541D05">
        <w:t xml:space="preserve"> </w:t>
      </w:r>
      <w:r w:rsidR="00D9258C" w:rsidRPr="00FD6A6A">
        <w:t>to</w:t>
      </w:r>
      <w:r w:rsidR="00541D05">
        <w:t xml:space="preserve"> </w:t>
      </w:r>
      <w:r w:rsidR="00D9258C" w:rsidRPr="00FD6A6A">
        <w:t>24</w:t>
      </w:r>
      <w:r w:rsidR="00541D05">
        <w:t xml:space="preserve"> </w:t>
      </w:r>
      <w:r w:rsidR="00D9258C" w:rsidRPr="00FD6A6A">
        <w:t>years</w:t>
      </w:r>
      <w:r w:rsidR="00541D05">
        <w:t xml:space="preserve"> </w:t>
      </w:r>
      <w:r w:rsidR="00D9258C" w:rsidRPr="00FD6A6A">
        <w:t>old</w:t>
      </w:r>
      <w:r w:rsidR="00541D05">
        <w:t xml:space="preserve"> </w:t>
      </w:r>
      <w:r w:rsidR="00D9258C" w:rsidRPr="00FD6A6A">
        <w:t>was</w:t>
      </w:r>
      <w:r w:rsidR="00541D05">
        <w:t xml:space="preserve"> </w:t>
      </w:r>
      <w:r w:rsidR="00D9258C" w:rsidRPr="00FD6A6A">
        <w:t>only</w:t>
      </w:r>
      <w:r w:rsidR="00541D05">
        <w:t xml:space="preserve"> </w:t>
      </w:r>
      <w:r w:rsidR="00D9258C" w:rsidRPr="00FD6A6A">
        <w:t>27%.</w:t>
      </w:r>
      <w:r w:rsidR="00541D05">
        <w:t xml:space="preserve"> </w:t>
      </w:r>
      <w:r w:rsidR="00D9258C" w:rsidRPr="00FD6A6A">
        <w:t>For</w:t>
      </w:r>
      <w:r w:rsidR="00541D05">
        <w:t xml:space="preserve"> </w:t>
      </w:r>
      <w:r w:rsidR="00D9258C" w:rsidRPr="00FD6A6A">
        <w:t>White</w:t>
      </w:r>
      <w:r w:rsidR="00541D05">
        <w:t xml:space="preserve"> </w:t>
      </w:r>
      <w:r w:rsidR="00D9258C" w:rsidRPr="00FD6A6A">
        <w:t>of</w:t>
      </w:r>
      <w:r w:rsidR="00541D05">
        <w:t xml:space="preserve"> </w:t>
      </w:r>
      <w:r w:rsidR="00D9258C" w:rsidRPr="00FD6A6A">
        <w:t>the</w:t>
      </w:r>
      <w:r w:rsidR="00541D05">
        <w:t xml:space="preserve"> </w:t>
      </w:r>
      <w:r w:rsidR="00D9258C" w:rsidRPr="00FD6A6A">
        <w:t>same</w:t>
      </w:r>
      <w:r w:rsidR="00541D05">
        <w:t xml:space="preserve"> </w:t>
      </w:r>
      <w:r w:rsidR="00D9258C" w:rsidRPr="00FD6A6A">
        <w:t>age,</w:t>
      </w:r>
      <w:r w:rsidR="00541D05">
        <w:t xml:space="preserve"> </w:t>
      </w:r>
      <w:r w:rsidR="00D9258C" w:rsidRPr="00FD6A6A">
        <w:t>the</w:t>
      </w:r>
      <w:r w:rsidR="00541D05">
        <w:t xml:space="preserve"> </w:t>
      </w:r>
      <w:r w:rsidR="00D9258C" w:rsidRPr="00FD6A6A">
        <w:t>coverage</w:t>
      </w:r>
      <w:r w:rsidR="00541D05">
        <w:t xml:space="preserve"> </w:t>
      </w:r>
      <w:r w:rsidR="00D9258C" w:rsidRPr="00FD6A6A">
        <w:t>was</w:t>
      </w:r>
      <w:r w:rsidR="00541D05">
        <w:t xml:space="preserve"> </w:t>
      </w:r>
      <w:r w:rsidR="00D9258C" w:rsidRPr="00FD6A6A">
        <w:t>35.6%.</w:t>
      </w:r>
      <w:r w:rsidR="00541D05">
        <w:t xml:space="preserve"> </w:t>
      </w:r>
      <w:r w:rsidR="00D9258C" w:rsidRPr="00FD6A6A">
        <w:t>Improvements</w:t>
      </w:r>
      <w:r w:rsidR="00541D05">
        <w:t xml:space="preserve"> </w:t>
      </w:r>
      <w:r w:rsidR="00D9258C" w:rsidRPr="00FD6A6A">
        <w:t>are</w:t>
      </w:r>
      <w:r w:rsidR="00541D05">
        <w:t xml:space="preserve"> </w:t>
      </w:r>
      <w:r w:rsidR="00D9258C" w:rsidRPr="00FD6A6A">
        <w:t>still</w:t>
      </w:r>
      <w:r w:rsidR="00541D05">
        <w:t xml:space="preserve"> </w:t>
      </w:r>
      <w:r w:rsidR="00D9258C" w:rsidRPr="00FD6A6A">
        <w:t>necessary,</w:t>
      </w:r>
      <w:r w:rsidR="00541D05">
        <w:t xml:space="preserve"> </w:t>
      </w:r>
      <w:r w:rsidR="00D9258C" w:rsidRPr="00FD6A6A">
        <w:t>because</w:t>
      </w:r>
      <w:r w:rsidR="00541D05">
        <w:t xml:space="preserve"> </w:t>
      </w:r>
      <w:r w:rsidR="00D9258C" w:rsidRPr="00FD6A6A">
        <w:t>a</w:t>
      </w:r>
      <w:r w:rsidR="00541D05">
        <w:t xml:space="preserve"> </w:t>
      </w:r>
      <w:r w:rsidR="00D9258C" w:rsidRPr="00FD6A6A">
        <w:t>high</w:t>
      </w:r>
      <w:r w:rsidR="00541D05">
        <w:t xml:space="preserve"> </w:t>
      </w:r>
      <w:r w:rsidR="00D9258C" w:rsidRPr="00FD6A6A">
        <w:t>rate</w:t>
      </w:r>
      <w:r w:rsidR="00541D05">
        <w:t xml:space="preserve"> </w:t>
      </w:r>
      <w:r w:rsidR="00D9258C" w:rsidRPr="00FD6A6A">
        <w:t>of</w:t>
      </w:r>
      <w:r w:rsidR="00541D05">
        <w:t xml:space="preserve"> </w:t>
      </w:r>
      <w:r w:rsidR="00D9258C" w:rsidRPr="00FD6A6A">
        <w:t>distortion</w:t>
      </w:r>
      <w:r w:rsidR="00541D05">
        <w:t xml:space="preserve"> </w:t>
      </w:r>
      <w:r w:rsidR="00D9258C" w:rsidRPr="00FD6A6A">
        <w:t>between</w:t>
      </w:r>
      <w:r w:rsidR="00541D05">
        <w:t xml:space="preserve"> </w:t>
      </w:r>
      <w:r w:rsidR="00D9258C" w:rsidRPr="00FD6A6A">
        <w:t>age</w:t>
      </w:r>
      <w:r w:rsidR="00541D05">
        <w:t xml:space="preserve"> </w:t>
      </w:r>
      <w:r w:rsidR="00D9258C" w:rsidRPr="00FD6A6A">
        <w:t>and</w:t>
      </w:r>
      <w:r w:rsidR="00541D05">
        <w:t xml:space="preserve"> </w:t>
      </w:r>
      <w:r w:rsidR="00D9258C" w:rsidRPr="00FD6A6A">
        <w:t>grade</w:t>
      </w:r>
      <w:r w:rsidR="00541D05">
        <w:t xml:space="preserve"> </w:t>
      </w:r>
      <w:r w:rsidR="00D9258C" w:rsidRPr="00FD6A6A">
        <w:t>decreases</w:t>
      </w:r>
      <w:r w:rsidR="00541D05">
        <w:t xml:space="preserve"> </w:t>
      </w:r>
      <w:r w:rsidR="00D9258C" w:rsidRPr="00FD6A6A">
        <w:t>or</w:t>
      </w:r>
      <w:r w:rsidR="00541D05">
        <w:t xml:space="preserve"> </w:t>
      </w:r>
      <w:r w:rsidR="00D9258C" w:rsidRPr="00FD6A6A">
        <w:t>blocks</w:t>
      </w:r>
      <w:r w:rsidR="00541D05">
        <w:t xml:space="preserve"> </w:t>
      </w:r>
      <w:r w:rsidR="00D9258C" w:rsidRPr="00FD6A6A">
        <w:t>access</w:t>
      </w:r>
      <w:r w:rsidR="00541D05">
        <w:t xml:space="preserve"> </w:t>
      </w:r>
      <w:r w:rsidR="00D9258C" w:rsidRPr="00FD6A6A">
        <w:t>to</w:t>
      </w:r>
      <w:r w:rsidR="00541D05">
        <w:t xml:space="preserve"> </w:t>
      </w:r>
      <w:r w:rsidR="00D9258C" w:rsidRPr="00FD6A6A">
        <w:t>higher</w:t>
      </w:r>
      <w:r w:rsidR="00541D05">
        <w:t xml:space="preserve"> </w:t>
      </w:r>
      <w:r w:rsidR="00D9258C" w:rsidRPr="00FD6A6A">
        <w:t>education.</w:t>
      </w:r>
    </w:p>
    <w:p w14:paraId="40DCC20F" w14:textId="58EB59DB" w:rsidR="00D9258C" w:rsidRPr="00FD6A6A" w:rsidRDefault="00166390" w:rsidP="00166390">
      <w:pPr>
        <w:pStyle w:val="ParaNoG"/>
        <w:numPr>
          <w:ilvl w:val="0"/>
          <w:numId w:val="0"/>
        </w:numPr>
        <w:tabs>
          <w:tab w:val="left" w:pos="0"/>
        </w:tabs>
        <w:ind w:left="1134"/>
      </w:pPr>
      <w:r w:rsidRPr="00FD6A6A">
        <w:t>78.</w:t>
      </w:r>
      <w:r w:rsidRPr="00FD6A6A">
        <w:tab/>
      </w:r>
      <w:r w:rsidR="00D9258C" w:rsidRPr="00FD6A6A">
        <w:t>Anyway,</w:t>
      </w:r>
      <w:r w:rsidR="00541D05">
        <w:t xml:space="preserve"> </w:t>
      </w:r>
      <w:r w:rsidR="00D9258C" w:rsidRPr="00FD6A6A">
        <w:t>the</w:t>
      </w:r>
      <w:r w:rsidR="00541D05">
        <w:t xml:space="preserve"> </w:t>
      </w:r>
      <w:r w:rsidR="00D9258C" w:rsidRPr="00FD6A6A">
        <w:t>proportion</w:t>
      </w:r>
      <w:r w:rsidR="00541D05">
        <w:t xml:space="preserve"> </w:t>
      </w:r>
      <w:r w:rsidR="00D9258C" w:rsidRPr="00FD6A6A">
        <w:t>of</w:t>
      </w:r>
      <w:r w:rsidR="00541D05">
        <w:t xml:space="preserve"> </w:t>
      </w:r>
      <w:r w:rsidR="00D9258C" w:rsidRPr="00FD6A6A">
        <w:t>individuals</w:t>
      </w:r>
      <w:r w:rsidR="00541D05">
        <w:t xml:space="preserve"> </w:t>
      </w:r>
      <w:r w:rsidR="00D9258C" w:rsidRPr="00FD6A6A">
        <w:t>who</w:t>
      </w:r>
      <w:r w:rsidR="00541D05">
        <w:t xml:space="preserve"> </w:t>
      </w:r>
      <w:r w:rsidR="00D9258C" w:rsidRPr="00FD6A6A">
        <w:t>are</w:t>
      </w:r>
      <w:r w:rsidR="00541D05">
        <w:t xml:space="preserve"> </w:t>
      </w:r>
      <w:r w:rsidR="00D9258C" w:rsidRPr="00FD6A6A">
        <w:t>25</w:t>
      </w:r>
      <w:r w:rsidR="00541D05">
        <w:t xml:space="preserve"> </w:t>
      </w:r>
      <w:r w:rsidR="00D9258C" w:rsidRPr="00FD6A6A">
        <w:t>years</w:t>
      </w:r>
      <w:r w:rsidR="00541D05">
        <w:t xml:space="preserve"> </w:t>
      </w:r>
      <w:r w:rsidR="00D9258C" w:rsidRPr="00FD6A6A">
        <w:t>old</w:t>
      </w:r>
      <w:r w:rsidR="00541D05">
        <w:t xml:space="preserve"> </w:t>
      </w:r>
      <w:r w:rsidR="00D9258C" w:rsidRPr="00FD6A6A">
        <w:t>or</w:t>
      </w:r>
      <w:r w:rsidR="00541D05">
        <w:t xml:space="preserve"> </w:t>
      </w:r>
      <w:r w:rsidR="00D9258C" w:rsidRPr="00FD6A6A">
        <w:t>older</w:t>
      </w:r>
      <w:r w:rsidR="00541D05">
        <w:t xml:space="preserve"> </w:t>
      </w:r>
      <w:r w:rsidR="00D9258C" w:rsidRPr="00FD6A6A">
        <w:t>with</w:t>
      </w:r>
      <w:r w:rsidR="00541D05">
        <w:t xml:space="preserve"> </w:t>
      </w:r>
      <w:r w:rsidR="00D9258C" w:rsidRPr="00FD6A6A">
        <w:t>12</w:t>
      </w:r>
      <w:r w:rsidR="00541D05">
        <w:t xml:space="preserve"> </w:t>
      </w:r>
      <w:r w:rsidR="00D9258C" w:rsidRPr="00FD6A6A">
        <w:t>years</w:t>
      </w:r>
      <w:r w:rsidR="00541D05">
        <w:t xml:space="preserve"> </w:t>
      </w:r>
      <w:r w:rsidR="00D9258C" w:rsidRPr="00FD6A6A">
        <w:t>of</w:t>
      </w:r>
      <w:r w:rsidR="00541D05">
        <w:t xml:space="preserve"> </w:t>
      </w:r>
      <w:r w:rsidR="00D9258C" w:rsidRPr="00FD6A6A">
        <w:t>study</w:t>
      </w:r>
      <w:r w:rsidR="00541D05">
        <w:t xml:space="preserve"> </w:t>
      </w:r>
      <w:r w:rsidR="00D9258C" w:rsidRPr="00FD6A6A">
        <w:t>or</w:t>
      </w:r>
      <w:r w:rsidR="00541D05">
        <w:t xml:space="preserve"> </w:t>
      </w:r>
      <w:r w:rsidR="00D9258C" w:rsidRPr="00FD6A6A">
        <w:t>more</w:t>
      </w:r>
      <w:r w:rsidR="00541D05">
        <w:t xml:space="preserve"> </w:t>
      </w:r>
      <w:r w:rsidR="00D9258C" w:rsidRPr="00FD6A6A">
        <w:t>has</w:t>
      </w:r>
      <w:r w:rsidR="00541D05">
        <w:t xml:space="preserve"> </w:t>
      </w:r>
      <w:r w:rsidR="00D9258C" w:rsidRPr="00FD6A6A">
        <w:t>been</w:t>
      </w:r>
      <w:r w:rsidR="00541D05">
        <w:t xml:space="preserve"> </w:t>
      </w:r>
      <w:r w:rsidR="00D9258C" w:rsidRPr="00FD6A6A">
        <w:t>growing</w:t>
      </w:r>
      <w:r w:rsidR="00541D05">
        <w:t xml:space="preserve"> </w:t>
      </w:r>
      <w:r w:rsidR="00D9258C" w:rsidRPr="00FD6A6A">
        <w:t>in</w:t>
      </w:r>
      <w:r w:rsidR="00541D05">
        <w:t xml:space="preserve"> </w:t>
      </w:r>
      <w:r w:rsidR="00D9258C" w:rsidRPr="00FD6A6A">
        <w:t>all</w:t>
      </w:r>
      <w:r w:rsidR="00541D05">
        <w:t xml:space="preserve"> </w:t>
      </w:r>
      <w:r w:rsidR="00D9258C" w:rsidRPr="00FD6A6A">
        <w:t>social</w:t>
      </w:r>
      <w:r w:rsidR="00541D05">
        <w:t xml:space="preserve"> </w:t>
      </w:r>
      <w:r w:rsidR="00D9258C" w:rsidRPr="00FD6A6A">
        <w:t>segments,</w:t>
      </w:r>
      <w:r w:rsidR="00541D05">
        <w:t xml:space="preserve"> </w:t>
      </w:r>
      <w:r w:rsidR="00D9258C" w:rsidRPr="00FD6A6A">
        <w:t>although</w:t>
      </w:r>
      <w:r w:rsidR="00541D05">
        <w:t xml:space="preserve"> </w:t>
      </w:r>
      <w:r w:rsidR="00D9258C" w:rsidRPr="00FD6A6A">
        <w:t>social</w:t>
      </w:r>
      <w:r w:rsidR="00541D05">
        <w:t xml:space="preserve"> </w:t>
      </w:r>
      <w:r w:rsidR="00D9258C" w:rsidRPr="00FD6A6A">
        <w:t>distances</w:t>
      </w:r>
      <w:r w:rsidR="00541D05">
        <w:t xml:space="preserve"> </w:t>
      </w:r>
      <w:r w:rsidR="00D9258C" w:rsidRPr="00FD6A6A">
        <w:t>remain</w:t>
      </w:r>
      <w:r w:rsidR="00541D05">
        <w:t xml:space="preserve"> </w:t>
      </w:r>
      <w:r w:rsidR="00D9258C" w:rsidRPr="00FD6A6A">
        <w:t>large.</w:t>
      </w:r>
      <w:r w:rsidR="00541D05">
        <w:t xml:space="preserve"> </w:t>
      </w:r>
      <w:r w:rsidR="00D9258C" w:rsidRPr="00FD6A6A">
        <w:t>In</w:t>
      </w:r>
      <w:r w:rsidR="00541D05">
        <w:t xml:space="preserve"> </w:t>
      </w:r>
      <w:r w:rsidR="00D9258C" w:rsidRPr="00FD6A6A">
        <w:t>2015,</w:t>
      </w:r>
      <w:r w:rsidR="00541D05">
        <w:t xml:space="preserve"> </w:t>
      </w:r>
      <w:r w:rsidR="00D9258C" w:rsidRPr="00FD6A6A">
        <w:t>27.1%</w:t>
      </w:r>
      <w:r w:rsidR="00541D05">
        <w:t xml:space="preserve"> </w:t>
      </w:r>
      <w:r w:rsidR="00D9258C" w:rsidRPr="00FD6A6A">
        <w:t>of</w:t>
      </w:r>
      <w:r w:rsidR="00541D05">
        <w:t xml:space="preserve"> </w:t>
      </w:r>
      <w:r w:rsidR="00D9258C" w:rsidRPr="00FD6A6A">
        <w:t>White</w:t>
      </w:r>
      <w:r w:rsidR="00541D05">
        <w:t xml:space="preserve"> </w:t>
      </w:r>
      <w:r w:rsidR="00D9258C" w:rsidRPr="00FD6A6A">
        <w:t>women</w:t>
      </w:r>
      <w:r w:rsidR="00541D05">
        <w:t xml:space="preserve"> </w:t>
      </w:r>
      <w:r w:rsidR="00D9258C" w:rsidRPr="00FD6A6A">
        <w:t>in</w:t>
      </w:r>
      <w:r w:rsidR="00541D05">
        <w:t xml:space="preserve"> </w:t>
      </w:r>
      <w:r w:rsidR="00D9258C" w:rsidRPr="00FD6A6A">
        <w:t>this</w:t>
      </w:r>
      <w:r w:rsidR="00541D05">
        <w:t xml:space="preserve"> </w:t>
      </w:r>
      <w:r w:rsidR="00D9258C" w:rsidRPr="00FD6A6A">
        <w:t>age</w:t>
      </w:r>
      <w:r w:rsidR="00541D05">
        <w:t xml:space="preserve"> </w:t>
      </w:r>
      <w:r w:rsidR="00D9258C" w:rsidRPr="00FD6A6A">
        <w:t>group</w:t>
      </w:r>
      <w:r w:rsidR="00541D05">
        <w:t xml:space="preserve"> </w:t>
      </w:r>
      <w:r w:rsidR="00D9258C" w:rsidRPr="00FD6A6A">
        <w:t>had</w:t>
      </w:r>
      <w:r w:rsidR="00541D05">
        <w:t xml:space="preserve"> </w:t>
      </w:r>
      <w:r w:rsidR="00D9258C" w:rsidRPr="00FD6A6A">
        <w:t>12</w:t>
      </w:r>
      <w:r w:rsidR="00541D05">
        <w:t xml:space="preserve"> </w:t>
      </w:r>
      <w:r w:rsidR="00D9258C" w:rsidRPr="00FD6A6A">
        <w:t>years</w:t>
      </w:r>
      <w:r w:rsidR="00541D05">
        <w:t xml:space="preserve"> </w:t>
      </w:r>
      <w:r w:rsidR="00D9258C" w:rsidRPr="00FD6A6A">
        <w:t>of</w:t>
      </w:r>
      <w:r w:rsidR="00541D05">
        <w:t xml:space="preserve"> </w:t>
      </w:r>
      <w:r w:rsidR="00D9258C" w:rsidRPr="00FD6A6A">
        <w:t>study</w:t>
      </w:r>
      <w:r w:rsidR="00541D05">
        <w:t xml:space="preserve"> </w:t>
      </w:r>
      <w:r w:rsidR="00D9258C" w:rsidRPr="00FD6A6A">
        <w:t>or</w:t>
      </w:r>
      <w:r w:rsidR="00541D05">
        <w:t xml:space="preserve"> </w:t>
      </w:r>
      <w:r w:rsidR="00D9258C" w:rsidRPr="00FD6A6A">
        <w:t>more,</w:t>
      </w:r>
      <w:r w:rsidR="00541D05">
        <w:t xml:space="preserve"> </w:t>
      </w:r>
      <w:r w:rsidR="00D9258C" w:rsidRPr="00FD6A6A">
        <w:t>followed</w:t>
      </w:r>
      <w:r w:rsidR="00541D05">
        <w:t xml:space="preserve"> </w:t>
      </w:r>
      <w:r w:rsidR="00D9258C" w:rsidRPr="00FD6A6A">
        <w:t>by</w:t>
      </w:r>
      <w:r w:rsidR="00541D05">
        <w:t xml:space="preserve"> </w:t>
      </w:r>
      <w:r w:rsidR="00D9258C" w:rsidRPr="00FD6A6A">
        <w:t>White</w:t>
      </w:r>
      <w:r w:rsidR="00541D05">
        <w:t xml:space="preserve"> </w:t>
      </w:r>
      <w:r w:rsidR="00D9258C" w:rsidRPr="00FD6A6A">
        <w:t>men</w:t>
      </w:r>
      <w:r w:rsidR="00541D05">
        <w:t xml:space="preserve"> </w:t>
      </w:r>
      <w:r w:rsidR="00D9258C" w:rsidRPr="00FD6A6A">
        <w:t>(24.4%),</w:t>
      </w:r>
      <w:r w:rsidR="00541D05">
        <w:t xml:space="preserve"> </w:t>
      </w:r>
      <w:r w:rsidR="00D9258C" w:rsidRPr="00FD6A6A">
        <w:t>Afro-Brazilian</w:t>
      </w:r>
      <w:r w:rsidR="00541D05">
        <w:t xml:space="preserve"> </w:t>
      </w:r>
      <w:r w:rsidR="00D9258C" w:rsidRPr="00FD6A6A">
        <w:t>women</w:t>
      </w:r>
      <w:r w:rsidR="00541D05">
        <w:t xml:space="preserve"> </w:t>
      </w:r>
      <w:r w:rsidR="00D9258C" w:rsidRPr="00FD6A6A">
        <w:t>(13.5%),</w:t>
      </w:r>
      <w:r w:rsidR="00541D05">
        <w:t xml:space="preserve"> </w:t>
      </w:r>
      <w:r w:rsidR="00D9258C" w:rsidRPr="00FD6A6A">
        <w:t>and</w:t>
      </w:r>
      <w:r w:rsidR="00541D05">
        <w:t xml:space="preserve"> </w:t>
      </w:r>
      <w:r w:rsidR="00D9258C" w:rsidRPr="00FD6A6A">
        <w:t>Afro-Brazilian</w:t>
      </w:r>
      <w:r w:rsidR="00541D05">
        <w:t xml:space="preserve"> </w:t>
      </w:r>
      <w:r w:rsidR="00D9258C" w:rsidRPr="00FD6A6A">
        <w:t>men</w:t>
      </w:r>
      <w:r w:rsidR="00541D05">
        <w:t xml:space="preserve"> </w:t>
      </w:r>
      <w:r w:rsidR="00D9258C" w:rsidRPr="00FD6A6A">
        <w:t>(10.1%).</w:t>
      </w:r>
    </w:p>
    <w:p w14:paraId="700D9216" w14:textId="3E7CE85F" w:rsidR="00D9258C" w:rsidRPr="00FD6A6A" w:rsidRDefault="00166390" w:rsidP="00166390">
      <w:pPr>
        <w:pStyle w:val="ParaNoG"/>
        <w:numPr>
          <w:ilvl w:val="0"/>
          <w:numId w:val="0"/>
        </w:numPr>
        <w:tabs>
          <w:tab w:val="left" w:pos="0"/>
        </w:tabs>
        <w:ind w:left="1134"/>
      </w:pPr>
      <w:r w:rsidRPr="00FD6A6A">
        <w:t>79.</w:t>
      </w:r>
      <w:r w:rsidRPr="00FD6A6A">
        <w:tab/>
      </w:r>
      <w:r w:rsidR="00D9258C" w:rsidRPr="00FD6A6A">
        <w:t>The</w:t>
      </w:r>
      <w:r w:rsidR="00541D05">
        <w:t xml:space="preserve"> </w:t>
      </w:r>
      <w:r w:rsidR="00D9258C" w:rsidRPr="00FD6A6A">
        <w:t>proportion</w:t>
      </w:r>
      <w:r w:rsidR="00541D05">
        <w:t xml:space="preserve"> </w:t>
      </w:r>
      <w:r w:rsidR="00D9258C" w:rsidRPr="00FD6A6A">
        <w:t>of</w:t>
      </w:r>
      <w:r w:rsidR="00541D05">
        <w:t xml:space="preserve"> </w:t>
      </w:r>
      <w:r w:rsidR="00D9258C" w:rsidRPr="00FD6A6A">
        <w:t>individuals</w:t>
      </w:r>
      <w:r w:rsidR="00541D05">
        <w:t xml:space="preserve"> </w:t>
      </w:r>
      <w:r w:rsidR="00D9258C" w:rsidRPr="00FD6A6A">
        <w:t>attending</w:t>
      </w:r>
      <w:r w:rsidR="00541D05">
        <w:t xml:space="preserve"> </w:t>
      </w:r>
      <w:r w:rsidR="00D9258C" w:rsidRPr="00FD6A6A">
        <w:t>a</w:t>
      </w:r>
      <w:r w:rsidR="00541D05">
        <w:t xml:space="preserve"> </w:t>
      </w:r>
      <w:r w:rsidR="00D9258C" w:rsidRPr="00FD6A6A">
        <w:t>higher</w:t>
      </w:r>
      <w:r w:rsidR="00541D05">
        <w:t xml:space="preserve"> </w:t>
      </w:r>
      <w:r w:rsidR="00D9258C" w:rsidRPr="00FD6A6A">
        <w:t>education</w:t>
      </w:r>
      <w:r w:rsidR="00541D05">
        <w:t xml:space="preserve"> </w:t>
      </w:r>
      <w:r w:rsidR="00D9258C" w:rsidRPr="00FD6A6A">
        <w:t>course</w:t>
      </w:r>
      <w:r w:rsidR="00541D05">
        <w:t xml:space="preserve"> </w:t>
      </w:r>
      <w:r w:rsidR="00D9258C" w:rsidRPr="00FD6A6A">
        <w:t>indicated</w:t>
      </w:r>
      <w:r w:rsidR="00541D05">
        <w:t xml:space="preserve"> </w:t>
      </w:r>
      <w:r w:rsidR="00D9258C" w:rsidRPr="00FD6A6A">
        <w:t>significant</w:t>
      </w:r>
      <w:r w:rsidR="00541D05">
        <w:t xml:space="preserve"> </w:t>
      </w:r>
      <w:r w:rsidR="00D9258C" w:rsidRPr="00FD6A6A">
        <w:t>differences</w:t>
      </w:r>
      <w:r w:rsidR="00541D05">
        <w:t xml:space="preserve"> </w:t>
      </w:r>
      <w:r w:rsidR="00D9258C" w:rsidRPr="00FD6A6A">
        <w:t>among</w:t>
      </w:r>
      <w:r w:rsidR="00541D05">
        <w:t xml:space="preserve"> </w:t>
      </w:r>
      <w:r w:rsidR="00D9258C" w:rsidRPr="00FD6A6A">
        <w:t>White</w:t>
      </w:r>
      <w:r w:rsidR="00541D05">
        <w:t xml:space="preserve"> </w:t>
      </w:r>
      <w:r w:rsidR="00D9258C" w:rsidRPr="00FD6A6A">
        <w:t>and</w:t>
      </w:r>
      <w:r w:rsidR="00541D05">
        <w:t xml:space="preserve"> </w:t>
      </w:r>
      <w:r w:rsidR="00D9258C" w:rsidRPr="00FD6A6A">
        <w:t>Afro-Brazilians.</w:t>
      </w:r>
      <w:r w:rsidR="00541D05">
        <w:t xml:space="preserve"> </w:t>
      </w:r>
      <w:r w:rsidR="00D9258C" w:rsidRPr="00FD6A6A">
        <w:t>In</w:t>
      </w:r>
      <w:r w:rsidR="00541D05">
        <w:t xml:space="preserve"> </w:t>
      </w:r>
      <w:r w:rsidR="00D9258C" w:rsidRPr="00FD6A6A">
        <w:t>2005,</w:t>
      </w:r>
      <w:r w:rsidR="00541D05">
        <w:t xml:space="preserve"> </w:t>
      </w:r>
      <w:r w:rsidR="00D9258C" w:rsidRPr="00FD6A6A">
        <w:t>of</w:t>
      </w:r>
      <w:r w:rsidR="00541D05">
        <w:t xml:space="preserve"> </w:t>
      </w:r>
      <w:r w:rsidR="00D9258C" w:rsidRPr="00FD6A6A">
        <w:t>those</w:t>
      </w:r>
      <w:r w:rsidR="00541D05">
        <w:t xml:space="preserve"> </w:t>
      </w:r>
      <w:r w:rsidR="00D9258C" w:rsidRPr="00FD6A6A">
        <w:t>who</w:t>
      </w:r>
      <w:r w:rsidR="00541D05">
        <w:t xml:space="preserve"> </w:t>
      </w:r>
      <w:r w:rsidR="00D9258C" w:rsidRPr="00FD6A6A">
        <w:t>declared</w:t>
      </w:r>
      <w:r w:rsidR="00541D05">
        <w:t xml:space="preserve"> </w:t>
      </w:r>
      <w:r w:rsidR="00D9258C" w:rsidRPr="00FD6A6A">
        <w:t>attending</w:t>
      </w:r>
      <w:r w:rsidR="00541D05">
        <w:t xml:space="preserve"> </w:t>
      </w:r>
      <w:r w:rsidR="00D9258C" w:rsidRPr="00FD6A6A">
        <w:t>a</w:t>
      </w:r>
      <w:r w:rsidR="00541D05">
        <w:t xml:space="preserve"> </w:t>
      </w:r>
      <w:r w:rsidR="00D9258C" w:rsidRPr="00FD6A6A">
        <w:t>higher</w:t>
      </w:r>
      <w:r w:rsidR="00541D05">
        <w:t xml:space="preserve"> </w:t>
      </w:r>
      <w:r w:rsidR="00D9258C" w:rsidRPr="00FD6A6A">
        <w:t>education</w:t>
      </w:r>
      <w:r w:rsidR="00541D05">
        <w:t xml:space="preserve"> </w:t>
      </w:r>
      <w:r w:rsidR="00D9258C" w:rsidRPr="00FD6A6A">
        <w:t>course,</w:t>
      </w:r>
      <w:r w:rsidR="00541D05">
        <w:t xml:space="preserve"> </w:t>
      </w:r>
      <w:r w:rsidR="00D9258C" w:rsidRPr="00FD6A6A">
        <w:t>69%</w:t>
      </w:r>
      <w:r w:rsidR="00541D05">
        <w:t xml:space="preserve"> </w:t>
      </w:r>
      <w:r w:rsidR="00D9258C" w:rsidRPr="00FD6A6A">
        <w:t>were</w:t>
      </w:r>
      <w:r w:rsidR="00541D05">
        <w:t xml:space="preserve"> </w:t>
      </w:r>
      <w:r w:rsidR="00D9258C" w:rsidRPr="00FD6A6A">
        <w:t>White</w:t>
      </w:r>
      <w:r w:rsidR="00541D05">
        <w:t xml:space="preserve"> </w:t>
      </w:r>
      <w:r w:rsidR="00D9258C" w:rsidRPr="00FD6A6A">
        <w:t>and</w:t>
      </w:r>
      <w:r w:rsidR="00541D05">
        <w:t xml:space="preserve"> </w:t>
      </w:r>
      <w:r w:rsidR="00D9258C" w:rsidRPr="00FD6A6A">
        <w:t>only</w:t>
      </w:r>
      <w:r w:rsidR="00541D05">
        <w:t xml:space="preserve"> </w:t>
      </w:r>
      <w:r w:rsidR="00D9258C" w:rsidRPr="00FD6A6A">
        <w:t>29.8%</w:t>
      </w:r>
      <w:r w:rsidR="00541D05">
        <w:t xml:space="preserve"> </w:t>
      </w:r>
      <w:r w:rsidR="00D9258C" w:rsidRPr="00FD6A6A">
        <w:t>were</w:t>
      </w:r>
      <w:r w:rsidR="00541D05">
        <w:t xml:space="preserve"> </w:t>
      </w:r>
      <w:r w:rsidR="00D9258C" w:rsidRPr="00FD6A6A">
        <w:t>Afro-Brazilian.</w:t>
      </w:r>
      <w:r w:rsidR="00541D05">
        <w:t xml:space="preserve"> </w:t>
      </w:r>
      <w:r w:rsidR="00D9258C" w:rsidRPr="00FD6A6A">
        <w:t>In</w:t>
      </w:r>
      <w:r w:rsidR="00541D05">
        <w:t xml:space="preserve"> </w:t>
      </w:r>
      <w:r w:rsidR="00D9258C" w:rsidRPr="00FD6A6A">
        <w:t>2015,</w:t>
      </w:r>
      <w:r w:rsidR="00541D05">
        <w:t xml:space="preserve"> </w:t>
      </w:r>
      <w:r w:rsidR="00D9258C" w:rsidRPr="00FD6A6A">
        <w:t>55.4%</w:t>
      </w:r>
      <w:r w:rsidR="00541D05">
        <w:t xml:space="preserve"> </w:t>
      </w:r>
      <w:r w:rsidR="00D9258C" w:rsidRPr="00FD6A6A">
        <w:t>of</w:t>
      </w:r>
      <w:r w:rsidR="00541D05">
        <w:t xml:space="preserve"> </w:t>
      </w:r>
      <w:r w:rsidR="00D9258C" w:rsidRPr="00FD6A6A">
        <w:t>the</w:t>
      </w:r>
      <w:r w:rsidR="00541D05">
        <w:t xml:space="preserve"> </w:t>
      </w:r>
      <w:r w:rsidR="00D9258C" w:rsidRPr="00FD6A6A">
        <w:t>declarants</w:t>
      </w:r>
      <w:r w:rsidR="00541D05">
        <w:t xml:space="preserve"> </w:t>
      </w:r>
      <w:r w:rsidR="00D9258C" w:rsidRPr="00FD6A6A">
        <w:t>were</w:t>
      </w:r>
      <w:r w:rsidR="00541D05">
        <w:t xml:space="preserve"> </w:t>
      </w:r>
      <w:r w:rsidR="00D9258C" w:rsidRPr="00FD6A6A">
        <w:t>White</w:t>
      </w:r>
      <w:r w:rsidR="00541D05">
        <w:t xml:space="preserve"> </w:t>
      </w:r>
      <w:r w:rsidR="00D9258C" w:rsidRPr="00FD6A6A">
        <w:t>and</w:t>
      </w:r>
      <w:r w:rsidR="00541D05">
        <w:t xml:space="preserve"> </w:t>
      </w:r>
      <w:r w:rsidR="00D9258C" w:rsidRPr="00FD6A6A">
        <w:t>43.7%</w:t>
      </w:r>
      <w:r w:rsidR="00541D05">
        <w:t xml:space="preserve"> </w:t>
      </w:r>
      <w:r w:rsidR="00D9258C" w:rsidRPr="00FD6A6A">
        <w:t>were</w:t>
      </w:r>
      <w:r w:rsidR="00541D05">
        <w:t xml:space="preserve"> </w:t>
      </w:r>
      <w:r w:rsidR="00D9258C" w:rsidRPr="00FD6A6A">
        <w:t>Afro-Brazilian.</w:t>
      </w:r>
    </w:p>
    <w:p w14:paraId="53AA519F" w14:textId="3F586DE6" w:rsidR="00D9258C" w:rsidRPr="00FD6A6A" w:rsidRDefault="00166390" w:rsidP="00166390">
      <w:pPr>
        <w:pStyle w:val="ParaNoG"/>
        <w:numPr>
          <w:ilvl w:val="0"/>
          <w:numId w:val="0"/>
        </w:numPr>
        <w:tabs>
          <w:tab w:val="left" w:pos="0"/>
        </w:tabs>
        <w:ind w:left="1134"/>
      </w:pPr>
      <w:r w:rsidRPr="00FD6A6A">
        <w:t>80.</w:t>
      </w:r>
      <w:r w:rsidRPr="00FD6A6A">
        <w:tab/>
      </w:r>
      <w:r w:rsidR="00D9258C" w:rsidRPr="00FD6A6A">
        <w:t>Reducing</w:t>
      </w:r>
      <w:r w:rsidR="00541D05">
        <w:t xml:space="preserve"> </w:t>
      </w:r>
      <w:r w:rsidR="00D9258C" w:rsidRPr="00FD6A6A">
        <w:t>social</w:t>
      </w:r>
      <w:r w:rsidR="00541D05">
        <w:t xml:space="preserve"> </w:t>
      </w:r>
      <w:r w:rsidR="00D9258C" w:rsidRPr="00FD6A6A">
        <w:t>distances</w:t>
      </w:r>
      <w:r w:rsidR="00541D05">
        <w:t xml:space="preserve"> </w:t>
      </w:r>
      <w:r w:rsidR="00D9258C" w:rsidRPr="00FD6A6A">
        <w:t>and</w:t>
      </w:r>
      <w:r w:rsidR="00541D05">
        <w:t xml:space="preserve"> </w:t>
      </w:r>
      <w:r w:rsidR="00D9258C" w:rsidRPr="00FD6A6A">
        <w:t>destroying</w:t>
      </w:r>
      <w:r w:rsidR="00541D05">
        <w:t xml:space="preserve"> </w:t>
      </w:r>
      <w:r w:rsidR="00D9258C" w:rsidRPr="00FD6A6A">
        <w:t>social</w:t>
      </w:r>
      <w:r w:rsidR="00541D05">
        <w:t xml:space="preserve"> </w:t>
      </w:r>
      <w:r w:rsidR="00D9258C" w:rsidRPr="00FD6A6A">
        <w:t>monopolies,</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correcting</w:t>
      </w:r>
      <w:r w:rsidR="00541D05">
        <w:t xml:space="preserve"> </w:t>
      </w:r>
      <w:r w:rsidR="00D9258C" w:rsidRPr="00FD6A6A">
        <w:t>disparities,</w:t>
      </w:r>
      <w:r w:rsidR="00541D05">
        <w:t xml:space="preserve"> </w:t>
      </w:r>
      <w:r w:rsidR="00D9258C" w:rsidRPr="00FD6A6A">
        <w:t>contribute</w:t>
      </w:r>
      <w:r w:rsidR="00541D05">
        <w:t xml:space="preserve"> </w:t>
      </w:r>
      <w:r w:rsidR="00D9258C" w:rsidRPr="00FD6A6A">
        <w:t>to</w:t>
      </w:r>
      <w:r w:rsidR="00541D05">
        <w:t xml:space="preserve"> </w:t>
      </w:r>
      <w:r w:rsidR="00D9258C" w:rsidRPr="00FD6A6A">
        <w:t>combat</w:t>
      </w:r>
      <w:r w:rsidR="00541D05">
        <w:t xml:space="preserve"> </w:t>
      </w:r>
      <w:r w:rsidR="00D9258C" w:rsidRPr="00FD6A6A">
        <w:t>discrimination,</w:t>
      </w:r>
      <w:r w:rsidR="00541D05">
        <w:t xml:space="preserve"> </w:t>
      </w:r>
      <w:r w:rsidR="00D9258C" w:rsidRPr="00FD6A6A">
        <w:t>because</w:t>
      </w:r>
      <w:r w:rsidR="00541D05">
        <w:t xml:space="preserve"> </w:t>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negative</w:t>
      </w:r>
      <w:r w:rsidR="00541D05">
        <w:t xml:space="preserve"> </w:t>
      </w:r>
      <w:r w:rsidR="00D9258C" w:rsidRPr="00FD6A6A">
        <w:t>stereotypes</w:t>
      </w:r>
      <w:r w:rsidR="00541D05">
        <w:t xml:space="preserve"> </w:t>
      </w:r>
      <w:r w:rsidR="00D9258C" w:rsidRPr="00FD6A6A">
        <w:t>related</w:t>
      </w:r>
      <w:r w:rsidR="00541D05">
        <w:t xml:space="preserve"> </w:t>
      </w:r>
      <w:r w:rsidR="00D9258C" w:rsidRPr="00FD6A6A">
        <w:t>to</w:t>
      </w:r>
      <w:r w:rsidR="00541D05">
        <w:t xml:space="preserve"> </w:t>
      </w:r>
      <w:r w:rsidR="00D9258C" w:rsidRPr="00FD6A6A">
        <w:t>belongingness</w:t>
      </w:r>
      <w:r w:rsidR="00541D05">
        <w:t xml:space="preserve"> </w:t>
      </w:r>
      <w:r w:rsidR="00D9258C" w:rsidRPr="00FD6A6A">
        <w:t>are</w:t>
      </w:r>
      <w:r w:rsidR="00541D05">
        <w:t xml:space="preserve"> </w:t>
      </w:r>
      <w:r w:rsidR="00D9258C" w:rsidRPr="00FD6A6A">
        <w:t>fed</w:t>
      </w:r>
      <w:r w:rsidR="00541D05">
        <w:t xml:space="preserve"> </w:t>
      </w:r>
      <w:r w:rsidR="00D9258C" w:rsidRPr="00FD6A6A">
        <w:t>back</w:t>
      </w:r>
      <w:r w:rsidR="00541D05">
        <w:t xml:space="preserve"> </w:t>
      </w:r>
      <w:r w:rsidR="00D9258C" w:rsidRPr="00FD6A6A">
        <w:t>by</w:t>
      </w:r>
      <w:r w:rsidR="00541D05">
        <w:t xml:space="preserve"> </w:t>
      </w:r>
      <w:r w:rsidR="00D9258C" w:rsidRPr="00FD6A6A">
        <w:t>translating</w:t>
      </w:r>
      <w:r w:rsidR="00541D05">
        <w:t xml:space="preserve"> </w:t>
      </w:r>
      <w:r w:rsidR="00D9258C" w:rsidRPr="00FD6A6A">
        <w:t>social</w:t>
      </w:r>
      <w:r w:rsidR="00541D05">
        <w:t xml:space="preserve"> </w:t>
      </w:r>
      <w:r w:rsidR="00D9258C" w:rsidRPr="00FD6A6A">
        <w:t>inequality</w:t>
      </w:r>
      <w:r w:rsidR="00541D05">
        <w:t xml:space="preserve"> </w:t>
      </w:r>
      <w:r w:rsidR="00D9258C" w:rsidRPr="00FD6A6A">
        <w:t>into</w:t>
      </w:r>
      <w:r w:rsidR="00541D05">
        <w:t xml:space="preserve"> </w:t>
      </w:r>
      <w:r w:rsidR="00D9258C" w:rsidRPr="00FD6A6A">
        <w:t>inferiority</w:t>
      </w:r>
      <w:r w:rsidR="00541D05">
        <w:t xml:space="preserve"> </w:t>
      </w:r>
      <w:r w:rsidR="00D9258C" w:rsidRPr="00FD6A6A">
        <w:t>of</w:t>
      </w:r>
      <w:r w:rsidR="00541D05">
        <w:t xml:space="preserve"> </w:t>
      </w:r>
      <w:r w:rsidR="00D9258C" w:rsidRPr="00FD6A6A">
        <w:t>a</w:t>
      </w:r>
      <w:r w:rsidR="00541D05">
        <w:t xml:space="preserve"> </w:t>
      </w:r>
      <w:r w:rsidR="00D9258C" w:rsidRPr="00FD6A6A">
        <w:t>group</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another.</w:t>
      </w:r>
    </w:p>
    <w:p w14:paraId="480A35E0" w14:textId="3CC3D1E7" w:rsidR="00D9258C" w:rsidRPr="00FD6A6A" w:rsidRDefault="00166390" w:rsidP="00166390">
      <w:pPr>
        <w:pStyle w:val="ParaNoG"/>
        <w:numPr>
          <w:ilvl w:val="0"/>
          <w:numId w:val="0"/>
        </w:numPr>
        <w:tabs>
          <w:tab w:val="left" w:pos="0"/>
        </w:tabs>
        <w:ind w:left="1134"/>
      </w:pPr>
      <w:r w:rsidRPr="00FD6A6A">
        <w:t>81.</w:t>
      </w:r>
      <w:r w:rsidRPr="00FD6A6A">
        <w:tab/>
      </w:r>
      <w:r w:rsidR="00D9258C" w:rsidRPr="00FD6A6A">
        <w:t>In</w:t>
      </w:r>
      <w:r w:rsidR="00541D05">
        <w:t xml:space="preserve"> </w:t>
      </w:r>
      <w:r w:rsidR="00D9258C" w:rsidRPr="00FD6A6A">
        <w:t>this</w:t>
      </w:r>
      <w:r w:rsidR="00541D05">
        <w:t xml:space="preserve"> </w:t>
      </w:r>
      <w:r w:rsidR="00D9258C" w:rsidRPr="00FD6A6A">
        <w:t>regard,</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has</w:t>
      </w:r>
      <w:r w:rsidR="00541D05">
        <w:t xml:space="preserve"> </w:t>
      </w:r>
      <w:r w:rsidR="00D9258C" w:rsidRPr="00FD6A6A">
        <w:t>been</w:t>
      </w:r>
      <w:r w:rsidR="00541D05">
        <w:t xml:space="preserve"> </w:t>
      </w:r>
      <w:r w:rsidR="00D9258C" w:rsidRPr="00FD6A6A">
        <w:t>investing</w:t>
      </w:r>
      <w:r w:rsidR="00541D05">
        <w:t xml:space="preserve"> </w:t>
      </w:r>
      <w:r w:rsidR="00D9258C" w:rsidRPr="00FD6A6A">
        <w:t>in</w:t>
      </w:r>
      <w:r w:rsidR="00541D05">
        <w:t xml:space="preserve"> </w:t>
      </w:r>
      <w:r w:rsidR="00D9258C" w:rsidRPr="00FD6A6A">
        <w:t>affirmative</w:t>
      </w:r>
      <w:r w:rsidR="00541D05">
        <w:t xml:space="preserve"> </w:t>
      </w:r>
      <w:r w:rsidR="00D9258C" w:rsidRPr="00FD6A6A">
        <w:t>action</w:t>
      </w:r>
      <w:r w:rsidR="00541D05">
        <w:t xml:space="preserve"> </w:t>
      </w:r>
      <w:r w:rsidR="00D9258C" w:rsidRPr="00FD6A6A">
        <w:t>policies</w:t>
      </w:r>
      <w:r w:rsidR="00541D05">
        <w:t xml:space="preserve"> </w:t>
      </w:r>
      <w:r w:rsidR="00D9258C" w:rsidRPr="00FD6A6A">
        <w:t>to</w:t>
      </w:r>
      <w:r w:rsidR="00541D05">
        <w:t xml:space="preserve"> </w:t>
      </w:r>
      <w:r w:rsidR="00D9258C" w:rsidRPr="00FD6A6A">
        <w:t>compare,</w:t>
      </w:r>
      <w:r w:rsidR="00541D05">
        <w:t xml:space="preserve"> </w:t>
      </w:r>
      <w:r w:rsidR="00D9258C" w:rsidRPr="00FD6A6A">
        <w:t>at</w:t>
      </w:r>
      <w:r w:rsidR="00541D05">
        <w:t xml:space="preserve"> </w:t>
      </w:r>
      <w:r w:rsidR="00D9258C" w:rsidRPr="00FD6A6A">
        <w:t>the</w:t>
      </w:r>
      <w:r w:rsidR="00541D05">
        <w:t xml:space="preserve"> </w:t>
      </w:r>
      <w:r w:rsidR="00D9258C" w:rsidRPr="00FD6A6A">
        <w:t>same</w:t>
      </w:r>
      <w:r w:rsidR="00541D05">
        <w:t xml:space="preserve"> </w:t>
      </w:r>
      <w:r w:rsidR="00D9258C" w:rsidRPr="00FD6A6A">
        <w:t>time,</w:t>
      </w:r>
      <w:r w:rsidR="00541D05">
        <w:t xml:space="preserve"> </w:t>
      </w:r>
      <w:r w:rsidR="00D9258C" w:rsidRPr="00FD6A6A">
        <w:t>racial</w:t>
      </w:r>
      <w:r w:rsidR="00541D05">
        <w:t xml:space="preserve"> </w:t>
      </w:r>
      <w:r w:rsidR="00D9258C" w:rsidRPr="00FD6A6A">
        <w:t>inequalities</w:t>
      </w:r>
      <w:r w:rsidR="00541D05">
        <w:t xml:space="preserve"> </w:t>
      </w:r>
      <w:r w:rsidR="00D9258C" w:rsidRPr="00FD6A6A">
        <w:t>and</w:t>
      </w:r>
      <w:r w:rsidR="00541D05">
        <w:t xml:space="preserve"> </w:t>
      </w:r>
      <w:r w:rsidR="00D9258C" w:rsidRPr="00FD6A6A">
        <w:t>the</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in</w:t>
      </w:r>
      <w:r w:rsidR="00541D05">
        <w:t xml:space="preserve"> </w:t>
      </w:r>
      <w:r w:rsidR="00D9258C" w:rsidRPr="00FD6A6A">
        <w:t>which</w:t>
      </w:r>
      <w:r w:rsidR="00541D05">
        <w:t xml:space="preserve"> </w:t>
      </w:r>
      <w:r w:rsidR="00D9258C" w:rsidRPr="00FD6A6A">
        <w:t>it</w:t>
      </w:r>
      <w:r w:rsidR="00541D05">
        <w:t xml:space="preserve"> </w:t>
      </w:r>
      <w:r w:rsidR="00D9258C" w:rsidRPr="00FD6A6A">
        <w:t>is,</w:t>
      </w:r>
      <w:r w:rsidR="00541D05">
        <w:t xml:space="preserve"> </w:t>
      </w:r>
      <w:r w:rsidR="00D9258C" w:rsidRPr="00FD6A6A">
        <w:t>simultaneously,</w:t>
      </w:r>
      <w:r w:rsidR="00541D05">
        <w:t xml:space="preserve"> </w:t>
      </w:r>
      <w:r w:rsidR="00D9258C" w:rsidRPr="00FD6A6A">
        <w:t>cause</w:t>
      </w:r>
      <w:r w:rsidR="00541D05">
        <w:t xml:space="preserve"> </w:t>
      </w:r>
      <w:r w:rsidR="00D9258C" w:rsidRPr="00FD6A6A">
        <w:t>and</w:t>
      </w:r>
      <w:r w:rsidR="00541D05">
        <w:t xml:space="preserve"> </w:t>
      </w:r>
      <w:r w:rsidR="00D9258C" w:rsidRPr="00FD6A6A">
        <w:t>consequence.</w:t>
      </w:r>
    </w:p>
    <w:p w14:paraId="4AC1A88B" w14:textId="29299EF4" w:rsidR="00D9258C" w:rsidRPr="00FD6A6A" w:rsidRDefault="00166390" w:rsidP="00166390">
      <w:pPr>
        <w:pStyle w:val="ParaNoG"/>
        <w:numPr>
          <w:ilvl w:val="0"/>
          <w:numId w:val="0"/>
        </w:numPr>
        <w:tabs>
          <w:tab w:val="left" w:pos="0"/>
        </w:tabs>
        <w:ind w:left="1134"/>
      </w:pPr>
      <w:r w:rsidRPr="00FD6A6A">
        <w:t>82.</w:t>
      </w:r>
      <w:r w:rsidRPr="00FD6A6A">
        <w:tab/>
      </w:r>
      <w:r w:rsidR="00D9258C" w:rsidRPr="00FD6A6A">
        <w:t>In</w:t>
      </w:r>
      <w:r w:rsidR="00541D05">
        <w:t xml:space="preserve"> </w:t>
      </w:r>
      <w:r w:rsidR="00D9258C" w:rsidRPr="00FD6A6A">
        <w:t>the</w:t>
      </w:r>
      <w:r w:rsidR="00541D05">
        <w:t xml:space="preserve"> </w:t>
      </w:r>
      <w:r w:rsidR="00D9258C" w:rsidRPr="00FD6A6A">
        <w:t>area</w:t>
      </w:r>
      <w:r w:rsidR="00541D05">
        <w:t xml:space="preserve"> </w:t>
      </w:r>
      <w:r w:rsidR="00D9258C" w:rsidRPr="00FD6A6A">
        <w:t>of</w:t>
      </w:r>
      <w:r w:rsidR="00541D05">
        <w:t xml:space="preserve"> </w:t>
      </w:r>
      <w:r w:rsidR="00D9258C" w:rsidRPr="00FD6A6A">
        <w:t>education,</w:t>
      </w:r>
      <w:r w:rsidR="00541D05">
        <w:t xml:space="preserve"> </w:t>
      </w:r>
      <w:r w:rsidR="00D9258C" w:rsidRPr="00FD6A6A">
        <w:t>a</w:t>
      </w:r>
      <w:r w:rsidR="00541D05">
        <w:t xml:space="preserve"> </w:t>
      </w:r>
      <w:r w:rsidR="00D9258C" w:rsidRPr="00FD6A6A">
        <w:t>series</w:t>
      </w:r>
      <w:r w:rsidR="00541D05">
        <w:t xml:space="preserve"> </w:t>
      </w:r>
      <w:r w:rsidR="00D9258C" w:rsidRPr="00FD6A6A">
        <w:t>of</w:t>
      </w:r>
      <w:r w:rsidR="00541D05">
        <w:t xml:space="preserve"> </w:t>
      </w:r>
      <w:r w:rsidR="00D9258C" w:rsidRPr="00FD6A6A">
        <w:t>initiatives</w:t>
      </w:r>
      <w:r w:rsidR="00541D05">
        <w:t xml:space="preserve"> </w:t>
      </w:r>
      <w:r w:rsidR="00D9258C" w:rsidRPr="00FD6A6A">
        <w:t>has</w:t>
      </w:r>
      <w:r w:rsidR="00541D05">
        <w:t xml:space="preserve"> </w:t>
      </w:r>
      <w:r w:rsidR="00D9258C" w:rsidRPr="00FD6A6A">
        <w:t>been</w:t>
      </w:r>
      <w:r w:rsidR="00541D05">
        <w:t xml:space="preserve"> </w:t>
      </w:r>
      <w:r w:rsidR="00D9258C" w:rsidRPr="00FD6A6A">
        <w:t>adopted</w:t>
      </w:r>
      <w:r w:rsidR="00541D05">
        <w:t xml:space="preserve"> </w:t>
      </w:r>
      <w:r w:rsidR="00D9258C" w:rsidRPr="00FD6A6A">
        <w:t>since</w:t>
      </w:r>
      <w:r w:rsidR="00541D05">
        <w:t xml:space="preserve"> </w:t>
      </w:r>
      <w:r w:rsidR="00D9258C" w:rsidRPr="00FD6A6A">
        <w:t>the</w:t>
      </w:r>
      <w:r w:rsidR="00541D05">
        <w:t xml:space="preserve"> </w:t>
      </w:r>
      <w:r w:rsidR="00D9258C" w:rsidRPr="00FD6A6A">
        <w:t>2000s</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t>of</w:t>
      </w:r>
      <w:r w:rsidR="00541D05">
        <w:t xml:space="preserve"> </w:t>
      </w:r>
      <w:r w:rsidR="00D9258C" w:rsidRPr="00FD6A6A">
        <w:t>the</w:t>
      </w:r>
      <w:r w:rsidR="00541D05">
        <w:t xml:space="preserve"> </w:t>
      </w:r>
      <w:r w:rsidR="00D9258C" w:rsidRPr="00FD6A6A">
        <w:t>mobilization</w:t>
      </w:r>
      <w:r w:rsidR="00541D05">
        <w:t xml:space="preserve"> </w:t>
      </w:r>
      <w:r w:rsidR="00D9258C" w:rsidRPr="00FD6A6A">
        <w:t>of</w:t>
      </w:r>
      <w:r w:rsidR="00541D05">
        <w:t xml:space="preserve"> </w:t>
      </w:r>
      <w:r w:rsidR="00D9258C" w:rsidRPr="00FD6A6A">
        <w:t>Afro-Brazilian</w:t>
      </w:r>
      <w:r w:rsidR="00541D05">
        <w:t xml:space="preserve"> </w:t>
      </w:r>
      <w:r w:rsidR="00D9258C" w:rsidRPr="00FD6A6A">
        <w:t>students</w:t>
      </w:r>
      <w:r w:rsidR="00541D05">
        <w:t xml:space="preserve"> </w:t>
      </w:r>
      <w:r w:rsidR="00D9258C" w:rsidRPr="00FD6A6A">
        <w:t>and</w:t>
      </w:r>
      <w:r w:rsidR="00541D05">
        <w:t xml:space="preserve"> </w:t>
      </w:r>
      <w:r w:rsidR="00D9258C" w:rsidRPr="00FD6A6A">
        <w:t>entities</w:t>
      </w:r>
      <w:r w:rsidR="00541D05">
        <w:t xml:space="preserve"> </w:t>
      </w:r>
      <w:r w:rsidR="00D9258C" w:rsidRPr="00FD6A6A">
        <w:t>in</w:t>
      </w:r>
      <w:r w:rsidR="00541D05">
        <w:t xml:space="preserve"> </w:t>
      </w:r>
      <w:r w:rsidR="00D9258C" w:rsidRPr="00FD6A6A">
        <w:t>universities.</w:t>
      </w:r>
      <w:r w:rsidR="00541D05">
        <w:t xml:space="preserve"> </w:t>
      </w:r>
      <w:r w:rsidR="00D9258C" w:rsidRPr="00FD6A6A">
        <w:t>The</w:t>
      </w:r>
      <w:r w:rsidR="00541D05">
        <w:t xml:space="preserve"> </w:t>
      </w:r>
      <w:r w:rsidR="00D9258C" w:rsidRPr="00FD6A6A">
        <w:t>increasing</w:t>
      </w:r>
      <w:r w:rsidR="00541D05">
        <w:t xml:space="preserve"> </w:t>
      </w:r>
      <w:r w:rsidR="00D9258C" w:rsidRPr="00FD6A6A">
        <w:t>demand</w:t>
      </w:r>
      <w:r w:rsidR="00541D05">
        <w:t xml:space="preserve"> </w:t>
      </w:r>
      <w:r w:rsidR="00D9258C" w:rsidRPr="00FD6A6A">
        <w:t>for</w:t>
      </w:r>
      <w:r w:rsidR="00541D05">
        <w:t xml:space="preserve"> </w:t>
      </w:r>
      <w:r w:rsidR="00D9258C" w:rsidRPr="00FD6A6A">
        <w:t>social</w:t>
      </w:r>
      <w:r w:rsidR="00541D05">
        <w:t xml:space="preserve"> </w:t>
      </w:r>
      <w:r w:rsidR="00D9258C" w:rsidRPr="00FD6A6A">
        <w:t>integration</w:t>
      </w:r>
      <w:r w:rsidR="00541D05">
        <w:t xml:space="preserve"> </w:t>
      </w:r>
      <w:r w:rsidR="00D9258C" w:rsidRPr="00FD6A6A">
        <w:t>was</w:t>
      </w:r>
      <w:r w:rsidR="00541D05">
        <w:t xml:space="preserve"> </w:t>
      </w:r>
      <w:r w:rsidR="00D9258C" w:rsidRPr="00FD6A6A">
        <w:t>possible</w:t>
      </w:r>
      <w:r w:rsidR="00541D05">
        <w:t xml:space="preserve"> </w:t>
      </w:r>
      <w:r w:rsidR="00D9258C" w:rsidRPr="00FD6A6A">
        <w:t>due</w:t>
      </w:r>
      <w:r w:rsidR="00541D05">
        <w:t xml:space="preserve"> </w:t>
      </w:r>
      <w:r w:rsidR="00D9258C" w:rsidRPr="00FD6A6A">
        <w:t>to</w:t>
      </w:r>
      <w:r w:rsidR="00541D05">
        <w:t xml:space="preserve"> </w:t>
      </w:r>
      <w:r w:rsidR="00D9258C" w:rsidRPr="00FD6A6A">
        <w:t>some</w:t>
      </w:r>
      <w:r w:rsidR="00541D05">
        <w:t xml:space="preserve"> </w:t>
      </w:r>
      <w:r w:rsidR="00D9258C" w:rsidRPr="00FD6A6A">
        <w:t>initiatives</w:t>
      </w:r>
      <w:r w:rsidR="00541D05">
        <w:t xml:space="preserve"> </w:t>
      </w:r>
      <w:r w:rsidR="00D9258C" w:rsidRPr="00FD6A6A">
        <w:t>created</w:t>
      </w:r>
      <w:r w:rsidR="00541D05">
        <w:t xml:space="preserve"> </w:t>
      </w:r>
      <w:r w:rsidR="00D9258C" w:rsidRPr="00FD6A6A">
        <w:t>directly</w:t>
      </w:r>
      <w:r w:rsidR="00541D05">
        <w:t xml:space="preserve"> </w:t>
      </w:r>
      <w:r w:rsidR="00D9258C" w:rsidRPr="00FD6A6A">
        <w:t>by</w:t>
      </w:r>
      <w:r w:rsidR="00541D05">
        <w:t xml:space="preserve"> </w:t>
      </w:r>
      <w:r w:rsidR="00D9258C" w:rsidRPr="00FD6A6A">
        <w:t>the</w:t>
      </w:r>
      <w:r w:rsidR="00541D05">
        <w:t xml:space="preserve"> </w:t>
      </w:r>
      <w:r w:rsidR="00D9258C" w:rsidRPr="00FD6A6A">
        <w:t>Government.</w:t>
      </w:r>
    </w:p>
    <w:p w14:paraId="026BB1FE" w14:textId="1228253F" w:rsidR="00D9258C" w:rsidRPr="00FD6A6A" w:rsidRDefault="00166390" w:rsidP="00166390">
      <w:pPr>
        <w:pStyle w:val="ParaNoG"/>
        <w:numPr>
          <w:ilvl w:val="0"/>
          <w:numId w:val="0"/>
        </w:numPr>
        <w:tabs>
          <w:tab w:val="left" w:pos="0"/>
        </w:tabs>
        <w:ind w:left="1134"/>
      </w:pPr>
      <w:r w:rsidRPr="00FD6A6A">
        <w:t>83.</w:t>
      </w:r>
      <w:r w:rsidRPr="00FD6A6A">
        <w:tab/>
      </w:r>
      <w:r w:rsidR="00D9258C" w:rsidRPr="00FD6A6A">
        <w:t>With</w:t>
      </w:r>
      <w:r w:rsidR="00541D05">
        <w:t xml:space="preserve"> </w:t>
      </w:r>
      <w:r w:rsidR="00D9258C" w:rsidRPr="00FD6A6A">
        <w:t>Law</w:t>
      </w:r>
      <w:r w:rsidR="00541D05">
        <w:t xml:space="preserve"> </w:t>
      </w:r>
      <w:r w:rsidR="00D9258C" w:rsidRPr="00FD6A6A">
        <w:t>No.</w:t>
      </w:r>
      <w:r w:rsidR="00541D05">
        <w:t xml:space="preserve"> </w:t>
      </w:r>
      <w:r w:rsidR="00D9258C" w:rsidRPr="00FD6A6A">
        <w:t>12,711/2012,</w:t>
      </w:r>
      <w:r w:rsidR="00541D05">
        <w:t xml:space="preserve"> </w:t>
      </w:r>
      <w:r w:rsidR="00D9258C" w:rsidRPr="00FD6A6A">
        <w:t>the</w:t>
      </w:r>
      <w:r w:rsidR="00541D05">
        <w:t xml:space="preserve"> </w:t>
      </w:r>
      <w:r w:rsidR="00D9258C" w:rsidRPr="00FD6A6A">
        <w:t>obligation</w:t>
      </w:r>
      <w:r w:rsidR="00541D05">
        <w:t xml:space="preserve"> </w:t>
      </w:r>
      <w:r w:rsidR="00D9258C" w:rsidRPr="00FD6A6A">
        <w:t>to</w:t>
      </w:r>
      <w:r w:rsidR="00541D05">
        <w:t xml:space="preserve"> </w:t>
      </w:r>
      <w:r w:rsidR="00D9258C" w:rsidRPr="00FD6A6A">
        <w:t>adopt</w:t>
      </w:r>
      <w:r w:rsidR="00541D05">
        <w:t xml:space="preserve"> </w:t>
      </w:r>
      <w:r w:rsidR="00D9258C" w:rsidRPr="00FD6A6A">
        <w:t>the</w:t>
      </w:r>
      <w:r w:rsidR="00541D05">
        <w:t xml:space="preserve"> </w:t>
      </w:r>
      <w:r w:rsidR="00D9258C" w:rsidRPr="00FD6A6A">
        <w:t>system</w:t>
      </w:r>
      <w:r w:rsidR="00541D05">
        <w:t xml:space="preserve"> </w:t>
      </w:r>
      <w:r w:rsidR="00D9258C" w:rsidRPr="00FD6A6A">
        <w:t>for</w:t>
      </w:r>
      <w:r w:rsidR="00541D05">
        <w:t xml:space="preserve"> </w:t>
      </w:r>
      <w:r w:rsidR="00D9258C" w:rsidRPr="00FD6A6A">
        <w:t>vacancy</w:t>
      </w:r>
      <w:r w:rsidR="00541D05">
        <w:t xml:space="preserve"> </w:t>
      </w:r>
      <w:r w:rsidR="00D9258C" w:rsidRPr="00FD6A6A">
        <w:t>reservation</w:t>
      </w:r>
      <w:r w:rsidR="00541D05">
        <w:t xml:space="preserve"> </w:t>
      </w:r>
      <w:r w:rsidR="00D9258C" w:rsidRPr="00FD6A6A">
        <w:t>in</w:t>
      </w:r>
      <w:r w:rsidR="00541D05">
        <w:t xml:space="preserve"> </w:t>
      </w:r>
      <w:r w:rsidR="00D9258C" w:rsidRPr="00FD6A6A">
        <w:t>the</w:t>
      </w:r>
      <w:r w:rsidR="00541D05">
        <w:t xml:space="preserve"> </w:t>
      </w:r>
      <w:r w:rsidR="00D9258C" w:rsidRPr="00FD6A6A">
        <w:t>entire</w:t>
      </w:r>
      <w:r w:rsidR="00541D05">
        <w:t xml:space="preserve"> </w:t>
      </w:r>
      <w:r w:rsidR="00D9258C" w:rsidRPr="00FD6A6A">
        <w:t>public</w:t>
      </w:r>
      <w:r w:rsidR="00541D05">
        <w:t xml:space="preserve"> </w:t>
      </w:r>
      <w:r w:rsidR="00D9258C" w:rsidRPr="00FD6A6A">
        <w:t>higher</w:t>
      </w:r>
      <w:r w:rsidR="00541D05">
        <w:t xml:space="preserve"> </w:t>
      </w:r>
      <w:r w:rsidR="00D9258C" w:rsidRPr="00FD6A6A">
        <w:t>education</w:t>
      </w:r>
      <w:r w:rsidR="00541D05">
        <w:t xml:space="preserve"> </w:t>
      </w:r>
      <w:r w:rsidR="00D9258C" w:rsidRPr="00FD6A6A">
        <w:t>network</w:t>
      </w:r>
      <w:r w:rsidR="00541D05">
        <w:t xml:space="preserve"> </w:t>
      </w:r>
      <w:r w:rsidR="00D9258C" w:rsidRPr="00FD6A6A">
        <w:t>and</w:t>
      </w:r>
      <w:r w:rsidR="00541D05">
        <w:t xml:space="preserve"> </w:t>
      </w:r>
      <w:r w:rsidR="00D9258C" w:rsidRPr="00FD6A6A">
        <w:t>in</w:t>
      </w:r>
      <w:r w:rsidR="00541D05">
        <w:t xml:space="preserve"> </w:t>
      </w:r>
      <w:r w:rsidR="00D9258C" w:rsidRPr="00FD6A6A">
        <w:t>federal</w:t>
      </w:r>
      <w:r w:rsidR="00541D05">
        <w:t xml:space="preserve"> </w:t>
      </w:r>
      <w:r w:rsidR="00D9258C" w:rsidRPr="00FD6A6A">
        <w:t>institutes</w:t>
      </w:r>
      <w:r w:rsidR="00541D05">
        <w:t xml:space="preserve"> </w:t>
      </w:r>
      <w:r w:rsidR="00D9258C" w:rsidRPr="00FD6A6A">
        <w:t>was</w:t>
      </w:r>
      <w:r w:rsidR="00541D05">
        <w:t xml:space="preserve"> </w:t>
      </w:r>
      <w:r w:rsidR="00D9258C" w:rsidRPr="00FD6A6A">
        <w:t>established.</w:t>
      </w:r>
      <w:r w:rsidR="00541D05">
        <w:t xml:space="preserve"> </w:t>
      </w:r>
      <w:r w:rsidR="00D9258C" w:rsidRPr="00FD6A6A">
        <w:t>The</w:t>
      </w:r>
      <w:r w:rsidR="00541D05">
        <w:t xml:space="preserve"> </w:t>
      </w:r>
      <w:r w:rsidR="00D9258C" w:rsidRPr="00FD6A6A">
        <w:t>system</w:t>
      </w:r>
      <w:r w:rsidR="00541D05">
        <w:t xml:space="preserve"> </w:t>
      </w:r>
      <w:r w:rsidR="00D9258C" w:rsidRPr="00FD6A6A">
        <w:t>was</w:t>
      </w:r>
      <w:r w:rsidR="00541D05">
        <w:t xml:space="preserve"> </w:t>
      </w:r>
      <w:r w:rsidR="00D9258C" w:rsidRPr="00FD6A6A">
        <w:t>already</w:t>
      </w:r>
      <w:r w:rsidR="00541D05">
        <w:t xml:space="preserve"> </w:t>
      </w:r>
      <w:r w:rsidR="00D9258C" w:rsidRPr="00FD6A6A">
        <w:t>operational</w:t>
      </w:r>
      <w:r w:rsidR="00541D05">
        <w:t xml:space="preserve"> </w:t>
      </w:r>
      <w:r w:rsidR="00D9258C" w:rsidRPr="00FD6A6A">
        <w:t>as</w:t>
      </w:r>
      <w:r w:rsidR="00541D05">
        <w:t xml:space="preserve"> </w:t>
      </w:r>
      <w:r w:rsidR="00D9258C" w:rsidRPr="00FD6A6A">
        <w:t>an</w:t>
      </w:r>
      <w:r w:rsidR="00541D05">
        <w:t xml:space="preserve"> </w:t>
      </w:r>
      <w:r w:rsidR="00D9258C" w:rsidRPr="00FD6A6A">
        <w:t>option</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since</w:t>
      </w:r>
      <w:r w:rsidR="00541D05">
        <w:t xml:space="preserve"> </w:t>
      </w:r>
      <w:r w:rsidR="00D9258C" w:rsidRPr="00FD6A6A">
        <w:t>2001,</w:t>
      </w:r>
      <w:r w:rsidR="00541D05">
        <w:t xml:space="preserve"> </w:t>
      </w:r>
      <w:r w:rsidR="00D9258C" w:rsidRPr="00FD6A6A">
        <w:t>when</w:t>
      </w:r>
      <w:r w:rsidR="00541D05">
        <w:t xml:space="preserve"> </w:t>
      </w:r>
      <w:r w:rsidR="00D9258C" w:rsidRPr="00FD6A6A">
        <w:t>the</w:t>
      </w:r>
      <w:r w:rsidR="00541D05">
        <w:t xml:space="preserve"> </w:t>
      </w:r>
      <w:r w:rsidR="00D9258C" w:rsidRPr="00FD6A6A">
        <w:t>government</w:t>
      </w:r>
      <w:r w:rsidR="00541D05">
        <w:t xml:space="preserve"> </w:t>
      </w:r>
      <w:r w:rsidR="00D9258C" w:rsidRPr="00FD6A6A">
        <w:t>of</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Rio</w:t>
      </w:r>
      <w:r w:rsidR="00541D05">
        <w:t xml:space="preserve"> </w:t>
      </w:r>
      <w:r w:rsidR="00D9258C" w:rsidRPr="00FD6A6A">
        <w:t>de</w:t>
      </w:r>
      <w:r w:rsidR="00541D05">
        <w:t xml:space="preserve"> </w:t>
      </w:r>
      <w:r w:rsidR="00D9258C" w:rsidRPr="00FD6A6A">
        <w:t>Janeiro</w:t>
      </w:r>
      <w:r w:rsidR="00541D05">
        <w:t xml:space="preserve"> </w:t>
      </w:r>
      <w:r w:rsidR="00D9258C" w:rsidRPr="00FD6A6A">
        <w:t>approved</w:t>
      </w:r>
      <w:r w:rsidR="00541D05">
        <w:t xml:space="preserve"> </w:t>
      </w:r>
      <w:r w:rsidR="00D9258C" w:rsidRPr="00FD6A6A">
        <w:t>the</w:t>
      </w:r>
      <w:r w:rsidR="00541D05">
        <w:t xml:space="preserve"> </w:t>
      </w:r>
      <w:r w:rsidR="00D9258C" w:rsidRPr="00FD6A6A">
        <w:t>first</w:t>
      </w:r>
      <w:r w:rsidR="00541D05">
        <w:t xml:space="preserve"> </w:t>
      </w:r>
      <w:r w:rsidR="00D9258C" w:rsidRPr="00FD6A6A">
        <w:t>quota</w:t>
      </w:r>
      <w:r w:rsidR="00541D05">
        <w:t xml:space="preserve"> </w:t>
      </w:r>
      <w:r w:rsidR="00D9258C" w:rsidRPr="00FD6A6A">
        <w:t>law</w:t>
      </w:r>
      <w:r w:rsidR="00541D05">
        <w:t xml:space="preserve"> </w:t>
      </w:r>
      <w:r w:rsidR="00D9258C" w:rsidRPr="00FD6A6A">
        <w:t>to</w:t>
      </w:r>
      <w:r w:rsidR="00541D05">
        <w:t xml:space="preserve"> </w:t>
      </w:r>
      <w:r w:rsidR="00D9258C" w:rsidRPr="00FD6A6A">
        <w:t>popularize</w:t>
      </w:r>
      <w:r w:rsidR="00541D05">
        <w:t xml:space="preserve"> </w:t>
      </w:r>
      <w:r w:rsidR="00D9258C" w:rsidRPr="00FD6A6A">
        <w:t>access</w:t>
      </w:r>
      <w:r w:rsidR="00541D05">
        <w:t xml:space="preserve"> </w:t>
      </w:r>
      <w:r w:rsidR="00D9258C" w:rsidRPr="00FD6A6A">
        <w:t>by</w:t>
      </w:r>
      <w:r w:rsidR="00541D05">
        <w:t xml:space="preserve"> </w:t>
      </w:r>
      <w:r w:rsidR="00D9258C" w:rsidRPr="00FD6A6A">
        <w:t>Afro-Brazilian</w:t>
      </w:r>
      <w:r w:rsidR="00541D05">
        <w:t xml:space="preserve"> </w:t>
      </w:r>
      <w:r w:rsidR="00D9258C" w:rsidRPr="00FD6A6A">
        <w:t>students</w:t>
      </w:r>
      <w:r w:rsidR="00541D05">
        <w:t xml:space="preserve"> </w:t>
      </w:r>
      <w:r w:rsidR="00D9258C" w:rsidRPr="00FD6A6A">
        <w:t>to</w:t>
      </w:r>
      <w:r w:rsidR="00541D05">
        <w:t xml:space="preserve"> </w:t>
      </w:r>
      <w:r w:rsidR="00D9258C" w:rsidRPr="00FD6A6A">
        <w:t>undergraduate</w:t>
      </w:r>
      <w:r w:rsidR="00541D05">
        <w:t xml:space="preserve"> </w:t>
      </w:r>
      <w:r w:rsidR="00D9258C" w:rsidRPr="00FD6A6A">
        <w:t>courses</w:t>
      </w:r>
      <w:r w:rsidR="00541D05">
        <w:t xml:space="preserve"> </w:t>
      </w:r>
      <w:r w:rsidR="00D9258C" w:rsidRPr="00FD6A6A">
        <w:t>of</w:t>
      </w:r>
      <w:r w:rsidR="00541D05">
        <w:t xml:space="preserve"> </w:t>
      </w:r>
      <w:r w:rsidR="00D9258C" w:rsidRPr="00FD6A6A">
        <w:t>the</w:t>
      </w:r>
      <w:r w:rsidR="00541D05">
        <w:t xml:space="preserve"> </w:t>
      </w:r>
      <w:r w:rsidR="00D9258C" w:rsidRPr="00FD6A6A">
        <w:t>University</w:t>
      </w:r>
      <w:r w:rsidR="00541D05">
        <w:t xml:space="preserve"> </w:t>
      </w:r>
      <w:r w:rsidR="00D9258C" w:rsidRPr="00FD6A6A">
        <w:t>of</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Rio</w:t>
      </w:r>
      <w:r w:rsidR="00541D05">
        <w:t xml:space="preserve"> </w:t>
      </w:r>
      <w:r w:rsidR="00D9258C" w:rsidRPr="00FD6A6A">
        <w:t>de</w:t>
      </w:r>
      <w:r w:rsidR="00541D05">
        <w:t xml:space="preserve"> </w:t>
      </w:r>
      <w:r w:rsidR="00D9258C" w:rsidRPr="00FD6A6A">
        <w:t>Janeiro</w:t>
      </w:r>
      <w:r w:rsidR="00541D05">
        <w:t xml:space="preserve"> </w:t>
      </w:r>
      <w:r w:rsidR="00D9258C" w:rsidRPr="00FD6A6A">
        <w:t>(UERJ)</w:t>
      </w:r>
      <w:r w:rsidR="00541D05">
        <w:t xml:space="preserve"> </w:t>
      </w:r>
      <w:r w:rsidR="00D9258C" w:rsidRPr="00FD6A6A">
        <w:t>and</w:t>
      </w:r>
      <w:r w:rsidR="00541D05">
        <w:t xml:space="preserve"> </w:t>
      </w:r>
      <w:r w:rsidR="00D9258C" w:rsidRPr="00FD6A6A">
        <w:t>the</w:t>
      </w:r>
      <w:r w:rsidR="00541D05">
        <w:t xml:space="preserve"> </w:t>
      </w:r>
      <w:r w:rsidR="00D9258C" w:rsidRPr="00FD6A6A">
        <w:t>State</w:t>
      </w:r>
      <w:r w:rsidR="00541D05">
        <w:t xml:space="preserve"> </w:t>
      </w:r>
      <w:r w:rsidR="00D9258C" w:rsidRPr="00FD6A6A">
        <w:t>University</w:t>
      </w:r>
      <w:r w:rsidR="00541D05">
        <w:t xml:space="preserve"> </w:t>
      </w:r>
      <w:r w:rsidR="00D9258C" w:rsidRPr="00FD6A6A">
        <w:t>of</w:t>
      </w:r>
      <w:r w:rsidR="00541D05">
        <w:t xml:space="preserve"> </w:t>
      </w:r>
      <w:r w:rsidR="00D9258C" w:rsidRPr="00FD6A6A">
        <w:t>the</w:t>
      </w:r>
      <w:r w:rsidR="00541D05">
        <w:t xml:space="preserve"> </w:t>
      </w:r>
      <w:r w:rsidR="00D9258C" w:rsidRPr="00FD6A6A">
        <w:t>North</w:t>
      </w:r>
      <w:r w:rsidR="00541D05">
        <w:t xml:space="preserve"> </w:t>
      </w:r>
      <w:r w:rsidR="00D9258C" w:rsidRPr="00FD6A6A">
        <w:t>of</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Rio</w:t>
      </w:r>
      <w:r w:rsidR="00541D05">
        <w:t xml:space="preserve"> </w:t>
      </w:r>
      <w:r w:rsidR="00D9258C" w:rsidRPr="00FD6A6A">
        <w:t>de</w:t>
      </w:r>
      <w:r w:rsidR="00541D05">
        <w:t xml:space="preserve"> </w:t>
      </w:r>
      <w:r w:rsidR="00D9258C" w:rsidRPr="00FD6A6A">
        <w:t>Janeiro</w:t>
      </w:r>
      <w:r w:rsidR="00541D05">
        <w:t xml:space="preserve"> </w:t>
      </w:r>
      <w:r w:rsidR="00D9258C" w:rsidRPr="00FD6A6A">
        <w:t>(UENF).</w:t>
      </w:r>
      <w:r w:rsidR="00541D05">
        <w:t xml:space="preserve"> </w:t>
      </w:r>
      <w:r w:rsidR="00D9258C" w:rsidRPr="00FD6A6A">
        <w:t>Since</w:t>
      </w:r>
      <w:r w:rsidR="00541D05">
        <w:t xml:space="preserve"> </w:t>
      </w:r>
      <w:r w:rsidR="00D9258C" w:rsidRPr="00FD6A6A">
        <w:t>then,</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public</w:t>
      </w:r>
      <w:r w:rsidR="00541D05">
        <w:t xml:space="preserve"> </w:t>
      </w:r>
      <w:r w:rsidR="00D9258C" w:rsidRPr="00FD6A6A">
        <w:t>universities</w:t>
      </w:r>
      <w:r w:rsidR="00541D05">
        <w:t xml:space="preserve"> </w:t>
      </w:r>
      <w:r w:rsidR="00D9258C" w:rsidRPr="00FD6A6A">
        <w:t>that</w:t>
      </w:r>
      <w:r w:rsidR="00541D05">
        <w:t xml:space="preserve"> </w:t>
      </w:r>
      <w:r w:rsidR="00D9258C" w:rsidRPr="00FD6A6A">
        <w:t>created</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programs</w:t>
      </w:r>
      <w:r w:rsidR="00541D05">
        <w:t xml:space="preserve"> </w:t>
      </w:r>
      <w:r w:rsidR="00D9258C" w:rsidRPr="00FD6A6A">
        <w:t>more</w:t>
      </w:r>
      <w:r w:rsidR="00541D05">
        <w:t xml:space="preserve"> </w:t>
      </w:r>
      <w:r w:rsidR="00D9258C" w:rsidRPr="00FD6A6A">
        <w:t>or</w:t>
      </w:r>
      <w:r w:rsidR="00541D05">
        <w:t xml:space="preserve"> </w:t>
      </w:r>
      <w:r w:rsidR="00D9258C" w:rsidRPr="00FD6A6A">
        <w:t>less</w:t>
      </w:r>
      <w:r w:rsidR="00541D05">
        <w:t xml:space="preserve"> </w:t>
      </w:r>
      <w:r w:rsidR="00D9258C" w:rsidRPr="00FD6A6A">
        <w:t>similar</w:t>
      </w:r>
      <w:r w:rsidR="00541D05">
        <w:t xml:space="preserve"> </w:t>
      </w:r>
      <w:r w:rsidR="00D9258C" w:rsidRPr="00FD6A6A">
        <w:t>to</w:t>
      </w:r>
      <w:r w:rsidR="00541D05">
        <w:t xml:space="preserve"> </w:t>
      </w:r>
      <w:r w:rsidR="00D9258C" w:rsidRPr="00FD6A6A">
        <w:t>the</w:t>
      </w:r>
      <w:r w:rsidR="00541D05">
        <w:t xml:space="preserve"> </w:t>
      </w:r>
      <w:r w:rsidR="00D9258C" w:rsidRPr="00FD6A6A">
        <w:t>model</w:t>
      </w:r>
      <w:r w:rsidR="00541D05">
        <w:t xml:space="preserve"> </w:t>
      </w:r>
      <w:r w:rsidR="00D9258C" w:rsidRPr="00FD6A6A">
        <w:t>in</w:t>
      </w:r>
      <w:r w:rsidR="00541D05">
        <w:t xml:space="preserve"> </w:t>
      </w:r>
      <w:r w:rsidR="00D9258C" w:rsidRPr="00FD6A6A">
        <w:t>Rio</w:t>
      </w:r>
      <w:r w:rsidR="00541D05">
        <w:t xml:space="preserve"> </w:t>
      </w:r>
      <w:r w:rsidR="00D9258C" w:rsidRPr="00FD6A6A">
        <w:t>de</w:t>
      </w:r>
      <w:r w:rsidR="00541D05">
        <w:t xml:space="preserve"> </w:t>
      </w:r>
      <w:r w:rsidR="00D9258C" w:rsidRPr="00FD6A6A">
        <w:t>Janeiro.</w:t>
      </w:r>
      <w:r w:rsidR="00541D05">
        <w:t xml:space="preserve"> </w:t>
      </w:r>
      <w:r w:rsidR="00D9258C" w:rsidRPr="00FD6A6A">
        <w:t>Between</w:t>
      </w:r>
      <w:r w:rsidR="00541D05">
        <w:t xml:space="preserve"> </w:t>
      </w:r>
      <w:r w:rsidR="00D9258C" w:rsidRPr="00FD6A6A">
        <w:t>2002</w:t>
      </w:r>
      <w:r w:rsidR="00541D05">
        <w:t xml:space="preserve"> </w:t>
      </w:r>
      <w:r w:rsidR="00D9258C" w:rsidRPr="00FD6A6A">
        <w:t>and</w:t>
      </w:r>
      <w:r w:rsidR="00541D05">
        <w:t xml:space="preserve"> </w:t>
      </w:r>
      <w:r w:rsidR="00D9258C" w:rsidRPr="00FD6A6A">
        <w:t>2011,</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both</w:t>
      </w:r>
      <w:r w:rsidR="00541D05">
        <w:t xml:space="preserve"> </w:t>
      </w:r>
      <w:r w:rsidR="00D9258C" w:rsidRPr="00FD6A6A">
        <w:t>pioneers,</w:t>
      </w:r>
      <w:r w:rsidR="00541D05">
        <w:t xml:space="preserve"> </w:t>
      </w:r>
      <w:r w:rsidR="00D9258C" w:rsidRPr="00FD6A6A">
        <w:t>58</w:t>
      </w:r>
      <w:r w:rsidR="00541D05">
        <w:t xml:space="preserve"> </w:t>
      </w:r>
      <w:r w:rsidR="00D9258C" w:rsidRPr="00FD6A6A">
        <w:t>other</w:t>
      </w:r>
      <w:r w:rsidR="00541D05">
        <w:t xml:space="preserve"> </w:t>
      </w:r>
      <w:r w:rsidR="00D9258C" w:rsidRPr="00FD6A6A">
        <w:t>public</w:t>
      </w:r>
      <w:r w:rsidR="00541D05">
        <w:t xml:space="preserve"> </w:t>
      </w:r>
      <w:r w:rsidR="00D9258C" w:rsidRPr="00FD6A6A">
        <w:t>universities</w:t>
      </w:r>
      <w:r w:rsidR="00541D05">
        <w:t xml:space="preserve"> </w:t>
      </w:r>
      <w:r w:rsidR="00D9258C" w:rsidRPr="00FD6A6A">
        <w:t>in</w:t>
      </w:r>
      <w:r w:rsidR="00541D05">
        <w:t xml:space="preserve"> </w:t>
      </w:r>
      <w:r w:rsidR="00D9258C" w:rsidRPr="00FD6A6A">
        <w:t>all</w:t>
      </w:r>
      <w:r w:rsidR="00541D05">
        <w:t xml:space="preserve"> </w:t>
      </w:r>
      <w:r w:rsidR="00D9258C" w:rsidRPr="00FD6A6A">
        <w:t>regions</w:t>
      </w:r>
      <w:r w:rsidR="00541D05">
        <w:t xml:space="preserve"> </w:t>
      </w:r>
      <w:r w:rsidR="00D9258C" w:rsidRPr="00FD6A6A">
        <w:t>of</w:t>
      </w:r>
      <w:r w:rsidR="00541D05">
        <w:t xml:space="preserve"> </w:t>
      </w:r>
      <w:r w:rsidR="00D9258C" w:rsidRPr="00FD6A6A">
        <w:t>the</w:t>
      </w:r>
      <w:r w:rsidR="00541D05">
        <w:t xml:space="preserve"> </w:t>
      </w:r>
      <w:r w:rsidR="00D9258C" w:rsidRPr="00FD6A6A">
        <w:t>country</w:t>
      </w:r>
      <w:r w:rsidR="00541D05">
        <w:t xml:space="preserve"> </w:t>
      </w:r>
      <w:r w:rsidR="00D9258C" w:rsidRPr="00FD6A6A">
        <w:t>implemented</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programs</w:t>
      </w:r>
      <w:r w:rsidR="00541D05">
        <w:t xml:space="preserve"> </w:t>
      </w:r>
      <w:r w:rsidR="00D9258C" w:rsidRPr="00FD6A6A">
        <w:t>for</w:t>
      </w:r>
      <w:r w:rsidR="00541D05">
        <w:t xml:space="preserve"> </w:t>
      </w:r>
      <w:r w:rsidR="00D9258C" w:rsidRPr="00FD6A6A">
        <w:t>public</w:t>
      </w:r>
      <w:r w:rsidR="00541D05">
        <w:t xml:space="preserve"> </w:t>
      </w:r>
      <w:r w:rsidR="00D9258C" w:rsidRPr="00FD6A6A">
        <w:t>school</w:t>
      </w:r>
      <w:r w:rsidR="00541D05">
        <w:t xml:space="preserve"> </w:t>
      </w:r>
      <w:r w:rsidR="00D9258C" w:rsidRPr="00FD6A6A">
        <w:t>alumni</w:t>
      </w:r>
      <w:r w:rsidR="00541D05">
        <w:t xml:space="preserve"> </w:t>
      </w:r>
      <w:r w:rsidR="00D9258C" w:rsidRPr="00FD6A6A">
        <w:t>and/or</w:t>
      </w:r>
      <w:r w:rsidR="00541D05">
        <w:t xml:space="preserve"> </w:t>
      </w:r>
      <w:r w:rsidR="00D9258C" w:rsidRPr="00FD6A6A">
        <w:t>self-declared</w:t>
      </w:r>
      <w:r w:rsidR="00541D05">
        <w:t xml:space="preserve"> </w:t>
      </w:r>
      <w:r w:rsidR="00D9258C" w:rsidRPr="00FD6A6A">
        <w:t>Afro-Brazilians,</w:t>
      </w:r>
      <w:r w:rsidR="00541D05">
        <w:t xml:space="preserve"> </w:t>
      </w:r>
      <w:r w:rsidR="00D9258C" w:rsidRPr="00FD6A6A">
        <w:t>Pardos,</w:t>
      </w:r>
      <w:r w:rsidR="00541D05">
        <w:t xml:space="preserve"> </w:t>
      </w:r>
      <w:r w:rsidR="00D9258C" w:rsidRPr="00FD6A6A">
        <w:t>or</w:t>
      </w:r>
      <w:r w:rsidR="00541D05">
        <w:t xml:space="preserve"> </w:t>
      </w:r>
      <w:r w:rsidR="00D9258C" w:rsidRPr="00FD6A6A">
        <w:t>Indigenous</w:t>
      </w:r>
      <w:r w:rsidR="00541D05">
        <w:t xml:space="preserve"> </w:t>
      </w:r>
      <w:r w:rsidR="00D9258C" w:rsidRPr="00FD6A6A">
        <w:t>–</w:t>
      </w:r>
      <w:r w:rsidR="00541D05">
        <w:t xml:space="preserve"> </w:t>
      </w:r>
      <w:r w:rsidR="00D9258C" w:rsidRPr="00FD6A6A">
        <w:t>according</w:t>
      </w:r>
      <w:r w:rsidR="00541D05">
        <w:t xml:space="preserve"> </w:t>
      </w:r>
      <w:r w:rsidR="00D9258C" w:rsidRPr="00FD6A6A">
        <w:t>to</w:t>
      </w:r>
      <w:r w:rsidR="00541D05">
        <w:t xml:space="preserve"> </w:t>
      </w:r>
      <w:r w:rsidR="00D9258C" w:rsidRPr="00FD6A6A">
        <w:t>IBGE</w:t>
      </w:r>
      <w:r w:rsidR="00EA62F1">
        <w:t>’</w:t>
      </w:r>
      <w:r w:rsidR="00D9258C" w:rsidRPr="00FD6A6A">
        <w:t>s</w:t>
      </w:r>
      <w:r w:rsidR="00541D05">
        <w:t xml:space="preserve"> </w:t>
      </w:r>
      <w:r w:rsidR="00D9258C" w:rsidRPr="00FD6A6A">
        <w:t>skin</w:t>
      </w:r>
      <w:r w:rsidR="00541D05">
        <w:t xml:space="preserve"> </w:t>
      </w:r>
      <w:r w:rsidR="00D9258C" w:rsidRPr="00FD6A6A">
        <w:t>tone</w:t>
      </w:r>
      <w:r w:rsidR="00541D05">
        <w:t xml:space="preserve"> </w:t>
      </w:r>
      <w:r w:rsidR="00D9258C" w:rsidRPr="00FD6A6A">
        <w:t>classification</w:t>
      </w:r>
      <w:r w:rsidR="00541D05">
        <w:t xml:space="preserve"> </w:t>
      </w:r>
      <w:r w:rsidR="00D9258C" w:rsidRPr="00FD6A6A">
        <w:t>–</w:t>
      </w:r>
      <w:r w:rsidR="00541D05">
        <w:t xml:space="preserve"> </w:t>
      </w:r>
      <w:r w:rsidR="00D9258C" w:rsidRPr="00FD6A6A">
        <w:t>whether</w:t>
      </w:r>
      <w:r w:rsidR="00541D05">
        <w:t xml:space="preserve"> </w:t>
      </w:r>
      <w:r w:rsidR="00D9258C" w:rsidRPr="00FD6A6A">
        <w:t>by</w:t>
      </w:r>
      <w:r w:rsidR="00541D05">
        <w:t xml:space="preserve"> </w:t>
      </w:r>
      <w:r w:rsidR="00D9258C" w:rsidRPr="00FD6A6A">
        <w:t>direct</w:t>
      </w:r>
      <w:r w:rsidR="00541D05">
        <w:t xml:space="preserve"> </w:t>
      </w:r>
      <w:r w:rsidR="00D9258C" w:rsidRPr="00FD6A6A">
        <w:t>addition</w:t>
      </w:r>
      <w:r w:rsidR="00541D05">
        <w:t xml:space="preserve"> </w:t>
      </w:r>
      <w:r w:rsidR="00D9258C" w:rsidRPr="00FD6A6A">
        <w:t>of</w:t>
      </w:r>
      <w:r w:rsidR="00541D05">
        <w:t xml:space="preserve"> </w:t>
      </w:r>
      <w:r w:rsidR="00D9258C" w:rsidRPr="00FD6A6A">
        <w:t>bonus</w:t>
      </w:r>
      <w:r w:rsidR="00541D05">
        <w:t xml:space="preserve"> </w:t>
      </w:r>
      <w:r w:rsidR="00D9258C" w:rsidRPr="00FD6A6A">
        <w:t>to</w:t>
      </w:r>
      <w:r w:rsidR="00541D05">
        <w:t xml:space="preserve"> </w:t>
      </w:r>
      <w:r w:rsidR="00D9258C" w:rsidRPr="00FD6A6A">
        <w:t>their</w:t>
      </w:r>
      <w:r w:rsidR="00541D05">
        <w:t xml:space="preserve"> </w:t>
      </w:r>
      <w:r w:rsidR="00D9258C" w:rsidRPr="00FD6A6A">
        <w:t>college</w:t>
      </w:r>
      <w:r w:rsidR="00541D05">
        <w:t xml:space="preserve"> </w:t>
      </w:r>
      <w:r w:rsidR="00D9258C" w:rsidRPr="00FD6A6A">
        <w:t>entrance</w:t>
      </w:r>
      <w:r w:rsidR="00541D05">
        <w:t xml:space="preserve"> </w:t>
      </w:r>
      <w:r w:rsidR="00D9258C" w:rsidRPr="00FD6A6A">
        <w:t>exam</w:t>
      </w:r>
      <w:r w:rsidR="00541D05">
        <w:t xml:space="preserve"> </w:t>
      </w:r>
      <w:r w:rsidR="00D9258C" w:rsidRPr="00FD6A6A">
        <w:t>grade</w:t>
      </w:r>
      <w:r w:rsidR="00541D05">
        <w:t xml:space="preserve"> </w:t>
      </w:r>
      <w:r w:rsidR="00D9258C" w:rsidRPr="00FD6A6A">
        <w:t>or</w:t>
      </w:r>
      <w:r w:rsidR="00541D05">
        <w:t xml:space="preserve"> </w:t>
      </w:r>
      <w:r w:rsidR="00D9258C" w:rsidRPr="00FD6A6A">
        <w:t>through</w:t>
      </w:r>
      <w:r w:rsidR="00541D05">
        <w:t xml:space="preserve"> </w:t>
      </w:r>
      <w:r w:rsidR="00D9258C" w:rsidRPr="00FD6A6A">
        <w:t>the</w:t>
      </w:r>
      <w:r w:rsidR="00541D05">
        <w:t xml:space="preserve"> </w:t>
      </w:r>
      <w:r w:rsidR="00D9258C" w:rsidRPr="00FD6A6A">
        <w:t>division</w:t>
      </w:r>
      <w:r w:rsidR="00541D05">
        <w:t xml:space="preserve"> </w:t>
      </w:r>
      <w:r w:rsidR="00D9258C" w:rsidRPr="00FD6A6A">
        <w:t>of</w:t>
      </w:r>
      <w:r w:rsidR="00541D05">
        <w:t xml:space="preserve"> </w:t>
      </w:r>
      <w:r w:rsidR="00D9258C" w:rsidRPr="00FD6A6A">
        <w:t>the</w:t>
      </w:r>
      <w:r w:rsidR="00541D05">
        <w:t xml:space="preserve"> </w:t>
      </w:r>
      <w:r w:rsidR="00D9258C" w:rsidRPr="00FD6A6A">
        <w:t>exam</w:t>
      </w:r>
      <w:r w:rsidR="00541D05">
        <w:t xml:space="preserve"> </w:t>
      </w:r>
      <w:r w:rsidR="00D9258C" w:rsidRPr="00FD6A6A">
        <w:t>between</w:t>
      </w:r>
      <w:r w:rsidR="00541D05">
        <w:t xml:space="preserve"> </w:t>
      </w:r>
      <w:r w:rsidR="00D9258C" w:rsidRPr="00FD6A6A">
        <w:t>two</w:t>
      </w:r>
      <w:r w:rsidR="00541D05">
        <w:t xml:space="preserve"> </w:t>
      </w:r>
      <w:r w:rsidR="00D9258C" w:rsidRPr="00FD6A6A">
        <w:t>nom-competing</w:t>
      </w:r>
      <w:r w:rsidR="00541D05">
        <w:t xml:space="preserve"> </w:t>
      </w:r>
      <w:r w:rsidR="00D9258C" w:rsidRPr="00FD6A6A">
        <w:t>groups:</w:t>
      </w:r>
      <w:r w:rsidR="00541D05">
        <w:t xml:space="preserve"> </w:t>
      </w:r>
      <w:r w:rsidR="00D9258C" w:rsidRPr="00FD6A6A">
        <w:t>the</w:t>
      </w:r>
      <w:r w:rsidR="00541D05">
        <w:t xml:space="preserve"> </w:t>
      </w:r>
      <w:r w:rsidR="00D9258C" w:rsidRPr="00FD6A6A">
        <w:t>general</w:t>
      </w:r>
      <w:r w:rsidR="00541D05">
        <w:t xml:space="preserve"> </w:t>
      </w:r>
      <w:r w:rsidR="00D9258C" w:rsidRPr="00FD6A6A">
        <w:t>exam</w:t>
      </w:r>
      <w:r w:rsidR="00541D05">
        <w:t xml:space="preserve"> </w:t>
      </w:r>
      <w:r w:rsidR="00D9258C" w:rsidRPr="00FD6A6A">
        <w:t>for</w:t>
      </w:r>
      <w:r w:rsidR="00541D05">
        <w:t xml:space="preserve"> </w:t>
      </w:r>
      <w:r w:rsidR="00D9258C" w:rsidRPr="00FD6A6A">
        <w:t>the</w:t>
      </w:r>
      <w:r w:rsidR="00541D05">
        <w:t xml:space="preserve"> </w:t>
      </w:r>
      <w:r w:rsidR="00D9258C" w:rsidRPr="00FD6A6A">
        <w:t>extensive</w:t>
      </w:r>
      <w:r w:rsidR="00541D05">
        <w:t xml:space="preserve"> </w:t>
      </w:r>
      <w:r w:rsidR="00D9258C" w:rsidRPr="00FD6A6A">
        <w:t>competition</w:t>
      </w:r>
      <w:r w:rsidR="00541D05">
        <w:t xml:space="preserve"> </w:t>
      </w:r>
      <w:r w:rsidR="00D9258C" w:rsidRPr="00FD6A6A">
        <w:t>and</w:t>
      </w:r>
      <w:r w:rsidR="00541D05">
        <w:t xml:space="preserve"> </w:t>
      </w:r>
      <w:r w:rsidR="00D9258C" w:rsidRPr="00FD6A6A">
        <w:t>an</w:t>
      </w:r>
      <w:r w:rsidR="00541D05">
        <w:t xml:space="preserve"> </w:t>
      </w:r>
      <w:r w:rsidR="00D9258C" w:rsidRPr="00FD6A6A">
        <w:t>exam</w:t>
      </w:r>
      <w:r w:rsidR="00541D05">
        <w:t xml:space="preserve"> </w:t>
      </w:r>
      <w:r w:rsidR="00D9258C" w:rsidRPr="00FD6A6A">
        <w:t>specific</w:t>
      </w:r>
      <w:r w:rsidR="00541D05">
        <w:t xml:space="preserve"> </w:t>
      </w:r>
      <w:r w:rsidR="00D9258C" w:rsidRPr="00FD6A6A">
        <w:t>for</w:t>
      </w:r>
      <w:r w:rsidR="00541D05">
        <w:t xml:space="preserve"> </w:t>
      </w:r>
      <w:r w:rsidR="00D9258C" w:rsidRPr="00FD6A6A">
        <w:t>reserved</w:t>
      </w:r>
      <w:r w:rsidR="00541D05">
        <w:t xml:space="preserve"> </w:t>
      </w:r>
      <w:r w:rsidR="00D9258C" w:rsidRPr="00FD6A6A">
        <w:t>vacancies.</w:t>
      </w:r>
      <w:r w:rsidR="00541D05">
        <w:t xml:space="preserve"> </w:t>
      </w:r>
      <w:r w:rsidR="00D9258C" w:rsidRPr="00FD6A6A">
        <w:t>The</w:t>
      </w:r>
      <w:r w:rsidR="00541D05">
        <w:t xml:space="preserve"> </w:t>
      </w:r>
      <w:r w:rsidR="00D9258C" w:rsidRPr="00FD6A6A">
        <w:t>latter</w:t>
      </w:r>
      <w:r w:rsidR="00541D05">
        <w:t xml:space="preserve"> </w:t>
      </w:r>
      <w:r w:rsidR="00D9258C" w:rsidRPr="00FD6A6A">
        <w:t>was</w:t>
      </w:r>
      <w:r w:rsidR="00541D05">
        <w:t xml:space="preserve"> </w:t>
      </w:r>
      <w:r w:rsidR="00D9258C" w:rsidRPr="00FD6A6A">
        <w:t>predominant</w:t>
      </w:r>
      <w:r w:rsidR="00541D05">
        <w:t xml:space="preserve"> </w:t>
      </w:r>
      <w:r w:rsidR="00D9258C" w:rsidRPr="00FD6A6A">
        <w:t>throughout</w:t>
      </w:r>
      <w:r w:rsidR="00541D05">
        <w:t xml:space="preserve"> </w:t>
      </w:r>
      <w:r w:rsidR="00D9258C" w:rsidRPr="00FD6A6A">
        <w:t>the</w:t>
      </w:r>
      <w:r w:rsidR="00541D05">
        <w:t xml:space="preserve"> </w:t>
      </w:r>
      <w:r w:rsidR="00D9258C" w:rsidRPr="00FD6A6A">
        <w:t>country</w:t>
      </w:r>
      <w:r w:rsidR="00541D05">
        <w:t xml:space="preserve"> </w:t>
      </w:r>
      <w:r w:rsidR="00D9258C" w:rsidRPr="00FD6A6A">
        <w:t>between</w:t>
      </w:r>
      <w:r w:rsidR="00541D05">
        <w:t xml:space="preserve"> </w:t>
      </w:r>
      <w:r w:rsidR="00D9258C" w:rsidRPr="00FD6A6A">
        <w:t>2002</w:t>
      </w:r>
      <w:r w:rsidR="00541D05">
        <w:t xml:space="preserve"> </w:t>
      </w:r>
      <w:r w:rsidR="00D9258C" w:rsidRPr="00FD6A6A">
        <w:t>and</w:t>
      </w:r>
      <w:r w:rsidR="00541D05">
        <w:t xml:space="preserve"> </w:t>
      </w:r>
      <w:r w:rsidR="00D9258C" w:rsidRPr="00FD6A6A">
        <w:t>2011.</w:t>
      </w:r>
    </w:p>
    <w:p w14:paraId="78981A69" w14:textId="7F3E3FF2" w:rsidR="00D9258C" w:rsidRPr="00FD6A6A" w:rsidRDefault="00166390" w:rsidP="00166390">
      <w:pPr>
        <w:pStyle w:val="ParaNoG"/>
        <w:numPr>
          <w:ilvl w:val="0"/>
          <w:numId w:val="0"/>
        </w:numPr>
        <w:tabs>
          <w:tab w:val="left" w:pos="0"/>
        </w:tabs>
        <w:ind w:left="1134"/>
      </w:pPr>
      <w:r w:rsidRPr="00FD6A6A">
        <w:lastRenderedPageBreak/>
        <w:t>84.</w:t>
      </w:r>
      <w:r w:rsidRPr="00FD6A6A">
        <w:tab/>
      </w:r>
      <w:r w:rsidR="00D9258C" w:rsidRPr="00FD6A6A">
        <w:t>Until</w:t>
      </w:r>
      <w:r w:rsidR="00541D05">
        <w:t xml:space="preserve"> </w:t>
      </w:r>
      <w:r w:rsidR="00D9258C" w:rsidRPr="00FD6A6A">
        <w:t>2011,</w:t>
      </w:r>
      <w:r w:rsidR="00541D05">
        <w:t xml:space="preserve"> </w:t>
      </w:r>
      <w:r w:rsidR="00D9258C" w:rsidRPr="00FD6A6A">
        <w:t>federal</w:t>
      </w:r>
      <w:r w:rsidR="00541D05">
        <w:t xml:space="preserve"> </w:t>
      </w:r>
      <w:r w:rsidR="00D9258C" w:rsidRPr="00FD6A6A">
        <w:t>universities</w:t>
      </w:r>
      <w:r w:rsidR="00541D05">
        <w:t xml:space="preserve"> </w:t>
      </w:r>
      <w:r w:rsidR="00D9258C" w:rsidRPr="00FD6A6A">
        <w:t>allocated</w:t>
      </w:r>
      <w:r w:rsidR="00541D05">
        <w:t xml:space="preserve"> </w:t>
      </w:r>
      <w:r w:rsidR="00D9258C" w:rsidRPr="00FD6A6A">
        <w:t>their</w:t>
      </w:r>
      <w:r w:rsidR="00541D05">
        <w:t xml:space="preserve"> </w:t>
      </w:r>
      <w:r w:rsidR="00D9258C" w:rsidRPr="00FD6A6A">
        <w:t>vacancies</w:t>
      </w:r>
      <w:r w:rsidR="00541D05">
        <w:t xml:space="preserve"> </w:t>
      </w:r>
      <w:r w:rsidR="00D9258C" w:rsidRPr="00FD6A6A">
        <w:t>pursuant</w:t>
      </w:r>
      <w:r w:rsidR="00541D05">
        <w:t xml:space="preserve"> </w:t>
      </w:r>
      <w:r w:rsidR="00D9258C" w:rsidRPr="00FD6A6A">
        <w:t>to</w:t>
      </w:r>
      <w:r w:rsidR="00541D05">
        <w:t xml:space="preserve"> </w:t>
      </w:r>
      <w:r w:rsidR="00D9258C" w:rsidRPr="00FD6A6A">
        <w:t>their</w:t>
      </w:r>
      <w:r w:rsidR="00541D05">
        <w:t xml:space="preserve"> </w:t>
      </w:r>
      <w:r w:rsidR="00D9258C" w:rsidRPr="00FD6A6A">
        <w:t>own</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w:t>
      </w:r>
      <w:r w:rsidR="00541D05">
        <w:t xml:space="preserve"> </w:t>
      </w:r>
      <w:r w:rsidR="00D9258C" w:rsidRPr="00FD6A6A">
        <w:t>defined</w:t>
      </w:r>
      <w:r w:rsidR="00541D05">
        <w:t xml:space="preserve"> </w:t>
      </w:r>
      <w:r w:rsidR="00D9258C" w:rsidRPr="00FD6A6A">
        <w:t>by</w:t>
      </w:r>
      <w:r w:rsidR="00541D05">
        <w:t xml:space="preserve"> </w:t>
      </w:r>
      <w:r w:rsidR="00D9258C" w:rsidRPr="00FD6A6A">
        <w:t>the</w:t>
      </w:r>
      <w:r w:rsidR="00541D05">
        <w:t xml:space="preserve"> </w:t>
      </w:r>
      <w:r w:rsidR="00D9258C" w:rsidRPr="00FD6A6A">
        <w:t>members</w:t>
      </w:r>
      <w:r w:rsidR="00541D05">
        <w:t xml:space="preserve"> </w:t>
      </w:r>
      <w:r w:rsidR="00D9258C" w:rsidRPr="00FD6A6A">
        <w:t>of</w:t>
      </w:r>
      <w:r w:rsidR="00541D05">
        <w:t xml:space="preserve"> </w:t>
      </w:r>
      <w:r w:rsidR="00D9258C" w:rsidRPr="00FD6A6A">
        <w:t>their</w:t>
      </w:r>
      <w:r w:rsidR="00541D05">
        <w:t xml:space="preserve"> </w:t>
      </w:r>
      <w:r w:rsidR="00D9258C" w:rsidRPr="00FD6A6A">
        <w:t>higher</w:t>
      </w:r>
      <w:r w:rsidR="00541D05">
        <w:t xml:space="preserve"> </w:t>
      </w:r>
      <w:r w:rsidR="00D9258C" w:rsidRPr="00FD6A6A">
        <w:t>decision-making</w:t>
      </w:r>
      <w:r w:rsidR="00541D05">
        <w:t xml:space="preserve"> </w:t>
      </w:r>
      <w:r w:rsidR="00D9258C" w:rsidRPr="00FD6A6A">
        <w:t>bodies.</w:t>
      </w:r>
      <w:r w:rsidR="00541D05">
        <w:t xml:space="preserve"> </w:t>
      </w:r>
      <w:r w:rsidR="00D9258C" w:rsidRPr="00FD6A6A">
        <w:t>However,</w:t>
      </w:r>
      <w:r w:rsidR="00541D05">
        <w:t xml:space="preserve"> </w:t>
      </w:r>
      <w:r w:rsidR="00D9258C" w:rsidRPr="00FD6A6A">
        <w:t>the</w:t>
      </w:r>
      <w:r w:rsidR="00541D05">
        <w:t xml:space="preserve"> </w:t>
      </w:r>
      <w:r w:rsidR="00D9258C" w:rsidRPr="00FD6A6A">
        <w:t>sanction</w:t>
      </w:r>
      <w:r w:rsidR="00541D05">
        <w:t xml:space="preserve"> </w:t>
      </w:r>
      <w:r w:rsidR="00D9258C" w:rsidRPr="00FD6A6A">
        <w:t>of</w:t>
      </w:r>
      <w:r w:rsidR="00541D05">
        <w:t xml:space="preserve"> </w:t>
      </w:r>
      <w:r w:rsidR="00D9258C" w:rsidRPr="00FD6A6A">
        <w:t>Law</w:t>
      </w:r>
      <w:r w:rsidR="00541D05">
        <w:t xml:space="preserve"> </w:t>
      </w:r>
      <w:r w:rsidR="00D9258C" w:rsidRPr="00FD6A6A">
        <w:t>12.711</w:t>
      </w:r>
      <w:r w:rsidR="00541D05">
        <w:t xml:space="preserve"> </w:t>
      </w:r>
      <w:r w:rsidR="00D9258C" w:rsidRPr="00FD6A6A">
        <w:t>changed</w:t>
      </w:r>
      <w:r w:rsidR="00541D05">
        <w:t xml:space="preserve"> </w:t>
      </w:r>
      <w:r w:rsidR="00D9258C" w:rsidRPr="00FD6A6A">
        <w:t>this</w:t>
      </w:r>
      <w:r w:rsidR="00541D05">
        <w:t xml:space="preserve"> </w:t>
      </w:r>
      <w:r w:rsidR="00D9258C" w:rsidRPr="00FD6A6A">
        <w:t>reality,</w:t>
      </w:r>
      <w:r w:rsidR="00541D05">
        <w:t xml:space="preserve"> </w:t>
      </w:r>
      <w:r w:rsidR="00D9258C" w:rsidRPr="00FD6A6A">
        <w:t>standardizing</w:t>
      </w:r>
      <w:r w:rsidR="00541D05">
        <w:t xml:space="preserve"> </w:t>
      </w:r>
      <w:r w:rsidR="00D9258C" w:rsidRPr="00FD6A6A">
        <w:t>the</w:t>
      </w:r>
      <w:r w:rsidR="00541D05">
        <w:t xml:space="preserve"> </w:t>
      </w:r>
      <w:r w:rsidR="00D9258C" w:rsidRPr="00FD6A6A">
        <w:t>system</w:t>
      </w:r>
      <w:r w:rsidR="00541D05">
        <w:t xml:space="preserve"> </w:t>
      </w:r>
      <w:r w:rsidR="00D9258C" w:rsidRPr="00FD6A6A">
        <w:t>and</w:t>
      </w:r>
      <w:r w:rsidR="00541D05">
        <w:t xml:space="preserve"> </w:t>
      </w:r>
      <w:r w:rsidR="00D9258C" w:rsidRPr="00FD6A6A">
        <w:t>setting</w:t>
      </w:r>
      <w:r w:rsidR="00541D05">
        <w:t xml:space="preserve"> </w:t>
      </w:r>
      <w:r w:rsidR="00D9258C" w:rsidRPr="00FD6A6A">
        <w:t>goals.</w:t>
      </w:r>
      <w:r w:rsidR="00541D05">
        <w:t xml:space="preserve"> </w:t>
      </w:r>
      <w:r w:rsidR="00D9258C" w:rsidRPr="00FD6A6A">
        <w:t>Such</w:t>
      </w:r>
      <w:r w:rsidR="00541D05">
        <w:t xml:space="preserve"> </w:t>
      </w:r>
      <w:r w:rsidR="00D9258C" w:rsidRPr="00FD6A6A">
        <w:t>law,</w:t>
      </w:r>
      <w:r w:rsidR="00541D05">
        <w:t xml:space="preserve"> </w:t>
      </w:r>
      <w:r w:rsidR="00D9258C" w:rsidRPr="00FD6A6A">
        <w:t>by</w:t>
      </w:r>
      <w:r w:rsidR="00541D05">
        <w:t xml:space="preserve"> </w:t>
      </w:r>
      <w:r w:rsidR="00D9258C" w:rsidRPr="00FD6A6A">
        <w:t>obligating</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the</w:t>
      </w:r>
      <w:r w:rsidR="00541D05">
        <w:t xml:space="preserve"> </w:t>
      </w:r>
      <w:r w:rsidR="00D9258C" w:rsidRPr="00FD6A6A">
        <w:t>policy,</w:t>
      </w:r>
      <w:r w:rsidR="00541D05">
        <w:t xml:space="preserve"> </w:t>
      </w:r>
      <w:r w:rsidR="00D9258C" w:rsidRPr="00FD6A6A">
        <w:t>ensured</w:t>
      </w:r>
      <w:r w:rsidR="00541D05">
        <w:t xml:space="preserve"> </w:t>
      </w:r>
      <w:r w:rsidR="00D9258C" w:rsidRPr="00FD6A6A">
        <w:t>that</w:t>
      </w:r>
      <w:r w:rsidR="00541D05">
        <w:t xml:space="preserve"> </w:t>
      </w:r>
      <w:r w:rsidR="00D9258C" w:rsidRPr="00FD6A6A">
        <w:t>quotas</w:t>
      </w:r>
      <w:r w:rsidR="00541D05">
        <w:t xml:space="preserve"> </w:t>
      </w:r>
      <w:r w:rsidR="00D9258C" w:rsidRPr="00FD6A6A">
        <w:t>were</w:t>
      </w:r>
      <w:r w:rsidR="00541D05">
        <w:t xml:space="preserve"> </w:t>
      </w:r>
      <w:r w:rsidR="00D9258C" w:rsidRPr="00FD6A6A">
        <w:t>increased</w:t>
      </w:r>
      <w:r w:rsidR="00541D05">
        <w:t xml:space="preserve"> </w:t>
      </w:r>
      <w:r w:rsidR="00D9258C" w:rsidRPr="00FD6A6A">
        <w:t>to</w:t>
      </w:r>
      <w:r w:rsidR="00541D05">
        <w:t xml:space="preserve"> </w:t>
      </w:r>
      <w:r w:rsidR="00D9258C" w:rsidRPr="00FD6A6A">
        <w:t>31%</w:t>
      </w:r>
      <w:r w:rsidR="00541D05">
        <w:t xml:space="preserve"> </w:t>
      </w:r>
      <w:r w:rsidR="00D9258C" w:rsidRPr="00FD6A6A">
        <w:t>of</w:t>
      </w:r>
      <w:r w:rsidR="00541D05">
        <w:t xml:space="preserve"> </w:t>
      </w:r>
      <w:r w:rsidR="00D9258C" w:rsidRPr="00FD6A6A">
        <w:t>the</w:t>
      </w:r>
      <w:r w:rsidR="00541D05">
        <w:t xml:space="preserve"> </w:t>
      </w:r>
      <w:r w:rsidR="00D9258C" w:rsidRPr="00FD6A6A">
        <w:t>federal</w:t>
      </w:r>
      <w:r w:rsidR="00541D05">
        <w:t xml:space="preserve"> </w:t>
      </w:r>
      <w:r w:rsidR="00D9258C" w:rsidRPr="00FD6A6A">
        <w:t>higher</w:t>
      </w:r>
      <w:r w:rsidR="00541D05">
        <w:t xml:space="preserve"> </w:t>
      </w:r>
      <w:r w:rsidR="00D9258C" w:rsidRPr="00FD6A6A">
        <w:t>education</w:t>
      </w:r>
      <w:r w:rsidR="00541D05">
        <w:t xml:space="preserve"> </w:t>
      </w:r>
      <w:r w:rsidR="00D9258C" w:rsidRPr="00FD6A6A">
        <w:t>network,</w:t>
      </w:r>
      <w:r w:rsidR="00541D05">
        <w:t xml:space="preserve"> </w:t>
      </w:r>
      <w:r w:rsidR="00D9258C" w:rsidRPr="00FD6A6A">
        <w:t>which,</w:t>
      </w:r>
      <w:r w:rsidR="00541D05">
        <w:t xml:space="preserve"> </w:t>
      </w:r>
      <w:r w:rsidR="00D9258C" w:rsidRPr="00FD6A6A">
        <w:t>until</w:t>
      </w:r>
      <w:r w:rsidR="00541D05">
        <w:t xml:space="preserve"> </w:t>
      </w:r>
      <w:r w:rsidR="00D9258C" w:rsidRPr="00FD6A6A">
        <w:t>then,</w:t>
      </w:r>
      <w:r w:rsidR="00541D05">
        <w:t xml:space="preserve"> </w:t>
      </w:r>
      <w:r w:rsidR="00D9258C" w:rsidRPr="00FD6A6A">
        <w:t>had</w:t>
      </w:r>
      <w:r w:rsidR="00541D05">
        <w:t xml:space="preserve"> </w:t>
      </w:r>
      <w:r w:rsidR="00D9258C" w:rsidRPr="00FD6A6A">
        <w:t>not</w:t>
      </w:r>
      <w:r w:rsidR="00541D05">
        <w:t xml:space="preserve"> </w:t>
      </w:r>
      <w:r w:rsidR="00D9258C" w:rsidRPr="00FD6A6A">
        <w:t>adhered</w:t>
      </w:r>
      <w:r w:rsidR="00541D05">
        <w:t xml:space="preserve"> </w:t>
      </w:r>
      <w:r w:rsidR="00D9258C" w:rsidRPr="00FD6A6A">
        <w:t>to</w:t>
      </w:r>
      <w:r w:rsidR="00541D05">
        <w:t xml:space="preserve"> </w:t>
      </w:r>
      <w:r w:rsidR="00D9258C" w:rsidRPr="00FD6A6A">
        <w:t>any</w:t>
      </w:r>
      <w:r w:rsidR="00541D05">
        <w:t xml:space="preserve"> </w:t>
      </w:r>
      <w:r w:rsidR="00D9258C" w:rsidRPr="00FD6A6A">
        <w:t>type</w:t>
      </w:r>
      <w:r w:rsidR="00541D05">
        <w:t xml:space="preserve"> </w:t>
      </w:r>
      <w:r w:rsidR="00D9258C" w:rsidRPr="00FD6A6A">
        <w:t>of</w:t>
      </w:r>
      <w:r w:rsidR="00541D05">
        <w:t xml:space="preserve"> </w:t>
      </w:r>
      <w:r w:rsidR="00D9258C" w:rsidRPr="00FD6A6A">
        <w:t>vacancy</w:t>
      </w:r>
      <w:r w:rsidR="00541D05">
        <w:t xml:space="preserve"> </w:t>
      </w:r>
      <w:r w:rsidR="00D9258C" w:rsidRPr="00FD6A6A">
        <w:t>reservation.</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vacancies</w:t>
      </w:r>
      <w:r w:rsidR="00541D05">
        <w:t xml:space="preserve"> </w:t>
      </w:r>
      <w:r w:rsidR="00D9258C" w:rsidRPr="00FD6A6A">
        <w:t>reserved</w:t>
      </w:r>
      <w:r w:rsidR="00541D05">
        <w:t xml:space="preserve"> </w:t>
      </w:r>
      <w:r w:rsidR="00D9258C" w:rsidRPr="00FD6A6A">
        <w:t>for</w:t>
      </w:r>
      <w:r w:rsidR="00541D05">
        <w:t xml:space="preserve"> </w:t>
      </w:r>
      <w:r w:rsidR="00D9258C" w:rsidRPr="00FD6A6A">
        <w:t>the</w:t>
      </w:r>
      <w:r w:rsidR="00541D05">
        <w:t xml:space="preserve"> </w:t>
      </w:r>
      <w:r w:rsidR="00D9258C" w:rsidRPr="00FD6A6A">
        <w:t>policy</w:t>
      </w:r>
      <w:r w:rsidR="00541D05">
        <w:t xml:space="preserve"> </w:t>
      </w:r>
      <w:r w:rsidR="00D9258C" w:rsidRPr="00FD6A6A">
        <w:t>beneficiaries</w:t>
      </w:r>
      <w:r w:rsidR="00541D05">
        <w:t xml:space="preserve"> </w:t>
      </w:r>
      <w:r w:rsidR="00D9258C" w:rsidRPr="00FD6A6A">
        <w:t>increased</w:t>
      </w:r>
      <w:r w:rsidR="00541D05">
        <w:t xml:space="preserve"> </w:t>
      </w:r>
      <w:r w:rsidR="00D9258C" w:rsidRPr="00FD6A6A">
        <w:t>from</w:t>
      </w:r>
      <w:r w:rsidR="00541D05">
        <w:t xml:space="preserve"> </w:t>
      </w:r>
      <w:r w:rsidR="00D9258C" w:rsidRPr="00FD6A6A">
        <w:t>140,303</w:t>
      </w:r>
      <w:r w:rsidR="00541D05">
        <w:t xml:space="preserve"> </w:t>
      </w:r>
      <w:r w:rsidR="00D9258C" w:rsidRPr="00FD6A6A">
        <w:t>to</w:t>
      </w:r>
      <w:r w:rsidR="00541D05">
        <w:t xml:space="preserve"> </w:t>
      </w:r>
      <w:r w:rsidR="00D9258C" w:rsidRPr="00FD6A6A">
        <w:t>247,950</w:t>
      </w:r>
      <w:r w:rsidR="00541D05">
        <w:t xml:space="preserve"> </w:t>
      </w:r>
      <w:r w:rsidR="00D9258C" w:rsidRPr="00FD6A6A">
        <w:t>during</w:t>
      </w:r>
      <w:r w:rsidR="00541D05">
        <w:t xml:space="preserve"> </w:t>
      </w:r>
      <w:r w:rsidR="00D9258C" w:rsidRPr="00FD6A6A">
        <w:t>the</w:t>
      </w:r>
      <w:r w:rsidR="00541D05">
        <w:t xml:space="preserve"> </w:t>
      </w:r>
      <w:r w:rsidR="00D9258C" w:rsidRPr="00FD6A6A">
        <w:t>period</w:t>
      </w:r>
      <w:r w:rsidR="00541D05">
        <w:t xml:space="preserve"> </w:t>
      </w:r>
      <w:r w:rsidR="00D9258C" w:rsidRPr="00FD6A6A">
        <w:t>between</w:t>
      </w:r>
      <w:r w:rsidR="00541D05">
        <w:t xml:space="preserve"> </w:t>
      </w:r>
      <w:r w:rsidR="00D9258C" w:rsidRPr="00FD6A6A">
        <w:t>2012</w:t>
      </w:r>
      <w:r w:rsidR="00541D05">
        <w:t xml:space="preserve"> </w:t>
      </w:r>
      <w:r w:rsidR="00D9258C" w:rsidRPr="00FD6A6A">
        <w:t>and</w:t>
      </w:r>
      <w:r w:rsidR="00541D05">
        <w:t xml:space="preserve"> </w:t>
      </w:r>
      <w:r w:rsidR="00D9258C" w:rsidRPr="00FD6A6A">
        <w:t>2015.</w:t>
      </w:r>
    </w:p>
    <w:p w14:paraId="7E3A36BD" w14:textId="64CBF336" w:rsidR="00D9258C" w:rsidRPr="00FD6A6A" w:rsidRDefault="00166390" w:rsidP="00166390">
      <w:pPr>
        <w:pStyle w:val="ParaNoG"/>
        <w:numPr>
          <w:ilvl w:val="0"/>
          <w:numId w:val="0"/>
        </w:numPr>
        <w:tabs>
          <w:tab w:val="left" w:pos="0"/>
        </w:tabs>
        <w:ind w:left="1134"/>
      </w:pPr>
      <w:r w:rsidRPr="00FD6A6A">
        <w:t>85.</w:t>
      </w:r>
      <w:r w:rsidRPr="00FD6A6A">
        <w:tab/>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expansion</w:t>
      </w:r>
      <w:r w:rsidR="00541D05">
        <w:t xml:space="preserve"> </w:t>
      </w:r>
      <w:r w:rsidR="00D9258C" w:rsidRPr="00FD6A6A">
        <w:t>in</w:t>
      </w:r>
      <w:r w:rsidR="00541D05">
        <w:t xml:space="preserve"> </w:t>
      </w:r>
      <w:r w:rsidR="00D9258C" w:rsidRPr="00FD6A6A">
        <w:t>private</w:t>
      </w:r>
      <w:r w:rsidR="00541D05">
        <w:t xml:space="preserve"> </w:t>
      </w:r>
      <w:r w:rsidR="00D9258C" w:rsidRPr="00FD6A6A">
        <w:t>higher</w:t>
      </w:r>
      <w:r w:rsidR="00541D05">
        <w:t xml:space="preserve"> </w:t>
      </w:r>
      <w:r w:rsidR="00D9258C" w:rsidRPr="00FD6A6A">
        <w:t>education</w:t>
      </w:r>
      <w:r w:rsidR="00541D05">
        <w:t xml:space="preserve"> </w:t>
      </w:r>
      <w:r w:rsidR="00D9258C" w:rsidRPr="00FD6A6A">
        <w:t>occurred</w:t>
      </w:r>
      <w:r w:rsidR="00541D05">
        <w:t xml:space="preserve"> </w:t>
      </w:r>
      <w:r w:rsidR="00D9258C" w:rsidRPr="00FD6A6A">
        <w:t>through</w:t>
      </w:r>
      <w:r w:rsidR="00541D05">
        <w:t xml:space="preserve"> </w:t>
      </w:r>
      <w:r w:rsidR="00D9258C" w:rsidRPr="00FD6A6A">
        <w:t>the</w:t>
      </w:r>
      <w:r w:rsidR="00541D05">
        <w:t xml:space="preserve"> </w:t>
      </w:r>
      <w:r w:rsidR="00D9258C" w:rsidRPr="00FD6A6A">
        <w:t>Universidade</w:t>
      </w:r>
      <w:r w:rsidR="00541D05">
        <w:t xml:space="preserve"> </w:t>
      </w:r>
      <w:r w:rsidR="00D9258C" w:rsidRPr="00FD6A6A">
        <w:t>para</w:t>
      </w:r>
      <w:r w:rsidR="00541D05">
        <w:t xml:space="preserve"> </w:t>
      </w:r>
      <w:r w:rsidR="00D9258C" w:rsidRPr="00FD6A6A">
        <w:t>Todos</w:t>
      </w:r>
      <w:r w:rsidR="00541D05">
        <w:t xml:space="preserve"> </w:t>
      </w:r>
      <w:r w:rsidR="00D9258C" w:rsidRPr="00FD6A6A">
        <w:t>Program</w:t>
      </w:r>
      <w:r w:rsidR="00541D05">
        <w:t xml:space="preserve"> </w:t>
      </w:r>
      <w:r w:rsidR="00D9258C" w:rsidRPr="00FD6A6A">
        <w:t>(ProUni).</w:t>
      </w:r>
      <w:r w:rsidR="00541D05">
        <w:t xml:space="preserve"> </w:t>
      </w:r>
      <w:r w:rsidR="00D9258C" w:rsidRPr="00FD6A6A">
        <w:t>This</w:t>
      </w:r>
      <w:r w:rsidR="00541D05">
        <w:t xml:space="preserve"> </w:t>
      </w:r>
      <w:r w:rsidR="00D9258C" w:rsidRPr="00FD6A6A">
        <w:t>program</w:t>
      </w:r>
      <w:r w:rsidR="00541D05">
        <w:t xml:space="preserve"> </w:t>
      </w:r>
      <w:r w:rsidR="00D9258C" w:rsidRPr="00FD6A6A">
        <w:t>aims</w:t>
      </w:r>
      <w:r w:rsidR="00541D05">
        <w:t xml:space="preserve"> </w:t>
      </w:r>
      <w:r w:rsidR="00D9258C" w:rsidRPr="00FD6A6A">
        <w:t>at</w:t>
      </w:r>
      <w:r w:rsidR="00541D05">
        <w:t xml:space="preserve"> </w:t>
      </w:r>
      <w:r w:rsidR="00D9258C" w:rsidRPr="00FD6A6A">
        <w:t>granting</w:t>
      </w:r>
      <w:r w:rsidR="00541D05">
        <w:t xml:space="preserve"> </w:t>
      </w:r>
      <w:r w:rsidR="00D9258C" w:rsidRPr="00FD6A6A">
        <w:t>partial</w:t>
      </w:r>
      <w:r w:rsidR="00541D05">
        <w:t xml:space="preserve"> </w:t>
      </w:r>
      <w:r w:rsidR="00D9258C" w:rsidRPr="00FD6A6A">
        <w:t>and</w:t>
      </w:r>
      <w:r w:rsidR="00541D05">
        <w:t xml:space="preserve"> </w:t>
      </w:r>
      <w:r w:rsidR="00D9258C" w:rsidRPr="00FD6A6A">
        <w:t>full</w:t>
      </w:r>
      <w:r w:rsidR="00541D05">
        <w:t xml:space="preserve"> </w:t>
      </w:r>
      <w:r w:rsidR="00D9258C" w:rsidRPr="00FD6A6A">
        <w:t>scholarships</w:t>
      </w:r>
      <w:r w:rsidR="00541D05">
        <w:t xml:space="preserve"> </w:t>
      </w:r>
      <w:r w:rsidR="00D9258C" w:rsidRPr="00FD6A6A">
        <w:t>for</w:t>
      </w:r>
      <w:r w:rsidR="00541D05">
        <w:t xml:space="preserve"> </w:t>
      </w:r>
      <w:r w:rsidR="00D9258C" w:rsidRPr="00FD6A6A">
        <w:t>courses</w:t>
      </w:r>
      <w:r w:rsidR="00541D05">
        <w:t xml:space="preserve"> </w:t>
      </w:r>
      <w:r w:rsidR="00D9258C" w:rsidRPr="00FD6A6A">
        <w:t>offered</w:t>
      </w:r>
      <w:r w:rsidR="00541D05">
        <w:t xml:space="preserve"> </w:t>
      </w:r>
      <w:r w:rsidR="00D9258C" w:rsidRPr="00FD6A6A">
        <w:t>by</w:t>
      </w:r>
      <w:r w:rsidR="00541D05">
        <w:t xml:space="preserve"> </w:t>
      </w:r>
      <w:r w:rsidR="00D9258C" w:rsidRPr="00FD6A6A">
        <w:t>the</w:t>
      </w:r>
      <w:r w:rsidR="00541D05">
        <w:t xml:space="preserve"> </w:t>
      </w:r>
      <w:r w:rsidR="00D9258C" w:rsidRPr="00FD6A6A">
        <w:t>private</w:t>
      </w:r>
      <w:r w:rsidR="00541D05">
        <w:t xml:space="preserve"> </w:t>
      </w:r>
      <w:r w:rsidR="00D9258C" w:rsidRPr="00FD6A6A">
        <w:t>higher</w:t>
      </w:r>
      <w:r w:rsidR="00541D05">
        <w:t xml:space="preserve"> </w:t>
      </w:r>
      <w:r w:rsidR="00D9258C" w:rsidRPr="00FD6A6A">
        <w:t>education</w:t>
      </w:r>
      <w:r w:rsidR="00541D05">
        <w:t xml:space="preserve"> </w:t>
      </w:r>
      <w:r w:rsidR="00D9258C" w:rsidRPr="00FD6A6A">
        <w:t>network.</w:t>
      </w:r>
      <w:r w:rsidR="00541D05">
        <w:t xml:space="preserve"> </w:t>
      </w:r>
      <w:r w:rsidR="00D9258C" w:rsidRPr="00FD6A6A">
        <w:t>Formally</w:t>
      </w:r>
      <w:r w:rsidR="00541D05">
        <w:t xml:space="preserve"> </w:t>
      </w:r>
      <w:r w:rsidR="00D9258C" w:rsidRPr="00FD6A6A">
        <w:t>created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11,096/2005,</w:t>
      </w:r>
      <w:r w:rsidR="00541D05">
        <w:t xml:space="preserve"> </w:t>
      </w:r>
      <w:r w:rsidR="00D9258C" w:rsidRPr="00FD6A6A">
        <w:t>the</w:t>
      </w:r>
      <w:r w:rsidR="00541D05">
        <w:t xml:space="preserve"> </w:t>
      </w:r>
      <w:r w:rsidR="00D9258C" w:rsidRPr="00FD6A6A">
        <w:t>program</w:t>
      </w:r>
      <w:r w:rsidR="00541D05">
        <w:t xml:space="preserve"> </w:t>
      </w:r>
      <w:r w:rsidR="00D9258C" w:rsidRPr="00FD6A6A">
        <w:t>is</w:t>
      </w:r>
      <w:r w:rsidR="00541D05">
        <w:t xml:space="preserve"> </w:t>
      </w:r>
      <w:r w:rsidR="00D9258C" w:rsidRPr="00FD6A6A">
        <w:t>aimed</w:t>
      </w:r>
      <w:r w:rsidR="00541D05">
        <w:t xml:space="preserve"> </w:t>
      </w:r>
      <w:r w:rsidR="00D9258C" w:rsidRPr="00FD6A6A">
        <w:t>at</w:t>
      </w:r>
      <w:r w:rsidR="00541D05">
        <w:t xml:space="preserve"> </w:t>
      </w:r>
      <w:r w:rsidR="00D9258C" w:rsidRPr="00FD6A6A">
        <w:t>students</w:t>
      </w:r>
      <w:r w:rsidR="00541D05">
        <w:t xml:space="preserve"> </w:t>
      </w:r>
      <w:r w:rsidR="00D9258C" w:rsidRPr="00FD6A6A">
        <w:t>with</w:t>
      </w:r>
      <w:r w:rsidR="00541D05">
        <w:t xml:space="preserve"> </w:t>
      </w:r>
      <w:r w:rsidR="00D9258C" w:rsidRPr="00FD6A6A">
        <w:t>a</w:t>
      </w:r>
      <w:r w:rsidR="00541D05">
        <w:t xml:space="preserve"> </w:t>
      </w:r>
      <w:r w:rsidR="00D9258C" w:rsidRPr="00FD6A6A">
        <w:t>maximum</w:t>
      </w:r>
      <w:r w:rsidR="00541D05">
        <w:t xml:space="preserve"> </w:t>
      </w:r>
      <w:r w:rsidR="00D9258C" w:rsidRPr="00FD6A6A">
        <w:t>income</w:t>
      </w:r>
      <w:r w:rsidR="00541D05">
        <w:t xml:space="preserve"> </w:t>
      </w:r>
      <w:r w:rsidR="00D9258C" w:rsidRPr="00FD6A6A">
        <w:t>per</w:t>
      </w:r>
      <w:r w:rsidR="00541D05">
        <w:t xml:space="preserve"> </w:t>
      </w:r>
      <w:r w:rsidR="00D9258C" w:rsidRPr="00FD6A6A">
        <w:t>capita</w:t>
      </w:r>
      <w:r w:rsidR="00541D05">
        <w:t xml:space="preserve"> </w:t>
      </w:r>
      <w:r w:rsidR="00D9258C" w:rsidRPr="00FD6A6A">
        <w:t>of</w:t>
      </w:r>
      <w:r w:rsidR="00541D05">
        <w:t xml:space="preserve"> </w:t>
      </w:r>
      <w:r w:rsidR="00D9258C" w:rsidRPr="00FD6A6A">
        <w:t>three</w:t>
      </w:r>
      <w:r w:rsidR="00541D05">
        <w:t xml:space="preserve"> </w:t>
      </w:r>
      <w:r w:rsidR="00D9258C" w:rsidRPr="00FD6A6A">
        <w:t>minimum</w:t>
      </w:r>
      <w:r w:rsidR="00541D05">
        <w:t xml:space="preserve"> </w:t>
      </w:r>
      <w:r w:rsidR="00D9258C" w:rsidRPr="00FD6A6A">
        <w:t>wages</w:t>
      </w:r>
      <w:r w:rsidR="00541D05">
        <w:t xml:space="preserve"> </w:t>
      </w:r>
      <w:r w:rsidR="00D9258C" w:rsidRPr="00FD6A6A">
        <w:t>selected</w:t>
      </w:r>
      <w:r w:rsidR="00541D05">
        <w:t xml:space="preserve"> </w:t>
      </w:r>
      <w:r w:rsidR="00D9258C" w:rsidRPr="00FD6A6A">
        <w:t>through</w:t>
      </w:r>
      <w:r w:rsidR="00541D05">
        <w:t xml:space="preserve"> </w:t>
      </w:r>
      <w:r w:rsidR="00D9258C" w:rsidRPr="00FD6A6A">
        <w:t>appraisal</w:t>
      </w:r>
      <w:r w:rsidR="00541D05">
        <w:t xml:space="preserve"> </w:t>
      </w:r>
      <w:r w:rsidR="00D9258C" w:rsidRPr="00FD6A6A">
        <w:t>of</w:t>
      </w:r>
      <w:r w:rsidR="00541D05">
        <w:t xml:space="preserve"> </w:t>
      </w:r>
      <w:r w:rsidR="00D9258C" w:rsidRPr="00FD6A6A">
        <w:t>performance</w:t>
      </w:r>
      <w:r w:rsidR="00541D05">
        <w:t xml:space="preserve"> </w:t>
      </w:r>
      <w:r w:rsidR="00D9258C" w:rsidRPr="00FD6A6A">
        <w:t>in</w:t>
      </w:r>
      <w:r w:rsidR="00541D05">
        <w:t xml:space="preserve"> </w:t>
      </w:r>
      <w:r w:rsidR="00D9258C" w:rsidRPr="00FD6A6A">
        <w:t>the</w:t>
      </w:r>
      <w:r w:rsidR="00541D05">
        <w:t xml:space="preserve"> </w:t>
      </w:r>
      <w:r w:rsidR="00D9258C" w:rsidRPr="00FD6A6A">
        <w:t>High</w:t>
      </w:r>
      <w:r w:rsidR="00541D05">
        <w:t xml:space="preserve"> </w:t>
      </w:r>
      <w:r w:rsidR="00D9258C" w:rsidRPr="00FD6A6A">
        <w:t>School</w:t>
      </w:r>
      <w:r w:rsidR="00541D05">
        <w:t xml:space="preserve"> </w:t>
      </w:r>
      <w:r w:rsidR="00D9258C" w:rsidRPr="00FD6A6A">
        <w:t>National</w:t>
      </w:r>
      <w:r w:rsidR="00541D05">
        <w:t xml:space="preserve"> </w:t>
      </w:r>
      <w:r w:rsidR="00D9258C" w:rsidRPr="00FD6A6A">
        <w:t>Exam.</w:t>
      </w:r>
      <w:r w:rsidR="00541D05">
        <w:t xml:space="preserve"> </w:t>
      </w:r>
      <w:r w:rsidR="00D9258C" w:rsidRPr="00FD6A6A">
        <w:t>Until</w:t>
      </w:r>
      <w:r w:rsidR="00541D05">
        <w:t xml:space="preserve"> </w:t>
      </w:r>
      <w:r w:rsidR="00D9258C" w:rsidRPr="00FD6A6A">
        <w:t>2014,</w:t>
      </w:r>
      <w:r w:rsidR="00541D05">
        <w:t xml:space="preserve"> </w:t>
      </w:r>
      <w:r w:rsidR="00D9258C" w:rsidRPr="00FD6A6A">
        <w:t>more</w:t>
      </w:r>
      <w:r w:rsidR="00541D05">
        <w:t xml:space="preserve"> </w:t>
      </w:r>
      <w:r w:rsidR="00D9258C" w:rsidRPr="00FD6A6A">
        <w:t>than</w:t>
      </w:r>
      <w:r w:rsidR="00541D05">
        <w:t xml:space="preserve"> </w:t>
      </w:r>
      <w:r w:rsidR="00D9258C" w:rsidRPr="00FD6A6A">
        <w:t>1.9</w:t>
      </w:r>
      <w:r w:rsidR="00541D05">
        <w:t xml:space="preserve"> </w:t>
      </w:r>
      <w:r w:rsidR="00D9258C" w:rsidRPr="00FD6A6A">
        <w:t>million</w:t>
      </w:r>
      <w:r w:rsidR="00541D05">
        <w:t xml:space="preserve"> </w:t>
      </w:r>
      <w:r w:rsidR="00D9258C" w:rsidRPr="00FD6A6A">
        <w:t>scholarships</w:t>
      </w:r>
      <w:r w:rsidR="00541D05">
        <w:t xml:space="preserve"> </w:t>
      </w:r>
      <w:r w:rsidR="00D9258C" w:rsidRPr="00FD6A6A">
        <w:t>had</w:t>
      </w:r>
      <w:r w:rsidR="00541D05">
        <w:t xml:space="preserve"> </w:t>
      </w:r>
      <w:r w:rsidR="00D9258C" w:rsidRPr="00FD6A6A">
        <w:t>been</w:t>
      </w:r>
      <w:r w:rsidR="00541D05">
        <w:t xml:space="preserve"> </w:t>
      </w:r>
      <w:r w:rsidR="00D9258C" w:rsidRPr="00FD6A6A">
        <w:t>granted,</w:t>
      </w:r>
      <w:r w:rsidR="00541D05">
        <w:t xml:space="preserve"> </w:t>
      </w:r>
      <w:r w:rsidR="00D9258C" w:rsidRPr="00FD6A6A">
        <w:t>pursuant</w:t>
      </w:r>
      <w:r w:rsidR="00541D05">
        <w:t xml:space="preserve"> </w:t>
      </w:r>
      <w:r w:rsidR="00D9258C" w:rsidRPr="00FD6A6A">
        <w:t>to</w:t>
      </w:r>
      <w:r w:rsidR="00541D05">
        <w:t xml:space="preserve"> </w:t>
      </w:r>
      <w:r w:rsidR="00D9258C" w:rsidRPr="00FD6A6A">
        <w:t>information</w:t>
      </w:r>
      <w:r w:rsidR="00541D05">
        <w:t xml:space="preserve"> </w:t>
      </w:r>
      <w:r w:rsidR="00D9258C" w:rsidRPr="00FD6A6A">
        <w:t>from</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r w:rsidR="00541D05">
        <w:t xml:space="preserve"> </w:t>
      </w:r>
      <w:r w:rsidR="00D9258C" w:rsidRPr="00FD6A6A">
        <w:t>–</w:t>
      </w:r>
      <w:r w:rsidR="00541D05">
        <w:t xml:space="preserve"> </w:t>
      </w:r>
      <w:r w:rsidR="00D9258C" w:rsidRPr="00FD6A6A">
        <w:t>MEC.</w:t>
      </w:r>
      <w:r w:rsidR="00541D05">
        <w:t xml:space="preserve"> </w:t>
      </w:r>
      <w:r w:rsidR="00D9258C" w:rsidRPr="00FD6A6A">
        <w:t>Between</w:t>
      </w:r>
      <w:r w:rsidR="00541D05">
        <w:t xml:space="preserve"> </w:t>
      </w:r>
      <w:r w:rsidR="00D9258C" w:rsidRPr="00FD6A6A">
        <w:t>the</w:t>
      </w:r>
      <w:r w:rsidR="00541D05">
        <w:t xml:space="preserve"> </w:t>
      </w:r>
      <w:r w:rsidR="00D9258C" w:rsidRPr="00FD6A6A">
        <w:t>2nd</w:t>
      </w:r>
      <w:r w:rsidR="00541D05">
        <w:t xml:space="preserve"> </w:t>
      </w:r>
      <w:r w:rsidR="00D9258C" w:rsidRPr="00FD6A6A">
        <w:t>semester</w:t>
      </w:r>
      <w:r w:rsidR="00541D05">
        <w:t xml:space="preserve"> </w:t>
      </w:r>
      <w:r w:rsidR="00D9258C" w:rsidRPr="00FD6A6A">
        <w:t>of</w:t>
      </w:r>
      <w:r w:rsidR="00541D05">
        <w:t xml:space="preserve"> </w:t>
      </w:r>
      <w:r w:rsidR="00D9258C" w:rsidRPr="00FD6A6A">
        <w:t>2005</w:t>
      </w:r>
      <w:r w:rsidR="00541D05">
        <w:t xml:space="preserve"> </w:t>
      </w:r>
      <w:r w:rsidR="00D9258C" w:rsidRPr="00FD6A6A">
        <w:t>and</w:t>
      </w:r>
      <w:r w:rsidR="00541D05">
        <w:t xml:space="preserve"> </w:t>
      </w:r>
      <w:r w:rsidR="00D9258C" w:rsidRPr="00FD6A6A">
        <w:t>2014,</w:t>
      </w:r>
      <w:r w:rsidR="00541D05">
        <w:t xml:space="preserve"> </w:t>
      </w:r>
      <w:r w:rsidR="00D9258C" w:rsidRPr="00FD6A6A">
        <w:t>51%</w:t>
      </w:r>
      <w:r w:rsidR="00541D05">
        <w:t xml:space="preserve"> </w:t>
      </w:r>
      <w:r w:rsidR="00D9258C" w:rsidRPr="00FD6A6A">
        <w:t>of</w:t>
      </w:r>
      <w:r w:rsidR="00541D05">
        <w:t xml:space="preserve"> </w:t>
      </w:r>
      <w:r w:rsidR="00D9258C" w:rsidRPr="00FD6A6A">
        <w:t>scholarships</w:t>
      </w:r>
      <w:r w:rsidR="00541D05">
        <w:t xml:space="preserve"> </w:t>
      </w:r>
      <w:r w:rsidR="00D9258C" w:rsidRPr="00FD6A6A">
        <w:t>were</w:t>
      </w:r>
      <w:r w:rsidR="00541D05">
        <w:t xml:space="preserve"> </w:t>
      </w:r>
      <w:r w:rsidR="00D9258C" w:rsidRPr="00FD6A6A">
        <w:t>directed</w:t>
      </w:r>
      <w:r w:rsidR="00541D05">
        <w:t xml:space="preserve"> </w:t>
      </w:r>
      <w:r w:rsidR="00D9258C" w:rsidRPr="00FD6A6A">
        <w:t>to</w:t>
      </w:r>
      <w:r w:rsidR="00541D05">
        <w:t xml:space="preserve"> </w:t>
      </w:r>
      <w:r w:rsidR="00D9258C" w:rsidRPr="00FD6A6A">
        <w:t>self-declared</w:t>
      </w:r>
      <w:r w:rsidR="00541D05">
        <w:t xml:space="preserve"> </w:t>
      </w:r>
      <w:r w:rsidR="00D9258C" w:rsidRPr="00FD6A6A">
        <w:t>Afro-Brazilians.</w:t>
      </w:r>
    </w:p>
    <w:p w14:paraId="1A52E686" w14:textId="5B86FE05" w:rsidR="00D9258C" w:rsidRPr="00FD6A6A" w:rsidRDefault="00166390" w:rsidP="00166390">
      <w:pPr>
        <w:pStyle w:val="ParaNoG"/>
        <w:numPr>
          <w:ilvl w:val="0"/>
          <w:numId w:val="0"/>
        </w:numPr>
        <w:tabs>
          <w:tab w:val="left" w:pos="0"/>
        </w:tabs>
        <w:ind w:left="1134"/>
      </w:pPr>
      <w:r w:rsidRPr="00FD6A6A">
        <w:t>86.</w:t>
      </w:r>
      <w:r w:rsidRPr="00FD6A6A">
        <w:tab/>
      </w:r>
      <w:r w:rsidR="00D9258C" w:rsidRPr="00FD6A6A">
        <w:t>Other</w:t>
      </w:r>
      <w:r w:rsidR="00541D05">
        <w:t xml:space="preserve"> </w:t>
      </w:r>
      <w:r w:rsidR="00D9258C" w:rsidRPr="00FD6A6A">
        <w:t>important</w:t>
      </w:r>
      <w:r w:rsidR="00541D05">
        <w:t xml:space="preserve"> </w:t>
      </w:r>
      <w:r w:rsidR="00D9258C" w:rsidRPr="00FD6A6A">
        <w:t>initiatives</w:t>
      </w:r>
      <w:r w:rsidR="00541D05">
        <w:t xml:space="preserve"> </w:t>
      </w:r>
      <w:r w:rsidR="00D9258C" w:rsidRPr="00FD6A6A">
        <w:t>were</w:t>
      </w:r>
      <w:r w:rsidR="00541D05">
        <w:t xml:space="preserve"> </w:t>
      </w:r>
      <w:r w:rsidR="00D9258C" w:rsidRPr="00FD6A6A">
        <w:t>adopted</w:t>
      </w:r>
      <w:r w:rsidR="00541D05">
        <w:t xml:space="preserve"> </w:t>
      </w:r>
      <w:r w:rsidR="00D9258C" w:rsidRPr="00FD6A6A">
        <w:t>to</w:t>
      </w:r>
      <w:r w:rsidR="00541D05">
        <w:t xml:space="preserve"> </w:t>
      </w:r>
      <w:r w:rsidR="00D9258C" w:rsidRPr="00FD6A6A">
        <w:t>complete</w:t>
      </w:r>
      <w:r w:rsidR="00541D05">
        <w:t xml:space="preserve"> </w:t>
      </w:r>
      <w:r w:rsidR="00D9258C" w:rsidRPr="00FD6A6A">
        <w:t>the</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w:t>
      </w:r>
      <w:r w:rsidR="00541D05">
        <w:t xml:space="preserve"> </w:t>
      </w:r>
      <w:r w:rsidR="00D9258C" w:rsidRPr="00FD6A6A">
        <w:t>which,</w:t>
      </w:r>
      <w:r w:rsidR="00541D05">
        <w:t xml:space="preserve"> </w:t>
      </w:r>
      <w:r w:rsidR="00D9258C" w:rsidRPr="00FD6A6A">
        <w:t>in</w:t>
      </w:r>
      <w:r w:rsidR="00541D05">
        <w:t xml:space="preserve"> </w:t>
      </w:r>
      <w:r w:rsidR="00D9258C" w:rsidRPr="00FD6A6A">
        <w:t>theory,</w:t>
      </w:r>
      <w:r w:rsidR="00541D05">
        <w:t xml:space="preserve"> </w:t>
      </w:r>
      <w:r w:rsidR="00D9258C" w:rsidRPr="00FD6A6A">
        <w:t>should</w:t>
      </w:r>
      <w:r w:rsidR="00541D05">
        <w:t xml:space="preserve"> </w:t>
      </w:r>
      <w:r w:rsidR="00D9258C" w:rsidRPr="00FD6A6A">
        <w:t>ensure</w:t>
      </w:r>
      <w:r w:rsidR="00541D05">
        <w:t xml:space="preserve"> </w:t>
      </w:r>
      <w:r w:rsidR="00D9258C" w:rsidRPr="00FD6A6A">
        <w:t>not</w:t>
      </w:r>
      <w:r w:rsidR="00541D05">
        <w:t xml:space="preserve"> </w:t>
      </w:r>
      <w:r w:rsidR="00D9258C" w:rsidRPr="00FD6A6A">
        <w:t>only</w:t>
      </w:r>
      <w:r w:rsidR="00541D05">
        <w:t xml:space="preserve"> </w:t>
      </w:r>
      <w:r w:rsidR="00D9258C" w:rsidRPr="00FD6A6A">
        <w:t>access,</w:t>
      </w:r>
      <w:r w:rsidR="00541D05">
        <w:t xml:space="preserve"> </w:t>
      </w:r>
      <w:r w:rsidR="00D9258C" w:rsidRPr="00FD6A6A">
        <w:t>but</w:t>
      </w:r>
      <w:r w:rsidR="00541D05">
        <w:t xml:space="preserve"> </w:t>
      </w:r>
      <w:r w:rsidR="00D9258C" w:rsidRPr="00FD6A6A">
        <w:t>also</w:t>
      </w:r>
      <w:r w:rsidR="00541D05">
        <w:t xml:space="preserve"> </w:t>
      </w:r>
      <w:r w:rsidR="00D9258C" w:rsidRPr="00FD6A6A">
        <w:t>conditions</w:t>
      </w:r>
      <w:r w:rsidR="00541D05">
        <w:t xml:space="preserve"> </w:t>
      </w:r>
      <w:r w:rsidR="00D9258C" w:rsidRPr="00FD6A6A">
        <w:t>for</w:t>
      </w:r>
      <w:r w:rsidR="00541D05">
        <w:t xml:space="preserve"> </w:t>
      </w:r>
      <w:r w:rsidR="00D9258C" w:rsidRPr="00FD6A6A">
        <w:t>permanence</w:t>
      </w:r>
      <w:r w:rsidR="00541D05">
        <w:t xml:space="preserve"> </w:t>
      </w:r>
      <w:r w:rsidR="00D9258C" w:rsidRPr="00FD6A6A">
        <w:t>in</w:t>
      </w:r>
      <w:r w:rsidR="00541D05">
        <w:t xml:space="preserve"> </w:t>
      </w:r>
      <w:r w:rsidR="00D9258C" w:rsidRPr="00FD6A6A">
        <w:t>higher</w:t>
      </w:r>
      <w:r w:rsidR="00541D05">
        <w:t xml:space="preserve"> </w:t>
      </w:r>
      <w:r w:rsidR="00D9258C" w:rsidRPr="00FD6A6A">
        <w:t>education</w:t>
      </w:r>
      <w:r w:rsidR="00541D05">
        <w:t xml:space="preserve"> </w:t>
      </w:r>
      <w:r w:rsidR="00D9258C" w:rsidRPr="00FD6A6A">
        <w:t>institutions,</w:t>
      </w:r>
      <w:r w:rsidR="00541D05">
        <w:t xml:space="preserve"> </w:t>
      </w:r>
      <w:r w:rsidR="00D9258C" w:rsidRPr="00FD6A6A">
        <w:t>enabling</w:t>
      </w:r>
      <w:r w:rsidR="00541D05">
        <w:t xml:space="preserve"> </w:t>
      </w:r>
      <w:r w:rsidR="00D9258C" w:rsidRPr="00FD6A6A">
        <w:t>an</w:t>
      </w:r>
      <w:r w:rsidR="00541D05">
        <w:t xml:space="preserve"> </w:t>
      </w:r>
      <w:r w:rsidR="00D9258C" w:rsidRPr="00FD6A6A">
        <w:t>integrating</w:t>
      </w:r>
      <w:r w:rsidR="00541D05">
        <w:t xml:space="preserve"> </w:t>
      </w:r>
      <w:r w:rsidR="00D9258C" w:rsidRPr="00FD6A6A">
        <w:t>experience</w:t>
      </w:r>
      <w:r w:rsidR="00541D05">
        <w:t xml:space="preserve"> </w:t>
      </w:r>
      <w:r w:rsidR="00D9258C" w:rsidRPr="00FD6A6A">
        <w:t>for</w:t>
      </w:r>
      <w:r w:rsidR="00541D05">
        <w:t xml:space="preserve"> </w:t>
      </w:r>
      <w:r w:rsidR="00D9258C" w:rsidRPr="00FD6A6A">
        <w:t>students.</w:t>
      </w:r>
      <w:r w:rsidR="00541D05">
        <w:t xml:space="preserve"> </w:t>
      </w:r>
      <w:r w:rsidR="00D9258C" w:rsidRPr="00FD6A6A">
        <w:t>The</w:t>
      </w:r>
      <w:r w:rsidR="00541D05">
        <w:t xml:space="preserve"> </w:t>
      </w:r>
      <w:r w:rsidR="00D9258C" w:rsidRPr="00FD6A6A">
        <w:t>following</w:t>
      </w:r>
      <w:r w:rsidR="00541D05">
        <w:t xml:space="preserve"> </w:t>
      </w:r>
      <w:r w:rsidR="00D9258C" w:rsidRPr="00FD6A6A">
        <w:t>are</w:t>
      </w:r>
      <w:r w:rsidR="00541D05">
        <w:t xml:space="preserve"> </w:t>
      </w:r>
      <w:r w:rsidR="00D9258C" w:rsidRPr="00FD6A6A">
        <w:t>noteworthy:</w:t>
      </w:r>
    </w:p>
    <w:p w14:paraId="796271E0" w14:textId="2560523F" w:rsidR="00D9258C" w:rsidRPr="00FD6A6A" w:rsidRDefault="0036377C" w:rsidP="00EE5A2A">
      <w:pPr>
        <w:pStyle w:val="SingleTxtG"/>
      </w:pPr>
      <w:r>
        <w:tab/>
      </w:r>
      <w:r w:rsidR="00EE5A2A">
        <w:t>(1)</w:t>
      </w:r>
      <w:r w:rsidR="00EE5A2A">
        <w:tab/>
      </w:r>
      <w:r w:rsidR="00D9258C" w:rsidRPr="00EE5A2A">
        <w:rPr>
          <w:i/>
          <w:iCs/>
        </w:rPr>
        <w:t>Bolsa</w:t>
      </w:r>
      <w:r w:rsidR="00541D05" w:rsidRPr="00EE5A2A">
        <w:rPr>
          <w:i/>
          <w:iCs/>
        </w:rPr>
        <w:t xml:space="preserve"> </w:t>
      </w:r>
      <w:r w:rsidR="00D9258C" w:rsidRPr="00EE5A2A">
        <w:rPr>
          <w:i/>
          <w:iCs/>
        </w:rPr>
        <w:t>Permanência</w:t>
      </w:r>
      <w:r w:rsidR="00541D05" w:rsidRPr="00EE5A2A">
        <w:rPr>
          <w:i/>
          <w:iCs/>
        </w:rPr>
        <w:t xml:space="preserve"> </w:t>
      </w:r>
      <w:r w:rsidR="00D9258C" w:rsidRPr="00EE5A2A">
        <w:rPr>
          <w:i/>
          <w:iCs/>
        </w:rPr>
        <w:t>Program</w:t>
      </w:r>
      <w:r w:rsidR="00541D05">
        <w:t xml:space="preserve"> </w:t>
      </w:r>
      <w:r w:rsidR="00D9258C" w:rsidRPr="00FD6A6A">
        <w:t>(PBP).</w:t>
      </w:r>
      <w:r w:rsidR="00541D05">
        <w:t xml:space="preserve"> </w:t>
      </w:r>
      <w:r w:rsidR="00D9258C" w:rsidRPr="00FD6A6A">
        <w:t>Linked</w:t>
      </w:r>
      <w:r w:rsidR="00541D05">
        <w:t xml:space="preserve"> </w:t>
      </w:r>
      <w:r w:rsidR="00D9258C" w:rsidRPr="00FD6A6A">
        <w:t>to</w:t>
      </w:r>
      <w:r w:rsidR="00541D05">
        <w:t xml:space="preserve"> </w:t>
      </w:r>
      <w:r w:rsidR="00D9258C" w:rsidRPr="00FD6A6A">
        <w:t>the</w:t>
      </w:r>
      <w:r w:rsidR="00541D05">
        <w:t xml:space="preserve"> </w:t>
      </w:r>
      <w:r w:rsidR="00D9258C" w:rsidRPr="00FD6A6A">
        <w:t>national</w:t>
      </w:r>
      <w:r w:rsidR="00541D05">
        <w:t xml:space="preserve"> </w:t>
      </w:r>
      <w:r w:rsidR="00D9258C" w:rsidRPr="00FD6A6A">
        <w:t>Policy</w:t>
      </w:r>
      <w:r w:rsidR="00541D05">
        <w:t xml:space="preserve"> </w:t>
      </w:r>
      <w:r w:rsidR="00D9258C" w:rsidRPr="00FD6A6A">
        <w:t>on</w:t>
      </w:r>
      <w:r w:rsidR="00541D05">
        <w:t xml:space="preserve"> </w:t>
      </w:r>
      <w:r w:rsidR="00D9258C" w:rsidRPr="00FD6A6A">
        <w:t>Student</w:t>
      </w:r>
      <w:r w:rsidR="00541D05">
        <w:t xml:space="preserve"> </w:t>
      </w:r>
      <w:r w:rsidR="00D9258C" w:rsidRPr="00FD6A6A">
        <w:t>Assistance,</w:t>
      </w:r>
      <w:r w:rsidR="00541D05">
        <w:t xml:space="preserve"> </w:t>
      </w:r>
      <w:r w:rsidR="00D9258C" w:rsidRPr="00FD6A6A">
        <w:t>it</w:t>
      </w:r>
      <w:r w:rsidR="00541D05">
        <w:t xml:space="preserve"> </w:t>
      </w:r>
      <w:r w:rsidR="00D9258C" w:rsidRPr="00FD6A6A">
        <w:t>provides</w:t>
      </w:r>
      <w:r w:rsidR="00541D05">
        <w:t xml:space="preserve"> </w:t>
      </w:r>
      <w:r w:rsidR="00D9258C" w:rsidRPr="00FD6A6A">
        <w:t>financial</w:t>
      </w:r>
      <w:r w:rsidR="00541D05">
        <w:t xml:space="preserve"> </w:t>
      </w:r>
      <w:r w:rsidR="00D9258C" w:rsidRPr="00FD6A6A">
        <w:t>assistance</w:t>
      </w:r>
      <w:r w:rsidR="00541D05">
        <w:t xml:space="preserve"> </w:t>
      </w:r>
      <w:r w:rsidR="00D9258C" w:rsidRPr="00FD6A6A">
        <w:t>directly</w:t>
      </w:r>
      <w:r w:rsidR="00541D05">
        <w:t xml:space="preserve"> </w:t>
      </w:r>
      <w:r w:rsidR="00D9258C" w:rsidRPr="00FD6A6A">
        <w:t>to</w:t>
      </w:r>
      <w:r w:rsidR="00541D05">
        <w:t xml:space="preserve"> </w:t>
      </w:r>
      <w:r w:rsidR="00D9258C" w:rsidRPr="00FD6A6A">
        <w:t>the</w:t>
      </w:r>
      <w:r w:rsidR="00541D05">
        <w:t xml:space="preserve"> </w:t>
      </w:r>
      <w:r w:rsidR="00D9258C" w:rsidRPr="00FD6A6A">
        <w:t>undergraduate</w:t>
      </w:r>
      <w:r w:rsidR="00541D05">
        <w:t xml:space="preserve"> </w:t>
      </w:r>
      <w:r w:rsidR="00D9258C" w:rsidRPr="00FD6A6A">
        <w:t>student</w:t>
      </w:r>
      <w:r w:rsidR="00541D05">
        <w:t xml:space="preserve"> </w:t>
      </w:r>
      <w:r w:rsidR="00D9258C" w:rsidRPr="00FD6A6A">
        <w:t>through</w:t>
      </w:r>
      <w:r w:rsidR="00541D05">
        <w:t xml:space="preserve"> </w:t>
      </w:r>
      <w:r w:rsidR="00D9258C" w:rsidRPr="00FD6A6A">
        <w:t>a</w:t>
      </w:r>
      <w:r w:rsidR="00541D05">
        <w:t xml:space="preserve"> </w:t>
      </w:r>
      <w:r w:rsidR="00D9258C" w:rsidRPr="00FD6A6A">
        <w:t>benefits</w:t>
      </w:r>
      <w:r w:rsidR="00541D05">
        <w:t xml:space="preserve"> </w:t>
      </w:r>
      <w:r w:rsidR="00D9258C" w:rsidRPr="00FD6A6A">
        <w:t>card.</w:t>
      </w:r>
      <w:r w:rsidR="00541D05">
        <w:t xml:space="preserve"> </w:t>
      </w:r>
      <w:r w:rsidR="00D9258C" w:rsidRPr="00FD6A6A">
        <w:t>In</w:t>
      </w:r>
      <w:r w:rsidR="00541D05">
        <w:t xml:space="preserve"> </w:t>
      </w:r>
      <w:r w:rsidR="00D9258C" w:rsidRPr="00FD6A6A">
        <w:t>2014,</w:t>
      </w:r>
      <w:r w:rsidR="00541D05">
        <w:t xml:space="preserve"> </w:t>
      </w:r>
      <w:r w:rsidR="00D9258C" w:rsidRPr="00FD6A6A">
        <w:t>510</w:t>
      </w:r>
      <w:r w:rsidR="00541D05">
        <w:t xml:space="preserve"> </w:t>
      </w:r>
      <w:r w:rsidR="00D9258C" w:rsidRPr="0036377C">
        <w:rPr>
          <w:i/>
          <w:iCs/>
        </w:rPr>
        <w:t>Quilombola</w:t>
      </w:r>
      <w:r w:rsidR="00541D05">
        <w:t xml:space="preserve"> </w:t>
      </w:r>
      <w:r w:rsidR="00D9258C" w:rsidRPr="00FD6A6A">
        <w:t>students</w:t>
      </w:r>
      <w:r w:rsidR="00541D05">
        <w:t xml:space="preserve"> </w:t>
      </w:r>
      <w:r w:rsidR="00D9258C" w:rsidRPr="00FD6A6A">
        <w:t>were</w:t>
      </w:r>
      <w:r w:rsidR="00541D05">
        <w:t xml:space="preserve"> </w:t>
      </w:r>
      <w:r w:rsidR="00D9258C" w:rsidRPr="00FD6A6A">
        <w:t>benefitted</w:t>
      </w:r>
      <w:r w:rsidR="00541D05">
        <w:t xml:space="preserve"> </w:t>
      </w:r>
      <w:r w:rsidR="00D9258C" w:rsidRPr="00FD6A6A">
        <w:t>by</w:t>
      </w:r>
      <w:r w:rsidR="00541D05">
        <w:t xml:space="preserve"> </w:t>
      </w:r>
      <w:r w:rsidR="00D9258C" w:rsidRPr="00FD6A6A">
        <w:t>the</w:t>
      </w:r>
      <w:r w:rsidR="00541D05">
        <w:t xml:space="preserve"> </w:t>
      </w:r>
      <w:r w:rsidR="00D9258C" w:rsidRPr="00FD6A6A">
        <w:t>Program.</w:t>
      </w:r>
    </w:p>
    <w:p w14:paraId="50B79E5A" w14:textId="7B4004FD" w:rsidR="00D9258C" w:rsidRPr="00FD6A6A" w:rsidRDefault="0036377C" w:rsidP="00EE5A2A">
      <w:pPr>
        <w:pStyle w:val="SingleTxtG"/>
      </w:pPr>
      <w:r>
        <w:tab/>
      </w:r>
      <w:r w:rsidR="00EE5A2A">
        <w:t>(2)</w:t>
      </w:r>
      <w:r w:rsidR="00EE5A2A">
        <w:tab/>
      </w:r>
      <w:r w:rsidR="00D9258C" w:rsidRPr="00FD6A6A">
        <w:t>Academic</w:t>
      </w:r>
      <w:r w:rsidR="00541D05">
        <w:t xml:space="preserve"> </w:t>
      </w:r>
      <w:r w:rsidR="00D9258C" w:rsidRPr="00FD6A6A">
        <w:t>Development</w:t>
      </w:r>
      <w:r w:rsidR="00541D05">
        <w:t xml:space="preserve"> </w:t>
      </w:r>
      <w:r w:rsidR="00D9258C" w:rsidRPr="00FD6A6A">
        <w:t>Program</w:t>
      </w:r>
      <w:r w:rsidR="00541D05">
        <w:t xml:space="preserve"> </w:t>
      </w:r>
      <w:r w:rsidR="00D9258C" w:rsidRPr="00FD6A6A">
        <w:t>Abdias</w:t>
      </w:r>
      <w:r w:rsidR="00541D05">
        <w:t xml:space="preserve"> </w:t>
      </w:r>
      <w:r w:rsidR="00D9258C" w:rsidRPr="00FD6A6A">
        <w:t>Nascimento,</w:t>
      </w:r>
      <w:r w:rsidR="00541D05">
        <w:t xml:space="preserve"> </w:t>
      </w:r>
      <w:r w:rsidR="00D9258C" w:rsidRPr="00FD6A6A">
        <w:t>created</w:t>
      </w:r>
      <w:r w:rsidR="00541D05">
        <w:t xml:space="preserve"> </w:t>
      </w:r>
      <w:r w:rsidR="00D9258C" w:rsidRPr="00FD6A6A">
        <w:t>by</w:t>
      </w:r>
      <w:r w:rsidR="00541D05">
        <w:t xml:space="preserve"> </w:t>
      </w:r>
      <w:r w:rsidR="00D9258C" w:rsidRPr="00FD6A6A">
        <w:t>MEC</w:t>
      </w:r>
      <w:r w:rsidR="00541D05">
        <w:t xml:space="preserve"> </w:t>
      </w:r>
      <w:r w:rsidR="00D9258C" w:rsidRPr="00FD6A6A">
        <w:t>for</w:t>
      </w:r>
      <w:r w:rsidR="00541D05">
        <w:t xml:space="preserve"> </w:t>
      </w:r>
      <w:r w:rsidR="00D9258C" w:rsidRPr="00FD6A6A">
        <w:t>Afro-Brazilian</w:t>
      </w:r>
      <w:r w:rsidR="00541D05">
        <w:t xml:space="preserve"> </w:t>
      </w:r>
      <w:r w:rsidR="00D9258C" w:rsidRPr="00FD6A6A">
        <w:t>and</w:t>
      </w:r>
      <w:r w:rsidR="00541D05">
        <w:t xml:space="preserve"> </w:t>
      </w:r>
      <w:r w:rsidR="00D9258C" w:rsidRPr="00FD6A6A">
        <w:t>Indigenous</w:t>
      </w:r>
      <w:r w:rsidR="00541D05">
        <w:t xml:space="preserve"> </w:t>
      </w:r>
      <w:r w:rsidR="00D9258C" w:rsidRPr="00FD6A6A">
        <w:t>students</w:t>
      </w:r>
      <w:r w:rsidR="00541D05">
        <w:t xml:space="preserve"> </w:t>
      </w:r>
      <w:r w:rsidR="00D9258C" w:rsidRPr="00FD6A6A">
        <w:t>and</w:t>
      </w:r>
      <w:r w:rsidR="00541D05">
        <w:t xml:space="preserve"> </w:t>
      </w:r>
      <w:r w:rsidR="00D9258C" w:rsidRPr="00FD6A6A">
        <w:t>beneficiaries</w:t>
      </w:r>
      <w:r w:rsidR="00541D05">
        <w:t xml:space="preserve"> </w:t>
      </w:r>
      <w:r w:rsidR="00D9258C" w:rsidRPr="00FD6A6A">
        <w:t>of</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programs,</w:t>
      </w:r>
      <w:r w:rsidR="00541D05">
        <w:t xml:space="preserve"> </w:t>
      </w:r>
      <w:r w:rsidR="00D9258C" w:rsidRPr="00FD6A6A">
        <w:t>preferably</w:t>
      </w:r>
      <w:r w:rsidR="00541D05">
        <w:t xml:space="preserve"> </w:t>
      </w:r>
      <w:r w:rsidR="00D9258C" w:rsidRPr="00FD6A6A">
        <w:t>quotas,</w:t>
      </w:r>
      <w:r w:rsidR="00541D05">
        <w:t xml:space="preserve"> </w:t>
      </w:r>
      <w:r w:rsidR="00D9258C" w:rsidRPr="00FD6A6A">
        <w:t>ProUni,</w:t>
      </w:r>
      <w:r w:rsidR="00541D05">
        <w:t xml:space="preserve"> </w:t>
      </w:r>
      <w:r w:rsidR="00D9258C" w:rsidRPr="00FD6A6A">
        <w:t>and</w:t>
      </w:r>
      <w:r w:rsidR="00541D05">
        <w:t xml:space="preserve"> </w:t>
      </w:r>
      <w:r w:rsidR="00D9258C" w:rsidRPr="00FD6A6A">
        <w:t>Student</w:t>
      </w:r>
      <w:r w:rsidR="00541D05">
        <w:t xml:space="preserve"> </w:t>
      </w:r>
      <w:r w:rsidR="00D9258C" w:rsidRPr="00FD6A6A">
        <w:t>Financing</w:t>
      </w:r>
      <w:r w:rsidR="00541D05">
        <w:t xml:space="preserve"> </w:t>
      </w:r>
      <w:r w:rsidR="00D9258C" w:rsidRPr="00FD6A6A">
        <w:t>Fund</w:t>
      </w:r>
      <w:r w:rsidR="00541D05">
        <w:t xml:space="preserve"> </w:t>
      </w:r>
      <w:r w:rsidR="00D9258C" w:rsidRPr="00FD6A6A">
        <w:t>for</w:t>
      </w:r>
      <w:r w:rsidR="00541D05">
        <w:t xml:space="preserve"> </w:t>
      </w:r>
      <w:r w:rsidR="00D9258C" w:rsidRPr="00FD6A6A">
        <w:t>Higher</w:t>
      </w:r>
      <w:r w:rsidR="00541D05">
        <w:t xml:space="preserve"> </w:t>
      </w:r>
      <w:r w:rsidR="00D9258C" w:rsidRPr="00FD6A6A">
        <w:t>Education</w:t>
      </w:r>
      <w:r w:rsidR="00541D05">
        <w:t xml:space="preserve"> </w:t>
      </w:r>
      <w:r w:rsidR="00D9258C" w:rsidRPr="00FD6A6A">
        <w:t>(FIES).</w:t>
      </w:r>
      <w:r w:rsidR="00541D05">
        <w:t xml:space="preserve"> </w:t>
      </w:r>
      <w:r w:rsidR="00D9258C" w:rsidRPr="00FD6A6A">
        <w:t>The</w:t>
      </w:r>
      <w:r w:rsidR="00541D05">
        <w:t xml:space="preserve"> </w:t>
      </w:r>
      <w:r w:rsidR="00D9258C" w:rsidRPr="00FD6A6A">
        <w:t>goal</w:t>
      </w:r>
      <w:r w:rsidR="00541D05">
        <w:t xml:space="preserve"> </w:t>
      </w:r>
      <w:r w:rsidR="00D9258C" w:rsidRPr="00FD6A6A">
        <w:t>is</w:t>
      </w:r>
      <w:r w:rsidR="00541D05">
        <w:t xml:space="preserve"> </w:t>
      </w:r>
      <w:r w:rsidR="00D9258C" w:rsidRPr="00FD6A6A">
        <w:t>to</w:t>
      </w:r>
      <w:r w:rsidR="00541D05">
        <w:t xml:space="preserve"> </w:t>
      </w:r>
      <w:r w:rsidR="00D9258C" w:rsidRPr="00FD6A6A">
        <w:t>complement</w:t>
      </w:r>
      <w:r w:rsidR="00541D05">
        <w:t xml:space="preserve"> </w:t>
      </w:r>
      <w:r w:rsidR="00D9258C" w:rsidRPr="00FD6A6A">
        <w:t>the</w:t>
      </w:r>
      <w:r w:rsidR="00541D05">
        <w:t xml:space="preserve"> </w:t>
      </w:r>
      <w:r w:rsidR="00D9258C" w:rsidRPr="00FD6A6A">
        <w:t>education</w:t>
      </w:r>
      <w:r w:rsidR="00541D05">
        <w:t xml:space="preserve"> </w:t>
      </w:r>
      <w:r w:rsidR="00D9258C" w:rsidRPr="00FD6A6A">
        <w:t>of</w:t>
      </w:r>
      <w:r w:rsidR="00541D05">
        <w:t xml:space="preserve"> </w:t>
      </w:r>
      <w:r w:rsidR="00D9258C" w:rsidRPr="00FD6A6A">
        <w:t>Brazilian</w:t>
      </w:r>
      <w:r w:rsidR="00541D05">
        <w:t xml:space="preserve"> </w:t>
      </w:r>
      <w:r w:rsidR="00D9258C" w:rsidRPr="00FD6A6A">
        <w:t>students,</w:t>
      </w:r>
      <w:r w:rsidR="00541D05">
        <w:t xml:space="preserve"> </w:t>
      </w:r>
      <w:r w:rsidR="00D9258C" w:rsidRPr="00FD6A6A">
        <w:t>providing</w:t>
      </w:r>
      <w:r w:rsidR="00541D05">
        <w:t xml:space="preserve"> </w:t>
      </w:r>
      <w:r w:rsidR="00D9258C" w:rsidRPr="00FD6A6A">
        <w:t>them</w:t>
      </w:r>
      <w:r w:rsidR="00541D05">
        <w:t xml:space="preserve"> </w:t>
      </w:r>
      <w:r w:rsidR="00D9258C" w:rsidRPr="00FD6A6A">
        <w:t>with</w:t>
      </w:r>
      <w:r w:rsidR="00541D05">
        <w:t xml:space="preserve"> </w:t>
      </w:r>
      <w:r w:rsidR="00D9258C" w:rsidRPr="00FD6A6A">
        <w:t>the</w:t>
      </w:r>
      <w:r w:rsidR="00541D05">
        <w:t xml:space="preserve"> </w:t>
      </w:r>
      <w:r w:rsidR="00D9258C" w:rsidRPr="00FD6A6A">
        <w:t>opportunity</w:t>
      </w:r>
      <w:r w:rsidR="00541D05">
        <w:t xml:space="preserve"> </w:t>
      </w:r>
      <w:r w:rsidR="00D9258C" w:rsidRPr="00FD6A6A">
        <w:t>to</w:t>
      </w:r>
      <w:r w:rsidR="00541D05">
        <w:t xml:space="preserve"> </w:t>
      </w:r>
      <w:r w:rsidR="00D9258C" w:rsidRPr="00FD6A6A">
        <w:t>have</w:t>
      </w:r>
      <w:r w:rsidR="00541D05">
        <w:t xml:space="preserve"> </w:t>
      </w:r>
      <w:r w:rsidR="00D9258C" w:rsidRPr="00FD6A6A">
        <w:t>educational</w:t>
      </w:r>
      <w:r w:rsidR="00541D05">
        <w:t xml:space="preserve"> </w:t>
      </w:r>
      <w:r w:rsidR="00D9258C" w:rsidRPr="00FD6A6A">
        <w:t>experiences</w:t>
      </w:r>
      <w:r w:rsidR="00541D05">
        <w:t xml:space="preserve"> </w:t>
      </w:r>
      <w:r w:rsidR="00D9258C" w:rsidRPr="00FD6A6A">
        <w:t>aimed</w:t>
      </w:r>
      <w:r w:rsidR="00541D05">
        <w:t xml:space="preserve"> </w:t>
      </w:r>
      <w:r w:rsidR="00D9258C" w:rsidRPr="00FD6A6A">
        <w:t>at</w:t>
      </w:r>
      <w:r w:rsidR="00541D05">
        <w:t xml:space="preserve"> </w:t>
      </w:r>
      <w:r w:rsidR="00D9258C" w:rsidRPr="00FD6A6A">
        <w:t>science</w:t>
      </w:r>
      <w:r w:rsidR="00541D05">
        <w:t xml:space="preserve"> </w:t>
      </w:r>
      <w:r w:rsidR="00D9258C" w:rsidRPr="00FD6A6A">
        <w:t>and</w:t>
      </w:r>
      <w:r w:rsidR="00541D05">
        <w:t xml:space="preserve"> </w:t>
      </w:r>
      <w:r w:rsidR="00D9258C" w:rsidRPr="00FD6A6A">
        <w:t>technology,</w:t>
      </w:r>
      <w:r w:rsidR="00541D05">
        <w:t xml:space="preserve"> </w:t>
      </w:r>
      <w:r w:rsidR="00D9258C" w:rsidRPr="00FD6A6A">
        <w:t>innovation,</w:t>
      </w:r>
      <w:r w:rsidR="00541D05">
        <w:t xml:space="preserve"> </w:t>
      </w:r>
      <w:r w:rsidR="00D9258C" w:rsidRPr="00FD6A6A">
        <w:t>qualification</w:t>
      </w:r>
      <w:r w:rsidR="00541D05">
        <w:t xml:space="preserve"> </w:t>
      </w:r>
      <w:r w:rsidR="00D9258C" w:rsidRPr="00FD6A6A">
        <w:t>of</w:t>
      </w:r>
      <w:r w:rsidR="00541D05">
        <w:t xml:space="preserve"> </w:t>
      </w:r>
      <w:r w:rsidR="00D9258C" w:rsidRPr="00FD6A6A">
        <w:t>teachers,</w:t>
      </w:r>
      <w:r w:rsidR="00541D05">
        <w:t xml:space="preserve"> </w:t>
      </w:r>
      <w:r w:rsidR="00D9258C" w:rsidRPr="00FD6A6A">
        <w:t>fight</w:t>
      </w:r>
      <w:r w:rsidR="00541D05">
        <w:t xml:space="preserve"> </w:t>
      </w:r>
      <w:r w:rsidR="00D9258C" w:rsidRPr="00FD6A6A">
        <w:t>against</w:t>
      </w:r>
      <w:r w:rsidR="00541D05">
        <w:t xml:space="preserve"> </w:t>
      </w:r>
      <w:r w:rsidR="00D9258C" w:rsidRPr="00FD6A6A">
        <w:t>racism</w:t>
      </w:r>
      <w:r w:rsidR="00541D05">
        <w:t xml:space="preserve"> </w:t>
      </w:r>
      <w:r w:rsidR="00D9258C" w:rsidRPr="00FD6A6A">
        <w:t>and</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p>
    <w:p w14:paraId="2F42C5D4" w14:textId="620C5066" w:rsidR="00D9258C" w:rsidRPr="00FD6A6A" w:rsidRDefault="0036377C" w:rsidP="00EE5A2A">
      <w:pPr>
        <w:pStyle w:val="SingleTxtG"/>
      </w:pPr>
      <w:r>
        <w:tab/>
      </w:r>
      <w:r w:rsidR="00EE5A2A">
        <w:t>(3)</w:t>
      </w:r>
      <w:r w:rsidR="00EE5A2A">
        <w:tab/>
      </w:r>
      <w:r w:rsidR="00D9258C" w:rsidRPr="00EE5A2A">
        <w:rPr>
          <w:i/>
          <w:iCs/>
        </w:rPr>
        <w:t>Bolsa</w:t>
      </w:r>
      <w:r w:rsidR="00541D05" w:rsidRPr="00EE5A2A">
        <w:rPr>
          <w:i/>
          <w:iCs/>
        </w:rPr>
        <w:t xml:space="preserve"> </w:t>
      </w:r>
      <w:r w:rsidR="00D9258C" w:rsidRPr="00EE5A2A">
        <w:rPr>
          <w:i/>
          <w:iCs/>
        </w:rPr>
        <w:t>Prêmio</w:t>
      </w:r>
      <w:r w:rsidR="00541D05" w:rsidRPr="00EE5A2A">
        <w:rPr>
          <w:i/>
          <w:iCs/>
        </w:rPr>
        <w:t xml:space="preserve"> </w:t>
      </w:r>
      <w:r w:rsidR="00D9258C" w:rsidRPr="00EE5A2A">
        <w:rPr>
          <w:i/>
          <w:iCs/>
        </w:rPr>
        <w:t>de</w:t>
      </w:r>
      <w:r w:rsidR="00541D05" w:rsidRPr="00EE5A2A">
        <w:rPr>
          <w:i/>
          <w:iCs/>
        </w:rPr>
        <w:t xml:space="preserve"> </w:t>
      </w:r>
      <w:r w:rsidR="00D9258C" w:rsidRPr="00EE5A2A">
        <w:rPr>
          <w:i/>
          <w:iCs/>
        </w:rPr>
        <w:t>Vocação</w:t>
      </w:r>
      <w:r w:rsidR="00541D05" w:rsidRPr="00EE5A2A">
        <w:rPr>
          <w:i/>
          <w:iCs/>
        </w:rPr>
        <w:t xml:space="preserve"> </w:t>
      </w:r>
      <w:r w:rsidR="00D9258C" w:rsidRPr="00EE5A2A">
        <w:rPr>
          <w:i/>
          <w:iCs/>
        </w:rPr>
        <w:t>para</w:t>
      </w:r>
      <w:r w:rsidR="00541D05" w:rsidRPr="00EE5A2A">
        <w:rPr>
          <w:i/>
          <w:iCs/>
        </w:rPr>
        <w:t xml:space="preserve"> </w:t>
      </w:r>
      <w:r w:rsidR="00D9258C" w:rsidRPr="00EE5A2A">
        <w:rPr>
          <w:i/>
          <w:iCs/>
        </w:rPr>
        <w:t>a</w:t>
      </w:r>
      <w:r w:rsidR="00541D05" w:rsidRPr="00EE5A2A">
        <w:rPr>
          <w:i/>
          <w:iCs/>
        </w:rPr>
        <w:t xml:space="preserve"> </w:t>
      </w:r>
      <w:r w:rsidR="00D9258C" w:rsidRPr="00EE5A2A">
        <w:rPr>
          <w:i/>
          <w:iCs/>
        </w:rPr>
        <w:t>Diplomacia</w:t>
      </w:r>
      <w:r w:rsidR="00541D05">
        <w:t xml:space="preserve"> </w:t>
      </w:r>
      <w:r w:rsidR="00D9258C" w:rsidRPr="00FD6A6A">
        <w:t>Program,</w:t>
      </w:r>
      <w:r w:rsidR="00541D05">
        <w:t xml:space="preserve"> </w:t>
      </w:r>
      <w:r w:rsidR="00D9258C" w:rsidRPr="00FD6A6A">
        <w:t>established</w:t>
      </w:r>
      <w:r w:rsidR="00541D05">
        <w:t xml:space="preserve"> </w:t>
      </w:r>
      <w:r w:rsidR="00D9258C" w:rsidRPr="00FD6A6A">
        <w:t>in</w:t>
      </w:r>
      <w:r w:rsidR="00541D05">
        <w:t xml:space="preserve"> </w:t>
      </w:r>
      <w:r w:rsidR="00D9258C" w:rsidRPr="00FD6A6A">
        <w:t>the</w:t>
      </w:r>
      <w:r w:rsidR="00541D05">
        <w:t xml:space="preserve"> </w:t>
      </w:r>
      <w:r w:rsidR="00D9258C" w:rsidRPr="00FD6A6A">
        <w:t>Rio</w:t>
      </w:r>
      <w:r w:rsidR="00541D05">
        <w:t xml:space="preserve"> </w:t>
      </w:r>
      <w:r w:rsidR="00D9258C" w:rsidRPr="00FD6A6A">
        <w:t>Branco</w:t>
      </w:r>
      <w:r w:rsidR="00541D05">
        <w:t xml:space="preserve"> </w:t>
      </w:r>
      <w:r w:rsidR="00D9258C" w:rsidRPr="00FD6A6A">
        <w:t>Institute</w:t>
      </w:r>
      <w:r w:rsidR="00541D05">
        <w:t xml:space="preserve"> </w:t>
      </w:r>
      <w:r w:rsidR="00D9258C" w:rsidRPr="00FD6A6A">
        <w:t>to</w:t>
      </w:r>
      <w:r w:rsidR="00541D05">
        <w:t xml:space="preserve"> </w:t>
      </w:r>
      <w:r w:rsidR="00D9258C" w:rsidRPr="00FD6A6A">
        <w:t>provide</w:t>
      </w:r>
      <w:r w:rsidR="00541D05">
        <w:t xml:space="preserve"> </w:t>
      </w:r>
      <w:r w:rsidR="00D9258C" w:rsidRPr="00FD6A6A">
        <w:t>Afro-Brazilians</w:t>
      </w:r>
      <w:r w:rsidR="00541D05">
        <w:t xml:space="preserve"> </w:t>
      </w:r>
      <w:r w:rsidR="00D9258C" w:rsidRPr="00FD6A6A">
        <w:t>with</w:t>
      </w:r>
      <w:r w:rsidR="00541D05">
        <w:t xml:space="preserve"> </w:t>
      </w:r>
      <w:r w:rsidR="00D9258C" w:rsidRPr="00FD6A6A">
        <w:t>opportunities</w:t>
      </w:r>
      <w:r w:rsidR="00541D05">
        <w:t xml:space="preserve"> </w:t>
      </w:r>
      <w:r w:rsidR="00D9258C" w:rsidRPr="00FD6A6A">
        <w:t>of</w:t>
      </w:r>
      <w:r w:rsidR="00541D05">
        <w:t xml:space="preserve"> </w:t>
      </w:r>
      <w:r w:rsidR="00D9258C" w:rsidRPr="00FD6A6A">
        <w:t>access</w:t>
      </w:r>
      <w:r w:rsidR="00541D05">
        <w:t xml:space="preserve"> </w:t>
      </w:r>
      <w:r w:rsidR="00D9258C" w:rsidRPr="00FD6A6A">
        <w:t>to</w:t>
      </w:r>
      <w:r w:rsidR="00541D05">
        <w:t xml:space="preserve"> </w:t>
      </w:r>
      <w:r w:rsidR="00D9258C" w:rsidRPr="00FD6A6A">
        <w:t>the</w:t>
      </w:r>
      <w:r w:rsidR="00541D05">
        <w:t xml:space="preserve"> </w:t>
      </w:r>
      <w:r w:rsidR="00D9258C" w:rsidRPr="00FD6A6A">
        <w:t>career</w:t>
      </w:r>
      <w:r w:rsidR="00541D05">
        <w:t xml:space="preserve"> </w:t>
      </w:r>
      <w:r w:rsidR="00D9258C" w:rsidRPr="00FD6A6A">
        <w:t>of</w:t>
      </w:r>
      <w:r w:rsidR="00541D05">
        <w:t xml:space="preserve"> </w:t>
      </w:r>
      <w:r w:rsidR="00D9258C" w:rsidRPr="00FD6A6A">
        <w:t>diplomat</w:t>
      </w:r>
      <w:r w:rsidR="00541D05">
        <w:t xml:space="preserve"> </w:t>
      </w:r>
      <w:r w:rsidR="00D9258C" w:rsidRPr="00FD6A6A">
        <w:t>and</w:t>
      </w:r>
      <w:r w:rsidR="00541D05">
        <w:t xml:space="preserve"> </w:t>
      </w:r>
      <w:r w:rsidR="00D9258C" w:rsidRPr="00FD6A6A">
        <w:t>to</w:t>
      </w:r>
      <w:r w:rsidR="00541D05">
        <w:t xml:space="preserve"> </w:t>
      </w:r>
      <w:r w:rsidR="00D9258C" w:rsidRPr="00FD6A6A">
        <w:t>increase</w:t>
      </w:r>
      <w:r w:rsidR="00541D05">
        <w:t xml:space="preserve"> </w:t>
      </w:r>
      <w:r w:rsidR="00D9258C" w:rsidRPr="00FD6A6A">
        <w:t>the</w:t>
      </w:r>
      <w:r w:rsidR="00541D05">
        <w:t xml:space="preserve"> </w:t>
      </w:r>
      <w:r w:rsidR="00D9258C" w:rsidRPr="00FD6A6A">
        <w:t>ethnic</w:t>
      </w:r>
      <w:r w:rsidR="00541D05">
        <w:t xml:space="preserve"> </w:t>
      </w:r>
      <w:r w:rsidR="00D9258C" w:rsidRPr="00FD6A6A">
        <w:t>diversity</w:t>
      </w:r>
      <w:r w:rsidR="00541D05">
        <w:t xml:space="preserve"> </w:t>
      </w:r>
      <w:r w:rsidR="00D9258C" w:rsidRPr="00FD6A6A">
        <w:t>in</w:t>
      </w:r>
      <w:r w:rsidR="00541D05">
        <w:t xml:space="preserve"> </w:t>
      </w:r>
      <w:r w:rsidR="00D9258C" w:rsidRPr="00FD6A6A">
        <w:t>the</w:t>
      </w:r>
      <w:r w:rsidR="00541D05">
        <w:t xml:space="preserve"> </w:t>
      </w:r>
      <w:r w:rsidR="00D9258C" w:rsidRPr="00FD6A6A">
        <w:t>staff</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Foreign</w:t>
      </w:r>
      <w:r w:rsidR="00541D05">
        <w:t xml:space="preserve"> </w:t>
      </w:r>
      <w:r w:rsidR="00D9258C" w:rsidRPr="00FD6A6A">
        <w:t>Affairs</w:t>
      </w:r>
      <w:r w:rsidR="00541D05">
        <w:t xml:space="preserve"> </w:t>
      </w:r>
      <w:r w:rsidR="00D9258C" w:rsidRPr="00FD6A6A">
        <w:t>(Itamaraty).</w:t>
      </w:r>
    </w:p>
    <w:p w14:paraId="2FAC1568" w14:textId="0D7547E1" w:rsidR="00D9258C" w:rsidRPr="00FD6A6A" w:rsidRDefault="0036377C" w:rsidP="00EE5A2A">
      <w:pPr>
        <w:pStyle w:val="SingleTxtG"/>
      </w:pPr>
      <w:r>
        <w:tab/>
      </w:r>
      <w:r w:rsidR="00EE5A2A">
        <w:t>(4)</w:t>
      </w:r>
      <w:r w:rsidR="00EE5A2A">
        <w:tab/>
      </w:r>
      <w:r w:rsidR="00D9258C" w:rsidRPr="00FD6A6A">
        <w:t>Continuing</w:t>
      </w:r>
      <w:r w:rsidR="00541D05">
        <w:t xml:space="preserve"> </w:t>
      </w:r>
      <w:r w:rsidR="00D9258C" w:rsidRPr="00FD6A6A">
        <w:t>Education</w:t>
      </w:r>
      <w:r w:rsidR="00541D05">
        <w:t xml:space="preserve"> </w:t>
      </w:r>
      <w:r w:rsidR="00D9258C" w:rsidRPr="00FD6A6A">
        <w:t>Program</w:t>
      </w:r>
      <w:r w:rsidR="00541D05">
        <w:t xml:space="preserve"> </w:t>
      </w:r>
      <w:r w:rsidR="00D9258C" w:rsidRPr="00FD6A6A">
        <w:t>(PROEXT).</w:t>
      </w:r>
      <w:r w:rsidR="00541D05">
        <w:t xml:space="preserve"> </w:t>
      </w:r>
      <w:r w:rsidR="00D9258C" w:rsidRPr="00FD6A6A">
        <w:t>A</w:t>
      </w:r>
      <w:r w:rsidR="00541D05">
        <w:t xml:space="preserve"> </w:t>
      </w:r>
      <w:r w:rsidR="00D9258C" w:rsidRPr="00FD6A6A">
        <w:t>partnership</w:t>
      </w:r>
      <w:r w:rsidR="00541D05">
        <w:t xml:space="preserve"> </w:t>
      </w:r>
      <w:r w:rsidR="00D9258C" w:rsidRPr="00FD6A6A">
        <w:t>between</w:t>
      </w:r>
      <w:r w:rsidR="00541D05">
        <w:t xml:space="preserve"> </w:t>
      </w:r>
      <w:r w:rsidR="00D9258C" w:rsidRPr="00FD6A6A">
        <w:t>SEPPIR</w:t>
      </w:r>
      <w:r w:rsidR="00541D05">
        <w:t xml:space="preserve"> </w:t>
      </w:r>
      <w:r w:rsidR="00D9258C" w:rsidRPr="00FD6A6A">
        <w:t>and</w:t>
      </w:r>
      <w:r w:rsidR="00541D05">
        <w:t xml:space="preserve"> </w:t>
      </w:r>
      <w:r w:rsidR="00D9258C" w:rsidRPr="00FD6A6A">
        <w:t>MEC,</w:t>
      </w:r>
      <w:r w:rsidR="00541D05">
        <w:t xml:space="preserve"> </w:t>
      </w:r>
      <w:r w:rsidR="00D9258C" w:rsidRPr="00FD6A6A">
        <w:t>aiming</w:t>
      </w:r>
      <w:r w:rsidR="00541D05">
        <w:t xml:space="preserve"> </w:t>
      </w:r>
      <w:r w:rsidR="00D9258C" w:rsidRPr="00FD6A6A">
        <w:t>at</w:t>
      </w:r>
      <w:r w:rsidR="00541D05">
        <w:t xml:space="preserve"> </w:t>
      </w:r>
      <w:r w:rsidR="00D9258C" w:rsidRPr="00FD6A6A">
        <w:t>reinforcing</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actions</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potentiate</w:t>
      </w:r>
      <w:r w:rsidR="00541D05">
        <w:t xml:space="preserve"> </w:t>
      </w:r>
      <w:r w:rsidR="00D9258C" w:rsidRPr="00FD6A6A">
        <w:t>and</w:t>
      </w:r>
      <w:r w:rsidR="00541D05">
        <w:t xml:space="preserve"> </w:t>
      </w:r>
      <w:r w:rsidR="00D9258C" w:rsidRPr="00FD6A6A">
        <w:t>expand,</w:t>
      </w:r>
      <w:r w:rsidR="00541D05">
        <w:t xml:space="preserve"> </w:t>
      </w:r>
      <w:r w:rsidR="00D9258C" w:rsidRPr="00FD6A6A">
        <w:t>in</w:t>
      </w:r>
      <w:r w:rsidR="00541D05">
        <w:t xml:space="preserve"> </w:t>
      </w:r>
      <w:r w:rsidR="00D9258C" w:rsidRPr="00FD6A6A">
        <w:t>the</w:t>
      </w:r>
      <w:r w:rsidR="00541D05">
        <w:t xml:space="preserve"> </w:t>
      </w:r>
      <w:r w:rsidR="00D9258C" w:rsidRPr="00FD6A6A">
        <w:t>scope</w:t>
      </w:r>
      <w:r w:rsidR="00541D05">
        <w:t xml:space="preserve"> </w:t>
      </w:r>
      <w:r w:rsidR="00D9258C" w:rsidRPr="00FD6A6A">
        <w:t>of</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actions</w:t>
      </w:r>
      <w:r w:rsidR="00541D05">
        <w:t xml:space="preserve"> </w:t>
      </w:r>
      <w:r w:rsidR="00D9258C" w:rsidRPr="00FD6A6A">
        <w:t>of</w:t>
      </w:r>
      <w:r w:rsidR="00541D05">
        <w:t xml:space="preserve"> </w:t>
      </w:r>
      <w:r w:rsidR="00D9258C" w:rsidRPr="00FD6A6A">
        <w:t>fight</w:t>
      </w:r>
      <w:r w:rsidR="00541D05">
        <w:t xml:space="preserve"> </w:t>
      </w:r>
      <w:r w:rsidR="00D9258C" w:rsidRPr="00FD6A6A">
        <w:t>against</w:t>
      </w:r>
      <w:r w:rsidR="00541D05">
        <w:t xml:space="preserve"> </w:t>
      </w:r>
      <w:r w:rsidR="00D9258C" w:rsidRPr="00FD6A6A">
        <w:t>racism</w:t>
      </w:r>
      <w:r w:rsidR="00541D05">
        <w:t xml:space="preserve"> </w:t>
      </w:r>
      <w:r w:rsidR="00D9258C" w:rsidRPr="00FD6A6A">
        <w:t>and</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p>
    <w:p w14:paraId="77BE03E1" w14:textId="2F2C8F6C" w:rsidR="00D9258C" w:rsidRPr="00FD6A6A" w:rsidRDefault="00166390" w:rsidP="00166390">
      <w:pPr>
        <w:pStyle w:val="ParaNoG"/>
        <w:numPr>
          <w:ilvl w:val="0"/>
          <w:numId w:val="0"/>
        </w:numPr>
        <w:tabs>
          <w:tab w:val="left" w:pos="0"/>
        </w:tabs>
        <w:ind w:left="1134"/>
      </w:pPr>
      <w:r w:rsidRPr="00FD6A6A">
        <w:t>87.</w:t>
      </w:r>
      <w:r w:rsidRPr="00FD6A6A">
        <w:tab/>
      </w:r>
      <w:r w:rsidR="00D9258C" w:rsidRPr="00FD6A6A">
        <w:t>In</w:t>
      </w:r>
      <w:r w:rsidR="00541D05">
        <w:t xml:space="preserve"> </w:t>
      </w:r>
      <w:r w:rsidR="00D9258C" w:rsidRPr="00FD6A6A">
        <w:t>relative</w:t>
      </w:r>
      <w:r w:rsidR="00541D05">
        <w:t xml:space="preserve"> </w:t>
      </w:r>
      <w:r w:rsidR="00D9258C" w:rsidRPr="00FD6A6A">
        <w:t>terms,</w:t>
      </w:r>
      <w:r w:rsidR="00541D05">
        <w:t xml:space="preserve"> </w:t>
      </w:r>
      <w:r w:rsidR="00D9258C" w:rsidRPr="00FD6A6A">
        <w:t>the</w:t>
      </w:r>
      <w:r w:rsidR="00541D05">
        <w:t xml:space="preserve"> </w:t>
      </w:r>
      <w:r w:rsidR="00D9258C" w:rsidRPr="00FD6A6A">
        <w:t>main</w:t>
      </w:r>
      <w:r w:rsidR="00541D05">
        <w:t xml:space="preserve"> </w:t>
      </w:r>
      <w:r w:rsidR="00D9258C" w:rsidRPr="00FD6A6A">
        <w:t>gateway</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has</w:t>
      </w:r>
      <w:r w:rsidR="00541D05">
        <w:t xml:space="preserve"> </w:t>
      </w:r>
      <w:r w:rsidR="00D9258C" w:rsidRPr="00FD6A6A">
        <w:t>always</w:t>
      </w:r>
      <w:r w:rsidR="00541D05">
        <w:t xml:space="preserve"> </w:t>
      </w:r>
      <w:r w:rsidR="00D9258C" w:rsidRPr="00FD6A6A">
        <w:t>been</w:t>
      </w:r>
      <w:r w:rsidR="00541D05">
        <w:t xml:space="preserve"> </w:t>
      </w:r>
      <w:r w:rsidR="00D9258C" w:rsidRPr="00FD6A6A">
        <w:t>public</w:t>
      </w:r>
      <w:r w:rsidR="00541D05">
        <w:t xml:space="preserve"> </w:t>
      </w:r>
      <w:r w:rsidR="00D9258C" w:rsidRPr="00FD6A6A">
        <w:t>institutions.</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Afro-Brazilians</w:t>
      </w:r>
      <w:r w:rsidR="00541D05">
        <w:t xml:space="preserve"> </w:t>
      </w:r>
      <w:r w:rsidR="00D9258C" w:rsidRPr="00FD6A6A">
        <w:t>in</w:t>
      </w:r>
      <w:r w:rsidR="00541D05">
        <w:t xml:space="preserve"> </w:t>
      </w:r>
      <w:r w:rsidR="00D9258C" w:rsidRPr="00FD6A6A">
        <w:t>public</w:t>
      </w:r>
      <w:r w:rsidR="00541D05">
        <w:t xml:space="preserve"> </w:t>
      </w:r>
      <w:r w:rsidR="00D9258C" w:rsidRPr="00FD6A6A">
        <w:t>higher</w:t>
      </w:r>
      <w:r w:rsidR="00541D05">
        <w:t xml:space="preserve"> </w:t>
      </w:r>
      <w:r w:rsidR="00D9258C" w:rsidRPr="00FD6A6A">
        <w:t>education</w:t>
      </w:r>
      <w:r w:rsidR="00541D05">
        <w:t xml:space="preserve"> </w:t>
      </w:r>
      <w:r w:rsidR="00D9258C" w:rsidRPr="00FD6A6A">
        <w:t>institutions</w:t>
      </w:r>
      <w:r w:rsidR="00541D05">
        <w:t xml:space="preserve"> </w:t>
      </w:r>
      <w:r w:rsidR="00D9258C" w:rsidRPr="00FD6A6A">
        <w:t>has</w:t>
      </w:r>
      <w:r w:rsidR="00541D05">
        <w:t xml:space="preserve"> </w:t>
      </w:r>
      <w:r w:rsidR="00D9258C" w:rsidRPr="00FD6A6A">
        <w:t>always</w:t>
      </w:r>
      <w:r w:rsidR="00541D05">
        <w:t xml:space="preserve"> </w:t>
      </w:r>
      <w:r w:rsidR="00D9258C" w:rsidRPr="00FD6A6A">
        <w:t>been</w:t>
      </w:r>
      <w:r w:rsidR="00541D05">
        <w:t xml:space="preserve"> </w:t>
      </w:r>
      <w:r w:rsidR="00D9258C" w:rsidRPr="00FD6A6A">
        <w:t>higher</w:t>
      </w:r>
      <w:r w:rsidR="00541D05">
        <w:t xml:space="preserve"> </w:t>
      </w:r>
      <w:r w:rsidR="00D9258C" w:rsidRPr="00FD6A6A">
        <w:t>than</w:t>
      </w:r>
      <w:r w:rsidR="00541D05">
        <w:t xml:space="preserve"> </w:t>
      </w:r>
      <w:r w:rsidR="00D9258C" w:rsidRPr="00FD6A6A">
        <w:t>in</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In</w:t>
      </w:r>
      <w:r w:rsidR="00541D05">
        <w:t xml:space="preserve"> </w:t>
      </w:r>
      <w:r w:rsidR="00D9258C" w:rsidRPr="00FD6A6A">
        <w:t>2001,</w:t>
      </w:r>
      <w:r w:rsidR="00541D05">
        <w:t xml:space="preserve"> </w:t>
      </w:r>
      <w:r w:rsidR="00D9258C" w:rsidRPr="00FD6A6A">
        <w:t>in</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81%</w:t>
      </w:r>
      <w:r w:rsidR="00541D05">
        <w:t xml:space="preserve"> </w:t>
      </w:r>
      <w:r w:rsidR="00D9258C" w:rsidRPr="00FD6A6A">
        <w:t>of</w:t>
      </w:r>
      <w:r w:rsidR="00541D05">
        <w:t xml:space="preserve"> </w:t>
      </w:r>
      <w:r w:rsidR="00D9258C" w:rsidRPr="00FD6A6A">
        <w:t>the</w:t>
      </w:r>
      <w:r w:rsidR="00541D05">
        <w:t xml:space="preserve"> </w:t>
      </w:r>
      <w:r w:rsidR="00D9258C" w:rsidRPr="00FD6A6A">
        <w:t>students</w:t>
      </w:r>
      <w:r w:rsidR="00541D05">
        <w:t xml:space="preserve"> </w:t>
      </w:r>
      <w:r w:rsidR="00D9258C" w:rsidRPr="00FD6A6A">
        <w:t>were</w:t>
      </w:r>
      <w:r w:rsidR="00541D05">
        <w:t xml:space="preserve"> </w:t>
      </w:r>
      <w:r w:rsidR="00D9258C" w:rsidRPr="00FD6A6A">
        <w:t>White</w:t>
      </w:r>
      <w:r w:rsidR="00541D05">
        <w:t xml:space="preserve"> </w:t>
      </w:r>
      <w:r w:rsidR="00D9258C" w:rsidRPr="00FD6A6A">
        <w:t>and</w:t>
      </w:r>
      <w:r w:rsidR="00541D05">
        <w:t xml:space="preserve"> </w:t>
      </w:r>
      <w:r w:rsidR="00D9258C" w:rsidRPr="00FD6A6A">
        <w:t>18%</w:t>
      </w:r>
      <w:r w:rsidR="00541D05">
        <w:t xml:space="preserve"> </w:t>
      </w:r>
      <w:r w:rsidR="00D9258C" w:rsidRPr="00FD6A6A">
        <w:t>were</w:t>
      </w:r>
      <w:r w:rsidR="00541D05">
        <w:t xml:space="preserve"> </w:t>
      </w:r>
      <w:r w:rsidR="00D9258C" w:rsidRPr="00FD6A6A">
        <w:t>Afro-Brazilians,</w:t>
      </w:r>
      <w:r w:rsidR="00541D05">
        <w:t xml:space="preserve"> </w:t>
      </w:r>
      <w:r w:rsidR="00D9258C" w:rsidRPr="00FD6A6A">
        <w:t>according</w:t>
      </w:r>
      <w:r w:rsidR="00541D05">
        <w:t xml:space="preserve"> </w:t>
      </w:r>
      <w:r w:rsidR="00D9258C" w:rsidRPr="00FD6A6A">
        <w:t>to</w:t>
      </w:r>
      <w:r w:rsidR="00541D05">
        <w:t xml:space="preserve"> </w:t>
      </w:r>
      <w:r w:rsidR="00D9258C" w:rsidRPr="00FD6A6A">
        <w:t>data</w:t>
      </w:r>
      <w:r w:rsidR="00541D05">
        <w:t xml:space="preserve"> </w:t>
      </w:r>
      <w:r w:rsidR="00D9258C" w:rsidRPr="00FD6A6A">
        <w:t>from</w:t>
      </w:r>
      <w:r w:rsidR="00541D05">
        <w:t xml:space="preserve"> </w:t>
      </w:r>
      <w:r w:rsidR="00D9258C" w:rsidRPr="00FD6A6A">
        <w:t>the</w:t>
      </w:r>
      <w:r w:rsidR="00541D05">
        <w:t xml:space="preserve"> </w:t>
      </w:r>
      <w:r w:rsidR="00D9258C" w:rsidRPr="00FD6A6A">
        <w:t>PNAD;</w:t>
      </w:r>
      <w:r w:rsidR="00541D05">
        <w:t xml:space="preserve"> </w:t>
      </w:r>
      <w:r w:rsidR="00D9258C" w:rsidRPr="00FD6A6A">
        <w:t>in</w:t>
      </w:r>
      <w:r w:rsidR="00541D05">
        <w:t xml:space="preserve"> </w:t>
      </w:r>
      <w:r w:rsidR="00D9258C" w:rsidRPr="00FD6A6A">
        <w:t>the</w:t>
      </w:r>
      <w:r w:rsidR="00541D05">
        <w:t xml:space="preserve"> </w:t>
      </w:r>
      <w:r w:rsidR="00D9258C" w:rsidRPr="00FD6A6A">
        <w:t>same</w:t>
      </w:r>
      <w:r w:rsidR="00541D05">
        <w:t xml:space="preserve"> </w:t>
      </w:r>
      <w:r w:rsidR="00D9258C" w:rsidRPr="00FD6A6A">
        <w:t>year,</w:t>
      </w:r>
      <w:r w:rsidR="00541D05">
        <w:t xml:space="preserve"> </w:t>
      </w:r>
      <w:r w:rsidR="00D9258C" w:rsidRPr="00FD6A6A">
        <w:t>in</w:t>
      </w:r>
      <w:r w:rsidR="00541D05">
        <w:t xml:space="preserve"> </w:t>
      </w:r>
      <w:r w:rsidR="00D9258C" w:rsidRPr="00FD6A6A">
        <w:t>public</w:t>
      </w:r>
      <w:r w:rsidR="00541D05">
        <w:t xml:space="preserve"> </w:t>
      </w:r>
      <w:r w:rsidR="00D9258C" w:rsidRPr="00FD6A6A">
        <w:t>institutions,</w:t>
      </w:r>
      <w:r w:rsidR="00541D05">
        <w:t xml:space="preserve"> </w:t>
      </w:r>
      <w:r w:rsidR="00D9258C" w:rsidRPr="00FD6A6A">
        <w:t>67%</w:t>
      </w:r>
      <w:r w:rsidR="00541D05">
        <w:t xml:space="preserve"> </w:t>
      </w:r>
      <w:r w:rsidR="00D9258C" w:rsidRPr="00FD6A6A">
        <w:t>were</w:t>
      </w:r>
      <w:r w:rsidR="00541D05">
        <w:t xml:space="preserve"> </w:t>
      </w:r>
      <w:r w:rsidR="00D9258C" w:rsidRPr="00FD6A6A">
        <w:t>White</w:t>
      </w:r>
      <w:r w:rsidR="00541D05">
        <w:t xml:space="preserve"> </w:t>
      </w:r>
      <w:r w:rsidR="00D9258C" w:rsidRPr="00FD6A6A">
        <w:t>and</w:t>
      </w:r>
      <w:r w:rsidR="00541D05">
        <w:t xml:space="preserve"> </w:t>
      </w:r>
      <w:r w:rsidR="00D9258C" w:rsidRPr="00FD6A6A">
        <w:t>31.4%</w:t>
      </w:r>
      <w:r w:rsidR="00541D05">
        <w:t xml:space="preserve"> </w:t>
      </w:r>
      <w:r w:rsidR="00D9258C" w:rsidRPr="00FD6A6A">
        <w:t>were</w:t>
      </w:r>
      <w:r w:rsidR="00541D05">
        <w:t xml:space="preserve"> </w:t>
      </w:r>
      <w:r w:rsidR="00D9258C" w:rsidRPr="00FD6A6A">
        <w:t>Afro-Brazilians.</w:t>
      </w:r>
      <w:r w:rsidR="00541D05">
        <w:t xml:space="preserve"> </w:t>
      </w:r>
      <w:r w:rsidR="00D9258C" w:rsidRPr="00FD6A6A">
        <w:t>This</w:t>
      </w:r>
      <w:r w:rsidR="00541D05">
        <w:t xml:space="preserve"> </w:t>
      </w:r>
      <w:r w:rsidR="00D9258C" w:rsidRPr="00FD6A6A">
        <w:t>is</w:t>
      </w:r>
      <w:r w:rsidR="00541D05">
        <w:t xml:space="preserve"> </w:t>
      </w:r>
      <w:r w:rsidR="00D9258C" w:rsidRPr="00FD6A6A">
        <w:t>because,</w:t>
      </w:r>
      <w:r w:rsidR="00541D05">
        <w:t xml:space="preserve"> </w:t>
      </w:r>
      <w:r w:rsidR="00D9258C" w:rsidRPr="00FD6A6A">
        <w:t>historically,</w:t>
      </w:r>
      <w:r w:rsidR="00541D05">
        <w:t xml:space="preserve"> </w:t>
      </w:r>
      <w:r w:rsidR="00D9258C" w:rsidRPr="00FD6A6A">
        <w:t>the</w:t>
      </w:r>
      <w:r w:rsidR="00541D05">
        <w:t xml:space="preserve"> </w:t>
      </w:r>
      <w:r w:rsidR="00D9258C" w:rsidRPr="00FD6A6A">
        <w:t>income</w:t>
      </w:r>
      <w:r w:rsidR="00541D05">
        <w:t xml:space="preserve"> </w:t>
      </w:r>
      <w:r w:rsidR="00D9258C" w:rsidRPr="00FD6A6A">
        <w:t>issue</w:t>
      </w:r>
      <w:r w:rsidR="00541D05">
        <w:t xml:space="preserve"> </w:t>
      </w:r>
      <w:r w:rsidR="00D9258C" w:rsidRPr="00FD6A6A">
        <w:t>and</w:t>
      </w:r>
      <w:r w:rsidR="00541D05">
        <w:t xml:space="preserve"> </w:t>
      </w:r>
      <w:r w:rsidR="00D9258C" w:rsidRPr="00FD6A6A">
        <w:t>the</w:t>
      </w:r>
      <w:r w:rsidR="00541D05">
        <w:t xml:space="preserve"> </w:t>
      </w:r>
      <w:r w:rsidR="00D9258C" w:rsidRPr="00FD6A6A">
        <w:t>more</w:t>
      </w:r>
      <w:r w:rsidR="00541D05">
        <w:t xml:space="preserve"> </w:t>
      </w:r>
      <w:r w:rsidR="00D9258C" w:rsidRPr="00FD6A6A">
        <w:t>restrictive</w:t>
      </w:r>
      <w:r w:rsidR="00541D05">
        <w:t xml:space="preserve"> </w:t>
      </w:r>
      <w:r w:rsidR="00D9258C" w:rsidRPr="00FD6A6A">
        <w:t>student</w:t>
      </w:r>
      <w:r w:rsidR="00541D05">
        <w:t xml:space="preserve"> </w:t>
      </w:r>
      <w:r w:rsidR="00D9258C" w:rsidRPr="00FD6A6A">
        <w:t>loan</w:t>
      </w:r>
      <w:r w:rsidR="00541D05">
        <w:t xml:space="preserve"> </w:t>
      </w:r>
      <w:r w:rsidR="00D9258C" w:rsidRPr="00FD6A6A">
        <w:t>policy</w:t>
      </w:r>
      <w:r w:rsidR="00541D05">
        <w:t xml:space="preserve"> </w:t>
      </w:r>
      <w:r w:rsidR="00D9258C" w:rsidRPr="00FD6A6A">
        <w:t>contributed</w:t>
      </w:r>
      <w:r w:rsidR="00541D05">
        <w:t xml:space="preserve"> </w:t>
      </w:r>
      <w:r w:rsidR="00D9258C" w:rsidRPr="00FD6A6A">
        <w:t>to</w:t>
      </w:r>
      <w:r w:rsidR="00541D05">
        <w:t xml:space="preserve"> </w:t>
      </w:r>
      <w:r w:rsidR="00D9258C" w:rsidRPr="00FD6A6A">
        <w:t>the</w:t>
      </w:r>
      <w:r w:rsidR="00541D05">
        <w:t xml:space="preserve"> </w:t>
      </w:r>
      <w:r w:rsidR="00D9258C" w:rsidRPr="00FD6A6A">
        <w:t>blocking</w:t>
      </w:r>
      <w:r w:rsidR="00541D05">
        <w:t xml:space="preserve"> </w:t>
      </w:r>
      <w:r w:rsidR="00D9258C" w:rsidRPr="00FD6A6A">
        <w:t>of</w:t>
      </w:r>
      <w:r w:rsidR="00541D05">
        <w:t xml:space="preserve"> </w:t>
      </w:r>
      <w:r w:rsidR="00D9258C" w:rsidRPr="00FD6A6A">
        <w:t>admission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into</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However,</w:t>
      </w:r>
      <w:r w:rsidR="00541D05">
        <w:t xml:space="preserve"> </w:t>
      </w:r>
      <w:r w:rsidR="00D9258C" w:rsidRPr="00FD6A6A">
        <w:t>as</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vacancies</w:t>
      </w:r>
      <w:r w:rsidR="00541D05">
        <w:t xml:space="preserve"> </w:t>
      </w:r>
      <w:r w:rsidR="00D9258C" w:rsidRPr="00FD6A6A">
        <w:t>offered</w:t>
      </w:r>
      <w:r w:rsidR="00541D05">
        <w:t xml:space="preserve"> </w:t>
      </w:r>
      <w:r w:rsidR="00D9258C" w:rsidRPr="00FD6A6A">
        <w:t>was</w:t>
      </w:r>
      <w:r w:rsidR="00541D05">
        <w:t xml:space="preserve"> </w:t>
      </w:r>
      <w:r w:rsidR="00D9258C" w:rsidRPr="00FD6A6A">
        <w:t>higher</w:t>
      </w:r>
      <w:r w:rsidR="00541D05">
        <w:t xml:space="preserve"> </w:t>
      </w:r>
      <w:r w:rsidR="00D9258C" w:rsidRPr="00FD6A6A">
        <w:t>than</w:t>
      </w:r>
      <w:r w:rsidR="00541D05">
        <w:t xml:space="preserve"> </w:t>
      </w:r>
      <w:r w:rsidR="00D9258C" w:rsidRPr="00FD6A6A">
        <w:t>in</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in</w:t>
      </w:r>
      <w:r w:rsidR="00541D05">
        <w:t xml:space="preserve"> </w:t>
      </w:r>
      <w:r w:rsidR="00D9258C" w:rsidRPr="00FD6A6A">
        <w:t>absolute</w:t>
      </w:r>
      <w:r w:rsidR="00541D05">
        <w:t xml:space="preserve"> </w:t>
      </w:r>
      <w:r w:rsidR="00D9258C" w:rsidRPr="00FD6A6A">
        <w:t>numbers,</w:t>
      </w:r>
      <w:r w:rsidR="00541D05">
        <w:t xml:space="preserve"> </w:t>
      </w:r>
      <w:r w:rsidR="00D9258C" w:rsidRPr="00FD6A6A">
        <w:t>this</w:t>
      </w:r>
      <w:r w:rsidR="00541D05">
        <w:t xml:space="preserve"> </w:t>
      </w:r>
      <w:r w:rsidR="00D9258C" w:rsidRPr="00FD6A6A">
        <w:t>sector</w:t>
      </w:r>
      <w:r w:rsidR="00541D05">
        <w:t xml:space="preserve"> </w:t>
      </w:r>
      <w:r w:rsidR="00D9258C" w:rsidRPr="00FD6A6A">
        <w:t>welcomed</w:t>
      </w:r>
      <w:r w:rsidR="00541D05">
        <w:t xml:space="preserve"> </w:t>
      </w:r>
      <w:r w:rsidR="00D9258C" w:rsidRPr="00FD6A6A">
        <w:t>most</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students.</w:t>
      </w:r>
    </w:p>
    <w:p w14:paraId="4FA7CB6B" w14:textId="710385AF" w:rsidR="00D9258C" w:rsidRPr="00FD6A6A" w:rsidRDefault="00166390" w:rsidP="00166390">
      <w:pPr>
        <w:pStyle w:val="ParaNoG"/>
        <w:numPr>
          <w:ilvl w:val="0"/>
          <w:numId w:val="0"/>
        </w:numPr>
        <w:tabs>
          <w:tab w:val="left" w:pos="0"/>
        </w:tabs>
        <w:ind w:left="1134"/>
      </w:pPr>
      <w:r w:rsidRPr="00FD6A6A">
        <w:t>88.</w:t>
      </w:r>
      <w:r w:rsidRPr="00FD6A6A">
        <w:tab/>
      </w:r>
      <w:r w:rsidR="00D9258C" w:rsidRPr="00FD6A6A">
        <w:t>In</w:t>
      </w:r>
      <w:r w:rsidR="00541D05">
        <w:t xml:space="preserve"> </w:t>
      </w:r>
      <w:r w:rsidR="00D9258C" w:rsidRPr="00FD6A6A">
        <w:t>2015,</w:t>
      </w:r>
      <w:r w:rsidR="00541D05">
        <w:t xml:space="preserve"> </w:t>
      </w:r>
      <w:r w:rsidR="00D9258C" w:rsidRPr="00FD6A6A">
        <w:t>the</w:t>
      </w:r>
      <w:r w:rsidR="00541D05">
        <w:t xml:space="preserve"> </w:t>
      </w:r>
      <w:r w:rsidR="00D9258C" w:rsidRPr="00FD6A6A">
        <w:t>relative</w:t>
      </w:r>
      <w:r w:rsidR="00541D05">
        <w:t xml:space="preserve"> </w:t>
      </w:r>
      <w:r w:rsidR="00D9258C" w:rsidRPr="00FD6A6A">
        <w:t>participation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had</w:t>
      </w:r>
      <w:r w:rsidR="00541D05">
        <w:t xml:space="preserve"> </w:t>
      </w:r>
      <w:r w:rsidR="00D9258C" w:rsidRPr="00FD6A6A">
        <w:t>already</w:t>
      </w:r>
      <w:r w:rsidR="00541D05">
        <w:t xml:space="preserve"> </w:t>
      </w:r>
      <w:r w:rsidR="00D9258C" w:rsidRPr="00FD6A6A">
        <w:t>increased</w:t>
      </w:r>
      <w:r w:rsidR="00541D05">
        <w:t xml:space="preserve"> </w:t>
      </w:r>
      <w:r w:rsidR="00D9258C" w:rsidRPr="00FD6A6A">
        <w:t>both</w:t>
      </w:r>
      <w:r w:rsidR="00541D05">
        <w:t xml:space="preserve"> </w:t>
      </w:r>
      <w:r w:rsidR="00D9258C" w:rsidRPr="00FD6A6A">
        <w:t>in</w:t>
      </w:r>
      <w:r w:rsidR="00541D05">
        <w:t xml:space="preserve"> </w:t>
      </w:r>
      <w:r w:rsidR="00D9258C" w:rsidRPr="00FD6A6A">
        <w:t>public</w:t>
      </w:r>
      <w:r w:rsidR="00541D05">
        <w:t xml:space="preserve"> </w:t>
      </w:r>
      <w:r w:rsidR="00D9258C" w:rsidRPr="00FD6A6A">
        <w:t>and</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In</w:t>
      </w:r>
      <w:r w:rsidR="00541D05">
        <w:t xml:space="preserve"> </w:t>
      </w:r>
      <w:r w:rsidR="00D9258C" w:rsidRPr="00FD6A6A">
        <w:t>2015,</w:t>
      </w:r>
      <w:r w:rsidR="00541D05">
        <w:t xml:space="preserve"> </w:t>
      </w:r>
      <w:r w:rsidR="00D9258C" w:rsidRPr="00FD6A6A">
        <w:t>the</w:t>
      </w:r>
      <w:r w:rsidR="00541D05">
        <w:t xml:space="preserve"> </w:t>
      </w:r>
      <w:r w:rsidR="00D9258C" w:rsidRPr="00FD6A6A">
        <w:t>relative</w:t>
      </w:r>
      <w:r w:rsidR="00541D05">
        <w:t xml:space="preserve"> </w:t>
      </w:r>
      <w:r w:rsidR="00D9258C" w:rsidRPr="00FD6A6A">
        <w:t>weight</w:t>
      </w:r>
      <w:r w:rsidR="00541D05">
        <w:t xml:space="preserve"> </w:t>
      </w:r>
      <w:r w:rsidR="00D9258C" w:rsidRPr="00FD6A6A">
        <w:t>of</w:t>
      </w:r>
      <w:r w:rsidR="00541D05">
        <w:t xml:space="preserve"> </w:t>
      </w:r>
      <w:r w:rsidR="00D9258C" w:rsidRPr="00FD6A6A">
        <w:t>Afro-Brazilians</w:t>
      </w:r>
      <w:r w:rsidR="00541D05">
        <w:t xml:space="preserve"> </w:t>
      </w:r>
      <w:r w:rsidR="00D9258C" w:rsidRPr="00FD6A6A">
        <w:t>increased</w:t>
      </w:r>
      <w:r w:rsidR="00541D05">
        <w:t xml:space="preserve"> </w:t>
      </w:r>
      <w:r w:rsidR="00D9258C" w:rsidRPr="00FD6A6A">
        <w:t>to</w:t>
      </w:r>
      <w:r w:rsidR="00541D05">
        <w:t xml:space="preserve"> </w:t>
      </w:r>
      <w:r w:rsidR="00D9258C" w:rsidRPr="00FD6A6A">
        <w:t>45.1%</w:t>
      </w:r>
      <w:r w:rsidR="00541D05">
        <w:t xml:space="preserve"> </w:t>
      </w:r>
      <w:r w:rsidR="00D9258C" w:rsidRPr="00FD6A6A">
        <w:t>in</w:t>
      </w:r>
      <w:r w:rsidR="00541D05">
        <w:t xml:space="preserve"> </w:t>
      </w:r>
      <w:r w:rsidR="00D9258C" w:rsidRPr="00FD6A6A">
        <w:t>public</w:t>
      </w:r>
      <w:r w:rsidR="00541D05">
        <w:t xml:space="preserve"> </w:t>
      </w:r>
      <w:r w:rsidR="00D9258C" w:rsidRPr="00FD6A6A">
        <w:t>universities</w:t>
      </w:r>
      <w:r w:rsidR="00541D05">
        <w:t xml:space="preserve"> </w:t>
      </w:r>
      <w:r w:rsidR="00D9258C" w:rsidRPr="00FD6A6A">
        <w:t>and</w:t>
      </w:r>
      <w:r w:rsidR="00541D05">
        <w:t xml:space="preserve"> </w:t>
      </w:r>
      <w:r w:rsidR="00D9258C" w:rsidRPr="00FD6A6A">
        <w:t>to</w:t>
      </w:r>
      <w:r w:rsidR="00541D05">
        <w:t xml:space="preserve"> </w:t>
      </w:r>
      <w:r w:rsidR="00D9258C" w:rsidRPr="00FD6A6A">
        <w:t>43.3%</w:t>
      </w:r>
      <w:r w:rsidR="00541D05">
        <w:t xml:space="preserve"> </w:t>
      </w:r>
      <w:r w:rsidR="00D9258C" w:rsidRPr="00FD6A6A">
        <w:t>in</w:t>
      </w:r>
      <w:r w:rsidR="00541D05">
        <w:t xml:space="preserve"> </w:t>
      </w:r>
      <w:r w:rsidR="00D9258C" w:rsidRPr="00FD6A6A">
        <w:t>private</w:t>
      </w:r>
      <w:r w:rsidR="00541D05">
        <w:t xml:space="preserve"> </w:t>
      </w:r>
      <w:r w:rsidR="00D9258C" w:rsidRPr="00FD6A6A">
        <w:t>institutions.</w:t>
      </w:r>
      <w:r w:rsidR="00541D05">
        <w:t xml:space="preserve"> </w:t>
      </w:r>
      <w:r w:rsidR="00D9258C" w:rsidRPr="00FD6A6A">
        <w:t>This</w:t>
      </w:r>
      <w:r w:rsidR="00541D05">
        <w:t xml:space="preserve"> </w:t>
      </w:r>
      <w:r w:rsidR="00D9258C" w:rsidRPr="00FD6A6A">
        <w:t>is</w:t>
      </w:r>
      <w:r w:rsidR="00541D05">
        <w:t xml:space="preserve"> </w:t>
      </w:r>
      <w:r w:rsidR="00D9258C" w:rsidRPr="00FD6A6A">
        <w:t>a</w:t>
      </w:r>
      <w:r w:rsidR="00541D05">
        <w:t xml:space="preserve"> </w:t>
      </w:r>
      <w:r w:rsidR="00D9258C" w:rsidRPr="00FD6A6A">
        <w:t>significant</w:t>
      </w:r>
      <w:r w:rsidR="00541D05">
        <w:t xml:space="preserve"> </w:t>
      </w:r>
      <w:r w:rsidR="00D9258C" w:rsidRPr="00FD6A6A">
        <w:t>progress</w:t>
      </w:r>
      <w:r w:rsidR="00541D05">
        <w:t xml:space="preserve"> </w:t>
      </w:r>
      <w:r w:rsidR="00D9258C" w:rsidRPr="00FD6A6A">
        <w:t>given</w:t>
      </w:r>
      <w:r w:rsidR="00541D05">
        <w:t xml:space="preserve"> </w:t>
      </w:r>
      <w:r w:rsidR="00D9258C" w:rsidRPr="00FD6A6A">
        <w:t>such</w:t>
      </w:r>
      <w:r w:rsidR="00541D05">
        <w:t xml:space="preserve"> </w:t>
      </w:r>
      <w:r w:rsidR="00D9258C" w:rsidRPr="00FD6A6A">
        <w:t>a</w:t>
      </w:r>
      <w:r w:rsidR="00541D05">
        <w:t xml:space="preserve"> </w:t>
      </w:r>
      <w:r w:rsidR="00D9258C" w:rsidRPr="00FD6A6A">
        <w:t>challenging</w:t>
      </w:r>
      <w:r w:rsidR="00541D05">
        <w:t xml:space="preserve"> </w:t>
      </w:r>
      <w:r w:rsidR="00D9258C" w:rsidRPr="00FD6A6A">
        <w:t>scenario.</w:t>
      </w:r>
    </w:p>
    <w:p w14:paraId="7333AB4C" w14:textId="1929BB4F" w:rsidR="00D9258C" w:rsidRPr="00FD6A6A" w:rsidRDefault="00166390" w:rsidP="00166390">
      <w:pPr>
        <w:pStyle w:val="ParaNoG"/>
        <w:numPr>
          <w:ilvl w:val="0"/>
          <w:numId w:val="0"/>
        </w:numPr>
        <w:tabs>
          <w:tab w:val="left" w:pos="0"/>
        </w:tabs>
        <w:ind w:left="1134"/>
      </w:pPr>
      <w:r w:rsidRPr="00FD6A6A">
        <w:t>89.</w:t>
      </w:r>
      <w:r w:rsidRPr="00FD6A6A">
        <w:tab/>
      </w:r>
      <w:r w:rsidR="00D9258C" w:rsidRPr="00FD6A6A">
        <w:t>The</w:t>
      </w:r>
      <w:r w:rsidR="00541D05">
        <w:t xml:space="preserve"> </w:t>
      </w:r>
      <w:r w:rsidR="00D9258C" w:rsidRPr="00FD6A6A">
        <w:t>expansion</w:t>
      </w:r>
      <w:r w:rsidR="00541D05">
        <w:t xml:space="preserve"> </w:t>
      </w:r>
      <w:r w:rsidR="00D9258C" w:rsidRPr="00FD6A6A">
        <w:t>of</w:t>
      </w:r>
      <w:r w:rsidR="00541D05">
        <w:t xml:space="preserve"> </w:t>
      </w:r>
      <w:r w:rsidR="00D9258C" w:rsidRPr="00FD6A6A">
        <w:t>vacancies</w:t>
      </w:r>
      <w:r w:rsidR="00541D05">
        <w:t xml:space="preserve"> </w:t>
      </w:r>
      <w:r w:rsidR="00D9258C" w:rsidRPr="00FD6A6A">
        <w:t>in</w:t>
      </w:r>
      <w:r w:rsidR="00541D05">
        <w:t xml:space="preserve"> </w:t>
      </w:r>
      <w:r w:rsidR="00D9258C" w:rsidRPr="00FD6A6A">
        <w:t>public</w:t>
      </w:r>
      <w:r w:rsidR="00541D05">
        <w:t xml:space="preserve"> </w:t>
      </w:r>
      <w:r w:rsidR="00D9258C" w:rsidRPr="00FD6A6A">
        <w:t>institutions</w:t>
      </w:r>
      <w:r w:rsidR="00541D05">
        <w:t xml:space="preserve"> </w:t>
      </w:r>
      <w:r w:rsidR="00D9258C" w:rsidRPr="00FD6A6A">
        <w:t>and</w:t>
      </w:r>
      <w:r w:rsidR="00541D05">
        <w:t xml:space="preserve"> </w:t>
      </w:r>
      <w:r w:rsidR="00D9258C" w:rsidRPr="00FD6A6A">
        <w:t>the</w:t>
      </w:r>
      <w:r w:rsidR="00541D05">
        <w:t xml:space="preserve"> </w:t>
      </w:r>
      <w:r w:rsidR="00D9258C" w:rsidRPr="00FD6A6A">
        <w:t>adoption</w:t>
      </w:r>
      <w:r w:rsidR="00541D05">
        <w:t xml:space="preserve"> </w:t>
      </w:r>
      <w:r w:rsidR="00D9258C" w:rsidRPr="00FD6A6A">
        <w:t>of</w:t>
      </w:r>
      <w:r w:rsidR="00541D05">
        <w:t xml:space="preserve"> </w:t>
      </w:r>
      <w:r w:rsidR="00D9258C" w:rsidRPr="00FD6A6A">
        <w:t>the</w:t>
      </w:r>
      <w:r w:rsidR="00541D05">
        <w:t xml:space="preserve"> </w:t>
      </w:r>
      <w:r w:rsidR="00D9258C" w:rsidRPr="00FD6A6A">
        <w:t>quota</w:t>
      </w:r>
      <w:r w:rsidR="00541D05">
        <w:t xml:space="preserve"> </w:t>
      </w:r>
      <w:r w:rsidR="00D9258C" w:rsidRPr="00FD6A6A">
        <w:t>policy</w:t>
      </w:r>
      <w:r w:rsidR="00541D05">
        <w:t xml:space="preserve"> </w:t>
      </w:r>
      <w:r w:rsidR="00D9258C" w:rsidRPr="00FD6A6A">
        <w:t>were</w:t>
      </w:r>
      <w:r w:rsidR="00541D05">
        <w:t xml:space="preserve"> </w:t>
      </w:r>
      <w:r w:rsidR="00D9258C" w:rsidRPr="00FD6A6A">
        <w:t>important</w:t>
      </w:r>
      <w:r w:rsidR="00541D05">
        <w:t xml:space="preserve"> </w:t>
      </w:r>
      <w:r w:rsidR="00D9258C" w:rsidRPr="00FD6A6A">
        <w:t>actions</w:t>
      </w:r>
      <w:r w:rsidR="00541D05">
        <w:t xml:space="preserve"> </w:t>
      </w:r>
      <w:r w:rsidR="00D9258C" w:rsidRPr="00FD6A6A">
        <w:t>to</w:t>
      </w:r>
      <w:r w:rsidR="00541D05">
        <w:t xml:space="preserve"> </w:t>
      </w:r>
      <w:r w:rsidR="00D9258C" w:rsidRPr="00FD6A6A">
        <w:t>the</w:t>
      </w:r>
      <w:r w:rsidR="00541D05">
        <w:t xml:space="preserve"> </w:t>
      </w:r>
      <w:r w:rsidR="00D9258C" w:rsidRPr="00FD6A6A">
        <w:t>benefit</w:t>
      </w:r>
      <w:r w:rsidR="00541D05">
        <w:t xml:space="preserve"> </w:t>
      </w:r>
      <w:r w:rsidR="00D9258C" w:rsidRPr="00FD6A6A">
        <w:t>of</w:t>
      </w:r>
      <w:r w:rsidR="00541D05">
        <w:t xml:space="preserve"> </w:t>
      </w:r>
      <w:r w:rsidR="00D9258C" w:rsidRPr="00FD6A6A">
        <w:t>Afro-Brazilian</w:t>
      </w:r>
      <w:r w:rsidR="00541D05">
        <w:t xml:space="preserve"> </w:t>
      </w:r>
      <w:r w:rsidR="00D9258C" w:rsidRPr="00FD6A6A">
        <w:t>students.</w:t>
      </w:r>
      <w:r w:rsidR="00541D05">
        <w:t xml:space="preserve"> </w:t>
      </w:r>
      <w:r w:rsidR="00D9258C" w:rsidRPr="00FD6A6A">
        <w:t>Although</w:t>
      </w:r>
      <w:r w:rsidR="00541D05">
        <w:t xml:space="preserve"> </w:t>
      </w:r>
      <w:r w:rsidR="00D9258C" w:rsidRPr="00FD6A6A">
        <w:t>they</w:t>
      </w:r>
      <w:r w:rsidR="00541D05">
        <w:t xml:space="preserve"> </w:t>
      </w:r>
      <w:r w:rsidR="00D9258C" w:rsidRPr="00FD6A6A">
        <w:t>have</w:t>
      </w:r>
      <w:r w:rsidR="00541D05">
        <w:t xml:space="preserve"> </w:t>
      </w:r>
      <w:r w:rsidR="00D9258C" w:rsidRPr="00FD6A6A">
        <w:t>lower</w:t>
      </w:r>
      <w:r w:rsidR="00541D05">
        <w:t xml:space="preserve"> </w:t>
      </w:r>
      <w:r w:rsidR="00D9258C" w:rsidRPr="00FD6A6A">
        <w:t>participation</w:t>
      </w:r>
      <w:r w:rsidR="00541D05">
        <w:t xml:space="preserve"> </w:t>
      </w:r>
      <w:r w:rsidR="00D9258C" w:rsidRPr="00FD6A6A">
        <w:t>in</w:t>
      </w:r>
      <w:r w:rsidR="00541D05">
        <w:t xml:space="preserve"> </w:t>
      </w:r>
      <w:r w:rsidR="00D9258C" w:rsidRPr="00FD6A6A">
        <w:t>the</w:t>
      </w:r>
      <w:r w:rsidR="00541D05">
        <w:t xml:space="preserve"> </w:t>
      </w:r>
      <w:r w:rsidR="00D9258C" w:rsidRPr="00FD6A6A">
        <w:t>total</w:t>
      </w:r>
      <w:r w:rsidR="00541D05">
        <w:t xml:space="preserve"> </w:t>
      </w:r>
      <w:r w:rsidR="00D9258C" w:rsidRPr="00FD6A6A">
        <w:t>vacancies</w:t>
      </w:r>
      <w:r w:rsidR="00541D05">
        <w:t xml:space="preserve"> </w:t>
      </w:r>
      <w:r w:rsidR="00D9258C" w:rsidRPr="00FD6A6A">
        <w:t>offered</w:t>
      </w:r>
      <w:r w:rsidR="00541D05">
        <w:t xml:space="preserve"> </w:t>
      </w:r>
      <w:r w:rsidR="00D9258C" w:rsidRPr="00FD6A6A">
        <w:t>in</w:t>
      </w:r>
      <w:r w:rsidR="00541D05">
        <w:t xml:space="preserve"> </w:t>
      </w:r>
      <w:r w:rsidR="00D9258C" w:rsidRPr="00FD6A6A">
        <w:t>higher</w:t>
      </w:r>
      <w:r w:rsidR="00541D05">
        <w:t xml:space="preserve"> </w:t>
      </w:r>
      <w:r w:rsidR="00D9258C" w:rsidRPr="00FD6A6A">
        <w:t>education,</w:t>
      </w:r>
      <w:r w:rsidR="00541D05">
        <w:t xml:space="preserve"> </w:t>
      </w:r>
      <w:r w:rsidR="00D9258C" w:rsidRPr="00FD6A6A">
        <w:t>these</w:t>
      </w:r>
      <w:r w:rsidR="00541D05">
        <w:t xml:space="preserve"> </w:t>
      </w:r>
      <w:r w:rsidR="00D9258C" w:rsidRPr="00FD6A6A">
        <w:t>institutions</w:t>
      </w:r>
      <w:r w:rsidR="00541D05">
        <w:t xml:space="preserve"> </w:t>
      </w:r>
      <w:r w:rsidR="00D9258C" w:rsidRPr="00FD6A6A">
        <w:t>ensure</w:t>
      </w:r>
      <w:r w:rsidR="00541D05">
        <w:t xml:space="preserve"> </w:t>
      </w:r>
      <w:r w:rsidR="00D9258C" w:rsidRPr="00FD6A6A">
        <w:t>quality</w:t>
      </w:r>
      <w:r w:rsidR="00541D05">
        <w:t xml:space="preserve"> </w:t>
      </w:r>
      <w:r w:rsidR="00D9258C" w:rsidRPr="00FD6A6A">
        <w:t>education</w:t>
      </w:r>
      <w:r w:rsidR="00541D05">
        <w:t xml:space="preserve"> </w:t>
      </w:r>
      <w:r w:rsidR="00D9258C" w:rsidRPr="00FD6A6A">
        <w:t>and</w:t>
      </w:r>
      <w:r w:rsidR="00541D05">
        <w:t xml:space="preserve"> </w:t>
      </w:r>
      <w:r w:rsidR="00D9258C" w:rsidRPr="00FD6A6A">
        <w:t>are</w:t>
      </w:r>
      <w:r w:rsidR="00541D05">
        <w:t xml:space="preserve"> </w:t>
      </w:r>
      <w:r w:rsidR="00D9258C" w:rsidRPr="00FD6A6A">
        <w:t>more</w:t>
      </w:r>
      <w:r w:rsidR="00541D05">
        <w:t xml:space="preserve"> </w:t>
      </w:r>
      <w:r w:rsidR="00D9258C" w:rsidRPr="00FD6A6A">
        <w:t>affordable</w:t>
      </w:r>
      <w:r w:rsidR="00541D05">
        <w:t xml:space="preserve"> </w:t>
      </w:r>
      <w:r w:rsidR="00D9258C" w:rsidRPr="00FD6A6A">
        <w:t>for</w:t>
      </w:r>
      <w:r w:rsidR="00541D05">
        <w:t xml:space="preserve"> </w:t>
      </w:r>
      <w:r w:rsidR="00D9258C" w:rsidRPr="00FD6A6A">
        <w:t>low</w:t>
      </w:r>
      <w:r w:rsidR="00541D05">
        <w:t xml:space="preserve"> </w:t>
      </w:r>
      <w:r w:rsidR="00D9258C" w:rsidRPr="00FD6A6A">
        <w:t>income</w:t>
      </w:r>
      <w:r w:rsidR="00541D05">
        <w:t xml:space="preserve"> </w:t>
      </w:r>
      <w:r w:rsidR="00D9258C" w:rsidRPr="00FD6A6A">
        <w:t>Afro-Brazilians,</w:t>
      </w:r>
      <w:r w:rsidR="00541D05">
        <w:t xml:space="preserve"> </w:t>
      </w:r>
      <w:r w:rsidR="00D9258C" w:rsidRPr="00FD6A6A">
        <w:t>which</w:t>
      </w:r>
      <w:r w:rsidR="00541D05">
        <w:t xml:space="preserve"> </w:t>
      </w:r>
      <w:r w:rsidR="00D9258C" w:rsidRPr="00FD6A6A">
        <w:lastRenderedPageBreak/>
        <w:t>are</w:t>
      </w:r>
      <w:r w:rsidR="00541D05">
        <w:t xml:space="preserve"> </w:t>
      </w:r>
      <w:r w:rsidR="00D9258C" w:rsidRPr="00FD6A6A">
        <w:t>already</w:t>
      </w:r>
      <w:r w:rsidR="00541D05">
        <w:t xml:space="preserve"> </w:t>
      </w:r>
      <w:r w:rsidR="00D9258C" w:rsidRPr="00FD6A6A">
        <w:t>a</w:t>
      </w:r>
      <w:r w:rsidR="00541D05">
        <w:t xml:space="preserve"> </w:t>
      </w:r>
      <w:r w:rsidR="00D9258C" w:rsidRPr="00FD6A6A">
        <w:t>majority.</w:t>
      </w:r>
      <w:r w:rsidR="00541D05">
        <w:t xml:space="preserve"> </w:t>
      </w:r>
      <w:r w:rsidR="00D9258C" w:rsidRPr="00FD6A6A">
        <w:t>Expansion</w:t>
      </w:r>
      <w:r w:rsidR="00541D05">
        <w:t xml:space="preserve"> </w:t>
      </w:r>
      <w:r w:rsidR="00D9258C" w:rsidRPr="00FD6A6A">
        <w:t>based</w:t>
      </w:r>
      <w:r w:rsidR="00541D05">
        <w:t xml:space="preserve"> </w:t>
      </w:r>
      <w:r w:rsidR="00D9258C" w:rsidRPr="00FD6A6A">
        <w:t>on</w:t>
      </w:r>
      <w:r w:rsidR="00541D05">
        <w:t xml:space="preserve"> </w:t>
      </w:r>
      <w:r w:rsidR="00D9258C" w:rsidRPr="00FD6A6A">
        <w:t>private</w:t>
      </w:r>
      <w:r w:rsidR="00541D05">
        <w:t xml:space="preserve"> </w:t>
      </w:r>
      <w:r w:rsidR="00D9258C" w:rsidRPr="00FD6A6A">
        <w:t>higher</w:t>
      </w:r>
      <w:r w:rsidR="00541D05">
        <w:t xml:space="preserve"> </w:t>
      </w:r>
      <w:r w:rsidR="00D9258C" w:rsidRPr="00FD6A6A">
        <w:t>education</w:t>
      </w:r>
      <w:r w:rsidR="00541D05">
        <w:t xml:space="preserve"> </w:t>
      </w:r>
      <w:r w:rsidR="00D9258C" w:rsidRPr="00FD6A6A">
        <w:t>has</w:t>
      </w:r>
      <w:r w:rsidR="00541D05">
        <w:t xml:space="preserve"> </w:t>
      </w:r>
      <w:r w:rsidR="00D9258C" w:rsidRPr="00FD6A6A">
        <w:t>limitations</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especially</w:t>
      </w:r>
      <w:r w:rsidR="00541D05">
        <w:t xml:space="preserve"> </w:t>
      </w:r>
      <w:r w:rsidR="00D9258C" w:rsidRPr="00FD6A6A">
        <w:t>given</w:t>
      </w:r>
      <w:r w:rsidR="00541D05">
        <w:t xml:space="preserve"> </w:t>
      </w:r>
      <w:r w:rsidR="00D9258C" w:rsidRPr="00FD6A6A">
        <w:t>the</w:t>
      </w:r>
      <w:r w:rsidR="00541D05">
        <w:t xml:space="preserve"> </w:t>
      </w:r>
      <w:r w:rsidR="00D9258C" w:rsidRPr="00FD6A6A">
        <w:t>high</w:t>
      </w:r>
      <w:r w:rsidR="00541D05">
        <w:t xml:space="preserve"> </w:t>
      </w:r>
      <w:r w:rsidR="00D9258C" w:rsidRPr="00FD6A6A">
        <w:t>inequality</w:t>
      </w:r>
      <w:r w:rsidR="00541D05">
        <w:t xml:space="preserve"> </w:t>
      </w:r>
      <w:r w:rsidR="00D9258C" w:rsidRPr="00FD6A6A">
        <w:t>rates</w:t>
      </w:r>
      <w:r w:rsidR="00541D05">
        <w:t xml:space="preserve"> </w:t>
      </w:r>
      <w:r w:rsidR="00D9258C" w:rsidRPr="00FD6A6A">
        <w:t>between</w:t>
      </w:r>
      <w:r w:rsidR="00541D05">
        <w:t xml:space="preserve"> </w:t>
      </w:r>
      <w:r w:rsidR="00D9258C" w:rsidRPr="00FD6A6A">
        <w:t>White</w:t>
      </w:r>
      <w:r w:rsidR="00541D05">
        <w:t xml:space="preserve"> </w:t>
      </w:r>
      <w:r w:rsidR="00D9258C" w:rsidRPr="00FD6A6A">
        <w:t>and</w:t>
      </w:r>
      <w:r w:rsidR="00541D05">
        <w:t xml:space="preserve"> </w:t>
      </w:r>
      <w:r w:rsidR="00D9258C" w:rsidRPr="00FD6A6A">
        <w:t>Afro-Brazilians</w:t>
      </w:r>
      <w:r w:rsidR="00541D05">
        <w:t xml:space="preserve"> </w:t>
      </w:r>
      <w:r w:rsidR="00D9258C" w:rsidRPr="00FD6A6A">
        <w:t>in</w:t>
      </w:r>
      <w:r w:rsidR="00541D05">
        <w:t xml:space="preserve"> </w:t>
      </w:r>
      <w:r w:rsidR="00D9258C" w:rsidRPr="00FD6A6A">
        <w:t>Brazil</w:t>
      </w:r>
      <w:r w:rsidR="00541D05">
        <w:t xml:space="preserve"> </w:t>
      </w:r>
      <w:r w:rsidR="00D9258C" w:rsidRPr="00FD6A6A">
        <w:t>(73%</w:t>
      </w:r>
      <w:r w:rsidR="00541D05">
        <w:t xml:space="preserve"> </w:t>
      </w:r>
      <w:r w:rsidR="00D9258C" w:rsidRPr="00FD6A6A">
        <w:t>of</w:t>
      </w:r>
      <w:r w:rsidR="00541D05">
        <w:t xml:space="preserve"> </w:t>
      </w:r>
      <w:r w:rsidR="00D9258C" w:rsidRPr="00FD6A6A">
        <w:t>the</w:t>
      </w:r>
      <w:r w:rsidR="00541D05">
        <w:t xml:space="preserve"> </w:t>
      </w:r>
      <w:r w:rsidR="00D9258C" w:rsidRPr="00FD6A6A">
        <w:t>poorest</w:t>
      </w:r>
      <w:r w:rsidR="00541D05">
        <w:t xml:space="preserve"> </w:t>
      </w:r>
      <w:r w:rsidR="00D9258C" w:rsidRPr="00FD6A6A">
        <w:t>10%</w:t>
      </w:r>
      <w:r w:rsidR="00541D05">
        <w:t xml:space="preserve"> </w:t>
      </w:r>
      <w:r w:rsidR="00D9258C" w:rsidRPr="00FD6A6A">
        <w:t>in</w:t>
      </w:r>
      <w:r w:rsidR="00541D05">
        <w:t xml:space="preserve"> </w:t>
      </w:r>
      <w:r w:rsidR="00D9258C" w:rsidRPr="00FD6A6A">
        <w:t>Brazil</w:t>
      </w:r>
      <w:r w:rsidR="00541D05">
        <w:t xml:space="preserve"> </w:t>
      </w:r>
      <w:r w:rsidR="00D9258C" w:rsidRPr="00FD6A6A">
        <w:t>are</w:t>
      </w:r>
      <w:r w:rsidR="00541D05">
        <w:t xml:space="preserve"> </w:t>
      </w:r>
      <w:r w:rsidR="00D9258C" w:rsidRPr="00FD6A6A">
        <w:t>Afro-Brazilians,</w:t>
      </w:r>
      <w:r w:rsidR="00541D05">
        <w:t xml:space="preserve"> </w:t>
      </w:r>
      <w:r w:rsidR="00D9258C" w:rsidRPr="00FD6A6A">
        <w:t>according</w:t>
      </w:r>
      <w:r w:rsidR="00541D05">
        <w:t xml:space="preserve"> </w:t>
      </w:r>
      <w:r w:rsidR="00D9258C" w:rsidRPr="00FD6A6A">
        <w:t>to</w:t>
      </w:r>
      <w:r w:rsidR="00541D05">
        <w:t xml:space="preserve"> </w:t>
      </w:r>
      <w:r w:rsidR="00D9258C" w:rsidRPr="00FD6A6A">
        <w:t>data</w:t>
      </w:r>
      <w:r w:rsidR="00541D05">
        <w:t xml:space="preserve"> </w:t>
      </w:r>
      <w:r w:rsidR="00D9258C" w:rsidRPr="00FD6A6A">
        <w:t>provided</w:t>
      </w:r>
      <w:r w:rsidR="00541D05">
        <w:t xml:space="preserve"> </w:t>
      </w:r>
      <w:r w:rsidR="00D9258C" w:rsidRPr="00FD6A6A">
        <w:t>by</w:t>
      </w:r>
      <w:r w:rsidR="00541D05">
        <w:t xml:space="preserve"> </w:t>
      </w:r>
      <w:r w:rsidR="00D9258C" w:rsidRPr="00FD6A6A">
        <w:t>the</w:t>
      </w:r>
      <w:r w:rsidR="00541D05">
        <w:t xml:space="preserve"> </w:t>
      </w:r>
      <w:r w:rsidR="00D9258C" w:rsidRPr="00FD6A6A">
        <w:t>2015</w:t>
      </w:r>
      <w:r w:rsidR="00541D05">
        <w:t xml:space="preserve"> </w:t>
      </w:r>
      <w:r w:rsidR="00D9258C" w:rsidRPr="00FD6A6A">
        <w:t>PNAD).</w:t>
      </w:r>
    </w:p>
    <w:p w14:paraId="203F843D" w14:textId="48164389" w:rsidR="00D9258C" w:rsidRPr="00FD6A6A" w:rsidRDefault="00166390" w:rsidP="00166390">
      <w:pPr>
        <w:pStyle w:val="ParaNoG"/>
        <w:numPr>
          <w:ilvl w:val="0"/>
          <w:numId w:val="0"/>
        </w:numPr>
        <w:tabs>
          <w:tab w:val="left" w:pos="0"/>
        </w:tabs>
        <w:ind w:left="1134"/>
      </w:pPr>
      <w:r w:rsidRPr="00FD6A6A">
        <w:t>90.</w:t>
      </w:r>
      <w:r w:rsidRPr="00FD6A6A">
        <w:tab/>
      </w:r>
      <w:r w:rsidR="00D9258C" w:rsidRPr="00FD6A6A">
        <w:t>In</w:t>
      </w:r>
      <w:r w:rsidR="00541D05">
        <w:t xml:space="preserve"> </w:t>
      </w:r>
      <w:r w:rsidR="00D9258C" w:rsidRPr="00FD6A6A">
        <w:t>the</w:t>
      </w:r>
      <w:r w:rsidR="00541D05">
        <w:t xml:space="preserve"> </w:t>
      </w:r>
      <w:r w:rsidR="00D9258C" w:rsidRPr="00FD6A6A">
        <w:t>field</w:t>
      </w:r>
      <w:r w:rsidR="00541D05">
        <w:t xml:space="preserve"> </w:t>
      </w:r>
      <w:r w:rsidR="00D9258C" w:rsidRPr="00FD6A6A">
        <w:t>of</w:t>
      </w:r>
      <w:r w:rsidR="00541D05">
        <w:t xml:space="preserve"> </w:t>
      </w:r>
      <w:r w:rsidR="00D9258C" w:rsidRPr="00FD6A6A">
        <w:t>employment</w:t>
      </w:r>
      <w:r w:rsidR="00541D05">
        <w:t xml:space="preserve"> </w:t>
      </w:r>
      <w:r w:rsidR="00D9258C" w:rsidRPr="00FD6A6A">
        <w:t>relationships,</w:t>
      </w:r>
      <w:r w:rsidR="00541D05">
        <w:t xml:space="preserve"> </w:t>
      </w:r>
      <w:r w:rsidR="00D9258C" w:rsidRPr="00FD6A6A">
        <w:t>the</w:t>
      </w:r>
      <w:r w:rsidR="00541D05">
        <w:t xml:space="preserve"> </w:t>
      </w:r>
      <w:r w:rsidR="00D9258C" w:rsidRPr="00FD6A6A">
        <w:t>main</w:t>
      </w:r>
      <w:r w:rsidR="00541D05">
        <w:t xml:space="preserve"> </w:t>
      </w:r>
      <w:r w:rsidR="00D9258C" w:rsidRPr="00FD6A6A">
        <w:t>initiative</w:t>
      </w:r>
      <w:r w:rsidR="00541D05">
        <w:t xml:space="preserve"> </w:t>
      </w:r>
      <w:r w:rsidR="00D9258C" w:rsidRPr="00FD6A6A">
        <w:t>was</w:t>
      </w:r>
      <w:r w:rsidR="00541D05">
        <w:t xml:space="preserve"> </w:t>
      </w:r>
      <w:r w:rsidR="00D9258C" w:rsidRPr="00FD6A6A">
        <w:t>the</w:t>
      </w:r>
      <w:r w:rsidR="00541D05">
        <w:t xml:space="preserve"> </w:t>
      </w:r>
      <w:r w:rsidR="00D9258C" w:rsidRPr="00FD6A6A">
        <w:t>passing,</w:t>
      </w:r>
      <w:r w:rsidR="00541D05">
        <w:t xml:space="preserve"> </w:t>
      </w:r>
      <w:r w:rsidR="00D9258C" w:rsidRPr="00FD6A6A">
        <w:t>in</w:t>
      </w:r>
      <w:r w:rsidR="00541D05">
        <w:t xml:space="preserve"> </w:t>
      </w:r>
      <w:r w:rsidR="00D9258C" w:rsidRPr="00FD6A6A">
        <w:t>2014,</w:t>
      </w:r>
      <w:r w:rsidR="00541D05">
        <w:t xml:space="preserve"> </w:t>
      </w:r>
      <w:r w:rsidR="00D9258C" w:rsidRPr="00FD6A6A">
        <w:t>of</w:t>
      </w:r>
      <w:r w:rsidR="00541D05">
        <w:t xml:space="preserve"> </w:t>
      </w:r>
      <w:r w:rsidR="00D9258C" w:rsidRPr="00FD6A6A">
        <w:t>Law</w:t>
      </w:r>
      <w:r w:rsidR="00541D05">
        <w:t xml:space="preserve"> </w:t>
      </w:r>
      <w:r w:rsidR="00D9258C" w:rsidRPr="00FD6A6A">
        <w:t>No.</w:t>
      </w:r>
      <w:r w:rsidR="00541D05">
        <w:t xml:space="preserve"> </w:t>
      </w:r>
      <w:r w:rsidR="00D9258C" w:rsidRPr="00FD6A6A">
        <w:t>12,990,</w:t>
      </w:r>
      <w:r w:rsidR="00541D05">
        <w:t xml:space="preserve"> </w:t>
      </w:r>
      <w:r w:rsidR="00D9258C" w:rsidRPr="00FD6A6A">
        <w:t>also</w:t>
      </w:r>
      <w:r w:rsidR="00541D05">
        <w:t xml:space="preserve"> </w:t>
      </w:r>
      <w:r w:rsidR="00D9258C" w:rsidRPr="00FD6A6A">
        <w:t>referred</w:t>
      </w:r>
      <w:r w:rsidR="00541D05">
        <w:t xml:space="preserve"> </w:t>
      </w:r>
      <w:r w:rsidR="00D9258C" w:rsidRPr="00FD6A6A">
        <w:t>to</w:t>
      </w:r>
      <w:r w:rsidR="00541D05">
        <w:t xml:space="preserve"> </w:t>
      </w:r>
      <w:r w:rsidR="00D9258C" w:rsidRPr="00FD6A6A">
        <w:t>Law</w:t>
      </w:r>
      <w:r w:rsidR="00541D05">
        <w:t xml:space="preserve"> </w:t>
      </w:r>
      <w:r w:rsidR="00D9258C" w:rsidRPr="00FD6A6A">
        <w:t>on</w:t>
      </w:r>
      <w:r w:rsidR="00541D05">
        <w:t xml:space="preserve"> </w:t>
      </w:r>
      <w:r w:rsidR="00D9258C" w:rsidRPr="00FD6A6A">
        <w:t>Quotas</w:t>
      </w:r>
      <w:r w:rsidR="00541D05">
        <w:t xml:space="preserve"> </w:t>
      </w:r>
      <w:r w:rsidR="00D9258C" w:rsidRPr="00FD6A6A">
        <w:t>in</w:t>
      </w:r>
      <w:r w:rsidR="00541D05">
        <w:t xml:space="preserve"> </w:t>
      </w:r>
      <w:r w:rsidR="00D9258C" w:rsidRPr="00FD6A6A">
        <w:t>the</w:t>
      </w:r>
      <w:r w:rsidR="00541D05">
        <w:t xml:space="preserve"> </w:t>
      </w:r>
      <w:r w:rsidR="00D9258C" w:rsidRPr="00FD6A6A">
        <w:t>Public</w:t>
      </w:r>
      <w:r w:rsidR="00541D05">
        <w:t xml:space="preserve"> </w:t>
      </w:r>
      <w:r w:rsidR="00D9258C" w:rsidRPr="00FD6A6A">
        <w:t>Service.</w:t>
      </w:r>
      <w:r w:rsidR="00541D05">
        <w:t xml:space="preserve"> </w:t>
      </w:r>
      <w:r w:rsidR="00D9258C" w:rsidRPr="00FD6A6A">
        <w:t>This</w:t>
      </w:r>
      <w:r w:rsidR="00541D05">
        <w:t xml:space="preserve"> </w:t>
      </w:r>
      <w:r w:rsidR="00D9258C" w:rsidRPr="00FD6A6A">
        <w:t>law</w:t>
      </w:r>
      <w:r w:rsidR="00541D05">
        <w:t xml:space="preserve"> </w:t>
      </w:r>
      <w:r w:rsidR="00D9258C" w:rsidRPr="00FD6A6A">
        <w:t>reserves</w:t>
      </w:r>
      <w:r w:rsidR="00541D05">
        <w:t xml:space="preserve"> </w:t>
      </w:r>
      <w:r w:rsidR="00D9258C" w:rsidRPr="00FD6A6A">
        <w:t>20%</w:t>
      </w:r>
      <w:r w:rsidR="00541D05">
        <w:t xml:space="preserve"> </w:t>
      </w:r>
      <w:r w:rsidR="00D9258C" w:rsidRPr="00FD6A6A">
        <w:t>of</w:t>
      </w:r>
      <w:r w:rsidR="00541D05">
        <w:t xml:space="preserve"> </w:t>
      </w:r>
      <w:r w:rsidR="00D9258C" w:rsidRPr="00FD6A6A">
        <w:t>vacancies</w:t>
      </w:r>
      <w:r w:rsidR="00541D05">
        <w:t xml:space="preserve"> </w:t>
      </w:r>
      <w:r w:rsidR="00D9258C" w:rsidRPr="00FD6A6A">
        <w:t>for</w:t>
      </w:r>
      <w:r w:rsidR="00541D05">
        <w:t xml:space="preserve"> </w:t>
      </w:r>
      <w:r w:rsidR="00D9258C" w:rsidRPr="00FD6A6A">
        <w:t>blacks</w:t>
      </w:r>
      <w:r w:rsidR="00541D05">
        <w:t xml:space="preserve"> </w:t>
      </w:r>
      <w:r w:rsidR="00D9258C" w:rsidRPr="00FD6A6A">
        <w:t>and</w:t>
      </w:r>
      <w:r w:rsidR="00541D05">
        <w:t xml:space="preserve"> </w:t>
      </w:r>
      <w:r w:rsidR="00D9258C" w:rsidRPr="00FD6A6A">
        <w:t>Afro-Brazilians</w:t>
      </w:r>
      <w:r w:rsidR="00541D05">
        <w:t xml:space="preserve"> </w:t>
      </w:r>
      <w:r w:rsidR="00D9258C" w:rsidRPr="00FD6A6A">
        <w:t>in</w:t>
      </w:r>
      <w:r w:rsidR="00541D05">
        <w:t xml:space="preserve"> </w:t>
      </w:r>
      <w:r w:rsidR="00EA62F1">
        <w:t>“</w:t>
      </w:r>
      <w:r w:rsidR="00D9258C" w:rsidRPr="00FD6A6A">
        <w:t>exams</w:t>
      </w:r>
      <w:r w:rsidR="00541D05">
        <w:t xml:space="preserve"> </w:t>
      </w:r>
      <w:r w:rsidR="00D9258C" w:rsidRPr="00FD6A6A">
        <w:t>for</w:t>
      </w:r>
      <w:r w:rsidR="00541D05">
        <w:t xml:space="preserve"> </w:t>
      </w:r>
      <w:r w:rsidR="00D9258C" w:rsidRPr="00FD6A6A">
        <w:t>permanent</w:t>
      </w:r>
      <w:r w:rsidR="00541D05">
        <w:t xml:space="preserve"> </w:t>
      </w:r>
      <w:r w:rsidR="00D9258C" w:rsidRPr="00FD6A6A">
        <w:t>and</w:t>
      </w:r>
      <w:r w:rsidR="00541D05">
        <w:t xml:space="preserve"> </w:t>
      </w:r>
      <w:r w:rsidR="00D9258C" w:rsidRPr="00FD6A6A">
        <w:t>public</w:t>
      </w:r>
      <w:r w:rsidR="00541D05">
        <w:t xml:space="preserve"> </w:t>
      </w:r>
      <w:r w:rsidR="00D9258C" w:rsidRPr="00FD6A6A">
        <w:t>positions</w:t>
      </w:r>
      <w:r w:rsidR="00541D05">
        <w:t xml:space="preserve"> </w:t>
      </w:r>
      <w:r w:rsidR="00D9258C" w:rsidRPr="00FD6A6A">
        <w:t>in</w:t>
      </w:r>
      <w:r w:rsidR="00541D05">
        <w:t xml:space="preserve"> </w:t>
      </w:r>
      <w:r w:rsidR="00D9258C" w:rsidRPr="00FD6A6A">
        <w:t>the</w:t>
      </w:r>
      <w:r w:rsidR="00541D05">
        <w:t xml:space="preserve"> </w:t>
      </w:r>
      <w:r w:rsidR="00D9258C" w:rsidRPr="00FD6A6A">
        <w:t>scope</w:t>
      </w:r>
      <w:r w:rsidR="00541D05">
        <w:t xml:space="preserve"> </w:t>
      </w:r>
      <w:r w:rsidR="00D9258C" w:rsidRPr="00FD6A6A">
        <w:t>of</w:t>
      </w:r>
      <w:r w:rsidR="00541D05">
        <w:t xml:space="preserve"> </w:t>
      </w:r>
      <w:r w:rsidR="00D9258C" w:rsidRPr="00FD6A6A">
        <w:t>Direct</w:t>
      </w:r>
      <w:r w:rsidR="00541D05">
        <w:t xml:space="preserve"> </w:t>
      </w:r>
      <w:r w:rsidR="00D9258C" w:rsidRPr="00FD6A6A">
        <w:t>and</w:t>
      </w:r>
      <w:r w:rsidR="00541D05">
        <w:t xml:space="preserve"> </w:t>
      </w:r>
      <w:r w:rsidR="00D9258C" w:rsidRPr="00FD6A6A">
        <w:t>Indirect</w:t>
      </w:r>
      <w:r w:rsidR="00541D05">
        <w:t xml:space="preserve"> </w:t>
      </w:r>
      <w:r w:rsidR="00D9258C" w:rsidRPr="00FD6A6A">
        <w:t>Administration</w:t>
      </w:r>
      <w:r w:rsidR="00541D05">
        <w:t xml:space="preserve"> </w:t>
      </w:r>
      <w:r w:rsidR="00D9258C" w:rsidRPr="00FD6A6A">
        <w:t>of</w:t>
      </w:r>
      <w:r w:rsidR="00541D05">
        <w:t xml:space="preserve"> </w:t>
      </w:r>
      <w:r w:rsidR="00D9258C" w:rsidRPr="00FD6A6A">
        <w:t>the</w:t>
      </w:r>
      <w:r w:rsidR="00541D05">
        <w:t xml:space="preserve"> </w:t>
      </w:r>
      <w:r w:rsidR="00D9258C" w:rsidRPr="00FD6A6A">
        <w:t>Federal</w:t>
      </w:r>
      <w:r w:rsidR="00541D05">
        <w:t xml:space="preserve"> </w:t>
      </w:r>
      <w:r w:rsidR="00D9258C" w:rsidRPr="00FD6A6A">
        <w:t>Executive</w:t>
      </w:r>
      <w:r w:rsidR="00541D05">
        <w:t xml:space="preserve"> </w:t>
      </w:r>
      <w:r w:rsidR="00D9258C" w:rsidRPr="00FD6A6A">
        <w:t>Branch.</w:t>
      </w:r>
      <w:r w:rsidR="00EA62F1">
        <w:t>”</w:t>
      </w:r>
      <w:r w:rsidR="00541D05">
        <w:t xml:space="preserve"> </w:t>
      </w:r>
      <w:r w:rsidR="00D9258C" w:rsidRPr="00FD6A6A">
        <w:t>The</w:t>
      </w:r>
      <w:r w:rsidR="00541D05">
        <w:t xml:space="preserve"> </w:t>
      </w:r>
      <w:r w:rsidR="00D9258C" w:rsidRPr="00FD6A6A">
        <w:t>expectation,</w:t>
      </w:r>
      <w:r w:rsidR="00541D05">
        <w:t xml:space="preserve"> </w:t>
      </w:r>
      <w:r w:rsidR="00D9258C" w:rsidRPr="00FD6A6A">
        <w:t>upon</w:t>
      </w:r>
      <w:r w:rsidR="00541D05">
        <w:t xml:space="preserve"> </w:t>
      </w:r>
      <w:r w:rsidR="00D9258C" w:rsidRPr="00FD6A6A">
        <w:t>enactment</w:t>
      </w:r>
      <w:r w:rsidR="00541D05">
        <w:t xml:space="preserve"> </w:t>
      </w:r>
      <w:r w:rsidR="00D9258C" w:rsidRPr="00FD6A6A">
        <w:t>of</w:t>
      </w:r>
      <w:r w:rsidR="00541D05">
        <w:t xml:space="preserve"> </w:t>
      </w:r>
      <w:r w:rsidR="00D9258C" w:rsidRPr="00FD6A6A">
        <w:t>the</w:t>
      </w:r>
      <w:r w:rsidR="00541D05">
        <w:t xml:space="preserve"> </w:t>
      </w:r>
      <w:r w:rsidR="00D9258C" w:rsidRPr="00FD6A6A">
        <w:t>law,</w:t>
      </w:r>
      <w:r w:rsidR="00541D05">
        <w:t xml:space="preserve"> </w:t>
      </w:r>
      <w:r w:rsidR="00D9258C" w:rsidRPr="00FD6A6A">
        <w:t>was</w:t>
      </w:r>
      <w:r w:rsidR="00541D05">
        <w:t xml:space="preserve"> </w:t>
      </w:r>
      <w:r w:rsidR="00D9258C" w:rsidRPr="00FD6A6A">
        <w:t>to</w:t>
      </w:r>
      <w:r w:rsidR="00541D05">
        <w:t xml:space="preserve"> </w:t>
      </w:r>
      <w:r w:rsidR="00D9258C" w:rsidRPr="00FD6A6A">
        <w:t>increase</w:t>
      </w:r>
      <w:r w:rsidR="00541D05">
        <w:t xml:space="preserve"> </w:t>
      </w:r>
      <w:r w:rsidR="00D9258C" w:rsidRPr="00FD6A6A">
        <w:t>the</w:t>
      </w:r>
      <w:r w:rsidR="00541D05">
        <w:t xml:space="preserve"> </w:t>
      </w:r>
      <w:r w:rsidR="00D9258C" w:rsidRPr="00FD6A6A">
        <w:t>possibilities</w:t>
      </w:r>
      <w:r w:rsidR="00541D05">
        <w:t xml:space="preserve"> </w:t>
      </w:r>
      <w:r w:rsidR="00D9258C" w:rsidRPr="00FD6A6A">
        <w:t>of</w:t>
      </w:r>
      <w:r w:rsidR="00541D05">
        <w:t xml:space="preserve"> </w:t>
      </w:r>
      <w:r w:rsidR="00D9258C" w:rsidRPr="00FD6A6A">
        <w:t>inclusion</w:t>
      </w:r>
      <w:r w:rsidR="00541D05">
        <w:t xml:space="preserve"> </w:t>
      </w:r>
      <w:r w:rsidR="00D9258C" w:rsidRPr="00FD6A6A">
        <w:t>in</w:t>
      </w:r>
      <w:r w:rsidR="00541D05">
        <w:t xml:space="preserve"> </w:t>
      </w:r>
      <w:r w:rsidR="00D9258C" w:rsidRPr="00FD6A6A">
        <w:t>the</w:t>
      </w:r>
      <w:r w:rsidR="00541D05">
        <w:t xml:space="preserve"> </w:t>
      </w:r>
      <w:r w:rsidR="00D9258C" w:rsidRPr="00FD6A6A">
        <w:t>job</w:t>
      </w:r>
      <w:r w:rsidR="00541D05">
        <w:t xml:space="preserve"> </w:t>
      </w:r>
      <w:r w:rsidR="00D9258C" w:rsidRPr="00FD6A6A">
        <w:t>market</w:t>
      </w:r>
      <w:r w:rsidR="00541D05">
        <w:t xml:space="preserve"> </w:t>
      </w:r>
      <w:r w:rsidR="00D9258C" w:rsidRPr="00FD6A6A">
        <w:t>and</w:t>
      </w:r>
      <w:r w:rsidR="00541D05">
        <w:t xml:space="preserve"> </w:t>
      </w:r>
      <w:r w:rsidR="00D9258C" w:rsidRPr="00FD6A6A">
        <w:t>ensure</w:t>
      </w:r>
      <w:r w:rsidR="00541D05">
        <w:t xml:space="preserve"> </w:t>
      </w:r>
      <w:r w:rsidR="00D9258C" w:rsidRPr="00FD6A6A">
        <w:t>access</w:t>
      </w:r>
      <w:r w:rsidR="00541D05">
        <w:t xml:space="preserve"> </w:t>
      </w:r>
      <w:r w:rsidR="00D9258C" w:rsidRPr="00FD6A6A">
        <w:t>to</w:t>
      </w:r>
      <w:r w:rsidR="00541D05">
        <w:t xml:space="preserve"> </w:t>
      </w:r>
      <w:r w:rsidR="00D9258C" w:rsidRPr="00FD6A6A">
        <w:t>more</w:t>
      </w:r>
      <w:r w:rsidR="00541D05">
        <w:t xml:space="preserve"> </w:t>
      </w:r>
      <w:r w:rsidR="00D9258C" w:rsidRPr="00FD6A6A">
        <w:t>valued</w:t>
      </w:r>
      <w:r w:rsidR="00541D05">
        <w:t xml:space="preserve"> </w:t>
      </w:r>
      <w:r w:rsidR="00D9258C" w:rsidRPr="00FD6A6A">
        <w:t>positions</w:t>
      </w:r>
      <w:r w:rsidR="00541D05">
        <w:t xml:space="preserve"> </w:t>
      </w:r>
      <w:r w:rsidR="00D9258C" w:rsidRPr="00FD6A6A">
        <w:t>in</w:t>
      </w:r>
      <w:r w:rsidR="00541D05">
        <w:t xml:space="preserve"> </w:t>
      </w:r>
      <w:r w:rsidR="00D9258C" w:rsidRPr="00FD6A6A">
        <w:t>the</w:t>
      </w:r>
      <w:r w:rsidR="00541D05">
        <w:t xml:space="preserve"> </w:t>
      </w:r>
      <w:r w:rsidR="00D9258C" w:rsidRPr="00FD6A6A">
        <w:t>federal</w:t>
      </w:r>
      <w:r w:rsidR="00541D05">
        <w:t xml:space="preserve"> </w:t>
      </w:r>
      <w:r w:rsidR="00D9258C" w:rsidRPr="00FD6A6A">
        <w:t>public</w:t>
      </w:r>
      <w:r w:rsidR="00541D05">
        <w:t xml:space="preserve"> </w:t>
      </w:r>
      <w:r w:rsidR="00D9258C" w:rsidRPr="00FD6A6A">
        <w:t>service,</w:t>
      </w:r>
      <w:r w:rsidR="00541D05">
        <w:t xml:space="preserve"> </w:t>
      </w:r>
      <w:r w:rsidR="00D9258C" w:rsidRPr="00FD6A6A">
        <w:t>increasing</w:t>
      </w:r>
      <w:r w:rsidR="00541D05">
        <w:t xml:space="preserve"> </w:t>
      </w:r>
      <w:r w:rsidR="00D9258C" w:rsidRPr="00FD6A6A">
        <w:t>access</w:t>
      </w:r>
      <w:r w:rsidR="00541D05">
        <w:t xml:space="preserve"> </w:t>
      </w:r>
      <w:r w:rsidR="00D9258C" w:rsidRPr="00FD6A6A">
        <w:t>to</w:t>
      </w:r>
      <w:r w:rsidR="00541D05">
        <w:t xml:space="preserve"> </w:t>
      </w:r>
      <w:r w:rsidR="00D9258C" w:rsidRPr="00FD6A6A">
        <w:t>income</w:t>
      </w:r>
      <w:r w:rsidR="00541D05">
        <w:t xml:space="preserve"> </w:t>
      </w:r>
      <w:r w:rsidR="00D9258C" w:rsidRPr="00FD6A6A">
        <w:t>and</w:t>
      </w:r>
      <w:r w:rsidR="00541D05">
        <w:t xml:space="preserve"> </w:t>
      </w:r>
      <w:r w:rsidR="00D9258C" w:rsidRPr="00FD6A6A">
        <w:t>providing</w:t>
      </w:r>
      <w:r w:rsidR="00541D05">
        <w:t xml:space="preserve"> </w:t>
      </w:r>
      <w:r w:rsidR="00D9258C" w:rsidRPr="00FD6A6A">
        <w:t>greater</w:t>
      </w:r>
      <w:r w:rsidR="00541D05">
        <w:t xml:space="preserve"> </w:t>
      </w:r>
      <w:r w:rsidR="00D9258C" w:rsidRPr="00FD6A6A">
        <w:t>diversity</w:t>
      </w:r>
      <w:r w:rsidR="00541D05">
        <w:t xml:space="preserve"> </w:t>
      </w:r>
      <w:r w:rsidR="00D9258C" w:rsidRPr="00FD6A6A">
        <w:t>to</w:t>
      </w:r>
      <w:r w:rsidR="00541D05">
        <w:t xml:space="preserve"> </w:t>
      </w:r>
      <w:r w:rsidR="00D9258C" w:rsidRPr="00FD6A6A">
        <w:t>the</w:t>
      </w:r>
      <w:r w:rsidR="00541D05">
        <w:t xml:space="preserve"> </w:t>
      </w:r>
      <w:r w:rsidR="00D9258C" w:rsidRPr="00FD6A6A">
        <w:t>composition</w:t>
      </w:r>
      <w:r w:rsidR="00541D05">
        <w:t xml:space="preserve"> </w:t>
      </w:r>
      <w:r w:rsidR="00D9258C" w:rsidRPr="00FD6A6A">
        <w:t>of</w:t>
      </w:r>
      <w:r w:rsidR="00541D05">
        <w:t xml:space="preserve"> </w:t>
      </w:r>
      <w:r w:rsidR="00D9258C" w:rsidRPr="00FD6A6A">
        <w:t>the</w:t>
      </w:r>
      <w:r w:rsidR="00541D05">
        <w:t xml:space="preserve"> </w:t>
      </w:r>
      <w:r w:rsidR="00D9258C" w:rsidRPr="00FD6A6A">
        <w:t>public</w:t>
      </w:r>
      <w:r w:rsidR="00541D05">
        <w:t xml:space="preserve"> </w:t>
      </w:r>
      <w:r w:rsidR="00D9258C" w:rsidRPr="00FD6A6A">
        <w:t>service</w:t>
      </w:r>
      <w:r w:rsidR="00541D05">
        <w:t xml:space="preserve"> </w:t>
      </w:r>
      <w:r w:rsidR="00D9258C" w:rsidRPr="00FD6A6A">
        <w:t>workforce.</w:t>
      </w:r>
    </w:p>
    <w:p w14:paraId="3FC0D4ED" w14:textId="407448B6" w:rsidR="00D9258C" w:rsidRPr="00FD6A6A" w:rsidRDefault="00166390" w:rsidP="00166390">
      <w:pPr>
        <w:pStyle w:val="ParaNoG"/>
        <w:numPr>
          <w:ilvl w:val="0"/>
          <w:numId w:val="0"/>
        </w:numPr>
        <w:tabs>
          <w:tab w:val="left" w:pos="0"/>
        </w:tabs>
        <w:ind w:left="1134"/>
      </w:pPr>
      <w:r w:rsidRPr="00FD6A6A">
        <w:t>91.</w:t>
      </w:r>
      <w:r w:rsidRPr="00FD6A6A">
        <w:tab/>
      </w:r>
      <w:r w:rsidR="00D9258C" w:rsidRPr="00FD6A6A">
        <w:t>Another</w:t>
      </w:r>
      <w:r w:rsidR="00541D05">
        <w:t xml:space="preserve"> </w:t>
      </w:r>
      <w:r w:rsidR="00D9258C" w:rsidRPr="00FD6A6A">
        <w:t>important</w:t>
      </w:r>
      <w:r w:rsidR="00541D05">
        <w:t xml:space="preserve"> </w:t>
      </w:r>
      <w:r w:rsidR="00D9258C" w:rsidRPr="00FD6A6A">
        <w:t>initiative</w:t>
      </w:r>
      <w:r w:rsidR="00541D05">
        <w:t xml:space="preserve"> </w:t>
      </w:r>
      <w:r w:rsidR="00D9258C" w:rsidRPr="00FD6A6A">
        <w:t>was</w:t>
      </w:r>
      <w:r w:rsidR="00541D05">
        <w:t xml:space="preserve"> </w:t>
      </w:r>
      <w:r w:rsidR="00D9258C" w:rsidRPr="00FD6A6A">
        <w:t>also</w:t>
      </w:r>
      <w:r w:rsidR="00541D05">
        <w:t xml:space="preserve"> </w:t>
      </w:r>
      <w:r w:rsidR="00D9258C" w:rsidRPr="00FD6A6A">
        <w:t>the</w:t>
      </w:r>
      <w:r w:rsidR="00541D05">
        <w:t xml:space="preserve"> </w:t>
      </w:r>
      <w:r w:rsidR="00D9258C" w:rsidRPr="00FD6A6A">
        <w:t>passing</w:t>
      </w:r>
      <w:r w:rsidR="00541D05">
        <w:t xml:space="preserve"> </w:t>
      </w:r>
      <w:r w:rsidR="00D9258C" w:rsidRPr="00FD6A6A">
        <w:t>of</w:t>
      </w:r>
      <w:r w:rsidR="00541D05">
        <w:t xml:space="preserve"> </w:t>
      </w:r>
      <w:r w:rsidR="00D9258C" w:rsidRPr="00FD6A6A">
        <w:t>Constitutional</w:t>
      </w:r>
      <w:r w:rsidR="00541D05">
        <w:t xml:space="preserve"> </w:t>
      </w:r>
      <w:r w:rsidR="00D9258C" w:rsidRPr="00FD6A6A">
        <w:t>Amendment</w:t>
      </w:r>
      <w:r w:rsidR="00541D05">
        <w:t xml:space="preserve"> </w:t>
      </w:r>
      <w:r w:rsidR="00D9258C" w:rsidRPr="00FD6A6A">
        <w:t>No.</w:t>
      </w:r>
      <w:r w:rsidR="00541D05">
        <w:t xml:space="preserve"> </w:t>
      </w:r>
      <w:r w:rsidR="00D9258C" w:rsidRPr="00FD6A6A">
        <w:t>72/2013,</w:t>
      </w:r>
      <w:r w:rsidR="00541D05">
        <w:t xml:space="preserve"> </w:t>
      </w:r>
      <w:r w:rsidR="00D9258C" w:rsidRPr="00FD6A6A">
        <w:t>which</w:t>
      </w:r>
      <w:r w:rsidR="00541D05">
        <w:t xml:space="preserve"> </w:t>
      </w:r>
      <w:r w:rsidR="00D9258C" w:rsidRPr="00FD6A6A">
        <w:t>ended</w:t>
      </w:r>
      <w:r w:rsidR="00541D05">
        <w:t xml:space="preserve"> </w:t>
      </w:r>
      <w:r w:rsidR="00D9258C" w:rsidRPr="00FD6A6A">
        <w:t>up</w:t>
      </w:r>
      <w:r w:rsidR="00541D05">
        <w:t xml:space="preserve"> </w:t>
      </w:r>
      <w:r w:rsidR="00D9258C" w:rsidRPr="00FD6A6A">
        <w:t>as</w:t>
      </w:r>
      <w:r w:rsidR="00541D05">
        <w:t xml:space="preserve"> </w:t>
      </w:r>
      <w:r w:rsidR="00D9258C" w:rsidRPr="00FD6A6A">
        <w:t>a</w:t>
      </w:r>
      <w:r w:rsidR="00541D05">
        <w:t xml:space="preserve"> </w:t>
      </w:r>
      <w:r w:rsidR="00D9258C" w:rsidRPr="00FD6A6A">
        <w:t>legalized</w:t>
      </w:r>
      <w:r w:rsidR="00541D05">
        <w:t xml:space="preserve"> </w:t>
      </w:r>
      <w:r w:rsidR="00D9258C" w:rsidRPr="00FD6A6A">
        <w:t>form</w:t>
      </w:r>
      <w:r w:rsidR="00541D05">
        <w:t xml:space="preserve"> </w:t>
      </w:r>
      <w:r w:rsidR="00D9258C" w:rsidRPr="00FD6A6A">
        <w:t>of</w:t>
      </w:r>
      <w:r w:rsidR="00541D05">
        <w:t xml:space="preserve"> </w:t>
      </w:r>
      <w:r w:rsidR="00D9258C" w:rsidRPr="00FD6A6A">
        <w:t>discrimination</w:t>
      </w:r>
      <w:r w:rsidR="00541D05">
        <w:t xml:space="preserve"> </w:t>
      </w:r>
      <w:r w:rsidR="00D9258C" w:rsidRPr="00FD6A6A">
        <w:t>against</w:t>
      </w:r>
      <w:r w:rsidR="00541D05">
        <w:t xml:space="preserve"> </w:t>
      </w:r>
      <w:r w:rsidR="00D9258C" w:rsidRPr="00FD6A6A">
        <w:t>workers</w:t>
      </w:r>
      <w:r w:rsidR="00541D05">
        <w:t xml:space="preserve"> </w:t>
      </w:r>
      <w:r w:rsidR="00D9258C" w:rsidRPr="00FD6A6A">
        <w:t>in</w:t>
      </w:r>
      <w:r w:rsidR="00541D05">
        <w:t xml:space="preserve"> </w:t>
      </w:r>
      <w:r w:rsidR="00D9258C" w:rsidRPr="00FD6A6A">
        <w:t>Brazil.</w:t>
      </w:r>
      <w:r w:rsidR="00541D05">
        <w:t xml:space="preserve"> </w:t>
      </w:r>
      <w:r w:rsidR="00D9258C" w:rsidRPr="00FD6A6A">
        <w:t>Until</w:t>
      </w:r>
      <w:r w:rsidR="00541D05">
        <w:t xml:space="preserve"> </w:t>
      </w:r>
      <w:r w:rsidR="00D9258C" w:rsidRPr="00FD6A6A">
        <w:t>2013,</w:t>
      </w:r>
      <w:r w:rsidR="00541D05">
        <w:t xml:space="preserve"> </w:t>
      </w:r>
      <w:r w:rsidR="00D9258C" w:rsidRPr="00FD6A6A">
        <w:t>domestic</w:t>
      </w:r>
      <w:r w:rsidR="00541D05">
        <w:t xml:space="preserve"> </w:t>
      </w:r>
      <w:r w:rsidR="00D9258C" w:rsidRPr="00FD6A6A">
        <w:t>workers</w:t>
      </w:r>
      <w:r w:rsidR="00541D05">
        <w:t xml:space="preserve"> </w:t>
      </w:r>
      <w:r w:rsidR="00D9258C" w:rsidRPr="00FD6A6A">
        <w:t>–</w:t>
      </w:r>
      <w:r w:rsidR="00541D05">
        <w:t xml:space="preserve"> </w:t>
      </w:r>
      <w:r w:rsidR="00D9258C" w:rsidRPr="00FD6A6A">
        <w:t>mostly</w:t>
      </w:r>
      <w:r w:rsidR="00541D05">
        <w:t xml:space="preserve"> </w:t>
      </w:r>
      <w:r w:rsidR="00D9258C" w:rsidRPr="00FD6A6A">
        <w:t>Afro-Brazilians</w:t>
      </w:r>
      <w:r w:rsidR="00541D05">
        <w:t xml:space="preserve"> </w:t>
      </w:r>
      <w:r w:rsidR="00D9258C" w:rsidRPr="00FD6A6A">
        <w:t>–</w:t>
      </w:r>
      <w:r w:rsidR="00541D05">
        <w:t xml:space="preserve"> </w:t>
      </w:r>
      <w:r w:rsidR="00D9258C" w:rsidRPr="00FD6A6A">
        <w:t>had</w:t>
      </w:r>
      <w:r w:rsidR="00541D05">
        <w:t xml:space="preserve"> </w:t>
      </w:r>
      <w:r w:rsidR="00D9258C" w:rsidRPr="00FD6A6A">
        <w:t>limited</w:t>
      </w:r>
      <w:r w:rsidR="00541D05">
        <w:t xml:space="preserve"> </w:t>
      </w:r>
      <w:r w:rsidR="00D9258C" w:rsidRPr="00FD6A6A">
        <w:t>protective</w:t>
      </w:r>
      <w:r w:rsidR="00541D05">
        <w:t xml:space="preserve"> </w:t>
      </w:r>
      <w:r w:rsidR="00D9258C" w:rsidRPr="00FD6A6A">
        <w:t>legal</w:t>
      </w:r>
      <w:r w:rsidR="00541D05">
        <w:t xml:space="preserve"> </w:t>
      </w:r>
      <w:r w:rsidR="00D9258C" w:rsidRPr="00FD6A6A">
        <w:t>system</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the</w:t>
      </w:r>
      <w:r w:rsidR="00541D05">
        <w:t xml:space="preserve"> </w:t>
      </w:r>
      <w:r w:rsidR="00D9258C" w:rsidRPr="00FD6A6A">
        <w:t>other</w:t>
      </w:r>
      <w:r w:rsidR="00541D05">
        <w:t xml:space="preserve"> </w:t>
      </w:r>
      <w:r w:rsidR="00D9258C" w:rsidRPr="00FD6A6A">
        <w:t>categories</w:t>
      </w:r>
      <w:r w:rsidR="00541D05">
        <w:t xml:space="preserve"> </w:t>
      </w:r>
      <w:r w:rsidR="00D9258C" w:rsidRPr="00FD6A6A">
        <w:t>of</w:t>
      </w:r>
      <w:r w:rsidR="00541D05">
        <w:t xml:space="preserve"> </w:t>
      </w:r>
      <w:r w:rsidR="00D9258C" w:rsidRPr="00FD6A6A">
        <w:t>workers.</w:t>
      </w:r>
      <w:r w:rsidR="00541D05">
        <w:t xml:space="preserve"> </w:t>
      </w:r>
      <w:r w:rsidR="00D9258C" w:rsidRPr="00FD6A6A">
        <w:t>Upon</w:t>
      </w:r>
      <w:r w:rsidR="00541D05">
        <w:t xml:space="preserve"> </w:t>
      </w:r>
      <w:r w:rsidR="00D9258C" w:rsidRPr="00FD6A6A">
        <w:t>passing</w:t>
      </w:r>
      <w:r w:rsidR="00541D05">
        <w:t xml:space="preserve"> </w:t>
      </w:r>
      <w:r w:rsidR="00D9258C" w:rsidRPr="00FD6A6A">
        <w:t>of</w:t>
      </w:r>
      <w:r w:rsidR="00541D05">
        <w:t xml:space="preserve"> </w:t>
      </w:r>
      <w:r w:rsidR="00D9258C" w:rsidRPr="00FD6A6A">
        <w:t>the</w:t>
      </w:r>
      <w:r w:rsidR="00541D05">
        <w:t xml:space="preserve"> </w:t>
      </w:r>
      <w:r w:rsidR="00D9258C" w:rsidRPr="00FD6A6A">
        <w:t>amendment,</w:t>
      </w:r>
      <w:r w:rsidR="00541D05">
        <w:t xml:space="preserve"> </w:t>
      </w:r>
      <w:r w:rsidR="00D9258C" w:rsidRPr="00FD6A6A">
        <w:t>minimum</w:t>
      </w:r>
      <w:r w:rsidR="00541D05">
        <w:t xml:space="preserve"> </w:t>
      </w:r>
      <w:r w:rsidR="00D9258C" w:rsidRPr="00FD6A6A">
        <w:t>rights</w:t>
      </w:r>
      <w:r w:rsidR="00541D05">
        <w:t xml:space="preserve"> </w:t>
      </w:r>
      <w:r w:rsidR="00D9258C" w:rsidRPr="00FD6A6A">
        <w:t>such</w:t>
      </w:r>
      <w:r w:rsidR="00541D05">
        <w:t xml:space="preserve"> </w:t>
      </w:r>
      <w:r w:rsidR="00D9258C" w:rsidRPr="00FD6A6A">
        <w:t>as</w:t>
      </w:r>
      <w:r w:rsidR="00541D05">
        <w:t xml:space="preserve"> </w:t>
      </w:r>
      <w:r w:rsidR="00D9258C" w:rsidRPr="00FD6A6A">
        <w:t>control</w:t>
      </w:r>
      <w:r w:rsidR="00541D05">
        <w:t xml:space="preserve"> </w:t>
      </w:r>
      <w:r w:rsidR="00D9258C" w:rsidRPr="00FD6A6A">
        <w:t>of</w:t>
      </w:r>
      <w:r w:rsidR="00541D05">
        <w:t xml:space="preserve"> </w:t>
      </w:r>
      <w:r w:rsidR="00D9258C" w:rsidRPr="00FD6A6A">
        <w:t>the</w:t>
      </w:r>
      <w:r w:rsidR="00541D05">
        <w:t xml:space="preserve"> </w:t>
      </w:r>
      <w:r w:rsidR="00D9258C" w:rsidRPr="00FD6A6A">
        <w:t>eight-hour</w:t>
      </w:r>
      <w:r w:rsidR="00541D05">
        <w:t xml:space="preserve"> </w:t>
      </w:r>
      <w:r w:rsidR="00D9258C" w:rsidRPr="00FD6A6A">
        <w:t>working</w:t>
      </w:r>
      <w:r w:rsidR="00541D05">
        <w:t xml:space="preserve"> </w:t>
      </w:r>
      <w:r w:rsidR="00D9258C" w:rsidRPr="00FD6A6A">
        <w:t>day</w:t>
      </w:r>
      <w:r w:rsidR="00541D05">
        <w:t xml:space="preserve"> </w:t>
      </w:r>
      <w:r w:rsidR="00D9258C" w:rsidRPr="00FD6A6A">
        <w:t>and</w:t>
      </w:r>
      <w:r w:rsidR="00541D05">
        <w:t xml:space="preserve"> </w:t>
      </w:r>
      <w:r w:rsidR="00D9258C" w:rsidRPr="00FD6A6A">
        <w:t>forty-four</w:t>
      </w:r>
      <w:r w:rsidR="00541D05">
        <w:t xml:space="preserve"> </w:t>
      </w:r>
      <w:r w:rsidR="00D9258C" w:rsidRPr="00FD6A6A">
        <w:t>hours</w:t>
      </w:r>
      <w:r w:rsidR="00541D05">
        <w:t xml:space="preserve"> </w:t>
      </w:r>
      <w:r w:rsidR="00D9258C" w:rsidRPr="00FD6A6A">
        <w:t>a</w:t>
      </w:r>
      <w:r w:rsidR="00541D05">
        <w:t xml:space="preserve"> </w:t>
      </w:r>
      <w:r w:rsidR="00D9258C" w:rsidRPr="00FD6A6A">
        <w:t>week,</w:t>
      </w:r>
      <w:r w:rsidR="00541D05">
        <w:t xml:space="preserve"> </w:t>
      </w:r>
      <w:r w:rsidR="00D9258C" w:rsidRPr="00FD6A6A">
        <w:t>compensation</w:t>
      </w:r>
      <w:r w:rsidR="00541D05">
        <w:t xml:space="preserve"> </w:t>
      </w:r>
      <w:r w:rsidR="00D9258C" w:rsidRPr="00FD6A6A">
        <w:t>for</w:t>
      </w:r>
      <w:r w:rsidR="00541D05">
        <w:t xml:space="preserve"> </w:t>
      </w:r>
      <w:r w:rsidR="00D9258C" w:rsidRPr="00FD6A6A">
        <w:t>extraordinary</w:t>
      </w:r>
      <w:r w:rsidR="00541D05">
        <w:t xml:space="preserve"> </w:t>
      </w:r>
      <w:r w:rsidR="00D9258C" w:rsidRPr="00FD6A6A">
        <w:t>service,</w:t>
      </w:r>
      <w:r w:rsidR="00541D05">
        <w:t xml:space="preserve"> </w:t>
      </w:r>
      <w:r w:rsidR="00D9258C" w:rsidRPr="00FD6A6A">
        <w:t>overtime</w:t>
      </w:r>
      <w:r w:rsidR="00541D05">
        <w:t xml:space="preserve"> </w:t>
      </w:r>
      <w:r w:rsidR="00D9258C" w:rsidRPr="00FD6A6A">
        <w:t>pay,</w:t>
      </w:r>
      <w:r w:rsidR="00541D05">
        <w:t xml:space="preserve"> </w:t>
      </w:r>
      <w:r w:rsidR="00D9258C" w:rsidRPr="00FD6A6A">
        <w:t>prohibition</w:t>
      </w:r>
      <w:r w:rsidR="00541D05">
        <w:t xml:space="preserve"> </w:t>
      </w:r>
      <w:r w:rsidR="00D9258C" w:rsidRPr="00FD6A6A">
        <w:t>of</w:t>
      </w:r>
      <w:r w:rsidR="00541D05">
        <w:t xml:space="preserve"> </w:t>
      </w:r>
      <w:r w:rsidR="00D9258C" w:rsidRPr="00FD6A6A">
        <w:t>night,</w:t>
      </w:r>
      <w:r w:rsidR="00541D05">
        <w:t xml:space="preserve"> </w:t>
      </w:r>
      <w:r w:rsidR="00D9258C" w:rsidRPr="00FD6A6A">
        <w:t>hazardous,</w:t>
      </w:r>
      <w:r w:rsidR="00541D05">
        <w:t xml:space="preserve"> </w:t>
      </w:r>
      <w:r w:rsidR="00D9258C" w:rsidRPr="00FD6A6A">
        <w:t>and</w:t>
      </w:r>
      <w:r w:rsidR="00541D05">
        <w:t xml:space="preserve"> </w:t>
      </w:r>
      <w:r w:rsidR="00D9258C" w:rsidRPr="00FD6A6A">
        <w:t>unhealthy</w:t>
      </w:r>
      <w:r w:rsidR="00541D05">
        <w:t xml:space="preserve"> </w:t>
      </w:r>
      <w:r w:rsidR="00D9258C" w:rsidRPr="00FD6A6A">
        <w:t>work</w:t>
      </w:r>
      <w:r w:rsidR="00541D05">
        <w:t xml:space="preserve"> </w:t>
      </w:r>
      <w:r w:rsidR="00D9258C" w:rsidRPr="00FD6A6A">
        <w:t>for</w:t>
      </w:r>
      <w:r w:rsidR="00541D05">
        <w:t xml:space="preserve"> </w:t>
      </w:r>
      <w:r w:rsidR="00D9258C" w:rsidRPr="00FD6A6A">
        <w:t>individuals</w:t>
      </w:r>
      <w:r w:rsidR="00541D05">
        <w:t xml:space="preserve"> </w:t>
      </w:r>
      <w:r w:rsidR="00D9258C" w:rsidRPr="00FD6A6A">
        <w:t>under</w:t>
      </w:r>
      <w:r w:rsidR="00541D05">
        <w:t xml:space="preserve"> </w:t>
      </w:r>
      <w:r w:rsidR="00D9258C" w:rsidRPr="00FD6A6A">
        <w:t>18</w:t>
      </w:r>
      <w:r w:rsidR="00541D05">
        <w:t xml:space="preserve"> </w:t>
      </w:r>
      <w:r w:rsidR="00D9258C" w:rsidRPr="00FD6A6A">
        <w:t>years</w:t>
      </w:r>
      <w:r w:rsidR="00541D05">
        <w:t xml:space="preserve"> </w:t>
      </w:r>
      <w:r w:rsidR="00D9258C" w:rsidRPr="00FD6A6A">
        <w:t>old,</w:t>
      </w:r>
      <w:r w:rsidR="00541D05">
        <w:t xml:space="preserve"> </w:t>
      </w:r>
      <w:r w:rsidR="00D9258C" w:rsidRPr="00FD6A6A">
        <w:t>among</w:t>
      </w:r>
      <w:r w:rsidR="00541D05">
        <w:t xml:space="preserve"> </w:t>
      </w:r>
      <w:r w:rsidR="00D9258C" w:rsidRPr="00FD6A6A">
        <w:t>other</w:t>
      </w:r>
      <w:r w:rsidR="00541D05">
        <w:t xml:space="preserve"> </w:t>
      </w:r>
      <w:r w:rsidR="00D9258C" w:rsidRPr="00FD6A6A">
        <w:t>rights,</w:t>
      </w:r>
      <w:r w:rsidR="00541D05">
        <w:t xml:space="preserve"> </w:t>
      </w:r>
      <w:r w:rsidR="00D9258C" w:rsidRPr="00FD6A6A">
        <w:t>were</w:t>
      </w:r>
      <w:r w:rsidR="00541D05">
        <w:t xml:space="preserve"> </w:t>
      </w:r>
      <w:r w:rsidR="00D9258C" w:rsidRPr="00FD6A6A">
        <w:t>extended</w:t>
      </w:r>
      <w:r w:rsidR="00541D05">
        <w:t xml:space="preserve"> </w:t>
      </w:r>
      <w:r w:rsidR="00D9258C" w:rsidRPr="00FD6A6A">
        <w:t>to</w:t>
      </w:r>
      <w:r w:rsidR="00541D05">
        <w:t xml:space="preserve"> </w:t>
      </w:r>
      <w:r w:rsidR="00D9258C" w:rsidRPr="00FD6A6A">
        <w:t>domestic</w:t>
      </w:r>
      <w:r w:rsidR="00541D05">
        <w:t xml:space="preserve"> </w:t>
      </w:r>
      <w:r w:rsidR="00D9258C" w:rsidRPr="00FD6A6A">
        <w:t>workers.</w:t>
      </w:r>
    </w:p>
    <w:p w14:paraId="63B56DD9" w14:textId="33E3AD18" w:rsidR="00D9258C" w:rsidRPr="00FD6A6A" w:rsidRDefault="00166390" w:rsidP="00166390">
      <w:pPr>
        <w:pStyle w:val="ParaNoG"/>
        <w:numPr>
          <w:ilvl w:val="0"/>
          <w:numId w:val="0"/>
        </w:numPr>
        <w:tabs>
          <w:tab w:val="left" w:pos="0"/>
        </w:tabs>
        <w:ind w:left="1134"/>
      </w:pPr>
      <w:r w:rsidRPr="00FD6A6A">
        <w:t>92.</w:t>
      </w:r>
      <w:r w:rsidRPr="00FD6A6A">
        <w:tab/>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also</w:t>
      </w:r>
      <w:r w:rsidR="00541D05">
        <w:t xml:space="preserve"> </w:t>
      </w:r>
      <w:r w:rsidR="00D9258C" w:rsidRPr="00FD6A6A">
        <w:t>faces</w:t>
      </w:r>
      <w:r w:rsidR="00541D05">
        <w:t xml:space="preserve"> </w:t>
      </w:r>
      <w:r w:rsidR="00D9258C" w:rsidRPr="00FD6A6A">
        <w:t>the</w:t>
      </w:r>
      <w:r w:rsidR="00541D05">
        <w:t xml:space="preserve"> </w:t>
      </w:r>
      <w:r w:rsidR="00D9258C" w:rsidRPr="00FD6A6A">
        <w:t>major</w:t>
      </w:r>
      <w:r w:rsidR="00541D05">
        <w:t xml:space="preserve"> </w:t>
      </w:r>
      <w:r w:rsidR="00D9258C" w:rsidRPr="00FD6A6A">
        <w:t>challenge</w:t>
      </w:r>
      <w:r w:rsidR="00541D05">
        <w:t xml:space="preserve"> </w:t>
      </w:r>
      <w:r w:rsidR="00D9258C" w:rsidRPr="00FD6A6A">
        <w:t>of</w:t>
      </w:r>
      <w:r w:rsidR="00541D05">
        <w:t xml:space="preserve"> </w:t>
      </w:r>
      <w:r w:rsidR="00D9258C" w:rsidRPr="00FD6A6A">
        <w:t>building</w:t>
      </w:r>
      <w:r w:rsidR="00541D05">
        <w:t xml:space="preserve"> </w:t>
      </w:r>
      <w:r w:rsidR="00D9258C" w:rsidRPr="00FD6A6A">
        <w:t>a</w:t>
      </w:r>
      <w:r w:rsidR="00541D05">
        <w:t xml:space="preserve"> </w:t>
      </w:r>
      <w:r w:rsidR="00D9258C" w:rsidRPr="00FD6A6A">
        <w:t>solid</w:t>
      </w:r>
      <w:r w:rsidR="00541D05">
        <w:t xml:space="preserve"> </w:t>
      </w:r>
      <w:r w:rsidR="00D9258C" w:rsidRPr="00FD6A6A">
        <w:t>conceptual</w:t>
      </w:r>
      <w:r w:rsidR="00541D05">
        <w:t xml:space="preserve"> </w:t>
      </w:r>
      <w:r w:rsidR="00D9258C" w:rsidRPr="00FD6A6A">
        <w:t>basis</w:t>
      </w:r>
      <w:r w:rsidR="00541D05">
        <w:t xml:space="preserve"> </w:t>
      </w:r>
      <w:r w:rsidR="00D9258C" w:rsidRPr="00FD6A6A">
        <w:t>to</w:t>
      </w:r>
      <w:r w:rsidR="00541D05">
        <w:t xml:space="preserve"> </w:t>
      </w:r>
      <w:r w:rsidR="00D9258C" w:rsidRPr="00FD6A6A">
        <w:t>guide</w:t>
      </w:r>
      <w:r w:rsidR="00541D05">
        <w:t xml:space="preserve"> </w:t>
      </w:r>
      <w:r w:rsidR="00D9258C" w:rsidRPr="00FD6A6A">
        <w:t>policies</w:t>
      </w:r>
      <w:r w:rsidR="00541D05">
        <w:t xml:space="preserve"> </w:t>
      </w:r>
      <w:r w:rsidR="00D9258C" w:rsidRPr="00FD6A6A">
        <w:t>to</w:t>
      </w:r>
      <w:r w:rsidR="00541D05">
        <w:t xml:space="preserve"> </w:t>
      </w:r>
      <w:r w:rsidR="00D9258C" w:rsidRPr="00FD6A6A">
        <w:t>act</w:t>
      </w:r>
      <w:r w:rsidR="00541D05">
        <w:t xml:space="preserve"> </w:t>
      </w:r>
      <w:r w:rsidR="00D9258C" w:rsidRPr="00FD6A6A">
        <w:t>on</w:t>
      </w:r>
      <w:r w:rsidR="00541D05">
        <w:t xml:space="preserve"> </w:t>
      </w:r>
      <w:r w:rsidR="00D9258C" w:rsidRPr="00FD6A6A">
        <w:t>the</w:t>
      </w:r>
      <w:r w:rsidR="00541D05">
        <w:t xml:space="preserve"> </w:t>
      </w:r>
      <w:r w:rsidR="00D9258C" w:rsidRPr="00FD6A6A">
        <w:t>causes</w:t>
      </w:r>
      <w:r w:rsidR="00541D05">
        <w:t xml:space="preserve"> </w:t>
      </w:r>
      <w:r w:rsidR="00D9258C" w:rsidRPr="00FD6A6A">
        <w:t>rather</w:t>
      </w:r>
      <w:r w:rsidR="00541D05">
        <w:t xml:space="preserve"> </w:t>
      </w:r>
      <w:r w:rsidR="00D9258C" w:rsidRPr="00FD6A6A">
        <w:t>than</w:t>
      </w:r>
      <w:r w:rsidR="00541D05">
        <w:t xml:space="preserve"> </w:t>
      </w:r>
      <w:r w:rsidR="00D9258C" w:rsidRPr="00FD6A6A">
        <w:t>on</w:t>
      </w:r>
      <w:r w:rsidR="00541D05">
        <w:t xml:space="preserve"> </w:t>
      </w:r>
      <w:r w:rsidR="00D9258C" w:rsidRPr="00FD6A6A">
        <w:t>the</w:t>
      </w:r>
      <w:r w:rsidR="00541D05">
        <w:t xml:space="preserve"> </w:t>
      </w:r>
      <w:r w:rsidR="00D9258C" w:rsidRPr="00FD6A6A">
        <w:t>consequences</w:t>
      </w:r>
      <w:r w:rsidR="00541D05">
        <w:t xml:space="preserve"> </w:t>
      </w:r>
      <w:r w:rsidR="00D9258C" w:rsidRPr="00FD6A6A">
        <w:t>of</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The</w:t>
      </w:r>
      <w:r w:rsidR="00541D05">
        <w:t xml:space="preserve"> </w:t>
      </w:r>
      <w:r w:rsidR="00D9258C" w:rsidRPr="00FD6A6A">
        <w:t>absence</w:t>
      </w:r>
      <w:r w:rsidR="00541D05">
        <w:t xml:space="preserve"> </w:t>
      </w:r>
      <w:r w:rsidR="00D9258C" w:rsidRPr="00FD6A6A">
        <w:t>of</w:t>
      </w:r>
      <w:r w:rsidR="00541D05">
        <w:t xml:space="preserve"> </w:t>
      </w:r>
      <w:r w:rsidR="00D9258C" w:rsidRPr="00FD6A6A">
        <w:t>such</w:t>
      </w:r>
      <w:r w:rsidR="00541D05">
        <w:t xml:space="preserve"> </w:t>
      </w:r>
      <w:r w:rsidR="00D9258C" w:rsidRPr="00FD6A6A">
        <w:t>bases</w:t>
      </w:r>
      <w:r w:rsidR="00541D05">
        <w:t xml:space="preserve"> </w:t>
      </w:r>
      <w:r w:rsidR="00D9258C" w:rsidRPr="00FD6A6A">
        <w:t>has</w:t>
      </w:r>
      <w:r w:rsidR="00541D05">
        <w:t xml:space="preserve"> </w:t>
      </w:r>
      <w:r w:rsidR="00D9258C" w:rsidRPr="00FD6A6A">
        <w:t>enabled</w:t>
      </w:r>
      <w:r w:rsidR="00541D05">
        <w:t xml:space="preserve"> </w:t>
      </w:r>
      <w:r w:rsidR="00D9258C" w:rsidRPr="00FD6A6A">
        <w:t>the</w:t>
      </w:r>
      <w:r w:rsidR="00541D05">
        <w:t xml:space="preserve"> </w:t>
      </w:r>
      <w:r w:rsidR="00D9258C" w:rsidRPr="00FD6A6A">
        <w:t>reproduction,</w:t>
      </w:r>
      <w:r w:rsidR="00541D05">
        <w:t xml:space="preserve"> </w:t>
      </w:r>
      <w:r w:rsidR="00D9258C" w:rsidRPr="00FD6A6A">
        <w:t>over</w:t>
      </w:r>
      <w:r w:rsidR="00541D05">
        <w:t xml:space="preserve"> </w:t>
      </w:r>
      <w:r w:rsidR="00D9258C" w:rsidRPr="00FD6A6A">
        <w:t>time,</w:t>
      </w:r>
      <w:r w:rsidR="00541D05">
        <w:t xml:space="preserve"> </w:t>
      </w:r>
      <w:r w:rsidR="00D9258C" w:rsidRPr="00FD6A6A">
        <w:t>of</w:t>
      </w:r>
      <w:r w:rsidR="00541D05">
        <w:t xml:space="preserve"> </w:t>
      </w:r>
      <w:r w:rsidR="00D9258C" w:rsidRPr="00FD6A6A">
        <w:t>the</w:t>
      </w:r>
      <w:r w:rsidR="00541D05">
        <w:t xml:space="preserve"> </w:t>
      </w:r>
      <w:r w:rsidR="00D9258C" w:rsidRPr="00FD6A6A">
        <w:t>identity</w:t>
      </w:r>
      <w:r w:rsidR="00541D05">
        <w:t xml:space="preserve"> </w:t>
      </w:r>
      <w:r w:rsidR="00D9258C" w:rsidRPr="00FD6A6A">
        <w:t>between</w:t>
      </w:r>
      <w:r w:rsidR="00541D05">
        <w:t xml:space="preserve"> </w:t>
      </w:r>
      <w:r w:rsidR="00D9258C" w:rsidRPr="00FD6A6A">
        <w:t>poverty</w:t>
      </w:r>
      <w:r w:rsidR="00541D05">
        <w:t xml:space="preserve"> </w:t>
      </w:r>
      <w:r w:rsidR="00D9258C" w:rsidRPr="00FD6A6A">
        <w:t>and</w:t>
      </w:r>
      <w:r w:rsidR="00541D05">
        <w:t xml:space="preserve"> </w:t>
      </w:r>
      <w:r w:rsidR="00D9258C" w:rsidRPr="00FD6A6A">
        <w:t>racial</w:t>
      </w:r>
      <w:r w:rsidR="00541D05">
        <w:t xml:space="preserve"> </w:t>
      </w:r>
      <w:r w:rsidR="00D9258C" w:rsidRPr="00FD6A6A">
        <w:t>belonging,</w:t>
      </w:r>
      <w:r w:rsidR="00541D05">
        <w:t xml:space="preserve"> </w:t>
      </w:r>
      <w:r w:rsidR="00D9258C" w:rsidRPr="00FD6A6A">
        <w:t>thus</w:t>
      </w:r>
      <w:r w:rsidR="00541D05">
        <w:t xml:space="preserve"> </w:t>
      </w:r>
      <w:r w:rsidR="00D9258C" w:rsidRPr="00FD6A6A">
        <w:t>postponing,</w:t>
      </w:r>
      <w:r w:rsidR="00541D05">
        <w:t xml:space="preserve"> </w:t>
      </w:r>
      <w:r w:rsidR="00D9258C" w:rsidRPr="00FD6A6A">
        <w:t>for</w:t>
      </w:r>
      <w:r w:rsidR="00541D05">
        <w:t xml:space="preserve"> </w:t>
      </w:r>
      <w:r w:rsidR="00D9258C" w:rsidRPr="00FD6A6A">
        <w:t>many</w:t>
      </w:r>
      <w:r w:rsidR="00541D05">
        <w:t xml:space="preserve"> </w:t>
      </w:r>
      <w:r w:rsidR="00D9258C" w:rsidRPr="00FD6A6A">
        <w:t>years,</w:t>
      </w:r>
      <w:r w:rsidR="00541D05">
        <w:t xml:space="preserve"> </w:t>
      </w:r>
      <w:r w:rsidR="00D9258C" w:rsidRPr="00FD6A6A">
        <w:t>the</w:t>
      </w:r>
      <w:r w:rsidR="00541D05">
        <w:t xml:space="preserve"> </w:t>
      </w:r>
      <w:r w:rsidR="00D9258C" w:rsidRPr="00FD6A6A">
        <w:t>adoption</w:t>
      </w:r>
      <w:r w:rsidR="00541D05">
        <w:t xml:space="preserve"> </w:t>
      </w:r>
      <w:r w:rsidR="00D9258C" w:rsidRPr="00FD6A6A">
        <w:t>of</w:t>
      </w:r>
      <w:r w:rsidR="00541D05">
        <w:t xml:space="preserve"> </w:t>
      </w:r>
      <w:r w:rsidR="00D9258C" w:rsidRPr="00FD6A6A">
        <w:t>affirmative</w:t>
      </w:r>
      <w:r w:rsidR="00541D05">
        <w:t xml:space="preserve"> </w:t>
      </w:r>
      <w:r w:rsidR="00D9258C" w:rsidRPr="00FD6A6A">
        <w:t>action</w:t>
      </w:r>
      <w:r w:rsidR="00541D05">
        <w:t xml:space="preserve"> </w:t>
      </w:r>
      <w:r w:rsidR="00D9258C" w:rsidRPr="00FD6A6A">
        <w:t>policies.</w:t>
      </w:r>
      <w:r w:rsidR="00541D05">
        <w:t xml:space="preserve"> </w:t>
      </w:r>
      <w:r w:rsidR="00D9258C" w:rsidRPr="00FD6A6A">
        <w:t>Most</w:t>
      </w:r>
      <w:r w:rsidR="00541D05">
        <w:t xml:space="preserve"> </w:t>
      </w:r>
      <w:r w:rsidR="00D9258C" w:rsidRPr="00FD6A6A">
        <w:t>of</w:t>
      </w:r>
      <w:r w:rsidR="00541D05">
        <w:t xml:space="preserve"> </w:t>
      </w:r>
      <w:r w:rsidR="00D9258C" w:rsidRPr="00FD6A6A">
        <w:t>the</w:t>
      </w:r>
      <w:r w:rsidR="00541D05">
        <w:t xml:space="preserve"> </w:t>
      </w:r>
      <w:r w:rsidR="00D9258C" w:rsidRPr="00FD6A6A">
        <w:t>repertoire</w:t>
      </w:r>
      <w:r w:rsidR="00541D05">
        <w:t xml:space="preserve"> </w:t>
      </w:r>
      <w:r w:rsidR="00D9258C" w:rsidRPr="00FD6A6A">
        <w:t>of</w:t>
      </w:r>
      <w:r w:rsidR="00541D05">
        <w:t xml:space="preserve"> </w:t>
      </w:r>
      <w:r w:rsidR="00D9258C" w:rsidRPr="00FD6A6A">
        <w:t>policies</w:t>
      </w:r>
      <w:r w:rsidR="00541D05">
        <w:t xml:space="preserve"> </w:t>
      </w:r>
      <w:r w:rsidR="00D9258C" w:rsidRPr="00FD6A6A">
        <w:t>applicable</w:t>
      </w:r>
      <w:r w:rsidR="00541D05">
        <w:t xml:space="preserve"> </w:t>
      </w:r>
      <w:r w:rsidR="00D9258C" w:rsidRPr="00FD6A6A">
        <w:t>to</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is</w:t>
      </w:r>
      <w:r w:rsidR="00541D05">
        <w:t xml:space="preserve"> </w:t>
      </w:r>
      <w:r w:rsidR="00D9258C" w:rsidRPr="00FD6A6A">
        <w:t>intended</w:t>
      </w:r>
      <w:r w:rsidR="00541D05">
        <w:t xml:space="preserve"> </w:t>
      </w:r>
      <w:r w:rsidR="00D9258C" w:rsidRPr="00FD6A6A">
        <w:t>to</w:t>
      </w:r>
      <w:r w:rsidR="00541D05">
        <w:t xml:space="preserve"> </w:t>
      </w:r>
      <w:r w:rsidR="00D9258C" w:rsidRPr="00FD6A6A">
        <w:t>their</w:t>
      </w:r>
      <w:r w:rsidR="00541D05">
        <w:t xml:space="preserve"> </w:t>
      </w:r>
      <w:r w:rsidR="00D9258C" w:rsidRPr="00FD6A6A">
        <w:t>target</w:t>
      </w:r>
      <w:r w:rsidR="00541D05">
        <w:t xml:space="preserve"> </w:t>
      </w:r>
      <w:r w:rsidR="00D9258C" w:rsidRPr="00FD6A6A">
        <w:t>–</w:t>
      </w:r>
      <w:r w:rsidR="00541D05">
        <w:t xml:space="preserve"> </w:t>
      </w:r>
      <w:r w:rsidR="00D9258C" w:rsidRPr="00FD6A6A">
        <w:t>the</w:t>
      </w:r>
      <w:r w:rsidR="00541D05">
        <w:t xml:space="preserve"> </w:t>
      </w:r>
      <w:r w:rsidR="00D9258C" w:rsidRPr="00FD6A6A">
        <w:t>poor</w:t>
      </w:r>
      <w:r w:rsidR="00541D05">
        <w:t xml:space="preserve"> </w:t>
      </w:r>
      <w:r w:rsidR="00D9258C" w:rsidRPr="00FD6A6A">
        <w:t>population</w:t>
      </w:r>
      <w:r w:rsidR="00541D05">
        <w:t xml:space="preserve"> </w:t>
      </w:r>
      <w:r w:rsidR="00D9258C" w:rsidRPr="00FD6A6A">
        <w:t>–</w:t>
      </w:r>
      <w:r w:rsidR="00541D05">
        <w:t xml:space="preserve"> </w:t>
      </w:r>
      <w:r w:rsidR="00D9258C" w:rsidRPr="00FD6A6A">
        <w:t>which</w:t>
      </w:r>
      <w:r w:rsidR="00541D05">
        <w:t xml:space="preserve"> </w:t>
      </w:r>
      <w:r w:rsidR="00D9258C" w:rsidRPr="00FD6A6A">
        <w:t>means</w:t>
      </w:r>
      <w:r w:rsidR="00541D05">
        <w:t xml:space="preserve"> </w:t>
      </w:r>
      <w:r w:rsidR="00D9258C" w:rsidRPr="00FD6A6A">
        <w:t>that</w:t>
      </w:r>
      <w:r w:rsidR="00541D05">
        <w:t xml:space="preserve"> </w:t>
      </w:r>
      <w:r w:rsidR="00D9258C" w:rsidRPr="00FD6A6A">
        <w:t>these</w:t>
      </w:r>
      <w:r w:rsidR="00541D05">
        <w:t xml:space="preserve"> </w:t>
      </w:r>
      <w:r w:rsidR="00D9258C" w:rsidRPr="00FD6A6A">
        <w:t>policies</w:t>
      </w:r>
      <w:r w:rsidR="00541D05">
        <w:t xml:space="preserve"> </w:t>
      </w:r>
      <w:r w:rsidR="00D9258C" w:rsidRPr="00FD6A6A">
        <w:t>assume</w:t>
      </w:r>
      <w:r w:rsidR="00541D05">
        <w:t xml:space="preserve"> </w:t>
      </w:r>
      <w:r w:rsidR="00D9258C" w:rsidRPr="00FD6A6A">
        <w:t>that</w:t>
      </w:r>
      <w:r w:rsidR="00541D05">
        <w:t xml:space="preserve"> </w:t>
      </w:r>
      <w:r w:rsidR="00D9258C" w:rsidRPr="00FD6A6A">
        <w:t>their</w:t>
      </w:r>
      <w:r w:rsidR="00541D05">
        <w:t xml:space="preserve"> </w:t>
      </w:r>
      <w:r w:rsidR="00D9258C" w:rsidRPr="00FD6A6A">
        <w:t>target</w:t>
      </w:r>
      <w:r w:rsidR="00541D05">
        <w:t xml:space="preserve"> </w:t>
      </w:r>
      <w:r w:rsidR="00D9258C" w:rsidRPr="00FD6A6A">
        <w:t>is</w:t>
      </w:r>
      <w:r w:rsidR="00541D05">
        <w:t xml:space="preserve"> </w:t>
      </w:r>
      <w:r w:rsidR="00D9258C" w:rsidRPr="00FD6A6A">
        <w:t>served</w:t>
      </w:r>
      <w:r w:rsidR="00541D05">
        <w:t xml:space="preserve"> </w:t>
      </w:r>
      <w:r w:rsidR="00D9258C" w:rsidRPr="00FD6A6A">
        <w:t>equitably,</w:t>
      </w:r>
      <w:r w:rsidR="00541D05">
        <w:t xml:space="preserve"> </w:t>
      </w:r>
      <w:r w:rsidR="00D9258C" w:rsidRPr="00FD6A6A">
        <w:t>which</w:t>
      </w:r>
      <w:r w:rsidR="00541D05">
        <w:t xml:space="preserve"> </w:t>
      </w:r>
      <w:r w:rsidR="00D9258C" w:rsidRPr="00FD6A6A">
        <w:t>is</w:t>
      </w:r>
      <w:r w:rsidR="00541D05">
        <w:t xml:space="preserve"> </w:t>
      </w:r>
      <w:r w:rsidR="00D9258C" w:rsidRPr="00FD6A6A">
        <w:t>not</w:t>
      </w:r>
      <w:r w:rsidR="00541D05">
        <w:t xml:space="preserve"> </w:t>
      </w:r>
      <w:r w:rsidR="00D9258C" w:rsidRPr="00FD6A6A">
        <w:t>sufficient</w:t>
      </w:r>
      <w:r w:rsidR="00541D05">
        <w:t xml:space="preserve"> </w:t>
      </w:r>
      <w:r w:rsidR="00D9258C" w:rsidRPr="00FD6A6A">
        <w:t>to</w:t>
      </w:r>
      <w:r w:rsidR="00541D05">
        <w:t xml:space="preserve"> </w:t>
      </w:r>
      <w:r w:rsidR="00D9258C" w:rsidRPr="00FD6A6A">
        <w:t>mitigate</w:t>
      </w:r>
      <w:r w:rsidR="00541D05">
        <w:t xml:space="preserve"> </w:t>
      </w:r>
      <w:r w:rsidR="00D9258C" w:rsidRPr="00FD6A6A">
        <w:t>the</w:t>
      </w:r>
      <w:r w:rsidR="00541D05">
        <w:t xml:space="preserve"> </w:t>
      </w:r>
      <w:r w:rsidR="00D9258C" w:rsidRPr="00FD6A6A">
        <w:t>perverse</w:t>
      </w:r>
      <w:r w:rsidR="00541D05">
        <w:t xml:space="preserve"> </w:t>
      </w:r>
      <w:r w:rsidR="00D9258C" w:rsidRPr="00FD6A6A">
        <w:t>effects</w:t>
      </w:r>
      <w:r w:rsidR="00541D05">
        <w:t xml:space="preserve"> </w:t>
      </w:r>
      <w:r w:rsidR="00D9258C" w:rsidRPr="00FD6A6A">
        <w:t>of</w:t>
      </w:r>
      <w:r w:rsidR="00541D05">
        <w:t xml:space="preserve"> </w:t>
      </w:r>
      <w:r w:rsidR="00D9258C" w:rsidRPr="00FD6A6A">
        <w:t>racism,</w:t>
      </w:r>
      <w:r w:rsidR="00541D05">
        <w:t xml:space="preserve"> </w:t>
      </w:r>
      <w:r w:rsidR="00D9258C" w:rsidRPr="00FD6A6A">
        <w:t>since</w:t>
      </w:r>
      <w:r w:rsidR="00541D05">
        <w:t xml:space="preserve"> </w:t>
      </w:r>
      <w:r w:rsidR="00D9258C" w:rsidRPr="00FD6A6A">
        <w:t>evidence</w:t>
      </w:r>
      <w:r w:rsidR="00541D05">
        <w:t xml:space="preserve"> </w:t>
      </w:r>
      <w:r w:rsidR="00D9258C" w:rsidRPr="00FD6A6A">
        <w:t>points</w:t>
      </w:r>
      <w:r w:rsidR="00541D05">
        <w:t xml:space="preserve"> </w:t>
      </w:r>
      <w:r w:rsidR="00D9258C" w:rsidRPr="00FD6A6A">
        <w:t>out</w:t>
      </w:r>
      <w:r w:rsidR="00541D05">
        <w:t xml:space="preserve"> </w:t>
      </w:r>
      <w:r w:rsidR="00D9258C" w:rsidRPr="00FD6A6A">
        <w:t>in</w:t>
      </w:r>
      <w:r w:rsidR="00541D05">
        <w:t xml:space="preserve"> </w:t>
      </w:r>
      <w:r w:rsidR="00D9258C" w:rsidRPr="00FD6A6A">
        <w:t>another</w:t>
      </w:r>
      <w:r w:rsidR="00541D05">
        <w:t xml:space="preserve"> </w:t>
      </w:r>
      <w:r w:rsidR="00D9258C" w:rsidRPr="00FD6A6A">
        <w:t>direction,</w:t>
      </w:r>
      <w:r w:rsidR="00541D05">
        <w:t xml:space="preserve"> </w:t>
      </w:r>
      <w:r w:rsidR="00D9258C" w:rsidRPr="00FD6A6A">
        <w:t>showing</w:t>
      </w:r>
      <w:r w:rsidR="00541D05">
        <w:t xml:space="preserve"> </w:t>
      </w:r>
      <w:r w:rsidR="00D9258C" w:rsidRPr="00FD6A6A">
        <w:t>that</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are</w:t>
      </w:r>
      <w:r w:rsidR="00541D05">
        <w:t xml:space="preserve"> </w:t>
      </w:r>
      <w:r w:rsidR="00D9258C" w:rsidRPr="00FD6A6A">
        <w:t>produced</w:t>
      </w:r>
      <w:r w:rsidR="00541D05">
        <w:t xml:space="preserve"> </w:t>
      </w:r>
      <w:r w:rsidR="00D9258C" w:rsidRPr="00FD6A6A">
        <w:t>in</w:t>
      </w:r>
      <w:r w:rsidR="00541D05">
        <w:t xml:space="preserve"> </w:t>
      </w:r>
      <w:r w:rsidR="00D9258C" w:rsidRPr="00FD6A6A">
        <w:t>different</w:t>
      </w:r>
      <w:r w:rsidR="00541D05">
        <w:t xml:space="preserve"> </w:t>
      </w:r>
      <w:r w:rsidR="00D9258C" w:rsidRPr="00FD6A6A">
        <w:t>scales</w:t>
      </w:r>
      <w:r w:rsidR="00541D05">
        <w:t xml:space="preserve"> </w:t>
      </w:r>
      <w:r w:rsidR="00D9258C" w:rsidRPr="00FD6A6A">
        <w:t>and</w:t>
      </w:r>
      <w:r w:rsidR="00541D05">
        <w:t xml:space="preserve"> </w:t>
      </w:r>
      <w:r w:rsidR="00D9258C" w:rsidRPr="00FD6A6A">
        <w:t>cumulatively,</w:t>
      </w:r>
      <w:r w:rsidR="00541D05">
        <w:t xml:space="preserve"> </w:t>
      </w:r>
      <w:r w:rsidR="00D9258C" w:rsidRPr="00FD6A6A">
        <w:t>requiring</w:t>
      </w:r>
      <w:r w:rsidR="00541D05">
        <w:t xml:space="preserve"> </w:t>
      </w:r>
      <w:r w:rsidR="00D9258C" w:rsidRPr="00FD6A6A">
        <w:t>improved</w:t>
      </w:r>
      <w:r w:rsidR="00541D05">
        <w:t xml:space="preserve"> </w:t>
      </w:r>
      <w:r w:rsidR="00D9258C" w:rsidRPr="00FD6A6A">
        <w:t>public</w:t>
      </w:r>
      <w:r w:rsidR="00541D05">
        <w:t xml:space="preserve"> </w:t>
      </w:r>
      <w:r w:rsidR="00D9258C" w:rsidRPr="00FD6A6A">
        <w:t>intervention</w:t>
      </w:r>
      <w:r w:rsidR="00541D05">
        <w:t xml:space="preserve"> </w:t>
      </w:r>
      <w:r w:rsidR="00D9258C" w:rsidRPr="00FD6A6A">
        <w:t>on</w:t>
      </w:r>
      <w:r w:rsidR="00541D05">
        <w:t xml:space="preserve"> </w:t>
      </w:r>
      <w:r w:rsidR="00D9258C" w:rsidRPr="00FD6A6A">
        <w:t>a</w:t>
      </w:r>
      <w:r w:rsidR="00541D05">
        <w:t xml:space="preserve"> </w:t>
      </w:r>
      <w:r w:rsidR="00D9258C" w:rsidRPr="00FD6A6A">
        <w:t>heterogeneous</w:t>
      </w:r>
      <w:r w:rsidR="00541D05">
        <w:t xml:space="preserve"> </w:t>
      </w:r>
      <w:r w:rsidR="00D9258C" w:rsidRPr="00FD6A6A">
        <w:t>reality.</w:t>
      </w:r>
    </w:p>
    <w:p w14:paraId="4244114C" w14:textId="6B443CF7" w:rsidR="00D9258C" w:rsidRPr="00FD6A6A" w:rsidRDefault="00166390" w:rsidP="00166390">
      <w:pPr>
        <w:pStyle w:val="ParaNoG"/>
        <w:numPr>
          <w:ilvl w:val="0"/>
          <w:numId w:val="0"/>
        </w:numPr>
        <w:tabs>
          <w:tab w:val="left" w:pos="0"/>
        </w:tabs>
        <w:ind w:left="1134"/>
      </w:pPr>
      <w:r w:rsidRPr="00FD6A6A">
        <w:t>93.</w:t>
      </w:r>
      <w:r w:rsidRPr="00FD6A6A">
        <w:tab/>
      </w:r>
      <w:r w:rsidR="00D9258C" w:rsidRPr="00FD6A6A">
        <w:t>The</w:t>
      </w:r>
      <w:r w:rsidR="00541D05">
        <w:t xml:space="preserve"> </w:t>
      </w:r>
      <w:r w:rsidR="00D9258C" w:rsidRPr="00FD6A6A">
        <w:t>programs,</w:t>
      </w:r>
      <w:r w:rsidR="00541D05">
        <w:t xml:space="preserve"> </w:t>
      </w:r>
      <w:r w:rsidR="00D9258C" w:rsidRPr="00FD6A6A">
        <w:t>which</w:t>
      </w:r>
      <w:r w:rsidR="00541D05">
        <w:t xml:space="preserve"> </w:t>
      </w:r>
      <w:r w:rsidR="00D9258C" w:rsidRPr="00FD6A6A">
        <w:t>have</w:t>
      </w:r>
      <w:r w:rsidR="00541D05">
        <w:t xml:space="preserve"> </w:t>
      </w:r>
      <w:r w:rsidR="00D9258C" w:rsidRPr="00FD6A6A">
        <w:t>been</w:t>
      </w:r>
      <w:r w:rsidR="00541D05">
        <w:t xml:space="preserve"> </w:t>
      </w:r>
      <w:r w:rsidR="00D9258C" w:rsidRPr="00FD6A6A">
        <w:t>numerous</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but</w:t>
      </w:r>
      <w:r w:rsidR="00541D05">
        <w:t xml:space="preserve"> </w:t>
      </w:r>
      <w:r w:rsidR="00D9258C" w:rsidRPr="00FD6A6A">
        <w:t>incipient</w:t>
      </w:r>
      <w:r w:rsidR="00541D05">
        <w:t xml:space="preserve"> </w:t>
      </w:r>
      <w:r w:rsidR="00D9258C" w:rsidRPr="00FD6A6A">
        <w:t>in</w:t>
      </w:r>
      <w:r w:rsidR="00541D05">
        <w:t xml:space="preserve"> </w:t>
      </w:r>
      <w:r w:rsidR="00D9258C" w:rsidRPr="00FD6A6A">
        <w:t>general,</w:t>
      </w:r>
      <w:r w:rsidR="00541D05">
        <w:t xml:space="preserve"> </w:t>
      </w:r>
      <w:r w:rsidR="00D9258C" w:rsidRPr="00FD6A6A">
        <w:t>need</w:t>
      </w:r>
      <w:r w:rsidR="00541D05">
        <w:t xml:space="preserve"> </w:t>
      </w:r>
      <w:r w:rsidR="00D9258C" w:rsidRPr="00FD6A6A">
        <w:t>to</w:t>
      </w:r>
      <w:r w:rsidR="00541D05">
        <w:t xml:space="preserve"> </w:t>
      </w:r>
      <w:r w:rsidR="00D9258C" w:rsidRPr="00FD6A6A">
        <w:t>incorporate</w:t>
      </w:r>
      <w:r w:rsidR="00541D05">
        <w:t xml:space="preserve"> </w:t>
      </w:r>
      <w:r w:rsidR="00D9258C" w:rsidRPr="00FD6A6A">
        <w:t>the</w:t>
      </w:r>
      <w:r w:rsidR="00541D05">
        <w:t xml:space="preserve"> </w:t>
      </w:r>
      <w:r w:rsidR="00D9258C" w:rsidRPr="00FD6A6A">
        <w:t>scale</w:t>
      </w:r>
      <w:r w:rsidR="00541D05">
        <w:t xml:space="preserve"> </w:t>
      </w:r>
      <w:r w:rsidR="00D9258C" w:rsidRPr="00FD6A6A">
        <w:t>and</w:t>
      </w:r>
      <w:r w:rsidR="00541D05">
        <w:t xml:space="preserve"> </w:t>
      </w:r>
      <w:r w:rsidR="00D9258C" w:rsidRPr="00FD6A6A">
        <w:t>extent</w:t>
      </w:r>
      <w:r w:rsidR="00541D05">
        <w:t xml:space="preserve"> </w:t>
      </w:r>
      <w:r w:rsidR="00D9258C" w:rsidRPr="00FD6A6A">
        <w:t>that</w:t>
      </w:r>
      <w:r w:rsidR="00541D05">
        <w:t xml:space="preserve"> </w:t>
      </w:r>
      <w:r w:rsidR="00D9258C" w:rsidRPr="00FD6A6A">
        <w:t>the</w:t>
      </w:r>
      <w:r w:rsidR="00541D05">
        <w:t xml:space="preserve"> </w:t>
      </w:r>
      <w:r w:rsidR="00D9258C" w:rsidRPr="00FD6A6A">
        <w:t>racial</w:t>
      </w:r>
      <w:r w:rsidR="00541D05">
        <w:t xml:space="preserve"> </w:t>
      </w:r>
      <w:r w:rsidR="00D9258C" w:rsidRPr="00FD6A6A">
        <w:t>issue</w:t>
      </w:r>
      <w:r w:rsidR="00541D05">
        <w:t xml:space="preserve"> </w:t>
      </w:r>
      <w:r w:rsidR="00D9258C" w:rsidRPr="00FD6A6A">
        <w:t>effectively</w:t>
      </w:r>
      <w:r w:rsidR="00541D05">
        <w:t xml:space="preserve"> </w:t>
      </w:r>
      <w:r w:rsidR="00D9258C" w:rsidRPr="00FD6A6A">
        <w:t>occupies</w:t>
      </w:r>
      <w:r w:rsidR="00541D05">
        <w:t xml:space="preserve"> </w:t>
      </w:r>
      <w:r w:rsidR="00D9258C" w:rsidRPr="00FD6A6A">
        <w:t>as</w:t>
      </w:r>
      <w:r w:rsidR="00541D05">
        <w:t xml:space="preserve"> </w:t>
      </w:r>
      <w:r w:rsidR="00D9258C" w:rsidRPr="00FD6A6A">
        <w:t>an</w:t>
      </w:r>
      <w:r w:rsidR="00541D05">
        <w:t xml:space="preserve"> </w:t>
      </w:r>
      <w:r w:rsidR="00D9258C" w:rsidRPr="00FD6A6A">
        <w:t>element</w:t>
      </w:r>
      <w:r w:rsidR="00541D05">
        <w:t xml:space="preserve"> </w:t>
      </w:r>
      <w:r w:rsidR="00D9258C" w:rsidRPr="00FD6A6A">
        <w:t>structuring</w:t>
      </w:r>
      <w:r w:rsidR="00541D05">
        <w:t xml:space="preserve"> </w:t>
      </w:r>
      <w:r w:rsidR="00D9258C" w:rsidRPr="00FD6A6A">
        <w:t>relationships,</w:t>
      </w:r>
      <w:r w:rsidR="00541D05">
        <w:t xml:space="preserve"> </w:t>
      </w:r>
      <w:r w:rsidR="00D9258C" w:rsidRPr="00FD6A6A">
        <w:t>situations,</w:t>
      </w:r>
      <w:r w:rsidR="00541D05">
        <w:t xml:space="preserve"> </w:t>
      </w:r>
      <w:r w:rsidR="00D9258C" w:rsidRPr="00FD6A6A">
        <w:t>and</w:t>
      </w:r>
      <w:r w:rsidR="00541D05">
        <w:t xml:space="preserve"> </w:t>
      </w:r>
      <w:r w:rsidR="00D9258C" w:rsidRPr="00FD6A6A">
        <w:t>experiences.</w:t>
      </w:r>
    </w:p>
    <w:p w14:paraId="485866ED" w14:textId="79B8886B" w:rsidR="00D9258C" w:rsidRPr="00FD6A6A" w:rsidRDefault="00D9258C" w:rsidP="00EE5A2A">
      <w:pPr>
        <w:pStyle w:val="H1G"/>
      </w:pPr>
      <w:r w:rsidRPr="00FD6A6A">
        <w:tab/>
      </w:r>
      <w:r w:rsidRPr="00FD6A6A">
        <w:tab/>
        <w:t>Health</w:t>
      </w:r>
      <w:r w:rsidR="00541D05">
        <w:t xml:space="preserve"> </w:t>
      </w:r>
      <w:r w:rsidRPr="00FD6A6A">
        <w:t>of</w:t>
      </w:r>
      <w:r w:rsidR="00541D05">
        <w:t xml:space="preserve"> </w:t>
      </w:r>
      <w:r w:rsidRPr="00FD6A6A">
        <w:t>the</w:t>
      </w:r>
      <w:r w:rsidR="00541D05">
        <w:t xml:space="preserve"> </w:t>
      </w:r>
      <w:r w:rsidRPr="00FD6A6A">
        <w:t>Afro-Brazilian</w:t>
      </w:r>
      <w:r w:rsidR="00541D05">
        <w:t xml:space="preserve"> </w:t>
      </w:r>
      <w:r w:rsidRPr="00FD6A6A">
        <w:t>population</w:t>
      </w:r>
    </w:p>
    <w:p w14:paraId="02717588" w14:textId="02434F42" w:rsidR="00D9258C" w:rsidRPr="00FD6A6A" w:rsidRDefault="00166390" w:rsidP="00166390">
      <w:pPr>
        <w:pStyle w:val="ParaNoG"/>
        <w:numPr>
          <w:ilvl w:val="0"/>
          <w:numId w:val="0"/>
        </w:numPr>
        <w:tabs>
          <w:tab w:val="left" w:pos="0"/>
        </w:tabs>
        <w:ind w:left="1134"/>
      </w:pPr>
      <w:r w:rsidRPr="00FD6A6A">
        <w:t>94.</w:t>
      </w:r>
      <w:r w:rsidRPr="00FD6A6A">
        <w:tab/>
      </w:r>
      <w:r w:rsidR="00D9258C" w:rsidRPr="00FD6A6A">
        <w:t>The</w:t>
      </w:r>
      <w:r w:rsidR="00541D05">
        <w:t xml:space="preserve"> </w:t>
      </w:r>
      <w:r w:rsidR="00D9258C" w:rsidRPr="00FD6A6A">
        <w:t>health</w:t>
      </w:r>
      <w:r w:rsidR="00541D05">
        <w:t xml:space="preserve"> </w:t>
      </w:r>
      <w:r w:rsidR="00D9258C" w:rsidRPr="00FD6A6A">
        <w:t>of</w:t>
      </w:r>
      <w:r w:rsidR="00541D05">
        <w:t xml:space="preserve"> </w:t>
      </w:r>
      <w:r w:rsidR="00D9258C" w:rsidRPr="00FD6A6A">
        <w:t>a</w:t>
      </w:r>
      <w:r w:rsidR="00541D05">
        <w:t xml:space="preserve"> </w:t>
      </w:r>
      <w:r w:rsidR="00D9258C" w:rsidRPr="00FD6A6A">
        <w:t>social</w:t>
      </w:r>
      <w:r w:rsidR="00541D05">
        <w:t xml:space="preserve"> </w:t>
      </w:r>
      <w:r w:rsidR="00D9258C" w:rsidRPr="00FD6A6A">
        <w:t>group</w:t>
      </w:r>
      <w:r w:rsidR="00541D05">
        <w:t xml:space="preserve"> </w:t>
      </w:r>
      <w:r w:rsidR="00D9258C" w:rsidRPr="00FD6A6A">
        <w:t>is</w:t>
      </w:r>
      <w:r w:rsidR="00541D05">
        <w:t xml:space="preserve"> </w:t>
      </w:r>
      <w:r w:rsidR="00D9258C" w:rsidRPr="00FD6A6A">
        <w:t>conditioned</w:t>
      </w:r>
      <w:r w:rsidR="00541D05">
        <w:t xml:space="preserve"> </w:t>
      </w:r>
      <w:r w:rsidR="00D9258C" w:rsidRPr="00FD6A6A">
        <w:t>and</w:t>
      </w:r>
      <w:r w:rsidR="00541D05">
        <w:t xml:space="preserve"> </w:t>
      </w:r>
      <w:r w:rsidR="00D9258C" w:rsidRPr="00FD6A6A">
        <w:t>affected</w:t>
      </w:r>
      <w:r w:rsidR="00541D05">
        <w:t xml:space="preserve"> </w:t>
      </w:r>
      <w:r w:rsidR="00D9258C" w:rsidRPr="00FD6A6A">
        <w:t>by</w:t>
      </w:r>
      <w:r w:rsidR="00541D05">
        <w:t xml:space="preserve"> </w:t>
      </w:r>
      <w:r w:rsidR="00D9258C" w:rsidRPr="00FD6A6A">
        <w:t>its</w:t>
      </w:r>
      <w:r w:rsidR="00541D05">
        <w:t xml:space="preserve"> </w:t>
      </w:r>
      <w:r w:rsidR="00D9258C" w:rsidRPr="00FD6A6A">
        <w:t>social,</w:t>
      </w:r>
      <w:r w:rsidR="00541D05">
        <w:t xml:space="preserve"> </w:t>
      </w:r>
      <w:r w:rsidR="00D9258C" w:rsidRPr="00FD6A6A">
        <w:t>political,</w:t>
      </w:r>
      <w:r w:rsidR="00541D05">
        <w:t xml:space="preserve"> </w:t>
      </w:r>
      <w:r w:rsidR="00D9258C" w:rsidRPr="00FD6A6A">
        <w:t>and</w:t>
      </w:r>
      <w:r w:rsidR="00541D05">
        <w:t xml:space="preserve"> </w:t>
      </w:r>
      <w:r w:rsidR="00D9258C" w:rsidRPr="00FD6A6A">
        <w:t>economic</w:t>
      </w:r>
      <w:r w:rsidR="00541D05">
        <w:t xml:space="preserve"> </w:t>
      </w:r>
      <w:r w:rsidR="00D9258C" w:rsidRPr="00FD6A6A">
        <w:t>context.</w:t>
      </w:r>
      <w:r w:rsidR="00541D05">
        <w:t xml:space="preserve"> </w:t>
      </w:r>
      <w:r w:rsidR="00D9258C" w:rsidRPr="00FD6A6A">
        <w:t>An</w:t>
      </w:r>
      <w:r w:rsidR="00541D05">
        <w:t xml:space="preserve"> </w:t>
      </w:r>
      <w:r w:rsidR="00D9258C" w:rsidRPr="00FD6A6A">
        <w:t>environment</w:t>
      </w:r>
      <w:r w:rsidR="00541D05">
        <w:t xml:space="preserve"> </w:t>
      </w:r>
      <w:r w:rsidR="00D9258C" w:rsidRPr="00FD6A6A">
        <w:t>marked</w:t>
      </w:r>
      <w:r w:rsidR="00541D05">
        <w:t xml:space="preserve"> </w:t>
      </w:r>
      <w:r w:rsidR="00D9258C" w:rsidRPr="00FD6A6A">
        <w:t>by</w:t>
      </w:r>
      <w:r w:rsidR="00541D05">
        <w:t xml:space="preserve"> </w:t>
      </w:r>
      <w:r w:rsidR="00D9258C" w:rsidRPr="00FD6A6A">
        <w:t>exclusion</w:t>
      </w:r>
      <w:r w:rsidR="00541D05">
        <w:t xml:space="preserve"> </w:t>
      </w:r>
      <w:r w:rsidR="00D9258C" w:rsidRPr="00FD6A6A">
        <w:t>and</w:t>
      </w:r>
      <w:r w:rsidR="00541D05">
        <w:t xml:space="preserve"> </w:t>
      </w:r>
      <w:r w:rsidR="00D9258C" w:rsidRPr="00FD6A6A">
        <w:t>discriminatory</w:t>
      </w:r>
      <w:r w:rsidR="00541D05">
        <w:t xml:space="preserve"> </w:t>
      </w:r>
      <w:r w:rsidR="00D9258C" w:rsidRPr="00FD6A6A">
        <w:t>processes</w:t>
      </w:r>
      <w:r w:rsidR="00541D05">
        <w:t xml:space="preserve"> </w:t>
      </w:r>
      <w:r w:rsidR="00D9258C" w:rsidRPr="00FD6A6A">
        <w:t>contributes</w:t>
      </w:r>
      <w:r w:rsidR="00541D05">
        <w:t xml:space="preserve"> </w:t>
      </w:r>
      <w:r w:rsidR="00D9258C" w:rsidRPr="00FD6A6A">
        <w:t>decisively</w:t>
      </w:r>
      <w:r w:rsidR="00541D05">
        <w:t xml:space="preserve"> </w:t>
      </w:r>
      <w:r w:rsidR="00D9258C" w:rsidRPr="00FD6A6A">
        <w:t>for</w:t>
      </w:r>
      <w:r w:rsidR="00541D05">
        <w:t xml:space="preserve"> </w:t>
      </w:r>
      <w:r w:rsidR="00D9258C" w:rsidRPr="00FD6A6A">
        <w:t>the</w:t>
      </w:r>
      <w:r w:rsidR="00541D05">
        <w:t xml:space="preserve"> </w:t>
      </w:r>
      <w:r w:rsidR="00D9258C" w:rsidRPr="00FD6A6A">
        <w:t>reproduction</w:t>
      </w:r>
      <w:r w:rsidR="00541D05">
        <w:t xml:space="preserve"> </w:t>
      </w:r>
      <w:r w:rsidR="00D9258C" w:rsidRPr="00FD6A6A">
        <w:t>of</w:t>
      </w:r>
      <w:r w:rsidR="00541D05">
        <w:t xml:space="preserve"> </w:t>
      </w:r>
      <w:r w:rsidR="00D9258C" w:rsidRPr="00FD6A6A">
        <w:t>several</w:t>
      </w:r>
      <w:r w:rsidR="00541D05">
        <w:t xml:space="preserve"> </w:t>
      </w:r>
      <w:r w:rsidR="00D9258C" w:rsidRPr="00FD6A6A">
        <w:t>vulnerabilities.</w:t>
      </w:r>
      <w:r w:rsidR="00541D05">
        <w:t xml:space="preserve"> </w:t>
      </w:r>
      <w:r w:rsidR="00D9258C" w:rsidRPr="00FD6A6A">
        <w:t>In</w:t>
      </w:r>
      <w:r w:rsidR="00541D05">
        <w:t xml:space="preserve"> </w:t>
      </w:r>
      <w:r w:rsidR="00D9258C" w:rsidRPr="00FD6A6A">
        <w:t>this</w:t>
      </w:r>
      <w:r w:rsidR="00541D05">
        <w:t xml:space="preserve"> </w:t>
      </w:r>
      <w:r w:rsidR="00D9258C" w:rsidRPr="00FD6A6A">
        <w:t>aspect,</w:t>
      </w:r>
      <w:r w:rsidR="00541D05">
        <w:t xml:space="preserve"> </w:t>
      </w:r>
      <w:r w:rsidR="00D9258C" w:rsidRPr="00FD6A6A">
        <w:t>it</w:t>
      </w:r>
      <w:r w:rsidR="00541D05">
        <w:t xml:space="preserve"> </w:t>
      </w:r>
      <w:r w:rsidR="00D9258C" w:rsidRPr="00FD6A6A">
        <w:t>is</w:t>
      </w:r>
      <w:r w:rsidR="00541D05">
        <w:t xml:space="preserve"> </w:t>
      </w:r>
      <w:r w:rsidR="00D9258C" w:rsidRPr="00FD6A6A">
        <w:t>important</w:t>
      </w:r>
      <w:r w:rsidR="00541D05">
        <w:t xml:space="preserve"> </w:t>
      </w:r>
      <w:r w:rsidR="00D9258C" w:rsidRPr="00FD6A6A">
        <w:t>to</w:t>
      </w:r>
      <w:r w:rsidR="00541D05">
        <w:t xml:space="preserve"> </w:t>
      </w:r>
      <w:r w:rsidR="00D9258C" w:rsidRPr="00FD6A6A">
        <w:t>highlight</w:t>
      </w:r>
      <w:r w:rsidR="00541D05">
        <w:t xml:space="preserve"> </w:t>
      </w:r>
      <w:r w:rsidR="00D9258C" w:rsidRPr="00FD6A6A">
        <w:t>that</w:t>
      </w:r>
      <w:r w:rsidR="00541D05">
        <w:t xml:space="preserve"> </w:t>
      </w:r>
      <w:r w:rsidR="00D9258C" w:rsidRPr="00FD6A6A">
        <w:t>access</w:t>
      </w:r>
      <w:r w:rsidR="00541D05">
        <w:t xml:space="preserve"> </w:t>
      </w:r>
      <w:r w:rsidR="00D9258C" w:rsidRPr="00FD6A6A">
        <w:t>to</w:t>
      </w:r>
      <w:r w:rsidR="00541D05">
        <w:t xml:space="preserve"> </w:t>
      </w:r>
      <w:r w:rsidR="00D9258C" w:rsidRPr="00FD6A6A">
        <w:t>income,</w:t>
      </w:r>
      <w:r w:rsidR="00541D05">
        <w:t xml:space="preserve"> </w:t>
      </w:r>
      <w:r w:rsidR="00D9258C" w:rsidRPr="00FD6A6A">
        <w:t>housing,</w:t>
      </w:r>
      <w:r w:rsidR="00541D05">
        <w:t xml:space="preserve"> </w:t>
      </w:r>
      <w:r w:rsidR="00D9258C" w:rsidRPr="00FD6A6A">
        <w:t>and</w:t>
      </w:r>
      <w:r w:rsidR="00541D05">
        <w:t xml:space="preserve"> </w:t>
      </w:r>
      <w:r w:rsidR="00D9258C" w:rsidRPr="00FD6A6A">
        <w:t>work,</w:t>
      </w:r>
      <w:r w:rsidR="00541D05">
        <w:t xml:space="preserve"> </w:t>
      </w:r>
      <w:r w:rsidR="00D9258C" w:rsidRPr="00FD6A6A">
        <w:t>among</w:t>
      </w:r>
      <w:r w:rsidR="00541D05">
        <w:t xml:space="preserve"> </w:t>
      </w:r>
      <w:r w:rsidR="00D9258C" w:rsidRPr="00FD6A6A">
        <w:t>other</w:t>
      </w:r>
      <w:r w:rsidR="00541D05">
        <w:t xml:space="preserve"> </w:t>
      </w:r>
      <w:r w:rsidR="00D9258C" w:rsidRPr="00FD6A6A">
        <w:t>factors,</w:t>
      </w:r>
      <w:r w:rsidR="00541D05">
        <w:t xml:space="preserve"> </w:t>
      </w:r>
      <w:r w:rsidR="00D9258C" w:rsidRPr="00FD6A6A">
        <w:t>have</w:t>
      </w:r>
      <w:r w:rsidR="00541D05">
        <w:t xml:space="preserve"> </w:t>
      </w:r>
      <w:r w:rsidR="00D9258C" w:rsidRPr="00FD6A6A">
        <w:t>major</w:t>
      </w:r>
      <w:r w:rsidR="00541D05">
        <w:t xml:space="preserve"> </w:t>
      </w:r>
      <w:r w:rsidR="00D9258C" w:rsidRPr="00FD6A6A">
        <w:t>influence</w:t>
      </w:r>
      <w:r w:rsidR="00541D05">
        <w:t xml:space="preserve"> </w:t>
      </w:r>
      <w:r w:rsidR="00D9258C" w:rsidRPr="00FD6A6A">
        <w:t>over</w:t>
      </w:r>
      <w:r w:rsidR="00541D05">
        <w:t xml:space="preserve"> </w:t>
      </w:r>
      <w:r w:rsidR="00D9258C" w:rsidRPr="00FD6A6A">
        <w:t>the</w:t>
      </w:r>
      <w:r w:rsidR="00541D05">
        <w:t xml:space="preserve"> </w:t>
      </w:r>
      <w:r w:rsidR="00D9258C" w:rsidRPr="00FD6A6A">
        <w:t>epidemiologic</w:t>
      </w:r>
      <w:r w:rsidR="00541D05">
        <w:t xml:space="preserve"> </w:t>
      </w:r>
      <w:r w:rsidR="00D9258C" w:rsidRPr="00FD6A6A">
        <w:t>situation</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p>
    <w:p w14:paraId="55B6974E" w14:textId="76D91D3B" w:rsidR="00D9258C" w:rsidRPr="00FD6A6A" w:rsidRDefault="00166390" w:rsidP="00166390">
      <w:pPr>
        <w:pStyle w:val="ParaNoG"/>
        <w:numPr>
          <w:ilvl w:val="0"/>
          <w:numId w:val="0"/>
        </w:numPr>
        <w:tabs>
          <w:tab w:val="left" w:pos="0"/>
        </w:tabs>
        <w:ind w:left="1134"/>
      </w:pPr>
      <w:r w:rsidRPr="00FD6A6A">
        <w:t>95.</w:t>
      </w:r>
      <w:r w:rsidRPr="00FD6A6A">
        <w:tab/>
      </w:r>
      <w:r w:rsidR="00D9258C" w:rsidRPr="00FD6A6A">
        <w:t>The</w:t>
      </w:r>
      <w:r w:rsidR="00541D05">
        <w:t xml:space="preserve"> </w:t>
      </w:r>
      <w:r w:rsidR="00D9258C" w:rsidRPr="00FD6A6A">
        <w:t>health</w:t>
      </w:r>
      <w:r w:rsidR="00541D05">
        <w:t xml:space="preserve"> </w:t>
      </w:r>
      <w:r w:rsidR="00D9258C" w:rsidRPr="00FD6A6A">
        <w:t>care</w:t>
      </w:r>
      <w:r w:rsidR="00541D05">
        <w:t xml:space="preserve"> </w:t>
      </w:r>
      <w:r w:rsidR="00D9258C" w:rsidRPr="00FD6A6A">
        <w:t>agenda</w:t>
      </w:r>
      <w:r w:rsidR="00541D05">
        <w:t xml:space="preserve"> </w:t>
      </w:r>
      <w:r w:rsidR="00D9258C" w:rsidRPr="00FD6A6A">
        <w:t>is</w:t>
      </w:r>
      <w:r w:rsidR="00541D05">
        <w:t xml:space="preserve"> </w:t>
      </w:r>
      <w:r w:rsidR="00D9258C" w:rsidRPr="00FD6A6A">
        <w:t>particularly</w:t>
      </w:r>
      <w:r w:rsidR="00541D05">
        <w:t xml:space="preserve"> </w:t>
      </w:r>
      <w:r w:rsidR="00D9258C" w:rsidRPr="00FD6A6A">
        <w:t>important</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women</w:t>
      </w:r>
      <w:r w:rsidR="00EA62F1">
        <w:t>’</w:t>
      </w:r>
      <w:r w:rsidR="00D9258C" w:rsidRPr="00FD6A6A">
        <w:t>s</w:t>
      </w:r>
      <w:r w:rsidR="00541D05">
        <w:t xml:space="preserve"> </w:t>
      </w:r>
      <w:r w:rsidR="00D9258C" w:rsidRPr="00FD6A6A">
        <w:t>movement,</w:t>
      </w:r>
      <w:r w:rsidR="00541D05">
        <w:t xml:space="preserve"> </w:t>
      </w:r>
      <w:r w:rsidR="00D9258C" w:rsidRPr="00FD6A6A">
        <w:t>which</w:t>
      </w:r>
      <w:r w:rsidR="00541D05">
        <w:t xml:space="preserve"> </w:t>
      </w:r>
      <w:r w:rsidR="00D9258C" w:rsidRPr="00FD6A6A">
        <w:t>is</w:t>
      </w:r>
      <w:r w:rsidR="00541D05">
        <w:t xml:space="preserve"> </w:t>
      </w:r>
      <w:r w:rsidR="00D9258C" w:rsidRPr="00FD6A6A">
        <w:t>the</w:t>
      </w:r>
      <w:r w:rsidR="00541D05">
        <w:t xml:space="preserve"> </w:t>
      </w:r>
      <w:r w:rsidR="00D9258C" w:rsidRPr="00FD6A6A">
        <w:t>main</w:t>
      </w:r>
      <w:r w:rsidR="00541D05">
        <w:t xml:space="preserve"> </w:t>
      </w:r>
      <w:r w:rsidR="00D9258C" w:rsidRPr="00FD6A6A">
        <w:t>player</w:t>
      </w:r>
      <w:r w:rsidR="00541D05">
        <w:t xml:space="preserve"> </w:t>
      </w:r>
      <w:r w:rsidR="00D9258C" w:rsidRPr="00FD6A6A">
        <w:t>in</w:t>
      </w:r>
      <w:r w:rsidR="00541D05">
        <w:t xml:space="preserve"> </w:t>
      </w:r>
      <w:r w:rsidR="00D9258C" w:rsidRPr="00FD6A6A">
        <w:t>these</w:t>
      </w:r>
      <w:r w:rsidR="00541D05">
        <w:t xml:space="preserve"> </w:t>
      </w:r>
      <w:r w:rsidR="00D9258C" w:rsidRPr="00FD6A6A">
        <w:t>claims.</w:t>
      </w:r>
      <w:r w:rsidR="00541D05">
        <w:t xml:space="preserve"> </w:t>
      </w:r>
      <w:r w:rsidR="00D9258C" w:rsidRPr="00FD6A6A">
        <w:t>Afro-Brazilian</w:t>
      </w:r>
      <w:r w:rsidR="00541D05">
        <w:t xml:space="preserve"> </w:t>
      </w:r>
      <w:r w:rsidR="00D9258C" w:rsidRPr="00FD6A6A">
        <w:t>women</w:t>
      </w:r>
      <w:r w:rsidR="00541D05">
        <w:t xml:space="preserve"> </w:t>
      </w:r>
      <w:r w:rsidR="00D9258C" w:rsidRPr="00FD6A6A">
        <w:t>are</w:t>
      </w:r>
      <w:r w:rsidR="00541D05">
        <w:t xml:space="preserve"> </w:t>
      </w:r>
      <w:r w:rsidR="00D9258C" w:rsidRPr="00FD6A6A">
        <w:t>more</w:t>
      </w:r>
      <w:r w:rsidR="00541D05">
        <w:t xml:space="preserve"> </w:t>
      </w:r>
      <w:r w:rsidR="00D9258C" w:rsidRPr="00FD6A6A">
        <w:t>susceptible</w:t>
      </w:r>
      <w:r w:rsidR="00541D05">
        <w:t xml:space="preserve"> </w:t>
      </w:r>
      <w:r w:rsidR="00D9258C" w:rsidRPr="00FD6A6A">
        <w:t>to</w:t>
      </w:r>
      <w:r w:rsidR="00541D05">
        <w:t xml:space="preserve"> </w:t>
      </w:r>
      <w:r w:rsidR="00D9258C" w:rsidRPr="00FD6A6A">
        <w:t>maternal</w:t>
      </w:r>
      <w:r w:rsidR="00541D05">
        <w:t xml:space="preserve"> </w:t>
      </w:r>
      <w:r w:rsidR="00D9258C" w:rsidRPr="00FD6A6A">
        <w:t>mortality</w:t>
      </w:r>
      <w:r w:rsidR="00541D05">
        <w:t xml:space="preserve"> </w:t>
      </w:r>
      <w:r w:rsidR="00D9258C" w:rsidRPr="00FD6A6A">
        <w:t>due</w:t>
      </w:r>
      <w:r w:rsidR="00541D05">
        <w:t xml:space="preserve"> </w:t>
      </w:r>
      <w:r w:rsidR="00D9258C" w:rsidRPr="00FD6A6A">
        <w:t>to</w:t>
      </w:r>
      <w:r w:rsidR="00541D05">
        <w:t xml:space="preserve"> </w:t>
      </w:r>
      <w:r w:rsidR="00D9258C" w:rsidRPr="00FD6A6A">
        <w:t>the</w:t>
      </w:r>
      <w:r w:rsidR="00541D05">
        <w:t xml:space="preserve"> </w:t>
      </w:r>
      <w:r w:rsidR="00D9258C" w:rsidRPr="00FD6A6A">
        <w:t>triple</w:t>
      </w:r>
      <w:r w:rsidR="00541D05">
        <w:t xml:space="preserve"> </w:t>
      </w:r>
      <w:r w:rsidR="00D9258C" w:rsidRPr="00FD6A6A">
        <w:t>discrimination</w:t>
      </w:r>
      <w:r w:rsidR="00541D05">
        <w:t xml:space="preserve"> </w:t>
      </w:r>
      <w:r w:rsidR="00D9258C" w:rsidRPr="00FD6A6A">
        <w:t>–</w:t>
      </w:r>
      <w:r w:rsidR="00541D05">
        <w:t xml:space="preserve"> </w:t>
      </w:r>
      <w:r w:rsidR="00D9258C" w:rsidRPr="00FD6A6A">
        <w:t>regarding</w:t>
      </w:r>
      <w:r w:rsidR="00541D05">
        <w:t xml:space="preserve"> </w:t>
      </w:r>
      <w:r w:rsidR="00D9258C" w:rsidRPr="00FD6A6A">
        <w:t>gender,</w:t>
      </w:r>
      <w:r w:rsidR="00541D05">
        <w:t xml:space="preserve"> </w:t>
      </w:r>
      <w:r w:rsidR="00D9258C" w:rsidRPr="00FD6A6A">
        <w:t>race,</w:t>
      </w:r>
      <w:r w:rsidR="00541D05">
        <w:t xml:space="preserve"> </w:t>
      </w:r>
      <w:r w:rsidR="00D9258C" w:rsidRPr="00FD6A6A">
        <w:t>and</w:t>
      </w:r>
      <w:r w:rsidR="00541D05">
        <w:t xml:space="preserve"> </w:t>
      </w:r>
      <w:r w:rsidR="00D9258C" w:rsidRPr="00FD6A6A">
        <w:t>class</w:t>
      </w:r>
      <w:r w:rsidR="00541D05">
        <w:t xml:space="preserve"> </w:t>
      </w:r>
      <w:r w:rsidR="00D9258C" w:rsidRPr="00FD6A6A">
        <w:t>–</w:t>
      </w:r>
      <w:r w:rsidR="00541D05">
        <w:t xml:space="preserve"> </w:t>
      </w:r>
      <w:r w:rsidR="00D9258C" w:rsidRPr="00FD6A6A">
        <w:t>they</w:t>
      </w:r>
      <w:r w:rsidR="00541D05">
        <w:t xml:space="preserve"> </w:t>
      </w:r>
      <w:r w:rsidR="00D9258C" w:rsidRPr="00FD6A6A">
        <w:t>suffer.</w:t>
      </w:r>
      <w:r w:rsidR="00541D05">
        <w:t xml:space="preserve"> </w:t>
      </w:r>
      <w:r w:rsidR="00D9258C" w:rsidRPr="00FD6A6A">
        <w:t>Since</w:t>
      </w:r>
      <w:r w:rsidR="00541D05">
        <w:t xml:space="preserve"> </w:t>
      </w:r>
      <w:r w:rsidR="00D9258C" w:rsidRPr="00FD6A6A">
        <w:t>they</w:t>
      </w:r>
      <w:r w:rsidR="00541D05">
        <w:t xml:space="preserve"> </w:t>
      </w:r>
      <w:r w:rsidR="00D9258C" w:rsidRPr="00FD6A6A">
        <w:t>do</w:t>
      </w:r>
      <w:r w:rsidR="00541D05">
        <w:t xml:space="preserve"> </w:t>
      </w:r>
      <w:r w:rsidR="00D9258C" w:rsidRPr="00FD6A6A">
        <w:t>not</w:t>
      </w:r>
      <w:r w:rsidR="00541D05">
        <w:t xml:space="preserve"> </w:t>
      </w:r>
      <w:r w:rsidR="00D9258C" w:rsidRPr="00FD6A6A">
        <w:t>have</w:t>
      </w:r>
      <w:r w:rsidR="00541D05">
        <w:t xml:space="preserve"> </w:t>
      </w:r>
      <w:r w:rsidR="00D9258C" w:rsidRPr="00FD6A6A">
        <w:t>enough</w:t>
      </w:r>
      <w:r w:rsidR="00541D05">
        <w:t xml:space="preserve"> </w:t>
      </w:r>
      <w:r w:rsidR="00D9258C" w:rsidRPr="00FD6A6A">
        <w:t>income</w:t>
      </w:r>
      <w:r w:rsidR="00541D05">
        <w:t xml:space="preserve"> </w:t>
      </w:r>
      <w:r w:rsidR="00D9258C" w:rsidRPr="00FD6A6A">
        <w:t>to</w:t>
      </w:r>
      <w:r w:rsidR="00541D05">
        <w:t xml:space="preserve"> </w:t>
      </w:r>
      <w:r w:rsidR="00D9258C" w:rsidRPr="00FD6A6A">
        <w:t>access</w:t>
      </w:r>
      <w:r w:rsidR="00541D05">
        <w:t xml:space="preserve"> </w:t>
      </w:r>
      <w:r w:rsidR="00D9258C" w:rsidRPr="00FD6A6A">
        <w:t>the</w:t>
      </w:r>
      <w:r w:rsidR="00541D05">
        <w:t xml:space="preserve"> </w:t>
      </w:r>
      <w:r w:rsidR="00D9258C" w:rsidRPr="00FD6A6A">
        <w:t>private</w:t>
      </w:r>
      <w:r w:rsidR="00541D05">
        <w:t xml:space="preserve"> </w:t>
      </w:r>
      <w:r w:rsidR="00D9258C" w:rsidRPr="00FD6A6A">
        <w:t>health</w:t>
      </w:r>
      <w:r w:rsidR="00541D05">
        <w:t xml:space="preserve"> </w:t>
      </w:r>
      <w:r w:rsidR="00D9258C" w:rsidRPr="00FD6A6A">
        <w:t>care</w:t>
      </w:r>
      <w:r w:rsidR="00541D05">
        <w:t xml:space="preserve"> </w:t>
      </w:r>
      <w:r w:rsidR="00D9258C" w:rsidRPr="00FD6A6A">
        <w:t>system,</w:t>
      </w:r>
      <w:r w:rsidR="00541D05">
        <w:t xml:space="preserve"> </w:t>
      </w:r>
      <w:r w:rsidR="00D9258C" w:rsidRPr="00FD6A6A">
        <w:t>Afro-Brazilian</w:t>
      </w:r>
      <w:r w:rsidR="00541D05">
        <w:t xml:space="preserve"> </w:t>
      </w:r>
      <w:r w:rsidR="00D9258C" w:rsidRPr="00FD6A6A">
        <w:t>women</w:t>
      </w:r>
      <w:r w:rsidR="00541D05">
        <w:t xml:space="preserve"> </w:t>
      </w:r>
      <w:r w:rsidR="00D9258C" w:rsidRPr="00FD6A6A">
        <w:t>depend</w:t>
      </w:r>
      <w:r w:rsidR="00541D05">
        <w:t xml:space="preserve"> </w:t>
      </w:r>
      <w:r w:rsidR="00D9258C" w:rsidRPr="00FD6A6A">
        <w:t>essentially</w:t>
      </w:r>
      <w:r w:rsidR="00541D05">
        <w:t xml:space="preserve"> </w:t>
      </w:r>
      <w:r w:rsidR="00D9258C" w:rsidRPr="00FD6A6A">
        <w:t>on</w:t>
      </w:r>
      <w:r w:rsidR="00541D05">
        <w:t xml:space="preserve"> </w:t>
      </w:r>
      <w:r w:rsidR="00D9258C" w:rsidRPr="00FD6A6A">
        <w:t>public</w:t>
      </w:r>
      <w:r w:rsidR="00541D05">
        <w:t xml:space="preserve"> </w:t>
      </w:r>
      <w:r w:rsidR="00D9258C" w:rsidRPr="00FD6A6A">
        <w:t>or</w:t>
      </w:r>
      <w:r w:rsidR="00541D05">
        <w:t xml:space="preserve"> </w:t>
      </w:r>
      <w:r w:rsidR="00D9258C" w:rsidRPr="00FD6A6A">
        <w:t>low-cost</w:t>
      </w:r>
      <w:r w:rsidR="00541D05">
        <w:t xml:space="preserve"> </w:t>
      </w:r>
      <w:r w:rsidR="00D9258C" w:rsidRPr="00FD6A6A">
        <w:t>health</w:t>
      </w:r>
      <w:r w:rsidR="00541D05">
        <w:t xml:space="preserve"> </w:t>
      </w:r>
      <w:r w:rsidR="00D9258C" w:rsidRPr="00FD6A6A">
        <w:t>care</w:t>
      </w:r>
      <w:r w:rsidR="00541D05">
        <w:t xml:space="preserve"> </w:t>
      </w:r>
      <w:r w:rsidR="00D9258C" w:rsidRPr="00FD6A6A">
        <w:t>services.</w:t>
      </w:r>
    </w:p>
    <w:p w14:paraId="58D76E51" w14:textId="4648EDD7" w:rsidR="00D9258C" w:rsidRPr="00FD6A6A" w:rsidRDefault="00166390" w:rsidP="00166390">
      <w:pPr>
        <w:pStyle w:val="ParaNoG"/>
        <w:numPr>
          <w:ilvl w:val="0"/>
          <w:numId w:val="0"/>
        </w:numPr>
        <w:tabs>
          <w:tab w:val="left" w:pos="0"/>
        </w:tabs>
        <w:ind w:left="1134"/>
      </w:pPr>
      <w:r w:rsidRPr="00FD6A6A">
        <w:t>96.</w:t>
      </w:r>
      <w:r w:rsidRPr="00FD6A6A">
        <w:tab/>
      </w:r>
      <w:r w:rsidR="00D9258C" w:rsidRPr="00FD6A6A">
        <w:t>Access</w:t>
      </w:r>
      <w:r w:rsidR="00541D05">
        <w:t xml:space="preserve"> </w:t>
      </w:r>
      <w:r w:rsidR="00D9258C" w:rsidRPr="00FD6A6A">
        <w:t>and</w:t>
      </w:r>
      <w:r w:rsidR="00541D05">
        <w:t xml:space="preserve"> </w:t>
      </w:r>
      <w:r w:rsidR="00D9258C" w:rsidRPr="00FD6A6A">
        <w:t>quality</w:t>
      </w:r>
      <w:r w:rsidR="00541D05">
        <w:t xml:space="preserve"> </w:t>
      </w:r>
      <w:r w:rsidR="00D9258C" w:rsidRPr="00FD6A6A">
        <w:t>of</w:t>
      </w:r>
      <w:r w:rsidR="00541D05">
        <w:t xml:space="preserve"> </w:t>
      </w:r>
      <w:r w:rsidR="00D9258C" w:rsidRPr="00FD6A6A">
        <w:t>access</w:t>
      </w:r>
      <w:r w:rsidR="00541D05">
        <w:t xml:space="preserve"> </w:t>
      </w:r>
      <w:r w:rsidR="00D9258C" w:rsidRPr="00FD6A6A">
        <w:t>are</w:t>
      </w:r>
      <w:r w:rsidR="00541D05">
        <w:t xml:space="preserve"> </w:t>
      </w:r>
      <w:r w:rsidR="00D9258C" w:rsidRPr="00FD6A6A">
        <w:t>determinants</w:t>
      </w:r>
      <w:r w:rsidR="00541D05">
        <w:t xml:space="preserve"> </w:t>
      </w:r>
      <w:r w:rsidR="00D9258C" w:rsidRPr="00FD6A6A">
        <w:t>of</w:t>
      </w:r>
      <w:r w:rsidR="00541D05">
        <w:t xml:space="preserve"> </w:t>
      </w:r>
      <w:r w:rsidR="00D9258C" w:rsidRPr="00FD6A6A">
        <w:t>high</w:t>
      </w:r>
      <w:r w:rsidR="00541D05">
        <w:t xml:space="preserve"> </w:t>
      </w:r>
      <w:r w:rsidR="00D9258C" w:rsidRPr="00FD6A6A">
        <w:t>resilience</w:t>
      </w:r>
      <w:r w:rsidR="00541D05">
        <w:t xml:space="preserve"> </w:t>
      </w:r>
      <w:r w:rsidR="00D9258C" w:rsidRPr="00FD6A6A">
        <w:t>of</w:t>
      </w:r>
      <w:r w:rsidR="00541D05">
        <w:t xml:space="preserve"> </w:t>
      </w:r>
      <w:r w:rsidR="00D9258C" w:rsidRPr="00FD6A6A">
        <w:t>the</w:t>
      </w:r>
      <w:r w:rsidR="00541D05">
        <w:t xml:space="preserve"> </w:t>
      </w:r>
      <w:r w:rsidR="00D9258C" w:rsidRPr="00FD6A6A">
        <w:t>indicator</w:t>
      </w:r>
      <w:r w:rsidR="00541D05">
        <w:t xml:space="preserve"> </w:t>
      </w:r>
      <w:r w:rsidR="00D9258C" w:rsidRPr="00FD6A6A">
        <w:t>of</w:t>
      </w:r>
      <w:r w:rsidR="00541D05">
        <w:t xml:space="preserve"> </w:t>
      </w:r>
      <w:r w:rsidR="00D9258C" w:rsidRPr="00FD6A6A">
        <w:t>maternal</w:t>
      </w:r>
      <w:r w:rsidR="00541D05">
        <w:t xml:space="preserve"> </w:t>
      </w:r>
      <w:r w:rsidR="00D9258C" w:rsidRPr="00FD6A6A">
        <w:t>mortality,</w:t>
      </w:r>
      <w:r w:rsidR="00541D05">
        <w:t xml:space="preserve"> </w:t>
      </w:r>
      <w:r w:rsidR="00D9258C" w:rsidRPr="00FD6A6A">
        <w:t>in</w:t>
      </w:r>
      <w:r w:rsidR="00541D05">
        <w:t xml:space="preserve"> </w:t>
      </w:r>
      <w:r w:rsidR="00D9258C" w:rsidRPr="00FD6A6A">
        <w:t>which</w:t>
      </w:r>
      <w:r w:rsidR="00541D05">
        <w:t xml:space="preserve"> </w:t>
      </w:r>
      <w:r w:rsidR="00D9258C" w:rsidRPr="00FD6A6A">
        <w:t>the</w:t>
      </w:r>
      <w:r w:rsidR="00541D05">
        <w:t xml:space="preserve"> </w:t>
      </w:r>
      <w:r w:rsidR="00D9258C" w:rsidRPr="00FD6A6A">
        <w:t>racial</w:t>
      </w:r>
      <w:r w:rsidR="00541D05">
        <w:t xml:space="preserve"> </w:t>
      </w:r>
      <w:r w:rsidR="00D9258C" w:rsidRPr="00FD6A6A">
        <w:t>marker</w:t>
      </w:r>
      <w:r w:rsidR="00541D05">
        <w:t xml:space="preserve"> </w:t>
      </w:r>
      <w:r w:rsidR="00D9258C" w:rsidRPr="00FD6A6A">
        <w:t>acquires</w:t>
      </w:r>
      <w:r w:rsidR="00541D05">
        <w:t xml:space="preserve"> </w:t>
      </w:r>
      <w:r w:rsidR="00D9258C" w:rsidRPr="00FD6A6A">
        <w:t>a</w:t>
      </w:r>
      <w:r w:rsidR="00541D05">
        <w:t xml:space="preserve"> </w:t>
      </w:r>
      <w:r w:rsidR="00D9258C" w:rsidRPr="00FD6A6A">
        <w:t>special</w:t>
      </w:r>
      <w:r w:rsidR="00541D05">
        <w:t xml:space="preserve"> </w:t>
      </w:r>
      <w:r w:rsidR="00D9258C" w:rsidRPr="00FD6A6A">
        <w:t>selective</w:t>
      </w:r>
      <w:r w:rsidR="00541D05">
        <w:t xml:space="preserve"> </w:t>
      </w:r>
      <w:r w:rsidR="00D9258C" w:rsidRPr="00FD6A6A">
        <w:t>force:</w:t>
      </w:r>
      <w:r w:rsidR="00541D05">
        <w:t xml:space="preserve"> </w:t>
      </w:r>
      <w:r w:rsidR="00D9258C" w:rsidRPr="00FD6A6A">
        <w:t>62%</w:t>
      </w:r>
      <w:r w:rsidR="00541D05">
        <w:t xml:space="preserve"> </w:t>
      </w:r>
      <w:r w:rsidR="00D9258C" w:rsidRPr="00FD6A6A">
        <w:t>of</w:t>
      </w:r>
      <w:r w:rsidR="00541D05">
        <w:t xml:space="preserve"> </w:t>
      </w:r>
      <w:r w:rsidR="00D9258C" w:rsidRPr="00FD6A6A">
        <w:t>maternal</w:t>
      </w:r>
      <w:r w:rsidR="00541D05">
        <w:t xml:space="preserve"> </w:t>
      </w:r>
      <w:r w:rsidR="00D9258C" w:rsidRPr="00FD6A6A">
        <w:t>mortality</w:t>
      </w:r>
      <w:r w:rsidR="00541D05">
        <w:t xml:space="preserve"> </w:t>
      </w:r>
      <w:r w:rsidR="00D9258C" w:rsidRPr="00FD6A6A">
        <w:t>victims</w:t>
      </w:r>
      <w:r w:rsidR="00541D05">
        <w:t xml:space="preserve"> </w:t>
      </w:r>
      <w:r w:rsidR="00D9258C" w:rsidRPr="00FD6A6A">
        <w:t>in</w:t>
      </w:r>
      <w:r w:rsidR="00541D05">
        <w:t xml:space="preserve"> </w:t>
      </w:r>
      <w:r w:rsidR="00D9258C" w:rsidRPr="00FD6A6A">
        <w:t>Brazil</w:t>
      </w:r>
      <w:r w:rsidR="00541D05">
        <w:t xml:space="preserve"> </w:t>
      </w:r>
      <w:r w:rsidR="00D9258C" w:rsidRPr="00FD6A6A">
        <w:t>are</w:t>
      </w:r>
      <w:r w:rsidR="00541D05">
        <w:t xml:space="preserve"> </w:t>
      </w:r>
      <w:r w:rsidR="00D9258C" w:rsidRPr="00FD6A6A">
        <w:t>Afro-Brazilian</w:t>
      </w:r>
      <w:r w:rsidR="00541D05">
        <w:t xml:space="preserve"> </w:t>
      </w:r>
      <w:r w:rsidR="00D9258C" w:rsidRPr="00FD6A6A">
        <w:t>women,</w:t>
      </w:r>
      <w:r w:rsidR="00541D05">
        <w:t xml:space="preserve"> </w:t>
      </w:r>
      <w:r w:rsidR="00D9258C" w:rsidRPr="00FD6A6A">
        <w:t>while</w:t>
      </w:r>
      <w:r w:rsidR="00541D05">
        <w:t xml:space="preserve"> </w:t>
      </w:r>
      <w:r w:rsidR="00D9258C" w:rsidRPr="00FD6A6A">
        <w:t>35.6%</w:t>
      </w:r>
      <w:r w:rsidR="00541D05">
        <w:t xml:space="preserve"> </w:t>
      </w:r>
      <w:r w:rsidR="00D9258C" w:rsidRPr="00FD6A6A">
        <w:t>are</w:t>
      </w:r>
      <w:r w:rsidR="00541D05">
        <w:t xml:space="preserve"> </w:t>
      </w:r>
      <w:r w:rsidR="00D9258C" w:rsidRPr="00FD6A6A">
        <w:t>White.</w:t>
      </w:r>
      <w:r w:rsidR="00541D05">
        <w:t xml:space="preserve"> </w:t>
      </w:r>
      <w:r w:rsidR="00D9258C" w:rsidRPr="00FD6A6A">
        <w:t>Between</w:t>
      </w:r>
      <w:r w:rsidR="00541D05">
        <w:t xml:space="preserve"> </w:t>
      </w:r>
      <w:r w:rsidR="00D9258C" w:rsidRPr="00FD6A6A">
        <w:t>1990</w:t>
      </w:r>
      <w:r w:rsidR="00541D05">
        <w:t xml:space="preserve"> </w:t>
      </w:r>
      <w:r w:rsidR="00D9258C" w:rsidRPr="00FD6A6A">
        <w:t>and</w:t>
      </w:r>
      <w:r w:rsidR="00541D05">
        <w:t xml:space="preserve"> </w:t>
      </w:r>
      <w:r w:rsidR="00D9258C" w:rsidRPr="00FD6A6A">
        <w:t>2015,</w:t>
      </w:r>
      <w:r w:rsidR="00541D05">
        <w:t xml:space="preserve"> </w:t>
      </w:r>
      <w:r w:rsidR="00D9258C" w:rsidRPr="00FD6A6A">
        <w:t>maternal</w:t>
      </w:r>
      <w:r w:rsidR="00541D05">
        <w:t xml:space="preserve"> </w:t>
      </w:r>
      <w:r w:rsidR="00D9258C" w:rsidRPr="00FD6A6A">
        <w:t>mortality</w:t>
      </w:r>
      <w:r w:rsidR="00541D05">
        <w:t xml:space="preserve"> </w:t>
      </w:r>
      <w:r w:rsidR="00D9258C" w:rsidRPr="00FD6A6A">
        <w:t>decreased</w:t>
      </w:r>
      <w:r w:rsidR="00541D05">
        <w:t xml:space="preserve"> </w:t>
      </w:r>
      <w:r w:rsidR="00D9258C" w:rsidRPr="00FD6A6A">
        <w:t>58%,</w:t>
      </w:r>
      <w:r w:rsidR="00541D05">
        <w:t xml:space="preserve"> </w:t>
      </w:r>
      <w:r w:rsidR="00D9258C" w:rsidRPr="00FD6A6A">
        <w:t>from</w:t>
      </w:r>
      <w:r w:rsidR="00541D05">
        <w:t xml:space="preserve"> </w:t>
      </w:r>
      <w:r w:rsidR="00D9258C" w:rsidRPr="00FD6A6A">
        <w:t>143</w:t>
      </w:r>
      <w:r w:rsidR="00541D05">
        <w:t xml:space="preserve"> </w:t>
      </w:r>
      <w:r w:rsidR="00D9258C" w:rsidRPr="00FD6A6A">
        <w:t>to</w:t>
      </w:r>
      <w:r w:rsidR="00541D05">
        <w:t xml:space="preserve"> </w:t>
      </w:r>
      <w:r w:rsidR="00D9258C" w:rsidRPr="00FD6A6A">
        <w:t>60</w:t>
      </w:r>
      <w:r w:rsidR="00541D05">
        <w:t xml:space="preserve"> </w:t>
      </w:r>
      <w:r w:rsidR="00D9258C" w:rsidRPr="00FD6A6A">
        <w:t>maternal</w:t>
      </w:r>
      <w:r w:rsidR="00541D05">
        <w:t xml:space="preserve"> </w:t>
      </w:r>
      <w:r w:rsidR="00D9258C" w:rsidRPr="00FD6A6A">
        <w:t>deaths</w:t>
      </w:r>
      <w:r w:rsidR="00D9258C" w:rsidRPr="00EA62F1">
        <w:rPr>
          <w:rStyle w:val="FootnoteReference"/>
        </w:rPr>
        <w:footnoteReference w:id="2"/>
      </w:r>
      <w:r w:rsidR="00541D05" w:rsidRPr="00EA62F1">
        <w:t xml:space="preserve"> </w:t>
      </w:r>
      <w:r w:rsidR="00D9258C" w:rsidRPr="00FD6A6A">
        <w:t>in</w:t>
      </w:r>
      <w:r w:rsidR="00541D05">
        <w:t xml:space="preserve"> </w:t>
      </w:r>
      <w:r w:rsidR="00D9258C" w:rsidRPr="00FD6A6A">
        <w:t>100</w:t>
      </w:r>
      <w:r w:rsidR="00541D05">
        <w:t xml:space="preserve"> </w:t>
      </w:r>
      <w:r w:rsidR="00D9258C" w:rsidRPr="00FD6A6A">
        <w:t>thousand</w:t>
      </w:r>
      <w:r w:rsidR="00541D05">
        <w:t xml:space="preserve"> </w:t>
      </w:r>
      <w:r w:rsidR="00D9258C" w:rsidRPr="00FD6A6A">
        <w:t>live</w:t>
      </w:r>
      <w:r w:rsidR="00541D05">
        <w:t xml:space="preserve"> </w:t>
      </w:r>
      <w:r w:rsidR="00D9258C" w:rsidRPr="00FD6A6A">
        <w:t>births.</w:t>
      </w:r>
    </w:p>
    <w:p w14:paraId="5BB0083E" w14:textId="27A37EEC" w:rsidR="00D9258C" w:rsidRPr="00FD6A6A" w:rsidRDefault="00166390" w:rsidP="00166390">
      <w:pPr>
        <w:pStyle w:val="ParaNoG"/>
        <w:numPr>
          <w:ilvl w:val="0"/>
          <w:numId w:val="0"/>
        </w:numPr>
        <w:tabs>
          <w:tab w:val="left" w:pos="0"/>
        </w:tabs>
        <w:ind w:left="1134"/>
      </w:pPr>
      <w:r w:rsidRPr="00FD6A6A">
        <w:lastRenderedPageBreak/>
        <w:t>97.</w:t>
      </w:r>
      <w:r w:rsidRPr="00FD6A6A">
        <w:tab/>
      </w:r>
      <w:r w:rsidR="00D9258C" w:rsidRPr="00FD6A6A">
        <w:t>Maternal</w:t>
      </w:r>
      <w:r w:rsidR="00541D05">
        <w:t xml:space="preserve"> </w:t>
      </w:r>
      <w:r w:rsidR="00D9258C" w:rsidRPr="00FD6A6A">
        <w:t>mortality</w:t>
      </w:r>
      <w:r w:rsidR="00541D05">
        <w:t xml:space="preserve"> </w:t>
      </w:r>
      <w:r w:rsidR="00D9258C" w:rsidRPr="00FD6A6A">
        <w:t>rates</w:t>
      </w:r>
      <w:r w:rsidR="00541D05">
        <w:t xml:space="preserve"> </w:t>
      </w:r>
      <w:r w:rsidR="00D9258C" w:rsidRPr="00FD6A6A">
        <w:t>and</w:t>
      </w:r>
      <w:r w:rsidR="00541D05">
        <w:t xml:space="preserve"> </w:t>
      </w:r>
      <w:r w:rsidR="00D9258C" w:rsidRPr="00FD6A6A">
        <w:t>the</w:t>
      </w:r>
      <w:r w:rsidR="00541D05">
        <w:t xml:space="preserve"> </w:t>
      </w:r>
      <w:r w:rsidR="00D9258C" w:rsidRPr="00FD6A6A">
        <w:t>possibilities</w:t>
      </w:r>
      <w:r w:rsidR="00541D05">
        <w:t xml:space="preserve"> </w:t>
      </w:r>
      <w:r w:rsidR="00D9258C" w:rsidRPr="00FD6A6A">
        <w:t>to</w:t>
      </w:r>
      <w:r w:rsidR="00541D05">
        <w:t xml:space="preserve"> </w:t>
      </w:r>
      <w:r w:rsidR="00D9258C" w:rsidRPr="00FD6A6A">
        <w:t>reduce</w:t>
      </w:r>
      <w:r w:rsidR="00541D05">
        <w:t xml:space="preserve"> </w:t>
      </w:r>
      <w:r w:rsidR="00D9258C" w:rsidRPr="00FD6A6A">
        <w:t>them</w:t>
      </w:r>
      <w:r w:rsidR="00541D05">
        <w:t xml:space="preserve"> </w:t>
      </w:r>
      <w:r w:rsidR="00D9258C" w:rsidRPr="00FD6A6A">
        <w:t>are</w:t>
      </w:r>
      <w:r w:rsidR="00541D05">
        <w:t xml:space="preserve"> </w:t>
      </w:r>
      <w:r w:rsidR="00D9258C" w:rsidRPr="00FD6A6A">
        <w:t>directly</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access</w:t>
      </w:r>
      <w:r w:rsidR="00541D05">
        <w:t xml:space="preserve"> </w:t>
      </w:r>
      <w:r w:rsidR="00D9258C" w:rsidRPr="00FD6A6A">
        <w:t>to</w:t>
      </w:r>
      <w:r w:rsidR="00541D05">
        <w:t xml:space="preserve"> </w:t>
      </w:r>
      <w:r w:rsidR="00D9258C" w:rsidRPr="00FD6A6A">
        <w:t>and</w:t>
      </w:r>
      <w:r w:rsidR="00541D05">
        <w:t xml:space="preserve"> </w:t>
      </w:r>
      <w:r w:rsidR="00D9258C" w:rsidRPr="00FD6A6A">
        <w:t>quality</w:t>
      </w:r>
      <w:r w:rsidR="00541D05">
        <w:t xml:space="preserve"> </w:t>
      </w:r>
      <w:r w:rsidR="00D9258C" w:rsidRPr="00FD6A6A">
        <w:t>of</w:t>
      </w:r>
      <w:r w:rsidR="00541D05">
        <w:t xml:space="preserve"> </w:t>
      </w:r>
      <w:r w:rsidR="00D9258C" w:rsidRPr="00FD6A6A">
        <w:t>health</w:t>
      </w:r>
      <w:r w:rsidR="00541D05">
        <w:t xml:space="preserve"> </w:t>
      </w:r>
      <w:r w:rsidR="00D9258C" w:rsidRPr="00FD6A6A">
        <w:t>care</w:t>
      </w:r>
      <w:r w:rsidR="00541D05">
        <w:t xml:space="preserve"> </w:t>
      </w:r>
      <w:r w:rsidR="00D9258C" w:rsidRPr="00FD6A6A">
        <w:t>services</w:t>
      </w:r>
      <w:r w:rsidR="00541D05">
        <w:t xml:space="preserve"> </w:t>
      </w:r>
      <w:r w:rsidR="00D9258C" w:rsidRPr="00FD6A6A">
        <w:t>provided.</w:t>
      </w:r>
      <w:r w:rsidR="00541D05">
        <w:t xml:space="preserve"> </w:t>
      </w:r>
      <w:r w:rsidR="00D9258C" w:rsidRPr="00FD6A6A">
        <w:t>In</w:t>
      </w:r>
      <w:r w:rsidR="00541D05">
        <w:t xml:space="preserve"> </w:t>
      </w:r>
      <w:r w:rsidR="00D9258C" w:rsidRPr="00FD6A6A">
        <w:t>other</w:t>
      </w:r>
      <w:r w:rsidR="00541D05">
        <w:t xml:space="preserve"> </w:t>
      </w:r>
      <w:r w:rsidR="00D9258C" w:rsidRPr="00FD6A6A">
        <w:t>words,</w:t>
      </w:r>
      <w:r w:rsidR="00541D05">
        <w:t xml:space="preserve"> </w:t>
      </w:r>
      <w:r w:rsidR="00D9258C" w:rsidRPr="00FD6A6A">
        <w:t>most</w:t>
      </w:r>
      <w:r w:rsidR="00541D05">
        <w:t xml:space="preserve"> </w:t>
      </w:r>
      <w:r w:rsidR="00D9258C" w:rsidRPr="00FD6A6A">
        <w:t>deaths</w:t>
      </w:r>
      <w:r w:rsidR="00541D05">
        <w:t xml:space="preserve"> </w:t>
      </w:r>
      <w:r w:rsidR="00D9258C" w:rsidRPr="00FD6A6A">
        <w:t>could</w:t>
      </w:r>
      <w:r w:rsidR="00541D05">
        <w:t xml:space="preserve"> </w:t>
      </w:r>
      <w:r w:rsidR="00D9258C" w:rsidRPr="00FD6A6A">
        <w:t>have</w:t>
      </w:r>
      <w:r w:rsidR="00541D05">
        <w:t xml:space="preserve"> </w:t>
      </w:r>
      <w:r w:rsidR="00D9258C" w:rsidRPr="00FD6A6A">
        <w:t>been</w:t>
      </w:r>
      <w:r w:rsidR="00541D05">
        <w:t xml:space="preserve"> </w:t>
      </w:r>
      <w:r w:rsidR="00D9258C" w:rsidRPr="00FD6A6A">
        <w:t>avoided</w:t>
      </w:r>
      <w:r w:rsidR="00541D05">
        <w:t xml:space="preserve"> </w:t>
      </w:r>
      <w:r w:rsidR="00D9258C" w:rsidRPr="00FD6A6A">
        <w:t>through</w:t>
      </w:r>
      <w:r w:rsidR="00541D05">
        <w:t xml:space="preserve"> </w:t>
      </w:r>
      <w:r w:rsidR="00D9258C" w:rsidRPr="00FD6A6A">
        <w:t>an</w:t>
      </w:r>
      <w:r w:rsidR="00541D05">
        <w:t xml:space="preserve"> </w:t>
      </w:r>
      <w:r w:rsidR="00D9258C" w:rsidRPr="00FD6A6A">
        <w:t>adequate</w:t>
      </w:r>
      <w:r w:rsidR="00541D05">
        <w:t xml:space="preserve"> </w:t>
      </w:r>
      <w:r w:rsidR="00D9258C" w:rsidRPr="00FD6A6A">
        <w:t>public</w:t>
      </w:r>
      <w:r w:rsidR="00541D05">
        <w:t xml:space="preserve"> </w:t>
      </w:r>
      <w:r w:rsidR="00D9258C" w:rsidRPr="00FD6A6A">
        <w:t>policy,</w:t>
      </w:r>
      <w:r w:rsidR="00541D05">
        <w:t xml:space="preserve"> </w:t>
      </w:r>
      <w:r w:rsidR="00D9258C" w:rsidRPr="00FD6A6A">
        <w:t>which</w:t>
      </w:r>
      <w:r w:rsidR="00541D05">
        <w:t xml:space="preserve"> </w:t>
      </w:r>
      <w:r w:rsidR="00D9258C" w:rsidRPr="00FD6A6A">
        <w:t>includes</w:t>
      </w:r>
      <w:r w:rsidR="00541D05">
        <w:t xml:space="preserve"> </w:t>
      </w:r>
      <w:r w:rsidR="00D9258C" w:rsidRPr="00FD6A6A">
        <w:t>seven</w:t>
      </w:r>
      <w:r w:rsidR="00541D05">
        <w:t xml:space="preserve"> </w:t>
      </w:r>
      <w:r w:rsidR="00D9258C" w:rsidRPr="00FD6A6A">
        <w:t>or</w:t>
      </w:r>
      <w:r w:rsidR="00541D05">
        <w:t xml:space="preserve"> </w:t>
      </w:r>
      <w:r w:rsidR="00D9258C" w:rsidRPr="00FD6A6A">
        <w:t>more</w:t>
      </w:r>
      <w:r w:rsidR="00541D05">
        <w:t xml:space="preserve"> </w:t>
      </w:r>
      <w:r w:rsidR="00D9258C" w:rsidRPr="00FD6A6A">
        <w:t>prenatal</w:t>
      </w:r>
      <w:r w:rsidR="00541D05">
        <w:t xml:space="preserve"> </w:t>
      </w:r>
      <w:r w:rsidR="00D9258C" w:rsidRPr="00FD6A6A">
        <w:t>appointments</w:t>
      </w:r>
      <w:r w:rsidR="00541D05">
        <w:t xml:space="preserve"> </w:t>
      </w:r>
      <w:r w:rsidR="00D9258C" w:rsidRPr="00FD6A6A">
        <w:t>to</w:t>
      </w:r>
      <w:r w:rsidR="00541D05">
        <w:t xml:space="preserve"> </w:t>
      </w:r>
      <w:r w:rsidR="00D9258C" w:rsidRPr="00FD6A6A">
        <w:t>perform</w:t>
      </w:r>
      <w:r w:rsidR="00541D05">
        <w:t xml:space="preserve"> </w:t>
      </w:r>
      <w:r w:rsidR="00D9258C" w:rsidRPr="00FD6A6A">
        <w:t>physical</w:t>
      </w:r>
      <w:r w:rsidR="00541D05">
        <w:t xml:space="preserve"> </w:t>
      </w:r>
      <w:r w:rsidR="00D9258C" w:rsidRPr="00FD6A6A">
        <w:t>and</w:t>
      </w:r>
      <w:r w:rsidR="00541D05">
        <w:t xml:space="preserve"> </w:t>
      </w:r>
      <w:r w:rsidR="00D9258C" w:rsidRPr="00FD6A6A">
        <w:t>laboratory</w:t>
      </w:r>
      <w:r w:rsidR="00541D05">
        <w:t xml:space="preserve"> </w:t>
      </w:r>
      <w:r w:rsidR="00D9258C" w:rsidRPr="00FD6A6A">
        <w:t>tests</w:t>
      </w:r>
      <w:r w:rsidR="00541D05">
        <w:t xml:space="preserve"> </w:t>
      </w:r>
      <w:r w:rsidR="00D9258C" w:rsidRPr="00FD6A6A">
        <w:t>listed</w:t>
      </w:r>
      <w:r w:rsidR="00541D05">
        <w:t xml:space="preserve"> </w:t>
      </w:r>
      <w:r w:rsidR="00D9258C" w:rsidRPr="00FD6A6A">
        <w:t>in</w:t>
      </w:r>
      <w:r w:rsidR="00541D05">
        <w:t xml:space="preserve"> </w:t>
      </w:r>
      <w:r w:rsidR="00D9258C" w:rsidRPr="00FD6A6A">
        <w:t>the</w:t>
      </w:r>
      <w:r w:rsidR="00541D05">
        <w:t xml:space="preserve"> </w:t>
      </w:r>
      <w:r w:rsidR="00D9258C" w:rsidRPr="00FD6A6A">
        <w:t>prenatal</w:t>
      </w:r>
      <w:r w:rsidR="00541D05">
        <w:t xml:space="preserve"> </w:t>
      </w:r>
      <w:r w:rsidR="00D9258C" w:rsidRPr="00FD6A6A">
        <w:t>assistance</w:t>
      </w:r>
      <w:r w:rsidR="00541D05">
        <w:t xml:space="preserve"> </w:t>
      </w:r>
      <w:r w:rsidR="00D9258C" w:rsidRPr="00FD6A6A">
        <w:t>protocols</w:t>
      </w:r>
      <w:r w:rsidR="00541D05">
        <w:t xml:space="preserve"> </w:t>
      </w:r>
      <w:r w:rsidR="00D9258C" w:rsidRPr="00FD6A6A">
        <w:t>and</w:t>
      </w:r>
      <w:r w:rsidR="00541D05">
        <w:t xml:space="preserve"> </w:t>
      </w:r>
      <w:r w:rsidR="00D9258C" w:rsidRPr="00FD6A6A">
        <w:t>availability</w:t>
      </w:r>
      <w:r w:rsidR="00541D05">
        <w:t xml:space="preserve"> </w:t>
      </w:r>
      <w:r w:rsidR="00D9258C" w:rsidRPr="00FD6A6A">
        <w:t>of</w:t>
      </w:r>
      <w:r w:rsidR="00541D05">
        <w:t xml:space="preserve"> </w:t>
      </w:r>
      <w:r w:rsidR="00D9258C" w:rsidRPr="00FD6A6A">
        <w:t>a</w:t>
      </w:r>
      <w:r w:rsidR="00541D05">
        <w:t xml:space="preserve"> </w:t>
      </w:r>
      <w:r w:rsidR="00D9258C" w:rsidRPr="00FD6A6A">
        <w:t>Health</w:t>
      </w:r>
      <w:r w:rsidR="00541D05">
        <w:t xml:space="preserve"> </w:t>
      </w:r>
      <w:r w:rsidR="00D9258C" w:rsidRPr="00FD6A6A">
        <w:t>Care</w:t>
      </w:r>
      <w:r w:rsidR="00541D05">
        <w:t xml:space="preserve"> </w:t>
      </w:r>
      <w:r w:rsidR="00D9258C" w:rsidRPr="00FD6A6A">
        <w:t>Network</w:t>
      </w:r>
      <w:r w:rsidR="00541D05">
        <w:t xml:space="preserve"> </w:t>
      </w:r>
      <w:r w:rsidR="00D9258C" w:rsidRPr="00FD6A6A">
        <w:t>to</w:t>
      </w:r>
      <w:r w:rsidR="00541D05">
        <w:t xml:space="preserve"> </w:t>
      </w:r>
      <w:r w:rsidR="00D9258C" w:rsidRPr="00FD6A6A">
        <w:t>the</w:t>
      </w:r>
      <w:r w:rsidR="00541D05">
        <w:t xml:space="preserve"> </w:t>
      </w:r>
      <w:r w:rsidR="00D9258C" w:rsidRPr="00FD6A6A">
        <w:t>pregnant</w:t>
      </w:r>
      <w:r w:rsidR="00541D05">
        <w:t xml:space="preserve"> </w:t>
      </w:r>
      <w:r w:rsidR="00D9258C" w:rsidRPr="00FD6A6A">
        <w:t>woman</w:t>
      </w:r>
      <w:r w:rsidR="00541D05">
        <w:t xml:space="preserve"> </w:t>
      </w:r>
      <w:r w:rsidR="00D9258C" w:rsidRPr="00FD6A6A">
        <w:t>capable</w:t>
      </w:r>
      <w:r w:rsidR="00541D05">
        <w:t xml:space="preserve"> </w:t>
      </w:r>
      <w:r w:rsidR="00D9258C" w:rsidRPr="00FD6A6A">
        <w:t>of</w:t>
      </w:r>
      <w:r w:rsidR="00541D05">
        <w:t xml:space="preserve"> </w:t>
      </w:r>
      <w:r w:rsidR="00D9258C" w:rsidRPr="00FD6A6A">
        <w:t>providing</w:t>
      </w:r>
      <w:r w:rsidR="00541D05">
        <w:t xml:space="preserve"> </w:t>
      </w:r>
      <w:r w:rsidR="00D9258C" w:rsidRPr="00FD6A6A">
        <w:t>quality</w:t>
      </w:r>
      <w:r w:rsidR="00541D05">
        <w:t xml:space="preserve"> </w:t>
      </w:r>
      <w:r w:rsidR="00D9258C" w:rsidRPr="00FD6A6A">
        <w:t>services</w:t>
      </w:r>
      <w:r w:rsidR="00541D05">
        <w:t xml:space="preserve"> </w:t>
      </w:r>
      <w:r w:rsidR="00D9258C" w:rsidRPr="00FD6A6A">
        <w:t>with</w:t>
      </w:r>
      <w:r w:rsidR="00541D05">
        <w:t xml:space="preserve"> </w:t>
      </w:r>
      <w:r w:rsidR="00D9258C" w:rsidRPr="00FD6A6A">
        <w:t>no</w:t>
      </w:r>
      <w:r w:rsidR="00541D05">
        <w:t xml:space="preserve"> </w:t>
      </w:r>
      <w:r w:rsidR="00D9258C" w:rsidRPr="00FD6A6A">
        <w:t>discrimination</w:t>
      </w:r>
      <w:r w:rsidR="00541D05">
        <w:t xml:space="preserve"> </w:t>
      </w:r>
      <w:r w:rsidR="00D9258C" w:rsidRPr="00FD6A6A">
        <w:t>throughout</w:t>
      </w:r>
      <w:r w:rsidR="00541D05">
        <w:t xml:space="preserve"> </w:t>
      </w:r>
      <w:r w:rsidR="00D9258C" w:rsidRPr="00FD6A6A">
        <w:t>the</w:t>
      </w:r>
      <w:r w:rsidR="00541D05">
        <w:t xml:space="preserve"> </w:t>
      </w:r>
      <w:r w:rsidR="00D9258C" w:rsidRPr="00FD6A6A">
        <w:t>country.</w:t>
      </w:r>
      <w:r w:rsidR="00541D05">
        <w:t xml:space="preserve"> </w:t>
      </w:r>
      <w:r w:rsidR="00D9258C" w:rsidRPr="00FD6A6A">
        <w:t>In</w:t>
      </w:r>
      <w:r w:rsidR="00541D05">
        <w:t xml:space="preserve"> </w:t>
      </w:r>
      <w:r w:rsidR="00D9258C" w:rsidRPr="00FD6A6A">
        <w:t>Brazil,</w:t>
      </w:r>
      <w:r w:rsidR="00541D05">
        <w:t xml:space="preserve"> </w:t>
      </w:r>
      <w:r w:rsidR="00D9258C" w:rsidRPr="00FD6A6A">
        <w:t>only</w:t>
      </w:r>
      <w:r w:rsidR="00541D05">
        <w:t xml:space="preserve"> </w:t>
      </w:r>
      <w:r w:rsidR="00D9258C" w:rsidRPr="00FD6A6A">
        <w:t>55%</w:t>
      </w:r>
      <w:r w:rsidR="00541D05">
        <w:t xml:space="preserve"> </w:t>
      </w:r>
      <w:r w:rsidR="00D9258C" w:rsidRPr="00FD6A6A">
        <w:t>of</w:t>
      </w:r>
      <w:r w:rsidR="00541D05">
        <w:t xml:space="preserve"> </w:t>
      </w:r>
      <w:r w:rsidR="00D9258C" w:rsidRPr="00FD6A6A">
        <w:t>Afro-Brazilian</w:t>
      </w:r>
      <w:r w:rsidR="00541D05">
        <w:t xml:space="preserve"> </w:t>
      </w:r>
      <w:r w:rsidR="00D9258C" w:rsidRPr="00FD6A6A">
        <w:t>women</w:t>
      </w:r>
      <w:r w:rsidR="00541D05">
        <w:t xml:space="preserve"> </w:t>
      </w:r>
      <w:r w:rsidR="00D9258C" w:rsidRPr="00FD6A6A">
        <w:t>attended</w:t>
      </w:r>
      <w:r w:rsidR="00541D05">
        <w:t xml:space="preserve"> </w:t>
      </w:r>
      <w:r w:rsidR="00D9258C" w:rsidRPr="00FD6A6A">
        <w:t>seven</w:t>
      </w:r>
      <w:r w:rsidR="00541D05">
        <w:t xml:space="preserve"> </w:t>
      </w:r>
      <w:r w:rsidR="00D9258C" w:rsidRPr="00FD6A6A">
        <w:t>prenatal</w:t>
      </w:r>
      <w:r w:rsidR="00541D05">
        <w:t xml:space="preserve"> </w:t>
      </w:r>
      <w:r w:rsidR="00D9258C" w:rsidRPr="00FD6A6A">
        <w:t>appointments</w:t>
      </w:r>
      <w:r w:rsidR="00541D05">
        <w:t xml:space="preserve"> </w:t>
      </w:r>
      <w:r w:rsidR="00D9258C" w:rsidRPr="00FD6A6A">
        <w:t>in</w:t>
      </w:r>
      <w:r w:rsidR="00541D05">
        <w:t xml:space="preserve"> </w:t>
      </w:r>
      <w:r w:rsidR="00D9258C" w:rsidRPr="00FD6A6A">
        <w:t>2012,</w:t>
      </w:r>
      <w:r w:rsidR="00541D05">
        <w:t xml:space="preserve"> </w:t>
      </w:r>
      <w:r w:rsidR="00D9258C" w:rsidRPr="00FD6A6A">
        <w:t>figure</w:t>
      </w:r>
      <w:r w:rsidR="00541D05">
        <w:t xml:space="preserve"> </w:t>
      </w:r>
      <w:r w:rsidR="00D9258C" w:rsidRPr="00FD6A6A">
        <w:t>below</w:t>
      </w:r>
      <w:r w:rsidR="00541D05">
        <w:t xml:space="preserve"> </w:t>
      </w:r>
      <w:r w:rsidR="00D9258C" w:rsidRPr="00FD6A6A">
        <w:t>the</w:t>
      </w:r>
      <w:r w:rsidR="00541D05">
        <w:t xml:space="preserve"> </w:t>
      </w:r>
      <w:r w:rsidR="00D9258C" w:rsidRPr="00FD6A6A">
        <w:t>national</w:t>
      </w:r>
      <w:r w:rsidR="00541D05">
        <w:t xml:space="preserve"> </w:t>
      </w:r>
      <w:r w:rsidR="00D9258C" w:rsidRPr="00FD6A6A">
        <w:t>average</w:t>
      </w:r>
      <w:r w:rsidR="00541D05">
        <w:t xml:space="preserve"> </w:t>
      </w:r>
      <w:r w:rsidR="00D9258C" w:rsidRPr="00FD6A6A">
        <w:t>of</w:t>
      </w:r>
      <w:r w:rsidR="00541D05">
        <w:t xml:space="preserve"> </w:t>
      </w:r>
      <w:r w:rsidR="00D9258C" w:rsidRPr="00FD6A6A">
        <w:t>62.4%</w:t>
      </w:r>
      <w:r w:rsidR="00541D05">
        <w:t xml:space="preserve"> </w:t>
      </w:r>
      <w:r w:rsidR="00D9258C" w:rsidRPr="00FD6A6A">
        <w:t>in</w:t>
      </w:r>
      <w:r w:rsidR="00541D05">
        <w:t xml:space="preserve"> </w:t>
      </w:r>
      <w:r w:rsidR="00D9258C" w:rsidRPr="00FD6A6A">
        <w:t>2012.</w:t>
      </w:r>
    </w:p>
    <w:p w14:paraId="0B39252B" w14:textId="7C6E1EE0" w:rsidR="00D9258C" w:rsidRPr="00FD6A6A" w:rsidRDefault="00166390" w:rsidP="00166390">
      <w:pPr>
        <w:pStyle w:val="ParaNoG"/>
        <w:numPr>
          <w:ilvl w:val="0"/>
          <w:numId w:val="0"/>
        </w:numPr>
        <w:tabs>
          <w:tab w:val="left" w:pos="0"/>
        </w:tabs>
        <w:ind w:left="1134"/>
      </w:pPr>
      <w:r w:rsidRPr="00FD6A6A">
        <w:t>98.</w:t>
      </w:r>
      <w:r w:rsidRPr="00FD6A6A">
        <w:tab/>
      </w:r>
      <w:r w:rsidR="00D9258C" w:rsidRPr="00FD6A6A">
        <w:t>In</w:t>
      </w:r>
      <w:r w:rsidR="00541D05">
        <w:t xml:space="preserve"> </w:t>
      </w:r>
      <w:r w:rsidR="00D9258C" w:rsidRPr="00FD6A6A">
        <w:t>2011,</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created</w:t>
      </w:r>
      <w:r w:rsidR="00541D05">
        <w:t xml:space="preserve"> </w:t>
      </w:r>
      <w:r w:rsidR="00D9258C" w:rsidRPr="00FD6A6A">
        <w:t>a</w:t>
      </w:r>
      <w:r w:rsidR="00541D05">
        <w:t xml:space="preserve"> </w:t>
      </w:r>
      <w:r w:rsidR="00D9258C" w:rsidRPr="00FD6A6A">
        <w:t>new</w:t>
      </w:r>
      <w:r w:rsidR="00541D05">
        <w:t xml:space="preserve"> </w:t>
      </w:r>
      <w:r w:rsidR="00D9258C" w:rsidRPr="00FD6A6A">
        <w:t>strategy</w:t>
      </w:r>
      <w:r w:rsidR="00541D05">
        <w:t xml:space="preserve"> </w:t>
      </w:r>
      <w:r w:rsidR="00D9258C" w:rsidRPr="00FD6A6A">
        <w:t>of</w:t>
      </w:r>
      <w:r w:rsidR="00541D05">
        <w:t xml:space="preserve"> </w:t>
      </w:r>
      <w:r w:rsidR="00D9258C" w:rsidRPr="00FD6A6A">
        <w:t>attention</w:t>
      </w:r>
      <w:r w:rsidR="00541D05">
        <w:t xml:space="preserve"> </w:t>
      </w:r>
      <w:r w:rsidR="00D9258C" w:rsidRPr="00FD6A6A">
        <w:t>to</w:t>
      </w:r>
      <w:r w:rsidR="00541D05">
        <w:t xml:space="preserve"> </w:t>
      </w:r>
      <w:r w:rsidR="00D9258C" w:rsidRPr="00FD6A6A">
        <w:t>women</w:t>
      </w:r>
      <w:r w:rsidR="00EA62F1">
        <w:t>’</w:t>
      </w:r>
      <w:r w:rsidR="00D9258C" w:rsidRPr="00FD6A6A">
        <w:t>s</w:t>
      </w:r>
      <w:r w:rsidR="00541D05">
        <w:t xml:space="preserve"> </w:t>
      </w:r>
      <w:r w:rsidR="00D9258C" w:rsidRPr="00FD6A6A">
        <w:t>reproductive</w:t>
      </w:r>
      <w:r w:rsidR="00541D05">
        <w:t xml:space="preserve"> </w:t>
      </w:r>
      <w:r w:rsidR="00D9258C" w:rsidRPr="00FD6A6A">
        <w:t>health</w:t>
      </w:r>
      <w:r w:rsidR="00541D05">
        <w:t xml:space="preserve"> </w:t>
      </w:r>
      <w:r w:rsidR="00D9258C" w:rsidRPr="00FD6A6A">
        <w:t>care</w:t>
      </w:r>
      <w:r w:rsidR="00541D05">
        <w:t xml:space="preserve"> </w:t>
      </w:r>
      <w:r w:rsidR="00D9258C" w:rsidRPr="00FD6A6A">
        <w:t>through</w:t>
      </w:r>
      <w:r w:rsidR="00541D05">
        <w:t xml:space="preserve"> </w:t>
      </w:r>
      <w:r w:rsidR="00D9258C" w:rsidRPr="00FD6A6A">
        <w:t>the</w:t>
      </w:r>
      <w:r w:rsidR="00541D05">
        <w:t xml:space="preserve"> </w:t>
      </w:r>
      <w:r w:rsidR="00D9258C" w:rsidRPr="00FD6A6A">
        <w:t>Rede</w:t>
      </w:r>
      <w:r w:rsidR="00541D05">
        <w:t xml:space="preserve"> </w:t>
      </w:r>
      <w:r w:rsidR="00D9258C" w:rsidRPr="00FD6A6A">
        <w:t>Cegonha</w:t>
      </w:r>
      <w:r w:rsidR="00541D05">
        <w:t xml:space="preserve"> </w:t>
      </w:r>
      <w:r w:rsidR="00D9258C" w:rsidRPr="00FD6A6A">
        <w:t>Program,</w:t>
      </w:r>
      <w:r w:rsidR="00541D05">
        <w:t xml:space="preserve"> </w:t>
      </w:r>
      <w:r w:rsidR="00D9258C" w:rsidRPr="00FD6A6A">
        <w:t>aimed</w:t>
      </w:r>
      <w:r w:rsidR="00541D05">
        <w:t xml:space="preserve"> </w:t>
      </w:r>
      <w:r w:rsidR="00D9258C" w:rsidRPr="00FD6A6A">
        <w:t>at</w:t>
      </w:r>
      <w:r w:rsidR="00541D05">
        <w:t xml:space="preserve"> </w:t>
      </w:r>
      <w:r w:rsidR="00D9258C" w:rsidRPr="00FD6A6A">
        <w:t>ensuring</w:t>
      </w:r>
      <w:r w:rsidR="00541D05">
        <w:t xml:space="preserve"> </w:t>
      </w:r>
      <w:r w:rsidR="00D9258C" w:rsidRPr="00FD6A6A">
        <w:t>to</w:t>
      </w:r>
      <w:r w:rsidR="00541D05">
        <w:t xml:space="preserve"> </w:t>
      </w:r>
      <w:r w:rsidR="00D9258C" w:rsidRPr="00FD6A6A">
        <w:t>women</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planned</w:t>
      </w:r>
      <w:r w:rsidR="00541D05">
        <w:t xml:space="preserve"> </w:t>
      </w:r>
      <w:r w:rsidR="00D9258C" w:rsidRPr="00FD6A6A">
        <w:t>parenthood</w:t>
      </w:r>
      <w:r w:rsidR="00541D05">
        <w:t xml:space="preserve"> </w:t>
      </w:r>
      <w:r w:rsidR="00D9258C" w:rsidRPr="00FD6A6A">
        <w:t>and</w:t>
      </w:r>
      <w:r w:rsidR="00541D05">
        <w:t xml:space="preserve"> </w:t>
      </w:r>
      <w:r w:rsidR="00D9258C" w:rsidRPr="00FD6A6A">
        <w:t>humanized</w:t>
      </w:r>
      <w:r w:rsidR="00541D05">
        <w:t xml:space="preserve"> </w:t>
      </w:r>
      <w:r w:rsidR="00D9258C" w:rsidRPr="00FD6A6A">
        <w:t>assistance</w:t>
      </w:r>
      <w:r w:rsidR="00541D05">
        <w:t xml:space="preserve"> </w:t>
      </w:r>
      <w:r w:rsidR="00D9258C" w:rsidRPr="00FD6A6A">
        <w:t>to</w:t>
      </w:r>
      <w:r w:rsidR="00541D05">
        <w:t xml:space="preserve"> </w:t>
      </w:r>
      <w:r w:rsidR="00D9258C" w:rsidRPr="00FD6A6A">
        <w:t>pregnancy,</w:t>
      </w:r>
      <w:r w:rsidR="00541D05">
        <w:t xml:space="preserve"> </w:t>
      </w:r>
      <w:r w:rsidR="00D9258C" w:rsidRPr="00FD6A6A">
        <w:t>labor,</w:t>
      </w:r>
      <w:r w:rsidR="00541D05">
        <w:t xml:space="preserve"> </w:t>
      </w:r>
      <w:r w:rsidR="00D9258C" w:rsidRPr="00FD6A6A">
        <w:t>and</w:t>
      </w:r>
      <w:r w:rsidR="00541D05">
        <w:t xml:space="preserve"> </w:t>
      </w:r>
      <w:r w:rsidR="00D9258C" w:rsidRPr="00FD6A6A">
        <w:t>puerperium,</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ensuring</w:t>
      </w:r>
      <w:r w:rsidR="00541D05">
        <w:t xml:space="preserve"> </w:t>
      </w:r>
      <w:r w:rsidR="00D9258C" w:rsidRPr="00FD6A6A">
        <w:t>to</w:t>
      </w:r>
      <w:r w:rsidR="00541D05">
        <w:t xml:space="preserve"> </w:t>
      </w:r>
      <w:r w:rsidR="00D9258C" w:rsidRPr="00FD6A6A">
        <w:t>children</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a</w:t>
      </w:r>
      <w:r w:rsidR="00541D05">
        <w:t xml:space="preserve"> </w:t>
      </w:r>
      <w:r w:rsidR="00D9258C" w:rsidRPr="00FD6A6A">
        <w:t>safe</w:t>
      </w:r>
      <w:r w:rsidR="00541D05">
        <w:t xml:space="preserve"> </w:t>
      </w:r>
      <w:r w:rsidR="00D9258C" w:rsidRPr="00FD6A6A">
        <w:t>birth</w:t>
      </w:r>
      <w:r w:rsidR="00541D05">
        <w:t xml:space="preserve"> </w:t>
      </w:r>
      <w:r w:rsidR="00D9258C" w:rsidRPr="00FD6A6A">
        <w:t>and</w:t>
      </w:r>
      <w:r w:rsidR="00541D05">
        <w:t xml:space="preserve"> </w:t>
      </w:r>
      <w:r w:rsidR="00D9258C" w:rsidRPr="00FD6A6A">
        <w:t>healthy</w:t>
      </w:r>
      <w:r w:rsidR="00541D05">
        <w:t xml:space="preserve"> </w:t>
      </w:r>
      <w:r w:rsidR="00D9258C" w:rsidRPr="00FD6A6A">
        <w:t>growth</w:t>
      </w:r>
      <w:r w:rsidR="00541D05">
        <w:t xml:space="preserve"> </w:t>
      </w:r>
      <w:r w:rsidR="00D9258C" w:rsidRPr="00FD6A6A">
        <w:t>and</w:t>
      </w:r>
      <w:r w:rsidR="00541D05">
        <w:t xml:space="preserve"> </w:t>
      </w:r>
      <w:r w:rsidR="00D9258C" w:rsidRPr="00FD6A6A">
        <w:t>development.</w:t>
      </w:r>
    </w:p>
    <w:p w14:paraId="2A5392A7" w14:textId="056485D0" w:rsidR="00D9258C" w:rsidRPr="00FD6A6A" w:rsidRDefault="00166390" w:rsidP="00166390">
      <w:pPr>
        <w:pStyle w:val="ParaNoG"/>
        <w:numPr>
          <w:ilvl w:val="0"/>
          <w:numId w:val="0"/>
        </w:numPr>
        <w:tabs>
          <w:tab w:val="left" w:pos="0"/>
        </w:tabs>
        <w:ind w:left="1134"/>
      </w:pPr>
      <w:r w:rsidRPr="00FD6A6A">
        <w:t>99.</w:t>
      </w:r>
      <w:r w:rsidRPr="00FD6A6A">
        <w:tab/>
      </w:r>
      <w:r w:rsidR="00D9258C" w:rsidRPr="00FD6A6A">
        <w:t>The</w:t>
      </w:r>
      <w:r w:rsidR="00541D05">
        <w:t xml:space="preserve"> </w:t>
      </w:r>
      <w:r w:rsidR="00D9258C" w:rsidRPr="00FD6A6A">
        <w:t>program</w:t>
      </w:r>
      <w:r w:rsidR="00541D05">
        <w:t xml:space="preserve"> </w:t>
      </w:r>
      <w:r w:rsidR="00D9258C" w:rsidRPr="00FD6A6A">
        <w:t>organizes</w:t>
      </w:r>
      <w:r w:rsidR="00541D05">
        <w:t xml:space="preserve"> </w:t>
      </w:r>
      <w:r w:rsidR="00D9258C" w:rsidRPr="00FD6A6A">
        <w:t>the</w:t>
      </w:r>
      <w:r w:rsidR="00541D05">
        <w:t xml:space="preserve"> </w:t>
      </w:r>
      <w:r w:rsidR="00D9258C" w:rsidRPr="00FD6A6A">
        <w:t>actions</w:t>
      </w:r>
      <w:r w:rsidR="00541D05">
        <w:t xml:space="preserve"> </w:t>
      </w:r>
      <w:r w:rsidR="00D9258C" w:rsidRPr="00FD6A6A">
        <w:t>of</w:t>
      </w:r>
      <w:r w:rsidR="00541D05">
        <w:t xml:space="preserve"> </w:t>
      </w:r>
      <w:r w:rsidR="00D9258C" w:rsidRPr="00FD6A6A">
        <w:t>the</w:t>
      </w:r>
      <w:r w:rsidR="00541D05">
        <w:t xml:space="preserve"> </w:t>
      </w:r>
      <w:r w:rsidR="00D9258C" w:rsidRPr="00FD6A6A">
        <w:t>Unified</w:t>
      </w:r>
      <w:r w:rsidR="00541D05">
        <w:t xml:space="preserve"> </w:t>
      </w:r>
      <w:r w:rsidR="00D9258C" w:rsidRPr="00FD6A6A">
        <w:t>Health</w:t>
      </w:r>
      <w:r w:rsidR="00541D05">
        <w:t xml:space="preserve"> </w:t>
      </w:r>
      <w:r w:rsidR="00D9258C" w:rsidRPr="00FD6A6A">
        <w:t>System</w:t>
      </w:r>
      <w:r w:rsidR="00541D05">
        <w:t xml:space="preserve"> </w:t>
      </w:r>
      <w:r w:rsidR="00D9258C" w:rsidRPr="00FD6A6A">
        <w:t>(SUS)</w:t>
      </w:r>
      <w:r w:rsidR="00541D05">
        <w:t xml:space="preserve"> </w:t>
      </w:r>
      <w:r w:rsidR="00D9258C" w:rsidRPr="00FD6A6A">
        <w:t>throughout</w:t>
      </w:r>
      <w:r w:rsidR="00541D05">
        <w:t xml:space="preserve"> </w:t>
      </w:r>
      <w:r w:rsidR="00D9258C" w:rsidRPr="00FD6A6A">
        <w:t>the</w:t>
      </w:r>
      <w:r w:rsidR="00541D05">
        <w:t xml:space="preserve"> </w:t>
      </w:r>
      <w:r w:rsidR="00D9258C" w:rsidRPr="00FD6A6A">
        <w:t>country</w:t>
      </w:r>
      <w:r w:rsidR="00541D05">
        <w:t xml:space="preserve"> </w:t>
      </w:r>
      <w:r w:rsidR="00D9258C" w:rsidRPr="00FD6A6A">
        <w:t>to</w:t>
      </w:r>
      <w:r w:rsidR="00541D05">
        <w:t xml:space="preserve"> </w:t>
      </w:r>
      <w:r w:rsidR="00D9258C" w:rsidRPr="00FD6A6A">
        <w:t>the</w:t>
      </w:r>
      <w:r w:rsidR="00541D05">
        <w:t xml:space="preserve"> </w:t>
      </w:r>
      <w:r w:rsidR="00D9258C" w:rsidRPr="00FD6A6A">
        <w:t>reduction</w:t>
      </w:r>
      <w:r w:rsidR="00541D05">
        <w:t xml:space="preserve"> </w:t>
      </w:r>
      <w:r w:rsidR="00D9258C" w:rsidRPr="00FD6A6A">
        <w:t>in</w:t>
      </w:r>
      <w:r w:rsidR="00541D05">
        <w:t xml:space="preserve"> </w:t>
      </w:r>
      <w:r w:rsidR="00D9258C" w:rsidRPr="00FD6A6A">
        <w:t>morbidity</w:t>
      </w:r>
      <w:r w:rsidR="00541D05">
        <w:t xml:space="preserve"> </w:t>
      </w:r>
      <w:r w:rsidR="00D9258C" w:rsidRPr="00FD6A6A">
        <w:t>and</w:t>
      </w:r>
      <w:r w:rsidR="00541D05">
        <w:t xml:space="preserve"> </w:t>
      </w:r>
      <w:r w:rsidR="00D9258C" w:rsidRPr="00FD6A6A">
        <w:t>mortality</w:t>
      </w:r>
      <w:r w:rsidR="00541D05">
        <w:t xml:space="preserve"> </w:t>
      </w:r>
      <w:r w:rsidR="00D9258C" w:rsidRPr="00FD6A6A">
        <w:t>of</w:t>
      </w:r>
      <w:r w:rsidR="00541D05">
        <w:t xml:space="preserve"> </w:t>
      </w:r>
      <w:r w:rsidR="00D9258C" w:rsidRPr="00FD6A6A">
        <w:t>women</w:t>
      </w:r>
      <w:r w:rsidR="00541D05">
        <w:t xml:space="preserve"> </w:t>
      </w:r>
      <w:r w:rsidR="00D9258C" w:rsidRPr="00FD6A6A">
        <w:t>and</w:t>
      </w:r>
      <w:r w:rsidR="00541D05">
        <w:t xml:space="preserve"> </w:t>
      </w:r>
      <w:r w:rsidR="00D9258C" w:rsidRPr="00FD6A6A">
        <w:t>children,</w:t>
      </w:r>
      <w:r w:rsidR="00541D05">
        <w:t xml:space="preserve"> </w:t>
      </w:r>
      <w:r w:rsidR="00D9258C" w:rsidRPr="00FD6A6A">
        <w:t>but</w:t>
      </w:r>
      <w:r w:rsidR="00541D05">
        <w:t xml:space="preserve"> </w:t>
      </w:r>
      <w:r w:rsidR="00D9258C" w:rsidRPr="00FD6A6A">
        <w:t>does</w:t>
      </w:r>
      <w:r w:rsidR="00541D05">
        <w:t xml:space="preserve"> </w:t>
      </w:r>
      <w:r w:rsidR="00D9258C" w:rsidRPr="00FD6A6A">
        <w:t>not</w:t>
      </w:r>
      <w:r w:rsidR="00541D05">
        <w:t xml:space="preserve"> </w:t>
      </w:r>
      <w:r w:rsidR="00D9258C" w:rsidRPr="00FD6A6A">
        <w:t>have</w:t>
      </w:r>
      <w:r w:rsidR="00541D05">
        <w:t xml:space="preserve"> </w:t>
      </w:r>
      <w:r w:rsidR="00D9258C" w:rsidRPr="00FD6A6A">
        <w:t>mechanisms</w:t>
      </w:r>
      <w:r w:rsidR="00541D05">
        <w:t xml:space="preserve"> </w:t>
      </w:r>
      <w:r w:rsidR="00D9258C" w:rsidRPr="00FD6A6A">
        <w:t>to</w:t>
      </w:r>
      <w:r w:rsidR="00541D05">
        <w:t xml:space="preserve"> </w:t>
      </w:r>
      <w:r w:rsidR="00D9258C" w:rsidRPr="00FD6A6A">
        <w:t>address</w:t>
      </w:r>
      <w:r w:rsidR="00541D05">
        <w:t xml:space="preserve"> </w:t>
      </w:r>
      <w:r w:rsidR="00D9258C" w:rsidRPr="00FD6A6A">
        <w:t>institutional</w:t>
      </w:r>
      <w:r w:rsidR="00541D05">
        <w:t xml:space="preserve"> </w:t>
      </w:r>
      <w:r w:rsidR="00D9258C" w:rsidRPr="00FD6A6A">
        <w:t>racism.</w:t>
      </w:r>
      <w:r w:rsidR="00541D05">
        <w:t xml:space="preserve"> </w:t>
      </w:r>
      <w:r w:rsidR="00D9258C" w:rsidRPr="00FD6A6A">
        <w:t>The</w:t>
      </w:r>
      <w:r w:rsidR="00541D05">
        <w:t xml:space="preserve"> </w:t>
      </w:r>
      <w:r w:rsidR="00D9258C" w:rsidRPr="00FD6A6A">
        <w:t>accumulation</w:t>
      </w:r>
      <w:r w:rsidR="00541D05">
        <w:t xml:space="preserve"> </w:t>
      </w:r>
      <w:r w:rsidR="00D9258C" w:rsidRPr="00FD6A6A">
        <w:t>of</w:t>
      </w:r>
      <w:r w:rsidR="00541D05">
        <w:t xml:space="preserve"> </w:t>
      </w:r>
      <w:r w:rsidR="00D9258C" w:rsidRPr="00FD6A6A">
        <w:t>social</w:t>
      </w:r>
      <w:r w:rsidR="00541D05">
        <w:t xml:space="preserve"> </w:t>
      </w:r>
      <w:r w:rsidR="00D9258C" w:rsidRPr="00FD6A6A">
        <w:t>disadvantages</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and</w:t>
      </w:r>
      <w:r w:rsidR="00541D05">
        <w:t xml:space="preserve"> </w:t>
      </w:r>
      <w:r w:rsidR="00D9258C" w:rsidRPr="00FD6A6A">
        <w:t>its</w:t>
      </w:r>
      <w:r w:rsidR="00541D05">
        <w:t xml:space="preserve"> </w:t>
      </w:r>
      <w:r w:rsidR="00D9258C" w:rsidRPr="00FD6A6A">
        <w:t>effects</w:t>
      </w:r>
      <w:r w:rsidR="00541D05">
        <w:t xml:space="preserve"> </w:t>
      </w:r>
      <w:r w:rsidR="00D9258C" w:rsidRPr="00FD6A6A">
        <w:t>on</w:t>
      </w:r>
      <w:r w:rsidR="00541D05">
        <w:t xml:space="preserve"> </w:t>
      </w:r>
      <w:r w:rsidR="00D9258C" w:rsidRPr="00FD6A6A">
        <w:t>the</w:t>
      </w:r>
      <w:r w:rsidR="00541D05">
        <w:t xml:space="preserve"> </w:t>
      </w:r>
      <w:r w:rsidR="00D9258C" w:rsidRPr="00FD6A6A">
        <w:t>disparities</w:t>
      </w:r>
      <w:r w:rsidR="00541D05">
        <w:t xml:space="preserve"> </w:t>
      </w:r>
      <w:r w:rsidR="00D9258C" w:rsidRPr="00FD6A6A">
        <w:t>and</w:t>
      </w:r>
      <w:r w:rsidR="00541D05">
        <w:t xml:space="preserve"> </w:t>
      </w:r>
      <w:r w:rsidR="00D9258C" w:rsidRPr="00FD6A6A">
        <w:t>vulnerabilities</w:t>
      </w:r>
      <w:r w:rsidR="00541D05">
        <w:t xml:space="preserve"> </w:t>
      </w:r>
      <w:r w:rsidR="00D9258C" w:rsidRPr="00FD6A6A">
        <w:t>in</w:t>
      </w:r>
      <w:r w:rsidR="00541D05">
        <w:t xml:space="preserve"> </w:t>
      </w:r>
      <w:r w:rsidR="00D9258C" w:rsidRPr="00FD6A6A">
        <w:t>the</w:t>
      </w:r>
      <w:r w:rsidR="00541D05">
        <w:t xml:space="preserve"> </w:t>
      </w:r>
      <w:r w:rsidR="00D9258C" w:rsidRPr="00FD6A6A">
        <w:t>access</w:t>
      </w:r>
      <w:r w:rsidR="00541D05">
        <w:t xml:space="preserve"> </w:t>
      </w:r>
      <w:r w:rsidR="00D9258C" w:rsidRPr="00FD6A6A">
        <w:t>to</w:t>
      </w:r>
      <w:r w:rsidR="00541D05">
        <w:t xml:space="preserve"> </w:t>
      </w:r>
      <w:r w:rsidR="00D9258C" w:rsidRPr="00FD6A6A">
        <w:t>health</w:t>
      </w:r>
      <w:r w:rsidR="00541D05">
        <w:t xml:space="preserve"> </w:t>
      </w:r>
      <w:r w:rsidR="00D9258C" w:rsidRPr="00FD6A6A">
        <w:t>care</w:t>
      </w:r>
      <w:r w:rsidR="00541D05">
        <w:t xml:space="preserve"> </w:t>
      </w:r>
      <w:r w:rsidR="00D9258C" w:rsidRPr="00FD6A6A">
        <w:t>services</w:t>
      </w:r>
      <w:r w:rsidR="00541D05">
        <w:t xml:space="preserve"> </w:t>
      </w:r>
      <w:r w:rsidR="00D9258C" w:rsidRPr="00FD6A6A">
        <w:t>have</w:t>
      </w:r>
      <w:r w:rsidR="00541D05">
        <w:t xml:space="preserve"> </w:t>
      </w:r>
      <w:r w:rsidR="00D9258C" w:rsidRPr="00FD6A6A">
        <w:t>been</w:t>
      </w:r>
      <w:r w:rsidR="00541D05">
        <w:t xml:space="preserve"> </w:t>
      </w:r>
      <w:r w:rsidR="00D9258C" w:rsidRPr="00FD6A6A">
        <w:t>acknowledged</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hence</w:t>
      </w:r>
      <w:r w:rsidR="00541D05">
        <w:t xml:space="preserve"> </w:t>
      </w:r>
      <w:r w:rsidR="00D9258C" w:rsidRPr="00FD6A6A">
        <w:t>the</w:t>
      </w:r>
      <w:r w:rsidR="00541D05">
        <w:t xml:space="preserve"> </w:t>
      </w:r>
      <w:r w:rsidR="00D9258C" w:rsidRPr="00FD6A6A">
        <w:t>National</w:t>
      </w:r>
      <w:r w:rsidR="00541D05">
        <w:t xml:space="preserve"> </w:t>
      </w:r>
      <w:r w:rsidR="00D9258C" w:rsidRPr="00FD6A6A">
        <w:t>Policy</w:t>
      </w:r>
      <w:r w:rsidR="00541D05">
        <w:t xml:space="preserve"> </w:t>
      </w:r>
      <w:r w:rsidR="00D9258C" w:rsidRPr="00FD6A6A">
        <w:t>for</w:t>
      </w:r>
      <w:r w:rsidR="00541D05">
        <w:t xml:space="preserve"> </w:t>
      </w:r>
      <w:r w:rsidR="00D9258C" w:rsidRPr="00FD6A6A">
        <w:t>Comprehensive</w:t>
      </w:r>
      <w:r w:rsidR="00541D05">
        <w:t xml:space="preserve"> </w:t>
      </w:r>
      <w:r w:rsidR="00D9258C" w:rsidRPr="00FD6A6A">
        <w:t>Health</w:t>
      </w:r>
      <w:r w:rsidR="00541D05">
        <w:t xml:space="preserve"> </w:t>
      </w:r>
      <w:r w:rsidR="00D9258C" w:rsidRPr="00FD6A6A">
        <w:t>Care</w:t>
      </w:r>
      <w:r w:rsidR="00541D05">
        <w:t xml:space="preserve"> </w:t>
      </w:r>
      <w:r w:rsidR="00D9258C" w:rsidRPr="00FD6A6A">
        <w:t>to</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(PNSIPN).</w:t>
      </w:r>
      <w:r w:rsidR="00541D05">
        <w:t xml:space="preserve"> </w:t>
      </w:r>
      <w:r w:rsidR="00D9258C" w:rsidRPr="00FD6A6A">
        <w:t>The</w:t>
      </w:r>
      <w:r w:rsidR="00541D05">
        <w:t xml:space="preserve"> </w:t>
      </w:r>
      <w:r w:rsidR="00D9258C" w:rsidRPr="00FD6A6A">
        <w:t>enactment</w:t>
      </w:r>
      <w:r w:rsidR="00541D05">
        <w:t xml:space="preserve"> </w:t>
      </w:r>
      <w:r w:rsidR="00D9258C" w:rsidRPr="00FD6A6A">
        <w:t>of</w:t>
      </w:r>
      <w:r w:rsidR="00541D05">
        <w:t xml:space="preserve"> </w:t>
      </w:r>
      <w:r w:rsidR="00D9258C" w:rsidRPr="00FD6A6A">
        <w:t>this</w:t>
      </w:r>
      <w:r w:rsidR="00541D05">
        <w:t xml:space="preserve"> </w:t>
      </w:r>
      <w:r w:rsidR="00D9258C" w:rsidRPr="00FD6A6A">
        <w:t>policy,</w:t>
      </w:r>
      <w:r w:rsidR="00541D05">
        <w:t xml:space="preserve"> </w:t>
      </w:r>
      <w:r w:rsidR="00D9258C" w:rsidRPr="00FD6A6A">
        <w:t>through</w:t>
      </w:r>
      <w:r w:rsidR="00541D05">
        <w:t xml:space="preserve"> </w:t>
      </w:r>
      <w:r w:rsidR="00D9258C" w:rsidRPr="00FD6A6A">
        <w:t>a</w:t>
      </w:r>
      <w:r w:rsidR="00541D05">
        <w:t xml:space="preserve"> </w:t>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ordinance,</w:t>
      </w:r>
      <w:r w:rsidR="00541D05">
        <w:t xml:space="preserve"> </w:t>
      </w:r>
      <w:r w:rsidR="00D9258C" w:rsidRPr="00FD6A6A">
        <w:t>intends</w:t>
      </w:r>
      <w:r w:rsidR="00541D05">
        <w:t xml:space="preserve"> </w:t>
      </w:r>
      <w:r w:rsidR="00D9258C" w:rsidRPr="00FD6A6A">
        <w:t>to</w:t>
      </w:r>
      <w:r w:rsidR="00541D05">
        <w:t xml:space="preserve"> </w:t>
      </w:r>
      <w:r w:rsidR="00D9258C" w:rsidRPr="00FD6A6A">
        <w:t>incorporate</w:t>
      </w:r>
      <w:r w:rsidR="00541D05">
        <w:t xml:space="preserve"> </w:t>
      </w:r>
      <w:r w:rsidR="00D9258C" w:rsidRPr="00FD6A6A">
        <w:t>actions</w:t>
      </w:r>
      <w:r w:rsidR="00541D05">
        <w:t xml:space="preserve"> </w:t>
      </w:r>
      <w:r w:rsidR="00D9258C" w:rsidRPr="00FD6A6A">
        <w:t>into</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EA62F1">
        <w:t>’</w:t>
      </w:r>
      <w:r w:rsidR="00D9258C" w:rsidRPr="00FD6A6A">
        <w:t>s</w:t>
      </w:r>
      <w:r w:rsidR="00541D05">
        <w:t xml:space="preserve"> </w:t>
      </w:r>
      <w:r w:rsidR="00D9258C" w:rsidRPr="00FD6A6A">
        <w:t>list</w:t>
      </w:r>
      <w:r w:rsidR="00541D05">
        <w:t xml:space="preserve"> </w:t>
      </w:r>
      <w:r w:rsidR="00D9258C" w:rsidRPr="00FD6A6A">
        <w:t>of</w:t>
      </w:r>
      <w:r w:rsidR="00541D05">
        <w:t xml:space="preserve"> </w:t>
      </w:r>
      <w:r w:rsidR="00D9258C" w:rsidRPr="00FD6A6A">
        <w:t>health</w:t>
      </w:r>
      <w:r w:rsidR="00541D05">
        <w:t xml:space="preserve"> </w:t>
      </w:r>
      <w:r w:rsidR="00D9258C" w:rsidRPr="00FD6A6A">
        <w:t>care</w:t>
      </w:r>
      <w:r w:rsidR="00541D05">
        <w:t xml:space="preserve"> </w:t>
      </w:r>
      <w:r w:rsidR="00D9258C" w:rsidRPr="00FD6A6A">
        <w:t>interventions</w:t>
      </w:r>
      <w:r w:rsidR="00541D05">
        <w:t xml:space="preserve"> </w:t>
      </w:r>
      <w:r w:rsidR="00D9258C" w:rsidRPr="00FD6A6A">
        <w:t>and</w:t>
      </w:r>
      <w:r w:rsidR="00541D05">
        <w:t xml:space="preserve"> </w:t>
      </w:r>
      <w:r w:rsidR="00D9258C" w:rsidRPr="00FD6A6A">
        <w:t>acknowledge</w:t>
      </w:r>
      <w:r w:rsidR="00541D05">
        <w:t xml:space="preserve"> </w:t>
      </w:r>
      <w:r w:rsidR="00D9258C" w:rsidRPr="00FD6A6A">
        <w:t>racism,</w:t>
      </w:r>
      <w:r w:rsidR="00541D05">
        <w:t xml:space="preserve"> </w:t>
      </w:r>
      <w:r w:rsidR="00D9258C" w:rsidRPr="00FD6A6A">
        <w:t>ethnic</w:t>
      </w:r>
      <w:r w:rsidR="00541D05">
        <w:t xml:space="preserve"> </w:t>
      </w:r>
      <w:r w:rsidR="00D9258C" w:rsidRPr="00FD6A6A">
        <w:t>and</w:t>
      </w:r>
      <w:r w:rsidR="00541D05">
        <w:t xml:space="preserve"> </w:t>
      </w:r>
      <w:r w:rsidR="00D9258C" w:rsidRPr="00FD6A6A">
        <w:t>racial</w:t>
      </w:r>
      <w:r w:rsidR="00541D05">
        <w:t xml:space="preserve"> </w:t>
      </w:r>
      <w:r w:rsidR="00D9258C" w:rsidRPr="00FD6A6A">
        <w:t>inequalities,</w:t>
      </w:r>
      <w:r w:rsidR="00541D05">
        <w:t xml:space="preserve"> </w:t>
      </w:r>
      <w:r w:rsidR="00D9258C" w:rsidRPr="00FD6A6A">
        <w:t>and</w:t>
      </w:r>
      <w:r w:rsidR="00541D05">
        <w:t xml:space="preserve"> </w:t>
      </w:r>
      <w:r w:rsidR="00D9258C" w:rsidRPr="00FD6A6A">
        <w:t>institutional</w:t>
      </w:r>
      <w:r w:rsidR="00541D05">
        <w:t xml:space="preserve"> </w:t>
      </w:r>
      <w:r w:rsidR="00D9258C" w:rsidRPr="00FD6A6A">
        <w:t>racism</w:t>
      </w:r>
      <w:r w:rsidR="00541D05">
        <w:t xml:space="preserve"> </w:t>
      </w:r>
      <w:r w:rsidR="00D9258C" w:rsidRPr="00FD6A6A">
        <w:t>as</w:t>
      </w:r>
      <w:r w:rsidR="00541D05">
        <w:t xml:space="preserve"> </w:t>
      </w:r>
      <w:r w:rsidR="00D9258C" w:rsidRPr="00FD6A6A">
        <w:t>a</w:t>
      </w:r>
      <w:r w:rsidR="00541D05">
        <w:t xml:space="preserve"> </w:t>
      </w:r>
      <w:r w:rsidR="00D9258C" w:rsidRPr="00FD6A6A">
        <w:t>social</w:t>
      </w:r>
      <w:r w:rsidR="00541D05">
        <w:t xml:space="preserve"> </w:t>
      </w:r>
      <w:r w:rsidR="00D9258C" w:rsidRPr="00FD6A6A">
        <w:t>determinant</w:t>
      </w:r>
      <w:r w:rsidR="00541D05">
        <w:t xml:space="preserve"> </w:t>
      </w:r>
      <w:r w:rsidR="00D9258C" w:rsidRPr="00FD6A6A">
        <w:t>in</w:t>
      </w:r>
      <w:r w:rsidR="00541D05">
        <w:t xml:space="preserve"> </w:t>
      </w:r>
      <w:r w:rsidR="00D9258C" w:rsidRPr="00FD6A6A">
        <w:t>the</w:t>
      </w:r>
      <w:r w:rsidR="00541D05">
        <w:t xml:space="preserve"> </w:t>
      </w:r>
      <w:r w:rsidR="00D9258C" w:rsidRPr="00FD6A6A">
        <w:t>health</w:t>
      </w:r>
      <w:r w:rsidR="00541D05">
        <w:t xml:space="preserve"> </w:t>
      </w:r>
      <w:r w:rsidR="00D9258C" w:rsidRPr="00FD6A6A">
        <w:t>care</w:t>
      </w:r>
      <w:r w:rsidR="00541D05">
        <w:t xml:space="preserve"> </w:t>
      </w:r>
      <w:r w:rsidR="00D9258C" w:rsidRPr="00FD6A6A">
        <w:t>conditions</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The</w:t>
      </w:r>
      <w:r w:rsidR="00541D05">
        <w:t xml:space="preserve"> </w:t>
      </w:r>
      <w:r w:rsidR="00D9258C" w:rsidRPr="00FD6A6A">
        <w:t>policy</w:t>
      </w:r>
      <w:r w:rsidR="00541D05">
        <w:t xml:space="preserve"> </w:t>
      </w:r>
      <w:r w:rsidR="00D9258C" w:rsidRPr="00FD6A6A">
        <w:t>also</w:t>
      </w:r>
      <w:r w:rsidR="00541D05">
        <w:t xml:space="preserve"> </w:t>
      </w:r>
      <w:r w:rsidR="00D9258C" w:rsidRPr="00FD6A6A">
        <w:t>establishes</w:t>
      </w:r>
      <w:r w:rsidR="00541D05">
        <w:t xml:space="preserve"> </w:t>
      </w:r>
      <w:r w:rsidR="00D9258C" w:rsidRPr="00FD6A6A">
        <w:t>the</w:t>
      </w:r>
      <w:r w:rsidR="00541D05">
        <w:t xml:space="preserve"> </w:t>
      </w:r>
      <w:r w:rsidR="00D9258C" w:rsidRPr="00FD6A6A">
        <w:t>search</w:t>
      </w:r>
      <w:r w:rsidR="00541D05">
        <w:t xml:space="preserve"> </w:t>
      </w:r>
      <w:r w:rsidR="00D9258C" w:rsidRPr="00FD6A6A">
        <w:t>for</w:t>
      </w:r>
      <w:r w:rsidR="00541D05">
        <w:t xml:space="preserve"> </w:t>
      </w:r>
      <w:r w:rsidR="00D9258C" w:rsidRPr="00FD6A6A">
        <w:t>equality</w:t>
      </w:r>
      <w:r w:rsidR="00541D05">
        <w:t xml:space="preserve"> </w:t>
      </w:r>
      <w:r w:rsidR="00D9258C" w:rsidRPr="00FD6A6A">
        <w:t>as</w:t>
      </w:r>
      <w:r w:rsidR="00541D05">
        <w:t xml:space="preserve"> </w:t>
      </w:r>
      <w:r w:rsidR="00D9258C" w:rsidRPr="00FD6A6A">
        <w:t>a</w:t>
      </w:r>
      <w:r w:rsidR="00541D05">
        <w:t xml:space="preserve"> </w:t>
      </w:r>
      <w:r w:rsidR="00D9258C" w:rsidRPr="00FD6A6A">
        <w:t>principle</w:t>
      </w:r>
      <w:r w:rsidR="00541D05">
        <w:t xml:space="preserve"> </w:t>
      </w:r>
      <w:r w:rsidR="00D9258C" w:rsidRPr="00FD6A6A">
        <w:t>without</w:t>
      </w:r>
      <w:r w:rsidR="00541D05">
        <w:t xml:space="preserve"> </w:t>
      </w:r>
      <w:r w:rsidR="00D9258C" w:rsidRPr="00FD6A6A">
        <w:t>which</w:t>
      </w:r>
      <w:r w:rsidR="00541D05">
        <w:t xml:space="preserve"> </w:t>
      </w:r>
      <w:r w:rsidR="00D9258C" w:rsidRPr="00FD6A6A">
        <w:t>equality</w:t>
      </w:r>
      <w:r w:rsidR="00541D05">
        <w:t xml:space="preserve"> </w:t>
      </w:r>
      <w:r w:rsidR="00D9258C" w:rsidRPr="00FD6A6A">
        <w:t>and</w:t>
      </w:r>
      <w:r w:rsidR="00541D05">
        <w:t xml:space="preserve"> </w:t>
      </w:r>
      <w:r w:rsidR="00D9258C" w:rsidRPr="00FD6A6A">
        <w:t>universality</w:t>
      </w:r>
      <w:r w:rsidR="00541D05">
        <w:t xml:space="preserve"> </w:t>
      </w:r>
      <w:r w:rsidR="00D9258C" w:rsidRPr="00FD6A6A">
        <w:t>are</w:t>
      </w:r>
      <w:r w:rsidR="00541D05">
        <w:t xml:space="preserve"> </w:t>
      </w:r>
      <w:r w:rsidR="00D9258C" w:rsidRPr="00FD6A6A">
        <w:t>unattainable.</w:t>
      </w:r>
    </w:p>
    <w:p w14:paraId="632DD4B3" w14:textId="06ABBC54" w:rsidR="00D9258C" w:rsidRPr="00FD6A6A" w:rsidRDefault="00166390" w:rsidP="00166390">
      <w:pPr>
        <w:pStyle w:val="ParaNoG"/>
        <w:numPr>
          <w:ilvl w:val="0"/>
          <w:numId w:val="0"/>
        </w:numPr>
        <w:tabs>
          <w:tab w:val="left" w:pos="0"/>
        </w:tabs>
        <w:ind w:left="1134"/>
      </w:pPr>
      <w:r w:rsidRPr="00FD6A6A">
        <w:t>100.</w:t>
      </w:r>
      <w:r w:rsidRPr="00FD6A6A">
        <w:tab/>
      </w:r>
      <w:r w:rsidR="00D9258C" w:rsidRPr="00FD6A6A">
        <w:t>PNSIPN</w:t>
      </w:r>
      <w:r w:rsidR="00541D05">
        <w:t xml:space="preserve"> </w:t>
      </w:r>
      <w:r w:rsidR="00D9258C" w:rsidRPr="00FD6A6A">
        <w:t>has</w:t>
      </w:r>
      <w:r w:rsidR="00541D05">
        <w:t xml:space="preserve"> </w:t>
      </w:r>
      <w:r w:rsidR="00D9258C" w:rsidRPr="00FD6A6A">
        <w:t>the</w:t>
      </w:r>
      <w:r w:rsidR="00541D05">
        <w:t xml:space="preserve"> </w:t>
      </w:r>
      <w:r w:rsidR="00D9258C" w:rsidRPr="00FD6A6A">
        <w:t>priority</w:t>
      </w:r>
      <w:r w:rsidR="00541D05">
        <w:t xml:space="preserve"> </w:t>
      </w:r>
      <w:r w:rsidR="00D9258C" w:rsidRPr="00FD6A6A">
        <w:t>goal</w:t>
      </w:r>
      <w:r w:rsidR="00541D05">
        <w:t xml:space="preserve"> </w:t>
      </w:r>
      <w:r w:rsidR="00D9258C" w:rsidRPr="00FD6A6A">
        <w:t>of</w:t>
      </w:r>
      <w:r w:rsidR="00541D05">
        <w:t xml:space="preserve"> </w:t>
      </w:r>
      <w:r w:rsidR="00D9258C" w:rsidRPr="00FD6A6A">
        <w:t>fully</w:t>
      </w:r>
      <w:r w:rsidR="00541D05">
        <w:t xml:space="preserve"> </w:t>
      </w:r>
      <w:r w:rsidR="00D9258C" w:rsidRPr="00FD6A6A">
        <w:t>promoting</w:t>
      </w:r>
      <w:r w:rsidR="00541D05">
        <w:t xml:space="preserve"> </w:t>
      </w:r>
      <w:r w:rsidR="00D9258C" w:rsidRPr="00FD6A6A">
        <w:t>health</w:t>
      </w:r>
      <w:r w:rsidR="00541D05">
        <w:t xml:space="preserve"> </w:t>
      </w:r>
      <w:r w:rsidR="00D9258C" w:rsidRPr="00FD6A6A">
        <w:t>care</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with</w:t>
      </w:r>
      <w:r w:rsidR="00541D05">
        <w:t xml:space="preserve"> </w:t>
      </w:r>
      <w:r w:rsidR="00D9258C" w:rsidRPr="00FD6A6A">
        <w:t>emphasis</w:t>
      </w:r>
      <w:r w:rsidR="00541D05">
        <w:t xml:space="preserve"> </w:t>
      </w:r>
      <w:r w:rsidR="00D9258C" w:rsidRPr="00FD6A6A">
        <w:t>on</w:t>
      </w:r>
      <w:r w:rsidR="00541D05">
        <w:t xml:space="preserve"> </w:t>
      </w:r>
      <w:r w:rsidR="00D9258C" w:rsidRPr="00FD6A6A">
        <w:t>reducing</w:t>
      </w:r>
      <w:r w:rsidR="00541D05">
        <w:t xml:space="preserve"> </w:t>
      </w:r>
      <w:r w:rsidR="00D9258C" w:rsidRPr="00FD6A6A">
        <w:t>inequalities,</w:t>
      </w:r>
      <w:r w:rsidR="00541D05">
        <w:t xml:space="preserve"> </w:t>
      </w:r>
      <w:r w:rsidR="00D9258C" w:rsidRPr="00FD6A6A">
        <w:t>combatting</w:t>
      </w:r>
      <w:r w:rsidR="00541D05">
        <w:t xml:space="preserve"> </w:t>
      </w:r>
      <w:r w:rsidR="00D9258C" w:rsidRPr="00FD6A6A">
        <w:t>racism</w:t>
      </w:r>
      <w:r w:rsidR="00541D05">
        <w:t xml:space="preserve"> </w:t>
      </w:r>
      <w:r w:rsidR="00D9258C" w:rsidRPr="00FD6A6A">
        <w:t>and</w:t>
      </w:r>
      <w:r w:rsidR="00541D05">
        <w:t xml:space="preserve"> </w:t>
      </w:r>
      <w:r w:rsidR="00D9258C" w:rsidRPr="00FD6A6A">
        <w:t>discrimination</w:t>
      </w:r>
      <w:r w:rsidR="00541D05">
        <w:t xml:space="preserve"> </w:t>
      </w:r>
      <w:r w:rsidR="00D9258C" w:rsidRPr="00FD6A6A">
        <w:t>within</w:t>
      </w:r>
      <w:r w:rsidR="00541D05">
        <w:t xml:space="preserve"> </w:t>
      </w:r>
      <w:r w:rsidR="00D9258C" w:rsidRPr="00FD6A6A">
        <w:t>the</w:t>
      </w:r>
      <w:r w:rsidR="00541D05">
        <w:t xml:space="preserve"> </w:t>
      </w:r>
      <w:r w:rsidR="00D9258C" w:rsidRPr="00FD6A6A">
        <w:t>scope</w:t>
      </w:r>
      <w:r w:rsidR="00541D05">
        <w:t xml:space="preserve"> </w:t>
      </w:r>
      <w:r w:rsidR="00D9258C" w:rsidRPr="00FD6A6A">
        <w:t>of</w:t>
      </w:r>
      <w:r w:rsidR="00541D05">
        <w:t xml:space="preserve"> </w:t>
      </w:r>
      <w:r w:rsidR="00D9258C" w:rsidRPr="00FD6A6A">
        <w:t>SUS.</w:t>
      </w:r>
    </w:p>
    <w:p w14:paraId="7045D488" w14:textId="72B436EB" w:rsidR="00D9258C" w:rsidRPr="00FD6A6A" w:rsidRDefault="00166390" w:rsidP="00166390">
      <w:pPr>
        <w:pStyle w:val="ParaNoG"/>
        <w:numPr>
          <w:ilvl w:val="0"/>
          <w:numId w:val="0"/>
        </w:numPr>
        <w:tabs>
          <w:tab w:val="left" w:pos="0"/>
        </w:tabs>
        <w:ind w:left="1134"/>
      </w:pPr>
      <w:r w:rsidRPr="00FD6A6A">
        <w:t>101.</w:t>
      </w:r>
      <w:r w:rsidRPr="00FD6A6A">
        <w:tab/>
      </w:r>
      <w:r w:rsidR="00D9258C" w:rsidRPr="00FD6A6A">
        <w:t>The</w:t>
      </w:r>
      <w:r w:rsidR="00541D05">
        <w:t xml:space="preserve"> </w:t>
      </w:r>
      <w:r w:rsidR="00D9258C" w:rsidRPr="00FD6A6A">
        <w:t>National</w:t>
      </w:r>
      <w:r w:rsidR="00541D05">
        <w:t xml:space="preserve"> </w:t>
      </w:r>
      <w:r w:rsidR="00D9258C" w:rsidRPr="00FD6A6A">
        <w:t>Campaign</w:t>
      </w:r>
      <w:r w:rsidR="00541D05">
        <w:t xml:space="preserve"> </w:t>
      </w:r>
      <w:r w:rsidR="00EA62F1">
        <w:t>“</w:t>
      </w:r>
      <w:r w:rsidR="00D9258C" w:rsidRPr="00FD6A6A">
        <w:t>Racism</w:t>
      </w:r>
      <w:r w:rsidR="00541D05">
        <w:t xml:space="preserve"> </w:t>
      </w:r>
      <w:r w:rsidR="00D9258C" w:rsidRPr="00FD6A6A">
        <w:t>is</w:t>
      </w:r>
      <w:r w:rsidR="00541D05">
        <w:t xml:space="preserve"> </w:t>
      </w:r>
      <w:r w:rsidR="00D9258C" w:rsidRPr="00FD6A6A">
        <w:t>bad</w:t>
      </w:r>
      <w:r w:rsidR="00541D05">
        <w:t xml:space="preserve"> </w:t>
      </w:r>
      <w:r w:rsidR="00D9258C" w:rsidRPr="00FD6A6A">
        <w:t>for</w:t>
      </w:r>
      <w:r w:rsidR="00541D05">
        <w:t xml:space="preserve"> </w:t>
      </w:r>
      <w:r w:rsidR="00D9258C" w:rsidRPr="00FD6A6A">
        <w:t>your</w:t>
      </w:r>
      <w:r w:rsidR="00541D05">
        <w:t xml:space="preserve"> </w:t>
      </w:r>
      <w:r w:rsidR="00D9258C" w:rsidRPr="00FD6A6A">
        <w:t>health.</w:t>
      </w:r>
      <w:r w:rsidR="00541D05">
        <w:t xml:space="preserve"> </w:t>
      </w:r>
      <w:r w:rsidR="00D9258C" w:rsidRPr="00FD6A6A">
        <w:t>Report</w:t>
      </w:r>
      <w:r w:rsidR="00541D05">
        <w:t xml:space="preserve"> </w:t>
      </w:r>
      <w:r w:rsidR="00D9258C" w:rsidRPr="00FD6A6A">
        <w:t>it!</w:t>
      </w:r>
      <w:r w:rsidR="00EA62F1">
        <w:t>”</w:t>
      </w:r>
      <w:r w:rsidR="00541D05">
        <w:t xml:space="preserve"> </w:t>
      </w:r>
      <w:r w:rsidR="00D9258C" w:rsidRPr="00FD6A6A">
        <w:t>[Racismo</w:t>
      </w:r>
      <w:r w:rsidR="00541D05">
        <w:t xml:space="preserve"> </w:t>
      </w:r>
      <w:r w:rsidR="00D9258C" w:rsidRPr="00FD6A6A">
        <w:t>faz</w:t>
      </w:r>
      <w:r w:rsidR="00541D05">
        <w:t xml:space="preserve"> </w:t>
      </w:r>
      <w:r w:rsidR="00D9258C" w:rsidRPr="00FD6A6A">
        <w:t>mal</w:t>
      </w:r>
      <w:r w:rsidR="00541D05">
        <w:t xml:space="preserve"> </w:t>
      </w:r>
      <w:r w:rsidR="00D9258C" w:rsidRPr="00FD6A6A">
        <w:t>à</w:t>
      </w:r>
      <w:r w:rsidR="00541D05">
        <w:t xml:space="preserve"> </w:t>
      </w:r>
      <w:r w:rsidR="00D9258C" w:rsidRPr="00FD6A6A">
        <w:t>saúde.</w:t>
      </w:r>
      <w:r w:rsidR="00541D05">
        <w:t xml:space="preserve"> </w:t>
      </w:r>
      <w:r w:rsidR="00D9258C" w:rsidRPr="00FD6A6A">
        <w:t>Denuncie!]</w:t>
      </w:r>
      <w:r w:rsidR="00541D05">
        <w:t xml:space="preserve"> </w:t>
      </w:r>
      <w:r w:rsidR="00D9258C" w:rsidRPr="00FD6A6A">
        <w:t>was</w:t>
      </w:r>
      <w:r w:rsidR="00541D05">
        <w:t xml:space="preserve"> </w:t>
      </w:r>
      <w:r w:rsidR="00D9258C" w:rsidRPr="00FD6A6A">
        <w:t>launched</w:t>
      </w:r>
      <w:r w:rsidR="00541D05">
        <w:t xml:space="preserve"> </w:t>
      </w:r>
      <w:r w:rsidR="00D9258C" w:rsidRPr="00FD6A6A">
        <w:t>in</w:t>
      </w:r>
      <w:r w:rsidR="00541D05">
        <w:t xml:space="preserve"> </w:t>
      </w:r>
      <w:r w:rsidR="00D9258C" w:rsidRPr="00FD6A6A">
        <w:t>2014</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fight</w:t>
      </w:r>
      <w:r w:rsidR="00541D05">
        <w:t xml:space="preserve"> </w:t>
      </w:r>
      <w:r w:rsidR="00D9258C" w:rsidRPr="00FD6A6A">
        <w:t>discrimination</w:t>
      </w:r>
      <w:r w:rsidR="00541D05">
        <w:t xml:space="preserve"> </w:t>
      </w:r>
      <w:r w:rsidR="00D9258C" w:rsidRPr="00FD6A6A">
        <w:t>within</w:t>
      </w:r>
      <w:r w:rsidR="00541D05">
        <w:t xml:space="preserve"> </w:t>
      </w:r>
      <w:r w:rsidR="00D9258C" w:rsidRPr="00FD6A6A">
        <w:t>the</w:t>
      </w:r>
      <w:r w:rsidR="00541D05">
        <w:t xml:space="preserve"> </w:t>
      </w:r>
      <w:r w:rsidR="00D9258C" w:rsidRPr="00FD6A6A">
        <w:t>scope</w:t>
      </w:r>
      <w:r w:rsidR="00541D05">
        <w:t xml:space="preserve"> </w:t>
      </w:r>
      <w:r w:rsidR="00D9258C" w:rsidRPr="00FD6A6A">
        <w:t>of</w:t>
      </w:r>
      <w:r w:rsidR="00541D05">
        <w:t xml:space="preserve"> </w:t>
      </w:r>
      <w:r w:rsidR="00D9258C" w:rsidRPr="00FD6A6A">
        <w:t>SUS.</w:t>
      </w:r>
      <w:r w:rsidR="00541D05">
        <w:t xml:space="preserve"> </w:t>
      </w:r>
      <w:r w:rsidR="00D9258C" w:rsidRPr="00FD6A6A">
        <w:t>The</w:t>
      </w:r>
      <w:r w:rsidR="00541D05">
        <w:t xml:space="preserve"> </w:t>
      </w:r>
      <w:r w:rsidR="00D9258C" w:rsidRPr="00FD6A6A">
        <w:t>campaign,</w:t>
      </w:r>
      <w:r w:rsidR="00541D05">
        <w:t xml:space="preserve"> </w:t>
      </w:r>
      <w:r w:rsidR="00D9258C" w:rsidRPr="00FD6A6A">
        <w:t>intended</w:t>
      </w:r>
      <w:r w:rsidR="00541D05">
        <w:t xml:space="preserve"> </w:t>
      </w:r>
      <w:r w:rsidR="00D9258C" w:rsidRPr="00FD6A6A">
        <w:t>for</w:t>
      </w:r>
      <w:r w:rsidR="00541D05">
        <w:t xml:space="preserve"> </w:t>
      </w:r>
      <w:r w:rsidR="00D9258C" w:rsidRPr="00FD6A6A">
        <w:t>professional</w:t>
      </w:r>
      <w:r w:rsidR="00541D05">
        <w:t xml:space="preserve"> </w:t>
      </w:r>
      <w:r w:rsidR="00D9258C" w:rsidRPr="00FD6A6A">
        <w:t>and</w:t>
      </w:r>
      <w:r w:rsidR="00541D05">
        <w:t xml:space="preserve"> </w:t>
      </w:r>
      <w:r w:rsidR="00D9258C" w:rsidRPr="00FD6A6A">
        <w:t>users</w:t>
      </w:r>
      <w:r w:rsidR="00541D05">
        <w:t xml:space="preserve"> </w:t>
      </w:r>
      <w:r w:rsidR="00D9258C" w:rsidRPr="00FD6A6A">
        <w:t>of</w:t>
      </w:r>
      <w:r w:rsidR="00541D05">
        <w:t xml:space="preserve"> </w:t>
      </w:r>
      <w:r w:rsidR="00D9258C" w:rsidRPr="00FD6A6A">
        <w:t>the</w:t>
      </w:r>
      <w:r w:rsidR="00541D05">
        <w:t xml:space="preserve"> </w:t>
      </w:r>
      <w:r w:rsidR="00D9258C" w:rsidRPr="00FD6A6A">
        <w:t>public</w:t>
      </w:r>
      <w:r w:rsidR="00541D05">
        <w:t xml:space="preserve"> </w:t>
      </w:r>
      <w:r w:rsidR="00D9258C" w:rsidRPr="00FD6A6A">
        <w:t>health</w:t>
      </w:r>
      <w:r w:rsidR="00541D05">
        <w:t xml:space="preserve"> </w:t>
      </w:r>
      <w:r w:rsidR="00D9258C" w:rsidRPr="00FD6A6A">
        <w:t>care</w:t>
      </w:r>
      <w:r w:rsidR="00541D05">
        <w:t xml:space="preserve"> </w:t>
      </w:r>
      <w:r w:rsidR="00D9258C" w:rsidRPr="00FD6A6A">
        <w:t>system,</w:t>
      </w:r>
      <w:r w:rsidR="00541D05">
        <w:t xml:space="preserve"> </w:t>
      </w:r>
      <w:r w:rsidR="00D9258C" w:rsidRPr="00FD6A6A">
        <w:t>was</w:t>
      </w:r>
      <w:r w:rsidR="00541D05">
        <w:t xml:space="preserve"> </w:t>
      </w:r>
      <w:r w:rsidR="00D9258C" w:rsidRPr="00FD6A6A">
        <w:t>a</w:t>
      </w:r>
      <w:r w:rsidR="00541D05">
        <w:t xml:space="preserve"> </w:t>
      </w:r>
      <w:r w:rsidR="00D9258C" w:rsidRPr="00FD6A6A">
        <w:t>response</w:t>
      </w:r>
      <w:r w:rsidR="00541D05">
        <w:t xml:space="preserve"> </w:t>
      </w:r>
      <w:r w:rsidR="00D9258C" w:rsidRPr="00FD6A6A">
        <w:t>to</w:t>
      </w:r>
      <w:r w:rsidR="00541D05">
        <w:t xml:space="preserve"> </w:t>
      </w:r>
      <w:r w:rsidR="00D9258C" w:rsidRPr="00FD6A6A">
        <w:t>discrimination</w:t>
      </w:r>
      <w:r w:rsidR="00541D05">
        <w:t xml:space="preserve"> </w:t>
      </w:r>
      <w:r w:rsidR="00D9258C" w:rsidRPr="00FD6A6A">
        <w:t>reports,</w:t>
      </w:r>
      <w:r w:rsidR="00541D05">
        <w:t xml:space="preserve"> </w:t>
      </w:r>
      <w:r w:rsidR="00D9258C" w:rsidRPr="00FD6A6A">
        <w:t>confirmed</w:t>
      </w:r>
      <w:r w:rsidR="00541D05">
        <w:t xml:space="preserve"> </w:t>
      </w:r>
      <w:r w:rsidR="00D9258C" w:rsidRPr="00FD6A6A">
        <w:t>by</w:t>
      </w:r>
      <w:r w:rsidR="00541D05">
        <w:t xml:space="preserve"> </w:t>
      </w:r>
      <w:r w:rsidR="00D9258C" w:rsidRPr="00FD6A6A">
        <w:t>some</w:t>
      </w:r>
      <w:r w:rsidR="00541D05">
        <w:t xml:space="preserve"> </w:t>
      </w:r>
      <w:r w:rsidR="00D9258C" w:rsidRPr="00FD6A6A">
        <w:t>indicators</w:t>
      </w:r>
      <w:r w:rsidR="00541D05">
        <w:t xml:space="preserve"> </w:t>
      </w:r>
      <w:r w:rsidR="00D9258C" w:rsidRPr="00FD6A6A">
        <w:t>pointing</w:t>
      </w:r>
      <w:r w:rsidR="00541D05">
        <w:t xml:space="preserve"> </w:t>
      </w:r>
      <w:r w:rsidR="00D9258C" w:rsidRPr="00FD6A6A">
        <w:t>out</w:t>
      </w:r>
      <w:r w:rsidR="00541D05">
        <w:t xml:space="preserve"> </w:t>
      </w:r>
      <w:r w:rsidR="00D9258C" w:rsidRPr="00FD6A6A">
        <w:t>greater</w:t>
      </w:r>
      <w:r w:rsidR="00541D05">
        <w:t xml:space="preserve"> </w:t>
      </w:r>
      <w:r w:rsidR="00D9258C" w:rsidRPr="00FD6A6A">
        <w:t>vulnerability</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According</w:t>
      </w:r>
      <w:r w:rsidR="00541D05">
        <w:t xml:space="preserve"> </w:t>
      </w:r>
      <w:r w:rsidR="00D9258C" w:rsidRPr="00FD6A6A">
        <w:t>to</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itself,</w:t>
      </w:r>
      <w:r w:rsidR="00541D05">
        <w:t xml:space="preserve"> </w:t>
      </w:r>
      <w:r w:rsidR="00D9258C" w:rsidRPr="00FD6A6A">
        <w:t>60%</w:t>
      </w:r>
      <w:r w:rsidR="00541D05">
        <w:t xml:space="preserve"> </w:t>
      </w:r>
      <w:r w:rsidR="00D9258C" w:rsidRPr="00FD6A6A">
        <w:t>of</w:t>
      </w:r>
      <w:r w:rsidR="00541D05">
        <w:t xml:space="preserve"> </w:t>
      </w:r>
      <w:r w:rsidR="00D9258C" w:rsidRPr="00FD6A6A">
        <w:t>maternal</w:t>
      </w:r>
      <w:r w:rsidR="00541D05">
        <w:t xml:space="preserve"> </w:t>
      </w:r>
      <w:r w:rsidR="00D9258C" w:rsidRPr="00FD6A6A">
        <w:t>deaths</w:t>
      </w:r>
      <w:r w:rsidR="00541D05">
        <w:t xml:space="preserve"> </w:t>
      </w:r>
      <w:r w:rsidR="00D9258C" w:rsidRPr="00FD6A6A">
        <w:t>occurred</w:t>
      </w:r>
      <w:r w:rsidR="00541D05">
        <w:t xml:space="preserve"> </w:t>
      </w:r>
      <w:r w:rsidR="00D9258C" w:rsidRPr="00FD6A6A">
        <w:t>in</w:t>
      </w:r>
      <w:r w:rsidR="00541D05">
        <w:t xml:space="preserve"> </w:t>
      </w:r>
      <w:r w:rsidR="00D9258C" w:rsidRPr="00FD6A6A">
        <w:t>2012</w:t>
      </w:r>
      <w:r w:rsidR="00541D05">
        <w:t xml:space="preserve"> </w:t>
      </w:r>
      <w:r w:rsidR="00D9258C" w:rsidRPr="00FD6A6A">
        <w:t>were</w:t>
      </w:r>
      <w:r w:rsidR="00541D05">
        <w:t xml:space="preserve"> </w:t>
      </w:r>
      <w:r w:rsidR="00D9258C" w:rsidRPr="00FD6A6A">
        <w:t>Afro-Brazilian</w:t>
      </w:r>
      <w:r w:rsidR="00541D05">
        <w:t xml:space="preserve"> </w:t>
      </w:r>
      <w:r w:rsidR="00D9258C" w:rsidRPr="00FD6A6A">
        <w:t>women</w:t>
      </w:r>
      <w:r w:rsidR="00541D05">
        <w:t xml:space="preserve"> </w:t>
      </w:r>
      <w:r w:rsidR="00D9258C" w:rsidRPr="00FD6A6A">
        <w:t>and</w:t>
      </w:r>
      <w:r w:rsidR="00541D05">
        <w:t xml:space="preserve"> </w:t>
      </w:r>
      <w:r w:rsidR="00D9258C" w:rsidRPr="00FD6A6A">
        <w:t>34%</w:t>
      </w:r>
      <w:r w:rsidR="00541D05">
        <w:t xml:space="preserve"> </w:t>
      </w:r>
      <w:r w:rsidR="00D9258C" w:rsidRPr="00FD6A6A">
        <w:t>were</w:t>
      </w:r>
      <w:r w:rsidR="00541D05">
        <w:t xml:space="preserve"> </w:t>
      </w:r>
      <w:r w:rsidR="00D9258C" w:rsidRPr="00FD6A6A">
        <w:t>White</w:t>
      </w:r>
      <w:r w:rsidR="00541D05">
        <w:t xml:space="preserve"> </w:t>
      </w:r>
      <w:r w:rsidR="00D9258C" w:rsidRPr="00FD6A6A">
        <w:t>women,</w:t>
      </w:r>
      <w:r w:rsidR="00541D05">
        <w:t xml:space="preserve"> </w:t>
      </w:r>
      <w:r w:rsidR="00D9258C" w:rsidRPr="00FD6A6A">
        <w:t>and</w:t>
      </w:r>
      <w:r w:rsidR="00541D05">
        <w:t xml:space="preserve"> </w:t>
      </w:r>
      <w:r w:rsidR="00D9258C" w:rsidRPr="00FD6A6A">
        <w:t>90%</w:t>
      </w:r>
      <w:r w:rsidR="00541D05">
        <w:t xml:space="preserve"> </w:t>
      </w:r>
      <w:r w:rsidR="00D9258C" w:rsidRPr="00FD6A6A">
        <w:t>of</w:t>
      </w:r>
      <w:r w:rsidR="00541D05">
        <w:t xml:space="preserve"> </w:t>
      </w:r>
      <w:r w:rsidR="00D9258C" w:rsidRPr="00FD6A6A">
        <w:t>such</w:t>
      </w:r>
      <w:r w:rsidR="00541D05">
        <w:t xml:space="preserve"> </w:t>
      </w:r>
      <w:r w:rsidR="00D9258C" w:rsidRPr="00FD6A6A">
        <w:t>deaths</w:t>
      </w:r>
      <w:r w:rsidR="00541D05">
        <w:t xml:space="preserve"> </w:t>
      </w:r>
      <w:r w:rsidR="00D9258C" w:rsidRPr="00FD6A6A">
        <w:t>were</w:t>
      </w:r>
      <w:r w:rsidR="00541D05">
        <w:t xml:space="preserve"> </w:t>
      </w:r>
      <w:r w:rsidR="00D9258C" w:rsidRPr="00FD6A6A">
        <w:t>avoidable,</w:t>
      </w:r>
      <w:r w:rsidR="00541D05">
        <w:t xml:space="preserve"> </w:t>
      </w:r>
      <w:r w:rsidR="00D9258C" w:rsidRPr="00FD6A6A">
        <w:t>according</w:t>
      </w:r>
      <w:r w:rsidR="00541D05">
        <w:t xml:space="preserve"> </w:t>
      </w:r>
      <w:r w:rsidR="00D9258C" w:rsidRPr="00FD6A6A">
        <w:t>to</w:t>
      </w:r>
      <w:r w:rsidR="00541D05">
        <w:t xml:space="preserve"> </w:t>
      </w:r>
      <w:r w:rsidR="00D9258C" w:rsidRPr="00FD6A6A">
        <w:t>the</w:t>
      </w:r>
      <w:r w:rsidR="00541D05">
        <w:t xml:space="preserve"> </w:t>
      </w:r>
      <w:r w:rsidR="00D9258C" w:rsidRPr="00FD6A6A">
        <w:t>Ministry</w:t>
      </w:r>
      <w:r w:rsidR="00541D05">
        <w:t xml:space="preserve"> </w:t>
      </w:r>
      <w:r w:rsidR="00D9258C" w:rsidRPr="00FD6A6A">
        <w:t>itself.</w:t>
      </w:r>
      <w:r w:rsidR="00541D05">
        <w:t xml:space="preserve"> </w:t>
      </w:r>
      <w:r w:rsidR="00D9258C" w:rsidRPr="00FD6A6A">
        <w:t>The</w:t>
      </w:r>
      <w:r w:rsidR="00541D05">
        <w:t xml:space="preserve"> </w:t>
      </w:r>
      <w:r w:rsidR="00D9258C" w:rsidRPr="00FD6A6A">
        <w:t>reduction</w:t>
      </w:r>
      <w:r w:rsidR="00541D05">
        <w:t xml:space="preserve"> </w:t>
      </w:r>
      <w:r w:rsidR="00D9258C" w:rsidRPr="00FD6A6A">
        <w:t>in</w:t>
      </w:r>
      <w:r w:rsidR="00541D05">
        <w:t xml:space="preserve"> </w:t>
      </w:r>
      <w:r w:rsidR="00D9258C" w:rsidRPr="00FD6A6A">
        <w:t>maternal</w:t>
      </w:r>
      <w:r w:rsidR="00541D05">
        <w:t xml:space="preserve"> </w:t>
      </w:r>
      <w:r w:rsidR="00D9258C" w:rsidRPr="00FD6A6A">
        <w:t>mortality</w:t>
      </w:r>
      <w:r w:rsidR="00541D05">
        <w:t xml:space="preserve"> </w:t>
      </w:r>
      <w:r w:rsidR="00D9258C" w:rsidRPr="00FD6A6A">
        <w:t>rate</w:t>
      </w:r>
      <w:r w:rsidR="00541D05">
        <w:t xml:space="preserve"> </w:t>
      </w:r>
      <w:r w:rsidR="00D9258C" w:rsidRPr="00FD6A6A">
        <w:t>was</w:t>
      </w:r>
      <w:r w:rsidR="00541D05">
        <w:t xml:space="preserve"> </w:t>
      </w:r>
      <w:r w:rsidR="00D9258C" w:rsidRPr="00FD6A6A">
        <w:t>the</w:t>
      </w:r>
      <w:r w:rsidR="00541D05">
        <w:t xml:space="preserve"> </w:t>
      </w:r>
      <w:r w:rsidR="00D9258C" w:rsidRPr="00FD6A6A">
        <w:t>fifth</w:t>
      </w:r>
      <w:r w:rsidR="00541D05">
        <w:t xml:space="preserve"> </w:t>
      </w:r>
      <w:r w:rsidR="00D9258C" w:rsidRPr="00FD6A6A">
        <w:t>millennium</w:t>
      </w:r>
      <w:r w:rsidR="00541D05">
        <w:t xml:space="preserve"> </w:t>
      </w:r>
      <w:r w:rsidR="00D9258C" w:rsidRPr="00FD6A6A">
        <w:t>goal</w:t>
      </w:r>
      <w:r w:rsidR="00541D05">
        <w:t xml:space="preserve"> </w:t>
      </w:r>
      <w:r w:rsidR="00D9258C" w:rsidRPr="00FD6A6A">
        <w:t>established</w:t>
      </w:r>
      <w:r w:rsidR="00541D05">
        <w:t xml:space="preserve"> </w:t>
      </w:r>
      <w:r w:rsidR="00D9258C" w:rsidRPr="00FD6A6A">
        <w:t>by</w:t>
      </w:r>
      <w:r w:rsidR="00541D05">
        <w:t xml:space="preserve"> </w:t>
      </w:r>
      <w:r w:rsidR="00D9258C" w:rsidRPr="00FD6A6A">
        <w:t>the</w:t>
      </w:r>
      <w:r w:rsidR="00541D05">
        <w:t xml:space="preserve"> </w:t>
      </w:r>
      <w:r w:rsidR="00D9258C" w:rsidRPr="00FD6A6A">
        <w:t>UN,</w:t>
      </w:r>
      <w:r w:rsidR="00541D05">
        <w:t xml:space="preserve"> </w:t>
      </w:r>
      <w:r w:rsidR="00D9258C" w:rsidRPr="00FD6A6A">
        <w:t>and</w:t>
      </w:r>
      <w:r w:rsidR="00541D05">
        <w:t xml:space="preserve"> </w:t>
      </w:r>
      <w:r w:rsidR="00D9258C" w:rsidRPr="00FD6A6A">
        <w:t>the</w:t>
      </w:r>
      <w:r w:rsidR="00541D05">
        <w:t xml:space="preserve"> </w:t>
      </w:r>
      <w:r w:rsidR="00D9258C" w:rsidRPr="00FD6A6A">
        <w:t>lack</w:t>
      </w:r>
      <w:r w:rsidR="00541D05">
        <w:t xml:space="preserve"> </w:t>
      </w:r>
      <w:r w:rsidR="00D9258C" w:rsidRPr="00FD6A6A">
        <w:t>of</w:t>
      </w:r>
      <w:r w:rsidR="00541D05">
        <w:t xml:space="preserve"> </w:t>
      </w:r>
      <w:r w:rsidR="00D9258C" w:rsidRPr="00FD6A6A">
        <w:t>fight</w:t>
      </w:r>
      <w:r w:rsidR="00541D05">
        <w:t xml:space="preserve"> </w:t>
      </w:r>
      <w:r w:rsidR="00D9258C" w:rsidRPr="00FD6A6A">
        <w:t>against</w:t>
      </w:r>
      <w:r w:rsidR="00541D05">
        <w:t xml:space="preserve"> </w:t>
      </w:r>
      <w:r w:rsidR="00D9258C" w:rsidRPr="00FD6A6A">
        <w:t>racial</w:t>
      </w:r>
      <w:r w:rsidR="00541D05">
        <w:t xml:space="preserve"> </w:t>
      </w:r>
      <w:r w:rsidR="00D9258C" w:rsidRPr="00FD6A6A">
        <w:t>disparities</w:t>
      </w:r>
      <w:r w:rsidR="00541D05">
        <w:t xml:space="preserve"> </w:t>
      </w:r>
      <w:r w:rsidR="00D9258C" w:rsidRPr="00FD6A6A">
        <w:t>in</w:t>
      </w:r>
      <w:r w:rsidR="00541D05">
        <w:t xml:space="preserve"> </w:t>
      </w:r>
      <w:r w:rsidR="00D9258C" w:rsidRPr="00FD6A6A">
        <w:t>the</w:t>
      </w:r>
      <w:r w:rsidR="00541D05">
        <w:t xml:space="preserve"> </w:t>
      </w:r>
      <w:r w:rsidR="00D9258C" w:rsidRPr="00FD6A6A">
        <w:t>health</w:t>
      </w:r>
      <w:r w:rsidR="00541D05">
        <w:t xml:space="preserve"> </w:t>
      </w:r>
      <w:r w:rsidR="00D9258C" w:rsidRPr="00FD6A6A">
        <w:t>care</w:t>
      </w:r>
      <w:r w:rsidR="00541D05">
        <w:t xml:space="preserve"> </w:t>
      </w:r>
      <w:r w:rsidR="00D9258C" w:rsidRPr="00FD6A6A">
        <w:t>system</w:t>
      </w:r>
      <w:r w:rsidR="00541D05">
        <w:t xml:space="preserve"> </w:t>
      </w:r>
      <w:r w:rsidR="00D9258C" w:rsidRPr="00FD6A6A">
        <w:t>at</w:t>
      </w:r>
      <w:r w:rsidR="00541D05">
        <w:t xml:space="preserve"> </w:t>
      </w:r>
      <w:r w:rsidR="00D9258C" w:rsidRPr="00FD6A6A">
        <w:t>a</w:t>
      </w:r>
      <w:r w:rsidR="00541D05">
        <w:t xml:space="preserve"> </w:t>
      </w:r>
      <w:r w:rsidR="00D9258C" w:rsidRPr="00FD6A6A">
        <w:t>satisfactory</w:t>
      </w:r>
      <w:r w:rsidR="00541D05">
        <w:t xml:space="preserve"> </w:t>
      </w:r>
      <w:r w:rsidR="00D9258C" w:rsidRPr="00FD6A6A">
        <w:t>level</w:t>
      </w:r>
      <w:r w:rsidR="00541D05">
        <w:t xml:space="preserve"> </w:t>
      </w:r>
      <w:r w:rsidR="00D9258C" w:rsidRPr="00FD6A6A">
        <w:t>did</w:t>
      </w:r>
      <w:r w:rsidR="00541D05">
        <w:t xml:space="preserve"> </w:t>
      </w:r>
      <w:r w:rsidR="00D9258C" w:rsidRPr="00FD6A6A">
        <w:t>not</w:t>
      </w:r>
      <w:r w:rsidR="00541D05">
        <w:t xml:space="preserve"> </w:t>
      </w:r>
      <w:r w:rsidR="00D9258C" w:rsidRPr="00FD6A6A">
        <w:t>enable</w:t>
      </w:r>
      <w:r w:rsidR="00541D05">
        <w:t xml:space="preserve"> </w:t>
      </w:r>
      <w:r w:rsidR="00D9258C" w:rsidRPr="00FD6A6A">
        <w:t>the</w:t>
      </w:r>
      <w:r w:rsidR="00541D05">
        <w:t xml:space="preserve"> </w:t>
      </w:r>
      <w:r w:rsidR="00D9258C" w:rsidRPr="00FD6A6A">
        <w:t>country</w:t>
      </w:r>
      <w:r w:rsidR="00541D05">
        <w:t xml:space="preserve"> </w:t>
      </w:r>
      <w:r w:rsidR="00D9258C" w:rsidRPr="00FD6A6A">
        <w:t>to</w:t>
      </w:r>
      <w:r w:rsidR="00541D05">
        <w:t xml:space="preserve"> </w:t>
      </w:r>
      <w:r w:rsidR="00D9258C" w:rsidRPr="00FD6A6A">
        <w:t>meet</w:t>
      </w:r>
      <w:r w:rsidR="00541D05">
        <w:t xml:space="preserve"> </w:t>
      </w:r>
      <w:r w:rsidR="00D9258C" w:rsidRPr="00FD6A6A">
        <w:t>the</w:t>
      </w:r>
      <w:r w:rsidR="00541D05">
        <w:t xml:space="preserve"> </w:t>
      </w:r>
      <w:r w:rsidR="00D9258C" w:rsidRPr="00FD6A6A">
        <w:t>goal</w:t>
      </w:r>
      <w:r w:rsidR="00541D05">
        <w:t xml:space="preserve"> </w:t>
      </w:r>
      <w:r w:rsidR="00D9258C" w:rsidRPr="00FD6A6A">
        <w:t>established</w:t>
      </w:r>
      <w:r w:rsidR="00541D05">
        <w:t xml:space="preserve"> </w:t>
      </w:r>
      <w:r w:rsidR="00D9258C" w:rsidRPr="00FD6A6A">
        <w:t>by</w:t>
      </w:r>
      <w:r w:rsidR="00541D05">
        <w:t xml:space="preserve"> </w:t>
      </w:r>
      <w:r w:rsidR="00D9258C" w:rsidRPr="00FD6A6A">
        <w:t>the</w:t>
      </w:r>
      <w:r w:rsidR="00541D05">
        <w:t xml:space="preserve"> </w:t>
      </w:r>
      <w:r w:rsidR="00D9258C" w:rsidRPr="00FD6A6A">
        <w:t>international</w:t>
      </w:r>
      <w:r w:rsidR="00541D05">
        <w:t xml:space="preserve"> </w:t>
      </w:r>
      <w:r w:rsidR="00D9258C" w:rsidRPr="00FD6A6A">
        <w:t>system.</w:t>
      </w:r>
    </w:p>
    <w:p w14:paraId="41F748C3" w14:textId="2BA1A142" w:rsidR="00D9258C" w:rsidRPr="00FD6A6A" w:rsidRDefault="00166390" w:rsidP="00166390">
      <w:pPr>
        <w:pStyle w:val="ParaNoG"/>
        <w:numPr>
          <w:ilvl w:val="0"/>
          <w:numId w:val="0"/>
        </w:numPr>
        <w:tabs>
          <w:tab w:val="left" w:pos="0"/>
        </w:tabs>
        <w:ind w:left="1134"/>
      </w:pPr>
      <w:r w:rsidRPr="00FD6A6A">
        <w:t>102.</w:t>
      </w:r>
      <w:r w:rsidRPr="00FD6A6A">
        <w:tab/>
      </w:r>
      <w:r w:rsidR="00D9258C" w:rsidRPr="00FD6A6A">
        <w:t>Death</w:t>
      </w:r>
      <w:r w:rsidR="00541D05">
        <w:t xml:space="preserve"> </w:t>
      </w:r>
      <w:r w:rsidR="00D9258C" w:rsidRPr="00FD6A6A">
        <w:t>by</w:t>
      </w:r>
      <w:r w:rsidR="00541D05">
        <w:t xml:space="preserve"> </w:t>
      </w:r>
      <w:r w:rsidR="00D9258C" w:rsidRPr="00FD6A6A">
        <w:t>external</w:t>
      </w:r>
      <w:r w:rsidR="00541D05">
        <w:t xml:space="preserve"> </w:t>
      </w:r>
      <w:r w:rsidR="00D9258C" w:rsidRPr="00FD6A6A">
        <w:t>causes</w:t>
      </w:r>
      <w:r w:rsidR="00541D05">
        <w:t xml:space="preserve"> </w:t>
      </w:r>
      <w:r w:rsidR="00D9258C" w:rsidRPr="00FD6A6A">
        <w:t>is</w:t>
      </w:r>
      <w:r w:rsidR="00541D05">
        <w:t xml:space="preserve"> </w:t>
      </w:r>
      <w:r w:rsidR="00D9258C" w:rsidRPr="00FD6A6A">
        <w:t>the</w:t>
      </w:r>
      <w:r w:rsidR="00541D05">
        <w:t xml:space="preserve"> </w:t>
      </w:r>
      <w:r w:rsidR="00D9258C" w:rsidRPr="00FD6A6A">
        <w:t>main</w:t>
      </w:r>
      <w:r w:rsidR="00541D05">
        <w:t xml:space="preserve"> </w:t>
      </w:r>
      <w:r w:rsidR="00D9258C" w:rsidRPr="00FD6A6A">
        <w:t>reason</w:t>
      </w:r>
      <w:r w:rsidR="00541D05">
        <w:t xml:space="preserve"> </w:t>
      </w:r>
      <w:r w:rsidR="00D9258C" w:rsidRPr="00FD6A6A">
        <w:t>for</w:t>
      </w:r>
      <w:r w:rsidR="00541D05">
        <w:t xml:space="preserve"> </w:t>
      </w:r>
      <w:r w:rsidR="00D9258C" w:rsidRPr="00FD6A6A">
        <w:t>high</w:t>
      </w:r>
      <w:r w:rsidR="00541D05">
        <w:t xml:space="preserve"> </w:t>
      </w:r>
      <w:r w:rsidR="00D9258C" w:rsidRPr="00FD6A6A">
        <w:t>mortality</w:t>
      </w:r>
      <w:r w:rsidR="00541D05">
        <w:t xml:space="preserve"> </w:t>
      </w:r>
      <w:r w:rsidR="00D9258C" w:rsidRPr="00FD6A6A">
        <w:t>rates</w:t>
      </w:r>
      <w:r w:rsidR="00541D05">
        <w:t xml:space="preserve"> </w:t>
      </w:r>
      <w:r w:rsidR="00D9258C" w:rsidRPr="00FD6A6A">
        <w:t>in</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In</w:t>
      </w:r>
      <w:r w:rsidR="00541D05">
        <w:t xml:space="preserve"> </w:t>
      </w:r>
      <w:r w:rsidR="00D9258C" w:rsidRPr="00FD6A6A">
        <w:t>2016,</w:t>
      </w:r>
      <w:r w:rsidR="00541D05">
        <w:t xml:space="preserve"> </w:t>
      </w:r>
      <w:r w:rsidR="00D9258C" w:rsidRPr="00FD6A6A">
        <w:t>62,517</w:t>
      </w:r>
      <w:r w:rsidR="00541D05">
        <w:t xml:space="preserve"> </w:t>
      </w:r>
      <w:r w:rsidR="00D9258C" w:rsidRPr="00FD6A6A">
        <w:t>homicides</w:t>
      </w:r>
      <w:r w:rsidR="00541D05">
        <w:t xml:space="preserve"> </w:t>
      </w:r>
      <w:r w:rsidR="00D9258C" w:rsidRPr="00FD6A6A">
        <w:t>occurred</w:t>
      </w:r>
      <w:r w:rsidR="00541D05">
        <w:t xml:space="preserve"> </w:t>
      </w:r>
      <w:r w:rsidR="00D9258C" w:rsidRPr="00FD6A6A">
        <w:t>in</w:t>
      </w:r>
      <w:r w:rsidR="00541D05">
        <w:t xml:space="preserve"> </w:t>
      </w:r>
      <w:r w:rsidR="00D9258C" w:rsidRPr="00FD6A6A">
        <w:t>Brazil,</w:t>
      </w:r>
      <w:r w:rsidR="00541D05">
        <w:t xml:space="preserve"> </w:t>
      </w:r>
      <w:r w:rsidR="00D9258C" w:rsidRPr="00FD6A6A">
        <w:t>as</w:t>
      </w:r>
      <w:r w:rsidR="00541D05">
        <w:t xml:space="preserve"> </w:t>
      </w:r>
      <w:r w:rsidR="00D9258C" w:rsidRPr="00FD6A6A">
        <w:t>informed</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comprising</w:t>
      </w:r>
      <w:r w:rsidR="00541D05">
        <w:t xml:space="preserve"> </w:t>
      </w:r>
      <w:r w:rsidR="00D9258C" w:rsidRPr="00FD6A6A">
        <w:t>30.3</w:t>
      </w:r>
      <w:r w:rsidR="00541D05">
        <w:t xml:space="preserve"> </w:t>
      </w:r>
      <w:r w:rsidR="00D9258C" w:rsidRPr="00FD6A6A">
        <w:t>deaths</w:t>
      </w:r>
      <w:r w:rsidR="00541D05">
        <w:t xml:space="preserve"> </w:t>
      </w:r>
      <w:r w:rsidR="00D9258C" w:rsidRPr="00FD6A6A">
        <w:t>per</w:t>
      </w:r>
      <w:r w:rsidR="00541D05">
        <w:t xml:space="preserve"> </w:t>
      </w:r>
      <w:r w:rsidR="00D9258C" w:rsidRPr="00FD6A6A">
        <w:t>100</w:t>
      </w:r>
      <w:r w:rsidR="00541D05">
        <w:t xml:space="preserve"> </w:t>
      </w:r>
      <w:r w:rsidR="00D9258C" w:rsidRPr="00FD6A6A">
        <w:t>thousand</w:t>
      </w:r>
      <w:r w:rsidR="00541D05">
        <w:t xml:space="preserve"> </w:t>
      </w:r>
      <w:r w:rsidR="00D9258C" w:rsidRPr="00FD6A6A">
        <w:t>inhabitants.</w:t>
      </w:r>
      <w:r w:rsidR="00541D05">
        <w:t xml:space="preserve"> </w:t>
      </w:r>
      <w:r w:rsidR="00D9258C" w:rsidRPr="00FD6A6A">
        <w:t>These</w:t>
      </w:r>
      <w:r w:rsidR="00541D05">
        <w:t xml:space="preserve"> </w:t>
      </w:r>
      <w:r w:rsidR="00D9258C" w:rsidRPr="00FD6A6A">
        <w:t>data</w:t>
      </w:r>
      <w:r w:rsidR="00541D05">
        <w:t xml:space="preserve"> </w:t>
      </w:r>
      <w:r w:rsidR="00D9258C" w:rsidRPr="00FD6A6A">
        <w:t>do</w:t>
      </w:r>
      <w:r w:rsidR="00541D05">
        <w:t xml:space="preserve"> </w:t>
      </w:r>
      <w:r w:rsidR="00D9258C" w:rsidRPr="00FD6A6A">
        <w:t>not</w:t>
      </w:r>
      <w:r w:rsidR="00541D05">
        <w:t xml:space="preserve"> </w:t>
      </w:r>
      <w:r w:rsidR="00D9258C" w:rsidRPr="00FD6A6A">
        <w:t>contemplate</w:t>
      </w:r>
      <w:r w:rsidR="00541D05">
        <w:t xml:space="preserve"> </w:t>
      </w:r>
      <w:r w:rsidR="00D9258C" w:rsidRPr="00FD6A6A">
        <w:t>violent</w:t>
      </w:r>
      <w:r w:rsidR="00541D05">
        <w:t xml:space="preserve"> </w:t>
      </w:r>
      <w:r w:rsidR="00D9258C" w:rsidRPr="00FD6A6A">
        <w:t>death</w:t>
      </w:r>
      <w:r w:rsidR="00541D05">
        <w:t xml:space="preserve"> </w:t>
      </w:r>
      <w:r w:rsidR="00D9258C" w:rsidRPr="00FD6A6A">
        <w:t>by</w:t>
      </w:r>
      <w:r w:rsidR="00541D05">
        <w:t xml:space="preserve"> </w:t>
      </w:r>
      <w:r w:rsidR="00D9258C" w:rsidRPr="00FD6A6A">
        <w:t>an</w:t>
      </w:r>
      <w:r w:rsidR="00541D05">
        <w:t xml:space="preserve"> </w:t>
      </w:r>
      <w:r w:rsidR="00D9258C" w:rsidRPr="00FD6A6A">
        <w:t>undetermined</w:t>
      </w:r>
      <w:r w:rsidR="00541D05">
        <w:t xml:space="preserve"> </w:t>
      </w:r>
      <w:r w:rsidR="00D9258C" w:rsidRPr="00FD6A6A">
        <w:t>cause,</w:t>
      </w:r>
      <w:r w:rsidR="00541D05">
        <w:t xml:space="preserve"> </w:t>
      </w:r>
      <w:r w:rsidR="00D9258C" w:rsidRPr="00FD6A6A">
        <w:t>which</w:t>
      </w:r>
      <w:r w:rsidR="00541D05">
        <w:t xml:space="preserve"> </w:t>
      </w:r>
      <w:r w:rsidR="00D9258C" w:rsidRPr="00FD6A6A">
        <w:t>are</w:t>
      </w:r>
      <w:r w:rsidR="00541D05">
        <w:t xml:space="preserve"> </w:t>
      </w:r>
      <w:r w:rsidR="00D9258C" w:rsidRPr="00FD6A6A">
        <w:t>frequent</w:t>
      </w:r>
      <w:r w:rsidR="00541D05">
        <w:t xml:space="preserve"> </w:t>
      </w:r>
      <w:r w:rsidR="00D9258C" w:rsidRPr="00FD6A6A">
        <w:t>in</w:t>
      </w:r>
      <w:r w:rsidR="00541D05">
        <w:t xml:space="preserve"> </w:t>
      </w:r>
      <w:r w:rsidR="00D9258C" w:rsidRPr="00FD6A6A">
        <w:t>five</w:t>
      </w:r>
      <w:r w:rsidR="00541D05">
        <w:t xml:space="preserve"> </w:t>
      </w:r>
      <w:r w:rsidR="00D9258C" w:rsidRPr="00FD6A6A">
        <w:t>states</w:t>
      </w:r>
      <w:r w:rsidR="00541D05">
        <w:t xml:space="preserve"> </w:t>
      </w:r>
      <w:r w:rsidR="00D9258C" w:rsidRPr="00FD6A6A">
        <w:t>of</w:t>
      </w:r>
      <w:r w:rsidR="00541D05">
        <w:t xml:space="preserve"> </w:t>
      </w:r>
      <w:r w:rsidR="00D9258C" w:rsidRPr="00FD6A6A">
        <w:t>the</w:t>
      </w:r>
      <w:r w:rsidR="00541D05">
        <w:t xml:space="preserve"> </w:t>
      </w:r>
      <w:r w:rsidR="00D9258C" w:rsidRPr="00FD6A6A">
        <w:t>Federation</w:t>
      </w:r>
      <w:r w:rsidR="00541D05">
        <w:t xml:space="preserve"> </w:t>
      </w:r>
      <w:r w:rsidR="00D9258C" w:rsidRPr="00FD6A6A">
        <w:t>(Minas</w:t>
      </w:r>
      <w:r w:rsidR="00541D05">
        <w:t xml:space="preserve"> </w:t>
      </w:r>
      <w:r w:rsidR="00D9258C" w:rsidRPr="00FD6A6A">
        <w:t>Gerais,</w:t>
      </w:r>
      <w:r w:rsidR="00541D05">
        <w:t xml:space="preserve"> </w:t>
      </w:r>
      <w:r w:rsidR="00D9258C" w:rsidRPr="00FD6A6A">
        <w:t>Bahia,</w:t>
      </w:r>
      <w:r w:rsidR="00541D05">
        <w:t xml:space="preserve"> </w:t>
      </w:r>
      <w:r w:rsidR="00D9258C" w:rsidRPr="00FD6A6A">
        <w:t>São</w:t>
      </w:r>
      <w:r w:rsidR="00541D05">
        <w:t xml:space="preserve"> </w:t>
      </w:r>
      <w:r w:rsidR="00D9258C" w:rsidRPr="00FD6A6A">
        <w:t>Paulo,</w:t>
      </w:r>
      <w:r w:rsidR="00541D05">
        <w:t xml:space="preserve"> </w:t>
      </w:r>
      <w:r w:rsidR="00D9258C" w:rsidRPr="00FD6A6A">
        <w:t>Pernambuco,</w:t>
      </w:r>
      <w:r w:rsidR="00541D05">
        <w:t xml:space="preserve"> </w:t>
      </w:r>
      <w:r w:rsidR="00D9258C" w:rsidRPr="00FD6A6A">
        <w:t>and</w:t>
      </w:r>
      <w:r w:rsidR="00541D05">
        <w:t xml:space="preserve"> </w:t>
      </w:r>
      <w:r w:rsidR="00D9258C" w:rsidRPr="00FD6A6A">
        <w:t>Rio</w:t>
      </w:r>
      <w:r w:rsidR="00541D05">
        <w:t xml:space="preserve"> </w:t>
      </w:r>
      <w:r w:rsidR="00D9258C" w:rsidRPr="00FD6A6A">
        <w:t>de</w:t>
      </w:r>
      <w:r w:rsidR="00541D05">
        <w:t xml:space="preserve"> </w:t>
      </w:r>
      <w:r w:rsidR="00D9258C" w:rsidRPr="00FD6A6A">
        <w:t>Janeiro).</w:t>
      </w:r>
    </w:p>
    <w:p w14:paraId="46AF3549" w14:textId="71B0EDD9" w:rsidR="00D9258C" w:rsidRPr="00FD6A6A" w:rsidRDefault="00166390" w:rsidP="00166390">
      <w:pPr>
        <w:pStyle w:val="ParaNoG"/>
        <w:numPr>
          <w:ilvl w:val="0"/>
          <w:numId w:val="0"/>
        </w:numPr>
        <w:tabs>
          <w:tab w:val="left" w:pos="0"/>
        </w:tabs>
        <w:ind w:left="1134"/>
      </w:pPr>
      <w:r w:rsidRPr="00FD6A6A">
        <w:t>103.</w:t>
      </w:r>
      <w:r w:rsidRPr="00FD6A6A">
        <w:tab/>
      </w:r>
      <w:r w:rsidR="00D9258C" w:rsidRPr="00FD6A6A">
        <w:t>These</w:t>
      </w:r>
      <w:r w:rsidR="00541D05">
        <w:t xml:space="preserve"> </w:t>
      </w:r>
      <w:r w:rsidR="00D9258C" w:rsidRPr="00FD6A6A">
        <w:t>indicators</w:t>
      </w:r>
      <w:r w:rsidR="00541D05">
        <w:t xml:space="preserve"> </w:t>
      </w:r>
      <w:r w:rsidR="00D9258C" w:rsidRPr="00FD6A6A">
        <w:t>show</w:t>
      </w:r>
      <w:r w:rsidR="00541D05">
        <w:t xml:space="preserve"> </w:t>
      </w:r>
      <w:r w:rsidR="00D9258C" w:rsidRPr="00FD6A6A">
        <w:t>different</w:t>
      </w:r>
      <w:r w:rsidR="00541D05">
        <w:t xml:space="preserve"> </w:t>
      </w:r>
      <w:r w:rsidR="00D9258C" w:rsidRPr="00FD6A6A">
        <w:t>behaviors</w:t>
      </w:r>
      <w:r w:rsidR="00541D05">
        <w:t xml:space="preserve"> </w:t>
      </w:r>
      <w:r w:rsidR="00D9258C" w:rsidRPr="00FD6A6A">
        <w:t>in</w:t>
      </w:r>
      <w:r w:rsidR="00541D05">
        <w:t xml:space="preserve"> </w:t>
      </w:r>
      <w:r w:rsidR="00D9258C" w:rsidRPr="00FD6A6A">
        <w:t>each</w:t>
      </w:r>
      <w:r w:rsidR="00541D05">
        <w:t xml:space="preserve"> </w:t>
      </w:r>
      <w:r w:rsidR="00D9258C" w:rsidRPr="00FD6A6A">
        <w:t>State</w:t>
      </w:r>
      <w:r w:rsidR="00541D05">
        <w:t xml:space="preserve"> </w:t>
      </w:r>
      <w:r w:rsidR="00D9258C" w:rsidRPr="00FD6A6A">
        <w:t>and</w:t>
      </w:r>
      <w:r w:rsidR="00541D05">
        <w:t xml:space="preserve"> </w:t>
      </w:r>
      <w:r w:rsidR="00D9258C" w:rsidRPr="00FD6A6A">
        <w:t>region,</w:t>
      </w:r>
      <w:r w:rsidR="00541D05">
        <w:t xml:space="preserve"> </w:t>
      </w:r>
      <w:r w:rsidR="00D9258C" w:rsidRPr="00FD6A6A">
        <w:t>evidencing</w:t>
      </w:r>
      <w:r w:rsidR="00541D05">
        <w:t xml:space="preserve"> </w:t>
      </w:r>
      <w:r w:rsidR="00D9258C" w:rsidRPr="00FD6A6A">
        <w:t>that</w:t>
      </w:r>
      <w:r w:rsidR="00541D05">
        <w:t xml:space="preserve"> </w:t>
      </w:r>
      <w:r w:rsidR="00D9258C" w:rsidRPr="00FD6A6A">
        <w:t>the</w:t>
      </w:r>
      <w:r w:rsidR="00541D05">
        <w:t xml:space="preserve"> </w:t>
      </w:r>
      <w:r w:rsidR="00D9258C" w:rsidRPr="00FD6A6A">
        <w:t>dynamics</w:t>
      </w:r>
      <w:r w:rsidR="00541D05">
        <w:t xml:space="preserve"> </w:t>
      </w:r>
      <w:r w:rsidR="00D9258C" w:rsidRPr="00FD6A6A">
        <w:t>of</w:t>
      </w:r>
      <w:r w:rsidR="00541D05">
        <w:t xml:space="preserve"> </w:t>
      </w:r>
      <w:r w:rsidR="00D9258C" w:rsidRPr="00FD6A6A">
        <w:t>violence</w:t>
      </w:r>
      <w:r w:rsidR="00541D05">
        <w:t xml:space="preserve"> </w:t>
      </w:r>
      <w:r w:rsidR="00D9258C" w:rsidRPr="00FD6A6A">
        <w:t>has</w:t>
      </w:r>
      <w:r w:rsidR="00541D05">
        <w:t xml:space="preserve"> </w:t>
      </w:r>
      <w:r w:rsidR="00D9258C" w:rsidRPr="00FD6A6A">
        <w:t>been</w:t>
      </w:r>
      <w:r w:rsidR="00541D05">
        <w:t xml:space="preserve"> </w:t>
      </w:r>
      <w:r w:rsidR="00D9258C" w:rsidRPr="00FD6A6A">
        <w:t>affected</w:t>
      </w:r>
      <w:r w:rsidR="00541D05">
        <w:t xml:space="preserve"> </w:t>
      </w:r>
      <w:r w:rsidR="00D9258C" w:rsidRPr="00FD6A6A">
        <w:t>by</w:t>
      </w:r>
      <w:r w:rsidR="00541D05">
        <w:t xml:space="preserve"> </w:t>
      </w:r>
      <w:r w:rsidR="00D9258C" w:rsidRPr="00FD6A6A">
        <w:t>other</w:t>
      </w:r>
      <w:r w:rsidR="00541D05">
        <w:t xml:space="preserve"> </w:t>
      </w:r>
      <w:r w:rsidR="00D9258C" w:rsidRPr="00FD6A6A">
        <w:t>spatial</w:t>
      </w:r>
      <w:r w:rsidR="00541D05">
        <w:t xml:space="preserve"> </w:t>
      </w:r>
      <w:r w:rsidR="00D9258C" w:rsidRPr="00FD6A6A">
        <w:t>elements.</w:t>
      </w:r>
      <w:r w:rsidR="00541D05">
        <w:t xml:space="preserve"> </w:t>
      </w:r>
      <w:r w:rsidR="00D9258C" w:rsidRPr="00FD6A6A">
        <w:t>By</w:t>
      </w:r>
      <w:r w:rsidR="00541D05">
        <w:t xml:space="preserve"> </w:t>
      </w:r>
      <w:r w:rsidR="00D9258C" w:rsidRPr="00FD6A6A">
        <w:t>monitoring</w:t>
      </w:r>
      <w:r w:rsidR="00541D05">
        <w:t xml:space="preserve"> </w:t>
      </w:r>
      <w:r w:rsidR="00D9258C" w:rsidRPr="00FD6A6A">
        <w:t>these</w:t>
      </w:r>
      <w:r w:rsidR="00541D05">
        <w:t xml:space="preserve"> </w:t>
      </w:r>
      <w:r w:rsidR="00D9258C" w:rsidRPr="00FD6A6A">
        <w:t>dynamics,</w:t>
      </w:r>
      <w:r w:rsidR="00541D05">
        <w:t xml:space="preserve"> </w:t>
      </w:r>
      <w:r w:rsidR="00D9258C" w:rsidRPr="00FD6A6A">
        <w:t>lethal</w:t>
      </w:r>
      <w:r w:rsidR="00541D05">
        <w:t xml:space="preserve"> </w:t>
      </w:r>
      <w:r w:rsidR="00D9258C" w:rsidRPr="00FD6A6A">
        <w:t>violence</w:t>
      </w:r>
      <w:r w:rsidR="00541D05">
        <w:t xml:space="preserve"> </w:t>
      </w:r>
      <w:r w:rsidR="00D9258C" w:rsidRPr="00FD6A6A">
        <w:t>against</w:t>
      </w:r>
      <w:r w:rsidR="00541D05">
        <w:t xml:space="preserve"> </w:t>
      </w:r>
      <w:r w:rsidR="00D9258C" w:rsidRPr="00FD6A6A">
        <w:t>male</w:t>
      </w:r>
      <w:r w:rsidR="00541D05">
        <w:t xml:space="preserve"> </w:t>
      </w:r>
      <w:r w:rsidR="00D9258C" w:rsidRPr="00FD6A6A">
        <w:t>youth</w:t>
      </w:r>
      <w:r w:rsidR="00541D05">
        <w:t xml:space="preserve"> </w:t>
      </w:r>
      <w:r w:rsidR="00D9258C" w:rsidRPr="00FD6A6A">
        <w:t>has</w:t>
      </w:r>
      <w:r w:rsidR="00541D05">
        <w:t xml:space="preserve"> </w:t>
      </w:r>
      <w:r w:rsidR="00D9258C" w:rsidRPr="00FD6A6A">
        <w:t>also</w:t>
      </w:r>
      <w:r w:rsidR="00541D05">
        <w:t xml:space="preserve"> </w:t>
      </w:r>
      <w:r w:rsidR="00D9258C" w:rsidRPr="00FD6A6A">
        <w:t>increased</w:t>
      </w:r>
      <w:r w:rsidR="00541D05">
        <w:t xml:space="preserve"> </w:t>
      </w:r>
      <w:r w:rsidR="00D9258C" w:rsidRPr="00FD6A6A">
        <w:t>(56.5%</w:t>
      </w:r>
      <w:r w:rsidR="00541D05">
        <w:t xml:space="preserve"> </w:t>
      </w:r>
      <w:r w:rsidR="00D9258C" w:rsidRPr="00FD6A6A">
        <w:t>of</w:t>
      </w:r>
      <w:r w:rsidR="00541D05">
        <w:t xml:space="preserve"> </w:t>
      </w:r>
      <w:r w:rsidR="00D9258C" w:rsidRPr="00FD6A6A">
        <w:t>deaths</w:t>
      </w:r>
      <w:r w:rsidR="00541D05">
        <w:t xml:space="preserve"> </w:t>
      </w:r>
      <w:r w:rsidR="00D9258C" w:rsidRPr="00FD6A6A">
        <w:t>of</w:t>
      </w:r>
      <w:r w:rsidR="00541D05">
        <w:t xml:space="preserve"> </w:t>
      </w:r>
      <w:r w:rsidR="00D9258C" w:rsidRPr="00FD6A6A">
        <w:t>males</w:t>
      </w:r>
      <w:r w:rsidR="00541D05">
        <w:t xml:space="preserve"> </w:t>
      </w:r>
      <w:r w:rsidR="00D9258C" w:rsidRPr="00FD6A6A">
        <w:t>between</w:t>
      </w:r>
      <w:r w:rsidR="00541D05">
        <w:t xml:space="preserve"> </w:t>
      </w:r>
      <w:r w:rsidR="00D9258C" w:rsidRPr="00FD6A6A">
        <w:t>15</w:t>
      </w:r>
      <w:r w:rsidR="00541D05">
        <w:t xml:space="preserve"> </w:t>
      </w:r>
      <w:r w:rsidR="00D9258C" w:rsidRPr="00FD6A6A">
        <w:t>and</w:t>
      </w:r>
      <w:r w:rsidR="00541D05">
        <w:t xml:space="preserve"> </w:t>
      </w:r>
      <w:r w:rsidR="00D9258C" w:rsidRPr="00FD6A6A">
        <w:t>19</w:t>
      </w:r>
      <w:r w:rsidR="00541D05">
        <w:t xml:space="preserve"> </w:t>
      </w:r>
      <w:r w:rsidR="00D9258C" w:rsidRPr="00FD6A6A">
        <w:t>years</w:t>
      </w:r>
      <w:r w:rsidR="00541D05">
        <w:t xml:space="preserve"> </w:t>
      </w:r>
      <w:r w:rsidR="00D9258C" w:rsidRPr="00FD6A6A">
        <w:t>old</w:t>
      </w:r>
      <w:r w:rsidR="00541D05">
        <w:t xml:space="preserve"> </w:t>
      </w:r>
      <w:r w:rsidR="00D9258C" w:rsidRPr="00FD6A6A">
        <w:t>have</w:t>
      </w:r>
      <w:r w:rsidR="00541D05">
        <w:t xml:space="preserve"> </w:t>
      </w:r>
      <w:r w:rsidR="00D9258C" w:rsidRPr="00FD6A6A">
        <w:t>been</w:t>
      </w:r>
      <w:r w:rsidR="00541D05">
        <w:t xml:space="preserve"> </w:t>
      </w:r>
      <w:r w:rsidR="00D9258C" w:rsidRPr="00FD6A6A">
        <w:t>caused</w:t>
      </w:r>
      <w:r w:rsidR="00541D05">
        <w:t xml:space="preserve"> </w:t>
      </w:r>
      <w:r w:rsidR="00D9258C" w:rsidRPr="00FD6A6A">
        <w:t>by</w:t>
      </w:r>
      <w:r w:rsidR="00541D05">
        <w:t xml:space="preserve"> </w:t>
      </w:r>
      <w:r w:rsidR="00D9258C" w:rsidRPr="00FD6A6A">
        <w:t>homicides).</w:t>
      </w:r>
      <w:r w:rsidR="00541D05">
        <w:t xml:space="preserve"> </w:t>
      </w:r>
      <w:r w:rsidR="00D9258C" w:rsidRPr="00FD6A6A">
        <w:t>For</w:t>
      </w:r>
      <w:r w:rsidR="00541D05">
        <w:t xml:space="preserve"> </w:t>
      </w:r>
      <w:r w:rsidR="00D9258C" w:rsidRPr="00FD6A6A">
        <w:t>this</w:t>
      </w:r>
      <w:r w:rsidR="00541D05">
        <w:t xml:space="preserve"> </w:t>
      </w:r>
      <w:r w:rsidR="00D9258C" w:rsidRPr="00FD6A6A">
        <w:t>segment,</w:t>
      </w:r>
      <w:r w:rsidR="00541D05">
        <w:t xml:space="preserve"> </w:t>
      </w:r>
      <w:r w:rsidR="00D9258C" w:rsidRPr="00FD6A6A">
        <w:t>the</w:t>
      </w:r>
      <w:r w:rsidR="00541D05">
        <w:t xml:space="preserve"> </w:t>
      </w:r>
      <w:r w:rsidR="00D9258C" w:rsidRPr="00FD6A6A">
        <w:t>homicide</w:t>
      </w:r>
      <w:r w:rsidR="00541D05">
        <w:t xml:space="preserve"> </w:t>
      </w:r>
      <w:r w:rsidR="00D9258C" w:rsidRPr="00FD6A6A">
        <w:t>rate</w:t>
      </w:r>
      <w:r w:rsidR="00541D05">
        <w:t xml:space="preserve"> </w:t>
      </w:r>
      <w:r w:rsidR="00D9258C" w:rsidRPr="00FD6A6A">
        <w:t>is</w:t>
      </w:r>
      <w:r w:rsidR="00541D05">
        <w:t xml:space="preserve"> </w:t>
      </w:r>
      <w:r w:rsidR="00D9258C" w:rsidRPr="00FD6A6A">
        <w:t>142.7</w:t>
      </w:r>
      <w:r w:rsidR="00541D05">
        <w:t xml:space="preserve"> </w:t>
      </w:r>
      <w:r w:rsidR="00D9258C" w:rsidRPr="00FD6A6A">
        <w:t>per</w:t>
      </w:r>
      <w:r w:rsidR="00541D05">
        <w:t xml:space="preserve"> </w:t>
      </w:r>
      <w:r w:rsidR="00D9258C" w:rsidRPr="00FD6A6A">
        <w:t>100</w:t>
      </w:r>
      <w:r w:rsidR="00541D05">
        <w:t xml:space="preserve"> </w:t>
      </w:r>
      <w:r w:rsidR="00D9258C" w:rsidRPr="00FD6A6A">
        <w:t>thousand</w:t>
      </w:r>
      <w:r w:rsidR="00541D05">
        <w:t xml:space="preserve"> </w:t>
      </w:r>
      <w:r w:rsidR="00D9258C" w:rsidRPr="00FD6A6A">
        <w:t>inhabitants,</w:t>
      </w:r>
      <w:r w:rsidR="00541D05">
        <w:t xml:space="preserve"> </w:t>
      </w:r>
      <w:r w:rsidR="00D9258C" w:rsidRPr="00FD6A6A">
        <w:t>almost</w:t>
      </w:r>
      <w:r w:rsidR="00541D05">
        <w:t xml:space="preserve"> </w:t>
      </w:r>
      <w:r w:rsidR="00D9258C" w:rsidRPr="00FD6A6A">
        <w:t>five</w:t>
      </w:r>
      <w:r w:rsidR="00541D05">
        <w:t xml:space="preserve"> </w:t>
      </w:r>
      <w:r w:rsidR="00D9258C" w:rsidRPr="00FD6A6A">
        <w:t>times</w:t>
      </w:r>
      <w:r w:rsidR="00541D05">
        <w:t xml:space="preserve"> </w:t>
      </w:r>
      <w:r w:rsidR="00D9258C" w:rsidRPr="00FD6A6A">
        <w:t>higher</w:t>
      </w:r>
      <w:r w:rsidR="00541D05">
        <w:t xml:space="preserve"> </w:t>
      </w:r>
      <w:r w:rsidR="00D9258C" w:rsidRPr="00FD6A6A">
        <w:t>than</w:t>
      </w:r>
      <w:r w:rsidR="00541D05">
        <w:t xml:space="preserve"> </w:t>
      </w:r>
      <w:r w:rsidR="00D9258C" w:rsidRPr="00FD6A6A">
        <w:t>the</w:t>
      </w:r>
      <w:r w:rsidR="00541D05">
        <w:t xml:space="preserve"> </w:t>
      </w:r>
      <w:r w:rsidR="00D9258C" w:rsidRPr="00FD6A6A">
        <w:t>national</w:t>
      </w:r>
      <w:r w:rsidR="00541D05">
        <w:t xml:space="preserve"> </w:t>
      </w:r>
      <w:r w:rsidR="00D9258C" w:rsidRPr="00FD6A6A">
        <w:t>average.</w:t>
      </w:r>
    </w:p>
    <w:p w14:paraId="4A9C0032" w14:textId="00D7CBC5" w:rsidR="00D9258C" w:rsidRPr="00FD6A6A" w:rsidRDefault="00166390" w:rsidP="00166390">
      <w:pPr>
        <w:pStyle w:val="ParaNoG"/>
        <w:numPr>
          <w:ilvl w:val="0"/>
          <w:numId w:val="0"/>
        </w:numPr>
        <w:tabs>
          <w:tab w:val="left" w:pos="0"/>
        </w:tabs>
        <w:ind w:left="1134"/>
      </w:pPr>
      <w:r w:rsidRPr="00FD6A6A">
        <w:lastRenderedPageBreak/>
        <w:t>104.</w:t>
      </w:r>
      <w:r w:rsidRPr="00FD6A6A">
        <w:tab/>
      </w:r>
      <w:r w:rsidR="00D9258C" w:rsidRPr="00FD6A6A">
        <w:t>As</w:t>
      </w:r>
      <w:r w:rsidR="00541D05">
        <w:t xml:space="preserve"> </w:t>
      </w:r>
      <w:r w:rsidR="00D9258C" w:rsidRPr="00FD6A6A">
        <w:t>pointed</w:t>
      </w:r>
      <w:r w:rsidR="00541D05">
        <w:t xml:space="preserve"> </w:t>
      </w:r>
      <w:r w:rsidR="00D9258C" w:rsidRPr="00FD6A6A">
        <w:t>out</w:t>
      </w:r>
      <w:r w:rsidR="00541D05">
        <w:t xml:space="preserve"> </w:t>
      </w:r>
      <w:r w:rsidR="00D9258C" w:rsidRPr="00FD6A6A">
        <w:t>annually</w:t>
      </w:r>
      <w:r w:rsidR="00541D05">
        <w:t xml:space="preserve"> </w:t>
      </w:r>
      <w:r w:rsidR="00D9258C" w:rsidRPr="00FD6A6A">
        <w:t>by</w:t>
      </w:r>
      <w:r w:rsidR="00541D05">
        <w:t xml:space="preserve"> </w:t>
      </w:r>
      <w:r w:rsidR="00D9258C" w:rsidRPr="00FD6A6A">
        <w:t>successive</w:t>
      </w:r>
      <w:r w:rsidR="00541D05">
        <w:t xml:space="preserve"> </w:t>
      </w:r>
      <w:r w:rsidR="00D9258C" w:rsidRPr="00FD6A6A">
        <w:t>searches,</w:t>
      </w:r>
      <w:r w:rsidR="00541D05">
        <w:t xml:space="preserve"> </w:t>
      </w:r>
      <w:r w:rsidR="00D9258C" w:rsidRPr="00FD6A6A">
        <w:t>the</w:t>
      </w:r>
      <w:r w:rsidR="00541D05">
        <w:t xml:space="preserve"> </w:t>
      </w:r>
      <w:r w:rsidR="00D9258C" w:rsidRPr="00FD6A6A">
        <w:t>homicide</w:t>
      </w:r>
      <w:r w:rsidR="00541D05">
        <w:t xml:space="preserve"> </w:t>
      </w:r>
      <w:r w:rsidR="00D9258C" w:rsidRPr="00FD6A6A">
        <w:t>rate</w:t>
      </w:r>
      <w:r w:rsidR="00541D05">
        <w:t xml:space="preserve"> </w:t>
      </w:r>
      <w:r w:rsidR="00D9258C" w:rsidRPr="00FD6A6A">
        <w:t>has</w:t>
      </w:r>
      <w:r w:rsidR="00541D05">
        <w:t xml:space="preserve"> </w:t>
      </w:r>
      <w:r w:rsidR="00D9258C" w:rsidRPr="00FD6A6A">
        <w:t>increased</w:t>
      </w:r>
      <w:r w:rsidR="00541D05">
        <w:t xml:space="preserve"> </w:t>
      </w:r>
      <w:r w:rsidR="00D9258C" w:rsidRPr="00FD6A6A">
        <w:t>for</w:t>
      </w:r>
      <w:r w:rsidR="00541D05">
        <w:t xml:space="preserve"> </w:t>
      </w:r>
      <w:r w:rsidR="00D9258C" w:rsidRPr="00FD6A6A">
        <w:t>Afro-Brazilians</w:t>
      </w:r>
      <w:r w:rsidR="00541D05">
        <w:t xml:space="preserve"> </w:t>
      </w:r>
      <w:r w:rsidR="00D9258C" w:rsidRPr="00FD6A6A">
        <w:t>and</w:t>
      </w:r>
      <w:r w:rsidR="00541D05">
        <w:t xml:space="preserve"> </w:t>
      </w:r>
      <w:r w:rsidR="00D9258C" w:rsidRPr="00FD6A6A">
        <w:t>decreased</w:t>
      </w:r>
      <w:r w:rsidR="00541D05">
        <w:t xml:space="preserve"> </w:t>
      </w:r>
      <w:r w:rsidR="00D9258C" w:rsidRPr="00FD6A6A">
        <w:t>for</w:t>
      </w:r>
      <w:r w:rsidR="00541D05">
        <w:t xml:space="preserve"> </w:t>
      </w:r>
      <w:r w:rsidR="00D9258C" w:rsidRPr="00FD6A6A">
        <w:t>non-Afro-Brazilians.</w:t>
      </w:r>
      <w:r w:rsidR="00541D05">
        <w:t xml:space="preserve"> </w:t>
      </w:r>
      <w:r w:rsidR="00D9258C" w:rsidRPr="00FD6A6A">
        <w:t>Between</w:t>
      </w:r>
      <w:r w:rsidR="00541D05">
        <w:t xml:space="preserve"> </w:t>
      </w:r>
      <w:r w:rsidR="00D9258C" w:rsidRPr="00FD6A6A">
        <w:t>2006</w:t>
      </w:r>
      <w:r w:rsidR="00541D05">
        <w:t xml:space="preserve"> </w:t>
      </w:r>
      <w:r w:rsidR="00D9258C" w:rsidRPr="00FD6A6A">
        <w:t>and</w:t>
      </w:r>
      <w:r w:rsidR="00541D05">
        <w:t xml:space="preserve"> </w:t>
      </w:r>
      <w:r w:rsidR="00D9258C" w:rsidRPr="00FD6A6A">
        <w:t>2016,</w:t>
      </w:r>
      <w:r w:rsidR="00541D05">
        <w:t xml:space="preserve"> </w:t>
      </w:r>
      <w:r w:rsidR="00D9258C" w:rsidRPr="00FD6A6A">
        <w:t>the</w:t>
      </w:r>
      <w:r w:rsidR="00541D05">
        <w:t xml:space="preserve"> </w:t>
      </w:r>
      <w:r w:rsidR="00D9258C" w:rsidRPr="00FD6A6A">
        <w:t>victimization</w:t>
      </w:r>
      <w:r w:rsidR="00541D05">
        <w:t xml:space="preserve"> </w:t>
      </w:r>
      <w:r w:rsidR="00D9258C" w:rsidRPr="00FD6A6A">
        <w:t>rate</w:t>
      </w:r>
      <w:r w:rsidR="00541D05">
        <w:t xml:space="preserve"> </w:t>
      </w:r>
      <w:r w:rsidR="00D9258C" w:rsidRPr="00FD6A6A">
        <w:t>increased</w:t>
      </w:r>
      <w:r w:rsidR="00541D05">
        <w:t xml:space="preserve"> </w:t>
      </w:r>
      <w:r w:rsidR="00D9258C" w:rsidRPr="00FD6A6A">
        <w:t>by</w:t>
      </w:r>
      <w:r w:rsidR="00541D05">
        <w:t xml:space="preserve"> </w:t>
      </w:r>
      <w:r w:rsidR="00D9258C" w:rsidRPr="00FD6A6A">
        <w:t>23.1%</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and</w:t>
      </w:r>
      <w:r w:rsidR="00541D05">
        <w:t xml:space="preserve"> </w:t>
      </w:r>
      <w:r w:rsidR="00D9258C" w:rsidRPr="00FD6A6A">
        <w:t>decreased</w:t>
      </w:r>
      <w:r w:rsidR="00541D05">
        <w:t xml:space="preserve"> </w:t>
      </w:r>
      <w:r w:rsidR="00D9258C" w:rsidRPr="00FD6A6A">
        <w:t>by</w:t>
      </w:r>
      <w:r w:rsidR="00541D05">
        <w:t xml:space="preserve"> </w:t>
      </w:r>
      <w:r w:rsidR="00D9258C" w:rsidRPr="00FD6A6A">
        <w:t>6.8%</w:t>
      </w:r>
      <w:r w:rsidR="00541D05">
        <w:t xml:space="preserve"> </w:t>
      </w:r>
      <w:r w:rsidR="00D9258C" w:rsidRPr="00FD6A6A">
        <w:t>for</w:t>
      </w:r>
      <w:r w:rsidR="00541D05">
        <w:t xml:space="preserve"> </w:t>
      </w:r>
      <w:r w:rsidR="00D9258C" w:rsidRPr="00FD6A6A">
        <w:t>non-Afro-Brazilians.</w:t>
      </w:r>
      <w:r w:rsidR="00541D05">
        <w:t xml:space="preserve"> </w:t>
      </w:r>
      <w:r w:rsidR="00D9258C" w:rsidRPr="00FD6A6A">
        <w:t>In</w:t>
      </w:r>
      <w:r w:rsidR="00541D05">
        <w:t xml:space="preserve"> </w:t>
      </w:r>
      <w:r w:rsidR="00D9258C" w:rsidRPr="00FD6A6A">
        <w:t>other</w:t>
      </w:r>
      <w:r w:rsidR="00541D05">
        <w:t xml:space="preserve"> </w:t>
      </w:r>
      <w:r w:rsidR="00D9258C" w:rsidRPr="00FD6A6A">
        <w:t>terms,</w:t>
      </w:r>
      <w:r w:rsidR="00541D05">
        <w:t xml:space="preserve"> </w:t>
      </w:r>
      <w:r w:rsidR="00D9258C" w:rsidRPr="00FD6A6A">
        <w:t>in</w:t>
      </w:r>
      <w:r w:rsidR="00541D05">
        <w:t xml:space="preserve"> </w:t>
      </w:r>
      <w:r w:rsidR="00D9258C" w:rsidRPr="00FD6A6A">
        <w:t>2016,</w:t>
      </w:r>
      <w:r w:rsidR="00541D05">
        <w:t xml:space="preserve"> </w:t>
      </w:r>
      <w:r w:rsidR="00D9258C" w:rsidRPr="00FD6A6A">
        <w:t>71.5%</w:t>
      </w:r>
      <w:r w:rsidR="00541D05">
        <w:t xml:space="preserve"> </w:t>
      </w:r>
      <w:r w:rsidR="00D9258C" w:rsidRPr="00FD6A6A">
        <w:t>of</w:t>
      </w:r>
      <w:r w:rsidR="00541D05">
        <w:t xml:space="preserve"> </w:t>
      </w:r>
      <w:r w:rsidR="00D9258C" w:rsidRPr="00FD6A6A">
        <w:t>individuals</w:t>
      </w:r>
      <w:r w:rsidR="00541D05">
        <w:t xml:space="preserve"> </w:t>
      </w:r>
      <w:r w:rsidR="00D9258C" w:rsidRPr="00FD6A6A">
        <w:t>murdered</w:t>
      </w:r>
      <w:r w:rsidR="00541D05">
        <w:t xml:space="preserve"> </w:t>
      </w:r>
      <w:r w:rsidR="00D9258C" w:rsidRPr="00FD6A6A">
        <w:t>in</w:t>
      </w:r>
      <w:r w:rsidR="00541D05">
        <w:t xml:space="preserve"> </w:t>
      </w:r>
      <w:r w:rsidR="00D9258C" w:rsidRPr="00FD6A6A">
        <w:t>Brazil</w:t>
      </w:r>
      <w:r w:rsidR="00541D05">
        <w:t xml:space="preserve"> </w:t>
      </w:r>
      <w:r w:rsidR="00D9258C" w:rsidRPr="00FD6A6A">
        <w:t>were</w:t>
      </w:r>
      <w:r w:rsidR="00541D05">
        <w:t xml:space="preserve"> </w:t>
      </w:r>
      <w:r w:rsidR="00D9258C" w:rsidRPr="00FD6A6A">
        <w:t>Afro-Brazilians.</w:t>
      </w:r>
    </w:p>
    <w:p w14:paraId="5DC04D5D" w14:textId="35A7C906" w:rsidR="00D9258C" w:rsidRPr="00FD6A6A" w:rsidRDefault="00166390" w:rsidP="00166390">
      <w:pPr>
        <w:pStyle w:val="ParaNoG"/>
        <w:numPr>
          <w:ilvl w:val="0"/>
          <w:numId w:val="0"/>
        </w:numPr>
        <w:tabs>
          <w:tab w:val="left" w:pos="0"/>
        </w:tabs>
        <w:ind w:left="1134"/>
      </w:pPr>
      <w:r w:rsidRPr="00FD6A6A">
        <w:t>105.</w:t>
      </w:r>
      <w:r w:rsidRPr="00FD6A6A">
        <w:tab/>
      </w:r>
      <w:r w:rsidR="00D9258C" w:rsidRPr="00FD6A6A">
        <w:t>The</w:t>
      </w:r>
      <w:r w:rsidR="00541D05">
        <w:t xml:space="preserve"> </w:t>
      </w:r>
      <w:r w:rsidR="00D9258C" w:rsidRPr="00FD6A6A">
        <w:t>Public</w:t>
      </w:r>
      <w:r w:rsidR="00541D05">
        <w:t xml:space="preserve"> </w:t>
      </w:r>
      <w:r w:rsidR="00D9258C" w:rsidRPr="00FD6A6A">
        <w:t>Security</w:t>
      </w:r>
      <w:r w:rsidR="00541D05">
        <w:t xml:space="preserve"> </w:t>
      </w:r>
      <w:r w:rsidR="00D9258C" w:rsidRPr="00FD6A6A">
        <w:t>Yearbook</w:t>
      </w:r>
      <w:r w:rsidR="00541D05">
        <w:t xml:space="preserve"> </w:t>
      </w:r>
      <w:r w:rsidR="00D9258C" w:rsidRPr="00FD6A6A">
        <w:t>also</w:t>
      </w:r>
      <w:r w:rsidR="00541D05">
        <w:t xml:space="preserve"> </w:t>
      </w:r>
      <w:r w:rsidR="00D9258C" w:rsidRPr="00FD6A6A">
        <w:t>indicates</w:t>
      </w:r>
      <w:r w:rsidR="00541D05">
        <w:t xml:space="preserve"> </w:t>
      </w:r>
      <w:r w:rsidR="00D9258C" w:rsidRPr="00FD6A6A">
        <w:t>that,</w:t>
      </w:r>
      <w:r w:rsidR="00541D05">
        <w:t xml:space="preserve"> </w:t>
      </w:r>
      <w:r w:rsidR="00D9258C" w:rsidRPr="00FD6A6A">
        <w:t>in</w:t>
      </w:r>
      <w:r w:rsidR="00541D05">
        <w:t xml:space="preserve"> </w:t>
      </w:r>
      <w:r w:rsidR="00D9258C" w:rsidRPr="00FD6A6A">
        <w:t>2016,</w:t>
      </w:r>
      <w:r w:rsidR="00541D05">
        <w:t xml:space="preserve"> </w:t>
      </w:r>
      <w:r w:rsidR="00D9258C" w:rsidRPr="00FD6A6A">
        <w:t>4,222</w:t>
      </w:r>
      <w:r w:rsidR="00541D05">
        <w:t xml:space="preserve"> </w:t>
      </w:r>
      <w:r w:rsidR="00D9258C" w:rsidRPr="00FD6A6A">
        <w:t>deaths</w:t>
      </w:r>
      <w:r w:rsidR="00541D05">
        <w:t xml:space="preserve"> </w:t>
      </w:r>
      <w:r w:rsidR="00D9258C" w:rsidRPr="00FD6A6A">
        <w:t>resulted</w:t>
      </w:r>
      <w:r w:rsidR="00541D05">
        <w:t xml:space="preserve"> </w:t>
      </w:r>
      <w:r w:rsidR="00D9258C" w:rsidRPr="00FD6A6A">
        <w:t>from</w:t>
      </w:r>
      <w:r w:rsidR="00541D05">
        <w:t xml:space="preserve"> </w:t>
      </w:r>
      <w:r w:rsidR="00D9258C" w:rsidRPr="00FD6A6A">
        <w:t>police</w:t>
      </w:r>
      <w:r w:rsidR="00541D05">
        <w:t xml:space="preserve"> </w:t>
      </w:r>
      <w:r w:rsidR="00D9258C" w:rsidRPr="00FD6A6A">
        <w:t>intervention.</w:t>
      </w:r>
      <w:r w:rsidR="00541D05">
        <w:t xml:space="preserve"> </w:t>
      </w:r>
      <w:r w:rsidR="00D9258C" w:rsidRPr="00FD6A6A">
        <w:t>Qualitative</w:t>
      </w:r>
      <w:r w:rsidR="00541D05">
        <w:t xml:space="preserve"> </w:t>
      </w:r>
      <w:r w:rsidR="00D9258C" w:rsidRPr="00FD6A6A">
        <w:t>researches</w:t>
      </w:r>
      <w:r w:rsidR="00541D05">
        <w:t xml:space="preserve"> </w:t>
      </w:r>
      <w:r w:rsidR="00D9258C" w:rsidRPr="00FD6A6A">
        <w:t>carried</w:t>
      </w:r>
      <w:r w:rsidR="00541D05">
        <w:t xml:space="preserve"> </w:t>
      </w:r>
      <w:r w:rsidR="00D9258C" w:rsidRPr="00FD6A6A">
        <w:t>out</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and</w:t>
      </w:r>
      <w:r w:rsidR="00541D05">
        <w:t xml:space="preserve"> </w:t>
      </w:r>
      <w:r w:rsidR="00D9258C" w:rsidRPr="00FD6A6A">
        <w:t>funded</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Justice</w:t>
      </w:r>
      <w:r w:rsidR="00541D05">
        <w:t xml:space="preserve"> </w:t>
      </w:r>
      <w:r w:rsidR="00D9258C" w:rsidRPr="00FD6A6A">
        <w:t>also</w:t>
      </w:r>
      <w:r w:rsidR="00541D05">
        <w:t xml:space="preserve"> </w:t>
      </w:r>
      <w:r w:rsidR="00D9258C" w:rsidRPr="00FD6A6A">
        <w:t>show</w:t>
      </w:r>
      <w:r w:rsidR="00541D05">
        <w:t xml:space="preserve"> </w:t>
      </w:r>
      <w:r w:rsidR="00D9258C" w:rsidRPr="00FD6A6A">
        <w:t>that</w:t>
      </w:r>
      <w:r w:rsidR="00541D05">
        <w:t xml:space="preserve"> </w:t>
      </w:r>
      <w:r w:rsidR="00D9258C" w:rsidRPr="00FD6A6A">
        <w:t>the</w:t>
      </w:r>
      <w:r w:rsidR="00541D05">
        <w:t xml:space="preserve"> </w:t>
      </w:r>
      <w:r w:rsidR="00D9258C" w:rsidRPr="00FD6A6A">
        <w:t>police</w:t>
      </w:r>
      <w:r w:rsidR="00541D05">
        <w:t xml:space="preserve"> </w:t>
      </w:r>
      <w:r w:rsidR="00D9258C" w:rsidRPr="00FD6A6A">
        <w:t>approach</w:t>
      </w:r>
      <w:r w:rsidR="00541D05">
        <w:t xml:space="preserve"> </w:t>
      </w:r>
      <w:r w:rsidR="00D9258C" w:rsidRPr="00FD6A6A">
        <w:t>is</w:t>
      </w:r>
      <w:r w:rsidR="00541D05">
        <w:t xml:space="preserve"> </w:t>
      </w:r>
      <w:r w:rsidR="00D9258C" w:rsidRPr="00FD6A6A">
        <w:t>made</w:t>
      </w:r>
      <w:r w:rsidR="00541D05">
        <w:t xml:space="preserve"> </w:t>
      </w:r>
      <w:r w:rsidR="00D9258C" w:rsidRPr="00FD6A6A">
        <w:t>in</w:t>
      </w:r>
      <w:r w:rsidR="00541D05">
        <w:t xml:space="preserve"> </w:t>
      </w:r>
      <w:r w:rsidR="00D9258C" w:rsidRPr="00FD6A6A">
        <w:t>a</w:t>
      </w:r>
      <w:r w:rsidR="00541D05">
        <w:t xml:space="preserve"> </w:t>
      </w:r>
      <w:r w:rsidR="00D9258C" w:rsidRPr="00FD6A6A">
        <w:t>selective,</w:t>
      </w:r>
      <w:r w:rsidR="00541D05">
        <w:t xml:space="preserve"> </w:t>
      </w:r>
      <w:r w:rsidR="00D9258C" w:rsidRPr="00FD6A6A">
        <w:t>discretionary,</w:t>
      </w:r>
      <w:r w:rsidR="00541D05">
        <w:t xml:space="preserve"> </w:t>
      </w:r>
      <w:r w:rsidR="00D9258C" w:rsidRPr="00FD6A6A">
        <w:t>and</w:t>
      </w:r>
      <w:r w:rsidR="00541D05">
        <w:t xml:space="preserve"> </w:t>
      </w:r>
      <w:r w:rsidR="00D9258C" w:rsidRPr="00FD6A6A">
        <w:t>subjective</w:t>
      </w:r>
      <w:r w:rsidR="00541D05">
        <w:t xml:space="preserve"> </w:t>
      </w:r>
      <w:r w:rsidR="00D9258C" w:rsidRPr="00FD6A6A">
        <w:t>manner,</w:t>
      </w:r>
      <w:r w:rsidR="00541D05">
        <w:t xml:space="preserve"> </w:t>
      </w:r>
      <w:r w:rsidR="00D9258C" w:rsidRPr="00FD6A6A">
        <w:t>barely</w:t>
      </w:r>
      <w:r w:rsidR="00541D05">
        <w:t xml:space="preserve"> </w:t>
      </w:r>
      <w:r w:rsidR="00D9258C" w:rsidRPr="00FD6A6A">
        <w:t>subject</w:t>
      </w:r>
      <w:r w:rsidR="00541D05">
        <w:t xml:space="preserve"> </w:t>
      </w:r>
      <w:r w:rsidR="00D9258C" w:rsidRPr="00FD6A6A">
        <w:t>to</w:t>
      </w:r>
      <w:r w:rsidR="00541D05">
        <w:t xml:space="preserve"> </w:t>
      </w:r>
      <w:r w:rsidR="00D9258C" w:rsidRPr="00FD6A6A">
        <w:t>public</w:t>
      </w:r>
      <w:r w:rsidR="00541D05">
        <w:t xml:space="preserve"> </w:t>
      </w:r>
      <w:r w:rsidR="00D9258C" w:rsidRPr="00FD6A6A">
        <w:t>control</w:t>
      </w:r>
      <w:r w:rsidR="00541D05">
        <w:t xml:space="preserve"> </w:t>
      </w:r>
      <w:r w:rsidR="00D9258C" w:rsidRPr="00FD6A6A">
        <w:t>or</w:t>
      </w:r>
      <w:r w:rsidR="00541D05">
        <w:t xml:space="preserve"> </w:t>
      </w:r>
      <w:r w:rsidR="00D9258C" w:rsidRPr="00FD6A6A">
        <w:t>regulation.</w:t>
      </w:r>
      <w:r w:rsidR="00541D05">
        <w:t xml:space="preserve"> </w:t>
      </w:r>
      <w:r w:rsidR="00D9258C" w:rsidRPr="00FD6A6A">
        <w:t>The</w:t>
      </w:r>
      <w:r w:rsidR="00541D05">
        <w:t xml:space="preserve"> </w:t>
      </w:r>
      <w:r w:rsidR="00D9258C" w:rsidRPr="00FD6A6A">
        <w:t>approach</w:t>
      </w:r>
      <w:r w:rsidR="00541D05">
        <w:t xml:space="preserve"> </w:t>
      </w:r>
      <w:r w:rsidR="00D9258C" w:rsidRPr="00FD6A6A">
        <w:t>and</w:t>
      </w:r>
      <w:r w:rsidR="00541D05">
        <w:t xml:space="preserve"> </w:t>
      </w:r>
      <w:r w:rsidR="00D9258C" w:rsidRPr="00FD6A6A">
        <w:t>selection</w:t>
      </w:r>
      <w:r w:rsidR="00541D05">
        <w:t xml:space="preserve"> </w:t>
      </w:r>
      <w:r w:rsidR="00D9258C" w:rsidRPr="00FD6A6A">
        <w:t>of</w:t>
      </w:r>
      <w:r w:rsidR="00541D05">
        <w:t xml:space="preserve"> </w:t>
      </w:r>
      <w:r w:rsidR="00D9258C" w:rsidRPr="00FD6A6A">
        <w:t>locations</w:t>
      </w:r>
      <w:r w:rsidR="00541D05">
        <w:t xml:space="preserve"> </w:t>
      </w:r>
      <w:r w:rsidR="00D9258C" w:rsidRPr="00FD6A6A">
        <w:t>to</w:t>
      </w:r>
      <w:r w:rsidR="00541D05">
        <w:t xml:space="preserve"> </w:t>
      </w:r>
      <w:r w:rsidR="00D9258C" w:rsidRPr="00FD6A6A">
        <w:t>be</w:t>
      </w:r>
      <w:r w:rsidR="00541D05">
        <w:t xml:space="preserve"> </w:t>
      </w:r>
      <w:r w:rsidR="00D9258C" w:rsidRPr="00FD6A6A">
        <w:t>investigated</w:t>
      </w:r>
      <w:r w:rsidR="00541D05">
        <w:t xml:space="preserve"> </w:t>
      </w:r>
      <w:r w:rsidR="00D9258C" w:rsidRPr="00FD6A6A">
        <w:t>are</w:t>
      </w:r>
      <w:r w:rsidR="00541D05">
        <w:t xml:space="preserve"> </w:t>
      </w:r>
      <w:r w:rsidR="00D9258C" w:rsidRPr="00FD6A6A">
        <w:t>not</w:t>
      </w:r>
      <w:r w:rsidR="00541D05">
        <w:t xml:space="preserve"> </w:t>
      </w:r>
      <w:r w:rsidR="00D9258C" w:rsidRPr="00FD6A6A">
        <w:t>preceded</w:t>
      </w:r>
      <w:r w:rsidR="00541D05">
        <w:t xml:space="preserve"> </w:t>
      </w:r>
      <w:r w:rsidR="00D9258C" w:rsidRPr="00FD6A6A">
        <w:t>by</w:t>
      </w:r>
      <w:r w:rsidR="00541D05">
        <w:t xml:space="preserve"> </w:t>
      </w:r>
      <w:r w:rsidR="00D9258C" w:rsidRPr="00FD6A6A">
        <w:t>a</w:t>
      </w:r>
      <w:r w:rsidR="00541D05">
        <w:t xml:space="preserve"> </w:t>
      </w:r>
      <w:r w:rsidR="00D9258C" w:rsidRPr="00FD6A6A">
        <w:t>prior</w:t>
      </w:r>
      <w:r w:rsidR="00541D05">
        <w:t xml:space="preserve"> </w:t>
      </w:r>
      <w:r w:rsidR="00D9258C" w:rsidRPr="00FD6A6A">
        <w:t>investigation,</w:t>
      </w:r>
      <w:r w:rsidR="00541D05">
        <w:t xml:space="preserve"> </w:t>
      </w:r>
      <w:r w:rsidR="00D9258C" w:rsidRPr="00FD6A6A">
        <w:t>but</w:t>
      </w:r>
      <w:r w:rsidR="00541D05">
        <w:t xml:space="preserve"> </w:t>
      </w:r>
      <w:r w:rsidR="00D9258C" w:rsidRPr="00FD6A6A">
        <w:t>by</w:t>
      </w:r>
      <w:r w:rsidR="00541D05">
        <w:t xml:space="preserve"> </w:t>
      </w:r>
      <w:r w:rsidR="00D9258C" w:rsidRPr="00FD6A6A">
        <w:t>the</w:t>
      </w:r>
      <w:r w:rsidR="00541D05">
        <w:t xml:space="preserve"> </w:t>
      </w:r>
      <w:r w:rsidR="00D9258C" w:rsidRPr="00FD6A6A">
        <w:t>stereotypes</w:t>
      </w:r>
      <w:r w:rsidR="00541D05">
        <w:t xml:space="preserve"> </w:t>
      </w:r>
      <w:r w:rsidR="00D9258C" w:rsidRPr="00FD6A6A">
        <w:t>created</w:t>
      </w:r>
      <w:r w:rsidR="00541D05">
        <w:t xml:space="preserve"> </w:t>
      </w:r>
      <w:r w:rsidR="00D9258C" w:rsidRPr="00FD6A6A">
        <w:t>by</w:t>
      </w:r>
      <w:r w:rsidR="00541D05">
        <w:t xml:space="preserve"> </w:t>
      </w:r>
      <w:r w:rsidR="00D9258C" w:rsidRPr="00FD6A6A">
        <w:t>the</w:t>
      </w:r>
      <w:r w:rsidR="00541D05">
        <w:t xml:space="preserve"> </w:t>
      </w:r>
      <w:r w:rsidR="00D9258C" w:rsidRPr="00FD6A6A">
        <w:t>police</w:t>
      </w:r>
      <w:r w:rsidR="00541D05">
        <w:t xml:space="preserve"> </w:t>
      </w:r>
      <w:r w:rsidR="00D9258C" w:rsidRPr="00FD6A6A">
        <w:t>officer</w:t>
      </w:r>
      <w:r w:rsidR="00541D05">
        <w:t xml:space="preserve"> </w:t>
      </w:r>
      <w:r w:rsidR="00D9258C" w:rsidRPr="00FD6A6A">
        <w:t>on</w:t>
      </w:r>
      <w:r w:rsidR="00541D05">
        <w:t xml:space="preserve"> </w:t>
      </w:r>
      <w:r w:rsidR="00D9258C" w:rsidRPr="00FD6A6A">
        <w:t>duty</w:t>
      </w:r>
      <w:r w:rsidR="00541D05">
        <w:t xml:space="preserve"> </w:t>
      </w:r>
      <w:r w:rsidR="00D9258C" w:rsidRPr="00FD6A6A">
        <w:t>and</w:t>
      </w:r>
      <w:r w:rsidR="00541D05">
        <w:t xml:space="preserve"> </w:t>
      </w:r>
      <w:r w:rsidR="00D9258C" w:rsidRPr="00FD6A6A">
        <w:t>by</w:t>
      </w:r>
      <w:r w:rsidR="00541D05">
        <w:t xml:space="preserve"> </w:t>
      </w:r>
      <w:r w:rsidR="00D9258C" w:rsidRPr="00FD6A6A">
        <w:t>the</w:t>
      </w:r>
      <w:r w:rsidR="00541D05">
        <w:t xml:space="preserve"> </w:t>
      </w:r>
      <w:r w:rsidR="00D9258C" w:rsidRPr="00FD6A6A">
        <w:t>network</w:t>
      </w:r>
      <w:r w:rsidR="00541D05">
        <w:t xml:space="preserve"> </w:t>
      </w:r>
      <w:r w:rsidR="00D9258C" w:rsidRPr="00FD6A6A">
        <w:t>of</w:t>
      </w:r>
      <w:r w:rsidR="00541D05">
        <w:t xml:space="preserve"> </w:t>
      </w:r>
      <w:r w:rsidR="00D9258C" w:rsidRPr="00FD6A6A">
        <w:t>groups</w:t>
      </w:r>
      <w:r w:rsidR="00541D05">
        <w:t xml:space="preserve"> </w:t>
      </w:r>
      <w:r w:rsidR="00D9258C" w:rsidRPr="00FD6A6A">
        <w:t>that</w:t>
      </w:r>
      <w:r w:rsidR="00541D05">
        <w:t xml:space="preserve"> </w:t>
      </w:r>
      <w:r w:rsidR="00D9258C" w:rsidRPr="00FD6A6A">
        <w:t>call</w:t>
      </w:r>
      <w:r w:rsidR="00541D05">
        <w:t xml:space="preserve"> </w:t>
      </w:r>
      <w:r w:rsidR="00D9258C" w:rsidRPr="00FD6A6A">
        <w:t>him/her</w:t>
      </w:r>
      <w:r w:rsidR="00541D05">
        <w:t xml:space="preserve"> </w:t>
      </w:r>
      <w:r w:rsidR="00D9258C" w:rsidRPr="00FD6A6A">
        <w:t>to</w:t>
      </w:r>
      <w:r w:rsidR="00541D05">
        <w:t xml:space="preserve"> </w:t>
      </w:r>
      <w:r w:rsidR="00D9258C" w:rsidRPr="00FD6A6A">
        <w:t>protect</w:t>
      </w:r>
      <w:r w:rsidR="00541D05">
        <w:t xml:space="preserve"> </w:t>
      </w:r>
      <w:r w:rsidR="00D9258C" w:rsidRPr="00FD6A6A">
        <w:t>specific</w:t>
      </w:r>
      <w:r w:rsidR="00541D05">
        <w:t xml:space="preserve"> </w:t>
      </w:r>
      <w:r w:rsidR="00D9258C" w:rsidRPr="00FD6A6A">
        <w:t>legal</w:t>
      </w:r>
      <w:r w:rsidR="00541D05">
        <w:t xml:space="preserve"> </w:t>
      </w:r>
      <w:r w:rsidR="00D9258C" w:rsidRPr="00FD6A6A">
        <w:t>assets.</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elements</w:t>
      </w:r>
      <w:r w:rsidR="00541D05">
        <w:t xml:space="preserve"> </w:t>
      </w:r>
      <w:r w:rsidR="00D9258C" w:rsidRPr="00FD6A6A">
        <w:t>that</w:t>
      </w:r>
      <w:r w:rsidR="00541D05">
        <w:t xml:space="preserve"> </w:t>
      </w:r>
      <w:r w:rsidR="00D9258C" w:rsidRPr="00FD6A6A">
        <w:t>characterize</w:t>
      </w:r>
      <w:r w:rsidR="00541D05">
        <w:t xml:space="preserve"> </w:t>
      </w:r>
      <w:r w:rsidR="00D9258C" w:rsidRPr="00FD6A6A">
        <w:t>police</w:t>
      </w:r>
      <w:r w:rsidR="00541D05">
        <w:t xml:space="preserve"> </w:t>
      </w:r>
      <w:r w:rsidR="00D9258C" w:rsidRPr="00FD6A6A">
        <w:t>suspicion</w:t>
      </w:r>
      <w:r w:rsidR="00541D05">
        <w:t xml:space="preserve"> </w:t>
      </w:r>
      <w:r w:rsidR="00D9258C" w:rsidRPr="00FD6A6A">
        <w:t>is</w:t>
      </w:r>
      <w:r w:rsidR="00541D05">
        <w:t xml:space="preserve"> </w:t>
      </w:r>
      <w:r w:rsidR="00D9258C" w:rsidRPr="00FD6A6A">
        <w:t>the</w:t>
      </w:r>
      <w:r w:rsidR="00541D05">
        <w:t xml:space="preserve"> </w:t>
      </w:r>
      <w:r w:rsidR="00D9258C" w:rsidRPr="00FD6A6A">
        <w:t>relationship</w:t>
      </w:r>
      <w:r w:rsidR="00541D05">
        <w:t xml:space="preserve"> </w:t>
      </w:r>
      <w:r w:rsidR="00D9258C" w:rsidRPr="00FD6A6A">
        <w:t>between</w:t>
      </w:r>
      <w:r w:rsidR="00541D05">
        <w:t xml:space="preserve"> </w:t>
      </w:r>
      <w:r w:rsidR="00D9258C" w:rsidRPr="00FD6A6A">
        <w:t>a</w:t>
      </w:r>
      <w:r w:rsidR="00541D05">
        <w:t xml:space="preserve"> </w:t>
      </w:r>
      <w:r w:rsidR="00D9258C" w:rsidRPr="00FD6A6A">
        <w:t>certain</w:t>
      </w:r>
      <w:r w:rsidR="00541D05">
        <w:t xml:space="preserve"> </w:t>
      </w:r>
      <w:r w:rsidR="00D9258C" w:rsidRPr="00FD6A6A">
        <w:t>individual</w:t>
      </w:r>
      <w:r w:rsidR="00541D05">
        <w:t xml:space="preserve"> </w:t>
      </w:r>
      <w:r w:rsidR="00D9258C" w:rsidRPr="00FD6A6A">
        <w:t>and</w:t>
      </w:r>
      <w:r w:rsidR="00541D05">
        <w:t xml:space="preserve"> </w:t>
      </w:r>
      <w:r w:rsidR="00D9258C" w:rsidRPr="00FD6A6A">
        <w:t>their</w:t>
      </w:r>
      <w:r w:rsidR="00541D05">
        <w:t xml:space="preserve"> </w:t>
      </w:r>
      <w:r w:rsidR="00D9258C" w:rsidRPr="00FD6A6A">
        <w:t>clothing,</w:t>
      </w:r>
      <w:r w:rsidR="00541D05">
        <w:t xml:space="preserve"> </w:t>
      </w:r>
      <w:r w:rsidR="00D9258C" w:rsidRPr="00FD6A6A">
        <w:t>goods</w:t>
      </w:r>
      <w:r w:rsidR="00541D05">
        <w:t xml:space="preserve"> </w:t>
      </w:r>
      <w:r w:rsidR="00D9258C" w:rsidRPr="00FD6A6A">
        <w:t>carried,</w:t>
      </w:r>
      <w:r w:rsidR="00541D05">
        <w:t xml:space="preserve"> </w:t>
      </w:r>
      <w:r w:rsidR="00D9258C" w:rsidRPr="00FD6A6A">
        <w:t>or</w:t>
      </w:r>
      <w:r w:rsidR="00541D05">
        <w:t xml:space="preserve"> </w:t>
      </w:r>
      <w:r w:rsidR="00D9258C" w:rsidRPr="00FD6A6A">
        <w:t>place</w:t>
      </w:r>
      <w:r w:rsidR="00541D05">
        <w:t xml:space="preserve"> </w:t>
      </w:r>
      <w:r w:rsidR="00D9258C" w:rsidRPr="00FD6A6A">
        <w:t>where</w:t>
      </w:r>
      <w:r w:rsidR="00541D05">
        <w:t xml:space="preserve"> </w:t>
      </w:r>
      <w:r w:rsidR="00D9258C" w:rsidRPr="00FD6A6A">
        <w:t>they</w:t>
      </w:r>
      <w:r w:rsidR="00541D05">
        <w:t xml:space="preserve"> </w:t>
      </w:r>
      <w:r w:rsidR="00D9258C" w:rsidRPr="00FD6A6A">
        <w:t>are,</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their</w:t>
      </w:r>
      <w:r w:rsidR="00541D05">
        <w:t xml:space="preserve"> </w:t>
      </w:r>
      <w:r w:rsidR="00D9258C" w:rsidRPr="00FD6A6A">
        <w:t>behaviors,</w:t>
      </w:r>
      <w:r w:rsidR="00541D05">
        <w:t xml:space="preserve"> </w:t>
      </w:r>
      <w:r w:rsidR="00D9258C" w:rsidRPr="00FD6A6A">
        <w:t>usually</w:t>
      </w:r>
      <w:r w:rsidR="00541D05">
        <w:t xml:space="preserve"> </w:t>
      </w:r>
      <w:r w:rsidR="00D9258C" w:rsidRPr="00FD6A6A">
        <w:t>associated</w:t>
      </w:r>
      <w:r w:rsidR="00541D05">
        <w:t xml:space="preserve"> </w:t>
      </w:r>
      <w:r w:rsidR="00D9258C" w:rsidRPr="00FD6A6A">
        <w:t>with</w:t>
      </w:r>
      <w:r w:rsidR="00541D05">
        <w:t xml:space="preserve"> </w:t>
      </w:r>
      <w:r w:rsidR="00D9258C" w:rsidRPr="00FD6A6A">
        <w:t>peripheral</w:t>
      </w:r>
      <w:r w:rsidR="00541D05">
        <w:t xml:space="preserve"> </w:t>
      </w:r>
      <w:r w:rsidR="00D9258C" w:rsidRPr="00FD6A6A">
        <w:t>urban</w:t>
      </w:r>
      <w:r w:rsidR="00541D05">
        <w:t xml:space="preserve"> </w:t>
      </w:r>
      <w:r w:rsidR="00D9258C" w:rsidRPr="00FD6A6A">
        <w:t>Afro-Brazilian</w:t>
      </w:r>
      <w:r w:rsidR="00541D05">
        <w:t xml:space="preserve"> </w:t>
      </w:r>
      <w:r w:rsidR="00D9258C" w:rsidRPr="00FD6A6A">
        <w:t>cultures.</w:t>
      </w:r>
    </w:p>
    <w:p w14:paraId="3564C266" w14:textId="01ABC4C1" w:rsidR="00D9258C" w:rsidRPr="00FD6A6A" w:rsidRDefault="00166390" w:rsidP="00166390">
      <w:pPr>
        <w:pStyle w:val="ParaNoG"/>
        <w:numPr>
          <w:ilvl w:val="0"/>
          <w:numId w:val="0"/>
        </w:numPr>
        <w:tabs>
          <w:tab w:val="left" w:pos="0"/>
        </w:tabs>
        <w:ind w:left="1134"/>
      </w:pPr>
      <w:r w:rsidRPr="00FD6A6A">
        <w:t>106.</w:t>
      </w:r>
      <w:r w:rsidRPr="00FD6A6A">
        <w:tab/>
      </w:r>
      <w:r w:rsidR="00D9258C" w:rsidRPr="00FD6A6A">
        <w:t>Although</w:t>
      </w:r>
      <w:r w:rsidR="00541D05">
        <w:t xml:space="preserve"> </w:t>
      </w:r>
      <w:r w:rsidR="00D9258C" w:rsidRPr="00FD6A6A">
        <w:t>violent</w:t>
      </w:r>
      <w:r w:rsidR="00541D05">
        <w:t xml:space="preserve"> </w:t>
      </w:r>
      <w:r w:rsidR="00D9258C" w:rsidRPr="00FD6A6A">
        <w:t>deaths</w:t>
      </w:r>
      <w:r w:rsidR="00541D05">
        <w:t xml:space="preserve"> </w:t>
      </w:r>
      <w:r w:rsidR="00D9258C" w:rsidRPr="00FD6A6A">
        <w:t>are</w:t>
      </w:r>
      <w:r w:rsidR="00541D05">
        <w:t xml:space="preserve"> </w:t>
      </w:r>
      <w:r w:rsidR="00D9258C" w:rsidRPr="00FD6A6A">
        <w:t>concentrated</w:t>
      </w:r>
      <w:r w:rsidR="00541D05">
        <w:t xml:space="preserve"> </w:t>
      </w:r>
      <w:r w:rsidR="00D9258C" w:rsidRPr="00FD6A6A">
        <w:t>in</w:t>
      </w:r>
      <w:r w:rsidR="00541D05">
        <w:t xml:space="preserve"> </w:t>
      </w:r>
      <w:r w:rsidR="00D9258C" w:rsidRPr="00FD6A6A">
        <w:t>the</w:t>
      </w:r>
      <w:r w:rsidR="00541D05">
        <w:t xml:space="preserve"> </w:t>
      </w:r>
      <w:r w:rsidR="00D9258C" w:rsidRPr="00FD6A6A">
        <w:t>male</w:t>
      </w:r>
      <w:r w:rsidR="00541D05">
        <w:t xml:space="preserve"> </w:t>
      </w:r>
      <w:r w:rsidR="00D9258C" w:rsidRPr="00FD6A6A">
        <w:t>population,</w:t>
      </w:r>
      <w:r w:rsidR="00541D05">
        <w:t xml:space="preserve"> </w:t>
      </w:r>
      <w:r w:rsidR="00D9258C" w:rsidRPr="00FD6A6A">
        <w:t>the</w:t>
      </w:r>
      <w:r w:rsidR="00541D05">
        <w:t xml:space="preserve"> </w:t>
      </w:r>
      <w:r w:rsidR="00D9258C" w:rsidRPr="00FD6A6A">
        <w:t>mortality</w:t>
      </w:r>
      <w:r w:rsidR="00541D05">
        <w:t xml:space="preserve"> </w:t>
      </w:r>
      <w:r w:rsidR="00D9258C" w:rsidRPr="00FD6A6A">
        <w:t>rate</w:t>
      </w:r>
      <w:r w:rsidR="00541D05">
        <w:t xml:space="preserve"> </w:t>
      </w:r>
      <w:r w:rsidR="00D9258C" w:rsidRPr="00FD6A6A">
        <w:t>of</w:t>
      </w:r>
      <w:r w:rsidR="00541D05">
        <w:t xml:space="preserve"> </w:t>
      </w:r>
      <w:r w:rsidR="00D9258C" w:rsidRPr="00FD6A6A">
        <w:t>Afro-Brazilian</w:t>
      </w:r>
      <w:r w:rsidR="00541D05">
        <w:t xml:space="preserve"> </w:t>
      </w:r>
      <w:r w:rsidR="00D9258C" w:rsidRPr="00FD6A6A">
        <w:t>women</w:t>
      </w:r>
      <w:r w:rsidR="00541D05">
        <w:t xml:space="preserve"> </w:t>
      </w:r>
      <w:r w:rsidR="00D9258C" w:rsidRPr="00FD6A6A">
        <w:t>increased</w:t>
      </w:r>
      <w:r w:rsidR="00541D05">
        <w:t xml:space="preserve"> </w:t>
      </w:r>
      <w:r w:rsidR="00D9258C" w:rsidRPr="00FD6A6A">
        <w:t>by</w:t>
      </w:r>
      <w:r w:rsidR="00541D05">
        <w:t xml:space="preserve"> </w:t>
      </w:r>
      <w:r w:rsidR="00D9258C" w:rsidRPr="00FD6A6A">
        <w:t>22%,</w:t>
      </w:r>
      <w:r w:rsidR="00541D05">
        <w:t xml:space="preserve"> </w:t>
      </w:r>
      <w:r w:rsidR="00D9258C" w:rsidRPr="00FD6A6A">
        <w:t>while</w:t>
      </w:r>
      <w:r w:rsidR="00541D05">
        <w:t xml:space="preserve"> </w:t>
      </w:r>
      <w:r w:rsidR="00D9258C" w:rsidRPr="00FD6A6A">
        <w:t>the</w:t>
      </w:r>
      <w:r w:rsidR="00541D05">
        <w:t xml:space="preserve"> </w:t>
      </w:r>
      <w:r w:rsidR="00D9258C" w:rsidRPr="00FD6A6A">
        <w:t>mortality</w:t>
      </w:r>
      <w:r w:rsidR="00541D05">
        <w:t xml:space="preserve"> </w:t>
      </w:r>
      <w:r w:rsidR="00D9258C" w:rsidRPr="00FD6A6A">
        <w:t>rate</w:t>
      </w:r>
      <w:r w:rsidR="00541D05">
        <w:t xml:space="preserve"> </w:t>
      </w:r>
      <w:r w:rsidR="00D9258C" w:rsidRPr="00FD6A6A">
        <w:t>of</w:t>
      </w:r>
      <w:r w:rsidR="00541D05">
        <w:t xml:space="preserve"> </w:t>
      </w:r>
      <w:r w:rsidR="00D9258C" w:rsidRPr="00FD6A6A">
        <w:t>white</w:t>
      </w:r>
      <w:r w:rsidR="00541D05">
        <w:t xml:space="preserve"> </w:t>
      </w:r>
      <w:r w:rsidR="00D9258C" w:rsidRPr="00FD6A6A">
        <w:t>women</w:t>
      </w:r>
      <w:r w:rsidR="00541D05">
        <w:t xml:space="preserve"> </w:t>
      </w:r>
      <w:r w:rsidR="00D9258C" w:rsidRPr="00FD6A6A">
        <w:t>decreased</w:t>
      </w:r>
      <w:r w:rsidR="00541D05">
        <w:t xml:space="preserve"> </w:t>
      </w:r>
      <w:r w:rsidR="00D9258C" w:rsidRPr="00FD6A6A">
        <w:t>by</w:t>
      </w:r>
      <w:r w:rsidR="00541D05">
        <w:t xml:space="preserve"> </w:t>
      </w:r>
      <w:r w:rsidR="00D9258C" w:rsidRPr="00FD6A6A">
        <w:t>7.4%.</w:t>
      </w:r>
    </w:p>
    <w:p w14:paraId="7582A62F" w14:textId="5820E987" w:rsidR="00D9258C" w:rsidRPr="00FD6A6A" w:rsidRDefault="00166390" w:rsidP="00166390">
      <w:pPr>
        <w:pStyle w:val="ParaNoG"/>
        <w:numPr>
          <w:ilvl w:val="0"/>
          <w:numId w:val="0"/>
        </w:numPr>
        <w:tabs>
          <w:tab w:val="left" w:pos="0"/>
        </w:tabs>
        <w:ind w:left="1134"/>
      </w:pPr>
      <w:r w:rsidRPr="00FD6A6A">
        <w:t>107.</w:t>
      </w:r>
      <w:r w:rsidRPr="00FD6A6A">
        <w:tab/>
      </w:r>
      <w:r w:rsidR="00D9258C" w:rsidRPr="00FD6A6A">
        <w:t>From</w:t>
      </w:r>
      <w:r w:rsidR="00541D05">
        <w:t xml:space="preserve"> </w:t>
      </w:r>
      <w:r w:rsidR="00D9258C" w:rsidRPr="00FD6A6A">
        <w:t>1980</w:t>
      </w:r>
      <w:r w:rsidR="00541D05">
        <w:t xml:space="preserve"> </w:t>
      </w:r>
      <w:r w:rsidR="00D9258C" w:rsidRPr="00FD6A6A">
        <w:t>to</w:t>
      </w:r>
      <w:r w:rsidR="00541D05">
        <w:t xml:space="preserve"> </w:t>
      </w:r>
      <w:r w:rsidR="00D9258C" w:rsidRPr="00FD6A6A">
        <w:t>2016,</w:t>
      </w:r>
      <w:r w:rsidR="00541D05">
        <w:t xml:space="preserve"> </w:t>
      </w:r>
      <w:r w:rsidR="00D9258C" w:rsidRPr="00FD6A6A">
        <w:t>approximately</w:t>
      </w:r>
      <w:r w:rsidR="00541D05">
        <w:t xml:space="preserve"> </w:t>
      </w:r>
      <w:r w:rsidR="00D9258C" w:rsidRPr="00FD6A6A">
        <w:t>910</w:t>
      </w:r>
      <w:r w:rsidR="00541D05">
        <w:t xml:space="preserve"> </w:t>
      </w:r>
      <w:r w:rsidR="00D9258C" w:rsidRPr="00FD6A6A">
        <w:t>thousand</w:t>
      </w:r>
      <w:r w:rsidR="00541D05">
        <w:t xml:space="preserve"> </w:t>
      </w:r>
      <w:r w:rsidR="00D9258C" w:rsidRPr="00FD6A6A">
        <w:t>people</w:t>
      </w:r>
      <w:r w:rsidR="00541D05">
        <w:t xml:space="preserve"> </w:t>
      </w:r>
      <w:r w:rsidR="00D9258C" w:rsidRPr="00FD6A6A">
        <w:t>were</w:t>
      </w:r>
      <w:r w:rsidR="00541D05">
        <w:t xml:space="preserve"> </w:t>
      </w:r>
      <w:r w:rsidR="00D9258C" w:rsidRPr="00FD6A6A">
        <w:t>killed</w:t>
      </w:r>
      <w:r w:rsidR="00541D05">
        <w:t xml:space="preserve"> </w:t>
      </w:r>
      <w:r w:rsidR="00D9258C" w:rsidRPr="00FD6A6A">
        <w:t>by</w:t>
      </w:r>
      <w:r w:rsidR="00541D05">
        <w:t xml:space="preserve"> </w:t>
      </w:r>
      <w:r w:rsidR="00D9258C" w:rsidRPr="00FD6A6A">
        <w:t>firearms</w:t>
      </w:r>
      <w:r w:rsidR="00541D05">
        <w:t xml:space="preserve"> </w:t>
      </w:r>
      <w:r w:rsidR="00D9258C" w:rsidRPr="00FD6A6A">
        <w:t>in</w:t>
      </w:r>
      <w:r w:rsidR="00541D05">
        <w:t xml:space="preserve"> </w:t>
      </w:r>
      <w:r w:rsidR="00D9258C" w:rsidRPr="00FD6A6A">
        <w:t>Brazil,</w:t>
      </w:r>
      <w:r w:rsidR="00541D05">
        <w:t xml:space="preserve"> </w:t>
      </w:r>
      <w:r w:rsidR="00D9258C" w:rsidRPr="00FD6A6A">
        <w:t>and</w:t>
      </w:r>
      <w:r w:rsidR="00541D05">
        <w:t xml:space="preserve"> </w:t>
      </w:r>
      <w:r w:rsidR="00D9258C" w:rsidRPr="00FD6A6A">
        <w:t>this</w:t>
      </w:r>
      <w:r w:rsidR="00541D05">
        <w:t xml:space="preserve"> </w:t>
      </w:r>
      <w:r w:rsidR="00D9258C" w:rsidRPr="00FD6A6A">
        <w:t>factor,</w:t>
      </w:r>
      <w:r w:rsidR="00541D05">
        <w:t xml:space="preserve"> </w:t>
      </w:r>
      <w:r w:rsidR="00D9258C" w:rsidRPr="00FD6A6A">
        <w:t>despite</w:t>
      </w:r>
      <w:r w:rsidR="00541D05">
        <w:t xml:space="preserve"> </w:t>
      </w:r>
      <w:r w:rsidR="00D9258C" w:rsidRPr="00FD6A6A">
        <w:t>not</w:t>
      </w:r>
      <w:r w:rsidR="00541D05">
        <w:t xml:space="preserve"> </w:t>
      </w:r>
      <w:r w:rsidR="00D9258C" w:rsidRPr="00FD6A6A">
        <w:t>explaining</w:t>
      </w:r>
      <w:r w:rsidR="00541D05">
        <w:t xml:space="preserve"> </w:t>
      </w:r>
      <w:r w:rsidR="00D9258C" w:rsidRPr="00FD6A6A">
        <w:t>violence</w:t>
      </w:r>
      <w:r w:rsidR="00541D05">
        <w:t xml:space="preserve"> </w:t>
      </w:r>
      <w:r w:rsidR="00D9258C" w:rsidRPr="00FD6A6A">
        <w:t>by</w:t>
      </w:r>
      <w:r w:rsidR="00541D05">
        <w:t xml:space="preserve"> </w:t>
      </w:r>
      <w:r w:rsidR="00D9258C" w:rsidRPr="00FD6A6A">
        <w:t>itself,</w:t>
      </w:r>
      <w:r w:rsidR="00541D05">
        <w:t xml:space="preserve"> </w:t>
      </w:r>
      <w:r w:rsidR="00D9258C" w:rsidRPr="00FD6A6A">
        <w:t>contributes</w:t>
      </w:r>
      <w:r w:rsidR="00541D05">
        <w:t xml:space="preserve"> </w:t>
      </w:r>
      <w:r w:rsidR="00D9258C" w:rsidRPr="00FD6A6A">
        <w:t>to</w:t>
      </w:r>
      <w:r w:rsidR="00541D05">
        <w:t xml:space="preserve"> </w:t>
      </w:r>
      <w:r w:rsidR="00D9258C" w:rsidRPr="00FD6A6A">
        <w:t>increasing</w:t>
      </w:r>
      <w:r w:rsidR="00541D05">
        <w:t xml:space="preserve"> </w:t>
      </w:r>
      <w:r w:rsidR="00D9258C" w:rsidRPr="00FD6A6A">
        <w:t>the</w:t>
      </w:r>
      <w:r w:rsidR="00541D05">
        <w:t xml:space="preserve"> </w:t>
      </w:r>
      <w:r w:rsidR="00D9258C" w:rsidRPr="00FD6A6A">
        <w:t>lethality</w:t>
      </w:r>
      <w:r w:rsidR="00541D05">
        <w:t xml:space="preserve"> </w:t>
      </w:r>
      <w:r w:rsidR="00D9258C" w:rsidRPr="00FD6A6A">
        <w:t>associated</w:t>
      </w:r>
      <w:r w:rsidR="00541D05">
        <w:t xml:space="preserve"> </w:t>
      </w:r>
      <w:r w:rsidR="00D9258C" w:rsidRPr="00FD6A6A">
        <w:t>with</w:t>
      </w:r>
      <w:r w:rsidR="00541D05">
        <w:t xml:space="preserve"> </w:t>
      </w:r>
      <w:r w:rsidR="00D9258C" w:rsidRPr="00FD6A6A">
        <w:t>different</w:t>
      </w:r>
      <w:r w:rsidR="00541D05">
        <w:t xml:space="preserve"> </w:t>
      </w:r>
      <w:r w:rsidR="00D9258C" w:rsidRPr="00FD6A6A">
        <w:t>social</w:t>
      </w:r>
      <w:r w:rsidR="00541D05">
        <w:t xml:space="preserve"> </w:t>
      </w:r>
      <w:r w:rsidR="00D9258C" w:rsidRPr="00FD6A6A">
        <w:t>conflicts.</w:t>
      </w:r>
      <w:r w:rsidR="00541D05">
        <w:t xml:space="preserve"> </w:t>
      </w:r>
      <w:r w:rsidR="00D9258C" w:rsidRPr="00FD6A6A">
        <w:t>The</w:t>
      </w:r>
      <w:r w:rsidR="00541D05">
        <w:t xml:space="preserve"> </w:t>
      </w:r>
      <w:r w:rsidR="00D9258C" w:rsidRPr="00FD6A6A">
        <w:t>dissemination</w:t>
      </w:r>
      <w:r w:rsidR="00541D05">
        <w:t xml:space="preserve"> </w:t>
      </w:r>
      <w:r w:rsidR="00D9258C" w:rsidRPr="00FD6A6A">
        <w:t>of</w:t>
      </w:r>
      <w:r w:rsidR="00541D05">
        <w:t xml:space="preserve"> </w:t>
      </w:r>
      <w:r w:rsidR="00D9258C" w:rsidRPr="00FD6A6A">
        <w:t>firearms</w:t>
      </w:r>
      <w:r w:rsidR="00541D05">
        <w:t xml:space="preserve"> </w:t>
      </w:r>
      <w:r w:rsidR="00D9258C" w:rsidRPr="00FD6A6A">
        <w:t>had</w:t>
      </w:r>
      <w:r w:rsidR="00541D05">
        <w:t xml:space="preserve"> </w:t>
      </w:r>
      <w:r w:rsidR="00D9258C" w:rsidRPr="00FD6A6A">
        <w:t>a</w:t>
      </w:r>
      <w:r w:rsidR="00541D05">
        <w:t xml:space="preserve"> </w:t>
      </w:r>
      <w:r w:rsidR="00D9258C" w:rsidRPr="00FD6A6A">
        <w:t>relative</w:t>
      </w:r>
      <w:r w:rsidR="00541D05">
        <w:t xml:space="preserve"> </w:t>
      </w:r>
      <w:r w:rsidR="00D9258C" w:rsidRPr="00FD6A6A">
        <w:t>participation</w:t>
      </w:r>
      <w:r w:rsidR="00541D05">
        <w:t xml:space="preserve"> </w:t>
      </w:r>
      <w:r w:rsidR="00D9258C" w:rsidRPr="00FD6A6A">
        <w:t>reaching</w:t>
      </w:r>
      <w:r w:rsidR="00541D05">
        <w:t xml:space="preserve"> </w:t>
      </w:r>
      <w:r w:rsidR="00D9258C" w:rsidRPr="00FD6A6A">
        <w:t>71.1%</w:t>
      </w:r>
      <w:r w:rsidR="00541D05">
        <w:t xml:space="preserve"> </w:t>
      </w:r>
      <w:r w:rsidR="00D9258C" w:rsidRPr="00FD6A6A">
        <w:t>of</w:t>
      </w:r>
      <w:r w:rsidR="00541D05">
        <w:t xml:space="preserve"> </w:t>
      </w:r>
      <w:r w:rsidR="00D9258C" w:rsidRPr="00FD6A6A">
        <w:t>the</w:t>
      </w:r>
      <w:r w:rsidR="00541D05">
        <w:t xml:space="preserve"> </w:t>
      </w:r>
      <w:r w:rsidR="00D9258C" w:rsidRPr="00FD6A6A">
        <w:t>total</w:t>
      </w:r>
      <w:r w:rsidR="00541D05">
        <w:t xml:space="preserve"> </w:t>
      </w:r>
      <w:r w:rsidR="00D9258C" w:rsidRPr="00FD6A6A">
        <w:t>homicides</w:t>
      </w:r>
      <w:r w:rsidR="00541D05">
        <w:t xml:space="preserve"> </w:t>
      </w:r>
      <w:r w:rsidR="00D9258C" w:rsidRPr="00FD6A6A">
        <w:t>committed</w:t>
      </w:r>
      <w:r w:rsidR="00541D05">
        <w:t xml:space="preserve"> </w:t>
      </w:r>
      <w:r w:rsidR="00D9258C" w:rsidRPr="00FD6A6A">
        <w:t>in</w:t>
      </w:r>
      <w:r w:rsidR="00541D05">
        <w:t xml:space="preserve"> </w:t>
      </w:r>
      <w:r w:rsidR="00D9258C" w:rsidRPr="00FD6A6A">
        <w:t>2003,</w:t>
      </w:r>
      <w:r w:rsidR="00541D05">
        <w:t xml:space="preserve"> </w:t>
      </w:r>
      <w:r w:rsidR="00D9258C" w:rsidRPr="00FD6A6A">
        <w:t>and</w:t>
      </w:r>
      <w:r w:rsidR="00541D05">
        <w:t xml:space="preserve"> </w:t>
      </w:r>
      <w:r w:rsidR="00D9258C" w:rsidRPr="00FD6A6A">
        <w:t>this</w:t>
      </w:r>
      <w:r w:rsidR="00541D05">
        <w:t xml:space="preserve"> </w:t>
      </w:r>
      <w:r w:rsidR="00D9258C" w:rsidRPr="00FD6A6A">
        <w:t>rate</w:t>
      </w:r>
      <w:r w:rsidR="00541D05">
        <w:t xml:space="preserve"> </w:t>
      </w:r>
      <w:r w:rsidR="00D9258C" w:rsidRPr="00FD6A6A">
        <w:t>was</w:t>
      </w:r>
      <w:r w:rsidR="00541D05">
        <w:t xml:space="preserve"> </w:t>
      </w:r>
      <w:r w:rsidR="00D9258C" w:rsidRPr="00FD6A6A">
        <w:t>maintained</w:t>
      </w:r>
      <w:r w:rsidR="00541D05">
        <w:t xml:space="preserve"> </w:t>
      </w:r>
      <w:r w:rsidR="00D9258C" w:rsidRPr="00FD6A6A">
        <w:t>until</w:t>
      </w:r>
      <w:r w:rsidR="00541D05">
        <w:t xml:space="preserve"> </w:t>
      </w:r>
      <w:r w:rsidR="00D9258C" w:rsidRPr="00FD6A6A">
        <w:t>2016.</w:t>
      </w:r>
    </w:p>
    <w:p w14:paraId="302E3ED4" w14:textId="030B008E" w:rsidR="00D9258C" w:rsidRPr="00FD6A6A" w:rsidRDefault="00166390" w:rsidP="00166390">
      <w:pPr>
        <w:pStyle w:val="ParaNoG"/>
        <w:numPr>
          <w:ilvl w:val="0"/>
          <w:numId w:val="0"/>
        </w:numPr>
        <w:tabs>
          <w:tab w:val="left" w:pos="0"/>
        </w:tabs>
        <w:ind w:left="1134"/>
      </w:pPr>
      <w:r w:rsidRPr="00FD6A6A">
        <w:t>108.</w:t>
      </w:r>
      <w:r w:rsidRPr="00FD6A6A">
        <w:tab/>
      </w:r>
      <w:r w:rsidR="00D9258C" w:rsidRPr="00FD6A6A">
        <w:t>The</w:t>
      </w:r>
      <w:r w:rsidR="00541D05">
        <w:t xml:space="preserve"> </w:t>
      </w:r>
      <w:r w:rsidR="00D9258C" w:rsidRPr="00FD6A6A">
        <w:t>Juventude</w:t>
      </w:r>
      <w:r w:rsidR="00541D05">
        <w:t xml:space="preserve"> </w:t>
      </w:r>
      <w:r w:rsidR="00D9258C" w:rsidRPr="00FD6A6A">
        <w:t>Viva</w:t>
      </w:r>
      <w:r w:rsidR="00541D05">
        <w:t xml:space="preserve"> </w:t>
      </w:r>
      <w:r w:rsidR="00D9258C" w:rsidRPr="00FD6A6A">
        <w:t>Plan</w:t>
      </w:r>
      <w:r w:rsidR="00541D05">
        <w:t xml:space="preserve"> </w:t>
      </w:r>
      <w:r w:rsidR="00D9258C" w:rsidRPr="00FD6A6A">
        <w:t>was</w:t>
      </w:r>
      <w:r w:rsidR="00541D05">
        <w:t xml:space="preserve"> </w:t>
      </w:r>
      <w:r w:rsidR="00D9258C" w:rsidRPr="00FD6A6A">
        <w:t>the</w:t>
      </w:r>
      <w:r w:rsidR="00541D05">
        <w:t xml:space="preserve"> </w:t>
      </w:r>
      <w:r w:rsidR="00D9258C" w:rsidRPr="00FD6A6A">
        <w:t>main</w:t>
      </w:r>
      <w:r w:rsidR="00541D05">
        <w:t xml:space="preserve"> </w:t>
      </w:r>
      <w:r w:rsidR="00D9258C" w:rsidRPr="00FD6A6A">
        <w:t>response</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to</w:t>
      </w:r>
      <w:r w:rsidR="00541D05">
        <w:t xml:space="preserve"> </w:t>
      </w:r>
      <w:r w:rsidR="00D9258C" w:rsidRPr="00FD6A6A">
        <w:t>reduce</w:t>
      </w:r>
      <w:r w:rsidR="00541D05">
        <w:t xml:space="preserve"> </w:t>
      </w:r>
      <w:r w:rsidR="00D9258C" w:rsidRPr="00FD6A6A">
        <w:t>the</w:t>
      </w:r>
      <w:r w:rsidR="00541D05">
        <w:t xml:space="preserve"> </w:t>
      </w:r>
      <w:r w:rsidR="00D9258C" w:rsidRPr="00FD6A6A">
        <w:t>high</w:t>
      </w:r>
      <w:r w:rsidR="00541D05">
        <w:t xml:space="preserve"> </w:t>
      </w:r>
      <w:r w:rsidR="00D9258C" w:rsidRPr="00FD6A6A">
        <w:t>mortality</w:t>
      </w:r>
      <w:r w:rsidR="00541D05">
        <w:t xml:space="preserve"> </w:t>
      </w:r>
      <w:r w:rsidR="00D9258C" w:rsidRPr="00FD6A6A">
        <w:t>rate</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youth.</w:t>
      </w:r>
      <w:r w:rsidR="00541D05">
        <w:t xml:space="preserve"> </w:t>
      </w:r>
      <w:r w:rsidR="00D9258C" w:rsidRPr="00FD6A6A">
        <w:t>After</w:t>
      </w:r>
      <w:r w:rsidR="00541D05">
        <w:t xml:space="preserve"> </w:t>
      </w:r>
      <w:r w:rsidR="00D9258C" w:rsidRPr="00FD6A6A">
        <w:t>an</w:t>
      </w:r>
      <w:r w:rsidR="00541D05">
        <w:t xml:space="preserve"> </w:t>
      </w:r>
      <w:r w:rsidR="00D9258C" w:rsidRPr="00FD6A6A">
        <w:t>inactive</w:t>
      </w:r>
      <w:r w:rsidR="00541D05">
        <w:t xml:space="preserve"> </w:t>
      </w:r>
      <w:r w:rsidR="00D9258C" w:rsidRPr="00FD6A6A">
        <w:t>period,</w:t>
      </w:r>
      <w:r w:rsidR="00541D05">
        <w:t xml:space="preserve"> </w:t>
      </w:r>
      <w:r w:rsidR="00D9258C" w:rsidRPr="00FD6A6A">
        <w:t>it</w:t>
      </w:r>
      <w:r w:rsidR="00541D05">
        <w:t xml:space="preserve"> </w:t>
      </w:r>
      <w:r w:rsidR="00D9258C" w:rsidRPr="00FD6A6A">
        <w:t>was</w:t>
      </w:r>
      <w:r w:rsidR="00541D05">
        <w:t xml:space="preserve"> </w:t>
      </w:r>
      <w:r w:rsidR="00D9258C" w:rsidRPr="00FD6A6A">
        <w:t>resumed</w:t>
      </w:r>
      <w:r w:rsidR="00541D05">
        <w:t xml:space="preserve"> </w:t>
      </w:r>
      <w:r w:rsidR="00D9258C" w:rsidRPr="00FD6A6A">
        <w:t>in</w:t>
      </w:r>
      <w:r w:rsidR="00541D05">
        <w:t xml:space="preserve"> </w:t>
      </w:r>
      <w:r w:rsidR="00D9258C" w:rsidRPr="00FD6A6A">
        <w:t>August</w:t>
      </w:r>
      <w:r w:rsidR="00541D05">
        <w:t xml:space="preserve"> </w:t>
      </w:r>
      <w:r w:rsidR="00D9258C" w:rsidRPr="00FD6A6A">
        <w:t>2017.</w:t>
      </w:r>
      <w:r w:rsidR="00541D05">
        <w:t xml:space="preserve"> </w:t>
      </w:r>
      <w:r w:rsidR="00D9258C" w:rsidRPr="00FD6A6A">
        <w:t>The</w:t>
      </w:r>
      <w:r w:rsidR="00541D05">
        <w:t xml:space="preserve"> </w:t>
      </w:r>
      <w:r w:rsidR="00D9258C" w:rsidRPr="00FD6A6A">
        <w:t>objective</w:t>
      </w:r>
      <w:r w:rsidR="00541D05">
        <w:t xml:space="preserve"> </w:t>
      </w:r>
      <w:r w:rsidR="00D9258C" w:rsidRPr="00FD6A6A">
        <w:t>of</w:t>
      </w:r>
      <w:r w:rsidR="00541D05">
        <w:t xml:space="preserve"> </w:t>
      </w:r>
      <w:r w:rsidR="00D9258C" w:rsidRPr="00FD6A6A">
        <w:t>the</w:t>
      </w:r>
      <w:r w:rsidR="00541D05">
        <w:t xml:space="preserve"> </w:t>
      </w:r>
      <w:r w:rsidR="00D9258C" w:rsidRPr="00FD6A6A">
        <w:t>Plan</w:t>
      </w:r>
      <w:r w:rsidR="00541D05">
        <w:t xml:space="preserve"> </w:t>
      </w:r>
      <w:r w:rsidR="00D9258C" w:rsidRPr="00FD6A6A">
        <w:t>is</w:t>
      </w:r>
      <w:r w:rsidR="00541D05">
        <w:t xml:space="preserve"> </w:t>
      </w:r>
      <w:r w:rsidR="00D9258C" w:rsidRPr="00FD6A6A">
        <w:t>to</w:t>
      </w:r>
      <w:r w:rsidR="00541D05">
        <w:t xml:space="preserve"> </w:t>
      </w:r>
      <w:r w:rsidR="00D9258C" w:rsidRPr="00FD6A6A">
        <w:t>reduce</w:t>
      </w:r>
      <w:r w:rsidR="00541D05">
        <w:t xml:space="preserve"> </w:t>
      </w:r>
      <w:r w:rsidR="00D9258C" w:rsidRPr="00FD6A6A">
        <w:t>the</w:t>
      </w:r>
      <w:r w:rsidR="00541D05">
        <w:t xml:space="preserve"> </w:t>
      </w:r>
      <w:r w:rsidR="00D9258C" w:rsidRPr="00FD6A6A">
        <w:t>vulnerability</w:t>
      </w:r>
      <w:r w:rsidR="00541D05">
        <w:t xml:space="preserve"> </w:t>
      </w:r>
      <w:r w:rsidR="00D9258C" w:rsidRPr="00FD6A6A">
        <w:t>of</w:t>
      </w:r>
      <w:r w:rsidR="00541D05">
        <w:t xml:space="preserve"> </w:t>
      </w:r>
      <w:r w:rsidR="00D9258C" w:rsidRPr="00FD6A6A">
        <w:t>young</w:t>
      </w:r>
      <w:r w:rsidR="00541D05">
        <w:t xml:space="preserve"> </w:t>
      </w:r>
      <w:r w:rsidR="00D9258C" w:rsidRPr="00FD6A6A">
        <w:t>people</w:t>
      </w:r>
      <w:r w:rsidR="00541D05">
        <w:t xml:space="preserve"> </w:t>
      </w:r>
      <w:r w:rsidR="00D9258C" w:rsidRPr="00FD6A6A">
        <w:t>exposed</w:t>
      </w:r>
      <w:r w:rsidR="00541D05">
        <w:t xml:space="preserve"> </w:t>
      </w:r>
      <w:r w:rsidR="00D9258C" w:rsidRPr="00FD6A6A">
        <w:t>to</w:t>
      </w:r>
      <w:r w:rsidR="00541D05">
        <w:t xml:space="preserve"> </w:t>
      </w:r>
      <w:r w:rsidR="00D9258C" w:rsidRPr="00FD6A6A">
        <w:t>or</w:t>
      </w:r>
      <w:r w:rsidR="00541D05">
        <w:t xml:space="preserve"> </w:t>
      </w:r>
      <w:r w:rsidR="00D9258C" w:rsidRPr="00FD6A6A">
        <w:t>in</w:t>
      </w:r>
      <w:r w:rsidR="00541D05">
        <w:t xml:space="preserve"> </w:t>
      </w:r>
      <w:r w:rsidR="00D9258C" w:rsidRPr="00FD6A6A">
        <w:t>a</w:t>
      </w:r>
      <w:r w:rsidR="00541D05">
        <w:t xml:space="preserve"> </w:t>
      </w:r>
      <w:r w:rsidR="00D9258C" w:rsidRPr="00FD6A6A">
        <w:t>situation</w:t>
      </w:r>
      <w:r w:rsidR="00541D05">
        <w:t xml:space="preserve"> </w:t>
      </w:r>
      <w:r w:rsidR="00D9258C" w:rsidRPr="00FD6A6A">
        <w:t>of</w:t>
      </w:r>
      <w:r w:rsidR="00541D05">
        <w:t xml:space="preserve"> </w:t>
      </w:r>
      <w:r w:rsidR="00D9258C" w:rsidRPr="00FD6A6A">
        <w:t>violence,</w:t>
      </w:r>
      <w:r w:rsidR="00541D05">
        <w:t xml:space="preserve"> </w:t>
      </w:r>
      <w:r w:rsidR="00D9258C" w:rsidRPr="00FD6A6A">
        <w:t>emphasizing</w:t>
      </w:r>
      <w:r w:rsidR="00541D05">
        <w:t xml:space="preserve"> </w:t>
      </w:r>
      <w:r w:rsidR="00D9258C" w:rsidRPr="00FD6A6A">
        <w:t>15-</w:t>
      </w:r>
      <w:r w:rsidR="00541D05">
        <w:t xml:space="preserve"> </w:t>
      </w:r>
      <w:r w:rsidR="00D9258C" w:rsidRPr="00FD6A6A">
        <w:t>to</w:t>
      </w:r>
      <w:r w:rsidR="00541D05">
        <w:t xml:space="preserve"> </w:t>
      </w:r>
      <w:r w:rsidR="00D9258C" w:rsidRPr="00FD6A6A">
        <w:t>29-year-old</w:t>
      </w:r>
      <w:r w:rsidR="00541D05">
        <w:t xml:space="preserve"> </w:t>
      </w:r>
      <w:r w:rsidR="00D9258C" w:rsidRPr="00FD6A6A">
        <w:t>youngsters,</w:t>
      </w:r>
      <w:r w:rsidR="00541D05">
        <w:t xml:space="preserve"> </w:t>
      </w:r>
      <w:r w:rsidR="00D9258C" w:rsidRPr="00FD6A6A">
        <w:t>based</w:t>
      </w:r>
      <w:r w:rsidR="00541D05">
        <w:t xml:space="preserve"> </w:t>
      </w:r>
      <w:r w:rsidR="00D9258C" w:rsidRPr="00FD6A6A">
        <w:t>on</w:t>
      </w:r>
      <w:r w:rsidR="00541D05">
        <w:t xml:space="preserve"> </w:t>
      </w:r>
      <w:r w:rsidR="00D9258C" w:rsidRPr="00FD6A6A">
        <w:t>a</w:t>
      </w:r>
      <w:r w:rsidR="00541D05">
        <w:t xml:space="preserve"> </w:t>
      </w:r>
      <w:r w:rsidR="00D9258C" w:rsidRPr="00FD6A6A">
        <w:t>reading</w:t>
      </w:r>
      <w:r w:rsidR="00541D05">
        <w:t xml:space="preserve"> </w:t>
      </w:r>
      <w:r w:rsidR="00D9258C" w:rsidRPr="00FD6A6A">
        <w:t>that</w:t>
      </w:r>
      <w:r w:rsidR="00541D05">
        <w:t xml:space="preserve"> </w:t>
      </w:r>
      <w:r w:rsidR="00D9258C" w:rsidRPr="00FD6A6A">
        <w:t>gives</w:t>
      </w:r>
      <w:r w:rsidR="00541D05">
        <w:t xml:space="preserve"> </w:t>
      </w:r>
      <w:r w:rsidR="00D9258C" w:rsidRPr="00FD6A6A">
        <w:t>priority</w:t>
      </w:r>
      <w:r w:rsidR="00541D05">
        <w:t xml:space="preserve"> </w:t>
      </w:r>
      <w:r w:rsidR="00D9258C" w:rsidRPr="00FD6A6A">
        <w:t>to</w:t>
      </w:r>
      <w:r w:rsidR="00541D05">
        <w:t xml:space="preserve"> </w:t>
      </w:r>
      <w:r w:rsidR="00D9258C" w:rsidRPr="00FD6A6A">
        <w:t>human</w:t>
      </w:r>
      <w:r w:rsidR="00541D05">
        <w:t xml:space="preserve"> </w:t>
      </w:r>
      <w:r w:rsidR="00D9258C" w:rsidRPr="00FD6A6A">
        <w:t>rights</w:t>
      </w:r>
      <w:r w:rsidR="00541D05">
        <w:t xml:space="preserve"> </w:t>
      </w:r>
      <w:r w:rsidR="00D9258C" w:rsidRPr="00FD6A6A">
        <w:t>and</w:t>
      </w:r>
      <w:r w:rsidR="00541D05">
        <w:t xml:space="preserve"> </w:t>
      </w:r>
      <w:r w:rsidR="00D9258C" w:rsidRPr="00FD6A6A">
        <w:t>promotion</w:t>
      </w:r>
      <w:r w:rsidR="00541D05">
        <w:t xml:space="preserve"> </w:t>
      </w:r>
      <w:r w:rsidR="00D9258C" w:rsidRPr="00FD6A6A">
        <w:t>of</w:t>
      </w:r>
      <w:r w:rsidR="00541D05">
        <w:t xml:space="preserve"> </w:t>
      </w:r>
      <w:r w:rsidR="00D9258C" w:rsidRPr="00FD6A6A">
        <w:t>citizenship</w:t>
      </w:r>
      <w:r w:rsidR="00541D05">
        <w:t xml:space="preserve"> </w:t>
      </w:r>
      <w:r w:rsidR="00D9258C" w:rsidRPr="00FD6A6A">
        <w:t>to</w:t>
      </w:r>
      <w:r w:rsidR="00541D05">
        <w:t xml:space="preserve"> </w:t>
      </w:r>
      <w:r w:rsidR="00D9258C" w:rsidRPr="00FD6A6A">
        <w:t>solve</w:t>
      </w:r>
      <w:r w:rsidR="00541D05">
        <w:t xml:space="preserve"> </w:t>
      </w:r>
      <w:r w:rsidR="00D9258C" w:rsidRPr="00FD6A6A">
        <w:t>the</w:t>
      </w:r>
      <w:r w:rsidR="00541D05">
        <w:t xml:space="preserve"> </w:t>
      </w:r>
      <w:r w:rsidR="00D9258C" w:rsidRPr="00FD6A6A">
        <w:t>problem.</w:t>
      </w:r>
      <w:r w:rsidR="00541D05">
        <w:t xml:space="preserve"> </w:t>
      </w:r>
    </w:p>
    <w:p w14:paraId="792D1843" w14:textId="7FBCA4CB" w:rsidR="00D9258C" w:rsidRPr="00FD6A6A" w:rsidRDefault="00166390" w:rsidP="00166390">
      <w:pPr>
        <w:pStyle w:val="ParaNoG"/>
        <w:numPr>
          <w:ilvl w:val="0"/>
          <w:numId w:val="0"/>
        </w:numPr>
        <w:tabs>
          <w:tab w:val="left" w:pos="0"/>
        </w:tabs>
        <w:ind w:left="1134"/>
      </w:pPr>
      <w:r w:rsidRPr="00FD6A6A">
        <w:t>109.</w:t>
      </w:r>
      <w:r w:rsidRPr="00FD6A6A">
        <w:tab/>
      </w:r>
      <w:r w:rsidR="00D9258C" w:rsidRPr="00FD6A6A">
        <w:t>Persistently</w:t>
      </w:r>
      <w:r w:rsidR="00541D05">
        <w:t xml:space="preserve"> </w:t>
      </w:r>
      <w:r w:rsidR="00D9258C" w:rsidRPr="00FD6A6A">
        <w:t>high</w:t>
      </w:r>
      <w:r w:rsidR="00541D05">
        <w:t xml:space="preserve"> </w:t>
      </w:r>
      <w:r w:rsidR="00D9258C" w:rsidRPr="00FD6A6A">
        <w:t>mortality</w:t>
      </w:r>
      <w:r w:rsidR="00541D05">
        <w:t xml:space="preserve"> </w:t>
      </w:r>
      <w:r w:rsidR="00D9258C" w:rsidRPr="00FD6A6A">
        <w:t>rates</w:t>
      </w:r>
      <w:r w:rsidR="00541D05">
        <w:t xml:space="preserve"> </w:t>
      </w:r>
      <w:r w:rsidR="00D9258C" w:rsidRPr="00FD6A6A">
        <w:t>indicate,</w:t>
      </w:r>
      <w:r w:rsidR="00541D05">
        <w:t xml:space="preserve"> </w:t>
      </w:r>
      <w:r w:rsidR="00D9258C" w:rsidRPr="00FD6A6A">
        <w:t>however,</w:t>
      </w:r>
      <w:r w:rsidR="00541D05">
        <w:t xml:space="preserve"> </w:t>
      </w:r>
      <w:r w:rsidR="00D9258C" w:rsidRPr="00FD6A6A">
        <w:t>the</w:t>
      </w:r>
      <w:r w:rsidR="00541D05">
        <w:t xml:space="preserve"> </w:t>
      </w:r>
      <w:r w:rsidR="00D9258C" w:rsidRPr="00FD6A6A">
        <w:t>need</w:t>
      </w:r>
      <w:r w:rsidR="00541D05">
        <w:t xml:space="preserve"> </w:t>
      </w:r>
      <w:r w:rsidR="00D9258C" w:rsidRPr="00FD6A6A">
        <w:t>for</w:t>
      </w:r>
      <w:r w:rsidR="00541D05">
        <w:t xml:space="preserve"> </w:t>
      </w:r>
      <w:r w:rsidR="00D9258C" w:rsidRPr="00FD6A6A">
        <w:t>other</w:t>
      </w:r>
      <w:r w:rsidR="00541D05">
        <w:t xml:space="preserve"> </w:t>
      </w:r>
      <w:r w:rsidR="00D9258C" w:rsidRPr="00FD6A6A">
        <w:t>actions</w:t>
      </w:r>
      <w:r w:rsidR="00541D05">
        <w:t xml:space="preserve"> </w:t>
      </w:r>
      <w:r w:rsidR="00D9258C" w:rsidRPr="00FD6A6A">
        <w:t>on</w:t>
      </w:r>
      <w:r w:rsidR="00541D05">
        <w:t xml:space="preserve"> </w:t>
      </w:r>
      <w:r w:rsidR="00D9258C" w:rsidRPr="00FD6A6A">
        <w:t>an</w:t>
      </w:r>
      <w:r w:rsidR="00541D05">
        <w:t xml:space="preserve"> </w:t>
      </w:r>
      <w:r w:rsidR="00D9258C" w:rsidRPr="00FD6A6A">
        <w:t>even</w:t>
      </w:r>
      <w:r w:rsidR="00541D05">
        <w:t xml:space="preserve"> </w:t>
      </w:r>
      <w:r w:rsidR="00D9258C" w:rsidRPr="00FD6A6A">
        <w:t>larger</w:t>
      </w:r>
      <w:r w:rsidR="00541D05">
        <w:t xml:space="preserve"> </w:t>
      </w:r>
      <w:r w:rsidR="00D9258C" w:rsidRPr="00FD6A6A">
        <w:t>scale.</w:t>
      </w:r>
      <w:r w:rsidR="00541D05">
        <w:t xml:space="preserve"> </w:t>
      </w:r>
      <w:r w:rsidR="00D9258C" w:rsidRPr="00FD6A6A">
        <w:t>They</w:t>
      </w:r>
      <w:r w:rsidR="00541D05">
        <w:t xml:space="preserve"> </w:t>
      </w:r>
      <w:r w:rsidR="00D9258C" w:rsidRPr="00FD6A6A">
        <w:t>also</w:t>
      </w:r>
      <w:r w:rsidR="00541D05">
        <w:t xml:space="preserve"> </w:t>
      </w:r>
      <w:r w:rsidR="00D9258C" w:rsidRPr="00FD6A6A">
        <w:t>indicate</w:t>
      </w:r>
      <w:r w:rsidR="00541D05">
        <w:t xml:space="preserve"> </w:t>
      </w:r>
      <w:r w:rsidR="00D9258C" w:rsidRPr="00FD6A6A">
        <w:t>the</w:t>
      </w:r>
      <w:r w:rsidR="00541D05">
        <w:t xml:space="preserve"> </w:t>
      </w:r>
      <w:r w:rsidR="00D9258C" w:rsidRPr="00FD6A6A">
        <w:t>need</w:t>
      </w:r>
      <w:r w:rsidR="00541D05">
        <w:t xml:space="preserve"> </w:t>
      </w:r>
      <w:r w:rsidR="00D9258C" w:rsidRPr="00FD6A6A">
        <w:t>for</w:t>
      </w:r>
      <w:r w:rsidR="00541D05">
        <w:t xml:space="preserve"> </w:t>
      </w:r>
      <w:r w:rsidR="00D9258C" w:rsidRPr="00FD6A6A">
        <w:t>institutionalizing</w:t>
      </w:r>
      <w:r w:rsidR="00541D05">
        <w:t xml:space="preserve"> </w:t>
      </w:r>
      <w:r w:rsidR="00D9258C" w:rsidRPr="00FD6A6A">
        <w:t>a</w:t>
      </w:r>
      <w:r w:rsidR="00541D05">
        <w:t xml:space="preserve"> </w:t>
      </w:r>
      <w:r w:rsidR="00D9258C" w:rsidRPr="00FD6A6A">
        <w:t>human</w:t>
      </w:r>
      <w:r w:rsidR="00541D05">
        <w:t xml:space="preserve"> </w:t>
      </w:r>
      <w:r w:rsidR="00D9258C" w:rsidRPr="00FD6A6A">
        <w:t>rights</w:t>
      </w:r>
      <w:r w:rsidR="00541D05">
        <w:t xml:space="preserve"> </w:t>
      </w:r>
      <w:r w:rsidR="00D9258C" w:rsidRPr="00FD6A6A">
        <w:t>perspective</w:t>
      </w:r>
      <w:r w:rsidR="00541D05">
        <w:t xml:space="preserve"> </w:t>
      </w:r>
      <w:r w:rsidR="00D9258C" w:rsidRPr="00FD6A6A">
        <w:t>in</w:t>
      </w:r>
      <w:r w:rsidR="00541D05">
        <w:t xml:space="preserve"> </w:t>
      </w:r>
      <w:r w:rsidR="00D9258C" w:rsidRPr="00FD6A6A">
        <w:t>the</w:t>
      </w:r>
      <w:r w:rsidR="00541D05">
        <w:t xml:space="preserve"> </w:t>
      </w:r>
      <w:r w:rsidR="00D9258C" w:rsidRPr="00FD6A6A">
        <w:t>public</w:t>
      </w:r>
      <w:r w:rsidR="00541D05">
        <w:t xml:space="preserve"> </w:t>
      </w:r>
      <w:r w:rsidR="00D9258C" w:rsidRPr="00FD6A6A">
        <w:t>security</w:t>
      </w:r>
      <w:r w:rsidR="00541D05">
        <w:t xml:space="preserve"> </w:t>
      </w:r>
      <w:r w:rsidR="00D9258C" w:rsidRPr="00FD6A6A">
        <w:t>agenda,</w:t>
      </w:r>
      <w:r w:rsidR="00541D05">
        <w:t xml:space="preserve"> </w:t>
      </w:r>
      <w:r w:rsidR="00D9258C" w:rsidRPr="00FD6A6A">
        <w:t>reconsidering</w:t>
      </w:r>
      <w:r w:rsidR="00541D05">
        <w:t xml:space="preserve"> </w:t>
      </w:r>
      <w:r w:rsidR="00D9258C" w:rsidRPr="00FD6A6A">
        <w:t>the</w:t>
      </w:r>
      <w:r w:rsidR="00541D05">
        <w:t xml:space="preserve"> </w:t>
      </w:r>
      <w:r w:rsidR="00D9258C" w:rsidRPr="00FD6A6A">
        <w:t>responses</w:t>
      </w:r>
      <w:r w:rsidR="00541D05">
        <w:t xml:space="preserve"> </w:t>
      </w:r>
      <w:r w:rsidR="00D9258C" w:rsidRPr="00FD6A6A">
        <w:t>by</w:t>
      </w:r>
      <w:r w:rsidR="00541D05">
        <w:t xml:space="preserve"> </w:t>
      </w:r>
      <w:r w:rsidR="00D9258C" w:rsidRPr="00FD6A6A">
        <w:t>the</w:t>
      </w:r>
      <w:r w:rsidR="00541D05">
        <w:t xml:space="preserve"> </w:t>
      </w:r>
      <w:r w:rsidR="00D9258C" w:rsidRPr="00FD6A6A">
        <w:t>Government</w:t>
      </w:r>
      <w:r w:rsidR="00541D05">
        <w:t xml:space="preserve"> </w:t>
      </w:r>
      <w:r w:rsidR="00D9258C" w:rsidRPr="00FD6A6A">
        <w:t>to</w:t>
      </w:r>
      <w:r w:rsidR="00541D05">
        <w:t xml:space="preserve"> </w:t>
      </w:r>
      <w:r w:rsidR="00D9258C" w:rsidRPr="00FD6A6A">
        <w:t>the</w:t>
      </w:r>
      <w:r w:rsidR="00541D05">
        <w:t xml:space="preserve"> </w:t>
      </w:r>
      <w:r w:rsidR="00D9258C" w:rsidRPr="00FD6A6A">
        <w:t>social</w:t>
      </w:r>
      <w:r w:rsidR="00541D05">
        <w:t xml:space="preserve"> </w:t>
      </w:r>
      <w:r w:rsidR="00D9258C" w:rsidRPr="00FD6A6A">
        <w:t>vulnerability</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youth.</w:t>
      </w:r>
    </w:p>
    <w:p w14:paraId="5208CCF5" w14:textId="19F9B57C" w:rsidR="00D9258C" w:rsidRPr="00FD6A6A" w:rsidRDefault="00D9258C" w:rsidP="00EE5A2A">
      <w:pPr>
        <w:pStyle w:val="H1G"/>
      </w:pPr>
      <w:r w:rsidRPr="00FD6A6A">
        <w:tab/>
      </w:r>
      <w:r w:rsidRPr="00FD6A6A">
        <w:tab/>
        <w:t>Groups</w:t>
      </w:r>
      <w:r w:rsidR="00541D05">
        <w:t xml:space="preserve"> </w:t>
      </w:r>
      <w:r w:rsidRPr="00FD6A6A">
        <w:t>particularly</w:t>
      </w:r>
      <w:r w:rsidR="00541D05">
        <w:t xml:space="preserve"> </w:t>
      </w:r>
      <w:r w:rsidRPr="00FD6A6A">
        <w:t>covered</w:t>
      </w:r>
      <w:r w:rsidR="00541D05">
        <w:t xml:space="preserve"> </w:t>
      </w:r>
      <w:r w:rsidRPr="00FD6A6A">
        <w:t>by</w:t>
      </w:r>
      <w:r w:rsidR="00541D05">
        <w:t xml:space="preserve"> </w:t>
      </w:r>
      <w:r w:rsidRPr="00FD6A6A">
        <w:t>the</w:t>
      </w:r>
      <w:r w:rsidR="00541D05">
        <w:t xml:space="preserve"> </w:t>
      </w:r>
      <w:r w:rsidRPr="00FD6A6A">
        <w:t>Convention</w:t>
      </w:r>
    </w:p>
    <w:p w14:paraId="36ABAE58" w14:textId="78B2823F" w:rsidR="00D9258C" w:rsidRPr="00FD6A6A" w:rsidRDefault="00D9258C" w:rsidP="00EE5A2A">
      <w:pPr>
        <w:pStyle w:val="H23G"/>
      </w:pPr>
      <w:r w:rsidRPr="00FD6A6A">
        <w:tab/>
      </w:r>
      <w:r w:rsidRPr="00FD6A6A">
        <w:tab/>
        <w:t>Traditional</w:t>
      </w:r>
      <w:r w:rsidR="00541D05">
        <w:t xml:space="preserve"> </w:t>
      </w:r>
      <w:r w:rsidRPr="00FD6A6A">
        <w:t>peoples</w:t>
      </w:r>
      <w:r w:rsidR="00541D05">
        <w:t xml:space="preserve"> </w:t>
      </w:r>
      <w:r w:rsidRPr="00FD6A6A">
        <w:t>and</w:t>
      </w:r>
      <w:r w:rsidR="00541D05">
        <w:t xml:space="preserve"> </w:t>
      </w:r>
      <w:r w:rsidRPr="00FD6A6A">
        <w:t>communities</w:t>
      </w:r>
    </w:p>
    <w:p w14:paraId="734C298D" w14:textId="00F2DAB3" w:rsidR="00D9258C" w:rsidRPr="00FD6A6A" w:rsidRDefault="00166390" w:rsidP="00166390">
      <w:pPr>
        <w:pStyle w:val="ParaNoG"/>
        <w:numPr>
          <w:ilvl w:val="0"/>
          <w:numId w:val="0"/>
        </w:numPr>
        <w:tabs>
          <w:tab w:val="left" w:pos="0"/>
        </w:tabs>
        <w:ind w:left="1134"/>
      </w:pPr>
      <w:r w:rsidRPr="00FD6A6A">
        <w:t>110.</w:t>
      </w:r>
      <w:r w:rsidRPr="00FD6A6A">
        <w:tab/>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different</w:t>
      </w:r>
      <w:r w:rsidR="00541D05">
        <w:t xml:space="preserve"> </w:t>
      </w:r>
      <w:r w:rsidR="00D9258C" w:rsidRPr="00FD6A6A">
        <w:t>social</w:t>
      </w:r>
      <w:r w:rsidR="00541D05">
        <w:t xml:space="preserve"> </w:t>
      </w:r>
      <w:r w:rsidR="00D9258C" w:rsidRPr="00FD6A6A">
        <w:t>groups</w:t>
      </w:r>
      <w:r w:rsidR="00541D05">
        <w:t xml:space="preserve"> </w:t>
      </w:r>
      <w:r w:rsidR="00D9258C" w:rsidRPr="00FD6A6A">
        <w:t>have</w:t>
      </w:r>
      <w:r w:rsidR="00541D05">
        <w:t xml:space="preserve"> </w:t>
      </w:r>
      <w:r w:rsidR="00D9258C" w:rsidRPr="00FD6A6A">
        <w:t>been</w:t>
      </w:r>
      <w:r w:rsidR="00541D05">
        <w:t xml:space="preserve"> </w:t>
      </w:r>
      <w:r w:rsidR="00D9258C" w:rsidRPr="00FD6A6A">
        <w:t>gaining</w:t>
      </w:r>
      <w:r w:rsidR="00541D05">
        <w:t xml:space="preserve"> </w:t>
      </w:r>
      <w:r w:rsidR="00D9258C" w:rsidRPr="00FD6A6A">
        <w:t>public</w:t>
      </w:r>
      <w:r w:rsidR="00541D05">
        <w:t xml:space="preserve"> </w:t>
      </w:r>
      <w:r w:rsidR="00D9258C" w:rsidRPr="00FD6A6A">
        <w:t>identity</w:t>
      </w:r>
      <w:r w:rsidR="00541D05">
        <w:t xml:space="preserve"> </w:t>
      </w:r>
      <w:r w:rsidR="00D9258C" w:rsidRPr="00FD6A6A">
        <w:t>after</w:t>
      </w:r>
      <w:r w:rsidR="00541D05">
        <w:t xml:space="preserve"> </w:t>
      </w:r>
      <w:r w:rsidR="00D9258C" w:rsidRPr="00FD6A6A">
        <w:t>the</w:t>
      </w:r>
      <w:r w:rsidR="00541D05">
        <w:t xml:space="preserve"> </w:t>
      </w:r>
      <w:r w:rsidR="00D9258C" w:rsidRPr="00FD6A6A">
        <w:t>mobilization</w:t>
      </w:r>
      <w:r w:rsidR="00541D05">
        <w:t xml:space="preserve"> </w:t>
      </w:r>
      <w:r w:rsidR="00D9258C" w:rsidRPr="00FD6A6A">
        <w:t>of</w:t>
      </w:r>
      <w:r w:rsidR="00541D05">
        <w:t xml:space="preserve"> </w:t>
      </w:r>
      <w:r w:rsidR="00D9258C" w:rsidRPr="00FD6A6A">
        <w:t>the</w:t>
      </w:r>
      <w:r w:rsidR="00541D05">
        <w:t xml:space="preserve"> </w:t>
      </w:r>
      <w:r w:rsidR="00D9258C" w:rsidRPr="00FD6A6A">
        <w:t>diversification</w:t>
      </w:r>
      <w:r w:rsidR="00541D05">
        <w:t xml:space="preserve"> </w:t>
      </w:r>
      <w:r w:rsidR="00D9258C" w:rsidRPr="00FD6A6A">
        <w:t>of</w:t>
      </w:r>
      <w:r w:rsidR="00541D05">
        <w:t xml:space="preserve"> </w:t>
      </w:r>
      <w:r w:rsidR="00D9258C" w:rsidRPr="00FD6A6A">
        <w:t>identity</w:t>
      </w:r>
      <w:r w:rsidR="00541D05">
        <w:t xml:space="preserve"> </w:t>
      </w:r>
      <w:r w:rsidR="00D9258C" w:rsidRPr="00FD6A6A">
        <w:t>parameters.</w:t>
      </w:r>
      <w:r w:rsidR="00541D05">
        <w:t xml:space="preserve"> </w:t>
      </w:r>
      <w:r w:rsidR="00D9258C" w:rsidRPr="00FD6A6A">
        <w:t>After</w:t>
      </w:r>
      <w:r w:rsidR="00541D05">
        <w:t xml:space="preserve"> </w:t>
      </w:r>
      <w:r w:rsidR="00D9258C" w:rsidRPr="00FD6A6A">
        <w:t>identification</w:t>
      </w:r>
      <w:r w:rsidR="00541D05">
        <w:t xml:space="preserve"> </w:t>
      </w:r>
      <w:r w:rsidR="00D9258C" w:rsidRPr="00FD6A6A">
        <w:t>of</w:t>
      </w:r>
      <w:r w:rsidR="00541D05">
        <w:t xml:space="preserve"> </w:t>
      </w:r>
      <w:r w:rsidR="00D9258C" w:rsidRPr="00FD6A6A">
        <w:t>the</w:t>
      </w:r>
      <w:r w:rsidR="00541D05">
        <w:t xml:space="preserve"> </w:t>
      </w:r>
      <w:r w:rsidR="00D9258C" w:rsidRPr="00FD6A6A">
        <w:t>economic</w:t>
      </w:r>
      <w:r w:rsidR="00541D05">
        <w:t xml:space="preserve"> </w:t>
      </w:r>
      <w:r w:rsidR="00D9258C" w:rsidRPr="00FD6A6A">
        <w:t>activity</w:t>
      </w:r>
      <w:r w:rsidR="00541D05">
        <w:t xml:space="preserve"> </w:t>
      </w:r>
      <w:r w:rsidR="00D9258C" w:rsidRPr="00FD6A6A">
        <w:t>developed,</w:t>
      </w:r>
      <w:r w:rsidR="00541D05">
        <w:t xml:space="preserve"> </w:t>
      </w:r>
      <w:r w:rsidR="00D9258C" w:rsidRPr="00FD6A6A">
        <w:t>ethnic</w:t>
      </w:r>
      <w:r w:rsidR="00541D05">
        <w:t xml:space="preserve"> </w:t>
      </w:r>
      <w:r w:rsidR="00D9258C" w:rsidRPr="00FD6A6A">
        <w:t>origin,</w:t>
      </w:r>
      <w:r w:rsidR="00541D05">
        <w:t xml:space="preserve"> </w:t>
      </w:r>
      <w:r w:rsidR="00D9258C" w:rsidRPr="00FD6A6A">
        <w:t>products</w:t>
      </w:r>
      <w:r w:rsidR="00541D05">
        <w:t xml:space="preserve"> </w:t>
      </w:r>
      <w:r w:rsidR="00D9258C" w:rsidRPr="00FD6A6A">
        <w:t>collected,</w:t>
      </w:r>
      <w:r w:rsidR="00541D05">
        <w:t xml:space="preserve"> </w:t>
      </w:r>
      <w:r w:rsidR="00D9258C" w:rsidRPr="00FD6A6A">
        <w:t>region</w:t>
      </w:r>
      <w:r w:rsidR="00541D05">
        <w:t xml:space="preserve"> </w:t>
      </w:r>
      <w:r w:rsidR="00D9258C" w:rsidRPr="00FD6A6A">
        <w:t>inhabited,</w:t>
      </w:r>
      <w:r w:rsidR="00541D05">
        <w:t xml:space="preserve"> </w:t>
      </w:r>
      <w:r w:rsidR="00D9258C" w:rsidRPr="00FD6A6A">
        <w:t>geographic</w:t>
      </w:r>
      <w:r w:rsidR="00541D05">
        <w:t xml:space="preserve"> </w:t>
      </w:r>
      <w:r w:rsidR="00D9258C" w:rsidRPr="00FD6A6A">
        <w:t>position,</w:t>
      </w:r>
      <w:r w:rsidR="00541D05">
        <w:t xml:space="preserve"> </w:t>
      </w:r>
      <w:r w:rsidR="00D9258C" w:rsidRPr="00FD6A6A">
        <w:t>religious</w:t>
      </w:r>
      <w:r w:rsidR="00541D05">
        <w:t xml:space="preserve"> </w:t>
      </w:r>
      <w:r w:rsidR="00D9258C" w:rsidRPr="00FD6A6A">
        <w:t>identity,</w:t>
      </w:r>
      <w:r w:rsidR="00541D05">
        <w:t xml:space="preserve"> </w:t>
      </w:r>
      <w:r w:rsidR="00D9258C" w:rsidRPr="00FD6A6A">
        <w:t>lifestyle</w:t>
      </w:r>
      <w:r w:rsidR="00541D05">
        <w:t xml:space="preserve"> </w:t>
      </w:r>
      <w:r w:rsidR="00D9258C" w:rsidRPr="00FD6A6A">
        <w:t>or</w:t>
      </w:r>
      <w:r w:rsidR="00541D05">
        <w:t xml:space="preserve"> </w:t>
      </w:r>
      <w:r w:rsidR="00D9258C" w:rsidRPr="00FD6A6A">
        <w:t>form</w:t>
      </w:r>
      <w:r w:rsidR="00541D05">
        <w:t xml:space="preserve"> </w:t>
      </w:r>
      <w:r w:rsidR="00D9258C" w:rsidRPr="00FD6A6A">
        <w:t>of</w:t>
      </w:r>
      <w:r w:rsidR="00541D05">
        <w:t xml:space="preserve"> </w:t>
      </w:r>
      <w:r w:rsidR="00D9258C" w:rsidRPr="00FD6A6A">
        <w:t>land</w:t>
      </w:r>
      <w:r w:rsidR="00541D05">
        <w:t xml:space="preserve"> </w:t>
      </w:r>
      <w:r w:rsidR="00D9258C" w:rsidRPr="00FD6A6A">
        <w:t>and</w:t>
      </w:r>
      <w:r w:rsidR="00541D05">
        <w:t xml:space="preserve"> </w:t>
      </w:r>
      <w:r w:rsidR="00D9258C" w:rsidRPr="00FD6A6A">
        <w:t>territory</w:t>
      </w:r>
      <w:r w:rsidR="00541D05">
        <w:t xml:space="preserve"> </w:t>
      </w:r>
      <w:r w:rsidR="00D9258C" w:rsidRPr="00FD6A6A">
        <w:t>appropriation,</w:t>
      </w:r>
      <w:r w:rsidR="00541D05">
        <w:t xml:space="preserve"> </w:t>
      </w:r>
      <w:r w:rsidR="00D9258C" w:rsidRPr="00FD6A6A">
        <w:t>there</w:t>
      </w:r>
      <w:r w:rsidR="00541D05">
        <w:t xml:space="preserve"> </w:t>
      </w:r>
      <w:r w:rsidR="00D9258C" w:rsidRPr="00FD6A6A">
        <w:t>are</w:t>
      </w:r>
      <w:r w:rsidR="00541D05">
        <w:t xml:space="preserve"> </w:t>
      </w:r>
      <w:r w:rsidR="00D9258C" w:rsidRPr="00FD6A6A">
        <w:t>currently</w:t>
      </w:r>
      <w:r w:rsidR="00541D05">
        <w:t xml:space="preserve"> </w:t>
      </w:r>
      <w:r w:rsidR="00D9258C" w:rsidRPr="00FD6A6A">
        <w:t>29</w:t>
      </w:r>
      <w:r w:rsidR="00541D05">
        <w:t xml:space="preserve"> </w:t>
      </w:r>
      <w:r w:rsidR="00D9258C" w:rsidRPr="00FD6A6A">
        <w:t>different</w:t>
      </w:r>
      <w:r w:rsidR="00541D05">
        <w:t xml:space="preserve"> </w:t>
      </w:r>
      <w:r w:rsidR="00D9258C" w:rsidRPr="00FD6A6A">
        <w:t>rural,</w:t>
      </w:r>
      <w:r w:rsidR="00541D05">
        <w:t xml:space="preserve"> </w:t>
      </w:r>
      <w:r w:rsidR="00D9258C" w:rsidRPr="00FD6A6A">
        <w:t>Indigenous,</w:t>
      </w:r>
      <w:r w:rsidR="00541D05">
        <w:t xml:space="preserve"> </w:t>
      </w:r>
      <w:r w:rsidR="00D9258C" w:rsidRPr="00FD6A6A">
        <w:t>and</w:t>
      </w:r>
      <w:r w:rsidR="00541D05">
        <w:t xml:space="preserve"> </w:t>
      </w:r>
      <w:r w:rsidR="00D9258C" w:rsidRPr="00FD6A6A">
        <w:t>riparian</w:t>
      </w:r>
      <w:r w:rsidR="00541D05">
        <w:t xml:space="preserve"> </w:t>
      </w:r>
      <w:r w:rsidR="00D9258C" w:rsidRPr="00FD6A6A">
        <w:t>social</w:t>
      </w:r>
      <w:r w:rsidR="00541D05">
        <w:t xml:space="preserve"> </w:t>
      </w:r>
      <w:r w:rsidR="00D9258C" w:rsidRPr="00FD6A6A">
        <w:t>groups</w:t>
      </w:r>
      <w:r w:rsidR="00541D05">
        <w:t xml:space="preserve"> </w:t>
      </w:r>
      <w:r w:rsidR="00D9258C" w:rsidRPr="00FD6A6A">
        <w:t>acknowledged</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p>
    <w:p w14:paraId="4BE30048" w14:textId="2E1BF0D5" w:rsidR="00D9258C" w:rsidRPr="00FD6A6A" w:rsidRDefault="00166390" w:rsidP="00166390">
      <w:pPr>
        <w:pStyle w:val="ParaNoG"/>
        <w:numPr>
          <w:ilvl w:val="0"/>
          <w:numId w:val="0"/>
        </w:numPr>
        <w:tabs>
          <w:tab w:val="left" w:pos="0"/>
        </w:tabs>
        <w:ind w:left="1134"/>
      </w:pPr>
      <w:r w:rsidRPr="00FD6A6A">
        <w:t>111.</w:t>
      </w:r>
      <w:r w:rsidRPr="00FD6A6A">
        <w:tab/>
      </w:r>
      <w:r w:rsidR="00D9258C" w:rsidRPr="00FD6A6A">
        <w:t>This</w:t>
      </w:r>
      <w:r w:rsidR="00541D05">
        <w:t xml:space="preserve"> </w:t>
      </w:r>
      <w:r w:rsidR="00D9258C" w:rsidRPr="00FD6A6A">
        <w:t>process</w:t>
      </w:r>
      <w:r w:rsidR="00541D05">
        <w:t xml:space="preserve"> </w:t>
      </w:r>
      <w:r w:rsidR="00D9258C" w:rsidRPr="00FD6A6A">
        <w:t>benefited</w:t>
      </w:r>
      <w:r w:rsidR="00541D05">
        <w:t xml:space="preserve"> </w:t>
      </w:r>
      <w:r w:rsidR="00D9258C" w:rsidRPr="00FD6A6A">
        <w:t>from</w:t>
      </w:r>
      <w:r w:rsidR="00541D05">
        <w:t xml:space="preserve"> </w:t>
      </w:r>
      <w:r w:rsidR="00D9258C" w:rsidRPr="00FD6A6A">
        <w:t>the</w:t>
      </w:r>
      <w:r w:rsidR="00541D05">
        <w:t xml:space="preserve"> </w:t>
      </w:r>
      <w:r w:rsidR="00D9258C" w:rsidRPr="00FD6A6A">
        <w:t>action</w:t>
      </w:r>
      <w:r w:rsidR="00541D05">
        <w:t xml:space="preserve"> </w:t>
      </w:r>
      <w:r w:rsidR="00D9258C" w:rsidRPr="00FD6A6A">
        <w:t>of</w:t>
      </w:r>
      <w:r w:rsidR="00541D05">
        <w:t xml:space="preserve"> </w:t>
      </w:r>
      <w:r w:rsidR="00D9258C" w:rsidRPr="00FD6A6A">
        <w:t>collective</w:t>
      </w:r>
      <w:r w:rsidR="00541D05">
        <w:t xml:space="preserve"> </w:t>
      </w:r>
      <w:r w:rsidR="00D9258C" w:rsidRPr="00FD6A6A">
        <w:t>organizations,</w:t>
      </w:r>
      <w:r w:rsidR="00541D05">
        <w:t xml:space="preserve"> </w:t>
      </w:r>
      <w:r w:rsidR="00D9258C" w:rsidRPr="00FD6A6A">
        <w:t>which,</w:t>
      </w:r>
      <w:r w:rsidR="00541D05">
        <w:t xml:space="preserve"> </w:t>
      </w:r>
      <w:r w:rsidR="00D9258C" w:rsidRPr="00FD6A6A">
        <w:t>by</w:t>
      </w:r>
      <w:r w:rsidR="00541D05">
        <w:t xml:space="preserve"> </w:t>
      </w:r>
      <w:r w:rsidR="00D9258C" w:rsidRPr="00FD6A6A">
        <w:t>making</w:t>
      </w:r>
      <w:r w:rsidR="00541D05">
        <w:t xml:space="preserve"> </w:t>
      </w:r>
      <w:r w:rsidR="00D9258C" w:rsidRPr="00FD6A6A">
        <w:t>visible</w:t>
      </w:r>
      <w:r w:rsidR="00541D05">
        <w:t xml:space="preserve"> </w:t>
      </w:r>
      <w:r w:rsidR="00D9258C" w:rsidRPr="00FD6A6A">
        <w:t>their</w:t>
      </w:r>
      <w:r w:rsidR="00541D05">
        <w:t xml:space="preserve"> </w:t>
      </w:r>
      <w:r w:rsidR="00D9258C" w:rsidRPr="00FD6A6A">
        <w:t>own</w:t>
      </w:r>
      <w:r w:rsidR="00541D05">
        <w:t xml:space="preserve"> </w:t>
      </w:r>
      <w:r w:rsidR="00D9258C" w:rsidRPr="00FD6A6A">
        <w:t>forms</w:t>
      </w:r>
      <w:r w:rsidR="00541D05">
        <w:t xml:space="preserve"> </w:t>
      </w:r>
      <w:r w:rsidR="00D9258C" w:rsidRPr="00FD6A6A">
        <w:t>of</w:t>
      </w:r>
      <w:r w:rsidR="00541D05">
        <w:t xml:space="preserve"> </w:t>
      </w:r>
      <w:r w:rsidR="00D9258C" w:rsidRPr="00FD6A6A">
        <w:t>living,</w:t>
      </w:r>
      <w:r w:rsidR="00541D05">
        <w:t xml:space="preserve"> </w:t>
      </w:r>
      <w:r w:rsidR="00D9258C" w:rsidRPr="00FD6A6A">
        <w:t>producing,</w:t>
      </w:r>
      <w:r w:rsidR="00541D05">
        <w:t xml:space="preserve"> </w:t>
      </w:r>
      <w:r w:rsidR="00D9258C" w:rsidRPr="00FD6A6A">
        <w:t>and</w:t>
      </w:r>
      <w:r w:rsidR="00541D05">
        <w:t xml:space="preserve"> </w:t>
      </w:r>
      <w:r w:rsidR="00D9258C" w:rsidRPr="00FD6A6A">
        <w:t>reproducing,</w:t>
      </w:r>
      <w:r w:rsidR="00541D05">
        <w:t xml:space="preserve"> </w:t>
      </w:r>
      <w:r w:rsidR="00D9258C" w:rsidRPr="00FD6A6A">
        <w:t>started</w:t>
      </w:r>
      <w:r w:rsidR="00541D05">
        <w:t xml:space="preserve"> </w:t>
      </w:r>
      <w:r w:rsidR="00D9258C" w:rsidRPr="00FD6A6A">
        <w:t>to</w:t>
      </w:r>
      <w:r w:rsidR="00541D05">
        <w:t xml:space="preserve"> </w:t>
      </w:r>
      <w:r w:rsidR="00D9258C" w:rsidRPr="00FD6A6A">
        <w:t>claim</w:t>
      </w:r>
      <w:r w:rsidR="00541D05">
        <w:t xml:space="preserve"> </w:t>
      </w:r>
      <w:r w:rsidR="00D9258C" w:rsidRPr="00FD6A6A">
        <w:t>political</w:t>
      </w:r>
      <w:r w:rsidR="00541D05">
        <w:t xml:space="preserve"> </w:t>
      </w:r>
      <w:r w:rsidR="00D9258C" w:rsidRPr="00FD6A6A">
        <w:t>recognition</w:t>
      </w:r>
      <w:r w:rsidR="00541D05">
        <w:t xml:space="preserve"> </w:t>
      </w:r>
      <w:r w:rsidR="00D9258C" w:rsidRPr="00FD6A6A">
        <w:t>and</w:t>
      </w:r>
      <w:r w:rsidR="00541D05">
        <w:t xml:space="preserve"> </w:t>
      </w:r>
      <w:r w:rsidR="00D9258C" w:rsidRPr="00FD6A6A">
        <w:t>territorial</w:t>
      </w:r>
      <w:r w:rsidR="00541D05">
        <w:t xml:space="preserve"> </w:t>
      </w:r>
      <w:r w:rsidR="00D9258C" w:rsidRPr="00FD6A6A">
        <w:t>rights.</w:t>
      </w:r>
      <w:r w:rsidR="00541D05">
        <w:t xml:space="preserve"> </w:t>
      </w:r>
      <w:r w:rsidR="00D9258C" w:rsidRPr="00FD6A6A">
        <w:t>Through</w:t>
      </w:r>
      <w:r w:rsidR="00541D05">
        <w:t xml:space="preserve"> </w:t>
      </w:r>
      <w:r w:rsidR="00D9258C" w:rsidRPr="00FD6A6A">
        <w:t>Decree</w:t>
      </w:r>
      <w:r w:rsidR="00541D05">
        <w:t xml:space="preserve"> </w:t>
      </w:r>
      <w:r w:rsidR="00D9258C" w:rsidRPr="00FD6A6A">
        <w:t>No.</w:t>
      </w:r>
      <w:r w:rsidR="00541D05">
        <w:t xml:space="preserve"> </w:t>
      </w:r>
      <w:r w:rsidR="00D9258C" w:rsidRPr="00FD6A6A">
        <w:t>6,040/2007,</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launched</w:t>
      </w:r>
      <w:r w:rsidR="00541D05">
        <w:t xml:space="preserve"> </w:t>
      </w:r>
      <w:r w:rsidR="00D9258C" w:rsidRPr="00FD6A6A">
        <w:t>the</w:t>
      </w:r>
      <w:r w:rsidR="00541D05">
        <w:t xml:space="preserve"> </w:t>
      </w:r>
      <w:r w:rsidR="00D9258C" w:rsidRPr="00FD6A6A">
        <w:t>basis</w:t>
      </w:r>
      <w:r w:rsidR="00541D05">
        <w:t xml:space="preserve"> </w:t>
      </w:r>
      <w:r w:rsidR="00D9258C" w:rsidRPr="00FD6A6A">
        <w:t>of</w:t>
      </w:r>
      <w:r w:rsidR="00541D05">
        <w:t xml:space="preserve"> </w:t>
      </w:r>
      <w:r w:rsidR="00D9258C" w:rsidRPr="00FD6A6A">
        <w:t>a</w:t>
      </w:r>
      <w:r w:rsidR="00541D05">
        <w:t xml:space="preserve"> </w:t>
      </w:r>
      <w:r w:rsidR="00D9258C" w:rsidRPr="00FD6A6A">
        <w:t>new</w:t>
      </w:r>
      <w:r w:rsidR="00541D05">
        <w:t xml:space="preserve"> </w:t>
      </w:r>
      <w:r w:rsidR="00D9258C" w:rsidRPr="00FD6A6A">
        <w:t>process</w:t>
      </w:r>
      <w:r w:rsidR="00541D05">
        <w:t xml:space="preserve"> </w:t>
      </w:r>
      <w:r w:rsidR="00D9258C" w:rsidRPr="00FD6A6A">
        <w:t>of</w:t>
      </w:r>
      <w:r w:rsidR="00541D05">
        <w:t xml:space="preserve"> </w:t>
      </w:r>
      <w:r w:rsidR="00D9258C" w:rsidRPr="00FD6A6A">
        <w:t>acknowledgement</w:t>
      </w:r>
      <w:r w:rsidR="00541D05">
        <w:t xml:space="preserve"> </w:t>
      </w:r>
      <w:r w:rsidR="00D9258C" w:rsidRPr="00FD6A6A">
        <w:t>by</w:t>
      </w:r>
      <w:r w:rsidR="00541D05">
        <w:t xml:space="preserve"> </w:t>
      </w:r>
      <w:r w:rsidR="00D9258C" w:rsidRPr="00FD6A6A">
        <w:t>amending</w:t>
      </w:r>
      <w:r w:rsidR="00541D05">
        <w:t xml:space="preserve"> </w:t>
      </w:r>
      <w:r w:rsidR="00D9258C" w:rsidRPr="00FD6A6A">
        <w:t>the</w:t>
      </w:r>
      <w:r w:rsidR="00541D05">
        <w:t xml:space="preserve"> </w:t>
      </w:r>
      <w:r w:rsidR="00D9258C" w:rsidRPr="00FD6A6A">
        <w:t>National</w:t>
      </w:r>
      <w:r w:rsidR="00541D05">
        <w:t xml:space="preserve"> </w:t>
      </w:r>
      <w:r w:rsidR="00D9258C" w:rsidRPr="00FD6A6A">
        <w:t>Policy</w:t>
      </w:r>
      <w:r w:rsidR="00541D05">
        <w:t xml:space="preserve"> </w:t>
      </w:r>
      <w:r w:rsidR="00D9258C" w:rsidRPr="00FD6A6A">
        <w:t>for</w:t>
      </w:r>
      <w:r w:rsidR="00541D05">
        <w:t xml:space="preserve"> </w:t>
      </w:r>
      <w:r w:rsidR="00D9258C" w:rsidRPr="00FD6A6A">
        <w:t>the</w:t>
      </w:r>
      <w:r w:rsidR="00541D05">
        <w:t xml:space="preserve"> </w:t>
      </w:r>
      <w:r w:rsidR="00D9258C" w:rsidRPr="00FD6A6A">
        <w:t>Sustainable</w:t>
      </w:r>
      <w:r w:rsidR="00541D05">
        <w:t xml:space="preserve"> </w:t>
      </w:r>
      <w:r w:rsidR="00D9258C" w:rsidRPr="00FD6A6A">
        <w:t>Development</w:t>
      </w:r>
      <w:r w:rsidR="00541D05">
        <w:t xml:space="preserve"> </w:t>
      </w:r>
      <w:r w:rsidR="00D9258C" w:rsidRPr="00FD6A6A">
        <w:t>of</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(PNPCT).</w:t>
      </w:r>
    </w:p>
    <w:p w14:paraId="5E8E9FF3" w14:textId="2C64B261" w:rsidR="00D9258C" w:rsidRPr="00FD6A6A" w:rsidRDefault="00166390" w:rsidP="00166390">
      <w:pPr>
        <w:pStyle w:val="ParaNoG"/>
        <w:numPr>
          <w:ilvl w:val="0"/>
          <w:numId w:val="0"/>
        </w:numPr>
        <w:tabs>
          <w:tab w:val="left" w:pos="0"/>
        </w:tabs>
        <w:ind w:left="1134"/>
      </w:pPr>
      <w:r w:rsidRPr="00FD6A6A">
        <w:t>112.</w:t>
      </w:r>
      <w:r w:rsidRPr="00FD6A6A">
        <w:tab/>
      </w:r>
      <w:r w:rsidR="00D9258C" w:rsidRPr="00FD6A6A">
        <w:t>According</w:t>
      </w:r>
      <w:r w:rsidR="00541D05">
        <w:t xml:space="preserve"> </w:t>
      </w:r>
      <w:r w:rsidR="00D9258C" w:rsidRPr="00FD6A6A">
        <w:t>to</w:t>
      </w:r>
      <w:r w:rsidR="00541D05">
        <w:t xml:space="preserve"> </w:t>
      </w:r>
      <w:r w:rsidR="00D9258C" w:rsidRPr="00FD6A6A">
        <w:t>the</w:t>
      </w:r>
      <w:r w:rsidR="00541D05">
        <w:t xml:space="preserve"> </w:t>
      </w:r>
      <w:r w:rsidR="00D9258C" w:rsidRPr="00FD6A6A">
        <w:t>Decree,</w:t>
      </w:r>
      <w:r w:rsidR="00541D05">
        <w:t xml:space="preserve"> </w:t>
      </w:r>
      <w:r w:rsidR="00EA62F1">
        <w:t>“</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EA62F1">
        <w:t>”</w:t>
      </w:r>
      <w:r w:rsidR="00541D05">
        <w:t xml:space="preserve"> </w:t>
      </w:r>
      <w:r w:rsidR="00D9258C" w:rsidRPr="00FD6A6A">
        <w:t>are</w:t>
      </w:r>
      <w:r w:rsidR="00541D05">
        <w:t xml:space="preserve"> </w:t>
      </w:r>
      <w:r w:rsidR="00D9258C" w:rsidRPr="00FD6A6A">
        <w:t>the</w:t>
      </w:r>
      <w:r w:rsidR="00541D05">
        <w:t xml:space="preserve"> </w:t>
      </w:r>
      <w:r w:rsidR="00D9258C" w:rsidRPr="00FD6A6A">
        <w:t>culturally</w:t>
      </w:r>
      <w:r w:rsidR="00541D05">
        <w:t xml:space="preserve"> </w:t>
      </w:r>
      <w:r w:rsidR="00D9258C" w:rsidRPr="00FD6A6A">
        <w:t>different</w:t>
      </w:r>
      <w:r w:rsidR="00541D05">
        <w:t xml:space="preserve"> </w:t>
      </w:r>
      <w:r w:rsidR="00D9258C" w:rsidRPr="00FD6A6A">
        <w:t>groups</w:t>
      </w:r>
      <w:r w:rsidR="00541D05">
        <w:t xml:space="preserve"> </w:t>
      </w:r>
      <w:r w:rsidR="00D9258C" w:rsidRPr="00FD6A6A">
        <w:t>that</w:t>
      </w:r>
      <w:r w:rsidR="00541D05">
        <w:t xml:space="preserve"> </w:t>
      </w:r>
      <w:r w:rsidR="00D9258C" w:rsidRPr="00FD6A6A">
        <w:t>recognize</w:t>
      </w:r>
      <w:r w:rsidR="00541D05">
        <w:t xml:space="preserve"> </w:t>
      </w:r>
      <w:r w:rsidR="00D9258C" w:rsidRPr="00FD6A6A">
        <w:t>themselves</w:t>
      </w:r>
      <w:r w:rsidR="00541D05">
        <w:t xml:space="preserve"> </w:t>
      </w:r>
      <w:r w:rsidR="00D9258C" w:rsidRPr="00FD6A6A">
        <w:t>as</w:t>
      </w:r>
      <w:r w:rsidR="00541D05">
        <w:t xml:space="preserve"> </w:t>
      </w:r>
      <w:r w:rsidR="00D9258C" w:rsidRPr="00FD6A6A">
        <w:t>such,</w:t>
      </w:r>
      <w:r w:rsidR="00541D05">
        <w:t xml:space="preserve"> </w:t>
      </w:r>
      <w:r w:rsidR="00D9258C" w:rsidRPr="00FD6A6A">
        <w:t>with</w:t>
      </w:r>
      <w:r w:rsidR="00541D05">
        <w:t xml:space="preserve"> </w:t>
      </w:r>
      <w:r w:rsidR="00D9258C" w:rsidRPr="00FD6A6A">
        <w:t>their</w:t>
      </w:r>
      <w:r w:rsidR="00541D05">
        <w:t xml:space="preserve"> </w:t>
      </w:r>
      <w:r w:rsidR="00D9258C" w:rsidRPr="00FD6A6A">
        <w:t>own</w:t>
      </w:r>
      <w:r w:rsidR="00541D05">
        <w:t xml:space="preserve"> </w:t>
      </w:r>
      <w:r w:rsidR="00D9258C" w:rsidRPr="00FD6A6A">
        <w:t>forms</w:t>
      </w:r>
      <w:r w:rsidR="00541D05">
        <w:t xml:space="preserve"> </w:t>
      </w:r>
      <w:r w:rsidR="00D9258C" w:rsidRPr="00FD6A6A">
        <w:t>of</w:t>
      </w:r>
      <w:r w:rsidR="00541D05">
        <w:t xml:space="preserve"> </w:t>
      </w:r>
      <w:r w:rsidR="00D9258C" w:rsidRPr="00FD6A6A">
        <w:t>social</w:t>
      </w:r>
      <w:r w:rsidR="00541D05">
        <w:t xml:space="preserve"> </w:t>
      </w:r>
      <w:r w:rsidR="00D9258C" w:rsidRPr="00FD6A6A">
        <w:t>organization,</w:t>
      </w:r>
      <w:r w:rsidR="00541D05">
        <w:t xml:space="preserve"> </w:t>
      </w:r>
      <w:r w:rsidR="00D9258C" w:rsidRPr="00FD6A6A">
        <w:t>and</w:t>
      </w:r>
      <w:r w:rsidR="00541D05">
        <w:t xml:space="preserve"> </w:t>
      </w:r>
      <w:r w:rsidR="00D9258C" w:rsidRPr="00FD6A6A">
        <w:t>that</w:t>
      </w:r>
      <w:r w:rsidR="00541D05">
        <w:t xml:space="preserve"> </w:t>
      </w:r>
      <w:r w:rsidR="00D9258C" w:rsidRPr="00FD6A6A">
        <w:t>occupy</w:t>
      </w:r>
      <w:r w:rsidR="00541D05">
        <w:t xml:space="preserve"> </w:t>
      </w:r>
      <w:r w:rsidR="00D9258C" w:rsidRPr="00FD6A6A">
        <w:t>and</w:t>
      </w:r>
      <w:r w:rsidR="00541D05">
        <w:t xml:space="preserve"> </w:t>
      </w:r>
      <w:r w:rsidR="00D9258C" w:rsidRPr="00FD6A6A">
        <w:t>use</w:t>
      </w:r>
      <w:r w:rsidR="00541D05">
        <w:t xml:space="preserve"> </w:t>
      </w:r>
      <w:r w:rsidR="00D9258C" w:rsidRPr="00FD6A6A">
        <w:t>territories</w:t>
      </w:r>
      <w:r w:rsidR="00541D05">
        <w:t xml:space="preserve"> </w:t>
      </w:r>
      <w:r w:rsidR="00D9258C" w:rsidRPr="00FD6A6A">
        <w:t>and</w:t>
      </w:r>
      <w:r w:rsidR="00541D05">
        <w:t xml:space="preserve"> </w:t>
      </w:r>
      <w:r w:rsidR="00D9258C" w:rsidRPr="00FD6A6A">
        <w:t>natural</w:t>
      </w:r>
      <w:r w:rsidR="00541D05">
        <w:t xml:space="preserve"> </w:t>
      </w:r>
      <w:r w:rsidR="00D9258C" w:rsidRPr="00FD6A6A">
        <w:t>resources</w:t>
      </w:r>
      <w:r w:rsidR="00541D05">
        <w:t xml:space="preserve"> </w:t>
      </w:r>
      <w:r w:rsidR="00D9258C" w:rsidRPr="00FD6A6A">
        <w:t>as</w:t>
      </w:r>
      <w:r w:rsidR="00541D05">
        <w:t xml:space="preserve"> </w:t>
      </w:r>
      <w:r w:rsidR="00D9258C" w:rsidRPr="00FD6A6A">
        <w:t>a</w:t>
      </w:r>
      <w:r w:rsidR="00541D05">
        <w:t xml:space="preserve"> </w:t>
      </w:r>
      <w:r w:rsidR="00D9258C" w:rsidRPr="00FD6A6A">
        <w:t>condition</w:t>
      </w:r>
      <w:r w:rsidR="00541D05">
        <w:t xml:space="preserve"> </w:t>
      </w:r>
      <w:r w:rsidR="00D9258C" w:rsidRPr="00FD6A6A">
        <w:t>for</w:t>
      </w:r>
      <w:r w:rsidR="00541D05">
        <w:t xml:space="preserve"> </w:t>
      </w:r>
      <w:r w:rsidR="00D9258C" w:rsidRPr="00FD6A6A">
        <w:t>their</w:t>
      </w:r>
      <w:r w:rsidR="00541D05">
        <w:t xml:space="preserve"> </w:t>
      </w:r>
      <w:r w:rsidR="00D9258C" w:rsidRPr="00FD6A6A">
        <w:t>cultural,</w:t>
      </w:r>
      <w:r w:rsidR="00541D05">
        <w:t xml:space="preserve"> </w:t>
      </w:r>
      <w:r w:rsidR="00D9258C" w:rsidRPr="00FD6A6A">
        <w:t>social,</w:t>
      </w:r>
      <w:r w:rsidR="00541D05">
        <w:t xml:space="preserve"> </w:t>
      </w:r>
      <w:r w:rsidR="00D9258C" w:rsidRPr="00FD6A6A">
        <w:t>religious,</w:t>
      </w:r>
      <w:r w:rsidR="00541D05">
        <w:t xml:space="preserve"> </w:t>
      </w:r>
      <w:r w:rsidR="00D9258C" w:rsidRPr="00FD6A6A">
        <w:t>ancestral,</w:t>
      </w:r>
      <w:r w:rsidR="00541D05">
        <w:t xml:space="preserve"> </w:t>
      </w:r>
      <w:r w:rsidR="00D9258C" w:rsidRPr="00FD6A6A">
        <w:t>and</w:t>
      </w:r>
      <w:r w:rsidR="00541D05">
        <w:t xml:space="preserve"> </w:t>
      </w:r>
      <w:r w:rsidR="00D9258C" w:rsidRPr="00FD6A6A">
        <w:t>economic</w:t>
      </w:r>
      <w:r w:rsidR="00541D05">
        <w:t xml:space="preserve"> </w:t>
      </w:r>
      <w:r w:rsidR="00D9258C" w:rsidRPr="00FD6A6A">
        <w:t>reproduction,</w:t>
      </w:r>
      <w:r w:rsidR="00541D05">
        <w:t xml:space="preserve"> </w:t>
      </w:r>
      <w:r w:rsidR="00D9258C" w:rsidRPr="00FD6A6A">
        <w:t>reaffirming</w:t>
      </w:r>
      <w:r w:rsidR="00541D05">
        <w:t xml:space="preserve"> </w:t>
      </w:r>
      <w:r w:rsidR="00D9258C" w:rsidRPr="00FD6A6A">
        <w:t>themselves</w:t>
      </w:r>
      <w:r w:rsidR="00541D05">
        <w:t xml:space="preserve"> </w:t>
      </w:r>
      <w:r w:rsidR="00D9258C" w:rsidRPr="00FD6A6A">
        <w:t>through</w:t>
      </w:r>
      <w:r w:rsidR="00541D05">
        <w:t xml:space="preserve"> </w:t>
      </w:r>
      <w:r w:rsidR="00D9258C" w:rsidRPr="00FD6A6A">
        <w:t>several</w:t>
      </w:r>
      <w:r w:rsidR="00541D05">
        <w:t xml:space="preserve"> </w:t>
      </w:r>
      <w:r w:rsidR="00D9258C" w:rsidRPr="00FD6A6A">
        <w:t>different</w:t>
      </w:r>
      <w:r w:rsidR="00541D05">
        <w:t xml:space="preserve"> </w:t>
      </w:r>
      <w:r w:rsidR="00D9258C" w:rsidRPr="00FD6A6A">
        <w:t>criteria,</w:t>
      </w:r>
      <w:r w:rsidR="00541D05">
        <w:t xml:space="preserve"> </w:t>
      </w:r>
      <w:r w:rsidR="00D9258C" w:rsidRPr="00FD6A6A">
        <w:t>using</w:t>
      </w:r>
      <w:r w:rsidR="00541D05">
        <w:t xml:space="preserve"> </w:t>
      </w:r>
      <w:r w:rsidR="00D9258C" w:rsidRPr="00FD6A6A">
        <w:t>knowledge,</w:t>
      </w:r>
      <w:r w:rsidR="00541D05">
        <w:t xml:space="preserve"> </w:t>
      </w:r>
      <w:r w:rsidR="00D9258C" w:rsidRPr="00FD6A6A">
        <w:t>innovation,</w:t>
      </w:r>
      <w:r w:rsidR="00541D05">
        <w:t xml:space="preserve"> </w:t>
      </w:r>
      <w:r w:rsidR="00D9258C" w:rsidRPr="00FD6A6A">
        <w:t>and</w:t>
      </w:r>
      <w:r w:rsidR="00541D05">
        <w:t xml:space="preserve"> </w:t>
      </w:r>
      <w:r w:rsidR="00D9258C" w:rsidRPr="00FD6A6A">
        <w:t>practices</w:t>
      </w:r>
      <w:r w:rsidR="00541D05">
        <w:t xml:space="preserve"> </w:t>
      </w:r>
      <w:r w:rsidR="00D9258C" w:rsidRPr="00FD6A6A">
        <w:lastRenderedPageBreak/>
        <w:t>generated</w:t>
      </w:r>
      <w:r w:rsidR="00541D05">
        <w:t xml:space="preserve"> </w:t>
      </w:r>
      <w:r w:rsidR="00D9258C" w:rsidRPr="00FD6A6A">
        <w:t>and</w:t>
      </w:r>
      <w:r w:rsidR="00541D05">
        <w:t xml:space="preserve"> </w:t>
      </w:r>
      <w:r w:rsidR="00D9258C" w:rsidRPr="00FD6A6A">
        <w:t>transmitted</w:t>
      </w:r>
      <w:r w:rsidR="00541D05">
        <w:t xml:space="preserve"> </w:t>
      </w:r>
      <w:r w:rsidR="00D9258C" w:rsidRPr="00FD6A6A">
        <w:t>through</w:t>
      </w:r>
      <w:r w:rsidR="00541D05">
        <w:t xml:space="preserve"> </w:t>
      </w:r>
      <w:r w:rsidR="00D9258C" w:rsidRPr="00FD6A6A">
        <w:t>tradition.</w:t>
      </w:r>
      <w:r w:rsidR="00541D05">
        <w:t xml:space="preserve"> </w:t>
      </w:r>
      <w:r w:rsidR="00D9258C" w:rsidRPr="00FD6A6A">
        <w:t>In</w:t>
      </w:r>
      <w:r w:rsidR="00541D05">
        <w:t xml:space="preserve"> </w:t>
      </w:r>
      <w:r w:rsidR="00D9258C" w:rsidRPr="00FD6A6A">
        <w:t>short,</w:t>
      </w:r>
      <w:r w:rsidR="00541D05">
        <w:t xml:space="preserve"> </w:t>
      </w:r>
      <w:r w:rsidR="00D9258C" w:rsidRPr="00FD6A6A">
        <w:t>they</w:t>
      </w:r>
      <w:r w:rsidR="00541D05">
        <w:t xml:space="preserve"> </w:t>
      </w:r>
      <w:r w:rsidR="00D9258C" w:rsidRPr="00FD6A6A">
        <w:t>are</w:t>
      </w:r>
      <w:r w:rsidR="00541D05">
        <w:t xml:space="preserve"> </w:t>
      </w:r>
      <w:r w:rsidR="00D9258C" w:rsidRPr="00FD6A6A">
        <w:t>self-identified,</w:t>
      </w:r>
      <w:r w:rsidR="00541D05">
        <w:t xml:space="preserve"> </w:t>
      </w:r>
      <w:r w:rsidR="00D9258C" w:rsidRPr="00FD6A6A">
        <w:t>automatically</w:t>
      </w:r>
      <w:r w:rsidR="00541D05">
        <w:t xml:space="preserve"> </w:t>
      </w:r>
      <w:r w:rsidR="00D9258C" w:rsidRPr="00FD6A6A">
        <w:t>organized</w:t>
      </w:r>
      <w:r w:rsidR="00541D05">
        <w:t xml:space="preserve"> </w:t>
      </w:r>
      <w:r w:rsidR="00D9258C" w:rsidRPr="00FD6A6A">
        <w:t>groups</w:t>
      </w:r>
      <w:r w:rsidR="00541D05">
        <w:t xml:space="preserve"> </w:t>
      </w:r>
      <w:r w:rsidR="00D9258C" w:rsidRPr="00FD6A6A">
        <w:t>that</w:t>
      </w:r>
      <w:r w:rsidR="00541D05">
        <w:t xml:space="preserve"> </w:t>
      </w:r>
      <w:r w:rsidR="00D9258C" w:rsidRPr="00FD6A6A">
        <w:t>build</w:t>
      </w:r>
      <w:r w:rsidR="00541D05">
        <w:t xml:space="preserve"> </w:t>
      </w:r>
      <w:r w:rsidR="00D9258C" w:rsidRPr="00FD6A6A">
        <w:t>territories</w:t>
      </w:r>
      <w:r w:rsidR="00541D05">
        <w:t xml:space="preserve"> </w:t>
      </w:r>
      <w:r w:rsidR="00D9258C" w:rsidRPr="00FD6A6A">
        <w:t>and</w:t>
      </w:r>
      <w:r w:rsidR="00541D05">
        <w:t xml:space="preserve"> </w:t>
      </w:r>
      <w:r w:rsidR="00D9258C" w:rsidRPr="00FD6A6A">
        <w:t>reinvent</w:t>
      </w:r>
      <w:r w:rsidR="00541D05">
        <w:t xml:space="preserve"> </w:t>
      </w:r>
      <w:r w:rsidR="00D9258C" w:rsidRPr="00FD6A6A">
        <w:t>their</w:t>
      </w:r>
      <w:r w:rsidR="00541D05">
        <w:t xml:space="preserve"> </w:t>
      </w:r>
      <w:r w:rsidR="00D9258C" w:rsidRPr="00FD6A6A">
        <w:t>own</w:t>
      </w:r>
      <w:r w:rsidR="00541D05">
        <w:t xml:space="preserve"> </w:t>
      </w:r>
      <w:r w:rsidR="00D9258C" w:rsidRPr="00FD6A6A">
        <w:t>traditions.</w:t>
      </w:r>
    </w:p>
    <w:p w14:paraId="209B064B" w14:textId="2E6323E4" w:rsidR="00D9258C" w:rsidRPr="00FD6A6A" w:rsidRDefault="00166390" w:rsidP="00166390">
      <w:pPr>
        <w:pStyle w:val="ParaNoG"/>
        <w:numPr>
          <w:ilvl w:val="0"/>
          <w:numId w:val="0"/>
        </w:numPr>
        <w:tabs>
          <w:tab w:val="left" w:pos="0"/>
        </w:tabs>
        <w:ind w:left="1134"/>
      </w:pPr>
      <w:r w:rsidRPr="00FD6A6A">
        <w:t>113.</w:t>
      </w:r>
      <w:r w:rsidRPr="00FD6A6A">
        <w:tab/>
      </w:r>
      <w:r w:rsidR="00D9258C" w:rsidRPr="00FD6A6A">
        <w:t>On</w:t>
      </w:r>
      <w:r w:rsidR="00541D05">
        <w:t xml:space="preserve"> </w:t>
      </w:r>
      <w:r w:rsidR="00D9258C" w:rsidRPr="00FD6A6A">
        <w:t>its</w:t>
      </w:r>
      <w:r w:rsidR="00541D05">
        <w:t xml:space="preserve"> </w:t>
      </w:r>
      <w:r w:rsidR="00D9258C" w:rsidRPr="00FD6A6A">
        <w:t>turn,</w:t>
      </w:r>
      <w:r w:rsidR="00541D05">
        <w:t xml:space="preserve"> </w:t>
      </w:r>
      <w:r w:rsidR="00D9258C" w:rsidRPr="00FD6A6A">
        <w:t>the</w:t>
      </w:r>
      <w:r w:rsidR="00541D05">
        <w:t xml:space="preserve"> </w:t>
      </w:r>
      <w:r w:rsidR="00D9258C" w:rsidRPr="00FD6A6A">
        <w:t>Decree</w:t>
      </w:r>
      <w:r w:rsidR="00541D05">
        <w:t xml:space="preserve"> </w:t>
      </w:r>
      <w:r w:rsidR="00D9258C" w:rsidRPr="00FD6A6A">
        <w:t>considers</w:t>
      </w:r>
      <w:r w:rsidR="00541D05">
        <w:t xml:space="preserve"> </w:t>
      </w:r>
      <w:r w:rsidR="00D9258C" w:rsidRPr="00FD6A6A">
        <w:t>as</w:t>
      </w:r>
      <w:r w:rsidR="00541D05">
        <w:t xml:space="preserve"> </w:t>
      </w:r>
      <w:r w:rsidR="00D9258C" w:rsidRPr="00FD6A6A">
        <w:t>traditional</w:t>
      </w:r>
      <w:r w:rsidR="00541D05">
        <w:t xml:space="preserve"> </w:t>
      </w:r>
      <w:r w:rsidR="00D9258C" w:rsidRPr="00FD6A6A">
        <w:t>territories</w:t>
      </w:r>
      <w:r w:rsidR="00541D05">
        <w:t xml:space="preserve"> </w:t>
      </w:r>
      <w:r w:rsidR="00D9258C" w:rsidRPr="00FD6A6A">
        <w:t>the</w:t>
      </w:r>
      <w:r w:rsidR="00541D05">
        <w:t xml:space="preserve"> </w:t>
      </w:r>
      <w:r w:rsidR="00D9258C" w:rsidRPr="00FD6A6A">
        <w:t>spaces</w:t>
      </w:r>
      <w:r w:rsidR="00541D05">
        <w:t xml:space="preserve"> </w:t>
      </w:r>
      <w:r w:rsidR="00D9258C" w:rsidRPr="00FD6A6A">
        <w:t>necessary</w:t>
      </w:r>
      <w:r w:rsidR="00541D05">
        <w:t xml:space="preserve"> </w:t>
      </w:r>
      <w:r w:rsidR="00D9258C" w:rsidRPr="00FD6A6A">
        <w:t>for</w:t>
      </w:r>
      <w:r w:rsidR="00541D05">
        <w:t xml:space="preserve"> </w:t>
      </w:r>
      <w:r w:rsidR="00D9258C" w:rsidRPr="00FD6A6A">
        <w:t>cultural,</w:t>
      </w:r>
      <w:r w:rsidR="00541D05">
        <w:t xml:space="preserve"> </w:t>
      </w:r>
      <w:r w:rsidR="00D9258C" w:rsidRPr="00FD6A6A">
        <w:t>social,</w:t>
      </w:r>
      <w:r w:rsidR="00541D05">
        <w:t xml:space="preserve"> </w:t>
      </w:r>
      <w:r w:rsidR="00D9258C" w:rsidRPr="00FD6A6A">
        <w:t>and</w:t>
      </w:r>
      <w:r w:rsidR="00541D05">
        <w:t xml:space="preserve"> </w:t>
      </w:r>
      <w:r w:rsidR="00D9258C" w:rsidRPr="00FD6A6A">
        <w:t>economic</w:t>
      </w:r>
      <w:r w:rsidR="00541D05">
        <w:t xml:space="preserve"> </w:t>
      </w:r>
      <w:r w:rsidR="00D9258C" w:rsidRPr="00FD6A6A">
        <w:t>reproduction</w:t>
      </w:r>
      <w:r w:rsidR="00541D05">
        <w:t xml:space="preserve"> </w:t>
      </w:r>
      <w:r w:rsidR="00D9258C" w:rsidRPr="00FD6A6A">
        <w:t>of</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whether</w:t>
      </w:r>
      <w:r w:rsidR="00541D05">
        <w:t xml:space="preserve"> </w:t>
      </w:r>
      <w:r w:rsidR="00D9258C" w:rsidRPr="00FD6A6A">
        <w:t>permanently</w:t>
      </w:r>
      <w:r w:rsidR="00541D05">
        <w:t xml:space="preserve"> </w:t>
      </w:r>
      <w:r w:rsidR="00D9258C" w:rsidRPr="00FD6A6A">
        <w:t>or</w:t>
      </w:r>
      <w:r w:rsidR="00541D05">
        <w:t xml:space="preserve"> </w:t>
      </w:r>
      <w:r w:rsidR="00D9258C" w:rsidRPr="00FD6A6A">
        <w:t>temporarily.</w:t>
      </w:r>
      <w:r w:rsidR="00541D05">
        <w:t xml:space="preserve"> </w:t>
      </w:r>
      <w:r w:rsidR="00D9258C" w:rsidRPr="00FD6A6A">
        <w:t>Regarding</w:t>
      </w:r>
      <w:r w:rsidR="00541D05">
        <w:t xml:space="preserve"> </w:t>
      </w:r>
      <w:r w:rsidR="00D9258C" w:rsidRPr="00FD6A6A">
        <w:t>indigenous</w:t>
      </w:r>
      <w:r w:rsidR="00541D05">
        <w:t xml:space="preserve"> </w:t>
      </w:r>
      <w:r w:rsidR="00D9258C" w:rsidRPr="00FD6A6A">
        <w:t>peoples</w:t>
      </w:r>
      <w:r w:rsidR="00541D05">
        <w:t xml:space="preserve"> </w:t>
      </w:r>
      <w:r w:rsidR="00D9258C" w:rsidRPr="00FD6A6A">
        <w:t>and</w:t>
      </w:r>
      <w:r w:rsidR="00541D05">
        <w:t xml:space="preserve"> </w:t>
      </w:r>
      <w:r w:rsidR="00D9258C" w:rsidRPr="00FD6A6A">
        <w:t>Quilombolas,</w:t>
      </w:r>
      <w:r w:rsidR="00541D05">
        <w:t xml:space="preserve"> </w:t>
      </w:r>
      <w:r w:rsidR="00D9258C" w:rsidRPr="00FD6A6A">
        <w:t>respectively,</w:t>
      </w:r>
      <w:r w:rsidR="00541D05">
        <w:t xml:space="preserve"> </w:t>
      </w:r>
      <w:r w:rsidR="00D9258C" w:rsidRPr="00FD6A6A">
        <w:t>the</w:t>
      </w:r>
      <w:r w:rsidR="00541D05">
        <w:t xml:space="preserve"> </w:t>
      </w:r>
      <w:r w:rsidR="00D9258C" w:rsidRPr="00FD6A6A">
        <w:t>provisions</w:t>
      </w:r>
      <w:r w:rsidR="00541D05">
        <w:t xml:space="preserve"> </w:t>
      </w:r>
      <w:r w:rsidR="00D9258C" w:rsidRPr="00FD6A6A">
        <w:t>in</w:t>
      </w:r>
      <w:r w:rsidR="00541D05">
        <w:t xml:space="preserve"> </w:t>
      </w:r>
      <w:r w:rsidR="00D9258C" w:rsidRPr="00FD6A6A">
        <w:t>Art.</w:t>
      </w:r>
      <w:r w:rsidR="00541D05">
        <w:t xml:space="preserve"> </w:t>
      </w:r>
      <w:r w:rsidR="00D9258C" w:rsidRPr="00FD6A6A">
        <w:t>231</w:t>
      </w:r>
      <w:r w:rsidR="00541D05">
        <w:t xml:space="preserve"> </w:t>
      </w:r>
      <w:r w:rsidR="00D9258C" w:rsidRPr="00FD6A6A">
        <w:t>of</w:t>
      </w:r>
      <w:r w:rsidR="00541D05">
        <w:t xml:space="preserve"> </w:t>
      </w:r>
      <w:r w:rsidR="00D9258C" w:rsidRPr="00FD6A6A">
        <w:t>the</w:t>
      </w:r>
      <w:r w:rsidR="00541D05">
        <w:t xml:space="preserve"> </w:t>
      </w:r>
      <w:r w:rsidR="00D9258C" w:rsidRPr="00FD6A6A">
        <w:t>Constitution</w:t>
      </w:r>
      <w:r w:rsidR="00541D05">
        <w:t xml:space="preserve"> </w:t>
      </w:r>
      <w:r w:rsidR="00D9258C" w:rsidRPr="00FD6A6A">
        <w:t>and</w:t>
      </w:r>
      <w:r w:rsidR="00541D05">
        <w:t xml:space="preserve"> </w:t>
      </w:r>
      <w:r w:rsidR="00D9258C" w:rsidRPr="00FD6A6A">
        <w:t>Art.</w:t>
      </w:r>
      <w:r w:rsidR="00541D05">
        <w:t xml:space="preserve"> </w:t>
      </w:r>
      <w:r w:rsidR="00D9258C" w:rsidRPr="00FD6A6A">
        <w:t>68</w:t>
      </w:r>
      <w:r w:rsidR="00541D05">
        <w:t xml:space="preserve"> </w:t>
      </w:r>
      <w:r w:rsidR="00D9258C" w:rsidRPr="00FD6A6A">
        <w:t>of</w:t>
      </w:r>
      <w:r w:rsidR="00541D05">
        <w:t xml:space="preserve"> </w:t>
      </w:r>
      <w:r w:rsidR="00D9258C" w:rsidRPr="00FD6A6A">
        <w:t>the</w:t>
      </w:r>
      <w:r w:rsidR="00541D05">
        <w:t xml:space="preserve"> </w:t>
      </w:r>
      <w:r w:rsidR="00D9258C" w:rsidRPr="00FD6A6A">
        <w:t>Temporary</w:t>
      </w:r>
      <w:r w:rsidR="00541D05">
        <w:t xml:space="preserve"> </w:t>
      </w:r>
      <w:r w:rsidR="00D9258C" w:rsidRPr="00FD6A6A">
        <w:t>Constitutional</w:t>
      </w:r>
      <w:r w:rsidR="00541D05">
        <w:t xml:space="preserve"> </w:t>
      </w:r>
      <w:r w:rsidR="00D9258C" w:rsidRPr="00FD6A6A">
        <w:t>Provisions</w:t>
      </w:r>
      <w:r w:rsidR="00541D05">
        <w:t xml:space="preserve"> </w:t>
      </w:r>
      <w:r w:rsidR="00D9258C" w:rsidRPr="00FD6A6A">
        <w:t>Act</w:t>
      </w:r>
      <w:r w:rsidR="00541D05">
        <w:t xml:space="preserve"> </w:t>
      </w:r>
      <w:r w:rsidR="00D9258C" w:rsidRPr="00FD6A6A">
        <w:t>and</w:t>
      </w:r>
      <w:r w:rsidR="00541D05">
        <w:t xml:space="preserve"> </w:t>
      </w:r>
      <w:r w:rsidR="00D9258C" w:rsidRPr="00FD6A6A">
        <w:t>other</w:t>
      </w:r>
      <w:r w:rsidR="00541D05">
        <w:t xml:space="preserve"> </w:t>
      </w:r>
      <w:r w:rsidR="00D9258C" w:rsidRPr="00FD6A6A">
        <w:t>regulations</w:t>
      </w:r>
      <w:r w:rsidR="00541D05">
        <w:t xml:space="preserve"> </w:t>
      </w:r>
      <w:r w:rsidR="00D9258C" w:rsidRPr="00FD6A6A">
        <w:t>establish</w:t>
      </w:r>
      <w:r w:rsidR="00541D05">
        <w:t xml:space="preserve"> </w:t>
      </w:r>
      <w:r w:rsidR="00D9258C" w:rsidRPr="00FD6A6A">
        <w:t>the</w:t>
      </w:r>
      <w:r w:rsidR="00541D05">
        <w:t xml:space="preserve"> </w:t>
      </w:r>
      <w:r w:rsidR="00D9258C" w:rsidRPr="00FD6A6A">
        <w:t>pertinent</w:t>
      </w:r>
      <w:r w:rsidR="00541D05">
        <w:t xml:space="preserve"> </w:t>
      </w:r>
      <w:r w:rsidR="00D9258C" w:rsidRPr="00FD6A6A">
        <w:t>legal</w:t>
      </w:r>
      <w:r w:rsidR="00541D05">
        <w:t xml:space="preserve"> </w:t>
      </w:r>
      <w:r w:rsidR="00D9258C" w:rsidRPr="00FD6A6A">
        <w:t>framework.</w:t>
      </w:r>
    </w:p>
    <w:p w14:paraId="764D3CFD" w14:textId="76261792" w:rsidR="00D9258C" w:rsidRPr="00FD6A6A" w:rsidRDefault="00166390" w:rsidP="00166390">
      <w:pPr>
        <w:pStyle w:val="ParaNoG"/>
        <w:numPr>
          <w:ilvl w:val="0"/>
          <w:numId w:val="0"/>
        </w:numPr>
        <w:tabs>
          <w:tab w:val="left" w:pos="0"/>
        </w:tabs>
        <w:ind w:left="1134"/>
      </w:pPr>
      <w:r w:rsidRPr="00FD6A6A">
        <w:t>114.</w:t>
      </w:r>
      <w:r w:rsidRPr="00FD6A6A">
        <w:tab/>
      </w:r>
      <w:r w:rsidR="00D9258C" w:rsidRPr="00FD6A6A">
        <w:t>The</w:t>
      </w:r>
      <w:r w:rsidR="00541D05">
        <w:t xml:space="preserve"> </w:t>
      </w:r>
      <w:r w:rsidR="00D9258C" w:rsidRPr="00FD6A6A">
        <w:t>Government</w:t>
      </w:r>
      <w:r w:rsidR="00541D05">
        <w:t xml:space="preserve"> </w:t>
      </w:r>
      <w:r w:rsidR="00D9258C" w:rsidRPr="00FD6A6A">
        <w:t>currently</w:t>
      </w:r>
      <w:r w:rsidR="00541D05">
        <w:t xml:space="preserve"> </w:t>
      </w:r>
      <w:r w:rsidR="00D9258C" w:rsidRPr="00FD6A6A">
        <w:t>recognizes</w:t>
      </w:r>
      <w:r w:rsidR="00541D05">
        <w:t xml:space="preserve"> </w:t>
      </w:r>
      <w:r w:rsidR="00D9258C" w:rsidRPr="00FD6A6A">
        <w:t>the</w:t>
      </w:r>
      <w:r w:rsidR="00541D05">
        <w:t xml:space="preserve"> </w:t>
      </w:r>
      <w:r w:rsidR="00D9258C" w:rsidRPr="00FD6A6A">
        <w:t>existence</w:t>
      </w:r>
      <w:r w:rsidR="00541D05">
        <w:t xml:space="preserve"> </w:t>
      </w:r>
      <w:r w:rsidR="00D9258C" w:rsidRPr="00FD6A6A">
        <w:t>of</w:t>
      </w:r>
      <w:r w:rsidR="00541D05">
        <w:t xml:space="preserve"> </w:t>
      </w:r>
      <w:r w:rsidR="00D9258C" w:rsidRPr="00FD6A6A">
        <w:t>29</w:t>
      </w:r>
      <w:r w:rsidR="00541D05">
        <w:t xml:space="preserve"> </w:t>
      </w:r>
      <w:r w:rsidR="00D9258C" w:rsidRPr="00FD6A6A">
        <w:t>different</w:t>
      </w:r>
      <w:r w:rsidR="00541D05">
        <w:t xml:space="preserve"> </w:t>
      </w:r>
      <w:r w:rsidR="00D9258C" w:rsidRPr="00FD6A6A">
        <w:t>traditional</w:t>
      </w:r>
      <w:r w:rsidR="00541D05">
        <w:t xml:space="preserve"> </w:t>
      </w:r>
      <w:r w:rsidR="00D9258C" w:rsidRPr="00FD6A6A">
        <w:t>groups</w:t>
      </w:r>
      <w:r w:rsidR="00541D05">
        <w:t xml:space="preserve"> </w:t>
      </w:r>
      <w:r w:rsidR="00D9258C" w:rsidRPr="00FD6A6A">
        <w:t>and</w:t>
      </w:r>
      <w:r w:rsidR="00541D05">
        <w:t xml:space="preserve"> </w:t>
      </w:r>
      <w:r w:rsidR="00D9258C" w:rsidRPr="00FD6A6A">
        <w:t>communities.</w:t>
      </w:r>
      <w:r w:rsidR="00541D05">
        <w:t xml:space="preserve"> </w:t>
      </w:r>
      <w:r w:rsidR="00D9258C" w:rsidRPr="00FD6A6A">
        <w:t>This</w:t>
      </w:r>
      <w:r w:rsidR="00541D05">
        <w:t xml:space="preserve"> </w:t>
      </w:r>
      <w:r w:rsidR="00D9258C" w:rsidRPr="00FD6A6A">
        <w:t>number</w:t>
      </w:r>
      <w:r w:rsidR="00541D05">
        <w:t xml:space="preserve"> </w:t>
      </w:r>
      <w:r w:rsidR="00D9258C" w:rsidRPr="00FD6A6A">
        <w:t>has</w:t>
      </w:r>
      <w:r w:rsidR="00541D05">
        <w:t xml:space="preserve"> </w:t>
      </w:r>
      <w:r w:rsidR="00D9258C" w:rsidRPr="00FD6A6A">
        <w:t>increased</w:t>
      </w:r>
      <w:r w:rsidR="00541D05">
        <w:t xml:space="preserve"> </w:t>
      </w:r>
      <w:r w:rsidR="00D9258C" w:rsidRPr="00FD6A6A">
        <w:t>over</w:t>
      </w:r>
      <w:r w:rsidR="00541D05">
        <w:t xml:space="preserve"> </w:t>
      </w:r>
      <w:r w:rsidR="00D9258C" w:rsidRPr="00FD6A6A">
        <w:t>time,</w:t>
      </w:r>
      <w:r w:rsidR="00541D05">
        <w:t xml:space="preserve"> </w:t>
      </w:r>
      <w:r w:rsidR="00D9258C" w:rsidRPr="00FD6A6A">
        <w:t>which</w:t>
      </w:r>
      <w:r w:rsidR="00541D05">
        <w:t xml:space="preserve"> </w:t>
      </w:r>
      <w:r w:rsidR="00D9258C" w:rsidRPr="00FD6A6A">
        <w:t>is</w:t>
      </w:r>
      <w:r w:rsidR="00541D05">
        <w:t xml:space="preserve"> </w:t>
      </w:r>
      <w:r w:rsidR="00D9258C" w:rsidRPr="00FD6A6A">
        <w:t>related</w:t>
      </w:r>
      <w:r w:rsidR="00541D05">
        <w:t xml:space="preserve"> </w:t>
      </w:r>
      <w:r w:rsidR="00D9258C" w:rsidRPr="00FD6A6A">
        <w:t>both</w:t>
      </w:r>
      <w:r w:rsidR="00541D05">
        <w:t xml:space="preserve"> </w:t>
      </w:r>
      <w:r w:rsidR="00D9258C" w:rsidRPr="00FD6A6A">
        <w:t>to</w:t>
      </w:r>
      <w:r w:rsidR="00541D05">
        <w:t xml:space="preserve"> </w:t>
      </w:r>
      <w:r w:rsidR="00D9258C" w:rsidRPr="00FD6A6A">
        <w:t>self-organization</w:t>
      </w:r>
      <w:r w:rsidR="00541D05">
        <w:t xml:space="preserve"> </w:t>
      </w:r>
      <w:r w:rsidR="00D9258C" w:rsidRPr="00FD6A6A">
        <w:t>processes</w:t>
      </w:r>
      <w:r w:rsidR="00541D05">
        <w:t xml:space="preserve"> </w:t>
      </w:r>
      <w:r w:rsidR="00D9258C" w:rsidRPr="00FD6A6A">
        <w:t>and</w:t>
      </w:r>
      <w:r w:rsidR="00541D05">
        <w:t xml:space="preserve"> </w:t>
      </w:r>
      <w:r w:rsidR="00D9258C" w:rsidRPr="00FD6A6A">
        <w:t>conflicts</w:t>
      </w:r>
      <w:r w:rsidR="00541D05">
        <w:t xml:space="preserve"> </w:t>
      </w:r>
      <w:r w:rsidR="00D9258C" w:rsidRPr="00FD6A6A">
        <w:t>arising</w:t>
      </w:r>
      <w:r w:rsidR="00541D05">
        <w:t xml:space="preserve"> </w:t>
      </w:r>
      <w:r w:rsidR="00D9258C" w:rsidRPr="00FD6A6A">
        <w:t>from</w:t>
      </w:r>
      <w:r w:rsidR="00541D05">
        <w:t xml:space="preserve"> </w:t>
      </w:r>
      <w:r w:rsidR="00D9258C" w:rsidRPr="00FD6A6A">
        <w:t>the</w:t>
      </w:r>
      <w:r w:rsidR="00541D05">
        <w:t xml:space="preserve"> </w:t>
      </w:r>
      <w:r w:rsidR="00D9258C" w:rsidRPr="00FD6A6A">
        <w:t>progress</w:t>
      </w:r>
      <w:r w:rsidR="00541D05">
        <w:t xml:space="preserve"> </w:t>
      </w:r>
      <w:r w:rsidR="00D9258C" w:rsidRPr="00FD6A6A">
        <w:t>of</w:t>
      </w:r>
      <w:r w:rsidR="00541D05">
        <w:t xml:space="preserve"> </w:t>
      </w:r>
      <w:r w:rsidR="00D9258C" w:rsidRPr="00FD6A6A">
        <w:t>economic</w:t>
      </w:r>
      <w:r w:rsidR="00541D05">
        <w:t xml:space="preserve"> </w:t>
      </w:r>
      <w:r w:rsidR="00D9258C" w:rsidRPr="00FD6A6A">
        <w:t>frontiers</w:t>
      </w:r>
      <w:r w:rsidR="00541D05">
        <w:t xml:space="preserve"> </w:t>
      </w:r>
      <w:r w:rsidR="00D9258C" w:rsidRPr="00FD6A6A">
        <w:t>over</w:t>
      </w:r>
      <w:r w:rsidR="00541D05">
        <w:t xml:space="preserve"> </w:t>
      </w:r>
      <w:r w:rsidR="00D9258C" w:rsidRPr="00FD6A6A">
        <w:t>the</w:t>
      </w:r>
      <w:r w:rsidR="00541D05">
        <w:t xml:space="preserve"> </w:t>
      </w:r>
      <w:r w:rsidR="00D9258C" w:rsidRPr="00FD6A6A">
        <w:t>territories</w:t>
      </w:r>
      <w:r w:rsidR="00541D05">
        <w:t xml:space="preserve"> </w:t>
      </w:r>
      <w:r w:rsidR="00D9258C" w:rsidRPr="00FD6A6A">
        <w:t>occupied.</w:t>
      </w:r>
    </w:p>
    <w:p w14:paraId="0C29BCA2" w14:textId="044C174A" w:rsidR="00D9258C" w:rsidRPr="00FD6A6A" w:rsidRDefault="00166390" w:rsidP="00166390">
      <w:pPr>
        <w:pStyle w:val="ParaNoG"/>
        <w:numPr>
          <w:ilvl w:val="0"/>
          <w:numId w:val="0"/>
        </w:numPr>
        <w:tabs>
          <w:tab w:val="left" w:pos="0"/>
        </w:tabs>
        <w:ind w:left="1134"/>
      </w:pPr>
      <w:r w:rsidRPr="00FD6A6A">
        <w:t>115.</w:t>
      </w:r>
      <w:r w:rsidRPr="00FD6A6A">
        <w:tab/>
      </w:r>
      <w:r w:rsidR="00D9258C" w:rsidRPr="00FD6A6A">
        <w:t>The</w:t>
      </w:r>
      <w:r w:rsidR="00541D05">
        <w:t xml:space="preserve"> </w:t>
      </w:r>
      <w:r w:rsidR="00D9258C" w:rsidRPr="00FD6A6A">
        <w:t>axes</w:t>
      </w:r>
      <w:r w:rsidR="00541D05">
        <w:t xml:space="preserve"> </w:t>
      </w:r>
      <w:r w:rsidR="00D9258C" w:rsidRPr="00FD6A6A">
        <w:t>of</w:t>
      </w:r>
      <w:r w:rsidR="00541D05">
        <w:t xml:space="preserve"> </w:t>
      </w:r>
      <w:r w:rsidR="00D9258C" w:rsidRPr="00FD6A6A">
        <w:t>PNPCT</w:t>
      </w:r>
      <w:r w:rsidR="00541D05">
        <w:t xml:space="preserve"> </w:t>
      </w:r>
      <w:r w:rsidR="00D9258C" w:rsidRPr="00FD6A6A">
        <w:t>comprise</w:t>
      </w:r>
      <w:r w:rsidR="00541D05">
        <w:t xml:space="preserve"> </w:t>
      </w:r>
      <w:r w:rsidR="00D9258C" w:rsidRPr="00FD6A6A">
        <w:t>the</w:t>
      </w:r>
      <w:r w:rsidR="00541D05">
        <w:t xml:space="preserve"> </w:t>
      </w:r>
      <w:r w:rsidR="00D9258C" w:rsidRPr="00FD6A6A">
        <w:t>guarantee</w:t>
      </w:r>
      <w:r w:rsidR="00541D05">
        <w:t xml:space="preserve"> </w:t>
      </w:r>
      <w:r w:rsidR="00D9258C" w:rsidRPr="00FD6A6A">
        <w:t>of</w:t>
      </w:r>
      <w:r w:rsidR="00541D05">
        <w:t xml:space="preserve"> </w:t>
      </w:r>
      <w:r w:rsidR="00D9258C" w:rsidRPr="00FD6A6A">
        <w:t>access</w:t>
      </w:r>
      <w:r w:rsidR="00541D05">
        <w:t xml:space="preserve"> </w:t>
      </w:r>
      <w:r w:rsidR="00D9258C" w:rsidRPr="00FD6A6A">
        <w:t>to</w:t>
      </w:r>
      <w:r w:rsidR="00541D05">
        <w:t xml:space="preserve"> </w:t>
      </w:r>
      <w:r w:rsidR="00D9258C" w:rsidRPr="00FD6A6A">
        <w:t>traditional</w:t>
      </w:r>
      <w:r w:rsidR="00541D05">
        <w:t xml:space="preserve"> </w:t>
      </w:r>
      <w:r w:rsidR="00D9258C" w:rsidRPr="00FD6A6A">
        <w:t>territories</w:t>
      </w:r>
      <w:r w:rsidR="00541D05">
        <w:t xml:space="preserve"> </w:t>
      </w:r>
      <w:r w:rsidR="00D9258C" w:rsidRPr="00FD6A6A">
        <w:t>and</w:t>
      </w:r>
      <w:r w:rsidR="00541D05">
        <w:t xml:space="preserve"> </w:t>
      </w:r>
      <w:r w:rsidR="00D9258C" w:rsidRPr="00FD6A6A">
        <w:t>natural</w:t>
      </w:r>
      <w:r w:rsidR="00541D05">
        <w:t xml:space="preserve"> </w:t>
      </w:r>
      <w:r w:rsidR="00D9258C" w:rsidRPr="00FD6A6A">
        <w:t>resources,</w:t>
      </w:r>
      <w:r w:rsidR="00541D05">
        <w:t xml:space="preserve"> </w:t>
      </w:r>
      <w:r w:rsidR="00D9258C" w:rsidRPr="00FD6A6A">
        <w:t>to</w:t>
      </w:r>
      <w:r w:rsidR="00541D05">
        <w:t xml:space="preserve"> </w:t>
      </w:r>
      <w:r w:rsidR="00D9258C" w:rsidRPr="00FD6A6A">
        <w:t>the</w:t>
      </w:r>
      <w:r w:rsidR="00541D05">
        <w:t xml:space="preserve"> </w:t>
      </w:r>
      <w:r w:rsidR="00D9258C" w:rsidRPr="00FD6A6A">
        <w:t>social</w:t>
      </w:r>
      <w:r w:rsidR="00541D05">
        <w:t xml:space="preserve"> </w:t>
      </w:r>
      <w:r w:rsidR="00D9258C" w:rsidRPr="00FD6A6A">
        <w:t>and</w:t>
      </w:r>
      <w:r w:rsidR="00541D05">
        <w:t xml:space="preserve"> </w:t>
      </w:r>
      <w:r w:rsidR="00D9258C" w:rsidRPr="00FD6A6A">
        <w:t>economic</w:t>
      </w:r>
      <w:r w:rsidR="00541D05">
        <w:t xml:space="preserve"> </w:t>
      </w:r>
      <w:r w:rsidR="00D9258C" w:rsidRPr="00FD6A6A">
        <w:t>infrastructure</w:t>
      </w:r>
      <w:r w:rsidR="00541D05">
        <w:t xml:space="preserve"> </w:t>
      </w:r>
      <w:r w:rsidR="00D9258C" w:rsidRPr="00FD6A6A">
        <w:t>required</w:t>
      </w:r>
      <w:r w:rsidR="00541D05">
        <w:t xml:space="preserve"> </w:t>
      </w:r>
      <w:r w:rsidR="00D9258C" w:rsidRPr="00FD6A6A">
        <w:t>for</w:t>
      </w:r>
      <w:r w:rsidR="00541D05">
        <w:t xml:space="preserve"> </w:t>
      </w:r>
      <w:r w:rsidR="00D9258C" w:rsidRPr="00FD6A6A">
        <w:t>their</w:t>
      </w:r>
      <w:r w:rsidR="00541D05">
        <w:t xml:space="preserve"> </w:t>
      </w:r>
      <w:r w:rsidR="00D9258C" w:rsidRPr="00FD6A6A">
        <w:t>specific</w:t>
      </w:r>
      <w:r w:rsidR="00541D05">
        <w:t xml:space="preserve"> </w:t>
      </w:r>
      <w:r w:rsidR="00D9258C" w:rsidRPr="00FD6A6A">
        <w:t>needs,</w:t>
      </w:r>
      <w:r w:rsidR="00541D05">
        <w:t xml:space="preserve"> </w:t>
      </w:r>
      <w:r w:rsidR="00D9258C" w:rsidRPr="00FD6A6A">
        <w:t>the</w:t>
      </w:r>
      <w:r w:rsidR="00541D05">
        <w:t xml:space="preserve"> </w:t>
      </w:r>
      <w:r w:rsidR="00D9258C" w:rsidRPr="00FD6A6A">
        <w:t>social</w:t>
      </w:r>
      <w:r w:rsidR="00541D05">
        <w:t xml:space="preserve"> </w:t>
      </w:r>
      <w:r w:rsidR="00D9258C" w:rsidRPr="00FD6A6A">
        <w:t>inclusion</w:t>
      </w:r>
      <w:r w:rsidR="00541D05">
        <w:t xml:space="preserve"> </w:t>
      </w:r>
      <w:r w:rsidR="00D9258C" w:rsidRPr="00FD6A6A">
        <w:t>and</w:t>
      </w:r>
      <w:r w:rsidR="00541D05">
        <w:t xml:space="preserve"> </w:t>
      </w:r>
      <w:r w:rsidR="00D9258C" w:rsidRPr="00FD6A6A">
        <w:t>differentiated</w:t>
      </w:r>
      <w:r w:rsidR="00541D05">
        <w:t xml:space="preserve"> </w:t>
      </w:r>
      <w:r w:rsidR="00D9258C" w:rsidRPr="00FD6A6A">
        <w:t>education,</w:t>
      </w:r>
      <w:r w:rsidR="00541D05">
        <w:t xml:space="preserve"> </w:t>
      </w:r>
      <w:r w:rsidR="00D9258C" w:rsidRPr="00FD6A6A">
        <w:t>and</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sustainable</w:t>
      </w:r>
      <w:r w:rsidR="00541D05">
        <w:t xml:space="preserve"> </w:t>
      </w:r>
      <w:r w:rsidR="00D9258C" w:rsidRPr="00FD6A6A">
        <w:t>production.</w:t>
      </w:r>
    </w:p>
    <w:p w14:paraId="38365D1B" w14:textId="7B79A216" w:rsidR="00D9258C" w:rsidRPr="00FD6A6A" w:rsidRDefault="00166390" w:rsidP="00166390">
      <w:pPr>
        <w:pStyle w:val="ParaNoG"/>
        <w:numPr>
          <w:ilvl w:val="0"/>
          <w:numId w:val="0"/>
        </w:numPr>
        <w:tabs>
          <w:tab w:val="left" w:pos="0"/>
        </w:tabs>
        <w:ind w:left="1134"/>
      </w:pPr>
      <w:r w:rsidRPr="00FD6A6A">
        <w:t>116.</w:t>
      </w:r>
      <w:r w:rsidRPr="00FD6A6A">
        <w:tab/>
      </w:r>
      <w:r w:rsidR="00D9258C" w:rsidRPr="00FD6A6A">
        <w:t>The</w:t>
      </w:r>
      <w:r w:rsidR="00541D05">
        <w:t xml:space="preserve"> </w:t>
      </w:r>
      <w:r w:rsidR="00D9258C" w:rsidRPr="00FD6A6A">
        <w:t>actions</w:t>
      </w:r>
      <w:r w:rsidR="00541D05">
        <w:t xml:space="preserve"> </w:t>
      </w:r>
      <w:r w:rsidR="00D9258C" w:rsidRPr="00FD6A6A">
        <w:t>and</w:t>
      </w:r>
      <w:r w:rsidR="00541D05">
        <w:t xml:space="preserve"> </w:t>
      </w:r>
      <w:r w:rsidR="00D9258C" w:rsidRPr="00FD6A6A">
        <w:t>activities</w:t>
      </w:r>
      <w:r w:rsidR="00541D05">
        <w:t xml:space="preserve"> </w:t>
      </w:r>
      <w:r w:rsidR="00D9258C" w:rsidRPr="00FD6A6A">
        <w:t>directed</w:t>
      </w:r>
      <w:r w:rsidR="00541D05">
        <w:t xml:space="preserve"> </w:t>
      </w:r>
      <w:r w:rsidR="00D9258C" w:rsidRPr="00FD6A6A">
        <w:t>to</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PNPCT</w:t>
      </w:r>
      <w:r w:rsidR="00EA62F1">
        <w:t>’</w:t>
      </w:r>
      <w:r w:rsidR="00D9258C" w:rsidRPr="00FD6A6A">
        <w:t>s</w:t>
      </w:r>
      <w:r w:rsidR="00541D05">
        <w:t xml:space="preserve"> </w:t>
      </w:r>
      <w:r w:rsidR="00D9258C" w:rsidRPr="00FD6A6A">
        <w:t>goals</w:t>
      </w:r>
      <w:r w:rsidR="00541D05">
        <w:t xml:space="preserve"> </w:t>
      </w:r>
      <w:r w:rsidR="00D9258C" w:rsidRPr="00FD6A6A">
        <w:t>shall</w:t>
      </w:r>
      <w:r w:rsidR="00541D05">
        <w:t xml:space="preserve"> </w:t>
      </w:r>
      <w:r w:rsidR="00D9258C" w:rsidRPr="00FD6A6A">
        <w:t>occur</w:t>
      </w:r>
      <w:r w:rsidR="00541D05">
        <w:t xml:space="preserve"> </w:t>
      </w:r>
      <w:r w:rsidR="00D9258C" w:rsidRPr="00FD6A6A">
        <w:t>in</w:t>
      </w:r>
      <w:r w:rsidR="00541D05">
        <w:t xml:space="preserve"> </w:t>
      </w:r>
      <w:r w:rsidR="00D9258C" w:rsidRPr="00FD6A6A">
        <w:t>a</w:t>
      </w:r>
      <w:r w:rsidR="00541D05">
        <w:t xml:space="preserve"> </w:t>
      </w:r>
      <w:r w:rsidR="00D9258C" w:rsidRPr="00FD6A6A">
        <w:t>intersectoral,</w:t>
      </w:r>
      <w:r w:rsidR="00541D05">
        <w:t xml:space="preserve"> </w:t>
      </w:r>
      <w:r w:rsidR="00D9258C" w:rsidRPr="00FD6A6A">
        <w:t>integrated,</w:t>
      </w:r>
      <w:r w:rsidR="00541D05">
        <w:t xml:space="preserve"> </w:t>
      </w:r>
      <w:r w:rsidR="00D9258C" w:rsidRPr="00FD6A6A">
        <w:t>coordinate,</w:t>
      </w:r>
      <w:r w:rsidR="00541D05">
        <w:t xml:space="preserve"> </w:t>
      </w:r>
      <w:r w:rsidR="00D9258C" w:rsidRPr="00FD6A6A">
        <w:t>and</w:t>
      </w:r>
      <w:r w:rsidR="00541D05">
        <w:t xml:space="preserve"> </w:t>
      </w:r>
      <w:r w:rsidR="00D9258C" w:rsidRPr="00FD6A6A">
        <w:t>systematic</w:t>
      </w:r>
      <w:r w:rsidR="00541D05">
        <w:t xml:space="preserve"> </w:t>
      </w:r>
      <w:r w:rsidR="00D9258C" w:rsidRPr="00FD6A6A">
        <w:t>manner,</w:t>
      </w:r>
      <w:r w:rsidR="00541D05">
        <w:t xml:space="preserve"> </w:t>
      </w:r>
      <w:r w:rsidR="00D9258C" w:rsidRPr="00FD6A6A">
        <w:t>according</w:t>
      </w:r>
      <w:r w:rsidR="00541D05">
        <w:t xml:space="preserve"> </w:t>
      </w:r>
      <w:r w:rsidR="00D9258C" w:rsidRPr="00FD6A6A">
        <w:t>to</w:t>
      </w:r>
      <w:r w:rsidR="00541D05">
        <w:t xml:space="preserve"> </w:t>
      </w:r>
      <w:r w:rsidR="00D9258C" w:rsidRPr="00FD6A6A">
        <w:t>a</w:t>
      </w:r>
      <w:r w:rsidR="00541D05">
        <w:t xml:space="preserve"> </w:t>
      </w:r>
      <w:r w:rsidR="00D9258C" w:rsidRPr="00FD6A6A">
        <w:t>list</w:t>
      </w:r>
      <w:r w:rsidR="00541D05">
        <w:t xml:space="preserve"> </w:t>
      </w:r>
      <w:r w:rsidR="00D9258C" w:rsidRPr="00FD6A6A">
        <w:t>of</w:t>
      </w:r>
      <w:r w:rsidR="00541D05">
        <w:t xml:space="preserve"> </w:t>
      </w:r>
      <w:r w:rsidR="00D9258C" w:rsidRPr="00FD6A6A">
        <w:t>guiding</w:t>
      </w:r>
      <w:r w:rsidR="00541D05">
        <w:t xml:space="preserve"> </w:t>
      </w:r>
      <w:r w:rsidR="00D9258C" w:rsidRPr="00FD6A6A">
        <w:t>principles,</w:t>
      </w:r>
      <w:r w:rsidR="00541D05">
        <w:t xml:space="preserve"> </w:t>
      </w:r>
      <w:r w:rsidR="00D9258C" w:rsidRPr="00FD6A6A">
        <w:t>which</w:t>
      </w:r>
      <w:r w:rsidR="00541D05">
        <w:t xml:space="preserve"> </w:t>
      </w:r>
      <w:r w:rsidR="00D9258C" w:rsidRPr="00FD6A6A">
        <w:t>include</w:t>
      </w:r>
      <w:r w:rsidR="00541D05">
        <w:t xml:space="preserve"> </w:t>
      </w:r>
      <w:r w:rsidR="00D9258C" w:rsidRPr="00FD6A6A">
        <w:t>recognition,</w:t>
      </w:r>
      <w:r w:rsidR="00541D05">
        <w:t xml:space="preserve"> </w:t>
      </w:r>
      <w:r w:rsidR="00D9258C" w:rsidRPr="00FD6A6A">
        <w:t>appreciation,</w:t>
      </w:r>
      <w:r w:rsidR="00541D05">
        <w:t xml:space="preserve"> </w:t>
      </w:r>
      <w:r w:rsidR="00D9258C" w:rsidRPr="00FD6A6A">
        <w:t>and</w:t>
      </w:r>
      <w:r w:rsidR="00541D05">
        <w:t xml:space="preserve"> </w:t>
      </w:r>
      <w:r w:rsidR="00D9258C" w:rsidRPr="00FD6A6A">
        <w:t>respect</w:t>
      </w:r>
      <w:r w:rsidR="00541D05">
        <w:t xml:space="preserve"> </w:t>
      </w:r>
      <w:r w:rsidR="00D9258C" w:rsidRPr="00FD6A6A">
        <w:t>to</w:t>
      </w:r>
      <w:r w:rsidR="00541D05">
        <w:t xml:space="preserve"> </w:t>
      </w:r>
      <w:r w:rsidR="00D9258C" w:rsidRPr="00FD6A6A">
        <w:t>social,</w:t>
      </w:r>
      <w:r w:rsidR="00541D05">
        <w:t xml:space="preserve"> </w:t>
      </w:r>
      <w:r w:rsidR="00D9258C" w:rsidRPr="00FD6A6A">
        <w:t>environmental,</w:t>
      </w:r>
      <w:r w:rsidR="00541D05">
        <w:t xml:space="preserve"> </w:t>
      </w:r>
      <w:r w:rsidR="00D9258C" w:rsidRPr="00FD6A6A">
        <w:t>and</w:t>
      </w:r>
      <w:r w:rsidR="00541D05">
        <w:t xml:space="preserve"> </w:t>
      </w:r>
      <w:r w:rsidR="00D9258C" w:rsidRPr="00FD6A6A">
        <w:t>cultural</w:t>
      </w:r>
      <w:r w:rsidR="00541D05">
        <w:t xml:space="preserve"> </w:t>
      </w:r>
      <w:r w:rsidR="00D9258C" w:rsidRPr="00FD6A6A">
        <w:t>diversity</w:t>
      </w:r>
      <w:r w:rsidR="00541D05">
        <w:t xml:space="preserve"> </w:t>
      </w:r>
      <w:r w:rsidR="00D9258C" w:rsidRPr="00FD6A6A">
        <w:t>of</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taking</w:t>
      </w:r>
      <w:r w:rsidR="00541D05">
        <w:t xml:space="preserve"> </w:t>
      </w:r>
      <w:r w:rsidR="00D9258C" w:rsidRPr="00FD6A6A">
        <w:t>into</w:t>
      </w:r>
      <w:r w:rsidR="00541D05">
        <w:t xml:space="preserve"> </w:t>
      </w:r>
      <w:r w:rsidR="00D9258C" w:rsidRPr="00FD6A6A">
        <w:t>account</w:t>
      </w:r>
      <w:r w:rsidR="00541D05">
        <w:t xml:space="preserve"> </w:t>
      </w:r>
      <w:r w:rsidR="00D9258C" w:rsidRPr="00FD6A6A">
        <w:t>ethnicity,</w:t>
      </w:r>
      <w:r w:rsidR="00541D05">
        <w:t xml:space="preserve"> </w:t>
      </w:r>
      <w:r w:rsidR="00D9258C" w:rsidRPr="00FD6A6A">
        <w:t>race,</w:t>
      </w:r>
      <w:r w:rsidR="00541D05">
        <w:t xml:space="preserve"> </w:t>
      </w:r>
      <w:r w:rsidR="00D9258C" w:rsidRPr="00FD6A6A">
        <w:t>gender,</w:t>
      </w:r>
      <w:r w:rsidR="00541D05">
        <w:t xml:space="preserve"> </w:t>
      </w:r>
      <w:r w:rsidR="00D9258C" w:rsidRPr="00FD6A6A">
        <w:t>age,</w:t>
      </w:r>
      <w:r w:rsidR="00541D05">
        <w:t xml:space="preserve"> </w:t>
      </w:r>
      <w:r w:rsidR="00D9258C" w:rsidRPr="00FD6A6A">
        <w:t>religion,</w:t>
      </w:r>
      <w:r w:rsidR="00541D05">
        <w:t xml:space="preserve"> </w:t>
      </w:r>
      <w:r w:rsidR="00D9258C" w:rsidRPr="00FD6A6A">
        <w:t>ancestry,</w:t>
      </w:r>
      <w:r w:rsidR="00541D05">
        <w:t xml:space="preserve"> </w:t>
      </w:r>
      <w:r w:rsidR="00D9258C" w:rsidRPr="00FD6A6A">
        <w:t>sexual</w:t>
      </w:r>
      <w:r w:rsidR="00541D05">
        <w:t xml:space="preserve"> </w:t>
      </w:r>
      <w:r w:rsidR="00D9258C" w:rsidRPr="00FD6A6A">
        <w:t>orientation,</w:t>
      </w:r>
      <w:r w:rsidR="00541D05">
        <w:t xml:space="preserve"> </w:t>
      </w:r>
      <w:r w:rsidR="00D9258C" w:rsidRPr="00FD6A6A">
        <w:t>and</w:t>
      </w:r>
      <w:r w:rsidR="00541D05">
        <w:t xml:space="preserve"> </w:t>
      </w:r>
      <w:r w:rsidR="00D9258C" w:rsidRPr="00FD6A6A">
        <w:t>labor</w:t>
      </w:r>
      <w:r w:rsidR="00541D05">
        <w:t xml:space="preserve"> </w:t>
      </w:r>
      <w:r w:rsidR="00D9258C" w:rsidRPr="00FD6A6A">
        <w:t>activities,</w:t>
      </w:r>
      <w:r w:rsidR="00541D05">
        <w:t xml:space="preserve"> </w:t>
      </w:r>
      <w:r w:rsidR="00D9258C" w:rsidRPr="00FD6A6A">
        <w:t>among</w:t>
      </w:r>
      <w:r w:rsidR="00541D05">
        <w:t xml:space="preserve"> </w:t>
      </w:r>
      <w:r w:rsidR="00D9258C" w:rsidRPr="00FD6A6A">
        <w:t>others,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w:t>
      </w:r>
      <w:r w:rsidR="00541D05">
        <w:t xml:space="preserve"> </w:t>
      </w:r>
      <w:r w:rsidR="00D9258C" w:rsidRPr="00FD6A6A">
        <w:t>social</w:t>
      </w:r>
      <w:r w:rsidR="00541D05">
        <w:t xml:space="preserve"> </w:t>
      </w:r>
      <w:r w:rsidR="00D9258C" w:rsidRPr="00FD6A6A">
        <w:t>relations</w:t>
      </w:r>
      <w:r w:rsidR="00541D05">
        <w:t xml:space="preserve"> </w:t>
      </w:r>
      <w:r w:rsidR="00D9258C" w:rsidRPr="00FD6A6A">
        <w:t>of</w:t>
      </w:r>
      <w:r w:rsidR="00541D05">
        <w:t xml:space="preserve"> </w:t>
      </w:r>
      <w:r w:rsidR="00D9258C" w:rsidRPr="00FD6A6A">
        <w:t>such</w:t>
      </w:r>
      <w:r w:rsidR="00541D05">
        <w:t xml:space="preserve"> </w:t>
      </w:r>
      <w:r w:rsidR="00D9258C" w:rsidRPr="00FD6A6A">
        <w:t>groups</w:t>
      </w:r>
      <w:r w:rsidR="00541D05">
        <w:t xml:space="preserve"> </w:t>
      </w:r>
      <w:r w:rsidR="00D9258C" w:rsidRPr="00FD6A6A">
        <w:t>in</w:t>
      </w:r>
      <w:r w:rsidR="00541D05">
        <w:t xml:space="preserve"> </w:t>
      </w:r>
      <w:r w:rsidR="00D9258C" w:rsidRPr="00FD6A6A">
        <w:t>each</w:t>
      </w:r>
      <w:r w:rsidR="00541D05">
        <w:t xml:space="preserve"> </w:t>
      </w:r>
      <w:r w:rsidR="00D9258C" w:rsidRPr="00FD6A6A">
        <w:t>community</w:t>
      </w:r>
      <w:r w:rsidR="00541D05">
        <w:t xml:space="preserve"> </w:t>
      </w:r>
      <w:r w:rsidR="00D9258C" w:rsidRPr="00FD6A6A">
        <w:t>or</w:t>
      </w:r>
      <w:r w:rsidR="00541D05">
        <w:t xml:space="preserve"> </w:t>
      </w:r>
      <w:r w:rsidR="00D9258C" w:rsidRPr="00FD6A6A">
        <w:t>people</w:t>
      </w:r>
      <w:r w:rsidR="00541D05">
        <w:t xml:space="preserve"> </w:t>
      </w:r>
      <w:r w:rsidR="00D9258C" w:rsidRPr="00FD6A6A">
        <w:t>as</w:t>
      </w:r>
      <w:r w:rsidR="00541D05">
        <w:t xml:space="preserve"> </w:t>
      </w:r>
      <w:r w:rsidR="00D9258C" w:rsidRPr="00FD6A6A">
        <w:t>to</w:t>
      </w:r>
      <w:r w:rsidR="00541D05">
        <w:t xml:space="preserve"> </w:t>
      </w:r>
      <w:r w:rsidR="00D9258C" w:rsidRPr="00FD6A6A">
        <w:t>not</w:t>
      </w:r>
      <w:r w:rsidR="00541D05">
        <w:t xml:space="preserve"> </w:t>
      </w:r>
      <w:r w:rsidR="00D9258C" w:rsidRPr="00FD6A6A">
        <w:t>disrespect,</w:t>
      </w:r>
      <w:r w:rsidR="00541D05">
        <w:t xml:space="preserve"> </w:t>
      </w:r>
      <w:r w:rsidR="00D9258C" w:rsidRPr="00FD6A6A">
        <w:t>subsume,</w:t>
      </w:r>
      <w:r w:rsidR="00541D05">
        <w:t xml:space="preserve"> </w:t>
      </w:r>
      <w:r w:rsidR="00D9258C" w:rsidRPr="00FD6A6A">
        <w:t>or</w:t>
      </w:r>
      <w:r w:rsidR="00541D05">
        <w:t xml:space="preserve"> </w:t>
      </w:r>
      <w:r w:rsidR="00D9258C" w:rsidRPr="00FD6A6A">
        <w:t>neglect</w:t>
      </w:r>
      <w:r w:rsidR="00541D05">
        <w:t xml:space="preserve"> </w:t>
      </w:r>
      <w:r w:rsidR="00D9258C" w:rsidRPr="00FD6A6A">
        <w:t>the</w:t>
      </w:r>
      <w:r w:rsidR="00541D05">
        <w:t xml:space="preserve"> </w:t>
      </w:r>
      <w:r w:rsidR="00D9258C" w:rsidRPr="00FD6A6A">
        <w:t>differences</w:t>
      </w:r>
      <w:r w:rsidR="00541D05">
        <w:t xml:space="preserve"> </w:t>
      </w:r>
      <w:r w:rsidR="00D9258C" w:rsidRPr="00FD6A6A">
        <w:t>of</w:t>
      </w:r>
      <w:r w:rsidR="00541D05">
        <w:t xml:space="preserve"> </w:t>
      </w:r>
      <w:r w:rsidR="00D9258C" w:rsidRPr="00FD6A6A">
        <w:t>these</w:t>
      </w:r>
      <w:r w:rsidR="00541D05">
        <w:t xml:space="preserve"> </w:t>
      </w:r>
      <w:r w:rsidR="00D9258C" w:rsidRPr="00FD6A6A">
        <w:t>groups,</w:t>
      </w:r>
      <w:r w:rsidR="00541D05">
        <w:t xml:space="preserve"> </w:t>
      </w:r>
      <w:r w:rsidR="00D9258C" w:rsidRPr="00FD6A6A">
        <w:t>communities,</w:t>
      </w:r>
      <w:r w:rsidR="00541D05">
        <w:t xml:space="preserve"> </w:t>
      </w:r>
      <w:r w:rsidR="00D9258C" w:rsidRPr="00FD6A6A">
        <w:t>or</w:t>
      </w:r>
      <w:r w:rsidR="00541D05">
        <w:t xml:space="preserve"> </w:t>
      </w:r>
      <w:r w:rsidR="00D9258C" w:rsidRPr="00FD6A6A">
        <w:t>peoples,</w:t>
      </w:r>
      <w:r w:rsidR="00541D05">
        <w:t xml:space="preserve"> </w:t>
      </w:r>
      <w:r w:rsidR="00D9258C" w:rsidRPr="00FD6A6A">
        <w:t>or</w:t>
      </w:r>
      <w:r w:rsidR="00541D05">
        <w:t xml:space="preserve"> </w:t>
      </w:r>
      <w:r w:rsidR="00D9258C" w:rsidRPr="00FD6A6A">
        <w:t>even</w:t>
      </w:r>
      <w:r w:rsidR="00541D05">
        <w:t xml:space="preserve"> </w:t>
      </w:r>
      <w:r w:rsidR="00D9258C" w:rsidRPr="00FD6A6A">
        <w:t>cause</w:t>
      </w:r>
      <w:r w:rsidR="00541D05">
        <w:t xml:space="preserve"> </w:t>
      </w:r>
      <w:r w:rsidR="00D9258C" w:rsidRPr="00FD6A6A">
        <w:t>or</w:t>
      </w:r>
      <w:r w:rsidR="00541D05">
        <w:t xml:space="preserve"> </w:t>
      </w:r>
      <w:r w:rsidR="00D9258C" w:rsidRPr="00FD6A6A">
        <w:t>reinforce</w:t>
      </w:r>
      <w:r w:rsidR="00541D05">
        <w:t xml:space="preserve"> </w:t>
      </w:r>
      <w:r w:rsidR="00D9258C" w:rsidRPr="00FD6A6A">
        <w:t>any</w:t>
      </w:r>
      <w:r w:rsidR="00541D05">
        <w:t xml:space="preserve"> </w:t>
      </w:r>
      <w:r w:rsidR="00D9258C" w:rsidRPr="00FD6A6A">
        <w:t>form</w:t>
      </w:r>
      <w:r w:rsidR="00541D05">
        <w:t xml:space="preserve"> </w:t>
      </w:r>
      <w:r w:rsidR="00D9258C" w:rsidRPr="00FD6A6A">
        <w:t>of</w:t>
      </w:r>
      <w:r w:rsidR="00541D05">
        <w:t xml:space="preserve"> </w:t>
      </w:r>
      <w:r w:rsidR="00D9258C" w:rsidRPr="00FD6A6A">
        <w:t>inequality</w:t>
      </w:r>
      <w:r w:rsidR="006F4B87">
        <w:t>.</w:t>
      </w:r>
    </w:p>
    <w:p w14:paraId="189EAEE0" w14:textId="147C313D" w:rsidR="00D9258C" w:rsidRPr="00FD6A6A" w:rsidRDefault="00166390" w:rsidP="00166390">
      <w:pPr>
        <w:pStyle w:val="ParaNoG"/>
        <w:numPr>
          <w:ilvl w:val="0"/>
          <w:numId w:val="0"/>
        </w:numPr>
        <w:tabs>
          <w:tab w:val="left" w:pos="0"/>
        </w:tabs>
        <w:ind w:left="1134"/>
      </w:pPr>
      <w:r w:rsidRPr="00FD6A6A">
        <w:t>117.</w:t>
      </w:r>
      <w:r w:rsidRPr="00FD6A6A">
        <w:tab/>
      </w:r>
      <w:r w:rsidR="00D9258C" w:rsidRPr="00FD6A6A">
        <w:t>PNPCT</w:t>
      </w:r>
      <w:r w:rsidR="00541D05">
        <w:t xml:space="preserve"> </w:t>
      </w:r>
      <w:r w:rsidR="00D9258C" w:rsidRPr="00FD6A6A">
        <w:t>also</w:t>
      </w:r>
      <w:r w:rsidR="00541D05">
        <w:t xml:space="preserve"> </w:t>
      </w:r>
      <w:r w:rsidR="00D9258C" w:rsidRPr="00FD6A6A">
        <w:t>mentions</w:t>
      </w:r>
      <w:r w:rsidR="00541D05">
        <w:t xml:space="preserve"> </w:t>
      </w:r>
      <w:r w:rsidR="00D9258C" w:rsidRPr="00FD6A6A">
        <w:t>the</w:t>
      </w:r>
      <w:r w:rsidR="00541D05">
        <w:t xml:space="preserve"> </w:t>
      </w:r>
      <w:r w:rsidR="00D9258C" w:rsidRPr="00FD6A6A">
        <w:t>need</w:t>
      </w:r>
      <w:r w:rsidR="00541D05">
        <w:t xml:space="preserve"> </w:t>
      </w:r>
      <w:r w:rsidR="00D9258C" w:rsidRPr="00FD6A6A">
        <w:t>to</w:t>
      </w:r>
      <w:r w:rsidR="00541D05">
        <w:t xml:space="preserve"> </w:t>
      </w:r>
      <w:r w:rsidR="00D9258C" w:rsidRPr="00FD6A6A">
        <w:t>ensure</w:t>
      </w:r>
      <w:r w:rsidR="00541D05">
        <w:t xml:space="preserve"> </w:t>
      </w:r>
      <w:r w:rsidR="00D9258C" w:rsidRPr="00FD6A6A">
        <w:t>participation</w:t>
      </w:r>
      <w:r w:rsidR="00541D05">
        <w:t xml:space="preserve"> </w:t>
      </w:r>
      <w:r w:rsidR="00D9258C" w:rsidRPr="00FD6A6A">
        <w:t>of</w:t>
      </w:r>
      <w:r w:rsidR="00541D05">
        <w:t xml:space="preserve"> </w:t>
      </w:r>
      <w:r w:rsidR="00D9258C" w:rsidRPr="00FD6A6A">
        <w:t>civil</w:t>
      </w:r>
      <w:r w:rsidR="00541D05">
        <w:t xml:space="preserve"> </w:t>
      </w:r>
      <w:r w:rsidR="00D9258C" w:rsidRPr="00FD6A6A">
        <w:t>society</w:t>
      </w:r>
      <w:r w:rsidR="00541D05">
        <w:t xml:space="preserve"> </w:t>
      </w:r>
      <w:r w:rsidR="00D9258C" w:rsidRPr="00FD6A6A">
        <w:t>in</w:t>
      </w:r>
      <w:r w:rsidR="00541D05">
        <w:t xml:space="preserve"> </w:t>
      </w:r>
      <w:r w:rsidR="00D9258C" w:rsidRPr="00FD6A6A">
        <w:t>the</w:t>
      </w:r>
      <w:r w:rsidR="00541D05">
        <w:t xml:space="preserve"> </w:t>
      </w:r>
      <w:r w:rsidR="00D9258C" w:rsidRPr="00FD6A6A">
        <w:t>preparation,</w:t>
      </w:r>
      <w:r w:rsidR="00541D05">
        <w:t xml:space="preserve"> </w:t>
      </w:r>
      <w:r w:rsidR="00D9258C" w:rsidRPr="00FD6A6A">
        <w:t>monitoring,</w:t>
      </w:r>
      <w:r w:rsidR="00541D05">
        <w:t xml:space="preserve"> </w:t>
      </w:r>
      <w:r w:rsidR="00D9258C" w:rsidRPr="00FD6A6A">
        <w:t>and</w:t>
      </w:r>
      <w:r w:rsidR="00541D05">
        <w:t xml:space="preserve"> </w:t>
      </w:r>
      <w:r w:rsidR="00D9258C" w:rsidRPr="00FD6A6A">
        <w:t>implementation</w:t>
      </w:r>
      <w:r w:rsidR="00541D05">
        <w:t xml:space="preserve"> </w:t>
      </w:r>
      <w:r w:rsidR="00D9258C" w:rsidRPr="00FD6A6A">
        <w:t>of</w:t>
      </w:r>
      <w:r w:rsidR="00541D05">
        <w:t xml:space="preserve"> </w:t>
      </w:r>
      <w:r w:rsidR="00D9258C" w:rsidRPr="00FD6A6A">
        <w:t>this</w:t>
      </w:r>
      <w:r w:rsidR="00541D05">
        <w:t xml:space="preserve"> </w:t>
      </w:r>
      <w:r w:rsidR="00D9258C" w:rsidRPr="00FD6A6A">
        <w:t>Policy</w:t>
      </w:r>
      <w:r w:rsidR="00541D05">
        <w:t xml:space="preserve"> </w:t>
      </w:r>
      <w:r w:rsidR="00D9258C" w:rsidRPr="00FD6A6A">
        <w:t>to</w:t>
      </w:r>
      <w:r w:rsidR="00541D05">
        <w:t xml:space="preserve"> </w:t>
      </w:r>
      <w:r w:rsidR="00D9258C" w:rsidRPr="00FD6A6A">
        <w:t>be</w:t>
      </w:r>
      <w:r w:rsidR="00541D05">
        <w:t xml:space="preserve"> </w:t>
      </w:r>
      <w:r w:rsidR="00D9258C" w:rsidRPr="00FD6A6A">
        <w:t>implemented</w:t>
      </w:r>
      <w:r w:rsidR="00541D05">
        <w:t xml:space="preserve"> </w:t>
      </w:r>
      <w:r w:rsidR="00D9258C" w:rsidRPr="00FD6A6A">
        <w:t>by</w:t>
      </w:r>
      <w:r w:rsidR="00541D05">
        <w:t xml:space="preserve"> </w:t>
      </w:r>
      <w:r w:rsidR="00D9258C" w:rsidRPr="00FD6A6A">
        <w:t>the</w:t>
      </w:r>
      <w:r w:rsidR="00541D05">
        <w:t xml:space="preserve"> </w:t>
      </w:r>
      <w:r w:rsidR="00D9258C" w:rsidRPr="00FD6A6A">
        <w:t>governmental</w:t>
      </w:r>
      <w:r w:rsidR="00541D05">
        <w:t xml:space="preserve"> </w:t>
      </w:r>
      <w:r w:rsidR="00D9258C" w:rsidRPr="00FD6A6A">
        <w:t>bodies;</w:t>
      </w:r>
      <w:r w:rsidR="00541D05">
        <w:t xml:space="preserve"> </w:t>
      </w:r>
      <w:r w:rsidR="00D9258C" w:rsidRPr="00FD6A6A">
        <w:t>the</w:t>
      </w:r>
      <w:r w:rsidR="00541D05">
        <w:t xml:space="preserve"> </w:t>
      </w:r>
      <w:r w:rsidR="00D9258C" w:rsidRPr="00FD6A6A">
        <w:t>construction</w:t>
      </w:r>
      <w:r w:rsidR="00541D05">
        <w:t xml:space="preserve"> </w:t>
      </w:r>
      <w:r w:rsidR="00D9258C" w:rsidRPr="00FD6A6A">
        <w:t>of</w:t>
      </w:r>
      <w:r w:rsidR="00541D05">
        <w:t xml:space="preserve"> </w:t>
      </w:r>
      <w:r w:rsidR="00D9258C" w:rsidRPr="00FD6A6A">
        <w:t>a</w:t>
      </w:r>
      <w:r w:rsidR="00541D05">
        <w:t xml:space="preserve"> </w:t>
      </w:r>
      <w:r w:rsidR="00D9258C" w:rsidRPr="00FD6A6A">
        <w:t>process</w:t>
      </w:r>
      <w:r w:rsidR="00541D05">
        <w:t xml:space="preserve"> </w:t>
      </w:r>
      <w:r w:rsidR="00D9258C" w:rsidRPr="00FD6A6A">
        <w:t>for</w:t>
      </w:r>
      <w:r w:rsidR="00541D05">
        <w:t xml:space="preserve"> </w:t>
      </w:r>
      <w:r w:rsidR="00D9258C" w:rsidRPr="00FD6A6A">
        <w:t>raising</w:t>
      </w:r>
      <w:r w:rsidR="00541D05">
        <w:t xml:space="preserve"> </w:t>
      </w:r>
      <w:r w:rsidR="00D9258C" w:rsidRPr="00FD6A6A">
        <w:t>awareness</w:t>
      </w:r>
      <w:r w:rsidR="00541D05">
        <w:t xml:space="preserve"> </w:t>
      </w:r>
      <w:r w:rsidR="00D9258C" w:rsidRPr="00FD6A6A">
        <w:t>among</w:t>
      </w:r>
      <w:r w:rsidR="00541D05">
        <w:t xml:space="preserve"> </w:t>
      </w:r>
      <w:r w:rsidR="00D9258C" w:rsidRPr="00FD6A6A">
        <w:t>public</w:t>
      </w:r>
      <w:r w:rsidR="00541D05">
        <w:t xml:space="preserve"> </w:t>
      </w:r>
      <w:r w:rsidR="00D9258C" w:rsidRPr="00FD6A6A">
        <w:t>bodies</w:t>
      </w:r>
      <w:r w:rsidR="00541D05">
        <w:t xml:space="preserve"> </w:t>
      </w:r>
      <w:r w:rsidR="00D9258C" w:rsidRPr="00FD6A6A">
        <w:t>about</w:t>
      </w:r>
      <w:r w:rsidR="00541D05">
        <w:t xml:space="preserve"> </w:t>
      </w:r>
      <w:r w:rsidR="00D9258C" w:rsidRPr="00FD6A6A">
        <w:t>the</w:t>
      </w:r>
      <w:r w:rsidR="00541D05">
        <w:t xml:space="preserve"> </w:t>
      </w:r>
      <w:r w:rsidR="00D9258C" w:rsidRPr="00FD6A6A">
        <w:t>importance</w:t>
      </w:r>
      <w:r w:rsidR="00541D05">
        <w:t xml:space="preserve"> </w:t>
      </w:r>
      <w:r w:rsidR="00D9258C" w:rsidRPr="00FD6A6A">
        <w:t>of</w:t>
      </w:r>
      <w:r w:rsidR="00541D05">
        <w:t xml:space="preserve"> </w:t>
      </w:r>
      <w:r w:rsidR="00D9258C" w:rsidRPr="00FD6A6A">
        <w:t>human,</w:t>
      </w:r>
      <w:r w:rsidR="00541D05">
        <w:t xml:space="preserve"> </w:t>
      </w:r>
      <w:r w:rsidR="00D9258C" w:rsidRPr="00FD6A6A">
        <w:t>economic,</w:t>
      </w:r>
      <w:r w:rsidR="00541D05">
        <w:t xml:space="preserve"> </w:t>
      </w:r>
      <w:r w:rsidR="00D9258C" w:rsidRPr="00FD6A6A">
        <w:t>social,</w:t>
      </w:r>
      <w:r w:rsidR="00541D05">
        <w:t xml:space="preserve"> </w:t>
      </w:r>
      <w:r w:rsidR="00D9258C" w:rsidRPr="00FD6A6A">
        <w:t>cultural,</w:t>
      </w:r>
      <w:r w:rsidR="00541D05">
        <w:t xml:space="preserve"> </w:t>
      </w:r>
      <w:r w:rsidR="00D9258C" w:rsidRPr="00FD6A6A">
        <w:t>and</w:t>
      </w:r>
      <w:r w:rsidR="00541D05">
        <w:t xml:space="preserve"> </w:t>
      </w:r>
      <w:r w:rsidR="00D9258C" w:rsidRPr="00FD6A6A">
        <w:t>environmental</w:t>
      </w:r>
      <w:r w:rsidR="00541D05">
        <w:t xml:space="preserve"> </w:t>
      </w:r>
      <w:r w:rsidR="00D9258C" w:rsidRPr="00FD6A6A">
        <w:t>rights,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in</w:t>
      </w:r>
      <w:r w:rsidR="00541D05">
        <w:t xml:space="preserve"> </w:t>
      </w:r>
      <w:r w:rsidR="00D9258C" w:rsidRPr="00FD6A6A">
        <w:t>social</w:t>
      </w:r>
      <w:r w:rsidR="00541D05">
        <w:t xml:space="preserve"> </w:t>
      </w:r>
      <w:r w:rsidR="00D9258C" w:rsidRPr="00FD6A6A">
        <w:t>control</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guarantee</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the</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the</w:t>
      </w:r>
      <w:r w:rsidR="00541D05">
        <w:t xml:space="preserve"> </w:t>
      </w:r>
      <w:r w:rsidR="00D9258C" w:rsidRPr="00FD6A6A">
        <w:t>eradication</w:t>
      </w:r>
      <w:r w:rsidR="00541D05">
        <w:t xml:space="preserve"> </w:t>
      </w:r>
      <w:r w:rsidR="00D9258C" w:rsidRPr="00FD6A6A">
        <w:t>of</w:t>
      </w:r>
      <w:r w:rsidR="00541D05">
        <w:t xml:space="preserve"> </w:t>
      </w:r>
      <w:r w:rsidR="00D9258C" w:rsidRPr="00FD6A6A">
        <w:t>all</w:t>
      </w:r>
      <w:r w:rsidR="00541D05">
        <w:t xml:space="preserve"> </w:t>
      </w:r>
      <w:r w:rsidR="00D9258C" w:rsidRPr="00FD6A6A">
        <w:t>forms</w:t>
      </w:r>
      <w:r w:rsidR="00541D05">
        <w:t xml:space="preserve"> </w:t>
      </w:r>
      <w:r w:rsidR="00D9258C" w:rsidRPr="00FD6A6A">
        <w:t>of</w:t>
      </w:r>
      <w:r w:rsidR="00541D05">
        <w:t xml:space="preserve"> </w:t>
      </w:r>
      <w:r w:rsidR="00D9258C" w:rsidRPr="00FD6A6A">
        <w:t>discrimination,</w:t>
      </w:r>
      <w:r w:rsidR="00541D05">
        <w:t xml:space="preserve"> </w:t>
      </w:r>
      <w:r w:rsidR="00D9258C" w:rsidRPr="00FD6A6A">
        <w:t>including</w:t>
      </w:r>
      <w:r w:rsidR="00541D05">
        <w:t xml:space="preserve"> </w:t>
      </w:r>
      <w:r w:rsidR="00D9258C" w:rsidRPr="00FD6A6A">
        <w:t>the</w:t>
      </w:r>
      <w:r w:rsidR="00541D05">
        <w:t xml:space="preserve"> </w:t>
      </w:r>
      <w:r w:rsidR="00D9258C" w:rsidRPr="00FD6A6A">
        <w:t>fight</w:t>
      </w:r>
      <w:r w:rsidR="00541D05">
        <w:t xml:space="preserve"> </w:t>
      </w:r>
      <w:r w:rsidR="00D9258C" w:rsidRPr="00FD6A6A">
        <w:t>against</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and</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cultural</w:t>
      </w:r>
      <w:r w:rsidR="00541D05">
        <w:t xml:space="preserve"> </w:t>
      </w:r>
      <w:r w:rsidR="00D9258C" w:rsidRPr="00FD6A6A">
        <w:t>rights,</w:t>
      </w:r>
      <w:r w:rsidR="00541D05">
        <w:t xml:space="preserve"> </w:t>
      </w:r>
      <w:r w:rsidR="00D9258C" w:rsidRPr="00FD6A6A">
        <w:t>the</w:t>
      </w:r>
      <w:r w:rsidR="00541D05">
        <w:t xml:space="preserve"> </w:t>
      </w:r>
      <w:r w:rsidR="00D9258C" w:rsidRPr="00FD6A6A">
        <w:t>exercise</w:t>
      </w:r>
      <w:r w:rsidR="00541D05">
        <w:t xml:space="preserve"> </w:t>
      </w:r>
      <w:r w:rsidR="00D9258C" w:rsidRPr="00FD6A6A">
        <w:t>of</w:t>
      </w:r>
      <w:r w:rsidR="00541D05">
        <w:t xml:space="preserve"> </w:t>
      </w:r>
      <w:r w:rsidR="00D9258C" w:rsidRPr="00FD6A6A">
        <w:t>community</w:t>
      </w:r>
      <w:r w:rsidR="00541D05">
        <w:t xml:space="preserve"> </w:t>
      </w:r>
      <w:r w:rsidR="00D9258C" w:rsidRPr="00FD6A6A">
        <w:t>practices,</w:t>
      </w:r>
      <w:r w:rsidR="00541D05">
        <w:t xml:space="preserve"> </w:t>
      </w:r>
      <w:r w:rsidR="00D9258C" w:rsidRPr="00FD6A6A">
        <w:t>cultural</w:t>
      </w:r>
      <w:r w:rsidR="00541D05">
        <w:t xml:space="preserve"> </w:t>
      </w:r>
      <w:r w:rsidR="00D9258C" w:rsidRPr="00FD6A6A">
        <w:t>memory,</w:t>
      </w:r>
      <w:r w:rsidR="00541D05">
        <w:t xml:space="preserve"> </w:t>
      </w:r>
      <w:r w:rsidR="00D9258C" w:rsidRPr="00FD6A6A">
        <w:t>and</w:t>
      </w:r>
      <w:r w:rsidR="00541D05">
        <w:t xml:space="preserve"> </w:t>
      </w:r>
      <w:r w:rsidR="00D9258C" w:rsidRPr="00FD6A6A">
        <w:t>racial</w:t>
      </w:r>
      <w:r w:rsidR="00541D05">
        <w:t xml:space="preserve"> </w:t>
      </w:r>
      <w:r w:rsidR="00D9258C" w:rsidRPr="00FD6A6A">
        <w:t>and</w:t>
      </w:r>
      <w:r w:rsidR="00541D05">
        <w:t xml:space="preserve"> </w:t>
      </w:r>
      <w:r w:rsidR="00D9258C" w:rsidRPr="00FD6A6A">
        <w:t>ethnic</w:t>
      </w:r>
      <w:r w:rsidR="00541D05">
        <w:t xml:space="preserve"> </w:t>
      </w:r>
      <w:r w:rsidR="00D9258C" w:rsidRPr="00FD6A6A">
        <w:t>identity.</w:t>
      </w:r>
    </w:p>
    <w:p w14:paraId="1AA78797" w14:textId="320F6AAD" w:rsidR="00D9258C" w:rsidRPr="00FD6A6A" w:rsidRDefault="00166390" w:rsidP="00166390">
      <w:pPr>
        <w:pStyle w:val="ParaNoG"/>
        <w:numPr>
          <w:ilvl w:val="0"/>
          <w:numId w:val="0"/>
        </w:numPr>
        <w:tabs>
          <w:tab w:val="left" w:pos="0"/>
        </w:tabs>
        <w:ind w:left="1134"/>
      </w:pPr>
      <w:r w:rsidRPr="00FD6A6A">
        <w:t>118.</w:t>
      </w:r>
      <w:r w:rsidRPr="00FD6A6A">
        <w:tab/>
      </w:r>
      <w:r w:rsidR="00D9258C" w:rsidRPr="00FD6A6A">
        <w:t>The</w:t>
      </w:r>
      <w:r w:rsidR="00541D05">
        <w:t xml:space="preserve"> </w:t>
      </w:r>
      <w:r w:rsidR="00D9258C" w:rsidRPr="00FD6A6A">
        <w:t>main</w:t>
      </w:r>
      <w:r w:rsidR="00541D05">
        <w:t xml:space="preserve"> </w:t>
      </w:r>
      <w:r w:rsidR="00D9258C" w:rsidRPr="00FD6A6A">
        <w:t>actions</w:t>
      </w:r>
      <w:r w:rsidR="00541D05">
        <w:t xml:space="preserve"> </w:t>
      </w:r>
      <w:r w:rsidR="00D9258C" w:rsidRPr="00FD6A6A">
        <w:t>directed</w:t>
      </w:r>
      <w:r w:rsidR="00541D05">
        <w:t xml:space="preserve"> </w:t>
      </w:r>
      <w:r w:rsidR="00D9258C" w:rsidRPr="00FD6A6A">
        <w:t>at</w:t>
      </w:r>
      <w:r w:rsidR="00541D05">
        <w:t xml:space="preserve"> </w:t>
      </w:r>
      <w:r w:rsidR="00D9258C" w:rsidRPr="00FD6A6A">
        <w:t>these</w:t>
      </w:r>
      <w:r w:rsidR="00541D05">
        <w:t xml:space="preserve"> </w:t>
      </w:r>
      <w:r w:rsidR="00D9258C" w:rsidRPr="00FD6A6A">
        <w:t>groups</w:t>
      </w:r>
      <w:r w:rsidR="00541D05">
        <w:t xml:space="preserve"> </w:t>
      </w:r>
      <w:r w:rsidR="00D9258C" w:rsidRPr="00FD6A6A">
        <w:t>include</w:t>
      </w:r>
      <w:r w:rsidR="00541D05">
        <w:t xml:space="preserve"> </w:t>
      </w:r>
      <w:r w:rsidR="00D9258C" w:rsidRPr="00FD6A6A">
        <w:t>insertion</w:t>
      </w:r>
      <w:r w:rsidR="00541D05">
        <w:t xml:space="preserve"> </w:t>
      </w:r>
      <w:r w:rsidR="00D9258C" w:rsidRPr="00FD6A6A">
        <w:t>into</w:t>
      </w:r>
      <w:r w:rsidR="00541D05">
        <w:t xml:space="preserve"> </w:t>
      </w:r>
      <w:r w:rsidR="00D9258C" w:rsidRPr="00FD6A6A">
        <w:t>social</w:t>
      </w:r>
      <w:r w:rsidR="00541D05">
        <w:t xml:space="preserve"> </w:t>
      </w:r>
      <w:r w:rsidR="00D9258C" w:rsidRPr="00FD6A6A">
        <w:t>programs,</w:t>
      </w:r>
      <w:r w:rsidR="00541D05">
        <w:t xml:space="preserve"> </w:t>
      </w:r>
      <w:r w:rsidR="00D9258C" w:rsidRPr="00FD6A6A">
        <w:t>especially</w:t>
      </w:r>
      <w:r w:rsidR="00541D05">
        <w:t xml:space="preserve"> </w:t>
      </w:r>
      <w:r w:rsidR="00D9258C" w:rsidRPr="00FD6A6A">
        <w:t>those</w:t>
      </w:r>
      <w:r w:rsidR="00541D05">
        <w:t xml:space="preserve"> </w:t>
      </w:r>
      <w:r w:rsidR="00D9258C" w:rsidRPr="00FD6A6A">
        <w:t>of</w:t>
      </w:r>
      <w:r w:rsidR="00541D05">
        <w:t xml:space="preserve"> </w:t>
      </w:r>
      <w:r w:rsidR="00D9258C" w:rsidRPr="00FD6A6A">
        <w:t>income</w:t>
      </w:r>
      <w:r w:rsidR="00541D05">
        <w:t xml:space="preserve"> </w:t>
      </w:r>
      <w:r w:rsidR="00D9258C" w:rsidRPr="00FD6A6A">
        <w:t>transfer</w:t>
      </w:r>
      <w:r w:rsidR="00541D05">
        <w:t xml:space="preserve"> </w:t>
      </w:r>
      <w:r w:rsidR="00D9258C" w:rsidRPr="00FD6A6A">
        <w:t>directed</w:t>
      </w:r>
      <w:r w:rsidR="00541D05">
        <w:t xml:space="preserve"> </w:t>
      </w:r>
      <w:r w:rsidR="00D9258C" w:rsidRPr="00FD6A6A">
        <w:t>to</w:t>
      </w:r>
      <w:r w:rsidR="00541D05">
        <w:t xml:space="preserve"> </w:t>
      </w:r>
      <w:r w:rsidR="00D9258C" w:rsidRPr="00FD6A6A">
        <w:t>eradication</w:t>
      </w:r>
      <w:r w:rsidR="00541D05">
        <w:t xml:space="preserve"> </w:t>
      </w:r>
      <w:r w:rsidR="00D9258C" w:rsidRPr="00FD6A6A">
        <w:t>of</w:t>
      </w:r>
      <w:r w:rsidR="00541D05">
        <w:t xml:space="preserve"> </w:t>
      </w:r>
      <w:r w:rsidR="00D9258C" w:rsidRPr="00FD6A6A">
        <w:t>extreme</w:t>
      </w:r>
      <w:r w:rsidR="00541D05">
        <w:t xml:space="preserve"> </w:t>
      </w:r>
      <w:r w:rsidR="00D9258C" w:rsidRPr="00FD6A6A">
        <w:t>poverty;</w:t>
      </w:r>
      <w:r w:rsidR="00541D05">
        <w:t xml:space="preserve"> </w:t>
      </w:r>
      <w:r w:rsidR="00D9258C" w:rsidRPr="00FD6A6A">
        <w:t>and</w:t>
      </w:r>
      <w:r w:rsidR="00541D05">
        <w:t xml:space="preserve"> </w:t>
      </w:r>
      <w:r w:rsidR="00D9258C" w:rsidRPr="00FD6A6A">
        <w:t>the</w:t>
      </w:r>
      <w:r w:rsidR="00541D05">
        <w:t xml:space="preserve"> </w:t>
      </w:r>
      <w:r w:rsidR="00D9258C" w:rsidRPr="00FD6A6A">
        <w:t>creation</w:t>
      </w:r>
      <w:r w:rsidR="00541D05">
        <w:t xml:space="preserve"> </w:t>
      </w:r>
      <w:r w:rsidR="00D9258C" w:rsidRPr="00FD6A6A">
        <w:t>of</w:t>
      </w:r>
      <w:r w:rsidR="00541D05">
        <w:t xml:space="preserve"> </w:t>
      </w:r>
      <w:r w:rsidR="00D9258C" w:rsidRPr="00FD6A6A">
        <w:t>the</w:t>
      </w:r>
      <w:r w:rsidR="00541D05">
        <w:t xml:space="preserve"> </w:t>
      </w:r>
      <w:r w:rsidR="00D9258C" w:rsidRPr="00FD6A6A">
        <w:t>National</w:t>
      </w:r>
      <w:r w:rsidR="00541D05">
        <w:t xml:space="preserve"> </w:t>
      </w:r>
      <w:r w:rsidR="00D9258C" w:rsidRPr="00FD6A6A">
        <w:t>Plan</w:t>
      </w:r>
      <w:r w:rsidR="00541D05">
        <w:t xml:space="preserve"> </w:t>
      </w:r>
      <w:r w:rsidR="00D9258C" w:rsidRPr="00FD6A6A">
        <w:t>for</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Sociobiodiversity</w:t>
      </w:r>
      <w:r w:rsidR="00541D05">
        <w:t xml:space="preserve"> </w:t>
      </w:r>
      <w:r w:rsidR="00D9258C" w:rsidRPr="00FD6A6A">
        <w:t>Products,</w:t>
      </w:r>
      <w:r w:rsidR="00541D05">
        <w:t xml:space="preserve"> </w:t>
      </w:r>
      <w:r w:rsidR="00D9258C" w:rsidRPr="00FD6A6A">
        <w:t>aiming</w:t>
      </w:r>
      <w:r w:rsidR="00541D05">
        <w:t xml:space="preserve"> </w:t>
      </w:r>
      <w:r w:rsidR="00D9258C" w:rsidRPr="00FD6A6A">
        <w:t>at</w:t>
      </w:r>
      <w:r w:rsidR="00541D05">
        <w:t xml:space="preserve"> </w:t>
      </w:r>
      <w:r w:rsidR="00D9258C" w:rsidRPr="00FD6A6A">
        <w:t>promoting</w:t>
      </w:r>
      <w:r w:rsidR="00541D05">
        <w:t xml:space="preserve"> </w:t>
      </w:r>
      <w:r w:rsidR="00D9258C" w:rsidRPr="00FD6A6A">
        <w:t>preservation</w:t>
      </w:r>
      <w:r w:rsidR="00541D05">
        <w:t xml:space="preserve"> </w:t>
      </w:r>
      <w:r w:rsidR="00D9258C" w:rsidRPr="00FD6A6A">
        <w:t>and</w:t>
      </w:r>
      <w:r w:rsidR="00541D05">
        <w:t xml:space="preserve"> </w:t>
      </w:r>
      <w:r w:rsidR="00D9258C" w:rsidRPr="00FD6A6A">
        <w:t>sustainable</w:t>
      </w:r>
      <w:r w:rsidR="00541D05">
        <w:t xml:space="preserve"> </w:t>
      </w:r>
      <w:r w:rsidR="00D9258C" w:rsidRPr="00FD6A6A">
        <w:t>use</w:t>
      </w:r>
      <w:r w:rsidR="00541D05">
        <w:t xml:space="preserve"> </w:t>
      </w:r>
      <w:r w:rsidR="00D9258C" w:rsidRPr="00FD6A6A">
        <w:t>of</w:t>
      </w:r>
      <w:r w:rsidR="00541D05">
        <w:t xml:space="preserve"> </w:t>
      </w:r>
      <w:r w:rsidR="00D9258C" w:rsidRPr="00FD6A6A">
        <w:t>biodiversity</w:t>
      </w:r>
      <w:r w:rsidR="00541D05">
        <w:t xml:space="preserve"> </w:t>
      </w:r>
      <w:r w:rsidR="00D9258C" w:rsidRPr="00FD6A6A">
        <w:t>and</w:t>
      </w:r>
      <w:r w:rsidR="00541D05">
        <w:t xml:space="preserve"> </w:t>
      </w:r>
      <w:r w:rsidR="00D9258C" w:rsidRPr="00FD6A6A">
        <w:t>ensuring</w:t>
      </w:r>
      <w:r w:rsidR="00541D05">
        <w:t xml:space="preserve"> </w:t>
      </w:r>
      <w:r w:rsidR="00D9258C" w:rsidRPr="00FD6A6A">
        <w:t>income</w:t>
      </w:r>
      <w:r w:rsidR="00541D05">
        <w:t xml:space="preserve"> </w:t>
      </w:r>
      <w:r w:rsidR="00D9258C" w:rsidRPr="00FD6A6A">
        <w:t>generation</w:t>
      </w:r>
      <w:r w:rsidR="00541D05">
        <w:t xml:space="preserve"> </w:t>
      </w:r>
      <w:r w:rsidR="00D9258C" w:rsidRPr="00FD6A6A">
        <w:t>alternatives</w:t>
      </w:r>
      <w:r w:rsidR="00541D05">
        <w:t xml:space="preserve"> </w:t>
      </w:r>
      <w:r w:rsidR="00D9258C" w:rsidRPr="00FD6A6A">
        <w:t>for</w:t>
      </w:r>
      <w:r w:rsidR="00541D05">
        <w:t xml:space="preserve"> </w:t>
      </w:r>
      <w:r w:rsidR="00D9258C" w:rsidRPr="00FD6A6A">
        <w:t>rural</w:t>
      </w:r>
      <w:r w:rsidR="00541D05">
        <w:t xml:space="preserve"> </w:t>
      </w:r>
      <w:r w:rsidR="00D9258C" w:rsidRPr="00FD6A6A">
        <w:t>communities,</w:t>
      </w:r>
      <w:r w:rsidR="00541D05">
        <w:t xml:space="preserve"> </w:t>
      </w:r>
      <w:r w:rsidR="00D9258C" w:rsidRPr="00FD6A6A">
        <w:t>through</w:t>
      </w:r>
      <w:r w:rsidR="00541D05">
        <w:t xml:space="preserve"> </w:t>
      </w:r>
      <w:r w:rsidR="00D9258C" w:rsidRPr="00FD6A6A">
        <w:t>access</w:t>
      </w:r>
      <w:r w:rsidR="00541D05">
        <w:t xml:space="preserve"> </w:t>
      </w:r>
      <w:r w:rsidR="00D9258C" w:rsidRPr="00FD6A6A">
        <w:t>to</w:t>
      </w:r>
      <w:r w:rsidR="00541D05">
        <w:t xml:space="preserve"> </w:t>
      </w:r>
      <w:r w:rsidR="00D9258C" w:rsidRPr="00FD6A6A">
        <w:t>credit</w:t>
      </w:r>
      <w:r w:rsidR="00541D05">
        <w:t xml:space="preserve"> </w:t>
      </w:r>
      <w:r w:rsidR="00D9258C" w:rsidRPr="00FD6A6A">
        <w:t>policies,</w:t>
      </w:r>
      <w:r w:rsidR="00541D05">
        <w:t xml:space="preserve"> </w:t>
      </w:r>
      <w:r w:rsidR="00D9258C" w:rsidRPr="00FD6A6A">
        <w:t>technical</w:t>
      </w:r>
      <w:r w:rsidR="00541D05">
        <w:t xml:space="preserve"> </w:t>
      </w:r>
      <w:r w:rsidR="00D9258C" w:rsidRPr="00FD6A6A">
        <w:t>support,</w:t>
      </w:r>
      <w:r w:rsidR="00541D05">
        <w:t xml:space="preserve"> </w:t>
      </w:r>
      <w:r w:rsidR="00D9258C" w:rsidRPr="00FD6A6A">
        <w:t>and</w:t>
      </w:r>
      <w:r w:rsidR="00541D05">
        <w:t xml:space="preserve"> </w:t>
      </w:r>
      <w:r w:rsidR="00D9258C" w:rsidRPr="00FD6A6A">
        <w:t>agricultural</w:t>
      </w:r>
      <w:r w:rsidR="00541D05">
        <w:t xml:space="preserve"> </w:t>
      </w:r>
      <w:r w:rsidR="00D9258C" w:rsidRPr="00FD6A6A">
        <w:t>extension,</w:t>
      </w:r>
      <w:r w:rsidR="00541D05">
        <w:t xml:space="preserve"> </w:t>
      </w:r>
      <w:r w:rsidR="00D9258C" w:rsidRPr="00FD6A6A">
        <w:t>to</w:t>
      </w:r>
      <w:r w:rsidR="00541D05">
        <w:t xml:space="preserve"> </w:t>
      </w:r>
      <w:r w:rsidR="00D9258C" w:rsidRPr="00FD6A6A">
        <w:t>markets</w:t>
      </w:r>
      <w:r w:rsidR="00541D05">
        <w:t xml:space="preserve"> </w:t>
      </w:r>
      <w:r w:rsidR="00D9258C" w:rsidRPr="00FD6A6A">
        <w:t>and</w:t>
      </w:r>
      <w:r w:rsidR="00541D05">
        <w:t xml:space="preserve"> </w:t>
      </w:r>
      <w:r w:rsidR="00D9258C" w:rsidRPr="00FD6A6A">
        <w:t>marketing</w:t>
      </w:r>
      <w:r w:rsidR="00541D05">
        <w:t xml:space="preserve"> </w:t>
      </w:r>
      <w:r w:rsidR="00D9258C" w:rsidRPr="00FD6A6A">
        <w:t>tools,</w:t>
      </w:r>
      <w:r w:rsidR="00541D05">
        <w:t xml:space="preserve"> </w:t>
      </w:r>
      <w:r w:rsidR="00D9258C" w:rsidRPr="00FD6A6A">
        <w:t>and</w:t>
      </w:r>
      <w:r w:rsidR="00541D05">
        <w:t xml:space="preserve"> </w:t>
      </w:r>
      <w:r w:rsidR="00D9258C" w:rsidRPr="00FD6A6A">
        <w:t>to</w:t>
      </w:r>
      <w:r w:rsidR="00541D05">
        <w:t xml:space="preserve"> </w:t>
      </w:r>
      <w:r w:rsidR="00D9258C" w:rsidRPr="00FD6A6A">
        <w:t>the</w:t>
      </w:r>
      <w:r w:rsidR="00541D05">
        <w:t xml:space="preserve"> </w:t>
      </w:r>
      <w:r w:rsidR="00D9258C" w:rsidRPr="00FD6A6A">
        <w:t>policy</w:t>
      </w:r>
      <w:r w:rsidR="00541D05">
        <w:t xml:space="preserve"> </w:t>
      </w:r>
      <w:r w:rsidR="00D9258C" w:rsidRPr="00FD6A6A">
        <w:t>of</w:t>
      </w:r>
      <w:r w:rsidR="00541D05">
        <w:t xml:space="preserve"> </w:t>
      </w:r>
      <w:r w:rsidR="00D9258C" w:rsidRPr="00FD6A6A">
        <w:t>guaranteeing</w:t>
      </w:r>
      <w:r w:rsidR="00541D05">
        <w:t xml:space="preserve"> </w:t>
      </w:r>
      <w:r w:rsidR="00D9258C" w:rsidRPr="00FD6A6A">
        <w:t>of</w:t>
      </w:r>
      <w:r w:rsidR="00541D05">
        <w:t xml:space="preserve"> </w:t>
      </w:r>
      <w:r w:rsidR="00D9258C" w:rsidRPr="00FD6A6A">
        <w:t>minimum</w:t>
      </w:r>
      <w:r w:rsidR="00541D05">
        <w:t xml:space="preserve"> </w:t>
      </w:r>
      <w:r w:rsidR="00D9258C" w:rsidRPr="00FD6A6A">
        <w:t>prices.</w:t>
      </w:r>
    </w:p>
    <w:p w14:paraId="280978E2" w14:textId="65275C5E" w:rsidR="00D9258C" w:rsidRPr="00FD6A6A" w:rsidRDefault="00166390" w:rsidP="00166390">
      <w:pPr>
        <w:pStyle w:val="ParaNoG"/>
        <w:numPr>
          <w:ilvl w:val="0"/>
          <w:numId w:val="0"/>
        </w:numPr>
        <w:tabs>
          <w:tab w:val="left" w:pos="0"/>
        </w:tabs>
        <w:ind w:left="1134"/>
      </w:pPr>
      <w:r w:rsidRPr="00FD6A6A">
        <w:t>119.</w:t>
      </w:r>
      <w:r w:rsidRPr="00FD6A6A">
        <w:tab/>
      </w:r>
      <w:r w:rsidR="00D9258C" w:rsidRPr="00FD6A6A">
        <w:t>Additionally,</w:t>
      </w:r>
      <w:r w:rsidR="00541D05">
        <w:t xml:space="preserve"> </w:t>
      </w:r>
      <w:r w:rsidR="00D9258C" w:rsidRPr="00FD6A6A">
        <w:t>the</w:t>
      </w:r>
      <w:r w:rsidR="00541D05">
        <w:t xml:space="preserve"> </w:t>
      </w:r>
      <w:r w:rsidR="00D9258C" w:rsidRPr="00FD6A6A">
        <w:t>policy</w:t>
      </w:r>
      <w:r w:rsidR="00541D05">
        <w:t xml:space="preserve"> </w:t>
      </w:r>
      <w:r w:rsidR="00D9258C" w:rsidRPr="00FD6A6A">
        <w:t>for</w:t>
      </w:r>
      <w:r w:rsidR="00541D05">
        <w:t xml:space="preserve"> </w:t>
      </w:r>
      <w:r w:rsidR="00D9258C" w:rsidRPr="00FD6A6A">
        <w:t>technical</w:t>
      </w:r>
      <w:r w:rsidR="00541D05">
        <w:t xml:space="preserve"> </w:t>
      </w:r>
      <w:r w:rsidR="00D9258C" w:rsidRPr="00FD6A6A">
        <w:t>support</w:t>
      </w:r>
      <w:r w:rsidR="00541D05">
        <w:t xml:space="preserve"> </w:t>
      </w:r>
      <w:r w:rsidR="00D9258C" w:rsidRPr="00FD6A6A">
        <w:t>and</w:t>
      </w:r>
      <w:r w:rsidR="00541D05">
        <w:t xml:space="preserve"> </w:t>
      </w:r>
      <w:r w:rsidR="00D9258C" w:rsidRPr="00FD6A6A">
        <w:t>agricultural</w:t>
      </w:r>
      <w:r w:rsidR="00541D05">
        <w:t xml:space="preserve"> </w:t>
      </w:r>
      <w:r w:rsidR="00D9258C" w:rsidRPr="00FD6A6A">
        <w:t>extension</w:t>
      </w:r>
      <w:r w:rsidR="00541D05">
        <w:t xml:space="preserve"> </w:t>
      </w:r>
      <w:r w:rsidR="00D9258C" w:rsidRPr="00FD6A6A">
        <w:t>for</w:t>
      </w:r>
      <w:r w:rsidR="00541D05">
        <w:t xml:space="preserve"> </w:t>
      </w:r>
      <w:r w:rsidR="00D9258C" w:rsidRPr="0068127F">
        <w:rPr>
          <w:i/>
          <w:iCs/>
        </w:rPr>
        <w:t>Quilombola</w:t>
      </w:r>
      <w:r w:rsidR="00541D05" w:rsidRPr="0068127F">
        <w:rPr>
          <w:i/>
          <w:iCs/>
        </w:rPr>
        <w:t xml:space="preserve"> </w:t>
      </w:r>
      <w:r w:rsidR="00D9258C" w:rsidRPr="00FD6A6A">
        <w:t>communities;</w:t>
      </w:r>
      <w:r w:rsidR="00541D05">
        <w:t xml:space="preserve"> </w:t>
      </w:r>
      <w:r w:rsidR="00D9258C" w:rsidRPr="00FD6A6A">
        <w:t>namely</w:t>
      </w:r>
      <w:r w:rsidR="00541D05">
        <w:t xml:space="preserve"> </w:t>
      </w:r>
      <w:r w:rsidR="00D9258C" w:rsidRPr="00FD6A6A">
        <w:t>the</w:t>
      </w:r>
      <w:r w:rsidR="00541D05">
        <w:t xml:space="preserve"> </w:t>
      </w:r>
      <w:r w:rsidR="00D9258C" w:rsidRPr="0068127F">
        <w:rPr>
          <w:i/>
          <w:iCs/>
        </w:rPr>
        <w:t>Bolsa</w:t>
      </w:r>
      <w:r w:rsidR="00541D05" w:rsidRPr="0068127F">
        <w:rPr>
          <w:i/>
          <w:iCs/>
        </w:rPr>
        <w:t xml:space="preserve"> </w:t>
      </w:r>
      <w:r w:rsidR="00D9258C" w:rsidRPr="0068127F">
        <w:rPr>
          <w:i/>
          <w:iCs/>
        </w:rPr>
        <w:t>Verde</w:t>
      </w:r>
      <w:r w:rsidR="00541D05">
        <w:t xml:space="preserve"> </w:t>
      </w:r>
      <w:r w:rsidR="00D9258C" w:rsidRPr="00FD6A6A">
        <w:t>Program,</w:t>
      </w:r>
      <w:r w:rsidR="00541D05">
        <w:t xml:space="preserve"> </w:t>
      </w:r>
      <w:r w:rsidR="00D9258C" w:rsidRPr="00FD6A6A">
        <w:t>is</w:t>
      </w:r>
      <w:r w:rsidR="00541D05">
        <w:t xml:space="preserve"> </w:t>
      </w:r>
      <w:r w:rsidR="00D9258C" w:rsidRPr="00FD6A6A">
        <w:t>a</w:t>
      </w:r>
      <w:r w:rsidR="00541D05">
        <w:t xml:space="preserve"> </w:t>
      </w:r>
      <w:r w:rsidR="00D9258C" w:rsidRPr="00FD6A6A">
        <w:t>support</w:t>
      </w:r>
      <w:r w:rsidR="00541D05">
        <w:t xml:space="preserve"> </w:t>
      </w:r>
      <w:r w:rsidR="00D9258C" w:rsidRPr="00FD6A6A">
        <w:t>program</w:t>
      </w:r>
      <w:r w:rsidR="00541D05">
        <w:t xml:space="preserve"> </w:t>
      </w:r>
      <w:r w:rsidR="00D9258C" w:rsidRPr="00FD6A6A">
        <w:t>for</w:t>
      </w:r>
      <w:r w:rsidR="00541D05">
        <w:t xml:space="preserve"> </w:t>
      </w:r>
      <w:r w:rsidR="00D9258C" w:rsidRPr="00FD6A6A">
        <w:t>environmental</w:t>
      </w:r>
      <w:r w:rsidR="00541D05">
        <w:t xml:space="preserve"> </w:t>
      </w:r>
      <w:r w:rsidR="00D9258C" w:rsidRPr="00FD6A6A">
        <w:t>preservation</w:t>
      </w:r>
      <w:r w:rsidR="00541D05">
        <w:t xml:space="preserve"> </w:t>
      </w:r>
      <w:r w:rsidR="00D9258C" w:rsidRPr="00FD6A6A">
        <w:t>directed</w:t>
      </w:r>
      <w:r w:rsidR="00541D05">
        <w:t xml:space="preserve"> </w:t>
      </w:r>
      <w:r w:rsidR="00D9258C" w:rsidRPr="00FD6A6A">
        <w:t>to</w:t>
      </w:r>
      <w:r w:rsidR="00541D05">
        <w:t xml:space="preserve"> </w:t>
      </w:r>
      <w:r w:rsidR="00D9258C" w:rsidRPr="00FD6A6A">
        <w:t>populations</w:t>
      </w:r>
      <w:r w:rsidR="00541D05">
        <w:t xml:space="preserve"> </w:t>
      </w:r>
      <w:r w:rsidR="00D9258C" w:rsidRPr="00FD6A6A">
        <w:t>in</w:t>
      </w:r>
      <w:r w:rsidR="00541D05">
        <w:t xml:space="preserve"> </w:t>
      </w:r>
      <w:r w:rsidR="00D9258C" w:rsidRPr="00FD6A6A">
        <w:t>situation</w:t>
      </w:r>
      <w:r w:rsidR="00541D05">
        <w:t xml:space="preserve"> </w:t>
      </w:r>
      <w:r w:rsidR="00D9258C" w:rsidRPr="00FD6A6A">
        <w:t>of</w:t>
      </w:r>
      <w:r w:rsidR="00541D05">
        <w:t xml:space="preserve"> </w:t>
      </w:r>
      <w:r w:rsidR="00D9258C" w:rsidRPr="00FD6A6A">
        <w:t>extreme</w:t>
      </w:r>
      <w:r w:rsidR="00541D05">
        <w:t xml:space="preserve"> </w:t>
      </w:r>
      <w:r w:rsidR="00D9258C" w:rsidRPr="00FD6A6A">
        <w:t>poverty</w:t>
      </w:r>
      <w:r w:rsidR="00541D05">
        <w:t xml:space="preserve"> </w:t>
      </w:r>
      <w:r w:rsidR="00D9258C" w:rsidRPr="00FD6A6A">
        <w:t>inserted</w:t>
      </w:r>
      <w:r w:rsidR="00541D05">
        <w:t xml:space="preserve"> </w:t>
      </w:r>
      <w:r w:rsidR="00D9258C" w:rsidRPr="00FD6A6A">
        <w:t>into</w:t>
      </w:r>
      <w:r w:rsidR="00541D05">
        <w:t xml:space="preserve"> </w:t>
      </w:r>
      <w:r w:rsidR="00D9258C" w:rsidRPr="00FD6A6A">
        <w:t>activities</w:t>
      </w:r>
      <w:r w:rsidR="00541D05">
        <w:t xml:space="preserve"> </w:t>
      </w:r>
      <w:r w:rsidR="00D9258C" w:rsidRPr="00FD6A6A">
        <w:t>of</w:t>
      </w:r>
      <w:r w:rsidR="00541D05">
        <w:t xml:space="preserve"> </w:t>
      </w:r>
      <w:r w:rsidR="00D9258C" w:rsidRPr="00FD6A6A">
        <w:t>environmental</w:t>
      </w:r>
      <w:r w:rsidR="00541D05">
        <w:t xml:space="preserve"> </w:t>
      </w:r>
      <w:r w:rsidR="00D9258C" w:rsidRPr="00FD6A6A">
        <w:t>preservation,</w:t>
      </w:r>
      <w:r w:rsidR="00541D05">
        <w:t xml:space="preserve"> </w:t>
      </w:r>
      <w:r w:rsidR="00D9258C" w:rsidRPr="00FD6A6A">
        <w:t>initially</w:t>
      </w:r>
      <w:r w:rsidR="00541D05">
        <w:t xml:space="preserve"> </w:t>
      </w:r>
      <w:r w:rsidR="00D9258C" w:rsidRPr="00FD6A6A">
        <w:t>to</w:t>
      </w:r>
      <w:r w:rsidR="00541D05">
        <w:t xml:space="preserve"> </w:t>
      </w:r>
      <w:r w:rsidR="00D9258C" w:rsidRPr="00FD6A6A">
        <w:t>be</w:t>
      </w:r>
      <w:r w:rsidR="00541D05">
        <w:t xml:space="preserve"> </w:t>
      </w:r>
      <w:r w:rsidR="00D9258C" w:rsidRPr="00FD6A6A">
        <w:t>adopted</w:t>
      </w:r>
      <w:r w:rsidR="00541D05">
        <w:t xml:space="preserve"> </w:t>
      </w:r>
      <w:r w:rsidR="00D9258C" w:rsidRPr="00FD6A6A">
        <w:t>in</w:t>
      </w:r>
      <w:r w:rsidR="00541D05">
        <w:t xml:space="preserve"> </w:t>
      </w:r>
      <w:r w:rsidR="00D9258C" w:rsidRPr="00FD6A6A">
        <w:t>the</w:t>
      </w:r>
      <w:r w:rsidR="00541D05">
        <w:t xml:space="preserve"> </w:t>
      </w:r>
      <w:r w:rsidR="00D9258C" w:rsidRPr="00FD6A6A">
        <w:t>Legal</w:t>
      </w:r>
      <w:r w:rsidR="00541D05">
        <w:t xml:space="preserve"> </w:t>
      </w:r>
      <w:r w:rsidR="00D9258C" w:rsidRPr="00FD6A6A">
        <w:t>Amazon</w:t>
      </w:r>
      <w:r w:rsidR="00541D05">
        <w:t xml:space="preserve"> </w:t>
      </w:r>
      <w:r w:rsidR="00D9258C" w:rsidRPr="00FD6A6A">
        <w:t>region.</w:t>
      </w:r>
    </w:p>
    <w:p w14:paraId="0E6F4574" w14:textId="7BED9984" w:rsidR="00D9258C" w:rsidRPr="00FD6A6A" w:rsidRDefault="00166390" w:rsidP="00166390">
      <w:pPr>
        <w:pStyle w:val="ParaNoG"/>
        <w:numPr>
          <w:ilvl w:val="0"/>
          <w:numId w:val="0"/>
        </w:numPr>
        <w:tabs>
          <w:tab w:val="left" w:pos="0"/>
        </w:tabs>
        <w:ind w:left="1134"/>
      </w:pPr>
      <w:r w:rsidRPr="00FD6A6A">
        <w:t>120.</w:t>
      </w:r>
      <w:r w:rsidRPr="00FD6A6A">
        <w:tab/>
      </w:r>
      <w:r w:rsidR="00D9258C" w:rsidRPr="00FD6A6A">
        <w:t>The</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(PCT)</w:t>
      </w:r>
      <w:r w:rsidR="00541D05">
        <w:t xml:space="preserve"> </w:t>
      </w:r>
      <w:r w:rsidR="00D9258C" w:rsidRPr="00FD6A6A">
        <w:t>are</w:t>
      </w:r>
      <w:r w:rsidR="00541D05">
        <w:t xml:space="preserve"> </w:t>
      </w:r>
      <w:r w:rsidR="00D9258C" w:rsidRPr="00FD6A6A">
        <w:t>mostly</w:t>
      </w:r>
      <w:r w:rsidR="00541D05">
        <w:t xml:space="preserve"> </w:t>
      </w:r>
      <w:r w:rsidR="00D9258C" w:rsidRPr="00FD6A6A">
        <w:t>concentrated</w:t>
      </w:r>
      <w:r w:rsidR="00541D05">
        <w:t xml:space="preserve"> </w:t>
      </w:r>
      <w:r w:rsidR="00D9258C" w:rsidRPr="00FD6A6A">
        <w:t>in</w:t>
      </w:r>
      <w:r w:rsidR="00541D05">
        <w:t xml:space="preserve"> </w:t>
      </w:r>
      <w:r w:rsidR="00D9258C" w:rsidRPr="00FD6A6A">
        <w:t>the</w:t>
      </w:r>
      <w:r w:rsidR="00541D05">
        <w:t xml:space="preserve"> </w:t>
      </w:r>
      <w:r w:rsidR="00D9258C" w:rsidRPr="00FD6A6A">
        <w:t>Northeast</w:t>
      </w:r>
      <w:r w:rsidR="00541D05">
        <w:t xml:space="preserve"> </w:t>
      </w:r>
      <w:r w:rsidR="00D9258C" w:rsidRPr="00FD6A6A">
        <w:t>(60.3%)</w:t>
      </w:r>
      <w:r w:rsidR="00541D05">
        <w:t xml:space="preserve"> </w:t>
      </w:r>
      <w:r w:rsidR="00D9258C" w:rsidRPr="00FD6A6A">
        <w:t>and</w:t>
      </w:r>
      <w:r w:rsidR="00541D05">
        <w:t xml:space="preserve"> </w:t>
      </w:r>
      <w:r w:rsidR="00D9258C" w:rsidRPr="00FD6A6A">
        <w:t>North</w:t>
      </w:r>
      <w:r w:rsidR="00541D05">
        <w:t xml:space="preserve"> </w:t>
      </w:r>
      <w:r w:rsidR="00D9258C" w:rsidRPr="00FD6A6A">
        <w:t>(19.9%)</w:t>
      </w:r>
      <w:r w:rsidR="00541D05">
        <w:t xml:space="preserve"> </w:t>
      </w:r>
      <w:r w:rsidR="00D9258C" w:rsidRPr="00FD6A6A">
        <w:t>regions.</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are</w:t>
      </w:r>
      <w:r w:rsidR="00541D05">
        <w:t xml:space="preserve"> </w:t>
      </w:r>
      <w:r w:rsidR="00D9258C" w:rsidRPr="00FD6A6A">
        <w:t>identified</w:t>
      </w:r>
      <w:r w:rsidR="00541D05">
        <w:t xml:space="preserve"> </w:t>
      </w:r>
      <w:r w:rsidR="00D9258C" w:rsidRPr="00FD6A6A">
        <w:t>specifically</w:t>
      </w:r>
      <w:r w:rsidR="00541D05">
        <w:t xml:space="preserve"> </w:t>
      </w:r>
      <w:r w:rsidR="00D9258C" w:rsidRPr="00FD6A6A">
        <w:t>for</w:t>
      </w:r>
      <w:r w:rsidR="00541D05">
        <w:t xml:space="preserve"> </w:t>
      </w:r>
      <w:r w:rsidR="00D9258C" w:rsidRPr="00FD6A6A">
        <w:t>their</w:t>
      </w:r>
      <w:r w:rsidR="00541D05">
        <w:t xml:space="preserve"> </w:t>
      </w:r>
      <w:r w:rsidR="00D9258C" w:rsidRPr="00FD6A6A">
        <w:t>ethnic</w:t>
      </w:r>
      <w:r w:rsidR="00541D05">
        <w:t xml:space="preserve"> </w:t>
      </w:r>
      <w:r w:rsidR="00D9258C" w:rsidRPr="00FD6A6A">
        <w:t>composition</w:t>
      </w:r>
      <w:r w:rsidR="00541D05">
        <w:t xml:space="preserve"> </w:t>
      </w:r>
      <w:r w:rsidR="00D9258C" w:rsidRPr="00FD6A6A">
        <w:t>or</w:t>
      </w:r>
      <w:r w:rsidR="00541D05">
        <w:t xml:space="preserve"> </w:t>
      </w:r>
      <w:r w:rsidR="00D9258C" w:rsidRPr="00FD6A6A">
        <w:t>by</w:t>
      </w:r>
      <w:r w:rsidR="00541D05">
        <w:t xml:space="preserve"> </w:t>
      </w:r>
      <w:r w:rsidR="00D9258C" w:rsidRPr="00FD6A6A">
        <w:t>their</w:t>
      </w:r>
      <w:r w:rsidR="00541D05">
        <w:t xml:space="preserve"> </w:t>
      </w:r>
      <w:r w:rsidR="00D9258C" w:rsidRPr="00FD6A6A">
        <w:t>African</w:t>
      </w:r>
      <w:r w:rsidR="00541D05">
        <w:t xml:space="preserve"> </w:t>
      </w:r>
      <w:r w:rsidR="00D9258C" w:rsidRPr="00FD6A6A">
        <w:t>traditions.</w:t>
      </w:r>
    </w:p>
    <w:p w14:paraId="5DC83454" w14:textId="2621DB7A" w:rsidR="00D9258C" w:rsidRPr="00FD6A6A" w:rsidRDefault="00166390" w:rsidP="00166390">
      <w:pPr>
        <w:pStyle w:val="ParaNoG"/>
        <w:numPr>
          <w:ilvl w:val="0"/>
          <w:numId w:val="0"/>
        </w:numPr>
        <w:tabs>
          <w:tab w:val="left" w:pos="0"/>
        </w:tabs>
        <w:ind w:left="1134"/>
      </w:pPr>
      <w:r w:rsidRPr="00FD6A6A">
        <w:t>121.</w:t>
      </w:r>
      <w:r w:rsidRPr="00FD6A6A">
        <w:tab/>
      </w:r>
      <w:r w:rsidR="00D9258C" w:rsidRPr="00FD6A6A">
        <w:t>In</w:t>
      </w:r>
      <w:r w:rsidR="00541D05">
        <w:t xml:space="preserve"> </w:t>
      </w:r>
      <w:r w:rsidR="00D9258C" w:rsidRPr="00FD6A6A">
        <w:t>the</w:t>
      </w:r>
      <w:r w:rsidR="00541D05">
        <w:t xml:space="preserve"> </w:t>
      </w:r>
      <w:r w:rsidR="00D9258C" w:rsidRPr="00FD6A6A">
        <w:t>2010</w:t>
      </w:r>
      <w:r w:rsidR="00541D05">
        <w:t xml:space="preserve"> </w:t>
      </w:r>
      <w:r w:rsidR="00D9258C" w:rsidRPr="00FD6A6A">
        <w:t>demographic</w:t>
      </w:r>
      <w:r w:rsidR="00541D05">
        <w:t xml:space="preserve"> </w:t>
      </w:r>
      <w:r w:rsidR="00D9258C" w:rsidRPr="00FD6A6A">
        <w:t>Census,</w:t>
      </w:r>
      <w:r w:rsidR="00541D05">
        <w:t xml:space="preserve"> </w:t>
      </w:r>
      <w:r w:rsidR="00D9258C" w:rsidRPr="00FD6A6A">
        <w:t>64.6%</w:t>
      </w:r>
      <w:r w:rsidR="00541D05">
        <w:t xml:space="preserve"> </w:t>
      </w:r>
      <w:r w:rsidR="00D9258C" w:rsidRPr="00FD6A6A">
        <w:t>of</w:t>
      </w:r>
      <w:r w:rsidR="00541D05">
        <w:t xml:space="preserve"> </w:t>
      </w:r>
      <w:r w:rsidR="00D9258C" w:rsidRPr="00FD6A6A">
        <w:t>the</w:t>
      </w:r>
      <w:r w:rsidR="00541D05">
        <w:t xml:space="preserve"> </w:t>
      </w:r>
      <w:r w:rsidR="00D9258C" w:rsidRPr="00FD6A6A">
        <w:t>population</w:t>
      </w:r>
      <w:r w:rsidR="00541D05">
        <w:t xml:space="preserve"> </w:t>
      </w:r>
      <w:r w:rsidR="00D9258C" w:rsidRPr="00FD6A6A">
        <w:t>declared</w:t>
      </w:r>
      <w:r w:rsidR="00541D05">
        <w:t xml:space="preserve"> </w:t>
      </w:r>
      <w:r w:rsidR="00D9258C" w:rsidRPr="00FD6A6A">
        <w:t>to</w:t>
      </w:r>
      <w:r w:rsidR="00541D05">
        <w:t xml:space="preserve"> </w:t>
      </w:r>
      <w:r w:rsidR="00D9258C" w:rsidRPr="00FD6A6A">
        <w:t>belong</w:t>
      </w:r>
      <w:r w:rsidR="00541D05">
        <w:t xml:space="preserve"> </w:t>
      </w:r>
      <w:r w:rsidR="00D9258C" w:rsidRPr="00FD6A6A">
        <w:t>to</w:t>
      </w:r>
      <w:r w:rsidR="00541D05">
        <w:t xml:space="preserve"> </w:t>
      </w:r>
      <w:r w:rsidR="00D9258C" w:rsidRPr="00FD6A6A">
        <w:t>the</w:t>
      </w:r>
      <w:r w:rsidR="00541D05">
        <w:t xml:space="preserve"> </w:t>
      </w:r>
      <w:r w:rsidR="00D9258C" w:rsidRPr="00FD6A6A">
        <w:t>Catholic</w:t>
      </w:r>
      <w:r w:rsidR="00541D05">
        <w:t xml:space="preserve"> </w:t>
      </w:r>
      <w:r w:rsidR="00D9258C" w:rsidRPr="00FD6A6A">
        <w:t>religion,</w:t>
      </w:r>
      <w:r w:rsidR="00541D05">
        <w:t xml:space="preserve"> </w:t>
      </w:r>
      <w:r w:rsidR="00D9258C" w:rsidRPr="00FD6A6A">
        <w:t>22.2%</w:t>
      </w:r>
      <w:r w:rsidR="00541D05">
        <w:t xml:space="preserve"> </w:t>
      </w:r>
      <w:r w:rsidR="00D9258C" w:rsidRPr="00FD6A6A">
        <w:t>declared</w:t>
      </w:r>
      <w:r w:rsidR="00541D05">
        <w:t xml:space="preserve"> </w:t>
      </w:r>
      <w:r w:rsidR="00D9258C" w:rsidRPr="00FD6A6A">
        <w:t>to</w:t>
      </w:r>
      <w:r w:rsidR="00541D05">
        <w:t xml:space="preserve"> </w:t>
      </w:r>
      <w:r w:rsidR="00D9258C" w:rsidRPr="00FD6A6A">
        <w:t>Evangelical</w:t>
      </w:r>
      <w:r w:rsidR="00541D05">
        <w:t xml:space="preserve"> </w:t>
      </w:r>
      <w:r w:rsidR="00D9258C" w:rsidRPr="00FD6A6A">
        <w:t>religions,</w:t>
      </w:r>
      <w:r w:rsidR="00541D05">
        <w:t xml:space="preserve"> </w:t>
      </w:r>
      <w:r w:rsidR="00D9258C" w:rsidRPr="00FD6A6A">
        <w:t>and</w:t>
      </w:r>
      <w:r w:rsidR="00541D05">
        <w:t xml:space="preserve"> </w:t>
      </w:r>
      <w:r w:rsidR="00D9258C" w:rsidRPr="00FD6A6A">
        <w:t>0.3%</w:t>
      </w:r>
      <w:r w:rsidR="00541D05">
        <w:t xml:space="preserve"> </w:t>
      </w:r>
      <w:r w:rsidR="00D9258C" w:rsidRPr="00FD6A6A">
        <w:t>to</w:t>
      </w:r>
      <w:r w:rsidR="00541D05">
        <w:t xml:space="preserve"> </w:t>
      </w:r>
      <w:r w:rsidR="00D9258C" w:rsidRPr="00FD6A6A">
        <w:t>religions</w:t>
      </w:r>
      <w:r w:rsidR="00541D05">
        <w:t xml:space="preserve"> </w:t>
      </w:r>
      <w:r w:rsidR="00D9258C" w:rsidRPr="00FD6A6A">
        <w:t>of</w:t>
      </w:r>
      <w:r w:rsidR="00541D05">
        <w:t xml:space="preserve"> </w:t>
      </w:r>
      <w:r w:rsidR="00D9258C" w:rsidRPr="00FD6A6A">
        <w:t>Afro-Brazilian</w:t>
      </w:r>
      <w:r w:rsidR="00541D05">
        <w:t xml:space="preserve"> </w:t>
      </w:r>
      <w:r w:rsidR="00D9258C" w:rsidRPr="00FD6A6A">
        <w:t>origin,</w:t>
      </w:r>
      <w:r w:rsidR="00541D05">
        <w:t xml:space="preserve"> </w:t>
      </w:r>
      <w:r w:rsidR="00D9258C" w:rsidRPr="00FD6A6A">
        <w:t>comprising</w:t>
      </w:r>
      <w:r w:rsidR="00541D05">
        <w:t xml:space="preserve"> </w:t>
      </w:r>
      <w:r w:rsidR="00D9258C" w:rsidRPr="00FD6A6A">
        <w:t>a</w:t>
      </w:r>
      <w:r w:rsidR="00541D05">
        <w:t xml:space="preserve"> </w:t>
      </w:r>
      <w:r w:rsidR="00D9258C" w:rsidRPr="00FD6A6A">
        <w:t>about</w:t>
      </w:r>
      <w:r w:rsidR="00541D05">
        <w:t xml:space="preserve"> </w:t>
      </w:r>
      <w:r w:rsidR="00D9258C" w:rsidRPr="00FD6A6A">
        <w:t>588,000</w:t>
      </w:r>
      <w:r w:rsidR="00541D05">
        <w:t xml:space="preserve"> </w:t>
      </w:r>
      <w:r w:rsidR="00D9258C" w:rsidRPr="00FD6A6A">
        <w:t>people</w:t>
      </w:r>
      <w:r w:rsidR="00541D05">
        <w:t xml:space="preserve"> </w:t>
      </w:r>
      <w:r w:rsidR="00D9258C" w:rsidRPr="00FD6A6A">
        <w:t>in</w:t>
      </w:r>
      <w:r w:rsidR="00541D05">
        <w:t xml:space="preserve"> </w:t>
      </w:r>
      <w:r w:rsidR="00D9258C" w:rsidRPr="00FD6A6A">
        <w:t>Brazil.</w:t>
      </w:r>
    </w:p>
    <w:p w14:paraId="648C5567" w14:textId="13CC77F0" w:rsidR="00D9258C" w:rsidRPr="00FD6A6A" w:rsidRDefault="00166390" w:rsidP="00166390">
      <w:pPr>
        <w:pStyle w:val="ParaNoG"/>
        <w:numPr>
          <w:ilvl w:val="0"/>
          <w:numId w:val="0"/>
        </w:numPr>
        <w:tabs>
          <w:tab w:val="left" w:pos="0"/>
        </w:tabs>
        <w:ind w:left="1134"/>
      </w:pPr>
      <w:r w:rsidRPr="00FD6A6A">
        <w:t>122.</w:t>
      </w:r>
      <w:r w:rsidRPr="00FD6A6A">
        <w:tab/>
      </w:r>
      <w:r w:rsidR="00D9258C" w:rsidRPr="00FD6A6A">
        <w:t>A</w:t>
      </w:r>
      <w:r w:rsidR="00541D05">
        <w:t xml:space="preserve"> </w:t>
      </w:r>
      <w:r w:rsidR="00D9258C" w:rsidRPr="00FD6A6A">
        <w:t>2010</w:t>
      </w:r>
      <w:r w:rsidR="00541D05">
        <w:t xml:space="preserve"> </w:t>
      </w:r>
      <w:r w:rsidR="00D9258C" w:rsidRPr="00FD6A6A">
        <w:t>research</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Social</w:t>
      </w:r>
      <w:r w:rsidR="00541D05">
        <w:t xml:space="preserve"> </w:t>
      </w:r>
      <w:r w:rsidR="00D9258C" w:rsidRPr="00FD6A6A">
        <w:t>Development,</w:t>
      </w:r>
      <w:r w:rsidR="00541D05">
        <w:t xml:space="preserve"> </w:t>
      </w:r>
      <w:r w:rsidR="00D9258C" w:rsidRPr="00FD6A6A">
        <w:t>with</w:t>
      </w:r>
      <w:r w:rsidR="00541D05">
        <w:t xml:space="preserve"> </w:t>
      </w:r>
      <w:r w:rsidR="00D9258C" w:rsidRPr="00FD6A6A">
        <w:t>4,045</w:t>
      </w:r>
      <w:r w:rsidR="00541D05">
        <w:t xml:space="preserve"> </w:t>
      </w:r>
      <w:r w:rsidR="00D9258C" w:rsidRPr="00FD6A6A">
        <w:t>leaders</w:t>
      </w:r>
      <w:r w:rsidR="00541D05">
        <w:t xml:space="preserve"> </w:t>
      </w:r>
      <w:r w:rsidR="00D9258C" w:rsidRPr="00FD6A6A">
        <w:t>of</w:t>
      </w:r>
      <w:r w:rsidR="00541D05">
        <w:t xml:space="preserve"> </w:t>
      </w:r>
      <w:r w:rsidR="00D9258C" w:rsidRPr="00FD6A6A">
        <w:t>traditional</w:t>
      </w:r>
      <w:r w:rsidR="00541D05">
        <w:t xml:space="preserve"> </w:t>
      </w:r>
      <w:r w:rsidR="00D9258C" w:rsidRPr="00FD6A6A">
        <w:t>terreiro</w:t>
      </w:r>
      <w:r w:rsidR="00541D05">
        <w:t xml:space="preserve"> </w:t>
      </w:r>
      <w:r w:rsidR="00D9258C" w:rsidRPr="00FD6A6A">
        <w:t>communities,</w:t>
      </w:r>
      <w:r w:rsidR="00D9258C" w:rsidRPr="00EA62F1">
        <w:rPr>
          <w:rStyle w:val="FootnoteReference"/>
        </w:rPr>
        <w:footnoteReference w:id="3"/>
      </w:r>
      <w:r w:rsidR="00541D05" w:rsidRPr="00EA62F1">
        <w:t xml:space="preserve"> </w:t>
      </w:r>
      <w:r w:rsidR="00D9258C" w:rsidRPr="00FD6A6A">
        <w:t>shows</w:t>
      </w:r>
      <w:r w:rsidR="00541D05">
        <w:t xml:space="preserve"> </w:t>
      </w:r>
      <w:r w:rsidR="00D9258C" w:rsidRPr="00FD6A6A">
        <w:t>that</w:t>
      </w:r>
      <w:r w:rsidR="00541D05">
        <w:t xml:space="preserve"> </w:t>
      </w:r>
      <w:r w:rsidR="00D9258C" w:rsidRPr="00FD6A6A">
        <w:t>72%</w:t>
      </w:r>
      <w:r w:rsidR="00541D05">
        <w:t xml:space="preserve"> </w:t>
      </w:r>
      <w:r w:rsidR="00D9258C" w:rsidRPr="00FD6A6A">
        <w:t>of</w:t>
      </w:r>
      <w:r w:rsidR="00541D05">
        <w:t xml:space="preserve"> </w:t>
      </w:r>
      <w:r w:rsidR="00D9258C" w:rsidRPr="00FD6A6A">
        <w:t>the</w:t>
      </w:r>
      <w:r w:rsidR="00541D05">
        <w:t xml:space="preserve"> </w:t>
      </w:r>
      <w:r w:rsidR="00D9258C" w:rsidRPr="00FD6A6A">
        <w:t>traditional</w:t>
      </w:r>
      <w:r w:rsidR="00541D05">
        <w:t xml:space="preserve"> </w:t>
      </w:r>
      <w:r w:rsidR="00D9258C" w:rsidRPr="00FD6A6A">
        <w:t>leaders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are</w:t>
      </w:r>
      <w:r w:rsidR="00541D05">
        <w:t xml:space="preserve"> </w:t>
      </w:r>
      <w:r w:rsidR="00D9258C" w:rsidRPr="00FD6A6A">
        <w:t>self-declared</w:t>
      </w:r>
      <w:r w:rsidR="00541D05">
        <w:t xml:space="preserve"> </w:t>
      </w:r>
      <w:r w:rsidR="00D9258C" w:rsidRPr="00FD6A6A">
        <w:t>Afro-Brazilian,</w:t>
      </w:r>
      <w:r w:rsidR="00541D05">
        <w:t xml:space="preserve"> </w:t>
      </w:r>
      <w:r w:rsidR="00D9258C" w:rsidRPr="00FD6A6A">
        <w:t>and</w:t>
      </w:r>
      <w:r w:rsidR="00541D05">
        <w:t xml:space="preserve"> </w:t>
      </w:r>
      <w:r w:rsidR="00D9258C" w:rsidRPr="00FD6A6A">
        <w:t>55.6%</w:t>
      </w:r>
      <w:r w:rsidR="00541D05">
        <w:t xml:space="preserve"> </w:t>
      </w:r>
      <w:r w:rsidR="00D9258C" w:rsidRPr="00FD6A6A">
        <w:t>are</w:t>
      </w:r>
      <w:r w:rsidR="00541D05">
        <w:t xml:space="preserve"> </w:t>
      </w:r>
      <w:r w:rsidR="00D9258C" w:rsidRPr="00FD6A6A">
        <w:t>women;</w:t>
      </w:r>
      <w:r w:rsidR="00541D05">
        <w:t xml:space="preserve"> </w:t>
      </w:r>
      <w:r w:rsidR="00D9258C" w:rsidRPr="00FD6A6A">
        <w:t>71.6%</w:t>
      </w:r>
      <w:r w:rsidR="00541D05">
        <w:t xml:space="preserve"> </w:t>
      </w:r>
      <w:r w:rsidR="00D9258C" w:rsidRPr="00FD6A6A">
        <w:t>of</w:t>
      </w:r>
      <w:r w:rsidR="00541D05">
        <w:t xml:space="preserve"> </w:t>
      </w:r>
      <w:r w:rsidR="00D9258C" w:rsidRPr="00FD6A6A">
        <w:t>such</w:t>
      </w:r>
      <w:r w:rsidR="00541D05">
        <w:t xml:space="preserve"> </w:t>
      </w:r>
      <w:r w:rsidR="00D9258C" w:rsidRPr="00FD6A6A">
        <w:t>leaders</w:t>
      </w:r>
      <w:r w:rsidR="00541D05">
        <w:t xml:space="preserve"> </w:t>
      </w:r>
      <w:r w:rsidR="00D9258C" w:rsidRPr="00FD6A6A">
        <w:lastRenderedPageBreak/>
        <w:t>receive</w:t>
      </w:r>
      <w:r w:rsidR="00541D05">
        <w:t xml:space="preserve"> </w:t>
      </w:r>
      <w:r w:rsidR="00D9258C" w:rsidRPr="00FD6A6A">
        <w:t>up</w:t>
      </w:r>
      <w:r w:rsidR="00541D05">
        <w:t xml:space="preserve"> </w:t>
      </w:r>
      <w:r w:rsidR="00D9258C" w:rsidRPr="00FD6A6A">
        <w:t>to</w:t>
      </w:r>
      <w:r w:rsidR="00541D05">
        <w:t xml:space="preserve"> </w:t>
      </w:r>
      <w:r w:rsidR="00D9258C" w:rsidRPr="00FD6A6A">
        <w:t>two</w:t>
      </w:r>
      <w:r w:rsidR="00541D05">
        <w:t xml:space="preserve"> </w:t>
      </w:r>
      <w:r w:rsidR="00D9258C" w:rsidRPr="00FD6A6A">
        <w:t>minimum</w:t>
      </w:r>
      <w:r w:rsidR="00541D05">
        <w:t xml:space="preserve"> </w:t>
      </w:r>
      <w:r w:rsidR="00D9258C" w:rsidRPr="00FD6A6A">
        <w:t>wages,</w:t>
      </w:r>
      <w:r w:rsidR="00541D05">
        <w:t xml:space="preserve"> </w:t>
      </w:r>
      <w:r w:rsidR="00D9258C" w:rsidRPr="00FD6A6A">
        <w:t>46%</w:t>
      </w:r>
      <w:r w:rsidR="00541D05">
        <w:t xml:space="preserve"> </w:t>
      </w:r>
      <w:r w:rsidR="00D9258C" w:rsidRPr="00FD6A6A">
        <w:t>receive</w:t>
      </w:r>
      <w:r w:rsidR="00541D05">
        <w:t xml:space="preserve"> </w:t>
      </w:r>
      <w:r w:rsidR="00D9258C" w:rsidRPr="00FD6A6A">
        <w:t>retirement</w:t>
      </w:r>
      <w:r w:rsidR="00541D05">
        <w:t xml:space="preserve"> </w:t>
      </w:r>
      <w:r w:rsidR="00D9258C" w:rsidRPr="00FD6A6A">
        <w:t>income,</w:t>
      </w:r>
      <w:r w:rsidR="00541D05">
        <w:t xml:space="preserve"> </w:t>
      </w:r>
      <w:r w:rsidR="00D9258C" w:rsidRPr="00FD6A6A">
        <w:t>and</w:t>
      </w:r>
      <w:r w:rsidR="00541D05">
        <w:t xml:space="preserve"> </w:t>
      </w:r>
      <w:r w:rsidR="00D9258C" w:rsidRPr="00FD6A6A">
        <w:t>35.7%</w:t>
      </w:r>
      <w:r w:rsidR="00541D05">
        <w:t xml:space="preserve"> </w:t>
      </w:r>
      <w:r w:rsidR="00D9258C" w:rsidRPr="00FD6A6A">
        <w:t>are</w:t>
      </w:r>
      <w:r w:rsidR="00541D05">
        <w:t xml:space="preserve"> </w:t>
      </w:r>
      <w:r w:rsidR="00D9258C" w:rsidRPr="00FD6A6A">
        <w:t>enrolled</w:t>
      </w:r>
      <w:r w:rsidR="00541D05">
        <w:t xml:space="preserve"> </w:t>
      </w:r>
      <w:r w:rsidR="00D9258C" w:rsidRPr="00FD6A6A">
        <w:t>in</w:t>
      </w:r>
      <w:r w:rsidR="00541D05">
        <w:t xml:space="preserve"> </w:t>
      </w:r>
      <w:r w:rsidR="00D9258C" w:rsidRPr="00FD6A6A">
        <w:t>the</w:t>
      </w:r>
      <w:r w:rsidR="00541D05">
        <w:t xml:space="preserve"> </w:t>
      </w:r>
      <w:r w:rsidR="00D9258C" w:rsidRPr="00FD6A6A">
        <w:t>Bolsa</w:t>
      </w:r>
      <w:r w:rsidR="00541D05">
        <w:t xml:space="preserve"> </w:t>
      </w:r>
      <w:r w:rsidR="00D9258C" w:rsidRPr="00FD6A6A">
        <w:t>Família</w:t>
      </w:r>
      <w:r w:rsidR="00541D05">
        <w:t xml:space="preserve"> </w:t>
      </w:r>
      <w:r w:rsidR="00D9258C" w:rsidRPr="00FD6A6A">
        <w:t>program.</w:t>
      </w:r>
    </w:p>
    <w:p w14:paraId="76B536EB" w14:textId="00889BC5" w:rsidR="00D9258C" w:rsidRPr="00FD6A6A" w:rsidRDefault="00166390" w:rsidP="00166390">
      <w:pPr>
        <w:pStyle w:val="ParaNoG"/>
        <w:numPr>
          <w:ilvl w:val="0"/>
          <w:numId w:val="0"/>
        </w:numPr>
        <w:tabs>
          <w:tab w:val="left" w:pos="0"/>
        </w:tabs>
        <w:ind w:left="1134"/>
      </w:pPr>
      <w:r w:rsidRPr="00FD6A6A">
        <w:t>123.</w:t>
      </w:r>
      <w:r w:rsidRPr="00FD6A6A">
        <w:tab/>
      </w:r>
      <w:r w:rsidR="00D9258C" w:rsidRPr="00FD6A6A">
        <w:t>Regarding</w:t>
      </w:r>
      <w:r w:rsidR="00541D05">
        <w:t xml:space="preserve"> </w:t>
      </w:r>
      <w:r w:rsidR="00D9258C" w:rsidRPr="00FD6A6A">
        <w:t>traditional</w:t>
      </w:r>
      <w:r w:rsidR="00541D05">
        <w:t xml:space="preserve"> </w:t>
      </w:r>
      <w:r w:rsidR="00D9258C" w:rsidRPr="00FD6A6A">
        <w:t>communities,</w:t>
      </w:r>
      <w:r w:rsidR="00541D05">
        <w:t xml:space="preserve"> </w:t>
      </w:r>
      <w:r w:rsidR="00D9258C" w:rsidRPr="00FD6A6A">
        <w:t>it</w:t>
      </w:r>
      <w:r w:rsidR="00541D05">
        <w:t xml:space="preserve"> </w:t>
      </w:r>
      <w:r w:rsidR="00D9258C" w:rsidRPr="00FD6A6A">
        <w:t>is</w:t>
      </w:r>
      <w:r w:rsidR="00541D05">
        <w:t xml:space="preserve"> </w:t>
      </w:r>
      <w:r w:rsidR="00D9258C" w:rsidRPr="00FD6A6A">
        <w:t>known</w:t>
      </w:r>
      <w:r w:rsidR="00541D05">
        <w:t xml:space="preserve"> </w:t>
      </w:r>
      <w:r w:rsidR="00D9258C" w:rsidRPr="00FD6A6A">
        <w:t>that</w:t>
      </w:r>
      <w:r w:rsidR="00541D05">
        <w:t xml:space="preserve"> </w:t>
      </w:r>
      <w:r w:rsidR="00D9258C" w:rsidRPr="00FD6A6A">
        <w:t>81.6%</w:t>
      </w:r>
      <w:r w:rsidR="00541D05">
        <w:t xml:space="preserve"> </w:t>
      </w:r>
      <w:r w:rsidR="00D9258C" w:rsidRPr="00FD6A6A">
        <w:t>develop</w:t>
      </w:r>
      <w:r w:rsidR="00541D05">
        <w:t xml:space="preserve"> </w:t>
      </w:r>
      <w:r w:rsidR="00D9258C" w:rsidRPr="00FD6A6A">
        <w:t>community</w:t>
      </w:r>
      <w:r w:rsidR="00541D05">
        <w:t xml:space="preserve"> </w:t>
      </w:r>
      <w:r w:rsidR="00D9258C" w:rsidRPr="00FD6A6A">
        <w:t>activities</w:t>
      </w:r>
      <w:r w:rsidR="00541D05">
        <w:t xml:space="preserve"> </w:t>
      </w:r>
      <w:r w:rsidR="00D9258C" w:rsidRPr="00FD6A6A">
        <w:t>and,</w:t>
      </w:r>
      <w:r w:rsidR="00541D05">
        <w:t xml:space="preserve"> </w:t>
      </w:r>
      <w:r w:rsidR="00D9258C" w:rsidRPr="00FD6A6A">
        <w:t>of</w:t>
      </w:r>
      <w:r w:rsidR="00541D05">
        <w:t xml:space="preserve"> </w:t>
      </w:r>
      <w:r w:rsidR="00D9258C" w:rsidRPr="00FD6A6A">
        <w:t>this</w:t>
      </w:r>
      <w:r w:rsidR="00541D05">
        <w:t xml:space="preserve"> </w:t>
      </w:r>
      <w:r w:rsidR="00D9258C" w:rsidRPr="00FD6A6A">
        <w:t>total,</w:t>
      </w:r>
      <w:r w:rsidR="00541D05">
        <w:t xml:space="preserve"> </w:t>
      </w:r>
      <w:r w:rsidR="00D9258C" w:rsidRPr="00FD6A6A">
        <w:t>60.5%</w:t>
      </w:r>
      <w:r w:rsidR="00541D05">
        <w:t xml:space="preserve"> </w:t>
      </w:r>
      <w:r w:rsidR="00D9258C" w:rsidRPr="00FD6A6A">
        <w:t>hold</w:t>
      </w:r>
      <w:r w:rsidR="00541D05">
        <w:t xml:space="preserve"> </w:t>
      </w:r>
      <w:r w:rsidR="00D9258C" w:rsidRPr="00FD6A6A">
        <w:t>community</w:t>
      </w:r>
      <w:r w:rsidR="00541D05">
        <w:t xml:space="preserve"> </w:t>
      </w:r>
      <w:r w:rsidR="00D9258C" w:rsidRPr="00FD6A6A">
        <w:t>meetings</w:t>
      </w:r>
      <w:r w:rsidR="00541D05">
        <w:t xml:space="preserve"> </w:t>
      </w:r>
      <w:r w:rsidR="00D9258C" w:rsidRPr="00FD6A6A">
        <w:t>frequently,</w:t>
      </w:r>
      <w:r w:rsidR="00541D05">
        <w:t xml:space="preserve"> </w:t>
      </w:r>
      <w:r w:rsidR="00D9258C" w:rsidRPr="00FD6A6A">
        <w:t>10.7%</w:t>
      </w:r>
      <w:r w:rsidR="00541D05">
        <w:t xml:space="preserve"> </w:t>
      </w:r>
      <w:r w:rsidR="00D9258C" w:rsidRPr="00FD6A6A">
        <w:t>offer</w:t>
      </w:r>
      <w:r w:rsidR="00541D05">
        <w:t xml:space="preserve"> </w:t>
      </w:r>
      <w:r w:rsidR="00D9258C" w:rsidRPr="00FD6A6A">
        <w:t>vocational</w:t>
      </w:r>
      <w:r w:rsidR="00541D05">
        <w:t xml:space="preserve"> </w:t>
      </w:r>
      <w:r w:rsidR="00D9258C" w:rsidRPr="00FD6A6A">
        <w:t>courses,</w:t>
      </w:r>
      <w:r w:rsidR="00541D05">
        <w:t xml:space="preserve"> </w:t>
      </w:r>
      <w:r w:rsidR="00D9258C" w:rsidRPr="00FD6A6A">
        <w:t>17.3%</w:t>
      </w:r>
      <w:r w:rsidR="00541D05">
        <w:t xml:space="preserve"> </w:t>
      </w:r>
      <w:r w:rsidR="00D9258C" w:rsidRPr="00FD6A6A">
        <w:t>perform</w:t>
      </w:r>
      <w:r w:rsidR="00541D05">
        <w:t xml:space="preserve"> </w:t>
      </w:r>
      <w:r w:rsidR="00D9258C" w:rsidRPr="00FD6A6A">
        <w:t>health</w:t>
      </w:r>
      <w:r w:rsidR="00541D05">
        <w:t xml:space="preserve"> </w:t>
      </w:r>
      <w:r w:rsidR="00D9258C" w:rsidRPr="00FD6A6A">
        <w:t>care</w:t>
      </w:r>
      <w:r w:rsidR="00541D05">
        <w:t xml:space="preserve"> </w:t>
      </w:r>
      <w:r w:rsidR="00D9258C" w:rsidRPr="00FD6A6A">
        <w:t>actions,</w:t>
      </w:r>
      <w:r w:rsidR="00541D05">
        <w:t xml:space="preserve"> </w:t>
      </w:r>
      <w:r w:rsidR="00D9258C" w:rsidRPr="00FD6A6A">
        <w:t>and</w:t>
      </w:r>
      <w:r w:rsidR="00541D05">
        <w:t xml:space="preserve"> </w:t>
      </w:r>
      <w:r w:rsidR="00D9258C" w:rsidRPr="00FD6A6A">
        <w:t>18.7%</w:t>
      </w:r>
      <w:r w:rsidR="00541D05">
        <w:t xml:space="preserve"> </w:t>
      </w:r>
      <w:r w:rsidR="00D9258C" w:rsidRPr="00FD6A6A">
        <w:t>perform</w:t>
      </w:r>
      <w:r w:rsidR="00541D05">
        <w:t xml:space="preserve"> </w:t>
      </w:r>
      <w:r w:rsidR="00D9258C" w:rsidRPr="00FD6A6A">
        <w:t>social-assistance</w:t>
      </w:r>
      <w:r w:rsidR="00541D05">
        <w:t xml:space="preserve"> </w:t>
      </w:r>
      <w:r w:rsidR="00D9258C" w:rsidRPr="00FD6A6A">
        <w:t>actions,</w:t>
      </w:r>
      <w:r w:rsidR="00541D05">
        <w:t xml:space="preserve"> </w:t>
      </w:r>
      <w:r w:rsidR="00D9258C" w:rsidRPr="00FD6A6A">
        <w:t>especially</w:t>
      </w:r>
      <w:r w:rsidR="00541D05">
        <w:t xml:space="preserve"> </w:t>
      </w:r>
      <w:r w:rsidR="00D9258C" w:rsidRPr="00FD6A6A">
        <w:t>through</w:t>
      </w:r>
      <w:r w:rsidR="00541D05">
        <w:t xml:space="preserve"> </w:t>
      </w:r>
      <w:r w:rsidR="00D9258C" w:rsidRPr="00FD6A6A">
        <w:t>the</w:t>
      </w:r>
      <w:r w:rsidR="00541D05">
        <w:t xml:space="preserve"> </w:t>
      </w:r>
      <w:r w:rsidR="00D9258C" w:rsidRPr="00FD6A6A">
        <w:t>distribution</w:t>
      </w:r>
      <w:r w:rsidR="00541D05">
        <w:t xml:space="preserve"> </w:t>
      </w:r>
      <w:r w:rsidR="00D9258C" w:rsidRPr="00FD6A6A">
        <w:t>of</w:t>
      </w:r>
      <w:r w:rsidR="00541D05">
        <w:t xml:space="preserve"> </w:t>
      </w:r>
      <w:r w:rsidR="00D9258C" w:rsidRPr="00FD6A6A">
        <w:t>food</w:t>
      </w:r>
      <w:r w:rsidR="00541D05">
        <w:t xml:space="preserve"> </w:t>
      </w:r>
      <w:r w:rsidR="00D9258C" w:rsidRPr="00FD6A6A">
        <w:t>in</w:t>
      </w:r>
      <w:r w:rsidR="00541D05">
        <w:t xml:space="preserve"> </w:t>
      </w:r>
      <w:r w:rsidR="00D9258C" w:rsidRPr="00FD6A6A">
        <w:t>the</w:t>
      </w:r>
      <w:r w:rsidR="00541D05">
        <w:t xml:space="preserve"> </w:t>
      </w:r>
      <w:r w:rsidR="00D9258C" w:rsidRPr="00FD6A6A">
        <w:t>communities.</w:t>
      </w:r>
    </w:p>
    <w:p w14:paraId="2108C1CB" w14:textId="2EC96DDE" w:rsidR="00D9258C" w:rsidRPr="00FD6A6A" w:rsidRDefault="00166390" w:rsidP="00166390">
      <w:pPr>
        <w:pStyle w:val="ParaNoG"/>
        <w:numPr>
          <w:ilvl w:val="0"/>
          <w:numId w:val="0"/>
        </w:numPr>
        <w:tabs>
          <w:tab w:val="left" w:pos="0"/>
        </w:tabs>
        <w:ind w:left="1134"/>
      </w:pPr>
      <w:r w:rsidRPr="00FD6A6A">
        <w:t>124.</w:t>
      </w:r>
      <w:r w:rsidRPr="00FD6A6A">
        <w:tab/>
      </w:r>
      <w:r w:rsidR="00D9258C" w:rsidRPr="00FD6A6A">
        <w:t>To</w:t>
      </w:r>
      <w:r w:rsidR="00541D05">
        <w:t xml:space="preserve"> </w:t>
      </w:r>
      <w:r w:rsidR="00D9258C" w:rsidRPr="00FD6A6A">
        <w:t>respond</w:t>
      </w:r>
      <w:r w:rsidR="00541D05">
        <w:t xml:space="preserve"> </w:t>
      </w:r>
      <w:r w:rsidR="00D9258C" w:rsidRPr="00FD6A6A">
        <w:t>to</w:t>
      </w:r>
      <w:r w:rsidR="00541D05">
        <w:t xml:space="preserve"> </w:t>
      </w:r>
      <w:r w:rsidR="00D9258C" w:rsidRPr="00FD6A6A">
        <w:t>the</w:t>
      </w:r>
      <w:r w:rsidR="00541D05">
        <w:t xml:space="preserve"> </w:t>
      </w:r>
      <w:r w:rsidR="00D9258C" w:rsidRPr="00FD6A6A">
        <w:t>challenge</w:t>
      </w:r>
      <w:r w:rsidR="00541D05">
        <w:t xml:space="preserve"> </w:t>
      </w:r>
      <w:r w:rsidR="00D9258C" w:rsidRPr="00FD6A6A">
        <w:t>of</w:t>
      </w:r>
      <w:r w:rsidR="00541D05">
        <w:t xml:space="preserve"> </w:t>
      </w:r>
      <w:r w:rsidR="00D9258C" w:rsidRPr="00FD6A6A">
        <w:t>making</w:t>
      </w:r>
      <w:r w:rsidR="00541D05">
        <w:t xml:space="preserve"> </w:t>
      </w:r>
      <w:r w:rsidR="00D9258C" w:rsidRPr="00FD6A6A">
        <w:t>this</w:t>
      </w:r>
      <w:r w:rsidR="00541D05">
        <w:t xml:space="preserve"> </w:t>
      </w:r>
      <w:r w:rsidR="00D9258C" w:rsidRPr="00FD6A6A">
        <w:t>social</w:t>
      </w:r>
      <w:r w:rsidR="00541D05">
        <w:t xml:space="preserve"> </w:t>
      </w:r>
      <w:r w:rsidR="00D9258C" w:rsidRPr="00FD6A6A">
        <w:t>group</w:t>
      </w:r>
      <w:r w:rsidR="00541D05">
        <w:t xml:space="preserve"> </w:t>
      </w:r>
      <w:r w:rsidR="00D9258C" w:rsidRPr="00FD6A6A">
        <w:t>visible,</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created</w:t>
      </w:r>
      <w:r w:rsidR="00541D05">
        <w:t xml:space="preserve"> </w:t>
      </w:r>
      <w:r w:rsidR="00D9258C" w:rsidRPr="00FD6A6A">
        <w:t>the</w:t>
      </w:r>
      <w:r w:rsidR="00541D05">
        <w:t xml:space="preserve"> </w:t>
      </w:r>
      <w:r w:rsidR="00D9258C" w:rsidRPr="00FD6A6A">
        <w:t>I</w:t>
      </w:r>
      <w:r w:rsidR="00541D05">
        <w:t xml:space="preserve"> </w:t>
      </w:r>
      <w:r w:rsidR="00D9258C" w:rsidRPr="00FD6A6A">
        <w:t>National</w:t>
      </w:r>
      <w:r w:rsidR="00541D05">
        <w:t xml:space="preserve"> </w:t>
      </w:r>
      <w:r w:rsidR="00D9258C" w:rsidRPr="00FD6A6A">
        <w:t>Plan</w:t>
      </w:r>
      <w:r w:rsidR="00541D05">
        <w:t xml:space="preserve"> </w:t>
      </w:r>
      <w:r w:rsidR="00D9258C" w:rsidRPr="00FD6A6A">
        <w:t>for</w:t>
      </w:r>
      <w:r w:rsidR="00541D05">
        <w:t xml:space="preserve"> </w:t>
      </w:r>
      <w:r w:rsidR="00D9258C" w:rsidRPr="00FD6A6A">
        <w:t>Sustainable</w:t>
      </w:r>
      <w:r w:rsidR="00541D05">
        <w:t xml:space="preserve"> </w:t>
      </w:r>
      <w:r w:rsidR="00D9258C" w:rsidRPr="00FD6A6A">
        <w:t>Development</w:t>
      </w:r>
      <w:r w:rsidR="00541D05">
        <w:t xml:space="preserve"> </w:t>
      </w:r>
      <w:r w:rsidR="00D9258C" w:rsidRPr="00FD6A6A">
        <w:t>of</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(2013</w:t>
      </w:r>
      <w:r w:rsidR="00EA62F1">
        <w:t>–</w:t>
      </w:r>
      <w:r w:rsidR="00D9258C" w:rsidRPr="00FD6A6A">
        <w:t>2015).</w:t>
      </w:r>
      <w:r w:rsidR="00541D05">
        <w:t xml:space="preserve"> </w:t>
      </w:r>
      <w:r w:rsidR="00D9258C" w:rsidRPr="00FD6A6A">
        <w:t>The</w:t>
      </w:r>
      <w:r w:rsidR="00541D05">
        <w:t xml:space="preserve"> </w:t>
      </w:r>
      <w:r w:rsidR="00D9258C" w:rsidRPr="00FD6A6A">
        <w:t>Plan</w:t>
      </w:r>
      <w:r w:rsidR="00541D05">
        <w:t xml:space="preserve"> </w:t>
      </w:r>
      <w:r w:rsidR="00D9258C" w:rsidRPr="00FD6A6A">
        <w:t>comprises</w:t>
      </w:r>
      <w:r w:rsidR="00541D05">
        <w:t xml:space="preserve"> </w:t>
      </w:r>
      <w:r w:rsidR="00D9258C" w:rsidRPr="00FD6A6A">
        <w:t>the</w:t>
      </w:r>
      <w:r w:rsidR="00541D05">
        <w:t xml:space="preserve"> </w:t>
      </w:r>
      <w:r w:rsidR="00D9258C" w:rsidRPr="00FD6A6A">
        <w:t>following</w:t>
      </w:r>
      <w:r w:rsidR="00541D05">
        <w:t xml:space="preserve"> </w:t>
      </w:r>
      <w:r w:rsidR="00D9258C" w:rsidRPr="00FD6A6A">
        <w:t>axes:</w:t>
      </w:r>
      <w:r w:rsidR="00541D05">
        <w:t xml:space="preserve"> </w:t>
      </w:r>
      <w:r w:rsidR="00D9258C" w:rsidRPr="00FD6A6A">
        <w:t>Guarantee</w:t>
      </w:r>
      <w:r w:rsidR="00541D05">
        <w:t xml:space="preserve"> </w:t>
      </w:r>
      <w:r w:rsidR="00D9258C" w:rsidRPr="00FD6A6A">
        <w:t>of</w:t>
      </w:r>
      <w:r w:rsidR="00541D05">
        <w:t xml:space="preserve"> </w:t>
      </w:r>
      <w:r w:rsidR="00D9258C" w:rsidRPr="00FD6A6A">
        <w:t>rights,</w:t>
      </w:r>
      <w:r w:rsidR="00541D05">
        <w:t xml:space="preserve"> </w:t>
      </w:r>
      <w:r w:rsidR="00D9258C" w:rsidRPr="00FD6A6A">
        <w:t>Territoriality</w:t>
      </w:r>
      <w:r w:rsidR="00541D05">
        <w:t xml:space="preserve"> </w:t>
      </w:r>
      <w:r w:rsidR="00D9258C" w:rsidRPr="00FD6A6A">
        <w:t>and</w:t>
      </w:r>
      <w:r w:rsidR="00541D05">
        <w:t xml:space="preserve"> </w:t>
      </w:r>
      <w:r w:rsidR="00D9258C" w:rsidRPr="00FD6A6A">
        <w:t>culture,</w:t>
      </w:r>
      <w:r w:rsidR="00541D05">
        <w:t xml:space="preserve"> </w:t>
      </w:r>
      <w:r w:rsidR="00D9258C" w:rsidRPr="00FD6A6A">
        <w:t>and</w:t>
      </w:r>
      <w:r w:rsidR="00541D05">
        <w:t xml:space="preserve"> </w:t>
      </w:r>
      <w:r w:rsidR="00D9258C" w:rsidRPr="00FD6A6A">
        <w:t>Social</w:t>
      </w:r>
      <w:r w:rsidR="00541D05">
        <w:t xml:space="preserve"> </w:t>
      </w:r>
      <w:r w:rsidR="00D9258C" w:rsidRPr="00FD6A6A">
        <w:t>inclusion</w:t>
      </w:r>
      <w:r w:rsidR="00541D05">
        <w:t xml:space="preserve"> </w:t>
      </w:r>
      <w:r w:rsidR="00D9258C" w:rsidRPr="00FD6A6A">
        <w:t>and</w:t>
      </w:r>
      <w:r w:rsidR="00541D05">
        <w:t xml:space="preserve"> </w:t>
      </w:r>
      <w:r w:rsidR="00D9258C" w:rsidRPr="00FD6A6A">
        <w:t>sustainable</w:t>
      </w:r>
      <w:r w:rsidR="00541D05">
        <w:t xml:space="preserve"> </w:t>
      </w:r>
      <w:r w:rsidR="00D9258C" w:rsidRPr="00FD6A6A">
        <w:t>development.</w:t>
      </w:r>
    </w:p>
    <w:p w14:paraId="67FF5C4A" w14:textId="34A8120E" w:rsidR="00D9258C" w:rsidRPr="00FD6A6A" w:rsidRDefault="00166390" w:rsidP="00166390">
      <w:pPr>
        <w:pStyle w:val="ParaNoG"/>
        <w:numPr>
          <w:ilvl w:val="0"/>
          <w:numId w:val="0"/>
        </w:numPr>
        <w:tabs>
          <w:tab w:val="left" w:pos="0"/>
        </w:tabs>
        <w:ind w:left="1134"/>
      </w:pPr>
      <w:r w:rsidRPr="00FD6A6A">
        <w:t>125.</w:t>
      </w:r>
      <w:r w:rsidRPr="00FD6A6A">
        <w:tab/>
      </w:r>
      <w:r w:rsidR="00D9258C" w:rsidRPr="00FD6A6A">
        <w:t>The</w:t>
      </w:r>
      <w:r w:rsidR="00541D05">
        <w:t xml:space="preserve"> </w:t>
      </w:r>
      <w:r w:rsidR="00D9258C" w:rsidRPr="00FD6A6A">
        <w:t>Plan</w:t>
      </w:r>
      <w:r w:rsidR="00541D05">
        <w:t xml:space="preserve"> </w:t>
      </w:r>
      <w:r w:rsidR="00D9258C" w:rsidRPr="00FD6A6A">
        <w:t>provided</w:t>
      </w:r>
      <w:r w:rsidR="00541D05">
        <w:t xml:space="preserve"> </w:t>
      </w:r>
      <w:r w:rsidR="00D9258C" w:rsidRPr="00FD6A6A">
        <w:t>for</w:t>
      </w:r>
      <w:r w:rsidR="00541D05">
        <w:t xml:space="preserve"> </w:t>
      </w:r>
      <w:r w:rsidR="00D9258C" w:rsidRPr="00FD6A6A">
        <w:t>a</w:t>
      </w:r>
      <w:r w:rsidR="00541D05">
        <w:t xml:space="preserve"> </w:t>
      </w:r>
      <w:r w:rsidR="00D9258C" w:rsidRPr="00FD6A6A">
        <w:t>series</w:t>
      </w:r>
      <w:r w:rsidR="00541D05">
        <w:t xml:space="preserve"> </w:t>
      </w:r>
      <w:r w:rsidR="00D9258C" w:rsidRPr="00FD6A6A">
        <w:t>of</w:t>
      </w:r>
      <w:r w:rsidR="00541D05">
        <w:t xml:space="preserve"> </w:t>
      </w:r>
      <w:r w:rsidR="00D9258C" w:rsidRPr="00FD6A6A">
        <w:t>initiatives</w:t>
      </w:r>
      <w:r w:rsidR="00541D05">
        <w:t xml:space="preserve"> </w:t>
      </w:r>
      <w:r w:rsidR="00D9258C" w:rsidRPr="00FD6A6A">
        <w:t>and</w:t>
      </w:r>
      <w:r w:rsidR="00541D05">
        <w:t xml:space="preserve"> </w:t>
      </w:r>
      <w:r w:rsidR="00D9258C" w:rsidRPr="00FD6A6A">
        <w:t>actions,</w:t>
      </w:r>
      <w:r w:rsidR="00541D05">
        <w:t xml:space="preserve"> </w:t>
      </w:r>
      <w:r w:rsidR="00D9258C" w:rsidRPr="00FD6A6A">
        <w:t>for</w:t>
      </w:r>
      <w:r w:rsidR="00541D05">
        <w:t xml:space="preserve"> </w:t>
      </w:r>
      <w:r w:rsidR="00D9258C" w:rsidRPr="00FD6A6A">
        <w:t>example,</w:t>
      </w:r>
      <w:r w:rsidR="00541D05">
        <w:t xml:space="preserve"> </w:t>
      </w:r>
      <w:r w:rsidR="00D9258C" w:rsidRPr="00FD6A6A">
        <w:t>national</w:t>
      </w:r>
      <w:r w:rsidR="00541D05">
        <w:t xml:space="preserve"> </w:t>
      </w:r>
      <w:r w:rsidR="00D9258C" w:rsidRPr="00FD6A6A">
        <w:t>campaigns</w:t>
      </w:r>
      <w:r w:rsidR="00541D05">
        <w:t xml:space="preserve"> </w:t>
      </w:r>
      <w:r w:rsidR="00D9258C" w:rsidRPr="00FD6A6A">
        <w:t>for</w:t>
      </w:r>
      <w:r w:rsidR="00541D05">
        <w:t xml:space="preserve"> </w:t>
      </w:r>
      <w:r w:rsidR="00D9258C" w:rsidRPr="00FD6A6A">
        <w:t>information</w:t>
      </w:r>
      <w:r w:rsidR="00541D05">
        <w:t xml:space="preserve"> </w:t>
      </w:r>
      <w:r w:rsidR="00D9258C" w:rsidRPr="00FD6A6A">
        <w:t>and</w:t>
      </w:r>
      <w:r w:rsidR="00541D05">
        <w:t xml:space="preserve"> </w:t>
      </w:r>
      <w:r w:rsidR="00D9258C" w:rsidRPr="00FD6A6A">
        <w:t>appreciation</w:t>
      </w:r>
      <w:r w:rsidR="00541D05">
        <w:t xml:space="preserve"> </w:t>
      </w:r>
      <w:r w:rsidR="00D9258C" w:rsidRPr="00FD6A6A">
        <w:t>of</w:t>
      </w:r>
      <w:r w:rsidR="00541D05">
        <w:t xml:space="preserve"> </w:t>
      </w:r>
      <w:r w:rsidR="00D9258C" w:rsidRPr="00FD6A6A">
        <w:t>African</w:t>
      </w:r>
      <w:r w:rsidR="00541D05">
        <w:t xml:space="preserve"> </w:t>
      </w:r>
      <w:r w:rsidR="00D9258C" w:rsidRPr="00FD6A6A">
        <w:t>descent</w:t>
      </w:r>
      <w:r w:rsidR="00541D05">
        <w:t xml:space="preserve"> </w:t>
      </w:r>
      <w:r w:rsidR="00D9258C" w:rsidRPr="00FD6A6A">
        <w:t>in</w:t>
      </w:r>
      <w:r w:rsidR="00541D05">
        <w:t xml:space="preserve"> </w:t>
      </w:r>
      <w:r w:rsidR="00D9258C" w:rsidRPr="00FD6A6A">
        <w:t>Brazil,</w:t>
      </w:r>
      <w:r w:rsidR="00541D05">
        <w:t xml:space="preserve"> </w:t>
      </w:r>
      <w:r w:rsidR="00D9258C" w:rsidRPr="00FD6A6A">
        <w:t>inclusion</w:t>
      </w:r>
      <w:r w:rsidR="00541D05">
        <w:t xml:space="preserve"> </w:t>
      </w:r>
      <w:r w:rsidR="00D9258C" w:rsidRPr="00FD6A6A">
        <w:t>of</w:t>
      </w:r>
      <w:r w:rsidR="00541D05">
        <w:t xml:space="preserve"> </w:t>
      </w:r>
      <w:r w:rsidR="00D9258C" w:rsidRPr="00FD6A6A">
        <w:t>the</w:t>
      </w:r>
      <w:r w:rsidR="00541D05">
        <w:t xml:space="preserve"> </w:t>
      </w:r>
      <w:r w:rsidR="00D9258C" w:rsidRPr="00FD6A6A">
        <w:t>theme</w:t>
      </w:r>
      <w:r w:rsidR="00541D05">
        <w:t xml:space="preserve"> </w:t>
      </w:r>
      <w:r w:rsidR="00D9258C" w:rsidRPr="00FD6A6A">
        <w:t>of</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in</w:t>
      </w:r>
      <w:r w:rsidR="00541D05">
        <w:t xml:space="preserve"> </w:t>
      </w:r>
      <w:r w:rsidR="00D9258C" w:rsidRPr="00FD6A6A">
        <w:t>digital</w:t>
      </w:r>
      <w:r w:rsidR="00541D05">
        <w:t xml:space="preserve"> </w:t>
      </w:r>
      <w:r w:rsidR="00D9258C" w:rsidRPr="00FD6A6A">
        <w:t>content</w:t>
      </w:r>
      <w:r w:rsidR="00541D05">
        <w:t xml:space="preserve"> </w:t>
      </w:r>
      <w:r w:rsidR="00D9258C" w:rsidRPr="00FD6A6A">
        <w:t>products,</w:t>
      </w:r>
      <w:r w:rsidR="00541D05">
        <w:t xml:space="preserve"> </w:t>
      </w:r>
      <w:r w:rsidR="00D9258C" w:rsidRPr="00FD6A6A">
        <w:t>training</w:t>
      </w:r>
      <w:r w:rsidR="00541D05">
        <w:t xml:space="preserve"> </w:t>
      </w:r>
      <w:r w:rsidR="00D9258C" w:rsidRPr="00FD6A6A">
        <w:t>of</w:t>
      </w:r>
      <w:r w:rsidR="00541D05">
        <w:t xml:space="preserve"> </w:t>
      </w:r>
      <w:r w:rsidR="00D9258C" w:rsidRPr="00FD6A6A">
        <w:t>public</w:t>
      </w:r>
      <w:r w:rsidR="00541D05">
        <w:t xml:space="preserve"> </w:t>
      </w:r>
      <w:r w:rsidR="00D9258C" w:rsidRPr="00FD6A6A">
        <w:t>agents</w:t>
      </w:r>
      <w:r w:rsidR="00541D05">
        <w:t xml:space="preserve"> </w:t>
      </w:r>
      <w:r w:rsidR="00D9258C" w:rsidRPr="00FD6A6A">
        <w:t>for</w:t>
      </w:r>
      <w:r w:rsidR="00541D05">
        <w:t xml:space="preserve"> </w:t>
      </w:r>
      <w:r w:rsidR="00D9258C" w:rsidRPr="00FD6A6A">
        <w:t>the</w:t>
      </w:r>
      <w:r w:rsidR="00541D05">
        <w:t xml:space="preserve"> </w:t>
      </w:r>
      <w:r w:rsidR="00D9258C" w:rsidRPr="00FD6A6A">
        <w:t>implementation</w:t>
      </w:r>
      <w:r w:rsidR="00541D05">
        <w:t xml:space="preserve"> </w:t>
      </w:r>
      <w:r w:rsidR="00D9258C" w:rsidRPr="00FD6A6A">
        <w:t>and</w:t>
      </w:r>
      <w:r w:rsidR="00541D05">
        <w:t xml:space="preserve"> </w:t>
      </w:r>
      <w:r w:rsidR="00D9258C" w:rsidRPr="00FD6A6A">
        <w:t>protection</w:t>
      </w:r>
      <w:r w:rsidR="00541D05">
        <w:t xml:space="preserve"> </w:t>
      </w:r>
      <w:r w:rsidR="00D9258C" w:rsidRPr="00FD6A6A">
        <w:t>of</w:t>
      </w:r>
      <w:r w:rsidR="00541D05">
        <w:t xml:space="preserve"> </w:t>
      </w:r>
      <w:r w:rsidR="00D9258C" w:rsidRPr="00FD6A6A">
        <w:t>their</w:t>
      </w:r>
      <w:r w:rsidR="00541D05">
        <w:t xml:space="preserve"> </w:t>
      </w:r>
      <w:r w:rsidR="00D9258C" w:rsidRPr="00FD6A6A">
        <w:t>rights,</w:t>
      </w:r>
      <w:r w:rsidR="00541D05">
        <w:t xml:space="preserve"> </w:t>
      </w:r>
      <w:r w:rsidR="00D9258C" w:rsidRPr="00FD6A6A">
        <w:t>monitoring</w:t>
      </w:r>
      <w:r w:rsidR="00541D05">
        <w:t xml:space="preserve"> </w:t>
      </w:r>
      <w:r w:rsidR="00D9258C" w:rsidRPr="00FD6A6A">
        <w:t>of</w:t>
      </w:r>
      <w:r w:rsidR="00541D05">
        <w:t xml:space="preserve"> </w:t>
      </w:r>
      <w:r w:rsidR="00D9258C" w:rsidRPr="00FD6A6A">
        <w:t>manifestations</w:t>
      </w:r>
      <w:r w:rsidR="00541D05">
        <w:t xml:space="preserve"> </w:t>
      </w:r>
      <w:r w:rsidR="00D9258C" w:rsidRPr="00FD6A6A">
        <w:t>of</w:t>
      </w:r>
      <w:r w:rsidR="00541D05">
        <w:t xml:space="preserve"> </w:t>
      </w:r>
      <w:r w:rsidR="00D9258C" w:rsidRPr="00FD6A6A">
        <w:t>racism</w:t>
      </w:r>
      <w:r w:rsidR="00541D05">
        <w:t xml:space="preserve"> </w:t>
      </w:r>
      <w:r w:rsidR="00D9258C" w:rsidRPr="00FD6A6A">
        <w:t>reported</w:t>
      </w:r>
      <w:r w:rsidR="00541D05">
        <w:t xml:space="preserve"> </w:t>
      </w:r>
      <w:r w:rsidR="00D9258C" w:rsidRPr="00FD6A6A">
        <w:t>by</w:t>
      </w:r>
      <w:r w:rsidR="00541D05">
        <w:t xml:space="preserve"> </w:t>
      </w:r>
      <w:r w:rsidR="00D9258C" w:rsidRPr="00FD6A6A">
        <w:t>traditional</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increase</w:t>
      </w:r>
      <w:r w:rsidR="00541D05">
        <w:t xml:space="preserve"> </w:t>
      </w:r>
      <w:r w:rsidR="00D9258C" w:rsidRPr="00FD6A6A">
        <w:t>in</w:t>
      </w:r>
      <w:r w:rsidR="00541D05">
        <w:t xml:space="preserve"> </w:t>
      </w:r>
      <w:r w:rsidR="00D9258C" w:rsidRPr="00FD6A6A">
        <w:t>education</w:t>
      </w:r>
      <w:r w:rsidR="00541D05">
        <w:t xml:space="preserve"> </w:t>
      </w:r>
      <w:r w:rsidR="00D9258C" w:rsidRPr="00FD6A6A">
        <w:t>levels,</w:t>
      </w:r>
      <w:r w:rsidR="00541D05">
        <w:t xml:space="preserve"> </w:t>
      </w:r>
      <w:r w:rsidR="00D9258C" w:rsidRPr="00FD6A6A">
        <w:t>socio-economic</w:t>
      </w:r>
      <w:r w:rsidR="00541D05">
        <w:t xml:space="preserve"> </w:t>
      </w:r>
      <w:r w:rsidR="00D9258C" w:rsidRPr="00FD6A6A">
        <w:t>and</w:t>
      </w:r>
      <w:r w:rsidR="00541D05">
        <w:t xml:space="preserve"> </w:t>
      </w:r>
      <w:r w:rsidR="00D9258C" w:rsidRPr="00FD6A6A">
        <w:t>cultural</w:t>
      </w:r>
      <w:r w:rsidR="00541D05">
        <w:t xml:space="preserve"> </w:t>
      </w:r>
      <w:r w:rsidR="00D9258C" w:rsidRPr="00FD6A6A">
        <w:t>diagnostic</w:t>
      </w:r>
      <w:r w:rsidR="00541D05">
        <w:t xml:space="preserve"> </w:t>
      </w:r>
      <w:r w:rsidR="00D9258C" w:rsidRPr="00FD6A6A">
        <w:t>and</w:t>
      </w:r>
      <w:r w:rsidR="00541D05">
        <w:t xml:space="preserve"> </w:t>
      </w:r>
      <w:r w:rsidR="00D9258C" w:rsidRPr="00FD6A6A">
        <w:t>analyses,</w:t>
      </w:r>
      <w:r w:rsidR="00541D05">
        <w:t xml:space="preserve"> </w:t>
      </w:r>
      <w:r w:rsidR="00D9258C" w:rsidRPr="00FD6A6A">
        <w:t>implementation</w:t>
      </w:r>
      <w:r w:rsidR="00541D05">
        <w:t xml:space="preserve"> </w:t>
      </w:r>
      <w:r w:rsidR="00D9258C" w:rsidRPr="00FD6A6A">
        <w:t>of</w:t>
      </w:r>
      <w:r w:rsidR="00541D05">
        <w:t xml:space="preserve"> </w:t>
      </w:r>
      <w:r w:rsidR="00D9258C" w:rsidRPr="00FD6A6A">
        <w:t>land</w:t>
      </w:r>
      <w:r w:rsidR="00541D05">
        <w:t xml:space="preserve"> </w:t>
      </w:r>
      <w:r w:rsidR="00D9258C" w:rsidRPr="00FD6A6A">
        <w:t>regularization</w:t>
      </w:r>
      <w:r w:rsidR="00541D05">
        <w:t xml:space="preserve"> </w:t>
      </w:r>
      <w:r w:rsidR="00D9258C" w:rsidRPr="00FD6A6A">
        <w:t>actions,</w:t>
      </w:r>
      <w:r w:rsidR="00541D05">
        <w:t xml:space="preserve"> </w:t>
      </w:r>
      <w:r w:rsidR="00D9258C" w:rsidRPr="00FD6A6A">
        <w:t>promotion</w:t>
      </w:r>
      <w:r w:rsidR="00541D05">
        <w:t xml:space="preserve"> </w:t>
      </w:r>
      <w:r w:rsidR="00D9258C" w:rsidRPr="00FD6A6A">
        <w:t>of</w:t>
      </w:r>
      <w:r w:rsidR="00541D05">
        <w:t xml:space="preserve"> </w:t>
      </w:r>
      <w:r w:rsidR="00D9258C" w:rsidRPr="00FD6A6A">
        <w:t>exchange</w:t>
      </w:r>
      <w:r w:rsidR="00541D05">
        <w:t xml:space="preserve"> </w:t>
      </w:r>
      <w:r w:rsidR="00D9258C" w:rsidRPr="00FD6A6A">
        <w:t>among</w:t>
      </w:r>
      <w:r w:rsidR="00541D05">
        <w:t xml:space="preserve"> </w:t>
      </w:r>
      <w:r w:rsidR="00D9258C" w:rsidRPr="00FD6A6A">
        <w:t>groups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emergency</w:t>
      </w:r>
      <w:r w:rsidR="00541D05">
        <w:t xml:space="preserve"> </w:t>
      </w:r>
      <w:r w:rsidR="00D9258C" w:rsidRPr="00FD6A6A">
        <w:t>assistance</w:t>
      </w:r>
      <w:r w:rsidR="00541D05">
        <w:t xml:space="preserve"> </w:t>
      </w:r>
      <w:r w:rsidR="00D9258C" w:rsidRPr="00FD6A6A">
        <w:t>through</w:t>
      </w:r>
      <w:r w:rsidR="00541D05">
        <w:t xml:space="preserve"> </w:t>
      </w:r>
      <w:r w:rsidR="00D9258C" w:rsidRPr="00FD6A6A">
        <w:t>the</w:t>
      </w:r>
      <w:r w:rsidR="00541D05">
        <w:t xml:space="preserve"> </w:t>
      </w:r>
      <w:r w:rsidR="00D9258C" w:rsidRPr="00FD6A6A">
        <w:t>distribution</w:t>
      </w:r>
      <w:r w:rsidR="00541D05">
        <w:t xml:space="preserve"> </w:t>
      </w:r>
      <w:r w:rsidR="00D9258C" w:rsidRPr="00FD6A6A">
        <w:t>of</w:t>
      </w:r>
      <w:r w:rsidR="00541D05">
        <w:t xml:space="preserve"> </w:t>
      </w:r>
      <w:r w:rsidR="00D9258C" w:rsidRPr="00FD6A6A">
        <w:t>food</w:t>
      </w:r>
      <w:r w:rsidR="00541D05">
        <w:t xml:space="preserve"> </w:t>
      </w:r>
      <w:r w:rsidR="00D9258C" w:rsidRPr="00FD6A6A">
        <w:t>baskets</w:t>
      </w:r>
      <w:r w:rsidR="00541D05">
        <w:t xml:space="preserve"> </w:t>
      </w:r>
      <w:r w:rsidR="00D9258C" w:rsidRPr="00FD6A6A">
        <w:t>to</w:t>
      </w:r>
      <w:r w:rsidR="00541D05">
        <w:t xml:space="preserve"> </w:t>
      </w:r>
      <w:r w:rsidR="00D9258C" w:rsidRPr="00FD6A6A">
        <w:t>families</w:t>
      </w:r>
      <w:r w:rsidR="00541D05">
        <w:t xml:space="preserve"> </w:t>
      </w:r>
      <w:r w:rsidR="00D9258C" w:rsidRPr="00FD6A6A">
        <w:t>of</w:t>
      </w:r>
      <w:r w:rsidR="00541D05">
        <w:t xml:space="preserve"> </w:t>
      </w:r>
      <w:r w:rsidR="00D9258C" w:rsidRPr="00FD6A6A">
        <w:t>peoples</w:t>
      </w:r>
      <w:r w:rsidR="00541D05">
        <w:t xml:space="preserve"> </w:t>
      </w:r>
      <w:r w:rsidR="00D9258C" w:rsidRPr="00FD6A6A">
        <w:t>and</w:t>
      </w:r>
      <w:r w:rsidR="00541D05">
        <w:t xml:space="preserve"> </w:t>
      </w:r>
      <w:r w:rsidR="00D9258C" w:rsidRPr="00FD6A6A">
        <w:t>communities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suffering</w:t>
      </w:r>
      <w:r w:rsidR="00541D05">
        <w:t xml:space="preserve"> </w:t>
      </w:r>
      <w:r w:rsidR="00D9258C" w:rsidRPr="00FD6A6A">
        <w:t>from</w:t>
      </w:r>
      <w:r w:rsidR="00541D05">
        <w:t xml:space="preserve"> </w:t>
      </w:r>
      <w:r w:rsidR="00D9258C" w:rsidRPr="00FD6A6A">
        <w:t>hunger,</w:t>
      </w:r>
      <w:r w:rsidR="00541D05">
        <w:t xml:space="preserve"> </w:t>
      </w:r>
      <w:r w:rsidR="00D9258C" w:rsidRPr="00FD6A6A">
        <w:t>etc.</w:t>
      </w:r>
    </w:p>
    <w:p w14:paraId="4A847107" w14:textId="1B58B1C2" w:rsidR="00D9258C" w:rsidRPr="00FD6A6A" w:rsidRDefault="00166390" w:rsidP="00166390">
      <w:pPr>
        <w:pStyle w:val="ParaNoG"/>
        <w:numPr>
          <w:ilvl w:val="0"/>
          <w:numId w:val="0"/>
        </w:numPr>
        <w:tabs>
          <w:tab w:val="left" w:pos="0"/>
        </w:tabs>
        <w:ind w:left="1134"/>
      </w:pPr>
      <w:r w:rsidRPr="00FD6A6A">
        <w:t>126.</w:t>
      </w:r>
      <w:r w:rsidRPr="00FD6A6A">
        <w:tab/>
      </w:r>
      <w:r w:rsidR="00D9258C" w:rsidRPr="00FD6A6A">
        <w:t>The</w:t>
      </w:r>
      <w:r w:rsidR="00541D05">
        <w:t xml:space="preserve"> </w:t>
      </w:r>
      <w:r w:rsidR="00D9258C" w:rsidRPr="00FD6A6A">
        <w:t>religious</w:t>
      </w:r>
      <w:r w:rsidR="00541D05">
        <w:t xml:space="preserve"> </w:t>
      </w:r>
      <w:r w:rsidR="00D9258C" w:rsidRPr="00FD6A6A">
        <w:t>diversity</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is</w:t>
      </w:r>
      <w:r w:rsidR="00541D05">
        <w:t xml:space="preserve"> </w:t>
      </w:r>
      <w:r w:rsidR="00D9258C" w:rsidRPr="00FD6A6A">
        <w:t>protected</w:t>
      </w:r>
      <w:r w:rsidR="00541D05">
        <w:t xml:space="preserve"> </w:t>
      </w:r>
      <w:r w:rsidR="00D9258C" w:rsidRPr="00FD6A6A">
        <w:t>by</w:t>
      </w:r>
      <w:r w:rsidR="00541D05">
        <w:t xml:space="preserve"> </w:t>
      </w:r>
      <w:r w:rsidR="00D9258C" w:rsidRPr="00FD6A6A">
        <w:t>a</w:t>
      </w:r>
      <w:r w:rsidR="00541D05">
        <w:t xml:space="preserve"> </w:t>
      </w:r>
      <w:r w:rsidR="00D9258C" w:rsidRPr="00FD6A6A">
        <w:t>legal</w:t>
      </w:r>
      <w:r w:rsidR="00541D05">
        <w:t xml:space="preserve"> </w:t>
      </w:r>
      <w:r w:rsidR="00D9258C" w:rsidRPr="00FD6A6A">
        <w:t>framework</w:t>
      </w:r>
      <w:r w:rsidR="00541D05">
        <w:t xml:space="preserve"> </w:t>
      </w:r>
      <w:r w:rsidR="00D9258C" w:rsidRPr="00FD6A6A">
        <w:t>aiming</w:t>
      </w:r>
      <w:r w:rsidR="00541D05">
        <w:t xml:space="preserve"> </w:t>
      </w:r>
      <w:r w:rsidR="00D9258C" w:rsidRPr="00FD6A6A">
        <w:t>at</w:t>
      </w:r>
      <w:r w:rsidR="00541D05">
        <w:t xml:space="preserve"> </w:t>
      </w:r>
      <w:r w:rsidR="00D9258C" w:rsidRPr="00FD6A6A">
        <w:t>promoting</w:t>
      </w:r>
      <w:r w:rsidR="00541D05">
        <w:t xml:space="preserve"> </w:t>
      </w:r>
      <w:r w:rsidR="00D9258C" w:rsidRPr="00FD6A6A">
        <w:t>pacific</w:t>
      </w:r>
      <w:r w:rsidR="00541D05">
        <w:t xml:space="preserve"> </w:t>
      </w:r>
      <w:r w:rsidR="00D9258C" w:rsidRPr="00FD6A6A">
        <w:t>inter-religious</w:t>
      </w:r>
      <w:r w:rsidR="00541D05">
        <w:t xml:space="preserve"> </w:t>
      </w:r>
      <w:r w:rsidR="00D9258C" w:rsidRPr="00FD6A6A">
        <w:t>coexistence.</w:t>
      </w:r>
      <w:r w:rsidR="00541D05">
        <w:t xml:space="preserve"> </w:t>
      </w:r>
      <w:r w:rsidR="00D9258C" w:rsidRPr="00FD6A6A">
        <w:t>The</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EA62F1">
        <w:t>“</w:t>
      </w:r>
      <w:r w:rsidR="00D9258C" w:rsidRPr="00FD6A6A">
        <w:t>the</w:t>
      </w:r>
      <w:r w:rsidR="00541D05">
        <w:t xml:space="preserve"> </w:t>
      </w:r>
      <w:r w:rsidR="00D9258C" w:rsidRPr="00FD6A6A">
        <w:t>freedom</w:t>
      </w:r>
      <w:r w:rsidR="00541D05">
        <w:t xml:space="preserve"> </w:t>
      </w:r>
      <w:r w:rsidR="00D9258C" w:rsidRPr="00FD6A6A">
        <w:t>of</w:t>
      </w:r>
      <w:r w:rsidR="00541D05">
        <w:t xml:space="preserve"> </w:t>
      </w:r>
      <w:r w:rsidR="00D9258C" w:rsidRPr="00FD6A6A">
        <w:t>conscience</w:t>
      </w:r>
      <w:r w:rsidR="00541D05">
        <w:t xml:space="preserve"> </w:t>
      </w:r>
      <w:r w:rsidR="00D9258C" w:rsidRPr="00FD6A6A">
        <w:t>and</w:t>
      </w:r>
      <w:r w:rsidR="00541D05">
        <w:t xml:space="preserve"> </w:t>
      </w:r>
      <w:r w:rsidR="00D9258C" w:rsidRPr="00FD6A6A">
        <w:t>belief</w:t>
      </w:r>
      <w:r w:rsidR="00541D05">
        <w:t xml:space="preserve"> </w:t>
      </w:r>
      <w:r w:rsidR="00D9258C" w:rsidRPr="00FD6A6A">
        <w:t>is</w:t>
      </w:r>
      <w:r w:rsidR="00541D05">
        <w:t xml:space="preserve"> </w:t>
      </w:r>
      <w:r w:rsidR="00D9258C" w:rsidRPr="00FD6A6A">
        <w:t>inviolable;</w:t>
      </w:r>
      <w:r w:rsidR="00541D05">
        <w:t xml:space="preserve"> </w:t>
      </w:r>
      <w:r w:rsidR="00D9258C" w:rsidRPr="00FD6A6A">
        <w:t>the</w:t>
      </w:r>
      <w:r w:rsidR="00541D05">
        <w:t xml:space="preserve"> </w:t>
      </w:r>
      <w:r w:rsidR="00D9258C" w:rsidRPr="00FD6A6A">
        <w:t>free</w:t>
      </w:r>
      <w:r w:rsidR="00541D05">
        <w:t xml:space="preserve"> </w:t>
      </w:r>
      <w:r w:rsidR="00D9258C" w:rsidRPr="00FD6A6A">
        <w:t>exercise</w:t>
      </w:r>
      <w:r w:rsidR="00541D05">
        <w:t xml:space="preserve"> </w:t>
      </w:r>
      <w:r w:rsidR="00D9258C" w:rsidRPr="00FD6A6A">
        <w:t>of</w:t>
      </w:r>
      <w:r w:rsidR="00541D05">
        <w:t xml:space="preserve"> </w:t>
      </w:r>
      <w:r w:rsidR="00D9258C" w:rsidRPr="00FD6A6A">
        <w:t>religious</w:t>
      </w:r>
      <w:r w:rsidR="00541D05">
        <w:t xml:space="preserve"> </w:t>
      </w:r>
      <w:r w:rsidR="00D9258C" w:rsidRPr="00FD6A6A">
        <w:t>cults</w:t>
      </w:r>
      <w:r w:rsidR="00541D05">
        <w:t xml:space="preserve"> </w:t>
      </w:r>
      <w:r w:rsidR="00D9258C" w:rsidRPr="00FD6A6A">
        <w:t>is</w:t>
      </w:r>
      <w:r w:rsidR="00541D05">
        <w:t xml:space="preserve"> </w:t>
      </w:r>
      <w:r w:rsidR="00D9258C" w:rsidRPr="00FD6A6A">
        <w:t>guaranteed;</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places</w:t>
      </w:r>
      <w:r w:rsidR="00541D05">
        <w:t xml:space="preserve"> </w:t>
      </w:r>
      <w:r w:rsidR="00D9258C" w:rsidRPr="00FD6A6A">
        <w:t>of</w:t>
      </w:r>
      <w:r w:rsidR="00541D05">
        <w:t xml:space="preserve"> </w:t>
      </w:r>
      <w:r w:rsidR="00D9258C" w:rsidRPr="00FD6A6A">
        <w:t>cult</w:t>
      </w:r>
      <w:r w:rsidR="00541D05">
        <w:t xml:space="preserve"> </w:t>
      </w:r>
      <w:r w:rsidR="00D9258C" w:rsidRPr="00FD6A6A">
        <w:t>and</w:t>
      </w:r>
      <w:r w:rsidR="00541D05">
        <w:t xml:space="preserve"> </w:t>
      </w:r>
      <w:r w:rsidR="00D9258C" w:rsidRPr="00FD6A6A">
        <w:t>literature,</w:t>
      </w:r>
      <w:r w:rsidR="00541D05">
        <w:t xml:space="preserve"> </w:t>
      </w:r>
      <w:r w:rsidR="00D9258C" w:rsidRPr="00FD6A6A">
        <w:t>as</w:t>
      </w:r>
      <w:r w:rsidR="00541D05">
        <w:t xml:space="preserve"> </w:t>
      </w:r>
      <w:r w:rsidR="00D9258C" w:rsidRPr="00FD6A6A">
        <w:t>provided</w:t>
      </w:r>
      <w:r w:rsidR="00541D05">
        <w:t xml:space="preserve"> </w:t>
      </w:r>
      <w:r w:rsidR="00D9258C" w:rsidRPr="00FD6A6A">
        <w:t>by</w:t>
      </w:r>
      <w:r w:rsidR="00541D05">
        <w:t xml:space="preserve"> </w:t>
      </w:r>
      <w:r w:rsidR="00D9258C" w:rsidRPr="00FD6A6A">
        <w:t>law</w:t>
      </w:r>
      <w:r w:rsidR="00EA62F1">
        <w:t>”</w:t>
      </w:r>
      <w:r w:rsidR="00541D05">
        <w:t xml:space="preserve"> </w:t>
      </w:r>
      <w:r w:rsidR="00D9258C" w:rsidRPr="00FD6A6A">
        <w:t>(Art.</w:t>
      </w:r>
      <w:r w:rsidR="00541D05">
        <w:t xml:space="preserve"> </w:t>
      </w:r>
      <w:r w:rsidR="00D9258C" w:rsidRPr="00FD6A6A">
        <w:t>5,</w:t>
      </w:r>
      <w:r w:rsidR="00541D05">
        <w:t xml:space="preserve"> </w:t>
      </w:r>
      <w:r w:rsidR="00D9258C" w:rsidRPr="00FD6A6A">
        <w:t>item</w:t>
      </w:r>
      <w:r w:rsidR="00541D05">
        <w:t xml:space="preserve"> </w:t>
      </w:r>
      <w:r w:rsidR="00D9258C" w:rsidRPr="00FD6A6A">
        <w:t>VI).</w:t>
      </w:r>
      <w:r w:rsidR="00541D05">
        <w:t xml:space="preserve"> </w:t>
      </w:r>
      <w:r w:rsidR="00D9258C" w:rsidRPr="00FD6A6A">
        <w:t>It</w:t>
      </w:r>
      <w:r w:rsidR="00541D05">
        <w:t xml:space="preserve"> </w:t>
      </w:r>
      <w:r w:rsidR="00D9258C" w:rsidRPr="00FD6A6A">
        <w:t>also</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EA62F1">
        <w:t>“</w:t>
      </w:r>
      <w:r w:rsidR="00D9258C" w:rsidRPr="00FD6A6A">
        <w:t>no</w:t>
      </w:r>
      <w:r w:rsidR="00541D05">
        <w:t xml:space="preserve"> </w:t>
      </w:r>
      <w:r w:rsidR="00D9258C" w:rsidRPr="00FD6A6A">
        <w:t>one</w:t>
      </w:r>
      <w:r w:rsidR="00541D05">
        <w:t xml:space="preserve"> </w:t>
      </w:r>
      <w:r w:rsidR="00D9258C" w:rsidRPr="00FD6A6A">
        <w:t>shall</w:t>
      </w:r>
      <w:r w:rsidR="00541D05">
        <w:t xml:space="preserve"> </w:t>
      </w:r>
      <w:r w:rsidR="00D9258C" w:rsidRPr="00FD6A6A">
        <w:t>be</w:t>
      </w:r>
      <w:r w:rsidR="00541D05">
        <w:t xml:space="preserve"> </w:t>
      </w:r>
      <w:r w:rsidR="00D9258C" w:rsidRPr="00FD6A6A">
        <w:t>deprived</w:t>
      </w:r>
      <w:r w:rsidR="00541D05">
        <w:t xml:space="preserve"> </w:t>
      </w:r>
      <w:r w:rsidR="00D9258C" w:rsidRPr="00FD6A6A">
        <w:t>of</w:t>
      </w:r>
      <w:r w:rsidR="00541D05">
        <w:t xml:space="preserve"> </w:t>
      </w:r>
      <w:r w:rsidR="00D9258C" w:rsidRPr="00FD6A6A">
        <w:t>their</w:t>
      </w:r>
      <w:r w:rsidR="00541D05">
        <w:t xml:space="preserve"> </w:t>
      </w:r>
      <w:r w:rsidR="00D9258C" w:rsidRPr="00FD6A6A">
        <w:t>rights</w:t>
      </w:r>
      <w:r w:rsidR="00541D05">
        <w:t xml:space="preserve"> </w:t>
      </w:r>
      <w:r w:rsidR="00D9258C" w:rsidRPr="00FD6A6A">
        <w:t>due</w:t>
      </w:r>
      <w:r w:rsidR="00541D05">
        <w:t xml:space="preserve"> </w:t>
      </w:r>
      <w:r w:rsidR="00D9258C" w:rsidRPr="00FD6A6A">
        <w:t>to</w:t>
      </w:r>
      <w:r w:rsidR="00541D05">
        <w:t xml:space="preserve"> </w:t>
      </w:r>
      <w:r w:rsidR="00D9258C" w:rsidRPr="00FD6A6A">
        <w:t>religious</w:t>
      </w:r>
      <w:r w:rsidR="00541D05">
        <w:t xml:space="preserve"> </w:t>
      </w:r>
      <w:r w:rsidR="00D9258C" w:rsidRPr="00FD6A6A">
        <w:t>belief</w:t>
      </w:r>
      <w:r w:rsidR="00541D05">
        <w:t xml:space="preserve"> </w:t>
      </w:r>
      <w:r w:rsidR="00D9258C" w:rsidRPr="00FD6A6A">
        <w:t>or</w:t>
      </w:r>
      <w:r w:rsidR="00541D05">
        <w:t xml:space="preserve"> </w:t>
      </w:r>
      <w:r w:rsidR="00D9258C" w:rsidRPr="00FD6A6A">
        <w:t>philosophical</w:t>
      </w:r>
      <w:r w:rsidR="00541D05">
        <w:t xml:space="preserve"> </w:t>
      </w:r>
      <w:r w:rsidR="00D9258C" w:rsidRPr="00FD6A6A">
        <w:t>or</w:t>
      </w:r>
      <w:r w:rsidR="00541D05">
        <w:t xml:space="preserve"> </w:t>
      </w:r>
      <w:r w:rsidR="00D9258C" w:rsidRPr="00FD6A6A">
        <w:t>political</w:t>
      </w:r>
      <w:r w:rsidR="00541D05">
        <w:t xml:space="preserve"> </w:t>
      </w:r>
      <w:r w:rsidR="00D9258C" w:rsidRPr="00FD6A6A">
        <w:t>conviction,</w:t>
      </w:r>
      <w:r w:rsidR="00541D05">
        <w:t xml:space="preserve"> </w:t>
      </w:r>
      <w:r w:rsidR="00D9258C" w:rsidRPr="00FD6A6A">
        <w:t>except</w:t>
      </w:r>
      <w:r w:rsidR="00541D05">
        <w:t xml:space="preserve"> </w:t>
      </w:r>
      <w:r w:rsidR="00D9258C" w:rsidRPr="00FD6A6A">
        <w:t>in</w:t>
      </w:r>
      <w:r w:rsidR="00541D05">
        <w:t xml:space="preserve"> </w:t>
      </w:r>
      <w:r w:rsidR="00D9258C" w:rsidRPr="00FD6A6A">
        <w:t>the</w:t>
      </w:r>
      <w:r w:rsidR="00541D05">
        <w:t xml:space="preserve"> </w:t>
      </w:r>
      <w:r w:rsidR="00D9258C" w:rsidRPr="00FD6A6A">
        <w:t>case</w:t>
      </w:r>
      <w:r w:rsidR="00541D05">
        <w:t xml:space="preserve"> </w:t>
      </w:r>
      <w:r w:rsidR="00D9258C" w:rsidRPr="00FD6A6A">
        <w:t>that</w:t>
      </w:r>
      <w:r w:rsidR="00541D05">
        <w:t xml:space="preserve"> </w:t>
      </w:r>
      <w:r w:rsidR="00D9258C" w:rsidRPr="00FD6A6A">
        <w:t>they</w:t>
      </w:r>
      <w:r w:rsidR="00541D05">
        <w:t xml:space="preserve"> </w:t>
      </w:r>
      <w:r w:rsidR="00D9258C" w:rsidRPr="00FD6A6A">
        <w:t>are</w:t>
      </w:r>
      <w:r w:rsidR="00541D05">
        <w:t xml:space="preserve"> </w:t>
      </w:r>
      <w:r w:rsidR="00D9258C" w:rsidRPr="00FD6A6A">
        <w:t>invoked</w:t>
      </w:r>
      <w:r w:rsidR="00541D05">
        <w:t xml:space="preserve"> </w:t>
      </w:r>
      <w:r w:rsidR="00D9258C" w:rsidRPr="00FD6A6A">
        <w:t>for</w:t>
      </w:r>
      <w:r w:rsidR="00541D05">
        <w:t xml:space="preserve"> </w:t>
      </w:r>
      <w:r w:rsidR="00D9258C" w:rsidRPr="00FD6A6A">
        <w:t>exemption</w:t>
      </w:r>
      <w:r w:rsidR="00541D05">
        <w:t xml:space="preserve"> </w:t>
      </w:r>
      <w:r w:rsidR="00D9258C" w:rsidRPr="00FD6A6A">
        <w:t>from</w:t>
      </w:r>
      <w:r w:rsidR="00541D05">
        <w:t xml:space="preserve"> </w:t>
      </w:r>
      <w:r w:rsidR="00D9258C" w:rsidRPr="00FD6A6A">
        <w:t>a</w:t>
      </w:r>
      <w:r w:rsidR="00541D05">
        <w:t xml:space="preserve"> </w:t>
      </w:r>
      <w:r w:rsidR="00D9258C" w:rsidRPr="00FD6A6A">
        <w:t>legal</w:t>
      </w:r>
      <w:r w:rsidR="00541D05">
        <w:t xml:space="preserve"> </w:t>
      </w:r>
      <w:r w:rsidR="00D9258C" w:rsidRPr="00FD6A6A">
        <w:t>obligation</w:t>
      </w:r>
      <w:r w:rsidR="00541D05">
        <w:t xml:space="preserve"> </w:t>
      </w:r>
      <w:r w:rsidR="00D9258C" w:rsidRPr="00FD6A6A">
        <w:t>imposed</w:t>
      </w:r>
      <w:r w:rsidR="00541D05">
        <w:t xml:space="preserve"> </w:t>
      </w:r>
      <w:r w:rsidR="00D9258C" w:rsidRPr="00FD6A6A">
        <w:t>to</w:t>
      </w:r>
      <w:r w:rsidR="00541D05">
        <w:t xml:space="preserve"> </w:t>
      </w:r>
      <w:r w:rsidR="00D9258C" w:rsidRPr="00FD6A6A">
        <w:t>all</w:t>
      </w:r>
      <w:r w:rsidR="00541D05">
        <w:t xml:space="preserve"> </w:t>
      </w:r>
      <w:r w:rsidR="00D9258C" w:rsidRPr="00FD6A6A">
        <w:t>and</w:t>
      </w:r>
      <w:r w:rsidR="00541D05">
        <w:t xml:space="preserve"> </w:t>
      </w:r>
      <w:r w:rsidR="00D9258C" w:rsidRPr="00FD6A6A">
        <w:t>for</w:t>
      </w:r>
      <w:r w:rsidR="00541D05">
        <w:t xml:space="preserve"> </w:t>
      </w:r>
      <w:r w:rsidR="00D9258C" w:rsidRPr="00FD6A6A">
        <w:t>refusal</w:t>
      </w:r>
      <w:r w:rsidR="00541D05">
        <w:t xml:space="preserve"> </w:t>
      </w:r>
      <w:r w:rsidR="00D9258C" w:rsidRPr="00FD6A6A">
        <w:t>of</w:t>
      </w:r>
      <w:r w:rsidR="00541D05">
        <w:t xml:space="preserve"> </w:t>
      </w:r>
      <w:r w:rsidR="00D9258C" w:rsidRPr="00FD6A6A">
        <w:t>compliance</w:t>
      </w:r>
      <w:r w:rsidR="00541D05">
        <w:t xml:space="preserve"> </w:t>
      </w:r>
      <w:r w:rsidR="00D9258C" w:rsidRPr="00FD6A6A">
        <w:t>with</w:t>
      </w:r>
      <w:r w:rsidR="00541D05">
        <w:t xml:space="preserve"> </w:t>
      </w:r>
      <w:r w:rsidR="00D9258C" w:rsidRPr="00FD6A6A">
        <w:t>an</w:t>
      </w:r>
      <w:r w:rsidR="00541D05">
        <w:t xml:space="preserve"> </w:t>
      </w:r>
      <w:r w:rsidR="00D9258C" w:rsidRPr="00FD6A6A">
        <w:t>alternative</w:t>
      </w:r>
      <w:r w:rsidR="00541D05">
        <w:t xml:space="preserve"> </w:t>
      </w:r>
      <w:r w:rsidR="00D9258C" w:rsidRPr="00FD6A6A">
        <w:t>provision,</w:t>
      </w:r>
      <w:r w:rsidR="00541D05">
        <w:t xml:space="preserve"> </w:t>
      </w:r>
      <w:r w:rsidR="00D9258C" w:rsidRPr="00FD6A6A">
        <w:t>as</w:t>
      </w:r>
      <w:r w:rsidR="00541D05">
        <w:t xml:space="preserve"> </w:t>
      </w:r>
      <w:r w:rsidR="00D9258C" w:rsidRPr="00FD6A6A">
        <w:t>provided</w:t>
      </w:r>
      <w:r w:rsidR="00541D05">
        <w:t xml:space="preserve"> </w:t>
      </w:r>
      <w:r w:rsidR="00D9258C" w:rsidRPr="00FD6A6A">
        <w:t>by</w:t>
      </w:r>
      <w:r w:rsidR="00541D05">
        <w:t xml:space="preserve"> </w:t>
      </w:r>
      <w:r w:rsidR="00D9258C" w:rsidRPr="00FD6A6A">
        <w:t>law</w:t>
      </w:r>
      <w:r w:rsidR="00EA62F1">
        <w:t>”</w:t>
      </w:r>
      <w:r w:rsidR="00541D05">
        <w:t xml:space="preserve"> </w:t>
      </w:r>
      <w:r w:rsidR="00D9258C" w:rsidRPr="00FD6A6A">
        <w:t>(Art.</w:t>
      </w:r>
      <w:r w:rsidR="00541D05">
        <w:t xml:space="preserve"> </w:t>
      </w:r>
      <w:r w:rsidR="00D9258C" w:rsidRPr="00FD6A6A">
        <w:t>5,</w:t>
      </w:r>
      <w:r w:rsidR="00541D05">
        <w:t xml:space="preserve"> </w:t>
      </w:r>
      <w:r w:rsidR="00D9258C" w:rsidRPr="00FD6A6A">
        <w:t>item</w:t>
      </w:r>
      <w:r w:rsidR="00541D05">
        <w:t xml:space="preserve"> </w:t>
      </w:r>
      <w:r w:rsidR="00D9258C" w:rsidRPr="00FD6A6A">
        <w:t>VIII).</w:t>
      </w:r>
      <w:r w:rsidR="00541D05">
        <w:t xml:space="preserve"> </w:t>
      </w:r>
      <w:r w:rsidR="00D9258C" w:rsidRPr="00FD6A6A">
        <w:t>The</w:t>
      </w:r>
      <w:r w:rsidR="00541D05">
        <w:t xml:space="preserve"> </w:t>
      </w:r>
      <w:r w:rsidR="00D9258C" w:rsidRPr="00FD6A6A">
        <w:t>Penal</w:t>
      </w:r>
      <w:r w:rsidR="00541D05">
        <w:t xml:space="preserve"> </w:t>
      </w:r>
      <w:r w:rsidR="00D9258C" w:rsidRPr="00FD6A6A">
        <w:t>Code</w:t>
      </w:r>
      <w:r w:rsidR="00541D05">
        <w:t xml:space="preserve"> </w:t>
      </w:r>
      <w:r w:rsidR="00D9258C" w:rsidRPr="00FD6A6A">
        <w:t>also</w:t>
      </w:r>
      <w:r w:rsidR="00541D05">
        <w:t xml:space="preserve"> </w:t>
      </w:r>
      <w:r w:rsidR="00D9258C" w:rsidRPr="00FD6A6A">
        <w:t>states</w:t>
      </w:r>
      <w:r w:rsidR="00541D05">
        <w:t xml:space="preserve"> </w:t>
      </w:r>
      <w:r w:rsidR="00D9258C" w:rsidRPr="00FD6A6A">
        <w:t>that</w:t>
      </w:r>
      <w:r w:rsidR="00541D05">
        <w:t xml:space="preserve"> </w:t>
      </w:r>
      <w:r w:rsidR="00D9258C" w:rsidRPr="00FD6A6A">
        <w:t>mocking</w:t>
      </w:r>
      <w:r w:rsidR="00541D05">
        <w:t xml:space="preserve"> </w:t>
      </w:r>
      <w:r w:rsidR="00D9258C" w:rsidRPr="00FD6A6A">
        <w:t>someone</w:t>
      </w:r>
      <w:r w:rsidR="00541D05">
        <w:t xml:space="preserve"> </w:t>
      </w:r>
      <w:r w:rsidR="00D9258C" w:rsidRPr="00FD6A6A">
        <w:t>publicly</w:t>
      </w:r>
      <w:r w:rsidR="00541D05">
        <w:t xml:space="preserve"> </w:t>
      </w:r>
      <w:r w:rsidR="00D9258C" w:rsidRPr="00FD6A6A">
        <w:t>for</w:t>
      </w:r>
      <w:r w:rsidR="00541D05">
        <w:t xml:space="preserve"> </w:t>
      </w:r>
      <w:r w:rsidR="00D9258C" w:rsidRPr="00FD6A6A">
        <w:t>their</w:t>
      </w:r>
      <w:r w:rsidR="00541D05">
        <w:t xml:space="preserve"> </w:t>
      </w:r>
      <w:r w:rsidR="00D9258C" w:rsidRPr="00FD6A6A">
        <w:t>religious</w:t>
      </w:r>
      <w:r w:rsidR="00541D05">
        <w:t xml:space="preserve"> </w:t>
      </w:r>
      <w:r w:rsidR="00D9258C" w:rsidRPr="00FD6A6A">
        <w:t>belief</w:t>
      </w:r>
      <w:r w:rsidR="00541D05">
        <w:t xml:space="preserve"> </w:t>
      </w:r>
      <w:r w:rsidR="00D9258C" w:rsidRPr="00FD6A6A">
        <w:t>or</w:t>
      </w:r>
      <w:r w:rsidR="00541D05">
        <w:t xml:space="preserve"> </w:t>
      </w:r>
      <w:r w:rsidR="00D9258C" w:rsidRPr="00FD6A6A">
        <w:t>function,</w:t>
      </w:r>
      <w:r w:rsidR="00541D05">
        <w:t xml:space="preserve"> </w:t>
      </w:r>
      <w:r w:rsidR="00D9258C" w:rsidRPr="00FD6A6A">
        <w:t>precluding</w:t>
      </w:r>
      <w:r w:rsidR="00541D05">
        <w:t xml:space="preserve"> </w:t>
      </w:r>
      <w:r w:rsidR="00D9258C" w:rsidRPr="00FD6A6A">
        <w:t>or</w:t>
      </w:r>
      <w:r w:rsidR="00541D05">
        <w:t xml:space="preserve"> </w:t>
      </w:r>
      <w:r w:rsidR="00D9258C" w:rsidRPr="00FD6A6A">
        <w:t>disturbing</w:t>
      </w:r>
      <w:r w:rsidR="00541D05">
        <w:t xml:space="preserve"> </w:t>
      </w:r>
      <w:r w:rsidR="00D9258C" w:rsidRPr="00FD6A6A">
        <w:t>a</w:t>
      </w:r>
      <w:r w:rsidR="00541D05">
        <w:t xml:space="preserve"> </w:t>
      </w:r>
      <w:r w:rsidR="00D9258C" w:rsidRPr="00FD6A6A">
        <w:t>religious</w:t>
      </w:r>
      <w:r w:rsidR="00541D05">
        <w:t xml:space="preserve"> </w:t>
      </w:r>
      <w:r w:rsidR="00D9258C" w:rsidRPr="00FD6A6A">
        <w:t>ceremony</w:t>
      </w:r>
      <w:r w:rsidR="00541D05">
        <w:t xml:space="preserve"> </w:t>
      </w:r>
      <w:r w:rsidR="00D9258C" w:rsidRPr="00FD6A6A">
        <w:t>or</w:t>
      </w:r>
      <w:r w:rsidR="00541D05">
        <w:t xml:space="preserve"> </w:t>
      </w:r>
      <w:r w:rsidR="00D9258C" w:rsidRPr="00FD6A6A">
        <w:t>of</w:t>
      </w:r>
      <w:r w:rsidR="00541D05">
        <w:t xml:space="preserve"> </w:t>
      </w:r>
      <w:r w:rsidR="00D9258C" w:rsidRPr="00FD6A6A">
        <w:t>worship,</w:t>
      </w:r>
      <w:r w:rsidR="00541D05">
        <w:t xml:space="preserve"> </w:t>
      </w:r>
      <w:r w:rsidR="00D9258C" w:rsidRPr="00FD6A6A">
        <w:t>and</w:t>
      </w:r>
      <w:r w:rsidR="00541D05">
        <w:t xml:space="preserve"> </w:t>
      </w:r>
      <w:r w:rsidR="00D9258C" w:rsidRPr="00FD6A6A">
        <w:t>publicly</w:t>
      </w:r>
      <w:r w:rsidR="00541D05">
        <w:t xml:space="preserve"> </w:t>
      </w:r>
      <w:r w:rsidR="00D9258C" w:rsidRPr="00FD6A6A">
        <w:t>vilifying</w:t>
      </w:r>
      <w:r w:rsidR="00541D05">
        <w:t xml:space="preserve"> </w:t>
      </w:r>
      <w:r w:rsidR="00D9258C" w:rsidRPr="00FD6A6A">
        <w:t>an</w:t>
      </w:r>
      <w:r w:rsidR="00541D05">
        <w:t xml:space="preserve"> </w:t>
      </w:r>
      <w:r w:rsidR="00D9258C" w:rsidRPr="00FD6A6A">
        <w:t>act</w:t>
      </w:r>
      <w:r w:rsidR="00541D05">
        <w:t xml:space="preserve"> </w:t>
      </w:r>
      <w:r w:rsidR="00D9258C" w:rsidRPr="00FD6A6A">
        <w:t>or</w:t>
      </w:r>
      <w:r w:rsidR="00541D05">
        <w:t xml:space="preserve"> </w:t>
      </w:r>
      <w:r w:rsidR="00D9258C" w:rsidRPr="00FD6A6A">
        <w:t>object</w:t>
      </w:r>
      <w:r w:rsidR="00541D05">
        <w:t xml:space="preserve"> </w:t>
      </w:r>
      <w:r w:rsidR="00D9258C" w:rsidRPr="00FD6A6A">
        <w:t>of</w:t>
      </w:r>
      <w:r w:rsidR="00541D05">
        <w:t xml:space="preserve"> </w:t>
      </w:r>
      <w:r w:rsidR="00D9258C" w:rsidRPr="00FD6A6A">
        <w:t>worship</w:t>
      </w:r>
      <w:r w:rsidR="00541D05">
        <w:t xml:space="preserve"> </w:t>
      </w:r>
      <w:r w:rsidR="00D9258C" w:rsidRPr="00FD6A6A">
        <w:t>is</w:t>
      </w:r>
      <w:r w:rsidR="00541D05">
        <w:t xml:space="preserve"> </w:t>
      </w:r>
      <w:r w:rsidR="00D9258C" w:rsidRPr="00FD6A6A">
        <w:t>a</w:t>
      </w:r>
      <w:r w:rsidR="00541D05">
        <w:t xml:space="preserve"> </w:t>
      </w:r>
      <w:r w:rsidR="00D9258C" w:rsidRPr="00FD6A6A">
        <w:t>crime,</w:t>
      </w:r>
      <w:r w:rsidR="00541D05">
        <w:t xml:space="preserve"> </w:t>
      </w:r>
      <w:r w:rsidR="00D9258C" w:rsidRPr="00FD6A6A">
        <w:t>and</w:t>
      </w:r>
      <w:r w:rsidR="00541D05">
        <w:t xml:space="preserve"> </w:t>
      </w:r>
      <w:r w:rsidR="00D9258C" w:rsidRPr="00FD6A6A">
        <w:t>the</w:t>
      </w:r>
      <w:r w:rsidR="00541D05">
        <w:t xml:space="preserve"> </w:t>
      </w:r>
      <w:r w:rsidR="00D9258C" w:rsidRPr="00FD6A6A">
        <w:t>offender</w:t>
      </w:r>
      <w:r w:rsidR="00541D05">
        <w:t xml:space="preserve"> </w:t>
      </w:r>
      <w:r w:rsidR="00D9258C" w:rsidRPr="00FD6A6A">
        <w:t>is</w:t>
      </w:r>
      <w:r w:rsidR="00541D05">
        <w:t xml:space="preserve"> </w:t>
      </w:r>
      <w:r w:rsidR="00D9258C" w:rsidRPr="00FD6A6A">
        <w:t>subject</w:t>
      </w:r>
      <w:r w:rsidR="00541D05">
        <w:t xml:space="preserve"> </w:t>
      </w:r>
      <w:r w:rsidR="00D9258C" w:rsidRPr="00FD6A6A">
        <w:t>to</w:t>
      </w:r>
      <w:r w:rsidR="00541D05">
        <w:t xml:space="preserve"> </w:t>
      </w:r>
      <w:r w:rsidR="00D9258C" w:rsidRPr="00FD6A6A">
        <w:t>a</w:t>
      </w:r>
      <w:r w:rsidR="00541D05">
        <w:t xml:space="preserve"> </w:t>
      </w:r>
      <w:r w:rsidR="00D9258C" w:rsidRPr="00FD6A6A">
        <w:t>penalty</w:t>
      </w:r>
      <w:r w:rsidR="00541D05">
        <w:t xml:space="preserve"> </w:t>
      </w:r>
      <w:r w:rsidR="00D9258C" w:rsidRPr="00FD6A6A">
        <w:t>of</w:t>
      </w:r>
      <w:r w:rsidR="00541D05">
        <w:t xml:space="preserve"> </w:t>
      </w:r>
      <w:r w:rsidR="00D9258C" w:rsidRPr="00FD6A6A">
        <w:t>detention</w:t>
      </w:r>
      <w:r w:rsidR="00541D05">
        <w:t xml:space="preserve"> </w:t>
      </w:r>
      <w:r w:rsidR="00D9258C" w:rsidRPr="00FD6A6A">
        <w:t>from</w:t>
      </w:r>
      <w:r w:rsidR="00541D05">
        <w:t xml:space="preserve"> </w:t>
      </w:r>
      <w:r w:rsidR="00D9258C" w:rsidRPr="00FD6A6A">
        <w:t>one</w:t>
      </w:r>
      <w:r w:rsidR="00541D05">
        <w:t xml:space="preserve"> </w:t>
      </w:r>
      <w:r w:rsidR="00D9258C" w:rsidRPr="00FD6A6A">
        <w:t>month</w:t>
      </w:r>
      <w:r w:rsidR="00541D05">
        <w:t xml:space="preserve"> </w:t>
      </w:r>
      <w:r w:rsidR="00D9258C" w:rsidRPr="00FD6A6A">
        <w:t>to</w:t>
      </w:r>
      <w:r w:rsidR="00541D05">
        <w:t xml:space="preserve"> </w:t>
      </w:r>
      <w:r w:rsidR="00D9258C" w:rsidRPr="00FD6A6A">
        <w:t>one</w:t>
      </w:r>
      <w:r w:rsidR="00541D05">
        <w:t xml:space="preserve"> </w:t>
      </w:r>
      <w:r w:rsidR="00D9258C" w:rsidRPr="00FD6A6A">
        <w:t>year</w:t>
      </w:r>
      <w:r w:rsidR="00541D05">
        <w:t xml:space="preserve"> </w:t>
      </w:r>
      <w:r w:rsidR="00D9258C" w:rsidRPr="00FD6A6A">
        <w:t>or</w:t>
      </w:r>
      <w:r w:rsidR="00541D05">
        <w:t xml:space="preserve"> </w:t>
      </w:r>
      <w:r w:rsidR="00D9258C" w:rsidRPr="00FD6A6A">
        <w:t>fine</w:t>
      </w:r>
      <w:r w:rsidR="00541D05">
        <w:t xml:space="preserve"> </w:t>
      </w:r>
      <w:r w:rsidR="00D9258C" w:rsidRPr="00FD6A6A">
        <w:t>(Art.</w:t>
      </w:r>
      <w:r w:rsidR="00541D05">
        <w:t xml:space="preserve"> </w:t>
      </w:r>
      <w:r w:rsidR="00D9258C" w:rsidRPr="00FD6A6A">
        <w:t>208).</w:t>
      </w:r>
      <w:r w:rsidR="00541D05">
        <w:t xml:space="preserve"> </w:t>
      </w:r>
      <w:r w:rsidR="00D9258C" w:rsidRPr="00FD6A6A">
        <w:t>In</w:t>
      </w:r>
      <w:r w:rsidR="00541D05">
        <w:t xml:space="preserve"> </w:t>
      </w:r>
      <w:r w:rsidR="00D9258C" w:rsidRPr="00FD6A6A">
        <w:t>case</w:t>
      </w:r>
      <w:r w:rsidR="00541D05">
        <w:t xml:space="preserve"> </w:t>
      </w:r>
      <w:r w:rsidR="00D9258C" w:rsidRPr="00FD6A6A">
        <w:t>of</w:t>
      </w:r>
      <w:r w:rsidR="00541D05">
        <w:t xml:space="preserve"> </w:t>
      </w:r>
      <w:r w:rsidR="00D9258C" w:rsidRPr="00FD6A6A">
        <w:t>violence,</w:t>
      </w:r>
      <w:r w:rsidR="00541D05">
        <w:t xml:space="preserve"> </w:t>
      </w:r>
      <w:r w:rsidR="00D9258C" w:rsidRPr="00FD6A6A">
        <w:t>the</w:t>
      </w:r>
      <w:r w:rsidR="00541D05">
        <w:t xml:space="preserve"> </w:t>
      </w:r>
      <w:r w:rsidR="00D9258C" w:rsidRPr="00FD6A6A">
        <w:t>penalty</w:t>
      </w:r>
      <w:r w:rsidR="00541D05">
        <w:t xml:space="preserve"> </w:t>
      </w:r>
      <w:r w:rsidR="00D9258C" w:rsidRPr="00FD6A6A">
        <w:t>can</w:t>
      </w:r>
      <w:r w:rsidR="00541D05">
        <w:t xml:space="preserve"> </w:t>
      </w:r>
      <w:r w:rsidR="00D9258C" w:rsidRPr="00FD6A6A">
        <w:t>be</w:t>
      </w:r>
      <w:r w:rsidR="00541D05">
        <w:t xml:space="preserve"> </w:t>
      </w:r>
      <w:r w:rsidR="00D9258C" w:rsidRPr="00FD6A6A">
        <w:t>increased</w:t>
      </w:r>
      <w:r w:rsidR="00541D05">
        <w:t xml:space="preserve"> </w:t>
      </w:r>
      <w:r w:rsidR="00D9258C" w:rsidRPr="00FD6A6A">
        <w:t>by</w:t>
      </w:r>
      <w:r w:rsidR="00541D05">
        <w:t xml:space="preserve"> </w:t>
      </w:r>
      <w:r w:rsidR="00D9258C" w:rsidRPr="00FD6A6A">
        <w:t>one</w:t>
      </w:r>
      <w:r w:rsidR="00541D05">
        <w:t xml:space="preserve"> </w:t>
      </w:r>
      <w:r w:rsidR="00D9258C" w:rsidRPr="00FD6A6A">
        <w:t>third</w:t>
      </w:r>
      <w:r w:rsidR="00541D05">
        <w:t xml:space="preserve"> </w:t>
      </w:r>
      <w:r w:rsidR="00D9258C" w:rsidRPr="00FD6A6A">
        <w:t>without</w:t>
      </w:r>
      <w:r w:rsidR="00541D05">
        <w:t xml:space="preserve"> </w:t>
      </w:r>
      <w:r w:rsidR="00D9258C" w:rsidRPr="00FD6A6A">
        <w:t>prejudice</w:t>
      </w:r>
      <w:r w:rsidR="00541D05">
        <w:t xml:space="preserve"> </w:t>
      </w:r>
      <w:r w:rsidR="00D9258C" w:rsidRPr="00FD6A6A">
        <w:t>of</w:t>
      </w:r>
      <w:r w:rsidR="00541D05">
        <w:t xml:space="preserve"> </w:t>
      </w:r>
      <w:r w:rsidR="00D9258C" w:rsidRPr="00FD6A6A">
        <w:t>other</w:t>
      </w:r>
      <w:r w:rsidR="00541D05">
        <w:t xml:space="preserve"> </w:t>
      </w:r>
      <w:r w:rsidR="00D9258C" w:rsidRPr="00FD6A6A">
        <w:t>applicable</w:t>
      </w:r>
      <w:r w:rsidR="00541D05">
        <w:t xml:space="preserve"> </w:t>
      </w:r>
      <w:r w:rsidR="00D9258C" w:rsidRPr="00FD6A6A">
        <w:t>sanctions.</w:t>
      </w:r>
    </w:p>
    <w:p w14:paraId="55F0F3D5" w14:textId="3788EF7F" w:rsidR="00D9258C" w:rsidRPr="00FD6A6A" w:rsidRDefault="00166390" w:rsidP="00166390">
      <w:pPr>
        <w:pStyle w:val="ParaNoG"/>
        <w:numPr>
          <w:ilvl w:val="0"/>
          <w:numId w:val="0"/>
        </w:numPr>
        <w:tabs>
          <w:tab w:val="left" w:pos="0"/>
        </w:tabs>
        <w:ind w:left="1134"/>
      </w:pPr>
      <w:r w:rsidRPr="00FD6A6A">
        <w:t>127.</w:t>
      </w:r>
      <w:r w:rsidRPr="00FD6A6A">
        <w:tab/>
      </w:r>
      <w:r w:rsidR="00D9258C" w:rsidRPr="00FD6A6A">
        <w:t>However,</w:t>
      </w:r>
      <w:r w:rsidR="00541D05">
        <w:t xml:space="preserve"> </w:t>
      </w:r>
      <w:r w:rsidR="00D9258C" w:rsidRPr="00FD6A6A">
        <w:t>since</w:t>
      </w:r>
      <w:r w:rsidR="00541D05">
        <w:t xml:space="preserve"> </w:t>
      </w:r>
      <w:r w:rsidR="00D9258C" w:rsidRPr="00FD6A6A">
        <w:t>the</w:t>
      </w:r>
      <w:r w:rsidR="00541D05">
        <w:t xml:space="preserve"> </w:t>
      </w:r>
      <w:r w:rsidR="00D9258C" w:rsidRPr="00FD6A6A">
        <w:t>2000s,</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cases</w:t>
      </w:r>
      <w:r w:rsidR="00541D05">
        <w:t xml:space="preserve"> </w:t>
      </w:r>
      <w:r w:rsidR="00D9258C" w:rsidRPr="00FD6A6A">
        <w:t>of</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has</w:t>
      </w:r>
      <w:r w:rsidR="00541D05">
        <w:t xml:space="preserve"> </w:t>
      </w:r>
      <w:r w:rsidR="00D9258C" w:rsidRPr="00FD6A6A">
        <w:t>increased.</w:t>
      </w:r>
      <w:r w:rsidR="00541D05">
        <w:t xml:space="preserve"> </w:t>
      </w:r>
      <w:r w:rsidR="00D9258C" w:rsidRPr="00FD6A6A">
        <w:t>Between</w:t>
      </w:r>
      <w:r w:rsidR="00541D05">
        <w:t xml:space="preserve"> </w:t>
      </w:r>
      <w:r w:rsidR="00D9258C" w:rsidRPr="00FD6A6A">
        <w:t>2011</w:t>
      </w:r>
      <w:r w:rsidR="00541D05">
        <w:t xml:space="preserve"> </w:t>
      </w:r>
      <w:r w:rsidR="00D9258C" w:rsidRPr="00FD6A6A">
        <w:t>and</w:t>
      </w:r>
      <w:r w:rsidR="00541D05">
        <w:t xml:space="preserve"> </w:t>
      </w:r>
      <w:r w:rsidR="00D9258C" w:rsidRPr="00FD6A6A">
        <w:t>2017,</w:t>
      </w:r>
      <w:r w:rsidR="00541D05">
        <w:t xml:space="preserve"> </w:t>
      </w:r>
      <w:r w:rsidR="00D9258C" w:rsidRPr="00FD6A6A">
        <w:t>the</w:t>
      </w:r>
      <w:r w:rsidR="00541D05">
        <w:t xml:space="preserve"> </w:t>
      </w:r>
      <w:r w:rsidR="00D9258C" w:rsidRPr="00FD6A6A">
        <w:t>National</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of</w:t>
      </w:r>
      <w:r w:rsidR="00541D05">
        <w:t xml:space="preserve"> </w:t>
      </w:r>
      <w:r w:rsidR="00D9258C" w:rsidRPr="00FD6A6A">
        <w:t>MMFDH</w:t>
      </w:r>
      <w:r w:rsidR="00541D05">
        <w:t xml:space="preserve"> </w:t>
      </w:r>
      <w:r w:rsidR="00D9258C" w:rsidRPr="00FD6A6A">
        <w:t>received</w:t>
      </w:r>
      <w:r w:rsidR="00541D05">
        <w:t xml:space="preserve"> </w:t>
      </w:r>
      <w:r w:rsidR="00D9258C" w:rsidRPr="00FD6A6A">
        <w:t>2,356</w:t>
      </w:r>
      <w:r w:rsidR="00541D05">
        <w:t xml:space="preserve"> </w:t>
      </w:r>
      <w:r w:rsidR="00D9258C" w:rsidRPr="00FD6A6A">
        <w:t>reports</w:t>
      </w:r>
      <w:r w:rsidR="00541D05">
        <w:t xml:space="preserve"> </w:t>
      </w:r>
      <w:r w:rsidR="00D9258C" w:rsidRPr="00FD6A6A">
        <w:t>of</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Most</w:t>
      </w:r>
      <w:r w:rsidR="00541D05">
        <w:t xml:space="preserve"> </w:t>
      </w:r>
      <w:r w:rsidR="00D9258C" w:rsidRPr="00FD6A6A">
        <w:t>victims</w:t>
      </w:r>
      <w:r w:rsidR="00541D05">
        <w:t xml:space="preserve"> </w:t>
      </w:r>
      <w:r w:rsidR="00D9258C" w:rsidRPr="00FD6A6A">
        <w:t>were</w:t>
      </w:r>
      <w:r w:rsidR="00541D05">
        <w:t xml:space="preserve"> </w:t>
      </w:r>
      <w:r w:rsidR="00D9258C" w:rsidRPr="00FD6A6A">
        <w:t>practitioners</w:t>
      </w:r>
      <w:r w:rsidR="00541D05">
        <w:t xml:space="preserve"> </w:t>
      </w:r>
      <w:r w:rsidR="00D9258C" w:rsidRPr="00FD6A6A">
        <w:t>of</w:t>
      </w:r>
      <w:r w:rsidR="00541D05">
        <w:t xml:space="preserve"> </w:t>
      </w:r>
      <w:r w:rsidR="00D9258C" w:rsidRPr="00FD6A6A">
        <w:t>religions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especially</w:t>
      </w:r>
      <w:r w:rsidR="00541D05">
        <w:t xml:space="preserve"> </w:t>
      </w:r>
      <w:r w:rsidR="00D9258C" w:rsidRPr="00FD6A6A">
        <w:t>candomblé</w:t>
      </w:r>
      <w:r w:rsidR="00541D05">
        <w:t xml:space="preserve"> </w:t>
      </w:r>
      <w:r w:rsidR="00D9258C" w:rsidRPr="00FD6A6A">
        <w:t>and</w:t>
      </w:r>
      <w:r w:rsidR="00541D05">
        <w:t xml:space="preserve"> </w:t>
      </w:r>
      <w:r w:rsidR="00D9258C" w:rsidRPr="00FD6A6A">
        <w:t>umbanda</w:t>
      </w:r>
      <w:r w:rsidR="00541D05">
        <w:t xml:space="preserve"> </w:t>
      </w:r>
      <w:r w:rsidR="00D9258C" w:rsidRPr="00FD6A6A">
        <w:t>–</w:t>
      </w:r>
      <w:r w:rsidR="00541D05">
        <w:t xml:space="preserve"> </w:t>
      </w:r>
      <w:r w:rsidR="00D9258C" w:rsidRPr="00FD6A6A">
        <w:t>the</w:t>
      </w:r>
      <w:r w:rsidR="00541D05">
        <w:t xml:space="preserve"> </w:t>
      </w:r>
      <w:r w:rsidR="00D9258C" w:rsidRPr="00FD6A6A">
        <w:t>two</w:t>
      </w:r>
      <w:r w:rsidR="00541D05">
        <w:t xml:space="preserve"> </w:t>
      </w:r>
      <w:r w:rsidR="00D9258C" w:rsidRPr="00FD6A6A">
        <w:t>main</w:t>
      </w:r>
      <w:r w:rsidR="00541D05">
        <w:t xml:space="preserve"> </w:t>
      </w:r>
      <w:r w:rsidR="00D9258C" w:rsidRPr="00FD6A6A">
        <w:t>Afro-Brazilian</w:t>
      </w:r>
      <w:r w:rsidR="00541D05">
        <w:t xml:space="preserve"> </w:t>
      </w:r>
      <w:r w:rsidR="00D9258C" w:rsidRPr="00FD6A6A">
        <w:t>religions.</w:t>
      </w:r>
    </w:p>
    <w:p w14:paraId="17C70780" w14:textId="479EF0CE" w:rsidR="00D9258C" w:rsidRPr="00FD6A6A" w:rsidRDefault="00166390" w:rsidP="00166390">
      <w:pPr>
        <w:pStyle w:val="ParaNoG"/>
        <w:numPr>
          <w:ilvl w:val="0"/>
          <w:numId w:val="0"/>
        </w:numPr>
        <w:tabs>
          <w:tab w:val="left" w:pos="0"/>
        </w:tabs>
        <w:ind w:left="1134"/>
      </w:pPr>
      <w:r w:rsidRPr="00FD6A6A">
        <w:t>128.</w:t>
      </w:r>
      <w:r w:rsidRPr="00FD6A6A">
        <w:tab/>
      </w:r>
      <w:r w:rsidR="00D9258C" w:rsidRPr="00FD6A6A">
        <w:t>In</w:t>
      </w:r>
      <w:r w:rsidR="00541D05">
        <w:t xml:space="preserve"> </w:t>
      </w:r>
      <w:r w:rsidR="00D9258C" w:rsidRPr="00FD6A6A">
        <w:t>2007,</w:t>
      </w:r>
      <w:r w:rsidR="00541D05">
        <w:t xml:space="preserve"> </w:t>
      </w:r>
      <w:r w:rsidR="00D9258C" w:rsidRPr="00FD6A6A">
        <w:t>Law</w:t>
      </w:r>
      <w:r w:rsidR="00541D05">
        <w:t xml:space="preserve"> </w:t>
      </w:r>
      <w:r w:rsidR="00D9258C" w:rsidRPr="00FD6A6A">
        <w:t>No.</w:t>
      </w:r>
      <w:r w:rsidR="00541D05">
        <w:t xml:space="preserve"> </w:t>
      </w:r>
      <w:r w:rsidR="00D9258C" w:rsidRPr="00FD6A6A">
        <w:t>11,635</w:t>
      </w:r>
      <w:r w:rsidR="00541D05">
        <w:t xml:space="preserve"> </w:t>
      </w:r>
      <w:r w:rsidR="00D9258C" w:rsidRPr="00FD6A6A">
        <w:t>was</w:t>
      </w:r>
      <w:r w:rsidR="00541D05">
        <w:t xml:space="preserve"> </w:t>
      </w:r>
      <w:r w:rsidR="00483230" w:rsidRPr="00FD6A6A">
        <w:t>approved</w:t>
      </w:r>
      <w:r w:rsidR="00D9258C" w:rsidRPr="00FD6A6A">
        <w:t>,</w:t>
      </w:r>
      <w:r w:rsidR="00541D05">
        <w:t xml:space="preserve"> </w:t>
      </w:r>
      <w:r w:rsidR="00D9258C" w:rsidRPr="00FD6A6A">
        <w:t>creating</w:t>
      </w:r>
      <w:r w:rsidR="00541D05">
        <w:t xml:space="preserve"> </w:t>
      </w:r>
      <w:r w:rsidR="00D9258C" w:rsidRPr="00FD6A6A">
        <w:t>the</w:t>
      </w:r>
      <w:r w:rsidR="00541D05">
        <w:t xml:space="preserve"> </w:t>
      </w:r>
      <w:r w:rsidR="00D9258C" w:rsidRPr="00FD6A6A">
        <w:t>National</w:t>
      </w:r>
      <w:r w:rsidR="00541D05">
        <w:t xml:space="preserve"> </w:t>
      </w:r>
      <w:r w:rsidR="00D9258C" w:rsidRPr="00FD6A6A">
        <w:t>Day</w:t>
      </w:r>
      <w:r w:rsidR="00541D05">
        <w:t xml:space="preserve"> </w:t>
      </w:r>
      <w:r w:rsidR="00D9258C" w:rsidRPr="00FD6A6A">
        <w:t>for</w:t>
      </w:r>
      <w:r w:rsidR="00541D05">
        <w:t xml:space="preserve"> </w:t>
      </w:r>
      <w:r w:rsidR="00D9258C" w:rsidRPr="00FD6A6A">
        <w:t>the</w:t>
      </w:r>
      <w:r w:rsidR="00541D05">
        <w:t xml:space="preserve"> </w:t>
      </w:r>
      <w:r w:rsidR="00D9258C" w:rsidRPr="00FD6A6A">
        <w:t>Fight</w:t>
      </w:r>
      <w:r w:rsidR="00541D05">
        <w:t xml:space="preserve"> </w:t>
      </w:r>
      <w:r w:rsidR="00D9258C" w:rsidRPr="00FD6A6A">
        <w:t>Against</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Symbolically,</w:t>
      </w:r>
      <w:r w:rsidR="00541D05">
        <w:t xml:space="preserve"> </w:t>
      </w:r>
      <w:r w:rsidR="00D9258C" w:rsidRPr="00FD6A6A">
        <w:t>the</w:t>
      </w:r>
      <w:r w:rsidR="00541D05">
        <w:t xml:space="preserve"> </w:t>
      </w:r>
      <w:r w:rsidR="00D9258C" w:rsidRPr="00FD6A6A">
        <w:t>law</w:t>
      </w:r>
      <w:r w:rsidR="00541D05">
        <w:t xml:space="preserve"> </w:t>
      </w:r>
      <w:r w:rsidR="00D9258C" w:rsidRPr="00FD6A6A">
        <w:t>reflects</w:t>
      </w:r>
      <w:r w:rsidR="00541D05">
        <w:t xml:space="preserve"> </w:t>
      </w:r>
      <w:r w:rsidR="00D9258C" w:rsidRPr="00FD6A6A">
        <w:t>the</w:t>
      </w:r>
      <w:r w:rsidR="00541D05">
        <w:t xml:space="preserve"> </w:t>
      </w:r>
      <w:r w:rsidR="00D9258C" w:rsidRPr="00FD6A6A">
        <w:t>recognition</w:t>
      </w:r>
      <w:r w:rsidR="00541D05">
        <w:t xml:space="preserve"> </w:t>
      </w:r>
      <w:r w:rsidR="00D9258C" w:rsidRPr="00FD6A6A">
        <w:t>by</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that</w:t>
      </w:r>
      <w:r w:rsidR="00541D05">
        <w:t xml:space="preserve"> </w:t>
      </w:r>
      <w:r w:rsidR="00D9258C" w:rsidRPr="00FD6A6A">
        <w:t>the</w:t>
      </w:r>
      <w:r w:rsidR="00541D05">
        <w:t xml:space="preserve"> </w:t>
      </w:r>
      <w:r w:rsidR="00D9258C" w:rsidRPr="00FD6A6A">
        <w:t>problem</w:t>
      </w:r>
      <w:r w:rsidR="00541D05">
        <w:t xml:space="preserve"> </w:t>
      </w:r>
      <w:r w:rsidR="00D9258C" w:rsidRPr="00FD6A6A">
        <w:t>exists</w:t>
      </w:r>
      <w:r w:rsidR="00541D05">
        <w:t xml:space="preserve"> </w:t>
      </w:r>
      <w:r w:rsidR="00D9258C" w:rsidRPr="00FD6A6A">
        <w:t>and</w:t>
      </w:r>
      <w:r w:rsidR="00541D05">
        <w:t xml:space="preserve"> </w:t>
      </w:r>
      <w:r w:rsidR="00D9258C" w:rsidRPr="00FD6A6A">
        <w:t>of</w:t>
      </w:r>
      <w:r w:rsidR="00541D05">
        <w:t xml:space="preserve"> </w:t>
      </w:r>
      <w:r w:rsidR="00D9258C" w:rsidRPr="00FD6A6A">
        <w:t>the</w:t>
      </w:r>
      <w:r w:rsidR="00541D05">
        <w:t xml:space="preserve"> </w:t>
      </w:r>
      <w:r w:rsidR="00D9258C" w:rsidRPr="00FD6A6A">
        <w:t>importance</w:t>
      </w:r>
      <w:r w:rsidR="00541D05">
        <w:t xml:space="preserve"> </w:t>
      </w:r>
      <w:r w:rsidR="00D9258C" w:rsidRPr="00FD6A6A">
        <w:t>to</w:t>
      </w:r>
      <w:r w:rsidR="00541D05">
        <w:t xml:space="preserve"> </w:t>
      </w:r>
      <w:r w:rsidR="00D9258C" w:rsidRPr="00FD6A6A">
        <w:t>adopt</w:t>
      </w:r>
      <w:r w:rsidR="00541D05">
        <w:t xml:space="preserve"> </w:t>
      </w:r>
      <w:r w:rsidR="00D9258C" w:rsidRPr="00FD6A6A">
        <w:t>measures</w:t>
      </w:r>
      <w:r w:rsidR="00541D05">
        <w:t xml:space="preserve"> </w:t>
      </w:r>
      <w:r w:rsidR="00D9258C" w:rsidRPr="00FD6A6A">
        <w:t>to</w:t>
      </w:r>
      <w:r w:rsidR="00541D05">
        <w:t xml:space="preserve"> </w:t>
      </w:r>
      <w:r w:rsidR="00D9258C" w:rsidRPr="00FD6A6A">
        <w:t>ensure</w:t>
      </w:r>
      <w:r w:rsidR="00541D05">
        <w:t xml:space="preserve"> </w:t>
      </w:r>
      <w:r w:rsidR="00D9258C" w:rsidRPr="00FD6A6A">
        <w:t>peaceful</w:t>
      </w:r>
      <w:r w:rsidR="00541D05">
        <w:t xml:space="preserve"> </w:t>
      </w:r>
      <w:r w:rsidR="00D9258C" w:rsidRPr="00FD6A6A">
        <w:t>coexistence</w:t>
      </w:r>
      <w:r w:rsidR="00541D05">
        <w:t xml:space="preserve"> </w:t>
      </w:r>
      <w:r w:rsidR="00D9258C" w:rsidRPr="00FD6A6A">
        <w:t>among</w:t>
      </w:r>
      <w:r w:rsidR="00541D05">
        <w:t xml:space="preserve"> </w:t>
      </w:r>
      <w:r w:rsidR="00D9258C" w:rsidRPr="00FD6A6A">
        <w:t>communities</w:t>
      </w:r>
      <w:r w:rsidR="00541D05">
        <w:t xml:space="preserve"> </w:t>
      </w:r>
      <w:r w:rsidR="00D9258C" w:rsidRPr="00FD6A6A">
        <w:t>and</w:t>
      </w:r>
      <w:r w:rsidR="00541D05">
        <w:t xml:space="preserve"> </w:t>
      </w:r>
      <w:r w:rsidR="00D9258C" w:rsidRPr="00FD6A6A">
        <w:t>religious</w:t>
      </w:r>
      <w:r w:rsidR="00541D05">
        <w:t xml:space="preserve"> </w:t>
      </w:r>
      <w:r w:rsidR="00D9258C" w:rsidRPr="00FD6A6A">
        <w:t>groups.</w:t>
      </w:r>
      <w:r w:rsidR="00541D05">
        <w:t xml:space="preserve"> </w:t>
      </w:r>
      <w:r w:rsidR="00D9258C" w:rsidRPr="00FD6A6A">
        <w:t>In</w:t>
      </w:r>
      <w:r w:rsidR="00541D05">
        <w:t xml:space="preserve"> </w:t>
      </w:r>
      <w:r w:rsidR="00D9258C" w:rsidRPr="00FD6A6A">
        <w:t>2019,</w:t>
      </w:r>
      <w:r w:rsidR="00541D05">
        <w:t xml:space="preserve"> </w:t>
      </w:r>
      <w:r w:rsidR="00D9258C" w:rsidRPr="00FD6A6A">
        <w:t>MMFDH</w:t>
      </w:r>
      <w:r w:rsidR="00541D05">
        <w:t xml:space="preserve"> </w:t>
      </w:r>
      <w:r w:rsidR="00D9258C" w:rsidRPr="00FD6A6A">
        <w:t>established</w:t>
      </w:r>
      <w:r w:rsidR="00541D05">
        <w:t xml:space="preserve"> </w:t>
      </w:r>
      <w:r w:rsidR="00D9258C" w:rsidRPr="00FD6A6A">
        <w:t>the</w:t>
      </w:r>
      <w:r w:rsidR="00541D05">
        <w:t xml:space="preserve"> </w:t>
      </w:r>
      <w:r w:rsidR="00D9258C" w:rsidRPr="00FD6A6A">
        <w:t>National</w:t>
      </w:r>
      <w:r w:rsidR="00541D05">
        <w:t xml:space="preserve"> </w:t>
      </w:r>
      <w:r w:rsidR="00D9258C" w:rsidRPr="00FD6A6A">
        <w:t>Committee</w:t>
      </w:r>
      <w:r w:rsidR="00541D05">
        <w:t xml:space="preserve"> </w:t>
      </w:r>
      <w:r w:rsidR="00D9258C" w:rsidRPr="00FD6A6A">
        <w:t>on</w:t>
      </w:r>
      <w:r w:rsidR="00541D05">
        <w:t xml:space="preserve"> </w:t>
      </w:r>
      <w:r w:rsidR="00D9258C" w:rsidRPr="00FD6A6A">
        <w:t>Religious</w:t>
      </w:r>
      <w:r w:rsidR="00541D05">
        <w:t xml:space="preserve"> </w:t>
      </w:r>
      <w:r w:rsidR="00D9258C" w:rsidRPr="00FD6A6A">
        <w:t>Freedom</w:t>
      </w:r>
      <w:r w:rsidR="00541D05">
        <w:t xml:space="preserve"> </w:t>
      </w:r>
      <w:r w:rsidR="00D9258C" w:rsidRPr="00FD6A6A">
        <w:t>and</w:t>
      </w:r>
      <w:r w:rsidR="00541D05">
        <w:t xml:space="preserve"> </w:t>
      </w:r>
      <w:r w:rsidR="00D9258C" w:rsidRPr="00FD6A6A">
        <w:t>Belief.</w:t>
      </w:r>
    </w:p>
    <w:p w14:paraId="49777A2A" w14:textId="027E7018" w:rsidR="00D9258C" w:rsidRPr="00FD6A6A" w:rsidRDefault="00166390" w:rsidP="00166390">
      <w:pPr>
        <w:pStyle w:val="ParaNoG"/>
        <w:numPr>
          <w:ilvl w:val="0"/>
          <w:numId w:val="0"/>
        </w:numPr>
        <w:tabs>
          <w:tab w:val="left" w:pos="0"/>
        </w:tabs>
        <w:ind w:left="1134"/>
      </w:pPr>
      <w:r w:rsidRPr="00FD6A6A">
        <w:t>129.</w:t>
      </w:r>
      <w:r w:rsidRPr="00FD6A6A">
        <w:tab/>
      </w:r>
      <w:r w:rsidR="00D9258C" w:rsidRPr="00FD6A6A">
        <w:t>Civil</w:t>
      </w:r>
      <w:r w:rsidR="00541D05">
        <w:t xml:space="preserve"> </w:t>
      </w:r>
      <w:r w:rsidR="00D9258C" w:rsidRPr="00FD6A6A">
        <w:t>society</w:t>
      </w:r>
      <w:r w:rsidR="00541D05">
        <w:t xml:space="preserve"> </w:t>
      </w:r>
      <w:r w:rsidR="00D9258C" w:rsidRPr="00FD6A6A">
        <w:t>has</w:t>
      </w:r>
      <w:r w:rsidR="00541D05">
        <w:t xml:space="preserve"> </w:t>
      </w:r>
      <w:r w:rsidR="00D9258C" w:rsidRPr="00FD6A6A">
        <w:t>been</w:t>
      </w:r>
      <w:r w:rsidR="00541D05">
        <w:t xml:space="preserve"> </w:t>
      </w:r>
      <w:r w:rsidR="00D9258C" w:rsidRPr="00FD6A6A">
        <w:t>active</w:t>
      </w:r>
      <w:r w:rsidR="00541D05">
        <w:t xml:space="preserve"> </w:t>
      </w:r>
      <w:r w:rsidR="00D9258C" w:rsidRPr="00FD6A6A">
        <w:t>regarding</w:t>
      </w:r>
      <w:r w:rsidR="00541D05">
        <w:t xml:space="preserve"> </w:t>
      </w:r>
      <w:r w:rsidR="00D9258C" w:rsidRPr="00FD6A6A">
        <w:t>this</w:t>
      </w:r>
      <w:r w:rsidR="00541D05">
        <w:t xml:space="preserve"> </w:t>
      </w:r>
      <w:r w:rsidR="00D9258C" w:rsidRPr="00FD6A6A">
        <w:t>issue.</w:t>
      </w:r>
      <w:r w:rsidR="00541D05">
        <w:t xml:space="preserve"> </w:t>
      </w:r>
      <w:r w:rsidR="00D9258C" w:rsidRPr="00FD6A6A">
        <w:t>Marches</w:t>
      </w:r>
      <w:r w:rsidR="00541D05">
        <w:t xml:space="preserve"> </w:t>
      </w:r>
      <w:r w:rsidR="00D9258C" w:rsidRPr="00FD6A6A">
        <w:t>in</w:t>
      </w:r>
      <w:r w:rsidR="00541D05">
        <w:t xml:space="preserve"> </w:t>
      </w:r>
      <w:r w:rsidR="00D9258C" w:rsidRPr="00FD6A6A">
        <w:t>Defense</w:t>
      </w:r>
      <w:r w:rsidR="00541D05">
        <w:t xml:space="preserve"> </w:t>
      </w:r>
      <w:r w:rsidR="00D9258C" w:rsidRPr="00FD6A6A">
        <w:t>of</w:t>
      </w:r>
      <w:r w:rsidR="00541D05">
        <w:t xml:space="preserve"> </w:t>
      </w:r>
      <w:r w:rsidR="00D9258C" w:rsidRPr="00FD6A6A">
        <w:t>Religious</w:t>
      </w:r>
      <w:r w:rsidR="00541D05">
        <w:t xml:space="preserve"> </w:t>
      </w:r>
      <w:r w:rsidR="00D9258C" w:rsidRPr="00FD6A6A">
        <w:t>Freedom</w:t>
      </w:r>
      <w:r w:rsidR="00541D05">
        <w:t xml:space="preserve"> </w:t>
      </w:r>
      <w:r w:rsidR="00D9258C" w:rsidRPr="00FD6A6A">
        <w:t>have</w:t>
      </w:r>
      <w:r w:rsidR="00541D05">
        <w:t xml:space="preserve"> </w:t>
      </w:r>
      <w:r w:rsidR="00D9258C" w:rsidRPr="00FD6A6A">
        <w:t>been</w:t>
      </w:r>
      <w:r w:rsidR="00541D05">
        <w:t xml:space="preserve"> </w:t>
      </w:r>
      <w:r w:rsidR="00D9258C" w:rsidRPr="00FD6A6A">
        <w:t>held</w:t>
      </w:r>
      <w:r w:rsidR="00541D05">
        <w:t xml:space="preserve"> </w:t>
      </w:r>
      <w:r w:rsidR="00D9258C" w:rsidRPr="00FD6A6A">
        <w:t>in</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p>
    <w:p w14:paraId="07966DBC" w14:textId="749E931B" w:rsidR="00D9258C" w:rsidRPr="00FD6A6A" w:rsidRDefault="00166390" w:rsidP="00166390">
      <w:pPr>
        <w:pStyle w:val="ParaNoG"/>
        <w:numPr>
          <w:ilvl w:val="0"/>
          <w:numId w:val="0"/>
        </w:numPr>
        <w:tabs>
          <w:tab w:val="left" w:pos="0"/>
        </w:tabs>
        <w:ind w:left="1134"/>
      </w:pPr>
      <w:r w:rsidRPr="00FD6A6A">
        <w:t>130.</w:t>
      </w:r>
      <w:r w:rsidRPr="00FD6A6A">
        <w:tab/>
      </w:r>
      <w:r w:rsidR="00D9258C" w:rsidRPr="00FD6A6A">
        <w:t>Concerning</w:t>
      </w:r>
      <w:r w:rsidR="00541D05">
        <w:t xml:space="preserve"> </w:t>
      </w:r>
      <w:r w:rsidR="00D9258C" w:rsidRPr="00FD6A6A">
        <w:t>public</w:t>
      </w:r>
      <w:r w:rsidR="00541D05">
        <w:t xml:space="preserve"> </w:t>
      </w:r>
      <w:r w:rsidR="00D9258C" w:rsidRPr="00FD6A6A">
        <w:t>policies</w:t>
      </w:r>
      <w:r w:rsidR="00541D05">
        <w:t xml:space="preserve"> </w:t>
      </w:r>
      <w:r w:rsidR="00D9258C" w:rsidRPr="00FD6A6A">
        <w:t>effectively</w:t>
      </w:r>
      <w:r w:rsidR="00541D05">
        <w:t xml:space="preserve"> </w:t>
      </w:r>
      <w:r w:rsidR="00D9258C" w:rsidRPr="00FD6A6A">
        <w:t>implemented,</w:t>
      </w:r>
      <w:r w:rsidR="00541D05">
        <w:t xml:space="preserve"> </w:t>
      </w:r>
      <w:r w:rsidR="00D9258C" w:rsidRPr="00FD6A6A">
        <w:t>emergency</w:t>
      </w:r>
      <w:r w:rsidR="00541D05">
        <w:t xml:space="preserve"> </w:t>
      </w:r>
      <w:r w:rsidR="00D9258C" w:rsidRPr="00FD6A6A">
        <w:t>measures</w:t>
      </w:r>
      <w:r w:rsidR="00541D05">
        <w:t xml:space="preserve"> </w:t>
      </w:r>
      <w:r w:rsidR="00D9258C" w:rsidRPr="00FD6A6A">
        <w:t>have</w:t>
      </w:r>
      <w:r w:rsidR="00541D05">
        <w:t xml:space="preserve"> </w:t>
      </w:r>
      <w:r w:rsidR="00D9258C" w:rsidRPr="00FD6A6A">
        <w:t>been</w:t>
      </w:r>
      <w:r w:rsidR="00541D05">
        <w:t xml:space="preserve"> </w:t>
      </w:r>
      <w:r w:rsidR="00D9258C" w:rsidRPr="00FD6A6A">
        <w:t>emphasized,</w:t>
      </w:r>
      <w:r w:rsidR="00541D05">
        <w:t xml:space="preserve"> </w:t>
      </w:r>
      <w:r w:rsidR="00D9258C" w:rsidRPr="00FD6A6A">
        <w:t>especially</w:t>
      </w:r>
      <w:r w:rsidR="00541D05">
        <w:t xml:space="preserve"> </w:t>
      </w:r>
      <w:r w:rsidR="00D9258C" w:rsidRPr="00FD6A6A">
        <w:t>food</w:t>
      </w:r>
      <w:r w:rsidR="00541D05">
        <w:t xml:space="preserve"> </w:t>
      </w:r>
      <w:r w:rsidR="00D9258C" w:rsidRPr="00FD6A6A">
        <w:t>safety</w:t>
      </w:r>
      <w:r w:rsidR="00541D05">
        <w:t xml:space="preserve"> </w:t>
      </w:r>
      <w:r w:rsidR="00D9258C" w:rsidRPr="00FD6A6A">
        <w:t>and</w:t>
      </w:r>
      <w:r w:rsidR="00541D05">
        <w:t xml:space="preserve"> </w:t>
      </w:r>
      <w:r w:rsidR="00D9258C" w:rsidRPr="00FD6A6A">
        <w:t>improvement</w:t>
      </w:r>
      <w:r w:rsidR="00541D05">
        <w:t xml:space="preserve"> </w:t>
      </w:r>
      <w:r w:rsidR="00D9258C" w:rsidRPr="00FD6A6A">
        <w:t>of</w:t>
      </w:r>
      <w:r w:rsidR="00541D05">
        <w:t xml:space="preserve"> </w:t>
      </w:r>
      <w:r w:rsidR="00D9258C" w:rsidRPr="00FD6A6A">
        <w:t>the</w:t>
      </w:r>
      <w:r w:rsidR="00541D05">
        <w:t xml:space="preserve"> </w:t>
      </w:r>
      <w:r w:rsidR="00D9258C" w:rsidRPr="00FD6A6A">
        <w:t>self-esteem</w:t>
      </w:r>
      <w:r w:rsidR="00541D05">
        <w:t xml:space="preserve"> </w:t>
      </w:r>
      <w:r w:rsidR="00D9258C" w:rsidRPr="00FD6A6A">
        <w:t>of</w:t>
      </w:r>
      <w:r w:rsidR="00541D05">
        <w:t xml:space="preserve"> </w:t>
      </w:r>
      <w:r w:rsidR="00D9258C" w:rsidRPr="00FD6A6A">
        <w:t>the</w:t>
      </w:r>
      <w:r w:rsidR="00541D05">
        <w:t xml:space="preserve"> </w:t>
      </w:r>
      <w:r w:rsidR="00D9258C" w:rsidRPr="00FD6A6A">
        <w:t>traditional</w:t>
      </w:r>
      <w:r w:rsidR="00541D05">
        <w:t xml:space="preserve"> </w:t>
      </w:r>
      <w:r w:rsidR="00D9258C" w:rsidRPr="00FD6A6A">
        <w:t>communities.</w:t>
      </w:r>
      <w:r w:rsidR="00541D05">
        <w:t xml:space="preserve"> </w:t>
      </w:r>
      <w:r w:rsidR="00D9258C" w:rsidRPr="00FD6A6A">
        <w:t>Until</w:t>
      </w:r>
      <w:r w:rsidR="00541D05">
        <w:t xml:space="preserve"> </w:t>
      </w:r>
      <w:r w:rsidR="00D9258C" w:rsidRPr="00FD6A6A">
        <w:t>2015,</w:t>
      </w:r>
      <w:r w:rsidR="00541D05">
        <w:t xml:space="preserve"> </w:t>
      </w:r>
      <w:r w:rsidR="00D9258C" w:rsidRPr="00FD6A6A">
        <w:t>more</w:t>
      </w:r>
      <w:r w:rsidR="00541D05">
        <w:t xml:space="preserve"> </w:t>
      </w:r>
      <w:r w:rsidR="00D9258C" w:rsidRPr="00FD6A6A">
        <w:t>than</w:t>
      </w:r>
      <w:r w:rsidR="00541D05">
        <w:t xml:space="preserve"> </w:t>
      </w:r>
      <w:r w:rsidR="00D9258C" w:rsidRPr="00FD6A6A">
        <w:t>92,490</w:t>
      </w:r>
      <w:r w:rsidR="00541D05">
        <w:t xml:space="preserve"> </w:t>
      </w:r>
      <w:r w:rsidR="00D9258C" w:rsidRPr="00FD6A6A">
        <w:t>staple</w:t>
      </w:r>
      <w:r w:rsidR="00541D05">
        <w:t xml:space="preserve"> </w:t>
      </w:r>
      <w:r w:rsidR="00D9258C" w:rsidRPr="00FD6A6A">
        <w:t>food</w:t>
      </w:r>
      <w:r w:rsidR="00541D05">
        <w:t xml:space="preserve"> </w:t>
      </w:r>
      <w:r w:rsidR="00D9258C" w:rsidRPr="00FD6A6A">
        <w:t>baskets</w:t>
      </w:r>
      <w:r w:rsidR="00541D05">
        <w:t xml:space="preserve"> </w:t>
      </w:r>
      <w:r w:rsidR="00D9258C" w:rsidRPr="00FD6A6A">
        <w:t>were</w:t>
      </w:r>
      <w:r w:rsidR="00541D05">
        <w:t xml:space="preserve"> </w:t>
      </w:r>
      <w:r w:rsidR="00D9258C" w:rsidRPr="00FD6A6A">
        <w:t>distributed</w:t>
      </w:r>
      <w:r w:rsidR="00541D05">
        <w:t xml:space="preserve"> </w:t>
      </w:r>
      <w:r w:rsidR="00D9258C" w:rsidRPr="00FD6A6A">
        <w:t>nationally</w:t>
      </w:r>
      <w:r w:rsidR="00541D05">
        <w:t xml:space="preserve"> </w:t>
      </w:r>
      <w:r w:rsidR="00D9258C" w:rsidRPr="00FD6A6A">
        <w:t>in</w:t>
      </w:r>
      <w:r w:rsidR="00541D05">
        <w:t xml:space="preserve"> </w:t>
      </w:r>
      <w:r w:rsidR="00D9258C" w:rsidRPr="00FD6A6A">
        <w:t>traditional</w:t>
      </w:r>
      <w:r w:rsidR="00541D05">
        <w:t xml:space="preserve"> </w:t>
      </w:r>
      <w:r w:rsidR="00D9258C" w:rsidRPr="00FD6A6A">
        <w:t>houses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FD6A6A">
        <w:t>Laws</w:t>
      </w:r>
      <w:r w:rsidR="00541D05">
        <w:t xml:space="preserve"> </w:t>
      </w:r>
      <w:r w:rsidR="00D9258C" w:rsidRPr="00FD6A6A">
        <w:t>complementing</w:t>
      </w:r>
      <w:r w:rsidR="00541D05">
        <w:t xml:space="preserve"> </w:t>
      </w:r>
      <w:r w:rsidR="00D9258C" w:rsidRPr="00FD6A6A">
        <w:t>the</w:t>
      </w:r>
      <w:r w:rsidR="00541D05">
        <w:t xml:space="preserve"> </w:t>
      </w:r>
      <w:r w:rsidR="00D9258C" w:rsidRPr="00FD6A6A">
        <w:t>plan</w:t>
      </w:r>
      <w:r w:rsidR="00541D05">
        <w:t xml:space="preserve"> </w:t>
      </w:r>
      <w:r w:rsidR="00D9258C" w:rsidRPr="00FD6A6A">
        <w:t>were</w:t>
      </w:r>
      <w:r w:rsidR="00541D05">
        <w:t xml:space="preserve"> </w:t>
      </w:r>
      <w:r w:rsidR="00D9258C" w:rsidRPr="00FD6A6A">
        <w:t>sanctioned,</w:t>
      </w:r>
      <w:r w:rsidR="00541D05">
        <w:t xml:space="preserve"> </w:t>
      </w:r>
      <w:r w:rsidR="00D9258C" w:rsidRPr="00FD6A6A">
        <w:t>such</w:t>
      </w:r>
      <w:r w:rsidR="00541D05">
        <w:t xml:space="preserve"> </w:t>
      </w:r>
      <w:r w:rsidR="00D9258C" w:rsidRPr="00FD6A6A">
        <w:t>as</w:t>
      </w:r>
      <w:r w:rsidR="00541D05">
        <w:t xml:space="preserve"> </w:t>
      </w:r>
      <w:r w:rsidR="00D9258C" w:rsidRPr="00FD6A6A">
        <w:t>Law</w:t>
      </w:r>
      <w:r w:rsidR="00541D05">
        <w:t xml:space="preserve"> </w:t>
      </w:r>
      <w:r w:rsidR="00D9258C" w:rsidRPr="00FD6A6A">
        <w:t>No.</w:t>
      </w:r>
      <w:r w:rsidR="00541D05">
        <w:t xml:space="preserve"> </w:t>
      </w:r>
      <w:r w:rsidR="00D9258C" w:rsidRPr="00FD6A6A">
        <w:t>11,481/2007,</w:t>
      </w:r>
      <w:r w:rsidR="00541D05">
        <w:t xml:space="preserve"> </w:t>
      </w:r>
      <w:r w:rsidR="00D9258C" w:rsidRPr="00FD6A6A">
        <w:t>which</w:t>
      </w:r>
      <w:r w:rsidR="00541D05">
        <w:t xml:space="preserve"> </w:t>
      </w:r>
      <w:r w:rsidR="00D9258C" w:rsidRPr="00FD6A6A">
        <w:t>regulates</w:t>
      </w:r>
      <w:r w:rsidR="00541D05">
        <w:t xml:space="preserve"> </w:t>
      </w:r>
      <w:r w:rsidR="00D9258C" w:rsidRPr="00FD6A6A">
        <w:t>the</w:t>
      </w:r>
      <w:r w:rsidR="00541D05">
        <w:t xml:space="preserve"> </w:t>
      </w:r>
      <w:r w:rsidR="00D9258C" w:rsidRPr="00FD6A6A">
        <w:t>use</w:t>
      </w:r>
      <w:r w:rsidR="00541D05">
        <w:t xml:space="preserve"> </w:t>
      </w:r>
      <w:r w:rsidR="00D9258C" w:rsidRPr="00FD6A6A">
        <w:t>of</w:t>
      </w:r>
      <w:r w:rsidR="00541D05">
        <w:t xml:space="preserve"> </w:t>
      </w:r>
      <w:r w:rsidR="00D9258C" w:rsidRPr="00FD6A6A">
        <w:t>public</w:t>
      </w:r>
      <w:r w:rsidR="00541D05">
        <w:t xml:space="preserve"> </w:t>
      </w:r>
      <w:r w:rsidR="00D9258C" w:rsidRPr="00FD6A6A">
        <w:t>areas</w:t>
      </w:r>
      <w:r w:rsidR="00541D05">
        <w:t xml:space="preserve"> </w:t>
      </w:r>
      <w:r w:rsidR="00D9258C" w:rsidRPr="00FD6A6A">
        <w:t>intended</w:t>
      </w:r>
      <w:r w:rsidR="00541D05">
        <w:t xml:space="preserve"> </w:t>
      </w:r>
      <w:r w:rsidR="00D9258C" w:rsidRPr="00FD6A6A">
        <w:t>for</w:t>
      </w:r>
      <w:r w:rsidR="00541D05">
        <w:t xml:space="preserve"> </w:t>
      </w:r>
      <w:r w:rsidR="00D9258C" w:rsidRPr="00FD6A6A">
        <w:t>the</w:t>
      </w:r>
      <w:r w:rsidR="00541D05">
        <w:t xml:space="preserve"> </w:t>
      </w:r>
      <w:r w:rsidR="00D9258C" w:rsidRPr="00FD6A6A">
        <w:t>construction</w:t>
      </w:r>
      <w:r w:rsidR="00541D05">
        <w:t xml:space="preserve"> </w:t>
      </w:r>
      <w:r w:rsidR="00D9258C" w:rsidRPr="00FD6A6A">
        <w:t>of</w:t>
      </w:r>
      <w:r w:rsidR="00541D05">
        <w:t xml:space="preserve"> </w:t>
      </w:r>
      <w:r w:rsidR="00D9258C" w:rsidRPr="00FD6A6A">
        <w:t>temples</w:t>
      </w:r>
      <w:r w:rsidR="00541D05">
        <w:t xml:space="preserve"> </w:t>
      </w:r>
      <w:r w:rsidR="00D9258C" w:rsidRPr="00FD6A6A">
        <w:t>and</w:t>
      </w:r>
      <w:r w:rsidR="00541D05">
        <w:t xml:space="preserve"> </w:t>
      </w:r>
      <w:r w:rsidR="00D9258C" w:rsidRPr="00FD6A6A">
        <w:t>religious</w:t>
      </w:r>
      <w:r w:rsidR="00541D05">
        <w:t xml:space="preserve"> </w:t>
      </w:r>
      <w:r w:rsidR="00D9258C" w:rsidRPr="00FD6A6A">
        <w:t>organizations,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Law</w:t>
      </w:r>
      <w:r w:rsidR="00541D05">
        <w:t xml:space="preserve"> </w:t>
      </w:r>
      <w:r w:rsidR="00D9258C" w:rsidRPr="00FD6A6A">
        <w:t>No.</w:t>
      </w:r>
      <w:r w:rsidR="00541D05">
        <w:t xml:space="preserve"> </w:t>
      </w:r>
      <w:r w:rsidR="00D9258C" w:rsidRPr="00FD6A6A">
        <w:t>12,966/2014,</w:t>
      </w:r>
      <w:r w:rsidR="00541D05">
        <w:t xml:space="preserve"> </w:t>
      </w:r>
      <w:r w:rsidR="00D9258C" w:rsidRPr="00FD6A6A">
        <w:t>which</w:t>
      </w:r>
      <w:r w:rsidR="00541D05">
        <w:t xml:space="preserve"> </w:t>
      </w:r>
      <w:r w:rsidR="00D9258C" w:rsidRPr="00FD6A6A">
        <w:t>includes</w:t>
      </w:r>
      <w:r w:rsidR="00541D05">
        <w:t xml:space="preserve"> </w:t>
      </w:r>
      <w:r w:rsidR="00D9258C" w:rsidRPr="00FD6A6A">
        <w:t>the</w:t>
      </w:r>
      <w:r w:rsidR="00541D05">
        <w:t xml:space="preserve"> </w:t>
      </w:r>
      <w:r w:rsidR="00D9258C" w:rsidRPr="00FD6A6A">
        <w:t>dignity</w:t>
      </w:r>
      <w:r w:rsidR="00541D05">
        <w:t xml:space="preserve"> </w:t>
      </w:r>
      <w:r w:rsidR="00D9258C" w:rsidRPr="00FD6A6A">
        <w:t>of</w:t>
      </w:r>
      <w:r w:rsidR="00541D05">
        <w:t xml:space="preserve"> </w:t>
      </w:r>
      <w:r w:rsidR="00D9258C" w:rsidRPr="00FD6A6A">
        <w:t>the</w:t>
      </w:r>
      <w:r w:rsidR="00541D05">
        <w:t xml:space="preserve"> </w:t>
      </w:r>
      <w:r w:rsidR="00D9258C" w:rsidRPr="00FD6A6A">
        <w:t>religious</w:t>
      </w:r>
      <w:r w:rsidR="00541D05">
        <w:t xml:space="preserve"> </w:t>
      </w:r>
      <w:r w:rsidR="00D9258C" w:rsidRPr="00FD6A6A">
        <w:t>groups</w:t>
      </w:r>
      <w:r w:rsidR="00541D05">
        <w:t xml:space="preserve"> </w:t>
      </w:r>
      <w:r w:rsidR="00D9258C" w:rsidRPr="00FD6A6A">
        <w:t>to</w:t>
      </w:r>
      <w:r w:rsidR="00541D05">
        <w:t xml:space="preserve"> </w:t>
      </w:r>
      <w:r w:rsidR="00D9258C" w:rsidRPr="00FD6A6A">
        <w:t>the</w:t>
      </w:r>
      <w:r w:rsidR="00541D05">
        <w:t xml:space="preserve"> </w:t>
      </w:r>
      <w:r w:rsidR="00D9258C" w:rsidRPr="00FD6A6A">
        <w:t>liability</w:t>
      </w:r>
      <w:r w:rsidR="00541D05">
        <w:t xml:space="preserve"> </w:t>
      </w:r>
      <w:r w:rsidR="00D9258C" w:rsidRPr="00FD6A6A">
        <w:t>for</w:t>
      </w:r>
      <w:r w:rsidR="00541D05">
        <w:t xml:space="preserve"> </w:t>
      </w:r>
      <w:r w:rsidR="00D9258C" w:rsidRPr="00FD6A6A">
        <w:t>moral</w:t>
      </w:r>
      <w:r w:rsidR="00541D05">
        <w:t xml:space="preserve"> </w:t>
      </w:r>
      <w:r w:rsidR="00D9258C" w:rsidRPr="00FD6A6A">
        <w:t>and</w:t>
      </w:r>
      <w:r w:rsidR="00541D05">
        <w:t xml:space="preserve"> </w:t>
      </w:r>
      <w:r w:rsidR="00D9258C" w:rsidRPr="00FD6A6A">
        <w:t>property</w:t>
      </w:r>
      <w:r w:rsidR="00541D05">
        <w:t xml:space="preserve"> </w:t>
      </w:r>
      <w:r w:rsidR="00D9258C" w:rsidRPr="00FD6A6A">
        <w:t>damage.</w:t>
      </w:r>
    </w:p>
    <w:p w14:paraId="30FC7BEC" w14:textId="645C3EE9" w:rsidR="00D9258C" w:rsidRPr="00FD6A6A" w:rsidRDefault="00D9258C" w:rsidP="00483230">
      <w:pPr>
        <w:pStyle w:val="H23G"/>
      </w:pPr>
      <w:r w:rsidRPr="00FD6A6A">
        <w:lastRenderedPageBreak/>
        <w:tab/>
      </w:r>
      <w:r w:rsidRPr="00FD6A6A">
        <w:tab/>
      </w:r>
      <w:r w:rsidRPr="004751CE">
        <w:t>Quilombola</w:t>
      </w:r>
      <w:r w:rsidR="00541D05">
        <w:t xml:space="preserve"> </w:t>
      </w:r>
      <w:r w:rsidRPr="00FD6A6A">
        <w:t>communities</w:t>
      </w:r>
    </w:p>
    <w:p w14:paraId="612AD02B" w14:textId="5783C161" w:rsidR="00D9258C" w:rsidRPr="00FD6A6A" w:rsidRDefault="00166390" w:rsidP="00166390">
      <w:pPr>
        <w:pStyle w:val="ParaNoG"/>
        <w:numPr>
          <w:ilvl w:val="0"/>
          <w:numId w:val="0"/>
        </w:numPr>
        <w:tabs>
          <w:tab w:val="left" w:pos="0"/>
        </w:tabs>
        <w:ind w:left="1134"/>
      </w:pPr>
      <w:r w:rsidRPr="00FD6A6A">
        <w:t>131.</w:t>
      </w:r>
      <w:r w:rsidRPr="00FD6A6A">
        <w:tab/>
      </w:r>
      <w:r w:rsidR="00D9258C" w:rsidRPr="00FD6A6A">
        <w:t>Today,</w:t>
      </w:r>
      <w:r w:rsidR="00541D05">
        <w:t xml:space="preserve"> </w:t>
      </w:r>
      <w:r w:rsidR="00D9258C" w:rsidRPr="00FD6A6A">
        <w:t>there</w:t>
      </w:r>
      <w:r w:rsidR="00541D05">
        <w:t xml:space="preserve"> </w:t>
      </w:r>
      <w:r w:rsidR="00D9258C" w:rsidRPr="00FD6A6A">
        <w:t>are</w:t>
      </w:r>
      <w:r w:rsidR="00541D05">
        <w:t xml:space="preserve"> </w:t>
      </w:r>
      <w:r w:rsidR="00D9258C" w:rsidRPr="00FD6A6A">
        <w:t>3,051</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certified</w:t>
      </w:r>
      <w:r w:rsidR="00D9258C" w:rsidRPr="00EA62F1">
        <w:rPr>
          <w:rStyle w:val="FootnoteReference"/>
        </w:rPr>
        <w:footnoteReference w:id="4"/>
      </w:r>
      <w:r w:rsidR="00541D05" w:rsidRPr="00EA62F1">
        <w:t xml:space="preserve"> </w:t>
      </w:r>
      <w:r w:rsidR="00D9258C" w:rsidRPr="00FD6A6A">
        <w:t>by</w:t>
      </w:r>
      <w:r w:rsidR="00541D05">
        <w:t xml:space="preserve"> </w:t>
      </w:r>
      <w:r w:rsidR="00D9258C" w:rsidRPr="00FD6A6A">
        <w:t>the</w:t>
      </w:r>
      <w:r w:rsidR="00541D05">
        <w:t xml:space="preserve"> </w:t>
      </w:r>
      <w:r w:rsidR="00D9258C" w:rsidRPr="00FD6A6A">
        <w:t>Palmares</w:t>
      </w:r>
      <w:r w:rsidR="00541D05">
        <w:t xml:space="preserve"> </w:t>
      </w:r>
      <w:r w:rsidR="00D9258C" w:rsidRPr="00FD6A6A">
        <w:t>Cultural</w:t>
      </w:r>
      <w:r w:rsidR="00541D05">
        <w:t xml:space="preserve"> </w:t>
      </w:r>
      <w:r w:rsidR="00D9258C" w:rsidRPr="00FD6A6A">
        <w:t>Foundation</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Culture.</w:t>
      </w:r>
      <w:r w:rsidR="00541D05">
        <w:t xml:space="preserve"> </w:t>
      </w:r>
      <w:r w:rsidR="00D9258C" w:rsidRPr="00FD6A6A">
        <w:t>The</w:t>
      </w:r>
      <w:r w:rsidR="00541D05">
        <w:t xml:space="preserve"> </w:t>
      </w:r>
      <w:r w:rsidR="00D9258C" w:rsidRPr="00FD6A6A">
        <w:t>certification</w:t>
      </w:r>
      <w:r w:rsidR="00541D05">
        <w:t xml:space="preserve"> </w:t>
      </w:r>
      <w:r w:rsidR="00D9258C" w:rsidRPr="00FD6A6A">
        <w:t>of</w:t>
      </w:r>
      <w:r w:rsidR="00541D05">
        <w:t xml:space="preserve"> </w:t>
      </w:r>
      <w:r w:rsidR="00D9258C" w:rsidRPr="00FD6A6A">
        <w:t>the</w:t>
      </w:r>
      <w:r w:rsidR="00541D05">
        <w:t xml:space="preserve"> </w:t>
      </w:r>
      <w:r w:rsidR="00D9258C" w:rsidRPr="00FD6A6A">
        <w:t>Palmares</w:t>
      </w:r>
      <w:r w:rsidR="00541D05">
        <w:t xml:space="preserve"> </w:t>
      </w:r>
      <w:r w:rsidR="00D9258C" w:rsidRPr="00FD6A6A">
        <w:t>Foundation</w:t>
      </w:r>
      <w:r w:rsidR="00541D05">
        <w:t xml:space="preserve"> </w:t>
      </w:r>
      <w:r w:rsidR="00D9258C" w:rsidRPr="00FD6A6A">
        <w:t>is</w:t>
      </w:r>
      <w:r w:rsidR="00541D05">
        <w:t xml:space="preserve"> </w:t>
      </w:r>
      <w:r w:rsidR="00D9258C" w:rsidRPr="00FD6A6A">
        <w:t>the</w:t>
      </w:r>
      <w:r w:rsidR="00541D05">
        <w:t xml:space="preserve"> </w:t>
      </w:r>
      <w:r w:rsidR="00D9258C" w:rsidRPr="00FD6A6A">
        <w:t>first</w:t>
      </w:r>
      <w:r w:rsidR="00541D05">
        <w:t xml:space="preserve"> </w:t>
      </w:r>
      <w:r w:rsidR="00D9258C" w:rsidRPr="00FD6A6A">
        <w:t>stage</w:t>
      </w:r>
      <w:r w:rsidR="00541D05">
        <w:t xml:space="preserve"> </w:t>
      </w:r>
      <w:r w:rsidR="00D9258C" w:rsidRPr="00FD6A6A">
        <w:t>of</w:t>
      </w:r>
      <w:r w:rsidR="00541D05">
        <w:t xml:space="preserve"> </w:t>
      </w:r>
      <w:r w:rsidR="00D9258C" w:rsidRPr="00FD6A6A">
        <w:t>a</w:t>
      </w:r>
      <w:r w:rsidR="00541D05">
        <w:t xml:space="preserve"> </w:t>
      </w:r>
      <w:r w:rsidR="00D9258C" w:rsidRPr="00FD6A6A">
        <w:t>registration</w:t>
      </w:r>
      <w:r w:rsidR="00541D05">
        <w:t xml:space="preserve"> </w:t>
      </w:r>
      <w:r w:rsidR="00D9258C" w:rsidRPr="00FD6A6A">
        <w:t>process</w:t>
      </w:r>
      <w:r w:rsidR="00541D05">
        <w:t xml:space="preserve"> </w:t>
      </w:r>
      <w:r w:rsidR="00D9258C" w:rsidRPr="00FD6A6A">
        <w:t>for</w:t>
      </w:r>
      <w:r w:rsidR="00541D05">
        <w:t xml:space="preserve"> </w:t>
      </w:r>
      <w:r w:rsidR="00D9258C" w:rsidRPr="00FD6A6A">
        <w:t>a</w:t>
      </w:r>
      <w:r w:rsidR="00541D05">
        <w:t xml:space="preserve"> </w:t>
      </w:r>
      <w:r w:rsidR="00D9258C" w:rsidRPr="00FD6A6A">
        <w:t>community</w:t>
      </w:r>
      <w:r w:rsidR="00541D05">
        <w:t xml:space="preserve"> </w:t>
      </w:r>
      <w:r w:rsidR="00D9258C" w:rsidRPr="00FD6A6A">
        <w:t>to</w:t>
      </w:r>
      <w:r w:rsidR="00541D05">
        <w:t xml:space="preserve"> </w:t>
      </w:r>
      <w:r w:rsidR="00D9258C" w:rsidRPr="00FD6A6A">
        <w:t>claim</w:t>
      </w:r>
      <w:r w:rsidR="00541D05">
        <w:t xml:space="preserve"> </w:t>
      </w:r>
      <w:r w:rsidR="00D9258C" w:rsidRPr="00FD6A6A">
        <w:t>public</w:t>
      </w:r>
      <w:r w:rsidR="00541D05">
        <w:t xml:space="preserve"> </w:t>
      </w:r>
      <w:r w:rsidR="00D9258C" w:rsidRPr="00FD6A6A">
        <w:t>recognition</w:t>
      </w:r>
      <w:r w:rsidR="00541D05">
        <w:t xml:space="preserve"> </w:t>
      </w:r>
      <w:r w:rsidR="00D9258C" w:rsidRPr="00FD6A6A">
        <w:t>as</w:t>
      </w:r>
      <w:r w:rsidR="00541D05">
        <w:t xml:space="preserve"> </w:t>
      </w:r>
      <w:r w:rsidR="00D9258C" w:rsidRPr="00FD6A6A">
        <w:t>a</w:t>
      </w:r>
      <w:r w:rsidR="00541D05">
        <w:t xml:space="preserve"> </w:t>
      </w:r>
      <w:r w:rsidR="00D9258C" w:rsidRPr="00FD6A6A">
        <w:t>Quilombo.</w:t>
      </w:r>
      <w:r w:rsidR="00541D05">
        <w:t xml:space="preserve"> </w:t>
      </w:r>
      <w:r w:rsidR="00D9258C" w:rsidRPr="00FD6A6A">
        <w:t>This</w:t>
      </w:r>
      <w:r w:rsidR="00541D05">
        <w:t xml:space="preserve"> </w:t>
      </w:r>
      <w:r w:rsidR="00D9258C" w:rsidRPr="00FD6A6A">
        <w:t>recognition</w:t>
      </w:r>
      <w:r w:rsidR="00541D05">
        <w:t xml:space="preserve"> </w:t>
      </w:r>
      <w:r w:rsidR="00D9258C" w:rsidRPr="00FD6A6A">
        <w:t>grants</w:t>
      </w:r>
      <w:r w:rsidR="00541D05">
        <w:t xml:space="preserve"> </w:t>
      </w:r>
      <w:r w:rsidR="00D9258C" w:rsidRPr="00FD6A6A">
        <w:t>to</w:t>
      </w:r>
      <w:r w:rsidR="00541D05">
        <w:t xml:space="preserve"> </w:t>
      </w:r>
      <w:r w:rsidR="00D9258C" w:rsidRPr="00FD6A6A">
        <w:t>these</w:t>
      </w:r>
      <w:r w:rsidR="00541D05">
        <w:t xml:space="preserve"> </w:t>
      </w:r>
      <w:r w:rsidR="00D9258C" w:rsidRPr="00FD6A6A">
        <w:t>communities</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seek</w:t>
      </w:r>
      <w:r w:rsidR="00541D05">
        <w:t xml:space="preserve"> </w:t>
      </w:r>
      <w:r w:rsidR="00D9258C" w:rsidRPr="00FD6A6A">
        <w:t>public</w:t>
      </w:r>
      <w:r w:rsidR="00541D05">
        <w:t xml:space="preserve"> </w:t>
      </w:r>
      <w:r w:rsidR="00D9258C" w:rsidRPr="00FD6A6A">
        <w:t>policies</w:t>
      </w:r>
      <w:r w:rsidR="00541D05">
        <w:t xml:space="preserve"> </w:t>
      </w:r>
      <w:r w:rsidR="00D9258C" w:rsidRPr="00FD6A6A">
        <w:t>directed</w:t>
      </w:r>
      <w:r w:rsidR="00541D05">
        <w:t xml:space="preserve"> </w:t>
      </w:r>
      <w:r w:rsidR="00D9258C" w:rsidRPr="00FD6A6A">
        <w:t>specifically</w:t>
      </w:r>
      <w:r w:rsidR="00541D05">
        <w:t xml:space="preserve"> </w:t>
      </w:r>
      <w:r w:rsidR="00D9258C" w:rsidRPr="00FD6A6A">
        <w:t>to</w:t>
      </w:r>
      <w:r w:rsidR="00541D05">
        <w:t xml:space="preserve"> </w:t>
      </w:r>
      <w:r w:rsidR="00D9258C" w:rsidRPr="00FD6A6A">
        <w:t>this</w:t>
      </w:r>
      <w:r w:rsidR="00541D05">
        <w:t xml:space="preserve"> </w:t>
      </w:r>
      <w:r w:rsidR="00D9258C" w:rsidRPr="00FD6A6A">
        <w:t>social</w:t>
      </w:r>
      <w:r w:rsidR="00541D05">
        <w:t xml:space="preserve"> </w:t>
      </w:r>
      <w:r w:rsidR="00D9258C" w:rsidRPr="00FD6A6A">
        <w:t>group.</w:t>
      </w:r>
      <w:r w:rsidR="00541D05">
        <w:t xml:space="preserve"> </w:t>
      </w:r>
      <w:r w:rsidR="00D9258C" w:rsidRPr="00FD6A6A">
        <w:t>The</w:t>
      </w:r>
      <w:r w:rsidR="00541D05">
        <w:t xml:space="preserve"> </w:t>
      </w:r>
      <w:r w:rsidR="00D9258C" w:rsidRPr="00FD6A6A">
        <w:t>National</w:t>
      </w:r>
      <w:r w:rsidR="00541D05">
        <w:t xml:space="preserve"> </w:t>
      </w:r>
      <w:r w:rsidR="00D9258C" w:rsidRPr="00FD6A6A">
        <w:t>Institute</w:t>
      </w:r>
      <w:r w:rsidR="00541D05">
        <w:t xml:space="preserve"> </w:t>
      </w:r>
      <w:r w:rsidR="00D9258C" w:rsidRPr="00FD6A6A">
        <w:t>of</w:t>
      </w:r>
      <w:r w:rsidR="00541D05">
        <w:t xml:space="preserve"> </w:t>
      </w:r>
      <w:r w:rsidR="00D9258C" w:rsidRPr="00FD6A6A">
        <w:t>Colonization</w:t>
      </w:r>
      <w:r w:rsidR="00541D05">
        <w:t xml:space="preserve"> </w:t>
      </w:r>
      <w:r w:rsidR="00D9258C" w:rsidRPr="00FD6A6A">
        <w:t>and</w:t>
      </w:r>
      <w:r w:rsidR="00541D05">
        <w:t xml:space="preserve"> </w:t>
      </w:r>
      <w:r w:rsidR="00D9258C" w:rsidRPr="00FD6A6A">
        <w:t>Agrarian</w:t>
      </w:r>
      <w:r w:rsidR="00541D05">
        <w:t xml:space="preserve"> </w:t>
      </w:r>
      <w:r w:rsidR="00D9258C" w:rsidRPr="00FD6A6A">
        <w:t>Reform</w:t>
      </w:r>
      <w:r w:rsidR="00541D05">
        <w:t xml:space="preserve"> </w:t>
      </w:r>
      <w:r w:rsidR="00D9258C" w:rsidRPr="00FD6A6A">
        <w:t>–</w:t>
      </w:r>
      <w:r w:rsidR="00541D05">
        <w:t xml:space="preserve"> </w:t>
      </w:r>
      <w:r w:rsidR="00D9258C" w:rsidRPr="00FD6A6A">
        <w:t>INCRA</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guaranteeing</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regularization</w:t>
      </w:r>
      <w:r w:rsidR="00541D05">
        <w:t xml:space="preserve"> </w:t>
      </w:r>
      <w:r w:rsidR="00D9258C" w:rsidRPr="00FD6A6A">
        <w:t>of</w:t>
      </w:r>
      <w:r w:rsidR="00541D05">
        <w:t xml:space="preserve"> </w:t>
      </w:r>
      <w:r w:rsidR="00D9258C" w:rsidRPr="00FD6A6A">
        <w:t>the</w:t>
      </w:r>
      <w:r w:rsidR="00541D05">
        <w:t xml:space="preserve"> </w:t>
      </w:r>
      <w:r w:rsidR="00D9258C" w:rsidRPr="00FD6A6A">
        <w:t>occupancy</w:t>
      </w:r>
      <w:r w:rsidR="00541D05">
        <w:t xml:space="preserve"> </w:t>
      </w:r>
      <w:r w:rsidR="00D9258C" w:rsidRPr="00FD6A6A">
        <w:t>of</w:t>
      </w:r>
      <w:r w:rsidR="00541D05">
        <w:t xml:space="preserve"> </w:t>
      </w:r>
      <w:r w:rsidR="00D9258C" w:rsidRPr="00FD6A6A">
        <w:t>the</w:t>
      </w:r>
      <w:r w:rsidR="00541D05">
        <w:t xml:space="preserve"> </w:t>
      </w:r>
      <w:r w:rsidR="00D9258C" w:rsidRPr="00FD6A6A">
        <w:t>Quilombola</w:t>
      </w:r>
      <w:r w:rsidR="00541D05">
        <w:t xml:space="preserve"> </w:t>
      </w:r>
      <w:r w:rsidR="00D9258C" w:rsidRPr="00FD6A6A">
        <w:t>lands</w:t>
      </w:r>
      <w:r w:rsidR="00541D05">
        <w:t xml:space="preserve"> </w:t>
      </w:r>
      <w:r w:rsidR="00D9258C" w:rsidRPr="00FD6A6A">
        <w:t>and</w:t>
      </w:r>
      <w:r w:rsidR="00541D05">
        <w:t xml:space="preserve"> </w:t>
      </w:r>
      <w:r w:rsidR="00D9258C" w:rsidRPr="00FD6A6A">
        <w:t>territories.</w:t>
      </w:r>
    </w:p>
    <w:p w14:paraId="4280EDBE" w14:textId="7B466AFF" w:rsidR="00D9258C" w:rsidRPr="00FD6A6A" w:rsidRDefault="00166390" w:rsidP="00166390">
      <w:pPr>
        <w:pStyle w:val="ParaNoG"/>
        <w:numPr>
          <w:ilvl w:val="0"/>
          <w:numId w:val="0"/>
        </w:numPr>
        <w:tabs>
          <w:tab w:val="left" w:pos="0"/>
        </w:tabs>
        <w:ind w:left="1134"/>
      </w:pPr>
      <w:r w:rsidRPr="00FD6A6A">
        <w:t>132.</w:t>
      </w:r>
      <w:r w:rsidRPr="00FD6A6A">
        <w:tab/>
      </w:r>
      <w:r w:rsidR="00D9258C" w:rsidRPr="00FD6A6A">
        <w:t>Art.</w:t>
      </w:r>
      <w:r w:rsidR="00541D05">
        <w:t xml:space="preserve"> </w:t>
      </w:r>
      <w:r w:rsidR="00D9258C" w:rsidRPr="00FD6A6A">
        <w:t>68</w:t>
      </w:r>
      <w:r w:rsidR="00541D05">
        <w:t xml:space="preserve"> </w:t>
      </w:r>
      <w:r w:rsidR="00D9258C" w:rsidRPr="00FD6A6A">
        <w:t>of</w:t>
      </w:r>
      <w:r w:rsidR="00541D05">
        <w:t xml:space="preserve"> </w:t>
      </w:r>
      <w:r w:rsidR="00D9258C" w:rsidRPr="00FD6A6A">
        <w:t>the</w:t>
      </w:r>
      <w:r w:rsidR="00541D05">
        <w:t xml:space="preserve"> </w:t>
      </w:r>
      <w:r w:rsidR="00D9258C" w:rsidRPr="00FD6A6A">
        <w:t>Temporary</w:t>
      </w:r>
      <w:r w:rsidR="00541D05">
        <w:t xml:space="preserve"> </w:t>
      </w:r>
      <w:r w:rsidR="00D9258C" w:rsidRPr="00FD6A6A">
        <w:t>Constitutional</w:t>
      </w:r>
      <w:r w:rsidR="00541D05">
        <w:t xml:space="preserve"> </w:t>
      </w:r>
      <w:r w:rsidR="00D9258C" w:rsidRPr="00FD6A6A">
        <w:t>Provisions</w:t>
      </w:r>
      <w:r w:rsidR="00541D05">
        <w:t xml:space="preserve"> </w:t>
      </w:r>
      <w:r w:rsidR="00D9258C" w:rsidRPr="00FD6A6A">
        <w:t>Act</w:t>
      </w:r>
      <w:r w:rsidR="00541D05">
        <w:t xml:space="preserve"> </w:t>
      </w:r>
      <w:r w:rsidR="00D9258C" w:rsidRPr="00FD6A6A">
        <w:t>(ADCT)</w:t>
      </w:r>
      <w:r w:rsidR="00541D05">
        <w:t xml:space="preserve"> </w:t>
      </w:r>
      <w:r w:rsidR="00D9258C" w:rsidRPr="00FD6A6A">
        <w:t>sets</w:t>
      </w:r>
      <w:r w:rsidR="00541D05">
        <w:t xml:space="preserve"> </w:t>
      </w:r>
      <w:r w:rsidR="00D9258C" w:rsidRPr="00FD6A6A">
        <w:t>forth</w:t>
      </w:r>
      <w:r w:rsidR="00541D05">
        <w:t xml:space="preserve"> </w:t>
      </w:r>
      <w:r w:rsidR="00D9258C" w:rsidRPr="00FD6A6A">
        <w:t>that</w:t>
      </w:r>
      <w:r w:rsidR="00541D05">
        <w:t xml:space="preserve"> </w:t>
      </w:r>
      <w:r w:rsidR="00EA62F1">
        <w:t>“</w:t>
      </w:r>
      <w:r w:rsidR="00D9258C" w:rsidRPr="00FD6A6A">
        <w:t>individuals</w:t>
      </w:r>
      <w:r w:rsidR="00541D05">
        <w:t xml:space="preserve"> </w:t>
      </w:r>
      <w:r w:rsidR="00D9258C" w:rsidRPr="00FD6A6A">
        <w:t>with</w:t>
      </w:r>
      <w:r w:rsidR="00541D05">
        <w:t xml:space="preserve"> </w:t>
      </w:r>
      <w:r w:rsidR="00D9258C" w:rsidRPr="00FD6A6A">
        <w:t>Quilombola</w:t>
      </w:r>
      <w:r w:rsidR="00541D05">
        <w:t xml:space="preserve"> </w:t>
      </w:r>
      <w:r w:rsidR="00D9258C" w:rsidRPr="00FD6A6A">
        <w:t>origins</w:t>
      </w:r>
      <w:r w:rsidR="00541D05">
        <w:t xml:space="preserve"> </w:t>
      </w:r>
      <w:r w:rsidR="00D9258C" w:rsidRPr="00FD6A6A">
        <w:t>occupying</w:t>
      </w:r>
      <w:r w:rsidR="00541D05">
        <w:t xml:space="preserve"> </w:t>
      </w:r>
      <w:r w:rsidR="00D9258C" w:rsidRPr="00FD6A6A">
        <w:t>their</w:t>
      </w:r>
      <w:r w:rsidR="00541D05">
        <w:t xml:space="preserve"> </w:t>
      </w:r>
      <w:r w:rsidR="00D9258C" w:rsidRPr="00FD6A6A">
        <w:t>lands</w:t>
      </w:r>
      <w:r w:rsidR="00541D05">
        <w:t xml:space="preserve"> </w:t>
      </w:r>
      <w:r w:rsidR="00D9258C" w:rsidRPr="00FD6A6A">
        <w:t>shall</w:t>
      </w:r>
      <w:r w:rsidR="00541D05">
        <w:t xml:space="preserve"> </w:t>
      </w:r>
      <w:r w:rsidR="00D9258C" w:rsidRPr="00FD6A6A">
        <w:t>be</w:t>
      </w:r>
      <w:r w:rsidR="00541D05">
        <w:t xml:space="preserve"> </w:t>
      </w:r>
      <w:r w:rsidR="00D9258C" w:rsidRPr="00FD6A6A">
        <w:t>granted</w:t>
      </w:r>
      <w:r w:rsidR="00541D05">
        <w:t xml:space="preserve"> </w:t>
      </w:r>
      <w:r w:rsidR="00D9258C" w:rsidRPr="00FD6A6A">
        <w:t>permanent</w:t>
      </w:r>
      <w:r w:rsidR="00541D05">
        <w:t xml:space="preserve"> </w:t>
      </w:r>
      <w:r w:rsidR="00D9258C" w:rsidRPr="00FD6A6A">
        <w:t>ownership</w:t>
      </w:r>
      <w:r w:rsidR="00EA62F1">
        <w:t>”</w:t>
      </w:r>
      <w:r w:rsidR="00D9258C" w:rsidRPr="00FD6A6A">
        <w:t>.</w:t>
      </w:r>
      <w:r w:rsidR="00541D05">
        <w:t xml:space="preserve"> </w:t>
      </w:r>
      <w:r w:rsidR="00D9258C" w:rsidRPr="00FD6A6A">
        <w:t>The</w:t>
      </w:r>
      <w:r w:rsidR="00541D05">
        <w:t xml:space="preserve"> </w:t>
      </w:r>
      <w:r w:rsidR="00D9258C" w:rsidRPr="00FD6A6A">
        <w:t>Government</w:t>
      </w:r>
      <w:r w:rsidR="00541D05">
        <w:t xml:space="preserve"> </w:t>
      </w:r>
      <w:r w:rsidR="00D9258C" w:rsidRPr="00FD6A6A">
        <w:t>is</w:t>
      </w:r>
      <w:r w:rsidR="00541D05">
        <w:t xml:space="preserve"> </w:t>
      </w:r>
      <w:r w:rsidR="00D9258C" w:rsidRPr="00FD6A6A">
        <w:t>required</w:t>
      </w:r>
      <w:r w:rsidR="00541D05">
        <w:t xml:space="preserve"> </w:t>
      </w:r>
      <w:r w:rsidR="00D9258C" w:rsidRPr="00FD6A6A">
        <w:t>to</w:t>
      </w:r>
      <w:r w:rsidR="00541D05">
        <w:t xml:space="preserve"> </w:t>
      </w:r>
      <w:r w:rsidR="00D9258C" w:rsidRPr="00FD6A6A">
        <w:t>ensure</w:t>
      </w:r>
      <w:r w:rsidR="00541D05">
        <w:t xml:space="preserve"> </w:t>
      </w:r>
      <w:r w:rsidR="00D9258C" w:rsidRPr="00FD6A6A">
        <w:t>social</w:t>
      </w:r>
      <w:r w:rsidR="00541D05">
        <w:t xml:space="preserve"> </w:t>
      </w:r>
      <w:r w:rsidR="00D9258C" w:rsidRPr="00FD6A6A">
        <w:t>reproduction</w:t>
      </w:r>
      <w:r w:rsidR="00541D05">
        <w:t xml:space="preserve"> </w:t>
      </w:r>
      <w:r w:rsidR="00D9258C" w:rsidRPr="00FD6A6A">
        <w:t>of</w:t>
      </w:r>
      <w:r w:rsidR="00541D05">
        <w:t xml:space="preserve"> </w:t>
      </w:r>
      <w:r w:rsidR="00D9258C" w:rsidRPr="00FD6A6A">
        <w:t>groups</w:t>
      </w:r>
      <w:r w:rsidR="00541D05">
        <w:t xml:space="preserve"> </w:t>
      </w:r>
      <w:r w:rsidR="00D9258C" w:rsidRPr="00FD6A6A">
        <w:t>occupying</w:t>
      </w:r>
      <w:r w:rsidR="00541D05">
        <w:t xml:space="preserve"> </w:t>
      </w:r>
      <w:r w:rsidR="00D9258C" w:rsidRPr="00FD6A6A">
        <w:t>communities</w:t>
      </w:r>
      <w:r w:rsidR="00541D05">
        <w:t xml:space="preserve"> </w:t>
      </w:r>
      <w:r w:rsidR="00D9258C" w:rsidRPr="00FD6A6A">
        <w:t>identified</w:t>
      </w:r>
      <w:r w:rsidR="00541D05">
        <w:t xml:space="preserve"> </w:t>
      </w:r>
      <w:r w:rsidR="00D9258C" w:rsidRPr="00FD6A6A">
        <w:t>by</w:t>
      </w:r>
      <w:r w:rsidR="00541D05">
        <w:t xml:space="preserve"> </w:t>
      </w:r>
      <w:r w:rsidR="00D9258C" w:rsidRPr="00FD6A6A">
        <w:t>their</w:t>
      </w:r>
      <w:r w:rsidR="00541D05">
        <w:t xml:space="preserve"> </w:t>
      </w:r>
      <w:r w:rsidR="00D9258C" w:rsidRPr="00FD6A6A">
        <w:t>lifestyle</w:t>
      </w:r>
      <w:r w:rsidR="00541D05">
        <w:t xml:space="preserve"> </w:t>
      </w:r>
      <w:r w:rsidR="00D9258C" w:rsidRPr="00FD6A6A">
        <w:t>expressed</w:t>
      </w:r>
      <w:r w:rsidR="00541D05">
        <w:t xml:space="preserve"> </w:t>
      </w:r>
      <w:r w:rsidR="00D9258C" w:rsidRPr="00FD6A6A">
        <w:t>not</w:t>
      </w:r>
      <w:r w:rsidR="00541D05">
        <w:t xml:space="preserve"> </w:t>
      </w:r>
      <w:r w:rsidR="00D9258C" w:rsidRPr="00FD6A6A">
        <w:t>only</w:t>
      </w:r>
      <w:r w:rsidR="00541D05">
        <w:t xml:space="preserve"> </w:t>
      </w:r>
      <w:r w:rsidR="00D9258C" w:rsidRPr="00FD6A6A">
        <w:t>through</w:t>
      </w:r>
      <w:r w:rsidR="00541D05">
        <w:t xml:space="preserve"> </w:t>
      </w:r>
      <w:r w:rsidR="00D9258C" w:rsidRPr="00FD6A6A">
        <w:t>the</w:t>
      </w:r>
      <w:r w:rsidR="00541D05">
        <w:t xml:space="preserve"> </w:t>
      </w:r>
      <w:r w:rsidR="00D9258C" w:rsidRPr="00FD6A6A">
        <w:t>way</w:t>
      </w:r>
      <w:r w:rsidR="00541D05">
        <w:t xml:space="preserve"> </w:t>
      </w:r>
      <w:r w:rsidR="00D9258C" w:rsidRPr="00FD6A6A">
        <w:t>they</w:t>
      </w:r>
      <w:r w:rsidR="00541D05">
        <w:t xml:space="preserve"> </w:t>
      </w:r>
      <w:r w:rsidR="00D9258C" w:rsidRPr="00FD6A6A">
        <w:t>relate</w:t>
      </w:r>
      <w:r w:rsidR="00541D05">
        <w:t xml:space="preserve"> </w:t>
      </w:r>
      <w:r w:rsidR="00D9258C" w:rsidRPr="00FD6A6A">
        <w:t>to</w:t>
      </w:r>
      <w:r w:rsidR="00541D05">
        <w:t xml:space="preserve"> </w:t>
      </w:r>
      <w:r w:rsidR="00D9258C" w:rsidRPr="00FD6A6A">
        <w:t>the</w:t>
      </w:r>
      <w:r w:rsidR="00541D05">
        <w:t xml:space="preserve"> </w:t>
      </w:r>
      <w:r w:rsidR="00D9258C" w:rsidRPr="00FD6A6A">
        <w:t>land</w:t>
      </w:r>
      <w:r w:rsidR="00541D05">
        <w:t xml:space="preserve"> </w:t>
      </w:r>
      <w:r w:rsidR="00D9258C" w:rsidRPr="00FD6A6A">
        <w:t>but</w:t>
      </w:r>
      <w:r w:rsidR="00541D05">
        <w:t xml:space="preserve"> </w:t>
      </w:r>
      <w:r w:rsidR="00D9258C" w:rsidRPr="00FD6A6A">
        <w:t>also</w:t>
      </w:r>
      <w:r w:rsidR="00541D05">
        <w:t xml:space="preserve"> </w:t>
      </w:r>
      <w:r w:rsidR="00D9258C" w:rsidRPr="00FD6A6A">
        <w:t>through</w:t>
      </w:r>
      <w:r w:rsidR="00541D05">
        <w:t xml:space="preserve"> </w:t>
      </w:r>
      <w:r w:rsidR="00D9258C" w:rsidRPr="00FD6A6A">
        <w:t>elements</w:t>
      </w:r>
      <w:r w:rsidR="00541D05">
        <w:t xml:space="preserve"> </w:t>
      </w:r>
      <w:r w:rsidR="00D9258C" w:rsidRPr="00FD6A6A">
        <w:t>that</w:t>
      </w:r>
      <w:r w:rsidR="00541D05">
        <w:t xml:space="preserve"> </w:t>
      </w:r>
      <w:r w:rsidR="00D9258C" w:rsidRPr="00FD6A6A">
        <w:t>concretize</w:t>
      </w:r>
      <w:r w:rsidR="00541D05">
        <w:t xml:space="preserve"> </w:t>
      </w:r>
      <w:r w:rsidR="00D9258C" w:rsidRPr="00FD6A6A">
        <w:t>the</w:t>
      </w:r>
      <w:r w:rsidR="00541D05">
        <w:t xml:space="preserve"> </w:t>
      </w:r>
      <w:r w:rsidR="00D9258C" w:rsidRPr="00FD6A6A">
        <w:t>sense</w:t>
      </w:r>
      <w:r w:rsidR="00541D05">
        <w:t xml:space="preserve"> </w:t>
      </w:r>
      <w:r w:rsidR="00D9258C" w:rsidRPr="00FD6A6A">
        <w:t>of</w:t>
      </w:r>
      <w:r w:rsidR="00541D05">
        <w:t xml:space="preserve"> </w:t>
      </w:r>
      <w:r w:rsidR="00D9258C" w:rsidRPr="00FD6A6A">
        <w:t>belonging</w:t>
      </w:r>
      <w:r w:rsidR="00541D05">
        <w:t xml:space="preserve"> </w:t>
      </w:r>
      <w:r w:rsidR="00D9258C" w:rsidRPr="00FD6A6A">
        <w:t>of</w:t>
      </w:r>
      <w:r w:rsidR="00541D05">
        <w:t xml:space="preserve"> </w:t>
      </w:r>
      <w:r w:rsidR="00D9258C" w:rsidRPr="00FD6A6A">
        <w:t>a</w:t>
      </w:r>
      <w:r w:rsidR="00541D05">
        <w:t xml:space="preserve"> </w:t>
      </w:r>
      <w:r w:rsidR="00D9258C" w:rsidRPr="00FD6A6A">
        <w:t>specific</w:t>
      </w:r>
      <w:r w:rsidR="00541D05">
        <w:t xml:space="preserve"> </w:t>
      </w:r>
      <w:r w:rsidR="00D9258C" w:rsidRPr="00FD6A6A">
        <w:t>group.</w:t>
      </w:r>
      <w:r w:rsidR="00541D05">
        <w:t xml:space="preserve"> </w:t>
      </w:r>
      <w:r w:rsidR="00D9258C" w:rsidRPr="00FD6A6A">
        <w:t>The</w:t>
      </w:r>
      <w:r w:rsidR="00541D05">
        <w:t xml:space="preserve"> </w:t>
      </w:r>
      <w:r w:rsidR="00D9258C" w:rsidRPr="00FD6A6A">
        <w:t>forms</w:t>
      </w:r>
      <w:r w:rsidR="00541D05">
        <w:t xml:space="preserve"> </w:t>
      </w:r>
      <w:r w:rsidR="00D9258C" w:rsidRPr="00FD6A6A">
        <w:t>of</w:t>
      </w:r>
      <w:r w:rsidR="00541D05">
        <w:t xml:space="preserve"> </w:t>
      </w:r>
      <w:r w:rsidR="00D9258C" w:rsidRPr="00FD6A6A">
        <w:t>land</w:t>
      </w:r>
      <w:r w:rsidR="00541D05">
        <w:t xml:space="preserve"> </w:t>
      </w:r>
      <w:r w:rsidR="00D9258C" w:rsidRPr="00FD6A6A">
        <w:t>appropriation</w:t>
      </w:r>
      <w:r w:rsidR="00541D05">
        <w:t xml:space="preserve"> </w:t>
      </w:r>
      <w:r w:rsidR="00D9258C" w:rsidRPr="00FD6A6A">
        <w:t>are</w:t>
      </w:r>
      <w:r w:rsidR="00541D05">
        <w:t xml:space="preserve"> </w:t>
      </w:r>
      <w:r w:rsidR="00D9258C" w:rsidRPr="00FD6A6A">
        <w:t>through</w:t>
      </w:r>
      <w:r w:rsidR="00541D05">
        <w:t xml:space="preserve"> </w:t>
      </w:r>
      <w:r w:rsidR="00D9258C" w:rsidRPr="00FD6A6A">
        <w:t>collective,</w:t>
      </w:r>
      <w:r w:rsidR="00541D05">
        <w:t xml:space="preserve"> </w:t>
      </w:r>
      <w:r w:rsidR="00D9258C" w:rsidRPr="00FD6A6A">
        <w:t>individual,</w:t>
      </w:r>
      <w:r w:rsidR="00541D05">
        <w:t xml:space="preserve"> </w:t>
      </w:r>
      <w:r w:rsidR="00D9258C" w:rsidRPr="00FD6A6A">
        <w:t>or</w:t>
      </w:r>
      <w:r w:rsidR="00541D05">
        <w:t xml:space="preserve"> </w:t>
      </w:r>
      <w:r w:rsidR="00D9258C" w:rsidRPr="00FD6A6A">
        <w:t>mixed</w:t>
      </w:r>
      <w:r w:rsidR="00541D05">
        <w:t xml:space="preserve"> </w:t>
      </w:r>
      <w:r w:rsidR="00D9258C" w:rsidRPr="00FD6A6A">
        <w:t>occupancies.</w:t>
      </w:r>
    </w:p>
    <w:p w14:paraId="672D6FFB" w14:textId="4AFA3169" w:rsidR="00D9258C" w:rsidRPr="00FD6A6A" w:rsidRDefault="00166390" w:rsidP="00166390">
      <w:pPr>
        <w:pStyle w:val="ParaNoG"/>
        <w:numPr>
          <w:ilvl w:val="0"/>
          <w:numId w:val="0"/>
        </w:numPr>
        <w:tabs>
          <w:tab w:val="left" w:pos="0"/>
        </w:tabs>
        <w:ind w:left="1134"/>
      </w:pPr>
      <w:r w:rsidRPr="00FD6A6A">
        <w:t>133.</w:t>
      </w:r>
      <w:r w:rsidRPr="00FD6A6A">
        <w:tab/>
      </w:r>
      <w:r w:rsidR="00D9258C" w:rsidRPr="00FD6A6A">
        <w:t>Access</w:t>
      </w:r>
      <w:r w:rsidR="00541D05">
        <w:t xml:space="preserve"> </w:t>
      </w:r>
      <w:r w:rsidR="00D9258C" w:rsidRPr="00FD6A6A">
        <w:t>to</w:t>
      </w:r>
      <w:r w:rsidR="00541D05">
        <w:t xml:space="preserve"> </w:t>
      </w:r>
      <w:r w:rsidR="00D9258C" w:rsidRPr="00FD6A6A">
        <w:t>land</w:t>
      </w:r>
      <w:r w:rsidR="00541D05">
        <w:t xml:space="preserve"> </w:t>
      </w:r>
      <w:r w:rsidR="00D9258C" w:rsidRPr="00FD6A6A">
        <w:t>is</w:t>
      </w:r>
      <w:r w:rsidR="00541D05">
        <w:t xml:space="preserve"> </w:t>
      </w:r>
      <w:r w:rsidR="00D9258C" w:rsidRPr="00FD6A6A">
        <w:t>ensured</w:t>
      </w:r>
      <w:r w:rsidR="00541D05">
        <w:t xml:space="preserve"> </w:t>
      </w:r>
      <w:r w:rsidR="00D9258C" w:rsidRPr="00FD6A6A">
        <w:t>through</w:t>
      </w:r>
      <w:r w:rsidR="00541D05">
        <w:t xml:space="preserve"> </w:t>
      </w:r>
      <w:r w:rsidR="00D9258C" w:rsidRPr="00FD6A6A">
        <w:t>a</w:t>
      </w:r>
      <w:r w:rsidR="00541D05">
        <w:t xml:space="preserve"> </w:t>
      </w:r>
      <w:r w:rsidR="00D9258C" w:rsidRPr="00FD6A6A">
        <w:t>policy</w:t>
      </w:r>
      <w:r w:rsidR="00541D05">
        <w:t xml:space="preserve"> </w:t>
      </w:r>
      <w:r w:rsidR="00D9258C" w:rsidRPr="00FD6A6A">
        <w:t>of</w:t>
      </w:r>
      <w:r w:rsidR="00541D05">
        <w:t xml:space="preserve"> </w:t>
      </w:r>
      <w:r w:rsidR="00D9258C" w:rsidRPr="00FD6A6A">
        <w:t>land</w:t>
      </w:r>
      <w:r w:rsidR="00541D05">
        <w:t xml:space="preserve"> </w:t>
      </w:r>
      <w:r w:rsidR="00D9258C" w:rsidRPr="00FD6A6A">
        <w:t>regularization</w:t>
      </w:r>
      <w:r w:rsidR="00541D05">
        <w:t xml:space="preserve"> </w:t>
      </w:r>
      <w:r w:rsidR="00D9258C" w:rsidRPr="00FD6A6A">
        <w:t>governed</w:t>
      </w:r>
      <w:r w:rsidR="00541D05">
        <w:t xml:space="preserve"> </w:t>
      </w:r>
      <w:r w:rsidR="00D9258C" w:rsidRPr="00FD6A6A">
        <w:t>by</w:t>
      </w:r>
      <w:r w:rsidR="00541D05">
        <w:t xml:space="preserve"> </w:t>
      </w:r>
      <w:r w:rsidR="00D9258C" w:rsidRPr="00FD6A6A">
        <w:t>Decree</w:t>
      </w:r>
      <w:r w:rsidR="00541D05">
        <w:t xml:space="preserve"> </w:t>
      </w:r>
      <w:r w:rsidR="00D9258C" w:rsidRPr="00FD6A6A">
        <w:t>No.</w:t>
      </w:r>
      <w:r w:rsidR="00541D05">
        <w:t xml:space="preserve"> </w:t>
      </w:r>
      <w:r w:rsidR="00D9258C" w:rsidRPr="00FD6A6A">
        <w:t>4,887/2003.</w:t>
      </w:r>
      <w:r w:rsidR="00541D05">
        <w:t xml:space="preserve"> </w:t>
      </w:r>
      <w:r w:rsidR="00D9258C" w:rsidRPr="00FD6A6A">
        <w:t>Such</w:t>
      </w:r>
      <w:r w:rsidR="00541D05">
        <w:t xml:space="preserve"> </w:t>
      </w:r>
      <w:r w:rsidR="00D9258C" w:rsidRPr="00FD6A6A">
        <w:t>decree</w:t>
      </w:r>
      <w:r w:rsidR="00541D05">
        <w:t xml:space="preserve"> </w:t>
      </w:r>
      <w:r w:rsidR="00D9258C" w:rsidRPr="00FD6A6A">
        <w:t>sets</w:t>
      </w:r>
      <w:r w:rsidR="00541D05">
        <w:t xml:space="preserve"> </w:t>
      </w:r>
      <w:r w:rsidR="00D9258C" w:rsidRPr="00FD6A6A">
        <w:t>forth</w:t>
      </w:r>
      <w:r w:rsidR="00541D05">
        <w:t xml:space="preserve"> </w:t>
      </w:r>
      <w:r w:rsidR="00D9258C" w:rsidRPr="00FD6A6A">
        <w:t>the</w:t>
      </w:r>
      <w:r w:rsidR="00541D05">
        <w:t xml:space="preserve"> </w:t>
      </w:r>
      <w:r w:rsidR="00D9258C" w:rsidRPr="00FD6A6A">
        <w:t>administrative</w:t>
      </w:r>
      <w:r w:rsidR="00541D05">
        <w:t xml:space="preserve"> </w:t>
      </w:r>
      <w:r w:rsidR="00D9258C" w:rsidRPr="00FD6A6A">
        <w:t>proceedings</w:t>
      </w:r>
      <w:r w:rsidR="00541D05">
        <w:t xml:space="preserve"> </w:t>
      </w:r>
      <w:r w:rsidR="00D9258C" w:rsidRPr="00FD6A6A">
        <w:t>through</w:t>
      </w:r>
      <w:r w:rsidR="00541D05">
        <w:t xml:space="preserve"> </w:t>
      </w:r>
      <w:r w:rsidR="00D9258C" w:rsidRPr="00FD6A6A">
        <w:t>which</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identifies,</w:t>
      </w:r>
      <w:r w:rsidR="00541D05">
        <w:t xml:space="preserve"> </w:t>
      </w:r>
      <w:r w:rsidR="00D9258C" w:rsidRPr="00FD6A6A">
        <w:t>recognizes,</w:t>
      </w:r>
      <w:r w:rsidR="00541D05">
        <w:t xml:space="preserve"> </w:t>
      </w:r>
      <w:r w:rsidR="00D9258C" w:rsidRPr="00FD6A6A">
        <w:t>delimits,</w:t>
      </w:r>
      <w:r w:rsidR="00541D05">
        <w:t xml:space="preserve"> </w:t>
      </w:r>
      <w:r w:rsidR="00D9258C" w:rsidRPr="00FD6A6A">
        <w:t>demarks,</w:t>
      </w:r>
      <w:r w:rsidR="00541D05">
        <w:t xml:space="preserve"> </w:t>
      </w:r>
      <w:r w:rsidR="00D9258C" w:rsidRPr="00FD6A6A">
        <w:t>and</w:t>
      </w:r>
      <w:r w:rsidR="00541D05">
        <w:t xml:space="preserve"> </w:t>
      </w:r>
      <w:r w:rsidR="00D9258C" w:rsidRPr="00FD6A6A">
        <w:t>provides</w:t>
      </w:r>
      <w:r w:rsidR="00541D05">
        <w:t xml:space="preserve"> </w:t>
      </w:r>
      <w:r w:rsidR="00D9258C" w:rsidRPr="00FD6A6A">
        <w:t>ownership</w:t>
      </w:r>
      <w:r w:rsidR="00541D05">
        <w:t xml:space="preserve"> </w:t>
      </w:r>
      <w:r w:rsidR="00D9258C" w:rsidRPr="00FD6A6A">
        <w:t>of</w:t>
      </w:r>
      <w:r w:rsidR="00541D05">
        <w:t xml:space="preserve"> </w:t>
      </w:r>
      <w:r w:rsidR="00D9258C" w:rsidRPr="00FD6A6A">
        <w:t>lands</w:t>
      </w:r>
      <w:r w:rsidR="00541D05">
        <w:t xml:space="preserve"> </w:t>
      </w:r>
      <w:r w:rsidR="00D9258C" w:rsidRPr="00FD6A6A">
        <w:t>occupied</w:t>
      </w:r>
      <w:r w:rsidR="00541D05">
        <w:t xml:space="preserve"> </w:t>
      </w:r>
      <w:r w:rsidR="00D9258C" w:rsidRPr="00FD6A6A">
        <w:t>by</w:t>
      </w:r>
      <w:r w:rsidR="00541D05">
        <w:t xml:space="preserve"> </w:t>
      </w:r>
      <w:r w:rsidR="00D9258C" w:rsidRPr="00FD6A6A">
        <w:t>individuals</w:t>
      </w:r>
      <w:r w:rsidR="00541D05">
        <w:t xml:space="preserve"> </w:t>
      </w:r>
      <w:r w:rsidR="00D9258C" w:rsidRPr="00FD6A6A">
        <w:t>with</w:t>
      </w:r>
      <w:r w:rsidR="00541D05">
        <w:t xml:space="preserve"> </w:t>
      </w:r>
      <w:r w:rsidR="00D9258C" w:rsidRPr="00FD6A6A">
        <w:t>Quilombola</w:t>
      </w:r>
      <w:r w:rsidR="00541D05">
        <w:t xml:space="preserve"> </w:t>
      </w:r>
      <w:r w:rsidR="00D9258C" w:rsidRPr="00FD6A6A">
        <w:t>origins,</w:t>
      </w:r>
      <w:r w:rsidR="00541D05">
        <w:t xml:space="preserve"> </w:t>
      </w:r>
      <w:r w:rsidR="00D9258C" w:rsidRPr="00FD6A6A">
        <w:t>pursuant</w:t>
      </w:r>
      <w:r w:rsidR="00541D05">
        <w:t xml:space="preserve"> </w:t>
      </w:r>
      <w:r w:rsidR="00D9258C" w:rsidRPr="00FD6A6A">
        <w:t>to</w:t>
      </w:r>
      <w:r w:rsidR="00541D05">
        <w:t xml:space="preserve"> </w:t>
      </w:r>
      <w:r w:rsidR="00D9258C" w:rsidRPr="00FD6A6A">
        <w:t>the</w:t>
      </w:r>
      <w:r w:rsidR="00541D05">
        <w:t xml:space="preserve"> </w:t>
      </w:r>
      <w:r w:rsidR="00D9258C" w:rsidRPr="00FD6A6A">
        <w:t>Brazilian</w:t>
      </w:r>
      <w:r w:rsidR="00541D05">
        <w:t xml:space="preserve"> </w:t>
      </w:r>
      <w:r w:rsidR="00D9258C" w:rsidRPr="00FD6A6A">
        <w:t>Federal</w:t>
      </w:r>
      <w:r w:rsidR="00541D05">
        <w:t xml:space="preserve"> </w:t>
      </w:r>
      <w:r w:rsidR="00D9258C" w:rsidRPr="00FD6A6A">
        <w:t>Constitution</w:t>
      </w:r>
      <w:r w:rsidR="00541D05">
        <w:t xml:space="preserve"> </w:t>
      </w:r>
      <w:r w:rsidR="00D9258C" w:rsidRPr="00FD6A6A">
        <w:t>of</w:t>
      </w:r>
      <w:r w:rsidR="00541D05">
        <w:t xml:space="preserve"> </w:t>
      </w:r>
      <w:r w:rsidR="00D9258C" w:rsidRPr="00FD6A6A">
        <w:t>1988.</w:t>
      </w:r>
      <w:r w:rsidR="00541D05">
        <w:t xml:space="preserve"> </w:t>
      </w:r>
      <w:r w:rsidR="00D9258C" w:rsidRPr="00FD6A6A">
        <w:t>Supported</w:t>
      </w:r>
      <w:r w:rsidR="00541D05">
        <w:t xml:space="preserve"> </w:t>
      </w:r>
      <w:r w:rsidR="00D9258C" w:rsidRPr="00FD6A6A">
        <w:t>by</w:t>
      </w:r>
      <w:r w:rsidR="00541D05">
        <w:t xml:space="preserve"> </w:t>
      </w:r>
      <w:r w:rsidR="00D9258C" w:rsidRPr="00FD6A6A">
        <w:t>Convention</w:t>
      </w:r>
      <w:r w:rsidR="00541D05">
        <w:t xml:space="preserve"> </w:t>
      </w:r>
      <w:r w:rsidR="00D9258C" w:rsidRPr="00FD6A6A">
        <w:t>No.</w:t>
      </w:r>
      <w:r w:rsidR="00541D05">
        <w:t xml:space="preserve"> </w:t>
      </w:r>
      <w:r w:rsidR="00D9258C" w:rsidRPr="00FD6A6A">
        <w:t>169</w:t>
      </w:r>
      <w:r w:rsidR="00541D05">
        <w:t xml:space="preserve"> </w:t>
      </w:r>
      <w:r w:rsidR="00D9258C" w:rsidRPr="00FD6A6A">
        <w:t>of</w:t>
      </w:r>
      <w:r w:rsidR="00541D05">
        <w:t xml:space="preserve"> </w:t>
      </w:r>
      <w:r w:rsidR="00D9258C" w:rsidRPr="00FD6A6A">
        <w:t>the</w:t>
      </w:r>
      <w:r w:rsidR="00541D05">
        <w:t xml:space="preserve"> </w:t>
      </w:r>
      <w:r w:rsidR="00D9258C" w:rsidRPr="00FD6A6A">
        <w:t>International</w:t>
      </w:r>
      <w:r w:rsidR="00541D05">
        <w:t xml:space="preserve"> </w:t>
      </w:r>
      <w:r w:rsidR="00D9258C" w:rsidRPr="00FD6A6A">
        <w:t>Labor</w:t>
      </w:r>
      <w:r w:rsidR="00541D05">
        <w:t xml:space="preserve"> </w:t>
      </w:r>
      <w:r w:rsidR="00D9258C" w:rsidRPr="00FD6A6A">
        <w:t>Organization</w:t>
      </w:r>
      <w:r w:rsidR="00541D05">
        <w:t xml:space="preserve"> </w:t>
      </w:r>
      <w:r w:rsidR="00D9258C" w:rsidRPr="00FD6A6A">
        <w:t>–</w:t>
      </w:r>
      <w:r w:rsidR="00541D05">
        <w:t xml:space="preserve"> </w:t>
      </w:r>
      <w:r w:rsidR="00D9258C" w:rsidRPr="00FD6A6A">
        <w:t>ILO,</w:t>
      </w:r>
      <w:r w:rsidR="00541D05">
        <w:t xml:space="preserve"> </w:t>
      </w:r>
      <w:r w:rsidR="00D9258C" w:rsidRPr="00FD6A6A">
        <w:t>the</w:t>
      </w:r>
      <w:r w:rsidR="00541D05">
        <w:t xml:space="preserve"> </w:t>
      </w:r>
      <w:r w:rsidR="00D9258C" w:rsidRPr="00FD6A6A">
        <w:t>decree</w:t>
      </w:r>
      <w:r w:rsidR="00541D05">
        <w:t xml:space="preserve"> </w:t>
      </w:r>
      <w:r w:rsidR="00D9258C" w:rsidRPr="00FD6A6A">
        <w:t>establishes</w:t>
      </w:r>
      <w:r w:rsidR="00541D05">
        <w:t xml:space="preserve"> </w:t>
      </w:r>
      <w:r w:rsidR="00D9258C" w:rsidRPr="00FD6A6A">
        <w:t>that</w:t>
      </w:r>
      <w:r w:rsidR="00541D05">
        <w:t xml:space="preserve"> </w:t>
      </w:r>
      <w:r w:rsidR="00D9258C" w:rsidRPr="00FD6A6A">
        <w:t>self-determination</w:t>
      </w:r>
      <w:r w:rsidR="00541D05">
        <w:t xml:space="preserve"> </w:t>
      </w:r>
      <w:r w:rsidR="00D9258C" w:rsidRPr="00FD6A6A">
        <w:t>is</w:t>
      </w:r>
      <w:r w:rsidR="00541D05">
        <w:t xml:space="preserve"> </w:t>
      </w:r>
      <w:r w:rsidR="00D9258C" w:rsidRPr="00FD6A6A">
        <w:t>the</w:t>
      </w:r>
      <w:r w:rsidR="00541D05">
        <w:t xml:space="preserve"> </w:t>
      </w:r>
      <w:r w:rsidR="00D9258C" w:rsidRPr="00FD6A6A">
        <w:t>criteria</w:t>
      </w:r>
      <w:r w:rsidR="00541D05">
        <w:t xml:space="preserve"> </w:t>
      </w:r>
      <w:r w:rsidR="00D9258C" w:rsidRPr="00FD6A6A">
        <w:t>to</w:t>
      </w:r>
      <w:r w:rsidR="00541D05">
        <w:t xml:space="preserve"> </w:t>
      </w:r>
      <w:r w:rsidR="00D9258C" w:rsidRPr="00FD6A6A">
        <w:t>identify</w:t>
      </w:r>
      <w:r w:rsidR="00541D05">
        <w:t xml:space="preserve"> </w:t>
      </w:r>
      <w:r w:rsidR="00D9258C" w:rsidRPr="00FD6A6A">
        <w:t>communities,</w:t>
      </w:r>
      <w:r w:rsidR="00541D05">
        <w:t xml:space="preserve"> </w:t>
      </w:r>
      <w:r w:rsidR="00D9258C" w:rsidRPr="00FD6A6A">
        <w:t>and</w:t>
      </w:r>
      <w:r w:rsidR="00541D05">
        <w:t xml:space="preserve"> </w:t>
      </w:r>
      <w:r w:rsidR="00D9258C" w:rsidRPr="00FD6A6A">
        <w:t>land</w:t>
      </w:r>
      <w:r w:rsidR="00541D05">
        <w:t xml:space="preserve"> </w:t>
      </w:r>
      <w:r w:rsidR="00D9258C" w:rsidRPr="00FD6A6A">
        <w:t>demarcation</w:t>
      </w:r>
      <w:r w:rsidR="00541D05">
        <w:t xml:space="preserve"> </w:t>
      </w:r>
      <w:r w:rsidR="00D9258C" w:rsidRPr="00FD6A6A">
        <w:t>shall</w:t>
      </w:r>
      <w:r w:rsidR="00541D05">
        <w:t xml:space="preserve"> </w:t>
      </w:r>
      <w:r w:rsidR="00D9258C" w:rsidRPr="00FD6A6A">
        <w:t>take</w:t>
      </w:r>
      <w:r w:rsidR="00541D05">
        <w:t xml:space="preserve"> </w:t>
      </w:r>
      <w:r w:rsidR="00D9258C" w:rsidRPr="00FD6A6A">
        <w:t>into</w:t>
      </w:r>
      <w:r w:rsidR="00541D05">
        <w:t xml:space="preserve"> </w:t>
      </w:r>
      <w:r w:rsidR="00D9258C" w:rsidRPr="00FD6A6A">
        <w:t>account</w:t>
      </w:r>
      <w:r w:rsidR="00541D05">
        <w:t xml:space="preserve"> </w:t>
      </w:r>
      <w:r w:rsidR="00D9258C" w:rsidRPr="00FD6A6A">
        <w:t>the</w:t>
      </w:r>
      <w:r w:rsidR="00541D05">
        <w:t xml:space="preserve"> </w:t>
      </w:r>
      <w:r w:rsidR="00D9258C" w:rsidRPr="00FD6A6A">
        <w:t>land</w:t>
      </w:r>
      <w:r w:rsidR="00541D05">
        <w:t xml:space="preserve"> </w:t>
      </w:r>
      <w:r w:rsidR="00D9258C" w:rsidRPr="00FD6A6A">
        <w:t>criteria</w:t>
      </w:r>
      <w:r w:rsidR="00541D05">
        <w:t xml:space="preserve"> </w:t>
      </w:r>
      <w:r w:rsidR="00D9258C" w:rsidRPr="00FD6A6A">
        <w:t>indicated</w:t>
      </w:r>
      <w:r w:rsidR="00541D05">
        <w:t xml:space="preserve"> </w:t>
      </w:r>
      <w:r w:rsidR="00D9258C" w:rsidRPr="00FD6A6A">
        <w:t>by</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which</w:t>
      </w:r>
      <w:r w:rsidR="00541D05">
        <w:t xml:space="preserve"> </w:t>
      </w:r>
      <w:r w:rsidR="00D9258C" w:rsidRPr="00FD6A6A">
        <w:t>may</w:t>
      </w:r>
      <w:r w:rsidR="00541D05">
        <w:t xml:space="preserve"> </w:t>
      </w:r>
      <w:r w:rsidR="00D9258C" w:rsidRPr="00FD6A6A">
        <w:t>or</w:t>
      </w:r>
      <w:r w:rsidR="00541D05">
        <w:t xml:space="preserve"> </w:t>
      </w:r>
      <w:r w:rsidR="00D9258C" w:rsidRPr="00FD6A6A">
        <w:t>may</w:t>
      </w:r>
      <w:r w:rsidR="00541D05">
        <w:t xml:space="preserve"> </w:t>
      </w:r>
      <w:r w:rsidR="00D9258C" w:rsidRPr="00FD6A6A">
        <w:t>not,</w:t>
      </w:r>
      <w:r w:rsidR="00541D05">
        <w:t xml:space="preserve"> </w:t>
      </w:r>
      <w:r w:rsidR="00D9258C" w:rsidRPr="00FD6A6A">
        <w:t>to</w:t>
      </w:r>
      <w:r w:rsidR="00541D05">
        <w:t xml:space="preserve"> </w:t>
      </w:r>
      <w:r w:rsidR="00D9258C" w:rsidRPr="00FD6A6A">
        <w:t>an</w:t>
      </w:r>
      <w:r w:rsidR="00541D05">
        <w:t xml:space="preserve"> </w:t>
      </w:r>
      <w:r w:rsidR="00D9258C" w:rsidRPr="00FD6A6A">
        <w:t>optional</w:t>
      </w:r>
      <w:r w:rsidR="00541D05">
        <w:t xml:space="preserve"> </w:t>
      </w:r>
      <w:r w:rsidR="00D9258C" w:rsidRPr="00FD6A6A">
        <w:t>basis,</w:t>
      </w:r>
      <w:r w:rsidR="00541D05">
        <w:t xml:space="preserve"> </w:t>
      </w:r>
      <w:r w:rsidR="00D9258C" w:rsidRPr="00FD6A6A">
        <w:t>present</w:t>
      </w:r>
      <w:r w:rsidR="00541D05">
        <w:t xml:space="preserve"> </w:t>
      </w:r>
      <w:r w:rsidR="00D9258C" w:rsidRPr="00FD6A6A">
        <w:t>technical</w:t>
      </w:r>
      <w:r w:rsidR="00541D05">
        <w:t xml:space="preserve"> </w:t>
      </w:r>
      <w:r w:rsidR="00D9258C" w:rsidRPr="00FD6A6A">
        <w:t>documents</w:t>
      </w:r>
      <w:r w:rsidR="00541D05">
        <w:t xml:space="preserve"> </w:t>
      </w:r>
      <w:r w:rsidR="00D9258C" w:rsidRPr="00FD6A6A">
        <w:t>to</w:t>
      </w:r>
      <w:r w:rsidR="00541D05">
        <w:t xml:space="preserve"> </w:t>
      </w:r>
      <w:r w:rsidR="00D9258C" w:rsidRPr="00FD6A6A">
        <w:t>support</w:t>
      </w:r>
      <w:r w:rsidR="00541D05">
        <w:t xml:space="preserve"> </w:t>
      </w:r>
      <w:r w:rsidR="00D9258C" w:rsidRPr="00FD6A6A">
        <w:t>such</w:t>
      </w:r>
      <w:r w:rsidR="00541D05">
        <w:t xml:space="preserve"> </w:t>
      </w:r>
      <w:r w:rsidR="00D9258C" w:rsidRPr="00FD6A6A">
        <w:t>administrative</w:t>
      </w:r>
      <w:r w:rsidR="00541D05">
        <w:t xml:space="preserve"> </w:t>
      </w:r>
      <w:r w:rsidR="00D9258C" w:rsidRPr="00FD6A6A">
        <w:t>proceedings.</w:t>
      </w:r>
      <w:r w:rsidR="00541D05">
        <w:t xml:space="preserve"> </w:t>
      </w:r>
      <w:r w:rsidR="00D9258C" w:rsidRPr="00FD6A6A">
        <w:t>It</w:t>
      </w:r>
      <w:r w:rsidR="00541D05">
        <w:t xml:space="preserve"> </w:t>
      </w:r>
      <w:r w:rsidR="00D9258C" w:rsidRPr="00FD6A6A">
        <w:t>also</w:t>
      </w:r>
      <w:r w:rsidR="00541D05">
        <w:t xml:space="preserve"> </w:t>
      </w:r>
      <w:r w:rsidR="00D9258C" w:rsidRPr="00FD6A6A">
        <w:t>establishes</w:t>
      </w:r>
      <w:r w:rsidR="00541D05">
        <w:t xml:space="preserve"> </w:t>
      </w:r>
      <w:r w:rsidR="00D9258C" w:rsidRPr="00FD6A6A">
        <w:t>the</w:t>
      </w:r>
      <w:r w:rsidR="00541D05">
        <w:t xml:space="preserve"> </w:t>
      </w:r>
      <w:r w:rsidR="00D9258C" w:rsidRPr="00FD6A6A">
        <w:t>possibility</w:t>
      </w:r>
      <w:r w:rsidR="00541D05">
        <w:t xml:space="preserve"> </w:t>
      </w:r>
      <w:r w:rsidR="00D9258C" w:rsidRPr="00FD6A6A">
        <w:t>to</w:t>
      </w:r>
      <w:r w:rsidR="00541D05">
        <w:t xml:space="preserve"> </w:t>
      </w:r>
      <w:r w:rsidR="00D9258C" w:rsidRPr="00FD6A6A">
        <w:t>seize</w:t>
      </w:r>
      <w:r w:rsidR="00541D05">
        <w:t xml:space="preserve"> </w:t>
      </w:r>
      <w:r w:rsidR="00D9258C" w:rsidRPr="00FD6A6A">
        <w:t>properties</w:t>
      </w:r>
      <w:r w:rsidR="00541D05">
        <w:t xml:space="preserve"> </w:t>
      </w:r>
      <w:r w:rsidR="00D9258C" w:rsidRPr="00FD6A6A">
        <w:t>of</w:t>
      </w:r>
      <w:r w:rsidR="00541D05">
        <w:t xml:space="preserve"> </w:t>
      </w:r>
      <w:r w:rsidR="00D9258C" w:rsidRPr="00FD6A6A">
        <w:t>private</w:t>
      </w:r>
      <w:r w:rsidR="00541D05">
        <w:t xml:space="preserve"> </w:t>
      </w:r>
      <w:r w:rsidR="00D9258C" w:rsidRPr="00FD6A6A">
        <w:t>real</w:t>
      </w:r>
      <w:r w:rsidR="00541D05">
        <w:t xml:space="preserve"> </w:t>
      </w:r>
      <w:r w:rsidR="00D9258C" w:rsidRPr="00FD6A6A">
        <w:t>estate</w:t>
      </w:r>
      <w:r w:rsidR="00541D05">
        <w:t xml:space="preserve"> </w:t>
      </w:r>
      <w:r w:rsidR="00D9258C" w:rsidRPr="00FD6A6A">
        <w:t>standing</w:t>
      </w:r>
      <w:r w:rsidR="00541D05">
        <w:t xml:space="preserve"> </w:t>
      </w:r>
      <w:r w:rsidR="00D9258C" w:rsidRPr="00FD6A6A">
        <w:t>on</w:t>
      </w:r>
      <w:r w:rsidR="00541D05">
        <w:t xml:space="preserve"> </w:t>
      </w:r>
      <w:r w:rsidR="00D9258C" w:rsidRPr="00FD6A6A">
        <w:t>land</w:t>
      </w:r>
      <w:r w:rsidR="00541D05">
        <w:t xml:space="preserve"> </w:t>
      </w:r>
      <w:r w:rsidR="00D9258C" w:rsidRPr="00FD6A6A">
        <w:t>that</w:t>
      </w:r>
      <w:r w:rsidR="00541D05">
        <w:t xml:space="preserve"> </w:t>
      </w:r>
      <w:r w:rsidR="00D9258C" w:rsidRPr="00FD6A6A">
        <w:t>has</w:t>
      </w:r>
      <w:r w:rsidR="00541D05">
        <w:t xml:space="preserve"> </w:t>
      </w:r>
      <w:r w:rsidR="00D9258C" w:rsidRPr="00FD6A6A">
        <w:t>been</w:t>
      </w:r>
      <w:r w:rsidR="00541D05">
        <w:t xml:space="preserve"> </w:t>
      </w:r>
      <w:r w:rsidR="00D9258C" w:rsidRPr="00FD6A6A">
        <w:t>through</w:t>
      </w:r>
      <w:r w:rsidR="00541D05">
        <w:t xml:space="preserve"> </w:t>
      </w:r>
      <w:r w:rsidR="00D9258C" w:rsidRPr="00FD6A6A">
        <w:t>a</w:t>
      </w:r>
      <w:r w:rsidR="00541D05">
        <w:t xml:space="preserve"> </w:t>
      </w:r>
      <w:r w:rsidR="00D9258C" w:rsidRPr="00FD6A6A">
        <w:t>demarcation</w:t>
      </w:r>
      <w:r w:rsidR="00541D05">
        <w:t xml:space="preserve"> </w:t>
      </w:r>
      <w:r w:rsidR="00D9258C" w:rsidRPr="00FD6A6A">
        <w:t>process,</w:t>
      </w:r>
      <w:r w:rsidR="00541D05">
        <w:t xml:space="preserve"> </w:t>
      </w:r>
      <w:r w:rsidR="00D9258C" w:rsidRPr="00FD6A6A">
        <w:t>which</w:t>
      </w:r>
      <w:r w:rsidR="00541D05">
        <w:t xml:space="preserve"> </w:t>
      </w:r>
      <w:r w:rsidR="00D9258C" w:rsidRPr="00FD6A6A">
        <w:t>has</w:t>
      </w:r>
      <w:r w:rsidR="00541D05">
        <w:t xml:space="preserve"> </w:t>
      </w:r>
      <w:r w:rsidR="00D9258C" w:rsidRPr="00FD6A6A">
        <w:t>motivated</w:t>
      </w:r>
      <w:r w:rsidR="00541D05">
        <w:t xml:space="preserve"> </w:t>
      </w:r>
      <w:r w:rsidR="00D9258C" w:rsidRPr="00FD6A6A">
        <w:t>the</w:t>
      </w:r>
      <w:r w:rsidR="00541D05">
        <w:t xml:space="preserve"> </w:t>
      </w:r>
      <w:r w:rsidR="00D9258C" w:rsidRPr="00FD6A6A">
        <w:t>filing</w:t>
      </w:r>
      <w:r w:rsidR="00541D05">
        <w:t xml:space="preserve"> </w:t>
      </w:r>
      <w:r w:rsidR="00D9258C" w:rsidRPr="00FD6A6A">
        <w:t>of</w:t>
      </w:r>
      <w:r w:rsidR="00541D05">
        <w:t xml:space="preserve"> </w:t>
      </w:r>
      <w:r w:rsidR="00D9258C" w:rsidRPr="00FD6A6A">
        <w:t>lawsuits</w:t>
      </w:r>
      <w:r w:rsidR="00541D05">
        <w:t xml:space="preserve"> </w:t>
      </w:r>
      <w:r w:rsidR="00D9258C" w:rsidRPr="00FD6A6A">
        <w:t>by</w:t>
      </w:r>
      <w:r w:rsidR="00541D05">
        <w:t xml:space="preserve"> </w:t>
      </w:r>
      <w:r w:rsidR="00D9258C" w:rsidRPr="00FD6A6A">
        <w:t>social</w:t>
      </w:r>
      <w:r w:rsidR="00541D05">
        <w:t xml:space="preserve"> </w:t>
      </w:r>
      <w:r w:rsidR="00D9258C" w:rsidRPr="00FD6A6A">
        <w:t>groups</w:t>
      </w:r>
      <w:r w:rsidR="00541D05">
        <w:t xml:space="preserve"> </w:t>
      </w:r>
      <w:r w:rsidR="00D9258C" w:rsidRPr="00FD6A6A">
        <w:t>contrary</w:t>
      </w:r>
      <w:r w:rsidR="00541D05">
        <w:t xml:space="preserve"> </w:t>
      </w:r>
      <w:r w:rsidR="00D9258C" w:rsidRPr="00FD6A6A">
        <w:t>to</w:t>
      </w:r>
      <w:r w:rsidR="00541D05">
        <w:t xml:space="preserve"> </w:t>
      </w:r>
      <w:r w:rsidR="00D9258C" w:rsidRPr="00FD6A6A">
        <w:t>the</w:t>
      </w:r>
      <w:r w:rsidR="00541D05">
        <w:t xml:space="preserve"> </w:t>
      </w:r>
      <w:r w:rsidR="00D9258C" w:rsidRPr="00FD6A6A">
        <w:t>granting</w:t>
      </w:r>
      <w:r w:rsidR="00541D05">
        <w:t xml:space="preserve"> </w:t>
      </w:r>
      <w:r w:rsidR="00D9258C" w:rsidRPr="00FD6A6A">
        <w:t>of</w:t>
      </w:r>
      <w:r w:rsidR="00541D05">
        <w:t xml:space="preserve"> </w:t>
      </w:r>
      <w:r w:rsidR="00D9258C" w:rsidRPr="00FD6A6A">
        <w:t>titles.</w:t>
      </w:r>
    </w:p>
    <w:p w14:paraId="552DE7D8" w14:textId="3B73225E" w:rsidR="00D9258C" w:rsidRPr="00FD6A6A" w:rsidRDefault="00166390" w:rsidP="00166390">
      <w:pPr>
        <w:pStyle w:val="ParaNoG"/>
        <w:numPr>
          <w:ilvl w:val="0"/>
          <w:numId w:val="0"/>
        </w:numPr>
        <w:tabs>
          <w:tab w:val="left" w:pos="0"/>
        </w:tabs>
        <w:ind w:left="1134"/>
      </w:pPr>
      <w:r w:rsidRPr="00FD6A6A">
        <w:t>134.</w:t>
      </w:r>
      <w:r w:rsidRPr="00FD6A6A">
        <w:tab/>
      </w:r>
      <w:r w:rsidR="00D9258C" w:rsidRPr="00FD6A6A">
        <w:t>PNDH-3</w:t>
      </w:r>
      <w:r w:rsidR="00541D05">
        <w:t xml:space="preserve"> </w:t>
      </w:r>
      <w:r w:rsidR="00D9258C" w:rsidRPr="00FD6A6A">
        <w:t>establishes</w:t>
      </w:r>
      <w:r w:rsidR="00541D05">
        <w:t xml:space="preserve"> </w:t>
      </w:r>
      <w:r w:rsidR="00D9258C" w:rsidRPr="00FD6A6A">
        <w:t>the</w:t>
      </w:r>
      <w:r w:rsidR="00541D05">
        <w:t xml:space="preserve"> </w:t>
      </w:r>
      <w:r w:rsidR="00D9258C" w:rsidRPr="00FD6A6A">
        <w:t>need</w:t>
      </w:r>
      <w:r w:rsidR="00541D05">
        <w:t xml:space="preserve"> </w:t>
      </w:r>
      <w:r w:rsidR="00D9258C" w:rsidRPr="00FD6A6A">
        <w:t>for</w:t>
      </w:r>
      <w:r w:rsidR="00541D05">
        <w:t xml:space="preserve"> </w:t>
      </w:r>
      <w:r w:rsidR="00EA62F1">
        <w:t>“</w:t>
      </w:r>
      <w:r w:rsidR="00D9258C" w:rsidRPr="00FD6A6A">
        <w:t>ensuring</w:t>
      </w:r>
      <w:r w:rsidR="00541D05">
        <w:t xml:space="preserve"> </w:t>
      </w:r>
      <w:r w:rsidR="00D9258C" w:rsidRPr="00FD6A6A">
        <w:t>to</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the</w:t>
      </w:r>
      <w:r w:rsidR="00541D05">
        <w:t xml:space="preserve"> </w:t>
      </w:r>
      <w:r w:rsidR="00D9258C" w:rsidRPr="00FD6A6A">
        <w:t>possession</w:t>
      </w:r>
      <w:r w:rsidR="00541D05">
        <w:t xml:space="preserve"> </w:t>
      </w:r>
      <w:r w:rsidR="00D9258C" w:rsidRPr="00FD6A6A">
        <w:t>of</w:t>
      </w:r>
      <w:r w:rsidR="00541D05">
        <w:t xml:space="preserve"> </w:t>
      </w:r>
      <w:r w:rsidR="00D9258C" w:rsidRPr="00FD6A6A">
        <w:t>their</w:t>
      </w:r>
      <w:r w:rsidR="00541D05">
        <w:t xml:space="preserve"> </w:t>
      </w:r>
      <w:r w:rsidR="00D9258C" w:rsidRPr="00FD6A6A">
        <w:t>land,</w:t>
      </w:r>
      <w:r w:rsidR="00541D05">
        <w:t xml:space="preserve"> </w:t>
      </w:r>
      <w:r w:rsidR="00D9258C" w:rsidRPr="00FD6A6A">
        <w:t>accelerating</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identification,</w:t>
      </w:r>
      <w:r w:rsidR="00541D05">
        <w:t xml:space="preserve"> </w:t>
      </w:r>
      <w:r w:rsidR="00D9258C" w:rsidRPr="00FD6A6A">
        <w:t>recognition,</w:t>
      </w:r>
      <w:r w:rsidR="00541D05">
        <w:t xml:space="preserve"> </w:t>
      </w:r>
      <w:r w:rsidR="00D9258C" w:rsidRPr="00FD6A6A">
        <w:t>demarcation,</w:t>
      </w:r>
      <w:r w:rsidR="00541D05">
        <w:t xml:space="preserve"> </w:t>
      </w:r>
      <w:r w:rsidR="00D9258C" w:rsidRPr="00FD6A6A">
        <w:t>and</w:t>
      </w:r>
      <w:r w:rsidR="00541D05">
        <w:t xml:space="preserve"> </w:t>
      </w:r>
      <w:r w:rsidR="00D9258C" w:rsidRPr="00FD6A6A">
        <w:t>granting</w:t>
      </w:r>
      <w:r w:rsidR="00541D05">
        <w:t xml:space="preserve"> </w:t>
      </w:r>
      <w:r w:rsidR="00D9258C" w:rsidRPr="00FD6A6A">
        <w:t>titles</w:t>
      </w:r>
      <w:r w:rsidR="00541D05">
        <w:t xml:space="preserve"> </w:t>
      </w:r>
      <w:r w:rsidR="00D9258C" w:rsidRPr="00FD6A6A">
        <w:t>for</w:t>
      </w:r>
      <w:r w:rsidR="00541D05">
        <w:t xml:space="preserve"> </w:t>
      </w:r>
      <w:r w:rsidR="00D9258C" w:rsidRPr="00FD6A6A">
        <w:t>these</w:t>
      </w:r>
      <w:r w:rsidR="00541D05">
        <w:t xml:space="preserve"> </w:t>
      </w:r>
      <w:r w:rsidR="00D9258C" w:rsidRPr="00FD6A6A">
        <w:t>lands,</w:t>
      </w:r>
      <w:r w:rsidR="00541D05">
        <w:t xml:space="preserve"> </w:t>
      </w:r>
      <w:r w:rsidR="00D9258C" w:rsidRPr="00FD6A6A">
        <w:t>respecting</w:t>
      </w:r>
      <w:r w:rsidR="00541D05">
        <w:t xml:space="preserve"> </w:t>
      </w:r>
      <w:r w:rsidR="00D9258C" w:rsidRPr="00FD6A6A">
        <w:t>and</w:t>
      </w:r>
      <w:r w:rsidR="00541D05">
        <w:t xml:space="preserve"> </w:t>
      </w:r>
      <w:r w:rsidR="00D9258C" w:rsidRPr="00FD6A6A">
        <w:t>preserving</w:t>
      </w:r>
      <w:r w:rsidR="00541D05">
        <w:t xml:space="preserve"> </w:t>
      </w:r>
      <w:r w:rsidR="00D9258C" w:rsidRPr="00FD6A6A">
        <w:t>lands</w:t>
      </w:r>
      <w:r w:rsidR="00541D05">
        <w:t xml:space="preserve"> </w:t>
      </w:r>
      <w:r w:rsidR="00D9258C" w:rsidRPr="00FD6A6A">
        <w:t>with</w:t>
      </w:r>
      <w:r w:rsidR="00541D05">
        <w:t xml:space="preserve"> </w:t>
      </w:r>
      <w:r w:rsidR="00D9258C" w:rsidRPr="00FD6A6A">
        <w:t>high</w:t>
      </w:r>
      <w:r w:rsidR="00541D05">
        <w:t xml:space="preserve"> </w:t>
      </w:r>
      <w:r w:rsidR="00D9258C" w:rsidRPr="00FD6A6A">
        <w:t>symbolic</w:t>
      </w:r>
      <w:r w:rsidR="00541D05">
        <w:t xml:space="preserve"> </w:t>
      </w:r>
      <w:r w:rsidR="00D9258C" w:rsidRPr="00FD6A6A">
        <w:t>and</w:t>
      </w:r>
      <w:r w:rsidR="00541D05">
        <w:t xml:space="preserve"> </w:t>
      </w:r>
      <w:r w:rsidR="00D9258C" w:rsidRPr="00FD6A6A">
        <w:t>historical</w:t>
      </w:r>
      <w:r w:rsidR="00541D05">
        <w:t xml:space="preserve"> </w:t>
      </w:r>
      <w:r w:rsidR="00D9258C" w:rsidRPr="00FD6A6A">
        <w:t>value</w:t>
      </w:r>
      <w:r w:rsidR="00EA62F1">
        <w:t>”</w:t>
      </w:r>
      <w:r w:rsidR="00D9258C" w:rsidRPr="00FD6A6A">
        <w:t>.</w:t>
      </w:r>
      <w:r w:rsidR="00541D05">
        <w:t xml:space="preserve"> </w:t>
      </w:r>
      <w:r w:rsidR="00D9258C" w:rsidRPr="00FD6A6A">
        <w:t>It</w:t>
      </w:r>
      <w:r w:rsidR="00541D05">
        <w:t xml:space="preserve"> </w:t>
      </w:r>
      <w:r w:rsidR="00D9258C" w:rsidRPr="00FD6A6A">
        <w:t>also</w:t>
      </w:r>
      <w:r w:rsidR="00541D05">
        <w:t xml:space="preserve"> </w:t>
      </w:r>
      <w:r w:rsidR="00D9258C" w:rsidRPr="00FD6A6A">
        <w:t>recommends</w:t>
      </w:r>
      <w:r w:rsidR="00541D05">
        <w:t xml:space="preserve"> </w:t>
      </w:r>
      <w:r w:rsidR="00D9258C" w:rsidRPr="00FD6A6A">
        <w:t>that</w:t>
      </w:r>
      <w:r w:rsidR="00541D05">
        <w:t xml:space="preserve"> </w:t>
      </w:r>
      <w:r w:rsidR="00D9258C" w:rsidRPr="00FD6A6A">
        <w:t>the</w:t>
      </w:r>
      <w:r w:rsidR="00541D05">
        <w:t xml:space="preserve"> </w:t>
      </w:r>
      <w:r w:rsidR="00D9258C" w:rsidRPr="00FD6A6A">
        <w:t>Judiciary</w:t>
      </w:r>
      <w:r w:rsidR="00541D05">
        <w:t xml:space="preserve"> </w:t>
      </w:r>
      <w:r w:rsidR="00D9258C" w:rsidRPr="00FD6A6A">
        <w:t>Branch</w:t>
      </w:r>
      <w:r w:rsidR="00541D05">
        <w:t xml:space="preserve"> </w:t>
      </w:r>
      <w:r w:rsidR="00D9258C" w:rsidRPr="00FD6A6A">
        <w:t>shall</w:t>
      </w:r>
      <w:r w:rsidR="00541D05">
        <w:t xml:space="preserve"> </w:t>
      </w:r>
      <w:r w:rsidR="00D9258C" w:rsidRPr="00FD6A6A">
        <w:t>be</w:t>
      </w:r>
      <w:r w:rsidR="00541D05">
        <w:t xml:space="preserve"> </w:t>
      </w:r>
      <w:r w:rsidR="00D9258C" w:rsidRPr="00FD6A6A">
        <w:t>efficient</w:t>
      </w:r>
      <w:r w:rsidR="00541D05">
        <w:t xml:space="preserve"> </w:t>
      </w:r>
      <w:r w:rsidR="00D9258C" w:rsidRPr="00FD6A6A">
        <w:t>to</w:t>
      </w:r>
      <w:r w:rsidR="00541D05">
        <w:t xml:space="preserve"> </w:t>
      </w:r>
      <w:r w:rsidR="00D9258C" w:rsidRPr="00FD6A6A">
        <w:t>judge</w:t>
      </w:r>
      <w:r w:rsidR="00541D05">
        <w:t xml:space="preserve"> </w:t>
      </w:r>
      <w:r w:rsidR="00D9258C" w:rsidRPr="00FD6A6A">
        <w:t>cases</w:t>
      </w:r>
      <w:r w:rsidR="00541D05">
        <w:t xml:space="preserve"> </w:t>
      </w:r>
      <w:r w:rsidR="00D9258C" w:rsidRPr="00FD6A6A">
        <w:t>of</w:t>
      </w:r>
      <w:r w:rsidR="00541D05">
        <w:t xml:space="preserve"> </w:t>
      </w:r>
      <w:r w:rsidR="00D9258C" w:rsidRPr="00FD6A6A">
        <w:t>demarcation,</w:t>
      </w:r>
      <w:r w:rsidR="00541D05">
        <w:t xml:space="preserve"> </w:t>
      </w:r>
      <w:r w:rsidR="00D9258C" w:rsidRPr="00FD6A6A">
        <w:t>pursuant</w:t>
      </w:r>
      <w:r w:rsidR="00541D05">
        <w:t xml:space="preserve"> </w:t>
      </w:r>
      <w:r w:rsidR="00D9258C" w:rsidRPr="00FD6A6A">
        <w:t>to</w:t>
      </w:r>
      <w:r w:rsidR="00541D05">
        <w:t xml:space="preserve"> </w:t>
      </w:r>
      <w:r w:rsidR="00D9258C" w:rsidRPr="00FD6A6A">
        <w:t>Decree</w:t>
      </w:r>
      <w:r w:rsidR="00541D05">
        <w:t xml:space="preserve"> </w:t>
      </w:r>
      <w:r w:rsidR="00D9258C" w:rsidRPr="00FD6A6A">
        <w:t>No.</w:t>
      </w:r>
      <w:r w:rsidR="00541D05">
        <w:t xml:space="preserve"> </w:t>
      </w:r>
      <w:r w:rsidR="00D9258C" w:rsidRPr="00FD6A6A">
        <w:t>4,887/2003,</w:t>
      </w:r>
      <w:r w:rsidR="00541D05">
        <w:t xml:space="preserve"> </w:t>
      </w:r>
      <w:r w:rsidR="00D9258C" w:rsidRPr="00FD6A6A">
        <w:t>to</w:t>
      </w:r>
      <w:r w:rsidR="00541D05">
        <w:t xml:space="preserve"> </w:t>
      </w:r>
      <w:r w:rsidR="00D9258C" w:rsidRPr="00FD6A6A">
        <w:t>article</w:t>
      </w:r>
      <w:r w:rsidR="00541D05">
        <w:t xml:space="preserve"> </w:t>
      </w:r>
      <w:r w:rsidR="00D9258C" w:rsidRPr="00FD6A6A">
        <w:t>68</w:t>
      </w:r>
      <w:r w:rsidR="00541D05">
        <w:t xml:space="preserve"> </w:t>
      </w:r>
      <w:r w:rsidR="00D9258C" w:rsidRPr="00FD6A6A">
        <w:t>of</w:t>
      </w:r>
      <w:r w:rsidR="00541D05">
        <w:t xml:space="preserve"> </w:t>
      </w:r>
      <w:r w:rsidR="00D9258C" w:rsidRPr="00FD6A6A">
        <w:t>the</w:t>
      </w:r>
      <w:r w:rsidR="00541D05">
        <w:t xml:space="preserve"> </w:t>
      </w:r>
      <w:r w:rsidR="00D9258C" w:rsidRPr="00FD6A6A">
        <w:t>ADCT,</w:t>
      </w:r>
      <w:r w:rsidR="00541D05">
        <w:t xml:space="preserve"> </w:t>
      </w:r>
      <w:r w:rsidR="00D9258C" w:rsidRPr="00FD6A6A">
        <w:t>and</w:t>
      </w:r>
      <w:r w:rsidR="00541D05">
        <w:t xml:space="preserve"> </w:t>
      </w:r>
      <w:r w:rsidR="00D9258C" w:rsidRPr="00FD6A6A">
        <w:t>to</w:t>
      </w:r>
      <w:r w:rsidR="00541D05">
        <w:t xml:space="preserve"> </w:t>
      </w:r>
      <w:r w:rsidR="00D9258C" w:rsidRPr="00FD6A6A">
        <w:t>ILO</w:t>
      </w:r>
      <w:r w:rsidR="00541D05">
        <w:t xml:space="preserve"> </w:t>
      </w:r>
      <w:r w:rsidR="00D9258C" w:rsidRPr="00FD6A6A">
        <w:t>Convention</w:t>
      </w:r>
      <w:r w:rsidR="00541D05">
        <w:t xml:space="preserve"> </w:t>
      </w:r>
      <w:r w:rsidR="00D9258C" w:rsidRPr="00FD6A6A">
        <w:t>No.</w:t>
      </w:r>
      <w:r w:rsidR="00541D05">
        <w:t xml:space="preserve"> </w:t>
      </w:r>
      <w:r w:rsidR="00D9258C" w:rsidRPr="00FD6A6A">
        <w:t>169.</w:t>
      </w:r>
    </w:p>
    <w:p w14:paraId="5D242661" w14:textId="76F1F5E4" w:rsidR="00D9258C" w:rsidRPr="00FD6A6A" w:rsidRDefault="00166390" w:rsidP="00166390">
      <w:pPr>
        <w:pStyle w:val="ParaNoG"/>
        <w:numPr>
          <w:ilvl w:val="0"/>
          <w:numId w:val="0"/>
        </w:numPr>
        <w:tabs>
          <w:tab w:val="left" w:pos="0"/>
        </w:tabs>
        <w:ind w:left="1134"/>
      </w:pPr>
      <w:r w:rsidRPr="00FD6A6A">
        <w:t>135.</w:t>
      </w:r>
      <w:r w:rsidRPr="00FD6A6A">
        <w:tab/>
      </w:r>
      <w:r w:rsidR="00D9258C" w:rsidRPr="00FD6A6A">
        <w:t>PNDH-3</w:t>
      </w:r>
      <w:r w:rsidR="00541D05">
        <w:t xml:space="preserve"> </w:t>
      </w:r>
      <w:r w:rsidR="00D9258C" w:rsidRPr="00FD6A6A">
        <w:t>also</w:t>
      </w:r>
      <w:r w:rsidR="00541D05">
        <w:t xml:space="preserve"> </w:t>
      </w:r>
      <w:r w:rsidR="00D9258C" w:rsidRPr="00FD6A6A">
        <w:t>recommended</w:t>
      </w:r>
      <w:r w:rsidR="00541D05">
        <w:t xml:space="preserve"> </w:t>
      </w:r>
      <w:r w:rsidR="00D9258C" w:rsidRPr="00FD6A6A">
        <w:t>that</w:t>
      </w:r>
      <w:r w:rsidR="00541D05">
        <w:t xml:space="preserve"> </w:t>
      </w:r>
      <w:r w:rsidR="00D9258C" w:rsidRPr="00FD6A6A">
        <w:t>the</w:t>
      </w:r>
      <w:r w:rsidR="00541D05">
        <w:t xml:space="preserve"> </w:t>
      </w:r>
      <w:r w:rsidR="00D9258C" w:rsidRPr="00FD6A6A">
        <w:t>Judiciary</w:t>
      </w:r>
      <w:r w:rsidR="00541D05">
        <w:t xml:space="preserve"> </w:t>
      </w:r>
      <w:r w:rsidR="00D9258C" w:rsidRPr="00FD6A6A">
        <w:t>Branch</w:t>
      </w:r>
      <w:r w:rsidR="00541D05">
        <w:t xml:space="preserve"> </w:t>
      </w:r>
      <w:r w:rsidR="00D9258C" w:rsidRPr="00FD6A6A">
        <w:t>shall</w:t>
      </w:r>
      <w:r w:rsidR="00541D05">
        <w:t xml:space="preserve"> </w:t>
      </w:r>
      <w:r w:rsidR="00D9258C" w:rsidRPr="00FD6A6A">
        <w:t>render</w:t>
      </w:r>
      <w:r w:rsidR="00541D05">
        <w:t xml:space="preserve"> </w:t>
      </w:r>
      <w:r w:rsidR="00D9258C" w:rsidRPr="00FD6A6A">
        <w:t>a</w:t>
      </w:r>
      <w:r w:rsidR="00541D05">
        <w:t xml:space="preserve"> </w:t>
      </w:r>
      <w:r w:rsidR="00D9258C" w:rsidRPr="00FD6A6A">
        <w:t>favorable</w:t>
      </w:r>
      <w:r w:rsidR="00541D05">
        <w:t xml:space="preserve"> </w:t>
      </w:r>
      <w:r w:rsidR="00D9258C" w:rsidRPr="00FD6A6A">
        <w:t>opinion</w:t>
      </w:r>
      <w:r w:rsidR="00541D05">
        <w:t xml:space="preserve"> </w:t>
      </w:r>
      <w:r w:rsidR="00D9258C" w:rsidRPr="00FD6A6A">
        <w:t>regarding</w:t>
      </w:r>
      <w:r w:rsidR="00541D05">
        <w:t xml:space="preserve"> </w:t>
      </w:r>
      <w:r w:rsidR="00D9258C" w:rsidRPr="00FD6A6A">
        <w:t>the</w:t>
      </w:r>
      <w:r w:rsidR="00541D05">
        <w:t xml:space="preserve"> </w:t>
      </w:r>
      <w:r w:rsidR="00D9258C" w:rsidRPr="00FD6A6A">
        <w:t>constitutionality</w:t>
      </w:r>
      <w:r w:rsidR="00541D05">
        <w:t xml:space="preserve"> </w:t>
      </w:r>
      <w:r w:rsidR="00D9258C" w:rsidRPr="00FD6A6A">
        <w:t>of</w:t>
      </w:r>
      <w:r w:rsidR="00541D05">
        <w:t xml:space="preserve"> </w:t>
      </w:r>
      <w:r w:rsidR="00D9258C" w:rsidRPr="00FD6A6A">
        <w:t>Decree</w:t>
      </w:r>
      <w:r w:rsidR="00541D05">
        <w:t xml:space="preserve"> </w:t>
      </w:r>
      <w:r w:rsidR="00D9258C" w:rsidRPr="00FD6A6A">
        <w:t>No.</w:t>
      </w:r>
      <w:r w:rsidR="00541D05">
        <w:t xml:space="preserve"> </w:t>
      </w:r>
      <w:r w:rsidR="00D9258C" w:rsidRPr="00FD6A6A">
        <w:t>4,887/2003,</w:t>
      </w:r>
      <w:r w:rsidR="00541D05">
        <w:t xml:space="preserve"> </w:t>
      </w:r>
      <w:r w:rsidR="00D9258C" w:rsidRPr="00FD6A6A">
        <w:t>which</w:t>
      </w:r>
      <w:r w:rsidR="00541D05">
        <w:t xml:space="preserve"> </w:t>
      </w:r>
      <w:r w:rsidR="00D9258C" w:rsidRPr="00FD6A6A">
        <w:t>was</w:t>
      </w:r>
      <w:r w:rsidR="00541D05">
        <w:t xml:space="preserve"> </w:t>
      </w:r>
      <w:r w:rsidR="00D9258C" w:rsidRPr="00FD6A6A">
        <w:t>being</w:t>
      </w:r>
      <w:r w:rsidR="00541D05">
        <w:t xml:space="preserve"> </w:t>
      </w:r>
      <w:r w:rsidR="00D9258C" w:rsidRPr="00FD6A6A">
        <w:t>judicially</w:t>
      </w:r>
      <w:r w:rsidR="00541D05">
        <w:t xml:space="preserve"> </w:t>
      </w:r>
      <w:r w:rsidR="00D9258C" w:rsidRPr="00FD6A6A">
        <w:t>challenged.</w:t>
      </w:r>
      <w:r w:rsidR="00541D05">
        <w:t xml:space="preserve"> </w:t>
      </w:r>
      <w:r w:rsidR="00D9258C" w:rsidRPr="00FD6A6A">
        <w:t>STF</w:t>
      </w:r>
      <w:r w:rsidR="00541D05">
        <w:t xml:space="preserve"> </w:t>
      </w:r>
      <w:r w:rsidR="00D9258C" w:rsidRPr="00FD6A6A">
        <w:t>recognized</w:t>
      </w:r>
      <w:r w:rsidR="00541D05">
        <w:t xml:space="preserve"> </w:t>
      </w:r>
      <w:r w:rsidR="00D9258C" w:rsidRPr="00FD6A6A">
        <w:t>in</w:t>
      </w:r>
      <w:r w:rsidR="00541D05">
        <w:t xml:space="preserve"> </w:t>
      </w:r>
      <w:r w:rsidR="00D9258C" w:rsidRPr="00FD6A6A">
        <w:t>February</w:t>
      </w:r>
      <w:r w:rsidR="00541D05">
        <w:t xml:space="preserve"> </w:t>
      </w:r>
      <w:r w:rsidR="00D9258C" w:rsidRPr="00FD6A6A">
        <w:t>2018,</w:t>
      </w:r>
      <w:r w:rsidR="00541D05">
        <w:t xml:space="preserve"> </w:t>
      </w:r>
      <w:r w:rsidR="00D9258C" w:rsidRPr="00FD6A6A">
        <w:t>by</w:t>
      </w:r>
      <w:r w:rsidR="00541D05">
        <w:t xml:space="preserve"> </w:t>
      </w:r>
      <w:r w:rsidR="00D9258C" w:rsidRPr="00FD6A6A">
        <w:t>majority</w:t>
      </w:r>
      <w:r w:rsidR="00541D05">
        <w:t xml:space="preserve"> </w:t>
      </w:r>
      <w:r w:rsidR="00D9258C" w:rsidRPr="00FD6A6A">
        <w:t>of</w:t>
      </w:r>
      <w:r w:rsidR="00541D05">
        <w:t xml:space="preserve"> </w:t>
      </w:r>
      <w:r w:rsidR="00D9258C" w:rsidRPr="00FD6A6A">
        <w:t>votes,</w:t>
      </w:r>
      <w:r w:rsidR="00541D05">
        <w:t xml:space="preserve"> </w:t>
      </w:r>
      <w:r w:rsidR="00D9258C" w:rsidRPr="00FD6A6A">
        <w:t>the</w:t>
      </w:r>
      <w:r w:rsidR="00541D05">
        <w:t xml:space="preserve"> </w:t>
      </w:r>
      <w:r w:rsidR="00D9258C" w:rsidRPr="00FD6A6A">
        <w:t>constitutionality</w:t>
      </w:r>
      <w:r w:rsidR="00541D05">
        <w:t xml:space="preserve"> </w:t>
      </w:r>
      <w:r w:rsidR="00D9258C" w:rsidRPr="00FD6A6A">
        <w:t>of</w:t>
      </w:r>
      <w:r w:rsidR="00541D05">
        <w:t xml:space="preserve"> </w:t>
      </w:r>
      <w:r w:rsidR="00D9258C" w:rsidRPr="00FD6A6A">
        <w:t>the</w:t>
      </w:r>
      <w:r w:rsidR="00541D05">
        <w:t xml:space="preserve"> </w:t>
      </w:r>
      <w:r w:rsidR="00D9258C" w:rsidRPr="00FD6A6A">
        <w:t>Decree</w:t>
      </w:r>
      <w:r w:rsidR="00541D05">
        <w:t xml:space="preserve"> </w:t>
      </w:r>
      <w:r w:rsidR="00D9258C" w:rsidRPr="00FD6A6A">
        <w:t>currently</w:t>
      </w:r>
      <w:r w:rsidR="00541D05">
        <w:t xml:space="preserve"> </w:t>
      </w:r>
      <w:r w:rsidR="00D9258C" w:rsidRPr="00FD6A6A">
        <w:t>regulating</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regularization</w:t>
      </w:r>
      <w:r w:rsidR="00541D05">
        <w:t xml:space="preserve"> </w:t>
      </w:r>
      <w:r w:rsidR="00D9258C" w:rsidRPr="00FD6A6A">
        <w:t>of</w:t>
      </w:r>
      <w:r w:rsidR="00541D05">
        <w:t xml:space="preserve"> </w:t>
      </w:r>
      <w:r w:rsidR="00D9258C" w:rsidRPr="00FD6A6A">
        <w:t>Quilombola</w:t>
      </w:r>
      <w:r w:rsidR="00541D05">
        <w:t xml:space="preserve"> </w:t>
      </w:r>
      <w:r w:rsidR="00D9258C" w:rsidRPr="00FD6A6A">
        <w:t>lands,</w:t>
      </w:r>
      <w:r w:rsidR="00541D05">
        <w:t xml:space="preserve"> </w:t>
      </w:r>
      <w:r w:rsidR="00D9258C" w:rsidRPr="00FD6A6A">
        <w:t>acknowledging</w:t>
      </w:r>
      <w:r w:rsidR="00541D05">
        <w:t xml:space="preserve"> </w:t>
      </w:r>
      <w:r w:rsidR="00D9258C" w:rsidRPr="00FD6A6A">
        <w:t>the</w:t>
      </w:r>
      <w:r w:rsidR="00541D05">
        <w:t xml:space="preserve"> </w:t>
      </w:r>
      <w:r w:rsidR="00D9258C" w:rsidRPr="00FD6A6A">
        <w:t>legality</w:t>
      </w:r>
      <w:r w:rsidR="00541D05">
        <w:t xml:space="preserve"> </w:t>
      </w:r>
      <w:r w:rsidR="00D9258C" w:rsidRPr="00FD6A6A">
        <w:t>of</w:t>
      </w:r>
      <w:r w:rsidR="00541D05">
        <w:t xml:space="preserve"> </w:t>
      </w:r>
      <w:r w:rsidR="00D9258C" w:rsidRPr="00FD6A6A">
        <w:t>the</w:t>
      </w:r>
      <w:r w:rsidR="00541D05">
        <w:t xml:space="preserve"> </w:t>
      </w:r>
      <w:r w:rsidR="00D9258C" w:rsidRPr="00FD6A6A">
        <w:t>policy</w:t>
      </w:r>
      <w:r w:rsidR="00541D05">
        <w:t xml:space="preserve"> </w:t>
      </w:r>
      <w:r w:rsidR="00D9258C" w:rsidRPr="00FD6A6A">
        <w:t>implemented</w:t>
      </w:r>
      <w:r w:rsidR="00541D05">
        <w:t xml:space="preserve"> </w:t>
      </w:r>
      <w:r w:rsidR="00D9258C" w:rsidRPr="00FD6A6A">
        <w:t>since</w:t>
      </w:r>
      <w:r w:rsidR="00541D05">
        <w:t xml:space="preserve"> </w:t>
      </w:r>
      <w:r w:rsidR="00D9258C" w:rsidRPr="00FD6A6A">
        <w:t>2003.</w:t>
      </w:r>
    </w:p>
    <w:p w14:paraId="4EE13A11" w14:textId="2E831CBB" w:rsidR="00D9258C" w:rsidRPr="00FD6A6A" w:rsidRDefault="00166390" w:rsidP="00166390">
      <w:pPr>
        <w:pStyle w:val="ParaNoG"/>
        <w:numPr>
          <w:ilvl w:val="0"/>
          <w:numId w:val="0"/>
        </w:numPr>
        <w:tabs>
          <w:tab w:val="left" w:pos="0"/>
        </w:tabs>
        <w:ind w:left="1134"/>
      </w:pPr>
      <w:r w:rsidRPr="00FD6A6A">
        <w:t>136.</w:t>
      </w:r>
      <w:r w:rsidRPr="00FD6A6A">
        <w:tab/>
      </w:r>
      <w:r w:rsidR="00D9258C" w:rsidRPr="00FD6A6A">
        <w:t>Data</w:t>
      </w:r>
      <w:r w:rsidR="00541D05">
        <w:t xml:space="preserve"> </w:t>
      </w:r>
      <w:r w:rsidR="00D9258C" w:rsidRPr="00FD6A6A">
        <w:t>indicating</w:t>
      </w:r>
      <w:r w:rsidR="00541D05">
        <w:t xml:space="preserve"> </w:t>
      </w:r>
      <w:r w:rsidR="00D9258C" w:rsidRPr="00FD6A6A">
        <w:t>institutionalization</w:t>
      </w:r>
      <w:r w:rsidR="00541D05">
        <w:t xml:space="preserve"> </w:t>
      </w:r>
      <w:r w:rsidR="00D9258C" w:rsidRPr="00FD6A6A">
        <w:t>of</w:t>
      </w:r>
      <w:r w:rsidR="00541D05">
        <w:t xml:space="preserve"> </w:t>
      </w:r>
      <w:r w:rsidR="00D9258C" w:rsidRPr="00FD6A6A">
        <w:t>the</w:t>
      </w:r>
      <w:r w:rsidR="00541D05">
        <w:t xml:space="preserve"> </w:t>
      </w:r>
      <w:r w:rsidR="00D9258C" w:rsidRPr="00FD6A6A">
        <w:t>Quilombola</w:t>
      </w:r>
      <w:r w:rsidR="00541D05">
        <w:t xml:space="preserve"> </w:t>
      </w:r>
      <w:r w:rsidR="00D9258C" w:rsidRPr="00FD6A6A">
        <w:t>identity</w:t>
      </w:r>
      <w:r w:rsidR="00541D05">
        <w:t xml:space="preserve"> </w:t>
      </w:r>
      <w:r w:rsidR="00D9258C" w:rsidRPr="00FD6A6A">
        <w:t>as</w:t>
      </w:r>
      <w:r w:rsidR="00541D05">
        <w:t xml:space="preserve"> </w:t>
      </w:r>
      <w:r w:rsidR="00D9258C" w:rsidRPr="00FD6A6A">
        <w:t>a</w:t>
      </w:r>
      <w:r w:rsidR="00541D05">
        <w:t xml:space="preserve"> </w:t>
      </w:r>
      <w:r w:rsidR="00D9258C" w:rsidRPr="00FD6A6A">
        <w:t>subject</w:t>
      </w:r>
      <w:r w:rsidR="00541D05">
        <w:t xml:space="preserve"> </w:t>
      </w:r>
      <w:r w:rsidR="00D9258C" w:rsidRPr="00FD6A6A">
        <w:t>of</w:t>
      </w:r>
      <w:r w:rsidR="00541D05">
        <w:t xml:space="preserve"> </w:t>
      </w:r>
      <w:r w:rsidR="00D9258C" w:rsidRPr="00FD6A6A">
        <w:t>law</w:t>
      </w:r>
      <w:r w:rsidR="00541D05">
        <w:t xml:space="preserve"> </w:t>
      </w:r>
      <w:r w:rsidR="00D9258C" w:rsidRPr="00FD6A6A">
        <w:t>have</w:t>
      </w:r>
      <w:r w:rsidR="00541D05">
        <w:t xml:space="preserve"> </w:t>
      </w:r>
      <w:r w:rsidR="00D9258C" w:rsidRPr="00FD6A6A">
        <w:t>been</w:t>
      </w:r>
      <w:r w:rsidR="00541D05">
        <w:t xml:space="preserve"> </w:t>
      </w:r>
      <w:r w:rsidR="00D9258C" w:rsidRPr="00FD6A6A">
        <w:t>causing</w:t>
      </w:r>
      <w:r w:rsidR="00541D05">
        <w:t xml:space="preserve"> </w:t>
      </w:r>
      <w:r w:rsidR="00D9258C" w:rsidRPr="00FD6A6A">
        <w:t>a</w:t>
      </w:r>
      <w:r w:rsidR="00541D05">
        <w:t xml:space="preserve"> </w:t>
      </w:r>
      <w:r w:rsidR="00D9258C" w:rsidRPr="00FD6A6A">
        <w:t>growth</w:t>
      </w:r>
      <w:r w:rsidR="00541D05">
        <w:t xml:space="preserve"> </w:t>
      </w:r>
      <w:r w:rsidR="00D9258C" w:rsidRPr="00FD6A6A">
        <w:t>in</w:t>
      </w:r>
      <w:r w:rsidR="00541D05">
        <w:t xml:space="preserve"> </w:t>
      </w:r>
      <w:r w:rsidR="00D9258C" w:rsidRPr="00FD6A6A">
        <w:t>self-identification</w:t>
      </w:r>
      <w:r w:rsidR="00541D05">
        <w:t xml:space="preserve"> </w:t>
      </w:r>
      <w:r w:rsidR="00D9258C" w:rsidRPr="00FD6A6A">
        <w:t>of</w:t>
      </w:r>
      <w:r w:rsidR="00541D05">
        <w:t xml:space="preserve"> </w:t>
      </w:r>
      <w:r w:rsidR="00D9258C" w:rsidRPr="00FD6A6A">
        <w:t>several</w:t>
      </w:r>
      <w:r w:rsidR="00541D05">
        <w:t xml:space="preserve"> </w:t>
      </w:r>
      <w:r w:rsidR="00D9258C" w:rsidRPr="00FD6A6A">
        <w:t>African-Brazilian</w:t>
      </w:r>
      <w:r w:rsidR="00541D05">
        <w:t xml:space="preserve"> </w:t>
      </w:r>
      <w:r w:rsidR="00D9258C" w:rsidRPr="00FD6A6A">
        <w:t>communities</w:t>
      </w:r>
      <w:r w:rsidR="00541D05">
        <w:t xml:space="preserve"> </w:t>
      </w:r>
      <w:r w:rsidR="00D9258C" w:rsidRPr="00FD6A6A">
        <w:t>throughout</w:t>
      </w:r>
      <w:r w:rsidR="00541D05">
        <w:t xml:space="preserve"> </w:t>
      </w:r>
      <w:r w:rsidR="00D9258C" w:rsidRPr="00FD6A6A">
        <w:t>the</w:t>
      </w:r>
      <w:r w:rsidR="00541D05">
        <w:t xml:space="preserve"> </w:t>
      </w:r>
      <w:r w:rsidR="00D9258C" w:rsidRPr="00FD6A6A">
        <w:t>country.</w:t>
      </w:r>
      <w:r w:rsidR="00541D05">
        <w:t xml:space="preserve"> </w:t>
      </w:r>
      <w:r w:rsidR="00D9258C" w:rsidRPr="00FD6A6A">
        <w:t>Nonetheless,</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granting</w:t>
      </w:r>
      <w:r w:rsidR="00541D05">
        <w:t xml:space="preserve"> </w:t>
      </w:r>
      <w:r w:rsidR="00D9258C" w:rsidRPr="00FD6A6A">
        <w:t>title</w:t>
      </w:r>
      <w:r w:rsidR="00541D05">
        <w:t xml:space="preserve"> </w:t>
      </w:r>
      <w:r w:rsidR="00D9258C" w:rsidRPr="00FD6A6A">
        <w:t>of</w:t>
      </w:r>
      <w:r w:rsidR="00541D05">
        <w:t xml:space="preserve"> </w:t>
      </w:r>
      <w:r w:rsidR="00D9258C" w:rsidRPr="00FD6A6A">
        <w:t>lands</w:t>
      </w:r>
      <w:r w:rsidR="00541D05">
        <w:t xml:space="preserve"> </w:t>
      </w:r>
      <w:r w:rsidR="00D9258C" w:rsidRPr="00FD6A6A">
        <w:t>takes</w:t>
      </w:r>
      <w:r w:rsidR="00541D05">
        <w:t xml:space="preserve"> </w:t>
      </w:r>
      <w:r w:rsidR="00D9258C" w:rsidRPr="00FD6A6A">
        <w:t>time.</w:t>
      </w:r>
      <w:r w:rsidR="00541D05">
        <w:t xml:space="preserve"> </w:t>
      </w:r>
      <w:r w:rsidR="00D9258C" w:rsidRPr="00FD6A6A">
        <w:t>There</w:t>
      </w:r>
      <w:r w:rsidR="00541D05">
        <w:t xml:space="preserve"> </w:t>
      </w:r>
      <w:r w:rsidR="00D9258C" w:rsidRPr="00FD6A6A">
        <w:t>are</w:t>
      </w:r>
      <w:r w:rsidR="00541D05">
        <w:t xml:space="preserve"> </w:t>
      </w:r>
      <w:r w:rsidR="00D9258C" w:rsidRPr="00FD6A6A">
        <w:t>currently</w:t>
      </w:r>
      <w:r w:rsidR="00541D05">
        <w:t xml:space="preserve"> </w:t>
      </w:r>
      <w:r w:rsidR="00D9258C" w:rsidRPr="00FD6A6A">
        <w:t>1,715</w:t>
      </w:r>
      <w:r w:rsidR="00541D05">
        <w:t xml:space="preserve"> </w:t>
      </w:r>
      <w:r w:rsidR="00D9258C" w:rsidRPr="00FD6A6A">
        <w:t>pending</w:t>
      </w:r>
      <w:r w:rsidR="00541D05">
        <w:t xml:space="preserve"> </w:t>
      </w:r>
      <w:r w:rsidR="00D9258C" w:rsidRPr="00FD6A6A">
        <w:t>proceedings</w:t>
      </w:r>
      <w:r w:rsidR="00541D05">
        <w:t xml:space="preserve"> </w:t>
      </w:r>
      <w:r w:rsidR="00D9258C" w:rsidRPr="00FD6A6A">
        <w:t>for</w:t>
      </w:r>
      <w:r w:rsidR="00541D05">
        <w:t xml:space="preserve"> </w:t>
      </w:r>
      <w:r w:rsidR="00D9258C" w:rsidRPr="00FD6A6A">
        <w:t>Quilombola</w:t>
      </w:r>
      <w:r w:rsidR="00541D05">
        <w:t xml:space="preserve"> </w:t>
      </w:r>
      <w:r w:rsidR="00D9258C" w:rsidRPr="00FD6A6A">
        <w:t>land</w:t>
      </w:r>
      <w:r w:rsidR="00541D05">
        <w:t xml:space="preserve"> </w:t>
      </w:r>
      <w:r w:rsidR="00D9258C" w:rsidRPr="00FD6A6A">
        <w:t>regularization</w:t>
      </w:r>
      <w:r w:rsidR="00541D05">
        <w:t xml:space="preserve"> </w:t>
      </w:r>
      <w:r w:rsidR="00D9258C" w:rsidRPr="00FD6A6A">
        <w:t>filed</w:t>
      </w:r>
      <w:r w:rsidR="00541D05">
        <w:t xml:space="preserve"> </w:t>
      </w:r>
      <w:r w:rsidR="00D9258C" w:rsidRPr="00FD6A6A">
        <w:t>by</w:t>
      </w:r>
      <w:r w:rsidR="00541D05">
        <w:t xml:space="preserve"> </w:t>
      </w:r>
      <w:r w:rsidR="00D9258C" w:rsidRPr="00FD6A6A">
        <w:t>INCRA,</w:t>
      </w:r>
      <w:r w:rsidR="00541D05">
        <w:t xml:space="preserve"> </w:t>
      </w:r>
      <w:r w:rsidR="00D9258C" w:rsidRPr="00FD6A6A">
        <w:t>but</w:t>
      </w:r>
      <w:r w:rsidR="00541D05">
        <w:t xml:space="preserve"> </w:t>
      </w:r>
      <w:r w:rsidR="00D9258C" w:rsidRPr="00FD6A6A">
        <w:t>only</w:t>
      </w:r>
      <w:r w:rsidR="00541D05">
        <w:t xml:space="preserve"> </w:t>
      </w:r>
      <w:r w:rsidR="00D9258C" w:rsidRPr="00FD6A6A">
        <w:t>116</w:t>
      </w:r>
      <w:r w:rsidR="00541D05">
        <w:t xml:space="preserve"> </w:t>
      </w:r>
      <w:r w:rsidR="00D9258C" w:rsidRPr="00FD6A6A">
        <w:t>land</w:t>
      </w:r>
      <w:r w:rsidR="00541D05">
        <w:t xml:space="preserve"> </w:t>
      </w:r>
      <w:r w:rsidR="00D9258C" w:rsidRPr="00FD6A6A">
        <w:t>titles</w:t>
      </w:r>
      <w:r w:rsidR="00541D05">
        <w:t xml:space="preserve"> </w:t>
      </w:r>
      <w:r w:rsidR="00D9258C" w:rsidRPr="00FD6A6A">
        <w:t>were</w:t>
      </w:r>
      <w:r w:rsidR="00541D05">
        <w:t xml:space="preserve"> </w:t>
      </w:r>
      <w:r w:rsidR="00D9258C" w:rsidRPr="00FD6A6A">
        <w:t>issued</w:t>
      </w:r>
      <w:r w:rsidR="00541D05">
        <w:t xml:space="preserve"> </w:t>
      </w:r>
      <w:r w:rsidR="00D9258C" w:rsidRPr="00FD6A6A">
        <w:t>between</w:t>
      </w:r>
      <w:r w:rsidR="00541D05">
        <w:t xml:space="preserve"> </w:t>
      </w:r>
      <w:r w:rsidR="00D9258C" w:rsidRPr="00FD6A6A">
        <w:t>2005</w:t>
      </w:r>
      <w:r w:rsidR="00541D05">
        <w:t xml:space="preserve"> </w:t>
      </w:r>
      <w:r w:rsidR="00D9258C" w:rsidRPr="00FD6A6A">
        <w:t>and</w:t>
      </w:r>
      <w:r w:rsidR="00541D05">
        <w:t xml:space="preserve"> </w:t>
      </w:r>
      <w:r w:rsidR="00D9258C" w:rsidRPr="00FD6A6A">
        <w:t>2017.</w:t>
      </w:r>
      <w:r w:rsidR="00541D05">
        <w:t xml:space="preserve"> </w:t>
      </w:r>
      <w:r w:rsidR="00D9258C" w:rsidRPr="00FD6A6A">
        <w:t>There</w:t>
      </w:r>
      <w:r w:rsidR="00541D05">
        <w:t xml:space="preserve"> </w:t>
      </w:r>
      <w:r w:rsidR="00D9258C" w:rsidRPr="00FD6A6A">
        <w:t>are</w:t>
      </w:r>
      <w:r w:rsidR="00541D05">
        <w:t xml:space="preserve"> </w:t>
      </w:r>
      <w:r w:rsidR="00D9258C" w:rsidRPr="00FD6A6A">
        <w:t>currently</w:t>
      </w:r>
      <w:r w:rsidR="00541D05">
        <w:t xml:space="preserve"> </w:t>
      </w:r>
      <w:r w:rsidR="00D9258C" w:rsidRPr="00FD6A6A">
        <w:t>161</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in</w:t>
      </w:r>
      <w:r w:rsidR="00541D05">
        <w:t xml:space="preserve"> </w:t>
      </w:r>
      <w:r w:rsidR="00D9258C" w:rsidRPr="00FD6A6A">
        <w:t>situation</w:t>
      </w:r>
      <w:r w:rsidR="00541D05">
        <w:t xml:space="preserve"> </w:t>
      </w:r>
      <w:r w:rsidR="00D9258C" w:rsidRPr="00FD6A6A">
        <w:t>of</w:t>
      </w:r>
      <w:r w:rsidR="00541D05">
        <w:t xml:space="preserve"> </w:t>
      </w:r>
      <w:r w:rsidR="00D9258C" w:rsidRPr="00FD6A6A">
        <w:t>conflict</w:t>
      </w:r>
      <w:r w:rsidR="00541D05">
        <w:t xml:space="preserve"> </w:t>
      </w:r>
      <w:r w:rsidR="00D9258C" w:rsidRPr="00FD6A6A">
        <w:t>regarding</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land</w:t>
      </w:r>
      <w:r w:rsidR="00541D05">
        <w:t xml:space="preserve"> </w:t>
      </w:r>
      <w:r w:rsidR="00D9258C" w:rsidRPr="00FD6A6A">
        <w:t>regularization.</w:t>
      </w:r>
    </w:p>
    <w:p w14:paraId="317D8E6B" w14:textId="4B559D5F" w:rsidR="00D9258C" w:rsidRPr="00FD6A6A" w:rsidRDefault="00166390" w:rsidP="00166390">
      <w:pPr>
        <w:pStyle w:val="ParaNoG"/>
        <w:numPr>
          <w:ilvl w:val="0"/>
          <w:numId w:val="0"/>
        </w:numPr>
        <w:tabs>
          <w:tab w:val="left" w:pos="0"/>
        </w:tabs>
        <w:ind w:left="1134"/>
      </w:pPr>
      <w:r w:rsidRPr="00FD6A6A">
        <w:t>137.</w:t>
      </w:r>
      <w:r w:rsidRPr="00FD6A6A">
        <w:tab/>
      </w:r>
      <w:r w:rsidR="00D9258C" w:rsidRPr="00FD6A6A">
        <w:t>Furthermore,</w:t>
      </w:r>
      <w:r w:rsidR="00541D05">
        <w:t xml:space="preserve"> </w:t>
      </w:r>
      <w:r w:rsidR="00D9258C" w:rsidRPr="00FD6A6A">
        <w:t>knowledge</w:t>
      </w:r>
      <w:r w:rsidR="00EA62F1">
        <w:t xml:space="preserve"> </w:t>
      </w:r>
      <w:r w:rsidR="00D9258C" w:rsidRPr="00FD6A6A">
        <w:t>about</w:t>
      </w:r>
      <w:r w:rsidR="00541D05">
        <w:t xml:space="preserve"> </w:t>
      </w:r>
      <w:r w:rsidR="00D9258C" w:rsidRPr="00FD6A6A">
        <w:t>the</w:t>
      </w:r>
      <w:r w:rsidR="00541D05">
        <w:t xml:space="preserve"> </w:t>
      </w:r>
      <w:r w:rsidR="00D9258C" w:rsidRPr="00FD6A6A">
        <w:t>usual</w:t>
      </w:r>
      <w:r w:rsidR="00541D05">
        <w:t xml:space="preserve"> </w:t>
      </w:r>
      <w:r w:rsidR="00D9258C" w:rsidRPr="00FD6A6A">
        <w:t>conditions</w:t>
      </w:r>
      <w:r w:rsidR="00541D05">
        <w:t xml:space="preserve"> </w:t>
      </w:r>
      <w:r w:rsidR="00D9258C" w:rsidRPr="00FD6A6A">
        <w:t>of</w:t>
      </w:r>
      <w:r w:rsidR="00541D05">
        <w:t xml:space="preserve"> </w:t>
      </w:r>
      <w:r w:rsidR="00D9258C" w:rsidRPr="00FD6A6A">
        <w:t>production</w:t>
      </w:r>
      <w:r w:rsidR="00541D05">
        <w:t xml:space="preserve"> </w:t>
      </w:r>
      <w:r w:rsidR="00D9258C" w:rsidRPr="00FD6A6A">
        <w:t>and</w:t>
      </w:r>
      <w:r w:rsidR="00541D05">
        <w:t xml:space="preserve"> </w:t>
      </w:r>
      <w:r w:rsidR="00D9258C" w:rsidRPr="00FD6A6A">
        <w:t>reproduction</w:t>
      </w:r>
      <w:r w:rsidR="00541D05">
        <w:t xml:space="preserve"> </w:t>
      </w:r>
      <w:r w:rsidR="00D9258C" w:rsidRPr="00FD6A6A">
        <w:t>of</w:t>
      </w:r>
      <w:r w:rsidR="00541D05">
        <w:t xml:space="preserve"> </w:t>
      </w:r>
      <w:r w:rsidR="00D9258C" w:rsidRPr="00FD6A6A">
        <w:t>the</w:t>
      </w:r>
      <w:r w:rsidR="00541D05">
        <w:t xml:space="preserve"> </w:t>
      </w:r>
      <w:r w:rsidR="00D9258C" w:rsidRPr="00FD6A6A">
        <w:t>life</w:t>
      </w:r>
      <w:r w:rsidR="00541D05">
        <w:t xml:space="preserve"> </w:t>
      </w:r>
      <w:r w:rsidR="00D9258C" w:rsidRPr="00FD6A6A">
        <w:t>of</w:t>
      </w:r>
      <w:r w:rsidR="00541D05">
        <w:t xml:space="preserve"> </w:t>
      </w:r>
      <w:r w:rsidR="00D9258C" w:rsidRPr="00FD6A6A">
        <w:t>Quilombola</w:t>
      </w:r>
      <w:r w:rsidR="00541D05">
        <w:t xml:space="preserve"> </w:t>
      </w:r>
      <w:r w:rsidR="00D9258C" w:rsidRPr="00FD6A6A">
        <w:t>persons</w:t>
      </w:r>
      <w:r w:rsidR="00541D05">
        <w:t xml:space="preserve"> </w:t>
      </w:r>
      <w:r w:rsidR="00D9258C" w:rsidRPr="00FD6A6A">
        <w:t>in</w:t>
      </w:r>
      <w:r w:rsidR="00541D05">
        <w:t xml:space="preserve"> </w:t>
      </w:r>
      <w:r w:rsidR="00D9258C" w:rsidRPr="00FD6A6A">
        <w:t>their</w:t>
      </w:r>
      <w:r w:rsidR="00541D05">
        <w:t xml:space="preserve"> </w:t>
      </w:r>
      <w:r w:rsidR="00D9258C" w:rsidRPr="00FD6A6A">
        <w:t>communities,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about</w:t>
      </w:r>
      <w:r w:rsidR="00541D05">
        <w:t xml:space="preserve"> </w:t>
      </w:r>
      <w:r w:rsidR="00D9258C" w:rsidRPr="00FD6A6A">
        <w:t>their</w:t>
      </w:r>
      <w:r w:rsidR="00541D05">
        <w:t xml:space="preserve"> </w:t>
      </w:r>
      <w:r w:rsidR="00D9258C" w:rsidRPr="00FD6A6A">
        <w:t>history</w:t>
      </w:r>
      <w:r w:rsidR="00541D05">
        <w:t xml:space="preserve"> </w:t>
      </w:r>
      <w:r w:rsidR="00D9258C" w:rsidRPr="00FD6A6A">
        <w:t>is</w:t>
      </w:r>
      <w:r w:rsidR="00541D05">
        <w:t xml:space="preserve"> </w:t>
      </w:r>
      <w:r w:rsidR="00D9258C" w:rsidRPr="00FD6A6A">
        <w:t>still</w:t>
      </w:r>
      <w:r w:rsidR="00541D05">
        <w:t xml:space="preserve"> </w:t>
      </w:r>
      <w:r w:rsidR="00D9258C" w:rsidRPr="00FD6A6A">
        <w:t>a</w:t>
      </w:r>
      <w:r w:rsidR="00541D05">
        <w:t xml:space="preserve"> </w:t>
      </w:r>
      <w:r w:rsidR="00D9258C" w:rsidRPr="00FD6A6A">
        <w:t>challenge.</w:t>
      </w:r>
      <w:r w:rsidR="00541D05">
        <w:t xml:space="preserve"> </w:t>
      </w:r>
      <w:r w:rsidR="00D9258C" w:rsidRPr="00FD6A6A">
        <w:t>The</w:t>
      </w:r>
      <w:r w:rsidR="00541D05">
        <w:t xml:space="preserve"> </w:t>
      </w:r>
      <w:r w:rsidR="00D9258C" w:rsidRPr="00FD6A6A">
        <w:t>awareness</w:t>
      </w:r>
      <w:r w:rsidR="00541D05">
        <w:t xml:space="preserve"> </w:t>
      </w:r>
      <w:r w:rsidR="00D9258C" w:rsidRPr="00FD6A6A">
        <w:t>network</w:t>
      </w:r>
      <w:r w:rsidR="00541D05">
        <w:t xml:space="preserve"> </w:t>
      </w:r>
      <w:r w:rsidR="00D9258C" w:rsidRPr="00FD6A6A">
        <w:t>publicly</w:t>
      </w:r>
      <w:r w:rsidR="00541D05">
        <w:t xml:space="preserve"> </w:t>
      </w:r>
      <w:r w:rsidR="00D9258C" w:rsidRPr="00FD6A6A">
        <w:t>constructed</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still</w:t>
      </w:r>
      <w:r w:rsidR="00541D05">
        <w:t xml:space="preserve"> </w:t>
      </w:r>
      <w:r w:rsidR="00D9258C" w:rsidRPr="00FD6A6A">
        <w:t>needs</w:t>
      </w:r>
      <w:r w:rsidR="00541D05">
        <w:t xml:space="preserve"> </w:t>
      </w:r>
      <w:r w:rsidR="00D9258C" w:rsidRPr="00FD6A6A">
        <w:t>further</w:t>
      </w:r>
      <w:r w:rsidR="00541D05">
        <w:t xml:space="preserve"> </w:t>
      </w:r>
      <w:r w:rsidR="00D9258C" w:rsidRPr="00FD6A6A">
        <w:t>improvement</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social</w:t>
      </w:r>
      <w:r w:rsidR="00541D05">
        <w:t xml:space="preserve"> </w:t>
      </w:r>
      <w:r w:rsidR="00D9258C" w:rsidRPr="00FD6A6A">
        <w:t>memory,</w:t>
      </w:r>
      <w:r w:rsidR="00541D05">
        <w:t xml:space="preserve"> </w:t>
      </w:r>
      <w:r w:rsidR="00D9258C" w:rsidRPr="00FD6A6A">
        <w:t>increasing</w:t>
      </w:r>
      <w:r w:rsidR="00541D05">
        <w:t xml:space="preserve"> </w:t>
      </w:r>
      <w:r w:rsidR="00D9258C" w:rsidRPr="00FD6A6A">
        <w:t>visibility</w:t>
      </w:r>
      <w:r w:rsidR="00541D05">
        <w:t xml:space="preserve"> </w:t>
      </w:r>
      <w:r w:rsidR="00D9258C" w:rsidRPr="00FD6A6A">
        <w:t>of</w:t>
      </w:r>
      <w:r w:rsidR="00541D05">
        <w:t xml:space="preserve"> </w:t>
      </w:r>
      <w:r w:rsidR="00D9258C" w:rsidRPr="00FD6A6A">
        <w:t>this</w:t>
      </w:r>
      <w:r w:rsidR="00541D05">
        <w:t xml:space="preserve"> </w:t>
      </w:r>
      <w:r w:rsidR="00D9258C" w:rsidRPr="00FD6A6A">
        <w:t>group</w:t>
      </w:r>
      <w:r w:rsidR="00541D05">
        <w:t xml:space="preserve"> </w:t>
      </w:r>
      <w:r w:rsidR="00D9258C" w:rsidRPr="00FD6A6A">
        <w:t>both</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statistics,</w:t>
      </w:r>
      <w:r w:rsidR="00541D05">
        <w:t xml:space="preserve"> </w:t>
      </w:r>
      <w:r w:rsidR="00D9258C" w:rsidRPr="00FD6A6A">
        <w:t>aiming</w:t>
      </w:r>
      <w:r w:rsidR="00541D05">
        <w:t xml:space="preserve"> </w:t>
      </w:r>
      <w:r w:rsidR="00D9258C" w:rsidRPr="00FD6A6A">
        <w:t>at</w:t>
      </w:r>
      <w:r w:rsidR="00541D05">
        <w:t xml:space="preserve"> </w:t>
      </w:r>
      <w:r w:rsidR="00D9258C" w:rsidRPr="00FD6A6A">
        <w:t>providing</w:t>
      </w:r>
      <w:r w:rsidR="00541D05">
        <w:t xml:space="preserve"> </w:t>
      </w:r>
      <w:r w:rsidR="00D9258C" w:rsidRPr="00FD6A6A">
        <w:t>access</w:t>
      </w:r>
      <w:r w:rsidR="00541D05">
        <w:t xml:space="preserve"> </w:t>
      </w:r>
      <w:r w:rsidR="00D9258C" w:rsidRPr="00FD6A6A">
        <w:t>to</w:t>
      </w:r>
      <w:r w:rsidR="00541D05">
        <w:t xml:space="preserve"> </w:t>
      </w:r>
      <w:r w:rsidR="00D9258C" w:rsidRPr="00FD6A6A">
        <w:t>public</w:t>
      </w:r>
      <w:r w:rsidR="00541D05">
        <w:t xml:space="preserve"> </w:t>
      </w:r>
      <w:r w:rsidR="00D9258C" w:rsidRPr="00FD6A6A">
        <w:t>policies,</w:t>
      </w:r>
      <w:r w:rsidR="00541D05">
        <w:t xml:space="preserve"> </w:t>
      </w:r>
      <w:r w:rsidR="00D9258C" w:rsidRPr="00FD6A6A">
        <w:t>and</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historical</w:t>
      </w:r>
      <w:r w:rsidR="00541D05">
        <w:t xml:space="preserve"> </w:t>
      </w:r>
      <w:r w:rsidR="00D9258C" w:rsidRPr="00FD6A6A">
        <w:t>and</w:t>
      </w:r>
      <w:r w:rsidR="00541D05">
        <w:t xml:space="preserve"> </w:t>
      </w:r>
      <w:r w:rsidR="00D9258C" w:rsidRPr="00FD6A6A">
        <w:t>cultural</w:t>
      </w:r>
      <w:r w:rsidR="00541D05">
        <w:t xml:space="preserve"> </w:t>
      </w:r>
      <w:r w:rsidR="00D9258C" w:rsidRPr="00FD6A6A">
        <w:t>backgrounds.</w:t>
      </w:r>
    </w:p>
    <w:p w14:paraId="38CD7C75" w14:textId="23172E3D" w:rsidR="00D9258C" w:rsidRPr="00FD6A6A" w:rsidRDefault="00166390" w:rsidP="00166390">
      <w:pPr>
        <w:pStyle w:val="ParaNoG"/>
        <w:numPr>
          <w:ilvl w:val="0"/>
          <w:numId w:val="0"/>
        </w:numPr>
        <w:tabs>
          <w:tab w:val="left" w:pos="0"/>
        </w:tabs>
        <w:ind w:left="1134"/>
      </w:pPr>
      <w:r w:rsidRPr="00FD6A6A">
        <w:t>138.</w:t>
      </w:r>
      <w:r w:rsidRPr="00FD6A6A">
        <w:tab/>
      </w:r>
      <w:r w:rsidR="00D9258C" w:rsidRPr="00FD6A6A">
        <w:t>Therefore,</w:t>
      </w:r>
      <w:r w:rsidR="00541D05">
        <w:t xml:space="preserve"> </w:t>
      </w:r>
      <w:r w:rsidR="00D9258C" w:rsidRPr="00FD6A6A">
        <w:t>SNPPIR</w:t>
      </w:r>
      <w:r w:rsidR="00541D05">
        <w:t xml:space="preserve"> </w:t>
      </w:r>
      <w:r w:rsidR="00D9258C" w:rsidRPr="00FD6A6A">
        <w:t>and</w:t>
      </w:r>
      <w:r w:rsidR="00541D05">
        <w:t xml:space="preserve"> </w:t>
      </w:r>
      <w:r w:rsidR="00D9258C" w:rsidRPr="00FD6A6A">
        <w:t>IBGE</w:t>
      </w:r>
      <w:r w:rsidR="00541D05">
        <w:t xml:space="preserve"> </w:t>
      </w:r>
      <w:r w:rsidR="00D9258C" w:rsidRPr="00FD6A6A">
        <w:t>have</w:t>
      </w:r>
      <w:r w:rsidR="00541D05">
        <w:t xml:space="preserve"> </w:t>
      </w:r>
      <w:r w:rsidR="00D9258C" w:rsidRPr="00FD6A6A">
        <w:t>been</w:t>
      </w:r>
      <w:r w:rsidR="00541D05">
        <w:t xml:space="preserve"> </w:t>
      </w:r>
      <w:r w:rsidR="00D9258C" w:rsidRPr="00FD6A6A">
        <w:t>increasing</w:t>
      </w:r>
      <w:r w:rsidR="00541D05">
        <w:t xml:space="preserve"> </w:t>
      </w:r>
      <w:r w:rsidR="00D9258C" w:rsidRPr="00FD6A6A">
        <w:t>efforts</w:t>
      </w:r>
      <w:r w:rsidR="00541D05">
        <w:t xml:space="preserve"> </w:t>
      </w:r>
      <w:r w:rsidR="00D9258C" w:rsidRPr="00FD6A6A">
        <w:t>to</w:t>
      </w:r>
      <w:r w:rsidR="00541D05">
        <w:t xml:space="preserve"> </w:t>
      </w:r>
      <w:r w:rsidR="00D9258C" w:rsidRPr="00FD6A6A">
        <w:t>identify</w:t>
      </w:r>
      <w:r w:rsidR="00541D05">
        <w:t xml:space="preserve"> </w:t>
      </w:r>
      <w:r w:rsidR="00D9258C" w:rsidRPr="00FD6A6A">
        <w:t>the</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in</w:t>
      </w:r>
      <w:r w:rsidR="00541D05">
        <w:t xml:space="preserve"> </w:t>
      </w:r>
      <w:r w:rsidR="00D9258C" w:rsidRPr="00FD6A6A">
        <w:t>the</w:t>
      </w:r>
      <w:r w:rsidR="00541D05">
        <w:t xml:space="preserve"> </w:t>
      </w:r>
      <w:r w:rsidR="00D9258C" w:rsidRPr="00FD6A6A">
        <w:t>next</w:t>
      </w:r>
      <w:r w:rsidR="00541D05">
        <w:t xml:space="preserve"> </w:t>
      </w:r>
      <w:r w:rsidR="00D9258C" w:rsidRPr="00FD6A6A">
        <w:t>Population</w:t>
      </w:r>
      <w:r w:rsidR="00541D05">
        <w:t xml:space="preserve"> </w:t>
      </w:r>
      <w:r w:rsidR="00D9258C" w:rsidRPr="00FD6A6A">
        <w:t>Census</w:t>
      </w:r>
      <w:r w:rsidR="00541D05">
        <w:t xml:space="preserve"> </w:t>
      </w:r>
      <w:r w:rsidR="00D9258C" w:rsidRPr="00FD6A6A">
        <w:t>to</w:t>
      </w:r>
      <w:r w:rsidR="00541D05">
        <w:t xml:space="preserve"> </w:t>
      </w:r>
      <w:r w:rsidR="00D9258C" w:rsidRPr="00FD6A6A">
        <w:t>be</w:t>
      </w:r>
      <w:r w:rsidR="00541D05">
        <w:t xml:space="preserve"> </w:t>
      </w:r>
      <w:r w:rsidR="00D9258C" w:rsidRPr="00FD6A6A">
        <w:t>carried</w:t>
      </w:r>
      <w:r w:rsidR="00541D05">
        <w:t xml:space="preserve"> </w:t>
      </w:r>
      <w:r w:rsidR="00D9258C" w:rsidRPr="00FD6A6A">
        <w:t>out</w:t>
      </w:r>
      <w:r w:rsidR="00541D05">
        <w:t xml:space="preserve"> </w:t>
      </w:r>
      <w:r w:rsidR="00D9258C" w:rsidRPr="00FD6A6A">
        <w:t>in</w:t>
      </w:r>
      <w:r w:rsidR="00541D05">
        <w:t xml:space="preserve"> </w:t>
      </w:r>
      <w:r w:rsidR="00D9258C" w:rsidRPr="00FD6A6A">
        <w:t>2021.</w:t>
      </w:r>
      <w:r w:rsidR="00541D05">
        <w:t xml:space="preserve"> </w:t>
      </w:r>
      <w:r w:rsidR="00D9258C" w:rsidRPr="00FD6A6A">
        <w:t>Increasing</w:t>
      </w:r>
      <w:r w:rsidR="00541D05">
        <w:t xml:space="preserve"> </w:t>
      </w:r>
      <w:r w:rsidR="00D9258C" w:rsidRPr="00FD6A6A">
        <w:t>statistical</w:t>
      </w:r>
      <w:r w:rsidR="00541D05">
        <w:t xml:space="preserve"> </w:t>
      </w:r>
      <w:r w:rsidR="00D9258C" w:rsidRPr="00FD6A6A">
        <w:t>visibility</w:t>
      </w:r>
      <w:r w:rsidR="00541D05">
        <w:t xml:space="preserve"> </w:t>
      </w:r>
      <w:r w:rsidR="00D9258C" w:rsidRPr="00FD6A6A">
        <w:t>will</w:t>
      </w:r>
      <w:r w:rsidR="00541D05">
        <w:t xml:space="preserve"> </w:t>
      </w:r>
      <w:r w:rsidR="00D9258C" w:rsidRPr="00FD6A6A">
        <w:t>contribute</w:t>
      </w:r>
      <w:r w:rsidR="00541D05">
        <w:t xml:space="preserve"> </w:t>
      </w:r>
      <w:r w:rsidR="00D9258C" w:rsidRPr="00FD6A6A">
        <w:t>to</w:t>
      </w:r>
      <w:r w:rsidR="00541D05">
        <w:t xml:space="preserve"> </w:t>
      </w:r>
      <w:r w:rsidR="00D9258C" w:rsidRPr="00FD6A6A">
        <w:t>identifying</w:t>
      </w:r>
      <w:r w:rsidR="00541D05">
        <w:t xml:space="preserve"> </w:t>
      </w:r>
      <w:r w:rsidR="00D9258C" w:rsidRPr="00FD6A6A">
        <w:t>their</w:t>
      </w:r>
      <w:r w:rsidR="00541D05">
        <w:t xml:space="preserve"> </w:t>
      </w:r>
      <w:r w:rsidR="00D9258C" w:rsidRPr="00FD6A6A">
        <w:t>demands</w:t>
      </w:r>
      <w:r w:rsidR="00541D05">
        <w:t xml:space="preserve"> </w:t>
      </w:r>
      <w:r w:rsidR="00D9258C" w:rsidRPr="00FD6A6A">
        <w:t>and</w:t>
      </w:r>
      <w:r w:rsidR="00541D05">
        <w:t xml:space="preserve"> </w:t>
      </w:r>
      <w:r w:rsidR="00D9258C" w:rsidRPr="00FD6A6A">
        <w:t>necessities,</w:t>
      </w:r>
      <w:r w:rsidR="00541D05">
        <w:t xml:space="preserve"> </w:t>
      </w:r>
      <w:r w:rsidR="00D9258C" w:rsidRPr="00FD6A6A">
        <w:lastRenderedPageBreak/>
        <w:t>better</w:t>
      </w:r>
      <w:r w:rsidR="00541D05">
        <w:t xml:space="preserve"> </w:t>
      </w:r>
      <w:r w:rsidR="00D9258C" w:rsidRPr="00FD6A6A">
        <w:t>knowledge</w:t>
      </w:r>
      <w:r w:rsidR="00541D05">
        <w:t xml:space="preserve"> </w:t>
      </w:r>
      <w:r w:rsidR="00D9258C" w:rsidRPr="00FD6A6A">
        <w:t>of</w:t>
      </w:r>
      <w:r w:rsidR="00541D05">
        <w:t xml:space="preserve"> </w:t>
      </w:r>
      <w:r w:rsidR="00D9258C" w:rsidRPr="00FD6A6A">
        <w:t>the</w:t>
      </w:r>
      <w:r w:rsidR="00541D05">
        <w:t xml:space="preserve"> </w:t>
      </w:r>
      <w:r w:rsidR="00D9258C" w:rsidRPr="00FD6A6A">
        <w:t>characteristics</w:t>
      </w:r>
      <w:r w:rsidR="00541D05">
        <w:t xml:space="preserve"> </w:t>
      </w:r>
      <w:r w:rsidR="00D9258C" w:rsidRPr="00FD6A6A">
        <w:t>of</w:t>
      </w:r>
      <w:r w:rsidR="00541D05">
        <w:t xml:space="preserve"> </w:t>
      </w:r>
      <w:r w:rsidR="00D9258C" w:rsidRPr="00FD6A6A">
        <w:t>these</w:t>
      </w:r>
      <w:r w:rsidR="00541D05">
        <w:t xml:space="preserve"> </w:t>
      </w:r>
      <w:r w:rsidR="00D9258C" w:rsidRPr="00FD6A6A">
        <w:t>territories,</w:t>
      </w:r>
      <w:r w:rsidR="00541D05">
        <w:t xml:space="preserve"> </w:t>
      </w:r>
      <w:r w:rsidR="00D9258C" w:rsidRPr="00FD6A6A">
        <w:t>and</w:t>
      </w:r>
      <w:r w:rsidR="00541D05">
        <w:t xml:space="preserve"> </w:t>
      </w:r>
      <w:r w:rsidR="00D9258C" w:rsidRPr="00FD6A6A">
        <w:t>guaranteeing</w:t>
      </w:r>
      <w:r w:rsidR="00541D05">
        <w:t xml:space="preserve"> </w:t>
      </w:r>
      <w:r w:rsidR="00D9258C" w:rsidRPr="00FD6A6A">
        <w:t>a</w:t>
      </w:r>
      <w:r w:rsidR="00541D05">
        <w:t xml:space="preserve"> </w:t>
      </w:r>
      <w:r w:rsidR="00D9258C" w:rsidRPr="00FD6A6A">
        <w:t>policy</w:t>
      </w:r>
      <w:r w:rsidR="00541D05">
        <w:t xml:space="preserve"> </w:t>
      </w:r>
      <w:r w:rsidR="00D9258C" w:rsidRPr="00FD6A6A">
        <w:t>development</w:t>
      </w:r>
      <w:r w:rsidR="00541D05">
        <w:t xml:space="preserve"> </w:t>
      </w:r>
      <w:r w:rsidR="00D9258C" w:rsidRPr="00FD6A6A">
        <w:t>better</w:t>
      </w:r>
      <w:r w:rsidR="00541D05">
        <w:t xml:space="preserve"> </w:t>
      </w:r>
      <w:r w:rsidR="00D9258C" w:rsidRPr="00FD6A6A">
        <w:t>suitable</w:t>
      </w:r>
      <w:r w:rsidR="00541D05">
        <w:t xml:space="preserve"> </w:t>
      </w:r>
      <w:r w:rsidR="00D9258C" w:rsidRPr="00FD6A6A">
        <w:t>for</w:t>
      </w:r>
      <w:r w:rsidR="00541D05">
        <w:t xml:space="preserve"> </w:t>
      </w:r>
      <w:r w:rsidR="00D9258C" w:rsidRPr="00FD6A6A">
        <w:t>their</w:t>
      </w:r>
      <w:r w:rsidR="00541D05">
        <w:t xml:space="preserve"> </w:t>
      </w:r>
      <w:r w:rsidR="00D9258C" w:rsidRPr="00FD6A6A">
        <w:t>specificities.</w:t>
      </w:r>
    </w:p>
    <w:p w14:paraId="3E2C6953" w14:textId="59C62F73" w:rsidR="00D9258C" w:rsidRPr="00FD6A6A" w:rsidRDefault="00166390" w:rsidP="00166390">
      <w:pPr>
        <w:pStyle w:val="ParaNoG"/>
        <w:numPr>
          <w:ilvl w:val="0"/>
          <w:numId w:val="0"/>
        </w:numPr>
        <w:tabs>
          <w:tab w:val="left" w:pos="0"/>
        </w:tabs>
        <w:ind w:left="1134"/>
      </w:pPr>
      <w:r w:rsidRPr="00FD6A6A">
        <w:t>139.</w:t>
      </w:r>
      <w:r w:rsidRPr="00FD6A6A">
        <w:tab/>
      </w:r>
      <w:r w:rsidR="00D9258C" w:rsidRPr="00FD6A6A">
        <w:t>As</w:t>
      </w:r>
      <w:r w:rsidR="00541D05">
        <w:t xml:space="preserve"> </w:t>
      </w:r>
      <w:r w:rsidR="00D9258C" w:rsidRPr="00FD6A6A">
        <w:t>to</w:t>
      </w:r>
      <w:r w:rsidR="00541D05">
        <w:t xml:space="preserve"> </w:t>
      </w:r>
      <w:r w:rsidR="00D9258C" w:rsidRPr="00FD6A6A">
        <w:t>the</w:t>
      </w:r>
      <w:r w:rsidR="00541D05">
        <w:t xml:space="preserve"> </w:t>
      </w:r>
      <w:r w:rsidR="00D9258C" w:rsidRPr="00FD6A6A">
        <w:t>access</w:t>
      </w:r>
      <w:r w:rsidR="00541D05">
        <w:t xml:space="preserve"> </w:t>
      </w:r>
      <w:r w:rsidR="00D9258C" w:rsidRPr="00FD6A6A">
        <w:t>to</w:t>
      </w:r>
      <w:r w:rsidR="00541D05">
        <w:t xml:space="preserve"> </w:t>
      </w:r>
      <w:r w:rsidR="00D9258C" w:rsidRPr="00FD6A6A">
        <w:t>land</w:t>
      </w:r>
      <w:r w:rsidR="00541D05">
        <w:t xml:space="preserve"> </w:t>
      </w:r>
      <w:r w:rsidR="00D9258C" w:rsidRPr="00FD6A6A">
        <w:t>and</w:t>
      </w:r>
      <w:r w:rsidR="00541D05">
        <w:t xml:space="preserve"> </w:t>
      </w:r>
      <w:r w:rsidR="00D9258C" w:rsidRPr="00FD6A6A">
        <w:t>land</w:t>
      </w:r>
      <w:r w:rsidR="00541D05">
        <w:t xml:space="preserve"> </w:t>
      </w:r>
      <w:r w:rsidR="00D9258C" w:rsidRPr="00FD6A6A">
        <w:t>regularization,</w:t>
      </w:r>
      <w:r w:rsidR="00541D05">
        <w:t xml:space="preserve"> </w:t>
      </w:r>
      <w:r w:rsidR="00D9258C" w:rsidRPr="00FD6A6A">
        <w:t>some</w:t>
      </w:r>
      <w:r w:rsidR="00541D05">
        <w:t xml:space="preserve"> </w:t>
      </w:r>
      <w:r w:rsidR="00D9258C" w:rsidRPr="00FD6A6A">
        <w:t>programs</w:t>
      </w:r>
      <w:r w:rsidR="00541D05">
        <w:t xml:space="preserve"> </w:t>
      </w:r>
      <w:r w:rsidR="00D9258C" w:rsidRPr="00FD6A6A">
        <w:t>have</w:t>
      </w:r>
      <w:r w:rsidR="00541D05">
        <w:t xml:space="preserve"> </w:t>
      </w:r>
      <w:r w:rsidR="00D9258C" w:rsidRPr="00FD6A6A">
        <w:t>been</w:t>
      </w:r>
      <w:r w:rsidR="00541D05">
        <w:t xml:space="preserve"> </w:t>
      </w:r>
      <w:r w:rsidR="00D9258C" w:rsidRPr="00FD6A6A">
        <w:t>created</w:t>
      </w:r>
      <w:r w:rsidR="00541D05">
        <w:t xml:space="preserve"> </w:t>
      </w:r>
      <w:r w:rsidR="00D9258C" w:rsidRPr="00FD6A6A">
        <w:t>to</w:t>
      </w:r>
      <w:r w:rsidR="00541D05">
        <w:t xml:space="preserve"> </w:t>
      </w:r>
      <w:r w:rsidR="00D9258C" w:rsidRPr="00FD6A6A">
        <w:t>solve</w:t>
      </w:r>
      <w:r w:rsidR="00541D05">
        <w:t xml:space="preserve"> </w:t>
      </w:r>
      <w:r w:rsidR="00D9258C" w:rsidRPr="00FD6A6A">
        <w:t>infrastructure</w:t>
      </w:r>
      <w:r w:rsidR="00541D05">
        <w:t xml:space="preserve"> </w:t>
      </w:r>
      <w:r w:rsidR="00D9258C" w:rsidRPr="00FD6A6A">
        <w:t>issues</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with</w:t>
      </w:r>
      <w:r w:rsidR="00541D05">
        <w:t xml:space="preserve"> </w:t>
      </w:r>
      <w:r w:rsidR="00D9258C" w:rsidRPr="00FD6A6A">
        <w:t>Quilombolas</w:t>
      </w:r>
      <w:r w:rsidR="00541D05">
        <w:t xml:space="preserve"> </w:t>
      </w:r>
      <w:r w:rsidR="00D9258C" w:rsidRPr="00FD6A6A">
        <w:t>as</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strategic</w:t>
      </w:r>
      <w:r w:rsidR="00541D05">
        <w:t xml:space="preserve"> </w:t>
      </w:r>
      <w:r w:rsidR="00D9258C" w:rsidRPr="00FD6A6A">
        <w:t>targets,</w:t>
      </w:r>
      <w:r w:rsidR="00541D05">
        <w:t xml:space="preserve"> </w:t>
      </w:r>
      <w:r w:rsidR="00D9258C" w:rsidRPr="00FD6A6A">
        <w:t>for</w:t>
      </w:r>
      <w:r w:rsidR="00541D05">
        <w:t xml:space="preserve"> </w:t>
      </w:r>
      <w:r w:rsidR="00D9258C" w:rsidRPr="00FD6A6A">
        <w:t>example,</w:t>
      </w:r>
      <w:r w:rsidR="00541D05">
        <w:t xml:space="preserve"> </w:t>
      </w:r>
      <w:r w:rsidR="00D9258C" w:rsidRPr="00FD6A6A">
        <w:t>the</w:t>
      </w:r>
      <w:r w:rsidR="00541D05">
        <w:t xml:space="preserve"> </w:t>
      </w:r>
      <w:r w:rsidR="00D9258C" w:rsidRPr="00FD6A6A">
        <w:t>Luz</w:t>
      </w:r>
      <w:r w:rsidR="00541D05">
        <w:t xml:space="preserve"> </w:t>
      </w:r>
      <w:r w:rsidR="00D9258C" w:rsidRPr="00FD6A6A">
        <w:t>para</w:t>
      </w:r>
      <w:r w:rsidR="00541D05">
        <w:t xml:space="preserve"> </w:t>
      </w:r>
      <w:r w:rsidR="00D9258C" w:rsidRPr="00FD6A6A">
        <w:t>Todos</w:t>
      </w:r>
      <w:r w:rsidR="00541D05">
        <w:t xml:space="preserve"> </w:t>
      </w:r>
      <w:r w:rsidR="00D9258C" w:rsidRPr="00FD6A6A">
        <w:t>(Electricity</w:t>
      </w:r>
      <w:r w:rsidR="00541D05">
        <w:t xml:space="preserve"> </w:t>
      </w:r>
      <w:r w:rsidR="00D9258C" w:rsidRPr="00FD6A6A">
        <w:t>for</w:t>
      </w:r>
      <w:r w:rsidR="00541D05">
        <w:t xml:space="preserve"> </w:t>
      </w:r>
      <w:r w:rsidR="00D9258C" w:rsidRPr="00FD6A6A">
        <w:t>All)</w:t>
      </w:r>
      <w:r w:rsidR="00541D05">
        <w:t xml:space="preserve"> </w:t>
      </w:r>
      <w:r w:rsidR="00D9258C" w:rsidRPr="00FD6A6A">
        <w:t>Program,</w:t>
      </w:r>
      <w:r w:rsidR="00541D05">
        <w:t xml:space="preserve"> </w:t>
      </w:r>
      <w:r w:rsidR="00D9258C" w:rsidRPr="00FD6A6A">
        <w:t>the</w:t>
      </w:r>
      <w:r w:rsidR="00541D05">
        <w:t xml:space="preserve"> </w:t>
      </w:r>
      <w:r w:rsidR="00D9258C" w:rsidRPr="00FD6A6A">
        <w:t>National</w:t>
      </w:r>
      <w:r w:rsidR="00541D05">
        <w:t xml:space="preserve"> </w:t>
      </w:r>
      <w:r w:rsidR="00D9258C" w:rsidRPr="00FD6A6A">
        <w:t>Program</w:t>
      </w:r>
      <w:r w:rsidR="00541D05">
        <w:t xml:space="preserve"> </w:t>
      </w:r>
      <w:r w:rsidR="00D9258C" w:rsidRPr="00FD6A6A">
        <w:t>for</w:t>
      </w:r>
      <w:r w:rsidR="00541D05">
        <w:t xml:space="preserve"> </w:t>
      </w:r>
      <w:r w:rsidR="00D9258C" w:rsidRPr="00FD6A6A">
        <w:t>Rural</w:t>
      </w:r>
      <w:r w:rsidR="00541D05">
        <w:t xml:space="preserve"> </w:t>
      </w:r>
      <w:r w:rsidR="00D9258C" w:rsidRPr="00FD6A6A">
        <w:t>Housing,</w:t>
      </w:r>
      <w:r w:rsidR="00541D05">
        <w:t xml:space="preserve"> </w:t>
      </w:r>
      <w:r w:rsidR="00D9258C" w:rsidRPr="00FD6A6A">
        <w:t>and</w:t>
      </w:r>
      <w:r w:rsidR="00541D05">
        <w:t xml:space="preserve"> </w:t>
      </w:r>
      <w:r w:rsidR="00D9258C" w:rsidRPr="00FD6A6A">
        <w:t>the</w:t>
      </w:r>
      <w:r w:rsidR="00541D05">
        <w:t xml:space="preserve"> </w:t>
      </w:r>
      <w:r w:rsidR="00D9258C" w:rsidRPr="00FD6A6A">
        <w:t>National</w:t>
      </w:r>
      <w:r w:rsidR="00541D05">
        <w:t xml:space="preserve"> </w:t>
      </w:r>
      <w:r w:rsidR="00D9258C" w:rsidRPr="00FD6A6A">
        <w:t>Program</w:t>
      </w:r>
      <w:r w:rsidR="00541D05">
        <w:t xml:space="preserve"> </w:t>
      </w:r>
      <w:r w:rsidR="00D9258C" w:rsidRPr="00FD6A6A">
        <w:t>for</w:t>
      </w:r>
      <w:r w:rsidR="00541D05">
        <w:t xml:space="preserve"> </w:t>
      </w:r>
      <w:r w:rsidR="00D9258C" w:rsidRPr="00FD6A6A">
        <w:t>Rural</w:t>
      </w:r>
      <w:r w:rsidR="00541D05">
        <w:t xml:space="preserve"> </w:t>
      </w:r>
      <w:r w:rsidR="00D9258C" w:rsidRPr="00FD6A6A">
        <w:t>Sanitation,</w:t>
      </w:r>
      <w:r w:rsidR="00541D05">
        <w:t xml:space="preserve"> </w:t>
      </w:r>
      <w:r w:rsidR="00D9258C" w:rsidRPr="00FD6A6A">
        <w:t>which</w:t>
      </w:r>
      <w:r w:rsidR="00541D05">
        <w:t xml:space="preserve"> </w:t>
      </w:r>
      <w:r w:rsidR="00D9258C" w:rsidRPr="00FD6A6A">
        <w:t>takes</w:t>
      </w:r>
      <w:r w:rsidR="00541D05">
        <w:t xml:space="preserve"> </w:t>
      </w:r>
      <w:r w:rsidR="00D9258C" w:rsidRPr="00FD6A6A">
        <w:t>actions</w:t>
      </w:r>
      <w:r w:rsidR="00541D05">
        <w:t xml:space="preserve"> </w:t>
      </w:r>
      <w:r w:rsidR="00D9258C" w:rsidRPr="00FD6A6A">
        <w:t>involving</w:t>
      </w:r>
      <w:r w:rsidR="00541D05">
        <w:t xml:space="preserve"> </w:t>
      </w:r>
      <w:r w:rsidR="00D9258C" w:rsidRPr="00FD6A6A">
        <w:t>water</w:t>
      </w:r>
      <w:r w:rsidR="00541D05">
        <w:t xml:space="preserve"> </w:t>
      </w:r>
      <w:r w:rsidR="00D9258C" w:rsidRPr="00FD6A6A">
        <w:t>supply</w:t>
      </w:r>
      <w:r w:rsidR="00541D05">
        <w:t xml:space="preserve"> </w:t>
      </w:r>
      <w:r w:rsidR="00D9258C" w:rsidRPr="00FD6A6A">
        <w:t>systems,</w:t>
      </w:r>
      <w:r w:rsidR="00541D05">
        <w:t xml:space="preserve"> </w:t>
      </w:r>
      <w:r w:rsidR="00D9258C" w:rsidRPr="00FD6A6A">
        <w:t>sanitary</w:t>
      </w:r>
      <w:r w:rsidR="00541D05">
        <w:t xml:space="preserve"> </w:t>
      </w:r>
      <w:r w:rsidR="00D9258C" w:rsidRPr="00FD6A6A">
        <w:t>sewer</w:t>
      </w:r>
      <w:r w:rsidR="00541D05">
        <w:t xml:space="preserve"> </w:t>
      </w:r>
      <w:r w:rsidR="00D9258C" w:rsidRPr="00FD6A6A">
        <w:t>systems,</w:t>
      </w:r>
      <w:r w:rsidR="00541D05">
        <w:t xml:space="preserve"> </w:t>
      </w:r>
      <w:r w:rsidR="00D9258C" w:rsidRPr="00FD6A6A">
        <w:t>and</w:t>
      </w:r>
      <w:r w:rsidR="00541D05">
        <w:t xml:space="preserve"> </w:t>
      </w:r>
      <w:r w:rsidR="00D9258C" w:rsidRPr="00FD6A6A">
        <w:t>residential</w:t>
      </w:r>
      <w:r w:rsidR="00541D05">
        <w:t xml:space="preserve"> </w:t>
      </w:r>
      <w:r w:rsidR="00D9258C" w:rsidRPr="00FD6A6A">
        <w:t>sanitary</w:t>
      </w:r>
      <w:r w:rsidR="00541D05">
        <w:t xml:space="preserve"> </w:t>
      </w:r>
      <w:r w:rsidR="00D9258C" w:rsidRPr="00FD6A6A">
        <w:t>improvements.</w:t>
      </w:r>
    </w:p>
    <w:p w14:paraId="48D1604E" w14:textId="1E87C611" w:rsidR="00D9258C" w:rsidRPr="00FD6A6A" w:rsidRDefault="00166390" w:rsidP="00166390">
      <w:pPr>
        <w:pStyle w:val="ParaNoG"/>
        <w:numPr>
          <w:ilvl w:val="0"/>
          <w:numId w:val="0"/>
        </w:numPr>
        <w:tabs>
          <w:tab w:val="left" w:pos="0"/>
        </w:tabs>
        <w:ind w:left="1134"/>
      </w:pPr>
      <w:r w:rsidRPr="00FD6A6A">
        <w:t>140.</w:t>
      </w:r>
      <w:r w:rsidRPr="00FD6A6A">
        <w:tab/>
      </w:r>
      <w:r w:rsidR="00D9258C" w:rsidRPr="00FD6A6A">
        <w:t>The</w:t>
      </w:r>
      <w:r w:rsidR="00541D05">
        <w:t xml:space="preserve"> </w:t>
      </w:r>
      <w:r w:rsidR="00D9258C" w:rsidRPr="00FD6A6A">
        <w:t>health</w:t>
      </w:r>
      <w:r w:rsidR="00541D05">
        <w:t xml:space="preserve"> </w:t>
      </w:r>
      <w:r w:rsidR="00D9258C" w:rsidRPr="00FD6A6A">
        <w:t>of</w:t>
      </w:r>
      <w:r w:rsidR="00541D05">
        <w:t xml:space="preserve"> </w:t>
      </w:r>
      <w:r w:rsidR="00D9258C" w:rsidRPr="00FD6A6A">
        <w:t>the</w:t>
      </w:r>
      <w:r w:rsidR="00541D05">
        <w:t xml:space="preserve"> </w:t>
      </w:r>
      <w:r w:rsidR="00D9258C" w:rsidRPr="00FD6A6A">
        <w:t>Quilombola</w:t>
      </w:r>
      <w:r w:rsidR="00541D05">
        <w:t xml:space="preserve"> </w:t>
      </w:r>
      <w:r w:rsidR="00D9258C" w:rsidRPr="00FD6A6A">
        <w:t>population</w:t>
      </w:r>
      <w:r w:rsidR="00541D05">
        <w:t xml:space="preserve"> </w:t>
      </w:r>
      <w:r w:rsidR="00D9258C" w:rsidRPr="00FD6A6A">
        <w:t>has</w:t>
      </w:r>
      <w:r w:rsidR="00541D05">
        <w:t xml:space="preserve"> </w:t>
      </w:r>
      <w:r w:rsidR="00D9258C" w:rsidRPr="00FD6A6A">
        <w:t>deserved</w:t>
      </w:r>
      <w:r w:rsidR="00541D05">
        <w:t xml:space="preserve"> </w:t>
      </w:r>
      <w:r w:rsidR="00D9258C" w:rsidRPr="00FD6A6A">
        <w:t>special</w:t>
      </w:r>
      <w:r w:rsidR="00541D05">
        <w:t xml:space="preserve"> </w:t>
      </w:r>
      <w:r w:rsidR="00D9258C" w:rsidRPr="00FD6A6A">
        <w:t>attention</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with</w:t>
      </w:r>
      <w:r w:rsidR="00541D05">
        <w:t xml:space="preserve"> </w:t>
      </w:r>
      <w:r w:rsidR="00D9258C" w:rsidRPr="00FD6A6A">
        <w:t>references</w:t>
      </w:r>
      <w:r w:rsidR="00541D05">
        <w:t xml:space="preserve"> </w:t>
      </w:r>
      <w:r w:rsidR="00D9258C" w:rsidRPr="00FD6A6A">
        <w:t>both</w:t>
      </w:r>
      <w:r w:rsidR="00541D05">
        <w:t xml:space="preserve"> </w:t>
      </w:r>
      <w:r w:rsidR="00D9258C" w:rsidRPr="00FD6A6A">
        <w:t>in</w:t>
      </w:r>
      <w:r w:rsidR="00541D05">
        <w:t xml:space="preserve"> </w:t>
      </w:r>
      <w:r w:rsidR="00D9258C" w:rsidRPr="00FD6A6A">
        <w:t>the</w:t>
      </w:r>
      <w:r w:rsidR="00541D05">
        <w:t xml:space="preserve"> </w:t>
      </w:r>
      <w:r w:rsidR="00D9258C" w:rsidRPr="00FD6A6A">
        <w:t>National</w:t>
      </w:r>
      <w:r w:rsidR="00541D05">
        <w:t xml:space="preserve"> </w:t>
      </w:r>
      <w:r w:rsidR="00D9258C" w:rsidRPr="00FD6A6A">
        <w:t>Policy</w:t>
      </w:r>
      <w:r w:rsidR="00541D05">
        <w:t xml:space="preserve"> </w:t>
      </w:r>
      <w:r w:rsidR="00D9258C" w:rsidRPr="00FD6A6A">
        <w:t>for</w:t>
      </w:r>
      <w:r w:rsidR="00541D05">
        <w:t xml:space="preserve"> </w:t>
      </w:r>
      <w:r w:rsidR="00D9258C" w:rsidRPr="00FD6A6A">
        <w:t>Comprehensive</w:t>
      </w:r>
      <w:r w:rsidR="00541D05">
        <w:t xml:space="preserve"> </w:t>
      </w:r>
      <w:r w:rsidR="00D9258C" w:rsidRPr="00FD6A6A">
        <w:t>Health</w:t>
      </w:r>
      <w:r w:rsidR="00541D05">
        <w:t xml:space="preserve"> </w:t>
      </w:r>
      <w:r w:rsidR="00D9258C" w:rsidRPr="00FD6A6A">
        <w:t>Care</w:t>
      </w:r>
      <w:r w:rsidR="00541D05">
        <w:t xml:space="preserve"> </w:t>
      </w:r>
      <w:r w:rsidR="00D9258C" w:rsidRPr="00FD6A6A">
        <w:t>to</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and</w:t>
      </w:r>
      <w:r w:rsidR="00541D05">
        <w:t xml:space="preserve"> </w:t>
      </w:r>
      <w:r w:rsidR="00D9258C" w:rsidRPr="00FD6A6A">
        <w:t>in</w:t>
      </w:r>
      <w:r w:rsidR="00541D05">
        <w:t xml:space="preserve"> </w:t>
      </w:r>
      <w:r w:rsidR="00D9258C" w:rsidRPr="00FD6A6A">
        <w:t>the</w:t>
      </w:r>
      <w:r w:rsidR="00541D05">
        <w:t xml:space="preserve"> </w:t>
      </w:r>
      <w:r w:rsidR="00D9258C" w:rsidRPr="00FD6A6A">
        <w:t>National</w:t>
      </w:r>
      <w:r w:rsidR="00541D05">
        <w:t xml:space="preserve"> </w:t>
      </w:r>
      <w:r w:rsidR="00D9258C" w:rsidRPr="00FD6A6A">
        <w:t>Policy</w:t>
      </w:r>
      <w:r w:rsidR="00541D05">
        <w:t xml:space="preserve"> </w:t>
      </w:r>
      <w:r w:rsidR="00D9258C" w:rsidRPr="00FD6A6A">
        <w:t>for</w:t>
      </w:r>
      <w:r w:rsidR="00541D05">
        <w:t xml:space="preserve"> </w:t>
      </w:r>
      <w:r w:rsidR="00D9258C" w:rsidRPr="00FD6A6A">
        <w:t>Comprehensive</w:t>
      </w:r>
      <w:r w:rsidR="00541D05">
        <w:t xml:space="preserve"> </w:t>
      </w:r>
      <w:r w:rsidR="00D9258C" w:rsidRPr="00FD6A6A">
        <w:t>Health</w:t>
      </w:r>
      <w:r w:rsidR="00541D05">
        <w:t xml:space="preserve"> </w:t>
      </w:r>
      <w:r w:rsidR="00D9258C" w:rsidRPr="00FD6A6A">
        <w:t>Care</w:t>
      </w:r>
      <w:r w:rsidR="00541D05">
        <w:t xml:space="preserve"> </w:t>
      </w:r>
      <w:r w:rsidR="00D9258C" w:rsidRPr="00FD6A6A">
        <w:t>for</w:t>
      </w:r>
      <w:r w:rsidR="00541D05">
        <w:t xml:space="preserve"> </w:t>
      </w:r>
      <w:r w:rsidR="00D9258C" w:rsidRPr="00FD6A6A">
        <w:t>Rural</w:t>
      </w:r>
      <w:r w:rsidR="00541D05">
        <w:t xml:space="preserve"> </w:t>
      </w:r>
      <w:r w:rsidR="00D9258C" w:rsidRPr="00FD6A6A">
        <w:t>and</w:t>
      </w:r>
      <w:r w:rsidR="00541D05">
        <w:t xml:space="preserve"> </w:t>
      </w:r>
      <w:r w:rsidR="00D9258C" w:rsidRPr="00FD6A6A">
        <w:t>Indigenous</w:t>
      </w:r>
      <w:r w:rsidR="00541D05">
        <w:t xml:space="preserve"> </w:t>
      </w:r>
      <w:r w:rsidR="00D9258C" w:rsidRPr="00FD6A6A">
        <w:t>Peoples,</w:t>
      </w:r>
      <w:r w:rsidR="00541D05">
        <w:t xml:space="preserve"> </w:t>
      </w:r>
      <w:r w:rsidR="00D9258C" w:rsidRPr="00FD6A6A">
        <w:t>created</w:t>
      </w:r>
      <w:r w:rsidR="00541D05">
        <w:t xml:space="preserve"> </w:t>
      </w:r>
      <w:r w:rsidR="00D9258C" w:rsidRPr="00FD6A6A">
        <w:t>by</w:t>
      </w:r>
      <w:r w:rsidR="00541D05">
        <w:t xml:space="preserve"> </w:t>
      </w:r>
      <w:r w:rsidR="00D9258C" w:rsidRPr="00FD6A6A">
        <w:t>Ordinance</w:t>
      </w:r>
      <w:r w:rsidR="00541D05">
        <w:t xml:space="preserve"> </w:t>
      </w:r>
      <w:r w:rsidR="00D9258C" w:rsidRPr="00FD6A6A">
        <w:t>No.</w:t>
      </w:r>
      <w:r w:rsidR="00541D05">
        <w:t xml:space="preserve"> </w:t>
      </w:r>
      <w:r w:rsidR="00D9258C" w:rsidRPr="00FD6A6A">
        <w:t>2,886/2011.</w:t>
      </w:r>
      <w:r w:rsidR="00541D05">
        <w:t xml:space="preserve"> </w:t>
      </w:r>
      <w:r w:rsidR="00D9258C" w:rsidRPr="00FD6A6A">
        <w:t>The</w:t>
      </w:r>
      <w:r w:rsidR="00541D05">
        <w:t xml:space="preserve"> </w:t>
      </w:r>
      <w:r w:rsidR="00D9258C" w:rsidRPr="00FD6A6A">
        <w:t>health</w:t>
      </w:r>
      <w:r w:rsidR="00541D05">
        <w:t xml:space="preserve"> </w:t>
      </w:r>
      <w:r w:rsidR="00D9258C" w:rsidRPr="00FD6A6A">
        <w:t>agenda</w:t>
      </w:r>
      <w:r w:rsidR="00541D05">
        <w:t xml:space="preserve"> </w:t>
      </w:r>
      <w:r w:rsidR="00D9258C" w:rsidRPr="00FD6A6A">
        <w:t>is</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core</w:t>
      </w:r>
      <w:r w:rsidR="00541D05">
        <w:t xml:space="preserve"> </w:t>
      </w:r>
      <w:r w:rsidR="00D9258C" w:rsidRPr="00FD6A6A">
        <w:t>pillars</w:t>
      </w:r>
      <w:r w:rsidR="00541D05">
        <w:t xml:space="preserve"> </w:t>
      </w:r>
      <w:r w:rsidR="00D9258C" w:rsidRPr="00FD6A6A">
        <w:t>of</w:t>
      </w:r>
      <w:r w:rsidR="00541D05">
        <w:t xml:space="preserve"> </w:t>
      </w:r>
      <w:r w:rsidR="00D9258C" w:rsidRPr="00FD6A6A">
        <w:t>the</w:t>
      </w:r>
      <w:r w:rsidR="00541D05">
        <w:t xml:space="preserve"> </w:t>
      </w:r>
      <w:r w:rsidR="00D9258C" w:rsidRPr="00FD6A6A">
        <w:t>claims</w:t>
      </w:r>
      <w:r w:rsidR="00541D05">
        <w:t xml:space="preserve"> </w:t>
      </w:r>
      <w:r w:rsidR="00D9258C" w:rsidRPr="00FD6A6A">
        <w:t>of</w:t>
      </w:r>
      <w:r w:rsidR="00541D05">
        <w:t xml:space="preserve"> </w:t>
      </w:r>
      <w:r w:rsidR="00D9258C" w:rsidRPr="00FD6A6A">
        <w:t>Quilombola</w:t>
      </w:r>
      <w:r w:rsidR="00541D05">
        <w:t xml:space="preserve"> </w:t>
      </w:r>
      <w:r w:rsidR="00D9258C" w:rsidRPr="00FD6A6A">
        <w:t>women,</w:t>
      </w:r>
      <w:r w:rsidR="00541D05">
        <w:t xml:space="preserve"> </w:t>
      </w:r>
      <w:r w:rsidR="00D9258C" w:rsidRPr="00FD6A6A">
        <w:t>the</w:t>
      </w:r>
      <w:r w:rsidR="00541D05">
        <w:t xml:space="preserve"> </w:t>
      </w:r>
      <w:r w:rsidR="00D9258C" w:rsidRPr="00FD6A6A">
        <w:t>main</w:t>
      </w:r>
      <w:r w:rsidR="00541D05">
        <w:t xml:space="preserve"> </w:t>
      </w:r>
      <w:r w:rsidR="00D9258C" w:rsidRPr="00FD6A6A">
        <w:t>guarantors</w:t>
      </w:r>
      <w:r w:rsidR="00541D05">
        <w:t xml:space="preserve"> </w:t>
      </w:r>
      <w:r w:rsidR="00D9258C" w:rsidRPr="00FD6A6A">
        <w:t>of</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health</w:t>
      </w:r>
      <w:r w:rsidR="00541D05">
        <w:t xml:space="preserve"> </w:t>
      </w:r>
      <w:r w:rsidR="00D9258C" w:rsidRPr="00FD6A6A">
        <w:t>in</w:t>
      </w:r>
      <w:r w:rsidR="00541D05">
        <w:t xml:space="preserve"> </w:t>
      </w:r>
      <w:r w:rsidR="00D9258C" w:rsidRPr="00FD6A6A">
        <w:t>these</w:t>
      </w:r>
      <w:r w:rsidR="00541D05">
        <w:t xml:space="preserve"> </w:t>
      </w:r>
      <w:r w:rsidR="00D9258C" w:rsidRPr="00FD6A6A">
        <w:t>communities,</w:t>
      </w:r>
      <w:r w:rsidR="00541D05">
        <w:t xml:space="preserve"> </w:t>
      </w:r>
      <w:r w:rsidR="00D9258C" w:rsidRPr="00FD6A6A">
        <w:t>as</w:t>
      </w:r>
      <w:r w:rsidR="00541D05">
        <w:t xml:space="preserve"> </w:t>
      </w:r>
      <w:r w:rsidR="00D9258C" w:rsidRPr="00FD6A6A">
        <w:t>traditional</w:t>
      </w:r>
      <w:r w:rsidR="00541D05">
        <w:t xml:space="preserve"> </w:t>
      </w:r>
      <w:r w:rsidR="00D9258C" w:rsidRPr="00FD6A6A">
        <w:t>midwives,</w:t>
      </w:r>
      <w:r w:rsidR="00541D05">
        <w:t xml:space="preserve"> </w:t>
      </w:r>
      <w:r w:rsidR="00D9258C" w:rsidRPr="00FD6A6A">
        <w:t>healers,</w:t>
      </w:r>
      <w:r w:rsidR="00541D05">
        <w:t xml:space="preserve"> </w:t>
      </w:r>
      <w:r w:rsidR="00D9258C" w:rsidRPr="00FD6A6A">
        <w:t>and</w:t>
      </w:r>
      <w:r w:rsidR="00541D05">
        <w:t xml:space="preserve"> </w:t>
      </w:r>
      <w:r w:rsidR="00D9258C" w:rsidRPr="00FD6A6A">
        <w:t>holders</w:t>
      </w:r>
      <w:r w:rsidR="00541D05">
        <w:t xml:space="preserve"> </w:t>
      </w:r>
      <w:r w:rsidR="00D9258C" w:rsidRPr="00FD6A6A">
        <w:t>of</w:t>
      </w:r>
      <w:r w:rsidR="00541D05">
        <w:t xml:space="preserve"> </w:t>
      </w:r>
      <w:r w:rsidR="00D9258C" w:rsidRPr="00FD6A6A">
        <w:t>traditional</w:t>
      </w:r>
      <w:r w:rsidR="00541D05">
        <w:t xml:space="preserve"> </w:t>
      </w:r>
      <w:r w:rsidR="00D9258C" w:rsidRPr="00FD6A6A">
        <w:t>knowledges.</w:t>
      </w:r>
    </w:p>
    <w:p w14:paraId="2368714C" w14:textId="507473B5" w:rsidR="00D9258C" w:rsidRPr="00FD6A6A" w:rsidRDefault="00166390" w:rsidP="00166390">
      <w:pPr>
        <w:pStyle w:val="ParaNoG"/>
        <w:numPr>
          <w:ilvl w:val="0"/>
          <w:numId w:val="0"/>
        </w:numPr>
        <w:tabs>
          <w:tab w:val="left" w:pos="0"/>
        </w:tabs>
        <w:ind w:left="1134"/>
      </w:pPr>
      <w:r w:rsidRPr="00FD6A6A">
        <w:t>141.</w:t>
      </w:r>
      <w:r w:rsidRPr="00FD6A6A">
        <w:tab/>
      </w:r>
      <w:r w:rsidR="00D9258C" w:rsidRPr="00FD6A6A">
        <w:t>Health</w:t>
      </w:r>
      <w:r w:rsidR="00541D05">
        <w:t xml:space="preserve"> </w:t>
      </w:r>
      <w:r w:rsidR="00D9258C" w:rsidRPr="00FD6A6A">
        <w:t>care</w:t>
      </w:r>
      <w:r w:rsidR="00541D05">
        <w:t xml:space="preserve"> </w:t>
      </w:r>
      <w:r w:rsidR="00D9258C" w:rsidRPr="00FD6A6A">
        <w:t>initiatives</w:t>
      </w:r>
      <w:r w:rsidR="00541D05">
        <w:t xml:space="preserve"> </w:t>
      </w:r>
      <w:r w:rsidR="00D9258C" w:rsidRPr="00FD6A6A">
        <w:t>have</w:t>
      </w:r>
      <w:r w:rsidR="00541D05">
        <w:t xml:space="preserve"> </w:t>
      </w:r>
      <w:r w:rsidR="00D9258C" w:rsidRPr="00FD6A6A">
        <w:t>been</w:t>
      </w:r>
      <w:r w:rsidR="00541D05">
        <w:t xml:space="preserve"> </w:t>
      </w:r>
      <w:r w:rsidR="00D9258C" w:rsidRPr="00FD6A6A">
        <w:t>promoted</w:t>
      </w:r>
      <w:r w:rsidR="00541D05">
        <w:t xml:space="preserve"> </w:t>
      </w:r>
      <w:r w:rsidR="00D9258C" w:rsidRPr="00FD6A6A">
        <w:t>through</w:t>
      </w:r>
      <w:r w:rsidR="00541D05">
        <w:t xml:space="preserve"> </w:t>
      </w:r>
      <w:r w:rsidR="00D9258C" w:rsidRPr="00FD6A6A">
        <w:t>the</w:t>
      </w:r>
      <w:r w:rsidR="00541D05">
        <w:t xml:space="preserve"> </w:t>
      </w:r>
      <w:r w:rsidR="00D9258C" w:rsidRPr="00FD6A6A">
        <w:t>Estratégia</w:t>
      </w:r>
      <w:r w:rsidR="00541D05">
        <w:t xml:space="preserve"> </w:t>
      </w:r>
      <w:r w:rsidR="00D9258C" w:rsidRPr="00FD6A6A">
        <w:t>Saúde</w:t>
      </w:r>
      <w:r w:rsidR="00541D05">
        <w:t xml:space="preserve"> </w:t>
      </w:r>
      <w:r w:rsidR="00D9258C" w:rsidRPr="00FD6A6A">
        <w:t>da</w:t>
      </w:r>
      <w:r w:rsidR="00541D05">
        <w:t xml:space="preserve"> </w:t>
      </w:r>
      <w:r w:rsidR="00D9258C" w:rsidRPr="00FD6A6A">
        <w:t>Família</w:t>
      </w:r>
      <w:r w:rsidR="00541D05">
        <w:t xml:space="preserve"> </w:t>
      </w:r>
      <w:r w:rsidR="00D9258C" w:rsidRPr="00FD6A6A">
        <w:t>Program</w:t>
      </w:r>
      <w:r w:rsidR="00541D05">
        <w:t xml:space="preserve"> </w:t>
      </w:r>
      <w:r w:rsidR="00D9258C" w:rsidRPr="00FD6A6A">
        <w:t>(PSF).</w:t>
      </w:r>
      <w:r w:rsidR="00541D05">
        <w:t xml:space="preserve"> </w:t>
      </w:r>
      <w:r w:rsidR="00D9258C" w:rsidRPr="00FD6A6A">
        <w:t>In</w:t>
      </w:r>
      <w:r w:rsidR="00541D05">
        <w:t xml:space="preserve"> </w:t>
      </w:r>
      <w:r w:rsidR="00D9258C" w:rsidRPr="00FD6A6A">
        <w:t>2014,</w:t>
      </w:r>
      <w:r w:rsidR="00541D05">
        <w:t xml:space="preserve"> </w:t>
      </w:r>
      <w:r w:rsidR="00D9258C" w:rsidRPr="00FD6A6A">
        <w:t>1,548</w:t>
      </w:r>
      <w:r w:rsidR="00541D05">
        <w:t xml:space="preserve"> </w:t>
      </w:r>
      <w:r w:rsidR="00D9258C" w:rsidRPr="00FD6A6A">
        <w:t>teams</w:t>
      </w:r>
      <w:r w:rsidR="00541D05">
        <w:t xml:space="preserve"> </w:t>
      </w:r>
      <w:r w:rsidR="00D9258C" w:rsidRPr="00FD6A6A">
        <w:t>acted</w:t>
      </w:r>
      <w:r w:rsidR="00541D05">
        <w:t xml:space="preserve"> </w:t>
      </w:r>
      <w:r w:rsidR="00D9258C" w:rsidRPr="00FD6A6A">
        <w:t>in</w:t>
      </w:r>
      <w:r w:rsidR="00541D05">
        <w:t xml:space="preserve"> </w:t>
      </w:r>
      <w:r w:rsidR="00D9258C" w:rsidRPr="00FD6A6A">
        <w:t>the</w:t>
      </w:r>
      <w:r w:rsidR="00541D05">
        <w:t xml:space="preserve"> </w:t>
      </w:r>
      <w:r w:rsidR="00D9258C" w:rsidRPr="00FD6A6A">
        <w:t>support</w:t>
      </w:r>
      <w:r w:rsidR="00541D05">
        <w:t xml:space="preserve"> </w:t>
      </w:r>
      <w:r w:rsidR="00D9258C" w:rsidRPr="00FD6A6A">
        <w:t>of</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and</w:t>
      </w:r>
      <w:r w:rsidR="00541D05">
        <w:t xml:space="preserve"> </w:t>
      </w:r>
      <w:r w:rsidR="00D9258C" w:rsidRPr="00FD6A6A">
        <w:t>516</w:t>
      </w:r>
      <w:r w:rsidR="00541D05">
        <w:t xml:space="preserve"> </w:t>
      </w:r>
      <w:r w:rsidR="00D9258C" w:rsidRPr="00FD6A6A">
        <w:t>doctors</w:t>
      </w:r>
      <w:r w:rsidR="00541D05">
        <w:t xml:space="preserve"> </w:t>
      </w:r>
      <w:r w:rsidR="00D9258C" w:rsidRPr="00FD6A6A">
        <w:t>worked</w:t>
      </w:r>
      <w:r w:rsidR="00541D05">
        <w:t xml:space="preserve"> </w:t>
      </w:r>
      <w:r w:rsidR="00D9258C" w:rsidRPr="00FD6A6A">
        <w:t>in</w:t>
      </w:r>
      <w:r w:rsidR="00541D05">
        <w:t xml:space="preserve"> </w:t>
      </w:r>
      <w:r w:rsidR="00D9258C" w:rsidRPr="00FD6A6A">
        <w:t>family</w:t>
      </w:r>
      <w:r w:rsidR="00541D05">
        <w:t xml:space="preserve"> </w:t>
      </w:r>
      <w:r w:rsidR="00D9258C" w:rsidRPr="00FD6A6A">
        <w:t>health</w:t>
      </w:r>
      <w:r w:rsidR="00541D05">
        <w:t xml:space="preserve"> </w:t>
      </w:r>
      <w:r w:rsidR="00D9258C" w:rsidRPr="00FD6A6A">
        <w:t>care</w:t>
      </w:r>
      <w:r w:rsidR="00541D05">
        <w:t xml:space="preserve"> </w:t>
      </w:r>
      <w:r w:rsidR="00D9258C" w:rsidRPr="00FD6A6A">
        <w:t>teams</w:t>
      </w:r>
      <w:r w:rsidR="00541D05">
        <w:t xml:space="preserve"> </w:t>
      </w:r>
      <w:r w:rsidR="00D9258C" w:rsidRPr="00FD6A6A">
        <w:t>distributed</w:t>
      </w:r>
      <w:r w:rsidR="00541D05">
        <w:t xml:space="preserve"> </w:t>
      </w:r>
      <w:r w:rsidR="00D9258C" w:rsidRPr="00FD6A6A">
        <w:t>in</w:t>
      </w:r>
      <w:r w:rsidR="00541D05">
        <w:t xml:space="preserve"> </w:t>
      </w:r>
      <w:r w:rsidR="00D9258C" w:rsidRPr="00FD6A6A">
        <w:t>Quilombola</w:t>
      </w:r>
      <w:r w:rsidR="00541D05">
        <w:t xml:space="preserve"> </w:t>
      </w:r>
      <w:r w:rsidR="00D9258C" w:rsidRPr="00FD6A6A">
        <w:t>territories.</w:t>
      </w:r>
    </w:p>
    <w:p w14:paraId="78CF25BB" w14:textId="41EA315C" w:rsidR="00D9258C" w:rsidRPr="00FD6A6A" w:rsidRDefault="00166390" w:rsidP="00166390">
      <w:pPr>
        <w:pStyle w:val="ParaNoG"/>
        <w:numPr>
          <w:ilvl w:val="0"/>
          <w:numId w:val="0"/>
        </w:numPr>
        <w:tabs>
          <w:tab w:val="left" w:pos="0"/>
        </w:tabs>
        <w:ind w:left="1134"/>
      </w:pPr>
      <w:r w:rsidRPr="00FD6A6A">
        <w:t>142.</w:t>
      </w:r>
      <w:r w:rsidRPr="00FD6A6A">
        <w:tab/>
      </w:r>
      <w:r w:rsidR="00D9258C" w:rsidRPr="00FD6A6A">
        <w:t>Among</w:t>
      </w:r>
      <w:r w:rsidR="00541D05">
        <w:t xml:space="preserve"> </w:t>
      </w:r>
      <w:r w:rsidR="00D9258C" w:rsidRPr="00FD6A6A">
        <w:t>the</w:t>
      </w:r>
      <w:r w:rsidR="00541D05">
        <w:t xml:space="preserve"> </w:t>
      </w:r>
      <w:r w:rsidR="00D9258C" w:rsidRPr="00FD6A6A">
        <w:t>basic</w:t>
      </w:r>
      <w:r w:rsidR="00541D05">
        <w:t xml:space="preserve"> </w:t>
      </w:r>
      <w:r w:rsidR="00D9258C" w:rsidRPr="00FD6A6A">
        <w:t>health</w:t>
      </w:r>
      <w:r w:rsidR="00541D05">
        <w:t xml:space="preserve"> </w:t>
      </w:r>
      <w:r w:rsidR="00D9258C" w:rsidRPr="00FD6A6A">
        <w:t>care</w:t>
      </w:r>
      <w:r w:rsidR="00541D05">
        <w:t xml:space="preserve"> </w:t>
      </w:r>
      <w:r w:rsidR="00D9258C" w:rsidRPr="00FD6A6A">
        <w:t>services</w:t>
      </w:r>
      <w:r w:rsidR="00541D05">
        <w:t xml:space="preserve"> </w:t>
      </w:r>
      <w:r w:rsidR="00D9258C" w:rsidRPr="00FD6A6A">
        <w:t>and</w:t>
      </w:r>
      <w:r w:rsidR="00541D05">
        <w:t xml:space="preserve"> </w:t>
      </w:r>
      <w:r w:rsidR="00D9258C" w:rsidRPr="00FD6A6A">
        <w:t>actions,</w:t>
      </w:r>
      <w:r w:rsidR="00541D05">
        <w:t xml:space="preserve"> </w:t>
      </w:r>
      <w:r w:rsidR="00D9258C" w:rsidRPr="00FD6A6A">
        <w:t>it</w:t>
      </w:r>
      <w:r w:rsidR="00541D05">
        <w:t xml:space="preserve"> </w:t>
      </w:r>
      <w:r w:rsidR="00D9258C" w:rsidRPr="00FD6A6A">
        <w:t>is</w:t>
      </w:r>
      <w:r w:rsidR="00541D05">
        <w:t xml:space="preserve"> </w:t>
      </w:r>
      <w:r w:rsidR="00D9258C" w:rsidRPr="00FD6A6A">
        <w:t>worth</w:t>
      </w:r>
      <w:r w:rsidR="00541D05">
        <w:t xml:space="preserve"> </w:t>
      </w:r>
      <w:r w:rsidR="00D9258C" w:rsidRPr="00FD6A6A">
        <w:t>to</w:t>
      </w:r>
      <w:r w:rsidR="00541D05">
        <w:t xml:space="preserve"> </w:t>
      </w:r>
      <w:r w:rsidR="00D9258C" w:rsidRPr="00FD6A6A">
        <w:t>highlight</w:t>
      </w:r>
      <w:r w:rsidR="00541D05">
        <w:t xml:space="preserve"> </w:t>
      </w:r>
      <w:r w:rsidR="00D9258C" w:rsidRPr="00FD6A6A">
        <w:t>the</w:t>
      </w:r>
      <w:r w:rsidR="00541D05">
        <w:t xml:space="preserve"> </w:t>
      </w:r>
      <w:r w:rsidR="00D9258C" w:rsidRPr="00FD6A6A">
        <w:t>provision</w:t>
      </w:r>
      <w:r w:rsidR="00541D05">
        <w:t xml:space="preserve"> </w:t>
      </w:r>
      <w:r w:rsidR="00D9258C" w:rsidRPr="00FD6A6A">
        <w:t>in</w:t>
      </w:r>
      <w:r w:rsidR="00541D05">
        <w:t xml:space="preserve"> </w:t>
      </w:r>
      <w:r w:rsidR="00D9258C" w:rsidRPr="00FD6A6A">
        <w:t>complementary</w:t>
      </w:r>
      <w:r w:rsidR="00541D05">
        <w:t xml:space="preserve"> </w:t>
      </w:r>
      <w:r w:rsidR="00D9258C" w:rsidRPr="00FD6A6A">
        <w:t>law</w:t>
      </w:r>
      <w:r w:rsidR="00541D05">
        <w:t xml:space="preserve"> </w:t>
      </w:r>
      <w:r w:rsidR="00D9258C" w:rsidRPr="00FD6A6A">
        <w:t>No.</w:t>
      </w:r>
      <w:r w:rsidR="00541D05">
        <w:t xml:space="preserve"> </w:t>
      </w:r>
      <w:r w:rsidR="00D9258C" w:rsidRPr="00FD6A6A">
        <w:t>141/2012</w:t>
      </w:r>
      <w:r w:rsidR="00541D05">
        <w:t xml:space="preserve"> </w:t>
      </w:r>
      <w:r w:rsidR="00D9258C" w:rsidRPr="00FD6A6A">
        <w:t>about</w:t>
      </w:r>
      <w:r w:rsidR="00541D05">
        <w:t xml:space="preserve"> </w:t>
      </w:r>
      <w:r w:rsidR="00D9258C" w:rsidRPr="00FD6A6A">
        <w:t>the</w:t>
      </w:r>
      <w:r w:rsidR="00541D05">
        <w:t xml:space="preserve"> </w:t>
      </w:r>
      <w:r w:rsidR="00D9258C" w:rsidRPr="00FD6A6A">
        <w:t>minimum</w:t>
      </w:r>
      <w:r w:rsidR="00541D05">
        <w:t xml:space="preserve"> </w:t>
      </w:r>
      <w:r w:rsidR="00D9258C" w:rsidRPr="00FD6A6A">
        <w:t>use</w:t>
      </w:r>
      <w:r w:rsidR="00541D05">
        <w:t xml:space="preserve"> </w:t>
      </w:r>
      <w:r w:rsidR="00D9258C" w:rsidRPr="00FD6A6A">
        <w:t>of</w:t>
      </w:r>
      <w:r w:rsidR="00541D05">
        <w:t xml:space="preserve"> </w:t>
      </w:r>
      <w:r w:rsidR="00D9258C" w:rsidRPr="00FD6A6A">
        <w:t>proceeds</w:t>
      </w:r>
      <w:r w:rsidR="00541D05">
        <w:t xml:space="preserve"> </w:t>
      </w:r>
      <w:r w:rsidR="00D9258C" w:rsidRPr="00FD6A6A">
        <w:t>for</w:t>
      </w:r>
      <w:r w:rsidR="00541D05">
        <w:t xml:space="preserve"> </w:t>
      </w:r>
      <w:r w:rsidR="00D9258C" w:rsidRPr="00FD6A6A">
        <w:t>health</w:t>
      </w:r>
      <w:r w:rsidR="00541D05">
        <w:t xml:space="preserve"> </w:t>
      </w:r>
      <w:r w:rsidR="00D9258C" w:rsidRPr="00FD6A6A">
        <w:t>care</w:t>
      </w:r>
      <w:r w:rsidR="00541D05">
        <w:t xml:space="preserve"> </w:t>
      </w:r>
      <w:r w:rsidR="00D9258C" w:rsidRPr="00FD6A6A">
        <w:t>actions</w:t>
      </w:r>
      <w:r w:rsidR="00541D05">
        <w:t xml:space="preserve"> </w:t>
      </w:r>
      <w:r w:rsidR="00D9258C" w:rsidRPr="00FD6A6A">
        <w:t>in</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and</w:t>
      </w:r>
      <w:r w:rsidR="00541D05">
        <w:t xml:space="preserve"> </w:t>
      </w:r>
      <w:r w:rsidR="00D9258C" w:rsidRPr="00FD6A6A">
        <w:t>Indigenous</w:t>
      </w:r>
      <w:r w:rsidR="00541D05">
        <w:t xml:space="preserve"> </w:t>
      </w:r>
      <w:r w:rsidR="00D9258C" w:rsidRPr="00FD6A6A">
        <w:t>areas,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its</w:t>
      </w:r>
      <w:r w:rsidR="00541D05">
        <w:t xml:space="preserve"> </w:t>
      </w:r>
      <w:r w:rsidR="00D9258C" w:rsidRPr="00FD6A6A">
        <w:t>integration</w:t>
      </w:r>
      <w:r w:rsidR="00541D05">
        <w:t xml:space="preserve"> </w:t>
      </w:r>
      <w:r w:rsidR="00D9258C" w:rsidRPr="00FD6A6A">
        <w:t>with</w:t>
      </w:r>
      <w:r w:rsidR="00541D05">
        <w:t xml:space="preserve"> </w:t>
      </w:r>
      <w:r w:rsidR="00D9258C" w:rsidRPr="00FD6A6A">
        <w:t>policies</w:t>
      </w:r>
      <w:r w:rsidR="00541D05">
        <w:t xml:space="preserve"> </w:t>
      </w:r>
      <w:r w:rsidR="00D9258C" w:rsidRPr="00FD6A6A">
        <w:t>to</w:t>
      </w:r>
      <w:r w:rsidR="00541D05">
        <w:t xml:space="preserve"> </w:t>
      </w:r>
      <w:r w:rsidR="00D9258C" w:rsidRPr="00FD6A6A">
        <w:t>ensure</w:t>
      </w:r>
      <w:r w:rsidR="00541D05">
        <w:t xml:space="preserve"> </w:t>
      </w:r>
      <w:r w:rsidR="00D9258C" w:rsidRPr="00FD6A6A">
        <w:t>access</w:t>
      </w:r>
      <w:r w:rsidR="00541D05">
        <w:t xml:space="preserve"> </w:t>
      </w:r>
      <w:r w:rsidR="00D9258C" w:rsidRPr="00FD6A6A">
        <w:t>to</w:t>
      </w:r>
      <w:r w:rsidR="00541D05">
        <w:t xml:space="preserve"> </w:t>
      </w:r>
      <w:r w:rsidR="00D9258C" w:rsidRPr="00FD6A6A">
        <w:t>water</w:t>
      </w:r>
      <w:r w:rsidR="00541D05">
        <w:t xml:space="preserve"> </w:t>
      </w:r>
      <w:r w:rsidR="00D9258C" w:rsidRPr="00FD6A6A">
        <w:t>by</w:t>
      </w:r>
      <w:r w:rsidR="00541D05">
        <w:t xml:space="preserve"> </w:t>
      </w:r>
      <w:r w:rsidR="00D9258C" w:rsidRPr="00FD6A6A">
        <w:t>building</w:t>
      </w:r>
      <w:r w:rsidR="00541D05">
        <w:t xml:space="preserve"> </w:t>
      </w:r>
      <w:r w:rsidR="00D9258C" w:rsidRPr="00FD6A6A">
        <w:t>of</w:t>
      </w:r>
      <w:r w:rsidR="00541D05">
        <w:t xml:space="preserve"> </w:t>
      </w:r>
      <w:r w:rsidR="00D9258C" w:rsidRPr="00FD6A6A">
        <w:t>cisterns</w:t>
      </w:r>
      <w:r w:rsidR="00541D05">
        <w:t xml:space="preserve"> </w:t>
      </w:r>
      <w:r w:rsidR="00D9258C" w:rsidRPr="00FD6A6A">
        <w:t>and</w:t>
      </w:r>
      <w:r w:rsidR="00541D05">
        <w:t xml:space="preserve"> </w:t>
      </w:r>
      <w:r w:rsidR="00D9258C" w:rsidRPr="00FD6A6A">
        <w:t>water</w:t>
      </w:r>
      <w:r w:rsidR="00541D05">
        <w:t xml:space="preserve"> </w:t>
      </w:r>
      <w:r w:rsidR="00D9258C" w:rsidRPr="00FD6A6A">
        <w:t>supply</w:t>
      </w:r>
      <w:r w:rsidR="00541D05">
        <w:t xml:space="preserve"> </w:t>
      </w:r>
      <w:r w:rsidR="00D9258C" w:rsidRPr="00FD6A6A">
        <w:t>systems,</w:t>
      </w:r>
      <w:r w:rsidR="00541D05">
        <w:t xml:space="preserve"> </w:t>
      </w:r>
      <w:r w:rsidR="00D9258C" w:rsidRPr="00FD6A6A">
        <w:t>and</w:t>
      </w:r>
      <w:r w:rsidR="00541D05">
        <w:t xml:space="preserve"> </w:t>
      </w:r>
      <w:r w:rsidR="00D9258C" w:rsidRPr="00FD6A6A">
        <w:t>the</w:t>
      </w:r>
      <w:r w:rsidR="00541D05">
        <w:t xml:space="preserve"> </w:t>
      </w:r>
      <w:r w:rsidR="00D9258C" w:rsidRPr="00FD6A6A">
        <w:t>integration</w:t>
      </w:r>
      <w:r w:rsidR="00541D05">
        <w:t xml:space="preserve"> </w:t>
      </w:r>
      <w:r w:rsidR="00D9258C" w:rsidRPr="00FD6A6A">
        <w:t>of</w:t>
      </w:r>
      <w:r w:rsidR="00541D05">
        <w:t xml:space="preserve"> </w:t>
      </w:r>
      <w:r w:rsidR="00D9258C" w:rsidRPr="00FD6A6A">
        <w:t>sanitation</w:t>
      </w:r>
      <w:r w:rsidR="00541D05">
        <w:t xml:space="preserve"> </w:t>
      </w:r>
      <w:r w:rsidR="00D9258C" w:rsidRPr="00FD6A6A">
        <w:t>actions</w:t>
      </w:r>
      <w:r w:rsidR="00541D05">
        <w:t xml:space="preserve"> </w:t>
      </w:r>
      <w:r w:rsidR="00D9258C" w:rsidRPr="00FD6A6A">
        <w:t>in</w:t>
      </w:r>
      <w:r w:rsidR="00541D05">
        <w:t xml:space="preserve"> </w:t>
      </w:r>
      <w:r w:rsidR="00D9258C" w:rsidRPr="00FD6A6A">
        <w:t>communities</w:t>
      </w:r>
      <w:r w:rsidR="00541D05">
        <w:t xml:space="preserve"> </w:t>
      </w:r>
      <w:r w:rsidR="00D9258C" w:rsidRPr="00FD6A6A">
        <w:t>certified</w:t>
      </w:r>
      <w:r w:rsidR="00541D05">
        <w:t xml:space="preserve"> </w:t>
      </w:r>
      <w:r w:rsidR="00D9258C" w:rsidRPr="00FD6A6A">
        <w:t>by</w:t>
      </w:r>
      <w:r w:rsidR="00541D05">
        <w:t xml:space="preserve"> </w:t>
      </w:r>
      <w:r w:rsidR="00D9258C" w:rsidRPr="00FD6A6A">
        <w:t>the</w:t>
      </w:r>
      <w:r w:rsidR="00541D05">
        <w:t xml:space="preserve"> </w:t>
      </w:r>
      <w:r w:rsidR="00D9258C" w:rsidRPr="00FD6A6A">
        <w:t>Palmares</w:t>
      </w:r>
      <w:r w:rsidR="00541D05">
        <w:t xml:space="preserve"> </w:t>
      </w:r>
      <w:r w:rsidR="00D9258C" w:rsidRPr="00FD6A6A">
        <w:t>Cultural</w:t>
      </w:r>
      <w:r w:rsidR="00541D05">
        <w:t xml:space="preserve"> </w:t>
      </w:r>
      <w:r w:rsidR="00D9258C" w:rsidRPr="00FD6A6A">
        <w:t>Foundation.</w:t>
      </w:r>
    </w:p>
    <w:p w14:paraId="3DE76ED2" w14:textId="7882830B" w:rsidR="00D9258C" w:rsidRPr="00FD6A6A" w:rsidRDefault="00166390" w:rsidP="00166390">
      <w:pPr>
        <w:pStyle w:val="ParaNoG"/>
        <w:numPr>
          <w:ilvl w:val="0"/>
          <w:numId w:val="0"/>
        </w:numPr>
        <w:tabs>
          <w:tab w:val="left" w:pos="0"/>
        </w:tabs>
        <w:ind w:left="1134"/>
      </w:pPr>
      <w:r w:rsidRPr="00FD6A6A">
        <w:t>143.</w:t>
      </w:r>
      <w:r w:rsidRPr="00FD6A6A">
        <w:tab/>
      </w:r>
      <w:r w:rsidR="00D9258C" w:rsidRPr="00FD6A6A">
        <w:t>The</w:t>
      </w:r>
      <w:r w:rsidR="00541D05">
        <w:t xml:space="preserve"> </w:t>
      </w:r>
      <w:r w:rsidR="00D9258C" w:rsidRPr="00FD6A6A">
        <w:t>Luz</w:t>
      </w:r>
      <w:r w:rsidR="00541D05">
        <w:t xml:space="preserve"> </w:t>
      </w:r>
      <w:r w:rsidR="00D9258C" w:rsidRPr="00FD6A6A">
        <w:t>para</w:t>
      </w:r>
      <w:r w:rsidR="00541D05">
        <w:t xml:space="preserve"> </w:t>
      </w:r>
      <w:r w:rsidR="00D9258C" w:rsidRPr="00FD6A6A">
        <w:t>Todos</w:t>
      </w:r>
      <w:r w:rsidR="00541D05">
        <w:t xml:space="preserve"> </w:t>
      </w:r>
      <w:r w:rsidR="00D9258C" w:rsidRPr="00FD6A6A">
        <w:t>Program</w:t>
      </w:r>
      <w:r w:rsidR="00541D05">
        <w:t xml:space="preserve"> </w:t>
      </w:r>
      <w:r w:rsidR="00D9258C" w:rsidRPr="00FD6A6A">
        <w:t>(LpT),</w:t>
      </w:r>
      <w:r w:rsidR="00541D05">
        <w:t xml:space="preserve"> </w:t>
      </w:r>
      <w:r w:rsidR="00D9258C" w:rsidRPr="00FD6A6A">
        <w:t>launched</w:t>
      </w:r>
      <w:r w:rsidR="00541D05">
        <w:t xml:space="preserve"> </w:t>
      </w:r>
      <w:r w:rsidR="00D9258C" w:rsidRPr="00FD6A6A">
        <w:t>in</w:t>
      </w:r>
      <w:r w:rsidR="00541D05">
        <w:t xml:space="preserve"> </w:t>
      </w:r>
      <w:r w:rsidR="00D9258C" w:rsidRPr="00FD6A6A">
        <w:t>2004,</w:t>
      </w:r>
      <w:r w:rsidR="00541D05">
        <w:t xml:space="preserve"> </w:t>
      </w:r>
      <w:r w:rsidR="00D9258C" w:rsidRPr="00FD6A6A">
        <w:t>comprised</w:t>
      </w:r>
      <w:r w:rsidR="00541D05">
        <w:t xml:space="preserve"> </w:t>
      </w:r>
      <w:r w:rsidR="00D9258C" w:rsidRPr="00FD6A6A">
        <w:t>44,264</w:t>
      </w:r>
      <w:r w:rsidR="00541D05">
        <w:t xml:space="preserve"> </w:t>
      </w:r>
      <w:r w:rsidR="00D9258C" w:rsidRPr="00FD6A6A">
        <w:t>Quilombola</w:t>
      </w:r>
      <w:r w:rsidR="00541D05">
        <w:t xml:space="preserve"> </w:t>
      </w:r>
      <w:r w:rsidR="00D9258C" w:rsidRPr="00FD6A6A">
        <w:t>households</w:t>
      </w:r>
      <w:r w:rsidR="00541D05">
        <w:t xml:space="preserve"> </w:t>
      </w:r>
      <w:r w:rsidR="00D9258C" w:rsidRPr="00FD6A6A">
        <w:t>until</w:t>
      </w:r>
      <w:r w:rsidR="00541D05">
        <w:t xml:space="preserve"> </w:t>
      </w:r>
      <w:r w:rsidR="00D9258C" w:rsidRPr="00FD6A6A">
        <w:t>2014,</w:t>
      </w:r>
      <w:r w:rsidR="00541D05">
        <w:t xml:space="preserve"> </w:t>
      </w:r>
      <w:r w:rsidR="00D9258C" w:rsidRPr="00FD6A6A">
        <w:t>benefitting</w:t>
      </w:r>
      <w:r w:rsidR="00541D05">
        <w:t xml:space="preserve"> </w:t>
      </w:r>
      <w:r w:rsidR="00D9258C" w:rsidRPr="00FD6A6A">
        <w:t>131,967</w:t>
      </w:r>
      <w:r w:rsidR="00541D05">
        <w:t xml:space="preserve"> </w:t>
      </w:r>
      <w:r w:rsidR="00D9258C" w:rsidRPr="00FD6A6A">
        <w:t>people.</w:t>
      </w:r>
      <w:r w:rsidR="00541D05">
        <w:t xml:space="preserve"> </w:t>
      </w:r>
      <w:r w:rsidR="00D9258C" w:rsidRPr="00FD6A6A">
        <w:t>In</w:t>
      </w:r>
      <w:r w:rsidR="00541D05">
        <w:t xml:space="preserve"> </w:t>
      </w:r>
      <w:r w:rsidR="00D9258C" w:rsidRPr="00FD6A6A">
        <w:t>2014,</w:t>
      </w:r>
      <w:r w:rsidR="00541D05">
        <w:t xml:space="preserve"> </w:t>
      </w:r>
      <w:r w:rsidR="00D9258C" w:rsidRPr="00FD6A6A">
        <w:t>the</w:t>
      </w:r>
      <w:r w:rsidR="00541D05">
        <w:t xml:space="preserve"> </w:t>
      </w:r>
      <w:r w:rsidR="00D9258C" w:rsidRPr="00FD6A6A">
        <w:t>Program</w:t>
      </w:r>
      <w:r w:rsidR="00541D05">
        <w:t xml:space="preserve"> </w:t>
      </w:r>
      <w:r w:rsidR="00D9258C" w:rsidRPr="00FD6A6A">
        <w:t>provided</w:t>
      </w:r>
      <w:r w:rsidR="00541D05">
        <w:t xml:space="preserve"> </w:t>
      </w:r>
      <w:r w:rsidR="00D9258C" w:rsidRPr="00FD6A6A">
        <w:t>about</w:t>
      </w:r>
      <w:r w:rsidR="00541D05">
        <w:t xml:space="preserve"> </w:t>
      </w:r>
      <w:r w:rsidR="00D9258C" w:rsidRPr="00FD6A6A">
        <w:t>15</w:t>
      </w:r>
      <w:r w:rsidR="00541D05">
        <w:t xml:space="preserve"> </w:t>
      </w:r>
      <w:r w:rsidR="00D9258C" w:rsidRPr="00FD6A6A">
        <w:t>thousand</w:t>
      </w:r>
      <w:r w:rsidR="00541D05">
        <w:t xml:space="preserve"> </w:t>
      </w:r>
      <w:r w:rsidR="00D9258C" w:rsidRPr="00FD6A6A">
        <w:t>new</w:t>
      </w:r>
      <w:r w:rsidR="00541D05">
        <w:t xml:space="preserve"> </w:t>
      </w:r>
      <w:r w:rsidR="00D9258C" w:rsidRPr="00FD6A6A">
        <w:t>electrical</w:t>
      </w:r>
      <w:r w:rsidR="00541D05">
        <w:t xml:space="preserve"> </w:t>
      </w:r>
      <w:r w:rsidR="00D9258C" w:rsidRPr="00FD6A6A">
        <w:t>connections</w:t>
      </w:r>
      <w:r w:rsidR="00541D05">
        <w:t xml:space="preserve"> </w:t>
      </w:r>
      <w:r w:rsidR="00D9258C" w:rsidRPr="00FD6A6A">
        <w:t>in</w:t>
      </w:r>
      <w:r w:rsidR="00541D05">
        <w:t xml:space="preserve"> </w:t>
      </w:r>
      <w:r w:rsidR="00D9258C" w:rsidRPr="00FD6A6A">
        <w:t>Quilombolas</w:t>
      </w:r>
      <w:r w:rsidR="00541D05">
        <w:t xml:space="preserve"> </w:t>
      </w:r>
      <w:r w:rsidR="00D9258C" w:rsidRPr="00FD6A6A">
        <w:t>households.</w:t>
      </w:r>
      <w:r w:rsidR="00541D05">
        <w:t xml:space="preserve"> </w:t>
      </w:r>
      <w:r w:rsidR="00D9258C" w:rsidRPr="00FD6A6A">
        <w:t>In</w:t>
      </w:r>
      <w:r w:rsidR="00541D05">
        <w:t xml:space="preserve"> </w:t>
      </w:r>
      <w:r w:rsidR="00D9258C" w:rsidRPr="00FD6A6A">
        <w:t>March</w:t>
      </w:r>
      <w:r w:rsidR="00541D05">
        <w:t xml:space="preserve"> </w:t>
      </w:r>
      <w:r w:rsidR="00D9258C" w:rsidRPr="00FD6A6A">
        <w:t>2018,</w:t>
      </w:r>
      <w:r w:rsidR="00541D05">
        <w:t xml:space="preserve"> </w:t>
      </w:r>
      <w:r w:rsidR="00D9258C" w:rsidRPr="00FD6A6A">
        <w:t>the</w:t>
      </w:r>
      <w:r w:rsidR="00541D05">
        <w:t xml:space="preserve"> </w:t>
      </w:r>
      <w:r w:rsidR="00D9258C" w:rsidRPr="00FD6A6A">
        <w:t>program</w:t>
      </w:r>
      <w:r w:rsidR="00541D05">
        <w:t xml:space="preserve"> </w:t>
      </w:r>
      <w:r w:rsidR="00D9258C" w:rsidRPr="00FD6A6A">
        <w:t>was</w:t>
      </w:r>
      <w:r w:rsidR="00541D05">
        <w:t xml:space="preserve"> </w:t>
      </w:r>
      <w:r w:rsidR="00D9258C" w:rsidRPr="00FD6A6A">
        <w:t>extended</w:t>
      </w:r>
      <w:r w:rsidR="00541D05">
        <w:t xml:space="preserve"> </w:t>
      </w:r>
      <w:r w:rsidR="00D9258C" w:rsidRPr="00FD6A6A">
        <w:t>until</w:t>
      </w:r>
      <w:r w:rsidR="00541D05">
        <w:t xml:space="preserve"> </w:t>
      </w:r>
      <w:r w:rsidR="00D9258C" w:rsidRPr="00FD6A6A">
        <w:t>2022</w:t>
      </w:r>
      <w:r w:rsidR="00541D05">
        <w:t xml:space="preserve"> </w:t>
      </w:r>
      <w:r w:rsidR="00D9258C" w:rsidRPr="00FD6A6A">
        <w:t>to</w:t>
      </w:r>
      <w:r w:rsidR="00541D05">
        <w:t xml:space="preserve"> </w:t>
      </w:r>
      <w:r w:rsidR="00D9258C" w:rsidRPr="00FD6A6A">
        <w:t>complete</w:t>
      </w:r>
      <w:r w:rsidR="00541D05">
        <w:t xml:space="preserve"> </w:t>
      </w:r>
      <w:r w:rsidR="00D9258C" w:rsidRPr="00FD6A6A">
        <w:t>the</w:t>
      </w:r>
      <w:r w:rsidR="00541D05">
        <w:t xml:space="preserve"> </w:t>
      </w:r>
      <w:r w:rsidR="00D9258C" w:rsidRPr="00FD6A6A">
        <w:t>universalization</w:t>
      </w:r>
      <w:r w:rsidR="00541D05">
        <w:t xml:space="preserve"> </w:t>
      </w:r>
      <w:r w:rsidR="00D9258C" w:rsidRPr="00FD6A6A">
        <w:t>of</w:t>
      </w:r>
      <w:r w:rsidR="00541D05">
        <w:t xml:space="preserve"> </w:t>
      </w:r>
      <w:r w:rsidR="00D9258C" w:rsidRPr="00FD6A6A">
        <w:t>access</w:t>
      </w:r>
      <w:r w:rsidR="00541D05">
        <w:t xml:space="preserve"> </w:t>
      </w:r>
      <w:r w:rsidR="00D9258C" w:rsidRPr="00FD6A6A">
        <w:t>to</w:t>
      </w:r>
      <w:r w:rsidR="00541D05">
        <w:t xml:space="preserve"> </w:t>
      </w:r>
      <w:r w:rsidR="00D9258C" w:rsidRPr="00FD6A6A">
        <w:t>electricity</w:t>
      </w:r>
      <w:r w:rsidR="00541D05">
        <w:t xml:space="preserve"> </w:t>
      </w:r>
      <w:r w:rsidR="00D9258C" w:rsidRPr="00FD6A6A">
        <w:t>in</w:t>
      </w:r>
      <w:r w:rsidR="00541D05">
        <w:t xml:space="preserve"> </w:t>
      </w:r>
      <w:r w:rsidR="00D9258C" w:rsidRPr="00FD6A6A">
        <w:t>rural</w:t>
      </w:r>
      <w:r w:rsidR="00541D05">
        <w:t xml:space="preserve"> </w:t>
      </w:r>
      <w:r w:rsidR="00D9258C" w:rsidRPr="00FD6A6A">
        <w:t>areas,</w:t>
      </w:r>
      <w:r w:rsidR="00541D05">
        <w:t xml:space="preserve"> </w:t>
      </w:r>
      <w:r w:rsidR="00D9258C" w:rsidRPr="00FD6A6A">
        <w:t>especially</w:t>
      </w:r>
      <w:r w:rsidR="00541D05">
        <w:t xml:space="preserve"> </w:t>
      </w:r>
      <w:r w:rsidR="00D9258C" w:rsidRPr="00FD6A6A">
        <w:t>areas</w:t>
      </w:r>
      <w:r w:rsidR="00541D05">
        <w:t xml:space="preserve"> </w:t>
      </w:r>
      <w:r w:rsidR="00D9258C" w:rsidRPr="00FD6A6A">
        <w:t>traditionally</w:t>
      </w:r>
      <w:r w:rsidR="00541D05">
        <w:t xml:space="preserve"> </w:t>
      </w:r>
      <w:r w:rsidR="00D9258C" w:rsidRPr="00FD6A6A">
        <w:t>occupied</w:t>
      </w:r>
      <w:r w:rsidR="00541D05">
        <w:t xml:space="preserve"> </w:t>
      </w:r>
      <w:r w:rsidR="00D9258C" w:rsidRPr="00FD6A6A">
        <w:t>by</w:t>
      </w:r>
      <w:r w:rsidR="00541D05">
        <w:t xml:space="preserve"> </w:t>
      </w:r>
      <w:r w:rsidR="00D9258C" w:rsidRPr="00FD6A6A">
        <w:t>Quilombolas.</w:t>
      </w:r>
      <w:r w:rsidR="00541D05">
        <w:t xml:space="preserve"> </w:t>
      </w:r>
    </w:p>
    <w:p w14:paraId="729339BD" w14:textId="303B92FB" w:rsidR="00D9258C" w:rsidRPr="00FD6A6A" w:rsidRDefault="00166390" w:rsidP="00166390">
      <w:pPr>
        <w:pStyle w:val="ParaNoG"/>
        <w:numPr>
          <w:ilvl w:val="0"/>
          <w:numId w:val="0"/>
        </w:numPr>
        <w:tabs>
          <w:tab w:val="left" w:pos="0"/>
        </w:tabs>
        <w:ind w:left="1134"/>
      </w:pPr>
      <w:r w:rsidRPr="00FD6A6A">
        <w:t>144.</w:t>
      </w:r>
      <w:r w:rsidRPr="00FD6A6A">
        <w:tab/>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efforts</w:t>
      </w:r>
      <w:r w:rsidR="00541D05">
        <w:t xml:space="preserve"> </w:t>
      </w:r>
      <w:r w:rsidR="00D9258C" w:rsidRPr="00FD6A6A">
        <w:t>have</w:t>
      </w:r>
      <w:r w:rsidR="00541D05">
        <w:t xml:space="preserve"> </w:t>
      </w:r>
      <w:r w:rsidR="00D9258C" w:rsidRPr="00FD6A6A">
        <w:t>been</w:t>
      </w:r>
      <w:r w:rsidR="00541D05">
        <w:t xml:space="preserve"> </w:t>
      </w:r>
      <w:r w:rsidR="00D9258C" w:rsidRPr="00FD6A6A">
        <w:t>undertaken</w:t>
      </w:r>
      <w:r w:rsidR="00541D05">
        <w:t xml:space="preserve"> </w:t>
      </w:r>
      <w:r w:rsidR="00D9258C" w:rsidRPr="00FD6A6A">
        <w:t>to</w:t>
      </w:r>
      <w:r w:rsidR="00541D05">
        <w:t xml:space="preserve"> </w:t>
      </w:r>
      <w:r w:rsidR="00D9258C" w:rsidRPr="00FD6A6A">
        <w:t>consolidate,</w:t>
      </w:r>
      <w:r w:rsidR="00541D05">
        <w:t xml:space="preserve"> </w:t>
      </w:r>
      <w:r w:rsidR="00D9258C" w:rsidRPr="00FD6A6A">
        <w:t>in</w:t>
      </w:r>
      <w:r w:rsidR="00541D05">
        <w:t xml:space="preserve"> </w:t>
      </w:r>
      <w:r w:rsidR="00D9258C" w:rsidRPr="00FD6A6A">
        <w:t>the</w:t>
      </w:r>
      <w:r w:rsidR="00541D05">
        <w:t xml:space="preserve"> </w:t>
      </w:r>
      <w:r w:rsidR="00D9258C" w:rsidRPr="00FD6A6A">
        <w:t>national</w:t>
      </w:r>
      <w:r w:rsidR="00541D05">
        <w:t xml:space="preserve"> </w:t>
      </w:r>
      <w:r w:rsidR="00D9258C" w:rsidRPr="00FD6A6A">
        <w:t>curriculum</w:t>
      </w:r>
      <w:r w:rsidR="00541D05">
        <w:t xml:space="preserve"> </w:t>
      </w:r>
      <w:r w:rsidR="00D9258C" w:rsidRPr="00FD6A6A">
        <w:t>guidelines,</w:t>
      </w:r>
      <w:r w:rsidR="00541D05">
        <w:t xml:space="preserve"> </w:t>
      </w:r>
      <w:r w:rsidR="00D9258C" w:rsidRPr="00FD6A6A">
        <w:t>a</w:t>
      </w:r>
      <w:r w:rsidR="00541D05">
        <w:t xml:space="preserve"> </w:t>
      </w:r>
      <w:r w:rsidR="00D9258C" w:rsidRPr="00FD6A6A">
        <w:t>specific</w:t>
      </w:r>
      <w:r w:rsidR="00541D05">
        <w:t xml:space="preserve"> </w:t>
      </w:r>
      <w:r w:rsidR="00D9258C" w:rsidRPr="00FD6A6A">
        <w:t>focus</w:t>
      </w:r>
      <w:r w:rsidR="00541D05">
        <w:t xml:space="preserve"> </w:t>
      </w:r>
      <w:r w:rsidR="00D9258C" w:rsidRPr="00FD6A6A">
        <w:t>to</w:t>
      </w:r>
      <w:r w:rsidR="00541D05">
        <w:t xml:space="preserve"> </w:t>
      </w:r>
      <w:r w:rsidR="00D9258C" w:rsidRPr="00FD6A6A">
        <w:t>provide</w:t>
      </w:r>
      <w:r w:rsidR="00541D05">
        <w:t xml:space="preserve"> </w:t>
      </w:r>
      <w:r w:rsidR="00D9258C" w:rsidRPr="00FD6A6A">
        <w:t>form</w:t>
      </w:r>
      <w:r w:rsidR="00541D05">
        <w:t xml:space="preserve"> </w:t>
      </w:r>
      <w:r w:rsidR="00D9258C" w:rsidRPr="00FD6A6A">
        <w:t>and</w:t>
      </w:r>
      <w:r w:rsidR="00541D05">
        <w:t xml:space="preserve"> </w:t>
      </w:r>
      <w:r w:rsidR="00D9258C" w:rsidRPr="00FD6A6A">
        <w:t>content</w:t>
      </w:r>
      <w:r w:rsidR="00541D05">
        <w:t xml:space="preserve"> </w:t>
      </w:r>
      <w:r w:rsidR="00D9258C" w:rsidRPr="00FD6A6A">
        <w:t>to</w:t>
      </w:r>
      <w:r w:rsidR="00541D05">
        <w:t xml:space="preserve"> </w:t>
      </w:r>
      <w:r w:rsidR="00D9258C" w:rsidRPr="00FD6A6A">
        <w:t>the</w:t>
      </w:r>
      <w:r w:rsidR="00541D05">
        <w:t xml:space="preserve"> </w:t>
      </w:r>
      <w:r w:rsidR="00D9258C" w:rsidRPr="00FD6A6A">
        <w:t>Quilombola</w:t>
      </w:r>
      <w:r w:rsidR="00541D05">
        <w:t xml:space="preserve"> </w:t>
      </w:r>
      <w:r w:rsidR="00D9258C" w:rsidRPr="00FD6A6A">
        <w:t>education.</w:t>
      </w:r>
      <w:r w:rsidR="00541D05">
        <w:t xml:space="preserve"> </w:t>
      </w:r>
      <w:r w:rsidR="00D9258C" w:rsidRPr="00FD6A6A">
        <w:t>After</w:t>
      </w:r>
      <w:r w:rsidR="00541D05">
        <w:t xml:space="preserve"> </w:t>
      </w:r>
      <w:r w:rsidR="00D9258C" w:rsidRPr="00FD6A6A">
        <w:t>seminars</w:t>
      </w:r>
      <w:r w:rsidR="00541D05">
        <w:t xml:space="preserve"> </w:t>
      </w:r>
      <w:r w:rsidR="00D9258C" w:rsidRPr="00FD6A6A">
        <w:t>and</w:t>
      </w:r>
      <w:r w:rsidR="00541D05">
        <w:t xml:space="preserve"> </w:t>
      </w:r>
      <w:r w:rsidR="00D9258C" w:rsidRPr="00FD6A6A">
        <w:t>public</w:t>
      </w:r>
      <w:r w:rsidR="00541D05">
        <w:t xml:space="preserve"> </w:t>
      </w:r>
      <w:r w:rsidR="00D9258C" w:rsidRPr="00FD6A6A">
        <w:t>hearings</w:t>
      </w:r>
      <w:r w:rsidR="00541D05">
        <w:t xml:space="preserve"> </w:t>
      </w:r>
      <w:r w:rsidR="00D9258C" w:rsidRPr="00FD6A6A">
        <w:t>with</w:t>
      </w:r>
      <w:r w:rsidR="00541D05">
        <w:t xml:space="preserve"> </w:t>
      </w:r>
      <w:r w:rsidR="00D9258C" w:rsidRPr="00FD6A6A">
        <w:t>the</w:t>
      </w:r>
      <w:r w:rsidR="00541D05">
        <w:t xml:space="preserve"> </w:t>
      </w:r>
      <w:r w:rsidR="00D9258C" w:rsidRPr="00FD6A6A">
        <w:t>participation</w:t>
      </w:r>
      <w:r w:rsidR="00541D05">
        <w:t xml:space="preserve"> </w:t>
      </w:r>
      <w:r w:rsidR="00D9258C" w:rsidRPr="00FD6A6A">
        <w:t>of</w:t>
      </w:r>
      <w:r w:rsidR="00541D05">
        <w:t xml:space="preserve"> </w:t>
      </w:r>
      <w:r w:rsidR="00D9258C" w:rsidRPr="00FD6A6A">
        <w:t>SNPPIR</w:t>
      </w:r>
      <w:r w:rsidR="00541D05">
        <w:t xml:space="preserve"> </w:t>
      </w:r>
      <w:r w:rsidR="00D9258C" w:rsidRPr="00FD6A6A">
        <w:t>and</w:t>
      </w:r>
      <w:r w:rsidR="00541D05">
        <w:t xml:space="preserve"> </w:t>
      </w:r>
      <w:r w:rsidR="00D9258C" w:rsidRPr="00FD6A6A">
        <w:t>representatives</w:t>
      </w:r>
      <w:r w:rsidR="00541D05">
        <w:t xml:space="preserve"> </w:t>
      </w:r>
      <w:r w:rsidR="00D9258C" w:rsidRPr="00FD6A6A">
        <w:t>of</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the</w:t>
      </w:r>
      <w:r w:rsidR="00541D05">
        <w:t xml:space="preserve"> </w:t>
      </w:r>
      <w:r w:rsidR="00D9258C" w:rsidRPr="00FD6A6A">
        <w:t>National</w:t>
      </w:r>
      <w:r w:rsidR="00541D05">
        <w:t xml:space="preserve"> </w:t>
      </w:r>
      <w:r w:rsidR="00D9258C" w:rsidRPr="00FD6A6A">
        <w:t>Board</w:t>
      </w:r>
      <w:r w:rsidR="00541D05">
        <w:t xml:space="preserve"> </w:t>
      </w:r>
      <w:r w:rsidR="00D9258C" w:rsidRPr="00FD6A6A">
        <w:t>of</w:t>
      </w:r>
      <w:r w:rsidR="00541D05">
        <w:t xml:space="preserve"> </w:t>
      </w:r>
      <w:r w:rsidR="00D9258C" w:rsidRPr="00FD6A6A">
        <w:t>Education,</w:t>
      </w:r>
      <w:r w:rsidR="00541D05">
        <w:t xml:space="preserve"> </w:t>
      </w:r>
      <w:r w:rsidR="00D9258C" w:rsidRPr="00FD6A6A">
        <w:t>through</w:t>
      </w:r>
      <w:r w:rsidR="00541D05">
        <w:t xml:space="preserve"> </w:t>
      </w:r>
      <w:r w:rsidR="00D9258C" w:rsidRPr="00FD6A6A">
        <w:t>resolution</w:t>
      </w:r>
      <w:r w:rsidR="00541D05">
        <w:t xml:space="preserve"> </w:t>
      </w:r>
      <w:r w:rsidR="00D9258C" w:rsidRPr="00FD6A6A">
        <w:t>No.</w:t>
      </w:r>
      <w:r w:rsidR="00541D05">
        <w:t xml:space="preserve"> </w:t>
      </w:r>
      <w:r w:rsidR="00D9258C" w:rsidRPr="00FD6A6A">
        <w:t>4/2010,</w:t>
      </w:r>
      <w:r w:rsidR="00541D05">
        <w:t xml:space="preserve"> </w:t>
      </w:r>
      <w:r w:rsidR="00D9258C" w:rsidRPr="00FD6A6A">
        <w:t>established</w:t>
      </w:r>
      <w:r w:rsidR="00541D05">
        <w:t xml:space="preserve"> </w:t>
      </w:r>
      <w:r w:rsidR="00D9258C" w:rsidRPr="00FD6A6A">
        <w:t>that</w:t>
      </w:r>
      <w:r w:rsidR="00541D05">
        <w:t xml:space="preserve"> </w:t>
      </w:r>
      <w:r w:rsidR="00D9258C" w:rsidRPr="00FD6A6A">
        <w:t>the</w:t>
      </w:r>
      <w:r w:rsidR="00541D05">
        <w:t xml:space="preserve"> </w:t>
      </w:r>
      <w:r w:rsidR="00D9258C" w:rsidRPr="00FD6A6A">
        <w:t>Quilombola</w:t>
      </w:r>
      <w:r w:rsidR="00541D05">
        <w:t xml:space="preserve"> </w:t>
      </w:r>
      <w:r w:rsidR="00D9258C" w:rsidRPr="00FD6A6A">
        <w:t>education</w:t>
      </w:r>
      <w:r w:rsidR="00541D05">
        <w:t xml:space="preserve"> </w:t>
      </w:r>
      <w:r w:rsidR="00D9258C" w:rsidRPr="00FD6A6A">
        <w:t>should</w:t>
      </w:r>
      <w:r w:rsidR="00541D05">
        <w:t xml:space="preserve"> </w:t>
      </w:r>
      <w:r w:rsidR="00D9258C" w:rsidRPr="00FD6A6A">
        <w:t>be</w:t>
      </w:r>
      <w:r w:rsidR="00541D05">
        <w:t xml:space="preserve"> </w:t>
      </w:r>
      <w:r w:rsidR="00D9258C" w:rsidRPr="00FD6A6A">
        <w:t>implemented</w:t>
      </w:r>
      <w:r w:rsidR="00541D05">
        <w:t xml:space="preserve"> </w:t>
      </w:r>
      <w:r w:rsidR="00D9258C" w:rsidRPr="00FD6A6A">
        <w:t>both</w:t>
      </w:r>
      <w:r w:rsidR="00541D05">
        <w:t xml:space="preserve"> </w:t>
      </w:r>
      <w:r w:rsidR="00D9258C" w:rsidRPr="00FD6A6A">
        <w:t>in</w:t>
      </w:r>
      <w:r w:rsidR="00541D05">
        <w:t xml:space="preserve"> </w:t>
      </w:r>
      <w:r w:rsidR="00D9258C" w:rsidRPr="00FD6A6A">
        <w:t>Quilombola</w:t>
      </w:r>
      <w:r w:rsidR="00541D05">
        <w:t xml:space="preserve"> </w:t>
      </w:r>
      <w:r w:rsidR="00D9258C" w:rsidRPr="00FD6A6A">
        <w:t>communities</w:t>
      </w:r>
      <w:r w:rsidR="00541D05">
        <w:t xml:space="preserve"> </w:t>
      </w:r>
      <w:r w:rsidR="00D9258C" w:rsidRPr="00FD6A6A">
        <w:t>and</w:t>
      </w:r>
      <w:r w:rsidR="00541D05">
        <w:t xml:space="preserve"> </w:t>
      </w:r>
      <w:r w:rsidR="00D9258C" w:rsidRPr="00FD6A6A">
        <w:t>education</w:t>
      </w:r>
      <w:r w:rsidR="00541D05">
        <w:t xml:space="preserve"> </w:t>
      </w:r>
      <w:r w:rsidR="00D9258C" w:rsidRPr="00FD6A6A">
        <w:t>institutions</w:t>
      </w:r>
      <w:r w:rsidR="00541D05">
        <w:t xml:space="preserve"> </w:t>
      </w:r>
      <w:r w:rsidR="00D9258C" w:rsidRPr="00FD6A6A">
        <w:t>close</w:t>
      </w:r>
      <w:r w:rsidR="00541D05">
        <w:t xml:space="preserve"> </w:t>
      </w:r>
      <w:r w:rsidR="00D9258C" w:rsidRPr="00FD6A6A">
        <w:t>to</w:t>
      </w:r>
      <w:r w:rsidR="00541D05">
        <w:t xml:space="preserve"> </w:t>
      </w:r>
      <w:r w:rsidR="00D9258C" w:rsidRPr="00FD6A6A">
        <w:t>such</w:t>
      </w:r>
      <w:r w:rsidR="00541D05">
        <w:t xml:space="preserve"> </w:t>
      </w:r>
      <w:r w:rsidR="00D9258C" w:rsidRPr="00FD6A6A">
        <w:t>territories</w:t>
      </w:r>
      <w:r w:rsidR="00541D05">
        <w:t xml:space="preserve"> </w:t>
      </w:r>
      <w:r w:rsidR="00D9258C" w:rsidRPr="00FD6A6A">
        <w:t>attended</w:t>
      </w:r>
      <w:r w:rsidR="00541D05">
        <w:t xml:space="preserve"> </w:t>
      </w:r>
      <w:r w:rsidR="00D9258C" w:rsidRPr="00FD6A6A">
        <w:t>by</w:t>
      </w:r>
      <w:r w:rsidR="00541D05">
        <w:t xml:space="preserve"> </w:t>
      </w:r>
      <w:r w:rsidR="00D9258C" w:rsidRPr="00FD6A6A">
        <w:t>members</w:t>
      </w:r>
      <w:r w:rsidR="00541D05">
        <w:t xml:space="preserve"> </w:t>
      </w:r>
      <w:r w:rsidR="00D9258C" w:rsidRPr="00FD6A6A">
        <w:t>of</w:t>
      </w:r>
      <w:r w:rsidR="00541D05">
        <w:t xml:space="preserve"> </w:t>
      </w:r>
      <w:r w:rsidR="00D9258C" w:rsidRPr="00FD6A6A">
        <w:t>such</w:t>
      </w:r>
      <w:r w:rsidR="00541D05">
        <w:t xml:space="preserve"> </w:t>
      </w:r>
      <w:r w:rsidR="00D9258C" w:rsidRPr="00FD6A6A">
        <w:t>communities.</w:t>
      </w:r>
      <w:r w:rsidR="00541D05">
        <w:t xml:space="preserve"> </w:t>
      </w:r>
      <w:r w:rsidR="00D9258C" w:rsidRPr="00FD6A6A">
        <w:t>These</w:t>
      </w:r>
      <w:r w:rsidR="00541D05">
        <w:t xml:space="preserve"> </w:t>
      </w:r>
      <w:r w:rsidR="00D9258C" w:rsidRPr="00FD6A6A">
        <w:t>guidelines</w:t>
      </w:r>
      <w:r w:rsidR="00541D05">
        <w:t xml:space="preserve"> </w:t>
      </w:r>
      <w:r w:rsidR="00D9258C" w:rsidRPr="00FD6A6A">
        <w:t>should</w:t>
      </w:r>
      <w:r w:rsidR="00541D05">
        <w:t xml:space="preserve"> </w:t>
      </w:r>
      <w:r w:rsidR="00D9258C" w:rsidRPr="00FD6A6A">
        <w:t>be</w:t>
      </w:r>
      <w:r w:rsidR="00541D05">
        <w:t xml:space="preserve"> </w:t>
      </w:r>
      <w:r w:rsidR="00D9258C" w:rsidRPr="00FD6A6A">
        <w:t>applied</w:t>
      </w:r>
      <w:r w:rsidR="00541D05">
        <w:t xml:space="preserve"> </w:t>
      </w:r>
      <w:r w:rsidR="00D9258C" w:rsidRPr="00FD6A6A">
        <w:t>to</w:t>
      </w:r>
      <w:r w:rsidR="00541D05">
        <w:t xml:space="preserve"> </w:t>
      </w:r>
      <w:r w:rsidR="00D9258C" w:rsidRPr="00FD6A6A">
        <w:t>all</w:t>
      </w:r>
      <w:r w:rsidR="00541D05">
        <w:t xml:space="preserve"> </w:t>
      </w:r>
      <w:r w:rsidR="00D9258C" w:rsidRPr="00FD6A6A">
        <w:t>stages</w:t>
      </w:r>
      <w:r w:rsidR="00541D05">
        <w:t xml:space="preserve"> </w:t>
      </w:r>
      <w:r w:rsidR="00D9258C" w:rsidRPr="00FD6A6A">
        <w:t>and</w:t>
      </w:r>
      <w:r w:rsidR="00541D05">
        <w:t xml:space="preserve"> </w:t>
      </w:r>
      <w:r w:rsidR="00D9258C" w:rsidRPr="00FD6A6A">
        <w:t>types</w:t>
      </w:r>
      <w:r w:rsidR="00541D05">
        <w:t xml:space="preserve"> </w:t>
      </w:r>
      <w:r w:rsidR="00D9258C" w:rsidRPr="00FD6A6A">
        <w:t>of</w:t>
      </w:r>
      <w:r w:rsidR="00541D05">
        <w:t xml:space="preserve"> </w:t>
      </w:r>
      <w:r w:rsidR="00D9258C" w:rsidRPr="00FD6A6A">
        <w:t>primary</w:t>
      </w:r>
      <w:r w:rsidR="00541D05">
        <w:t xml:space="preserve"> </w:t>
      </w:r>
      <w:r w:rsidR="00D9258C" w:rsidRPr="00FD6A6A">
        <w:t>education:</w:t>
      </w:r>
      <w:r w:rsidR="00541D05">
        <w:t xml:space="preserve"> </w:t>
      </w:r>
      <w:r w:rsidR="00D9258C" w:rsidRPr="00FD6A6A">
        <w:t>Early</w:t>
      </w:r>
      <w:r w:rsidR="00541D05">
        <w:t xml:space="preserve"> </w:t>
      </w:r>
      <w:r w:rsidR="00D9258C" w:rsidRPr="00FD6A6A">
        <w:t>Education,</w:t>
      </w:r>
      <w:r w:rsidR="00541D05">
        <w:t xml:space="preserve"> </w:t>
      </w:r>
      <w:r w:rsidR="00D9258C" w:rsidRPr="00FD6A6A">
        <w:t>Elementary,</w:t>
      </w:r>
      <w:r w:rsidR="00541D05">
        <w:t xml:space="preserve"> </w:t>
      </w:r>
      <w:r w:rsidR="00D9258C" w:rsidRPr="00FD6A6A">
        <w:t>Middle,</w:t>
      </w:r>
      <w:r w:rsidR="00541D05">
        <w:t xml:space="preserve"> </w:t>
      </w:r>
      <w:r w:rsidR="00D9258C" w:rsidRPr="00FD6A6A">
        <w:t>and</w:t>
      </w:r>
      <w:r w:rsidR="00541D05">
        <w:t xml:space="preserve"> </w:t>
      </w:r>
      <w:r w:rsidR="00D9258C" w:rsidRPr="00FD6A6A">
        <w:t>High</w:t>
      </w:r>
      <w:r w:rsidR="00541D05">
        <w:t xml:space="preserve"> </w:t>
      </w:r>
      <w:r w:rsidR="00D9258C" w:rsidRPr="00FD6A6A">
        <w:t>School,</w:t>
      </w:r>
      <w:r w:rsidR="00541D05">
        <w:t xml:space="preserve"> </w:t>
      </w:r>
      <w:r w:rsidR="00D9258C" w:rsidRPr="00FD6A6A">
        <w:t>Rural</w:t>
      </w:r>
      <w:r w:rsidR="00541D05">
        <w:t xml:space="preserve"> </w:t>
      </w:r>
      <w:r w:rsidR="00D9258C" w:rsidRPr="00FD6A6A">
        <w:t>Education,</w:t>
      </w:r>
      <w:r w:rsidR="00541D05">
        <w:t xml:space="preserve"> </w:t>
      </w:r>
      <w:r w:rsidR="00D9258C" w:rsidRPr="00FD6A6A">
        <w:t>Special</w:t>
      </w:r>
      <w:r w:rsidR="00541D05">
        <w:t xml:space="preserve"> </w:t>
      </w:r>
      <w:r w:rsidR="00D9258C" w:rsidRPr="00FD6A6A">
        <w:t>Education,</w:t>
      </w:r>
      <w:r w:rsidR="00541D05">
        <w:t xml:space="preserve"> </w:t>
      </w:r>
      <w:r w:rsidR="00D9258C" w:rsidRPr="00FD6A6A">
        <w:t>Technical</w:t>
      </w:r>
      <w:r w:rsidR="00541D05">
        <w:t xml:space="preserve"> </w:t>
      </w:r>
      <w:r w:rsidR="00D9258C" w:rsidRPr="00FD6A6A">
        <w:t>Vocational</w:t>
      </w:r>
      <w:r w:rsidR="00541D05">
        <w:t xml:space="preserve"> </w:t>
      </w:r>
      <w:r w:rsidR="00D9258C" w:rsidRPr="00FD6A6A">
        <w:t>Training,</w:t>
      </w:r>
      <w:r w:rsidR="00541D05">
        <w:t xml:space="preserve"> </w:t>
      </w:r>
      <w:r w:rsidR="00D9258C" w:rsidRPr="00FD6A6A">
        <w:t>Youth</w:t>
      </w:r>
      <w:r w:rsidR="00541D05">
        <w:t xml:space="preserve"> </w:t>
      </w:r>
      <w:r w:rsidR="00D9258C" w:rsidRPr="00FD6A6A">
        <w:t>and</w:t>
      </w:r>
      <w:r w:rsidR="00541D05">
        <w:t xml:space="preserve"> </w:t>
      </w:r>
      <w:r w:rsidR="00D9258C" w:rsidRPr="00FD6A6A">
        <w:t>Adults</w:t>
      </w:r>
      <w:r w:rsidR="00541D05">
        <w:t xml:space="preserve"> </w:t>
      </w:r>
      <w:r w:rsidR="00D9258C" w:rsidRPr="00FD6A6A">
        <w:t>Education,</w:t>
      </w:r>
      <w:r w:rsidR="00541D05">
        <w:t xml:space="preserve"> </w:t>
      </w:r>
      <w:r w:rsidR="00D9258C" w:rsidRPr="00FD6A6A">
        <w:t>and</w:t>
      </w:r>
      <w:r w:rsidR="00541D05">
        <w:t xml:space="preserve"> </w:t>
      </w:r>
      <w:r w:rsidR="00D9258C" w:rsidRPr="00FD6A6A">
        <w:t>Distance</w:t>
      </w:r>
      <w:r w:rsidR="00541D05">
        <w:t xml:space="preserve"> </w:t>
      </w:r>
      <w:r w:rsidR="00D9258C" w:rsidRPr="00FD6A6A">
        <w:t>Learning.</w:t>
      </w:r>
    </w:p>
    <w:p w14:paraId="151B047E" w14:textId="2E774269" w:rsidR="00D9258C" w:rsidRPr="00FD6A6A" w:rsidRDefault="00166390" w:rsidP="00166390">
      <w:pPr>
        <w:pStyle w:val="ParaNoG"/>
        <w:numPr>
          <w:ilvl w:val="0"/>
          <w:numId w:val="0"/>
        </w:numPr>
        <w:tabs>
          <w:tab w:val="left" w:pos="0"/>
        </w:tabs>
        <w:ind w:left="1134"/>
      </w:pPr>
      <w:r w:rsidRPr="00FD6A6A">
        <w:t>145.</w:t>
      </w:r>
      <w:r w:rsidRPr="00FD6A6A">
        <w:tab/>
      </w:r>
      <w:r w:rsidR="00D9258C" w:rsidRPr="00FD6A6A">
        <w:t>By</w:t>
      </w:r>
      <w:r w:rsidR="00541D05">
        <w:t xml:space="preserve"> </w:t>
      </w:r>
      <w:r w:rsidR="00D9258C" w:rsidRPr="00FD6A6A">
        <w:t>holding</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States,</w:t>
      </w:r>
      <w:r w:rsidR="00541D05">
        <w:t xml:space="preserve"> </w:t>
      </w:r>
      <w:r w:rsidR="00D9258C" w:rsidRPr="00FD6A6A">
        <w:t>and</w:t>
      </w:r>
      <w:r w:rsidR="00541D05">
        <w:t xml:space="preserve"> </w:t>
      </w:r>
      <w:r w:rsidR="00D9258C" w:rsidRPr="00FD6A6A">
        <w:t>Cities</w:t>
      </w:r>
      <w:r w:rsidR="00541D05">
        <w:t xml:space="preserve"> </w:t>
      </w:r>
      <w:r w:rsidR="00D9258C" w:rsidRPr="00FD6A6A">
        <w:t>respons</w:t>
      </w:r>
      <w:r w:rsidR="00CE13EA">
        <w:t>i</w:t>
      </w:r>
      <w:r w:rsidR="00D9258C" w:rsidRPr="00FD6A6A">
        <w:t>ble</w:t>
      </w:r>
      <w:r w:rsidR="00541D05">
        <w:t xml:space="preserve"> </w:t>
      </w:r>
      <w:r w:rsidR="00D9258C" w:rsidRPr="00FD6A6A">
        <w:t>for</w:t>
      </w:r>
      <w:r w:rsidR="00541D05">
        <w:t xml:space="preserve"> </w:t>
      </w:r>
      <w:r w:rsidR="00D9258C" w:rsidRPr="00FD6A6A">
        <w:t>the</w:t>
      </w:r>
      <w:r w:rsidR="00541D05">
        <w:t xml:space="preserve"> </w:t>
      </w:r>
      <w:r w:rsidR="00D9258C" w:rsidRPr="00FD6A6A">
        <w:t>need</w:t>
      </w:r>
      <w:r w:rsidR="00541D05">
        <w:t xml:space="preserve"> </w:t>
      </w:r>
      <w:r w:rsidR="00D9258C" w:rsidRPr="00FD6A6A">
        <w:t>to</w:t>
      </w:r>
      <w:r w:rsidR="00541D05">
        <w:t xml:space="preserve"> </w:t>
      </w:r>
      <w:r w:rsidR="00D9258C" w:rsidRPr="00FD6A6A">
        <w:t>ensure</w:t>
      </w:r>
      <w:r w:rsidR="00541D05">
        <w:t xml:space="preserve"> </w:t>
      </w:r>
      <w:r w:rsidR="00D9258C" w:rsidRPr="00FD6A6A">
        <w:t>education</w:t>
      </w:r>
      <w:r w:rsidR="00541D05">
        <w:t xml:space="preserve"> </w:t>
      </w:r>
      <w:r w:rsidR="00D9258C" w:rsidRPr="00FD6A6A">
        <w:t>that</w:t>
      </w:r>
      <w:r w:rsidR="00541D05">
        <w:t xml:space="preserve"> </w:t>
      </w:r>
      <w:r w:rsidR="00D9258C" w:rsidRPr="00FD6A6A">
        <w:t>respects</w:t>
      </w:r>
      <w:r w:rsidR="00541D05">
        <w:t xml:space="preserve"> </w:t>
      </w:r>
      <w:r w:rsidR="00D9258C" w:rsidRPr="00FD6A6A">
        <w:t>the</w:t>
      </w:r>
      <w:r w:rsidR="00541D05">
        <w:t xml:space="preserve"> </w:t>
      </w:r>
      <w:r w:rsidR="00D9258C" w:rsidRPr="00FD6A6A">
        <w:t>cultural</w:t>
      </w:r>
      <w:r w:rsidR="00541D05">
        <w:t xml:space="preserve"> </w:t>
      </w:r>
      <w:r w:rsidR="00D9258C" w:rsidRPr="00FD6A6A">
        <w:t>traditions</w:t>
      </w:r>
      <w:r w:rsidR="00541D05">
        <w:t xml:space="preserve"> </w:t>
      </w:r>
      <w:r w:rsidR="00D9258C" w:rsidRPr="00FD6A6A">
        <w:t>of</w:t>
      </w:r>
      <w:r w:rsidR="00541D05">
        <w:t xml:space="preserve"> </w:t>
      </w:r>
      <w:r w:rsidR="00D9258C" w:rsidRPr="00FD6A6A">
        <w:t>these</w:t>
      </w:r>
      <w:r w:rsidR="00541D05">
        <w:t xml:space="preserve"> </w:t>
      </w:r>
      <w:r w:rsidR="00D9258C" w:rsidRPr="00FD6A6A">
        <w:t>communities,</w:t>
      </w:r>
      <w:r w:rsidR="00541D05">
        <w:t xml:space="preserve"> </w:t>
      </w:r>
      <w:r w:rsidR="00D9258C" w:rsidRPr="00FD6A6A">
        <w:t>the</w:t>
      </w:r>
      <w:r w:rsidR="00541D05">
        <w:t xml:space="preserve"> </w:t>
      </w:r>
      <w:r w:rsidR="00D9258C" w:rsidRPr="00FD6A6A">
        <w:t>Quilombola</w:t>
      </w:r>
      <w:r w:rsidR="00541D05">
        <w:t xml:space="preserve"> </w:t>
      </w:r>
      <w:r w:rsidR="00D9258C" w:rsidRPr="00FD6A6A">
        <w:t>education</w:t>
      </w:r>
      <w:r w:rsidR="00541D05">
        <w:t xml:space="preserve"> </w:t>
      </w:r>
      <w:r w:rsidR="00D9258C" w:rsidRPr="00FD6A6A">
        <w:t>also</w:t>
      </w:r>
      <w:r w:rsidR="00541D05">
        <w:t xml:space="preserve"> </w:t>
      </w:r>
      <w:r w:rsidR="00D9258C" w:rsidRPr="00FD6A6A">
        <w:t>provides</w:t>
      </w:r>
      <w:r w:rsidR="00541D05">
        <w:t xml:space="preserve"> </w:t>
      </w:r>
      <w:r w:rsidR="00D9258C" w:rsidRPr="00FD6A6A">
        <w:t>for</w:t>
      </w:r>
      <w:r w:rsidR="00541D05">
        <w:t xml:space="preserve"> </w:t>
      </w:r>
      <w:r w:rsidR="00D9258C" w:rsidRPr="00FD6A6A">
        <w:t>the</w:t>
      </w:r>
      <w:r w:rsidR="00541D05">
        <w:t xml:space="preserve"> </w:t>
      </w:r>
      <w:r w:rsidR="00D9258C" w:rsidRPr="00FD6A6A">
        <w:t>production</w:t>
      </w:r>
      <w:r w:rsidR="00541D05">
        <w:t xml:space="preserve"> </w:t>
      </w:r>
      <w:r w:rsidR="00D9258C" w:rsidRPr="00FD6A6A">
        <w:t>of</w:t>
      </w:r>
      <w:r w:rsidR="00541D05">
        <w:t xml:space="preserve"> </w:t>
      </w:r>
      <w:r w:rsidR="00D9258C" w:rsidRPr="00FD6A6A">
        <w:t>specific</w:t>
      </w:r>
      <w:r w:rsidR="00541D05">
        <w:t xml:space="preserve"> </w:t>
      </w:r>
      <w:r w:rsidR="00D9258C" w:rsidRPr="00FD6A6A">
        <w:t>educational</w:t>
      </w:r>
      <w:r w:rsidR="00541D05">
        <w:t xml:space="preserve"> </w:t>
      </w:r>
      <w:r w:rsidR="00D9258C" w:rsidRPr="00FD6A6A">
        <w:t>and</w:t>
      </w:r>
      <w:r w:rsidR="00541D05">
        <w:t xml:space="preserve"> </w:t>
      </w:r>
      <w:r w:rsidR="00D9258C" w:rsidRPr="00FD6A6A">
        <w:t>pedagogical</w:t>
      </w:r>
      <w:r w:rsidR="00541D05">
        <w:t xml:space="preserve"> </w:t>
      </w:r>
      <w:r w:rsidR="00D9258C" w:rsidRPr="00FD6A6A">
        <w:t>materials,</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the</w:t>
      </w:r>
      <w:r w:rsidR="00541D05">
        <w:t xml:space="preserve"> </w:t>
      </w:r>
      <w:r w:rsidR="00D9258C" w:rsidRPr="00FD6A6A">
        <w:t>provision</w:t>
      </w:r>
      <w:r w:rsidR="00541D05">
        <w:t xml:space="preserve"> </w:t>
      </w:r>
      <w:r w:rsidR="00D9258C" w:rsidRPr="00FD6A6A">
        <w:t>of</w:t>
      </w:r>
      <w:r w:rsidR="00541D05">
        <w:t xml:space="preserve"> </w:t>
      </w:r>
      <w:r w:rsidR="00D9258C" w:rsidRPr="00FD6A6A">
        <w:t>meals</w:t>
      </w:r>
      <w:r w:rsidR="00541D05">
        <w:t xml:space="preserve"> </w:t>
      </w:r>
      <w:r w:rsidR="00D9258C" w:rsidRPr="00FD6A6A">
        <w:t>that</w:t>
      </w:r>
      <w:r w:rsidR="00541D05">
        <w:t xml:space="preserve"> </w:t>
      </w:r>
      <w:r w:rsidR="00D9258C" w:rsidRPr="00FD6A6A">
        <w:t>respect</w:t>
      </w:r>
      <w:r w:rsidR="00541D05">
        <w:t xml:space="preserve"> </w:t>
      </w:r>
      <w:r w:rsidR="00D9258C" w:rsidRPr="00FD6A6A">
        <w:t>the</w:t>
      </w:r>
      <w:r w:rsidR="00541D05">
        <w:t xml:space="preserve"> </w:t>
      </w:r>
      <w:r w:rsidR="00D9258C" w:rsidRPr="00FD6A6A">
        <w:t>food</w:t>
      </w:r>
      <w:r w:rsidR="00541D05">
        <w:t xml:space="preserve"> </w:t>
      </w:r>
      <w:r w:rsidR="00D9258C" w:rsidRPr="00FD6A6A">
        <w:t>traditions</w:t>
      </w:r>
      <w:r w:rsidR="00541D05">
        <w:t xml:space="preserve"> </w:t>
      </w:r>
      <w:r w:rsidR="00D9258C" w:rsidRPr="00FD6A6A">
        <w:t>of</w:t>
      </w:r>
      <w:r w:rsidR="00541D05">
        <w:t xml:space="preserve"> </w:t>
      </w:r>
      <w:r w:rsidR="00D9258C" w:rsidRPr="00FD6A6A">
        <w:t>these</w:t>
      </w:r>
      <w:r w:rsidR="00541D05">
        <w:t xml:space="preserve"> </w:t>
      </w:r>
      <w:r w:rsidR="00D9258C" w:rsidRPr="00FD6A6A">
        <w:t>communities.</w:t>
      </w:r>
    </w:p>
    <w:p w14:paraId="488820ED" w14:textId="26D758D2" w:rsidR="00D9258C" w:rsidRPr="00FD6A6A" w:rsidRDefault="00166390" w:rsidP="00166390">
      <w:pPr>
        <w:pStyle w:val="ParaNoG"/>
        <w:numPr>
          <w:ilvl w:val="0"/>
          <w:numId w:val="0"/>
        </w:numPr>
        <w:tabs>
          <w:tab w:val="left" w:pos="0"/>
        </w:tabs>
        <w:ind w:left="1134"/>
      </w:pPr>
      <w:r w:rsidRPr="00FD6A6A">
        <w:t>146.</w:t>
      </w:r>
      <w:r w:rsidRPr="00FD6A6A">
        <w:tab/>
      </w:r>
      <w:r w:rsidR="00D9258C" w:rsidRPr="00FD6A6A">
        <w:t>The</w:t>
      </w:r>
      <w:r w:rsidR="00541D05">
        <w:t xml:space="preserve"> </w:t>
      </w:r>
      <w:r w:rsidR="00D9258C" w:rsidRPr="00FD6A6A">
        <w:t>Escola</w:t>
      </w:r>
      <w:r w:rsidR="00541D05">
        <w:t xml:space="preserve"> </w:t>
      </w:r>
      <w:r w:rsidR="00D9258C" w:rsidRPr="00FD6A6A">
        <w:t>da</w:t>
      </w:r>
      <w:r w:rsidR="00541D05">
        <w:t xml:space="preserve"> </w:t>
      </w:r>
      <w:r w:rsidR="00D9258C" w:rsidRPr="00FD6A6A">
        <w:t>Terra</w:t>
      </w:r>
      <w:r w:rsidR="00541D05">
        <w:t xml:space="preserve"> </w:t>
      </w:r>
      <w:r w:rsidR="00D9258C" w:rsidRPr="00FD6A6A">
        <w:t>Program</w:t>
      </w:r>
      <w:r w:rsidR="00541D05">
        <w:t xml:space="preserve"> </w:t>
      </w:r>
      <w:r w:rsidR="00D9258C" w:rsidRPr="00FD6A6A">
        <w:t>–</w:t>
      </w:r>
      <w:r w:rsidR="00541D05">
        <w:t xml:space="preserve"> </w:t>
      </w:r>
      <w:r w:rsidR="00D9258C" w:rsidRPr="00FD6A6A">
        <w:t>an</w:t>
      </w:r>
      <w:r w:rsidR="00541D05">
        <w:t xml:space="preserve"> </w:t>
      </w:r>
      <w:r w:rsidR="00D9258C" w:rsidRPr="00FD6A6A">
        <w:t>integral</w:t>
      </w:r>
      <w:r w:rsidR="00541D05">
        <w:t xml:space="preserve"> </w:t>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National</w:t>
      </w:r>
      <w:r w:rsidR="00541D05">
        <w:t xml:space="preserve"> </w:t>
      </w:r>
      <w:r w:rsidR="00D9258C" w:rsidRPr="00FD6A6A">
        <w:t>Program</w:t>
      </w:r>
      <w:r w:rsidR="00541D05">
        <w:t xml:space="preserve"> </w:t>
      </w:r>
      <w:r w:rsidR="00D9258C" w:rsidRPr="00FD6A6A">
        <w:t>for</w:t>
      </w:r>
      <w:r w:rsidR="00541D05">
        <w:t xml:space="preserve"> </w:t>
      </w:r>
      <w:r w:rsidR="00D9258C" w:rsidRPr="00FD6A6A">
        <w:t>Rural</w:t>
      </w:r>
      <w:r w:rsidR="00541D05">
        <w:t xml:space="preserve"> </w:t>
      </w:r>
      <w:r w:rsidR="00D9258C" w:rsidRPr="00FD6A6A">
        <w:t>Education</w:t>
      </w:r>
      <w:r w:rsidR="00541D05">
        <w:t xml:space="preserve"> </w:t>
      </w:r>
      <w:r w:rsidR="00D9258C" w:rsidRPr="00FD6A6A">
        <w:t>(Pronacampo),</w:t>
      </w:r>
      <w:r w:rsidR="00541D05">
        <w:t xml:space="preserve"> </w:t>
      </w:r>
      <w:r w:rsidR="00D9258C" w:rsidRPr="00FD6A6A">
        <w:t>which</w:t>
      </w:r>
      <w:r w:rsidR="00541D05">
        <w:t xml:space="preserve"> </w:t>
      </w:r>
      <w:r w:rsidR="00D9258C" w:rsidRPr="00FD6A6A">
        <w:t>aims</w:t>
      </w:r>
      <w:r w:rsidR="00541D05">
        <w:t xml:space="preserve"> </w:t>
      </w:r>
      <w:r w:rsidR="00D9258C" w:rsidRPr="00FD6A6A">
        <w:t>at</w:t>
      </w:r>
      <w:r w:rsidR="00541D05">
        <w:t xml:space="preserve"> </w:t>
      </w:r>
      <w:r w:rsidR="00D9258C" w:rsidRPr="00FD6A6A">
        <w:t>promoting</w:t>
      </w:r>
      <w:r w:rsidR="00541D05">
        <w:t xml:space="preserve"> </w:t>
      </w:r>
      <w:r w:rsidR="00D9258C" w:rsidRPr="00FD6A6A">
        <w:t>continuous</w:t>
      </w:r>
      <w:r w:rsidR="00541D05">
        <w:t xml:space="preserve"> </w:t>
      </w:r>
      <w:r w:rsidR="00D9258C" w:rsidRPr="00FD6A6A">
        <w:t>education</w:t>
      </w:r>
      <w:r w:rsidR="00541D05">
        <w:t xml:space="preserve"> </w:t>
      </w:r>
      <w:r w:rsidR="00D9258C" w:rsidRPr="00FD6A6A">
        <w:t>of</w:t>
      </w:r>
      <w:r w:rsidR="00541D05">
        <w:t xml:space="preserve"> </w:t>
      </w:r>
      <w:r w:rsidR="00D9258C" w:rsidRPr="00FD6A6A">
        <w:t>teachers</w:t>
      </w:r>
      <w:r w:rsidR="00541D05">
        <w:t xml:space="preserve"> </w:t>
      </w:r>
      <w:r w:rsidR="00D9258C" w:rsidRPr="00FD6A6A">
        <w:t>that</w:t>
      </w:r>
      <w:r w:rsidR="00541D05">
        <w:t xml:space="preserve"> </w:t>
      </w:r>
      <w:r w:rsidR="00D9258C" w:rsidRPr="00FD6A6A">
        <w:t>meet</w:t>
      </w:r>
      <w:r w:rsidR="00541D05">
        <w:t xml:space="preserve"> </w:t>
      </w:r>
      <w:r w:rsidR="00D9258C" w:rsidRPr="00FD6A6A">
        <w:t>the</w:t>
      </w:r>
      <w:r w:rsidR="00541D05">
        <w:t xml:space="preserve"> </w:t>
      </w:r>
      <w:r w:rsidR="00D9258C" w:rsidRPr="00FD6A6A">
        <w:t>specific</w:t>
      </w:r>
      <w:r w:rsidR="00541D05">
        <w:t xml:space="preserve"> </w:t>
      </w:r>
      <w:r w:rsidR="00D9258C" w:rsidRPr="00FD6A6A">
        <w:t>needs</w:t>
      </w:r>
      <w:r w:rsidR="00541D05">
        <w:t xml:space="preserve"> </w:t>
      </w:r>
      <w:r w:rsidR="00D9258C" w:rsidRPr="00FD6A6A">
        <w:t>of</w:t>
      </w:r>
      <w:r w:rsidR="00541D05">
        <w:t xml:space="preserve"> </w:t>
      </w:r>
      <w:r w:rsidR="00D9258C" w:rsidRPr="00FD6A6A">
        <w:t>rural</w:t>
      </w:r>
      <w:r w:rsidR="00541D05">
        <w:t xml:space="preserve"> </w:t>
      </w:r>
      <w:r w:rsidR="00D9258C" w:rsidRPr="00FD6A6A">
        <w:t>schools</w:t>
      </w:r>
      <w:r w:rsidR="00541D05">
        <w:t xml:space="preserve"> </w:t>
      </w:r>
      <w:r w:rsidR="00D9258C" w:rsidRPr="00FD6A6A">
        <w:t>and</w:t>
      </w:r>
      <w:r w:rsidR="00541D05">
        <w:t xml:space="preserve"> </w:t>
      </w:r>
      <w:r w:rsidR="00D9258C" w:rsidRPr="00FD6A6A">
        <w:t>Quilombola</w:t>
      </w:r>
      <w:r w:rsidR="00541D05">
        <w:t xml:space="preserve"> </w:t>
      </w:r>
      <w:r w:rsidR="00D9258C" w:rsidRPr="00FD6A6A">
        <w:t>schools,</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offer</w:t>
      </w:r>
      <w:r w:rsidR="00541D05">
        <w:t xml:space="preserve"> </w:t>
      </w:r>
      <w:r w:rsidR="00D9258C" w:rsidRPr="00FD6A6A">
        <w:t>educational</w:t>
      </w:r>
      <w:r w:rsidR="00541D05">
        <w:t xml:space="preserve"> </w:t>
      </w:r>
      <w:r w:rsidR="00D9258C" w:rsidRPr="00FD6A6A">
        <w:t>and</w:t>
      </w:r>
      <w:r w:rsidR="00541D05">
        <w:t xml:space="preserve"> </w:t>
      </w:r>
      <w:r w:rsidR="00D9258C" w:rsidRPr="00FD6A6A">
        <w:t>pedagogical</w:t>
      </w:r>
      <w:r w:rsidR="00541D05">
        <w:t xml:space="preserve"> </w:t>
      </w:r>
      <w:r w:rsidR="00D9258C" w:rsidRPr="00FD6A6A">
        <w:t>resources</w:t>
      </w:r>
      <w:r w:rsidR="00541D05">
        <w:t xml:space="preserve"> </w:t>
      </w:r>
      <w:r w:rsidR="00D9258C" w:rsidRPr="00FD6A6A">
        <w:t>that</w:t>
      </w:r>
      <w:r w:rsidR="00541D05">
        <w:t xml:space="preserve"> </w:t>
      </w:r>
      <w:r w:rsidR="00D9258C" w:rsidRPr="00FD6A6A">
        <w:t>meet</w:t>
      </w:r>
      <w:r w:rsidR="00541D05">
        <w:t xml:space="preserve"> </w:t>
      </w:r>
      <w:r w:rsidR="00D9258C" w:rsidRPr="00FD6A6A">
        <w:t>the</w:t>
      </w:r>
      <w:r w:rsidR="00541D05">
        <w:t xml:space="preserve"> </w:t>
      </w:r>
      <w:r w:rsidR="00D9258C" w:rsidRPr="00FD6A6A">
        <w:t>educational</w:t>
      </w:r>
      <w:r w:rsidR="00541D05">
        <w:t xml:space="preserve"> </w:t>
      </w:r>
      <w:r w:rsidR="00D9258C" w:rsidRPr="00FD6A6A">
        <w:t>specificities</w:t>
      </w:r>
      <w:r w:rsidR="00541D05">
        <w:t xml:space="preserve"> </w:t>
      </w:r>
      <w:r w:rsidR="00D9258C" w:rsidRPr="00FD6A6A">
        <w:t>of</w:t>
      </w:r>
      <w:r w:rsidR="00541D05">
        <w:t xml:space="preserve"> </w:t>
      </w:r>
      <w:r w:rsidR="00D9258C" w:rsidRPr="00FD6A6A">
        <w:t>rural</w:t>
      </w:r>
      <w:r w:rsidR="00541D05">
        <w:t xml:space="preserve"> </w:t>
      </w:r>
      <w:r w:rsidR="00D9258C" w:rsidRPr="00FD6A6A">
        <w:t>and</w:t>
      </w:r>
      <w:r w:rsidR="00541D05">
        <w:t xml:space="preserve"> </w:t>
      </w:r>
      <w:r w:rsidR="00D9258C" w:rsidRPr="00FD6A6A">
        <w:t>Quilombola</w:t>
      </w:r>
      <w:r w:rsidR="00541D05">
        <w:t xml:space="preserve"> </w:t>
      </w:r>
      <w:r w:rsidR="00D9258C" w:rsidRPr="00FD6A6A">
        <w:t>populations</w:t>
      </w:r>
      <w:r w:rsidR="00541D05">
        <w:t xml:space="preserve"> </w:t>
      </w:r>
      <w:r w:rsidR="00D9258C" w:rsidRPr="00FD6A6A">
        <w:t>–</w:t>
      </w:r>
      <w:r w:rsidR="00541D05">
        <w:t xml:space="preserve"> </w:t>
      </w:r>
      <w:r w:rsidR="00D9258C" w:rsidRPr="00FD6A6A">
        <w:t>is</w:t>
      </w:r>
      <w:r w:rsidR="00541D05">
        <w:t xml:space="preserve"> </w:t>
      </w:r>
      <w:r w:rsidR="00D9258C" w:rsidRPr="00FD6A6A">
        <w:t>also</w:t>
      </w:r>
      <w:r w:rsidR="00541D05">
        <w:t xml:space="preserve"> </w:t>
      </w:r>
      <w:r w:rsidR="00D9258C" w:rsidRPr="00FD6A6A">
        <w:t>a</w:t>
      </w:r>
      <w:r w:rsidR="00541D05">
        <w:t xml:space="preserve"> </w:t>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list</w:t>
      </w:r>
      <w:r w:rsidR="00541D05">
        <w:t xml:space="preserve"> </w:t>
      </w:r>
      <w:r w:rsidR="00D9258C" w:rsidRPr="00FD6A6A">
        <w:t>of</w:t>
      </w:r>
      <w:r w:rsidR="00541D05">
        <w:t xml:space="preserve"> </w:t>
      </w:r>
      <w:r w:rsidR="00D9258C" w:rsidRPr="00FD6A6A">
        <w:t>actions</w:t>
      </w:r>
      <w:r w:rsidR="00541D05">
        <w:t xml:space="preserve"> </w:t>
      </w:r>
      <w:r w:rsidR="00D9258C" w:rsidRPr="00FD6A6A">
        <w:t>for</w:t>
      </w:r>
      <w:r w:rsidR="00541D05">
        <w:t xml:space="preserve"> </w:t>
      </w:r>
      <w:r w:rsidR="00D9258C" w:rsidRPr="00FD6A6A">
        <w:t>Quilombola</w:t>
      </w:r>
      <w:r w:rsidR="00541D05">
        <w:t xml:space="preserve"> </w:t>
      </w:r>
      <w:r w:rsidR="00D9258C" w:rsidRPr="00FD6A6A">
        <w:t>education.</w:t>
      </w:r>
    </w:p>
    <w:p w14:paraId="2964050E" w14:textId="6700DAD0" w:rsidR="00D9258C" w:rsidRPr="00FD6A6A" w:rsidRDefault="00166390" w:rsidP="00166390">
      <w:pPr>
        <w:pStyle w:val="ParaNoG"/>
        <w:numPr>
          <w:ilvl w:val="0"/>
          <w:numId w:val="0"/>
        </w:numPr>
        <w:tabs>
          <w:tab w:val="left" w:pos="0"/>
        </w:tabs>
        <w:ind w:left="1134"/>
      </w:pPr>
      <w:r w:rsidRPr="00FD6A6A">
        <w:t>147.</w:t>
      </w:r>
      <w:r w:rsidRPr="00FD6A6A">
        <w:tab/>
      </w:r>
      <w:r w:rsidR="00D9258C" w:rsidRPr="00FD6A6A">
        <w:t>Despite</w:t>
      </w:r>
      <w:r w:rsidR="00541D05">
        <w:t xml:space="preserve"> </w:t>
      </w:r>
      <w:r w:rsidR="00D9258C" w:rsidRPr="00FD6A6A">
        <w:t>the</w:t>
      </w:r>
      <w:r w:rsidR="00541D05">
        <w:t xml:space="preserve"> </w:t>
      </w:r>
      <w:r w:rsidR="00D9258C" w:rsidRPr="00FD6A6A">
        <w:t>effective</w:t>
      </w:r>
      <w:r w:rsidR="00541D05">
        <w:t xml:space="preserve"> </w:t>
      </w:r>
      <w:r w:rsidR="00D9258C" w:rsidRPr="00FD6A6A">
        <w:t>institutional</w:t>
      </w:r>
      <w:r w:rsidR="00541D05">
        <w:t xml:space="preserve"> </w:t>
      </w:r>
      <w:r w:rsidR="00D9258C" w:rsidRPr="00FD6A6A">
        <w:t>progress,</w:t>
      </w:r>
      <w:r w:rsidR="00541D05">
        <w:t xml:space="preserve"> </w:t>
      </w:r>
      <w:r w:rsidR="00D9258C" w:rsidRPr="00FD6A6A">
        <w:t>data</w:t>
      </w:r>
      <w:r w:rsidR="00541D05">
        <w:t xml:space="preserve"> </w:t>
      </w:r>
      <w:r w:rsidR="00D9258C" w:rsidRPr="00FD6A6A">
        <w:t>on</w:t>
      </w:r>
      <w:r w:rsidR="00541D05">
        <w:t xml:space="preserve"> </w:t>
      </w:r>
      <w:r w:rsidR="00D9258C" w:rsidRPr="00FD6A6A">
        <w:t>Quilombola</w:t>
      </w:r>
      <w:r w:rsidR="00541D05">
        <w:t xml:space="preserve"> </w:t>
      </w:r>
      <w:r w:rsidR="00D9258C" w:rsidRPr="00FD6A6A">
        <w:t>schools</w:t>
      </w:r>
      <w:r w:rsidR="00541D05">
        <w:t xml:space="preserve"> </w:t>
      </w:r>
      <w:r w:rsidR="00D9258C" w:rsidRPr="00FD6A6A">
        <w:t>also</w:t>
      </w:r>
      <w:r w:rsidR="00541D05">
        <w:t xml:space="preserve"> </w:t>
      </w:r>
      <w:r w:rsidR="00D9258C" w:rsidRPr="00FD6A6A">
        <w:t>indicate</w:t>
      </w:r>
      <w:r w:rsidR="00541D05">
        <w:t xml:space="preserve"> </w:t>
      </w:r>
      <w:r w:rsidR="00D9258C" w:rsidRPr="00FD6A6A">
        <w:t>several</w:t>
      </w:r>
      <w:r w:rsidR="00541D05">
        <w:t xml:space="preserve"> </w:t>
      </w:r>
      <w:r w:rsidR="00D9258C" w:rsidRPr="00FD6A6A">
        <w:t>challenges</w:t>
      </w:r>
      <w:r w:rsidR="00541D05">
        <w:t xml:space="preserve"> </w:t>
      </w:r>
      <w:r w:rsidR="00D9258C" w:rsidRPr="00FD6A6A">
        <w:t>for</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Data</w:t>
      </w:r>
      <w:r w:rsidR="00541D05">
        <w:t xml:space="preserve"> </w:t>
      </w:r>
      <w:r w:rsidR="00D9258C" w:rsidRPr="00FD6A6A">
        <w:t>from</w:t>
      </w:r>
      <w:r w:rsidR="00541D05">
        <w:t xml:space="preserve"> </w:t>
      </w:r>
      <w:r w:rsidR="00D9258C" w:rsidRPr="00FD6A6A">
        <w:t>the</w:t>
      </w:r>
      <w:r w:rsidR="00541D05">
        <w:t xml:space="preserve"> </w:t>
      </w:r>
      <w:r w:rsidR="00D9258C" w:rsidRPr="00FD6A6A">
        <w:t>2012</w:t>
      </w:r>
      <w:r w:rsidR="00541D05">
        <w:t xml:space="preserve"> </w:t>
      </w:r>
      <w:r w:rsidR="00D9258C" w:rsidRPr="00FD6A6A">
        <w:t>School</w:t>
      </w:r>
      <w:r w:rsidR="00541D05">
        <w:t xml:space="preserve"> </w:t>
      </w:r>
      <w:r w:rsidR="00D9258C" w:rsidRPr="00FD6A6A">
        <w:t>Census</w:t>
      </w:r>
      <w:r w:rsidR="00541D05">
        <w:t xml:space="preserve"> </w:t>
      </w:r>
      <w:r w:rsidR="00D9258C" w:rsidRPr="00FD6A6A">
        <w:t>show</w:t>
      </w:r>
      <w:r w:rsidR="00541D05">
        <w:t xml:space="preserve"> </w:t>
      </w:r>
      <w:r w:rsidR="00D9258C" w:rsidRPr="00FD6A6A">
        <w:t>that</w:t>
      </w:r>
      <w:r w:rsidR="00541D05">
        <w:t xml:space="preserve"> </w:t>
      </w:r>
      <w:r w:rsidR="00D9258C" w:rsidRPr="00FD6A6A">
        <w:t>there</w:t>
      </w:r>
      <w:r w:rsidR="00541D05">
        <w:t xml:space="preserve"> </w:t>
      </w:r>
      <w:r w:rsidR="00D9258C" w:rsidRPr="00FD6A6A">
        <w:t>are</w:t>
      </w:r>
      <w:r w:rsidR="00541D05">
        <w:t xml:space="preserve"> </w:t>
      </w:r>
      <w:r w:rsidR="00D9258C" w:rsidRPr="00FD6A6A">
        <w:t>libraries</w:t>
      </w:r>
      <w:r w:rsidR="00541D05">
        <w:t xml:space="preserve"> </w:t>
      </w:r>
      <w:r w:rsidR="00D9258C" w:rsidRPr="00FD6A6A">
        <w:t>in</w:t>
      </w:r>
      <w:r w:rsidR="00541D05">
        <w:t xml:space="preserve"> </w:t>
      </w:r>
      <w:r w:rsidR="00D9258C" w:rsidRPr="00FD6A6A">
        <w:t>16%</w:t>
      </w:r>
      <w:r w:rsidR="00541D05">
        <w:t xml:space="preserve"> </w:t>
      </w:r>
      <w:r w:rsidR="00D9258C" w:rsidRPr="00FD6A6A">
        <w:t>of</w:t>
      </w:r>
      <w:r w:rsidR="00541D05">
        <w:t xml:space="preserve"> </w:t>
      </w:r>
      <w:r w:rsidR="00D9258C" w:rsidRPr="00FD6A6A">
        <w:t>Quilombola</w:t>
      </w:r>
      <w:r w:rsidR="00541D05">
        <w:t xml:space="preserve"> </w:t>
      </w:r>
      <w:r w:rsidR="00D9258C" w:rsidRPr="00FD6A6A">
        <w:t>schools,</w:t>
      </w:r>
      <w:r w:rsidR="00541D05">
        <w:t xml:space="preserve"> </w:t>
      </w:r>
      <w:r w:rsidR="00D9258C" w:rsidRPr="00FD6A6A">
        <w:t>12.6%</w:t>
      </w:r>
      <w:r w:rsidR="00541D05">
        <w:t xml:space="preserve"> </w:t>
      </w:r>
      <w:r w:rsidR="00D9258C" w:rsidRPr="00FD6A6A">
        <w:t>have</w:t>
      </w:r>
      <w:r w:rsidR="00541D05">
        <w:t xml:space="preserve"> </w:t>
      </w:r>
      <w:r w:rsidR="00D9258C" w:rsidRPr="00FD6A6A">
        <w:t>Internet</w:t>
      </w:r>
      <w:r w:rsidR="00541D05">
        <w:t xml:space="preserve"> </w:t>
      </w:r>
      <w:r w:rsidR="00D9258C" w:rsidRPr="00FD6A6A">
        <w:t>access,</w:t>
      </w:r>
      <w:r w:rsidR="00541D05">
        <w:t xml:space="preserve"> </w:t>
      </w:r>
      <w:r w:rsidR="00D9258C" w:rsidRPr="00FD6A6A">
        <w:t>22.6%</w:t>
      </w:r>
      <w:r w:rsidR="00541D05">
        <w:t xml:space="preserve"> </w:t>
      </w:r>
      <w:r w:rsidR="00D9258C" w:rsidRPr="00FD6A6A">
        <w:t>have</w:t>
      </w:r>
      <w:r w:rsidR="00541D05">
        <w:t xml:space="preserve"> </w:t>
      </w:r>
      <w:r w:rsidR="00D9258C" w:rsidRPr="00FD6A6A">
        <w:t>an</w:t>
      </w:r>
      <w:r w:rsidR="00541D05">
        <w:t xml:space="preserve"> </w:t>
      </w:r>
      <w:r w:rsidR="00D9258C" w:rsidRPr="00FD6A6A">
        <w:t>IT</w:t>
      </w:r>
      <w:r w:rsidR="00541D05">
        <w:t xml:space="preserve"> </w:t>
      </w:r>
      <w:r w:rsidR="00D9258C" w:rsidRPr="00FD6A6A">
        <w:t>laboratory,</w:t>
      </w:r>
      <w:r w:rsidR="00541D05">
        <w:t xml:space="preserve"> </w:t>
      </w:r>
      <w:r w:rsidR="00D9258C" w:rsidRPr="00FD6A6A">
        <w:t>and</w:t>
      </w:r>
      <w:r w:rsidR="00541D05">
        <w:t xml:space="preserve"> </w:t>
      </w:r>
      <w:r w:rsidR="00D9258C" w:rsidRPr="00FD6A6A">
        <w:t>8.5%</w:t>
      </w:r>
      <w:r w:rsidR="00541D05">
        <w:t xml:space="preserve"> </w:t>
      </w:r>
      <w:r w:rsidR="00D9258C" w:rsidRPr="00FD6A6A">
        <w:t>have</w:t>
      </w:r>
      <w:r w:rsidR="00541D05">
        <w:t xml:space="preserve"> </w:t>
      </w:r>
      <w:r w:rsidR="00D9258C" w:rsidRPr="00FD6A6A">
        <w:t>sports</w:t>
      </w:r>
      <w:r w:rsidR="00541D05">
        <w:t xml:space="preserve"> </w:t>
      </w:r>
      <w:r w:rsidR="00D9258C" w:rsidRPr="00FD6A6A">
        <w:t>courts.</w:t>
      </w:r>
      <w:r w:rsidR="00541D05">
        <w:t xml:space="preserve"> </w:t>
      </w:r>
      <w:r w:rsidR="00D9258C" w:rsidRPr="00FD6A6A">
        <w:t>Although</w:t>
      </w:r>
      <w:r w:rsidR="00541D05">
        <w:t xml:space="preserve"> </w:t>
      </w:r>
      <w:r w:rsidR="00D9258C" w:rsidRPr="00FD6A6A">
        <w:t>these</w:t>
      </w:r>
      <w:r w:rsidR="00541D05">
        <w:t xml:space="preserve"> </w:t>
      </w:r>
      <w:r w:rsidR="00D9258C" w:rsidRPr="00FD6A6A">
        <w:t>data</w:t>
      </w:r>
      <w:r w:rsidR="00541D05">
        <w:t xml:space="preserve"> </w:t>
      </w:r>
      <w:r w:rsidR="00D9258C" w:rsidRPr="00FD6A6A">
        <w:t>are</w:t>
      </w:r>
      <w:r w:rsidR="00541D05">
        <w:t xml:space="preserve"> </w:t>
      </w:r>
      <w:r w:rsidR="00D9258C" w:rsidRPr="00FD6A6A">
        <w:t>close</w:t>
      </w:r>
      <w:r w:rsidR="00541D05">
        <w:t xml:space="preserve"> </w:t>
      </w:r>
      <w:r w:rsidR="00D9258C" w:rsidRPr="00FD6A6A">
        <w:t>to</w:t>
      </w:r>
      <w:r w:rsidR="00541D05">
        <w:t xml:space="preserve"> </w:t>
      </w:r>
      <w:r w:rsidR="00D9258C" w:rsidRPr="00FD6A6A">
        <w:t>the</w:t>
      </w:r>
      <w:r w:rsidR="00541D05">
        <w:t xml:space="preserve"> </w:t>
      </w:r>
      <w:r w:rsidR="00D9258C" w:rsidRPr="00FD6A6A">
        <w:t>reality</w:t>
      </w:r>
      <w:r w:rsidR="00541D05">
        <w:t xml:space="preserve"> </w:t>
      </w:r>
      <w:r w:rsidR="00D9258C" w:rsidRPr="00FD6A6A">
        <w:t>of</w:t>
      </w:r>
      <w:r w:rsidR="00541D05">
        <w:t xml:space="preserve"> </w:t>
      </w:r>
      <w:r w:rsidR="00D9258C" w:rsidRPr="00FD6A6A">
        <w:t>other</w:t>
      </w:r>
      <w:r w:rsidR="00541D05">
        <w:t xml:space="preserve"> </w:t>
      </w:r>
      <w:r w:rsidR="00D9258C" w:rsidRPr="00FD6A6A">
        <w:t>rural</w:t>
      </w:r>
      <w:r w:rsidR="00541D05">
        <w:t xml:space="preserve"> </w:t>
      </w:r>
      <w:r w:rsidR="00D9258C" w:rsidRPr="00FD6A6A">
        <w:t>schools,</w:t>
      </w:r>
      <w:r w:rsidR="00541D05">
        <w:t xml:space="preserve"> </w:t>
      </w:r>
      <w:r w:rsidR="00D9258C" w:rsidRPr="00FD6A6A">
        <w:t>they</w:t>
      </w:r>
      <w:r w:rsidR="00541D05">
        <w:t xml:space="preserve"> </w:t>
      </w:r>
      <w:r w:rsidR="00D9258C" w:rsidRPr="00FD6A6A">
        <w:t>have</w:t>
      </w:r>
      <w:r w:rsidR="00541D05">
        <w:t xml:space="preserve"> </w:t>
      </w:r>
      <w:r w:rsidR="00D9258C" w:rsidRPr="00FD6A6A">
        <w:t>not</w:t>
      </w:r>
      <w:r w:rsidR="00541D05">
        <w:t xml:space="preserve"> </w:t>
      </w:r>
      <w:r w:rsidR="00D9258C" w:rsidRPr="00FD6A6A">
        <w:t>reached</w:t>
      </w:r>
      <w:r w:rsidR="00541D05">
        <w:t xml:space="preserve"> </w:t>
      </w:r>
      <w:r w:rsidR="00D9258C" w:rsidRPr="00FD6A6A">
        <w:t>yet</w:t>
      </w:r>
      <w:r w:rsidR="00541D05">
        <w:t xml:space="preserve"> </w:t>
      </w:r>
      <w:r w:rsidR="00D9258C" w:rsidRPr="00FD6A6A">
        <w:t>that</w:t>
      </w:r>
      <w:r w:rsidR="00541D05">
        <w:t xml:space="preserve"> </w:t>
      </w:r>
      <w:r w:rsidR="00D9258C" w:rsidRPr="00FD6A6A">
        <w:t>of</w:t>
      </w:r>
      <w:r w:rsidR="00541D05">
        <w:t xml:space="preserve"> </w:t>
      </w:r>
      <w:r w:rsidR="00D9258C" w:rsidRPr="00FD6A6A">
        <w:t>the</w:t>
      </w:r>
      <w:r w:rsidR="00541D05">
        <w:t xml:space="preserve"> </w:t>
      </w:r>
      <w:r w:rsidR="00D9258C" w:rsidRPr="00FD6A6A">
        <w:t>other</w:t>
      </w:r>
      <w:r w:rsidR="00541D05">
        <w:t xml:space="preserve"> </w:t>
      </w:r>
      <w:r w:rsidR="00D9258C" w:rsidRPr="00FD6A6A">
        <w:t>primary</w:t>
      </w:r>
      <w:r w:rsidR="00541D05">
        <w:t xml:space="preserve"> </w:t>
      </w:r>
      <w:r w:rsidR="00D9258C" w:rsidRPr="00FD6A6A">
        <w:t>education</w:t>
      </w:r>
      <w:r w:rsidR="00541D05">
        <w:t xml:space="preserve"> </w:t>
      </w:r>
      <w:r w:rsidR="00D9258C" w:rsidRPr="00FD6A6A">
        <w:t>institutions.</w:t>
      </w:r>
    </w:p>
    <w:p w14:paraId="7D22C592" w14:textId="27223967" w:rsidR="00D9258C" w:rsidRPr="00FD6A6A" w:rsidRDefault="00166390" w:rsidP="00166390">
      <w:pPr>
        <w:pStyle w:val="ParaNoG"/>
        <w:numPr>
          <w:ilvl w:val="0"/>
          <w:numId w:val="0"/>
        </w:numPr>
        <w:tabs>
          <w:tab w:val="left" w:pos="0"/>
        </w:tabs>
        <w:ind w:left="1134"/>
      </w:pPr>
      <w:r w:rsidRPr="00FD6A6A">
        <w:lastRenderedPageBreak/>
        <w:t>148.</w:t>
      </w:r>
      <w:r w:rsidRPr="00FD6A6A">
        <w:tab/>
      </w:r>
      <w:r w:rsidR="00D9258C" w:rsidRPr="00FD6A6A">
        <w:t>Quilombola</w:t>
      </w:r>
      <w:r w:rsidR="00541D05">
        <w:t xml:space="preserve"> </w:t>
      </w:r>
      <w:r w:rsidR="00D9258C" w:rsidRPr="00FD6A6A">
        <w:t>communities</w:t>
      </w:r>
      <w:r w:rsidR="00541D05">
        <w:t xml:space="preserve"> </w:t>
      </w:r>
      <w:r w:rsidR="00D9258C" w:rsidRPr="00FD6A6A">
        <w:t>invariably</w:t>
      </w:r>
      <w:r w:rsidR="00541D05">
        <w:t xml:space="preserve"> </w:t>
      </w:r>
      <w:r w:rsidR="00D9258C" w:rsidRPr="00FD6A6A">
        <w:t>face</w:t>
      </w:r>
      <w:r w:rsidR="00541D05">
        <w:t xml:space="preserve"> </w:t>
      </w:r>
      <w:r w:rsidR="00D9258C" w:rsidRPr="00FD6A6A">
        <w:t>limits</w:t>
      </w:r>
      <w:r w:rsidR="00541D05">
        <w:t xml:space="preserve"> </w:t>
      </w:r>
      <w:r w:rsidR="00D9258C" w:rsidRPr="00FD6A6A">
        <w:t>to</w:t>
      </w:r>
      <w:r w:rsidR="00541D05">
        <w:t xml:space="preserve"> </w:t>
      </w:r>
      <w:r w:rsidR="00D9258C" w:rsidRPr="00FD6A6A">
        <w:t>the</w:t>
      </w:r>
      <w:r w:rsidR="00541D05">
        <w:t xml:space="preserve"> </w:t>
      </w:r>
      <w:r w:rsidR="00D9258C" w:rsidRPr="00FD6A6A">
        <w:t>spatial</w:t>
      </w:r>
      <w:r w:rsidR="00541D05">
        <w:t xml:space="preserve"> </w:t>
      </w:r>
      <w:r w:rsidR="00D9258C" w:rsidRPr="00FD6A6A">
        <w:t>distribution</w:t>
      </w:r>
      <w:r w:rsidR="00541D05">
        <w:t xml:space="preserve"> </w:t>
      </w:r>
      <w:r w:rsidR="00D9258C" w:rsidRPr="00FD6A6A">
        <w:t>of</w:t>
      </w:r>
      <w:r w:rsidR="00541D05">
        <w:t xml:space="preserve"> </w:t>
      </w:r>
      <w:r w:rsidR="00D9258C" w:rsidRPr="00FD6A6A">
        <w:t>power,</w:t>
      </w:r>
      <w:r w:rsidR="00541D05">
        <w:t xml:space="preserve"> </w:t>
      </w:r>
      <w:r w:rsidR="00D9258C" w:rsidRPr="00FD6A6A">
        <w:t>given</w:t>
      </w:r>
      <w:r w:rsidR="00541D05">
        <w:t xml:space="preserve"> </w:t>
      </w:r>
      <w:r w:rsidR="00D9258C" w:rsidRPr="00FD6A6A">
        <w:t>that</w:t>
      </w:r>
      <w:r w:rsidR="00541D05">
        <w:t xml:space="preserve"> </w:t>
      </w:r>
      <w:r w:rsidR="00D9258C" w:rsidRPr="00FD6A6A">
        <w:t>their</w:t>
      </w:r>
      <w:r w:rsidR="00541D05">
        <w:t xml:space="preserve"> </w:t>
      </w:r>
      <w:r w:rsidR="00D9258C" w:rsidRPr="00FD6A6A">
        <w:t>social</w:t>
      </w:r>
      <w:r w:rsidR="00541D05">
        <w:t xml:space="preserve"> </w:t>
      </w:r>
      <w:r w:rsidR="00D9258C" w:rsidRPr="00FD6A6A">
        <w:t>reproduction</w:t>
      </w:r>
      <w:r w:rsidR="00541D05">
        <w:t xml:space="preserve"> </w:t>
      </w:r>
      <w:r w:rsidR="00D9258C" w:rsidRPr="00FD6A6A">
        <w:t>occurred</w:t>
      </w:r>
      <w:r w:rsidR="00541D05">
        <w:t xml:space="preserve"> </w:t>
      </w:r>
      <w:r w:rsidR="00D9258C" w:rsidRPr="00FD6A6A">
        <w:t>historically</w:t>
      </w:r>
      <w:r w:rsidR="00541D05">
        <w:t xml:space="preserve"> </w:t>
      </w:r>
      <w:r w:rsidR="00D9258C" w:rsidRPr="00FD6A6A">
        <w:t>in</w:t>
      </w:r>
      <w:r w:rsidR="00541D05">
        <w:t xml:space="preserve"> </w:t>
      </w:r>
      <w:r w:rsidR="00D9258C" w:rsidRPr="00FD6A6A">
        <w:t>absentia</w:t>
      </w:r>
      <w:r w:rsidR="00541D05">
        <w:t xml:space="preserve"> </w:t>
      </w:r>
      <w:r w:rsidR="00D9258C" w:rsidRPr="00FD6A6A">
        <w:t>of</w:t>
      </w:r>
      <w:r w:rsidR="00541D05">
        <w:t xml:space="preserve"> </w:t>
      </w:r>
      <w:r w:rsidR="00D9258C" w:rsidRPr="00FD6A6A">
        <w:t>the</w:t>
      </w:r>
      <w:r w:rsidR="00541D05">
        <w:t xml:space="preserve"> </w:t>
      </w:r>
      <w:r w:rsidR="00D9258C" w:rsidRPr="00FD6A6A">
        <w:t>legal</w:t>
      </w:r>
      <w:r w:rsidR="00541D05">
        <w:t xml:space="preserve"> </w:t>
      </w:r>
      <w:r w:rsidR="00D9258C" w:rsidRPr="00FD6A6A">
        <w:t>and</w:t>
      </w:r>
      <w:r w:rsidR="00541D05">
        <w:t xml:space="preserve"> </w:t>
      </w:r>
      <w:r w:rsidR="00D9258C" w:rsidRPr="00FD6A6A">
        <w:t>formal</w:t>
      </w:r>
      <w:r w:rsidR="00541D05">
        <w:t xml:space="preserve"> </w:t>
      </w:r>
      <w:r w:rsidR="00D9258C" w:rsidRPr="00FD6A6A">
        <w:t>limits</w:t>
      </w:r>
      <w:r w:rsidR="00541D05">
        <w:t xml:space="preserve"> </w:t>
      </w:r>
      <w:r w:rsidR="00D9258C" w:rsidRPr="00FD6A6A">
        <w:t>that</w:t>
      </w:r>
      <w:r w:rsidR="00541D05">
        <w:t xml:space="preserve"> </w:t>
      </w:r>
      <w:r w:rsidR="00D9258C" w:rsidRPr="00FD6A6A">
        <w:t>divide</w:t>
      </w:r>
      <w:r w:rsidR="00541D05">
        <w:t xml:space="preserve"> </w:t>
      </w:r>
      <w:r w:rsidR="00D9258C" w:rsidRPr="00FD6A6A">
        <w:t>the</w:t>
      </w:r>
      <w:r w:rsidR="00541D05">
        <w:t xml:space="preserve"> </w:t>
      </w:r>
      <w:r w:rsidR="00D9258C" w:rsidRPr="00FD6A6A">
        <w:t>national</w:t>
      </w:r>
      <w:r w:rsidR="00541D05">
        <w:t xml:space="preserve"> </w:t>
      </w:r>
      <w:r w:rsidR="00D9258C" w:rsidRPr="00FD6A6A">
        <w:t>space</w:t>
      </w:r>
      <w:r w:rsidR="00541D05">
        <w:t xml:space="preserve"> </w:t>
      </w:r>
      <w:r w:rsidR="00D9258C" w:rsidRPr="00FD6A6A">
        <w:t>into</w:t>
      </w:r>
      <w:r w:rsidR="00541D05">
        <w:t xml:space="preserve"> </w:t>
      </w:r>
      <w:r w:rsidR="00D9258C" w:rsidRPr="00FD6A6A">
        <w:t>a</w:t>
      </w:r>
      <w:r w:rsidR="00541D05">
        <w:t xml:space="preserve"> </w:t>
      </w:r>
      <w:r w:rsidR="00D9258C" w:rsidRPr="00FD6A6A">
        <w:t>federation</w:t>
      </w:r>
      <w:r w:rsidR="00541D05">
        <w:t xml:space="preserve"> </w:t>
      </w:r>
      <w:r w:rsidR="00D9258C" w:rsidRPr="00FD6A6A">
        <w:t>of</w:t>
      </w:r>
      <w:r w:rsidR="00541D05">
        <w:t xml:space="preserve"> </w:t>
      </w:r>
      <w:r w:rsidR="00D9258C" w:rsidRPr="00FD6A6A">
        <w:t>States</w:t>
      </w:r>
      <w:r w:rsidR="00541D05">
        <w:t xml:space="preserve"> </w:t>
      </w:r>
      <w:r w:rsidR="00D9258C" w:rsidRPr="00FD6A6A">
        <w:t>and</w:t>
      </w:r>
      <w:r w:rsidR="00541D05">
        <w:t xml:space="preserve"> </w:t>
      </w:r>
      <w:r w:rsidR="00D9258C" w:rsidRPr="00FD6A6A">
        <w:t>cities.</w:t>
      </w:r>
      <w:r w:rsidR="00541D05">
        <w:t xml:space="preserve"> </w:t>
      </w:r>
      <w:r w:rsidR="00D9258C" w:rsidRPr="00FD6A6A">
        <w:t>Registration</w:t>
      </w:r>
      <w:r w:rsidR="00541D05">
        <w:t xml:space="preserve"> </w:t>
      </w:r>
      <w:r w:rsidR="00D9258C" w:rsidRPr="00FD6A6A">
        <w:t>with</w:t>
      </w:r>
      <w:r w:rsidR="00541D05">
        <w:t xml:space="preserve"> </w:t>
      </w:r>
      <w:r w:rsidR="00D9258C" w:rsidRPr="00FD6A6A">
        <w:t>several</w:t>
      </w:r>
      <w:r w:rsidR="00541D05">
        <w:t xml:space="preserve"> </w:t>
      </w:r>
      <w:r w:rsidR="00D9258C" w:rsidRPr="00FD6A6A">
        <w:t>jurisdictions</w:t>
      </w:r>
      <w:r w:rsidR="00541D05">
        <w:t xml:space="preserve"> </w:t>
      </w:r>
      <w:r w:rsidR="00D9258C" w:rsidRPr="00FD6A6A">
        <w:t>and</w:t>
      </w:r>
      <w:r w:rsidR="00541D05">
        <w:t xml:space="preserve"> </w:t>
      </w:r>
      <w:r w:rsidR="00D9258C" w:rsidRPr="00FD6A6A">
        <w:t>domains</w:t>
      </w:r>
      <w:r w:rsidR="00541D05">
        <w:t xml:space="preserve"> </w:t>
      </w:r>
      <w:r w:rsidR="00D9258C" w:rsidRPr="00FD6A6A">
        <w:t>and</w:t>
      </w:r>
      <w:r w:rsidR="00541D05">
        <w:t xml:space="preserve"> </w:t>
      </w:r>
      <w:r w:rsidR="00D9258C" w:rsidRPr="00FD6A6A">
        <w:t>the</w:t>
      </w:r>
      <w:r w:rsidR="00541D05">
        <w:t xml:space="preserve"> </w:t>
      </w:r>
      <w:r w:rsidR="00D9258C" w:rsidRPr="00FD6A6A">
        <w:t>lack</w:t>
      </w:r>
      <w:r w:rsidR="00541D05">
        <w:t xml:space="preserve"> </w:t>
      </w:r>
      <w:r w:rsidR="00D9258C" w:rsidRPr="00FD6A6A">
        <w:t>of</w:t>
      </w:r>
      <w:r w:rsidR="00541D05">
        <w:t xml:space="preserve"> </w:t>
      </w:r>
      <w:r w:rsidR="00D9258C" w:rsidRPr="00FD6A6A">
        <w:t>a</w:t>
      </w:r>
      <w:r w:rsidR="00541D05">
        <w:t xml:space="preserve"> </w:t>
      </w:r>
      <w:r w:rsidR="00D9258C" w:rsidRPr="00FD6A6A">
        <w:t>set</w:t>
      </w:r>
      <w:r w:rsidR="00541D05">
        <w:t xml:space="preserve"> </w:t>
      </w:r>
      <w:r w:rsidR="00D9258C" w:rsidRPr="00FD6A6A">
        <w:t>of</w:t>
      </w:r>
      <w:r w:rsidR="00541D05">
        <w:t xml:space="preserve"> </w:t>
      </w:r>
      <w:r w:rsidR="00D9258C" w:rsidRPr="00FD6A6A">
        <w:t>policies</w:t>
      </w:r>
      <w:r w:rsidR="00541D05">
        <w:t xml:space="preserve"> </w:t>
      </w:r>
      <w:r w:rsidR="00D9258C" w:rsidRPr="00FD6A6A">
        <w:t>focused</w:t>
      </w:r>
      <w:r w:rsidR="00541D05">
        <w:t xml:space="preserve"> </w:t>
      </w:r>
      <w:r w:rsidR="00D9258C" w:rsidRPr="00FD6A6A">
        <w:t>particularly</w:t>
      </w:r>
      <w:r w:rsidR="00541D05">
        <w:t xml:space="preserve"> </w:t>
      </w:r>
      <w:r w:rsidR="00D9258C" w:rsidRPr="00FD6A6A">
        <w:t>at</w:t>
      </w:r>
      <w:r w:rsidR="00541D05">
        <w:t xml:space="preserve"> </w:t>
      </w:r>
      <w:r w:rsidR="00D9258C" w:rsidRPr="00FD6A6A">
        <w:t>their</w:t>
      </w:r>
      <w:r w:rsidR="00541D05">
        <w:t xml:space="preserve"> </w:t>
      </w:r>
      <w:r w:rsidR="00D9258C" w:rsidRPr="00FD6A6A">
        <w:t>territorial</w:t>
      </w:r>
      <w:r w:rsidR="00541D05">
        <w:t xml:space="preserve"> </w:t>
      </w:r>
      <w:r w:rsidR="00D9258C" w:rsidRPr="00FD6A6A">
        <w:t>characteristics</w:t>
      </w:r>
      <w:r w:rsidR="00541D05">
        <w:t xml:space="preserve"> </w:t>
      </w:r>
      <w:r w:rsidR="00D9258C" w:rsidRPr="00FD6A6A">
        <w:t>are</w:t>
      </w:r>
      <w:r w:rsidR="00541D05">
        <w:t xml:space="preserve"> </w:t>
      </w:r>
      <w:r w:rsidR="00D9258C" w:rsidRPr="00FD6A6A">
        <w:t>still</w:t>
      </w:r>
      <w:r w:rsidR="00541D05">
        <w:t xml:space="preserve"> </w:t>
      </w:r>
      <w:r w:rsidR="00D9258C" w:rsidRPr="00FD6A6A">
        <w:t>a</w:t>
      </w:r>
      <w:r w:rsidR="00541D05">
        <w:t xml:space="preserve"> </w:t>
      </w:r>
      <w:r w:rsidR="00D9258C" w:rsidRPr="00FD6A6A">
        <w:t>challenge.</w:t>
      </w:r>
    </w:p>
    <w:p w14:paraId="3A0269ED" w14:textId="04F3BAB6" w:rsidR="00D9258C" w:rsidRPr="00FD6A6A" w:rsidRDefault="00D9258C" w:rsidP="009A11B8">
      <w:pPr>
        <w:pStyle w:val="H23G"/>
      </w:pPr>
      <w:r w:rsidRPr="00FD6A6A">
        <w:tab/>
      </w:r>
      <w:r w:rsidRPr="00FD6A6A">
        <w:tab/>
        <w:t>Roma</w:t>
      </w:r>
      <w:r w:rsidR="00541D05">
        <w:t xml:space="preserve"> </w:t>
      </w:r>
      <w:r w:rsidRPr="00FD6A6A">
        <w:t>peoples</w:t>
      </w:r>
    </w:p>
    <w:p w14:paraId="09A6748E" w14:textId="31E13104" w:rsidR="00D9258C" w:rsidRPr="00FD6A6A" w:rsidRDefault="00166390" w:rsidP="00166390">
      <w:pPr>
        <w:pStyle w:val="ParaNoG"/>
        <w:numPr>
          <w:ilvl w:val="0"/>
          <w:numId w:val="0"/>
        </w:numPr>
        <w:tabs>
          <w:tab w:val="left" w:pos="0"/>
        </w:tabs>
        <w:ind w:left="1134"/>
      </w:pPr>
      <w:r w:rsidRPr="00FD6A6A">
        <w:t>149.</w:t>
      </w:r>
      <w:r w:rsidRPr="00FD6A6A">
        <w:tab/>
      </w:r>
      <w:r w:rsidR="00D9258C" w:rsidRPr="00FD6A6A">
        <w:t>The</w:t>
      </w:r>
      <w:r w:rsidR="00541D05">
        <w:t xml:space="preserve"> </w:t>
      </w:r>
      <w:r w:rsidR="00D9258C" w:rsidRPr="00FD6A6A">
        <w:t>underreporting</w:t>
      </w:r>
      <w:r w:rsidR="00541D05">
        <w:t xml:space="preserve"> </w:t>
      </w:r>
      <w:r w:rsidR="00D9258C" w:rsidRPr="00FD6A6A">
        <w:t>of</w:t>
      </w:r>
      <w:r w:rsidR="00541D05">
        <w:t xml:space="preserve"> </w:t>
      </w:r>
      <w:r w:rsidR="00D9258C" w:rsidRPr="00FD6A6A">
        <w:t>information</w:t>
      </w:r>
      <w:r w:rsidR="00541D05">
        <w:t xml:space="preserve"> </w:t>
      </w:r>
      <w:r w:rsidR="00D9258C" w:rsidRPr="00FD6A6A">
        <w:t>about</w:t>
      </w:r>
      <w:r w:rsidR="00541D05">
        <w:t xml:space="preserve"> </w:t>
      </w:r>
      <w:r w:rsidR="00D9258C" w:rsidRPr="00FD6A6A">
        <w:t>Roma</w:t>
      </w:r>
      <w:r w:rsidR="00541D05">
        <w:t xml:space="preserve"> </w:t>
      </w:r>
      <w:r w:rsidR="00D9258C" w:rsidRPr="00FD6A6A">
        <w:t>peoples</w:t>
      </w:r>
      <w:r w:rsidR="00541D05">
        <w:t xml:space="preserve"> </w:t>
      </w:r>
      <w:r w:rsidR="00D9258C" w:rsidRPr="00FD6A6A">
        <w:t>still</w:t>
      </w:r>
      <w:r w:rsidR="00541D05">
        <w:t xml:space="preserve"> </w:t>
      </w:r>
      <w:r w:rsidR="00D9258C" w:rsidRPr="00FD6A6A">
        <w:t>makes</w:t>
      </w:r>
      <w:r w:rsidR="00541D05">
        <w:t xml:space="preserve"> </w:t>
      </w:r>
      <w:r w:rsidR="00D9258C" w:rsidRPr="00FD6A6A">
        <w:t>it</w:t>
      </w:r>
      <w:r w:rsidR="00541D05">
        <w:t xml:space="preserve"> </w:t>
      </w:r>
      <w:r w:rsidR="00D9258C" w:rsidRPr="00FD6A6A">
        <w:t>difficult</w:t>
      </w:r>
      <w:r w:rsidR="00541D05">
        <w:t xml:space="preserve"> </w:t>
      </w:r>
      <w:r w:rsidR="00D9258C" w:rsidRPr="00FD6A6A">
        <w:t>to</w:t>
      </w:r>
      <w:r w:rsidR="00541D05">
        <w:t xml:space="preserve"> </w:t>
      </w:r>
      <w:r w:rsidR="00D9258C" w:rsidRPr="00FD6A6A">
        <w:t>perform</w:t>
      </w:r>
      <w:r w:rsidR="00541D05">
        <w:t xml:space="preserve"> </w:t>
      </w:r>
      <w:r w:rsidR="00D9258C" w:rsidRPr="00FD6A6A">
        <w:t>more</w:t>
      </w:r>
      <w:r w:rsidR="00541D05">
        <w:t xml:space="preserve"> </w:t>
      </w:r>
      <w:r w:rsidR="00D9258C" w:rsidRPr="00FD6A6A">
        <w:t>sophisticated</w:t>
      </w:r>
      <w:r w:rsidR="00541D05">
        <w:t xml:space="preserve"> </w:t>
      </w:r>
      <w:r w:rsidR="00D9258C" w:rsidRPr="00FD6A6A">
        <w:t>analyses.</w:t>
      </w:r>
      <w:r w:rsidR="00541D05">
        <w:t xml:space="preserve"> </w:t>
      </w:r>
      <w:r w:rsidR="00D9258C" w:rsidRPr="00FD6A6A">
        <w:t>Data</w:t>
      </w:r>
      <w:r w:rsidR="00541D05">
        <w:t xml:space="preserve"> </w:t>
      </w:r>
      <w:r w:rsidR="00D9258C" w:rsidRPr="00FD6A6A">
        <w:t>available</w:t>
      </w:r>
      <w:r w:rsidR="00541D05">
        <w:t xml:space="preserve"> </w:t>
      </w:r>
      <w:r w:rsidR="00D9258C" w:rsidRPr="00FD6A6A">
        <w:t>are</w:t>
      </w:r>
      <w:r w:rsidR="00541D05">
        <w:t xml:space="preserve"> </w:t>
      </w:r>
      <w:r w:rsidR="00D9258C" w:rsidRPr="00FD6A6A">
        <w:t>insufficient.</w:t>
      </w:r>
      <w:r w:rsidR="00541D05">
        <w:t xml:space="preserve"> </w:t>
      </w:r>
      <w:r w:rsidR="00D9258C" w:rsidRPr="00FD6A6A">
        <w:t>They</w:t>
      </w:r>
      <w:r w:rsidR="00541D05">
        <w:t xml:space="preserve"> </w:t>
      </w:r>
      <w:r w:rsidR="00D9258C" w:rsidRPr="00FD6A6A">
        <w:t>arise</w:t>
      </w:r>
      <w:r w:rsidR="00541D05">
        <w:t xml:space="preserve"> </w:t>
      </w:r>
      <w:r w:rsidR="00D9258C" w:rsidRPr="00FD6A6A">
        <w:t>from</w:t>
      </w:r>
      <w:r w:rsidR="00541D05">
        <w:t xml:space="preserve"> </w:t>
      </w:r>
      <w:r w:rsidR="00D9258C" w:rsidRPr="00FD6A6A">
        <w:t>the</w:t>
      </w:r>
      <w:r w:rsidR="00541D05">
        <w:t xml:space="preserve"> </w:t>
      </w:r>
      <w:r w:rsidR="00D9258C" w:rsidRPr="00FD6A6A">
        <w:t>quantitative</w:t>
      </w:r>
      <w:r w:rsidR="00541D05">
        <w:t xml:space="preserve"> </w:t>
      </w:r>
      <w:r w:rsidR="00D9258C" w:rsidRPr="00FD6A6A">
        <w:t>researches</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Institute</w:t>
      </w:r>
      <w:r w:rsidR="00541D05">
        <w:t xml:space="preserve"> </w:t>
      </w:r>
      <w:r w:rsidR="00D9258C" w:rsidRPr="00FD6A6A">
        <w:t>of</w:t>
      </w:r>
      <w:r w:rsidR="00541D05">
        <w:t xml:space="preserve"> </w:t>
      </w:r>
      <w:r w:rsidR="00D9258C" w:rsidRPr="00FD6A6A">
        <w:t>Geography</w:t>
      </w:r>
      <w:r w:rsidR="00541D05">
        <w:t xml:space="preserve"> </w:t>
      </w:r>
      <w:r w:rsidR="00D9258C" w:rsidRPr="00FD6A6A">
        <w:t>and</w:t>
      </w:r>
      <w:r w:rsidR="00541D05">
        <w:t xml:space="preserve"> </w:t>
      </w:r>
      <w:r w:rsidR="00D9258C" w:rsidRPr="00FD6A6A">
        <w:t>Statistics</w:t>
      </w:r>
      <w:r w:rsidR="00541D05">
        <w:t xml:space="preserve"> </w:t>
      </w:r>
      <w:r w:rsidR="00D9258C" w:rsidRPr="00FD6A6A">
        <w:t>from</w:t>
      </w:r>
      <w:r w:rsidR="00541D05">
        <w:t xml:space="preserve"> </w:t>
      </w:r>
      <w:r w:rsidR="00D9258C" w:rsidRPr="00FD6A6A">
        <w:t>2009</w:t>
      </w:r>
      <w:r w:rsidR="00541D05">
        <w:t xml:space="preserve"> </w:t>
      </w:r>
      <w:r w:rsidR="00D9258C" w:rsidRPr="00FD6A6A">
        <w:t>to</w:t>
      </w:r>
      <w:r w:rsidR="00541D05">
        <w:t xml:space="preserve"> </w:t>
      </w:r>
      <w:r w:rsidR="00D9258C" w:rsidRPr="00FD6A6A">
        <w:t>2014.</w:t>
      </w:r>
      <w:r w:rsidR="00541D05">
        <w:t xml:space="preserve"> </w:t>
      </w:r>
      <w:r w:rsidR="00D9258C" w:rsidRPr="00FD6A6A">
        <w:t>In</w:t>
      </w:r>
      <w:r w:rsidR="00541D05">
        <w:t xml:space="preserve"> </w:t>
      </w:r>
      <w:r w:rsidR="00D9258C" w:rsidRPr="00FD6A6A">
        <w:t>this</w:t>
      </w:r>
      <w:r w:rsidR="00541D05">
        <w:t xml:space="preserve"> </w:t>
      </w:r>
      <w:r w:rsidR="00D9258C" w:rsidRPr="00FD6A6A">
        <w:t>report,</w:t>
      </w:r>
      <w:r w:rsidR="00541D05">
        <w:t xml:space="preserve"> </w:t>
      </w:r>
      <w:r w:rsidR="00D9258C" w:rsidRPr="00FD6A6A">
        <w:t>we</w:t>
      </w:r>
      <w:r w:rsidR="00541D05">
        <w:t xml:space="preserve"> </w:t>
      </w:r>
      <w:r w:rsidR="00D9258C" w:rsidRPr="00FD6A6A">
        <w:t>will</w:t>
      </w:r>
      <w:r w:rsidR="00541D05">
        <w:t xml:space="preserve"> </w:t>
      </w:r>
      <w:r w:rsidR="00D9258C" w:rsidRPr="00FD6A6A">
        <w:t>also</w:t>
      </w:r>
      <w:r w:rsidR="00541D05">
        <w:t xml:space="preserve"> </w:t>
      </w:r>
      <w:r w:rsidR="00D9258C" w:rsidRPr="00FD6A6A">
        <w:t>use</w:t>
      </w:r>
      <w:r w:rsidR="00541D05">
        <w:t xml:space="preserve"> </w:t>
      </w:r>
      <w:r w:rsidR="00D9258C" w:rsidRPr="00FD6A6A">
        <w:t>data</w:t>
      </w:r>
      <w:r w:rsidR="00541D05">
        <w:t xml:space="preserve"> </w:t>
      </w:r>
      <w:r w:rsidR="00D9258C" w:rsidRPr="00FD6A6A">
        <w:t>collected</w:t>
      </w:r>
      <w:r w:rsidR="00541D05">
        <w:t xml:space="preserve"> </w:t>
      </w:r>
      <w:r w:rsidR="00D9258C" w:rsidRPr="00FD6A6A">
        <w:t>in</w:t>
      </w:r>
      <w:r w:rsidR="00541D05">
        <w:t xml:space="preserve"> </w:t>
      </w:r>
      <w:r w:rsidR="00D9258C" w:rsidRPr="00FD6A6A">
        <w:t>2015</w:t>
      </w:r>
      <w:r w:rsidR="00541D05">
        <w:t xml:space="preserve"> </w:t>
      </w:r>
      <w:r w:rsidR="00D9258C" w:rsidRPr="00FD6A6A">
        <w:t>from</w:t>
      </w:r>
      <w:r w:rsidR="00541D05">
        <w:t xml:space="preserve"> </w:t>
      </w:r>
      <w:r w:rsidR="00D9258C" w:rsidRPr="00FD6A6A">
        <w:t>the</w:t>
      </w:r>
      <w:r w:rsidR="00541D05">
        <w:t xml:space="preserve"> </w:t>
      </w:r>
      <w:r w:rsidR="00D9258C" w:rsidRPr="00FD6A6A">
        <w:t>Sole</w:t>
      </w:r>
      <w:r w:rsidR="00541D05">
        <w:t xml:space="preserve"> </w:t>
      </w:r>
      <w:r w:rsidR="00D9258C" w:rsidRPr="00FD6A6A">
        <w:t>Registration</w:t>
      </w:r>
      <w:r w:rsidR="00541D05">
        <w:t xml:space="preserve"> </w:t>
      </w:r>
      <w:r w:rsidR="00D9258C" w:rsidRPr="00FD6A6A">
        <w:t>for</w:t>
      </w:r>
      <w:r w:rsidR="00541D05">
        <w:t xml:space="preserve"> </w:t>
      </w:r>
      <w:r w:rsidR="00D9258C" w:rsidRPr="00FD6A6A">
        <w:t>Social</w:t>
      </w:r>
      <w:r w:rsidR="00541D05">
        <w:t xml:space="preserve"> </w:t>
      </w:r>
      <w:r w:rsidR="00D9258C" w:rsidRPr="00FD6A6A">
        <w:t>Programs</w:t>
      </w:r>
      <w:r w:rsidR="00541D05">
        <w:t xml:space="preserve"> </w:t>
      </w:r>
      <w:r w:rsidR="00D9258C" w:rsidRPr="00FD6A6A">
        <w:t>of</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(CadÚnico).</w:t>
      </w:r>
    </w:p>
    <w:p w14:paraId="51D21BB0" w14:textId="33CF46F0" w:rsidR="00D9258C" w:rsidRPr="00FD6A6A" w:rsidRDefault="00166390" w:rsidP="00166390">
      <w:pPr>
        <w:pStyle w:val="ParaNoG"/>
        <w:numPr>
          <w:ilvl w:val="0"/>
          <w:numId w:val="0"/>
        </w:numPr>
        <w:tabs>
          <w:tab w:val="left" w:pos="0"/>
        </w:tabs>
        <w:ind w:left="1134"/>
      </w:pPr>
      <w:r w:rsidRPr="00FD6A6A">
        <w:t>150.</w:t>
      </w:r>
      <w:r w:rsidRPr="00FD6A6A">
        <w:tab/>
      </w:r>
      <w:r w:rsidR="00D9258C" w:rsidRPr="00FD6A6A">
        <w:t>The</w:t>
      </w:r>
      <w:r w:rsidR="00541D05">
        <w:t xml:space="preserve"> </w:t>
      </w:r>
      <w:r w:rsidR="00D9258C" w:rsidRPr="00FD6A6A">
        <w:t>Roma</w:t>
      </w:r>
      <w:r w:rsidR="00541D05">
        <w:t xml:space="preserve"> </w:t>
      </w:r>
      <w:r w:rsidR="00D9258C" w:rsidRPr="00FD6A6A">
        <w:t>peoples</w:t>
      </w:r>
      <w:r w:rsidR="00541D05">
        <w:t xml:space="preserve"> </w:t>
      </w:r>
      <w:r w:rsidR="00D9258C" w:rsidRPr="00FD6A6A">
        <w:t>are</w:t>
      </w:r>
      <w:r w:rsidR="00541D05">
        <w:t xml:space="preserve"> </w:t>
      </w:r>
      <w:r w:rsidR="00D9258C" w:rsidRPr="00FD6A6A">
        <w:t>currently</w:t>
      </w:r>
      <w:r w:rsidR="00541D05">
        <w:t xml:space="preserve"> </w:t>
      </w:r>
      <w:r w:rsidR="00D9258C" w:rsidRPr="00FD6A6A">
        <w:t>organized</w:t>
      </w:r>
      <w:r w:rsidR="00541D05">
        <w:t xml:space="preserve"> </w:t>
      </w:r>
      <w:r w:rsidR="00D9258C" w:rsidRPr="00FD6A6A">
        <w:t>into</w:t>
      </w:r>
      <w:r w:rsidR="00541D05">
        <w:t xml:space="preserve"> </w:t>
      </w:r>
      <w:r w:rsidR="00D9258C" w:rsidRPr="00FD6A6A">
        <w:t>three</w:t>
      </w:r>
      <w:r w:rsidR="00541D05">
        <w:t xml:space="preserve"> </w:t>
      </w:r>
      <w:r w:rsidR="00D9258C" w:rsidRPr="00FD6A6A">
        <w:t>ethnicities</w:t>
      </w:r>
      <w:r w:rsidR="00541D05">
        <w:t xml:space="preserve"> </w:t>
      </w:r>
      <w:r w:rsidR="00D9258C" w:rsidRPr="00FD6A6A">
        <w:t>in</w:t>
      </w:r>
      <w:r w:rsidR="00541D05">
        <w:t xml:space="preserve"> </w:t>
      </w:r>
      <w:r w:rsidR="00D9258C" w:rsidRPr="00FD6A6A">
        <w:t>Brazil:</w:t>
      </w:r>
      <w:r w:rsidR="00541D05">
        <w:t xml:space="preserve"> </w:t>
      </w:r>
      <w:r w:rsidR="00D9258C" w:rsidRPr="00FD6A6A">
        <w:t>Calon,</w:t>
      </w:r>
      <w:r w:rsidR="00541D05">
        <w:t xml:space="preserve"> </w:t>
      </w:r>
      <w:r w:rsidR="00D9258C" w:rsidRPr="00FD6A6A">
        <w:t>Rom,</w:t>
      </w:r>
      <w:r w:rsidR="00541D05">
        <w:t xml:space="preserve"> </w:t>
      </w:r>
      <w:r w:rsidR="00D9258C" w:rsidRPr="00FD6A6A">
        <w:t>and</w:t>
      </w:r>
      <w:r w:rsidR="00541D05">
        <w:t xml:space="preserve"> </w:t>
      </w:r>
      <w:r w:rsidR="00D9258C" w:rsidRPr="00FD6A6A">
        <w:t>Sinti.</w:t>
      </w:r>
      <w:r w:rsidR="00541D05">
        <w:t xml:space="preserve"> </w:t>
      </w:r>
      <w:r w:rsidR="00D9258C" w:rsidRPr="00FD6A6A">
        <w:t>The</w:t>
      </w:r>
      <w:r w:rsidR="00541D05">
        <w:t xml:space="preserve"> </w:t>
      </w:r>
      <w:r w:rsidR="00D9258C" w:rsidRPr="00FD6A6A">
        <w:t>Calon</w:t>
      </w:r>
      <w:r w:rsidR="00541D05">
        <w:t xml:space="preserve"> </w:t>
      </w:r>
      <w:r w:rsidR="00D9258C" w:rsidRPr="00FD6A6A">
        <w:t>ethnicity</w:t>
      </w:r>
      <w:r w:rsidR="00541D05">
        <w:t xml:space="preserve"> </w:t>
      </w:r>
      <w:r w:rsidR="00D9258C" w:rsidRPr="00FD6A6A">
        <w:t>is</w:t>
      </w:r>
      <w:r w:rsidR="00541D05">
        <w:t xml:space="preserve"> </w:t>
      </w:r>
      <w:r w:rsidR="00D9258C" w:rsidRPr="00FD6A6A">
        <w:t>the</w:t>
      </w:r>
      <w:r w:rsidR="00541D05">
        <w:t xml:space="preserve"> </w:t>
      </w:r>
      <w:r w:rsidR="00D9258C" w:rsidRPr="00FD6A6A">
        <w:t>largest</w:t>
      </w:r>
      <w:r w:rsidR="00541D05">
        <w:t xml:space="preserve"> </w:t>
      </w:r>
      <w:r w:rsidR="00D9258C" w:rsidRPr="00FD6A6A">
        <w:t>one</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population,</w:t>
      </w:r>
      <w:r w:rsidR="00541D05">
        <w:t xml:space="preserve"> </w:t>
      </w:r>
      <w:r w:rsidR="00D9258C" w:rsidRPr="00FD6A6A">
        <w:t>concentrated</w:t>
      </w:r>
      <w:r w:rsidR="00541D05">
        <w:t xml:space="preserve"> </w:t>
      </w:r>
      <w:r w:rsidR="00D9258C" w:rsidRPr="00FD6A6A">
        <w:t>in</w:t>
      </w:r>
      <w:r w:rsidR="00541D05">
        <w:t xml:space="preserve"> </w:t>
      </w:r>
      <w:r w:rsidR="00D9258C" w:rsidRPr="00FD6A6A">
        <w:t>the</w:t>
      </w:r>
      <w:r w:rsidR="00541D05">
        <w:t xml:space="preserve"> </w:t>
      </w:r>
      <w:r w:rsidR="00D9258C" w:rsidRPr="00FD6A6A">
        <w:t>North,</w:t>
      </w:r>
      <w:r w:rsidR="00541D05">
        <w:t xml:space="preserve"> </w:t>
      </w:r>
      <w:r w:rsidR="00D9258C" w:rsidRPr="00FD6A6A">
        <w:t>Northeast,</w:t>
      </w:r>
      <w:r w:rsidR="00541D05">
        <w:t xml:space="preserve"> </w:t>
      </w:r>
      <w:r w:rsidR="00D9258C" w:rsidRPr="00FD6A6A">
        <w:t>and</w:t>
      </w:r>
      <w:r w:rsidR="00541D05">
        <w:t xml:space="preserve"> </w:t>
      </w:r>
      <w:r w:rsidR="00D9258C" w:rsidRPr="00FD6A6A">
        <w:t>Midwest</w:t>
      </w:r>
      <w:r w:rsidR="00541D05">
        <w:t xml:space="preserve"> </w:t>
      </w:r>
      <w:r w:rsidR="00D9258C" w:rsidRPr="00FD6A6A">
        <w:t>regions,</w:t>
      </w:r>
      <w:r w:rsidR="00541D05">
        <w:t xml:space="preserve"> </w:t>
      </w:r>
      <w:r w:rsidR="00D9258C" w:rsidRPr="00FD6A6A">
        <w:t>followed</w:t>
      </w:r>
      <w:r w:rsidR="00541D05">
        <w:t xml:space="preserve"> </w:t>
      </w:r>
      <w:r w:rsidR="00D9258C" w:rsidRPr="00FD6A6A">
        <w:t>by</w:t>
      </w:r>
      <w:r w:rsidR="00541D05">
        <w:t xml:space="preserve"> </w:t>
      </w:r>
      <w:r w:rsidR="00D9258C" w:rsidRPr="00FD6A6A">
        <w:t>the</w:t>
      </w:r>
      <w:r w:rsidR="00541D05">
        <w:t xml:space="preserve"> </w:t>
      </w:r>
      <w:r w:rsidR="00D9258C" w:rsidRPr="00FD6A6A">
        <w:t>Rom</w:t>
      </w:r>
      <w:r w:rsidR="00541D05">
        <w:t xml:space="preserve"> </w:t>
      </w:r>
      <w:r w:rsidR="00D9258C" w:rsidRPr="00FD6A6A">
        <w:t>ethnicity,</w:t>
      </w:r>
      <w:r w:rsidR="00541D05">
        <w:t xml:space="preserve"> </w:t>
      </w:r>
      <w:r w:rsidR="00D9258C" w:rsidRPr="00FD6A6A">
        <w:t>the</w:t>
      </w:r>
      <w:r w:rsidR="00541D05">
        <w:t xml:space="preserve"> </w:t>
      </w:r>
      <w:r w:rsidR="00D9258C" w:rsidRPr="00FD6A6A">
        <w:t>second</w:t>
      </w:r>
      <w:r w:rsidR="00541D05">
        <w:t xml:space="preserve"> </w:t>
      </w:r>
      <w:r w:rsidR="00D9258C" w:rsidRPr="00FD6A6A">
        <w:t>most</w:t>
      </w:r>
      <w:r w:rsidR="00541D05">
        <w:t xml:space="preserve"> </w:t>
      </w:r>
      <w:r w:rsidR="00D9258C" w:rsidRPr="00FD6A6A">
        <w:t>populous</w:t>
      </w:r>
      <w:r w:rsidR="00541D05">
        <w:t xml:space="preserve"> </w:t>
      </w:r>
      <w:r w:rsidR="00D9258C" w:rsidRPr="00FD6A6A">
        <w:t>one</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located</w:t>
      </w:r>
      <w:r w:rsidR="00541D05">
        <w:t xml:space="preserve"> </w:t>
      </w:r>
      <w:r w:rsidR="00D9258C" w:rsidRPr="00FD6A6A">
        <w:t>mainly</w:t>
      </w:r>
      <w:r w:rsidR="00541D05">
        <w:t xml:space="preserve"> </w:t>
      </w:r>
      <w:r w:rsidR="00D9258C" w:rsidRPr="00FD6A6A">
        <w:t>in</w:t>
      </w:r>
      <w:r w:rsidR="00541D05">
        <w:t xml:space="preserve"> </w:t>
      </w:r>
      <w:r w:rsidR="00D9258C" w:rsidRPr="00FD6A6A">
        <w:t>the</w:t>
      </w:r>
      <w:r w:rsidR="00541D05">
        <w:t xml:space="preserve"> </w:t>
      </w:r>
      <w:r w:rsidR="00D9258C" w:rsidRPr="00FD6A6A">
        <w:t>states</w:t>
      </w:r>
      <w:r w:rsidR="00541D05">
        <w:t xml:space="preserve"> </w:t>
      </w:r>
      <w:r w:rsidR="00D9258C" w:rsidRPr="00FD6A6A">
        <w:t>of</w:t>
      </w:r>
      <w:r w:rsidR="00541D05">
        <w:t xml:space="preserve"> </w:t>
      </w:r>
      <w:r w:rsidR="00D9258C" w:rsidRPr="00FD6A6A">
        <w:t>the</w:t>
      </w:r>
      <w:r w:rsidR="00541D05">
        <w:t xml:space="preserve"> </w:t>
      </w:r>
      <w:r w:rsidR="00D9258C" w:rsidRPr="00FD6A6A">
        <w:t>Southeast</w:t>
      </w:r>
      <w:r w:rsidR="00541D05">
        <w:t xml:space="preserve"> </w:t>
      </w:r>
      <w:r w:rsidR="00D9258C" w:rsidRPr="00FD6A6A">
        <w:t>and</w:t>
      </w:r>
      <w:r w:rsidR="00541D05">
        <w:t xml:space="preserve"> </w:t>
      </w:r>
      <w:r w:rsidR="00D9258C" w:rsidRPr="00FD6A6A">
        <w:t>South</w:t>
      </w:r>
      <w:r w:rsidR="00541D05">
        <w:t xml:space="preserve"> </w:t>
      </w:r>
      <w:r w:rsidR="00D9258C" w:rsidRPr="00FD6A6A">
        <w:t>regions.</w:t>
      </w:r>
      <w:r w:rsidR="00541D05">
        <w:t xml:space="preserve"> </w:t>
      </w:r>
      <w:r w:rsidR="00D9258C" w:rsidRPr="00FD6A6A">
        <w:t>The</w:t>
      </w:r>
      <w:r w:rsidR="00541D05">
        <w:t xml:space="preserve"> </w:t>
      </w:r>
      <w:r w:rsidR="00D9258C" w:rsidRPr="00FD6A6A">
        <w:t>Sinti</w:t>
      </w:r>
      <w:r w:rsidR="00541D05">
        <w:t xml:space="preserve"> </w:t>
      </w:r>
      <w:r w:rsidR="00D9258C" w:rsidRPr="00FD6A6A">
        <w:t>ethnicity</w:t>
      </w:r>
      <w:r w:rsidR="00541D05">
        <w:t xml:space="preserve"> </w:t>
      </w:r>
      <w:r w:rsidR="00D9258C" w:rsidRPr="00FD6A6A">
        <w:t>is</w:t>
      </w:r>
      <w:r w:rsidR="00541D05">
        <w:t xml:space="preserve"> </w:t>
      </w:r>
      <w:r w:rsidR="00D9258C" w:rsidRPr="00FD6A6A">
        <w:t>the</w:t>
      </w:r>
      <w:r w:rsidR="00541D05">
        <w:t xml:space="preserve"> </w:t>
      </w:r>
      <w:r w:rsidR="00D9258C" w:rsidRPr="00FD6A6A">
        <w:t>smallest</w:t>
      </w:r>
      <w:r w:rsidR="00541D05">
        <w:t xml:space="preserve"> </w:t>
      </w:r>
      <w:r w:rsidR="00D9258C" w:rsidRPr="00FD6A6A">
        <w:t>one,</w:t>
      </w:r>
      <w:r w:rsidR="00541D05">
        <w:t xml:space="preserve"> </w:t>
      </w:r>
      <w:r w:rsidR="00D9258C" w:rsidRPr="00FD6A6A">
        <w:t>given</w:t>
      </w:r>
      <w:r w:rsidR="00541D05">
        <w:t xml:space="preserve"> </w:t>
      </w:r>
      <w:r w:rsidR="00D9258C" w:rsidRPr="00FD6A6A">
        <w:t>the</w:t>
      </w:r>
      <w:r w:rsidR="00541D05">
        <w:t xml:space="preserve"> </w:t>
      </w:r>
      <w:r w:rsidR="00D9258C" w:rsidRPr="00FD6A6A">
        <w:t>small</w:t>
      </w:r>
      <w:r w:rsidR="00541D05">
        <w:t xml:space="preserve"> </w:t>
      </w:r>
      <w:r w:rsidR="00D9258C" w:rsidRPr="00FD6A6A">
        <w:t>number</w:t>
      </w:r>
      <w:r w:rsidR="00541D05">
        <w:t xml:space="preserve"> </w:t>
      </w:r>
      <w:r w:rsidR="00D9258C" w:rsidRPr="00FD6A6A">
        <w:t>of</w:t>
      </w:r>
      <w:r w:rsidR="00541D05">
        <w:t xml:space="preserve"> </w:t>
      </w:r>
      <w:r w:rsidR="00D9258C" w:rsidRPr="00FD6A6A">
        <w:t>families,</w:t>
      </w:r>
      <w:r w:rsidR="00541D05">
        <w:t xml:space="preserve"> </w:t>
      </w:r>
      <w:r w:rsidR="00D9258C" w:rsidRPr="00FD6A6A">
        <w:t>and</w:t>
      </w:r>
      <w:r w:rsidR="00541D05">
        <w:t xml:space="preserve"> </w:t>
      </w:r>
      <w:r w:rsidR="00D9258C" w:rsidRPr="00FD6A6A">
        <w:t>they</w:t>
      </w:r>
      <w:r w:rsidR="00541D05">
        <w:t xml:space="preserve"> </w:t>
      </w:r>
      <w:r w:rsidR="00D9258C" w:rsidRPr="00FD6A6A">
        <w:t>live</w:t>
      </w:r>
      <w:r w:rsidR="00541D05">
        <w:t xml:space="preserve"> </w:t>
      </w:r>
      <w:r w:rsidR="00D9258C" w:rsidRPr="00FD6A6A">
        <w:t>mostly</w:t>
      </w:r>
      <w:r w:rsidR="00541D05">
        <w:t xml:space="preserve"> </w:t>
      </w:r>
      <w:r w:rsidR="00D9258C" w:rsidRPr="00FD6A6A">
        <w:t>in</w:t>
      </w:r>
      <w:r w:rsidR="00541D05">
        <w:t xml:space="preserve"> </w:t>
      </w:r>
      <w:r w:rsidR="00D9258C" w:rsidRPr="00FD6A6A">
        <w:t>the</w:t>
      </w:r>
      <w:r w:rsidR="00541D05">
        <w:t xml:space="preserve"> </w:t>
      </w:r>
      <w:r w:rsidR="00D9258C" w:rsidRPr="00FD6A6A">
        <w:t>states</w:t>
      </w:r>
      <w:r w:rsidR="00541D05">
        <w:t xml:space="preserve"> </w:t>
      </w:r>
      <w:r w:rsidR="00D9258C" w:rsidRPr="00FD6A6A">
        <w:t>of</w:t>
      </w:r>
      <w:r w:rsidR="00541D05">
        <w:t xml:space="preserve"> </w:t>
      </w:r>
      <w:r w:rsidR="00D9258C" w:rsidRPr="00FD6A6A">
        <w:t>the</w:t>
      </w:r>
      <w:r w:rsidR="00541D05">
        <w:t xml:space="preserve"> </w:t>
      </w:r>
      <w:r w:rsidR="00D9258C" w:rsidRPr="00FD6A6A">
        <w:t>South</w:t>
      </w:r>
      <w:r w:rsidR="00541D05">
        <w:t xml:space="preserve"> </w:t>
      </w:r>
      <w:r w:rsidR="00D9258C" w:rsidRPr="00FD6A6A">
        <w:t>region.</w:t>
      </w:r>
      <w:r w:rsidR="00541D05">
        <w:t xml:space="preserve"> </w:t>
      </w:r>
      <w:r w:rsidR="00D9258C" w:rsidRPr="00FD6A6A">
        <w:t>Approximately</w:t>
      </w:r>
      <w:r w:rsidR="00541D05">
        <w:t xml:space="preserve"> </w:t>
      </w:r>
      <w:r w:rsidR="00D9258C" w:rsidRPr="00FD6A6A">
        <w:t>500</w:t>
      </w:r>
      <w:r w:rsidR="00541D05">
        <w:t xml:space="preserve"> </w:t>
      </w:r>
      <w:r w:rsidR="00D9258C" w:rsidRPr="00FD6A6A">
        <w:t>thousand</w:t>
      </w:r>
      <w:r w:rsidR="00541D05">
        <w:t xml:space="preserve"> </w:t>
      </w:r>
      <w:r w:rsidR="00D9258C" w:rsidRPr="00FD6A6A">
        <w:t>people</w:t>
      </w:r>
      <w:r w:rsidR="00541D05">
        <w:t xml:space="preserve"> </w:t>
      </w:r>
      <w:r w:rsidR="00D9258C" w:rsidRPr="00FD6A6A">
        <w:t>are</w:t>
      </w:r>
      <w:r w:rsidR="00541D05">
        <w:t xml:space="preserve"> </w:t>
      </w:r>
      <w:r w:rsidR="00D9258C" w:rsidRPr="00FD6A6A">
        <w:t>a</w:t>
      </w:r>
      <w:r w:rsidR="00541D05">
        <w:t xml:space="preserve"> </w:t>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Roma</w:t>
      </w:r>
      <w:r w:rsidR="00541D05">
        <w:t xml:space="preserve"> </w:t>
      </w:r>
      <w:r w:rsidR="00D9258C" w:rsidRPr="00FD6A6A">
        <w:t>peoples</w:t>
      </w:r>
      <w:r w:rsidR="00541D05">
        <w:t xml:space="preserve"> </w:t>
      </w:r>
      <w:r w:rsidR="00D9258C" w:rsidRPr="00FD6A6A">
        <w:t>in</w:t>
      </w:r>
      <w:r w:rsidR="00541D05">
        <w:t xml:space="preserve"> </w:t>
      </w:r>
      <w:r w:rsidR="00D9258C" w:rsidRPr="00FD6A6A">
        <w:t>Brazil</w:t>
      </w:r>
      <w:r w:rsidR="00541D05">
        <w:t xml:space="preserve"> </w:t>
      </w:r>
      <w:r w:rsidR="00D9258C" w:rsidRPr="00FD6A6A">
        <w:t>today.</w:t>
      </w:r>
    </w:p>
    <w:p w14:paraId="047D204F" w14:textId="5172951C" w:rsidR="00D9258C" w:rsidRPr="00FD6A6A" w:rsidRDefault="00166390" w:rsidP="00166390">
      <w:pPr>
        <w:pStyle w:val="ParaNoG"/>
        <w:numPr>
          <w:ilvl w:val="0"/>
          <w:numId w:val="0"/>
        </w:numPr>
        <w:tabs>
          <w:tab w:val="left" w:pos="0"/>
        </w:tabs>
        <w:ind w:left="1134"/>
      </w:pPr>
      <w:r w:rsidRPr="00FD6A6A">
        <w:t>151.</w:t>
      </w:r>
      <w:r w:rsidRPr="00FD6A6A">
        <w:tab/>
      </w:r>
      <w:r w:rsidR="00D9258C" w:rsidRPr="00FD6A6A">
        <w:t>Originally</w:t>
      </w:r>
      <w:r w:rsidR="00541D05">
        <w:t xml:space="preserve"> </w:t>
      </w:r>
      <w:r w:rsidR="00D9258C" w:rsidRPr="00FD6A6A">
        <w:t>from</w:t>
      </w:r>
      <w:r w:rsidR="00541D05">
        <w:t xml:space="preserve"> </w:t>
      </w:r>
      <w:r w:rsidR="00D9258C" w:rsidRPr="00FD6A6A">
        <w:t>different</w:t>
      </w:r>
      <w:r w:rsidR="00541D05">
        <w:t xml:space="preserve"> </w:t>
      </w:r>
      <w:r w:rsidR="00D9258C" w:rsidRPr="00FD6A6A">
        <w:t>regions</w:t>
      </w:r>
      <w:r w:rsidR="00541D05">
        <w:t xml:space="preserve"> </w:t>
      </w:r>
      <w:r w:rsidR="00D9258C" w:rsidRPr="00FD6A6A">
        <w:t>of</w:t>
      </w:r>
      <w:r w:rsidR="00541D05">
        <w:t xml:space="preserve"> </w:t>
      </w:r>
      <w:r w:rsidR="00D9258C" w:rsidRPr="00FD6A6A">
        <w:t>Europe</w:t>
      </w:r>
      <w:r w:rsidR="00541D05">
        <w:t xml:space="preserve"> </w:t>
      </w:r>
      <w:r w:rsidR="00D9258C" w:rsidRPr="00FD6A6A">
        <w:t>and</w:t>
      </w:r>
      <w:r w:rsidR="00541D05">
        <w:t xml:space="preserve"> </w:t>
      </w:r>
      <w:r w:rsidR="00D9258C" w:rsidRPr="00FD6A6A">
        <w:t>Asia,</w:t>
      </w:r>
      <w:r w:rsidR="00541D05">
        <w:t xml:space="preserve"> </w:t>
      </w:r>
      <w:r w:rsidR="00D9258C" w:rsidRPr="00FD6A6A">
        <w:t>of</w:t>
      </w:r>
      <w:r w:rsidR="00541D05">
        <w:t xml:space="preserve"> </w:t>
      </w:r>
      <w:r w:rsidR="00D9258C" w:rsidRPr="00FD6A6A">
        <w:t>the</w:t>
      </w:r>
      <w:r w:rsidR="00541D05">
        <w:t xml:space="preserve"> </w:t>
      </w:r>
      <w:r w:rsidR="00D9258C" w:rsidRPr="00FD6A6A">
        <w:t>Iberian</w:t>
      </w:r>
      <w:r w:rsidR="00541D05">
        <w:t xml:space="preserve"> </w:t>
      </w:r>
      <w:r w:rsidR="00D9258C" w:rsidRPr="00FD6A6A">
        <w:t>Peninsula,</w:t>
      </w:r>
      <w:r w:rsidR="00541D05">
        <w:t xml:space="preserve"> </w:t>
      </w:r>
      <w:r w:rsidR="00D9258C" w:rsidRPr="00FD6A6A">
        <w:t>and</w:t>
      </w:r>
      <w:r w:rsidR="00541D05">
        <w:t xml:space="preserve"> </w:t>
      </w:r>
      <w:r w:rsidR="00D9258C" w:rsidRPr="00FD6A6A">
        <w:t>India,</w:t>
      </w:r>
      <w:r w:rsidR="00541D05">
        <w:t xml:space="preserve"> </w:t>
      </w:r>
      <w:r w:rsidR="00D9258C" w:rsidRPr="00FD6A6A">
        <w:t>they</w:t>
      </w:r>
      <w:r w:rsidR="00541D05">
        <w:t xml:space="preserve"> </w:t>
      </w:r>
      <w:r w:rsidR="00D9258C" w:rsidRPr="00FD6A6A">
        <w:t>migrated</w:t>
      </w:r>
      <w:r w:rsidR="00541D05">
        <w:t xml:space="preserve"> </w:t>
      </w:r>
      <w:r w:rsidR="00D9258C" w:rsidRPr="00FD6A6A">
        <w:t>to</w:t>
      </w:r>
      <w:r w:rsidR="00541D05">
        <w:t xml:space="preserve"> </w:t>
      </w:r>
      <w:r w:rsidR="00D9258C" w:rsidRPr="00FD6A6A">
        <w:t>Brazil</w:t>
      </w:r>
      <w:r w:rsidR="00541D05">
        <w:t xml:space="preserve"> </w:t>
      </w:r>
      <w:r w:rsidR="00D9258C" w:rsidRPr="00FD6A6A">
        <w:t>in</w:t>
      </w:r>
      <w:r w:rsidR="00541D05">
        <w:t xml:space="preserve"> </w:t>
      </w:r>
      <w:r w:rsidR="00D9258C" w:rsidRPr="00FD6A6A">
        <w:t>different</w:t>
      </w:r>
      <w:r w:rsidR="00541D05">
        <w:t xml:space="preserve"> </w:t>
      </w:r>
      <w:r w:rsidR="00D9258C" w:rsidRPr="00FD6A6A">
        <w:t>centuries,</w:t>
      </w:r>
      <w:r w:rsidR="00541D05">
        <w:t xml:space="preserve"> </w:t>
      </w:r>
      <w:r w:rsidR="00D9258C" w:rsidRPr="00FD6A6A">
        <w:t>bringing</w:t>
      </w:r>
      <w:r w:rsidR="00541D05">
        <w:t xml:space="preserve"> </w:t>
      </w:r>
      <w:r w:rsidR="00D9258C" w:rsidRPr="00FD6A6A">
        <w:t>languages,</w:t>
      </w:r>
      <w:r w:rsidR="00541D05">
        <w:t xml:space="preserve"> </w:t>
      </w:r>
      <w:r w:rsidR="00D9258C" w:rsidRPr="00FD6A6A">
        <w:t>beliefs,</w:t>
      </w:r>
      <w:r w:rsidR="00541D05">
        <w:t xml:space="preserve"> </w:t>
      </w:r>
      <w:r w:rsidR="00D9258C" w:rsidRPr="00FD6A6A">
        <w:t>mentalities,</w:t>
      </w:r>
      <w:r w:rsidR="00541D05">
        <w:t xml:space="preserve"> </w:t>
      </w:r>
      <w:r w:rsidR="00D9258C" w:rsidRPr="00FD6A6A">
        <w:t>and</w:t>
      </w:r>
      <w:r w:rsidR="00541D05">
        <w:t xml:space="preserve"> </w:t>
      </w:r>
      <w:r w:rsidR="00D9258C" w:rsidRPr="00FD6A6A">
        <w:t>habits</w:t>
      </w:r>
      <w:r w:rsidR="00541D05">
        <w:t xml:space="preserve"> </w:t>
      </w:r>
      <w:r w:rsidR="00D9258C" w:rsidRPr="00FD6A6A">
        <w:t>of</w:t>
      </w:r>
      <w:r w:rsidR="00541D05">
        <w:t xml:space="preserve"> </w:t>
      </w:r>
      <w:r w:rsidR="00D9258C" w:rsidRPr="00FD6A6A">
        <w:t>their</w:t>
      </w:r>
      <w:r w:rsidR="00541D05">
        <w:t xml:space="preserve"> </w:t>
      </w:r>
      <w:r w:rsidR="00D9258C" w:rsidRPr="00FD6A6A">
        <w:t>own,</w:t>
      </w:r>
      <w:r w:rsidR="00541D05">
        <w:t xml:space="preserve"> </w:t>
      </w:r>
      <w:r w:rsidR="00D9258C" w:rsidRPr="00FD6A6A">
        <w:t>that</w:t>
      </w:r>
      <w:r w:rsidR="00541D05">
        <w:t xml:space="preserve"> </w:t>
      </w:r>
      <w:r w:rsidR="00D9258C" w:rsidRPr="00FD6A6A">
        <w:t>have</w:t>
      </w:r>
      <w:r w:rsidR="00541D05">
        <w:t xml:space="preserve"> </w:t>
      </w:r>
      <w:r w:rsidR="00D9258C" w:rsidRPr="00FD6A6A">
        <w:t>been</w:t>
      </w:r>
      <w:r w:rsidR="00541D05">
        <w:t xml:space="preserve"> </w:t>
      </w:r>
      <w:r w:rsidR="00D9258C" w:rsidRPr="00FD6A6A">
        <w:t>maintained</w:t>
      </w:r>
      <w:r w:rsidR="00541D05">
        <w:t xml:space="preserve"> </w:t>
      </w:r>
      <w:r w:rsidR="00D9258C" w:rsidRPr="00FD6A6A">
        <w:t>over</w:t>
      </w:r>
      <w:r w:rsidR="00541D05">
        <w:t xml:space="preserve"> </w:t>
      </w:r>
      <w:r w:rsidR="00D9258C" w:rsidRPr="00FD6A6A">
        <w:t>time.</w:t>
      </w:r>
      <w:r w:rsidR="00541D05">
        <w:t xml:space="preserve"> </w:t>
      </w:r>
      <w:r w:rsidR="00D9258C" w:rsidRPr="00FD6A6A">
        <w:t>Today,</w:t>
      </w:r>
      <w:r w:rsidR="00541D05">
        <w:t xml:space="preserve"> </w:t>
      </w:r>
      <w:r w:rsidR="00D9258C" w:rsidRPr="00FD6A6A">
        <w:t>the</w:t>
      </w:r>
      <w:r w:rsidR="00541D05">
        <w:t xml:space="preserve"> </w:t>
      </w:r>
      <w:r w:rsidR="00D9258C" w:rsidRPr="00FD6A6A">
        <w:t>Calon</w:t>
      </w:r>
      <w:r w:rsidR="00541D05">
        <w:t xml:space="preserve"> </w:t>
      </w:r>
      <w:r w:rsidR="00D9258C" w:rsidRPr="00FD6A6A">
        <w:t>peoples</w:t>
      </w:r>
      <w:r w:rsidR="00541D05">
        <w:t xml:space="preserve"> </w:t>
      </w:r>
      <w:r w:rsidR="00D9258C" w:rsidRPr="00FD6A6A">
        <w:t>speak</w:t>
      </w:r>
      <w:r w:rsidR="00541D05">
        <w:t xml:space="preserve"> </w:t>
      </w:r>
      <w:r w:rsidR="00D9258C" w:rsidRPr="00FD6A6A">
        <w:t>the</w:t>
      </w:r>
      <w:r w:rsidR="00541D05">
        <w:t xml:space="preserve"> </w:t>
      </w:r>
      <w:r w:rsidR="00D9258C" w:rsidRPr="00FD6A6A">
        <w:t>Chibi</w:t>
      </w:r>
      <w:r w:rsidR="00541D05">
        <w:t xml:space="preserve"> </w:t>
      </w:r>
      <w:r w:rsidR="00D9258C" w:rsidRPr="00FD6A6A">
        <w:t>language,</w:t>
      </w:r>
      <w:r w:rsidR="00541D05">
        <w:t xml:space="preserve"> </w:t>
      </w:r>
      <w:r w:rsidR="00D9258C" w:rsidRPr="00FD6A6A">
        <w:t>the</w:t>
      </w:r>
      <w:r w:rsidR="00541D05">
        <w:t xml:space="preserve"> </w:t>
      </w:r>
      <w:r w:rsidR="00D9258C" w:rsidRPr="00FD6A6A">
        <w:t>Sinti</w:t>
      </w:r>
      <w:r w:rsidR="00541D05">
        <w:t xml:space="preserve"> </w:t>
      </w:r>
      <w:r w:rsidR="00D9258C" w:rsidRPr="00FD6A6A">
        <w:t>peoples</w:t>
      </w:r>
      <w:r w:rsidR="00541D05">
        <w:t xml:space="preserve"> </w:t>
      </w:r>
      <w:r w:rsidR="00D9258C" w:rsidRPr="00FD6A6A">
        <w:t>speak</w:t>
      </w:r>
      <w:r w:rsidR="00541D05">
        <w:t xml:space="preserve"> </w:t>
      </w:r>
      <w:r w:rsidR="00D9258C" w:rsidRPr="00FD6A6A">
        <w:t>Sintó,</w:t>
      </w:r>
      <w:r w:rsidR="00541D05">
        <w:t xml:space="preserve"> </w:t>
      </w:r>
      <w:r w:rsidR="00D9258C" w:rsidRPr="00FD6A6A">
        <w:t>and</w:t>
      </w:r>
      <w:r w:rsidR="00541D05">
        <w:t xml:space="preserve"> </w:t>
      </w:r>
      <w:r w:rsidR="00D9258C" w:rsidRPr="00FD6A6A">
        <w:t>the</w:t>
      </w:r>
      <w:r w:rsidR="00541D05">
        <w:t xml:space="preserve"> </w:t>
      </w:r>
      <w:r w:rsidR="00D9258C" w:rsidRPr="00FD6A6A">
        <w:t>official</w:t>
      </w:r>
      <w:r w:rsidR="00541D05">
        <w:t xml:space="preserve"> </w:t>
      </w:r>
      <w:r w:rsidR="00D9258C" w:rsidRPr="00FD6A6A">
        <w:t>language</w:t>
      </w:r>
      <w:r w:rsidR="00541D05">
        <w:t xml:space="preserve"> </w:t>
      </w:r>
      <w:r w:rsidR="00D9258C" w:rsidRPr="00FD6A6A">
        <w:t>of</w:t>
      </w:r>
      <w:r w:rsidR="00541D05">
        <w:t xml:space="preserve"> </w:t>
      </w:r>
      <w:r w:rsidR="00D9258C" w:rsidRPr="00FD6A6A">
        <w:t>the</w:t>
      </w:r>
      <w:r w:rsidR="00541D05">
        <w:t xml:space="preserve"> </w:t>
      </w:r>
      <w:r w:rsidR="00D9258C" w:rsidRPr="00FD6A6A">
        <w:t>Rom</w:t>
      </w:r>
      <w:r w:rsidR="00541D05">
        <w:t xml:space="preserve"> </w:t>
      </w:r>
      <w:r w:rsidR="00D9258C" w:rsidRPr="00FD6A6A">
        <w:t>peoples</w:t>
      </w:r>
      <w:r w:rsidR="00541D05">
        <w:t xml:space="preserve"> </w:t>
      </w:r>
      <w:r w:rsidR="00D9258C" w:rsidRPr="00FD6A6A">
        <w:t>is</w:t>
      </w:r>
      <w:r w:rsidR="00541D05">
        <w:t xml:space="preserve"> </w:t>
      </w:r>
      <w:r w:rsidR="00D9258C" w:rsidRPr="00FD6A6A">
        <w:t>Romani</w:t>
      </w:r>
      <w:r w:rsidR="00541D05">
        <w:t xml:space="preserve"> </w:t>
      </w:r>
      <w:r w:rsidR="00D9258C" w:rsidRPr="00FD6A6A">
        <w:t>and</w:t>
      </w:r>
      <w:r w:rsidR="00541D05">
        <w:t xml:space="preserve"> </w:t>
      </w:r>
      <w:r w:rsidR="00D9258C" w:rsidRPr="00FD6A6A">
        <w:t>its</w:t>
      </w:r>
      <w:r w:rsidR="00541D05">
        <w:t xml:space="preserve"> </w:t>
      </w:r>
      <w:r w:rsidR="00D9258C" w:rsidRPr="00FD6A6A">
        <w:t>variations.</w:t>
      </w:r>
      <w:r w:rsidR="00541D05">
        <w:t xml:space="preserve"> </w:t>
      </w:r>
      <w:r w:rsidR="00D9258C" w:rsidRPr="00FD6A6A">
        <w:t>There</w:t>
      </w:r>
      <w:r w:rsidR="00541D05">
        <w:t xml:space="preserve"> </w:t>
      </w:r>
      <w:r w:rsidR="00D9258C" w:rsidRPr="00FD6A6A">
        <w:t>are</w:t>
      </w:r>
      <w:r w:rsidR="00541D05">
        <w:t xml:space="preserve"> </w:t>
      </w:r>
      <w:r w:rsidR="00D9258C" w:rsidRPr="00FD6A6A">
        <w:t>variations</w:t>
      </w:r>
      <w:r w:rsidR="00541D05">
        <w:t xml:space="preserve"> </w:t>
      </w:r>
      <w:r w:rsidR="00D9258C" w:rsidRPr="00FD6A6A">
        <w:t>in</w:t>
      </w:r>
      <w:r w:rsidR="00541D05">
        <w:t xml:space="preserve"> </w:t>
      </w:r>
      <w:r w:rsidR="00D9258C" w:rsidRPr="00FD6A6A">
        <w:t>the</w:t>
      </w:r>
      <w:r w:rsidR="00541D05">
        <w:t xml:space="preserve"> </w:t>
      </w:r>
      <w:r w:rsidR="00D9258C" w:rsidRPr="00FD6A6A">
        <w:t>language</w:t>
      </w:r>
      <w:r w:rsidR="00541D05">
        <w:t xml:space="preserve"> </w:t>
      </w:r>
      <w:r w:rsidR="00D9258C" w:rsidRPr="00FD6A6A">
        <w:t>of</w:t>
      </w:r>
      <w:r w:rsidR="00541D05">
        <w:t xml:space="preserve"> </w:t>
      </w:r>
      <w:r w:rsidR="00D9258C" w:rsidRPr="00FD6A6A">
        <w:t>the</w:t>
      </w:r>
      <w:r w:rsidR="00541D05">
        <w:t xml:space="preserve"> </w:t>
      </w:r>
      <w:r w:rsidR="00D9258C" w:rsidRPr="00FD6A6A">
        <w:t>Rom</w:t>
      </w:r>
      <w:r w:rsidR="00541D05">
        <w:t xml:space="preserve"> </w:t>
      </w:r>
      <w:r w:rsidR="00D9258C" w:rsidRPr="00FD6A6A">
        <w:t>peoples</w:t>
      </w:r>
      <w:r w:rsidR="00541D05">
        <w:t xml:space="preserve"> </w:t>
      </w:r>
      <w:r w:rsidR="00D9258C" w:rsidRPr="00FD6A6A">
        <w:t>because</w:t>
      </w:r>
      <w:r w:rsidR="00541D05">
        <w:t xml:space="preserve"> </w:t>
      </w:r>
      <w:r w:rsidR="00D9258C" w:rsidRPr="00FD6A6A">
        <w:t>they</w:t>
      </w:r>
      <w:r w:rsidR="00541D05">
        <w:t xml:space="preserve"> </w:t>
      </w:r>
      <w:r w:rsidR="00D9258C" w:rsidRPr="00FD6A6A">
        <w:t>are</w:t>
      </w:r>
      <w:r w:rsidR="00541D05">
        <w:t xml:space="preserve"> </w:t>
      </w:r>
      <w:r w:rsidR="00D9258C" w:rsidRPr="00FD6A6A">
        <w:t>a</w:t>
      </w:r>
      <w:r w:rsidR="00541D05">
        <w:t xml:space="preserve"> </w:t>
      </w:r>
      <w:r w:rsidR="00D9258C" w:rsidRPr="00FD6A6A">
        <w:t>very</w:t>
      </w:r>
      <w:r w:rsidR="00541D05">
        <w:t xml:space="preserve"> </w:t>
      </w:r>
      <w:r w:rsidR="00D9258C" w:rsidRPr="00FD6A6A">
        <w:t>diverse</w:t>
      </w:r>
      <w:r w:rsidR="00541D05">
        <w:t xml:space="preserve"> </w:t>
      </w:r>
      <w:r w:rsidR="00D9258C" w:rsidRPr="00FD6A6A">
        <w:t>group,</w:t>
      </w:r>
      <w:r w:rsidR="00541D05">
        <w:t xml:space="preserve"> </w:t>
      </w:r>
      <w:r w:rsidR="00D9258C" w:rsidRPr="00FD6A6A">
        <w:t>formed</w:t>
      </w:r>
      <w:r w:rsidR="00541D05">
        <w:t xml:space="preserve"> </w:t>
      </w:r>
      <w:r w:rsidR="00D9258C" w:rsidRPr="00FD6A6A">
        <w:t>by</w:t>
      </w:r>
      <w:r w:rsidR="00541D05">
        <w:t xml:space="preserve"> </w:t>
      </w:r>
      <w:r w:rsidR="00D9258C" w:rsidRPr="00FD6A6A">
        <w:t>large</w:t>
      </w:r>
      <w:r w:rsidR="00541D05">
        <w:t xml:space="preserve"> </w:t>
      </w:r>
      <w:r w:rsidR="00D9258C" w:rsidRPr="00FD6A6A">
        <w:t>genealogical</w:t>
      </w:r>
      <w:r w:rsidR="00541D05">
        <w:t xml:space="preserve"> </w:t>
      </w:r>
      <w:r w:rsidR="00D9258C" w:rsidRPr="00FD6A6A">
        <w:t>branches,</w:t>
      </w:r>
      <w:r w:rsidR="00541D05">
        <w:t xml:space="preserve"> </w:t>
      </w:r>
      <w:r w:rsidR="00D9258C" w:rsidRPr="00FD6A6A">
        <w:t>known</w:t>
      </w:r>
      <w:r w:rsidR="00541D05">
        <w:t xml:space="preserve"> </w:t>
      </w:r>
      <w:r w:rsidR="00D9258C" w:rsidRPr="00FD6A6A">
        <w:t>as</w:t>
      </w:r>
      <w:r w:rsidR="00541D05">
        <w:t xml:space="preserve"> </w:t>
      </w:r>
      <w:r w:rsidR="00D9258C" w:rsidRPr="00BC6D14">
        <w:rPr>
          <w:i/>
          <w:iCs/>
        </w:rPr>
        <w:t>Kalderash</w:t>
      </w:r>
      <w:r w:rsidR="00D9258C" w:rsidRPr="00FD6A6A">
        <w:t>,</w:t>
      </w:r>
      <w:r w:rsidR="00541D05">
        <w:t xml:space="preserve"> </w:t>
      </w:r>
      <w:r w:rsidR="00D9258C" w:rsidRPr="00BC6D14">
        <w:rPr>
          <w:i/>
          <w:iCs/>
        </w:rPr>
        <w:t>Matchuaia</w:t>
      </w:r>
      <w:r w:rsidR="00D9258C" w:rsidRPr="00FD6A6A">
        <w:t>,</w:t>
      </w:r>
      <w:r w:rsidR="00541D05">
        <w:t xml:space="preserve"> </w:t>
      </w:r>
      <w:r w:rsidR="00D9258C" w:rsidRPr="00BC6D14">
        <w:rPr>
          <w:i/>
          <w:iCs/>
        </w:rPr>
        <w:t>Lovara</w:t>
      </w:r>
      <w:r w:rsidR="00D9258C" w:rsidRPr="00FD6A6A">
        <w:t>,</w:t>
      </w:r>
      <w:r w:rsidR="00541D05">
        <w:t xml:space="preserve"> </w:t>
      </w:r>
      <w:r w:rsidR="00D9258C" w:rsidRPr="00BC6D14">
        <w:rPr>
          <w:i/>
          <w:iCs/>
        </w:rPr>
        <w:t>Hororrané</w:t>
      </w:r>
      <w:r w:rsidR="00D9258C" w:rsidRPr="00FD6A6A">
        <w:t>,</w:t>
      </w:r>
      <w:r w:rsidR="00541D05">
        <w:t xml:space="preserve"> </w:t>
      </w:r>
      <w:r w:rsidR="00D9258C" w:rsidRPr="00FD6A6A">
        <w:t>and</w:t>
      </w:r>
      <w:r w:rsidR="00541D05">
        <w:t xml:space="preserve"> </w:t>
      </w:r>
      <w:r w:rsidR="00D9258C" w:rsidRPr="00BC6D14">
        <w:rPr>
          <w:i/>
          <w:iCs/>
        </w:rPr>
        <w:t>Rudari</w:t>
      </w:r>
      <w:r w:rsidR="00D9258C" w:rsidRPr="00FD6A6A">
        <w:t>.</w:t>
      </w:r>
      <w:r w:rsidR="00541D05">
        <w:t xml:space="preserve"> </w:t>
      </w:r>
      <w:r w:rsidR="00D9258C" w:rsidRPr="00FD6A6A">
        <w:t>These</w:t>
      </w:r>
      <w:r w:rsidR="00541D05">
        <w:t xml:space="preserve"> </w:t>
      </w:r>
      <w:r w:rsidR="00D9258C" w:rsidRPr="00FD6A6A">
        <w:t>sub-groups</w:t>
      </w:r>
      <w:r w:rsidR="00541D05">
        <w:t xml:space="preserve"> </w:t>
      </w:r>
      <w:r w:rsidR="00D9258C" w:rsidRPr="00FD6A6A">
        <w:t>are</w:t>
      </w:r>
      <w:r w:rsidR="00541D05">
        <w:t xml:space="preserve"> </w:t>
      </w:r>
      <w:r w:rsidR="00D9258C" w:rsidRPr="00FD6A6A">
        <w:t>present</w:t>
      </w:r>
      <w:r w:rsidR="00541D05">
        <w:t xml:space="preserve"> </w:t>
      </w:r>
      <w:r w:rsidR="00D9258C" w:rsidRPr="00FD6A6A">
        <w:t>in</w:t>
      </w:r>
      <w:r w:rsidR="00541D05">
        <w:t xml:space="preserve"> </w:t>
      </w:r>
      <w:r w:rsidR="00D9258C" w:rsidRPr="00FD6A6A">
        <w:t>Brazil</w:t>
      </w:r>
      <w:r w:rsidR="00541D05">
        <w:t xml:space="preserve"> </w:t>
      </w:r>
      <w:r w:rsidR="00D9258C" w:rsidRPr="00FD6A6A">
        <w:t>with</w:t>
      </w:r>
      <w:r w:rsidR="00541D05">
        <w:t xml:space="preserve"> </w:t>
      </w:r>
      <w:r w:rsidR="00D9258C" w:rsidRPr="00FD6A6A">
        <w:t>all</w:t>
      </w:r>
      <w:r w:rsidR="00541D05">
        <w:t xml:space="preserve"> </w:t>
      </w:r>
      <w:r w:rsidR="00D9258C" w:rsidRPr="00FD6A6A">
        <w:t>their</w:t>
      </w:r>
      <w:r w:rsidR="00541D05">
        <w:t xml:space="preserve"> </w:t>
      </w:r>
      <w:r w:rsidR="00D9258C" w:rsidRPr="00FD6A6A">
        <w:t>diversity.</w:t>
      </w:r>
    </w:p>
    <w:p w14:paraId="4F4D235B" w14:textId="583702C8" w:rsidR="00D9258C" w:rsidRPr="00FD6A6A" w:rsidRDefault="00166390" w:rsidP="00166390">
      <w:pPr>
        <w:pStyle w:val="ParaNoG"/>
        <w:numPr>
          <w:ilvl w:val="0"/>
          <w:numId w:val="0"/>
        </w:numPr>
        <w:tabs>
          <w:tab w:val="left" w:pos="0"/>
        </w:tabs>
        <w:ind w:left="1134"/>
      </w:pPr>
      <w:r w:rsidRPr="00FD6A6A">
        <w:t>152.</w:t>
      </w:r>
      <w:r w:rsidRPr="00FD6A6A">
        <w:tab/>
      </w:r>
      <w:r w:rsidR="00D9258C" w:rsidRPr="00FD6A6A">
        <w:t>The</w:t>
      </w:r>
      <w:r w:rsidR="00541D05">
        <w:t xml:space="preserve"> </w:t>
      </w:r>
      <w:r w:rsidR="00D9258C" w:rsidRPr="00FD6A6A">
        <w:t>spatial</w:t>
      </w:r>
      <w:r w:rsidR="00541D05">
        <w:t xml:space="preserve"> </w:t>
      </w:r>
      <w:r w:rsidR="00D9258C" w:rsidRPr="00FD6A6A">
        <w:t>dynamics,</w:t>
      </w:r>
      <w:r w:rsidR="00541D05">
        <w:t xml:space="preserve"> </w:t>
      </w:r>
      <w:r w:rsidR="00D9258C" w:rsidRPr="00FD6A6A">
        <w:t>with</w:t>
      </w:r>
      <w:r w:rsidR="00541D05">
        <w:t xml:space="preserve"> </w:t>
      </w:r>
      <w:r w:rsidR="00D9258C" w:rsidRPr="00FD6A6A">
        <w:t>voluntary</w:t>
      </w:r>
      <w:r w:rsidR="00541D05">
        <w:t xml:space="preserve"> </w:t>
      </w:r>
      <w:r w:rsidR="00D9258C" w:rsidRPr="00FD6A6A">
        <w:t>or</w:t>
      </w:r>
      <w:r w:rsidR="00541D05">
        <w:t xml:space="preserve"> </w:t>
      </w:r>
      <w:r w:rsidR="00D9258C" w:rsidRPr="00FD6A6A">
        <w:t>forced</w:t>
      </w:r>
      <w:r w:rsidR="00541D05">
        <w:t xml:space="preserve"> </w:t>
      </w:r>
      <w:r w:rsidR="00D9258C" w:rsidRPr="00FD6A6A">
        <w:t>displacements,</w:t>
      </w:r>
      <w:r w:rsidR="00541D05">
        <w:t xml:space="preserve"> </w:t>
      </w:r>
      <w:r w:rsidR="00D9258C" w:rsidRPr="00FD6A6A">
        <w:t>are</w:t>
      </w:r>
      <w:r w:rsidR="00541D05">
        <w:t xml:space="preserve"> </w:t>
      </w:r>
      <w:r w:rsidR="00D9258C" w:rsidRPr="00FD6A6A">
        <w:t>still</w:t>
      </w:r>
      <w:r w:rsidR="00541D05">
        <w:t xml:space="preserve"> </w:t>
      </w:r>
      <w:r w:rsidR="00D9258C" w:rsidRPr="00FD6A6A">
        <w:t>a</w:t>
      </w:r>
      <w:r w:rsidR="00541D05">
        <w:t xml:space="preserve"> </w:t>
      </w:r>
      <w:r w:rsidR="00D9258C" w:rsidRPr="00FD6A6A">
        <w:t>common</w:t>
      </w:r>
      <w:r w:rsidR="00541D05">
        <w:t xml:space="preserve"> </w:t>
      </w:r>
      <w:r w:rsidR="00D9258C" w:rsidRPr="00FD6A6A">
        <w:t>characteristic</w:t>
      </w:r>
      <w:r w:rsidR="00541D05">
        <w:t xml:space="preserve"> </w:t>
      </w:r>
      <w:r w:rsidR="00D9258C" w:rsidRPr="00FD6A6A">
        <w:t>of</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ethnicities</w:t>
      </w:r>
      <w:r w:rsidR="00541D05">
        <w:t xml:space="preserve"> </w:t>
      </w:r>
      <w:r w:rsidR="00D9258C" w:rsidRPr="00FD6A6A">
        <w:t>present</w:t>
      </w:r>
      <w:r w:rsidR="00541D05">
        <w:t xml:space="preserve"> </w:t>
      </w:r>
      <w:r w:rsidR="00D9258C" w:rsidRPr="00FD6A6A">
        <w:t>in</w:t>
      </w:r>
      <w:r w:rsidR="00541D05">
        <w:t xml:space="preserve"> </w:t>
      </w:r>
      <w:r w:rsidR="00D9258C" w:rsidRPr="00FD6A6A">
        <w:t>Brazil,</w:t>
      </w:r>
      <w:r w:rsidR="00541D05">
        <w:t xml:space="preserve"> </w:t>
      </w:r>
      <w:r w:rsidR="00D9258C" w:rsidRPr="00FD6A6A">
        <w:t>the</w:t>
      </w:r>
      <w:r w:rsidR="00541D05">
        <w:t xml:space="preserve"> </w:t>
      </w:r>
      <w:r w:rsidR="00D9258C" w:rsidRPr="00FD6A6A">
        <w:t>Calon</w:t>
      </w:r>
      <w:r w:rsidR="00541D05">
        <w:t xml:space="preserve"> </w:t>
      </w:r>
      <w:r w:rsidR="00D9258C" w:rsidRPr="00FD6A6A">
        <w:t>ethnicity.</w:t>
      </w:r>
      <w:r w:rsidR="00541D05">
        <w:t xml:space="preserve"> </w:t>
      </w:r>
      <w:r w:rsidR="00D9258C" w:rsidRPr="00FD6A6A">
        <w:t>Moving</w:t>
      </w:r>
      <w:r w:rsidR="00541D05">
        <w:t xml:space="preserve"> </w:t>
      </w:r>
      <w:r w:rsidR="00D9258C" w:rsidRPr="00FD6A6A">
        <w:t>frequently,</w:t>
      </w:r>
      <w:r w:rsidR="00541D05">
        <w:t xml:space="preserve"> </w:t>
      </w:r>
      <w:r w:rsidR="00D9258C" w:rsidRPr="00FD6A6A">
        <w:t>despite</w:t>
      </w:r>
      <w:r w:rsidR="00541D05">
        <w:t xml:space="preserve"> </w:t>
      </w:r>
      <w:r w:rsidR="00D9258C" w:rsidRPr="00FD6A6A">
        <w:t>doing</w:t>
      </w:r>
      <w:r w:rsidR="00541D05">
        <w:t xml:space="preserve"> </w:t>
      </w:r>
      <w:r w:rsidR="00D9258C" w:rsidRPr="00FD6A6A">
        <w:t>so</w:t>
      </w:r>
      <w:r w:rsidR="00541D05">
        <w:t xml:space="preserve"> </w:t>
      </w:r>
      <w:r w:rsidR="00D9258C" w:rsidRPr="00FD6A6A">
        <w:t>without</w:t>
      </w:r>
      <w:r w:rsidR="00541D05">
        <w:t xml:space="preserve"> </w:t>
      </w:r>
      <w:r w:rsidR="00D9258C" w:rsidRPr="00FD6A6A">
        <w:t>a</w:t>
      </w:r>
      <w:r w:rsidR="00541D05">
        <w:t xml:space="preserve"> </w:t>
      </w:r>
      <w:r w:rsidR="00D9258C" w:rsidRPr="00FD6A6A">
        <w:t>pattern,</w:t>
      </w:r>
      <w:r w:rsidR="00541D05">
        <w:t xml:space="preserve"> </w:t>
      </w:r>
      <w:r w:rsidR="00D9258C" w:rsidRPr="00FD6A6A">
        <w:t>the</w:t>
      </w:r>
      <w:r w:rsidR="00541D05">
        <w:t xml:space="preserve"> </w:t>
      </w:r>
      <w:r w:rsidR="00D9258C" w:rsidRPr="00FD6A6A">
        <w:t>families</w:t>
      </w:r>
      <w:r w:rsidR="00541D05">
        <w:t xml:space="preserve"> </w:t>
      </w:r>
      <w:r w:rsidR="00D9258C" w:rsidRPr="00FD6A6A">
        <w:t>of</w:t>
      </w:r>
      <w:r w:rsidR="00541D05">
        <w:t xml:space="preserve"> </w:t>
      </w:r>
      <w:r w:rsidR="00D9258C" w:rsidRPr="00FD6A6A">
        <w:t>this</w:t>
      </w:r>
      <w:r w:rsidR="00541D05">
        <w:t xml:space="preserve"> </w:t>
      </w:r>
      <w:r w:rsidR="00D9258C" w:rsidRPr="00FD6A6A">
        <w:t>ethnicity</w:t>
      </w:r>
      <w:r w:rsidR="00541D05">
        <w:t xml:space="preserve"> </w:t>
      </w:r>
      <w:r w:rsidR="00D9258C" w:rsidRPr="00FD6A6A">
        <w:t>seek</w:t>
      </w:r>
      <w:r w:rsidR="00541D05">
        <w:t xml:space="preserve"> </w:t>
      </w:r>
      <w:r w:rsidR="00D9258C" w:rsidRPr="00FD6A6A">
        <w:t>new</w:t>
      </w:r>
      <w:r w:rsidR="00541D05">
        <w:t xml:space="preserve"> </w:t>
      </w:r>
      <w:r w:rsidR="00D9258C" w:rsidRPr="00FD6A6A">
        <w:t>means</w:t>
      </w:r>
      <w:r w:rsidR="00541D05">
        <w:t xml:space="preserve"> </w:t>
      </w:r>
      <w:r w:rsidR="00D9258C" w:rsidRPr="00FD6A6A">
        <w:t>of</w:t>
      </w:r>
      <w:r w:rsidR="00541D05">
        <w:t xml:space="preserve"> </w:t>
      </w:r>
      <w:r w:rsidR="00D9258C" w:rsidRPr="00FD6A6A">
        <w:t>subsistence,</w:t>
      </w:r>
      <w:r w:rsidR="00541D05">
        <w:t xml:space="preserve"> </w:t>
      </w:r>
      <w:r w:rsidR="00D9258C" w:rsidRPr="00FD6A6A">
        <w:t>which</w:t>
      </w:r>
      <w:r w:rsidR="00541D05">
        <w:t xml:space="preserve"> </w:t>
      </w:r>
      <w:r w:rsidR="00D9258C" w:rsidRPr="00FD6A6A">
        <w:t>leads</w:t>
      </w:r>
      <w:r w:rsidR="00541D05">
        <w:t xml:space="preserve"> </w:t>
      </w:r>
      <w:r w:rsidR="00D9258C" w:rsidRPr="00FD6A6A">
        <w:t>them</w:t>
      </w:r>
      <w:r w:rsidR="00541D05">
        <w:t xml:space="preserve"> </w:t>
      </w:r>
      <w:r w:rsidR="00D9258C" w:rsidRPr="00FD6A6A">
        <w:t>to</w:t>
      </w:r>
      <w:r w:rsidR="00541D05">
        <w:t xml:space="preserve"> </w:t>
      </w:r>
      <w:r w:rsidR="00D9258C" w:rsidRPr="00FD6A6A">
        <w:t>build</w:t>
      </w:r>
      <w:r w:rsidR="00541D05">
        <w:t xml:space="preserve"> </w:t>
      </w:r>
      <w:r w:rsidR="00D9258C" w:rsidRPr="00FD6A6A">
        <w:t>temporary</w:t>
      </w:r>
      <w:r w:rsidR="00541D05">
        <w:t xml:space="preserve"> </w:t>
      </w:r>
      <w:r w:rsidR="00D9258C" w:rsidRPr="00FD6A6A">
        <w:t>camps,</w:t>
      </w:r>
      <w:r w:rsidR="00541D05">
        <w:t xml:space="preserve"> </w:t>
      </w:r>
      <w:r w:rsidR="00D9258C" w:rsidRPr="00FD6A6A">
        <w:t>through</w:t>
      </w:r>
      <w:r w:rsidR="00541D05">
        <w:t xml:space="preserve"> </w:t>
      </w:r>
      <w:r w:rsidR="00D9258C" w:rsidRPr="00FD6A6A">
        <w:t>which</w:t>
      </w:r>
      <w:r w:rsidR="00541D05">
        <w:t xml:space="preserve"> </w:t>
      </w:r>
      <w:r w:rsidR="00D9258C" w:rsidRPr="00FD6A6A">
        <w:t>they</w:t>
      </w:r>
      <w:r w:rsidR="00541D05">
        <w:t xml:space="preserve"> </w:t>
      </w:r>
      <w:r w:rsidR="00D9258C" w:rsidRPr="00FD6A6A">
        <w:t>create</w:t>
      </w:r>
      <w:r w:rsidR="00541D05">
        <w:t xml:space="preserve"> </w:t>
      </w:r>
      <w:r w:rsidR="00D9258C" w:rsidRPr="00FD6A6A">
        <w:t>the</w:t>
      </w:r>
      <w:r w:rsidR="00541D05">
        <w:t xml:space="preserve"> </w:t>
      </w:r>
      <w:r w:rsidR="00D9258C" w:rsidRPr="00FD6A6A">
        <w:t>conditions</w:t>
      </w:r>
      <w:r w:rsidR="00541D05">
        <w:t xml:space="preserve"> </w:t>
      </w:r>
      <w:r w:rsidR="00D9258C" w:rsidRPr="00FD6A6A">
        <w:t>for</w:t>
      </w:r>
      <w:r w:rsidR="00541D05">
        <w:t xml:space="preserve"> </w:t>
      </w:r>
      <w:r w:rsidR="00D9258C" w:rsidRPr="00FD6A6A">
        <w:t>their</w:t>
      </w:r>
      <w:r w:rsidR="00541D05">
        <w:t xml:space="preserve"> </w:t>
      </w:r>
      <w:r w:rsidR="00D9258C" w:rsidRPr="00FD6A6A">
        <w:t>physical</w:t>
      </w:r>
      <w:r w:rsidR="00541D05">
        <w:t xml:space="preserve"> </w:t>
      </w:r>
      <w:r w:rsidR="00D9258C" w:rsidRPr="00FD6A6A">
        <w:t>and</w:t>
      </w:r>
      <w:r w:rsidR="00541D05">
        <w:t xml:space="preserve"> </w:t>
      </w:r>
      <w:r w:rsidR="00D9258C" w:rsidRPr="00FD6A6A">
        <w:t>cultural</w:t>
      </w:r>
      <w:r w:rsidR="00541D05">
        <w:t xml:space="preserve"> </w:t>
      </w:r>
      <w:r w:rsidR="00D9258C" w:rsidRPr="00FD6A6A">
        <w:t>survival.</w:t>
      </w:r>
    </w:p>
    <w:p w14:paraId="5D523DC9" w14:textId="52350CC0" w:rsidR="00D9258C" w:rsidRPr="00FD6A6A" w:rsidRDefault="00166390" w:rsidP="00166390">
      <w:pPr>
        <w:pStyle w:val="ParaNoG"/>
        <w:numPr>
          <w:ilvl w:val="0"/>
          <w:numId w:val="0"/>
        </w:numPr>
        <w:tabs>
          <w:tab w:val="left" w:pos="0"/>
        </w:tabs>
        <w:ind w:left="1134"/>
      </w:pPr>
      <w:r w:rsidRPr="00FD6A6A">
        <w:t>153.</w:t>
      </w:r>
      <w:r w:rsidRPr="00FD6A6A">
        <w:tab/>
      </w:r>
      <w:r w:rsidR="00D9258C" w:rsidRPr="00FD6A6A">
        <w:t>In</w:t>
      </w:r>
      <w:r w:rsidR="00541D05">
        <w:t xml:space="preserve"> </w:t>
      </w:r>
      <w:r w:rsidR="00D9258C" w:rsidRPr="00FD6A6A">
        <w:t>2009,</w:t>
      </w:r>
      <w:r w:rsidR="00541D05">
        <w:t xml:space="preserve"> </w:t>
      </w:r>
      <w:r w:rsidR="00D9258C" w:rsidRPr="00FD6A6A">
        <w:t>we</w:t>
      </w:r>
      <w:r w:rsidR="00541D05">
        <w:t xml:space="preserve"> </w:t>
      </w:r>
      <w:r w:rsidR="00D9258C" w:rsidRPr="00FD6A6A">
        <w:t>found</w:t>
      </w:r>
      <w:r w:rsidR="00541D05">
        <w:t xml:space="preserve"> </w:t>
      </w:r>
      <w:r w:rsidR="00D9258C" w:rsidRPr="00FD6A6A">
        <w:t>the</w:t>
      </w:r>
      <w:r w:rsidR="00541D05">
        <w:t xml:space="preserve"> </w:t>
      </w:r>
      <w:r w:rsidR="00D9258C" w:rsidRPr="00FD6A6A">
        <w:t>existence</w:t>
      </w:r>
      <w:r w:rsidR="00541D05">
        <w:t xml:space="preserve"> </w:t>
      </w:r>
      <w:r w:rsidR="00D9258C" w:rsidRPr="00FD6A6A">
        <w:t>of</w:t>
      </w:r>
      <w:r w:rsidR="00541D05">
        <w:t xml:space="preserve"> </w:t>
      </w:r>
      <w:r w:rsidR="00D9258C" w:rsidRPr="00FD6A6A">
        <w:t>290</w:t>
      </w:r>
      <w:r w:rsidR="00541D05">
        <w:t xml:space="preserve"> </w:t>
      </w:r>
      <w:r w:rsidR="00D9258C" w:rsidRPr="00FD6A6A">
        <w:t>cities</w:t>
      </w:r>
      <w:r w:rsidR="00541D05">
        <w:t xml:space="preserve"> </w:t>
      </w:r>
      <w:r w:rsidR="00D9258C" w:rsidRPr="00FD6A6A">
        <w:t>with</w:t>
      </w:r>
      <w:r w:rsidR="00541D05">
        <w:t xml:space="preserve"> </w:t>
      </w:r>
      <w:r w:rsidR="00D9258C" w:rsidRPr="00FD6A6A">
        <w:t>the</w:t>
      </w:r>
      <w:r w:rsidR="00541D05">
        <w:t xml:space="preserve"> </w:t>
      </w:r>
      <w:r w:rsidR="00D9258C" w:rsidRPr="00FD6A6A">
        <w:t>presence</w:t>
      </w:r>
      <w:r w:rsidR="00541D05">
        <w:t xml:space="preserve"> </w:t>
      </w:r>
      <w:r w:rsidR="00D9258C" w:rsidRPr="00FD6A6A">
        <w:t>of</w:t>
      </w:r>
      <w:r w:rsidR="00541D05">
        <w:t xml:space="preserve"> </w:t>
      </w:r>
      <w:r w:rsidR="00D9258C" w:rsidRPr="00FD6A6A">
        <w:t>camps</w:t>
      </w:r>
      <w:r w:rsidR="00541D05">
        <w:t xml:space="preserve"> </w:t>
      </w:r>
      <w:r w:rsidR="00D9258C" w:rsidRPr="00FD6A6A">
        <w:t>in</w:t>
      </w:r>
      <w:r w:rsidR="00541D05">
        <w:t xml:space="preserve"> </w:t>
      </w:r>
      <w:r w:rsidR="00D9258C" w:rsidRPr="00FD6A6A">
        <w:t>Brazil.</w:t>
      </w:r>
      <w:r w:rsidR="00541D05">
        <w:t xml:space="preserve"> </w:t>
      </w:r>
      <w:r w:rsidR="00D9258C" w:rsidRPr="00FD6A6A">
        <w:t>They</w:t>
      </w:r>
      <w:r w:rsidR="00541D05">
        <w:t xml:space="preserve"> </w:t>
      </w:r>
      <w:r w:rsidR="00D9258C" w:rsidRPr="00FD6A6A">
        <w:t>were</w:t>
      </w:r>
      <w:r w:rsidR="00541D05">
        <w:t xml:space="preserve"> </w:t>
      </w:r>
      <w:r w:rsidR="00D9258C" w:rsidRPr="00FD6A6A">
        <w:t>scattered</w:t>
      </w:r>
      <w:r w:rsidR="00541D05">
        <w:t xml:space="preserve"> </w:t>
      </w:r>
      <w:r w:rsidR="00D9258C" w:rsidRPr="00FD6A6A">
        <w:t>in</w:t>
      </w:r>
      <w:r w:rsidR="00541D05">
        <w:t xml:space="preserve"> </w:t>
      </w:r>
      <w:r w:rsidR="00D9258C" w:rsidRPr="00FD6A6A">
        <w:t>almost</w:t>
      </w:r>
      <w:r w:rsidR="00541D05">
        <w:t xml:space="preserve"> </w:t>
      </w:r>
      <w:r w:rsidR="00D9258C" w:rsidRPr="00FD6A6A">
        <w:t>all</w:t>
      </w:r>
      <w:r w:rsidR="00541D05">
        <w:t xml:space="preserve"> </w:t>
      </w:r>
      <w:r w:rsidR="00D9258C" w:rsidRPr="00FD6A6A">
        <w:t>Brazilian</w:t>
      </w:r>
      <w:r w:rsidR="00541D05">
        <w:t xml:space="preserve"> </w:t>
      </w:r>
      <w:r w:rsidR="00D9258C" w:rsidRPr="00FD6A6A">
        <w:t>regions,</w:t>
      </w:r>
      <w:r w:rsidR="00541D05">
        <w:t xml:space="preserve"> </w:t>
      </w:r>
      <w:r w:rsidR="00D9258C" w:rsidRPr="00FD6A6A">
        <w:t>except</w:t>
      </w:r>
      <w:r w:rsidR="00541D05">
        <w:t xml:space="preserve"> </w:t>
      </w:r>
      <w:r w:rsidR="00D9258C" w:rsidRPr="00FD6A6A">
        <w:t>for</w:t>
      </w:r>
      <w:r w:rsidR="00541D05">
        <w:t xml:space="preserve"> </w:t>
      </w:r>
      <w:r w:rsidR="00D9258C" w:rsidRPr="00FD6A6A">
        <w:t>the</w:t>
      </w:r>
      <w:r w:rsidR="00541D05">
        <w:t xml:space="preserve"> </w:t>
      </w:r>
      <w:r w:rsidR="00D9258C" w:rsidRPr="00FD6A6A">
        <w:t>North</w:t>
      </w:r>
      <w:r w:rsidR="00541D05">
        <w:t xml:space="preserve"> </w:t>
      </w:r>
      <w:r w:rsidR="00D9258C" w:rsidRPr="00FD6A6A">
        <w:t>region,</w:t>
      </w:r>
      <w:r w:rsidR="00541D05">
        <w:t xml:space="preserve"> </w:t>
      </w:r>
      <w:r w:rsidR="00D9258C" w:rsidRPr="00FD6A6A">
        <w:t>where</w:t>
      </w:r>
      <w:r w:rsidR="00541D05">
        <w:t xml:space="preserve"> </w:t>
      </w:r>
      <w:r w:rsidR="00D9258C" w:rsidRPr="00FD6A6A">
        <w:t>we</w:t>
      </w:r>
      <w:r w:rsidR="00541D05">
        <w:t xml:space="preserve"> </w:t>
      </w:r>
      <w:r w:rsidR="00D9258C" w:rsidRPr="00FD6A6A">
        <w:t>found</w:t>
      </w:r>
      <w:r w:rsidR="00541D05">
        <w:t xml:space="preserve"> </w:t>
      </w:r>
      <w:r w:rsidR="00D9258C" w:rsidRPr="00FD6A6A">
        <w:t>a</w:t>
      </w:r>
      <w:r w:rsidR="00541D05">
        <w:t xml:space="preserve"> </w:t>
      </w:r>
      <w:r w:rsidR="00D9258C" w:rsidRPr="00FD6A6A">
        <w:t>low</w:t>
      </w:r>
      <w:r w:rsidR="00541D05">
        <w:t xml:space="preserve"> </w:t>
      </w:r>
      <w:r w:rsidR="00D9258C" w:rsidRPr="00FD6A6A">
        <w:t>number</w:t>
      </w:r>
      <w:r w:rsidR="00541D05">
        <w:t xml:space="preserve"> </w:t>
      </w:r>
      <w:r w:rsidR="00D9258C" w:rsidRPr="00FD6A6A">
        <w:t>of</w:t>
      </w:r>
      <w:r w:rsidR="00541D05">
        <w:t xml:space="preserve"> </w:t>
      </w:r>
      <w:r w:rsidR="00D9258C" w:rsidRPr="00FD6A6A">
        <w:t>camps:</w:t>
      </w:r>
      <w:r w:rsidR="00541D05">
        <w:t xml:space="preserve"> </w:t>
      </w:r>
      <w:r w:rsidR="00D9258C" w:rsidRPr="00FD6A6A">
        <w:t>only</w:t>
      </w:r>
      <w:r w:rsidR="00541D05">
        <w:t xml:space="preserve"> </w:t>
      </w:r>
      <w:r w:rsidR="00D9258C" w:rsidRPr="00FD6A6A">
        <w:t>4,</w:t>
      </w:r>
      <w:r w:rsidR="00541D05">
        <w:t xml:space="preserve"> </w:t>
      </w:r>
      <w:r w:rsidR="00D9258C" w:rsidRPr="00FD6A6A">
        <w:t>in</w:t>
      </w:r>
      <w:r w:rsidR="00541D05">
        <w:t xml:space="preserve"> </w:t>
      </w:r>
      <w:r w:rsidR="00D9258C" w:rsidRPr="00FD6A6A">
        <w:t>contrast</w:t>
      </w:r>
      <w:r w:rsidR="00541D05">
        <w:t xml:space="preserve"> </w:t>
      </w:r>
      <w:r w:rsidR="00D9258C" w:rsidRPr="00FD6A6A">
        <w:t>with</w:t>
      </w:r>
      <w:r w:rsidR="00541D05">
        <w:t xml:space="preserve"> </w:t>
      </w:r>
      <w:r w:rsidR="00D9258C" w:rsidRPr="00FD6A6A">
        <w:t>97</w:t>
      </w:r>
      <w:r w:rsidR="00541D05">
        <w:t xml:space="preserve"> </w:t>
      </w:r>
      <w:r w:rsidR="00D9258C" w:rsidRPr="00FD6A6A">
        <w:t>in</w:t>
      </w:r>
      <w:r w:rsidR="00541D05">
        <w:t xml:space="preserve"> </w:t>
      </w:r>
      <w:r w:rsidR="00D9258C" w:rsidRPr="00FD6A6A">
        <w:t>the</w:t>
      </w:r>
      <w:r w:rsidR="00541D05">
        <w:t xml:space="preserve"> </w:t>
      </w:r>
      <w:r w:rsidR="00D9258C" w:rsidRPr="00FD6A6A">
        <w:t>Northeast,</w:t>
      </w:r>
      <w:r w:rsidR="00541D05">
        <w:t xml:space="preserve"> </w:t>
      </w:r>
      <w:r w:rsidR="00D9258C" w:rsidRPr="00FD6A6A">
        <w:t>96</w:t>
      </w:r>
      <w:r w:rsidR="00541D05">
        <w:t xml:space="preserve"> </w:t>
      </w:r>
      <w:r w:rsidR="00D9258C" w:rsidRPr="00FD6A6A">
        <w:t>in</w:t>
      </w:r>
      <w:r w:rsidR="00541D05">
        <w:t xml:space="preserve"> </w:t>
      </w:r>
      <w:r w:rsidR="00D9258C" w:rsidRPr="00FD6A6A">
        <w:t>the</w:t>
      </w:r>
      <w:r w:rsidR="00541D05">
        <w:t xml:space="preserve"> </w:t>
      </w:r>
      <w:r w:rsidR="00D9258C" w:rsidRPr="00FD6A6A">
        <w:t>Southeast,</w:t>
      </w:r>
      <w:r w:rsidR="00541D05">
        <w:t xml:space="preserve"> </w:t>
      </w:r>
      <w:r w:rsidR="00D9258C" w:rsidRPr="00FD6A6A">
        <w:t>54</w:t>
      </w:r>
      <w:r w:rsidR="00541D05">
        <w:t xml:space="preserve"> </w:t>
      </w:r>
      <w:r w:rsidR="00D9258C" w:rsidRPr="00FD6A6A">
        <w:t>in</w:t>
      </w:r>
      <w:r w:rsidR="00541D05">
        <w:t xml:space="preserve"> </w:t>
      </w:r>
      <w:r w:rsidR="00D9258C" w:rsidRPr="00FD6A6A">
        <w:t>the</w:t>
      </w:r>
      <w:r w:rsidR="00541D05">
        <w:t xml:space="preserve"> </w:t>
      </w:r>
      <w:r w:rsidR="00D9258C" w:rsidRPr="00FD6A6A">
        <w:t>South,</w:t>
      </w:r>
      <w:r w:rsidR="00541D05">
        <w:t xml:space="preserve"> </w:t>
      </w:r>
      <w:r w:rsidR="00D9258C" w:rsidRPr="00FD6A6A">
        <w:t>and</w:t>
      </w:r>
      <w:r w:rsidR="00541D05">
        <w:t xml:space="preserve"> </w:t>
      </w:r>
      <w:r w:rsidR="00D9258C" w:rsidRPr="00FD6A6A">
        <w:t>39</w:t>
      </w:r>
      <w:r w:rsidR="00541D05">
        <w:t xml:space="preserve"> </w:t>
      </w:r>
      <w:r w:rsidR="00D9258C" w:rsidRPr="00FD6A6A">
        <w:t>in</w:t>
      </w:r>
      <w:r w:rsidR="00541D05">
        <w:t xml:space="preserve"> </w:t>
      </w:r>
      <w:r w:rsidR="00D9258C" w:rsidRPr="00FD6A6A">
        <w:t>the</w:t>
      </w:r>
      <w:r w:rsidR="00541D05">
        <w:t xml:space="preserve"> </w:t>
      </w:r>
      <w:r w:rsidR="00D9258C" w:rsidRPr="00FD6A6A">
        <w:t>Midwest.</w:t>
      </w:r>
      <w:r w:rsidR="00541D05">
        <w:t xml:space="preserve"> </w:t>
      </w:r>
      <w:r w:rsidR="00D9258C" w:rsidRPr="00FD6A6A">
        <w:t>From</w:t>
      </w:r>
      <w:r w:rsidR="00541D05">
        <w:t xml:space="preserve"> </w:t>
      </w:r>
      <w:r w:rsidR="00D9258C" w:rsidRPr="00FD6A6A">
        <w:t>290</w:t>
      </w:r>
      <w:r w:rsidR="00541D05">
        <w:t xml:space="preserve"> </w:t>
      </w:r>
      <w:r w:rsidR="00D9258C" w:rsidRPr="00FD6A6A">
        <w:t>cities</w:t>
      </w:r>
      <w:r w:rsidR="00541D05">
        <w:t xml:space="preserve"> </w:t>
      </w:r>
      <w:r w:rsidR="00D9258C" w:rsidRPr="00FD6A6A">
        <w:t>with</w:t>
      </w:r>
      <w:r w:rsidR="00541D05">
        <w:t xml:space="preserve"> </w:t>
      </w:r>
      <w:r w:rsidR="00D9258C" w:rsidRPr="00FD6A6A">
        <w:t>the</w:t>
      </w:r>
      <w:r w:rsidR="00541D05">
        <w:t xml:space="preserve"> </w:t>
      </w:r>
      <w:r w:rsidR="00D9258C" w:rsidRPr="00FD6A6A">
        <w:t>presence</w:t>
      </w:r>
      <w:r w:rsidR="00541D05">
        <w:t xml:space="preserve"> </w:t>
      </w:r>
      <w:r w:rsidR="00D9258C" w:rsidRPr="00FD6A6A">
        <w:t>of</w:t>
      </w:r>
      <w:r w:rsidR="00541D05">
        <w:t xml:space="preserve"> </w:t>
      </w:r>
      <w:r w:rsidR="00D9258C" w:rsidRPr="00FD6A6A">
        <w:t>Romani</w:t>
      </w:r>
      <w:r w:rsidR="00541D05">
        <w:t xml:space="preserve"> </w:t>
      </w:r>
      <w:r w:rsidR="00D9258C" w:rsidRPr="00FD6A6A">
        <w:t>camps,</w:t>
      </w:r>
      <w:r w:rsidR="00541D05">
        <w:t xml:space="preserve"> </w:t>
      </w:r>
      <w:r w:rsidR="00D9258C" w:rsidRPr="00FD6A6A">
        <w:t>only</w:t>
      </w:r>
      <w:r w:rsidR="00541D05">
        <w:t xml:space="preserve"> </w:t>
      </w:r>
      <w:r w:rsidR="00D9258C" w:rsidRPr="00FD6A6A">
        <w:t>40</w:t>
      </w:r>
      <w:r w:rsidR="00541D05">
        <w:t xml:space="preserve"> </w:t>
      </w:r>
      <w:r w:rsidR="00D9258C" w:rsidRPr="00FD6A6A">
        <w:t>have</w:t>
      </w:r>
      <w:r w:rsidR="00541D05">
        <w:t xml:space="preserve"> </w:t>
      </w:r>
      <w:r w:rsidR="00D9258C" w:rsidRPr="00FD6A6A">
        <w:t>declared</w:t>
      </w:r>
      <w:r w:rsidR="00541D05">
        <w:t xml:space="preserve"> </w:t>
      </w:r>
      <w:r w:rsidR="00D9258C" w:rsidRPr="00FD6A6A">
        <w:t>to</w:t>
      </w:r>
      <w:r w:rsidR="00541D05">
        <w:t xml:space="preserve"> </w:t>
      </w:r>
      <w:r w:rsidR="00D9258C" w:rsidRPr="00FD6A6A">
        <w:t>have</w:t>
      </w:r>
      <w:r w:rsidR="00541D05">
        <w:t xml:space="preserve"> </w:t>
      </w:r>
      <w:r w:rsidR="00D9258C" w:rsidRPr="00FD6A6A">
        <w:t>developed</w:t>
      </w:r>
      <w:r w:rsidR="00541D05">
        <w:t xml:space="preserve"> </w:t>
      </w:r>
      <w:r w:rsidR="00D9258C" w:rsidRPr="00FD6A6A">
        <w:t>public</w:t>
      </w:r>
      <w:r w:rsidR="00541D05">
        <w:t xml:space="preserve"> </w:t>
      </w:r>
      <w:r w:rsidR="00D9258C" w:rsidRPr="00FD6A6A">
        <w:t>policies</w:t>
      </w:r>
      <w:r w:rsidR="00541D05">
        <w:t xml:space="preserve"> </w:t>
      </w:r>
      <w:r w:rsidR="00D9258C" w:rsidRPr="00FD6A6A">
        <w:t>for</w:t>
      </w:r>
      <w:r w:rsidR="00541D05">
        <w:t xml:space="preserve"> </w:t>
      </w:r>
      <w:r w:rsidR="00D9258C" w:rsidRPr="00FD6A6A">
        <w:t>this</w:t>
      </w:r>
      <w:r w:rsidR="00541D05">
        <w:t xml:space="preserve"> </w:t>
      </w:r>
      <w:r w:rsidR="00D9258C" w:rsidRPr="00FD6A6A">
        <w:t>population.</w:t>
      </w:r>
    </w:p>
    <w:p w14:paraId="37193F28" w14:textId="6FCACD5B" w:rsidR="00D9258C" w:rsidRPr="00FD6A6A" w:rsidRDefault="00166390" w:rsidP="00166390">
      <w:pPr>
        <w:pStyle w:val="ParaNoG"/>
        <w:numPr>
          <w:ilvl w:val="0"/>
          <w:numId w:val="0"/>
        </w:numPr>
        <w:tabs>
          <w:tab w:val="left" w:pos="0"/>
        </w:tabs>
        <w:ind w:left="1134"/>
      </w:pPr>
      <w:r w:rsidRPr="00FD6A6A">
        <w:t>154.</w:t>
      </w:r>
      <w:r w:rsidRPr="00FD6A6A">
        <w:tab/>
      </w:r>
      <w:r w:rsidR="00D9258C" w:rsidRPr="00FD6A6A">
        <w:t>In</w:t>
      </w:r>
      <w:r w:rsidR="00541D05">
        <w:t xml:space="preserve"> </w:t>
      </w:r>
      <w:r w:rsidR="00D9258C" w:rsidRPr="00FD6A6A">
        <w:t>2014,</w:t>
      </w:r>
      <w:r w:rsidR="00541D05">
        <w:t xml:space="preserve"> </w:t>
      </w:r>
      <w:r w:rsidR="00D9258C" w:rsidRPr="00FD6A6A">
        <w:t>a</w:t>
      </w:r>
      <w:r w:rsidR="00541D05">
        <w:t xml:space="preserve"> </w:t>
      </w:r>
      <w:r w:rsidR="00D9258C" w:rsidRPr="00FD6A6A">
        <w:t>new</w:t>
      </w:r>
      <w:r w:rsidR="00541D05">
        <w:t xml:space="preserve"> </w:t>
      </w:r>
      <w:r w:rsidR="00D9258C" w:rsidRPr="00FD6A6A">
        <w:t>survey</w:t>
      </w:r>
      <w:r w:rsidR="00541D05">
        <w:t xml:space="preserve"> </w:t>
      </w:r>
      <w:r w:rsidR="00D9258C" w:rsidRPr="00FD6A6A">
        <w:t>found</w:t>
      </w:r>
      <w:r w:rsidR="00541D05">
        <w:t xml:space="preserve"> </w:t>
      </w:r>
      <w:r w:rsidR="00D9258C" w:rsidRPr="00FD6A6A">
        <w:t>the</w:t>
      </w:r>
      <w:r w:rsidR="00541D05">
        <w:t xml:space="preserve"> </w:t>
      </w:r>
      <w:r w:rsidR="00D9258C" w:rsidRPr="00FD6A6A">
        <w:t>existence</w:t>
      </w:r>
      <w:r w:rsidR="00541D05">
        <w:t xml:space="preserve"> </w:t>
      </w:r>
      <w:r w:rsidR="00D9258C" w:rsidRPr="00FD6A6A">
        <w:t>of</w:t>
      </w:r>
      <w:r w:rsidR="00541D05">
        <w:t xml:space="preserve"> </w:t>
      </w:r>
      <w:r w:rsidR="00D9258C" w:rsidRPr="00FD6A6A">
        <w:t>337</w:t>
      </w:r>
      <w:r w:rsidR="00541D05">
        <w:t xml:space="preserve"> </w:t>
      </w:r>
      <w:r w:rsidR="00D9258C" w:rsidRPr="00FD6A6A">
        <w:t>cities</w:t>
      </w:r>
      <w:r w:rsidR="00541D05">
        <w:t xml:space="preserve"> </w:t>
      </w:r>
      <w:r w:rsidR="00D9258C" w:rsidRPr="00FD6A6A">
        <w:t>with</w:t>
      </w:r>
      <w:r w:rsidR="00541D05">
        <w:t xml:space="preserve"> </w:t>
      </w:r>
      <w:r w:rsidR="00D9258C" w:rsidRPr="00FD6A6A">
        <w:t>camps,</w:t>
      </w:r>
      <w:r w:rsidR="00541D05">
        <w:t xml:space="preserve"> </w:t>
      </w:r>
      <w:r w:rsidR="00D9258C" w:rsidRPr="00FD6A6A">
        <w:t>which</w:t>
      </w:r>
      <w:r w:rsidR="00541D05">
        <w:t xml:space="preserve"> </w:t>
      </w:r>
      <w:r w:rsidR="00D9258C" w:rsidRPr="00FD6A6A">
        <w:t>represents</w:t>
      </w:r>
      <w:r w:rsidR="00541D05">
        <w:t xml:space="preserve"> </w:t>
      </w:r>
      <w:r w:rsidR="00D9258C" w:rsidRPr="00FD6A6A">
        <w:t>a</w:t>
      </w:r>
      <w:r w:rsidR="00541D05">
        <w:t xml:space="preserve"> </w:t>
      </w:r>
      <w:r w:rsidR="00D9258C" w:rsidRPr="00FD6A6A">
        <w:t>16%</w:t>
      </w:r>
      <w:r w:rsidR="00541D05">
        <w:t xml:space="preserve"> </w:t>
      </w:r>
      <w:r w:rsidR="00D9258C" w:rsidRPr="00FD6A6A">
        <w:t>increase</w:t>
      </w:r>
      <w:r w:rsidR="00541D05">
        <w:t xml:space="preserve"> </w:t>
      </w:r>
      <w:r w:rsidR="00D9258C" w:rsidRPr="00FD6A6A">
        <w:t>in</w:t>
      </w:r>
      <w:r w:rsidR="00541D05">
        <w:t xml:space="preserve"> </w:t>
      </w:r>
      <w:r w:rsidR="00D9258C" w:rsidRPr="00FD6A6A">
        <w:t>comparison</w:t>
      </w:r>
      <w:r w:rsidR="00541D05">
        <w:t xml:space="preserve"> </w:t>
      </w:r>
      <w:r w:rsidR="00D9258C" w:rsidRPr="00FD6A6A">
        <w:t>with</w:t>
      </w:r>
      <w:r w:rsidR="00541D05">
        <w:t xml:space="preserve"> </w:t>
      </w:r>
      <w:r w:rsidR="00D9258C" w:rsidRPr="00FD6A6A">
        <w:t>2009.</w:t>
      </w:r>
      <w:r w:rsidR="00541D05">
        <w:t xml:space="preserve"> </w:t>
      </w:r>
      <w:r w:rsidR="00D9258C" w:rsidRPr="00FD6A6A">
        <w:t>This</w:t>
      </w:r>
      <w:r w:rsidR="00541D05">
        <w:t xml:space="preserve"> </w:t>
      </w:r>
      <w:r w:rsidR="00D9258C" w:rsidRPr="00FD6A6A">
        <w:t>increase</w:t>
      </w:r>
      <w:r w:rsidR="00541D05">
        <w:t xml:space="preserve"> </w:t>
      </w:r>
      <w:r w:rsidR="00D9258C" w:rsidRPr="00FD6A6A">
        <w:t>occurred</w:t>
      </w:r>
      <w:r w:rsidR="00541D05">
        <w:t xml:space="preserve"> </w:t>
      </w:r>
      <w:r w:rsidR="00D9258C" w:rsidRPr="00FD6A6A">
        <w:t>sharply</w:t>
      </w:r>
      <w:r w:rsidR="00541D05">
        <w:t xml:space="preserve"> </w:t>
      </w:r>
      <w:r w:rsidR="00D9258C" w:rsidRPr="00FD6A6A">
        <w:t>in</w:t>
      </w:r>
      <w:r w:rsidR="00541D05">
        <w:t xml:space="preserve"> </w:t>
      </w:r>
      <w:r w:rsidR="00D9258C" w:rsidRPr="00FD6A6A">
        <w:t>the</w:t>
      </w:r>
      <w:r w:rsidR="00541D05">
        <w:t xml:space="preserve"> </w:t>
      </w:r>
      <w:r w:rsidR="00D9258C" w:rsidRPr="00FD6A6A">
        <w:t>Southeast</w:t>
      </w:r>
      <w:r w:rsidR="00541D05">
        <w:t xml:space="preserve"> </w:t>
      </w:r>
      <w:r w:rsidR="00D9258C" w:rsidRPr="00FD6A6A">
        <w:t>and</w:t>
      </w:r>
      <w:r w:rsidR="00541D05">
        <w:t xml:space="preserve"> </w:t>
      </w:r>
      <w:r w:rsidR="00D9258C" w:rsidRPr="00FD6A6A">
        <w:t>the</w:t>
      </w:r>
      <w:r w:rsidR="00541D05">
        <w:t xml:space="preserve"> </w:t>
      </w:r>
      <w:r w:rsidR="00D9258C" w:rsidRPr="00FD6A6A">
        <w:t>Northeast,</w:t>
      </w:r>
      <w:r w:rsidR="00541D05">
        <w:t xml:space="preserve"> </w:t>
      </w:r>
      <w:r w:rsidR="00D9258C" w:rsidRPr="00FD6A6A">
        <w:t>increasing</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camps</w:t>
      </w:r>
      <w:r w:rsidR="00541D05">
        <w:t xml:space="preserve"> </w:t>
      </w:r>
      <w:r w:rsidR="00D9258C" w:rsidRPr="00FD6A6A">
        <w:t>in</w:t>
      </w:r>
      <w:r w:rsidR="00541D05">
        <w:t xml:space="preserve"> </w:t>
      </w:r>
      <w:r w:rsidR="00D9258C" w:rsidRPr="00FD6A6A">
        <w:t>these</w:t>
      </w:r>
      <w:r w:rsidR="00541D05">
        <w:t xml:space="preserve"> </w:t>
      </w:r>
      <w:r w:rsidR="00D9258C" w:rsidRPr="00FD6A6A">
        <w:t>regions</w:t>
      </w:r>
      <w:r w:rsidR="00541D05">
        <w:t xml:space="preserve"> </w:t>
      </w:r>
      <w:r w:rsidR="00D9258C" w:rsidRPr="00FD6A6A">
        <w:t>to</w:t>
      </w:r>
      <w:r w:rsidR="00541D05">
        <w:t xml:space="preserve"> </w:t>
      </w:r>
      <w:r w:rsidR="00D9258C" w:rsidRPr="00FD6A6A">
        <w:t>122</w:t>
      </w:r>
      <w:r w:rsidR="00541D05">
        <w:t xml:space="preserve"> </w:t>
      </w:r>
      <w:r w:rsidR="00D9258C" w:rsidRPr="00FD6A6A">
        <w:t>and</w:t>
      </w:r>
      <w:r w:rsidR="00541D05">
        <w:t xml:space="preserve"> </w:t>
      </w:r>
      <w:r w:rsidR="00D9258C" w:rsidRPr="00FD6A6A">
        <w:t>117,</w:t>
      </w:r>
      <w:r w:rsidR="00541D05">
        <w:t xml:space="preserve"> </w:t>
      </w:r>
      <w:r w:rsidR="00D9258C" w:rsidRPr="00FD6A6A">
        <w:t>respectively.</w:t>
      </w:r>
    </w:p>
    <w:p w14:paraId="5E98B407" w14:textId="45DAA3CD" w:rsidR="00D9258C" w:rsidRPr="00FD6A6A" w:rsidRDefault="00166390" w:rsidP="00166390">
      <w:pPr>
        <w:pStyle w:val="ParaNoG"/>
        <w:numPr>
          <w:ilvl w:val="0"/>
          <w:numId w:val="0"/>
        </w:numPr>
        <w:tabs>
          <w:tab w:val="left" w:pos="0"/>
        </w:tabs>
        <w:ind w:left="1134"/>
      </w:pPr>
      <w:r w:rsidRPr="00FD6A6A">
        <w:t>155.</w:t>
      </w:r>
      <w:r w:rsidRPr="00FD6A6A">
        <w:tab/>
      </w:r>
      <w:r w:rsidR="00D9258C" w:rsidRPr="00FD6A6A">
        <w:t>A</w:t>
      </w:r>
      <w:r w:rsidR="00541D05">
        <w:t xml:space="preserve"> </w:t>
      </w:r>
      <w:r w:rsidR="00D9258C" w:rsidRPr="00FD6A6A">
        <w:t>characteristic</w:t>
      </w:r>
      <w:r w:rsidR="00541D05">
        <w:t xml:space="preserve"> </w:t>
      </w:r>
      <w:r w:rsidR="00D9258C" w:rsidRPr="00FD6A6A">
        <w:t>of</w:t>
      </w:r>
      <w:r w:rsidR="00541D05">
        <w:t xml:space="preserve"> </w:t>
      </w:r>
      <w:r w:rsidR="00D9258C" w:rsidRPr="00FD6A6A">
        <w:t>Romani</w:t>
      </w:r>
      <w:r w:rsidR="00541D05">
        <w:t xml:space="preserve"> </w:t>
      </w:r>
      <w:r w:rsidR="00D9258C" w:rsidRPr="00FD6A6A">
        <w:t>camps</w:t>
      </w:r>
      <w:r w:rsidR="00541D05">
        <w:t xml:space="preserve"> </w:t>
      </w:r>
      <w:r w:rsidR="00D9258C" w:rsidRPr="00FD6A6A">
        <w:t>is</w:t>
      </w:r>
      <w:r w:rsidR="00541D05">
        <w:t xml:space="preserve"> </w:t>
      </w:r>
      <w:r w:rsidR="00D9258C" w:rsidRPr="00FD6A6A">
        <w:t>that</w:t>
      </w:r>
      <w:r w:rsidR="00541D05">
        <w:t xml:space="preserve"> </w:t>
      </w:r>
      <w:r w:rsidR="00D9258C" w:rsidRPr="00FD6A6A">
        <w:t>they</w:t>
      </w:r>
      <w:r w:rsidR="00541D05">
        <w:t xml:space="preserve"> </w:t>
      </w:r>
      <w:r w:rsidR="00D9258C" w:rsidRPr="00FD6A6A">
        <w:t>tend</w:t>
      </w:r>
      <w:r w:rsidR="00541D05">
        <w:t xml:space="preserve"> </w:t>
      </w:r>
      <w:r w:rsidR="00D9258C" w:rsidRPr="00FD6A6A">
        <w:t>to</w:t>
      </w:r>
      <w:r w:rsidR="00541D05">
        <w:t xml:space="preserve"> </w:t>
      </w:r>
      <w:r w:rsidR="00D9258C" w:rsidRPr="00FD6A6A">
        <w:t>be</w:t>
      </w:r>
      <w:r w:rsidR="00541D05">
        <w:t xml:space="preserve"> </w:t>
      </w:r>
      <w:r w:rsidR="00D9258C" w:rsidRPr="00FD6A6A">
        <w:t>present</w:t>
      </w:r>
      <w:r w:rsidR="00541D05">
        <w:t xml:space="preserve"> </w:t>
      </w:r>
      <w:r w:rsidR="00D9258C" w:rsidRPr="00FD6A6A">
        <w:t>in</w:t>
      </w:r>
      <w:r w:rsidR="00541D05">
        <w:t xml:space="preserve"> </w:t>
      </w:r>
      <w:r w:rsidR="00D9258C" w:rsidRPr="00FD6A6A">
        <w:t>smaller</w:t>
      </w:r>
      <w:r w:rsidR="00541D05">
        <w:t xml:space="preserve"> </w:t>
      </w:r>
      <w:r w:rsidR="00D9258C" w:rsidRPr="00FD6A6A">
        <w:t>cities,</w:t>
      </w:r>
      <w:r w:rsidR="00541D05">
        <w:t xml:space="preserve"> </w:t>
      </w:r>
      <w:r w:rsidR="00D9258C" w:rsidRPr="00FD6A6A">
        <w:t>with</w:t>
      </w:r>
      <w:r w:rsidR="00541D05">
        <w:t xml:space="preserve"> </w:t>
      </w:r>
      <w:r w:rsidR="00D9258C" w:rsidRPr="00FD6A6A">
        <w:t>populations</w:t>
      </w:r>
      <w:r w:rsidR="00541D05">
        <w:t xml:space="preserve"> </w:t>
      </w:r>
      <w:r w:rsidR="00D9258C" w:rsidRPr="00FD6A6A">
        <w:t>between</w:t>
      </w:r>
      <w:r w:rsidR="00541D05">
        <w:t xml:space="preserve"> </w:t>
      </w:r>
      <w:r w:rsidR="00D9258C" w:rsidRPr="00FD6A6A">
        <w:t>20</w:t>
      </w:r>
      <w:r w:rsidR="00541D05">
        <w:t xml:space="preserve"> </w:t>
      </w:r>
      <w:r w:rsidR="00D9258C" w:rsidRPr="00FD6A6A">
        <w:t>and</w:t>
      </w:r>
      <w:r w:rsidR="00541D05">
        <w:t xml:space="preserve"> </w:t>
      </w:r>
      <w:r w:rsidR="00D9258C" w:rsidRPr="00FD6A6A">
        <w:t>50</w:t>
      </w:r>
      <w:r w:rsidR="00541D05">
        <w:t xml:space="preserve"> </w:t>
      </w:r>
      <w:r w:rsidR="00D9258C" w:rsidRPr="00FD6A6A">
        <w:t>thousand</w:t>
      </w:r>
      <w:r w:rsidR="00541D05">
        <w:t xml:space="preserve"> </w:t>
      </w:r>
      <w:r w:rsidR="00D9258C" w:rsidRPr="00FD6A6A">
        <w:t>inhabitants.</w:t>
      </w:r>
      <w:r w:rsidR="00541D05">
        <w:t xml:space="preserve"> </w:t>
      </w:r>
      <w:r w:rsidR="00D9258C" w:rsidRPr="00FD6A6A">
        <w:t>The</w:t>
      </w:r>
      <w:r w:rsidR="00541D05">
        <w:t xml:space="preserve"> </w:t>
      </w:r>
      <w:r w:rsidR="00D9258C" w:rsidRPr="00FD6A6A">
        <w:t>Calon</w:t>
      </w:r>
      <w:r w:rsidR="00541D05">
        <w:t xml:space="preserve"> </w:t>
      </w:r>
      <w:r w:rsidR="00D9258C" w:rsidRPr="00FD6A6A">
        <w:t>camps</w:t>
      </w:r>
      <w:r w:rsidR="00541D05">
        <w:t xml:space="preserve"> </w:t>
      </w:r>
      <w:r w:rsidR="00D9258C" w:rsidRPr="00FD6A6A">
        <w:t>are</w:t>
      </w:r>
      <w:r w:rsidR="00541D05">
        <w:t xml:space="preserve"> </w:t>
      </w:r>
      <w:r w:rsidR="00D9258C" w:rsidRPr="00FD6A6A">
        <w:t>usually</w:t>
      </w:r>
      <w:r w:rsidR="00541D05">
        <w:t xml:space="preserve"> </w:t>
      </w:r>
      <w:r w:rsidR="00D9258C" w:rsidRPr="00FD6A6A">
        <w:t>built</w:t>
      </w:r>
      <w:r w:rsidR="00541D05">
        <w:t xml:space="preserve"> </w:t>
      </w:r>
      <w:r w:rsidR="00D9258C" w:rsidRPr="00FD6A6A">
        <w:t>in</w:t>
      </w:r>
      <w:r w:rsidR="00541D05">
        <w:t xml:space="preserve"> </w:t>
      </w:r>
      <w:r w:rsidR="00D9258C" w:rsidRPr="00FD6A6A">
        <w:t>the</w:t>
      </w:r>
      <w:r w:rsidR="00541D05">
        <w:t xml:space="preserve"> </w:t>
      </w:r>
      <w:r w:rsidR="00D9258C" w:rsidRPr="00FD6A6A">
        <w:t>outskirts</w:t>
      </w:r>
      <w:r w:rsidR="00541D05">
        <w:t xml:space="preserve"> </w:t>
      </w:r>
      <w:r w:rsidR="00D9258C" w:rsidRPr="00FD6A6A">
        <w:t>of</w:t>
      </w:r>
      <w:r w:rsidR="00541D05">
        <w:t xml:space="preserve"> </w:t>
      </w:r>
      <w:r w:rsidR="00D9258C" w:rsidRPr="00FD6A6A">
        <w:t>small</w:t>
      </w:r>
      <w:r w:rsidR="00541D05">
        <w:t xml:space="preserve"> </w:t>
      </w:r>
      <w:r w:rsidR="00D9258C" w:rsidRPr="00FD6A6A">
        <w:t>cities,</w:t>
      </w:r>
      <w:r w:rsidR="00541D05">
        <w:t xml:space="preserve"> </w:t>
      </w:r>
      <w:r w:rsidR="00D9258C" w:rsidRPr="00FD6A6A">
        <w:t>where</w:t>
      </w:r>
      <w:r w:rsidR="00541D05">
        <w:t xml:space="preserve"> </w:t>
      </w:r>
      <w:r w:rsidR="00D9258C" w:rsidRPr="00FD6A6A">
        <w:t>there</w:t>
      </w:r>
      <w:r w:rsidR="00541D05">
        <w:t xml:space="preserve"> </w:t>
      </w:r>
      <w:r w:rsidR="00D9258C" w:rsidRPr="00FD6A6A">
        <w:t>are</w:t>
      </w:r>
      <w:r w:rsidR="00541D05">
        <w:t xml:space="preserve"> </w:t>
      </w:r>
      <w:r w:rsidR="00D9258C" w:rsidRPr="00FD6A6A">
        <w:t>semi-rural</w:t>
      </w:r>
      <w:r w:rsidR="00541D05">
        <w:t xml:space="preserve"> </w:t>
      </w:r>
      <w:r w:rsidR="00D9258C" w:rsidRPr="00FD6A6A">
        <w:t>areas</w:t>
      </w:r>
      <w:r w:rsidR="00541D05">
        <w:t xml:space="preserve"> </w:t>
      </w:r>
      <w:r w:rsidR="00D9258C" w:rsidRPr="00FD6A6A">
        <w:t>that</w:t>
      </w:r>
      <w:r w:rsidR="00541D05">
        <w:t xml:space="preserve"> </w:t>
      </w:r>
      <w:r w:rsidR="00D9258C" w:rsidRPr="00FD6A6A">
        <w:t>enable</w:t>
      </w:r>
      <w:r w:rsidR="00541D05">
        <w:t xml:space="preserve"> </w:t>
      </w:r>
      <w:r w:rsidR="00D9258C" w:rsidRPr="00FD6A6A">
        <w:t>construction</w:t>
      </w:r>
      <w:r w:rsidR="00541D05">
        <w:t xml:space="preserve"> </w:t>
      </w:r>
      <w:r w:rsidR="00D9258C" w:rsidRPr="00FD6A6A">
        <w:t>of</w:t>
      </w:r>
      <w:r w:rsidR="00541D05">
        <w:t xml:space="preserve"> </w:t>
      </w:r>
      <w:r w:rsidR="00D9258C" w:rsidRPr="00FD6A6A">
        <w:t>homes</w:t>
      </w:r>
      <w:r w:rsidR="00541D05">
        <w:t xml:space="preserve"> </w:t>
      </w:r>
      <w:r w:rsidR="00D9258C" w:rsidRPr="00FD6A6A">
        <w:t>and</w:t>
      </w:r>
      <w:r w:rsidR="00541D05">
        <w:t xml:space="preserve"> </w:t>
      </w:r>
      <w:r w:rsidR="00D9258C" w:rsidRPr="00FD6A6A">
        <w:t>trade</w:t>
      </w:r>
      <w:r w:rsidR="00541D05">
        <w:t xml:space="preserve"> </w:t>
      </w:r>
      <w:r w:rsidR="00D9258C" w:rsidRPr="00FD6A6A">
        <w:t>networks</w:t>
      </w:r>
      <w:r w:rsidR="00541D05">
        <w:t xml:space="preserve"> </w:t>
      </w:r>
      <w:r w:rsidR="00D9258C" w:rsidRPr="00FD6A6A">
        <w:t>with</w:t>
      </w:r>
      <w:r w:rsidR="00541D05">
        <w:t xml:space="preserve"> </w:t>
      </w:r>
      <w:r w:rsidR="00D9258C" w:rsidRPr="00FD6A6A">
        <w:t>the</w:t>
      </w:r>
      <w:r w:rsidR="00541D05">
        <w:t xml:space="preserve"> </w:t>
      </w:r>
      <w:r w:rsidR="00D9258C" w:rsidRPr="00FD6A6A">
        <w:t>urban</w:t>
      </w:r>
      <w:r w:rsidR="00541D05">
        <w:t xml:space="preserve"> </w:t>
      </w:r>
      <w:r w:rsidR="00D9258C" w:rsidRPr="00FD6A6A">
        <w:t>environment.</w:t>
      </w:r>
      <w:r w:rsidR="00541D05">
        <w:t xml:space="preserve"> </w:t>
      </w:r>
      <w:r w:rsidR="00D9258C" w:rsidRPr="00FD6A6A">
        <w:t>Hand-made</w:t>
      </w:r>
      <w:r w:rsidR="00541D05">
        <w:t xml:space="preserve"> </w:t>
      </w:r>
      <w:r w:rsidR="00D9258C" w:rsidRPr="00FD6A6A">
        <w:t>products,</w:t>
      </w:r>
      <w:r w:rsidR="00541D05">
        <w:t xml:space="preserve"> </w:t>
      </w:r>
      <w:r w:rsidR="00D9258C" w:rsidRPr="00FD6A6A">
        <w:t>which</w:t>
      </w:r>
      <w:r w:rsidR="00541D05">
        <w:t xml:space="preserve"> </w:t>
      </w:r>
      <w:r w:rsidR="00D9258C" w:rsidRPr="00FD6A6A">
        <w:t>represent</w:t>
      </w:r>
      <w:r w:rsidR="00541D05">
        <w:t xml:space="preserve"> </w:t>
      </w:r>
      <w:r w:rsidR="00D9258C" w:rsidRPr="00FD6A6A">
        <w:t>Romani</w:t>
      </w:r>
      <w:r w:rsidR="00541D05">
        <w:t xml:space="preserve"> </w:t>
      </w:r>
      <w:r w:rsidR="00D9258C" w:rsidRPr="00FD6A6A">
        <w:t>cultures,</w:t>
      </w:r>
      <w:r w:rsidR="00541D05">
        <w:t xml:space="preserve"> </w:t>
      </w:r>
      <w:r w:rsidR="00D9258C" w:rsidRPr="00FD6A6A">
        <w:t>are</w:t>
      </w:r>
      <w:r w:rsidR="00541D05">
        <w:t xml:space="preserve"> </w:t>
      </w:r>
      <w:r w:rsidR="00D9258C" w:rsidRPr="00FD6A6A">
        <w:t>sold</w:t>
      </w:r>
      <w:r w:rsidR="00541D05">
        <w:t xml:space="preserve"> </w:t>
      </w:r>
      <w:r w:rsidR="00D9258C" w:rsidRPr="00FD6A6A">
        <w:t>in</w:t>
      </w:r>
      <w:r w:rsidR="00541D05">
        <w:t xml:space="preserve"> </w:t>
      </w:r>
      <w:r w:rsidR="00D9258C" w:rsidRPr="00FD6A6A">
        <w:t>neighboring</w:t>
      </w:r>
      <w:r w:rsidR="00541D05">
        <w:t xml:space="preserve"> </w:t>
      </w:r>
      <w:r w:rsidR="00D9258C" w:rsidRPr="00FD6A6A">
        <w:t>cities,</w:t>
      </w:r>
      <w:r w:rsidR="00541D05">
        <w:t xml:space="preserve"> </w:t>
      </w:r>
      <w:r w:rsidR="00D9258C" w:rsidRPr="00FD6A6A">
        <w:t>which</w:t>
      </w:r>
      <w:r w:rsidR="00541D05">
        <w:t xml:space="preserve"> </w:t>
      </w:r>
      <w:r w:rsidR="00D9258C" w:rsidRPr="00FD6A6A">
        <w:t>does</w:t>
      </w:r>
      <w:r w:rsidR="00541D05">
        <w:t xml:space="preserve"> </w:t>
      </w:r>
      <w:r w:rsidR="00D9258C" w:rsidRPr="00FD6A6A">
        <w:t>not</w:t>
      </w:r>
      <w:r w:rsidR="00541D05">
        <w:t xml:space="preserve"> </w:t>
      </w:r>
      <w:r w:rsidR="00D9258C" w:rsidRPr="00FD6A6A">
        <w:t>preclude</w:t>
      </w:r>
      <w:r w:rsidR="00541D05">
        <w:t xml:space="preserve"> </w:t>
      </w:r>
      <w:r w:rsidR="00D9258C" w:rsidRPr="00FD6A6A">
        <w:t>the</w:t>
      </w:r>
      <w:r w:rsidR="00541D05">
        <w:t xml:space="preserve"> </w:t>
      </w:r>
      <w:r w:rsidR="00D9258C" w:rsidRPr="00FD6A6A">
        <w:t>sale</w:t>
      </w:r>
      <w:r w:rsidR="00541D05">
        <w:t xml:space="preserve"> </w:t>
      </w:r>
      <w:r w:rsidR="00D9258C" w:rsidRPr="00FD6A6A">
        <w:t>of</w:t>
      </w:r>
      <w:r w:rsidR="00541D05">
        <w:t xml:space="preserve"> </w:t>
      </w:r>
      <w:r w:rsidR="00D9258C" w:rsidRPr="00FD6A6A">
        <w:t>other</w:t>
      </w:r>
      <w:r w:rsidR="00541D05">
        <w:t xml:space="preserve"> </w:t>
      </w:r>
      <w:r w:rsidR="00D9258C" w:rsidRPr="00FD6A6A">
        <w:t>types</w:t>
      </w:r>
      <w:r w:rsidR="00541D05">
        <w:t xml:space="preserve"> </w:t>
      </w:r>
      <w:r w:rsidR="00D9258C" w:rsidRPr="00FD6A6A">
        <w:t>of</w:t>
      </w:r>
      <w:r w:rsidR="00541D05">
        <w:t xml:space="preserve"> </w:t>
      </w:r>
      <w:r w:rsidR="00D9258C" w:rsidRPr="00FD6A6A">
        <w:t>products</w:t>
      </w:r>
      <w:r w:rsidR="00541D05">
        <w:t xml:space="preserve"> </w:t>
      </w:r>
      <w:r w:rsidR="00D9258C" w:rsidRPr="00FD6A6A">
        <w:t>that</w:t>
      </w:r>
      <w:r w:rsidR="00541D05">
        <w:t xml:space="preserve"> </w:t>
      </w:r>
      <w:r w:rsidR="00D9258C" w:rsidRPr="00FD6A6A">
        <w:t>are</w:t>
      </w:r>
      <w:r w:rsidR="00541D05">
        <w:t xml:space="preserve"> </w:t>
      </w:r>
      <w:r w:rsidR="00D9258C" w:rsidRPr="00FD6A6A">
        <w:t>common</w:t>
      </w:r>
      <w:r w:rsidR="00541D05">
        <w:t xml:space="preserve"> </w:t>
      </w:r>
      <w:r w:rsidR="00D9258C" w:rsidRPr="00FD6A6A">
        <w:t>to</w:t>
      </w:r>
      <w:r w:rsidR="00541D05">
        <w:t xml:space="preserve"> </w:t>
      </w:r>
      <w:r w:rsidR="00D9258C" w:rsidRPr="00FD6A6A">
        <w:t>the</w:t>
      </w:r>
      <w:r w:rsidR="00541D05">
        <w:t xml:space="preserve"> </w:t>
      </w:r>
      <w:r w:rsidR="00D9258C" w:rsidRPr="00FD6A6A">
        <w:t>Romani</w:t>
      </w:r>
      <w:r w:rsidR="00541D05">
        <w:t xml:space="preserve"> </w:t>
      </w:r>
      <w:r w:rsidR="00D9258C" w:rsidRPr="00FD6A6A">
        <w:t>lifestyle,</w:t>
      </w:r>
      <w:r w:rsidR="00541D05">
        <w:t xml:space="preserve"> </w:t>
      </w:r>
      <w:r w:rsidR="00D9258C" w:rsidRPr="00FD6A6A">
        <w:t>such</w:t>
      </w:r>
      <w:r w:rsidR="00541D05">
        <w:t xml:space="preserve"> </w:t>
      </w:r>
      <w:r w:rsidR="00D9258C" w:rsidRPr="00FD6A6A">
        <w:t>as</w:t>
      </w:r>
      <w:r w:rsidR="00541D05">
        <w:t xml:space="preserve"> </w:t>
      </w:r>
      <w:r w:rsidR="00D9258C" w:rsidRPr="00FD6A6A">
        <w:t>clothing,</w:t>
      </w:r>
      <w:r w:rsidR="00541D05">
        <w:t xml:space="preserve"> </w:t>
      </w:r>
      <w:r w:rsidR="00D9258C" w:rsidRPr="00FD6A6A">
        <w:t>domestic</w:t>
      </w:r>
      <w:r w:rsidR="00541D05">
        <w:t xml:space="preserve"> </w:t>
      </w:r>
      <w:r w:rsidR="00D9258C" w:rsidRPr="00FD6A6A">
        <w:t>utensils,</w:t>
      </w:r>
      <w:r w:rsidR="00541D05">
        <w:t xml:space="preserve"> </w:t>
      </w:r>
      <w:r w:rsidR="00D9258C" w:rsidRPr="00FD6A6A">
        <w:t>and</w:t>
      </w:r>
      <w:r w:rsidR="00541D05">
        <w:t xml:space="preserve"> </w:t>
      </w:r>
      <w:r w:rsidR="00D9258C" w:rsidRPr="00FD6A6A">
        <w:t>produce.</w:t>
      </w:r>
      <w:r w:rsidR="00541D05">
        <w:t xml:space="preserve"> </w:t>
      </w:r>
      <w:r w:rsidR="00D9258C" w:rsidRPr="00FD6A6A">
        <w:t>However,</w:t>
      </w:r>
      <w:r w:rsidR="00541D05">
        <w:t xml:space="preserve"> </w:t>
      </w:r>
      <w:r w:rsidR="00D9258C" w:rsidRPr="00FD6A6A">
        <w:t>women</w:t>
      </w:r>
      <w:r w:rsidR="00541D05">
        <w:t xml:space="preserve"> </w:t>
      </w:r>
      <w:r w:rsidR="00D9258C" w:rsidRPr="00FD6A6A">
        <w:t>have</w:t>
      </w:r>
      <w:r w:rsidR="00541D05">
        <w:t xml:space="preserve"> </w:t>
      </w:r>
      <w:r w:rsidR="00D9258C" w:rsidRPr="00FD6A6A">
        <w:t>more</w:t>
      </w:r>
      <w:r w:rsidR="00541D05">
        <w:t xml:space="preserve"> </w:t>
      </w:r>
      <w:r w:rsidR="00D9258C" w:rsidRPr="00FD6A6A">
        <w:t>difficulties</w:t>
      </w:r>
      <w:r w:rsidR="00541D05">
        <w:t xml:space="preserve"> </w:t>
      </w:r>
      <w:r w:rsidR="00D9258C" w:rsidRPr="00FD6A6A">
        <w:t>to</w:t>
      </w:r>
      <w:r w:rsidR="00541D05">
        <w:t xml:space="preserve"> </w:t>
      </w:r>
      <w:r w:rsidR="00D9258C" w:rsidRPr="00FD6A6A">
        <w:t>adapt</w:t>
      </w:r>
      <w:r w:rsidR="00541D05">
        <w:t xml:space="preserve"> </w:t>
      </w:r>
      <w:r w:rsidR="00D9258C" w:rsidRPr="00FD6A6A">
        <w:t>to</w:t>
      </w:r>
      <w:r w:rsidR="00541D05">
        <w:t xml:space="preserve"> </w:t>
      </w:r>
      <w:r w:rsidR="00D9258C" w:rsidRPr="00FD6A6A">
        <w:t>the</w:t>
      </w:r>
      <w:r w:rsidR="00541D05">
        <w:t xml:space="preserve"> </w:t>
      </w:r>
      <w:r w:rsidR="00D9258C" w:rsidRPr="00FD6A6A">
        <w:t>new</w:t>
      </w:r>
      <w:r w:rsidR="00541D05">
        <w:t xml:space="preserve"> </w:t>
      </w:r>
      <w:r w:rsidR="00D9258C" w:rsidRPr="00FD6A6A">
        <w:t>forms</w:t>
      </w:r>
      <w:r w:rsidR="00541D05">
        <w:t xml:space="preserve"> </w:t>
      </w:r>
      <w:r w:rsidR="00D9258C" w:rsidRPr="00FD6A6A">
        <w:t>of</w:t>
      </w:r>
      <w:r w:rsidR="00541D05">
        <w:t xml:space="preserve"> </w:t>
      </w:r>
      <w:r w:rsidR="00D9258C" w:rsidRPr="00FD6A6A">
        <w:t>trade.</w:t>
      </w:r>
    </w:p>
    <w:p w14:paraId="233F49DC" w14:textId="45360E98" w:rsidR="00D9258C" w:rsidRPr="00FD6A6A" w:rsidRDefault="00166390" w:rsidP="00166390">
      <w:pPr>
        <w:pStyle w:val="ParaNoG"/>
        <w:numPr>
          <w:ilvl w:val="0"/>
          <w:numId w:val="0"/>
        </w:numPr>
        <w:tabs>
          <w:tab w:val="left" w:pos="0"/>
        </w:tabs>
        <w:ind w:left="1134"/>
      </w:pPr>
      <w:r w:rsidRPr="00FD6A6A">
        <w:t>156.</w:t>
      </w:r>
      <w:r w:rsidRPr="00FD6A6A">
        <w:tab/>
      </w:r>
      <w:r w:rsidR="00D9258C" w:rsidRPr="00FD6A6A">
        <w:t>The</w:t>
      </w:r>
      <w:r w:rsidR="00541D05">
        <w:t xml:space="preserve"> </w:t>
      </w:r>
      <w:r w:rsidR="00D9258C" w:rsidRPr="00FD6A6A">
        <w:t>Calon</w:t>
      </w:r>
      <w:r w:rsidR="00541D05">
        <w:t xml:space="preserve"> </w:t>
      </w:r>
      <w:r w:rsidR="00D9258C" w:rsidRPr="00FD6A6A">
        <w:t>migration</w:t>
      </w:r>
      <w:r w:rsidR="00541D05">
        <w:t xml:space="preserve"> </w:t>
      </w:r>
      <w:r w:rsidR="00D9258C" w:rsidRPr="00FD6A6A">
        <w:t>to</w:t>
      </w:r>
      <w:r w:rsidR="00541D05">
        <w:t xml:space="preserve"> </w:t>
      </w:r>
      <w:r w:rsidR="00D9258C" w:rsidRPr="00FD6A6A">
        <w:t>medium</w:t>
      </w:r>
      <w:r w:rsidR="00541D05">
        <w:t xml:space="preserve"> </w:t>
      </w:r>
      <w:r w:rsidR="00D9258C" w:rsidRPr="00FD6A6A">
        <w:t>cities,</w:t>
      </w:r>
      <w:r w:rsidR="00541D05">
        <w:t xml:space="preserve"> </w:t>
      </w:r>
      <w:r w:rsidR="00D9258C" w:rsidRPr="00FD6A6A">
        <w:t>with</w:t>
      </w:r>
      <w:r w:rsidR="00541D05">
        <w:t xml:space="preserve"> </w:t>
      </w:r>
      <w:r w:rsidR="00D9258C" w:rsidRPr="00FD6A6A">
        <w:t>population</w:t>
      </w:r>
      <w:r w:rsidR="00541D05">
        <w:t xml:space="preserve"> </w:t>
      </w:r>
      <w:r w:rsidR="00D9258C" w:rsidRPr="00FD6A6A">
        <w:t>between</w:t>
      </w:r>
      <w:r w:rsidR="00541D05">
        <w:t xml:space="preserve"> </w:t>
      </w:r>
      <w:r w:rsidR="00D9258C" w:rsidRPr="00FD6A6A">
        <w:t>100</w:t>
      </w:r>
      <w:r w:rsidR="00541D05">
        <w:t xml:space="preserve"> </w:t>
      </w:r>
      <w:r w:rsidR="00D9258C" w:rsidRPr="00FD6A6A">
        <w:t>and</w:t>
      </w:r>
      <w:r w:rsidR="00541D05">
        <w:t xml:space="preserve"> </w:t>
      </w:r>
      <w:r w:rsidR="00D9258C" w:rsidRPr="00FD6A6A">
        <w:t>200</w:t>
      </w:r>
      <w:r w:rsidR="00541D05">
        <w:t xml:space="preserve"> </w:t>
      </w:r>
      <w:r w:rsidR="00D9258C" w:rsidRPr="00FD6A6A">
        <w:t>thousand</w:t>
      </w:r>
      <w:r w:rsidR="00541D05">
        <w:t xml:space="preserve"> </w:t>
      </w:r>
      <w:r w:rsidR="00D9258C" w:rsidRPr="00FD6A6A">
        <w:t>inhabitants,</w:t>
      </w:r>
      <w:r w:rsidR="00541D05">
        <w:t xml:space="preserve"> </w:t>
      </w:r>
      <w:r w:rsidR="00D9258C" w:rsidRPr="00FD6A6A">
        <w:t>around</w:t>
      </w:r>
      <w:r w:rsidR="00541D05">
        <w:t xml:space="preserve"> </w:t>
      </w:r>
      <w:r w:rsidR="00D9258C" w:rsidRPr="00FD6A6A">
        <w:t>state</w:t>
      </w:r>
      <w:r w:rsidR="00541D05">
        <w:t xml:space="preserve"> </w:t>
      </w:r>
      <w:r w:rsidR="00D9258C" w:rsidRPr="00FD6A6A">
        <w:t>capitals</w:t>
      </w:r>
      <w:r w:rsidR="00541D05">
        <w:t xml:space="preserve"> </w:t>
      </w:r>
      <w:r w:rsidR="00D9258C" w:rsidRPr="00FD6A6A">
        <w:t>and</w:t>
      </w:r>
      <w:r w:rsidR="00541D05">
        <w:t xml:space="preserve"> </w:t>
      </w:r>
      <w:r w:rsidR="00D9258C" w:rsidRPr="00FD6A6A">
        <w:t>the</w:t>
      </w:r>
      <w:r w:rsidR="00541D05">
        <w:t xml:space="preserve"> </w:t>
      </w:r>
      <w:r w:rsidR="00D9258C" w:rsidRPr="00FD6A6A">
        <w:t>Federal</w:t>
      </w:r>
      <w:r w:rsidR="00541D05">
        <w:t xml:space="preserve"> </w:t>
      </w:r>
      <w:r w:rsidR="00D9258C" w:rsidRPr="00FD6A6A">
        <w:t>District</w:t>
      </w:r>
      <w:r w:rsidR="00541D05">
        <w:t xml:space="preserve"> </w:t>
      </w:r>
      <w:r w:rsidR="00D9258C" w:rsidRPr="00FD6A6A">
        <w:t>was</w:t>
      </w:r>
      <w:r w:rsidR="00541D05">
        <w:t xml:space="preserve"> </w:t>
      </w:r>
      <w:r w:rsidR="00D9258C" w:rsidRPr="00FD6A6A">
        <w:t>also</w:t>
      </w:r>
      <w:r w:rsidR="00541D05">
        <w:t xml:space="preserve"> </w:t>
      </w:r>
      <w:r w:rsidR="00D9258C" w:rsidRPr="00FD6A6A">
        <w:t>evidenced</w:t>
      </w:r>
      <w:r w:rsidR="00541D05">
        <w:t xml:space="preserve"> </w:t>
      </w:r>
      <w:r w:rsidR="00D9258C" w:rsidRPr="00FD6A6A">
        <w:t>in</w:t>
      </w:r>
      <w:r w:rsidR="00541D05">
        <w:t xml:space="preserve"> </w:t>
      </w:r>
      <w:r w:rsidR="00D9258C" w:rsidRPr="00FD6A6A">
        <w:t>later</w:t>
      </w:r>
      <w:r w:rsidR="00541D05">
        <w:t xml:space="preserve"> </w:t>
      </w:r>
      <w:r w:rsidR="00D9258C" w:rsidRPr="00FD6A6A">
        <w:t>researches.</w:t>
      </w:r>
      <w:r w:rsidR="00541D05">
        <w:t xml:space="preserve"> </w:t>
      </w:r>
      <w:r w:rsidR="00D9258C" w:rsidRPr="00FD6A6A">
        <w:t>In</w:t>
      </w:r>
      <w:r w:rsidR="00541D05">
        <w:t xml:space="preserve"> </w:t>
      </w:r>
      <w:r w:rsidR="00D9258C" w:rsidRPr="00FD6A6A">
        <w:t>these</w:t>
      </w:r>
      <w:r w:rsidR="00541D05">
        <w:t xml:space="preserve"> </w:t>
      </w:r>
      <w:r w:rsidR="00D9258C" w:rsidRPr="00FD6A6A">
        <w:t>cases,</w:t>
      </w:r>
      <w:r w:rsidR="00541D05">
        <w:t xml:space="preserve"> </w:t>
      </w:r>
      <w:r w:rsidR="00D9258C" w:rsidRPr="00FD6A6A">
        <w:t>Calon</w:t>
      </w:r>
      <w:r w:rsidR="00541D05">
        <w:t xml:space="preserve"> </w:t>
      </w:r>
      <w:r w:rsidR="00D9258C" w:rsidRPr="00FD6A6A">
        <w:t>families</w:t>
      </w:r>
      <w:r w:rsidR="00541D05">
        <w:t xml:space="preserve"> </w:t>
      </w:r>
      <w:r w:rsidR="00D9258C" w:rsidRPr="00FD6A6A">
        <w:t>organized</w:t>
      </w:r>
      <w:r w:rsidR="00541D05">
        <w:t xml:space="preserve"> </w:t>
      </w:r>
      <w:r w:rsidR="00D9258C" w:rsidRPr="00FD6A6A">
        <w:t>in</w:t>
      </w:r>
      <w:r w:rsidR="00541D05">
        <w:t xml:space="preserve"> </w:t>
      </w:r>
      <w:r w:rsidR="00D9258C" w:rsidRPr="00FD6A6A">
        <w:t>camps</w:t>
      </w:r>
      <w:r w:rsidR="00541D05">
        <w:t xml:space="preserve"> </w:t>
      </w:r>
      <w:r w:rsidR="00D9258C" w:rsidRPr="00FD6A6A">
        <w:t>have</w:t>
      </w:r>
      <w:r w:rsidR="00541D05">
        <w:t xml:space="preserve"> </w:t>
      </w:r>
      <w:r w:rsidR="00D9258C" w:rsidRPr="00FD6A6A">
        <w:t>chosen</w:t>
      </w:r>
      <w:r w:rsidR="00541D05">
        <w:t xml:space="preserve"> </w:t>
      </w:r>
      <w:r w:rsidR="00D9258C" w:rsidRPr="00FD6A6A">
        <w:t>to</w:t>
      </w:r>
      <w:r w:rsidR="00541D05">
        <w:t xml:space="preserve"> </w:t>
      </w:r>
      <w:r w:rsidR="00D9258C" w:rsidRPr="00FD6A6A">
        <w:t>stay,</w:t>
      </w:r>
      <w:r w:rsidR="00541D05">
        <w:t xml:space="preserve"> </w:t>
      </w:r>
      <w:r w:rsidR="00D9258C" w:rsidRPr="00FD6A6A">
        <w:t>which</w:t>
      </w:r>
      <w:r w:rsidR="00541D05">
        <w:t xml:space="preserve"> </w:t>
      </w:r>
      <w:r w:rsidR="00D9258C" w:rsidRPr="00FD6A6A">
        <w:t>has</w:t>
      </w:r>
      <w:r w:rsidR="00541D05">
        <w:t xml:space="preserve"> </w:t>
      </w:r>
      <w:r w:rsidR="00D9258C" w:rsidRPr="00FD6A6A">
        <w:t>entailed</w:t>
      </w:r>
      <w:r w:rsidR="00541D05">
        <w:t xml:space="preserve"> </w:t>
      </w:r>
      <w:r w:rsidR="00D9258C" w:rsidRPr="00FD6A6A">
        <w:t>conflicts</w:t>
      </w:r>
      <w:r w:rsidR="00541D05">
        <w:t xml:space="preserve"> </w:t>
      </w:r>
      <w:r w:rsidR="00D9258C" w:rsidRPr="00FD6A6A">
        <w:t>with</w:t>
      </w:r>
      <w:r w:rsidR="00541D05">
        <w:t xml:space="preserve"> </w:t>
      </w:r>
      <w:r w:rsidR="00D9258C" w:rsidRPr="00FD6A6A">
        <w:t>the</w:t>
      </w:r>
      <w:r w:rsidR="00541D05">
        <w:t xml:space="preserve"> </w:t>
      </w:r>
      <w:r w:rsidR="00D9258C" w:rsidRPr="00FD6A6A">
        <w:t>local</w:t>
      </w:r>
      <w:r w:rsidR="00541D05">
        <w:t xml:space="preserve"> </w:t>
      </w:r>
      <w:r w:rsidR="00D9258C" w:rsidRPr="00FD6A6A">
        <w:t>population</w:t>
      </w:r>
      <w:r w:rsidR="00541D05">
        <w:t xml:space="preserve"> </w:t>
      </w:r>
      <w:r w:rsidR="00D9258C" w:rsidRPr="00FD6A6A">
        <w:t>neighboring</w:t>
      </w:r>
      <w:r w:rsidR="00541D05">
        <w:t xml:space="preserve"> </w:t>
      </w:r>
      <w:r w:rsidR="00D9258C" w:rsidRPr="00FD6A6A">
        <w:t>the</w:t>
      </w:r>
      <w:r w:rsidR="00541D05">
        <w:t xml:space="preserve"> </w:t>
      </w:r>
      <w:r w:rsidR="00D9258C" w:rsidRPr="00FD6A6A">
        <w:t>areas.</w:t>
      </w:r>
      <w:r w:rsidR="00541D05">
        <w:t xml:space="preserve"> </w:t>
      </w:r>
      <w:r w:rsidR="00D9258C" w:rsidRPr="00FD6A6A">
        <w:t>Some</w:t>
      </w:r>
      <w:r w:rsidR="00541D05">
        <w:t xml:space="preserve"> </w:t>
      </w:r>
      <w:r w:rsidR="00D9258C" w:rsidRPr="00FD6A6A">
        <w:t>land</w:t>
      </w:r>
      <w:r w:rsidR="00541D05">
        <w:t xml:space="preserve"> </w:t>
      </w:r>
      <w:r w:rsidR="00D9258C" w:rsidRPr="00FD6A6A">
        <w:t>regularization</w:t>
      </w:r>
      <w:r w:rsidR="00541D05">
        <w:t xml:space="preserve"> </w:t>
      </w:r>
      <w:r w:rsidR="00D9258C" w:rsidRPr="00FD6A6A">
        <w:t>proceedings</w:t>
      </w:r>
      <w:r w:rsidR="00541D05">
        <w:t xml:space="preserve"> </w:t>
      </w:r>
      <w:r w:rsidR="00D9258C" w:rsidRPr="00FD6A6A">
        <w:t>have</w:t>
      </w:r>
      <w:r w:rsidR="00541D05">
        <w:t xml:space="preserve"> </w:t>
      </w:r>
      <w:r w:rsidR="00D9258C" w:rsidRPr="00FD6A6A">
        <w:t>been</w:t>
      </w:r>
      <w:r w:rsidR="00541D05">
        <w:t xml:space="preserve"> </w:t>
      </w:r>
      <w:r w:rsidR="00D9258C" w:rsidRPr="00FD6A6A">
        <w:t>filed,</w:t>
      </w:r>
      <w:r w:rsidR="00541D05">
        <w:t xml:space="preserve"> </w:t>
      </w:r>
      <w:r w:rsidR="00D9258C" w:rsidRPr="00FD6A6A">
        <w:t>with</w:t>
      </w:r>
      <w:r w:rsidR="00541D05">
        <w:t xml:space="preserve"> </w:t>
      </w:r>
      <w:r w:rsidR="00D9258C" w:rsidRPr="00FD6A6A">
        <w:t>the</w:t>
      </w:r>
      <w:r w:rsidR="00541D05">
        <w:t xml:space="preserve"> </w:t>
      </w:r>
      <w:r w:rsidR="00D9258C" w:rsidRPr="00FD6A6A">
        <w:t>Government</w:t>
      </w:r>
      <w:r w:rsidR="00EA62F1">
        <w:t>’</w:t>
      </w:r>
      <w:r w:rsidR="00D9258C" w:rsidRPr="00FD6A6A">
        <w:t>s</w:t>
      </w:r>
      <w:r w:rsidR="00541D05">
        <w:t xml:space="preserve"> </w:t>
      </w:r>
      <w:r w:rsidR="00D9258C" w:rsidRPr="00FD6A6A">
        <w:t>intervention,</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lastRenderedPageBreak/>
        <w:t>of</w:t>
      </w:r>
      <w:r w:rsidR="00541D05">
        <w:t xml:space="preserve"> </w:t>
      </w:r>
      <w:r w:rsidR="00D9258C" w:rsidRPr="00FD6A6A">
        <w:t>these</w:t>
      </w:r>
      <w:r w:rsidR="00541D05">
        <w:t xml:space="preserve"> </w:t>
      </w:r>
      <w:r w:rsidR="00D9258C" w:rsidRPr="00FD6A6A">
        <w:t>conflicts,</w:t>
      </w:r>
      <w:r w:rsidR="00541D05">
        <w:t xml:space="preserve"> </w:t>
      </w:r>
      <w:r w:rsidR="00D9258C" w:rsidRPr="00FD6A6A">
        <w:t>although</w:t>
      </w:r>
      <w:r w:rsidR="00541D05">
        <w:t xml:space="preserve"> </w:t>
      </w:r>
      <w:r w:rsidR="00D9258C" w:rsidRPr="00FD6A6A">
        <w:t>most</w:t>
      </w:r>
      <w:r w:rsidR="00541D05">
        <w:t xml:space="preserve"> </w:t>
      </w:r>
      <w:r w:rsidR="00D9258C" w:rsidRPr="00FD6A6A">
        <w:t>Roma</w:t>
      </w:r>
      <w:r w:rsidR="00541D05">
        <w:t xml:space="preserve"> </w:t>
      </w:r>
      <w:r w:rsidR="00D9258C" w:rsidRPr="00FD6A6A">
        <w:t>families</w:t>
      </w:r>
      <w:r w:rsidR="00541D05">
        <w:t xml:space="preserve"> </w:t>
      </w:r>
      <w:r w:rsidR="00D9258C" w:rsidRPr="00FD6A6A">
        <w:t>settled</w:t>
      </w:r>
      <w:r w:rsidR="00541D05">
        <w:t xml:space="preserve"> </w:t>
      </w:r>
      <w:r w:rsidR="00D9258C" w:rsidRPr="00FD6A6A">
        <w:t>are</w:t>
      </w:r>
      <w:r w:rsidR="00541D05">
        <w:t xml:space="preserve"> </w:t>
      </w:r>
      <w:r w:rsidR="00D9258C" w:rsidRPr="00FD6A6A">
        <w:t>still</w:t>
      </w:r>
      <w:r w:rsidR="00541D05">
        <w:t xml:space="preserve"> </w:t>
      </w:r>
      <w:r w:rsidR="00D9258C" w:rsidRPr="00FD6A6A">
        <w:t>in</w:t>
      </w:r>
      <w:r w:rsidR="00541D05">
        <w:t xml:space="preserve"> </w:t>
      </w:r>
      <w:r w:rsidR="00D9258C" w:rsidRPr="00FD6A6A">
        <w:t>conflict</w:t>
      </w:r>
      <w:r w:rsidR="00541D05">
        <w:t xml:space="preserve"> </w:t>
      </w:r>
      <w:r w:rsidR="00D9258C" w:rsidRPr="00FD6A6A">
        <w:t>with</w:t>
      </w:r>
      <w:r w:rsidR="00541D05">
        <w:t xml:space="preserve"> </w:t>
      </w:r>
      <w:r w:rsidR="00D9258C" w:rsidRPr="00FD6A6A">
        <w:t>local</w:t>
      </w:r>
      <w:r w:rsidR="00541D05">
        <w:t xml:space="preserve"> </w:t>
      </w:r>
      <w:r w:rsidR="00D9258C" w:rsidRPr="00FD6A6A">
        <w:t>populations,</w:t>
      </w:r>
      <w:r w:rsidR="00541D05">
        <w:t xml:space="preserve"> </w:t>
      </w:r>
      <w:r w:rsidR="00D9258C" w:rsidRPr="00FD6A6A">
        <w:t>not</w:t>
      </w:r>
      <w:r w:rsidR="00541D05">
        <w:t xml:space="preserve"> </w:t>
      </w:r>
      <w:r w:rsidR="00D9258C" w:rsidRPr="00FD6A6A">
        <w:t>relying</w:t>
      </w:r>
      <w:r w:rsidR="00541D05">
        <w:t xml:space="preserve"> </w:t>
      </w:r>
      <w:r w:rsidR="00D9258C" w:rsidRPr="00FD6A6A">
        <w:t>on</w:t>
      </w:r>
      <w:r w:rsidR="00541D05">
        <w:t xml:space="preserve"> </w:t>
      </w:r>
      <w:r w:rsidR="00D9258C" w:rsidRPr="00FD6A6A">
        <w:t>the</w:t>
      </w:r>
      <w:r w:rsidR="00541D05">
        <w:t xml:space="preserve"> </w:t>
      </w:r>
      <w:r w:rsidR="00D9258C" w:rsidRPr="00FD6A6A">
        <w:t>Government</w:t>
      </w:r>
      <w:r w:rsidR="00EA62F1">
        <w:t>’</w:t>
      </w:r>
      <w:r w:rsidR="00D9258C" w:rsidRPr="00FD6A6A">
        <w:t>s</w:t>
      </w:r>
      <w:r w:rsidR="00541D05">
        <w:t xml:space="preserve"> </w:t>
      </w:r>
      <w:r w:rsidR="00D9258C" w:rsidRPr="00FD6A6A">
        <w:t>intervention.</w:t>
      </w:r>
    </w:p>
    <w:p w14:paraId="4E01442E" w14:textId="085BCF8D" w:rsidR="00D9258C" w:rsidRPr="00FD6A6A" w:rsidRDefault="00166390" w:rsidP="00166390">
      <w:pPr>
        <w:pStyle w:val="ParaNoG"/>
        <w:numPr>
          <w:ilvl w:val="0"/>
          <w:numId w:val="0"/>
        </w:numPr>
        <w:tabs>
          <w:tab w:val="left" w:pos="0"/>
        </w:tabs>
        <w:ind w:left="1134"/>
      </w:pPr>
      <w:r w:rsidRPr="00FD6A6A">
        <w:t>157.</w:t>
      </w:r>
      <w:r w:rsidRPr="00FD6A6A">
        <w:tab/>
      </w:r>
      <w:r w:rsidR="00D9258C" w:rsidRPr="00FD6A6A">
        <w:t>The</w:t>
      </w:r>
      <w:r w:rsidR="00541D05">
        <w:t xml:space="preserve"> </w:t>
      </w:r>
      <w:r w:rsidR="00D9258C" w:rsidRPr="00FD6A6A">
        <w:t>demographic</w:t>
      </w:r>
      <w:r w:rsidR="00541D05">
        <w:t xml:space="preserve"> </w:t>
      </w:r>
      <w:r w:rsidR="00D9258C" w:rsidRPr="00FD6A6A">
        <w:t>data</w:t>
      </w:r>
      <w:r w:rsidR="00541D05">
        <w:t xml:space="preserve"> </w:t>
      </w:r>
      <w:r w:rsidR="00D9258C" w:rsidRPr="00FD6A6A">
        <w:t>available</w:t>
      </w:r>
      <w:r w:rsidR="00541D05">
        <w:t xml:space="preserve"> </w:t>
      </w:r>
      <w:r w:rsidR="00D9258C" w:rsidRPr="00FD6A6A">
        <w:t>only</w:t>
      </w:r>
      <w:r w:rsidR="00541D05">
        <w:t xml:space="preserve"> </w:t>
      </w:r>
      <w:r w:rsidR="00D9258C" w:rsidRPr="00FD6A6A">
        <w:t>account</w:t>
      </w:r>
      <w:r w:rsidR="00541D05">
        <w:t xml:space="preserve"> </w:t>
      </w:r>
      <w:r w:rsidR="00D9258C" w:rsidRPr="00FD6A6A">
        <w:t>for</w:t>
      </w:r>
      <w:r w:rsidR="00541D05">
        <w:t xml:space="preserve"> </w:t>
      </w:r>
      <w:r w:rsidR="00D9258C" w:rsidRPr="00FD6A6A">
        <w:t>the</w:t>
      </w:r>
      <w:r w:rsidR="00541D05">
        <w:t xml:space="preserve"> </w:t>
      </w:r>
      <w:r w:rsidR="00D9258C" w:rsidRPr="00FD6A6A">
        <w:t>age</w:t>
      </w:r>
      <w:r w:rsidR="00541D05">
        <w:t xml:space="preserve"> </w:t>
      </w:r>
      <w:r w:rsidR="00D9258C" w:rsidRPr="00FD6A6A">
        <w:t>structure</w:t>
      </w:r>
      <w:r w:rsidR="00541D05">
        <w:t xml:space="preserve"> </w:t>
      </w:r>
      <w:r w:rsidR="00D9258C" w:rsidRPr="00FD6A6A">
        <w:t>of</w:t>
      </w:r>
      <w:r w:rsidR="00541D05">
        <w:t xml:space="preserve"> </w:t>
      </w:r>
      <w:r w:rsidR="00D9258C" w:rsidRPr="00FD6A6A">
        <w:t>the</w:t>
      </w:r>
      <w:r w:rsidR="00541D05">
        <w:t xml:space="preserve"> </w:t>
      </w:r>
      <w:r w:rsidR="00D9258C" w:rsidRPr="00FD6A6A">
        <w:t>poorest</w:t>
      </w:r>
      <w:r w:rsidR="00541D05">
        <w:t xml:space="preserve"> </w:t>
      </w:r>
      <w:r w:rsidR="00D9258C" w:rsidRPr="00FD6A6A">
        <w:t>portion</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r w:rsidR="00541D05">
        <w:t xml:space="preserve"> </w:t>
      </w:r>
      <w:r w:rsidR="00D9258C" w:rsidRPr="00FD6A6A">
        <w:t>through</w:t>
      </w:r>
      <w:r w:rsidR="00541D05">
        <w:t xml:space="preserve"> </w:t>
      </w:r>
      <w:r w:rsidR="00D9258C" w:rsidRPr="00FD6A6A">
        <w:t>social</w:t>
      </w:r>
      <w:r w:rsidR="00541D05">
        <w:t xml:space="preserve"> </w:t>
      </w:r>
      <w:r w:rsidR="00D9258C" w:rsidRPr="00FD6A6A">
        <w:t>registration.</w:t>
      </w:r>
      <w:r w:rsidR="00541D05">
        <w:t xml:space="preserve"> </w:t>
      </w:r>
      <w:r w:rsidR="00D9258C" w:rsidRPr="00FD6A6A">
        <w:t>For</w:t>
      </w:r>
      <w:r w:rsidR="00541D05">
        <w:t xml:space="preserve"> </w:t>
      </w:r>
      <w:r w:rsidR="00D9258C" w:rsidRPr="00FD6A6A">
        <w:t>females</w:t>
      </w:r>
      <w:r w:rsidR="00541D05">
        <w:t xml:space="preserve"> </w:t>
      </w:r>
      <w:r w:rsidR="00D9258C" w:rsidRPr="00FD6A6A">
        <w:t>and</w:t>
      </w:r>
      <w:r w:rsidR="00541D05">
        <w:t xml:space="preserve"> </w:t>
      </w:r>
      <w:r w:rsidR="00D9258C" w:rsidRPr="00FD6A6A">
        <w:t>males,</w:t>
      </w:r>
      <w:r w:rsidR="00541D05">
        <w:t xml:space="preserve"> </w:t>
      </w:r>
      <w:r w:rsidR="00D9258C" w:rsidRPr="00FD6A6A">
        <w:t>the</w:t>
      </w:r>
      <w:r w:rsidR="00541D05">
        <w:t xml:space="preserve"> </w:t>
      </w:r>
      <w:r w:rsidR="00D9258C" w:rsidRPr="00FD6A6A">
        <w:t>profile</w:t>
      </w:r>
      <w:r w:rsidR="00541D05">
        <w:t xml:space="preserve"> </w:t>
      </w:r>
      <w:r w:rsidR="00D9258C" w:rsidRPr="00FD6A6A">
        <w:t>is</w:t>
      </w:r>
      <w:r w:rsidR="00541D05">
        <w:t xml:space="preserve"> </w:t>
      </w:r>
      <w:r w:rsidR="00D9258C" w:rsidRPr="00FD6A6A">
        <w:t>predominantly</w:t>
      </w:r>
      <w:r w:rsidR="00541D05">
        <w:t xml:space="preserve"> </w:t>
      </w:r>
      <w:r w:rsidR="00D9258C" w:rsidRPr="00FD6A6A">
        <w:t>composed</w:t>
      </w:r>
      <w:r w:rsidR="00541D05">
        <w:t xml:space="preserve"> </w:t>
      </w:r>
      <w:r w:rsidR="00D9258C" w:rsidRPr="00FD6A6A">
        <w:t>of</w:t>
      </w:r>
      <w:r w:rsidR="00541D05">
        <w:t xml:space="preserve"> </w:t>
      </w:r>
      <w:r w:rsidR="00D9258C" w:rsidRPr="00FD6A6A">
        <w:t>youth,</w:t>
      </w:r>
      <w:r w:rsidR="00541D05">
        <w:t xml:space="preserve"> </w:t>
      </w:r>
      <w:r w:rsidR="00D9258C" w:rsidRPr="00FD6A6A">
        <w:t>comprising</w:t>
      </w:r>
      <w:r w:rsidR="00541D05">
        <w:t xml:space="preserve"> </w:t>
      </w:r>
      <w:r w:rsidR="00D9258C" w:rsidRPr="00FD6A6A">
        <w:t>children</w:t>
      </w:r>
      <w:r w:rsidR="00541D05">
        <w:t xml:space="preserve"> </w:t>
      </w:r>
      <w:r w:rsidR="00D9258C" w:rsidRPr="00FD6A6A">
        <w:t>and</w:t>
      </w:r>
      <w:r w:rsidR="00541D05">
        <w:t xml:space="preserve"> </w:t>
      </w:r>
      <w:r w:rsidR="00D9258C" w:rsidRPr="00FD6A6A">
        <w:t>adolescents</w:t>
      </w:r>
      <w:r w:rsidR="00541D05">
        <w:t xml:space="preserve"> </w:t>
      </w:r>
      <w:r w:rsidR="00D9258C" w:rsidRPr="00FD6A6A">
        <w:t>between</w:t>
      </w:r>
      <w:r w:rsidR="00541D05">
        <w:t xml:space="preserve"> </w:t>
      </w:r>
      <w:r w:rsidR="00D9258C" w:rsidRPr="00FD6A6A">
        <w:t>7</w:t>
      </w:r>
      <w:r w:rsidR="00541D05">
        <w:t xml:space="preserve"> </w:t>
      </w:r>
      <w:r w:rsidR="00D9258C" w:rsidRPr="00FD6A6A">
        <w:t>and</w:t>
      </w:r>
      <w:r w:rsidR="00541D05">
        <w:t xml:space="preserve"> </w:t>
      </w:r>
      <w:r w:rsidR="00D9258C" w:rsidRPr="00FD6A6A">
        <w:t>15</w:t>
      </w:r>
      <w:r w:rsidR="00541D05">
        <w:t xml:space="preserve"> </w:t>
      </w:r>
      <w:r w:rsidR="00D9258C" w:rsidRPr="00FD6A6A">
        <w:t>years</w:t>
      </w:r>
      <w:r w:rsidR="00541D05">
        <w:t xml:space="preserve"> </w:t>
      </w:r>
      <w:r w:rsidR="00D9258C" w:rsidRPr="00FD6A6A">
        <w:t>old,</w:t>
      </w:r>
      <w:r w:rsidR="00541D05">
        <w:t xml:space="preserve"> </w:t>
      </w:r>
      <w:r w:rsidR="00D9258C" w:rsidRPr="00FD6A6A">
        <w:t>and</w:t>
      </w:r>
      <w:r w:rsidR="00541D05">
        <w:t xml:space="preserve"> </w:t>
      </w:r>
      <w:r w:rsidR="00D9258C" w:rsidRPr="00FD6A6A">
        <w:t>young</w:t>
      </w:r>
      <w:r w:rsidR="00541D05">
        <w:t xml:space="preserve"> </w:t>
      </w:r>
      <w:r w:rsidR="00D9258C" w:rsidRPr="00FD6A6A">
        <w:t>adults,</w:t>
      </w:r>
      <w:r w:rsidR="00541D05">
        <w:t xml:space="preserve"> </w:t>
      </w:r>
      <w:r w:rsidR="00D9258C" w:rsidRPr="00FD6A6A">
        <w:t>between</w:t>
      </w:r>
      <w:r w:rsidR="00541D05">
        <w:t xml:space="preserve"> </w:t>
      </w:r>
      <w:r w:rsidR="00D9258C" w:rsidRPr="00FD6A6A">
        <w:t>18</w:t>
      </w:r>
      <w:r w:rsidR="00541D05">
        <w:t xml:space="preserve"> </w:t>
      </w:r>
      <w:r w:rsidR="00D9258C" w:rsidRPr="00FD6A6A">
        <w:t>and</w:t>
      </w:r>
      <w:r w:rsidR="00541D05">
        <w:t xml:space="preserve"> </w:t>
      </w:r>
      <w:r w:rsidR="00D9258C" w:rsidRPr="00FD6A6A">
        <w:t>34</w:t>
      </w:r>
      <w:r w:rsidR="00541D05">
        <w:t xml:space="preserve"> </w:t>
      </w:r>
      <w:r w:rsidR="00D9258C" w:rsidRPr="00FD6A6A">
        <w:t>years</w:t>
      </w:r>
      <w:r w:rsidR="00541D05">
        <w:t xml:space="preserve"> </w:t>
      </w:r>
      <w:r w:rsidR="00D9258C" w:rsidRPr="00FD6A6A">
        <w:t>old,</w:t>
      </w:r>
      <w:r w:rsidR="00541D05">
        <w:t xml:space="preserve"> </w:t>
      </w:r>
      <w:r w:rsidR="00D9258C" w:rsidRPr="00FD6A6A">
        <w:t>which</w:t>
      </w:r>
      <w:r w:rsidR="00541D05">
        <w:t xml:space="preserve"> </w:t>
      </w:r>
      <w:r w:rsidR="00D9258C" w:rsidRPr="00FD6A6A">
        <w:t>is</w:t>
      </w:r>
      <w:r w:rsidR="00541D05">
        <w:t xml:space="preserve"> </w:t>
      </w:r>
      <w:r w:rsidR="00D9258C" w:rsidRPr="00FD6A6A">
        <w:t>the</w:t>
      </w:r>
      <w:r w:rsidR="00541D05">
        <w:t xml:space="preserve"> </w:t>
      </w:r>
      <w:r w:rsidR="00D9258C" w:rsidRPr="00FD6A6A">
        <w:t>majority.</w:t>
      </w:r>
      <w:r w:rsidR="00541D05">
        <w:t xml:space="preserve"> </w:t>
      </w:r>
      <w:r w:rsidR="00D9258C" w:rsidRPr="00FD6A6A">
        <w:t>Older</w:t>
      </w:r>
      <w:r w:rsidR="00541D05">
        <w:t xml:space="preserve"> </w:t>
      </w:r>
      <w:r w:rsidR="00D9258C" w:rsidRPr="00FD6A6A">
        <w:t>adults,</w:t>
      </w:r>
      <w:r w:rsidR="00541D05">
        <w:t xml:space="preserve"> </w:t>
      </w:r>
      <w:r w:rsidR="00D9258C" w:rsidRPr="00FD6A6A">
        <w:t>between</w:t>
      </w:r>
      <w:r w:rsidR="00541D05">
        <w:t xml:space="preserve"> </w:t>
      </w:r>
      <w:r w:rsidR="00D9258C" w:rsidRPr="00FD6A6A">
        <w:t>35</w:t>
      </w:r>
      <w:r w:rsidR="00541D05">
        <w:t xml:space="preserve"> </w:t>
      </w:r>
      <w:r w:rsidR="00D9258C" w:rsidRPr="00FD6A6A">
        <w:t>and</w:t>
      </w:r>
      <w:r w:rsidR="00541D05">
        <w:t xml:space="preserve"> </w:t>
      </w:r>
      <w:r w:rsidR="00D9258C" w:rsidRPr="00FD6A6A">
        <w:t>59</w:t>
      </w:r>
      <w:r w:rsidR="00541D05">
        <w:t xml:space="preserve"> </w:t>
      </w:r>
      <w:r w:rsidR="00D9258C" w:rsidRPr="00FD6A6A">
        <w:t>years</w:t>
      </w:r>
      <w:r w:rsidR="00541D05">
        <w:t xml:space="preserve"> </w:t>
      </w:r>
      <w:r w:rsidR="00D9258C" w:rsidRPr="00FD6A6A">
        <w:t>old,</w:t>
      </w:r>
      <w:r w:rsidR="00541D05">
        <w:t xml:space="preserve"> </w:t>
      </w:r>
      <w:r w:rsidR="00D9258C" w:rsidRPr="00FD6A6A">
        <w:t>compose</w:t>
      </w:r>
      <w:r w:rsidR="00541D05">
        <w:t xml:space="preserve"> </w:t>
      </w:r>
      <w:r w:rsidR="00D9258C" w:rsidRPr="00FD6A6A">
        <w:t>the</w:t>
      </w:r>
      <w:r w:rsidR="00541D05">
        <w:t xml:space="preserve"> </w:t>
      </w:r>
      <w:r w:rsidR="00D9258C" w:rsidRPr="00FD6A6A">
        <w:t>middle</w:t>
      </w:r>
      <w:r w:rsidR="00541D05">
        <w:t xml:space="preserve"> </w:t>
      </w:r>
      <w:r w:rsidR="00D9258C" w:rsidRPr="00FD6A6A">
        <w:t>age</w:t>
      </w:r>
      <w:r w:rsidR="00541D05">
        <w:t xml:space="preserve"> </w:t>
      </w:r>
      <w:r w:rsidR="00D9258C" w:rsidRPr="00FD6A6A">
        <w:t>group,</w:t>
      </w:r>
      <w:r w:rsidR="00541D05">
        <w:t xml:space="preserve"> </w:t>
      </w:r>
      <w:r w:rsidR="00D9258C" w:rsidRPr="00FD6A6A">
        <w:t>while</w:t>
      </w:r>
      <w:r w:rsidR="00541D05">
        <w:t xml:space="preserve"> </w:t>
      </w:r>
      <w:r w:rsidR="00D9258C" w:rsidRPr="00FD6A6A">
        <w:t>elders</w:t>
      </w:r>
      <w:r w:rsidR="00541D05">
        <w:t xml:space="preserve"> </w:t>
      </w:r>
      <w:r w:rsidR="00D9258C" w:rsidRPr="00FD6A6A">
        <w:t>over</w:t>
      </w:r>
      <w:r w:rsidR="00541D05">
        <w:t xml:space="preserve"> </w:t>
      </w:r>
      <w:r w:rsidR="00D9258C" w:rsidRPr="00FD6A6A">
        <w:t>60</w:t>
      </w:r>
      <w:r w:rsidR="00541D05">
        <w:t xml:space="preserve"> </w:t>
      </w:r>
      <w:r w:rsidR="00D9258C" w:rsidRPr="00FD6A6A">
        <w:t>years</w:t>
      </w:r>
      <w:r w:rsidR="00541D05">
        <w:t xml:space="preserve"> </w:t>
      </w:r>
      <w:r w:rsidR="00D9258C" w:rsidRPr="00FD6A6A">
        <w:t>old</w:t>
      </w:r>
      <w:r w:rsidR="00541D05">
        <w:t xml:space="preserve"> </w:t>
      </w:r>
      <w:r w:rsidR="00D9258C" w:rsidRPr="00FD6A6A">
        <w:t>comprise</w:t>
      </w:r>
      <w:r w:rsidR="00541D05">
        <w:t xml:space="preserve"> </w:t>
      </w:r>
      <w:r w:rsidR="00D9258C" w:rsidRPr="00FD6A6A">
        <w:t>the</w:t>
      </w:r>
      <w:r w:rsidR="00541D05">
        <w:t xml:space="preserve"> </w:t>
      </w:r>
      <w:r w:rsidR="00D9258C" w:rsidRPr="00FD6A6A">
        <w:t>least</w:t>
      </w:r>
      <w:r w:rsidR="00541D05">
        <w:t xml:space="preserve"> </w:t>
      </w:r>
      <w:r w:rsidR="00D9258C" w:rsidRPr="00FD6A6A">
        <w:t>populous</w:t>
      </w:r>
      <w:r w:rsidR="00541D05">
        <w:t xml:space="preserve"> </w:t>
      </w:r>
      <w:r w:rsidR="00D9258C" w:rsidRPr="00FD6A6A">
        <w:t>age</w:t>
      </w:r>
      <w:r w:rsidR="00541D05">
        <w:t xml:space="preserve"> </w:t>
      </w:r>
      <w:r w:rsidR="00D9258C" w:rsidRPr="00FD6A6A">
        <w:t>group.</w:t>
      </w:r>
    </w:p>
    <w:p w14:paraId="21A16896" w14:textId="05B192DD" w:rsidR="00D9258C" w:rsidRPr="00FD6A6A" w:rsidRDefault="00166390" w:rsidP="00166390">
      <w:pPr>
        <w:pStyle w:val="ParaNoG"/>
        <w:numPr>
          <w:ilvl w:val="0"/>
          <w:numId w:val="0"/>
        </w:numPr>
        <w:tabs>
          <w:tab w:val="left" w:pos="0"/>
        </w:tabs>
        <w:ind w:left="1134"/>
      </w:pPr>
      <w:r w:rsidRPr="00FD6A6A">
        <w:t>158.</w:t>
      </w:r>
      <w:r w:rsidRPr="00FD6A6A">
        <w:tab/>
      </w:r>
      <w:r w:rsidR="00D9258C" w:rsidRPr="00FD6A6A">
        <w:t>Recently,</w:t>
      </w:r>
      <w:r w:rsidR="00541D05">
        <w:t xml:space="preserve"> </w:t>
      </w:r>
      <w:r w:rsidR="00D9258C" w:rsidRPr="00FD6A6A">
        <w:t>there</w:t>
      </w:r>
      <w:r w:rsidR="00541D05">
        <w:t xml:space="preserve"> </w:t>
      </w:r>
      <w:r w:rsidR="00D9258C" w:rsidRPr="00FD6A6A">
        <w:t>have</w:t>
      </w:r>
      <w:r w:rsidR="00541D05">
        <w:t xml:space="preserve"> </w:t>
      </w:r>
      <w:r w:rsidR="00D9258C" w:rsidRPr="00FD6A6A">
        <w:t>been</w:t>
      </w:r>
      <w:r w:rsidR="00541D05">
        <w:t xml:space="preserve"> </w:t>
      </w:r>
      <w:r w:rsidR="00D9258C" w:rsidRPr="00FD6A6A">
        <w:t>changes</w:t>
      </w:r>
      <w:r w:rsidR="00541D05">
        <w:t xml:space="preserve"> </w:t>
      </w:r>
      <w:r w:rsidR="00D9258C" w:rsidRPr="00FD6A6A">
        <w:t>in</w:t>
      </w:r>
      <w:r w:rsidR="00541D05">
        <w:t xml:space="preserve"> </w:t>
      </w:r>
      <w:r w:rsidR="00D9258C" w:rsidRPr="00FD6A6A">
        <w:t>the</w:t>
      </w:r>
      <w:r w:rsidR="00541D05">
        <w:t xml:space="preserve"> </w:t>
      </w:r>
      <w:r w:rsidR="00D9258C" w:rsidRPr="00FD6A6A">
        <w:t>behavior</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in</w:t>
      </w:r>
      <w:r w:rsidR="00541D05">
        <w:t xml:space="preserve"> </w:t>
      </w:r>
      <w:r w:rsidR="00D9258C" w:rsidRPr="00FD6A6A">
        <w:t>Brazil</w:t>
      </w:r>
      <w:r w:rsidR="00541D05">
        <w:t xml:space="preserve"> </w:t>
      </w:r>
      <w:r w:rsidR="00D9258C" w:rsidRPr="00FD6A6A">
        <w:t>in</w:t>
      </w:r>
      <w:r w:rsidR="00541D05">
        <w:t xml:space="preserve"> </w:t>
      </w:r>
      <w:r w:rsidR="00D9258C" w:rsidRPr="00FD6A6A">
        <w:t>general.</w:t>
      </w:r>
      <w:r w:rsidR="00541D05">
        <w:t xml:space="preserve"> </w:t>
      </w:r>
      <w:r w:rsidR="00D9258C" w:rsidRPr="00FD6A6A">
        <w:t>Family</w:t>
      </w:r>
      <w:r w:rsidR="00541D05">
        <w:t xml:space="preserve"> </w:t>
      </w:r>
      <w:r w:rsidR="00D9258C" w:rsidRPr="00FD6A6A">
        <w:t>arrangements</w:t>
      </w:r>
      <w:r w:rsidR="00541D05">
        <w:t xml:space="preserve"> </w:t>
      </w:r>
      <w:r w:rsidR="00D9258C" w:rsidRPr="00FD6A6A">
        <w:t>have</w:t>
      </w:r>
      <w:r w:rsidR="00541D05">
        <w:t xml:space="preserve"> </w:t>
      </w:r>
      <w:r w:rsidR="00D9258C" w:rsidRPr="00FD6A6A">
        <w:t>become</w:t>
      </w:r>
      <w:r w:rsidR="00541D05">
        <w:t xml:space="preserve"> </w:t>
      </w:r>
      <w:r w:rsidR="00D9258C" w:rsidRPr="00FD6A6A">
        <w:t>stricter</w:t>
      </w:r>
      <w:r w:rsidR="00541D05">
        <w:t xml:space="preserve"> </w:t>
      </w:r>
      <w:r w:rsidR="00D9258C" w:rsidRPr="00FD6A6A">
        <w:t>and</w:t>
      </w:r>
      <w:r w:rsidR="00541D05">
        <w:t xml:space="preserve"> </w:t>
      </w:r>
      <w:r w:rsidR="00D9258C" w:rsidRPr="00FD6A6A">
        <w:t>more</w:t>
      </w:r>
      <w:r w:rsidR="00541D05">
        <w:t xml:space="preserve"> </w:t>
      </w:r>
      <w:r w:rsidR="00D9258C" w:rsidRPr="00FD6A6A">
        <w:t>controlled.</w:t>
      </w:r>
      <w:r w:rsidR="00541D05">
        <w:t xml:space="preserve"> </w:t>
      </w:r>
      <w:r w:rsidR="00D9258C" w:rsidRPr="00FD6A6A">
        <w:t>Nowadays,</w:t>
      </w:r>
      <w:r w:rsidR="00541D05">
        <w:t xml:space="preserve"> </w:t>
      </w:r>
      <w:r w:rsidR="00D9258C" w:rsidRPr="00FD6A6A">
        <w:t>unlike</w:t>
      </w:r>
      <w:r w:rsidR="00541D05">
        <w:t xml:space="preserve"> </w:t>
      </w:r>
      <w:r w:rsidR="00D9258C" w:rsidRPr="00FD6A6A">
        <w:t>in</w:t>
      </w:r>
      <w:r w:rsidR="00541D05">
        <w:t xml:space="preserve"> </w:t>
      </w:r>
      <w:r w:rsidR="00D9258C" w:rsidRPr="00FD6A6A">
        <w:t>the</w:t>
      </w:r>
      <w:r w:rsidR="00541D05">
        <w:t xml:space="preserve"> </w:t>
      </w:r>
      <w:r w:rsidR="00D9258C" w:rsidRPr="00FD6A6A">
        <w:t>1980s</w:t>
      </w:r>
      <w:r w:rsidR="00541D05">
        <w:t xml:space="preserve"> </w:t>
      </w:r>
      <w:r w:rsidR="00D9258C" w:rsidRPr="00FD6A6A">
        <w:t>and</w:t>
      </w:r>
      <w:r w:rsidR="00541D05">
        <w:t xml:space="preserve"> </w:t>
      </w:r>
      <w:r w:rsidR="00D9258C" w:rsidRPr="00FD6A6A">
        <w:t>1990s,</w:t>
      </w:r>
      <w:r w:rsidR="00541D05">
        <w:t xml:space="preserve"> </w:t>
      </w:r>
      <w:r w:rsidR="00D9258C" w:rsidRPr="00FD6A6A">
        <w:t>families</w:t>
      </w:r>
      <w:r w:rsidR="00541D05">
        <w:t xml:space="preserve"> </w:t>
      </w:r>
      <w:r w:rsidR="00D9258C" w:rsidRPr="00FD6A6A">
        <w:t>tend</w:t>
      </w:r>
      <w:r w:rsidR="00541D05">
        <w:t xml:space="preserve"> </w:t>
      </w:r>
      <w:r w:rsidR="00D9258C" w:rsidRPr="00FD6A6A">
        <w:t>to</w:t>
      </w:r>
      <w:r w:rsidR="00541D05">
        <w:t xml:space="preserve"> </w:t>
      </w:r>
      <w:r w:rsidR="00D9258C" w:rsidRPr="00FD6A6A">
        <w:t>be</w:t>
      </w:r>
      <w:r w:rsidR="00541D05">
        <w:t xml:space="preserve"> </w:t>
      </w:r>
      <w:r w:rsidR="00D9258C" w:rsidRPr="00FD6A6A">
        <w:t>smaller</w:t>
      </w:r>
      <w:r w:rsidR="00541D05">
        <w:t xml:space="preserve"> </w:t>
      </w:r>
      <w:r w:rsidR="00D9258C" w:rsidRPr="00FD6A6A">
        <w:t>with</w:t>
      </w:r>
      <w:r w:rsidR="00541D05">
        <w:t xml:space="preserve"> </w:t>
      </w:r>
      <w:r w:rsidR="00D9258C" w:rsidRPr="00FD6A6A">
        <w:t>an</w:t>
      </w:r>
      <w:r w:rsidR="00541D05">
        <w:t xml:space="preserve"> </w:t>
      </w:r>
      <w:r w:rsidR="00D9258C" w:rsidRPr="00FD6A6A">
        <w:t>average</w:t>
      </w:r>
      <w:r w:rsidR="00541D05">
        <w:t xml:space="preserve"> </w:t>
      </w:r>
      <w:r w:rsidR="00D9258C" w:rsidRPr="00FD6A6A">
        <w:t>of</w:t>
      </w:r>
      <w:r w:rsidR="00541D05">
        <w:t xml:space="preserve"> </w:t>
      </w:r>
      <w:r w:rsidR="00D9258C" w:rsidRPr="00FD6A6A">
        <w:t>2</w:t>
      </w:r>
      <w:r w:rsidR="00541D05">
        <w:t xml:space="preserve"> </w:t>
      </w:r>
      <w:r w:rsidR="00D9258C" w:rsidRPr="00FD6A6A">
        <w:t>to</w:t>
      </w:r>
      <w:r w:rsidR="00541D05">
        <w:t xml:space="preserve"> </w:t>
      </w:r>
      <w:r w:rsidR="00D9258C" w:rsidRPr="00FD6A6A">
        <w:t>4</w:t>
      </w:r>
      <w:r w:rsidR="00541D05">
        <w:t xml:space="preserve"> </w:t>
      </w:r>
      <w:r w:rsidR="00D9258C" w:rsidRPr="00FD6A6A">
        <w:t>children</w:t>
      </w:r>
      <w:r w:rsidR="00541D05">
        <w:t xml:space="preserve"> </w:t>
      </w:r>
      <w:r w:rsidR="00D9258C" w:rsidRPr="00FD6A6A">
        <w:t>per</w:t>
      </w:r>
      <w:r w:rsidR="00541D05">
        <w:t xml:space="preserve"> </w:t>
      </w:r>
      <w:r w:rsidR="00D9258C" w:rsidRPr="00FD6A6A">
        <w:t>family.</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tents</w:t>
      </w:r>
      <w:r w:rsidR="00541D05">
        <w:t xml:space="preserve"> </w:t>
      </w:r>
      <w:r w:rsidR="00D9258C" w:rsidRPr="00FD6A6A">
        <w:t>per</w:t>
      </w:r>
      <w:r w:rsidR="00541D05">
        <w:t xml:space="preserve"> </w:t>
      </w:r>
      <w:r w:rsidR="00D9258C" w:rsidRPr="00FD6A6A">
        <w:t>camp</w:t>
      </w:r>
      <w:r w:rsidR="00541D05">
        <w:t xml:space="preserve"> </w:t>
      </w:r>
      <w:r w:rsidR="00D9258C" w:rsidRPr="00FD6A6A">
        <w:t>has</w:t>
      </w:r>
      <w:r w:rsidR="00541D05">
        <w:t xml:space="preserve"> </w:t>
      </w:r>
      <w:r w:rsidR="00D9258C" w:rsidRPr="00FD6A6A">
        <w:t>also</w:t>
      </w:r>
      <w:r w:rsidR="00541D05">
        <w:t xml:space="preserve"> </w:t>
      </w:r>
      <w:r w:rsidR="00D9258C" w:rsidRPr="00FD6A6A">
        <w:t>decreased</w:t>
      </w:r>
      <w:r w:rsidR="00541D05">
        <w:t xml:space="preserve"> </w:t>
      </w:r>
      <w:r w:rsidR="00D9258C" w:rsidRPr="00FD6A6A">
        <w:t>to</w:t>
      </w:r>
      <w:r w:rsidR="00541D05">
        <w:t xml:space="preserve"> </w:t>
      </w:r>
      <w:r w:rsidR="00D9258C" w:rsidRPr="00FD6A6A">
        <w:t>an</w:t>
      </w:r>
      <w:r w:rsidR="00541D05">
        <w:t xml:space="preserve"> </w:t>
      </w:r>
      <w:r w:rsidR="00D9258C" w:rsidRPr="00FD6A6A">
        <w:t>average</w:t>
      </w:r>
      <w:r w:rsidR="00541D05">
        <w:t xml:space="preserve"> </w:t>
      </w:r>
      <w:r w:rsidR="00D9258C" w:rsidRPr="00FD6A6A">
        <w:t>of</w:t>
      </w:r>
      <w:r w:rsidR="00541D05">
        <w:t xml:space="preserve"> </w:t>
      </w:r>
      <w:r w:rsidR="00D9258C" w:rsidRPr="00FD6A6A">
        <w:t>4</w:t>
      </w:r>
      <w:r w:rsidR="00541D05">
        <w:t xml:space="preserve"> </w:t>
      </w:r>
      <w:r w:rsidR="00D9258C" w:rsidRPr="00FD6A6A">
        <w:t>to</w:t>
      </w:r>
      <w:r w:rsidR="00541D05">
        <w:t xml:space="preserve"> </w:t>
      </w:r>
      <w:r w:rsidR="00D9258C" w:rsidRPr="00FD6A6A">
        <w:t>8</w:t>
      </w:r>
      <w:r w:rsidR="00541D05">
        <w:t xml:space="preserve"> </w:t>
      </w:r>
      <w:r w:rsidR="00D9258C" w:rsidRPr="00FD6A6A">
        <w:t>tents</w:t>
      </w:r>
      <w:r w:rsidR="00541D05">
        <w:t xml:space="preserve"> </w:t>
      </w:r>
      <w:r w:rsidR="00D9258C" w:rsidRPr="00FD6A6A">
        <w:t>per</w:t>
      </w:r>
      <w:r w:rsidR="00541D05">
        <w:t xml:space="preserve"> </w:t>
      </w:r>
      <w:r w:rsidR="00D9258C" w:rsidRPr="00FD6A6A">
        <w:t>camp.</w:t>
      </w:r>
    </w:p>
    <w:p w14:paraId="48360E18" w14:textId="14EA9061" w:rsidR="00D9258C" w:rsidRPr="00FD6A6A" w:rsidRDefault="00166390" w:rsidP="00166390">
      <w:pPr>
        <w:pStyle w:val="ParaNoG"/>
        <w:numPr>
          <w:ilvl w:val="0"/>
          <w:numId w:val="0"/>
        </w:numPr>
        <w:tabs>
          <w:tab w:val="left" w:pos="0"/>
        </w:tabs>
        <w:ind w:left="1134"/>
      </w:pPr>
      <w:r w:rsidRPr="00FD6A6A">
        <w:t>159.</w:t>
      </w:r>
      <w:r w:rsidRPr="00FD6A6A">
        <w:tab/>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Calon</w:t>
      </w:r>
      <w:r w:rsidR="00541D05">
        <w:t xml:space="preserve"> </w:t>
      </w:r>
      <w:r w:rsidR="00D9258C" w:rsidRPr="00FD6A6A">
        <w:t>Romani</w:t>
      </w:r>
      <w:r w:rsidR="00541D05">
        <w:t xml:space="preserve"> </w:t>
      </w:r>
      <w:r w:rsidR="00D9258C" w:rsidRPr="00FD6A6A">
        <w:t>people</w:t>
      </w:r>
      <w:r w:rsidR="00541D05">
        <w:t xml:space="preserve"> </w:t>
      </w:r>
      <w:r w:rsidR="00D9258C" w:rsidRPr="00FD6A6A">
        <w:t>have</w:t>
      </w:r>
      <w:r w:rsidR="00541D05">
        <w:t xml:space="preserve"> </w:t>
      </w:r>
      <w:r w:rsidR="00D9258C" w:rsidRPr="00FD6A6A">
        <w:t>chosen</w:t>
      </w:r>
      <w:r w:rsidR="00541D05">
        <w:t xml:space="preserve"> </w:t>
      </w:r>
      <w:r w:rsidR="00D9258C" w:rsidRPr="00FD6A6A">
        <w:t>long-term</w:t>
      </w:r>
      <w:r w:rsidR="00541D05">
        <w:t xml:space="preserve"> </w:t>
      </w:r>
      <w:r w:rsidR="00D9258C" w:rsidRPr="00FD6A6A">
        <w:t>residency,</w:t>
      </w:r>
      <w:r w:rsidR="00541D05">
        <w:t xml:space="preserve"> </w:t>
      </w:r>
      <w:r w:rsidR="00D9258C" w:rsidRPr="00FD6A6A">
        <w:t>referred</w:t>
      </w:r>
      <w:r w:rsidR="00541D05">
        <w:t xml:space="preserve"> </w:t>
      </w:r>
      <w:r w:rsidR="00D9258C" w:rsidRPr="00FD6A6A">
        <w:t>to</w:t>
      </w:r>
      <w:r w:rsidR="00541D05">
        <w:t xml:space="preserve"> </w:t>
      </w:r>
      <w:r w:rsidR="00D9258C" w:rsidRPr="00FD6A6A">
        <w:t>as</w:t>
      </w:r>
      <w:r w:rsidR="00541D05">
        <w:t xml:space="preserve"> </w:t>
      </w:r>
      <w:r w:rsidR="00EA62F1">
        <w:t>“</w:t>
      </w:r>
      <w:r w:rsidR="00D9258C" w:rsidRPr="00FD6A6A">
        <w:t>semi-permanent</w:t>
      </w:r>
      <w:r w:rsidR="00EA62F1">
        <w:t>”</w:t>
      </w:r>
      <w:r w:rsidR="00D9258C" w:rsidRPr="00FD6A6A">
        <w:t>,</w:t>
      </w:r>
      <w:r w:rsidR="00541D05">
        <w:t xml:space="preserve"> </w:t>
      </w:r>
      <w:r w:rsidR="00D9258C" w:rsidRPr="00FD6A6A">
        <w:t>in</w:t>
      </w:r>
      <w:r w:rsidR="00541D05">
        <w:t xml:space="preserve"> </w:t>
      </w:r>
      <w:r w:rsidR="00D9258C" w:rsidRPr="00FD6A6A">
        <w:t>fixed</w:t>
      </w:r>
      <w:r w:rsidR="00541D05">
        <w:t xml:space="preserve"> </w:t>
      </w:r>
      <w:r w:rsidR="00D9258C" w:rsidRPr="00FD6A6A">
        <w:t>camps.</w:t>
      </w:r>
      <w:r w:rsidR="00541D05">
        <w:t xml:space="preserve"> </w:t>
      </w:r>
      <w:r w:rsidR="00D9258C" w:rsidRPr="00FD6A6A">
        <w:t>They</w:t>
      </w:r>
      <w:r w:rsidR="00541D05">
        <w:t xml:space="preserve"> </w:t>
      </w:r>
      <w:r w:rsidR="00D9258C" w:rsidRPr="00FD6A6A">
        <w:t>set</w:t>
      </w:r>
      <w:r w:rsidR="00541D05">
        <w:t xml:space="preserve"> </w:t>
      </w:r>
      <w:r w:rsidR="00D9258C" w:rsidRPr="00FD6A6A">
        <w:t>camps</w:t>
      </w:r>
      <w:r w:rsidR="00541D05">
        <w:t xml:space="preserve"> </w:t>
      </w:r>
      <w:r w:rsidR="00D9258C" w:rsidRPr="00FD6A6A">
        <w:t>in</w:t>
      </w:r>
      <w:r w:rsidR="00541D05">
        <w:t xml:space="preserve"> </w:t>
      </w:r>
      <w:r w:rsidR="00D9258C" w:rsidRPr="00FD6A6A">
        <w:t>unoccupied</w:t>
      </w:r>
      <w:r w:rsidR="00541D05">
        <w:t xml:space="preserve"> </w:t>
      </w:r>
      <w:r w:rsidR="00D9258C" w:rsidRPr="00FD6A6A">
        <w:t>public</w:t>
      </w:r>
      <w:r w:rsidR="00541D05">
        <w:t xml:space="preserve"> </w:t>
      </w:r>
      <w:r w:rsidR="00D9258C" w:rsidRPr="00FD6A6A">
        <w:t>areas,</w:t>
      </w:r>
      <w:r w:rsidR="00541D05">
        <w:t xml:space="preserve"> </w:t>
      </w:r>
      <w:r w:rsidR="00D9258C" w:rsidRPr="00FD6A6A">
        <w:t>where</w:t>
      </w:r>
      <w:r w:rsidR="00541D05">
        <w:t xml:space="preserve"> </w:t>
      </w:r>
      <w:r w:rsidR="00D9258C" w:rsidRPr="00FD6A6A">
        <w:t>they</w:t>
      </w:r>
      <w:r w:rsidR="00541D05">
        <w:t xml:space="preserve"> </w:t>
      </w:r>
      <w:r w:rsidR="00D9258C" w:rsidRPr="00FD6A6A">
        <w:t>build</w:t>
      </w:r>
      <w:r w:rsidR="00541D05">
        <w:t xml:space="preserve"> </w:t>
      </w:r>
      <w:r w:rsidR="00D9258C" w:rsidRPr="00FD6A6A">
        <w:t>their</w:t>
      </w:r>
      <w:r w:rsidR="00541D05">
        <w:t xml:space="preserve"> </w:t>
      </w:r>
      <w:r w:rsidR="00D9258C" w:rsidRPr="00FD6A6A">
        <w:t>houses</w:t>
      </w:r>
      <w:r w:rsidR="00541D05">
        <w:t xml:space="preserve"> </w:t>
      </w:r>
      <w:r w:rsidR="00D9258C" w:rsidRPr="00FD6A6A">
        <w:t>in</w:t>
      </w:r>
      <w:r w:rsidR="00541D05">
        <w:t xml:space="preserve"> </w:t>
      </w:r>
      <w:r w:rsidR="00D9258C" w:rsidRPr="00FD6A6A">
        <w:t>an</w:t>
      </w:r>
      <w:r w:rsidR="00541D05">
        <w:t xml:space="preserve"> </w:t>
      </w:r>
      <w:r w:rsidR="00D9258C" w:rsidRPr="00FD6A6A">
        <w:t>improvised</w:t>
      </w:r>
      <w:r w:rsidR="00541D05">
        <w:t xml:space="preserve"> </w:t>
      </w:r>
      <w:r w:rsidR="00D9258C" w:rsidRPr="00FD6A6A">
        <w:t>manner.</w:t>
      </w:r>
      <w:r w:rsidR="00541D05">
        <w:t xml:space="preserve"> </w:t>
      </w:r>
      <w:r w:rsidR="00D9258C" w:rsidRPr="00FD6A6A">
        <w:t>These</w:t>
      </w:r>
      <w:r w:rsidR="00541D05">
        <w:t xml:space="preserve"> </w:t>
      </w:r>
      <w:r w:rsidR="00D9258C" w:rsidRPr="00FD6A6A">
        <w:t>changes</w:t>
      </w:r>
      <w:r w:rsidR="00541D05">
        <w:t xml:space="preserve"> </w:t>
      </w:r>
      <w:r w:rsidR="00D9258C" w:rsidRPr="00FD6A6A">
        <w:t>are</w:t>
      </w:r>
      <w:r w:rsidR="00541D05">
        <w:t xml:space="preserve"> </w:t>
      </w:r>
      <w:r w:rsidR="00D9258C" w:rsidRPr="00FD6A6A">
        <w:t>can</w:t>
      </w:r>
      <w:r w:rsidR="00541D05">
        <w:t xml:space="preserve"> </w:t>
      </w:r>
      <w:r w:rsidR="00D9258C" w:rsidRPr="00FD6A6A">
        <w:t>be</w:t>
      </w:r>
      <w:r w:rsidR="00541D05">
        <w:t xml:space="preserve"> </w:t>
      </w:r>
      <w:r w:rsidR="00D9258C" w:rsidRPr="00FD6A6A">
        <w:t>attributed</w:t>
      </w:r>
      <w:r w:rsidR="00541D05">
        <w:t xml:space="preserve"> </w:t>
      </w:r>
      <w:r w:rsidR="00D9258C" w:rsidRPr="00FD6A6A">
        <w:t>to</w:t>
      </w:r>
      <w:r w:rsidR="00541D05">
        <w:t xml:space="preserve"> </w:t>
      </w:r>
      <w:r w:rsidR="00D9258C" w:rsidRPr="00FD6A6A">
        <w:t>the</w:t>
      </w:r>
      <w:r w:rsidR="00541D05">
        <w:t xml:space="preserve"> </w:t>
      </w:r>
      <w:r w:rsidR="00D9258C" w:rsidRPr="00FD6A6A">
        <w:t>situation</w:t>
      </w:r>
      <w:r w:rsidR="00541D05">
        <w:t xml:space="preserve"> </w:t>
      </w:r>
      <w:r w:rsidR="00D9258C" w:rsidRPr="00FD6A6A">
        <w:t>of</w:t>
      </w:r>
      <w:r w:rsidR="00541D05">
        <w:t xml:space="preserve"> </w:t>
      </w:r>
      <w:r w:rsidR="00D9258C" w:rsidRPr="00FD6A6A">
        <w:t>social</w:t>
      </w:r>
      <w:r w:rsidR="00541D05">
        <w:t xml:space="preserve"> </w:t>
      </w:r>
      <w:r w:rsidR="00D9258C" w:rsidRPr="00FD6A6A">
        <w:t>vulnerability</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r w:rsidR="00541D05">
        <w:t xml:space="preserve"> </w:t>
      </w:r>
      <w:r w:rsidR="00D9258C" w:rsidRPr="00FD6A6A">
        <w:t>therefore,</w:t>
      </w:r>
      <w:r w:rsidR="00541D05">
        <w:t xml:space="preserve"> </w:t>
      </w:r>
      <w:r w:rsidR="00D9258C" w:rsidRPr="00FD6A6A">
        <w:t>they</w:t>
      </w:r>
      <w:r w:rsidR="00541D05">
        <w:t xml:space="preserve"> </w:t>
      </w:r>
      <w:r w:rsidR="00D9258C" w:rsidRPr="00FD6A6A">
        <w:t>are</w:t>
      </w:r>
      <w:r w:rsidR="00541D05">
        <w:t xml:space="preserve"> </w:t>
      </w:r>
      <w:r w:rsidR="00D9258C" w:rsidRPr="00FD6A6A">
        <w:t>not</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nomadic</w:t>
      </w:r>
      <w:r w:rsidR="00541D05">
        <w:t xml:space="preserve"> </w:t>
      </w:r>
      <w:r w:rsidR="00D9258C" w:rsidRPr="00FD6A6A">
        <w:t>of</w:t>
      </w:r>
      <w:r w:rsidR="00541D05">
        <w:t xml:space="preserve"> </w:t>
      </w:r>
      <w:r w:rsidR="00D9258C" w:rsidRPr="00FD6A6A">
        <w:t>caravans.</w:t>
      </w:r>
      <w:r w:rsidR="00541D05">
        <w:t xml:space="preserve"> </w:t>
      </w:r>
      <w:r w:rsidR="00D9258C" w:rsidRPr="00FD6A6A">
        <w:t>The</w:t>
      </w:r>
      <w:r w:rsidR="00541D05">
        <w:t xml:space="preserve"> </w:t>
      </w:r>
      <w:r w:rsidR="00D9258C" w:rsidRPr="00FD6A6A">
        <w:t>risks</w:t>
      </w:r>
      <w:r w:rsidR="00541D05">
        <w:t xml:space="preserve"> </w:t>
      </w:r>
      <w:r w:rsidR="00D9258C" w:rsidRPr="00FD6A6A">
        <w:t>of</w:t>
      </w:r>
      <w:r w:rsidR="00541D05">
        <w:t xml:space="preserve"> </w:t>
      </w:r>
      <w:r w:rsidR="00D9258C" w:rsidRPr="00FD6A6A">
        <w:t>poverty,</w:t>
      </w:r>
      <w:r w:rsidR="00541D05">
        <w:t xml:space="preserve"> </w:t>
      </w:r>
      <w:r w:rsidR="00D9258C" w:rsidRPr="00FD6A6A">
        <w:t>hunger,</w:t>
      </w:r>
      <w:r w:rsidR="00541D05">
        <w:t xml:space="preserve"> </w:t>
      </w:r>
      <w:r w:rsidR="00D9258C" w:rsidRPr="00FD6A6A">
        <w:t>unsafety</w:t>
      </w:r>
      <w:r w:rsidR="00541D05">
        <w:t xml:space="preserve"> </w:t>
      </w:r>
      <w:r w:rsidR="00D9258C" w:rsidRPr="00FD6A6A">
        <w:t>and</w:t>
      </w:r>
      <w:r w:rsidR="00541D05">
        <w:t xml:space="preserve"> </w:t>
      </w:r>
      <w:r w:rsidR="00D9258C" w:rsidRPr="00FD6A6A">
        <w:t>other</w:t>
      </w:r>
      <w:r w:rsidR="00541D05">
        <w:t xml:space="preserve"> </w:t>
      </w:r>
      <w:r w:rsidR="00D9258C" w:rsidRPr="00FD6A6A">
        <w:t>social</w:t>
      </w:r>
      <w:r w:rsidR="00541D05">
        <w:t xml:space="preserve"> </w:t>
      </w:r>
      <w:r w:rsidR="00D9258C" w:rsidRPr="00FD6A6A">
        <w:t>problems</w:t>
      </w:r>
      <w:r w:rsidR="00541D05">
        <w:t xml:space="preserve"> </w:t>
      </w:r>
      <w:r w:rsidR="00D9258C" w:rsidRPr="00FD6A6A">
        <w:t>resulted</w:t>
      </w:r>
      <w:r w:rsidR="00541D05">
        <w:t xml:space="preserve"> </w:t>
      </w:r>
      <w:r w:rsidR="00D9258C" w:rsidRPr="00FD6A6A">
        <w:t>in</w:t>
      </w:r>
      <w:r w:rsidR="00541D05">
        <w:t xml:space="preserve"> </w:t>
      </w:r>
      <w:r w:rsidR="00D9258C" w:rsidRPr="00FD6A6A">
        <w:t>important</w:t>
      </w:r>
      <w:r w:rsidR="00541D05">
        <w:t xml:space="preserve"> </w:t>
      </w:r>
      <w:r w:rsidR="00D9258C" w:rsidRPr="00FD6A6A">
        <w:t>behavioral</w:t>
      </w:r>
      <w:r w:rsidR="00541D05">
        <w:t xml:space="preserve"> </w:t>
      </w:r>
      <w:r w:rsidR="00D9258C" w:rsidRPr="00FD6A6A">
        <w:t>changes,</w:t>
      </w:r>
      <w:r w:rsidR="00541D05">
        <w:t xml:space="preserve"> </w:t>
      </w:r>
      <w:r w:rsidR="00D9258C" w:rsidRPr="00FD6A6A">
        <w:t>reducing</w:t>
      </w:r>
      <w:r w:rsidR="00541D05">
        <w:t xml:space="preserve"> </w:t>
      </w:r>
      <w:r w:rsidR="00D9258C" w:rsidRPr="00FD6A6A">
        <w:t>the</w:t>
      </w:r>
      <w:r w:rsidR="00541D05">
        <w:t xml:space="preserve"> </w:t>
      </w:r>
      <w:r w:rsidR="00D9258C" w:rsidRPr="00FD6A6A">
        <w:t>size</w:t>
      </w:r>
      <w:r w:rsidR="00541D05">
        <w:t xml:space="preserve"> </w:t>
      </w:r>
      <w:r w:rsidR="00D9258C" w:rsidRPr="00FD6A6A">
        <w:t>of</w:t>
      </w:r>
      <w:r w:rsidR="00541D05">
        <w:t xml:space="preserve"> </w:t>
      </w:r>
      <w:r w:rsidR="00D9258C" w:rsidRPr="00FD6A6A">
        <w:t>the</w:t>
      </w:r>
      <w:r w:rsidR="00541D05">
        <w:t xml:space="preserve"> </w:t>
      </w:r>
      <w:r w:rsidR="00D9258C" w:rsidRPr="00FD6A6A">
        <w:t>families</w:t>
      </w:r>
      <w:r w:rsidR="00541D05">
        <w:t xml:space="preserve"> </w:t>
      </w:r>
      <w:r w:rsidR="00D9258C" w:rsidRPr="00FD6A6A">
        <w:t>and</w:t>
      </w:r>
      <w:r w:rsidR="00541D05">
        <w:t xml:space="preserve"> </w:t>
      </w:r>
      <w:r w:rsidR="00D9258C" w:rsidRPr="00FD6A6A">
        <w:t>the</w:t>
      </w:r>
      <w:r w:rsidR="00541D05">
        <w:t xml:space="preserve"> </w:t>
      </w:r>
      <w:r w:rsidR="00D9258C" w:rsidRPr="00FD6A6A">
        <w:t>extent</w:t>
      </w:r>
      <w:r w:rsidR="00541D05">
        <w:t xml:space="preserve"> </w:t>
      </w:r>
      <w:r w:rsidR="00D9258C" w:rsidRPr="00FD6A6A">
        <w:t>of</w:t>
      </w:r>
      <w:r w:rsidR="00541D05">
        <w:t xml:space="preserve"> </w:t>
      </w:r>
      <w:r w:rsidR="00D9258C" w:rsidRPr="00FD6A6A">
        <w:t>their</w:t>
      </w:r>
      <w:r w:rsidR="00541D05">
        <w:t xml:space="preserve"> </w:t>
      </w:r>
      <w:r w:rsidR="00D9258C" w:rsidRPr="00FD6A6A">
        <w:t>camps.</w:t>
      </w:r>
    </w:p>
    <w:p w14:paraId="5CC7931F" w14:textId="1D77B86B" w:rsidR="00D9258C" w:rsidRPr="00FD6A6A" w:rsidRDefault="00166390" w:rsidP="00166390">
      <w:pPr>
        <w:pStyle w:val="ParaNoG"/>
        <w:numPr>
          <w:ilvl w:val="0"/>
          <w:numId w:val="0"/>
        </w:numPr>
        <w:tabs>
          <w:tab w:val="left" w:pos="0"/>
        </w:tabs>
        <w:ind w:left="1134"/>
      </w:pPr>
      <w:r w:rsidRPr="00FD6A6A">
        <w:t>160.</w:t>
      </w:r>
      <w:r w:rsidRPr="00FD6A6A">
        <w:tab/>
      </w:r>
      <w:r w:rsidR="00D9258C" w:rsidRPr="00FD6A6A">
        <w:t>The</w:t>
      </w:r>
      <w:r w:rsidR="00541D05">
        <w:t xml:space="preserve"> </w:t>
      </w:r>
      <w:r w:rsidR="00D9258C" w:rsidRPr="00FD6A6A">
        <w:t>inter-ethnic</w:t>
      </w:r>
      <w:r w:rsidR="00541D05">
        <w:t xml:space="preserve"> </w:t>
      </w:r>
      <w:r w:rsidR="00D9258C" w:rsidRPr="00FD6A6A">
        <w:t>association</w:t>
      </w:r>
      <w:r w:rsidR="00541D05">
        <w:t xml:space="preserve"> </w:t>
      </w:r>
      <w:r w:rsidR="00D9258C" w:rsidRPr="00FD6A6A">
        <w:t>was</w:t>
      </w:r>
      <w:r w:rsidR="00541D05">
        <w:t xml:space="preserve"> </w:t>
      </w:r>
      <w:r w:rsidR="00D9258C" w:rsidRPr="00FD6A6A">
        <w:t>not</w:t>
      </w:r>
      <w:r w:rsidR="00541D05">
        <w:t xml:space="preserve"> </w:t>
      </w:r>
      <w:r w:rsidR="00D9258C" w:rsidRPr="00FD6A6A">
        <w:t>a</w:t>
      </w:r>
      <w:r w:rsidR="00541D05">
        <w:t xml:space="preserve"> </w:t>
      </w:r>
      <w:r w:rsidR="00D9258C" w:rsidRPr="00FD6A6A">
        <w:t>strong</w:t>
      </w:r>
      <w:r w:rsidR="00541D05">
        <w:t xml:space="preserve"> </w:t>
      </w:r>
      <w:r w:rsidR="00D9258C" w:rsidRPr="00FD6A6A">
        <w:t>process</w:t>
      </w:r>
      <w:r w:rsidR="00541D05">
        <w:t xml:space="preserve"> </w:t>
      </w:r>
      <w:r w:rsidR="00D9258C" w:rsidRPr="00FD6A6A">
        <w:t>among</w:t>
      </w:r>
      <w:r w:rsidR="00541D05">
        <w:t xml:space="preserve"> </w:t>
      </w:r>
      <w:r w:rsidR="00D9258C" w:rsidRPr="00FD6A6A">
        <w:t>different</w:t>
      </w:r>
      <w:r w:rsidR="00541D05">
        <w:t xml:space="preserve"> </w:t>
      </w:r>
      <w:r w:rsidR="00D9258C" w:rsidRPr="00FD6A6A">
        <w:t>Romani</w:t>
      </w:r>
      <w:r w:rsidR="00541D05">
        <w:t xml:space="preserve"> </w:t>
      </w:r>
      <w:r w:rsidR="00D9258C" w:rsidRPr="00FD6A6A">
        <w:t>groups,</w:t>
      </w:r>
      <w:r w:rsidR="00541D05">
        <w:t xml:space="preserve"> </w:t>
      </w:r>
      <w:r w:rsidR="00D9258C" w:rsidRPr="00FD6A6A">
        <w:t>and</w:t>
      </w:r>
      <w:r w:rsidR="00541D05">
        <w:t xml:space="preserve"> </w:t>
      </w:r>
      <w:r w:rsidR="00D9258C" w:rsidRPr="00FD6A6A">
        <w:t>neither</w:t>
      </w:r>
      <w:r w:rsidR="00541D05">
        <w:t xml:space="preserve"> </w:t>
      </w:r>
      <w:r w:rsidR="00D9258C" w:rsidRPr="00FD6A6A">
        <w:t>were</w:t>
      </w:r>
      <w:r w:rsidR="00541D05">
        <w:t xml:space="preserve"> </w:t>
      </w:r>
      <w:r w:rsidR="00D9258C" w:rsidRPr="00FD6A6A">
        <w:t>competition</w:t>
      </w:r>
      <w:r w:rsidR="00541D05">
        <w:t xml:space="preserve"> </w:t>
      </w:r>
      <w:r w:rsidR="00D9258C" w:rsidRPr="00FD6A6A">
        <w:t>and</w:t>
      </w:r>
      <w:r w:rsidR="00541D05">
        <w:t xml:space="preserve"> </w:t>
      </w:r>
      <w:r w:rsidR="00D9258C" w:rsidRPr="00FD6A6A">
        <w:t>conflict.</w:t>
      </w:r>
      <w:r w:rsidR="00541D05">
        <w:t xml:space="preserve"> </w:t>
      </w:r>
      <w:r w:rsidR="00D9258C" w:rsidRPr="00FD6A6A">
        <w:t>Today,</w:t>
      </w:r>
      <w:r w:rsidR="00541D05">
        <w:t xml:space="preserve"> </w:t>
      </w:r>
      <w:r w:rsidR="00D9258C" w:rsidRPr="00FD6A6A">
        <w:t>ethnic</w:t>
      </w:r>
      <w:r w:rsidR="00541D05">
        <w:t xml:space="preserve"> </w:t>
      </w:r>
      <w:r w:rsidR="00D9258C" w:rsidRPr="00FD6A6A">
        <w:t>groups</w:t>
      </w:r>
      <w:r w:rsidR="00541D05">
        <w:t xml:space="preserve"> </w:t>
      </w:r>
      <w:r w:rsidR="00D9258C" w:rsidRPr="00FD6A6A">
        <w:t>are</w:t>
      </w:r>
      <w:r w:rsidR="00541D05">
        <w:t xml:space="preserve"> </w:t>
      </w:r>
      <w:r w:rsidR="00D9258C" w:rsidRPr="00FD6A6A">
        <w:t>seeking</w:t>
      </w:r>
      <w:r w:rsidR="00541D05">
        <w:t xml:space="preserve"> </w:t>
      </w:r>
      <w:r w:rsidR="00D9258C" w:rsidRPr="00FD6A6A">
        <w:t>civil</w:t>
      </w:r>
      <w:r w:rsidR="00541D05">
        <w:t xml:space="preserve"> </w:t>
      </w:r>
      <w:r w:rsidR="00D9258C" w:rsidRPr="00FD6A6A">
        <w:t>unity</w:t>
      </w:r>
      <w:r w:rsidR="00541D05">
        <w:t xml:space="preserve"> </w:t>
      </w:r>
      <w:r w:rsidR="00D9258C" w:rsidRPr="00FD6A6A">
        <w:t>in</w:t>
      </w:r>
      <w:r w:rsidR="00541D05">
        <w:t xml:space="preserve"> </w:t>
      </w:r>
      <w:r w:rsidR="00D9258C" w:rsidRPr="00FD6A6A">
        <w:t>favor</w:t>
      </w:r>
      <w:r w:rsidR="00541D05">
        <w:t xml:space="preserve"> </w:t>
      </w:r>
      <w:r w:rsidR="00D9258C" w:rsidRPr="00FD6A6A">
        <w:t>of</w:t>
      </w:r>
      <w:r w:rsidR="00541D05">
        <w:t xml:space="preserve"> </w:t>
      </w:r>
      <w:r w:rsidR="00D9258C" w:rsidRPr="00FD6A6A">
        <w:t>organized</w:t>
      </w:r>
      <w:r w:rsidR="00541D05">
        <w:t xml:space="preserve"> </w:t>
      </w:r>
      <w:r w:rsidR="00D9258C" w:rsidRPr="00FD6A6A">
        <w:t>actions</w:t>
      </w:r>
      <w:r w:rsidR="00541D05">
        <w:t xml:space="preserve"> </w:t>
      </w:r>
      <w:r w:rsidR="00D9258C" w:rsidRPr="00FD6A6A">
        <w:t>to</w:t>
      </w:r>
      <w:r w:rsidR="00541D05">
        <w:t xml:space="preserve"> </w:t>
      </w:r>
      <w:r w:rsidR="00D9258C" w:rsidRPr="00FD6A6A">
        <w:t>seek</w:t>
      </w:r>
      <w:r w:rsidR="00541D05">
        <w:t xml:space="preserve"> </w:t>
      </w:r>
      <w:r w:rsidR="00D9258C" w:rsidRPr="00FD6A6A">
        <w:t>guarantee</w:t>
      </w:r>
      <w:r w:rsidR="00541D05">
        <w:t xml:space="preserve"> </w:t>
      </w:r>
      <w:r w:rsidR="00D9258C" w:rsidRPr="00FD6A6A">
        <w:t>of</w:t>
      </w:r>
      <w:r w:rsidR="00541D05">
        <w:t xml:space="preserve"> </w:t>
      </w:r>
      <w:r w:rsidR="00D9258C" w:rsidRPr="00FD6A6A">
        <w:t>their</w:t>
      </w:r>
      <w:r w:rsidR="00541D05">
        <w:t xml:space="preserve"> </w:t>
      </w:r>
      <w:r w:rsidR="00D9258C" w:rsidRPr="00FD6A6A">
        <w:t>rights.</w:t>
      </w:r>
    </w:p>
    <w:p w14:paraId="6F63F562" w14:textId="0BCB9DF7" w:rsidR="00D9258C" w:rsidRPr="00FD6A6A" w:rsidRDefault="00166390" w:rsidP="00166390">
      <w:pPr>
        <w:pStyle w:val="ParaNoG"/>
        <w:numPr>
          <w:ilvl w:val="0"/>
          <w:numId w:val="0"/>
        </w:numPr>
        <w:tabs>
          <w:tab w:val="left" w:pos="0"/>
        </w:tabs>
        <w:ind w:left="1134"/>
      </w:pPr>
      <w:r w:rsidRPr="00FD6A6A">
        <w:t>161.</w:t>
      </w:r>
      <w:r w:rsidRPr="00FD6A6A">
        <w:tab/>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main</w:t>
      </w:r>
      <w:r w:rsidR="00541D05">
        <w:t xml:space="preserve"> </w:t>
      </w:r>
      <w:r w:rsidR="00D9258C" w:rsidRPr="00FD6A6A">
        <w:t>demands</w:t>
      </w:r>
      <w:r w:rsidR="00541D05">
        <w:t xml:space="preserve"> </w:t>
      </w:r>
      <w:r w:rsidR="00D9258C" w:rsidRPr="00FD6A6A">
        <w:t>of</w:t>
      </w:r>
      <w:r w:rsidR="00541D05">
        <w:t xml:space="preserve"> </w:t>
      </w:r>
      <w:r w:rsidR="00D9258C" w:rsidRPr="00FD6A6A">
        <w:t>Romani</w:t>
      </w:r>
      <w:r w:rsidR="00541D05">
        <w:t xml:space="preserve"> </w:t>
      </w:r>
      <w:r w:rsidR="00D9258C" w:rsidRPr="00FD6A6A">
        <w:t>groups</w:t>
      </w:r>
      <w:r w:rsidR="00541D05">
        <w:t xml:space="preserve"> </w:t>
      </w:r>
      <w:r w:rsidR="00D9258C" w:rsidRPr="00FD6A6A">
        <w:t>is</w:t>
      </w:r>
      <w:r w:rsidR="00541D05">
        <w:t xml:space="preserve"> </w:t>
      </w:r>
      <w:r w:rsidR="00D9258C" w:rsidRPr="00FD6A6A">
        <w:t>related</w:t>
      </w:r>
      <w:r w:rsidR="00541D05">
        <w:t xml:space="preserve"> </w:t>
      </w:r>
      <w:r w:rsidR="00D9258C" w:rsidRPr="00FD6A6A">
        <w:t>to</w:t>
      </w:r>
      <w:r w:rsidR="00541D05">
        <w:t xml:space="preserve"> </w:t>
      </w:r>
      <w:r w:rsidR="00D9258C" w:rsidRPr="00FD6A6A">
        <w:t>acknowledgement</w:t>
      </w:r>
      <w:r w:rsidR="00541D05">
        <w:t xml:space="preserve"> </w:t>
      </w:r>
      <w:r w:rsidR="00D9258C" w:rsidRPr="00FD6A6A">
        <w:t>of</w:t>
      </w:r>
      <w:r w:rsidR="00541D05">
        <w:t xml:space="preserve"> </w:t>
      </w:r>
      <w:r w:rsidR="00D9258C" w:rsidRPr="00FD6A6A">
        <w:t>their</w:t>
      </w:r>
      <w:r w:rsidR="00541D05">
        <w:t xml:space="preserve"> </w:t>
      </w:r>
      <w:r w:rsidR="00D9258C" w:rsidRPr="00FD6A6A">
        <w:t>right</w:t>
      </w:r>
      <w:r w:rsidR="00541D05">
        <w:t xml:space="preserve"> </w:t>
      </w:r>
      <w:r w:rsidR="00D9258C" w:rsidRPr="00FD6A6A">
        <w:t>to</w:t>
      </w:r>
      <w:r w:rsidR="00541D05">
        <w:t xml:space="preserve"> </w:t>
      </w:r>
      <w:r w:rsidR="00D9258C" w:rsidRPr="00FD6A6A">
        <w:t>have</w:t>
      </w:r>
      <w:r w:rsidR="00541D05">
        <w:t xml:space="preserve"> </w:t>
      </w:r>
      <w:r w:rsidR="00D9258C" w:rsidRPr="00FD6A6A">
        <w:t>camps</w:t>
      </w:r>
      <w:r w:rsidR="00541D05">
        <w:t xml:space="preserve"> </w:t>
      </w:r>
      <w:r w:rsidR="00D9258C" w:rsidRPr="00FD6A6A">
        <w:t>with</w:t>
      </w:r>
      <w:r w:rsidR="00541D05">
        <w:t xml:space="preserve"> </w:t>
      </w:r>
      <w:r w:rsidR="00D9258C" w:rsidRPr="00FD6A6A">
        <w:t>basic</w:t>
      </w:r>
      <w:r w:rsidR="00541D05">
        <w:t xml:space="preserve"> </w:t>
      </w:r>
      <w:r w:rsidR="00D9258C" w:rsidRPr="00FD6A6A">
        <w:t>infrastructure</w:t>
      </w:r>
      <w:r w:rsidR="00541D05">
        <w:t xml:space="preserve"> </w:t>
      </w:r>
      <w:r w:rsidR="00D9258C" w:rsidRPr="00FD6A6A">
        <w:t>and</w:t>
      </w:r>
      <w:r w:rsidR="00541D05">
        <w:t xml:space="preserve"> </w:t>
      </w:r>
      <w:r w:rsidR="00D9258C" w:rsidRPr="00FD6A6A">
        <w:t>safety,</w:t>
      </w:r>
      <w:r w:rsidR="00541D05">
        <w:t xml:space="preserve"> </w:t>
      </w:r>
      <w:r w:rsidR="00D9258C" w:rsidRPr="00FD6A6A">
        <w:t>respecting</w:t>
      </w:r>
      <w:r w:rsidR="00541D05">
        <w:t xml:space="preserve"> </w:t>
      </w:r>
      <w:r w:rsidR="00D9258C" w:rsidRPr="00FD6A6A">
        <w:t>their</w:t>
      </w:r>
      <w:r w:rsidR="00541D05">
        <w:t xml:space="preserve"> </w:t>
      </w:r>
      <w:r w:rsidR="00D9258C" w:rsidRPr="00FD6A6A">
        <w:t>traditions.</w:t>
      </w:r>
    </w:p>
    <w:p w14:paraId="68C9AABC" w14:textId="6B9D4777" w:rsidR="00D9258C" w:rsidRPr="00FD6A6A" w:rsidRDefault="00166390" w:rsidP="00166390">
      <w:pPr>
        <w:pStyle w:val="ParaNoG"/>
        <w:numPr>
          <w:ilvl w:val="0"/>
          <w:numId w:val="0"/>
        </w:numPr>
        <w:tabs>
          <w:tab w:val="left" w:pos="0"/>
        </w:tabs>
        <w:ind w:left="1134"/>
      </w:pPr>
      <w:r w:rsidRPr="00FD6A6A">
        <w:t>162.</w:t>
      </w:r>
      <w:r w:rsidRPr="00FD6A6A">
        <w:tab/>
      </w:r>
      <w:r w:rsidR="00D9258C" w:rsidRPr="00FD6A6A">
        <w:t>Cultural</w:t>
      </w:r>
      <w:r w:rsidR="00541D05">
        <w:t xml:space="preserve"> </w:t>
      </w:r>
      <w:r w:rsidR="00D9258C" w:rsidRPr="00FD6A6A">
        <w:t>specificity,</w:t>
      </w:r>
      <w:r w:rsidR="00541D05">
        <w:t xml:space="preserve"> </w:t>
      </w:r>
      <w:r w:rsidR="00D9258C" w:rsidRPr="00FD6A6A">
        <w:t>formed</w:t>
      </w:r>
      <w:r w:rsidR="00541D05">
        <w:t xml:space="preserve"> </w:t>
      </w:r>
      <w:r w:rsidR="00D9258C" w:rsidRPr="00FD6A6A">
        <w:t>by</w:t>
      </w:r>
      <w:r w:rsidR="00541D05">
        <w:t xml:space="preserve"> </w:t>
      </w:r>
      <w:r w:rsidR="00D9258C" w:rsidRPr="00FD6A6A">
        <w:t>the</w:t>
      </w:r>
      <w:r w:rsidR="00541D05">
        <w:t xml:space="preserve"> </w:t>
      </w:r>
      <w:r w:rsidR="00D9258C" w:rsidRPr="00FD6A6A">
        <w:t>inter-relationship</w:t>
      </w:r>
      <w:r w:rsidR="00541D05">
        <w:t xml:space="preserve"> </w:t>
      </w:r>
      <w:r w:rsidR="00D9258C" w:rsidRPr="00FD6A6A">
        <w:t>between</w:t>
      </w:r>
      <w:r w:rsidR="00541D05">
        <w:t xml:space="preserve"> </w:t>
      </w:r>
      <w:r w:rsidR="00D9258C" w:rsidRPr="00FD6A6A">
        <w:t>settlement</w:t>
      </w:r>
      <w:r w:rsidR="00541D05">
        <w:t xml:space="preserve"> </w:t>
      </w:r>
      <w:r w:rsidR="00D9258C" w:rsidRPr="00FD6A6A">
        <w:t>and</w:t>
      </w:r>
      <w:r w:rsidR="00541D05">
        <w:t xml:space="preserve"> </w:t>
      </w:r>
      <w:r w:rsidR="00D9258C" w:rsidRPr="00FD6A6A">
        <w:t>mobility</w:t>
      </w:r>
      <w:r w:rsidR="00541D05">
        <w:t xml:space="preserve"> </w:t>
      </w:r>
      <w:r w:rsidR="00D9258C" w:rsidRPr="00FD6A6A">
        <w:t>is</w:t>
      </w:r>
      <w:r w:rsidR="00541D05">
        <w:t xml:space="preserve"> </w:t>
      </w:r>
      <w:r w:rsidR="00D9258C" w:rsidRPr="00FD6A6A">
        <w:t>still</w:t>
      </w:r>
      <w:r w:rsidR="00541D05">
        <w:t xml:space="preserve"> </w:t>
      </w:r>
      <w:r w:rsidR="00D9258C" w:rsidRPr="00FD6A6A">
        <w:t>a</w:t>
      </w:r>
      <w:r w:rsidR="00541D05">
        <w:t xml:space="preserve"> </w:t>
      </w:r>
      <w:r w:rsidR="00D9258C" w:rsidRPr="00FD6A6A">
        <w:t>challenge.</w:t>
      </w:r>
    </w:p>
    <w:p w14:paraId="1BA7CB23" w14:textId="46D16F07" w:rsidR="00D9258C" w:rsidRPr="00FD6A6A" w:rsidRDefault="00166390" w:rsidP="00166390">
      <w:pPr>
        <w:pStyle w:val="ParaNoG"/>
        <w:numPr>
          <w:ilvl w:val="0"/>
          <w:numId w:val="0"/>
        </w:numPr>
        <w:tabs>
          <w:tab w:val="left" w:pos="0"/>
        </w:tabs>
        <w:ind w:left="1134"/>
      </w:pPr>
      <w:r w:rsidRPr="00FD6A6A">
        <w:t>163.</w:t>
      </w:r>
      <w:r w:rsidRPr="00FD6A6A">
        <w:tab/>
      </w:r>
      <w:r w:rsidR="00D9258C" w:rsidRPr="00FD6A6A">
        <w:t>The</w:t>
      </w:r>
      <w:r w:rsidR="00541D05">
        <w:t xml:space="preserve"> </w:t>
      </w:r>
      <w:r w:rsidR="00D9258C" w:rsidRPr="00FD6A6A">
        <w:t>existing</w:t>
      </w:r>
      <w:r w:rsidR="00541D05">
        <w:t xml:space="preserve"> </w:t>
      </w:r>
      <w:r w:rsidR="00D9258C" w:rsidRPr="00FD6A6A">
        <w:t>camps</w:t>
      </w:r>
      <w:r w:rsidR="00541D05">
        <w:t xml:space="preserve"> </w:t>
      </w:r>
      <w:r w:rsidR="00D9258C" w:rsidRPr="00FD6A6A">
        <w:t>face</w:t>
      </w:r>
      <w:r w:rsidR="00541D05">
        <w:t xml:space="preserve"> </w:t>
      </w:r>
      <w:r w:rsidR="00D9258C" w:rsidRPr="00FD6A6A">
        <w:t>challenges</w:t>
      </w:r>
      <w:r w:rsidR="00541D05">
        <w:t xml:space="preserve"> </w:t>
      </w:r>
      <w:r w:rsidR="00D9258C" w:rsidRPr="00FD6A6A">
        <w:t>concerning</w:t>
      </w:r>
      <w:r w:rsidR="00541D05">
        <w:t xml:space="preserve"> </w:t>
      </w:r>
      <w:r w:rsidR="00D9258C" w:rsidRPr="00FD6A6A">
        <w:t>basic</w:t>
      </w:r>
      <w:r w:rsidR="00541D05">
        <w:t xml:space="preserve"> </w:t>
      </w:r>
      <w:r w:rsidR="00D9258C" w:rsidRPr="00FD6A6A">
        <w:t>infrastructure,</w:t>
      </w:r>
      <w:r w:rsidR="00541D05">
        <w:t xml:space="preserve"> </w:t>
      </w:r>
      <w:r w:rsidR="00D9258C" w:rsidRPr="00FD6A6A">
        <w:t>such</w:t>
      </w:r>
      <w:r w:rsidR="00541D05">
        <w:t xml:space="preserve"> </w:t>
      </w:r>
      <w:r w:rsidR="00D9258C" w:rsidRPr="00FD6A6A">
        <w:t>as</w:t>
      </w:r>
      <w:r w:rsidR="00541D05">
        <w:t xml:space="preserve"> </w:t>
      </w:r>
      <w:r w:rsidR="00D9258C" w:rsidRPr="00FD6A6A">
        <w:t>access</w:t>
      </w:r>
      <w:r w:rsidR="00541D05">
        <w:t xml:space="preserve"> </w:t>
      </w:r>
      <w:r w:rsidR="00D9258C" w:rsidRPr="00FD6A6A">
        <w:t>to</w:t>
      </w:r>
      <w:r w:rsidR="00541D05">
        <w:t xml:space="preserve"> </w:t>
      </w:r>
      <w:r w:rsidR="00D9258C" w:rsidRPr="00FD6A6A">
        <w:t>drinking</w:t>
      </w:r>
      <w:r w:rsidR="00541D05">
        <w:t xml:space="preserve"> </w:t>
      </w:r>
      <w:r w:rsidR="00D9258C" w:rsidRPr="00FD6A6A">
        <w:t>water,</w:t>
      </w:r>
      <w:r w:rsidR="00541D05">
        <w:t xml:space="preserve"> </w:t>
      </w:r>
      <w:r w:rsidR="00D9258C" w:rsidRPr="00FD6A6A">
        <w:t>sanitation,</w:t>
      </w:r>
      <w:r w:rsidR="00541D05">
        <w:t xml:space="preserve"> </w:t>
      </w:r>
      <w:r w:rsidR="00D9258C" w:rsidRPr="00FD6A6A">
        <w:t>electricity,</w:t>
      </w:r>
      <w:r w:rsidR="00541D05">
        <w:t xml:space="preserve"> </w:t>
      </w:r>
      <w:r w:rsidR="00D9258C" w:rsidRPr="00FD6A6A">
        <w:t>and</w:t>
      </w:r>
      <w:r w:rsidR="00541D05">
        <w:t xml:space="preserve"> </w:t>
      </w:r>
      <w:r w:rsidR="00D9258C" w:rsidRPr="00FD6A6A">
        <w:t>public</w:t>
      </w:r>
      <w:r w:rsidR="00541D05">
        <w:t xml:space="preserve"> </w:t>
      </w:r>
      <w:r w:rsidR="00D9258C" w:rsidRPr="00FD6A6A">
        <w:t>transportation.</w:t>
      </w:r>
    </w:p>
    <w:p w14:paraId="0F28B338" w14:textId="6F9BCB41" w:rsidR="00D9258C" w:rsidRPr="00FD6A6A" w:rsidRDefault="00166390" w:rsidP="00166390">
      <w:pPr>
        <w:pStyle w:val="ParaNoG"/>
        <w:numPr>
          <w:ilvl w:val="0"/>
          <w:numId w:val="0"/>
        </w:numPr>
        <w:tabs>
          <w:tab w:val="left" w:pos="0"/>
        </w:tabs>
        <w:ind w:left="1134"/>
      </w:pPr>
      <w:r w:rsidRPr="00FD6A6A">
        <w:t>164.</w:t>
      </w:r>
      <w:r w:rsidRPr="00FD6A6A">
        <w:tab/>
      </w:r>
      <w:r w:rsidR="00D9258C" w:rsidRPr="00FD6A6A">
        <w:t>Education</w:t>
      </w:r>
      <w:r w:rsidR="00541D05">
        <w:t xml:space="preserve"> </w:t>
      </w:r>
      <w:r w:rsidR="00D9258C" w:rsidRPr="00FD6A6A">
        <w:t>is</w:t>
      </w:r>
      <w:r w:rsidR="00541D05">
        <w:t xml:space="preserve"> </w:t>
      </w:r>
      <w:r w:rsidR="00D9258C" w:rsidRPr="00FD6A6A">
        <w:t>another</w:t>
      </w:r>
      <w:r w:rsidR="00541D05">
        <w:t xml:space="preserve"> </w:t>
      </w:r>
      <w:r w:rsidR="00D9258C" w:rsidRPr="00FD6A6A">
        <w:t>right</w:t>
      </w:r>
      <w:r w:rsidR="00541D05">
        <w:t xml:space="preserve"> </w:t>
      </w:r>
      <w:r w:rsidR="00D9258C" w:rsidRPr="00FD6A6A">
        <w:t>claimed</w:t>
      </w:r>
      <w:r w:rsidR="00541D05">
        <w:t xml:space="preserve"> </w:t>
      </w:r>
      <w:r w:rsidR="00D9258C" w:rsidRPr="00FD6A6A">
        <w:t>by</w:t>
      </w:r>
      <w:r w:rsidR="00541D05">
        <w:t xml:space="preserve"> </w:t>
      </w:r>
      <w:r w:rsidR="00D9258C" w:rsidRPr="00FD6A6A">
        <w:t>Romani</w:t>
      </w:r>
      <w:r w:rsidR="00541D05">
        <w:t xml:space="preserve"> </w:t>
      </w:r>
      <w:r w:rsidR="00D9258C" w:rsidRPr="00FD6A6A">
        <w:t>peoples,</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access</w:t>
      </w:r>
      <w:r w:rsidR="00541D05">
        <w:t xml:space="preserve"> </w:t>
      </w:r>
      <w:r w:rsidR="00D9258C" w:rsidRPr="00FD6A6A">
        <w:t>of</w:t>
      </w:r>
      <w:r w:rsidR="00541D05">
        <w:t xml:space="preserve"> </w:t>
      </w:r>
      <w:r w:rsidR="00D9258C" w:rsidRPr="00FD6A6A">
        <w:t>children</w:t>
      </w:r>
      <w:r w:rsidR="00541D05">
        <w:t xml:space="preserve"> </w:t>
      </w:r>
      <w:r w:rsidR="00D9258C" w:rsidRPr="00FD6A6A">
        <w:t>to</w:t>
      </w:r>
      <w:r w:rsidR="00541D05">
        <w:t xml:space="preserve"> </w:t>
      </w:r>
      <w:r w:rsidR="00D9258C" w:rsidRPr="00FD6A6A">
        <w:t>formal</w:t>
      </w:r>
      <w:r w:rsidR="00541D05">
        <w:t xml:space="preserve"> </w:t>
      </w:r>
      <w:r w:rsidR="00D9258C" w:rsidRPr="00FD6A6A">
        <w:t>education.</w:t>
      </w:r>
    </w:p>
    <w:p w14:paraId="277012FC" w14:textId="2EC250A0" w:rsidR="00D9258C" w:rsidRPr="00FD6A6A" w:rsidRDefault="00166390" w:rsidP="00166390">
      <w:pPr>
        <w:pStyle w:val="ParaNoG"/>
        <w:numPr>
          <w:ilvl w:val="0"/>
          <w:numId w:val="0"/>
        </w:numPr>
        <w:tabs>
          <w:tab w:val="left" w:pos="0"/>
        </w:tabs>
        <w:ind w:left="1134"/>
      </w:pPr>
      <w:r w:rsidRPr="00FD6A6A">
        <w:t>165.</w:t>
      </w:r>
      <w:r w:rsidRPr="00FD6A6A">
        <w:tab/>
      </w:r>
      <w:r w:rsidR="00D9258C" w:rsidRPr="00FD6A6A">
        <w:t>Adults,</w:t>
      </w:r>
      <w:r w:rsidR="00541D05">
        <w:t xml:space="preserve"> </w:t>
      </w:r>
      <w:r w:rsidR="00D9258C" w:rsidRPr="00FD6A6A">
        <w:t>on</w:t>
      </w:r>
      <w:r w:rsidR="00541D05">
        <w:t xml:space="preserve"> </w:t>
      </w:r>
      <w:r w:rsidR="00D9258C" w:rsidRPr="00FD6A6A">
        <w:t>their</w:t>
      </w:r>
      <w:r w:rsidR="00541D05">
        <w:t xml:space="preserve"> </w:t>
      </w:r>
      <w:r w:rsidR="00D9258C" w:rsidRPr="00FD6A6A">
        <w:t>turn,</w:t>
      </w:r>
      <w:r w:rsidR="00541D05">
        <w:t xml:space="preserve"> </w:t>
      </w:r>
      <w:r w:rsidR="00D9258C" w:rsidRPr="00FD6A6A">
        <w:t>have</w:t>
      </w:r>
      <w:r w:rsidR="00541D05">
        <w:t xml:space="preserve"> </w:t>
      </w:r>
      <w:r w:rsidR="00D9258C" w:rsidRPr="00FD6A6A">
        <w:t>also</w:t>
      </w:r>
      <w:r w:rsidR="00541D05">
        <w:t xml:space="preserve"> </w:t>
      </w:r>
      <w:r w:rsidR="00D9258C" w:rsidRPr="00FD6A6A">
        <w:t>been</w:t>
      </w:r>
      <w:r w:rsidR="00541D05">
        <w:t xml:space="preserve"> </w:t>
      </w:r>
      <w:r w:rsidR="00D9258C" w:rsidRPr="00FD6A6A">
        <w:t>seeking</w:t>
      </w:r>
      <w:r w:rsidR="00541D05">
        <w:t xml:space="preserve"> </w:t>
      </w:r>
      <w:r w:rsidR="00D9258C" w:rsidRPr="00FD6A6A">
        <w:t>formal</w:t>
      </w:r>
      <w:r w:rsidR="00541D05">
        <w:t xml:space="preserve"> </w:t>
      </w:r>
      <w:r w:rsidR="00D9258C" w:rsidRPr="00FD6A6A">
        <w:t>studies.</w:t>
      </w:r>
      <w:r w:rsidR="00541D05">
        <w:t xml:space="preserve"> </w:t>
      </w:r>
      <w:r w:rsidR="00D9258C" w:rsidRPr="00FD6A6A">
        <w:t>The</w:t>
      </w:r>
      <w:r w:rsidR="00541D05">
        <w:t xml:space="preserve"> </w:t>
      </w:r>
      <w:r w:rsidR="00D9258C" w:rsidRPr="00FD6A6A">
        <w:t>demand</w:t>
      </w:r>
      <w:r w:rsidR="00541D05">
        <w:t xml:space="preserve"> </w:t>
      </w:r>
      <w:r w:rsidR="00D9258C" w:rsidRPr="00FD6A6A">
        <w:t>for</w:t>
      </w:r>
      <w:r w:rsidR="00541D05">
        <w:t xml:space="preserve"> </w:t>
      </w:r>
      <w:r w:rsidR="00D9258C" w:rsidRPr="00FD6A6A">
        <w:t>primary</w:t>
      </w:r>
      <w:r w:rsidR="00541D05">
        <w:t xml:space="preserve"> </w:t>
      </w:r>
      <w:r w:rsidR="00D9258C" w:rsidRPr="00FD6A6A">
        <w:t>education</w:t>
      </w:r>
      <w:r w:rsidR="00541D05">
        <w:t xml:space="preserve"> </w:t>
      </w:r>
      <w:r w:rsidR="00D9258C" w:rsidRPr="00FD6A6A">
        <w:t>is</w:t>
      </w:r>
      <w:r w:rsidR="00541D05">
        <w:t xml:space="preserve"> </w:t>
      </w:r>
      <w:r w:rsidR="00D9258C" w:rsidRPr="00FD6A6A">
        <w:t>also</w:t>
      </w:r>
      <w:r w:rsidR="00541D05">
        <w:t xml:space="preserve"> </w:t>
      </w:r>
      <w:r w:rsidR="00D9258C" w:rsidRPr="00FD6A6A">
        <w:t>growing</w:t>
      </w:r>
      <w:r w:rsidR="00541D05">
        <w:t xml:space="preserve"> </w:t>
      </w:r>
      <w:r w:rsidR="00D9258C" w:rsidRPr="00FD6A6A">
        <w:t>among</w:t>
      </w:r>
      <w:r w:rsidR="00541D05">
        <w:t xml:space="preserve"> </w:t>
      </w:r>
      <w:r w:rsidR="00D9258C" w:rsidRPr="00FD6A6A">
        <w:t>adult</w:t>
      </w:r>
      <w:r w:rsidR="00541D05">
        <w:t xml:space="preserve"> </w:t>
      </w:r>
      <w:r w:rsidR="00D9258C" w:rsidRPr="00FD6A6A">
        <w:t>Romani</w:t>
      </w:r>
      <w:r w:rsidR="00541D05">
        <w:t xml:space="preserve"> </w:t>
      </w:r>
      <w:r w:rsidR="00D9258C" w:rsidRPr="00FD6A6A">
        <w:t>persons.</w:t>
      </w:r>
    </w:p>
    <w:p w14:paraId="11950466" w14:textId="1142123C" w:rsidR="00D9258C" w:rsidRPr="00FD6A6A" w:rsidRDefault="00166390" w:rsidP="00166390">
      <w:pPr>
        <w:pStyle w:val="ParaNoG"/>
        <w:numPr>
          <w:ilvl w:val="0"/>
          <w:numId w:val="0"/>
        </w:numPr>
        <w:tabs>
          <w:tab w:val="left" w:pos="0"/>
        </w:tabs>
        <w:ind w:left="1134"/>
      </w:pPr>
      <w:r w:rsidRPr="00FD6A6A">
        <w:t>166.</w:t>
      </w:r>
      <w:r w:rsidRPr="00FD6A6A">
        <w:tab/>
      </w:r>
      <w:r w:rsidR="00D9258C" w:rsidRPr="00FD6A6A">
        <w:t>Access</w:t>
      </w:r>
      <w:r w:rsidR="00541D05">
        <w:t xml:space="preserve"> </w:t>
      </w:r>
      <w:r w:rsidR="00D9258C" w:rsidRPr="00FD6A6A">
        <w:t>to</w:t>
      </w:r>
      <w:r w:rsidR="00541D05">
        <w:t xml:space="preserve"> </w:t>
      </w:r>
      <w:r w:rsidR="00D9258C" w:rsidRPr="00FD6A6A">
        <w:t>health</w:t>
      </w:r>
      <w:r w:rsidR="00541D05">
        <w:t xml:space="preserve"> </w:t>
      </w:r>
      <w:r w:rsidR="00D9258C" w:rsidRPr="00FD6A6A">
        <w:t>is</w:t>
      </w:r>
      <w:r w:rsidR="00541D05">
        <w:t xml:space="preserve"> </w:t>
      </w:r>
      <w:r w:rsidR="00D9258C" w:rsidRPr="00FD6A6A">
        <w:t>another</w:t>
      </w:r>
      <w:r w:rsidR="00541D05">
        <w:t xml:space="preserve"> </w:t>
      </w:r>
      <w:r w:rsidR="00D9258C" w:rsidRPr="00FD6A6A">
        <w:t>important</w:t>
      </w:r>
      <w:r w:rsidR="00541D05">
        <w:t xml:space="preserve"> </w:t>
      </w:r>
      <w:r w:rsidR="00D9258C" w:rsidRPr="00FD6A6A">
        <w:t>claim</w:t>
      </w:r>
      <w:r w:rsidR="00541D05">
        <w:t xml:space="preserve"> </w:t>
      </w:r>
      <w:r w:rsidR="00D9258C" w:rsidRPr="00FD6A6A">
        <w:t>of</w:t>
      </w:r>
      <w:r w:rsidR="00541D05">
        <w:t xml:space="preserve"> </w:t>
      </w:r>
      <w:r w:rsidR="00D9258C" w:rsidRPr="00FD6A6A">
        <w:t>Romani</w:t>
      </w:r>
      <w:r w:rsidR="00541D05">
        <w:t xml:space="preserve"> </w:t>
      </w:r>
      <w:r w:rsidR="00D9258C" w:rsidRPr="00FD6A6A">
        <w:t>peoples.</w:t>
      </w:r>
    </w:p>
    <w:p w14:paraId="1CD66F09" w14:textId="01C22CEC" w:rsidR="00D9258C" w:rsidRPr="00FD6A6A" w:rsidRDefault="00166390" w:rsidP="00166390">
      <w:pPr>
        <w:pStyle w:val="ParaNoG"/>
        <w:numPr>
          <w:ilvl w:val="0"/>
          <w:numId w:val="0"/>
        </w:numPr>
        <w:tabs>
          <w:tab w:val="left" w:pos="0"/>
        </w:tabs>
        <w:ind w:left="1134"/>
      </w:pPr>
      <w:r w:rsidRPr="00FD6A6A">
        <w:t>167.</w:t>
      </w:r>
      <w:r w:rsidRPr="00FD6A6A">
        <w:tab/>
      </w:r>
      <w:r w:rsidR="00D9258C" w:rsidRPr="00FD6A6A">
        <w:t>Romani</w:t>
      </w:r>
      <w:r w:rsidR="00541D05">
        <w:t xml:space="preserve"> </w:t>
      </w:r>
      <w:r w:rsidR="00D9258C" w:rsidRPr="00FD6A6A">
        <w:t>women</w:t>
      </w:r>
      <w:r w:rsidR="00541D05">
        <w:t xml:space="preserve"> </w:t>
      </w:r>
      <w:r w:rsidR="00D9258C" w:rsidRPr="00FD6A6A">
        <w:t>play</w:t>
      </w:r>
      <w:r w:rsidR="00541D05">
        <w:t xml:space="preserve"> </w:t>
      </w:r>
      <w:r w:rsidR="00D9258C" w:rsidRPr="00FD6A6A">
        <w:t>a</w:t>
      </w:r>
      <w:r w:rsidR="00541D05">
        <w:t xml:space="preserve"> </w:t>
      </w:r>
      <w:r w:rsidR="00D9258C" w:rsidRPr="00FD6A6A">
        <w:t>special</w:t>
      </w:r>
      <w:r w:rsidR="00541D05">
        <w:t xml:space="preserve"> </w:t>
      </w:r>
      <w:r w:rsidR="00D9258C" w:rsidRPr="00FD6A6A">
        <w:t>role</w:t>
      </w:r>
      <w:r w:rsidR="00541D05">
        <w:t xml:space="preserve"> </w:t>
      </w:r>
      <w:r w:rsidR="00D9258C" w:rsidRPr="00FD6A6A">
        <w:t>in</w:t>
      </w:r>
      <w:r w:rsidR="00541D05">
        <w:t xml:space="preserve"> </w:t>
      </w:r>
      <w:r w:rsidR="00D9258C" w:rsidRPr="00FD6A6A">
        <w:t>health</w:t>
      </w:r>
      <w:r w:rsidR="00541D05">
        <w:t xml:space="preserve"> </w:t>
      </w:r>
      <w:r w:rsidR="00D9258C" w:rsidRPr="00FD6A6A">
        <w:t>care</w:t>
      </w:r>
      <w:r w:rsidR="00541D05">
        <w:t xml:space="preserve"> </w:t>
      </w:r>
      <w:r w:rsidR="00D9258C" w:rsidRPr="00FD6A6A">
        <w:t>within</w:t>
      </w:r>
      <w:r w:rsidR="00541D05">
        <w:t xml:space="preserve"> </w:t>
      </w:r>
      <w:r w:rsidR="00D9258C" w:rsidRPr="00FD6A6A">
        <w:t>the</w:t>
      </w:r>
      <w:r w:rsidR="00541D05">
        <w:t xml:space="preserve"> </w:t>
      </w:r>
      <w:r w:rsidR="00D9258C" w:rsidRPr="00FD6A6A">
        <w:t>groups,</w:t>
      </w:r>
      <w:r w:rsidR="00541D05">
        <w:t xml:space="preserve"> </w:t>
      </w:r>
      <w:r w:rsidR="00D9258C" w:rsidRPr="00FD6A6A">
        <w:t>as</w:t>
      </w:r>
      <w:r w:rsidR="00541D05">
        <w:t xml:space="preserve"> </w:t>
      </w:r>
      <w:r w:rsidR="00D9258C" w:rsidRPr="00FD6A6A">
        <w:t>they</w:t>
      </w:r>
      <w:r w:rsidR="00541D05">
        <w:t xml:space="preserve"> </w:t>
      </w:r>
      <w:r w:rsidR="00D9258C" w:rsidRPr="00FD6A6A">
        <w:t>are</w:t>
      </w:r>
      <w:r w:rsidR="00541D05">
        <w:t xml:space="preserve"> </w:t>
      </w:r>
      <w:r w:rsidR="00D9258C" w:rsidRPr="00FD6A6A">
        <w:t>responsible</w:t>
      </w:r>
      <w:r w:rsidR="00541D05">
        <w:t xml:space="preserve"> </w:t>
      </w:r>
      <w:r w:rsidR="00D9258C" w:rsidRPr="00FD6A6A">
        <w:t>for</w:t>
      </w:r>
      <w:r w:rsidR="00541D05">
        <w:t xml:space="preserve"> </w:t>
      </w:r>
      <w:r w:rsidR="00D9258C" w:rsidRPr="00FD6A6A">
        <w:t>acting</w:t>
      </w:r>
      <w:r w:rsidR="00541D05">
        <w:t xml:space="preserve"> </w:t>
      </w:r>
      <w:r w:rsidR="00D9258C" w:rsidRPr="00FD6A6A">
        <w:t>in</w:t>
      </w:r>
      <w:r w:rsidR="00541D05">
        <w:t xml:space="preserve"> </w:t>
      </w:r>
      <w:r w:rsidR="00D9258C" w:rsidRPr="00FD6A6A">
        <w:t>the</w:t>
      </w:r>
      <w:r w:rsidR="00541D05">
        <w:t xml:space="preserve"> </w:t>
      </w:r>
      <w:r w:rsidR="00D9258C" w:rsidRPr="00FD6A6A">
        <w:t>reproduction</w:t>
      </w:r>
      <w:r w:rsidR="00541D05">
        <w:t xml:space="preserve"> </w:t>
      </w:r>
      <w:r w:rsidR="00D9258C" w:rsidRPr="00FD6A6A">
        <w:t>of</w:t>
      </w:r>
      <w:r w:rsidR="00541D05">
        <w:t xml:space="preserve"> </w:t>
      </w:r>
      <w:r w:rsidR="00D9258C" w:rsidRPr="00FD6A6A">
        <w:t>traditional</w:t>
      </w:r>
      <w:r w:rsidR="00541D05">
        <w:t xml:space="preserve"> </w:t>
      </w:r>
      <w:r w:rsidR="00D9258C" w:rsidRPr="00FD6A6A">
        <w:t>forms</w:t>
      </w:r>
      <w:r w:rsidR="00541D05">
        <w:t xml:space="preserve"> </w:t>
      </w:r>
      <w:r w:rsidR="00D9258C" w:rsidRPr="00FD6A6A">
        <w:t>of</w:t>
      </w:r>
      <w:r w:rsidR="00541D05">
        <w:t xml:space="preserve"> </w:t>
      </w:r>
      <w:r w:rsidR="00D9258C" w:rsidRPr="00FD6A6A">
        <w:t>healing.</w:t>
      </w:r>
    </w:p>
    <w:p w14:paraId="696E65AA" w14:textId="01AA6A71" w:rsidR="00D9258C" w:rsidRPr="00FD6A6A" w:rsidRDefault="00166390" w:rsidP="00166390">
      <w:pPr>
        <w:pStyle w:val="ParaNoG"/>
        <w:numPr>
          <w:ilvl w:val="0"/>
          <w:numId w:val="0"/>
        </w:numPr>
        <w:tabs>
          <w:tab w:val="left" w:pos="0"/>
        </w:tabs>
        <w:ind w:left="1134"/>
      </w:pPr>
      <w:r w:rsidRPr="00FD6A6A">
        <w:t>168.</w:t>
      </w:r>
      <w:r w:rsidRPr="00FD6A6A">
        <w:tab/>
      </w:r>
      <w:r w:rsidR="00D9258C" w:rsidRPr="00FD6A6A">
        <w:t>In</w:t>
      </w:r>
      <w:r w:rsidR="00541D05">
        <w:t xml:space="preserve"> </w:t>
      </w:r>
      <w:r w:rsidR="00D9258C" w:rsidRPr="00FD6A6A">
        <w:t>2004</w:t>
      </w:r>
      <w:r w:rsidR="00541D05">
        <w:t xml:space="preserve"> </w:t>
      </w:r>
      <w:r w:rsidR="00D9258C" w:rsidRPr="00FD6A6A">
        <w:t>the</w:t>
      </w:r>
      <w:r w:rsidR="00541D05">
        <w:t xml:space="preserve"> </w:t>
      </w:r>
      <w:r w:rsidR="00D9258C" w:rsidRPr="00FD6A6A">
        <w:t>situation</w:t>
      </w:r>
      <w:r w:rsidR="00541D05">
        <w:t xml:space="preserve"> </w:t>
      </w:r>
      <w:r w:rsidR="00D9258C" w:rsidRPr="00FD6A6A">
        <w:t>of</w:t>
      </w:r>
      <w:r w:rsidR="00541D05">
        <w:t xml:space="preserve"> </w:t>
      </w:r>
      <w:r w:rsidR="00D9258C" w:rsidRPr="00FD6A6A">
        <w:t>Romani</w:t>
      </w:r>
      <w:r w:rsidR="00541D05">
        <w:t xml:space="preserve"> </w:t>
      </w:r>
      <w:r w:rsidR="00D9258C" w:rsidRPr="00FD6A6A">
        <w:t>peoples</w:t>
      </w:r>
      <w:r w:rsidR="00541D05">
        <w:t xml:space="preserve"> </w:t>
      </w:r>
      <w:r w:rsidR="00D9258C" w:rsidRPr="00FD6A6A">
        <w:t>in</w:t>
      </w:r>
      <w:r w:rsidR="00541D05">
        <w:t xml:space="preserve"> </w:t>
      </w:r>
      <w:r w:rsidR="00D9258C" w:rsidRPr="00FD6A6A">
        <w:t>Brazil</w:t>
      </w:r>
      <w:r w:rsidR="00541D05">
        <w:t xml:space="preserve"> </w:t>
      </w:r>
      <w:r w:rsidR="00D9258C" w:rsidRPr="00FD6A6A">
        <w:t>gained</w:t>
      </w:r>
      <w:r w:rsidR="00541D05">
        <w:t xml:space="preserve"> </w:t>
      </w:r>
      <w:r w:rsidR="00D9258C" w:rsidRPr="00FD6A6A">
        <w:t>more</w:t>
      </w:r>
      <w:r w:rsidR="00541D05">
        <w:t xml:space="preserve"> </w:t>
      </w:r>
      <w:r w:rsidR="00D9258C" w:rsidRPr="00FD6A6A">
        <w:t>public</w:t>
      </w:r>
      <w:r w:rsidR="00541D05">
        <w:t xml:space="preserve"> </w:t>
      </w:r>
      <w:r w:rsidR="00D9258C" w:rsidRPr="00FD6A6A">
        <w:t>visibility,</w:t>
      </w:r>
      <w:r w:rsidR="00541D05">
        <w:t xml:space="preserve"> </w:t>
      </w:r>
      <w:r w:rsidR="00D9258C" w:rsidRPr="00FD6A6A">
        <w:t>after</w:t>
      </w:r>
      <w:r w:rsidR="00541D05">
        <w:t xml:space="preserve"> </w:t>
      </w:r>
      <w:r w:rsidR="00D9258C" w:rsidRPr="00FD6A6A">
        <w:t>the</w:t>
      </w:r>
      <w:r w:rsidR="00541D05">
        <w:t xml:space="preserve"> </w:t>
      </w:r>
      <w:r w:rsidR="00D9258C" w:rsidRPr="00FD6A6A">
        <w:t>guarantee</w:t>
      </w:r>
      <w:r w:rsidR="00541D05">
        <w:t xml:space="preserve"> </w:t>
      </w:r>
      <w:r w:rsidR="00D9258C" w:rsidRPr="00FD6A6A">
        <w:t>of</w:t>
      </w:r>
      <w:r w:rsidR="00541D05">
        <w:t xml:space="preserve"> </w:t>
      </w:r>
      <w:r w:rsidR="00D9258C" w:rsidRPr="00FD6A6A">
        <w:t>the</w:t>
      </w:r>
      <w:r w:rsidR="00541D05">
        <w:t xml:space="preserve"> </w:t>
      </w:r>
      <w:r w:rsidR="00D9258C" w:rsidRPr="00FD6A6A">
        <w:t>representation</w:t>
      </w:r>
      <w:r w:rsidR="00541D05">
        <w:t xml:space="preserve"> </w:t>
      </w:r>
      <w:r w:rsidR="00D9258C" w:rsidRPr="00FD6A6A">
        <w:t>of</w:t>
      </w:r>
      <w:r w:rsidR="00541D05">
        <w:t xml:space="preserve"> </w:t>
      </w:r>
      <w:r w:rsidR="00D9258C" w:rsidRPr="00FD6A6A">
        <w:t>this</w:t>
      </w:r>
      <w:r w:rsidR="00541D05">
        <w:t xml:space="preserve"> </w:t>
      </w:r>
      <w:r w:rsidR="00D9258C" w:rsidRPr="00FD6A6A">
        <w:t>segment</w:t>
      </w:r>
      <w:r w:rsidR="00541D05">
        <w:t xml:space="preserve"> </w:t>
      </w:r>
      <w:r w:rsidR="00D9258C" w:rsidRPr="00FD6A6A">
        <w:t>in</w:t>
      </w:r>
      <w:r w:rsidR="00541D05">
        <w:t xml:space="preserve"> </w:t>
      </w:r>
      <w:r w:rsidR="00D9258C" w:rsidRPr="00FD6A6A">
        <w:t>the</w:t>
      </w:r>
      <w:r w:rsidR="00541D05">
        <w:t xml:space="preserve"> </w:t>
      </w:r>
      <w:r w:rsidR="00D9258C" w:rsidRPr="00FD6A6A">
        <w:t>National</w:t>
      </w:r>
      <w:r w:rsidR="00541D05">
        <w:t xml:space="preserve"> </w:t>
      </w:r>
      <w:r w:rsidR="00D9258C" w:rsidRPr="00FD6A6A">
        <w:t>Council</w:t>
      </w:r>
      <w:r w:rsidR="00541D05">
        <w:t xml:space="preserve"> </w:t>
      </w:r>
      <w:r w:rsidR="00D9258C" w:rsidRPr="00FD6A6A">
        <w:t>of</w:t>
      </w:r>
      <w:r w:rsidR="00541D05">
        <w:t xml:space="preserve"> </w:t>
      </w:r>
      <w:r w:rsidR="00D9258C" w:rsidRPr="00FD6A6A">
        <w:t>Policies</w:t>
      </w:r>
      <w:r w:rsidR="00541D05">
        <w:t xml:space="preserve"> </w:t>
      </w:r>
      <w:r w:rsidR="00D9258C" w:rsidRPr="00FD6A6A">
        <w:t>for</w:t>
      </w:r>
      <w:r w:rsidR="00541D05">
        <w:t xml:space="preserve"> </w:t>
      </w:r>
      <w:r w:rsidR="00D9258C" w:rsidRPr="00FD6A6A">
        <w:t>Racial</w:t>
      </w:r>
      <w:r w:rsidR="00541D05">
        <w:t xml:space="preserve"> </w:t>
      </w:r>
      <w:r w:rsidR="00D9258C" w:rsidRPr="00FD6A6A">
        <w:t>Equality,</w:t>
      </w:r>
      <w:r w:rsidR="00541D05">
        <w:t xml:space="preserve"> </w:t>
      </w:r>
      <w:r w:rsidR="00D9258C" w:rsidRPr="00FD6A6A">
        <w:t>a</w:t>
      </w:r>
      <w:r w:rsidR="00541D05">
        <w:t xml:space="preserve"> </w:t>
      </w:r>
      <w:r w:rsidR="00D9258C" w:rsidRPr="00FD6A6A">
        <w:t>body</w:t>
      </w:r>
      <w:r w:rsidR="00541D05">
        <w:t xml:space="preserve"> </w:t>
      </w:r>
      <w:r w:rsidR="00D9258C" w:rsidRPr="00FD6A6A">
        <w:t>reporting</w:t>
      </w:r>
      <w:r w:rsidR="00541D05">
        <w:t xml:space="preserve"> </w:t>
      </w:r>
      <w:r w:rsidR="00D9258C" w:rsidRPr="00FD6A6A">
        <w:t>to</w:t>
      </w:r>
      <w:r w:rsidR="00541D05">
        <w:t xml:space="preserve"> </w:t>
      </w:r>
      <w:r w:rsidR="00D9258C" w:rsidRPr="00FD6A6A">
        <w:t>SNPPIR/MMFDH</w:t>
      </w:r>
      <w:r w:rsidR="00541D05">
        <w:t xml:space="preserve"> </w:t>
      </w:r>
      <w:r w:rsidR="00D9258C" w:rsidRPr="00FD6A6A">
        <w:t>and</w:t>
      </w:r>
      <w:r w:rsidR="00541D05">
        <w:t xml:space="preserve"> </w:t>
      </w:r>
      <w:r w:rsidR="00D9258C" w:rsidRPr="00FD6A6A">
        <w:t>that</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developing</w:t>
      </w:r>
      <w:r w:rsidR="00541D05">
        <w:t xml:space="preserve"> </w:t>
      </w:r>
      <w:r w:rsidR="00D9258C" w:rsidRPr="00FD6A6A">
        <w:t>strategies</w:t>
      </w:r>
      <w:r w:rsidR="00541D05">
        <w:t xml:space="preserve"> </w:t>
      </w:r>
      <w:r w:rsidR="00D9258C" w:rsidRPr="00FD6A6A">
        <w:t>for</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of</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p>
    <w:p w14:paraId="4B3F09D7" w14:textId="474D75BB" w:rsidR="00D9258C" w:rsidRPr="00FD6A6A" w:rsidRDefault="00166390" w:rsidP="00166390">
      <w:pPr>
        <w:pStyle w:val="ParaNoG"/>
        <w:numPr>
          <w:ilvl w:val="0"/>
          <w:numId w:val="0"/>
        </w:numPr>
        <w:tabs>
          <w:tab w:val="left" w:pos="0"/>
        </w:tabs>
        <w:ind w:left="1134"/>
      </w:pPr>
      <w:r w:rsidRPr="00FD6A6A">
        <w:t>169.</w:t>
      </w:r>
      <w:r w:rsidRPr="00FD6A6A">
        <w:tab/>
      </w:r>
      <w:r w:rsidR="00D9258C" w:rsidRPr="00FD6A6A">
        <w:t>In</w:t>
      </w:r>
      <w:r w:rsidR="00541D05">
        <w:t xml:space="preserve"> </w:t>
      </w:r>
      <w:r w:rsidR="00D9258C" w:rsidRPr="00FD6A6A">
        <w:t>2006,</w:t>
      </w:r>
      <w:r w:rsidR="00541D05">
        <w:t xml:space="preserve"> </w:t>
      </w:r>
      <w:r w:rsidR="00D9258C" w:rsidRPr="00FD6A6A">
        <w:t>a</w:t>
      </w:r>
      <w:r w:rsidR="00541D05">
        <w:t xml:space="preserve"> </w:t>
      </w:r>
      <w:r w:rsidR="00D9258C" w:rsidRPr="00FD6A6A">
        <w:t>presidential</w:t>
      </w:r>
      <w:r w:rsidR="00541D05">
        <w:t xml:space="preserve"> </w:t>
      </w:r>
      <w:r w:rsidR="00D9258C" w:rsidRPr="00FD6A6A">
        <w:t>decree</w:t>
      </w:r>
      <w:r w:rsidR="00541D05">
        <w:t xml:space="preserve"> </w:t>
      </w:r>
      <w:r w:rsidR="00D9258C" w:rsidRPr="00FD6A6A">
        <w:t>established</w:t>
      </w:r>
      <w:r w:rsidR="00541D05">
        <w:t xml:space="preserve"> </w:t>
      </w:r>
      <w:r w:rsidR="00D9258C" w:rsidRPr="00FD6A6A">
        <w:t>the</w:t>
      </w:r>
      <w:r w:rsidR="00541D05">
        <w:t xml:space="preserve"> </w:t>
      </w:r>
      <w:r w:rsidR="00D9258C" w:rsidRPr="00FD6A6A">
        <w:t>National</w:t>
      </w:r>
      <w:r w:rsidR="00541D05">
        <w:t xml:space="preserve"> </w:t>
      </w:r>
      <w:r w:rsidR="00D9258C" w:rsidRPr="00FD6A6A">
        <w:t>Day</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EA62F1">
        <w:t>’</w:t>
      </w:r>
      <w:r w:rsidR="00D9258C" w:rsidRPr="00FD6A6A">
        <w:t>s</w:t>
      </w:r>
      <w:r w:rsidR="00541D05">
        <w:t xml:space="preserve"> </w:t>
      </w:r>
      <w:r w:rsidR="00D9258C" w:rsidRPr="00FD6A6A">
        <w:t>official</w:t>
      </w:r>
      <w:r w:rsidR="00541D05">
        <w:t xml:space="preserve"> </w:t>
      </w:r>
      <w:r w:rsidR="00D9258C" w:rsidRPr="00FD6A6A">
        <w:t>calendar,</w:t>
      </w:r>
      <w:r w:rsidR="00541D05">
        <w:t xml:space="preserve"> </w:t>
      </w:r>
      <w:r w:rsidR="00D9258C" w:rsidRPr="00FD6A6A">
        <w:t>celebrated</w:t>
      </w:r>
      <w:r w:rsidR="00541D05">
        <w:t xml:space="preserve"> </w:t>
      </w:r>
      <w:r w:rsidR="00D9258C" w:rsidRPr="00FD6A6A">
        <w:t>on</w:t>
      </w:r>
      <w:r w:rsidR="00541D05">
        <w:t xml:space="preserve"> </w:t>
      </w:r>
      <w:r w:rsidR="00D9258C" w:rsidRPr="00FD6A6A">
        <w:t>May</w:t>
      </w:r>
      <w:r w:rsidR="00541D05">
        <w:t xml:space="preserve"> </w:t>
      </w:r>
      <w:r w:rsidR="00D9258C" w:rsidRPr="00FD6A6A">
        <w:t>24.</w:t>
      </w:r>
    </w:p>
    <w:p w14:paraId="4C696A33" w14:textId="40CB0361" w:rsidR="00D9258C" w:rsidRPr="00FD6A6A" w:rsidRDefault="00166390" w:rsidP="00166390">
      <w:pPr>
        <w:pStyle w:val="ParaNoG"/>
        <w:numPr>
          <w:ilvl w:val="0"/>
          <w:numId w:val="0"/>
        </w:numPr>
        <w:tabs>
          <w:tab w:val="left" w:pos="0"/>
        </w:tabs>
        <w:ind w:left="1134"/>
      </w:pPr>
      <w:r w:rsidRPr="00FD6A6A">
        <w:t>170.</w:t>
      </w:r>
      <w:r w:rsidRPr="00FD6A6A">
        <w:tab/>
      </w:r>
      <w:r w:rsidR="00D9258C" w:rsidRPr="00FD6A6A">
        <w:t>In</w:t>
      </w:r>
      <w:r w:rsidR="00541D05">
        <w:t xml:space="preserve"> </w:t>
      </w:r>
      <w:r w:rsidR="00D9258C" w:rsidRPr="00FD6A6A">
        <w:t>2007,</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r w:rsidR="00541D05">
        <w:t xml:space="preserve"> </w:t>
      </w:r>
      <w:r w:rsidR="00D9258C" w:rsidRPr="00FD6A6A">
        <w:t>were</w:t>
      </w:r>
      <w:r w:rsidR="00541D05">
        <w:t xml:space="preserve"> </w:t>
      </w:r>
      <w:r w:rsidR="00D9258C" w:rsidRPr="00FD6A6A">
        <w:t>recognized</w:t>
      </w:r>
      <w:r w:rsidR="00541D05">
        <w:t xml:space="preserve"> </w:t>
      </w:r>
      <w:r w:rsidR="00D9258C" w:rsidRPr="00FD6A6A">
        <w:t>as</w:t>
      </w:r>
      <w:r w:rsidR="00541D05">
        <w:t xml:space="preserve"> </w:t>
      </w:r>
      <w:r w:rsidR="00D9258C" w:rsidRPr="00FD6A6A">
        <w:t>subjects</w:t>
      </w:r>
      <w:r w:rsidR="00541D05">
        <w:t xml:space="preserve"> </w:t>
      </w:r>
      <w:r w:rsidR="00D9258C" w:rsidRPr="00FD6A6A">
        <w:t>of</w:t>
      </w:r>
      <w:r w:rsidR="00541D05">
        <w:t xml:space="preserve"> </w:t>
      </w:r>
      <w:r w:rsidR="00D9258C" w:rsidRPr="00FD6A6A">
        <w:t>law.</w:t>
      </w:r>
      <w:r w:rsidR="00541D05">
        <w:t xml:space="preserve"> </w:t>
      </w:r>
      <w:r w:rsidR="00D9258C" w:rsidRPr="00FD6A6A">
        <w:t>This</w:t>
      </w:r>
      <w:r w:rsidR="00541D05">
        <w:t xml:space="preserve"> </w:t>
      </w:r>
      <w:r w:rsidR="00D9258C" w:rsidRPr="00FD6A6A">
        <w:t>inclusion</w:t>
      </w:r>
      <w:r w:rsidR="00541D05">
        <w:t xml:space="preserve"> </w:t>
      </w:r>
      <w:r w:rsidR="00D9258C" w:rsidRPr="00FD6A6A">
        <w:t>enabled</w:t>
      </w:r>
      <w:r w:rsidR="00541D05">
        <w:t xml:space="preserve"> </w:t>
      </w:r>
      <w:r w:rsidR="00D9258C" w:rsidRPr="00FD6A6A">
        <w:t>the</w:t>
      </w:r>
      <w:r w:rsidR="00541D05">
        <w:t xml:space="preserve"> </w:t>
      </w:r>
      <w:r w:rsidR="00D9258C" w:rsidRPr="00FD6A6A">
        <w:t>creation</w:t>
      </w:r>
      <w:r w:rsidR="00541D05">
        <w:t xml:space="preserve"> </w:t>
      </w:r>
      <w:r w:rsidR="00D9258C" w:rsidRPr="00FD6A6A">
        <w:t>of</w:t>
      </w:r>
      <w:r w:rsidR="00541D05">
        <w:t xml:space="preserve"> </w:t>
      </w:r>
      <w:r w:rsidR="00D9258C" w:rsidRPr="00FD6A6A">
        <w:t>new</w:t>
      </w:r>
      <w:r w:rsidR="00541D05">
        <w:t xml:space="preserve"> </w:t>
      </w:r>
      <w:r w:rsidR="00D9258C" w:rsidRPr="00FD6A6A">
        <w:t>public</w:t>
      </w:r>
      <w:r w:rsidR="00541D05">
        <w:t xml:space="preserve"> </w:t>
      </w:r>
      <w:r w:rsidR="00D9258C" w:rsidRPr="00FD6A6A">
        <w:t>responsibilities,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of</w:t>
      </w:r>
      <w:r w:rsidR="00541D05">
        <w:t xml:space="preserve"> </w:t>
      </w:r>
      <w:r w:rsidR="00D9258C" w:rsidRPr="00FD6A6A">
        <w:t>a</w:t>
      </w:r>
      <w:r w:rsidR="00541D05">
        <w:t xml:space="preserve"> </w:t>
      </w:r>
      <w:r w:rsidR="00D9258C" w:rsidRPr="00FD6A6A">
        <w:t>new</w:t>
      </w:r>
      <w:r w:rsidR="00541D05">
        <w:t xml:space="preserve"> </w:t>
      </w:r>
      <w:r w:rsidR="00D9258C" w:rsidRPr="00FD6A6A">
        <w:t>public</w:t>
      </w:r>
      <w:r w:rsidR="00541D05">
        <w:t xml:space="preserve"> </w:t>
      </w:r>
      <w:r w:rsidR="00D9258C" w:rsidRPr="00FD6A6A">
        <w:t>visibility</w:t>
      </w:r>
      <w:r w:rsidR="00541D05">
        <w:t xml:space="preserve"> </w:t>
      </w:r>
      <w:r w:rsidR="00D9258C" w:rsidRPr="00FD6A6A">
        <w:t>regime,</w:t>
      </w:r>
      <w:r w:rsidR="00541D05">
        <w:t xml:space="preserve"> </w:t>
      </w:r>
      <w:r w:rsidR="00D9258C" w:rsidRPr="00FD6A6A">
        <w:t>speeding</w:t>
      </w:r>
      <w:r w:rsidR="00541D05">
        <w:t xml:space="preserve"> </w:t>
      </w:r>
      <w:r w:rsidR="00D9258C" w:rsidRPr="00FD6A6A">
        <w:t>up</w:t>
      </w:r>
      <w:r w:rsidR="00541D05">
        <w:t xml:space="preserve"> </w:t>
      </w:r>
      <w:r w:rsidR="00D9258C" w:rsidRPr="00FD6A6A">
        <w:t>the</w:t>
      </w:r>
      <w:r w:rsidR="00541D05">
        <w:t xml:space="preserve"> </w:t>
      </w:r>
      <w:r w:rsidR="00D9258C" w:rsidRPr="00FD6A6A">
        <w:t>coordination</w:t>
      </w:r>
      <w:r w:rsidR="00541D05">
        <w:t xml:space="preserve"> </w:t>
      </w:r>
      <w:r w:rsidR="00D9258C" w:rsidRPr="00FD6A6A">
        <w:t>among</w:t>
      </w:r>
      <w:r w:rsidR="00541D05">
        <w:t xml:space="preserve"> </w:t>
      </w:r>
      <w:r w:rsidR="00D9258C" w:rsidRPr="00FD6A6A">
        <w:t>the</w:t>
      </w:r>
      <w:r w:rsidR="00541D05">
        <w:t xml:space="preserve"> </w:t>
      </w:r>
      <w:r w:rsidR="00D9258C" w:rsidRPr="00FD6A6A">
        <w:t>governmental</w:t>
      </w:r>
      <w:r w:rsidR="00541D05">
        <w:t xml:space="preserve"> </w:t>
      </w:r>
      <w:r w:rsidR="00D9258C" w:rsidRPr="00FD6A6A">
        <w:t>bodies</w:t>
      </w:r>
      <w:r w:rsidR="00541D05">
        <w:t xml:space="preserve"> </w:t>
      </w:r>
      <w:r w:rsidR="00D9258C" w:rsidRPr="00FD6A6A">
        <w:t>and</w:t>
      </w:r>
      <w:r w:rsidR="00541D05">
        <w:t xml:space="preserve"> </w:t>
      </w:r>
      <w:r w:rsidR="00D9258C" w:rsidRPr="00FD6A6A">
        <w:t>their</w:t>
      </w:r>
      <w:r w:rsidR="00541D05">
        <w:t xml:space="preserve"> </w:t>
      </w:r>
      <w:r w:rsidR="00D9258C" w:rsidRPr="00FD6A6A">
        <w:t>actions</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manage</w:t>
      </w:r>
      <w:r w:rsidR="00541D05">
        <w:t xml:space="preserve"> </w:t>
      </w:r>
      <w:r w:rsidR="00D9258C" w:rsidRPr="00FD6A6A">
        <w:t>the</w:t>
      </w:r>
      <w:r w:rsidR="00541D05">
        <w:t xml:space="preserve"> </w:t>
      </w:r>
      <w:r w:rsidR="00D9258C" w:rsidRPr="00FD6A6A">
        <w:t>demands</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p>
    <w:p w14:paraId="031C125A" w14:textId="0A7EE2AF" w:rsidR="00D9258C" w:rsidRPr="00FD6A6A" w:rsidRDefault="00166390" w:rsidP="00166390">
      <w:pPr>
        <w:pStyle w:val="ParaNoG"/>
        <w:numPr>
          <w:ilvl w:val="0"/>
          <w:numId w:val="0"/>
        </w:numPr>
        <w:tabs>
          <w:tab w:val="left" w:pos="0"/>
        </w:tabs>
        <w:ind w:left="1134"/>
      </w:pPr>
      <w:r w:rsidRPr="00FD6A6A">
        <w:t>171.</w:t>
      </w:r>
      <w:r w:rsidRPr="00FD6A6A">
        <w:tab/>
      </w:r>
      <w:r w:rsidR="00D9258C" w:rsidRPr="00FD6A6A">
        <w:t>It</w:t>
      </w:r>
      <w:r w:rsidR="00541D05">
        <w:t xml:space="preserve"> </w:t>
      </w:r>
      <w:r w:rsidR="00D9258C" w:rsidRPr="00FD6A6A">
        <w:t>is</w:t>
      </w:r>
      <w:r w:rsidR="00541D05">
        <w:t xml:space="preserve"> </w:t>
      </w:r>
      <w:r w:rsidR="00D9258C" w:rsidRPr="00FD6A6A">
        <w:t>worth</w:t>
      </w:r>
      <w:r w:rsidR="00541D05">
        <w:t xml:space="preserve"> </w:t>
      </w:r>
      <w:r w:rsidR="00D9258C" w:rsidRPr="00FD6A6A">
        <w:t>to</w:t>
      </w:r>
      <w:r w:rsidR="00541D05">
        <w:t xml:space="preserve"> </w:t>
      </w:r>
      <w:r w:rsidR="00D9258C" w:rsidRPr="00FD6A6A">
        <w:t>highlight</w:t>
      </w:r>
      <w:r w:rsidR="00541D05">
        <w:t xml:space="preserve"> </w:t>
      </w:r>
      <w:r w:rsidR="00D9258C" w:rsidRPr="00FD6A6A">
        <w:t>the</w:t>
      </w:r>
      <w:r w:rsidR="00541D05">
        <w:t xml:space="preserve"> </w:t>
      </w:r>
      <w:r w:rsidR="00D9258C" w:rsidRPr="00FD6A6A">
        <w:t>following</w:t>
      </w:r>
      <w:r w:rsidR="00541D05">
        <w:t xml:space="preserve"> </w:t>
      </w:r>
      <w:r w:rsidR="00D9258C" w:rsidRPr="00FD6A6A">
        <w:t>actions</w:t>
      </w:r>
      <w:r w:rsidR="00541D05">
        <w:t xml:space="preserve"> </w:t>
      </w:r>
      <w:r w:rsidR="00D9258C" w:rsidRPr="00FD6A6A">
        <w:t>and</w:t>
      </w:r>
      <w:r w:rsidR="00541D05">
        <w:t xml:space="preserve"> </w:t>
      </w:r>
      <w:r w:rsidR="00D9258C" w:rsidRPr="00FD6A6A">
        <w:t>initiatives</w:t>
      </w:r>
      <w:r w:rsidR="00541D05">
        <w:t xml:space="preserve"> </w:t>
      </w:r>
      <w:r w:rsidR="00D9258C" w:rsidRPr="00FD6A6A">
        <w:t>adopted</w:t>
      </w:r>
      <w:r w:rsidR="00541D05">
        <w:t xml:space="preserve"> </w:t>
      </w:r>
      <w:r w:rsidR="00D9258C" w:rsidRPr="00FD6A6A">
        <w:t>since</w:t>
      </w:r>
      <w:r w:rsidR="00541D05">
        <w:t xml:space="preserve"> </w:t>
      </w:r>
      <w:r w:rsidR="00D9258C" w:rsidRPr="00FD6A6A">
        <w:t>then:</w:t>
      </w:r>
    </w:p>
    <w:p w14:paraId="66F8C8C8" w14:textId="518F88C6"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Enactment</w:t>
      </w:r>
      <w:r w:rsidR="00541D05">
        <w:t xml:space="preserve"> </w:t>
      </w:r>
      <w:r w:rsidR="00D9258C" w:rsidRPr="00FD6A6A">
        <w:t>of</w:t>
      </w:r>
      <w:r w:rsidR="00541D05">
        <w:t xml:space="preserve"> </w:t>
      </w:r>
      <w:r w:rsidR="00D9258C" w:rsidRPr="00FD6A6A">
        <w:t>Ordinance</w:t>
      </w:r>
      <w:r w:rsidR="00541D05">
        <w:t xml:space="preserve"> </w:t>
      </w:r>
      <w:r w:rsidR="00D9258C" w:rsidRPr="00FD6A6A">
        <w:t>No.</w:t>
      </w:r>
      <w:r w:rsidR="00541D05">
        <w:t xml:space="preserve"> </w:t>
      </w:r>
      <w:r w:rsidR="00D9258C" w:rsidRPr="00FD6A6A">
        <w:t>1,820</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in</w:t>
      </w:r>
      <w:r w:rsidR="00541D05">
        <w:t xml:space="preserve"> </w:t>
      </w:r>
      <w:r w:rsidR="00D9258C" w:rsidRPr="00FD6A6A">
        <w:t>2009,</w:t>
      </w:r>
      <w:r w:rsidR="00541D05">
        <w:t xml:space="preserve"> </w:t>
      </w:r>
      <w:r w:rsidR="00D9258C" w:rsidRPr="00FD6A6A">
        <w:t>which</w:t>
      </w:r>
      <w:r w:rsidR="00541D05">
        <w:t xml:space="preserve"> </w:t>
      </w:r>
      <w:r w:rsidR="00D9258C" w:rsidRPr="00FD6A6A">
        <w:t>provides</w:t>
      </w:r>
      <w:r w:rsidR="00541D05">
        <w:t xml:space="preserve"> </w:t>
      </w:r>
      <w:r w:rsidR="00D9258C" w:rsidRPr="00FD6A6A">
        <w:t>for</w:t>
      </w:r>
      <w:r w:rsidR="00541D05">
        <w:t xml:space="preserve"> </w:t>
      </w:r>
      <w:r w:rsidR="00D9258C" w:rsidRPr="00FD6A6A">
        <w:t>the</w:t>
      </w:r>
      <w:r w:rsidR="00541D05">
        <w:t xml:space="preserve"> </w:t>
      </w:r>
      <w:r w:rsidR="00D9258C" w:rsidRPr="00FD6A6A">
        <w:t>rights</w:t>
      </w:r>
      <w:r w:rsidR="00541D05">
        <w:t xml:space="preserve"> </w:t>
      </w:r>
      <w:r w:rsidR="00D9258C" w:rsidRPr="00FD6A6A">
        <w:t>and</w:t>
      </w:r>
      <w:r w:rsidR="00541D05">
        <w:t xml:space="preserve"> </w:t>
      </w:r>
      <w:r w:rsidR="00D9258C" w:rsidRPr="00FD6A6A">
        <w:t>duties</w:t>
      </w:r>
      <w:r w:rsidR="00541D05">
        <w:t xml:space="preserve"> </w:t>
      </w:r>
      <w:r w:rsidR="00D9258C" w:rsidRPr="00FD6A6A">
        <w:t>of</w:t>
      </w:r>
      <w:r w:rsidR="00541D05">
        <w:t xml:space="preserve"> </w:t>
      </w:r>
      <w:r w:rsidR="00D9258C" w:rsidRPr="00FD6A6A">
        <w:t>the</w:t>
      </w:r>
      <w:r w:rsidR="00541D05">
        <w:t xml:space="preserve"> </w:t>
      </w:r>
      <w:r w:rsidR="00D9258C" w:rsidRPr="00FD6A6A">
        <w:t>users</w:t>
      </w:r>
      <w:r w:rsidR="00541D05">
        <w:t xml:space="preserve"> </w:t>
      </w:r>
      <w:r w:rsidR="00D9258C" w:rsidRPr="00FD6A6A">
        <w:t>of</w:t>
      </w:r>
      <w:r w:rsidR="00541D05">
        <w:t xml:space="preserve"> </w:t>
      </w:r>
      <w:r w:rsidR="00D9258C" w:rsidRPr="00FD6A6A">
        <w:t>the</w:t>
      </w:r>
      <w:r w:rsidR="00541D05">
        <w:t xml:space="preserve"> </w:t>
      </w:r>
      <w:r w:rsidR="00D9258C" w:rsidRPr="00FD6A6A">
        <w:t>Unified</w:t>
      </w:r>
      <w:r w:rsidR="00541D05">
        <w:t xml:space="preserve"> </w:t>
      </w:r>
      <w:r w:rsidR="00D9258C" w:rsidRPr="00FD6A6A">
        <w:t>Health</w:t>
      </w:r>
      <w:r w:rsidR="00541D05">
        <w:t xml:space="preserve"> </w:t>
      </w:r>
      <w:r w:rsidR="00D9258C" w:rsidRPr="00FD6A6A">
        <w:t>System,</w:t>
      </w:r>
      <w:r w:rsidR="00541D05">
        <w:t xml:space="preserve"> </w:t>
      </w:r>
      <w:r w:rsidR="00D9258C" w:rsidRPr="00FD6A6A">
        <w:t>prohibiting</w:t>
      </w:r>
      <w:r w:rsidR="00541D05">
        <w:t xml:space="preserve"> </w:t>
      </w:r>
      <w:r w:rsidR="00D9258C" w:rsidRPr="00FD6A6A">
        <w:t>discrimination</w:t>
      </w:r>
      <w:r w:rsidR="00541D05">
        <w:t xml:space="preserve"> </w:t>
      </w:r>
      <w:r w:rsidR="00D9258C" w:rsidRPr="00FD6A6A">
        <w:t>against</w:t>
      </w:r>
      <w:r w:rsidR="00541D05">
        <w:t xml:space="preserve"> </w:t>
      </w:r>
      <w:r w:rsidR="00D9258C" w:rsidRPr="00FD6A6A">
        <w:t>age,</w:t>
      </w:r>
      <w:r w:rsidR="00541D05">
        <w:t xml:space="preserve"> </w:t>
      </w:r>
      <w:r w:rsidR="00D9258C" w:rsidRPr="00FD6A6A">
        <w:t>race,</w:t>
      </w:r>
      <w:r w:rsidR="00541D05">
        <w:t xml:space="preserve"> </w:t>
      </w:r>
      <w:r w:rsidR="00D9258C" w:rsidRPr="00FD6A6A">
        <w:t>skin</w:t>
      </w:r>
      <w:r w:rsidR="00541D05">
        <w:t xml:space="preserve"> </w:t>
      </w:r>
      <w:r w:rsidR="00D9258C" w:rsidRPr="00FD6A6A">
        <w:t>tone,</w:t>
      </w:r>
      <w:r w:rsidR="00541D05">
        <w:t xml:space="preserve"> </w:t>
      </w:r>
      <w:r w:rsidR="00D9258C" w:rsidRPr="00FD6A6A">
        <w:t>ethnicity,</w:t>
      </w:r>
      <w:r w:rsidR="00541D05">
        <w:t xml:space="preserve"> </w:t>
      </w:r>
      <w:r w:rsidR="00D9258C" w:rsidRPr="00FD6A6A">
        <w:t>religion,</w:t>
      </w:r>
      <w:r w:rsidR="00541D05">
        <w:t xml:space="preserve"> </w:t>
      </w:r>
      <w:r w:rsidR="00D9258C" w:rsidRPr="00FD6A6A">
        <w:t>sexual</w:t>
      </w:r>
      <w:r w:rsidR="00541D05">
        <w:t xml:space="preserve"> </w:t>
      </w:r>
      <w:r w:rsidR="00D9258C" w:rsidRPr="00FD6A6A">
        <w:t>orientation,</w:t>
      </w:r>
      <w:r w:rsidR="00541D05">
        <w:t xml:space="preserve"> </w:t>
      </w:r>
      <w:r w:rsidR="00D9258C" w:rsidRPr="00FD6A6A">
        <w:t>and</w:t>
      </w:r>
      <w:r w:rsidR="00541D05">
        <w:t xml:space="preserve"> </w:t>
      </w:r>
      <w:r w:rsidR="00D9258C" w:rsidRPr="00FD6A6A">
        <w:t>gender</w:t>
      </w:r>
      <w:r w:rsidR="00541D05">
        <w:t xml:space="preserve"> </w:t>
      </w:r>
      <w:r w:rsidR="00D9258C" w:rsidRPr="00FD6A6A">
        <w:t>identity.</w:t>
      </w:r>
    </w:p>
    <w:p w14:paraId="713B8270" w14:textId="5DC10952" w:rsidR="00D9258C" w:rsidRPr="00FD6A6A" w:rsidRDefault="00166390" w:rsidP="00166390">
      <w:pPr>
        <w:pStyle w:val="Bullet1G"/>
        <w:numPr>
          <w:ilvl w:val="0"/>
          <w:numId w:val="0"/>
        </w:numPr>
        <w:tabs>
          <w:tab w:val="left" w:pos="1701"/>
        </w:tabs>
        <w:ind w:left="1701" w:hanging="170"/>
      </w:pPr>
      <w:r w:rsidRPr="00FD6A6A">
        <w:lastRenderedPageBreak/>
        <w:t>•</w:t>
      </w:r>
      <w:r w:rsidRPr="00FD6A6A">
        <w:tab/>
      </w:r>
      <w:r w:rsidR="00D9258C" w:rsidRPr="00FD6A6A">
        <w:t>Inclusion,</w:t>
      </w:r>
      <w:r w:rsidR="00541D05">
        <w:t xml:space="preserve"> </w:t>
      </w:r>
      <w:r w:rsidR="00D9258C" w:rsidRPr="00FD6A6A">
        <w:t>in</w:t>
      </w:r>
      <w:r w:rsidR="00541D05">
        <w:t xml:space="preserve"> </w:t>
      </w:r>
      <w:r w:rsidR="00D9258C" w:rsidRPr="00FD6A6A">
        <w:t>2010,</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rights</w:t>
      </w:r>
      <w:r w:rsidR="00541D05">
        <w:t xml:space="preserve"> </w:t>
      </w:r>
      <w:r w:rsidR="00D9258C" w:rsidRPr="00FD6A6A">
        <w:t>in</w:t>
      </w:r>
      <w:r w:rsidR="00541D05">
        <w:t xml:space="preserve"> </w:t>
      </w:r>
      <w:r w:rsidR="00D9258C" w:rsidRPr="00FD6A6A">
        <w:t>the</w:t>
      </w:r>
      <w:r w:rsidR="00541D05">
        <w:t xml:space="preserve"> </w:t>
      </w:r>
      <w:r w:rsidR="00D9258C" w:rsidRPr="00FD6A6A">
        <w:t>III</w:t>
      </w:r>
      <w:r w:rsidR="00541D05">
        <w:t xml:space="preserve"> </w:t>
      </w:r>
      <w:r w:rsidR="00D9258C" w:rsidRPr="00FD6A6A">
        <w:t>National</w:t>
      </w:r>
      <w:r w:rsidR="00541D05">
        <w:t xml:space="preserve"> </w:t>
      </w:r>
      <w:r w:rsidR="00D9258C" w:rsidRPr="00FD6A6A">
        <w:t>Human</w:t>
      </w:r>
      <w:r w:rsidR="00541D05">
        <w:t xml:space="preserve"> </w:t>
      </w:r>
      <w:r w:rsidR="00D9258C" w:rsidRPr="00FD6A6A">
        <w:t>Rights</w:t>
      </w:r>
      <w:r w:rsidR="00541D05">
        <w:t xml:space="preserve"> </w:t>
      </w:r>
      <w:r w:rsidR="00D9258C" w:rsidRPr="00FD6A6A">
        <w:t>Program,</w:t>
      </w:r>
      <w:r w:rsidR="00541D05">
        <w:t xml:space="preserve"> </w:t>
      </w:r>
      <w:r w:rsidR="00D9258C" w:rsidRPr="00FD6A6A">
        <w:t>ensuring</w:t>
      </w:r>
      <w:r w:rsidR="00541D05">
        <w:t xml:space="preserve"> </w:t>
      </w:r>
      <w:r w:rsidR="00D9258C" w:rsidRPr="00FD6A6A">
        <w:t>conditions</w:t>
      </w:r>
      <w:r w:rsidR="00541D05">
        <w:t xml:space="preserve"> </w:t>
      </w:r>
      <w:r w:rsidR="00D9258C" w:rsidRPr="00FD6A6A">
        <w:t>for</w:t>
      </w:r>
      <w:r w:rsidR="00541D05">
        <w:t xml:space="preserve"> </w:t>
      </w:r>
      <w:r w:rsidR="00D9258C" w:rsidRPr="00FD6A6A">
        <w:t>the</w:t>
      </w:r>
      <w:r w:rsidR="00541D05">
        <w:t xml:space="preserve"> </w:t>
      </w:r>
      <w:r w:rsidR="00D9258C" w:rsidRPr="00FD6A6A">
        <w:t>construction</w:t>
      </w:r>
      <w:r w:rsidR="00541D05">
        <w:t xml:space="preserve"> </w:t>
      </w:r>
      <w:r w:rsidR="00D9258C" w:rsidRPr="00FD6A6A">
        <w:t>of</w:t>
      </w:r>
      <w:r w:rsidR="00541D05">
        <w:t xml:space="preserve"> </w:t>
      </w:r>
      <w:r w:rsidR="00D9258C" w:rsidRPr="00FD6A6A">
        <w:t>camps</w:t>
      </w:r>
      <w:r w:rsidR="00541D05">
        <w:t xml:space="preserve"> </w:t>
      </w:r>
      <w:r w:rsidR="00D9258C" w:rsidRPr="00FD6A6A">
        <w:t>throughout</w:t>
      </w:r>
      <w:r w:rsidR="00541D05">
        <w:t xml:space="preserve"> </w:t>
      </w:r>
      <w:r w:rsidR="00D9258C" w:rsidRPr="00FD6A6A">
        <w:t>the</w:t>
      </w:r>
      <w:r w:rsidR="00541D05">
        <w:t xml:space="preserve"> </w:t>
      </w:r>
      <w:r w:rsidR="00D9258C" w:rsidRPr="00FD6A6A">
        <w:t>national</w:t>
      </w:r>
      <w:r w:rsidR="00541D05">
        <w:t xml:space="preserve"> </w:t>
      </w:r>
      <w:r w:rsidR="00D9258C" w:rsidRPr="00FD6A6A">
        <w:t>territory,</w:t>
      </w:r>
      <w:r w:rsidR="00541D05">
        <w:t xml:space="preserve"> </w:t>
      </w:r>
      <w:r w:rsidR="00D9258C" w:rsidRPr="00FD6A6A">
        <w:t>aiming</w:t>
      </w:r>
      <w:r w:rsidR="00541D05">
        <w:t xml:space="preserve"> </w:t>
      </w:r>
      <w:r w:rsidR="00D9258C" w:rsidRPr="00FD6A6A">
        <w:t>at</w:t>
      </w:r>
      <w:r w:rsidR="00541D05">
        <w:t xml:space="preserve"> </w:t>
      </w:r>
      <w:r w:rsidR="00D9258C" w:rsidRPr="00FD6A6A">
        <w:t>preserving</w:t>
      </w:r>
      <w:r w:rsidR="00541D05">
        <w:t xml:space="preserve"> </w:t>
      </w:r>
      <w:r w:rsidR="00D9258C" w:rsidRPr="00FD6A6A">
        <w:t>the</w:t>
      </w:r>
      <w:r w:rsidR="00541D05">
        <w:t xml:space="preserve"> </w:t>
      </w:r>
      <w:r w:rsidR="00D9258C" w:rsidRPr="00FD6A6A">
        <w:t>traditions</w:t>
      </w:r>
      <w:r w:rsidR="00541D05">
        <w:t xml:space="preserve"> </w:t>
      </w:r>
      <w:r w:rsidR="00D9258C" w:rsidRPr="00FD6A6A">
        <w:t>and</w:t>
      </w:r>
      <w:r w:rsidR="00541D05">
        <w:t xml:space="preserve"> </w:t>
      </w:r>
      <w:r w:rsidR="00D9258C" w:rsidRPr="00FD6A6A">
        <w:t>cultural</w:t>
      </w:r>
      <w:r w:rsidR="00541D05">
        <w:t xml:space="preserve"> </w:t>
      </w:r>
      <w:r w:rsidR="00D9258C" w:rsidRPr="00FD6A6A">
        <w:t>heritage</w:t>
      </w:r>
      <w:r w:rsidR="00541D05">
        <w:t xml:space="preserve"> </w:t>
      </w:r>
      <w:r w:rsidR="00D9258C" w:rsidRPr="00FD6A6A">
        <w:t>of</w:t>
      </w:r>
      <w:r w:rsidR="00541D05">
        <w:t xml:space="preserve"> </w:t>
      </w:r>
      <w:r w:rsidR="00D9258C" w:rsidRPr="00FD6A6A">
        <w:t>the</w:t>
      </w:r>
      <w:r w:rsidR="00541D05">
        <w:t xml:space="preserve"> </w:t>
      </w:r>
      <w:r w:rsidR="00D9258C" w:rsidRPr="00FD6A6A">
        <w:t>Romani</w:t>
      </w:r>
      <w:r w:rsidR="00541D05">
        <w:t xml:space="preserve"> </w:t>
      </w:r>
      <w:r w:rsidR="00D9258C" w:rsidRPr="00FD6A6A">
        <w:t>peoples.</w:t>
      </w:r>
    </w:p>
    <w:p w14:paraId="1307F51B" w14:textId="65ADF5F1"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Ministry</w:t>
      </w:r>
      <w:r w:rsidR="00541D05">
        <w:t xml:space="preserve"> </w:t>
      </w:r>
      <w:r w:rsidR="00D9258C" w:rsidRPr="00FD6A6A">
        <w:t>of</w:t>
      </w:r>
      <w:r w:rsidR="00541D05">
        <w:t xml:space="preserve"> </w:t>
      </w:r>
      <w:r w:rsidR="00D9258C" w:rsidRPr="00FD6A6A">
        <w:t>Health</w:t>
      </w:r>
      <w:r w:rsidR="00541D05">
        <w:t xml:space="preserve"> </w:t>
      </w:r>
      <w:r w:rsidR="00D9258C" w:rsidRPr="00FD6A6A">
        <w:t>Ordinance</w:t>
      </w:r>
      <w:r w:rsidR="00541D05">
        <w:t xml:space="preserve"> </w:t>
      </w:r>
      <w:r w:rsidR="00D9258C" w:rsidRPr="00FD6A6A">
        <w:t>No.</w:t>
      </w:r>
      <w:r w:rsidR="00541D05">
        <w:t xml:space="preserve"> </w:t>
      </w:r>
      <w:r w:rsidR="00D9258C" w:rsidRPr="00FD6A6A">
        <w:t>940</w:t>
      </w:r>
      <w:r w:rsidR="00541D05">
        <w:t xml:space="preserve"> </w:t>
      </w:r>
      <w:r w:rsidR="00D9258C" w:rsidRPr="00FD6A6A">
        <w:t>of</w:t>
      </w:r>
      <w:r w:rsidR="00541D05">
        <w:t xml:space="preserve"> </w:t>
      </w:r>
      <w:r w:rsidR="00D9258C" w:rsidRPr="00FD6A6A">
        <w:t>2011</w:t>
      </w:r>
      <w:r w:rsidR="00541D05">
        <w:t xml:space="preserve"> </w:t>
      </w:r>
      <w:r w:rsidR="00D9258C" w:rsidRPr="00FD6A6A">
        <w:t>regulated</w:t>
      </w:r>
      <w:r w:rsidR="00541D05">
        <w:t xml:space="preserve"> </w:t>
      </w:r>
      <w:r w:rsidR="00D9258C" w:rsidRPr="00FD6A6A">
        <w:t>the</w:t>
      </w:r>
      <w:r w:rsidR="00541D05">
        <w:t xml:space="preserve"> </w:t>
      </w:r>
      <w:r w:rsidR="00D9258C" w:rsidRPr="00FD6A6A">
        <w:t>use</w:t>
      </w:r>
      <w:r w:rsidR="00541D05">
        <w:t xml:space="preserve"> </w:t>
      </w:r>
      <w:r w:rsidR="00D9258C" w:rsidRPr="00FD6A6A">
        <w:t>of</w:t>
      </w:r>
      <w:r w:rsidR="00541D05">
        <w:t xml:space="preserve"> </w:t>
      </w:r>
      <w:r w:rsidR="00D9258C" w:rsidRPr="00FD6A6A">
        <w:t>the</w:t>
      </w:r>
      <w:r w:rsidR="00541D05">
        <w:t xml:space="preserve"> </w:t>
      </w:r>
      <w:r w:rsidR="00D9258C" w:rsidRPr="00FD6A6A">
        <w:t>National</w:t>
      </w:r>
      <w:r w:rsidR="00541D05">
        <w:t xml:space="preserve"> </w:t>
      </w:r>
      <w:r w:rsidR="00D9258C" w:rsidRPr="00FD6A6A">
        <w:t>Health</w:t>
      </w:r>
      <w:r w:rsidR="00541D05">
        <w:t xml:space="preserve"> </w:t>
      </w:r>
      <w:r w:rsidR="00D9258C" w:rsidRPr="00FD6A6A">
        <w:t>Card,</w:t>
      </w:r>
      <w:r w:rsidR="00541D05">
        <w:t xml:space="preserve"> </w:t>
      </w:r>
      <w:r w:rsidR="00D9258C" w:rsidRPr="00FD6A6A">
        <w:t>establishing</w:t>
      </w:r>
      <w:r w:rsidR="00541D05">
        <w:t xml:space="preserve"> </w:t>
      </w:r>
      <w:r w:rsidR="00D9258C" w:rsidRPr="00FD6A6A">
        <w:t>that</w:t>
      </w:r>
      <w:r w:rsidR="00541D05">
        <w:t xml:space="preserve"> </w:t>
      </w:r>
      <w:r w:rsidR="00D9258C" w:rsidRPr="00FD6A6A">
        <w:t>it</w:t>
      </w:r>
      <w:r w:rsidR="00541D05">
        <w:t xml:space="preserve"> </w:t>
      </w:r>
      <w:r w:rsidR="00D9258C" w:rsidRPr="00FD6A6A">
        <w:t>is</w:t>
      </w:r>
      <w:r w:rsidR="00541D05">
        <w:t xml:space="preserve"> </w:t>
      </w:r>
      <w:r w:rsidR="00D9258C" w:rsidRPr="00FD6A6A">
        <w:t>not</w:t>
      </w:r>
      <w:r w:rsidR="00541D05">
        <w:t xml:space="preserve"> </w:t>
      </w:r>
      <w:r w:rsidR="00D9258C" w:rsidRPr="00FD6A6A">
        <w:t>mandatory</w:t>
      </w:r>
      <w:r w:rsidR="00541D05">
        <w:t xml:space="preserve"> </w:t>
      </w:r>
      <w:r w:rsidR="00D9258C" w:rsidRPr="00FD6A6A">
        <w:t>to</w:t>
      </w:r>
      <w:r w:rsidR="00541D05">
        <w:t xml:space="preserve"> </w:t>
      </w:r>
      <w:r w:rsidR="00D9258C" w:rsidRPr="00FD6A6A">
        <w:t>provide</w:t>
      </w:r>
      <w:r w:rsidR="00541D05">
        <w:t xml:space="preserve"> </w:t>
      </w:r>
      <w:r w:rsidR="00D9258C" w:rsidRPr="00FD6A6A">
        <w:t>a</w:t>
      </w:r>
      <w:r w:rsidR="00541D05">
        <w:t xml:space="preserve"> </w:t>
      </w:r>
      <w:r w:rsidR="00D9258C" w:rsidRPr="00FD6A6A">
        <w:t>fixed</w:t>
      </w:r>
      <w:r w:rsidR="00541D05">
        <w:t xml:space="preserve"> </w:t>
      </w:r>
      <w:r w:rsidR="00D9258C" w:rsidRPr="00FD6A6A">
        <w:t>address</w:t>
      </w:r>
      <w:r w:rsidR="00541D05">
        <w:t xml:space="preserve"> </w:t>
      </w:r>
      <w:r w:rsidR="00D9258C" w:rsidRPr="00FD6A6A">
        <w:t>in</w:t>
      </w:r>
      <w:r w:rsidR="00541D05">
        <w:t xml:space="preserve"> </w:t>
      </w:r>
      <w:r w:rsidR="00D9258C" w:rsidRPr="00FD6A6A">
        <w:t>case</w:t>
      </w:r>
      <w:r w:rsidR="00541D05">
        <w:t xml:space="preserve"> </w:t>
      </w:r>
      <w:r w:rsidR="00D9258C" w:rsidRPr="00FD6A6A">
        <w:t>of</w:t>
      </w:r>
      <w:r w:rsidR="00541D05">
        <w:t xml:space="preserve"> </w:t>
      </w:r>
      <w:r w:rsidR="00D9258C" w:rsidRPr="00FD6A6A">
        <w:t>Romani</w:t>
      </w:r>
      <w:r w:rsidR="00541D05">
        <w:t xml:space="preserve"> </w:t>
      </w:r>
      <w:r w:rsidR="00D9258C" w:rsidRPr="00FD6A6A">
        <w:t>persons</w:t>
      </w:r>
      <w:r w:rsidR="00541D05">
        <w:t xml:space="preserve"> </w:t>
      </w:r>
      <w:r w:rsidR="00D9258C" w:rsidRPr="00FD6A6A">
        <w:t>who</w:t>
      </w:r>
      <w:r w:rsidR="00541D05">
        <w:t xml:space="preserve"> </w:t>
      </w:r>
      <w:r w:rsidR="00D9258C" w:rsidRPr="00FD6A6A">
        <w:t>wish</w:t>
      </w:r>
      <w:r w:rsidR="00541D05">
        <w:t xml:space="preserve"> </w:t>
      </w:r>
      <w:r w:rsidR="00D9258C" w:rsidRPr="00FD6A6A">
        <w:t>to</w:t>
      </w:r>
      <w:r w:rsidR="00541D05">
        <w:t xml:space="preserve"> </w:t>
      </w:r>
      <w:r w:rsidR="00D9258C" w:rsidRPr="00FD6A6A">
        <w:t>register</w:t>
      </w:r>
      <w:r w:rsidR="00541D05">
        <w:t xml:space="preserve"> </w:t>
      </w:r>
      <w:r w:rsidR="00D9258C" w:rsidRPr="00FD6A6A">
        <w:t>with</w:t>
      </w:r>
      <w:r w:rsidR="00541D05">
        <w:t xml:space="preserve"> </w:t>
      </w:r>
      <w:r w:rsidR="00D9258C" w:rsidRPr="00FD6A6A">
        <w:t>the</w:t>
      </w:r>
      <w:r w:rsidR="00541D05">
        <w:t xml:space="preserve"> </w:t>
      </w:r>
      <w:r w:rsidR="00D9258C" w:rsidRPr="00FD6A6A">
        <w:t>public</w:t>
      </w:r>
      <w:r w:rsidR="00541D05">
        <w:t xml:space="preserve"> </w:t>
      </w:r>
      <w:r w:rsidR="00D9258C" w:rsidRPr="00FD6A6A">
        <w:t>health</w:t>
      </w:r>
      <w:r w:rsidR="00541D05">
        <w:t xml:space="preserve"> </w:t>
      </w:r>
      <w:r w:rsidR="00D9258C" w:rsidRPr="00FD6A6A">
        <w:t>care</w:t>
      </w:r>
      <w:r w:rsidR="00541D05">
        <w:t xml:space="preserve"> </w:t>
      </w:r>
      <w:r w:rsidR="00D9258C" w:rsidRPr="00FD6A6A">
        <w:t>system.</w:t>
      </w:r>
    </w:p>
    <w:p w14:paraId="3352CE5F" w14:textId="262E9F9C"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National</w:t>
      </w:r>
      <w:r w:rsidR="00541D05">
        <w:t xml:space="preserve"> </w:t>
      </w:r>
      <w:r w:rsidR="00D9258C" w:rsidRPr="00FD6A6A">
        <w:t>Board</w:t>
      </w:r>
      <w:r w:rsidR="00541D05">
        <w:t xml:space="preserve"> </w:t>
      </w:r>
      <w:r w:rsidR="00D9258C" w:rsidRPr="00FD6A6A">
        <w:t>of</w:t>
      </w:r>
      <w:r w:rsidR="00541D05">
        <w:t xml:space="preserve"> </w:t>
      </w:r>
      <w:r w:rsidR="00D9258C" w:rsidRPr="00FD6A6A">
        <w:t>Education</w:t>
      </w:r>
      <w:r w:rsidR="00541D05">
        <w:t xml:space="preserve"> </w:t>
      </w:r>
      <w:r w:rsidR="00D9258C" w:rsidRPr="00FD6A6A">
        <w:t>Resolutions</w:t>
      </w:r>
      <w:r w:rsidR="00541D05">
        <w:t xml:space="preserve"> </w:t>
      </w:r>
      <w:r w:rsidR="00D9258C" w:rsidRPr="00FD6A6A">
        <w:t>No.</w:t>
      </w:r>
      <w:r w:rsidR="00541D05">
        <w:t xml:space="preserve"> </w:t>
      </w:r>
      <w:r w:rsidR="00D9258C" w:rsidRPr="00FD6A6A">
        <w:t>3</w:t>
      </w:r>
      <w:r w:rsidR="00541D05">
        <w:t xml:space="preserve"> </w:t>
      </w:r>
      <w:r w:rsidR="00D9258C" w:rsidRPr="00FD6A6A">
        <w:t>and</w:t>
      </w:r>
      <w:r w:rsidR="00541D05">
        <w:t xml:space="preserve"> </w:t>
      </w:r>
      <w:r w:rsidR="00D9258C" w:rsidRPr="00FD6A6A">
        <w:t>14</w:t>
      </w:r>
      <w:r w:rsidR="00541D05">
        <w:t xml:space="preserve"> </w:t>
      </w:r>
      <w:r w:rsidR="00D9258C" w:rsidRPr="00FD6A6A">
        <w:t>of</w:t>
      </w:r>
      <w:r w:rsidR="00541D05">
        <w:t xml:space="preserve"> </w:t>
      </w:r>
      <w:r w:rsidR="00D9258C" w:rsidRPr="00FD6A6A">
        <w:t>2012,</w:t>
      </w:r>
      <w:r w:rsidR="00541D05">
        <w:t xml:space="preserve"> </w:t>
      </w:r>
      <w:r w:rsidR="00D9258C" w:rsidRPr="00FD6A6A">
        <w:t>provided</w:t>
      </w:r>
      <w:r w:rsidR="00541D05">
        <w:t xml:space="preserve"> </w:t>
      </w:r>
      <w:r w:rsidR="00D9258C" w:rsidRPr="00FD6A6A">
        <w:t>guidelines</w:t>
      </w:r>
      <w:r w:rsidR="00541D05">
        <w:t xml:space="preserve"> </w:t>
      </w:r>
      <w:r w:rsidR="00D9258C" w:rsidRPr="00FD6A6A">
        <w:t>for</w:t>
      </w:r>
      <w:r w:rsidR="00541D05">
        <w:t xml:space="preserve"> </w:t>
      </w:r>
      <w:r w:rsidR="00D9258C" w:rsidRPr="00FD6A6A">
        <w:t>improving</w:t>
      </w:r>
      <w:r w:rsidR="00541D05">
        <w:t xml:space="preserve"> </w:t>
      </w:r>
      <w:r w:rsidR="00D9258C" w:rsidRPr="00FD6A6A">
        <w:t>the</w:t>
      </w:r>
      <w:r w:rsidR="00541D05">
        <w:t xml:space="preserve"> </w:t>
      </w:r>
      <w:r w:rsidR="00D9258C" w:rsidRPr="00FD6A6A">
        <w:t>policy</w:t>
      </w:r>
      <w:r w:rsidR="00541D05">
        <w:t xml:space="preserve"> </w:t>
      </w:r>
      <w:r w:rsidR="00D9258C" w:rsidRPr="00FD6A6A">
        <w:t>for</w:t>
      </w:r>
      <w:r w:rsidR="00541D05">
        <w:t xml:space="preserve"> </w:t>
      </w:r>
      <w:r w:rsidR="00D9258C" w:rsidRPr="00FD6A6A">
        <w:t>Assistance</w:t>
      </w:r>
      <w:r w:rsidR="00541D05">
        <w:t xml:space="preserve"> </w:t>
      </w:r>
      <w:r w:rsidR="00D9258C" w:rsidRPr="00FD6A6A">
        <w:t>in</w:t>
      </w:r>
      <w:r w:rsidR="00541D05">
        <w:t xml:space="preserve"> </w:t>
      </w:r>
      <w:r w:rsidR="00D9258C" w:rsidRPr="00FD6A6A">
        <w:t>Education</w:t>
      </w:r>
      <w:r w:rsidR="00541D05">
        <w:t xml:space="preserve"> </w:t>
      </w:r>
      <w:r w:rsidR="00D9258C" w:rsidRPr="00FD6A6A">
        <w:t>for</w:t>
      </w:r>
      <w:r w:rsidR="00541D05">
        <w:t xml:space="preserve"> </w:t>
      </w:r>
      <w:r w:rsidR="00D9258C" w:rsidRPr="00FD6A6A">
        <w:t>Itinerant</w:t>
      </w:r>
      <w:r w:rsidR="00541D05">
        <w:t xml:space="preserve"> </w:t>
      </w:r>
      <w:r w:rsidR="00D9258C" w:rsidRPr="00FD6A6A">
        <w:t>Populations.</w:t>
      </w:r>
    </w:p>
    <w:p w14:paraId="0AC3E9E2" w14:textId="1981DE02"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Launching,</w:t>
      </w:r>
      <w:r w:rsidR="00541D05">
        <w:t xml:space="preserve"> </w:t>
      </w:r>
      <w:r w:rsidR="00D9258C" w:rsidRPr="00FD6A6A">
        <w:t>in</w:t>
      </w:r>
      <w:r w:rsidR="00541D05">
        <w:t xml:space="preserve"> </w:t>
      </w:r>
      <w:r w:rsidR="00D9258C" w:rsidRPr="00FD6A6A">
        <w:t>2013,</w:t>
      </w:r>
      <w:r w:rsidR="00541D05">
        <w:t xml:space="preserve"> </w:t>
      </w:r>
      <w:r w:rsidR="00D9258C" w:rsidRPr="00FD6A6A">
        <w:t>by</w:t>
      </w:r>
      <w:r w:rsidR="00541D05">
        <w:t xml:space="preserve"> </w:t>
      </w:r>
      <w:r w:rsidR="00D9258C" w:rsidRPr="00FD6A6A">
        <w:t>SEPPIR,</w:t>
      </w:r>
      <w:r w:rsidR="00541D05">
        <w:t xml:space="preserve"> </w:t>
      </w:r>
      <w:r w:rsidR="00D9258C" w:rsidRPr="00FD6A6A">
        <w:t>of</w:t>
      </w:r>
      <w:r w:rsidR="00541D05">
        <w:t xml:space="preserve"> </w:t>
      </w:r>
      <w:r w:rsidR="00D9258C" w:rsidRPr="00FD6A6A">
        <w:t>the</w:t>
      </w:r>
      <w:r w:rsidR="00541D05">
        <w:t xml:space="preserve"> </w:t>
      </w:r>
      <w:r w:rsidR="00D9258C" w:rsidRPr="00FD6A6A">
        <w:t>Guide</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r w:rsidR="00541D05">
        <w:t xml:space="preserve"> </w:t>
      </w:r>
      <w:r w:rsidR="00D9258C" w:rsidRPr="00FD6A6A">
        <w:t>for</w:t>
      </w:r>
      <w:r w:rsidR="00541D05">
        <w:t xml:space="preserve"> </w:t>
      </w:r>
      <w:r w:rsidR="00D9258C" w:rsidRPr="00FD6A6A">
        <w:t>Romani</w:t>
      </w:r>
      <w:r w:rsidR="00541D05">
        <w:t xml:space="preserve"> </w:t>
      </w:r>
      <w:r w:rsidR="00D9258C" w:rsidRPr="00FD6A6A">
        <w:t>peoples</w:t>
      </w:r>
      <w:r w:rsidR="00541D05">
        <w:t xml:space="preserve"> </w:t>
      </w:r>
      <w:r w:rsidR="00D9258C" w:rsidRPr="00FD6A6A">
        <w:t>[Guia</w:t>
      </w:r>
      <w:r w:rsidR="00541D05">
        <w:t xml:space="preserve"> </w:t>
      </w:r>
      <w:r w:rsidR="00D9258C" w:rsidRPr="00FD6A6A">
        <w:t>de</w:t>
      </w:r>
      <w:r w:rsidR="00541D05">
        <w:t xml:space="preserve"> </w:t>
      </w:r>
      <w:r w:rsidR="00D9258C" w:rsidRPr="00FD6A6A">
        <w:t>políticas</w:t>
      </w:r>
      <w:r w:rsidR="00541D05">
        <w:t xml:space="preserve"> </w:t>
      </w:r>
      <w:r w:rsidR="00D9258C" w:rsidRPr="00FD6A6A">
        <w:t>públicas</w:t>
      </w:r>
      <w:r w:rsidR="00541D05">
        <w:t xml:space="preserve"> </w:t>
      </w:r>
      <w:r w:rsidR="00D9258C" w:rsidRPr="00FD6A6A">
        <w:t>para</w:t>
      </w:r>
      <w:r w:rsidR="00541D05">
        <w:t xml:space="preserve"> </w:t>
      </w:r>
      <w:r w:rsidR="00D9258C" w:rsidRPr="00FD6A6A">
        <w:t>povos</w:t>
      </w:r>
      <w:r w:rsidR="00541D05">
        <w:t xml:space="preserve"> </w:t>
      </w:r>
      <w:r w:rsidR="00D9258C" w:rsidRPr="00FD6A6A">
        <w:t>ciganos],</w:t>
      </w:r>
      <w:r w:rsidR="00541D05">
        <w:t xml:space="preserve"> </w:t>
      </w:r>
      <w:r w:rsidR="00D9258C" w:rsidRPr="00FD6A6A">
        <w:t>which</w:t>
      </w:r>
      <w:r w:rsidR="00541D05">
        <w:t xml:space="preserve"> </w:t>
      </w:r>
      <w:r w:rsidR="00D9258C" w:rsidRPr="00FD6A6A">
        <w:t>includes</w:t>
      </w:r>
      <w:r w:rsidR="00541D05">
        <w:t xml:space="preserve"> </w:t>
      </w:r>
      <w:r w:rsidR="00D9258C" w:rsidRPr="00FD6A6A">
        <w:t>systematic</w:t>
      </w:r>
      <w:r w:rsidR="00541D05">
        <w:t xml:space="preserve"> </w:t>
      </w:r>
      <w:r w:rsidR="00D9258C" w:rsidRPr="00FD6A6A">
        <w:t>information</w:t>
      </w:r>
      <w:r w:rsidR="00541D05">
        <w:t xml:space="preserve"> </w:t>
      </w:r>
      <w:r w:rsidR="00D9258C" w:rsidRPr="00FD6A6A">
        <w:t>on</w:t>
      </w:r>
      <w:r w:rsidR="00541D05">
        <w:t xml:space="preserve"> </w:t>
      </w:r>
      <w:r w:rsidR="00D9258C" w:rsidRPr="00FD6A6A">
        <w:t>the</w:t>
      </w:r>
      <w:r w:rsidR="00541D05">
        <w:t xml:space="preserve"> </w:t>
      </w:r>
      <w:r w:rsidR="00D9258C" w:rsidRPr="00FD6A6A">
        <w:t>set</w:t>
      </w:r>
      <w:r w:rsidR="00541D05">
        <w:t xml:space="preserve"> </w:t>
      </w:r>
      <w:r w:rsidR="00D9258C" w:rsidRPr="00FD6A6A">
        <w:t>of</w:t>
      </w:r>
      <w:r w:rsidR="00541D05">
        <w:t xml:space="preserve"> </w:t>
      </w:r>
      <w:r w:rsidR="00D9258C" w:rsidRPr="00FD6A6A">
        <w:t>citizenship</w:t>
      </w:r>
      <w:r w:rsidR="00541D05">
        <w:t xml:space="preserve"> </w:t>
      </w:r>
      <w:r w:rsidR="00D9258C" w:rsidRPr="00FD6A6A">
        <w:t>rights</w:t>
      </w:r>
      <w:r w:rsidR="00541D05">
        <w:t xml:space="preserve"> </w:t>
      </w:r>
      <w:r w:rsidR="00D9258C" w:rsidRPr="00FD6A6A">
        <w:t>of</w:t>
      </w:r>
      <w:r w:rsidR="00541D05">
        <w:t xml:space="preserve"> </w:t>
      </w:r>
      <w:r w:rsidR="00D9258C" w:rsidRPr="00FD6A6A">
        <w:t>Romani</w:t>
      </w:r>
      <w:r w:rsidR="00541D05">
        <w:t xml:space="preserve"> </w:t>
      </w:r>
      <w:r w:rsidR="00D9258C" w:rsidRPr="00FD6A6A">
        <w:t>peoples</w:t>
      </w:r>
      <w:r w:rsidR="00541D05">
        <w:t xml:space="preserve"> </w:t>
      </w:r>
      <w:r w:rsidR="00D9258C" w:rsidRPr="00FD6A6A">
        <w:t>and</w:t>
      </w:r>
      <w:r w:rsidR="00541D05">
        <w:t xml:space="preserve"> </w:t>
      </w:r>
      <w:r w:rsidR="00D9258C" w:rsidRPr="00FD6A6A">
        <w:t>on</w:t>
      </w:r>
      <w:r w:rsidR="00541D05">
        <w:t xml:space="preserve"> </w:t>
      </w:r>
      <w:r w:rsidR="00D9258C" w:rsidRPr="00FD6A6A">
        <w:t>how</w:t>
      </w:r>
      <w:r w:rsidR="00541D05">
        <w:t xml:space="preserve"> </w:t>
      </w:r>
      <w:r w:rsidR="00D9258C" w:rsidRPr="00FD6A6A">
        <w:t>it</w:t>
      </w:r>
      <w:r w:rsidR="00541D05">
        <w:t xml:space="preserve"> </w:t>
      </w:r>
      <w:r w:rsidR="00D9258C" w:rsidRPr="00FD6A6A">
        <w:t>is</w:t>
      </w:r>
      <w:r w:rsidR="00541D05">
        <w:t xml:space="preserve"> </w:t>
      </w:r>
      <w:r w:rsidR="00D9258C" w:rsidRPr="00FD6A6A">
        <w:t>possible</w:t>
      </w:r>
      <w:r w:rsidR="00541D05">
        <w:t xml:space="preserve"> </w:t>
      </w:r>
      <w:r w:rsidR="00D9258C" w:rsidRPr="00FD6A6A">
        <w:t>to</w:t>
      </w:r>
      <w:r w:rsidR="00541D05">
        <w:t xml:space="preserve"> </w:t>
      </w:r>
      <w:r w:rsidR="00D9258C" w:rsidRPr="00FD6A6A">
        <w:t>ensure</w:t>
      </w:r>
      <w:r w:rsidR="00541D05">
        <w:t xml:space="preserve"> </w:t>
      </w:r>
      <w:r w:rsidR="00D9258C" w:rsidRPr="00FD6A6A">
        <w:t>them</w:t>
      </w:r>
      <w:r w:rsidR="00541D05">
        <w:t xml:space="preserve"> </w:t>
      </w:r>
      <w:r w:rsidR="00D9258C" w:rsidRPr="00FD6A6A">
        <w:t>in</w:t>
      </w:r>
      <w:r w:rsidR="00541D05">
        <w:t xml:space="preserve"> </w:t>
      </w:r>
      <w:r w:rsidR="00D9258C" w:rsidRPr="00FD6A6A">
        <w:t>practice.</w:t>
      </w:r>
    </w:p>
    <w:p w14:paraId="18F02EA3" w14:textId="6D9C1FEE"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Ministry</w:t>
      </w:r>
      <w:r w:rsidR="00541D05">
        <w:t xml:space="preserve"> </w:t>
      </w:r>
      <w:r w:rsidR="00D9258C" w:rsidRPr="00FD6A6A">
        <w:t>of</w:t>
      </w:r>
      <w:r w:rsidR="00541D05">
        <w:t xml:space="preserve"> </w:t>
      </w:r>
      <w:r w:rsidR="00D9258C" w:rsidRPr="00FD6A6A">
        <w:t>Planning</w:t>
      </w:r>
      <w:r w:rsidR="00541D05">
        <w:t xml:space="preserve"> </w:t>
      </w:r>
      <w:r w:rsidR="00D9258C" w:rsidRPr="00FD6A6A">
        <w:t>Ordinance</w:t>
      </w:r>
      <w:r w:rsidR="00541D05">
        <w:t xml:space="preserve"> </w:t>
      </w:r>
      <w:r w:rsidR="00D9258C" w:rsidRPr="00FD6A6A">
        <w:t>No.</w:t>
      </w:r>
      <w:r w:rsidR="00541D05">
        <w:t xml:space="preserve"> </w:t>
      </w:r>
      <w:r w:rsidR="00D9258C" w:rsidRPr="00FD6A6A">
        <w:t>141</w:t>
      </w:r>
      <w:r w:rsidR="00541D05">
        <w:t xml:space="preserve"> </w:t>
      </w:r>
      <w:r w:rsidR="00D9258C" w:rsidRPr="00FD6A6A">
        <w:t>of</w:t>
      </w:r>
      <w:r w:rsidR="00541D05">
        <w:t xml:space="preserve"> </w:t>
      </w:r>
      <w:r w:rsidR="00D9258C" w:rsidRPr="00FD6A6A">
        <w:t>2013,</w:t>
      </w:r>
      <w:r w:rsidR="00541D05">
        <w:t xml:space="preserve"> </w:t>
      </w:r>
      <w:r w:rsidR="00D9258C" w:rsidRPr="00FD6A6A">
        <w:t>which</w:t>
      </w:r>
      <w:r w:rsidR="00541D05">
        <w:t xml:space="preserve"> </w:t>
      </w:r>
      <w:r w:rsidR="00D9258C" w:rsidRPr="00FD6A6A">
        <w:t>established</w:t>
      </w:r>
      <w:r w:rsidR="00541D05">
        <w:t xml:space="preserve"> </w:t>
      </w:r>
      <w:r w:rsidR="00D9258C" w:rsidRPr="00FD6A6A">
        <w:t>procedures</w:t>
      </w:r>
      <w:r w:rsidR="00541D05">
        <w:t xml:space="preserve"> </w:t>
      </w:r>
      <w:r w:rsidR="00D9258C" w:rsidRPr="00FD6A6A">
        <w:t>for</w:t>
      </w:r>
      <w:r w:rsidR="00541D05">
        <w:t xml:space="preserve"> </w:t>
      </w:r>
      <w:r w:rsidR="00D9258C" w:rsidRPr="00FD6A6A">
        <w:t>monitoring</w:t>
      </w:r>
      <w:r w:rsidR="00541D05">
        <w:t xml:space="preserve"> </w:t>
      </w:r>
      <w:r w:rsidR="00D9258C" w:rsidRPr="00FD6A6A">
        <w:t>the</w:t>
      </w:r>
      <w:r w:rsidR="00541D05">
        <w:t xml:space="preserve"> </w:t>
      </w:r>
      <w:r w:rsidR="00D9258C" w:rsidRPr="00FD6A6A">
        <w:t>demands</w:t>
      </w:r>
      <w:r w:rsidR="00541D05">
        <w:t xml:space="preserve"> </w:t>
      </w:r>
      <w:r w:rsidR="00D9258C" w:rsidRPr="00FD6A6A">
        <w:t>for</w:t>
      </w:r>
      <w:r w:rsidR="00541D05">
        <w:t xml:space="preserve"> </w:t>
      </w:r>
      <w:r w:rsidR="00D9258C" w:rsidRPr="00FD6A6A">
        <w:t>land</w:t>
      </w:r>
      <w:r w:rsidR="00541D05">
        <w:t xml:space="preserve"> </w:t>
      </w:r>
      <w:r w:rsidR="00D9258C" w:rsidRPr="00FD6A6A">
        <w:t>regularization</w:t>
      </w:r>
      <w:r w:rsidR="00541D05">
        <w:t xml:space="preserve"> </w:t>
      </w:r>
      <w:r w:rsidR="00D9258C" w:rsidRPr="00FD6A6A">
        <w:t>regarding</w:t>
      </w:r>
      <w:r w:rsidR="00541D05">
        <w:t xml:space="preserve"> </w:t>
      </w:r>
      <w:r w:rsidR="00D9258C" w:rsidRPr="00FD6A6A">
        <w:t>Romani</w:t>
      </w:r>
      <w:r w:rsidR="00541D05">
        <w:t xml:space="preserve"> </w:t>
      </w:r>
      <w:r w:rsidR="00D9258C" w:rsidRPr="00FD6A6A">
        <w:t>camps</w:t>
      </w:r>
      <w:r w:rsidR="00541D05">
        <w:t xml:space="preserve"> </w:t>
      </w:r>
      <w:r w:rsidR="00D9258C" w:rsidRPr="00FD6A6A">
        <w:t>and</w:t>
      </w:r>
      <w:r w:rsidR="00541D05">
        <w:t xml:space="preserve"> </w:t>
      </w:r>
      <w:r w:rsidR="00D9258C" w:rsidRPr="00FD6A6A">
        <w:t>the</w:t>
      </w:r>
      <w:r w:rsidR="00541D05">
        <w:t xml:space="preserve"> </w:t>
      </w:r>
      <w:r w:rsidR="00D9258C" w:rsidRPr="00FD6A6A">
        <w:t>use</w:t>
      </w:r>
      <w:r w:rsidR="00541D05">
        <w:t xml:space="preserve"> </w:t>
      </w:r>
      <w:r w:rsidR="00D9258C" w:rsidRPr="00FD6A6A">
        <w:t>of</w:t>
      </w:r>
      <w:r w:rsidR="00541D05">
        <w:t xml:space="preserve"> </w:t>
      </w:r>
      <w:r w:rsidR="00D9258C" w:rsidRPr="00FD6A6A">
        <w:t>real</w:t>
      </w:r>
      <w:r w:rsidR="00541D05">
        <w:t xml:space="preserve"> </w:t>
      </w:r>
      <w:r w:rsidR="00D9258C" w:rsidRPr="00FD6A6A">
        <w:t>properties</w:t>
      </w:r>
      <w:r w:rsidR="00541D05">
        <w:t xml:space="preserve"> </w:t>
      </w:r>
      <w:r w:rsidR="00D9258C" w:rsidRPr="00FD6A6A">
        <w:t>owned</w:t>
      </w:r>
      <w:r w:rsidR="00541D05">
        <w:t xml:space="preserve"> </w:t>
      </w:r>
      <w:r w:rsidR="00D9258C" w:rsidRPr="00FD6A6A">
        <w:t>by</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p>
    <w:p w14:paraId="5139EB25" w14:textId="5956AF9E"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Publication</w:t>
      </w:r>
      <w:r w:rsidR="00541D05">
        <w:t xml:space="preserve"> </w:t>
      </w:r>
      <w:r w:rsidR="00D9258C" w:rsidRPr="00FD6A6A">
        <w:t>of</w:t>
      </w:r>
      <w:r w:rsidR="00541D05">
        <w:t xml:space="preserve"> </w:t>
      </w:r>
      <w:r w:rsidR="00D9258C" w:rsidRPr="00FD6A6A">
        <w:t>the</w:t>
      </w:r>
      <w:r w:rsidR="00541D05">
        <w:t xml:space="preserve"> </w:t>
      </w:r>
      <w:r w:rsidR="00D9258C" w:rsidRPr="00FD6A6A">
        <w:t>document</w:t>
      </w:r>
      <w:r w:rsidR="00541D05">
        <w:t xml:space="preserve"> </w:t>
      </w:r>
      <w:r w:rsidR="00D9258C" w:rsidRPr="00FD6A6A">
        <w:t>Romani</w:t>
      </w:r>
      <w:r w:rsidR="00541D05">
        <w:t xml:space="preserve"> </w:t>
      </w:r>
      <w:r w:rsidR="00D9258C" w:rsidRPr="00FD6A6A">
        <w:t>peoples:</w:t>
      </w:r>
      <w:r w:rsidR="00541D05">
        <w:t xml:space="preserve"> </w:t>
      </w:r>
      <w:r w:rsidR="00D9258C" w:rsidRPr="00FD6A6A">
        <w:t>guidance</w:t>
      </w:r>
      <w:r w:rsidR="00541D05">
        <w:t xml:space="preserve"> </w:t>
      </w:r>
      <w:r w:rsidR="00D9258C" w:rsidRPr="00FD6A6A">
        <w:t>for</w:t>
      </w:r>
      <w:r w:rsidR="00541D05">
        <w:t xml:space="preserve"> </w:t>
      </w:r>
      <w:r w:rsidR="00D9258C" w:rsidRPr="00FD6A6A">
        <w:t>the</w:t>
      </w:r>
      <w:r w:rsidR="00541D05">
        <w:t xml:space="preserve"> </w:t>
      </w:r>
      <w:r w:rsidR="00D9258C" w:rsidRPr="00FD6A6A">
        <w:t>education</w:t>
      </w:r>
      <w:r w:rsidR="00541D05">
        <w:t xml:space="preserve"> </w:t>
      </w:r>
      <w:r w:rsidR="00D9258C" w:rsidRPr="00FD6A6A">
        <w:t>system</w:t>
      </w:r>
      <w:r w:rsidR="00541D05">
        <w:t xml:space="preserve"> </w:t>
      </w:r>
      <w:r w:rsidR="00D9258C" w:rsidRPr="00FD6A6A">
        <w:t>[Ciganos:</w:t>
      </w:r>
      <w:r w:rsidR="00541D05">
        <w:t xml:space="preserve"> </w:t>
      </w:r>
      <w:r w:rsidR="00D9258C" w:rsidRPr="00FD6A6A">
        <w:t>orientador</w:t>
      </w:r>
      <w:r w:rsidR="00541D05">
        <w:t xml:space="preserve"> </w:t>
      </w:r>
      <w:r w:rsidR="00D9258C" w:rsidRPr="00FD6A6A">
        <w:t>do</w:t>
      </w:r>
      <w:r w:rsidR="00541D05">
        <w:t xml:space="preserve"> </w:t>
      </w:r>
      <w:r w:rsidR="00D9258C" w:rsidRPr="00FD6A6A">
        <w:t>sistema</w:t>
      </w:r>
      <w:r w:rsidR="00541D05">
        <w:t xml:space="preserve"> </w:t>
      </w:r>
      <w:r w:rsidR="00D9258C" w:rsidRPr="00FD6A6A">
        <w:t>de</w:t>
      </w:r>
      <w:r w:rsidR="00541D05">
        <w:t xml:space="preserve"> </w:t>
      </w:r>
      <w:r w:rsidR="00D9258C" w:rsidRPr="00FD6A6A">
        <w:t>ensino]</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r w:rsidR="00541D05">
        <w:t xml:space="preserve"> </w:t>
      </w:r>
      <w:r w:rsidR="00D9258C" w:rsidRPr="00FD6A6A">
        <w:t>in</w:t>
      </w:r>
      <w:r w:rsidR="00541D05">
        <w:t xml:space="preserve"> </w:t>
      </w:r>
      <w:r w:rsidR="00D9258C" w:rsidRPr="00FD6A6A">
        <w:t>2014,</w:t>
      </w:r>
      <w:r w:rsidR="00541D05">
        <w:t xml:space="preserve"> </w:t>
      </w:r>
      <w:r w:rsidR="00D9258C" w:rsidRPr="00FD6A6A">
        <w:t>which</w:t>
      </w:r>
      <w:r w:rsidR="00541D05">
        <w:t xml:space="preserve"> </w:t>
      </w:r>
      <w:r w:rsidR="00D9258C" w:rsidRPr="00FD6A6A">
        <w:t>aimed</w:t>
      </w:r>
      <w:r w:rsidR="00541D05">
        <w:t xml:space="preserve"> </w:t>
      </w:r>
      <w:r w:rsidR="00D9258C" w:rsidRPr="00FD6A6A">
        <w:t>at</w:t>
      </w:r>
      <w:r w:rsidR="00541D05">
        <w:t xml:space="preserve"> </w:t>
      </w:r>
      <w:r w:rsidR="00D9258C" w:rsidRPr="00FD6A6A">
        <w:t>assisting</w:t>
      </w:r>
      <w:r w:rsidR="00541D05">
        <w:t xml:space="preserve"> </w:t>
      </w:r>
      <w:r w:rsidR="00D9258C" w:rsidRPr="00FD6A6A">
        <w:t>principals</w:t>
      </w:r>
      <w:r w:rsidR="00541D05">
        <w:t xml:space="preserve"> </w:t>
      </w:r>
      <w:r w:rsidR="00D9258C" w:rsidRPr="00FD6A6A">
        <w:t>and</w:t>
      </w:r>
      <w:r w:rsidR="00541D05">
        <w:t xml:space="preserve"> </w:t>
      </w:r>
      <w:r w:rsidR="00D9258C" w:rsidRPr="00FD6A6A">
        <w:t>education</w:t>
      </w:r>
      <w:r w:rsidR="00541D05">
        <w:t xml:space="preserve"> </w:t>
      </w:r>
      <w:r w:rsidR="00D9258C" w:rsidRPr="00FD6A6A">
        <w:t>coordinators,</w:t>
      </w:r>
      <w:r w:rsidR="00541D05">
        <w:t xml:space="preserve"> </w:t>
      </w:r>
      <w:r w:rsidR="00D9258C" w:rsidRPr="00FD6A6A">
        <w:t>updating</w:t>
      </w:r>
      <w:r w:rsidR="00541D05">
        <w:t xml:space="preserve"> </w:t>
      </w:r>
      <w:r w:rsidR="00D9258C" w:rsidRPr="00FD6A6A">
        <w:t>their</w:t>
      </w:r>
      <w:r w:rsidR="00541D05">
        <w:t xml:space="preserve"> </w:t>
      </w:r>
      <w:r w:rsidR="00D9258C" w:rsidRPr="00FD6A6A">
        <w:t>procedures</w:t>
      </w:r>
      <w:r w:rsidR="00541D05">
        <w:t xml:space="preserve"> </w:t>
      </w:r>
      <w:r w:rsidR="00D9258C" w:rsidRPr="00FD6A6A">
        <w:t>regarding</w:t>
      </w:r>
      <w:r w:rsidR="00541D05">
        <w:t xml:space="preserve"> </w:t>
      </w:r>
      <w:r w:rsidR="00D9258C" w:rsidRPr="00FD6A6A">
        <w:t>Romani</w:t>
      </w:r>
      <w:r w:rsidR="00541D05">
        <w:t xml:space="preserve"> </w:t>
      </w:r>
      <w:r w:rsidR="00D9258C" w:rsidRPr="00FD6A6A">
        <w:t>students.</w:t>
      </w:r>
    </w:p>
    <w:p w14:paraId="35FED2AB" w14:textId="2C6C7F26"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Ministry</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Ordinance</w:t>
      </w:r>
      <w:r w:rsidR="00541D05">
        <w:t xml:space="preserve"> </w:t>
      </w:r>
      <w:r w:rsidR="00D9258C" w:rsidRPr="00FD6A6A">
        <w:t>No.</w:t>
      </w:r>
      <w:r w:rsidR="00541D05">
        <w:t xml:space="preserve"> </w:t>
      </w:r>
      <w:r w:rsidR="00D9258C" w:rsidRPr="00FD6A6A">
        <w:t>181</w:t>
      </w:r>
      <w:r w:rsidR="00541D05">
        <w:t xml:space="preserve"> </w:t>
      </w:r>
      <w:r w:rsidR="00D9258C" w:rsidRPr="00FD6A6A">
        <w:t>of</w:t>
      </w:r>
      <w:r w:rsidR="00541D05">
        <w:t xml:space="preserve"> </w:t>
      </w:r>
      <w:r w:rsidR="00D9258C" w:rsidRPr="00FD6A6A">
        <w:t>2016,</w:t>
      </w:r>
      <w:r w:rsidR="00541D05">
        <w:t xml:space="preserve"> </w:t>
      </w:r>
      <w:r w:rsidR="00D9258C" w:rsidRPr="00FD6A6A">
        <w:t>which</w:t>
      </w:r>
      <w:r w:rsidR="00541D05">
        <w:t xml:space="preserve"> </w:t>
      </w:r>
      <w:r w:rsidR="00D9258C" w:rsidRPr="00FD6A6A">
        <w:t>established</w:t>
      </w:r>
      <w:r w:rsidR="00541D05">
        <w:t xml:space="preserve"> </w:t>
      </w:r>
      <w:r w:rsidR="00D9258C" w:rsidRPr="00FD6A6A">
        <w:t>the</w:t>
      </w:r>
      <w:r w:rsidR="00541D05">
        <w:t xml:space="preserve"> </w:t>
      </w:r>
      <w:r w:rsidR="00D9258C" w:rsidRPr="00FD6A6A">
        <w:t>Interministerial</w:t>
      </w:r>
      <w:r w:rsidR="00541D05">
        <w:t xml:space="preserve"> </w:t>
      </w:r>
      <w:r w:rsidR="00D9258C" w:rsidRPr="00FD6A6A">
        <w:t>Working</w:t>
      </w:r>
      <w:r w:rsidR="00541D05">
        <w:t xml:space="preserve"> </w:t>
      </w:r>
      <w:r w:rsidR="00D9258C" w:rsidRPr="00FD6A6A">
        <w:t>Group</w:t>
      </w:r>
      <w:r w:rsidR="00541D05">
        <w:t xml:space="preserve"> </w:t>
      </w:r>
      <w:r w:rsidR="00D9258C" w:rsidRPr="00FD6A6A">
        <w:t>for</w:t>
      </w:r>
      <w:r w:rsidR="00541D05">
        <w:t xml:space="preserve"> </w:t>
      </w:r>
      <w:r w:rsidR="00D9258C" w:rsidRPr="00FD6A6A">
        <w:t>Policies</w:t>
      </w:r>
      <w:r w:rsidR="00541D05">
        <w:t xml:space="preserve"> </w:t>
      </w:r>
      <w:r w:rsidR="00D9258C" w:rsidRPr="00FD6A6A">
        <w:t>for</w:t>
      </w:r>
      <w:r w:rsidR="00541D05">
        <w:t xml:space="preserve"> </w:t>
      </w:r>
      <w:r w:rsidR="00D9258C" w:rsidRPr="00FD6A6A">
        <w:t>Romani</w:t>
      </w:r>
      <w:r w:rsidR="00541D05">
        <w:t xml:space="preserve"> </w:t>
      </w:r>
      <w:r w:rsidR="00D9258C" w:rsidRPr="00FD6A6A">
        <w:t>Peoples,</w:t>
      </w:r>
      <w:r w:rsidR="00541D05">
        <w:t xml:space="preserve"> </w:t>
      </w:r>
      <w:r w:rsidR="00D9258C" w:rsidRPr="00FD6A6A">
        <w:t>aiming</w:t>
      </w:r>
      <w:r w:rsidR="00541D05">
        <w:t xml:space="preserve"> </w:t>
      </w:r>
      <w:r w:rsidR="00D9258C" w:rsidRPr="00FD6A6A">
        <w:t>at</w:t>
      </w:r>
      <w:r w:rsidR="00541D05">
        <w:t xml:space="preserve"> </w:t>
      </w:r>
      <w:r w:rsidR="00D9258C" w:rsidRPr="00FD6A6A">
        <w:t>drafting,</w:t>
      </w:r>
      <w:r w:rsidR="00541D05">
        <w:t xml:space="preserve"> </w:t>
      </w:r>
      <w:r w:rsidR="00D9258C" w:rsidRPr="00FD6A6A">
        <w:t>monitoring,</w:t>
      </w:r>
      <w:r w:rsidR="00541D05">
        <w:t xml:space="preserve"> </w:t>
      </w:r>
      <w:r w:rsidR="00D9258C" w:rsidRPr="00FD6A6A">
        <w:t>and</w:t>
      </w:r>
      <w:r w:rsidR="00541D05">
        <w:t xml:space="preserve"> </w:t>
      </w:r>
      <w:r w:rsidR="00D9258C" w:rsidRPr="00FD6A6A">
        <w:t>evaluating</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EA62F1">
        <w:t>’</w:t>
      </w:r>
      <w:r w:rsidR="00D9258C" w:rsidRPr="00FD6A6A">
        <w:t>s</w:t>
      </w:r>
      <w:r w:rsidR="00541D05">
        <w:t xml:space="preserve"> </w:t>
      </w:r>
      <w:r w:rsidR="00D9258C" w:rsidRPr="00FD6A6A">
        <w:t>National</w:t>
      </w:r>
      <w:r w:rsidR="00541D05">
        <w:t xml:space="preserve"> </w:t>
      </w:r>
      <w:r w:rsidR="00D9258C" w:rsidRPr="00FD6A6A">
        <w:t>Plan</w:t>
      </w:r>
      <w:r w:rsidR="00541D05">
        <w:t xml:space="preserve"> </w:t>
      </w:r>
      <w:r w:rsidR="00D9258C" w:rsidRPr="00FD6A6A">
        <w:t>for</w:t>
      </w:r>
      <w:r w:rsidR="00541D05">
        <w:t xml:space="preserve"> </w:t>
      </w:r>
      <w:r w:rsidR="00D9258C" w:rsidRPr="00FD6A6A">
        <w:t>Romani</w:t>
      </w:r>
      <w:r w:rsidR="00541D05">
        <w:t xml:space="preserve"> </w:t>
      </w:r>
      <w:r w:rsidR="00D9258C" w:rsidRPr="00FD6A6A">
        <w:t>People.</w:t>
      </w:r>
    </w:p>
    <w:p w14:paraId="0BE4B700" w14:textId="5BAA397E" w:rsidR="00D9258C" w:rsidRPr="00FD6A6A" w:rsidRDefault="00166390" w:rsidP="00166390">
      <w:pPr>
        <w:pStyle w:val="ParaNoG"/>
        <w:numPr>
          <w:ilvl w:val="0"/>
          <w:numId w:val="0"/>
        </w:numPr>
        <w:tabs>
          <w:tab w:val="left" w:pos="0"/>
        </w:tabs>
        <w:ind w:left="1134"/>
      </w:pPr>
      <w:r w:rsidRPr="00FD6A6A">
        <w:t>172.</w:t>
      </w:r>
      <w:r w:rsidRPr="00FD6A6A">
        <w:tab/>
      </w:r>
      <w:r w:rsidR="00D9258C" w:rsidRPr="00FD6A6A">
        <w:t>In</w:t>
      </w:r>
      <w:r w:rsidR="00541D05">
        <w:t xml:space="preserve"> </w:t>
      </w:r>
      <w:r w:rsidR="00D9258C" w:rsidRPr="00FD6A6A">
        <w:t>spite</w:t>
      </w:r>
      <w:r w:rsidR="00541D05">
        <w:t xml:space="preserve"> </w:t>
      </w:r>
      <w:r w:rsidR="00D9258C" w:rsidRPr="00FD6A6A">
        <w:t>of</w:t>
      </w:r>
      <w:r w:rsidR="00541D05">
        <w:t xml:space="preserve"> </w:t>
      </w:r>
      <w:r w:rsidR="00D9258C" w:rsidRPr="00FD6A6A">
        <w:t>theses</w:t>
      </w:r>
      <w:r w:rsidR="00541D05">
        <w:t xml:space="preserve"> </w:t>
      </w:r>
      <w:r w:rsidR="00D9258C" w:rsidRPr="00FD6A6A">
        <w:t>advancements,</w:t>
      </w:r>
      <w:r w:rsidR="00541D05">
        <w:t xml:space="preserve"> </w:t>
      </w:r>
      <w:r w:rsidR="00D9258C" w:rsidRPr="00FD6A6A">
        <w:t>many</w:t>
      </w:r>
      <w:r w:rsidR="00541D05">
        <w:t xml:space="preserve"> </w:t>
      </w:r>
      <w:r w:rsidR="00D9258C" w:rsidRPr="00FD6A6A">
        <w:t>challenges</w:t>
      </w:r>
      <w:r w:rsidR="00541D05">
        <w:t xml:space="preserve"> </w:t>
      </w:r>
      <w:r w:rsidR="00D9258C" w:rsidRPr="00FD6A6A">
        <w:t>still</w:t>
      </w:r>
      <w:r w:rsidR="00541D05">
        <w:t xml:space="preserve"> </w:t>
      </w:r>
      <w:r w:rsidR="00D9258C" w:rsidRPr="00FD6A6A">
        <w:t>exist.</w:t>
      </w:r>
      <w:r w:rsidR="00541D05">
        <w:t xml:space="preserve"> </w:t>
      </w:r>
      <w:r w:rsidR="00D9258C" w:rsidRPr="00FD6A6A">
        <w:t>For</w:t>
      </w:r>
      <w:r w:rsidR="00541D05">
        <w:t xml:space="preserve"> </w:t>
      </w:r>
      <w:r w:rsidR="00D9258C" w:rsidRPr="00FD6A6A">
        <w:t>instance,</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decided</w:t>
      </w:r>
      <w:r w:rsidR="00541D05">
        <w:t xml:space="preserve"> </w:t>
      </w:r>
      <w:r w:rsidR="00D9258C" w:rsidRPr="00FD6A6A">
        <w:t>to</w:t>
      </w:r>
      <w:r w:rsidR="00541D05">
        <w:t xml:space="preserve"> </w:t>
      </w:r>
      <w:r w:rsidR="00D9258C" w:rsidRPr="00FD6A6A">
        <w:t>establish</w:t>
      </w:r>
      <w:r w:rsidR="00541D05">
        <w:t xml:space="preserve"> </w:t>
      </w:r>
      <w:r w:rsidR="00D9258C" w:rsidRPr="00FD6A6A">
        <w:t>strategies</w:t>
      </w:r>
      <w:r w:rsidR="00541D05">
        <w:t xml:space="preserve"> </w:t>
      </w:r>
      <w:r w:rsidR="00D9258C" w:rsidRPr="00FD6A6A">
        <w:t>focused</w:t>
      </w:r>
      <w:r w:rsidR="00541D05">
        <w:t xml:space="preserve"> </w:t>
      </w:r>
      <w:r w:rsidR="00D9258C" w:rsidRPr="00FD6A6A">
        <w:t>on</w:t>
      </w:r>
      <w:r w:rsidR="00541D05">
        <w:t xml:space="preserve"> </w:t>
      </w:r>
      <w:r w:rsidR="00D9258C" w:rsidRPr="00FD6A6A">
        <w:t>providing</w:t>
      </w:r>
      <w:r w:rsidR="00541D05">
        <w:t xml:space="preserve"> </w:t>
      </w:r>
      <w:r w:rsidR="00D9258C" w:rsidRPr="00FD6A6A">
        <w:t>universal</w:t>
      </w:r>
      <w:r w:rsidR="00541D05">
        <w:t xml:space="preserve"> </w:t>
      </w:r>
      <w:r w:rsidR="00D9258C" w:rsidRPr="00FD6A6A">
        <w:t>access</w:t>
      </w:r>
      <w:r w:rsidR="00541D05">
        <w:t xml:space="preserve"> </w:t>
      </w:r>
      <w:r w:rsidR="00D9258C" w:rsidRPr="00FD6A6A">
        <w:t>to</w:t>
      </w:r>
      <w:r w:rsidR="00541D05">
        <w:t xml:space="preserve"> </w:t>
      </w:r>
      <w:r w:rsidR="00D9258C" w:rsidRPr="00FD6A6A">
        <w:t>civil</w:t>
      </w:r>
      <w:r w:rsidR="00541D05">
        <w:t xml:space="preserve"> </w:t>
      </w:r>
      <w:r w:rsidR="00D9258C" w:rsidRPr="00FD6A6A">
        <w:t>documents</w:t>
      </w:r>
      <w:r w:rsidR="00541D05">
        <w:t xml:space="preserve"> </w:t>
      </w:r>
      <w:r w:rsidR="00D9258C" w:rsidRPr="00FD6A6A">
        <w:t>for</w:t>
      </w:r>
      <w:r w:rsidR="00541D05">
        <w:t xml:space="preserve"> </w:t>
      </w:r>
      <w:r w:rsidR="00D9258C" w:rsidRPr="00FD6A6A">
        <w:t>the</w:t>
      </w:r>
      <w:r w:rsidR="00541D05">
        <w:t xml:space="preserve"> </w:t>
      </w:r>
      <w:r w:rsidR="00D9258C" w:rsidRPr="00FD6A6A">
        <w:t>Romani</w:t>
      </w:r>
      <w:r w:rsidR="00541D05">
        <w:t xml:space="preserve"> </w:t>
      </w:r>
      <w:r w:rsidR="00D9258C" w:rsidRPr="00FD6A6A">
        <w:t>population.</w:t>
      </w:r>
    </w:p>
    <w:p w14:paraId="604D3C69" w14:textId="079AE0AE" w:rsidR="00D9258C" w:rsidRPr="00FD6A6A" w:rsidRDefault="00166390" w:rsidP="00166390">
      <w:pPr>
        <w:pStyle w:val="ParaNoG"/>
        <w:numPr>
          <w:ilvl w:val="0"/>
          <w:numId w:val="0"/>
        </w:numPr>
        <w:tabs>
          <w:tab w:val="left" w:pos="0"/>
        </w:tabs>
        <w:ind w:left="1134"/>
      </w:pPr>
      <w:r w:rsidRPr="00FD6A6A">
        <w:t>173.</w:t>
      </w:r>
      <w:r w:rsidRPr="00FD6A6A">
        <w:tab/>
      </w:r>
      <w:r w:rsidR="00D9258C" w:rsidRPr="00FD6A6A">
        <w:t>Furthermore,</w:t>
      </w:r>
      <w:r w:rsidR="00541D05">
        <w:t xml:space="preserve"> </w:t>
      </w:r>
      <w:r w:rsidR="00D9258C" w:rsidRPr="00FD6A6A">
        <w:t>land</w:t>
      </w:r>
      <w:r w:rsidR="00541D05">
        <w:t xml:space="preserve"> </w:t>
      </w:r>
      <w:r w:rsidR="00D9258C" w:rsidRPr="00FD6A6A">
        <w:t>regularization</w:t>
      </w:r>
      <w:r w:rsidR="00541D05">
        <w:t xml:space="preserve"> </w:t>
      </w:r>
      <w:r w:rsidR="00D9258C" w:rsidRPr="00FD6A6A">
        <w:t>of</w:t>
      </w:r>
      <w:r w:rsidR="00541D05">
        <w:t xml:space="preserve"> </w:t>
      </w:r>
      <w:r w:rsidR="00D9258C" w:rsidRPr="00FD6A6A">
        <w:t>the</w:t>
      </w:r>
      <w:r w:rsidR="00541D05">
        <w:t xml:space="preserve"> </w:t>
      </w:r>
      <w:r w:rsidR="00D9258C" w:rsidRPr="00FD6A6A">
        <w:t>camps</w:t>
      </w:r>
      <w:r w:rsidR="00541D05">
        <w:t xml:space="preserve"> </w:t>
      </w:r>
      <w:r w:rsidR="00D9258C" w:rsidRPr="00FD6A6A">
        <w:t>influences</w:t>
      </w:r>
      <w:r w:rsidR="00541D05">
        <w:t xml:space="preserve"> </w:t>
      </w:r>
      <w:r w:rsidR="00D9258C" w:rsidRPr="00FD6A6A">
        <w:t>investments</w:t>
      </w:r>
      <w:r w:rsidR="00541D05">
        <w:t xml:space="preserve"> </w:t>
      </w:r>
      <w:r w:rsidR="00D9258C" w:rsidRPr="00FD6A6A">
        <w:t>in</w:t>
      </w:r>
      <w:r w:rsidR="00541D05">
        <w:t xml:space="preserve"> </w:t>
      </w:r>
      <w:r w:rsidR="00D9258C" w:rsidRPr="00FD6A6A">
        <w:t>infrastructure,</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w:t>
      </w:r>
      <w:r w:rsidR="00541D05">
        <w:t xml:space="preserve"> </w:t>
      </w:r>
      <w:r w:rsidR="00D9258C" w:rsidRPr="00FD6A6A">
        <w:t>possibility</w:t>
      </w:r>
      <w:r w:rsidR="00541D05">
        <w:t xml:space="preserve"> </w:t>
      </w:r>
      <w:r w:rsidR="00D9258C" w:rsidRPr="00FD6A6A">
        <w:t>to</w:t>
      </w:r>
      <w:r w:rsidR="00541D05">
        <w:t xml:space="preserve"> </w:t>
      </w:r>
      <w:r w:rsidR="00D9258C" w:rsidRPr="00FD6A6A">
        <w:t>enjoy</w:t>
      </w:r>
      <w:r w:rsidR="00541D05">
        <w:t xml:space="preserve"> </w:t>
      </w:r>
      <w:r w:rsidR="00D9258C" w:rsidRPr="00FD6A6A">
        <w:t>basic</w:t>
      </w:r>
      <w:r w:rsidR="00541D05">
        <w:t xml:space="preserve"> </w:t>
      </w:r>
      <w:r w:rsidR="00D9258C" w:rsidRPr="00FD6A6A">
        <w:t>rights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settlement</w:t>
      </w:r>
      <w:r w:rsidR="00541D05">
        <w:t xml:space="preserve"> </w:t>
      </w:r>
      <w:r w:rsidR="00D9258C" w:rsidRPr="00FD6A6A">
        <w:t>of</w:t>
      </w:r>
      <w:r w:rsidR="00541D05">
        <w:t xml:space="preserve"> </w:t>
      </w:r>
      <w:r w:rsidR="00D9258C" w:rsidRPr="00FD6A6A">
        <w:t>these</w:t>
      </w:r>
      <w:r w:rsidR="00541D05">
        <w:t xml:space="preserve"> </w:t>
      </w:r>
      <w:r w:rsidR="00D9258C" w:rsidRPr="00FD6A6A">
        <w:t>peoples.</w:t>
      </w:r>
      <w:r w:rsidR="00541D05">
        <w:t xml:space="preserve"> </w:t>
      </w:r>
      <w:r w:rsidR="00D9258C" w:rsidRPr="00FD6A6A">
        <w:t>There</w:t>
      </w:r>
      <w:r w:rsidR="00541D05">
        <w:t xml:space="preserve"> </w:t>
      </w:r>
      <w:r w:rsidR="00D9258C" w:rsidRPr="00FD6A6A">
        <w:t>are</w:t>
      </w:r>
      <w:r w:rsidR="00541D05">
        <w:t xml:space="preserve"> </w:t>
      </w:r>
      <w:r w:rsidR="00D9258C" w:rsidRPr="00FD6A6A">
        <w:t>currently</w:t>
      </w:r>
      <w:r w:rsidR="00541D05">
        <w:t xml:space="preserve"> </w:t>
      </w:r>
      <w:r w:rsidR="00D9258C" w:rsidRPr="00FD6A6A">
        <w:t>20</w:t>
      </w:r>
      <w:r w:rsidR="00541D05">
        <w:t xml:space="preserve"> </w:t>
      </w:r>
      <w:r w:rsidR="00D9258C" w:rsidRPr="00FD6A6A">
        <w:t>pending</w:t>
      </w:r>
      <w:r w:rsidR="00541D05">
        <w:t xml:space="preserve"> </w:t>
      </w:r>
      <w:r w:rsidR="00D9258C" w:rsidRPr="00FD6A6A">
        <w:t>complaints</w:t>
      </w:r>
      <w:r w:rsidR="00541D05">
        <w:t xml:space="preserve"> </w:t>
      </w:r>
      <w:r w:rsidR="00D9258C" w:rsidRPr="00FD6A6A">
        <w:t>for</w:t>
      </w:r>
      <w:r w:rsidR="00541D05">
        <w:t xml:space="preserve"> </w:t>
      </w:r>
      <w:r w:rsidR="00D9258C" w:rsidRPr="00FD6A6A">
        <w:t>regularization</w:t>
      </w:r>
      <w:r w:rsidR="00541D05">
        <w:t xml:space="preserve"> </w:t>
      </w:r>
      <w:r w:rsidR="00D9258C" w:rsidRPr="00FD6A6A">
        <w:t>at</w:t>
      </w:r>
      <w:r w:rsidR="00541D05">
        <w:t xml:space="preserve"> </w:t>
      </w:r>
      <w:r w:rsidR="00D9258C" w:rsidRPr="00FD6A6A">
        <w:t>the</w:t>
      </w:r>
      <w:r w:rsidR="00541D05">
        <w:t xml:space="preserve"> </w:t>
      </w:r>
      <w:r w:rsidR="00D9258C" w:rsidRPr="00FD6A6A">
        <w:t>judicial</w:t>
      </w:r>
      <w:r w:rsidR="00541D05">
        <w:t xml:space="preserve"> </w:t>
      </w:r>
      <w:r w:rsidR="00D9258C" w:rsidRPr="00FD6A6A">
        <w:t>level.</w:t>
      </w:r>
    </w:p>
    <w:p w14:paraId="0E1377F1" w14:textId="7DB383C9" w:rsidR="00D9258C" w:rsidRPr="00FD6A6A" w:rsidRDefault="00D9258C" w:rsidP="00287309">
      <w:pPr>
        <w:pStyle w:val="H23G"/>
      </w:pPr>
      <w:r w:rsidRPr="00FD6A6A">
        <w:tab/>
      </w:r>
      <w:r w:rsidRPr="00FD6A6A">
        <w:tab/>
        <w:t>Immigration</w:t>
      </w:r>
      <w:r w:rsidR="00541D05">
        <w:t xml:space="preserve"> </w:t>
      </w:r>
      <w:r w:rsidRPr="00FD6A6A">
        <w:t>and</w:t>
      </w:r>
      <w:r w:rsidR="00541D05">
        <w:t xml:space="preserve"> </w:t>
      </w:r>
      <w:r w:rsidRPr="00FD6A6A">
        <w:t>refugees</w:t>
      </w:r>
      <w:r w:rsidR="00541D05">
        <w:t xml:space="preserve"> </w:t>
      </w:r>
      <w:r w:rsidRPr="00FD6A6A">
        <w:t>in</w:t>
      </w:r>
      <w:r w:rsidR="00541D05">
        <w:t xml:space="preserve"> </w:t>
      </w:r>
      <w:r w:rsidRPr="00FD6A6A">
        <w:t>Brazil</w:t>
      </w:r>
    </w:p>
    <w:p w14:paraId="1BED0C54" w14:textId="56E418DE" w:rsidR="00D9258C" w:rsidRPr="00FD6A6A" w:rsidRDefault="00166390" w:rsidP="00166390">
      <w:pPr>
        <w:pStyle w:val="ParaNoG"/>
        <w:numPr>
          <w:ilvl w:val="0"/>
          <w:numId w:val="0"/>
        </w:numPr>
        <w:tabs>
          <w:tab w:val="left" w:pos="0"/>
        </w:tabs>
        <w:ind w:left="1134"/>
      </w:pPr>
      <w:r w:rsidRPr="00FD6A6A">
        <w:t>174.</w:t>
      </w:r>
      <w:r w:rsidRPr="00FD6A6A">
        <w:tab/>
      </w:r>
      <w:r w:rsidR="00D9258C" w:rsidRPr="00FD6A6A">
        <w:t>Brazil</w:t>
      </w:r>
      <w:r w:rsidR="00541D05">
        <w:t xml:space="preserve"> </w:t>
      </w:r>
      <w:r w:rsidR="00D9258C" w:rsidRPr="00FD6A6A">
        <w:t>has</w:t>
      </w:r>
      <w:r w:rsidR="00541D05">
        <w:t xml:space="preserve"> </w:t>
      </w:r>
      <w:r w:rsidR="00D9258C" w:rsidRPr="00FD6A6A">
        <w:t>a</w:t>
      </w:r>
      <w:r w:rsidR="00541D05">
        <w:t xml:space="preserve"> </w:t>
      </w:r>
      <w:r w:rsidR="00D9258C" w:rsidRPr="00FD6A6A">
        <w:t>small</w:t>
      </w:r>
      <w:r w:rsidR="00541D05">
        <w:t xml:space="preserve"> </w:t>
      </w:r>
      <w:r w:rsidR="00D9258C" w:rsidRPr="00FD6A6A">
        <w:t>immigrant</w:t>
      </w:r>
      <w:r w:rsidR="00541D05">
        <w:t xml:space="preserve"> </w:t>
      </w:r>
      <w:r w:rsidR="00D9258C" w:rsidRPr="00FD6A6A">
        <w:t>population</w:t>
      </w:r>
      <w:r w:rsidR="00541D05">
        <w:t xml:space="preserve"> </w:t>
      </w:r>
      <w:r w:rsidR="00D9258C" w:rsidRPr="00FD6A6A">
        <w:t>included</w:t>
      </w:r>
      <w:r w:rsidR="00541D05">
        <w:t xml:space="preserve"> </w:t>
      </w:r>
      <w:r w:rsidR="00D9258C" w:rsidRPr="00FD6A6A">
        <w:t>in</w:t>
      </w:r>
      <w:r w:rsidR="00541D05">
        <w:t xml:space="preserve"> </w:t>
      </w:r>
      <w:r w:rsidR="00D9258C" w:rsidRPr="00FD6A6A">
        <w:t>its</w:t>
      </w:r>
      <w:r w:rsidR="00541D05">
        <w:t xml:space="preserve"> </w:t>
      </w:r>
      <w:r w:rsidR="00D9258C" w:rsidRPr="00FD6A6A">
        <w:t>total</w:t>
      </w:r>
      <w:r w:rsidR="00541D05">
        <w:t xml:space="preserve"> </w:t>
      </w:r>
      <w:r w:rsidR="00D9258C" w:rsidRPr="00FD6A6A">
        <w:t>population.</w:t>
      </w:r>
      <w:r w:rsidR="00541D05">
        <w:t xml:space="preserve"> </w:t>
      </w:r>
      <w:r w:rsidR="00D9258C" w:rsidRPr="00FD6A6A">
        <w:t>According</w:t>
      </w:r>
      <w:r w:rsidR="00541D05">
        <w:t xml:space="preserve"> </w:t>
      </w:r>
      <w:r w:rsidR="00D9258C" w:rsidRPr="00FD6A6A">
        <w:t>to</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Justice,</w:t>
      </w:r>
      <w:r w:rsidR="00541D05">
        <w:t xml:space="preserve"> </w:t>
      </w:r>
      <w:r w:rsidR="00D9258C" w:rsidRPr="00FD6A6A">
        <w:t>1.06</w:t>
      </w:r>
      <w:r w:rsidR="00541D05">
        <w:t xml:space="preserve"> </w:t>
      </w:r>
      <w:r w:rsidR="00D9258C" w:rsidRPr="00FD6A6A">
        <w:t>million</w:t>
      </w:r>
      <w:r w:rsidR="00541D05">
        <w:t xml:space="preserve"> </w:t>
      </w:r>
      <w:r w:rsidR="00D9258C" w:rsidRPr="00FD6A6A">
        <w:t>immigrants</w:t>
      </w:r>
      <w:r w:rsidR="00541D05">
        <w:t xml:space="preserve"> </w:t>
      </w:r>
      <w:r w:rsidR="00D9258C" w:rsidRPr="00FD6A6A">
        <w:t>lived</w:t>
      </w:r>
      <w:r w:rsidR="00541D05">
        <w:t xml:space="preserve"> </w:t>
      </w:r>
      <w:r w:rsidR="00D9258C" w:rsidRPr="00FD6A6A">
        <w:t>in</w:t>
      </w:r>
      <w:r w:rsidR="00541D05">
        <w:t xml:space="preserve"> </w:t>
      </w:r>
      <w:r w:rsidR="00D9258C" w:rsidRPr="00FD6A6A">
        <w:t>Brazil</w:t>
      </w:r>
      <w:r w:rsidR="00541D05">
        <w:t xml:space="preserve"> </w:t>
      </w:r>
      <w:r w:rsidR="00115F43" w:rsidRPr="00FD6A6A">
        <w:t>until</w:t>
      </w:r>
      <w:r w:rsidR="00541D05">
        <w:t xml:space="preserve"> </w:t>
      </w:r>
      <w:r w:rsidR="00D9258C" w:rsidRPr="00FD6A6A">
        <w:t>2019.</w:t>
      </w:r>
      <w:r w:rsidR="00541D05">
        <w:t xml:space="preserve"> </w:t>
      </w:r>
      <w:r w:rsidR="00D9258C" w:rsidRPr="00FD6A6A">
        <w:t>Between</w:t>
      </w:r>
      <w:r w:rsidR="00541D05">
        <w:t xml:space="preserve"> </w:t>
      </w:r>
      <w:r w:rsidR="00D9258C" w:rsidRPr="00FD6A6A">
        <w:t>2010</w:t>
      </w:r>
      <w:r w:rsidR="00541D05">
        <w:t xml:space="preserve"> </w:t>
      </w:r>
      <w:r w:rsidR="00D9258C" w:rsidRPr="00FD6A6A">
        <w:t>and</w:t>
      </w:r>
      <w:r w:rsidR="00541D05">
        <w:t xml:space="preserve"> </w:t>
      </w:r>
      <w:r w:rsidR="00D9258C" w:rsidRPr="00FD6A6A">
        <w:t>2014</w:t>
      </w:r>
      <w:r w:rsidR="00541D05">
        <w:t xml:space="preserve"> </w:t>
      </w:r>
      <w:r w:rsidR="00D9258C" w:rsidRPr="00FD6A6A">
        <w:t>there</w:t>
      </w:r>
      <w:r w:rsidR="00541D05">
        <w:t xml:space="preserve"> </w:t>
      </w:r>
      <w:r w:rsidR="00D9258C" w:rsidRPr="00FD6A6A">
        <w:t>was</w:t>
      </w:r>
      <w:r w:rsidR="00541D05">
        <w:t xml:space="preserve"> </w:t>
      </w:r>
      <w:r w:rsidR="00D9258C" w:rsidRPr="00FD6A6A">
        <w:t>an</w:t>
      </w:r>
      <w:r w:rsidR="00541D05">
        <w:t xml:space="preserve"> </w:t>
      </w:r>
      <w:r w:rsidR="00D9258C" w:rsidRPr="00FD6A6A">
        <w:t>increase</w:t>
      </w:r>
      <w:r w:rsidR="00541D05">
        <w:t xml:space="preserve"> </w:t>
      </w:r>
      <w:r w:rsidR="00D9258C" w:rsidRPr="00FD6A6A">
        <w:t>in</w:t>
      </w:r>
      <w:r w:rsidR="00541D05">
        <w:t xml:space="preserve"> </w:t>
      </w:r>
      <w:r w:rsidR="00D9258C" w:rsidRPr="00FD6A6A">
        <w:t>immigration</w:t>
      </w:r>
      <w:r w:rsidR="00541D05">
        <w:t xml:space="preserve"> </w:t>
      </w:r>
      <w:r w:rsidR="00D9258C" w:rsidRPr="00FD6A6A">
        <w:t>to</w:t>
      </w:r>
      <w:r w:rsidR="00541D05">
        <w:t xml:space="preserve"> </w:t>
      </w:r>
      <w:r w:rsidR="00D9258C" w:rsidRPr="00FD6A6A">
        <w:t>Brazil,</w:t>
      </w:r>
      <w:r w:rsidR="00541D05">
        <w:t xml:space="preserve"> </w:t>
      </w:r>
      <w:r w:rsidR="00D9258C" w:rsidRPr="00FD6A6A">
        <w:t>but</w:t>
      </w:r>
      <w:r w:rsidR="00541D05">
        <w:t xml:space="preserve"> </w:t>
      </w:r>
      <w:r w:rsidR="00D9258C" w:rsidRPr="00FD6A6A">
        <w:t>since</w:t>
      </w:r>
      <w:r w:rsidR="00541D05">
        <w:t xml:space="preserve"> </w:t>
      </w:r>
      <w:r w:rsidR="00D9258C" w:rsidRPr="00FD6A6A">
        <w:t>2015</w:t>
      </w:r>
      <w:r w:rsidR="00541D05">
        <w:t xml:space="preserve"> </w:t>
      </w:r>
      <w:r w:rsidR="00D9258C" w:rsidRPr="00FD6A6A">
        <w:t>the</w:t>
      </w:r>
      <w:r w:rsidR="00541D05">
        <w:t xml:space="preserve"> </w:t>
      </w:r>
      <w:r w:rsidR="00D9258C" w:rsidRPr="00FD6A6A">
        <w:t>migration</w:t>
      </w:r>
      <w:r w:rsidR="00541D05">
        <w:t xml:space="preserve"> </w:t>
      </w:r>
      <w:r w:rsidR="00D9258C" w:rsidRPr="00FD6A6A">
        <w:t>flow</w:t>
      </w:r>
      <w:r w:rsidR="00541D05">
        <w:t xml:space="preserve"> </w:t>
      </w:r>
      <w:r w:rsidR="00D9258C" w:rsidRPr="00FD6A6A">
        <w:t>has</w:t>
      </w:r>
      <w:r w:rsidR="00541D05">
        <w:t xml:space="preserve"> </w:t>
      </w:r>
      <w:r w:rsidR="00D9258C" w:rsidRPr="00FD6A6A">
        <w:t>been</w:t>
      </w:r>
      <w:r w:rsidR="00541D05">
        <w:t xml:space="preserve"> </w:t>
      </w:r>
      <w:r w:rsidR="00D9258C" w:rsidRPr="00FD6A6A">
        <w:t>decreasing,</w:t>
      </w:r>
      <w:r w:rsidR="00541D05">
        <w:t xml:space="preserve"> </w:t>
      </w:r>
      <w:r w:rsidR="00D9258C" w:rsidRPr="00FD6A6A">
        <w:t>which</w:t>
      </w:r>
      <w:r w:rsidR="00541D05">
        <w:t xml:space="preserve"> </w:t>
      </w:r>
      <w:r w:rsidR="00D9258C" w:rsidRPr="00FD6A6A">
        <w:t>is</w:t>
      </w:r>
      <w:r w:rsidR="00541D05">
        <w:t xml:space="preserve"> </w:t>
      </w:r>
      <w:r w:rsidR="00D9258C" w:rsidRPr="00FD6A6A">
        <w:t>a</w:t>
      </w:r>
      <w:r w:rsidR="00541D05">
        <w:t xml:space="preserve"> </w:t>
      </w:r>
      <w:r w:rsidR="00D9258C" w:rsidRPr="00FD6A6A">
        <w:t>reflex</w:t>
      </w:r>
      <w:r w:rsidR="00541D05">
        <w:t xml:space="preserve"> </w:t>
      </w:r>
      <w:r w:rsidR="00D9258C" w:rsidRPr="00FD6A6A">
        <w:t>of</w:t>
      </w:r>
      <w:r w:rsidR="00541D05">
        <w:t xml:space="preserve"> </w:t>
      </w:r>
      <w:r w:rsidR="00D9258C" w:rsidRPr="00FD6A6A">
        <w:t>the</w:t>
      </w:r>
      <w:r w:rsidR="00541D05">
        <w:t xml:space="preserve"> </w:t>
      </w:r>
      <w:r w:rsidR="00D9258C" w:rsidRPr="00FD6A6A">
        <w:t>domestic</w:t>
      </w:r>
      <w:r w:rsidR="00541D05">
        <w:t xml:space="preserve"> </w:t>
      </w:r>
      <w:r w:rsidR="00D9258C" w:rsidRPr="00FD6A6A">
        <w:t>deterioration</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economic</w:t>
      </w:r>
      <w:r w:rsidR="00541D05">
        <w:t xml:space="preserve"> </w:t>
      </w:r>
      <w:r w:rsidR="00D9258C" w:rsidRPr="00FD6A6A">
        <w:t>conditions.</w:t>
      </w:r>
      <w:r w:rsidR="00541D05">
        <w:t xml:space="preserve"> </w:t>
      </w:r>
      <w:r w:rsidR="00D9258C" w:rsidRPr="00FD6A6A">
        <w:t>In</w:t>
      </w:r>
      <w:r w:rsidR="00541D05">
        <w:t xml:space="preserve"> </w:t>
      </w:r>
      <w:r w:rsidR="00D9258C" w:rsidRPr="00FD6A6A">
        <w:t>2016,</w:t>
      </w:r>
      <w:r w:rsidR="00541D05">
        <w:t xml:space="preserve"> </w:t>
      </w:r>
      <w:r w:rsidR="00D9258C" w:rsidRPr="00FD6A6A">
        <w:t>94</w:t>
      </w:r>
      <w:r w:rsidR="00541D05">
        <w:t xml:space="preserve"> </w:t>
      </w:r>
      <w:r w:rsidR="00D9258C" w:rsidRPr="00FD6A6A">
        <w:t>thousand</w:t>
      </w:r>
      <w:r w:rsidR="00541D05">
        <w:t xml:space="preserve"> </w:t>
      </w:r>
      <w:r w:rsidR="00D9258C" w:rsidRPr="00FD6A6A">
        <w:t>foreign</w:t>
      </w:r>
      <w:r w:rsidR="00541D05">
        <w:t xml:space="preserve"> </w:t>
      </w:r>
      <w:r w:rsidR="00D9258C" w:rsidRPr="00FD6A6A">
        <w:t>persons</w:t>
      </w:r>
      <w:r w:rsidR="00541D05">
        <w:t xml:space="preserve"> </w:t>
      </w:r>
      <w:r w:rsidR="00D9258C" w:rsidRPr="00FD6A6A">
        <w:t>entered</w:t>
      </w:r>
      <w:r w:rsidR="00541D05">
        <w:t xml:space="preserve"> </w:t>
      </w:r>
      <w:r w:rsidR="00D9258C" w:rsidRPr="00FD6A6A">
        <w:t>the</w:t>
      </w:r>
      <w:r w:rsidR="00541D05">
        <w:t xml:space="preserve"> </w:t>
      </w:r>
      <w:r w:rsidR="00D9258C" w:rsidRPr="00FD6A6A">
        <w:t>country,</w:t>
      </w:r>
      <w:r w:rsidR="00541D05">
        <w:t xml:space="preserve"> </w:t>
      </w:r>
      <w:r w:rsidR="00D9258C" w:rsidRPr="00FD6A6A">
        <w:t>23%</w:t>
      </w:r>
      <w:r w:rsidR="00541D05">
        <w:t xml:space="preserve"> </w:t>
      </w:r>
      <w:r w:rsidR="00D9258C" w:rsidRPr="00FD6A6A">
        <w:t>less</w:t>
      </w:r>
      <w:r w:rsidR="00541D05">
        <w:t xml:space="preserve"> </w:t>
      </w:r>
      <w:r w:rsidR="00D9258C" w:rsidRPr="00FD6A6A">
        <w:t>than</w:t>
      </w:r>
      <w:r w:rsidR="00541D05">
        <w:t xml:space="preserve"> </w:t>
      </w:r>
      <w:r w:rsidR="00D9258C" w:rsidRPr="00FD6A6A">
        <w:t>the</w:t>
      </w:r>
      <w:r w:rsidR="00541D05">
        <w:t xml:space="preserve"> </w:t>
      </w:r>
      <w:r w:rsidR="00D9258C" w:rsidRPr="00FD6A6A">
        <w:t>number</w:t>
      </w:r>
      <w:r w:rsidR="00541D05">
        <w:t xml:space="preserve"> </w:t>
      </w:r>
      <w:r w:rsidR="00D9258C" w:rsidRPr="00FD6A6A">
        <w:t>registered</w:t>
      </w:r>
      <w:r w:rsidR="00541D05">
        <w:t xml:space="preserve"> </w:t>
      </w:r>
      <w:r w:rsidR="00D9258C" w:rsidRPr="00FD6A6A">
        <w:t>for</w:t>
      </w:r>
      <w:r w:rsidR="00541D05">
        <w:t xml:space="preserve"> </w:t>
      </w:r>
      <w:r w:rsidR="00D9258C" w:rsidRPr="00FD6A6A">
        <w:t>2014.</w:t>
      </w:r>
      <w:r w:rsidR="00541D05">
        <w:t xml:space="preserve"> </w:t>
      </w:r>
      <w:r w:rsidR="00D9258C" w:rsidRPr="00FD6A6A">
        <w:t>Since</w:t>
      </w:r>
      <w:r w:rsidR="00541D05">
        <w:t xml:space="preserve"> </w:t>
      </w:r>
      <w:r w:rsidR="00D9258C" w:rsidRPr="00FD6A6A">
        <w:t>2013,</w:t>
      </w:r>
      <w:r w:rsidR="00541D05">
        <w:t xml:space="preserve"> </w:t>
      </w:r>
      <w:r w:rsidR="00D9258C" w:rsidRPr="00FD6A6A">
        <w:t>Haitians</w:t>
      </w:r>
      <w:r w:rsidR="00541D05">
        <w:t xml:space="preserve"> </w:t>
      </w:r>
      <w:r w:rsidR="00D9258C" w:rsidRPr="00FD6A6A">
        <w:t>were</w:t>
      </w:r>
      <w:r w:rsidR="00541D05">
        <w:t xml:space="preserve"> </w:t>
      </w:r>
      <w:r w:rsidR="00D9258C" w:rsidRPr="00FD6A6A">
        <w:t>the</w:t>
      </w:r>
      <w:r w:rsidR="00541D05">
        <w:t xml:space="preserve"> </w:t>
      </w:r>
      <w:r w:rsidR="00D9258C" w:rsidRPr="00FD6A6A">
        <w:t>majority</w:t>
      </w:r>
      <w:r w:rsidR="00541D05">
        <w:t xml:space="preserve"> </w:t>
      </w:r>
      <w:r w:rsidR="00D9258C" w:rsidRPr="00FD6A6A">
        <w:t>of</w:t>
      </w:r>
      <w:r w:rsidR="00541D05">
        <w:t xml:space="preserve"> </w:t>
      </w:r>
      <w:r w:rsidR="00D9258C" w:rsidRPr="00FD6A6A">
        <w:t>foreign</w:t>
      </w:r>
      <w:r w:rsidR="00541D05">
        <w:t xml:space="preserve"> </w:t>
      </w:r>
      <w:r w:rsidR="00D9258C" w:rsidRPr="00FD6A6A">
        <w:t>persons</w:t>
      </w:r>
      <w:r w:rsidR="00541D05">
        <w:t xml:space="preserve"> </w:t>
      </w:r>
      <w:r w:rsidR="00D9258C" w:rsidRPr="00FD6A6A">
        <w:t>entering</w:t>
      </w:r>
      <w:r w:rsidR="00541D05">
        <w:t xml:space="preserve"> </w:t>
      </w:r>
      <w:r w:rsidR="00D9258C" w:rsidRPr="00FD6A6A">
        <w:t>in</w:t>
      </w:r>
      <w:r w:rsidR="00541D05">
        <w:t xml:space="preserve"> </w:t>
      </w:r>
      <w:r w:rsidR="00D9258C" w:rsidRPr="00FD6A6A">
        <w:t>Brazil,</w:t>
      </w:r>
      <w:r w:rsidR="00541D05">
        <w:t xml:space="preserve"> </w:t>
      </w:r>
      <w:r w:rsidR="00D9258C" w:rsidRPr="00FD6A6A">
        <w:t>followed</w:t>
      </w:r>
      <w:r w:rsidR="00541D05">
        <w:t xml:space="preserve"> </w:t>
      </w:r>
      <w:r w:rsidR="00D9258C" w:rsidRPr="00FD6A6A">
        <w:t>by</w:t>
      </w:r>
      <w:r w:rsidR="00541D05">
        <w:t xml:space="preserve"> </w:t>
      </w:r>
      <w:r w:rsidR="00D9258C" w:rsidRPr="00FD6A6A">
        <w:t>Bolivians.</w:t>
      </w:r>
    </w:p>
    <w:p w14:paraId="6FFEB9B2" w14:textId="67B2F168" w:rsidR="00D9258C" w:rsidRPr="00FD6A6A" w:rsidRDefault="00166390" w:rsidP="00166390">
      <w:pPr>
        <w:pStyle w:val="ParaNoG"/>
        <w:numPr>
          <w:ilvl w:val="0"/>
          <w:numId w:val="0"/>
        </w:numPr>
        <w:tabs>
          <w:tab w:val="left" w:pos="0"/>
        </w:tabs>
        <w:ind w:left="1134"/>
      </w:pPr>
      <w:r w:rsidRPr="00FD6A6A">
        <w:t>175.</w:t>
      </w:r>
      <w:r w:rsidRPr="00FD6A6A">
        <w:tab/>
      </w:r>
      <w:r w:rsidR="00D9258C" w:rsidRPr="00FD6A6A">
        <w:t>As</w:t>
      </w:r>
      <w:r w:rsidR="00541D05">
        <w:t xml:space="preserve"> </w:t>
      </w:r>
      <w:r w:rsidR="00D9258C" w:rsidRPr="00FD6A6A">
        <w:t>of</w:t>
      </w:r>
      <w:r w:rsidR="00541D05">
        <w:t xml:space="preserve"> </w:t>
      </w:r>
      <w:r w:rsidR="00D9258C" w:rsidRPr="00FD6A6A">
        <w:t>2016,</w:t>
      </w:r>
      <w:r w:rsidR="00541D05">
        <w:t xml:space="preserve"> </w:t>
      </w:r>
      <w:r w:rsidR="00D9258C" w:rsidRPr="00FD6A6A">
        <w:t>however,</w:t>
      </w:r>
      <w:r w:rsidR="00541D05">
        <w:t xml:space="preserve"> </w:t>
      </w:r>
      <w:r w:rsidR="00D9258C" w:rsidRPr="00FD6A6A">
        <w:t>the</w:t>
      </w:r>
      <w:r w:rsidR="00541D05">
        <w:t xml:space="preserve"> </w:t>
      </w:r>
      <w:r w:rsidR="00D9258C" w:rsidRPr="00FD6A6A">
        <w:t>crisis</w:t>
      </w:r>
      <w:r w:rsidR="00541D05">
        <w:t xml:space="preserve"> </w:t>
      </w:r>
      <w:r w:rsidR="00D9258C" w:rsidRPr="00FD6A6A">
        <w:t>in</w:t>
      </w:r>
      <w:r w:rsidR="00541D05">
        <w:t xml:space="preserve"> </w:t>
      </w:r>
      <w:r w:rsidR="00D9258C" w:rsidRPr="00FD6A6A">
        <w:t>Venezuela</w:t>
      </w:r>
      <w:r w:rsidR="00541D05">
        <w:t xml:space="preserve"> </w:t>
      </w:r>
      <w:r w:rsidR="00D9258C" w:rsidRPr="00FD6A6A">
        <w:t>has</w:t>
      </w:r>
      <w:r w:rsidR="00541D05">
        <w:t xml:space="preserve"> </w:t>
      </w:r>
      <w:r w:rsidR="00D9258C" w:rsidRPr="00FD6A6A">
        <w:t>worsened,</w:t>
      </w:r>
      <w:r w:rsidR="00541D05">
        <w:t xml:space="preserve"> </w:t>
      </w:r>
      <w:r w:rsidR="00D9258C" w:rsidRPr="00FD6A6A">
        <w:t>which</w:t>
      </w:r>
      <w:r w:rsidR="00541D05">
        <w:t xml:space="preserve"> </w:t>
      </w:r>
      <w:r w:rsidR="00D9258C" w:rsidRPr="00FD6A6A">
        <w:t>caused</w:t>
      </w:r>
      <w:r w:rsidR="00541D05">
        <w:t xml:space="preserve"> </w:t>
      </w:r>
      <w:r w:rsidR="00D9258C" w:rsidRPr="00FD6A6A">
        <w:t>an</w:t>
      </w:r>
      <w:r w:rsidR="00541D05">
        <w:t xml:space="preserve"> </w:t>
      </w:r>
      <w:r w:rsidR="00D9258C" w:rsidRPr="00FD6A6A">
        <w:t>increased</w:t>
      </w:r>
      <w:r w:rsidR="00541D05">
        <w:t xml:space="preserve"> </w:t>
      </w:r>
      <w:r w:rsidR="00D9258C" w:rsidRPr="00FD6A6A">
        <w:t>migration</w:t>
      </w:r>
      <w:r w:rsidR="00541D05">
        <w:t xml:space="preserve"> </w:t>
      </w:r>
      <w:r w:rsidR="00D9258C" w:rsidRPr="00FD6A6A">
        <w:t>flow</w:t>
      </w:r>
      <w:r w:rsidR="00541D05">
        <w:t xml:space="preserve"> </w:t>
      </w:r>
      <w:r w:rsidR="00D9258C" w:rsidRPr="00FD6A6A">
        <w:t>of</w:t>
      </w:r>
      <w:r w:rsidR="00541D05">
        <w:t xml:space="preserve"> </w:t>
      </w:r>
      <w:r w:rsidR="00D9258C" w:rsidRPr="00FD6A6A">
        <w:t>Venezuelans</w:t>
      </w:r>
      <w:r w:rsidR="00541D05">
        <w:t xml:space="preserve"> </w:t>
      </w:r>
      <w:r w:rsidR="00D9258C" w:rsidRPr="00FD6A6A">
        <w:t>to</w:t>
      </w:r>
      <w:r w:rsidR="00541D05">
        <w:t xml:space="preserve"> </w:t>
      </w:r>
      <w:r w:rsidR="00D9258C" w:rsidRPr="00FD6A6A">
        <w:t>Brazil,</w:t>
      </w:r>
      <w:r w:rsidR="00541D05">
        <w:t xml:space="preserve"> </w:t>
      </w:r>
      <w:r w:rsidR="00D9258C" w:rsidRPr="00FD6A6A">
        <w:t>coming</w:t>
      </w:r>
      <w:r w:rsidR="00541D05">
        <w:t xml:space="preserve"> </w:t>
      </w:r>
      <w:r w:rsidR="00D9258C" w:rsidRPr="00FD6A6A">
        <w:t>especially</w:t>
      </w:r>
      <w:r w:rsidR="00541D05">
        <w:t xml:space="preserve"> </w:t>
      </w:r>
      <w:r w:rsidR="00D9258C" w:rsidRPr="00FD6A6A">
        <w:t>through</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Roraima.</w:t>
      </w:r>
      <w:r w:rsidR="00541D05">
        <w:t xml:space="preserve"> </w:t>
      </w:r>
      <w:r w:rsidR="00D9258C" w:rsidRPr="00FD6A6A">
        <w:t>In</w:t>
      </w:r>
      <w:r w:rsidR="00541D05">
        <w:t xml:space="preserve"> </w:t>
      </w:r>
      <w:r w:rsidR="00D9258C" w:rsidRPr="00FD6A6A">
        <w:t>response</w:t>
      </w:r>
      <w:r w:rsidR="00541D05">
        <w:t xml:space="preserve"> </w:t>
      </w:r>
      <w:r w:rsidR="00D9258C" w:rsidRPr="00FD6A6A">
        <w:t>to</w:t>
      </w:r>
      <w:r w:rsidR="00541D05">
        <w:t xml:space="preserve"> </w:t>
      </w:r>
      <w:r w:rsidR="00D9258C" w:rsidRPr="00FD6A6A">
        <w:t>this</w:t>
      </w:r>
      <w:r w:rsidR="00541D05">
        <w:t xml:space="preserve"> </w:t>
      </w:r>
      <w:r w:rsidR="00D9258C" w:rsidRPr="00FD6A6A">
        <w:t>demand,</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has</w:t>
      </w:r>
      <w:r w:rsidR="00541D05">
        <w:t xml:space="preserve"> </w:t>
      </w:r>
      <w:r w:rsidR="00D9258C" w:rsidRPr="00FD6A6A">
        <w:t>established</w:t>
      </w:r>
      <w:r w:rsidR="00541D05">
        <w:t xml:space="preserve"> </w:t>
      </w:r>
      <w:r w:rsidR="00D9258C" w:rsidRPr="00FD6A6A">
        <w:t>the</w:t>
      </w:r>
      <w:r w:rsidR="00541D05">
        <w:t xml:space="preserve"> </w:t>
      </w:r>
      <w:r w:rsidR="00D9258C" w:rsidRPr="00FD6A6A">
        <w:t>Federal</w:t>
      </w:r>
      <w:r w:rsidR="00541D05">
        <w:t xml:space="preserve"> </w:t>
      </w:r>
      <w:r w:rsidR="00D9258C" w:rsidRPr="00FD6A6A">
        <w:t>Committee</w:t>
      </w:r>
      <w:r w:rsidR="00541D05">
        <w:t xml:space="preserve"> </w:t>
      </w:r>
      <w:r w:rsidR="00D9258C" w:rsidRPr="00FD6A6A">
        <w:t>for</w:t>
      </w:r>
      <w:r w:rsidR="00541D05">
        <w:t xml:space="preserve"> </w:t>
      </w:r>
      <w:r w:rsidR="00D9258C" w:rsidRPr="00FD6A6A">
        <w:t>Emergency</w:t>
      </w:r>
      <w:r w:rsidR="00541D05">
        <w:t xml:space="preserve"> </w:t>
      </w:r>
      <w:r w:rsidR="00D9258C" w:rsidRPr="00FD6A6A">
        <w:t>Assistance</w:t>
      </w:r>
      <w:r w:rsidR="00541D05">
        <w:t xml:space="preserve"> </w:t>
      </w:r>
      <w:r w:rsidR="00D9258C" w:rsidRPr="00FD6A6A">
        <w:t>to</w:t>
      </w:r>
      <w:r w:rsidR="00541D05">
        <w:t xml:space="preserve"> </w:t>
      </w:r>
      <w:r w:rsidR="00D9258C" w:rsidRPr="00FD6A6A">
        <w:t>Host</w:t>
      </w:r>
      <w:r w:rsidR="00541D05">
        <w:t xml:space="preserve"> </w:t>
      </w:r>
      <w:r w:rsidR="00D9258C" w:rsidRPr="00FD6A6A">
        <w:t>persons</w:t>
      </w:r>
      <w:r w:rsidR="00541D05">
        <w:t xml:space="preserve"> </w:t>
      </w:r>
      <w:r w:rsidR="00D9258C" w:rsidRPr="00FD6A6A">
        <w:t>in</w:t>
      </w:r>
      <w:r w:rsidR="00541D05">
        <w:t xml:space="preserve"> </w:t>
      </w:r>
      <w:r w:rsidR="00D9258C" w:rsidRPr="00FD6A6A">
        <w:t>vulnerable</w:t>
      </w:r>
      <w:r w:rsidR="00541D05">
        <w:t xml:space="preserve"> </w:t>
      </w:r>
      <w:r w:rsidR="00D9258C" w:rsidRPr="00FD6A6A">
        <w:t>situation</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t>of</w:t>
      </w:r>
      <w:r w:rsidR="00541D05">
        <w:t xml:space="preserve"> </w:t>
      </w:r>
      <w:r w:rsidR="00D9258C" w:rsidRPr="00FD6A6A">
        <w:t>migration.</w:t>
      </w:r>
      <w:r w:rsidR="00541D05">
        <w:t xml:space="preserve"> </w:t>
      </w:r>
      <w:r w:rsidR="00D9258C" w:rsidRPr="00FD6A6A">
        <w:t>The</w:t>
      </w:r>
      <w:r w:rsidR="00541D05">
        <w:t xml:space="preserve"> </w:t>
      </w:r>
      <w:r w:rsidR="00D9258C" w:rsidRPr="00FD6A6A">
        <w:t>Committee</w:t>
      </w:r>
      <w:r w:rsidR="00541D05">
        <w:t xml:space="preserve"> </w:t>
      </w:r>
      <w:r w:rsidR="00D9258C" w:rsidRPr="00FD6A6A">
        <w:t>regulates</w:t>
      </w:r>
      <w:r w:rsidR="00541D05">
        <w:t xml:space="preserve"> </w:t>
      </w:r>
      <w:r w:rsidR="00D9258C" w:rsidRPr="00FD6A6A">
        <w:t>the</w:t>
      </w:r>
      <w:r w:rsidR="00541D05">
        <w:t xml:space="preserve"> </w:t>
      </w:r>
      <w:r w:rsidR="00D9258C" w:rsidRPr="00FD6A6A">
        <w:t>borders,</w:t>
      </w:r>
      <w:r w:rsidR="00541D05">
        <w:t xml:space="preserve"> </w:t>
      </w:r>
      <w:r w:rsidR="00D9258C" w:rsidRPr="00FD6A6A">
        <w:t>by</w:t>
      </w:r>
      <w:r w:rsidR="00541D05">
        <w:t xml:space="preserve"> </w:t>
      </w:r>
      <w:r w:rsidR="00D9258C" w:rsidRPr="00FD6A6A">
        <w:t>organizing</w:t>
      </w:r>
      <w:r w:rsidR="00541D05">
        <w:t xml:space="preserve"> </w:t>
      </w:r>
      <w:r w:rsidR="00D9258C" w:rsidRPr="00FD6A6A">
        <w:t>control,</w:t>
      </w:r>
      <w:r w:rsidR="00541D05">
        <w:t xml:space="preserve"> </w:t>
      </w:r>
      <w:r w:rsidR="00D9258C" w:rsidRPr="00FD6A6A">
        <w:t>identification,</w:t>
      </w:r>
      <w:r w:rsidR="00541D05">
        <w:t xml:space="preserve"> </w:t>
      </w:r>
      <w:r w:rsidR="00D9258C" w:rsidRPr="00FD6A6A">
        <w:t>and</w:t>
      </w:r>
      <w:r w:rsidR="00541D05">
        <w:t xml:space="preserve"> </w:t>
      </w:r>
      <w:r w:rsidR="00D9258C" w:rsidRPr="00FD6A6A">
        <w:t>regulation</w:t>
      </w:r>
      <w:r w:rsidR="00541D05">
        <w:t xml:space="preserve"> </w:t>
      </w:r>
      <w:r w:rsidR="00D9258C" w:rsidRPr="00FD6A6A">
        <w:t>of</w:t>
      </w:r>
      <w:r w:rsidR="00541D05">
        <w:t xml:space="preserve"> </w:t>
      </w:r>
      <w:r w:rsidR="00D9258C" w:rsidRPr="00FD6A6A">
        <w:t>immigrants.</w:t>
      </w:r>
    </w:p>
    <w:p w14:paraId="1A26D0EF" w14:textId="385D2075" w:rsidR="00D9258C" w:rsidRPr="00FD6A6A" w:rsidRDefault="00166390" w:rsidP="00166390">
      <w:pPr>
        <w:pStyle w:val="ParaNoG"/>
        <w:numPr>
          <w:ilvl w:val="0"/>
          <w:numId w:val="0"/>
        </w:numPr>
        <w:tabs>
          <w:tab w:val="left" w:pos="0"/>
        </w:tabs>
        <w:ind w:left="1134"/>
      </w:pPr>
      <w:r w:rsidRPr="00FD6A6A">
        <w:t>176.</w:t>
      </w:r>
      <w:r w:rsidRPr="00FD6A6A">
        <w:tab/>
      </w:r>
      <w:r w:rsidR="00D9258C" w:rsidRPr="00FD6A6A">
        <w:t>The</w:t>
      </w:r>
      <w:r w:rsidR="00541D05">
        <w:t xml:space="preserve"> </w:t>
      </w:r>
      <w:r w:rsidR="00D9258C" w:rsidRPr="00FD6A6A">
        <w:t>second</w:t>
      </w:r>
      <w:r w:rsidR="00541D05">
        <w:t xml:space="preserve"> </w:t>
      </w:r>
      <w:r w:rsidR="00D9258C" w:rsidRPr="00FD6A6A">
        <w:t>field</w:t>
      </w:r>
      <w:r w:rsidR="00541D05">
        <w:t xml:space="preserve"> </w:t>
      </w:r>
      <w:r w:rsidR="00D9258C" w:rsidRPr="00FD6A6A">
        <w:t>of</w:t>
      </w:r>
      <w:r w:rsidR="00541D05">
        <w:t xml:space="preserve"> </w:t>
      </w:r>
      <w:r w:rsidR="00D9258C" w:rsidRPr="00FD6A6A">
        <w:t>action</w:t>
      </w:r>
      <w:r w:rsidR="00541D05">
        <w:t xml:space="preserve"> </w:t>
      </w:r>
      <w:r w:rsidR="00D9258C" w:rsidRPr="00FD6A6A">
        <w:t>is</w:t>
      </w:r>
      <w:r w:rsidR="00541D05">
        <w:t xml:space="preserve"> </w:t>
      </w:r>
      <w:r w:rsidR="00D9258C" w:rsidRPr="00FD6A6A">
        <w:t>assistance,</w:t>
      </w:r>
      <w:r w:rsidR="00541D05">
        <w:t xml:space="preserve"> </w:t>
      </w:r>
      <w:r w:rsidR="00D9258C" w:rsidRPr="00FD6A6A">
        <w:t>with</w:t>
      </w:r>
      <w:r w:rsidR="00541D05">
        <w:t xml:space="preserve"> </w:t>
      </w:r>
      <w:r w:rsidR="00D9258C" w:rsidRPr="00FD6A6A">
        <w:t>several</w:t>
      </w:r>
      <w:r w:rsidR="00541D05">
        <w:t xml:space="preserve"> </w:t>
      </w:r>
      <w:r w:rsidR="00D9258C" w:rsidRPr="00FD6A6A">
        <w:t>actions</w:t>
      </w:r>
      <w:r w:rsidR="00541D05">
        <w:t xml:space="preserve"> </w:t>
      </w:r>
      <w:r w:rsidR="00D9258C" w:rsidRPr="00FD6A6A">
        <w:t>to</w:t>
      </w:r>
      <w:r w:rsidR="00541D05">
        <w:t xml:space="preserve"> </w:t>
      </w:r>
      <w:r w:rsidR="00D9258C" w:rsidRPr="00FD6A6A">
        <w:t>provide</w:t>
      </w:r>
      <w:r w:rsidR="00541D05">
        <w:t xml:space="preserve"> </w:t>
      </w:r>
      <w:r w:rsidR="00D9258C" w:rsidRPr="00FD6A6A">
        <w:t>housing,</w:t>
      </w:r>
      <w:r w:rsidR="00541D05">
        <w:t xml:space="preserve"> </w:t>
      </w:r>
      <w:r w:rsidR="00D9258C" w:rsidRPr="00FD6A6A">
        <w:t>documents,</w:t>
      </w:r>
      <w:r w:rsidR="00541D05">
        <w:t xml:space="preserve"> </w:t>
      </w:r>
      <w:r w:rsidR="00D9258C" w:rsidRPr="00FD6A6A">
        <w:t>health</w:t>
      </w:r>
      <w:r w:rsidR="00541D05">
        <w:t xml:space="preserve"> </w:t>
      </w:r>
      <w:r w:rsidR="00D9258C" w:rsidRPr="00FD6A6A">
        <w:t>care,</w:t>
      </w:r>
      <w:r w:rsidR="00541D05">
        <w:t xml:space="preserve"> </w:t>
      </w:r>
      <w:r w:rsidR="00D9258C" w:rsidRPr="00FD6A6A">
        <w:t>and</w:t>
      </w:r>
      <w:r w:rsidR="00541D05">
        <w:t xml:space="preserve"> </w:t>
      </w:r>
      <w:r w:rsidR="00D9258C" w:rsidRPr="00FD6A6A">
        <w:t>other</w:t>
      </w:r>
      <w:r w:rsidR="00541D05">
        <w:t xml:space="preserve"> </w:t>
      </w:r>
      <w:r w:rsidR="00D9258C" w:rsidRPr="00FD6A6A">
        <w:t>actions</w:t>
      </w:r>
      <w:r w:rsidR="00541D05">
        <w:t xml:space="preserve"> </w:t>
      </w:r>
      <w:r w:rsidR="00D9258C" w:rsidRPr="00FD6A6A">
        <w:t>to</w:t>
      </w:r>
      <w:r w:rsidR="00541D05">
        <w:t xml:space="preserve"> </w:t>
      </w:r>
      <w:r w:rsidR="00D9258C" w:rsidRPr="00FD6A6A">
        <w:t>promote</w:t>
      </w:r>
      <w:r w:rsidR="00541D05">
        <w:t xml:space="preserve"> </w:t>
      </w:r>
      <w:r w:rsidR="00D9258C" w:rsidRPr="00FD6A6A">
        <w:t>the</w:t>
      </w:r>
      <w:r w:rsidR="00541D05">
        <w:t xml:space="preserve"> </w:t>
      </w:r>
      <w:r w:rsidR="00D9258C" w:rsidRPr="00FD6A6A">
        <w:t>human</w:t>
      </w:r>
      <w:r w:rsidR="00541D05">
        <w:t xml:space="preserve"> </w:t>
      </w:r>
      <w:r w:rsidR="00D9258C" w:rsidRPr="00FD6A6A">
        <w:t>rights</w:t>
      </w:r>
      <w:r w:rsidR="00541D05">
        <w:t xml:space="preserve"> </w:t>
      </w:r>
      <w:r w:rsidR="00D9258C" w:rsidRPr="00FD6A6A">
        <w:t>of</w:t>
      </w:r>
      <w:r w:rsidR="00541D05">
        <w:t xml:space="preserve"> </w:t>
      </w:r>
      <w:r w:rsidR="00D9258C" w:rsidRPr="00FD6A6A">
        <w:t>Venezuelans</w:t>
      </w:r>
      <w:r w:rsidR="00541D05">
        <w:t xml:space="preserve"> </w:t>
      </w:r>
      <w:r w:rsidR="00D9258C" w:rsidRPr="00FD6A6A">
        <w:t>arriving</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Additionally,</w:t>
      </w:r>
      <w:r w:rsidR="00541D05">
        <w:t xml:space="preserve"> </w:t>
      </w:r>
      <w:r w:rsidR="00D9258C" w:rsidRPr="00FD6A6A">
        <w:t>the</w:t>
      </w:r>
      <w:r w:rsidR="00541D05">
        <w:t xml:space="preserve"> </w:t>
      </w:r>
      <w:r w:rsidR="00D9258C" w:rsidRPr="00FD6A6A">
        <w:t>Committee</w:t>
      </w:r>
      <w:r w:rsidR="00541D05">
        <w:t xml:space="preserve"> </w:t>
      </w:r>
      <w:r w:rsidR="00D9258C" w:rsidRPr="00FD6A6A">
        <w:t>works</w:t>
      </w:r>
      <w:r w:rsidR="00541D05">
        <w:t xml:space="preserve"> </w:t>
      </w:r>
      <w:r w:rsidR="00D9258C" w:rsidRPr="00FD6A6A">
        <w:t>with</w:t>
      </w:r>
      <w:r w:rsidR="00541D05">
        <w:t xml:space="preserve"> </w:t>
      </w:r>
      <w:r w:rsidR="00D9258C" w:rsidRPr="00FD6A6A">
        <w:t>the</w:t>
      </w:r>
      <w:r w:rsidR="00541D05">
        <w:t xml:space="preserve"> </w:t>
      </w:r>
      <w:r w:rsidR="00D9258C" w:rsidRPr="00FD6A6A">
        <w:t>strategy</w:t>
      </w:r>
      <w:r w:rsidR="00541D05">
        <w:t xml:space="preserve"> </w:t>
      </w:r>
      <w:r w:rsidR="00D9258C" w:rsidRPr="00FD6A6A">
        <w:t>of</w:t>
      </w:r>
      <w:r w:rsidR="00541D05">
        <w:t xml:space="preserve"> </w:t>
      </w:r>
      <w:r w:rsidR="00D9258C" w:rsidRPr="00FD6A6A">
        <w:t>conducting</w:t>
      </w:r>
      <w:r w:rsidR="00541D05">
        <w:t xml:space="preserve"> </w:t>
      </w:r>
      <w:r w:rsidR="00D9258C" w:rsidRPr="00FD6A6A">
        <w:t>immigrants</w:t>
      </w:r>
      <w:r w:rsidR="00541D05">
        <w:t xml:space="preserve"> </w:t>
      </w:r>
      <w:r w:rsidR="00D9258C" w:rsidRPr="00FD6A6A">
        <w:t>to</w:t>
      </w:r>
      <w:r w:rsidR="00541D05">
        <w:t xml:space="preserve"> </w:t>
      </w:r>
      <w:r w:rsidR="00D9258C" w:rsidRPr="00FD6A6A">
        <w:t>other</w:t>
      </w:r>
      <w:r w:rsidR="00541D05">
        <w:t xml:space="preserve"> </w:t>
      </w:r>
      <w:r w:rsidR="00D9258C" w:rsidRPr="00FD6A6A">
        <w:t>states</w:t>
      </w:r>
      <w:r w:rsidR="00541D05">
        <w:t xml:space="preserve"> </w:t>
      </w:r>
      <w:r w:rsidR="00D9258C" w:rsidRPr="00FD6A6A">
        <w:t>of</w:t>
      </w:r>
      <w:r w:rsidR="00541D05">
        <w:t xml:space="preserve"> </w:t>
      </w:r>
      <w:r w:rsidR="00D9258C" w:rsidRPr="00FD6A6A">
        <w:t>the</w:t>
      </w:r>
      <w:r w:rsidR="00541D05">
        <w:t xml:space="preserve"> </w:t>
      </w:r>
      <w:r w:rsidR="00D9258C" w:rsidRPr="00FD6A6A">
        <w:t>Federation,</w:t>
      </w:r>
      <w:r w:rsidR="00541D05">
        <w:t xml:space="preserve"> </w:t>
      </w:r>
      <w:r w:rsidR="00D9258C" w:rsidRPr="00FD6A6A">
        <w:t>aiming</w:t>
      </w:r>
      <w:r w:rsidR="00541D05">
        <w:t xml:space="preserve"> </w:t>
      </w:r>
      <w:r w:rsidR="00D9258C" w:rsidRPr="00FD6A6A">
        <w:t>at</w:t>
      </w:r>
      <w:r w:rsidR="00541D05">
        <w:t xml:space="preserve"> </w:t>
      </w:r>
      <w:r w:rsidR="00D9258C" w:rsidRPr="00FD6A6A">
        <w:t>offering</w:t>
      </w:r>
      <w:r w:rsidR="00541D05">
        <w:t xml:space="preserve"> </w:t>
      </w:r>
      <w:r w:rsidR="00D9258C" w:rsidRPr="00FD6A6A">
        <w:t>greater</w:t>
      </w:r>
      <w:r w:rsidR="00541D05">
        <w:t xml:space="preserve"> </w:t>
      </w:r>
      <w:r w:rsidR="00D9258C" w:rsidRPr="00FD6A6A">
        <w:t>opportunities</w:t>
      </w:r>
      <w:r w:rsidR="00541D05">
        <w:t xml:space="preserve"> </w:t>
      </w:r>
      <w:r w:rsidR="00D9258C" w:rsidRPr="00FD6A6A">
        <w:t>for</w:t>
      </w:r>
      <w:r w:rsidR="00541D05">
        <w:t xml:space="preserve"> </w:t>
      </w:r>
      <w:r w:rsidR="00D9258C" w:rsidRPr="00FD6A6A">
        <w:t>socio-economic</w:t>
      </w:r>
      <w:r w:rsidR="00541D05">
        <w:t xml:space="preserve"> </w:t>
      </w:r>
      <w:r w:rsidR="00D9258C" w:rsidRPr="00FD6A6A">
        <w:t>inclusion</w:t>
      </w:r>
      <w:r w:rsidR="00541D05">
        <w:t xml:space="preserve"> </w:t>
      </w:r>
      <w:r w:rsidR="00D9258C" w:rsidRPr="00FD6A6A">
        <w:t>for</w:t>
      </w:r>
      <w:r w:rsidR="00541D05">
        <w:t xml:space="preserve"> </w:t>
      </w:r>
      <w:r w:rsidR="00D9258C" w:rsidRPr="00FD6A6A">
        <w:t>these</w:t>
      </w:r>
      <w:r w:rsidR="00541D05">
        <w:t xml:space="preserve"> </w:t>
      </w:r>
      <w:r w:rsidR="00D9258C" w:rsidRPr="00FD6A6A">
        <w:t>immigrants</w:t>
      </w:r>
      <w:r w:rsidR="00541D05">
        <w:t xml:space="preserve"> </w:t>
      </w:r>
      <w:r w:rsidR="00D9258C" w:rsidRPr="00FD6A6A">
        <w:t>and</w:t>
      </w:r>
      <w:r w:rsidR="00541D05">
        <w:t xml:space="preserve"> </w:t>
      </w:r>
      <w:r w:rsidR="00D9258C" w:rsidRPr="00FD6A6A">
        <w:t>at</w:t>
      </w:r>
      <w:r w:rsidR="00541D05">
        <w:t xml:space="preserve"> </w:t>
      </w:r>
      <w:r w:rsidR="00D9258C" w:rsidRPr="00FD6A6A">
        <w:t>reducing</w:t>
      </w:r>
      <w:r w:rsidR="00541D05">
        <w:t xml:space="preserve"> </w:t>
      </w:r>
      <w:r w:rsidR="00D9258C" w:rsidRPr="00FD6A6A">
        <w:t>the</w:t>
      </w:r>
      <w:r w:rsidR="00541D05">
        <w:t xml:space="preserve"> </w:t>
      </w:r>
      <w:r w:rsidR="00D9258C" w:rsidRPr="00FD6A6A">
        <w:t>pressure</w:t>
      </w:r>
      <w:r w:rsidR="00541D05">
        <w:t xml:space="preserve"> </w:t>
      </w:r>
      <w:r w:rsidR="00D9258C" w:rsidRPr="00FD6A6A">
        <w:t>on</w:t>
      </w:r>
      <w:r w:rsidR="00541D05">
        <w:t xml:space="preserve"> </w:t>
      </w:r>
      <w:r w:rsidR="00D9258C" w:rsidRPr="00FD6A6A">
        <w:t>the</w:t>
      </w:r>
      <w:r w:rsidR="00541D05">
        <w:t xml:space="preserve"> </w:t>
      </w:r>
      <w:r w:rsidR="00D9258C" w:rsidRPr="00FD6A6A">
        <w:t>public</w:t>
      </w:r>
      <w:r w:rsidR="00541D05">
        <w:t xml:space="preserve"> </w:t>
      </w:r>
      <w:r w:rsidR="00D9258C" w:rsidRPr="00FD6A6A">
        <w:t>services</w:t>
      </w:r>
      <w:r w:rsidR="00541D05">
        <w:t xml:space="preserve"> </w:t>
      </w:r>
      <w:r w:rsidR="00D9258C" w:rsidRPr="00FD6A6A">
        <w:t>in</w:t>
      </w:r>
      <w:r w:rsidR="00541D05">
        <w:t xml:space="preserve"> </w:t>
      </w:r>
      <w:r w:rsidR="00D9258C" w:rsidRPr="00FD6A6A">
        <w:t>the</w:t>
      </w:r>
      <w:r w:rsidR="00541D05">
        <w:t xml:space="preserve"> </w:t>
      </w:r>
      <w:r w:rsidR="00D9258C" w:rsidRPr="00FD6A6A">
        <w:t>State</w:t>
      </w:r>
      <w:r w:rsidR="00541D05">
        <w:t xml:space="preserve"> </w:t>
      </w:r>
      <w:r w:rsidR="00D9258C" w:rsidRPr="00FD6A6A">
        <w:t>of</w:t>
      </w:r>
      <w:r w:rsidR="00541D05">
        <w:t xml:space="preserve"> </w:t>
      </w:r>
      <w:r w:rsidR="00D9258C" w:rsidRPr="00FD6A6A">
        <w:t>Roraima.</w:t>
      </w:r>
    </w:p>
    <w:p w14:paraId="5E2A309F" w14:textId="137CDDFE" w:rsidR="00D9258C" w:rsidRPr="00FD6A6A" w:rsidRDefault="00166390" w:rsidP="00166390">
      <w:pPr>
        <w:pStyle w:val="ParaNoG"/>
        <w:numPr>
          <w:ilvl w:val="0"/>
          <w:numId w:val="0"/>
        </w:numPr>
        <w:tabs>
          <w:tab w:val="left" w:pos="0"/>
        </w:tabs>
        <w:ind w:left="1134"/>
      </w:pPr>
      <w:r w:rsidRPr="00FD6A6A">
        <w:t>177.</w:t>
      </w:r>
      <w:r w:rsidRPr="00FD6A6A">
        <w:tab/>
      </w:r>
      <w:r w:rsidR="00D9258C" w:rsidRPr="00FD6A6A">
        <w:t>Until</w:t>
      </w:r>
      <w:r w:rsidR="00541D05">
        <w:t xml:space="preserve"> </w:t>
      </w:r>
      <w:r w:rsidR="00D9258C" w:rsidRPr="00FD6A6A">
        <w:t>2017,</w:t>
      </w:r>
      <w:r w:rsidR="00541D05">
        <w:t xml:space="preserve"> </w:t>
      </w:r>
      <w:r w:rsidR="00D9258C" w:rsidRPr="00FD6A6A">
        <w:t>the</w:t>
      </w:r>
      <w:r w:rsidR="00541D05">
        <w:t xml:space="preserve"> </w:t>
      </w:r>
      <w:r w:rsidR="00D9258C" w:rsidRPr="00FD6A6A">
        <w:t>migration</w:t>
      </w:r>
      <w:r w:rsidR="00541D05">
        <w:t xml:space="preserve"> </w:t>
      </w:r>
      <w:r w:rsidR="00D9258C" w:rsidRPr="00FD6A6A">
        <w:t>policy</w:t>
      </w:r>
      <w:r w:rsidR="00541D05">
        <w:t xml:space="preserve"> </w:t>
      </w:r>
      <w:r w:rsidR="00D9258C" w:rsidRPr="00FD6A6A">
        <w:t>in</w:t>
      </w:r>
      <w:r w:rsidR="00541D05">
        <w:t xml:space="preserve"> </w:t>
      </w:r>
      <w:r w:rsidR="00D9258C" w:rsidRPr="00FD6A6A">
        <w:t>Brazil</w:t>
      </w:r>
      <w:r w:rsidR="00541D05">
        <w:t xml:space="preserve"> </w:t>
      </w:r>
      <w:r w:rsidR="00D9258C" w:rsidRPr="00FD6A6A">
        <w:t>was</w:t>
      </w:r>
      <w:r w:rsidR="00541D05">
        <w:t xml:space="preserve"> </w:t>
      </w:r>
      <w:r w:rsidR="00D9258C" w:rsidRPr="00FD6A6A">
        <w:t>governed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6,815/1980</w:t>
      </w:r>
      <w:r w:rsidR="00541D05">
        <w:t xml:space="preserve"> </w:t>
      </w:r>
      <w:r w:rsidR="00D9258C" w:rsidRPr="00FD6A6A">
        <w:t>–</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the</w:t>
      </w:r>
      <w:r w:rsidR="00541D05">
        <w:t xml:space="preserve"> </w:t>
      </w:r>
      <w:r w:rsidR="00D9258C" w:rsidRPr="00FD6A6A">
        <w:t>Foreign</w:t>
      </w:r>
      <w:r w:rsidR="00541D05">
        <w:t xml:space="preserve"> </w:t>
      </w:r>
      <w:r w:rsidR="00D9258C" w:rsidRPr="00FD6A6A">
        <w:t>Nationals,</w:t>
      </w:r>
      <w:r w:rsidR="00541D05">
        <w:t xml:space="preserve"> </w:t>
      </w:r>
      <w:r w:rsidR="00D9258C" w:rsidRPr="00FD6A6A">
        <w:t>enacted</w:t>
      </w:r>
      <w:r w:rsidR="00541D05">
        <w:t xml:space="preserve"> </w:t>
      </w:r>
      <w:r w:rsidR="00D9258C" w:rsidRPr="00FD6A6A">
        <w:t>during</w:t>
      </w:r>
      <w:r w:rsidR="00541D05">
        <w:t xml:space="preserve"> </w:t>
      </w:r>
      <w:r w:rsidR="00D9258C" w:rsidRPr="00FD6A6A">
        <w:t>the</w:t>
      </w:r>
      <w:r w:rsidR="00541D05">
        <w:t xml:space="preserve"> </w:t>
      </w:r>
      <w:r w:rsidR="00D9258C" w:rsidRPr="00FD6A6A">
        <w:t>military</w:t>
      </w:r>
      <w:r w:rsidR="00541D05">
        <w:t xml:space="preserve"> </w:t>
      </w:r>
      <w:r w:rsidR="00D9258C" w:rsidRPr="00FD6A6A">
        <w:t>regime.</w:t>
      </w:r>
      <w:r w:rsidR="00541D05">
        <w:t xml:space="preserve"> </w:t>
      </w:r>
      <w:r w:rsidR="00D9258C" w:rsidRPr="00FD6A6A">
        <w:t>Recently,</w:t>
      </w:r>
      <w:r w:rsidR="00541D05">
        <w:t xml:space="preserve"> </w:t>
      </w:r>
      <w:r w:rsidR="00D9258C" w:rsidRPr="00FD6A6A">
        <w:t>the</w:t>
      </w:r>
      <w:r w:rsidR="00541D05">
        <w:t xml:space="preserve"> </w:t>
      </w:r>
      <w:r w:rsidR="00D9258C" w:rsidRPr="00FD6A6A">
        <w:lastRenderedPageBreak/>
        <w:t>Brazilian</w:t>
      </w:r>
      <w:r w:rsidR="00541D05">
        <w:t xml:space="preserve"> </w:t>
      </w:r>
      <w:r w:rsidR="00D9258C" w:rsidRPr="00FD6A6A">
        <w:t>Government</w:t>
      </w:r>
      <w:r w:rsidR="00541D05">
        <w:t xml:space="preserve"> </w:t>
      </w:r>
      <w:r w:rsidR="00D9258C" w:rsidRPr="00FD6A6A">
        <w:t>passed</w:t>
      </w:r>
      <w:r w:rsidR="00541D05">
        <w:t xml:space="preserve"> </w:t>
      </w:r>
      <w:r w:rsidR="00D9258C" w:rsidRPr="00FD6A6A">
        <w:t>the</w:t>
      </w:r>
      <w:r w:rsidR="00541D05">
        <w:t xml:space="preserve"> </w:t>
      </w:r>
      <w:r w:rsidR="00D9258C" w:rsidRPr="00FD6A6A">
        <w:t>Migration</w:t>
      </w:r>
      <w:r w:rsidR="00541D05">
        <w:t xml:space="preserve"> </w:t>
      </w:r>
      <w:r w:rsidR="00D9258C" w:rsidRPr="00FD6A6A">
        <w:t>Law</w:t>
      </w:r>
      <w:r w:rsidR="00541D05">
        <w:t xml:space="preserve"> </w:t>
      </w:r>
      <w:r w:rsidR="00D9258C" w:rsidRPr="00FD6A6A">
        <w:t>(Law</w:t>
      </w:r>
      <w:r w:rsidR="00541D05">
        <w:t xml:space="preserve"> </w:t>
      </w:r>
      <w:r w:rsidR="00D9258C" w:rsidRPr="00FD6A6A">
        <w:t>No.</w:t>
      </w:r>
      <w:r w:rsidR="00541D05">
        <w:t xml:space="preserve"> </w:t>
      </w:r>
      <w:r w:rsidR="00D9258C" w:rsidRPr="00FD6A6A">
        <w:t>13,445/2017),</w:t>
      </w:r>
      <w:r w:rsidR="00541D05">
        <w:t xml:space="preserve"> </w:t>
      </w:r>
      <w:r w:rsidR="00D9258C" w:rsidRPr="00FD6A6A">
        <w:t>which</w:t>
      </w:r>
      <w:r w:rsidR="00541D05">
        <w:t xml:space="preserve"> </w:t>
      </w:r>
      <w:r w:rsidR="00D9258C" w:rsidRPr="00FD6A6A">
        <w:t>replaces</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the</w:t>
      </w:r>
      <w:r w:rsidR="00541D05">
        <w:t xml:space="preserve"> </w:t>
      </w:r>
      <w:r w:rsidR="00D9258C" w:rsidRPr="00FD6A6A">
        <w:t>Foreign</w:t>
      </w:r>
      <w:r w:rsidR="00541D05">
        <w:t xml:space="preserve"> </w:t>
      </w:r>
      <w:r w:rsidR="00D9258C" w:rsidRPr="00FD6A6A">
        <w:t>Nationals.</w:t>
      </w:r>
      <w:r w:rsidR="00541D05">
        <w:t xml:space="preserve"> </w:t>
      </w:r>
      <w:r w:rsidR="00D9258C" w:rsidRPr="00FD6A6A">
        <w:t>The</w:t>
      </w:r>
      <w:r w:rsidR="00541D05">
        <w:t xml:space="preserve"> </w:t>
      </w:r>
      <w:r w:rsidR="00D9258C" w:rsidRPr="00FD6A6A">
        <w:t>new</w:t>
      </w:r>
      <w:r w:rsidR="00541D05">
        <w:t xml:space="preserve"> </w:t>
      </w:r>
      <w:r w:rsidR="00D9258C" w:rsidRPr="00FD6A6A">
        <w:t>law</w:t>
      </w:r>
      <w:r w:rsidR="00541D05">
        <w:t xml:space="preserve"> </w:t>
      </w:r>
      <w:r w:rsidR="00D9258C" w:rsidRPr="00FD6A6A">
        <w:t>was</w:t>
      </w:r>
      <w:r w:rsidR="00541D05">
        <w:t xml:space="preserve"> </w:t>
      </w:r>
      <w:r w:rsidR="00D9258C" w:rsidRPr="00FD6A6A">
        <w:t>drafted</w:t>
      </w:r>
      <w:r w:rsidR="00541D05">
        <w:t xml:space="preserve"> </w:t>
      </w:r>
      <w:r w:rsidR="00D9258C" w:rsidRPr="00FD6A6A">
        <w:t>together</w:t>
      </w:r>
      <w:r w:rsidR="00541D05">
        <w:t xml:space="preserve"> </w:t>
      </w:r>
      <w:r w:rsidR="00D9258C" w:rsidRPr="00FD6A6A">
        <w:t>with</w:t>
      </w:r>
      <w:r w:rsidR="00541D05">
        <w:t xml:space="preserve"> </w:t>
      </w:r>
      <w:r w:rsidR="00D9258C" w:rsidRPr="00FD6A6A">
        <w:t>representatives</w:t>
      </w:r>
      <w:r w:rsidR="00541D05">
        <w:t xml:space="preserve"> </w:t>
      </w:r>
      <w:r w:rsidR="00D9258C" w:rsidRPr="00FD6A6A">
        <w:t>of</w:t>
      </w:r>
      <w:r w:rsidR="00541D05">
        <w:t xml:space="preserve"> </w:t>
      </w:r>
      <w:r w:rsidR="00D9258C" w:rsidRPr="00FD6A6A">
        <w:t>civil</w:t>
      </w:r>
      <w:r w:rsidR="00541D05">
        <w:t xml:space="preserve"> </w:t>
      </w:r>
      <w:r w:rsidR="00D9258C" w:rsidRPr="00FD6A6A">
        <w:t>society,</w:t>
      </w:r>
      <w:r w:rsidR="00541D05">
        <w:t xml:space="preserve"> </w:t>
      </w:r>
      <w:r w:rsidR="00D9258C" w:rsidRPr="00FD6A6A">
        <w:t>incorporating</w:t>
      </w:r>
      <w:r w:rsidR="00541D05">
        <w:t xml:space="preserve"> </w:t>
      </w:r>
      <w:r w:rsidR="00D9258C" w:rsidRPr="00FD6A6A">
        <w:t>the</w:t>
      </w:r>
      <w:r w:rsidR="00541D05">
        <w:t xml:space="preserve"> </w:t>
      </w:r>
      <w:r w:rsidR="00D9258C" w:rsidRPr="00FD6A6A">
        <w:t>perspective</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which</w:t>
      </w:r>
      <w:r w:rsidR="00541D05">
        <w:t xml:space="preserve"> </w:t>
      </w:r>
      <w:r w:rsidR="00D9258C" w:rsidRPr="00FD6A6A">
        <w:t>is</w:t>
      </w:r>
      <w:r w:rsidR="00541D05">
        <w:t xml:space="preserve"> </w:t>
      </w:r>
      <w:r w:rsidR="00D9258C" w:rsidRPr="00FD6A6A">
        <w:t>materialized</w:t>
      </w:r>
      <w:r w:rsidR="00541D05">
        <w:t xml:space="preserve"> </w:t>
      </w:r>
      <w:r w:rsidR="00D9258C" w:rsidRPr="00FD6A6A">
        <w:t>in</w:t>
      </w:r>
      <w:r w:rsidR="00541D05">
        <w:t xml:space="preserve"> </w:t>
      </w:r>
      <w:r w:rsidR="00D9258C" w:rsidRPr="00FD6A6A">
        <w:t>the</w:t>
      </w:r>
      <w:r w:rsidR="00541D05">
        <w:t xml:space="preserve"> </w:t>
      </w:r>
      <w:r w:rsidR="00D9258C" w:rsidRPr="00FD6A6A">
        <w:t>adoption</w:t>
      </w:r>
      <w:r w:rsidR="00541D05">
        <w:t xml:space="preserve"> </w:t>
      </w:r>
      <w:r w:rsidR="00D9258C" w:rsidRPr="00FD6A6A">
        <w:t>of</w:t>
      </w:r>
      <w:r w:rsidR="00541D05">
        <w:t xml:space="preserve"> </w:t>
      </w:r>
      <w:r w:rsidR="00D9258C" w:rsidRPr="00FD6A6A">
        <w:t>principles</w:t>
      </w:r>
      <w:r w:rsidR="00541D05">
        <w:t xml:space="preserve"> </w:t>
      </w:r>
      <w:r w:rsidR="00D9258C" w:rsidRPr="00FD6A6A">
        <w:t>such</w:t>
      </w:r>
      <w:r w:rsidR="00541D05">
        <w:t xml:space="preserve"> </w:t>
      </w:r>
      <w:r w:rsidR="00D9258C" w:rsidRPr="00FD6A6A">
        <w:t>as</w:t>
      </w:r>
      <w:r w:rsidR="00541D05">
        <w:t xml:space="preserve"> </w:t>
      </w:r>
      <w:r w:rsidR="00D9258C" w:rsidRPr="00FD6A6A">
        <w:t>non-discrimination</w:t>
      </w:r>
      <w:r w:rsidR="00541D05">
        <w:t xml:space="preserve"> </w:t>
      </w:r>
      <w:r w:rsidR="00D9258C" w:rsidRPr="00FD6A6A">
        <w:t>and</w:t>
      </w:r>
      <w:r w:rsidR="00541D05">
        <w:t xml:space="preserve"> </w:t>
      </w:r>
      <w:r w:rsidR="00D9258C" w:rsidRPr="00FD6A6A">
        <w:t>equality</w:t>
      </w:r>
      <w:r w:rsidR="00541D05">
        <w:t xml:space="preserve"> </w:t>
      </w:r>
      <w:r w:rsidR="00D9258C" w:rsidRPr="00FD6A6A">
        <w:t>of</w:t>
      </w:r>
      <w:r w:rsidR="00541D05">
        <w:t xml:space="preserve"> </w:t>
      </w:r>
      <w:r w:rsidR="00D9258C" w:rsidRPr="00FD6A6A">
        <w:t>rights</w:t>
      </w:r>
      <w:r w:rsidR="00541D05">
        <w:t xml:space="preserve"> </w:t>
      </w:r>
      <w:r w:rsidR="00D9258C" w:rsidRPr="00FD6A6A">
        <w:t>for</w:t>
      </w:r>
      <w:r w:rsidR="00541D05">
        <w:t xml:space="preserve"> </w:t>
      </w:r>
      <w:r w:rsidR="00D9258C" w:rsidRPr="00FD6A6A">
        <w:t>all</w:t>
      </w:r>
      <w:r w:rsidR="00541D05">
        <w:t xml:space="preserve"> </w:t>
      </w:r>
      <w:r w:rsidR="00D9258C" w:rsidRPr="00FD6A6A">
        <w:t>immigrant</w:t>
      </w:r>
      <w:r w:rsidR="00541D05">
        <w:t xml:space="preserve"> </w:t>
      </w:r>
      <w:r w:rsidR="00D9258C" w:rsidRPr="00FD6A6A">
        <w:t>and</w:t>
      </w:r>
      <w:r w:rsidR="00541D05">
        <w:t xml:space="preserve"> </w:t>
      </w:r>
      <w:r w:rsidR="00D9258C" w:rsidRPr="00FD6A6A">
        <w:t>national</w:t>
      </w:r>
      <w:r w:rsidR="00541D05">
        <w:t xml:space="preserve"> </w:t>
      </w:r>
      <w:r w:rsidR="00D9258C" w:rsidRPr="00FD6A6A">
        <w:t>workers.</w:t>
      </w:r>
      <w:r w:rsidR="00541D05">
        <w:t xml:space="preserve"> </w:t>
      </w:r>
      <w:r w:rsidR="00D9258C" w:rsidRPr="00FD6A6A">
        <w:t>The</w:t>
      </w:r>
      <w:r w:rsidR="00541D05">
        <w:t xml:space="preserve"> </w:t>
      </w:r>
      <w:r w:rsidR="00D9258C" w:rsidRPr="00FD6A6A">
        <w:t>new</w:t>
      </w:r>
      <w:r w:rsidR="00541D05">
        <w:t xml:space="preserve"> </w:t>
      </w:r>
      <w:r w:rsidR="00D9258C" w:rsidRPr="00FD6A6A">
        <w:t>regulation</w:t>
      </w:r>
      <w:r w:rsidR="00541D05">
        <w:t xml:space="preserve"> </w:t>
      </w:r>
      <w:r w:rsidR="00D9258C" w:rsidRPr="00FD6A6A">
        <w:t>also</w:t>
      </w:r>
      <w:r w:rsidR="00541D05">
        <w:t xml:space="preserve"> </w:t>
      </w:r>
      <w:r w:rsidR="00D9258C" w:rsidRPr="00FD6A6A">
        <w:t>prohibits</w:t>
      </w:r>
      <w:r w:rsidR="00541D05">
        <w:t xml:space="preserve"> </w:t>
      </w:r>
      <w:r w:rsidR="00D9258C" w:rsidRPr="00FD6A6A">
        <w:t>any</w:t>
      </w:r>
      <w:r w:rsidR="00541D05">
        <w:t xml:space="preserve"> </w:t>
      </w:r>
      <w:r w:rsidR="00D9258C" w:rsidRPr="00FD6A6A">
        <w:t>form</w:t>
      </w:r>
      <w:r w:rsidR="00541D05">
        <w:t xml:space="preserve"> </w:t>
      </w:r>
      <w:r w:rsidR="00D9258C" w:rsidRPr="00FD6A6A">
        <w:t>of</w:t>
      </w:r>
      <w:r w:rsidR="00541D05">
        <w:t xml:space="preserve"> </w:t>
      </w:r>
      <w:r w:rsidR="00D9258C" w:rsidRPr="00FD6A6A">
        <w:t>discrimination</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t>of</w:t>
      </w:r>
      <w:r w:rsidR="00541D05">
        <w:t xml:space="preserve"> </w:t>
      </w:r>
      <w:r w:rsidR="00D9258C" w:rsidRPr="00FD6A6A">
        <w:t>the</w:t>
      </w:r>
      <w:r w:rsidR="00541D05">
        <w:t xml:space="preserve"> </w:t>
      </w:r>
      <w:r w:rsidR="00D9258C" w:rsidRPr="00FD6A6A">
        <w:t>criteria</w:t>
      </w:r>
      <w:r w:rsidR="00541D05">
        <w:t xml:space="preserve"> </w:t>
      </w:r>
      <w:r w:rsidR="00D9258C" w:rsidRPr="00FD6A6A">
        <w:t>and</w:t>
      </w:r>
      <w:r w:rsidR="00541D05">
        <w:t xml:space="preserve"> </w:t>
      </w:r>
      <w:r w:rsidR="00D9258C" w:rsidRPr="00FD6A6A">
        <w:t>the</w:t>
      </w:r>
      <w:r w:rsidR="00541D05">
        <w:t xml:space="preserve"> </w:t>
      </w:r>
      <w:r w:rsidR="00D9258C" w:rsidRPr="00FD6A6A">
        <w:t>procedures</w:t>
      </w:r>
      <w:r w:rsidR="00541D05">
        <w:t xml:space="preserve"> </w:t>
      </w:r>
      <w:r w:rsidR="00D9258C" w:rsidRPr="00FD6A6A">
        <w:t>pursuant</w:t>
      </w:r>
      <w:r w:rsidR="00541D05">
        <w:t xml:space="preserve"> </w:t>
      </w:r>
      <w:r w:rsidR="00D9258C" w:rsidRPr="00FD6A6A">
        <w:t>to</w:t>
      </w:r>
      <w:r w:rsidR="00541D05">
        <w:t xml:space="preserve"> </w:t>
      </w:r>
      <w:r w:rsidR="00D9258C" w:rsidRPr="00FD6A6A">
        <w:t>which</w:t>
      </w:r>
      <w:r w:rsidR="00541D05">
        <w:t xml:space="preserve"> </w:t>
      </w:r>
      <w:r w:rsidR="00D9258C" w:rsidRPr="00FD6A6A">
        <w:t>a</w:t>
      </w:r>
      <w:r w:rsidR="00541D05">
        <w:t xml:space="preserve"> </w:t>
      </w:r>
      <w:r w:rsidR="00D9258C" w:rsidRPr="00FD6A6A">
        <w:t>person</w:t>
      </w:r>
      <w:r w:rsidR="00541D05">
        <w:t xml:space="preserve"> </w:t>
      </w:r>
      <w:r w:rsidR="00D9258C" w:rsidRPr="00FD6A6A">
        <w:t>was</w:t>
      </w:r>
      <w:r w:rsidR="00541D05">
        <w:t xml:space="preserve"> </w:t>
      </w:r>
      <w:r w:rsidR="00D9258C" w:rsidRPr="00FD6A6A">
        <w:t>accepted</w:t>
      </w:r>
      <w:r w:rsidR="00541D05">
        <w:t xml:space="preserve"> </w:t>
      </w:r>
      <w:r w:rsidR="00D9258C" w:rsidRPr="00FD6A6A">
        <w:t>into</w:t>
      </w:r>
      <w:r w:rsidR="00541D05">
        <w:t xml:space="preserve"> </w:t>
      </w:r>
      <w:r w:rsidR="00D9258C" w:rsidRPr="00FD6A6A">
        <w:t>the</w:t>
      </w:r>
      <w:r w:rsidR="00541D05">
        <w:t xml:space="preserve"> </w:t>
      </w:r>
      <w:r w:rsidR="00D9258C" w:rsidRPr="00FD6A6A">
        <w:t>national</w:t>
      </w:r>
      <w:r w:rsidR="00541D05">
        <w:t xml:space="preserve"> </w:t>
      </w:r>
      <w:r w:rsidR="00D9258C" w:rsidRPr="00FD6A6A">
        <w:t>territory.</w:t>
      </w:r>
    </w:p>
    <w:p w14:paraId="13982EC3" w14:textId="0720E1A3" w:rsidR="00D9258C" w:rsidRPr="00FD6A6A" w:rsidRDefault="00166390" w:rsidP="00166390">
      <w:pPr>
        <w:pStyle w:val="ParaNoG"/>
        <w:numPr>
          <w:ilvl w:val="0"/>
          <w:numId w:val="0"/>
        </w:numPr>
        <w:tabs>
          <w:tab w:val="left" w:pos="0"/>
        </w:tabs>
        <w:ind w:left="1134"/>
      </w:pPr>
      <w:r w:rsidRPr="00FD6A6A">
        <w:t>178.</w:t>
      </w:r>
      <w:r w:rsidRPr="00FD6A6A">
        <w:tab/>
      </w:r>
      <w:r w:rsidR="00D9258C" w:rsidRPr="00FD6A6A">
        <w:t>Brazil</w:t>
      </w:r>
      <w:r w:rsidR="00541D05">
        <w:t xml:space="preserve"> </w:t>
      </w:r>
      <w:r w:rsidR="00D9258C" w:rsidRPr="00FD6A6A">
        <w:t>has</w:t>
      </w:r>
      <w:r w:rsidR="00541D05">
        <w:t xml:space="preserve"> </w:t>
      </w:r>
      <w:r w:rsidR="00D9258C" w:rsidRPr="00FD6A6A">
        <w:t>traditionally</w:t>
      </w:r>
      <w:r w:rsidR="00541D05">
        <w:t xml:space="preserve"> </w:t>
      </w:r>
      <w:r w:rsidR="00D9258C" w:rsidRPr="00FD6A6A">
        <w:t>hosted</w:t>
      </w:r>
      <w:r w:rsidR="00541D05">
        <w:t xml:space="preserve"> </w:t>
      </w:r>
      <w:r w:rsidR="00D9258C" w:rsidRPr="00FD6A6A">
        <w:t>refugees.</w:t>
      </w:r>
      <w:r w:rsidR="00541D05">
        <w:t xml:space="preserve"> </w:t>
      </w:r>
      <w:r w:rsidR="00D9258C" w:rsidRPr="00FD6A6A">
        <w:t>It</w:t>
      </w:r>
      <w:r w:rsidR="00541D05">
        <w:t xml:space="preserve"> </w:t>
      </w:r>
      <w:r w:rsidR="00D9258C" w:rsidRPr="00FD6A6A">
        <w:t>has</w:t>
      </w:r>
      <w:r w:rsidR="00541D05">
        <w:t xml:space="preserve"> </w:t>
      </w:r>
      <w:r w:rsidR="00D9258C" w:rsidRPr="00FD6A6A">
        <w:t>adhered</w:t>
      </w:r>
      <w:r w:rsidR="00541D05">
        <w:t xml:space="preserve"> </w:t>
      </w:r>
      <w:r w:rsidR="00D9258C" w:rsidRPr="00FD6A6A">
        <w:t>to</w:t>
      </w:r>
      <w:r w:rsidR="00541D05">
        <w:t xml:space="preserve"> </w:t>
      </w:r>
      <w:r w:rsidR="00D9258C" w:rsidRPr="00FD6A6A">
        <w:t>the</w:t>
      </w:r>
      <w:r w:rsidR="00541D05">
        <w:t xml:space="preserve"> </w:t>
      </w:r>
      <w:r w:rsidR="00D9258C" w:rsidRPr="00FD6A6A">
        <w:t>1951</w:t>
      </w:r>
      <w:r w:rsidR="00541D05">
        <w:t xml:space="preserve"> </w:t>
      </w:r>
      <w:r w:rsidR="00D9258C" w:rsidRPr="00FD6A6A">
        <w:t>Geneva</w:t>
      </w:r>
      <w:r w:rsidR="00541D05">
        <w:t xml:space="preserve"> </w:t>
      </w:r>
      <w:r w:rsidR="00D9258C" w:rsidRPr="00FD6A6A">
        <w:t>Convention</w:t>
      </w:r>
      <w:r w:rsidR="00541D05">
        <w:t xml:space="preserve"> </w:t>
      </w:r>
      <w:r w:rsidR="00D9258C" w:rsidRPr="00FD6A6A">
        <w:t>Relating</w:t>
      </w:r>
      <w:r w:rsidR="00541D05">
        <w:t xml:space="preserve"> </w:t>
      </w:r>
      <w:r w:rsidR="00D9258C" w:rsidRPr="00FD6A6A">
        <w:t>to</w:t>
      </w:r>
      <w:r w:rsidR="00541D05">
        <w:t xml:space="preserve"> </w:t>
      </w:r>
      <w:r w:rsidR="00D9258C" w:rsidRPr="00FD6A6A">
        <w:t>the</w:t>
      </w:r>
      <w:r w:rsidR="00541D05">
        <w:t xml:space="preserve"> </w:t>
      </w:r>
      <w:r w:rsidR="00D9258C" w:rsidRPr="00FD6A6A">
        <w:t>Status</w:t>
      </w:r>
      <w:r w:rsidR="00541D05">
        <w:t xml:space="preserve"> </w:t>
      </w:r>
      <w:r w:rsidR="00D9258C" w:rsidRPr="00FD6A6A">
        <w:t>of</w:t>
      </w:r>
      <w:r w:rsidR="00541D05">
        <w:t xml:space="preserve"> </w:t>
      </w:r>
      <w:r w:rsidR="00D9258C" w:rsidRPr="00FD6A6A">
        <w:t>Refugees.</w:t>
      </w:r>
      <w:r w:rsidR="00541D05">
        <w:t xml:space="preserve"> </w:t>
      </w:r>
      <w:r w:rsidR="00D9258C" w:rsidRPr="00FD6A6A">
        <w:t>The</w:t>
      </w:r>
      <w:r w:rsidR="00541D05">
        <w:t xml:space="preserve"> </w:t>
      </w:r>
      <w:r w:rsidR="00D9258C" w:rsidRPr="00FD6A6A">
        <w:t>procedure</w:t>
      </w:r>
      <w:r w:rsidR="00541D05">
        <w:t xml:space="preserve"> </w:t>
      </w:r>
      <w:r w:rsidR="00D9258C" w:rsidRPr="00FD6A6A">
        <w:t>for</w:t>
      </w:r>
      <w:r w:rsidR="00541D05">
        <w:t xml:space="preserve"> </w:t>
      </w:r>
      <w:r w:rsidR="00D9258C" w:rsidRPr="00FD6A6A">
        <w:t>the</w:t>
      </w:r>
      <w:r w:rsidR="00541D05">
        <w:t xml:space="preserve"> </w:t>
      </w:r>
      <w:r w:rsidR="00D9258C" w:rsidRPr="00FD6A6A">
        <w:t>recognition</w:t>
      </w:r>
      <w:r w:rsidR="00541D05">
        <w:t xml:space="preserve"> </w:t>
      </w:r>
      <w:r w:rsidR="00D9258C" w:rsidRPr="00FD6A6A">
        <w:t>of</w:t>
      </w:r>
      <w:r w:rsidR="00541D05">
        <w:t xml:space="preserve"> </w:t>
      </w:r>
      <w:r w:rsidR="00D9258C" w:rsidRPr="00FD6A6A">
        <w:t>the</w:t>
      </w:r>
      <w:r w:rsidR="00541D05">
        <w:t xml:space="preserve"> </w:t>
      </w:r>
      <w:r w:rsidR="00D9258C" w:rsidRPr="00FD6A6A">
        <w:t>refugee</w:t>
      </w:r>
      <w:r w:rsidR="00541D05">
        <w:t xml:space="preserve"> </w:t>
      </w:r>
      <w:r w:rsidR="00D9258C" w:rsidRPr="00FD6A6A">
        <w:t>status</w:t>
      </w:r>
      <w:r w:rsidR="00541D05">
        <w:t xml:space="preserve"> </w:t>
      </w:r>
      <w:r w:rsidR="00D9258C" w:rsidRPr="00FD6A6A">
        <w:t>in</w:t>
      </w:r>
      <w:r w:rsidR="00541D05">
        <w:t xml:space="preserve"> </w:t>
      </w:r>
      <w:r w:rsidR="00D9258C" w:rsidRPr="00FD6A6A">
        <w:t>Brazil</w:t>
      </w:r>
      <w:r w:rsidR="00541D05">
        <w:t xml:space="preserve"> </w:t>
      </w:r>
      <w:r w:rsidR="00D9258C" w:rsidRPr="00FD6A6A">
        <w:t>was</w:t>
      </w:r>
      <w:r w:rsidR="00541D05">
        <w:t xml:space="preserve"> </w:t>
      </w:r>
      <w:r w:rsidR="00D9258C" w:rsidRPr="00FD6A6A">
        <w:t>established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9,474/1997,</w:t>
      </w:r>
      <w:r w:rsidR="00541D05">
        <w:t xml:space="preserve"> </w:t>
      </w:r>
      <w:r w:rsidR="00D9258C" w:rsidRPr="00FD6A6A">
        <w:t>pursuant</w:t>
      </w:r>
      <w:r w:rsidR="00541D05">
        <w:t xml:space="preserve"> </w:t>
      </w:r>
      <w:r w:rsidR="00D9258C" w:rsidRPr="00FD6A6A">
        <w:t>to</w:t>
      </w:r>
      <w:r w:rsidR="00541D05">
        <w:t xml:space="preserve"> </w:t>
      </w:r>
      <w:r w:rsidR="00D9258C" w:rsidRPr="00FD6A6A">
        <w:t>the</w:t>
      </w:r>
      <w:r w:rsidR="00541D05">
        <w:t xml:space="preserve"> </w:t>
      </w:r>
      <w:r w:rsidR="00D9258C" w:rsidRPr="00FD6A6A">
        <w:t>1951</w:t>
      </w:r>
      <w:r w:rsidR="00541D05">
        <w:t xml:space="preserve"> </w:t>
      </w:r>
      <w:r w:rsidR="00D9258C" w:rsidRPr="00FD6A6A">
        <w:t>Convention,</w:t>
      </w:r>
      <w:r w:rsidR="00541D05">
        <w:t xml:space="preserve"> </w:t>
      </w:r>
      <w:r w:rsidR="00D9258C" w:rsidRPr="00FD6A6A">
        <w:t>the</w:t>
      </w:r>
      <w:r w:rsidR="00541D05">
        <w:t xml:space="preserve"> </w:t>
      </w:r>
      <w:r w:rsidR="00D9258C" w:rsidRPr="00FD6A6A">
        <w:t>1967</w:t>
      </w:r>
      <w:r w:rsidR="00541D05">
        <w:t xml:space="preserve"> </w:t>
      </w:r>
      <w:r w:rsidR="00D9258C" w:rsidRPr="00FD6A6A">
        <w:t>Protocol,</w:t>
      </w:r>
      <w:r w:rsidR="00541D05">
        <w:t xml:space="preserve"> </w:t>
      </w:r>
      <w:r w:rsidR="00D9258C" w:rsidRPr="00FD6A6A">
        <w:t>the</w:t>
      </w:r>
      <w:r w:rsidR="00541D05">
        <w:t xml:space="preserve"> </w:t>
      </w:r>
      <w:r w:rsidR="00D9258C" w:rsidRPr="00FD6A6A">
        <w:t>1984</w:t>
      </w:r>
      <w:r w:rsidR="00541D05">
        <w:t xml:space="preserve"> </w:t>
      </w:r>
      <w:r w:rsidR="00D9258C" w:rsidRPr="00FD6A6A">
        <w:t>Cartagena</w:t>
      </w:r>
      <w:r w:rsidR="00541D05">
        <w:t xml:space="preserve"> </w:t>
      </w:r>
      <w:r w:rsidR="00D9258C" w:rsidRPr="00FD6A6A">
        <w:t>Declaration,</w:t>
      </w:r>
      <w:r w:rsidR="00541D05">
        <w:t xml:space="preserve"> </w:t>
      </w:r>
      <w:r w:rsidR="00D9258C" w:rsidRPr="00FD6A6A">
        <w:t>and</w:t>
      </w:r>
      <w:r w:rsidR="00541D05">
        <w:t xml:space="preserve"> </w:t>
      </w:r>
      <w:r w:rsidR="00D9258C" w:rsidRPr="00FD6A6A">
        <w:t>the</w:t>
      </w:r>
      <w:r w:rsidR="00541D05">
        <w:t xml:space="preserve"> </w:t>
      </w:r>
      <w:r w:rsidR="00D9258C" w:rsidRPr="00FD6A6A">
        <w:t>memoranda</w:t>
      </w:r>
      <w:r w:rsidR="00541D05">
        <w:t xml:space="preserve"> </w:t>
      </w:r>
      <w:r w:rsidR="00D9258C" w:rsidRPr="00FD6A6A">
        <w:t>of</w:t>
      </w:r>
      <w:r w:rsidR="00541D05">
        <w:t xml:space="preserve"> </w:t>
      </w:r>
      <w:r w:rsidR="00D9258C" w:rsidRPr="00FD6A6A">
        <w:t>understanding</w:t>
      </w:r>
      <w:r w:rsidR="00541D05">
        <w:t xml:space="preserve"> </w:t>
      </w:r>
      <w:r w:rsidR="00D9258C" w:rsidRPr="00FD6A6A">
        <w:t>between</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and</w:t>
      </w:r>
      <w:r w:rsidR="00541D05">
        <w:t xml:space="preserve"> </w:t>
      </w:r>
      <w:r w:rsidR="00D9258C" w:rsidRPr="00FD6A6A">
        <w:t>the</w:t>
      </w:r>
      <w:r w:rsidR="00541D05">
        <w:t xml:space="preserve"> </w:t>
      </w:r>
      <w:r w:rsidR="00D9258C" w:rsidRPr="00FD6A6A">
        <w:t>United</w:t>
      </w:r>
      <w:r w:rsidR="00541D05">
        <w:t xml:space="preserve"> </w:t>
      </w:r>
      <w:r w:rsidR="00D9258C" w:rsidRPr="00FD6A6A">
        <w:t>Nations</w:t>
      </w:r>
      <w:r w:rsidR="00541D05">
        <w:t xml:space="preserve"> </w:t>
      </w:r>
      <w:r w:rsidR="00D9258C" w:rsidRPr="00FD6A6A">
        <w:t>High</w:t>
      </w:r>
      <w:r w:rsidR="00541D05">
        <w:t xml:space="preserve"> </w:t>
      </w:r>
      <w:r w:rsidR="00D9258C" w:rsidRPr="00FD6A6A">
        <w:t>Commissioner</w:t>
      </w:r>
      <w:r w:rsidR="00541D05">
        <w:t xml:space="preserve"> </w:t>
      </w:r>
      <w:r w:rsidR="00D9258C" w:rsidRPr="00FD6A6A">
        <w:t>for</w:t>
      </w:r>
      <w:r w:rsidR="00541D05">
        <w:t xml:space="preserve"> </w:t>
      </w:r>
      <w:r w:rsidR="00D9258C" w:rsidRPr="00FD6A6A">
        <w:t>Refugees</w:t>
      </w:r>
      <w:r w:rsidR="00541D05">
        <w:t xml:space="preserve"> </w:t>
      </w:r>
      <w:r w:rsidR="00D9258C" w:rsidRPr="00FD6A6A">
        <w:t>(UNHCR).</w:t>
      </w:r>
    </w:p>
    <w:p w14:paraId="5046B100" w14:textId="69D40DC3" w:rsidR="00D9258C" w:rsidRPr="00FD6A6A" w:rsidRDefault="00166390" w:rsidP="00166390">
      <w:pPr>
        <w:pStyle w:val="ParaNoG"/>
        <w:numPr>
          <w:ilvl w:val="0"/>
          <w:numId w:val="0"/>
        </w:numPr>
        <w:tabs>
          <w:tab w:val="left" w:pos="0"/>
        </w:tabs>
        <w:ind w:left="1134"/>
      </w:pPr>
      <w:r w:rsidRPr="00FD6A6A">
        <w:t>179.</w:t>
      </w:r>
      <w:r w:rsidRPr="00FD6A6A">
        <w:tab/>
      </w:r>
      <w:r w:rsidR="00D9258C" w:rsidRPr="00FD6A6A">
        <w:t>At</w:t>
      </w:r>
      <w:r w:rsidR="00541D05">
        <w:t xml:space="preserve"> </w:t>
      </w:r>
      <w:r w:rsidR="00D9258C" w:rsidRPr="00FD6A6A">
        <w:t>the</w:t>
      </w:r>
      <w:r w:rsidR="00541D05">
        <w:t xml:space="preserve"> </w:t>
      </w:r>
      <w:r w:rsidR="00D9258C" w:rsidRPr="00FD6A6A">
        <w:t>international</w:t>
      </w:r>
      <w:r w:rsidR="00541D05">
        <w:t xml:space="preserve"> </w:t>
      </w:r>
      <w:r w:rsidR="00D9258C" w:rsidRPr="00FD6A6A">
        <w:t>level,</w:t>
      </w:r>
      <w:r w:rsidR="00541D05">
        <w:t xml:space="preserve"> </w:t>
      </w:r>
      <w:r w:rsidR="00D9258C" w:rsidRPr="00FD6A6A">
        <w:t>Brazil</w:t>
      </w:r>
      <w:r w:rsidR="00541D05">
        <w:t xml:space="preserve"> </w:t>
      </w:r>
      <w:r w:rsidR="00D9258C" w:rsidRPr="00FD6A6A">
        <w:t>is</w:t>
      </w:r>
      <w:r w:rsidR="00541D05">
        <w:t xml:space="preserve"> </w:t>
      </w:r>
      <w:r w:rsidR="00D9258C" w:rsidRPr="00FD6A6A">
        <w:t>also</w:t>
      </w:r>
      <w:r w:rsidR="00541D05">
        <w:t xml:space="preserve"> </w:t>
      </w:r>
      <w:r w:rsidR="00D9258C" w:rsidRPr="00FD6A6A">
        <w:t>a</w:t>
      </w:r>
      <w:r w:rsidR="00541D05">
        <w:t xml:space="preserve"> </w:t>
      </w:r>
      <w:r w:rsidR="00D9258C" w:rsidRPr="00FD6A6A">
        <w:t>signatory</w:t>
      </w:r>
      <w:r w:rsidR="00541D05">
        <w:t xml:space="preserve"> </w:t>
      </w:r>
      <w:r w:rsidR="00D9258C" w:rsidRPr="00FD6A6A">
        <w:t>to</w:t>
      </w:r>
      <w:r w:rsidR="00541D05">
        <w:t xml:space="preserve"> </w:t>
      </w:r>
      <w:r w:rsidR="00D9258C" w:rsidRPr="00FD6A6A">
        <w:t>other</w:t>
      </w:r>
      <w:r w:rsidR="00541D05">
        <w:t xml:space="preserve"> </w:t>
      </w:r>
      <w:r w:rsidR="00D9258C" w:rsidRPr="00FD6A6A">
        <w:t>important</w:t>
      </w:r>
      <w:r w:rsidR="00541D05">
        <w:t xml:space="preserve"> </w:t>
      </w:r>
      <w:r w:rsidR="00D9258C" w:rsidRPr="00FD6A6A">
        <w:t>initiatives,</w:t>
      </w:r>
      <w:r w:rsidR="00541D05">
        <w:t xml:space="preserve"> </w:t>
      </w:r>
      <w:r w:rsidR="00D9258C" w:rsidRPr="00FD6A6A">
        <w:t>such</w:t>
      </w:r>
      <w:r w:rsidR="00541D05">
        <w:t xml:space="preserve"> </w:t>
      </w:r>
      <w:r w:rsidR="00D9258C" w:rsidRPr="00FD6A6A">
        <w:t>as</w:t>
      </w:r>
      <w:r w:rsidR="00541D05">
        <w:t xml:space="preserve"> </w:t>
      </w:r>
      <w:r w:rsidR="00D9258C" w:rsidRPr="00FD6A6A">
        <w:t>the</w:t>
      </w:r>
      <w:r w:rsidR="00541D05">
        <w:t xml:space="preserve"> </w:t>
      </w:r>
      <w:r w:rsidR="00D9258C" w:rsidRPr="00FD6A6A">
        <w:t>Mexico</w:t>
      </w:r>
      <w:r w:rsidR="00541D05">
        <w:t xml:space="preserve"> </w:t>
      </w:r>
      <w:r w:rsidR="00D9258C" w:rsidRPr="00FD6A6A">
        <w:t>Plan</w:t>
      </w:r>
      <w:r w:rsidR="00541D05">
        <w:t xml:space="preserve"> </w:t>
      </w:r>
      <w:r w:rsidR="00D9258C" w:rsidRPr="00FD6A6A">
        <w:t>of</w:t>
      </w:r>
      <w:r w:rsidR="00541D05">
        <w:t xml:space="preserve"> </w:t>
      </w:r>
      <w:r w:rsidR="00D9258C" w:rsidRPr="00FD6A6A">
        <w:t>Action</w:t>
      </w:r>
      <w:r w:rsidR="00541D05">
        <w:t xml:space="preserve"> </w:t>
      </w:r>
      <w:r w:rsidR="00D9258C" w:rsidRPr="00FD6A6A">
        <w:t>(2004),</w:t>
      </w:r>
      <w:r w:rsidR="00541D05">
        <w:t xml:space="preserve"> </w:t>
      </w:r>
      <w:r w:rsidR="00D9258C" w:rsidRPr="00FD6A6A">
        <w:t>the</w:t>
      </w:r>
      <w:r w:rsidR="00541D05">
        <w:t xml:space="preserve"> </w:t>
      </w:r>
      <w:r w:rsidR="00D9258C" w:rsidRPr="00FD6A6A">
        <w:t>Brasilia</w:t>
      </w:r>
      <w:r w:rsidR="00541D05">
        <w:t xml:space="preserve"> </w:t>
      </w:r>
      <w:r w:rsidR="00D9258C" w:rsidRPr="00FD6A6A">
        <w:t>Declaration</w:t>
      </w:r>
      <w:r w:rsidR="00541D05">
        <w:t xml:space="preserve"> </w:t>
      </w:r>
      <w:r w:rsidR="00D9258C" w:rsidRPr="00FD6A6A">
        <w:t>on</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Refugees</w:t>
      </w:r>
      <w:r w:rsidR="00541D05">
        <w:t xml:space="preserve"> </w:t>
      </w:r>
      <w:r w:rsidR="00D9258C" w:rsidRPr="00FD6A6A">
        <w:t>and</w:t>
      </w:r>
      <w:r w:rsidR="00541D05">
        <w:t xml:space="preserve"> </w:t>
      </w:r>
      <w:r w:rsidR="00D9258C" w:rsidRPr="00FD6A6A">
        <w:t>Stateless</w:t>
      </w:r>
      <w:r w:rsidR="00541D05">
        <w:t xml:space="preserve"> </w:t>
      </w:r>
      <w:r w:rsidR="00D9258C" w:rsidRPr="00FD6A6A">
        <w:t>Persons</w:t>
      </w:r>
      <w:r w:rsidR="00541D05">
        <w:t xml:space="preserve"> </w:t>
      </w:r>
      <w:r w:rsidR="00D9258C" w:rsidRPr="00FD6A6A">
        <w:t>in</w:t>
      </w:r>
      <w:r w:rsidR="00541D05">
        <w:t xml:space="preserve"> </w:t>
      </w:r>
      <w:r w:rsidR="00D9258C" w:rsidRPr="00FD6A6A">
        <w:t>the</w:t>
      </w:r>
      <w:r w:rsidR="00541D05">
        <w:t xml:space="preserve"> </w:t>
      </w:r>
      <w:r w:rsidR="00D9258C" w:rsidRPr="00FD6A6A">
        <w:t>Americas</w:t>
      </w:r>
      <w:r w:rsidR="00541D05">
        <w:t xml:space="preserve"> </w:t>
      </w:r>
      <w:r w:rsidR="00D9258C" w:rsidRPr="00FD6A6A">
        <w:t>(2010)</w:t>
      </w:r>
      <w:r w:rsidR="00541D05">
        <w:t xml:space="preserve"> </w:t>
      </w:r>
      <w:r w:rsidR="00D9258C" w:rsidRPr="00FD6A6A">
        <w:t>and</w:t>
      </w:r>
      <w:r w:rsidR="00541D05">
        <w:t xml:space="preserve"> </w:t>
      </w:r>
      <w:r w:rsidR="00D9258C" w:rsidRPr="00FD6A6A">
        <w:t>the</w:t>
      </w:r>
      <w:r w:rsidR="00541D05">
        <w:t xml:space="preserve"> </w:t>
      </w:r>
      <w:r w:rsidR="00D9258C" w:rsidRPr="00FD6A6A">
        <w:t>Brazil</w:t>
      </w:r>
      <w:r w:rsidR="00541D05">
        <w:t xml:space="preserve"> </w:t>
      </w:r>
      <w:r w:rsidR="00D9258C" w:rsidRPr="00FD6A6A">
        <w:t>Declaration</w:t>
      </w:r>
      <w:r w:rsidR="00541D05">
        <w:t xml:space="preserve"> </w:t>
      </w:r>
      <w:r w:rsidR="00D9258C" w:rsidRPr="00FD6A6A">
        <w:t>and</w:t>
      </w:r>
      <w:r w:rsidR="00541D05">
        <w:t xml:space="preserve"> </w:t>
      </w:r>
      <w:r w:rsidR="00D9258C" w:rsidRPr="00FD6A6A">
        <w:t>Plan</w:t>
      </w:r>
      <w:r w:rsidR="00541D05">
        <w:t xml:space="preserve"> </w:t>
      </w:r>
      <w:r w:rsidR="00D9258C" w:rsidRPr="00FD6A6A">
        <w:t>of</w:t>
      </w:r>
      <w:r w:rsidR="00541D05">
        <w:t xml:space="preserve"> </w:t>
      </w:r>
      <w:r w:rsidR="00D9258C" w:rsidRPr="00FD6A6A">
        <w:t>Action</w:t>
      </w:r>
      <w:r w:rsidR="00541D05">
        <w:t xml:space="preserve"> </w:t>
      </w:r>
      <w:r w:rsidR="00D9258C" w:rsidRPr="00FD6A6A">
        <w:t>(2014).</w:t>
      </w:r>
      <w:r w:rsidR="00541D05">
        <w:t xml:space="preserve"> </w:t>
      </w:r>
      <w:r w:rsidR="00D9258C" w:rsidRPr="00FD6A6A">
        <w:t>These</w:t>
      </w:r>
      <w:r w:rsidR="00541D05">
        <w:t xml:space="preserve"> </w:t>
      </w:r>
      <w:r w:rsidR="00D9258C" w:rsidRPr="00FD6A6A">
        <w:t>commitments</w:t>
      </w:r>
      <w:r w:rsidR="00541D05">
        <w:t xml:space="preserve"> </w:t>
      </w:r>
      <w:r w:rsidR="00D9258C" w:rsidRPr="00FD6A6A">
        <w:t>adopt</w:t>
      </w:r>
      <w:r w:rsidR="00541D05">
        <w:t xml:space="preserve"> </w:t>
      </w:r>
      <w:r w:rsidR="00D9258C" w:rsidRPr="00FD6A6A">
        <w:t>a</w:t>
      </w:r>
      <w:r w:rsidR="00541D05">
        <w:t xml:space="preserve"> </w:t>
      </w:r>
      <w:r w:rsidR="00D9258C" w:rsidRPr="00FD6A6A">
        <w:t>regional</w:t>
      </w:r>
      <w:r w:rsidR="00541D05">
        <w:t xml:space="preserve"> </w:t>
      </w:r>
      <w:r w:rsidR="00D9258C" w:rsidRPr="00FD6A6A">
        <w:t>approach</w:t>
      </w:r>
      <w:r w:rsidR="00541D05">
        <w:t xml:space="preserve"> </w:t>
      </w:r>
      <w:r w:rsidR="00D9258C" w:rsidRPr="00FD6A6A">
        <w:t>to</w:t>
      </w:r>
      <w:r w:rsidR="00541D05">
        <w:t xml:space="preserve"> </w:t>
      </w:r>
      <w:r w:rsidR="00D9258C" w:rsidRPr="00FD6A6A">
        <w:t>increasing</w:t>
      </w:r>
      <w:r w:rsidR="00541D05">
        <w:t xml:space="preserve"> </w:t>
      </w:r>
      <w:r w:rsidR="00D9258C" w:rsidRPr="00FD6A6A">
        <w:t>flows</w:t>
      </w:r>
      <w:r w:rsidR="00541D05">
        <w:t xml:space="preserve"> </w:t>
      </w:r>
      <w:r w:rsidR="00D9258C" w:rsidRPr="00FD6A6A">
        <w:t>of</w:t>
      </w:r>
      <w:r w:rsidR="00541D05">
        <w:t xml:space="preserve"> </w:t>
      </w:r>
      <w:r w:rsidR="00D9258C" w:rsidRPr="00FD6A6A">
        <w:t>persons,</w:t>
      </w:r>
      <w:r w:rsidR="00541D05">
        <w:t xml:space="preserve"> </w:t>
      </w:r>
      <w:r w:rsidR="00D9258C" w:rsidRPr="00FD6A6A">
        <w:t>strengthening</w:t>
      </w:r>
      <w:r w:rsidR="00541D05">
        <w:t xml:space="preserve"> </w:t>
      </w:r>
      <w:r w:rsidR="00D9258C" w:rsidRPr="00FD6A6A">
        <w:t>solidarity</w:t>
      </w:r>
      <w:r w:rsidR="00541D05">
        <w:t xml:space="preserve"> </w:t>
      </w:r>
      <w:r w:rsidR="00D9258C" w:rsidRPr="00FD6A6A">
        <w:t>and</w:t>
      </w:r>
      <w:r w:rsidR="00541D05">
        <w:t xml:space="preserve"> </w:t>
      </w:r>
      <w:r w:rsidR="00D9258C" w:rsidRPr="00FD6A6A">
        <w:t>cooperation</w:t>
      </w:r>
      <w:r w:rsidR="00541D05">
        <w:t xml:space="preserve"> </w:t>
      </w:r>
      <w:r w:rsidR="00D9258C" w:rsidRPr="00FD6A6A">
        <w:t>between</w:t>
      </w:r>
      <w:r w:rsidR="00541D05">
        <w:t xml:space="preserve"> </w:t>
      </w:r>
      <w:r w:rsidR="00D9258C" w:rsidRPr="00FD6A6A">
        <w:t>countries.</w:t>
      </w:r>
      <w:r w:rsidR="00541D05">
        <w:t xml:space="preserve"> </w:t>
      </w:r>
      <w:r w:rsidR="00D9258C" w:rsidRPr="00FD6A6A">
        <w:t>They</w:t>
      </w:r>
      <w:r w:rsidR="00541D05">
        <w:t xml:space="preserve"> </w:t>
      </w:r>
      <w:r w:rsidR="00D9258C" w:rsidRPr="00FD6A6A">
        <w:t>reinforce</w:t>
      </w:r>
      <w:r w:rsidR="00541D05">
        <w:t xml:space="preserve"> </w:t>
      </w:r>
      <w:r w:rsidR="00D9258C" w:rsidRPr="00FD6A6A">
        <w:t>the</w:t>
      </w:r>
      <w:r w:rsidR="00541D05">
        <w:t xml:space="preserve"> </w:t>
      </w:r>
      <w:r w:rsidR="00D9258C" w:rsidRPr="00FD6A6A">
        <w:t>need</w:t>
      </w:r>
      <w:r w:rsidR="00541D05">
        <w:t xml:space="preserve"> </w:t>
      </w:r>
      <w:r w:rsidR="00D9258C" w:rsidRPr="00FD6A6A">
        <w:t>for</w:t>
      </w:r>
      <w:r w:rsidR="00541D05">
        <w:t xml:space="preserve"> </w:t>
      </w:r>
      <w:r w:rsidR="00D9258C" w:rsidRPr="00FD6A6A">
        <w:t>States</w:t>
      </w:r>
      <w:r w:rsidR="00541D05">
        <w:t xml:space="preserve"> </w:t>
      </w:r>
      <w:r w:rsidR="00D9258C" w:rsidRPr="00FD6A6A">
        <w:t>to</w:t>
      </w:r>
      <w:r w:rsidR="00541D05">
        <w:t xml:space="preserve"> </w:t>
      </w:r>
      <w:r w:rsidR="00D9258C" w:rsidRPr="00FD6A6A">
        <w:t>enhance</w:t>
      </w:r>
      <w:r w:rsidR="00541D05">
        <w:t xml:space="preserve"> </w:t>
      </w:r>
      <w:r w:rsidR="00D9258C" w:rsidRPr="00FD6A6A">
        <w:t>the</w:t>
      </w:r>
      <w:r w:rsidR="00541D05">
        <w:t xml:space="preserve"> </w:t>
      </w:r>
      <w:r w:rsidR="00D9258C" w:rsidRPr="00FD6A6A">
        <w:t>exchange</w:t>
      </w:r>
      <w:r w:rsidR="00541D05">
        <w:t xml:space="preserve"> </w:t>
      </w:r>
      <w:r w:rsidR="00D9258C" w:rsidRPr="00FD6A6A">
        <w:t>of</w:t>
      </w:r>
      <w:r w:rsidR="00541D05">
        <w:t xml:space="preserve"> </w:t>
      </w:r>
      <w:r w:rsidR="00D9258C" w:rsidRPr="00FD6A6A">
        <w:t>good</w:t>
      </w:r>
      <w:r w:rsidR="00541D05">
        <w:t xml:space="preserve"> </w:t>
      </w:r>
      <w:r w:rsidR="00D9258C" w:rsidRPr="00FD6A6A">
        <w:t>practices,</w:t>
      </w:r>
      <w:r w:rsidR="00541D05">
        <w:t xml:space="preserve"> </w:t>
      </w:r>
      <w:r w:rsidR="00D9258C" w:rsidRPr="00FD6A6A">
        <w:t>propose</w:t>
      </w:r>
      <w:r w:rsidR="00541D05">
        <w:t xml:space="preserve"> </w:t>
      </w:r>
      <w:r w:rsidR="00D9258C" w:rsidRPr="00FD6A6A">
        <w:t>lasting</w:t>
      </w:r>
      <w:r w:rsidR="00541D05">
        <w:t xml:space="preserve"> </w:t>
      </w:r>
      <w:r w:rsidR="00D9258C" w:rsidRPr="00FD6A6A">
        <w:t>solutions</w:t>
      </w:r>
      <w:r w:rsidR="00541D05">
        <w:t xml:space="preserve"> </w:t>
      </w:r>
      <w:r w:rsidR="00D9258C" w:rsidRPr="00FD6A6A">
        <w:t>to</w:t>
      </w:r>
      <w:r w:rsidR="00541D05">
        <w:t xml:space="preserve"> </w:t>
      </w:r>
      <w:r w:rsidR="00D9258C" w:rsidRPr="00FD6A6A">
        <w:t>refugees,</w:t>
      </w:r>
      <w:r w:rsidR="00541D05">
        <w:t xml:space="preserve"> </w:t>
      </w:r>
      <w:r w:rsidR="00D9258C" w:rsidRPr="00FD6A6A">
        <w:t>recover</w:t>
      </w:r>
      <w:r w:rsidR="00541D05">
        <w:t xml:space="preserve"> </w:t>
      </w:r>
      <w:r w:rsidR="00D9258C" w:rsidRPr="00FD6A6A">
        <w:t>programs</w:t>
      </w:r>
      <w:r w:rsidR="00541D05">
        <w:t xml:space="preserve"> </w:t>
      </w:r>
      <w:r w:rsidR="00D9258C" w:rsidRPr="00FD6A6A">
        <w:t>created</w:t>
      </w:r>
      <w:r w:rsidR="00541D05">
        <w:t xml:space="preserve"> </w:t>
      </w:r>
      <w:r w:rsidR="00D9258C" w:rsidRPr="00FD6A6A">
        <w:t>to</w:t>
      </w:r>
      <w:r w:rsidR="00541D05">
        <w:t xml:space="preserve"> </w:t>
      </w:r>
      <w:r w:rsidR="00D9258C" w:rsidRPr="00FD6A6A">
        <w:t>ensure</w:t>
      </w:r>
      <w:r w:rsidR="00541D05">
        <w:t xml:space="preserve"> </w:t>
      </w:r>
      <w:r w:rsidR="00D9258C" w:rsidRPr="00FD6A6A">
        <w:t>refugees`</w:t>
      </w:r>
      <w:r w:rsidR="00541D05">
        <w:t xml:space="preserve"> </w:t>
      </w:r>
      <w:r w:rsidR="00D9258C" w:rsidRPr="00FD6A6A">
        <w:t>integration</w:t>
      </w:r>
      <w:r w:rsidR="00541D05">
        <w:t xml:space="preserve"> </w:t>
      </w:r>
      <w:r w:rsidR="00D9258C" w:rsidRPr="00FD6A6A">
        <w:t>and</w:t>
      </w:r>
      <w:r w:rsidR="00541D05">
        <w:t xml:space="preserve"> </w:t>
      </w:r>
      <w:r w:rsidR="00D9258C" w:rsidRPr="00FD6A6A">
        <w:t>self-sufficiency,</w:t>
      </w:r>
      <w:r w:rsidR="00541D05">
        <w:t xml:space="preserve"> </w:t>
      </w:r>
      <w:r w:rsidR="00D9258C" w:rsidRPr="00FD6A6A">
        <w:t>protect</w:t>
      </w:r>
      <w:r w:rsidR="00541D05">
        <w:t xml:space="preserve"> </w:t>
      </w:r>
      <w:r w:rsidR="00D9258C" w:rsidRPr="00FD6A6A">
        <w:t>children</w:t>
      </w:r>
      <w:r w:rsidR="00541D05">
        <w:t xml:space="preserve"> </w:t>
      </w:r>
      <w:r w:rsidR="00D9258C" w:rsidRPr="00FD6A6A">
        <w:t>separated</w:t>
      </w:r>
      <w:r w:rsidR="00541D05">
        <w:t xml:space="preserve"> </w:t>
      </w:r>
      <w:r w:rsidR="00D9258C" w:rsidRPr="00FD6A6A">
        <w:t>from</w:t>
      </w:r>
      <w:r w:rsidR="00541D05">
        <w:t xml:space="preserve"> </w:t>
      </w:r>
      <w:r w:rsidR="00D9258C" w:rsidRPr="00FD6A6A">
        <w:t>their</w:t>
      </w:r>
      <w:r w:rsidR="00541D05">
        <w:t xml:space="preserve"> </w:t>
      </w:r>
      <w:r w:rsidR="00D9258C" w:rsidRPr="00FD6A6A">
        <w:t>parents</w:t>
      </w:r>
      <w:r w:rsidR="00541D05">
        <w:t xml:space="preserve"> </w:t>
      </w:r>
      <w:r w:rsidR="00D9258C" w:rsidRPr="00FD6A6A">
        <w:t>or</w:t>
      </w:r>
      <w:r w:rsidR="00541D05">
        <w:t xml:space="preserve"> </w:t>
      </w:r>
      <w:r w:rsidR="00D9258C" w:rsidRPr="00FD6A6A">
        <w:t>unaccompanied,</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to</w:t>
      </w:r>
      <w:r w:rsidR="00541D05">
        <w:t xml:space="preserve"> </w:t>
      </w:r>
      <w:r w:rsidR="00D9258C" w:rsidRPr="00FD6A6A">
        <w:t>promote</w:t>
      </w:r>
      <w:r w:rsidR="00541D05">
        <w:t xml:space="preserve"> </w:t>
      </w:r>
      <w:r w:rsidR="00D9258C" w:rsidRPr="00FD6A6A">
        <w:t>accession</w:t>
      </w:r>
      <w:r w:rsidR="00541D05">
        <w:t xml:space="preserve"> </w:t>
      </w:r>
      <w:r w:rsidR="00D9258C" w:rsidRPr="00FD6A6A">
        <w:t>to</w:t>
      </w:r>
      <w:r w:rsidR="00541D05">
        <w:t xml:space="preserve"> </w:t>
      </w:r>
      <w:r w:rsidR="00D9258C" w:rsidRPr="00FD6A6A">
        <w:t>the</w:t>
      </w:r>
      <w:r w:rsidR="00541D05">
        <w:t xml:space="preserve"> </w:t>
      </w:r>
      <w:r w:rsidR="00D9258C" w:rsidRPr="00FD6A6A">
        <w:t>international</w:t>
      </w:r>
      <w:r w:rsidR="00541D05">
        <w:t xml:space="preserve"> </w:t>
      </w:r>
      <w:r w:rsidR="00D9258C" w:rsidRPr="00FD6A6A">
        <w:t>instruments</w:t>
      </w:r>
      <w:r w:rsidR="00541D05">
        <w:t xml:space="preserve"> </w:t>
      </w:r>
      <w:r w:rsidR="00D9258C" w:rsidRPr="00FD6A6A">
        <w:t>on</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refugees</w:t>
      </w:r>
      <w:r w:rsidR="00541D05">
        <w:t xml:space="preserve"> </w:t>
      </w:r>
      <w:r w:rsidR="00D9258C" w:rsidRPr="00FD6A6A">
        <w:t>and</w:t>
      </w:r>
      <w:r w:rsidR="00541D05">
        <w:t xml:space="preserve"> </w:t>
      </w:r>
      <w:r w:rsidR="00D9258C" w:rsidRPr="00FD6A6A">
        <w:t>stateless</w:t>
      </w:r>
      <w:r w:rsidR="00541D05">
        <w:t xml:space="preserve"> </w:t>
      </w:r>
      <w:r w:rsidR="00D9258C" w:rsidRPr="00FD6A6A">
        <w:t>persons.</w:t>
      </w:r>
    </w:p>
    <w:p w14:paraId="430135C0" w14:textId="3ABFC422" w:rsidR="00D9258C" w:rsidRPr="00FD6A6A" w:rsidRDefault="00166390" w:rsidP="00166390">
      <w:pPr>
        <w:pStyle w:val="ParaNoG"/>
        <w:numPr>
          <w:ilvl w:val="0"/>
          <w:numId w:val="0"/>
        </w:numPr>
        <w:tabs>
          <w:tab w:val="left" w:pos="0"/>
        </w:tabs>
        <w:ind w:left="1134"/>
      </w:pPr>
      <w:r w:rsidRPr="00FD6A6A">
        <w:t>180.</w:t>
      </w:r>
      <w:r w:rsidRPr="00FD6A6A">
        <w:tab/>
      </w:r>
      <w:r w:rsidR="00D9258C" w:rsidRPr="00FD6A6A">
        <w:t>The</w:t>
      </w:r>
      <w:r w:rsidR="00541D05">
        <w:t xml:space="preserve"> </w:t>
      </w:r>
      <w:r w:rsidR="00D9258C" w:rsidRPr="00FD6A6A">
        <w:t>recognition</w:t>
      </w:r>
      <w:r w:rsidR="00541D05">
        <w:t xml:space="preserve"> </w:t>
      </w:r>
      <w:r w:rsidR="00D9258C" w:rsidRPr="00FD6A6A">
        <w:t>of</w:t>
      </w:r>
      <w:r w:rsidR="00541D05">
        <w:t xml:space="preserve"> </w:t>
      </w:r>
      <w:r w:rsidR="00D9258C" w:rsidRPr="00FD6A6A">
        <w:t>refugee</w:t>
      </w:r>
      <w:r w:rsidR="00541D05">
        <w:t xml:space="preserve"> </w:t>
      </w:r>
      <w:r w:rsidR="00D9258C" w:rsidRPr="00FD6A6A">
        <w:t>status,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of</w:t>
      </w:r>
      <w:r w:rsidR="00541D05">
        <w:t xml:space="preserve"> </w:t>
      </w:r>
      <w:r w:rsidR="00D9258C" w:rsidRPr="00FD6A6A">
        <w:t>the</w:t>
      </w:r>
      <w:r w:rsidR="00541D05">
        <w:t xml:space="preserve"> </w:t>
      </w:r>
      <w:r w:rsidR="00D9258C" w:rsidRPr="00FD6A6A">
        <w:t>loss</w:t>
      </w:r>
      <w:r w:rsidR="00541D05">
        <w:t xml:space="preserve"> </w:t>
      </w:r>
      <w:r w:rsidR="00D9258C" w:rsidRPr="00FD6A6A">
        <w:t>and</w:t>
      </w:r>
      <w:r w:rsidR="00541D05">
        <w:t xml:space="preserve"> </w:t>
      </w:r>
      <w:r w:rsidR="00D9258C" w:rsidRPr="00FD6A6A">
        <w:t>cessation</w:t>
      </w:r>
      <w:r w:rsidR="00541D05">
        <w:t xml:space="preserve"> </w:t>
      </w:r>
      <w:r w:rsidR="00D9258C" w:rsidRPr="00FD6A6A">
        <w:t>of</w:t>
      </w:r>
      <w:r w:rsidR="00541D05">
        <w:t xml:space="preserve"> </w:t>
      </w:r>
      <w:r w:rsidR="00D9258C" w:rsidRPr="00FD6A6A">
        <w:t>this</w:t>
      </w:r>
      <w:r w:rsidR="00541D05">
        <w:t xml:space="preserve"> </w:t>
      </w:r>
      <w:r w:rsidR="00D9258C" w:rsidRPr="00FD6A6A">
        <w:t>status,</w:t>
      </w:r>
      <w:r w:rsidR="00541D05">
        <w:t xml:space="preserve"> </w:t>
      </w:r>
      <w:r w:rsidR="00D9258C" w:rsidRPr="00FD6A6A">
        <w:t>is</w:t>
      </w:r>
      <w:r w:rsidR="00541D05">
        <w:t xml:space="preserve"> </w:t>
      </w:r>
      <w:r w:rsidR="00D9258C" w:rsidRPr="00FD6A6A">
        <w:t>under</w:t>
      </w:r>
      <w:r w:rsidR="00541D05">
        <w:t xml:space="preserve"> </w:t>
      </w:r>
      <w:r w:rsidR="00D9258C" w:rsidRPr="00FD6A6A">
        <w:t>the</w:t>
      </w:r>
      <w:r w:rsidR="00541D05">
        <w:t xml:space="preserve"> </w:t>
      </w:r>
      <w:r w:rsidR="00D9258C" w:rsidRPr="00FD6A6A">
        <w:t>responsibility</w:t>
      </w:r>
      <w:r w:rsidR="00541D05">
        <w:t xml:space="preserve"> </w:t>
      </w:r>
      <w:r w:rsidR="00D9258C" w:rsidRPr="00FD6A6A">
        <w:t>of</w:t>
      </w:r>
      <w:r w:rsidR="00541D05">
        <w:t xml:space="preserve"> </w:t>
      </w:r>
      <w:r w:rsidR="00D9258C" w:rsidRPr="00FD6A6A">
        <w:t>the</w:t>
      </w:r>
      <w:r w:rsidR="00541D05">
        <w:t xml:space="preserve"> </w:t>
      </w:r>
      <w:r w:rsidR="00D9258C" w:rsidRPr="00FD6A6A">
        <w:t>National</w:t>
      </w:r>
      <w:r w:rsidR="00541D05">
        <w:t xml:space="preserve"> </w:t>
      </w:r>
      <w:r w:rsidR="00D9258C" w:rsidRPr="00FD6A6A">
        <w:t>Committee</w:t>
      </w:r>
      <w:r w:rsidR="00541D05">
        <w:t xml:space="preserve"> </w:t>
      </w:r>
      <w:r w:rsidR="00D9258C" w:rsidRPr="00FD6A6A">
        <w:t>for</w:t>
      </w:r>
      <w:r w:rsidR="00541D05">
        <w:t xml:space="preserve"> </w:t>
      </w:r>
      <w:r w:rsidR="00D9258C" w:rsidRPr="00FD6A6A">
        <w:t>Refugees</w:t>
      </w:r>
      <w:r w:rsidR="00541D05">
        <w:t xml:space="preserve"> </w:t>
      </w:r>
      <w:r w:rsidR="00D9258C" w:rsidRPr="00FD6A6A">
        <w:t>(CONARE),</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w:t>
      </w:r>
      <w:r w:rsidR="00541D05">
        <w:t xml:space="preserve"> </w:t>
      </w:r>
      <w:r w:rsidR="00D9258C" w:rsidRPr="00FD6A6A">
        <w:t>coordination</w:t>
      </w:r>
      <w:r w:rsidR="00541D05">
        <w:t xml:space="preserve"> </w:t>
      </w:r>
      <w:r w:rsidR="00D9258C" w:rsidRPr="00FD6A6A">
        <w:t>of</w:t>
      </w:r>
      <w:r w:rsidR="00541D05">
        <w:t xml:space="preserve"> </w:t>
      </w:r>
      <w:r w:rsidR="00D9258C" w:rsidRPr="00FD6A6A">
        <w:t>the</w:t>
      </w:r>
      <w:r w:rsidR="00541D05">
        <w:t xml:space="preserve"> </w:t>
      </w:r>
      <w:r w:rsidR="00D9258C" w:rsidRPr="00FD6A6A">
        <w:t>actions</w:t>
      </w:r>
      <w:r w:rsidR="00541D05">
        <w:t xml:space="preserve"> </w:t>
      </w:r>
      <w:r w:rsidR="00D9258C" w:rsidRPr="00FD6A6A">
        <w:t>needed</w:t>
      </w:r>
      <w:r w:rsidR="00541D05">
        <w:t xml:space="preserve"> </w:t>
      </w:r>
      <w:r w:rsidR="00D9258C" w:rsidRPr="00FD6A6A">
        <w:t>for</w:t>
      </w:r>
      <w:r w:rsidR="00541D05">
        <w:t xml:space="preserve"> </w:t>
      </w:r>
      <w:r w:rsidR="00D9258C" w:rsidRPr="00FD6A6A">
        <w:t>the</w:t>
      </w:r>
      <w:r w:rsidR="00541D05">
        <w:t xml:space="preserve"> </w:t>
      </w:r>
      <w:r w:rsidR="00D9258C" w:rsidRPr="00FD6A6A">
        <w:t>effective</w:t>
      </w:r>
      <w:r w:rsidR="00541D05">
        <w:t xml:space="preserve"> </w:t>
      </w:r>
      <w:r w:rsidR="00D9258C" w:rsidRPr="00FD6A6A">
        <w:t>legal</w:t>
      </w:r>
      <w:r w:rsidR="00541D05">
        <w:t xml:space="preserve"> </w:t>
      </w:r>
      <w:r w:rsidR="00D9258C" w:rsidRPr="00FD6A6A">
        <w:t>protection,</w:t>
      </w:r>
      <w:r w:rsidR="00541D05">
        <w:t xml:space="preserve"> </w:t>
      </w:r>
      <w:r w:rsidR="00D9258C" w:rsidRPr="00FD6A6A">
        <w:t>assistance,</w:t>
      </w:r>
      <w:r w:rsidR="00541D05">
        <w:t xml:space="preserve"> </w:t>
      </w:r>
      <w:r w:rsidR="00D9258C" w:rsidRPr="00FD6A6A">
        <w:t>and</w:t>
      </w:r>
      <w:r w:rsidR="00541D05">
        <w:t xml:space="preserve"> </w:t>
      </w:r>
      <w:r w:rsidR="00D9258C" w:rsidRPr="00FD6A6A">
        <w:t>support</w:t>
      </w:r>
      <w:r w:rsidR="00541D05">
        <w:t xml:space="preserve"> </w:t>
      </w:r>
      <w:r w:rsidR="00D9258C" w:rsidRPr="00FD6A6A">
        <w:t>to</w:t>
      </w:r>
      <w:r w:rsidR="00541D05">
        <w:t xml:space="preserve"> </w:t>
      </w:r>
      <w:r w:rsidR="00D9258C" w:rsidRPr="00FD6A6A">
        <w:t>refugees.</w:t>
      </w:r>
      <w:r w:rsidR="00541D05">
        <w:t xml:space="preserve"> </w:t>
      </w:r>
      <w:r w:rsidR="00D9258C" w:rsidRPr="00FD6A6A">
        <w:t>CONARE</w:t>
      </w:r>
      <w:r w:rsidR="00541D05">
        <w:t xml:space="preserve"> </w:t>
      </w:r>
      <w:r w:rsidR="00D9258C" w:rsidRPr="00FD6A6A">
        <w:t>is</w:t>
      </w:r>
      <w:r w:rsidR="00541D05">
        <w:t xml:space="preserve"> </w:t>
      </w:r>
      <w:r w:rsidR="00D9258C" w:rsidRPr="00FD6A6A">
        <w:t>composed</w:t>
      </w:r>
      <w:r w:rsidR="00541D05">
        <w:t xml:space="preserve"> </w:t>
      </w:r>
      <w:r w:rsidR="00D9258C" w:rsidRPr="00FD6A6A">
        <w:t>of</w:t>
      </w:r>
      <w:r w:rsidR="00541D05">
        <w:t xml:space="preserve"> </w:t>
      </w:r>
      <w:r w:rsidR="00D9258C" w:rsidRPr="00FD6A6A">
        <w:t>representatives</w:t>
      </w:r>
      <w:r w:rsidR="00541D05">
        <w:t xml:space="preserve"> </w:t>
      </w:r>
      <w:r w:rsidR="00D9258C" w:rsidRPr="00FD6A6A">
        <w:t>of</w:t>
      </w:r>
      <w:r w:rsidR="00541D05">
        <w:t xml:space="preserve"> </w:t>
      </w:r>
      <w:r w:rsidR="00D9258C" w:rsidRPr="00FD6A6A">
        <w:t>the</w:t>
      </w:r>
      <w:r w:rsidR="00541D05">
        <w:t xml:space="preserve"> </w:t>
      </w:r>
      <w:r w:rsidR="00D9258C" w:rsidRPr="00FD6A6A">
        <w:t>government</w:t>
      </w:r>
      <w:r w:rsidR="00541D05">
        <w:t xml:space="preserve"> </w:t>
      </w:r>
      <w:r w:rsidR="00D9258C" w:rsidRPr="00FD6A6A">
        <w:t>and</w:t>
      </w:r>
      <w:r w:rsidR="00541D05">
        <w:t xml:space="preserve"> </w:t>
      </w:r>
      <w:r w:rsidR="00D9258C" w:rsidRPr="00FD6A6A">
        <w:t>civil</w:t>
      </w:r>
      <w:r w:rsidR="00541D05">
        <w:t xml:space="preserve"> </w:t>
      </w:r>
      <w:r w:rsidR="00D9258C" w:rsidRPr="00FD6A6A">
        <w:t>society,</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the</w:t>
      </w:r>
      <w:r w:rsidR="00541D05">
        <w:t xml:space="preserve"> </w:t>
      </w:r>
      <w:r w:rsidR="00D9258C" w:rsidRPr="00FD6A6A">
        <w:t>United</w:t>
      </w:r>
      <w:r w:rsidR="00541D05">
        <w:t xml:space="preserve"> </w:t>
      </w:r>
      <w:r w:rsidR="00D9258C" w:rsidRPr="00FD6A6A">
        <w:t>Nations</w:t>
      </w:r>
      <w:r w:rsidR="00541D05">
        <w:t xml:space="preserve"> </w:t>
      </w:r>
      <w:r w:rsidR="00D9258C" w:rsidRPr="00FD6A6A">
        <w:t>High</w:t>
      </w:r>
      <w:r w:rsidR="00541D05">
        <w:t xml:space="preserve"> </w:t>
      </w:r>
      <w:r w:rsidR="00D9258C" w:rsidRPr="00FD6A6A">
        <w:t>Commissioner</w:t>
      </w:r>
      <w:r w:rsidR="00541D05">
        <w:t xml:space="preserve"> </w:t>
      </w:r>
      <w:r w:rsidR="00D9258C" w:rsidRPr="00FD6A6A">
        <w:t>for</w:t>
      </w:r>
      <w:r w:rsidR="00541D05">
        <w:t xml:space="preserve"> </w:t>
      </w:r>
      <w:r w:rsidR="00D9258C" w:rsidRPr="00FD6A6A">
        <w:t>Refugees</w:t>
      </w:r>
      <w:r w:rsidR="00541D05">
        <w:t xml:space="preserve"> </w:t>
      </w:r>
      <w:r w:rsidR="00D9258C" w:rsidRPr="00FD6A6A">
        <w:t>(UNHCR),</w:t>
      </w:r>
      <w:r w:rsidR="00541D05">
        <w:t xml:space="preserve"> </w:t>
      </w:r>
      <w:r w:rsidR="00D9258C" w:rsidRPr="00FD6A6A">
        <w:t>which</w:t>
      </w:r>
      <w:r w:rsidR="00541D05">
        <w:t xml:space="preserve"> </w:t>
      </w:r>
      <w:r w:rsidR="00D9258C" w:rsidRPr="00FD6A6A">
        <w:t>has</w:t>
      </w:r>
      <w:r w:rsidR="00541D05">
        <w:t xml:space="preserve"> </w:t>
      </w:r>
      <w:r w:rsidR="00D9258C" w:rsidRPr="00FD6A6A">
        <w:t>a</w:t>
      </w:r>
      <w:r w:rsidR="00541D05">
        <w:t xml:space="preserve"> </w:t>
      </w:r>
      <w:r w:rsidR="00D9258C" w:rsidRPr="00FD6A6A">
        <w:t>seat</w:t>
      </w:r>
      <w:r w:rsidR="00541D05">
        <w:t xml:space="preserve"> </w:t>
      </w:r>
      <w:r w:rsidR="00D9258C" w:rsidRPr="00FD6A6A">
        <w:t>in</w:t>
      </w:r>
      <w:r w:rsidR="00541D05">
        <w:t xml:space="preserve"> </w:t>
      </w:r>
      <w:r w:rsidR="00D9258C" w:rsidRPr="00FD6A6A">
        <w:t>the</w:t>
      </w:r>
      <w:r w:rsidR="00541D05">
        <w:t xml:space="preserve"> </w:t>
      </w:r>
      <w:r w:rsidR="00D9258C" w:rsidRPr="00FD6A6A">
        <w:t>Committee,</w:t>
      </w:r>
      <w:r w:rsidR="00541D05">
        <w:t xml:space="preserve"> </w:t>
      </w:r>
      <w:r w:rsidR="00D9258C" w:rsidRPr="00FD6A6A">
        <w:t>but</w:t>
      </w:r>
      <w:r w:rsidR="00541D05">
        <w:t xml:space="preserve"> </w:t>
      </w:r>
      <w:r w:rsidR="00D9258C" w:rsidRPr="00FD6A6A">
        <w:t>no</w:t>
      </w:r>
      <w:r w:rsidR="00541D05">
        <w:t xml:space="preserve"> </w:t>
      </w:r>
      <w:r w:rsidR="00D9258C" w:rsidRPr="00FD6A6A">
        <w:t>voting</w:t>
      </w:r>
      <w:r w:rsidR="00541D05">
        <w:t xml:space="preserve"> </w:t>
      </w:r>
      <w:r w:rsidR="00D9258C" w:rsidRPr="00FD6A6A">
        <w:t>power.</w:t>
      </w:r>
      <w:r w:rsidR="00541D05">
        <w:t xml:space="preserve"> </w:t>
      </w:r>
      <w:r w:rsidR="00D9258C" w:rsidRPr="00FD6A6A">
        <w:t>Some</w:t>
      </w:r>
      <w:r w:rsidR="00541D05">
        <w:t xml:space="preserve"> </w:t>
      </w:r>
      <w:r w:rsidR="00D9258C" w:rsidRPr="00FD6A6A">
        <w:t>states</w:t>
      </w:r>
      <w:r w:rsidR="00541D05">
        <w:t xml:space="preserve"> </w:t>
      </w:r>
      <w:r w:rsidR="00D9258C" w:rsidRPr="00FD6A6A">
        <w:t>created</w:t>
      </w:r>
      <w:r w:rsidR="00541D05">
        <w:t xml:space="preserve"> </w:t>
      </w:r>
      <w:r w:rsidR="00D9258C" w:rsidRPr="00FD6A6A">
        <w:t>committees</w:t>
      </w:r>
      <w:r w:rsidR="00541D05">
        <w:t xml:space="preserve"> </w:t>
      </w:r>
      <w:r w:rsidR="00D9258C" w:rsidRPr="00FD6A6A">
        <w:t>with</w:t>
      </w:r>
      <w:r w:rsidR="00541D05">
        <w:t xml:space="preserve"> </w:t>
      </w:r>
      <w:r w:rsidR="00D9258C" w:rsidRPr="00FD6A6A">
        <w:t>a</w:t>
      </w:r>
      <w:r w:rsidR="00541D05">
        <w:t xml:space="preserve"> </w:t>
      </w:r>
      <w:r w:rsidR="00D9258C" w:rsidRPr="00FD6A6A">
        <w:t>structure</w:t>
      </w:r>
      <w:r w:rsidR="00541D05">
        <w:t xml:space="preserve"> </w:t>
      </w:r>
      <w:r w:rsidR="00D9258C" w:rsidRPr="00FD6A6A">
        <w:t>similar</w:t>
      </w:r>
      <w:r w:rsidR="00541D05">
        <w:t xml:space="preserve"> </w:t>
      </w:r>
      <w:r w:rsidR="00D9258C" w:rsidRPr="00FD6A6A">
        <w:t>to</w:t>
      </w:r>
      <w:r w:rsidR="00541D05">
        <w:t xml:space="preserve"> </w:t>
      </w:r>
      <w:r w:rsidR="00D9258C" w:rsidRPr="00FD6A6A">
        <w:t>the</w:t>
      </w:r>
      <w:r w:rsidR="00541D05">
        <w:t xml:space="preserve"> </w:t>
      </w:r>
      <w:r w:rsidR="00D9258C" w:rsidRPr="00FD6A6A">
        <w:t>National</w:t>
      </w:r>
      <w:r w:rsidR="00541D05">
        <w:t xml:space="preserve"> </w:t>
      </w:r>
      <w:r w:rsidR="00D9258C" w:rsidRPr="00FD6A6A">
        <w:t>Committee,</w:t>
      </w:r>
      <w:r w:rsidR="00541D05">
        <w:t xml:space="preserve"> </w:t>
      </w:r>
      <w:r w:rsidR="00D9258C" w:rsidRPr="00FD6A6A">
        <w:t>to</w:t>
      </w:r>
      <w:r w:rsidR="00541D05">
        <w:t xml:space="preserve"> </w:t>
      </w:r>
      <w:r w:rsidR="00D9258C" w:rsidRPr="00FD6A6A">
        <w:t>guide</w:t>
      </w:r>
      <w:r w:rsidR="00541D05">
        <w:t xml:space="preserve"> </w:t>
      </w:r>
      <w:r w:rsidR="00D9258C" w:rsidRPr="00FD6A6A">
        <w:t>public</w:t>
      </w:r>
      <w:r w:rsidR="00541D05">
        <w:t xml:space="preserve"> </w:t>
      </w:r>
      <w:r w:rsidR="00D9258C" w:rsidRPr="00FD6A6A">
        <w:t>officials</w:t>
      </w:r>
      <w:r w:rsidR="00541D05">
        <w:t xml:space="preserve"> </w:t>
      </w:r>
      <w:r w:rsidR="00D9258C" w:rsidRPr="00FD6A6A">
        <w:t>at</w:t>
      </w:r>
      <w:r w:rsidR="00541D05">
        <w:t xml:space="preserve"> </w:t>
      </w:r>
      <w:r w:rsidR="00D9258C" w:rsidRPr="00FD6A6A">
        <w:t>a</w:t>
      </w:r>
      <w:r w:rsidR="00541D05">
        <w:t xml:space="preserve"> </w:t>
      </w:r>
      <w:r w:rsidR="00D9258C" w:rsidRPr="00FD6A6A">
        <w:t>local</w:t>
      </w:r>
      <w:r w:rsidR="00541D05">
        <w:t xml:space="preserve"> </w:t>
      </w:r>
      <w:r w:rsidR="00D9258C" w:rsidRPr="00FD6A6A">
        <w:t>level</w:t>
      </w:r>
      <w:r w:rsidR="00541D05">
        <w:t xml:space="preserve"> </w:t>
      </w:r>
      <w:r w:rsidR="00D9258C" w:rsidRPr="00FD6A6A">
        <w:t>with</w:t>
      </w:r>
      <w:r w:rsidR="00541D05">
        <w:t xml:space="preserve"> </w:t>
      </w:r>
      <w:r w:rsidR="00D9258C" w:rsidRPr="00FD6A6A">
        <w:t>respect</w:t>
      </w:r>
      <w:r w:rsidR="00541D05">
        <w:t xml:space="preserve"> </w:t>
      </w:r>
      <w:r w:rsidR="00D9258C" w:rsidRPr="00FD6A6A">
        <w:t>to</w:t>
      </w:r>
      <w:r w:rsidR="00541D05">
        <w:t xml:space="preserve"> </w:t>
      </w:r>
      <w:r w:rsidR="00D9258C" w:rsidRPr="00FD6A6A">
        <w:t>cross-sectional</w:t>
      </w:r>
      <w:r w:rsidR="00541D05">
        <w:t xml:space="preserve"> </w:t>
      </w:r>
      <w:r w:rsidR="00D9258C" w:rsidRPr="00FD6A6A">
        <w:t>actions</w:t>
      </w:r>
      <w:r w:rsidR="00541D05">
        <w:t xml:space="preserve"> </w:t>
      </w:r>
      <w:r w:rsidR="00D9258C" w:rsidRPr="00FD6A6A">
        <w:t>to</w:t>
      </w:r>
      <w:r w:rsidR="00541D05">
        <w:t xml:space="preserve"> </w:t>
      </w:r>
      <w:r w:rsidR="00D9258C" w:rsidRPr="00FD6A6A">
        <w:t>ensure</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rights</w:t>
      </w:r>
      <w:r w:rsidR="00541D05">
        <w:t xml:space="preserve"> </w:t>
      </w:r>
      <w:r w:rsidR="00D9258C" w:rsidRPr="00FD6A6A">
        <w:t>through</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p>
    <w:p w14:paraId="2077DE0B" w14:textId="38DABE35" w:rsidR="00D9258C" w:rsidRPr="00FD6A6A" w:rsidRDefault="00166390" w:rsidP="00166390">
      <w:pPr>
        <w:pStyle w:val="ParaNoG"/>
        <w:numPr>
          <w:ilvl w:val="0"/>
          <w:numId w:val="0"/>
        </w:numPr>
        <w:tabs>
          <w:tab w:val="left" w:pos="0"/>
        </w:tabs>
        <w:ind w:left="1134"/>
      </w:pPr>
      <w:r w:rsidRPr="00FD6A6A">
        <w:t>181.</w:t>
      </w:r>
      <w:r w:rsidRPr="00FD6A6A">
        <w:tab/>
      </w:r>
      <w:r w:rsidR="00D9258C" w:rsidRPr="00FD6A6A">
        <w:t>Data</w:t>
      </w:r>
      <w:r w:rsidR="00541D05">
        <w:t xml:space="preserve"> </w:t>
      </w:r>
      <w:r w:rsidR="00D9258C" w:rsidRPr="00FD6A6A">
        <w:t>provided</w:t>
      </w:r>
      <w:r w:rsidR="00541D05">
        <w:t xml:space="preserve"> </w:t>
      </w:r>
      <w:r w:rsidR="00D9258C" w:rsidRPr="00FD6A6A">
        <w:t>by</w:t>
      </w:r>
      <w:r w:rsidR="00541D05">
        <w:t xml:space="preserve"> </w:t>
      </w:r>
      <w:r w:rsidR="00D9258C" w:rsidRPr="00FD6A6A">
        <w:t>CONARE</w:t>
      </w:r>
      <w:r w:rsidR="00541D05">
        <w:t xml:space="preserve"> </w:t>
      </w:r>
      <w:r w:rsidR="00D9258C" w:rsidRPr="00FD6A6A">
        <w:t>enabled</w:t>
      </w:r>
      <w:r w:rsidR="00541D05">
        <w:t xml:space="preserve"> </w:t>
      </w:r>
      <w:r w:rsidR="00D9258C" w:rsidRPr="00FD6A6A">
        <w:t>the</w:t>
      </w:r>
      <w:r w:rsidR="00541D05">
        <w:t xml:space="preserve"> </w:t>
      </w:r>
      <w:r w:rsidR="00D9258C" w:rsidRPr="00FD6A6A">
        <w:t>establishment</w:t>
      </w:r>
      <w:r w:rsidR="00541D05">
        <w:t xml:space="preserve"> </w:t>
      </w:r>
      <w:r w:rsidR="00D9258C" w:rsidRPr="00FD6A6A">
        <w:t>of</w:t>
      </w:r>
      <w:r w:rsidR="00541D05">
        <w:t xml:space="preserve"> </w:t>
      </w:r>
      <w:r w:rsidR="00D9258C" w:rsidRPr="00FD6A6A">
        <w:t>a</w:t>
      </w:r>
      <w:r w:rsidR="00541D05">
        <w:t xml:space="preserve"> </w:t>
      </w:r>
      <w:r w:rsidR="00D9258C" w:rsidRPr="00FD6A6A">
        <w:t>socio-demographic</w:t>
      </w:r>
      <w:r w:rsidR="00541D05">
        <w:t xml:space="preserve"> </w:t>
      </w:r>
      <w:r w:rsidR="00D9258C" w:rsidRPr="00FD6A6A">
        <w:t>profile</w:t>
      </w:r>
      <w:r w:rsidR="00541D05">
        <w:t xml:space="preserve"> </w:t>
      </w:r>
      <w:r w:rsidR="00D9258C" w:rsidRPr="00FD6A6A">
        <w:t>of</w:t>
      </w:r>
      <w:r w:rsidR="00541D05">
        <w:t xml:space="preserve"> </w:t>
      </w:r>
      <w:r w:rsidR="00D9258C" w:rsidRPr="00FD6A6A">
        <w:t>refugees,</w:t>
      </w:r>
      <w:r w:rsidR="00541D05">
        <w:t xml:space="preserve"> </w:t>
      </w:r>
      <w:r w:rsidR="00D9258C" w:rsidRPr="00FD6A6A">
        <w:t>contributing</w:t>
      </w:r>
      <w:r w:rsidR="00541D05">
        <w:t xml:space="preserve"> </w:t>
      </w:r>
      <w:r w:rsidR="00D9258C" w:rsidRPr="00FD6A6A">
        <w:t>to</w:t>
      </w:r>
      <w:r w:rsidR="00541D05">
        <w:t xml:space="preserve"> </w:t>
      </w:r>
      <w:r w:rsidR="00D9258C" w:rsidRPr="00FD6A6A">
        <w:t>enhancement</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r w:rsidR="00541D05">
        <w:t xml:space="preserve"> </w:t>
      </w:r>
      <w:r w:rsidR="00D9258C" w:rsidRPr="00FD6A6A">
        <w:t>directed</w:t>
      </w:r>
      <w:r w:rsidR="00541D05">
        <w:t xml:space="preserve"> </w:t>
      </w:r>
      <w:r w:rsidR="00D9258C" w:rsidRPr="00FD6A6A">
        <w:t>to</w:t>
      </w:r>
      <w:r w:rsidR="00541D05">
        <w:t xml:space="preserve"> </w:t>
      </w:r>
      <w:r w:rsidR="00D9258C" w:rsidRPr="00FD6A6A">
        <w:t>this</w:t>
      </w:r>
      <w:r w:rsidR="00541D05">
        <w:t xml:space="preserve"> </w:t>
      </w:r>
      <w:r w:rsidR="00D9258C" w:rsidRPr="00FD6A6A">
        <w:t>group.</w:t>
      </w:r>
      <w:r w:rsidR="00541D05">
        <w:t xml:space="preserve"> </w:t>
      </w:r>
      <w:r w:rsidR="00D9258C" w:rsidRPr="00FD6A6A">
        <w:t>A</w:t>
      </w:r>
      <w:r w:rsidR="00541D05">
        <w:t xml:space="preserve"> </w:t>
      </w:r>
      <w:r w:rsidR="00D9258C" w:rsidRPr="00FD6A6A">
        <w:t>report</w:t>
      </w:r>
      <w:r w:rsidR="00541D05">
        <w:t xml:space="preserve"> </w:t>
      </w:r>
      <w:r w:rsidR="00D9258C" w:rsidRPr="00FD6A6A">
        <w:t>published</w:t>
      </w:r>
      <w:r w:rsidR="00541D05">
        <w:t xml:space="preserve"> </w:t>
      </w:r>
      <w:r w:rsidR="00D9258C" w:rsidRPr="00FD6A6A">
        <w:t>by</w:t>
      </w:r>
      <w:r w:rsidR="00541D05">
        <w:t xml:space="preserve"> </w:t>
      </w:r>
      <w:r w:rsidR="00D9258C" w:rsidRPr="00FD6A6A">
        <w:t>the</w:t>
      </w:r>
      <w:r w:rsidR="00541D05">
        <w:t xml:space="preserve"> </w:t>
      </w:r>
      <w:r w:rsidR="00D9258C" w:rsidRPr="00FD6A6A">
        <w:t>Committee</w:t>
      </w:r>
      <w:r w:rsidR="00541D05">
        <w:t xml:space="preserve"> </w:t>
      </w:r>
      <w:r w:rsidR="00D9258C" w:rsidRPr="00FD6A6A">
        <w:t>points</w:t>
      </w:r>
      <w:r w:rsidR="00541D05">
        <w:t xml:space="preserve"> </w:t>
      </w:r>
      <w:r w:rsidR="00D9258C" w:rsidRPr="00FD6A6A">
        <w:t>out</w:t>
      </w:r>
      <w:r w:rsidR="00541D05">
        <w:t xml:space="preserve"> </w:t>
      </w:r>
      <w:r w:rsidR="00D9258C" w:rsidRPr="00FD6A6A">
        <w:t>that,</w:t>
      </w:r>
      <w:r w:rsidR="00541D05">
        <w:t xml:space="preserve"> </w:t>
      </w:r>
      <w:r w:rsidR="00D9258C" w:rsidRPr="00FD6A6A">
        <w:t>in</w:t>
      </w:r>
      <w:r w:rsidR="00541D05">
        <w:t xml:space="preserve"> </w:t>
      </w:r>
      <w:r w:rsidR="00D9258C" w:rsidRPr="00FD6A6A">
        <w:t>2017,</w:t>
      </w:r>
      <w:r w:rsidR="00541D05">
        <w:t xml:space="preserve"> </w:t>
      </w:r>
      <w:r w:rsidR="00D9258C" w:rsidRPr="00FD6A6A">
        <w:t>Brazil</w:t>
      </w:r>
      <w:r w:rsidR="00541D05">
        <w:t xml:space="preserve"> </w:t>
      </w:r>
      <w:r w:rsidR="00D9258C" w:rsidRPr="00FD6A6A">
        <w:t>recognized</w:t>
      </w:r>
      <w:r w:rsidR="00541D05">
        <w:t xml:space="preserve"> </w:t>
      </w:r>
      <w:r w:rsidR="00D9258C" w:rsidRPr="00FD6A6A">
        <w:t>587</w:t>
      </w:r>
      <w:r w:rsidR="00541D05">
        <w:t xml:space="preserve"> </w:t>
      </w:r>
      <w:r w:rsidR="00D9258C" w:rsidRPr="00FD6A6A">
        <w:t>refugees,</w:t>
      </w:r>
      <w:r w:rsidR="00541D05">
        <w:t xml:space="preserve"> </w:t>
      </w:r>
      <w:r w:rsidR="00D9258C" w:rsidRPr="00FD6A6A">
        <w:t>of</w:t>
      </w:r>
      <w:r w:rsidR="00541D05">
        <w:t xml:space="preserve"> </w:t>
      </w:r>
      <w:r w:rsidR="00D9258C" w:rsidRPr="00FD6A6A">
        <w:t>which</w:t>
      </w:r>
      <w:r w:rsidR="00541D05">
        <w:t xml:space="preserve"> </w:t>
      </w:r>
      <w:r w:rsidR="00D9258C" w:rsidRPr="00FD6A6A">
        <w:t>53%</w:t>
      </w:r>
      <w:r w:rsidR="00541D05">
        <w:t xml:space="preserve"> </w:t>
      </w:r>
      <w:r w:rsidR="00D9258C" w:rsidRPr="00FD6A6A">
        <w:t>came</w:t>
      </w:r>
      <w:r w:rsidR="00541D05">
        <w:t xml:space="preserve"> </w:t>
      </w:r>
      <w:r w:rsidR="00D9258C" w:rsidRPr="00FD6A6A">
        <w:t>from</w:t>
      </w:r>
      <w:r w:rsidR="00541D05">
        <w:t xml:space="preserve"> </w:t>
      </w:r>
      <w:r w:rsidR="00D9258C" w:rsidRPr="00FD6A6A">
        <w:t>Syria,</w:t>
      </w:r>
      <w:r w:rsidR="00541D05">
        <w:t xml:space="preserve"> </w:t>
      </w:r>
      <w:r w:rsidR="00D9258C" w:rsidRPr="00FD6A6A">
        <w:t>and</w:t>
      </w:r>
      <w:r w:rsidR="00541D05">
        <w:t xml:space="preserve"> </w:t>
      </w:r>
      <w:r w:rsidR="00D9258C" w:rsidRPr="00FD6A6A">
        <w:t>33,866</w:t>
      </w:r>
      <w:r w:rsidR="00541D05">
        <w:t xml:space="preserve"> </w:t>
      </w:r>
      <w:r w:rsidR="00D9258C" w:rsidRPr="00FD6A6A">
        <w:t>requests</w:t>
      </w:r>
      <w:r w:rsidR="00541D05">
        <w:t xml:space="preserve"> </w:t>
      </w:r>
      <w:r w:rsidR="00D9258C" w:rsidRPr="00FD6A6A">
        <w:t>for</w:t>
      </w:r>
      <w:r w:rsidR="00541D05">
        <w:t xml:space="preserve"> </w:t>
      </w:r>
      <w:r w:rsidR="00D9258C" w:rsidRPr="00FD6A6A">
        <w:t>recognition</w:t>
      </w:r>
      <w:r w:rsidR="00541D05">
        <w:t xml:space="preserve"> </w:t>
      </w:r>
      <w:r w:rsidR="00D9258C" w:rsidRPr="00FD6A6A">
        <w:t>of</w:t>
      </w:r>
      <w:r w:rsidR="00541D05">
        <w:t xml:space="preserve"> </w:t>
      </w:r>
      <w:r w:rsidR="00D9258C" w:rsidRPr="00FD6A6A">
        <w:t>refugee</w:t>
      </w:r>
      <w:r w:rsidR="00541D05">
        <w:t xml:space="preserve"> </w:t>
      </w:r>
      <w:r w:rsidR="00D9258C" w:rsidRPr="00FD6A6A">
        <w:t>status</w:t>
      </w:r>
      <w:r w:rsidR="00541D05">
        <w:t xml:space="preserve"> </w:t>
      </w:r>
      <w:r w:rsidR="00D9258C" w:rsidRPr="00FD6A6A">
        <w:t>were</w:t>
      </w:r>
      <w:r w:rsidR="00541D05">
        <w:t xml:space="preserve"> </w:t>
      </w:r>
      <w:r w:rsidR="00D9258C" w:rsidRPr="00FD6A6A">
        <w:t>submitted,</w:t>
      </w:r>
      <w:r w:rsidR="00541D05">
        <w:t xml:space="preserve"> </w:t>
      </w:r>
      <w:r w:rsidR="00D9258C" w:rsidRPr="00FD6A6A">
        <w:t>of</w:t>
      </w:r>
      <w:r w:rsidR="00541D05">
        <w:t xml:space="preserve"> </w:t>
      </w:r>
      <w:r w:rsidR="00D9258C" w:rsidRPr="00FD6A6A">
        <w:t>which</w:t>
      </w:r>
      <w:r w:rsidR="00541D05">
        <w:t xml:space="preserve"> </w:t>
      </w:r>
      <w:r w:rsidR="00D9258C" w:rsidRPr="00FD6A6A">
        <w:t>53%</w:t>
      </w:r>
      <w:r w:rsidR="00541D05">
        <w:t xml:space="preserve"> </w:t>
      </w:r>
      <w:r w:rsidR="00D9258C" w:rsidRPr="00FD6A6A">
        <w:t>were</w:t>
      </w:r>
      <w:r w:rsidR="00541D05">
        <w:t xml:space="preserve"> </w:t>
      </w:r>
      <w:r w:rsidR="00D9258C" w:rsidRPr="00FD6A6A">
        <w:t>submitted</w:t>
      </w:r>
      <w:r w:rsidR="00541D05">
        <w:t xml:space="preserve"> </w:t>
      </w:r>
      <w:r w:rsidR="00D9258C" w:rsidRPr="00FD6A6A">
        <w:t>by</w:t>
      </w:r>
      <w:r w:rsidR="00541D05">
        <w:t xml:space="preserve"> </w:t>
      </w:r>
      <w:r w:rsidR="00D9258C" w:rsidRPr="00FD6A6A">
        <w:t>Venezuelans.</w:t>
      </w:r>
      <w:r w:rsidR="00541D05">
        <w:t xml:space="preserve"> </w:t>
      </w:r>
      <w:r w:rsidR="00D9258C" w:rsidRPr="00FD6A6A">
        <w:t>Moreover,</w:t>
      </w:r>
      <w:r w:rsidR="00541D05">
        <w:t xml:space="preserve"> </w:t>
      </w:r>
      <w:r w:rsidR="00D9258C" w:rsidRPr="00FD6A6A">
        <w:t>there</w:t>
      </w:r>
      <w:r w:rsidR="00541D05">
        <w:t xml:space="preserve"> </w:t>
      </w:r>
      <w:r w:rsidR="00D9258C" w:rsidRPr="00FD6A6A">
        <w:t>were</w:t>
      </w:r>
      <w:r w:rsidR="00541D05">
        <w:t xml:space="preserve"> </w:t>
      </w:r>
      <w:r w:rsidR="00D9258C" w:rsidRPr="00FD6A6A">
        <w:t>86,007</w:t>
      </w:r>
      <w:r w:rsidR="00541D05">
        <w:t xml:space="preserve"> </w:t>
      </w:r>
      <w:r w:rsidR="00D9258C" w:rsidRPr="00FD6A6A">
        <w:t>requests</w:t>
      </w:r>
      <w:r w:rsidR="00541D05">
        <w:t xml:space="preserve"> </w:t>
      </w:r>
      <w:r w:rsidR="00D9258C" w:rsidRPr="00FD6A6A">
        <w:t>for</w:t>
      </w:r>
      <w:r w:rsidR="00541D05">
        <w:t xml:space="preserve"> </w:t>
      </w:r>
      <w:r w:rsidR="00D9258C" w:rsidRPr="00FD6A6A">
        <w:t>recognition</w:t>
      </w:r>
      <w:r w:rsidR="00541D05">
        <w:t xml:space="preserve"> </w:t>
      </w:r>
      <w:r w:rsidR="00D9258C" w:rsidRPr="00FD6A6A">
        <w:t>of</w:t>
      </w:r>
      <w:r w:rsidR="00541D05">
        <w:t xml:space="preserve"> </w:t>
      </w:r>
      <w:r w:rsidR="00D9258C" w:rsidRPr="00FD6A6A">
        <w:t>refugee</w:t>
      </w:r>
      <w:r w:rsidR="00541D05">
        <w:t xml:space="preserve"> </w:t>
      </w:r>
      <w:r w:rsidR="00D9258C" w:rsidRPr="00FD6A6A">
        <w:t>status</w:t>
      </w:r>
      <w:r w:rsidR="00541D05">
        <w:t xml:space="preserve"> </w:t>
      </w:r>
      <w:r w:rsidR="00D9258C" w:rsidRPr="00FD6A6A">
        <w:t>still</w:t>
      </w:r>
      <w:r w:rsidR="00541D05">
        <w:t xml:space="preserve"> </w:t>
      </w:r>
      <w:r w:rsidR="00D9258C" w:rsidRPr="00FD6A6A">
        <w:t>being</w:t>
      </w:r>
      <w:r w:rsidR="00541D05">
        <w:t xml:space="preserve"> </w:t>
      </w:r>
      <w:r w:rsidR="00D9258C" w:rsidRPr="00FD6A6A">
        <w:t>processed.</w:t>
      </w:r>
    </w:p>
    <w:p w14:paraId="318E16ED" w14:textId="2A527838" w:rsidR="00D9258C" w:rsidRPr="00FD6A6A" w:rsidRDefault="00166390" w:rsidP="00166390">
      <w:pPr>
        <w:pStyle w:val="ParaNoG"/>
        <w:numPr>
          <w:ilvl w:val="0"/>
          <w:numId w:val="0"/>
        </w:numPr>
        <w:tabs>
          <w:tab w:val="left" w:pos="0"/>
        </w:tabs>
        <w:ind w:left="1134"/>
      </w:pPr>
      <w:r w:rsidRPr="00FD6A6A">
        <w:t>182.</w:t>
      </w:r>
      <w:r w:rsidRPr="00FD6A6A">
        <w:tab/>
      </w:r>
      <w:r w:rsidR="00D9258C" w:rsidRPr="00FD6A6A">
        <w:t>From</w:t>
      </w:r>
      <w:r w:rsidR="00541D05">
        <w:t xml:space="preserve"> </w:t>
      </w:r>
      <w:r w:rsidR="00D9258C" w:rsidRPr="00FD6A6A">
        <w:t>2011</w:t>
      </w:r>
      <w:r w:rsidR="00541D05">
        <w:t xml:space="preserve"> </w:t>
      </w:r>
      <w:r w:rsidR="00D9258C" w:rsidRPr="00FD6A6A">
        <w:t>until</w:t>
      </w:r>
      <w:r w:rsidR="00541D05">
        <w:t xml:space="preserve"> </w:t>
      </w:r>
      <w:r w:rsidR="00D9258C" w:rsidRPr="00FD6A6A">
        <w:t>2018,</w:t>
      </w:r>
      <w:r w:rsidR="00541D05">
        <w:t xml:space="preserve"> </w:t>
      </w:r>
      <w:r w:rsidR="00D9258C" w:rsidRPr="00FD6A6A">
        <w:t>Brazil</w:t>
      </w:r>
      <w:r w:rsidR="00541D05">
        <w:t xml:space="preserve"> </w:t>
      </w:r>
      <w:r w:rsidR="00D9258C" w:rsidRPr="00FD6A6A">
        <w:t>has</w:t>
      </w:r>
      <w:r w:rsidR="00541D05">
        <w:t xml:space="preserve"> </w:t>
      </w:r>
      <w:r w:rsidR="00D9258C" w:rsidRPr="00FD6A6A">
        <w:t>received</w:t>
      </w:r>
      <w:r w:rsidR="00541D05">
        <w:t xml:space="preserve"> </w:t>
      </w:r>
      <w:r w:rsidR="00D9258C" w:rsidRPr="00FD6A6A">
        <w:t>126,102</w:t>
      </w:r>
      <w:r w:rsidR="00541D05">
        <w:t xml:space="preserve"> </w:t>
      </w:r>
      <w:r w:rsidR="00D9258C" w:rsidRPr="00FD6A6A">
        <w:t>requests</w:t>
      </w:r>
      <w:r w:rsidR="00541D05">
        <w:t xml:space="preserve"> </w:t>
      </w:r>
      <w:r w:rsidR="00D9258C" w:rsidRPr="00FD6A6A">
        <w:t>for</w:t>
      </w:r>
      <w:r w:rsidR="00541D05">
        <w:t xml:space="preserve"> </w:t>
      </w:r>
      <w:r w:rsidR="00D9258C" w:rsidRPr="00FD6A6A">
        <w:t>recognition</w:t>
      </w:r>
      <w:r w:rsidR="00541D05">
        <w:t xml:space="preserve"> </w:t>
      </w:r>
      <w:r w:rsidR="00D9258C" w:rsidRPr="00FD6A6A">
        <w:t>of</w:t>
      </w:r>
      <w:r w:rsidR="00541D05">
        <w:t xml:space="preserve"> </w:t>
      </w:r>
      <w:r w:rsidR="00D9258C" w:rsidRPr="00FD6A6A">
        <w:t>refugee</w:t>
      </w:r>
      <w:r w:rsidR="00541D05">
        <w:t xml:space="preserve"> </w:t>
      </w:r>
      <w:r w:rsidR="00D9258C" w:rsidRPr="00FD6A6A">
        <w:t>status.</w:t>
      </w:r>
      <w:r w:rsidR="00541D05">
        <w:t xml:space="preserve"> </w:t>
      </w:r>
      <w:r w:rsidR="00D9258C" w:rsidRPr="00FD6A6A">
        <w:t>Before</w:t>
      </w:r>
      <w:r w:rsidR="00541D05">
        <w:t xml:space="preserve"> </w:t>
      </w:r>
      <w:r w:rsidR="00D9258C" w:rsidRPr="00FD6A6A">
        <w:t>the</w:t>
      </w:r>
      <w:r w:rsidR="00541D05">
        <w:t xml:space="preserve"> </w:t>
      </w:r>
      <w:r w:rsidR="00D9258C" w:rsidRPr="00FD6A6A">
        <w:t>recent</w:t>
      </w:r>
      <w:r w:rsidR="00541D05">
        <w:t xml:space="preserve"> </w:t>
      </w:r>
      <w:r w:rsidR="00D9258C" w:rsidRPr="00FD6A6A">
        <w:t>influx</w:t>
      </w:r>
      <w:r w:rsidR="00541D05">
        <w:t xml:space="preserve"> </w:t>
      </w:r>
      <w:r w:rsidR="00D9258C" w:rsidRPr="00FD6A6A">
        <w:t>of</w:t>
      </w:r>
      <w:r w:rsidR="00541D05">
        <w:t xml:space="preserve"> </w:t>
      </w:r>
      <w:r w:rsidR="00D9258C" w:rsidRPr="00FD6A6A">
        <w:t>Venezuelan</w:t>
      </w:r>
      <w:r w:rsidR="00541D05">
        <w:t xml:space="preserve"> </w:t>
      </w:r>
      <w:r w:rsidR="00D9258C" w:rsidRPr="00FD6A6A">
        <w:t>refugees,</w:t>
      </w:r>
      <w:r w:rsidR="00541D05">
        <w:t xml:space="preserve"> </w:t>
      </w:r>
      <w:r w:rsidR="00D9258C" w:rsidRPr="00FD6A6A">
        <w:t>Brazil</w:t>
      </w:r>
      <w:r w:rsidR="00541D05">
        <w:t xml:space="preserve"> </w:t>
      </w:r>
      <w:r w:rsidR="00D9258C" w:rsidRPr="00FD6A6A">
        <w:t>harbored</w:t>
      </w:r>
      <w:r w:rsidR="00541D05">
        <w:t xml:space="preserve"> </w:t>
      </w:r>
      <w:r w:rsidR="00D9258C" w:rsidRPr="00FD6A6A">
        <w:t>10,145</w:t>
      </w:r>
      <w:r w:rsidR="00541D05">
        <w:t xml:space="preserve"> </w:t>
      </w:r>
      <w:r w:rsidR="00D9258C" w:rsidRPr="00FD6A6A">
        <w:t>recognized</w:t>
      </w:r>
      <w:r w:rsidR="00541D05">
        <w:t xml:space="preserve"> </w:t>
      </w:r>
      <w:r w:rsidR="00D9258C" w:rsidRPr="00FD6A6A">
        <w:t>refugees,</w:t>
      </w:r>
      <w:r w:rsidR="00541D05">
        <w:t xml:space="preserve"> </w:t>
      </w:r>
      <w:r w:rsidR="00D9258C" w:rsidRPr="00FD6A6A">
        <w:t>of</w:t>
      </w:r>
      <w:r w:rsidR="00541D05">
        <w:t xml:space="preserve"> </w:t>
      </w:r>
      <w:r w:rsidR="00D9258C" w:rsidRPr="00FD6A6A">
        <w:t>which</w:t>
      </w:r>
      <w:r w:rsidR="00541D05">
        <w:t xml:space="preserve"> </w:t>
      </w:r>
      <w:r w:rsidR="00D9258C" w:rsidRPr="00FD6A6A">
        <w:t>35%</w:t>
      </w:r>
      <w:r w:rsidR="00541D05">
        <w:t xml:space="preserve"> </w:t>
      </w:r>
      <w:r w:rsidR="00D9258C" w:rsidRPr="00FD6A6A">
        <w:t>are</w:t>
      </w:r>
      <w:r w:rsidR="00541D05">
        <w:t xml:space="preserve"> </w:t>
      </w:r>
      <w:r w:rsidR="00D9258C" w:rsidRPr="00FD6A6A">
        <w:t>from</w:t>
      </w:r>
      <w:r w:rsidR="00541D05">
        <w:t xml:space="preserve"> </w:t>
      </w:r>
      <w:r w:rsidR="00D9258C" w:rsidRPr="00FD6A6A">
        <w:t>Syria,</w:t>
      </w:r>
      <w:r w:rsidR="00541D05">
        <w:t xml:space="preserve"> </w:t>
      </w:r>
      <w:r w:rsidR="00D9258C" w:rsidRPr="00FD6A6A">
        <w:t>13%</w:t>
      </w:r>
      <w:r w:rsidR="00541D05">
        <w:t xml:space="preserve"> </w:t>
      </w:r>
      <w:r w:rsidR="00D9258C" w:rsidRPr="00FD6A6A">
        <w:t>from</w:t>
      </w:r>
      <w:r w:rsidR="00541D05">
        <w:t xml:space="preserve"> </w:t>
      </w:r>
      <w:r w:rsidR="00D9258C" w:rsidRPr="00FD6A6A">
        <w:t>the</w:t>
      </w:r>
      <w:r w:rsidR="00541D05">
        <w:t xml:space="preserve"> </w:t>
      </w:r>
      <w:r w:rsidR="00D9258C" w:rsidRPr="00FD6A6A">
        <w:t>Democratic</w:t>
      </w:r>
      <w:r w:rsidR="00541D05">
        <w:t xml:space="preserve"> </w:t>
      </w:r>
      <w:r w:rsidR="00D9258C" w:rsidRPr="00FD6A6A">
        <w:t>Republic</w:t>
      </w:r>
      <w:r w:rsidR="00541D05">
        <w:t xml:space="preserve"> </w:t>
      </w:r>
      <w:r w:rsidR="00D9258C" w:rsidRPr="00FD6A6A">
        <w:t>of</w:t>
      </w:r>
      <w:r w:rsidR="00541D05">
        <w:t xml:space="preserve"> </w:t>
      </w:r>
      <w:r w:rsidR="00D9258C" w:rsidRPr="00FD6A6A">
        <w:t>Congo,</w:t>
      </w:r>
      <w:r w:rsidR="00541D05">
        <w:t xml:space="preserve"> </w:t>
      </w:r>
      <w:r w:rsidR="00D9258C" w:rsidRPr="00FD6A6A">
        <w:t>and</w:t>
      </w:r>
      <w:r w:rsidR="00541D05">
        <w:t xml:space="preserve"> </w:t>
      </w:r>
      <w:r w:rsidR="00D9258C" w:rsidRPr="00FD6A6A">
        <w:t>10%</w:t>
      </w:r>
      <w:r w:rsidR="00541D05">
        <w:t xml:space="preserve"> </w:t>
      </w:r>
      <w:r w:rsidR="00D9258C" w:rsidRPr="00FD6A6A">
        <w:t>from</w:t>
      </w:r>
      <w:r w:rsidR="00541D05">
        <w:t xml:space="preserve"> </w:t>
      </w:r>
      <w:r w:rsidR="00D9258C" w:rsidRPr="00FD6A6A">
        <w:t>Colombia.</w:t>
      </w:r>
      <w:r w:rsidR="00541D05">
        <w:t xml:space="preserve"> </w:t>
      </w:r>
      <w:r w:rsidR="00D9258C" w:rsidRPr="00FD6A6A">
        <w:t>The</w:t>
      </w:r>
      <w:r w:rsidR="00541D05">
        <w:t xml:space="preserve"> </w:t>
      </w:r>
      <w:r w:rsidR="00D9258C" w:rsidRPr="00FD6A6A">
        <w:t>recognized</w:t>
      </w:r>
      <w:r w:rsidR="00541D05">
        <w:t xml:space="preserve"> </w:t>
      </w:r>
      <w:r w:rsidR="00D9258C" w:rsidRPr="00FD6A6A">
        <w:t>refugees</w:t>
      </w:r>
      <w:r w:rsidR="00541D05">
        <w:t xml:space="preserve"> </w:t>
      </w:r>
      <w:r w:rsidR="00D9258C" w:rsidRPr="00FD6A6A">
        <w:t>are</w:t>
      </w:r>
      <w:r w:rsidR="00541D05">
        <w:t xml:space="preserve"> </w:t>
      </w:r>
      <w:r w:rsidR="00D9258C" w:rsidRPr="00FD6A6A">
        <w:t>mostly</w:t>
      </w:r>
      <w:r w:rsidR="00541D05">
        <w:t xml:space="preserve"> </w:t>
      </w:r>
      <w:r w:rsidR="00D9258C" w:rsidRPr="00FD6A6A">
        <w:t>male</w:t>
      </w:r>
      <w:r w:rsidR="00541D05">
        <w:t xml:space="preserve"> </w:t>
      </w:r>
      <w:r w:rsidR="00D9258C" w:rsidRPr="00FD6A6A">
        <w:t>–</w:t>
      </w:r>
      <w:r w:rsidR="00541D05">
        <w:t xml:space="preserve"> </w:t>
      </w:r>
      <w:r w:rsidR="00D9258C" w:rsidRPr="00FD6A6A">
        <w:t>70%</w:t>
      </w:r>
      <w:r w:rsidR="00541D05">
        <w:t xml:space="preserve"> </w:t>
      </w:r>
      <w:r w:rsidR="00D9258C" w:rsidRPr="00FD6A6A">
        <w:t>are</w:t>
      </w:r>
      <w:r w:rsidR="00541D05">
        <w:t xml:space="preserve"> </w:t>
      </w:r>
      <w:r w:rsidR="00D9258C" w:rsidRPr="00FD6A6A">
        <w:t>men</w:t>
      </w:r>
      <w:r w:rsidR="00541D05">
        <w:t xml:space="preserve"> </w:t>
      </w:r>
      <w:r w:rsidR="00D9258C" w:rsidRPr="00FD6A6A">
        <w:t>and</w:t>
      </w:r>
      <w:r w:rsidR="00541D05">
        <w:t xml:space="preserve"> </w:t>
      </w:r>
      <w:r w:rsidR="00D9258C" w:rsidRPr="00FD6A6A">
        <w:t>30%</w:t>
      </w:r>
      <w:r w:rsidR="00541D05">
        <w:t xml:space="preserve"> </w:t>
      </w:r>
      <w:r w:rsidR="00D9258C" w:rsidRPr="00FD6A6A">
        <w:t>are</w:t>
      </w:r>
      <w:r w:rsidR="00541D05">
        <w:t xml:space="preserve"> </w:t>
      </w:r>
      <w:r w:rsidR="00D9258C" w:rsidRPr="00FD6A6A">
        <w:t>women.</w:t>
      </w:r>
    </w:p>
    <w:p w14:paraId="33124E27" w14:textId="6209BADC" w:rsidR="00D9258C" w:rsidRPr="00FD6A6A" w:rsidRDefault="00166390" w:rsidP="00166390">
      <w:pPr>
        <w:pStyle w:val="ParaNoG"/>
        <w:numPr>
          <w:ilvl w:val="0"/>
          <w:numId w:val="0"/>
        </w:numPr>
        <w:tabs>
          <w:tab w:val="left" w:pos="0"/>
        </w:tabs>
        <w:ind w:left="1134"/>
      </w:pPr>
      <w:r w:rsidRPr="00FD6A6A">
        <w:t>183.</w:t>
      </w:r>
      <w:r w:rsidRPr="00FD6A6A">
        <w:tab/>
      </w:r>
      <w:r w:rsidR="00D9258C" w:rsidRPr="00FD6A6A">
        <w:t>Humanitarian</w:t>
      </w:r>
      <w:r w:rsidR="00541D05">
        <w:t xml:space="preserve"> </w:t>
      </w:r>
      <w:r w:rsidR="00D9258C" w:rsidRPr="00FD6A6A">
        <w:t>actions</w:t>
      </w:r>
      <w:r w:rsidR="00541D05">
        <w:t xml:space="preserve"> </w:t>
      </w:r>
      <w:r w:rsidR="00D9258C" w:rsidRPr="00FD6A6A">
        <w:t>to</w:t>
      </w:r>
      <w:r w:rsidR="00541D05">
        <w:t xml:space="preserve"> </w:t>
      </w:r>
      <w:r w:rsidR="00D9258C" w:rsidRPr="00FD6A6A">
        <w:t>assist</w:t>
      </w:r>
      <w:r w:rsidR="00541D05">
        <w:t xml:space="preserve"> </w:t>
      </w:r>
      <w:r w:rsidR="00D9258C" w:rsidRPr="00FD6A6A">
        <w:t>refugees</w:t>
      </w:r>
      <w:r w:rsidR="00541D05">
        <w:t xml:space="preserve"> </w:t>
      </w:r>
      <w:r w:rsidR="00D9258C" w:rsidRPr="00FD6A6A">
        <w:t>are</w:t>
      </w:r>
      <w:r w:rsidR="00541D05">
        <w:t xml:space="preserve"> </w:t>
      </w:r>
      <w:r w:rsidR="00D9258C" w:rsidRPr="00FD6A6A">
        <w:t>developed</w:t>
      </w:r>
      <w:r w:rsidR="00541D05">
        <w:t xml:space="preserve"> </w:t>
      </w:r>
      <w:r w:rsidR="00D9258C" w:rsidRPr="00FD6A6A">
        <w:t>through</w:t>
      </w:r>
      <w:r w:rsidR="00541D05">
        <w:t xml:space="preserve"> </w:t>
      </w:r>
      <w:r w:rsidR="00D9258C" w:rsidRPr="00FD6A6A">
        <w:t>a</w:t>
      </w:r>
      <w:r w:rsidR="00541D05">
        <w:t xml:space="preserve"> </w:t>
      </w:r>
      <w:r w:rsidR="00D9258C" w:rsidRPr="00FD6A6A">
        <w:t>partnership</w:t>
      </w:r>
      <w:r w:rsidR="00541D05">
        <w:t xml:space="preserve"> </w:t>
      </w:r>
      <w:r w:rsidR="00D9258C" w:rsidRPr="00FD6A6A">
        <w:t>between</w:t>
      </w:r>
      <w:r w:rsidR="00541D05">
        <w:t xml:space="preserve"> </w:t>
      </w:r>
      <w:r w:rsidR="00D9258C" w:rsidRPr="00FD6A6A">
        <w:t>governments</w:t>
      </w:r>
      <w:r w:rsidR="00541D05">
        <w:t xml:space="preserve"> </w:t>
      </w:r>
      <w:r w:rsidR="00D9258C" w:rsidRPr="00FD6A6A">
        <w:t>and</w:t>
      </w:r>
      <w:r w:rsidR="00541D05">
        <w:t xml:space="preserve"> </w:t>
      </w:r>
      <w:r w:rsidR="00D9258C" w:rsidRPr="00FD6A6A">
        <w:t>civil</w:t>
      </w:r>
      <w:r w:rsidR="00541D05">
        <w:t xml:space="preserve"> </w:t>
      </w:r>
      <w:r w:rsidR="00D9258C" w:rsidRPr="00FD6A6A">
        <w:t>society</w:t>
      </w:r>
      <w:r w:rsidR="00541D05">
        <w:t xml:space="preserve"> </w:t>
      </w:r>
      <w:r w:rsidR="00D9258C" w:rsidRPr="00FD6A6A">
        <w:t>organizations.</w:t>
      </w:r>
      <w:r w:rsidR="00541D05">
        <w:t xml:space="preserve"> </w:t>
      </w:r>
      <w:r w:rsidR="00D9258C" w:rsidRPr="00FD6A6A">
        <w:t>The</w:t>
      </w:r>
      <w:r w:rsidR="00541D05">
        <w:t xml:space="preserve"> </w:t>
      </w:r>
      <w:r w:rsidR="00D9258C" w:rsidRPr="00FD6A6A">
        <w:t>Brazilian</w:t>
      </w:r>
      <w:r w:rsidR="00541D05">
        <w:t xml:space="preserve"> </w:t>
      </w:r>
      <w:r w:rsidR="00D9258C" w:rsidRPr="00FD6A6A">
        <w:t>Government</w:t>
      </w:r>
      <w:r w:rsidR="00541D05">
        <w:t xml:space="preserve"> </w:t>
      </w:r>
      <w:r w:rsidR="00D9258C" w:rsidRPr="00FD6A6A">
        <w:t>provides</w:t>
      </w:r>
      <w:r w:rsidR="00541D05">
        <w:t xml:space="preserve"> </w:t>
      </w:r>
      <w:r w:rsidR="00D9258C" w:rsidRPr="00FD6A6A">
        <w:t>resources</w:t>
      </w:r>
      <w:r w:rsidR="00541D05">
        <w:t xml:space="preserve"> </w:t>
      </w:r>
      <w:r w:rsidR="00D9258C" w:rsidRPr="00FD6A6A">
        <w:t>to</w:t>
      </w:r>
      <w:r w:rsidR="00541D05">
        <w:t xml:space="preserve"> </w:t>
      </w:r>
      <w:r w:rsidR="00D9258C" w:rsidRPr="00FD6A6A">
        <w:t>ensure</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refugees</w:t>
      </w:r>
      <w:r w:rsidR="00541D05">
        <w:t xml:space="preserve"> </w:t>
      </w:r>
      <w:r w:rsidR="00D9258C" w:rsidRPr="00FD6A6A">
        <w:t>through</w:t>
      </w:r>
      <w:r w:rsidR="00541D05">
        <w:t xml:space="preserve"> </w:t>
      </w:r>
      <w:r w:rsidR="00D9258C" w:rsidRPr="00FD6A6A">
        <w:t>agreements</w:t>
      </w:r>
      <w:r w:rsidR="00541D05">
        <w:t xml:space="preserve"> </w:t>
      </w:r>
      <w:r w:rsidR="00D9258C" w:rsidRPr="00FD6A6A">
        <w:t>entered</w:t>
      </w:r>
      <w:r w:rsidR="00541D05">
        <w:t xml:space="preserve"> </w:t>
      </w:r>
      <w:r w:rsidR="00D9258C" w:rsidRPr="00FD6A6A">
        <w:t>into</w:t>
      </w:r>
      <w:r w:rsidR="00541D05">
        <w:t xml:space="preserve"> </w:t>
      </w:r>
      <w:r w:rsidR="00D9258C" w:rsidRPr="00FD6A6A">
        <w:t>with</w:t>
      </w:r>
      <w:r w:rsidR="00541D05">
        <w:t xml:space="preserve"> </w:t>
      </w:r>
      <w:r w:rsidR="00D9258C" w:rsidRPr="00FD6A6A">
        <w:t>the</w:t>
      </w:r>
      <w:r w:rsidR="00541D05">
        <w:t xml:space="preserve"> </w:t>
      </w:r>
      <w:r w:rsidR="00D9258C" w:rsidRPr="00FD6A6A">
        <w:t>UNHCR</w:t>
      </w:r>
      <w:r w:rsidR="00541D05">
        <w:t xml:space="preserve"> </w:t>
      </w:r>
      <w:r w:rsidR="00D9258C" w:rsidRPr="00FD6A6A">
        <w:t>and</w:t>
      </w:r>
      <w:r w:rsidR="00541D05">
        <w:t xml:space="preserve"> </w:t>
      </w:r>
      <w:r w:rsidR="00D9258C" w:rsidRPr="00FD6A6A">
        <w:t>civil</w:t>
      </w:r>
      <w:r w:rsidR="00541D05">
        <w:t xml:space="preserve"> </w:t>
      </w:r>
      <w:r w:rsidR="00D9258C" w:rsidRPr="00FD6A6A">
        <w:t>society</w:t>
      </w:r>
      <w:r w:rsidR="00541D05">
        <w:t xml:space="preserve"> </w:t>
      </w:r>
      <w:r w:rsidR="00D9258C" w:rsidRPr="00FD6A6A">
        <w:t>organizations,</w:t>
      </w:r>
      <w:r w:rsidR="00541D05">
        <w:t xml:space="preserve"> </w:t>
      </w:r>
      <w:r w:rsidR="00D9258C" w:rsidRPr="00FD6A6A">
        <w:t>which</w:t>
      </w:r>
      <w:r w:rsidR="00541D05">
        <w:t xml:space="preserve"> </w:t>
      </w:r>
      <w:r w:rsidR="00D9258C" w:rsidRPr="00FD6A6A">
        <w:t>develop</w:t>
      </w:r>
      <w:r w:rsidR="00541D05">
        <w:t xml:space="preserve"> </w:t>
      </w:r>
      <w:r w:rsidR="00D9258C" w:rsidRPr="00FD6A6A">
        <w:t>actions</w:t>
      </w:r>
      <w:r w:rsidR="00541D05">
        <w:t xml:space="preserve"> </w:t>
      </w:r>
      <w:r w:rsidR="00D9258C" w:rsidRPr="00FD6A6A">
        <w:t>to</w:t>
      </w:r>
      <w:r w:rsidR="00541D05">
        <w:t xml:space="preserve"> </w:t>
      </w:r>
      <w:r w:rsidR="00D9258C" w:rsidRPr="00FD6A6A">
        <w:t>meet</w:t>
      </w:r>
      <w:r w:rsidR="00541D05">
        <w:t xml:space="preserve"> </w:t>
      </w:r>
      <w:r w:rsidR="00D9258C" w:rsidRPr="00FD6A6A">
        <w:t>the</w:t>
      </w:r>
      <w:r w:rsidR="00541D05">
        <w:t xml:space="preserve"> </w:t>
      </w:r>
      <w:r w:rsidR="00D9258C" w:rsidRPr="00FD6A6A">
        <w:t>immediate</w:t>
      </w:r>
      <w:r w:rsidR="00541D05">
        <w:t xml:space="preserve"> </w:t>
      </w:r>
      <w:r w:rsidR="00D9258C" w:rsidRPr="00FD6A6A">
        <w:t>needs</w:t>
      </w:r>
      <w:r w:rsidR="00541D05">
        <w:t xml:space="preserve"> </w:t>
      </w:r>
      <w:r w:rsidR="00D9258C" w:rsidRPr="00FD6A6A">
        <w:t>for</w:t>
      </w:r>
      <w:r w:rsidR="00541D05">
        <w:t xml:space="preserve"> </w:t>
      </w:r>
      <w:r w:rsidR="00D9258C" w:rsidRPr="00FD6A6A">
        <w:t>accommodation</w:t>
      </w:r>
      <w:r w:rsidR="00541D05">
        <w:t xml:space="preserve"> </w:t>
      </w:r>
      <w:r w:rsidR="00D9258C" w:rsidRPr="00FD6A6A">
        <w:t>in</w:t>
      </w:r>
      <w:r w:rsidR="00541D05">
        <w:t xml:space="preserve"> </w:t>
      </w:r>
      <w:r w:rsidR="00D9258C" w:rsidRPr="00FD6A6A">
        <w:t>decent</w:t>
      </w:r>
      <w:r w:rsidR="00541D05">
        <w:t xml:space="preserve"> </w:t>
      </w:r>
      <w:r w:rsidR="00D9258C" w:rsidRPr="00FD6A6A">
        <w:t>and</w:t>
      </w:r>
      <w:r w:rsidR="00541D05">
        <w:t xml:space="preserve"> </w:t>
      </w:r>
      <w:r w:rsidR="00D9258C" w:rsidRPr="00FD6A6A">
        <w:t>safe</w:t>
      </w:r>
      <w:r w:rsidR="00541D05">
        <w:t xml:space="preserve"> </w:t>
      </w:r>
      <w:r w:rsidR="00D9258C" w:rsidRPr="00FD6A6A">
        <w:t>places,</w:t>
      </w:r>
      <w:r w:rsidR="00541D05">
        <w:t xml:space="preserve"> </w:t>
      </w:r>
      <w:r w:rsidR="00D9258C" w:rsidRPr="00FD6A6A">
        <w:t>access</w:t>
      </w:r>
      <w:r w:rsidR="00541D05">
        <w:t xml:space="preserve"> </w:t>
      </w:r>
      <w:r w:rsidR="00D9258C" w:rsidRPr="00FD6A6A">
        <w:t>to</w:t>
      </w:r>
      <w:r w:rsidR="00541D05">
        <w:t xml:space="preserve"> </w:t>
      </w:r>
      <w:r w:rsidR="00D9258C" w:rsidRPr="00FD6A6A">
        <w:t>food,</w:t>
      </w:r>
      <w:r w:rsidR="00541D05">
        <w:t xml:space="preserve"> </w:t>
      </w:r>
      <w:r w:rsidR="00D9258C" w:rsidRPr="00FD6A6A">
        <w:t>medicines,</w:t>
      </w:r>
      <w:r w:rsidR="00541D05">
        <w:t xml:space="preserve"> </w:t>
      </w:r>
      <w:r w:rsidR="00D9258C" w:rsidRPr="00FD6A6A">
        <w:t>and</w:t>
      </w:r>
      <w:r w:rsidR="00541D05">
        <w:t xml:space="preserve"> </w:t>
      </w:r>
      <w:r w:rsidR="00D9258C" w:rsidRPr="00FD6A6A">
        <w:t>clothing,</w:t>
      </w:r>
      <w:r w:rsidR="00541D05">
        <w:t xml:space="preserve"> </w:t>
      </w:r>
      <w:r w:rsidR="00D9258C" w:rsidRPr="00FD6A6A">
        <w:t>inclusion</w:t>
      </w:r>
      <w:r w:rsidR="00541D05">
        <w:t xml:space="preserve"> </w:t>
      </w:r>
      <w:r w:rsidR="00D9258C" w:rsidRPr="00FD6A6A">
        <w:t>in</w:t>
      </w:r>
      <w:r w:rsidR="00541D05">
        <w:t xml:space="preserve"> </w:t>
      </w:r>
      <w:r w:rsidR="00D9258C" w:rsidRPr="00FD6A6A">
        <w:t>the</w:t>
      </w:r>
      <w:r w:rsidR="00541D05">
        <w:t xml:space="preserve"> </w:t>
      </w:r>
      <w:r w:rsidR="00D9258C" w:rsidRPr="00FD6A6A">
        <w:t>job</w:t>
      </w:r>
      <w:r w:rsidR="00541D05">
        <w:t xml:space="preserve"> </w:t>
      </w:r>
      <w:r w:rsidR="00D9258C" w:rsidRPr="00FD6A6A">
        <w:t>market,</w:t>
      </w:r>
      <w:r w:rsidR="00541D05">
        <w:t xml:space="preserve"> </w:t>
      </w:r>
      <w:r w:rsidR="00D9258C" w:rsidRPr="00FD6A6A">
        <w:t>and</w:t>
      </w:r>
      <w:r w:rsidR="00541D05">
        <w:t xml:space="preserve"> </w:t>
      </w:r>
      <w:r w:rsidR="00D9258C" w:rsidRPr="00FD6A6A">
        <w:t>learning</w:t>
      </w:r>
      <w:r w:rsidR="00541D05">
        <w:t xml:space="preserve"> </w:t>
      </w:r>
      <w:r w:rsidR="00D9258C" w:rsidRPr="00FD6A6A">
        <w:t>of</w:t>
      </w:r>
      <w:r w:rsidR="00541D05">
        <w:t xml:space="preserve"> </w:t>
      </w:r>
      <w:r w:rsidR="00D9258C" w:rsidRPr="00FD6A6A">
        <w:t>Portuguese.</w:t>
      </w:r>
    </w:p>
    <w:p w14:paraId="604CEFA7" w14:textId="1B3F2F63" w:rsidR="00D9258C" w:rsidRPr="00FD6A6A" w:rsidRDefault="00166390" w:rsidP="00166390">
      <w:pPr>
        <w:pStyle w:val="ParaNoG"/>
        <w:numPr>
          <w:ilvl w:val="0"/>
          <w:numId w:val="0"/>
        </w:numPr>
        <w:tabs>
          <w:tab w:val="left" w:pos="0"/>
        </w:tabs>
        <w:ind w:left="1134"/>
      </w:pPr>
      <w:r w:rsidRPr="00FD6A6A">
        <w:t>184.</w:t>
      </w:r>
      <w:r w:rsidRPr="00FD6A6A">
        <w:tab/>
      </w:r>
      <w:r w:rsidR="00D9258C" w:rsidRPr="00FD6A6A">
        <w:t>The</w:t>
      </w:r>
      <w:r w:rsidR="00541D05">
        <w:t xml:space="preserve"> </w:t>
      </w:r>
      <w:r w:rsidR="00D9258C" w:rsidRPr="00FD6A6A">
        <w:t>Migration</w:t>
      </w:r>
      <w:r w:rsidR="00541D05">
        <w:t xml:space="preserve"> </w:t>
      </w:r>
      <w:r w:rsidR="00D9258C" w:rsidRPr="00FD6A6A">
        <w:t>Law</w:t>
      </w:r>
      <w:r w:rsidR="00541D05">
        <w:t xml:space="preserve"> </w:t>
      </w:r>
      <w:r w:rsidR="00D9258C" w:rsidRPr="00FD6A6A">
        <w:t>establishes,</w:t>
      </w:r>
      <w:r w:rsidR="00541D05">
        <w:t xml:space="preserve"> </w:t>
      </w:r>
      <w:r w:rsidR="00D9258C" w:rsidRPr="00FD6A6A">
        <w:t>as</w:t>
      </w:r>
      <w:r w:rsidR="00541D05">
        <w:t xml:space="preserve"> </w:t>
      </w:r>
      <w:r w:rsidR="00D9258C" w:rsidRPr="00FD6A6A">
        <w:t>one</w:t>
      </w:r>
      <w:r w:rsidR="00541D05">
        <w:t xml:space="preserve"> </w:t>
      </w:r>
      <w:r w:rsidR="00D9258C" w:rsidRPr="00FD6A6A">
        <w:t>of</w:t>
      </w:r>
      <w:r w:rsidR="00541D05">
        <w:t xml:space="preserve"> </w:t>
      </w:r>
      <w:r w:rsidR="00D9258C" w:rsidRPr="00FD6A6A">
        <w:t>the</w:t>
      </w:r>
      <w:r w:rsidR="00541D05">
        <w:t xml:space="preserve"> </w:t>
      </w:r>
      <w:r w:rsidR="00D9258C" w:rsidRPr="00FD6A6A">
        <w:t>principles</w:t>
      </w:r>
      <w:r w:rsidR="00541D05">
        <w:t xml:space="preserve"> </w:t>
      </w:r>
      <w:r w:rsidR="00D9258C" w:rsidRPr="00FD6A6A">
        <w:t>and</w:t>
      </w:r>
      <w:r w:rsidR="00541D05">
        <w:t xml:space="preserve"> </w:t>
      </w:r>
      <w:r w:rsidR="00D9258C" w:rsidRPr="00FD6A6A">
        <w:t>guidelines</w:t>
      </w:r>
      <w:r w:rsidR="00541D05">
        <w:t xml:space="preserve"> </w:t>
      </w:r>
      <w:r w:rsidR="00D9258C" w:rsidRPr="00FD6A6A">
        <w:t>for</w:t>
      </w:r>
      <w:r w:rsidR="00541D05">
        <w:t xml:space="preserve"> </w:t>
      </w:r>
      <w:r w:rsidR="00D9258C" w:rsidRPr="00FD6A6A">
        <w:t>the</w:t>
      </w:r>
      <w:r w:rsidR="00541D05">
        <w:t xml:space="preserve"> </w:t>
      </w:r>
      <w:r w:rsidR="00D9258C" w:rsidRPr="00FD6A6A">
        <w:t>Brazilian</w:t>
      </w:r>
      <w:r w:rsidR="00541D05">
        <w:t xml:space="preserve"> </w:t>
      </w:r>
      <w:r w:rsidR="00D9258C" w:rsidRPr="00FD6A6A">
        <w:t>migration</w:t>
      </w:r>
      <w:r w:rsidR="00541D05">
        <w:t xml:space="preserve"> </w:t>
      </w:r>
      <w:r w:rsidR="00D9258C" w:rsidRPr="00FD6A6A">
        <w:t>policy,</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family</w:t>
      </w:r>
      <w:r w:rsidR="00541D05">
        <w:t xml:space="preserve"> </w:t>
      </w:r>
      <w:r w:rsidR="00D9258C" w:rsidRPr="00FD6A6A">
        <w:t>reunification,</w:t>
      </w:r>
      <w:r w:rsidR="00541D05">
        <w:t xml:space="preserve"> </w:t>
      </w:r>
      <w:r w:rsidR="00D9258C" w:rsidRPr="00FD6A6A">
        <w:t>expanding</w:t>
      </w:r>
      <w:r w:rsidR="00541D05">
        <w:t xml:space="preserve"> </w:t>
      </w:r>
      <w:r w:rsidR="00D9258C" w:rsidRPr="00FD6A6A">
        <w:t>the</w:t>
      </w:r>
      <w:r w:rsidR="00541D05">
        <w:t xml:space="preserve"> </w:t>
      </w:r>
      <w:r w:rsidR="00D9258C" w:rsidRPr="00FD6A6A">
        <w:t>status</w:t>
      </w:r>
      <w:r w:rsidR="00541D05">
        <w:t xml:space="preserve"> </w:t>
      </w:r>
      <w:r w:rsidR="00D9258C" w:rsidRPr="00FD6A6A">
        <w:t>of</w:t>
      </w:r>
      <w:r w:rsidR="00541D05">
        <w:t xml:space="preserve"> </w:t>
      </w:r>
      <w:r w:rsidR="00D9258C" w:rsidRPr="00FD6A6A">
        <w:t>refugee</w:t>
      </w:r>
      <w:r w:rsidR="00541D05">
        <w:t xml:space="preserve"> </w:t>
      </w:r>
      <w:r w:rsidR="00D9258C" w:rsidRPr="00FD6A6A">
        <w:t>to</w:t>
      </w:r>
      <w:r w:rsidR="00541D05">
        <w:t xml:space="preserve"> </w:t>
      </w:r>
      <w:r w:rsidR="00D9258C" w:rsidRPr="00FD6A6A">
        <w:t>other</w:t>
      </w:r>
      <w:r w:rsidR="00541D05">
        <w:t xml:space="preserve"> </w:t>
      </w:r>
      <w:r w:rsidR="00D9258C" w:rsidRPr="00FD6A6A">
        <w:t>family</w:t>
      </w:r>
      <w:r w:rsidR="00541D05">
        <w:t xml:space="preserve"> </w:t>
      </w:r>
      <w:r w:rsidR="00D9258C" w:rsidRPr="00FD6A6A">
        <w:t>members.</w:t>
      </w:r>
      <w:r w:rsidR="00541D05">
        <w:t xml:space="preserve"> </w:t>
      </w:r>
      <w:r w:rsidR="00D9258C" w:rsidRPr="00FD6A6A">
        <w:t>Refugees</w:t>
      </w:r>
      <w:r w:rsidR="00541D05">
        <w:t xml:space="preserve"> </w:t>
      </w:r>
      <w:r w:rsidR="00D9258C" w:rsidRPr="00FD6A6A">
        <w:t>are</w:t>
      </w:r>
      <w:r w:rsidR="00541D05">
        <w:t xml:space="preserve"> </w:t>
      </w:r>
      <w:r w:rsidR="00D9258C" w:rsidRPr="00FD6A6A">
        <w:t>acknowledged</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work</w:t>
      </w:r>
      <w:r w:rsidR="00541D05">
        <w:t xml:space="preserve"> </w:t>
      </w:r>
      <w:r w:rsidR="00D9258C" w:rsidRPr="00FD6A6A">
        <w:t>and</w:t>
      </w:r>
      <w:r w:rsidR="00541D05">
        <w:t xml:space="preserve"> </w:t>
      </w:r>
      <w:r w:rsidR="00D9258C" w:rsidRPr="00FD6A6A">
        <w:t>reside</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to</w:t>
      </w:r>
      <w:r w:rsidR="00541D05">
        <w:t xml:space="preserve"> </w:t>
      </w:r>
      <w:r w:rsidR="00D9258C" w:rsidRPr="00FD6A6A">
        <w:t>access</w:t>
      </w:r>
      <w:r w:rsidR="00541D05">
        <w:t xml:space="preserve"> </w:t>
      </w:r>
      <w:r w:rsidR="00D9258C" w:rsidRPr="00FD6A6A">
        <w:t>public</w:t>
      </w:r>
      <w:r w:rsidR="00541D05">
        <w:t xml:space="preserve"> </w:t>
      </w:r>
      <w:r w:rsidR="00D9258C" w:rsidRPr="00FD6A6A">
        <w:t>education</w:t>
      </w:r>
      <w:r w:rsidR="00541D05">
        <w:t xml:space="preserve"> </w:t>
      </w:r>
      <w:r w:rsidR="00D9258C" w:rsidRPr="00FD6A6A">
        <w:t>and</w:t>
      </w:r>
      <w:r w:rsidR="00541D05">
        <w:t xml:space="preserve"> </w:t>
      </w:r>
      <w:r w:rsidR="00D9258C" w:rsidRPr="00FD6A6A">
        <w:t>health</w:t>
      </w:r>
      <w:r w:rsidR="00541D05">
        <w:t xml:space="preserve"> </w:t>
      </w:r>
      <w:r w:rsidR="00D9258C" w:rsidRPr="00FD6A6A">
        <w:t>care</w:t>
      </w:r>
      <w:r w:rsidR="00541D05">
        <w:t xml:space="preserve"> </w:t>
      </w:r>
      <w:r w:rsidR="00D9258C" w:rsidRPr="00FD6A6A">
        <w:t>systems</w:t>
      </w:r>
      <w:r w:rsidR="00541D05">
        <w:t xml:space="preserve"> </w:t>
      </w:r>
      <w:r w:rsidR="00D9258C" w:rsidRPr="00FD6A6A">
        <w:t>on</w:t>
      </w:r>
      <w:r w:rsidR="00541D05">
        <w:t xml:space="preserve"> </w:t>
      </w:r>
      <w:r w:rsidR="00D9258C" w:rsidRPr="00FD6A6A">
        <w:t>a</w:t>
      </w:r>
      <w:r w:rsidR="00541D05">
        <w:t xml:space="preserve"> </w:t>
      </w:r>
      <w:r w:rsidR="00D9258C" w:rsidRPr="00FD6A6A">
        <w:t>basis</w:t>
      </w:r>
      <w:r w:rsidR="00541D05">
        <w:t xml:space="preserve"> </w:t>
      </w:r>
      <w:r w:rsidR="00D9258C" w:rsidRPr="00FD6A6A">
        <w:t>equal</w:t>
      </w:r>
      <w:r w:rsidR="00541D05">
        <w:t xml:space="preserve"> </w:t>
      </w:r>
      <w:r w:rsidR="00D9258C" w:rsidRPr="00FD6A6A">
        <w:t>to</w:t>
      </w:r>
      <w:r w:rsidR="00541D05">
        <w:t xml:space="preserve"> </w:t>
      </w:r>
      <w:r w:rsidR="00D9258C" w:rsidRPr="00FD6A6A">
        <w:t>national</w:t>
      </w:r>
      <w:r w:rsidR="00541D05">
        <w:t xml:space="preserve"> </w:t>
      </w:r>
      <w:r w:rsidR="00D9258C" w:rsidRPr="00FD6A6A">
        <w:t>citizens,</w:t>
      </w:r>
      <w:r w:rsidR="00541D05">
        <w:t xml:space="preserve"> </w:t>
      </w:r>
      <w:r w:rsidR="00D9258C" w:rsidRPr="00FD6A6A">
        <w:t>to</w:t>
      </w:r>
      <w:r w:rsidR="00541D05">
        <w:t xml:space="preserve"> </w:t>
      </w:r>
      <w:r w:rsidR="00D9258C" w:rsidRPr="00FD6A6A">
        <w:t>freedom</w:t>
      </w:r>
      <w:r w:rsidR="00541D05">
        <w:t xml:space="preserve"> </w:t>
      </w:r>
      <w:r w:rsidR="00D9258C" w:rsidRPr="00FD6A6A">
        <w:t>of</w:t>
      </w:r>
      <w:r w:rsidR="00541D05">
        <w:t xml:space="preserve"> </w:t>
      </w:r>
      <w:r w:rsidR="00D9258C" w:rsidRPr="00FD6A6A">
        <w:t>movement</w:t>
      </w:r>
      <w:r w:rsidR="00541D05">
        <w:t xml:space="preserve"> </w:t>
      </w:r>
      <w:r w:rsidR="00D9258C" w:rsidRPr="00FD6A6A">
        <w:t>throughout</w:t>
      </w:r>
      <w:r w:rsidR="00541D05">
        <w:t xml:space="preserve"> </w:t>
      </w:r>
      <w:r w:rsidR="00D9258C" w:rsidRPr="00FD6A6A">
        <w:t>the</w:t>
      </w:r>
      <w:r w:rsidR="00541D05">
        <w:t xml:space="preserve"> </w:t>
      </w:r>
      <w:r w:rsidR="00D9258C" w:rsidRPr="00FD6A6A">
        <w:t>national</w:t>
      </w:r>
      <w:r w:rsidR="00541D05">
        <w:t xml:space="preserve"> </w:t>
      </w:r>
      <w:r w:rsidR="00D9258C" w:rsidRPr="00FD6A6A">
        <w:t>territory,</w:t>
      </w:r>
      <w:r w:rsidR="00541D05">
        <w:t xml:space="preserve"> </w:t>
      </w:r>
      <w:r w:rsidR="00D9258C" w:rsidRPr="00FD6A6A">
        <w:t>being</w:t>
      </w:r>
      <w:r w:rsidR="00541D05">
        <w:t xml:space="preserve"> </w:t>
      </w:r>
      <w:r w:rsidR="00D9258C" w:rsidRPr="00FD6A6A">
        <w:t>entitled</w:t>
      </w:r>
      <w:r w:rsidR="00541D05">
        <w:t xml:space="preserve"> </w:t>
      </w:r>
      <w:r w:rsidR="00D9258C" w:rsidRPr="00FD6A6A">
        <w:t>to</w:t>
      </w:r>
      <w:r w:rsidR="00541D05">
        <w:t xml:space="preserve"> </w:t>
      </w:r>
      <w:r w:rsidR="00D9258C" w:rsidRPr="00FD6A6A">
        <w:t>apply</w:t>
      </w:r>
      <w:r w:rsidR="00541D05">
        <w:t xml:space="preserve"> </w:t>
      </w:r>
      <w:r w:rsidR="00D9258C" w:rsidRPr="00FD6A6A">
        <w:t>for</w:t>
      </w:r>
      <w:r w:rsidR="00541D05">
        <w:t xml:space="preserve"> </w:t>
      </w:r>
      <w:r w:rsidR="00D9258C" w:rsidRPr="00FD6A6A">
        <w:t>a</w:t>
      </w:r>
      <w:r w:rsidR="00541D05">
        <w:t xml:space="preserve"> </w:t>
      </w:r>
      <w:r w:rsidR="00D9258C" w:rsidRPr="00FD6A6A">
        <w:t>permanent</w:t>
      </w:r>
      <w:r w:rsidR="00541D05">
        <w:t xml:space="preserve"> </w:t>
      </w:r>
      <w:r w:rsidR="00D9258C" w:rsidRPr="00FD6A6A">
        <w:t>visa</w:t>
      </w:r>
      <w:r w:rsidR="00541D05">
        <w:t xml:space="preserve"> </w:t>
      </w:r>
      <w:r w:rsidR="00D9258C" w:rsidRPr="00FD6A6A">
        <w:t>and</w:t>
      </w:r>
      <w:r w:rsidR="00541D05">
        <w:t xml:space="preserve"> </w:t>
      </w:r>
      <w:r w:rsidR="00D9258C" w:rsidRPr="00FD6A6A">
        <w:t>for</w:t>
      </w:r>
      <w:r w:rsidR="00541D05">
        <w:t xml:space="preserve"> </w:t>
      </w:r>
      <w:r w:rsidR="00D9258C" w:rsidRPr="00FD6A6A">
        <w:t>citizenship</w:t>
      </w:r>
      <w:r w:rsidR="00541D05">
        <w:t xml:space="preserve"> </w:t>
      </w:r>
      <w:r w:rsidR="00D9258C" w:rsidRPr="00FD6A6A">
        <w:t>after</w:t>
      </w:r>
      <w:r w:rsidR="00541D05">
        <w:t xml:space="preserve"> </w:t>
      </w:r>
      <w:r w:rsidR="00D9258C" w:rsidRPr="00FD6A6A">
        <w:t>four</w:t>
      </w:r>
      <w:r w:rsidR="00541D05">
        <w:t xml:space="preserve"> </w:t>
      </w:r>
      <w:r w:rsidR="00D9258C" w:rsidRPr="00FD6A6A">
        <w:t>years</w:t>
      </w:r>
      <w:r w:rsidR="00541D05">
        <w:t xml:space="preserve"> </w:t>
      </w:r>
      <w:r w:rsidR="00D9258C" w:rsidRPr="00FD6A6A">
        <w:t>residing</w:t>
      </w:r>
      <w:r w:rsidR="00541D05">
        <w:t xml:space="preserve"> </w:t>
      </w:r>
      <w:r w:rsidR="00D9258C" w:rsidRPr="00FD6A6A">
        <w:t>in</w:t>
      </w:r>
      <w:r w:rsidR="00541D05">
        <w:t xml:space="preserve"> </w:t>
      </w:r>
      <w:r w:rsidR="00D9258C" w:rsidRPr="00FD6A6A">
        <w:t>the</w:t>
      </w:r>
      <w:r w:rsidR="00541D05">
        <w:t xml:space="preserve"> </w:t>
      </w:r>
      <w:r w:rsidR="00D9258C" w:rsidRPr="00FD6A6A">
        <w:t>country.</w:t>
      </w:r>
      <w:r w:rsidR="00541D05">
        <w:t xml:space="preserve"> </w:t>
      </w:r>
      <w:r w:rsidR="00D9258C" w:rsidRPr="00FD6A6A">
        <w:t>There</w:t>
      </w:r>
      <w:r w:rsidR="00541D05">
        <w:t xml:space="preserve"> </w:t>
      </w:r>
      <w:r w:rsidR="00D9258C" w:rsidRPr="00FD6A6A">
        <w:t>is</w:t>
      </w:r>
      <w:r w:rsidR="00541D05">
        <w:t xml:space="preserve"> </w:t>
      </w:r>
      <w:r w:rsidR="00D9258C" w:rsidRPr="00FD6A6A">
        <w:t>also</w:t>
      </w:r>
      <w:r w:rsidR="00541D05">
        <w:t xml:space="preserve"> </w:t>
      </w:r>
      <w:r w:rsidR="00D9258C" w:rsidRPr="00FD6A6A">
        <w:t>a</w:t>
      </w:r>
      <w:r w:rsidR="00541D05">
        <w:t xml:space="preserve"> </w:t>
      </w:r>
      <w:r w:rsidR="00D9258C" w:rsidRPr="00FD6A6A">
        <w:t>facilitated</w:t>
      </w:r>
      <w:r w:rsidR="00541D05">
        <w:t xml:space="preserve"> </w:t>
      </w:r>
      <w:r w:rsidR="00D9258C" w:rsidRPr="00FD6A6A">
        <w:t>process</w:t>
      </w:r>
      <w:r w:rsidR="00541D05">
        <w:t xml:space="preserve"> </w:t>
      </w:r>
      <w:r w:rsidR="00D9258C" w:rsidRPr="00FD6A6A">
        <w:t>for</w:t>
      </w:r>
      <w:r w:rsidR="00541D05">
        <w:t xml:space="preserve"> </w:t>
      </w:r>
      <w:r w:rsidR="00D9258C" w:rsidRPr="00FD6A6A">
        <w:t>the</w:t>
      </w:r>
      <w:r w:rsidR="00541D05">
        <w:t xml:space="preserve"> </w:t>
      </w:r>
      <w:r w:rsidR="00D9258C" w:rsidRPr="00FD6A6A">
        <w:t>naturalization</w:t>
      </w:r>
      <w:r w:rsidR="00541D05">
        <w:t xml:space="preserve"> </w:t>
      </w:r>
      <w:r w:rsidR="00D9258C" w:rsidRPr="00FD6A6A">
        <w:t>of</w:t>
      </w:r>
      <w:r w:rsidR="00541D05">
        <w:t xml:space="preserve"> </w:t>
      </w:r>
      <w:r w:rsidR="00D9258C" w:rsidRPr="00FD6A6A">
        <w:t>stateless</w:t>
      </w:r>
      <w:r w:rsidR="00541D05">
        <w:t xml:space="preserve"> </w:t>
      </w:r>
      <w:r w:rsidR="00D9258C" w:rsidRPr="00FD6A6A">
        <w:t>persons</w:t>
      </w:r>
      <w:r w:rsidR="00541D05">
        <w:t xml:space="preserve"> </w:t>
      </w:r>
      <w:r w:rsidR="00D9258C" w:rsidRPr="00FD6A6A">
        <w:t>after</w:t>
      </w:r>
      <w:r w:rsidR="00541D05">
        <w:t xml:space="preserve"> </w:t>
      </w:r>
      <w:r w:rsidR="00D9258C" w:rsidRPr="00FD6A6A">
        <w:t>two</w:t>
      </w:r>
      <w:r w:rsidR="00541D05">
        <w:t xml:space="preserve"> </w:t>
      </w:r>
      <w:r w:rsidR="00D9258C" w:rsidRPr="00FD6A6A">
        <w:t>years</w:t>
      </w:r>
      <w:r w:rsidR="00541D05">
        <w:t xml:space="preserve"> </w:t>
      </w:r>
      <w:r w:rsidR="00D9258C" w:rsidRPr="00FD6A6A">
        <w:t>residing</w:t>
      </w:r>
      <w:r w:rsidR="00541D05">
        <w:t xml:space="preserve"> </w:t>
      </w:r>
      <w:r w:rsidR="00D9258C" w:rsidRPr="00FD6A6A">
        <w:lastRenderedPageBreak/>
        <w:t>in</w:t>
      </w:r>
      <w:r w:rsidR="00541D05">
        <w:t xml:space="preserve"> </w:t>
      </w:r>
      <w:r w:rsidR="00D9258C" w:rsidRPr="00FD6A6A">
        <w:t>the</w:t>
      </w:r>
      <w:r w:rsidR="00541D05">
        <w:t xml:space="preserve"> </w:t>
      </w:r>
      <w:r w:rsidR="00D9258C" w:rsidRPr="00FD6A6A">
        <w:t>national</w:t>
      </w:r>
      <w:r w:rsidR="00541D05">
        <w:t xml:space="preserve"> </w:t>
      </w:r>
      <w:r w:rsidR="00D9258C" w:rsidRPr="00FD6A6A">
        <w:t>territory.</w:t>
      </w:r>
      <w:r w:rsidR="00541D05">
        <w:t xml:space="preserve"> </w:t>
      </w:r>
      <w:r w:rsidR="00D9258C" w:rsidRPr="00FD6A6A">
        <w:t>As</w:t>
      </w:r>
      <w:r w:rsidR="00541D05">
        <w:t xml:space="preserve"> </w:t>
      </w:r>
      <w:r w:rsidR="00D9258C" w:rsidRPr="00FD6A6A">
        <w:t>of</w:t>
      </w:r>
      <w:r w:rsidR="00541D05">
        <w:t xml:space="preserve"> </w:t>
      </w:r>
      <w:r w:rsidR="00D9258C" w:rsidRPr="00FD6A6A">
        <w:t>October</w:t>
      </w:r>
      <w:r w:rsidR="00541D05">
        <w:t xml:space="preserve"> </w:t>
      </w:r>
      <w:r w:rsidR="00D9258C" w:rsidRPr="00FD6A6A">
        <w:t>2018,</w:t>
      </w:r>
      <w:r w:rsidR="00541D05">
        <w:t xml:space="preserve"> </w:t>
      </w:r>
      <w:r w:rsidR="00D9258C" w:rsidRPr="00FD6A6A">
        <w:t>those</w:t>
      </w:r>
      <w:r w:rsidR="00541D05">
        <w:t xml:space="preserve"> </w:t>
      </w:r>
      <w:r w:rsidR="00D9258C" w:rsidRPr="00FD6A6A">
        <w:t>who</w:t>
      </w:r>
      <w:r w:rsidR="00541D05">
        <w:t xml:space="preserve"> </w:t>
      </w:r>
      <w:r w:rsidR="00D9258C" w:rsidRPr="00FD6A6A">
        <w:t>request</w:t>
      </w:r>
      <w:r w:rsidR="00541D05">
        <w:t xml:space="preserve"> </w:t>
      </w:r>
      <w:r w:rsidR="00D9258C" w:rsidRPr="00FD6A6A">
        <w:t>the</w:t>
      </w:r>
      <w:r w:rsidR="00541D05">
        <w:t xml:space="preserve"> </w:t>
      </w:r>
      <w:r w:rsidR="00D9258C" w:rsidRPr="00FD6A6A">
        <w:t>recognition</w:t>
      </w:r>
      <w:r w:rsidR="00541D05">
        <w:t xml:space="preserve"> </w:t>
      </w:r>
      <w:r w:rsidR="00D9258C" w:rsidRPr="00FD6A6A">
        <w:t>of</w:t>
      </w:r>
      <w:r w:rsidR="00541D05">
        <w:t xml:space="preserve"> </w:t>
      </w:r>
      <w:r w:rsidR="00D9258C" w:rsidRPr="00FD6A6A">
        <w:t>refugee</w:t>
      </w:r>
      <w:r w:rsidR="00541D05">
        <w:t xml:space="preserve"> </w:t>
      </w:r>
      <w:r w:rsidR="00D9258C" w:rsidRPr="00FD6A6A">
        <w:t>status</w:t>
      </w:r>
      <w:r w:rsidR="00541D05">
        <w:t xml:space="preserve"> </w:t>
      </w:r>
      <w:r w:rsidR="00D9258C" w:rsidRPr="00FD6A6A">
        <w:t>receive</w:t>
      </w:r>
      <w:r w:rsidR="00541D05">
        <w:t xml:space="preserve"> </w:t>
      </w:r>
      <w:r w:rsidR="00D9258C" w:rsidRPr="00FD6A6A">
        <w:t>a</w:t>
      </w:r>
      <w:r w:rsidR="00541D05">
        <w:t xml:space="preserve"> </w:t>
      </w:r>
      <w:r w:rsidR="00D9258C" w:rsidRPr="00FD6A6A">
        <w:t>temporary</w:t>
      </w:r>
      <w:r w:rsidR="00541D05">
        <w:t xml:space="preserve"> </w:t>
      </w:r>
      <w:r w:rsidR="00D9258C" w:rsidRPr="00FD6A6A">
        <w:t>identity</w:t>
      </w:r>
      <w:r w:rsidR="00541D05">
        <w:t xml:space="preserve"> </w:t>
      </w:r>
      <w:r w:rsidR="00D9258C" w:rsidRPr="00FD6A6A">
        <w:t>card,</w:t>
      </w:r>
      <w:r w:rsidR="00541D05">
        <w:t xml:space="preserve"> </w:t>
      </w:r>
      <w:r w:rsidR="00D9258C" w:rsidRPr="00FD6A6A">
        <w:t>expanding</w:t>
      </w:r>
      <w:r w:rsidR="00541D05">
        <w:t xml:space="preserve"> </w:t>
      </w:r>
      <w:r w:rsidR="00D9258C" w:rsidRPr="00FD6A6A">
        <w:t>the</w:t>
      </w:r>
      <w:r w:rsidR="00541D05">
        <w:t xml:space="preserve"> </w:t>
      </w:r>
      <w:r w:rsidR="00D9258C" w:rsidRPr="00FD6A6A">
        <w:t>access</w:t>
      </w:r>
      <w:r w:rsidR="00541D05">
        <w:t xml:space="preserve"> </w:t>
      </w:r>
      <w:r w:rsidR="00D9258C" w:rsidRPr="00FD6A6A">
        <w:t>to</w:t>
      </w:r>
      <w:r w:rsidR="00541D05">
        <w:t xml:space="preserve"> </w:t>
      </w:r>
      <w:r w:rsidR="00D9258C" w:rsidRPr="00FD6A6A">
        <w:t>their</w:t>
      </w:r>
      <w:r w:rsidR="00541D05">
        <w:t xml:space="preserve"> </w:t>
      </w:r>
      <w:r w:rsidR="00D9258C" w:rsidRPr="00FD6A6A">
        <w:t>rights.</w:t>
      </w:r>
    </w:p>
    <w:p w14:paraId="0292D06F" w14:textId="7E659CD9" w:rsidR="00D9258C" w:rsidRPr="00FD6A6A" w:rsidRDefault="00166390" w:rsidP="00166390">
      <w:pPr>
        <w:pStyle w:val="ParaNoG"/>
        <w:numPr>
          <w:ilvl w:val="0"/>
          <w:numId w:val="0"/>
        </w:numPr>
        <w:tabs>
          <w:tab w:val="left" w:pos="0"/>
        </w:tabs>
        <w:ind w:left="1134"/>
      </w:pPr>
      <w:r w:rsidRPr="00FD6A6A">
        <w:t>185.</w:t>
      </w:r>
      <w:r w:rsidRPr="00FD6A6A">
        <w:tab/>
      </w:r>
      <w:r w:rsidR="00D9258C" w:rsidRPr="00FD6A6A">
        <w:t>With</w:t>
      </w:r>
      <w:r w:rsidR="00541D05">
        <w:t xml:space="preserve"> </w:t>
      </w:r>
      <w:r w:rsidR="00D9258C" w:rsidRPr="00FD6A6A">
        <w:t>the</w:t>
      </w:r>
      <w:r w:rsidR="00541D05">
        <w:t xml:space="preserve"> </w:t>
      </w:r>
      <w:r w:rsidR="00D9258C" w:rsidRPr="00FD6A6A">
        <w:t>deterioration</w:t>
      </w:r>
      <w:r w:rsidR="00541D05">
        <w:t xml:space="preserve"> </w:t>
      </w:r>
      <w:r w:rsidR="00D9258C" w:rsidRPr="00FD6A6A">
        <w:t>of</w:t>
      </w:r>
      <w:r w:rsidR="00541D05">
        <w:t xml:space="preserve"> </w:t>
      </w:r>
      <w:r w:rsidR="00D9258C" w:rsidRPr="00FD6A6A">
        <w:t>the</w:t>
      </w:r>
      <w:r w:rsidR="00541D05">
        <w:t xml:space="preserve"> </w:t>
      </w:r>
      <w:r w:rsidR="00D9258C" w:rsidRPr="00FD6A6A">
        <w:t>economy,</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employed</w:t>
      </w:r>
      <w:r w:rsidR="00541D05">
        <w:t xml:space="preserve"> </w:t>
      </w:r>
      <w:r w:rsidR="00D9258C" w:rsidRPr="00FD6A6A">
        <w:t>immigrants</w:t>
      </w:r>
      <w:r w:rsidR="00541D05">
        <w:t xml:space="preserve"> </w:t>
      </w:r>
      <w:r w:rsidR="00D9258C" w:rsidRPr="00FD6A6A">
        <w:t>decreased</w:t>
      </w:r>
      <w:r w:rsidR="00541D05">
        <w:t xml:space="preserve"> </w:t>
      </w:r>
      <w:r w:rsidR="00D9258C" w:rsidRPr="00FD6A6A">
        <w:t>by</w:t>
      </w:r>
      <w:r w:rsidR="00541D05">
        <w:t xml:space="preserve"> </w:t>
      </w:r>
      <w:r w:rsidR="00D9258C" w:rsidRPr="00FD6A6A">
        <w:t>12.8%</w:t>
      </w:r>
      <w:r w:rsidR="00541D05">
        <w:t xml:space="preserve"> </w:t>
      </w:r>
      <w:r w:rsidR="00D9258C" w:rsidRPr="00FD6A6A">
        <w:t>in</w:t>
      </w:r>
      <w:r w:rsidR="00541D05">
        <w:t xml:space="preserve"> </w:t>
      </w:r>
      <w:r w:rsidR="00D9258C" w:rsidRPr="00FD6A6A">
        <w:t>2016</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2015.</w:t>
      </w:r>
      <w:r w:rsidR="00541D05">
        <w:t xml:space="preserve"> </w:t>
      </w:r>
      <w:r w:rsidR="00D9258C" w:rsidRPr="00FD6A6A">
        <w:t>The</w:t>
      </w:r>
      <w:r w:rsidR="00541D05">
        <w:t xml:space="preserve"> </w:t>
      </w:r>
      <w:r w:rsidR="00D9258C" w:rsidRPr="00FD6A6A">
        <w:t>combination</w:t>
      </w:r>
      <w:r w:rsidR="00541D05">
        <w:t xml:space="preserve"> </w:t>
      </w:r>
      <w:r w:rsidR="00D9258C" w:rsidRPr="00FD6A6A">
        <w:t>of</w:t>
      </w:r>
      <w:r w:rsidR="00541D05">
        <w:t xml:space="preserve"> </w:t>
      </w:r>
      <w:r w:rsidR="00D9258C" w:rsidRPr="00FD6A6A">
        <w:t>low</w:t>
      </w:r>
      <w:r w:rsidR="00541D05">
        <w:t xml:space="preserve"> </w:t>
      </w:r>
      <w:r w:rsidR="00D9258C" w:rsidRPr="00FD6A6A">
        <w:t>levels</w:t>
      </w:r>
      <w:r w:rsidR="00541D05">
        <w:t xml:space="preserve"> </w:t>
      </w:r>
      <w:r w:rsidR="00D9258C" w:rsidRPr="00FD6A6A">
        <w:t>of</w:t>
      </w:r>
      <w:r w:rsidR="00541D05">
        <w:t xml:space="preserve"> </w:t>
      </w:r>
      <w:r w:rsidR="00D9258C" w:rsidRPr="00FD6A6A">
        <w:t>professional</w:t>
      </w:r>
      <w:r w:rsidR="00541D05">
        <w:t xml:space="preserve"> </w:t>
      </w:r>
      <w:r w:rsidR="00D9258C" w:rsidRPr="00FD6A6A">
        <w:t>qualification,</w:t>
      </w:r>
      <w:r w:rsidR="00541D05">
        <w:t xml:space="preserve"> </w:t>
      </w:r>
      <w:r w:rsidR="00D9258C" w:rsidRPr="00FD6A6A">
        <w:t>difficulty</w:t>
      </w:r>
      <w:r w:rsidR="00541D05">
        <w:t xml:space="preserve"> </w:t>
      </w:r>
      <w:r w:rsidR="00D9258C" w:rsidRPr="00FD6A6A">
        <w:t>with</w:t>
      </w:r>
      <w:r w:rsidR="00541D05">
        <w:t xml:space="preserve"> </w:t>
      </w:r>
      <w:r w:rsidR="00D9258C" w:rsidRPr="00FD6A6A">
        <w:t>the</w:t>
      </w:r>
      <w:r w:rsidR="00541D05">
        <w:t xml:space="preserve"> </w:t>
      </w:r>
      <w:r w:rsidR="00D9258C" w:rsidRPr="00FD6A6A">
        <w:t>language,</w:t>
      </w:r>
      <w:r w:rsidR="00541D05">
        <w:t xml:space="preserve"> </w:t>
      </w:r>
      <w:r w:rsidR="00D9258C" w:rsidRPr="00FD6A6A">
        <w:t>and</w:t>
      </w:r>
      <w:r w:rsidR="00541D05">
        <w:t xml:space="preserve"> </w:t>
      </w:r>
      <w:r w:rsidR="00D9258C" w:rsidRPr="00FD6A6A">
        <w:t>irregular</w:t>
      </w:r>
      <w:r w:rsidR="00541D05">
        <w:t xml:space="preserve"> </w:t>
      </w:r>
      <w:r w:rsidR="00D9258C" w:rsidRPr="00FD6A6A">
        <w:t>migration</w:t>
      </w:r>
      <w:r w:rsidR="00541D05">
        <w:t xml:space="preserve"> </w:t>
      </w:r>
      <w:r w:rsidR="00D9258C" w:rsidRPr="00FD6A6A">
        <w:t>status</w:t>
      </w:r>
      <w:r w:rsidR="00541D05">
        <w:t xml:space="preserve"> </w:t>
      </w:r>
      <w:r w:rsidR="00D9258C" w:rsidRPr="00FD6A6A">
        <w:t>makes</w:t>
      </w:r>
      <w:r w:rsidR="00541D05">
        <w:t xml:space="preserve"> </w:t>
      </w:r>
      <w:r w:rsidR="00D9258C" w:rsidRPr="00FD6A6A">
        <w:t>it</w:t>
      </w:r>
      <w:r w:rsidR="00541D05">
        <w:t xml:space="preserve"> </w:t>
      </w:r>
      <w:r w:rsidR="00D9258C" w:rsidRPr="00FD6A6A">
        <w:t>hard</w:t>
      </w:r>
      <w:r w:rsidR="00541D05">
        <w:t xml:space="preserve"> </w:t>
      </w:r>
      <w:r w:rsidR="00D9258C" w:rsidRPr="00FD6A6A">
        <w:t>for</w:t>
      </w:r>
      <w:r w:rsidR="00541D05">
        <w:t xml:space="preserve"> </w:t>
      </w:r>
      <w:r w:rsidR="00D9258C" w:rsidRPr="00FD6A6A">
        <w:t>some</w:t>
      </w:r>
      <w:r w:rsidR="00541D05">
        <w:t xml:space="preserve"> </w:t>
      </w:r>
      <w:r w:rsidR="00D9258C" w:rsidRPr="00FD6A6A">
        <w:t>of</w:t>
      </w:r>
      <w:r w:rsidR="00541D05">
        <w:t xml:space="preserve"> </w:t>
      </w:r>
      <w:r w:rsidR="00D9258C" w:rsidRPr="00FD6A6A">
        <w:t>these</w:t>
      </w:r>
      <w:r w:rsidR="00541D05">
        <w:t xml:space="preserve"> </w:t>
      </w:r>
      <w:r w:rsidR="00D9258C" w:rsidRPr="00FD6A6A">
        <w:t>workers</w:t>
      </w:r>
      <w:r w:rsidR="00541D05">
        <w:t xml:space="preserve"> </w:t>
      </w:r>
      <w:r w:rsidR="00D9258C" w:rsidRPr="00FD6A6A">
        <w:t>to</w:t>
      </w:r>
      <w:r w:rsidR="00541D05">
        <w:t xml:space="preserve"> </w:t>
      </w:r>
      <w:r w:rsidR="00D9258C" w:rsidRPr="00FD6A6A">
        <w:t>obtain</w:t>
      </w:r>
      <w:r w:rsidR="00541D05">
        <w:t xml:space="preserve"> </w:t>
      </w:r>
      <w:r w:rsidR="00D9258C" w:rsidRPr="00FD6A6A">
        <w:t>decent</w:t>
      </w:r>
      <w:r w:rsidR="00541D05">
        <w:t xml:space="preserve"> </w:t>
      </w:r>
      <w:r w:rsidR="00D9258C" w:rsidRPr="00FD6A6A">
        <w:t>jobs.</w:t>
      </w:r>
    </w:p>
    <w:p w14:paraId="5552E1FA" w14:textId="06301A17" w:rsidR="00D9258C" w:rsidRPr="00FD6A6A" w:rsidRDefault="00166390" w:rsidP="00166390">
      <w:pPr>
        <w:pStyle w:val="ParaNoG"/>
        <w:numPr>
          <w:ilvl w:val="0"/>
          <w:numId w:val="0"/>
        </w:numPr>
        <w:tabs>
          <w:tab w:val="left" w:pos="0"/>
        </w:tabs>
        <w:ind w:left="1134"/>
      </w:pPr>
      <w:r w:rsidRPr="00FD6A6A">
        <w:t>186.</w:t>
      </w:r>
      <w:r w:rsidRPr="00FD6A6A">
        <w:tab/>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years,</w:t>
      </w:r>
      <w:r w:rsidR="00541D05">
        <w:t xml:space="preserve"> </w:t>
      </w:r>
      <w:r w:rsidR="00D9258C" w:rsidRPr="00FD6A6A">
        <w:t>labor</w:t>
      </w:r>
      <w:r w:rsidR="00541D05">
        <w:t xml:space="preserve"> </w:t>
      </w:r>
      <w:r w:rsidR="00D9258C" w:rsidRPr="00FD6A6A">
        <w:t>inspecting</w:t>
      </w:r>
      <w:r w:rsidR="00541D05">
        <w:t xml:space="preserve"> </w:t>
      </w:r>
      <w:r w:rsidR="00D9258C" w:rsidRPr="00FD6A6A">
        <w:t>authorities</w:t>
      </w:r>
      <w:r w:rsidR="00541D05">
        <w:t xml:space="preserve"> </w:t>
      </w:r>
      <w:r w:rsidR="00D9258C" w:rsidRPr="00FD6A6A">
        <w:t>have</w:t>
      </w:r>
      <w:r w:rsidR="00541D05">
        <w:t xml:space="preserve"> </w:t>
      </w:r>
      <w:r w:rsidR="00D9258C" w:rsidRPr="00FD6A6A">
        <w:t>rescued</w:t>
      </w:r>
      <w:r w:rsidR="00541D05">
        <w:t xml:space="preserve"> </w:t>
      </w:r>
      <w:r w:rsidR="00D9258C" w:rsidRPr="00FD6A6A">
        <w:t>workers,</w:t>
      </w:r>
      <w:r w:rsidR="00541D05">
        <w:t xml:space="preserve"> </w:t>
      </w:r>
      <w:r w:rsidR="00D9258C" w:rsidRPr="00FD6A6A">
        <w:t>especially</w:t>
      </w:r>
      <w:r w:rsidR="00541D05">
        <w:t xml:space="preserve"> </w:t>
      </w:r>
      <w:r w:rsidR="00D9258C" w:rsidRPr="00FD6A6A">
        <w:t>Bolivians,</w:t>
      </w:r>
      <w:r w:rsidR="00541D05">
        <w:t xml:space="preserve"> </w:t>
      </w:r>
      <w:r w:rsidR="00D9258C" w:rsidRPr="00FD6A6A">
        <w:t>who</w:t>
      </w:r>
      <w:r w:rsidR="00541D05">
        <w:t xml:space="preserve"> </w:t>
      </w:r>
      <w:r w:rsidR="00D9258C" w:rsidRPr="00FD6A6A">
        <w:t>were</w:t>
      </w:r>
      <w:r w:rsidR="00541D05">
        <w:t xml:space="preserve"> </w:t>
      </w:r>
      <w:r w:rsidR="00D9258C" w:rsidRPr="00FD6A6A">
        <w:t>found</w:t>
      </w:r>
      <w:r w:rsidR="00541D05">
        <w:t xml:space="preserve"> </w:t>
      </w:r>
      <w:r w:rsidR="00D9258C" w:rsidRPr="00FD6A6A">
        <w:t>in</w:t>
      </w:r>
      <w:r w:rsidR="00541D05">
        <w:t xml:space="preserve"> </w:t>
      </w:r>
      <w:r w:rsidR="00D9258C" w:rsidRPr="00FD6A6A">
        <w:t>conditions</w:t>
      </w:r>
      <w:r w:rsidR="00541D05">
        <w:t xml:space="preserve"> </w:t>
      </w:r>
      <w:r w:rsidR="00D9258C" w:rsidRPr="00FD6A6A">
        <w:t>which</w:t>
      </w:r>
      <w:r w:rsidR="00541D05">
        <w:t xml:space="preserve"> </w:t>
      </w:r>
      <w:r w:rsidR="00D9258C" w:rsidRPr="00FD6A6A">
        <w:t>amount</w:t>
      </w:r>
      <w:r w:rsidR="00541D05">
        <w:t xml:space="preserve"> </w:t>
      </w:r>
      <w:r w:rsidR="00D9258C" w:rsidRPr="00FD6A6A">
        <w:t>to</w:t>
      </w:r>
      <w:r w:rsidR="00541D05">
        <w:t xml:space="preserve"> </w:t>
      </w:r>
      <w:r w:rsidR="00D9258C" w:rsidRPr="00FD6A6A">
        <w:t>slavery.</w:t>
      </w:r>
      <w:r w:rsidR="00541D05">
        <w:t xml:space="preserve"> </w:t>
      </w:r>
      <w:r w:rsidR="00D9258C" w:rsidRPr="00FD6A6A">
        <w:t>Working</w:t>
      </w:r>
      <w:r w:rsidR="00541D05">
        <w:t xml:space="preserve"> </w:t>
      </w:r>
      <w:r w:rsidR="00D9258C" w:rsidRPr="00FD6A6A">
        <w:t>in</w:t>
      </w:r>
      <w:r w:rsidR="00541D05">
        <w:t xml:space="preserve"> </w:t>
      </w:r>
      <w:r w:rsidR="00D9258C" w:rsidRPr="00FD6A6A">
        <w:t>the</w:t>
      </w:r>
      <w:r w:rsidR="00541D05">
        <w:t xml:space="preserve"> </w:t>
      </w:r>
      <w:r w:rsidR="00D9258C" w:rsidRPr="00FD6A6A">
        <w:t>textile</w:t>
      </w:r>
      <w:r w:rsidR="00541D05">
        <w:t xml:space="preserve"> </w:t>
      </w:r>
      <w:r w:rsidR="00D9258C" w:rsidRPr="00FD6A6A">
        <w:t>industry,</w:t>
      </w:r>
      <w:r w:rsidR="00541D05">
        <w:t xml:space="preserve"> </w:t>
      </w:r>
      <w:r w:rsidR="00D9258C" w:rsidRPr="00FD6A6A">
        <w:t>some</w:t>
      </w:r>
      <w:r w:rsidR="00541D05">
        <w:t xml:space="preserve"> </w:t>
      </w:r>
      <w:r w:rsidR="00D9258C" w:rsidRPr="00FD6A6A">
        <w:t>of</w:t>
      </w:r>
      <w:r w:rsidR="00541D05">
        <w:t xml:space="preserve"> </w:t>
      </w:r>
      <w:r w:rsidR="00D9258C" w:rsidRPr="00FD6A6A">
        <w:t>these</w:t>
      </w:r>
      <w:r w:rsidR="00541D05">
        <w:t xml:space="preserve"> </w:t>
      </w:r>
      <w:r w:rsidR="00D9258C" w:rsidRPr="00FD6A6A">
        <w:t>individuals</w:t>
      </w:r>
      <w:r w:rsidR="00541D05">
        <w:t xml:space="preserve"> </w:t>
      </w:r>
      <w:r w:rsidR="00D9258C" w:rsidRPr="00FD6A6A">
        <w:t>lived</w:t>
      </w:r>
      <w:r w:rsidR="00541D05">
        <w:t xml:space="preserve"> </w:t>
      </w:r>
      <w:r w:rsidR="00D9258C" w:rsidRPr="00FD6A6A">
        <w:t>in</w:t>
      </w:r>
      <w:r w:rsidR="00541D05">
        <w:t xml:space="preserve"> </w:t>
      </w:r>
      <w:r w:rsidR="00D9258C" w:rsidRPr="00FD6A6A">
        <w:t>extremely</w:t>
      </w:r>
      <w:r w:rsidR="00541D05">
        <w:t xml:space="preserve"> </w:t>
      </w:r>
      <w:r w:rsidR="00D9258C" w:rsidRPr="00FD6A6A">
        <w:t>crowded</w:t>
      </w:r>
      <w:r w:rsidR="00541D05">
        <w:t xml:space="preserve"> </w:t>
      </w:r>
      <w:r w:rsidR="00D9258C" w:rsidRPr="00FD6A6A">
        <w:t>homes</w:t>
      </w:r>
      <w:r w:rsidR="00541D05">
        <w:t xml:space="preserve"> </w:t>
      </w:r>
      <w:r w:rsidR="00D9258C" w:rsidRPr="00FD6A6A">
        <w:t>in</w:t>
      </w:r>
      <w:r w:rsidR="00541D05">
        <w:t xml:space="preserve"> </w:t>
      </w:r>
      <w:r w:rsidR="00D9258C" w:rsidRPr="00FD6A6A">
        <w:t>unhealthy</w:t>
      </w:r>
      <w:r w:rsidR="00541D05">
        <w:t xml:space="preserve"> </w:t>
      </w:r>
      <w:r w:rsidR="00D9258C" w:rsidRPr="00FD6A6A">
        <w:t>conditions,</w:t>
      </w:r>
      <w:r w:rsidR="00541D05">
        <w:t xml:space="preserve"> </w:t>
      </w:r>
      <w:r w:rsidR="00D9258C" w:rsidRPr="00FD6A6A">
        <w:t>having</w:t>
      </w:r>
      <w:r w:rsidR="00541D05">
        <w:t xml:space="preserve"> </w:t>
      </w:r>
      <w:r w:rsidR="00D9258C" w:rsidRPr="00FD6A6A">
        <w:t>their</w:t>
      </w:r>
      <w:r w:rsidR="00541D05">
        <w:t xml:space="preserve"> </w:t>
      </w:r>
      <w:r w:rsidR="00D9258C" w:rsidRPr="00FD6A6A">
        <w:t>documents</w:t>
      </w:r>
      <w:r w:rsidR="00541D05">
        <w:t xml:space="preserve"> </w:t>
      </w:r>
      <w:r w:rsidR="00D9258C" w:rsidRPr="00FD6A6A">
        <w:t>withheld</w:t>
      </w:r>
      <w:r w:rsidR="00541D05">
        <w:t xml:space="preserve"> </w:t>
      </w:r>
      <w:r w:rsidR="00D9258C" w:rsidRPr="00FD6A6A">
        <w:t>by</w:t>
      </w:r>
      <w:r w:rsidR="00541D05">
        <w:t xml:space="preserve"> </w:t>
      </w:r>
      <w:r w:rsidR="00D9258C" w:rsidRPr="00FD6A6A">
        <w:t>their</w:t>
      </w:r>
      <w:r w:rsidR="00541D05">
        <w:t xml:space="preserve"> </w:t>
      </w:r>
      <w:r w:rsidR="00D9258C" w:rsidRPr="00FD6A6A">
        <w:t>employers,</w:t>
      </w:r>
      <w:r w:rsidR="00541D05">
        <w:t xml:space="preserve"> </w:t>
      </w:r>
      <w:r w:rsidR="00D9258C" w:rsidRPr="00FD6A6A">
        <w:t>and</w:t>
      </w:r>
      <w:r w:rsidR="00541D05">
        <w:t xml:space="preserve"> </w:t>
      </w:r>
      <w:r w:rsidR="00D9258C" w:rsidRPr="00FD6A6A">
        <w:t>being</w:t>
      </w:r>
      <w:r w:rsidR="00541D05">
        <w:t xml:space="preserve"> </w:t>
      </w:r>
      <w:r w:rsidR="00D9258C" w:rsidRPr="00FD6A6A">
        <w:t>prevented</w:t>
      </w:r>
      <w:r w:rsidR="00541D05">
        <w:t xml:space="preserve"> </w:t>
      </w:r>
      <w:r w:rsidR="00D9258C" w:rsidRPr="00FD6A6A">
        <w:t>from</w:t>
      </w:r>
      <w:r w:rsidR="00541D05">
        <w:t xml:space="preserve"> </w:t>
      </w:r>
      <w:r w:rsidR="00D9258C" w:rsidRPr="00FD6A6A">
        <w:t>accessing</w:t>
      </w:r>
      <w:r w:rsidR="00541D05">
        <w:t xml:space="preserve"> </w:t>
      </w:r>
      <w:r w:rsidR="00D9258C" w:rsidRPr="00FD6A6A">
        <w:t>public</w:t>
      </w:r>
      <w:r w:rsidR="00541D05">
        <w:t xml:space="preserve"> </w:t>
      </w:r>
      <w:r w:rsidR="00D9258C" w:rsidRPr="00FD6A6A">
        <w:t>health</w:t>
      </w:r>
      <w:r w:rsidR="00541D05">
        <w:t xml:space="preserve"> </w:t>
      </w:r>
      <w:r w:rsidR="00D9258C" w:rsidRPr="00FD6A6A">
        <w:t>care</w:t>
      </w:r>
      <w:r w:rsidR="00541D05">
        <w:t xml:space="preserve"> </w:t>
      </w:r>
      <w:r w:rsidR="00D9258C" w:rsidRPr="00FD6A6A">
        <w:t>and</w:t>
      </w:r>
      <w:r w:rsidR="00541D05">
        <w:t xml:space="preserve"> </w:t>
      </w:r>
      <w:r w:rsidR="00D9258C" w:rsidRPr="00FD6A6A">
        <w:t>public</w:t>
      </w:r>
      <w:r w:rsidR="00541D05">
        <w:t xml:space="preserve"> </w:t>
      </w:r>
      <w:r w:rsidR="00D9258C" w:rsidRPr="00FD6A6A">
        <w:t>education</w:t>
      </w:r>
      <w:r w:rsidR="00541D05">
        <w:t xml:space="preserve"> </w:t>
      </w:r>
      <w:r w:rsidR="00D9258C" w:rsidRPr="00FD6A6A">
        <w:t>and</w:t>
      </w:r>
      <w:r w:rsidR="00541D05">
        <w:t xml:space="preserve"> </w:t>
      </w:r>
      <w:r w:rsidR="00D9258C" w:rsidRPr="00FD6A6A">
        <w:t>even</w:t>
      </w:r>
      <w:r w:rsidR="00541D05">
        <w:t xml:space="preserve"> </w:t>
      </w:r>
      <w:r w:rsidR="00D9258C" w:rsidRPr="00FD6A6A">
        <w:t>from</w:t>
      </w:r>
      <w:r w:rsidR="00541D05">
        <w:t xml:space="preserve"> </w:t>
      </w:r>
      <w:r w:rsidR="00D9258C" w:rsidRPr="00FD6A6A">
        <w:t>seeking</w:t>
      </w:r>
      <w:r w:rsidR="00541D05">
        <w:t xml:space="preserve"> </w:t>
      </w:r>
      <w:r w:rsidR="00D9258C" w:rsidRPr="00FD6A6A">
        <w:t>another</w:t>
      </w:r>
      <w:r w:rsidR="00541D05">
        <w:t xml:space="preserve"> </w:t>
      </w:r>
      <w:r w:rsidR="00D9258C" w:rsidRPr="00FD6A6A">
        <w:t>source</w:t>
      </w:r>
      <w:r w:rsidR="00541D05">
        <w:t xml:space="preserve"> </w:t>
      </w:r>
      <w:r w:rsidR="00D9258C" w:rsidRPr="00FD6A6A">
        <w:t>of</w:t>
      </w:r>
      <w:r w:rsidR="00541D05">
        <w:t xml:space="preserve"> </w:t>
      </w:r>
      <w:r w:rsidR="00D9258C" w:rsidRPr="00FD6A6A">
        <w:t>income.</w:t>
      </w:r>
    </w:p>
    <w:p w14:paraId="67B421BE" w14:textId="716738DF" w:rsidR="00D9258C" w:rsidRPr="00FD6A6A" w:rsidRDefault="00D9258C" w:rsidP="00115F43">
      <w:pPr>
        <w:pStyle w:val="HChG"/>
      </w:pPr>
      <w:r w:rsidRPr="00FD6A6A">
        <w:tab/>
        <w:t>VII.</w:t>
      </w:r>
      <w:r w:rsidRPr="00FD6A6A">
        <w:tab/>
        <w:t>Article</w:t>
      </w:r>
      <w:r w:rsidR="00541D05">
        <w:t xml:space="preserve"> </w:t>
      </w:r>
      <w:r w:rsidRPr="00FD6A6A">
        <w:t>6</w:t>
      </w:r>
      <w:r w:rsidR="00541D05">
        <w:t xml:space="preserve"> </w:t>
      </w:r>
      <w:r w:rsidRPr="00FD6A6A">
        <w:t>–</w:t>
      </w:r>
      <w:r w:rsidR="00541D05">
        <w:t xml:space="preserve"> </w:t>
      </w:r>
      <w:r w:rsidRPr="00FD6A6A">
        <w:t>Access</w:t>
      </w:r>
      <w:r w:rsidR="00541D05">
        <w:t xml:space="preserve"> </w:t>
      </w:r>
      <w:r w:rsidRPr="00FD6A6A">
        <w:t>to</w:t>
      </w:r>
      <w:r w:rsidR="00541D05">
        <w:t xml:space="preserve"> </w:t>
      </w:r>
      <w:r w:rsidRPr="00FD6A6A">
        <w:t>justice</w:t>
      </w:r>
    </w:p>
    <w:p w14:paraId="047F526A" w14:textId="08678398" w:rsidR="00D9258C" w:rsidRPr="00FD6A6A" w:rsidRDefault="00166390" w:rsidP="00166390">
      <w:pPr>
        <w:pStyle w:val="ParaNoG"/>
        <w:numPr>
          <w:ilvl w:val="0"/>
          <w:numId w:val="0"/>
        </w:numPr>
        <w:tabs>
          <w:tab w:val="left" w:pos="0"/>
        </w:tabs>
        <w:ind w:left="1134"/>
      </w:pPr>
      <w:r w:rsidRPr="00FD6A6A">
        <w:t>187.</w:t>
      </w:r>
      <w:r w:rsidRPr="00FD6A6A">
        <w:tab/>
      </w:r>
      <w:r w:rsidR="00D9258C" w:rsidRPr="00FD6A6A">
        <w:t>With</w:t>
      </w:r>
      <w:r w:rsidR="00541D05">
        <w:t xml:space="preserve"> </w:t>
      </w:r>
      <w:r w:rsidR="00D9258C" w:rsidRPr="00FD6A6A">
        <w:t>regards</w:t>
      </w:r>
      <w:r w:rsidR="00541D05">
        <w:t xml:space="preserve"> </w:t>
      </w:r>
      <w:r w:rsidR="00D9258C" w:rsidRPr="00FD6A6A">
        <w:t>to</w:t>
      </w:r>
      <w:r w:rsidR="00541D05">
        <w:t xml:space="preserve"> </w:t>
      </w:r>
      <w:r w:rsidR="00D9258C" w:rsidRPr="00FD6A6A">
        <w:t>the</w:t>
      </w:r>
      <w:r w:rsidR="00541D05">
        <w:t xml:space="preserve"> </w:t>
      </w:r>
      <w:r w:rsidR="00D9258C" w:rsidRPr="00FD6A6A">
        <w:t>cases</w:t>
      </w:r>
      <w:r w:rsidR="00541D05">
        <w:t xml:space="preserve"> </w:t>
      </w:r>
      <w:r w:rsidR="00D9258C" w:rsidRPr="00FD6A6A">
        <w:t>of</w:t>
      </w:r>
      <w:r w:rsidR="00541D05">
        <w:t xml:space="preserve"> </w:t>
      </w:r>
      <w:r w:rsidR="00D9258C" w:rsidRPr="00FD6A6A">
        <w:t>racism</w:t>
      </w:r>
      <w:r w:rsidR="00541D05">
        <w:t xml:space="preserve"> </w:t>
      </w:r>
      <w:r w:rsidR="00D9258C" w:rsidRPr="00FD6A6A">
        <w:t>described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7,716/1989,</w:t>
      </w:r>
      <w:r w:rsidR="00541D05">
        <w:t xml:space="preserve"> </w:t>
      </w:r>
      <w:r w:rsidR="00D9258C" w:rsidRPr="00FD6A6A">
        <w:t>the</w:t>
      </w:r>
      <w:r w:rsidR="00541D05">
        <w:t xml:space="preserve"> </w:t>
      </w:r>
      <w:r w:rsidR="00D9258C" w:rsidRPr="00FD6A6A">
        <w:t>Prosecution</w:t>
      </w:r>
      <w:r w:rsidR="00541D05">
        <w:t xml:space="preserve"> </w:t>
      </w:r>
      <w:r w:rsidR="00D9258C" w:rsidRPr="00FD6A6A">
        <w:t>Service</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filing</w:t>
      </w:r>
      <w:r w:rsidR="00541D05">
        <w:t xml:space="preserve"> </w:t>
      </w:r>
      <w:r w:rsidR="00D9258C" w:rsidRPr="00FD6A6A">
        <w:t>criminal</w:t>
      </w:r>
      <w:r w:rsidR="00541D05">
        <w:t xml:space="preserve"> </w:t>
      </w:r>
      <w:r w:rsidR="00D9258C" w:rsidRPr="00FD6A6A">
        <w:t>actions</w:t>
      </w:r>
      <w:r w:rsidR="00541D05">
        <w:t xml:space="preserve"> </w:t>
      </w:r>
      <w:r w:rsidR="00D9258C" w:rsidRPr="00FD6A6A">
        <w:t>in</w:t>
      </w:r>
      <w:r w:rsidR="00541D05">
        <w:t xml:space="preserve"> </w:t>
      </w:r>
      <w:r w:rsidR="00D9258C" w:rsidRPr="00FD6A6A">
        <w:t>the</w:t>
      </w:r>
      <w:r w:rsidR="00541D05">
        <w:t xml:space="preserve"> </w:t>
      </w:r>
      <w:r w:rsidR="00D9258C" w:rsidRPr="00FD6A6A">
        <w:t>states.</w:t>
      </w:r>
      <w:r w:rsidR="00541D05">
        <w:t xml:space="preserve"> </w:t>
      </w:r>
      <w:r w:rsidR="00D9258C" w:rsidRPr="00FD6A6A">
        <w:t>When</w:t>
      </w:r>
      <w:r w:rsidR="00541D05">
        <w:t xml:space="preserve"> </w:t>
      </w:r>
      <w:r w:rsidR="00D9258C" w:rsidRPr="00FD6A6A">
        <w:t>there</w:t>
      </w:r>
      <w:r w:rsidR="00541D05">
        <w:t xml:space="preserve"> </w:t>
      </w:r>
      <w:r w:rsidR="00D9258C" w:rsidRPr="00FD6A6A">
        <w:t>is</w:t>
      </w:r>
      <w:r w:rsidR="00541D05">
        <w:t xml:space="preserve"> </w:t>
      </w:r>
      <w:r w:rsidR="00D9258C" w:rsidRPr="00FD6A6A">
        <w:t>an</w:t>
      </w:r>
      <w:r w:rsidR="00541D05">
        <w:t xml:space="preserve"> </w:t>
      </w:r>
      <w:r w:rsidR="00D9258C" w:rsidRPr="00FD6A6A">
        <w:t>infringement</w:t>
      </w:r>
      <w:r w:rsidR="00541D05">
        <w:t xml:space="preserve"> </w:t>
      </w:r>
      <w:r w:rsidR="00D9258C" w:rsidRPr="00FD6A6A">
        <w:t>of</w:t>
      </w:r>
      <w:r w:rsidR="00541D05">
        <w:t xml:space="preserve"> </w:t>
      </w:r>
      <w:r w:rsidR="00D9258C" w:rsidRPr="00FD6A6A">
        <w:t>common</w:t>
      </w:r>
      <w:r w:rsidR="00541D05">
        <w:t xml:space="preserve"> </w:t>
      </w:r>
      <w:r w:rsidR="00D9258C" w:rsidRPr="00FD6A6A">
        <w:t>and</w:t>
      </w:r>
      <w:r w:rsidR="00541D05">
        <w:t xml:space="preserve"> </w:t>
      </w:r>
      <w:r w:rsidR="00D9258C" w:rsidRPr="00FD6A6A">
        <w:t>collective</w:t>
      </w:r>
      <w:r w:rsidR="00541D05">
        <w:t xml:space="preserve"> </w:t>
      </w:r>
      <w:r w:rsidR="00D9258C" w:rsidRPr="00FD6A6A">
        <w:t>rights,</w:t>
      </w:r>
      <w:r w:rsidR="00541D05">
        <w:t xml:space="preserve"> </w:t>
      </w:r>
      <w:r w:rsidR="00D9258C" w:rsidRPr="00FD6A6A">
        <w:t>such</w:t>
      </w:r>
      <w:r w:rsidR="00541D05">
        <w:t xml:space="preserve"> </w:t>
      </w:r>
      <w:r w:rsidR="00D9258C" w:rsidRPr="00FD6A6A">
        <w:t>as</w:t>
      </w:r>
      <w:r w:rsidR="00541D05">
        <w:t xml:space="preserve"> </w:t>
      </w:r>
      <w:r w:rsidR="00D9258C" w:rsidRPr="00FD6A6A">
        <w:t>the</w:t>
      </w:r>
      <w:r w:rsidR="00541D05">
        <w:t xml:space="preserve"> </w:t>
      </w:r>
      <w:r w:rsidR="00D9258C" w:rsidRPr="00FD6A6A">
        <w:t>broadcasting</w:t>
      </w:r>
      <w:r w:rsidR="00541D05">
        <w:t xml:space="preserve"> </w:t>
      </w:r>
      <w:r w:rsidR="00D9258C" w:rsidRPr="00FD6A6A">
        <w:t>of</w:t>
      </w:r>
      <w:r w:rsidR="00541D05">
        <w:t xml:space="preserve"> </w:t>
      </w:r>
      <w:r w:rsidR="00D9258C" w:rsidRPr="00FD6A6A">
        <w:t>racist</w:t>
      </w:r>
      <w:r w:rsidR="00541D05">
        <w:t xml:space="preserve"> </w:t>
      </w:r>
      <w:r w:rsidR="00D9258C" w:rsidRPr="00FD6A6A">
        <w:t>propaganda</w:t>
      </w:r>
      <w:r w:rsidR="00541D05">
        <w:t xml:space="preserve"> </w:t>
      </w:r>
      <w:r w:rsidR="00D9258C" w:rsidRPr="00FD6A6A">
        <w:t>in</w:t>
      </w:r>
      <w:r w:rsidR="00541D05">
        <w:t xml:space="preserve"> </w:t>
      </w:r>
      <w:r w:rsidR="00D9258C" w:rsidRPr="00FD6A6A">
        <w:t>the</w:t>
      </w:r>
      <w:r w:rsidR="00541D05">
        <w:t xml:space="preserve"> </w:t>
      </w:r>
      <w:r w:rsidR="00D9258C" w:rsidRPr="00FD6A6A">
        <w:t>media,</w:t>
      </w:r>
      <w:r w:rsidR="00541D05">
        <w:t xml:space="preserve"> </w:t>
      </w:r>
      <w:r w:rsidR="00D9258C" w:rsidRPr="00FD6A6A">
        <w:t>it</w:t>
      </w:r>
      <w:r w:rsidR="00541D05">
        <w:t xml:space="preserve"> </w:t>
      </w:r>
      <w:r w:rsidR="00D9258C" w:rsidRPr="00FD6A6A">
        <w:t>may</w:t>
      </w:r>
      <w:r w:rsidR="00541D05">
        <w:t xml:space="preserve"> </w:t>
      </w:r>
      <w:r w:rsidR="00D9258C" w:rsidRPr="00FD6A6A">
        <w:t>be</w:t>
      </w:r>
      <w:r w:rsidR="00541D05">
        <w:t xml:space="preserve"> </w:t>
      </w:r>
      <w:r w:rsidR="00D9258C" w:rsidRPr="00FD6A6A">
        <w:t>reported</w:t>
      </w:r>
      <w:r w:rsidR="00541D05">
        <w:t xml:space="preserve"> </w:t>
      </w:r>
      <w:r w:rsidR="00D9258C" w:rsidRPr="00FD6A6A">
        <w:t>to</w:t>
      </w:r>
      <w:r w:rsidR="00541D05">
        <w:t xml:space="preserve"> </w:t>
      </w:r>
      <w:r w:rsidR="00D9258C" w:rsidRPr="00FD6A6A">
        <w:t>the</w:t>
      </w:r>
      <w:r w:rsidR="00541D05">
        <w:t xml:space="preserve"> </w:t>
      </w:r>
      <w:r w:rsidR="00D9258C" w:rsidRPr="00FD6A6A">
        <w:t>Federal</w:t>
      </w:r>
      <w:r w:rsidR="00541D05">
        <w:t xml:space="preserve"> </w:t>
      </w:r>
      <w:r w:rsidR="00D9258C" w:rsidRPr="00FD6A6A">
        <w:t>Prosecution</w:t>
      </w:r>
      <w:r w:rsidR="00541D05">
        <w:t xml:space="preserve"> </w:t>
      </w:r>
      <w:r w:rsidR="00D9258C" w:rsidRPr="00FD6A6A">
        <w:t>Service</w:t>
      </w:r>
      <w:r w:rsidR="00541D05">
        <w:t xml:space="preserve"> </w:t>
      </w:r>
      <w:r w:rsidR="00D9258C" w:rsidRPr="00FD6A6A">
        <w:t>for</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the</w:t>
      </w:r>
      <w:r w:rsidR="00541D05">
        <w:t xml:space="preserve"> </w:t>
      </w:r>
      <w:r w:rsidR="00D9258C" w:rsidRPr="00FD6A6A">
        <w:t>Citizen</w:t>
      </w:r>
      <w:r w:rsidR="00541D05">
        <w:t xml:space="preserve"> </w:t>
      </w:r>
      <w:r w:rsidR="00D9258C" w:rsidRPr="00FD6A6A">
        <w:t>or</w:t>
      </w:r>
      <w:r w:rsidR="00541D05">
        <w:t xml:space="preserve"> </w:t>
      </w:r>
      <w:r w:rsidR="00D9258C" w:rsidRPr="00FD6A6A">
        <w:t>to</w:t>
      </w:r>
      <w:r w:rsidR="00541D05">
        <w:t xml:space="preserve"> </w:t>
      </w:r>
      <w:r w:rsidR="00D9258C" w:rsidRPr="00FD6A6A">
        <w:t>the</w:t>
      </w:r>
      <w:r w:rsidR="00541D05">
        <w:t xml:space="preserve"> </w:t>
      </w:r>
      <w:r w:rsidR="00D9258C" w:rsidRPr="00FD6A6A">
        <w:t>Federal</w:t>
      </w:r>
      <w:r w:rsidR="00541D05">
        <w:t xml:space="preserve"> </w:t>
      </w:r>
      <w:r w:rsidR="00D9258C" w:rsidRPr="00FD6A6A">
        <w:t>Public</w:t>
      </w:r>
      <w:r w:rsidR="00541D05">
        <w:t xml:space="preserve"> </w:t>
      </w:r>
      <w:r w:rsidR="00D9258C" w:rsidRPr="00FD6A6A">
        <w:t>Defender</w:t>
      </w:r>
      <w:r w:rsidR="00EA62F1">
        <w:t>’</w:t>
      </w:r>
      <w:r w:rsidR="00D9258C" w:rsidRPr="00FD6A6A">
        <w:t>s</w:t>
      </w:r>
      <w:r w:rsidR="00541D05">
        <w:t xml:space="preserve"> </w:t>
      </w:r>
      <w:r w:rsidR="00D9258C" w:rsidRPr="00FD6A6A">
        <w:t>Office.</w:t>
      </w:r>
      <w:r w:rsidR="00541D05">
        <w:t xml:space="preserve"> </w:t>
      </w:r>
      <w:r w:rsidR="00D9258C" w:rsidRPr="00FD6A6A">
        <w:t>In</w:t>
      </w:r>
      <w:r w:rsidR="00541D05">
        <w:t xml:space="preserve"> </w:t>
      </w:r>
      <w:r w:rsidR="00D9258C" w:rsidRPr="00FD6A6A">
        <w:t>cases</w:t>
      </w:r>
      <w:r w:rsidR="00541D05">
        <w:t xml:space="preserve"> </w:t>
      </w:r>
      <w:r w:rsidR="00D9258C" w:rsidRPr="00FD6A6A">
        <w:t>of</w:t>
      </w:r>
      <w:r w:rsidR="00541D05">
        <w:t xml:space="preserve"> </w:t>
      </w:r>
      <w:r w:rsidR="00D9258C" w:rsidRPr="00FD6A6A">
        <w:t>discrimination</w:t>
      </w:r>
      <w:r w:rsidR="00541D05">
        <w:t xml:space="preserve"> </w:t>
      </w:r>
      <w:r w:rsidR="00D9258C" w:rsidRPr="00FD6A6A">
        <w:t>in</w:t>
      </w:r>
      <w:r w:rsidR="00541D05">
        <w:t xml:space="preserve"> </w:t>
      </w:r>
      <w:r w:rsidR="00D9258C" w:rsidRPr="00FD6A6A">
        <w:t>the</w:t>
      </w:r>
      <w:r w:rsidR="00541D05">
        <w:t xml:space="preserve"> </w:t>
      </w:r>
      <w:r w:rsidR="00D9258C" w:rsidRPr="00FD6A6A">
        <w:t>work</w:t>
      </w:r>
      <w:r w:rsidR="00541D05">
        <w:t xml:space="preserve"> </w:t>
      </w:r>
      <w:r w:rsidR="00D9258C" w:rsidRPr="00FD6A6A">
        <w:t>environment,</w:t>
      </w:r>
      <w:r w:rsidR="00541D05">
        <w:t xml:space="preserve"> </w:t>
      </w:r>
      <w:r w:rsidR="00D9258C" w:rsidRPr="00FD6A6A">
        <w:t>the</w:t>
      </w:r>
      <w:r w:rsidR="00541D05">
        <w:t xml:space="preserve"> </w:t>
      </w:r>
      <w:r w:rsidR="00D9258C" w:rsidRPr="00FD6A6A">
        <w:t>Labor</w:t>
      </w:r>
      <w:r w:rsidR="00541D05">
        <w:t xml:space="preserve"> </w:t>
      </w:r>
      <w:r w:rsidR="00D9258C" w:rsidRPr="00FD6A6A">
        <w:t>Prosecution</w:t>
      </w:r>
      <w:r w:rsidR="00541D05">
        <w:t xml:space="preserve"> </w:t>
      </w:r>
      <w:r w:rsidR="00D9258C" w:rsidRPr="00FD6A6A">
        <w:t>Service</w:t>
      </w:r>
      <w:r w:rsidR="00541D05">
        <w:t xml:space="preserve"> </w:t>
      </w:r>
      <w:r w:rsidR="00D9258C" w:rsidRPr="00FD6A6A">
        <w:t>may</w:t>
      </w:r>
      <w:r w:rsidR="00541D05">
        <w:t xml:space="preserve"> </w:t>
      </w:r>
      <w:r w:rsidR="00D9258C" w:rsidRPr="00FD6A6A">
        <w:t>also</w:t>
      </w:r>
      <w:r w:rsidR="00541D05">
        <w:t xml:space="preserve"> </w:t>
      </w:r>
      <w:r w:rsidR="00D9258C" w:rsidRPr="00FD6A6A">
        <w:t>be</w:t>
      </w:r>
      <w:r w:rsidR="00541D05">
        <w:t xml:space="preserve"> </w:t>
      </w:r>
      <w:r w:rsidR="00D9258C" w:rsidRPr="00FD6A6A">
        <w:t>involved.</w:t>
      </w:r>
    </w:p>
    <w:p w14:paraId="23895E90" w14:textId="3944330E" w:rsidR="00D9258C" w:rsidRPr="00FD6A6A" w:rsidRDefault="00166390" w:rsidP="00166390">
      <w:pPr>
        <w:pStyle w:val="ParaNoG"/>
        <w:numPr>
          <w:ilvl w:val="0"/>
          <w:numId w:val="0"/>
        </w:numPr>
        <w:tabs>
          <w:tab w:val="left" w:pos="0"/>
        </w:tabs>
        <w:ind w:left="1134"/>
      </w:pPr>
      <w:r w:rsidRPr="00FD6A6A">
        <w:t>188.</w:t>
      </w:r>
      <w:r w:rsidRPr="00FD6A6A">
        <w:tab/>
      </w:r>
      <w:r w:rsidR="00D9258C" w:rsidRPr="00FD6A6A">
        <w:t>Furthermore,</w:t>
      </w:r>
      <w:r w:rsidR="00541D05">
        <w:t xml:space="preserve"> </w:t>
      </w:r>
      <w:r w:rsidR="00D9258C" w:rsidRPr="00FD6A6A">
        <w:t>the</w:t>
      </w:r>
      <w:r w:rsidR="00541D05">
        <w:t xml:space="preserve"> </w:t>
      </w:r>
      <w:r w:rsidR="00D9258C" w:rsidRPr="00FD6A6A">
        <w:t>Brazilian</w:t>
      </w:r>
      <w:r w:rsidR="00541D05">
        <w:t xml:space="preserve"> </w:t>
      </w:r>
      <w:r w:rsidR="00D9258C" w:rsidRPr="00FD6A6A">
        <w:t>Civil</w:t>
      </w:r>
      <w:r w:rsidR="00541D05">
        <w:t xml:space="preserve"> </w:t>
      </w:r>
      <w:r w:rsidR="00D9258C" w:rsidRPr="00FD6A6A">
        <w:t>Code,</w:t>
      </w:r>
      <w:r w:rsidR="00541D05">
        <w:t xml:space="preserve"> </w:t>
      </w:r>
      <w:r w:rsidR="00D9258C" w:rsidRPr="00FD6A6A">
        <w:t>sanctioned</w:t>
      </w:r>
      <w:r w:rsidR="00541D05">
        <w:t xml:space="preserve"> </w:t>
      </w:r>
      <w:r w:rsidR="00D9258C" w:rsidRPr="00FD6A6A">
        <w:t>in</w:t>
      </w:r>
      <w:r w:rsidR="00541D05">
        <w:t xml:space="preserve"> </w:t>
      </w:r>
      <w:r w:rsidR="00D9258C" w:rsidRPr="00FD6A6A">
        <w:t>2002,</w:t>
      </w:r>
      <w:r w:rsidR="00541D05">
        <w:t xml:space="preserve"> </w:t>
      </w:r>
      <w:r w:rsidR="00D9258C" w:rsidRPr="00FD6A6A">
        <w:t>ensures</w:t>
      </w:r>
      <w:r w:rsidR="00541D05">
        <w:t xml:space="preserve"> </w:t>
      </w:r>
      <w:r w:rsidR="00D9258C" w:rsidRPr="00FD6A6A">
        <w:t>to</w:t>
      </w:r>
      <w:r w:rsidR="00541D05">
        <w:t xml:space="preserve"> </w:t>
      </w:r>
      <w:r w:rsidR="00D9258C" w:rsidRPr="00FD6A6A">
        <w:t>the</w:t>
      </w:r>
      <w:r w:rsidR="00541D05">
        <w:t xml:space="preserve"> </w:t>
      </w:r>
      <w:r w:rsidR="00D9258C" w:rsidRPr="00FD6A6A">
        <w:t>injured</w:t>
      </w:r>
      <w:r w:rsidR="00541D05">
        <w:t xml:space="preserve"> </w:t>
      </w:r>
      <w:r w:rsidR="00D9258C" w:rsidRPr="00FD6A6A">
        <w:t>person</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act</w:t>
      </w:r>
      <w:r w:rsidR="00541D05">
        <w:t xml:space="preserve"> </w:t>
      </w:r>
      <w:r w:rsidR="00D9258C" w:rsidRPr="00FD6A6A">
        <w:t>against</w:t>
      </w:r>
      <w:r w:rsidR="00541D05">
        <w:t xml:space="preserve"> </w:t>
      </w:r>
      <w:r w:rsidR="00D9258C" w:rsidRPr="00FD6A6A">
        <w:t>the</w:t>
      </w:r>
      <w:r w:rsidR="00541D05">
        <w:t xml:space="preserve"> </w:t>
      </w:r>
      <w:r w:rsidR="00D9258C" w:rsidRPr="00FD6A6A">
        <w:t>offender</w:t>
      </w:r>
      <w:r w:rsidR="00541D05">
        <w:t xml:space="preserve"> </w:t>
      </w:r>
      <w:r w:rsidR="00D9258C" w:rsidRPr="00FD6A6A">
        <w:t>who</w:t>
      </w:r>
      <w:r w:rsidR="00541D05">
        <w:t xml:space="preserve"> </w:t>
      </w:r>
      <w:r w:rsidR="00D9258C" w:rsidRPr="00FD6A6A">
        <w:t>has</w:t>
      </w:r>
      <w:r w:rsidR="00541D05">
        <w:t xml:space="preserve"> </w:t>
      </w:r>
      <w:r w:rsidR="00D9258C" w:rsidRPr="00FD6A6A">
        <w:t>threatened</w:t>
      </w:r>
      <w:r w:rsidR="00541D05">
        <w:t xml:space="preserve"> </w:t>
      </w:r>
      <w:r w:rsidR="00D9258C" w:rsidRPr="00FD6A6A">
        <w:t>his/her</w:t>
      </w:r>
      <w:r w:rsidR="00541D05">
        <w:t xml:space="preserve"> </w:t>
      </w:r>
      <w:r w:rsidR="00D9258C" w:rsidRPr="00FD6A6A">
        <w:t>right</w:t>
      </w:r>
      <w:r w:rsidR="00541D05">
        <w:t xml:space="preserve"> </w:t>
      </w:r>
      <w:r w:rsidR="00D9258C" w:rsidRPr="00FD6A6A">
        <w:t>to</w:t>
      </w:r>
      <w:r w:rsidR="00541D05">
        <w:t xml:space="preserve"> </w:t>
      </w:r>
      <w:r w:rsidR="00D9258C" w:rsidRPr="00FD6A6A">
        <w:t>personality</w:t>
      </w:r>
      <w:r w:rsidR="00541D05">
        <w:t xml:space="preserve"> </w:t>
      </w:r>
      <w:r w:rsidR="00D9258C" w:rsidRPr="00FD6A6A">
        <w:t>by</w:t>
      </w:r>
      <w:r w:rsidR="00541D05">
        <w:t xml:space="preserve"> </w:t>
      </w:r>
      <w:r w:rsidR="00D9258C" w:rsidRPr="00FD6A6A">
        <w:t>claiming</w:t>
      </w:r>
      <w:r w:rsidR="00541D05">
        <w:t xml:space="preserve"> </w:t>
      </w:r>
      <w:r w:rsidR="00D9258C" w:rsidRPr="00FD6A6A">
        <w:t>before</w:t>
      </w:r>
      <w:r w:rsidR="00541D05">
        <w:t xml:space="preserve"> </w:t>
      </w:r>
      <w:r w:rsidR="00D9258C" w:rsidRPr="00FD6A6A">
        <w:t>a</w:t>
      </w:r>
      <w:r w:rsidR="00541D05">
        <w:t xml:space="preserve"> </w:t>
      </w:r>
      <w:r w:rsidR="00D9258C" w:rsidRPr="00FD6A6A">
        <w:t>Court,</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the</w:t>
      </w:r>
      <w:r w:rsidR="00541D05">
        <w:t xml:space="preserve"> </w:t>
      </w:r>
      <w:r w:rsidR="00D9258C" w:rsidRPr="00FD6A6A">
        <w:t>end</w:t>
      </w:r>
      <w:r w:rsidR="00541D05">
        <w:t xml:space="preserve"> </w:t>
      </w:r>
      <w:r w:rsidR="00D9258C" w:rsidRPr="00FD6A6A">
        <w:t>of</w:t>
      </w:r>
      <w:r w:rsidR="00541D05">
        <w:t xml:space="preserve"> </w:t>
      </w:r>
      <w:r w:rsidR="00D9258C" w:rsidRPr="00FD6A6A">
        <w:t>the</w:t>
      </w:r>
      <w:r w:rsidR="00541D05">
        <w:t xml:space="preserve"> </w:t>
      </w:r>
      <w:r w:rsidR="00D9258C" w:rsidRPr="00FD6A6A">
        <w:t>threat,</w:t>
      </w:r>
      <w:r w:rsidR="00541D05">
        <w:t xml:space="preserve"> </w:t>
      </w:r>
      <w:r w:rsidR="00D9258C" w:rsidRPr="00FD6A6A">
        <w:t>compensation</w:t>
      </w:r>
      <w:r w:rsidR="00541D05">
        <w:t xml:space="preserve"> </w:t>
      </w:r>
      <w:r w:rsidR="00D9258C" w:rsidRPr="00FD6A6A">
        <w:t>for</w:t>
      </w:r>
      <w:r w:rsidR="00541D05">
        <w:t xml:space="preserve"> </w:t>
      </w:r>
      <w:r w:rsidR="00D9258C" w:rsidRPr="00FD6A6A">
        <w:t>losses</w:t>
      </w:r>
      <w:r w:rsidR="00541D05">
        <w:t xml:space="preserve"> </w:t>
      </w:r>
      <w:r w:rsidR="00D9258C" w:rsidRPr="00FD6A6A">
        <w:t>and</w:t>
      </w:r>
      <w:r w:rsidR="00541D05">
        <w:t xml:space="preserve"> </w:t>
      </w:r>
      <w:r w:rsidR="00D9258C" w:rsidRPr="00FD6A6A">
        <w:t>damages,</w:t>
      </w:r>
      <w:r w:rsidR="00541D05">
        <w:t xml:space="preserve"> </w:t>
      </w:r>
      <w:r w:rsidR="00D9258C" w:rsidRPr="00FD6A6A">
        <w:t>besides</w:t>
      </w:r>
      <w:r w:rsidR="00541D05">
        <w:t xml:space="preserve"> </w:t>
      </w:r>
      <w:r w:rsidR="00D9258C" w:rsidRPr="00FD6A6A">
        <w:t>other</w:t>
      </w:r>
      <w:r w:rsidR="00541D05">
        <w:t xml:space="preserve"> </w:t>
      </w:r>
      <w:r w:rsidR="00D9258C" w:rsidRPr="00FD6A6A">
        <w:t>sanctions</w:t>
      </w:r>
      <w:r w:rsidR="00541D05">
        <w:t xml:space="preserve"> </w:t>
      </w:r>
      <w:r w:rsidR="00D9258C" w:rsidRPr="00FD6A6A">
        <w:t>provided</w:t>
      </w:r>
      <w:r w:rsidR="00541D05">
        <w:t xml:space="preserve"> </w:t>
      </w:r>
      <w:r w:rsidR="00D9258C" w:rsidRPr="00FD6A6A">
        <w:t>by</w:t>
      </w:r>
      <w:r w:rsidR="00541D05">
        <w:t xml:space="preserve"> </w:t>
      </w:r>
      <w:r w:rsidR="00D9258C" w:rsidRPr="00FD6A6A">
        <w:t>law.</w:t>
      </w:r>
      <w:r w:rsidR="00541D05">
        <w:t xml:space="preserve"> </w:t>
      </w:r>
      <w:r w:rsidR="00D9258C" w:rsidRPr="00FD6A6A">
        <w:t>Pursuant</w:t>
      </w:r>
      <w:r w:rsidR="00541D05">
        <w:t xml:space="preserve"> </w:t>
      </w:r>
      <w:r w:rsidR="00D9258C" w:rsidRPr="00FD6A6A">
        <w:t>to</w:t>
      </w:r>
      <w:r w:rsidR="00541D05">
        <w:t xml:space="preserve"> </w:t>
      </w:r>
      <w:r w:rsidR="00D9258C" w:rsidRPr="00FD6A6A">
        <w:t>article</w:t>
      </w:r>
      <w:r w:rsidR="00541D05">
        <w:t xml:space="preserve"> </w:t>
      </w:r>
      <w:r w:rsidR="00D9258C" w:rsidRPr="00FD6A6A">
        <w:t>186</w:t>
      </w:r>
      <w:r w:rsidR="00541D05">
        <w:t xml:space="preserve"> </w:t>
      </w:r>
      <w:r w:rsidR="00D9258C" w:rsidRPr="00FD6A6A">
        <w:t>of</w:t>
      </w:r>
      <w:r w:rsidR="00541D05">
        <w:t xml:space="preserve"> </w:t>
      </w:r>
      <w:r w:rsidR="00D9258C" w:rsidRPr="00FD6A6A">
        <w:t>the</w:t>
      </w:r>
      <w:r w:rsidR="00541D05">
        <w:t xml:space="preserve"> </w:t>
      </w:r>
      <w:r w:rsidR="00D9258C" w:rsidRPr="00FD6A6A">
        <w:t>Civil</w:t>
      </w:r>
      <w:r w:rsidR="00541D05">
        <w:t xml:space="preserve"> </w:t>
      </w:r>
      <w:r w:rsidR="00D9258C" w:rsidRPr="00FD6A6A">
        <w:t>Code,</w:t>
      </w:r>
      <w:r w:rsidR="00541D05">
        <w:t xml:space="preserve"> </w:t>
      </w:r>
      <w:r w:rsidR="00D9258C" w:rsidRPr="00FD6A6A">
        <w:t>the</w:t>
      </w:r>
      <w:r w:rsidR="00541D05">
        <w:t xml:space="preserve"> </w:t>
      </w:r>
      <w:r w:rsidR="00D9258C" w:rsidRPr="00FD6A6A">
        <w:t>person</w:t>
      </w:r>
      <w:r w:rsidR="00541D05">
        <w:t xml:space="preserve"> </w:t>
      </w:r>
      <w:r w:rsidR="00D9258C" w:rsidRPr="00FD6A6A">
        <w:t>who,</w:t>
      </w:r>
      <w:r w:rsidR="00541D05">
        <w:t xml:space="preserve"> </w:t>
      </w:r>
      <w:r w:rsidR="00D9258C" w:rsidRPr="00FD6A6A">
        <w:t>through</w:t>
      </w:r>
      <w:r w:rsidR="00541D05">
        <w:t xml:space="preserve"> </w:t>
      </w:r>
      <w:r w:rsidR="00D9258C" w:rsidRPr="00FD6A6A">
        <w:t>voluntary</w:t>
      </w:r>
      <w:r w:rsidR="00541D05">
        <w:t xml:space="preserve"> </w:t>
      </w:r>
      <w:r w:rsidR="00D9258C" w:rsidRPr="00FD6A6A">
        <w:t>action</w:t>
      </w:r>
      <w:r w:rsidR="00541D05">
        <w:t xml:space="preserve"> </w:t>
      </w:r>
      <w:r w:rsidR="00D9258C" w:rsidRPr="00FD6A6A">
        <w:t>or</w:t>
      </w:r>
      <w:r w:rsidR="00541D05">
        <w:t xml:space="preserve"> </w:t>
      </w:r>
      <w:r w:rsidR="00D9258C" w:rsidRPr="00FD6A6A">
        <w:t>omission,</w:t>
      </w:r>
      <w:r w:rsidR="00541D05">
        <w:t xml:space="preserve"> </w:t>
      </w:r>
      <w:r w:rsidR="00D9258C" w:rsidRPr="00FD6A6A">
        <w:t>negligence</w:t>
      </w:r>
      <w:r w:rsidR="00541D05">
        <w:t xml:space="preserve"> </w:t>
      </w:r>
      <w:r w:rsidR="00D9258C" w:rsidRPr="00FD6A6A">
        <w:t>or</w:t>
      </w:r>
      <w:r w:rsidR="00541D05">
        <w:t xml:space="preserve"> </w:t>
      </w:r>
      <w:r w:rsidR="00D9258C" w:rsidRPr="00FD6A6A">
        <w:t>imprudence,</w:t>
      </w:r>
      <w:r w:rsidR="00541D05">
        <w:t xml:space="preserve"> </w:t>
      </w:r>
      <w:r w:rsidR="00D9258C" w:rsidRPr="00FD6A6A">
        <w:t>violates</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another</w:t>
      </w:r>
      <w:r w:rsidR="00541D05">
        <w:t xml:space="preserve"> </w:t>
      </w:r>
      <w:r w:rsidR="00D9258C" w:rsidRPr="00FD6A6A">
        <w:t>person</w:t>
      </w:r>
      <w:r w:rsidR="00541D05">
        <w:t xml:space="preserve"> </w:t>
      </w:r>
      <w:r w:rsidR="00D9258C" w:rsidRPr="00FD6A6A">
        <w:t>and</w:t>
      </w:r>
      <w:r w:rsidR="00541D05">
        <w:t xml:space="preserve"> </w:t>
      </w:r>
      <w:r w:rsidR="00D9258C" w:rsidRPr="00FD6A6A">
        <w:t>causes</w:t>
      </w:r>
      <w:r w:rsidR="00541D05">
        <w:t xml:space="preserve"> </w:t>
      </w:r>
      <w:r w:rsidR="00D9258C" w:rsidRPr="00FD6A6A">
        <w:t>damage</w:t>
      </w:r>
      <w:r w:rsidR="00541D05">
        <w:t xml:space="preserve"> </w:t>
      </w:r>
      <w:r w:rsidR="00D9258C" w:rsidRPr="00FD6A6A">
        <w:t>to</w:t>
      </w:r>
      <w:r w:rsidR="00541D05">
        <w:t xml:space="preserve"> </w:t>
      </w:r>
      <w:r w:rsidR="00D9258C" w:rsidRPr="00FD6A6A">
        <w:t>him/her,</w:t>
      </w:r>
      <w:r w:rsidR="00541D05">
        <w:t xml:space="preserve"> </w:t>
      </w:r>
      <w:r w:rsidR="00D9258C" w:rsidRPr="00FD6A6A">
        <w:t>even</w:t>
      </w:r>
      <w:r w:rsidR="00541D05">
        <w:t xml:space="preserve"> </w:t>
      </w:r>
      <w:r w:rsidR="00D9258C" w:rsidRPr="00FD6A6A">
        <w:t>if</w:t>
      </w:r>
      <w:r w:rsidR="00541D05">
        <w:t xml:space="preserve"> </w:t>
      </w:r>
      <w:r w:rsidR="00D9258C" w:rsidRPr="00FD6A6A">
        <w:t>it</w:t>
      </w:r>
      <w:r w:rsidR="00541D05">
        <w:t xml:space="preserve"> </w:t>
      </w:r>
      <w:r w:rsidR="00D9258C" w:rsidRPr="00FD6A6A">
        <w:t>is</w:t>
      </w:r>
      <w:r w:rsidR="00541D05">
        <w:t xml:space="preserve"> </w:t>
      </w:r>
      <w:r w:rsidR="00D9258C" w:rsidRPr="00FD6A6A">
        <w:t>exclusively</w:t>
      </w:r>
      <w:r w:rsidR="00541D05">
        <w:t xml:space="preserve"> </w:t>
      </w:r>
      <w:r w:rsidR="00D9258C" w:rsidRPr="00FD6A6A">
        <w:t>moral,</w:t>
      </w:r>
      <w:r w:rsidR="00541D05">
        <w:t xml:space="preserve"> </w:t>
      </w:r>
      <w:r w:rsidR="00D9258C" w:rsidRPr="00FD6A6A">
        <w:t>commits</w:t>
      </w:r>
      <w:r w:rsidR="00541D05">
        <w:t xml:space="preserve"> </w:t>
      </w:r>
      <w:r w:rsidR="00D9258C" w:rsidRPr="00FD6A6A">
        <w:t>unlawful</w:t>
      </w:r>
      <w:r w:rsidR="00541D05">
        <w:t xml:space="preserve"> </w:t>
      </w:r>
      <w:r w:rsidR="00D9258C" w:rsidRPr="00FD6A6A">
        <w:t>action.</w:t>
      </w:r>
      <w:r w:rsidR="00541D05">
        <w:t xml:space="preserve"> </w:t>
      </w:r>
      <w:r w:rsidR="00D9258C" w:rsidRPr="00FD6A6A">
        <w:t>The</w:t>
      </w:r>
      <w:r w:rsidR="00541D05">
        <w:t xml:space="preserve"> </w:t>
      </w:r>
      <w:r w:rsidR="00D9258C" w:rsidRPr="00FD6A6A">
        <w:t>Code</w:t>
      </w:r>
      <w:r w:rsidR="00541D05">
        <w:t xml:space="preserve"> </w:t>
      </w:r>
      <w:r w:rsidR="00D9258C" w:rsidRPr="00FD6A6A">
        <w:t>also</w:t>
      </w:r>
      <w:r w:rsidR="00541D05">
        <w:t xml:space="preserve"> </w:t>
      </w:r>
      <w:r w:rsidR="00D9258C" w:rsidRPr="00FD6A6A">
        <w:t>sets</w:t>
      </w:r>
      <w:r w:rsidR="00541D05">
        <w:t xml:space="preserve"> </w:t>
      </w:r>
      <w:r w:rsidR="00D9258C" w:rsidRPr="00FD6A6A">
        <w:t>forth,</w:t>
      </w:r>
      <w:r w:rsidR="00541D05">
        <w:t xml:space="preserve"> </w:t>
      </w:r>
      <w:r w:rsidR="00D9258C" w:rsidRPr="00FD6A6A">
        <w:t>in</w:t>
      </w:r>
      <w:r w:rsidR="00541D05">
        <w:t xml:space="preserve"> </w:t>
      </w:r>
      <w:r w:rsidR="00D9258C" w:rsidRPr="00FD6A6A">
        <w:t>its</w:t>
      </w:r>
      <w:r w:rsidR="00541D05">
        <w:t xml:space="preserve"> </w:t>
      </w:r>
      <w:r w:rsidR="00D9258C" w:rsidRPr="00FD6A6A">
        <w:t>article</w:t>
      </w:r>
      <w:r w:rsidR="00541D05">
        <w:t xml:space="preserve"> </w:t>
      </w:r>
      <w:r w:rsidR="00D9258C" w:rsidRPr="00FD6A6A">
        <w:t>927,</w:t>
      </w:r>
      <w:r w:rsidR="00541D05">
        <w:t xml:space="preserve"> </w:t>
      </w:r>
      <w:r w:rsidR="00D9258C" w:rsidRPr="00FD6A6A">
        <w:t>redress</w:t>
      </w:r>
      <w:r w:rsidR="00541D05">
        <w:t xml:space="preserve"> </w:t>
      </w:r>
      <w:r w:rsidR="00D9258C" w:rsidRPr="00FD6A6A">
        <w:t>for</w:t>
      </w:r>
      <w:r w:rsidR="00541D05">
        <w:t xml:space="preserve"> </w:t>
      </w:r>
      <w:r w:rsidR="00D9258C" w:rsidRPr="00FD6A6A">
        <w:t>any</w:t>
      </w:r>
      <w:r w:rsidR="00541D05">
        <w:t xml:space="preserve"> </w:t>
      </w:r>
      <w:r w:rsidR="00D9258C" w:rsidRPr="00FD6A6A">
        <w:t>unlawful</w:t>
      </w:r>
      <w:r w:rsidR="00541D05">
        <w:t xml:space="preserve"> </w:t>
      </w:r>
      <w:r w:rsidR="00D9258C" w:rsidRPr="00FD6A6A">
        <w:t>action</w:t>
      </w:r>
      <w:r w:rsidR="00541D05">
        <w:t xml:space="preserve"> </w:t>
      </w:r>
      <w:r w:rsidR="00D9258C" w:rsidRPr="00FD6A6A">
        <w:t>that</w:t>
      </w:r>
      <w:r w:rsidR="00541D05">
        <w:t xml:space="preserve"> </w:t>
      </w:r>
      <w:r w:rsidR="00D9258C" w:rsidRPr="00FD6A6A">
        <w:t>may</w:t>
      </w:r>
      <w:r w:rsidR="00541D05">
        <w:t xml:space="preserve"> </w:t>
      </w:r>
      <w:r w:rsidR="00D9258C" w:rsidRPr="00FD6A6A">
        <w:t>have</w:t>
      </w:r>
      <w:r w:rsidR="00541D05">
        <w:t xml:space="preserve"> </w:t>
      </w:r>
      <w:r w:rsidR="00D9258C" w:rsidRPr="00FD6A6A">
        <w:t>injured</w:t>
      </w:r>
      <w:r w:rsidR="00541D05">
        <w:t xml:space="preserve"> </w:t>
      </w:r>
      <w:r w:rsidR="00D9258C" w:rsidRPr="00FD6A6A">
        <w:t>another</w:t>
      </w:r>
      <w:r w:rsidR="00541D05">
        <w:t xml:space="preserve"> </w:t>
      </w:r>
      <w:r w:rsidR="00D9258C" w:rsidRPr="00FD6A6A">
        <w:t>person,</w:t>
      </w:r>
      <w:r w:rsidR="00541D05">
        <w:t xml:space="preserve"> </w:t>
      </w:r>
      <w:r w:rsidR="00D9258C" w:rsidRPr="00FD6A6A">
        <w:t>such</w:t>
      </w:r>
      <w:r w:rsidR="00541D05">
        <w:t xml:space="preserve"> </w:t>
      </w:r>
      <w:r w:rsidR="00D9258C" w:rsidRPr="00FD6A6A">
        <w:t>as</w:t>
      </w:r>
      <w:r w:rsidR="00541D05">
        <w:t xml:space="preserve"> </w:t>
      </w:r>
      <w:r w:rsidR="00D9258C" w:rsidRPr="00FD6A6A">
        <w:t>the</w:t>
      </w:r>
      <w:r w:rsidR="00541D05">
        <w:t xml:space="preserve"> </w:t>
      </w:r>
      <w:r w:rsidR="00D9258C" w:rsidRPr="00FD6A6A">
        <w:t>mandatory</w:t>
      </w:r>
      <w:r w:rsidR="00541D05">
        <w:t xml:space="preserve"> </w:t>
      </w:r>
      <w:r w:rsidR="00D9258C" w:rsidRPr="00FD6A6A">
        <w:t>payment</w:t>
      </w:r>
      <w:r w:rsidR="00541D05">
        <w:t xml:space="preserve"> </w:t>
      </w:r>
      <w:r w:rsidR="00D9258C" w:rsidRPr="00FD6A6A">
        <w:t>of</w:t>
      </w:r>
      <w:r w:rsidR="00541D05">
        <w:t xml:space="preserve"> </w:t>
      </w:r>
      <w:r w:rsidR="00D9258C" w:rsidRPr="00FD6A6A">
        <w:t>compensation.</w:t>
      </w:r>
    </w:p>
    <w:p w14:paraId="67FD7AAC" w14:textId="2251DAD0" w:rsidR="00D9258C" w:rsidRPr="00FD6A6A" w:rsidRDefault="00166390" w:rsidP="00166390">
      <w:pPr>
        <w:pStyle w:val="ParaNoG"/>
        <w:numPr>
          <w:ilvl w:val="0"/>
          <w:numId w:val="0"/>
        </w:numPr>
        <w:tabs>
          <w:tab w:val="left" w:pos="0"/>
        </w:tabs>
        <w:ind w:left="1134"/>
      </w:pPr>
      <w:r w:rsidRPr="00FD6A6A">
        <w:t>189.</w:t>
      </w:r>
      <w:r w:rsidRPr="00FD6A6A">
        <w:tab/>
      </w:r>
      <w:r w:rsidR="00D9258C" w:rsidRPr="00FD6A6A">
        <w:t>Some</w:t>
      </w:r>
      <w:r w:rsidR="00541D05">
        <w:t xml:space="preserve"> </w:t>
      </w:r>
      <w:r w:rsidR="00D9258C" w:rsidRPr="00FD6A6A">
        <w:t>states</w:t>
      </w:r>
      <w:r w:rsidR="00541D05">
        <w:t xml:space="preserve"> </w:t>
      </w:r>
      <w:r w:rsidR="00D9258C" w:rsidRPr="00FD6A6A">
        <w:t>have</w:t>
      </w:r>
      <w:r w:rsidR="00541D05">
        <w:t xml:space="preserve"> </w:t>
      </w:r>
      <w:r w:rsidR="00D9258C" w:rsidRPr="00FD6A6A">
        <w:t>also</w:t>
      </w:r>
      <w:r w:rsidR="00541D05">
        <w:t xml:space="preserve"> </w:t>
      </w:r>
      <w:r w:rsidR="00D9258C" w:rsidRPr="00FD6A6A">
        <w:t>created</w:t>
      </w:r>
      <w:r w:rsidR="00541D05">
        <w:t xml:space="preserve"> </w:t>
      </w:r>
      <w:r w:rsidR="00D9258C" w:rsidRPr="00FD6A6A">
        <w:t>police</w:t>
      </w:r>
      <w:r w:rsidR="00541D05">
        <w:t xml:space="preserve"> </w:t>
      </w:r>
      <w:r w:rsidR="00D9258C" w:rsidRPr="00FD6A6A">
        <w:t>stations</w:t>
      </w:r>
      <w:r w:rsidR="00541D05">
        <w:t xml:space="preserve"> </w:t>
      </w:r>
      <w:r w:rsidR="00D9258C" w:rsidRPr="00FD6A6A">
        <w:t>specialized</w:t>
      </w:r>
      <w:r w:rsidR="00541D05">
        <w:t xml:space="preserve"> </w:t>
      </w:r>
      <w:r w:rsidR="00D9258C" w:rsidRPr="00FD6A6A">
        <w:t>in</w:t>
      </w:r>
      <w:r w:rsidR="00541D05">
        <w:t xml:space="preserve"> </w:t>
      </w:r>
      <w:r w:rsidR="00D9258C" w:rsidRPr="00FD6A6A">
        <w:t>crimes</w:t>
      </w:r>
      <w:r w:rsidR="00541D05">
        <w:t xml:space="preserve"> </w:t>
      </w:r>
      <w:r w:rsidR="00D9258C" w:rsidRPr="00FD6A6A">
        <w:t>of</w:t>
      </w:r>
      <w:r w:rsidR="00541D05">
        <w:t xml:space="preserve"> </w:t>
      </w:r>
      <w:r w:rsidR="00D9258C" w:rsidRPr="00FD6A6A">
        <w:t>racism</w:t>
      </w:r>
      <w:r w:rsidR="00541D05">
        <w:t xml:space="preserve"> </w:t>
      </w:r>
      <w:r w:rsidR="00D9258C" w:rsidRPr="00FD6A6A">
        <w:t>and</w:t>
      </w:r>
      <w:r w:rsidR="00541D05">
        <w:t xml:space="preserve"> </w:t>
      </w:r>
      <w:r w:rsidR="00D9258C" w:rsidRPr="00FD6A6A">
        <w:t>intolerance,</w:t>
      </w:r>
      <w:r w:rsidR="00541D05">
        <w:t xml:space="preserve"> </w:t>
      </w:r>
      <w:r w:rsidR="00D9258C" w:rsidRPr="00FD6A6A">
        <w:t>expanding</w:t>
      </w:r>
      <w:r w:rsidR="00541D05">
        <w:t xml:space="preserve"> </w:t>
      </w:r>
      <w:r w:rsidR="00D9258C" w:rsidRPr="00FD6A6A">
        <w:t>the</w:t>
      </w:r>
      <w:r w:rsidR="00541D05">
        <w:t xml:space="preserve"> </w:t>
      </w:r>
      <w:r w:rsidR="00D9258C" w:rsidRPr="00FD6A6A">
        <w:t>channels</w:t>
      </w:r>
      <w:r w:rsidR="00541D05">
        <w:t xml:space="preserve"> </w:t>
      </w:r>
      <w:r w:rsidR="00D9258C" w:rsidRPr="00FD6A6A">
        <w:t>for</w:t>
      </w:r>
      <w:r w:rsidR="00541D05">
        <w:t xml:space="preserve"> </w:t>
      </w:r>
      <w:r w:rsidR="00D9258C" w:rsidRPr="00FD6A6A">
        <w:t>receiving</w:t>
      </w:r>
      <w:r w:rsidR="00541D05">
        <w:t xml:space="preserve"> </w:t>
      </w:r>
      <w:r w:rsidR="00D9258C" w:rsidRPr="00FD6A6A">
        <w:t>complaints,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the</w:t>
      </w:r>
      <w:r w:rsidR="00541D05">
        <w:t xml:space="preserve"> </w:t>
      </w:r>
      <w:r w:rsidR="00D9258C" w:rsidRPr="00FD6A6A">
        <w:t>capacity</w:t>
      </w:r>
      <w:r w:rsidR="00541D05">
        <w:t xml:space="preserve"> </w:t>
      </w:r>
      <w:r w:rsidR="00D9258C" w:rsidRPr="00FD6A6A">
        <w:t>to</w:t>
      </w:r>
      <w:r w:rsidR="00541D05">
        <w:t xml:space="preserve"> </w:t>
      </w:r>
      <w:r w:rsidR="00D9258C" w:rsidRPr="00FD6A6A">
        <w:t>respond,</w:t>
      </w:r>
      <w:r w:rsidR="00541D05">
        <w:t xml:space="preserve"> </w:t>
      </w:r>
      <w:r w:rsidR="00D9258C" w:rsidRPr="00FD6A6A">
        <w:t>at</w:t>
      </w:r>
      <w:r w:rsidR="00541D05">
        <w:t xml:space="preserve"> </w:t>
      </w:r>
      <w:r w:rsidR="00D9258C" w:rsidRPr="00FD6A6A">
        <w:t>an</w:t>
      </w:r>
      <w:r w:rsidR="00541D05">
        <w:t xml:space="preserve"> </w:t>
      </w:r>
      <w:r w:rsidR="00D9258C" w:rsidRPr="00FD6A6A">
        <w:t>institutional</w:t>
      </w:r>
      <w:r w:rsidR="00541D05">
        <w:t xml:space="preserve"> </w:t>
      </w:r>
      <w:r w:rsidR="00D9258C" w:rsidRPr="00FD6A6A">
        <w:t>level,</w:t>
      </w:r>
      <w:r w:rsidR="00541D05">
        <w:t xml:space="preserve"> </w:t>
      </w:r>
      <w:r w:rsidR="00D9258C" w:rsidRPr="00FD6A6A">
        <w:t>to</w:t>
      </w:r>
      <w:r w:rsidR="00541D05">
        <w:t xml:space="preserve"> </w:t>
      </w:r>
      <w:r w:rsidR="00D9258C" w:rsidRPr="00FD6A6A">
        <w:t>cases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w:t>
      </w:r>
      <w:r w:rsidR="00541D05">
        <w:t xml:space="preserve"> </w:t>
      </w:r>
      <w:r w:rsidR="00D9258C" w:rsidRPr="00FD6A6A">
        <w:t>some</w:t>
      </w:r>
      <w:r w:rsidR="00541D05">
        <w:t xml:space="preserve"> </w:t>
      </w:r>
      <w:r w:rsidR="00D9258C" w:rsidRPr="00FD6A6A">
        <w:t>states,</w:t>
      </w:r>
      <w:r w:rsidR="00541D05">
        <w:t xml:space="preserve"> </w:t>
      </w:r>
      <w:r w:rsidR="00D9258C" w:rsidRPr="00FD6A6A">
        <w:t>the</w:t>
      </w:r>
      <w:r w:rsidR="00541D05">
        <w:t xml:space="preserve"> </w:t>
      </w:r>
      <w:r w:rsidR="00D9258C" w:rsidRPr="00FD6A6A">
        <w:t>Public</w:t>
      </w:r>
      <w:r w:rsidR="00541D05">
        <w:t xml:space="preserve"> </w:t>
      </w:r>
      <w:r w:rsidR="00D9258C" w:rsidRPr="00FD6A6A">
        <w:t>Defender</w:t>
      </w:r>
      <w:r w:rsidR="00EA62F1">
        <w:t>’</w:t>
      </w:r>
      <w:r w:rsidR="00D9258C" w:rsidRPr="00FD6A6A">
        <w:t>s</w:t>
      </w:r>
      <w:r w:rsidR="00541D05">
        <w:t xml:space="preserve"> </w:t>
      </w:r>
      <w:r w:rsidR="00D9258C" w:rsidRPr="00FD6A6A">
        <w:t>Office</w:t>
      </w:r>
      <w:r w:rsidR="00541D05">
        <w:t xml:space="preserve"> </w:t>
      </w:r>
      <w:r w:rsidR="00D9258C" w:rsidRPr="00FD6A6A">
        <w:t>also</w:t>
      </w:r>
      <w:r w:rsidR="00541D05">
        <w:t xml:space="preserve"> </w:t>
      </w:r>
      <w:r w:rsidR="00D9258C" w:rsidRPr="00FD6A6A">
        <w:t>created</w:t>
      </w:r>
      <w:r w:rsidR="00541D05">
        <w:t xml:space="preserve"> </w:t>
      </w:r>
      <w:r w:rsidR="00D9258C" w:rsidRPr="00FD6A6A">
        <w:t>centers</w:t>
      </w:r>
      <w:r w:rsidR="00541D05">
        <w:t xml:space="preserve"> </w:t>
      </w:r>
      <w:r w:rsidR="00D9258C" w:rsidRPr="00FD6A6A">
        <w:t>specialized</w:t>
      </w:r>
      <w:r w:rsidR="00541D05">
        <w:t xml:space="preserve"> </w:t>
      </w:r>
      <w:r w:rsidR="00D9258C" w:rsidRPr="00FD6A6A">
        <w:t>in</w:t>
      </w:r>
      <w:r w:rsidR="00541D05">
        <w:t xml:space="preserve"> </w:t>
      </w:r>
      <w:r w:rsidR="00D9258C" w:rsidRPr="00FD6A6A">
        <w:t>the</w:t>
      </w:r>
      <w:r w:rsidR="00541D05">
        <w:t xml:space="preserve"> </w:t>
      </w:r>
      <w:r w:rsidR="00D9258C" w:rsidRPr="00FD6A6A">
        <w:t>fight</w:t>
      </w:r>
      <w:r w:rsidR="00541D05">
        <w:t xml:space="preserve"> </w:t>
      </w:r>
      <w:r w:rsidR="00D9258C" w:rsidRPr="00FD6A6A">
        <w:t>against</w:t>
      </w:r>
      <w:r w:rsidR="00541D05">
        <w:t xml:space="preserve"> </w:t>
      </w:r>
      <w:r w:rsidR="00D9258C" w:rsidRPr="00FD6A6A">
        <w:t>discrimination</w:t>
      </w:r>
      <w:r w:rsidR="00541D05">
        <w:t xml:space="preserve"> </w:t>
      </w:r>
      <w:r w:rsidR="00D9258C" w:rsidRPr="00FD6A6A">
        <w:t>and</w:t>
      </w:r>
      <w:r w:rsidR="00541D05">
        <w:t xml:space="preserve"> </w:t>
      </w:r>
      <w:r w:rsidR="00D9258C" w:rsidRPr="00FD6A6A">
        <w:t>in</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p>
    <w:p w14:paraId="025819D1" w14:textId="1E14E2EA" w:rsidR="00D9258C" w:rsidRPr="00FD6A6A" w:rsidRDefault="00166390" w:rsidP="00166390">
      <w:pPr>
        <w:pStyle w:val="ParaNoG"/>
        <w:numPr>
          <w:ilvl w:val="0"/>
          <w:numId w:val="0"/>
        </w:numPr>
        <w:tabs>
          <w:tab w:val="left" w:pos="0"/>
        </w:tabs>
        <w:ind w:left="1134"/>
      </w:pPr>
      <w:r w:rsidRPr="00FD6A6A">
        <w:t>190.</w:t>
      </w:r>
      <w:r w:rsidRPr="00FD6A6A">
        <w:tab/>
      </w:r>
      <w:r w:rsidR="00D9258C" w:rsidRPr="00FD6A6A">
        <w:t>Moreover,</w:t>
      </w:r>
      <w:r w:rsidR="00541D05">
        <w:t xml:space="preserve"> </w:t>
      </w:r>
      <w:r w:rsidR="00D9258C" w:rsidRPr="00FD6A6A">
        <w:t>bodies</w:t>
      </w:r>
      <w:r w:rsidR="00541D05">
        <w:t xml:space="preserve"> </w:t>
      </w:r>
      <w:r w:rsidR="00D9258C" w:rsidRPr="00FD6A6A">
        <w:t>of</w:t>
      </w:r>
      <w:r w:rsidR="00541D05">
        <w:t xml:space="preserve"> </w:t>
      </w:r>
      <w:r w:rsidR="00D9258C" w:rsidRPr="00FD6A6A">
        <w:t>the</w:t>
      </w:r>
      <w:r w:rsidR="00541D05">
        <w:t xml:space="preserve"> </w:t>
      </w:r>
      <w:r w:rsidR="00D9258C" w:rsidRPr="00FD6A6A">
        <w:t>executive</w:t>
      </w:r>
      <w:r w:rsidR="00541D05">
        <w:t xml:space="preserve"> </w:t>
      </w:r>
      <w:r w:rsidR="00D9258C" w:rsidRPr="00FD6A6A">
        <w:t>branch</w:t>
      </w:r>
      <w:r w:rsidR="00541D05">
        <w:t xml:space="preserve"> </w:t>
      </w:r>
      <w:r w:rsidR="00D9258C" w:rsidRPr="00FD6A6A">
        <w:t>may</w:t>
      </w:r>
      <w:r w:rsidR="00541D05">
        <w:t xml:space="preserve"> </w:t>
      </w:r>
      <w:r w:rsidR="00D9258C" w:rsidRPr="00FD6A6A">
        <w:t>be</w:t>
      </w:r>
      <w:r w:rsidR="00541D05">
        <w:t xml:space="preserve"> </w:t>
      </w:r>
      <w:r w:rsidR="00D9258C" w:rsidRPr="00FD6A6A">
        <w:t>contacted</w:t>
      </w:r>
      <w:r w:rsidR="00541D05">
        <w:t xml:space="preserve"> </w:t>
      </w:r>
      <w:r w:rsidR="00D9258C" w:rsidRPr="00FD6A6A">
        <w:t>by</w:t>
      </w:r>
      <w:r w:rsidR="00541D05">
        <w:t xml:space="preserve"> </w:t>
      </w:r>
      <w:r w:rsidR="00D9258C" w:rsidRPr="00FD6A6A">
        <w:t>individuals</w:t>
      </w:r>
      <w:r w:rsidR="00541D05">
        <w:t xml:space="preserve"> </w:t>
      </w:r>
      <w:r w:rsidR="00D9258C" w:rsidRPr="00FD6A6A">
        <w:t>and</w:t>
      </w:r>
      <w:r w:rsidR="00541D05">
        <w:t xml:space="preserve"> </w:t>
      </w:r>
      <w:r w:rsidR="00D9258C" w:rsidRPr="00FD6A6A">
        <w:t>organizations,</w:t>
      </w:r>
      <w:r w:rsidR="00541D05">
        <w:t xml:space="preserve"> </w:t>
      </w:r>
      <w:r w:rsidR="00D9258C" w:rsidRPr="00FD6A6A">
        <w:t>through</w:t>
      </w:r>
      <w:r w:rsidR="00541D05">
        <w:t xml:space="preserve"> </w:t>
      </w:r>
      <w:r w:rsidR="00D9258C" w:rsidRPr="00FD6A6A">
        <w:t>councils,</w:t>
      </w:r>
      <w:r w:rsidR="00541D05">
        <w:t xml:space="preserve"> </w:t>
      </w:r>
      <w:r w:rsidR="00D9258C" w:rsidRPr="00FD6A6A">
        <w:t>human</w:t>
      </w:r>
      <w:r w:rsidR="00541D05">
        <w:t xml:space="preserve"> </w:t>
      </w:r>
      <w:r w:rsidR="00D9258C" w:rsidRPr="00FD6A6A">
        <w:t>rights</w:t>
      </w:r>
      <w:r w:rsidR="00541D05">
        <w:t xml:space="preserve"> </w:t>
      </w:r>
      <w:r w:rsidR="00D9258C" w:rsidRPr="00FD6A6A">
        <w:t>commissions,</w:t>
      </w:r>
      <w:r w:rsidR="00541D05">
        <w:t xml:space="preserve"> </w:t>
      </w:r>
      <w:r w:rsidR="00D9258C" w:rsidRPr="00FD6A6A">
        <w:t>and</w:t>
      </w:r>
      <w:r w:rsidR="00541D05">
        <w:t xml:space="preserve"> </w:t>
      </w:r>
      <w:r w:rsidR="00D9258C" w:rsidRPr="00FD6A6A">
        <w:t>ombudsman</w:t>
      </w:r>
      <w:r w:rsidR="00541D05">
        <w:t xml:space="preserve"> </w:t>
      </w:r>
      <w:r w:rsidR="00D9258C" w:rsidRPr="00FD6A6A">
        <w:t>offices.</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sets</w:t>
      </w:r>
      <w:r w:rsidR="00541D05">
        <w:t xml:space="preserve"> </w:t>
      </w:r>
      <w:r w:rsidR="00D9258C" w:rsidRPr="00FD6A6A">
        <w:t>forth</w:t>
      </w:r>
      <w:r w:rsidR="00541D05">
        <w:t xml:space="preserve"> </w:t>
      </w:r>
      <w:r w:rsidR="00D9258C" w:rsidRPr="00FD6A6A">
        <w:t>in</w:t>
      </w:r>
      <w:r w:rsidR="00541D05">
        <w:t xml:space="preserve"> </w:t>
      </w:r>
      <w:r w:rsidR="00D9258C" w:rsidRPr="00FD6A6A">
        <w:t>chapter</w:t>
      </w:r>
      <w:r w:rsidR="00541D05">
        <w:t xml:space="preserve"> </w:t>
      </w:r>
      <w:r w:rsidR="00D9258C" w:rsidRPr="00FD6A6A">
        <w:t>IV</w:t>
      </w:r>
      <w:r w:rsidR="00541D05">
        <w:t xml:space="preserve"> </w:t>
      </w:r>
      <w:r w:rsidR="00D9258C" w:rsidRPr="00FD6A6A">
        <w:t>that</w:t>
      </w:r>
      <w:r w:rsidR="00541D05">
        <w:t xml:space="preserve"> </w:t>
      </w:r>
      <w:r w:rsidR="00D9258C" w:rsidRPr="00FD6A6A">
        <w:t>the</w:t>
      </w:r>
      <w:r w:rsidR="00541D05">
        <w:t xml:space="preserve"> </w:t>
      </w:r>
      <w:r w:rsidR="00D9258C" w:rsidRPr="00FD6A6A">
        <w:t>Federal</w:t>
      </w:r>
      <w:r w:rsidR="00541D05">
        <w:t xml:space="preserve"> </w:t>
      </w:r>
      <w:r w:rsidR="00D9258C" w:rsidRPr="00FD6A6A">
        <w:t>Government</w:t>
      </w:r>
      <w:r w:rsidR="00541D05">
        <w:t xml:space="preserve"> </w:t>
      </w:r>
      <w:r w:rsidR="00D9258C" w:rsidRPr="00FD6A6A">
        <w:t>shall</w:t>
      </w:r>
      <w:r w:rsidR="00541D05">
        <w:t xml:space="preserve"> </w:t>
      </w:r>
      <w:r w:rsidR="00D9258C" w:rsidRPr="00FD6A6A">
        <w:t>establish,</w:t>
      </w:r>
      <w:r w:rsidR="00541D05">
        <w:t xml:space="preserve"> </w:t>
      </w:r>
      <w:r w:rsidR="00D9258C" w:rsidRPr="00FD6A6A">
        <w:t>by</w:t>
      </w:r>
      <w:r w:rsidR="00541D05">
        <w:t xml:space="preserve"> </w:t>
      </w:r>
      <w:r w:rsidR="00D9258C" w:rsidRPr="00FD6A6A">
        <w:t>law,</w:t>
      </w:r>
      <w:r w:rsidR="00541D05">
        <w:t xml:space="preserve"> </w:t>
      </w:r>
      <w:r w:rsidR="00D9258C" w:rsidRPr="00FD6A6A">
        <w:t>Permanent</w:t>
      </w:r>
      <w:r w:rsidR="00541D05">
        <w:t xml:space="preserve"> </w:t>
      </w:r>
      <w:r w:rsidR="00D9258C" w:rsidRPr="00FD6A6A">
        <w:t>Ombudsman</w:t>
      </w:r>
      <w:r w:rsidR="00541D05">
        <w:t xml:space="preserve"> </w:t>
      </w:r>
      <w:r w:rsidR="00D9258C" w:rsidRPr="00FD6A6A">
        <w:t>Offices</w:t>
      </w:r>
      <w:r w:rsidR="00541D05">
        <w:t xml:space="preserve"> </w:t>
      </w:r>
      <w:r w:rsidR="00D9258C" w:rsidRPr="00FD6A6A">
        <w:t>to</w:t>
      </w:r>
      <w:r w:rsidR="00541D05">
        <w:t xml:space="preserve"> </w:t>
      </w:r>
      <w:r w:rsidR="00D9258C" w:rsidRPr="00FD6A6A">
        <w:t>Defend</w:t>
      </w:r>
      <w:r w:rsidR="00541D05">
        <w:t xml:space="preserve"> </w:t>
      </w:r>
      <w:r w:rsidR="00D9258C" w:rsidRPr="00FD6A6A">
        <w:t>Racial</w:t>
      </w:r>
      <w:r w:rsidR="00541D05">
        <w:t xml:space="preserve"> </w:t>
      </w:r>
      <w:r w:rsidR="00D9258C" w:rsidRPr="00FD6A6A">
        <w:t>Equality,</w:t>
      </w:r>
      <w:r w:rsidR="00541D05">
        <w:t xml:space="preserve"> </w:t>
      </w:r>
      <w:r w:rsidR="00D9258C" w:rsidRPr="00FD6A6A">
        <w:t>which</w:t>
      </w:r>
      <w:r w:rsidR="00541D05">
        <w:t xml:space="preserve"> </w:t>
      </w:r>
      <w:r w:rsidR="00D9258C" w:rsidRPr="00FD6A6A">
        <w:t>shall</w:t>
      </w:r>
      <w:r w:rsidR="00541D05">
        <w:t xml:space="preserve"> </w:t>
      </w:r>
      <w:r w:rsidR="00D9258C" w:rsidRPr="00FD6A6A">
        <w:t>include</w:t>
      </w:r>
      <w:r w:rsidR="00541D05">
        <w:t xml:space="preserve"> </w:t>
      </w:r>
      <w:r w:rsidR="00D9258C" w:rsidRPr="00FD6A6A">
        <w:t>the</w:t>
      </w:r>
      <w:r w:rsidR="00541D05">
        <w:t xml:space="preserve"> </w:t>
      </w:r>
      <w:r w:rsidR="00D9258C" w:rsidRPr="00FD6A6A">
        <w:t>legislative</w:t>
      </w:r>
      <w:r w:rsidR="00541D05">
        <w:t xml:space="preserve"> </w:t>
      </w:r>
      <w:r w:rsidR="00D9258C" w:rsidRPr="00FD6A6A">
        <w:t>and</w:t>
      </w:r>
      <w:r w:rsidR="00541D05">
        <w:t xml:space="preserve"> </w:t>
      </w:r>
      <w:r w:rsidR="00D9258C" w:rsidRPr="00FD6A6A">
        <w:t>the</w:t>
      </w:r>
      <w:r w:rsidR="00541D05">
        <w:t xml:space="preserve"> </w:t>
      </w:r>
      <w:r w:rsidR="00D9258C" w:rsidRPr="00FD6A6A">
        <w:t>judiciary</w:t>
      </w:r>
      <w:r w:rsidR="00541D05">
        <w:t xml:space="preserve"> </w:t>
      </w:r>
      <w:r w:rsidR="00D9258C" w:rsidRPr="00FD6A6A">
        <w:t>branches.</w:t>
      </w:r>
      <w:r w:rsidR="00541D05">
        <w:t xml:space="preserve"> </w:t>
      </w:r>
      <w:r w:rsidR="00D9258C" w:rsidRPr="00FD6A6A">
        <w:t>These</w:t>
      </w:r>
      <w:r w:rsidR="00541D05">
        <w:t xml:space="preserve"> </w:t>
      </w:r>
      <w:r w:rsidR="00D9258C" w:rsidRPr="00FD6A6A">
        <w:t>Ombudsman</w:t>
      </w:r>
      <w:r w:rsidR="00541D05">
        <w:t xml:space="preserve"> </w:t>
      </w:r>
      <w:r w:rsidR="00D9258C" w:rsidRPr="00FD6A6A">
        <w:t>Offices</w:t>
      </w:r>
      <w:r w:rsidR="00541D05">
        <w:t xml:space="preserve"> </w:t>
      </w:r>
      <w:r w:rsidR="00D9258C" w:rsidRPr="00FD6A6A">
        <w:t>shall</w:t>
      </w:r>
      <w:r w:rsidR="00541D05">
        <w:t xml:space="preserve"> </w:t>
      </w:r>
      <w:r w:rsidR="00D9258C" w:rsidRPr="00FD6A6A">
        <w:t>receive</w:t>
      </w:r>
      <w:r w:rsidR="00541D05">
        <w:t xml:space="preserve"> </w:t>
      </w:r>
      <w:r w:rsidR="00D9258C" w:rsidRPr="00FD6A6A">
        <w:t>and</w:t>
      </w:r>
      <w:r w:rsidR="00541D05">
        <w:t xml:space="preserve"> </w:t>
      </w:r>
      <w:r w:rsidR="00D9258C" w:rsidRPr="00FD6A6A">
        <w:t>forward</w:t>
      </w:r>
      <w:r w:rsidR="00541D05">
        <w:t xml:space="preserve"> </w:t>
      </w:r>
      <w:r w:rsidR="00D9258C" w:rsidRPr="00FD6A6A">
        <w:t>complaints</w:t>
      </w:r>
      <w:r w:rsidR="00541D05">
        <w:t xml:space="preserve"> </w:t>
      </w:r>
      <w:r w:rsidR="00D9258C" w:rsidRPr="00FD6A6A">
        <w:t>related</w:t>
      </w:r>
      <w:r w:rsidR="00541D05">
        <w:t xml:space="preserve"> </w:t>
      </w:r>
      <w:r w:rsidR="00D9258C" w:rsidRPr="00FD6A6A">
        <w:t>to</w:t>
      </w:r>
      <w:r w:rsidR="00541D05">
        <w:t xml:space="preserve"> </w:t>
      </w:r>
      <w:r w:rsidR="00D9258C" w:rsidRPr="00FD6A6A">
        <w:t>prejudice</w:t>
      </w:r>
      <w:r w:rsidR="00541D05">
        <w:t xml:space="preserve"> </w:t>
      </w:r>
      <w:r w:rsidR="00D9258C" w:rsidRPr="00FD6A6A">
        <w:t>and</w:t>
      </w:r>
      <w:r w:rsidR="00541D05">
        <w:t xml:space="preserve"> </w:t>
      </w:r>
      <w:r w:rsidR="00D9258C" w:rsidRPr="00FD6A6A">
        <w:t>discrimination</w:t>
      </w:r>
      <w:r w:rsidR="00541D05">
        <w:t xml:space="preserve"> </w:t>
      </w:r>
      <w:r w:rsidR="00D9258C" w:rsidRPr="00FD6A6A">
        <w:t>based</w:t>
      </w:r>
      <w:r w:rsidR="00541D05">
        <w:t xml:space="preserve"> </w:t>
      </w:r>
      <w:r w:rsidR="00D9258C" w:rsidRPr="00FD6A6A">
        <w:t>on</w:t>
      </w:r>
      <w:r w:rsidR="00541D05">
        <w:t xml:space="preserve"> </w:t>
      </w:r>
      <w:r w:rsidR="00D9258C" w:rsidRPr="00FD6A6A">
        <w:t>ethnic</w:t>
      </w:r>
      <w:r w:rsidR="00541D05">
        <w:t xml:space="preserve"> </w:t>
      </w:r>
      <w:r w:rsidR="00D9258C" w:rsidRPr="00FD6A6A">
        <w:t>or</w:t>
      </w:r>
      <w:r w:rsidR="00541D05">
        <w:t xml:space="preserve"> </w:t>
      </w:r>
      <w:r w:rsidR="00D9258C" w:rsidRPr="00FD6A6A">
        <w:t>racial</w:t>
      </w:r>
      <w:r w:rsidR="00541D05">
        <w:t xml:space="preserve"> </w:t>
      </w:r>
      <w:r w:rsidR="00D9258C" w:rsidRPr="00FD6A6A">
        <w:t>origin,</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monitor</w:t>
      </w:r>
      <w:r w:rsidR="00541D05">
        <w:t xml:space="preserve"> </w:t>
      </w:r>
      <w:r w:rsidR="00D9258C" w:rsidRPr="00FD6A6A">
        <w:t>the</w:t>
      </w:r>
      <w:r w:rsidR="00541D05">
        <w:t xml:space="preserve"> </w:t>
      </w:r>
      <w:r w:rsidR="00D9258C" w:rsidRPr="00FD6A6A">
        <w:t>measures</w:t>
      </w:r>
      <w:r w:rsidR="00541D05">
        <w:t xml:space="preserve"> </w:t>
      </w:r>
      <w:r w:rsidR="00D9258C" w:rsidRPr="00FD6A6A">
        <w:t>implemented.</w:t>
      </w:r>
    </w:p>
    <w:p w14:paraId="08E307AC" w14:textId="632BB03C" w:rsidR="00D9258C" w:rsidRPr="00FD6A6A" w:rsidRDefault="00166390" w:rsidP="00166390">
      <w:pPr>
        <w:pStyle w:val="ParaNoG"/>
        <w:numPr>
          <w:ilvl w:val="0"/>
          <w:numId w:val="0"/>
        </w:numPr>
        <w:tabs>
          <w:tab w:val="left" w:pos="0"/>
        </w:tabs>
        <w:ind w:left="1134"/>
      </w:pPr>
      <w:r w:rsidRPr="00FD6A6A">
        <w:t>191.</w:t>
      </w:r>
      <w:r w:rsidRPr="00FD6A6A">
        <w:tab/>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Women,</w:t>
      </w:r>
      <w:r w:rsidR="00541D05">
        <w:t xml:space="preserve"> </w:t>
      </w:r>
      <w:r w:rsidR="00D9258C" w:rsidRPr="00FD6A6A">
        <w:t>Family</w:t>
      </w:r>
      <w:r w:rsidR="00541D05">
        <w:t xml:space="preserve"> </w:t>
      </w:r>
      <w:r w:rsidR="00D9258C" w:rsidRPr="00FD6A6A">
        <w:t>and</w:t>
      </w:r>
      <w:r w:rsidR="00541D05">
        <w:t xml:space="preserve"> </w:t>
      </w:r>
      <w:r w:rsidR="00D9258C" w:rsidRPr="00FD6A6A">
        <w:t>Human</w:t>
      </w:r>
      <w:r w:rsidR="00541D05">
        <w:t xml:space="preserve"> </w:t>
      </w:r>
      <w:r w:rsidR="00D9258C" w:rsidRPr="00FD6A6A">
        <w:t>Rights</w:t>
      </w:r>
      <w:r w:rsidR="00541D05">
        <w:t xml:space="preserve"> </w:t>
      </w:r>
      <w:r w:rsidR="00D9258C" w:rsidRPr="00FD6A6A">
        <w:t>comprises</w:t>
      </w:r>
      <w:r w:rsidR="00541D05">
        <w:t xml:space="preserve"> </w:t>
      </w:r>
      <w:r w:rsidR="00D9258C" w:rsidRPr="00FD6A6A">
        <w:t>an</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which</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receiving</w:t>
      </w:r>
      <w:r w:rsidR="00541D05">
        <w:t xml:space="preserve"> </w:t>
      </w:r>
      <w:r w:rsidR="00D9258C" w:rsidRPr="00FD6A6A">
        <w:t>complaints</w:t>
      </w:r>
      <w:r w:rsidR="00541D05">
        <w:t xml:space="preserve"> </w:t>
      </w:r>
      <w:r w:rsidR="00D9258C" w:rsidRPr="00FD6A6A">
        <w:t>regarding</w:t>
      </w:r>
      <w:r w:rsidR="00541D05">
        <w:t xml:space="preserve"> </w:t>
      </w:r>
      <w:r w:rsidR="00D9258C" w:rsidRPr="00FD6A6A">
        <w:t>racism</w:t>
      </w:r>
      <w:r w:rsidR="00541D05">
        <w:t xml:space="preserve"> </w:t>
      </w:r>
      <w:r w:rsidR="00D9258C" w:rsidRPr="00FD6A6A">
        <w:t>and</w:t>
      </w:r>
      <w:r w:rsidR="00541D05">
        <w:t xml:space="preserve"> </w:t>
      </w:r>
      <w:r w:rsidR="00D9258C" w:rsidRPr="00FD6A6A">
        <w:t>religious</w:t>
      </w:r>
      <w:r w:rsidR="00541D05">
        <w:t xml:space="preserve"> </w:t>
      </w:r>
      <w:r w:rsidR="00D9258C" w:rsidRPr="00FD6A6A">
        <w:t>intolerance,</w:t>
      </w:r>
      <w:r w:rsidR="00541D05">
        <w:t xml:space="preserve"> </w:t>
      </w:r>
      <w:r w:rsidR="00D9258C" w:rsidRPr="00FD6A6A">
        <w:t>forwarding</w:t>
      </w:r>
      <w:r w:rsidR="00541D05">
        <w:t xml:space="preserve"> </w:t>
      </w:r>
      <w:r w:rsidR="00D9258C" w:rsidRPr="00FD6A6A">
        <w:t>them</w:t>
      </w:r>
      <w:r w:rsidR="00541D05">
        <w:t xml:space="preserve"> </w:t>
      </w:r>
      <w:r w:rsidR="00D9258C" w:rsidRPr="00FD6A6A">
        <w:t>to</w:t>
      </w:r>
      <w:r w:rsidR="00541D05">
        <w:t xml:space="preserve"> </w:t>
      </w:r>
      <w:r w:rsidR="00D9258C" w:rsidRPr="00FD6A6A">
        <w:t>the</w:t>
      </w:r>
      <w:r w:rsidR="00541D05">
        <w:t xml:space="preserve"> </w:t>
      </w:r>
      <w:r w:rsidR="00D9258C" w:rsidRPr="00FD6A6A">
        <w:t>competent</w:t>
      </w:r>
      <w:r w:rsidR="00541D05">
        <w:t xml:space="preserve"> </w:t>
      </w:r>
      <w:r w:rsidR="00D9258C" w:rsidRPr="00FD6A6A">
        <w:t>authorities</w:t>
      </w:r>
      <w:r w:rsidR="00541D05">
        <w:t xml:space="preserve"> </w:t>
      </w:r>
      <w:r w:rsidR="00D9258C" w:rsidRPr="00FD6A6A">
        <w:t>at</w:t>
      </w:r>
      <w:r w:rsidR="00541D05">
        <w:t xml:space="preserve"> </w:t>
      </w:r>
      <w:r w:rsidR="00D9258C" w:rsidRPr="00FD6A6A">
        <w:t>federal,</w:t>
      </w:r>
      <w:r w:rsidR="00541D05">
        <w:t xml:space="preserve"> </w:t>
      </w:r>
      <w:r w:rsidR="00D9258C" w:rsidRPr="00FD6A6A">
        <w:t>state,</w:t>
      </w:r>
      <w:r w:rsidR="00541D05">
        <w:t xml:space="preserve"> </w:t>
      </w:r>
      <w:r w:rsidR="00D9258C" w:rsidRPr="00FD6A6A">
        <w:t>and</w:t>
      </w:r>
      <w:r w:rsidR="00541D05">
        <w:t xml:space="preserve"> </w:t>
      </w:r>
      <w:r w:rsidR="00D9258C" w:rsidRPr="00FD6A6A">
        <w:t>local</w:t>
      </w:r>
      <w:r w:rsidR="00541D05">
        <w:t xml:space="preserve"> </w:t>
      </w:r>
      <w:r w:rsidR="00D9258C" w:rsidRPr="00FD6A6A">
        <w:t>levels.</w:t>
      </w:r>
      <w:r w:rsidR="00541D05">
        <w:t xml:space="preserve"> </w:t>
      </w:r>
      <w:r w:rsidR="00D9258C" w:rsidRPr="00FD6A6A">
        <w:t>The</w:t>
      </w:r>
      <w:r w:rsidR="00541D05">
        <w:t xml:space="preserve"> </w:t>
      </w:r>
      <w:r w:rsidR="00D9258C" w:rsidRPr="00FD6A6A">
        <w:t>Office</w:t>
      </w:r>
      <w:r w:rsidR="00541D05">
        <w:t xml:space="preserve"> </w:t>
      </w:r>
      <w:r w:rsidR="00D9258C" w:rsidRPr="00FD6A6A">
        <w:t>does</w:t>
      </w:r>
      <w:r w:rsidR="00541D05">
        <w:t xml:space="preserve"> </w:t>
      </w:r>
      <w:r w:rsidR="00D9258C" w:rsidRPr="00FD6A6A">
        <w:t>not</w:t>
      </w:r>
      <w:r w:rsidR="00541D05">
        <w:t xml:space="preserve"> </w:t>
      </w:r>
      <w:r w:rsidR="00D9258C" w:rsidRPr="00FD6A6A">
        <w:t>have</w:t>
      </w:r>
      <w:r w:rsidR="00541D05">
        <w:t xml:space="preserve"> </w:t>
      </w:r>
      <w:r w:rsidR="00D9258C" w:rsidRPr="00FD6A6A">
        <w:t>decision-making</w:t>
      </w:r>
      <w:r w:rsidR="00541D05">
        <w:t xml:space="preserve"> </w:t>
      </w:r>
      <w:r w:rsidR="00D9258C" w:rsidRPr="00FD6A6A">
        <w:t>power</w:t>
      </w:r>
      <w:r w:rsidR="00541D05">
        <w:t xml:space="preserve"> </w:t>
      </w:r>
      <w:r w:rsidR="00D9258C" w:rsidRPr="00FD6A6A">
        <w:t>regarding</w:t>
      </w:r>
      <w:r w:rsidR="00541D05">
        <w:t xml:space="preserve"> </w:t>
      </w:r>
      <w:r w:rsidR="00D9258C" w:rsidRPr="00FD6A6A">
        <w:t>the</w:t>
      </w:r>
      <w:r w:rsidR="00541D05">
        <w:t xml:space="preserve"> </w:t>
      </w:r>
      <w:r w:rsidR="00D9258C" w:rsidRPr="00FD6A6A">
        <w:t>complaints</w:t>
      </w:r>
      <w:r w:rsidR="00541D05">
        <w:t xml:space="preserve"> </w:t>
      </w:r>
      <w:r w:rsidR="00D9258C" w:rsidRPr="00FD6A6A">
        <w:t>presented</w:t>
      </w:r>
      <w:r w:rsidR="00541D05">
        <w:t xml:space="preserve"> </w:t>
      </w:r>
      <w:r w:rsidR="00D9258C" w:rsidRPr="00FD6A6A">
        <w:t>in</w:t>
      </w:r>
      <w:r w:rsidR="00541D05">
        <w:t xml:space="preserve"> </w:t>
      </w:r>
      <w:r w:rsidR="00D9258C" w:rsidRPr="00FD6A6A">
        <w:t>administrative</w:t>
      </w:r>
      <w:r w:rsidR="00541D05">
        <w:t xml:space="preserve"> </w:t>
      </w:r>
      <w:r w:rsidR="00D9258C" w:rsidRPr="00FD6A6A">
        <w:t>and</w:t>
      </w:r>
      <w:r w:rsidR="00541D05">
        <w:t xml:space="preserve"> </w:t>
      </w:r>
      <w:r w:rsidR="00D9258C" w:rsidRPr="00FD6A6A">
        <w:t>judicial</w:t>
      </w:r>
      <w:r w:rsidR="00541D05">
        <w:t xml:space="preserve"> </w:t>
      </w:r>
      <w:r w:rsidR="00D9258C" w:rsidRPr="00FD6A6A">
        <w:t>levels.</w:t>
      </w:r>
      <w:r w:rsidR="00541D05">
        <w:t xml:space="preserve"> </w:t>
      </w:r>
      <w:r w:rsidR="00D9258C" w:rsidRPr="00FD6A6A">
        <w:t>It</w:t>
      </w:r>
      <w:r w:rsidR="00541D05">
        <w:t xml:space="preserve"> </w:t>
      </w:r>
      <w:r w:rsidR="00D9258C" w:rsidRPr="00FD6A6A">
        <w:t>cannot</w:t>
      </w:r>
      <w:r w:rsidR="00541D05">
        <w:t xml:space="preserve"> </w:t>
      </w:r>
      <w:r w:rsidR="00D9258C" w:rsidRPr="00FD6A6A">
        <w:t>act</w:t>
      </w:r>
      <w:r w:rsidR="00541D05">
        <w:t xml:space="preserve"> </w:t>
      </w:r>
      <w:r w:rsidR="00D9258C" w:rsidRPr="00FD6A6A">
        <w:t>in</w:t>
      </w:r>
      <w:r w:rsidR="00541D05">
        <w:t xml:space="preserve"> </w:t>
      </w:r>
      <w:r w:rsidR="00D9258C" w:rsidRPr="00FD6A6A">
        <w:t>the</w:t>
      </w:r>
      <w:r w:rsidR="00541D05">
        <w:t xml:space="preserve"> </w:t>
      </w:r>
      <w:r w:rsidR="00D9258C" w:rsidRPr="00FD6A6A">
        <w:t>police</w:t>
      </w:r>
      <w:r w:rsidR="00541D05">
        <w:t xml:space="preserve"> </w:t>
      </w:r>
      <w:r w:rsidR="00D9258C" w:rsidRPr="00FD6A6A">
        <w:t>investigation</w:t>
      </w:r>
      <w:r w:rsidR="00541D05">
        <w:t xml:space="preserve"> </w:t>
      </w:r>
      <w:r w:rsidR="00D9258C" w:rsidRPr="00FD6A6A">
        <w:t>or</w:t>
      </w:r>
      <w:r w:rsidR="00541D05">
        <w:t xml:space="preserve"> </w:t>
      </w:r>
      <w:r w:rsidR="00D9258C" w:rsidRPr="00FD6A6A">
        <w:t>in</w:t>
      </w:r>
      <w:r w:rsidR="00541D05">
        <w:t xml:space="preserve"> </w:t>
      </w:r>
      <w:r w:rsidR="00D9258C" w:rsidRPr="00FD6A6A">
        <w:t>the</w:t>
      </w:r>
      <w:r w:rsidR="00541D05">
        <w:t xml:space="preserve"> </w:t>
      </w:r>
      <w:r w:rsidR="00D9258C" w:rsidRPr="00FD6A6A">
        <w:t>judgment</w:t>
      </w:r>
      <w:r w:rsidR="00541D05">
        <w:t xml:space="preserve"> </w:t>
      </w:r>
      <w:r w:rsidR="00D9258C" w:rsidRPr="00FD6A6A">
        <w:t>of</w:t>
      </w:r>
      <w:r w:rsidR="00541D05">
        <w:t xml:space="preserve"> </w:t>
      </w:r>
      <w:r w:rsidR="00D9258C" w:rsidRPr="00FD6A6A">
        <w:t>cases</w:t>
      </w:r>
      <w:r w:rsidR="00541D05">
        <w:t xml:space="preserve"> </w:t>
      </w:r>
      <w:r w:rsidR="00D9258C" w:rsidRPr="00FD6A6A">
        <w:t>per</w:t>
      </w:r>
      <w:r w:rsidR="00541D05">
        <w:t xml:space="preserve"> </w:t>
      </w:r>
      <w:r w:rsidR="00D9258C" w:rsidRPr="00FD6A6A">
        <w:t>se,</w:t>
      </w:r>
      <w:r w:rsidR="00541D05">
        <w:t xml:space="preserve"> </w:t>
      </w:r>
      <w:r w:rsidR="00D9258C" w:rsidRPr="00FD6A6A">
        <w:t>but</w:t>
      </w:r>
      <w:r w:rsidR="00541D05">
        <w:t xml:space="preserve"> </w:t>
      </w:r>
      <w:r w:rsidR="00D9258C" w:rsidRPr="00FD6A6A">
        <w:t>it</w:t>
      </w:r>
      <w:r w:rsidR="00541D05">
        <w:t xml:space="preserve"> </w:t>
      </w:r>
      <w:r w:rsidR="00D9258C" w:rsidRPr="00FD6A6A">
        <w:t>can</w:t>
      </w:r>
      <w:r w:rsidR="00541D05">
        <w:t xml:space="preserve"> </w:t>
      </w:r>
      <w:r w:rsidR="00D9258C" w:rsidRPr="00FD6A6A">
        <w:t>forward</w:t>
      </w:r>
      <w:r w:rsidR="00541D05">
        <w:t xml:space="preserve"> </w:t>
      </w:r>
      <w:r w:rsidR="00D9258C" w:rsidRPr="00FD6A6A">
        <w:t>them</w:t>
      </w:r>
      <w:r w:rsidR="00541D05">
        <w:t xml:space="preserve"> </w:t>
      </w:r>
      <w:r w:rsidR="00D9258C" w:rsidRPr="00FD6A6A">
        <w:t>to</w:t>
      </w:r>
      <w:r w:rsidR="00541D05">
        <w:t xml:space="preserve"> </w:t>
      </w:r>
      <w:r w:rsidR="00D9258C" w:rsidRPr="00FD6A6A">
        <w:t>the</w:t>
      </w:r>
      <w:r w:rsidR="00541D05">
        <w:t xml:space="preserve"> </w:t>
      </w:r>
      <w:r w:rsidR="00D9258C" w:rsidRPr="00FD6A6A">
        <w:t>competent</w:t>
      </w:r>
      <w:r w:rsidR="00541D05">
        <w:t xml:space="preserve"> </w:t>
      </w:r>
      <w:r w:rsidR="00D9258C" w:rsidRPr="00FD6A6A">
        <w:t>authorities,</w:t>
      </w:r>
      <w:r w:rsidR="00541D05">
        <w:t xml:space="preserve"> </w:t>
      </w:r>
      <w:r w:rsidR="00D9258C" w:rsidRPr="00FD6A6A">
        <w:t>monitor</w:t>
      </w:r>
      <w:r w:rsidR="00541D05">
        <w:t xml:space="preserve"> </w:t>
      </w:r>
      <w:r w:rsidR="00D9258C" w:rsidRPr="00FD6A6A">
        <w:t>them</w:t>
      </w:r>
      <w:r w:rsidR="00541D05">
        <w:t xml:space="preserve"> </w:t>
      </w:r>
      <w:r w:rsidR="00D9258C" w:rsidRPr="00FD6A6A">
        <w:t>until</w:t>
      </w:r>
      <w:r w:rsidR="00541D05">
        <w:t xml:space="preserve"> </w:t>
      </w:r>
      <w:r w:rsidR="00D9258C" w:rsidRPr="00FD6A6A">
        <w:t>they</w:t>
      </w:r>
      <w:r w:rsidR="00541D05">
        <w:t xml:space="preserve"> </w:t>
      </w:r>
      <w:r w:rsidR="00D9258C" w:rsidRPr="00FD6A6A">
        <w:t>reach</w:t>
      </w:r>
      <w:r w:rsidR="00541D05">
        <w:t xml:space="preserve"> </w:t>
      </w:r>
      <w:r w:rsidR="00D9258C" w:rsidRPr="00FD6A6A">
        <w:t>the</w:t>
      </w:r>
      <w:r w:rsidR="00541D05">
        <w:t xml:space="preserve"> </w:t>
      </w:r>
      <w:r w:rsidR="00D9258C" w:rsidRPr="00FD6A6A">
        <w:t>judicial</w:t>
      </w:r>
      <w:r w:rsidR="00541D05">
        <w:t xml:space="preserve"> </w:t>
      </w:r>
      <w:r w:rsidR="00D9258C" w:rsidRPr="00FD6A6A">
        <w:t>system,</w:t>
      </w:r>
      <w:r w:rsidR="00541D05">
        <w:t xml:space="preserve"> </w:t>
      </w:r>
      <w:r w:rsidR="00D9258C" w:rsidRPr="00FD6A6A">
        <w:t>and</w:t>
      </w:r>
      <w:r w:rsidR="00541D05">
        <w:t xml:space="preserve"> </w:t>
      </w:r>
      <w:r w:rsidR="00D9258C" w:rsidRPr="00FD6A6A">
        <w:t>provide</w:t>
      </w:r>
      <w:r w:rsidR="00541D05">
        <w:t xml:space="preserve"> </w:t>
      </w:r>
      <w:r w:rsidR="00D9258C" w:rsidRPr="00FD6A6A">
        <w:t>information</w:t>
      </w:r>
      <w:r w:rsidR="00541D05">
        <w:t xml:space="preserve"> </w:t>
      </w:r>
      <w:r w:rsidR="00D9258C" w:rsidRPr="00FD6A6A">
        <w:t>and</w:t>
      </w:r>
      <w:r w:rsidR="00541D05">
        <w:t xml:space="preserve"> </w:t>
      </w:r>
      <w:r w:rsidR="00D9258C" w:rsidRPr="00FD6A6A">
        <w:t>guidance</w:t>
      </w:r>
      <w:r w:rsidR="00541D05">
        <w:t xml:space="preserve"> </w:t>
      </w:r>
      <w:r w:rsidR="00D9258C" w:rsidRPr="00FD6A6A">
        <w:t>to</w:t>
      </w:r>
      <w:r w:rsidR="00541D05">
        <w:t xml:space="preserve"> </w:t>
      </w:r>
      <w:r w:rsidR="00D9258C" w:rsidRPr="00FD6A6A">
        <w:t>complainants</w:t>
      </w:r>
      <w:r w:rsidR="00541D05">
        <w:t xml:space="preserve"> </w:t>
      </w:r>
      <w:r w:rsidR="00D9258C" w:rsidRPr="00FD6A6A">
        <w:t>and</w:t>
      </w:r>
      <w:r w:rsidR="00541D05">
        <w:t xml:space="preserve"> </w:t>
      </w:r>
      <w:r w:rsidR="00D9258C" w:rsidRPr="00FD6A6A">
        <w:t>victims.</w:t>
      </w:r>
    </w:p>
    <w:p w14:paraId="08AA136D" w14:textId="4ADB8936" w:rsidR="00D9258C" w:rsidRPr="00FD6A6A" w:rsidRDefault="00166390" w:rsidP="00166390">
      <w:pPr>
        <w:pStyle w:val="ParaNoG"/>
        <w:numPr>
          <w:ilvl w:val="0"/>
          <w:numId w:val="0"/>
        </w:numPr>
        <w:tabs>
          <w:tab w:val="left" w:pos="0"/>
        </w:tabs>
        <w:ind w:left="1134"/>
      </w:pPr>
      <w:r w:rsidRPr="00FD6A6A">
        <w:t>192.</w:t>
      </w:r>
      <w:r w:rsidRPr="00FD6A6A">
        <w:tab/>
      </w:r>
      <w:r w:rsidR="00D9258C" w:rsidRPr="00FD6A6A">
        <w:t>The</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receiving,</w:t>
      </w:r>
      <w:r w:rsidR="00541D05">
        <w:t xml:space="preserve"> </w:t>
      </w:r>
      <w:r w:rsidR="00D9258C" w:rsidRPr="00FD6A6A">
        <w:t>examining</w:t>
      </w:r>
      <w:r w:rsidR="00541D05">
        <w:t xml:space="preserve"> </w:t>
      </w:r>
      <w:r w:rsidR="00D9258C" w:rsidRPr="00FD6A6A">
        <w:t>and</w:t>
      </w:r>
      <w:r w:rsidR="00541D05">
        <w:t xml:space="preserve"> </w:t>
      </w:r>
      <w:r w:rsidR="00D9258C" w:rsidRPr="00FD6A6A">
        <w:t>forwarding</w:t>
      </w:r>
      <w:r w:rsidR="00541D05">
        <w:t xml:space="preserve"> </w:t>
      </w:r>
      <w:r w:rsidR="00D9258C" w:rsidRPr="00FD6A6A">
        <w:t>complaints</w:t>
      </w:r>
      <w:r w:rsidR="00541D05">
        <w:t xml:space="preserve"> </w:t>
      </w:r>
      <w:r w:rsidR="00D9258C" w:rsidRPr="00FD6A6A">
        <w:t>and</w:t>
      </w:r>
      <w:r w:rsidR="00541D05">
        <w:t xml:space="preserve"> </w:t>
      </w:r>
      <w:r w:rsidR="00D9258C" w:rsidRPr="00FD6A6A">
        <w:t>grievances,</w:t>
      </w:r>
      <w:r w:rsidR="00541D05">
        <w:t xml:space="preserve"> </w:t>
      </w:r>
      <w:r w:rsidR="00D9258C" w:rsidRPr="00FD6A6A">
        <w:t>thus</w:t>
      </w:r>
      <w:r w:rsidR="00541D05">
        <w:t xml:space="preserve"> </w:t>
      </w:r>
      <w:r w:rsidR="00D9258C" w:rsidRPr="00FD6A6A">
        <w:t>acting</w:t>
      </w:r>
      <w:r w:rsidR="00541D05">
        <w:t xml:space="preserve"> </w:t>
      </w:r>
      <w:r w:rsidR="00D9258C" w:rsidRPr="00FD6A6A">
        <w:t>in</w:t>
      </w:r>
      <w:r w:rsidR="00541D05">
        <w:t xml:space="preserve"> </w:t>
      </w:r>
      <w:r w:rsidR="00D9258C" w:rsidRPr="00FD6A6A">
        <w:t>conflict</w:t>
      </w:r>
      <w:r w:rsidR="00541D05">
        <w:t xml:space="preserve"> </w:t>
      </w:r>
      <w:r w:rsidR="00D9258C" w:rsidRPr="00FD6A6A">
        <w:t>resolution</w:t>
      </w:r>
      <w:r w:rsidR="00541D05">
        <w:t xml:space="preserve"> </w:t>
      </w:r>
      <w:r w:rsidR="00D9258C" w:rsidRPr="00FD6A6A">
        <w:t>and</w:t>
      </w:r>
      <w:r w:rsidR="00541D05">
        <w:t xml:space="preserve"> </w:t>
      </w:r>
      <w:r w:rsidR="00D9258C" w:rsidRPr="00FD6A6A">
        <w:t>in</w:t>
      </w:r>
      <w:r w:rsidR="00541D05">
        <w:t xml:space="preserve"> </w:t>
      </w:r>
      <w:r w:rsidR="00D9258C" w:rsidRPr="00FD6A6A">
        <w:t>the</w:t>
      </w:r>
      <w:r w:rsidR="00541D05">
        <w:t xml:space="preserve"> </w:t>
      </w:r>
      <w:r w:rsidR="00D9258C" w:rsidRPr="00FD6A6A">
        <w:t>remediation</w:t>
      </w:r>
      <w:r w:rsidR="00541D05">
        <w:t xml:space="preserve"> </w:t>
      </w:r>
      <w:r w:rsidR="00D9258C" w:rsidRPr="00FD6A6A">
        <w:t>of</w:t>
      </w:r>
      <w:r w:rsidR="00541D05">
        <w:t xml:space="preserve"> </w:t>
      </w:r>
      <w:r w:rsidR="00D9258C" w:rsidRPr="00FD6A6A">
        <w:t>human</w:t>
      </w:r>
      <w:r w:rsidR="00541D05">
        <w:t xml:space="preserve"> </w:t>
      </w:r>
      <w:r w:rsidR="00D9258C" w:rsidRPr="00FD6A6A">
        <w:t>rights</w:t>
      </w:r>
      <w:r w:rsidR="00541D05">
        <w:t xml:space="preserve"> </w:t>
      </w:r>
      <w:r w:rsidR="00D9258C" w:rsidRPr="00FD6A6A">
        <w:t>violations.</w:t>
      </w:r>
      <w:r w:rsidR="00541D05">
        <w:t xml:space="preserve"> </w:t>
      </w:r>
      <w:r w:rsidR="00D9258C" w:rsidRPr="00FD6A6A">
        <w:t>The</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is</w:t>
      </w:r>
      <w:r w:rsidR="00541D05">
        <w:t xml:space="preserve"> </w:t>
      </w:r>
      <w:r w:rsidR="00D9258C" w:rsidRPr="00FD6A6A">
        <w:t>also</w:t>
      </w:r>
      <w:r w:rsidR="00541D05">
        <w:t xml:space="preserve"> </w:t>
      </w:r>
      <w:r w:rsidR="00D9258C" w:rsidRPr="00FD6A6A">
        <w:t>responsible</w:t>
      </w:r>
      <w:r w:rsidR="00541D05">
        <w:t xml:space="preserve"> </w:t>
      </w:r>
      <w:r w:rsidR="00D9258C" w:rsidRPr="00FD6A6A">
        <w:t>for</w:t>
      </w:r>
      <w:r w:rsidR="00541D05">
        <w:t xml:space="preserve"> </w:t>
      </w:r>
      <w:r w:rsidR="00D9258C" w:rsidRPr="00FD6A6A">
        <w:t>taking</w:t>
      </w:r>
      <w:r w:rsidR="00541D05">
        <w:t xml:space="preserve"> </w:t>
      </w:r>
      <w:r w:rsidR="00D9258C" w:rsidRPr="00FD6A6A">
        <w:t>measures,</w:t>
      </w:r>
      <w:r w:rsidR="00541D05">
        <w:t xml:space="preserve"> </w:t>
      </w:r>
      <w:r w:rsidR="00D9258C" w:rsidRPr="00FD6A6A">
        <w:t>directly</w:t>
      </w:r>
      <w:r w:rsidR="00541D05">
        <w:t xml:space="preserve"> </w:t>
      </w:r>
      <w:r w:rsidR="00D9258C" w:rsidRPr="00FD6A6A">
        <w:t>or</w:t>
      </w:r>
      <w:r w:rsidR="00541D05">
        <w:t xml:space="preserve"> </w:t>
      </w:r>
      <w:r w:rsidR="00D9258C" w:rsidRPr="00FD6A6A">
        <w:t>in</w:t>
      </w:r>
      <w:r w:rsidR="00541D05">
        <w:t xml:space="preserve"> </w:t>
      </w:r>
      <w:r w:rsidR="00D9258C" w:rsidRPr="00FD6A6A">
        <w:t>coordination</w:t>
      </w:r>
      <w:r w:rsidR="00541D05">
        <w:t xml:space="preserve"> </w:t>
      </w:r>
      <w:r w:rsidR="00D9258C" w:rsidRPr="00FD6A6A">
        <w:t>with</w:t>
      </w:r>
      <w:r w:rsidR="00541D05">
        <w:t xml:space="preserve"> </w:t>
      </w:r>
      <w:r w:rsidR="00D9258C" w:rsidRPr="00FD6A6A">
        <w:t>other</w:t>
      </w:r>
      <w:r w:rsidR="00541D05">
        <w:t xml:space="preserve"> </w:t>
      </w:r>
      <w:r w:rsidR="00D9258C" w:rsidRPr="00FD6A6A">
        <w:t>stakeholders.</w:t>
      </w:r>
      <w:r w:rsidR="00541D05">
        <w:t xml:space="preserve"> </w:t>
      </w:r>
      <w:r w:rsidR="00D9258C" w:rsidRPr="00FD6A6A">
        <w:t>The</w:t>
      </w:r>
      <w:r w:rsidR="00541D05">
        <w:t xml:space="preserve"> </w:t>
      </w:r>
      <w:r w:rsidR="00D9258C" w:rsidRPr="00FD6A6A">
        <w:t>main</w:t>
      </w:r>
      <w:r w:rsidR="00541D05">
        <w:t xml:space="preserve"> </w:t>
      </w:r>
      <w:r w:rsidR="00D9258C" w:rsidRPr="00FD6A6A">
        <w:t>channel</w:t>
      </w:r>
      <w:r w:rsidR="00541D05">
        <w:t xml:space="preserve"> </w:t>
      </w:r>
      <w:r w:rsidR="00D9258C" w:rsidRPr="00FD6A6A">
        <w:lastRenderedPageBreak/>
        <w:t>for</w:t>
      </w:r>
      <w:r w:rsidR="00541D05">
        <w:t xml:space="preserve"> </w:t>
      </w:r>
      <w:r w:rsidR="00D9258C" w:rsidRPr="00FD6A6A">
        <w:t>communication</w:t>
      </w:r>
      <w:r w:rsidR="00541D05">
        <w:t xml:space="preserve"> </w:t>
      </w:r>
      <w:r w:rsidR="00D9258C" w:rsidRPr="00FD6A6A">
        <w:t>between</w:t>
      </w:r>
      <w:r w:rsidR="00541D05">
        <w:t xml:space="preserve"> </w:t>
      </w:r>
      <w:r w:rsidR="00D9258C" w:rsidRPr="00FD6A6A">
        <w:t>the</w:t>
      </w:r>
      <w:r w:rsidR="00541D05">
        <w:t xml:space="preserve"> </w:t>
      </w:r>
      <w:r w:rsidR="00D9258C" w:rsidRPr="00FD6A6A">
        <w:t>society</w:t>
      </w:r>
      <w:r w:rsidR="00541D05">
        <w:t xml:space="preserve"> </w:t>
      </w:r>
      <w:r w:rsidR="00D9258C" w:rsidRPr="00FD6A6A">
        <w:t>and</w:t>
      </w:r>
      <w:r w:rsidR="00541D05">
        <w:t xml:space="preserve"> </w:t>
      </w:r>
      <w:r w:rsidR="00D9258C" w:rsidRPr="00FD6A6A">
        <w:t>the</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is</w:t>
      </w:r>
      <w:r w:rsidR="00541D05">
        <w:t xml:space="preserve"> </w:t>
      </w:r>
      <w:r w:rsidR="00D9258C" w:rsidRPr="00FD6A6A">
        <w:t>the</w:t>
      </w:r>
      <w:r w:rsidR="00541D05">
        <w:t xml:space="preserve"> </w:t>
      </w:r>
      <w:r w:rsidR="00D9258C" w:rsidRPr="00FD6A6A">
        <w:t>Disque</w:t>
      </w:r>
      <w:r w:rsidR="00541D05">
        <w:t xml:space="preserve"> </w:t>
      </w:r>
      <w:r w:rsidR="00D9258C" w:rsidRPr="00FD6A6A">
        <w:t>100,</w:t>
      </w:r>
      <w:r w:rsidR="00541D05">
        <w:t xml:space="preserve"> </w:t>
      </w:r>
      <w:r w:rsidR="00D9258C" w:rsidRPr="00FD6A6A">
        <w:t>a</w:t>
      </w:r>
      <w:r w:rsidR="00541D05">
        <w:t xml:space="preserve"> </w:t>
      </w:r>
      <w:r w:rsidR="00D9258C" w:rsidRPr="00FD6A6A">
        <w:t>free</w:t>
      </w:r>
      <w:r w:rsidR="00541D05">
        <w:t xml:space="preserve"> </w:t>
      </w:r>
      <w:r w:rsidR="00D9258C" w:rsidRPr="00FD6A6A">
        <w:t>of</w:t>
      </w:r>
      <w:r w:rsidR="00541D05">
        <w:t xml:space="preserve"> </w:t>
      </w:r>
      <w:r w:rsidR="00D9258C" w:rsidRPr="00FD6A6A">
        <w:t>charge</w:t>
      </w:r>
      <w:r w:rsidR="00541D05">
        <w:t xml:space="preserve"> </w:t>
      </w:r>
      <w:r w:rsidR="00D9258C" w:rsidRPr="00FD6A6A">
        <w:t>hotline</w:t>
      </w:r>
      <w:r w:rsidR="00541D05">
        <w:t xml:space="preserve"> </w:t>
      </w:r>
      <w:r w:rsidR="00D9258C" w:rsidRPr="00FD6A6A">
        <w:t>that</w:t>
      </w:r>
      <w:r w:rsidR="00541D05">
        <w:t xml:space="preserve"> </w:t>
      </w:r>
      <w:r w:rsidR="00D9258C" w:rsidRPr="00FD6A6A">
        <w:t>operates</w:t>
      </w:r>
      <w:r w:rsidR="00541D05">
        <w:t xml:space="preserve"> </w:t>
      </w:r>
      <w:r w:rsidR="00D9258C" w:rsidRPr="00FD6A6A">
        <w:t>around</w:t>
      </w:r>
      <w:r w:rsidR="00541D05">
        <w:t xml:space="preserve"> </w:t>
      </w:r>
      <w:r w:rsidR="00D9258C" w:rsidRPr="00FD6A6A">
        <w:t>the</w:t>
      </w:r>
      <w:r w:rsidR="00541D05">
        <w:t xml:space="preserve"> </w:t>
      </w:r>
      <w:r w:rsidR="00D9258C" w:rsidRPr="00FD6A6A">
        <w:t>clock</w:t>
      </w:r>
      <w:r w:rsidR="00541D05">
        <w:t xml:space="preserve"> </w:t>
      </w:r>
      <w:r w:rsidR="00D9258C" w:rsidRPr="00FD6A6A">
        <w:t>and</w:t>
      </w:r>
      <w:r w:rsidR="00541D05">
        <w:t xml:space="preserve"> </w:t>
      </w:r>
      <w:r w:rsidR="00D9258C" w:rsidRPr="00FD6A6A">
        <w:t>seven</w:t>
      </w:r>
      <w:r w:rsidR="00541D05">
        <w:t xml:space="preserve"> </w:t>
      </w:r>
      <w:r w:rsidR="00D9258C" w:rsidRPr="00FD6A6A">
        <w:t>days</w:t>
      </w:r>
      <w:r w:rsidR="00541D05">
        <w:t xml:space="preserve"> </w:t>
      </w:r>
      <w:r w:rsidR="00D9258C" w:rsidRPr="00FD6A6A">
        <w:t>a</w:t>
      </w:r>
      <w:r w:rsidR="00541D05">
        <w:t xml:space="preserve"> </w:t>
      </w:r>
      <w:r w:rsidR="00D9258C" w:rsidRPr="00FD6A6A">
        <w:t>week.</w:t>
      </w:r>
    </w:p>
    <w:p w14:paraId="7FB80112" w14:textId="2FF45131" w:rsidR="00D9258C" w:rsidRPr="00FD6A6A" w:rsidRDefault="00166390" w:rsidP="00166390">
      <w:pPr>
        <w:pStyle w:val="ParaNoG"/>
        <w:numPr>
          <w:ilvl w:val="0"/>
          <w:numId w:val="0"/>
        </w:numPr>
        <w:tabs>
          <w:tab w:val="left" w:pos="0"/>
        </w:tabs>
        <w:ind w:left="1134"/>
      </w:pPr>
      <w:r w:rsidRPr="00FD6A6A">
        <w:t>193.</w:t>
      </w:r>
      <w:r w:rsidRPr="00FD6A6A">
        <w:tab/>
      </w:r>
      <w:r w:rsidR="00D9258C" w:rsidRPr="00FD6A6A">
        <w:t>Since</w:t>
      </w:r>
      <w:r w:rsidR="00541D05">
        <w:t xml:space="preserve"> </w:t>
      </w:r>
      <w:r w:rsidR="00D9258C" w:rsidRPr="00FD6A6A">
        <w:t>2015,</w:t>
      </w:r>
      <w:r w:rsidR="00541D05">
        <w:t xml:space="preserve"> </w:t>
      </w:r>
      <w:r w:rsidR="00D9258C" w:rsidRPr="00FD6A6A">
        <w:t>Disque</w:t>
      </w:r>
      <w:r w:rsidR="00541D05">
        <w:t xml:space="preserve"> </w:t>
      </w:r>
      <w:r w:rsidR="00D9258C" w:rsidRPr="00FD6A6A">
        <w:t>100</w:t>
      </w:r>
      <w:r w:rsidR="00541D05">
        <w:t xml:space="preserve"> </w:t>
      </w:r>
      <w:r w:rsidR="00D9258C" w:rsidRPr="00FD6A6A">
        <w:t>has</w:t>
      </w:r>
      <w:r w:rsidR="00541D05">
        <w:t xml:space="preserve"> </w:t>
      </w:r>
      <w:r w:rsidR="00D9258C" w:rsidRPr="00FD6A6A">
        <w:t>been</w:t>
      </w:r>
      <w:r w:rsidR="00541D05">
        <w:t xml:space="preserve"> </w:t>
      </w:r>
      <w:r w:rsidR="00D9258C" w:rsidRPr="00FD6A6A">
        <w:t>relying</w:t>
      </w:r>
      <w:r w:rsidR="00541D05">
        <w:t xml:space="preserve"> </w:t>
      </w:r>
      <w:r w:rsidR="00D9258C" w:rsidRPr="00FD6A6A">
        <w:t>on</w:t>
      </w:r>
      <w:r w:rsidR="00541D05">
        <w:t xml:space="preserve"> </w:t>
      </w:r>
      <w:r w:rsidR="00D9258C" w:rsidRPr="00FD6A6A">
        <w:t>two</w:t>
      </w:r>
      <w:r w:rsidR="00541D05">
        <w:t xml:space="preserve"> </w:t>
      </w:r>
      <w:r w:rsidR="00D9258C" w:rsidRPr="00FD6A6A">
        <w:t>new</w:t>
      </w:r>
      <w:r w:rsidR="00541D05">
        <w:t xml:space="preserve"> </w:t>
      </w:r>
      <w:r w:rsidR="00D9258C" w:rsidRPr="00FD6A6A">
        <w:t>units</w:t>
      </w:r>
      <w:r w:rsidR="00541D05">
        <w:t xml:space="preserve"> </w:t>
      </w:r>
      <w:r w:rsidR="00D9258C" w:rsidRPr="00FD6A6A">
        <w:t>for</w:t>
      </w:r>
      <w:r w:rsidR="00541D05">
        <w:t xml:space="preserve"> </w:t>
      </w:r>
      <w:r w:rsidR="00D9258C" w:rsidRPr="00FD6A6A">
        <w:t>complaints,</w:t>
      </w:r>
      <w:r w:rsidR="00541D05">
        <w:t xml:space="preserve"> </w:t>
      </w:r>
      <w:r w:rsidR="00D9258C" w:rsidRPr="00FD6A6A">
        <w:t>one</w:t>
      </w:r>
      <w:r w:rsidR="00541D05">
        <w:t xml:space="preserve"> </w:t>
      </w:r>
      <w:r w:rsidR="00D9258C" w:rsidRPr="00FD6A6A">
        <w:t>regarding</w:t>
      </w:r>
      <w:r w:rsidR="00541D05">
        <w:t xml:space="preserve"> </w:t>
      </w:r>
      <w:r w:rsidR="00D9258C" w:rsidRPr="00FD6A6A">
        <w:t>the</w:t>
      </w:r>
      <w:r w:rsidR="00541D05">
        <w:t xml:space="preserve"> </w:t>
      </w:r>
      <w:r w:rsidR="00D9258C" w:rsidRPr="00FD6A6A">
        <w:t>infringement</w:t>
      </w:r>
      <w:r w:rsidR="00541D05">
        <w:t xml:space="preserve"> </w:t>
      </w:r>
      <w:r w:rsidR="00D9258C" w:rsidRPr="00FD6A6A">
        <w:t>of</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Afro-Brazilians</w:t>
      </w:r>
      <w:r w:rsidR="00541D05">
        <w:t xml:space="preserve"> </w:t>
      </w:r>
      <w:r w:rsidR="00D9258C" w:rsidRPr="00FD6A6A">
        <w:t>and</w:t>
      </w:r>
      <w:r w:rsidR="00541D05">
        <w:t xml:space="preserve"> </w:t>
      </w:r>
      <w:r w:rsidR="00D9258C" w:rsidRPr="00FD6A6A">
        <w:t>the</w:t>
      </w:r>
      <w:r w:rsidR="00541D05">
        <w:t xml:space="preserve"> </w:t>
      </w:r>
      <w:r w:rsidR="00D9258C" w:rsidRPr="00FD6A6A">
        <w:t>other</w:t>
      </w:r>
      <w:r w:rsidR="00541D05">
        <w:t xml:space="preserve"> </w:t>
      </w:r>
      <w:r w:rsidR="00D9258C" w:rsidRPr="00FD6A6A">
        <w:t>to</w:t>
      </w:r>
      <w:r w:rsidR="00541D05">
        <w:t xml:space="preserve"> </w:t>
      </w:r>
      <w:r w:rsidR="00D9258C" w:rsidRPr="00FD6A6A">
        <w:t>receive</w:t>
      </w:r>
      <w:r w:rsidR="00541D05">
        <w:t xml:space="preserve"> </w:t>
      </w:r>
      <w:r w:rsidR="00D9258C" w:rsidRPr="00FD6A6A">
        <w:t>reports</w:t>
      </w:r>
      <w:r w:rsidR="00541D05">
        <w:t xml:space="preserve"> </w:t>
      </w:r>
      <w:r w:rsidR="00D9258C" w:rsidRPr="00FD6A6A">
        <w:t>of</w:t>
      </w:r>
      <w:r w:rsidR="00541D05">
        <w:t xml:space="preserve"> </w:t>
      </w:r>
      <w:r w:rsidR="00D9258C" w:rsidRPr="00FD6A6A">
        <w:t>infringement</w:t>
      </w:r>
      <w:r w:rsidR="00541D05">
        <w:t xml:space="preserve"> </w:t>
      </w:r>
      <w:r w:rsidR="00D9258C" w:rsidRPr="00FD6A6A">
        <w:t>of</w:t>
      </w:r>
      <w:r w:rsidR="00541D05">
        <w:t xml:space="preserve"> </w:t>
      </w:r>
      <w:r w:rsidR="00D9258C" w:rsidRPr="00FD6A6A">
        <w:t>the</w:t>
      </w:r>
      <w:r w:rsidR="00541D05">
        <w:t xml:space="preserve"> </w:t>
      </w:r>
      <w:r w:rsidR="00D9258C" w:rsidRPr="00FD6A6A">
        <w:t>rights</w:t>
      </w:r>
      <w:r w:rsidR="00541D05">
        <w:t xml:space="preserve"> </w:t>
      </w:r>
      <w:r w:rsidR="00D9258C" w:rsidRPr="00FD6A6A">
        <w:t>of</w:t>
      </w:r>
      <w:r w:rsidR="00541D05">
        <w:t xml:space="preserve"> </w:t>
      </w:r>
      <w:r w:rsidR="00D9258C" w:rsidRPr="00FD6A6A">
        <w:t>Quilombola</w:t>
      </w:r>
      <w:r w:rsidR="00541D05">
        <w:t xml:space="preserve"> </w:t>
      </w:r>
      <w:r w:rsidR="00D9258C" w:rsidRPr="00FD6A6A">
        <w:t>and</w:t>
      </w:r>
      <w:r w:rsidR="00541D05">
        <w:t xml:space="preserve"> </w:t>
      </w:r>
      <w:r w:rsidR="00D9258C" w:rsidRPr="00FD6A6A">
        <w:t>Romani</w:t>
      </w:r>
      <w:r w:rsidR="00541D05">
        <w:t xml:space="preserve"> </w:t>
      </w:r>
      <w:r w:rsidR="00D9258C" w:rsidRPr="00FD6A6A">
        <w:t>communities,</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those</w:t>
      </w:r>
      <w:r w:rsidR="00541D05">
        <w:t xml:space="preserve"> </w:t>
      </w:r>
      <w:r w:rsidR="00D9258C" w:rsidRPr="00FD6A6A">
        <w:t>based</w:t>
      </w:r>
      <w:r w:rsidR="00541D05">
        <w:t xml:space="preserve"> </w:t>
      </w:r>
      <w:r w:rsidR="00D9258C" w:rsidRPr="00FD6A6A">
        <w:t>on</w:t>
      </w:r>
      <w:r w:rsidR="00541D05">
        <w:t xml:space="preserve"> </w:t>
      </w:r>
      <w:r w:rsidR="00D9258C" w:rsidRPr="00FD6A6A">
        <w:t>African</w:t>
      </w:r>
      <w:r w:rsidR="00541D05">
        <w:t xml:space="preserve"> </w:t>
      </w:r>
      <w:r w:rsidR="00D9258C" w:rsidRPr="00FD6A6A">
        <w:t>religions.</w:t>
      </w:r>
      <w:r w:rsidR="00541D05">
        <w:t xml:space="preserve"> </w:t>
      </w:r>
      <w:r w:rsidR="00D9258C" w:rsidRPr="00FD6A6A">
        <w:t>Between</w:t>
      </w:r>
      <w:r w:rsidR="00541D05">
        <w:t xml:space="preserve"> </w:t>
      </w:r>
      <w:r w:rsidR="00D9258C" w:rsidRPr="00FD6A6A">
        <w:t>2015</w:t>
      </w:r>
      <w:r w:rsidR="00541D05">
        <w:t xml:space="preserve"> </w:t>
      </w:r>
      <w:r w:rsidR="00D9258C" w:rsidRPr="00FD6A6A">
        <w:t>and</w:t>
      </w:r>
      <w:r w:rsidR="00541D05">
        <w:t xml:space="preserve"> </w:t>
      </w:r>
      <w:r w:rsidR="00D9258C" w:rsidRPr="00FD6A6A">
        <w:t>2017,</w:t>
      </w:r>
      <w:r w:rsidR="00541D05">
        <w:t xml:space="preserve"> </w:t>
      </w:r>
      <w:r w:rsidR="00D9258C" w:rsidRPr="00FD6A6A">
        <w:t>the</w:t>
      </w:r>
      <w:r w:rsidR="00541D05">
        <w:t xml:space="preserve"> </w:t>
      </w:r>
      <w:r w:rsidR="00D9258C" w:rsidRPr="00FD6A6A">
        <w:t>unit</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received</w:t>
      </w:r>
      <w:r w:rsidR="00541D05">
        <w:t xml:space="preserve"> </w:t>
      </w:r>
      <w:r w:rsidR="00D9258C" w:rsidRPr="00FD6A6A">
        <w:t>1,203</w:t>
      </w:r>
      <w:r w:rsidR="00541D05">
        <w:t xml:space="preserve"> </w:t>
      </w:r>
      <w:r w:rsidR="00D9258C" w:rsidRPr="00FD6A6A">
        <w:t>complaints,</w:t>
      </w:r>
      <w:r w:rsidR="00541D05">
        <w:t xml:space="preserve"> </w:t>
      </w:r>
      <w:r w:rsidR="00D9258C" w:rsidRPr="00FD6A6A">
        <w:t>a</w:t>
      </w:r>
      <w:r w:rsidR="00541D05">
        <w:t xml:space="preserve"> </w:t>
      </w:r>
      <w:r w:rsidR="00D9258C" w:rsidRPr="00FD6A6A">
        <w:t>number</w:t>
      </w:r>
      <w:r w:rsidR="00541D05">
        <w:t xml:space="preserve"> </w:t>
      </w:r>
      <w:r w:rsidR="00D9258C" w:rsidRPr="00FD6A6A">
        <w:t>that</w:t>
      </w:r>
      <w:r w:rsidR="00541D05">
        <w:t xml:space="preserve"> </w:t>
      </w:r>
      <w:r w:rsidR="00D9258C" w:rsidRPr="00FD6A6A">
        <w:t>does</w:t>
      </w:r>
      <w:r w:rsidR="00541D05">
        <w:t xml:space="preserve"> </w:t>
      </w:r>
      <w:r w:rsidR="00D9258C" w:rsidRPr="00FD6A6A">
        <w:t>not</w:t>
      </w:r>
      <w:r w:rsidR="00541D05">
        <w:t xml:space="preserve"> </w:t>
      </w:r>
      <w:r w:rsidR="00D9258C" w:rsidRPr="00FD6A6A">
        <w:t>represent</w:t>
      </w:r>
      <w:r w:rsidR="00541D05">
        <w:t xml:space="preserve"> </w:t>
      </w:r>
      <w:r w:rsidR="00D9258C" w:rsidRPr="00FD6A6A">
        <w:t>the</w:t>
      </w:r>
      <w:r w:rsidR="00541D05">
        <w:t xml:space="preserve"> </w:t>
      </w:r>
      <w:r w:rsidR="00D9258C" w:rsidRPr="00FD6A6A">
        <w:t>entirety</w:t>
      </w:r>
      <w:r w:rsidR="00541D05">
        <w:t xml:space="preserve"> </w:t>
      </w:r>
      <w:r w:rsidR="00D9258C" w:rsidRPr="00FD6A6A">
        <w:t>of</w:t>
      </w:r>
      <w:r w:rsidR="00541D05">
        <w:t xml:space="preserve"> </w:t>
      </w:r>
      <w:r w:rsidR="00D9258C" w:rsidRPr="00FD6A6A">
        <w:t>cases</w:t>
      </w:r>
      <w:r w:rsidR="00541D05">
        <w:t xml:space="preserve"> </w:t>
      </w:r>
      <w:r w:rsidR="00D9258C" w:rsidRPr="00FD6A6A">
        <w:t>of</w:t>
      </w:r>
      <w:r w:rsidR="00541D05">
        <w:t xml:space="preserve"> </w:t>
      </w:r>
      <w:r w:rsidR="00D9258C" w:rsidRPr="00FD6A6A">
        <w:t>racism</w:t>
      </w:r>
      <w:r w:rsidR="00541D05">
        <w:t xml:space="preserve"> </w:t>
      </w:r>
      <w:r w:rsidR="00D9258C" w:rsidRPr="00FD6A6A">
        <w:t>in</w:t>
      </w:r>
      <w:r w:rsidR="00541D05">
        <w:t xml:space="preserve"> </w:t>
      </w:r>
      <w:r w:rsidR="00D9258C" w:rsidRPr="00FD6A6A">
        <w:t>Brazil.</w:t>
      </w:r>
    </w:p>
    <w:p w14:paraId="510E013C" w14:textId="17A855E8" w:rsidR="00D9258C" w:rsidRPr="00FD6A6A" w:rsidRDefault="00166390" w:rsidP="00166390">
      <w:pPr>
        <w:pStyle w:val="ParaNoG"/>
        <w:numPr>
          <w:ilvl w:val="0"/>
          <w:numId w:val="0"/>
        </w:numPr>
        <w:tabs>
          <w:tab w:val="left" w:pos="0"/>
        </w:tabs>
        <w:ind w:left="1134"/>
      </w:pPr>
      <w:r w:rsidRPr="00FD6A6A">
        <w:t>194.</w:t>
      </w:r>
      <w:r w:rsidRPr="00FD6A6A">
        <w:tab/>
      </w:r>
      <w:r w:rsidR="00D9258C" w:rsidRPr="00FD6A6A">
        <w:t>In</w:t>
      </w:r>
      <w:r w:rsidR="00541D05">
        <w:t xml:space="preserve"> </w:t>
      </w:r>
      <w:r w:rsidR="00D9258C" w:rsidRPr="00FD6A6A">
        <w:t>the</w:t>
      </w:r>
      <w:r w:rsidR="00541D05">
        <w:t xml:space="preserve"> </w:t>
      </w:r>
      <w:r w:rsidR="00D9258C" w:rsidRPr="00FD6A6A">
        <w:t>cities,</w:t>
      </w:r>
      <w:r w:rsidR="00541D05">
        <w:t xml:space="preserve"> </w:t>
      </w:r>
      <w:r w:rsidR="00D9258C" w:rsidRPr="00FD6A6A">
        <w:t>the</w:t>
      </w:r>
      <w:r w:rsidR="00541D05">
        <w:t xml:space="preserve"> </w:t>
      </w:r>
      <w:r w:rsidR="00D9258C" w:rsidRPr="00FD6A6A">
        <w:t>role</w:t>
      </w:r>
      <w:r w:rsidR="00541D05">
        <w:t xml:space="preserve"> </w:t>
      </w:r>
      <w:r w:rsidR="00D9258C" w:rsidRPr="00FD6A6A">
        <w:t>of</w:t>
      </w:r>
      <w:r w:rsidR="00541D05">
        <w:t xml:space="preserve"> </w:t>
      </w:r>
      <w:r w:rsidR="00D9258C" w:rsidRPr="00FD6A6A">
        <w:t>the</w:t>
      </w:r>
      <w:r w:rsidR="00541D05">
        <w:t xml:space="preserve"> </w:t>
      </w:r>
      <w:r w:rsidR="00D9258C" w:rsidRPr="00FD6A6A">
        <w:t>Office</w:t>
      </w:r>
      <w:r w:rsidR="00541D05">
        <w:t xml:space="preserve"> </w:t>
      </w:r>
      <w:r w:rsidR="00D9258C" w:rsidRPr="00FD6A6A">
        <w:t>of</w:t>
      </w:r>
      <w:r w:rsidR="00541D05">
        <w:t xml:space="preserve"> </w:t>
      </w:r>
      <w:r w:rsidR="00D9258C" w:rsidRPr="00FD6A6A">
        <w:t>the</w:t>
      </w:r>
      <w:r w:rsidR="00541D05">
        <w:t xml:space="preserve"> </w:t>
      </w:r>
      <w:r w:rsidR="00D9258C" w:rsidRPr="00FD6A6A">
        <w:t>Ombudsman</w:t>
      </w:r>
      <w:r w:rsidR="00541D05">
        <w:t xml:space="preserve"> </w:t>
      </w:r>
      <w:r w:rsidR="00D9258C" w:rsidRPr="00FD6A6A">
        <w:t>is</w:t>
      </w:r>
      <w:r w:rsidR="00541D05">
        <w:t xml:space="preserve"> </w:t>
      </w:r>
      <w:r w:rsidR="00D9258C" w:rsidRPr="00FD6A6A">
        <w:t>played</w:t>
      </w:r>
      <w:r w:rsidR="00541D05">
        <w:t xml:space="preserve"> </w:t>
      </w:r>
      <w:r w:rsidR="00D9258C" w:rsidRPr="00FD6A6A">
        <w:t>by</w:t>
      </w:r>
      <w:r w:rsidR="00541D05">
        <w:t xml:space="preserve"> </w:t>
      </w:r>
      <w:r w:rsidR="00D9258C" w:rsidRPr="00FD6A6A">
        <w:t>new</w:t>
      </w:r>
      <w:r w:rsidR="00541D05">
        <w:t xml:space="preserve"> </w:t>
      </w:r>
      <w:r w:rsidR="00D9258C" w:rsidRPr="00FD6A6A">
        <w:t>bodies</w:t>
      </w:r>
      <w:r w:rsidR="00541D05">
        <w:t xml:space="preserve"> </w:t>
      </w:r>
      <w:r w:rsidR="00D9258C" w:rsidRPr="00FD6A6A">
        <w:t>specialized</w:t>
      </w:r>
      <w:r w:rsidR="00541D05">
        <w:t xml:space="preserve"> </w:t>
      </w:r>
      <w:r w:rsidR="00D9258C" w:rsidRPr="00FD6A6A">
        <w:t>in</w:t>
      </w:r>
      <w:r w:rsidR="00541D05">
        <w:t xml:space="preserve"> </w:t>
      </w:r>
      <w:r w:rsidR="00D9258C" w:rsidRPr="00FD6A6A">
        <w:t>racial</w:t>
      </w:r>
      <w:r w:rsidR="00541D05">
        <w:t xml:space="preserve"> </w:t>
      </w:r>
      <w:r w:rsidR="00D9258C" w:rsidRPr="00FD6A6A">
        <w:t>equality,</w:t>
      </w:r>
      <w:r w:rsidR="00541D05">
        <w:t xml:space="preserve"> </w:t>
      </w:r>
      <w:r w:rsidR="00D9258C" w:rsidRPr="00FD6A6A">
        <w:t>some</w:t>
      </w:r>
      <w:r w:rsidR="00541D05">
        <w:t xml:space="preserve"> </w:t>
      </w:r>
      <w:r w:rsidR="00D9258C" w:rsidRPr="00FD6A6A">
        <w:t>of</w:t>
      </w:r>
      <w:r w:rsidR="00541D05">
        <w:t xml:space="preserve"> </w:t>
      </w:r>
      <w:r w:rsidR="00D9258C" w:rsidRPr="00FD6A6A">
        <w:t>which</w:t>
      </w:r>
      <w:r w:rsidR="00541D05">
        <w:t xml:space="preserve"> </w:t>
      </w:r>
      <w:r w:rsidR="00D9258C" w:rsidRPr="00FD6A6A">
        <w:t>were</w:t>
      </w:r>
      <w:r w:rsidR="00541D05">
        <w:t xml:space="preserve"> </w:t>
      </w:r>
      <w:r w:rsidR="00D9258C" w:rsidRPr="00FD6A6A">
        <w:t>recently</w:t>
      </w:r>
      <w:r w:rsidR="00541D05">
        <w:t xml:space="preserve"> </w:t>
      </w:r>
      <w:r w:rsidR="00D9258C" w:rsidRPr="00FD6A6A">
        <w:t>created</w:t>
      </w:r>
      <w:r w:rsidR="00541D05">
        <w:t xml:space="preserve"> </w:t>
      </w:r>
      <w:r w:rsidR="00D9258C" w:rsidRPr="00FD6A6A">
        <w:t>within</w:t>
      </w:r>
      <w:r w:rsidR="00541D05">
        <w:t xml:space="preserve"> </w:t>
      </w:r>
      <w:r w:rsidR="00D9258C" w:rsidRPr="00FD6A6A">
        <w:t>institutions</w:t>
      </w:r>
      <w:r w:rsidR="00541D05">
        <w:t xml:space="preserve"> </w:t>
      </w:r>
      <w:r w:rsidR="00D9258C" w:rsidRPr="00FD6A6A">
        <w:t>that</w:t>
      </w:r>
      <w:r w:rsidR="00541D05">
        <w:t xml:space="preserve"> </w:t>
      </w:r>
      <w:r w:rsidR="00D9258C" w:rsidRPr="00FD6A6A">
        <w:t>already</w:t>
      </w:r>
      <w:r w:rsidR="00541D05">
        <w:t xml:space="preserve"> </w:t>
      </w:r>
      <w:r w:rsidR="00D9258C" w:rsidRPr="00FD6A6A">
        <w:t>existed.</w:t>
      </w:r>
      <w:r w:rsidR="00541D05">
        <w:t xml:space="preserve"> </w:t>
      </w:r>
      <w:r w:rsidR="00D9258C" w:rsidRPr="00FD6A6A">
        <w:t>Thus,</w:t>
      </w:r>
      <w:r w:rsidR="00541D05">
        <w:t xml:space="preserve"> </w:t>
      </w:r>
      <w:r w:rsidR="00D9258C" w:rsidRPr="00FD6A6A">
        <w:t>in</w:t>
      </w:r>
      <w:r w:rsidR="00541D05">
        <w:t xml:space="preserve"> </w:t>
      </w:r>
      <w:r w:rsidR="00D9258C" w:rsidRPr="00FD6A6A">
        <w:t>general,</w:t>
      </w:r>
      <w:r w:rsidR="00541D05">
        <w:t xml:space="preserve"> </w:t>
      </w:r>
      <w:r w:rsidR="00D9258C" w:rsidRPr="00FD6A6A">
        <w:t>Afro-Brazilian</w:t>
      </w:r>
      <w:r w:rsidR="00541D05">
        <w:t xml:space="preserve"> </w:t>
      </w:r>
      <w:r w:rsidR="00D9258C" w:rsidRPr="00FD6A6A">
        <w:t>citizens</w:t>
      </w:r>
      <w:r w:rsidR="00541D05">
        <w:t xml:space="preserve"> </w:t>
      </w:r>
      <w:r w:rsidR="00D9258C" w:rsidRPr="00FD6A6A">
        <w:t>can</w:t>
      </w:r>
      <w:r w:rsidR="00541D05">
        <w:t xml:space="preserve"> </w:t>
      </w:r>
      <w:r w:rsidR="00D9258C" w:rsidRPr="00FD6A6A">
        <w:t>rely</w:t>
      </w:r>
      <w:r w:rsidR="00541D05">
        <w:t xml:space="preserve"> </w:t>
      </w:r>
      <w:r w:rsidR="00D9258C" w:rsidRPr="00FD6A6A">
        <w:t>on</w:t>
      </w:r>
      <w:r w:rsidR="00541D05">
        <w:t xml:space="preserve"> </w:t>
      </w:r>
      <w:r w:rsidR="00D9258C" w:rsidRPr="00FD6A6A">
        <w:t>the</w:t>
      </w:r>
      <w:r w:rsidR="00541D05">
        <w:t xml:space="preserve"> </w:t>
      </w:r>
      <w:r w:rsidR="00D9258C" w:rsidRPr="00FD6A6A">
        <w:t>Federal</w:t>
      </w:r>
      <w:r w:rsidR="00541D05">
        <w:t xml:space="preserve"> </w:t>
      </w:r>
      <w:r w:rsidR="00D9258C" w:rsidRPr="00FD6A6A">
        <w:t>Police</w:t>
      </w:r>
      <w:r w:rsidR="00541D05">
        <w:t xml:space="preserve"> </w:t>
      </w:r>
      <w:r w:rsidR="00D9258C" w:rsidRPr="00FD6A6A">
        <w:t>and</w:t>
      </w:r>
      <w:r w:rsidR="00541D05">
        <w:t xml:space="preserve"> </w:t>
      </w:r>
      <w:r w:rsidR="00D9258C" w:rsidRPr="00FD6A6A">
        <w:t>on</w:t>
      </w:r>
      <w:r w:rsidR="00541D05">
        <w:t xml:space="preserve"> </w:t>
      </w:r>
      <w:r w:rsidR="00D9258C" w:rsidRPr="00FD6A6A">
        <w:t>specialized</w:t>
      </w:r>
      <w:r w:rsidR="00541D05">
        <w:t xml:space="preserve"> </w:t>
      </w:r>
      <w:r w:rsidR="00D9258C" w:rsidRPr="00FD6A6A">
        <w:t>police</w:t>
      </w:r>
      <w:r w:rsidR="00541D05">
        <w:t xml:space="preserve"> </w:t>
      </w:r>
      <w:r w:rsidR="00D9258C" w:rsidRPr="00FD6A6A">
        <w:t>units</w:t>
      </w:r>
      <w:r w:rsidR="00541D05">
        <w:t xml:space="preserve"> </w:t>
      </w:r>
      <w:r w:rsidR="00D9258C" w:rsidRPr="00FD6A6A">
        <w:t>for</w:t>
      </w:r>
      <w:r w:rsidR="00541D05">
        <w:t xml:space="preserve"> </w:t>
      </w:r>
      <w:r w:rsidR="00D9258C" w:rsidRPr="00FD6A6A">
        <w:t>racial</w:t>
      </w:r>
      <w:r w:rsidR="00541D05">
        <w:t xml:space="preserve"> </w:t>
      </w:r>
      <w:r w:rsidR="00D9258C" w:rsidRPr="00FD6A6A">
        <w:t>and</w:t>
      </w:r>
      <w:r w:rsidR="00541D05">
        <w:t xml:space="preserve"> </w:t>
      </w:r>
      <w:r w:rsidR="00D9258C" w:rsidRPr="00FD6A6A">
        <w:t>intolerance</w:t>
      </w:r>
      <w:r w:rsidR="00541D05">
        <w:t xml:space="preserve"> </w:t>
      </w:r>
      <w:r w:rsidR="00D9258C" w:rsidRPr="00FD6A6A">
        <w:t>crimes,</w:t>
      </w:r>
      <w:r w:rsidR="00541D05">
        <w:t xml:space="preserve"> </w:t>
      </w:r>
      <w:r w:rsidR="00D9258C" w:rsidRPr="00FD6A6A">
        <w:t>if</w:t>
      </w:r>
      <w:r w:rsidR="00541D05">
        <w:t xml:space="preserve"> </w:t>
      </w:r>
      <w:r w:rsidR="00D9258C" w:rsidRPr="00FD6A6A">
        <w:t>any,</w:t>
      </w:r>
      <w:r w:rsidR="00541D05">
        <w:t xml:space="preserve"> </w:t>
      </w:r>
      <w:r w:rsidR="00D9258C" w:rsidRPr="00FD6A6A">
        <w:t>to</w:t>
      </w:r>
      <w:r w:rsidR="00541D05">
        <w:t xml:space="preserve"> </w:t>
      </w:r>
      <w:r w:rsidR="00D9258C" w:rsidRPr="00FD6A6A">
        <w:t>present</w:t>
      </w:r>
      <w:r w:rsidR="00541D05">
        <w:t xml:space="preserve"> </w:t>
      </w:r>
      <w:r w:rsidR="00D9258C" w:rsidRPr="00FD6A6A">
        <w:t>complaints,</w:t>
      </w:r>
      <w:r w:rsidR="00541D05">
        <w:t xml:space="preserve"> </w:t>
      </w:r>
      <w:r w:rsidR="00D9258C" w:rsidRPr="00FD6A6A">
        <w:t>besides</w:t>
      </w:r>
      <w:r w:rsidR="00541D05">
        <w:t xml:space="preserve"> </w:t>
      </w:r>
      <w:r w:rsidR="00D9258C" w:rsidRPr="00FD6A6A">
        <w:t>from</w:t>
      </w:r>
      <w:r w:rsidR="00541D05">
        <w:t xml:space="preserve"> </w:t>
      </w:r>
      <w:r w:rsidR="00D9258C" w:rsidRPr="00FD6A6A">
        <w:t>Disque</w:t>
      </w:r>
      <w:r w:rsidR="00541D05">
        <w:t xml:space="preserve"> </w:t>
      </w:r>
      <w:r w:rsidR="00D9258C" w:rsidRPr="00FD6A6A">
        <w:t>100,</w:t>
      </w:r>
      <w:r w:rsidR="00541D05">
        <w:t xml:space="preserve"> </w:t>
      </w:r>
      <w:r w:rsidR="00D9258C" w:rsidRPr="00FD6A6A">
        <w:t>the</w:t>
      </w:r>
      <w:r w:rsidR="00541D05">
        <w:t xml:space="preserve"> </w:t>
      </w:r>
      <w:r w:rsidR="00D9258C" w:rsidRPr="00FD6A6A">
        <w:t>Prosecution</w:t>
      </w:r>
      <w:r w:rsidR="00541D05">
        <w:t xml:space="preserve"> </w:t>
      </w:r>
      <w:r w:rsidR="00D9258C" w:rsidRPr="00FD6A6A">
        <w:t>Service,</w:t>
      </w:r>
      <w:r w:rsidR="00541D05">
        <w:t xml:space="preserve"> </w:t>
      </w:r>
      <w:r w:rsidR="00D9258C" w:rsidRPr="00FD6A6A">
        <w:t>and</w:t>
      </w:r>
      <w:r w:rsidR="00541D05">
        <w:t xml:space="preserve"> </w:t>
      </w:r>
      <w:r w:rsidR="00D9258C" w:rsidRPr="00FD6A6A">
        <w:t>the</w:t>
      </w:r>
      <w:r w:rsidR="00541D05">
        <w:t xml:space="preserve"> </w:t>
      </w:r>
      <w:r w:rsidR="00D9258C" w:rsidRPr="00FD6A6A">
        <w:t>Public</w:t>
      </w:r>
      <w:r w:rsidR="00541D05">
        <w:t xml:space="preserve"> </w:t>
      </w:r>
      <w:r w:rsidR="00D9258C" w:rsidRPr="00FD6A6A">
        <w:t>Defender</w:t>
      </w:r>
      <w:r w:rsidR="00EA62F1">
        <w:t>’</w:t>
      </w:r>
      <w:r w:rsidR="00D9258C" w:rsidRPr="00FD6A6A">
        <w:t>s</w:t>
      </w:r>
      <w:r w:rsidR="00541D05">
        <w:t xml:space="preserve"> </w:t>
      </w:r>
      <w:r w:rsidR="00D9258C" w:rsidRPr="00FD6A6A">
        <w:t>Office.</w:t>
      </w:r>
    </w:p>
    <w:p w14:paraId="21522ABF" w14:textId="4E4712C8" w:rsidR="00D9258C" w:rsidRPr="00FD6A6A" w:rsidRDefault="00166390" w:rsidP="00166390">
      <w:pPr>
        <w:pStyle w:val="ParaNoG"/>
        <w:numPr>
          <w:ilvl w:val="0"/>
          <w:numId w:val="0"/>
        </w:numPr>
        <w:tabs>
          <w:tab w:val="left" w:pos="0"/>
        </w:tabs>
        <w:ind w:left="1134"/>
      </w:pPr>
      <w:r w:rsidRPr="00FD6A6A">
        <w:t>195.</w:t>
      </w:r>
      <w:r w:rsidRPr="00FD6A6A">
        <w:tab/>
      </w:r>
      <w:r w:rsidR="00D9258C" w:rsidRPr="00FD6A6A">
        <w:t>Despite</w:t>
      </w:r>
      <w:r w:rsidR="00541D05">
        <w:t xml:space="preserve"> </w:t>
      </w:r>
      <w:r w:rsidR="00D9258C" w:rsidRPr="00FD6A6A">
        <w:t>the</w:t>
      </w:r>
      <w:r w:rsidR="00541D05">
        <w:t xml:space="preserve"> </w:t>
      </w:r>
      <w:r w:rsidR="00D9258C" w:rsidRPr="00FD6A6A">
        <w:t>fact</w:t>
      </w:r>
      <w:r w:rsidR="00541D05">
        <w:t xml:space="preserve"> </w:t>
      </w:r>
      <w:r w:rsidR="00D9258C" w:rsidRPr="00FD6A6A">
        <w:t>that</w:t>
      </w:r>
      <w:r w:rsidR="00541D05">
        <w:t xml:space="preserve"> </w:t>
      </w:r>
      <w:r w:rsidR="00D9258C" w:rsidRPr="00FD6A6A">
        <w:t>the</w:t>
      </w:r>
      <w:r w:rsidR="00541D05">
        <w:t xml:space="preserve"> </w:t>
      </w:r>
      <w:r w:rsidR="00D9258C" w:rsidRPr="00FD6A6A">
        <w:t>institutional</w:t>
      </w:r>
      <w:r w:rsidR="00541D05">
        <w:t xml:space="preserve"> </w:t>
      </w:r>
      <w:r w:rsidR="00D9258C" w:rsidRPr="00FD6A6A">
        <w:t>expansion</w:t>
      </w:r>
      <w:r w:rsidR="00541D05">
        <w:t xml:space="preserve"> </w:t>
      </w:r>
      <w:r w:rsidR="00D9258C" w:rsidRPr="00FD6A6A">
        <w:t>has</w:t>
      </w:r>
      <w:r w:rsidR="00541D05">
        <w:t xml:space="preserve"> </w:t>
      </w:r>
      <w:r w:rsidR="00D9258C" w:rsidRPr="00FD6A6A">
        <w:t>helped</w:t>
      </w:r>
      <w:r w:rsidR="00541D05">
        <w:t xml:space="preserve"> </w:t>
      </w:r>
      <w:r w:rsidR="00D9258C" w:rsidRPr="00FD6A6A">
        <w:t>the</w:t>
      </w:r>
      <w:r w:rsidR="00541D05">
        <w:t xml:space="preserve"> </w:t>
      </w:r>
      <w:r w:rsidR="00D9258C" w:rsidRPr="00FD6A6A">
        <w:t>State</w:t>
      </w:r>
      <w:r w:rsidR="00541D05">
        <w:t xml:space="preserve"> </w:t>
      </w:r>
      <w:r w:rsidR="00D9258C" w:rsidRPr="00FD6A6A">
        <w:t>to</w:t>
      </w:r>
      <w:r w:rsidR="00541D05">
        <w:t xml:space="preserve"> </w:t>
      </w:r>
      <w:r w:rsidR="00D9258C" w:rsidRPr="00FD6A6A">
        <w:t>improve</w:t>
      </w:r>
      <w:r w:rsidR="00541D05">
        <w:t xml:space="preserve"> </w:t>
      </w:r>
      <w:r w:rsidR="00D9258C" w:rsidRPr="00FD6A6A">
        <w:t>its</w:t>
      </w:r>
      <w:r w:rsidR="00541D05">
        <w:t xml:space="preserve"> </w:t>
      </w:r>
      <w:r w:rsidR="00D9258C" w:rsidRPr="00FD6A6A">
        <w:t>policy</w:t>
      </w:r>
      <w:r w:rsidR="00541D05">
        <w:t xml:space="preserve"> </w:t>
      </w:r>
      <w:r w:rsidR="00D9258C" w:rsidRPr="00FD6A6A">
        <w:t>for</w:t>
      </w:r>
      <w:r w:rsidR="00541D05">
        <w:t xml:space="preserve"> </w:t>
      </w:r>
      <w:r w:rsidR="00D9258C" w:rsidRPr="00FD6A6A">
        <w:t>assisting</w:t>
      </w:r>
      <w:r w:rsidR="00541D05">
        <w:t xml:space="preserve"> </w:t>
      </w:r>
      <w:r w:rsidR="00D9258C" w:rsidRPr="00FD6A6A">
        <w:t>victims</w:t>
      </w:r>
      <w:r w:rsidR="00541D05">
        <w:t xml:space="preserve"> </w:t>
      </w:r>
      <w:r w:rsidR="00D9258C" w:rsidRPr="00FD6A6A">
        <w:t>of</w:t>
      </w:r>
      <w:r w:rsidR="00541D05">
        <w:t xml:space="preserve"> </w:t>
      </w:r>
      <w:r w:rsidR="00D9258C" w:rsidRPr="00FD6A6A">
        <w:t>racism,</w:t>
      </w:r>
      <w:r w:rsidR="00541D05">
        <w:t xml:space="preserve"> </w:t>
      </w:r>
      <w:r w:rsidR="00D9258C" w:rsidRPr="00FD6A6A">
        <w:t>there</w:t>
      </w:r>
      <w:r w:rsidR="00541D05">
        <w:t xml:space="preserve"> </w:t>
      </w:r>
      <w:r w:rsidR="00D9258C" w:rsidRPr="00FD6A6A">
        <w:t>are</w:t>
      </w:r>
      <w:r w:rsidR="00541D05">
        <w:t xml:space="preserve"> </w:t>
      </w:r>
      <w:r w:rsidR="00D9258C" w:rsidRPr="00FD6A6A">
        <w:t>still</w:t>
      </w:r>
      <w:r w:rsidR="00541D05">
        <w:t xml:space="preserve"> </w:t>
      </w:r>
      <w:r w:rsidR="00D9258C" w:rsidRPr="00FD6A6A">
        <w:t>challenges</w:t>
      </w:r>
      <w:r w:rsidR="00541D05">
        <w:t xml:space="preserve"> </w:t>
      </w:r>
      <w:r w:rsidR="00D9258C" w:rsidRPr="00FD6A6A">
        <w:t>in</w:t>
      </w:r>
      <w:r w:rsidR="00541D05">
        <w:t xml:space="preserve"> </w:t>
      </w:r>
      <w:r w:rsidR="00D9258C" w:rsidRPr="00FD6A6A">
        <w:t>terms</w:t>
      </w:r>
      <w:r w:rsidR="00541D05">
        <w:t xml:space="preserve"> </w:t>
      </w:r>
      <w:r w:rsidR="00D9258C" w:rsidRPr="00FD6A6A">
        <w:t>of</w:t>
      </w:r>
      <w:r w:rsidR="00541D05">
        <w:t xml:space="preserve"> </w:t>
      </w:r>
      <w:r w:rsidR="00D9258C" w:rsidRPr="00FD6A6A">
        <w:t>raising</w:t>
      </w:r>
      <w:r w:rsidR="00541D05">
        <w:t xml:space="preserve"> </w:t>
      </w:r>
      <w:r w:rsidR="00D9258C" w:rsidRPr="00FD6A6A">
        <w:t>awareness</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society</w:t>
      </w:r>
      <w:r w:rsidR="00541D05">
        <w:t xml:space="preserve"> </w:t>
      </w:r>
      <w:r w:rsidR="00D9258C" w:rsidRPr="00FD6A6A">
        <w:t>of</w:t>
      </w:r>
      <w:r w:rsidR="00541D05">
        <w:t xml:space="preserve"> </w:t>
      </w:r>
      <w:r w:rsidR="00D9258C" w:rsidRPr="00FD6A6A">
        <w:t>the</w:t>
      </w:r>
      <w:r w:rsidR="00541D05">
        <w:t xml:space="preserve"> </w:t>
      </w:r>
      <w:r w:rsidR="00D9258C" w:rsidRPr="00FD6A6A">
        <w:t>resources</w:t>
      </w:r>
      <w:r w:rsidR="00541D05">
        <w:t xml:space="preserve"> </w:t>
      </w:r>
      <w:r w:rsidR="00D9258C" w:rsidRPr="00FD6A6A">
        <w:t>currently</w:t>
      </w:r>
      <w:r w:rsidR="00541D05">
        <w:t xml:space="preserve"> </w:t>
      </w:r>
      <w:r w:rsidR="00D9258C" w:rsidRPr="00FD6A6A">
        <w:t>available</w:t>
      </w:r>
      <w:r w:rsidR="00541D05">
        <w:t xml:space="preserve"> </w:t>
      </w:r>
      <w:r w:rsidR="00D9258C" w:rsidRPr="00FD6A6A">
        <w:t>for</w:t>
      </w:r>
      <w:r w:rsidR="00541D05">
        <w:t xml:space="preserve"> </w:t>
      </w:r>
      <w:r w:rsidR="00D9258C" w:rsidRPr="00FD6A6A">
        <w:t>the</w:t>
      </w:r>
      <w:r w:rsidR="00541D05">
        <w:t xml:space="preserve"> </w:t>
      </w:r>
      <w:r w:rsidR="00D9258C" w:rsidRPr="00FD6A6A">
        <w:t>protection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against</w:t>
      </w:r>
      <w:r w:rsidR="00541D05">
        <w:t xml:space="preserve"> </w:t>
      </w:r>
      <w:r w:rsidR="00D9258C" w:rsidRPr="00FD6A6A">
        <w:t>racial</w:t>
      </w:r>
      <w:r w:rsidR="00541D05">
        <w:t xml:space="preserve"> </w:t>
      </w:r>
      <w:r w:rsidR="00D9258C" w:rsidRPr="00FD6A6A">
        <w:t>prejudice</w:t>
      </w:r>
      <w:r w:rsidR="00541D05">
        <w:t xml:space="preserve"> </w:t>
      </w:r>
      <w:r w:rsidR="00D9258C" w:rsidRPr="00FD6A6A">
        <w:t>and</w:t>
      </w:r>
      <w:r w:rsidR="00541D05">
        <w:t xml:space="preserve"> </w:t>
      </w:r>
      <w:r w:rsidR="00D9258C" w:rsidRPr="00FD6A6A">
        <w:t>discrimination.</w:t>
      </w:r>
    </w:p>
    <w:p w14:paraId="683EB3F5" w14:textId="5B224F3F" w:rsidR="00D9258C" w:rsidRPr="00FD6A6A" w:rsidRDefault="00166390" w:rsidP="00166390">
      <w:pPr>
        <w:pStyle w:val="ParaNoG"/>
        <w:numPr>
          <w:ilvl w:val="0"/>
          <w:numId w:val="0"/>
        </w:numPr>
        <w:tabs>
          <w:tab w:val="left" w:pos="0"/>
        </w:tabs>
        <w:ind w:left="1134"/>
      </w:pPr>
      <w:r w:rsidRPr="00FD6A6A">
        <w:t>196.</w:t>
      </w:r>
      <w:r w:rsidRPr="00FD6A6A">
        <w:tab/>
      </w:r>
      <w:r w:rsidR="00D9258C" w:rsidRPr="00FD6A6A">
        <w:t>The</w:t>
      </w:r>
      <w:r w:rsidR="00541D05">
        <w:t xml:space="preserve"> </w:t>
      </w:r>
      <w:r w:rsidR="00D9258C" w:rsidRPr="00FD6A6A">
        <w:t>assistance</w:t>
      </w:r>
      <w:r w:rsidR="00541D05">
        <w:t xml:space="preserve"> </w:t>
      </w:r>
      <w:r w:rsidR="00D9258C" w:rsidRPr="00FD6A6A">
        <w:t>to</w:t>
      </w:r>
      <w:r w:rsidR="00541D05">
        <w:t xml:space="preserve"> </w:t>
      </w:r>
      <w:r w:rsidR="00D9258C" w:rsidRPr="00FD6A6A">
        <w:t>victims</w:t>
      </w:r>
      <w:r w:rsidR="00541D05">
        <w:t xml:space="preserve"> </w:t>
      </w:r>
      <w:r w:rsidR="00D9258C" w:rsidRPr="00FD6A6A">
        <w:t>of</w:t>
      </w:r>
      <w:r w:rsidR="00541D05">
        <w:t xml:space="preserve"> </w:t>
      </w:r>
      <w:r w:rsidR="00D9258C" w:rsidRPr="00FD6A6A">
        <w:t>racism</w:t>
      </w:r>
      <w:r w:rsidR="00541D05">
        <w:t xml:space="preserve"> </w:t>
      </w:r>
      <w:r w:rsidR="00D9258C" w:rsidRPr="00FD6A6A">
        <w:t>committed</w:t>
      </w:r>
      <w:r w:rsidR="00541D05">
        <w:t xml:space="preserve"> </w:t>
      </w:r>
      <w:r w:rsidR="00D9258C" w:rsidRPr="00FD6A6A">
        <w:t>by</w:t>
      </w:r>
      <w:r w:rsidR="00541D05">
        <w:t xml:space="preserve"> </w:t>
      </w:r>
      <w:r w:rsidR="00D9258C" w:rsidRPr="00FD6A6A">
        <w:t>police</w:t>
      </w:r>
      <w:r w:rsidR="00541D05">
        <w:t xml:space="preserve"> </w:t>
      </w:r>
      <w:r w:rsidR="00D9258C" w:rsidRPr="00FD6A6A">
        <w:t>officers</w:t>
      </w:r>
      <w:r w:rsidR="00541D05">
        <w:t xml:space="preserve"> </w:t>
      </w:r>
      <w:r w:rsidR="00D9258C" w:rsidRPr="00FD6A6A">
        <w:t>and</w:t>
      </w:r>
      <w:r w:rsidR="00541D05">
        <w:t xml:space="preserve"> </w:t>
      </w:r>
      <w:r w:rsidR="00D9258C" w:rsidRPr="00FD6A6A">
        <w:t>the</w:t>
      </w:r>
      <w:r w:rsidR="00541D05">
        <w:t xml:space="preserve"> </w:t>
      </w:r>
      <w:r w:rsidR="00D9258C" w:rsidRPr="00FD6A6A">
        <w:t>fight</w:t>
      </w:r>
      <w:r w:rsidR="00541D05">
        <w:t xml:space="preserve"> </w:t>
      </w:r>
      <w:r w:rsidR="00D9258C" w:rsidRPr="00FD6A6A">
        <w:t>against</w:t>
      </w:r>
      <w:r w:rsidR="00541D05">
        <w:t xml:space="preserve"> </w:t>
      </w:r>
      <w:r w:rsidR="00D9258C" w:rsidRPr="00FD6A6A">
        <w:t>institutional</w:t>
      </w:r>
      <w:r w:rsidR="00541D05">
        <w:t xml:space="preserve"> </w:t>
      </w:r>
      <w:r w:rsidR="00D9258C" w:rsidRPr="00FD6A6A">
        <w:t>racism</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articles</w:t>
      </w:r>
      <w:r w:rsidR="00541D05">
        <w:t xml:space="preserve"> </w:t>
      </w:r>
      <w:r w:rsidR="00D9258C" w:rsidRPr="00FD6A6A">
        <w:t>53</w:t>
      </w:r>
      <w:r w:rsidR="00541D05">
        <w:t xml:space="preserve"> </w:t>
      </w:r>
      <w:r w:rsidR="00D9258C" w:rsidRPr="00FD6A6A">
        <w:t>and</w:t>
      </w:r>
      <w:r w:rsidR="00541D05">
        <w:t xml:space="preserve"> </w:t>
      </w:r>
      <w:r w:rsidR="00D9258C" w:rsidRPr="00FD6A6A">
        <w:t>54</w:t>
      </w:r>
      <w:r w:rsidR="00541D05">
        <w:t xml:space="preserve"> </w:t>
      </w:r>
      <w:r w:rsidR="00D9258C" w:rsidRPr="00FD6A6A">
        <w:t>of</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demand</w:t>
      </w:r>
      <w:r w:rsidR="00541D05">
        <w:t xml:space="preserve"> </w:t>
      </w:r>
      <w:r w:rsidR="00D9258C" w:rsidRPr="00FD6A6A">
        <w:t>further</w:t>
      </w:r>
      <w:r w:rsidR="00541D05">
        <w:t xml:space="preserve"> </w:t>
      </w:r>
      <w:r w:rsidR="00D9258C" w:rsidRPr="00FD6A6A">
        <w:t>efforts</w:t>
      </w:r>
      <w:r w:rsidR="00541D05">
        <w:t xml:space="preserve"> </w:t>
      </w:r>
      <w:r w:rsidR="00D9258C" w:rsidRPr="00FD6A6A">
        <w:t>and</w:t>
      </w:r>
      <w:r w:rsidR="00541D05">
        <w:t xml:space="preserve"> </w:t>
      </w:r>
      <w:r w:rsidR="00D9258C" w:rsidRPr="00FD6A6A">
        <w:t>financial</w:t>
      </w:r>
      <w:r w:rsidR="00541D05">
        <w:t xml:space="preserve"> </w:t>
      </w:r>
      <w:r w:rsidR="00D9258C" w:rsidRPr="00FD6A6A">
        <w:t>resources,</w:t>
      </w:r>
      <w:r w:rsidR="00541D05">
        <w:t xml:space="preserve"> </w:t>
      </w:r>
      <w:r w:rsidR="00D9258C" w:rsidRPr="00FD6A6A">
        <w:t>besides</w:t>
      </w:r>
      <w:r w:rsidR="00541D05">
        <w:t xml:space="preserve"> </w:t>
      </w:r>
      <w:r w:rsidR="00D9258C" w:rsidRPr="00FD6A6A">
        <w:t>from</w:t>
      </w:r>
      <w:r w:rsidR="00541D05">
        <w:t xml:space="preserve"> </w:t>
      </w:r>
      <w:r w:rsidR="00D9258C" w:rsidRPr="00FD6A6A">
        <w:t>stronger</w:t>
      </w:r>
      <w:r w:rsidR="00541D05">
        <w:t xml:space="preserve"> </w:t>
      </w:r>
      <w:r w:rsidR="00D9258C" w:rsidRPr="00FD6A6A">
        <w:t>coordinated</w:t>
      </w:r>
      <w:r w:rsidR="00541D05">
        <w:t xml:space="preserve"> </w:t>
      </w:r>
      <w:r w:rsidR="00D9258C" w:rsidRPr="00FD6A6A">
        <w:t>efforts</w:t>
      </w:r>
      <w:r w:rsidR="00541D05">
        <w:t xml:space="preserve"> </w:t>
      </w:r>
      <w:r w:rsidR="00D9258C" w:rsidRPr="00FD6A6A">
        <w:t>of</w:t>
      </w:r>
      <w:r w:rsidR="00541D05">
        <w:t xml:space="preserve"> </w:t>
      </w:r>
      <w:r w:rsidR="00D9258C" w:rsidRPr="00FD6A6A">
        <w:t>several</w:t>
      </w:r>
      <w:r w:rsidR="00541D05">
        <w:t xml:space="preserve"> </w:t>
      </w:r>
      <w:r w:rsidR="00D9258C" w:rsidRPr="00FD6A6A">
        <w:t>governmental</w:t>
      </w:r>
      <w:r w:rsidR="00541D05">
        <w:t xml:space="preserve"> </w:t>
      </w:r>
      <w:r w:rsidR="00D9258C" w:rsidRPr="00FD6A6A">
        <w:t>institutions.</w:t>
      </w:r>
      <w:r w:rsidR="00541D05">
        <w:t xml:space="preserve"> </w:t>
      </w:r>
      <w:r w:rsidR="00D9258C" w:rsidRPr="00FD6A6A">
        <w:t>Nevertheless,</w:t>
      </w:r>
      <w:r w:rsidR="00541D05">
        <w:t xml:space="preserve"> </w:t>
      </w:r>
      <w:r w:rsidR="00D9258C" w:rsidRPr="00FD6A6A">
        <w:t>there</w:t>
      </w:r>
      <w:r w:rsidR="00541D05">
        <w:t xml:space="preserve"> </w:t>
      </w:r>
      <w:r w:rsidR="00D9258C" w:rsidRPr="00FD6A6A">
        <w:t>are</w:t>
      </w:r>
      <w:r w:rsidR="00541D05">
        <w:t xml:space="preserve"> </w:t>
      </w:r>
      <w:r w:rsidR="00D9258C" w:rsidRPr="00FD6A6A">
        <w:t>that</w:t>
      </w:r>
      <w:r w:rsidR="00541D05">
        <w:t xml:space="preserve"> </w:t>
      </w:r>
      <w:r w:rsidR="00D9258C" w:rsidRPr="00FD6A6A">
        <w:t>have</w:t>
      </w:r>
      <w:r w:rsidR="00541D05">
        <w:t xml:space="preserve"> </w:t>
      </w:r>
      <w:r w:rsidR="00D9258C" w:rsidRPr="00FD6A6A">
        <w:t>been</w:t>
      </w:r>
      <w:r w:rsidR="00541D05">
        <w:t xml:space="preserve"> </w:t>
      </w:r>
      <w:r w:rsidR="00D9258C" w:rsidRPr="00FD6A6A">
        <w:t>assisting</w:t>
      </w:r>
      <w:r w:rsidR="00541D05">
        <w:t xml:space="preserve"> </w:t>
      </w:r>
      <w:r w:rsidR="00D9258C" w:rsidRPr="00FD6A6A">
        <w:t>victims</w:t>
      </w:r>
      <w:r w:rsidR="00541D05">
        <w:t xml:space="preserve"> </w:t>
      </w:r>
      <w:r w:rsidR="00D9258C" w:rsidRPr="00FD6A6A">
        <w:t>of</w:t>
      </w:r>
      <w:r w:rsidR="00541D05">
        <w:t xml:space="preserve"> </w:t>
      </w:r>
      <w:r w:rsidR="00D9258C" w:rsidRPr="00FD6A6A">
        <w:t>racism</w:t>
      </w:r>
      <w:r w:rsidR="00541D05">
        <w:t xml:space="preserve"> </w:t>
      </w:r>
      <w:r w:rsidR="00D9258C" w:rsidRPr="00FD6A6A">
        <w:t>with</w:t>
      </w:r>
      <w:r w:rsidR="00541D05">
        <w:t xml:space="preserve"> </w:t>
      </w:r>
      <w:r w:rsidR="00D9258C" w:rsidRPr="00FD6A6A">
        <w:t>legal</w:t>
      </w:r>
      <w:r w:rsidR="00541D05">
        <w:t xml:space="preserve"> </w:t>
      </w:r>
      <w:r w:rsidR="00D9258C" w:rsidRPr="00FD6A6A">
        <w:t>advice,</w:t>
      </w:r>
      <w:r w:rsidR="00541D05">
        <w:t xml:space="preserve"> </w:t>
      </w:r>
      <w:r w:rsidR="00D9258C" w:rsidRPr="00FD6A6A">
        <w:t>making</w:t>
      </w:r>
      <w:r w:rsidR="00541D05">
        <w:t xml:space="preserve"> </w:t>
      </w:r>
      <w:r w:rsidR="00D9258C" w:rsidRPr="00FD6A6A">
        <w:t>it</w:t>
      </w:r>
      <w:r w:rsidR="00541D05">
        <w:t xml:space="preserve"> </w:t>
      </w:r>
      <w:r w:rsidR="00D9258C" w:rsidRPr="00FD6A6A">
        <w:t>easier</w:t>
      </w:r>
      <w:r w:rsidR="00541D05">
        <w:t xml:space="preserve"> </w:t>
      </w:r>
      <w:r w:rsidR="00D9258C" w:rsidRPr="00FD6A6A">
        <w:t>for</w:t>
      </w:r>
      <w:r w:rsidR="00541D05">
        <w:t xml:space="preserve"> </w:t>
      </w:r>
      <w:r w:rsidR="00D9258C" w:rsidRPr="00FD6A6A">
        <w:t>them</w:t>
      </w:r>
      <w:r w:rsidR="00541D05">
        <w:t xml:space="preserve"> </w:t>
      </w:r>
      <w:r w:rsidR="00D9258C" w:rsidRPr="00FD6A6A">
        <w:t>to</w:t>
      </w:r>
      <w:r w:rsidR="00541D05">
        <w:t xml:space="preserve"> </w:t>
      </w:r>
      <w:r w:rsidR="00D9258C" w:rsidRPr="00FD6A6A">
        <w:t>have</w:t>
      </w:r>
      <w:r w:rsidR="00541D05">
        <w:t xml:space="preserve"> </w:t>
      </w:r>
      <w:r w:rsidR="00D9258C" w:rsidRPr="00FD6A6A">
        <w:t>free</w:t>
      </w:r>
      <w:r w:rsidR="00541D05">
        <w:t xml:space="preserve"> </w:t>
      </w:r>
      <w:r w:rsidR="00D9258C" w:rsidRPr="00FD6A6A">
        <w:t>access</w:t>
      </w:r>
      <w:r w:rsidR="00541D05">
        <w:t xml:space="preserve"> </w:t>
      </w:r>
      <w:r w:rsidR="00D9258C" w:rsidRPr="00FD6A6A">
        <w:t>to</w:t>
      </w:r>
      <w:r w:rsidR="00541D05">
        <w:t xml:space="preserve"> </w:t>
      </w:r>
      <w:r w:rsidR="00D9258C" w:rsidRPr="00FD6A6A">
        <w:t>justice</w:t>
      </w:r>
      <w:r w:rsidR="00541D05">
        <w:t xml:space="preserve"> </w:t>
      </w:r>
      <w:r w:rsidR="00D9258C" w:rsidRPr="00FD6A6A">
        <w:t>through</w:t>
      </w:r>
      <w:r w:rsidR="00541D05">
        <w:t xml:space="preserve"> </w:t>
      </w:r>
      <w:r w:rsidR="00D9258C" w:rsidRPr="00FD6A6A">
        <w:t>the</w:t>
      </w:r>
      <w:r w:rsidR="00541D05">
        <w:t xml:space="preserve"> </w:t>
      </w:r>
      <w:r w:rsidR="00D9258C" w:rsidRPr="00FD6A6A">
        <w:t>Prosecution</w:t>
      </w:r>
      <w:r w:rsidR="00541D05">
        <w:t xml:space="preserve"> </w:t>
      </w:r>
      <w:r w:rsidR="00D9258C" w:rsidRPr="00FD6A6A">
        <w:t>Service,</w:t>
      </w:r>
      <w:r w:rsidR="00541D05">
        <w:t xml:space="preserve"> </w:t>
      </w:r>
      <w:r w:rsidR="00D9258C" w:rsidRPr="00FD6A6A">
        <w:t>the</w:t>
      </w:r>
      <w:r w:rsidR="00541D05">
        <w:t xml:space="preserve"> </w:t>
      </w:r>
      <w:r w:rsidR="00D9258C" w:rsidRPr="00FD6A6A">
        <w:t>Public</w:t>
      </w:r>
      <w:r w:rsidR="00541D05">
        <w:t xml:space="preserve"> </w:t>
      </w:r>
      <w:r w:rsidR="00D9258C" w:rsidRPr="00FD6A6A">
        <w:t>Defender</w:t>
      </w:r>
      <w:r w:rsidR="00EA62F1">
        <w:t>’</w:t>
      </w:r>
      <w:r w:rsidR="00D9258C" w:rsidRPr="00FD6A6A">
        <w:t>s</w:t>
      </w:r>
      <w:r w:rsidR="00541D05">
        <w:t xml:space="preserve"> </w:t>
      </w:r>
      <w:r w:rsidR="00D9258C" w:rsidRPr="00FD6A6A">
        <w:t>Office,</w:t>
      </w:r>
      <w:r w:rsidR="00541D05">
        <w:t xml:space="preserve"> </w:t>
      </w:r>
      <w:r w:rsidR="00D9258C" w:rsidRPr="00FD6A6A">
        <w:t>and</w:t>
      </w:r>
      <w:r w:rsidR="00541D05">
        <w:t xml:space="preserve"> </w:t>
      </w:r>
      <w:r w:rsidR="00D9258C" w:rsidRPr="00FD6A6A">
        <w:t>the</w:t>
      </w:r>
      <w:r w:rsidR="00541D05">
        <w:t xml:space="preserve"> </w:t>
      </w:r>
      <w:r w:rsidR="00D9258C" w:rsidRPr="00FD6A6A">
        <w:t>Brazilian</w:t>
      </w:r>
      <w:r w:rsidR="00541D05">
        <w:t xml:space="preserve"> </w:t>
      </w:r>
      <w:r w:rsidR="00D9258C" w:rsidRPr="00FD6A6A">
        <w:t>Bar</w:t>
      </w:r>
      <w:r w:rsidR="00541D05">
        <w:t xml:space="preserve"> </w:t>
      </w:r>
      <w:r w:rsidR="00D9258C" w:rsidRPr="00FD6A6A">
        <w:t>Association.</w:t>
      </w:r>
    </w:p>
    <w:p w14:paraId="488A9E49" w14:textId="55313099" w:rsidR="00D9258C" w:rsidRPr="00FD6A6A" w:rsidRDefault="00166390" w:rsidP="00166390">
      <w:pPr>
        <w:pStyle w:val="ParaNoG"/>
        <w:numPr>
          <w:ilvl w:val="0"/>
          <w:numId w:val="0"/>
        </w:numPr>
        <w:tabs>
          <w:tab w:val="left" w:pos="0"/>
        </w:tabs>
        <w:ind w:left="1134"/>
      </w:pPr>
      <w:r w:rsidRPr="00FD6A6A">
        <w:t>197.</w:t>
      </w:r>
      <w:r w:rsidRPr="00FD6A6A">
        <w:tab/>
      </w:r>
      <w:r w:rsidR="00D9258C" w:rsidRPr="00FD6A6A">
        <w:t>However,</w:t>
      </w:r>
      <w:r w:rsidR="00541D05">
        <w:t xml:space="preserve"> </w:t>
      </w:r>
      <w:r w:rsidR="00D9258C" w:rsidRPr="00FD6A6A">
        <w:t>institutions</w:t>
      </w:r>
      <w:r w:rsidR="00541D05">
        <w:t xml:space="preserve"> </w:t>
      </w:r>
      <w:r w:rsidR="00D9258C" w:rsidRPr="00FD6A6A">
        <w:t>such</w:t>
      </w:r>
      <w:r w:rsidR="00541D05">
        <w:t xml:space="preserve"> </w:t>
      </w:r>
      <w:r w:rsidR="00D9258C" w:rsidRPr="00FD6A6A">
        <w:t>as</w:t>
      </w:r>
      <w:r w:rsidR="00541D05">
        <w:t xml:space="preserve"> </w:t>
      </w:r>
      <w:r w:rsidR="00D9258C" w:rsidRPr="00FD6A6A">
        <w:t>the</w:t>
      </w:r>
      <w:r w:rsidR="00541D05">
        <w:t xml:space="preserve"> </w:t>
      </w:r>
      <w:r w:rsidR="00D9258C" w:rsidRPr="00FD6A6A">
        <w:t>Public</w:t>
      </w:r>
      <w:r w:rsidR="00541D05">
        <w:t xml:space="preserve"> </w:t>
      </w:r>
      <w:r w:rsidR="00D9258C" w:rsidRPr="00FD6A6A">
        <w:t>Defender</w:t>
      </w:r>
      <w:r w:rsidR="00EA62F1">
        <w:t>’</w:t>
      </w:r>
      <w:r w:rsidR="00D9258C" w:rsidRPr="00FD6A6A">
        <w:t>s</w:t>
      </w:r>
      <w:r w:rsidR="00541D05">
        <w:t xml:space="preserve"> </w:t>
      </w:r>
      <w:r w:rsidR="00D9258C" w:rsidRPr="00FD6A6A">
        <w:t>Office,</w:t>
      </w:r>
      <w:r w:rsidR="00541D05">
        <w:t xml:space="preserve"> </w:t>
      </w:r>
      <w:r w:rsidR="00D9258C" w:rsidRPr="00FD6A6A">
        <w:t>which</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ensuring</w:t>
      </w:r>
      <w:r w:rsidR="00541D05">
        <w:t xml:space="preserve"> </w:t>
      </w:r>
      <w:r w:rsidR="00D9258C" w:rsidRPr="00FD6A6A">
        <w:t>access</w:t>
      </w:r>
      <w:r w:rsidR="00541D05">
        <w:t xml:space="preserve"> </w:t>
      </w:r>
      <w:r w:rsidR="00D9258C" w:rsidRPr="00FD6A6A">
        <w:t>to</w:t>
      </w:r>
      <w:r w:rsidR="00541D05">
        <w:t xml:space="preserve"> </w:t>
      </w:r>
      <w:r w:rsidR="00D9258C" w:rsidRPr="00FD6A6A">
        <w:t>justice</w:t>
      </w:r>
      <w:r w:rsidR="00541D05">
        <w:t xml:space="preserve"> </w:t>
      </w:r>
      <w:r w:rsidR="00D9258C" w:rsidRPr="00FD6A6A">
        <w:t>to</w:t>
      </w:r>
      <w:r w:rsidR="00541D05">
        <w:t xml:space="preserve"> </w:t>
      </w:r>
      <w:r w:rsidR="00D9258C" w:rsidRPr="00FD6A6A">
        <w:t>any</w:t>
      </w:r>
      <w:r w:rsidR="00541D05">
        <w:t xml:space="preserve"> </w:t>
      </w:r>
      <w:r w:rsidR="00D9258C" w:rsidRPr="00FD6A6A">
        <w:t>person</w:t>
      </w:r>
      <w:r w:rsidR="00541D05">
        <w:t xml:space="preserve"> </w:t>
      </w:r>
      <w:r w:rsidR="00D9258C" w:rsidRPr="00FD6A6A">
        <w:t>who</w:t>
      </w:r>
      <w:r w:rsidR="00541D05">
        <w:t xml:space="preserve"> </w:t>
      </w:r>
      <w:r w:rsidR="00D9258C" w:rsidRPr="00FD6A6A">
        <w:t>does</w:t>
      </w:r>
      <w:r w:rsidR="00541D05">
        <w:t xml:space="preserve"> </w:t>
      </w:r>
      <w:r w:rsidR="00D9258C" w:rsidRPr="00FD6A6A">
        <w:t>not</w:t>
      </w:r>
      <w:r w:rsidR="00541D05">
        <w:t xml:space="preserve"> </w:t>
      </w:r>
      <w:r w:rsidR="00D9258C" w:rsidRPr="00FD6A6A">
        <w:t>have</w:t>
      </w:r>
      <w:r w:rsidR="00541D05">
        <w:t xml:space="preserve"> </w:t>
      </w:r>
      <w:r w:rsidR="00D9258C" w:rsidRPr="00FD6A6A">
        <w:t>the</w:t>
      </w:r>
      <w:r w:rsidR="00541D05">
        <w:t xml:space="preserve"> </w:t>
      </w:r>
      <w:r w:rsidR="00D9258C" w:rsidRPr="00FD6A6A">
        <w:t>financial</w:t>
      </w:r>
      <w:r w:rsidR="00541D05">
        <w:t xml:space="preserve"> </w:t>
      </w:r>
      <w:r w:rsidR="00D9258C" w:rsidRPr="00FD6A6A">
        <w:t>resources</w:t>
      </w:r>
      <w:r w:rsidR="00541D05">
        <w:t xml:space="preserve"> </w:t>
      </w:r>
      <w:r w:rsidR="00D9258C" w:rsidRPr="00FD6A6A">
        <w:t>to</w:t>
      </w:r>
      <w:r w:rsidR="00541D05">
        <w:t xml:space="preserve"> </w:t>
      </w:r>
      <w:r w:rsidR="00D9258C" w:rsidRPr="00FD6A6A">
        <w:t>afford</w:t>
      </w:r>
      <w:r w:rsidR="00541D05">
        <w:t xml:space="preserve"> </w:t>
      </w:r>
      <w:r w:rsidR="00D9258C" w:rsidRPr="00FD6A6A">
        <w:t>a</w:t>
      </w:r>
      <w:r w:rsidR="00541D05">
        <w:t xml:space="preserve"> </w:t>
      </w:r>
      <w:r w:rsidR="00D9258C" w:rsidRPr="00FD6A6A">
        <w:t>private</w:t>
      </w:r>
      <w:r w:rsidR="00541D05">
        <w:t xml:space="preserve"> </w:t>
      </w:r>
      <w:r w:rsidR="00D9258C" w:rsidRPr="00FD6A6A">
        <w:t>attorney,</w:t>
      </w:r>
      <w:r w:rsidR="00541D05">
        <w:t xml:space="preserve"> </w:t>
      </w:r>
      <w:r w:rsidR="00D9258C" w:rsidRPr="00FD6A6A">
        <w:t>still</w:t>
      </w:r>
      <w:r w:rsidR="00541D05">
        <w:t xml:space="preserve"> </w:t>
      </w:r>
      <w:r w:rsidR="00D9258C" w:rsidRPr="00FD6A6A">
        <w:t>do</w:t>
      </w:r>
      <w:r w:rsidR="00541D05">
        <w:t xml:space="preserve"> </w:t>
      </w:r>
      <w:r w:rsidR="00D9258C" w:rsidRPr="00FD6A6A">
        <w:t>not</w:t>
      </w:r>
      <w:r w:rsidR="00541D05">
        <w:t xml:space="preserve"> </w:t>
      </w:r>
      <w:r w:rsidR="00D9258C" w:rsidRPr="00FD6A6A">
        <w:t>operate</w:t>
      </w:r>
      <w:r w:rsidR="00541D05">
        <w:t xml:space="preserve"> </w:t>
      </w:r>
      <w:r w:rsidR="00D9258C" w:rsidRPr="00FD6A6A">
        <w:t>in</w:t>
      </w:r>
      <w:r w:rsidR="00541D05">
        <w:t xml:space="preserve"> </w:t>
      </w:r>
      <w:r w:rsidR="00D9258C" w:rsidRPr="00FD6A6A">
        <w:t>the</w:t>
      </w:r>
      <w:r w:rsidR="00541D05">
        <w:t xml:space="preserve"> </w:t>
      </w:r>
      <w:r w:rsidR="00D9258C" w:rsidRPr="00FD6A6A">
        <w:t>whole</w:t>
      </w:r>
      <w:r w:rsidR="00541D05">
        <w:t xml:space="preserve"> </w:t>
      </w:r>
      <w:r w:rsidR="00D9258C" w:rsidRPr="00FD6A6A">
        <w:t>national</w:t>
      </w:r>
      <w:r w:rsidR="00541D05">
        <w:t xml:space="preserve"> </w:t>
      </w:r>
      <w:r w:rsidR="00D9258C" w:rsidRPr="00FD6A6A">
        <w:t>territory.</w:t>
      </w:r>
      <w:r w:rsidR="00541D05">
        <w:t xml:space="preserve"> </w:t>
      </w:r>
    </w:p>
    <w:p w14:paraId="08E74006" w14:textId="51236046" w:rsidR="00D9258C" w:rsidRPr="00FD6A6A" w:rsidRDefault="00166390" w:rsidP="00166390">
      <w:pPr>
        <w:pStyle w:val="ParaNoG"/>
        <w:numPr>
          <w:ilvl w:val="0"/>
          <w:numId w:val="0"/>
        </w:numPr>
        <w:tabs>
          <w:tab w:val="left" w:pos="0"/>
        </w:tabs>
        <w:ind w:left="1134"/>
      </w:pPr>
      <w:r w:rsidRPr="00FD6A6A">
        <w:t>198.</w:t>
      </w:r>
      <w:r w:rsidRPr="00FD6A6A">
        <w:tab/>
      </w:r>
      <w:r w:rsidR="00D9258C" w:rsidRPr="00FD6A6A">
        <w:t>The</w:t>
      </w:r>
      <w:r w:rsidR="00541D05">
        <w:t xml:space="preserve"> </w:t>
      </w:r>
      <w:r w:rsidR="00D9258C" w:rsidRPr="00FD6A6A">
        <w:t>constraints</w:t>
      </w:r>
      <w:r w:rsidR="00541D05">
        <w:t xml:space="preserve"> </w:t>
      </w:r>
      <w:r w:rsidR="00D9258C" w:rsidRPr="00FD6A6A">
        <w:t>faced</w:t>
      </w:r>
      <w:r w:rsidR="00541D05">
        <w:t xml:space="preserve"> </w:t>
      </w:r>
      <w:r w:rsidR="00D9258C" w:rsidRPr="00FD6A6A">
        <w:t>by</w:t>
      </w:r>
      <w:r w:rsidR="00541D05">
        <w:t xml:space="preserve"> </w:t>
      </w:r>
      <w:r w:rsidR="00D9258C" w:rsidRPr="00FD6A6A">
        <w:t>victims</w:t>
      </w:r>
      <w:r w:rsidR="00541D05">
        <w:t xml:space="preserve"> </w:t>
      </w:r>
      <w:r w:rsidR="00D9258C" w:rsidRPr="00FD6A6A">
        <w:t>of</w:t>
      </w:r>
      <w:r w:rsidR="00541D05">
        <w:t xml:space="preserve"> </w:t>
      </w:r>
      <w:r w:rsidR="00D9258C" w:rsidRPr="00FD6A6A">
        <w:t>racism</w:t>
      </w:r>
      <w:r w:rsidR="00541D05">
        <w:t xml:space="preserve"> </w:t>
      </w:r>
      <w:r w:rsidR="00D9258C" w:rsidRPr="00FD6A6A">
        <w:t>regarding</w:t>
      </w:r>
      <w:r w:rsidR="00541D05">
        <w:t xml:space="preserve"> </w:t>
      </w:r>
      <w:r w:rsidR="00D9258C" w:rsidRPr="00FD6A6A">
        <w:t>access</w:t>
      </w:r>
      <w:r w:rsidR="00541D05">
        <w:t xml:space="preserve"> </w:t>
      </w:r>
      <w:r w:rsidR="00D9258C" w:rsidRPr="00FD6A6A">
        <w:t>to</w:t>
      </w:r>
      <w:r w:rsidR="00541D05">
        <w:t xml:space="preserve"> </w:t>
      </w:r>
      <w:r w:rsidR="00D9258C" w:rsidRPr="00FD6A6A">
        <w:t>justice</w:t>
      </w:r>
      <w:r w:rsidR="00541D05">
        <w:t xml:space="preserve"> </w:t>
      </w:r>
      <w:r w:rsidR="00D9258C" w:rsidRPr="00FD6A6A">
        <w:t>due</w:t>
      </w:r>
      <w:r w:rsidR="00541D05">
        <w:t xml:space="preserve"> </w:t>
      </w:r>
      <w:r w:rsidR="00D9258C" w:rsidRPr="00FD6A6A">
        <w:t>to</w:t>
      </w:r>
      <w:r w:rsidR="00541D05">
        <w:t xml:space="preserve"> </w:t>
      </w:r>
      <w:r w:rsidR="00D9258C" w:rsidRPr="00FD6A6A">
        <w:t>a</w:t>
      </w:r>
      <w:r w:rsidR="00541D05">
        <w:t xml:space="preserve"> </w:t>
      </w:r>
      <w:r w:rsidR="00D9258C" w:rsidRPr="00FD6A6A">
        <w:t>lack</w:t>
      </w:r>
      <w:r w:rsidR="00541D05">
        <w:t xml:space="preserve"> </w:t>
      </w:r>
      <w:r w:rsidR="00D9258C" w:rsidRPr="00FD6A6A">
        <w:t>of</w:t>
      </w:r>
      <w:r w:rsidR="00541D05">
        <w:t xml:space="preserve"> </w:t>
      </w:r>
      <w:r w:rsidR="00D9258C" w:rsidRPr="00FD6A6A">
        <w:t>knowledge</w:t>
      </w:r>
      <w:r w:rsidR="00541D05">
        <w:t xml:space="preserve"> </w:t>
      </w:r>
      <w:r w:rsidR="00D9258C" w:rsidRPr="00FD6A6A">
        <w:t>of</w:t>
      </w:r>
      <w:r w:rsidR="00541D05">
        <w:t xml:space="preserve"> </w:t>
      </w:r>
      <w:r w:rsidR="00D9258C" w:rsidRPr="00FD6A6A">
        <w:t>their</w:t>
      </w:r>
      <w:r w:rsidR="00541D05">
        <w:t xml:space="preserve"> </w:t>
      </w:r>
      <w:r w:rsidR="00D9258C" w:rsidRPr="00FD6A6A">
        <w:t>rights</w:t>
      </w:r>
      <w:r w:rsidR="00541D05">
        <w:t xml:space="preserve"> </w:t>
      </w:r>
      <w:r w:rsidR="00D9258C" w:rsidRPr="00FD6A6A">
        <w:t>have</w:t>
      </w:r>
      <w:r w:rsidR="00541D05">
        <w:t xml:space="preserve"> </w:t>
      </w:r>
      <w:r w:rsidR="00D9258C" w:rsidRPr="00FD6A6A">
        <w:t>been</w:t>
      </w:r>
      <w:r w:rsidR="00541D05">
        <w:t xml:space="preserve"> </w:t>
      </w:r>
      <w:r w:rsidR="00D9258C" w:rsidRPr="00FD6A6A">
        <w:t>decreasing,</w:t>
      </w:r>
      <w:r w:rsidR="00541D05">
        <w:t xml:space="preserve"> </w:t>
      </w:r>
      <w:r w:rsidR="00D9258C" w:rsidRPr="00FD6A6A">
        <w:t>due</w:t>
      </w:r>
      <w:r w:rsidR="00541D05">
        <w:t xml:space="preserve"> </w:t>
      </w:r>
      <w:r w:rsidR="00D9258C" w:rsidRPr="00FD6A6A">
        <w:t>mostly</w:t>
      </w:r>
      <w:r w:rsidR="00541D05">
        <w:t xml:space="preserve"> </w:t>
      </w:r>
      <w:r w:rsidR="00D9258C" w:rsidRPr="00FD6A6A">
        <w:t>to</w:t>
      </w:r>
      <w:r w:rsidR="00541D05">
        <w:t xml:space="preserve"> </w:t>
      </w:r>
      <w:r w:rsidR="00D9258C" w:rsidRPr="00FD6A6A">
        <w:t>actions</w:t>
      </w:r>
      <w:r w:rsidR="00541D05">
        <w:t xml:space="preserve"> </w:t>
      </w:r>
      <w:r w:rsidR="00D9258C" w:rsidRPr="00FD6A6A">
        <w:t>and</w:t>
      </w:r>
      <w:r w:rsidR="00541D05">
        <w:t xml:space="preserve"> </w:t>
      </w:r>
      <w:r w:rsidR="00D9258C" w:rsidRPr="00FD6A6A">
        <w:t>legal</w:t>
      </w:r>
      <w:r w:rsidR="00541D05">
        <w:t xml:space="preserve"> </w:t>
      </w:r>
      <w:r w:rsidR="00D9258C" w:rsidRPr="00FD6A6A">
        <w:t>advice</w:t>
      </w:r>
      <w:r w:rsidR="00541D05">
        <w:t xml:space="preserve"> </w:t>
      </w:r>
      <w:r w:rsidR="00D9258C" w:rsidRPr="00FD6A6A">
        <w:t>implemented</w:t>
      </w:r>
      <w:r w:rsidR="00541D05">
        <w:t xml:space="preserve"> </w:t>
      </w:r>
      <w:r w:rsidR="00D9258C" w:rsidRPr="00FD6A6A">
        <w:t>by</w:t>
      </w:r>
      <w:r w:rsidR="00541D05">
        <w:t xml:space="preserve"> </w:t>
      </w:r>
      <w:r w:rsidR="00D9258C" w:rsidRPr="00FD6A6A">
        <w:t>the</w:t>
      </w:r>
      <w:r w:rsidR="00541D05">
        <w:t xml:space="preserve"> </w:t>
      </w:r>
      <w:r w:rsidR="00D9258C" w:rsidRPr="00FD6A6A">
        <w:t>public</w:t>
      </w:r>
      <w:r w:rsidR="00541D05">
        <w:t xml:space="preserve"> </w:t>
      </w:r>
      <w:r w:rsidR="00D9258C" w:rsidRPr="00FD6A6A">
        <w:t>bodies.</w:t>
      </w:r>
    </w:p>
    <w:p w14:paraId="2A8FD011" w14:textId="19724DE7" w:rsidR="00D9258C" w:rsidRPr="00FD6A6A" w:rsidRDefault="00166390" w:rsidP="00166390">
      <w:pPr>
        <w:pStyle w:val="ParaNoG"/>
        <w:numPr>
          <w:ilvl w:val="0"/>
          <w:numId w:val="0"/>
        </w:numPr>
        <w:tabs>
          <w:tab w:val="left" w:pos="0"/>
        </w:tabs>
        <w:ind w:left="1134"/>
      </w:pPr>
      <w:r w:rsidRPr="00FD6A6A">
        <w:t>199.</w:t>
      </w:r>
      <w:r w:rsidRPr="00FD6A6A">
        <w:tab/>
      </w:r>
      <w:r w:rsidR="00D9258C" w:rsidRPr="00FD6A6A">
        <w:t>Although</w:t>
      </w:r>
      <w:r w:rsidR="00541D05">
        <w:t xml:space="preserve"> </w:t>
      </w:r>
      <w:r w:rsidR="00D9258C" w:rsidRPr="00FD6A6A">
        <w:t>Brazilian</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are</w:t>
      </w:r>
      <w:r w:rsidR="00541D05">
        <w:t xml:space="preserve"> </w:t>
      </w:r>
      <w:r w:rsidR="00D9258C" w:rsidRPr="00FD6A6A">
        <w:t>comprehensive</w:t>
      </w:r>
      <w:r w:rsidR="00541D05">
        <w:t xml:space="preserve"> </w:t>
      </w:r>
      <w:r w:rsidR="00D9258C" w:rsidRPr="00FD6A6A">
        <w:t>with</w:t>
      </w:r>
      <w:r w:rsidR="00541D05">
        <w:t xml:space="preserve"> </w:t>
      </w:r>
      <w:r w:rsidR="00D9258C" w:rsidRPr="00FD6A6A">
        <w:t>respect</w:t>
      </w:r>
      <w:r w:rsidR="00541D05">
        <w:t xml:space="preserve"> </w:t>
      </w:r>
      <w:r w:rsidR="00D9258C" w:rsidRPr="00FD6A6A">
        <w:t>to</w:t>
      </w:r>
      <w:r w:rsidR="00541D05">
        <w:t xml:space="preserve"> </w:t>
      </w:r>
      <w:r w:rsidR="00D9258C" w:rsidRPr="00FD6A6A">
        <w:t>the</w:t>
      </w:r>
      <w:r w:rsidR="00541D05">
        <w:t xml:space="preserve"> </w:t>
      </w:r>
      <w:r w:rsidR="00D9258C" w:rsidRPr="00FD6A6A">
        <w:t>fight</w:t>
      </w:r>
      <w:r w:rsidR="00541D05">
        <w:t xml:space="preserve"> </w:t>
      </w:r>
      <w:r w:rsidR="00D9258C" w:rsidRPr="00FD6A6A">
        <w:t>against</w:t>
      </w:r>
      <w:r w:rsidR="00541D05">
        <w:t xml:space="preserve"> </w:t>
      </w:r>
      <w:r w:rsidR="00D9258C" w:rsidRPr="00FD6A6A">
        <w:t>racism</w:t>
      </w:r>
      <w:r w:rsidR="00541D05">
        <w:t xml:space="preserve"> </w:t>
      </w:r>
      <w:r w:rsidR="00D9258C" w:rsidRPr="00FD6A6A">
        <w:t>and</w:t>
      </w:r>
      <w:r w:rsidR="00541D05">
        <w:t xml:space="preserve"> </w:t>
      </w:r>
      <w:r w:rsidR="00D9258C" w:rsidRPr="00FD6A6A">
        <w:t>the</w:t>
      </w:r>
      <w:r w:rsidR="00541D05">
        <w:t xml:space="preserve"> </w:t>
      </w:r>
      <w:r w:rsidR="00D9258C" w:rsidRPr="00FD6A6A">
        <w:t>protective</w:t>
      </w:r>
      <w:r w:rsidR="00541D05">
        <w:t xml:space="preserve"> </w:t>
      </w:r>
      <w:r w:rsidR="00D9258C" w:rsidRPr="00FD6A6A">
        <w:t>instruments</w:t>
      </w:r>
      <w:r w:rsidR="00541D05">
        <w:t xml:space="preserve"> </w:t>
      </w:r>
      <w:r w:rsidR="00D9258C" w:rsidRPr="00FD6A6A">
        <w:t>created</w:t>
      </w:r>
      <w:r w:rsidR="00541D05">
        <w:t xml:space="preserve"> </w:t>
      </w:r>
      <w:r w:rsidR="00D9258C" w:rsidRPr="00FD6A6A">
        <w:t>to</w:t>
      </w:r>
      <w:r w:rsidR="00541D05">
        <w:t xml:space="preserve"> </w:t>
      </w:r>
      <w:r w:rsidR="00D9258C" w:rsidRPr="00FD6A6A">
        <w:t>make</w:t>
      </w:r>
      <w:r w:rsidR="00541D05">
        <w:t xml:space="preserve"> </w:t>
      </w:r>
      <w:r w:rsidR="00D9258C" w:rsidRPr="00FD6A6A">
        <w:t>this</w:t>
      </w:r>
      <w:r w:rsidR="00541D05">
        <w:t xml:space="preserve"> </w:t>
      </w:r>
      <w:r w:rsidR="00D9258C" w:rsidRPr="00FD6A6A">
        <w:t>fight</w:t>
      </w:r>
      <w:r w:rsidR="00541D05">
        <w:t xml:space="preserve"> </w:t>
      </w:r>
      <w:r w:rsidR="00D9258C" w:rsidRPr="00FD6A6A">
        <w:t>effective,</w:t>
      </w:r>
      <w:r w:rsidR="00541D05">
        <w:t xml:space="preserve"> </w:t>
      </w:r>
      <w:r w:rsidR="00D9258C" w:rsidRPr="00FD6A6A">
        <w:t>it</w:t>
      </w:r>
      <w:r w:rsidR="00541D05">
        <w:t xml:space="preserve"> </w:t>
      </w:r>
      <w:r w:rsidR="00D9258C" w:rsidRPr="00FD6A6A">
        <w:t>should</w:t>
      </w:r>
      <w:r w:rsidR="00541D05">
        <w:t xml:space="preserve"> </w:t>
      </w:r>
      <w:r w:rsidR="00D9258C" w:rsidRPr="00FD6A6A">
        <w:t>be</w:t>
      </w:r>
      <w:r w:rsidR="00541D05">
        <w:t xml:space="preserve"> </w:t>
      </w:r>
      <w:r w:rsidR="00D9258C" w:rsidRPr="00FD6A6A">
        <w:t>noted</w:t>
      </w:r>
      <w:r w:rsidR="00541D05">
        <w:t xml:space="preserve"> </w:t>
      </w:r>
      <w:r w:rsidR="00D9258C" w:rsidRPr="00FD6A6A">
        <w:t>that</w:t>
      </w:r>
      <w:r w:rsidR="00541D05">
        <w:t xml:space="preserve"> </w:t>
      </w:r>
      <w:r w:rsidR="00D9258C" w:rsidRPr="00FD6A6A">
        <w:t>that</w:t>
      </w:r>
      <w:r w:rsidR="00541D05">
        <w:t xml:space="preserve"> </w:t>
      </w:r>
      <w:r w:rsidR="00D9258C" w:rsidRPr="00FD6A6A">
        <w:t>there</w:t>
      </w:r>
      <w:r w:rsidR="00541D05">
        <w:t xml:space="preserve"> </w:t>
      </w:r>
      <w:r w:rsidR="00D9258C" w:rsidRPr="00FD6A6A">
        <w:t>is</w:t>
      </w:r>
      <w:r w:rsidR="00541D05">
        <w:t xml:space="preserve"> </w:t>
      </w:r>
      <w:r w:rsidR="00D9258C" w:rsidRPr="00FD6A6A">
        <w:t>a</w:t>
      </w:r>
      <w:r w:rsidR="00541D05">
        <w:t xml:space="preserve"> </w:t>
      </w:r>
      <w:r w:rsidR="00D9258C" w:rsidRPr="00FD6A6A">
        <w:t>lack</w:t>
      </w:r>
      <w:r w:rsidR="00541D05">
        <w:t xml:space="preserve"> </w:t>
      </w:r>
      <w:r w:rsidR="00D9258C" w:rsidRPr="00FD6A6A">
        <w:t>of</w:t>
      </w:r>
      <w:r w:rsidR="00541D05">
        <w:t xml:space="preserve"> </w:t>
      </w:r>
      <w:r w:rsidR="00D9258C" w:rsidRPr="00FD6A6A">
        <w:t>researches</w:t>
      </w:r>
      <w:r w:rsidR="00541D05">
        <w:t xml:space="preserve"> </w:t>
      </w:r>
      <w:r w:rsidR="00D9258C" w:rsidRPr="00FD6A6A">
        <w:t>with</w:t>
      </w:r>
      <w:r w:rsidR="00541D05">
        <w:t xml:space="preserve"> </w:t>
      </w:r>
      <w:r w:rsidR="00D9258C" w:rsidRPr="00FD6A6A">
        <w:t>quantitative</w:t>
      </w:r>
      <w:r w:rsidR="00541D05">
        <w:t xml:space="preserve"> </w:t>
      </w:r>
      <w:r w:rsidR="00D9258C" w:rsidRPr="00FD6A6A">
        <w:t>data</w:t>
      </w:r>
      <w:r w:rsidR="00541D05">
        <w:t xml:space="preserve"> </w:t>
      </w:r>
      <w:r w:rsidR="00D9258C" w:rsidRPr="00FD6A6A">
        <w:t>on</w:t>
      </w:r>
      <w:r w:rsidR="00541D05">
        <w:t xml:space="preserve"> </w:t>
      </w:r>
      <w:r w:rsidR="00D9258C" w:rsidRPr="00FD6A6A">
        <w:t>the</w:t>
      </w:r>
      <w:r w:rsidR="00541D05">
        <w:t xml:space="preserve"> </w:t>
      </w:r>
      <w:r w:rsidR="00D9258C" w:rsidRPr="00FD6A6A">
        <w:t>concrete</w:t>
      </w:r>
      <w:r w:rsidR="00541D05">
        <w:t xml:space="preserve"> </w:t>
      </w:r>
      <w:r w:rsidR="00D9258C" w:rsidRPr="00FD6A6A">
        <w:t>application</w:t>
      </w:r>
      <w:r w:rsidR="00541D05">
        <w:t xml:space="preserve"> </w:t>
      </w:r>
      <w:r w:rsidR="00D9258C" w:rsidRPr="00FD6A6A">
        <w:t>of</w:t>
      </w:r>
      <w:r w:rsidR="00541D05">
        <w:t xml:space="preserve"> </w:t>
      </w:r>
      <w:r w:rsidR="00D9258C" w:rsidRPr="00FD6A6A">
        <w:t>Brazilian</w:t>
      </w:r>
      <w:r w:rsidR="00541D05">
        <w:t xml:space="preserve"> </w:t>
      </w:r>
      <w:r w:rsidR="00D9258C" w:rsidRPr="00FD6A6A">
        <w:t>anti-racism</w:t>
      </w:r>
      <w:r w:rsidR="00541D05">
        <w:t xml:space="preserve"> </w:t>
      </w:r>
      <w:r w:rsidR="00D9258C" w:rsidRPr="00FD6A6A">
        <w:t>laws</w:t>
      </w:r>
      <w:r w:rsidR="00541D05">
        <w:t xml:space="preserve"> </w:t>
      </w:r>
      <w:r w:rsidR="00D9258C" w:rsidRPr="00FD6A6A">
        <w:t>and</w:t>
      </w:r>
      <w:r w:rsidR="00541D05">
        <w:t xml:space="preserve"> </w:t>
      </w:r>
      <w:r w:rsidR="00D9258C" w:rsidRPr="00FD6A6A">
        <w:t>regulations,</w:t>
      </w:r>
      <w:r w:rsidR="00541D05">
        <w:t xml:space="preserve"> </w:t>
      </w:r>
      <w:r w:rsidR="00D9258C" w:rsidRPr="00FD6A6A">
        <w:t>which</w:t>
      </w:r>
      <w:r w:rsidR="00541D05">
        <w:t xml:space="preserve"> </w:t>
      </w:r>
      <w:r w:rsidR="00D9258C" w:rsidRPr="00FD6A6A">
        <w:t>makes</w:t>
      </w:r>
      <w:r w:rsidR="00541D05">
        <w:t xml:space="preserve"> </w:t>
      </w:r>
      <w:r w:rsidR="00D9258C" w:rsidRPr="00FD6A6A">
        <w:t>it</w:t>
      </w:r>
      <w:r w:rsidR="00541D05">
        <w:t xml:space="preserve"> </w:t>
      </w:r>
      <w:r w:rsidR="00D9258C" w:rsidRPr="00FD6A6A">
        <w:t>difficult</w:t>
      </w:r>
      <w:r w:rsidR="00541D05">
        <w:t xml:space="preserve"> </w:t>
      </w:r>
      <w:r w:rsidR="00D9258C" w:rsidRPr="00FD6A6A">
        <w:t>to</w:t>
      </w:r>
      <w:r w:rsidR="00541D05">
        <w:t xml:space="preserve"> </w:t>
      </w:r>
      <w:r w:rsidR="00D9258C" w:rsidRPr="00FD6A6A">
        <w:t>monitor</w:t>
      </w:r>
      <w:r w:rsidR="00541D05">
        <w:t xml:space="preserve"> </w:t>
      </w:r>
      <w:r w:rsidR="00D9258C" w:rsidRPr="00FD6A6A">
        <w:t>their</w:t>
      </w:r>
      <w:r w:rsidR="00541D05">
        <w:t xml:space="preserve"> </w:t>
      </w:r>
      <w:r w:rsidR="00D9258C" w:rsidRPr="00FD6A6A">
        <w:t>enforcement</w:t>
      </w:r>
      <w:r w:rsidR="00541D05">
        <w:t xml:space="preserve"> </w:t>
      </w:r>
      <w:r w:rsidR="00D9258C" w:rsidRPr="00FD6A6A">
        <w:t>and</w:t>
      </w:r>
      <w:r w:rsidR="00541D05">
        <w:t xml:space="preserve"> </w:t>
      </w:r>
      <w:r w:rsidR="00D9258C" w:rsidRPr="00FD6A6A">
        <w:t>analyze</w:t>
      </w:r>
      <w:r w:rsidR="00541D05">
        <w:t xml:space="preserve"> </w:t>
      </w:r>
      <w:r w:rsidR="00D9258C" w:rsidRPr="00FD6A6A">
        <w:t>the</w:t>
      </w:r>
      <w:r w:rsidR="00541D05">
        <w:t xml:space="preserve"> </w:t>
      </w:r>
      <w:r w:rsidR="00D9258C" w:rsidRPr="00FD6A6A">
        <w:t>manner</w:t>
      </w:r>
      <w:r w:rsidR="00541D05">
        <w:t xml:space="preserve"> </w:t>
      </w:r>
      <w:r w:rsidR="00D9258C" w:rsidRPr="00FD6A6A">
        <w:t>in</w:t>
      </w:r>
      <w:r w:rsidR="00541D05">
        <w:t xml:space="preserve"> </w:t>
      </w:r>
      <w:r w:rsidR="00D9258C" w:rsidRPr="00FD6A6A">
        <w:t>which</w:t>
      </w:r>
      <w:r w:rsidR="00541D05">
        <w:t xml:space="preserve"> </w:t>
      </w:r>
      <w:r w:rsidR="00D9258C" w:rsidRPr="00FD6A6A">
        <w:t>the</w:t>
      </w:r>
      <w:r w:rsidR="00541D05">
        <w:t xml:space="preserve"> </w:t>
      </w:r>
      <w:r w:rsidR="00D9258C" w:rsidRPr="00FD6A6A">
        <w:t>justice</w:t>
      </w:r>
      <w:r w:rsidR="00541D05">
        <w:t xml:space="preserve"> </w:t>
      </w:r>
      <w:r w:rsidR="00D9258C" w:rsidRPr="00FD6A6A">
        <w:t>system</w:t>
      </w:r>
      <w:r w:rsidR="00541D05">
        <w:t xml:space="preserve"> </w:t>
      </w:r>
      <w:r w:rsidR="00D9258C" w:rsidRPr="00FD6A6A">
        <w:t>responds</w:t>
      </w:r>
      <w:r w:rsidR="00541D05">
        <w:t xml:space="preserve"> </w:t>
      </w:r>
      <w:r w:rsidR="00D9258C" w:rsidRPr="00FD6A6A">
        <w:t>to</w:t>
      </w:r>
      <w:r w:rsidR="00541D05">
        <w:t xml:space="preserve"> </w:t>
      </w:r>
      <w:r w:rsidR="00D9258C" w:rsidRPr="00FD6A6A">
        <w:t>most</w:t>
      </w:r>
      <w:r w:rsidR="00541D05">
        <w:t xml:space="preserve"> </w:t>
      </w:r>
      <w:r w:rsidR="00D9258C" w:rsidRPr="00FD6A6A">
        <w:t>cases</w:t>
      </w:r>
      <w:r w:rsidR="00541D05">
        <w:t xml:space="preserve"> </w:t>
      </w:r>
      <w:r w:rsidR="00D9258C" w:rsidRPr="00FD6A6A">
        <w:t>reported.</w:t>
      </w:r>
    </w:p>
    <w:p w14:paraId="6A2DE441" w14:textId="7F2A6BB0" w:rsidR="00D9258C" w:rsidRPr="00FD6A6A" w:rsidRDefault="00166390" w:rsidP="00166390">
      <w:pPr>
        <w:pStyle w:val="ParaNoG"/>
        <w:numPr>
          <w:ilvl w:val="0"/>
          <w:numId w:val="0"/>
        </w:numPr>
        <w:tabs>
          <w:tab w:val="left" w:pos="0"/>
        </w:tabs>
        <w:ind w:left="1134"/>
      </w:pPr>
      <w:r w:rsidRPr="00FD6A6A">
        <w:t>200.</w:t>
      </w:r>
      <w:r w:rsidRPr="00FD6A6A">
        <w:tab/>
      </w:r>
      <w:r w:rsidR="00D9258C" w:rsidRPr="00FD6A6A">
        <w:t>However,</w:t>
      </w:r>
      <w:r w:rsidR="00541D05">
        <w:t xml:space="preserve"> </w:t>
      </w:r>
      <w:r w:rsidR="00D9258C" w:rsidRPr="00FD6A6A">
        <w:t>due</w:t>
      </w:r>
      <w:r w:rsidR="00541D05">
        <w:t xml:space="preserve"> </w:t>
      </w:r>
      <w:r w:rsidR="00D9258C" w:rsidRPr="00FD6A6A">
        <w:t>to</w:t>
      </w:r>
      <w:r w:rsidR="00541D05">
        <w:t xml:space="preserve"> </w:t>
      </w:r>
      <w:r w:rsidR="00D9258C" w:rsidRPr="00FD6A6A">
        <w:t>the</w:t>
      </w:r>
      <w:r w:rsidR="00541D05">
        <w:t xml:space="preserve"> </w:t>
      </w:r>
      <w:r w:rsidR="00D9258C" w:rsidRPr="00FD6A6A">
        <w:t>very</w:t>
      </w:r>
      <w:r w:rsidR="00541D05">
        <w:t xml:space="preserve"> </w:t>
      </w:r>
      <w:r w:rsidR="00D9258C" w:rsidRPr="00FD6A6A">
        <w:t>open</w:t>
      </w:r>
      <w:r w:rsidR="00541D05">
        <w:t xml:space="preserve"> </w:t>
      </w:r>
      <w:r w:rsidR="00D9258C" w:rsidRPr="00FD6A6A">
        <w:t>description</w:t>
      </w:r>
      <w:r w:rsidR="00541D05">
        <w:t xml:space="preserve"> </w:t>
      </w:r>
      <w:r w:rsidR="00D9258C" w:rsidRPr="00FD6A6A">
        <w:t>of</w:t>
      </w:r>
      <w:r w:rsidR="00541D05">
        <w:t xml:space="preserve"> </w:t>
      </w:r>
      <w:r w:rsidR="00D9258C" w:rsidRPr="00FD6A6A">
        <w:t>the</w:t>
      </w:r>
      <w:r w:rsidR="00541D05">
        <w:t xml:space="preserve"> </w:t>
      </w:r>
      <w:r w:rsidR="00D9258C" w:rsidRPr="00FD6A6A">
        <w:t>conducts</w:t>
      </w:r>
      <w:r w:rsidR="00541D05">
        <w:t xml:space="preserve"> </w:t>
      </w:r>
      <w:r w:rsidR="00D9258C" w:rsidRPr="00FD6A6A">
        <w:t>classified</w:t>
      </w:r>
      <w:r w:rsidR="00541D05">
        <w:t xml:space="preserve"> </w:t>
      </w:r>
      <w:r w:rsidR="00D9258C" w:rsidRPr="00FD6A6A">
        <w:t>as</w:t>
      </w:r>
      <w:r w:rsidR="00541D05">
        <w:t xml:space="preserve"> </w:t>
      </w:r>
      <w:r w:rsidR="00D9258C" w:rsidRPr="00FD6A6A">
        <w:t>crimes,</w:t>
      </w:r>
      <w:r w:rsidR="00541D05">
        <w:t xml:space="preserve"> </w:t>
      </w:r>
      <w:r w:rsidR="00D9258C" w:rsidRPr="00FD6A6A">
        <w:t>their</w:t>
      </w:r>
      <w:r w:rsidR="00541D05">
        <w:t xml:space="preserve"> </w:t>
      </w:r>
      <w:r w:rsidR="00D9258C" w:rsidRPr="00FD6A6A">
        <w:t>interpretation</w:t>
      </w:r>
      <w:r w:rsidR="00541D05">
        <w:t xml:space="preserve"> </w:t>
      </w:r>
      <w:r w:rsidR="00D9258C" w:rsidRPr="00FD6A6A">
        <w:t>is</w:t>
      </w:r>
      <w:r w:rsidR="00541D05">
        <w:t xml:space="preserve"> </w:t>
      </w:r>
      <w:r w:rsidR="00D9258C" w:rsidRPr="00FD6A6A">
        <w:t>contentious</w:t>
      </w:r>
      <w:r w:rsidR="00541D05">
        <w:t xml:space="preserve"> </w:t>
      </w:r>
      <w:r w:rsidR="00D9258C" w:rsidRPr="00FD6A6A">
        <w:t>within</w:t>
      </w:r>
      <w:r w:rsidR="00541D05">
        <w:t xml:space="preserve"> </w:t>
      </w:r>
      <w:r w:rsidR="00D9258C" w:rsidRPr="00FD6A6A">
        <w:t>the</w:t>
      </w:r>
      <w:r w:rsidR="00541D05">
        <w:t xml:space="preserve"> </w:t>
      </w:r>
      <w:r w:rsidR="00D9258C" w:rsidRPr="00FD6A6A">
        <w:t>Judiciary</w:t>
      </w:r>
      <w:r w:rsidR="00541D05">
        <w:t xml:space="preserve"> </w:t>
      </w:r>
      <w:r w:rsidR="00D9258C" w:rsidRPr="00FD6A6A">
        <w:t>Branch,</w:t>
      </w:r>
      <w:r w:rsidR="00541D05">
        <w:t xml:space="preserve"> </w:t>
      </w:r>
      <w:r w:rsidR="00D9258C" w:rsidRPr="00FD6A6A">
        <w:t>in</w:t>
      </w:r>
      <w:r w:rsidR="00541D05">
        <w:t xml:space="preserve"> </w:t>
      </w:r>
      <w:r w:rsidR="00D9258C" w:rsidRPr="00FD6A6A">
        <w:t>which</w:t>
      </w:r>
      <w:r w:rsidR="00541D05">
        <w:t xml:space="preserve"> </w:t>
      </w:r>
      <w:r w:rsidR="00D9258C" w:rsidRPr="00FD6A6A">
        <w:t>legal</w:t>
      </w:r>
      <w:r w:rsidR="00541D05">
        <w:t xml:space="preserve"> </w:t>
      </w:r>
      <w:r w:rsidR="00D9258C" w:rsidRPr="00FD6A6A">
        <w:t>technicalities</w:t>
      </w:r>
      <w:r w:rsidR="00541D05">
        <w:t xml:space="preserve"> </w:t>
      </w:r>
      <w:r w:rsidR="00D9258C" w:rsidRPr="00FD6A6A">
        <w:t>and</w:t>
      </w:r>
      <w:r w:rsidR="00541D05">
        <w:t xml:space="preserve"> </w:t>
      </w:r>
      <w:r w:rsidR="00D9258C" w:rsidRPr="00FD6A6A">
        <w:t>personal</w:t>
      </w:r>
      <w:r w:rsidR="00541D05">
        <w:t xml:space="preserve"> </w:t>
      </w:r>
      <w:r w:rsidR="00D9258C" w:rsidRPr="00FD6A6A">
        <w:t>views</w:t>
      </w:r>
      <w:r w:rsidR="00541D05">
        <w:t xml:space="preserve"> </w:t>
      </w:r>
      <w:r w:rsidR="00D9258C" w:rsidRPr="00FD6A6A">
        <w:t>contribute</w:t>
      </w:r>
      <w:r w:rsidR="00541D05">
        <w:t xml:space="preserve"> </w:t>
      </w:r>
      <w:r w:rsidR="00D9258C" w:rsidRPr="00FD6A6A">
        <w:t>to</w:t>
      </w:r>
      <w:r w:rsidR="00541D05">
        <w:t xml:space="preserve"> </w:t>
      </w:r>
      <w:r w:rsidR="00D9258C" w:rsidRPr="00FD6A6A">
        <w:t>decisions</w:t>
      </w:r>
      <w:r w:rsidR="00541D05">
        <w:t xml:space="preserve"> </w:t>
      </w:r>
      <w:r w:rsidR="00D9258C" w:rsidRPr="00FD6A6A">
        <w:t>on</w:t>
      </w:r>
      <w:r w:rsidR="00541D05">
        <w:t xml:space="preserve"> </w:t>
      </w:r>
      <w:r w:rsidR="00D9258C" w:rsidRPr="00FD6A6A">
        <w:t>convictions,</w:t>
      </w:r>
      <w:r w:rsidR="00541D05">
        <w:t xml:space="preserve"> </w:t>
      </w:r>
      <w:r w:rsidR="00D9258C" w:rsidRPr="00FD6A6A">
        <w:t>acquittals,</w:t>
      </w:r>
      <w:r w:rsidR="00541D05">
        <w:t xml:space="preserve"> </w:t>
      </w:r>
      <w:r w:rsidR="00D9258C" w:rsidRPr="00FD6A6A">
        <w:t>and</w:t>
      </w:r>
      <w:r w:rsidR="00541D05">
        <w:t xml:space="preserve"> </w:t>
      </w:r>
      <w:r w:rsidR="00D9258C" w:rsidRPr="00FD6A6A">
        <w:t>dismissals</w:t>
      </w:r>
      <w:r w:rsidR="00541D05">
        <w:t xml:space="preserve"> </w:t>
      </w:r>
      <w:r w:rsidR="00D9258C" w:rsidRPr="00FD6A6A">
        <w:t>of</w:t>
      </w:r>
      <w:r w:rsidR="00541D05">
        <w:t xml:space="preserve"> </w:t>
      </w:r>
      <w:r w:rsidR="00D9258C" w:rsidRPr="00FD6A6A">
        <w:t>complaints</w:t>
      </w:r>
      <w:r w:rsidR="00541D05">
        <w:t xml:space="preserve"> </w:t>
      </w:r>
      <w:r w:rsidR="00D9258C" w:rsidRPr="00FD6A6A">
        <w:t>to</w:t>
      </w:r>
      <w:r w:rsidR="00541D05">
        <w:t xml:space="preserve"> </w:t>
      </w:r>
      <w:r w:rsidR="00D9258C" w:rsidRPr="00FD6A6A">
        <w:t>barely</w:t>
      </w:r>
      <w:r w:rsidR="00541D05">
        <w:t xml:space="preserve"> </w:t>
      </w:r>
      <w:r w:rsidR="00D9258C" w:rsidRPr="00FD6A6A">
        <w:t>known</w:t>
      </w:r>
      <w:r w:rsidR="00541D05">
        <w:t xml:space="preserve"> </w:t>
      </w:r>
      <w:r w:rsidR="00D9258C" w:rsidRPr="00FD6A6A">
        <w:t>proportions.</w:t>
      </w:r>
    </w:p>
    <w:p w14:paraId="7D9A87C6" w14:textId="3DF1C54A" w:rsidR="00D9258C" w:rsidRPr="00FD6A6A" w:rsidRDefault="00166390" w:rsidP="00166390">
      <w:pPr>
        <w:pStyle w:val="ParaNoG"/>
        <w:numPr>
          <w:ilvl w:val="0"/>
          <w:numId w:val="0"/>
        </w:numPr>
        <w:tabs>
          <w:tab w:val="left" w:pos="0"/>
        </w:tabs>
        <w:ind w:left="1134"/>
      </w:pPr>
      <w:r w:rsidRPr="00FD6A6A">
        <w:t>201.</w:t>
      </w:r>
      <w:r w:rsidRPr="00FD6A6A">
        <w:tab/>
      </w:r>
      <w:r w:rsidR="00D9258C" w:rsidRPr="00FD6A6A">
        <w:t>Moreover,</w:t>
      </w:r>
      <w:r w:rsidR="00541D05">
        <w:t xml:space="preserve"> </w:t>
      </w:r>
      <w:r w:rsidR="00D9258C" w:rsidRPr="00FD6A6A">
        <w:t>since</w:t>
      </w:r>
      <w:r w:rsidR="00541D05">
        <w:t xml:space="preserve"> </w:t>
      </w:r>
      <w:r w:rsidR="00D9258C" w:rsidRPr="00FD6A6A">
        <w:t>the</w:t>
      </w:r>
      <w:r w:rsidR="00541D05">
        <w:t xml:space="preserve"> </w:t>
      </w:r>
      <w:r w:rsidR="00D9258C" w:rsidRPr="00FD6A6A">
        <w:t>1990s,</w:t>
      </w:r>
      <w:r w:rsidR="00541D05">
        <w:t xml:space="preserve"> </w:t>
      </w:r>
      <w:r w:rsidR="00D9258C" w:rsidRPr="00FD6A6A">
        <w:t>empirical</w:t>
      </w:r>
      <w:r w:rsidR="00541D05">
        <w:t xml:space="preserve"> </w:t>
      </w:r>
      <w:r w:rsidR="00D9258C" w:rsidRPr="00FD6A6A">
        <w:t>researches</w:t>
      </w:r>
      <w:r w:rsidR="00541D05">
        <w:t xml:space="preserve"> </w:t>
      </w:r>
      <w:r w:rsidR="00D9258C" w:rsidRPr="00FD6A6A">
        <w:t>show</w:t>
      </w:r>
      <w:r w:rsidR="00541D05">
        <w:t xml:space="preserve"> </w:t>
      </w:r>
      <w:r w:rsidR="00D9258C" w:rsidRPr="00FD6A6A">
        <w:t>that</w:t>
      </w:r>
      <w:r w:rsidR="00541D05">
        <w:t xml:space="preserve"> </w:t>
      </w:r>
      <w:r w:rsidR="00D9258C" w:rsidRPr="00FD6A6A">
        <w:t>the</w:t>
      </w:r>
      <w:r w:rsidR="00541D05">
        <w:t xml:space="preserve"> </w:t>
      </w:r>
      <w:r w:rsidR="00D9258C" w:rsidRPr="00FD6A6A">
        <w:t>likelihood</w:t>
      </w:r>
      <w:r w:rsidR="00541D05">
        <w:t xml:space="preserve"> </w:t>
      </w:r>
      <w:r w:rsidR="00D9258C" w:rsidRPr="00FD6A6A">
        <w:t>of</w:t>
      </w:r>
      <w:r w:rsidR="00541D05">
        <w:t xml:space="preserve"> </w:t>
      </w:r>
      <w:r w:rsidR="00D9258C" w:rsidRPr="00FD6A6A">
        <w:t>an</w:t>
      </w:r>
      <w:r w:rsidR="00541D05">
        <w:t xml:space="preserve"> </w:t>
      </w:r>
      <w:r w:rsidR="00D9258C" w:rsidRPr="00FD6A6A">
        <w:t>Afro-Brazilian</w:t>
      </w:r>
      <w:r w:rsidR="00541D05">
        <w:t xml:space="preserve"> </w:t>
      </w:r>
      <w:r w:rsidR="00D9258C" w:rsidRPr="00FD6A6A">
        <w:t>being</w:t>
      </w:r>
      <w:r w:rsidR="00541D05">
        <w:t xml:space="preserve"> </w:t>
      </w:r>
      <w:r w:rsidR="00D9258C" w:rsidRPr="00FD6A6A">
        <w:t>convicted</w:t>
      </w:r>
      <w:r w:rsidR="00541D05">
        <w:t xml:space="preserve"> </w:t>
      </w:r>
      <w:r w:rsidR="00D9258C" w:rsidRPr="00FD6A6A">
        <w:t>by</w:t>
      </w:r>
      <w:r w:rsidR="00541D05">
        <w:t xml:space="preserve"> </w:t>
      </w:r>
      <w:r w:rsidR="00D9258C" w:rsidRPr="00FD6A6A">
        <w:t>the</w:t>
      </w:r>
      <w:r w:rsidR="00541D05">
        <w:t xml:space="preserve"> </w:t>
      </w:r>
      <w:r w:rsidR="00D9258C" w:rsidRPr="00FD6A6A">
        <w:t>criminal</w:t>
      </w:r>
      <w:r w:rsidR="00541D05">
        <w:t xml:space="preserve"> </w:t>
      </w:r>
      <w:r w:rsidR="00D9258C" w:rsidRPr="00FD6A6A">
        <w:t>court</w:t>
      </w:r>
      <w:r w:rsidR="00541D05">
        <w:t xml:space="preserve"> </w:t>
      </w:r>
      <w:r w:rsidR="00D9258C" w:rsidRPr="00FD6A6A">
        <w:t>is</w:t>
      </w:r>
      <w:r w:rsidR="00541D05">
        <w:t xml:space="preserve"> </w:t>
      </w:r>
      <w:r w:rsidR="00D9258C" w:rsidRPr="00FD6A6A">
        <w:t>higher</w:t>
      </w:r>
      <w:r w:rsidR="00541D05">
        <w:t xml:space="preserve"> </w:t>
      </w:r>
      <w:r w:rsidR="00D9258C" w:rsidRPr="00FD6A6A">
        <w:t>than</w:t>
      </w:r>
      <w:r w:rsidR="00541D05">
        <w:t xml:space="preserve"> </w:t>
      </w:r>
      <w:r w:rsidR="00D9258C" w:rsidRPr="00FD6A6A">
        <w:t>that</w:t>
      </w:r>
      <w:r w:rsidR="00541D05">
        <w:t xml:space="preserve"> </w:t>
      </w:r>
      <w:r w:rsidR="00D9258C" w:rsidRPr="00FD6A6A">
        <w:t>of</w:t>
      </w:r>
      <w:r w:rsidR="00541D05">
        <w:t xml:space="preserve"> </w:t>
      </w:r>
      <w:r w:rsidR="00D9258C" w:rsidRPr="00FD6A6A">
        <w:t>non</w:t>
      </w:r>
      <w:r w:rsidR="00541D05">
        <w:t xml:space="preserve"> </w:t>
      </w:r>
      <w:r w:rsidR="00D9258C" w:rsidRPr="00FD6A6A">
        <w:t>Afro-Brazilians,</w:t>
      </w:r>
      <w:r w:rsidR="00541D05">
        <w:t xml:space="preserve"> </w:t>
      </w:r>
      <w:r w:rsidR="00D9258C" w:rsidRPr="00FD6A6A">
        <w:t>even</w:t>
      </w:r>
      <w:r w:rsidR="00541D05">
        <w:t xml:space="preserve"> </w:t>
      </w:r>
      <w:r w:rsidR="00D9258C" w:rsidRPr="00FD6A6A">
        <w:t>if</w:t>
      </w:r>
      <w:r w:rsidR="00541D05">
        <w:t xml:space="preserve"> </w:t>
      </w:r>
      <w:r w:rsidR="00D9258C" w:rsidRPr="00FD6A6A">
        <w:t>they</w:t>
      </w:r>
      <w:r w:rsidR="00541D05">
        <w:t xml:space="preserve"> </w:t>
      </w:r>
      <w:r w:rsidR="00D9258C" w:rsidRPr="00FD6A6A">
        <w:t>have</w:t>
      </w:r>
      <w:r w:rsidR="00541D05">
        <w:t xml:space="preserve"> </w:t>
      </w:r>
      <w:r w:rsidR="00D9258C" w:rsidRPr="00FD6A6A">
        <w:t>the</w:t>
      </w:r>
      <w:r w:rsidR="00541D05">
        <w:t xml:space="preserve"> </w:t>
      </w:r>
      <w:r w:rsidR="00D9258C" w:rsidRPr="00FD6A6A">
        <w:t>same</w:t>
      </w:r>
      <w:r w:rsidR="00541D05">
        <w:t xml:space="preserve"> </w:t>
      </w:r>
      <w:r w:rsidR="00D9258C" w:rsidRPr="00FD6A6A">
        <w:t>level</w:t>
      </w:r>
      <w:r w:rsidR="00541D05">
        <w:t xml:space="preserve"> </w:t>
      </w:r>
      <w:r w:rsidR="00D9258C" w:rsidRPr="00FD6A6A">
        <w:t>of</w:t>
      </w:r>
      <w:r w:rsidR="00541D05">
        <w:t xml:space="preserve"> </w:t>
      </w:r>
      <w:r w:rsidR="00D9258C" w:rsidRPr="00FD6A6A">
        <w:t>income.</w:t>
      </w:r>
      <w:r w:rsidR="00541D05">
        <w:t xml:space="preserve"> </w:t>
      </w:r>
    </w:p>
    <w:p w14:paraId="2C57A1EE" w14:textId="541B7F5C" w:rsidR="00D9258C" w:rsidRPr="00FD6A6A" w:rsidRDefault="00166390" w:rsidP="00166390">
      <w:pPr>
        <w:pStyle w:val="ParaNoG"/>
        <w:numPr>
          <w:ilvl w:val="0"/>
          <w:numId w:val="0"/>
        </w:numPr>
        <w:tabs>
          <w:tab w:val="left" w:pos="0"/>
        </w:tabs>
        <w:ind w:left="1134"/>
      </w:pPr>
      <w:r w:rsidRPr="00FD6A6A">
        <w:t>202.</w:t>
      </w:r>
      <w:r w:rsidRPr="00FD6A6A">
        <w:tab/>
      </w:r>
      <w:r w:rsidR="00D9258C" w:rsidRPr="00FD6A6A">
        <w:t>A</w:t>
      </w:r>
      <w:r w:rsidR="00541D05">
        <w:t xml:space="preserve"> </w:t>
      </w:r>
      <w:r w:rsidR="00D9258C" w:rsidRPr="00FD6A6A">
        <w:t>possible</w:t>
      </w:r>
      <w:r w:rsidR="00541D05">
        <w:t xml:space="preserve"> </w:t>
      </w:r>
      <w:r w:rsidR="00D9258C" w:rsidRPr="00FD6A6A">
        <w:t>way</w:t>
      </w:r>
      <w:r w:rsidR="00541D05">
        <w:t xml:space="preserve"> </w:t>
      </w:r>
      <w:r w:rsidR="00D9258C" w:rsidRPr="00FD6A6A">
        <w:t>to</w:t>
      </w:r>
      <w:r w:rsidR="00541D05">
        <w:t xml:space="preserve"> </w:t>
      </w:r>
      <w:r w:rsidR="00D9258C" w:rsidRPr="00FD6A6A">
        <w:t>deal</w:t>
      </w:r>
      <w:r w:rsidR="00541D05">
        <w:t xml:space="preserve"> </w:t>
      </w:r>
      <w:r w:rsidR="00D9258C" w:rsidRPr="00FD6A6A">
        <w:t>with</w:t>
      </w:r>
      <w:r w:rsidR="00541D05">
        <w:t xml:space="preserve"> </w:t>
      </w:r>
      <w:r w:rsidR="00D9258C" w:rsidRPr="00FD6A6A">
        <w:t>this</w:t>
      </w:r>
      <w:r w:rsidR="00541D05">
        <w:t xml:space="preserve"> </w:t>
      </w:r>
      <w:r w:rsidR="00D9258C" w:rsidRPr="00FD6A6A">
        <w:t>is</w:t>
      </w:r>
      <w:r w:rsidR="00541D05">
        <w:t xml:space="preserve"> </w:t>
      </w:r>
      <w:r w:rsidR="00D9258C" w:rsidRPr="00FD6A6A">
        <w:t>through</w:t>
      </w:r>
      <w:r w:rsidR="00541D05">
        <w:t xml:space="preserve"> </w:t>
      </w:r>
      <w:r w:rsidR="00D9258C" w:rsidRPr="00FD6A6A">
        <w:t>increasing</w:t>
      </w:r>
      <w:r w:rsidR="00541D05">
        <w:t xml:space="preserve"> </w:t>
      </w:r>
      <w:r w:rsidR="00D9258C" w:rsidRPr="00FD6A6A">
        <w:t>the</w:t>
      </w:r>
      <w:r w:rsidR="00541D05">
        <w:t xml:space="preserve"> </w:t>
      </w:r>
      <w:r w:rsidR="00D9258C" w:rsidRPr="00FD6A6A">
        <w:t>visibility</w:t>
      </w:r>
      <w:r w:rsidR="00541D05">
        <w:t xml:space="preserve"> </w:t>
      </w:r>
      <w:r w:rsidR="00D9258C" w:rsidRPr="00FD6A6A">
        <w:t>of</w:t>
      </w:r>
      <w:r w:rsidR="00541D05">
        <w:t xml:space="preserve"> </w:t>
      </w:r>
      <w:r w:rsidR="00D9258C" w:rsidRPr="00FD6A6A">
        <w:t>the</w:t>
      </w:r>
      <w:r w:rsidR="00541D05">
        <w:t xml:space="preserve"> </w:t>
      </w:r>
      <w:r w:rsidR="00D9258C" w:rsidRPr="00FD6A6A">
        <w:t>legal</w:t>
      </w:r>
      <w:r w:rsidR="00541D05">
        <w:t xml:space="preserve"> </w:t>
      </w:r>
      <w:r w:rsidR="00D9258C" w:rsidRPr="00FD6A6A">
        <w:t>responses</w:t>
      </w:r>
      <w:r w:rsidR="00541D05">
        <w:t xml:space="preserve"> </w:t>
      </w:r>
      <w:r w:rsidR="00D9258C" w:rsidRPr="00FD6A6A">
        <w:t>to</w:t>
      </w:r>
      <w:r w:rsidR="00541D05">
        <w:t xml:space="preserve"> </w:t>
      </w:r>
      <w:r w:rsidR="00D9258C" w:rsidRPr="00FD6A6A">
        <w:t>complaints</w:t>
      </w:r>
      <w:r w:rsidR="00541D05">
        <w:t xml:space="preserve"> </w:t>
      </w:r>
      <w:r w:rsidR="00D9258C" w:rsidRPr="00FD6A6A">
        <w:t>of</w:t>
      </w:r>
      <w:r w:rsidR="00541D05">
        <w:t xml:space="preserve"> </w:t>
      </w:r>
      <w:r w:rsidR="00D9258C" w:rsidRPr="00FD6A6A">
        <w:t>racism,</w:t>
      </w:r>
      <w:r w:rsidR="00541D05">
        <w:t xml:space="preserve"> </w:t>
      </w:r>
      <w:r w:rsidR="00D9258C" w:rsidRPr="00FD6A6A">
        <w:t>in</w:t>
      </w:r>
      <w:r w:rsidR="00541D05">
        <w:t xml:space="preserve"> </w:t>
      </w:r>
      <w:r w:rsidR="00D9258C" w:rsidRPr="00FD6A6A">
        <w:t>order</w:t>
      </w:r>
      <w:r w:rsidR="00541D05">
        <w:t xml:space="preserve"> </w:t>
      </w:r>
      <w:r w:rsidR="00D9258C" w:rsidRPr="00FD6A6A">
        <w:t>to</w:t>
      </w:r>
      <w:r w:rsidR="00541D05">
        <w:t xml:space="preserve"> </w:t>
      </w:r>
      <w:r w:rsidR="00D9258C" w:rsidRPr="00FD6A6A">
        <w:t>lay</w:t>
      </w:r>
      <w:r w:rsidR="00541D05">
        <w:t xml:space="preserve"> </w:t>
      </w:r>
      <w:r w:rsidR="00D9258C" w:rsidRPr="00FD6A6A">
        <w:t>the</w:t>
      </w:r>
      <w:r w:rsidR="00541D05">
        <w:t xml:space="preserve"> </w:t>
      </w:r>
      <w:r w:rsidR="00D9258C" w:rsidRPr="00FD6A6A">
        <w:t>foundations</w:t>
      </w:r>
      <w:r w:rsidR="00541D05">
        <w:t xml:space="preserve"> </w:t>
      </w:r>
      <w:r w:rsidR="00D9258C" w:rsidRPr="00FD6A6A">
        <w:t>for</w:t>
      </w:r>
      <w:r w:rsidR="00541D05">
        <w:t xml:space="preserve"> </w:t>
      </w:r>
      <w:r w:rsidR="00D9258C" w:rsidRPr="00FD6A6A">
        <w:t>actions</w:t>
      </w:r>
      <w:r w:rsidR="00541D05">
        <w:t xml:space="preserve"> </w:t>
      </w:r>
      <w:r w:rsidR="00D9258C" w:rsidRPr="00FD6A6A">
        <w:t>in</w:t>
      </w:r>
      <w:r w:rsidR="00541D05">
        <w:t xml:space="preserve"> </w:t>
      </w:r>
      <w:r w:rsidR="00D9258C" w:rsidRPr="00FD6A6A">
        <w:t>the</w:t>
      </w:r>
      <w:r w:rsidR="00541D05">
        <w:t xml:space="preserve"> </w:t>
      </w:r>
      <w:r w:rsidR="00D9258C" w:rsidRPr="00FD6A6A">
        <w:t>justice</w:t>
      </w:r>
      <w:r w:rsidR="00541D05">
        <w:t xml:space="preserve"> </w:t>
      </w:r>
      <w:r w:rsidR="00D9258C" w:rsidRPr="00FD6A6A">
        <w:t>system.</w:t>
      </w:r>
    </w:p>
    <w:p w14:paraId="38EBE9A0" w14:textId="088792E8" w:rsidR="00D9258C" w:rsidRPr="00FD6A6A" w:rsidRDefault="00166390" w:rsidP="00166390">
      <w:pPr>
        <w:pStyle w:val="ParaNoG"/>
        <w:numPr>
          <w:ilvl w:val="0"/>
          <w:numId w:val="0"/>
        </w:numPr>
        <w:tabs>
          <w:tab w:val="left" w:pos="0"/>
        </w:tabs>
        <w:ind w:left="1134"/>
      </w:pPr>
      <w:r w:rsidRPr="00FD6A6A">
        <w:t>203.</w:t>
      </w:r>
      <w:r w:rsidRPr="00FD6A6A">
        <w:tab/>
      </w:r>
      <w:r w:rsidR="00D9258C" w:rsidRPr="00FD6A6A">
        <w:t>Although</w:t>
      </w:r>
      <w:r w:rsidR="00541D05">
        <w:t xml:space="preserve"> </w:t>
      </w:r>
      <w:r w:rsidR="00D9258C" w:rsidRPr="00FD6A6A">
        <w:t>a</w:t>
      </w:r>
      <w:r w:rsidR="00541D05">
        <w:t xml:space="preserve"> </w:t>
      </w:r>
      <w:r w:rsidR="00D9258C" w:rsidRPr="00FD6A6A">
        <w:t>higher</w:t>
      </w:r>
      <w:r w:rsidR="00541D05">
        <w:t xml:space="preserve"> </w:t>
      </w:r>
      <w:r w:rsidR="00D9258C" w:rsidRPr="00FD6A6A">
        <w:t>number</w:t>
      </w:r>
      <w:r w:rsidR="00541D05">
        <w:t xml:space="preserve"> </w:t>
      </w:r>
      <w:r w:rsidR="00D9258C" w:rsidRPr="00FD6A6A">
        <w:t>of</w:t>
      </w:r>
      <w:r w:rsidR="00541D05">
        <w:t xml:space="preserve"> </w:t>
      </w:r>
      <w:r w:rsidR="00D9258C" w:rsidRPr="00FD6A6A">
        <w:t>police</w:t>
      </w:r>
      <w:r w:rsidR="00541D05">
        <w:t xml:space="preserve"> </w:t>
      </w:r>
      <w:r w:rsidR="00D9258C" w:rsidRPr="00FD6A6A">
        <w:t>investigations</w:t>
      </w:r>
      <w:r w:rsidR="00541D05">
        <w:t xml:space="preserve"> </w:t>
      </w:r>
      <w:r w:rsidR="00D9258C" w:rsidRPr="00FD6A6A">
        <w:t>and</w:t>
      </w:r>
      <w:r w:rsidR="00541D05">
        <w:t xml:space="preserve"> </w:t>
      </w:r>
      <w:r w:rsidR="00D9258C" w:rsidRPr="00FD6A6A">
        <w:t>trials</w:t>
      </w:r>
      <w:r w:rsidR="00541D05">
        <w:t xml:space="preserve"> </w:t>
      </w:r>
      <w:r w:rsidR="00D9258C" w:rsidRPr="00FD6A6A">
        <w:t>concerning</w:t>
      </w:r>
      <w:r w:rsidR="00541D05">
        <w:t xml:space="preserve"> </w:t>
      </w:r>
      <w:r w:rsidR="00D9258C" w:rsidRPr="00FD6A6A">
        <w:t>cases</w:t>
      </w:r>
      <w:r w:rsidR="00541D05">
        <w:t xml:space="preserve"> </w:t>
      </w:r>
      <w:r w:rsidR="00D9258C" w:rsidRPr="00FD6A6A">
        <w:t>of</w:t>
      </w:r>
      <w:r w:rsidR="00541D05">
        <w:t xml:space="preserve"> </w:t>
      </w:r>
      <w:r w:rsidR="00D9258C" w:rsidRPr="00FD6A6A">
        <w:t>racism</w:t>
      </w:r>
      <w:r w:rsidR="00541D05">
        <w:t xml:space="preserve"> </w:t>
      </w:r>
      <w:r w:rsidR="00D9258C" w:rsidRPr="00FD6A6A">
        <w:t>and</w:t>
      </w:r>
      <w:r w:rsidR="00541D05">
        <w:t xml:space="preserve"> </w:t>
      </w:r>
      <w:r w:rsidR="00D9258C" w:rsidRPr="00FD6A6A">
        <w:t>racial</w:t>
      </w:r>
      <w:r w:rsidR="00541D05">
        <w:t xml:space="preserve"> </w:t>
      </w:r>
      <w:r w:rsidR="00D9258C" w:rsidRPr="00FD6A6A">
        <w:t>slur</w:t>
      </w:r>
      <w:r w:rsidR="00541D05">
        <w:t xml:space="preserve"> </w:t>
      </w:r>
      <w:r w:rsidR="00D9258C" w:rsidRPr="00FD6A6A">
        <w:t>has</w:t>
      </w:r>
      <w:r w:rsidR="00541D05">
        <w:t xml:space="preserve"> </w:t>
      </w:r>
      <w:r w:rsidR="00D9258C" w:rsidRPr="00FD6A6A">
        <w:t>been</w:t>
      </w:r>
      <w:r w:rsidR="00541D05">
        <w:t xml:space="preserve"> </w:t>
      </w:r>
      <w:r w:rsidR="00D9258C" w:rsidRPr="00FD6A6A">
        <w:t>recorded</w:t>
      </w:r>
      <w:r w:rsidR="00541D05">
        <w:t xml:space="preserve"> </w:t>
      </w:r>
      <w:r w:rsidR="00D9258C" w:rsidRPr="00FD6A6A">
        <w:t>recently,</w:t>
      </w:r>
      <w:r w:rsidR="00541D05">
        <w:t xml:space="preserve"> </w:t>
      </w:r>
      <w:r w:rsidR="00D9258C" w:rsidRPr="00FD6A6A">
        <w:t>the</w:t>
      </w:r>
      <w:r w:rsidR="00541D05">
        <w:t xml:space="preserve"> </w:t>
      </w:r>
      <w:r w:rsidR="00D9258C" w:rsidRPr="00FD6A6A">
        <w:t>burden</w:t>
      </w:r>
      <w:r w:rsidR="00541D05">
        <w:t xml:space="preserve"> </w:t>
      </w:r>
      <w:r w:rsidR="00D9258C" w:rsidRPr="00FD6A6A">
        <w:t>of</w:t>
      </w:r>
      <w:r w:rsidR="00541D05">
        <w:t xml:space="preserve"> </w:t>
      </w:r>
      <w:r w:rsidR="00D9258C" w:rsidRPr="00FD6A6A">
        <w:t>proof</w:t>
      </w:r>
      <w:r w:rsidR="00541D05">
        <w:t xml:space="preserve"> </w:t>
      </w:r>
      <w:r w:rsidR="00D9258C" w:rsidRPr="00FD6A6A">
        <w:t>for</w:t>
      </w:r>
      <w:r w:rsidR="00541D05">
        <w:t xml:space="preserve"> </w:t>
      </w:r>
      <w:r w:rsidR="00D9258C" w:rsidRPr="00FD6A6A">
        <w:t>the</w:t>
      </w:r>
      <w:r w:rsidR="00541D05">
        <w:t xml:space="preserve"> </w:t>
      </w:r>
      <w:r w:rsidR="00D9258C" w:rsidRPr="00FD6A6A">
        <w:t>prosecutor</w:t>
      </w:r>
      <w:r w:rsidR="00541D05">
        <w:t xml:space="preserve"> </w:t>
      </w:r>
      <w:r w:rsidR="00D9258C" w:rsidRPr="00FD6A6A">
        <w:t>is</w:t>
      </w:r>
      <w:r w:rsidR="00541D05">
        <w:t xml:space="preserve"> </w:t>
      </w:r>
      <w:r w:rsidR="00D9258C" w:rsidRPr="00FD6A6A">
        <w:t>a</w:t>
      </w:r>
      <w:r w:rsidR="00541D05">
        <w:t xml:space="preserve"> </w:t>
      </w:r>
      <w:r w:rsidR="00D9258C" w:rsidRPr="00FD6A6A">
        <w:t>determinant</w:t>
      </w:r>
      <w:r w:rsidR="00541D05">
        <w:t xml:space="preserve"> </w:t>
      </w:r>
      <w:r w:rsidR="00D9258C" w:rsidRPr="00FD6A6A">
        <w:t>for</w:t>
      </w:r>
      <w:r w:rsidR="00541D05">
        <w:t xml:space="preserve"> </w:t>
      </w:r>
      <w:r w:rsidR="00D9258C" w:rsidRPr="00FD6A6A">
        <w:t>the</w:t>
      </w:r>
      <w:r w:rsidR="00541D05">
        <w:t xml:space="preserve"> </w:t>
      </w:r>
      <w:r w:rsidR="00D9258C" w:rsidRPr="00FD6A6A">
        <w:t>great</w:t>
      </w:r>
      <w:r w:rsidR="00541D05">
        <w:t xml:space="preserve"> </w:t>
      </w:r>
      <w:r w:rsidR="00D9258C" w:rsidRPr="00FD6A6A">
        <w:t>number</w:t>
      </w:r>
      <w:r w:rsidR="00541D05">
        <w:t xml:space="preserve"> </w:t>
      </w:r>
      <w:r w:rsidR="00D9258C" w:rsidRPr="00FD6A6A">
        <w:t>of</w:t>
      </w:r>
      <w:r w:rsidR="00541D05">
        <w:t xml:space="preserve"> </w:t>
      </w:r>
      <w:r w:rsidR="00D9258C" w:rsidRPr="00FD6A6A">
        <w:t>dismissals</w:t>
      </w:r>
      <w:r w:rsidR="00541D05">
        <w:t xml:space="preserve"> </w:t>
      </w:r>
      <w:r w:rsidR="00D9258C" w:rsidRPr="00FD6A6A">
        <w:t>and</w:t>
      </w:r>
      <w:r w:rsidR="00541D05">
        <w:t xml:space="preserve"> </w:t>
      </w:r>
      <w:r w:rsidR="00D9258C" w:rsidRPr="00FD6A6A">
        <w:t>annulments</w:t>
      </w:r>
      <w:r w:rsidR="00541D05">
        <w:t xml:space="preserve"> </w:t>
      </w:r>
      <w:r w:rsidR="00D9258C" w:rsidRPr="00FD6A6A">
        <w:t>of</w:t>
      </w:r>
      <w:r w:rsidR="00541D05">
        <w:t xml:space="preserve"> </w:t>
      </w:r>
      <w:r w:rsidR="00D9258C" w:rsidRPr="00FD6A6A">
        <w:t>civil</w:t>
      </w:r>
      <w:r w:rsidR="00541D05">
        <w:t xml:space="preserve"> </w:t>
      </w:r>
      <w:r w:rsidR="00D9258C" w:rsidRPr="00FD6A6A">
        <w:t>and</w:t>
      </w:r>
      <w:r w:rsidR="00541D05">
        <w:t xml:space="preserve"> </w:t>
      </w:r>
      <w:r w:rsidR="00D9258C" w:rsidRPr="00FD6A6A">
        <w:t>criminal</w:t>
      </w:r>
      <w:r w:rsidR="00541D05">
        <w:t xml:space="preserve"> </w:t>
      </w:r>
      <w:r w:rsidR="00D9258C" w:rsidRPr="00FD6A6A">
        <w:t>proceedings</w:t>
      </w:r>
      <w:r w:rsidR="00541D05">
        <w:t xml:space="preserve"> </w:t>
      </w:r>
      <w:r w:rsidR="00D9258C" w:rsidRPr="00FD6A6A">
        <w:t>by</w:t>
      </w:r>
      <w:r w:rsidR="00541D05">
        <w:t xml:space="preserve"> </w:t>
      </w:r>
      <w:r w:rsidR="00D9258C" w:rsidRPr="00FD6A6A">
        <w:t>Courts.</w:t>
      </w:r>
      <w:r w:rsidR="00541D05">
        <w:t xml:space="preserve"> </w:t>
      </w:r>
      <w:r w:rsidR="00D9258C" w:rsidRPr="00FD6A6A">
        <w:t>It</w:t>
      </w:r>
      <w:r w:rsidR="00541D05">
        <w:t xml:space="preserve"> </w:t>
      </w:r>
      <w:r w:rsidR="00D9258C" w:rsidRPr="00FD6A6A">
        <w:t>should</w:t>
      </w:r>
      <w:r w:rsidR="00541D05">
        <w:t xml:space="preserve"> </w:t>
      </w:r>
      <w:r w:rsidR="00D9258C" w:rsidRPr="00FD6A6A">
        <w:t>be</w:t>
      </w:r>
      <w:r w:rsidR="00541D05">
        <w:t xml:space="preserve"> </w:t>
      </w:r>
      <w:r w:rsidR="00D9258C" w:rsidRPr="00FD6A6A">
        <w:t>noted</w:t>
      </w:r>
      <w:r w:rsidR="00541D05">
        <w:t xml:space="preserve"> </w:t>
      </w:r>
      <w:r w:rsidR="00D9258C" w:rsidRPr="00FD6A6A">
        <w:t>that</w:t>
      </w:r>
      <w:r w:rsidR="00541D05">
        <w:t xml:space="preserve"> </w:t>
      </w:r>
      <w:r w:rsidR="00D9258C" w:rsidRPr="00FD6A6A">
        <w:t>racist</w:t>
      </w:r>
      <w:r w:rsidR="00541D05">
        <w:t xml:space="preserve"> </w:t>
      </w:r>
      <w:r w:rsidR="00D9258C" w:rsidRPr="00FD6A6A">
        <w:t>practices</w:t>
      </w:r>
      <w:r w:rsidR="00541D05">
        <w:t xml:space="preserve"> </w:t>
      </w:r>
      <w:r w:rsidR="00D9258C" w:rsidRPr="00FD6A6A">
        <w:t>are</w:t>
      </w:r>
      <w:r w:rsidR="00541D05">
        <w:t xml:space="preserve"> </w:t>
      </w:r>
      <w:r w:rsidR="00D9258C" w:rsidRPr="00FD6A6A">
        <w:t>difficult</w:t>
      </w:r>
      <w:r w:rsidR="00541D05">
        <w:t xml:space="preserve"> </w:t>
      </w:r>
      <w:r w:rsidR="00D9258C" w:rsidRPr="00FD6A6A">
        <w:t>to</w:t>
      </w:r>
      <w:r w:rsidR="00541D05">
        <w:t xml:space="preserve"> </w:t>
      </w:r>
      <w:r w:rsidR="00D9258C" w:rsidRPr="00FD6A6A">
        <w:t>prove,</w:t>
      </w:r>
      <w:r w:rsidR="00541D05">
        <w:t xml:space="preserve"> </w:t>
      </w:r>
      <w:r w:rsidR="00D9258C" w:rsidRPr="00FD6A6A">
        <w:t>because</w:t>
      </w:r>
      <w:r w:rsidR="00541D05">
        <w:t xml:space="preserve"> </w:t>
      </w:r>
      <w:r w:rsidR="00D9258C" w:rsidRPr="00FD6A6A">
        <w:t>they</w:t>
      </w:r>
      <w:r w:rsidR="00541D05">
        <w:t xml:space="preserve"> </w:t>
      </w:r>
      <w:r w:rsidR="00D9258C" w:rsidRPr="00FD6A6A">
        <w:t>can</w:t>
      </w:r>
      <w:r w:rsidR="00541D05">
        <w:t xml:space="preserve"> </w:t>
      </w:r>
      <w:r w:rsidR="00D9258C" w:rsidRPr="00FD6A6A">
        <w:t>take</w:t>
      </w:r>
      <w:r w:rsidR="00541D05">
        <w:t xml:space="preserve"> </w:t>
      </w:r>
      <w:r w:rsidR="00D9258C" w:rsidRPr="00FD6A6A">
        <w:t>place</w:t>
      </w:r>
      <w:r w:rsidR="00541D05">
        <w:t xml:space="preserve"> </w:t>
      </w:r>
      <w:r w:rsidR="00D9258C" w:rsidRPr="00FD6A6A">
        <w:t>in</w:t>
      </w:r>
      <w:r w:rsidR="00541D05">
        <w:t xml:space="preserve"> </w:t>
      </w:r>
      <w:r w:rsidR="00D9258C" w:rsidRPr="00FD6A6A">
        <w:t>the</w:t>
      </w:r>
      <w:r w:rsidR="00541D05">
        <w:t xml:space="preserve"> </w:t>
      </w:r>
      <w:r w:rsidR="00D9258C" w:rsidRPr="00FD6A6A">
        <w:t>presence</w:t>
      </w:r>
      <w:r w:rsidR="00541D05">
        <w:t xml:space="preserve"> </w:t>
      </w:r>
      <w:r w:rsidR="00D9258C" w:rsidRPr="00FD6A6A">
        <w:t>of</w:t>
      </w:r>
      <w:r w:rsidR="00541D05">
        <w:t xml:space="preserve"> </w:t>
      </w:r>
      <w:r w:rsidR="00D9258C" w:rsidRPr="00FD6A6A">
        <w:t>offender</w:t>
      </w:r>
      <w:r w:rsidR="00541D05">
        <w:t xml:space="preserve"> </w:t>
      </w:r>
      <w:r w:rsidR="00D9258C" w:rsidRPr="00FD6A6A">
        <w:t>and</w:t>
      </w:r>
      <w:r w:rsidR="00541D05">
        <w:t xml:space="preserve"> </w:t>
      </w:r>
      <w:r w:rsidR="00D9258C" w:rsidRPr="00FD6A6A">
        <w:t>victim</w:t>
      </w:r>
      <w:r w:rsidR="00541D05">
        <w:t xml:space="preserve"> </w:t>
      </w:r>
      <w:r w:rsidR="00D9258C" w:rsidRPr="00FD6A6A">
        <w:t>only,</w:t>
      </w:r>
      <w:r w:rsidR="00541D05">
        <w:t xml:space="preserve"> </w:t>
      </w:r>
      <w:r w:rsidR="00D9258C" w:rsidRPr="00FD6A6A">
        <w:t>with</w:t>
      </w:r>
      <w:r w:rsidR="00541D05">
        <w:t xml:space="preserve"> </w:t>
      </w:r>
      <w:r w:rsidR="00D9258C" w:rsidRPr="00FD6A6A">
        <w:t>no</w:t>
      </w:r>
      <w:r w:rsidR="00541D05">
        <w:t xml:space="preserve"> </w:t>
      </w:r>
      <w:r w:rsidR="00D9258C" w:rsidRPr="00FD6A6A">
        <w:t>witnesses.</w:t>
      </w:r>
    </w:p>
    <w:p w14:paraId="4D6E6183" w14:textId="22E36432" w:rsidR="00D9258C" w:rsidRPr="00FD6A6A" w:rsidRDefault="00166390" w:rsidP="00166390">
      <w:pPr>
        <w:pStyle w:val="ParaNoG"/>
        <w:numPr>
          <w:ilvl w:val="0"/>
          <w:numId w:val="0"/>
        </w:numPr>
        <w:tabs>
          <w:tab w:val="left" w:pos="0"/>
        </w:tabs>
        <w:ind w:left="1134"/>
      </w:pPr>
      <w:r w:rsidRPr="00FD6A6A">
        <w:t>204.</w:t>
      </w:r>
      <w:r w:rsidRPr="00FD6A6A">
        <w:tab/>
      </w:r>
      <w:r w:rsidR="00D9258C" w:rsidRPr="00FD6A6A">
        <w:t>Despite</w:t>
      </w:r>
      <w:r w:rsidR="00541D05">
        <w:t xml:space="preserve"> </w:t>
      </w:r>
      <w:r w:rsidR="00D9258C" w:rsidRPr="00FD6A6A">
        <w:t>the</w:t>
      </w:r>
      <w:r w:rsidR="00541D05">
        <w:t xml:space="preserve"> </w:t>
      </w:r>
      <w:r w:rsidR="00D9258C" w:rsidRPr="00FD6A6A">
        <w:t>fact</w:t>
      </w:r>
      <w:r w:rsidR="00541D05">
        <w:t xml:space="preserve"> </w:t>
      </w:r>
      <w:r w:rsidR="00D9258C" w:rsidRPr="00FD6A6A">
        <w:t>that</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in</w:t>
      </w:r>
      <w:r w:rsidR="00541D05">
        <w:t xml:space="preserve"> </w:t>
      </w:r>
      <w:r w:rsidR="00D9258C" w:rsidRPr="00FD6A6A">
        <w:t>its</w:t>
      </w:r>
      <w:r w:rsidR="00541D05">
        <w:t xml:space="preserve"> </w:t>
      </w:r>
      <w:r w:rsidR="00D9258C" w:rsidRPr="00FD6A6A">
        <w:t>article</w:t>
      </w:r>
      <w:r w:rsidR="00541D05">
        <w:t xml:space="preserve"> </w:t>
      </w:r>
      <w:r w:rsidR="00D9258C" w:rsidRPr="00FD6A6A">
        <w:t>53,</w:t>
      </w:r>
      <w:r w:rsidR="00541D05">
        <w:t xml:space="preserve"> </w:t>
      </w:r>
      <w:r w:rsidR="00D9258C" w:rsidRPr="00FD6A6A">
        <w:t>has</w:t>
      </w:r>
      <w:r w:rsidR="00541D05">
        <w:t xml:space="preserve"> </w:t>
      </w:r>
      <w:r w:rsidR="00D9258C" w:rsidRPr="00FD6A6A">
        <w:t>determined</w:t>
      </w:r>
      <w:r w:rsidR="00541D05">
        <w:t xml:space="preserve"> </w:t>
      </w:r>
      <w:r w:rsidR="00D9258C" w:rsidRPr="00FD6A6A">
        <w:t>that</w:t>
      </w:r>
      <w:r w:rsidR="00541D05">
        <w:t xml:space="preserve"> </w:t>
      </w:r>
      <w:r w:rsidR="00D9258C" w:rsidRPr="00FD6A6A">
        <w:t>the</w:t>
      </w:r>
      <w:r w:rsidR="00541D05">
        <w:t xml:space="preserve"> </w:t>
      </w:r>
      <w:r w:rsidR="00D9258C" w:rsidRPr="00FD6A6A">
        <w:t>Government</w:t>
      </w:r>
      <w:r w:rsidR="00541D05">
        <w:t xml:space="preserve"> </w:t>
      </w:r>
      <w:r w:rsidR="00D9258C" w:rsidRPr="00FD6A6A">
        <w:t>shall</w:t>
      </w:r>
      <w:r w:rsidR="00541D05">
        <w:t xml:space="preserve"> </w:t>
      </w:r>
      <w:r w:rsidR="00D9258C" w:rsidRPr="00FD6A6A">
        <w:t>adopt</w:t>
      </w:r>
      <w:r w:rsidR="00541D05">
        <w:t xml:space="preserve"> </w:t>
      </w:r>
      <w:r w:rsidR="00D9258C" w:rsidRPr="00FD6A6A">
        <w:t>policies</w:t>
      </w:r>
      <w:r w:rsidR="00541D05">
        <w:t xml:space="preserve"> </w:t>
      </w:r>
      <w:r w:rsidR="00D9258C" w:rsidRPr="00FD6A6A">
        <w:t>to</w:t>
      </w:r>
      <w:r w:rsidR="00541D05">
        <w:t xml:space="preserve"> </w:t>
      </w:r>
      <w:r w:rsidR="00D9258C" w:rsidRPr="00FD6A6A">
        <w:t>prevent</w:t>
      </w:r>
      <w:r w:rsidR="00541D05">
        <w:t xml:space="preserve"> </w:t>
      </w:r>
      <w:r w:rsidR="00D9258C" w:rsidRPr="00FD6A6A">
        <w:t>police</w:t>
      </w:r>
      <w:r w:rsidR="00541D05">
        <w:t xml:space="preserve"> </w:t>
      </w:r>
      <w:r w:rsidR="00D9258C" w:rsidRPr="00FD6A6A">
        <w:t>violence</w:t>
      </w:r>
      <w:r w:rsidR="00541D05">
        <w:t xml:space="preserve"> </w:t>
      </w:r>
      <w:r w:rsidR="00D9258C" w:rsidRPr="00FD6A6A">
        <w:t>towards</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this</w:t>
      </w:r>
      <w:r w:rsidR="00541D05">
        <w:t xml:space="preserve"> </w:t>
      </w:r>
      <w:r w:rsidR="00D9258C" w:rsidRPr="00FD6A6A">
        <w:t>remains</w:t>
      </w:r>
      <w:r w:rsidR="00541D05">
        <w:t xml:space="preserve"> </w:t>
      </w:r>
      <w:r w:rsidR="00D9258C" w:rsidRPr="00FD6A6A">
        <w:t>a</w:t>
      </w:r>
      <w:r w:rsidR="00541D05">
        <w:t xml:space="preserve"> </w:t>
      </w:r>
      <w:r w:rsidR="00D9258C" w:rsidRPr="00FD6A6A">
        <w:t>challenge.</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there</w:t>
      </w:r>
      <w:r w:rsidR="00541D05">
        <w:t xml:space="preserve"> </w:t>
      </w:r>
      <w:r w:rsidR="00D9258C" w:rsidRPr="00FD6A6A">
        <w:t>have</w:t>
      </w:r>
      <w:r w:rsidR="00541D05">
        <w:t xml:space="preserve"> </w:t>
      </w:r>
      <w:r w:rsidR="00D9258C" w:rsidRPr="00FD6A6A">
        <w:t>been</w:t>
      </w:r>
      <w:r w:rsidR="00541D05">
        <w:t xml:space="preserve"> </w:t>
      </w:r>
      <w:r w:rsidR="00D9258C" w:rsidRPr="00FD6A6A">
        <w:lastRenderedPageBreak/>
        <w:t>investments</w:t>
      </w:r>
      <w:r w:rsidR="00541D05">
        <w:t xml:space="preserve"> </w:t>
      </w:r>
      <w:r w:rsidR="00D9258C" w:rsidRPr="00FD6A6A">
        <w:t>in</w:t>
      </w:r>
      <w:r w:rsidR="00541D05">
        <w:t xml:space="preserve"> </w:t>
      </w:r>
      <w:r w:rsidR="00D9258C" w:rsidRPr="00FD6A6A">
        <w:t>human</w:t>
      </w:r>
      <w:r w:rsidR="00541D05">
        <w:t xml:space="preserve"> </w:t>
      </w:r>
      <w:r w:rsidR="00D9258C" w:rsidRPr="00FD6A6A">
        <w:t>rights</w:t>
      </w:r>
      <w:r w:rsidR="00541D05">
        <w:t xml:space="preserve"> </w:t>
      </w:r>
      <w:r w:rsidR="00D9258C" w:rsidRPr="00FD6A6A">
        <w:t>education</w:t>
      </w:r>
      <w:r w:rsidR="00541D05">
        <w:t xml:space="preserve"> </w:t>
      </w:r>
      <w:r w:rsidR="00D9258C" w:rsidRPr="00FD6A6A">
        <w:t>for</w:t>
      </w:r>
      <w:r w:rsidR="00541D05">
        <w:t xml:space="preserve"> </w:t>
      </w:r>
      <w:r w:rsidR="00D9258C" w:rsidRPr="00FD6A6A">
        <w:t>the</w:t>
      </w:r>
      <w:r w:rsidR="00541D05">
        <w:t xml:space="preserve"> </w:t>
      </w:r>
      <w:r w:rsidR="00D9258C" w:rsidRPr="00FD6A6A">
        <w:t>police</w:t>
      </w:r>
      <w:r w:rsidR="00541D05">
        <w:t xml:space="preserve"> </w:t>
      </w:r>
      <w:r w:rsidR="00D9258C" w:rsidRPr="00FD6A6A">
        <w:t>forces</w:t>
      </w:r>
      <w:r w:rsidR="00541D05">
        <w:t xml:space="preserve"> </w:t>
      </w:r>
      <w:r w:rsidR="00D9258C" w:rsidRPr="00FD6A6A">
        <w:t>and</w:t>
      </w:r>
      <w:r w:rsidR="00541D05">
        <w:t xml:space="preserve"> </w:t>
      </w:r>
      <w:r w:rsidR="00D9258C" w:rsidRPr="00FD6A6A">
        <w:t>civil</w:t>
      </w:r>
      <w:r w:rsidR="00541D05">
        <w:t xml:space="preserve"> </w:t>
      </w:r>
      <w:r w:rsidR="00D9258C" w:rsidRPr="00FD6A6A">
        <w:t>servants</w:t>
      </w:r>
      <w:r w:rsidR="00541D05">
        <w:t xml:space="preserve"> </w:t>
      </w:r>
      <w:r w:rsidR="00D9258C" w:rsidRPr="00FD6A6A">
        <w:t>of</w:t>
      </w:r>
      <w:r w:rsidR="00541D05">
        <w:t xml:space="preserve"> </w:t>
      </w:r>
      <w:r w:rsidR="00D9258C" w:rsidRPr="00FD6A6A">
        <w:t>the</w:t>
      </w:r>
      <w:r w:rsidR="00541D05">
        <w:t xml:space="preserve"> </w:t>
      </w:r>
      <w:r w:rsidR="00D9258C" w:rsidRPr="00FD6A6A">
        <w:t>justice</w:t>
      </w:r>
      <w:r w:rsidR="00541D05">
        <w:t xml:space="preserve"> </w:t>
      </w:r>
      <w:r w:rsidR="00D9258C" w:rsidRPr="00FD6A6A">
        <w:t>system.</w:t>
      </w:r>
      <w:r w:rsidR="00541D05">
        <w:t xml:space="preserve"> </w:t>
      </w:r>
    </w:p>
    <w:p w14:paraId="1E9FB5E2" w14:textId="45B7451E" w:rsidR="00D9258C" w:rsidRPr="00FD6A6A" w:rsidRDefault="00166390" w:rsidP="00166390">
      <w:pPr>
        <w:pStyle w:val="ParaNoG"/>
        <w:numPr>
          <w:ilvl w:val="0"/>
          <w:numId w:val="0"/>
        </w:numPr>
        <w:tabs>
          <w:tab w:val="left" w:pos="0"/>
        </w:tabs>
        <w:ind w:left="1134"/>
      </w:pPr>
      <w:r w:rsidRPr="00FD6A6A">
        <w:t>205.</w:t>
      </w:r>
      <w:r w:rsidRPr="00FD6A6A">
        <w:tab/>
      </w:r>
      <w:r w:rsidR="00D9258C" w:rsidRPr="00FD6A6A">
        <w:t>Empirical</w:t>
      </w:r>
      <w:r w:rsidR="00541D05">
        <w:t xml:space="preserve"> </w:t>
      </w:r>
      <w:r w:rsidR="00D9258C" w:rsidRPr="00FD6A6A">
        <w:t>researches</w:t>
      </w:r>
      <w:r w:rsidR="00541D05">
        <w:t xml:space="preserve"> </w:t>
      </w:r>
      <w:r w:rsidR="00D9258C" w:rsidRPr="00FD6A6A">
        <w:t>regarding</w:t>
      </w:r>
      <w:r w:rsidR="00541D05">
        <w:t xml:space="preserve"> </w:t>
      </w:r>
      <w:r w:rsidR="00D9258C" w:rsidRPr="00FD6A6A">
        <w:t>police</w:t>
      </w:r>
      <w:r w:rsidR="00541D05">
        <w:t xml:space="preserve"> </w:t>
      </w:r>
      <w:r w:rsidR="00D9258C" w:rsidRPr="00FD6A6A">
        <w:t>work</w:t>
      </w:r>
      <w:r w:rsidR="00541D05">
        <w:t xml:space="preserve"> </w:t>
      </w:r>
      <w:r w:rsidR="00D9258C" w:rsidRPr="00FD6A6A">
        <w:t>show</w:t>
      </w:r>
      <w:r w:rsidR="00541D05">
        <w:t xml:space="preserve"> </w:t>
      </w:r>
      <w:r w:rsidR="00D9258C" w:rsidRPr="00FD6A6A">
        <w:t>that,</w:t>
      </w:r>
      <w:r w:rsidR="00541D05">
        <w:t xml:space="preserve"> </w:t>
      </w:r>
      <w:r w:rsidR="00D9258C" w:rsidRPr="00FD6A6A">
        <w:t>in</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establishing</w:t>
      </w:r>
      <w:r w:rsidR="00541D05">
        <w:t xml:space="preserve"> </w:t>
      </w:r>
      <w:r w:rsidR="00D9258C" w:rsidRPr="00FD6A6A">
        <w:t>the</w:t>
      </w:r>
      <w:r w:rsidR="00541D05">
        <w:t xml:space="preserve"> </w:t>
      </w:r>
      <w:r w:rsidR="00D9258C" w:rsidRPr="00FD6A6A">
        <w:t>profile</w:t>
      </w:r>
      <w:r w:rsidR="00541D05">
        <w:t xml:space="preserve"> </w:t>
      </w:r>
      <w:r w:rsidR="00D9258C" w:rsidRPr="00FD6A6A">
        <w:t>of</w:t>
      </w:r>
      <w:r w:rsidR="00541D05">
        <w:t xml:space="preserve"> </w:t>
      </w:r>
      <w:r w:rsidR="00D9258C" w:rsidRPr="00FD6A6A">
        <w:t>the</w:t>
      </w:r>
      <w:r w:rsidR="00541D05">
        <w:t xml:space="preserve"> </w:t>
      </w:r>
      <w:r w:rsidR="00D9258C" w:rsidRPr="00FD6A6A">
        <w:t>suspect,</w:t>
      </w:r>
      <w:r w:rsidR="00541D05">
        <w:t xml:space="preserve"> </w:t>
      </w:r>
      <w:r w:rsidR="00D9258C" w:rsidRPr="00FD6A6A">
        <w:t>police</w:t>
      </w:r>
      <w:r w:rsidR="00541D05">
        <w:t xml:space="preserve"> </w:t>
      </w:r>
      <w:r w:rsidR="00D9258C" w:rsidRPr="00FD6A6A">
        <w:t>officers</w:t>
      </w:r>
      <w:r w:rsidR="00541D05">
        <w:t xml:space="preserve"> </w:t>
      </w:r>
      <w:r w:rsidR="00D9258C" w:rsidRPr="00FD6A6A">
        <w:t>tend</w:t>
      </w:r>
      <w:r w:rsidR="00541D05">
        <w:t xml:space="preserve"> </w:t>
      </w:r>
      <w:r w:rsidR="00D9258C" w:rsidRPr="00FD6A6A">
        <w:t>to</w:t>
      </w:r>
      <w:r w:rsidR="00541D05">
        <w:t xml:space="preserve"> </w:t>
      </w:r>
      <w:r w:rsidR="00D9258C" w:rsidRPr="00FD6A6A">
        <w:t>use,</w:t>
      </w:r>
      <w:r w:rsidR="00541D05">
        <w:t xml:space="preserve"> </w:t>
      </w:r>
      <w:r w:rsidR="00D9258C" w:rsidRPr="00FD6A6A">
        <w:t>as</w:t>
      </w:r>
      <w:r w:rsidR="00541D05">
        <w:t xml:space="preserve"> </w:t>
      </w:r>
      <w:r w:rsidR="00D9258C" w:rsidRPr="00FD6A6A">
        <w:t>selective</w:t>
      </w:r>
      <w:r w:rsidR="00541D05">
        <w:t xml:space="preserve"> </w:t>
      </w:r>
      <w:r w:rsidR="00D9258C" w:rsidRPr="00FD6A6A">
        <w:t>criteria,</w:t>
      </w:r>
      <w:r w:rsidR="00541D05">
        <w:t xml:space="preserve"> </w:t>
      </w:r>
      <w:r w:rsidR="00D9258C" w:rsidRPr="00FD6A6A">
        <w:t>characteristics</w:t>
      </w:r>
      <w:r w:rsidR="00541D05">
        <w:t xml:space="preserve"> </w:t>
      </w:r>
      <w:r w:rsidR="00D9258C" w:rsidRPr="00FD6A6A">
        <w:t>associated</w:t>
      </w:r>
      <w:r w:rsidR="00541D05">
        <w:t xml:space="preserve"> </w:t>
      </w:r>
      <w:r w:rsidR="00D9258C" w:rsidRPr="00FD6A6A">
        <w:t>with</w:t>
      </w:r>
      <w:r w:rsidR="00541D05">
        <w:t xml:space="preserve"> </w:t>
      </w:r>
      <w:r w:rsidR="00D9258C" w:rsidRPr="00FD6A6A">
        <w:t>clothing,</w:t>
      </w:r>
      <w:r w:rsidR="00541D05">
        <w:t xml:space="preserve"> </w:t>
      </w:r>
      <w:r w:rsidR="00D9258C" w:rsidRPr="00FD6A6A">
        <w:t>place</w:t>
      </w:r>
      <w:r w:rsidR="00541D05">
        <w:t xml:space="preserve"> </w:t>
      </w:r>
      <w:r w:rsidR="00D9258C" w:rsidRPr="00FD6A6A">
        <w:t>of</w:t>
      </w:r>
      <w:r w:rsidR="00541D05">
        <w:t xml:space="preserve"> </w:t>
      </w:r>
      <w:r w:rsidR="00D9258C" w:rsidRPr="00FD6A6A">
        <w:t>residence,</w:t>
      </w:r>
      <w:r w:rsidR="00541D05">
        <w:t xml:space="preserve"> </w:t>
      </w:r>
      <w:r w:rsidR="00D9258C" w:rsidRPr="00FD6A6A">
        <w:t>social</w:t>
      </w:r>
      <w:r w:rsidR="00541D05">
        <w:t xml:space="preserve"> </w:t>
      </w:r>
      <w:r w:rsidR="00D9258C" w:rsidRPr="00FD6A6A">
        <w:t>behavior,</w:t>
      </w:r>
      <w:r w:rsidR="00541D05">
        <w:t xml:space="preserve"> </w:t>
      </w:r>
      <w:r w:rsidR="00D9258C" w:rsidRPr="00FD6A6A">
        <w:t>place</w:t>
      </w:r>
      <w:r w:rsidR="00541D05">
        <w:t xml:space="preserve"> </w:t>
      </w:r>
      <w:r w:rsidR="00D9258C" w:rsidRPr="00FD6A6A">
        <w:t>of</w:t>
      </w:r>
      <w:r w:rsidR="00541D05">
        <w:t xml:space="preserve"> </w:t>
      </w:r>
      <w:r w:rsidR="00D9258C" w:rsidRPr="00FD6A6A">
        <w:t>the</w:t>
      </w:r>
      <w:r w:rsidR="00541D05">
        <w:t xml:space="preserve"> </w:t>
      </w:r>
      <w:r w:rsidR="00D9258C" w:rsidRPr="00FD6A6A">
        <w:t>police</w:t>
      </w:r>
      <w:r w:rsidR="00541D05">
        <w:t xml:space="preserve"> </w:t>
      </w:r>
      <w:r w:rsidR="00D9258C" w:rsidRPr="00FD6A6A">
        <w:t>approach,</w:t>
      </w:r>
      <w:r w:rsidR="00541D05">
        <w:t xml:space="preserve"> </w:t>
      </w:r>
      <w:r w:rsidR="00D9258C" w:rsidRPr="00FD6A6A">
        <w:t>age</w:t>
      </w:r>
      <w:r w:rsidR="00541D05">
        <w:t xml:space="preserve"> </w:t>
      </w:r>
      <w:r w:rsidR="00D9258C" w:rsidRPr="00FD6A6A">
        <w:t>group,</w:t>
      </w:r>
      <w:r w:rsidR="00541D05">
        <w:t xml:space="preserve"> </w:t>
      </w:r>
      <w:r w:rsidR="00D9258C" w:rsidRPr="00FD6A6A">
        <w:t>among</w:t>
      </w:r>
      <w:r w:rsidR="00541D05">
        <w:t xml:space="preserve"> </w:t>
      </w:r>
      <w:r w:rsidR="00D9258C" w:rsidRPr="00FD6A6A">
        <w:t>other</w:t>
      </w:r>
      <w:r w:rsidR="00541D05">
        <w:t xml:space="preserve"> </w:t>
      </w:r>
      <w:r w:rsidR="00D9258C" w:rsidRPr="00FD6A6A">
        <w:t>attributes</w:t>
      </w:r>
      <w:r w:rsidR="00541D05">
        <w:t xml:space="preserve"> </w:t>
      </w:r>
      <w:r w:rsidR="00D9258C" w:rsidRPr="00FD6A6A">
        <w:t>associated</w:t>
      </w:r>
      <w:r w:rsidR="00541D05">
        <w:t xml:space="preserve"> </w:t>
      </w:r>
      <w:r w:rsidR="00D9258C" w:rsidRPr="00FD6A6A">
        <w:t>with</w:t>
      </w:r>
      <w:r w:rsidR="00541D05">
        <w:t xml:space="preserve"> </w:t>
      </w:r>
      <w:r w:rsidR="00D9258C" w:rsidRPr="00FD6A6A">
        <w:t>urban</w:t>
      </w:r>
      <w:r w:rsidR="00541D05">
        <w:t xml:space="preserve"> </w:t>
      </w:r>
      <w:r w:rsidR="00D9258C" w:rsidRPr="00FD6A6A">
        <w:t>and</w:t>
      </w:r>
      <w:r w:rsidR="00541D05">
        <w:t xml:space="preserve"> </w:t>
      </w:r>
      <w:r w:rsidR="00D9258C" w:rsidRPr="00FD6A6A">
        <w:t>peripheral</w:t>
      </w:r>
      <w:r w:rsidR="00541D05">
        <w:t xml:space="preserve"> </w:t>
      </w:r>
      <w:r w:rsidR="00D9258C" w:rsidRPr="00FD6A6A">
        <w:t>Afro-Brazilian</w:t>
      </w:r>
      <w:r w:rsidR="00541D05">
        <w:t xml:space="preserve"> </w:t>
      </w:r>
      <w:r w:rsidR="00D9258C" w:rsidRPr="00FD6A6A">
        <w:t>culture.</w:t>
      </w:r>
    </w:p>
    <w:p w14:paraId="70116A07" w14:textId="10D7E6A0" w:rsidR="00D9258C" w:rsidRPr="00FD6A6A" w:rsidRDefault="00166390" w:rsidP="00166390">
      <w:pPr>
        <w:pStyle w:val="ParaNoG"/>
        <w:numPr>
          <w:ilvl w:val="0"/>
          <w:numId w:val="0"/>
        </w:numPr>
        <w:tabs>
          <w:tab w:val="left" w:pos="0"/>
        </w:tabs>
        <w:ind w:left="1134"/>
      </w:pPr>
      <w:r w:rsidRPr="00FD6A6A">
        <w:t>206.</w:t>
      </w:r>
      <w:r w:rsidRPr="00FD6A6A">
        <w:tab/>
      </w:r>
      <w:r w:rsidR="00D9258C" w:rsidRPr="00FD6A6A">
        <w:t>Cases</w:t>
      </w:r>
      <w:r w:rsidR="00541D05">
        <w:t xml:space="preserve"> </w:t>
      </w:r>
      <w:r w:rsidR="00D9258C" w:rsidRPr="00FD6A6A">
        <w:t>of</w:t>
      </w:r>
      <w:r w:rsidR="00541D05">
        <w:t xml:space="preserve"> </w:t>
      </w:r>
      <w:r w:rsidR="00D9258C" w:rsidRPr="00FD6A6A">
        <w:t>police</w:t>
      </w:r>
      <w:r w:rsidR="00541D05">
        <w:t xml:space="preserve"> </w:t>
      </w:r>
      <w:r w:rsidR="00D9258C" w:rsidRPr="00FD6A6A">
        <w:t>violence</w:t>
      </w:r>
      <w:r w:rsidR="00541D05">
        <w:t xml:space="preserve"> </w:t>
      </w:r>
      <w:r w:rsidR="00D9258C" w:rsidRPr="00FD6A6A">
        <w:t>have</w:t>
      </w:r>
      <w:r w:rsidR="00541D05">
        <w:t xml:space="preserve"> </w:t>
      </w:r>
      <w:r w:rsidR="00D9258C" w:rsidRPr="00FD6A6A">
        <w:t>been</w:t>
      </w:r>
      <w:r w:rsidR="00541D05">
        <w:t xml:space="preserve"> </w:t>
      </w:r>
      <w:r w:rsidR="00D9258C" w:rsidRPr="00FD6A6A">
        <w:t>frequent</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According</w:t>
      </w:r>
      <w:r w:rsidR="00541D05">
        <w:t xml:space="preserve"> </w:t>
      </w:r>
      <w:r w:rsidR="00D9258C" w:rsidRPr="00FD6A6A">
        <w:t>to</w:t>
      </w:r>
      <w:r w:rsidR="00541D05">
        <w:t xml:space="preserve"> </w:t>
      </w:r>
      <w:r w:rsidR="00D9258C" w:rsidRPr="00FD6A6A">
        <w:t>data</w:t>
      </w:r>
      <w:r w:rsidR="00541D05">
        <w:t xml:space="preserve"> </w:t>
      </w:r>
      <w:r w:rsidR="00D9258C" w:rsidRPr="00FD6A6A">
        <w:t>from</w:t>
      </w:r>
      <w:r w:rsidR="00541D05">
        <w:t xml:space="preserve"> </w:t>
      </w:r>
      <w:r w:rsidR="00D9258C" w:rsidRPr="00FD6A6A">
        <w:t>the</w:t>
      </w:r>
      <w:r w:rsidR="00541D05">
        <w:t xml:space="preserve"> </w:t>
      </w:r>
      <w:r w:rsidR="00D9258C" w:rsidRPr="00FD6A6A">
        <w:t>2018</w:t>
      </w:r>
      <w:r w:rsidR="00541D05">
        <w:t xml:space="preserve"> </w:t>
      </w:r>
      <w:r w:rsidR="00D9258C" w:rsidRPr="00FD6A6A">
        <w:t>Public</w:t>
      </w:r>
      <w:r w:rsidR="00541D05">
        <w:t xml:space="preserve"> </w:t>
      </w:r>
      <w:r w:rsidR="00D9258C" w:rsidRPr="00FD6A6A">
        <w:t>Security</w:t>
      </w:r>
      <w:r w:rsidR="00541D05">
        <w:t xml:space="preserve"> </w:t>
      </w:r>
      <w:r w:rsidR="00D9258C" w:rsidRPr="00FD6A6A">
        <w:t>Yearbook,</w:t>
      </w:r>
      <w:r w:rsidR="00541D05">
        <w:t xml:space="preserve"> </w:t>
      </w:r>
      <w:r w:rsidR="00D9258C" w:rsidRPr="00FD6A6A">
        <w:t>5,144</w:t>
      </w:r>
      <w:r w:rsidR="00541D05">
        <w:t xml:space="preserve"> </w:t>
      </w:r>
      <w:r w:rsidR="00D9258C" w:rsidRPr="00FD6A6A">
        <w:t>individuals</w:t>
      </w:r>
      <w:r w:rsidR="00541D05">
        <w:t xml:space="preserve"> </w:t>
      </w:r>
      <w:r w:rsidR="00D9258C" w:rsidRPr="00FD6A6A">
        <w:t>were</w:t>
      </w:r>
      <w:r w:rsidR="00541D05">
        <w:t xml:space="preserve"> </w:t>
      </w:r>
      <w:r w:rsidR="00D9258C" w:rsidRPr="00FD6A6A">
        <w:t>killed</w:t>
      </w:r>
      <w:r w:rsidR="00541D05">
        <w:t xml:space="preserve"> </w:t>
      </w:r>
      <w:r w:rsidR="00D9258C" w:rsidRPr="00FD6A6A">
        <w:t>as</w:t>
      </w:r>
      <w:r w:rsidR="00541D05">
        <w:t xml:space="preserve"> </w:t>
      </w:r>
      <w:r w:rsidR="00D9258C" w:rsidRPr="00FD6A6A">
        <w:t>a</w:t>
      </w:r>
      <w:r w:rsidR="00541D05">
        <w:t xml:space="preserve"> </w:t>
      </w:r>
      <w:r w:rsidR="00D9258C" w:rsidRPr="00FD6A6A">
        <w:t>result</w:t>
      </w:r>
      <w:r w:rsidR="00541D05">
        <w:t xml:space="preserve"> </w:t>
      </w:r>
      <w:r w:rsidR="00D9258C" w:rsidRPr="00FD6A6A">
        <w:t>of</w:t>
      </w:r>
      <w:r w:rsidR="00541D05">
        <w:t xml:space="preserve"> </w:t>
      </w:r>
      <w:r w:rsidR="00D9258C" w:rsidRPr="00FD6A6A">
        <w:t>police</w:t>
      </w:r>
      <w:r w:rsidR="00541D05">
        <w:t xml:space="preserve"> </w:t>
      </w:r>
      <w:r w:rsidR="00D9258C" w:rsidRPr="00FD6A6A">
        <w:t>action</w:t>
      </w:r>
      <w:r w:rsidR="00541D05">
        <w:t xml:space="preserve"> </w:t>
      </w:r>
      <w:r w:rsidR="00D9258C" w:rsidRPr="00FD6A6A">
        <w:t>in</w:t>
      </w:r>
      <w:r w:rsidR="00541D05">
        <w:t xml:space="preserve"> </w:t>
      </w:r>
      <w:r w:rsidR="00D9258C" w:rsidRPr="00FD6A6A">
        <w:t>2017,</w:t>
      </w:r>
      <w:r w:rsidR="00541D05">
        <w:t xml:space="preserve"> </w:t>
      </w:r>
      <w:r w:rsidR="00D9258C" w:rsidRPr="00FD6A6A">
        <w:t>a</w:t>
      </w:r>
      <w:r w:rsidR="00541D05">
        <w:t xml:space="preserve"> </w:t>
      </w:r>
      <w:r w:rsidR="00D9258C" w:rsidRPr="00FD6A6A">
        <w:t>number</w:t>
      </w:r>
      <w:r w:rsidR="00541D05">
        <w:t xml:space="preserve"> </w:t>
      </w:r>
      <w:r w:rsidR="00D9258C" w:rsidRPr="00FD6A6A">
        <w:t>20%</w:t>
      </w:r>
      <w:r w:rsidR="00541D05">
        <w:t xml:space="preserve"> </w:t>
      </w:r>
      <w:r w:rsidR="00D9258C" w:rsidRPr="00FD6A6A">
        <w:t>higher</w:t>
      </w:r>
      <w:r w:rsidR="00541D05">
        <w:t xml:space="preserve"> </w:t>
      </w:r>
      <w:r w:rsidR="00D9258C" w:rsidRPr="00FD6A6A">
        <w:t>when</w:t>
      </w:r>
      <w:r w:rsidR="00541D05">
        <w:t xml:space="preserve"> </w:t>
      </w:r>
      <w:r w:rsidR="00D9258C" w:rsidRPr="00FD6A6A">
        <w:t>compared</w:t>
      </w:r>
      <w:r w:rsidR="00541D05">
        <w:t xml:space="preserve"> </w:t>
      </w:r>
      <w:r w:rsidR="00D9258C" w:rsidRPr="00FD6A6A">
        <w:t>to</w:t>
      </w:r>
      <w:r w:rsidR="00541D05">
        <w:t xml:space="preserve"> </w:t>
      </w:r>
      <w:r w:rsidR="00D9258C" w:rsidRPr="00FD6A6A">
        <w:t>2016.</w:t>
      </w:r>
      <w:r w:rsidR="00541D05">
        <w:t xml:space="preserve"> </w:t>
      </w:r>
    </w:p>
    <w:p w14:paraId="671D80F5" w14:textId="6CFB15AA" w:rsidR="00D9258C" w:rsidRPr="00FD6A6A" w:rsidRDefault="00D9258C" w:rsidP="009F0C7E">
      <w:pPr>
        <w:pStyle w:val="HMG"/>
      </w:pPr>
      <w:r w:rsidRPr="00FD6A6A">
        <w:tab/>
        <w:t>VIII.</w:t>
      </w:r>
      <w:r w:rsidRPr="00FD6A6A">
        <w:tab/>
        <w:t>Article</w:t>
      </w:r>
      <w:r w:rsidR="00541D05">
        <w:t xml:space="preserve"> </w:t>
      </w:r>
      <w:r w:rsidRPr="00FD6A6A">
        <w:t>7</w:t>
      </w:r>
    </w:p>
    <w:p w14:paraId="71E91EED" w14:textId="77777777" w:rsidR="00D9258C" w:rsidRPr="00FD6A6A" w:rsidRDefault="00D9258C" w:rsidP="009F0C7E">
      <w:pPr>
        <w:pStyle w:val="H1G"/>
      </w:pPr>
      <w:r w:rsidRPr="00FD6A6A">
        <w:tab/>
      </w:r>
      <w:r w:rsidRPr="00FD6A6A">
        <w:tab/>
        <w:t>Education</w:t>
      </w:r>
    </w:p>
    <w:p w14:paraId="175467D5" w14:textId="03CDFFB8" w:rsidR="00D9258C" w:rsidRPr="00FD6A6A" w:rsidRDefault="00166390" w:rsidP="00166390">
      <w:pPr>
        <w:pStyle w:val="ParaNoG"/>
        <w:numPr>
          <w:ilvl w:val="0"/>
          <w:numId w:val="0"/>
        </w:numPr>
        <w:tabs>
          <w:tab w:val="left" w:pos="0"/>
        </w:tabs>
        <w:ind w:left="1134"/>
      </w:pPr>
      <w:r w:rsidRPr="00FD6A6A">
        <w:t>207.</w:t>
      </w:r>
      <w:r w:rsidRPr="00FD6A6A">
        <w:tab/>
      </w:r>
      <w:r w:rsidR="00D9258C" w:rsidRPr="00FD6A6A">
        <w:t>Between</w:t>
      </w:r>
      <w:r w:rsidR="00541D05">
        <w:t xml:space="preserve"> </w:t>
      </w:r>
      <w:r w:rsidR="00D9258C" w:rsidRPr="00FD6A6A">
        <w:t>2003</w:t>
      </w:r>
      <w:r w:rsidR="00541D05">
        <w:t xml:space="preserve"> </w:t>
      </w:r>
      <w:r w:rsidR="00D9258C" w:rsidRPr="00FD6A6A">
        <w:t>and</w:t>
      </w:r>
      <w:r w:rsidR="00541D05">
        <w:t xml:space="preserve"> </w:t>
      </w:r>
      <w:r w:rsidR="00D9258C" w:rsidRPr="00FD6A6A">
        <w:t>2004,</w:t>
      </w:r>
      <w:r w:rsidR="00541D05">
        <w:t xml:space="preserve"> </w:t>
      </w:r>
      <w:r w:rsidR="00D9258C" w:rsidRPr="00FD6A6A">
        <w:t>changes</w:t>
      </w:r>
      <w:r w:rsidR="00541D05">
        <w:t xml:space="preserve"> </w:t>
      </w:r>
      <w:r w:rsidR="00D9258C" w:rsidRPr="00FD6A6A">
        <w:t>in</w:t>
      </w:r>
      <w:r w:rsidR="00541D05">
        <w:t xml:space="preserve"> </w:t>
      </w:r>
      <w:r w:rsidR="00D9258C" w:rsidRPr="00FD6A6A">
        <w:t>the</w:t>
      </w:r>
      <w:r w:rsidR="00541D05">
        <w:t xml:space="preserve"> </w:t>
      </w:r>
      <w:r w:rsidR="00D9258C" w:rsidRPr="00FD6A6A">
        <w:t>primary</w:t>
      </w:r>
      <w:r w:rsidR="00541D05">
        <w:t xml:space="preserve"> </w:t>
      </w:r>
      <w:r w:rsidR="00D9258C" w:rsidRPr="00FD6A6A">
        <w:t>education</w:t>
      </w:r>
      <w:r w:rsidR="00541D05">
        <w:t xml:space="preserve"> </w:t>
      </w:r>
      <w:r w:rsidR="00D9258C" w:rsidRPr="00FD6A6A">
        <w:t>curriculum</w:t>
      </w:r>
      <w:r w:rsidR="00541D05">
        <w:t xml:space="preserve"> </w:t>
      </w:r>
      <w:r w:rsidR="00D9258C" w:rsidRPr="00FD6A6A">
        <w:t>were</w:t>
      </w:r>
      <w:r w:rsidR="00541D05">
        <w:t xml:space="preserve"> </w:t>
      </w:r>
      <w:r w:rsidR="00D9258C" w:rsidRPr="00FD6A6A">
        <w:t>made</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10,639/2003,</w:t>
      </w:r>
      <w:r w:rsidR="00541D05">
        <w:t xml:space="preserve"> </w:t>
      </w:r>
      <w:r w:rsidR="00D9258C" w:rsidRPr="00FD6A6A">
        <w:t>which</w:t>
      </w:r>
      <w:r w:rsidR="00541D05">
        <w:t xml:space="preserve"> </w:t>
      </w:r>
      <w:r w:rsidR="00D9258C" w:rsidRPr="00FD6A6A">
        <w:t>provided</w:t>
      </w:r>
      <w:r w:rsidR="00541D05">
        <w:t xml:space="preserve"> </w:t>
      </w:r>
      <w:r w:rsidR="00D9258C" w:rsidRPr="00FD6A6A">
        <w:t>for</w:t>
      </w:r>
      <w:r w:rsidR="00541D05">
        <w:t xml:space="preserve"> </w:t>
      </w:r>
      <w:r w:rsidR="00D9258C" w:rsidRPr="00FD6A6A">
        <w:t>the</w:t>
      </w:r>
      <w:r w:rsidR="00541D05">
        <w:t xml:space="preserve"> </w:t>
      </w:r>
      <w:r w:rsidR="00D9258C" w:rsidRPr="00FD6A6A">
        <w:t>nationwide</w:t>
      </w:r>
      <w:r w:rsidR="00541D05">
        <w:t xml:space="preserve"> </w:t>
      </w:r>
      <w:r w:rsidR="00D9258C" w:rsidRPr="00FD6A6A">
        <w:t>obligation</w:t>
      </w:r>
      <w:r w:rsidR="00541D05">
        <w:t xml:space="preserve"> </w:t>
      </w:r>
      <w:r w:rsidR="00D9258C" w:rsidRPr="00FD6A6A">
        <w:t>of</w:t>
      </w:r>
      <w:r w:rsidR="00541D05">
        <w:t xml:space="preserve"> </w:t>
      </w:r>
      <w:r w:rsidR="00D9258C" w:rsidRPr="00FD6A6A">
        <w:t>teaching</w:t>
      </w:r>
      <w:r w:rsidR="00541D05">
        <w:t xml:space="preserve"> </w:t>
      </w:r>
      <w:r w:rsidR="00D9258C" w:rsidRPr="00FD6A6A">
        <w:t>African</w:t>
      </w:r>
      <w:r w:rsidR="00541D05">
        <w:t xml:space="preserve"> </w:t>
      </w:r>
      <w:r w:rsidR="00D9258C" w:rsidRPr="00FD6A6A">
        <w:t>and</w:t>
      </w:r>
      <w:r w:rsidR="00541D05">
        <w:t xml:space="preserve"> </w:t>
      </w:r>
      <w:r w:rsidR="00D9258C" w:rsidRPr="00FD6A6A">
        <w:t>Afro-Brazilian</w:t>
      </w:r>
      <w:r w:rsidR="00541D05">
        <w:t xml:space="preserve"> </w:t>
      </w:r>
      <w:r w:rsidR="00D9258C" w:rsidRPr="00FD6A6A">
        <w:t>history</w:t>
      </w:r>
      <w:r w:rsidR="00541D05">
        <w:t xml:space="preserve"> </w:t>
      </w:r>
      <w:r w:rsidR="00D9258C" w:rsidRPr="00FD6A6A">
        <w:t>and</w:t>
      </w:r>
      <w:r w:rsidR="00541D05">
        <w:t xml:space="preserve"> </w:t>
      </w:r>
      <w:r w:rsidR="00D9258C" w:rsidRPr="00FD6A6A">
        <w:t>culture</w:t>
      </w:r>
      <w:r w:rsidR="00541D05">
        <w:t xml:space="preserve"> </w:t>
      </w:r>
      <w:r w:rsidR="00D9258C" w:rsidRPr="00FD6A6A">
        <w:t>in</w:t>
      </w:r>
      <w:r w:rsidR="00541D05">
        <w:t xml:space="preserve"> </w:t>
      </w:r>
      <w:r w:rsidR="00D9258C" w:rsidRPr="00FD6A6A">
        <w:t>the</w:t>
      </w:r>
      <w:r w:rsidR="00541D05">
        <w:t xml:space="preserve"> </w:t>
      </w:r>
      <w:r w:rsidR="00D9258C" w:rsidRPr="00FD6A6A">
        <w:t>school</w:t>
      </w:r>
      <w:r w:rsidR="00541D05">
        <w:t xml:space="preserve"> </w:t>
      </w:r>
      <w:r w:rsidR="00D9258C" w:rsidRPr="00FD6A6A">
        <w:t>curriculum,</w:t>
      </w:r>
      <w:r w:rsidR="00541D05">
        <w:t xml:space="preserve"> </w:t>
      </w:r>
      <w:r w:rsidR="00D9258C" w:rsidRPr="00FD6A6A">
        <w:t>both</w:t>
      </w:r>
      <w:r w:rsidR="00541D05">
        <w:t xml:space="preserve"> </w:t>
      </w:r>
      <w:r w:rsidR="00D9258C" w:rsidRPr="00FD6A6A">
        <w:t>in</w:t>
      </w:r>
      <w:r w:rsidR="00541D05">
        <w:t xml:space="preserve"> </w:t>
      </w:r>
      <w:r w:rsidR="00D9258C" w:rsidRPr="00FD6A6A">
        <w:t>private</w:t>
      </w:r>
      <w:r w:rsidR="00541D05">
        <w:t xml:space="preserve"> </w:t>
      </w:r>
      <w:r w:rsidR="00D9258C" w:rsidRPr="00FD6A6A">
        <w:t>and</w:t>
      </w:r>
      <w:r w:rsidR="00541D05">
        <w:t xml:space="preserve"> </w:t>
      </w:r>
      <w:r w:rsidR="00D9258C" w:rsidRPr="00FD6A6A">
        <w:t>public</w:t>
      </w:r>
      <w:r w:rsidR="00541D05">
        <w:t xml:space="preserve"> </w:t>
      </w:r>
      <w:r w:rsidR="00D9258C" w:rsidRPr="00FD6A6A">
        <w:t>schools,</w:t>
      </w:r>
      <w:r w:rsidR="00541D05">
        <w:t xml:space="preserve"> </w:t>
      </w:r>
      <w:r w:rsidR="00D9258C" w:rsidRPr="00FD6A6A">
        <w:t>in</w:t>
      </w:r>
      <w:r w:rsidR="00541D05">
        <w:t xml:space="preserve"> </w:t>
      </w:r>
      <w:r w:rsidR="00D9258C" w:rsidRPr="00FD6A6A">
        <w:t>Middle</w:t>
      </w:r>
      <w:r w:rsidR="00541D05">
        <w:t xml:space="preserve"> </w:t>
      </w:r>
      <w:r w:rsidR="00D9258C" w:rsidRPr="00FD6A6A">
        <w:t>School</w:t>
      </w:r>
      <w:r w:rsidR="00541D05">
        <w:t xml:space="preserve"> </w:t>
      </w:r>
      <w:r w:rsidR="00D9258C" w:rsidRPr="00FD6A6A">
        <w:t>and</w:t>
      </w:r>
      <w:r w:rsidR="00541D05">
        <w:t xml:space="preserve"> </w:t>
      </w:r>
      <w:r w:rsidR="00D9258C" w:rsidRPr="00FD6A6A">
        <w:t>High</w:t>
      </w:r>
      <w:r w:rsidR="00541D05">
        <w:t xml:space="preserve"> </w:t>
      </w:r>
      <w:r w:rsidR="00D9258C" w:rsidRPr="00FD6A6A">
        <w:t>School.</w:t>
      </w:r>
      <w:r w:rsidR="00541D05">
        <w:t xml:space="preserve"> </w:t>
      </w:r>
      <w:r w:rsidR="00D9258C" w:rsidRPr="00FD6A6A">
        <w:t>Afterwards,</w:t>
      </w:r>
      <w:r w:rsidR="00541D05">
        <w:t xml:space="preserve"> </w:t>
      </w:r>
      <w:r w:rsidR="00D9258C" w:rsidRPr="00FD6A6A">
        <w:t>in</w:t>
      </w:r>
      <w:r w:rsidR="00541D05">
        <w:t xml:space="preserve"> </w:t>
      </w:r>
      <w:r w:rsidR="00D9258C" w:rsidRPr="00FD6A6A">
        <w:t>2008,</w:t>
      </w:r>
      <w:r w:rsidR="00541D05">
        <w:t xml:space="preserve"> </w:t>
      </w:r>
      <w:r w:rsidR="00D9258C" w:rsidRPr="00FD6A6A">
        <w:t>this</w:t>
      </w:r>
      <w:r w:rsidR="00541D05">
        <w:t xml:space="preserve"> </w:t>
      </w:r>
      <w:r w:rsidR="00D9258C" w:rsidRPr="00FD6A6A">
        <w:t>measure</w:t>
      </w:r>
      <w:r w:rsidR="00541D05">
        <w:t xml:space="preserve"> </w:t>
      </w:r>
      <w:r w:rsidR="00D9258C" w:rsidRPr="00FD6A6A">
        <w:t>was</w:t>
      </w:r>
      <w:r w:rsidR="00541D05">
        <w:t xml:space="preserve"> </w:t>
      </w:r>
      <w:r w:rsidR="00D9258C" w:rsidRPr="00FD6A6A">
        <w:t>complemented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11,645,</w:t>
      </w:r>
      <w:r w:rsidR="00541D05">
        <w:t xml:space="preserve"> </w:t>
      </w:r>
      <w:r w:rsidR="00D9258C" w:rsidRPr="00FD6A6A">
        <w:t>which</w:t>
      </w:r>
      <w:r w:rsidR="00541D05">
        <w:t xml:space="preserve"> </w:t>
      </w:r>
      <w:r w:rsidR="00D9258C" w:rsidRPr="00FD6A6A">
        <w:t>added</w:t>
      </w:r>
      <w:r w:rsidR="00541D05">
        <w:t xml:space="preserve"> </w:t>
      </w:r>
      <w:r w:rsidR="00D9258C" w:rsidRPr="00FD6A6A">
        <w:t>Indigenous</w:t>
      </w:r>
      <w:r w:rsidR="00541D05">
        <w:t xml:space="preserve"> </w:t>
      </w:r>
      <w:r w:rsidR="00D9258C" w:rsidRPr="00FD6A6A">
        <w:t>history</w:t>
      </w:r>
      <w:r w:rsidR="00541D05">
        <w:t xml:space="preserve"> </w:t>
      </w:r>
      <w:r w:rsidR="00D9258C" w:rsidRPr="00FD6A6A">
        <w:t>and</w:t>
      </w:r>
      <w:r w:rsidR="00541D05">
        <w:t xml:space="preserve"> </w:t>
      </w:r>
      <w:r w:rsidR="00D9258C" w:rsidRPr="00FD6A6A">
        <w:t>culture</w:t>
      </w:r>
      <w:r w:rsidR="00541D05">
        <w:t xml:space="preserve"> </w:t>
      </w:r>
      <w:r w:rsidR="00D9258C" w:rsidRPr="00FD6A6A">
        <w:t>to</w:t>
      </w:r>
      <w:r w:rsidR="00541D05">
        <w:t xml:space="preserve"> </w:t>
      </w:r>
      <w:r w:rsidR="00D9258C" w:rsidRPr="00FD6A6A">
        <w:t>the</w:t>
      </w:r>
      <w:r w:rsidR="00541D05">
        <w:t xml:space="preserve"> </w:t>
      </w:r>
      <w:r w:rsidR="00D9258C" w:rsidRPr="00FD6A6A">
        <w:t>school</w:t>
      </w:r>
      <w:r w:rsidR="00541D05">
        <w:t xml:space="preserve"> </w:t>
      </w:r>
      <w:r w:rsidR="00D9258C" w:rsidRPr="00FD6A6A">
        <w:t>curriculum,</w:t>
      </w:r>
      <w:r w:rsidR="00541D05">
        <w:t xml:space="preserve"> </w:t>
      </w:r>
      <w:r w:rsidR="00D9258C" w:rsidRPr="00FD6A6A">
        <w:t>to</w:t>
      </w:r>
      <w:r w:rsidR="00541D05">
        <w:t xml:space="preserve"> </w:t>
      </w:r>
      <w:r w:rsidR="00D9258C" w:rsidRPr="00FD6A6A">
        <w:t>be</w:t>
      </w:r>
      <w:r w:rsidR="00541D05">
        <w:t xml:space="preserve"> </w:t>
      </w:r>
      <w:r w:rsidR="00D9258C" w:rsidRPr="00FD6A6A">
        <w:t>specifically</w:t>
      </w:r>
      <w:r w:rsidR="00541D05">
        <w:t xml:space="preserve"> </w:t>
      </w:r>
      <w:r w:rsidR="00D9258C" w:rsidRPr="00FD6A6A">
        <w:t>taught</w:t>
      </w:r>
      <w:r w:rsidR="00541D05">
        <w:t xml:space="preserve"> </w:t>
      </w:r>
      <w:r w:rsidR="00D9258C" w:rsidRPr="00FD6A6A">
        <w:t>in</w:t>
      </w:r>
      <w:r w:rsidR="00541D05">
        <w:t xml:space="preserve"> </w:t>
      </w:r>
      <w:r w:rsidR="00D9258C" w:rsidRPr="00FD6A6A">
        <w:t>History,</w:t>
      </w:r>
      <w:r w:rsidR="00541D05">
        <w:t xml:space="preserve"> </w:t>
      </w:r>
      <w:r w:rsidR="00D9258C" w:rsidRPr="00FD6A6A">
        <w:t>Literature,</w:t>
      </w:r>
      <w:r w:rsidR="00541D05">
        <w:t xml:space="preserve"> </w:t>
      </w:r>
      <w:r w:rsidR="00D9258C" w:rsidRPr="00FD6A6A">
        <w:t>and</w:t>
      </w:r>
      <w:r w:rsidR="00541D05">
        <w:t xml:space="preserve"> </w:t>
      </w:r>
      <w:r w:rsidR="00D9258C" w:rsidRPr="00FD6A6A">
        <w:t>Arts.</w:t>
      </w:r>
      <w:r w:rsidR="00541D05">
        <w:t xml:space="preserve"> </w:t>
      </w:r>
      <w:r w:rsidR="00D9258C" w:rsidRPr="00FD6A6A">
        <w:t>Schools,</w:t>
      </w:r>
      <w:r w:rsidR="00541D05">
        <w:t xml:space="preserve"> </w:t>
      </w:r>
      <w:r w:rsidR="00D9258C" w:rsidRPr="00FD6A6A">
        <w:t>universities,</w:t>
      </w:r>
      <w:r w:rsidR="00541D05">
        <w:t xml:space="preserve"> </w:t>
      </w:r>
      <w:r w:rsidR="00D9258C" w:rsidRPr="00FD6A6A">
        <w:t>and</w:t>
      </w:r>
      <w:r w:rsidR="00541D05">
        <w:t xml:space="preserve"> </w:t>
      </w:r>
      <w:r w:rsidR="00D9258C" w:rsidRPr="00FD6A6A">
        <w:t>publishers</w:t>
      </w:r>
      <w:r w:rsidR="00541D05">
        <w:t xml:space="preserve"> </w:t>
      </w:r>
      <w:r w:rsidR="00D9258C" w:rsidRPr="00FD6A6A">
        <w:t>had</w:t>
      </w:r>
      <w:r w:rsidR="00541D05">
        <w:t xml:space="preserve"> </w:t>
      </w:r>
      <w:r w:rsidR="00D9258C" w:rsidRPr="00FD6A6A">
        <w:t>a</w:t>
      </w:r>
      <w:r w:rsidR="00541D05">
        <w:t xml:space="preserve"> </w:t>
      </w:r>
      <w:r w:rsidR="00D9258C" w:rsidRPr="00FD6A6A">
        <w:t>two-year</w:t>
      </w:r>
      <w:r w:rsidR="00541D05">
        <w:t xml:space="preserve"> </w:t>
      </w:r>
      <w:r w:rsidR="00D9258C" w:rsidRPr="00FD6A6A">
        <w:t>period</w:t>
      </w:r>
      <w:r w:rsidR="00541D05">
        <w:t xml:space="preserve"> </w:t>
      </w:r>
      <w:r w:rsidR="00D9258C" w:rsidRPr="00FD6A6A">
        <w:t>to</w:t>
      </w:r>
      <w:r w:rsidR="00541D05">
        <w:t xml:space="preserve"> </w:t>
      </w:r>
      <w:r w:rsidR="00D9258C" w:rsidRPr="00FD6A6A">
        <w:t>adapt</w:t>
      </w:r>
      <w:r w:rsidR="00541D05">
        <w:t xml:space="preserve"> </w:t>
      </w:r>
      <w:r w:rsidR="00D9258C" w:rsidRPr="00FD6A6A">
        <w:t>to</w:t>
      </w:r>
      <w:r w:rsidR="00541D05">
        <w:t xml:space="preserve"> </w:t>
      </w:r>
      <w:r w:rsidR="00D9258C" w:rsidRPr="00FD6A6A">
        <w:t>the</w:t>
      </w:r>
      <w:r w:rsidR="00541D05">
        <w:t xml:space="preserve"> </w:t>
      </w:r>
      <w:r w:rsidR="00D9258C" w:rsidRPr="00FD6A6A">
        <w:t>new</w:t>
      </w:r>
      <w:r w:rsidR="00541D05">
        <w:t xml:space="preserve"> </w:t>
      </w:r>
      <w:r w:rsidR="00D9258C" w:rsidRPr="00FD6A6A">
        <w:t>reality</w:t>
      </w:r>
      <w:r w:rsidR="00541D05">
        <w:t xml:space="preserve"> </w:t>
      </w:r>
      <w:r w:rsidR="00D9258C" w:rsidRPr="00FD6A6A">
        <w:t>of</w:t>
      </w:r>
      <w:r w:rsidR="00541D05">
        <w:t xml:space="preserve"> </w:t>
      </w:r>
      <w:r w:rsidR="00D9258C" w:rsidRPr="00FD6A6A">
        <w:t>schools.</w:t>
      </w:r>
    </w:p>
    <w:p w14:paraId="1C200211" w14:textId="6F615385" w:rsidR="00D9258C" w:rsidRPr="00FD6A6A" w:rsidRDefault="00166390" w:rsidP="00166390">
      <w:pPr>
        <w:pStyle w:val="ParaNoG"/>
        <w:numPr>
          <w:ilvl w:val="0"/>
          <w:numId w:val="0"/>
        </w:numPr>
        <w:tabs>
          <w:tab w:val="left" w:pos="0"/>
        </w:tabs>
        <w:ind w:left="1134"/>
      </w:pPr>
      <w:r w:rsidRPr="00FD6A6A">
        <w:t>208.</w:t>
      </w:r>
      <w:r w:rsidRPr="00FD6A6A">
        <w:tab/>
      </w:r>
      <w:r w:rsidR="00D9258C" w:rsidRPr="00FD6A6A">
        <w:t>Education</w:t>
      </w:r>
      <w:r w:rsidR="00541D05">
        <w:t xml:space="preserve"> </w:t>
      </w:r>
      <w:r w:rsidR="00D9258C" w:rsidRPr="00FD6A6A">
        <w:t>towards</w:t>
      </w:r>
      <w:r w:rsidR="00541D05">
        <w:t xml:space="preserve"> </w:t>
      </w:r>
      <w:r w:rsidR="00D9258C" w:rsidRPr="00FD6A6A">
        <w:t>ethnic</w:t>
      </w:r>
      <w:r w:rsidR="00541D05">
        <w:t xml:space="preserve"> </w:t>
      </w:r>
      <w:r w:rsidR="00D9258C" w:rsidRPr="00FD6A6A">
        <w:t>and</w:t>
      </w:r>
      <w:r w:rsidR="00541D05">
        <w:t xml:space="preserve"> </w:t>
      </w:r>
      <w:r w:rsidR="00D9258C" w:rsidRPr="00FD6A6A">
        <w:t>racial</w:t>
      </w:r>
      <w:r w:rsidR="00541D05">
        <w:t xml:space="preserve"> </w:t>
      </w:r>
      <w:r w:rsidR="00D9258C" w:rsidRPr="00FD6A6A">
        <w:t>diversity,</w:t>
      </w:r>
      <w:r w:rsidR="00541D05">
        <w:t xml:space="preserve"> </w:t>
      </w:r>
      <w:r w:rsidR="00D9258C" w:rsidRPr="00FD6A6A">
        <w:t>which</w:t>
      </w:r>
      <w:r w:rsidR="00541D05">
        <w:t xml:space="preserve"> </w:t>
      </w:r>
      <w:r w:rsidR="00D9258C" w:rsidRPr="00FD6A6A">
        <w:t>is</w:t>
      </w:r>
      <w:r w:rsidR="00541D05">
        <w:t xml:space="preserve"> </w:t>
      </w:r>
      <w:r w:rsidR="00D9258C" w:rsidRPr="00FD6A6A">
        <w:t>a</w:t>
      </w:r>
      <w:r w:rsidR="00541D05">
        <w:t xml:space="preserve"> </w:t>
      </w:r>
      <w:r w:rsidR="00D9258C" w:rsidRPr="00FD6A6A">
        <w:t>declared</w:t>
      </w:r>
      <w:r w:rsidR="00541D05">
        <w:t xml:space="preserve"> </w:t>
      </w:r>
      <w:r w:rsidR="00D9258C" w:rsidRPr="00FD6A6A">
        <w:t>goal</w:t>
      </w:r>
      <w:r w:rsidR="00541D05">
        <w:t xml:space="preserve"> </w:t>
      </w:r>
      <w:r w:rsidR="00D9258C" w:rsidRPr="00FD6A6A">
        <w:t>of</w:t>
      </w:r>
      <w:r w:rsidR="00541D05">
        <w:t xml:space="preserve"> </w:t>
      </w:r>
      <w:r w:rsidR="00D9258C" w:rsidRPr="00FD6A6A">
        <w:t>this</w:t>
      </w:r>
      <w:r w:rsidR="00541D05">
        <w:t xml:space="preserve"> </w:t>
      </w:r>
      <w:r w:rsidR="00D9258C" w:rsidRPr="00FD6A6A">
        <w:t>law,</w:t>
      </w:r>
      <w:r w:rsidR="00541D05">
        <w:t xml:space="preserve"> </w:t>
      </w:r>
      <w:r w:rsidR="00D9258C" w:rsidRPr="00FD6A6A">
        <w:t>immediately</w:t>
      </w:r>
      <w:r w:rsidR="00541D05">
        <w:t xml:space="preserve"> </w:t>
      </w:r>
      <w:r w:rsidR="00D9258C" w:rsidRPr="00FD6A6A">
        <w:t>became</w:t>
      </w:r>
      <w:r w:rsidR="00541D05">
        <w:t xml:space="preserve"> </w:t>
      </w:r>
      <w:r w:rsidR="00D9258C" w:rsidRPr="00FD6A6A">
        <w:t>a</w:t>
      </w:r>
      <w:r w:rsidR="00541D05">
        <w:t xml:space="preserve"> </w:t>
      </w:r>
      <w:r w:rsidR="00D9258C" w:rsidRPr="00FD6A6A">
        <w:t>challenge</w:t>
      </w:r>
      <w:r w:rsidR="00541D05">
        <w:t xml:space="preserve"> </w:t>
      </w:r>
      <w:r w:rsidR="00D9258C" w:rsidRPr="00FD6A6A">
        <w:t>to</w:t>
      </w:r>
      <w:r w:rsidR="00541D05">
        <w:t xml:space="preserve"> </w:t>
      </w:r>
      <w:r w:rsidR="00D9258C" w:rsidRPr="00FD6A6A">
        <w:t>most</w:t>
      </w:r>
      <w:r w:rsidR="00541D05">
        <w:t xml:space="preserve"> </w:t>
      </w:r>
      <w:r w:rsidR="00D9258C" w:rsidRPr="00FD6A6A">
        <w:t>individuals</w:t>
      </w:r>
      <w:r w:rsidR="00541D05">
        <w:t xml:space="preserve"> </w:t>
      </w:r>
      <w:r w:rsidR="00D9258C" w:rsidRPr="00FD6A6A">
        <w:t>involved</w:t>
      </w:r>
      <w:r w:rsidR="00541D05">
        <w:t xml:space="preserve"> </w:t>
      </w:r>
      <w:r w:rsidR="00D9258C" w:rsidRPr="00FD6A6A">
        <w:t>in</w:t>
      </w:r>
      <w:r w:rsidR="00541D05">
        <w:t xml:space="preserve"> </w:t>
      </w:r>
      <w:r w:rsidR="00D9258C" w:rsidRPr="00FD6A6A">
        <w:t>the</w:t>
      </w:r>
      <w:r w:rsidR="00541D05">
        <w:t xml:space="preserve"> </w:t>
      </w:r>
      <w:r w:rsidR="00D9258C" w:rsidRPr="00FD6A6A">
        <w:t>educational</w:t>
      </w:r>
      <w:r w:rsidR="00541D05">
        <w:t xml:space="preserve"> </w:t>
      </w:r>
      <w:r w:rsidR="00D9258C" w:rsidRPr="00FD6A6A">
        <w:t>process,</w:t>
      </w:r>
      <w:r w:rsidR="00541D05">
        <w:t xml:space="preserve"> </w:t>
      </w:r>
      <w:r w:rsidR="00D9258C" w:rsidRPr="00FD6A6A">
        <w:t>such</w:t>
      </w:r>
      <w:r w:rsidR="00541D05">
        <w:t xml:space="preserve"> </w:t>
      </w:r>
      <w:r w:rsidR="00D9258C" w:rsidRPr="00FD6A6A">
        <w:t>as</w:t>
      </w:r>
      <w:r w:rsidR="00541D05">
        <w:t xml:space="preserve"> </w:t>
      </w:r>
      <w:r w:rsidR="00D9258C" w:rsidRPr="00FD6A6A">
        <w:t>students,</w:t>
      </w:r>
      <w:r w:rsidR="00541D05">
        <w:t xml:space="preserve"> </w:t>
      </w:r>
      <w:r w:rsidR="00D9258C" w:rsidRPr="00FD6A6A">
        <w:t>teachers,</w:t>
      </w:r>
      <w:r w:rsidR="00541D05">
        <w:t xml:space="preserve"> </w:t>
      </w:r>
      <w:r w:rsidR="00D9258C" w:rsidRPr="00FD6A6A">
        <w:t>coordinators,</w:t>
      </w:r>
      <w:r w:rsidR="00541D05">
        <w:t xml:space="preserve"> </w:t>
      </w:r>
      <w:r w:rsidR="00D9258C" w:rsidRPr="00FD6A6A">
        <w:t>directors</w:t>
      </w:r>
      <w:r w:rsidR="00541D05">
        <w:t xml:space="preserve"> </w:t>
      </w:r>
      <w:r w:rsidR="00D9258C" w:rsidRPr="00FD6A6A">
        <w:t>and</w:t>
      </w:r>
      <w:r w:rsidR="00541D05">
        <w:t xml:space="preserve"> </w:t>
      </w:r>
      <w:r w:rsidR="00D9258C" w:rsidRPr="00FD6A6A">
        <w:t>publishers</w:t>
      </w:r>
      <w:r w:rsidR="00541D05">
        <w:t xml:space="preserve"> </w:t>
      </w:r>
      <w:r w:rsidR="00D9258C" w:rsidRPr="00FD6A6A">
        <w:t>of</w:t>
      </w:r>
      <w:r w:rsidR="00541D05">
        <w:t xml:space="preserve"> </w:t>
      </w:r>
      <w:r w:rsidR="00D9258C" w:rsidRPr="00FD6A6A">
        <w:t>educational</w:t>
      </w:r>
      <w:r w:rsidR="00541D05">
        <w:t xml:space="preserve"> </w:t>
      </w:r>
      <w:r w:rsidR="00D9258C" w:rsidRPr="00FD6A6A">
        <w:t>materials,</w:t>
      </w:r>
      <w:r w:rsidR="00541D05">
        <w:t xml:space="preserve"> </w:t>
      </w:r>
      <w:r w:rsidR="00D9258C" w:rsidRPr="00FD6A6A">
        <w:t>in</w:t>
      </w:r>
      <w:r w:rsidR="00541D05">
        <w:t xml:space="preserve"> </w:t>
      </w:r>
      <w:r w:rsidR="00D9258C" w:rsidRPr="00FD6A6A">
        <w:t>light</w:t>
      </w:r>
      <w:r w:rsidR="00541D05">
        <w:t xml:space="preserve"> </w:t>
      </w:r>
      <w:r w:rsidR="00D9258C" w:rsidRPr="00FD6A6A">
        <w:t>of</w:t>
      </w:r>
      <w:r w:rsidR="00541D05">
        <w:t xml:space="preserve"> </w:t>
      </w:r>
      <w:r w:rsidR="00D9258C" w:rsidRPr="00FD6A6A">
        <w:t>the</w:t>
      </w:r>
      <w:r w:rsidR="00541D05">
        <w:t xml:space="preserve"> </w:t>
      </w:r>
      <w:r w:rsidR="00D9258C" w:rsidRPr="00FD6A6A">
        <w:t>lack</w:t>
      </w:r>
      <w:r w:rsidR="00541D05">
        <w:t xml:space="preserve"> </w:t>
      </w:r>
      <w:r w:rsidR="00D9258C" w:rsidRPr="00FD6A6A">
        <w:t>of</w:t>
      </w:r>
      <w:r w:rsidR="00541D05">
        <w:t xml:space="preserve"> </w:t>
      </w:r>
      <w:r w:rsidR="00D9258C" w:rsidRPr="00FD6A6A">
        <w:t>knowledge</w:t>
      </w:r>
      <w:r w:rsidR="00541D05">
        <w:t xml:space="preserve"> </w:t>
      </w:r>
      <w:r w:rsidR="00D9258C" w:rsidRPr="00FD6A6A">
        <w:t>regarding</w:t>
      </w:r>
      <w:r w:rsidR="00541D05">
        <w:t xml:space="preserve"> </w:t>
      </w:r>
      <w:r w:rsidR="00D9258C" w:rsidRPr="00FD6A6A">
        <w:t>African</w:t>
      </w:r>
      <w:r w:rsidR="00541D05">
        <w:t xml:space="preserve"> </w:t>
      </w:r>
      <w:r w:rsidR="00D9258C" w:rsidRPr="00FD6A6A">
        <w:t>history</w:t>
      </w:r>
      <w:r w:rsidR="00541D05">
        <w:t xml:space="preserve"> </w:t>
      </w:r>
      <w:r w:rsidR="00D9258C" w:rsidRPr="00FD6A6A">
        <w:t>and</w:t>
      </w:r>
      <w:r w:rsidR="00541D05">
        <w:t xml:space="preserve"> </w:t>
      </w:r>
      <w:r w:rsidR="00D9258C" w:rsidRPr="00FD6A6A">
        <w:t>the</w:t>
      </w:r>
      <w:r w:rsidR="00541D05">
        <w:t xml:space="preserve"> </w:t>
      </w:r>
      <w:r w:rsidR="00D9258C" w:rsidRPr="00FD6A6A">
        <w:t>contribution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to</w:t>
      </w:r>
      <w:r w:rsidR="00541D05">
        <w:t xml:space="preserve"> </w:t>
      </w:r>
      <w:r w:rsidR="00D9258C" w:rsidRPr="00FD6A6A">
        <w:t>the</w:t>
      </w:r>
      <w:r w:rsidR="00541D05">
        <w:t xml:space="preserve"> </w:t>
      </w:r>
      <w:r w:rsidR="00D9258C" w:rsidRPr="00FD6A6A">
        <w:t>process</w:t>
      </w:r>
      <w:r w:rsidR="00541D05">
        <w:t xml:space="preserve"> </w:t>
      </w:r>
      <w:r w:rsidR="00D9258C" w:rsidRPr="00FD6A6A">
        <w:t>of</w:t>
      </w:r>
      <w:r w:rsidR="00541D05">
        <w:t xml:space="preserve"> </w:t>
      </w:r>
      <w:r w:rsidR="00D9258C" w:rsidRPr="00FD6A6A">
        <w:t>shaping</w:t>
      </w:r>
      <w:r w:rsidR="00541D05">
        <w:t xml:space="preserve"> </w:t>
      </w:r>
      <w:r w:rsidR="00D9258C" w:rsidRPr="00FD6A6A">
        <w:t>Brazilian</w:t>
      </w:r>
      <w:r w:rsidR="00541D05">
        <w:t xml:space="preserve"> </w:t>
      </w:r>
      <w:r w:rsidR="00D9258C" w:rsidRPr="00FD6A6A">
        <w:t>society.</w:t>
      </w:r>
    </w:p>
    <w:p w14:paraId="12FBF5AF" w14:textId="51E23D95" w:rsidR="00D9258C" w:rsidRPr="00FD6A6A" w:rsidRDefault="00166390" w:rsidP="00166390">
      <w:pPr>
        <w:pStyle w:val="ParaNoG"/>
        <w:numPr>
          <w:ilvl w:val="0"/>
          <w:numId w:val="0"/>
        </w:numPr>
        <w:tabs>
          <w:tab w:val="left" w:pos="0"/>
        </w:tabs>
        <w:ind w:left="1134"/>
      </w:pPr>
      <w:r w:rsidRPr="00FD6A6A">
        <w:t>209.</w:t>
      </w:r>
      <w:r w:rsidRPr="00FD6A6A">
        <w:tab/>
      </w:r>
      <w:r w:rsidR="00D9258C" w:rsidRPr="00FD6A6A">
        <w:t>At</w:t>
      </w:r>
      <w:r w:rsidR="00541D05">
        <w:t xml:space="preserve"> </w:t>
      </w:r>
      <w:r w:rsidR="00D9258C" w:rsidRPr="00FD6A6A">
        <w:t>federal</w:t>
      </w:r>
      <w:r w:rsidR="00541D05">
        <w:t xml:space="preserve"> </w:t>
      </w:r>
      <w:r w:rsidR="00D9258C" w:rsidRPr="00FD6A6A">
        <w:t>level,</w:t>
      </w:r>
      <w:r w:rsidR="00541D05">
        <w:t xml:space="preserve"> </w:t>
      </w:r>
      <w:r w:rsidR="00D9258C" w:rsidRPr="00FD6A6A">
        <w:t>the</w:t>
      </w:r>
      <w:r w:rsidR="00541D05">
        <w:t xml:space="preserve"> </w:t>
      </w:r>
      <w:r w:rsidR="00D9258C" w:rsidRPr="00FD6A6A">
        <w:t>Secretariat</w:t>
      </w:r>
      <w:r w:rsidR="00541D05">
        <w:t xml:space="preserve"> </w:t>
      </w:r>
      <w:r w:rsidR="00D9258C" w:rsidRPr="00FD6A6A">
        <w:t>of</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Literacy,</w:t>
      </w:r>
      <w:r w:rsidR="00541D05">
        <w:t xml:space="preserve"> </w:t>
      </w:r>
      <w:r w:rsidR="00D9258C" w:rsidRPr="00FD6A6A">
        <w:t>and</w:t>
      </w:r>
      <w:r w:rsidR="00541D05">
        <w:t xml:space="preserve"> </w:t>
      </w:r>
      <w:r w:rsidR="00D9258C" w:rsidRPr="00FD6A6A">
        <w:t>Diversity</w:t>
      </w:r>
      <w:r w:rsidR="00541D05">
        <w:t xml:space="preserve"> </w:t>
      </w:r>
      <w:r w:rsidR="00D9258C" w:rsidRPr="00FD6A6A">
        <w:t>(SECADI),</w:t>
      </w:r>
      <w:r w:rsidR="00541D05">
        <w:t xml:space="preserve"> </w:t>
      </w:r>
      <w:r w:rsidR="00D9258C" w:rsidRPr="00FD6A6A">
        <w:t>created</w:t>
      </w:r>
      <w:r w:rsidR="00541D05">
        <w:t xml:space="preserve"> </w:t>
      </w:r>
      <w:r w:rsidR="00D9258C" w:rsidRPr="00FD6A6A">
        <w:t>in</w:t>
      </w:r>
      <w:r w:rsidR="00541D05">
        <w:t xml:space="preserve"> </w:t>
      </w:r>
      <w:r w:rsidR="00D9258C" w:rsidRPr="00FD6A6A">
        <w:t>2004</w:t>
      </w:r>
      <w:r w:rsidR="00541D05">
        <w:t xml:space="preserve"> </w:t>
      </w:r>
      <w:r w:rsidR="00D9258C" w:rsidRPr="00FD6A6A">
        <w:t>within</w:t>
      </w:r>
      <w:r w:rsidR="00541D05">
        <w:t xml:space="preserve"> </w:t>
      </w:r>
      <w:r w:rsidR="00D9258C" w:rsidRPr="00FD6A6A">
        <w:t>the</w:t>
      </w:r>
      <w:r w:rsidR="00541D05">
        <w:t xml:space="preserve"> </w:t>
      </w:r>
      <w:r w:rsidR="00D9258C" w:rsidRPr="00FD6A6A">
        <w:t>scope</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coordinating</w:t>
      </w:r>
      <w:r w:rsidR="00541D05">
        <w:t xml:space="preserve"> </w:t>
      </w:r>
      <w:r w:rsidR="00D9258C" w:rsidRPr="00FD6A6A">
        <w:t>and</w:t>
      </w:r>
      <w:r w:rsidR="00541D05">
        <w:t xml:space="preserve"> </w:t>
      </w:r>
      <w:r w:rsidR="00D9258C" w:rsidRPr="00FD6A6A">
        <w:t>guiding</w:t>
      </w:r>
      <w:r w:rsidR="00541D05">
        <w:t xml:space="preserve"> </w:t>
      </w:r>
      <w:r w:rsidR="00D9258C" w:rsidRPr="00FD6A6A">
        <w:t>educational</w:t>
      </w:r>
      <w:r w:rsidR="00541D05">
        <w:t xml:space="preserve"> </w:t>
      </w:r>
      <w:r w:rsidR="00D9258C" w:rsidRPr="00FD6A6A">
        <w:t>policies</w:t>
      </w:r>
      <w:r w:rsidR="00541D05">
        <w:t xml:space="preserve"> </w:t>
      </w:r>
      <w:r w:rsidR="00D9258C" w:rsidRPr="00FD6A6A">
        <w:t>to</w:t>
      </w:r>
      <w:r w:rsidR="00541D05">
        <w:t xml:space="preserve"> </w:t>
      </w:r>
      <w:r w:rsidR="00D9258C" w:rsidRPr="00FD6A6A">
        <w:t>ensure</w:t>
      </w:r>
      <w:r w:rsidR="00541D05">
        <w:t xml:space="preserve"> </w:t>
      </w:r>
      <w:r w:rsidR="00D9258C" w:rsidRPr="00FD6A6A">
        <w:t>that</w:t>
      </w:r>
      <w:r w:rsidR="00541D05">
        <w:t xml:space="preserve"> </w:t>
      </w:r>
      <w:r w:rsidR="00D9258C" w:rsidRPr="00FD6A6A">
        <w:t>matters</w:t>
      </w:r>
      <w:r w:rsidR="00541D05">
        <w:t xml:space="preserve"> </w:t>
      </w:r>
      <w:r w:rsidR="00D9258C" w:rsidRPr="00FD6A6A">
        <w:t>related</w:t>
      </w:r>
      <w:r w:rsidR="00541D05">
        <w:t xml:space="preserve"> </w:t>
      </w:r>
      <w:r w:rsidR="00D9258C" w:rsidRPr="00FD6A6A">
        <w:t>to</w:t>
      </w:r>
      <w:r w:rsidR="00541D05">
        <w:t xml:space="preserve"> </w:t>
      </w:r>
      <w:r w:rsidR="00D9258C" w:rsidRPr="00FD6A6A">
        <w:t>race,</w:t>
      </w:r>
      <w:r w:rsidR="00541D05">
        <w:t xml:space="preserve"> </w:t>
      </w:r>
      <w:r w:rsidR="00D9258C" w:rsidRPr="00FD6A6A">
        <w:t>color,</w:t>
      </w:r>
      <w:r w:rsidR="00541D05">
        <w:t xml:space="preserve"> </w:t>
      </w:r>
      <w:r w:rsidR="00D9258C" w:rsidRPr="00FD6A6A">
        <w:t>ethnicity,</w:t>
      </w:r>
      <w:r w:rsidR="00541D05">
        <w:t xml:space="preserve"> </w:t>
      </w:r>
      <w:r w:rsidR="00D9258C" w:rsidRPr="00FD6A6A">
        <w:t>origin,</w:t>
      </w:r>
      <w:r w:rsidR="00541D05">
        <w:t xml:space="preserve"> </w:t>
      </w:r>
      <w:r w:rsidR="00D9258C" w:rsidRPr="00FD6A6A">
        <w:t>economic</w:t>
      </w:r>
      <w:r w:rsidR="00541D05">
        <w:t xml:space="preserve"> </w:t>
      </w:r>
      <w:r w:rsidR="00D9258C" w:rsidRPr="00FD6A6A">
        <w:t>and</w:t>
      </w:r>
      <w:r w:rsidR="00541D05">
        <w:t xml:space="preserve"> </w:t>
      </w:r>
      <w:r w:rsidR="00D9258C" w:rsidRPr="00FD6A6A">
        <w:t>social</w:t>
      </w:r>
      <w:r w:rsidR="00541D05">
        <w:t xml:space="preserve"> </w:t>
      </w:r>
      <w:r w:rsidR="00D9258C" w:rsidRPr="00FD6A6A">
        <w:t>position,</w:t>
      </w:r>
      <w:r w:rsidR="00541D05">
        <w:t xml:space="preserve"> </w:t>
      </w:r>
      <w:r w:rsidR="00D9258C" w:rsidRPr="00FD6A6A">
        <w:t>sexual</w:t>
      </w:r>
      <w:r w:rsidR="00541D05">
        <w:t xml:space="preserve"> </w:t>
      </w:r>
      <w:r w:rsidR="00D9258C" w:rsidRPr="00FD6A6A">
        <w:t>orientation,</w:t>
      </w:r>
      <w:r w:rsidR="00541D05">
        <w:t xml:space="preserve"> </w:t>
      </w:r>
      <w:r w:rsidR="00D9258C" w:rsidRPr="00FD6A6A">
        <w:t>or</w:t>
      </w:r>
      <w:r w:rsidR="00541D05">
        <w:t xml:space="preserve"> </w:t>
      </w:r>
      <w:r w:rsidR="00D9258C" w:rsidRPr="00FD6A6A">
        <w:t>any</w:t>
      </w:r>
      <w:r w:rsidR="00541D05">
        <w:t xml:space="preserve"> </w:t>
      </w:r>
      <w:r w:rsidR="00D9258C" w:rsidRPr="00FD6A6A">
        <w:t>other</w:t>
      </w:r>
      <w:r w:rsidR="00541D05">
        <w:t xml:space="preserve"> </w:t>
      </w:r>
      <w:r w:rsidR="00D9258C" w:rsidRPr="00FD6A6A">
        <w:t>aspects</w:t>
      </w:r>
      <w:r w:rsidR="00541D05">
        <w:t xml:space="preserve"> </w:t>
      </w:r>
      <w:r w:rsidR="00D9258C" w:rsidRPr="00FD6A6A">
        <w:t>related</w:t>
      </w:r>
      <w:r w:rsidR="00541D05">
        <w:t xml:space="preserve"> </w:t>
      </w:r>
      <w:r w:rsidR="00D9258C" w:rsidRPr="00FD6A6A">
        <w:t>to</w:t>
      </w:r>
      <w:r w:rsidR="00541D05">
        <w:t xml:space="preserve"> </w:t>
      </w:r>
      <w:r w:rsidR="00D9258C" w:rsidRPr="00FD6A6A">
        <w:t>social</w:t>
      </w:r>
      <w:r w:rsidR="00541D05">
        <w:t xml:space="preserve"> </w:t>
      </w:r>
      <w:r w:rsidR="00D9258C" w:rsidRPr="00FD6A6A">
        <w:t>exclusion</w:t>
      </w:r>
      <w:r w:rsidR="00541D05">
        <w:t xml:space="preserve"> </w:t>
      </w:r>
      <w:r w:rsidR="00D9258C" w:rsidRPr="00FD6A6A">
        <w:t>are</w:t>
      </w:r>
      <w:r w:rsidR="00541D05">
        <w:t xml:space="preserve"> </w:t>
      </w:r>
      <w:r w:rsidR="00D9258C" w:rsidRPr="00FD6A6A">
        <w:t>taken</w:t>
      </w:r>
      <w:r w:rsidR="00541D05">
        <w:t xml:space="preserve"> </w:t>
      </w:r>
      <w:r w:rsidR="00D9258C" w:rsidRPr="00FD6A6A">
        <w:t>into</w:t>
      </w:r>
      <w:r w:rsidR="00541D05">
        <w:t xml:space="preserve"> </w:t>
      </w:r>
      <w:r w:rsidR="00D9258C" w:rsidRPr="00FD6A6A">
        <w:t>account</w:t>
      </w:r>
      <w:r w:rsidR="00541D05">
        <w:t xml:space="preserve"> </w:t>
      </w:r>
      <w:r w:rsidR="00D9258C" w:rsidRPr="00FD6A6A">
        <w:t>in</w:t>
      </w:r>
      <w:r w:rsidR="00541D05">
        <w:t xml:space="preserve"> </w:t>
      </w:r>
      <w:r w:rsidR="00D9258C" w:rsidRPr="00FD6A6A">
        <w:t>the</w:t>
      </w:r>
      <w:r w:rsidR="00541D05">
        <w:t xml:space="preserve"> </w:t>
      </w:r>
      <w:r w:rsidR="00D9258C" w:rsidRPr="00FD6A6A">
        <w:t>formal</w:t>
      </w:r>
      <w:r w:rsidR="00541D05">
        <w:t xml:space="preserve"> </w:t>
      </w:r>
      <w:r w:rsidR="00D9258C" w:rsidRPr="00FD6A6A">
        <w:t>spaces</w:t>
      </w:r>
      <w:r w:rsidR="00541D05">
        <w:t xml:space="preserve"> </w:t>
      </w:r>
      <w:r w:rsidR="00D9258C" w:rsidRPr="00FD6A6A">
        <w:t>of</w:t>
      </w:r>
      <w:r w:rsidR="00541D05">
        <w:t xml:space="preserve"> </w:t>
      </w:r>
      <w:r w:rsidR="00D9258C" w:rsidRPr="00FD6A6A">
        <w:t>the</w:t>
      </w:r>
      <w:r w:rsidR="00541D05">
        <w:t xml:space="preserve"> </w:t>
      </w:r>
      <w:r w:rsidR="00D9258C" w:rsidRPr="00FD6A6A">
        <w:t>public</w:t>
      </w:r>
      <w:r w:rsidR="00541D05">
        <w:t xml:space="preserve"> </w:t>
      </w:r>
      <w:r w:rsidR="00D9258C" w:rsidRPr="00FD6A6A">
        <w:t>school</w:t>
      </w:r>
      <w:r w:rsidR="00541D05">
        <w:t xml:space="preserve"> </w:t>
      </w:r>
      <w:r w:rsidR="00D9258C" w:rsidRPr="00FD6A6A">
        <w:t>system.</w:t>
      </w:r>
    </w:p>
    <w:p w14:paraId="670CF431" w14:textId="7979D4B6" w:rsidR="00D9258C" w:rsidRPr="00FD6A6A" w:rsidRDefault="00166390" w:rsidP="00166390">
      <w:pPr>
        <w:pStyle w:val="ParaNoG"/>
        <w:numPr>
          <w:ilvl w:val="0"/>
          <w:numId w:val="0"/>
        </w:numPr>
        <w:tabs>
          <w:tab w:val="left" w:pos="0"/>
        </w:tabs>
        <w:ind w:left="1134"/>
      </w:pPr>
      <w:r w:rsidRPr="00FD6A6A">
        <w:t>210.</w:t>
      </w:r>
      <w:r w:rsidRPr="00FD6A6A">
        <w:tab/>
      </w:r>
      <w:r w:rsidR="00D9258C" w:rsidRPr="00FD6A6A">
        <w:t>Some</w:t>
      </w:r>
      <w:r w:rsidR="00541D05">
        <w:t xml:space="preserve"> </w:t>
      </w:r>
      <w:r w:rsidR="00D9258C" w:rsidRPr="00FD6A6A">
        <w:t>initiatives</w:t>
      </w:r>
      <w:r w:rsidR="00541D05">
        <w:t xml:space="preserve"> </w:t>
      </w:r>
      <w:r w:rsidR="00D9258C" w:rsidRPr="00FD6A6A">
        <w:t>were</w:t>
      </w:r>
      <w:r w:rsidR="00541D05">
        <w:t xml:space="preserve"> </w:t>
      </w:r>
      <w:r w:rsidR="00D9258C" w:rsidRPr="00FD6A6A">
        <w:t>developed</w:t>
      </w:r>
      <w:r w:rsidR="00541D05">
        <w:t xml:space="preserve"> </w:t>
      </w:r>
      <w:r w:rsidR="00D9258C" w:rsidRPr="00FD6A6A">
        <w:t>as</w:t>
      </w:r>
      <w:r w:rsidR="00541D05">
        <w:t xml:space="preserve"> </w:t>
      </w:r>
      <w:r w:rsidR="00D9258C" w:rsidRPr="00FD6A6A">
        <w:t>a</w:t>
      </w:r>
      <w:r w:rsidR="00541D05">
        <w:t xml:space="preserve"> </w:t>
      </w:r>
      <w:r w:rsidR="00D9258C" w:rsidRPr="00FD6A6A">
        <w:t>consequence</w:t>
      </w:r>
      <w:r w:rsidR="00541D05">
        <w:t xml:space="preserve"> </w:t>
      </w:r>
      <w:r w:rsidR="00D9258C" w:rsidRPr="00FD6A6A">
        <w:t>of</w:t>
      </w:r>
      <w:r w:rsidR="00541D05">
        <w:t xml:space="preserve"> </w:t>
      </w:r>
      <w:r w:rsidR="00D9258C" w:rsidRPr="00FD6A6A">
        <w:t>Law</w:t>
      </w:r>
      <w:r w:rsidR="00541D05">
        <w:t xml:space="preserve"> </w:t>
      </w:r>
      <w:r w:rsidR="00D9258C" w:rsidRPr="00FD6A6A">
        <w:t>No.</w:t>
      </w:r>
      <w:r w:rsidR="00541D05">
        <w:t xml:space="preserve"> </w:t>
      </w:r>
      <w:r w:rsidR="00D9258C" w:rsidRPr="00FD6A6A">
        <w:t>10,639/2003,</w:t>
      </w:r>
      <w:r w:rsidR="00541D05">
        <w:t xml:space="preserve"> </w:t>
      </w:r>
      <w:r w:rsidR="00D9258C" w:rsidRPr="00FD6A6A">
        <w:t>among</w:t>
      </w:r>
      <w:r w:rsidR="00541D05">
        <w:t xml:space="preserve"> </w:t>
      </w:r>
      <w:r w:rsidR="00D9258C" w:rsidRPr="00FD6A6A">
        <w:t>which</w:t>
      </w:r>
      <w:r w:rsidR="00541D05">
        <w:t xml:space="preserve"> </w:t>
      </w:r>
      <w:r w:rsidR="00D9258C" w:rsidRPr="00FD6A6A">
        <w:t>is</w:t>
      </w:r>
      <w:r w:rsidR="00541D05">
        <w:t xml:space="preserve"> </w:t>
      </w:r>
      <w:r w:rsidR="00D9258C" w:rsidRPr="00FD6A6A">
        <w:t>worth</w:t>
      </w:r>
      <w:r w:rsidR="00541D05">
        <w:t xml:space="preserve"> </w:t>
      </w:r>
      <w:r w:rsidR="00D9258C" w:rsidRPr="00FD6A6A">
        <w:t>highlighting</w:t>
      </w:r>
      <w:r w:rsidR="00541D05">
        <w:t xml:space="preserve"> </w:t>
      </w:r>
      <w:r w:rsidR="00D9258C" w:rsidRPr="00FD6A6A">
        <w:t>the</w:t>
      </w:r>
      <w:r w:rsidR="00541D05">
        <w:t xml:space="preserve"> </w:t>
      </w:r>
      <w:r w:rsidR="00D9258C" w:rsidRPr="00FD6A6A">
        <w:t>creation</w:t>
      </w:r>
      <w:r w:rsidR="00541D05">
        <w:t xml:space="preserve"> </w:t>
      </w:r>
      <w:r w:rsidR="00D9258C" w:rsidRPr="00FD6A6A">
        <w:t>of</w:t>
      </w:r>
      <w:r w:rsidR="00541D05">
        <w:t xml:space="preserve"> </w:t>
      </w:r>
      <w:r w:rsidR="00D9258C" w:rsidRPr="00FD6A6A">
        <w:t>the</w:t>
      </w:r>
      <w:r w:rsidR="00541D05">
        <w:t xml:space="preserve"> </w:t>
      </w:r>
      <w:r w:rsidR="00D9258C" w:rsidRPr="00FD6A6A">
        <w:t>Diversidade</w:t>
      </w:r>
      <w:r w:rsidR="00541D05">
        <w:t xml:space="preserve"> </w:t>
      </w:r>
      <w:r w:rsidR="00D9258C" w:rsidRPr="00FD6A6A">
        <w:t>na</w:t>
      </w:r>
      <w:r w:rsidR="00541D05">
        <w:t xml:space="preserve"> </w:t>
      </w:r>
      <w:r w:rsidR="00D9258C" w:rsidRPr="00FD6A6A">
        <w:t>Universidade</w:t>
      </w:r>
      <w:r w:rsidR="00541D05">
        <w:t xml:space="preserve"> </w:t>
      </w:r>
      <w:r w:rsidR="00D9258C" w:rsidRPr="00FD6A6A">
        <w:t>(Diversity</w:t>
      </w:r>
      <w:r w:rsidR="00541D05">
        <w:t xml:space="preserve"> </w:t>
      </w:r>
      <w:r w:rsidR="00D9258C" w:rsidRPr="00FD6A6A">
        <w:t>in</w:t>
      </w:r>
      <w:r w:rsidR="00541D05">
        <w:t xml:space="preserve"> </w:t>
      </w:r>
      <w:r w:rsidR="00D9258C" w:rsidRPr="00FD6A6A">
        <w:t>the</w:t>
      </w:r>
      <w:r w:rsidR="00541D05">
        <w:t xml:space="preserve"> </w:t>
      </w:r>
      <w:r w:rsidR="00D9258C" w:rsidRPr="00FD6A6A">
        <w:t>University)</w:t>
      </w:r>
      <w:r w:rsidR="00541D05">
        <w:t xml:space="preserve"> </w:t>
      </w:r>
      <w:r w:rsidR="00D9258C" w:rsidRPr="00FD6A6A">
        <w:t>Program.</w:t>
      </w:r>
      <w:r w:rsidR="00541D05">
        <w:t xml:space="preserve"> </w:t>
      </w:r>
      <w:r w:rsidR="00D9258C" w:rsidRPr="00FD6A6A">
        <w:t>Although</w:t>
      </w:r>
      <w:r w:rsidR="00541D05">
        <w:t xml:space="preserve"> </w:t>
      </w:r>
      <w:r w:rsidR="00D9258C" w:rsidRPr="00FD6A6A">
        <w:t>this</w:t>
      </w:r>
      <w:r w:rsidR="00541D05">
        <w:t xml:space="preserve"> </w:t>
      </w:r>
      <w:r w:rsidR="00D9258C" w:rsidRPr="00FD6A6A">
        <w:t>program</w:t>
      </w:r>
      <w:r w:rsidR="00541D05">
        <w:t xml:space="preserve"> </w:t>
      </w:r>
      <w:r w:rsidR="00D9258C" w:rsidRPr="00FD6A6A">
        <w:t>was</w:t>
      </w:r>
      <w:r w:rsidR="00541D05">
        <w:t xml:space="preserve"> </w:t>
      </w:r>
      <w:r w:rsidR="00D9258C" w:rsidRPr="00FD6A6A">
        <w:t>initially</w:t>
      </w:r>
      <w:r w:rsidR="00541D05">
        <w:t xml:space="preserve"> </w:t>
      </w:r>
      <w:r w:rsidR="00D9258C" w:rsidRPr="00FD6A6A">
        <w:t>intended</w:t>
      </w:r>
      <w:r w:rsidR="00541D05">
        <w:t xml:space="preserve"> </w:t>
      </w:r>
      <w:r w:rsidR="00D9258C" w:rsidRPr="00FD6A6A">
        <w:t>for</w:t>
      </w:r>
      <w:r w:rsidR="00541D05">
        <w:t xml:space="preserve"> </w:t>
      </w:r>
      <w:r w:rsidR="00D9258C" w:rsidRPr="00FD6A6A">
        <w:t>supporting</w:t>
      </w:r>
      <w:r w:rsidR="00541D05">
        <w:t xml:space="preserve"> </w:t>
      </w:r>
      <w:r w:rsidR="00D9258C" w:rsidRPr="00FD6A6A">
        <w:t>college</w:t>
      </w:r>
      <w:r w:rsidR="00541D05">
        <w:t xml:space="preserve"> </w:t>
      </w:r>
      <w:r w:rsidR="00D9258C" w:rsidRPr="00FD6A6A">
        <w:t>admittance</w:t>
      </w:r>
      <w:r w:rsidR="00541D05">
        <w:t xml:space="preserve"> </w:t>
      </w:r>
      <w:r w:rsidR="00D9258C" w:rsidRPr="00FD6A6A">
        <w:t>courses</w:t>
      </w:r>
      <w:r w:rsidR="00541D05">
        <w:t xml:space="preserve"> </w:t>
      </w:r>
      <w:r w:rsidR="00D9258C" w:rsidRPr="00FD6A6A">
        <w:t>for</w:t>
      </w:r>
      <w:r w:rsidR="00541D05">
        <w:t xml:space="preserve"> </w:t>
      </w:r>
      <w:r w:rsidR="00D9258C" w:rsidRPr="00FD6A6A">
        <w:t>Afro-Brazilians,</w:t>
      </w:r>
      <w:r w:rsidR="00541D05">
        <w:t xml:space="preserve"> </w:t>
      </w:r>
      <w:r w:rsidR="00D9258C" w:rsidRPr="00FD6A6A">
        <w:t>in</w:t>
      </w:r>
      <w:r w:rsidR="00541D05">
        <w:t xml:space="preserve"> </w:t>
      </w:r>
      <w:r w:rsidR="00D9258C" w:rsidRPr="00FD6A6A">
        <w:t>2005,</w:t>
      </w:r>
      <w:r w:rsidR="00541D05">
        <w:t xml:space="preserve"> </w:t>
      </w:r>
      <w:r w:rsidR="00D9258C" w:rsidRPr="00FD6A6A">
        <w:t>it</w:t>
      </w:r>
      <w:r w:rsidR="00541D05">
        <w:t xml:space="preserve"> </w:t>
      </w:r>
      <w:r w:rsidR="00D9258C" w:rsidRPr="00FD6A6A">
        <w:t>started</w:t>
      </w:r>
      <w:r w:rsidR="00541D05">
        <w:t xml:space="preserve"> </w:t>
      </w:r>
      <w:r w:rsidR="00D9258C" w:rsidRPr="00FD6A6A">
        <w:t>to</w:t>
      </w:r>
      <w:r w:rsidR="00541D05">
        <w:t xml:space="preserve"> </w:t>
      </w:r>
      <w:r w:rsidR="00D9258C" w:rsidRPr="00FD6A6A">
        <w:t>be</w:t>
      </w:r>
      <w:r w:rsidR="00541D05">
        <w:t xml:space="preserve"> </w:t>
      </w:r>
      <w:r w:rsidR="00D9258C" w:rsidRPr="00FD6A6A">
        <w:t>used</w:t>
      </w:r>
      <w:r w:rsidR="00541D05">
        <w:t xml:space="preserve"> </w:t>
      </w:r>
      <w:r w:rsidR="00D9258C" w:rsidRPr="00FD6A6A">
        <w:t>to</w:t>
      </w:r>
      <w:r w:rsidR="00541D05">
        <w:t xml:space="preserve"> </w:t>
      </w:r>
      <w:r w:rsidR="00D9258C" w:rsidRPr="00FD6A6A">
        <w:t>enforce</w:t>
      </w:r>
      <w:r w:rsidR="00541D05">
        <w:t xml:space="preserve"> </w:t>
      </w:r>
      <w:r w:rsidR="00D9258C" w:rsidRPr="00FD6A6A">
        <w:t>the</w:t>
      </w:r>
      <w:r w:rsidR="00541D05">
        <w:t xml:space="preserve"> </w:t>
      </w:r>
      <w:r w:rsidR="00D9258C" w:rsidRPr="00FD6A6A">
        <w:t>provisions</w:t>
      </w:r>
      <w:r w:rsidR="00541D05">
        <w:t xml:space="preserve"> </w:t>
      </w:r>
      <w:r w:rsidR="00D9258C" w:rsidRPr="00FD6A6A">
        <w:t>established</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10,639/2003.</w:t>
      </w:r>
      <w:r w:rsidR="00541D05">
        <w:t xml:space="preserve"> </w:t>
      </w:r>
      <w:r w:rsidR="00D9258C" w:rsidRPr="00FD6A6A">
        <w:t>This</w:t>
      </w:r>
      <w:r w:rsidR="00541D05">
        <w:t xml:space="preserve"> </w:t>
      </w:r>
      <w:r w:rsidR="00D9258C" w:rsidRPr="00FD6A6A">
        <w:t>shift</w:t>
      </w:r>
      <w:r w:rsidR="00541D05">
        <w:t xml:space="preserve"> </w:t>
      </w:r>
      <w:r w:rsidR="00D9258C" w:rsidRPr="00FD6A6A">
        <w:t>in</w:t>
      </w:r>
      <w:r w:rsidR="00541D05">
        <w:t xml:space="preserve"> </w:t>
      </w:r>
      <w:r w:rsidR="00D9258C" w:rsidRPr="00FD6A6A">
        <w:t>emphasis</w:t>
      </w:r>
      <w:r w:rsidR="00541D05">
        <w:t xml:space="preserve"> </w:t>
      </w:r>
      <w:r w:rsidR="00D9258C" w:rsidRPr="00FD6A6A">
        <w:t>resulted</w:t>
      </w:r>
      <w:r w:rsidR="00541D05">
        <w:t xml:space="preserve"> </w:t>
      </w:r>
      <w:r w:rsidR="00D9258C" w:rsidRPr="00FD6A6A">
        <w:t>in</w:t>
      </w:r>
      <w:r w:rsidR="00541D05">
        <w:t xml:space="preserve"> </w:t>
      </w:r>
      <w:r w:rsidR="00D9258C" w:rsidRPr="00FD6A6A">
        <w:t>29</w:t>
      </w:r>
      <w:r w:rsidR="00541D05">
        <w:t xml:space="preserve"> </w:t>
      </w:r>
      <w:r w:rsidR="00D9258C" w:rsidRPr="00FD6A6A">
        <w:t>publications</w:t>
      </w:r>
      <w:r w:rsidR="00541D05">
        <w:t xml:space="preserve"> </w:t>
      </w:r>
      <w:r w:rsidR="00D9258C" w:rsidRPr="00FD6A6A">
        <w:t>within</w:t>
      </w:r>
      <w:r w:rsidR="00541D05">
        <w:t xml:space="preserve"> </w:t>
      </w:r>
      <w:r w:rsidR="00D9258C" w:rsidRPr="00FD6A6A">
        <w:t>the</w:t>
      </w:r>
      <w:r w:rsidR="00541D05">
        <w:t xml:space="preserve"> </w:t>
      </w:r>
      <w:r w:rsidR="00D9258C" w:rsidRPr="00FD6A6A">
        <w:t>Educação</w:t>
      </w:r>
      <w:r w:rsidR="00541D05">
        <w:t xml:space="preserve"> </w:t>
      </w:r>
      <w:r w:rsidR="00D9258C" w:rsidRPr="00FD6A6A">
        <w:t>para</w:t>
      </w:r>
      <w:r w:rsidR="00541D05">
        <w:t xml:space="preserve"> </w:t>
      </w:r>
      <w:r w:rsidR="00D9258C" w:rsidRPr="00FD6A6A">
        <w:t>Todos</w:t>
      </w:r>
      <w:r w:rsidR="00541D05">
        <w:t xml:space="preserve"> </w:t>
      </w:r>
      <w:r w:rsidR="00D9258C" w:rsidRPr="00FD6A6A">
        <w:t>(Education</w:t>
      </w:r>
      <w:r w:rsidR="00541D05">
        <w:t xml:space="preserve"> </w:t>
      </w:r>
      <w:r w:rsidR="00D9258C" w:rsidRPr="00FD6A6A">
        <w:t>for</w:t>
      </w:r>
      <w:r w:rsidR="00541D05">
        <w:t xml:space="preserve"> </w:t>
      </w:r>
      <w:r w:rsidR="00D9258C" w:rsidRPr="00FD6A6A">
        <w:t>all)</w:t>
      </w:r>
      <w:r w:rsidR="00541D05">
        <w:t xml:space="preserve"> </w:t>
      </w:r>
      <w:r w:rsidR="00D9258C" w:rsidRPr="00FD6A6A">
        <w:t>collection,</w:t>
      </w:r>
      <w:r w:rsidR="00541D05">
        <w:t xml:space="preserve"> </w:t>
      </w:r>
      <w:r w:rsidR="00D9258C" w:rsidRPr="00FD6A6A">
        <w:t>of</w:t>
      </w:r>
      <w:r w:rsidR="00541D05">
        <w:t xml:space="preserve"> </w:t>
      </w:r>
      <w:r w:rsidR="00D9258C" w:rsidRPr="00FD6A6A">
        <w:t>which</w:t>
      </w:r>
      <w:r w:rsidR="00541D05">
        <w:t xml:space="preserve"> </w:t>
      </w:r>
      <w:r w:rsidR="00D9258C" w:rsidRPr="00FD6A6A">
        <w:t>six</w:t>
      </w:r>
      <w:r w:rsidR="00541D05">
        <w:t xml:space="preserve"> </w:t>
      </w:r>
      <w:r w:rsidR="00D9258C" w:rsidRPr="00FD6A6A">
        <w:t>addressed</w:t>
      </w:r>
      <w:r w:rsidR="00541D05">
        <w:t xml:space="preserve"> </w:t>
      </w:r>
      <w:r w:rsidR="00D9258C" w:rsidRPr="00FD6A6A">
        <w:t>matters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abovementioned</w:t>
      </w:r>
      <w:r w:rsidR="00541D05">
        <w:t xml:space="preserve"> </w:t>
      </w:r>
      <w:r w:rsidR="00D9258C" w:rsidRPr="00FD6A6A">
        <w:t>law.</w:t>
      </w:r>
      <w:r w:rsidR="00541D05">
        <w:t xml:space="preserve"> </w:t>
      </w:r>
      <w:r w:rsidR="00D9258C" w:rsidRPr="00FD6A6A">
        <w:t>There</w:t>
      </w:r>
      <w:r w:rsidR="00541D05">
        <w:t xml:space="preserve"> </w:t>
      </w:r>
      <w:r w:rsidR="00D9258C" w:rsidRPr="00FD6A6A">
        <w:t>were</w:t>
      </w:r>
      <w:r w:rsidR="00541D05">
        <w:t xml:space="preserve"> </w:t>
      </w:r>
      <w:r w:rsidR="00D9258C" w:rsidRPr="00FD6A6A">
        <w:t>also</w:t>
      </w:r>
      <w:r w:rsidR="00541D05">
        <w:t xml:space="preserve"> </w:t>
      </w:r>
      <w:r w:rsidR="00D9258C" w:rsidRPr="00FD6A6A">
        <w:t>23</w:t>
      </w:r>
      <w:r w:rsidR="00541D05">
        <w:t xml:space="preserve"> </w:t>
      </w:r>
      <w:r w:rsidR="00D9258C" w:rsidRPr="00FD6A6A">
        <w:t>publications</w:t>
      </w:r>
      <w:r w:rsidR="00541D05">
        <w:t xml:space="preserve"> </w:t>
      </w:r>
      <w:r w:rsidR="00D9258C" w:rsidRPr="00FD6A6A">
        <w:t>related</w:t>
      </w:r>
      <w:r w:rsidR="00541D05">
        <w:t xml:space="preserve"> </w:t>
      </w:r>
      <w:r w:rsidR="00D9258C" w:rsidRPr="00FD6A6A">
        <w:t>to</w:t>
      </w:r>
      <w:r w:rsidR="00541D05">
        <w:t xml:space="preserve"> </w:t>
      </w:r>
      <w:r w:rsidR="00D9258C" w:rsidRPr="00FD6A6A">
        <w:t>Afro-Brazilian</w:t>
      </w:r>
      <w:r w:rsidR="00541D05">
        <w:t xml:space="preserve"> </w:t>
      </w:r>
      <w:r w:rsidR="00D9258C" w:rsidRPr="00FD6A6A">
        <w:t>and</w:t>
      </w:r>
      <w:r w:rsidR="00541D05">
        <w:t xml:space="preserve"> </w:t>
      </w:r>
      <w:r w:rsidR="00D9258C" w:rsidRPr="00FD6A6A">
        <w:t>African</w:t>
      </w:r>
      <w:r w:rsidR="00541D05">
        <w:t xml:space="preserve"> </w:t>
      </w:r>
      <w:r w:rsidR="00D9258C" w:rsidRPr="00FD6A6A">
        <w:t>culture</w:t>
      </w:r>
      <w:r w:rsidR="00541D05">
        <w:t xml:space="preserve"> </w:t>
      </w:r>
      <w:r w:rsidR="00D9258C" w:rsidRPr="00FD6A6A">
        <w:t>and</w:t>
      </w:r>
      <w:r w:rsidR="00541D05">
        <w:t xml:space="preserve"> </w:t>
      </w:r>
      <w:r w:rsidR="00D9258C" w:rsidRPr="00FD6A6A">
        <w:t>history</w:t>
      </w:r>
      <w:r w:rsidR="00541D05">
        <w:t xml:space="preserve"> </w:t>
      </w:r>
      <w:r w:rsidR="00D9258C" w:rsidRPr="00FD6A6A">
        <w:t>published</w:t>
      </w:r>
      <w:r w:rsidR="00541D05">
        <w:t xml:space="preserve"> </w:t>
      </w:r>
      <w:r w:rsidR="00D9258C" w:rsidRPr="00FD6A6A">
        <w:t>or</w:t>
      </w:r>
      <w:r w:rsidR="00541D05">
        <w:t xml:space="preserve"> </w:t>
      </w:r>
      <w:r w:rsidR="00D9258C" w:rsidRPr="00FD6A6A">
        <w:t>supported</w:t>
      </w:r>
      <w:r w:rsidR="00541D05">
        <w:t xml:space="preserve"> </w:t>
      </w:r>
      <w:r w:rsidR="00D9258C" w:rsidRPr="00FD6A6A">
        <w:t>by</w:t>
      </w:r>
      <w:r w:rsidR="00541D05">
        <w:t xml:space="preserve"> </w:t>
      </w:r>
      <w:r w:rsidR="00D9258C" w:rsidRPr="00FD6A6A">
        <w:t>the</w:t>
      </w:r>
      <w:r w:rsidR="00541D05">
        <w:t xml:space="preserve"> </w:t>
      </w:r>
      <w:r w:rsidR="00D9258C" w:rsidRPr="00FD6A6A">
        <w:t>program,</w:t>
      </w:r>
      <w:r w:rsidR="00541D05">
        <w:t xml:space="preserve"> </w:t>
      </w:r>
      <w:r w:rsidR="00D9258C" w:rsidRPr="00FD6A6A">
        <w:t>with</w:t>
      </w:r>
      <w:r w:rsidR="00541D05">
        <w:t xml:space="preserve"> </w:t>
      </w:r>
      <w:r w:rsidR="00D9258C" w:rsidRPr="00FD6A6A">
        <w:t>over</w:t>
      </w:r>
      <w:r w:rsidR="00541D05">
        <w:t xml:space="preserve"> </w:t>
      </w:r>
      <w:r w:rsidR="00D9258C" w:rsidRPr="00FD6A6A">
        <w:t>1</w:t>
      </w:r>
      <w:r w:rsidR="00541D05">
        <w:t xml:space="preserve"> </w:t>
      </w:r>
      <w:r w:rsidR="00D9258C" w:rsidRPr="00FD6A6A">
        <w:t>million</w:t>
      </w:r>
      <w:r w:rsidR="00541D05">
        <w:t xml:space="preserve"> </w:t>
      </w:r>
      <w:r w:rsidR="00D9258C" w:rsidRPr="00FD6A6A">
        <w:t>copies</w:t>
      </w:r>
      <w:r w:rsidR="00541D05">
        <w:t xml:space="preserve"> </w:t>
      </w:r>
      <w:r w:rsidR="00D9258C" w:rsidRPr="00FD6A6A">
        <w:t>published.</w:t>
      </w:r>
      <w:r w:rsidR="00541D05">
        <w:t xml:space="preserve"> </w:t>
      </w:r>
      <w:r w:rsidR="00D9258C" w:rsidRPr="00FD6A6A">
        <w:t>Partnerships</w:t>
      </w:r>
      <w:r w:rsidR="00541D05">
        <w:t xml:space="preserve"> </w:t>
      </w:r>
      <w:r w:rsidR="00D9258C" w:rsidRPr="00FD6A6A">
        <w:t>with</w:t>
      </w:r>
      <w:r w:rsidR="00541D05">
        <w:t xml:space="preserve"> </w:t>
      </w:r>
      <w:r w:rsidR="00D9258C" w:rsidRPr="00FD6A6A">
        <w:t>television</w:t>
      </w:r>
      <w:r w:rsidR="00541D05">
        <w:t xml:space="preserve"> </w:t>
      </w:r>
      <w:r w:rsidR="00D9258C" w:rsidRPr="00FD6A6A">
        <w:t>channels</w:t>
      </w:r>
      <w:r w:rsidR="00541D05">
        <w:t xml:space="preserve"> </w:t>
      </w:r>
      <w:r w:rsidR="00D9258C" w:rsidRPr="00FD6A6A">
        <w:t>also</w:t>
      </w:r>
      <w:r w:rsidR="00541D05">
        <w:t xml:space="preserve"> </w:t>
      </w:r>
      <w:r w:rsidR="00D9258C" w:rsidRPr="00FD6A6A">
        <w:t>contributed</w:t>
      </w:r>
      <w:r w:rsidR="00541D05">
        <w:t xml:space="preserve"> </w:t>
      </w:r>
      <w:r w:rsidR="00D9258C" w:rsidRPr="00FD6A6A">
        <w:t>to</w:t>
      </w:r>
      <w:r w:rsidR="00541D05">
        <w:t xml:space="preserve"> </w:t>
      </w:r>
      <w:r w:rsidR="00D9258C" w:rsidRPr="00FD6A6A">
        <w:t>the</w:t>
      </w:r>
      <w:r w:rsidR="00541D05">
        <w:t xml:space="preserve"> </w:t>
      </w:r>
      <w:r w:rsidR="00D9258C" w:rsidRPr="00FD6A6A">
        <w:t>production</w:t>
      </w:r>
      <w:r w:rsidR="00541D05">
        <w:t xml:space="preserve"> </w:t>
      </w:r>
      <w:r w:rsidR="00D9258C" w:rsidRPr="00FD6A6A">
        <w:t>of</w:t>
      </w:r>
      <w:r w:rsidR="00541D05">
        <w:t xml:space="preserve"> </w:t>
      </w:r>
      <w:r w:rsidR="00D9258C" w:rsidRPr="00FD6A6A">
        <w:t>audiovisual</w:t>
      </w:r>
      <w:r w:rsidR="00541D05">
        <w:t xml:space="preserve"> </w:t>
      </w:r>
      <w:r w:rsidR="00D9258C" w:rsidRPr="00FD6A6A">
        <w:t>material,</w:t>
      </w:r>
      <w:r w:rsidR="00541D05">
        <w:t xml:space="preserve"> </w:t>
      </w:r>
      <w:r w:rsidR="00D9258C" w:rsidRPr="00FD6A6A">
        <w:t>which</w:t>
      </w:r>
      <w:r w:rsidR="00541D05">
        <w:t xml:space="preserve"> </w:t>
      </w:r>
      <w:r w:rsidR="00D9258C" w:rsidRPr="00FD6A6A">
        <w:t>was</w:t>
      </w:r>
      <w:r w:rsidR="00541D05">
        <w:t xml:space="preserve"> </w:t>
      </w:r>
      <w:r w:rsidR="00D9258C" w:rsidRPr="00FD6A6A">
        <w:t>later</w:t>
      </w:r>
      <w:r w:rsidR="00541D05">
        <w:t xml:space="preserve"> </w:t>
      </w:r>
      <w:r w:rsidR="00D9258C" w:rsidRPr="00FD6A6A">
        <w:t>distributed</w:t>
      </w:r>
      <w:r w:rsidR="00541D05">
        <w:t xml:space="preserve"> </w:t>
      </w:r>
      <w:r w:rsidR="00D9258C" w:rsidRPr="00FD6A6A">
        <w:t>by</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r w:rsidR="00541D05">
        <w:t xml:space="preserve"> </w:t>
      </w:r>
      <w:r w:rsidR="00D9258C" w:rsidRPr="00FD6A6A">
        <w:t>and</w:t>
      </w:r>
      <w:r w:rsidR="00541D05">
        <w:t xml:space="preserve"> </w:t>
      </w:r>
      <w:r w:rsidR="00D9258C" w:rsidRPr="00FD6A6A">
        <w:t>SNPIR,</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educational</w:t>
      </w:r>
      <w:r w:rsidR="00541D05">
        <w:t xml:space="preserve"> </w:t>
      </w:r>
      <w:r w:rsidR="00D9258C" w:rsidRPr="00FD6A6A">
        <w:t>kits</w:t>
      </w:r>
      <w:r w:rsidR="00541D05">
        <w:t xml:space="preserve"> </w:t>
      </w:r>
      <w:r w:rsidR="00D9258C" w:rsidRPr="00FD6A6A">
        <w:t>for</w:t>
      </w:r>
      <w:r w:rsidR="00541D05">
        <w:t xml:space="preserve"> </w:t>
      </w:r>
      <w:r w:rsidR="00D9258C" w:rsidRPr="00FD6A6A">
        <w:t>the</w:t>
      </w:r>
      <w:r w:rsidR="00541D05">
        <w:t xml:space="preserve"> </w:t>
      </w:r>
      <w:r w:rsidR="00D9258C" w:rsidRPr="00FD6A6A">
        <w:t>training</w:t>
      </w:r>
      <w:r w:rsidR="00541D05">
        <w:t xml:space="preserve"> </w:t>
      </w:r>
      <w:r w:rsidR="00D9258C" w:rsidRPr="00FD6A6A">
        <w:t>of</w:t>
      </w:r>
      <w:r w:rsidR="00541D05">
        <w:t xml:space="preserve"> </w:t>
      </w:r>
      <w:r w:rsidR="00D9258C" w:rsidRPr="00FD6A6A">
        <w:t>teachers.</w:t>
      </w:r>
      <w:r w:rsidR="00541D05">
        <w:t xml:space="preserve"> </w:t>
      </w:r>
      <w:r w:rsidR="00D9258C" w:rsidRPr="00FD6A6A">
        <w:t>However,</w:t>
      </w:r>
      <w:r w:rsidR="00541D05">
        <w:t xml:space="preserve"> </w:t>
      </w:r>
      <w:r w:rsidR="00D9258C" w:rsidRPr="00FD6A6A">
        <w:t>subsequent</w:t>
      </w:r>
      <w:r w:rsidR="00541D05">
        <w:t xml:space="preserve"> </w:t>
      </w:r>
      <w:r w:rsidR="00D9258C" w:rsidRPr="00FD6A6A">
        <w:t>assessments</w:t>
      </w:r>
      <w:r w:rsidR="00541D05">
        <w:t xml:space="preserve"> </w:t>
      </w:r>
      <w:r w:rsidR="00D9258C" w:rsidRPr="00FD6A6A">
        <w:t>showed</w:t>
      </w:r>
      <w:r w:rsidR="00541D05">
        <w:t xml:space="preserve"> </w:t>
      </w:r>
      <w:r w:rsidR="00D9258C" w:rsidRPr="00FD6A6A">
        <w:t>difficulties</w:t>
      </w:r>
      <w:r w:rsidR="00541D05">
        <w:t xml:space="preserve"> </w:t>
      </w:r>
      <w:r w:rsidR="00D9258C" w:rsidRPr="00FD6A6A">
        <w:t>in</w:t>
      </w:r>
      <w:r w:rsidR="00541D05">
        <w:t xml:space="preserve"> </w:t>
      </w:r>
      <w:r w:rsidR="00D9258C" w:rsidRPr="00FD6A6A">
        <w:t>the</w:t>
      </w:r>
      <w:r w:rsidR="00541D05">
        <w:t xml:space="preserve"> </w:t>
      </w:r>
      <w:r w:rsidR="00D9258C" w:rsidRPr="00FD6A6A">
        <w:t>coordination</w:t>
      </w:r>
      <w:r w:rsidR="00541D05">
        <w:t xml:space="preserve"> </w:t>
      </w:r>
      <w:r w:rsidR="00D9258C" w:rsidRPr="00FD6A6A">
        <w:t>with</w:t>
      </w:r>
      <w:r w:rsidR="00541D05">
        <w:t xml:space="preserve"> </w:t>
      </w:r>
      <w:r w:rsidR="00D9258C" w:rsidRPr="00FD6A6A">
        <w:t>state</w:t>
      </w:r>
      <w:r w:rsidR="00541D05">
        <w:t xml:space="preserve"> </w:t>
      </w:r>
      <w:r w:rsidR="00D9258C" w:rsidRPr="00FD6A6A">
        <w:t>secretariats,</w:t>
      </w:r>
      <w:r w:rsidR="00541D05">
        <w:t xml:space="preserve"> </w:t>
      </w:r>
      <w:r w:rsidR="00D9258C" w:rsidRPr="00FD6A6A">
        <w:t>which</w:t>
      </w:r>
      <w:r w:rsidR="00541D05">
        <w:t xml:space="preserve"> </w:t>
      </w:r>
      <w:r w:rsidR="00D9258C" w:rsidRPr="00FD6A6A">
        <w:t>are</w:t>
      </w:r>
      <w:r w:rsidR="00541D05">
        <w:t xml:space="preserve"> </w:t>
      </w:r>
      <w:r w:rsidR="00D9258C" w:rsidRPr="00FD6A6A">
        <w:t>responsible,</w:t>
      </w:r>
      <w:r w:rsidR="00541D05">
        <w:t xml:space="preserve"> </w:t>
      </w:r>
      <w:r w:rsidR="00D9258C" w:rsidRPr="00FD6A6A">
        <w:t>together</w:t>
      </w:r>
      <w:r w:rsidR="00541D05">
        <w:t xml:space="preserve"> </w:t>
      </w:r>
      <w:r w:rsidR="00D9258C" w:rsidRPr="00FD6A6A">
        <w:t>with</w:t>
      </w:r>
      <w:r w:rsidR="00541D05">
        <w:t xml:space="preserve"> </w:t>
      </w:r>
      <w:r w:rsidR="00D9258C" w:rsidRPr="00FD6A6A">
        <w:t>municipal</w:t>
      </w:r>
      <w:r w:rsidR="00541D05">
        <w:t xml:space="preserve"> </w:t>
      </w:r>
      <w:r w:rsidR="00D9258C" w:rsidRPr="00FD6A6A">
        <w:t>secretariats,</w:t>
      </w:r>
      <w:r w:rsidR="00541D05">
        <w:t xml:space="preserve"> </w:t>
      </w:r>
      <w:r w:rsidR="00D9258C" w:rsidRPr="00FD6A6A">
        <w:t>for</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Law</w:t>
      </w:r>
      <w:r w:rsidR="00541D05">
        <w:t xml:space="preserve"> </w:t>
      </w:r>
      <w:r w:rsidR="00D9258C" w:rsidRPr="00FD6A6A">
        <w:t>No.</w:t>
      </w:r>
      <w:r w:rsidR="00541D05">
        <w:t xml:space="preserve"> </w:t>
      </w:r>
      <w:r w:rsidR="00D9258C" w:rsidRPr="00FD6A6A">
        <w:t>10,639,</w:t>
      </w:r>
      <w:r w:rsidR="00541D05">
        <w:t xml:space="preserve"> </w:t>
      </w:r>
      <w:r w:rsidR="00D9258C" w:rsidRPr="00FD6A6A">
        <w:t>thus</w:t>
      </w:r>
      <w:r w:rsidR="00541D05">
        <w:t xml:space="preserve"> </w:t>
      </w:r>
      <w:r w:rsidR="00D9258C" w:rsidRPr="00FD6A6A">
        <w:t>limiting</w:t>
      </w:r>
      <w:r w:rsidR="00541D05">
        <w:t xml:space="preserve"> </w:t>
      </w:r>
      <w:r w:rsidR="00D9258C" w:rsidRPr="00FD6A6A">
        <w:t>the</w:t>
      </w:r>
      <w:r w:rsidR="00541D05">
        <w:t xml:space="preserve"> </w:t>
      </w:r>
      <w:r w:rsidR="00D9258C" w:rsidRPr="00FD6A6A">
        <w:t>effects</w:t>
      </w:r>
      <w:r w:rsidR="00541D05">
        <w:t xml:space="preserve"> </w:t>
      </w:r>
      <w:r w:rsidR="00D9258C" w:rsidRPr="00FD6A6A">
        <w:t>of</w:t>
      </w:r>
      <w:r w:rsidR="00541D05">
        <w:t xml:space="preserve"> </w:t>
      </w:r>
      <w:r w:rsidR="00D9258C" w:rsidRPr="00FD6A6A">
        <w:t>the</w:t>
      </w:r>
      <w:r w:rsidR="00541D05">
        <w:t xml:space="preserve"> </w:t>
      </w:r>
      <w:r w:rsidR="00D9258C" w:rsidRPr="00FD6A6A">
        <w:t>initiative.</w:t>
      </w:r>
    </w:p>
    <w:p w14:paraId="7700EFC9" w14:textId="30C10F6F" w:rsidR="00D9258C" w:rsidRPr="00FD6A6A" w:rsidRDefault="00166390" w:rsidP="00166390">
      <w:pPr>
        <w:pStyle w:val="ParaNoG"/>
        <w:numPr>
          <w:ilvl w:val="0"/>
          <w:numId w:val="0"/>
        </w:numPr>
        <w:tabs>
          <w:tab w:val="left" w:pos="0"/>
        </w:tabs>
        <w:ind w:left="1134"/>
      </w:pPr>
      <w:r w:rsidRPr="00FD6A6A">
        <w:t>211.</w:t>
      </w:r>
      <w:r w:rsidRPr="00FD6A6A">
        <w:tab/>
      </w:r>
      <w:r w:rsidR="00D9258C" w:rsidRPr="00FD6A6A">
        <w:t>In</w:t>
      </w:r>
      <w:r w:rsidR="00541D05">
        <w:t xml:space="preserve"> </w:t>
      </w:r>
      <w:r w:rsidR="00D9258C" w:rsidRPr="00FD6A6A">
        <w:t>2005,</w:t>
      </w:r>
      <w:r w:rsidR="00541D05">
        <w:t xml:space="preserve"> </w:t>
      </w:r>
      <w:r w:rsidR="00D9258C" w:rsidRPr="00FD6A6A">
        <w:t>a</w:t>
      </w:r>
      <w:r w:rsidR="00541D05">
        <w:t xml:space="preserve"> </w:t>
      </w:r>
      <w:r w:rsidR="00D9258C" w:rsidRPr="00FD6A6A">
        <w:t>cooperation</w:t>
      </w:r>
      <w:r w:rsidR="00541D05">
        <w:t xml:space="preserve"> </w:t>
      </w:r>
      <w:r w:rsidR="00D9258C" w:rsidRPr="00FD6A6A">
        <w:t>agreement</w:t>
      </w:r>
      <w:r w:rsidR="00541D05">
        <w:t xml:space="preserve"> </w:t>
      </w:r>
      <w:r w:rsidR="00D9258C" w:rsidRPr="00FD6A6A">
        <w:t>between</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r w:rsidR="00541D05">
        <w:t xml:space="preserve"> </w:t>
      </w:r>
      <w:r w:rsidR="00D9258C" w:rsidRPr="00FD6A6A">
        <w:t>and</w:t>
      </w:r>
      <w:r w:rsidR="00541D05">
        <w:t xml:space="preserve"> </w:t>
      </w:r>
      <w:r w:rsidR="00D9258C" w:rsidRPr="00FD6A6A">
        <w:t>the</w:t>
      </w:r>
      <w:r w:rsidR="00541D05">
        <w:t xml:space="preserve"> </w:t>
      </w:r>
      <w:r w:rsidR="00D9258C" w:rsidRPr="00FD6A6A">
        <w:t>Centers</w:t>
      </w:r>
      <w:r w:rsidR="00541D05">
        <w:t xml:space="preserve"> </w:t>
      </w:r>
      <w:r w:rsidR="00D9258C" w:rsidRPr="00FD6A6A">
        <w:t>for</w:t>
      </w:r>
      <w:r w:rsidR="00541D05">
        <w:t xml:space="preserve"> </w:t>
      </w:r>
      <w:r w:rsidR="00D9258C" w:rsidRPr="00FD6A6A">
        <w:t>Afro-Brazilian</w:t>
      </w:r>
      <w:r w:rsidR="00541D05">
        <w:t xml:space="preserve"> </w:t>
      </w:r>
      <w:r w:rsidR="00D9258C" w:rsidRPr="00FD6A6A">
        <w:t>Studies</w:t>
      </w:r>
      <w:r w:rsidR="00541D05">
        <w:t xml:space="preserve"> </w:t>
      </w:r>
      <w:r w:rsidR="00D9258C" w:rsidRPr="00FD6A6A">
        <w:t>(NEABS)</w:t>
      </w:r>
      <w:r w:rsidR="00541D05">
        <w:t xml:space="preserve"> </w:t>
      </w:r>
      <w:r w:rsidR="00D9258C" w:rsidRPr="00FD6A6A">
        <w:t>established</w:t>
      </w:r>
      <w:r w:rsidR="00541D05">
        <w:t xml:space="preserve"> </w:t>
      </w:r>
      <w:r w:rsidR="00D9258C" w:rsidRPr="00FD6A6A">
        <w:t>the</w:t>
      </w:r>
      <w:r w:rsidR="00541D05">
        <w:t xml:space="preserve"> </w:t>
      </w:r>
      <w:r w:rsidR="00D9258C" w:rsidRPr="00FD6A6A">
        <w:t>Affirmative</w:t>
      </w:r>
      <w:r w:rsidR="00541D05">
        <w:t xml:space="preserve"> </w:t>
      </w:r>
      <w:r w:rsidR="00D9258C" w:rsidRPr="00FD6A6A">
        <w:t>Action</w:t>
      </w:r>
      <w:r w:rsidR="00541D05">
        <w:t xml:space="preserve"> </w:t>
      </w:r>
      <w:r w:rsidR="00D9258C" w:rsidRPr="00FD6A6A">
        <w:t>Program</w:t>
      </w:r>
      <w:r w:rsidR="00541D05">
        <w:t xml:space="preserve"> </w:t>
      </w:r>
      <w:r w:rsidR="00D9258C" w:rsidRPr="00FD6A6A">
        <w:t>for</w:t>
      </w:r>
      <w:r w:rsidR="00541D05">
        <w:t xml:space="preserve"> </w:t>
      </w:r>
      <w:r w:rsidR="00D9258C" w:rsidRPr="00FD6A6A">
        <w:t>the</w:t>
      </w:r>
      <w:r w:rsidR="00541D05">
        <w:t xml:space="preserve"> </w:t>
      </w:r>
      <w:r w:rsidR="00D9258C" w:rsidRPr="00FD6A6A">
        <w:t>Afro-Brazilian</w:t>
      </w:r>
      <w:r w:rsidR="00541D05">
        <w:t xml:space="preserve"> </w:t>
      </w:r>
      <w:r w:rsidR="00D9258C" w:rsidRPr="00FD6A6A">
        <w:t>Population</w:t>
      </w:r>
      <w:r w:rsidR="00541D05">
        <w:t xml:space="preserve"> </w:t>
      </w:r>
      <w:r w:rsidR="00D9258C" w:rsidRPr="00FD6A6A">
        <w:t>in</w:t>
      </w:r>
      <w:r w:rsidR="00541D05">
        <w:t xml:space="preserve"> </w:t>
      </w:r>
      <w:r w:rsidR="00D9258C" w:rsidRPr="00FD6A6A">
        <w:t>Public</w:t>
      </w:r>
      <w:r w:rsidR="00541D05">
        <w:t xml:space="preserve"> </w:t>
      </w:r>
      <w:r w:rsidR="00D9258C" w:rsidRPr="00FD6A6A">
        <w:t>Higher</w:t>
      </w:r>
      <w:r w:rsidR="00541D05">
        <w:t xml:space="preserve"> </w:t>
      </w:r>
      <w:r w:rsidR="00D9258C" w:rsidRPr="00FD6A6A">
        <w:t>Education</w:t>
      </w:r>
      <w:r w:rsidR="00541D05">
        <w:t xml:space="preserve"> </w:t>
      </w:r>
      <w:r w:rsidR="00D9258C" w:rsidRPr="00FD6A6A">
        <w:t>Institutions</w:t>
      </w:r>
      <w:r w:rsidR="00541D05">
        <w:t xml:space="preserve"> </w:t>
      </w:r>
      <w:r w:rsidR="00D9258C" w:rsidRPr="00FD6A6A">
        <w:t>(UNIAFRO).</w:t>
      </w:r>
      <w:r w:rsidR="00541D05">
        <w:t xml:space="preserve"> </w:t>
      </w:r>
      <w:r w:rsidR="00D9258C" w:rsidRPr="00FD6A6A">
        <w:t>Through</w:t>
      </w:r>
      <w:r w:rsidR="00541D05">
        <w:t xml:space="preserve"> </w:t>
      </w:r>
      <w:r w:rsidR="00D9258C" w:rsidRPr="00FD6A6A">
        <w:t>this</w:t>
      </w:r>
      <w:r w:rsidR="00541D05">
        <w:t xml:space="preserve"> </w:t>
      </w:r>
      <w:r w:rsidR="00D9258C" w:rsidRPr="00FD6A6A">
        <w:t>action,</w:t>
      </w:r>
      <w:r w:rsidR="00541D05">
        <w:t xml:space="preserve"> </w:t>
      </w:r>
      <w:r w:rsidR="00D9258C" w:rsidRPr="00FD6A6A">
        <w:t>more</w:t>
      </w:r>
      <w:r w:rsidR="00541D05">
        <w:t xml:space="preserve"> </w:t>
      </w:r>
      <w:r w:rsidR="00D9258C" w:rsidRPr="00FD6A6A">
        <w:t>than</w:t>
      </w:r>
      <w:r w:rsidR="00541D05">
        <w:t xml:space="preserve"> </w:t>
      </w:r>
      <w:r w:rsidR="00D9258C" w:rsidRPr="00FD6A6A">
        <w:t>1,000</w:t>
      </w:r>
      <w:r w:rsidR="00541D05">
        <w:t xml:space="preserve"> </w:t>
      </w:r>
      <w:r w:rsidR="00D9258C" w:rsidRPr="00FD6A6A">
        <w:t>teachers</w:t>
      </w:r>
      <w:r w:rsidR="00541D05">
        <w:t xml:space="preserve"> </w:t>
      </w:r>
      <w:r w:rsidR="00D9258C" w:rsidRPr="00FD6A6A">
        <w:t>of</w:t>
      </w:r>
      <w:r w:rsidR="00541D05">
        <w:t xml:space="preserve"> </w:t>
      </w:r>
      <w:r w:rsidR="00D9258C" w:rsidRPr="00FD6A6A">
        <w:t>state</w:t>
      </w:r>
      <w:r w:rsidR="00541D05">
        <w:t xml:space="preserve"> </w:t>
      </w:r>
      <w:r w:rsidR="00D9258C" w:rsidRPr="00FD6A6A">
        <w:t>and</w:t>
      </w:r>
      <w:r w:rsidR="00541D05">
        <w:t xml:space="preserve"> </w:t>
      </w:r>
      <w:r w:rsidR="00D9258C" w:rsidRPr="00FD6A6A">
        <w:t>municipal</w:t>
      </w:r>
      <w:r w:rsidR="00541D05">
        <w:t xml:space="preserve"> </w:t>
      </w:r>
      <w:r w:rsidR="00D9258C" w:rsidRPr="00FD6A6A">
        <w:t>schools</w:t>
      </w:r>
      <w:r w:rsidR="00541D05">
        <w:t xml:space="preserve"> </w:t>
      </w:r>
      <w:r w:rsidR="00D9258C" w:rsidRPr="00FD6A6A">
        <w:t>were</w:t>
      </w:r>
      <w:r w:rsidR="00541D05">
        <w:t xml:space="preserve"> </w:t>
      </w:r>
      <w:r w:rsidR="00D9258C" w:rsidRPr="00FD6A6A">
        <w:t>trained,</w:t>
      </w:r>
      <w:r w:rsidR="00541D05">
        <w:t xml:space="preserve"> </w:t>
      </w:r>
      <w:r w:rsidR="00D9258C" w:rsidRPr="00FD6A6A">
        <w:t>and</w:t>
      </w:r>
      <w:r w:rsidR="00541D05">
        <w:t xml:space="preserve"> </w:t>
      </w:r>
      <w:r w:rsidR="00D9258C" w:rsidRPr="00FD6A6A">
        <w:t>15</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courses,</w:t>
      </w:r>
      <w:r w:rsidR="00541D05">
        <w:t xml:space="preserve"> </w:t>
      </w:r>
      <w:r w:rsidR="00D9258C" w:rsidRPr="00FD6A6A">
        <w:t>4</w:t>
      </w:r>
      <w:r w:rsidR="00541D05">
        <w:t xml:space="preserve"> </w:t>
      </w:r>
      <w:r w:rsidR="00D9258C" w:rsidRPr="00FD6A6A">
        <w:t>specialization</w:t>
      </w:r>
      <w:r w:rsidR="00541D05">
        <w:t xml:space="preserve"> </w:t>
      </w:r>
      <w:r w:rsidR="00D9258C" w:rsidRPr="00FD6A6A">
        <w:t>courses,</w:t>
      </w:r>
      <w:r w:rsidR="00541D05">
        <w:t xml:space="preserve"> </w:t>
      </w:r>
      <w:r w:rsidR="00D9258C" w:rsidRPr="00FD6A6A">
        <w:t>and</w:t>
      </w:r>
      <w:r w:rsidR="00541D05">
        <w:t xml:space="preserve"> </w:t>
      </w:r>
      <w:r w:rsidR="00D9258C" w:rsidRPr="00FD6A6A">
        <w:t>one</w:t>
      </w:r>
      <w:r w:rsidR="00541D05">
        <w:t xml:space="preserve"> </w:t>
      </w:r>
      <w:r w:rsidR="00D9258C" w:rsidRPr="00FD6A6A">
        <w:t>distance-learning</w:t>
      </w:r>
      <w:r w:rsidR="00541D05">
        <w:t xml:space="preserve"> </w:t>
      </w:r>
      <w:r w:rsidR="00D9258C" w:rsidRPr="00FD6A6A">
        <w:t>course</w:t>
      </w:r>
      <w:r w:rsidR="00541D05">
        <w:t xml:space="preserve"> </w:t>
      </w:r>
      <w:r w:rsidR="00D9258C" w:rsidRPr="00FD6A6A">
        <w:t>were</w:t>
      </w:r>
      <w:r w:rsidR="00541D05">
        <w:t xml:space="preserve"> </w:t>
      </w:r>
      <w:r w:rsidR="00D9258C" w:rsidRPr="00FD6A6A">
        <w:t>offered.</w:t>
      </w:r>
      <w:r w:rsidR="00541D05">
        <w:t xml:space="preserve"> </w:t>
      </w:r>
      <w:r w:rsidR="00D9258C" w:rsidRPr="00FD6A6A">
        <w:t>Furthermore,</w:t>
      </w:r>
      <w:r w:rsidR="00541D05">
        <w:t xml:space="preserve"> </w:t>
      </w:r>
      <w:r w:rsidR="00D9258C" w:rsidRPr="00FD6A6A">
        <w:t>15</w:t>
      </w:r>
      <w:r w:rsidR="00541D05">
        <w:t xml:space="preserve"> </w:t>
      </w:r>
      <w:r w:rsidR="00D9258C" w:rsidRPr="00FD6A6A">
        <w:t>publications</w:t>
      </w:r>
      <w:r w:rsidR="00541D05">
        <w:t xml:space="preserve"> </w:t>
      </w:r>
      <w:r w:rsidR="00D9258C" w:rsidRPr="00FD6A6A">
        <w:t>were</w:t>
      </w:r>
      <w:r w:rsidR="00541D05">
        <w:t xml:space="preserve"> </w:t>
      </w:r>
      <w:r w:rsidR="00D9258C" w:rsidRPr="00FD6A6A">
        <w:t>approved</w:t>
      </w:r>
      <w:r w:rsidR="00541D05">
        <w:t xml:space="preserve"> </w:t>
      </w:r>
      <w:r w:rsidR="00D9258C" w:rsidRPr="00FD6A6A">
        <w:t>for</w:t>
      </w:r>
      <w:r w:rsidR="00541D05">
        <w:t xml:space="preserve"> </w:t>
      </w:r>
      <w:r w:rsidR="00D9258C" w:rsidRPr="00FD6A6A">
        <w:t>federal</w:t>
      </w:r>
      <w:r w:rsidR="00541D05">
        <w:t xml:space="preserve"> </w:t>
      </w:r>
      <w:r w:rsidR="00D9258C" w:rsidRPr="00FD6A6A">
        <w:t>universities</w:t>
      </w:r>
      <w:r w:rsidR="00541D05">
        <w:t xml:space="preserve"> </w:t>
      </w:r>
      <w:r w:rsidR="00D9258C" w:rsidRPr="00FD6A6A">
        <w:t>and</w:t>
      </w:r>
      <w:r w:rsidR="00541D05">
        <w:t xml:space="preserve"> </w:t>
      </w:r>
      <w:r w:rsidR="00D9258C" w:rsidRPr="00FD6A6A">
        <w:t>13</w:t>
      </w:r>
      <w:r w:rsidR="00541D05">
        <w:t xml:space="preserve"> </w:t>
      </w:r>
      <w:r w:rsidR="00D9258C" w:rsidRPr="00FD6A6A">
        <w:t>for</w:t>
      </w:r>
      <w:r w:rsidR="00541D05">
        <w:t xml:space="preserve"> </w:t>
      </w:r>
      <w:r w:rsidR="00D9258C" w:rsidRPr="00FD6A6A">
        <w:t>state</w:t>
      </w:r>
      <w:r w:rsidR="00541D05">
        <w:t xml:space="preserve"> </w:t>
      </w:r>
      <w:r w:rsidR="00D9258C" w:rsidRPr="00FD6A6A">
        <w:t>universities.</w:t>
      </w:r>
      <w:r w:rsidR="00541D05">
        <w:t xml:space="preserve"> </w:t>
      </w:r>
      <w:r w:rsidR="00D9258C" w:rsidRPr="00FD6A6A">
        <w:t>Additionally,</w:t>
      </w:r>
      <w:r w:rsidR="00541D05">
        <w:t xml:space="preserve"> </w:t>
      </w:r>
      <w:r w:rsidR="00D9258C" w:rsidRPr="00FD6A6A">
        <w:t>180</w:t>
      </w:r>
      <w:r w:rsidR="00541D05">
        <w:t xml:space="preserve"> </w:t>
      </w:r>
      <w:r w:rsidR="00D9258C" w:rsidRPr="00FD6A6A">
        <w:t>Afro-Brazilian</w:t>
      </w:r>
      <w:r w:rsidR="00541D05">
        <w:t xml:space="preserve"> </w:t>
      </w:r>
      <w:r w:rsidR="00D9258C" w:rsidRPr="00FD6A6A">
        <w:t>undergraduate</w:t>
      </w:r>
      <w:r w:rsidR="00541D05">
        <w:t xml:space="preserve"> </w:t>
      </w:r>
      <w:r w:rsidR="00D9258C" w:rsidRPr="00FD6A6A">
        <w:t>students</w:t>
      </w:r>
      <w:r w:rsidR="00541D05">
        <w:t xml:space="preserve"> </w:t>
      </w:r>
      <w:r w:rsidR="00D9258C" w:rsidRPr="00FD6A6A">
        <w:t>received</w:t>
      </w:r>
      <w:r w:rsidR="00541D05">
        <w:t xml:space="preserve"> </w:t>
      </w:r>
      <w:r w:rsidR="00D9258C" w:rsidRPr="00FD6A6A">
        <w:t>an</w:t>
      </w:r>
      <w:r w:rsidR="00541D05">
        <w:t xml:space="preserve"> </w:t>
      </w:r>
      <w:r w:rsidR="00D9258C" w:rsidRPr="00FD6A6A">
        <w:lastRenderedPageBreak/>
        <w:t>allowance</w:t>
      </w:r>
      <w:r w:rsidR="00541D05">
        <w:t xml:space="preserve"> </w:t>
      </w:r>
      <w:r w:rsidR="00D9258C" w:rsidRPr="00FD6A6A">
        <w:t>during</w:t>
      </w:r>
      <w:r w:rsidR="00541D05">
        <w:t xml:space="preserve"> </w:t>
      </w:r>
      <w:r w:rsidR="00D9258C" w:rsidRPr="00FD6A6A">
        <w:t>10</w:t>
      </w:r>
      <w:r w:rsidR="00541D05">
        <w:t xml:space="preserve"> </w:t>
      </w:r>
      <w:r w:rsidR="00D9258C" w:rsidRPr="00FD6A6A">
        <w:t>months.</w:t>
      </w:r>
      <w:r w:rsidR="00541D05">
        <w:t xml:space="preserve"> </w:t>
      </w:r>
      <w:r w:rsidR="00D9258C" w:rsidRPr="00FD6A6A">
        <w:t>Although</w:t>
      </w:r>
      <w:r w:rsidR="00541D05">
        <w:t xml:space="preserve"> </w:t>
      </w:r>
      <w:r w:rsidR="00D9258C" w:rsidRPr="00FD6A6A">
        <w:t>important</w:t>
      </w:r>
      <w:r w:rsidR="00541D05">
        <w:t xml:space="preserve"> </w:t>
      </w:r>
      <w:r w:rsidR="00D9258C" w:rsidRPr="00FD6A6A">
        <w:t>initiatives</w:t>
      </w:r>
      <w:r w:rsidR="00541D05">
        <w:t xml:space="preserve"> </w:t>
      </w:r>
      <w:r w:rsidR="00D9258C" w:rsidRPr="00FD6A6A">
        <w:t>were</w:t>
      </w:r>
      <w:r w:rsidR="00541D05">
        <w:t xml:space="preserve"> </w:t>
      </w:r>
      <w:r w:rsidR="00D9258C" w:rsidRPr="00FD6A6A">
        <w:t>a</w:t>
      </w:r>
      <w:r w:rsidR="00541D05">
        <w:t xml:space="preserve"> </w:t>
      </w:r>
      <w:r w:rsidR="00D9258C" w:rsidRPr="00FD6A6A">
        <w:t>part</w:t>
      </w:r>
      <w:r w:rsidR="00541D05">
        <w:t xml:space="preserve"> </w:t>
      </w:r>
      <w:r w:rsidR="00D9258C" w:rsidRPr="00FD6A6A">
        <w:t>of</w:t>
      </w:r>
      <w:r w:rsidR="00541D05">
        <w:t xml:space="preserve"> </w:t>
      </w:r>
      <w:r w:rsidR="00D9258C" w:rsidRPr="00FD6A6A">
        <w:t>the</w:t>
      </w:r>
      <w:r w:rsidR="00541D05">
        <w:t xml:space="preserve"> </w:t>
      </w:r>
      <w:r w:rsidR="00D9258C" w:rsidRPr="00FD6A6A">
        <w:t>program,</w:t>
      </w:r>
      <w:r w:rsidR="00541D05">
        <w:t xml:space="preserve"> </w:t>
      </w:r>
      <w:r w:rsidR="00D9258C" w:rsidRPr="00FD6A6A">
        <w:t>it</w:t>
      </w:r>
      <w:r w:rsidR="00541D05">
        <w:t xml:space="preserve"> </w:t>
      </w:r>
      <w:r w:rsidR="00D9258C" w:rsidRPr="00FD6A6A">
        <w:t>was</w:t>
      </w:r>
      <w:r w:rsidR="00541D05">
        <w:t xml:space="preserve"> </w:t>
      </w:r>
      <w:r w:rsidR="00D9258C" w:rsidRPr="00FD6A6A">
        <w:t>implemented</w:t>
      </w:r>
      <w:r w:rsidR="00541D05">
        <w:t xml:space="preserve"> </w:t>
      </w:r>
      <w:r w:rsidR="00D9258C" w:rsidRPr="00FD6A6A">
        <w:t>on</w:t>
      </w:r>
      <w:r w:rsidR="00541D05">
        <w:t xml:space="preserve"> </w:t>
      </w:r>
      <w:r w:rsidR="00D9258C" w:rsidRPr="00FD6A6A">
        <w:t>a</w:t>
      </w:r>
      <w:r w:rsidR="00541D05">
        <w:t xml:space="preserve"> </w:t>
      </w:r>
      <w:r w:rsidR="00D9258C" w:rsidRPr="00FD6A6A">
        <w:t>small</w:t>
      </w:r>
      <w:r w:rsidR="00541D05">
        <w:t xml:space="preserve"> </w:t>
      </w:r>
      <w:r w:rsidR="00D9258C" w:rsidRPr="00FD6A6A">
        <w:t>scale.</w:t>
      </w:r>
    </w:p>
    <w:p w14:paraId="79FBF91D" w14:textId="3659DEB1" w:rsidR="00D9258C" w:rsidRPr="00FD6A6A" w:rsidRDefault="00166390" w:rsidP="00166390">
      <w:pPr>
        <w:pStyle w:val="ParaNoG"/>
        <w:numPr>
          <w:ilvl w:val="0"/>
          <w:numId w:val="0"/>
        </w:numPr>
        <w:tabs>
          <w:tab w:val="left" w:pos="0"/>
        </w:tabs>
        <w:ind w:left="1134"/>
      </w:pPr>
      <w:r w:rsidRPr="00FD6A6A">
        <w:t>212.</w:t>
      </w:r>
      <w:r w:rsidRPr="00FD6A6A">
        <w:tab/>
      </w:r>
      <w:r w:rsidR="00D9258C" w:rsidRPr="00FD6A6A">
        <w:t>Other</w:t>
      </w:r>
      <w:r w:rsidR="00541D05">
        <w:t xml:space="preserve"> </w:t>
      </w:r>
      <w:r w:rsidR="00D9258C" w:rsidRPr="00FD6A6A">
        <w:t>actions</w:t>
      </w:r>
      <w:r w:rsidR="00541D05">
        <w:t xml:space="preserve"> </w:t>
      </w:r>
      <w:r w:rsidR="00D9258C" w:rsidRPr="00FD6A6A">
        <w:t>contributed</w:t>
      </w:r>
      <w:r w:rsidR="00541D05">
        <w:t xml:space="preserve"> </w:t>
      </w:r>
      <w:r w:rsidR="00D9258C" w:rsidRPr="00FD6A6A">
        <w:t>to</w:t>
      </w:r>
      <w:r w:rsidR="00541D05">
        <w:t xml:space="preserve"> </w:t>
      </w:r>
      <w:r w:rsidR="00D9258C" w:rsidRPr="00FD6A6A">
        <w:t>increase</w:t>
      </w:r>
      <w:r w:rsidR="00541D05">
        <w:t xml:space="preserve"> </w:t>
      </w:r>
      <w:r w:rsidR="00D9258C" w:rsidRPr="00FD6A6A">
        <w:t>the</w:t>
      </w:r>
      <w:r w:rsidR="00541D05">
        <w:t xml:space="preserve"> </w:t>
      </w:r>
      <w:r w:rsidR="00D9258C" w:rsidRPr="00FD6A6A">
        <w:t>effectiveness</w:t>
      </w:r>
      <w:r w:rsidR="00541D05">
        <w:t xml:space="preserve"> </w:t>
      </w:r>
      <w:r w:rsidR="00D9258C" w:rsidRPr="00FD6A6A">
        <w:t>of</w:t>
      </w:r>
      <w:r w:rsidR="00541D05">
        <w:t xml:space="preserve"> </w:t>
      </w:r>
      <w:r w:rsidR="00D9258C" w:rsidRPr="00FD6A6A">
        <w:t>the</w:t>
      </w:r>
      <w:r w:rsidR="00541D05">
        <w:t xml:space="preserve"> </w:t>
      </w:r>
      <w:r w:rsidR="00D9258C" w:rsidRPr="00FD6A6A">
        <w:t>law,</w:t>
      </w:r>
      <w:r w:rsidR="00541D05">
        <w:t xml:space="preserve"> </w:t>
      </w:r>
      <w:r w:rsidR="00D9258C" w:rsidRPr="00FD6A6A">
        <w:t>for</w:t>
      </w:r>
      <w:r w:rsidR="00541D05">
        <w:t xml:space="preserve"> </w:t>
      </w:r>
      <w:r w:rsidR="00D9258C" w:rsidRPr="00FD6A6A">
        <w:t>example,</w:t>
      </w:r>
      <w:r w:rsidR="00541D05">
        <w:t xml:space="preserve"> </w:t>
      </w:r>
      <w:r w:rsidR="00D9258C" w:rsidRPr="00FD6A6A">
        <w:t>workshops</w:t>
      </w:r>
      <w:r w:rsidR="00541D05">
        <w:t xml:space="preserve"> </w:t>
      </w:r>
      <w:r w:rsidR="00D9258C" w:rsidRPr="00FD6A6A">
        <w:t>and</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courses</w:t>
      </w:r>
      <w:r w:rsidR="00541D05">
        <w:t xml:space="preserve"> </w:t>
      </w:r>
      <w:r w:rsidR="00D9258C" w:rsidRPr="00FD6A6A">
        <w:t>for</w:t>
      </w:r>
      <w:r w:rsidR="00541D05">
        <w:t xml:space="preserve"> </w:t>
      </w:r>
      <w:r w:rsidR="00D9258C" w:rsidRPr="00FD6A6A">
        <w:t>educators</w:t>
      </w:r>
      <w:r w:rsidR="00541D05">
        <w:t xml:space="preserve"> </w:t>
      </w:r>
      <w:r w:rsidR="00D9258C" w:rsidRPr="00FD6A6A">
        <w:t>from</w:t>
      </w:r>
      <w:r w:rsidR="00541D05">
        <w:t xml:space="preserve"> </w:t>
      </w:r>
      <w:r w:rsidR="00D9258C" w:rsidRPr="00FD6A6A">
        <w:t>public</w:t>
      </w:r>
      <w:r w:rsidR="00541D05">
        <w:t xml:space="preserve"> </w:t>
      </w:r>
      <w:r w:rsidR="00D9258C" w:rsidRPr="00FD6A6A">
        <w:t>schools</w:t>
      </w:r>
      <w:r w:rsidR="00541D05">
        <w:t xml:space="preserve"> </w:t>
      </w:r>
      <w:r w:rsidR="00D9258C" w:rsidRPr="00FD6A6A">
        <w:t>of</w:t>
      </w:r>
      <w:r w:rsidR="00541D05">
        <w:t xml:space="preserve"> </w:t>
      </w:r>
      <w:r w:rsidR="00D9258C" w:rsidRPr="00FD6A6A">
        <w:t>states</w:t>
      </w:r>
      <w:r w:rsidR="00541D05">
        <w:t xml:space="preserve"> </w:t>
      </w:r>
      <w:r w:rsidR="00D9258C" w:rsidRPr="00FD6A6A">
        <w:t>with</w:t>
      </w:r>
      <w:r w:rsidR="00541D05">
        <w:t xml:space="preserve"> </w:t>
      </w:r>
      <w:r w:rsidR="00D9258C" w:rsidRPr="00FD6A6A">
        <w:t>the</w:t>
      </w:r>
      <w:r w:rsidR="00541D05">
        <w:t xml:space="preserve"> </w:t>
      </w:r>
      <w:r w:rsidR="00D9258C" w:rsidRPr="00FD6A6A">
        <w:t>highest</w:t>
      </w:r>
      <w:r w:rsidR="00541D05">
        <w:t xml:space="preserve"> </w:t>
      </w:r>
      <w:r w:rsidR="00D9258C" w:rsidRPr="00FD6A6A">
        <w:t>percentages</w:t>
      </w:r>
      <w:r w:rsidR="00541D05">
        <w:t xml:space="preserve"> </w:t>
      </w:r>
      <w:r w:rsidR="00D9258C" w:rsidRPr="00FD6A6A">
        <w:t>of</w:t>
      </w:r>
      <w:r w:rsidR="00541D05">
        <w:t xml:space="preserve"> </w:t>
      </w:r>
      <w:r w:rsidR="00D9258C" w:rsidRPr="00FD6A6A">
        <w:t>Afro-Brazilians,</w:t>
      </w:r>
      <w:r w:rsidR="00541D05">
        <w:t xml:space="preserve"> </w:t>
      </w:r>
      <w:r w:rsidR="00D9258C" w:rsidRPr="00FD6A6A">
        <w:t>the</w:t>
      </w:r>
      <w:r w:rsidR="00541D05">
        <w:t xml:space="preserve"> </w:t>
      </w:r>
      <w:r w:rsidR="00D9258C" w:rsidRPr="00FD6A6A">
        <w:t>inclusion</w:t>
      </w:r>
      <w:r w:rsidR="00541D05">
        <w:t xml:space="preserve"> </w:t>
      </w:r>
      <w:r w:rsidR="00D9258C" w:rsidRPr="00FD6A6A">
        <w:t>of</w:t>
      </w:r>
      <w:r w:rsidR="00541D05">
        <w:t xml:space="preserve"> </w:t>
      </w:r>
      <w:r w:rsidR="00D9258C" w:rsidRPr="00FD6A6A">
        <w:t>this</w:t>
      </w:r>
      <w:r w:rsidR="00541D05">
        <w:t xml:space="preserve"> </w:t>
      </w:r>
      <w:r w:rsidR="00D9258C" w:rsidRPr="00FD6A6A">
        <w:t>issue</w:t>
      </w:r>
      <w:r w:rsidR="00541D05">
        <w:t xml:space="preserve"> </w:t>
      </w:r>
      <w:r w:rsidR="00D9258C" w:rsidRPr="00FD6A6A">
        <w:t>in</w:t>
      </w:r>
      <w:r w:rsidR="00541D05">
        <w:t xml:space="preserve"> </w:t>
      </w:r>
      <w:r w:rsidR="00D9258C" w:rsidRPr="00FD6A6A">
        <w:t>vocational</w:t>
      </w:r>
      <w:r w:rsidR="00541D05">
        <w:t xml:space="preserve"> </w:t>
      </w:r>
      <w:r w:rsidR="00D9258C" w:rsidRPr="00FD6A6A">
        <w:t>and</w:t>
      </w:r>
      <w:r w:rsidR="00541D05">
        <w:t xml:space="preserve"> </w:t>
      </w:r>
      <w:r w:rsidR="00D9258C" w:rsidRPr="00FD6A6A">
        <w:t>technological</w:t>
      </w:r>
      <w:r w:rsidR="00541D05">
        <w:t xml:space="preserve"> </w:t>
      </w:r>
      <w:r w:rsidR="00D9258C" w:rsidRPr="00FD6A6A">
        <w:t>training</w:t>
      </w:r>
      <w:r w:rsidR="00541D05">
        <w:t xml:space="preserve"> </w:t>
      </w:r>
      <w:r w:rsidR="00D9258C" w:rsidRPr="00FD6A6A">
        <w:t>courses,</w:t>
      </w:r>
      <w:r w:rsidR="00541D05">
        <w:t xml:space="preserve"> </w:t>
      </w:r>
      <w:r w:rsidR="00D9258C" w:rsidRPr="00FD6A6A">
        <w:t>among</w:t>
      </w:r>
      <w:r w:rsidR="00541D05">
        <w:t xml:space="preserve"> </w:t>
      </w:r>
      <w:r w:rsidR="00D9258C" w:rsidRPr="00FD6A6A">
        <w:t>other</w:t>
      </w:r>
      <w:r w:rsidR="00541D05">
        <w:t xml:space="preserve"> </w:t>
      </w:r>
      <w:r w:rsidR="00D9258C" w:rsidRPr="00FD6A6A">
        <w:t>initiatives</w:t>
      </w:r>
      <w:r w:rsidR="00541D05">
        <w:t xml:space="preserve"> </w:t>
      </w:r>
      <w:r w:rsidR="00D9258C" w:rsidRPr="00FD6A6A">
        <w:t>coordinated</w:t>
      </w:r>
      <w:r w:rsidR="00541D05">
        <w:t xml:space="preserve"> </w:t>
      </w:r>
      <w:r w:rsidR="00D9258C" w:rsidRPr="00FD6A6A">
        <w:t>by</w:t>
      </w:r>
      <w:r w:rsidR="00541D05">
        <w:t xml:space="preserve"> </w:t>
      </w:r>
      <w:r w:rsidR="00D9258C" w:rsidRPr="00FD6A6A">
        <w:t>the</w:t>
      </w:r>
      <w:r w:rsidR="00541D05">
        <w:t xml:space="preserve"> </w:t>
      </w:r>
      <w:r w:rsidR="00D9258C" w:rsidRPr="00FD6A6A">
        <w:t>Secretariat</w:t>
      </w:r>
      <w:r w:rsidR="00541D05">
        <w:t xml:space="preserve"> </w:t>
      </w:r>
      <w:r w:rsidR="00D9258C" w:rsidRPr="00FD6A6A">
        <w:t>of</w:t>
      </w:r>
      <w:r w:rsidR="00541D05">
        <w:t xml:space="preserve"> </w:t>
      </w:r>
      <w:r w:rsidR="00D9258C" w:rsidRPr="00FD6A6A">
        <w:t>Continuing</w:t>
      </w:r>
      <w:r w:rsidR="00541D05">
        <w:t xml:space="preserve"> </w:t>
      </w:r>
      <w:r w:rsidR="00D9258C" w:rsidRPr="00FD6A6A">
        <w:t>Education,</w:t>
      </w:r>
      <w:r w:rsidR="00541D05">
        <w:t xml:space="preserve"> </w:t>
      </w:r>
      <w:r w:rsidR="00D9258C" w:rsidRPr="00FD6A6A">
        <w:t>Literacy,</w:t>
      </w:r>
      <w:r w:rsidR="00541D05">
        <w:t xml:space="preserve"> </w:t>
      </w:r>
      <w:r w:rsidR="00D9258C" w:rsidRPr="00FD6A6A">
        <w:t>and</w:t>
      </w:r>
      <w:r w:rsidR="00541D05">
        <w:t xml:space="preserve"> </w:t>
      </w:r>
      <w:r w:rsidR="00D9258C" w:rsidRPr="00FD6A6A">
        <w:t>Diversity,</w:t>
      </w:r>
      <w:r w:rsidR="00541D05">
        <w:t xml:space="preserve"> </w:t>
      </w:r>
      <w:r w:rsidR="00D9258C" w:rsidRPr="00FD6A6A">
        <w:t>of</w:t>
      </w:r>
      <w:r w:rsidR="00541D05">
        <w:t xml:space="preserve"> </w:t>
      </w:r>
      <w:r w:rsidR="00D9258C" w:rsidRPr="00FD6A6A">
        <w:t>the</w:t>
      </w:r>
      <w:r w:rsidR="00541D05">
        <w:t xml:space="preserve"> </w:t>
      </w:r>
      <w:r w:rsidR="00D9258C" w:rsidRPr="00FD6A6A">
        <w:t>Ministry</w:t>
      </w:r>
      <w:r w:rsidR="00541D05">
        <w:t xml:space="preserve"> </w:t>
      </w:r>
      <w:r w:rsidR="00D9258C" w:rsidRPr="00FD6A6A">
        <w:t>of</w:t>
      </w:r>
      <w:r w:rsidR="00541D05">
        <w:t xml:space="preserve"> </w:t>
      </w:r>
      <w:r w:rsidR="00D9258C" w:rsidRPr="00FD6A6A">
        <w:t>Education.</w:t>
      </w:r>
    </w:p>
    <w:p w14:paraId="5290BA8E" w14:textId="6D822F34" w:rsidR="00D9258C" w:rsidRPr="00FD6A6A" w:rsidRDefault="00166390" w:rsidP="00166390">
      <w:pPr>
        <w:pStyle w:val="ParaNoG"/>
        <w:numPr>
          <w:ilvl w:val="0"/>
          <w:numId w:val="0"/>
        </w:numPr>
        <w:tabs>
          <w:tab w:val="left" w:pos="0"/>
        </w:tabs>
        <w:ind w:left="1134"/>
      </w:pPr>
      <w:r w:rsidRPr="00FD6A6A">
        <w:t>213.</w:t>
      </w:r>
      <w:r w:rsidRPr="00FD6A6A">
        <w:tab/>
      </w:r>
      <w:r w:rsidR="00D9258C" w:rsidRPr="00FD6A6A">
        <w:t>In</w:t>
      </w:r>
      <w:r w:rsidR="00541D05">
        <w:t xml:space="preserve"> </w:t>
      </w:r>
      <w:r w:rsidR="00D9258C" w:rsidRPr="00FD6A6A">
        <w:t>2005,</w:t>
      </w:r>
      <w:r w:rsidR="00541D05">
        <w:t xml:space="preserve"> </w:t>
      </w:r>
      <w:r w:rsidR="00D9258C" w:rsidRPr="00FD6A6A">
        <w:t>the</w:t>
      </w:r>
      <w:r w:rsidR="00541D05">
        <w:t xml:space="preserve"> </w:t>
      </w:r>
      <w:r w:rsidR="00D9258C" w:rsidRPr="009F0C7E">
        <w:rPr>
          <w:i/>
          <w:iCs/>
        </w:rPr>
        <w:t>National</w:t>
      </w:r>
      <w:r w:rsidR="00541D05" w:rsidRPr="009F0C7E">
        <w:rPr>
          <w:i/>
          <w:iCs/>
        </w:rPr>
        <w:t xml:space="preserve"> </w:t>
      </w:r>
      <w:r w:rsidR="00D9258C" w:rsidRPr="009F0C7E">
        <w:rPr>
          <w:i/>
          <w:iCs/>
        </w:rPr>
        <w:t>curriculum</w:t>
      </w:r>
      <w:r w:rsidR="00541D05" w:rsidRPr="009F0C7E">
        <w:rPr>
          <w:i/>
          <w:iCs/>
        </w:rPr>
        <w:t xml:space="preserve"> </w:t>
      </w:r>
      <w:r w:rsidR="00D9258C" w:rsidRPr="009F0C7E">
        <w:rPr>
          <w:i/>
          <w:iCs/>
        </w:rPr>
        <w:t>guidelines</w:t>
      </w:r>
      <w:r w:rsidR="00541D05" w:rsidRPr="009F0C7E">
        <w:rPr>
          <w:i/>
          <w:iCs/>
        </w:rPr>
        <w:t xml:space="preserve"> </w:t>
      </w:r>
      <w:r w:rsidR="00D9258C" w:rsidRPr="009F0C7E">
        <w:rPr>
          <w:i/>
          <w:iCs/>
        </w:rPr>
        <w:t>to</w:t>
      </w:r>
      <w:r w:rsidR="00541D05" w:rsidRPr="009F0C7E">
        <w:rPr>
          <w:i/>
          <w:iCs/>
        </w:rPr>
        <w:t xml:space="preserve"> </w:t>
      </w:r>
      <w:r w:rsidR="00D9258C" w:rsidRPr="009F0C7E">
        <w:rPr>
          <w:i/>
          <w:iCs/>
        </w:rPr>
        <w:t>the</w:t>
      </w:r>
      <w:r w:rsidR="00541D05" w:rsidRPr="009F0C7E">
        <w:rPr>
          <w:i/>
          <w:iCs/>
        </w:rPr>
        <w:t xml:space="preserve"> </w:t>
      </w:r>
      <w:r w:rsidR="00D9258C" w:rsidRPr="009F0C7E">
        <w:rPr>
          <w:i/>
          <w:iCs/>
        </w:rPr>
        <w:t>education</w:t>
      </w:r>
      <w:r w:rsidR="00541D05" w:rsidRPr="009F0C7E">
        <w:rPr>
          <w:i/>
          <w:iCs/>
        </w:rPr>
        <w:t xml:space="preserve"> </w:t>
      </w:r>
      <w:r w:rsidR="00D9258C" w:rsidRPr="009F0C7E">
        <w:rPr>
          <w:i/>
          <w:iCs/>
        </w:rPr>
        <w:t>of</w:t>
      </w:r>
      <w:r w:rsidR="00541D05" w:rsidRPr="009F0C7E">
        <w:rPr>
          <w:i/>
          <w:iCs/>
        </w:rPr>
        <w:t xml:space="preserve"> </w:t>
      </w:r>
      <w:r w:rsidR="00D9258C" w:rsidRPr="009F0C7E">
        <w:rPr>
          <w:i/>
          <w:iCs/>
        </w:rPr>
        <w:t>ethnic-racial</w:t>
      </w:r>
      <w:r w:rsidR="00541D05" w:rsidRPr="009F0C7E">
        <w:rPr>
          <w:i/>
          <w:iCs/>
        </w:rPr>
        <w:t xml:space="preserve"> </w:t>
      </w:r>
      <w:r w:rsidR="00D9258C" w:rsidRPr="009F0C7E">
        <w:rPr>
          <w:i/>
          <w:iCs/>
        </w:rPr>
        <w:t>relations</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teaching</w:t>
      </w:r>
      <w:r w:rsidR="00541D05" w:rsidRPr="009F0C7E">
        <w:rPr>
          <w:i/>
          <w:iCs/>
        </w:rPr>
        <w:t xml:space="preserve"> </w:t>
      </w:r>
      <w:r w:rsidR="00D9258C" w:rsidRPr="009F0C7E">
        <w:rPr>
          <w:i/>
          <w:iCs/>
        </w:rPr>
        <w:t>of</w:t>
      </w:r>
      <w:r w:rsidR="00541D05" w:rsidRPr="009F0C7E">
        <w:rPr>
          <w:i/>
          <w:iCs/>
        </w:rPr>
        <w:t xml:space="preserve"> </w:t>
      </w:r>
      <w:r w:rsidR="00D9258C" w:rsidRPr="009F0C7E">
        <w:rPr>
          <w:i/>
          <w:iCs/>
        </w:rPr>
        <w:t>African</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Afro-Brazilian</w:t>
      </w:r>
      <w:r w:rsidR="00541D05" w:rsidRPr="009F0C7E">
        <w:rPr>
          <w:i/>
          <w:iCs/>
        </w:rPr>
        <w:t xml:space="preserve"> </w:t>
      </w:r>
      <w:r w:rsidR="00D9258C" w:rsidRPr="009F0C7E">
        <w:rPr>
          <w:i/>
          <w:iCs/>
        </w:rPr>
        <w:t>history</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culture</w:t>
      </w:r>
      <w:r w:rsidR="00541D05">
        <w:t xml:space="preserve"> </w:t>
      </w:r>
      <w:r w:rsidR="00D9258C" w:rsidRPr="00FD6A6A">
        <w:t>was</w:t>
      </w:r>
      <w:r w:rsidR="00541D05">
        <w:t xml:space="preserve"> </w:t>
      </w:r>
      <w:r w:rsidR="00D9258C" w:rsidRPr="00FD6A6A">
        <w:t>published.</w:t>
      </w:r>
      <w:r w:rsidR="00541D05">
        <w:t xml:space="preserve"> </w:t>
      </w:r>
      <w:r w:rsidR="00D9258C" w:rsidRPr="00FD6A6A">
        <w:t>This</w:t>
      </w:r>
      <w:r w:rsidR="00541D05">
        <w:t xml:space="preserve"> </w:t>
      </w:r>
      <w:r w:rsidR="00D9258C" w:rsidRPr="00FD6A6A">
        <w:t>document</w:t>
      </w:r>
      <w:r w:rsidR="00541D05">
        <w:t xml:space="preserve"> </w:t>
      </w:r>
      <w:r w:rsidR="00D9258C" w:rsidRPr="00FD6A6A">
        <w:t>presented</w:t>
      </w:r>
      <w:r w:rsidR="00541D05">
        <w:t xml:space="preserve"> </w:t>
      </w:r>
      <w:r w:rsidR="00D9258C" w:rsidRPr="00FD6A6A">
        <w:t>contents,</w:t>
      </w:r>
      <w:r w:rsidR="00541D05">
        <w:t xml:space="preserve"> </w:t>
      </w:r>
      <w:r w:rsidR="00D9258C" w:rsidRPr="00FD6A6A">
        <w:t>competences,</w:t>
      </w:r>
      <w:r w:rsidR="00541D05">
        <w:t xml:space="preserve"> </w:t>
      </w:r>
      <w:r w:rsidR="00D9258C" w:rsidRPr="00FD6A6A">
        <w:t>attitudes,</w:t>
      </w:r>
      <w:r w:rsidR="00541D05">
        <w:t xml:space="preserve"> </w:t>
      </w:r>
      <w:r w:rsidR="00D9258C" w:rsidRPr="00FD6A6A">
        <w:t>and</w:t>
      </w:r>
      <w:r w:rsidR="00541D05">
        <w:t xml:space="preserve"> </w:t>
      </w:r>
      <w:r w:rsidR="00D9258C" w:rsidRPr="00FD6A6A">
        <w:t>values</w:t>
      </w:r>
      <w:r w:rsidR="00541D05">
        <w:t xml:space="preserve"> </w:t>
      </w:r>
      <w:r w:rsidR="00D9258C" w:rsidRPr="00FD6A6A">
        <w:t>to</w:t>
      </w:r>
      <w:r w:rsidR="00541D05">
        <w:t xml:space="preserve"> </w:t>
      </w:r>
      <w:r w:rsidR="00D9258C" w:rsidRPr="00FD6A6A">
        <w:t>guide</w:t>
      </w:r>
      <w:r w:rsidR="00541D05">
        <w:t xml:space="preserve"> </w:t>
      </w:r>
      <w:r w:rsidR="00D9258C" w:rsidRPr="00FD6A6A">
        <w:t>the</w:t>
      </w:r>
      <w:r w:rsidR="00541D05">
        <w:t xml:space="preserve"> </w:t>
      </w:r>
      <w:r w:rsidR="00D9258C" w:rsidRPr="00FD6A6A">
        <w:t>teaching</w:t>
      </w:r>
      <w:r w:rsidR="00541D05">
        <w:t xml:space="preserve"> </w:t>
      </w:r>
      <w:r w:rsidR="00D9258C" w:rsidRPr="00FD6A6A">
        <w:t>of</w:t>
      </w:r>
      <w:r w:rsidR="00541D05">
        <w:t xml:space="preserve"> </w:t>
      </w:r>
      <w:r w:rsidR="00D9258C" w:rsidRPr="00FD6A6A">
        <w:t>African</w:t>
      </w:r>
      <w:r w:rsidR="00541D05">
        <w:t xml:space="preserve"> </w:t>
      </w:r>
      <w:r w:rsidR="00D9258C" w:rsidRPr="00FD6A6A">
        <w:t>history</w:t>
      </w:r>
      <w:r w:rsidR="00541D05">
        <w:t xml:space="preserve"> </w:t>
      </w:r>
      <w:r w:rsidR="00D9258C" w:rsidRPr="00FD6A6A">
        <w:t>in</w:t>
      </w:r>
      <w:r w:rsidR="00541D05">
        <w:t xml:space="preserve"> </w:t>
      </w:r>
      <w:r w:rsidR="00D9258C" w:rsidRPr="00FD6A6A">
        <w:t>schools.</w:t>
      </w:r>
      <w:r w:rsidR="00541D05">
        <w:t xml:space="preserve"> </w:t>
      </w:r>
      <w:r w:rsidR="00D9258C" w:rsidRPr="00FD6A6A">
        <w:t>It</w:t>
      </w:r>
      <w:r w:rsidR="00541D05">
        <w:t xml:space="preserve"> </w:t>
      </w:r>
      <w:r w:rsidR="00D9258C" w:rsidRPr="00FD6A6A">
        <w:t>has</w:t>
      </w:r>
      <w:r w:rsidR="00541D05">
        <w:t xml:space="preserve"> </w:t>
      </w:r>
      <w:r w:rsidR="00D9258C" w:rsidRPr="00FD6A6A">
        <w:t>been</w:t>
      </w:r>
      <w:r w:rsidR="00541D05">
        <w:t xml:space="preserve"> </w:t>
      </w:r>
      <w:r w:rsidR="00D9258C" w:rsidRPr="00FD6A6A">
        <w:t>gradually</w:t>
      </w:r>
      <w:r w:rsidR="00541D05">
        <w:t xml:space="preserve"> </w:t>
      </w:r>
      <w:r w:rsidR="00D9258C" w:rsidRPr="00FD6A6A">
        <w:t>applied</w:t>
      </w:r>
      <w:r w:rsidR="00541D05">
        <w:t xml:space="preserve"> </w:t>
      </w:r>
      <w:r w:rsidR="00D9258C" w:rsidRPr="00FD6A6A">
        <w:t>to</w:t>
      </w:r>
      <w:r w:rsidR="00541D05">
        <w:t xml:space="preserve"> </w:t>
      </w:r>
      <w:r w:rsidR="00D9258C" w:rsidRPr="00FD6A6A">
        <w:t>teaching</w:t>
      </w:r>
      <w:r w:rsidR="00541D05">
        <w:t xml:space="preserve"> </w:t>
      </w:r>
      <w:r w:rsidR="00D9258C" w:rsidRPr="00FD6A6A">
        <w:t>practices.</w:t>
      </w:r>
    </w:p>
    <w:p w14:paraId="1551BE84" w14:textId="48C5F62E" w:rsidR="00D9258C" w:rsidRPr="00FD6A6A" w:rsidRDefault="00166390" w:rsidP="00166390">
      <w:pPr>
        <w:pStyle w:val="ParaNoG"/>
        <w:numPr>
          <w:ilvl w:val="0"/>
          <w:numId w:val="0"/>
        </w:numPr>
        <w:tabs>
          <w:tab w:val="left" w:pos="0"/>
        </w:tabs>
        <w:ind w:left="1134"/>
      </w:pPr>
      <w:r w:rsidRPr="00FD6A6A">
        <w:t>214.</w:t>
      </w:r>
      <w:r w:rsidRPr="00FD6A6A">
        <w:tab/>
      </w:r>
      <w:r w:rsidR="00D9258C" w:rsidRPr="00FD6A6A">
        <w:t>In</w:t>
      </w:r>
      <w:r w:rsidR="00541D05">
        <w:t xml:space="preserve"> </w:t>
      </w:r>
      <w:r w:rsidR="00D9258C" w:rsidRPr="00FD6A6A">
        <w:t>2009,</w:t>
      </w:r>
      <w:r w:rsidR="00541D05">
        <w:t xml:space="preserve"> </w:t>
      </w:r>
      <w:r w:rsidR="00D9258C" w:rsidRPr="00FD6A6A">
        <w:t>the</w:t>
      </w:r>
      <w:r w:rsidR="00541D05">
        <w:t xml:space="preserve"> </w:t>
      </w:r>
      <w:r w:rsidR="00D9258C" w:rsidRPr="00FD6A6A">
        <w:t>National</w:t>
      </w:r>
      <w:r w:rsidR="00541D05">
        <w:t xml:space="preserve"> </w:t>
      </w:r>
      <w:r w:rsidR="00D9258C" w:rsidRPr="00FD6A6A">
        <w:t>Plan</w:t>
      </w:r>
      <w:r w:rsidR="00541D05">
        <w:t xml:space="preserve"> </w:t>
      </w:r>
      <w:r w:rsidR="00D9258C" w:rsidRPr="00FD6A6A">
        <w:t>for</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the</w:t>
      </w:r>
      <w:r w:rsidR="00541D05">
        <w:t xml:space="preserve"> </w:t>
      </w:r>
      <w:r w:rsidR="00D9258C" w:rsidRPr="009F0C7E">
        <w:rPr>
          <w:i/>
          <w:iCs/>
        </w:rPr>
        <w:t>National</w:t>
      </w:r>
      <w:r w:rsidR="00541D05" w:rsidRPr="009F0C7E">
        <w:rPr>
          <w:i/>
          <w:iCs/>
        </w:rPr>
        <w:t xml:space="preserve"> </w:t>
      </w:r>
      <w:r w:rsidR="00D9258C" w:rsidRPr="009F0C7E">
        <w:rPr>
          <w:i/>
          <w:iCs/>
        </w:rPr>
        <w:t>curriculum</w:t>
      </w:r>
      <w:r w:rsidR="00541D05" w:rsidRPr="009F0C7E">
        <w:rPr>
          <w:i/>
          <w:iCs/>
        </w:rPr>
        <w:t xml:space="preserve"> </w:t>
      </w:r>
      <w:r w:rsidR="00D9258C" w:rsidRPr="009F0C7E">
        <w:rPr>
          <w:i/>
          <w:iCs/>
        </w:rPr>
        <w:t>guidelines</w:t>
      </w:r>
      <w:r w:rsidR="00541D05" w:rsidRPr="009F0C7E">
        <w:rPr>
          <w:i/>
          <w:iCs/>
        </w:rPr>
        <w:t xml:space="preserve"> </w:t>
      </w:r>
      <w:r w:rsidR="00D9258C" w:rsidRPr="009F0C7E">
        <w:rPr>
          <w:i/>
          <w:iCs/>
        </w:rPr>
        <w:t>to</w:t>
      </w:r>
      <w:r w:rsidR="00541D05" w:rsidRPr="009F0C7E">
        <w:rPr>
          <w:i/>
          <w:iCs/>
        </w:rPr>
        <w:t xml:space="preserve"> </w:t>
      </w:r>
      <w:r w:rsidR="00D9258C" w:rsidRPr="009F0C7E">
        <w:rPr>
          <w:i/>
          <w:iCs/>
        </w:rPr>
        <w:t>the</w:t>
      </w:r>
      <w:r w:rsidR="00541D05" w:rsidRPr="009F0C7E">
        <w:rPr>
          <w:i/>
          <w:iCs/>
        </w:rPr>
        <w:t xml:space="preserve"> </w:t>
      </w:r>
      <w:r w:rsidR="00D9258C" w:rsidRPr="009F0C7E">
        <w:rPr>
          <w:i/>
          <w:iCs/>
        </w:rPr>
        <w:t>education</w:t>
      </w:r>
      <w:r w:rsidR="00541D05" w:rsidRPr="009F0C7E">
        <w:rPr>
          <w:i/>
          <w:iCs/>
        </w:rPr>
        <w:t xml:space="preserve"> </w:t>
      </w:r>
      <w:r w:rsidR="00D9258C" w:rsidRPr="009F0C7E">
        <w:rPr>
          <w:i/>
          <w:iCs/>
        </w:rPr>
        <w:t>of</w:t>
      </w:r>
      <w:r w:rsidR="00541D05" w:rsidRPr="009F0C7E">
        <w:rPr>
          <w:i/>
          <w:iCs/>
        </w:rPr>
        <w:t xml:space="preserve"> </w:t>
      </w:r>
      <w:r w:rsidR="00D9258C" w:rsidRPr="009F0C7E">
        <w:rPr>
          <w:i/>
          <w:iCs/>
        </w:rPr>
        <w:t>ethnic-racial</w:t>
      </w:r>
      <w:r w:rsidR="00541D05" w:rsidRPr="009F0C7E">
        <w:rPr>
          <w:i/>
          <w:iCs/>
        </w:rPr>
        <w:t xml:space="preserve"> </w:t>
      </w:r>
      <w:r w:rsidR="00D9258C" w:rsidRPr="009F0C7E">
        <w:rPr>
          <w:i/>
          <w:iCs/>
        </w:rPr>
        <w:t>relations</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teaching</w:t>
      </w:r>
      <w:r w:rsidR="00541D05" w:rsidRPr="009F0C7E">
        <w:rPr>
          <w:i/>
          <w:iCs/>
        </w:rPr>
        <w:t xml:space="preserve"> </w:t>
      </w:r>
      <w:r w:rsidR="00D9258C" w:rsidRPr="009F0C7E">
        <w:rPr>
          <w:i/>
          <w:iCs/>
        </w:rPr>
        <w:t>of</w:t>
      </w:r>
      <w:r w:rsidR="00541D05" w:rsidRPr="009F0C7E">
        <w:rPr>
          <w:i/>
          <w:iCs/>
        </w:rPr>
        <w:t xml:space="preserve"> </w:t>
      </w:r>
      <w:r w:rsidR="00D9258C" w:rsidRPr="009F0C7E">
        <w:rPr>
          <w:i/>
          <w:iCs/>
        </w:rPr>
        <w:t>African</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Afro-Brazilian</w:t>
      </w:r>
      <w:r w:rsidR="00541D05" w:rsidRPr="009F0C7E">
        <w:rPr>
          <w:i/>
          <w:iCs/>
        </w:rPr>
        <w:t xml:space="preserve"> </w:t>
      </w:r>
      <w:r w:rsidR="00D9258C" w:rsidRPr="009F0C7E">
        <w:rPr>
          <w:i/>
          <w:iCs/>
        </w:rPr>
        <w:t>history</w:t>
      </w:r>
      <w:r w:rsidR="00541D05" w:rsidRPr="009F0C7E">
        <w:rPr>
          <w:i/>
          <w:iCs/>
        </w:rPr>
        <w:t xml:space="preserve"> </w:t>
      </w:r>
      <w:r w:rsidR="00D9258C" w:rsidRPr="009F0C7E">
        <w:rPr>
          <w:i/>
          <w:iCs/>
        </w:rPr>
        <w:t>and</w:t>
      </w:r>
      <w:r w:rsidR="00541D05" w:rsidRPr="009F0C7E">
        <w:rPr>
          <w:i/>
          <w:iCs/>
        </w:rPr>
        <w:t xml:space="preserve"> </w:t>
      </w:r>
      <w:r w:rsidR="00D9258C" w:rsidRPr="009F0C7E">
        <w:rPr>
          <w:i/>
          <w:iCs/>
        </w:rPr>
        <w:t>culture</w:t>
      </w:r>
      <w:r w:rsidR="00541D05">
        <w:t xml:space="preserve"> </w:t>
      </w:r>
      <w:r w:rsidR="00D9258C" w:rsidRPr="00FD6A6A">
        <w:t>was</w:t>
      </w:r>
      <w:r w:rsidR="00541D05">
        <w:t xml:space="preserve"> </w:t>
      </w:r>
      <w:r w:rsidR="00D9258C" w:rsidRPr="00FD6A6A">
        <w:t>launched.</w:t>
      </w:r>
      <w:r w:rsidR="00541D05">
        <w:t xml:space="preserve"> </w:t>
      </w:r>
      <w:r w:rsidR="00D9258C" w:rsidRPr="00FD6A6A">
        <w:t>This</w:t>
      </w:r>
      <w:r w:rsidR="00541D05">
        <w:t xml:space="preserve"> </w:t>
      </w:r>
      <w:r w:rsidR="00D9258C" w:rsidRPr="00FD6A6A">
        <w:t>plan</w:t>
      </w:r>
      <w:r w:rsidR="00541D05">
        <w:t xml:space="preserve"> </w:t>
      </w:r>
      <w:r w:rsidR="00D9258C" w:rsidRPr="00FD6A6A">
        <w:t>provided</w:t>
      </w:r>
      <w:r w:rsidR="00541D05">
        <w:t xml:space="preserve"> </w:t>
      </w:r>
      <w:r w:rsidR="00D9258C" w:rsidRPr="00FD6A6A">
        <w:t>for</w:t>
      </w:r>
      <w:r w:rsidR="00541D05">
        <w:t xml:space="preserve"> </w:t>
      </w:r>
      <w:r w:rsidR="00D9258C" w:rsidRPr="00FD6A6A">
        <w:t>the</w:t>
      </w:r>
      <w:r w:rsidR="00541D05">
        <w:t xml:space="preserve"> </w:t>
      </w:r>
      <w:r w:rsidR="00D9258C" w:rsidRPr="00FD6A6A">
        <w:t>inclusion</w:t>
      </w:r>
      <w:r w:rsidR="00541D05">
        <w:t xml:space="preserve"> </w:t>
      </w:r>
      <w:r w:rsidR="00D9258C" w:rsidRPr="00FD6A6A">
        <w:t>of</w:t>
      </w:r>
      <w:r w:rsidR="00541D05">
        <w:t xml:space="preserve"> </w:t>
      </w:r>
      <w:r w:rsidR="00D9258C" w:rsidRPr="00FD6A6A">
        <w:t>a</w:t>
      </w:r>
      <w:r w:rsidR="00541D05">
        <w:t xml:space="preserve"> </w:t>
      </w:r>
      <w:r w:rsidR="00D9258C" w:rsidRPr="00FD6A6A">
        <w:t>set</w:t>
      </w:r>
      <w:r w:rsidR="00541D05">
        <w:t xml:space="preserve"> </w:t>
      </w:r>
      <w:r w:rsidR="00D9258C" w:rsidRPr="00FD6A6A">
        <w:t>of</w:t>
      </w:r>
      <w:r w:rsidR="00541D05">
        <w:t xml:space="preserve"> </w:t>
      </w:r>
      <w:r w:rsidR="00D9258C" w:rsidRPr="00FD6A6A">
        <w:t>actions</w:t>
      </w:r>
      <w:r w:rsidR="00541D05">
        <w:t xml:space="preserve"> </w:t>
      </w:r>
      <w:r w:rsidR="00D9258C" w:rsidRPr="00FD6A6A">
        <w:t>to</w:t>
      </w:r>
      <w:r w:rsidR="00541D05">
        <w:t xml:space="preserve"> </w:t>
      </w:r>
      <w:r w:rsidR="00D9258C" w:rsidRPr="00FD6A6A">
        <w:t>be</w:t>
      </w:r>
      <w:r w:rsidR="00541D05">
        <w:t xml:space="preserve"> </w:t>
      </w:r>
      <w:r w:rsidR="00D9258C" w:rsidRPr="00FD6A6A">
        <w:t>performed</w:t>
      </w:r>
      <w:r w:rsidR="00541D05">
        <w:t xml:space="preserve"> </w:t>
      </w:r>
      <w:r w:rsidR="00D9258C" w:rsidRPr="00FD6A6A">
        <w:t>by</w:t>
      </w:r>
      <w:r w:rsidR="00541D05">
        <w:t xml:space="preserve"> </w:t>
      </w:r>
      <w:r w:rsidR="00D9258C" w:rsidRPr="00FD6A6A">
        <w:t>the</w:t>
      </w:r>
      <w:r w:rsidR="00541D05">
        <w:t xml:space="preserve"> </w:t>
      </w:r>
      <w:r w:rsidR="00D9258C" w:rsidRPr="00FD6A6A">
        <w:t>federal,</w:t>
      </w:r>
      <w:r w:rsidR="00541D05">
        <w:t xml:space="preserve"> </w:t>
      </w:r>
      <w:r w:rsidR="00D9258C" w:rsidRPr="00FD6A6A">
        <w:t>state,</w:t>
      </w:r>
      <w:r w:rsidR="00541D05">
        <w:t xml:space="preserve"> </w:t>
      </w:r>
      <w:r w:rsidR="00D9258C" w:rsidRPr="00FD6A6A">
        <w:t>and</w:t>
      </w:r>
      <w:r w:rsidR="00541D05">
        <w:t xml:space="preserve"> </w:t>
      </w:r>
      <w:r w:rsidR="00D9258C" w:rsidRPr="00FD6A6A">
        <w:t>local</w:t>
      </w:r>
      <w:r w:rsidR="00541D05">
        <w:t xml:space="preserve"> </w:t>
      </w:r>
      <w:r w:rsidR="00D9258C" w:rsidRPr="00FD6A6A">
        <w:t>governments.</w:t>
      </w:r>
      <w:r w:rsidR="00541D05">
        <w:t xml:space="preserve"> </w:t>
      </w:r>
      <w:r w:rsidR="00D9258C" w:rsidRPr="00FD6A6A">
        <w:t>The</w:t>
      </w:r>
      <w:r w:rsidR="00541D05">
        <w:t xml:space="preserve"> </w:t>
      </w:r>
      <w:r w:rsidR="00D9258C" w:rsidRPr="00FD6A6A">
        <w:t>varied</w:t>
      </w:r>
      <w:r w:rsidR="00541D05">
        <w:t xml:space="preserve"> </w:t>
      </w:r>
      <w:r w:rsidR="00D9258C" w:rsidRPr="00FD6A6A">
        <w:t>actions</w:t>
      </w:r>
      <w:r w:rsidR="00541D05">
        <w:t xml:space="preserve"> </w:t>
      </w:r>
      <w:r w:rsidR="00D9258C" w:rsidRPr="00FD6A6A">
        <w:t>were</w:t>
      </w:r>
      <w:r w:rsidR="00541D05">
        <w:t xml:space="preserve"> </w:t>
      </w:r>
      <w:r w:rsidR="00D9258C" w:rsidRPr="00FD6A6A">
        <w:t>about</w:t>
      </w:r>
      <w:r w:rsidR="00541D05">
        <w:t xml:space="preserve"> </w:t>
      </w:r>
      <w:r w:rsidR="00D9258C" w:rsidRPr="00FD6A6A">
        <w:t>the</w:t>
      </w:r>
      <w:r w:rsidR="00541D05">
        <w:t xml:space="preserve"> </w:t>
      </w:r>
      <w:r w:rsidR="00D9258C" w:rsidRPr="00FD6A6A">
        <w:t>inclusion</w:t>
      </w:r>
      <w:r w:rsidR="00541D05">
        <w:t xml:space="preserve"> </w:t>
      </w:r>
      <w:r w:rsidR="00D9258C" w:rsidRPr="00FD6A6A">
        <w:t>of</w:t>
      </w:r>
      <w:r w:rsidR="00541D05">
        <w:t xml:space="preserve"> </w:t>
      </w:r>
      <w:r w:rsidR="00D9258C" w:rsidRPr="00FD6A6A">
        <w:t>the</w:t>
      </w:r>
      <w:r w:rsidR="00541D05">
        <w:t xml:space="preserve"> </w:t>
      </w:r>
      <w:r w:rsidR="00D9258C" w:rsidRPr="00FD6A6A">
        <w:t>guidelines</w:t>
      </w:r>
      <w:r w:rsidR="00541D05">
        <w:t xml:space="preserve"> </w:t>
      </w:r>
      <w:r w:rsidR="00D9258C" w:rsidRPr="00FD6A6A">
        <w:t>in</w:t>
      </w:r>
      <w:r w:rsidR="00541D05">
        <w:t xml:space="preserve"> </w:t>
      </w:r>
      <w:r w:rsidR="00D9258C" w:rsidRPr="00FD6A6A">
        <w:t>the</w:t>
      </w:r>
      <w:r w:rsidR="00541D05">
        <w:t xml:space="preserve"> </w:t>
      </w:r>
      <w:r w:rsidR="00D9258C" w:rsidRPr="00FD6A6A">
        <w:t>training</w:t>
      </w:r>
      <w:r w:rsidR="00541D05">
        <w:t xml:space="preserve"> </w:t>
      </w:r>
      <w:r w:rsidR="00D9258C" w:rsidRPr="00FD6A6A">
        <w:t>of</w:t>
      </w:r>
      <w:r w:rsidR="00541D05">
        <w:t xml:space="preserve"> </w:t>
      </w:r>
      <w:r w:rsidR="00D9258C" w:rsidRPr="00FD6A6A">
        <w:t>education</w:t>
      </w:r>
      <w:r w:rsidR="00541D05">
        <w:t xml:space="preserve"> </w:t>
      </w:r>
      <w:r w:rsidR="00D9258C" w:rsidRPr="00FD6A6A">
        <w:t>managers</w:t>
      </w:r>
      <w:r w:rsidR="00541D05">
        <w:t xml:space="preserve"> </w:t>
      </w:r>
      <w:r w:rsidR="00D9258C" w:rsidRPr="00FD6A6A">
        <w:t>and</w:t>
      </w:r>
      <w:r w:rsidR="00541D05">
        <w:t xml:space="preserve"> </w:t>
      </w:r>
      <w:r w:rsidR="00D9258C" w:rsidRPr="00FD6A6A">
        <w:t>professionals,</w:t>
      </w:r>
      <w:r w:rsidR="00541D05">
        <w:t xml:space="preserve"> </w:t>
      </w:r>
      <w:r w:rsidR="00D9258C" w:rsidRPr="00FD6A6A">
        <w:t>the</w:t>
      </w:r>
      <w:r w:rsidR="00541D05">
        <w:t xml:space="preserve"> </w:t>
      </w:r>
      <w:r w:rsidR="00D9258C" w:rsidRPr="00FD6A6A">
        <w:t>development</w:t>
      </w:r>
      <w:r w:rsidR="00541D05">
        <w:t xml:space="preserve"> </w:t>
      </w:r>
      <w:r w:rsidR="00D9258C" w:rsidRPr="00FD6A6A">
        <w:t>of</w:t>
      </w:r>
      <w:r w:rsidR="00541D05">
        <w:t xml:space="preserve"> </w:t>
      </w:r>
      <w:r w:rsidR="00D9258C" w:rsidRPr="00FD6A6A">
        <w:t>indicators</w:t>
      </w:r>
      <w:r w:rsidR="00541D05">
        <w:t xml:space="preserve"> </w:t>
      </w:r>
      <w:r w:rsidR="00D9258C" w:rsidRPr="00FD6A6A">
        <w:t>to</w:t>
      </w:r>
      <w:r w:rsidR="00541D05">
        <w:t xml:space="preserve"> </w:t>
      </w:r>
      <w:r w:rsidR="00D9258C" w:rsidRPr="00FD6A6A">
        <w:t>monitor</w:t>
      </w:r>
      <w:r w:rsidR="00541D05">
        <w:t xml:space="preserve"> </w:t>
      </w:r>
      <w:r w:rsidR="00D9258C" w:rsidRPr="00FD6A6A">
        <w:t>this</w:t>
      </w:r>
      <w:r w:rsidR="00541D05">
        <w:t xml:space="preserve"> </w:t>
      </w:r>
      <w:r w:rsidR="00D9258C" w:rsidRPr="00FD6A6A">
        <w:t>policy,</w:t>
      </w:r>
      <w:r w:rsidR="00541D05">
        <w:t xml:space="preserve"> </w:t>
      </w:r>
      <w:r w:rsidR="00D9258C" w:rsidRPr="00FD6A6A">
        <w:t>the</w:t>
      </w:r>
      <w:r w:rsidR="00541D05">
        <w:t xml:space="preserve"> </w:t>
      </w:r>
      <w:r w:rsidR="00D9258C" w:rsidRPr="00FD6A6A">
        <w:t>preparation</w:t>
      </w:r>
      <w:r w:rsidR="00541D05">
        <w:t xml:space="preserve"> </w:t>
      </w:r>
      <w:r w:rsidR="00D9258C" w:rsidRPr="00FD6A6A">
        <w:t>of</w:t>
      </w:r>
      <w:r w:rsidR="00541D05">
        <w:t xml:space="preserve"> </w:t>
      </w:r>
      <w:r w:rsidR="00D9258C" w:rsidRPr="00FD6A6A">
        <w:t>teaching</w:t>
      </w:r>
      <w:r w:rsidR="00541D05">
        <w:t xml:space="preserve"> </w:t>
      </w:r>
      <w:r w:rsidR="00D9258C" w:rsidRPr="00FD6A6A">
        <w:t>materials,</w:t>
      </w:r>
      <w:r w:rsidR="00541D05">
        <w:t xml:space="preserve"> </w:t>
      </w:r>
      <w:r w:rsidR="00D9258C" w:rsidRPr="00FD6A6A">
        <w:t>communication</w:t>
      </w:r>
      <w:r w:rsidR="00541D05">
        <w:t xml:space="preserve"> </w:t>
      </w:r>
      <w:r w:rsidR="00D9258C" w:rsidRPr="00FD6A6A">
        <w:t>actions,</w:t>
      </w:r>
      <w:r w:rsidR="00541D05">
        <w:t xml:space="preserve"> </w:t>
      </w:r>
      <w:r w:rsidR="00D9258C" w:rsidRPr="00FD6A6A">
        <w:t>among</w:t>
      </w:r>
      <w:r w:rsidR="00541D05">
        <w:t xml:space="preserve"> </w:t>
      </w:r>
      <w:r w:rsidR="00D9258C" w:rsidRPr="00FD6A6A">
        <w:t>others.</w:t>
      </w:r>
    </w:p>
    <w:p w14:paraId="7C069B20" w14:textId="59BD2875" w:rsidR="00D9258C" w:rsidRPr="00FD6A6A" w:rsidRDefault="00166390" w:rsidP="00166390">
      <w:pPr>
        <w:pStyle w:val="ParaNoG"/>
        <w:numPr>
          <w:ilvl w:val="0"/>
          <w:numId w:val="0"/>
        </w:numPr>
        <w:tabs>
          <w:tab w:val="left" w:pos="0"/>
        </w:tabs>
        <w:ind w:left="1134"/>
      </w:pPr>
      <w:r w:rsidRPr="00FD6A6A">
        <w:t>215.</w:t>
      </w:r>
      <w:r w:rsidRPr="00FD6A6A">
        <w:tab/>
      </w:r>
      <w:r w:rsidR="00D9258C" w:rsidRPr="00FD6A6A">
        <w:t>The</w:t>
      </w:r>
      <w:r w:rsidR="00541D05">
        <w:t xml:space="preserve"> </w:t>
      </w:r>
      <w:r w:rsidR="00D9258C" w:rsidRPr="00FD6A6A">
        <w:t>inclusion</w:t>
      </w:r>
      <w:r w:rsidR="00541D05">
        <w:t xml:space="preserve"> </w:t>
      </w:r>
      <w:r w:rsidR="00D9258C" w:rsidRPr="00FD6A6A">
        <w:t>of</w:t>
      </w:r>
      <w:r w:rsidR="00541D05">
        <w:t xml:space="preserve"> </w:t>
      </w:r>
      <w:r w:rsidR="00D9258C" w:rsidRPr="00FD6A6A">
        <w:t>this</w:t>
      </w:r>
      <w:r w:rsidR="00541D05">
        <w:t xml:space="preserve"> </w:t>
      </w:r>
      <w:r w:rsidR="00D9258C" w:rsidRPr="00FD6A6A">
        <w:t>topic</w:t>
      </w:r>
      <w:r w:rsidR="00541D05">
        <w:t xml:space="preserve"> </w:t>
      </w:r>
      <w:r w:rsidR="00D9258C" w:rsidRPr="00FD6A6A">
        <w:t>in</w:t>
      </w:r>
      <w:r w:rsidR="00541D05">
        <w:t xml:space="preserve"> </w:t>
      </w:r>
      <w:r w:rsidR="00D9258C" w:rsidRPr="00FD6A6A">
        <w:t>the</w:t>
      </w:r>
      <w:r w:rsidR="00541D05">
        <w:t xml:space="preserve"> </w:t>
      </w:r>
      <w:r w:rsidR="00D9258C" w:rsidRPr="00FD6A6A">
        <w:t>National</w:t>
      </w:r>
      <w:r w:rsidR="00541D05">
        <w:t xml:space="preserve"> </w:t>
      </w:r>
      <w:r w:rsidR="00D9258C" w:rsidRPr="00FD6A6A">
        <w:t>High</w:t>
      </w:r>
      <w:r w:rsidR="00541D05">
        <w:t xml:space="preserve"> </w:t>
      </w:r>
      <w:r w:rsidR="00D9258C" w:rsidRPr="00FD6A6A">
        <w:t>School</w:t>
      </w:r>
      <w:r w:rsidR="00541D05">
        <w:t xml:space="preserve"> </w:t>
      </w:r>
      <w:r w:rsidR="00D9258C" w:rsidRPr="00FD6A6A">
        <w:t>Exam,</w:t>
      </w:r>
      <w:r w:rsidR="00541D05">
        <w:t xml:space="preserve"> </w:t>
      </w:r>
      <w:r w:rsidR="00D9258C" w:rsidRPr="00FD6A6A">
        <w:t>which</w:t>
      </w:r>
      <w:r w:rsidR="00541D05">
        <w:t xml:space="preserve"> </w:t>
      </w:r>
      <w:r w:rsidR="00D9258C" w:rsidRPr="00FD6A6A">
        <w:t>enables</w:t>
      </w:r>
      <w:r w:rsidR="00541D05">
        <w:t xml:space="preserve"> </w:t>
      </w:r>
      <w:r w:rsidR="00D9258C" w:rsidRPr="00FD6A6A">
        <w:t>the</w:t>
      </w:r>
      <w:r w:rsidR="00541D05">
        <w:t xml:space="preserve"> </w:t>
      </w:r>
      <w:r w:rsidR="00D9258C" w:rsidRPr="00FD6A6A">
        <w:t>admission</w:t>
      </w:r>
      <w:r w:rsidR="00541D05">
        <w:t xml:space="preserve"> </w:t>
      </w:r>
      <w:r w:rsidR="00D9258C" w:rsidRPr="00FD6A6A">
        <w:t>of</w:t>
      </w:r>
      <w:r w:rsidR="00541D05">
        <w:t xml:space="preserve"> </w:t>
      </w:r>
      <w:r w:rsidR="00D9258C" w:rsidRPr="00FD6A6A">
        <w:t>high</w:t>
      </w:r>
      <w:r w:rsidR="00541D05">
        <w:t xml:space="preserve"> </w:t>
      </w:r>
      <w:r w:rsidR="00D9258C" w:rsidRPr="00FD6A6A">
        <w:t>school</w:t>
      </w:r>
      <w:r w:rsidR="00541D05">
        <w:t xml:space="preserve"> </w:t>
      </w:r>
      <w:r w:rsidR="00D9258C" w:rsidRPr="00FD6A6A">
        <w:t>graduates</w:t>
      </w:r>
      <w:r w:rsidR="00541D05">
        <w:t xml:space="preserve"> </w:t>
      </w:r>
      <w:r w:rsidR="00D9258C" w:rsidRPr="00FD6A6A">
        <w:t>in</w:t>
      </w:r>
      <w:r w:rsidR="00541D05">
        <w:t xml:space="preserve"> </w:t>
      </w:r>
      <w:r w:rsidR="00D9258C" w:rsidRPr="00FD6A6A">
        <w:t>higher</w:t>
      </w:r>
      <w:r w:rsidR="00541D05">
        <w:t xml:space="preserve"> </w:t>
      </w:r>
      <w:r w:rsidR="00D9258C" w:rsidRPr="00FD6A6A">
        <w:t>education</w:t>
      </w:r>
      <w:r w:rsidR="00541D05">
        <w:t xml:space="preserve"> </w:t>
      </w:r>
      <w:r w:rsidR="00D9258C" w:rsidRPr="00FD6A6A">
        <w:t>institutions,</w:t>
      </w:r>
      <w:r w:rsidR="00541D05">
        <w:t xml:space="preserve"> </w:t>
      </w:r>
      <w:r w:rsidR="00D9258C" w:rsidRPr="00FD6A6A">
        <w:t>has</w:t>
      </w:r>
      <w:r w:rsidR="00541D05">
        <w:t xml:space="preserve"> </w:t>
      </w:r>
      <w:r w:rsidR="00D9258C" w:rsidRPr="00FD6A6A">
        <w:t>also</w:t>
      </w:r>
      <w:r w:rsidR="00541D05">
        <w:t xml:space="preserve"> </w:t>
      </w:r>
      <w:r w:rsidR="00D9258C" w:rsidRPr="00FD6A6A">
        <w:t>fostered</w:t>
      </w:r>
      <w:r w:rsidR="00541D05">
        <w:t xml:space="preserve"> </w:t>
      </w:r>
      <w:r w:rsidR="00D9258C" w:rsidRPr="00FD6A6A">
        <w:t>its</w:t>
      </w:r>
      <w:r w:rsidR="00541D05">
        <w:t xml:space="preserve"> </w:t>
      </w:r>
      <w:r w:rsidR="00D9258C" w:rsidRPr="00FD6A6A">
        <w:t>implementation,</w:t>
      </w:r>
      <w:r w:rsidR="00541D05">
        <w:t xml:space="preserve"> </w:t>
      </w:r>
      <w:r w:rsidR="00D9258C" w:rsidRPr="00FD6A6A">
        <w:t>since</w:t>
      </w:r>
      <w:r w:rsidR="00541D05">
        <w:t xml:space="preserve"> </w:t>
      </w:r>
      <w:r w:rsidR="00D9258C" w:rsidRPr="00FD6A6A">
        <w:t>there</w:t>
      </w:r>
      <w:r w:rsidR="00541D05">
        <w:t xml:space="preserve"> </w:t>
      </w:r>
      <w:r w:rsidR="00D9258C" w:rsidRPr="00FD6A6A">
        <w:t>is</w:t>
      </w:r>
      <w:r w:rsidR="00541D05">
        <w:t xml:space="preserve"> </w:t>
      </w:r>
      <w:r w:rsidR="00D9258C" w:rsidRPr="00FD6A6A">
        <w:t>a</w:t>
      </w:r>
      <w:r w:rsidR="00541D05">
        <w:t xml:space="preserve"> </w:t>
      </w:r>
      <w:r w:rsidR="00D9258C" w:rsidRPr="00FD6A6A">
        <w:t>near-consensus</w:t>
      </w:r>
      <w:r w:rsidR="00541D05">
        <w:t xml:space="preserve"> </w:t>
      </w:r>
      <w:r w:rsidR="00D9258C" w:rsidRPr="00FD6A6A">
        <w:t>between</w:t>
      </w:r>
      <w:r w:rsidR="00541D05">
        <w:t xml:space="preserve"> </w:t>
      </w:r>
      <w:r w:rsidR="00D9258C" w:rsidRPr="00FD6A6A">
        <w:t>specialists</w:t>
      </w:r>
      <w:r w:rsidR="00541D05">
        <w:t xml:space="preserve"> </w:t>
      </w:r>
      <w:r w:rsidR="00D9258C" w:rsidRPr="00FD6A6A">
        <w:t>that</w:t>
      </w:r>
      <w:r w:rsidR="00541D05">
        <w:t xml:space="preserve"> </w:t>
      </w:r>
      <w:r w:rsidR="00D9258C" w:rsidRPr="00FD6A6A">
        <w:t>much</w:t>
      </w:r>
      <w:r w:rsidR="00541D05">
        <w:t xml:space="preserve"> </w:t>
      </w:r>
      <w:r w:rsidR="00D9258C" w:rsidRPr="00FD6A6A">
        <w:t>of</w:t>
      </w:r>
      <w:r w:rsidR="00541D05">
        <w:t xml:space="preserve"> </w:t>
      </w:r>
      <w:r w:rsidR="00D9258C" w:rsidRPr="00FD6A6A">
        <w:t>the</w:t>
      </w:r>
      <w:r w:rsidR="00541D05">
        <w:t xml:space="preserve"> </w:t>
      </w:r>
      <w:r w:rsidR="00D9258C" w:rsidRPr="00FD6A6A">
        <w:t>content</w:t>
      </w:r>
      <w:r w:rsidR="00541D05">
        <w:t xml:space="preserve"> </w:t>
      </w:r>
      <w:r w:rsidR="00D9258C" w:rsidRPr="00FD6A6A">
        <w:t>effectively</w:t>
      </w:r>
      <w:r w:rsidR="00541D05">
        <w:t xml:space="preserve"> </w:t>
      </w:r>
      <w:r w:rsidR="00D9258C" w:rsidRPr="00FD6A6A">
        <w:t>addressed</w:t>
      </w:r>
      <w:r w:rsidR="00541D05">
        <w:t xml:space="preserve"> </w:t>
      </w:r>
      <w:r w:rsidR="00D9258C" w:rsidRPr="00FD6A6A">
        <w:t>in</w:t>
      </w:r>
      <w:r w:rsidR="00541D05">
        <w:t xml:space="preserve"> </w:t>
      </w:r>
      <w:r w:rsidR="00D9258C" w:rsidRPr="00FD6A6A">
        <w:t>schools</w:t>
      </w:r>
      <w:r w:rsidR="00541D05">
        <w:t xml:space="preserve"> </w:t>
      </w:r>
      <w:r w:rsidR="00D9258C" w:rsidRPr="00FD6A6A">
        <w:t>is</w:t>
      </w:r>
      <w:r w:rsidR="00541D05">
        <w:t xml:space="preserve"> </w:t>
      </w:r>
      <w:r w:rsidR="00D9258C" w:rsidRPr="00FD6A6A">
        <w:t>selected</w:t>
      </w:r>
      <w:r w:rsidR="00541D05">
        <w:t xml:space="preserve"> </w:t>
      </w:r>
      <w:r w:rsidR="00D9258C" w:rsidRPr="00FD6A6A">
        <w:t>in</w:t>
      </w:r>
      <w:r w:rsidR="00541D05">
        <w:t xml:space="preserve"> </w:t>
      </w:r>
      <w:r w:rsidR="00D9258C" w:rsidRPr="00FD6A6A">
        <w:t>accordance</w:t>
      </w:r>
      <w:r w:rsidR="00541D05">
        <w:t xml:space="preserve"> </w:t>
      </w:r>
      <w:r w:rsidR="00D9258C" w:rsidRPr="00FD6A6A">
        <w:t>with</w:t>
      </w:r>
      <w:r w:rsidR="00541D05">
        <w:t xml:space="preserve"> </w:t>
      </w:r>
      <w:r w:rsidR="00D9258C" w:rsidRPr="00FD6A6A">
        <w:t>the</w:t>
      </w:r>
      <w:r w:rsidR="00541D05">
        <w:t xml:space="preserve"> </w:t>
      </w:r>
      <w:r w:rsidR="00D9258C" w:rsidRPr="00FD6A6A">
        <w:t>questions</w:t>
      </w:r>
      <w:r w:rsidR="00541D05">
        <w:t xml:space="preserve"> </w:t>
      </w:r>
      <w:r w:rsidR="00D9258C" w:rsidRPr="00FD6A6A">
        <w:t>of</w:t>
      </w:r>
      <w:r w:rsidR="00541D05">
        <w:t xml:space="preserve"> </w:t>
      </w:r>
      <w:r w:rsidR="00D9258C" w:rsidRPr="00FD6A6A">
        <w:t>the</w:t>
      </w:r>
      <w:r w:rsidR="00541D05">
        <w:t xml:space="preserve"> </w:t>
      </w:r>
      <w:r w:rsidR="00D9258C" w:rsidRPr="00FD6A6A">
        <w:t>exam</w:t>
      </w:r>
      <w:r w:rsidR="00EF015A">
        <w:t>.</w:t>
      </w:r>
    </w:p>
    <w:p w14:paraId="247A1E47" w14:textId="3235EC76" w:rsidR="00D9258C" w:rsidRPr="00FD6A6A" w:rsidRDefault="00166390" w:rsidP="00166390">
      <w:pPr>
        <w:pStyle w:val="ParaNoG"/>
        <w:numPr>
          <w:ilvl w:val="0"/>
          <w:numId w:val="0"/>
        </w:numPr>
        <w:tabs>
          <w:tab w:val="left" w:pos="0"/>
        </w:tabs>
        <w:ind w:left="1134"/>
      </w:pPr>
      <w:r w:rsidRPr="00FD6A6A">
        <w:t>216.</w:t>
      </w:r>
      <w:r w:rsidRPr="00FD6A6A">
        <w:tab/>
      </w:r>
      <w:r w:rsidR="00D9258C" w:rsidRPr="00FD6A6A">
        <w:t>In</w:t>
      </w:r>
      <w:r w:rsidR="00541D05">
        <w:t xml:space="preserve"> </w:t>
      </w:r>
      <w:r w:rsidR="00D9258C" w:rsidRPr="00FD6A6A">
        <w:t>2012,</w:t>
      </w:r>
      <w:r w:rsidR="00541D05">
        <w:t xml:space="preserve"> </w:t>
      </w:r>
      <w:r w:rsidR="00D9258C" w:rsidRPr="00FD6A6A">
        <w:t>the</w:t>
      </w:r>
      <w:r w:rsidR="00541D05">
        <w:t xml:space="preserve"> </w:t>
      </w:r>
      <w:r w:rsidR="00D9258C" w:rsidRPr="00AE1537">
        <w:rPr>
          <w:i/>
          <w:iCs/>
        </w:rPr>
        <w:t>National</w:t>
      </w:r>
      <w:r w:rsidR="00541D05" w:rsidRPr="00AE1537">
        <w:rPr>
          <w:i/>
          <w:iCs/>
        </w:rPr>
        <w:t xml:space="preserve"> </w:t>
      </w:r>
      <w:r w:rsidR="00D9258C" w:rsidRPr="00AE1537">
        <w:rPr>
          <w:i/>
          <w:iCs/>
        </w:rPr>
        <w:t>curriculum</w:t>
      </w:r>
      <w:r w:rsidR="00541D05" w:rsidRPr="00AE1537">
        <w:rPr>
          <w:i/>
          <w:iCs/>
        </w:rPr>
        <w:t xml:space="preserve"> </w:t>
      </w:r>
      <w:r w:rsidR="00D9258C" w:rsidRPr="00AE1537">
        <w:rPr>
          <w:i/>
          <w:iCs/>
        </w:rPr>
        <w:t>guidelines</w:t>
      </w:r>
      <w:r w:rsidR="00541D05" w:rsidRPr="00AE1537">
        <w:rPr>
          <w:i/>
          <w:iCs/>
        </w:rPr>
        <w:t xml:space="preserve"> </w:t>
      </w:r>
      <w:r w:rsidR="00D9258C" w:rsidRPr="00AE1537">
        <w:rPr>
          <w:i/>
          <w:iCs/>
        </w:rPr>
        <w:t>for</w:t>
      </w:r>
      <w:r w:rsidR="00541D05" w:rsidRPr="00AE1537">
        <w:rPr>
          <w:i/>
          <w:iCs/>
        </w:rPr>
        <w:t xml:space="preserve"> </w:t>
      </w:r>
      <w:r w:rsidR="00D9258C" w:rsidRPr="00FD6A6A">
        <w:t>Quilombola</w:t>
      </w:r>
      <w:r w:rsidR="00541D05">
        <w:t xml:space="preserve"> </w:t>
      </w:r>
      <w:r w:rsidR="00D9258C" w:rsidRPr="00AE1537">
        <w:rPr>
          <w:i/>
          <w:iCs/>
        </w:rPr>
        <w:t>school</w:t>
      </w:r>
      <w:r w:rsidR="00541D05" w:rsidRPr="00AE1537">
        <w:rPr>
          <w:i/>
          <w:iCs/>
        </w:rPr>
        <w:t xml:space="preserve"> </w:t>
      </w:r>
      <w:r w:rsidR="00D9258C" w:rsidRPr="00AE1537">
        <w:rPr>
          <w:i/>
          <w:iCs/>
        </w:rPr>
        <w:t>education</w:t>
      </w:r>
      <w:r w:rsidR="00EA62F1">
        <w:t xml:space="preserve"> </w:t>
      </w:r>
      <w:r w:rsidR="00D9258C" w:rsidRPr="00FD6A6A">
        <w:t>were</w:t>
      </w:r>
      <w:r w:rsidR="00541D05">
        <w:t xml:space="preserve"> </w:t>
      </w:r>
      <w:r w:rsidR="00D9258C" w:rsidRPr="00FD6A6A">
        <w:t>published.</w:t>
      </w:r>
      <w:r w:rsidR="00541D05">
        <w:t xml:space="preserve"> </w:t>
      </w:r>
      <w:r w:rsidR="00D9258C" w:rsidRPr="00FD6A6A">
        <w:t>This</w:t>
      </w:r>
      <w:r w:rsidR="00541D05">
        <w:t xml:space="preserve"> </w:t>
      </w:r>
      <w:r w:rsidR="00D9258C" w:rsidRPr="00FD6A6A">
        <w:t>document</w:t>
      </w:r>
      <w:r w:rsidR="00541D05">
        <w:t xml:space="preserve"> </w:t>
      </w:r>
      <w:r w:rsidR="00D9258C" w:rsidRPr="00FD6A6A">
        <w:t>seeks</w:t>
      </w:r>
      <w:r w:rsidR="00541D05">
        <w:t xml:space="preserve"> </w:t>
      </w:r>
      <w:r w:rsidR="00D9258C" w:rsidRPr="00FD6A6A">
        <w:t>to</w:t>
      </w:r>
      <w:r w:rsidR="00541D05">
        <w:t xml:space="preserve"> </w:t>
      </w:r>
      <w:r w:rsidR="00D9258C" w:rsidRPr="00FD6A6A">
        <w:t>extend</w:t>
      </w:r>
      <w:r w:rsidR="00541D05">
        <w:t xml:space="preserve"> </w:t>
      </w:r>
      <w:r w:rsidR="00D9258C" w:rsidRPr="00FD6A6A">
        <w:t>the</w:t>
      </w:r>
      <w:r w:rsidR="00541D05">
        <w:t xml:space="preserve"> </w:t>
      </w:r>
      <w:r w:rsidR="00D9258C" w:rsidRPr="00FD6A6A">
        <w:t>offer</w:t>
      </w:r>
      <w:r w:rsidR="00541D05">
        <w:t xml:space="preserve"> </w:t>
      </w:r>
      <w:r w:rsidR="00D9258C" w:rsidRPr="00FD6A6A">
        <w:t>of</w:t>
      </w:r>
      <w:r w:rsidR="00541D05">
        <w:t xml:space="preserve"> </w:t>
      </w:r>
      <w:r w:rsidR="00D9258C" w:rsidRPr="00FD6A6A">
        <w:t>school</w:t>
      </w:r>
      <w:r w:rsidR="00541D05">
        <w:t xml:space="preserve"> </w:t>
      </w:r>
      <w:r w:rsidR="00D9258C" w:rsidRPr="00FD6A6A">
        <w:t>education</w:t>
      </w:r>
      <w:r w:rsidR="00541D05">
        <w:t xml:space="preserve"> </w:t>
      </w:r>
      <w:r w:rsidR="00D9258C" w:rsidRPr="00FD6A6A">
        <w:t>to</w:t>
      </w:r>
      <w:r w:rsidR="00541D05">
        <w:t xml:space="preserve"> </w:t>
      </w:r>
      <w:r w:rsidR="00D9258C" w:rsidRPr="00AE1537">
        <w:rPr>
          <w:i/>
          <w:iCs/>
        </w:rPr>
        <w:t>Quilombola</w:t>
      </w:r>
      <w:r w:rsidR="00541D05" w:rsidRPr="00AE1537">
        <w:rPr>
          <w:i/>
          <w:iCs/>
        </w:rPr>
        <w:t xml:space="preserve"> </w:t>
      </w:r>
      <w:r w:rsidR="00D9258C" w:rsidRPr="00FD6A6A">
        <w:t>communities,</w:t>
      </w:r>
      <w:r w:rsidR="00541D05">
        <w:t xml:space="preserve"> </w:t>
      </w:r>
      <w:r w:rsidR="00D9258C" w:rsidRPr="00FD6A6A">
        <w:t>but</w:t>
      </w:r>
      <w:r w:rsidR="00541D05">
        <w:t xml:space="preserve"> </w:t>
      </w:r>
      <w:r w:rsidR="00D9258C" w:rsidRPr="00FD6A6A">
        <w:t>in</w:t>
      </w:r>
      <w:r w:rsidR="00541D05">
        <w:t xml:space="preserve"> </w:t>
      </w:r>
      <w:r w:rsidR="00D9258C" w:rsidRPr="00FD6A6A">
        <w:t>a</w:t>
      </w:r>
      <w:r w:rsidR="00541D05">
        <w:t xml:space="preserve"> </w:t>
      </w:r>
      <w:r w:rsidR="00D9258C" w:rsidRPr="00FD6A6A">
        <w:t>way</w:t>
      </w:r>
      <w:r w:rsidR="00541D05">
        <w:t xml:space="preserve"> </w:t>
      </w:r>
      <w:r w:rsidR="00D9258C" w:rsidRPr="00FD6A6A">
        <w:t>that</w:t>
      </w:r>
      <w:r w:rsidR="00541D05">
        <w:t xml:space="preserve"> </w:t>
      </w:r>
      <w:r w:rsidR="00D9258C" w:rsidRPr="00FD6A6A">
        <w:t>is</w:t>
      </w:r>
      <w:r w:rsidR="00541D05">
        <w:t xml:space="preserve"> </w:t>
      </w:r>
      <w:r w:rsidR="00D9258C" w:rsidRPr="00FD6A6A">
        <w:t>different</w:t>
      </w:r>
      <w:r w:rsidR="00541D05">
        <w:t xml:space="preserve"> </w:t>
      </w:r>
      <w:r w:rsidR="00D9258C" w:rsidRPr="00FD6A6A">
        <w:t>from</w:t>
      </w:r>
      <w:r w:rsidR="00541D05">
        <w:t xml:space="preserve"> </w:t>
      </w:r>
      <w:r w:rsidR="00D9258C" w:rsidRPr="00FD6A6A">
        <w:t>education</w:t>
      </w:r>
      <w:r w:rsidR="00541D05">
        <w:t xml:space="preserve"> </w:t>
      </w:r>
      <w:r w:rsidR="00D9258C" w:rsidRPr="00FD6A6A">
        <w:t>in</w:t>
      </w:r>
      <w:r w:rsidR="00541D05">
        <w:t xml:space="preserve"> </w:t>
      </w:r>
      <w:r w:rsidR="00D9258C" w:rsidRPr="00FD6A6A">
        <w:t>the</w:t>
      </w:r>
      <w:r w:rsidR="00541D05">
        <w:t xml:space="preserve"> </w:t>
      </w:r>
      <w:r w:rsidR="00D9258C" w:rsidRPr="00FD6A6A">
        <w:t>cities,</w:t>
      </w:r>
      <w:r w:rsidR="00541D05">
        <w:t xml:space="preserve"> </w:t>
      </w:r>
      <w:r w:rsidR="00D9258C" w:rsidRPr="00FD6A6A">
        <w:t>taking</w:t>
      </w:r>
      <w:r w:rsidR="00541D05">
        <w:t xml:space="preserve"> </w:t>
      </w:r>
      <w:r w:rsidR="00D9258C" w:rsidRPr="00FD6A6A">
        <w:t>into</w:t>
      </w:r>
      <w:r w:rsidR="00541D05">
        <w:t xml:space="preserve"> </w:t>
      </w:r>
      <w:r w:rsidR="00D9258C" w:rsidRPr="00FD6A6A">
        <w:t>account</w:t>
      </w:r>
      <w:r w:rsidR="00541D05">
        <w:t xml:space="preserve"> </w:t>
      </w:r>
      <w:r w:rsidR="00D9258C" w:rsidRPr="00FD6A6A">
        <w:t>the</w:t>
      </w:r>
      <w:r w:rsidR="00541D05">
        <w:t xml:space="preserve"> </w:t>
      </w:r>
      <w:r w:rsidR="00D9258C" w:rsidRPr="00FD6A6A">
        <w:t>specific</w:t>
      </w:r>
      <w:r w:rsidR="00541D05">
        <w:t xml:space="preserve"> </w:t>
      </w:r>
      <w:r w:rsidR="00D9258C" w:rsidRPr="00FD6A6A">
        <w:t>reality</w:t>
      </w:r>
      <w:r w:rsidR="00541D05">
        <w:t xml:space="preserve"> </w:t>
      </w:r>
      <w:r w:rsidR="00D9258C" w:rsidRPr="00FD6A6A">
        <w:t>of</w:t>
      </w:r>
      <w:r w:rsidR="00541D05">
        <w:t xml:space="preserve"> </w:t>
      </w:r>
      <w:r w:rsidR="00D9258C" w:rsidRPr="00FD6A6A">
        <w:t>these</w:t>
      </w:r>
      <w:r w:rsidR="00541D05">
        <w:t xml:space="preserve"> </w:t>
      </w:r>
      <w:r w:rsidR="00D9258C" w:rsidRPr="00FD6A6A">
        <w:t>communities,</w:t>
      </w:r>
      <w:r w:rsidR="00541D05">
        <w:t xml:space="preserve"> </w:t>
      </w:r>
      <w:r w:rsidR="00D9258C" w:rsidRPr="00FD6A6A">
        <w:t>with</w:t>
      </w:r>
      <w:r w:rsidR="00541D05">
        <w:t xml:space="preserve"> </w:t>
      </w:r>
      <w:r w:rsidR="00D9258C" w:rsidRPr="00FD6A6A">
        <w:t>their</w:t>
      </w:r>
      <w:r w:rsidR="00541D05">
        <w:t xml:space="preserve"> </w:t>
      </w:r>
      <w:r w:rsidR="00D9258C" w:rsidRPr="00FD6A6A">
        <w:t>traditions,</w:t>
      </w:r>
      <w:r w:rsidR="00541D05">
        <w:t xml:space="preserve"> </w:t>
      </w:r>
      <w:r w:rsidR="00D9258C" w:rsidRPr="00FD6A6A">
        <w:t>values,</w:t>
      </w:r>
      <w:r w:rsidR="00541D05">
        <w:t xml:space="preserve"> </w:t>
      </w:r>
      <w:r w:rsidR="00D9258C" w:rsidRPr="00FD6A6A">
        <w:t>and</w:t>
      </w:r>
      <w:r w:rsidR="00541D05">
        <w:t xml:space="preserve"> </w:t>
      </w:r>
      <w:r w:rsidR="00D9258C" w:rsidRPr="00FD6A6A">
        <w:t>beliefs.</w:t>
      </w:r>
    </w:p>
    <w:p w14:paraId="7BE842CF" w14:textId="3A38DAFD" w:rsidR="00D9258C" w:rsidRPr="00FD6A6A" w:rsidRDefault="00166390" w:rsidP="00166390">
      <w:pPr>
        <w:pStyle w:val="ParaNoG"/>
        <w:numPr>
          <w:ilvl w:val="0"/>
          <w:numId w:val="0"/>
        </w:numPr>
        <w:tabs>
          <w:tab w:val="left" w:pos="0"/>
        </w:tabs>
        <w:ind w:left="1134"/>
      </w:pPr>
      <w:r w:rsidRPr="00FD6A6A">
        <w:t>217.</w:t>
      </w:r>
      <w:r w:rsidRPr="00FD6A6A">
        <w:tab/>
      </w:r>
      <w:r w:rsidR="00D9258C" w:rsidRPr="00FD6A6A">
        <w:t>In</w:t>
      </w:r>
      <w:r w:rsidR="00541D05">
        <w:t xml:space="preserve"> </w:t>
      </w:r>
      <w:r w:rsidR="00D9258C" w:rsidRPr="00FD6A6A">
        <w:t>short,</w:t>
      </w:r>
      <w:r w:rsidR="00541D05">
        <w:t xml:space="preserve"> </w:t>
      </w:r>
      <w:r w:rsidR="00D9258C" w:rsidRPr="00FD6A6A">
        <w:t>with</w:t>
      </w:r>
      <w:r w:rsidR="00541D05">
        <w:t xml:space="preserve"> </w:t>
      </w:r>
      <w:r w:rsidR="00D9258C" w:rsidRPr="00FD6A6A">
        <w:t>regards</w:t>
      </w:r>
      <w:r w:rsidR="00541D05">
        <w:t xml:space="preserve"> </w:t>
      </w:r>
      <w:r w:rsidR="00D9258C" w:rsidRPr="00FD6A6A">
        <w:t>to</w:t>
      </w:r>
      <w:r w:rsidR="00541D05">
        <w:t xml:space="preserve"> </w:t>
      </w:r>
      <w:r w:rsidR="00D9258C" w:rsidRPr="00FD6A6A">
        <w:t>education,</w:t>
      </w:r>
      <w:r w:rsidR="00541D05">
        <w:t xml:space="preserve"> </w:t>
      </w:r>
      <w:r w:rsidR="00D9258C" w:rsidRPr="00FD6A6A">
        <w:t>the</w:t>
      </w:r>
      <w:r w:rsidR="00541D05">
        <w:t xml:space="preserve"> </w:t>
      </w:r>
      <w:r w:rsidR="00D9258C" w:rsidRPr="00FD6A6A">
        <w:t>following</w:t>
      </w:r>
      <w:r w:rsidR="00541D05">
        <w:t xml:space="preserve"> </w:t>
      </w:r>
      <w:r w:rsidR="00D9258C" w:rsidRPr="00FD6A6A">
        <w:t>measures</w:t>
      </w:r>
      <w:r w:rsidR="00541D05">
        <w:t xml:space="preserve"> </w:t>
      </w:r>
      <w:r w:rsidR="00D9258C" w:rsidRPr="00FD6A6A">
        <w:t>should</w:t>
      </w:r>
      <w:r w:rsidR="00541D05">
        <w:t xml:space="preserve"> </w:t>
      </w:r>
      <w:r w:rsidR="00D9258C" w:rsidRPr="00FD6A6A">
        <w:t>be</w:t>
      </w:r>
      <w:r w:rsidR="00541D05">
        <w:t xml:space="preserve"> </w:t>
      </w:r>
      <w:r w:rsidR="00D9258C" w:rsidRPr="00FD6A6A">
        <w:t>highlighted:</w:t>
      </w:r>
    </w:p>
    <w:p w14:paraId="1858082C" w14:textId="170BC95E"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Laboratories</w:t>
      </w:r>
      <w:r w:rsidR="00541D05">
        <w:t xml:space="preserve"> </w:t>
      </w:r>
      <w:r w:rsidR="00D9258C" w:rsidRPr="00FD6A6A">
        <w:t>and</w:t>
      </w:r>
      <w:r w:rsidR="00541D05">
        <w:t xml:space="preserve"> </w:t>
      </w:r>
      <w:r w:rsidR="00D9258C" w:rsidRPr="00FD6A6A">
        <w:t>research</w:t>
      </w:r>
      <w:r w:rsidR="00541D05">
        <w:t xml:space="preserve"> </w:t>
      </w:r>
      <w:r w:rsidR="00D9258C" w:rsidRPr="00FD6A6A">
        <w:t>centers</w:t>
      </w:r>
      <w:r w:rsidR="00541D05">
        <w:t xml:space="preserve"> </w:t>
      </w:r>
      <w:r w:rsidR="00D9258C" w:rsidRPr="00FD6A6A">
        <w:t>were</w:t>
      </w:r>
      <w:r w:rsidR="00541D05">
        <w:t xml:space="preserve"> </w:t>
      </w:r>
      <w:r w:rsidR="00D9258C" w:rsidRPr="00FD6A6A">
        <w:t>installed</w:t>
      </w:r>
      <w:r w:rsidR="00541D05">
        <w:t xml:space="preserve"> </w:t>
      </w:r>
      <w:r w:rsidR="00D9258C" w:rsidRPr="00FD6A6A">
        <w:t>in</w:t>
      </w:r>
      <w:r w:rsidR="00541D05">
        <w:t xml:space="preserve"> </w:t>
      </w:r>
      <w:r w:rsidR="00D9258C" w:rsidRPr="00FD6A6A">
        <w:t>universities;</w:t>
      </w:r>
    </w:p>
    <w:p w14:paraId="043E34F6" w14:textId="596BC906"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Research</w:t>
      </w:r>
      <w:r w:rsidR="00541D05">
        <w:t xml:space="preserve"> </w:t>
      </w:r>
      <w:r w:rsidR="00D9258C" w:rsidRPr="00FD6A6A">
        <w:t>projects</w:t>
      </w:r>
      <w:r w:rsidR="00541D05">
        <w:t xml:space="preserve"> </w:t>
      </w:r>
      <w:r w:rsidR="00D9258C" w:rsidRPr="00FD6A6A">
        <w:t>and</w:t>
      </w:r>
      <w:r w:rsidR="00541D05">
        <w:t xml:space="preserve"> </w:t>
      </w:r>
      <w:r w:rsidR="00D9258C" w:rsidRPr="00FD6A6A">
        <w:t>academic</w:t>
      </w:r>
      <w:r w:rsidR="00541D05">
        <w:t xml:space="preserve"> </w:t>
      </w:r>
      <w:r w:rsidR="00D9258C" w:rsidRPr="00FD6A6A">
        <w:t>conferences</w:t>
      </w:r>
      <w:r w:rsidR="00541D05">
        <w:t xml:space="preserve"> </w:t>
      </w:r>
      <w:r w:rsidR="00D9258C" w:rsidRPr="00FD6A6A">
        <w:t>were</w:t>
      </w:r>
      <w:r w:rsidR="00541D05">
        <w:t xml:space="preserve"> </w:t>
      </w:r>
      <w:r w:rsidR="00D9258C" w:rsidRPr="00FD6A6A">
        <w:t>held;</w:t>
      </w:r>
    </w:p>
    <w:p w14:paraId="618284F3" w14:textId="0B01A6E1"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The</w:t>
      </w:r>
      <w:r w:rsidR="00541D05">
        <w:t xml:space="preserve"> </w:t>
      </w:r>
      <w:r w:rsidR="00D9258C" w:rsidRPr="00FD6A6A">
        <w:t>University</w:t>
      </w:r>
      <w:r w:rsidR="00541D05">
        <w:t xml:space="preserve"> </w:t>
      </w:r>
      <w:r w:rsidR="00D9258C" w:rsidRPr="00FD6A6A">
        <w:t>for</w:t>
      </w:r>
      <w:r w:rsidR="00541D05">
        <w:t xml:space="preserve"> </w:t>
      </w:r>
      <w:r w:rsidR="00D9258C" w:rsidRPr="00FD6A6A">
        <w:t>International</w:t>
      </w:r>
      <w:r w:rsidR="00541D05">
        <w:t xml:space="preserve"> </w:t>
      </w:r>
      <w:r w:rsidR="00D9258C" w:rsidRPr="00FD6A6A">
        <w:t>Integration</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Lusophony</w:t>
      </w:r>
      <w:r w:rsidR="00541D05">
        <w:t xml:space="preserve"> </w:t>
      </w:r>
      <w:r w:rsidR="00D9258C" w:rsidRPr="00FD6A6A">
        <w:t>was</w:t>
      </w:r>
      <w:r w:rsidR="00541D05">
        <w:t xml:space="preserve"> </w:t>
      </w:r>
      <w:r w:rsidR="00D9258C" w:rsidRPr="00FD6A6A">
        <w:t>created;</w:t>
      </w:r>
    </w:p>
    <w:p w14:paraId="67335855" w14:textId="0E9F2957"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Affirmative</w:t>
      </w:r>
      <w:r w:rsidR="00541D05">
        <w:t xml:space="preserve"> </w:t>
      </w:r>
      <w:r w:rsidR="00D9258C" w:rsidRPr="00FD6A6A">
        <w:t>actions</w:t>
      </w:r>
      <w:r w:rsidR="00541D05">
        <w:t xml:space="preserve"> </w:t>
      </w:r>
      <w:r w:rsidR="00D9258C" w:rsidRPr="00FD6A6A">
        <w:t>were</w:t>
      </w:r>
      <w:r w:rsidR="00541D05">
        <w:t xml:space="preserve"> </w:t>
      </w:r>
      <w:r w:rsidR="00D9258C" w:rsidRPr="00FD6A6A">
        <w:t>implemented</w:t>
      </w:r>
      <w:r w:rsidR="00541D05">
        <w:t xml:space="preserve"> </w:t>
      </w:r>
      <w:r w:rsidR="00D9258C" w:rsidRPr="00FD6A6A">
        <w:t>for</w:t>
      </w:r>
      <w:r w:rsidR="00541D05">
        <w:t xml:space="preserve"> </w:t>
      </w:r>
      <w:r w:rsidR="00D9258C" w:rsidRPr="00FD6A6A">
        <w:t>undergraduate</w:t>
      </w:r>
      <w:r w:rsidR="00541D05">
        <w:t xml:space="preserve"> </w:t>
      </w:r>
      <w:r w:rsidR="00D9258C" w:rsidRPr="00FD6A6A">
        <w:t>and</w:t>
      </w:r>
      <w:r w:rsidR="00541D05">
        <w:t xml:space="preserve"> </w:t>
      </w:r>
      <w:r w:rsidR="00D9258C" w:rsidRPr="00FD6A6A">
        <w:t>graduate</w:t>
      </w:r>
      <w:r w:rsidR="00541D05">
        <w:t xml:space="preserve"> </w:t>
      </w:r>
      <w:r w:rsidR="00D9258C" w:rsidRPr="00FD6A6A">
        <w:t>courses</w:t>
      </w:r>
      <w:r w:rsidR="00541D05">
        <w:t xml:space="preserve"> </w:t>
      </w:r>
      <w:r w:rsidR="00D9258C" w:rsidRPr="00FD6A6A">
        <w:t>in</w:t>
      </w:r>
      <w:r w:rsidR="00541D05">
        <w:t xml:space="preserve"> </w:t>
      </w:r>
      <w:r w:rsidR="00D9258C" w:rsidRPr="00FD6A6A">
        <w:t>most</w:t>
      </w:r>
      <w:r w:rsidR="00541D05">
        <w:t xml:space="preserve"> </w:t>
      </w:r>
      <w:r w:rsidR="00D9258C" w:rsidRPr="00FD6A6A">
        <w:t>universities;</w:t>
      </w:r>
    </w:p>
    <w:p w14:paraId="37D0B0F6" w14:textId="389D890A"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New</w:t>
      </w:r>
      <w:r w:rsidR="00541D05">
        <w:t xml:space="preserve"> </w:t>
      </w:r>
      <w:r w:rsidR="00D9258C" w:rsidRPr="00FD6A6A">
        <w:t>textbooks</w:t>
      </w:r>
      <w:r w:rsidR="00541D05">
        <w:t xml:space="preserve"> </w:t>
      </w:r>
      <w:r w:rsidR="00D9258C" w:rsidRPr="00FD6A6A">
        <w:t>and</w:t>
      </w:r>
      <w:r w:rsidR="00541D05">
        <w:t xml:space="preserve"> </w:t>
      </w:r>
      <w:r w:rsidR="00D9258C" w:rsidRPr="00FD6A6A">
        <w:t>academic</w:t>
      </w:r>
      <w:r w:rsidR="00541D05">
        <w:t xml:space="preserve"> </w:t>
      </w:r>
      <w:r w:rsidR="00D9258C" w:rsidRPr="00FD6A6A">
        <w:t>books,</w:t>
      </w:r>
      <w:r w:rsidR="00541D05">
        <w:t xml:space="preserve"> </w:t>
      </w:r>
      <w:r w:rsidR="00D9258C" w:rsidRPr="00FD6A6A">
        <w:t>journals,</w:t>
      </w:r>
      <w:r w:rsidR="00541D05">
        <w:t xml:space="preserve"> </w:t>
      </w:r>
      <w:r w:rsidR="00D9258C" w:rsidRPr="00FD6A6A">
        <w:t>manuals,</w:t>
      </w:r>
      <w:r w:rsidR="00541D05">
        <w:t xml:space="preserve"> </w:t>
      </w:r>
      <w:r w:rsidR="00D9258C" w:rsidRPr="00FD6A6A">
        <w:t>and</w:t>
      </w:r>
      <w:r w:rsidR="00541D05">
        <w:t xml:space="preserve"> </w:t>
      </w:r>
      <w:r w:rsidR="00D9258C" w:rsidRPr="00FD6A6A">
        <w:t>other</w:t>
      </w:r>
      <w:r w:rsidR="00541D05">
        <w:t xml:space="preserve"> </w:t>
      </w:r>
      <w:r w:rsidR="00D9258C" w:rsidRPr="00FD6A6A">
        <w:t>educational</w:t>
      </w:r>
      <w:r w:rsidR="00541D05">
        <w:t xml:space="preserve"> </w:t>
      </w:r>
      <w:r w:rsidR="00D9258C" w:rsidRPr="00FD6A6A">
        <w:t>materials</w:t>
      </w:r>
      <w:r w:rsidR="00541D05">
        <w:t xml:space="preserve"> </w:t>
      </w:r>
      <w:r w:rsidR="00D9258C" w:rsidRPr="00FD6A6A">
        <w:t>were</w:t>
      </w:r>
      <w:r w:rsidR="00541D05">
        <w:t xml:space="preserve"> </w:t>
      </w:r>
      <w:r w:rsidR="00D9258C" w:rsidRPr="00FD6A6A">
        <w:t>published;</w:t>
      </w:r>
      <w:r w:rsidR="00541D05">
        <w:t xml:space="preserve"> </w:t>
      </w:r>
      <w:r w:rsidR="00D9258C" w:rsidRPr="00FD6A6A">
        <w:t>others</w:t>
      </w:r>
      <w:r w:rsidR="00541D05">
        <w:t xml:space="preserve"> </w:t>
      </w:r>
      <w:r w:rsidR="00D9258C" w:rsidRPr="00FD6A6A">
        <w:t>were</w:t>
      </w:r>
      <w:r w:rsidR="00541D05">
        <w:t xml:space="preserve"> </w:t>
      </w:r>
      <w:r w:rsidR="00D9258C" w:rsidRPr="00FD6A6A">
        <w:t>revised</w:t>
      </w:r>
      <w:r w:rsidR="00541D05">
        <w:t xml:space="preserve"> </w:t>
      </w:r>
      <w:r w:rsidR="00D9258C" w:rsidRPr="00FD6A6A">
        <w:t>and</w:t>
      </w:r>
      <w:r w:rsidR="00541D05">
        <w:t xml:space="preserve"> </w:t>
      </w:r>
      <w:r w:rsidR="00D9258C" w:rsidRPr="00FD6A6A">
        <w:t>modified;</w:t>
      </w:r>
    </w:p>
    <w:p w14:paraId="5C219F6A" w14:textId="1B26BFEC"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Governmental</w:t>
      </w:r>
      <w:r w:rsidR="00541D05">
        <w:t xml:space="preserve"> </w:t>
      </w:r>
      <w:r w:rsidR="00D9258C" w:rsidRPr="00FD6A6A">
        <w:t>guidelines</w:t>
      </w:r>
      <w:r w:rsidR="00541D05">
        <w:t xml:space="preserve"> </w:t>
      </w:r>
      <w:r w:rsidR="00D9258C" w:rsidRPr="00FD6A6A">
        <w:t>and</w:t>
      </w:r>
      <w:r w:rsidR="00541D05">
        <w:t xml:space="preserve"> </w:t>
      </w:r>
      <w:r w:rsidR="00D9258C" w:rsidRPr="00FD6A6A">
        <w:t>plans</w:t>
      </w:r>
      <w:r w:rsidR="00541D05">
        <w:t xml:space="preserve"> </w:t>
      </w:r>
      <w:r w:rsidR="00D9258C" w:rsidRPr="00FD6A6A">
        <w:t>for</w:t>
      </w:r>
      <w:r w:rsidR="00541D05">
        <w:t xml:space="preserve"> </w:t>
      </w:r>
      <w:r w:rsidR="00D9258C" w:rsidRPr="00FD6A6A">
        <w:t>teaching</w:t>
      </w:r>
      <w:r w:rsidR="00541D05">
        <w:t xml:space="preserve"> </w:t>
      </w:r>
      <w:r w:rsidR="00D9258C" w:rsidRPr="00FD6A6A">
        <w:t>were</w:t>
      </w:r>
      <w:r w:rsidR="00541D05">
        <w:t xml:space="preserve"> </w:t>
      </w:r>
      <w:r w:rsidR="00D9258C" w:rsidRPr="00FD6A6A">
        <w:t>improved;</w:t>
      </w:r>
    </w:p>
    <w:p w14:paraId="10ED7B61" w14:textId="5063AE69"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Primary</w:t>
      </w:r>
      <w:r w:rsidR="00541D05">
        <w:t xml:space="preserve"> </w:t>
      </w:r>
      <w:r w:rsidR="00D9258C" w:rsidRPr="00FD6A6A">
        <w:t>and</w:t>
      </w:r>
      <w:r w:rsidR="00541D05">
        <w:t xml:space="preserve"> </w:t>
      </w:r>
      <w:r w:rsidR="00D9258C" w:rsidRPr="00FD6A6A">
        <w:t>higher</w:t>
      </w:r>
      <w:r w:rsidR="00541D05">
        <w:t xml:space="preserve"> </w:t>
      </w:r>
      <w:r w:rsidR="00D9258C" w:rsidRPr="00FD6A6A">
        <w:t>education</w:t>
      </w:r>
      <w:r w:rsidR="00541D05">
        <w:t xml:space="preserve"> </w:t>
      </w:r>
      <w:r w:rsidR="00D9258C" w:rsidRPr="00FD6A6A">
        <w:t>curricula</w:t>
      </w:r>
      <w:r w:rsidR="00541D05">
        <w:t xml:space="preserve"> </w:t>
      </w:r>
      <w:r w:rsidR="00D9258C" w:rsidRPr="00FD6A6A">
        <w:t>were</w:t>
      </w:r>
      <w:r w:rsidR="00541D05">
        <w:t xml:space="preserve"> </w:t>
      </w:r>
      <w:r w:rsidR="00D9258C" w:rsidRPr="00FD6A6A">
        <w:t>updated;</w:t>
      </w:r>
    </w:p>
    <w:p w14:paraId="01A2F1DD" w14:textId="07688930"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Continuing</w:t>
      </w:r>
      <w:r w:rsidR="00541D05">
        <w:t xml:space="preserve"> </w:t>
      </w:r>
      <w:r w:rsidR="00D9258C" w:rsidRPr="00FD6A6A">
        <w:t>education</w:t>
      </w:r>
      <w:r w:rsidR="00541D05">
        <w:t xml:space="preserve"> </w:t>
      </w:r>
      <w:r w:rsidR="00D9258C" w:rsidRPr="00FD6A6A">
        <w:t>programs</w:t>
      </w:r>
      <w:r w:rsidR="00541D05">
        <w:t xml:space="preserve"> </w:t>
      </w:r>
      <w:r w:rsidR="00D9258C" w:rsidRPr="00FD6A6A">
        <w:t>for</w:t>
      </w:r>
      <w:r w:rsidR="00541D05">
        <w:t xml:space="preserve"> </w:t>
      </w:r>
      <w:r w:rsidR="00D9258C" w:rsidRPr="00FD6A6A">
        <w:t>teachers</w:t>
      </w:r>
      <w:r w:rsidR="00541D05">
        <w:t xml:space="preserve"> </w:t>
      </w:r>
      <w:r w:rsidR="00D9258C" w:rsidRPr="00FD6A6A">
        <w:t>were</w:t>
      </w:r>
      <w:r w:rsidR="00541D05">
        <w:t xml:space="preserve"> </w:t>
      </w:r>
      <w:r w:rsidR="00D9258C" w:rsidRPr="00FD6A6A">
        <w:t>implemented;</w:t>
      </w:r>
    </w:p>
    <w:p w14:paraId="6325528C" w14:textId="3525D4FC"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New</w:t>
      </w:r>
      <w:r w:rsidR="00541D05">
        <w:t xml:space="preserve"> </w:t>
      </w:r>
      <w:r w:rsidR="00D9258C" w:rsidRPr="00FD6A6A">
        <w:t>educational</w:t>
      </w:r>
      <w:r w:rsidR="00541D05">
        <w:t xml:space="preserve"> </w:t>
      </w:r>
      <w:r w:rsidR="00D9258C" w:rsidRPr="00FD6A6A">
        <w:t>technologies</w:t>
      </w:r>
      <w:r w:rsidR="00541D05">
        <w:t xml:space="preserve"> </w:t>
      </w:r>
      <w:r w:rsidR="00D9258C" w:rsidRPr="00FD6A6A">
        <w:t>were</w:t>
      </w:r>
      <w:r w:rsidR="00541D05">
        <w:t xml:space="preserve"> </w:t>
      </w:r>
      <w:r w:rsidR="00D9258C" w:rsidRPr="00FD6A6A">
        <w:t>made</w:t>
      </w:r>
      <w:r w:rsidR="00541D05">
        <w:t xml:space="preserve"> </w:t>
      </w:r>
      <w:r w:rsidR="00D9258C" w:rsidRPr="00FD6A6A">
        <w:t>available</w:t>
      </w:r>
      <w:r w:rsidR="00541D05">
        <w:t xml:space="preserve"> </w:t>
      </w:r>
      <w:r w:rsidR="00D9258C" w:rsidRPr="00FD6A6A">
        <w:t>on</w:t>
      </w:r>
      <w:r w:rsidR="00541D05">
        <w:t xml:space="preserve"> </w:t>
      </w:r>
      <w:r w:rsidR="00D9258C" w:rsidRPr="00FD6A6A">
        <w:t>the</w:t>
      </w:r>
      <w:r w:rsidR="00541D05">
        <w:t xml:space="preserve"> </w:t>
      </w:r>
      <w:r w:rsidR="00D9258C" w:rsidRPr="00FD6A6A">
        <w:t>Internet;</w:t>
      </w:r>
    </w:p>
    <w:p w14:paraId="29DCA598" w14:textId="602CE3A3"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Political</w:t>
      </w:r>
      <w:r w:rsidR="00541D05">
        <w:t xml:space="preserve"> </w:t>
      </w:r>
      <w:r w:rsidR="00D9258C" w:rsidRPr="00FD6A6A">
        <w:t>and</w:t>
      </w:r>
      <w:r w:rsidR="00541D05">
        <w:t xml:space="preserve"> </w:t>
      </w:r>
      <w:r w:rsidR="00D9258C" w:rsidRPr="00FD6A6A">
        <w:t>pedagogical</w:t>
      </w:r>
      <w:r w:rsidR="00541D05">
        <w:t xml:space="preserve"> </w:t>
      </w:r>
      <w:r w:rsidR="00D9258C" w:rsidRPr="00FD6A6A">
        <w:t>projects</w:t>
      </w:r>
      <w:r w:rsidR="00541D05">
        <w:t xml:space="preserve"> </w:t>
      </w:r>
      <w:r w:rsidR="00D9258C" w:rsidRPr="00FD6A6A">
        <w:t>for</w:t>
      </w:r>
      <w:r w:rsidR="00541D05">
        <w:t xml:space="preserve"> </w:t>
      </w:r>
      <w:r w:rsidR="00D9258C" w:rsidRPr="00FD6A6A">
        <w:t>schools</w:t>
      </w:r>
      <w:r w:rsidR="00541D05">
        <w:t xml:space="preserve"> </w:t>
      </w:r>
      <w:r w:rsidR="00D9258C" w:rsidRPr="00FD6A6A">
        <w:t>were</w:t>
      </w:r>
      <w:r w:rsidR="00541D05">
        <w:t xml:space="preserve"> </w:t>
      </w:r>
      <w:r w:rsidR="00D9258C" w:rsidRPr="00FD6A6A">
        <w:t>modernized;</w:t>
      </w:r>
    </w:p>
    <w:p w14:paraId="10C98A45" w14:textId="11680FA5" w:rsidR="00D9258C" w:rsidRPr="00FD6A6A" w:rsidRDefault="00166390" w:rsidP="00166390">
      <w:pPr>
        <w:pStyle w:val="Bullet1G"/>
        <w:numPr>
          <w:ilvl w:val="0"/>
          <w:numId w:val="0"/>
        </w:numPr>
        <w:tabs>
          <w:tab w:val="left" w:pos="1701"/>
        </w:tabs>
        <w:ind w:left="1701" w:hanging="170"/>
      </w:pPr>
      <w:r w:rsidRPr="00FD6A6A">
        <w:t>•</w:t>
      </w:r>
      <w:r w:rsidRPr="00FD6A6A">
        <w:tab/>
      </w:r>
      <w:r w:rsidR="00D9258C" w:rsidRPr="00FD6A6A">
        <w:t>The</w:t>
      </w:r>
      <w:r w:rsidR="00541D05">
        <w:t xml:space="preserve"> </w:t>
      </w:r>
      <w:r w:rsidR="00D9258C" w:rsidRPr="00FD6A6A">
        <w:t>issue</w:t>
      </w:r>
      <w:r w:rsidR="00541D05">
        <w:t xml:space="preserve"> </w:t>
      </w:r>
      <w:r w:rsidR="00D9258C" w:rsidRPr="00FD6A6A">
        <w:t>at</w:t>
      </w:r>
      <w:r w:rsidR="00541D05">
        <w:t xml:space="preserve"> </w:t>
      </w:r>
      <w:r w:rsidR="00D9258C" w:rsidRPr="00FD6A6A">
        <w:t>stake</w:t>
      </w:r>
      <w:r w:rsidR="00541D05">
        <w:t xml:space="preserve"> </w:t>
      </w:r>
      <w:r w:rsidR="00D9258C" w:rsidRPr="00FD6A6A">
        <w:t>was</w:t>
      </w:r>
      <w:r w:rsidR="00541D05">
        <w:t xml:space="preserve"> </w:t>
      </w:r>
      <w:r w:rsidR="00D9258C" w:rsidRPr="00FD6A6A">
        <w:t>included</w:t>
      </w:r>
      <w:r w:rsidR="00541D05">
        <w:t xml:space="preserve"> </w:t>
      </w:r>
      <w:r w:rsidR="00D9258C" w:rsidRPr="00FD6A6A">
        <w:t>in</w:t>
      </w:r>
      <w:r w:rsidR="00541D05">
        <w:t xml:space="preserve"> </w:t>
      </w:r>
      <w:r w:rsidR="00D9258C" w:rsidRPr="00FD6A6A">
        <w:t>the</w:t>
      </w:r>
      <w:r w:rsidR="00541D05">
        <w:t xml:space="preserve"> </w:t>
      </w:r>
      <w:r w:rsidR="00D9258C" w:rsidRPr="00FD6A6A">
        <w:t>subjects</w:t>
      </w:r>
      <w:r w:rsidR="00541D05">
        <w:t xml:space="preserve"> </w:t>
      </w:r>
      <w:r w:rsidR="00D9258C" w:rsidRPr="00FD6A6A">
        <w:t>taught</w:t>
      </w:r>
      <w:r w:rsidR="00541D05">
        <w:t xml:space="preserve"> </w:t>
      </w:r>
      <w:r w:rsidR="00D9258C" w:rsidRPr="00FD6A6A">
        <w:t>in</w:t>
      </w:r>
      <w:r w:rsidR="00541D05">
        <w:t xml:space="preserve"> </w:t>
      </w:r>
      <w:r w:rsidR="00D9258C" w:rsidRPr="00FD6A6A">
        <w:t>primary</w:t>
      </w:r>
      <w:r w:rsidR="00541D05">
        <w:t xml:space="preserve"> </w:t>
      </w:r>
      <w:r w:rsidR="00D9258C" w:rsidRPr="00FD6A6A">
        <w:t>and</w:t>
      </w:r>
      <w:r w:rsidR="00541D05">
        <w:t xml:space="preserve"> </w:t>
      </w:r>
      <w:r w:rsidR="00D9258C" w:rsidRPr="00FD6A6A">
        <w:t>higher</w:t>
      </w:r>
      <w:r w:rsidR="00541D05">
        <w:t xml:space="preserve"> </w:t>
      </w:r>
      <w:r w:rsidR="00D9258C" w:rsidRPr="00FD6A6A">
        <w:t>education</w:t>
      </w:r>
      <w:r w:rsidR="00541D05">
        <w:t xml:space="preserve"> </w:t>
      </w:r>
      <w:r w:rsidR="00D9258C" w:rsidRPr="00FD6A6A">
        <w:t>institutions.</w:t>
      </w:r>
    </w:p>
    <w:p w14:paraId="1ECA2893" w14:textId="23D08416" w:rsidR="00D9258C" w:rsidRPr="00FD6A6A" w:rsidRDefault="00166390" w:rsidP="00166390">
      <w:pPr>
        <w:pStyle w:val="ParaNoG"/>
        <w:numPr>
          <w:ilvl w:val="0"/>
          <w:numId w:val="0"/>
        </w:numPr>
        <w:tabs>
          <w:tab w:val="left" w:pos="0"/>
        </w:tabs>
        <w:ind w:left="1134"/>
      </w:pPr>
      <w:r w:rsidRPr="00FD6A6A">
        <w:t>218.</w:t>
      </w:r>
      <w:r w:rsidRPr="00FD6A6A">
        <w:tab/>
      </w:r>
      <w:r w:rsidR="00D9258C" w:rsidRPr="004751CE">
        <w:t>SECADI</w:t>
      </w:r>
      <w:r w:rsidR="00541D05">
        <w:t xml:space="preserve"> </w:t>
      </w:r>
      <w:r w:rsidR="00D9258C" w:rsidRPr="004751CE">
        <w:t>made</w:t>
      </w:r>
      <w:r w:rsidR="00541D05">
        <w:t xml:space="preserve"> </w:t>
      </w:r>
      <w:r w:rsidR="00D9258C" w:rsidRPr="004751CE">
        <w:t>available</w:t>
      </w:r>
      <w:r w:rsidR="00541D05">
        <w:t xml:space="preserve"> </w:t>
      </w:r>
      <w:r w:rsidR="00D9258C" w:rsidRPr="004751CE">
        <w:t>online</w:t>
      </w:r>
      <w:r w:rsidR="00541D05">
        <w:t xml:space="preserve"> </w:t>
      </w:r>
      <w:r w:rsidR="00D9258C" w:rsidRPr="004751CE">
        <w:t>for</w:t>
      </w:r>
      <w:r w:rsidR="00541D05">
        <w:t xml:space="preserve"> </w:t>
      </w:r>
      <w:r w:rsidR="00D9258C" w:rsidRPr="004751CE">
        <w:t>High</w:t>
      </w:r>
      <w:r w:rsidR="00541D05">
        <w:t xml:space="preserve"> </w:t>
      </w:r>
      <w:r w:rsidR="00D9258C" w:rsidRPr="004751CE">
        <w:t>School</w:t>
      </w:r>
      <w:r w:rsidR="00541D05">
        <w:t xml:space="preserve"> </w:t>
      </w:r>
      <w:r w:rsidR="00D9258C" w:rsidRPr="004751CE">
        <w:t>teachers</w:t>
      </w:r>
      <w:r w:rsidR="00541D05">
        <w:t xml:space="preserve"> </w:t>
      </w:r>
      <w:r w:rsidR="00D9258C" w:rsidRPr="004751CE">
        <w:t>and</w:t>
      </w:r>
      <w:r w:rsidR="00541D05">
        <w:t xml:space="preserve"> </w:t>
      </w:r>
      <w:r w:rsidR="00D9258C" w:rsidRPr="004751CE">
        <w:t>studen</w:t>
      </w:r>
      <w:r w:rsidR="00D9258C" w:rsidRPr="00FD6A6A">
        <w:t>ts</w:t>
      </w:r>
      <w:r w:rsidR="00541D05">
        <w:t xml:space="preserve"> </w:t>
      </w:r>
      <w:r w:rsidR="00D9258C" w:rsidRPr="00FD6A6A">
        <w:t>the</w:t>
      </w:r>
      <w:r w:rsidR="00541D05">
        <w:t xml:space="preserve"> </w:t>
      </w:r>
      <w:r w:rsidR="00D9258C" w:rsidRPr="00FD6A6A">
        <w:t>content</w:t>
      </w:r>
      <w:r w:rsidR="00541D05">
        <w:t xml:space="preserve"> </w:t>
      </w:r>
      <w:r w:rsidR="00D9258C" w:rsidRPr="00FD6A6A">
        <w:t>of</w:t>
      </w:r>
      <w:r w:rsidR="00541D05">
        <w:t xml:space="preserve"> </w:t>
      </w:r>
      <w:r w:rsidR="00D9258C" w:rsidRPr="00FD6A6A">
        <w:t>the</w:t>
      </w:r>
      <w:r w:rsidR="00541D05">
        <w:t xml:space="preserve"> </w:t>
      </w:r>
      <w:r w:rsidR="00D9258C" w:rsidRPr="00FD6A6A">
        <w:t>projects</w:t>
      </w:r>
      <w:r w:rsidR="00541D05">
        <w:t xml:space="preserve"> </w:t>
      </w:r>
      <w:r w:rsidR="00D9258C" w:rsidRPr="00FD6A6A">
        <w:t>The</w:t>
      </w:r>
      <w:r w:rsidR="00541D05">
        <w:t xml:space="preserve"> </w:t>
      </w:r>
      <w:r w:rsidR="00D9258C" w:rsidRPr="00FD6A6A">
        <w:t>Color</w:t>
      </w:r>
      <w:r w:rsidR="00541D05">
        <w:t xml:space="preserve"> </w:t>
      </w:r>
      <w:r w:rsidR="00D9258C" w:rsidRPr="00FD6A6A">
        <w:t>of</w:t>
      </w:r>
      <w:r w:rsidR="00541D05">
        <w:t xml:space="preserve"> </w:t>
      </w:r>
      <w:r w:rsidR="00D9258C" w:rsidRPr="00FD6A6A">
        <w:t>Culture</w:t>
      </w:r>
      <w:r w:rsidR="00541D05">
        <w:t xml:space="preserve"> </w:t>
      </w:r>
      <w:r w:rsidR="00D9258C" w:rsidRPr="00FD6A6A">
        <w:t>(A</w:t>
      </w:r>
      <w:r w:rsidR="00541D05">
        <w:t xml:space="preserve"> </w:t>
      </w:r>
      <w:r w:rsidR="00D9258C" w:rsidRPr="00FD6A6A">
        <w:t>Cor</w:t>
      </w:r>
      <w:r w:rsidR="00541D05">
        <w:t xml:space="preserve"> </w:t>
      </w:r>
      <w:r w:rsidR="00D9258C" w:rsidRPr="00FD6A6A">
        <w:t>da</w:t>
      </w:r>
      <w:r w:rsidR="00541D05">
        <w:t xml:space="preserve"> </w:t>
      </w:r>
      <w:r w:rsidR="00D9258C" w:rsidRPr="00FD6A6A">
        <w:t>cultura)</w:t>
      </w:r>
      <w:r w:rsidR="00541D05">
        <w:t xml:space="preserve"> </w:t>
      </w:r>
      <w:r w:rsidR="00D9258C" w:rsidRPr="00FD6A6A">
        <w:t>and</w:t>
      </w:r>
      <w:r w:rsidR="00541D05">
        <w:t xml:space="preserve"> </w:t>
      </w:r>
      <w:r w:rsidR="00D9258C" w:rsidRPr="00FD6A6A">
        <w:t>Like</w:t>
      </w:r>
      <w:r w:rsidR="00541D05">
        <w:t xml:space="preserve"> </w:t>
      </w:r>
      <w:r w:rsidR="00D9258C" w:rsidRPr="00FD6A6A">
        <w:t>stories</w:t>
      </w:r>
      <w:r w:rsidR="00541D05">
        <w:t xml:space="preserve"> </w:t>
      </w:r>
      <w:r w:rsidR="00D9258C" w:rsidRPr="00FD6A6A">
        <w:t>(Curta</w:t>
      </w:r>
      <w:r w:rsidR="00541D05">
        <w:t xml:space="preserve"> </w:t>
      </w:r>
      <w:r w:rsidR="00D9258C" w:rsidRPr="00FD6A6A">
        <w:t>histórias).</w:t>
      </w:r>
      <w:r w:rsidR="00541D05">
        <w:t xml:space="preserve"> </w:t>
      </w:r>
      <w:r w:rsidR="00D9258C" w:rsidRPr="00FD6A6A">
        <w:t>In</w:t>
      </w:r>
      <w:r w:rsidR="00541D05">
        <w:t xml:space="preserve"> </w:t>
      </w:r>
      <w:r w:rsidR="00D9258C" w:rsidRPr="00FD6A6A">
        <w:t>compliance</w:t>
      </w:r>
      <w:r w:rsidR="00541D05">
        <w:t xml:space="preserve"> </w:t>
      </w:r>
      <w:r w:rsidR="00D9258C" w:rsidRPr="00FD6A6A">
        <w:t>with</w:t>
      </w:r>
      <w:r w:rsidR="00541D05">
        <w:t xml:space="preserve"> </w:t>
      </w:r>
      <w:r w:rsidR="00D9258C" w:rsidRPr="00FD6A6A">
        <w:t>Law</w:t>
      </w:r>
      <w:r w:rsidR="00541D05">
        <w:t xml:space="preserve"> </w:t>
      </w:r>
      <w:r w:rsidR="00D9258C" w:rsidRPr="00FD6A6A">
        <w:t>No.</w:t>
      </w:r>
      <w:r w:rsidR="00541D05">
        <w:t xml:space="preserve"> </w:t>
      </w:r>
      <w:r w:rsidR="00D9258C" w:rsidRPr="00FD6A6A">
        <w:t>10,639</w:t>
      </w:r>
      <w:r w:rsidR="00541D05">
        <w:t xml:space="preserve"> </w:t>
      </w:r>
      <w:r w:rsidR="00D9258C" w:rsidRPr="00FD6A6A">
        <w:t>and</w:t>
      </w:r>
      <w:r w:rsidR="00541D05">
        <w:t xml:space="preserve"> </w:t>
      </w:r>
      <w:r w:rsidR="00D9258C" w:rsidRPr="00FD6A6A">
        <w:t>with</w:t>
      </w:r>
      <w:r w:rsidR="00541D05">
        <w:t xml:space="preserve"> </w:t>
      </w:r>
      <w:r w:rsidR="00D9258C" w:rsidRPr="00FD6A6A">
        <w:t>the</w:t>
      </w:r>
      <w:r w:rsidR="00541D05">
        <w:t xml:space="preserve"> </w:t>
      </w:r>
      <w:r w:rsidR="00D9258C" w:rsidRPr="00FD6A6A">
        <w:t>Statute</w:t>
      </w:r>
      <w:r w:rsidR="00541D05">
        <w:t xml:space="preserve"> </w:t>
      </w:r>
      <w:r w:rsidR="00D9258C" w:rsidRPr="00FD6A6A">
        <w:t>of</w:t>
      </w:r>
      <w:r w:rsidR="00541D05">
        <w:t xml:space="preserve"> </w:t>
      </w:r>
      <w:r w:rsidR="00D9258C" w:rsidRPr="00FD6A6A">
        <w:t>Racial</w:t>
      </w:r>
      <w:r w:rsidR="00541D05">
        <w:t xml:space="preserve"> </w:t>
      </w:r>
      <w:r w:rsidR="00D9258C" w:rsidRPr="00FD6A6A">
        <w:t>Equality,</w:t>
      </w:r>
      <w:r w:rsidR="00541D05">
        <w:t xml:space="preserve"> </w:t>
      </w:r>
      <w:r w:rsidR="00D9258C" w:rsidRPr="00FD6A6A">
        <w:t>these</w:t>
      </w:r>
      <w:r w:rsidR="00541D05">
        <w:t xml:space="preserve"> </w:t>
      </w:r>
      <w:r w:rsidR="00D9258C" w:rsidRPr="00FD6A6A">
        <w:t>projects</w:t>
      </w:r>
      <w:r w:rsidR="00541D05">
        <w:t xml:space="preserve"> </w:t>
      </w:r>
      <w:r w:rsidR="00D9258C" w:rsidRPr="00FD6A6A">
        <w:t>aimed</w:t>
      </w:r>
      <w:r w:rsidR="00541D05">
        <w:t xml:space="preserve"> </w:t>
      </w:r>
      <w:r w:rsidR="00D9258C" w:rsidRPr="00FD6A6A">
        <w:t>at</w:t>
      </w:r>
      <w:r w:rsidR="00541D05">
        <w:t xml:space="preserve"> </w:t>
      </w:r>
      <w:r w:rsidR="00D9258C" w:rsidRPr="00FD6A6A">
        <w:t>producing</w:t>
      </w:r>
      <w:r w:rsidR="00541D05">
        <w:t xml:space="preserve"> </w:t>
      </w:r>
      <w:r w:rsidR="00D9258C" w:rsidRPr="00FD6A6A">
        <w:t>playful</w:t>
      </w:r>
      <w:r w:rsidR="00541D05">
        <w:t xml:space="preserve"> </w:t>
      </w:r>
      <w:r w:rsidR="00D9258C" w:rsidRPr="00FD6A6A">
        <w:t>and</w:t>
      </w:r>
      <w:r w:rsidR="00541D05">
        <w:t xml:space="preserve"> </w:t>
      </w:r>
      <w:r w:rsidR="00D9258C" w:rsidRPr="00FD6A6A">
        <w:t>interactive</w:t>
      </w:r>
      <w:r w:rsidR="00541D05">
        <w:t xml:space="preserve"> </w:t>
      </w:r>
      <w:r w:rsidR="00D9258C" w:rsidRPr="00FD6A6A">
        <w:t>content,</w:t>
      </w:r>
      <w:r w:rsidR="00541D05">
        <w:t xml:space="preserve"> </w:t>
      </w:r>
      <w:r w:rsidR="00D9258C" w:rsidRPr="00FD6A6A">
        <w:t>suitable</w:t>
      </w:r>
      <w:r w:rsidR="00541D05">
        <w:t xml:space="preserve"> </w:t>
      </w:r>
      <w:r w:rsidR="00D9258C" w:rsidRPr="00FD6A6A">
        <w:t>for</w:t>
      </w:r>
      <w:r w:rsidR="00541D05">
        <w:t xml:space="preserve"> </w:t>
      </w:r>
      <w:r w:rsidR="00D9258C" w:rsidRPr="00FD6A6A">
        <w:t>children</w:t>
      </w:r>
      <w:r w:rsidR="00541D05">
        <w:t xml:space="preserve"> </w:t>
      </w:r>
      <w:r w:rsidR="00D9258C" w:rsidRPr="00FD6A6A">
        <w:t>and</w:t>
      </w:r>
      <w:r w:rsidR="00541D05">
        <w:t xml:space="preserve"> </w:t>
      </w:r>
      <w:r w:rsidR="00D9258C" w:rsidRPr="00FD6A6A">
        <w:t>young</w:t>
      </w:r>
      <w:r w:rsidR="00541D05">
        <w:t xml:space="preserve"> </w:t>
      </w:r>
      <w:r w:rsidR="00D9258C" w:rsidRPr="00FD6A6A">
        <w:t>people,</w:t>
      </w:r>
      <w:r w:rsidR="00541D05">
        <w:t xml:space="preserve"> </w:t>
      </w:r>
      <w:r w:rsidR="00D9258C" w:rsidRPr="00FD6A6A">
        <w:t>such</w:t>
      </w:r>
      <w:r w:rsidR="00541D05">
        <w:t xml:space="preserve"> </w:t>
      </w:r>
      <w:r w:rsidR="00D9258C" w:rsidRPr="00FD6A6A">
        <w:t>as</w:t>
      </w:r>
      <w:r w:rsidR="00541D05">
        <w:t xml:space="preserve"> </w:t>
      </w:r>
      <w:r w:rsidR="00D9258C" w:rsidRPr="00FD6A6A">
        <w:t>short</w:t>
      </w:r>
      <w:r w:rsidR="00541D05">
        <w:t xml:space="preserve"> </w:t>
      </w:r>
      <w:r w:rsidR="00D9258C" w:rsidRPr="00FD6A6A">
        <w:t>documentaries,</w:t>
      </w:r>
      <w:r w:rsidR="00541D05">
        <w:t xml:space="preserve"> </w:t>
      </w:r>
      <w:r w:rsidR="00D9258C" w:rsidRPr="00FD6A6A">
        <w:t>songs,</w:t>
      </w:r>
      <w:r w:rsidR="00541D05">
        <w:t xml:space="preserve"> </w:t>
      </w:r>
      <w:r w:rsidR="00D9258C" w:rsidRPr="00FD6A6A">
        <w:t>games,</w:t>
      </w:r>
      <w:r w:rsidR="00541D05">
        <w:t xml:space="preserve"> </w:t>
      </w:r>
      <w:r w:rsidR="00D9258C" w:rsidRPr="00FD6A6A">
        <w:t>animated</w:t>
      </w:r>
      <w:r w:rsidR="00541D05">
        <w:t xml:space="preserve"> </w:t>
      </w:r>
      <w:r w:rsidR="00D9258C" w:rsidRPr="00FD6A6A">
        <w:t>books,</w:t>
      </w:r>
      <w:r w:rsidR="00541D05">
        <w:t xml:space="preserve"> </w:t>
      </w:r>
      <w:r w:rsidR="00D9258C" w:rsidRPr="00FD6A6A">
        <w:t>textbooks</w:t>
      </w:r>
      <w:r w:rsidR="00541D05">
        <w:t xml:space="preserve"> </w:t>
      </w:r>
      <w:r w:rsidR="00D9258C" w:rsidRPr="00FD6A6A">
        <w:t>and</w:t>
      </w:r>
      <w:r w:rsidR="00541D05">
        <w:t xml:space="preserve"> </w:t>
      </w:r>
      <w:r w:rsidR="00D9258C" w:rsidRPr="00FD6A6A">
        <w:t>supplementary</w:t>
      </w:r>
      <w:r w:rsidR="00541D05">
        <w:t xml:space="preserve"> </w:t>
      </w:r>
      <w:r w:rsidR="00D9258C" w:rsidRPr="00FD6A6A">
        <w:t>educational</w:t>
      </w:r>
      <w:r w:rsidR="00541D05">
        <w:t xml:space="preserve"> </w:t>
      </w:r>
      <w:r w:rsidR="00D9258C" w:rsidRPr="00FD6A6A">
        <w:t>materials,</w:t>
      </w:r>
      <w:r w:rsidR="00541D05">
        <w:t xml:space="preserve"> </w:t>
      </w:r>
      <w:r w:rsidR="00D9258C" w:rsidRPr="00FD6A6A">
        <w:t>comic</w:t>
      </w:r>
      <w:r w:rsidR="00541D05">
        <w:t xml:space="preserve"> </w:t>
      </w:r>
      <w:r w:rsidR="00D9258C" w:rsidRPr="00FD6A6A">
        <w:t>books,</w:t>
      </w:r>
      <w:r w:rsidR="00541D05">
        <w:t xml:space="preserve"> </w:t>
      </w:r>
      <w:r w:rsidR="00D9258C" w:rsidRPr="00FD6A6A">
        <w:t>and</w:t>
      </w:r>
      <w:r w:rsidR="00541D05">
        <w:t xml:space="preserve"> </w:t>
      </w:r>
      <w:r w:rsidR="00D9258C" w:rsidRPr="00FD6A6A">
        <w:t>computer</w:t>
      </w:r>
      <w:r w:rsidR="00541D05">
        <w:t xml:space="preserve"> </w:t>
      </w:r>
      <w:r w:rsidR="00D9258C" w:rsidRPr="00FD6A6A">
        <w:t>wallpapers.</w:t>
      </w:r>
      <w:r w:rsidR="00541D05">
        <w:t xml:space="preserve"> </w:t>
      </w:r>
      <w:r w:rsidR="00D9258C" w:rsidRPr="00FD6A6A">
        <w:t>Since</w:t>
      </w:r>
      <w:r w:rsidR="00541D05">
        <w:t xml:space="preserve"> </w:t>
      </w:r>
      <w:r w:rsidR="00D9258C" w:rsidRPr="00FD6A6A">
        <w:t>the</w:t>
      </w:r>
      <w:r w:rsidR="00541D05">
        <w:t xml:space="preserve"> </w:t>
      </w:r>
      <w:r w:rsidR="00D9258C" w:rsidRPr="00FD6A6A">
        <w:t>main</w:t>
      </w:r>
      <w:r w:rsidR="00541D05">
        <w:t xml:space="preserve"> </w:t>
      </w:r>
      <w:r w:rsidR="00D9258C" w:rsidRPr="00FD6A6A">
        <w:t>purpose</w:t>
      </w:r>
      <w:r w:rsidR="00541D05">
        <w:t xml:space="preserve"> </w:t>
      </w:r>
      <w:r w:rsidR="00D9258C" w:rsidRPr="00FD6A6A">
        <w:t>of</w:t>
      </w:r>
      <w:r w:rsidR="00541D05">
        <w:t xml:space="preserve"> </w:t>
      </w:r>
      <w:r w:rsidR="00D9258C" w:rsidRPr="00FD6A6A">
        <w:t>these</w:t>
      </w:r>
      <w:r w:rsidR="00541D05">
        <w:t xml:space="preserve"> </w:t>
      </w:r>
      <w:r w:rsidR="00D9258C" w:rsidRPr="00FD6A6A">
        <w:t>projects</w:t>
      </w:r>
      <w:r w:rsidR="00541D05">
        <w:t xml:space="preserve"> </w:t>
      </w:r>
      <w:r w:rsidR="00D9258C" w:rsidRPr="00FD6A6A">
        <w:t>was</w:t>
      </w:r>
      <w:r w:rsidR="00541D05">
        <w:t xml:space="preserve"> </w:t>
      </w:r>
      <w:r w:rsidR="00D9258C" w:rsidRPr="00FD6A6A">
        <w:t>to</w:t>
      </w:r>
      <w:r w:rsidR="00541D05">
        <w:t xml:space="preserve"> </w:t>
      </w:r>
      <w:r w:rsidR="00D9258C" w:rsidRPr="00FD6A6A">
        <w:t>combat</w:t>
      </w:r>
      <w:r w:rsidR="00541D05">
        <w:t xml:space="preserve"> </w:t>
      </w:r>
      <w:r w:rsidR="00D9258C" w:rsidRPr="00FD6A6A">
        <w:t>stereotypes</w:t>
      </w:r>
      <w:r w:rsidR="00541D05">
        <w:t xml:space="preserve"> </w:t>
      </w:r>
      <w:r w:rsidR="00D9258C" w:rsidRPr="00FD6A6A">
        <w:t>in</w:t>
      </w:r>
      <w:r w:rsidR="00541D05">
        <w:t xml:space="preserve"> </w:t>
      </w:r>
      <w:r w:rsidR="00D9258C" w:rsidRPr="00FD6A6A">
        <w:t>schools</w:t>
      </w:r>
      <w:r w:rsidR="00541D05">
        <w:t xml:space="preserve"> </w:t>
      </w:r>
      <w:r w:rsidR="00D9258C" w:rsidRPr="00FD6A6A">
        <w:t>through</w:t>
      </w:r>
      <w:r w:rsidR="00541D05">
        <w:t xml:space="preserve"> </w:t>
      </w:r>
      <w:r w:rsidR="00D9258C" w:rsidRPr="00FD6A6A">
        <w:t>the</w:t>
      </w:r>
      <w:r w:rsidR="00541D05">
        <w:t xml:space="preserve"> </w:t>
      </w:r>
      <w:r w:rsidR="00D9258C" w:rsidRPr="00FD6A6A">
        <w:t>teaching</w:t>
      </w:r>
      <w:r w:rsidR="00541D05">
        <w:t xml:space="preserve"> </w:t>
      </w:r>
      <w:r w:rsidR="00D9258C" w:rsidRPr="00FD6A6A">
        <w:t>of</w:t>
      </w:r>
      <w:r w:rsidR="00541D05">
        <w:t xml:space="preserve"> </w:t>
      </w:r>
      <w:r w:rsidR="00D9258C" w:rsidRPr="00FD6A6A">
        <w:t>Arts</w:t>
      </w:r>
      <w:r w:rsidR="00541D05">
        <w:t xml:space="preserve"> </w:t>
      </w:r>
      <w:r w:rsidR="00D9258C" w:rsidRPr="00FD6A6A">
        <w:t>and</w:t>
      </w:r>
      <w:r w:rsidR="00541D05">
        <w:t xml:space="preserve"> </w:t>
      </w:r>
      <w:r w:rsidR="00D9258C" w:rsidRPr="00FD6A6A">
        <w:lastRenderedPageBreak/>
        <w:t>Humanities,</w:t>
      </w:r>
      <w:r w:rsidR="00541D05">
        <w:t xml:space="preserve"> </w:t>
      </w:r>
      <w:r w:rsidR="00D9258C" w:rsidRPr="00FD6A6A">
        <w:t>the</w:t>
      </w:r>
      <w:r w:rsidR="00541D05">
        <w:t xml:space="preserve"> </w:t>
      </w:r>
      <w:r w:rsidR="00D9258C" w:rsidRPr="00FD6A6A">
        <w:t>characters</w:t>
      </w:r>
      <w:r w:rsidR="00541D05">
        <w:t xml:space="preserve"> </w:t>
      </w:r>
      <w:r w:rsidR="00D9258C" w:rsidRPr="00FD6A6A">
        <w:t>of</w:t>
      </w:r>
      <w:r w:rsidR="00541D05">
        <w:t xml:space="preserve"> </w:t>
      </w:r>
      <w:r w:rsidR="00D9258C" w:rsidRPr="00FD6A6A">
        <w:t>the</w:t>
      </w:r>
      <w:r w:rsidR="00541D05">
        <w:t xml:space="preserve"> </w:t>
      </w:r>
      <w:r w:rsidR="00D9258C" w:rsidRPr="00FD6A6A">
        <w:t>stories,</w:t>
      </w:r>
      <w:r w:rsidR="00541D05">
        <w:t xml:space="preserve"> </w:t>
      </w:r>
      <w:r w:rsidR="00D9258C" w:rsidRPr="00FD6A6A">
        <w:t>Afro-Brazilians</w:t>
      </w:r>
      <w:r w:rsidR="00541D05">
        <w:t xml:space="preserve"> </w:t>
      </w:r>
      <w:r w:rsidR="00D9258C" w:rsidRPr="00FD6A6A">
        <w:t>in</w:t>
      </w:r>
      <w:r w:rsidR="00541D05">
        <w:t xml:space="preserve"> </w:t>
      </w:r>
      <w:r w:rsidR="00D9258C" w:rsidRPr="00FD6A6A">
        <w:t>their</w:t>
      </w:r>
      <w:r w:rsidR="00541D05">
        <w:t xml:space="preserve"> </w:t>
      </w:r>
      <w:r w:rsidR="00D9258C" w:rsidRPr="00FD6A6A">
        <w:t>majority,</w:t>
      </w:r>
      <w:r w:rsidR="00541D05">
        <w:t xml:space="preserve"> </w:t>
      </w:r>
      <w:r w:rsidR="00D9258C" w:rsidRPr="00FD6A6A">
        <w:t>were</w:t>
      </w:r>
      <w:r w:rsidR="00541D05">
        <w:t xml:space="preserve"> </w:t>
      </w:r>
      <w:r w:rsidR="00D9258C" w:rsidRPr="00FD6A6A">
        <w:t>inspired</w:t>
      </w:r>
      <w:r w:rsidR="00541D05">
        <w:t xml:space="preserve"> </w:t>
      </w:r>
      <w:r w:rsidR="00D9258C" w:rsidRPr="00FD6A6A">
        <w:t>by</w:t>
      </w:r>
      <w:r w:rsidR="00541D05">
        <w:t xml:space="preserve"> </w:t>
      </w:r>
      <w:r w:rsidR="00D9258C" w:rsidRPr="00FD6A6A">
        <w:t>Orishas,</w:t>
      </w:r>
      <w:r w:rsidR="00541D05">
        <w:t xml:space="preserve"> </w:t>
      </w:r>
      <w:r w:rsidR="00D9258C" w:rsidRPr="00FD6A6A">
        <w:t>the</w:t>
      </w:r>
      <w:r w:rsidR="00541D05">
        <w:t xml:space="preserve"> </w:t>
      </w:r>
      <w:r w:rsidR="00D9258C" w:rsidRPr="00FD6A6A">
        <w:t>leaders</w:t>
      </w:r>
      <w:r w:rsidR="00541D05">
        <w:t xml:space="preserve"> </w:t>
      </w:r>
      <w:r w:rsidR="00D9258C" w:rsidRPr="00FD6A6A">
        <w:t>of</w:t>
      </w:r>
      <w:r w:rsidR="00541D05">
        <w:t xml:space="preserve"> </w:t>
      </w:r>
      <w:r w:rsidR="00D9258C" w:rsidRPr="00FD6A6A">
        <w:t>Afro-Brazilian</w:t>
      </w:r>
      <w:r w:rsidR="00541D05">
        <w:t xml:space="preserve"> </w:t>
      </w:r>
      <w:r w:rsidR="00D9258C" w:rsidRPr="00FD6A6A">
        <w:t>movements</w:t>
      </w:r>
      <w:r w:rsidR="00541D05">
        <w:t xml:space="preserve"> </w:t>
      </w:r>
      <w:r w:rsidR="00D9258C" w:rsidRPr="00FD6A6A">
        <w:t>and</w:t>
      </w:r>
      <w:r w:rsidR="00541D05">
        <w:t xml:space="preserve"> </w:t>
      </w:r>
      <w:r w:rsidR="00D9258C" w:rsidRPr="00FD6A6A">
        <w:t>the</w:t>
      </w:r>
      <w:r w:rsidR="00541D05">
        <w:t xml:space="preserve"> </w:t>
      </w:r>
      <w:r w:rsidR="00D9258C" w:rsidRPr="00FD6A6A">
        <w:t>everyday</w:t>
      </w:r>
      <w:r w:rsidR="00541D05">
        <w:t xml:space="preserve"> </w:t>
      </w:r>
      <w:r w:rsidR="00D9258C" w:rsidRPr="00FD6A6A">
        <w:t>life</w:t>
      </w:r>
      <w:r w:rsidR="00541D05">
        <w:t xml:space="preserve"> </w:t>
      </w:r>
      <w:r w:rsidR="00D9258C" w:rsidRPr="00FD6A6A">
        <w:t>of</w:t>
      </w:r>
      <w:r w:rsidR="00541D05">
        <w:t xml:space="preserve"> </w:t>
      </w:r>
      <w:r w:rsidR="00D9258C" w:rsidRPr="00FD6A6A">
        <w:t>Afro-Brazilians,</w:t>
      </w:r>
      <w:r w:rsidR="00541D05">
        <w:t xml:space="preserve"> </w:t>
      </w:r>
      <w:r w:rsidR="00D9258C" w:rsidRPr="00FD6A6A">
        <w:t>so</w:t>
      </w:r>
      <w:r w:rsidR="00541D05">
        <w:t xml:space="preserve"> </w:t>
      </w:r>
      <w:r w:rsidR="00D9258C" w:rsidRPr="00FD6A6A">
        <w:t>that</w:t>
      </w:r>
      <w:r w:rsidR="00541D05">
        <w:t xml:space="preserve"> </w:t>
      </w:r>
      <w:r w:rsidR="00D9258C" w:rsidRPr="00FD6A6A">
        <w:t>their</w:t>
      </w:r>
      <w:r w:rsidR="00541D05">
        <w:t xml:space="preserve"> </w:t>
      </w:r>
      <w:r w:rsidR="00D9258C" w:rsidRPr="00FD6A6A">
        <w:t>experiences</w:t>
      </w:r>
      <w:r w:rsidR="00541D05">
        <w:t xml:space="preserve"> </w:t>
      </w:r>
      <w:r w:rsidR="00D9258C" w:rsidRPr="00FD6A6A">
        <w:t>could</w:t>
      </w:r>
      <w:r w:rsidR="00541D05">
        <w:t xml:space="preserve"> </w:t>
      </w:r>
      <w:r w:rsidR="00D9258C" w:rsidRPr="00FD6A6A">
        <w:t>be</w:t>
      </w:r>
      <w:r w:rsidR="00541D05">
        <w:t xml:space="preserve"> </w:t>
      </w:r>
      <w:r w:rsidR="00D9258C" w:rsidRPr="00FD6A6A">
        <w:t>adapted</w:t>
      </w:r>
      <w:r w:rsidR="00541D05">
        <w:t xml:space="preserve"> </w:t>
      </w:r>
      <w:r w:rsidR="00D9258C" w:rsidRPr="00FD6A6A">
        <w:t>to</w:t>
      </w:r>
      <w:r w:rsidR="00541D05">
        <w:t xml:space="preserve"> </w:t>
      </w:r>
      <w:r w:rsidR="00D9258C" w:rsidRPr="00FD6A6A">
        <w:t>development</w:t>
      </w:r>
      <w:r w:rsidR="00541D05">
        <w:t xml:space="preserve"> </w:t>
      </w:r>
      <w:r w:rsidR="00D9258C" w:rsidRPr="00FD6A6A">
        <w:t>of</w:t>
      </w:r>
      <w:r w:rsidR="00541D05">
        <w:t xml:space="preserve"> </w:t>
      </w:r>
      <w:r w:rsidR="00D9258C" w:rsidRPr="00FD6A6A">
        <w:t>the</w:t>
      </w:r>
      <w:r w:rsidR="00541D05">
        <w:t xml:space="preserve"> </w:t>
      </w:r>
      <w:r w:rsidR="00D9258C" w:rsidRPr="00FD6A6A">
        <w:t>plots.</w:t>
      </w:r>
    </w:p>
    <w:p w14:paraId="4C834906" w14:textId="77777777" w:rsidR="00D9258C" w:rsidRPr="00FD6A6A" w:rsidRDefault="00D9258C" w:rsidP="00C81F3E">
      <w:pPr>
        <w:pStyle w:val="H23G"/>
      </w:pPr>
      <w:r w:rsidRPr="00FD6A6A">
        <w:tab/>
      </w:r>
      <w:r w:rsidRPr="00FD6A6A">
        <w:tab/>
        <w:t>Culture</w:t>
      </w:r>
    </w:p>
    <w:p w14:paraId="639538CE" w14:textId="262CE817" w:rsidR="00D9258C" w:rsidRPr="00FD6A6A" w:rsidRDefault="00166390" w:rsidP="00166390">
      <w:pPr>
        <w:pStyle w:val="ParaNoG"/>
        <w:numPr>
          <w:ilvl w:val="0"/>
          <w:numId w:val="0"/>
        </w:numPr>
        <w:tabs>
          <w:tab w:val="left" w:pos="0"/>
        </w:tabs>
        <w:ind w:left="1134"/>
      </w:pPr>
      <w:r w:rsidRPr="00FD6A6A">
        <w:t>219.</w:t>
      </w:r>
      <w:r w:rsidRPr="00FD6A6A">
        <w:tab/>
      </w:r>
      <w:r w:rsidR="00D9258C" w:rsidRPr="00FD6A6A">
        <w:t>The</w:t>
      </w:r>
      <w:r w:rsidR="00541D05">
        <w:t xml:space="preserve"> </w:t>
      </w:r>
      <w:r w:rsidR="00D9258C" w:rsidRPr="00FD6A6A">
        <w:t>actions</w:t>
      </w:r>
      <w:r w:rsidR="00541D05">
        <w:t xml:space="preserve"> </w:t>
      </w:r>
      <w:r w:rsidR="00D9258C" w:rsidRPr="00FD6A6A">
        <w:t>of</w:t>
      </w:r>
      <w:r w:rsidR="00541D05">
        <w:t xml:space="preserve"> </w:t>
      </w:r>
      <w:r w:rsidR="00D9258C" w:rsidRPr="00FD6A6A">
        <w:t>the</w:t>
      </w:r>
      <w:r w:rsidR="00541D05">
        <w:t xml:space="preserve"> </w:t>
      </w:r>
      <w:r w:rsidR="00D9258C" w:rsidRPr="00FD6A6A">
        <w:t>Palmares</w:t>
      </w:r>
      <w:r w:rsidR="00541D05">
        <w:t xml:space="preserve"> </w:t>
      </w:r>
      <w:r w:rsidR="00D9258C" w:rsidRPr="00FD6A6A">
        <w:t>Cultural</w:t>
      </w:r>
      <w:r w:rsidR="00541D05">
        <w:t xml:space="preserve"> </w:t>
      </w:r>
      <w:r w:rsidR="00D9258C" w:rsidRPr="00FD6A6A">
        <w:t>Foundation</w:t>
      </w:r>
      <w:r w:rsidR="00541D05">
        <w:t xml:space="preserve"> </w:t>
      </w:r>
      <w:r w:rsidR="00D9258C" w:rsidRPr="00FD6A6A">
        <w:t>deserve</w:t>
      </w:r>
      <w:r w:rsidR="00541D05">
        <w:t xml:space="preserve"> </w:t>
      </w:r>
      <w:r w:rsidR="00D9258C" w:rsidRPr="00FD6A6A">
        <w:t>mentioning.</w:t>
      </w:r>
      <w:r w:rsidR="00541D05">
        <w:t xml:space="preserve"> </w:t>
      </w:r>
      <w:r w:rsidR="00D9258C" w:rsidRPr="00FD6A6A">
        <w:t>This</w:t>
      </w:r>
      <w:r w:rsidR="00541D05">
        <w:t xml:space="preserve"> </w:t>
      </w:r>
      <w:r w:rsidR="00D9258C" w:rsidRPr="00FD6A6A">
        <w:t>institution,</w:t>
      </w:r>
      <w:r w:rsidR="00541D05">
        <w:t xml:space="preserve"> </w:t>
      </w:r>
      <w:r w:rsidR="00D9258C" w:rsidRPr="00FD6A6A">
        <w:t>created</w:t>
      </w:r>
      <w:r w:rsidR="00541D05">
        <w:t xml:space="preserve"> </w:t>
      </w:r>
      <w:r w:rsidR="00D9258C" w:rsidRPr="00FD6A6A">
        <w:t>in</w:t>
      </w:r>
      <w:r w:rsidR="00541D05">
        <w:t xml:space="preserve"> </w:t>
      </w:r>
      <w:r w:rsidR="00D9258C" w:rsidRPr="00FD6A6A">
        <w:t>1988,</w:t>
      </w:r>
      <w:r w:rsidR="00541D05">
        <w:t xml:space="preserve"> </w:t>
      </w:r>
      <w:r w:rsidR="00D9258C" w:rsidRPr="00FD6A6A">
        <w:t>had</w:t>
      </w:r>
      <w:r w:rsidR="00541D05">
        <w:t xml:space="preserve"> </w:t>
      </w:r>
      <w:r w:rsidR="00D9258C" w:rsidRPr="00FD6A6A">
        <w:t>its</w:t>
      </w:r>
      <w:r w:rsidR="00541D05">
        <w:t xml:space="preserve"> </w:t>
      </w:r>
      <w:r w:rsidR="00D9258C" w:rsidRPr="00FD6A6A">
        <w:t>competences</w:t>
      </w:r>
      <w:r w:rsidR="00541D05">
        <w:t xml:space="preserve"> </w:t>
      </w:r>
      <w:r w:rsidR="00D9258C" w:rsidRPr="00FD6A6A">
        <w:t>expanded</w:t>
      </w:r>
      <w:r w:rsidR="00541D05">
        <w:t xml:space="preserve"> </w:t>
      </w:r>
      <w:r w:rsidR="00D9258C" w:rsidRPr="00FD6A6A">
        <w:t>in</w:t>
      </w:r>
      <w:r w:rsidR="00541D05">
        <w:t xml:space="preserve"> </w:t>
      </w:r>
      <w:r w:rsidR="00D9258C" w:rsidRPr="00FD6A6A">
        <w:t>2009,</w:t>
      </w:r>
      <w:r w:rsidR="00541D05">
        <w:t xml:space="preserve"> </w:t>
      </w:r>
      <w:r w:rsidR="00D9258C" w:rsidRPr="00FD6A6A">
        <w:t>with</w:t>
      </w:r>
      <w:r w:rsidR="00541D05">
        <w:t xml:space="preserve"> </w:t>
      </w:r>
      <w:r w:rsidR="00D9258C" w:rsidRPr="00FD6A6A">
        <w:t>the</w:t>
      </w:r>
      <w:r w:rsidR="00541D05">
        <w:t xml:space="preserve"> </w:t>
      </w:r>
      <w:r w:rsidR="00D9258C" w:rsidRPr="00FD6A6A">
        <w:t>enactment</w:t>
      </w:r>
      <w:r w:rsidR="00541D05">
        <w:t xml:space="preserve"> </w:t>
      </w:r>
      <w:r w:rsidR="00D9258C" w:rsidRPr="00FD6A6A">
        <w:t>of</w:t>
      </w:r>
      <w:r w:rsidR="00541D05">
        <w:t xml:space="preserve"> </w:t>
      </w:r>
      <w:r w:rsidR="00D9258C" w:rsidRPr="00FD6A6A">
        <w:t>Decree</w:t>
      </w:r>
      <w:r w:rsidR="00541D05">
        <w:t xml:space="preserve"> </w:t>
      </w:r>
      <w:r w:rsidR="00D9258C" w:rsidRPr="00FD6A6A">
        <w:t>No.</w:t>
      </w:r>
      <w:r w:rsidR="00541D05">
        <w:t xml:space="preserve"> </w:t>
      </w:r>
      <w:r w:rsidR="00D9258C" w:rsidRPr="00FD6A6A">
        <w:t>6,853.</w:t>
      </w:r>
      <w:r w:rsidR="00541D05">
        <w:t xml:space="preserve"> </w:t>
      </w:r>
      <w:r w:rsidR="00D9258C" w:rsidRPr="00FD6A6A">
        <w:t>Among</w:t>
      </w:r>
      <w:r w:rsidR="00541D05">
        <w:t xml:space="preserve"> </w:t>
      </w:r>
      <w:r w:rsidR="00D9258C" w:rsidRPr="00FD6A6A">
        <w:t>its</w:t>
      </w:r>
      <w:r w:rsidR="00541D05">
        <w:t xml:space="preserve"> </w:t>
      </w:r>
      <w:r w:rsidR="00D9258C" w:rsidRPr="00FD6A6A">
        <w:t>new</w:t>
      </w:r>
      <w:r w:rsidR="00541D05">
        <w:t xml:space="preserve"> </w:t>
      </w:r>
      <w:r w:rsidR="00D9258C" w:rsidRPr="00FD6A6A">
        <w:t>competences,</w:t>
      </w:r>
      <w:r w:rsidR="00541D05">
        <w:t xml:space="preserve"> </w:t>
      </w:r>
      <w:r w:rsidR="00D9258C" w:rsidRPr="00FD6A6A">
        <w:t>there</w:t>
      </w:r>
      <w:r w:rsidR="00541D05">
        <w:t xml:space="preserve"> </w:t>
      </w:r>
      <w:r w:rsidR="00D9258C" w:rsidRPr="00FD6A6A">
        <w:t>are</w:t>
      </w:r>
      <w:r w:rsidR="00541D05">
        <w:t xml:space="preserve"> </w:t>
      </w:r>
      <w:r w:rsidR="00D9258C" w:rsidRPr="00FD6A6A">
        <w:t>the</w:t>
      </w:r>
      <w:r w:rsidR="00541D05">
        <w:t xml:space="preserve"> </w:t>
      </w:r>
      <w:r w:rsidR="00D9258C" w:rsidRPr="00FD6A6A">
        <w:t>promotion</w:t>
      </w:r>
      <w:r w:rsidR="00541D05">
        <w:t xml:space="preserve"> </w:t>
      </w:r>
      <w:r w:rsidR="00D9258C" w:rsidRPr="00FD6A6A">
        <w:t>and</w:t>
      </w:r>
      <w:r w:rsidR="00541D05">
        <w:t xml:space="preserve"> </w:t>
      </w:r>
      <w:r w:rsidR="00D9258C" w:rsidRPr="00FD6A6A">
        <w:t>preservation</w:t>
      </w:r>
      <w:r w:rsidR="00541D05">
        <w:t xml:space="preserve"> </w:t>
      </w:r>
      <w:r w:rsidR="00D9258C" w:rsidRPr="00FD6A6A">
        <w:t>of</w:t>
      </w:r>
      <w:r w:rsidR="00541D05">
        <w:t xml:space="preserve"> </w:t>
      </w:r>
      <w:r w:rsidR="00D9258C" w:rsidRPr="00FD6A6A">
        <w:t>cultural,</w:t>
      </w:r>
      <w:r w:rsidR="00541D05">
        <w:t xml:space="preserve"> </w:t>
      </w:r>
      <w:r w:rsidR="00D9258C" w:rsidRPr="00FD6A6A">
        <w:t>social,</w:t>
      </w:r>
      <w:r w:rsidR="00541D05">
        <w:t xml:space="preserve"> </w:t>
      </w:r>
      <w:r w:rsidR="00D9258C" w:rsidRPr="00FD6A6A">
        <w:t>and</w:t>
      </w:r>
      <w:r w:rsidR="00541D05">
        <w:t xml:space="preserve"> </w:t>
      </w:r>
      <w:r w:rsidR="00D9258C" w:rsidRPr="00FD6A6A">
        <w:t>economic</w:t>
      </w:r>
      <w:r w:rsidR="00541D05">
        <w:t xml:space="preserve"> </w:t>
      </w:r>
      <w:r w:rsidR="00D9258C" w:rsidRPr="00FD6A6A">
        <w:t>values</w:t>
      </w:r>
      <w:r w:rsidR="00541D05">
        <w:t xml:space="preserve"> </w:t>
      </w:r>
      <w:r w:rsidR="00D9258C" w:rsidRPr="00FD6A6A">
        <w:t>arising</w:t>
      </w:r>
      <w:r w:rsidR="00541D05">
        <w:t xml:space="preserve"> </w:t>
      </w:r>
      <w:r w:rsidR="00D9258C" w:rsidRPr="00FD6A6A">
        <w:t>from</w:t>
      </w:r>
      <w:r w:rsidR="00541D05">
        <w:t xml:space="preserve"> </w:t>
      </w:r>
      <w:r w:rsidR="00D9258C" w:rsidRPr="00FD6A6A">
        <w:t>the</w:t>
      </w:r>
      <w:r w:rsidR="00541D05">
        <w:t xml:space="preserve"> </w:t>
      </w:r>
      <w:r w:rsidR="00D9258C" w:rsidRPr="00FD6A6A">
        <w:t>Afro-Brazilian</w:t>
      </w:r>
      <w:r w:rsidR="00541D05">
        <w:t xml:space="preserve"> </w:t>
      </w:r>
      <w:r w:rsidR="00D9258C" w:rsidRPr="00FD6A6A">
        <w:t>influence</w:t>
      </w:r>
      <w:r w:rsidR="00541D05">
        <w:t xml:space="preserve"> </w:t>
      </w:r>
      <w:r w:rsidR="00D9258C" w:rsidRPr="00FD6A6A">
        <w:t>in</w:t>
      </w:r>
      <w:r w:rsidR="00541D05">
        <w:t xml:space="preserve"> </w:t>
      </w:r>
      <w:r w:rsidR="00D9258C" w:rsidRPr="00FD6A6A">
        <w:t>the</w:t>
      </w:r>
      <w:r w:rsidR="00541D05">
        <w:t xml:space="preserve"> </w:t>
      </w:r>
      <w:r w:rsidR="00D9258C" w:rsidRPr="00FD6A6A">
        <w:t>shaping</w:t>
      </w:r>
      <w:r w:rsidR="00541D05">
        <w:t xml:space="preserve"> </w:t>
      </w:r>
      <w:r w:rsidR="00D9258C" w:rsidRPr="00FD6A6A">
        <w:t>of</w:t>
      </w:r>
      <w:r w:rsidR="00541D05">
        <w:t xml:space="preserve"> </w:t>
      </w:r>
      <w:r w:rsidR="00D9258C" w:rsidRPr="00FD6A6A">
        <w:t>Brazilian</w:t>
      </w:r>
      <w:r w:rsidR="00541D05">
        <w:t xml:space="preserve"> </w:t>
      </w:r>
      <w:r w:rsidR="00D9258C" w:rsidRPr="00FD6A6A">
        <w:t>society,</w:t>
      </w:r>
      <w:r w:rsidR="00541D05">
        <w:t xml:space="preserve"> </w:t>
      </w:r>
      <w:r w:rsidR="00D9258C" w:rsidRPr="00FD6A6A">
        <w:t>the</w:t>
      </w:r>
      <w:r w:rsidR="00541D05">
        <w:t xml:space="preserve"> </w:t>
      </w:r>
      <w:r w:rsidR="00D9258C" w:rsidRPr="00FD6A6A">
        <w:t>fostering</w:t>
      </w:r>
      <w:r w:rsidR="00541D05">
        <w:t xml:space="preserve"> </w:t>
      </w:r>
      <w:r w:rsidR="00D9258C" w:rsidRPr="00FD6A6A">
        <w:t>of</w:t>
      </w:r>
      <w:r w:rsidR="00541D05">
        <w:t xml:space="preserve"> </w:t>
      </w:r>
      <w:r w:rsidR="00D9258C" w:rsidRPr="00FD6A6A">
        <w:t>exchanges</w:t>
      </w:r>
      <w:r w:rsidR="00541D05">
        <w:t xml:space="preserve"> </w:t>
      </w:r>
      <w:r w:rsidR="00D9258C" w:rsidRPr="00FD6A6A">
        <w:t>with</w:t>
      </w:r>
      <w:r w:rsidR="00541D05">
        <w:t xml:space="preserve"> </w:t>
      </w:r>
      <w:r w:rsidR="00D9258C" w:rsidRPr="00FD6A6A">
        <w:t>other</w:t>
      </w:r>
      <w:r w:rsidR="00541D05">
        <w:t xml:space="preserve"> </w:t>
      </w:r>
      <w:r w:rsidR="00D9258C" w:rsidRPr="00FD6A6A">
        <w:t>countries</w:t>
      </w:r>
      <w:r w:rsidR="00541D05">
        <w:t xml:space="preserve"> </w:t>
      </w:r>
      <w:r w:rsidR="00D9258C" w:rsidRPr="00FD6A6A">
        <w:t>and</w:t>
      </w:r>
      <w:r w:rsidR="00541D05">
        <w:t xml:space="preserve"> </w:t>
      </w:r>
      <w:r w:rsidR="00D9258C" w:rsidRPr="00FD6A6A">
        <w:t>international</w:t>
      </w:r>
      <w:r w:rsidR="00541D05">
        <w:t xml:space="preserve"> </w:t>
      </w:r>
      <w:r w:rsidR="00D9258C" w:rsidRPr="00FD6A6A">
        <w:t>organizations</w:t>
      </w:r>
      <w:r w:rsidR="00541D05">
        <w:t xml:space="preserve"> </w:t>
      </w:r>
      <w:r w:rsidR="00D9258C" w:rsidRPr="00FD6A6A">
        <w:t>to</w:t>
      </w:r>
      <w:r w:rsidR="00541D05">
        <w:t xml:space="preserve"> </w:t>
      </w:r>
      <w:r w:rsidR="00D9258C" w:rsidRPr="00FD6A6A">
        <w:t>carry</w:t>
      </w:r>
      <w:r w:rsidR="00541D05">
        <w:t xml:space="preserve"> </w:t>
      </w:r>
      <w:r w:rsidR="00D9258C" w:rsidRPr="00FD6A6A">
        <w:t>out</w:t>
      </w:r>
      <w:r w:rsidR="00541D05">
        <w:t xml:space="preserve"> </w:t>
      </w:r>
      <w:r w:rsidR="00D9258C" w:rsidRPr="00FD6A6A">
        <w:t>researches,</w:t>
      </w:r>
      <w:r w:rsidR="00541D05">
        <w:t xml:space="preserve"> </w:t>
      </w:r>
      <w:r w:rsidR="00D9258C" w:rsidRPr="00FD6A6A">
        <w:t>studies,</w:t>
      </w:r>
      <w:r w:rsidR="00541D05">
        <w:t xml:space="preserve"> </w:t>
      </w:r>
      <w:r w:rsidR="00D9258C" w:rsidRPr="00FD6A6A">
        <w:t>and</w:t>
      </w:r>
      <w:r w:rsidR="00541D05">
        <w:t xml:space="preserve"> </w:t>
      </w:r>
      <w:r w:rsidR="00D9258C" w:rsidRPr="00FD6A6A">
        <w:t>events</w:t>
      </w:r>
      <w:r w:rsidR="00541D05">
        <w:t xml:space="preserve"> </w:t>
      </w:r>
      <w:r w:rsidR="00D9258C" w:rsidRPr="00FD6A6A">
        <w:t>related</w:t>
      </w:r>
      <w:r w:rsidR="00541D05">
        <w:t xml:space="preserve"> </w:t>
      </w:r>
      <w:r w:rsidR="00D9258C" w:rsidRPr="00FD6A6A">
        <w:t>to</w:t>
      </w:r>
      <w:r w:rsidR="00541D05">
        <w:t xml:space="preserve"> </w:t>
      </w:r>
      <w:r w:rsidR="00D9258C" w:rsidRPr="00FD6A6A">
        <w:t>the</w:t>
      </w:r>
      <w:r w:rsidR="00541D05">
        <w:t xml:space="preserve"> </w:t>
      </w:r>
      <w:r w:rsidR="00D9258C" w:rsidRPr="00FD6A6A">
        <w:t>history</w:t>
      </w:r>
      <w:r w:rsidR="00541D05">
        <w:t xml:space="preserve"> </w:t>
      </w:r>
      <w:r w:rsidR="00D9258C" w:rsidRPr="00FD6A6A">
        <w:t>and</w:t>
      </w:r>
      <w:r w:rsidR="00541D05">
        <w:t xml:space="preserve"> </w:t>
      </w:r>
      <w:r w:rsidR="00D9258C" w:rsidRPr="00FD6A6A">
        <w:t>culture</w:t>
      </w:r>
      <w:r w:rsidR="00541D05">
        <w:t xml:space="preserve"> </w:t>
      </w:r>
      <w:r w:rsidR="00D9258C" w:rsidRPr="00FD6A6A">
        <w:t>of</w:t>
      </w:r>
      <w:r w:rsidR="00541D05">
        <w:t xml:space="preserve"> </w:t>
      </w:r>
      <w:r w:rsidR="00D9258C" w:rsidRPr="00FD6A6A">
        <w:t>people</w:t>
      </w:r>
      <w:r w:rsidR="00541D05">
        <w:t xml:space="preserve"> </w:t>
      </w:r>
      <w:r w:rsidR="00D9258C" w:rsidRPr="00FD6A6A">
        <w:t>of</w:t>
      </w:r>
      <w:r w:rsidR="00541D05">
        <w:t xml:space="preserve"> </w:t>
      </w:r>
      <w:r w:rsidR="00D9258C" w:rsidRPr="00FD6A6A">
        <w:t>African</w:t>
      </w:r>
      <w:r w:rsidR="00541D05">
        <w:t xml:space="preserve"> </w:t>
      </w:r>
      <w:r w:rsidR="00D9258C" w:rsidRPr="00FD6A6A">
        <w:t>descent,</w:t>
      </w:r>
      <w:r w:rsidR="00541D05">
        <w:t xml:space="preserve"> </w:t>
      </w:r>
      <w:r w:rsidR="00D9258C" w:rsidRPr="00FD6A6A">
        <w:t>the</w:t>
      </w:r>
      <w:r w:rsidR="00541D05">
        <w:t xml:space="preserve"> </w:t>
      </w:r>
      <w:r w:rsidR="00D9258C" w:rsidRPr="00FD6A6A">
        <w:t>implementation</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r w:rsidR="00541D05">
        <w:t xml:space="preserve"> </w:t>
      </w:r>
      <w:r w:rsidR="00D9258C" w:rsidRPr="00FD6A6A">
        <w:t>to</w:t>
      </w:r>
      <w:r w:rsidR="00541D05">
        <w:t xml:space="preserve"> </w:t>
      </w:r>
      <w:r w:rsidR="00D9258C" w:rsidRPr="00FD6A6A">
        <w:t>promote</w:t>
      </w:r>
      <w:r w:rsidR="00541D05">
        <w:t xml:space="preserve"> </w:t>
      </w:r>
      <w:r w:rsidR="00D9258C" w:rsidRPr="00FD6A6A">
        <w:t>the</w:t>
      </w:r>
      <w:r w:rsidR="00541D05">
        <w:t xml:space="preserve"> </w:t>
      </w:r>
      <w:r w:rsidR="00D9258C" w:rsidRPr="00FD6A6A">
        <w:t>participation</w:t>
      </w:r>
      <w:r w:rsidR="00541D05">
        <w:t xml:space="preserve"> </w:t>
      </w:r>
      <w:r w:rsidR="00D9258C" w:rsidRPr="00FD6A6A">
        <w:t>of</w:t>
      </w:r>
      <w:r w:rsidR="00541D05">
        <w:t xml:space="preserve"> </w:t>
      </w:r>
      <w:r w:rsidR="00D9258C" w:rsidRPr="00FD6A6A">
        <w:t>people</w:t>
      </w:r>
      <w:r w:rsidR="00541D05">
        <w:t xml:space="preserve"> </w:t>
      </w:r>
      <w:r w:rsidR="00D9258C" w:rsidRPr="00FD6A6A">
        <w:t>of</w:t>
      </w:r>
      <w:r w:rsidR="00541D05">
        <w:t xml:space="preserve"> </w:t>
      </w:r>
      <w:r w:rsidR="00D9258C" w:rsidRPr="00FD6A6A">
        <w:t>African</w:t>
      </w:r>
      <w:r w:rsidR="00541D05">
        <w:t xml:space="preserve"> </w:t>
      </w:r>
      <w:r w:rsidR="00D9258C" w:rsidRPr="00FD6A6A">
        <w:t>descent</w:t>
      </w:r>
      <w:r w:rsidR="00541D05">
        <w:t xml:space="preserve"> </w:t>
      </w:r>
      <w:r w:rsidR="00D9258C" w:rsidRPr="00FD6A6A">
        <w:t>in</w:t>
      </w:r>
      <w:r w:rsidR="00541D05">
        <w:t xml:space="preserve"> </w:t>
      </w:r>
      <w:r w:rsidR="00D9258C" w:rsidRPr="00FD6A6A">
        <w:t>the</w:t>
      </w:r>
      <w:r w:rsidR="00541D05">
        <w:t xml:space="preserve"> </w:t>
      </w:r>
      <w:r w:rsidR="00D9258C" w:rsidRPr="00FD6A6A">
        <w:t>social</w:t>
      </w:r>
      <w:r w:rsidR="00541D05">
        <w:t xml:space="preserve"> </w:t>
      </w:r>
      <w:r w:rsidR="00D9258C" w:rsidRPr="00FD6A6A">
        <w:t>and</w:t>
      </w:r>
      <w:r w:rsidR="00541D05">
        <w:t xml:space="preserve"> </w:t>
      </w:r>
      <w:r w:rsidR="00D9258C" w:rsidRPr="00FD6A6A">
        <w:t>cultural</w:t>
      </w:r>
      <w:r w:rsidR="00541D05">
        <w:t xml:space="preserve"> </w:t>
      </w:r>
      <w:r w:rsidR="00D9258C" w:rsidRPr="00FD6A6A">
        <w:t>development</w:t>
      </w:r>
      <w:r w:rsidR="00541D05">
        <w:t xml:space="preserve"> </w:t>
      </w:r>
      <w:r w:rsidR="00D9258C" w:rsidRPr="00FD6A6A">
        <w:t>process</w:t>
      </w:r>
      <w:r w:rsidR="00541D05">
        <w:t xml:space="preserve"> </w:t>
      </w:r>
      <w:r w:rsidR="00D9258C" w:rsidRPr="00FD6A6A">
        <w:t>of</w:t>
      </w:r>
      <w:r w:rsidR="00541D05">
        <w:t xml:space="preserve"> </w:t>
      </w:r>
      <w:r w:rsidR="00D9258C" w:rsidRPr="00FD6A6A">
        <w:t>Brazil,</w:t>
      </w:r>
      <w:r w:rsidR="00541D05">
        <w:t xml:space="preserve"> </w:t>
      </w:r>
      <w:r w:rsidR="00D9258C" w:rsidRPr="00FD6A6A">
        <w:t>and</w:t>
      </w:r>
      <w:r w:rsidR="00541D05">
        <w:t xml:space="preserve"> </w:t>
      </w:r>
      <w:r w:rsidR="00D9258C" w:rsidRPr="00FD6A6A">
        <w:t>the</w:t>
      </w:r>
      <w:r w:rsidR="00541D05">
        <w:t xml:space="preserve"> </w:t>
      </w:r>
      <w:r w:rsidR="00D9258C" w:rsidRPr="00FD6A6A">
        <w:t>promotion</w:t>
      </w:r>
      <w:r w:rsidR="00541D05">
        <w:t xml:space="preserve"> </w:t>
      </w:r>
      <w:r w:rsidR="00D9258C" w:rsidRPr="00FD6A6A">
        <w:t>and</w:t>
      </w:r>
      <w:r w:rsidR="00541D05">
        <w:t xml:space="preserve"> </w:t>
      </w:r>
      <w:r w:rsidR="00D9258C" w:rsidRPr="00FD6A6A">
        <w:t>preservation</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cultural</w:t>
      </w:r>
      <w:r w:rsidR="00541D05">
        <w:t xml:space="preserve"> </w:t>
      </w:r>
      <w:r w:rsidR="00D9258C" w:rsidRPr="00FD6A6A">
        <w:t>heritage</w:t>
      </w:r>
      <w:r w:rsidR="00541D05">
        <w:t xml:space="preserve"> </w:t>
      </w:r>
      <w:r w:rsidR="00D9258C" w:rsidRPr="00FD6A6A">
        <w:t>and</w:t>
      </w:r>
      <w:r w:rsidR="00541D05">
        <w:t xml:space="preserve"> </w:t>
      </w:r>
      <w:r w:rsidR="00D9258C" w:rsidRPr="00FD6A6A">
        <w:t>of</w:t>
      </w:r>
      <w:r w:rsidR="00541D05">
        <w:t xml:space="preserve"> </w:t>
      </w:r>
      <w:r w:rsidR="00D9258C" w:rsidRPr="00FD6A6A">
        <w:t>the</w:t>
      </w:r>
      <w:r w:rsidR="00541D05">
        <w:t xml:space="preserve"> </w:t>
      </w:r>
      <w:r w:rsidR="00D9258C" w:rsidRPr="00FD6A6A">
        <w:t>cultural</w:t>
      </w:r>
      <w:r w:rsidR="00541D05">
        <w:t xml:space="preserve"> </w:t>
      </w:r>
      <w:r w:rsidR="00D9258C" w:rsidRPr="00FD6A6A">
        <w:t>identity</w:t>
      </w:r>
      <w:r w:rsidR="00541D05">
        <w:t xml:space="preserve"> </w:t>
      </w:r>
      <w:r w:rsidR="00D9258C" w:rsidRPr="00FD6A6A">
        <w:t>of</w:t>
      </w:r>
      <w:r w:rsidR="00541D05">
        <w:t xml:space="preserve"> </w:t>
      </w:r>
      <w:r w:rsidR="00D9258C" w:rsidRPr="00FD6A6A">
        <w:t>the</w:t>
      </w:r>
      <w:r w:rsidR="00541D05">
        <w:t xml:space="preserve"> </w:t>
      </w:r>
      <w:r w:rsidR="00D9258C" w:rsidRPr="00FD6A6A">
        <w:t>remaining</w:t>
      </w:r>
      <w:r w:rsidR="00541D05">
        <w:t xml:space="preserve"> </w:t>
      </w:r>
      <w:r w:rsidR="00D9258C" w:rsidRPr="00FD6A6A">
        <w:t>communities</w:t>
      </w:r>
      <w:r w:rsidR="00541D05">
        <w:t xml:space="preserve"> </w:t>
      </w:r>
      <w:r w:rsidR="00D9258C" w:rsidRPr="00FD6A6A">
        <w:t>of</w:t>
      </w:r>
      <w:r w:rsidR="00541D05">
        <w:t xml:space="preserve"> </w:t>
      </w:r>
      <w:r w:rsidR="00D9258C" w:rsidRPr="00EF015A">
        <w:rPr>
          <w:i/>
          <w:iCs/>
        </w:rPr>
        <w:t>quilombos</w:t>
      </w:r>
      <w:r w:rsidR="00D9258C" w:rsidRPr="00FD6A6A">
        <w:t>.</w:t>
      </w:r>
    </w:p>
    <w:p w14:paraId="6EB11791" w14:textId="08DD204D" w:rsidR="00D9258C" w:rsidRPr="00FD6A6A" w:rsidRDefault="00166390" w:rsidP="00166390">
      <w:pPr>
        <w:pStyle w:val="ParaNoG"/>
        <w:numPr>
          <w:ilvl w:val="0"/>
          <w:numId w:val="0"/>
        </w:numPr>
        <w:tabs>
          <w:tab w:val="left" w:pos="0"/>
        </w:tabs>
        <w:ind w:left="1134"/>
      </w:pPr>
      <w:r w:rsidRPr="00FD6A6A">
        <w:t>220.</w:t>
      </w:r>
      <w:r w:rsidRPr="00FD6A6A">
        <w:tab/>
      </w:r>
      <w:r w:rsidR="00D9258C" w:rsidRPr="00FD6A6A">
        <w:t>The</w:t>
      </w:r>
      <w:r w:rsidR="00541D05">
        <w:t xml:space="preserve"> </w:t>
      </w:r>
      <w:r w:rsidR="00D9258C" w:rsidRPr="00FD6A6A">
        <w:t>Foundation</w:t>
      </w:r>
      <w:r w:rsidR="00541D05">
        <w:t xml:space="preserve"> </w:t>
      </w:r>
      <w:r w:rsidR="00D9258C" w:rsidRPr="00FD6A6A">
        <w:t>also</w:t>
      </w:r>
      <w:r w:rsidR="00541D05">
        <w:t xml:space="preserve"> </w:t>
      </w:r>
      <w:r w:rsidR="00D9258C" w:rsidRPr="00FD6A6A">
        <w:t>supports</w:t>
      </w:r>
      <w:r w:rsidR="00541D05">
        <w:t xml:space="preserve"> </w:t>
      </w:r>
      <w:r w:rsidR="00D9258C" w:rsidRPr="00FD6A6A">
        <w:t>cultural</w:t>
      </w:r>
      <w:r w:rsidR="00541D05">
        <w:t xml:space="preserve"> </w:t>
      </w:r>
      <w:r w:rsidR="00D9258C" w:rsidRPr="00FD6A6A">
        <w:t>activities</w:t>
      </w:r>
      <w:r w:rsidR="00541D05">
        <w:t xml:space="preserve"> </w:t>
      </w:r>
      <w:r w:rsidR="00D9258C" w:rsidRPr="00FD6A6A">
        <w:t>related</w:t>
      </w:r>
      <w:r w:rsidR="00541D05">
        <w:t xml:space="preserve"> </w:t>
      </w:r>
      <w:r w:rsidR="00D9258C" w:rsidRPr="00FD6A6A">
        <w:t>to</w:t>
      </w:r>
      <w:r w:rsidR="00541D05">
        <w:t xml:space="preserve"> </w:t>
      </w:r>
      <w:r w:rsidR="00D9258C" w:rsidRPr="00FD6A6A">
        <w:t>Afro-Brazilian</w:t>
      </w:r>
      <w:r w:rsidR="00541D05">
        <w:t xml:space="preserve"> </w:t>
      </w:r>
      <w:r w:rsidR="00D9258C" w:rsidRPr="00FD6A6A">
        <w:t>cultures,</w:t>
      </w:r>
      <w:r w:rsidR="00541D05">
        <w:t xml:space="preserve"> </w:t>
      </w:r>
      <w:r w:rsidR="00D9258C" w:rsidRPr="00FD6A6A">
        <w:t>participates</w:t>
      </w:r>
      <w:r w:rsidR="00541D05">
        <w:t xml:space="preserve"> </w:t>
      </w:r>
      <w:r w:rsidR="00D9258C" w:rsidRPr="00FD6A6A">
        <w:t>in</w:t>
      </w:r>
      <w:r w:rsidR="00541D05">
        <w:t xml:space="preserve"> </w:t>
      </w:r>
      <w:r w:rsidR="00D9258C" w:rsidRPr="00FD6A6A">
        <w:t>the</w:t>
      </w:r>
      <w:r w:rsidR="00541D05">
        <w:t xml:space="preserve"> </w:t>
      </w:r>
      <w:r w:rsidR="00D9258C" w:rsidRPr="00FD6A6A">
        <w:t>training</w:t>
      </w:r>
      <w:r w:rsidR="00541D05">
        <w:t xml:space="preserve"> </w:t>
      </w:r>
      <w:r w:rsidR="00D9258C" w:rsidRPr="00FD6A6A">
        <w:t>of</w:t>
      </w:r>
      <w:r w:rsidR="00541D05">
        <w:t xml:space="preserve"> </w:t>
      </w:r>
      <w:r w:rsidR="00D9258C" w:rsidRPr="00FD6A6A">
        <w:t>agents</w:t>
      </w:r>
      <w:r w:rsidR="00541D05">
        <w:t xml:space="preserve"> </w:t>
      </w:r>
      <w:r w:rsidR="00D9258C" w:rsidRPr="00FD6A6A">
        <w:t>of</w:t>
      </w:r>
      <w:r w:rsidR="00541D05">
        <w:t xml:space="preserve"> </w:t>
      </w:r>
      <w:r w:rsidR="00D9258C" w:rsidRPr="00FD6A6A">
        <w:t>the</w:t>
      </w:r>
      <w:r w:rsidR="00541D05">
        <w:t xml:space="preserve"> </w:t>
      </w:r>
      <w:r w:rsidR="00D9258C" w:rsidRPr="00FD6A6A">
        <w:t>Afro-Brazilian</w:t>
      </w:r>
      <w:r w:rsidR="00541D05">
        <w:t xml:space="preserve"> </w:t>
      </w:r>
      <w:r w:rsidR="00D9258C" w:rsidRPr="00FD6A6A">
        <w:t>culture,</w:t>
      </w:r>
      <w:r w:rsidR="00541D05">
        <w:t xml:space="preserve"> </w:t>
      </w:r>
      <w:r w:rsidR="00D9258C" w:rsidRPr="00FD6A6A">
        <w:t>promotes</w:t>
      </w:r>
      <w:r w:rsidR="00541D05">
        <w:t xml:space="preserve"> </w:t>
      </w:r>
      <w:r w:rsidR="00D9258C" w:rsidRPr="00FD6A6A">
        <w:t>campaigns,</w:t>
      </w:r>
      <w:r w:rsidR="00541D05">
        <w:t xml:space="preserve"> </w:t>
      </w:r>
      <w:r w:rsidR="00D9258C" w:rsidRPr="00FD6A6A">
        <w:t>holds</w:t>
      </w:r>
      <w:r w:rsidR="00541D05">
        <w:t xml:space="preserve"> </w:t>
      </w:r>
      <w:r w:rsidR="00D9258C" w:rsidRPr="00FD6A6A">
        <w:t>thematic</w:t>
      </w:r>
      <w:r w:rsidR="00541D05">
        <w:t xml:space="preserve"> </w:t>
      </w:r>
      <w:r w:rsidR="00D9258C" w:rsidRPr="00FD6A6A">
        <w:t>workshops,</w:t>
      </w:r>
      <w:r w:rsidR="00541D05">
        <w:t xml:space="preserve"> </w:t>
      </w:r>
      <w:r w:rsidR="00D9258C" w:rsidRPr="00FD6A6A">
        <w:t>events,</w:t>
      </w:r>
      <w:r w:rsidR="00541D05">
        <w:t xml:space="preserve"> </w:t>
      </w:r>
      <w:r w:rsidR="00D9258C" w:rsidRPr="00FD6A6A">
        <w:t>and</w:t>
      </w:r>
      <w:r w:rsidR="00541D05">
        <w:t xml:space="preserve"> </w:t>
      </w:r>
      <w:r w:rsidR="00D9258C" w:rsidRPr="00FD6A6A">
        <w:t>seminars</w:t>
      </w:r>
      <w:r w:rsidR="00541D05">
        <w:t xml:space="preserve"> </w:t>
      </w:r>
      <w:r w:rsidR="00D9258C" w:rsidRPr="00FD6A6A">
        <w:t>directed</w:t>
      </w:r>
      <w:r w:rsidR="00541D05">
        <w:t xml:space="preserve"> </w:t>
      </w:r>
      <w:r w:rsidR="00D9258C" w:rsidRPr="00FD6A6A">
        <w:t>to</w:t>
      </w:r>
      <w:r w:rsidR="00541D05">
        <w:t xml:space="preserve"> </w:t>
      </w:r>
      <w:r w:rsidR="00D9258C" w:rsidRPr="00FD6A6A">
        <w:t>communities</w:t>
      </w:r>
      <w:r w:rsidR="00541D05">
        <w:t xml:space="preserve"> </w:t>
      </w:r>
      <w:r w:rsidR="00D9258C" w:rsidRPr="00FD6A6A">
        <w:t>of</w:t>
      </w:r>
      <w:r w:rsidR="00541D05">
        <w:t xml:space="preserve"> </w:t>
      </w:r>
      <w:r w:rsidR="00D9258C" w:rsidRPr="00FD6A6A">
        <w:t>African</w:t>
      </w:r>
      <w:r w:rsidR="00541D05">
        <w:t xml:space="preserve"> </w:t>
      </w:r>
      <w:r w:rsidR="00D9258C" w:rsidRPr="00FD6A6A">
        <w:t>origin,</w:t>
      </w:r>
      <w:r w:rsidR="00541D05">
        <w:t xml:space="preserve"> </w:t>
      </w:r>
      <w:r w:rsidR="00D9258C" w:rsidRPr="00C81F3E">
        <w:rPr>
          <w:i/>
          <w:iCs/>
        </w:rPr>
        <w:t>Quilombolas</w:t>
      </w:r>
      <w:r w:rsidR="00D9258C" w:rsidRPr="00FD6A6A">
        <w:t>,</w:t>
      </w:r>
      <w:r w:rsidR="00541D05">
        <w:t xml:space="preserve"> </w:t>
      </w:r>
      <w:r w:rsidR="00D9258C" w:rsidRPr="00FD6A6A">
        <w:t>and</w:t>
      </w:r>
      <w:r w:rsidR="00541D05">
        <w:t xml:space="preserve"> </w:t>
      </w:r>
      <w:r w:rsidR="00D9258C" w:rsidRPr="00FD6A6A">
        <w:t>Afro-Brazilians</w:t>
      </w:r>
      <w:r w:rsidR="00541D05">
        <w:t xml:space="preserve"> </w:t>
      </w:r>
      <w:r w:rsidR="00D9258C" w:rsidRPr="00FD6A6A">
        <w:t>cultural</w:t>
      </w:r>
      <w:r w:rsidR="00541D05">
        <w:t xml:space="preserve"> </w:t>
      </w:r>
      <w:r w:rsidR="00D9258C" w:rsidRPr="00FD6A6A">
        <w:t>groups,</w:t>
      </w:r>
      <w:r w:rsidR="00541D05">
        <w:t xml:space="preserve"> </w:t>
      </w:r>
      <w:r w:rsidR="00D9258C" w:rsidRPr="00FD6A6A">
        <w:t>promotes</w:t>
      </w:r>
      <w:r w:rsidR="00541D05">
        <w:t xml:space="preserve"> </w:t>
      </w:r>
      <w:r w:rsidR="00D9258C" w:rsidRPr="00FD6A6A">
        <w:t>researches,</w:t>
      </w:r>
      <w:r w:rsidR="00541D05">
        <w:t xml:space="preserve"> </w:t>
      </w:r>
      <w:r w:rsidR="00D9258C" w:rsidRPr="00FD6A6A">
        <w:t>prepares</w:t>
      </w:r>
      <w:r w:rsidR="00541D05">
        <w:t xml:space="preserve"> </w:t>
      </w:r>
      <w:r w:rsidR="00D9258C" w:rsidRPr="00FD6A6A">
        <w:t>and</w:t>
      </w:r>
      <w:r w:rsidR="00541D05">
        <w:t xml:space="preserve"> </w:t>
      </w:r>
      <w:r w:rsidR="00D9258C" w:rsidRPr="00FD6A6A">
        <w:t>spreads</w:t>
      </w:r>
      <w:r w:rsidR="00541D05">
        <w:t xml:space="preserve"> </w:t>
      </w:r>
      <w:r w:rsidR="00D9258C" w:rsidRPr="00FD6A6A">
        <w:t>books</w:t>
      </w:r>
      <w:r w:rsidR="00541D05">
        <w:t xml:space="preserve"> </w:t>
      </w:r>
      <w:r w:rsidR="00D9258C" w:rsidRPr="00FD6A6A">
        <w:t>and</w:t>
      </w:r>
      <w:r w:rsidR="00541D05">
        <w:t xml:space="preserve"> </w:t>
      </w:r>
      <w:r w:rsidR="00D9258C" w:rsidRPr="00FD6A6A">
        <w:t>instructive</w:t>
      </w:r>
      <w:r w:rsidR="00541D05">
        <w:t xml:space="preserve"> </w:t>
      </w:r>
      <w:r w:rsidR="00D9258C" w:rsidRPr="00FD6A6A">
        <w:t>kits</w:t>
      </w:r>
      <w:r w:rsidR="00541D05">
        <w:t xml:space="preserve"> </w:t>
      </w:r>
      <w:r w:rsidR="00D9258C" w:rsidRPr="00FD6A6A">
        <w:t>related</w:t>
      </w:r>
      <w:r w:rsidR="00541D05">
        <w:t xml:space="preserve"> </w:t>
      </w:r>
      <w:r w:rsidR="00D9258C" w:rsidRPr="00FD6A6A">
        <w:t>to</w:t>
      </w:r>
      <w:r w:rsidR="00541D05">
        <w:t xml:space="preserve"> </w:t>
      </w:r>
      <w:r w:rsidR="00D9258C" w:rsidRPr="00FD6A6A">
        <w:t>Afro-Brazilian</w:t>
      </w:r>
      <w:r w:rsidR="00541D05">
        <w:t xml:space="preserve"> </w:t>
      </w:r>
      <w:r w:rsidR="00D9258C" w:rsidRPr="00FD6A6A">
        <w:t>history</w:t>
      </w:r>
      <w:r w:rsidR="00541D05">
        <w:t xml:space="preserve"> </w:t>
      </w:r>
      <w:r w:rsidR="00D9258C" w:rsidRPr="00FD6A6A">
        <w:t>and</w:t>
      </w:r>
      <w:r w:rsidR="00541D05">
        <w:t xml:space="preserve"> </w:t>
      </w:r>
      <w:r w:rsidR="00D9258C" w:rsidRPr="00FD6A6A">
        <w:t>culture,</w:t>
      </w:r>
      <w:r w:rsidR="00541D05">
        <w:t xml:space="preserve"> </w:t>
      </w:r>
      <w:r w:rsidR="00D9258C" w:rsidRPr="00FD6A6A">
        <w:t>among</w:t>
      </w:r>
      <w:r w:rsidR="00541D05">
        <w:t xml:space="preserve"> </w:t>
      </w:r>
      <w:r w:rsidR="00D9258C" w:rsidRPr="00FD6A6A">
        <w:t>other</w:t>
      </w:r>
      <w:r w:rsidR="00541D05">
        <w:t xml:space="preserve"> </w:t>
      </w:r>
      <w:r w:rsidR="00D9258C" w:rsidRPr="00FD6A6A">
        <w:t>actions.</w:t>
      </w:r>
    </w:p>
    <w:p w14:paraId="1AE202A0" w14:textId="77777777" w:rsidR="00D9258C" w:rsidRPr="00FD6A6A" w:rsidRDefault="00D9258C" w:rsidP="00C81F3E">
      <w:pPr>
        <w:pStyle w:val="H23G"/>
      </w:pPr>
      <w:r w:rsidRPr="00FD6A6A">
        <w:tab/>
      </w:r>
      <w:r w:rsidRPr="00FD6A6A">
        <w:tab/>
        <w:t>Information</w:t>
      </w:r>
    </w:p>
    <w:p w14:paraId="6B8B6BCB" w14:textId="3B1AA949" w:rsidR="00D9258C" w:rsidRPr="00FD6A6A" w:rsidRDefault="00166390" w:rsidP="00166390">
      <w:pPr>
        <w:pStyle w:val="ParaNoG"/>
        <w:numPr>
          <w:ilvl w:val="0"/>
          <w:numId w:val="0"/>
        </w:numPr>
        <w:tabs>
          <w:tab w:val="left" w:pos="0"/>
        </w:tabs>
        <w:ind w:left="1134"/>
      </w:pPr>
      <w:r w:rsidRPr="00FD6A6A">
        <w:t>221.</w:t>
      </w:r>
      <w:r w:rsidRPr="00FD6A6A">
        <w:tab/>
      </w:r>
      <w:r w:rsidR="00D9258C" w:rsidRPr="00FD6A6A">
        <w:t>The</w:t>
      </w:r>
      <w:r w:rsidR="00541D05">
        <w:t xml:space="preserve"> </w:t>
      </w:r>
      <w:r w:rsidR="00D9258C" w:rsidRPr="00FD6A6A">
        <w:t>dissemination</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social</w:t>
      </w:r>
      <w:r w:rsidR="00541D05">
        <w:t xml:space="preserve"> </w:t>
      </w:r>
      <w:r w:rsidR="00D9258C" w:rsidRPr="00FD6A6A">
        <w:t>and</w:t>
      </w:r>
      <w:r w:rsidR="00541D05">
        <w:t xml:space="preserve"> </w:t>
      </w:r>
      <w:r w:rsidR="00D9258C" w:rsidRPr="00FD6A6A">
        <w:t>cultural</w:t>
      </w:r>
      <w:r w:rsidR="00541D05">
        <w:t xml:space="preserve"> </w:t>
      </w:r>
      <w:r w:rsidR="00D9258C" w:rsidRPr="00FD6A6A">
        <w:t>diversity</w:t>
      </w:r>
      <w:r w:rsidR="00541D05">
        <w:t xml:space="preserve"> </w:t>
      </w:r>
      <w:r w:rsidR="00D9258C" w:rsidRPr="00FD6A6A">
        <w:t>in</w:t>
      </w:r>
      <w:r w:rsidR="00541D05">
        <w:t xml:space="preserve"> </w:t>
      </w:r>
      <w:r w:rsidR="00D9258C" w:rsidRPr="00FD6A6A">
        <w:t>its</w:t>
      </w:r>
      <w:r w:rsidR="00541D05">
        <w:t xml:space="preserve"> </w:t>
      </w:r>
      <w:r w:rsidR="00D9258C" w:rsidRPr="00FD6A6A">
        <w:t>five</w:t>
      </w:r>
      <w:r w:rsidR="00541D05">
        <w:t xml:space="preserve"> </w:t>
      </w:r>
      <w:r w:rsidR="00D9258C" w:rsidRPr="00FD6A6A">
        <w:t>regions</w:t>
      </w:r>
      <w:r w:rsidR="00541D05">
        <w:t xml:space="preserve"> </w:t>
      </w:r>
      <w:r w:rsidR="00D9258C" w:rsidRPr="00FD6A6A">
        <w:t>has</w:t>
      </w:r>
      <w:r w:rsidR="00541D05">
        <w:t xml:space="preserve"> </w:t>
      </w:r>
      <w:r w:rsidR="00D9258C" w:rsidRPr="00FD6A6A">
        <w:t>been</w:t>
      </w:r>
      <w:r w:rsidR="00541D05">
        <w:t xml:space="preserve"> </w:t>
      </w:r>
      <w:r w:rsidR="00D9258C" w:rsidRPr="00FD6A6A">
        <w:t>carried</w:t>
      </w:r>
      <w:r w:rsidR="00541D05">
        <w:t xml:space="preserve"> </w:t>
      </w:r>
      <w:r w:rsidR="00D9258C" w:rsidRPr="00FD6A6A">
        <w:t>out</w:t>
      </w:r>
      <w:r w:rsidR="00541D05">
        <w:t xml:space="preserve"> </w:t>
      </w:r>
      <w:r w:rsidR="00D9258C" w:rsidRPr="00FD6A6A">
        <w:t>by</w:t>
      </w:r>
      <w:r w:rsidR="00541D05">
        <w:t xml:space="preserve"> </w:t>
      </w:r>
      <w:r w:rsidR="00D9258C" w:rsidRPr="00FD6A6A">
        <w:t>the</w:t>
      </w:r>
      <w:r w:rsidR="00541D05">
        <w:t xml:space="preserve"> </w:t>
      </w:r>
      <w:r w:rsidR="00D9258C" w:rsidRPr="00FD6A6A">
        <w:t>public</w:t>
      </w:r>
      <w:r w:rsidR="00541D05">
        <w:t xml:space="preserve"> </w:t>
      </w:r>
      <w:r w:rsidR="00D9258C" w:rsidRPr="00FD6A6A">
        <w:t>communications</w:t>
      </w:r>
      <w:r w:rsidR="00541D05">
        <w:t xml:space="preserve"> </w:t>
      </w:r>
      <w:r w:rsidR="00D9258C" w:rsidRPr="00FD6A6A">
        <w:t>network,</w:t>
      </w:r>
      <w:r w:rsidR="00541D05">
        <w:t xml:space="preserve"> </w:t>
      </w:r>
      <w:r w:rsidR="00D9258C" w:rsidRPr="00FD6A6A">
        <w:t>which</w:t>
      </w:r>
      <w:r w:rsidR="00541D05">
        <w:t xml:space="preserve"> </w:t>
      </w:r>
      <w:r w:rsidR="00D9258C" w:rsidRPr="00FD6A6A">
        <w:t>encompasses</w:t>
      </w:r>
      <w:r w:rsidR="00541D05">
        <w:t xml:space="preserve"> </w:t>
      </w:r>
      <w:r w:rsidR="00D9258C" w:rsidRPr="00FD6A6A">
        <w:t>educational,</w:t>
      </w:r>
      <w:r w:rsidR="00541D05">
        <w:t xml:space="preserve"> </w:t>
      </w:r>
      <w:r w:rsidR="00D9258C" w:rsidRPr="00FD6A6A">
        <w:t>institutional</w:t>
      </w:r>
      <w:r w:rsidR="00541D05">
        <w:t xml:space="preserve"> </w:t>
      </w:r>
      <w:r w:rsidR="00D9258C" w:rsidRPr="00FD6A6A">
        <w:t>and</w:t>
      </w:r>
      <w:r w:rsidR="00541D05">
        <w:t xml:space="preserve"> </w:t>
      </w:r>
      <w:r w:rsidR="00D9258C" w:rsidRPr="00FD6A6A">
        <w:t>university</w:t>
      </w:r>
      <w:r w:rsidR="00541D05">
        <w:t xml:space="preserve"> </w:t>
      </w:r>
      <w:r w:rsidR="00D9258C" w:rsidRPr="00FD6A6A">
        <w:t>channels.</w:t>
      </w:r>
    </w:p>
    <w:p w14:paraId="5EB34960" w14:textId="3F6C5C38" w:rsidR="00D9258C" w:rsidRPr="00FD6A6A" w:rsidRDefault="00166390" w:rsidP="00166390">
      <w:pPr>
        <w:pStyle w:val="ParaNoG"/>
        <w:numPr>
          <w:ilvl w:val="0"/>
          <w:numId w:val="0"/>
        </w:numPr>
        <w:tabs>
          <w:tab w:val="left" w:pos="0"/>
        </w:tabs>
        <w:ind w:left="1134"/>
      </w:pPr>
      <w:r w:rsidRPr="00FD6A6A">
        <w:t>222.</w:t>
      </w:r>
      <w:r w:rsidRPr="00FD6A6A">
        <w:tab/>
      </w:r>
      <w:r w:rsidR="00D9258C" w:rsidRPr="00FD6A6A">
        <w:t>Under</w:t>
      </w:r>
      <w:r w:rsidR="00541D05">
        <w:t xml:space="preserve"> </w:t>
      </w:r>
      <w:r w:rsidR="00D9258C" w:rsidRPr="00FD6A6A">
        <w:t>Decree</w:t>
      </w:r>
      <w:r w:rsidR="00541D05">
        <w:t xml:space="preserve"> </w:t>
      </w:r>
      <w:r w:rsidR="00D9258C" w:rsidRPr="00FD6A6A">
        <w:t>No.</w:t>
      </w:r>
      <w:r w:rsidR="00541D05">
        <w:t xml:space="preserve"> </w:t>
      </w:r>
      <w:r w:rsidR="00D9258C" w:rsidRPr="00FD6A6A">
        <w:t>6,555/2008,</w:t>
      </w:r>
      <w:r w:rsidR="00541D05">
        <w:t xml:space="preserve"> </w:t>
      </w:r>
      <w:r w:rsidR="00D9258C" w:rsidRPr="00FD6A6A">
        <w:t>some</w:t>
      </w:r>
      <w:r w:rsidR="00541D05">
        <w:t xml:space="preserve"> </w:t>
      </w:r>
      <w:r w:rsidR="00D9258C" w:rsidRPr="00FD6A6A">
        <w:t>public</w:t>
      </w:r>
      <w:r w:rsidR="00541D05">
        <w:t xml:space="preserve"> </w:t>
      </w:r>
      <w:r w:rsidR="00D9258C" w:rsidRPr="00FD6A6A">
        <w:t>broadcasters</w:t>
      </w:r>
      <w:r w:rsidR="00541D05">
        <w:t xml:space="preserve"> </w:t>
      </w:r>
      <w:r w:rsidR="00D9258C" w:rsidRPr="00FD6A6A">
        <w:t>started</w:t>
      </w:r>
      <w:r w:rsidR="00541D05">
        <w:t xml:space="preserve"> </w:t>
      </w:r>
      <w:r w:rsidR="00D9258C" w:rsidRPr="00FD6A6A">
        <w:t>to</w:t>
      </w:r>
      <w:r w:rsidR="00541D05">
        <w:t xml:space="preserve"> </w:t>
      </w:r>
      <w:r w:rsidR="00D9258C" w:rsidRPr="00FD6A6A">
        <w:t>follow</w:t>
      </w:r>
      <w:r w:rsidR="00541D05">
        <w:t xml:space="preserve"> </w:t>
      </w:r>
      <w:r w:rsidR="00D9258C" w:rsidRPr="00FD6A6A">
        <w:t>the</w:t>
      </w:r>
      <w:r w:rsidR="00541D05">
        <w:t xml:space="preserve"> </w:t>
      </w:r>
      <w:r w:rsidR="00D9258C" w:rsidRPr="00FD6A6A">
        <w:t>guidelines</w:t>
      </w:r>
      <w:r w:rsidR="00541D05">
        <w:t xml:space="preserve"> </w:t>
      </w:r>
      <w:r w:rsidR="00D9258C" w:rsidRPr="00FD6A6A">
        <w:t>provided</w:t>
      </w:r>
      <w:r w:rsidR="00541D05">
        <w:t xml:space="preserve"> </w:t>
      </w:r>
      <w:r w:rsidR="00D9258C" w:rsidRPr="00FD6A6A">
        <w:t>for</w:t>
      </w:r>
      <w:r w:rsidR="00541D05">
        <w:t xml:space="preserve"> </w:t>
      </w:r>
      <w:r w:rsidR="00D9258C" w:rsidRPr="00FD6A6A">
        <w:t>in</w:t>
      </w:r>
      <w:r w:rsidR="00541D05">
        <w:t xml:space="preserve"> </w:t>
      </w:r>
      <w:r w:rsidR="00D9258C" w:rsidRPr="00FD6A6A">
        <w:t>that</w:t>
      </w:r>
      <w:r w:rsidR="00541D05">
        <w:t xml:space="preserve"> </w:t>
      </w:r>
      <w:r w:rsidR="00D9258C" w:rsidRPr="00FD6A6A">
        <w:t>document,</w:t>
      </w:r>
      <w:r w:rsidR="00541D05">
        <w:t xml:space="preserve"> </w:t>
      </w:r>
      <w:r w:rsidR="00D9258C" w:rsidRPr="00FD6A6A">
        <w:t>such</w:t>
      </w:r>
      <w:r w:rsidR="00541D05">
        <w:t xml:space="preserve"> </w:t>
      </w:r>
      <w:r w:rsidR="00D9258C" w:rsidRPr="00FD6A6A">
        <w:t>as</w:t>
      </w:r>
      <w:r w:rsidR="00541D05">
        <w:t xml:space="preserve"> </w:t>
      </w:r>
      <w:r w:rsidR="00D9258C" w:rsidRPr="00FD6A6A">
        <w:t>fostering</w:t>
      </w:r>
      <w:r w:rsidR="00541D05">
        <w:t xml:space="preserve"> </w:t>
      </w:r>
      <w:r w:rsidR="00D9258C" w:rsidRPr="00FD6A6A">
        <w:t>the</w:t>
      </w:r>
      <w:r w:rsidR="00541D05">
        <w:t xml:space="preserve"> </w:t>
      </w:r>
      <w:r w:rsidR="00D9258C" w:rsidRPr="00FD6A6A">
        <w:t>involvement</w:t>
      </w:r>
      <w:r w:rsidR="00541D05">
        <w:t xml:space="preserve"> </w:t>
      </w:r>
      <w:r w:rsidR="00D9258C" w:rsidRPr="00FD6A6A">
        <w:t>of</w:t>
      </w:r>
      <w:r w:rsidR="00541D05">
        <w:t xml:space="preserve"> </w:t>
      </w:r>
      <w:r w:rsidR="00D9258C" w:rsidRPr="00FD6A6A">
        <w:t>society</w:t>
      </w:r>
      <w:r w:rsidR="00541D05">
        <w:t xml:space="preserve"> </w:t>
      </w:r>
      <w:r w:rsidR="00D9258C" w:rsidRPr="00FD6A6A">
        <w:t>in</w:t>
      </w:r>
      <w:r w:rsidR="00541D05">
        <w:t xml:space="preserve"> </w:t>
      </w:r>
      <w:r w:rsidR="00D9258C" w:rsidRPr="00FD6A6A">
        <w:t>the</w:t>
      </w:r>
      <w:r w:rsidR="00541D05">
        <w:t xml:space="preserve"> </w:t>
      </w:r>
      <w:r w:rsidR="00D9258C" w:rsidRPr="00FD6A6A">
        <w:t>debate</w:t>
      </w:r>
      <w:r w:rsidR="00541D05">
        <w:t xml:space="preserve"> </w:t>
      </w:r>
      <w:r w:rsidR="00D9258C" w:rsidRPr="00FD6A6A">
        <w:t>and</w:t>
      </w:r>
      <w:r w:rsidR="00541D05">
        <w:t xml:space="preserve"> </w:t>
      </w:r>
      <w:r w:rsidR="00D9258C" w:rsidRPr="00FD6A6A">
        <w:t>formulation</w:t>
      </w:r>
      <w:r w:rsidR="00541D05">
        <w:t xml:space="preserve"> </w:t>
      </w:r>
      <w:r w:rsidR="00D9258C" w:rsidRPr="00FD6A6A">
        <w:t>of</w:t>
      </w:r>
      <w:r w:rsidR="00541D05">
        <w:t xml:space="preserve"> </w:t>
      </w:r>
      <w:r w:rsidR="00D9258C" w:rsidRPr="00FD6A6A">
        <w:t>public</w:t>
      </w:r>
      <w:r w:rsidR="00541D05">
        <w:t xml:space="preserve"> </w:t>
      </w:r>
      <w:r w:rsidR="00D9258C" w:rsidRPr="00FD6A6A">
        <w:t>policies,</w:t>
      </w:r>
      <w:r w:rsidR="00541D05">
        <w:t xml:space="preserve"> </w:t>
      </w:r>
      <w:r w:rsidR="00D9258C" w:rsidRPr="00FD6A6A">
        <w:t>reaffirming</w:t>
      </w:r>
      <w:r w:rsidR="00541D05">
        <w:t xml:space="preserve"> </w:t>
      </w:r>
      <w:r w:rsidR="00D9258C" w:rsidRPr="00FD6A6A">
        <w:t>the</w:t>
      </w:r>
      <w:r w:rsidR="00541D05">
        <w:t xml:space="preserve"> </w:t>
      </w:r>
      <w:r w:rsidR="00D9258C" w:rsidRPr="00FD6A6A">
        <w:t>values</w:t>
      </w:r>
      <w:r w:rsidR="00541D05">
        <w:t xml:space="preserve"> </w:t>
      </w:r>
      <w:r w:rsidR="00D9258C" w:rsidRPr="00FD6A6A">
        <w:t>and</w:t>
      </w:r>
      <w:r w:rsidR="00541D05">
        <w:t xml:space="preserve"> </w:t>
      </w:r>
      <w:r w:rsidR="00D9258C" w:rsidRPr="00FD6A6A">
        <w:t>principles</w:t>
      </w:r>
      <w:r w:rsidR="00541D05">
        <w:t xml:space="preserve"> </w:t>
      </w:r>
      <w:r w:rsidR="00D9258C" w:rsidRPr="00FD6A6A">
        <w:t>of</w:t>
      </w:r>
      <w:r w:rsidR="00541D05">
        <w:t xml:space="preserve"> </w:t>
      </w:r>
      <w:r w:rsidR="00D9258C" w:rsidRPr="00FD6A6A">
        <w:t>the</w:t>
      </w:r>
      <w:r w:rsidR="00541D05">
        <w:t xml:space="preserve"> </w:t>
      </w:r>
      <w:r w:rsidR="00D9258C" w:rsidRPr="00FD6A6A">
        <w:t>Constitution</w:t>
      </w:r>
      <w:r w:rsidR="00541D05">
        <w:t xml:space="preserve"> </w:t>
      </w:r>
      <w:r w:rsidR="00D9258C" w:rsidRPr="00FD6A6A">
        <w:t>as</w:t>
      </w:r>
      <w:r w:rsidR="00541D05">
        <w:t xml:space="preserve"> </w:t>
      </w:r>
      <w:r w:rsidR="00D9258C" w:rsidRPr="00FD6A6A">
        <w:t>guiding</w:t>
      </w:r>
      <w:r w:rsidR="00541D05">
        <w:t xml:space="preserve"> </w:t>
      </w:r>
      <w:r w:rsidR="00D9258C" w:rsidRPr="00FD6A6A">
        <w:t>elements</w:t>
      </w:r>
      <w:r w:rsidR="00541D05">
        <w:t xml:space="preserve"> </w:t>
      </w:r>
      <w:r w:rsidR="00D9258C" w:rsidRPr="00FD6A6A">
        <w:t>in</w:t>
      </w:r>
      <w:r w:rsidR="00541D05">
        <w:t xml:space="preserve"> </w:t>
      </w:r>
      <w:r w:rsidR="00D9258C" w:rsidRPr="00FD6A6A">
        <w:t>social</w:t>
      </w:r>
      <w:r w:rsidR="00541D05">
        <w:t xml:space="preserve"> </w:t>
      </w:r>
      <w:r w:rsidR="00D9258C" w:rsidRPr="00FD6A6A">
        <w:t>communication,</w:t>
      </w:r>
      <w:r w:rsidR="00541D05">
        <w:t xml:space="preserve"> </w:t>
      </w:r>
      <w:r w:rsidR="00D9258C" w:rsidRPr="00FD6A6A">
        <w:t>and</w:t>
      </w:r>
      <w:r w:rsidR="00541D05">
        <w:t xml:space="preserve"> </w:t>
      </w:r>
      <w:r w:rsidR="00D9258C" w:rsidRPr="00FD6A6A">
        <w:t>promoting</w:t>
      </w:r>
      <w:r w:rsidR="00541D05">
        <w:t xml:space="preserve"> </w:t>
      </w:r>
      <w:r w:rsidR="00D9258C" w:rsidRPr="00FD6A6A">
        <w:t>ethnic</w:t>
      </w:r>
      <w:r w:rsidR="00541D05">
        <w:t xml:space="preserve"> </w:t>
      </w:r>
      <w:r w:rsidR="00D9258C" w:rsidRPr="00FD6A6A">
        <w:t>and</w:t>
      </w:r>
      <w:r w:rsidR="00541D05">
        <w:t xml:space="preserve"> </w:t>
      </w:r>
      <w:r w:rsidR="00D9258C" w:rsidRPr="00FD6A6A">
        <w:t>cultural</w:t>
      </w:r>
      <w:r w:rsidR="00541D05">
        <w:t xml:space="preserve"> </w:t>
      </w:r>
      <w:r w:rsidR="00D9258C" w:rsidRPr="00FD6A6A">
        <w:t>diversity,</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equality</w:t>
      </w:r>
      <w:r w:rsidR="00541D05">
        <w:t xml:space="preserve"> </w:t>
      </w:r>
      <w:r w:rsidR="00D9258C" w:rsidRPr="00FD6A6A">
        <w:t>and</w:t>
      </w:r>
      <w:r w:rsidR="00541D05">
        <w:t xml:space="preserve"> </w:t>
      </w:r>
      <w:r w:rsidR="00D9258C" w:rsidRPr="00FD6A6A">
        <w:t>respect</w:t>
      </w:r>
      <w:r w:rsidR="00541D05">
        <w:t xml:space="preserve"> </w:t>
      </w:r>
      <w:r w:rsidR="00D9258C" w:rsidRPr="00FD6A6A">
        <w:t>regarding</w:t>
      </w:r>
      <w:r w:rsidR="00541D05">
        <w:t xml:space="preserve"> </w:t>
      </w:r>
      <w:r w:rsidR="00D9258C" w:rsidRPr="00FD6A6A">
        <w:t>racial,</w:t>
      </w:r>
      <w:r w:rsidR="00541D05">
        <w:t xml:space="preserve"> </w:t>
      </w:r>
      <w:r w:rsidR="00D9258C" w:rsidRPr="00FD6A6A">
        <w:t>generational,</w:t>
      </w:r>
      <w:r w:rsidR="00541D05">
        <w:t xml:space="preserve"> </w:t>
      </w:r>
      <w:r w:rsidR="00D9258C" w:rsidRPr="00FD6A6A">
        <w:t>gender,</w:t>
      </w:r>
      <w:r w:rsidR="00541D05">
        <w:t xml:space="preserve"> </w:t>
      </w:r>
      <w:r w:rsidR="00D9258C" w:rsidRPr="00FD6A6A">
        <w:t>and</w:t>
      </w:r>
      <w:r w:rsidR="00541D05">
        <w:t xml:space="preserve"> </w:t>
      </w:r>
      <w:r w:rsidR="00D9258C" w:rsidRPr="00FD6A6A">
        <w:t>sexual</w:t>
      </w:r>
      <w:r w:rsidR="00541D05">
        <w:t xml:space="preserve"> </w:t>
      </w:r>
      <w:r w:rsidR="00D9258C" w:rsidRPr="00FD6A6A">
        <w:t>orientation</w:t>
      </w:r>
      <w:r w:rsidR="00541D05">
        <w:t xml:space="preserve"> </w:t>
      </w:r>
      <w:r w:rsidR="00D9258C" w:rsidRPr="00FD6A6A">
        <w:t>issues.</w:t>
      </w:r>
    </w:p>
    <w:p w14:paraId="1F12C0D1" w14:textId="7CF0DD72" w:rsidR="00D9258C" w:rsidRPr="00FD6A6A" w:rsidRDefault="00166390" w:rsidP="00166390">
      <w:pPr>
        <w:pStyle w:val="ParaNoG"/>
        <w:numPr>
          <w:ilvl w:val="0"/>
          <w:numId w:val="0"/>
        </w:numPr>
        <w:tabs>
          <w:tab w:val="left" w:pos="0"/>
        </w:tabs>
        <w:ind w:left="1134"/>
      </w:pPr>
      <w:r w:rsidRPr="00FD6A6A">
        <w:t>223.</w:t>
      </w:r>
      <w:r w:rsidRPr="00FD6A6A">
        <w:tab/>
      </w:r>
      <w:r w:rsidR="00D9258C" w:rsidRPr="00FD6A6A">
        <w:t>Created</w:t>
      </w:r>
      <w:r w:rsidR="00541D05">
        <w:t xml:space="preserve"> </w:t>
      </w:r>
      <w:r w:rsidR="00D9258C" w:rsidRPr="00FD6A6A">
        <w:t>in</w:t>
      </w:r>
      <w:r w:rsidR="00541D05">
        <w:t xml:space="preserve"> </w:t>
      </w:r>
      <w:r w:rsidR="00D9258C" w:rsidRPr="00FD6A6A">
        <w:t>2008</w:t>
      </w:r>
      <w:r w:rsidR="00541D05">
        <w:t xml:space="preserve"> </w:t>
      </w:r>
      <w:r w:rsidR="00D9258C" w:rsidRPr="00FD6A6A">
        <w:t>by</w:t>
      </w:r>
      <w:r w:rsidR="00541D05">
        <w:t xml:space="preserve"> </w:t>
      </w:r>
      <w:r w:rsidR="00D9258C" w:rsidRPr="00FD6A6A">
        <w:t>Law</w:t>
      </w:r>
      <w:r w:rsidR="00541D05">
        <w:t xml:space="preserve"> </w:t>
      </w:r>
      <w:r w:rsidR="00D9258C" w:rsidRPr="00FD6A6A">
        <w:t>No.</w:t>
      </w:r>
      <w:r w:rsidR="00541D05">
        <w:t xml:space="preserve"> </w:t>
      </w:r>
      <w:r w:rsidR="00D9258C" w:rsidRPr="00FD6A6A">
        <w:t>11,652,</w:t>
      </w:r>
      <w:r w:rsidR="00541D05">
        <w:t xml:space="preserve"> </w:t>
      </w:r>
      <w:r w:rsidR="00D9258C" w:rsidRPr="00FD6A6A">
        <w:t>the</w:t>
      </w:r>
      <w:r w:rsidR="00541D05">
        <w:t xml:space="preserve"> </w:t>
      </w:r>
      <w:r w:rsidR="00D9258C" w:rsidRPr="00FD6A6A">
        <w:t>Brazilian</w:t>
      </w:r>
      <w:r w:rsidR="00541D05">
        <w:t xml:space="preserve"> </w:t>
      </w:r>
      <w:r w:rsidR="00D9258C" w:rsidRPr="00FD6A6A">
        <w:t>Communication</w:t>
      </w:r>
      <w:r w:rsidR="00541D05">
        <w:t xml:space="preserve"> </w:t>
      </w:r>
      <w:r w:rsidR="00D9258C" w:rsidRPr="00FD6A6A">
        <w:t>Corporation</w:t>
      </w:r>
      <w:r w:rsidR="00541D05">
        <w:t xml:space="preserve"> </w:t>
      </w:r>
      <w:r w:rsidR="00D9258C" w:rsidRPr="00FD6A6A">
        <w:t>(EBC)</w:t>
      </w:r>
      <w:r w:rsidR="00541D05">
        <w:t xml:space="preserve"> </w:t>
      </w:r>
      <w:r w:rsidR="00D9258C" w:rsidRPr="00FD6A6A">
        <w:t>has,</w:t>
      </w:r>
      <w:r w:rsidR="00541D05">
        <w:t xml:space="preserve"> </w:t>
      </w:r>
      <w:r w:rsidR="00D9258C" w:rsidRPr="00FD6A6A">
        <w:t>among</w:t>
      </w:r>
      <w:r w:rsidR="00541D05">
        <w:t xml:space="preserve"> </w:t>
      </w:r>
      <w:r w:rsidR="00D9258C" w:rsidRPr="00FD6A6A">
        <w:t>its</w:t>
      </w:r>
      <w:r w:rsidR="00541D05">
        <w:t xml:space="preserve"> </w:t>
      </w:r>
      <w:r w:rsidR="00D9258C" w:rsidRPr="00FD6A6A">
        <w:t>goals,</w:t>
      </w:r>
      <w:r w:rsidR="00541D05">
        <w:t xml:space="preserve"> </w:t>
      </w:r>
      <w:r w:rsidR="00D9258C" w:rsidRPr="00FD6A6A">
        <w:t>the</w:t>
      </w:r>
      <w:r w:rsidR="00541D05">
        <w:t xml:space="preserve"> </w:t>
      </w:r>
      <w:r w:rsidR="00D9258C" w:rsidRPr="00FD6A6A">
        <w:t>production</w:t>
      </w:r>
      <w:r w:rsidR="00541D05">
        <w:t xml:space="preserve"> </w:t>
      </w:r>
      <w:r w:rsidR="00D9258C" w:rsidRPr="00FD6A6A">
        <w:t>of</w:t>
      </w:r>
      <w:r w:rsidR="00541D05">
        <w:t xml:space="preserve"> </w:t>
      </w:r>
      <w:r w:rsidR="00D9258C" w:rsidRPr="00FD6A6A">
        <w:t>content</w:t>
      </w:r>
      <w:r w:rsidR="00541D05">
        <w:t xml:space="preserve"> </w:t>
      </w:r>
      <w:r w:rsidR="00D9258C" w:rsidRPr="00FD6A6A">
        <w:t>with</w:t>
      </w:r>
      <w:r w:rsidR="00541D05">
        <w:t xml:space="preserve"> </w:t>
      </w:r>
      <w:r w:rsidR="00D9258C" w:rsidRPr="00FD6A6A">
        <w:t>educational,</w:t>
      </w:r>
      <w:r w:rsidR="00541D05">
        <w:t xml:space="preserve"> </w:t>
      </w:r>
      <w:r w:rsidR="00D9258C" w:rsidRPr="00FD6A6A">
        <w:t>artistic,</w:t>
      </w:r>
      <w:r w:rsidR="00541D05">
        <w:t xml:space="preserve"> </w:t>
      </w:r>
      <w:r w:rsidR="00D9258C" w:rsidRPr="00FD6A6A">
        <w:t>cultural,</w:t>
      </w:r>
      <w:r w:rsidR="00541D05">
        <w:t xml:space="preserve"> </w:t>
      </w:r>
      <w:r w:rsidR="00D9258C" w:rsidRPr="00FD6A6A">
        <w:t>scientific,</w:t>
      </w:r>
      <w:r w:rsidR="00541D05">
        <w:t xml:space="preserve"> </w:t>
      </w:r>
      <w:r w:rsidR="00D9258C" w:rsidRPr="00FD6A6A">
        <w:t>and</w:t>
      </w:r>
      <w:r w:rsidR="00541D05">
        <w:t xml:space="preserve"> </w:t>
      </w:r>
      <w:r w:rsidR="00D9258C" w:rsidRPr="00FD6A6A">
        <w:t>informative</w:t>
      </w:r>
      <w:r w:rsidR="00541D05">
        <w:t xml:space="preserve"> </w:t>
      </w:r>
      <w:r w:rsidR="00D9258C" w:rsidRPr="00FD6A6A">
        <w:t>purposes.</w:t>
      </w:r>
      <w:r w:rsidR="00541D05">
        <w:t xml:space="preserve"> </w:t>
      </w:r>
      <w:r w:rsidR="00D9258C" w:rsidRPr="00FD6A6A">
        <w:t>Law</w:t>
      </w:r>
      <w:r w:rsidR="00541D05">
        <w:t xml:space="preserve"> </w:t>
      </w:r>
      <w:r w:rsidR="00D9258C" w:rsidRPr="00FD6A6A">
        <w:t>No.</w:t>
      </w:r>
      <w:r w:rsidR="00541D05">
        <w:t xml:space="preserve"> </w:t>
      </w:r>
      <w:r w:rsidR="00D9258C" w:rsidRPr="00FD6A6A">
        <w:t>11,652</w:t>
      </w:r>
      <w:r w:rsidR="00541D05">
        <w:t xml:space="preserve"> </w:t>
      </w:r>
      <w:r w:rsidR="00D9258C" w:rsidRPr="00FD6A6A">
        <w:t>also</w:t>
      </w:r>
      <w:r w:rsidR="00541D05">
        <w:t xml:space="preserve"> </w:t>
      </w:r>
      <w:r w:rsidR="00D9258C" w:rsidRPr="00FD6A6A">
        <w:t>established</w:t>
      </w:r>
      <w:r w:rsidR="00541D05">
        <w:t xml:space="preserve"> </w:t>
      </w:r>
      <w:r w:rsidR="00D9258C" w:rsidRPr="00FD6A6A">
        <w:t>as</w:t>
      </w:r>
      <w:r w:rsidR="00541D05">
        <w:t xml:space="preserve"> </w:t>
      </w:r>
      <w:r w:rsidR="00D9258C" w:rsidRPr="00FD6A6A">
        <w:t>EBC</w:t>
      </w:r>
      <w:r w:rsidR="00EA62F1">
        <w:t>’</w:t>
      </w:r>
      <w:r w:rsidR="00D9258C" w:rsidRPr="00FD6A6A">
        <w:t>s</w:t>
      </w:r>
      <w:r w:rsidR="00541D05">
        <w:t xml:space="preserve"> </w:t>
      </w:r>
      <w:r w:rsidR="00D9258C" w:rsidRPr="00FD6A6A">
        <w:t>ethical</w:t>
      </w:r>
      <w:r w:rsidR="00541D05">
        <w:t xml:space="preserve"> </w:t>
      </w:r>
      <w:r w:rsidR="00D9258C" w:rsidRPr="00FD6A6A">
        <w:t>principles,</w:t>
      </w:r>
      <w:r w:rsidR="00541D05">
        <w:t xml:space="preserve"> </w:t>
      </w:r>
      <w:r w:rsidR="00D9258C" w:rsidRPr="00FD6A6A">
        <w:t>on</w:t>
      </w:r>
      <w:r w:rsidR="00541D05">
        <w:t xml:space="preserve"> </w:t>
      </w:r>
      <w:r w:rsidR="00D9258C" w:rsidRPr="00FD6A6A">
        <w:t>one</w:t>
      </w:r>
      <w:r w:rsidR="00541D05">
        <w:t xml:space="preserve"> </w:t>
      </w:r>
      <w:r w:rsidR="00D9258C" w:rsidRPr="00FD6A6A">
        <w:t>side,</w:t>
      </w:r>
      <w:r w:rsidR="00541D05">
        <w:t xml:space="preserve"> </w:t>
      </w:r>
      <w:r w:rsidR="00D9258C" w:rsidRPr="00FD6A6A">
        <w:t>non-discrimination</w:t>
      </w:r>
      <w:r w:rsidR="00541D05">
        <w:t xml:space="preserve"> </w:t>
      </w:r>
      <w:r w:rsidR="00D9258C" w:rsidRPr="00FD6A6A">
        <w:t>on</w:t>
      </w:r>
      <w:r w:rsidR="00541D05">
        <w:t xml:space="preserve"> </w:t>
      </w:r>
      <w:r w:rsidR="00D9258C" w:rsidRPr="00FD6A6A">
        <w:t>the</w:t>
      </w:r>
      <w:r w:rsidR="00541D05">
        <w:t xml:space="preserve"> </w:t>
      </w:r>
      <w:r w:rsidR="00D9258C" w:rsidRPr="00FD6A6A">
        <w:t>basis</w:t>
      </w:r>
      <w:r w:rsidR="00541D05">
        <w:t xml:space="preserve"> </w:t>
      </w:r>
      <w:r w:rsidR="00D9258C" w:rsidRPr="00FD6A6A">
        <w:t>of</w:t>
      </w:r>
      <w:r w:rsidR="00541D05">
        <w:t xml:space="preserve"> </w:t>
      </w:r>
      <w:r w:rsidR="00D9258C" w:rsidRPr="00FD6A6A">
        <w:t>ethnicity,</w:t>
      </w:r>
      <w:r w:rsidR="00541D05">
        <w:t xml:space="preserve"> </w:t>
      </w:r>
      <w:r w:rsidR="00D9258C" w:rsidRPr="00FD6A6A">
        <w:t>religion,</w:t>
      </w:r>
      <w:r w:rsidR="00541D05">
        <w:t xml:space="preserve"> </w:t>
      </w:r>
      <w:r w:rsidR="00D9258C" w:rsidRPr="00FD6A6A">
        <w:t>philosophical</w:t>
      </w:r>
      <w:r w:rsidR="00541D05">
        <w:t xml:space="preserve"> </w:t>
      </w:r>
      <w:r w:rsidR="00D9258C" w:rsidRPr="00FD6A6A">
        <w:t>beliefs,</w:t>
      </w:r>
      <w:r w:rsidR="00541D05">
        <w:t xml:space="preserve"> </w:t>
      </w:r>
      <w:r w:rsidR="00D9258C" w:rsidRPr="00FD6A6A">
        <w:t>gender,</w:t>
      </w:r>
      <w:r w:rsidR="00541D05">
        <w:t xml:space="preserve"> </w:t>
      </w:r>
      <w:r w:rsidR="00D9258C" w:rsidRPr="00FD6A6A">
        <w:t>and</w:t>
      </w:r>
      <w:r w:rsidR="00541D05">
        <w:t xml:space="preserve"> </w:t>
      </w:r>
      <w:r w:rsidR="00D9258C" w:rsidRPr="00FD6A6A">
        <w:t>sexual</w:t>
      </w:r>
      <w:r w:rsidR="00541D05">
        <w:t xml:space="preserve"> </w:t>
      </w:r>
      <w:r w:rsidR="00D9258C" w:rsidRPr="00FD6A6A">
        <w:t>orientation,</w:t>
      </w:r>
      <w:r w:rsidR="00541D05">
        <w:t xml:space="preserve"> </w:t>
      </w:r>
      <w:r w:rsidR="00D9258C" w:rsidRPr="00FD6A6A">
        <w:t>and,</w:t>
      </w:r>
      <w:r w:rsidR="00541D05">
        <w:t xml:space="preserve"> </w:t>
      </w:r>
      <w:r w:rsidR="00D9258C" w:rsidRPr="00FD6A6A">
        <w:t>on</w:t>
      </w:r>
      <w:r w:rsidR="00541D05">
        <w:t xml:space="preserve"> </w:t>
      </w:r>
      <w:r w:rsidR="00D9258C" w:rsidRPr="00FD6A6A">
        <w:t>the</w:t>
      </w:r>
      <w:r w:rsidR="00541D05">
        <w:t xml:space="preserve"> </w:t>
      </w:r>
      <w:r w:rsidR="00D9258C" w:rsidRPr="00FD6A6A">
        <w:t>other</w:t>
      </w:r>
      <w:r w:rsidR="00541D05">
        <w:t xml:space="preserve"> </w:t>
      </w:r>
      <w:r w:rsidR="00D9258C" w:rsidRPr="00FD6A6A">
        <w:t>side,</w:t>
      </w:r>
      <w:r w:rsidR="00541D05">
        <w:t xml:space="preserve"> </w:t>
      </w:r>
      <w:r w:rsidR="00D9258C" w:rsidRPr="00FD6A6A">
        <w:t>the</w:t>
      </w:r>
      <w:r w:rsidR="00541D05">
        <w:t xml:space="preserve"> </w:t>
      </w:r>
      <w:r w:rsidR="00D9258C" w:rsidRPr="00FD6A6A">
        <w:t>promotion</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culture</w:t>
      </w:r>
      <w:r w:rsidR="00541D05">
        <w:t xml:space="preserve"> </w:t>
      </w:r>
      <w:r w:rsidR="00D9258C" w:rsidRPr="00FD6A6A">
        <w:t>and</w:t>
      </w:r>
      <w:r w:rsidR="00541D05">
        <w:t xml:space="preserve"> </w:t>
      </w:r>
      <w:r w:rsidR="00D9258C" w:rsidRPr="00FD6A6A">
        <w:t>of</w:t>
      </w:r>
      <w:r w:rsidR="00541D05">
        <w:t xml:space="preserve"> </w:t>
      </w:r>
      <w:r w:rsidR="00D9258C" w:rsidRPr="00FD6A6A">
        <w:t>regional</w:t>
      </w:r>
      <w:r w:rsidR="00541D05">
        <w:t xml:space="preserve"> </w:t>
      </w:r>
      <w:r w:rsidR="00D9258C" w:rsidRPr="00FD6A6A">
        <w:t>production.</w:t>
      </w:r>
      <w:r w:rsidR="00541D05">
        <w:t xml:space="preserve"> </w:t>
      </w:r>
      <w:r w:rsidR="00D9258C" w:rsidRPr="00FD6A6A">
        <w:t>Composed</w:t>
      </w:r>
      <w:r w:rsidR="00541D05">
        <w:t xml:space="preserve"> </w:t>
      </w:r>
      <w:r w:rsidR="00D9258C" w:rsidRPr="00FD6A6A">
        <w:t>by</w:t>
      </w:r>
      <w:r w:rsidR="00541D05">
        <w:t xml:space="preserve"> </w:t>
      </w:r>
      <w:r w:rsidR="00D9258C" w:rsidRPr="00FD6A6A">
        <w:t>the</w:t>
      </w:r>
      <w:r w:rsidR="00541D05">
        <w:t xml:space="preserve"> </w:t>
      </w:r>
      <w:r w:rsidR="00D9258C" w:rsidRPr="00FD6A6A">
        <w:t>newspaper</w:t>
      </w:r>
      <w:r w:rsidR="00541D05">
        <w:t xml:space="preserve"> </w:t>
      </w:r>
      <w:r w:rsidR="00D9258C" w:rsidRPr="00FD6A6A">
        <w:t>Agência</w:t>
      </w:r>
      <w:r w:rsidR="00541D05">
        <w:t xml:space="preserve"> </w:t>
      </w:r>
      <w:r w:rsidR="00D9258C" w:rsidRPr="00FD6A6A">
        <w:t>Brasil,</w:t>
      </w:r>
      <w:r w:rsidR="00541D05">
        <w:t xml:space="preserve"> </w:t>
      </w:r>
      <w:r w:rsidR="00D9258C" w:rsidRPr="00FD6A6A">
        <w:t>the</w:t>
      </w:r>
      <w:r w:rsidR="00541D05">
        <w:t xml:space="preserve"> </w:t>
      </w:r>
      <w:r w:rsidR="00D9258C" w:rsidRPr="00FD6A6A">
        <w:t>television</w:t>
      </w:r>
      <w:r w:rsidR="00541D05">
        <w:t xml:space="preserve"> </w:t>
      </w:r>
      <w:r w:rsidR="00D9258C" w:rsidRPr="00FD6A6A">
        <w:t>channels</w:t>
      </w:r>
      <w:r w:rsidR="00541D05">
        <w:t xml:space="preserve"> </w:t>
      </w:r>
      <w:r w:rsidR="00D9258C" w:rsidRPr="00FD6A6A">
        <w:t>TV</w:t>
      </w:r>
      <w:r w:rsidR="00541D05">
        <w:t xml:space="preserve"> </w:t>
      </w:r>
      <w:r w:rsidR="00D9258C" w:rsidRPr="00FD6A6A">
        <w:t>Brasil</w:t>
      </w:r>
      <w:r w:rsidR="00541D05">
        <w:t xml:space="preserve"> </w:t>
      </w:r>
      <w:r w:rsidR="00D9258C" w:rsidRPr="00FD6A6A">
        <w:t>and</w:t>
      </w:r>
      <w:r w:rsidR="00541D05">
        <w:t xml:space="preserve"> </w:t>
      </w:r>
      <w:r w:rsidR="00D9258C" w:rsidRPr="00FD6A6A">
        <w:t>NBR</w:t>
      </w:r>
      <w:r w:rsidR="00541D05">
        <w:t xml:space="preserve"> </w:t>
      </w:r>
      <w:r w:rsidR="00D9258C" w:rsidRPr="00FD6A6A">
        <w:t>and</w:t>
      </w:r>
      <w:r w:rsidR="00541D05">
        <w:t xml:space="preserve"> </w:t>
      </w:r>
      <w:r w:rsidR="00D9258C" w:rsidRPr="00FD6A6A">
        <w:t>the</w:t>
      </w:r>
      <w:r w:rsidR="00541D05">
        <w:t xml:space="preserve"> </w:t>
      </w:r>
      <w:r w:rsidR="00D9258C" w:rsidRPr="00FD6A6A">
        <w:t>radio</w:t>
      </w:r>
      <w:r w:rsidR="00541D05">
        <w:t xml:space="preserve"> </w:t>
      </w:r>
      <w:r w:rsidR="00D9258C" w:rsidRPr="00FD6A6A">
        <w:t>stations</w:t>
      </w:r>
      <w:r w:rsidR="00541D05">
        <w:t xml:space="preserve"> </w:t>
      </w:r>
      <w:r w:rsidR="00D9258C" w:rsidRPr="00FD6A6A">
        <w:t>Nacional</w:t>
      </w:r>
      <w:r w:rsidR="00541D05">
        <w:t xml:space="preserve"> </w:t>
      </w:r>
      <w:r w:rsidR="00D9258C" w:rsidRPr="00FD6A6A">
        <w:t>FM</w:t>
      </w:r>
      <w:r w:rsidR="00541D05">
        <w:t xml:space="preserve"> </w:t>
      </w:r>
      <w:r w:rsidR="00D9258C" w:rsidRPr="00FD6A6A">
        <w:t>and</w:t>
      </w:r>
      <w:r w:rsidR="00541D05">
        <w:t xml:space="preserve"> </w:t>
      </w:r>
      <w:r w:rsidR="00D9258C" w:rsidRPr="00FD6A6A">
        <w:t>Ministério</w:t>
      </w:r>
      <w:r w:rsidR="00541D05">
        <w:t xml:space="preserve"> </w:t>
      </w:r>
      <w:r w:rsidR="00D9258C" w:rsidRPr="00FD6A6A">
        <w:t>da</w:t>
      </w:r>
      <w:r w:rsidR="00541D05">
        <w:t xml:space="preserve"> </w:t>
      </w:r>
      <w:r w:rsidR="00D9258C" w:rsidRPr="00FD6A6A">
        <w:t>Educação</w:t>
      </w:r>
      <w:r w:rsidR="00541D05">
        <w:t xml:space="preserve"> </w:t>
      </w:r>
      <w:r w:rsidR="00D9258C" w:rsidRPr="00FD6A6A">
        <w:t>FM,</w:t>
      </w:r>
      <w:r w:rsidR="00541D05">
        <w:t xml:space="preserve"> </w:t>
      </w:r>
      <w:r w:rsidR="00D9258C" w:rsidRPr="00FD6A6A">
        <w:t>EBC</w:t>
      </w:r>
      <w:r w:rsidR="00541D05">
        <w:t xml:space="preserve"> </w:t>
      </w:r>
      <w:r w:rsidR="00D9258C" w:rsidRPr="00FD6A6A">
        <w:t>has</w:t>
      </w:r>
      <w:r w:rsidR="00541D05">
        <w:t xml:space="preserve"> </w:t>
      </w:r>
      <w:r w:rsidR="00D9258C" w:rsidRPr="00FD6A6A">
        <w:t>complied</w:t>
      </w:r>
      <w:r w:rsidR="00541D05">
        <w:t xml:space="preserve"> </w:t>
      </w:r>
      <w:r w:rsidR="00D9258C" w:rsidRPr="00FD6A6A">
        <w:t>with</w:t>
      </w:r>
      <w:r w:rsidR="00541D05">
        <w:t xml:space="preserve"> </w:t>
      </w:r>
      <w:r w:rsidR="00D9258C" w:rsidRPr="00FD6A6A">
        <w:t>its</w:t>
      </w:r>
      <w:r w:rsidR="00541D05">
        <w:t xml:space="preserve"> </w:t>
      </w:r>
      <w:r w:rsidR="00D9258C" w:rsidRPr="00FD6A6A">
        <w:t>guiding</w:t>
      </w:r>
      <w:r w:rsidR="00541D05">
        <w:t xml:space="preserve"> </w:t>
      </w:r>
      <w:r w:rsidR="00D9258C" w:rsidRPr="00FD6A6A">
        <w:t>principles.</w:t>
      </w:r>
    </w:p>
    <w:p w14:paraId="2D7BDCB5" w14:textId="2EC2A997" w:rsidR="00D9258C" w:rsidRPr="00FD6A6A" w:rsidRDefault="00166390" w:rsidP="00166390">
      <w:pPr>
        <w:pStyle w:val="ParaNoG"/>
        <w:numPr>
          <w:ilvl w:val="0"/>
          <w:numId w:val="0"/>
        </w:numPr>
        <w:tabs>
          <w:tab w:val="left" w:pos="0"/>
        </w:tabs>
        <w:ind w:left="1134"/>
      </w:pPr>
      <w:r w:rsidRPr="00FD6A6A">
        <w:t>224.</w:t>
      </w:r>
      <w:r w:rsidRPr="00FD6A6A">
        <w:tab/>
      </w:r>
      <w:r w:rsidR="00D9258C" w:rsidRPr="00FD6A6A">
        <w:t>Moreover,</w:t>
      </w:r>
      <w:r w:rsidR="00541D05">
        <w:t xml:space="preserve"> </w:t>
      </w:r>
      <w:r w:rsidR="00D9258C" w:rsidRPr="00FD6A6A">
        <w:t>EBC</w:t>
      </w:r>
      <w:r w:rsidR="00541D05">
        <w:t xml:space="preserve"> </w:t>
      </w:r>
      <w:r w:rsidR="00D9258C" w:rsidRPr="00FD6A6A">
        <w:t>has</w:t>
      </w:r>
      <w:r w:rsidR="00541D05">
        <w:t xml:space="preserve"> </w:t>
      </w:r>
      <w:r w:rsidR="00D9258C" w:rsidRPr="00FD6A6A">
        <w:t>been</w:t>
      </w:r>
      <w:r w:rsidR="00541D05">
        <w:t xml:space="preserve"> </w:t>
      </w:r>
      <w:r w:rsidR="00D9258C" w:rsidRPr="00FD6A6A">
        <w:t>reporting,</w:t>
      </w:r>
      <w:r w:rsidR="00541D05">
        <w:t xml:space="preserve"> </w:t>
      </w:r>
      <w:r w:rsidR="00D9258C" w:rsidRPr="00FD6A6A">
        <w:t>on</w:t>
      </w:r>
      <w:r w:rsidR="00541D05">
        <w:t xml:space="preserve"> </w:t>
      </w:r>
      <w:r w:rsidR="00D9258C" w:rsidRPr="00FD6A6A">
        <w:t>a</w:t>
      </w:r>
      <w:r w:rsidR="00541D05">
        <w:t xml:space="preserve"> </w:t>
      </w:r>
      <w:r w:rsidR="00D9258C" w:rsidRPr="00FD6A6A">
        <w:t>regular</w:t>
      </w:r>
      <w:r w:rsidR="00541D05">
        <w:t xml:space="preserve"> </w:t>
      </w:r>
      <w:r w:rsidR="00D9258C" w:rsidRPr="00FD6A6A">
        <w:t>basis,</w:t>
      </w:r>
      <w:r w:rsidR="00541D05">
        <w:t xml:space="preserve"> </w:t>
      </w:r>
      <w:r w:rsidR="00D9258C" w:rsidRPr="00FD6A6A">
        <w:t>the</w:t>
      </w:r>
      <w:r w:rsidR="00541D05">
        <w:t xml:space="preserve"> </w:t>
      </w:r>
      <w:r w:rsidR="00D9258C" w:rsidRPr="00FD6A6A">
        <w:t>situation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in</w:t>
      </w:r>
      <w:r w:rsidR="00541D05">
        <w:t xml:space="preserve"> </w:t>
      </w:r>
      <w:r w:rsidR="00D9258C" w:rsidRPr="00FD6A6A">
        <w:t>universities</w:t>
      </w:r>
      <w:r w:rsidR="00541D05">
        <w:t xml:space="preserve"> </w:t>
      </w:r>
      <w:r w:rsidR="00D9258C" w:rsidRPr="00FD6A6A">
        <w:t>and</w:t>
      </w:r>
      <w:r w:rsidR="00541D05">
        <w:t xml:space="preserve"> </w:t>
      </w:r>
      <w:r w:rsidR="00D9258C" w:rsidRPr="00FD6A6A">
        <w:t>other</w:t>
      </w:r>
      <w:r w:rsidR="00541D05">
        <w:t xml:space="preserve"> </w:t>
      </w:r>
      <w:r w:rsidR="00D9258C" w:rsidRPr="00FD6A6A">
        <w:t>social</w:t>
      </w:r>
      <w:r w:rsidR="00541D05">
        <w:t xml:space="preserve"> </w:t>
      </w:r>
      <w:r w:rsidR="00D9258C" w:rsidRPr="00FD6A6A">
        <w:t>spaces,</w:t>
      </w:r>
      <w:r w:rsidR="00541D05">
        <w:t xml:space="preserve"> </w:t>
      </w:r>
      <w:r w:rsidR="00D9258C" w:rsidRPr="00FD6A6A">
        <w:t>by</w:t>
      </w:r>
      <w:r w:rsidR="00541D05">
        <w:t xml:space="preserve"> </w:t>
      </w:r>
      <w:r w:rsidR="00D9258C" w:rsidRPr="00FD6A6A">
        <w:t>preparing</w:t>
      </w:r>
      <w:r w:rsidR="00541D05">
        <w:t xml:space="preserve"> </w:t>
      </w:r>
      <w:r w:rsidR="00D9258C" w:rsidRPr="00FD6A6A">
        <w:t>features</w:t>
      </w:r>
      <w:r w:rsidR="00541D05">
        <w:t xml:space="preserve"> </w:t>
      </w:r>
      <w:r w:rsidR="00D9258C" w:rsidRPr="00FD6A6A">
        <w:t>and</w:t>
      </w:r>
      <w:r w:rsidR="00541D05">
        <w:t xml:space="preserve"> </w:t>
      </w:r>
      <w:r w:rsidR="00D9258C" w:rsidRPr="00FD6A6A">
        <w:t>television</w:t>
      </w:r>
      <w:r w:rsidR="00541D05">
        <w:t xml:space="preserve"> </w:t>
      </w:r>
      <w:r w:rsidR="00D9258C" w:rsidRPr="00FD6A6A">
        <w:t>shows</w:t>
      </w:r>
      <w:r w:rsidR="00541D05">
        <w:t xml:space="preserve"> </w:t>
      </w:r>
      <w:r w:rsidR="00D9258C" w:rsidRPr="00FD6A6A">
        <w:t>on</w:t>
      </w:r>
      <w:r w:rsidR="00541D05">
        <w:t xml:space="preserve"> </w:t>
      </w:r>
      <w:r w:rsidR="00D9258C" w:rsidRPr="00FD6A6A">
        <w:t>racism,</w:t>
      </w:r>
      <w:r w:rsidR="00541D05">
        <w:t xml:space="preserve"> </w:t>
      </w:r>
      <w:r w:rsidR="00D9258C" w:rsidRPr="00FD6A6A">
        <w:t>as</w:t>
      </w:r>
      <w:r w:rsidR="00541D05">
        <w:t xml:space="preserve"> </w:t>
      </w:r>
      <w:r w:rsidR="00D9258C" w:rsidRPr="00FD6A6A">
        <w:t>well</w:t>
      </w:r>
      <w:r w:rsidR="00541D05">
        <w:t xml:space="preserve"> </w:t>
      </w:r>
      <w:r w:rsidR="00D9258C" w:rsidRPr="00FD6A6A">
        <w:t>as</w:t>
      </w:r>
      <w:r w:rsidR="00541D05">
        <w:t xml:space="preserve"> </w:t>
      </w:r>
      <w:r w:rsidR="00D9258C" w:rsidRPr="00FD6A6A">
        <w:t>promoting</w:t>
      </w:r>
      <w:r w:rsidR="00541D05">
        <w:t xml:space="preserve"> </w:t>
      </w:r>
      <w:r w:rsidR="00D9258C" w:rsidRPr="00FD6A6A">
        <w:t>debates</w:t>
      </w:r>
      <w:r w:rsidR="00541D05">
        <w:t xml:space="preserve"> </w:t>
      </w:r>
      <w:r w:rsidR="00D9258C" w:rsidRPr="00FD6A6A">
        <w:t>in</w:t>
      </w:r>
      <w:r w:rsidR="00541D05">
        <w:t xml:space="preserve"> </w:t>
      </w:r>
      <w:r w:rsidR="00D9258C" w:rsidRPr="00FD6A6A">
        <w:t>television</w:t>
      </w:r>
      <w:r w:rsidR="00541D05">
        <w:t xml:space="preserve"> </w:t>
      </w:r>
      <w:r w:rsidR="00D9258C" w:rsidRPr="00FD6A6A">
        <w:t>and</w:t>
      </w:r>
      <w:r w:rsidR="00541D05">
        <w:t xml:space="preserve"> </w:t>
      </w:r>
      <w:r w:rsidR="00D9258C" w:rsidRPr="00FD6A6A">
        <w:t>on</w:t>
      </w:r>
      <w:r w:rsidR="00541D05">
        <w:t xml:space="preserve"> </w:t>
      </w:r>
      <w:r w:rsidR="00D9258C" w:rsidRPr="00FD6A6A">
        <w:t>the</w:t>
      </w:r>
      <w:r w:rsidR="00541D05">
        <w:t xml:space="preserve"> </w:t>
      </w:r>
      <w:r w:rsidR="00D9258C" w:rsidRPr="00FD6A6A">
        <w:t>radio</w:t>
      </w:r>
      <w:r w:rsidR="00541D05">
        <w:t xml:space="preserve"> </w:t>
      </w:r>
      <w:r w:rsidR="00D9258C" w:rsidRPr="00FD6A6A">
        <w:t>regarding</w:t>
      </w:r>
      <w:r w:rsidR="00541D05">
        <w:t xml:space="preserve"> </w:t>
      </w:r>
      <w:r w:rsidR="00D9258C" w:rsidRPr="00FD6A6A">
        <w:t>the</w:t>
      </w:r>
      <w:r w:rsidR="00541D05">
        <w:t xml:space="preserve"> </w:t>
      </w:r>
      <w:r w:rsidR="00D9258C" w:rsidRPr="00FD6A6A">
        <w:t>problems</w:t>
      </w:r>
      <w:r w:rsidR="00541D05">
        <w:t xml:space="preserve"> </w:t>
      </w:r>
      <w:r w:rsidR="00D9258C" w:rsidRPr="00FD6A6A">
        <w:t>of</w:t>
      </w:r>
      <w:r w:rsidR="00541D05">
        <w:t xml:space="preserve"> </w:t>
      </w:r>
      <w:r w:rsidR="00D9258C" w:rsidRPr="00FD6A6A">
        <w:t>groups</w:t>
      </w:r>
      <w:r w:rsidR="00541D05">
        <w:t xml:space="preserve"> </w:t>
      </w:r>
      <w:r w:rsidR="00D9258C" w:rsidRPr="00FD6A6A">
        <w:t>that</w:t>
      </w:r>
      <w:r w:rsidR="00541D05">
        <w:t xml:space="preserve"> </w:t>
      </w:r>
      <w:r w:rsidR="00D9258C" w:rsidRPr="00FD6A6A">
        <w:t>suffer</w:t>
      </w:r>
      <w:r w:rsidR="00541D05">
        <w:t xml:space="preserve"> </w:t>
      </w:r>
      <w:r w:rsidR="00D9258C" w:rsidRPr="00FD6A6A">
        <w:t>social</w:t>
      </w:r>
      <w:r w:rsidR="00541D05">
        <w:t xml:space="preserve"> </w:t>
      </w:r>
      <w:r w:rsidR="00D9258C" w:rsidRPr="00FD6A6A">
        <w:t>discrimination.</w:t>
      </w:r>
    </w:p>
    <w:p w14:paraId="03CEC9E0" w14:textId="0309EC80" w:rsidR="00D9258C" w:rsidRPr="00FD6A6A" w:rsidRDefault="00166390" w:rsidP="00166390">
      <w:pPr>
        <w:pStyle w:val="ParaNoG"/>
        <w:numPr>
          <w:ilvl w:val="0"/>
          <w:numId w:val="0"/>
        </w:numPr>
        <w:tabs>
          <w:tab w:val="left" w:pos="0"/>
        </w:tabs>
        <w:ind w:left="1134"/>
      </w:pPr>
      <w:r w:rsidRPr="00FD6A6A">
        <w:t>225.</w:t>
      </w:r>
      <w:r w:rsidRPr="00FD6A6A">
        <w:tab/>
      </w:r>
      <w:r w:rsidR="00D9258C" w:rsidRPr="00FD6A6A">
        <w:t>With</w:t>
      </w:r>
      <w:r w:rsidR="00541D05">
        <w:t xml:space="preserve"> </w:t>
      </w:r>
      <w:r w:rsidR="00D9258C" w:rsidRPr="00FD6A6A">
        <w:t>a</w:t>
      </w:r>
      <w:r w:rsidR="00541D05">
        <w:t xml:space="preserve"> </w:t>
      </w:r>
      <w:r w:rsidR="00D9258C" w:rsidRPr="00FD6A6A">
        <w:t>varied</w:t>
      </w:r>
      <w:r w:rsidR="00541D05">
        <w:t xml:space="preserve"> </w:t>
      </w:r>
      <w:r w:rsidR="00D9258C" w:rsidRPr="00FD6A6A">
        <w:t>and</w:t>
      </w:r>
      <w:r w:rsidR="00541D05">
        <w:t xml:space="preserve"> </w:t>
      </w:r>
      <w:r w:rsidR="00D9258C" w:rsidRPr="00FD6A6A">
        <w:t>plural</w:t>
      </w:r>
      <w:r w:rsidR="00541D05">
        <w:t xml:space="preserve"> </w:t>
      </w:r>
      <w:r w:rsidR="00D9258C" w:rsidRPr="00FD6A6A">
        <w:t>schedule,</w:t>
      </w:r>
      <w:r w:rsidR="00541D05">
        <w:t xml:space="preserve"> </w:t>
      </w:r>
      <w:r w:rsidR="00D9258C" w:rsidRPr="00FD6A6A">
        <w:t>these</w:t>
      </w:r>
      <w:r w:rsidR="00541D05">
        <w:t xml:space="preserve"> </w:t>
      </w:r>
      <w:r w:rsidR="00D9258C" w:rsidRPr="00FD6A6A">
        <w:t>channels</w:t>
      </w:r>
      <w:r w:rsidR="00541D05">
        <w:t xml:space="preserve"> </w:t>
      </w:r>
      <w:r w:rsidR="00D9258C" w:rsidRPr="00FD6A6A">
        <w:t>have</w:t>
      </w:r>
      <w:r w:rsidR="00541D05">
        <w:t xml:space="preserve"> </w:t>
      </w:r>
      <w:r w:rsidR="00D9258C" w:rsidRPr="00FD6A6A">
        <w:t>become</w:t>
      </w:r>
      <w:r w:rsidR="00541D05">
        <w:t xml:space="preserve"> </w:t>
      </w:r>
      <w:r w:rsidR="00D9258C" w:rsidRPr="00FD6A6A">
        <w:t>relevant</w:t>
      </w:r>
      <w:r w:rsidR="00541D05">
        <w:t xml:space="preserve"> </w:t>
      </w:r>
      <w:r w:rsidR="00D9258C" w:rsidRPr="00FD6A6A">
        <w:t>vehicles</w:t>
      </w:r>
      <w:r w:rsidR="00541D05">
        <w:t xml:space="preserve"> </w:t>
      </w:r>
      <w:r w:rsidR="00D9258C" w:rsidRPr="00FD6A6A">
        <w:t>to</w:t>
      </w:r>
      <w:r w:rsidR="00541D05">
        <w:t xml:space="preserve"> </w:t>
      </w:r>
      <w:r w:rsidR="00D9258C" w:rsidRPr="00FD6A6A">
        <w:t>guarantee</w:t>
      </w:r>
      <w:r w:rsidR="00541D05">
        <w:t xml:space="preserve"> </w:t>
      </w:r>
      <w:r w:rsidR="00D9258C" w:rsidRPr="00FD6A6A">
        <w:t>the</w:t>
      </w:r>
      <w:r w:rsidR="00541D05">
        <w:t xml:space="preserve"> </w:t>
      </w:r>
      <w:r w:rsidR="00D9258C" w:rsidRPr="00FD6A6A">
        <w:t>right</w:t>
      </w:r>
      <w:r w:rsidR="00541D05">
        <w:t xml:space="preserve"> </w:t>
      </w:r>
      <w:r w:rsidR="00D9258C" w:rsidRPr="00FD6A6A">
        <w:t>to</w:t>
      </w:r>
      <w:r w:rsidR="00541D05">
        <w:t xml:space="preserve"> </w:t>
      </w:r>
      <w:r w:rsidR="00D9258C" w:rsidRPr="00FD6A6A">
        <w:t>communication,</w:t>
      </w:r>
      <w:r w:rsidR="00541D05">
        <w:t xml:space="preserve"> </w:t>
      </w:r>
      <w:r w:rsidR="00D9258C" w:rsidRPr="00FD6A6A">
        <w:t>addressing</w:t>
      </w:r>
      <w:r w:rsidR="00541D05">
        <w:t xml:space="preserve"> </w:t>
      </w:r>
      <w:r w:rsidR="00D9258C" w:rsidRPr="00FD6A6A">
        <w:t>the</w:t>
      </w:r>
      <w:r w:rsidR="00541D05">
        <w:t xml:space="preserve"> </w:t>
      </w:r>
      <w:r w:rsidR="00D9258C" w:rsidRPr="00FD6A6A">
        <w:t>spectator</w:t>
      </w:r>
      <w:r w:rsidR="00541D05">
        <w:t xml:space="preserve"> </w:t>
      </w:r>
      <w:r w:rsidR="00D9258C" w:rsidRPr="00FD6A6A">
        <w:t>as</w:t>
      </w:r>
      <w:r w:rsidR="00541D05">
        <w:t xml:space="preserve"> </w:t>
      </w:r>
      <w:r w:rsidR="00D9258C" w:rsidRPr="00FD6A6A">
        <w:t>a</w:t>
      </w:r>
      <w:r w:rsidR="00541D05">
        <w:t xml:space="preserve"> </w:t>
      </w:r>
      <w:r w:rsidR="00D9258C" w:rsidRPr="00FD6A6A">
        <w:t>citizen</w:t>
      </w:r>
      <w:r w:rsidR="00541D05">
        <w:t xml:space="preserve"> </w:t>
      </w:r>
      <w:r w:rsidR="00D9258C" w:rsidRPr="00FD6A6A">
        <w:t>rather</w:t>
      </w:r>
      <w:r w:rsidR="00541D05">
        <w:t xml:space="preserve"> </w:t>
      </w:r>
      <w:r w:rsidR="00D9258C" w:rsidRPr="00FD6A6A">
        <w:t>than</w:t>
      </w:r>
      <w:r w:rsidR="00541D05">
        <w:t xml:space="preserve"> </w:t>
      </w:r>
      <w:r w:rsidR="00D9258C" w:rsidRPr="00FD6A6A">
        <w:t>a</w:t>
      </w:r>
      <w:r w:rsidR="00541D05">
        <w:t xml:space="preserve"> </w:t>
      </w:r>
      <w:r w:rsidR="00D9258C" w:rsidRPr="00FD6A6A">
        <w:t>consumer,</w:t>
      </w:r>
      <w:r w:rsidR="00541D05">
        <w:t xml:space="preserve"> </w:t>
      </w:r>
      <w:r w:rsidR="00D9258C" w:rsidRPr="00FD6A6A">
        <w:t>and</w:t>
      </w:r>
      <w:r w:rsidR="00541D05">
        <w:t xml:space="preserve"> </w:t>
      </w:r>
      <w:r w:rsidR="00D9258C" w:rsidRPr="00FD6A6A">
        <w:t>expanding</w:t>
      </w:r>
      <w:r w:rsidR="00541D05">
        <w:t xml:space="preserve"> </w:t>
      </w:r>
      <w:r w:rsidR="00D9258C" w:rsidRPr="00FD6A6A">
        <w:t>the</w:t>
      </w:r>
      <w:r w:rsidR="00541D05">
        <w:t xml:space="preserve"> </w:t>
      </w:r>
      <w:r w:rsidR="00D9258C" w:rsidRPr="00FD6A6A">
        <w:t>space</w:t>
      </w:r>
      <w:r w:rsidR="00541D05">
        <w:t xml:space="preserve"> </w:t>
      </w:r>
      <w:r w:rsidR="00D9258C" w:rsidRPr="00FD6A6A">
        <w:t>for</w:t>
      </w:r>
      <w:r w:rsidR="00541D05">
        <w:t xml:space="preserve"> </w:t>
      </w:r>
      <w:r w:rsidR="00D9258C" w:rsidRPr="00FD6A6A">
        <w:t>human</w:t>
      </w:r>
      <w:r w:rsidR="00541D05">
        <w:t xml:space="preserve"> </w:t>
      </w:r>
      <w:r w:rsidR="00D9258C" w:rsidRPr="00FD6A6A">
        <w:t>rights-related</w:t>
      </w:r>
      <w:r w:rsidR="00541D05">
        <w:t xml:space="preserve"> </w:t>
      </w:r>
      <w:r w:rsidR="00D9258C" w:rsidRPr="00FD6A6A">
        <w:t>topics.</w:t>
      </w:r>
      <w:r w:rsidR="00541D05">
        <w:t xml:space="preserve"> </w:t>
      </w:r>
      <w:r w:rsidR="00D9258C" w:rsidRPr="00FD6A6A">
        <w:t>Nevertheless,</w:t>
      </w:r>
      <w:r w:rsidR="00541D05">
        <w:t xml:space="preserve"> </w:t>
      </w:r>
      <w:r w:rsidR="00D9258C" w:rsidRPr="00FD6A6A">
        <w:t>the</w:t>
      </w:r>
      <w:r w:rsidR="00541D05">
        <w:t xml:space="preserve"> </w:t>
      </w:r>
      <w:r w:rsidR="00D9258C" w:rsidRPr="00FD6A6A">
        <w:t>development</w:t>
      </w:r>
      <w:r w:rsidR="00541D05">
        <w:t xml:space="preserve"> </w:t>
      </w:r>
      <w:r w:rsidR="00D9258C" w:rsidRPr="00FD6A6A">
        <w:t>of</w:t>
      </w:r>
      <w:r w:rsidR="00541D05">
        <w:t xml:space="preserve"> </w:t>
      </w:r>
      <w:r w:rsidR="00D9258C" w:rsidRPr="00FD6A6A">
        <w:t>a</w:t>
      </w:r>
      <w:r w:rsidR="00541D05">
        <w:t xml:space="preserve"> </w:t>
      </w:r>
      <w:r w:rsidR="00D9258C" w:rsidRPr="00FD6A6A">
        <w:t>new</w:t>
      </w:r>
      <w:r w:rsidR="00541D05">
        <w:t xml:space="preserve"> </w:t>
      </w:r>
      <w:r w:rsidR="00D9258C" w:rsidRPr="00FD6A6A">
        <w:t>television</w:t>
      </w:r>
      <w:r w:rsidR="00541D05">
        <w:t xml:space="preserve"> </w:t>
      </w:r>
      <w:r w:rsidR="00D9258C" w:rsidRPr="00FD6A6A">
        <w:t>audience</w:t>
      </w:r>
      <w:r w:rsidR="00541D05">
        <w:t xml:space="preserve"> </w:t>
      </w:r>
      <w:r w:rsidR="00D9258C" w:rsidRPr="00FD6A6A">
        <w:t>and</w:t>
      </w:r>
      <w:r w:rsidR="00541D05">
        <w:t xml:space="preserve"> </w:t>
      </w:r>
      <w:r w:rsidR="00D9258C" w:rsidRPr="00FD6A6A">
        <w:t>the</w:t>
      </w:r>
      <w:r w:rsidR="00541D05">
        <w:t xml:space="preserve"> </w:t>
      </w:r>
      <w:r w:rsidR="00D9258C" w:rsidRPr="00FD6A6A">
        <w:t>transformation</w:t>
      </w:r>
      <w:r w:rsidR="00541D05">
        <w:t xml:space="preserve"> </w:t>
      </w:r>
      <w:r w:rsidR="00D9258C" w:rsidRPr="00FD6A6A">
        <w:t>of</w:t>
      </w:r>
      <w:r w:rsidR="00541D05">
        <w:t xml:space="preserve"> </w:t>
      </w:r>
      <w:r w:rsidR="00D9258C" w:rsidRPr="00FD6A6A">
        <w:t>the</w:t>
      </w:r>
      <w:r w:rsidR="00541D05">
        <w:t xml:space="preserve"> </w:t>
      </w:r>
      <w:r w:rsidR="00D9258C" w:rsidRPr="00FD6A6A">
        <w:t>public</w:t>
      </w:r>
      <w:r w:rsidR="00541D05">
        <w:t xml:space="preserve"> </w:t>
      </w:r>
      <w:r w:rsidR="00D9258C" w:rsidRPr="00FD6A6A">
        <w:t>communications</w:t>
      </w:r>
      <w:r w:rsidR="00541D05">
        <w:t xml:space="preserve"> </w:t>
      </w:r>
      <w:r w:rsidR="00D9258C" w:rsidRPr="00FD6A6A">
        <w:t>network</w:t>
      </w:r>
      <w:r w:rsidR="00541D05">
        <w:t xml:space="preserve"> </w:t>
      </w:r>
      <w:r w:rsidR="00D9258C" w:rsidRPr="00FD6A6A">
        <w:t>into</w:t>
      </w:r>
      <w:r w:rsidR="00541D05">
        <w:t xml:space="preserve"> </w:t>
      </w:r>
      <w:r w:rsidR="00D9258C" w:rsidRPr="00FD6A6A">
        <w:t>an</w:t>
      </w:r>
      <w:r w:rsidR="00541D05">
        <w:t xml:space="preserve"> </w:t>
      </w:r>
      <w:r w:rsidR="00D9258C" w:rsidRPr="00FD6A6A">
        <w:t>alternative</w:t>
      </w:r>
      <w:r w:rsidR="00541D05">
        <w:t xml:space="preserve"> </w:t>
      </w:r>
      <w:r w:rsidR="00D9258C" w:rsidRPr="00FD6A6A">
        <w:t>to</w:t>
      </w:r>
      <w:r w:rsidR="00541D05">
        <w:t xml:space="preserve"> </w:t>
      </w:r>
      <w:r w:rsidR="00D9258C" w:rsidRPr="00FD6A6A">
        <w:t>commercial</w:t>
      </w:r>
      <w:r w:rsidR="00541D05">
        <w:t xml:space="preserve"> </w:t>
      </w:r>
      <w:r w:rsidR="00D9258C" w:rsidRPr="00FD6A6A">
        <w:t>communications</w:t>
      </w:r>
      <w:r w:rsidR="00541D05">
        <w:t xml:space="preserve"> </w:t>
      </w:r>
      <w:r w:rsidR="00D9258C" w:rsidRPr="00FD6A6A">
        <w:t>networks,</w:t>
      </w:r>
      <w:r w:rsidR="00541D05">
        <w:t xml:space="preserve"> </w:t>
      </w:r>
      <w:r w:rsidR="00D9258C" w:rsidRPr="00FD6A6A">
        <w:t>in</w:t>
      </w:r>
      <w:r w:rsidR="00541D05">
        <w:t xml:space="preserve"> </w:t>
      </w:r>
      <w:r w:rsidR="00D9258C" w:rsidRPr="00FD6A6A">
        <w:t>which</w:t>
      </w:r>
      <w:r w:rsidR="00541D05">
        <w:t xml:space="preserve"> </w:t>
      </w:r>
      <w:r w:rsidR="00D9258C" w:rsidRPr="00FD6A6A">
        <w:t>concerns</w:t>
      </w:r>
      <w:r w:rsidR="00541D05">
        <w:t xml:space="preserve"> </w:t>
      </w:r>
      <w:r w:rsidR="00D9258C" w:rsidRPr="00FD6A6A">
        <w:t>regarding</w:t>
      </w:r>
      <w:r w:rsidR="00541D05">
        <w:t xml:space="preserve"> </w:t>
      </w:r>
      <w:r w:rsidR="00D9258C" w:rsidRPr="00FD6A6A">
        <w:t>issues</w:t>
      </w:r>
      <w:r w:rsidR="00541D05">
        <w:t xml:space="preserve"> </w:t>
      </w:r>
      <w:r w:rsidR="00D9258C" w:rsidRPr="00FD6A6A">
        <w:t>related</w:t>
      </w:r>
      <w:r w:rsidR="00541D05">
        <w:t xml:space="preserve"> </w:t>
      </w:r>
      <w:r w:rsidR="00D9258C" w:rsidRPr="00FD6A6A">
        <w:t>to</w:t>
      </w:r>
      <w:r w:rsidR="00541D05">
        <w:t xml:space="preserve"> </w:t>
      </w:r>
      <w:r w:rsidR="00D9258C" w:rsidRPr="00FD6A6A">
        <w:t>ethnic</w:t>
      </w:r>
      <w:r w:rsidR="00541D05">
        <w:t xml:space="preserve"> </w:t>
      </w:r>
      <w:r w:rsidR="00D9258C" w:rsidRPr="00FD6A6A">
        <w:t>and</w:t>
      </w:r>
      <w:r w:rsidR="00541D05">
        <w:t xml:space="preserve"> </w:t>
      </w:r>
      <w:r w:rsidR="00D9258C" w:rsidRPr="00FD6A6A">
        <w:t>racial</w:t>
      </w:r>
      <w:r w:rsidR="00541D05">
        <w:t xml:space="preserve"> </w:t>
      </w:r>
      <w:r w:rsidR="00D9258C" w:rsidRPr="00FD6A6A">
        <w:t>diversity</w:t>
      </w:r>
      <w:r w:rsidR="00541D05">
        <w:t xml:space="preserve"> </w:t>
      </w:r>
      <w:r w:rsidR="00D9258C" w:rsidRPr="00FD6A6A">
        <w:t>are</w:t>
      </w:r>
      <w:r w:rsidR="00541D05">
        <w:t xml:space="preserve"> </w:t>
      </w:r>
      <w:r w:rsidR="00D9258C" w:rsidRPr="00FD6A6A">
        <w:t>occasional</w:t>
      </w:r>
      <w:r w:rsidR="00541D05">
        <w:t xml:space="preserve"> </w:t>
      </w:r>
      <w:r w:rsidR="00D9258C" w:rsidRPr="00FD6A6A">
        <w:t>and</w:t>
      </w:r>
      <w:r w:rsidR="00541D05">
        <w:t xml:space="preserve"> </w:t>
      </w:r>
      <w:r w:rsidR="00D9258C" w:rsidRPr="00FD6A6A">
        <w:t>subordinated</w:t>
      </w:r>
      <w:r w:rsidR="00541D05">
        <w:t xml:space="preserve"> </w:t>
      </w:r>
      <w:r w:rsidR="00D9258C" w:rsidRPr="00FD6A6A">
        <w:t>to</w:t>
      </w:r>
      <w:r w:rsidR="00541D05">
        <w:t xml:space="preserve"> </w:t>
      </w:r>
      <w:r w:rsidR="00D9258C" w:rsidRPr="00FD6A6A">
        <w:t>commercial</w:t>
      </w:r>
      <w:r w:rsidR="00541D05">
        <w:t xml:space="preserve"> </w:t>
      </w:r>
      <w:r w:rsidR="00D9258C" w:rsidRPr="00FD6A6A">
        <w:t>interests,</w:t>
      </w:r>
      <w:r w:rsidR="00541D05">
        <w:t xml:space="preserve"> </w:t>
      </w:r>
      <w:r w:rsidR="00D9258C" w:rsidRPr="00FD6A6A">
        <w:t>remains</w:t>
      </w:r>
      <w:r w:rsidR="00541D05">
        <w:t xml:space="preserve"> </w:t>
      </w:r>
      <w:r w:rsidR="00D9258C" w:rsidRPr="00FD6A6A">
        <w:t>major</w:t>
      </w:r>
      <w:r w:rsidR="00541D05">
        <w:t xml:space="preserve"> </w:t>
      </w:r>
      <w:r w:rsidR="00D9258C" w:rsidRPr="00FD6A6A">
        <w:t>challenges.</w:t>
      </w:r>
    </w:p>
    <w:p w14:paraId="2F2339BE" w14:textId="1F36593B" w:rsidR="00D9258C" w:rsidRPr="00FD6A6A" w:rsidRDefault="00166390" w:rsidP="00166390">
      <w:pPr>
        <w:pStyle w:val="ParaNoG"/>
        <w:numPr>
          <w:ilvl w:val="0"/>
          <w:numId w:val="0"/>
        </w:numPr>
        <w:tabs>
          <w:tab w:val="left" w:pos="0"/>
        </w:tabs>
        <w:ind w:left="1134"/>
      </w:pPr>
      <w:r w:rsidRPr="00FD6A6A">
        <w:t>226.</w:t>
      </w:r>
      <w:r w:rsidRPr="00FD6A6A">
        <w:tab/>
      </w:r>
      <w:r w:rsidR="00D9258C" w:rsidRPr="00FD6A6A">
        <w:t>As</w:t>
      </w:r>
      <w:r w:rsidR="00541D05">
        <w:t xml:space="preserve"> </w:t>
      </w:r>
      <w:r w:rsidR="00D9258C" w:rsidRPr="00FD6A6A">
        <w:t>to</w:t>
      </w:r>
      <w:r w:rsidR="00541D05">
        <w:t xml:space="preserve"> </w:t>
      </w:r>
      <w:r w:rsidR="00D9258C" w:rsidRPr="00FD6A6A">
        <w:t>propaganda,</w:t>
      </w:r>
      <w:r w:rsidR="00541D05">
        <w:t xml:space="preserve"> </w:t>
      </w:r>
      <w:r w:rsidR="00D9258C" w:rsidRPr="00FD6A6A">
        <w:t>a</w:t>
      </w:r>
      <w:r w:rsidR="00541D05">
        <w:t xml:space="preserve"> </w:t>
      </w:r>
      <w:r w:rsidR="00D9258C" w:rsidRPr="00FD6A6A">
        <w:t>non-governmental</w:t>
      </w:r>
      <w:r w:rsidR="00541D05">
        <w:t xml:space="preserve"> </w:t>
      </w:r>
      <w:r w:rsidR="00D9258C" w:rsidRPr="00FD6A6A">
        <w:t>organization</w:t>
      </w:r>
      <w:r w:rsidR="00541D05">
        <w:t xml:space="preserve"> </w:t>
      </w:r>
      <w:r w:rsidR="00D9258C" w:rsidRPr="00FD6A6A">
        <w:t>has</w:t>
      </w:r>
      <w:r w:rsidR="00541D05">
        <w:t xml:space="preserve"> </w:t>
      </w:r>
      <w:r w:rsidR="00D9258C" w:rsidRPr="00FD6A6A">
        <w:t>acted</w:t>
      </w:r>
      <w:r w:rsidR="00541D05">
        <w:t xml:space="preserve"> </w:t>
      </w:r>
      <w:r w:rsidR="00D9258C" w:rsidRPr="00FD6A6A">
        <w:t>in</w:t>
      </w:r>
      <w:r w:rsidR="00541D05">
        <w:t xml:space="preserve"> </w:t>
      </w:r>
      <w:r w:rsidR="00D9258C" w:rsidRPr="00FD6A6A">
        <w:t>the</w:t>
      </w:r>
      <w:r w:rsidR="00541D05">
        <w:t xml:space="preserve"> </w:t>
      </w:r>
      <w:r w:rsidR="00D9258C" w:rsidRPr="00FD6A6A">
        <w:t>Brazilian</w:t>
      </w:r>
      <w:r w:rsidR="00541D05">
        <w:t xml:space="preserve"> </w:t>
      </w:r>
      <w:r w:rsidR="00D9258C" w:rsidRPr="00FD6A6A">
        <w:t>advertising</w:t>
      </w:r>
      <w:r w:rsidR="00541D05">
        <w:t xml:space="preserve"> </w:t>
      </w:r>
      <w:r w:rsidR="00D9258C" w:rsidRPr="00FD6A6A">
        <w:t>market</w:t>
      </w:r>
      <w:r w:rsidR="00541D05">
        <w:t xml:space="preserve"> </w:t>
      </w:r>
      <w:r w:rsidR="00D9258C" w:rsidRPr="00FD6A6A">
        <w:t>since</w:t>
      </w:r>
      <w:r w:rsidR="00541D05">
        <w:t xml:space="preserve"> </w:t>
      </w:r>
      <w:r w:rsidR="00D9258C" w:rsidRPr="00FD6A6A">
        <w:t>1978,</w:t>
      </w:r>
      <w:r w:rsidR="00541D05">
        <w:t xml:space="preserve"> </w:t>
      </w:r>
      <w:r w:rsidR="00D9258C" w:rsidRPr="00FD6A6A">
        <w:t>with</w:t>
      </w:r>
      <w:r w:rsidR="00541D05">
        <w:t xml:space="preserve"> </w:t>
      </w:r>
      <w:r w:rsidR="00D9258C" w:rsidRPr="00FD6A6A">
        <w:t>the</w:t>
      </w:r>
      <w:r w:rsidR="00541D05">
        <w:t xml:space="preserve"> </w:t>
      </w:r>
      <w:r w:rsidR="00D9258C" w:rsidRPr="00FD6A6A">
        <w:t>sole</w:t>
      </w:r>
      <w:r w:rsidR="00541D05">
        <w:t xml:space="preserve"> </w:t>
      </w:r>
      <w:r w:rsidR="00D9258C" w:rsidRPr="00FD6A6A">
        <w:t>purpose</w:t>
      </w:r>
      <w:r w:rsidR="00541D05">
        <w:t xml:space="preserve"> </w:t>
      </w:r>
      <w:r w:rsidR="00D9258C" w:rsidRPr="00FD6A6A">
        <w:t>of</w:t>
      </w:r>
      <w:r w:rsidR="00541D05">
        <w:t xml:space="preserve"> </w:t>
      </w:r>
      <w:r w:rsidR="00D9258C" w:rsidRPr="00FD6A6A">
        <w:t>regulating</w:t>
      </w:r>
      <w:r w:rsidR="00541D05">
        <w:t xml:space="preserve"> </w:t>
      </w:r>
      <w:r w:rsidR="00D9258C" w:rsidRPr="00FD6A6A">
        <w:t>advertisement</w:t>
      </w:r>
      <w:r w:rsidR="00541D05">
        <w:t xml:space="preserve"> </w:t>
      </w:r>
      <w:r w:rsidR="00D9258C" w:rsidRPr="00FD6A6A">
        <w:t>nationwide,</w:t>
      </w:r>
      <w:r w:rsidR="00541D05">
        <w:t xml:space="preserve"> </w:t>
      </w:r>
      <w:r w:rsidR="00D9258C" w:rsidRPr="00FD6A6A">
        <w:t>an</w:t>
      </w:r>
      <w:r w:rsidR="00541D05">
        <w:t xml:space="preserve"> </w:t>
      </w:r>
      <w:r w:rsidR="00D9258C" w:rsidRPr="00FD6A6A">
        <w:t>activity</w:t>
      </w:r>
      <w:r w:rsidR="00541D05">
        <w:t xml:space="preserve"> </w:t>
      </w:r>
      <w:r w:rsidR="00D9258C" w:rsidRPr="00FD6A6A">
        <w:t>developed</w:t>
      </w:r>
      <w:r w:rsidR="00541D05">
        <w:t xml:space="preserve"> </w:t>
      </w:r>
      <w:r w:rsidR="00D9258C" w:rsidRPr="00FD6A6A">
        <w:t>by</w:t>
      </w:r>
      <w:r w:rsidR="00541D05">
        <w:t xml:space="preserve"> </w:t>
      </w:r>
      <w:r w:rsidR="00D9258C" w:rsidRPr="00FD6A6A">
        <w:t>the</w:t>
      </w:r>
      <w:r w:rsidR="00541D05">
        <w:t xml:space="preserve"> </w:t>
      </w:r>
      <w:r w:rsidR="00D9258C" w:rsidRPr="00FD6A6A">
        <w:t>very</w:t>
      </w:r>
      <w:r w:rsidR="00541D05">
        <w:t xml:space="preserve"> </w:t>
      </w:r>
      <w:r w:rsidR="00D9258C" w:rsidRPr="00FD6A6A">
        <w:t>companies</w:t>
      </w:r>
      <w:r w:rsidR="00541D05">
        <w:t xml:space="preserve"> </w:t>
      </w:r>
      <w:r w:rsidR="00D9258C" w:rsidRPr="00FD6A6A">
        <w:t>of</w:t>
      </w:r>
      <w:r w:rsidR="00541D05">
        <w:t xml:space="preserve"> </w:t>
      </w:r>
      <w:r w:rsidR="00D9258C" w:rsidRPr="00FD6A6A">
        <w:t>the</w:t>
      </w:r>
      <w:r w:rsidR="00541D05">
        <w:t xml:space="preserve"> </w:t>
      </w:r>
      <w:r w:rsidR="00D9258C" w:rsidRPr="00FD6A6A">
        <w:t>industry.</w:t>
      </w:r>
      <w:r w:rsidR="00541D05">
        <w:t xml:space="preserve"> </w:t>
      </w:r>
      <w:r w:rsidR="00D9258C" w:rsidRPr="00FD6A6A">
        <w:t>The</w:t>
      </w:r>
      <w:r w:rsidR="00541D05">
        <w:t xml:space="preserve"> </w:t>
      </w:r>
      <w:r w:rsidR="00D9258C" w:rsidRPr="00FD6A6A">
        <w:t>Brazilian</w:t>
      </w:r>
      <w:r w:rsidR="00541D05">
        <w:t xml:space="preserve"> </w:t>
      </w:r>
      <w:r w:rsidR="00D9258C" w:rsidRPr="00FD6A6A">
        <w:t>Advertising</w:t>
      </w:r>
      <w:r w:rsidR="00541D05">
        <w:t xml:space="preserve"> </w:t>
      </w:r>
      <w:r w:rsidR="00D9258C" w:rsidRPr="00FD6A6A">
        <w:t>Self-Regulation</w:t>
      </w:r>
      <w:r w:rsidR="00541D05">
        <w:t xml:space="preserve"> </w:t>
      </w:r>
      <w:r w:rsidR="00D9258C" w:rsidRPr="00FD6A6A">
        <w:t>Council</w:t>
      </w:r>
      <w:r w:rsidR="00541D05">
        <w:t xml:space="preserve"> </w:t>
      </w:r>
      <w:r w:rsidR="00D9258C" w:rsidRPr="00FD6A6A">
        <w:t>(CONAR)</w:t>
      </w:r>
      <w:r w:rsidR="00541D05">
        <w:t xml:space="preserve"> </w:t>
      </w:r>
      <w:r w:rsidR="00D9258C" w:rsidRPr="00FD6A6A">
        <w:t>is</w:t>
      </w:r>
      <w:r w:rsidR="00541D05">
        <w:t xml:space="preserve"> </w:t>
      </w:r>
      <w:r w:rsidR="00D9258C" w:rsidRPr="00FD6A6A">
        <w:t>responsible</w:t>
      </w:r>
      <w:r w:rsidR="00541D05">
        <w:t xml:space="preserve"> </w:t>
      </w:r>
      <w:r w:rsidR="00D9258C" w:rsidRPr="00FD6A6A">
        <w:t>for</w:t>
      </w:r>
      <w:r w:rsidR="00541D05">
        <w:t xml:space="preserve"> </w:t>
      </w:r>
      <w:r w:rsidR="00D9258C" w:rsidRPr="00FD6A6A">
        <w:t>establishing</w:t>
      </w:r>
      <w:r w:rsidR="00541D05">
        <w:t xml:space="preserve"> </w:t>
      </w:r>
      <w:r w:rsidR="00D9258C" w:rsidRPr="00FD6A6A">
        <w:t>a</w:t>
      </w:r>
      <w:r w:rsidR="00541D05">
        <w:t xml:space="preserve"> </w:t>
      </w:r>
      <w:r w:rsidR="00D9258C" w:rsidRPr="00FD6A6A">
        <w:t>kind</w:t>
      </w:r>
      <w:r w:rsidR="00541D05">
        <w:t xml:space="preserve"> </w:t>
      </w:r>
      <w:r w:rsidR="00D9258C" w:rsidRPr="00FD6A6A">
        <w:t>of</w:t>
      </w:r>
      <w:r w:rsidR="00541D05">
        <w:t xml:space="preserve"> </w:t>
      </w:r>
      <w:r w:rsidR="00D9258C" w:rsidRPr="00FD6A6A">
        <w:lastRenderedPageBreak/>
        <w:t>ethical</w:t>
      </w:r>
      <w:r w:rsidR="00541D05">
        <w:t xml:space="preserve"> </w:t>
      </w:r>
      <w:r w:rsidR="00D9258C" w:rsidRPr="00FD6A6A">
        <w:t>brakes</w:t>
      </w:r>
      <w:r w:rsidR="00541D05">
        <w:t xml:space="preserve"> </w:t>
      </w:r>
      <w:r w:rsidR="00D9258C" w:rsidRPr="00FD6A6A">
        <w:t>to</w:t>
      </w:r>
      <w:r w:rsidR="00541D05">
        <w:t xml:space="preserve"> </w:t>
      </w:r>
      <w:r w:rsidR="00D9258C" w:rsidRPr="00FD6A6A">
        <w:t>advertising</w:t>
      </w:r>
      <w:r w:rsidR="00541D05">
        <w:t xml:space="preserve"> </w:t>
      </w:r>
      <w:r w:rsidR="00D9258C" w:rsidRPr="00FD6A6A">
        <w:t>activities</w:t>
      </w:r>
      <w:r w:rsidR="00541D05">
        <w:t xml:space="preserve"> </w:t>
      </w:r>
      <w:r w:rsidR="00D9258C" w:rsidRPr="00FD6A6A">
        <w:t>and</w:t>
      </w:r>
      <w:r w:rsidR="00541D05">
        <w:t xml:space="preserve"> </w:t>
      </w:r>
      <w:r w:rsidR="00D9258C" w:rsidRPr="00FD6A6A">
        <w:t>private</w:t>
      </w:r>
      <w:r w:rsidR="00541D05">
        <w:t xml:space="preserve"> </w:t>
      </w:r>
      <w:r w:rsidR="00D9258C" w:rsidRPr="00FD6A6A">
        <w:t>and</w:t>
      </w:r>
      <w:r w:rsidR="00541D05">
        <w:t xml:space="preserve"> </w:t>
      </w:r>
      <w:r w:rsidR="00D9258C" w:rsidRPr="00FD6A6A">
        <w:t>public</w:t>
      </w:r>
      <w:r w:rsidR="00541D05">
        <w:t xml:space="preserve"> </w:t>
      </w:r>
      <w:r w:rsidR="00D9258C" w:rsidRPr="00FD6A6A">
        <w:t>propaganda.</w:t>
      </w:r>
      <w:r w:rsidR="00541D05">
        <w:t xml:space="preserve"> </w:t>
      </w:r>
      <w:r w:rsidR="00D9258C" w:rsidRPr="00FD6A6A">
        <w:t>This</w:t>
      </w:r>
      <w:r w:rsidR="00541D05">
        <w:t xml:space="preserve"> </w:t>
      </w:r>
      <w:r w:rsidR="00D9258C" w:rsidRPr="00FD6A6A">
        <w:t>organization,</w:t>
      </w:r>
      <w:r w:rsidR="00541D05">
        <w:t xml:space="preserve"> </w:t>
      </w:r>
      <w:r w:rsidR="00D9258C" w:rsidRPr="00FD6A6A">
        <w:t>when</w:t>
      </w:r>
      <w:r w:rsidR="00541D05">
        <w:t xml:space="preserve"> </w:t>
      </w:r>
      <w:r w:rsidR="00D9258C" w:rsidRPr="00FD6A6A">
        <w:t>inquired</w:t>
      </w:r>
      <w:r w:rsidR="00541D05">
        <w:t xml:space="preserve"> </w:t>
      </w:r>
      <w:r w:rsidR="00D9258C" w:rsidRPr="00FD6A6A">
        <w:t>regarding</w:t>
      </w:r>
      <w:r w:rsidR="00541D05">
        <w:t xml:space="preserve"> </w:t>
      </w:r>
      <w:r w:rsidR="00D9258C" w:rsidRPr="00FD6A6A">
        <w:t>the</w:t>
      </w:r>
      <w:r w:rsidR="00541D05">
        <w:t xml:space="preserve"> </w:t>
      </w:r>
      <w:r w:rsidR="00D9258C" w:rsidRPr="00FD6A6A">
        <w:t>ethics</w:t>
      </w:r>
      <w:r w:rsidR="00541D05">
        <w:t xml:space="preserve"> </w:t>
      </w:r>
      <w:r w:rsidR="00D9258C" w:rsidRPr="00FD6A6A">
        <w:t>of</w:t>
      </w:r>
      <w:r w:rsidR="00541D05">
        <w:t xml:space="preserve"> </w:t>
      </w:r>
      <w:r w:rsidR="00D9258C" w:rsidRPr="00FD6A6A">
        <w:t>ads,</w:t>
      </w:r>
      <w:r w:rsidR="00541D05">
        <w:t xml:space="preserve"> </w:t>
      </w:r>
      <w:r w:rsidR="00D9258C" w:rsidRPr="00FD6A6A">
        <w:t>pieces</w:t>
      </w:r>
      <w:r w:rsidR="00541D05">
        <w:t xml:space="preserve"> </w:t>
      </w:r>
      <w:r w:rsidR="00D9258C" w:rsidRPr="00FD6A6A">
        <w:t>of</w:t>
      </w:r>
      <w:r w:rsidR="00541D05">
        <w:t xml:space="preserve"> </w:t>
      </w:r>
      <w:r w:rsidR="00D9258C" w:rsidRPr="00FD6A6A">
        <w:t>advertisement</w:t>
      </w:r>
      <w:r w:rsidR="00541D05">
        <w:t xml:space="preserve"> </w:t>
      </w:r>
      <w:r w:rsidR="00D9258C" w:rsidRPr="00FD6A6A">
        <w:t>or</w:t>
      </w:r>
      <w:r w:rsidR="00541D05">
        <w:t xml:space="preserve"> </w:t>
      </w:r>
      <w:r w:rsidR="00D9258C" w:rsidRPr="00FD6A6A">
        <w:t>entire</w:t>
      </w:r>
      <w:r w:rsidR="00541D05">
        <w:t xml:space="preserve"> </w:t>
      </w:r>
      <w:r w:rsidR="00D9258C" w:rsidRPr="00FD6A6A">
        <w:t>advertising</w:t>
      </w:r>
      <w:r w:rsidR="00541D05">
        <w:t xml:space="preserve"> </w:t>
      </w:r>
      <w:r w:rsidR="00D9258C" w:rsidRPr="00FD6A6A">
        <w:t>campaigns,</w:t>
      </w:r>
      <w:r w:rsidR="00541D05">
        <w:t xml:space="preserve"> </w:t>
      </w:r>
      <w:r w:rsidR="00D9258C" w:rsidRPr="00FD6A6A">
        <w:t>has</w:t>
      </w:r>
      <w:r w:rsidR="00541D05">
        <w:t xml:space="preserve"> </w:t>
      </w:r>
      <w:r w:rsidR="00D9258C" w:rsidRPr="00FD6A6A">
        <w:t>to</w:t>
      </w:r>
      <w:r w:rsidR="00541D05">
        <w:t xml:space="preserve"> </w:t>
      </w:r>
      <w:r w:rsidR="00D9258C" w:rsidRPr="00FD6A6A">
        <w:t>issue</w:t>
      </w:r>
      <w:r w:rsidR="00541D05">
        <w:t xml:space="preserve"> </w:t>
      </w:r>
      <w:r w:rsidR="00D9258C" w:rsidRPr="00FD6A6A">
        <w:t>an</w:t>
      </w:r>
      <w:r w:rsidR="00541D05">
        <w:t xml:space="preserve"> </w:t>
      </w:r>
      <w:r w:rsidR="00D9258C" w:rsidRPr="00FD6A6A">
        <w:t>opinion</w:t>
      </w:r>
      <w:r w:rsidR="00541D05">
        <w:t xml:space="preserve"> </w:t>
      </w:r>
      <w:r w:rsidR="00D9258C" w:rsidRPr="00FD6A6A">
        <w:t>given</w:t>
      </w:r>
      <w:r w:rsidR="00541D05">
        <w:t xml:space="preserve"> </w:t>
      </w:r>
      <w:r w:rsidR="00D9258C" w:rsidRPr="00FD6A6A">
        <w:t>any</w:t>
      </w:r>
      <w:r w:rsidR="00541D05">
        <w:t xml:space="preserve"> </w:t>
      </w:r>
      <w:r w:rsidR="00D9258C" w:rsidRPr="00FD6A6A">
        <w:t>excess,</w:t>
      </w:r>
      <w:r w:rsidR="00541D05">
        <w:t xml:space="preserve"> </w:t>
      </w:r>
      <w:r w:rsidR="00D9258C" w:rsidRPr="00FD6A6A">
        <w:t>deviation,</w:t>
      </w:r>
      <w:r w:rsidR="00541D05">
        <w:t xml:space="preserve"> </w:t>
      </w:r>
      <w:r w:rsidR="00D9258C" w:rsidRPr="00FD6A6A">
        <w:t>and</w:t>
      </w:r>
      <w:r w:rsidR="00541D05">
        <w:t xml:space="preserve"> </w:t>
      </w:r>
      <w:r w:rsidR="00D9258C" w:rsidRPr="00FD6A6A">
        <w:t>even</w:t>
      </w:r>
      <w:r w:rsidR="00541D05">
        <w:t xml:space="preserve"> </w:t>
      </w:r>
      <w:r w:rsidR="00D9258C" w:rsidRPr="00FD6A6A">
        <w:t>illegalities</w:t>
      </w:r>
      <w:r w:rsidR="00541D05">
        <w:t xml:space="preserve"> </w:t>
      </w:r>
      <w:r w:rsidR="00D9258C" w:rsidRPr="00FD6A6A">
        <w:t>in</w:t>
      </w:r>
      <w:r w:rsidR="00541D05">
        <w:t xml:space="preserve"> </w:t>
      </w:r>
      <w:r w:rsidR="00D9258C" w:rsidRPr="00FD6A6A">
        <w:t>them,</w:t>
      </w:r>
      <w:r w:rsidR="00541D05">
        <w:t xml:space="preserve"> </w:t>
      </w:r>
      <w:r w:rsidR="00D9258C" w:rsidRPr="00FD6A6A">
        <w:t>grounding</w:t>
      </w:r>
      <w:r w:rsidR="00541D05">
        <w:t xml:space="preserve"> </w:t>
      </w:r>
      <w:r w:rsidR="00D9258C" w:rsidRPr="00FD6A6A">
        <w:t>its</w:t>
      </w:r>
      <w:r w:rsidR="00541D05">
        <w:t xml:space="preserve"> </w:t>
      </w:r>
      <w:r w:rsidR="00D9258C" w:rsidRPr="00FD6A6A">
        <w:t>decisions</w:t>
      </w:r>
      <w:r w:rsidR="00541D05">
        <w:t xml:space="preserve"> </w:t>
      </w:r>
      <w:r w:rsidR="00D9258C" w:rsidRPr="00FD6A6A">
        <w:t>on</w:t>
      </w:r>
      <w:r w:rsidR="00541D05">
        <w:t xml:space="preserve"> </w:t>
      </w:r>
      <w:r w:rsidR="00D9258C" w:rsidRPr="00FD6A6A">
        <w:t>the</w:t>
      </w:r>
      <w:r w:rsidR="00541D05">
        <w:t xml:space="preserve"> </w:t>
      </w:r>
      <w:r w:rsidR="00D9258C" w:rsidRPr="00FD6A6A">
        <w:t>provisions</w:t>
      </w:r>
      <w:r w:rsidR="00541D05">
        <w:t xml:space="preserve"> </w:t>
      </w:r>
      <w:r w:rsidR="00D9258C" w:rsidRPr="00FD6A6A">
        <w:t>of</w:t>
      </w:r>
      <w:r w:rsidR="00541D05">
        <w:t xml:space="preserve"> </w:t>
      </w:r>
      <w:r w:rsidR="00D9258C" w:rsidRPr="00FD6A6A">
        <w:t>the</w:t>
      </w:r>
      <w:r w:rsidR="00541D05">
        <w:t xml:space="preserve"> </w:t>
      </w:r>
      <w:r w:rsidR="00D9258C" w:rsidRPr="00FD6A6A">
        <w:t>Brazilian</w:t>
      </w:r>
      <w:r w:rsidR="00541D05">
        <w:t xml:space="preserve"> </w:t>
      </w:r>
      <w:r w:rsidR="00D9258C" w:rsidRPr="00FD6A6A">
        <w:t>Advertising</w:t>
      </w:r>
      <w:r w:rsidR="00541D05">
        <w:t xml:space="preserve"> </w:t>
      </w:r>
      <w:r w:rsidR="00D9258C" w:rsidRPr="00FD6A6A">
        <w:t>Self-Regulation</w:t>
      </w:r>
      <w:r w:rsidR="00541D05">
        <w:t xml:space="preserve"> </w:t>
      </w:r>
      <w:r w:rsidR="00D9258C" w:rsidRPr="00FD6A6A">
        <w:t>Code.</w:t>
      </w:r>
    </w:p>
    <w:p w14:paraId="756AFDAB" w14:textId="6A141353" w:rsidR="00D9258C" w:rsidRPr="00FD6A6A" w:rsidRDefault="00166390" w:rsidP="00166390">
      <w:pPr>
        <w:pStyle w:val="ParaNoG"/>
        <w:numPr>
          <w:ilvl w:val="0"/>
          <w:numId w:val="0"/>
        </w:numPr>
        <w:tabs>
          <w:tab w:val="left" w:pos="0"/>
        </w:tabs>
        <w:ind w:left="1134"/>
      </w:pPr>
      <w:r w:rsidRPr="00FD6A6A">
        <w:t>227.</w:t>
      </w:r>
      <w:r w:rsidRPr="00FD6A6A">
        <w:tab/>
      </w:r>
      <w:r w:rsidR="00D9258C" w:rsidRPr="00FD6A6A">
        <w:t>In</w:t>
      </w:r>
      <w:r w:rsidR="00541D05">
        <w:t xml:space="preserve"> </w:t>
      </w:r>
      <w:r w:rsidR="00D9258C" w:rsidRPr="00FD6A6A">
        <w:t>its</w:t>
      </w:r>
      <w:r w:rsidR="00541D05">
        <w:t xml:space="preserve"> </w:t>
      </w:r>
      <w:r w:rsidR="00D9258C" w:rsidRPr="00FD6A6A">
        <w:t>article</w:t>
      </w:r>
      <w:r w:rsidR="00541D05">
        <w:t xml:space="preserve"> </w:t>
      </w:r>
      <w:r w:rsidR="00D9258C" w:rsidRPr="00FD6A6A">
        <w:t>20,</w:t>
      </w:r>
      <w:r w:rsidR="00541D05">
        <w:t xml:space="preserve"> </w:t>
      </w:r>
      <w:r w:rsidR="00D9258C" w:rsidRPr="00FD6A6A">
        <w:t>the</w:t>
      </w:r>
      <w:r w:rsidR="00541D05">
        <w:t xml:space="preserve"> </w:t>
      </w:r>
      <w:r w:rsidR="00D9258C" w:rsidRPr="00FD6A6A">
        <w:t>Brazilian</w:t>
      </w:r>
      <w:r w:rsidR="00541D05">
        <w:t xml:space="preserve"> </w:t>
      </w:r>
      <w:r w:rsidR="00D9258C" w:rsidRPr="00FD6A6A">
        <w:t>Advertising</w:t>
      </w:r>
      <w:r w:rsidR="00541D05">
        <w:t xml:space="preserve"> </w:t>
      </w:r>
      <w:r w:rsidR="00D9258C" w:rsidRPr="00FD6A6A">
        <w:t>Self-Regulation</w:t>
      </w:r>
      <w:r w:rsidR="00541D05">
        <w:t xml:space="preserve"> </w:t>
      </w:r>
      <w:r w:rsidR="00D9258C" w:rsidRPr="00FD6A6A">
        <w:t>Code</w:t>
      </w:r>
      <w:r w:rsidR="00541D05">
        <w:t xml:space="preserve"> </w:t>
      </w:r>
      <w:r w:rsidR="00D9258C" w:rsidRPr="00FD6A6A">
        <w:t>determines</w:t>
      </w:r>
      <w:r w:rsidR="00541D05">
        <w:t xml:space="preserve"> </w:t>
      </w:r>
      <w:r w:rsidR="00D9258C" w:rsidRPr="00FD6A6A">
        <w:t>that</w:t>
      </w:r>
      <w:r w:rsidR="00541D05">
        <w:t xml:space="preserve"> </w:t>
      </w:r>
      <w:r w:rsidR="00D9258C" w:rsidRPr="00FD6A6A">
        <w:t>no</w:t>
      </w:r>
      <w:r w:rsidR="00541D05">
        <w:t xml:space="preserve"> </w:t>
      </w:r>
      <w:r w:rsidR="00D9258C" w:rsidRPr="00FD6A6A">
        <w:t>ad</w:t>
      </w:r>
      <w:r w:rsidR="00541D05">
        <w:t xml:space="preserve"> </w:t>
      </w:r>
      <w:r w:rsidR="00D9258C" w:rsidRPr="00FD6A6A">
        <w:t>should</w:t>
      </w:r>
      <w:r w:rsidR="00541D05">
        <w:t xml:space="preserve"> </w:t>
      </w:r>
      <w:r w:rsidR="00D9258C" w:rsidRPr="00FD6A6A">
        <w:t>favor</w:t>
      </w:r>
      <w:r w:rsidR="00541D05">
        <w:t xml:space="preserve"> </w:t>
      </w:r>
      <w:r w:rsidR="00D9258C" w:rsidRPr="00FD6A6A">
        <w:t>or</w:t>
      </w:r>
      <w:r w:rsidR="00541D05">
        <w:t xml:space="preserve"> </w:t>
      </w:r>
      <w:r w:rsidR="00D9258C" w:rsidRPr="00FD6A6A">
        <w:t>encourage</w:t>
      </w:r>
      <w:r w:rsidR="00541D05">
        <w:t xml:space="preserve"> </w:t>
      </w:r>
      <w:r w:rsidR="00D9258C" w:rsidRPr="00FD6A6A">
        <w:t>any</w:t>
      </w:r>
      <w:r w:rsidR="00541D05">
        <w:t xml:space="preserve"> </w:t>
      </w:r>
      <w:r w:rsidR="00D9258C" w:rsidRPr="00FD6A6A">
        <w:t>type</w:t>
      </w:r>
      <w:r w:rsidR="00541D05">
        <w:t xml:space="preserve"> </w:t>
      </w:r>
      <w:r w:rsidR="00D9258C" w:rsidRPr="00FD6A6A">
        <w:t>of</w:t>
      </w:r>
      <w:r w:rsidR="00541D05">
        <w:t xml:space="preserve"> </w:t>
      </w:r>
      <w:r w:rsidR="00D9258C" w:rsidRPr="00FD6A6A">
        <w:t>insult</w:t>
      </w:r>
      <w:r w:rsidR="00541D05">
        <w:t xml:space="preserve"> </w:t>
      </w:r>
      <w:r w:rsidR="00D9258C" w:rsidRPr="00FD6A6A">
        <w:t>or</w:t>
      </w:r>
      <w:r w:rsidR="00541D05">
        <w:t xml:space="preserve"> </w:t>
      </w:r>
      <w:r w:rsidR="00D9258C" w:rsidRPr="00FD6A6A">
        <w:t>discrimination</w:t>
      </w:r>
      <w:r w:rsidR="00541D05">
        <w:t xml:space="preserve"> </w:t>
      </w:r>
      <w:r w:rsidR="00D9258C" w:rsidRPr="00FD6A6A">
        <w:t>on</w:t>
      </w:r>
      <w:r w:rsidR="00541D05">
        <w:t xml:space="preserve"> </w:t>
      </w:r>
      <w:r w:rsidR="00D9258C" w:rsidRPr="00FD6A6A">
        <w:t>the</w:t>
      </w:r>
      <w:r w:rsidR="00541D05">
        <w:t xml:space="preserve"> </w:t>
      </w:r>
      <w:r w:rsidR="00D9258C" w:rsidRPr="00FD6A6A">
        <w:t>basis</w:t>
      </w:r>
      <w:r w:rsidR="00541D05">
        <w:t xml:space="preserve"> </w:t>
      </w:r>
      <w:r w:rsidR="00D9258C" w:rsidRPr="00FD6A6A">
        <w:t>of</w:t>
      </w:r>
      <w:r w:rsidR="00541D05">
        <w:t xml:space="preserve"> </w:t>
      </w:r>
      <w:r w:rsidR="00D9258C" w:rsidRPr="00FD6A6A">
        <w:t>race,</w:t>
      </w:r>
      <w:r w:rsidR="00541D05">
        <w:t xml:space="preserve"> </w:t>
      </w:r>
      <w:r w:rsidR="00D9258C" w:rsidRPr="00FD6A6A">
        <w:t>social</w:t>
      </w:r>
      <w:r w:rsidR="00541D05">
        <w:t xml:space="preserve"> </w:t>
      </w:r>
      <w:r w:rsidR="00D9258C" w:rsidRPr="00FD6A6A">
        <w:t>status,</w:t>
      </w:r>
      <w:r w:rsidR="00541D05">
        <w:t xml:space="preserve"> </w:t>
      </w:r>
      <w:r w:rsidR="00D9258C" w:rsidRPr="00FD6A6A">
        <w:t>political</w:t>
      </w:r>
      <w:r w:rsidR="00541D05">
        <w:t xml:space="preserve"> </w:t>
      </w:r>
      <w:r w:rsidR="00D9258C" w:rsidRPr="00FD6A6A">
        <w:t>opinions,</w:t>
      </w:r>
      <w:r w:rsidR="00541D05">
        <w:t xml:space="preserve"> </w:t>
      </w:r>
      <w:r w:rsidR="00D9258C" w:rsidRPr="00FD6A6A">
        <w:t>religion,</w:t>
      </w:r>
      <w:r w:rsidR="00541D05">
        <w:t xml:space="preserve"> </w:t>
      </w:r>
      <w:r w:rsidR="00D9258C" w:rsidRPr="00FD6A6A">
        <w:t>or</w:t>
      </w:r>
      <w:r w:rsidR="00541D05">
        <w:t xml:space="preserve"> </w:t>
      </w:r>
      <w:r w:rsidR="00D9258C" w:rsidRPr="00FD6A6A">
        <w:t>nationality.</w:t>
      </w:r>
      <w:r w:rsidR="00541D05">
        <w:t xml:space="preserve"> </w:t>
      </w:r>
      <w:r w:rsidR="00D9258C" w:rsidRPr="00FD6A6A">
        <w:t>Its</w:t>
      </w:r>
      <w:r w:rsidR="00541D05">
        <w:t xml:space="preserve"> </w:t>
      </w:r>
      <w:r w:rsidR="00D9258C" w:rsidRPr="00FD6A6A">
        <w:t>article</w:t>
      </w:r>
      <w:r w:rsidR="00541D05">
        <w:t xml:space="preserve"> </w:t>
      </w:r>
      <w:r w:rsidR="00D9258C" w:rsidRPr="00FD6A6A">
        <w:t>50</w:t>
      </w:r>
      <w:r w:rsidR="00541D05">
        <w:t xml:space="preserve"> </w:t>
      </w:r>
      <w:r w:rsidR="00D9258C" w:rsidRPr="00FD6A6A">
        <w:t>imposes</w:t>
      </w:r>
      <w:r w:rsidR="00541D05">
        <w:t xml:space="preserve"> </w:t>
      </w:r>
      <w:r w:rsidR="00D9258C" w:rsidRPr="00FD6A6A">
        <w:t>the</w:t>
      </w:r>
      <w:r w:rsidR="00541D05">
        <w:t xml:space="preserve"> </w:t>
      </w:r>
      <w:r w:rsidR="00D9258C" w:rsidRPr="00FD6A6A">
        <w:t>following</w:t>
      </w:r>
      <w:r w:rsidR="00541D05">
        <w:t xml:space="preserve"> </w:t>
      </w:r>
      <w:r w:rsidR="00D9258C" w:rsidRPr="00FD6A6A">
        <w:t>penalties</w:t>
      </w:r>
      <w:r w:rsidR="00541D05">
        <w:t xml:space="preserve"> </w:t>
      </w:r>
      <w:r w:rsidR="00D9258C" w:rsidRPr="00FD6A6A">
        <w:t>for</w:t>
      </w:r>
      <w:r w:rsidR="00541D05">
        <w:t xml:space="preserve"> </w:t>
      </w:r>
      <w:r w:rsidR="00D9258C" w:rsidRPr="00FD6A6A">
        <w:t>violations</w:t>
      </w:r>
      <w:r w:rsidR="00541D05">
        <w:t xml:space="preserve"> </w:t>
      </w:r>
      <w:r w:rsidR="00D9258C" w:rsidRPr="00FD6A6A">
        <w:t>of</w:t>
      </w:r>
      <w:r w:rsidR="00541D05">
        <w:t xml:space="preserve"> </w:t>
      </w:r>
      <w:r w:rsidR="00D9258C" w:rsidRPr="00FD6A6A">
        <w:t>the</w:t>
      </w:r>
      <w:r w:rsidR="00541D05">
        <w:t xml:space="preserve"> </w:t>
      </w:r>
      <w:r w:rsidR="00D9258C" w:rsidRPr="00FD6A6A">
        <w:t>Code:</w:t>
      </w:r>
      <w:r w:rsidR="00541D05">
        <w:t xml:space="preserve"> </w:t>
      </w:r>
      <w:r w:rsidR="00D9258C" w:rsidRPr="00FD6A6A">
        <w:t>1)</w:t>
      </w:r>
      <w:r w:rsidR="00541D05">
        <w:t xml:space="preserve"> </w:t>
      </w:r>
      <w:r w:rsidR="00D9258C" w:rsidRPr="00FD6A6A">
        <w:t>warning;</w:t>
      </w:r>
      <w:r w:rsidR="00541D05">
        <w:t xml:space="preserve"> </w:t>
      </w:r>
      <w:r w:rsidR="00D9258C" w:rsidRPr="00FD6A6A">
        <w:t>2)</w:t>
      </w:r>
      <w:r w:rsidR="00541D05">
        <w:t xml:space="preserve"> </w:t>
      </w:r>
      <w:r w:rsidR="00D9258C" w:rsidRPr="00FD6A6A">
        <w:t>recommendation</w:t>
      </w:r>
      <w:r w:rsidR="00541D05">
        <w:t xml:space="preserve"> </w:t>
      </w:r>
      <w:r w:rsidR="00D9258C" w:rsidRPr="00FD6A6A">
        <w:t>to</w:t>
      </w:r>
      <w:r w:rsidR="00541D05">
        <w:t xml:space="preserve"> </w:t>
      </w:r>
      <w:r w:rsidR="00D9258C" w:rsidRPr="00FD6A6A">
        <w:t>change</w:t>
      </w:r>
      <w:r w:rsidR="00541D05">
        <w:t xml:space="preserve"> </w:t>
      </w:r>
      <w:r w:rsidR="00D9258C" w:rsidRPr="00FD6A6A">
        <w:t>or</w:t>
      </w:r>
      <w:r w:rsidR="00541D05">
        <w:t xml:space="preserve"> </w:t>
      </w:r>
      <w:r w:rsidR="00D9258C" w:rsidRPr="00FD6A6A">
        <w:t>correct</w:t>
      </w:r>
      <w:r w:rsidR="00541D05">
        <w:t xml:space="preserve"> </w:t>
      </w:r>
      <w:r w:rsidR="00D9258C" w:rsidRPr="00FD6A6A">
        <w:t>the</w:t>
      </w:r>
      <w:r w:rsidR="00541D05">
        <w:t xml:space="preserve"> </w:t>
      </w:r>
      <w:r w:rsidR="00D9258C" w:rsidRPr="00FD6A6A">
        <w:t>ad;</w:t>
      </w:r>
      <w:r w:rsidR="00541D05">
        <w:t xml:space="preserve"> </w:t>
      </w:r>
      <w:r w:rsidR="00D9258C" w:rsidRPr="00FD6A6A">
        <w:t>3)</w:t>
      </w:r>
      <w:r w:rsidR="00541D05">
        <w:t xml:space="preserve"> </w:t>
      </w:r>
      <w:r w:rsidR="00D9258C" w:rsidRPr="00FD6A6A">
        <w:t>recommendation</w:t>
      </w:r>
      <w:r w:rsidR="00541D05">
        <w:t xml:space="preserve"> </w:t>
      </w:r>
      <w:r w:rsidR="00D9258C" w:rsidRPr="00FD6A6A">
        <w:t>to</w:t>
      </w:r>
      <w:r w:rsidR="00541D05">
        <w:t xml:space="preserve"> </w:t>
      </w:r>
      <w:r w:rsidR="00D9258C" w:rsidRPr="00FD6A6A">
        <w:t>communication</w:t>
      </w:r>
      <w:r w:rsidR="00541D05">
        <w:t xml:space="preserve"> </w:t>
      </w:r>
      <w:r w:rsidR="00D9258C" w:rsidRPr="00FD6A6A">
        <w:t>vehicles</w:t>
      </w:r>
      <w:r w:rsidR="00541D05">
        <w:t xml:space="preserve"> </w:t>
      </w:r>
      <w:r w:rsidR="00D9258C" w:rsidRPr="00FD6A6A">
        <w:t>to</w:t>
      </w:r>
      <w:r w:rsidR="00541D05">
        <w:t xml:space="preserve"> </w:t>
      </w:r>
      <w:r w:rsidR="00D9258C" w:rsidRPr="00FD6A6A">
        <w:t>suspend</w:t>
      </w:r>
      <w:r w:rsidR="00541D05">
        <w:t xml:space="preserve"> </w:t>
      </w:r>
      <w:r w:rsidR="00D9258C" w:rsidRPr="00FD6A6A">
        <w:t>the</w:t>
      </w:r>
      <w:r w:rsidR="00541D05">
        <w:t xml:space="preserve"> </w:t>
      </w:r>
      <w:r w:rsidR="00D9258C" w:rsidRPr="00FD6A6A">
        <w:t>dissemination</w:t>
      </w:r>
      <w:r w:rsidR="00541D05">
        <w:t xml:space="preserve"> </w:t>
      </w:r>
      <w:r w:rsidR="00D9258C" w:rsidRPr="00FD6A6A">
        <w:t>of</w:t>
      </w:r>
      <w:r w:rsidR="00541D05">
        <w:t xml:space="preserve"> </w:t>
      </w:r>
      <w:r w:rsidR="00D9258C" w:rsidRPr="00FD6A6A">
        <w:t>the</w:t>
      </w:r>
      <w:r w:rsidR="00541D05">
        <w:t xml:space="preserve"> </w:t>
      </w:r>
      <w:r w:rsidR="00D9258C" w:rsidRPr="00FD6A6A">
        <w:t>ad;</w:t>
      </w:r>
      <w:r w:rsidR="00541D05">
        <w:t xml:space="preserve"> </w:t>
      </w:r>
      <w:r w:rsidR="00D9258C" w:rsidRPr="00FD6A6A">
        <w:t>and</w:t>
      </w:r>
      <w:r w:rsidR="00541D05">
        <w:t xml:space="preserve"> </w:t>
      </w:r>
      <w:r w:rsidR="00D9258C" w:rsidRPr="00FD6A6A">
        <w:t>4)</w:t>
      </w:r>
      <w:r w:rsidR="00541D05">
        <w:t xml:space="preserve"> </w:t>
      </w:r>
      <w:r w:rsidR="00D9258C" w:rsidRPr="00FD6A6A">
        <w:t>the</w:t>
      </w:r>
      <w:r w:rsidR="00541D05">
        <w:t xml:space="preserve"> </w:t>
      </w:r>
      <w:r w:rsidR="00D9258C" w:rsidRPr="00FD6A6A">
        <w:t>issuing</w:t>
      </w:r>
      <w:r w:rsidR="00541D05">
        <w:t xml:space="preserve"> </w:t>
      </w:r>
      <w:r w:rsidR="00D9258C" w:rsidRPr="00FD6A6A">
        <w:t>of</w:t>
      </w:r>
      <w:r w:rsidR="00541D05">
        <w:t xml:space="preserve"> </w:t>
      </w:r>
      <w:r w:rsidR="00D9258C" w:rsidRPr="00FD6A6A">
        <w:t>a</w:t>
      </w:r>
      <w:r w:rsidR="00541D05">
        <w:t xml:space="preserve"> </w:t>
      </w:r>
      <w:r w:rsidR="00D9258C" w:rsidRPr="00FD6A6A">
        <w:t>statement</w:t>
      </w:r>
      <w:r w:rsidR="00541D05">
        <w:t xml:space="preserve"> </w:t>
      </w:r>
      <w:r w:rsidR="00D9258C" w:rsidRPr="00FD6A6A">
        <w:t>by</w:t>
      </w:r>
      <w:r w:rsidR="00541D05">
        <w:t xml:space="preserve"> </w:t>
      </w:r>
      <w:r w:rsidR="00D9258C" w:rsidRPr="00FD6A6A">
        <w:t>CONAR</w:t>
      </w:r>
      <w:r w:rsidR="00541D05">
        <w:t xml:space="preserve"> </w:t>
      </w:r>
      <w:r w:rsidR="00D9258C" w:rsidRPr="00FD6A6A">
        <w:t>regarding</w:t>
      </w:r>
      <w:r w:rsidR="00541D05">
        <w:t xml:space="preserve"> </w:t>
      </w:r>
      <w:r w:rsidR="00D9258C" w:rsidRPr="00FD6A6A">
        <w:t>the</w:t>
      </w:r>
      <w:r w:rsidR="00541D05">
        <w:t xml:space="preserve"> </w:t>
      </w:r>
      <w:r w:rsidR="00D9258C" w:rsidRPr="00FD6A6A">
        <w:t>author,</w:t>
      </w:r>
      <w:r w:rsidR="00541D05">
        <w:t xml:space="preserve"> </w:t>
      </w:r>
      <w:r w:rsidR="00D9258C" w:rsidRPr="00FD6A6A">
        <w:t>the</w:t>
      </w:r>
      <w:r w:rsidR="00541D05">
        <w:t xml:space="preserve"> </w:t>
      </w:r>
      <w:r w:rsidR="00D9258C" w:rsidRPr="00FD6A6A">
        <w:t>agency,</w:t>
      </w:r>
      <w:r w:rsidR="00541D05">
        <w:t xml:space="preserve"> </w:t>
      </w:r>
      <w:r w:rsidR="00D9258C" w:rsidRPr="00FD6A6A">
        <w:t>and</w:t>
      </w:r>
      <w:r w:rsidR="00541D05">
        <w:t xml:space="preserve"> </w:t>
      </w:r>
      <w:r w:rsidR="00D9258C" w:rsidRPr="00FD6A6A">
        <w:t>the</w:t>
      </w:r>
      <w:r w:rsidR="00541D05">
        <w:t xml:space="preserve"> </w:t>
      </w:r>
      <w:r w:rsidR="00D9258C" w:rsidRPr="00FD6A6A">
        <w:t>communication</w:t>
      </w:r>
      <w:r w:rsidR="00541D05">
        <w:t xml:space="preserve"> </w:t>
      </w:r>
      <w:r w:rsidR="00D9258C" w:rsidRPr="00FD6A6A">
        <w:t>vehicle,</w:t>
      </w:r>
      <w:r w:rsidR="00541D05">
        <w:t xml:space="preserve"> </w:t>
      </w:r>
      <w:r w:rsidR="00D9258C" w:rsidRPr="00FD6A6A">
        <w:t>in</w:t>
      </w:r>
      <w:r w:rsidR="00541D05">
        <w:t xml:space="preserve"> </w:t>
      </w:r>
      <w:r w:rsidR="00D9258C" w:rsidRPr="00FD6A6A">
        <w:t>light</w:t>
      </w:r>
      <w:r w:rsidR="00541D05">
        <w:t xml:space="preserve"> </w:t>
      </w:r>
      <w:r w:rsidR="00D9258C" w:rsidRPr="00FD6A6A">
        <w:t>of</w:t>
      </w:r>
      <w:r w:rsidR="00541D05">
        <w:t xml:space="preserve"> </w:t>
      </w:r>
      <w:r w:rsidR="00D9258C" w:rsidRPr="00FD6A6A">
        <w:t>failure</w:t>
      </w:r>
      <w:r w:rsidR="00541D05">
        <w:t xml:space="preserve"> </w:t>
      </w:r>
      <w:r w:rsidR="00D9258C" w:rsidRPr="00FD6A6A">
        <w:t>to</w:t>
      </w:r>
      <w:r w:rsidR="00541D05">
        <w:t xml:space="preserve"> </w:t>
      </w:r>
      <w:r w:rsidR="00D9258C" w:rsidRPr="00FD6A6A">
        <w:t>comply</w:t>
      </w:r>
      <w:r w:rsidR="00541D05">
        <w:t xml:space="preserve"> </w:t>
      </w:r>
      <w:r w:rsidR="00D9258C" w:rsidRPr="00FD6A6A">
        <w:t>with</w:t>
      </w:r>
      <w:r w:rsidR="00541D05">
        <w:t xml:space="preserve"> </w:t>
      </w:r>
      <w:r w:rsidR="00D9258C" w:rsidRPr="00FD6A6A">
        <w:t>measures</w:t>
      </w:r>
      <w:r w:rsidR="00541D05">
        <w:t xml:space="preserve"> </w:t>
      </w:r>
      <w:r w:rsidR="00D9258C" w:rsidRPr="00FD6A6A">
        <w:t>and</w:t>
      </w:r>
      <w:r w:rsidR="00541D05">
        <w:t xml:space="preserve"> </w:t>
      </w:r>
      <w:r w:rsidR="00D9258C" w:rsidRPr="00FD6A6A">
        <w:t>provisions</w:t>
      </w:r>
      <w:r w:rsidR="00541D05">
        <w:t xml:space="preserve"> </w:t>
      </w:r>
      <w:r w:rsidR="00D9258C" w:rsidRPr="00FD6A6A">
        <w:t>previously</w:t>
      </w:r>
      <w:r w:rsidR="00541D05">
        <w:t xml:space="preserve"> </w:t>
      </w:r>
      <w:r w:rsidR="00D9258C" w:rsidRPr="00FD6A6A">
        <w:t>recommended.</w:t>
      </w:r>
    </w:p>
    <w:p w14:paraId="24928C8C" w14:textId="545C0AB8" w:rsidR="00D9258C" w:rsidRPr="00FD6A6A" w:rsidRDefault="00166390" w:rsidP="00166390">
      <w:pPr>
        <w:pStyle w:val="ParaNoG"/>
        <w:numPr>
          <w:ilvl w:val="0"/>
          <w:numId w:val="0"/>
        </w:numPr>
        <w:tabs>
          <w:tab w:val="left" w:pos="0"/>
        </w:tabs>
        <w:ind w:left="1134"/>
      </w:pPr>
      <w:r w:rsidRPr="00FD6A6A">
        <w:t>228.</w:t>
      </w:r>
      <w:r w:rsidRPr="00FD6A6A">
        <w:tab/>
      </w:r>
      <w:r w:rsidR="00D9258C" w:rsidRPr="00FD6A6A">
        <w:t>Data</w:t>
      </w:r>
      <w:r w:rsidR="00541D05">
        <w:t xml:space="preserve"> </w:t>
      </w:r>
      <w:r w:rsidR="00D9258C" w:rsidRPr="00FD6A6A">
        <w:t>available</w:t>
      </w:r>
      <w:r w:rsidR="00541D05">
        <w:t xml:space="preserve"> </w:t>
      </w:r>
      <w:r w:rsidR="00D9258C" w:rsidRPr="00FD6A6A">
        <w:t>on</w:t>
      </w:r>
      <w:r w:rsidR="00541D05">
        <w:t xml:space="preserve"> </w:t>
      </w:r>
      <w:r w:rsidR="00D9258C" w:rsidRPr="00FD6A6A">
        <w:t>the</w:t>
      </w:r>
      <w:r w:rsidR="00541D05">
        <w:t xml:space="preserve"> </w:t>
      </w:r>
      <w:r w:rsidR="00D9258C" w:rsidRPr="00FD6A6A">
        <w:t>cases</w:t>
      </w:r>
      <w:r w:rsidR="00541D05">
        <w:t xml:space="preserve"> </w:t>
      </w:r>
      <w:r w:rsidR="00D9258C" w:rsidRPr="00FD6A6A">
        <w:t>of</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w:t>
      </w:r>
      <w:r w:rsidR="00541D05">
        <w:t xml:space="preserve"> </w:t>
      </w:r>
      <w:r w:rsidR="00D9258C" w:rsidRPr="00FD6A6A">
        <w:t>media</w:t>
      </w:r>
      <w:r w:rsidR="00541D05">
        <w:t xml:space="preserve"> </w:t>
      </w:r>
      <w:r w:rsidR="00D9258C" w:rsidRPr="00FD6A6A">
        <w:t>are</w:t>
      </w:r>
      <w:r w:rsidR="00541D05">
        <w:t xml:space="preserve"> </w:t>
      </w:r>
      <w:r w:rsidR="00D9258C" w:rsidRPr="00FD6A6A">
        <w:t>poor.</w:t>
      </w:r>
      <w:r w:rsidR="00541D05">
        <w:t xml:space="preserve"> </w:t>
      </w:r>
      <w:r w:rsidR="00D9258C" w:rsidRPr="00FD6A6A">
        <w:t>For</w:t>
      </w:r>
      <w:r w:rsidR="00541D05">
        <w:t xml:space="preserve"> </w:t>
      </w:r>
      <w:r w:rsidR="00D9258C" w:rsidRPr="00FD6A6A">
        <w:t>the</w:t>
      </w:r>
      <w:r w:rsidR="00541D05">
        <w:t xml:space="preserve"> </w:t>
      </w:r>
      <w:r w:rsidR="00D9258C" w:rsidRPr="00FD6A6A">
        <w:t>most</w:t>
      </w:r>
      <w:r w:rsidR="00541D05">
        <w:t xml:space="preserve"> </w:t>
      </w:r>
      <w:r w:rsidR="00D9258C" w:rsidRPr="00FD6A6A">
        <w:t>part,</w:t>
      </w:r>
      <w:r w:rsidR="00541D05">
        <w:t xml:space="preserve"> </w:t>
      </w:r>
      <w:r w:rsidR="00D9258C" w:rsidRPr="00FD6A6A">
        <w:t>they</w:t>
      </w:r>
      <w:r w:rsidR="00541D05">
        <w:t xml:space="preserve"> </w:t>
      </w:r>
      <w:r w:rsidR="00D9258C" w:rsidRPr="00FD6A6A">
        <w:t>are</w:t>
      </w:r>
      <w:r w:rsidR="00541D05">
        <w:t xml:space="preserve"> </w:t>
      </w:r>
      <w:r w:rsidR="00D9258C" w:rsidRPr="00FD6A6A">
        <w:t>aggregated</w:t>
      </w:r>
      <w:r w:rsidR="00541D05">
        <w:t xml:space="preserve"> </w:t>
      </w:r>
      <w:r w:rsidR="00D9258C" w:rsidRPr="00FD6A6A">
        <w:t>under</w:t>
      </w:r>
      <w:r w:rsidR="00541D05">
        <w:t xml:space="preserve"> </w:t>
      </w:r>
      <w:r w:rsidR="00D9258C" w:rsidRPr="00FD6A6A">
        <w:t>the</w:t>
      </w:r>
      <w:r w:rsidR="00541D05">
        <w:t xml:space="preserve"> </w:t>
      </w:r>
      <w:r w:rsidR="00D9258C" w:rsidRPr="00FD6A6A">
        <w:t>category</w:t>
      </w:r>
      <w:r w:rsidR="00541D05">
        <w:t xml:space="preserve"> </w:t>
      </w:r>
      <w:r w:rsidR="00EA62F1">
        <w:t>“</w:t>
      </w:r>
      <w:r w:rsidR="00D9258C" w:rsidRPr="00FD6A6A">
        <w:t>miscellaneous</w:t>
      </w:r>
      <w:r w:rsidR="00EA62F1">
        <w:t>”</w:t>
      </w:r>
      <w:r w:rsidR="00D9258C" w:rsidRPr="00FD6A6A">
        <w:t>,</w:t>
      </w:r>
      <w:r w:rsidR="00541D05">
        <w:t xml:space="preserve"> </w:t>
      </w:r>
      <w:r w:rsidR="00D9258C" w:rsidRPr="00FD6A6A">
        <w:t>which,</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includes</w:t>
      </w:r>
      <w:r w:rsidR="00541D05">
        <w:t xml:space="preserve"> </w:t>
      </w:r>
      <w:r w:rsidR="00D9258C" w:rsidRPr="00FD6A6A">
        <w:t>other</w:t>
      </w:r>
      <w:r w:rsidR="00541D05">
        <w:t xml:space="preserve"> </w:t>
      </w:r>
      <w:r w:rsidR="00D9258C" w:rsidRPr="00FD6A6A">
        <w:t>human</w:t>
      </w:r>
      <w:r w:rsidR="00541D05">
        <w:t xml:space="preserve"> </w:t>
      </w:r>
      <w:r w:rsidR="00D9258C" w:rsidRPr="00FD6A6A">
        <w:t>rights</w:t>
      </w:r>
      <w:r w:rsidR="00541D05">
        <w:t xml:space="preserve"> </w:t>
      </w:r>
      <w:r w:rsidR="00D9258C" w:rsidRPr="00FD6A6A">
        <w:t>violations.</w:t>
      </w:r>
      <w:r w:rsidR="00541D05">
        <w:t xml:space="preserve"> </w:t>
      </w:r>
      <w:r w:rsidR="00D9258C" w:rsidRPr="00FD6A6A">
        <w:t>It</w:t>
      </w:r>
      <w:r w:rsidR="00541D05">
        <w:t xml:space="preserve"> </w:t>
      </w:r>
      <w:r w:rsidR="00D9258C" w:rsidRPr="00FD6A6A">
        <w:t>was</w:t>
      </w:r>
      <w:r w:rsidR="00541D05">
        <w:t xml:space="preserve"> </w:t>
      </w:r>
      <w:r w:rsidR="00D9258C" w:rsidRPr="00FD6A6A">
        <w:t>only</w:t>
      </w:r>
      <w:r w:rsidR="00541D05">
        <w:t xml:space="preserve"> </w:t>
      </w:r>
      <w:r w:rsidR="00D9258C" w:rsidRPr="00FD6A6A">
        <w:t>as</w:t>
      </w:r>
      <w:r w:rsidR="00541D05">
        <w:t xml:space="preserve"> </w:t>
      </w:r>
      <w:r w:rsidR="00D9258C" w:rsidRPr="00FD6A6A">
        <w:t>of</w:t>
      </w:r>
      <w:r w:rsidR="00541D05">
        <w:t xml:space="preserve"> </w:t>
      </w:r>
      <w:r w:rsidR="00D9258C" w:rsidRPr="00FD6A6A">
        <w:t>2013</w:t>
      </w:r>
      <w:r w:rsidR="00541D05">
        <w:t xml:space="preserve"> </w:t>
      </w:r>
      <w:r w:rsidR="00D9258C" w:rsidRPr="00FD6A6A">
        <w:t>that</w:t>
      </w:r>
      <w:r w:rsidR="00541D05">
        <w:t xml:space="preserve"> </w:t>
      </w:r>
      <w:r w:rsidR="00D9258C" w:rsidRPr="00FD6A6A">
        <w:t>it</w:t>
      </w:r>
      <w:r w:rsidR="00541D05">
        <w:t xml:space="preserve"> </w:t>
      </w:r>
      <w:r w:rsidR="00D9258C" w:rsidRPr="00FD6A6A">
        <w:t>was</w:t>
      </w:r>
      <w:r w:rsidR="00541D05">
        <w:t xml:space="preserve"> </w:t>
      </w:r>
      <w:r w:rsidR="00D9258C" w:rsidRPr="00FD6A6A">
        <w:t>possible</w:t>
      </w:r>
      <w:r w:rsidR="00541D05">
        <w:t xml:space="preserve"> </w:t>
      </w:r>
      <w:r w:rsidR="00D9258C" w:rsidRPr="00FD6A6A">
        <w:t>to</w:t>
      </w:r>
      <w:r w:rsidR="00541D05">
        <w:t xml:space="preserve"> </w:t>
      </w:r>
      <w:r w:rsidR="00D9258C" w:rsidRPr="00FD6A6A">
        <w:t>have</w:t>
      </w:r>
      <w:r w:rsidR="00541D05">
        <w:t xml:space="preserve"> </w:t>
      </w:r>
      <w:r w:rsidR="00D9258C" w:rsidRPr="00FD6A6A">
        <w:t>a</w:t>
      </w:r>
      <w:r w:rsidR="00541D05">
        <w:t xml:space="preserve"> </w:t>
      </w:r>
      <w:r w:rsidR="00D9258C" w:rsidRPr="00FD6A6A">
        <w:t>clear</w:t>
      </w:r>
      <w:r w:rsidR="00541D05">
        <w:t xml:space="preserve"> </w:t>
      </w:r>
      <w:r w:rsidR="00D9258C" w:rsidRPr="00FD6A6A">
        <w:t>understanding</w:t>
      </w:r>
      <w:r w:rsidR="00541D05">
        <w:t xml:space="preserve"> </w:t>
      </w:r>
      <w:r w:rsidR="00D9258C" w:rsidRPr="00FD6A6A">
        <w:t>of</w:t>
      </w:r>
      <w:r w:rsidR="00541D05">
        <w:t xml:space="preserve"> </w:t>
      </w:r>
      <w:r w:rsidR="00D9258C" w:rsidRPr="00FD6A6A">
        <w:t>the</w:t>
      </w:r>
      <w:r w:rsidR="00541D05">
        <w:t xml:space="preserve"> </w:t>
      </w:r>
      <w:r w:rsidR="00D9258C" w:rsidRPr="00FD6A6A">
        <w:t>number</w:t>
      </w:r>
      <w:r w:rsidR="00541D05">
        <w:t xml:space="preserve"> </w:t>
      </w:r>
      <w:r w:rsidR="00D9258C" w:rsidRPr="00FD6A6A">
        <w:t>of</w:t>
      </w:r>
      <w:r w:rsidR="00541D05">
        <w:t xml:space="preserve"> </w:t>
      </w:r>
      <w:r w:rsidR="00D9258C" w:rsidRPr="00FD6A6A">
        <w:t>complaints</w:t>
      </w:r>
      <w:r w:rsidR="00541D05">
        <w:t xml:space="preserve"> </w:t>
      </w:r>
      <w:r w:rsidR="00D9258C" w:rsidRPr="00FD6A6A">
        <w:t>against</w:t>
      </w:r>
      <w:r w:rsidR="00541D05">
        <w:t xml:space="preserve"> </w:t>
      </w:r>
      <w:r w:rsidR="00D9258C" w:rsidRPr="00FD6A6A">
        <w:t>racist</w:t>
      </w:r>
      <w:r w:rsidR="00541D05">
        <w:t xml:space="preserve"> </w:t>
      </w:r>
      <w:r w:rsidR="00D9258C" w:rsidRPr="00FD6A6A">
        <w:t>advertising</w:t>
      </w:r>
      <w:r w:rsidR="00541D05">
        <w:t xml:space="preserve"> </w:t>
      </w:r>
      <w:r w:rsidR="00D9258C" w:rsidRPr="00FD6A6A">
        <w:t>to</w:t>
      </w:r>
      <w:r w:rsidR="00541D05">
        <w:t xml:space="preserve"> </w:t>
      </w:r>
      <w:r w:rsidR="00D9258C" w:rsidRPr="00FD6A6A">
        <w:t>CONAR.</w:t>
      </w:r>
      <w:r w:rsidR="00541D05">
        <w:t xml:space="preserve"> </w:t>
      </w:r>
      <w:r w:rsidR="00D9258C" w:rsidRPr="00FD6A6A">
        <w:t>In</w:t>
      </w:r>
      <w:r w:rsidR="00541D05">
        <w:t xml:space="preserve"> </w:t>
      </w:r>
      <w:r w:rsidR="00D9258C" w:rsidRPr="00FD6A6A">
        <w:t>2013,</w:t>
      </w:r>
      <w:r w:rsidR="00541D05">
        <w:t xml:space="preserve"> </w:t>
      </w:r>
      <w:r w:rsidR="00D9258C" w:rsidRPr="00FD6A6A">
        <w:t>out</w:t>
      </w:r>
      <w:r w:rsidR="00541D05">
        <w:t xml:space="preserve"> </w:t>
      </w:r>
      <w:r w:rsidR="00D9258C" w:rsidRPr="00FD6A6A">
        <w:t>of</w:t>
      </w:r>
      <w:r w:rsidR="00541D05">
        <w:t xml:space="preserve"> </w:t>
      </w:r>
      <w:r w:rsidR="00D9258C" w:rsidRPr="00FD6A6A">
        <w:t>340</w:t>
      </w:r>
      <w:r w:rsidR="00541D05">
        <w:t xml:space="preserve"> </w:t>
      </w:r>
      <w:r w:rsidR="00D9258C" w:rsidRPr="00FD6A6A">
        <w:t>proceedings</w:t>
      </w:r>
      <w:r w:rsidR="00541D05">
        <w:t xml:space="preserve"> </w:t>
      </w:r>
      <w:r w:rsidR="00D9258C" w:rsidRPr="00FD6A6A">
        <w:t>filed,</w:t>
      </w:r>
      <w:r w:rsidR="00541D05">
        <w:t xml:space="preserve"> </w:t>
      </w:r>
      <w:r w:rsidR="00D9258C" w:rsidRPr="00FD6A6A">
        <w:t>2.9%</w:t>
      </w:r>
      <w:r w:rsidR="00541D05">
        <w:t xml:space="preserve"> </w:t>
      </w:r>
      <w:r w:rsidR="00D9258C" w:rsidRPr="00FD6A6A">
        <w:t>were</w:t>
      </w:r>
      <w:r w:rsidR="00541D05">
        <w:t xml:space="preserve"> </w:t>
      </w:r>
      <w:r w:rsidR="00D9258C" w:rsidRPr="00FD6A6A">
        <w:t>related</w:t>
      </w:r>
      <w:r w:rsidR="00541D05">
        <w:t xml:space="preserve"> </w:t>
      </w:r>
      <w:r w:rsidR="00D9258C" w:rsidRPr="00FD6A6A">
        <w:t>to</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Regarding</w:t>
      </w:r>
      <w:r w:rsidR="00541D05">
        <w:t xml:space="preserve"> </w:t>
      </w:r>
      <w:r w:rsidR="00D9258C" w:rsidRPr="00FD6A6A">
        <w:t>the</w:t>
      </w:r>
      <w:r w:rsidR="00541D05">
        <w:t xml:space="preserve"> </w:t>
      </w:r>
      <w:r w:rsidR="00D9258C" w:rsidRPr="00FD6A6A">
        <w:t>185</w:t>
      </w:r>
      <w:r w:rsidR="00541D05">
        <w:t xml:space="preserve"> </w:t>
      </w:r>
      <w:r w:rsidR="00D9258C" w:rsidRPr="00FD6A6A">
        <w:t>proceedings</w:t>
      </w:r>
      <w:r w:rsidR="00541D05">
        <w:t xml:space="preserve"> </w:t>
      </w:r>
      <w:r w:rsidR="00D9258C" w:rsidRPr="00FD6A6A">
        <w:t>filed</w:t>
      </w:r>
      <w:r w:rsidR="00541D05">
        <w:t xml:space="preserve"> </w:t>
      </w:r>
      <w:r w:rsidR="00D9258C" w:rsidRPr="00FD6A6A">
        <w:t>based</w:t>
      </w:r>
      <w:r w:rsidR="00541D05">
        <w:t xml:space="preserve"> </w:t>
      </w:r>
      <w:r w:rsidR="00D9258C" w:rsidRPr="00FD6A6A">
        <w:t>on</w:t>
      </w:r>
      <w:r w:rsidR="00541D05">
        <w:t xml:space="preserve"> </w:t>
      </w:r>
      <w:r w:rsidR="00D9258C" w:rsidRPr="00FD6A6A">
        <w:t>complaints</w:t>
      </w:r>
      <w:r w:rsidR="00541D05">
        <w:t xml:space="preserve"> </w:t>
      </w:r>
      <w:r w:rsidR="00D9258C" w:rsidRPr="00FD6A6A">
        <w:t>from</w:t>
      </w:r>
      <w:r w:rsidR="00541D05">
        <w:t xml:space="preserve"> </w:t>
      </w:r>
      <w:r w:rsidR="00D9258C" w:rsidRPr="00FD6A6A">
        <w:t>consumers,</w:t>
      </w:r>
      <w:r w:rsidR="00541D05">
        <w:t xml:space="preserve"> </w:t>
      </w:r>
      <w:r w:rsidR="00D9258C" w:rsidRPr="00FD6A6A">
        <w:t>4.9%</w:t>
      </w:r>
      <w:r w:rsidR="00541D05">
        <w:t xml:space="preserve"> </w:t>
      </w:r>
      <w:r w:rsidR="00D9258C" w:rsidRPr="00FD6A6A">
        <w:t>were</w:t>
      </w:r>
      <w:r w:rsidR="00541D05">
        <w:t xml:space="preserve"> </w:t>
      </w:r>
      <w:r w:rsidR="00D9258C" w:rsidRPr="00FD6A6A">
        <w:t>related</w:t>
      </w:r>
      <w:r w:rsidR="00541D05">
        <w:t xml:space="preserve"> </w:t>
      </w:r>
      <w:r w:rsidR="00D9258C" w:rsidRPr="00FD6A6A">
        <w:t>to</w:t>
      </w:r>
      <w:r w:rsidR="00541D05">
        <w:t xml:space="preserve"> </w:t>
      </w:r>
      <w:r w:rsidR="00D9258C" w:rsidRPr="00FD6A6A">
        <w:t>racial</w:t>
      </w:r>
      <w:r w:rsidR="00541D05">
        <w:t xml:space="preserve"> </w:t>
      </w:r>
      <w:r w:rsidR="00D9258C" w:rsidRPr="00FD6A6A">
        <w:t>discrimination.</w:t>
      </w:r>
      <w:r w:rsidR="00541D05">
        <w:t xml:space="preserve"> </w:t>
      </w:r>
      <w:r w:rsidR="00D9258C" w:rsidRPr="00FD6A6A">
        <w:t>These</w:t>
      </w:r>
      <w:r w:rsidR="00541D05">
        <w:t xml:space="preserve"> </w:t>
      </w:r>
      <w:r w:rsidR="00D9258C" w:rsidRPr="00FD6A6A">
        <w:t>numbers</w:t>
      </w:r>
      <w:r w:rsidR="00541D05">
        <w:t xml:space="preserve"> </w:t>
      </w:r>
      <w:r w:rsidR="00D9258C" w:rsidRPr="00FD6A6A">
        <w:t>remained</w:t>
      </w:r>
      <w:r w:rsidR="00541D05">
        <w:t xml:space="preserve"> </w:t>
      </w:r>
      <w:r w:rsidR="00D9258C" w:rsidRPr="00FD6A6A">
        <w:t>stable</w:t>
      </w:r>
      <w:r w:rsidR="00541D05">
        <w:t xml:space="preserve"> </w:t>
      </w:r>
      <w:r w:rsidR="00D9258C" w:rsidRPr="00FD6A6A">
        <w:t>for</w:t>
      </w:r>
      <w:r w:rsidR="00541D05">
        <w:t xml:space="preserve"> </w:t>
      </w:r>
      <w:r w:rsidR="00D9258C" w:rsidRPr="00FD6A6A">
        <w:t>a</w:t>
      </w:r>
      <w:r w:rsidR="00541D05">
        <w:t xml:space="preserve"> </w:t>
      </w:r>
      <w:r w:rsidR="00D9258C" w:rsidRPr="00FD6A6A">
        <w:t>few</w:t>
      </w:r>
      <w:r w:rsidR="00541D05">
        <w:t xml:space="preserve"> </w:t>
      </w:r>
      <w:r w:rsidR="00D9258C" w:rsidRPr="00FD6A6A">
        <w:t>years,</w:t>
      </w:r>
      <w:r w:rsidR="00541D05">
        <w:t xml:space="preserve"> </w:t>
      </w:r>
      <w:r w:rsidR="00D9258C" w:rsidRPr="00FD6A6A">
        <w:t>and</w:t>
      </w:r>
      <w:r w:rsidR="00541D05">
        <w:t xml:space="preserve"> </w:t>
      </w:r>
      <w:r w:rsidR="00D9258C" w:rsidRPr="00FD6A6A">
        <w:t>then</w:t>
      </w:r>
      <w:r w:rsidR="00541D05">
        <w:t xml:space="preserve"> </w:t>
      </w:r>
      <w:r w:rsidR="00D9258C" w:rsidRPr="00FD6A6A">
        <w:t>dropped</w:t>
      </w:r>
      <w:r w:rsidR="00541D05">
        <w:t xml:space="preserve"> </w:t>
      </w:r>
      <w:r w:rsidR="00D9258C" w:rsidRPr="00FD6A6A">
        <w:t>in</w:t>
      </w:r>
      <w:r w:rsidR="00541D05">
        <w:t xml:space="preserve"> </w:t>
      </w:r>
      <w:r w:rsidR="00D9258C" w:rsidRPr="00FD6A6A">
        <w:t>2017.</w:t>
      </w:r>
    </w:p>
    <w:p w14:paraId="2526A16A" w14:textId="1BC0F3F7" w:rsidR="00D9258C" w:rsidRPr="00FD6A6A" w:rsidRDefault="00166390" w:rsidP="00166390">
      <w:pPr>
        <w:pStyle w:val="ParaNoG"/>
        <w:numPr>
          <w:ilvl w:val="0"/>
          <w:numId w:val="0"/>
        </w:numPr>
        <w:tabs>
          <w:tab w:val="left" w:pos="0"/>
        </w:tabs>
        <w:ind w:left="1134"/>
      </w:pPr>
      <w:r w:rsidRPr="00FD6A6A">
        <w:t>229.</w:t>
      </w:r>
      <w:r w:rsidRPr="00FD6A6A">
        <w:tab/>
      </w:r>
      <w:r w:rsidR="00D9258C" w:rsidRPr="00FD6A6A">
        <w:t>Some</w:t>
      </w:r>
      <w:r w:rsidR="00541D05">
        <w:t xml:space="preserve"> </w:t>
      </w:r>
      <w:r w:rsidR="00D9258C" w:rsidRPr="00FD6A6A">
        <w:t>reports</w:t>
      </w:r>
      <w:r w:rsidR="00541D05">
        <w:t xml:space="preserve"> </w:t>
      </w:r>
      <w:r w:rsidR="00D9258C" w:rsidRPr="00FD6A6A">
        <w:t>of</w:t>
      </w:r>
      <w:r w:rsidR="00541D05">
        <w:t xml:space="preserve"> </w:t>
      </w:r>
      <w:r w:rsidR="00D9258C" w:rsidRPr="00FD6A6A">
        <w:t>racist</w:t>
      </w:r>
      <w:r w:rsidR="00541D05">
        <w:t xml:space="preserve"> </w:t>
      </w:r>
      <w:r w:rsidR="00D9258C" w:rsidRPr="00FD6A6A">
        <w:t>advertisement</w:t>
      </w:r>
      <w:r w:rsidR="00541D05">
        <w:t xml:space="preserve"> </w:t>
      </w:r>
      <w:r w:rsidR="00D9258C" w:rsidRPr="00FD6A6A">
        <w:t>have</w:t>
      </w:r>
      <w:r w:rsidR="00541D05">
        <w:t xml:space="preserve"> </w:t>
      </w:r>
      <w:r w:rsidR="00D9258C" w:rsidRPr="00FD6A6A">
        <w:t>had</w:t>
      </w:r>
      <w:r w:rsidR="00541D05">
        <w:t xml:space="preserve"> </w:t>
      </w:r>
      <w:r w:rsidR="00D9258C" w:rsidRPr="00FD6A6A">
        <w:t>more</w:t>
      </w:r>
      <w:r w:rsidR="00541D05">
        <w:t xml:space="preserve"> </w:t>
      </w:r>
      <w:r w:rsidR="00D9258C" w:rsidRPr="00FD6A6A">
        <w:t>repercussion</w:t>
      </w:r>
      <w:r w:rsidR="00541D05">
        <w:t xml:space="preserve"> </w:t>
      </w:r>
      <w:r w:rsidR="00D9258C" w:rsidRPr="00FD6A6A">
        <w:t>recently,</w:t>
      </w:r>
      <w:r w:rsidR="00541D05">
        <w:t xml:space="preserve"> </w:t>
      </w:r>
      <w:r w:rsidR="00D9258C" w:rsidRPr="00FD6A6A">
        <w:t>such</w:t>
      </w:r>
      <w:r w:rsidR="00541D05">
        <w:t xml:space="preserve"> </w:t>
      </w:r>
      <w:r w:rsidR="00D9258C" w:rsidRPr="00FD6A6A">
        <w:t>as</w:t>
      </w:r>
      <w:r w:rsidR="00541D05">
        <w:t xml:space="preserve"> </w:t>
      </w:r>
      <w:r w:rsidR="00D9258C" w:rsidRPr="00FD6A6A">
        <w:t>the</w:t>
      </w:r>
      <w:r w:rsidR="00541D05">
        <w:t xml:space="preserve"> </w:t>
      </w:r>
      <w:r w:rsidR="00D9258C" w:rsidRPr="00FD6A6A">
        <w:t>cases</w:t>
      </w:r>
      <w:r w:rsidR="00541D05">
        <w:t xml:space="preserve"> </w:t>
      </w:r>
      <w:r w:rsidR="00D9258C" w:rsidRPr="00FD6A6A">
        <w:t>in</w:t>
      </w:r>
      <w:r w:rsidR="00541D05">
        <w:t xml:space="preserve"> </w:t>
      </w:r>
      <w:r w:rsidR="00D9258C" w:rsidRPr="00FD6A6A">
        <w:t>which</w:t>
      </w:r>
      <w:r w:rsidR="00541D05">
        <w:t xml:space="preserve"> </w:t>
      </w:r>
      <w:r w:rsidR="00D9258C" w:rsidRPr="00FD6A6A">
        <w:t>advertisements</w:t>
      </w:r>
      <w:r w:rsidR="00541D05">
        <w:t xml:space="preserve"> </w:t>
      </w:r>
      <w:r w:rsidR="00D9258C" w:rsidRPr="00FD6A6A">
        <w:t>used</w:t>
      </w:r>
      <w:r w:rsidR="00541D05">
        <w:t xml:space="preserve"> </w:t>
      </w:r>
      <w:r w:rsidR="00D9258C" w:rsidRPr="00FD6A6A">
        <w:t>ambiguous</w:t>
      </w:r>
      <w:r w:rsidR="00541D05">
        <w:t xml:space="preserve"> </w:t>
      </w:r>
      <w:r w:rsidR="00D9258C" w:rsidRPr="00FD6A6A">
        <w:t>terms</w:t>
      </w:r>
      <w:r w:rsidR="00541D05">
        <w:t xml:space="preserve"> </w:t>
      </w:r>
      <w:r w:rsidR="00D9258C" w:rsidRPr="00FD6A6A">
        <w:t>(joke,</w:t>
      </w:r>
      <w:r w:rsidR="00541D05">
        <w:t xml:space="preserve"> </w:t>
      </w:r>
      <w:r w:rsidR="00D9258C" w:rsidRPr="00FD6A6A">
        <w:t>pun,</w:t>
      </w:r>
      <w:r w:rsidR="00541D05">
        <w:t xml:space="preserve"> </w:t>
      </w:r>
      <w:r w:rsidR="00D9258C" w:rsidRPr="00FD6A6A">
        <w:t>among</w:t>
      </w:r>
      <w:r w:rsidR="00541D05">
        <w:t xml:space="preserve"> </w:t>
      </w:r>
      <w:r w:rsidR="00D9258C" w:rsidRPr="00FD6A6A">
        <w:t>others)</w:t>
      </w:r>
      <w:r w:rsidR="00541D05">
        <w:t xml:space="preserve"> </w:t>
      </w:r>
      <w:r w:rsidR="00D9258C" w:rsidRPr="00FD6A6A">
        <w:t>related</w:t>
      </w:r>
      <w:r w:rsidR="00541D05">
        <w:t xml:space="preserve"> </w:t>
      </w:r>
      <w:r w:rsidR="00D9258C" w:rsidRPr="00FD6A6A">
        <w:t>to</w:t>
      </w:r>
      <w:r w:rsidR="00541D05">
        <w:t xml:space="preserve"> </w:t>
      </w:r>
      <w:r w:rsidR="00D9258C" w:rsidRPr="00FD6A6A">
        <w:t>race,</w:t>
      </w:r>
      <w:r w:rsidR="00541D05">
        <w:t xml:space="preserve"> </w:t>
      </w:r>
      <w:r w:rsidR="00D9258C" w:rsidRPr="00FD6A6A">
        <w:t>in</w:t>
      </w:r>
      <w:r w:rsidR="00541D05">
        <w:t xml:space="preserve"> </w:t>
      </w:r>
      <w:r w:rsidR="00D9258C" w:rsidRPr="00FD6A6A">
        <w:t>an</w:t>
      </w:r>
      <w:r w:rsidR="00541D05">
        <w:t xml:space="preserve"> </w:t>
      </w:r>
      <w:r w:rsidR="00D9258C" w:rsidRPr="00FD6A6A">
        <w:t>effort</w:t>
      </w:r>
      <w:r w:rsidR="00541D05">
        <w:t xml:space="preserve"> </w:t>
      </w:r>
      <w:r w:rsidR="00D9258C" w:rsidRPr="00FD6A6A">
        <w:t>to</w:t>
      </w:r>
      <w:r w:rsidR="00541D05">
        <w:t xml:space="preserve"> </w:t>
      </w:r>
      <w:r w:rsidR="00D9258C" w:rsidRPr="00FD6A6A">
        <w:t>call</w:t>
      </w:r>
      <w:r w:rsidR="00541D05">
        <w:t xml:space="preserve"> </w:t>
      </w:r>
      <w:r w:rsidR="00D9258C" w:rsidRPr="00FD6A6A">
        <w:t>consumers</w:t>
      </w:r>
      <w:r w:rsidR="00EA62F1">
        <w:t>’</w:t>
      </w:r>
      <w:r w:rsidR="00541D05">
        <w:t xml:space="preserve"> </w:t>
      </w:r>
      <w:r w:rsidR="00D9258C" w:rsidRPr="00FD6A6A">
        <w:t>attention</w:t>
      </w:r>
      <w:r w:rsidR="00541D05">
        <w:t xml:space="preserve"> </w:t>
      </w:r>
      <w:r w:rsidR="00D9258C" w:rsidRPr="00FD6A6A">
        <w:t>to</w:t>
      </w:r>
      <w:r w:rsidR="00541D05">
        <w:t xml:space="preserve"> </w:t>
      </w:r>
      <w:r w:rsidR="00D9258C" w:rsidRPr="00FD6A6A">
        <w:t>its</w:t>
      </w:r>
      <w:r w:rsidR="00541D05">
        <w:t xml:space="preserve"> </w:t>
      </w:r>
      <w:r w:rsidR="00D9258C" w:rsidRPr="00FD6A6A">
        <w:t>commercial</w:t>
      </w:r>
      <w:r w:rsidR="00541D05">
        <w:t xml:space="preserve"> </w:t>
      </w:r>
      <w:r w:rsidR="00D9258C" w:rsidRPr="00FD6A6A">
        <w:t>appeal.</w:t>
      </w:r>
      <w:r w:rsidR="00541D05">
        <w:t xml:space="preserve"> </w:t>
      </w:r>
      <w:r w:rsidR="00D9258C" w:rsidRPr="00FD6A6A">
        <w:t>In</w:t>
      </w:r>
      <w:r w:rsidR="00541D05">
        <w:t xml:space="preserve"> </w:t>
      </w:r>
      <w:r w:rsidR="00D9258C" w:rsidRPr="00FD6A6A">
        <w:t>addition</w:t>
      </w:r>
      <w:r w:rsidR="00541D05">
        <w:t xml:space="preserve"> </w:t>
      </w:r>
      <w:r w:rsidR="00D9258C" w:rsidRPr="00FD6A6A">
        <w:t>to</w:t>
      </w:r>
      <w:r w:rsidR="00541D05">
        <w:t xml:space="preserve"> </w:t>
      </w:r>
      <w:r w:rsidR="00D9258C" w:rsidRPr="00FD6A6A">
        <w:t>other</w:t>
      </w:r>
      <w:r w:rsidR="00541D05">
        <w:t xml:space="preserve"> </w:t>
      </w:r>
      <w:r w:rsidR="00D9258C" w:rsidRPr="00FD6A6A">
        <w:t>ads</w:t>
      </w:r>
      <w:r w:rsidR="00541D05">
        <w:t xml:space="preserve"> </w:t>
      </w:r>
      <w:r w:rsidR="00D9258C" w:rsidRPr="00FD6A6A">
        <w:t>of</w:t>
      </w:r>
      <w:r w:rsidR="00541D05">
        <w:t xml:space="preserve"> </w:t>
      </w:r>
      <w:r w:rsidR="00D9258C" w:rsidRPr="00FD6A6A">
        <w:t>minor</w:t>
      </w:r>
      <w:r w:rsidR="00541D05">
        <w:t xml:space="preserve"> </w:t>
      </w:r>
      <w:r w:rsidR="00D9258C" w:rsidRPr="00FD6A6A">
        <w:t>repercussion,</w:t>
      </w:r>
      <w:r w:rsidR="00541D05">
        <w:t xml:space="preserve"> </w:t>
      </w:r>
      <w:r w:rsidR="00D9258C" w:rsidRPr="00FD6A6A">
        <w:t>they</w:t>
      </w:r>
      <w:r w:rsidR="00541D05">
        <w:t xml:space="preserve"> </w:t>
      </w:r>
      <w:r w:rsidR="00D9258C" w:rsidRPr="00FD6A6A">
        <w:t>were</w:t>
      </w:r>
      <w:r w:rsidR="00541D05">
        <w:t xml:space="preserve"> </w:t>
      </w:r>
      <w:r w:rsidR="00D9258C" w:rsidRPr="00FD6A6A">
        <w:t>reported</w:t>
      </w:r>
      <w:r w:rsidR="00541D05">
        <w:t xml:space="preserve"> </w:t>
      </w:r>
      <w:r w:rsidR="00D9258C" w:rsidRPr="00FD6A6A">
        <w:t>to</w:t>
      </w:r>
      <w:r w:rsidR="00541D05">
        <w:t xml:space="preserve"> </w:t>
      </w:r>
      <w:r w:rsidR="00D9258C" w:rsidRPr="00FD6A6A">
        <w:t>CONAR.</w:t>
      </w:r>
      <w:r w:rsidR="00541D05">
        <w:t xml:space="preserve"> </w:t>
      </w:r>
      <w:r w:rsidR="00D9258C" w:rsidRPr="00FD6A6A">
        <w:t>Upon</w:t>
      </w:r>
      <w:r w:rsidR="00541D05">
        <w:t xml:space="preserve"> </w:t>
      </w:r>
      <w:r w:rsidR="00D9258C" w:rsidRPr="00FD6A6A">
        <w:t>request,</w:t>
      </w:r>
      <w:r w:rsidR="00541D05">
        <w:t xml:space="preserve"> </w:t>
      </w:r>
      <w:r w:rsidR="00D9258C" w:rsidRPr="00FD6A6A">
        <w:t>the</w:t>
      </w:r>
      <w:r w:rsidR="00541D05">
        <w:t xml:space="preserve"> </w:t>
      </w:r>
      <w:r w:rsidR="00D9258C" w:rsidRPr="00FD6A6A">
        <w:t>agency</w:t>
      </w:r>
      <w:r w:rsidR="00541D05">
        <w:t xml:space="preserve"> </w:t>
      </w:r>
      <w:r w:rsidR="00D9258C" w:rsidRPr="00FD6A6A">
        <w:t>commented</w:t>
      </w:r>
      <w:r w:rsidR="00541D05">
        <w:t xml:space="preserve"> </w:t>
      </w:r>
      <w:r w:rsidR="00D9258C" w:rsidRPr="00FD6A6A">
        <w:t>on</w:t>
      </w:r>
      <w:r w:rsidR="00541D05">
        <w:t xml:space="preserve"> </w:t>
      </w:r>
      <w:r w:rsidR="00D9258C" w:rsidRPr="00FD6A6A">
        <w:t>the</w:t>
      </w:r>
      <w:r w:rsidR="00541D05">
        <w:t xml:space="preserve"> </w:t>
      </w:r>
      <w:r w:rsidR="00D9258C" w:rsidRPr="00FD6A6A">
        <w:t>cases</w:t>
      </w:r>
      <w:r w:rsidR="00541D05">
        <w:t xml:space="preserve"> </w:t>
      </w:r>
      <w:r w:rsidR="00D9258C" w:rsidRPr="00FD6A6A">
        <w:t>and</w:t>
      </w:r>
      <w:r w:rsidR="00541D05">
        <w:t xml:space="preserve"> </w:t>
      </w:r>
      <w:r w:rsidR="00D9258C" w:rsidRPr="00FD6A6A">
        <w:t>decided</w:t>
      </w:r>
      <w:r w:rsidR="00541D05">
        <w:t xml:space="preserve"> </w:t>
      </w:r>
      <w:r w:rsidR="00D9258C" w:rsidRPr="00FD6A6A">
        <w:t>whether</w:t>
      </w:r>
      <w:r w:rsidR="00541D05">
        <w:t xml:space="preserve"> </w:t>
      </w:r>
      <w:r w:rsidR="00D9258C" w:rsidRPr="00FD6A6A">
        <w:t>each</w:t>
      </w:r>
      <w:r w:rsidR="00541D05">
        <w:t xml:space="preserve"> </w:t>
      </w:r>
      <w:r w:rsidR="00D9258C" w:rsidRPr="00FD6A6A">
        <w:t>advertisement</w:t>
      </w:r>
      <w:r w:rsidR="00541D05">
        <w:t xml:space="preserve"> </w:t>
      </w:r>
      <w:r w:rsidR="00D9258C" w:rsidRPr="00FD6A6A">
        <w:t>should</w:t>
      </w:r>
      <w:r w:rsidR="00541D05">
        <w:t xml:space="preserve"> </w:t>
      </w:r>
      <w:r w:rsidR="00D9258C" w:rsidRPr="00FD6A6A">
        <w:t>still</w:t>
      </w:r>
      <w:r w:rsidR="00541D05">
        <w:t xml:space="preserve"> </w:t>
      </w:r>
      <w:r w:rsidR="00D9258C" w:rsidRPr="00FD6A6A">
        <w:t>be</w:t>
      </w:r>
      <w:r w:rsidR="00541D05">
        <w:t xml:space="preserve"> </w:t>
      </w:r>
      <w:r w:rsidR="00D9258C" w:rsidRPr="00FD6A6A">
        <w:t>aired</w:t>
      </w:r>
      <w:r w:rsidR="00541D05">
        <w:t xml:space="preserve"> </w:t>
      </w:r>
      <w:r w:rsidR="00D9258C" w:rsidRPr="00FD6A6A">
        <w:t>or</w:t>
      </w:r>
      <w:r w:rsidR="00541D05">
        <w:t xml:space="preserve"> </w:t>
      </w:r>
      <w:r w:rsidR="00D9258C" w:rsidRPr="00FD6A6A">
        <w:t>not.</w:t>
      </w:r>
    </w:p>
    <w:p w14:paraId="560B2F15" w14:textId="12608452" w:rsidR="00D9258C" w:rsidRPr="00FD6A6A" w:rsidRDefault="00166390" w:rsidP="00166390">
      <w:pPr>
        <w:pStyle w:val="ParaNoG"/>
        <w:numPr>
          <w:ilvl w:val="0"/>
          <w:numId w:val="0"/>
        </w:numPr>
        <w:tabs>
          <w:tab w:val="left" w:pos="0"/>
        </w:tabs>
        <w:ind w:left="1134"/>
      </w:pPr>
      <w:r w:rsidRPr="00FD6A6A">
        <w:t>230.</w:t>
      </w:r>
      <w:r w:rsidRPr="00FD6A6A">
        <w:tab/>
      </w:r>
      <w:r w:rsidR="00D9258C" w:rsidRPr="00FD6A6A">
        <w:t>The</w:t>
      </w:r>
      <w:r w:rsidR="00541D05">
        <w:t xml:space="preserve"> </w:t>
      </w:r>
      <w:r w:rsidR="00D9258C" w:rsidRPr="00FD6A6A">
        <w:t>representation</w:t>
      </w:r>
      <w:r w:rsidR="00541D05">
        <w:t xml:space="preserve"> </w:t>
      </w:r>
      <w:r w:rsidR="00D9258C" w:rsidRPr="00FD6A6A">
        <w:t>of</w:t>
      </w:r>
      <w:r w:rsidR="00541D05">
        <w:t xml:space="preserve"> </w:t>
      </w:r>
      <w:r w:rsidR="00D9258C" w:rsidRPr="00FD6A6A">
        <w:t>Afro-Brazilians</w:t>
      </w:r>
      <w:r w:rsidR="00541D05">
        <w:t xml:space="preserve"> </w:t>
      </w:r>
      <w:r w:rsidR="00D9258C" w:rsidRPr="00FD6A6A">
        <w:t>in</w:t>
      </w:r>
      <w:r w:rsidR="00541D05">
        <w:t xml:space="preserve"> </w:t>
      </w:r>
      <w:r w:rsidR="00D9258C" w:rsidRPr="00FD6A6A">
        <w:t>the</w:t>
      </w:r>
      <w:r w:rsidR="00541D05">
        <w:t xml:space="preserve"> </w:t>
      </w:r>
      <w:r w:rsidR="00D9258C" w:rsidRPr="00FD6A6A">
        <w:t>Brazilian</w:t>
      </w:r>
      <w:r w:rsidR="00541D05">
        <w:t xml:space="preserve"> </w:t>
      </w:r>
      <w:r w:rsidR="00D9258C" w:rsidRPr="00FD6A6A">
        <w:t>media</w:t>
      </w:r>
      <w:r w:rsidR="00541D05">
        <w:t xml:space="preserve"> </w:t>
      </w:r>
      <w:r w:rsidR="00D9258C" w:rsidRPr="00FD6A6A">
        <w:t>has</w:t>
      </w:r>
      <w:r w:rsidR="00541D05">
        <w:t xml:space="preserve"> </w:t>
      </w:r>
      <w:r w:rsidR="00D9258C" w:rsidRPr="00FD6A6A">
        <w:t>been</w:t>
      </w:r>
      <w:r w:rsidR="00541D05">
        <w:t xml:space="preserve"> </w:t>
      </w:r>
      <w:r w:rsidR="00D9258C" w:rsidRPr="00FD6A6A">
        <w:t>changing</w:t>
      </w:r>
      <w:r w:rsidR="00541D05">
        <w:t xml:space="preserve"> </w:t>
      </w:r>
      <w:r w:rsidR="00D9258C" w:rsidRPr="00FD6A6A">
        <w:t>over</w:t>
      </w:r>
      <w:r w:rsidR="00541D05">
        <w:t xml:space="preserve"> </w:t>
      </w:r>
      <w:r w:rsidR="00D9258C" w:rsidRPr="00FD6A6A">
        <w:t>the</w:t>
      </w:r>
      <w:r w:rsidR="00541D05">
        <w:t xml:space="preserve"> </w:t>
      </w:r>
      <w:r w:rsidR="00D9258C" w:rsidRPr="00FD6A6A">
        <w:t>last</w:t>
      </w:r>
      <w:r w:rsidR="00541D05">
        <w:t xml:space="preserve"> </w:t>
      </w:r>
      <w:r w:rsidR="00D9258C" w:rsidRPr="00FD6A6A">
        <w:t>few</w:t>
      </w:r>
      <w:r w:rsidR="00541D05">
        <w:t xml:space="preserve"> </w:t>
      </w:r>
      <w:r w:rsidR="00D9258C" w:rsidRPr="00FD6A6A">
        <w:t>years,</w:t>
      </w:r>
      <w:r w:rsidR="00541D05">
        <w:t xml:space="preserve"> </w:t>
      </w:r>
      <w:r w:rsidR="00D9258C" w:rsidRPr="00FD6A6A">
        <w:t>even</w:t>
      </w:r>
      <w:r w:rsidR="00541D05">
        <w:t xml:space="preserve"> </w:t>
      </w:r>
      <w:r w:rsidR="00D9258C" w:rsidRPr="00FD6A6A">
        <w:t>if</w:t>
      </w:r>
      <w:r w:rsidR="00541D05">
        <w:t xml:space="preserve"> </w:t>
      </w:r>
      <w:r w:rsidR="00D9258C" w:rsidRPr="00FD6A6A">
        <w:t>at</w:t>
      </w:r>
      <w:r w:rsidR="00541D05">
        <w:t xml:space="preserve"> </w:t>
      </w:r>
      <w:r w:rsidR="00D9258C" w:rsidRPr="00FD6A6A">
        <w:t>a</w:t>
      </w:r>
      <w:r w:rsidR="00541D05">
        <w:t xml:space="preserve"> </w:t>
      </w:r>
      <w:r w:rsidR="00D9258C" w:rsidRPr="00FD6A6A">
        <w:t>slow</w:t>
      </w:r>
      <w:r w:rsidR="00541D05">
        <w:t xml:space="preserve"> </w:t>
      </w:r>
      <w:r w:rsidR="00D9258C" w:rsidRPr="00FD6A6A">
        <w:t>pace.</w:t>
      </w:r>
      <w:r w:rsidR="00541D05">
        <w:t xml:space="preserve"> </w:t>
      </w:r>
      <w:r w:rsidR="00D9258C" w:rsidRPr="00FD6A6A">
        <w:t>Nevertheless,</w:t>
      </w:r>
      <w:r w:rsidR="00541D05">
        <w:t xml:space="preserve"> </w:t>
      </w:r>
      <w:r w:rsidR="00D9258C" w:rsidRPr="00FD6A6A">
        <w:t>Afro-Brazilians</w:t>
      </w:r>
      <w:r w:rsidR="00541D05">
        <w:t xml:space="preserve"> </w:t>
      </w:r>
      <w:r w:rsidR="00D9258C" w:rsidRPr="00FD6A6A">
        <w:t>continue</w:t>
      </w:r>
      <w:r w:rsidR="00541D05">
        <w:t xml:space="preserve"> </w:t>
      </w:r>
      <w:r w:rsidR="00D9258C" w:rsidRPr="00FD6A6A">
        <w:t>to</w:t>
      </w:r>
      <w:r w:rsidR="00541D05">
        <w:t xml:space="preserve"> </w:t>
      </w:r>
      <w:r w:rsidR="00D9258C" w:rsidRPr="00FD6A6A">
        <w:t>be</w:t>
      </w:r>
      <w:r w:rsidR="00541D05">
        <w:t xml:space="preserve"> </w:t>
      </w:r>
      <w:r w:rsidR="00D9258C" w:rsidRPr="00FD6A6A">
        <w:t>portrayed</w:t>
      </w:r>
      <w:r w:rsidR="00541D05">
        <w:t xml:space="preserve"> </w:t>
      </w:r>
      <w:r w:rsidR="00D9258C" w:rsidRPr="00FD6A6A">
        <w:t>in</w:t>
      </w:r>
      <w:r w:rsidR="00541D05">
        <w:t xml:space="preserve"> </w:t>
      </w:r>
      <w:r w:rsidR="00D9258C" w:rsidRPr="00FD6A6A">
        <w:t>a</w:t>
      </w:r>
      <w:r w:rsidR="00541D05">
        <w:t xml:space="preserve"> </w:t>
      </w:r>
      <w:r w:rsidR="00D9258C" w:rsidRPr="00FD6A6A">
        <w:t>stereotyped</w:t>
      </w:r>
      <w:r w:rsidR="00541D05">
        <w:t xml:space="preserve"> </w:t>
      </w:r>
      <w:r w:rsidR="00D9258C" w:rsidRPr="00FD6A6A">
        <w:t>way,</w:t>
      </w:r>
      <w:r w:rsidR="00541D05">
        <w:t xml:space="preserve"> </w:t>
      </w:r>
      <w:r w:rsidR="00D9258C" w:rsidRPr="00FD6A6A">
        <w:t>largely</w:t>
      </w:r>
      <w:r w:rsidR="00541D05">
        <w:t xml:space="preserve"> </w:t>
      </w:r>
      <w:r w:rsidR="00D9258C" w:rsidRPr="00FD6A6A">
        <w:t>associated</w:t>
      </w:r>
      <w:r w:rsidR="00541D05">
        <w:t xml:space="preserve"> </w:t>
      </w:r>
      <w:r w:rsidR="00D9258C" w:rsidRPr="00FD6A6A">
        <w:t>with</w:t>
      </w:r>
      <w:r w:rsidR="00541D05">
        <w:t xml:space="preserve"> </w:t>
      </w:r>
      <w:r w:rsidR="00D9258C" w:rsidRPr="00FD6A6A">
        <w:t>sensual</w:t>
      </w:r>
      <w:r w:rsidR="00541D05">
        <w:t xml:space="preserve"> </w:t>
      </w:r>
      <w:r w:rsidR="00D9258C" w:rsidRPr="00FD6A6A">
        <w:t>Afro-Brazilian</w:t>
      </w:r>
      <w:r w:rsidR="00541D05">
        <w:t xml:space="preserve"> </w:t>
      </w:r>
      <w:r w:rsidR="00D9258C" w:rsidRPr="00FD6A6A">
        <w:t>women,</w:t>
      </w:r>
      <w:r w:rsidR="00541D05">
        <w:t xml:space="preserve"> </w:t>
      </w:r>
      <w:r w:rsidR="00D9258C" w:rsidRPr="00FD6A6A">
        <w:t>manual</w:t>
      </w:r>
      <w:r w:rsidR="00541D05">
        <w:t xml:space="preserve"> </w:t>
      </w:r>
      <w:r w:rsidR="00D9258C" w:rsidRPr="00FD6A6A">
        <w:t>laborers,</w:t>
      </w:r>
      <w:r w:rsidR="00541D05">
        <w:t xml:space="preserve"> </w:t>
      </w:r>
      <w:r w:rsidR="00D9258C" w:rsidRPr="00FD6A6A">
        <w:t>and</w:t>
      </w:r>
      <w:r w:rsidR="00541D05">
        <w:t xml:space="preserve"> </w:t>
      </w:r>
      <w:r w:rsidR="00D9258C" w:rsidRPr="00FD6A6A">
        <w:t>underprivileged</w:t>
      </w:r>
      <w:r w:rsidR="00541D05">
        <w:t xml:space="preserve"> </w:t>
      </w:r>
      <w:r w:rsidR="00D9258C" w:rsidRPr="00FD6A6A">
        <w:t>children.</w:t>
      </w:r>
      <w:r w:rsidR="00541D05">
        <w:t xml:space="preserve"> </w:t>
      </w:r>
      <w:r w:rsidR="00D9258C" w:rsidRPr="00FD6A6A">
        <w:t>These</w:t>
      </w:r>
      <w:r w:rsidR="00541D05">
        <w:t xml:space="preserve"> </w:t>
      </w:r>
      <w:r w:rsidR="00D9258C" w:rsidRPr="00FD6A6A">
        <w:t>are</w:t>
      </w:r>
      <w:r w:rsidR="00541D05">
        <w:t xml:space="preserve"> </w:t>
      </w:r>
      <w:r w:rsidR="00D9258C" w:rsidRPr="00FD6A6A">
        <w:t>stereotypes</w:t>
      </w:r>
      <w:r w:rsidR="00541D05">
        <w:t xml:space="preserve"> </w:t>
      </w:r>
      <w:r w:rsidR="00D9258C" w:rsidRPr="00FD6A6A">
        <w:t>found</w:t>
      </w:r>
      <w:r w:rsidR="00541D05">
        <w:t xml:space="preserve"> </w:t>
      </w:r>
      <w:r w:rsidR="00D9258C" w:rsidRPr="00FD6A6A">
        <w:t>in</w:t>
      </w:r>
      <w:r w:rsidR="00541D05">
        <w:t xml:space="preserve"> </w:t>
      </w:r>
      <w:r w:rsidR="00D9258C" w:rsidRPr="00FD6A6A">
        <w:t>the</w:t>
      </w:r>
      <w:r w:rsidR="00541D05">
        <w:t xml:space="preserve"> </w:t>
      </w:r>
      <w:r w:rsidR="00D9258C" w:rsidRPr="00FD6A6A">
        <w:t>traditional</w:t>
      </w:r>
      <w:r w:rsidR="00541D05">
        <w:t xml:space="preserve"> </w:t>
      </w:r>
      <w:r w:rsidR="00D9258C" w:rsidRPr="00FD6A6A">
        <w:t>social</w:t>
      </w:r>
      <w:r w:rsidR="00541D05">
        <w:t xml:space="preserve"> </w:t>
      </w:r>
      <w:r w:rsidR="00D9258C" w:rsidRPr="00FD6A6A">
        <w:t>hierarchy</w:t>
      </w:r>
      <w:r w:rsidR="00541D05">
        <w:t xml:space="preserve"> </w:t>
      </w:r>
      <w:r w:rsidR="00D9258C" w:rsidRPr="00FD6A6A">
        <w:t>between</w:t>
      </w:r>
      <w:r w:rsidR="00541D05">
        <w:t xml:space="preserve"> </w:t>
      </w:r>
      <w:r w:rsidR="00D9258C" w:rsidRPr="00FD6A6A">
        <w:t>Brazilians</w:t>
      </w:r>
      <w:r w:rsidR="00541D05">
        <w:t xml:space="preserve"> </w:t>
      </w:r>
      <w:r w:rsidR="00D9258C" w:rsidRPr="00FD6A6A">
        <w:t>that</w:t>
      </w:r>
      <w:r w:rsidR="00541D05">
        <w:t xml:space="preserve"> </w:t>
      </w:r>
      <w:r w:rsidR="00D9258C" w:rsidRPr="00FD6A6A">
        <w:t>are</w:t>
      </w:r>
      <w:r w:rsidR="00541D05">
        <w:t xml:space="preserve"> </w:t>
      </w:r>
      <w:r w:rsidR="00D9258C" w:rsidRPr="00FD6A6A">
        <w:t>white</w:t>
      </w:r>
      <w:r w:rsidR="00541D05">
        <w:t xml:space="preserve"> </w:t>
      </w:r>
      <w:r w:rsidR="00D9258C" w:rsidRPr="00FD6A6A">
        <w:t>and</w:t>
      </w:r>
      <w:r w:rsidR="00541D05">
        <w:t xml:space="preserve"> </w:t>
      </w:r>
      <w:r w:rsidR="00D9258C" w:rsidRPr="00FD6A6A">
        <w:t>Afro-Brazilians.</w:t>
      </w:r>
    </w:p>
    <w:p w14:paraId="061A0EBA" w14:textId="3B38F01E" w:rsidR="00D9258C" w:rsidRPr="00FD6A6A" w:rsidRDefault="00166390" w:rsidP="00166390">
      <w:pPr>
        <w:pStyle w:val="ParaNoG"/>
        <w:numPr>
          <w:ilvl w:val="0"/>
          <w:numId w:val="0"/>
        </w:numPr>
        <w:tabs>
          <w:tab w:val="left" w:pos="0"/>
        </w:tabs>
        <w:ind w:left="1134"/>
      </w:pPr>
      <w:r w:rsidRPr="00FD6A6A">
        <w:t>231.</w:t>
      </w:r>
      <w:r w:rsidRPr="00FD6A6A">
        <w:tab/>
      </w:r>
      <w:r w:rsidR="00D9258C" w:rsidRPr="00FD6A6A">
        <w:br w:type="page"/>
      </w:r>
    </w:p>
    <w:p w14:paraId="30B39DBC" w14:textId="31F896AC" w:rsidR="00D9258C" w:rsidRPr="00FD6A6A" w:rsidRDefault="00D9258C" w:rsidP="00C81F3E">
      <w:pPr>
        <w:pStyle w:val="HChG"/>
      </w:pPr>
      <w:r w:rsidRPr="00FD6A6A">
        <w:lastRenderedPageBreak/>
        <w:tab/>
      </w:r>
      <w:r w:rsidR="00C81F3E">
        <w:tab/>
      </w:r>
      <w:r w:rsidRPr="00FD6A6A">
        <w:t>Appendixes</w:t>
      </w:r>
      <w:r w:rsidR="00541D05">
        <w:t xml:space="preserve"> </w:t>
      </w:r>
      <w:r w:rsidRPr="00FD6A6A">
        <w:t>–</w:t>
      </w:r>
      <w:r w:rsidR="00541D05">
        <w:t xml:space="preserve"> </w:t>
      </w:r>
      <w:r w:rsidRPr="00FD6A6A">
        <w:t>consolidated</w:t>
      </w:r>
      <w:r w:rsidR="00541D05">
        <w:t xml:space="preserve"> </w:t>
      </w:r>
      <w:r w:rsidRPr="00FD6A6A">
        <w:t>data</w:t>
      </w:r>
    </w:p>
    <w:p w14:paraId="071DADCF" w14:textId="0F19A017" w:rsidR="00D9258C" w:rsidRPr="00FD6A6A" w:rsidRDefault="00D9258C" w:rsidP="00C81F3E">
      <w:pPr>
        <w:pStyle w:val="H23G"/>
        <w:spacing w:after="240"/>
      </w:pPr>
      <w:r w:rsidRPr="00FD6A6A">
        <w:tab/>
      </w:r>
      <w:r w:rsidRPr="00FD6A6A">
        <w:tab/>
        <w:t>Percentage</w:t>
      </w:r>
      <w:r w:rsidR="00541D05">
        <w:t xml:space="preserve"> </w:t>
      </w:r>
      <w:r w:rsidRPr="00FD6A6A">
        <w:t>distribution</w:t>
      </w:r>
      <w:r w:rsidR="00541D05">
        <w:t xml:space="preserve"> </w:t>
      </w:r>
      <w:r w:rsidRPr="00FD6A6A">
        <w:t>of</w:t>
      </w:r>
      <w:r w:rsidR="00541D05">
        <w:t xml:space="preserve"> </w:t>
      </w:r>
      <w:r w:rsidRPr="00FD6A6A">
        <w:t>persons</w:t>
      </w:r>
      <w:r w:rsidR="00541D05">
        <w:t xml:space="preserve"> </w:t>
      </w:r>
      <w:r w:rsidRPr="00FD6A6A">
        <w:t>aged</w:t>
      </w:r>
      <w:r w:rsidR="00541D05">
        <w:t xml:space="preserve"> </w:t>
      </w:r>
      <w:r w:rsidRPr="00FD6A6A">
        <w:t>16</w:t>
      </w:r>
      <w:r w:rsidR="00541D05">
        <w:t xml:space="preserve"> </w:t>
      </w:r>
      <w:r w:rsidRPr="00FD6A6A">
        <w:t>or</w:t>
      </w:r>
      <w:r w:rsidR="00541D05">
        <w:t xml:space="preserve"> </w:t>
      </w:r>
      <w:r w:rsidRPr="00FD6A6A">
        <w:t>more</w:t>
      </w:r>
      <w:r w:rsidR="00541D05">
        <w:t xml:space="preserve"> </w:t>
      </w:r>
      <w:r w:rsidRPr="00FD6A6A">
        <w:t>employed</w:t>
      </w:r>
      <w:r w:rsidR="00541D05">
        <w:t xml:space="preserve"> </w:t>
      </w:r>
      <w:r w:rsidRPr="00FD6A6A">
        <w:t>in</w:t>
      </w:r>
      <w:r w:rsidR="00541D05">
        <w:t xml:space="preserve"> </w:t>
      </w:r>
      <w:r w:rsidRPr="00FD6A6A">
        <w:t>the</w:t>
      </w:r>
      <w:r w:rsidR="00541D05">
        <w:t xml:space="preserve"> </w:t>
      </w:r>
      <w:r w:rsidRPr="00FD6A6A">
        <w:t>reference</w:t>
      </w:r>
      <w:r w:rsidR="00541D05">
        <w:t xml:space="preserve"> </w:t>
      </w:r>
      <w:r w:rsidRPr="00FD6A6A">
        <w:t>week,</w:t>
      </w:r>
      <w:r w:rsidR="00541D05">
        <w:t xml:space="preserve"> </w:t>
      </w:r>
      <w:r w:rsidRPr="00FD6A6A">
        <w:t>by</w:t>
      </w:r>
      <w:r w:rsidR="00541D05">
        <w:t xml:space="preserve"> </w:t>
      </w:r>
      <w:r w:rsidRPr="00FD6A6A">
        <w:t>age</w:t>
      </w:r>
      <w:r w:rsidR="00541D05">
        <w:t xml:space="preserve"> </w:t>
      </w:r>
      <w:r w:rsidRPr="00FD6A6A">
        <w:t>group</w:t>
      </w:r>
      <w:r w:rsidR="00541D05">
        <w:t xml:space="preserve"> </w:t>
      </w:r>
      <w:r w:rsidRPr="00FD6A6A">
        <w:t>at</w:t>
      </w:r>
      <w:r w:rsidR="00541D05">
        <w:t xml:space="preserve"> </w:t>
      </w:r>
      <w:r w:rsidRPr="00FD6A6A">
        <w:t>first</w:t>
      </w:r>
      <w:r w:rsidR="00541D05">
        <w:t xml:space="preserve"> </w:t>
      </w:r>
      <w:r w:rsidRPr="00FD6A6A">
        <w:t>employment,</w:t>
      </w:r>
      <w:r w:rsidR="00541D05">
        <w:t xml:space="preserve"> </w:t>
      </w:r>
      <w:r w:rsidRPr="00FD6A6A">
        <w:t>according</w:t>
      </w:r>
      <w:r w:rsidR="00541D05">
        <w:t xml:space="preserve"> </w:t>
      </w:r>
      <w:r w:rsidRPr="00FD6A6A">
        <w:t>to</w:t>
      </w:r>
      <w:r w:rsidR="00541D05">
        <w:t xml:space="preserve"> </w:t>
      </w:r>
      <w:r w:rsidRPr="00FD6A6A">
        <w:t>sex,</w:t>
      </w:r>
      <w:r w:rsidR="00541D05">
        <w:t xml:space="preserve"> </w:t>
      </w:r>
      <w:r w:rsidRPr="00FD6A6A">
        <w:t>skin</w:t>
      </w:r>
      <w:r w:rsidR="00541D05">
        <w:t xml:space="preserve"> </w:t>
      </w:r>
      <w:r w:rsidRPr="00FD6A6A">
        <w:t>color/race</w:t>
      </w:r>
      <w:r w:rsidR="00541D05">
        <w:t xml:space="preserve"> </w:t>
      </w:r>
      <w:r w:rsidRPr="00FD6A6A">
        <w:t>and</w:t>
      </w:r>
      <w:r w:rsidR="00541D05">
        <w:t xml:space="preserve"> </w:t>
      </w:r>
      <w:r w:rsidRPr="00FD6A6A">
        <w:t>age</w:t>
      </w:r>
      <w:r w:rsidR="00541D05">
        <w:t xml:space="preserve"> </w:t>
      </w:r>
      <w:r w:rsidRPr="00FD6A6A">
        <w:t>group</w:t>
      </w:r>
    </w:p>
    <w:p w14:paraId="18A19A5F" w14:textId="77777777" w:rsidR="00D9258C" w:rsidRPr="00FD6A6A" w:rsidRDefault="00D9258C" w:rsidP="00C81F3E">
      <w:pPr>
        <w:pStyle w:val="SingleTxtG"/>
      </w:pPr>
      <w:r w:rsidRPr="00FD6A6A">
        <w:rPr>
          <w:noProof/>
          <w:lang w:eastAsia="en-GB"/>
        </w:rPr>
        <w:drawing>
          <wp:inline distT="0" distB="0" distL="0" distR="0" wp14:anchorId="70BBE84A" wp14:editId="73CB4B4D">
            <wp:extent cx="4981485" cy="2729771"/>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916" cy="2797409"/>
                    </a:xfrm>
                    <a:prstGeom prst="rect">
                      <a:avLst/>
                    </a:prstGeom>
                    <a:noFill/>
                    <a:ln>
                      <a:noFill/>
                    </a:ln>
                  </pic:spPr>
                </pic:pic>
              </a:graphicData>
            </a:graphic>
          </wp:inline>
        </w:drawing>
      </w:r>
    </w:p>
    <w:p w14:paraId="0AABDC85" w14:textId="6C7F35BC" w:rsidR="00D9258C" w:rsidRPr="00C81F3E" w:rsidRDefault="00D9258C" w:rsidP="00C81F3E">
      <w:pPr>
        <w:spacing w:before="120" w:after="240"/>
        <w:ind w:left="1134" w:right="1134" w:firstLine="170"/>
        <w:rPr>
          <w:sz w:val="18"/>
        </w:rPr>
      </w:pPr>
      <w:r w:rsidRPr="00C81F3E">
        <w:rPr>
          <w:i/>
          <w:iCs/>
          <w:sz w:val="18"/>
        </w:rPr>
        <w:t>Source:</w:t>
      </w:r>
      <w:r w:rsidR="00541D05" w:rsidRPr="00C81F3E">
        <w:rPr>
          <w:sz w:val="18"/>
        </w:rPr>
        <w:t xml:space="preserve"> </w:t>
      </w:r>
      <w:r w:rsidR="00F25349">
        <w:rPr>
          <w:sz w:val="18"/>
        </w:rPr>
        <w:t xml:space="preserve"> </w:t>
      </w:r>
      <w:r w:rsidRPr="00C81F3E">
        <w:rPr>
          <w:sz w:val="18"/>
        </w:rPr>
        <w:t>IBGE/2016</w:t>
      </w:r>
      <w:r w:rsidR="00541D05" w:rsidRPr="00C81F3E">
        <w:rPr>
          <w:sz w:val="18"/>
        </w:rPr>
        <w:t xml:space="preserve"> </w:t>
      </w:r>
      <w:r w:rsidRPr="00C81F3E">
        <w:rPr>
          <w:sz w:val="18"/>
        </w:rPr>
        <w:t>Annual</w:t>
      </w:r>
      <w:r w:rsidR="00541D05" w:rsidRPr="00C81F3E">
        <w:rPr>
          <w:sz w:val="18"/>
        </w:rPr>
        <w:t xml:space="preserve"> </w:t>
      </w:r>
      <w:r w:rsidRPr="00C81F3E">
        <w:rPr>
          <w:sz w:val="18"/>
        </w:rPr>
        <w:t>continuous</w:t>
      </w:r>
      <w:r w:rsidR="00541D05" w:rsidRPr="00C81F3E">
        <w:rPr>
          <w:sz w:val="18"/>
        </w:rPr>
        <w:t xml:space="preserve"> </w:t>
      </w:r>
      <w:r w:rsidRPr="00C81F3E">
        <w:rPr>
          <w:sz w:val="18"/>
        </w:rPr>
        <w:t>PNAD.</w:t>
      </w:r>
    </w:p>
    <w:p w14:paraId="7E37A205" w14:textId="4543714A" w:rsidR="00D9258C" w:rsidRPr="00FD6A6A" w:rsidRDefault="00D9258C" w:rsidP="00C81F3E">
      <w:pPr>
        <w:pStyle w:val="H23G"/>
      </w:pPr>
      <w:r w:rsidRPr="00FD6A6A">
        <w:tab/>
      </w:r>
      <w:r w:rsidR="00C81F3E">
        <w:tab/>
      </w:r>
      <w:r w:rsidRPr="00FD6A6A">
        <w:t>Unemployment</w:t>
      </w:r>
      <w:r w:rsidR="00541D05">
        <w:t xml:space="preserve"> </w:t>
      </w:r>
      <w:r w:rsidRPr="00FD6A6A">
        <w:t>rate</w:t>
      </w:r>
      <w:r w:rsidR="00541D05">
        <w:t xml:space="preserve"> </w:t>
      </w:r>
      <w:r w:rsidRPr="00FD6A6A">
        <w:t>of</w:t>
      </w:r>
      <w:r w:rsidR="00541D05">
        <w:t xml:space="preserve"> </w:t>
      </w:r>
      <w:r w:rsidRPr="00FD6A6A">
        <w:t>the</w:t>
      </w:r>
      <w:r w:rsidR="00541D05">
        <w:t xml:space="preserve"> </w:t>
      </w:r>
      <w:r w:rsidRPr="00FD6A6A">
        <w:t>population</w:t>
      </w:r>
      <w:r w:rsidR="00541D05">
        <w:t xml:space="preserve"> </w:t>
      </w:r>
      <w:r w:rsidRPr="00FD6A6A">
        <w:t>aged</w:t>
      </w:r>
      <w:r w:rsidR="00541D05">
        <w:t xml:space="preserve"> </w:t>
      </w:r>
      <w:r w:rsidRPr="00FD6A6A">
        <w:t>16</w:t>
      </w:r>
      <w:r w:rsidR="00541D05">
        <w:t xml:space="preserve"> </w:t>
      </w:r>
      <w:r w:rsidRPr="00FD6A6A">
        <w:t>or</w:t>
      </w:r>
      <w:r w:rsidR="00541D05">
        <w:t xml:space="preserve"> </w:t>
      </w:r>
      <w:r w:rsidRPr="00FD6A6A">
        <w:t>more</w:t>
      </w:r>
      <w:r w:rsidR="00541D05">
        <w:t xml:space="preserve"> </w:t>
      </w:r>
      <w:r w:rsidRPr="00FD6A6A">
        <w:t>(2004</w:t>
      </w:r>
      <w:r w:rsidR="00EA62F1">
        <w:t>–</w:t>
      </w:r>
      <w:r w:rsidRPr="00FD6A6A">
        <w:t>2015)</w:t>
      </w:r>
    </w:p>
    <w:p w14:paraId="374F9380" w14:textId="77777777" w:rsidR="00D9258C" w:rsidRPr="00FD6A6A" w:rsidRDefault="00D9258C" w:rsidP="00C81F3E">
      <w:pPr>
        <w:pStyle w:val="SingleTxtG"/>
      </w:pPr>
      <w:r w:rsidRPr="00FD6A6A">
        <w:rPr>
          <w:noProof/>
          <w:lang w:eastAsia="en-GB"/>
        </w:rPr>
        <w:drawing>
          <wp:inline distT="0" distB="0" distL="0" distR="0" wp14:anchorId="5914C2E1" wp14:editId="0C851FF6">
            <wp:extent cx="4802400" cy="27432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2815" cy="2789134"/>
                    </a:xfrm>
                    <a:prstGeom prst="rect">
                      <a:avLst/>
                    </a:prstGeom>
                    <a:noFill/>
                    <a:ln>
                      <a:noFill/>
                    </a:ln>
                  </pic:spPr>
                </pic:pic>
              </a:graphicData>
            </a:graphic>
          </wp:inline>
        </w:drawing>
      </w:r>
    </w:p>
    <w:p w14:paraId="02DA6EBE" w14:textId="673D5751" w:rsidR="00D9258C" w:rsidRPr="00F25349" w:rsidRDefault="00D9258C" w:rsidP="00F25349">
      <w:pPr>
        <w:spacing w:before="120"/>
        <w:ind w:left="1134" w:right="1134" w:firstLine="170"/>
        <w:rPr>
          <w:sz w:val="18"/>
        </w:rPr>
      </w:pPr>
      <w:r w:rsidRPr="00F25349">
        <w:rPr>
          <w:i/>
          <w:iCs/>
          <w:sz w:val="18"/>
        </w:rPr>
        <w:t>Source:</w:t>
      </w:r>
      <w:r w:rsidR="00F25349">
        <w:rPr>
          <w:sz w:val="18"/>
        </w:rPr>
        <w:t xml:space="preserve"> </w:t>
      </w:r>
      <w:r w:rsidR="00541D05" w:rsidRPr="00F25349">
        <w:rPr>
          <w:sz w:val="18"/>
        </w:rPr>
        <w:t xml:space="preserve"> </w:t>
      </w:r>
      <w:r w:rsidRPr="00F25349">
        <w:rPr>
          <w:sz w:val="18"/>
        </w:rPr>
        <w:t>IBGE/PNAD.</w:t>
      </w:r>
    </w:p>
    <w:p w14:paraId="10D72F51" w14:textId="3E1D1441" w:rsidR="00D9258C" w:rsidRPr="00F25349" w:rsidRDefault="00D9258C" w:rsidP="00F25349">
      <w:pPr>
        <w:ind w:left="1134" w:right="1134" w:firstLine="170"/>
        <w:rPr>
          <w:sz w:val="18"/>
        </w:rPr>
      </w:pPr>
      <w:r w:rsidRPr="00F25349">
        <w:rPr>
          <w:sz w:val="18"/>
        </w:rPr>
        <w:t>Prepared</w:t>
      </w:r>
      <w:r w:rsidR="00541D05" w:rsidRPr="00F25349">
        <w:rPr>
          <w:sz w:val="18"/>
        </w:rPr>
        <w:t xml:space="preserve"> </w:t>
      </w:r>
      <w:r w:rsidRPr="00F25349">
        <w:rPr>
          <w:sz w:val="18"/>
        </w:rPr>
        <w:t>by:</w:t>
      </w:r>
      <w:r w:rsidR="00541D05" w:rsidRPr="00F25349">
        <w:rPr>
          <w:sz w:val="18"/>
        </w:rPr>
        <w:t xml:space="preserve"> </w:t>
      </w:r>
      <w:r w:rsidRPr="00F25349">
        <w:rPr>
          <w:sz w:val="18"/>
        </w:rPr>
        <w:t>Institute</w:t>
      </w:r>
      <w:r w:rsidR="00541D05" w:rsidRPr="00F25349">
        <w:rPr>
          <w:sz w:val="18"/>
        </w:rPr>
        <w:t xml:space="preserve"> </w:t>
      </w:r>
      <w:r w:rsidRPr="00F25349">
        <w:rPr>
          <w:sz w:val="18"/>
        </w:rPr>
        <w:t>for</w:t>
      </w:r>
      <w:r w:rsidR="00541D05" w:rsidRPr="00F25349">
        <w:rPr>
          <w:sz w:val="18"/>
        </w:rPr>
        <w:t xml:space="preserve"> </w:t>
      </w:r>
      <w:r w:rsidRPr="00F25349">
        <w:rPr>
          <w:sz w:val="18"/>
        </w:rPr>
        <w:t>Applied</w:t>
      </w:r>
      <w:r w:rsidR="00541D05" w:rsidRPr="00F25349">
        <w:rPr>
          <w:sz w:val="18"/>
        </w:rPr>
        <w:t xml:space="preserve"> </w:t>
      </w:r>
      <w:r w:rsidRPr="00F25349">
        <w:rPr>
          <w:sz w:val="18"/>
        </w:rPr>
        <w:t>Economic</w:t>
      </w:r>
      <w:r w:rsidR="00541D05" w:rsidRPr="00F25349">
        <w:rPr>
          <w:sz w:val="18"/>
        </w:rPr>
        <w:t xml:space="preserve"> </w:t>
      </w:r>
      <w:r w:rsidRPr="00F25349">
        <w:rPr>
          <w:sz w:val="18"/>
        </w:rPr>
        <w:t>Research</w:t>
      </w:r>
      <w:r w:rsidR="00541D05" w:rsidRPr="00F25349">
        <w:rPr>
          <w:sz w:val="18"/>
        </w:rPr>
        <w:t xml:space="preserve"> </w:t>
      </w:r>
      <w:r w:rsidRPr="00F25349">
        <w:rPr>
          <w:sz w:val="18"/>
        </w:rPr>
        <w:t>(IPEA)/Office</w:t>
      </w:r>
      <w:r w:rsidR="00541D05" w:rsidRPr="00F25349">
        <w:rPr>
          <w:sz w:val="18"/>
        </w:rPr>
        <w:t xml:space="preserve"> </w:t>
      </w:r>
      <w:r w:rsidRPr="00F25349">
        <w:rPr>
          <w:sz w:val="18"/>
        </w:rPr>
        <w:t>of</w:t>
      </w:r>
      <w:r w:rsidR="00541D05" w:rsidRPr="00F25349">
        <w:rPr>
          <w:sz w:val="18"/>
        </w:rPr>
        <w:t xml:space="preserve"> </w:t>
      </w:r>
      <w:r w:rsidRPr="00F25349">
        <w:rPr>
          <w:sz w:val="18"/>
        </w:rPr>
        <w:t>Social</w:t>
      </w:r>
      <w:r w:rsidR="00541D05" w:rsidRPr="00F25349">
        <w:rPr>
          <w:sz w:val="18"/>
        </w:rPr>
        <w:t xml:space="preserve"> </w:t>
      </w:r>
      <w:r w:rsidRPr="00F25349">
        <w:rPr>
          <w:sz w:val="18"/>
        </w:rPr>
        <w:t>Studies</w:t>
      </w:r>
      <w:r w:rsidR="00541D05" w:rsidRPr="00F25349">
        <w:rPr>
          <w:sz w:val="18"/>
        </w:rPr>
        <w:t xml:space="preserve"> </w:t>
      </w:r>
      <w:r w:rsidRPr="00F25349">
        <w:rPr>
          <w:sz w:val="18"/>
        </w:rPr>
        <w:t>and</w:t>
      </w:r>
      <w:r w:rsidR="00541D05" w:rsidRPr="00F25349">
        <w:rPr>
          <w:sz w:val="18"/>
        </w:rPr>
        <w:t xml:space="preserve"> </w:t>
      </w:r>
      <w:r w:rsidRPr="00F25349">
        <w:rPr>
          <w:sz w:val="18"/>
        </w:rPr>
        <w:t>Policies</w:t>
      </w:r>
      <w:r w:rsidR="00541D05" w:rsidRPr="00F25349">
        <w:rPr>
          <w:sz w:val="18"/>
        </w:rPr>
        <w:t xml:space="preserve"> </w:t>
      </w:r>
      <w:r w:rsidRPr="00F25349">
        <w:rPr>
          <w:sz w:val="18"/>
        </w:rPr>
        <w:t>(DISOC).</w:t>
      </w:r>
      <w:r w:rsidR="00541D05" w:rsidRPr="00F25349">
        <w:rPr>
          <w:sz w:val="18"/>
        </w:rPr>
        <w:t xml:space="preserve"> </w:t>
      </w:r>
    </w:p>
    <w:p w14:paraId="2A3EE410" w14:textId="5104ABA0" w:rsidR="00D9258C" w:rsidRPr="00FD6A6A" w:rsidRDefault="00166390" w:rsidP="00166390">
      <w:pPr>
        <w:pStyle w:val="ParaNoG"/>
        <w:numPr>
          <w:ilvl w:val="0"/>
          <w:numId w:val="0"/>
        </w:numPr>
        <w:tabs>
          <w:tab w:val="left" w:pos="0"/>
        </w:tabs>
        <w:ind w:left="1134"/>
      </w:pPr>
      <w:r w:rsidRPr="00FD6A6A">
        <w:t>232.</w:t>
      </w:r>
      <w:r w:rsidRPr="00FD6A6A">
        <w:tab/>
      </w:r>
      <w:r w:rsidR="00D9258C" w:rsidRPr="00FD6A6A">
        <w:br w:type="page"/>
      </w:r>
    </w:p>
    <w:p w14:paraId="49BFF5AE" w14:textId="7BF272D7" w:rsidR="00D9258C" w:rsidRPr="00FD6A6A" w:rsidRDefault="00F25349" w:rsidP="00F25349">
      <w:pPr>
        <w:pStyle w:val="H23G"/>
      </w:pPr>
      <w:r>
        <w:lastRenderedPageBreak/>
        <w:tab/>
      </w:r>
      <w:r>
        <w:tab/>
      </w:r>
      <w:r w:rsidR="00D9258C" w:rsidRPr="00FD6A6A">
        <w:t>Unemployment</w:t>
      </w:r>
      <w:r w:rsidR="00541D05">
        <w:t xml:space="preserve"> </w:t>
      </w:r>
      <w:r w:rsidR="00D9258C" w:rsidRPr="00FD6A6A">
        <w:t>rate</w:t>
      </w:r>
      <w:r w:rsidR="00541D05">
        <w:t xml:space="preserve"> </w:t>
      </w:r>
      <w:r w:rsidR="00D9258C" w:rsidRPr="00FD6A6A">
        <w:t>of</w:t>
      </w:r>
      <w:r w:rsidR="00541D05">
        <w:t xml:space="preserve"> </w:t>
      </w:r>
      <w:r w:rsidR="00D9258C" w:rsidRPr="00FD6A6A">
        <w:t>the</w:t>
      </w:r>
      <w:r w:rsidR="00541D05">
        <w:t xml:space="preserve"> </w:t>
      </w:r>
      <w:r w:rsidR="00D9258C" w:rsidRPr="00FD6A6A">
        <w:t>population</w:t>
      </w:r>
      <w:r w:rsidR="00541D05">
        <w:t xml:space="preserve"> </w:t>
      </w:r>
      <w:r w:rsidR="00D9258C" w:rsidRPr="00FD6A6A">
        <w:t>aged</w:t>
      </w:r>
      <w:r w:rsidR="00541D05">
        <w:t xml:space="preserve"> </w:t>
      </w:r>
      <w:r w:rsidR="00D9258C" w:rsidRPr="00FD6A6A">
        <w:t>16</w:t>
      </w:r>
      <w:r w:rsidR="00541D05">
        <w:t xml:space="preserve"> </w:t>
      </w:r>
      <w:r w:rsidR="00D9258C" w:rsidRPr="00FD6A6A">
        <w:t>or</w:t>
      </w:r>
      <w:r w:rsidR="00541D05">
        <w:t xml:space="preserve"> </w:t>
      </w:r>
      <w:r w:rsidR="00D9258C" w:rsidRPr="00FD6A6A">
        <w:t>more</w:t>
      </w:r>
      <w:r w:rsidR="00541D05">
        <w:t xml:space="preserve"> </w:t>
      </w:r>
      <w:r w:rsidR="00D9258C" w:rsidRPr="00FD6A6A">
        <w:t>(2012</w:t>
      </w:r>
      <w:r w:rsidR="00EA62F1">
        <w:t>–</w:t>
      </w:r>
      <w:r w:rsidR="00D9258C" w:rsidRPr="00FD6A6A">
        <w:t>2016)</w:t>
      </w:r>
    </w:p>
    <w:p w14:paraId="6440F311" w14:textId="77777777" w:rsidR="00D9258C" w:rsidRPr="00FD6A6A" w:rsidRDefault="00D9258C" w:rsidP="00F25349">
      <w:pPr>
        <w:pStyle w:val="SingleTxtG"/>
      </w:pPr>
      <w:r w:rsidRPr="00FD6A6A">
        <w:rPr>
          <w:noProof/>
          <w:lang w:eastAsia="en-GB"/>
        </w:rPr>
        <w:drawing>
          <wp:inline distT="0" distB="0" distL="0" distR="0" wp14:anchorId="6A27DB42" wp14:editId="16136A57">
            <wp:extent cx="4836583" cy="2901950"/>
            <wp:effectExtent l="0" t="0" r="254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904" cy="2915342"/>
                    </a:xfrm>
                    <a:prstGeom prst="rect">
                      <a:avLst/>
                    </a:prstGeom>
                    <a:noFill/>
                    <a:ln>
                      <a:noFill/>
                    </a:ln>
                  </pic:spPr>
                </pic:pic>
              </a:graphicData>
            </a:graphic>
          </wp:inline>
        </w:drawing>
      </w:r>
    </w:p>
    <w:p w14:paraId="2AB9D1BB" w14:textId="5F4FC746" w:rsidR="00D9258C" w:rsidRPr="00F25349" w:rsidRDefault="00D9258C" w:rsidP="00F25349">
      <w:pPr>
        <w:spacing w:before="120"/>
        <w:ind w:left="1134" w:right="1134" w:firstLine="170"/>
        <w:rPr>
          <w:sz w:val="18"/>
        </w:rPr>
      </w:pPr>
      <w:r w:rsidRPr="00F25349">
        <w:rPr>
          <w:i/>
          <w:iCs/>
          <w:sz w:val="18"/>
        </w:rPr>
        <w:t>Source:</w:t>
      </w:r>
      <w:r w:rsidR="00F25349">
        <w:rPr>
          <w:sz w:val="18"/>
        </w:rPr>
        <w:t xml:space="preserve"> </w:t>
      </w:r>
      <w:r w:rsidR="00541D05" w:rsidRPr="00F25349">
        <w:rPr>
          <w:sz w:val="18"/>
        </w:rPr>
        <w:t xml:space="preserve"> </w:t>
      </w:r>
      <w:r w:rsidRPr="00F25349">
        <w:rPr>
          <w:sz w:val="18"/>
        </w:rPr>
        <w:t>IBGE/Annual</w:t>
      </w:r>
      <w:r w:rsidR="00541D05" w:rsidRPr="00F25349">
        <w:rPr>
          <w:sz w:val="18"/>
        </w:rPr>
        <w:t xml:space="preserve"> </w:t>
      </w:r>
      <w:r w:rsidRPr="00F25349">
        <w:rPr>
          <w:sz w:val="18"/>
        </w:rPr>
        <w:t>continuous</w:t>
      </w:r>
      <w:r w:rsidR="00541D05" w:rsidRPr="00F25349">
        <w:rPr>
          <w:sz w:val="18"/>
        </w:rPr>
        <w:t xml:space="preserve"> </w:t>
      </w:r>
      <w:r w:rsidRPr="00F25349">
        <w:rPr>
          <w:sz w:val="18"/>
        </w:rPr>
        <w:t>PNAD.</w:t>
      </w:r>
    </w:p>
    <w:p w14:paraId="35AFC4C2" w14:textId="6C224A9A" w:rsidR="00D9258C" w:rsidRPr="00F25349" w:rsidRDefault="00D9258C" w:rsidP="00F25349">
      <w:pPr>
        <w:ind w:left="1134" w:right="1134" w:firstLine="170"/>
        <w:rPr>
          <w:sz w:val="18"/>
        </w:rPr>
      </w:pPr>
      <w:r w:rsidRPr="00F25349">
        <w:rPr>
          <w:sz w:val="18"/>
        </w:rPr>
        <w:t>Prepared</w:t>
      </w:r>
      <w:r w:rsidR="00541D05" w:rsidRPr="00F25349">
        <w:rPr>
          <w:sz w:val="18"/>
        </w:rPr>
        <w:t xml:space="preserve"> </w:t>
      </w:r>
      <w:r w:rsidRPr="00F25349">
        <w:rPr>
          <w:sz w:val="18"/>
        </w:rPr>
        <w:t>by:</w:t>
      </w:r>
      <w:r w:rsidR="00541D05" w:rsidRPr="00F25349">
        <w:rPr>
          <w:sz w:val="18"/>
        </w:rPr>
        <w:t xml:space="preserve"> </w:t>
      </w:r>
      <w:r w:rsidRPr="00F25349">
        <w:rPr>
          <w:sz w:val="18"/>
        </w:rPr>
        <w:t>IPEA/DISOC/Social</w:t>
      </w:r>
      <w:r w:rsidR="00541D05" w:rsidRPr="00F25349">
        <w:rPr>
          <w:sz w:val="18"/>
        </w:rPr>
        <w:t xml:space="preserve"> </w:t>
      </w:r>
      <w:r w:rsidRPr="00F25349">
        <w:rPr>
          <w:sz w:val="18"/>
        </w:rPr>
        <w:t>Information</w:t>
      </w:r>
      <w:r w:rsidR="00541D05" w:rsidRPr="00F25349">
        <w:rPr>
          <w:sz w:val="18"/>
        </w:rPr>
        <w:t xml:space="preserve"> </w:t>
      </w:r>
      <w:r w:rsidRPr="00F25349">
        <w:rPr>
          <w:sz w:val="18"/>
        </w:rPr>
        <w:t>Management</w:t>
      </w:r>
      <w:r w:rsidR="00541D05" w:rsidRPr="00F25349">
        <w:rPr>
          <w:sz w:val="18"/>
        </w:rPr>
        <w:t xml:space="preserve"> </w:t>
      </w:r>
      <w:r w:rsidRPr="00F25349">
        <w:rPr>
          <w:sz w:val="18"/>
        </w:rPr>
        <w:t>Center</w:t>
      </w:r>
      <w:r w:rsidR="00541D05" w:rsidRPr="00F25349">
        <w:rPr>
          <w:sz w:val="18"/>
        </w:rPr>
        <w:t xml:space="preserve"> </w:t>
      </w:r>
      <w:r w:rsidRPr="00F25349">
        <w:rPr>
          <w:sz w:val="18"/>
        </w:rPr>
        <w:t>(NINSOC).</w:t>
      </w:r>
    </w:p>
    <w:p w14:paraId="331C0771" w14:textId="3DFF55BE" w:rsidR="00D9258C" w:rsidRPr="00FD6A6A" w:rsidRDefault="00D9258C" w:rsidP="00F25349">
      <w:pPr>
        <w:pStyle w:val="H23G"/>
      </w:pPr>
      <w:r w:rsidRPr="00FD6A6A">
        <w:tab/>
      </w:r>
      <w:r w:rsidR="00F25349">
        <w:tab/>
      </w:r>
      <w:r w:rsidRPr="00FD6A6A">
        <w:t>Informal</w:t>
      </w:r>
      <w:r w:rsidR="00541D05">
        <w:t xml:space="preserve"> </w:t>
      </w:r>
      <w:r w:rsidRPr="00FD6A6A">
        <w:t>employment</w:t>
      </w:r>
      <w:r w:rsidR="00541D05">
        <w:t xml:space="preserve"> </w:t>
      </w:r>
      <w:r w:rsidRPr="00FD6A6A">
        <w:t>rate</w:t>
      </w:r>
      <w:r w:rsidR="00541D05">
        <w:t xml:space="preserve"> </w:t>
      </w:r>
      <w:r w:rsidRPr="00FD6A6A">
        <w:t>of</w:t>
      </w:r>
      <w:r w:rsidR="00541D05">
        <w:t xml:space="preserve"> </w:t>
      </w:r>
      <w:r w:rsidRPr="00FD6A6A">
        <w:t>persons</w:t>
      </w:r>
      <w:r w:rsidR="00541D05">
        <w:t xml:space="preserve"> </w:t>
      </w:r>
      <w:r w:rsidRPr="00FD6A6A">
        <w:t>aged</w:t>
      </w:r>
      <w:r w:rsidR="00541D05">
        <w:t xml:space="preserve"> </w:t>
      </w:r>
      <w:r w:rsidRPr="00FD6A6A">
        <w:t>16</w:t>
      </w:r>
      <w:r w:rsidR="00541D05">
        <w:t xml:space="preserve"> </w:t>
      </w:r>
      <w:r w:rsidRPr="00FD6A6A">
        <w:t>or</w:t>
      </w:r>
      <w:r w:rsidR="00541D05">
        <w:t xml:space="preserve"> </w:t>
      </w:r>
      <w:r w:rsidRPr="00FD6A6A">
        <w:t>more</w:t>
      </w:r>
      <w:r w:rsidR="00541D05">
        <w:t xml:space="preserve"> </w:t>
      </w:r>
      <w:r w:rsidRPr="00FD6A6A">
        <w:t>by</w:t>
      </w:r>
      <w:r w:rsidR="00541D05">
        <w:t xml:space="preserve"> </w:t>
      </w:r>
      <w:r w:rsidRPr="00FD6A6A">
        <w:t>race</w:t>
      </w:r>
      <w:r w:rsidR="00541D05">
        <w:t xml:space="preserve"> </w:t>
      </w:r>
      <w:r w:rsidRPr="00FD6A6A">
        <w:t>–</w:t>
      </w:r>
      <w:r w:rsidR="00541D05">
        <w:t xml:space="preserve"> </w:t>
      </w:r>
      <w:r w:rsidRPr="00FD6A6A">
        <w:t>Brazil,</w:t>
      </w:r>
      <w:r w:rsidR="00541D05">
        <w:t xml:space="preserve"> </w:t>
      </w:r>
      <w:r w:rsidRPr="00FD6A6A">
        <w:t>2012</w:t>
      </w:r>
      <w:r w:rsidR="00541D05">
        <w:t xml:space="preserve"> </w:t>
      </w:r>
      <w:r w:rsidRPr="00FD6A6A">
        <w:t>to</w:t>
      </w:r>
      <w:r w:rsidR="00541D05">
        <w:t xml:space="preserve"> </w:t>
      </w:r>
      <w:r w:rsidRPr="00FD6A6A">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6"/>
        <w:gridCol w:w="2558"/>
        <w:gridCol w:w="2406"/>
      </w:tblGrid>
      <w:tr w:rsidR="00F25349" w:rsidRPr="00F25349" w14:paraId="5D53F952" w14:textId="77777777" w:rsidTr="00F25349">
        <w:trPr>
          <w:tblHeader/>
        </w:trPr>
        <w:tc>
          <w:tcPr>
            <w:tcW w:w="2406" w:type="dxa"/>
            <w:tcBorders>
              <w:top w:val="single" w:sz="4" w:space="0" w:color="auto"/>
              <w:bottom w:val="single" w:sz="12" w:space="0" w:color="auto"/>
            </w:tcBorders>
            <w:shd w:val="clear" w:color="auto" w:fill="auto"/>
            <w:vAlign w:val="bottom"/>
          </w:tcPr>
          <w:p w14:paraId="55564008" w14:textId="325E7C13" w:rsidR="00D9258C" w:rsidRPr="00F25349" w:rsidRDefault="00D9258C" w:rsidP="00F25349">
            <w:pPr>
              <w:suppressAutoHyphens w:val="0"/>
              <w:spacing w:before="80" w:after="80" w:line="200" w:lineRule="exact"/>
              <w:ind w:right="113"/>
              <w:rPr>
                <w:i/>
                <w:sz w:val="16"/>
              </w:rPr>
            </w:pPr>
          </w:p>
        </w:tc>
        <w:tc>
          <w:tcPr>
            <w:tcW w:w="2558" w:type="dxa"/>
            <w:tcBorders>
              <w:top w:val="single" w:sz="4" w:space="0" w:color="auto"/>
              <w:bottom w:val="single" w:sz="12" w:space="0" w:color="auto"/>
            </w:tcBorders>
            <w:shd w:val="clear" w:color="auto" w:fill="auto"/>
            <w:vAlign w:val="bottom"/>
          </w:tcPr>
          <w:p w14:paraId="68E365C5" w14:textId="77777777" w:rsidR="00D9258C" w:rsidRPr="00F25349" w:rsidRDefault="00D9258C" w:rsidP="00F25349">
            <w:pPr>
              <w:suppressAutoHyphens w:val="0"/>
              <w:spacing w:before="80" w:after="80" w:line="200" w:lineRule="exact"/>
              <w:ind w:right="113"/>
              <w:jc w:val="right"/>
              <w:rPr>
                <w:i/>
                <w:sz w:val="16"/>
              </w:rPr>
            </w:pPr>
            <w:r w:rsidRPr="00F25349">
              <w:rPr>
                <w:i/>
                <w:sz w:val="16"/>
              </w:rPr>
              <w:t>White</w:t>
            </w:r>
          </w:p>
        </w:tc>
        <w:tc>
          <w:tcPr>
            <w:tcW w:w="2406" w:type="dxa"/>
            <w:tcBorders>
              <w:top w:val="single" w:sz="4" w:space="0" w:color="auto"/>
              <w:bottom w:val="single" w:sz="12" w:space="0" w:color="auto"/>
            </w:tcBorders>
            <w:shd w:val="clear" w:color="auto" w:fill="auto"/>
            <w:vAlign w:val="bottom"/>
          </w:tcPr>
          <w:p w14:paraId="76C421DC" w14:textId="77777777" w:rsidR="00D9258C" w:rsidRPr="00F25349" w:rsidRDefault="00D9258C" w:rsidP="00F25349">
            <w:pPr>
              <w:suppressAutoHyphens w:val="0"/>
              <w:spacing w:before="80" w:after="80" w:line="200" w:lineRule="exact"/>
              <w:ind w:right="113"/>
              <w:jc w:val="right"/>
              <w:rPr>
                <w:i/>
                <w:sz w:val="16"/>
              </w:rPr>
            </w:pPr>
            <w:r w:rsidRPr="00F25349">
              <w:rPr>
                <w:i/>
                <w:sz w:val="16"/>
              </w:rPr>
              <w:t>Afro-Brazilian</w:t>
            </w:r>
          </w:p>
        </w:tc>
      </w:tr>
      <w:tr w:rsidR="00F25349" w:rsidRPr="00F25349" w14:paraId="44007A6E" w14:textId="77777777" w:rsidTr="00F25349">
        <w:tc>
          <w:tcPr>
            <w:tcW w:w="2406" w:type="dxa"/>
            <w:tcBorders>
              <w:top w:val="single" w:sz="12" w:space="0" w:color="auto"/>
            </w:tcBorders>
            <w:shd w:val="clear" w:color="auto" w:fill="auto"/>
          </w:tcPr>
          <w:p w14:paraId="79909720" w14:textId="77777777" w:rsidR="00D9258C" w:rsidRPr="00F25349" w:rsidRDefault="00D9258C" w:rsidP="00F25349">
            <w:pPr>
              <w:suppressAutoHyphens w:val="0"/>
              <w:spacing w:before="40" w:after="40" w:line="220" w:lineRule="exact"/>
              <w:ind w:right="113"/>
              <w:rPr>
                <w:sz w:val="18"/>
              </w:rPr>
            </w:pPr>
            <w:r w:rsidRPr="00F25349">
              <w:rPr>
                <w:sz w:val="18"/>
              </w:rPr>
              <w:t>2012</w:t>
            </w:r>
          </w:p>
        </w:tc>
        <w:tc>
          <w:tcPr>
            <w:tcW w:w="2558" w:type="dxa"/>
            <w:tcBorders>
              <w:top w:val="single" w:sz="12" w:space="0" w:color="auto"/>
            </w:tcBorders>
            <w:shd w:val="clear" w:color="auto" w:fill="auto"/>
            <w:vAlign w:val="bottom"/>
          </w:tcPr>
          <w:p w14:paraId="3B02ACBF" w14:textId="77777777" w:rsidR="00D9258C" w:rsidRPr="00F25349" w:rsidRDefault="00D9258C" w:rsidP="00F25349">
            <w:pPr>
              <w:suppressAutoHyphens w:val="0"/>
              <w:spacing w:before="40" w:after="40" w:line="220" w:lineRule="exact"/>
              <w:ind w:right="113"/>
              <w:jc w:val="right"/>
              <w:rPr>
                <w:sz w:val="18"/>
              </w:rPr>
            </w:pPr>
            <w:r w:rsidRPr="00F25349">
              <w:rPr>
                <w:sz w:val="18"/>
              </w:rPr>
              <w:t>16.3</w:t>
            </w:r>
          </w:p>
        </w:tc>
        <w:tc>
          <w:tcPr>
            <w:tcW w:w="2406" w:type="dxa"/>
            <w:tcBorders>
              <w:top w:val="single" w:sz="12" w:space="0" w:color="auto"/>
            </w:tcBorders>
            <w:shd w:val="clear" w:color="auto" w:fill="auto"/>
            <w:vAlign w:val="bottom"/>
          </w:tcPr>
          <w:p w14:paraId="70A9FA9E" w14:textId="77777777" w:rsidR="00D9258C" w:rsidRPr="00F25349" w:rsidRDefault="00D9258C" w:rsidP="00F25349">
            <w:pPr>
              <w:suppressAutoHyphens w:val="0"/>
              <w:spacing w:before="40" w:after="40" w:line="220" w:lineRule="exact"/>
              <w:ind w:right="113"/>
              <w:jc w:val="right"/>
              <w:rPr>
                <w:sz w:val="18"/>
              </w:rPr>
            </w:pPr>
            <w:r w:rsidRPr="00F25349">
              <w:rPr>
                <w:sz w:val="18"/>
              </w:rPr>
              <w:t>23.65</w:t>
            </w:r>
          </w:p>
        </w:tc>
      </w:tr>
      <w:tr w:rsidR="00D9258C" w:rsidRPr="00F25349" w14:paraId="4592055F" w14:textId="77777777" w:rsidTr="00F25349">
        <w:tc>
          <w:tcPr>
            <w:tcW w:w="2406" w:type="dxa"/>
            <w:shd w:val="clear" w:color="auto" w:fill="auto"/>
          </w:tcPr>
          <w:p w14:paraId="6165B1B0" w14:textId="77777777" w:rsidR="00D9258C" w:rsidRPr="00F25349" w:rsidRDefault="00D9258C" w:rsidP="00F25349">
            <w:pPr>
              <w:suppressAutoHyphens w:val="0"/>
              <w:spacing w:before="40" w:after="40" w:line="220" w:lineRule="exact"/>
              <w:ind w:right="113"/>
              <w:rPr>
                <w:sz w:val="18"/>
              </w:rPr>
            </w:pPr>
            <w:r w:rsidRPr="00F25349">
              <w:rPr>
                <w:sz w:val="18"/>
              </w:rPr>
              <w:t>2013</w:t>
            </w:r>
          </w:p>
        </w:tc>
        <w:tc>
          <w:tcPr>
            <w:tcW w:w="2558" w:type="dxa"/>
            <w:shd w:val="clear" w:color="auto" w:fill="auto"/>
            <w:vAlign w:val="bottom"/>
          </w:tcPr>
          <w:p w14:paraId="155EA414" w14:textId="77777777" w:rsidR="00D9258C" w:rsidRPr="00F25349" w:rsidRDefault="00D9258C" w:rsidP="00F25349">
            <w:pPr>
              <w:suppressAutoHyphens w:val="0"/>
              <w:spacing w:before="40" w:after="40" w:line="220" w:lineRule="exact"/>
              <w:ind w:right="113"/>
              <w:jc w:val="right"/>
              <w:rPr>
                <w:sz w:val="18"/>
              </w:rPr>
            </w:pPr>
            <w:r w:rsidRPr="00F25349">
              <w:rPr>
                <w:sz w:val="18"/>
              </w:rPr>
              <w:t>15.99</w:t>
            </w:r>
          </w:p>
        </w:tc>
        <w:tc>
          <w:tcPr>
            <w:tcW w:w="2406" w:type="dxa"/>
            <w:shd w:val="clear" w:color="auto" w:fill="auto"/>
            <w:vAlign w:val="bottom"/>
          </w:tcPr>
          <w:p w14:paraId="6AC93F65" w14:textId="77777777" w:rsidR="00D9258C" w:rsidRPr="00F25349" w:rsidRDefault="00D9258C" w:rsidP="00F25349">
            <w:pPr>
              <w:suppressAutoHyphens w:val="0"/>
              <w:spacing w:before="40" w:after="40" w:line="220" w:lineRule="exact"/>
              <w:ind w:right="113"/>
              <w:jc w:val="right"/>
              <w:rPr>
                <w:sz w:val="18"/>
              </w:rPr>
            </w:pPr>
            <w:r w:rsidRPr="00F25349">
              <w:rPr>
                <w:sz w:val="18"/>
              </w:rPr>
              <w:t>23.1</w:t>
            </w:r>
          </w:p>
        </w:tc>
      </w:tr>
      <w:tr w:rsidR="00D9258C" w:rsidRPr="00F25349" w14:paraId="25A45E13" w14:textId="77777777" w:rsidTr="00F25349">
        <w:tc>
          <w:tcPr>
            <w:tcW w:w="2406" w:type="dxa"/>
            <w:shd w:val="clear" w:color="auto" w:fill="auto"/>
          </w:tcPr>
          <w:p w14:paraId="0DE4D4C6" w14:textId="77777777" w:rsidR="00D9258C" w:rsidRPr="00F25349" w:rsidRDefault="00D9258C" w:rsidP="00F25349">
            <w:pPr>
              <w:suppressAutoHyphens w:val="0"/>
              <w:spacing w:before="40" w:after="40" w:line="220" w:lineRule="exact"/>
              <w:ind w:right="113"/>
              <w:rPr>
                <w:sz w:val="18"/>
              </w:rPr>
            </w:pPr>
            <w:r w:rsidRPr="00F25349">
              <w:rPr>
                <w:sz w:val="18"/>
              </w:rPr>
              <w:t>2014</w:t>
            </w:r>
          </w:p>
        </w:tc>
        <w:tc>
          <w:tcPr>
            <w:tcW w:w="2558" w:type="dxa"/>
            <w:shd w:val="clear" w:color="auto" w:fill="auto"/>
            <w:vAlign w:val="bottom"/>
          </w:tcPr>
          <w:p w14:paraId="1EC35971" w14:textId="77777777" w:rsidR="00D9258C" w:rsidRPr="00F25349" w:rsidRDefault="00D9258C" w:rsidP="00F25349">
            <w:pPr>
              <w:suppressAutoHyphens w:val="0"/>
              <w:spacing w:before="40" w:after="40" w:line="220" w:lineRule="exact"/>
              <w:ind w:right="113"/>
              <w:jc w:val="right"/>
              <w:rPr>
                <w:sz w:val="18"/>
              </w:rPr>
            </w:pPr>
            <w:r w:rsidRPr="00F25349">
              <w:rPr>
                <w:sz w:val="18"/>
              </w:rPr>
              <w:t>15.36</w:t>
            </w:r>
          </w:p>
        </w:tc>
        <w:tc>
          <w:tcPr>
            <w:tcW w:w="2406" w:type="dxa"/>
            <w:shd w:val="clear" w:color="auto" w:fill="auto"/>
            <w:vAlign w:val="bottom"/>
          </w:tcPr>
          <w:p w14:paraId="474B0FA7" w14:textId="77777777" w:rsidR="00D9258C" w:rsidRPr="00F25349" w:rsidRDefault="00D9258C" w:rsidP="00F25349">
            <w:pPr>
              <w:suppressAutoHyphens w:val="0"/>
              <w:spacing w:before="40" w:after="40" w:line="220" w:lineRule="exact"/>
              <w:ind w:right="113"/>
              <w:jc w:val="right"/>
              <w:rPr>
                <w:sz w:val="18"/>
              </w:rPr>
            </w:pPr>
            <w:r w:rsidRPr="00F25349">
              <w:rPr>
                <w:sz w:val="18"/>
              </w:rPr>
              <w:t>22.34</w:t>
            </w:r>
          </w:p>
        </w:tc>
      </w:tr>
      <w:tr w:rsidR="00D9258C" w:rsidRPr="00F25349" w14:paraId="00EC68DD" w14:textId="77777777" w:rsidTr="00F25349">
        <w:tc>
          <w:tcPr>
            <w:tcW w:w="2406" w:type="dxa"/>
            <w:shd w:val="clear" w:color="auto" w:fill="auto"/>
          </w:tcPr>
          <w:p w14:paraId="2DB9C1AA" w14:textId="77777777" w:rsidR="00D9258C" w:rsidRPr="00F25349" w:rsidRDefault="00D9258C" w:rsidP="00F25349">
            <w:pPr>
              <w:suppressAutoHyphens w:val="0"/>
              <w:spacing w:before="40" w:after="40" w:line="220" w:lineRule="exact"/>
              <w:ind w:right="113"/>
              <w:rPr>
                <w:sz w:val="18"/>
              </w:rPr>
            </w:pPr>
            <w:r w:rsidRPr="00F25349">
              <w:rPr>
                <w:sz w:val="18"/>
              </w:rPr>
              <w:t>2015</w:t>
            </w:r>
          </w:p>
        </w:tc>
        <w:tc>
          <w:tcPr>
            <w:tcW w:w="2558" w:type="dxa"/>
            <w:shd w:val="clear" w:color="auto" w:fill="auto"/>
            <w:vAlign w:val="bottom"/>
          </w:tcPr>
          <w:p w14:paraId="4A476A87" w14:textId="77777777" w:rsidR="00D9258C" w:rsidRPr="00F25349" w:rsidRDefault="00D9258C" w:rsidP="00F25349">
            <w:pPr>
              <w:suppressAutoHyphens w:val="0"/>
              <w:spacing w:before="40" w:after="40" w:line="220" w:lineRule="exact"/>
              <w:ind w:right="113"/>
              <w:jc w:val="right"/>
              <w:rPr>
                <w:sz w:val="18"/>
              </w:rPr>
            </w:pPr>
            <w:r w:rsidRPr="00F25349">
              <w:rPr>
                <w:sz w:val="18"/>
              </w:rPr>
              <w:t>15.17</w:t>
            </w:r>
          </w:p>
        </w:tc>
        <w:tc>
          <w:tcPr>
            <w:tcW w:w="2406" w:type="dxa"/>
            <w:shd w:val="clear" w:color="auto" w:fill="auto"/>
            <w:vAlign w:val="bottom"/>
          </w:tcPr>
          <w:p w14:paraId="30CE99BB" w14:textId="77777777" w:rsidR="00D9258C" w:rsidRPr="00F25349" w:rsidRDefault="00D9258C" w:rsidP="00F25349">
            <w:pPr>
              <w:suppressAutoHyphens w:val="0"/>
              <w:spacing w:before="40" w:after="40" w:line="220" w:lineRule="exact"/>
              <w:ind w:right="113"/>
              <w:jc w:val="right"/>
              <w:rPr>
                <w:sz w:val="18"/>
              </w:rPr>
            </w:pPr>
            <w:r w:rsidRPr="00F25349">
              <w:rPr>
                <w:sz w:val="18"/>
              </w:rPr>
              <w:t>22.12</w:t>
            </w:r>
          </w:p>
        </w:tc>
      </w:tr>
      <w:tr w:rsidR="00F25349" w:rsidRPr="00F25349" w14:paraId="73EEC6D2" w14:textId="77777777" w:rsidTr="00F25349">
        <w:tc>
          <w:tcPr>
            <w:tcW w:w="2406" w:type="dxa"/>
            <w:shd w:val="clear" w:color="auto" w:fill="auto"/>
          </w:tcPr>
          <w:p w14:paraId="087F962B" w14:textId="77777777" w:rsidR="00D9258C" w:rsidRPr="00F25349" w:rsidRDefault="00D9258C" w:rsidP="00F25349">
            <w:pPr>
              <w:suppressAutoHyphens w:val="0"/>
              <w:spacing w:before="40" w:after="40" w:line="220" w:lineRule="exact"/>
              <w:ind w:right="113"/>
              <w:rPr>
                <w:sz w:val="18"/>
              </w:rPr>
            </w:pPr>
            <w:r w:rsidRPr="00F25349">
              <w:rPr>
                <w:sz w:val="18"/>
              </w:rPr>
              <w:t>2016</w:t>
            </w:r>
          </w:p>
        </w:tc>
        <w:tc>
          <w:tcPr>
            <w:tcW w:w="2558" w:type="dxa"/>
            <w:shd w:val="clear" w:color="auto" w:fill="auto"/>
            <w:vAlign w:val="bottom"/>
          </w:tcPr>
          <w:p w14:paraId="21B0A5B9" w14:textId="77777777" w:rsidR="00D9258C" w:rsidRPr="00F25349" w:rsidRDefault="00D9258C" w:rsidP="00F25349">
            <w:pPr>
              <w:suppressAutoHyphens w:val="0"/>
              <w:spacing w:before="40" w:after="40" w:line="220" w:lineRule="exact"/>
              <w:ind w:right="113"/>
              <w:jc w:val="right"/>
              <w:rPr>
                <w:sz w:val="18"/>
              </w:rPr>
            </w:pPr>
            <w:r w:rsidRPr="00F25349">
              <w:rPr>
                <w:sz w:val="18"/>
              </w:rPr>
              <w:t>15.51</w:t>
            </w:r>
          </w:p>
        </w:tc>
        <w:tc>
          <w:tcPr>
            <w:tcW w:w="2406" w:type="dxa"/>
            <w:shd w:val="clear" w:color="auto" w:fill="auto"/>
            <w:vAlign w:val="bottom"/>
          </w:tcPr>
          <w:p w14:paraId="10D26EBB" w14:textId="77777777" w:rsidR="00D9258C" w:rsidRPr="00F25349" w:rsidRDefault="00D9258C" w:rsidP="00F25349">
            <w:pPr>
              <w:suppressAutoHyphens w:val="0"/>
              <w:spacing w:before="40" w:after="40" w:line="220" w:lineRule="exact"/>
              <w:ind w:right="113"/>
              <w:jc w:val="right"/>
              <w:rPr>
                <w:sz w:val="18"/>
              </w:rPr>
            </w:pPr>
            <w:r w:rsidRPr="00F25349">
              <w:rPr>
                <w:sz w:val="18"/>
              </w:rPr>
              <w:t>23.07</w:t>
            </w:r>
          </w:p>
        </w:tc>
      </w:tr>
    </w:tbl>
    <w:p w14:paraId="2A4E6867" w14:textId="2F041E4C" w:rsidR="00D9258C" w:rsidRPr="00F25349" w:rsidRDefault="00D9258C" w:rsidP="00F25349">
      <w:pPr>
        <w:spacing w:before="120"/>
        <w:ind w:left="1134" w:right="1134" w:firstLine="170"/>
        <w:rPr>
          <w:sz w:val="18"/>
        </w:rPr>
      </w:pPr>
      <w:r w:rsidRPr="00F25349">
        <w:rPr>
          <w:i/>
          <w:iCs/>
          <w:sz w:val="18"/>
        </w:rPr>
        <w:t>Source:</w:t>
      </w:r>
      <w:r w:rsidR="00541D05" w:rsidRPr="00F25349">
        <w:rPr>
          <w:i/>
          <w:iCs/>
          <w:sz w:val="18"/>
        </w:rPr>
        <w:t xml:space="preserve"> </w:t>
      </w:r>
      <w:r w:rsidR="00F25349">
        <w:rPr>
          <w:i/>
          <w:iCs/>
          <w:sz w:val="18"/>
        </w:rPr>
        <w:t xml:space="preserve"> </w:t>
      </w:r>
      <w:r w:rsidRPr="00F25349">
        <w:rPr>
          <w:sz w:val="18"/>
        </w:rPr>
        <w:t>IBGE/Annual</w:t>
      </w:r>
      <w:r w:rsidR="00541D05" w:rsidRPr="00F25349">
        <w:rPr>
          <w:sz w:val="18"/>
        </w:rPr>
        <w:t xml:space="preserve"> </w:t>
      </w:r>
      <w:r w:rsidRPr="00F25349">
        <w:rPr>
          <w:sz w:val="18"/>
        </w:rPr>
        <w:t>continuous</w:t>
      </w:r>
      <w:r w:rsidR="00541D05" w:rsidRPr="00F25349">
        <w:rPr>
          <w:sz w:val="18"/>
        </w:rPr>
        <w:t xml:space="preserve"> </w:t>
      </w:r>
      <w:r w:rsidRPr="00F25349">
        <w:rPr>
          <w:sz w:val="18"/>
        </w:rPr>
        <w:t>PNAD.</w:t>
      </w:r>
    </w:p>
    <w:p w14:paraId="1D080E43" w14:textId="16C96953" w:rsidR="00D9258C" w:rsidRPr="00F25349" w:rsidRDefault="00D9258C" w:rsidP="00F25349">
      <w:pPr>
        <w:spacing w:after="240"/>
        <w:ind w:left="1134" w:right="1134" w:firstLine="170"/>
        <w:rPr>
          <w:sz w:val="18"/>
        </w:rPr>
      </w:pPr>
      <w:r w:rsidRPr="00F25349">
        <w:rPr>
          <w:sz w:val="18"/>
        </w:rPr>
        <w:t>Prepared</w:t>
      </w:r>
      <w:r w:rsidR="00541D05" w:rsidRPr="00F25349">
        <w:rPr>
          <w:sz w:val="18"/>
        </w:rPr>
        <w:t xml:space="preserve"> </w:t>
      </w:r>
      <w:r w:rsidRPr="00F25349">
        <w:rPr>
          <w:sz w:val="18"/>
        </w:rPr>
        <w:t>by:</w:t>
      </w:r>
      <w:r w:rsidR="00541D05" w:rsidRPr="00F25349">
        <w:rPr>
          <w:sz w:val="18"/>
        </w:rPr>
        <w:t xml:space="preserve"> </w:t>
      </w:r>
      <w:r w:rsidRPr="00F25349">
        <w:rPr>
          <w:sz w:val="18"/>
        </w:rPr>
        <w:t>IPEA/DISOC/Social</w:t>
      </w:r>
      <w:r w:rsidR="00541D05" w:rsidRPr="00F25349">
        <w:rPr>
          <w:sz w:val="18"/>
        </w:rPr>
        <w:t xml:space="preserve"> </w:t>
      </w:r>
      <w:r w:rsidRPr="00F25349">
        <w:rPr>
          <w:sz w:val="18"/>
        </w:rPr>
        <w:t>Information</w:t>
      </w:r>
      <w:r w:rsidR="00541D05" w:rsidRPr="00F25349">
        <w:rPr>
          <w:sz w:val="18"/>
        </w:rPr>
        <w:t xml:space="preserve"> </w:t>
      </w:r>
      <w:r w:rsidRPr="00F25349">
        <w:rPr>
          <w:sz w:val="18"/>
        </w:rPr>
        <w:t>Management</w:t>
      </w:r>
      <w:r w:rsidR="00541D05" w:rsidRPr="00F25349">
        <w:rPr>
          <w:sz w:val="18"/>
        </w:rPr>
        <w:t xml:space="preserve"> </w:t>
      </w:r>
      <w:r w:rsidRPr="00F25349">
        <w:rPr>
          <w:sz w:val="18"/>
        </w:rPr>
        <w:t>Center</w:t>
      </w:r>
      <w:r w:rsidR="00541D05" w:rsidRPr="00F25349">
        <w:rPr>
          <w:sz w:val="18"/>
        </w:rPr>
        <w:t xml:space="preserve"> </w:t>
      </w:r>
      <w:r w:rsidRPr="00F25349">
        <w:rPr>
          <w:sz w:val="18"/>
        </w:rPr>
        <w:t>(NINSOC).</w:t>
      </w:r>
    </w:p>
    <w:p w14:paraId="05254812" w14:textId="413F74B1" w:rsidR="00D9258C" w:rsidRPr="00FD6A6A" w:rsidRDefault="00D9258C" w:rsidP="00050613">
      <w:pPr>
        <w:pStyle w:val="H23G"/>
      </w:pPr>
      <w:r w:rsidRPr="00FD6A6A">
        <w:lastRenderedPageBreak/>
        <w:tab/>
      </w:r>
      <w:r w:rsidR="00F25349">
        <w:tab/>
      </w:r>
      <w:r w:rsidRPr="00FD6A6A">
        <w:t>Average</w:t>
      </w:r>
      <w:r w:rsidR="00541D05">
        <w:t xml:space="preserve"> </w:t>
      </w:r>
      <w:r w:rsidRPr="00FD6A6A">
        <w:t>monthly</w:t>
      </w:r>
      <w:r w:rsidR="00541D05">
        <w:t xml:space="preserve"> </w:t>
      </w:r>
      <w:r w:rsidRPr="00FD6A6A">
        <w:t>income</w:t>
      </w:r>
      <w:r w:rsidR="00541D05">
        <w:t xml:space="preserve"> </w:t>
      </w:r>
      <w:r w:rsidRPr="00FD6A6A">
        <w:t>ratio</w:t>
      </w:r>
      <w:r w:rsidR="00541D05">
        <w:t xml:space="preserve"> </w:t>
      </w:r>
      <w:r w:rsidRPr="00FD6A6A">
        <w:t>in</w:t>
      </w:r>
      <w:r w:rsidR="00541D05">
        <w:t xml:space="preserve"> </w:t>
      </w:r>
      <w:r w:rsidRPr="00FD6A6A">
        <w:t>the</w:t>
      </w:r>
      <w:r w:rsidR="00541D05">
        <w:t xml:space="preserve"> </w:t>
      </w:r>
      <w:r w:rsidRPr="00FD6A6A">
        <w:t>main</w:t>
      </w:r>
      <w:r w:rsidR="00541D05">
        <w:t xml:space="preserve"> </w:t>
      </w:r>
      <w:r w:rsidRPr="00FD6A6A">
        <w:t>job</w:t>
      </w:r>
      <w:r w:rsidR="00541D05">
        <w:t xml:space="preserve"> </w:t>
      </w:r>
      <w:r w:rsidRPr="00FD6A6A">
        <w:t>of</w:t>
      </w:r>
      <w:r w:rsidR="00541D05">
        <w:t xml:space="preserve"> </w:t>
      </w:r>
      <w:r w:rsidRPr="00FD6A6A">
        <w:t>the</w:t>
      </w:r>
      <w:r w:rsidR="00541D05">
        <w:t xml:space="preserve"> </w:t>
      </w:r>
      <w:r w:rsidRPr="00FD6A6A">
        <w:t>employed</w:t>
      </w:r>
      <w:r w:rsidR="00541D05">
        <w:t xml:space="preserve"> </w:t>
      </w:r>
      <w:r w:rsidRPr="00FD6A6A">
        <w:t>population</w:t>
      </w:r>
      <w:r w:rsidR="00541D05">
        <w:t xml:space="preserve"> </w:t>
      </w:r>
      <w:r w:rsidRPr="00FD6A6A">
        <w:t>aged</w:t>
      </w:r>
      <w:r w:rsidR="00541D05">
        <w:t xml:space="preserve"> </w:t>
      </w:r>
      <w:r w:rsidRPr="00FD6A6A">
        <w:t>16</w:t>
      </w:r>
      <w:r w:rsidR="00541D05">
        <w:t xml:space="preserve"> </w:t>
      </w:r>
      <w:r w:rsidRPr="00FD6A6A">
        <w:t>years</w:t>
      </w:r>
      <w:r w:rsidR="00541D05">
        <w:t xml:space="preserve"> </w:t>
      </w:r>
      <w:r w:rsidRPr="00FD6A6A">
        <w:t>old</w:t>
      </w:r>
      <w:r w:rsidR="00541D05">
        <w:t xml:space="preserve"> </w:t>
      </w:r>
      <w:r w:rsidRPr="00FD6A6A">
        <w:t>or</w:t>
      </w:r>
      <w:r w:rsidR="00541D05">
        <w:t xml:space="preserve"> </w:t>
      </w:r>
      <w:r w:rsidRPr="00FD6A6A">
        <w:t>more</w:t>
      </w:r>
      <w:r w:rsidR="00541D05">
        <w:t xml:space="preserve"> </w:t>
      </w:r>
      <w:r w:rsidRPr="00FD6A6A">
        <w:t>–</w:t>
      </w:r>
      <w:r w:rsidR="00541D05">
        <w:t xml:space="preserve"> </w:t>
      </w:r>
      <w:r w:rsidRPr="00FD6A6A">
        <w:t>2004</w:t>
      </w:r>
      <w:r w:rsidR="00541D05">
        <w:t xml:space="preserve"> </w:t>
      </w:r>
      <w:r w:rsidRPr="00FD6A6A">
        <w:t>to</w:t>
      </w:r>
      <w:r w:rsidR="00541D05">
        <w:t xml:space="preserve"> </w:t>
      </w:r>
      <w:r w:rsidRPr="00FD6A6A">
        <w:t>2015</w:t>
      </w:r>
    </w:p>
    <w:p w14:paraId="024A99C8" w14:textId="77777777" w:rsidR="00D9258C" w:rsidRPr="00FD6A6A" w:rsidRDefault="00D9258C" w:rsidP="00050613">
      <w:pPr>
        <w:pStyle w:val="SingleTxtG"/>
        <w:keepNext/>
        <w:keepLines/>
      </w:pPr>
      <w:r w:rsidRPr="00FD6A6A">
        <w:rPr>
          <w:noProof/>
          <w:lang w:eastAsia="en-GB"/>
        </w:rPr>
        <w:drawing>
          <wp:inline distT="0" distB="0" distL="0" distR="0" wp14:anchorId="01E34CA6" wp14:editId="080022E6">
            <wp:extent cx="5608800" cy="2780387"/>
            <wp:effectExtent l="0" t="0" r="0" b="127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810" cy="2809144"/>
                    </a:xfrm>
                    <a:prstGeom prst="rect">
                      <a:avLst/>
                    </a:prstGeom>
                    <a:noFill/>
                    <a:ln>
                      <a:noFill/>
                    </a:ln>
                  </pic:spPr>
                </pic:pic>
              </a:graphicData>
            </a:graphic>
          </wp:inline>
        </w:drawing>
      </w:r>
    </w:p>
    <w:p w14:paraId="02FA4CD3" w14:textId="2923922D" w:rsidR="00D9258C" w:rsidRPr="00050613" w:rsidRDefault="00D9258C" w:rsidP="00050613">
      <w:pPr>
        <w:keepNext/>
        <w:keepLines/>
        <w:spacing w:before="120"/>
        <w:ind w:left="1134" w:right="1134" w:firstLine="170"/>
        <w:rPr>
          <w:sz w:val="18"/>
        </w:rPr>
      </w:pPr>
      <w:r w:rsidRPr="00050613">
        <w:rPr>
          <w:i/>
          <w:iCs/>
          <w:sz w:val="18"/>
        </w:rPr>
        <w:t>Source:</w:t>
      </w:r>
      <w:r w:rsidR="00050613">
        <w:rPr>
          <w:sz w:val="18"/>
        </w:rPr>
        <w:t xml:space="preserve"> </w:t>
      </w:r>
      <w:r w:rsidR="00541D05" w:rsidRPr="00050613">
        <w:rPr>
          <w:sz w:val="18"/>
        </w:rPr>
        <w:t xml:space="preserve"> </w:t>
      </w:r>
      <w:r w:rsidRPr="00050613">
        <w:rPr>
          <w:sz w:val="18"/>
        </w:rPr>
        <w:t>IBGE/PNAD.</w:t>
      </w:r>
    </w:p>
    <w:p w14:paraId="5761F2DA" w14:textId="1BCF6A89" w:rsidR="00D9258C" w:rsidRDefault="00D9258C" w:rsidP="00050613">
      <w:pPr>
        <w:spacing w:after="240"/>
        <w:ind w:left="1134" w:right="1134" w:firstLine="170"/>
        <w:rPr>
          <w:sz w:val="18"/>
        </w:rPr>
      </w:pPr>
      <w:r w:rsidRPr="00050613">
        <w:rPr>
          <w:sz w:val="18"/>
        </w:rPr>
        <w:t>Prepared</w:t>
      </w:r>
      <w:r w:rsidR="00541D05" w:rsidRPr="00050613">
        <w:rPr>
          <w:sz w:val="18"/>
        </w:rPr>
        <w:t xml:space="preserve"> </w:t>
      </w:r>
      <w:r w:rsidRPr="00050613">
        <w:rPr>
          <w:sz w:val="18"/>
        </w:rPr>
        <w:t>by:</w:t>
      </w:r>
      <w:r w:rsidR="00541D05" w:rsidRPr="00050613">
        <w:rPr>
          <w:sz w:val="18"/>
        </w:rPr>
        <w:t xml:space="preserve"> </w:t>
      </w:r>
      <w:r w:rsidRPr="00050613">
        <w:rPr>
          <w:sz w:val="18"/>
        </w:rPr>
        <w:t>IPEA/DISOC.</w:t>
      </w:r>
    </w:p>
    <w:p w14:paraId="74CCEB9D" w14:textId="33A967DC" w:rsidR="00050613" w:rsidRPr="00050613" w:rsidRDefault="00050613" w:rsidP="00050613">
      <w:pPr>
        <w:pStyle w:val="H23G"/>
      </w:pPr>
      <w:r>
        <w:tab/>
      </w:r>
      <w:r>
        <w:tab/>
      </w:r>
      <w:r w:rsidRPr="00050613">
        <w:t>Average monthly income ratio of the main job of persons aged 16 years old or more who were employed in the week of reference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80"/>
        <w:gridCol w:w="786"/>
        <w:gridCol w:w="706"/>
        <w:gridCol w:w="706"/>
        <w:gridCol w:w="706"/>
        <w:gridCol w:w="686"/>
      </w:tblGrid>
      <w:tr w:rsidR="00D9258C" w:rsidRPr="00050613" w14:paraId="28CC1E48" w14:textId="77777777" w:rsidTr="00050613">
        <w:trPr>
          <w:tblHeader/>
        </w:trPr>
        <w:tc>
          <w:tcPr>
            <w:tcW w:w="3780" w:type="dxa"/>
            <w:tcBorders>
              <w:top w:val="single" w:sz="4" w:space="0" w:color="auto"/>
              <w:bottom w:val="single" w:sz="12" w:space="0" w:color="auto"/>
            </w:tcBorders>
            <w:shd w:val="clear" w:color="auto" w:fill="auto"/>
            <w:vAlign w:val="bottom"/>
          </w:tcPr>
          <w:p w14:paraId="7FFC12E9" w14:textId="77777777" w:rsidR="00D9258C" w:rsidRPr="00050613" w:rsidRDefault="00D9258C" w:rsidP="00050613">
            <w:pPr>
              <w:suppressAutoHyphens w:val="0"/>
              <w:spacing w:before="80" w:after="80" w:line="200" w:lineRule="exact"/>
              <w:ind w:right="113"/>
              <w:rPr>
                <w:i/>
                <w:sz w:val="16"/>
              </w:rPr>
            </w:pPr>
          </w:p>
        </w:tc>
        <w:tc>
          <w:tcPr>
            <w:tcW w:w="786" w:type="dxa"/>
            <w:tcBorders>
              <w:top w:val="single" w:sz="4" w:space="0" w:color="auto"/>
              <w:bottom w:val="single" w:sz="12" w:space="0" w:color="auto"/>
            </w:tcBorders>
            <w:shd w:val="clear" w:color="auto" w:fill="auto"/>
            <w:vAlign w:val="bottom"/>
          </w:tcPr>
          <w:p w14:paraId="046E6A23" w14:textId="77777777" w:rsidR="00D9258C" w:rsidRPr="00050613" w:rsidRDefault="00D9258C" w:rsidP="00050613">
            <w:pPr>
              <w:suppressAutoHyphens w:val="0"/>
              <w:spacing w:before="80" w:after="80" w:line="200" w:lineRule="exact"/>
              <w:ind w:right="113"/>
              <w:jc w:val="right"/>
              <w:rPr>
                <w:i/>
                <w:sz w:val="16"/>
              </w:rPr>
            </w:pPr>
            <w:r w:rsidRPr="00050613">
              <w:rPr>
                <w:i/>
                <w:sz w:val="16"/>
              </w:rPr>
              <w:t>2012</w:t>
            </w:r>
          </w:p>
        </w:tc>
        <w:tc>
          <w:tcPr>
            <w:tcW w:w="706" w:type="dxa"/>
            <w:tcBorders>
              <w:top w:val="single" w:sz="4" w:space="0" w:color="auto"/>
              <w:bottom w:val="single" w:sz="12" w:space="0" w:color="auto"/>
            </w:tcBorders>
            <w:shd w:val="clear" w:color="auto" w:fill="auto"/>
            <w:vAlign w:val="bottom"/>
          </w:tcPr>
          <w:p w14:paraId="1AEA6D00" w14:textId="77777777" w:rsidR="00D9258C" w:rsidRPr="00050613" w:rsidRDefault="00D9258C" w:rsidP="00050613">
            <w:pPr>
              <w:suppressAutoHyphens w:val="0"/>
              <w:spacing w:before="80" w:after="80" w:line="200" w:lineRule="exact"/>
              <w:ind w:right="113"/>
              <w:jc w:val="right"/>
              <w:rPr>
                <w:i/>
                <w:sz w:val="16"/>
              </w:rPr>
            </w:pPr>
            <w:r w:rsidRPr="00050613">
              <w:rPr>
                <w:i/>
                <w:sz w:val="16"/>
              </w:rPr>
              <w:t>2013</w:t>
            </w:r>
          </w:p>
        </w:tc>
        <w:tc>
          <w:tcPr>
            <w:tcW w:w="706" w:type="dxa"/>
            <w:tcBorders>
              <w:top w:val="single" w:sz="4" w:space="0" w:color="auto"/>
              <w:bottom w:val="single" w:sz="12" w:space="0" w:color="auto"/>
            </w:tcBorders>
            <w:shd w:val="clear" w:color="auto" w:fill="auto"/>
            <w:vAlign w:val="bottom"/>
          </w:tcPr>
          <w:p w14:paraId="2E6459E4" w14:textId="77777777" w:rsidR="00D9258C" w:rsidRPr="00050613" w:rsidRDefault="00D9258C" w:rsidP="00050613">
            <w:pPr>
              <w:suppressAutoHyphens w:val="0"/>
              <w:spacing w:before="80" w:after="80" w:line="200" w:lineRule="exact"/>
              <w:ind w:right="113"/>
              <w:jc w:val="right"/>
              <w:rPr>
                <w:i/>
                <w:sz w:val="16"/>
              </w:rPr>
            </w:pPr>
            <w:r w:rsidRPr="00050613">
              <w:rPr>
                <w:i/>
                <w:sz w:val="16"/>
              </w:rPr>
              <w:t>2014</w:t>
            </w:r>
          </w:p>
        </w:tc>
        <w:tc>
          <w:tcPr>
            <w:tcW w:w="706" w:type="dxa"/>
            <w:tcBorders>
              <w:top w:val="single" w:sz="4" w:space="0" w:color="auto"/>
              <w:bottom w:val="single" w:sz="12" w:space="0" w:color="auto"/>
            </w:tcBorders>
            <w:shd w:val="clear" w:color="auto" w:fill="auto"/>
            <w:vAlign w:val="bottom"/>
          </w:tcPr>
          <w:p w14:paraId="5AD93ED7" w14:textId="77777777" w:rsidR="00D9258C" w:rsidRPr="00050613" w:rsidRDefault="00D9258C" w:rsidP="00050613">
            <w:pPr>
              <w:suppressAutoHyphens w:val="0"/>
              <w:spacing w:before="80" w:after="80" w:line="200" w:lineRule="exact"/>
              <w:ind w:right="113"/>
              <w:jc w:val="right"/>
              <w:rPr>
                <w:i/>
                <w:sz w:val="16"/>
              </w:rPr>
            </w:pPr>
            <w:r w:rsidRPr="00050613">
              <w:rPr>
                <w:i/>
                <w:sz w:val="16"/>
              </w:rPr>
              <w:t>2015</w:t>
            </w:r>
          </w:p>
        </w:tc>
        <w:tc>
          <w:tcPr>
            <w:tcW w:w="686" w:type="dxa"/>
            <w:tcBorders>
              <w:top w:val="single" w:sz="4" w:space="0" w:color="auto"/>
              <w:bottom w:val="single" w:sz="12" w:space="0" w:color="auto"/>
            </w:tcBorders>
            <w:shd w:val="clear" w:color="auto" w:fill="auto"/>
            <w:vAlign w:val="bottom"/>
          </w:tcPr>
          <w:p w14:paraId="5B4CB517" w14:textId="77777777" w:rsidR="00D9258C" w:rsidRPr="00050613" w:rsidRDefault="00D9258C" w:rsidP="00050613">
            <w:pPr>
              <w:suppressAutoHyphens w:val="0"/>
              <w:spacing w:before="80" w:after="80" w:line="200" w:lineRule="exact"/>
              <w:ind w:right="113"/>
              <w:jc w:val="right"/>
              <w:rPr>
                <w:i/>
                <w:sz w:val="16"/>
              </w:rPr>
            </w:pPr>
            <w:r w:rsidRPr="00050613">
              <w:rPr>
                <w:i/>
                <w:sz w:val="16"/>
              </w:rPr>
              <w:t>2016</w:t>
            </w:r>
          </w:p>
        </w:tc>
      </w:tr>
      <w:tr w:rsidR="00D9258C" w:rsidRPr="00050613" w14:paraId="1FB5B2FA" w14:textId="77777777" w:rsidTr="00050613">
        <w:tc>
          <w:tcPr>
            <w:tcW w:w="3780" w:type="dxa"/>
            <w:tcBorders>
              <w:top w:val="single" w:sz="12" w:space="0" w:color="auto"/>
            </w:tcBorders>
            <w:shd w:val="clear" w:color="auto" w:fill="auto"/>
          </w:tcPr>
          <w:p w14:paraId="39B26B5A" w14:textId="103DCAA4" w:rsidR="00D9258C" w:rsidRPr="00050613" w:rsidRDefault="00D9258C" w:rsidP="00050613">
            <w:pPr>
              <w:suppressAutoHyphens w:val="0"/>
              <w:spacing w:before="40" w:after="40" w:line="220" w:lineRule="exact"/>
              <w:ind w:right="113"/>
              <w:rPr>
                <w:sz w:val="18"/>
              </w:rPr>
            </w:pPr>
            <w:r w:rsidRPr="00050613">
              <w:rPr>
                <w:sz w:val="18"/>
              </w:rPr>
              <w:t>Afro-Brazilian/White</w:t>
            </w:r>
            <w:r w:rsidR="00541D05" w:rsidRPr="00050613">
              <w:rPr>
                <w:sz w:val="18"/>
              </w:rPr>
              <w:t xml:space="preserve"> </w:t>
            </w:r>
            <w:r w:rsidRPr="00050613">
              <w:rPr>
                <w:sz w:val="18"/>
              </w:rPr>
              <w:t>ratio</w:t>
            </w:r>
          </w:p>
        </w:tc>
        <w:tc>
          <w:tcPr>
            <w:tcW w:w="786" w:type="dxa"/>
            <w:tcBorders>
              <w:top w:val="single" w:sz="12" w:space="0" w:color="auto"/>
            </w:tcBorders>
            <w:shd w:val="clear" w:color="auto" w:fill="auto"/>
            <w:vAlign w:val="bottom"/>
          </w:tcPr>
          <w:p w14:paraId="0CCD2235" w14:textId="77777777" w:rsidR="00D9258C" w:rsidRPr="00050613" w:rsidRDefault="00D9258C" w:rsidP="00050613">
            <w:pPr>
              <w:suppressAutoHyphens w:val="0"/>
              <w:spacing w:before="40" w:after="40" w:line="220" w:lineRule="exact"/>
              <w:ind w:right="113"/>
              <w:jc w:val="right"/>
              <w:rPr>
                <w:sz w:val="18"/>
              </w:rPr>
            </w:pPr>
            <w:r w:rsidRPr="00050613">
              <w:rPr>
                <w:sz w:val="18"/>
              </w:rPr>
              <w:t>57.6</w:t>
            </w:r>
          </w:p>
        </w:tc>
        <w:tc>
          <w:tcPr>
            <w:tcW w:w="706" w:type="dxa"/>
            <w:tcBorders>
              <w:top w:val="single" w:sz="12" w:space="0" w:color="auto"/>
            </w:tcBorders>
            <w:shd w:val="clear" w:color="auto" w:fill="auto"/>
            <w:vAlign w:val="bottom"/>
          </w:tcPr>
          <w:p w14:paraId="34A5FBCF" w14:textId="77777777" w:rsidR="00D9258C" w:rsidRPr="00050613" w:rsidRDefault="00D9258C" w:rsidP="00050613">
            <w:pPr>
              <w:suppressAutoHyphens w:val="0"/>
              <w:spacing w:before="40" w:after="40" w:line="220" w:lineRule="exact"/>
              <w:ind w:right="113"/>
              <w:jc w:val="right"/>
              <w:rPr>
                <w:sz w:val="18"/>
              </w:rPr>
            </w:pPr>
            <w:r w:rsidRPr="00050613">
              <w:rPr>
                <w:sz w:val="18"/>
              </w:rPr>
              <w:t>58</w:t>
            </w:r>
          </w:p>
        </w:tc>
        <w:tc>
          <w:tcPr>
            <w:tcW w:w="706" w:type="dxa"/>
            <w:tcBorders>
              <w:top w:val="single" w:sz="12" w:space="0" w:color="auto"/>
            </w:tcBorders>
            <w:shd w:val="clear" w:color="auto" w:fill="auto"/>
            <w:vAlign w:val="bottom"/>
          </w:tcPr>
          <w:p w14:paraId="5EBA02A6" w14:textId="77777777" w:rsidR="00D9258C" w:rsidRPr="00050613" w:rsidRDefault="00D9258C" w:rsidP="00050613">
            <w:pPr>
              <w:suppressAutoHyphens w:val="0"/>
              <w:spacing w:before="40" w:after="40" w:line="220" w:lineRule="exact"/>
              <w:ind w:right="113"/>
              <w:jc w:val="right"/>
              <w:rPr>
                <w:sz w:val="18"/>
              </w:rPr>
            </w:pPr>
            <w:r w:rsidRPr="00050613">
              <w:rPr>
                <w:sz w:val="18"/>
              </w:rPr>
              <w:t>57.8</w:t>
            </w:r>
          </w:p>
        </w:tc>
        <w:tc>
          <w:tcPr>
            <w:tcW w:w="706" w:type="dxa"/>
            <w:tcBorders>
              <w:top w:val="single" w:sz="12" w:space="0" w:color="auto"/>
            </w:tcBorders>
            <w:shd w:val="clear" w:color="auto" w:fill="auto"/>
            <w:vAlign w:val="bottom"/>
          </w:tcPr>
          <w:p w14:paraId="21047AF7" w14:textId="77777777" w:rsidR="00D9258C" w:rsidRPr="00050613" w:rsidRDefault="00D9258C" w:rsidP="00050613">
            <w:pPr>
              <w:suppressAutoHyphens w:val="0"/>
              <w:spacing w:before="40" w:after="40" w:line="220" w:lineRule="exact"/>
              <w:ind w:right="113"/>
              <w:jc w:val="right"/>
              <w:rPr>
                <w:sz w:val="18"/>
              </w:rPr>
            </w:pPr>
            <w:r w:rsidRPr="00050613">
              <w:rPr>
                <w:sz w:val="18"/>
              </w:rPr>
              <w:t>58.9</w:t>
            </w:r>
          </w:p>
        </w:tc>
        <w:tc>
          <w:tcPr>
            <w:tcW w:w="686" w:type="dxa"/>
            <w:tcBorders>
              <w:top w:val="single" w:sz="12" w:space="0" w:color="auto"/>
            </w:tcBorders>
            <w:shd w:val="clear" w:color="auto" w:fill="auto"/>
            <w:vAlign w:val="bottom"/>
          </w:tcPr>
          <w:p w14:paraId="43EE1558" w14:textId="77777777" w:rsidR="00D9258C" w:rsidRPr="00050613" w:rsidRDefault="00D9258C" w:rsidP="00050613">
            <w:pPr>
              <w:suppressAutoHyphens w:val="0"/>
              <w:spacing w:before="40" w:after="40" w:line="220" w:lineRule="exact"/>
              <w:ind w:right="113"/>
              <w:jc w:val="right"/>
              <w:rPr>
                <w:sz w:val="18"/>
              </w:rPr>
            </w:pPr>
            <w:r w:rsidRPr="00050613">
              <w:rPr>
                <w:sz w:val="18"/>
              </w:rPr>
              <w:t>55.3</w:t>
            </w:r>
          </w:p>
        </w:tc>
      </w:tr>
      <w:tr w:rsidR="00D9258C" w:rsidRPr="00050613" w14:paraId="07B9B202" w14:textId="77777777" w:rsidTr="00050613">
        <w:tc>
          <w:tcPr>
            <w:tcW w:w="3780" w:type="dxa"/>
            <w:shd w:val="clear" w:color="auto" w:fill="auto"/>
          </w:tcPr>
          <w:p w14:paraId="189FEAC7" w14:textId="42C84DCA" w:rsidR="00D9258C" w:rsidRPr="00050613" w:rsidRDefault="00D9258C" w:rsidP="00050613">
            <w:pPr>
              <w:suppressAutoHyphens w:val="0"/>
              <w:spacing w:before="40" w:after="40" w:line="220" w:lineRule="exact"/>
              <w:ind w:right="113"/>
              <w:rPr>
                <w:sz w:val="18"/>
              </w:rPr>
            </w:pPr>
            <w:r w:rsidRPr="00050613">
              <w:rPr>
                <w:sz w:val="18"/>
              </w:rPr>
              <w:t>Afro-Brazilian/White</w:t>
            </w:r>
            <w:r w:rsidR="00541D05" w:rsidRPr="00050613">
              <w:rPr>
                <w:sz w:val="18"/>
              </w:rPr>
              <w:t xml:space="preserve"> </w:t>
            </w:r>
            <w:r w:rsidRPr="00050613">
              <w:rPr>
                <w:sz w:val="18"/>
              </w:rPr>
              <w:t>formal</w:t>
            </w:r>
            <w:r w:rsidR="00541D05" w:rsidRPr="00050613">
              <w:rPr>
                <w:sz w:val="18"/>
              </w:rPr>
              <w:t xml:space="preserve"> </w:t>
            </w:r>
            <w:r w:rsidRPr="00050613">
              <w:rPr>
                <w:sz w:val="18"/>
              </w:rPr>
              <w:t>employment</w:t>
            </w:r>
            <w:r w:rsidR="00541D05" w:rsidRPr="00050613">
              <w:rPr>
                <w:sz w:val="18"/>
              </w:rPr>
              <w:t xml:space="preserve"> </w:t>
            </w:r>
            <w:r w:rsidRPr="00050613">
              <w:rPr>
                <w:sz w:val="18"/>
              </w:rPr>
              <w:t>ratio</w:t>
            </w:r>
          </w:p>
        </w:tc>
        <w:tc>
          <w:tcPr>
            <w:tcW w:w="786" w:type="dxa"/>
            <w:shd w:val="clear" w:color="auto" w:fill="auto"/>
            <w:vAlign w:val="bottom"/>
          </w:tcPr>
          <w:p w14:paraId="49FE927C" w14:textId="77777777" w:rsidR="00D9258C" w:rsidRPr="00050613" w:rsidRDefault="00D9258C" w:rsidP="00050613">
            <w:pPr>
              <w:suppressAutoHyphens w:val="0"/>
              <w:spacing w:before="40" w:after="40" w:line="220" w:lineRule="exact"/>
              <w:ind w:right="113"/>
              <w:jc w:val="right"/>
              <w:rPr>
                <w:sz w:val="18"/>
              </w:rPr>
            </w:pPr>
            <w:r w:rsidRPr="00050613">
              <w:rPr>
                <w:sz w:val="18"/>
              </w:rPr>
              <w:t>62.6</w:t>
            </w:r>
          </w:p>
        </w:tc>
        <w:tc>
          <w:tcPr>
            <w:tcW w:w="706" w:type="dxa"/>
            <w:shd w:val="clear" w:color="auto" w:fill="auto"/>
            <w:vAlign w:val="bottom"/>
          </w:tcPr>
          <w:p w14:paraId="46466FBF" w14:textId="77777777" w:rsidR="00D9258C" w:rsidRPr="00050613" w:rsidRDefault="00D9258C" w:rsidP="00050613">
            <w:pPr>
              <w:suppressAutoHyphens w:val="0"/>
              <w:spacing w:before="40" w:after="40" w:line="220" w:lineRule="exact"/>
              <w:ind w:right="113"/>
              <w:jc w:val="right"/>
              <w:rPr>
                <w:sz w:val="18"/>
              </w:rPr>
            </w:pPr>
            <w:r w:rsidRPr="00050613">
              <w:rPr>
                <w:sz w:val="18"/>
              </w:rPr>
              <w:t>62.6</w:t>
            </w:r>
          </w:p>
        </w:tc>
        <w:tc>
          <w:tcPr>
            <w:tcW w:w="706" w:type="dxa"/>
            <w:shd w:val="clear" w:color="auto" w:fill="auto"/>
            <w:vAlign w:val="bottom"/>
          </w:tcPr>
          <w:p w14:paraId="1739BDEB" w14:textId="77777777" w:rsidR="00D9258C" w:rsidRPr="00050613" w:rsidRDefault="00D9258C" w:rsidP="00050613">
            <w:pPr>
              <w:suppressAutoHyphens w:val="0"/>
              <w:spacing w:before="40" w:after="40" w:line="220" w:lineRule="exact"/>
              <w:ind w:right="113"/>
              <w:jc w:val="right"/>
              <w:rPr>
                <w:sz w:val="18"/>
              </w:rPr>
            </w:pPr>
            <w:r w:rsidRPr="00050613">
              <w:rPr>
                <w:sz w:val="18"/>
              </w:rPr>
              <w:t>62.2</w:t>
            </w:r>
          </w:p>
        </w:tc>
        <w:tc>
          <w:tcPr>
            <w:tcW w:w="706" w:type="dxa"/>
            <w:shd w:val="clear" w:color="auto" w:fill="auto"/>
            <w:vAlign w:val="bottom"/>
          </w:tcPr>
          <w:p w14:paraId="1D379772" w14:textId="77777777" w:rsidR="00D9258C" w:rsidRPr="00050613" w:rsidRDefault="00D9258C" w:rsidP="00050613">
            <w:pPr>
              <w:suppressAutoHyphens w:val="0"/>
              <w:spacing w:before="40" w:after="40" w:line="220" w:lineRule="exact"/>
              <w:ind w:right="113"/>
              <w:jc w:val="right"/>
              <w:rPr>
                <w:sz w:val="18"/>
              </w:rPr>
            </w:pPr>
            <w:r w:rsidRPr="00050613">
              <w:rPr>
                <w:sz w:val="18"/>
              </w:rPr>
              <w:t>64.2</w:t>
            </w:r>
          </w:p>
        </w:tc>
        <w:tc>
          <w:tcPr>
            <w:tcW w:w="686" w:type="dxa"/>
            <w:shd w:val="clear" w:color="auto" w:fill="auto"/>
            <w:vAlign w:val="bottom"/>
          </w:tcPr>
          <w:p w14:paraId="78B9B74B" w14:textId="77777777" w:rsidR="00D9258C" w:rsidRPr="00050613" w:rsidRDefault="00D9258C" w:rsidP="00050613">
            <w:pPr>
              <w:suppressAutoHyphens w:val="0"/>
              <w:spacing w:before="40" w:after="40" w:line="220" w:lineRule="exact"/>
              <w:ind w:right="113"/>
              <w:jc w:val="right"/>
              <w:rPr>
                <w:sz w:val="18"/>
              </w:rPr>
            </w:pPr>
            <w:r w:rsidRPr="00050613">
              <w:rPr>
                <w:sz w:val="18"/>
              </w:rPr>
              <w:t>61.4</w:t>
            </w:r>
          </w:p>
        </w:tc>
      </w:tr>
      <w:tr w:rsidR="00D9258C" w:rsidRPr="00050613" w14:paraId="3468801C" w14:textId="77777777" w:rsidTr="00050613">
        <w:tc>
          <w:tcPr>
            <w:tcW w:w="3780" w:type="dxa"/>
            <w:shd w:val="clear" w:color="auto" w:fill="auto"/>
          </w:tcPr>
          <w:p w14:paraId="79EEB0A5" w14:textId="220F14F8" w:rsidR="00D9258C" w:rsidRPr="00050613" w:rsidRDefault="00D9258C" w:rsidP="00050613">
            <w:pPr>
              <w:suppressAutoHyphens w:val="0"/>
              <w:spacing w:before="40" w:after="40" w:line="220" w:lineRule="exact"/>
              <w:ind w:right="113"/>
              <w:rPr>
                <w:sz w:val="18"/>
              </w:rPr>
            </w:pPr>
            <w:r w:rsidRPr="00050613">
              <w:rPr>
                <w:sz w:val="18"/>
              </w:rPr>
              <w:t>Afro-Brazilian/White</w:t>
            </w:r>
            <w:r w:rsidR="00541D05" w:rsidRPr="00050613">
              <w:rPr>
                <w:sz w:val="18"/>
              </w:rPr>
              <w:t xml:space="preserve"> </w:t>
            </w:r>
            <w:r w:rsidRPr="00050613">
              <w:rPr>
                <w:sz w:val="18"/>
              </w:rPr>
              <w:t>informal</w:t>
            </w:r>
            <w:r w:rsidR="00541D05" w:rsidRPr="00050613">
              <w:rPr>
                <w:sz w:val="18"/>
              </w:rPr>
              <w:t xml:space="preserve"> </w:t>
            </w:r>
            <w:r w:rsidRPr="00050613">
              <w:rPr>
                <w:sz w:val="18"/>
              </w:rPr>
              <w:t>employment</w:t>
            </w:r>
            <w:r w:rsidR="00541D05" w:rsidRPr="00050613">
              <w:rPr>
                <w:sz w:val="18"/>
              </w:rPr>
              <w:t xml:space="preserve"> </w:t>
            </w:r>
            <w:r w:rsidRPr="00050613">
              <w:rPr>
                <w:sz w:val="18"/>
              </w:rPr>
              <w:t>ratio</w:t>
            </w:r>
          </w:p>
        </w:tc>
        <w:tc>
          <w:tcPr>
            <w:tcW w:w="786" w:type="dxa"/>
            <w:shd w:val="clear" w:color="auto" w:fill="auto"/>
            <w:vAlign w:val="bottom"/>
          </w:tcPr>
          <w:p w14:paraId="54FB9371" w14:textId="77777777" w:rsidR="00D9258C" w:rsidRPr="00050613" w:rsidRDefault="00D9258C" w:rsidP="00050613">
            <w:pPr>
              <w:suppressAutoHyphens w:val="0"/>
              <w:spacing w:before="40" w:after="40" w:line="220" w:lineRule="exact"/>
              <w:ind w:right="113"/>
              <w:jc w:val="right"/>
              <w:rPr>
                <w:sz w:val="18"/>
              </w:rPr>
            </w:pPr>
            <w:r w:rsidRPr="00050613">
              <w:rPr>
                <w:sz w:val="18"/>
              </w:rPr>
              <w:t>59.8</w:t>
            </w:r>
          </w:p>
        </w:tc>
        <w:tc>
          <w:tcPr>
            <w:tcW w:w="706" w:type="dxa"/>
            <w:shd w:val="clear" w:color="auto" w:fill="auto"/>
            <w:vAlign w:val="bottom"/>
          </w:tcPr>
          <w:p w14:paraId="5254264C" w14:textId="77777777" w:rsidR="00D9258C" w:rsidRPr="00050613" w:rsidRDefault="00D9258C" w:rsidP="00050613">
            <w:pPr>
              <w:suppressAutoHyphens w:val="0"/>
              <w:spacing w:before="40" w:after="40" w:line="220" w:lineRule="exact"/>
              <w:ind w:right="113"/>
              <w:jc w:val="right"/>
              <w:rPr>
                <w:sz w:val="18"/>
              </w:rPr>
            </w:pPr>
            <w:r w:rsidRPr="00050613">
              <w:rPr>
                <w:sz w:val="18"/>
              </w:rPr>
              <w:t>62.5</w:t>
            </w:r>
          </w:p>
        </w:tc>
        <w:tc>
          <w:tcPr>
            <w:tcW w:w="706" w:type="dxa"/>
            <w:shd w:val="clear" w:color="auto" w:fill="auto"/>
            <w:vAlign w:val="bottom"/>
          </w:tcPr>
          <w:p w14:paraId="014E200F" w14:textId="77777777" w:rsidR="00D9258C" w:rsidRPr="00050613" w:rsidRDefault="00D9258C" w:rsidP="00050613">
            <w:pPr>
              <w:suppressAutoHyphens w:val="0"/>
              <w:spacing w:before="40" w:after="40" w:line="220" w:lineRule="exact"/>
              <w:ind w:right="113"/>
              <w:jc w:val="right"/>
              <w:rPr>
                <w:sz w:val="18"/>
              </w:rPr>
            </w:pPr>
            <w:r w:rsidRPr="00050613">
              <w:rPr>
                <w:sz w:val="18"/>
              </w:rPr>
              <w:t>64.1</w:t>
            </w:r>
          </w:p>
        </w:tc>
        <w:tc>
          <w:tcPr>
            <w:tcW w:w="706" w:type="dxa"/>
            <w:shd w:val="clear" w:color="auto" w:fill="auto"/>
            <w:vAlign w:val="bottom"/>
          </w:tcPr>
          <w:p w14:paraId="2D3088E3" w14:textId="77777777" w:rsidR="00D9258C" w:rsidRPr="00050613" w:rsidRDefault="00D9258C" w:rsidP="00050613">
            <w:pPr>
              <w:suppressAutoHyphens w:val="0"/>
              <w:spacing w:before="40" w:after="40" w:line="220" w:lineRule="exact"/>
              <w:ind w:right="113"/>
              <w:jc w:val="right"/>
              <w:rPr>
                <w:sz w:val="18"/>
              </w:rPr>
            </w:pPr>
            <w:r w:rsidRPr="00050613">
              <w:rPr>
                <w:sz w:val="18"/>
              </w:rPr>
              <w:t>62.3</w:t>
            </w:r>
          </w:p>
        </w:tc>
        <w:tc>
          <w:tcPr>
            <w:tcW w:w="686" w:type="dxa"/>
            <w:shd w:val="clear" w:color="auto" w:fill="auto"/>
            <w:vAlign w:val="bottom"/>
          </w:tcPr>
          <w:p w14:paraId="3A00311A" w14:textId="77777777" w:rsidR="00D9258C" w:rsidRPr="00050613" w:rsidRDefault="00D9258C" w:rsidP="00050613">
            <w:pPr>
              <w:suppressAutoHyphens w:val="0"/>
              <w:spacing w:before="40" w:after="40" w:line="220" w:lineRule="exact"/>
              <w:ind w:right="113"/>
              <w:jc w:val="right"/>
              <w:rPr>
                <w:sz w:val="18"/>
              </w:rPr>
            </w:pPr>
            <w:r w:rsidRPr="00050613">
              <w:rPr>
                <w:sz w:val="18"/>
              </w:rPr>
              <w:t>54.4</w:t>
            </w:r>
          </w:p>
        </w:tc>
      </w:tr>
    </w:tbl>
    <w:p w14:paraId="752E4D05" w14:textId="6C8DE5BD" w:rsidR="00D9258C" w:rsidRPr="00CE27F6" w:rsidRDefault="00D9258C" w:rsidP="00CE27F6">
      <w:pPr>
        <w:spacing w:before="120"/>
        <w:ind w:left="1134" w:right="1134" w:firstLine="170"/>
        <w:rPr>
          <w:sz w:val="18"/>
        </w:rPr>
      </w:pPr>
      <w:r w:rsidRPr="00050613">
        <w:rPr>
          <w:i/>
          <w:iCs/>
          <w:sz w:val="18"/>
        </w:rPr>
        <w:t>Source:</w:t>
      </w:r>
      <w:r w:rsidR="00050613">
        <w:rPr>
          <w:sz w:val="18"/>
        </w:rPr>
        <w:t xml:space="preserve"> </w:t>
      </w:r>
      <w:r w:rsidR="00541D05" w:rsidRPr="00050613">
        <w:rPr>
          <w:sz w:val="18"/>
        </w:rPr>
        <w:t xml:space="preserve"> </w:t>
      </w:r>
      <w:r w:rsidRPr="00050613">
        <w:rPr>
          <w:sz w:val="18"/>
        </w:rPr>
        <w:t>IBGE/2016</w:t>
      </w:r>
      <w:r w:rsidR="00541D05" w:rsidRPr="00050613">
        <w:rPr>
          <w:sz w:val="18"/>
        </w:rPr>
        <w:t xml:space="preserve"> </w:t>
      </w:r>
      <w:r w:rsidRPr="00050613">
        <w:rPr>
          <w:sz w:val="18"/>
        </w:rPr>
        <w:t>Annual</w:t>
      </w:r>
      <w:r w:rsidR="00541D05" w:rsidRPr="00050613">
        <w:rPr>
          <w:sz w:val="18"/>
        </w:rPr>
        <w:t xml:space="preserve"> </w:t>
      </w:r>
      <w:r w:rsidRPr="00050613">
        <w:rPr>
          <w:sz w:val="18"/>
        </w:rPr>
        <w:t>continuous</w:t>
      </w:r>
      <w:r w:rsidR="00541D05" w:rsidRPr="00050613">
        <w:rPr>
          <w:sz w:val="18"/>
        </w:rPr>
        <w:t xml:space="preserve"> </w:t>
      </w:r>
      <w:r w:rsidRPr="00050613">
        <w:rPr>
          <w:sz w:val="18"/>
        </w:rPr>
        <w:t>PNAD.</w:t>
      </w:r>
    </w:p>
    <w:p w14:paraId="0C4DA7F0" w14:textId="269A7FAB" w:rsidR="00D9258C" w:rsidRPr="00FD6A6A" w:rsidRDefault="00D9258C" w:rsidP="00CE27F6">
      <w:pPr>
        <w:pStyle w:val="H23G"/>
        <w:keepNext w:val="0"/>
        <w:keepLines w:val="0"/>
      </w:pPr>
      <w:r w:rsidRPr="00FD6A6A">
        <w:tab/>
      </w:r>
      <w:r w:rsidRPr="00FD6A6A">
        <w:tab/>
        <w:t>Type</w:t>
      </w:r>
      <w:r w:rsidR="00541D05">
        <w:t xml:space="preserve"> </w:t>
      </w:r>
      <w:r w:rsidRPr="00FD6A6A">
        <w:t>of</w:t>
      </w:r>
      <w:r w:rsidR="00541D05">
        <w:t xml:space="preserve"> </w:t>
      </w:r>
      <w:r w:rsidRPr="00FD6A6A">
        <w:t>occupation</w:t>
      </w:r>
      <w:r w:rsidR="00541D05">
        <w:t xml:space="preserve"> </w:t>
      </w:r>
      <w:r w:rsidRPr="00FD6A6A">
        <w:t>of</w:t>
      </w:r>
      <w:r w:rsidR="00541D05">
        <w:t xml:space="preserve"> </w:t>
      </w:r>
      <w:r w:rsidRPr="00FD6A6A">
        <w:t>the</w:t>
      </w:r>
      <w:r w:rsidR="00541D05">
        <w:t xml:space="preserve"> </w:t>
      </w:r>
      <w:r w:rsidRPr="00FD6A6A">
        <w:t>main</w:t>
      </w:r>
      <w:r w:rsidR="00541D05">
        <w:t xml:space="preserve"> </w:t>
      </w:r>
      <w:r w:rsidRPr="00FD6A6A">
        <w:t>job</w:t>
      </w:r>
      <w:r w:rsidR="00541D05">
        <w:t xml:space="preserve"> </w:t>
      </w:r>
      <w:r w:rsidRPr="00FD6A6A">
        <w:t>of</w:t>
      </w:r>
      <w:r w:rsidR="00541D05">
        <w:t xml:space="preserve"> </w:t>
      </w:r>
      <w:r w:rsidRPr="00FD6A6A">
        <w:t>people</w:t>
      </w:r>
      <w:r w:rsidR="00541D05">
        <w:t xml:space="preserve"> </w:t>
      </w:r>
      <w:r w:rsidRPr="00FD6A6A">
        <w:t>of</w:t>
      </w:r>
      <w:r w:rsidR="00541D05">
        <w:t xml:space="preserve"> </w:t>
      </w:r>
      <w:r w:rsidRPr="00FD6A6A">
        <w:t>age</w:t>
      </w:r>
      <w:r w:rsidR="00541D05">
        <w:t xml:space="preserve"> </w:t>
      </w:r>
      <w:r w:rsidRPr="00FD6A6A">
        <w:t>16</w:t>
      </w:r>
      <w:r w:rsidR="00541D05">
        <w:t xml:space="preserve"> </w:t>
      </w:r>
      <w:r w:rsidRPr="00FD6A6A">
        <w:t>years</w:t>
      </w:r>
      <w:r w:rsidR="00541D05">
        <w:t xml:space="preserve"> </w:t>
      </w:r>
      <w:r w:rsidRPr="00FD6A6A">
        <w:t>old</w:t>
      </w:r>
      <w:r w:rsidR="00541D05">
        <w:t xml:space="preserve"> </w:t>
      </w:r>
      <w:r w:rsidRPr="00FD6A6A">
        <w:t>or</w:t>
      </w:r>
      <w:r w:rsidR="00541D05">
        <w:t xml:space="preserve"> </w:t>
      </w:r>
      <w:r w:rsidRPr="00FD6A6A">
        <w:t>older</w:t>
      </w:r>
      <w:r w:rsidR="00541D05">
        <w:t xml:space="preserve"> </w:t>
      </w:r>
      <w:r w:rsidRPr="00FD6A6A">
        <w:t>by</w:t>
      </w:r>
      <w:r w:rsidR="00541D05">
        <w:t xml:space="preserve"> </w:t>
      </w:r>
      <w:r w:rsidRPr="00FD6A6A">
        <w:t>race</w:t>
      </w:r>
      <w:r w:rsidR="00541D05">
        <w:t xml:space="preserve"> </w:t>
      </w:r>
      <w:r w:rsidRPr="00FD6A6A">
        <w:t>–</w:t>
      </w:r>
      <w:r w:rsidR="00541D05">
        <w:t xml:space="preserve"> </w:t>
      </w:r>
      <w:r w:rsidRPr="00FD6A6A">
        <w:t>Brazil,</w:t>
      </w:r>
      <w:r w:rsidR="00541D05">
        <w:t xml:space="preserve"> </w:t>
      </w:r>
      <w:r w:rsidRPr="00FD6A6A">
        <w:t>2012</w:t>
      </w:r>
      <w:r w:rsidR="00541D05">
        <w:t xml:space="preserve"> </w:t>
      </w:r>
      <w:r w:rsidRPr="00FD6A6A">
        <w:t>to</w:t>
      </w:r>
      <w:r w:rsidR="00541D05">
        <w:t xml:space="preserve"> </w:t>
      </w:r>
      <w:r w:rsidRPr="00FD6A6A">
        <w:t>2016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4"/>
        <w:gridCol w:w="654"/>
        <w:gridCol w:w="818"/>
        <w:gridCol w:w="654"/>
        <w:gridCol w:w="884"/>
        <w:gridCol w:w="752"/>
        <w:gridCol w:w="833"/>
        <w:gridCol w:w="802"/>
        <w:gridCol w:w="867"/>
        <w:gridCol w:w="771"/>
        <w:gridCol w:w="816"/>
      </w:tblGrid>
      <w:tr w:rsidR="00CE27F6" w:rsidRPr="00CE27F6" w14:paraId="4907A381" w14:textId="77777777" w:rsidTr="0079300E">
        <w:trPr>
          <w:tblHeader/>
        </w:trPr>
        <w:tc>
          <w:tcPr>
            <w:tcW w:w="566" w:type="dxa"/>
            <w:tcBorders>
              <w:top w:val="single" w:sz="4" w:space="0" w:color="auto"/>
              <w:bottom w:val="nil"/>
            </w:tcBorders>
            <w:shd w:val="clear" w:color="auto" w:fill="auto"/>
            <w:vAlign w:val="bottom"/>
          </w:tcPr>
          <w:p w14:paraId="1A30640D" w14:textId="77777777" w:rsidR="00D9258C" w:rsidRPr="00CE27F6" w:rsidRDefault="00D9258C" w:rsidP="00CE27F6">
            <w:pPr>
              <w:suppressAutoHyphens w:val="0"/>
              <w:spacing w:before="80" w:after="80" w:line="200" w:lineRule="exact"/>
              <w:ind w:right="113"/>
              <w:rPr>
                <w:i/>
                <w:sz w:val="16"/>
              </w:rPr>
            </w:pPr>
          </w:p>
        </w:tc>
        <w:tc>
          <w:tcPr>
            <w:tcW w:w="1276" w:type="dxa"/>
            <w:gridSpan w:val="2"/>
            <w:tcBorders>
              <w:top w:val="single" w:sz="4" w:space="0" w:color="auto"/>
              <w:bottom w:val="single" w:sz="4" w:space="0" w:color="auto"/>
              <w:right w:val="single" w:sz="24" w:space="0" w:color="FFFFFF" w:themeColor="background1"/>
            </w:tcBorders>
            <w:shd w:val="clear" w:color="auto" w:fill="auto"/>
            <w:vAlign w:val="bottom"/>
          </w:tcPr>
          <w:p w14:paraId="4D7B1399" w14:textId="4692A9AD" w:rsidR="00D9258C" w:rsidRPr="00CE27F6" w:rsidRDefault="00D9258C" w:rsidP="0079300E">
            <w:pPr>
              <w:suppressAutoHyphens w:val="0"/>
              <w:spacing w:before="80" w:after="80" w:line="200" w:lineRule="exact"/>
              <w:ind w:right="113"/>
              <w:jc w:val="center"/>
              <w:rPr>
                <w:i/>
                <w:sz w:val="16"/>
              </w:rPr>
            </w:pPr>
            <w:r w:rsidRPr="00CE27F6">
              <w:rPr>
                <w:i/>
                <w:sz w:val="16"/>
              </w:rPr>
              <w:t>Directors</w:t>
            </w:r>
            <w:r w:rsidR="00541D05" w:rsidRPr="00CE27F6">
              <w:rPr>
                <w:i/>
                <w:sz w:val="16"/>
              </w:rPr>
              <w:t xml:space="preserve"> </w:t>
            </w:r>
            <w:r w:rsidRPr="00CE27F6">
              <w:rPr>
                <w:i/>
                <w:sz w:val="16"/>
              </w:rPr>
              <w:t>and</w:t>
            </w:r>
            <w:r w:rsidR="00541D05" w:rsidRPr="00CE27F6">
              <w:rPr>
                <w:i/>
                <w:sz w:val="16"/>
              </w:rPr>
              <w:t xml:space="preserve"> </w:t>
            </w:r>
            <w:r w:rsidRPr="00CE27F6">
              <w:rPr>
                <w:i/>
                <w:sz w:val="16"/>
              </w:rPr>
              <w:t>managers</w:t>
            </w:r>
          </w:p>
        </w:tc>
        <w:tc>
          <w:tcPr>
            <w:tcW w:w="133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ABBC5D" w14:textId="03BA6317" w:rsidR="00D9258C" w:rsidRPr="00CE27F6" w:rsidRDefault="00D9258C" w:rsidP="0079300E">
            <w:pPr>
              <w:suppressAutoHyphens w:val="0"/>
              <w:spacing w:before="80" w:after="80" w:line="200" w:lineRule="exact"/>
              <w:ind w:right="113"/>
              <w:jc w:val="center"/>
              <w:rPr>
                <w:i/>
                <w:sz w:val="16"/>
              </w:rPr>
            </w:pPr>
            <w:r w:rsidRPr="00CE27F6">
              <w:rPr>
                <w:i/>
                <w:sz w:val="16"/>
              </w:rPr>
              <w:t>Sciences</w:t>
            </w:r>
            <w:r w:rsidR="00541D05" w:rsidRPr="00CE27F6">
              <w:rPr>
                <w:i/>
                <w:sz w:val="16"/>
              </w:rPr>
              <w:t xml:space="preserve"> </w:t>
            </w:r>
            <w:r w:rsidRPr="00CE27F6">
              <w:rPr>
                <w:i/>
                <w:sz w:val="16"/>
              </w:rPr>
              <w:t>professionals</w:t>
            </w:r>
            <w:r w:rsidR="00541D05" w:rsidRPr="00CE27F6">
              <w:rPr>
                <w:i/>
                <w:sz w:val="16"/>
              </w:rPr>
              <w:t xml:space="preserve"> </w:t>
            </w:r>
            <w:r w:rsidRPr="00CE27F6">
              <w:rPr>
                <w:i/>
                <w:sz w:val="16"/>
              </w:rPr>
              <w:t>and</w:t>
            </w:r>
            <w:r w:rsidR="00541D05" w:rsidRPr="00CE27F6">
              <w:rPr>
                <w:i/>
                <w:sz w:val="16"/>
              </w:rPr>
              <w:t xml:space="preserve"> </w:t>
            </w:r>
            <w:r w:rsidRPr="00CE27F6">
              <w:rPr>
                <w:i/>
                <w:sz w:val="16"/>
              </w:rPr>
              <w:t>intellectuals</w:t>
            </w:r>
          </w:p>
        </w:tc>
        <w:tc>
          <w:tcPr>
            <w:tcW w:w="13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865DEDA" w14:textId="7F127DAC" w:rsidR="00D9258C" w:rsidRPr="00CE27F6" w:rsidRDefault="00D9258C" w:rsidP="0079300E">
            <w:pPr>
              <w:suppressAutoHyphens w:val="0"/>
              <w:spacing w:before="80" w:after="80" w:line="200" w:lineRule="exact"/>
              <w:ind w:right="113"/>
              <w:jc w:val="center"/>
              <w:rPr>
                <w:i/>
                <w:sz w:val="16"/>
              </w:rPr>
            </w:pPr>
            <w:r w:rsidRPr="00CE27F6">
              <w:rPr>
                <w:i/>
                <w:sz w:val="16"/>
              </w:rPr>
              <w:t>Technicians</w:t>
            </w:r>
            <w:r w:rsidR="00541D05" w:rsidRPr="00CE27F6">
              <w:rPr>
                <w:i/>
                <w:sz w:val="16"/>
              </w:rPr>
              <w:t xml:space="preserve"> </w:t>
            </w:r>
            <w:r w:rsidRPr="00CE27F6">
              <w:rPr>
                <w:i/>
                <w:sz w:val="16"/>
              </w:rPr>
              <w:t>and</w:t>
            </w:r>
            <w:r w:rsidR="00541D05" w:rsidRPr="00CE27F6">
              <w:rPr>
                <w:i/>
                <w:sz w:val="16"/>
              </w:rPr>
              <w:t xml:space="preserve"> </w:t>
            </w:r>
            <w:r w:rsidRPr="00CE27F6">
              <w:rPr>
                <w:i/>
                <w:sz w:val="16"/>
              </w:rPr>
              <w:t>mid-level</w:t>
            </w:r>
            <w:r w:rsidR="00541D05" w:rsidRPr="00CE27F6">
              <w:rPr>
                <w:i/>
                <w:sz w:val="16"/>
              </w:rPr>
              <w:t xml:space="preserve"> </w:t>
            </w:r>
            <w:r w:rsidRPr="00CE27F6">
              <w:rPr>
                <w:i/>
                <w:sz w:val="16"/>
              </w:rPr>
              <w:t>professionals</w:t>
            </w:r>
          </w:p>
        </w:tc>
        <w:tc>
          <w:tcPr>
            <w:tcW w:w="14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7232B55" w14:textId="5904BAD2" w:rsidR="00D9258C" w:rsidRPr="00CE27F6" w:rsidRDefault="00D9258C" w:rsidP="0079300E">
            <w:pPr>
              <w:suppressAutoHyphens w:val="0"/>
              <w:spacing w:before="80" w:after="80" w:line="200" w:lineRule="exact"/>
              <w:ind w:right="113"/>
              <w:jc w:val="center"/>
              <w:rPr>
                <w:i/>
                <w:sz w:val="16"/>
              </w:rPr>
            </w:pPr>
            <w:r w:rsidRPr="00CE27F6">
              <w:rPr>
                <w:i/>
                <w:sz w:val="16"/>
              </w:rPr>
              <w:t>Administrative</w:t>
            </w:r>
            <w:r w:rsidR="00541D05" w:rsidRPr="00CE27F6">
              <w:rPr>
                <w:i/>
                <w:sz w:val="16"/>
              </w:rPr>
              <w:t xml:space="preserve"> </w:t>
            </w:r>
            <w:r w:rsidRPr="00CE27F6">
              <w:rPr>
                <w:i/>
                <w:sz w:val="16"/>
              </w:rPr>
              <w:t>support</w:t>
            </w:r>
            <w:r w:rsidR="00541D05" w:rsidRPr="00CE27F6">
              <w:rPr>
                <w:i/>
                <w:sz w:val="16"/>
              </w:rPr>
              <w:t xml:space="preserve"> </w:t>
            </w:r>
            <w:r w:rsidRPr="00CE27F6">
              <w:rPr>
                <w:i/>
                <w:sz w:val="16"/>
              </w:rPr>
              <w:t>workers</w:t>
            </w:r>
          </w:p>
        </w:tc>
        <w:tc>
          <w:tcPr>
            <w:tcW w:w="1375" w:type="dxa"/>
            <w:gridSpan w:val="2"/>
            <w:tcBorders>
              <w:top w:val="single" w:sz="4" w:space="0" w:color="auto"/>
              <w:left w:val="single" w:sz="24" w:space="0" w:color="FFFFFF" w:themeColor="background1"/>
              <w:bottom w:val="single" w:sz="4" w:space="0" w:color="auto"/>
            </w:tcBorders>
            <w:shd w:val="clear" w:color="auto" w:fill="auto"/>
            <w:vAlign w:val="bottom"/>
          </w:tcPr>
          <w:p w14:paraId="4B42496C" w14:textId="11633E29" w:rsidR="00D9258C" w:rsidRPr="00CE27F6" w:rsidRDefault="00D9258C" w:rsidP="0079300E">
            <w:pPr>
              <w:suppressAutoHyphens w:val="0"/>
              <w:spacing w:before="80" w:after="80" w:line="200" w:lineRule="exact"/>
              <w:ind w:right="113"/>
              <w:jc w:val="center"/>
              <w:rPr>
                <w:i/>
                <w:sz w:val="16"/>
              </w:rPr>
            </w:pPr>
            <w:r w:rsidRPr="00CE27F6">
              <w:rPr>
                <w:i/>
                <w:sz w:val="16"/>
              </w:rPr>
              <w:t>Services</w:t>
            </w:r>
            <w:r w:rsidR="00541D05" w:rsidRPr="00CE27F6">
              <w:rPr>
                <w:i/>
                <w:sz w:val="16"/>
              </w:rPr>
              <w:t xml:space="preserve"> </w:t>
            </w:r>
            <w:r w:rsidRPr="00CE27F6">
              <w:rPr>
                <w:i/>
                <w:sz w:val="16"/>
              </w:rPr>
              <w:t>workers,</w:t>
            </w:r>
            <w:r w:rsidR="00541D05" w:rsidRPr="00CE27F6">
              <w:rPr>
                <w:i/>
                <w:sz w:val="16"/>
              </w:rPr>
              <w:t xml:space="preserve"> </w:t>
            </w:r>
            <w:r w:rsidRPr="00CE27F6">
              <w:rPr>
                <w:i/>
                <w:sz w:val="16"/>
              </w:rPr>
              <w:t>salespeople</w:t>
            </w:r>
            <w:r w:rsidR="00541D05" w:rsidRPr="00CE27F6">
              <w:rPr>
                <w:i/>
                <w:sz w:val="16"/>
              </w:rPr>
              <w:t xml:space="preserve"> </w:t>
            </w:r>
            <w:r w:rsidRPr="00CE27F6">
              <w:rPr>
                <w:i/>
                <w:sz w:val="16"/>
              </w:rPr>
              <w:t>in</w:t>
            </w:r>
            <w:r w:rsidR="00541D05" w:rsidRPr="00CE27F6">
              <w:rPr>
                <w:i/>
                <w:sz w:val="16"/>
              </w:rPr>
              <w:t xml:space="preserve"> </w:t>
            </w:r>
            <w:r w:rsidRPr="00CE27F6">
              <w:rPr>
                <w:i/>
                <w:sz w:val="16"/>
              </w:rPr>
              <w:t>stores</w:t>
            </w:r>
            <w:r w:rsidR="00541D05" w:rsidRPr="00CE27F6">
              <w:rPr>
                <w:i/>
                <w:sz w:val="16"/>
              </w:rPr>
              <w:t xml:space="preserve"> </w:t>
            </w:r>
            <w:r w:rsidRPr="00CE27F6">
              <w:rPr>
                <w:i/>
                <w:sz w:val="16"/>
              </w:rPr>
              <w:t>and</w:t>
            </w:r>
            <w:r w:rsidR="00541D05" w:rsidRPr="00CE27F6">
              <w:rPr>
                <w:i/>
                <w:sz w:val="16"/>
              </w:rPr>
              <w:t xml:space="preserve"> </w:t>
            </w:r>
            <w:r w:rsidRPr="00CE27F6">
              <w:rPr>
                <w:i/>
                <w:sz w:val="16"/>
              </w:rPr>
              <w:t>markets</w:t>
            </w:r>
          </w:p>
        </w:tc>
      </w:tr>
      <w:tr w:rsidR="00CE27F6" w:rsidRPr="00CE27F6" w14:paraId="0F9F3206" w14:textId="77777777" w:rsidTr="0079300E">
        <w:tc>
          <w:tcPr>
            <w:tcW w:w="566" w:type="dxa"/>
            <w:tcBorders>
              <w:top w:val="nil"/>
              <w:bottom w:val="single" w:sz="12" w:space="0" w:color="auto"/>
            </w:tcBorders>
            <w:shd w:val="clear" w:color="auto" w:fill="auto"/>
          </w:tcPr>
          <w:p w14:paraId="6C06CF8F" w14:textId="77777777" w:rsidR="00D9258C" w:rsidRPr="00CE27F6" w:rsidRDefault="00D9258C" w:rsidP="00CE27F6">
            <w:pPr>
              <w:suppressAutoHyphens w:val="0"/>
              <w:spacing w:before="40" w:after="40" w:line="220" w:lineRule="exact"/>
              <w:ind w:right="113"/>
              <w:rPr>
                <w:sz w:val="18"/>
              </w:rPr>
            </w:pPr>
          </w:p>
        </w:tc>
        <w:tc>
          <w:tcPr>
            <w:tcW w:w="567" w:type="dxa"/>
            <w:tcBorders>
              <w:top w:val="single" w:sz="4" w:space="0" w:color="auto"/>
              <w:bottom w:val="single" w:sz="12" w:space="0" w:color="auto"/>
            </w:tcBorders>
            <w:shd w:val="clear" w:color="auto" w:fill="auto"/>
            <w:vAlign w:val="bottom"/>
          </w:tcPr>
          <w:p w14:paraId="5C55916A" w14:textId="77777777" w:rsidR="00D9258C" w:rsidRPr="00CE27F6" w:rsidRDefault="00D9258C" w:rsidP="00CE27F6">
            <w:pPr>
              <w:suppressAutoHyphens w:val="0"/>
              <w:spacing w:before="80" w:after="80" w:line="200" w:lineRule="exact"/>
              <w:ind w:right="113"/>
              <w:jc w:val="right"/>
              <w:rPr>
                <w:i/>
                <w:sz w:val="16"/>
              </w:rPr>
            </w:pPr>
            <w:r w:rsidRPr="00CE27F6">
              <w:rPr>
                <w:i/>
                <w:sz w:val="16"/>
              </w:rPr>
              <w:t>White</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59B88212" w14:textId="77777777" w:rsidR="00D9258C" w:rsidRPr="00CE27F6" w:rsidRDefault="00D9258C" w:rsidP="00CE27F6">
            <w:pPr>
              <w:suppressAutoHyphens w:val="0"/>
              <w:spacing w:before="80" w:after="80" w:line="200" w:lineRule="exact"/>
              <w:ind w:right="113"/>
              <w:jc w:val="right"/>
              <w:rPr>
                <w:i/>
                <w:sz w:val="16"/>
              </w:rPr>
            </w:pPr>
            <w:r w:rsidRPr="00CE27F6">
              <w:rPr>
                <w:i/>
                <w:sz w:val="16"/>
              </w:rPr>
              <w:t>Afro-Brazilian</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1662E254" w14:textId="77777777" w:rsidR="00D9258C" w:rsidRPr="00CE27F6" w:rsidRDefault="00D9258C" w:rsidP="00CE27F6">
            <w:pPr>
              <w:suppressAutoHyphens w:val="0"/>
              <w:spacing w:before="80" w:after="80" w:line="200" w:lineRule="exact"/>
              <w:ind w:right="113"/>
              <w:jc w:val="right"/>
              <w:rPr>
                <w:i/>
                <w:sz w:val="16"/>
              </w:rPr>
            </w:pPr>
            <w:r w:rsidRPr="00CE27F6">
              <w:rPr>
                <w:i/>
                <w:sz w:val="16"/>
              </w:rPr>
              <w:t>White</w:t>
            </w:r>
          </w:p>
        </w:tc>
        <w:tc>
          <w:tcPr>
            <w:tcW w:w="766" w:type="dxa"/>
            <w:tcBorders>
              <w:top w:val="single" w:sz="4" w:space="0" w:color="auto"/>
              <w:bottom w:val="single" w:sz="12" w:space="0" w:color="auto"/>
              <w:right w:val="single" w:sz="24" w:space="0" w:color="FFFFFF" w:themeColor="background1"/>
            </w:tcBorders>
            <w:shd w:val="clear" w:color="auto" w:fill="auto"/>
            <w:vAlign w:val="bottom"/>
          </w:tcPr>
          <w:p w14:paraId="6A9178AB" w14:textId="77777777" w:rsidR="00D9258C" w:rsidRPr="00CE27F6" w:rsidRDefault="00D9258C" w:rsidP="00CE27F6">
            <w:pPr>
              <w:suppressAutoHyphens w:val="0"/>
              <w:spacing w:before="80" w:after="80" w:line="200" w:lineRule="exact"/>
              <w:ind w:right="113"/>
              <w:jc w:val="right"/>
              <w:rPr>
                <w:i/>
                <w:sz w:val="16"/>
              </w:rPr>
            </w:pPr>
            <w:r w:rsidRPr="00CE27F6">
              <w:rPr>
                <w:i/>
                <w:sz w:val="16"/>
              </w:rPr>
              <w:t>Afro-Brazilian</w:t>
            </w:r>
          </w:p>
        </w:tc>
        <w:tc>
          <w:tcPr>
            <w:tcW w:w="652" w:type="dxa"/>
            <w:tcBorders>
              <w:top w:val="single" w:sz="4" w:space="0" w:color="auto"/>
              <w:left w:val="single" w:sz="24" w:space="0" w:color="FFFFFF" w:themeColor="background1"/>
              <w:bottom w:val="single" w:sz="12" w:space="0" w:color="auto"/>
            </w:tcBorders>
            <w:shd w:val="clear" w:color="auto" w:fill="auto"/>
            <w:vAlign w:val="bottom"/>
          </w:tcPr>
          <w:p w14:paraId="69CF3540" w14:textId="77777777" w:rsidR="00D9258C" w:rsidRPr="00CE27F6" w:rsidRDefault="00D9258C" w:rsidP="00CE27F6">
            <w:pPr>
              <w:suppressAutoHyphens w:val="0"/>
              <w:spacing w:before="80" w:after="80" w:line="200" w:lineRule="exact"/>
              <w:ind w:right="113"/>
              <w:jc w:val="right"/>
              <w:rPr>
                <w:i/>
                <w:sz w:val="16"/>
              </w:rPr>
            </w:pPr>
            <w:r w:rsidRPr="00CE27F6">
              <w:rPr>
                <w:i/>
                <w:sz w:val="16"/>
              </w:rPr>
              <w:t>White</w:t>
            </w:r>
          </w:p>
        </w:tc>
        <w:tc>
          <w:tcPr>
            <w:tcW w:w="722" w:type="dxa"/>
            <w:tcBorders>
              <w:top w:val="single" w:sz="4" w:space="0" w:color="auto"/>
              <w:bottom w:val="single" w:sz="12" w:space="0" w:color="auto"/>
              <w:right w:val="single" w:sz="24" w:space="0" w:color="FFFFFF" w:themeColor="background1"/>
            </w:tcBorders>
            <w:shd w:val="clear" w:color="auto" w:fill="auto"/>
            <w:vAlign w:val="bottom"/>
          </w:tcPr>
          <w:p w14:paraId="4D3ABF20" w14:textId="77777777" w:rsidR="00D9258C" w:rsidRPr="00CE27F6" w:rsidRDefault="00D9258C" w:rsidP="00CE27F6">
            <w:pPr>
              <w:suppressAutoHyphens w:val="0"/>
              <w:spacing w:before="80" w:after="80" w:line="200" w:lineRule="exact"/>
              <w:ind w:right="113"/>
              <w:jc w:val="right"/>
              <w:rPr>
                <w:i/>
                <w:sz w:val="16"/>
              </w:rPr>
            </w:pPr>
            <w:r w:rsidRPr="00CE27F6">
              <w:rPr>
                <w:i/>
                <w:sz w:val="16"/>
              </w:rPr>
              <w:t>Afro-Brazilian</w:t>
            </w:r>
          </w:p>
        </w:tc>
        <w:tc>
          <w:tcPr>
            <w:tcW w:w="695" w:type="dxa"/>
            <w:tcBorders>
              <w:top w:val="single" w:sz="4" w:space="0" w:color="auto"/>
              <w:left w:val="single" w:sz="24" w:space="0" w:color="FFFFFF" w:themeColor="background1"/>
              <w:bottom w:val="single" w:sz="12" w:space="0" w:color="auto"/>
            </w:tcBorders>
            <w:shd w:val="clear" w:color="auto" w:fill="auto"/>
            <w:vAlign w:val="bottom"/>
          </w:tcPr>
          <w:p w14:paraId="61C31786" w14:textId="77777777" w:rsidR="00D9258C" w:rsidRPr="00CE27F6" w:rsidRDefault="00D9258C" w:rsidP="00CE27F6">
            <w:pPr>
              <w:suppressAutoHyphens w:val="0"/>
              <w:spacing w:before="80" w:after="80" w:line="200" w:lineRule="exact"/>
              <w:ind w:right="113"/>
              <w:jc w:val="right"/>
              <w:rPr>
                <w:i/>
                <w:sz w:val="16"/>
              </w:rPr>
            </w:pPr>
            <w:r w:rsidRPr="00CE27F6">
              <w:rPr>
                <w:i/>
                <w:sz w:val="16"/>
              </w:rPr>
              <w:t>White</w:t>
            </w:r>
          </w:p>
        </w:tc>
        <w:tc>
          <w:tcPr>
            <w:tcW w:w="751" w:type="dxa"/>
            <w:tcBorders>
              <w:top w:val="single" w:sz="4" w:space="0" w:color="auto"/>
              <w:bottom w:val="single" w:sz="12" w:space="0" w:color="auto"/>
              <w:right w:val="single" w:sz="24" w:space="0" w:color="FFFFFF" w:themeColor="background1"/>
            </w:tcBorders>
            <w:shd w:val="clear" w:color="auto" w:fill="auto"/>
            <w:vAlign w:val="bottom"/>
          </w:tcPr>
          <w:p w14:paraId="146A54E9" w14:textId="77777777" w:rsidR="00D9258C" w:rsidRPr="00CE27F6" w:rsidRDefault="00D9258C" w:rsidP="00CE27F6">
            <w:pPr>
              <w:suppressAutoHyphens w:val="0"/>
              <w:spacing w:before="80" w:after="80" w:line="200" w:lineRule="exact"/>
              <w:ind w:right="113"/>
              <w:jc w:val="right"/>
              <w:rPr>
                <w:i/>
                <w:sz w:val="16"/>
              </w:rPr>
            </w:pPr>
            <w:r w:rsidRPr="00CE27F6">
              <w:rPr>
                <w:i/>
                <w:sz w:val="16"/>
              </w:rPr>
              <w:t>Afro-Brazilian</w:t>
            </w:r>
          </w:p>
        </w:tc>
        <w:tc>
          <w:tcPr>
            <w:tcW w:w="668" w:type="dxa"/>
            <w:tcBorders>
              <w:top w:val="single" w:sz="4" w:space="0" w:color="auto"/>
              <w:left w:val="single" w:sz="24" w:space="0" w:color="FFFFFF" w:themeColor="background1"/>
              <w:bottom w:val="single" w:sz="12" w:space="0" w:color="auto"/>
            </w:tcBorders>
            <w:shd w:val="clear" w:color="auto" w:fill="auto"/>
            <w:vAlign w:val="bottom"/>
          </w:tcPr>
          <w:p w14:paraId="4E483155" w14:textId="77777777" w:rsidR="00D9258C" w:rsidRPr="00CE27F6" w:rsidRDefault="00D9258C" w:rsidP="00CE27F6">
            <w:pPr>
              <w:suppressAutoHyphens w:val="0"/>
              <w:spacing w:before="80" w:after="80" w:line="200" w:lineRule="exact"/>
              <w:ind w:right="113"/>
              <w:jc w:val="right"/>
              <w:rPr>
                <w:i/>
                <w:sz w:val="16"/>
              </w:rPr>
            </w:pPr>
            <w:r w:rsidRPr="00CE27F6">
              <w:rPr>
                <w:i/>
                <w:sz w:val="16"/>
              </w:rPr>
              <w:t>White</w:t>
            </w:r>
          </w:p>
        </w:tc>
        <w:tc>
          <w:tcPr>
            <w:tcW w:w="707" w:type="dxa"/>
            <w:tcBorders>
              <w:top w:val="single" w:sz="4" w:space="0" w:color="auto"/>
              <w:bottom w:val="single" w:sz="12" w:space="0" w:color="auto"/>
            </w:tcBorders>
            <w:shd w:val="clear" w:color="auto" w:fill="auto"/>
            <w:vAlign w:val="bottom"/>
          </w:tcPr>
          <w:p w14:paraId="429956AE" w14:textId="77777777" w:rsidR="00D9258C" w:rsidRPr="00CE27F6" w:rsidRDefault="00D9258C" w:rsidP="00CE27F6">
            <w:pPr>
              <w:suppressAutoHyphens w:val="0"/>
              <w:spacing w:before="80" w:after="80" w:line="200" w:lineRule="exact"/>
              <w:ind w:right="113"/>
              <w:jc w:val="right"/>
              <w:rPr>
                <w:i/>
                <w:sz w:val="16"/>
              </w:rPr>
            </w:pPr>
            <w:r w:rsidRPr="00CE27F6">
              <w:rPr>
                <w:i/>
                <w:sz w:val="16"/>
              </w:rPr>
              <w:t>Afro-Brazilian</w:t>
            </w:r>
          </w:p>
        </w:tc>
      </w:tr>
      <w:tr w:rsidR="00CE27F6" w:rsidRPr="00CE27F6" w14:paraId="295D697E" w14:textId="77777777" w:rsidTr="0079300E">
        <w:tc>
          <w:tcPr>
            <w:tcW w:w="566" w:type="dxa"/>
            <w:tcBorders>
              <w:top w:val="single" w:sz="12" w:space="0" w:color="auto"/>
            </w:tcBorders>
            <w:shd w:val="clear" w:color="auto" w:fill="auto"/>
          </w:tcPr>
          <w:p w14:paraId="694EB75D" w14:textId="77777777" w:rsidR="00D9258C" w:rsidRPr="00CE27F6" w:rsidRDefault="00D9258C" w:rsidP="00CE27F6">
            <w:pPr>
              <w:suppressAutoHyphens w:val="0"/>
              <w:spacing w:before="40" w:after="40" w:line="220" w:lineRule="exact"/>
              <w:ind w:right="113"/>
              <w:rPr>
                <w:sz w:val="18"/>
              </w:rPr>
            </w:pPr>
            <w:r w:rsidRPr="00CE27F6">
              <w:rPr>
                <w:sz w:val="18"/>
              </w:rPr>
              <w:t>2012</w:t>
            </w:r>
          </w:p>
        </w:tc>
        <w:tc>
          <w:tcPr>
            <w:tcW w:w="567" w:type="dxa"/>
            <w:tcBorders>
              <w:top w:val="single" w:sz="12" w:space="0" w:color="auto"/>
            </w:tcBorders>
            <w:shd w:val="clear" w:color="auto" w:fill="auto"/>
            <w:vAlign w:val="bottom"/>
          </w:tcPr>
          <w:p w14:paraId="0BDD6AEB" w14:textId="77777777" w:rsidR="00D9258C" w:rsidRPr="00CE27F6" w:rsidRDefault="00D9258C" w:rsidP="00CE27F6">
            <w:pPr>
              <w:suppressAutoHyphens w:val="0"/>
              <w:spacing w:before="40" w:after="40" w:line="220" w:lineRule="exact"/>
              <w:ind w:right="113"/>
              <w:jc w:val="right"/>
              <w:rPr>
                <w:sz w:val="18"/>
              </w:rPr>
            </w:pPr>
            <w:r w:rsidRPr="00CE27F6">
              <w:rPr>
                <w:sz w:val="18"/>
              </w:rPr>
              <w:t>62.72</w:t>
            </w:r>
          </w:p>
        </w:tc>
        <w:tc>
          <w:tcPr>
            <w:tcW w:w="709" w:type="dxa"/>
            <w:tcBorders>
              <w:top w:val="single" w:sz="12" w:space="0" w:color="auto"/>
            </w:tcBorders>
            <w:shd w:val="clear" w:color="auto" w:fill="auto"/>
            <w:vAlign w:val="bottom"/>
          </w:tcPr>
          <w:p w14:paraId="485B5DB6" w14:textId="77777777" w:rsidR="00D9258C" w:rsidRPr="00CE27F6" w:rsidRDefault="00D9258C" w:rsidP="00CE27F6">
            <w:pPr>
              <w:suppressAutoHyphens w:val="0"/>
              <w:spacing w:before="40" w:after="40" w:line="220" w:lineRule="exact"/>
              <w:ind w:right="113"/>
              <w:jc w:val="right"/>
              <w:rPr>
                <w:sz w:val="18"/>
              </w:rPr>
            </w:pPr>
            <w:r w:rsidRPr="00CE27F6">
              <w:rPr>
                <w:sz w:val="18"/>
              </w:rPr>
              <w:t>36.25</w:t>
            </w:r>
          </w:p>
        </w:tc>
        <w:tc>
          <w:tcPr>
            <w:tcW w:w="567" w:type="dxa"/>
            <w:tcBorders>
              <w:top w:val="single" w:sz="12" w:space="0" w:color="auto"/>
            </w:tcBorders>
            <w:shd w:val="clear" w:color="auto" w:fill="auto"/>
            <w:vAlign w:val="bottom"/>
          </w:tcPr>
          <w:p w14:paraId="7426ECA0" w14:textId="77777777" w:rsidR="00D9258C" w:rsidRPr="00CE27F6" w:rsidRDefault="00D9258C" w:rsidP="00CE27F6">
            <w:pPr>
              <w:suppressAutoHyphens w:val="0"/>
              <w:spacing w:before="40" w:after="40" w:line="220" w:lineRule="exact"/>
              <w:ind w:right="113"/>
              <w:jc w:val="right"/>
              <w:rPr>
                <w:sz w:val="18"/>
              </w:rPr>
            </w:pPr>
            <w:r w:rsidRPr="00CE27F6">
              <w:rPr>
                <w:sz w:val="18"/>
              </w:rPr>
              <w:t>60.29</w:t>
            </w:r>
          </w:p>
        </w:tc>
        <w:tc>
          <w:tcPr>
            <w:tcW w:w="766" w:type="dxa"/>
            <w:tcBorders>
              <w:top w:val="single" w:sz="12" w:space="0" w:color="auto"/>
            </w:tcBorders>
            <w:shd w:val="clear" w:color="auto" w:fill="auto"/>
            <w:vAlign w:val="bottom"/>
          </w:tcPr>
          <w:p w14:paraId="1450AA57" w14:textId="77777777" w:rsidR="00D9258C" w:rsidRPr="00CE27F6" w:rsidRDefault="00D9258C" w:rsidP="00CE27F6">
            <w:pPr>
              <w:suppressAutoHyphens w:val="0"/>
              <w:spacing w:before="40" w:after="40" w:line="220" w:lineRule="exact"/>
              <w:ind w:right="113"/>
              <w:jc w:val="right"/>
              <w:rPr>
                <w:sz w:val="18"/>
              </w:rPr>
            </w:pPr>
            <w:r w:rsidRPr="00CE27F6">
              <w:rPr>
                <w:sz w:val="18"/>
              </w:rPr>
              <w:t>38.68</w:t>
            </w:r>
          </w:p>
        </w:tc>
        <w:tc>
          <w:tcPr>
            <w:tcW w:w="652" w:type="dxa"/>
            <w:tcBorders>
              <w:top w:val="single" w:sz="12" w:space="0" w:color="auto"/>
            </w:tcBorders>
            <w:shd w:val="clear" w:color="auto" w:fill="auto"/>
            <w:vAlign w:val="bottom"/>
          </w:tcPr>
          <w:p w14:paraId="75A39AF4" w14:textId="77777777" w:rsidR="00D9258C" w:rsidRPr="00CE27F6" w:rsidRDefault="00D9258C" w:rsidP="00CE27F6">
            <w:pPr>
              <w:suppressAutoHyphens w:val="0"/>
              <w:spacing w:before="40" w:after="40" w:line="220" w:lineRule="exact"/>
              <w:ind w:right="113"/>
              <w:jc w:val="right"/>
              <w:rPr>
                <w:sz w:val="18"/>
              </w:rPr>
            </w:pPr>
            <w:r w:rsidRPr="00CE27F6">
              <w:rPr>
                <w:sz w:val="18"/>
              </w:rPr>
              <w:t>51.53</w:t>
            </w:r>
          </w:p>
        </w:tc>
        <w:tc>
          <w:tcPr>
            <w:tcW w:w="722" w:type="dxa"/>
            <w:tcBorders>
              <w:top w:val="single" w:sz="12" w:space="0" w:color="auto"/>
            </w:tcBorders>
            <w:shd w:val="clear" w:color="auto" w:fill="auto"/>
            <w:vAlign w:val="bottom"/>
          </w:tcPr>
          <w:p w14:paraId="207C6A32" w14:textId="77777777" w:rsidR="00D9258C" w:rsidRPr="00CE27F6" w:rsidRDefault="00D9258C" w:rsidP="00CE27F6">
            <w:pPr>
              <w:suppressAutoHyphens w:val="0"/>
              <w:spacing w:before="40" w:after="40" w:line="220" w:lineRule="exact"/>
              <w:ind w:right="113"/>
              <w:jc w:val="right"/>
              <w:rPr>
                <w:sz w:val="18"/>
              </w:rPr>
            </w:pPr>
            <w:r w:rsidRPr="00CE27F6">
              <w:rPr>
                <w:sz w:val="18"/>
              </w:rPr>
              <w:t>47.84</w:t>
            </w:r>
          </w:p>
        </w:tc>
        <w:tc>
          <w:tcPr>
            <w:tcW w:w="695" w:type="dxa"/>
            <w:tcBorders>
              <w:top w:val="single" w:sz="12" w:space="0" w:color="auto"/>
            </w:tcBorders>
            <w:shd w:val="clear" w:color="auto" w:fill="auto"/>
            <w:vAlign w:val="bottom"/>
          </w:tcPr>
          <w:p w14:paraId="6002B4D6" w14:textId="77777777" w:rsidR="00D9258C" w:rsidRPr="00CE27F6" w:rsidRDefault="00D9258C" w:rsidP="00CE27F6">
            <w:pPr>
              <w:suppressAutoHyphens w:val="0"/>
              <w:spacing w:before="40" w:after="40" w:line="220" w:lineRule="exact"/>
              <w:ind w:right="113"/>
              <w:jc w:val="right"/>
              <w:rPr>
                <w:sz w:val="18"/>
              </w:rPr>
            </w:pPr>
            <w:r w:rsidRPr="00CE27F6">
              <w:rPr>
                <w:sz w:val="18"/>
              </w:rPr>
              <w:t>51.1</w:t>
            </w:r>
          </w:p>
        </w:tc>
        <w:tc>
          <w:tcPr>
            <w:tcW w:w="751" w:type="dxa"/>
            <w:tcBorders>
              <w:top w:val="single" w:sz="12" w:space="0" w:color="auto"/>
            </w:tcBorders>
            <w:shd w:val="clear" w:color="auto" w:fill="auto"/>
            <w:vAlign w:val="bottom"/>
          </w:tcPr>
          <w:p w14:paraId="62E06A2E" w14:textId="77777777" w:rsidR="00D9258C" w:rsidRPr="00CE27F6" w:rsidRDefault="00D9258C" w:rsidP="00CE27F6">
            <w:pPr>
              <w:suppressAutoHyphens w:val="0"/>
              <w:spacing w:before="40" w:after="40" w:line="220" w:lineRule="exact"/>
              <w:ind w:right="113"/>
              <w:jc w:val="right"/>
              <w:rPr>
                <w:sz w:val="18"/>
              </w:rPr>
            </w:pPr>
            <w:r w:rsidRPr="00CE27F6">
              <w:rPr>
                <w:sz w:val="18"/>
              </w:rPr>
              <w:t>48.3</w:t>
            </w:r>
          </w:p>
        </w:tc>
        <w:tc>
          <w:tcPr>
            <w:tcW w:w="668" w:type="dxa"/>
            <w:tcBorders>
              <w:top w:val="single" w:sz="12" w:space="0" w:color="auto"/>
            </w:tcBorders>
            <w:shd w:val="clear" w:color="auto" w:fill="auto"/>
            <w:vAlign w:val="bottom"/>
          </w:tcPr>
          <w:p w14:paraId="56564AE4" w14:textId="77777777" w:rsidR="00D9258C" w:rsidRPr="00CE27F6" w:rsidRDefault="00D9258C" w:rsidP="00CE27F6">
            <w:pPr>
              <w:suppressAutoHyphens w:val="0"/>
              <w:spacing w:before="40" w:after="40" w:line="220" w:lineRule="exact"/>
              <w:ind w:right="113"/>
              <w:jc w:val="right"/>
              <w:rPr>
                <w:sz w:val="18"/>
              </w:rPr>
            </w:pPr>
            <w:r w:rsidRPr="00CE27F6">
              <w:rPr>
                <w:sz w:val="18"/>
              </w:rPr>
              <w:t>43.18</w:t>
            </w:r>
          </w:p>
        </w:tc>
        <w:tc>
          <w:tcPr>
            <w:tcW w:w="707" w:type="dxa"/>
            <w:tcBorders>
              <w:top w:val="single" w:sz="12" w:space="0" w:color="auto"/>
            </w:tcBorders>
            <w:shd w:val="clear" w:color="auto" w:fill="auto"/>
            <w:vAlign w:val="bottom"/>
          </w:tcPr>
          <w:p w14:paraId="4783E10C" w14:textId="77777777" w:rsidR="00D9258C" w:rsidRPr="00CE27F6" w:rsidRDefault="00D9258C" w:rsidP="00CE27F6">
            <w:pPr>
              <w:suppressAutoHyphens w:val="0"/>
              <w:spacing w:before="40" w:after="40" w:line="220" w:lineRule="exact"/>
              <w:ind w:right="113"/>
              <w:jc w:val="right"/>
              <w:rPr>
                <w:sz w:val="18"/>
              </w:rPr>
            </w:pPr>
            <w:r w:rsidRPr="00CE27F6">
              <w:rPr>
                <w:sz w:val="18"/>
              </w:rPr>
              <w:t>56.15</w:t>
            </w:r>
          </w:p>
        </w:tc>
      </w:tr>
      <w:tr w:rsidR="00CE27F6" w:rsidRPr="00CE27F6" w14:paraId="338831E4" w14:textId="77777777" w:rsidTr="00CE27F6">
        <w:tc>
          <w:tcPr>
            <w:tcW w:w="566" w:type="dxa"/>
            <w:shd w:val="clear" w:color="auto" w:fill="auto"/>
          </w:tcPr>
          <w:p w14:paraId="7FA4E255" w14:textId="77777777" w:rsidR="00D9258C" w:rsidRPr="00CE27F6" w:rsidRDefault="00D9258C" w:rsidP="00CE27F6">
            <w:pPr>
              <w:suppressAutoHyphens w:val="0"/>
              <w:spacing w:before="40" w:after="40" w:line="220" w:lineRule="exact"/>
              <w:ind w:right="113"/>
              <w:rPr>
                <w:sz w:val="18"/>
              </w:rPr>
            </w:pPr>
            <w:r w:rsidRPr="00CE27F6">
              <w:rPr>
                <w:sz w:val="18"/>
              </w:rPr>
              <w:t>2013</w:t>
            </w:r>
          </w:p>
        </w:tc>
        <w:tc>
          <w:tcPr>
            <w:tcW w:w="567" w:type="dxa"/>
            <w:shd w:val="clear" w:color="auto" w:fill="auto"/>
            <w:vAlign w:val="bottom"/>
          </w:tcPr>
          <w:p w14:paraId="738BD5BB" w14:textId="77777777" w:rsidR="00D9258C" w:rsidRPr="00CE27F6" w:rsidRDefault="00D9258C" w:rsidP="00CE27F6">
            <w:pPr>
              <w:suppressAutoHyphens w:val="0"/>
              <w:spacing w:before="40" w:after="40" w:line="220" w:lineRule="exact"/>
              <w:ind w:right="113"/>
              <w:jc w:val="right"/>
              <w:rPr>
                <w:sz w:val="18"/>
              </w:rPr>
            </w:pPr>
            <w:r w:rsidRPr="00CE27F6">
              <w:rPr>
                <w:sz w:val="18"/>
              </w:rPr>
              <w:t>62.41</w:t>
            </w:r>
          </w:p>
        </w:tc>
        <w:tc>
          <w:tcPr>
            <w:tcW w:w="709" w:type="dxa"/>
            <w:shd w:val="clear" w:color="auto" w:fill="auto"/>
            <w:vAlign w:val="bottom"/>
          </w:tcPr>
          <w:p w14:paraId="569354B4" w14:textId="77777777" w:rsidR="00D9258C" w:rsidRPr="00CE27F6" w:rsidRDefault="00D9258C" w:rsidP="00CE27F6">
            <w:pPr>
              <w:suppressAutoHyphens w:val="0"/>
              <w:spacing w:before="40" w:after="40" w:line="220" w:lineRule="exact"/>
              <w:ind w:right="113"/>
              <w:jc w:val="right"/>
              <w:rPr>
                <w:sz w:val="18"/>
              </w:rPr>
            </w:pPr>
            <w:r w:rsidRPr="00CE27F6">
              <w:rPr>
                <w:sz w:val="18"/>
              </w:rPr>
              <w:t>36.6</w:t>
            </w:r>
          </w:p>
        </w:tc>
        <w:tc>
          <w:tcPr>
            <w:tcW w:w="567" w:type="dxa"/>
            <w:shd w:val="clear" w:color="auto" w:fill="auto"/>
            <w:vAlign w:val="bottom"/>
          </w:tcPr>
          <w:p w14:paraId="6D255B46" w14:textId="77777777" w:rsidR="00D9258C" w:rsidRPr="00CE27F6" w:rsidRDefault="00D9258C" w:rsidP="00CE27F6">
            <w:pPr>
              <w:suppressAutoHyphens w:val="0"/>
              <w:spacing w:before="40" w:after="40" w:line="220" w:lineRule="exact"/>
              <w:ind w:right="113"/>
              <w:jc w:val="right"/>
              <w:rPr>
                <w:sz w:val="18"/>
              </w:rPr>
            </w:pPr>
            <w:r w:rsidRPr="00CE27F6">
              <w:rPr>
                <w:sz w:val="18"/>
              </w:rPr>
              <w:t>58.7</w:t>
            </w:r>
          </w:p>
        </w:tc>
        <w:tc>
          <w:tcPr>
            <w:tcW w:w="766" w:type="dxa"/>
            <w:shd w:val="clear" w:color="auto" w:fill="auto"/>
            <w:vAlign w:val="bottom"/>
          </w:tcPr>
          <w:p w14:paraId="4D2B7D1F" w14:textId="77777777" w:rsidR="00D9258C" w:rsidRPr="00CE27F6" w:rsidRDefault="00D9258C" w:rsidP="00CE27F6">
            <w:pPr>
              <w:suppressAutoHyphens w:val="0"/>
              <w:spacing w:before="40" w:after="40" w:line="220" w:lineRule="exact"/>
              <w:ind w:right="113"/>
              <w:jc w:val="right"/>
              <w:rPr>
                <w:sz w:val="18"/>
              </w:rPr>
            </w:pPr>
            <w:r w:rsidRPr="00CE27F6">
              <w:rPr>
                <w:sz w:val="18"/>
              </w:rPr>
              <w:t>40.25</w:t>
            </w:r>
          </w:p>
        </w:tc>
        <w:tc>
          <w:tcPr>
            <w:tcW w:w="652" w:type="dxa"/>
            <w:shd w:val="clear" w:color="auto" w:fill="auto"/>
            <w:vAlign w:val="bottom"/>
          </w:tcPr>
          <w:p w14:paraId="186BEF4C" w14:textId="77777777" w:rsidR="00D9258C" w:rsidRPr="00CE27F6" w:rsidRDefault="00D9258C" w:rsidP="00CE27F6">
            <w:pPr>
              <w:suppressAutoHyphens w:val="0"/>
              <w:spacing w:before="40" w:after="40" w:line="220" w:lineRule="exact"/>
              <w:ind w:right="113"/>
              <w:jc w:val="right"/>
              <w:rPr>
                <w:sz w:val="18"/>
              </w:rPr>
            </w:pPr>
            <w:r w:rsidRPr="00CE27F6">
              <w:rPr>
                <w:sz w:val="18"/>
              </w:rPr>
              <w:t>52.68</w:t>
            </w:r>
          </w:p>
        </w:tc>
        <w:tc>
          <w:tcPr>
            <w:tcW w:w="722" w:type="dxa"/>
            <w:shd w:val="clear" w:color="auto" w:fill="auto"/>
            <w:vAlign w:val="bottom"/>
          </w:tcPr>
          <w:p w14:paraId="7FC7F2B3" w14:textId="77777777" w:rsidR="00D9258C" w:rsidRPr="00CE27F6" w:rsidRDefault="00D9258C" w:rsidP="00CE27F6">
            <w:pPr>
              <w:suppressAutoHyphens w:val="0"/>
              <w:spacing w:before="40" w:after="40" w:line="220" w:lineRule="exact"/>
              <w:ind w:right="113"/>
              <w:jc w:val="right"/>
              <w:rPr>
                <w:sz w:val="18"/>
              </w:rPr>
            </w:pPr>
            <w:r w:rsidRPr="00CE27F6">
              <w:rPr>
                <w:sz w:val="18"/>
              </w:rPr>
              <w:t>46.63</w:t>
            </w:r>
          </w:p>
        </w:tc>
        <w:tc>
          <w:tcPr>
            <w:tcW w:w="695" w:type="dxa"/>
            <w:shd w:val="clear" w:color="auto" w:fill="auto"/>
            <w:vAlign w:val="bottom"/>
          </w:tcPr>
          <w:p w14:paraId="34B6B0CB" w14:textId="77777777" w:rsidR="00D9258C" w:rsidRPr="00CE27F6" w:rsidRDefault="00D9258C" w:rsidP="00CE27F6">
            <w:pPr>
              <w:suppressAutoHyphens w:val="0"/>
              <w:spacing w:before="40" w:after="40" w:line="220" w:lineRule="exact"/>
              <w:ind w:right="113"/>
              <w:jc w:val="right"/>
              <w:rPr>
                <w:sz w:val="18"/>
              </w:rPr>
            </w:pPr>
            <w:r w:rsidRPr="00CE27F6">
              <w:rPr>
                <w:sz w:val="18"/>
              </w:rPr>
              <w:t>51.65</w:t>
            </w:r>
          </w:p>
        </w:tc>
        <w:tc>
          <w:tcPr>
            <w:tcW w:w="751" w:type="dxa"/>
            <w:shd w:val="clear" w:color="auto" w:fill="auto"/>
            <w:vAlign w:val="bottom"/>
          </w:tcPr>
          <w:p w14:paraId="5FA927A6" w14:textId="77777777" w:rsidR="00D9258C" w:rsidRPr="00CE27F6" w:rsidRDefault="00D9258C" w:rsidP="00CE27F6">
            <w:pPr>
              <w:suppressAutoHyphens w:val="0"/>
              <w:spacing w:before="40" w:after="40" w:line="220" w:lineRule="exact"/>
              <w:ind w:right="113"/>
              <w:jc w:val="right"/>
              <w:rPr>
                <w:sz w:val="18"/>
              </w:rPr>
            </w:pPr>
            <w:r w:rsidRPr="00CE27F6">
              <w:rPr>
                <w:sz w:val="18"/>
              </w:rPr>
              <w:t>47.84</w:t>
            </w:r>
          </w:p>
        </w:tc>
        <w:tc>
          <w:tcPr>
            <w:tcW w:w="668" w:type="dxa"/>
            <w:shd w:val="clear" w:color="auto" w:fill="auto"/>
            <w:vAlign w:val="bottom"/>
          </w:tcPr>
          <w:p w14:paraId="7762E537" w14:textId="77777777" w:rsidR="00D9258C" w:rsidRPr="00CE27F6" w:rsidRDefault="00D9258C" w:rsidP="00CE27F6">
            <w:pPr>
              <w:suppressAutoHyphens w:val="0"/>
              <w:spacing w:before="40" w:after="40" w:line="220" w:lineRule="exact"/>
              <w:ind w:right="113"/>
              <w:jc w:val="right"/>
              <w:rPr>
                <w:sz w:val="18"/>
              </w:rPr>
            </w:pPr>
            <w:r w:rsidRPr="00CE27F6">
              <w:rPr>
                <w:sz w:val="18"/>
              </w:rPr>
              <w:t>42.11</w:t>
            </w:r>
          </w:p>
        </w:tc>
        <w:tc>
          <w:tcPr>
            <w:tcW w:w="707" w:type="dxa"/>
            <w:shd w:val="clear" w:color="auto" w:fill="auto"/>
            <w:vAlign w:val="bottom"/>
          </w:tcPr>
          <w:p w14:paraId="28006DFC" w14:textId="77777777" w:rsidR="00D9258C" w:rsidRPr="00CE27F6" w:rsidRDefault="00D9258C" w:rsidP="00CE27F6">
            <w:pPr>
              <w:suppressAutoHyphens w:val="0"/>
              <w:spacing w:before="40" w:after="40" w:line="220" w:lineRule="exact"/>
              <w:ind w:right="113"/>
              <w:jc w:val="right"/>
              <w:rPr>
                <w:sz w:val="18"/>
              </w:rPr>
            </w:pPr>
            <w:r w:rsidRPr="00CE27F6">
              <w:rPr>
                <w:sz w:val="18"/>
              </w:rPr>
              <w:t>57.22</w:t>
            </w:r>
          </w:p>
        </w:tc>
      </w:tr>
      <w:tr w:rsidR="00CE27F6" w:rsidRPr="00CE27F6" w14:paraId="575AF4DF" w14:textId="77777777" w:rsidTr="00CE27F6">
        <w:tc>
          <w:tcPr>
            <w:tcW w:w="566" w:type="dxa"/>
            <w:shd w:val="clear" w:color="auto" w:fill="auto"/>
          </w:tcPr>
          <w:p w14:paraId="0AEECD66" w14:textId="77777777" w:rsidR="00D9258C" w:rsidRPr="00CE27F6" w:rsidRDefault="00D9258C" w:rsidP="00CE27F6">
            <w:pPr>
              <w:suppressAutoHyphens w:val="0"/>
              <w:spacing w:before="40" w:after="40" w:line="220" w:lineRule="exact"/>
              <w:ind w:right="113"/>
              <w:rPr>
                <w:sz w:val="18"/>
              </w:rPr>
            </w:pPr>
            <w:r w:rsidRPr="00CE27F6">
              <w:rPr>
                <w:sz w:val="18"/>
              </w:rPr>
              <w:t>2014</w:t>
            </w:r>
          </w:p>
        </w:tc>
        <w:tc>
          <w:tcPr>
            <w:tcW w:w="567" w:type="dxa"/>
            <w:shd w:val="clear" w:color="auto" w:fill="auto"/>
            <w:vAlign w:val="bottom"/>
          </w:tcPr>
          <w:p w14:paraId="064A862B" w14:textId="77777777" w:rsidR="00D9258C" w:rsidRPr="00CE27F6" w:rsidRDefault="00D9258C" w:rsidP="00CE27F6">
            <w:pPr>
              <w:suppressAutoHyphens w:val="0"/>
              <w:spacing w:before="40" w:after="40" w:line="220" w:lineRule="exact"/>
              <w:ind w:right="113"/>
              <w:jc w:val="right"/>
              <w:rPr>
                <w:sz w:val="18"/>
              </w:rPr>
            </w:pPr>
            <w:r w:rsidRPr="00CE27F6">
              <w:rPr>
                <w:sz w:val="18"/>
              </w:rPr>
              <w:t>62.37</w:t>
            </w:r>
          </w:p>
        </w:tc>
        <w:tc>
          <w:tcPr>
            <w:tcW w:w="709" w:type="dxa"/>
            <w:shd w:val="clear" w:color="auto" w:fill="auto"/>
            <w:vAlign w:val="bottom"/>
          </w:tcPr>
          <w:p w14:paraId="7409D75D" w14:textId="77777777" w:rsidR="00D9258C" w:rsidRPr="00CE27F6" w:rsidRDefault="00D9258C" w:rsidP="00CE27F6">
            <w:pPr>
              <w:suppressAutoHyphens w:val="0"/>
              <w:spacing w:before="40" w:after="40" w:line="220" w:lineRule="exact"/>
              <w:ind w:right="113"/>
              <w:jc w:val="right"/>
              <w:rPr>
                <w:sz w:val="18"/>
              </w:rPr>
            </w:pPr>
            <w:r w:rsidRPr="00CE27F6">
              <w:rPr>
                <w:sz w:val="18"/>
              </w:rPr>
              <w:t>36.6</w:t>
            </w:r>
          </w:p>
        </w:tc>
        <w:tc>
          <w:tcPr>
            <w:tcW w:w="567" w:type="dxa"/>
            <w:shd w:val="clear" w:color="auto" w:fill="auto"/>
            <w:vAlign w:val="bottom"/>
          </w:tcPr>
          <w:p w14:paraId="38981062" w14:textId="77777777" w:rsidR="00D9258C" w:rsidRPr="00CE27F6" w:rsidRDefault="00D9258C" w:rsidP="00CE27F6">
            <w:pPr>
              <w:suppressAutoHyphens w:val="0"/>
              <w:spacing w:before="40" w:after="40" w:line="220" w:lineRule="exact"/>
              <w:ind w:right="113"/>
              <w:jc w:val="right"/>
              <w:rPr>
                <w:sz w:val="18"/>
              </w:rPr>
            </w:pPr>
            <w:r w:rsidRPr="00CE27F6">
              <w:rPr>
                <w:sz w:val="18"/>
              </w:rPr>
              <w:t>59.26</w:t>
            </w:r>
          </w:p>
        </w:tc>
        <w:tc>
          <w:tcPr>
            <w:tcW w:w="766" w:type="dxa"/>
            <w:shd w:val="clear" w:color="auto" w:fill="auto"/>
            <w:vAlign w:val="bottom"/>
          </w:tcPr>
          <w:p w14:paraId="3CB95459" w14:textId="77777777" w:rsidR="00D9258C" w:rsidRPr="00CE27F6" w:rsidRDefault="00D9258C" w:rsidP="00CE27F6">
            <w:pPr>
              <w:suppressAutoHyphens w:val="0"/>
              <w:spacing w:before="40" w:after="40" w:line="220" w:lineRule="exact"/>
              <w:ind w:right="113"/>
              <w:jc w:val="right"/>
              <w:rPr>
                <w:sz w:val="18"/>
              </w:rPr>
            </w:pPr>
            <w:r w:rsidRPr="00CE27F6">
              <w:rPr>
                <w:sz w:val="18"/>
              </w:rPr>
              <w:t>39.75</w:t>
            </w:r>
          </w:p>
        </w:tc>
        <w:tc>
          <w:tcPr>
            <w:tcW w:w="652" w:type="dxa"/>
            <w:shd w:val="clear" w:color="auto" w:fill="auto"/>
            <w:vAlign w:val="bottom"/>
          </w:tcPr>
          <w:p w14:paraId="2CE59E85" w14:textId="77777777" w:rsidR="00D9258C" w:rsidRPr="00CE27F6" w:rsidRDefault="00D9258C" w:rsidP="00CE27F6">
            <w:pPr>
              <w:suppressAutoHyphens w:val="0"/>
              <w:spacing w:before="40" w:after="40" w:line="220" w:lineRule="exact"/>
              <w:ind w:right="113"/>
              <w:jc w:val="right"/>
              <w:rPr>
                <w:sz w:val="18"/>
              </w:rPr>
            </w:pPr>
            <w:r w:rsidRPr="00CE27F6">
              <w:rPr>
                <w:sz w:val="18"/>
              </w:rPr>
              <w:t>51.57</w:t>
            </w:r>
          </w:p>
        </w:tc>
        <w:tc>
          <w:tcPr>
            <w:tcW w:w="722" w:type="dxa"/>
            <w:shd w:val="clear" w:color="auto" w:fill="auto"/>
            <w:vAlign w:val="bottom"/>
          </w:tcPr>
          <w:p w14:paraId="7FFF1307" w14:textId="77777777" w:rsidR="00D9258C" w:rsidRPr="00CE27F6" w:rsidRDefault="00D9258C" w:rsidP="00CE27F6">
            <w:pPr>
              <w:suppressAutoHyphens w:val="0"/>
              <w:spacing w:before="40" w:after="40" w:line="220" w:lineRule="exact"/>
              <w:ind w:right="113"/>
              <w:jc w:val="right"/>
              <w:rPr>
                <w:sz w:val="18"/>
              </w:rPr>
            </w:pPr>
            <w:r w:rsidRPr="00CE27F6">
              <w:rPr>
                <w:sz w:val="18"/>
              </w:rPr>
              <w:t>47.68</w:t>
            </w:r>
          </w:p>
        </w:tc>
        <w:tc>
          <w:tcPr>
            <w:tcW w:w="695" w:type="dxa"/>
            <w:shd w:val="clear" w:color="auto" w:fill="auto"/>
            <w:vAlign w:val="bottom"/>
          </w:tcPr>
          <w:p w14:paraId="7789F504" w14:textId="77777777" w:rsidR="00D9258C" w:rsidRPr="00CE27F6" w:rsidRDefault="00D9258C" w:rsidP="00CE27F6">
            <w:pPr>
              <w:suppressAutoHyphens w:val="0"/>
              <w:spacing w:before="40" w:after="40" w:line="220" w:lineRule="exact"/>
              <w:ind w:right="113"/>
              <w:jc w:val="right"/>
              <w:rPr>
                <w:sz w:val="18"/>
              </w:rPr>
            </w:pPr>
            <w:r w:rsidRPr="00CE27F6">
              <w:rPr>
                <w:sz w:val="18"/>
              </w:rPr>
              <w:t>50.99</w:t>
            </w:r>
          </w:p>
        </w:tc>
        <w:tc>
          <w:tcPr>
            <w:tcW w:w="751" w:type="dxa"/>
            <w:shd w:val="clear" w:color="auto" w:fill="auto"/>
            <w:vAlign w:val="bottom"/>
          </w:tcPr>
          <w:p w14:paraId="028995DD" w14:textId="77777777" w:rsidR="00D9258C" w:rsidRPr="00CE27F6" w:rsidRDefault="00D9258C" w:rsidP="00CE27F6">
            <w:pPr>
              <w:suppressAutoHyphens w:val="0"/>
              <w:spacing w:before="40" w:after="40" w:line="220" w:lineRule="exact"/>
              <w:ind w:right="113"/>
              <w:jc w:val="right"/>
              <w:rPr>
                <w:sz w:val="18"/>
              </w:rPr>
            </w:pPr>
            <w:r w:rsidRPr="00CE27F6">
              <w:rPr>
                <w:sz w:val="18"/>
              </w:rPr>
              <w:t>48.45</w:t>
            </w:r>
          </w:p>
        </w:tc>
        <w:tc>
          <w:tcPr>
            <w:tcW w:w="668" w:type="dxa"/>
            <w:shd w:val="clear" w:color="auto" w:fill="auto"/>
            <w:vAlign w:val="bottom"/>
          </w:tcPr>
          <w:p w14:paraId="7346F90D" w14:textId="77777777" w:rsidR="00D9258C" w:rsidRPr="00CE27F6" w:rsidRDefault="00D9258C" w:rsidP="00CE27F6">
            <w:pPr>
              <w:suppressAutoHyphens w:val="0"/>
              <w:spacing w:before="40" w:after="40" w:line="220" w:lineRule="exact"/>
              <w:ind w:right="113"/>
              <w:jc w:val="right"/>
              <w:rPr>
                <w:sz w:val="18"/>
              </w:rPr>
            </w:pPr>
            <w:r w:rsidRPr="00CE27F6">
              <w:rPr>
                <w:sz w:val="18"/>
              </w:rPr>
              <w:t>41.64</w:t>
            </w:r>
          </w:p>
        </w:tc>
        <w:tc>
          <w:tcPr>
            <w:tcW w:w="707" w:type="dxa"/>
            <w:shd w:val="clear" w:color="auto" w:fill="auto"/>
            <w:vAlign w:val="bottom"/>
          </w:tcPr>
          <w:p w14:paraId="04CD69A8" w14:textId="77777777" w:rsidR="00D9258C" w:rsidRPr="00CE27F6" w:rsidRDefault="00D9258C" w:rsidP="00CE27F6">
            <w:pPr>
              <w:suppressAutoHyphens w:val="0"/>
              <w:spacing w:before="40" w:after="40" w:line="220" w:lineRule="exact"/>
              <w:ind w:right="113"/>
              <w:jc w:val="right"/>
              <w:rPr>
                <w:sz w:val="18"/>
              </w:rPr>
            </w:pPr>
            <w:r w:rsidRPr="00CE27F6">
              <w:rPr>
                <w:sz w:val="18"/>
              </w:rPr>
              <w:t>57.77</w:t>
            </w:r>
          </w:p>
        </w:tc>
      </w:tr>
      <w:tr w:rsidR="00CE27F6" w:rsidRPr="00CE27F6" w14:paraId="785EFE20" w14:textId="77777777" w:rsidTr="00CE27F6">
        <w:tc>
          <w:tcPr>
            <w:tcW w:w="566" w:type="dxa"/>
            <w:shd w:val="clear" w:color="auto" w:fill="auto"/>
          </w:tcPr>
          <w:p w14:paraId="5770FA9C" w14:textId="77777777" w:rsidR="00D9258C" w:rsidRPr="00CE27F6" w:rsidRDefault="00D9258C" w:rsidP="00CE27F6">
            <w:pPr>
              <w:suppressAutoHyphens w:val="0"/>
              <w:spacing w:before="40" w:after="40" w:line="220" w:lineRule="exact"/>
              <w:ind w:right="113"/>
              <w:rPr>
                <w:sz w:val="18"/>
              </w:rPr>
            </w:pPr>
            <w:r w:rsidRPr="00CE27F6">
              <w:rPr>
                <w:sz w:val="18"/>
              </w:rPr>
              <w:t>2015</w:t>
            </w:r>
          </w:p>
        </w:tc>
        <w:tc>
          <w:tcPr>
            <w:tcW w:w="567" w:type="dxa"/>
            <w:shd w:val="clear" w:color="auto" w:fill="auto"/>
            <w:vAlign w:val="bottom"/>
          </w:tcPr>
          <w:p w14:paraId="244B0638" w14:textId="77777777" w:rsidR="00D9258C" w:rsidRPr="00CE27F6" w:rsidRDefault="00D9258C" w:rsidP="00CE27F6">
            <w:pPr>
              <w:suppressAutoHyphens w:val="0"/>
              <w:spacing w:before="40" w:after="40" w:line="220" w:lineRule="exact"/>
              <w:ind w:right="113"/>
              <w:jc w:val="right"/>
              <w:rPr>
                <w:sz w:val="18"/>
              </w:rPr>
            </w:pPr>
            <w:r w:rsidRPr="00CE27F6">
              <w:rPr>
                <w:sz w:val="18"/>
              </w:rPr>
              <w:t>62.56</w:t>
            </w:r>
          </w:p>
        </w:tc>
        <w:tc>
          <w:tcPr>
            <w:tcW w:w="709" w:type="dxa"/>
            <w:shd w:val="clear" w:color="auto" w:fill="auto"/>
            <w:vAlign w:val="bottom"/>
          </w:tcPr>
          <w:p w14:paraId="6D3A5A1F" w14:textId="77777777" w:rsidR="00D9258C" w:rsidRPr="00CE27F6" w:rsidRDefault="00D9258C" w:rsidP="00CE27F6">
            <w:pPr>
              <w:suppressAutoHyphens w:val="0"/>
              <w:spacing w:before="40" w:after="40" w:line="220" w:lineRule="exact"/>
              <w:ind w:right="113"/>
              <w:jc w:val="right"/>
              <w:rPr>
                <w:sz w:val="18"/>
              </w:rPr>
            </w:pPr>
            <w:r w:rsidRPr="00CE27F6">
              <w:rPr>
                <w:sz w:val="18"/>
              </w:rPr>
              <w:t>36.53</w:t>
            </w:r>
          </w:p>
        </w:tc>
        <w:tc>
          <w:tcPr>
            <w:tcW w:w="567" w:type="dxa"/>
            <w:shd w:val="clear" w:color="auto" w:fill="auto"/>
            <w:vAlign w:val="bottom"/>
          </w:tcPr>
          <w:p w14:paraId="72A057E9" w14:textId="77777777" w:rsidR="00D9258C" w:rsidRPr="00CE27F6" w:rsidRDefault="00D9258C" w:rsidP="00CE27F6">
            <w:pPr>
              <w:suppressAutoHyphens w:val="0"/>
              <w:spacing w:before="40" w:after="40" w:line="220" w:lineRule="exact"/>
              <w:ind w:right="113"/>
              <w:jc w:val="right"/>
              <w:rPr>
                <w:sz w:val="18"/>
              </w:rPr>
            </w:pPr>
            <w:r w:rsidRPr="00CE27F6">
              <w:rPr>
                <w:sz w:val="18"/>
              </w:rPr>
              <w:t>59.18</w:t>
            </w:r>
          </w:p>
        </w:tc>
        <w:tc>
          <w:tcPr>
            <w:tcW w:w="766" w:type="dxa"/>
            <w:shd w:val="clear" w:color="auto" w:fill="auto"/>
            <w:vAlign w:val="bottom"/>
          </w:tcPr>
          <w:p w14:paraId="0C598134" w14:textId="77777777" w:rsidR="00D9258C" w:rsidRPr="00CE27F6" w:rsidRDefault="00D9258C" w:rsidP="00CE27F6">
            <w:pPr>
              <w:suppressAutoHyphens w:val="0"/>
              <w:spacing w:before="40" w:after="40" w:line="220" w:lineRule="exact"/>
              <w:ind w:right="113"/>
              <w:jc w:val="right"/>
              <w:rPr>
                <w:sz w:val="18"/>
              </w:rPr>
            </w:pPr>
            <w:r w:rsidRPr="00CE27F6">
              <w:rPr>
                <w:sz w:val="18"/>
              </w:rPr>
              <w:t>39.77</w:t>
            </w:r>
          </w:p>
        </w:tc>
        <w:tc>
          <w:tcPr>
            <w:tcW w:w="652" w:type="dxa"/>
            <w:shd w:val="clear" w:color="auto" w:fill="auto"/>
            <w:vAlign w:val="bottom"/>
          </w:tcPr>
          <w:p w14:paraId="60BE6F98" w14:textId="77777777" w:rsidR="00D9258C" w:rsidRPr="00CE27F6" w:rsidRDefault="00D9258C" w:rsidP="00CE27F6">
            <w:pPr>
              <w:suppressAutoHyphens w:val="0"/>
              <w:spacing w:before="40" w:after="40" w:line="220" w:lineRule="exact"/>
              <w:ind w:right="113"/>
              <w:jc w:val="right"/>
              <w:rPr>
                <w:sz w:val="18"/>
              </w:rPr>
            </w:pPr>
            <w:r w:rsidRPr="00CE27F6">
              <w:rPr>
                <w:sz w:val="18"/>
              </w:rPr>
              <w:t>51.22</w:t>
            </w:r>
          </w:p>
        </w:tc>
        <w:tc>
          <w:tcPr>
            <w:tcW w:w="722" w:type="dxa"/>
            <w:shd w:val="clear" w:color="auto" w:fill="auto"/>
            <w:vAlign w:val="bottom"/>
          </w:tcPr>
          <w:p w14:paraId="04CC13E8" w14:textId="77777777" w:rsidR="00D9258C" w:rsidRPr="00CE27F6" w:rsidRDefault="00D9258C" w:rsidP="00CE27F6">
            <w:pPr>
              <w:suppressAutoHyphens w:val="0"/>
              <w:spacing w:before="40" w:after="40" w:line="220" w:lineRule="exact"/>
              <w:ind w:right="113"/>
              <w:jc w:val="right"/>
              <w:rPr>
                <w:sz w:val="18"/>
              </w:rPr>
            </w:pPr>
            <w:r w:rsidRPr="00CE27F6">
              <w:rPr>
                <w:sz w:val="18"/>
              </w:rPr>
              <w:t>48.22</w:t>
            </w:r>
          </w:p>
        </w:tc>
        <w:tc>
          <w:tcPr>
            <w:tcW w:w="695" w:type="dxa"/>
            <w:shd w:val="clear" w:color="auto" w:fill="auto"/>
            <w:vAlign w:val="bottom"/>
          </w:tcPr>
          <w:p w14:paraId="24245E29" w14:textId="77777777" w:rsidR="00D9258C" w:rsidRPr="00CE27F6" w:rsidRDefault="00D9258C" w:rsidP="00CE27F6">
            <w:pPr>
              <w:suppressAutoHyphens w:val="0"/>
              <w:spacing w:before="40" w:after="40" w:line="220" w:lineRule="exact"/>
              <w:ind w:right="113"/>
              <w:jc w:val="right"/>
              <w:rPr>
                <w:sz w:val="18"/>
              </w:rPr>
            </w:pPr>
            <w:r w:rsidRPr="00CE27F6">
              <w:rPr>
                <w:sz w:val="18"/>
              </w:rPr>
              <w:t>49.69</w:t>
            </w:r>
          </w:p>
        </w:tc>
        <w:tc>
          <w:tcPr>
            <w:tcW w:w="751" w:type="dxa"/>
            <w:shd w:val="clear" w:color="auto" w:fill="auto"/>
            <w:vAlign w:val="bottom"/>
          </w:tcPr>
          <w:p w14:paraId="223D0B2F" w14:textId="77777777" w:rsidR="00D9258C" w:rsidRPr="00CE27F6" w:rsidRDefault="00D9258C" w:rsidP="00CE27F6">
            <w:pPr>
              <w:suppressAutoHyphens w:val="0"/>
              <w:spacing w:before="40" w:after="40" w:line="220" w:lineRule="exact"/>
              <w:ind w:right="113"/>
              <w:jc w:val="right"/>
              <w:rPr>
                <w:sz w:val="18"/>
              </w:rPr>
            </w:pPr>
            <w:r w:rsidRPr="00CE27F6">
              <w:rPr>
                <w:sz w:val="18"/>
              </w:rPr>
              <w:t>49.74</w:t>
            </w:r>
          </w:p>
        </w:tc>
        <w:tc>
          <w:tcPr>
            <w:tcW w:w="668" w:type="dxa"/>
            <w:shd w:val="clear" w:color="auto" w:fill="auto"/>
            <w:vAlign w:val="bottom"/>
          </w:tcPr>
          <w:p w14:paraId="1AE2DE12" w14:textId="77777777" w:rsidR="00D9258C" w:rsidRPr="00CE27F6" w:rsidRDefault="00D9258C" w:rsidP="00CE27F6">
            <w:pPr>
              <w:suppressAutoHyphens w:val="0"/>
              <w:spacing w:before="40" w:after="40" w:line="220" w:lineRule="exact"/>
              <w:ind w:right="113"/>
              <w:jc w:val="right"/>
              <w:rPr>
                <w:sz w:val="18"/>
              </w:rPr>
            </w:pPr>
            <w:r w:rsidRPr="00CE27F6">
              <w:rPr>
                <w:sz w:val="18"/>
              </w:rPr>
              <w:t>41.11</w:t>
            </w:r>
          </w:p>
        </w:tc>
        <w:tc>
          <w:tcPr>
            <w:tcW w:w="707" w:type="dxa"/>
            <w:shd w:val="clear" w:color="auto" w:fill="auto"/>
            <w:vAlign w:val="bottom"/>
          </w:tcPr>
          <w:p w14:paraId="0C6E23C5" w14:textId="77777777" w:rsidR="00D9258C" w:rsidRPr="00CE27F6" w:rsidRDefault="00D9258C" w:rsidP="00CE27F6">
            <w:pPr>
              <w:suppressAutoHyphens w:val="0"/>
              <w:spacing w:before="40" w:after="40" w:line="220" w:lineRule="exact"/>
              <w:ind w:right="113"/>
              <w:jc w:val="right"/>
              <w:rPr>
                <w:sz w:val="18"/>
              </w:rPr>
            </w:pPr>
            <w:r w:rsidRPr="00CE27F6">
              <w:rPr>
                <w:sz w:val="18"/>
              </w:rPr>
              <w:t>58.28</w:t>
            </w:r>
          </w:p>
        </w:tc>
      </w:tr>
      <w:tr w:rsidR="00CE27F6" w:rsidRPr="00CE27F6" w14:paraId="4AD67D61" w14:textId="77777777" w:rsidTr="0079300E">
        <w:tc>
          <w:tcPr>
            <w:tcW w:w="566" w:type="dxa"/>
            <w:tcBorders>
              <w:bottom w:val="single" w:sz="12" w:space="0" w:color="auto"/>
            </w:tcBorders>
            <w:shd w:val="clear" w:color="auto" w:fill="auto"/>
          </w:tcPr>
          <w:p w14:paraId="6F480F5A" w14:textId="77777777" w:rsidR="00D9258C" w:rsidRPr="00CE27F6" w:rsidRDefault="00D9258C" w:rsidP="00CE27F6">
            <w:pPr>
              <w:suppressAutoHyphens w:val="0"/>
              <w:spacing w:before="40" w:after="40" w:line="220" w:lineRule="exact"/>
              <w:ind w:right="113"/>
              <w:rPr>
                <w:sz w:val="18"/>
              </w:rPr>
            </w:pPr>
            <w:r w:rsidRPr="00CE27F6">
              <w:rPr>
                <w:sz w:val="18"/>
              </w:rPr>
              <w:t>2016</w:t>
            </w:r>
          </w:p>
        </w:tc>
        <w:tc>
          <w:tcPr>
            <w:tcW w:w="567" w:type="dxa"/>
            <w:tcBorders>
              <w:bottom w:val="single" w:sz="12" w:space="0" w:color="auto"/>
            </w:tcBorders>
            <w:shd w:val="clear" w:color="auto" w:fill="auto"/>
            <w:vAlign w:val="bottom"/>
          </w:tcPr>
          <w:p w14:paraId="3A81E81B" w14:textId="77777777" w:rsidR="00D9258C" w:rsidRPr="00CE27F6" w:rsidRDefault="00D9258C" w:rsidP="00CE27F6">
            <w:pPr>
              <w:suppressAutoHyphens w:val="0"/>
              <w:spacing w:before="40" w:after="40" w:line="220" w:lineRule="exact"/>
              <w:ind w:right="113"/>
              <w:jc w:val="right"/>
              <w:rPr>
                <w:sz w:val="18"/>
              </w:rPr>
            </w:pPr>
            <w:r w:rsidRPr="00CE27F6">
              <w:rPr>
                <w:sz w:val="18"/>
              </w:rPr>
              <w:t>63.36</w:t>
            </w:r>
          </w:p>
        </w:tc>
        <w:tc>
          <w:tcPr>
            <w:tcW w:w="709" w:type="dxa"/>
            <w:tcBorders>
              <w:bottom w:val="single" w:sz="12" w:space="0" w:color="auto"/>
            </w:tcBorders>
            <w:shd w:val="clear" w:color="auto" w:fill="auto"/>
            <w:vAlign w:val="bottom"/>
          </w:tcPr>
          <w:p w14:paraId="24B229C1" w14:textId="77777777" w:rsidR="00D9258C" w:rsidRPr="00CE27F6" w:rsidRDefault="00D9258C" w:rsidP="00CE27F6">
            <w:pPr>
              <w:suppressAutoHyphens w:val="0"/>
              <w:spacing w:before="40" w:after="40" w:line="220" w:lineRule="exact"/>
              <w:ind w:right="113"/>
              <w:jc w:val="right"/>
              <w:rPr>
                <w:sz w:val="18"/>
              </w:rPr>
            </w:pPr>
            <w:r w:rsidRPr="00CE27F6">
              <w:rPr>
                <w:sz w:val="18"/>
              </w:rPr>
              <w:t>35.5</w:t>
            </w:r>
          </w:p>
        </w:tc>
        <w:tc>
          <w:tcPr>
            <w:tcW w:w="567" w:type="dxa"/>
            <w:tcBorders>
              <w:bottom w:val="single" w:sz="12" w:space="0" w:color="auto"/>
            </w:tcBorders>
            <w:shd w:val="clear" w:color="auto" w:fill="auto"/>
            <w:vAlign w:val="bottom"/>
          </w:tcPr>
          <w:p w14:paraId="61F891B3" w14:textId="77777777" w:rsidR="00D9258C" w:rsidRPr="00CE27F6" w:rsidRDefault="00D9258C" w:rsidP="00CE27F6">
            <w:pPr>
              <w:suppressAutoHyphens w:val="0"/>
              <w:spacing w:before="40" w:after="40" w:line="220" w:lineRule="exact"/>
              <w:ind w:right="113"/>
              <w:jc w:val="right"/>
              <w:rPr>
                <w:sz w:val="18"/>
              </w:rPr>
            </w:pPr>
            <w:r w:rsidRPr="00CE27F6">
              <w:rPr>
                <w:sz w:val="18"/>
              </w:rPr>
              <w:t>59.11</w:t>
            </w:r>
          </w:p>
        </w:tc>
        <w:tc>
          <w:tcPr>
            <w:tcW w:w="766" w:type="dxa"/>
            <w:tcBorders>
              <w:bottom w:val="single" w:sz="12" w:space="0" w:color="auto"/>
            </w:tcBorders>
            <w:shd w:val="clear" w:color="auto" w:fill="auto"/>
            <w:vAlign w:val="bottom"/>
          </w:tcPr>
          <w:p w14:paraId="17FA6FE6" w14:textId="77777777" w:rsidR="00D9258C" w:rsidRPr="00CE27F6" w:rsidRDefault="00D9258C" w:rsidP="00CE27F6">
            <w:pPr>
              <w:suppressAutoHyphens w:val="0"/>
              <w:spacing w:before="40" w:after="40" w:line="220" w:lineRule="exact"/>
              <w:ind w:right="113"/>
              <w:jc w:val="right"/>
              <w:rPr>
                <w:sz w:val="18"/>
              </w:rPr>
            </w:pPr>
            <w:r w:rsidRPr="00CE27F6">
              <w:rPr>
                <w:sz w:val="18"/>
              </w:rPr>
              <w:t>39.58</w:t>
            </w:r>
          </w:p>
        </w:tc>
        <w:tc>
          <w:tcPr>
            <w:tcW w:w="652" w:type="dxa"/>
            <w:tcBorders>
              <w:bottom w:val="single" w:sz="12" w:space="0" w:color="auto"/>
            </w:tcBorders>
            <w:shd w:val="clear" w:color="auto" w:fill="auto"/>
            <w:vAlign w:val="bottom"/>
          </w:tcPr>
          <w:p w14:paraId="7DA3854C" w14:textId="77777777" w:rsidR="00D9258C" w:rsidRPr="00CE27F6" w:rsidRDefault="00D9258C" w:rsidP="00CE27F6">
            <w:pPr>
              <w:suppressAutoHyphens w:val="0"/>
              <w:spacing w:before="40" w:after="40" w:line="220" w:lineRule="exact"/>
              <w:ind w:right="113"/>
              <w:jc w:val="right"/>
              <w:rPr>
                <w:sz w:val="18"/>
              </w:rPr>
            </w:pPr>
            <w:r w:rsidRPr="00CE27F6">
              <w:rPr>
                <w:sz w:val="18"/>
              </w:rPr>
              <w:t>49.87</w:t>
            </w:r>
          </w:p>
        </w:tc>
        <w:tc>
          <w:tcPr>
            <w:tcW w:w="722" w:type="dxa"/>
            <w:tcBorders>
              <w:bottom w:val="single" w:sz="12" w:space="0" w:color="auto"/>
            </w:tcBorders>
            <w:shd w:val="clear" w:color="auto" w:fill="auto"/>
            <w:vAlign w:val="bottom"/>
          </w:tcPr>
          <w:p w14:paraId="053D9E0A" w14:textId="77777777" w:rsidR="00D9258C" w:rsidRPr="00CE27F6" w:rsidRDefault="00D9258C" w:rsidP="00CE27F6">
            <w:pPr>
              <w:suppressAutoHyphens w:val="0"/>
              <w:spacing w:before="40" w:after="40" w:line="220" w:lineRule="exact"/>
              <w:ind w:right="113"/>
              <w:jc w:val="right"/>
              <w:rPr>
                <w:sz w:val="18"/>
              </w:rPr>
            </w:pPr>
            <w:r w:rsidRPr="00CE27F6">
              <w:rPr>
                <w:sz w:val="18"/>
              </w:rPr>
              <w:t>49.14</w:t>
            </w:r>
          </w:p>
        </w:tc>
        <w:tc>
          <w:tcPr>
            <w:tcW w:w="695" w:type="dxa"/>
            <w:tcBorders>
              <w:bottom w:val="single" w:sz="12" w:space="0" w:color="auto"/>
            </w:tcBorders>
            <w:shd w:val="clear" w:color="auto" w:fill="auto"/>
            <w:vAlign w:val="bottom"/>
          </w:tcPr>
          <w:p w14:paraId="27E488A0" w14:textId="77777777" w:rsidR="00D9258C" w:rsidRPr="00CE27F6" w:rsidRDefault="00D9258C" w:rsidP="00CE27F6">
            <w:pPr>
              <w:suppressAutoHyphens w:val="0"/>
              <w:spacing w:before="40" w:after="40" w:line="220" w:lineRule="exact"/>
              <w:ind w:right="113"/>
              <w:jc w:val="right"/>
              <w:rPr>
                <w:sz w:val="18"/>
              </w:rPr>
            </w:pPr>
            <w:r w:rsidRPr="00CE27F6">
              <w:rPr>
                <w:sz w:val="18"/>
              </w:rPr>
              <w:t>48.39</w:t>
            </w:r>
          </w:p>
        </w:tc>
        <w:tc>
          <w:tcPr>
            <w:tcW w:w="751" w:type="dxa"/>
            <w:tcBorders>
              <w:bottom w:val="single" w:sz="12" w:space="0" w:color="auto"/>
            </w:tcBorders>
            <w:shd w:val="clear" w:color="auto" w:fill="auto"/>
            <w:vAlign w:val="bottom"/>
          </w:tcPr>
          <w:p w14:paraId="055A354D" w14:textId="77777777" w:rsidR="00D9258C" w:rsidRPr="00CE27F6" w:rsidRDefault="00D9258C" w:rsidP="00CE27F6">
            <w:pPr>
              <w:suppressAutoHyphens w:val="0"/>
              <w:spacing w:before="40" w:after="40" w:line="220" w:lineRule="exact"/>
              <w:ind w:right="113"/>
              <w:jc w:val="right"/>
              <w:rPr>
                <w:sz w:val="18"/>
              </w:rPr>
            </w:pPr>
            <w:r w:rsidRPr="00CE27F6">
              <w:rPr>
                <w:sz w:val="18"/>
              </w:rPr>
              <w:t>50.85</w:t>
            </w:r>
          </w:p>
        </w:tc>
        <w:tc>
          <w:tcPr>
            <w:tcW w:w="668" w:type="dxa"/>
            <w:tcBorders>
              <w:bottom w:val="single" w:sz="12" w:space="0" w:color="auto"/>
            </w:tcBorders>
            <w:shd w:val="clear" w:color="auto" w:fill="auto"/>
            <w:vAlign w:val="bottom"/>
          </w:tcPr>
          <w:p w14:paraId="70BB6FE9" w14:textId="77777777" w:rsidR="00D9258C" w:rsidRPr="00CE27F6" w:rsidRDefault="00D9258C" w:rsidP="00CE27F6">
            <w:pPr>
              <w:suppressAutoHyphens w:val="0"/>
              <w:spacing w:before="40" w:after="40" w:line="220" w:lineRule="exact"/>
              <w:ind w:right="113"/>
              <w:jc w:val="right"/>
              <w:rPr>
                <w:sz w:val="18"/>
              </w:rPr>
            </w:pPr>
            <w:r w:rsidRPr="00CE27F6">
              <w:rPr>
                <w:sz w:val="18"/>
              </w:rPr>
              <w:t>40.26</w:t>
            </w:r>
          </w:p>
        </w:tc>
        <w:tc>
          <w:tcPr>
            <w:tcW w:w="707" w:type="dxa"/>
            <w:tcBorders>
              <w:bottom w:val="single" w:sz="12" w:space="0" w:color="auto"/>
            </w:tcBorders>
            <w:shd w:val="clear" w:color="auto" w:fill="auto"/>
            <w:vAlign w:val="bottom"/>
          </w:tcPr>
          <w:p w14:paraId="61C12C89" w14:textId="77777777" w:rsidR="00D9258C" w:rsidRPr="00CE27F6" w:rsidRDefault="00D9258C" w:rsidP="00CE27F6">
            <w:pPr>
              <w:suppressAutoHyphens w:val="0"/>
              <w:spacing w:before="40" w:after="40" w:line="220" w:lineRule="exact"/>
              <w:ind w:right="113"/>
              <w:jc w:val="right"/>
              <w:rPr>
                <w:sz w:val="18"/>
              </w:rPr>
            </w:pPr>
            <w:r w:rsidRPr="00CE27F6">
              <w:rPr>
                <w:sz w:val="18"/>
              </w:rPr>
              <w:t>58.89</w:t>
            </w:r>
          </w:p>
        </w:tc>
      </w:tr>
    </w:tbl>
    <w:p w14:paraId="2194C483" w14:textId="2668B064" w:rsidR="00D9258C" w:rsidRPr="00CE27F6" w:rsidRDefault="00D9258C" w:rsidP="00CE27F6">
      <w:pPr>
        <w:keepNext/>
        <w:keepLines/>
        <w:spacing w:before="120"/>
        <w:ind w:left="1134" w:right="1134" w:firstLine="170"/>
        <w:rPr>
          <w:sz w:val="18"/>
        </w:rPr>
      </w:pPr>
      <w:r w:rsidRPr="00CE27F6">
        <w:rPr>
          <w:i/>
          <w:iCs/>
          <w:sz w:val="18"/>
        </w:rPr>
        <w:t>Source:</w:t>
      </w:r>
      <w:r w:rsidR="00541D05" w:rsidRPr="00CE27F6">
        <w:rPr>
          <w:sz w:val="18"/>
        </w:rPr>
        <w:t xml:space="preserve"> </w:t>
      </w:r>
      <w:r w:rsidR="00CE27F6">
        <w:rPr>
          <w:sz w:val="18"/>
        </w:rPr>
        <w:t xml:space="preserve"> </w:t>
      </w:r>
      <w:r w:rsidRPr="00CE27F6">
        <w:rPr>
          <w:sz w:val="18"/>
        </w:rPr>
        <w:t>IBGE/Annual</w:t>
      </w:r>
      <w:r w:rsidR="00541D05" w:rsidRPr="00CE27F6">
        <w:rPr>
          <w:sz w:val="18"/>
        </w:rPr>
        <w:t xml:space="preserve"> </w:t>
      </w:r>
      <w:r w:rsidRPr="00CE27F6">
        <w:rPr>
          <w:sz w:val="18"/>
        </w:rPr>
        <w:t>continuous</w:t>
      </w:r>
      <w:r w:rsidR="00541D05" w:rsidRPr="00CE27F6">
        <w:rPr>
          <w:sz w:val="18"/>
        </w:rPr>
        <w:t xml:space="preserve"> </w:t>
      </w:r>
      <w:r w:rsidRPr="00CE27F6">
        <w:rPr>
          <w:sz w:val="18"/>
        </w:rPr>
        <w:t>PNAD.</w:t>
      </w:r>
    </w:p>
    <w:p w14:paraId="634399FF" w14:textId="093E8C19" w:rsidR="00D9258C" w:rsidRPr="00CE27F6" w:rsidRDefault="00D9258C" w:rsidP="00CE27F6">
      <w:pPr>
        <w:spacing w:after="240"/>
        <w:ind w:left="1134" w:right="1134" w:firstLine="170"/>
        <w:rPr>
          <w:sz w:val="18"/>
        </w:rPr>
      </w:pPr>
      <w:r w:rsidRPr="00CE27F6">
        <w:rPr>
          <w:sz w:val="18"/>
        </w:rPr>
        <w:t>Prepared</w:t>
      </w:r>
      <w:r w:rsidR="00541D05" w:rsidRPr="00CE27F6">
        <w:rPr>
          <w:sz w:val="18"/>
        </w:rPr>
        <w:t xml:space="preserve"> </w:t>
      </w:r>
      <w:r w:rsidRPr="00CE27F6">
        <w:rPr>
          <w:sz w:val="18"/>
        </w:rPr>
        <w:t>by:</w:t>
      </w:r>
      <w:r w:rsidR="00541D05" w:rsidRPr="00CE27F6">
        <w:rPr>
          <w:sz w:val="18"/>
        </w:rPr>
        <w:t xml:space="preserve"> </w:t>
      </w:r>
      <w:r w:rsidRPr="00CE27F6">
        <w:rPr>
          <w:sz w:val="18"/>
        </w:rPr>
        <w:t>IPEA/DISOC/NINSOC.</w:t>
      </w:r>
    </w:p>
    <w:p w14:paraId="3377C59F" w14:textId="5F4EC7CE" w:rsidR="00D9258C" w:rsidRPr="00FD6A6A" w:rsidRDefault="00D9258C" w:rsidP="00CE27F6">
      <w:pPr>
        <w:pStyle w:val="H23G"/>
      </w:pPr>
      <w:r w:rsidRPr="00FD6A6A">
        <w:lastRenderedPageBreak/>
        <w:tab/>
      </w:r>
      <w:r w:rsidRPr="00FD6A6A">
        <w:tab/>
        <w:t>Proportion</w:t>
      </w:r>
      <w:r w:rsidR="00541D05">
        <w:t xml:space="preserve"> </w:t>
      </w:r>
      <w:r w:rsidRPr="00FD6A6A">
        <w:t>of</w:t>
      </w:r>
      <w:r w:rsidR="00541D05">
        <w:t xml:space="preserve"> </w:t>
      </w:r>
      <w:r w:rsidRPr="00FD6A6A">
        <w:t>women</w:t>
      </w:r>
      <w:r w:rsidR="00541D05">
        <w:t xml:space="preserve"> </w:t>
      </w:r>
      <w:r w:rsidRPr="00FD6A6A">
        <w:t>in</w:t>
      </w:r>
      <w:r w:rsidR="00541D05">
        <w:t xml:space="preserve"> </w:t>
      </w:r>
      <w:r w:rsidRPr="00FD6A6A">
        <w:t>domestic</w:t>
      </w:r>
      <w:r w:rsidR="00541D05">
        <w:t xml:space="preserve"> </w:t>
      </w:r>
      <w:r w:rsidRPr="00FD6A6A">
        <w:t>work</w:t>
      </w:r>
    </w:p>
    <w:p w14:paraId="14E53384" w14:textId="77777777" w:rsidR="00D9258C" w:rsidRPr="00FD6A6A" w:rsidRDefault="00D9258C" w:rsidP="00CE27F6">
      <w:pPr>
        <w:pStyle w:val="SingleTxtG"/>
      </w:pPr>
      <w:r w:rsidRPr="00FD6A6A">
        <w:rPr>
          <w:noProof/>
          <w:lang w:eastAsia="en-GB"/>
        </w:rPr>
        <w:drawing>
          <wp:inline distT="0" distB="0" distL="0" distR="0" wp14:anchorId="08477394" wp14:editId="3829AAB5">
            <wp:extent cx="4979043" cy="2836800"/>
            <wp:effectExtent l="0" t="0" r="0" b="190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780" cy="2916415"/>
                    </a:xfrm>
                    <a:prstGeom prst="rect">
                      <a:avLst/>
                    </a:prstGeom>
                    <a:noFill/>
                    <a:ln>
                      <a:noFill/>
                    </a:ln>
                  </pic:spPr>
                </pic:pic>
              </a:graphicData>
            </a:graphic>
          </wp:inline>
        </w:drawing>
      </w:r>
    </w:p>
    <w:p w14:paraId="37F5FEC2" w14:textId="1350A787" w:rsidR="00D9258C" w:rsidRPr="0079300E" w:rsidRDefault="00D9258C" w:rsidP="0079300E">
      <w:pPr>
        <w:keepNext/>
        <w:keepLines/>
        <w:spacing w:before="120"/>
        <w:ind w:left="1134" w:right="1134" w:firstLine="170"/>
        <w:rPr>
          <w:sz w:val="18"/>
        </w:rPr>
      </w:pPr>
      <w:r w:rsidRPr="0079300E">
        <w:rPr>
          <w:i/>
          <w:iCs/>
          <w:sz w:val="18"/>
        </w:rPr>
        <w:t>Source:</w:t>
      </w:r>
      <w:r w:rsidR="00541D05" w:rsidRPr="0079300E">
        <w:rPr>
          <w:sz w:val="18"/>
        </w:rPr>
        <w:t xml:space="preserve"> </w:t>
      </w:r>
      <w:r w:rsidR="0079300E">
        <w:rPr>
          <w:sz w:val="18"/>
        </w:rPr>
        <w:t xml:space="preserve"> </w:t>
      </w:r>
      <w:r w:rsidRPr="0079300E">
        <w:rPr>
          <w:sz w:val="18"/>
        </w:rPr>
        <w:t>IBGE/Annual</w:t>
      </w:r>
      <w:r w:rsidR="00541D05" w:rsidRPr="0079300E">
        <w:rPr>
          <w:sz w:val="18"/>
        </w:rPr>
        <w:t xml:space="preserve"> </w:t>
      </w:r>
      <w:r w:rsidRPr="0079300E">
        <w:rPr>
          <w:sz w:val="18"/>
        </w:rPr>
        <w:t>continuous</w:t>
      </w:r>
      <w:r w:rsidR="00541D05" w:rsidRPr="0079300E">
        <w:rPr>
          <w:sz w:val="18"/>
        </w:rPr>
        <w:t xml:space="preserve"> </w:t>
      </w:r>
      <w:r w:rsidRPr="0079300E">
        <w:rPr>
          <w:sz w:val="18"/>
        </w:rPr>
        <w:t>PNAD.</w:t>
      </w:r>
    </w:p>
    <w:p w14:paraId="733B2DF8" w14:textId="0796024F" w:rsidR="00D9258C" w:rsidRPr="0079300E" w:rsidRDefault="00D9258C" w:rsidP="0079300E">
      <w:pPr>
        <w:spacing w:after="240"/>
        <w:ind w:left="1134" w:right="1134" w:firstLine="170"/>
        <w:rPr>
          <w:sz w:val="18"/>
        </w:rPr>
      </w:pPr>
      <w:r w:rsidRPr="0079300E">
        <w:rPr>
          <w:sz w:val="18"/>
        </w:rPr>
        <w:t>Prepared</w:t>
      </w:r>
      <w:r w:rsidR="00541D05" w:rsidRPr="0079300E">
        <w:rPr>
          <w:sz w:val="18"/>
        </w:rPr>
        <w:t xml:space="preserve"> </w:t>
      </w:r>
      <w:r w:rsidRPr="0079300E">
        <w:rPr>
          <w:sz w:val="18"/>
        </w:rPr>
        <w:t>by:</w:t>
      </w:r>
      <w:r w:rsidR="00541D05" w:rsidRPr="0079300E">
        <w:rPr>
          <w:sz w:val="18"/>
        </w:rPr>
        <w:t xml:space="preserve"> </w:t>
      </w:r>
      <w:r w:rsidRPr="0079300E">
        <w:rPr>
          <w:sz w:val="18"/>
        </w:rPr>
        <w:t>IPEA/DISOC/NINSOC.</w:t>
      </w:r>
    </w:p>
    <w:p w14:paraId="26EFDDD1" w14:textId="6B3D6E41" w:rsidR="00D9258C" w:rsidRPr="00FD6A6A" w:rsidRDefault="00D9258C" w:rsidP="0079300E">
      <w:pPr>
        <w:pStyle w:val="H23G"/>
      </w:pPr>
      <w:r w:rsidRPr="00FD6A6A">
        <w:tab/>
      </w:r>
      <w:r w:rsidRPr="00FD6A6A">
        <w:tab/>
        <w:t>Proportion</w:t>
      </w:r>
      <w:r w:rsidR="00541D05">
        <w:t xml:space="preserve"> </w:t>
      </w:r>
      <w:r w:rsidRPr="00FD6A6A">
        <w:t>of</w:t>
      </w:r>
      <w:r w:rsidR="00541D05">
        <w:t xml:space="preserve"> </w:t>
      </w:r>
      <w:r w:rsidRPr="00FD6A6A">
        <w:t>individuals</w:t>
      </w:r>
      <w:r w:rsidR="00541D05">
        <w:t xml:space="preserve"> </w:t>
      </w:r>
      <w:r w:rsidRPr="00FD6A6A">
        <w:t>attending</w:t>
      </w:r>
      <w:r w:rsidR="00541D05">
        <w:t xml:space="preserve"> </w:t>
      </w:r>
      <w:r w:rsidRPr="00FD6A6A">
        <w:t>higher</w:t>
      </w:r>
      <w:r w:rsidR="00541D05">
        <w:t xml:space="preserve"> </w:t>
      </w:r>
      <w:r w:rsidRPr="00FD6A6A">
        <w:t>education</w:t>
      </w:r>
      <w:r w:rsidR="00541D05">
        <w:t xml:space="preserve"> </w:t>
      </w:r>
      <w:r w:rsidRPr="00FD6A6A">
        <w:t>in</w:t>
      </w:r>
      <w:r w:rsidR="00541D05">
        <w:t xml:space="preserve"> </w:t>
      </w:r>
      <w:r w:rsidRPr="00FD6A6A">
        <w:t>a</w:t>
      </w:r>
      <w:r w:rsidR="00541D05">
        <w:t xml:space="preserve"> </w:t>
      </w:r>
      <w:r w:rsidRPr="00FD6A6A">
        <w:t>private</w:t>
      </w:r>
      <w:r w:rsidR="00541D05">
        <w:t xml:space="preserve"> </w:t>
      </w:r>
      <w:r w:rsidRPr="00FD6A6A">
        <w:t>institution</w:t>
      </w:r>
      <w:r w:rsidR="00541D05">
        <w:t xml:space="preserve"> </w:t>
      </w:r>
      <w:r w:rsidRPr="00FD6A6A">
        <w:t>according</w:t>
      </w:r>
      <w:r w:rsidR="00541D05">
        <w:t xml:space="preserve"> </w:t>
      </w:r>
      <w:r w:rsidRPr="00FD6A6A">
        <w:t>to</w:t>
      </w:r>
      <w:r w:rsidR="00541D05">
        <w:t xml:space="preserve"> </w:t>
      </w:r>
      <w:r w:rsidRPr="00FD6A6A">
        <w:t>skin</w:t>
      </w:r>
      <w:r w:rsidR="00541D05">
        <w:t xml:space="preserve"> </w:t>
      </w:r>
      <w:r w:rsidRPr="00FD6A6A">
        <w:t>color/race</w:t>
      </w:r>
    </w:p>
    <w:p w14:paraId="5B1D536C" w14:textId="77777777" w:rsidR="00D9258C" w:rsidRPr="00FD6A6A" w:rsidRDefault="00D9258C" w:rsidP="0079300E">
      <w:pPr>
        <w:pStyle w:val="SingleTxtG"/>
      </w:pPr>
      <w:r w:rsidRPr="00FD6A6A">
        <w:rPr>
          <w:noProof/>
          <w:lang w:eastAsia="en-GB"/>
        </w:rPr>
        <w:drawing>
          <wp:inline distT="0" distB="0" distL="0" distR="0" wp14:anchorId="3186A3F2" wp14:editId="154C44B9">
            <wp:extent cx="4279900" cy="2581064"/>
            <wp:effectExtent l="0" t="0" r="635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0419" cy="2593438"/>
                    </a:xfrm>
                    <a:prstGeom prst="rect">
                      <a:avLst/>
                    </a:prstGeom>
                    <a:noFill/>
                    <a:ln>
                      <a:noFill/>
                    </a:ln>
                  </pic:spPr>
                </pic:pic>
              </a:graphicData>
            </a:graphic>
          </wp:inline>
        </w:drawing>
      </w:r>
    </w:p>
    <w:p w14:paraId="0F162E6E" w14:textId="60DDB7E3" w:rsidR="00D9258C" w:rsidRPr="0079300E" w:rsidRDefault="00D9258C" w:rsidP="0079300E">
      <w:pPr>
        <w:keepNext/>
        <w:keepLines/>
        <w:spacing w:before="120"/>
        <w:ind w:left="1134" w:right="1134" w:firstLine="170"/>
        <w:rPr>
          <w:sz w:val="18"/>
        </w:rPr>
      </w:pPr>
      <w:r w:rsidRPr="0079300E">
        <w:rPr>
          <w:i/>
          <w:iCs/>
          <w:sz w:val="18"/>
        </w:rPr>
        <w:t>Source:</w:t>
      </w:r>
      <w:r w:rsidR="00541D05" w:rsidRPr="0079300E">
        <w:rPr>
          <w:sz w:val="18"/>
        </w:rPr>
        <w:t xml:space="preserve"> </w:t>
      </w:r>
      <w:r w:rsidR="0079300E">
        <w:rPr>
          <w:sz w:val="18"/>
        </w:rPr>
        <w:t xml:space="preserve"> </w:t>
      </w:r>
      <w:r w:rsidRPr="0079300E">
        <w:rPr>
          <w:sz w:val="18"/>
        </w:rPr>
        <w:t>PNAD/IBGE.</w:t>
      </w:r>
    </w:p>
    <w:p w14:paraId="60FFDD6B" w14:textId="0FA8D752" w:rsidR="00D9258C" w:rsidRPr="00FD6A6A" w:rsidRDefault="00D9258C" w:rsidP="0079300E">
      <w:pPr>
        <w:pStyle w:val="H23G"/>
      </w:pPr>
      <w:r w:rsidRPr="00FD6A6A">
        <w:tab/>
      </w:r>
      <w:r w:rsidRPr="00FD6A6A">
        <w:tab/>
        <w:t>School</w:t>
      </w:r>
      <w:r w:rsidR="00541D05">
        <w:t xml:space="preserve"> </w:t>
      </w:r>
      <w:r w:rsidRPr="00FD6A6A">
        <w:t>coverage</w:t>
      </w:r>
      <w:r w:rsidR="00541D05">
        <w:t xml:space="preserve"> </w:t>
      </w:r>
      <w:r w:rsidRPr="00FD6A6A">
        <w:t>of</w:t>
      </w:r>
      <w:r w:rsidR="00541D05">
        <w:t xml:space="preserve"> </w:t>
      </w:r>
      <w:r w:rsidRPr="00FD6A6A">
        <w:t>children</w:t>
      </w:r>
      <w:r w:rsidR="00541D05">
        <w:t xml:space="preserve"> </w:t>
      </w:r>
      <w:r w:rsidRPr="00FD6A6A">
        <w:t>and</w:t>
      </w:r>
      <w:r w:rsidR="00541D05">
        <w:t xml:space="preserve"> </w:t>
      </w:r>
      <w:r w:rsidRPr="00FD6A6A">
        <w:t>young</w:t>
      </w:r>
      <w:r w:rsidR="00541D05">
        <w:t xml:space="preserve"> </w:t>
      </w:r>
      <w:r w:rsidRPr="00FD6A6A">
        <w:t>people,</w:t>
      </w:r>
      <w:r w:rsidR="00541D05">
        <w:t xml:space="preserve"> </w:t>
      </w:r>
      <w:r w:rsidRPr="00FD6A6A">
        <w:t>according</w:t>
      </w:r>
      <w:r w:rsidR="00541D05">
        <w:t xml:space="preserve"> </w:t>
      </w:r>
      <w:r w:rsidRPr="00FD6A6A">
        <w:t>to</w:t>
      </w:r>
      <w:r w:rsidR="00541D05">
        <w:t xml:space="preserve"> </w:t>
      </w:r>
      <w:r w:rsidRPr="00FD6A6A">
        <w:t>age</w:t>
      </w:r>
      <w:r w:rsidR="00541D05">
        <w:t xml:space="preserve"> </w:t>
      </w:r>
      <w:r w:rsidRPr="00FD6A6A">
        <w:t>group,</w:t>
      </w:r>
      <w:r w:rsidR="00541D05">
        <w:t xml:space="preserve"> </w:t>
      </w:r>
      <w:r w:rsidRPr="00FD6A6A">
        <w:t>sex,</w:t>
      </w:r>
      <w:r w:rsidR="00541D05">
        <w:t xml:space="preserve"> </w:t>
      </w:r>
      <w:r w:rsidRPr="00FD6A6A">
        <w:t>skin</w:t>
      </w:r>
      <w:r w:rsidR="00541D05">
        <w:t xml:space="preserve"> </w:t>
      </w:r>
      <w:r w:rsidRPr="00FD6A6A">
        <w:t>color/race</w:t>
      </w:r>
      <w:r w:rsidR="00541D05">
        <w:t xml:space="preserve"> </w:t>
      </w:r>
      <w:r w:rsidRPr="00FD6A6A">
        <w:t>and</w:t>
      </w:r>
      <w:r w:rsidR="00541D05">
        <w:t xml:space="preserve"> </w:t>
      </w:r>
      <w:r w:rsidRPr="00FD6A6A">
        <w:t>location</w:t>
      </w:r>
      <w:r w:rsidR="00541D05">
        <w:t xml:space="preserve"> </w:t>
      </w:r>
      <w:r w:rsidRPr="00FD6A6A">
        <w:t>of</w:t>
      </w:r>
      <w:r w:rsidR="00541D05">
        <w:t xml:space="preserve"> </w:t>
      </w:r>
      <w:r w:rsidRPr="00FD6A6A">
        <w:t>domicile</w:t>
      </w:r>
      <w:r w:rsidR="00541D05">
        <w:t xml:space="preserve"> </w:t>
      </w:r>
      <w:r w:rsidRPr="00FD6A6A">
        <w:t>–</w:t>
      </w:r>
      <w:r w:rsidR="00541D05">
        <w:t xml:space="preserve"> </w:t>
      </w:r>
      <w:r w:rsidRPr="00FD6A6A">
        <w:t>Brazil,</w:t>
      </w:r>
      <w:r w:rsidR="00541D05">
        <w:t xml:space="preserve"> </w:t>
      </w:r>
      <w:r w:rsidRPr="00FD6A6A">
        <w:t>2004</w:t>
      </w:r>
      <w:r w:rsidR="00541D05">
        <w:t xml:space="preserve"> </w:t>
      </w:r>
      <w:r w:rsidRPr="00FD6A6A">
        <w:t>to</w:t>
      </w:r>
      <w:r w:rsidR="00541D05">
        <w:t xml:space="preserve"> </w:t>
      </w:r>
      <w:r w:rsidRPr="00FD6A6A">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9"/>
        <w:gridCol w:w="1473"/>
        <w:gridCol w:w="1473"/>
        <w:gridCol w:w="1473"/>
      </w:tblGrid>
      <w:tr w:rsidR="00C43F2C" w:rsidRPr="0079300E" w14:paraId="10BF1FA9" w14:textId="77777777" w:rsidTr="00C43F2C">
        <w:trPr>
          <w:tblHeader/>
        </w:trPr>
        <w:tc>
          <w:tcPr>
            <w:tcW w:w="1472" w:type="dxa"/>
            <w:tcBorders>
              <w:top w:val="single" w:sz="4" w:space="0" w:color="auto"/>
              <w:bottom w:val="single" w:sz="12" w:space="0" w:color="auto"/>
            </w:tcBorders>
            <w:shd w:val="clear" w:color="auto" w:fill="auto"/>
            <w:vAlign w:val="bottom"/>
          </w:tcPr>
          <w:p w14:paraId="52DE3932" w14:textId="078E31A4" w:rsidR="00C43F2C" w:rsidRPr="0079300E" w:rsidRDefault="00C43F2C" w:rsidP="00C43F2C">
            <w:pPr>
              <w:suppressAutoHyphens w:val="0"/>
              <w:spacing w:before="80" w:after="80" w:line="200" w:lineRule="exact"/>
              <w:ind w:right="113"/>
              <w:rPr>
                <w:i/>
                <w:sz w:val="16"/>
              </w:rPr>
            </w:pPr>
            <w:r w:rsidRPr="0079300E">
              <w:rPr>
                <w:i/>
                <w:sz w:val="16"/>
              </w:rPr>
              <w:t>Age group</w:t>
            </w:r>
          </w:p>
        </w:tc>
        <w:tc>
          <w:tcPr>
            <w:tcW w:w="1479" w:type="dxa"/>
            <w:tcBorders>
              <w:top w:val="single" w:sz="4" w:space="0" w:color="auto"/>
              <w:bottom w:val="single" w:sz="12" w:space="0" w:color="auto"/>
            </w:tcBorders>
            <w:shd w:val="clear" w:color="auto" w:fill="auto"/>
            <w:vAlign w:val="bottom"/>
          </w:tcPr>
          <w:p w14:paraId="32451F83" w14:textId="78D284CC" w:rsidR="00C43F2C" w:rsidRPr="0079300E" w:rsidRDefault="00C43F2C" w:rsidP="00C43F2C">
            <w:pPr>
              <w:suppressAutoHyphens w:val="0"/>
              <w:spacing w:before="80" w:after="80" w:line="200" w:lineRule="exact"/>
              <w:ind w:right="113"/>
              <w:rPr>
                <w:i/>
                <w:sz w:val="16"/>
              </w:rPr>
            </w:pPr>
            <w:r w:rsidRPr="0079300E">
              <w:rPr>
                <w:i/>
                <w:sz w:val="16"/>
              </w:rPr>
              <w:t>Skin color/race</w:t>
            </w:r>
          </w:p>
        </w:tc>
        <w:tc>
          <w:tcPr>
            <w:tcW w:w="1473" w:type="dxa"/>
            <w:tcBorders>
              <w:top w:val="single" w:sz="4" w:space="0" w:color="auto"/>
              <w:bottom w:val="single" w:sz="12" w:space="0" w:color="auto"/>
            </w:tcBorders>
            <w:shd w:val="clear" w:color="auto" w:fill="auto"/>
            <w:vAlign w:val="bottom"/>
          </w:tcPr>
          <w:p w14:paraId="20D6B118" w14:textId="4B4840CA" w:rsidR="00C43F2C" w:rsidRPr="0079300E" w:rsidRDefault="00C43F2C" w:rsidP="00C43F2C">
            <w:pPr>
              <w:suppressAutoHyphens w:val="0"/>
              <w:spacing w:before="80" w:after="80" w:line="200" w:lineRule="exact"/>
              <w:ind w:right="113"/>
              <w:jc w:val="right"/>
              <w:rPr>
                <w:i/>
                <w:sz w:val="16"/>
              </w:rPr>
            </w:pPr>
            <w:r w:rsidRPr="0079300E">
              <w:rPr>
                <w:i/>
                <w:sz w:val="16"/>
              </w:rPr>
              <w:t>2004</w:t>
            </w:r>
          </w:p>
        </w:tc>
        <w:tc>
          <w:tcPr>
            <w:tcW w:w="1473" w:type="dxa"/>
            <w:tcBorders>
              <w:top w:val="single" w:sz="4" w:space="0" w:color="auto"/>
              <w:bottom w:val="single" w:sz="12" w:space="0" w:color="auto"/>
            </w:tcBorders>
            <w:shd w:val="clear" w:color="auto" w:fill="auto"/>
            <w:vAlign w:val="bottom"/>
          </w:tcPr>
          <w:p w14:paraId="6754AAA7" w14:textId="2DEA5050" w:rsidR="00C43F2C" w:rsidRPr="0079300E" w:rsidRDefault="00C43F2C" w:rsidP="00C43F2C">
            <w:pPr>
              <w:suppressAutoHyphens w:val="0"/>
              <w:spacing w:before="80" w:after="80" w:line="200" w:lineRule="exact"/>
              <w:ind w:right="113"/>
              <w:jc w:val="right"/>
              <w:rPr>
                <w:i/>
                <w:sz w:val="16"/>
              </w:rPr>
            </w:pPr>
            <w:r w:rsidRPr="0079300E">
              <w:rPr>
                <w:i/>
                <w:sz w:val="16"/>
              </w:rPr>
              <w:t>2009</w:t>
            </w:r>
          </w:p>
        </w:tc>
        <w:tc>
          <w:tcPr>
            <w:tcW w:w="1473" w:type="dxa"/>
            <w:tcBorders>
              <w:top w:val="single" w:sz="4" w:space="0" w:color="auto"/>
              <w:bottom w:val="single" w:sz="12" w:space="0" w:color="auto"/>
            </w:tcBorders>
            <w:shd w:val="clear" w:color="auto" w:fill="auto"/>
            <w:vAlign w:val="bottom"/>
          </w:tcPr>
          <w:p w14:paraId="3623A6B4" w14:textId="1117D91E" w:rsidR="00C43F2C" w:rsidRPr="0079300E" w:rsidRDefault="00C43F2C" w:rsidP="00C43F2C">
            <w:pPr>
              <w:suppressAutoHyphens w:val="0"/>
              <w:spacing w:before="80" w:after="80" w:line="200" w:lineRule="exact"/>
              <w:ind w:right="113"/>
              <w:jc w:val="right"/>
              <w:rPr>
                <w:i/>
                <w:sz w:val="16"/>
              </w:rPr>
            </w:pPr>
            <w:r w:rsidRPr="0079300E">
              <w:rPr>
                <w:i/>
                <w:sz w:val="16"/>
              </w:rPr>
              <w:t>2015</w:t>
            </w:r>
          </w:p>
        </w:tc>
      </w:tr>
      <w:tr w:rsidR="00C43F2C" w:rsidRPr="0079300E" w14:paraId="6D7F913E" w14:textId="77777777" w:rsidTr="00C43F2C">
        <w:tc>
          <w:tcPr>
            <w:tcW w:w="1472" w:type="dxa"/>
            <w:shd w:val="clear" w:color="auto" w:fill="auto"/>
          </w:tcPr>
          <w:p w14:paraId="2067FCCF" w14:textId="40B25D59" w:rsidR="00C43F2C" w:rsidRPr="0079300E" w:rsidRDefault="00C43F2C" w:rsidP="00C43F2C">
            <w:pPr>
              <w:suppressAutoHyphens w:val="0"/>
              <w:spacing w:before="40" w:after="40" w:line="220" w:lineRule="exact"/>
              <w:ind w:right="113"/>
              <w:rPr>
                <w:sz w:val="18"/>
              </w:rPr>
            </w:pPr>
            <w:r w:rsidRPr="0079300E">
              <w:rPr>
                <w:sz w:val="18"/>
              </w:rPr>
              <w:t>0 to 3 years old</w:t>
            </w:r>
          </w:p>
        </w:tc>
        <w:tc>
          <w:tcPr>
            <w:tcW w:w="1479" w:type="dxa"/>
            <w:shd w:val="clear" w:color="auto" w:fill="auto"/>
            <w:vAlign w:val="bottom"/>
          </w:tcPr>
          <w:p w14:paraId="505A43ED" w14:textId="77777777" w:rsidR="00C43F2C" w:rsidRPr="0079300E" w:rsidRDefault="00C43F2C" w:rsidP="00C43F2C">
            <w:pPr>
              <w:suppressAutoHyphens w:val="0"/>
              <w:spacing w:before="40" w:after="40" w:line="220" w:lineRule="exact"/>
              <w:ind w:right="113"/>
              <w:rPr>
                <w:sz w:val="18"/>
              </w:rPr>
            </w:pPr>
            <w:r w:rsidRPr="0079300E">
              <w:rPr>
                <w:sz w:val="18"/>
              </w:rPr>
              <w:t>White</w:t>
            </w:r>
          </w:p>
        </w:tc>
        <w:tc>
          <w:tcPr>
            <w:tcW w:w="1473" w:type="dxa"/>
            <w:shd w:val="clear" w:color="auto" w:fill="auto"/>
            <w:vAlign w:val="bottom"/>
          </w:tcPr>
          <w:p w14:paraId="31ECB3D0" w14:textId="77777777" w:rsidR="00C43F2C" w:rsidRPr="0079300E" w:rsidRDefault="00C43F2C" w:rsidP="00C43F2C">
            <w:pPr>
              <w:suppressAutoHyphens w:val="0"/>
              <w:spacing w:before="40" w:after="40" w:line="220" w:lineRule="exact"/>
              <w:ind w:right="113"/>
              <w:jc w:val="right"/>
              <w:rPr>
                <w:sz w:val="18"/>
              </w:rPr>
            </w:pPr>
            <w:r w:rsidRPr="0079300E">
              <w:rPr>
                <w:sz w:val="18"/>
              </w:rPr>
              <w:t>15.2</w:t>
            </w:r>
          </w:p>
        </w:tc>
        <w:tc>
          <w:tcPr>
            <w:tcW w:w="1473" w:type="dxa"/>
            <w:shd w:val="clear" w:color="auto" w:fill="auto"/>
            <w:vAlign w:val="bottom"/>
          </w:tcPr>
          <w:p w14:paraId="60BB0ECC" w14:textId="77777777" w:rsidR="00C43F2C" w:rsidRPr="0079300E" w:rsidRDefault="00C43F2C" w:rsidP="00C43F2C">
            <w:pPr>
              <w:suppressAutoHyphens w:val="0"/>
              <w:spacing w:before="40" w:after="40" w:line="220" w:lineRule="exact"/>
              <w:ind w:right="113"/>
              <w:jc w:val="right"/>
              <w:rPr>
                <w:sz w:val="18"/>
              </w:rPr>
            </w:pPr>
            <w:r w:rsidRPr="0079300E">
              <w:rPr>
                <w:sz w:val="18"/>
              </w:rPr>
              <w:t>20.2</w:t>
            </w:r>
          </w:p>
        </w:tc>
        <w:tc>
          <w:tcPr>
            <w:tcW w:w="1473" w:type="dxa"/>
            <w:shd w:val="clear" w:color="auto" w:fill="auto"/>
            <w:vAlign w:val="bottom"/>
          </w:tcPr>
          <w:p w14:paraId="033398F5" w14:textId="77777777" w:rsidR="00C43F2C" w:rsidRPr="0079300E" w:rsidRDefault="00C43F2C" w:rsidP="00C43F2C">
            <w:pPr>
              <w:suppressAutoHyphens w:val="0"/>
              <w:spacing w:before="40" w:after="40" w:line="220" w:lineRule="exact"/>
              <w:ind w:right="113"/>
              <w:jc w:val="right"/>
              <w:rPr>
                <w:sz w:val="18"/>
              </w:rPr>
            </w:pPr>
            <w:r w:rsidRPr="0079300E">
              <w:rPr>
                <w:sz w:val="18"/>
              </w:rPr>
              <w:t>29.5</w:t>
            </w:r>
          </w:p>
        </w:tc>
      </w:tr>
      <w:tr w:rsidR="00C43F2C" w:rsidRPr="0079300E" w14:paraId="64163040" w14:textId="77777777" w:rsidTr="00C43F2C">
        <w:tc>
          <w:tcPr>
            <w:tcW w:w="1472" w:type="dxa"/>
            <w:shd w:val="clear" w:color="auto" w:fill="auto"/>
          </w:tcPr>
          <w:p w14:paraId="51F3F81A" w14:textId="77777777" w:rsidR="00C43F2C" w:rsidRPr="0079300E" w:rsidRDefault="00C43F2C" w:rsidP="00C43F2C">
            <w:pPr>
              <w:suppressAutoHyphens w:val="0"/>
              <w:spacing w:before="40" w:after="40" w:line="220" w:lineRule="exact"/>
              <w:ind w:right="113"/>
              <w:rPr>
                <w:sz w:val="18"/>
              </w:rPr>
            </w:pPr>
          </w:p>
        </w:tc>
        <w:tc>
          <w:tcPr>
            <w:tcW w:w="1479" w:type="dxa"/>
            <w:shd w:val="clear" w:color="auto" w:fill="auto"/>
            <w:vAlign w:val="bottom"/>
          </w:tcPr>
          <w:p w14:paraId="1781E2AD" w14:textId="77777777" w:rsidR="00C43F2C" w:rsidRPr="0079300E" w:rsidRDefault="00C43F2C" w:rsidP="00C43F2C">
            <w:pPr>
              <w:suppressAutoHyphens w:val="0"/>
              <w:spacing w:before="40" w:after="40" w:line="220" w:lineRule="exact"/>
              <w:ind w:right="113"/>
              <w:rPr>
                <w:sz w:val="18"/>
              </w:rPr>
            </w:pPr>
            <w:r w:rsidRPr="0079300E">
              <w:rPr>
                <w:sz w:val="18"/>
              </w:rPr>
              <w:t>Afro-Brazilian</w:t>
            </w:r>
          </w:p>
        </w:tc>
        <w:tc>
          <w:tcPr>
            <w:tcW w:w="1473" w:type="dxa"/>
            <w:shd w:val="clear" w:color="auto" w:fill="auto"/>
            <w:vAlign w:val="bottom"/>
          </w:tcPr>
          <w:p w14:paraId="6CE1C988" w14:textId="77777777" w:rsidR="00C43F2C" w:rsidRPr="0079300E" w:rsidRDefault="00C43F2C" w:rsidP="00C43F2C">
            <w:pPr>
              <w:suppressAutoHyphens w:val="0"/>
              <w:spacing w:before="40" w:after="40" w:line="220" w:lineRule="exact"/>
              <w:ind w:right="113"/>
              <w:jc w:val="right"/>
              <w:rPr>
                <w:sz w:val="18"/>
              </w:rPr>
            </w:pPr>
            <w:r w:rsidRPr="0079300E">
              <w:rPr>
                <w:sz w:val="18"/>
              </w:rPr>
              <w:t>11.5</w:t>
            </w:r>
          </w:p>
        </w:tc>
        <w:tc>
          <w:tcPr>
            <w:tcW w:w="1473" w:type="dxa"/>
            <w:shd w:val="clear" w:color="auto" w:fill="auto"/>
            <w:vAlign w:val="bottom"/>
          </w:tcPr>
          <w:p w14:paraId="2CFD5993" w14:textId="77777777" w:rsidR="00C43F2C" w:rsidRPr="0079300E" w:rsidRDefault="00C43F2C" w:rsidP="00C43F2C">
            <w:pPr>
              <w:suppressAutoHyphens w:val="0"/>
              <w:spacing w:before="40" w:after="40" w:line="220" w:lineRule="exact"/>
              <w:ind w:right="113"/>
              <w:jc w:val="right"/>
              <w:rPr>
                <w:sz w:val="18"/>
              </w:rPr>
            </w:pPr>
            <w:r w:rsidRPr="0079300E">
              <w:rPr>
                <w:sz w:val="18"/>
              </w:rPr>
              <w:t>16.7</w:t>
            </w:r>
          </w:p>
        </w:tc>
        <w:tc>
          <w:tcPr>
            <w:tcW w:w="1473" w:type="dxa"/>
            <w:shd w:val="clear" w:color="auto" w:fill="auto"/>
            <w:vAlign w:val="bottom"/>
          </w:tcPr>
          <w:p w14:paraId="0E6216ED" w14:textId="77777777" w:rsidR="00C43F2C" w:rsidRPr="0079300E" w:rsidRDefault="00C43F2C" w:rsidP="00C43F2C">
            <w:pPr>
              <w:suppressAutoHyphens w:val="0"/>
              <w:spacing w:before="40" w:after="40" w:line="220" w:lineRule="exact"/>
              <w:ind w:right="113"/>
              <w:jc w:val="right"/>
              <w:rPr>
                <w:sz w:val="18"/>
              </w:rPr>
            </w:pPr>
            <w:r w:rsidRPr="0079300E">
              <w:rPr>
                <w:sz w:val="18"/>
              </w:rPr>
              <w:t>22.0</w:t>
            </w:r>
          </w:p>
        </w:tc>
      </w:tr>
      <w:tr w:rsidR="00C43F2C" w:rsidRPr="0079300E" w14:paraId="542368A2" w14:textId="77777777" w:rsidTr="00C43F2C">
        <w:tc>
          <w:tcPr>
            <w:tcW w:w="1472" w:type="dxa"/>
            <w:shd w:val="clear" w:color="auto" w:fill="auto"/>
          </w:tcPr>
          <w:p w14:paraId="42460342" w14:textId="4B59002A" w:rsidR="00C43F2C" w:rsidRPr="0079300E" w:rsidRDefault="00C43F2C" w:rsidP="00C43F2C">
            <w:pPr>
              <w:suppressAutoHyphens w:val="0"/>
              <w:spacing w:before="40" w:after="40" w:line="220" w:lineRule="exact"/>
              <w:ind w:right="113"/>
              <w:rPr>
                <w:sz w:val="18"/>
              </w:rPr>
            </w:pPr>
            <w:r w:rsidRPr="0079300E">
              <w:rPr>
                <w:sz w:val="18"/>
              </w:rPr>
              <w:t>4 to 6 years old</w:t>
            </w:r>
          </w:p>
        </w:tc>
        <w:tc>
          <w:tcPr>
            <w:tcW w:w="1479" w:type="dxa"/>
            <w:shd w:val="clear" w:color="auto" w:fill="auto"/>
            <w:vAlign w:val="bottom"/>
          </w:tcPr>
          <w:p w14:paraId="12F7C60F" w14:textId="77777777" w:rsidR="00C43F2C" w:rsidRPr="0079300E" w:rsidRDefault="00C43F2C" w:rsidP="00C43F2C">
            <w:pPr>
              <w:suppressAutoHyphens w:val="0"/>
              <w:spacing w:before="40" w:after="40" w:line="220" w:lineRule="exact"/>
              <w:ind w:right="113"/>
              <w:rPr>
                <w:sz w:val="18"/>
              </w:rPr>
            </w:pPr>
            <w:r w:rsidRPr="0079300E">
              <w:rPr>
                <w:sz w:val="18"/>
              </w:rPr>
              <w:t>White</w:t>
            </w:r>
          </w:p>
        </w:tc>
        <w:tc>
          <w:tcPr>
            <w:tcW w:w="1473" w:type="dxa"/>
            <w:shd w:val="clear" w:color="auto" w:fill="auto"/>
            <w:vAlign w:val="bottom"/>
          </w:tcPr>
          <w:p w14:paraId="4675E113" w14:textId="77777777" w:rsidR="00C43F2C" w:rsidRPr="0079300E" w:rsidRDefault="00C43F2C" w:rsidP="00C43F2C">
            <w:pPr>
              <w:suppressAutoHyphens w:val="0"/>
              <w:spacing w:before="40" w:after="40" w:line="220" w:lineRule="exact"/>
              <w:ind w:right="113"/>
              <w:jc w:val="right"/>
              <w:rPr>
                <w:sz w:val="18"/>
              </w:rPr>
            </w:pPr>
            <w:r w:rsidRPr="0079300E">
              <w:rPr>
                <w:sz w:val="18"/>
              </w:rPr>
              <w:t>72.7</w:t>
            </w:r>
          </w:p>
        </w:tc>
        <w:tc>
          <w:tcPr>
            <w:tcW w:w="1473" w:type="dxa"/>
            <w:shd w:val="clear" w:color="auto" w:fill="auto"/>
            <w:vAlign w:val="bottom"/>
          </w:tcPr>
          <w:p w14:paraId="33487583" w14:textId="77777777" w:rsidR="00C43F2C" w:rsidRPr="0079300E" w:rsidRDefault="00C43F2C" w:rsidP="00C43F2C">
            <w:pPr>
              <w:suppressAutoHyphens w:val="0"/>
              <w:spacing w:before="40" w:after="40" w:line="220" w:lineRule="exact"/>
              <w:ind w:right="113"/>
              <w:jc w:val="right"/>
              <w:rPr>
                <w:sz w:val="18"/>
              </w:rPr>
            </w:pPr>
            <w:r w:rsidRPr="0079300E">
              <w:rPr>
                <w:sz w:val="18"/>
              </w:rPr>
              <w:t>82.6</w:t>
            </w:r>
          </w:p>
        </w:tc>
        <w:tc>
          <w:tcPr>
            <w:tcW w:w="1473" w:type="dxa"/>
            <w:shd w:val="clear" w:color="auto" w:fill="auto"/>
            <w:vAlign w:val="bottom"/>
          </w:tcPr>
          <w:p w14:paraId="7DD0F3BC" w14:textId="77777777" w:rsidR="00C43F2C" w:rsidRPr="0079300E" w:rsidRDefault="00C43F2C" w:rsidP="00C43F2C">
            <w:pPr>
              <w:suppressAutoHyphens w:val="0"/>
              <w:spacing w:before="40" w:after="40" w:line="220" w:lineRule="exact"/>
              <w:ind w:right="113"/>
              <w:jc w:val="right"/>
              <w:rPr>
                <w:sz w:val="18"/>
              </w:rPr>
            </w:pPr>
            <w:r w:rsidRPr="0079300E">
              <w:rPr>
                <w:sz w:val="18"/>
              </w:rPr>
              <w:t>89.9</w:t>
            </w:r>
          </w:p>
        </w:tc>
      </w:tr>
      <w:tr w:rsidR="00C43F2C" w:rsidRPr="0079300E" w14:paraId="13459F92" w14:textId="77777777" w:rsidTr="00C43F2C">
        <w:tc>
          <w:tcPr>
            <w:tcW w:w="1472" w:type="dxa"/>
            <w:shd w:val="clear" w:color="auto" w:fill="auto"/>
          </w:tcPr>
          <w:p w14:paraId="6D71FA12" w14:textId="77777777" w:rsidR="00C43F2C" w:rsidRPr="0079300E" w:rsidRDefault="00C43F2C" w:rsidP="00C43F2C">
            <w:pPr>
              <w:suppressAutoHyphens w:val="0"/>
              <w:spacing w:before="40" w:after="40" w:line="220" w:lineRule="exact"/>
              <w:ind w:right="113"/>
              <w:rPr>
                <w:sz w:val="18"/>
              </w:rPr>
            </w:pPr>
          </w:p>
        </w:tc>
        <w:tc>
          <w:tcPr>
            <w:tcW w:w="1479" w:type="dxa"/>
            <w:shd w:val="clear" w:color="auto" w:fill="auto"/>
            <w:vAlign w:val="bottom"/>
          </w:tcPr>
          <w:p w14:paraId="489381F8" w14:textId="77777777" w:rsidR="00C43F2C" w:rsidRPr="0079300E" w:rsidRDefault="00C43F2C" w:rsidP="00C43F2C">
            <w:pPr>
              <w:suppressAutoHyphens w:val="0"/>
              <w:spacing w:before="40" w:after="40" w:line="220" w:lineRule="exact"/>
              <w:ind w:right="113"/>
              <w:rPr>
                <w:sz w:val="18"/>
              </w:rPr>
            </w:pPr>
            <w:r w:rsidRPr="0079300E">
              <w:rPr>
                <w:sz w:val="18"/>
              </w:rPr>
              <w:t>Afro-Brazilian</w:t>
            </w:r>
          </w:p>
        </w:tc>
        <w:tc>
          <w:tcPr>
            <w:tcW w:w="1473" w:type="dxa"/>
            <w:shd w:val="clear" w:color="auto" w:fill="auto"/>
            <w:vAlign w:val="bottom"/>
          </w:tcPr>
          <w:p w14:paraId="5DEDE3A1" w14:textId="77777777" w:rsidR="00C43F2C" w:rsidRPr="0079300E" w:rsidRDefault="00C43F2C" w:rsidP="00C43F2C">
            <w:pPr>
              <w:suppressAutoHyphens w:val="0"/>
              <w:spacing w:before="40" w:after="40" w:line="220" w:lineRule="exact"/>
              <w:ind w:right="113"/>
              <w:jc w:val="right"/>
              <w:rPr>
                <w:sz w:val="18"/>
              </w:rPr>
            </w:pPr>
            <w:r w:rsidRPr="0079300E">
              <w:rPr>
                <w:sz w:val="18"/>
              </w:rPr>
              <w:t>68.5</w:t>
            </w:r>
          </w:p>
        </w:tc>
        <w:tc>
          <w:tcPr>
            <w:tcW w:w="1473" w:type="dxa"/>
            <w:shd w:val="clear" w:color="auto" w:fill="auto"/>
            <w:vAlign w:val="bottom"/>
          </w:tcPr>
          <w:p w14:paraId="0A427DD8" w14:textId="77777777" w:rsidR="00C43F2C" w:rsidRPr="0079300E" w:rsidRDefault="00C43F2C" w:rsidP="00C43F2C">
            <w:pPr>
              <w:suppressAutoHyphens w:val="0"/>
              <w:spacing w:before="40" w:after="40" w:line="220" w:lineRule="exact"/>
              <w:ind w:right="113"/>
              <w:jc w:val="right"/>
              <w:rPr>
                <w:sz w:val="18"/>
              </w:rPr>
            </w:pPr>
            <w:r w:rsidRPr="0079300E">
              <w:rPr>
                <w:sz w:val="18"/>
              </w:rPr>
              <w:t>80.1</w:t>
            </w:r>
          </w:p>
        </w:tc>
        <w:tc>
          <w:tcPr>
            <w:tcW w:w="1473" w:type="dxa"/>
            <w:shd w:val="clear" w:color="auto" w:fill="auto"/>
            <w:vAlign w:val="bottom"/>
          </w:tcPr>
          <w:p w14:paraId="33E27F97" w14:textId="77777777" w:rsidR="00C43F2C" w:rsidRPr="0079300E" w:rsidRDefault="00C43F2C" w:rsidP="00C43F2C">
            <w:pPr>
              <w:suppressAutoHyphens w:val="0"/>
              <w:spacing w:before="40" w:after="40" w:line="220" w:lineRule="exact"/>
              <w:ind w:right="113"/>
              <w:jc w:val="right"/>
              <w:rPr>
                <w:sz w:val="18"/>
              </w:rPr>
            </w:pPr>
            <w:r w:rsidRPr="0079300E">
              <w:rPr>
                <w:sz w:val="18"/>
              </w:rPr>
              <w:t>87.9</w:t>
            </w:r>
          </w:p>
        </w:tc>
      </w:tr>
      <w:tr w:rsidR="00C43F2C" w:rsidRPr="0079300E" w14:paraId="6ED972E5" w14:textId="77777777" w:rsidTr="00C43F2C">
        <w:tc>
          <w:tcPr>
            <w:tcW w:w="1472" w:type="dxa"/>
            <w:tcBorders>
              <w:bottom w:val="nil"/>
            </w:tcBorders>
            <w:shd w:val="clear" w:color="auto" w:fill="auto"/>
          </w:tcPr>
          <w:p w14:paraId="7107641A" w14:textId="3BA1C287" w:rsidR="00C43F2C" w:rsidRPr="0079300E" w:rsidRDefault="00C43F2C" w:rsidP="00C43F2C">
            <w:pPr>
              <w:suppressAutoHyphens w:val="0"/>
              <w:spacing w:before="40" w:after="40" w:line="220" w:lineRule="exact"/>
              <w:ind w:right="113"/>
              <w:rPr>
                <w:sz w:val="18"/>
              </w:rPr>
            </w:pPr>
            <w:r w:rsidRPr="0079300E">
              <w:rPr>
                <w:sz w:val="18"/>
              </w:rPr>
              <w:t>7 to 14 years old</w:t>
            </w:r>
          </w:p>
        </w:tc>
        <w:tc>
          <w:tcPr>
            <w:tcW w:w="1479" w:type="dxa"/>
            <w:tcBorders>
              <w:bottom w:val="nil"/>
            </w:tcBorders>
            <w:shd w:val="clear" w:color="auto" w:fill="auto"/>
            <w:vAlign w:val="bottom"/>
          </w:tcPr>
          <w:p w14:paraId="43981EE6" w14:textId="5C605A85" w:rsidR="00C43F2C" w:rsidRPr="0079300E" w:rsidRDefault="00C43F2C" w:rsidP="00C43F2C">
            <w:pPr>
              <w:suppressAutoHyphens w:val="0"/>
              <w:spacing w:before="40" w:after="40" w:line="220" w:lineRule="exact"/>
              <w:ind w:right="113"/>
              <w:rPr>
                <w:sz w:val="18"/>
              </w:rPr>
            </w:pPr>
            <w:r w:rsidRPr="0079300E">
              <w:rPr>
                <w:sz w:val="18"/>
              </w:rPr>
              <w:t xml:space="preserve">White </w:t>
            </w:r>
          </w:p>
        </w:tc>
        <w:tc>
          <w:tcPr>
            <w:tcW w:w="1473" w:type="dxa"/>
            <w:tcBorders>
              <w:bottom w:val="nil"/>
            </w:tcBorders>
            <w:shd w:val="clear" w:color="auto" w:fill="auto"/>
            <w:vAlign w:val="bottom"/>
          </w:tcPr>
          <w:p w14:paraId="3DE6354C" w14:textId="77777777" w:rsidR="00C43F2C" w:rsidRPr="0079300E" w:rsidRDefault="00C43F2C" w:rsidP="00C43F2C">
            <w:pPr>
              <w:suppressAutoHyphens w:val="0"/>
              <w:spacing w:before="40" w:after="40" w:line="220" w:lineRule="exact"/>
              <w:ind w:right="113"/>
              <w:jc w:val="right"/>
              <w:rPr>
                <w:sz w:val="18"/>
              </w:rPr>
            </w:pPr>
            <w:r w:rsidRPr="0079300E">
              <w:rPr>
                <w:sz w:val="18"/>
              </w:rPr>
              <w:t>98.1</w:t>
            </w:r>
          </w:p>
        </w:tc>
        <w:tc>
          <w:tcPr>
            <w:tcW w:w="1473" w:type="dxa"/>
            <w:tcBorders>
              <w:bottom w:val="nil"/>
            </w:tcBorders>
            <w:shd w:val="clear" w:color="auto" w:fill="auto"/>
            <w:vAlign w:val="bottom"/>
          </w:tcPr>
          <w:p w14:paraId="439772FC" w14:textId="77777777" w:rsidR="00C43F2C" w:rsidRPr="0079300E" w:rsidRDefault="00C43F2C" w:rsidP="00C43F2C">
            <w:pPr>
              <w:suppressAutoHyphens w:val="0"/>
              <w:spacing w:before="40" w:after="40" w:line="220" w:lineRule="exact"/>
              <w:ind w:right="113"/>
              <w:jc w:val="right"/>
              <w:rPr>
                <w:sz w:val="18"/>
              </w:rPr>
            </w:pPr>
            <w:r w:rsidRPr="0079300E">
              <w:rPr>
                <w:sz w:val="18"/>
              </w:rPr>
              <w:t>98.4</w:t>
            </w:r>
          </w:p>
        </w:tc>
        <w:tc>
          <w:tcPr>
            <w:tcW w:w="1473" w:type="dxa"/>
            <w:tcBorders>
              <w:bottom w:val="nil"/>
            </w:tcBorders>
            <w:shd w:val="clear" w:color="auto" w:fill="auto"/>
            <w:vAlign w:val="bottom"/>
          </w:tcPr>
          <w:p w14:paraId="2423073D" w14:textId="77777777" w:rsidR="00C43F2C" w:rsidRPr="0079300E" w:rsidRDefault="00C43F2C" w:rsidP="00C43F2C">
            <w:pPr>
              <w:suppressAutoHyphens w:val="0"/>
              <w:spacing w:before="40" w:after="40" w:line="220" w:lineRule="exact"/>
              <w:ind w:right="113"/>
              <w:jc w:val="right"/>
              <w:rPr>
                <w:sz w:val="18"/>
              </w:rPr>
            </w:pPr>
            <w:r w:rsidRPr="0079300E">
              <w:rPr>
                <w:sz w:val="18"/>
              </w:rPr>
              <w:t>99.1</w:t>
            </w:r>
          </w:p>
        </w:tc>
      </w:tr>
      <w:tr w:rsidR="00C43F2C" w:rsidRPr="0079300E" w14:paraId="1D18D30D" w14:textId="77777777" w:rsidTr="00C43F2C">
        <w:tc>
          <w:tcPr>
            <w:tcW w:w="1472" w:type="dxa"/>
            <w:tcBorders>
              <w:top w:val="nil"/>
              <w:bottom w:val="nil"/>
            </w:tcBorders>
            <w:shd w:val="clear" w:color="auto" w:fill="auto"/>
          </w:tcPr>
          <w:p w14:paraId="27199CD3" w14:textId="77777777" w:rsidR="00C43F2C" w:rsidRPr="0079300E" w:rsidRDefault="00C43F2C" w:rsidP="00C43F2C">
            <w:pPr>
              <w:suppressAutoHyphens w:val="0"/>
              <w:spacing w:before="40" w:after="40" w:line="220" w:lineRule="exact"/>
              <w:ind w:right="113"/>
              <w:rPr>
                <w:sz w:val="18"/>
              </w:rPr>
            </w:pPr>
          </w:p>
        </w:tc>
        <w:tc>
          <w:tcPr>
            <w:tcW w:w="1479" w:type="dxa"/>
            <w:tcBorders>
              <w:top w:val="nil"/>
              <w:bottom w:val="nil"/>
            </w:tcBorders>
            <w:shd w:val="clear" w:color="auto" w:fill="auto"/>
            <w:vAlign w:val="bottom"/>
          </w:tcPr>
          <w:p w14:paraId="1CA21835" w14:textId="77777777" w:rsidR="00C43F2C" w:rsidRPr="0079300E" w:rsidRDefault="00C43F2C" w:rsidP="00C43F2C">
            <w:pPr>
              <w:suppressAutoHyphens w:val="0"/>
              <w:spacing w:before="40" w:after="40" w:line="220" w:lineRule="exact"/>
              <w:ind w:right="113"/>
              <w:rPr>
                <w:sz w:val="18"/>
              </w:rPr>
            </w:pPr>
            <w:r w:rsidRPr="0079300E">
              <w:rPr>
                <w:sz w:val="18"/>
              </w:rPr>
              <w:t>Afro-Brazilian</w:t>
            </w:r>
          </w:p>
        </w:tc>
        <w:tc>
          <w:tcPr>
            <w:tcW w:w="1473" w:type="dxa"/>
            <w:tcBorders>
              <w:top w:val="nil"/>
              <w:bottom w:val="nil"/>
            </w:tcBorders>
            <w:shd w:val="clear" w:color="auto" w:fill="auto"/>
            <w:vAlign w:val="bottom"/>
          </w:tcPr>
          <w:p w14:paraId="11875CA8" w14:textId="77777777" w:rsidR="00C43F2C" w:rsidRPr="0079300E" w:rsidRDefault="00C43F2C" w:rsidP="00C43F2C">
            <w:pPr>
              <w:suppressAutoHyphens w:val="0"/>
              <w:spacing w:before="40" w:after="40" w:line="220" w:lineRule="exact"/>
              <w:ind w:right="113"/>
              <w:jc w:val="right"/>
              <w:rPr>
                <w:sz w:val="18"/>
              </w:rPr>
            </w:pPr>
            <w:r w:rsidRPr="0079300E">
              <w:rPr>
                <w:sz w:val="18"/>
              </w:rPr>
              <w:t>96.2</w:t>
            </w:r>
          </w:p>
        </w:tc>
        <w:tc>
          <w:tcPr>
            <w:tcW w:w="1473" w:type="dxa"/>
            <w:tcBorders>
              <w:top w:val="nil"/>
              <w:bottom w:val="nil"/>
            </w:tcBorders>
            <w:shd w:val="clear" w:color="auto" w:fill="auto"/>
            <w:vAlign w:val="bottom"/>
          </w:tcPr>
          <w:p w14:paraId="10FA63BD" w14:textId="77777777" w:rsidR="00C43F2C" w:rsidRPr="0079300E" w:rsidRDefault="00C43F2C" w:rsidP="00C43F2C">
            <w:pPr>
              <w:suppressAutoHyphens w:val="0"/>
              <w:spacing w:before="40" w:after="40" w:line="220" w:lineRule="exact"/>
              <w:ind w:right="113"/>
              <w:jc w:val="right"/>
              <w:rPr>
                <w:sz w:val="18"/>
              </w:rPr>
            </w:pPr>
            <w:r w:rsidRPr="0079300E">
              <w:rPr>
                <w:sz w:val="18"/>
              </w:rPr>
              <w:t>97.9</w:t>
            </w:r>
          </w:p>
        </w:tc>
        <w:tc>
          <w:tcPr>
            <w:tcW w:w="1473" w:type="dxa"/>
            <w:tcBorders>
              <w:top w:val="nil"/>
              <w:bottom w:val="nil"/>
            </w:tcBorders>
            <w:shd w:val="clear" w:color="auto" w:fill="auto"/>
            <w:vAlign w:val="bottom"/>
          </w:tcPr>
          <w:p w14:paraId="70D100CE" w14:textId="77777777" w:rsidR="00C43F2C" w:rsidRPr="0079300E" w:rsidRDefault="00C43F2C" w:rsidP="00C43F2C">
            <w:pPr>
              <w:suppressAutoHyphens w:val="0"/>
              <w:spacing w:before="40" w:after="40" w:line="220" w:lineRule="exact"/>
              <w:ind w:right="113"/>
              <w:jc w:val="right"/>
              <w:rPr>
                <w:sz w:val="18"/>
              </w:rPr>
            </w:pPr>
            <w:r w:rsidRPr="0079300E">
              <w:rPr>
                <w:sz w:val="18"/>
              </w:rPr>
              <w:t>98.5</w:t>
            </w:r>
          </w:p>
        </w:tc>
      </w:tr>
      <w:tr w:rsidR="00C43F2C" w:rsidRPr="0079300E" w14:paraId="6C19316B" w14:textId="77777777" w:rsidTr="00C43F2C">
        <w:tc>
          <w:tcPr>
            <w:tcW w:w="1472" w:type="dxa"/>
            <w:tcBorders>
              <w:top w:val="nil"/>
            </w:tcBorders>
            <w:shd w:val="clear" w:color="auto" w:fill="auto"/>
          </w:tcPr>
          <w:p w14:paraId="5C656912" w14:textId="10581398" w:rsidR="00C43F2C" w:rsidRPr="0079300E" w:rsidRDefault="00C43F2C" w:rsidP="00C43F2C">
            <w:pPr>
              <w:keepNext/>
              <w:suppressAutoHyphens w:val="0"/>
              <w:spacing w:before="40" w:after="40" w:line="220" w:lineRule="exact"/>
              <w:ind w:right="113"/>
              <w:rPr>
                <w:sz w:val="18"/>
              </w:rPr>
            </w:pPr>
            <w:r w:rsidRPr="0079300E">
              <w:rPr>
                <w:sz w:val="18"/>
              </w:rPr>
              <w:lastRenderedPageBreak/>
              <w:t>15 to 17 years old</w:t>
            </w:r>
          </w:p>
        </w:tc>
        <w:tc>
          <w:tcPr>
            <w:tcW w:w="1479" w:type="dxa"/>
            <w:tcBorders>
              <w:top w:val="nil"/>
            </w:tcBorders>
            <w:shd w:val="clear" w:color="auto" w:fill="auto"/>
            <w:vAlign w:val="bottom"/>
          </w:tcPr>
          <w:p w14:paraId="397CBF17" w14:textId="77777777" w:rsidR="00C43F2C" w:rsidRPr="0079300E" w:rsidRDefault="00C43F2C" w:rsidP="00C43F2C">
            <w:pPr>
              <w:keepNext/>
              <w:suppressAutoHyphens w:val="0"/>
              <w:spacing w:before="40" w:after="40" w:line="220" w:lineRule="exact"/>
              <w:ind w:right="113"/>
              <w:rPr>
                <w:sz w:val="18"/>
              </w:rPr>
            </w:pPr>
            <w:r w:rsidRPr="0079300E">
              <w:rPr>
                <w:sz w:val="18"/>
              </w:rPr>
              <w:t>White</w:t>
            </w:r>
          </w:p>
        </w:tc>
        <w:tc>
          <w:tcPr>
            <w:tcW w:w="1473" w:type="dxa"/>
            <w:tcBorders>
              <w:top w:val="nil"/>
            </w:tcBorders>
            <w:shd w:val="clear" w:color="auto" w:fill="auto"/>
            <w:vAlign w:val="bottom"/>
          </w:tcPr>
          <w:p w14:paraId="01BBB03F"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85.2</w:t>
            </w:r>
          </w:p>
        </w:tc>
        <w:tc>
          <w:tcPr>
            <w:tcW w:w="1473" w:type="dxa"/>
            <w:tcBorders>
              <w:top w:val="nil"/>
            </w:tcBorders>
            <w:shd w:val="clear" w:color="auto" w:fill="auto"/>
            <w:vAlign w:val="bottom"/>
          </w:tcPr>
          <w:p w14:paraId="18652107"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86.9</w:t>
            </w:r>
          </w:p>
        </w:tc>
        <w:tc>
          <w:tcPr>
            <w:tcW w:w="1473" w:type="dxa"/>
            <w:tcBorders>
              <w:top w:val="nil"/>
            </w:tcBorders>
            <w:shd w:val="clear" w:color="auto" w:fill="auto"/>
            <w:vAlign w:val="bottom"/>
          </w:tcPr>
          <w:p w14:paraId="7AB0CF9A"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86.9</w:t>
            </w:r>
          </w:p>
        </w:tc>
      </w:tr>
      <w:tr w:rsidR="00C43F2C" w:rsidRPr="0079300E" w14:paraId="645D4870" w14:textId="77777777" w:rsidTr="00C43F2C">
        <w:tc>
          <w:tcPr>
            <w:tcW w:w="1472" w:type="dxa"/>
            <w:shd w:val="clear" w:color="auto" w:fill="auto"/>
          </w:tcPr>
          <w:p w14:paraId="1D89B40F" w14:textId="77777777" w:rsidR="00C43F2C" w:rsidRPr="0079300E" w:rsidRDefault="00C43F2C" w:rsidP="00C43F2C">
            <w:pPr>
              <w:keepNext/>
              <w:suppressAutoHyphens w:val="0"/>
              <w:spacing w:before="40" w:after="40" w:line="220" w:lineRule="exact"/>
              <w:ind w:right="113"/>
              <w:rPr>
                <w:sz w:val="18"/>
              </w:rPr>
            </w:pPr>
          </w:p>
        </w:tc>
        <w:tc>
          <w:tcPr>
            <w:tcW w:w="1479" w:type="dxa"/>
            <w:shd w:val="clear" w:color="auto" w:fill="auto"/>
            <w:vAlign w:val="bottom"/>
          </w:tcPr>
          <w:p w14:paraId="46CD635D" w14:textId="77777777" w:rsidR="00C43F2C" w:rsidRPr="0079300E" w:rsidRDefault="00C43F2C" w:rsidP="00C43F2C">
            <w:pPr>
              <w:keepNext/>
              <w:suppressAutoHyphens w:val="0"/>
              <w:spacing w:before="40" w:after="40" w:line="220" w:lineRule="exact"/>
              <w:ind w:right="113"/>
              <w:rPr>
                <w:sz w:val="18"/>
              </w:rPr>
            </w:pPr>
            <w:r w:rsidRPr="0079300E">
              <w:rPr>
                <w:sz w:val="18"/>
              </w:rPr>
              <w:t>Afro-Brazilian</w:t>
            </w:r>
          </w:p>
        </w:tc>
        <w:tc>
          <w:tcPr>
            <w:tcW w:w="1473" w:type="dxa"/>
            <w:shd w:val="clear" w:color="auto" w:fill="auto"/>
            <w:vAlign w:val="bottom"/>
          </w:tcPr>
          <w:p w14:paraId="5069BE4D"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78.8</w:t>
            </w:r>
          </w:p>
        </w:tc>
        <w:tc>
          <w:tcPr>
            <w:tcW w:w="1473" w:type="dxa"/>
            <w:shd w:val="clear" w:color="auto" w:fill="auto"/>
            <w:vAlign w:val="bottom"/>
          </w:tcPr>
          <w:p w14:paraId="03B66FCF"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83.9</w:t>
            </w:r>
          </w:p>
        </w:tc>
        <w:tc>
          <w:tcPr>
            <w:tcW w:w="1473" w:type="dxa"/>
            <w:shd w:val="clear" w:color="auto" w:fill="auto"/>
            <w:vAlign w:val="bottom"/>
          </w:tcPr>
          <w:p w14:paraId="08EC17E4" w14:textId="77777777" w:rsidR="00C43F2C" w:rsidRPr="0079300E" w:rsidRDefault="00C43F2C" w:rsidP="00C43F2C">
            <w:pPr>
              <w:keepNext/>
              <w:suppressAutoHyphens w:val="0"/>
              <w:spacing w:before="40" w:after="40" w:line="220" w:lineRule="exact"/>
              <w:ind w:right="113"/>
              <w:jc w:val="right"/>
              <w:rPr>
                <w:sz w:val="18"/>
              </w:rPr>
            </w:pPr>
            <w:r w:rsidRPr="0079300E">
              <w:rPr>
                <w:sz w:val="18"/>
              </w:rPr>
              <w:t>83.8</w:t>
            </w:r>
          </w:p>
        </w:tc>
      </w:tr>
      <w:tr w:rsidR="00C43F2C" w:rsidRPr="0079300E" w14:paraId="4362A010" w14:textId="77777777" w:rsidTr="00C43F2C">
        <w:tc>
          <w:tcPr>
            <w:tcW w:w="1472" w:type="dxa"/>
            <w:shd w:val="clear" w:color="auto" w:fill="auto"/>
          </w:tcPr>
          <w:p w14:paraId="69B0DCE2" w14:textId="360D7352" w:rsidR="00C43F2C" w:rsidRPr="0079300E" w:rsidRDefault="00C43F2C" w:rsidP="00C43F2C">
            <w:pPr>
              <w:suppressAutoHyphens w:val="0"/>
              <w:spacing w:before="40" w:after="40" w:line="220" w:lineRule="exact"/>
              <w:ind w:right="113"/>
              <w:rPr>
                <w:sz w:val="18"/>
              </w:rPr>
            </w:pPr>
            <w:r w:rsidRPr="0079300E">
              <w:rPr>
                <w:sz w:val="18"/>
              </w:rPr>
              <w:t>18 to 24 years old</w:t>
            </w:r>
          </w:p>
        </w:tc>
        <w:tc>
          <w:tcPr>
            <w:tcW w:w="1479" w:type="dxa"/>
            <w:shd w:val="clear" w:color="auto" w:fill="auto"/>
            <w:vAlign w:val="bottom"/>
          </w:tcPr>
          <w:p w14:paraId="4116AF08" w14:textId="77777777" w:rsidR="00C43F2C" w:rsidRPr="0079300E" w:rsidRDefault="00C43F2C" w:rsidP="00C43F2C">
            <w:pPr>
              <w:suppressAutoHyphens w:val="0"/>
              <w:spacing w:before="40" w:after="40" w:line="220" w:lineRule="exact"/>
              <w:ind w:right="113"/>
              <w:rPr>
                <w:sz w:val="18"/>
              </w:rPr>
            </w:pPr>
            <w:r w:rsidRPr="0079300E">
              <w:rPr>
                <w:sz w:val="18"/>
              </w:rPr>
              <w:t>White</w:t>
            </w:r>
          </w:p>
        </w:tc>
        <w:tc>
          <w:tcPr>
            <w:tcW w:w="1473" w:type="dxa"/>
            <w:shd w:val="clear" w:color="auto" w:fill="auto"/>
            <w:vAlign w:val="bottom"/>
          </w:tcPr>
          <w:p w14:paraId="1E459316" w14:textId="77777777" w:rsidR="00C43F2C" w:rsidRPr="0079300E" w:rsidRDefault="00C43F2C" w:rsidP="00C43F2C">
            <w:pPr>
              <w:suppressAutoHyphens w:val="0"/>
              <w:spacing w:before="40" w:after="40" w:line="220" w:lineRule="exact"/>
              <w:ind w:right="113"/>
              <w:jc w:val="right"/>
              <w:rPr>
                <w:sz w:val="18"/>
              </w:rPr>
            </w:pPr>
            <w:r w:rsidRPr="0079300E">
              <w:rPr>
                <w:sz w:val="18"/>
              </w:rPr>
              <w:t>34.5</w:t>
            </w:r>
          </w:p>
        </w:tc>
        <w:tc>
          <w:tcPr>
            <w:tcW w:w="1473" w:type="dxa"/>
            <w:shd w:val="clear" w:color="auto" w:fill="auto"/>
            <w:vAlign w:val="bottom"/>
          </w:tcPr>
          <w:p w14:paraId="6E2869EA" w14:textId="77777777" w:rsidR="00C43F2C" w:rsidRPr="0079300E" w:rsidRDefault="00C43F2C" w:rsidP="00C43F2C">
            <w:pPr>
              <w:suppressAutoHyphens w:val="0"/>
              <w:spacing w:before="40" w:after="40" w:line="220" w:lineRule="exact"/>
              <w:ind w:right="113"/>
              <w:jc w:val="right"/>
              <w:rPr>
                <w:sz w:val="18"/>
              </w:rPr>
            </w:pPr>
            <w:r w:rsidRPr="0079300E">
              <w:rPr>
                <w:sz w:val="18"/>
              </w:rPr>
              <w:t>34.5</w:t>
            </w:r>
          </w:p>
        </w:tc>
        <w:tc>
          <w:tcPr>
            <w:tcW w:w="1473" w:type="dxa"/>
            <w:shd w:val="clear" w:color="auto" w:fill="auto"/>
            <w:vAlign w:val="bottom"/>
          </w:tcPr>
          <w:p w14:paraId="1F741552" w14:textId="77777777" w:rsidR="00C43F2C" w:rsidRPr="0079300E" w:rsidRDefault="00C43F2C" w:rsidP="00C43F2C">
            <w:pPr>
              <w:suppressAutoHyphens w:val="0"/>
              <w:spacing w:before="40" w:after="40" w:line="220" w:lineRule="exact"/>
              <w:ind w:right="113"/>
              <w:jc w:val="right"/>
              <w:rPr>
                <w:sz w:val="18"/>
              </w:rPr>
            </w:pPr>
            <w:r w:rsidRPr="0079300E">
              <w:rPr>
                <w:sz w:val="18"/>
              </w:rPr>
              <w:t>35.6</w:t>
            </w:r>
          </w:p>
        </w:tc>
      </w:tr>
      <w:tr w:rsidR="00C43F2C" w:rsidRPr="0079300E" w14:paraId="5451C098" w14:textId="77777777" w:rsidTr="00C43F2C">
        <w:tc>
          <w:tcPr>
            <w:tcW w:w="1472" w:type="dxa"/>
            <w:shd w:val="clear" w:color="auto" w:fill="auto"/>
          </w:tcPr>
          <w:p w14:paraId="39A36546" w14:textId="77777777" w:rsidR="00C43F2C" w:rsidRPr="0079300E" w:rsidRDefault="00C43F2C" w:rsidP="00C43F2C">
            <w:pPr>
              <w:suppressAutoHyphens w:val="0"/>
              <w:spacing w:before="40" w:after="40" w:line="220" w:lineRule="exact"/>
              <w:ind w:right="113"/>
              <w:rPr>
                <w:sz w:val="18"/>
              </w:rPr>
            </w:pPr>
          </w:p>
        </w:tc>
        <w:tc>
          <w:tcPr>
            <w:tcW w:w="1479" w:type="dxa"/>
            <w:shd w:val="clear" w:color="auto" w:fill="auto"/>
            <w:vAlign w:val="bottom"/>
          </w:tcPr>
          <w:p w14:paraId="4C70F1A4" w14:textId="77777777" w:rsidR="00C43F2C" w:rsidRPr="0079300E" w:rsidRDefault="00C43F2C" w:rsidP="00C43F2C">
            <w:pPr>
              <w:suppressAutoHyphens w:val="0"/>
              <w:spacing w:before="40" w:after="40" w:line="220" w:lineRule="exact"/>
              <w:ind w:right="113"/>
              <w:rPr>
                <w:sz w:val="18"/>
              </w:rPr>
            </w:pPr>
            <w:r w:rsidRPr="0079300E">
              <w:rPr>
                <w:sz w:val="18"/>
              </w:rPr>
              <w:t>Afro-Brazilian</w:t>
            </w:r>
          </w:p>
        </w:tc>
        <w:tc>
          <w:tcPr>
            <w:tcW w:w="1473" w:type="dxa"/>
            <w:shd w:val="clear" w:color="auto" w:fill="auto"/>
            <w:vAlign w:val="bottom"/>
          </w:tcPr>
          <w:p w14:paraId="23F2F7CC" w14:textId="77777777" w:rsidR="00C43F2C" w:rsidRPr="0079300E" w:rsidRDefault="00C43F2C" w:rsidP="00C43F2C">
            <w:pPr>
              <w:suppressAutoHyphens w:val="0"/>
              <w:spacing w:before="40" w:after="40" w:line="220" w:lineRule="exact"/>
              <w:ind w:right="113"/>
              <w:jc w:val="right"/>
              <w:rPr>
                <w:sz w:val="18"/>
              </w:rPr>
            </w:pPr>
            <w:r w:rsidRPr="0079300E">
              <w:rPr>
                <w:sz w:val="18"/>
              </w:rPr>
              <w:t>29.9</w:t>
            </w:r>
          </w:p>
        </w:tc>
        <w:tc>
          <w:tcPr>
            <w:tcW w:w="1473" w:type="dxa"/>
            <w:shd w:val="clear" w:color="auto" w:fill="auto"/>
            <w:vAlign w:val="bottom"/>
          </w:tcPr>
          <w:p w14:paraId="3B191112" w14:textId="77777777" w:rsidR="00C43F2C" w:rsidRPr="0079300E" w:rsidRDefault="00C43F2C" w:rsidP="00C43F2C">
            <w:pPr>
              <w:suppressAutoHyphens w:val="0"/>
              <w:spacing w:before="40" w:after="40" w:line="220" w:lineRule="exact"/>
              <w:ind w:right="113"/>
              <w:jc w:val="right"/>
              <w:rPr>
                <w:sz w:val="18"/>
              </w:rPr>
            </w:pPr>
            <w:r w:rsidRPr="0079300E">
              <w:rPr>
                <w:sz w:val="18"/>
              </w:rPr>
              <w:t>26.6</w:t>
            </w:r>
          </w:p>
        </w:tc>
        <w:tc>
          <w:tcPr>
            <w:tcW w:w="1473" w:type="dxa"/>
            <w:shd w:val="clear" w:color="auto" w:fill="auto"/>
            <w:vAlign w:val="bottom"/>
          </w:tcPr>
          <w:p w14:paraId="4BB0AFB6" w14:textId="77777777" w:rsidR="00C43F2C" w:rsidRPr="0079300E" w:rsidRDefault="00C43F2C" w:rsidP="00C43F2C">
            <w:pPr>
              <w:suppressAutoHyphens w:val="0"/>
              <w:spacing w:before="40" w:after="40" w:line="220" w:lineRule="exact"/>
              <w:ind w:right="113"/>
              <w:jc w:val="right"/>
              <w:rPr>
                <w:sz w:val="18"/>
              </w:rPr>
            </w:pPr>
            <w:r w:rsidRPr="0079300E">
              <w:rPr>
                <w:sz w:val="18"/>
              </w:rPr>
              <w:t>27.0</w:t>
            </w:r>
          </w:p>
        </w:tc>
      </w:tr>
    </w:tbl>
    <w:p w14:paraId="5F565B23" w14:textId="17017570" w:rsidR="00D9258C" w:rsidRPr="0062156F" w:rsidRDefault="00D9258C" w:rsidP="0062156F">
      <w:pPr>
        <w:keepNext/>
        <w:keepLines/>
        <w:spacing w:before="120" w:after="240"/>
        <w:ind w:left="1134" w:right="1134" w:firstLine="170"/>
        <w:rPr>
          <w:sz w:val="18"/>
        </w:rPr>
      </w:pPr>
      <w:r w:rsidRPr="0062156F">
        <w:rPr>
          <w:i/>
          <w:iCs/>
          <w:sz w:val="18"/>
        </w:rPr>
        <w:t>Source:</w:t>
      </w:r>
      <w:r w:rsidR="00541D05" w:rsidRPr="0062156F">
        <w:rPr>
          <w:sz w:val="18"/>
        </w:rPr>
        <w:t xml:space="preserve"> </w:t>
      </w:r>
      <w:r w:rsidR="0062156F">
        <w:rPr>
          <w:sz w:val="18"/>
        </w:rPr>
        <w:t xml:space="preserve"> </w:t>
      </w:r>
      <w:r w:rsidRPr="0062156F">
        <w:rPr>
          <w:sz w:val="18"/>
        </w:rPr>
        <w:t>IBGE/PNAD.</w:t>
      </w:r>
    </w:p>
    <w:p w14:paraId="0EF33857" w14:textId="6F7DA025" w:rsidR="00D9258C" w:rsidRPr="00FD6A6A" w:rsidRDefault="00D9258C" w:rsidP="0062156F">
      <w:pPr>
        <w:pStyle w:val="H23G"/>
      </w:pPr>
      <w:r w:rsidRPr="00FD6A6A">
        <w:tab/>
      </w:r>
      <w:r w:rsidRPr="00FD6A6A">
        <w:tab/>
        <w:t>Rate</w:t>
      </w:r>
      <w:r w:rsidR="00541D05">
        <w:t xml:space="preserve"> </w:t>
      </w:r>
      <w:r w:rsidRPr="00FD6A6A">
        <w:t>of</w:t>
      </w:r>
      <w:r w:rsidR="00541D05">
        <w:t xml:space="preserve"> </w:t>
      </w:r>
      <w:r w:rsidRPr="00FD6A6A">
        <w:t>distortion</w:t>
      </w:r>
      <w:r w:rsidR="00541D05">
        <w:t xml:space="preserve"> </w:t>
      </w:r>
      <w:r w:rsidRPr="00FD6A6A">
        <w:t>between</w:t>
      </w:r>
      <w:r w:rsidR="00541D05">
        <w:t xml:space="preserve"> </w:t>
      </w:r>
      <w:r w:rsidRPr="00FD6A6A">
        <w:t>age</w:t>
      </w:r>
      <w:r w:rsidR="00541D05">
        <w:t xml:space="preserve"> </w:t>
      </w:r>
      <w:r w:rsidRPr="00FD6A6A">
        <w:t>and</w:t>
      </w:r>
      <w:r w:rsidR="00541D05">
        <w:t xml:space="preserve"> </w:t>
      </w:r>
      <w:r w:rsidRPr="00FD6A6A">
        <w:t>grade</w:t>
      </w:r>
      <w:r w:rsidR="00541D05">
        <w:t xml:space="preserve"> </w:t>
      </w:r>
      <w:r w:rsidRPr="00FD6A6A">
        <w:t>in</w:t>
      </w:r>
      <w:r w:rsidR="00541D05">
        <w:t xml:space="preserve"> </w:t>
      </w:r>
      <w:r w:rsidRPr="00FD6A6A">
        <w:t>high</w:t>
      </w:r>
      <w:r w:rsidR="00541D05">
        <w:t xml:space="preserve"> </w:t>
      </w:r>
      <w:r w:rsidRPr="00FD6A6A">
        <w:t>school</w:t>
      </w:r>
      <w:r w:rsidR="00541D05">
        <w:t xml:space="preserve"> </w:t>
      </w:r>
      <w:r w:rsidRPr="00FD6A6A">
        <w:t>(1st</w:t>
      </w:r>
      <w:r w:rsidR="00541D05">
        <w:t xml:space="preserve"> </w:t>
      </w:r>
      <w:r w:rsidRPr="00FD6A6A">
        <w:t>to</w:t>
      </w:r>
      <w:r w:rsidR="00541D05">
        <w:t xml:space="preserve"> </w:t>
      </w:r>
      <w:r w:rsidRPr="00FD6A6A">
        <w:t>3rd</w:t>
      </w:r>
      <w:r w:rsidR="00541D05">
        <w:t xml:space="preserve"> </w:t>
      </w:r>
      <w:r w:rsidRPr="00FD6A6A">
        <w:t>year)</w:t>
      </w:r>
    </w:p>
    <w:p w14:paraId="23C5274A" w14:textId="77777777" w:rsidR="00D9258C" w:rsidRPr="00FD6A6A" w:rsidRDefault="00D9258C" w:rsidP="00FA4124">
      <w:pPr>
        <w:pStyle w:val="SingleTxtG"/>
      </w:pPr>
      <w:r w:rsidRPr="00FD6A6A">
        <w:rPr>
          <w:noProof/>
          <w:lang w:eastAsia="en-GB"/>
        </w:rPr>
        <w:drawing>
          <wp:inline distT="0" distB="0" distL="0" distR="0" wp14:anchorId="29F51D76" wp14:editId="3B7810CF">
            <wp:extent cx="4730400" cy="2853922"/>
            <wp:effectExtent l="0" t="0" r="0" b="381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5892" cy="2875335"/>
                    </a:xfrm>
                    <a:prstGeom prst="rect">
                      <a:avLst/>
                    </a:prstGeom>
                    <a:noFill/>
                    <a:ln>
                      <a:noFill/>
                    </a:ln>
                  </pic:spPr>
                </pic:pic>
              </a:graphicData>
            </a:graphic>
          </wp:inline>
        </w:drawing>
      </w:r>
    </w:p>
    <w:p w14:paraId="5D8118E0" w14:textId="0A35298F" w:rsidR="00D9258C" w:rsidRPr="00FA4124" w:rsidRDefault="00D9258C" w:rsidP="00FA4124">
      <w:pPr>
        <w:keepNext/>
        <w:keepLines/>
        <w:spacing w:before="120" w:after="240"/>
        <w:ind w:left="1134" w:right="1134" w:firstLine="170"/>
        <w:rPr>
          <w:sz w:val="18"/>
        </w:rPr>
      </w:pPr>
      <w:r w:rsidRPr="00FA4124">
        <w:rPr>
          <w:i/>
          <w:iCs/>
          <w:sz w:val="18"/>
        </w:rPr>
        <w:t>Source:</w:t>
      </w:r>
      <w:r w:rsidR="00541D05" w:rsidRPr="00FA4124">
        <w:rPr>
          <w:sz w:val="18"/>
        </w:rPr>
        <w:t xml:space="preserve"> </w:t>
      </w:r>
      <w:r w:rsidR="00FA4124">
        <w:rPr>
          <w:sz w:val="18"/>
        </w:rPr>
        <w:t xml:space="preserve"> </w:t>
      </w:r>
      <w:r w:rsidRPr="00FA4124">
        <w:rPr>
          <w:sz w:val="18"/>
        </w:rPr>
        <w:t>IBGE/PNAD.</w:t>
      </w:r>
    </w:p>
    <w:p w14:paraId="3CA41ECB" w14:textId="11AAF481" w:rsidR="00D9258C" w:rsidRPr="00FD6A6A" w:rsidRDefault="00D9258C" w:rsidP="00013D0A">
      <w:pPr>
        <w:pStyle w:val="H23G"/>
      </w:pPr>
      <w:r w:rsidRPr="00FD6A6A">
        <w:tab/>
      </w:r>
      <w:r w:rsidRPr="00FD6A6A">
        <w:tab/>
        <w:t>Proportion</w:t>
      </w:r>
      <w:r w:rsidR="00541D05">
        <w:t xml:space="preserve"> </w:t>
      </w:r>
      <w:r w:rsidRPr="00FD6A6A">
        <w:t>of</w:t>
      </w:r>
      <w:r w:rsidR="00541D05">
        <w:t xml:space="preserve"> </w:t>
      </w:r>
      <w:r w:rsidRPr="00FD6A6A">
        <w:t>individuals</w:t>
      </w:r>
      <w:r w:rsidR="00541D05">
        <w:t xml:space="preserve"> </w:t>
      </w:r>
      <w:r w:rsidRPr="00FD6A6A">
        <w:t>aged</w:t>
      </w:r>
      <w:r w:rsidR="00541D05">
        <w:t xml:space="preserve"> </w:t>
      </w:r>
      <w:r w:rsidRPr="00FD6A6A">
        <w:t>25</w:t>
      </w:r>
      <w:r w:rsidR="00541D05">
        <w:t xml:space="preserve"> </w:t>
      </w:r>
      <w:r w:rsidRPr="00FD6A6A">
        <w:t>years</w:t>
      </w:r>
      <w:r w:rsidR="00541D05">
        <w:t xml:space="preserve"> </w:t>
      </w:r>
      <w:r w:rsidRPr="00FD6A6A">
        <w:t>old</w:t>
      </w:r>
      <w:r w:rsidR="00541D05">
        <w:t xml:space="preserve"> </w:t>
      </w:r>
      <w:r w:rsidRPr="00FD6A6A">
        <w:t>or</w:t>
      </w:r>
      <w:r w:rsidR="00541D05">
        <w:t xml:space="preserve"> </w:t>
      </w:r>
      <w:r w:rsidRPr="00FD6A6A">
        <w:t>more</w:t>
      </w:r>
      <w:r w:rsidR="00541D05">
        <w:t xml:space="preserve"> </w:t>
      </w:r>
      <w:r w:rsidRPr="00FD6A6A">
        <w:t>with</w:t>
      </w:r>
      <w:r w:rsidR="00541D05">
        <w:t xml:space="preserve"> </w:t>
      </w:r>
      <w:r w:rsidRPr="00FD6A6A">
        <w:t>12</w:t>
      </w:r>
      <w:r w:rsidR="00541D05">
        <w:t xml:space="preserve"> </w:t>
      </w:r>
      <w:r w:rsidRPr="00FD6A6A">
        <w:t>years</w:t>
      </w:r>
      <w:r w:rsidR="00541D05">
        <w:t xml:space="preserve"> </w:t>
      </w:r>
      <w:r w:rsidRPr="00FD6A6A">
        <w:t>of</w:t>
      </w:r>
      <w:r w:rsidR="00541D05">
        <w:t xml:space="preserve"> </w:t>
      </w:r>
      <w:r w:rsidRPr="00FD6A6A">
        <w:t>education</w:t>
      </w:r>
      <w:r w:rsidR="00541D05">
        <w:t xml:space="preserve"> </w:t>
      </w:r>
      <w:r w:rsidRPr="00FD6A6A">
        <w:t>or</w:t>
      </w:r>
      <w:r w:rsidR="00541D05">
        <w:t xml:space="preserve"> </w:t>
      </w:r>
      <w:r w:rsidRPr="00FD6A6A">
        <w:t>more,</w:t>
      </w:r>
      <w:r w:rsidR="00541D05">
        <w:t xml:space="preserve"> </w:t>
      </w:r>
      <w:r w:rsidRPr="00FD6A6A">
        <w:t>by</w:t>
      </w:r>
      <w:r w:rsidR="00541D05">
        <w:t xml:space="preserve"> </w:t>
      </w:r>
      <w:r w:rsidRPr="00FD6A6A">
        <w:t>skin</w:t>
      </w:r>
      <w:r w:rsidR="00541D05">
        <w:t xml:space="preserve"> </w:t>
      </w:r>
      <w:r w:rsidRPr="00FD6A6A">
        <w:t>color/race,</w:t>
      </w:r>
      <w:r w:rsidR="00541D05">
        <w:t xml:space="preserve"> </w:t>
      </w:r>
      <w:r w:rsidRPr="00FD6A6A">
        <w:t>according</w:t>
      </w:r>
      <w:r w:rsidR="00541D05">
        <w:t xml:space="preserve"> </w:t>
      </w:r>
      <w:r w:rsidRPr="00FD6A6A">
        <w:t>to</w:t>
      </w:r>
      <w:r w:rsidR="00541D05">
        <w:t xml:space="preserve"> </w:t>
      </w:r>
      <w:r w:rsidRPr="00FD6A6A">
        <w:t>sex</w:t>
      </w:r>
      <w:r w:rsidR="00541D05">
        <w:t xml:space="preserve"> </w:t>
      </w:r>
      <w:r w:rsidRPr="00FD6A6A">
        <w:t>–</w:t>
      </w:r>
      <w:r w:rsidR="00541D05">
        <w:t xml:space="preserve"> </w:t>
      </w:r>
      <w:r w:rsidRPr="00FD6A6A">
        <w:t>Brazil</w:t>
      </w:r>
      <w:r w:rsidR="00541D05">
        <w:t xml:space="preserve"> </w:t>
      </w:r>
      <w:r w:rsidRPr="00FD6A6A">
        <w:t>and</w:t>
      </w:r>
      <w:r w:rsidR="00541D05">
        <w:t xml:space="preserve"> </w:t>
      </w:r>
      <w:r w:rsidRPr="00FD6A6A">
        <w:t>regions,</w:t>
      </w:r>
      <w:r w:rsidR="00541D05">
        <w:t xml:space="preserve"> </w:t>
      </w:r>
      <w:r w:rsidRPr="00FD6A6A">
        <w:t>1995</w:t>
      </w:r>
      <w:r w:rsidR="00541D05">
        <w:t xml:space="preserve"> </w:t>
      </w:r>
      <w:r w:rsidRPr="00FD6A6A">
        <w:t>to</w:t>
      </w:r>
      <w:r w:rsidR="00541D05">
        <w:t xml:space="preserve"> </w:t>
      </w:r>
      <w:r w:rsidRPr="00FD6A6A">
        <w:t>2015</w:t>
      </w:r>
    </w:p>
    <w:p w14:paraId="7F3E2E47" w14:textId="77777777" w:rsidR="00D9258C" w:rsidRPr="00FD6A6A" w:rsidRDefault="00D9258C" w:rsidP="00013D0A">
      <w:pPr>
        <w:pStyle w:val="SingleTxtG"/>
      </w:pPr>
      <w:r w:rsidRPr="00FD6A6A">
        <w:rPr>
          <w:noProof/>
          <w:lang w:eastAsia="en-GB"/>
        </w:rPr>
        <w:drawing>
          <wp:inline distT="0" distB="0" distL="0" distR="0" wp14:anchorId="08299FFB" wp14:editId="3FEB1E4D">
            <wp:extent cx="4628848" cy="2730500"/>
            <wp:effectExtent l="0" t="0" r="63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2476" cy="2744438"/>
                    </a:xfrm>
                    <a:prstGeom prst="rect">
                      <a:avLst/>
                    </a:prstGeom>
                    <a:noFill/>
                    <a:ln>
                      <a:noFill/>
                    </a:ln>
                  </pic:spPr>
                </pic:pic>
              </a:graphicData>
            </a:graphic>
          </wp:inline>
        </w:drawing>
      </w:r>
    </w:p>
    <w:p w14:paraId="0F826683" w14:textId="78B9605B" w:rsidR="00D9258C" w:rsidRPr="00A702A9" w:rsidRDefault="00D9258C" w:rsidP="00A702A9">
      <w:pPr>
        <w:keepNext/>
        <w:keepLines/>
        <w:spacing w:before="120"/>
        <w:ind w:left="1134" w:right="1134" w:firstLine="170"/>
        <w:rPr>
          <w:sz w:val="18"/>
        </w:rPr>
      </w:pPr>
      <w:r w:rsidRPr="00A702A9">
        <w:rPr>
          <w:i/>
          <w:iCs/>
          <w:sz w:val="18"/>
        </w:rPr>
        <w:t>Source:</w:t>
      </w:r>
      <w:r w:rsidR="00541D05" w:rsidRPr="00A702A9">
        <w:rPr>
          <w:sz w:val="18"/>
        </w:rPr>
        <w:t xml:space="preserve"> </w:t>
      </w:r>
      <w:r w:rsidR="00A702A9">
        <w:rPr>
          <w:sz w:val="18"/>
        </w:rPr>
        <w:t xml:space="preserve"> </w:t>
      </w:r>
      <w:r w:rsidRPr="00A702A9">
        <w:rPr>
          <w:sz w:val="18"/>
        </w:rPr>
        <w:t>IBGE/PNAD.</w:t>
      </w:r>
    </w:p>
    <w:p w14:paraId="18A367DD" w14:textId="4D4C5F27" w:rsidR="00D9258C" w:rsidRPr="00A702A9" w:rsidRDefault="00D9258C" w:rsidP="00A702A9">
      <w:pPr>
        <w:spacing w:after="240"/>
        <w:ind w:left="1134" w:right="1134" w:firstLine="170"/>
        <w:rPr>
          <w:sz w:val="18"/>
        </w:rPr>
      </w:pPr>
      <w:r w:rsidRPr="00A702A9">
        <w:rPr>
          <w:sz w:val="18"/>
        </w:rPr>
        <w:t>Prepared</w:t>
      </w:r>
      <w:r w:rsidR="00541D05" w:rsidRPr="00A702A9">
        <w:rPr>
          <w:sz w:val="18"/>
        </w:rPr>
        <w:t xml:space="preserve"> </w:t>
      </w:r>
      <w:r w:rsidRPr="00A702A9">
        <w:rPr>
          <w:sz w:val="18"/>
        </w:rPr>
        <w:t>by:</w:t>
      </w:r>
      <w:r w:rsidR="00541D05" w:rsidRPr="00A702A9">
        <w:rPr>
          <w:sz w:val="18"/>
        </w:rPr>
        <w:t xml:space="preserve"> </w:t>
      </w:r>
      <w:r w:rsidRPr="00A702A9">
        <w:rPr>
          <w:sz w:val="18"/>
        </w:rPr>
        <w:t>IPEA/DISOC.</w:t>
      </w:r>
    </w:p>
    <w:p w14:paraId="1E8A5B3A" w14:textId="02FC3E13" w:rsidR="00D9258C" w:rsidRPr="00FD6A6A" w:rsidRDefault="00D9258C" w:rsidP="006821A2">
      <w:pPr>
        <w:pStyle w:val="H23G"/>
      </w:pPr>
      <w:r w:rsidRPr="00FD6A6A">
        <w:lastRenderedPageBreak/>
        <w:tab/>
      </w:r>
      <w:r w:rsidRPr="00FD6A6A">
        <w:tab/>
        <w:t>Proportion</w:t>
      </w:r>
      <w:r w:rsidR="00541D05">
        <w:t xml:space="preserve"> </w:t>
      </w:r>
      <w:r w:rsidRPr="00FD6A6A">
        <w:t>of</w:t>
      </w:r>
      <w:r w:rsidR="00541D05">
        <w:t xml:space="preserve"> </w:t>
      </w:r>
      <w:r w:rsidRPr="00FD6A6A">
        <w:t>individuals</w:t>
      </w:r>
      <w:r w:rsidR="00541D05">
        <w:t xml:space="preserve"> </w:t>
      </w:r>
      <w:r w:rsidRPr="00FD6A6A">
        <w:t>attending</w:t>
      </w:r>
      <w:r w:rsidR="00541D05">
        <w:t xml:space="preserve"> </w:t>
      </w:r>
      <w:r w:rsidRPr="00FD6A6A">
        <w:t>a</w:t>
      </w:r>
      <w:r w:rsidR="00541D05">
        <w:t xml:space="preserve"> </w:t>
      </w:r>
      <w:r w:rsidRPr="00FD6A6A">
        <w:t>higher</w:t>
      </w:r>
      <w:r w:rsidR="00541D05">
        <w:t xml:space="preserve"> </w:t>
      </w:r>
      <w:r w:rsidRPr="00FD6A6A">
        <w:t>education</w:t>
      </w:r>
      <w:r w:rsidR="00541D05">
        <w:t xml:space="preserve"> </w:t>
      </w:r>
      <w:r w:rsidRPr="00FD6A6A">
        <w:t>course</w:t>
      </w:r>
      <w:r w:rsidR="00541D05">
        <w:t xml:space="preserve"> </w:t>
      </w:r>
      <w:r w:rsidRPr="00FD6A6A">
        <w:t>according</w:t>
      </w:r>
      <w:r w:rsidR="00541D05">
        <w:t xml:space="preserve"> </w:t>
      </w:r>
      <w:r w:rsidRPr="00FD6A6A">
        <w:t>to</w:t>
      </w:r>
      <w:r w:rsidR="00541D05">
        <w:t xml:space="preserve"> </w:t>
      </w:r>
      <w:r w:rsidRPr="00FD6A6A">
        <w:t>race/skin</w:t>
      </w:r>
      <w:r w:rsidR="00541D05">
        <w:t xml:space="preserve"> </w:t>
      </w:r>
      <w:r w:rsidRPr="00FD6A6A">
        <w:t>color</w:t>
      </w:r>
    </w:p>
    <w:p w14:paraId="3CDA7FE9" w14:textId="77777777" w:rsidR="00D9258C" w:rsidRPr="00FD6A6A" w:rsidRDefault="00D9258C" w:rsidP="006821A2">
      <w:pPr>
        <w:pStyle w:val="SingleTxtG"/>
      </w:pPr>
      <w:r w:rsidRPr="00FD6A6A">
        <w:rPr>
          <w:noProof/>
          <w:lang w:eastAsia="en-GB"/>
        </w:rPr>
        <w:drawing>
          <wp:inline distT="0" distB="0" distL="0" distR="0" wp14:anchorId="39F639B4" wp14:editId="36107E0A">
            <wp:extent cx="5342400" cy="3232151"/>
            <wp:effectExtent l="0" t="0" r="0" b="635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356" cy="3261770"/>
                    </a:xfrm>
                    <a:prstGeom prst="rect">
                      <a:avLst/>
                    </a:prstGeom>
                    <a:noFill/>
                    <a:ln>
                      <a:noFill/>
                    </a:ln>
                  </pic:spPr>
                </pic:pic>
              </a:graphicData>
            </a:graphic>
          </wp:inline>
        </w:drawing>
      </w:r>
    </w:p>
    <w:p w14:paraId="2569DE32" w14:textId="02822541" w:rsidR="00D9258C" w:rsidRPr="00632FD7" w:rsidRDefault="00D9258C" w:rsidP="00632FD7">
      <w:pPr>
        <w:keepNext/>
        <w:keepLines/>
        <w:spacing w:before="120" w:after="240"/>
        <w:ind w:left="1134" w:right="1134" w:firstLine="170"/>
        <w:rPr>
          <w:sz w:val="18"/>
        </w:rPr>
      </w:pPr>
      <w:r w:rsidRPr="00632FD7">
        <w:rPr>
          <w:i/>
          <w:iCs/>
          <w:sz w:val="18"/>
        </w:rPr>
        <w:t>Source:</w:t>
      </w:r>
      <w:r w:rsidR="00632FD7">
        <w:rPr>
          <w:sz w:val="18"/>
        </w:rPr>
        <w:t xml:space="preserve">  </w:t>
      </w:r>
      <w:r w:rsidRPr="00632FD7">
        <w:rPr>
          <w:sz w:val="18"/>
        </w:rPr>
        <w:t>IBGE/PNAD.</w:t>
      </w:r>
    </w:p>
    <w:p w14:paraId="697DE1C1" w14:textId="6DE2A808" w:rsidR="00D9258C" w:rsidRPr="00FD6A6A" w:rsidRDefault="00D9258C" w:rsidP="00A33614">
      <w:pPr>
        <w:pStyle w:val="H23G"/>
      </w:pPr>
      <w:r w:rsidRPr="00FD6A6A">
        <w:tab/>
      </w:r>
      <w:r w:rsidRPr="00FD6A6A">
        <w:tab/>
        <w:t>Scholarships</w:t>
      </w:r>
      <w:r w:rsidR="00541D05">
        <w:t xml:space="preserve"> </w:t>
      </w:r>
      <w:r w:rsidRPr="00FD6A6A">
        <w:t>granted</w:t>
      </w:r>
      <w:r w:rsidR="00541D05">
        <w:t xml:space="preserve"> </w:t>
      </w:r>
      <w:r w:rsidRPr="00FD6A6A">
        <w:t>by</w:t>
      </w:r>
      <w:r w:rsidR="00541D05">
        <w:t xml:space="preserve"> </w:t>
      </w:r>
      <w:r w:rsidRPr="00FD6A6A">
        <w:t>ProUni</w:t>
      </w:r>
      <w:r w:rsidR="00541D05">
        <w:t xml:space="preserve"> </w:t>
      </w:r>
      <w:r w:rsidRPr="00FD6A6A">
        <w:t>by</w:t>
      </w:r>
      <w:r w:rsidR="00541D05">
        <w:t xml:space="preserve"> </w:t>
      </w:r>
      <w:r w:rsidRPr="00FD6A6A">
        <w:t>skin</w:t>
      </w:r>
      <w:r w:rsidR="00541D05">
        <w:t xml:space="preserve"> </w:t>
      </w:r>
      <w:r w:rsidRPr="00FD6A6A">
        <w:t>color/race</w:t>
      </w:r>
    </w:p>
    <w:p w14:paraId="010597D6" w14:textId="77777777" w:rsidR="00A33614" w:rsidRDefault="00D9258C" w:rsidP="00A33614">
      <w:pPr>
        <w:pStyle w:val="SingleTxtG"/>
        <w:rPr>
          <w:sz w:val="18"/>
        </w:rPr>
      </w:pPr>
      <w:r w:rsidRPr="00FD6A6A">
        <w:rPr>
          <w:noProof/>
          <w:lang w:eastAsia="en-GB"/>
        </w:rPr>
        <w:drawing>
          <wp:inline distT="0" distB="0" distL="0" distR="0" wp14:anchorId="31C022B2" wp14:editId="32FFD112">
            <wp:extent cx="3981450" cy="3155950"/>
            <wp:effectExtent l="0" t="0" r="635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3155950"/>
                    </a:xfrm>
                    <a:prstGeom prst="rect">
                      <a:avLst/>
                    </a:prstGeom>
                    <a:noFill/>
                    <a:ln>
                      <a:noFill/>
                    </a:ln>
                  </pic:spPr>
                </pic:pic>
              </a:graphicData>
            </a:graphic>
          </wp:inline>
        </w:drawing>
      </w:r>
    </w:p>
    <w:p w14:paraId="5054C7E1" w14:textId="4E9E9940" w:rsidR="00D9258C" w:rsidRPr="00A33614" w:rsidRDefault="00D9258C" w:rsidP="00E846DB">
      <w:pPr>
        <w:spacing w:before="120"/>
        <w:ind w:left="1134" w:right="1134" w:firstLine="170"/>
        <w:rPr>
          <w:sz w:val="18"/>
        </w:rPr>
      </w:pPr>
      <w:r w:rsidRPr="00A33614">
        <w:rPr>
          <w:i/>
          <w:iCs/>
          <w:sz w:val="18"/>
        </w:rPr>
        <w:t>Source:</w:t>
      </w:r>
      <w:r w:rsidR="00541D05" w:rsidRPr="00A33614">
        <w:rPr>
          <w:sz w:val="18"/>
        </w:rPr>
        <w:t xml:space="preserve"> </w:t>
      </w:r>
      <w:r w:rsidR="00A33614">
        <w:rPr>
          <w:sz w:val="18"/>
        </w:rPr>
        <w:t xml:space="preserve"> </w:t>
      </w:r>
      <w:r w:rsidRPr="00A33614">
        <w:rPr>
          <w:sz w:val="18"/>
        </w:rPr>
        <w:t>ProUni</w:t>
      </w:r>
      <w:r w:rsidR="00541D05" w:rsidRPr="00A33614">
        <w:rPr>
          <w:sz w:val="18"/>
        </w:rPr>
        <w:t xml:space="preserve"> </w:t>
      </w:r>
      <w:r w:rsidRPr="00A33614">
        <w:rPr>
          <w:sz w:val="18"/>
        </w:rPr>
        <w:t>Computerized</w:t>
      </w:r>
      <w:r w:rsidR="00541D05" w:rsidRPr="00A33614">
        <w:rPr>
          <w:sz w:val="18"/>
        </w:rPr>
        <w:t xml:space="preserve"> </w:t>
      </w:r>
      <w:r w:rsidRPr="00A33614">
        <w:rPr>
          <w:sz w:val="18"/>
        </w:rPr>
        <w:t>System</w:t>
      </w:r>
      <w:r w:rsidR="00541D05" w:rsidRPr="00A33614">
        <w:rPr>
          <w:sz w:val="18"/>
        </w:rPr>
        <w:t xml:space="preserve"> </w:t>
      </w:r>
      <w:r w:rsidRPr="00A33614">
        <w:rPr>
          <w:sz w:val="18"/>
        </w:rPr>
        <w:t>(Sisprouni).</w:t>
      </w:r>
      <w:r w:rsidR="00541D05" w:rsidRPr="00A33614">
        <w:rPr>
          <w:sz w:val="18"/>
        </w:rPr>
        <w:t xml:space="preserve"> </w:t>
      </w:r>
      <w:r w:rsidRPr="00A33614">
        <w:rPr>
          <w:sz w:val="18"/>
        </w:rPr>
        <w:t>January</w:t>
      </w:r>
      <w:r w:rsidR="00541D05" w:rsidRPr="00A33614">
        <w:rPr>
          <w:sz w:val="18"/>
        </w:rPr>
        <w:t xml:space="preserve"> </w:t>
      </w:r>
      <w:r w:rsidRPr="00A33614">
        <w:rPr>
          <w:sz w:val="18"/>
        </w:rPr>
        <w:t>6,</w:t>
      </w:r>
      <w:r w:rsidR="00541D05" w:rsidRPr="00A33614">
        <w:rPr>
          <w:sz w:val="18"/>
        </w:rPr>
        <w:t xml:space="preserve"> </w:t>
      </w:r>
      <w:r w:rsidRPr="00A33614">
        <w:rPr>
          <w:sz w:val="18"/>
        </w:rPr>
        <w:t>2015.</w:t>
      </w:r>
    </w:p>
    <w:p w14:paraId="5F84DD2D" w14:textId="7843DF43" w:rsidR="00D9258C" w:rsidRPr="00E846DB" w:rsidRDefault="00D9258C" w:rsidP="00E846DB">
      <w:pPr>
        <w:spacing w:after="240"/>
        <w:ind w:left="1134" w:right="1134" w:firstLine="170"/>
        <w:rPr>
          <w:sz w:val="18"/>
        </w:rPr>
      </w:pPr>
      <w:r w:rsidRPr="00E846DB">
        <w:rPr>
          <w:sz w:val="18"/>
        </w:rPr>
        <w:t>All</w:t>
      </w:r>
      <w:r w:rsidR="00541D05" w:rsidRPr="00E846DB">
        <w:rPr>
          <w:sz w:val="18"/>
        </w:rPr>
        <w:t xml:space="preserve"> </w:t>
      </w:r>
      <w:r w:rsidRPr="00E846DB">
        <w:rPr>
          <w:sz w:val="18"/>
        </w:rPr>
        <w:t>scholarship</w:t>
      </w:r>
      <w:r w:rsidR="00541D05" w:rsidRPr="00E846DB">
        <w:rPr>
          <w:sz w:val="18"/>
        </w:rPr>
        <w:t xml:space="preserve"> </w:t>
      </w:r>
      <w:r w:rsidRPr="00E846DB">
        <w:rPr>
          <w:sz w:val="18"/>
        </w:rPr>
        <w:t>students</w:t>
      </w:r>
      <w:r w:rsidR="00541D05" w:rsidRPr="00E846DB">
        <w:rPr>
          <w:sz w:val="18"/>
        </w:rPr>
        <w:t xml:space="preserve"> </w:t>
      </w:r>
      <w:r w:rsidRPr="00E846DB">
        <w:rPr>
          <w:sz w:val="18"/>
        </w:rPr>
        <w:t>from</w:t>
      </w:r>
      <w:r w:rsidR="00541D05" w:rsidRPr="00E846DB">
        <w:rPr>
          <w:sz w:val="18"/>
        </w:rPr>
        <w:t xml:space="preserve"> </w:t>
      </w:r>
      <w:r w:rsidRPr="00E846DB">
        <w:rPr>
          <w:sz w:val="18"/>
        </w:rPr>
        <w:t>the</w:t>
      </w:r>
      <w:r w:rsidR="00541D05" w:rsidRPr="00E846DB">
        <w:rPr>
          <w:sz w:val="18"/>
        </w:rPr>
        <w:t xml:space="preserve"> </w:t>
      </w:r>
      <w:r w:rsidRPr="00E846DB">
        <w:rPr>
          <w:sz w:val="18"/>
        </w:rPr>
        <w:t>2nd</w:t>
      </w:r>
      <w:r w:rsidR="00541D05" w:rsidRPr="00E846DB">
        <w:rPr>
          <w:sz w:val="18"/>
        </w:rPr>
        <w:t xml:space="preserve"> </w:t>
      </w:r>
      <w:r w:rsidRPr="00E846DB">
        <w:rPr>
          <w:sz w:val="18"/>
        </w:rPr>
        <w:t>semester</w:t>
      </w:r>
      <w:r w:rsidR="00541D05" w:rsidRPr="00E846DB">
        <w:rPr>
          <w:sz w:val="18"/>
        </w:rPr>
        <w:t xml:space="preserve"> </w:t>
      </w:r>
      <w:r w:rsidRPr="00E846DB">
        <w:rPr>
          <w:sz w:val="18"/>
        </w:rPr>
        <w:t>of</w:t>
      </w:r>
      <w:r w:rsidR="00541D05" w:rsidRPr="00E846DB">
        <w:rPr>
          <w:sz w:val="18"/>
        </w:rPr>
        <w:t xml:space="preserve"> </w:t>
      </w:r>
      <w:r w:rsidRPr="00E846DB">
        <w:rPr>
          <w:sz w:val="18"/>
        </w:rPr>
        <w:t>2005</w:t>
      </w:r>
      <w:r w:rsidR="00541D05" w:rsidRPr="00E846DB">
        <w:rPr>
          <w:sz w:val="18"/>
        </w:rPr>
        <w:t xml:space="preserve"> </w:t>
      </w:r>
      <w:r w:rsidRPr="00E846DB">
        <w:rPr>
          <w:sz w:val="18"/>
        </w:rPr>
        <w:t>to</w:t>
      </w:r>
      <w:r w:rsidR="00541D05" w:rsidRPr="00E846DB">
        <w:rPr>
          <w:sz w:val="18"/>
        </w:rPr>
        <w:t xml:space="preserve"> </w:t>
      </w:r>
      <w:r w:rsidRPr="00E846DB">
        <w:rPr>
          <w:sz w:val="18"/>
        </w:rPr>
        <w:t>2014,</w:t>
      </w:r>
      <w:r w:rsidR="00541D05" w:rsidRPr="00E846DB">
        <w:rPr>
          <w:sz w:val="18"/>
        </w:rPr>
        <w:t xml:space="preserve"> </w:t>
      </w:r>
      <w:r w:rsidRPr="00E846DB">
        <w:rPr>
          <w:sz w:val="18"/>
        </w:rPr>
        <w:t>totaling</w:t>
      </w:r>
      <w:r w:rsidR="00541D05" w:rsidRPr="00E846DB">
        <w:rPr>
          <w:sz w:val="18"/>
        </w:rPr>
        <w:t xml:space="preserve"> </w:t>
      </w:r>
      <w:r w:rsidRPr="00E846DB">
        <w:rPr>
          <w:sz w:val="18"/>
        </w:rPr>
        <w:t>1,497,225</w:t>
      </w:r>
      <w:r w:rsidR="00541D05" w:rsidRPr="00E846DB">
        <w:rPr>
          <w:sz w:val="18"/>
        </w:rPr>
        <w:t xml:space="preserve"> </w:t>
      </w:r>
      <w:r w:rsidRPr="00E846DB">
        <w:rPr>
          <w:sz w:val="18"/>
        </w:rPr>
        <w:t>granted</w:t>
      </w:r>
      <w:r w:rsidR="00541D05" w:rsidRPr="00E846DB">
        <w:rPr>
          <w:sz w:val="18"/>
        </w:rPr>
        <w:t xml:space="preserve"> </w:t>
      </w:r>
      <w:r w:rsidRPr="00E846DB">
        <w:rPr>
          <w:sz w:val="18"/>
        </w:rPr>
        <w:t>scholarships.</w:t>
      </w:r>
    </w:p>
    <w:p w14:paraId="5877AC1D" w14:textId="3F175669" w:rsidR="00D9258C" w:rsidRPr="00FD6A6A" w:rsidRDefault="00D9258C" w:rsidP="00A33614">
      <w:pPr>
        <w:pStyle w:val="H23G"/>
      </w:pPr>
      <w:r w:rsidRPr="00FD6A6A">
        <w:lastRenderedPageBreak/>
        <w:tab/>
      </w:r>
      <w:r w:rsidRPr="00FD6A6A">
        <w:tab/>
        <w:t>Granted</w:t>
      </w:r>
      <w:r w:rsidR="00541D05">
        <w:t xml:space="preserve"> </w:t>
      </w:r>
      <w:r w:rsidRPr="00FD6A6A">
        <w:t>ProUni</w:t>
      </w:r>
      <w:r w:rsidR="00541D05">
        <w:t xml:space="preserve"> </w:t>
      </w:r>
      <w:r w:rsidRPr="00FD6A6A">
        <w:t>scholarships</w:t>
      </w:r>
      <w:r w:rsidR="00541D05">
        <w:t xml:space="preserve"> </w:t>
      </w:r>
    </w:p>
    <w:p w14:paraId="0212AA7B" w14:textId="77777777" w:rsidR="00D9258C" w:rsidRPr="00FD6A6A" w:rsidRDefault="00D9258C" w:rsidP="00A33614">
      <w:pPr>
        <w:pStyle w:val="SingleTxtG"/>
      </w:pPr>
      <w:r w:rsidRPr="00FD6A6A">
        <w:rPr>
          <w:noProof/>
          <w:lang w:eastAsia="en-GB"/>
        </w:rPr>
        <w:drawing>
          <wp:inline distT="0" distB="0" distL="0" distR="0" wp14:anchorId="1B04612E" wp14:editId="1210D9AF">
            <wp:extent cx="5040000" cy="3160979"/>
            <wp:effectExtent l="0" t="0" r="8255"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78943" cy="3185404"/>
                    </a:xfrm>
                    <a:prstGeom prst="rect">
                      <a:avLst/>
                    </a:prstGeom>
                  </pic:spPr>
                </pic:pic>
              </a:graphicData>
            </a:graphic>
          </wp:inline>
        </w:drawing>
      </w:r>
    </w:p>
    <w:p w14:paraId="2122F146" w14:textId="681F03F2" w:rsidR="00D9258C" w:rsidRPr="00F26D64" w:rsidRDefault="00D9258C" w:rsidP="00F26D64">
      <w:pPr>
        <w:keepNext/>
        <w:keepLines/>
        <w:spacing w:before="120" w:after="240"/>
        <w:ind w:left="1134" w:right="1134" w:firstLine="170"/>
        <w:rPr>
          <w:sz w:val="18"/>
        </w:rPr>
      </w:pPr>
      <w:r w:rsidRPr="00F26D64">
        <w:rPr>
          <w:i/>
          <w:iCs/>
          <w:sz w:val="18"/>
        </w:rPr>
        <w:t>Source:</w:t>
      </w:r>
      <w:r w:rsidR="00541D05" w:rsidRPr="00F26D64">
        <w:rPr>
          <w:sz w:val="18"/>
        </w:rPr>
        <w:t xml:space="preserve"> </w:t>
      </w:r>
      <w:r w:rsidR="00F26D64">
        <w:rPr>
          <w:sz w:val="18"/>
        </w:rPr>
        <w:t xml:space="preserve"> </w:t>
      </w:r>
      <w:r w:rsidRPr="00F26D64">
        <w:rPr>
          <w:sz w:val="18"/>
        </w:rPr>
        <w:t>Office</w:t>
      </w:r>
      <w:r w:rsidR="00541D05" w:rsidRPr="00F26D64">
        <w:rPr>
          <w:sz w:val="18"/>
        </w:rPr>
        <w:t xml:space="preserve"> </w:t>
      </w:r>
      <w:r w:rsidRPr="00F26D64">
        <w:rPr>
          <w:sz w:val="18"/>
        </w:rPr>
        <w:t>of</w:t>
      </w:r>
      <w:r w:rsidR="00541D05" w:rsidRPr="00F26D64">
        <w:rPr>
          <w:sz w:val="18"/>
        </w:rPr>
        <w:t xml:space="preserve"> </w:t>
      </w:r>
      <w:r w:rsidRPr="00F26D64">
        <w:rPr>
          <w:sz w:val="18"/>
        </w:rPr>
        <w:t>Higher</w:t>
      </w:r>
      <w:r w:rsidR="00541D05" w:rsidRPr="00F26D64">
        <w:rPr>
          <w:sz w:val="18"/>
        </w:rPr>
        <w:t xml:space="preserve"> </w:t>
      </w:r>
      <w:r w:rsidRPr="00F26D64">
        <w:rPr>
          <w:sz w:val="18"/>
        </w:rPr>
        <w:t>Education</w:t>
      </w:r>
      <w:r w:rsidR="00541D05" w:rsidRPr="00F26D64">
        <w:rPr>
          <w:sz w:val="18"/>
        </w:rPr>
        <w:t xml:space="preserve"> </w:t>
      </w:r>
      <w:r w:rsidRPr="00F26D64">
        <w:rPr>
          <w:sz w:val="18"/>
        </w:rPr>
        <w:t>(Sesu)/MEC.</w:t>
      </w:r>
    </w:p>
    <w:p w14:paraId="548ED3F0" w14:textId="693129AE" w:rsidR="00D9258C" w:rsidRPr="00FD6A6A" w:rsidRDefault="00D9258C" w:rsidP="00F26D64">
      <w:pPr>
        <w:pStyle w:val="H23G"/>
      </w:pPr>
      <w:r w:rsidRPr="00FD6A6A">
        <w:tab/>
      </w:r>
      <w:r w:rsidRPr="00FD6A6A">
        <w:tab/>
        <w:t>Proportion</w:t>
      </w:r>
      <w:r w:rsidR="00541D05">
        <w:t xml:space="preserve"> </w:t>
      </w:r>
      <w:r w:rsidRPr="00FD6A6A">
        <w:t>of</w:t>
      </w:r>
      <w:r w:rsidR="00541D05">
        <w:t xml:space="preserve"> </w:t>
      </w:r>
      <w:r w:rsidRPr="00FD6A6A">
        <w:t>individuals</w:t>
      </w:r>
      <w:r w:rsidR="00541D05">
        <w:t xml:space="preserve"> </w:t>
      </w:r>
      <w:r w:rsidRPr="00FD6A6A">
        <w:t>attending</w:t>
      </w:r>
      <w:r w:rsidR="00541D05">
        <w:t xml:space="preserve"> </w:t>
      </w:r>
      <w:r w:rsidRPr="00FD6A6A">
        <w:t>higher</w:t>
      </w:r>
      <w:r w:rsidR="00541D05">
        <w:t xml:space="preserve"> </w:t>
      </w:r>
      <w:r w:rsidRPr="00FD6A6A">
        <w:t>education</w:t>
      </w:r>
      <w:r w:rsidR="00541D05">
        <w:t xml:space="preserve"> </w:t>
      </w:r>
      <w:r w:rsidRPr="00FD6A6A">
        <w:t>in</w:t>
      </w:r>
      <w:r w:rsidR="00541D05">
        <w:t xml:space="preserve"> </w:t>
      </w:r>
      <w:r w:rsidRPr="00FD6A6A">
        <w:t>a</w:t>
      </w:r>
      <w:r w:rsidR="00541D05">
        <w:t xml:space="preserve"> </w:t>
      </w:r>
      <w:r w:rsidRPr="00FD6A6A">
        <w:t>public</w:t>
      </w:r>
      <w:r w:rsidR="00541D05">
        <w:t xml:space="preserve"> </w:t>
      </w:r>
      <w:r w:rsidRPr="00FD6A6A">
        <w:t>institution</w:t>
      </w:r>
      <w:r w:rsidR="00541D05">
        <w:t xml:space="preserve"> </w:t>
      </w:r>
      <w:r w:rsidRPr="00FD6A6A">
        <w:t>according</w:t>
      </w:r>
      <w:r w:rsidR="00541D05">
        <w:t xml:space="preserve"> </w:t>
      </w:r>
      <w:r w:rsidRPr="00FD6A6A">
        <w:t>to</w:t>
      </w:r>
      <w:r w:rsidR="00541D05">
        <w:t xml:space="preserve"> </w:t>
      </w:r>
      <w:r w:rsidRPr="00FD6A6A">
        <w:t>skin</w:t>
      </w:r>
      <w:r w:rsidR="00541D05">
        <w:t xml:space="preserve"> </w:t>
      </w:r>
      <w:r w:rsidRPr="00FD6A6A">
        <w:t>color/race</w:t>
      </w:r>
    </w:p>
    <w:p w14:paraId="06656FF0" w14:textId="77777777" w:rsidR="00D9258C" w:rsidRPr="00FD6A6A" w:rsidRDefault="00D9258C" w:rsidP="00897014">
      <w:pPr>
        <w:pStyle w:val="SingleTxtG"/>
      </w:pPr>
      <w:r w:rsidRPr="00897014">
        <w:rPr>
          <w:noProof/>
          <w:lang w:eastAsia="en-GB"/>
        </w:rPr>
        <w:drawing>
          <wp:inline distT="0" distB="0" distL="0" distR="0" wp14:anchorId="2B7BDC5A" wp14:editId="49C13100">
            <wp:extent cx="5450400" cy="30607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1507" cy="3078168"/>
                    </a:xfrm>
                    <a:prstGeom prst="rect">
                      <a:avLst/>
                    </a:prstGeom>
                    <a:noFill/>
                    <a:ln>
                      <a:noFill/>
                    </a:ln>
                  </pic:spPr>
                </pic:pic>
              </a:graphicData>
            </a:graphic>
          </wp:inline>
        </w:drawing>
      </w:r>
    </w:p>
    <w:p w14:paraId="7C84042E" w14:textId="569FA77E" w:rsidR="00D9258C" w:rsidRPr="00FD6A6A" w:rsidRDefault="00D9258C" w:rsidP="006D70C7">
      <w:pPr>
        <w:spacing w:before="120" w:after="240"/>
        <w:ind w:left="1134" w:right="1134" w:firstLine="170"/>
      </w:pPr>
      <w:r w:rsidRPr="00897014">
        <w:rPr>
          <w:i/>
          <w:iCs/>
          <w:sz w:val="18"/>
        </w:rPr>
        <w:t>Source:</w:t>
      </w:r>
      <w:r w:rsidR="00541D05" w:rsidRPr="00897014">
        <w:rPr>
          <w:sz w:val="18"/>
        </w:rPr>
        <w:t xml:space="preserve"> </w:t>
      </w:r>
      <w:r w:rsidR="00897014">
        <w:rPr>
          <w:sz w:val="18"/>
        </w:rPr>
        <w:t xml:space="preserve"> </w:t>
      </w:r>
      <w:r w:rsidRPr="00897014">
        <w:rPr>
          <w:sz w:val="18"/>
        </w:rPr>
        <w:t>IBGE/PNAD.</w:t>
      </w:r>
    </w:p>
    <w:p w14:paraId="198135EA" w14:textId="0E265ADC" w:rsidR="00D9258C" w:rsidRPr="00FD6A6A" w:rsidRDefault="00D9258C" w:rsidP="006D70C7">
      <w:pPr>
        <w:pStyle w:val="H23G"/>
        <w:keepNext w:val="0"/>
        <w:keepLines w:val="0"/>
      </w:pPr>
      <w:r w:rsidRPr="00FD6A6A">
        <w:tab/>
      </w:r>
      <w:r w:rsidRPr="00FD6A6A">
        <w:tab/>
        <w:t>Subnormal</w:t>
      </w:r>
      <w:r w:rsidR="00541D05">
        <w:t xml:space="preserve"> </w:t>
      </w:r>
      <w:r w:rsidRPr="00FD6A6A">
        <w:t>Agglomerations</w:t>
      </w:r>
      <w:r w:rsidR="00541D05">
        <w:t xml:space="preserve"> </w:t>
      </w:r>
      <w:r w:rsidRPr="00FD6A6A">
        <w:t>in</w:t>
      </w:r>
      <w:r w:rsidR="00541D05">
        <w:t xml:space="preserve"> </w:t>
      </w:r>
      <w:r w:rsidRPr="00FD6A6A">
        <w:t>Brazil</w:t>
      </w:r>
      <w:r w:rsidR="00541D05">
        <w:t xml:space="preserve"> </w:t>
      </w:r>
      <w:r w:rsidRPr="00FD6A6A">
        <w:t>by</w:t>
      </w:r>
      <w:r w:rsidR="00541D05">
        <w:t xml:space="preserve"> </w:t>
      </w:r>
      <w:r w:rsidRPr="00FD6A6A">
        <w:t>race/skin</w:t>
      </w:r>
      <w:r w:rsidR="00541D05">
        <w:t xml:space="preserve"> </w:t>
      </w:r>
      <w:r w:rsidRPr="00FD6A6A">
        <w:t>color</w:t>
      </w:r>
      <w:r w:rsidR="00541D05">
        <w:t xml:space="preserve"> </w:t>
      </w:r>
      <w:r w:rsidRPr="00FD6A6A">
        <w:t>(2010)</w:t>
      </w:r>
      <w:r w:rsidRPr="00E846DB">
        <w:rPr>
          <w:b w:val="0"/>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70"/>
        <w:gridCol w:w="1273"/>
        <w:gridCol w:w="1324"/>
        <w:gridCol w:w="1203"/>
      </w:tblGrid>
      <w:tr w:rsidR="00D9258C" w:rsidRPr="006D70C7" w14:paraId="2C6650F0" w14:textId="77777777" w:rsidTr="006D70C7">
        <w:trPr>
          <w:tblHeader/>
        </w:trPr>
        <w:tc>
          <w:tcPr>
            <w:tcW w:w="3570" w:type="dxa"/>
            <w:tcBorders>
              <w:top w:val="single" w:sz="4" w:space="0" w:color="auto"/>
              <w:bottom w:val="single" w:sz="12" w:space="0" w:color="auto"/>
            </w:tcBorders>
            <w:shd w:val="clear" w:color="auto" w:fill="auto"/>
            <w:vAlign w:val="bottom"/>
          </w:tcPr>
          <w:p w14:paraId="0CFE2183" w14:textId="56B4CBEE" w:rsidR="00D9258C" w:rsidRPr="006D70C7" w:rsidRDefault="00D9258C" w:rsidP="006D70C7">
            <w:pPr>
              <w:suppressAutoHyphens w:val="0"/>
              <w:spacing w:before="80" w:after="80" w:line="200" w:lineRule="exact"/>
              <w:ind w:right="113"/>
              <w:rPr>
                <w:i/>
                <w:sz w:val="16"/>
              </w:rPr>
            </w:pPr>
            <w:r w:rsidRPr="006D70C7">
              <w:rPr>
                <w:i/>
                <w:sz w:val="16"/>
              </w:rPr>
              <w:t>Infrastructure</w:t>
            </w:r>
            <w:r w:rsidR="00541D05" w:rsidRPr="006D70C7">
              <w:rPr>
                <w:i/>
                <w:sz w:val="16"/>
              </w:rPr>
              <w:t xml:space="preserve"> </w:t>
            </w:r>
            <w:r w:rsidRPr="006D70C7">
              <w:rPr>
                <w:i/>
                <w:sz w:val="16"/>
              </w:rPr>
              <w:t>service</w:t>
            </w:r>
          </w:p>
        </w:tc>
        <w:tc>
          <w:tcPr>
            <w:tcW w:w="1273" w:type="dxa"/>
            <w:tcBorders>
              <w:top w:val="single" w:sz="4" w:space="0" w:color="auto"/>
              <w:bottom w:val="single" w:sz="12" w:space="0" w:color="auto"/>
            </w:tcBorders>
            <w:shd w:val="clear" w:color="auto" w:fill="auto"/>
            <w:vAlign w:val="bottom"/>
          </w:tcPr>
          <w:p w14:paraId="0C58475B" w14:textId="77777777" w:rsidR="00D9258C" w:rsidRPr="006D70C7" w:rsidRDefault="00D9258C" w:rsidP="006D70C7">
            <w:pPr>
              <w:suppressAutoHyphens w:val="0"/>
              <w:spacing w:before="80" w:after="80" w:line="200" w:lineRule="exact"/>
              <w:ind w:right="113"/>
              <w:jc w:val="right"/>
              <w:rPr>
                <w:i/>
                <w:sz w:val="16"/>
              </w:rPr>
            </w:pPr>
            <w:r w:rsidRPr="006D70C7">
              <w:rPr>
                <w:i/>
                <w:sz w:val="16"/>
              </w:rPr>
              <w:t>White</w:t>
            </w:r>
          </w:p>
        </w:tc>
        <w:tc>
          <w:tcPr>
            <w:tcW w:w="1324" w:type="dxa"/>
            <w:tcBorders>
              <w:top w:val="single" w:sz="4" w:space="0" w:color="auto"/>
              <w:bottom w:val="single" w:sz="12" w:space="0" w:color="auto"/>
            </w:tcBorders>
            <w:shd w:val="clear" w:color="auto" w:fill="auto"/>
            <w:vAlign w:val="bottom"/>
          </w:tcPr>
          <w:p w14:paraId="31B61A58" w14:textId="77777777" w:rsidR="00D9258C" w:rsidRPr="006D70C7" w:rsidRDefault="00D9258C" w:rsidP="006D70C7">
            <w:pPr>
              <w:suppressAutoHyphens w:val="0"/>
              <w:spacing w:before="80" w:after="80" w:line="200" w:lineRule="exact"/>
              <w:ind w:right="113"/>
              <w:jc w:val="right"/>
              <w:rPr>
                <w:i/>
                <w:sz w:val="16"/>
              </w:rPr>
            </w:pPr>
            <w:r w:rsidRPr="006D70C7">
              <w:rPr>
                <w:i/>
                <w:sz w:val="16"/>
              </w:rPr>
              <w:t>Afro-Brazilian</w:t>
            </w:r>
          </w:p>
        </w:tc>
        <w:tc>
          <w:tcPr>
            <w:tcW w:w="1203" w:type="dxa"/>
            <w:tcBorders>
              <w:top w:val="single" w:sz="4" w:space="0" w:color="auto"/>
              <w:bottom w:val="single" w:sz="12" w:space="0" w:color="auto"/>
            </w:tcBorders>
            <w:shd w:val="clear" w:color="auto" w:fill="auto"/>
            <w:vAlign w:val="bottom"/>
          </w:tcPr>
          <w:p w14:paraId="321D62DC" w14:textId="77777777" w:rsidR="00D9258C" w:rsidRPr="006D70C7" w:rsidRDefault="00D9258C" w:rsidP="006D70C7">
            <w:pPr>
              <w:suppressAutoHyphens w:val="0"/>
              <w:spacing w:before="80" w:after="80" w:line="200" w:lineRule="exact"/>
              <w:ind w:right="113"/>
              <w:jc w:val="right"/>
              <w:rPr>
                <w:i/>
                <w:sz w:val="16"/>
              </w:rPr>
            </w:pPr>
            <w:r w:rsidRPr="006D70C7">
              <w:rPr>
                <w:i/>
                <w:sz w:val="16"/>
              </w:rPr>
              <w:t>Total</w:t>
            </w:r>
          </w:p>
        </w:tc>
      </w:tr>
      <w:tr w:rsidR="00D9258C" w:rsidRPr="006D70C7" w14:paraId="2B99A310" w14:textId="77777777" w:rsidTr="006D70C7">
        <w:tc>
          <w:tcPr>
            <w:tcW w:w="3570" w:type="dxa"/>
            <w:shd w:val="clear" w:color="auto" w:fill="auto"/>
          </w:tcPr>
          <w:p w14:paraId="7DF89744" w14:textId="52D3CB5E"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wheelchair</w:t>
            </w:r>
            <w:r w:rsidR="00541D05" w:rsidRPr="006D70C7">
              <w:rPr>
                <w:sz w:val="18"/>
              </w:rPr>
              <w:t xml:space="preserve"> </w:t>
            </w:r>
            <w:r w:rsidRPr="006D70C7">
              <w:rPr>
                <w:sz w:val="18"/>
              </w:rPr>
              <w:t>ramp</w:t>
            </w:r>
          </w:p>
        </w:tc>
        <w:tc>
          <w:tcPr>
            <w:tcW w:w="1273" w:type="dxa"/>
            <w:shd w:val="clear" w:color="auto" w:fill="auto"/>
            <w:vAlign w:val="bottom"/>
          </w:tcPr>
          <w:p w14:paraId="44D0162C" w14:textId="77777777" w:rsidR="00D9258C" w:rsidRPr="006D70C7" w:rsidRDefault="00D9258C" w:rsidP="006D70C7">
            <w:pPr>
              <w:suppressAutoHyphens w:val="0"/>
              <w:spacing w:before="40" w:after="40" w:line="220" w:lineRule="exact"/>
              <w:ind w:right="113"/>
              <w:jc w:val="right"/>
              <w:rPr>
                <w:sz w:val="18"/>
              </w:rPr>
            </w:pPr>
            <w:r w:rsidRPr="006D70C7">
              <w:rPr>
                <w:sz w:val="18"/>
              </w:rPr>
              <w:t>30.71%</w:t>
            </w:r>
          </w:p>
        </w:tc>
        <w:tc>
          <w:tcPr>
            <w:tcW w:w="1324" w:type="dxa"/>
            <w:shd w:val="clear" w:color="auto" w:fill="auto"/>
            <w:vAlign w:val="bottom"/>
          </w:tcPr>
          <w:p w14:paraId="7DEF633B" w14:textId="77777777" w:rsidR="00D9258C" w:rsidRPr="006D70C7" w:rsidRDefault="00D9258C" w:rsidP="006D70C7">
            <w:pPr>
              <w:suppressAutoHyphens w:val="0"/>
              <w:spacing w:before="40" w:after="40" w:line="220" w:lineRule="exact"/>
              <w:ind w:right="113"/>
              <w:jc w:val="right"/>
              <w:rPr>
                <w:sz w:val="18"/>
              </w:rPr>
            </w:pPr>
            <w:r w:rsidRPr="006D70C7">
              <w:rPr>
                <w:sz w:val="18"/>
              </w:rPr>
              <w:t>68.11%</w:t>
            </w:r>
          </w:p>
        </w:tc>
        <w:tc>
          <w:tcPr>
            <w:tcW w:w="1203" w:type="dxa"/>
            <w:shd w:val="clear" w:color="auto" w:fill="auto"/>
            <w:vAlign w:val="bottom"/>
          </w:tcPr>
          <w:p w14:paraId="63BED90D" w14:textId="77777777" w:rsidR="00D9258C" w:rsidRPr="006D70C7" w:rsidRDefault="00D9258C" w:rsidP="006D70C7">
            <w:pPr>
              <w:suppressAutoHyphens w:val="0"/>
              <w:spacing w:before="40" w:after="40" w:line="220" w:lineRule="exact"/>
              <w:ind w:right="113"/>
              <w:jc w:val="right"/>
              <w:rPr>
                <w:sz w:val="18"/>
              </w:rPr>
            </w:pPr>
            <w:r w:rsidRPr="006D70C7">
              <w:rPr>
                <w:sz w:val="18"/>
              </w:rPr>
              <w:t>6,334,872</w:t>
            </w:r>
          </w:p>
        </w:tc>
      </w:tr>
      <w:tr w:rsidR="00D9258C" w:rsidRPr="006D70C7" w14:paraId="15198173" w14:textId="77777777" w:rsidTr="006D70C7">
        <w:tc>
          <w:tcPr>
            <w:tcW w:w="3570" w:type="dxa"/>
            <w:shd w:val="clear" w:color="auto" w:fill="auto"/>
          </w:tcPr>
          <w:p w14:paraId="40116066" w14:textId="49B9F705"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storm</w:t>
            </w:r>
            <w:r w:rsidR="00541D05" w:rsidRPr="006D70C7">
              <w:rPr>
                <w:sz w:val="18"/>
              </w:rPr>
              <w:t xml:space="preserve"> </w:t>
            </w:r>
            <w:r w:rsidRPr="006D70C7">
              <w:rPr>
                <w:sz w:val="18"/>
              </w:rPr>
              <w:t>drain</w:t>
            </w:r>
          </w:p>
        </w:tc>
        <w:tc>
          <w:tcPr>
            <w:tcW w:w="1273" w:type="dxa"/>
            <w:shd w:val="clear" w:color="auto" w:fill="auto"/>
            <w:vAlign w:val="bottom"/>
          </w:tcPr>
          <w:p w14:paraId="75ABFCBF" w14:textId="77777777" w:rsidR="00D9258C" w:rsidRPr="006D70C7" w:rsidRDefault="00D9258C" w:rsidP="006D70C7">
            <w:pPr>
              <w:suppressAutoHyphens w:val="0"/>
              <w:spacing w:before="40" w:after="40" w:line="220" w:lineRule="exact"/>
              <w:ind w:right="113"/>
              <w:jc w:val="right"/>
              <w:rPr>
                <w:sz w:val="18"/>
              </w:rPr>
            </w:pPr>
            <w:r w:rsidRPr="006D70C7">
              <w:rPr>
                <w:sz w:val="18"/>
              </w:rPr>
              <w:t>28.94%</w:t>
            </w:r>
          </w:p>
        </w:tc>
        <w:tc>
          <w:tcPr>
            <w:tcW w:w="1324" w:type="dxa"/>
            <w:shd w:val="clear" w:color="auto" w:fill="auto"/>
            <w:vAlign w:val="bottom"/>
          </w:tcPr>
          <w:p w14:paraId="620C2777" w14:textId="77777777" w:rsidR="00D9258C" w:rsidRPr="006D70C7" w:rsidRDefault="00D9258C" w:rsidP="006D70C7">
            <w:pPr>
              <w:suppressAutoHyphens w:val="0"/>
              <w:spacing w:before="40" w:after="40" w:line="220" w:lineRule="exact"/>
              <w:ind w:right="113"/>
              <w:jc w:val="right"/>
              <w:rPr>
                <w:sz w:val="18"/>
              </w:rPr>
            </w:pPr>
            <w:r w:rsidRPr="006D70C7">
              <w:rPr>
                <w:sz w:val="18"/>
              </w:rPr>
              <w:t>69.81%</w:t>
            </w:r>
          </w:p>
        </w:tc>
        <w:tc>
          <w:tcPr>
            <w:tcW w:w="1203" w:type="dxa"/>
            <w:shd w:val="clear" w:color="auto" w:fill="auto"/>
            <w:vAlign w:val="bottom"/>
          </w:tcPr>
          <w:p w14:paraId="0752F8A5" w14:textId="77777777" w:rsidR="00D9258C" w:rsidRPr="006D70C7" w:rsidRDefault="00D9258C" w:rsidP="006D70C7">
            <w:pPr>
              <w:suppressAutoHyphens w:val="0"/>
              <w:spacing w:before="40" w:after="40" w:line="220" w:lineRule="exact"/>
              <w:ind w:right="113"/>
              <w:jc w:val="right"/>
              <w:rPr>
                <w:sz w:val="18"/>
              </w:rPr>
            </w:pPr>
            <w:r w:rsidRPr="006D70C7">
              <w:rPr>
                <w:sz w:val="18"/>
              </w:rPr>
              <w:t>4,468,459</w:t>
            </w:r>
          </w:p>
        </w:tc>
      </w:tr>
      <w:tr w:rsidR="00D9258C" w:rsidRPr="006D70C7" w14:paraId="0085332D" w14:textId="77777777" w:rsidTr="006D70C7">
        <w:tc>
          <w:tcPr>
            <w:tcW w:w="3570" w:type="dxa"/>
            <w:tcBorders>
              <w:bottom w:val="nil"/>
            </w:tcBorders>
            <w:shd w:val="clear" w:color="auto" w:fill="auto"/>
          </w:tcPr>
          <w:p w14:paraId="0E87D267" w14:textId="6CC87014"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afforestation</w:t>
            </w:r>
          </w:p>
        </w:tc>
        <w:tc>
          <w:tcPr>
            <w:tcW w:w="1273" w:type="dxa"/>
            <w:tcBorders>
              <w:bottom w:val="nil"/>
            </w:tcBorders>
            <w:shd w:val="clear" w:color="auto" w:fill="auto"/>
            <w:vAlign w:val="bottom"/>
          </w:tcPr>
          <w:p w14:paraId="0B9F60AF" w14:textId="77777777" w:rsidR="00D9258C" w:rsidRPr="006D70C7" w:rsidRDefault="00D9258C" w:rsidP="006D70C7">
            <w:pPr>
              <w:suppressAutoHyphens w:val="0"/>
              <w:spacing w:before="40" w:after="40" w:line="220" w:lineRule="exact"/>
              <w:ind w:right="113"/>
              <w:jc w:val="right"/>
              <w:rPr>
                <w:sz w:val="18"/>
              </w:rPr>
            </w:pPr>
            <w:r w:rsidRPr="006D70C7">
              <w:rPr>
                <w:sz w:val="18"/>
              </w:rPr>
              <w:t>29.23%</w:t>
            </w:r>
          </w:p>
        </w:tc>
        <w:tc>
          <w:tcPr>
            <w:tcW w:w="1324" w:type="dxa"/>
            <w:tcBorders>
              <w:bottom w:val="nil"/>
            </w:tcBorders>
            <w:shd w:val="clear" w:color="auto" w:fill="auto"/>
            <w:vAlign w:val="bottom"/>
          </w:tcPr>
          <w:p w14:paraId="7C4CD3F1" w14:textId="77777777" w:rsidR="00D9258C" w:rsidRPr="006D70C7" w:rsidRDefault="00D9258C" w:rsidP="006D70C7">
            <w:pPr>
              <w:suppressAutoHyphens w:val="0"/>
              <w:spacing w:before="40" w:after="40" w:line="220" w:lineRule="exact"/>
              <w:ind w:right="113"/>
              <w:jc w:val="right"/>
              <w:rPr>
                <w:sz w:val="18"/>
              </w:rPr>
            </w:pPr>
            <w:r w:rsidRPr="006D70C7">
              <w:rPr>
                <w:sz w:val="18"/>
              </w:rPr>
              <w:t>69.62%</w:t>
            </w:r>
          </w:p>
        </w:tc>
        <w:tc>
          <w:tcPr>
            <w:tcW w:w="1203" w:type="dxa"/>
            <w:tcBorders>
              <w:bottom w:val="nil"/>
            </w:tcBorders>
            <w:shd w:val="clear" w:color="auto" w:fill="auto"/>
            <w:vAlign w:val="bottom"/>
          </w:tcPr>
          <w:p w14:paraId="2A6BB180" w14:textId="77777777" w:rsidR="00D9258C" w:rsidRPr="006D70C7" w:rsidRDefault="00D9258C" w:rsidP="006D70C7">
            <w:pPr>
              <w:suppressAutoHyphens w:val="0"/>
              <w:spacing w:before="40" w:after="40" w:line="220" w:lineRule="exact"/>
              <w:ind w:right="113"/>
              <w:jc w:val="right"/>
              <w:rPr>
                <w:sz w:val="18"/>
              </w:rPr>
            </w:pPr>
            <w:r w:rsidRPr="006D70C7">
              <w:rPr>
                <w:sz w:val="18"/>
              </w:rPr>
              <w:t>4,430,738</w:t>
            </w:r>
          </w:p>
        </w:tc>
      </w:tr>
      <w:tr w:rsidR="00D9258C" w:rsidRPr="006D70C7" w14:paraId="04AB2B6E" w14:textId="77777777" w:rsidTr="004934EC">
        <w:tc>
          <w:tcPr>
            <w:tcW w:w="3570" w:type="dxa"/>
            <w:tcBorders>
              <w:top w:val="nil"/>
              <w:bottom w:val="nil"/>
            </w:tcBorders>
            <w:shd w:val="clear" w:color="auto" w:fill="auto"/>
          </w:tcPr>
          <w:p w14:paraId="1108F741" w14:textId="411AFFE5" w:rsidR="00D9258C" w:rsidRPr="006D70C7" w:rsidRDefault="00D9258C" w:rsidP="006D70C7">
            <w:pPr>
              <w:suppressAutoHyphens w:val="0"/>
              <w:spacing w:before="40" w:after="40" w:line="220" w:lineRule="exact"/>
              <w:ind w:right="113"/>
              <w:rPr>
                <w:sz w:val="18"/>
              </w:rPr>
            </w:pPr>
            <w:r w:rsidRPr="006D70C7">
              <w:rPr>
                <w:sz w:val="18"/>
              </w:rPr>
              <w:t>Open</w:t>
            </w:r>
            <w:r w:rsidR="00541D05" w:rsidRPr="006D70C7">
              <w:rPr>
                <w:sz w:val="18"/>
              </w:rPr>
              <w:t xml:space="preserve"> </w:t>
            </w:r>
            <w:r w:rsidRPr="006D70C7">
              <w:rPr>
                <w:sz w:val="18"/>
              </w:rPr>
              <w:t>sewage</w:t>
            </w:r>
          </w:p>
        </w:tc>
        <w:tc>
          <w:tcPr>
            <w:tcW w:w="1273" w:type="dxa"/>
            <w:tcBorders>
              <w:top w:val="nil"/>
              <w:bottom w:val="nil"/>
            </w:tcBorders>
            <w:shd w:val="clear" w:color="auto" w:fill="auto"/>
            <w:vAlign w:val="bottom"/>
          </w:tcPr>
          <w:p w14:paraId="20022B0B" w14:textId="77777777" w:rsidR="00D9258C" w:rsidRPr="006D70C7" w:rsidRDefault="00D9258C" w:rsidP="006D70C7">
            <w:pPr>
              <w:suppressAutoHyphens w:val="0"/>
              <w:spacing w:before="40" w:after="40" w:line="220" w:lineRule="exact"/>
              <w:ind w:right="113"/>
              <w:jc w:val="right"/>
              <w:rPr>
                <w:sz w:val="18"/>
              </w:rPr>
            </w:pPr>
            <w:r w:rsidRPr="006D70C7">
              <w:rPr>
                <w:sz w:val="18"/>
              </w:rPr>
              <w:t>32.71%</w:t>
            </w:r>
          </w:p>
        </w:tc>
        <w:tc>
          <w:tcPr>
            <w:tcW w:w="1324" w:type="dxa"/>
            <w:tcBorders>
              <w:top w:val="nil"/>
              <w:bottom w:val="nil"/>
            </w:tcBorders>
            <w:shd w:val="clear" w:color="auto" w:fill="auto"/>
            <w:vAlign w:val="bottom"/>
          </w:tcPr>
          <w:p w14:paraId="0E3A0D58" w14:textId="77777777" w:rsidR="00D9258C" w:rsidRPr="006D70C7" w:rsidRDefault="00D9258C" w:rsidP="006D70C7">
            <w:pPr>
              <w:suppressAutoHyphens w:val="0"/>
              <w:spacing w:before="40" w:after="40" w:line="220" w:lineRule="exact"/>
              <w:ind w:right="113"/>
              <w:jc w:val="right"/>
              <w:rPr>
                <w:sz w:val="18"/>
              </w:rPr>
            </w:pPr>
            <w:r w:rsidRPr="006D70C7">
              <w:rPr>
                <w:sz w:val="18"/>
              </w:rPr>
              <w:t>66.13%</w:t>
            </w:r>
          </w:p>
        </w:tc>
        <w:tc>
          <w:tcPr>
            <w:tcW w:w="1203" w:type="dxa"/>
            <w:tcBorders>
              <w:top w:val="nil"/>
              <w:bottom w:val="nil"/>
            </w:tcBorders>
            <w:shd w:val="clear" w:color="auto" w:fill="auto"/>
            <w:vAlign w:val="bottom"/>
          </w:tcPr>
          <w:p w14:paraId="641E979C" w14:textId="77777777" w:rsidR="00D9258C" w:rsidRPr="006D70C7" w:rsidRDefault="00D9258C" w:rsidP="006D70C7">
            <w:pPr>
              <w:suppressAutoHyphens w:val="0"/>
              <w:spacing w:before="40" w:after="40" w:line="220" w:lineRule="exact"/>
              <w:ind w:right="113"/>
              <w:jc w:val="right"/>
              <w:rPr>
                <w:sz w:val="18"/>
              </w:rPr>
            </w:pPr>
            <w:r w:rsidRPr="006D70C7">
              <w:rPr>
                <w:sz w:val="18"/>
              </w:rPr>
              <w:t>4,377,552</w:t>
            </w:r>
          </w:p>
        </w:tc>
      </w:tr>
      <w:tr w:rsidR="00D9258C" w:rsidRPr="006D70C7" w14:paraId="6B1C19BB" w14:textId="77777777" w:rsidTr="004934EC">
        <w:tc>
          <w:tcPr>
            <w:tcW w:w="3570" w:type="dxa"/>
            <w:tcBorders>
              <w:top w:val="nil"/>
              <w:bottom w:val="nil"/>
            </w:tcBorders>
            <w:shd w:val="clear" w:color="auto" w:fill="auto"/>
          </w:tcPr>
          <w:p w14:paraId="35ADDE66" w14:textId="4B38615C"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sidewalk</w:t>
            </w:r>
          </w:p>
        </w:tc>
        <w:tc>
          <w:tcPr>
            <w:tcW w:w="1273" w:type="dxa"/>
            <w:tcBorders>
              <w:top w:val="nil"/>
              <w:bottom w:val="nil"/>
            </w:tcBorders>
            <w:shd w:val="clear" w:color="auto" w:fill="auto"/>
            <w:vAlign w:val="bottom"/>
          </w:tcPr>
          <w:p w14:paraId="6A39B4D0" w14:textId="77777777" w:rsidR="00D9258C" w:rsidRPr="006D70C7" w:rsidRDefault="00D9258C" w:rsidP="006D70C7">
            <w:pPr>
              <w:suppressAutoHyphens w:val="0"/>
              <w:spacing w:before="40" w:after="40" w:line="220" w:lineRule="exact"/>
              <w:ind w:right="113"/>
              <w:jc w:val="right"/>
              <w:rPr>
                <w:sz w:val="18"/>
              </w:rPr>
            </w:pPr>
            <w:r w:rsidRPr="006D70C7">
              <w:rPr>
                <w:sz w:val="18"/>
              </w:rPr>
              <w:t>29.03%</w:t>
            </w:r>
          </w:p>
        </w:tc>
        <w:tc>
          <w:tcPr>
            <w:tcW w:w="1324" w:type="dxa"/>
            <w:tcBorders>
              <w:top w:val="nil"/>
              <w:bottom w:val="nil"/>
            </w:tcBorders>
            <w:shd w:val="clear" w:color="auto" w:fill="auto"/>
            <w:vAlign w:val="bottom"/>
          </w:tcPr>
          <w:p w14:paraId="42DA6D86" w14:textId="77777777" w:rsidR="00D9258C" w:rsidRPr="006D70C7" w:rsidRDefault="00D9258C" w:rsidP="006D70C7">
            <w:pPr>
              <w:suppressAutoHyphens w:val="0"/>
              <w:spacing w:before="40" w:after="40" w:line="220" w:lineRule="exact"/>
              <w:ind w:right="113"/>
              <w:jc w:val="right"/>
              <w:rPr>
                <w:sz w:val="18"/>
              </w:rPr>
            </w:pPr>
            <w:r w:rsidRPr="006D70C7">
              <w:rPr>
                <w:sz w:val="18"/>
              </w:rPr>
              <w:t>69.77%</w:t>
            </w:r>
          </w:p>
        </w:tc>
        <w:tc>
          <w:tcPr>
            <w:tcW w:w="1203" w:type="dxa"/>
            <w:tcBorders>
              <w:top w:val="nil"/>
              <w:bottom w:val="nil"/>
            </w:tcBorders>
            <w:shd w:val="clear" w:color="auto" w:fill="auto"/>
            <w:vAlign w:val="bottom"/>
          </w:tcPr>
          <w:p w14:paraId="50A87EFA" w14:textId="77777777" w:rsidR="00D9258C" w:rsidRPr="006D70C7" w:rsidRDefault="00D9258C" w:rsidP="006D70C7">
            <w:pPr>
              <w:suppressAutoHyphens w:val="0"/>
              <w:spacing w:before="40" w:after="40" w:line="220" w:lineRule="exact"/>
              <w:ind w:right="113"/>
              <w:jc w:val="right"/>
              <w:rPr>
                <w:sz w:val="18"/>
              </w:rPr>
            </w:pPr>
            <w:r w:rsidRPr="006D70C7">
              <w:rPr>
                <w:sz w:val="18"/>
              </w:rPr>
              <w:t>3,915,473</w:t>
            </w:r>
          </w:p>
        </w:tc>
      </w:tr>
      <w:tr w:rsidR="00D9258C" w:rsidRPr="006D70C7" w14:paraId="128C12E8" w14:textId="77777777" w:rsidTr="004934EC">
        <w:tc>
          <w:tcPr>
            <w:tcW w:w="3570" w:type="dxa"/>
            <w:tcBorders>
              <w:top w:val="nil"/>
            </w:tcBorders>
            <w:shd w:val="clear" w:color="auto" w:fill="auto"/>
          </w:tcPr>
          <w:p w14:paraId="3013FDC4" w14:textId="5EC88951" w:rsidR="00D9258C" w:rsidRPr="006D70C7" w:rsidRDefault="00D9258C" w:rsidP="006D70C7">
            <w:pPr>
              <w:suppressAutoHyphens w:val="0"/>
              <w:spacing w:before="40" w:after="40" w:line="220" w:lineRule="exact"/>
              <w:ind w:right="113"/>
              <w:rPr>
                <w:sz w:val="18"/>
              </w:rPr>
            </w:pPr>
            <w:r w:rsidRPr="006D70C7">
              <w:rPr>
                <w:sz w:val="18"/>
              </w:rPr>
              <w:lastRenderedPageBreak/>
              <w:t>No</w:t>
            </w:r>
            <w:r w:rsidR="00541D05" w:rsidRPr="006D70C7">
              <w:rPr>
                <w:sz w:val="18"/>
              </w:rPr>
              <w:t xml:space="preserve"> </w:t>
            </w:r>
            <w:r w:rsidRPr="006D70C7">
              <w:rPr>
                <w:sz w:val="18"/>
              </w:rPr>
              <w:t>address</w:t>
            </w:r>
            <w:r w:rsidR="00541D05" w:rsidRPr="006D70C7">
              <w:rPr>
                <w:sz w:val="18"/>
              </w:rPr>
              <w:t xml:space="preserve"> </w:t>
            </w:r>
            <w:r w:rsidRPr="006D70C7">
              <w:rPr>
                <w:sz w:val="18"/>
              </w:rPr>
              <w:t>identification</w:t>
            </w:r>
          </w:p>
        </w:tc>
        <w:tc>
          <w:tcPr>
            <w:tcW w:w="1273" w:type="dxa"/>
            <w:tcBorders>
              <w:top w:val="nil"/>
            </w:tcBorders>
            <w:shd w:val="clear" w:color="auto" w:fill="auto"/>
            <w:vAlign w:val="bottom"/>
          </w:tcPr>
          <w:p w14:paraId="09FB1229" w14:textId="77777777" w:rsidR="00D9258C" w:rsidRPr="006D70C7" w:rsidRDefault="00D9258C" w:rsidP="006D70C7">
            <w:pPr>
              <w:suppressAutoHyphens w:val="0"/>
              <w:spacing w:before="40" w:after="40" w:line="220" w:lineRule="exact"/>
              <w:ind w:right="113"/>
              <w:jc w:val="right"/>
              <w:rPr>
                <w:sz w:val="18"/>
              </w:rPr>
            </w:pPr>
            <w:r w:rsidRPr="006D70C7">
              <w:rPr>
                <w:sz w:val="18"/>
              </w:rPr>
              <w:t>28.54%</w:t>
            </w:r>
          </w:p>
        </w:tc>
        <w:tc>
          <w:tcPr>
            <w:tcW w:w="1324" w:type="dxa"/>
            <w:tcBorders>
              <w:top w:val="nil"/>
            </w:tcBorders>
            <w:shd w:val="clear" w:color="auto" w:fill="auto"/>
            <w:vAlign w:val="bottom"/>
          </w:tcPr>
          <w:p w14:paraId="7FF46D15" w14:textId="77777777" w:rsidR="00D9258C" w:rsidRPr="006D70C7" w:rsidRDefault="00D9258C" w:rsidP="006D70C7">
            <w:pPr>
              <w:suppressAutoHyphens w:val="0"/>
              <w:spacing w:before="40" w:after="40" w:line="220" w:lineRule="exact"/>
              <w:ind w:right="113"/>
              <w:jc w:val="right"/>
              <w:rPr>
                <w:sz w:val="18"/>
              </w:rPr>
            </w:pPr>
            <w:r w:rsidRPr="006D70C7">
              <w:rPr>
                <w:sz w:val="18"/>
              </w:rPr>
              <w:t>70.27%</w:t>
            </w:r>
          </w:p>
        </w:tc>
        <w:tc>
          <w:tcPr>
            <w:tcW w:w="1203" w:type="dxa"/>
            <w:tcBorders>
              <w:top w:val="nil"/>
            </w:tcBorders>
            <w:shd w:val="clear" w:color="auto" w:fill="auto"/>
            <w:vAlign w:val="bottom"/>
          </w:tcPr>
          <w:p w14:paraId="5F09B5B0" w14:textId="77777777" w:rsidR="00D9258C" w:rsidRPr="006D70C7" w:rsidRDefault="00D9258C" w:rsidP="006D70C7">
            <w:pPr>
              <w:suppressAutoHyphens w:val="0"/>
              <w:spacing w:before="40" w:after="40" w:line="220" w:lineRule="exact"/>
              <w:ind w:right="113"/>
              <w:jc w:val="right"/>
              <w:rPr>
                <w:sz w:val="18"/>
              </w:rPr>
            </w:pPr>
            <w:r w:rsidRPr="006D70C7">
              <w:rPr>
                <w:sz w:val="18"/>
              </w:rPr>
              <w:t>3,642,911</w:t>
            </w:r>
          </w:p>
        </w:tc>
      </w:tr>
      <w:tr w:rsidR="00D9258C" w:rsidRPr="006D70C7" w14:paraId="60052AD9" w14:textId="77777777" w:rsidTr="006D70C7">
        <w:tc>
          <w:tcPr>
            <w:tcW w:w="3570" w:type="dxa"/>
            <w:shd w:val="clear" w:color="auto" w:fill="auto"/>
          </w:tcPr>
          <w:p w14:paraId="22BE0C53" w14:textId="58B617D9"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pavement</w:t>
            </w:r>
          </w:p>
        </w:tc>
        <w:tc>
          <w:tcPr>
            <w:tcW w:w="1273" w:type="dxa"/>
            <w:shd w:val="clear" w:color="auto" w:fill="auto"/>
            <w:vAlign w:val="bottom"/>
          </w:tcPr>
          <w:p w14:paraId="6FEB8EE9" w14:textId="77777777" w:rsidR="00D9258C" w:rsidRPr="006D70C7" w:rsidRDefault="00D9258C" w:rsidP="006D70C7">
            <w:pPr>
              <w:suppressAutoHyphens w:val="0"/>
              <w:spacing w:before="40" w:after="40" w:line="220" w:lineRule="exact"/>
              <w:ind w:right="113"/>
              <w:jc w:val="right"/>
              <w:rPr>
                <w:sz w:val="18"/>
              </w:rPr>
            </w:pPr>
            <w:r w:rsidRPr="006D70C7">
              <w:rPr>
                <w:sz w:val="18"/>
              </w:rPr>
              <w:t>28.43%</w:t>
            </w:r>
          </w:p>
        </w:tc>
        <w:tc>
          <w:tcPr>
            <w:tcW w:w="1324" w:type="dxa"/>
            <w:shd w:val="clear" w:color="auto" w:fill="auto"/>
            <w:vAlign w:val="bottom"/>
          </w:tcPr>
          <w:p w14:paraId="3AD67AC7" w14:textId="77777777" w:rsidR="00D9258C" w:rsidRPr="006D70C7" w:rsidRDefault="00D9258C" w:rsidP="006D70C7">
            <w:pPr>
              <w:suppressAutoHyphens w:val="0"/>
              <w:spacing w:before="40" w:after="40" w:line="220" w:lineRule="exact"/>
              <w:ind w:right="113"/>
              <w:jc w:val="right"/>
              <w:rPr>
                <w:sz w:val="18"/>
              </w:rPr>
            </w:pPr>
            <w:r w:rsidRPr="006D70C7">
              <w:rPr>
                <w:sz w:val="18"/>
              </w:rPr>
              <w:t>70.37%</w:t>
            </w:r>
          </w:p>
        </w:tc>
        <w:tc>
          <w:tcPr>
            <w:tcW w:w="1203" w:type="dxa"/>
            <w:shd w:val="clear" w:color="auto" w:fill="auto"/>
            <w:vAlign w:val="bottom"/>
          </w:tcPr>
          <w:p w14:paraId="51310121" w14:textId="77777777" w:rsidR="00D9258C" w:rsidRPr="006D70C7" w:rsidRDefault="00D9258C" w:rsidP="006D70C7">
            <w:pPr>
              <w:suppressAutoHyphens w:val="0"/>
              <w:spacing w:before="40" w:after="40" w:line="220" w:lineRule="exact"/>
              <w:ind w:right="113"/>
              <w:jc w:val="right"/>
              <w:rPr>
                <w:sz w:val="18"/>
              </w:rPr>
            </w:pPr>
            <w:r w:rsidRPr="006D70C7">
              <w:rPr>
                <w:sz w:val="18"/>
              </w:rPr>
              <w:t>2,325,920</w:t>
            </w:r>
          </w:p>
        </w:tc>
      </w:tr>
      <w:tr w:rsidR="00D9258C" w:rsidRPr="006D70C7" w14:paraId="42FF7FBF" w14:textId="77777777" w:rsidTr="006D70C7">
        <w:tc>
          <w:tcPr>
            <w:tcW w:w="3570" w:type="dxa"/>
            <w:shd w:val="clear" w:color="auto" w:fill="auto"/>
          </w:tcPr>
          <w:p w14:paraId="4149BB32" w14:textId="6BEF9994" w:rsidR="00D9258C" w:rsidRPr="006D70C7" w:rsidRDefault="00D9258C" w:rsidP="006D70C7">
            <w:pPr>
              <w:suppressAutoHyphens w:val="0"/>
              <w:spacing w:before="40" w:after="40" w:line="220" w:lineRule="exact"/>
              <w:ind w:right="113"/>
              <w:rPr>
                <w:sz w:val="18"/>
              </w:rPr>
            </w:pPr>
            <w:r w:rsidRPr="006D70C7">
              <w:rPr>
                <w:sz w:val="18"/>
              </w:rPr>
              <w:t>Accumulated</w:t>
            </w:r>
            <w:r w:rsidR="00541D05" w:rsidRPr="006D70C7">
              <w:rPr>
                <w:sz w:val="18"/>
              </w:rPr>
              <w:t xml:space="preserve"> </w:t>
            </w:r>
            <w:r w:rsidRPr="006D70C7">
              <w:rPr>
                <w:sz w:val="18"/>
              </w:rPr>
              <w:t>garbage</w:t>
            </w:r>
            <w:r w:rsidR="00541D05" w:rsidRPr="006D70C7">
              <w:rPr>
                <w:sz w:val="18"/>
              </w:rPr>
              <w:t xml:space="preserve"> </w:t>
            </w:r>
            <w:r w:rsidRPr="006D70C7">
              <w:rPr>
                <w:sz w:val="18"/>
              </w:rPr>
              <w:t>in</w:t>
            </w:r>
            <w:r w:rsidR="00541D05" w:rsidRPr="006D70C7">
              <w:rPr>
                <w:sz w:val="18"/>
              </w:rPr>
              <w:t xml:space="preserve"> </w:t>
            </w:r>
            <w:r w:rsidRPr="006D70C7">
              <w:rPr>
                <w:sz w:val="18"/>
              </w:rPr>
              <w:t>public</w:t>
            </w:r>
            <w:r w:rsidR="00541D05" w:rsidRPr="006D70C7">
              <w:rPr>
                <w:sz w:val="18"/>
              </w:rPr>
              <w:t xml:space="preserve"> </w:t>
            </w:r>
            <w:r w:rsidRPr="006D70C7">
              <w:rPr>
                <w:sz w:val="18"/>
              </w:rPr>
              <w:t>spaces</w:t>
            </w:r>
          </w:p>
        </w:tc>
        <w:tc>
          <w:tcPr>
            <w:tcW w:w="1273" w:type="dxa"/>
            <w:shd w:val="clear" w:color="auto" w:fill="auto"/>
            <w:vAlign w:val="bottom"/>
          </w:tcPr>
          <w:p w14:paraId="449F4A60" w14:textId="77777777" w:rsidR="00D9258C" w:rsidRPr="006D70C7" w:rsidRDefault="00D9258C" w:rsidP="006D70C7">
            <w:pPr>
              <w:suppressAutoHyphens w:val="0"/>
              <w:spacing w:before="40" w:after="40" w:line="220" w:lineRule="exact"/>
              <w:ind w:right="113"/>
              <w:jc w:val="right"/>
              <w:rPr>
                <w:sz w:val="18"/>
              </w:rPr>
            </w:pPr>
            <w:r w:rsidRPr="006D70C7">
              <w:rPr>
                <w:sz w:val="18"/>
              </w:rPr>
              <w:t>30.93%</w:t>
            </w:r>
          </w:p>
        </w:tc>
        <w:tc>
          <w:tcPr>
            <w:tcW w:w="1324" w:type="dxa"/>
            <w:shd w:val="clear" w:color="auto" w:fill="auto"/>
            <w:vAlign w:val="bottom"/>
          </w:tcPr>
          <w:p w14:paraId="2DF51D38" w14:textId="77777777" w:rsidR="00D9258C" w:rsidRPr="006D70C7" w:rsidRDefault="00D9258C" w:rsidP="006D70C7">
            <w:pPr>
              <w:suppressAutoHyphens w:val="0"/>
              <w:spacing w:before="40" w:after="40" w:line="220" w:lineRule="exact"/>
              <w:ind w:right="113"/>
              <w:jc w:val="right"/>
              <w:rPr>
                <w:sz w:val="18"/>
              </w:rPr>
            </w:pPr>
            <w:r w:rsidRPr="006D70C7">
              <w:rPr>
                <w:sz w:val="18"/>
              </w:rPr>
              <w:t>67.93%</w:t>
            </w:r>
          </w:p>
        </w:tc>
        <w:tc>
          <w:tcPr>
            <w:tcW w:w="1203" w:type="dxa"/>
            <w:shd w:val="clear" w:color="auto" w:fill="auto"/>
            <w:vAlign w:val="bottom"/>
          </w:tcPr>
          <w:p w14:paraId="2F6EA6BD" w14:textId="77777777" w:rsidR="00D9258C" w:rsidRPr="006D70C7" w:rsidRDefault="00D9258C" w:rsidP="006D70C7">
            <w:pPr>
              <w:suppressAutoHyphens w:val="0"/>
              <w:spacing w:before="40" w:after="40" w:line="220" w:lineRule="exact"/>
              <w:ind w:right="113"/>
              <w:jc w:val="right"/>
              <w:rPr>
                <w:sz w:val="18"/>
              </w:rPr>
            </w:pPr>
            <w:r w:rsidRPr="006D70C7">
              <w:rPr>
                <w:sz w:val="18"/>
              </w:rPr>
              <w:t>807,668</w:t>
            </w:r>
          </w:p>
        </w:tc>
      </w:tr>
      <w:tr w:rsidR="00D9258C" w:rsidRPr="006D70C7" w14:paraId="10CCA8F5" w14:textId="77777777" w:rsidTr="006D70C7">
        <w:tc>
          <w:tcPr>
            <w:tcW w:w="3570" w:type="dxa"/>
            <w:shd w:val="clear" w:color="auto" w:fill="auto"/>
          </w:tcPr>
          <w:p w14:paraId="5ED4891E" w14:textId="552CE66E" w:rsidR="00D9258C" w:rsidRPr="006D70C7" w:rsidRDefault="00D9258C" w:rsidP="006D70C7">
            <w:pPr>
              <w:suppressAutoHyphens w:val="0"/>
              <w:spacing w:before="40" w:after="40" w:line="220" w:lineRule="exact"/>
              <w:ind w:right="113"/>
              <w:rPr>
                <w:sz w:val="18"/>
              </w:rPr>
            </w:pPr>
            <w:r w:rsidRPr="006D70C7">
              <w:rPr>
                <w:sz w:val="18"/>
              </w:rPr>
              <w:t>No</w:t>
            </w:r>
            <w:r w:rsidR="00541D05" w:rsidRPr="006D70C7">
              <w:rPr>
                <w:sz w:val="18"/>
              </w:rPr>
              <w:t xml:space="preserve"> </w:t>
            </w:r>
            <w:r w:rsidRPr="006D70C7">
              <w:rPr>
                <w:sz w:val="18"/>
              </w:rPr>
              <w:t>street</w:t>
            </w:r>
            <w:r w:rsidR="00541D05" w:rsidRPr="006D70C7">
              <w:rPr>
                <w:sz w:val="18"/>
              </w:rPr>
              <w:t xml:space="preserve"> </w:t>
            </w:r>
            <w:r w:rsidRPr="006D70C7">
              <w:rPr>
                <w:sz w:val="18"/>
              </w:rPr>
              <w:t>lighting</w:t>
            </w:r>
          </w:p>
        </w:tc>
        <w:tc>
          <w:tcPr>
            <w:tcW w:w="1273" w:type="dxa"/>
            <w:shd w:val="clear" w:color="auto" w:fill="auto"/>
            <w:vAlign w:val="bottom"/>
          </w:tcPr>
          <w:p w14:paraId="1A9D2FB9" w14:textId="77777777" w:rsidR="00D9258C" w:rsidRPr="006D70C7" w:rsidRDefault="00D9258C" w:rsidP="006D70C7">
            <w:pPr>
              <w:suppressAutoHyphens w:val="0"/>
              <w:spacing w:before="40" w:after="40" w:line="220" w:lineRule="exact"/>
              <w:ind w:right="113"/>
              <w:jc w:val="right"/>
              <w:rPr>
                <w:sz w:val="18"/>
              </w:rPr>
            </w:pPr>
            <w:r w:rsidRPr="006D70C7">
              <w:rPr>
                <w:sz w:val="18"/>
              </w:rPr>
              <w:t>30.38%</w:t>
            </w:r>
          </w:p>
        </w:tc>
        <w:tc>
          <w:tcPr>
            <w:tcW w:w="1324" w:type="dxa"/>
            <w:shd w:val="clear" w:color="auto" w:fill="auto"/>
            <w:vAlign w:val="bottom"/>
          </w:tcPr>
          <w:p w14:paraId="1B3C8E4C" w14:textId="77777777" w:rsidR="00D9258C" w:rsidRPr="006D70C7" w:rsidRDefault="00D9258C" w:rsidP="006D70C7">
            <w:pPr>
              <w:suppressAutoHyphens w:val="0"/>
              <w:spacing w:before="40" w:after="40" w:line="220" w:lineRule="exact"/>
              <w:ind w:right="113"/>
              <w:jc w:val="right"/>
              <w:rPr>
                <w:sz w:val="18"/>
              </w:rPr>
            </w:pPr>
            <w:r w:rsidRPr="006D70C7">
              <w:rPr>
                <w:sz w:val="18"/>
              </w:rPr>
              <w:t>68.42%</w:t>
            </w:r>
          </w:p>
        </w:tc>
        <w:tc>
          <w:tcPr>
            <w:tcW w:w="1203" w:type="dxa"/>
            <w:shd w:val="clear" w:color="auto" w:fill="auto"/>
            <w:vAlign w:val="bottom"/>
          </w:tcPr>
          <w:p w14:paraId="7D2BB506" w14:textId="77777777" w:rsidR="00D9258C" w:rsidRPr="006D70C7" w:rsidRDefault="00D9258C" w:rsidP="006D70C7">
            <w:pPr>
              <w:suppressAutoHyphens w:val="0"/>
              <w:spacing w:before="40" w:after="40" w:line="220" w:lineRule="exact"/>
              <w:ind w:right="113"/>
              <w:jc w:val="right"/>
              <w:rPr>
                <w:sz w:val="18"/>
              </w:rPr>
            </w:pPr>
            <w:r w:rsidRPr="006D70C7">
              <w:rPr>
                <w:sz w:val="18"/>
              </w:rPr>
              <w:t>788,925</w:t>
            </w:r>
          </w:p>
        </w:tc>
      </w:tr>
    </w:tbl>
    <w:p w14:paraId="167A898F" w14:textId="4B9087BB" w:rsidR="00D9258C" w:rsidRPr="00501297" w:rsidRDefault="00D9258C" w:rsidP="00501297">
      <w:pPr>
        <w:keepNext/>
        <w:keepLines/>
        <w:spacing w:before="120"/>
        <w:ind w:left="1134" w:right="1134" w:firstLine="170"/>
        <w:rPr>
          <w:sz w:val="18"/>
        </w:rPr>
      </w:pPr>
      <w:r w:rsidRPr="00501297">
        <w:rPr>
          <w:i/>
          <w:iCs/>
          <w:sz w:val="18"/>
        </w:rPr>
        <w:t>Source:</w:t>
      </w:r>
      <w:r w:rsidR="00541D05" w:rsidRPr="00501297">
        <w:rPr>
          <w:sz w:val="18"/>
        </w:rPr>
        <w:t xml:space="preserve"> </w:t>
      </w:r>
      <w:r w:rsidR="00501297">
        <w:rPr>
          <w:sz w:val="18"/>
        </w:rPr>
        <w:t xml:space="preserve"> </w:t>
      </w:r>
      <w:r w:rsidRPr="00501297">
        <w:rPr>
          <w:sz w:val="18"/>
        </w:rPr>
        <w:t>IBGE,</w:t>
      </w:r>
      <w:r w:rsidR="00541D05" w:rsidRPr="00501297">
        <w:rPr>
          <w:sz w:val="18"/>
        </w:rPr>
        <w:t xml:space="preserve"> </w:t>
      </w:r>
      <w:r w:rsidRPr="00501297">
        <w:rPr>
          <w:sz w:val="18"/>
        </w:rPr>
        <w:t>2010</w:t>
      </w:r>
      <w:r w:rsidR="00541D05" w:rsidRPr="00501297">
        <w:rPr>
          <w:sz w:val="18"/>
        </w:rPr>
        <w:t xml:space="preserve"> </w:t>
      </w:r>
      <w:r w:rsidRPr="00501297">
        <w:rPr>
          <w:sz w:val="18"/>
        </w:rPr>
        <w:t>Demographic</w:t>
      </w:r>
      <w:r w:rsidR="00541D05" w:rsidRPr="00501297">
        <w:rPr>
          <w:sz w:val="18"/>
        </w:rPr>
        <w:t xml:space="preserve"> </w:t>
      </w:r>
      <w:r w:rsidRPr="00501297">
        <w:rPr>
          <w:sz w:val="18"/>
        </w:rPr>
        <w:t>Census,</w:t>
      </w:r>
      <w:r w:rsidR="00541D05" w:rsidRPr="00501297">
        <w:rPr>
          <w:sz w:val="18"/>
        </w:rPr>
        <w:t xml:space="preserve"> </w:t>
      </w:r>
      <w:r w:rsidRPr="00501297">
        <w:rPr>
          <w:sz w:val="18"/>
        </w:rPr>
        <w:t>Subnormal</w:t>
      </w:r>
      <w:r w:rsidR="00541D05" w:rsidRPr="00501297">
        <w:rPr>
          <w:sz w:val="18"/>
        </w:rPr>
        <w:t xml:space="preserve"> </w:t>
      </w:r>
      <w:r w:rsidRPr="00501297">
        <w:rPr>
          <w:sz w:val="18"/>
        </w:rPr>
        <w:t>Agglomerates.</w:t>
      </w:r>
    </w:p>
    <w:p w14:paraId="75FC0285" w14:textId="2D5D6BD7" w:rsidR="00D9258C" w:rsidRPr="00501297" w:rsidRDefault="00D9258C" w:rsidP="00501297">
      <w:pPr>
        <w:spacing w:after="240"/>
        <w:ind w:left="1134" w:right="1134" w:firstLine="170"/>
        <w:rPr>
          <w:sz w:val="18"/>
        </w:rPr>
      </w:pPr>
      <w:r w:rsidRPr="00501297">
        <w:rPr>
          <w:sz w:val="18"/>
        </w:rPr>
        <w:t>Prepared</w:t>
      </w:r>
      <w:r w:rsidR="00541D05" w:rsidRPr="00501297">
        <w:rPr>
          <w:sz w:val="18"/>
        </w:rPr>
        <w:t xml:space="preserve"> </w:t>
      </w:r>
      <w:r w:rsidRPr="00501297">
        <w:rPr>
          <w:sz w:val="18"/>
        </w:rPr>
        <w:t>by:</w:t>
      </w:r>
      <w:r w:rsidR="00541D05" w:rsidRPr="00501297">
        <w:rPr>
          <w:sz w:val="18"/>
        </w:rPr>
        <w:t xml:space="preserve"> </w:t>
      </w:r>
      <w:r w:rsidRPr="00501297">
        <w:rPr>
          <w:sz w:val="18"/>
        </w:rPr>
        <w:t>Racial</w:t>
      </w:r>
      <w:r w:rsidR="00541D05" w:rsidRPr="00501297">
        <w:rPr>
          <w:sz w:val="18"/>
        </w:rPr>
        <w:t xml:space="preserve"> </w:t>
      </w:r>
      <w:r w:rsidRPr="00501297">
        <w:rPr>
          <w:sz w:val="18"/>
        </w:rPr>
        <w:t>Equality</w:t>
      </w:r>
      <w:r w:rsidR="00541D05" w:rsidRPr="00501297">
        <w:rPr>
          <w:sz w:val="18"/>
        </w:rPr>
        <w:t xml:space="preserve"> </w:t>
      </w:r>
      <w:r w:rsidRPr="00501297">
        <w:rPr>
          <w:sz w:val="18"/>
        </w:rPr>
        <w:t>Coordination</w:t>
      </w:r>
      <w:r w:rsidR="00541D05" w:rsidRPr="00501297">
        <w:rPr>
          <w:sz w:val="18"/>
        </w:rPr>
        <w:t xml:space="preserve"> </w:t>
      </w:r>
      <w:r w:rsidRPr="00501297">
        <w:rPr>
          <w:sz w:val="18"/>
        </w:rPr>
        <w:t>*Except</w:t>
      </w:r>
      <w:r w:rsidR="00541D05" w:rsidRPr="00501297">
        <w:rPr>
          <w:sz w:val="18"/>
        </w:rPr>
        <w:t xml:space="preserve"> </w:t>
      </w:r>
      <w:r w:rsidRPr="00501297">
        <w:rPr>
          <w:sz w:val="18"/>
        </w:rPr>
        <w:t>for</w:t>
      </w:r>
      <w:r w:rsidR="00541D05" w:rsidRPr="00501297">
        <w:rPr>
          <w:sz w:val="18"/>
        </w:rPr>
        <w:t xml:space="preserve"> </w:t>
      </w:r>
      <w:r w:rsidRPr="00501297">
        <w:rPr>
          <w:sz w:val="18"/>
        </w:rPr>
        <w:t>Asian-Brazilians</w:t>
      </w:r>
      <w:r w:rsidR="00541D05" w:rsidRPr="00501297">
        <w:rPr>
          <w:sz w:val="18"/>
        </w:rPr>
        <w:t xml:space="preserve"> </w:t>
      </w:r>
      <w:r w:rsidRPr="00501297">
        <w:rPr>
          <w:sz w:val="18"/>
        </w:rPr>
        <w:t>and</w:t>
      </w:r>
      <w:r w:rsidR="00541D05" w:rsidRPr="00501297">
        <w:rPr>
          <w:sz w:val="18"/>
        </w:rPr>
        <w:t xml:space="preserve"> </w:t>
      </w:r>
      <w:r w:rsidRPr="00501297">
        <w:rPr>
          <w:sz w:val="18"/>
        </w:rPr>
        <w:t>Indigenous.</w:t>
      </w:r>
      <w:r w:rsidR="00541D05" w:rsidRPr="00501297">
        <w:rPr>
          <w:sz w:val="18"/>
        </w:rPr>
        <w:t xml:space="preserve"> </w:t>
      </w:r>
    </w:p>
    <w:p w14:paraId="5FF9A4C5" w14:textId="145627A8" w:rsidR="00D9258C" w:rsidRPr="00FD6A6A" w:rsidRDefault="00D9258C" w:rsidP="00501297">
      <w:pPr>
        <w:pStyle w:val="H23G"/>
      </w:pPr>
      <w:r w:rsidRPr="00FD6A6A">
        <w:tab/>
      </w:r>
      <w:r w:rsidRPr="00FD6A6A">
        <w:tab/>
        <w:t>Recognized</w:t>
      </w:r>
      <w:r w:rsidR="00541D05">
        <w:t xml:space="preserve"> </w:t>
      </w:r>
      <w:r w:rsidRPr="00FD6A6A">
        <w:t>refugees</w:t>
      </w:r>
      <w:r w:rsidR="00541D05">
        <w:t xml:space="preserve"> </w:t>
      </w:r>
      <w:r w:rsidRPr="00FD6A6A">
        <w:t>in</w:t>
      </w:r>
      <w:r w:rsidR="00541D05">
        <w:t xml:space="preserve"> </w:t>
      </w:r>
      <w:r w:rsidRPr="00FD6A6A">
        <w:t>Brazil</w:t>
      </w:r>
    </w:p>
    <w:p w14:paraId="4CC13FA3" w14:textId="77777777" w:rsidR="00D9258C" w:rsidRPr="00FD6A6A" w:rsidRDefault="00D9258C" w:rsidP="00501297">
      <w:pPr>
        <w:pStyle w:val="SingleTxtG"/>
      </w:pPr>
      <w:r w:rsidRPr="00FD6A6A">
        <w:rPr>
          <w:noProof/>
          <w:lang w:eastAsia="en-GB"/>
        </w:rPr>
        <w:drawing>
          <wp:inline distT="0" distB="0" distL="0" distR="0" wp14:anchorId="1381B1B5" wp14:editId="718B2506">
            <wp:extent cx="5356800" cy="3156621"/>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83695" cy="3172469"/>
                    </a:xfrm>
                    <a:prstGeom prst="rect">
                      <a:avLst/>
                    </a:prstGeom>
                  </pic:spPr>
                </pic:pic>
              </a:graphicData>
            </a:graphic>
          </wp:inline>
        </w:drawing>
      </w:r>
    </w:p>
    <w:p w14:paraId="2CB32DF4" w14:textId="38082DD6" w:rsidR="00D9258C" w:rsidRPr="00501297" w:rsidRDefault="00D9258C" w:rsidP="00501297">
      <w:pPr>
        <w:spacing w:before="120" w:after="240"/>
        <w:ind w:left="1134" w:right="1134" w:firstLine="170"/>
        <w:rPr>
          <w:sz w:val="18"/>
        </w:rPr>
      </w:pPr>
      <w:r w:rsidRPr="00501297">
        <w:rPr>
          <w:i/>
          <w:iCs/>
          <w:sz w:val="18"/>
        </w:rPr>
        <w:t>Source:</w:t>
      </w:r>
      <w:r w:rsidR="00501297">
        <w:rPr>
          <w:sz w:val="18"/>
        </w:rPr>
        <w:t xml:space="preserve"> </w:t>
      </w:r>
      <w:r w:rsidR="00541D05" w:rsidRPr="00501297">
        <w:rPr>
          <w:sz w:val="18"/>
        </w:rPr>
        <w:t xml:space="preserve"> </w:t>
      </w:r>
      <w:r w:rsidRPr="00501297">
        <w:rPr>
          <w:sz w:val="18"/>
        </w:rPr>
        <w:t>CONARE.</w:t>
      </w:r>
    </w:p>
    <w:p w14:paraId="414C6A2E" w14:textId="6C651C07" w:rsidR="00D9258C" w:rsidRPr="00FD6A6A" w:rsidRDefault="00D9258C" w:rsidP="00A9197B">
      <w:pPr>
        <w:pStyle w:val="H23G"/>
      </w:pPr>
      <w:r w:rsidRPr="00FD6A6A">
        <w:tab/>
      </w:r>
      <w:r w:rsidRPr="00FD6A6A">
        <w:tab/>
        <w:t>Evolution</w:t>
      </w:r>
      <w:r w:rsidR="00541D05">
        <w:t xml:space="preserve"> </w:t>
      </w:r>
      <w:r w:rsidRPr="00FD6A6A">
        <w:t>of</w:t>
      </w:r>
      <w:r w:rsidR="00541D05">
        <w:t xml:space="preserve"> </w:t>
      </w:r>
      <w:r w:rsidRPr="00FD6A6A">
        <w:t>the</w:t>
      </w:r>
      <w:r w:rsidR="00541D05">
        <w:t xml:space="preserve"> </w:t>
      </w:r>
      <w:r w:rsidRPr="00FD6A6A">
        <w:t>number</w:t>
      </w:r>
      <w:r w:rsidR="00541D05">
        <w:t xml:space="preserve"> </w:t>
      </w:r>
      <w:r w:rsidRPr="00FD6A6A">
        <w:t>of</w:t>
      </w:r>
      <w:r w:rsidR="00541D05">
        <w:t xml:space="preserve"> </w:t>
      </w:r>
      <w:r w:rsidRPr="00FD6A6A">
        <w:t>persons</w:t>
      </w:r>
      <w:r w:rsidR="00541D05">
        <w:t xml:space="preserve"> </w:t>
      </w:r>
      <w:r w:rsidRPr="00FD6A6A">
        <w:t>deprived</w:t>
      </w:r>
      <w:r w:rsidR="00541D05">
        <w:t xml:space="preserve"> </w:t>
      </w:r>
      <w:r w:rsidRPr="00FD6A6A">
        <w:t>of</w:t>
      </w:r>
      <w:r w:rsidR="00541D05">
        <w:t xml:space="preserve"> </w:t>
      </w:r>
      <w:r w:rsidRPr="00FD6A6A">
        <w:t>liberty</w:t>
      </w:r>
    </w:p>
    <w:p w14:paraId="2B92487E" w14:textId="77777777" w:rsidR="00D9258C" w:rsidRPr="00FD6A6A" w:rsidRDefault="00D9258C" w:rsidP="00A9197B">
      <w:pPr>
        <w:pStyle w:val="SingleTxtG"/>
      </w:pPr>
      <w:r w:rsidRPr="00FD6A6A">
        <w:rPr>
          <w:noProof/>
          <w:lang w:eastAsia="en-GB"/>
        </w:rPr>
        <w:drawing>
          <wp:inline distT="0" distB="0" distL="0" distR="0" wp14:anchorId="021840D5" wp14:editId="777BE359">
            <wp:extent cx="5005916" cy="3003550"/>
            <wp:effectExtent l="0" t="0" r="4445"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63987" cy="3038393"/>
                    </a:xfrm>
                    <a:prstGeom prst="rect">
                      <a:avLst/>
                    </a:prstGeom>
                  </pic:spPr>
                </pic:pic>
              </a:graphicData>
            </a:graphic>
          </wp:inline>
        </w:drawing>
      </w:r>
    </w:p>
    <w:p w14:paraId="25F3E530" w14:textId="71B4958A" w:rsidR="00D9258C" w:rsidRPr="00A9197B" w:rsidRDefault="00D9258C" w:rsidP="00A9197B">
      <w:pPr>
        <w:spacing w:before="120" w:after="240"/>
        <w:ind w:left="1134" w:right="1134" w:firstLine="170"/>
        <w:rPr>
          <w:sz w:val="18"/>
        </w:rPr>
      </w:pPr>
      <w:r w:rsidRPr="00A9197B">
        <w:rPr>
          <w:i/>
          <w:iCs/>
          <w:sz w:val="18"/>
        </w:rPr>
        <w:t>Source:</w:t>
      </w:r>
      <w:r w:rsidR="00A9197B">
        <w:rPr>
          <w:sz w:val="18"/>
        </w:rPr>
        <w:t xml:space="preserve"> </w:t>
      </w:r>
      <w:r w:rsidR="00541D05" w:rsidRPr="00A9197B">
        <w:rPr>
          <w:sz w:val="18"/>
        </w:rPr>
        <w:t xml:space="preserve"> </w:t>
      </w:r>
      <w:r w:rsidRPr="00A9197B">
        <w:rPr>
          <w:sz w:val="18"/>
        </w:rPr>
        <w:t>Ministry</w:t>
      </w:r>
      <w:r w:rsidR="00541D05" w:rsidRPr="00A9197B">
        <w:rPr>
          <w:sz w:val="18"/>
        </w:rPr>
        <w:t xml:space="preserve"> </w:t>
      </w:r>
      <w:r w:rsidRPr="00A9197B">
        <w:rPr>
          <w:sz w:val="18"/>
        </w:rPr>
        <w:t>of</w:t>
      </w:r>
      <w:r w:rsidR="00541D05" w:rsidRPr="00A9197B">
        <w:rPr>
          <w:sz w:val="18"/>
        </w:rPr>
        <w:t xml:space="preserve"> </w:t>
      </w:r>
      <w:r w:rsidRPr="00A9197B">
        <w:rPr>
          <w:sz w:val="18"/>
        </w:rPr>
        <w:t>Justice</w:t>
      </w:r>
      <w:r w:rsidR="00541D05" w:rsidRPr="00A9197B">
        <w:rPr>
          <w:sz w:val="18"/>
        </w:rPr>
        <w:t xml:space="preserve"> </w:t>
      </w:r>
      <w:r w:rsidRPr="00A9197B">
        <w:rPr>
          <w:sz w:val="18"/>
        </w:rPr>
        <w:t>and</w:t>
      </w:r>
      <w:r w:rsidR="00541D05" w:rsidRPr="00A9197B">
        <w:rPr>
          <w:sz w:val="18"/>
        </w:rPr>
        <w:t xml:space="preserve"> </w:t>
      </w:r>
      <w:r w:rsidRPr="00A9197B">
        <w:rPr>
          <w:sz w:val="18"/>
        </w:rPr>
        <w:t>Public</w:t>
      </w:r>
      <w:r w:rsidR="00541D05" w:rsidRPr="00A9197B">
        <w:rPr>
          <w:sz w:val="18"/>
        </w:rPr>
        <w:t xml:space="preserve"> </w:t>
      </w:r>
      <w:r w:rsidRPr="00A9197B">
        <w:rPr>
          <w:sz w:val="18"/>
        </w:rPr>
        <w:t>Security.</w:t>
      </w:r>
    </w:p>
    <w:p w14:paraId="18AC2CFE" w14:textId="2DDE8D8A" w:rsidR="00D9258C" w:rsidRPr="00FD6A6A" w:rsidRDefault="00D9258C" w:rsidP="00A9197B">
      <w:pPr>
        <w:pStyle w:val="H23G"/>
      </w:pPr>
      <w:r w:rsidRPr="00FD6A6A">
        <w:lastRenderedPageBreak/>
        <w:tab/>
      </w:r>
      <w:r w:rsidRPr="00FD6A6A">
        <w:tab/>
        <w:t>Reports</w:t>
      </w:r>
      <w:r w:rsidR="00541D05">
        <w:t xml:space="preserve"> </w:t>
      </w:r>
      <w:r w:rsidRPr="00FD6A6A">
        <w:t>received</w:t>
      </w:r>
      <w:r w:rsidR="00541D05">
        <w:t xml:space="preserve"> </w:t>
      </w:r>
      <w:r w:rsidRPr="00FD6A6A">
        <w:t>by</w:t>
      </w:r>
      <w:r w:rsidR="00541D05">
        <w:t xml:space="preserve"> </w:t>
      </w:r>
      <w:r w:rsidRPr="00FD6A6A">
        <w:t>the</w:t>
      </w:r>
      <w:r w:rsidR="00541D05">
        <w:t xml:space="preserve"> </w:t>
      </w:r>
      <w:r w:rsidRPr="00FD6A6A">
        <w:t>National</w:t>
      </w:r>
      <w:r w:rsidR="00541D05">
        <w:t xml:space="preserve"> </w:t>
      </w:r>
      <w:r w:rsidRPr="00FD6A6A">
        <w:t>Office</w:t>
      </w:r>
      <w:r w:rsidR="00541D05">
        <w:t xml:space="preserve"> </w:t>
      </w:r>
      <w:r w:rsidRPr="00FD6A6A">
        <w:t>of</w:t>
      </w:r>
      <w:r w:rsidR="00541D05">
        <w:t xml:space="preserve"> </w:t>
      </w:r>
      <w:r w:rsidRPr="00FD6A6A">
        <w:t>the</w:t>
      </w:r>
      <w:r w:rsidR="00541D05">
        <w:t xml:space="preserve"> </w:t>
      </w:r>
      <w:r w:rsidRPr="00FD6A6A">
        <w:t>Ombudsman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8"/>
        <w:gridCol w:w="952"/>
        <w:gridCol w:w="952"/>
        <w:gridCol w:w="952"/>
        <w:gridCol w:w="952"/>
        <w:gridCol w:w="952"/>
        <w:gridCol w:w="952"/>
      </w:tblGrid>
      <w:tr w:rsidR="00D9258C" w:rsidRPr="00A9197B" w14:paraId="68E35630" w14:textId="77777777" w:rsidTr="00A9197B">
        <w:trPr>
          <w:tblHeader/>
        </w:trPr>
        <w:tc>
          <w:tcPr>
            <w:tcW w:w="1658" w:type="dxa"/>
            <w:tcBorders>
              <w:top w:val="single" w:sz="4" w:space="0" w:color="auto"/>
              <w:bottom w:val="single" w:sz="12" w:space="0" w:color="auto"/>
            </w:tcBorders>
            <w:shd w:val="clear" w:color="auto" w:fill="auto"/>
            <w:vAlign w:val="bottom"/>
          </w:tcPr>
          <w:p w14:paraId="2046DBD9" w14:textId="77777777" w:rsidR="00D9258C" w:rsidRPr="00A9197B" w:rsidRDefault="00D9258C" w:rsidP="00A9197B">
            <w:pPr>
              <w:suppressAutoHyphens w:val="0"/>
              <w:spacing w:before="80" w:after="80" w:line="200" w:lineRule="exact"/>
              <w:ind w:right="113"/>
              <w:rPr>
                <w:i/>
                <w:sz w:val="16"/>
              </w:rPr>
            </w:pPr>
            <w:r w:rsidRPr="00A9197B">
              <w:rPr>
                <w:i/>
                <w:sz w:val="16"/>
              </w:rPr>
              <w:t>Year</w:t>
            </w:r>
          </w:p>
        </w:tc>
        <w:tc>
          <w:tcPr>
            <w:tcW w:w="952" w:type="dxa"/>
            <w:tcBorders>
              <w:top w:val="single" w:sz="4" w:space="0" w:color="auto"/>
              <w:bottom w:val="single" w:sz="12" w:space="0" w:color="auto"/>
            </w:tcBorders>
            <w:shd w:val="clear" w:color="auto" w:fill="auto"/>
            <w:vAlign w:val="bottom"/>
          </w:tcPr>
          <w:p w14:paraId="596CE9EC" w14:textId="77777777" w:rsidR="00D9258C" w:rsidRPr="00A9197B" w:rsidRDefault="00D9258C" w:rsidP="00A9197B">
            <w:pPr>
              <w:suppressAutoHyphens w:val="0"/>
              <w:spacing w:before="80" w:after="80" w:line="200" w:lineRule="exact"/>
              <w:ind w:right="113"/>
              <w:jc w:val="right"/>
              <w:rPr>
                <w:i/>
                <w:sz w:val="16"/>
              </w:rPr>
            </w:pPr>
            <w:r w:rsidRPr="00A9197B">
              <w:rPr>
                <w:i/>
                <w:sz w:val="16"/>
              </w:rPr>
              <w:t>2011</w:t>
            </w:r>
          </w:p>
        </w:tc>
        <w:tc>
          <w:tcPr>
            <w:tcW w:w="952" w:type="dxa"/>
            <w:tcBorders>
              <w:top w:val="single" w:sz="4" w:space="0" w:color="auto"/>
              <w:bottom w:val="single" w:sz="12" w:space="0" w:color="auto"/>
            </w:tcBorders>
            <w:shd w:val="clear" w:color="auto" w:fill="auto"/>
            <w:vAlign w:val="bottom"/>
          </w:tcPr>
          <w:p w14:paraId="4256F79F" w14:textId="77777777" w:rsidR="00D9258C" w:rsidRPr="00A9197B" w:rsidRDefault="00D9258C" w:rsidP="00A9197B">
            <w:pPr>
              <w:suppressAutoHyphens w:val="0"/>
              <w:spacing w:before="80" w:after="80" w:line="200" w:lineRule="exact"/>
              <w:ind w:right="113"/>
              <w:jc w:val="right"/>
              <w:rPr>
                <w:i/>
                <w:sz w:val="16"/>
              </w:rPr>
            </w:pPr>
            <w:r w:rsidRPr="00A9197B">
              <w:rPr>
                <w:i/>
                <w:sz w:val="16"/>
              </w:rPr>
              <w:t>2012</w:t>
            </w:r>
          </w:p>
        </w:tc>
        <w:tc>
          <w:tcPr>
            <w:tcW w:w="952" w:type="dxa"/>
            <w:tcBorders>
              <w:top w:val="single" w:sz="4" w:space="0" w:color="auto"/>
              <w:bottom w:val="single" w:sz="12" w:space="0" w:color="auto"/>
            </w:tcBorders>
            <w:shd w:val="clear" w:color="auto" w:fill="auto"/>
            <w:vAlign w:val="bottom"/>
          </w:tcPr>
          <w:p w14:paraId="1D667664" w14:textId="77777777" w:rsidR="00D9258C" w:rsidRPr="00A9197B" w:rsidRDefault="00D9258C" w:rsidP="00A9197B">
            <w:pPr>
              <w:suppressAutoHyphens w:val="0"/>
              <w:spacing w:before="80" w:after="80" w:line="200" w:lineRule="exact"/>
              <w:ind w:right="113"/>
              <w:jc w:val="right"/>
              <w:rPr>
                <w:i/>
                <w:sz w:val="16"/>
              </w:rPr>
            </w:pPr>
            <w:r w:rsidRPr="00A9197B">
              <w:rPr>
                <w:i/>
                <w:sz w:val="16"/>
              </w:rPr>
              <w:t>2013</w:t>
            </w:r>
          </w:p>
        </w:tc>
        <w:tc>
          <w:tcPr>
            <w:tcW w:w="952" w:type="dxa"/>
            <w:tcBorders>
              <w:top w:val="single" w:sz="4" w:space="0" w:color="auto"/>
              <w:bottom w:val="single" w:sz="12" w:space="0" w:color="auto"/>
            </w:tcBorders>
            <w:shd w:val="clear" w:color="auto" w:fill="auto"/>
            <w:vAlign w:val="bottom"/>
          </w:tcPr>
          <w:p w14:paraId="7ED895D1" w14:textId="77777777" w:rsidR="00D9258C" w:rsidRPr="00A9197B" w:rsidRDefault="00D9258C" w:rsidP="00A9197B">
            <w:pPr>
              <w:suppressAutoHyphens w:val="0"/>
              <w:spacing w:before="80" w:after="80" w:line="200" w:lineRule="exact"/>
              <w:ind w:right="113"/>
              <w:jc w:val="right"/>
              <w:rPr>
                <w:i/>
                <w:sz w:val="16"/>
              </w:rPr>
            </w:pPr>
            <w:r w:rsidRPr="00A9197B">
              <w:rPr>
                <w:i/>
                <w:sz w:val="16"/>
              </w:rPr>
              <w:t>2014</w:t>
            </w:r>
          </w:p>
        </w:tc>
        <w:tc>
          <w:tcPr>
            <w:tcW w:w="952" w:type="dxa"/>
            <w:tcBorders>
              <w:top w:val="single" w:sz="4" w:space="0" w:color="auto"/>
              <w:bottom w:val="single" w:sz="12" w:space="0" w:color="auto"/>
            </w:tcBorders>
            <w:shd w:val="clear" w:color="auto" w:fill="auto"/>
            <w:vAlign w:val="bottom"/>
          </w:tcPr>
          <w:p w14:paraId="55F87BAB" w14:textId="77777777" w:rsidR="00D9258C" w:rsidRPr="00A9197B" w:rsidRDefault="00D9258C" w:rsidP="00A9197B">
            <w:pPr>
              <w:suppressAutoHyphens w:val="0"/>
              <w:spacing w:before="80" w:after="80" w:line="200" w:lineRule="exact"/>
              <w:ind w:right="113"/>
              <w:jc w:val="right"/>
              <w:rPr>
                <w:i/>
                <w:sz w:val="16"/>
              </w:rPr>
            </w:pPr>
            <w:r w:rsidRPr="00A9197B">
              <w:rPr>
                <w:i/>
                <w:sz w:val="16"/>
              </w:rPr>
              <w:t>2015</w:t>
            </w:r>
          </w:p>
        </w:tc>
        <w:tc>
          <w:tcPr>
            <w:tcW w:w="952" w:type="dxa"/>
            <w:tcBorders>
              <w:top w:val="single" w:sz="4" w:space="0" w:color="auto"/>
              <w:bottom w:val="single" w:sz="12" w:space="0" w:color="auto"/>
            </w:tcBorders>
            <w:shd w:val="clear" w:color="auto" w:fill="auto"/>
            <w:vAlign w:val="bottom"/>
          </w:tcPr>
          <w:p w14:paraId="38AD3BFE" w14:textId="77777777" w:rsidR="00D9258C" w:rsidRPr="00A9197B" w:rsidRDefault="00D9258C" w:rsidP="00A9197B">
            <w:pPr>
              <w:suppressAutoHyphens w:val="0"/>
              <w:spacing w:before="80" w:after="80" w:line="200" w:lineRule="exact"/>
              <w:ind w:right="113"/>
              <w:jc w:val="right"/>
              <w:rPr>
                <w:i/>
                <w:sz w:val="16"/>
              </w:rPr>
            </w:pPr>
            <w:r w:rsidRPr="00A9197B">
              <w:rPr>
                <w:i/>
                <w:sz w:val="16"/>
              </w:rPr>
              <w:t>2016</w:t>
            </w:r>
          </w:p>
        </w:tc>
      </w:tr>
      <w:tr w:rsidR="00D9258C" w:rsidRPr="00A9197B" w14:paraId="633ADC68" w14:textId="77777777" w:rsidTr="00A9197B">
        <w:tc>
          <w:tcPr>
            <w:tcW w:w="1658" w:type="dxa"/>
            <w:tcBorders>
              <w:top w:val="single" w:sz="12" w:space="0" w:color="auto"/>
              <w:bottom w:val="single" w:sz="4" w:space="0" w:color="auto"/>
            </w:tcBorders>
            <w:shd w:val="clear" w:color="auto" w:fill="auto"/>
          </w:tcPr>
          <w:p w14:paraId="00B669C2" w14:textId="77777777" w:rsidR="00D9258C" w:rsidRPr="00A9197B" w:rsidRDefault="00D9258C" w:rsidP="00A9197B">
            <w:pPr>
              <w:suppressAutoHyphens w:val="0"/>
              <w:spacing w:before="40" w:after="40" w:line="220" w:lineRule="exact"/>
              <w:ind w:right="113"/>
              <w:rPr>
                <w:sz w:val="18"/>
              </w:rPr>
            </w:pPr>
            <w:r w:rsidRPr="00A9197B">
              <w:rPr>
                <w:sz w:val="18"/>
              </w:rPr>
              <w:t>Reports</w:t>
            </w:r>
          </w:p>
        </w:tc>
        <w:tc>
          <w:tcPr>
            <w:tcW w:w="952" w:type="dxa"/>
            <w:tcBorders>
              <w:top w:val="single" w:sz="12" w:space="0" w:color="auto"/>
              <w:bottom w:val="single" w:sz="4" w:space="0" w:color="auto"/>
            </w:tcBorders>
            <w:shd w:val="clear" w:color="auto" w:fill="auto"/>
            <w:vAlign w:val="bottom"/>
          </w:tcPr>
          <w:p w14:paraId="7103E914" w14:textId="77777777" w:rsidR="00D9258C" w:rsidRPr="00A9197B" w:rsidRDefault="00D9258C" w:rsidP="00A9197B">
            <w:pPr>
              <w:suppressAutoHyphens w:val="0"/>
              <w:spacing w:before="40" w:after="40" w:line="220" w:lineRule="exact"/>
              <w:ind w:right="113"/>
              <w:jc w:val="right"/>
              <w:rPr>
                <w:sz w:val="18"/>
              </w:rPr>
            </w:pPr>
            <w:r w:rsidRPr="00A9197B">
              <w:rPr>
                <w:sz w:val="18"/>
              </w:rPr>
              <w:t>219</w:t>
            </w:r>
          </w:p>
        </w:tc>
        <w:tc>
          <w:tcPr>
            <w:tcW w:w="952" w:type="dxa"/>
            <w:tcBorders>
              <w:top w:val="single" w:sz="12" w:space="0" w:color="auto"/>
              <w:bottom w:val="single" w:sz="4" w:space="0" w:color="auto"/>
            </w:tcBorders>
            <w:shd w:val="clear" w:color="auto" w:fill="auto"/>
            <w:vAlign w:val="bottom"/>
          </w:tcPr>
          <w:p w14:paraId="3E11878C" w14:textId="77777777" w:rsidR="00D9258C" w:rsidRPr="00A9197B" w:rsidRDefault="00D9258C" w:rsidP="00A9197B">
            <w:pPr>
              <w:suppressAutoHyphens w:val="0"/>
              <w:spacing w:before="40" w:after="40" w:line="220" w:lineRule="exact"/>
              <w:ind w:right="113"/>
              <w:jc w:val="right"/>
              <w:rPr>
                <w:sz w:val="18"/>
              </w:rPr>
            </w:pPr>
            <w:r w:rsidRPr="00A9197B">
              <w:rPr>
                <w:sz w:val="18"/>
              </w:rPr>
              <w:t>413</w:t>
            </w:r>
          </w:p>
        </w:tc>
        <w:tc>
          <w:tcPr>
            <w:tcW w:w="952" w:type="dxa"/>
            <w:tcBorders>
              <w:top w:val="single" w:sz="12" w:space="0" w:color="auto"/>
              <w:bottom w:val="single" w:sz="4" w:space="0" w:color="auto"/>
            </w:tcBorders>
            <w:shd w:val="clear" w:color="auto" w:fill="auto"/>
            <w:vAlign w:val="bottom"/>
          </w:tcPr>
          <w:p w14:paraId="4189DECD" w14:textId="77777777" w:rsidR="00D9258C" w:rsidRPr="00A9197B" w:rsidRDefault="00D9258C" w:rsidP="00A9197B">
            <w:pPr>
              <w:suppressAutoHyphens w:val="0"/>
              <w:spacing w:before="40" w:after="40" w:line="220" w:lineRule="exact"/>
              <w:ind w:right="113"/>
              <w:jc w:val="right"/>
              <w:rPr>
                <w:sz w:val="18"/>
              </w:rPr>
            </w:pPr>
            <w:r w:rsidRPr="00A9197B">
              <w:rPr>
                <w:sz w:val="18"/>
              </w:rPr>
              <w:t>425</w:t>
            </w:r>
          </w:p>
        </w:tc>
        <w:tc>
          <w:tcPr>
            <w:tcW w:w="952" w:type="dxa"/>
            <w:tcBorders>
              <w:top w:val="single" w:sz="12" w:space="0" w:color="auto"/>
              <w:bottom w:val="single" w:sz="4" w:space="0" w:color="auto"/>
            </w:tcBorders>
            <w:shd w:val="clear" w:color="auto" w:fill="auto"/>
            <w:vAlign w:val="bottom"/>
          </w:tcPr>
          <w:p w14:paraId="61352940" w14:textId="77777777" w:rsidR="00D9258C" w:rsidRPr="00A9197B" w:rsidRDefault="00D9258C" w:rsidP="00A9197B">
            <w:pPr>
              <w:suppressAutoHyphens w:val="0"/>
              <w:spacing w:before="40" w:after="40" w:line="220" w:lineRule="exact"/>
              <w:ind w:right="113"/>
              <w:jc w:val="right"/>
              <w:rPr>
                <w:sz w:val="18"/>
              </w:rPr>
            </w:pPr>
            <w:r w:rsidRPr="00A9197B">
              <w:rPr>
                <w:sz w:val="18"/>
              </w:rPr>
              <w:t>567</w:t>
            </w:r>
          </w:p>
        </w:tc>
        <w:tc>
          <w:tcPr>
            <w:tcW w:w="952" w:type="dxa"/>
            <w:tcBorders>
              <w:top w:val="single" w:sz="12" w:space="0" w:color="auto"/>
              <w:bottom w:val="single" w:sz="4" w:space="0" w:color="auto"/>
            </w:tcBorders>
            <w:shd w:val="clear" w:color="auto" w:fill="auto"/>
            <w:vAlign w:val="bottom"/>
          </w:tcPr>
          <w:p w14:paraId="4F7C60BA" w14:textId="77777777" w:rsidR="00D9258C" w:rsidRPr="00A9197B" w:rsidRDefault="00D9258C" w:rsidP="00A9197B">
            <w:pPr>
              <w:suppressAutoHyphens w:val="0"/>
              <w:spacing w:before="40" w:after="40" w:line="220" w:lineRule="exact"/>
              <w:ind w:right="113"/>
              <w:jc w:val="right"/>
              <w:rPr>
                <w:sz w:val="18"/>
              </w:rPr>
            </w:pPr>
            <w:r w:rsidRPr="00A9197B">
              <w:rPr>
                <w:sz w:val="18"/>
              </w:rPr>
              <w:t>626</w:t>
            </w:r>
          </w:p>
        </w:tc>
        <w:tc>
          <w:tcPr>
            <w:tcW w:w="952" w:type="dxa"/>
            <w:tcBorders>
              <w:top w:val="single" w:sz="12" w:space="0" w:color="auto"/>
              <w:bottom w:val="single" w:sz="4" w:space="0" w:color="auto"/>
            </w:tcBorders>
            <w:shd w:val="clear" w:color="auto" w:fill="auto"/>
            <w:vAlign w:val="bottom"/>
          </w:tcPr>
          <w:p w14:paraId="7197AFA9" w14:textId="77777777" w:rsidR="00D9258C" w:rsidRPr="00A9197B" w:rsidRDefault="00D9258C" w:rsidP="00A9197B">
            <w:pPr>
              <w:suppressAutoHyphens w:val="0"/>
              <w:spacing w:before="40" w:after="40" w:line="220" w:lineRule="exact"/>
              <w:ind w:right="113"/>
              <w:jc w:val="right"/>
              <w:rPr>
                <w:sz w:val="18"/>
              </w:rPr>
            </w:pPr>
            <w:r w:rsidRPr="00A9197B">
              <w:rPr>
                <w:sz w:val="18"/>
              </w:rPr>
              <w:t>120</w:t>
            </w:r>
          </w:p>
        </w:tc>
      </w:tr>
      <w:tr w:rsidR="00D9258C" w:rsidRPr="00A9197B" w14:paraId="345212E7" w14:textId="77777777" w:rsidTr="00A9197B">
        <w:tc>
          <w:tcPr>
            <w:tcW w:w="1658" w:type="dxa"/>
            <w:tcBorders>
              <w:top w:val="single" w:sz="4" w:space="0" w:color="auto"/>
            </w:tcBorders>
            <w:shd w:val="clear" w:color="auto" w:fill="auto"/>
          </w:tcPr>
          <w:p w14:paraId="64265EEA" w14:textId="533E6DB7" w:rsidR="00D9258C" w:rsidRPr="00A9197B" w:rsidRDefault="00A9197B" w:rsidP="00A9197B">
            <w:pPr>
              <w:suppressAutoHyphens w:val="0"/>
              <w:spacing w:before="80" w:after="80" w:line="220" w:lineRule="exact"/>
              <w:ind w:right="113"/>
              <w:jc w:val="right"/>
              <w:rPr>
                <w:b/>
                <w:sz w:val="18"/>
              </w:rPr>
            </w:pPr>
            <w:r w:rsidRPr="00A9197B">
              <w:rPr>
                <w:b/>
                <w:sz w:val="18"/>
              </w:rPr>
              <w:t>Total</w:t>
            </w:r>
          </w:p>
        </w:tc>
        <w:tc>
          <w:tcPr>
            <w:tcW w:w="5712" w:type="dxa"/>
            <w:gridSpan w:val="6"/>
            <w:tcBorders>
              <w:top w:val="single" w:sz="4" w:space="0" w:color="auto"/>
            </w:tcBorders>
            <w:shd w:val="clear" w:color="auto" w:fill="auto"/>
            <w:vAlign w:val="bottom"/>
          </w:tcPr>
          <w:p w14:paraId="2F142EBF" w14:textId="77777777" w:rsidR="00D9258C" w:rsidRPr="00A9197B" w:rsidRDefault="00D9258C" w:rsidP="00DD2E10">
            <w:pPr>
              <w:suppressAutoHyphens w:val="0"/>
              <w:spacing w:before="80" w:after="80" w:line="220" w:lineRule="exact"/>
              <w:ind w:right="113"/>
              <w:jc w:val="center"/>
              <w:rPr>
                <w:b/>
                <w:sz w:val="18"/>
              </w:rPr>
            </w:pPr>
            <w:r w:rsidRPr="00A9197B">
              <w:rPr>
                <w:b/>
                <w:sz w:val="18"/>
              </w:rPr>
              <w:t>2,370</w:t>
            </w:r>
          </w:p>
        </w:tc>
      </w:tr>
    </w:tbl>
    <w:p w14:paraId="4BAC06A0" w14:textId="62F3F95D" w:rsidR="00D9258C" w:rsidRPr="00A9197B" w:rsidRDefault="00D9258C" w:rsidP="00A9197B">
      <w:pPr>
        <w:spacing w:before="120" w:after="240"/>
        <w:ind w:left="1134" w:right="1134" w:firstLine="170"/>
        <w:rPr>
          <w:sz w:val="18"/>
        </w:rPr>
      </w:pPr>
      <w:r w:rsidRPr="00A9197B">
        <w:rPr>
          <w:i/>
          <w:iCs/>
          <w:sz w:val="18"/>
        </w:rPr>
        <w:t>Source:</w:t>
      </w:r>
      <w:r w:rsidR="00541D05" w:rsidRPr="00A9197B">
        <w:rPr>
          <w:sz w:val="18"/>
        </w:rPr>
        <w:t xml:space="preserve"> </w:t>
      </w:r>
      <w:r w:rsidR="00A9197B">
        <w:rPr>
          <w:sz w:val="18"/>
        </w:rPr>
        <w:t xml:space="preserve"> </w:t>
      </w:r>
      <w:r w:rsidRPr="00A9197B">
        <w:rPr>
          <w:sz w:val="18"/>
        </w:rPr>
        <w:t>Authors,</w:t>
      </w:r>
      <w:r w:rsidR="00541D05" w:rsidRPr="00A9197B">
        <w:rPr>
          <w:sz w:val="18"/>
        </w:rPr>
        <w:t xml:space="preserve"> </w:t>
      </w:r>
      <w:r w:rsidRPr="00A9197B">
        <w:rPr>
          <w:sz w:val="18"/>
        </w:rPr>
        <w:t>with</w:t>
      </w:r>
      <w:r w:rsidR="00541D05" w:rsidRPr="00A9197B">
        <w:rPr>
          <w:sz w:val="18"/>
        </w:rPr>
        <w:t xml:space="preserve"> </w:t>
      </w:r>
      <w:r w:rsidRPr="00A9197B">
        <w:rPr>
          <w:sz w:val="18"/>
        </w:rPr>
        <w:t>data</w:t>
      </w:r>
      <w:r w:rsidR="00541D05" w:rsidRPr="00A9197B">
        <w:rPr>
          <w:sz w:val="18"/>
        </w:rPr>
        <w:t xml:space="preserve"> </w:t>
      </w:r>
      <w:r w:rsidRPr="00A9197B">
        <w:rPr>
          <w:sz w:val="18"/>
        </w:rPr>
        <w:t>obtained</w:t>
      </w:r>
      <w:r w:rsidR="00541D05" w:rsidRPr="00A9197B">
        <w:rPr>
          <w:sz w:val="18"/>
        </w:rPr>
        <w:t xml:space="preserve"> </w:t>
      </w:r>
      <w:r w:rsidRPr="00A9197B">
        <w:rPr>
          <w:sz w:val="18"/>
        </w:rPr>
        <w:t>from</w:t>
      </w:r>
      <w:r w:rsidR="00541D05" w:rsidRPr="00A9197B">
        <w:rPr>
          <w:sz w:val="18"/>
        </w:rPr>
        <w:t xml:space="preserve"> </w:t>
      </w:r>
      <w:r w:rsidRPr="00A9197B">
        <w:rPr>
          <w:sz w:val="18"/>
        </w:rPr>
        <w:t>SEPPIR</w:t>
      </w:r>
      <w:r w:rsidR="00541D05" w:rsidRPr="00A9197B">
        <w:rPr>
          <w:sz w:val="18"/>
        </w:rPr>
        <w:t xml:space="preserve"> </w:t>
      </w:r>
      <w:r w:rsidRPr="00A9197B">
        <w:rPr>
          <w:sz w:val="18"/>
        </w:rPr>
        <w:t>–</w:t>
      </w:r>
      <w:r w:rsidR="00541D05" w:rsidRPr="00A9197B">
        <w:rPr>
          <w:sz w:val="18"/>
        </w:rPr>
        <w:t xml:space="preserve"> </w:t>
      </w:r>
      <w:r w:rsidRPr="00A9197B">
        <w:rPr>
          <w:sz w:val="18"/>
        </w:rPr>
        <w:t>currently</w:t>
      </w:r>
      <w:r w:rsidR="00541D05" w:rsidRPr="00A9197B">
        <w:rPr>
          <w:sz w:val="18"/>
        </w:rPr>
        <w:t xml:space="preserve"> </w:t>
      </w:r>
      <w:r w:rsidRPr="00A9197B">
        <w:rPr>
          <w:sz w:val="18"/>
        </w:rPr>
        <w:t>SNPPIR.</w:t>
      </w:r>
    </w:p>
    <w:p w14:paraId="56CD0B16" w14:textId="726B8776" w:rsidR="00D9258C" w:rsidRPr="00FD6A6A" w:rsidRDefault="00D9258C" w:rsidP="00DD2E10">
      <w:pPr>
        <w:pStyle w:val="H23G"/>
      </w:pPr>
      <w:r w:rsidRPr="00FD6A6A">
        <w:tab/>
      </w:r>
      <w:r w:rsidRPr="00FD6A6A">
        <w:tab/>
        <w:t>Comparison</w:t>
      </w:r>
      <w:r w:rsidR="00541D05">
        <w:t xml:space="preserve"> </w:t>
      </w:r>
      <w:r w:rsidRPr="00FD6A6A">
        <w:t>among</w:t>
      </w:r>
      <w:r w:rsidR="00541D05">
        <w:t xml:space="preserve"> </w:t>
      </w:r>
      <w:r w:rsidRPr="00FD6A6A">
        <w:t>Brazilian</w:t>
      </w:r>
      <w:r w:rsidR="00541D05">
        <w:t xml:space="preserve"> </w:t>
      </w:r>
      <w:r w:rsidRPr="00FD6A6A">
        <w:t>municipalities</w:t>
      </w:r>
      <w:r w:rsidR="00541D05">
        <w:t xml:space="preserve"> </w:t>
      </w:r>
      <w:r w:rsidRPr="00FD6A6A">
        <w:t>with</w:t>
      </w:r>
      <w:r w:rsidR="00541D05">
        <w:t xml:space="preserve"> </w:t>
      </w:r>
      <w:r w:rsidRPr="00FD6A6A">
        <w:t>racial</w:t>
      </w:r>
      <w:r w:rsidR="00541D05">
        <w:t xml:space="preserve"> </w:t>
      </w:r>
      <w:r w:rsidRPr="00FD6A6A">
        <w:t>equality</w:t>
      </w:r>
      <w:r w:rsidR="00541D05">
        <w:t xml:space="preserve"> </w:t>
      </w:r>
      <w:r w:rsidRPr="00FD6A6A">
        <w:t>bodies</w:t>
      </w:r>
      <w:r w:rsidR="00541D05">
        <w:t xml:space="preserve"> </w:t>
      </w:r>
      <w:r w:rsidRPr="00FD6A6A">
        <w:t>and</w:t>
      </w:r>
      <w:r w:rsidR="00541D05">
        <w:t xml:space="preserve"> </w:t>
      </w:r>
      <w:r w:rsidRPr="00FD6A6A">
        <w:t>councils</w:t>
      </w:r>
      <w:r w:rsidR="00541D05">
        <w:t xml:space="preserve"> </w:t>
      </w:r>
    </w:p>
    <w:p w14:paraId="132F3192" w14:textId="77777777" w:rsidR="00D9258C" w:rsidRPr="00FD6A6A" w:rsidRDefault="00D9258C" w:rsidP="00DD2E10">
      <w:pPr>
        <w:pStyle w:val="SingleTxtG"/>
      </w:pPr>
      <w:r w:rsidRPr="00FD6A6A">
        <w:rPr>
          <w:noProof/>
          <w:lang w:eastAsia="en-GB"/>
        </w:rPr>
        <w:drawing>
          <wp:inline distT="0" distB="0" distL="0" distR="0" wp14:anchorId="66CDC179" wp14:editId="7E841E56">
            <wp:extent cx="5687131" cy="2686050"/>
            <wp:effectExtent l="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1756" cy="2697681"/>
                    </a:xfrm>
                    <a:prstGeom prst="rect">
                      <a:avLst/>
                    </a:prstGeom>
                    <a:noFill/>
                    <a:ln>
                      <a:noFill/>
                    </a:ln>
                  </pic:spPr>
                </pic:pic>
              </a:graphicData>
            </a:graphic>
          </wp:inline>
        </w:drawing>
      </w:r>
    </w:p>
    <w:p w14:paraId="12B70A87" w14:textId="05A09D31" w:rsidR="00D9258C" w:rsidRPr="00FD6A6A" w:rsidRDefault="00D9258C" w:rsidP="00DD2E10">
      <w:pPr>
        <w:pStyle w:val="H23G"/>
      </w:pPr>
      <w:r w:rsidRPr="00FD6A6A">
        <w:lastRenderedPageBreak/>
        <w:tab/>
      </w:r>
      <w:r w:rsidRPr="00FD6A6A">
        <w:tab/>
        <w:t>Distribution</w:t>
      </w:r>
      <w:r w:rsidR="00541D05">
        <w:t xml:space="preserve"> </w:t>
      </w:r>
      <w:r w:rsidRPr="00FD6A6A">
        <w:t>of</w:t>
      </w:r>
      <w:r w:rsidR="00541D05">
        <w:t xml:space="preserve"> </w:t>
      </w:r>
      <w:r w:rsidRPr="00FD6A6A">
        <w:t>racial</w:t>
      </w:r>
      <w:r w:rsidR="00541D05">
        <w:t xml:space="preserve"> </w:t>
      </w:r>
      <w:r w:rsidRPr="00FD6A6A">
        <w:t>equality</w:t>
      </w:r>
      <w:r w:rsidR="00541D05">
        <w:t xml:space="preserve"> </w:t>
      </w:r>
      <w:r w:rsidRPr="00FD6A6A">
        <w:t>bodies</w:t>
      </w:r>
      <w:r w:rsidR="00541D05">
        <w:t xml:space="preserve"> </w:t>
      </w:r>
      <w:r w:rsidRPr="00FD6A6A">
        <w:t>by</w:t>
      </w:r>
      <w:r w:rsidR="00541D05">
        <w:t xml:space="preserve"> </w:t>
      </w:r>
      <w:r w:rsidRPr="00FD6A6A">
        <w:t>federative</w:t>
      </w:r>
      <w:r w:rsidR="00541D05">
        <w:t xml:space="preserve"> </w:t>
      </w:r>
      <w:r w:rsidRPr="00FD6A6A">
        <w:t>unit</w:t>
      </w:r>
    </w:p>
    <w:p w14:paraId="131B9E3C" w14:textId="4C35ED70" w:rsidR="00D9258C" w:rsidRDefault="00D9258C" w:rsidP="00DD2E10">
      <w:pPr>
        <w:pStyle w:val="SingleTxtG"/>
      </w:pPr>
      <w:r w:rsidRPr="00DD2E10">
        <w:rPr>
          <w:noProof/>
          <w:lang w:eastAsia="en-GB"/>
        </w:rPr>
        <w:drawing>
          <wp:inline distT="0" distB="0" distL="0" distR="0" wp14:anchorId="2D8CD236" wp14:editId="0E693CF5">
            <wp:extent cx="5302250" cy="6319709"/>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2578" cy="6332018"/>
                    </a:xfrm>
                    <a:prstGeom prst="rect">
                      <a:avLst/>
                    </a:prstGeom>
                    <a:noFill/>
                    <a:ln>
                      <a:noFill/>
                    </a:ln>
                  </pic:spPr>
                </pic:pic>
              </a:graphicData>
            </a:graphic>
          </wp:inline>
        </w:drawing>
      </w:r>
    </w:p>
    <w:p w14:paraId="4BE2C9C3" w14:textId="5DE18369" w:rsidR="00DD2E10" w:rsidRPr="00FD6A6A" w:rsidRDefault="00DD2E10" w:rsidP="00DD2E10">
      <w:pPr>
        <w:pStyle w:val="SingleTxtG"/>
        <w:spacing w:before="240"/>
        <w:jc w:val="center"/>
      </w:pPr>
      <w:r>
        <w:rPr>
          <w:u w:val="single"/>
        </w:rPr>
        <w:tab/>
      </w:r>
      <w:r>
        <w:rPr>
          <w:u w:val="single"/>
        </w:rPr>
        <w:tab/>
      </w:r>
      <w:r>
        <w:rPr>
          <w:u w:val="single"/>
        </w:rPr>
        <w:tab/>
      </w:r>
      <w:bookmarkEnd w:id="0"/>
    </w:p>
    <w:sectPr w:rsidR="00DD2E10" w:rsidRPr="00FD6A6A" w:rsidSect="00CB1FB9">
      <w:headerReference w:type="even" r:id="rId25"/>
      <w:headerReference w:type="default" r:id="rId26"/>
      <w:footerReference w:type="even" r:id="rId27"/>
      <w:footerReference w:type="default" r:id="rId28"/>
      <w:footerReference w:type="first" r:id="rId2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6434" w14:textId="77777777" w:rsidR="00E51497" w:rsidRPr="00A0297D" w:rsidRDefault="00E51497" w:rsidP="00A0297D">
      <w:pPr>
        <w:pStyle w:val="Footer"/>
      </w:pPr>
    </w:p>
  </w:endnote>
  <w:endnote w:type="continuationSeparator" w:id="0">
    <w:p w14:paraId="64ABB8A8" w14:textId="77777777" w:rsidR="00E51497" w:rsidRPr="00A0297D" w:rsidRDefault="00E5149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0121" w14:textId="7B0A24FE" w:rsidR="00E51497" w:rsidRDefault="00E51497" w:rsidP="00D9258C">
    <w:pPr>
      <w:pStyle w:val="Footer"/>
      <w:tabs>
        <w:tab w:val="right" w:pos="9638"/>
      </w:tabs>
    </w:pPr>
    <w:r w:rsidRPr="00D9258C">
      <w:rPr>
        <w:b/>
        <w:bCs/>
        <w:sz w:val="18"/>
      </w:rPr>
      <w:fldChar w:fldCharType="begin"/>
    </w:r>
    <w:r w:rsidRPr="00D9258C">
      <w:rPr>
        <w:b/>
        <w:bCs/>
        <w:sz w:val="18"/>
      </w:rPr>
      <w:instrText xml:space="preserve"> PAGE  \* MERGEFORMAT </w:instrText>
    </w:r>
    <w:r w:rsidRPr="00D9258C">
      <w:rPr>
        <w:b/>
        <w:bCs/>
        <w:sz w:val="18"/>
      </w:rPr>
      <w:fldChar w:fldCharType="separate"/>
    </w:r>
    <w:r w:rsidR="003E650A">
      <w:rPr>
        <w:b/>
        <w:bCs/>
        <w:noProof/>
        <w:sz w:val="18"/>
      </w:rPr>
      <w:t>2</w:t>
    </w:r>
    <w:r w:rsidRPr="00D9258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E6B4" w14:textId="5760EFC2" w:rsidR="00E51497" w:rsidRDefault="00E51497" w:rsidP="00D9258C">
    <w:pPr>
      <w:pStyle w:val="Footer"/>
      <w:tabs>
        <w:tab w:val="right" w:pos="9638"/>
      </w:tabs>
    </w:pPr>
    <w:r>
      <w:tab/>
    </w:r>
    <w:r w:rsidRPr="00D9258C">
      <w:rPr>
        <w:b/>
        <w:bCs/>
        <w:sz w:val="18"/>
      </w:rPr>
      <w:fldChar w:fldCharType="begin"/>
    </w:r>
    <w:r w:rsidRPr="00D9258C">
      <w:rPr>
        <w:b/>
        <w:bCs/>
        <w:sz w:val="18"/>
      </w:rPr>
      <w:instrText xml:space="preserve"> PAGE  \* MERGEFORMAT </w:instrText>
    </w:r>
    <w:r w:rsidRPr="00D9258C">
      <w:rPr>
        <w:b/>
        <w:bCs/>
        <w:sz w:val="18"/>
      </w:rPr>
      <w:fldChar w:fldCharType="separate"/>
    </w:r>
    <w:r w:rsidR="003E650A">
      <w:rPr>
        <w:b/>
        <w:bCs/>
        <w:noProof/>
        <w:sz w:val="18"/>
      </w:rPr>
      <w:t>19</w:t>
    </w:r>
    <w:r w:rsidRPr="00D925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907C" w14:textId="2297077E" w:rsidR="00AF3201" w:rsidRDefault="00AF3201" w:rsidP="00AF3201">
    <w:pPr>
      <w:pStyle w:val="Footer"/>
    </w:pPr>
    <w:r>
      <w:rPr>
        <w:noProof/>
      </w:rPr>
      <w:drawing>
        <wp:anchor distT="0" distB="0" distL="114300" distR="114300" simplePos="0" relativeHeight="251659264" behindDoc="1" locked="1" layoutInCell="1" allowOverlap="1" wp14:anchorId="3D1E9EED" wp14:editId="5AC3BF8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072CC4" w14:textId="4E36CC48" w:rsidR="00AF3201" w:rsidRDefault="00AF3201" w:rsidP="00AF3201">
    <w:pPr>
      <w:pStyle w:val="Footer"/>
      <w:ind w:right="1134"/>
      <w:rPr>
        <w:sz w:val="20"/>
      </w:rPr>
    </w:pPr>
    <w:r>
      <w:rPr>
        <w:sz w:val="20"/>
      </w:rPr>
      <w:t>GE.20-11910(E)</w:t>
    </w:r>
  </w:p>
  <w:p w14:paraId="2747BA3A" w14:textId="18EA0932" w:rsidR="00AF3201" w:rsidRPr="00AF3201" w:rsidRDefault="00AF3201" w:rsidP="00AF3201">
    <w:pPr>
      <w:pStyle w:val="Footer"/>
      <w:ind w:right="1134"/>
      <w:rPr>
        <w:rFonts w:ascii="C39T30Lfz" w:hAnsi="C39T30Lfz"/>
        <w:sz w:val="56"/>
      </w:rPr>
    </w:pPr>
    <w:r>
      <w:rPr>
        <w:rFonts w:ascii="C39T30Lfz" w:hAnsi="C39T30Lfz" w:hint="eastAsia"/>
        <w:sz w:val="56"/>
      </w:rPr>
      <w:t>*2011910*</w:t>
    </w:r>
    <w:r>
      <w:rPr>
        <w:rFonts w:ascii="C39T30Lfz" w:hAnsi="C39T30Lfz"/>
        <w:noProof/>
        <w:sz w:val="56"/>
      </w:rPr>
      <w:drawing>
        <wp:anchor distT="0" distB="0" distL="114300" distR="114300" simplePos="0" relativeHeight="251660288" behindDoc="0" locked="0" layoutInCell="1" allowOverlap="1" wp14:anchorId="6357D848" wp14:editId="48957AA1">
          <wp:simplePos x="0" y="0"/>
          <wp:positionH relativeFrom="margin">
            <wp:posOffset>5478780</wp:posOffset>
          </wp:positionH>
          <wp:positionV relativeFrom="margin">
            <wp:posOffset>8794750</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2D6E" w14:textId="77777777" w:rsidR="00E51497" w:rsidRPr="00A0297D" w:rsidRDefault="00E51497" w:rsidP="00A0297D">
      <w:pPr>
        <w:tabs>
          <w:tab w:val="right" w:pos="2155"/>
        </w:tabs>
        <w:spacing w:after="80" w:line="240" w:lineRule="auto"/>
        <w:ind w:left="680"/>
      </w:pPr>
      <w:r>
        <w:rPr>
          <w:u w:val="single"/>
        </w:rPr>
        <w:tab/>
      </w:r>
    </w:p>
  </w:footnote>
  <w:footnote w:type="continuationSeparator" w:id="0">
    <w:p w14:paraId="0B822EF7" w14:textId="77777777" w:rsidR="00E51497" w:rsidRPr="00A0297D" w:rsidRDefault="00E51497" w:rsidP="00A0297D">
      <w:pPr>
        <w:tabs>
          <w:tab w:val="right" w:pos="2155"/>
        </w:tabs>
        <w:spacing w:after="80" w:line="240" w:lineRule="auto"/>
        <w:ind w:left="680"/>
      </w:pPr>
      <w:r>
        <w:rPr>
          <w:u w:val="single"/>
        </w:rPr>
        <w:tab/>
      </w:r>
    </w:p>
  </w:footnote>
  <w:footnote w:id="1">
    <w:p w14:paraId="37F29A5E" w14:textId="735BA47D" w:rsidR="00E51497" w:rsidRPr="005964CF" w:rsidRDefault="00E51497" w:rsidP="00EE5A2A">
      <w:pPr>
        <w:pStyle w:val="FootnoteText"/>
        <w:rPr>
          <w:lang w:val="fr-CH"/>
        </w:rPr>
      </w:pPr>
      <w:r>
        <w:rPr>
          <w:rStyle w:val="FootnoteReference"/>
        </w:rPr>
        <w:tab/>
      </w:r>
      <w:r w:rsidRPr="005964CF">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1A24E28E" w14:textId="77777777" w:rsidR="00EE5A2A" w:rsidRDefault="00EE5A2A" w:rsidP="00EE5A2A">
      <w:pPr>
        <w:pStyle w:val="FootnoteText"/>
      </w:pPr>
      <w:r>
        <w:tab/>
      </w:r>
      <w:r w:rsidRPr="00EA62F1">
        <w:rPr>
          <w:rStyle w:val="FootnoteReference"/>
        </w:rPr>
        <w:footnoteRef/>
      </w:r>
      <w:r w:rsidRPr="00EA62F1">
        <w:rPr>
          <w:rStyle w:val="FootnoteReference"/>
        </w:rPr>
        <w:tab/>
      </w:r>
      <w:r w:rsidRPr="00686F6B">
        <w:rPr>
          <w:lang w:val="en-US"/>
        </w:rPr>
        <w:t>Maternal death occurs during pregnancy or 42 days after delivery.</w:t>
      </w:r>
      <w:r w:rsidRPr="00B77FA6">
        <w:rPr>
          <w:lang w:val="en-US"/>
        </w:rPr>
        <w:t xml:space="preserve"> </w:t>
      </w:r>
      <w:r w:rsidRPr="00686F6B">
        <w:rPr>
          <w:lang w:val="en-US"/>
        </w:rPr>
        <w:t>In this period, death can occur due to obstetric diseases, complications during pregnancy, or pre-existing condition.</w:t>
      </w:r>
      <w:r w:rsidRPr="00B77FA6">
        <w:rPr>
          <w:lang w:val="en-US"/>
        </w:rPr>
        <w:t xml:space="preserve"> </w:t>
      </w:r>
      <w:r w:rsidRPr="00686F6B">
        <w:rPr>
          <w:lang w:val="en-US"/>
        </w:rPr>
        <w:t>A careful, quality prenatal care and preventive measures are essential to decrease the rates, and the Government is required to invest further both in the expansion of the provision of such services and in the quality thereof.</w:t>
      </w:r>
      <w:r w:rsidRPr="00B77FA6">
        <w:rPr>
          <w:lang w:val="en-US"/>
        </w:rPr>
        <w:t xml:space="preserve"> </w:t>
      </w:r>
      <w:r w:rsidRPr="00686F6B">
        <w:rPr>
          <w:lang w:val="en-US"/>
        </w:rPr>
        <w:t>In other words, through public policies, it is possible to significantly reduce this indicator, which – just for reference – in Japan, is 6 deaths in one hundred thousand live births.</w:t>
      </w:r>
    </w:p>
  </w:footnote>
  <w:footnote w:id="3">
    <w:p w14:paraId="14141105" w14:textId="77777777" w:rsidR="00EE5A2A" w:rsidRPr="00094673" w:rsidRDefault="00EE5A2A" w:rsidP="00EE5A2A">
      <w:pPr>
        <w:pStyle w:val="FootnoteText"/>
        <w:rPr>
          <w:lang w:val="en-US"/>
        </w:rPr>
      </w:pPr>
      <w:r>
        <w:tab/>
      </w:r>
      <w:r w:rsidRPr="00EA62F1">
        <w:rPr>
          <w:rStyle w:val="FootnoteReference"/>
        </w:rPr>
        <w:footnoteRef/>
      </w:r>
      <w:r w:rsidRPr="00EA62F1">
        <w:rPr>
          <w:rStyle w:val="FootnoteReference"/>
        </w:rPr>
        <w:tab/>
      </w:r>
      <w:r w:rsidRPr="00094673">
        <w:rPr>
          <w:lang w:val="en-US"/>
        </w:rPr>
        <w:t>The research was carried out in Belo Horizonte, Bethlehem, Porto Alegre, and Recife.</w:t>
      </w:r>
    </w:p>
  </w:footnote>
  <w:footnote w:id="4">
    <w:p w14:paraId="60DD9F77" w14:textId="77777777" w:rsidR="00EE5A2A" w:rsidRDefault="00EE5A2A" w:rsidP="00EE5A2A">
      <w:pPr>
        <w:pStyle w:val="FootnoteText"/>
      </w:pPr>
      <w:r>
        <w:tab/>
      </w:r>
      <w:r w:rsidRPr="00EA62F1">
        <w:rPr>
          <w:rStyle w:val="FootnoteReference"/>
        </w:rPr>
        <w:footnoteRef/>
      </w:r>
      <w:r w:rsidRPr="00EA62F1">
        <w:rPr>
          <w:rStyle w:val="FootnoteReference"/>
        </w:rPr>
        <w:tab/>
      </w:r>
      <w:r w:rsidRPr="003975C4">
        <w:rPr>
          <w:lang w:val="en-US"/>
        </w:rPr>
        <w:t>On December 16,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410F" w14:textId="77777777" w:rsidR="00E51497" w:rsidRDefault="00E51497" w:rsidP="00D9258C">
    <w:pPr>
      <w:pStyle w:val="Header"/>
    </w:pPr>
    <w:r>
      <w:t>CERD/C/BRA/18-20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42AD" w14:textId="77777777" w:rsidR="00E51497" w:rsidRDefault="00E51497" w:rsidP="00D9258C">
    <w:pPr>
      <w:pStyle w:val="Header"/>
      <w:jc w:val="right"/>
    </w:pPr>
    <w:r>
      <w:t>CERD/C/BRA/18-20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ADA9448">
      <w:start w:val="1"/>
      <w:numFmt w:val="decimal"/>
      <w:lvlText w:val="%1."/>
      <w:lvlJc w:val="left"/>
      <w:pPr>
        <w:tabs>
          <w:tab w:val="num" w:pos="1701"/>
        </w:tabs>
        <w:ind w:left="1134" w:firstLine="0"/>
      </w:pPr>
      <w:rPr>
        <w:rFonts w:ascii="Times New Roman" w:hAnsi="Times New Roman" w:hint="default"/>
        <w:b w:val="0"/>
        <w:i w:val="0"/>
        <w:sz w:val="20"/>
      </w:rPr>
    </w:lvl>
    <w:lvl w:ilvl="1" w:tplc="128A8CC0" w:tentative="1">
      <w:start w:val="1"/>
      <w:numFmt w:val="lowerLetter"/>
      <w:lvlText w:val="%2."/>
      <w:lvlJc w:val="left"/>
      <w:pPr>
        <w:tabs>
          <w:tab w:val="num" w:pos="1440"/>
        </w:tabs>
        <w:ind w:left="1440" w:hanging="360"/>
      </w:pPr>
    </w:lvl>
    <w:lvl w:ilvl="2" w:tplc="20FCB4E0" w:tentative="1">
      <w:start w:val="1"/>
      <w:numFmt w:val="lowerRoman"/>
      <w:lvlText w:val="%3."/>
      <w:lvlJc w:val="right"/>
      <w:pPr>
        <w:tabs>
          <w:tab w:val="num" w:pos="2160"/>
        </w:tabs>
        <w:ind w:left="2160" w:hanging="180"/>
      </w:pPr>
    </w:lvl>
    <w:lvl w:ilvl="3" w:tplc="88280112" w:tentative="1">
      <w:start w:val="1"/>
      <w:numFmt w:val="decimal"/>
      <w:lvlText w:val="%4."/>
      <w:lvlJc w:val="left"/>
      <w:pPr>
        <w:tabs>
          <w:tab w:val="num" w:pos="2880"/>
        </w:tabs>
        <w:ind w:left="2880" w:hanging="360"/>
      </w:pPr>
    </w:lvl>
    <w:lvl w:ilvl="4" w:tplc="887466F6" w:tentative="1">
      <w:start w:val="1"/>
      <w:numFmt w:val="lowerLetter"/>
      <w:lvlText w:val="%5."/>
      <w:lvlJc w:val="left"/>
      <w:pPr>
        <w:tabs>
          <w:tab w:val="num" w:pos="3600"/>
        </w:tabs>
        <w:ind w:left="3600" w:hanging="360"/>
      </w:pPr>
    </w:lvl>
    <w:lvl w:ilvl="5" w:tplc="884681D4" w:tentative="1">
      <w:start w:val="1"/>
      <w:numFmt w:val="lowerRoman"/>
      <w:lvlText w:val="%6."/>
      <w:lvlJc w:val="right"/>
      <w:pPr>
        <w:tabs>
          <w:tab w:val="num" w:pos="4320"/>
        </w:tabs>
        <w:ind w:left="4320" w:hanging="180"/>
      </w:pPr>
    </w:lvl>
    <w:lvl w:ilvl="6" w:tplc="3CF02C16" w:tentative="1">
      <w:start w:val="1"/>
      <w:numFmt w:val="decimal"/>
      <w:lvlText w:val="%7."/>
      <w:lvlJc w:val="left"/>
      <w:pPr>
        <w:tabs>
          <w:tab w:val="num" w:pos="5040"/>
        </w:tabs>
        <w:ind w:left="5040" w:hanging="360"/>
      </w:pPr>
    </w:lvl>
    <w:lvl w:ilvl="7" w:tplc="AE14D3D6" w:tentative="1">
      <w:start w:val="1"/>
      <w:numFmt w:val="lowerLetter"/>
      <w:lvlText w:val="%8."/>
      <w:lvlJc w:val="left"/>
      <w:pPr>
        <w:tabs>
          <w:tab w:val="num" w:pos="5760"/>
        </w:tabs>
        <w:ind w:left="5760" w:hanging="360"/>
      </w:pPr>
    </w:lvl>
    <w:lvl w:ilvl="8" w:tplc="41468A00" w:tentative="1">
      <w:start w:val="1"/>
      <w:numFmt w:val="lowerRoman"/>
      <w:lvlText w:val="%9."/>
      <w:lvlJc w:val="right"/>
      <w:pPr>
        <w:tabs>
          <w:tab w:val="num" w:pos="6480"/>
        </w:tabs>
        <w:ind w:left="6480" w:hanging="180"/>
      </w:pPr>
    </w:lvl>
  </w:abstractNum>
  <w:abstractNum w:abstractNumId="12" w15:restartNumberingAfterBreak="0">
    <w:nsid w:val="15A87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136E4"/>
    <w:multiLevelType w:val="hybridMultilevel"/>
    <w:tmpl w:val="2B2E0142"/>
    <w:lvl w:ilvl="0" w:tplc="515A63A8">
      <w:start w:val="1"/>
      <w:numFmt w:val="decimal"/>
      <w:lvlText w:val="%1."/>
      <w:lvlJc w:val="left"/>
      <w:pPr>
        <w:ind w:left="1854" w:hanging="360"/>
      </w:pPr>
      <w:rPr>
        <w:rFonts w:asciiTheme="minorHAnsi" w:eastAsiaTheme="minorHAnsi" w:hAnsiTheme="minorHAnsi"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117FB"/>
    <w:multiLevelType w:val="hybridMultilevel"/>
    <w:tmpl w:val="07A6D3D6"/>
    <w:lvl w:ilvl="0" w:tplc="04160001">
      <w:start w:val="1"/>
      <w:numFmt w:val="bullet"/>
      <w:lvlText w:val=""/>
      <w:lvlJc w:val="left"/>
      <w:pPr>
        <w:ind w:left="1919" w:hanging="360"/>
      </w:pPr>
      <w:rPr>
        <w:rFonts w:ascii="Symbol" w:hAnsi="Symbol" w:hint="default"/>
      </w:rPr>
    </w:lvl>
    <w:lvl w:ilvl="1" w:tplc="04160003">
      <w:start w:val="1"/>
      <w:numFmt w:val="bullet"/>
      <w:lvlText w:val="o"/>
      <w:lvlJc w:val="left"/>
      <w:pPr>
        <w:ind w:left="2639" w:hanging="360"/>
      </w:pPr>
      <w:rPr>
        <w:rFonts w:ascii="Courier New" w:hAnsi="Courier New" w:cs="Courier New" w:hint="default"/>
      </w:rPr>
    </w:lvl>
    <w:lvl w:ilvl="2" w:tplc="04160005" w:tentative="1">
      <w:start w:val="1"/>
      <w:numFmt w:val="bullet"/>
      <w:lvlText w:val=""/>
      <w:lvlJc w:val="left"/>
      <w:pPr>
        <w:ind w:left="3359" w:hanging="360"/>
      </w:pPr>
      <w:rPr>
        <w:rFonts w:ascii="Wingdings" w:hAnsi="Wingdings" w:hint="default"/>
      </w:rPr>
    </w:lvl>
    <w:lvl w:ilvl="3" w:tplc="04160001" w:tentative="1">
      <w:start w:val="1"/>
      <w:numFmt w:val="bullet"/>
      <w:lvlText w:val=""/>
      <w:lvlJc w:val="left"/>
      <w:pPr>
        <w:ind w:left="4079" w:hanging="360"/>
      </w:pPr>
      <w:rPr>
        <w:rFonts w:ascii="Symbol" w:hAnsi="Symbol" w:hint="default"/>
      </w:rPr>
    </w:lvl>
    <w:lvl w:ilvl="4" w:tplc="04160003" w:tentative="1">
      <w:start w:val="1"/>
      <w:numFmt w:val="bullet"/>
      <w:lvlText w:val="o"/>
      <w:lvlJc w:val="left"/>
      <w:pPr>
        <w:ind w:left="4799" w:hanging="360"/>
      </w:pPr>
      <w:rPr>
        <w:rFonts w:ascii="Courier New" w:hAnsi="Courier New" w:cs="Courier New" w:hint="default"/>
      </w:rPr>
    </w:lvl>
    <w:lvl w:ilvl="5" w:tplc="04160005" w:tentative="1">
      <w:start w:val="1"/>
      <w:numFmt w:val="bullet"/>
      <w:lvlText w:val=""/>
      <w:lvlJc w:val="left"/>
      <w:pPr>
        <w:ind w:left="5519" w:hanging="360"/>
      </w:pPr>
      <w:rPr>
        <w:rFonts w:ascii="Wingdings" w:hAnsi="Wingdings" w:hint="default"/>
      </w:rPr>
    </w:lvl>
    <w:lvl w:ilvl="6" w:tplc="04160001" w:tentative="1">
      <w:start w:val="1"/>
      <w:numFmt w:val="bullet"/>
      <w:lvlText w:val=""/>
      <w:lvlJc w:val="left"/>
      <w:pPr>
        <w:ind w:left="6239" w:hanging="360"/>
      </w:pPr>
      <w:rPr>
        <w:rFonts w:ascii="Symbol" w:hAnsi="Symbol" w:hint="default"/>
      </w:rPr>
    </w:lvl>
    <w:lvl w:ilvl="7" w:tplc="04160003" w:tentative="1">
      <w:start w:val="1"/>
      <w:numFmt w:val="bullet"/>
      <w:lvlText w:val="o"/>
      <w:lvlJc w:val="left"/>
      <w:pPr>
        <w:ind w:left="6959" w:hanging="360"/>
      </w:pPr>
      <w:rPr>
        <w:rFonts w:ascii="Courier New" w:hAnsi="Courier New" w:cs="Courier New" w:hint="default"/>
      </w:rPr>
    </w:lvl>
    <w:lvl w:ilvl="8" w:tplc="04160005" w:tentative="1">
      <w:start w:val="1"/>
      <w:numFmt w:val="bullet"/>
      <w:lvlText w:val=""/>
      <w:lvlJc w:val="left"/>
      <w:pPr>
        <w:ind w:left="7679"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109A4"/>
    <w:multiLevelType w:val="hybridMultilevel"/>
    <w:tmpl w:val="55A6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F10D1D"/>
    <w:multiLevelType w:val="hybridMultilevel"/>
    <w:tmpl w:val="46E08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CB6C816A"/>
    <w:lvl w:ilvl="0" w:tplc="85220218">
      <w:start w:val="1"/>
      <w:numFmt w:val="bullet"/>
      <w:lvlText w:val="•"/>
      <w:lvlJc w:val="left"/>
      <w:pPr>
        <w:tabs>
          <w:tab w:val="num" w:pos="2268"/>
        </w:tabs>
        <w:ind w:left="2268" w:hanging="170"/>
      </w:pPr>
      <w:rPr>
        <w:rFonts w:ascii="Times New Roman" w:hAnsi="Times New Roman" w:cs="Times New Roman" w:hint="default"/>
      </w:rPr>
    </w:lvl>
    <w:lvl w:ilvl="1" w:tplc="9E0CCF84" w:tentative="1">
      <w:start w:val="1"/>
      <w:numFmt w:val="bullet"/>
      <w:lvlText w:val="o"/>
      <w:lvlJc w:val="left"/>
      <w:pPr>
        <w:tabs>
          <w:tab w:val="num" w:pos="3708"/>
        </w:tabs>
        <w:ind w:left="3708" w:hanging="360"/>
      </w:pPr>
      <w:rPr>
        <w:rFonts w:ascii="Courier New" w:hAnsi="Courier New" w:hint="default"/>
      </w:rPr>
    </w:lvl>
    <w:lvl w:ilvl="2" w:tplc="A54CC91C" w:tentative="1">
      <w:start w:val="1"/>
      <w:numFmt w:val="bullet"/>
      <w:lvlText w:val=""/>
      <w:lvlJc w:val="left"/>
      <w:pPr>
        <w:tabs>
          <w:tab w:val="num" w:pos="4428"/>
        </w:tabs>
        <w:ind w:left="4428" w:hanging="360"/>
      </w:pPr>
      <w:rPr>
        <w:rFonts w:ascii="Wingdings" w:hAnsi="Wingdings" w:hint="default"/>
      </w:rPr>
    </w:lvl>
    <w:lvl w:ilvl="3" w:tplc="E0547954" w:tentative="1">
      <w:start w:val="1"/>
      <w:numFmt w:val="bullet"/>
      <w:lvlText w:val=""/>
      <w:lvlJc w:val="left"/>
      <w:pPr>
        <w:tabs>
          <w:tab w:val="num" w:pos="5148"/>
        </w:tabs>
        <w:ind w:left="5148" w:hanging="360"/>
      </w:pPr>
      <w:rPr>
        <w:rFonts w:ascii="Symbol" w:hAnsi="Symbol" w:hint="default"/>
      </w:rPr>
    </w:lvl>
    <w:lvl w:ilvl="4" w:tplc="23BEBB1A" w:tentative="1">
      <w:start w:val="1"/>
      <w:numFmt w:val="bullet"/>
      <w:lvlText w:val="o"/>
      <w:lvlJc w:val="left"/>
      <w:pPr>
        <w:tabs>
          <w:tab w:val="num" w:pos="5868"/>
        </w:tabs>
        <w:ind w:left="5868" w:hanging="360"/>
      </w:pPr>
      <w:rPr>
        <w:rFonts w:ascii="Courier New" w:hAnsi="Courier New" w:hint="default"/>
      </w:rPr>
    </w:lvl>
    <w:lvl w:ilvl="5" w:tplc="536E0E8E" w:tentative="1">
      <w:start w:val="1"/>
      <w:numFmt w:val="bullet"/>
      <w:lvlText w:val=""/>
      <w:lvlJc w:val="left"/>
      <w:pPr>
        <w:tabs>
          <w:tab w:val="num" w:pos="6588"/>
        </w:tabs>
        <w:ind w:left="6588" w:hanging="360"/>
      </w:pPr>
      <w:rPr>
        <w:rFonts w:ascii="Wingdings" w:hAnsi="Wingdings" w:hint="default"/>
      </w:rPr>
    </w:lvl>
    <w:lvl w:ilvl="6" w:tplc="9B4C1CA0" w:tentative="1">
      <w:start w:val="1"/>
      <w:numFmt w:val="bullet"/>
      <w:lvlText w:val=""/>
      <w:lvlJc w:val="left"/>
      <w:pPr>
        <w:tabs>
          <w:tab w:val="num" w:pos="7308"/>
        </w:tabs>
        <w:ind w:left="7308" w:hanging="360"/>
      </w:pPr>
      <w:rPr>
        <w:rFonts w:ascii="Symbol" w:hAnsi="Symbol" w:hint="default"/>
      </w:rPr>
    </w:lvl>
    <w:lvl w:ilvl="7" w:tplc="88606150" w:tentative="1">
      <w:start w:val="1"/>
      <w:numFmt w:val="bullet"/>
      <w:lvlText w:val="o"/>
      <w:lvlJc w:val="left"/>
      <w:pPr>
        <w:tabs>
          <w:tab w:val="num" w:pos="8028"/>
        </w:tabs>
        <w:ind w:left="8028" w:hanging="360"/>
      </w:pPr>
      <w:rPr>
        <w:rFonts w:ascii="Courier New" w:hAnsi="Courier New" w:hint="default"/>
      </w:rPr>
    </w:lvl>
    <w:lvl w:ilvl="8" w:tplc="B112AAF8"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984D92"/>
    <w:multiLevelType w:val="hybridMultilevel"/>
    <w:tmpl w:val="58483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B2D42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AD07B2"/>
    <w:multiLevelType w:val="hybridMultilevel"/>
    <w:tmpl w:val="7FEE3222"/>
    <w:lvl w:ilvl="0" w:tplc="693EE734">
      <w:start w:val="1"/>
      <w:numFmt w:val="bullet"/>
      <w:lvlText w:val="•"/>
      <w:lvlJc w:val="left"/>
      <w:pPr>
        <w:tabs>
          <w:tab w:val="num" w:pos="1701"/>
        </w:tabs>
        <w:ind w:left="1701" w:hanging="170"/>
      </w:pPr>
      <w:rPr>
        <w:rFonts w:ascii="Times New Roman" w:hAnsi="Times New Roman" w:cs="Times New Roman"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D940504"/>
    <w:multiLevelType w:val="hybridMultilevel"/>
    <w:tmpl w:val="122468F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6E4B7844"/>
    <w:multiLevelType w:val="hybridMultilevel"/>
    <w:tmpl w:val="8BE2CFF4"/>
    <w:lvl w:ilvl="0" w:tplc="568249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EAC7C2E"/>
    <w:multiLevelType w:val="hybridMultilevel"/>
    <w:tmpl w:val="8F9CE7B2"/>
    <w:lvl w:ilvl="0" w:tplc="08090011">
      <w:start w:val="1"/>
      <w:numFmt w:val="decimal"/>
      <w:lvlText w:val="%1)"/>
      <w:lvlJc w:val="left"/>
      <w:pPr>
        <w:tabs>
          <w:tab w:val="num" w:pos="1701"/>
        </w:tabs>
        <w:ind w:left="1701" w:hanging="170"/>
      </w:pPr>
      <w:rPr>
        <w:rFonts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02A5626"/>
    <w:multiLevelType w:val="hybridMultilevel"/>
    <w:tmpl w:val="6E58B66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4F82E70"/>
    <w:multiLevelType w:val="hybridMultilevel"/>
    <w:tmpl w:val="27B0D458"/>
    <w:lvl w:ilvl="0" w:tplc="AEFC995E">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10"/>
  </w:num>
  <w:num w:numId="4">
    <w:abstractNumId w:val="24"/>
  </w:num>
  <w:num w:numId="5">
    <w:abstractNumId w:val="26"/>
  </w:num>
  <w:num w:numId="6">
    <w:abstractNumId w:val="33"/>
  </w:num>
  <w:num w:numId="7">
    <w:abstractNumId w:val="13"/>
  </w:num>
  <w:num w:numId="8">
    <w:abstractNumId w:val="27"/>
  </w:num>
  <w:num w:numId="9">
    <w:abstractNumId w:val="20"/>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12"/>
  </w:num>
  <w:num w:numId="23">
    <w:abstractNumId w:val="23"/>
  </w:num>
  <w:num w:numId="24">
    <w:abstractNumId w:val="22"/>
  </w:num>
  <w:num w:numId="25">
    <w:abstractNumId w:val="16"/>
  </w:num>
  <w:num w:numId="26">
    <w:abstractNumId w:val="18"/>
  </w:num>
  <w:num w:numId="27">
    <w:abstractNumId w:val="28"/>
  </w:num>
  <w:num w:numId="28">
    <w:abstractNumId w:val="19"/>
  </w:num>
  <w:num w:numId="29">
    <w:abstractNumId w:val="21"/>
  </w:num>
  <w:num w:numId="30">
    <w:abstractNumId w:val="31"/>
  </w:num>
  <w:num w:numId="31">
    <w:abstractNumId w:val="29"/>
  </w:num>
  <w:num w:numId="32">
    <w:abstractNumId w:val="14"/>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F6"/>
    <w:rsid w:val="00013D0A"/>
    <w:rsid w:val="00037415"/>
    <w:rsid w:val="00046E92"/>
    <w:rsid w:val="00050613"/>
    <w:rsid w:val="00115F43"/>
    <w:rsid w:val="00166390"/>
    <w:rsid w:val="00247E2C"/>
    <w:rsid w:val="00287309"/>
    <w:rsid w:val="002D6C53"/>
    <w:rsid w:val="002F5595"/>
    <w:rsid w:val="00307688"/>
    <w:rsid w:val="00334F6A"/>
    <w:rsid w:val="00342AC8"/>
    <w:rsid w:val="0036377C"/>
    <w:rsid w:val="003B4550"/>
    <w:rsid w:val="003E650A"/>
    <w:rsid w:val="00461253"/>
    <w:rsid w:val="00483230"/>
    <w:rsid w:val="004934EC"/>
    <w:rsid w:val="00501297"/>
    <w:rsid w:val="005042C2"/>
    <w:rsid w:val="00541D05"/>
    <w:rsid w:val="00557F19"/>
    <w:rsid w:val="005964CF"/>
    <w:rsid w:val="0062156F"/>
    <w:rsid w:val="00632FD7"/>
    <w:rsid w:val="00671529"/>
    <w:rsid w:val="0068127F"/>
    <w:rsid w:val="006821A2"/>
    <w:rsid w:val="006D70C7"/>
    <w:rsid w:val="006F4B87"/>
    <w:rsid w:val="007268F9"/>
    <w:rsid w:val="00735147"/>
    <w:rsid w:val="0079300E"/>
    <w:rsid w:val="007C52B0"/>
    <w:rsid w:val="00883988"/>
    <w:rsid w:val="00897014"/>
    <w:rsid w:val="008E0F96"/>
    <w:rsid w:val="0090016A"/>
    <w:rsid w:val="009411B4"/>
    <w:rsid w:val="009A11B8"/>
    <w:rsid w:val="009D0139"/>
    <w:rsid w:val="009F0C7E"/>
    <w:rsid w:val="009F5CDC"/>
    <w:rsid w:val="00A0297D"/>
    <w:rsid w:val="00A33614"/>
    <w:rsid w:val="00A702A9"/>
    <w:rsid w:val="00A775CF"/>
    <w:rsid w:val="00A8196B"/>
    <w:rsid w:val="00A9197B"/>
    <w:rsid w:val="00AE1537"/>
    <w:rsid w:val="00AF3201"/>
    <w:rsid w:val="00B06045"/>
    <w:rsid w:val="00B65189"/>
    <w:rsid w:val="00BC6D14"/>
    <w:rsid w:val="00BD2A1E"/>
    <w:rsid w:val="00C01462"/>
    <w:rsid w:val="00C35A27"/>
    <w:rsid w:val="00C43F2C"/>
    <w:rsid w:val="00C81F3E"/>
    <w:rsid w:val="00CB1FB9"/>
    <w:rsid w:val="00CE13EA"/>
    <w:rsid w:val="00CE27F6"/>
    <w:rsid w:val="00D9258C"/>
    <w:rsid w:val="00DA7116"/>
    <w:rsid w:val="00DC505F"/>
    <w:rsid w:val="00DD2E10"/>
    <w:rsid w:val="00E02C2B"/>
    <w:rsid w:val="00E51497"/>
    <w:rsid w:val="00E846DB"/>
    <w:rsid w:val="00E914F6"/>
    <w:rsid w:val="00EA62F1"/>
    <w:rsid w:val="00EB49B1"/>
    <w:rsid w:val="00ED6C48"/>
    <w:rsid w:val="00EE5A2A"/>
    <w:rsid w:val="00EF015A"/>
    <w:rsid w:val="00F25349"/>
    <w:rsid w:val="00F26D64"/>
    <w:rsid w:val="00F65F5D"/>
    <w:rsid w:val="00F86A3A"/>
    <w:rsid w:val="00FA4124"/>
    <w:rsid w:val="00FB0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A33711A"/>
  <w15:docId w15:val="{FAA91D88-E37D-484D-AAB1-27D7B218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D9258C"/>
    <w:pPr>
      <w:spacing w:after="0" w:line="240" w:lineRule="auto"/>
    </w:pPr>
    <w:rPr>
      <w:rFonts w:ascii="Times New Roman" w:eastAsiaTheme="minorHAnsi" w:hAnsi="Times New Roman" w:cs="Times New Roman"/>
      <w:sz w:val="24"/>
      <w:szCs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927A-6C11-4619-B07F-1BADA8E1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40</Pages>
  <Words>18410</Words>
  <Characters>104629</Characters>
  <Application>Microsoft Office Word</Application>
  <DocSecurity>0</DocSecurity>
  <Lines>1829</Lines>
  <Paragraphs>596</Paragraphs>
  <ScaleCrop>false</ScaleCrop>
  <HeadingPairs>
    <vt:vector size="2" baseType="variant">
      <vt:variant>
        <vt:lpstr>Title</vt:lpstr>
      </vt:variant>
      <vt:variant>
        <vt:i4>1</vt:i4>
      </vt:variant>
    </vt:vector>
  </HeadingPairs>
  <TitlesOfParts>
    <vt:vector size="1" baseType="lpstr">
      <vt:lpstr>CERD/C/BRA/18-20</vt:lpstr>
    </vt:vector>
  </TitlesOfParts>
  <Company>DCM</Company>
  <LinksUpToDate>false</LinksUpToDate>
  <CharactersWithSpaces>122652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CERD/C/BRA/18-20</dc:title>
  <dc:subject>2011910</dc:subject>
  <dc:creator>Brigoli</dc:creator>
  <cp:keywords/>
  <dc:description/>
  <cp:lastModifiedBy>Cristina BRIGOLI</cp:lastModifiedBy>
  <cp:revision>2</cp:revision>
  <dcterms:created xsi:type="dcterms:W3CDTF">2020-09-15T14:08:00Z</dcterms:created>
  <dcterms:modified xsi:type="dcterms:W3CDTF">2020-09-15T14:08:00Z</dcterms:modified>
</cp:coreProperties>
</file>