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801CFD" w:rsidTr="003349E4">
        <w:trPr>
          <w:trHeight w:hRule="exact" w:val="851"/>
        </w:trPr>
        <w:tc>
          <w:tcPr>
            <w:tcW w:w="142" w:type="dxa"/>
            <w:tcBorders>
              <w:bottom w:val="single" w:sz="4" w:space="0" w:color="auto"/>
            </w:tcBorders>
          </w:tcPr>
          <w:p w:rsidR="002D5AAC" w:rsidRDefault="002D5AAC" w:rsidP="00801CFD">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801CFD" w:rsidRDefault="00801CFD" w:rsidP="00801CFD">
            <w:pPr>
              <w:jc w:val="right"/>
              <w:rPr>
                <w:lang w:val="en-US"/>
              </w:rPr>
            </w:pPr>
            <w:r w:rsidRPr="00801CFD">
              <w:rPr>
                <w:sz w:val="40"/>
                <w:lang w:val="en-US"/>
              </w:rPr>
              <w:t>CRPD</w:t>
            </w:r>
            <w:r w:rsidRPr="00801CFD">
              <w:rPr>
                <w:lang w:val="en-US"/>
              </w:rPr>
              <w:t>/C/QAT/CO/1/Add.2</w:t>
            </w:r>
          </w:p>
        </w:tc>
      </w:tr>
      <w:tr w:rsidR="002D5AAC" w:rsidRPr="00801CFD"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w w:val="100"/>
                <w:sz w:val="34"/>
                <w:szCs w:val="40"/>
              </w:rPr>
              <w:t>К</w:t>
            </w:r>
            <w:r w:rsidRPr="007511D7">
              <w:rPr>
                <w:b/>
                <w:spacing w:val="-4"/>
                <w:w w:val="100"/>
                <w:sz w:val="34"/>
                <w:szCs w:val="40"/>
              </w:rPr>
              <w:t>онвенция</w:t>
            </w:r>
            <w:r>
              <w:rPr>
                <w:b/>
                <w:spacing w:val="-4"/>
                <w:w w:val="100"/>
                <w:sz w:val="34"/>
                <w:szCs w:val="40"/>
              </w:rPr>
              <w:t xml:space="preserve"> о правах</w:t>
            </w:r>
            <w:r w:rsidRPr="007511D7">
              <w:rPr>
                <w:b/>
                <w:spacing w:val="-4"/>
                <w:w w:val="100"/>
                <w:sz w:val="34"/>
                <w:szCs w:val="40"/>
              </w:rPr>
              <w:br/>
            </w:r>
            <w:r>
              <w:rPr>
                <w:b/>
                <w:spacing w:val="-4"/>
                <w:w w:val="100"/>
                <w:sz w:val="34"/>
                <w:szCs w:val="40"/>
              </w:rPr>
              <w:t>инвалидов</w:t>
            </w:r>
          </w:p>
        </w:tc>
        <w:tc>
          <w:tcPr>
            <w:tcW w:w="2819" w:type="dxa"/>
            <w:tcBorders>
              <w:top w:val="single" w:sz="4" w:space="0" w:color="auto"/>
              <w:bottom w:val="single" w:sz="12" w:space="0" w:color="auto"/>
            </w:tcBorders>
          </w:tcPr>
          <w:p w:rsidR="002D5AAC" w:rsidRDefault="00801CFD" w:rsidP="003349E4">
            <w:pPr>
              <w:spacing w:before="240"/>
              <w:rPr>
                <w:lang w:val="en-US"/>
              </w:rPr>
            </w:pPr>
            <w:r>
              <w:rPr>
                <w:lang w:val="en-US"/>
              </w:rPr>
              <w:t>Distr.: General</w:t>
            </w:r>
          </w:p>
          <w:p w:rsidR="00801CFD" w:rsidRDefault="00801CFD" w:rsidP="00801CFD">
            <w:pPr>
              <w:spacing w:line="240" w:lineRule="exact"/>
              <w:rPr>
                <w:lang w:val="en-US"/>
              </w:rPr>
            </w:pPr>
            <w:r>
              <w:rPr>
                <w:lang w:val="en-US"/>
              </w:rPr>
              <w:t>6 December 2017</w:t>
            </w:r>
          </w:p>
          <w:p w:rsidR="00801CFD" w:rsidRDefault="00801CFD" w:rsidP="00801CFD">
            <w:pPr>
              <w:spacing w:line="240" w:lineRule="exact"/>
              <w:rPr>
                <w:lang w:val="en-US"/>
              </w:rPr>
            </w:pPr>
            <w:r>
              <w:rPr>
                <w:lang w:val="en-US"/>
              </w:rPr>
              <w:t>Russian</w:t>
            </w:r>
          </w:p>
          <w:p w:rsidR="00785220" w:rsidRDefault="00801CFD" w:rsidP="00785220">
            <w:r>
              <w:rPr>
                <w:lang w:val="en-US"/>
              </w:rPr>
              <w:t xml:space="preserve">Original: </w:t>
            </w:r>
            <w:r w:rsidR="00785220">
              <w:t xml:space="preserve"> Arabic</w:t>
            </w:r>
          </w:p>
          <w:p w:rsidR="00801CFD" w:rsidRPr="00785220" w:rsidRDefault="00785220" w:rsidP="00785220">
            <w:pPr>
              <w:spacing w:line="240" w:lineRule="exact"/>
              <w:rPr>
                <w:lang w:val="en-US"/>
              </w:rPr>
            </w:pPr>
            <w:r w:rsidRPr="00785220">
              <w:rPr>
                <w:lang w:val="en-US"/>
              </w:rPr>
              <w:t>Arabic, English, Russian and Spanish only</w:t>
            </w:r>
          </w:p>
        </w:tc>
      </w:tr>
    </w:tbl>
    <w:p w:rsidR="00801CFD" w:rsidRPr="00801CFD" w:rsidRDefault="00801CFD" w:rsidP="00801CFD">
      <w:pPr>
        <w:spacing w:before="120"/>
        <w:rPr>
          <w:b/>
          <w:sz w:val="24"/>
          <w:szCs w:val="24"/>
        </w:rPr>
      </w:pPr>
      <w:r w:rsidRPr="00801CFD">
        <w:rPr>
          <w:b/>
          <w:sz w:val="24"/>
          <w:szCs w:val="24"/>
        </w:rPr>
        <w:t>Комитет по правам инвалидов</w:t>
      </w:r>
    </w:p>
    <w:p w:rsidR="00801CFD" w:rsidRPr="00801CFD" w:rsidRDefault="00801CFD" w:rsidP="00801CFD">
      <w:pPr>
        <w:pStyle w:val="HChGR"/>
      </w:pPr>
      <w:r w:rsidRPr="00801CFD">
        <w:tab/>
      </w:r>
      <w:r w:rsidRPr="00801CFD">
        <w:tab/>
        <w:t>Заключительные замечания в отношении первоначального доклада Катара</w:t>
      </w:r>
    </w:p>
    <w:p w:rsidR="00801CFD" w:rsidRPr="00801CFD" w:rsidRDefault="00801CFD" w:rsidP="00801CFD">
      <w:pPr>
        <w:pStyle w:val="H23GR"/>
      </w:pPr>
      <w:r w:rsidRPr="00801CFD">
        <w:tab/>
      </w:r>
      <w:r w:rsidRPr="00801CFD">
        <w:tab/>
        <w:t>Добавление</w:t>
      </w:r>
    </w:p>
    <w:p w:rsidR="00801CFD" w:rsidRPr="00801CFD" w:rsidRDefault="00801CFD" w:rsidP="00801CFD">
      <w:pPr>
        <w:pStyle w:val="HChGR"/>
      </w:pPr>
      <w:r w:rsidRPr="00801CFD">
        <w:tab/>
      </w:r>
      <w:r w:rsidRPr="00801CFD">
        <w:tab/>
        <w:t>Информация, полученная от Катара в отношении последующих мер в связи с заключительными замечаниями</w:t>
      </w:r>
      <w:r w:rsidRPr="00785220">
        <w:rPr>
          <w:b w:val="0"/>
          <w:bCs/>
          <w:sz w:val="20"/>
        </w:rPr>
        <w:footnoteReference w:customMarkFollows="1" w:id="1"/>
        <w:t>*</w:t>
      </w:r>
    </w:p>
    <w:p w:rsidR="00801CFD" w:rsidRPr="00801CFD" w:rsidRDefault="00801CFD" w:rsidP="00785220">
      <w:pPr>
        <w:pStyle w:val="SingleTxtGR"/>
        <w:jc w:val="right"/>
      </w:pPr>
      <w:r w:rsidRPr="00801CFD">
        <w:t>[Дата получения: 22 декабря 2016 года]</w:t>
      </w:r>
    </w:p>
    <w:p w:rsidR="00801CFD" w:rsidRPr="00801CFD" w:rsidRDefault="00801CFD" w:rsidP="00785220">
      <w:pPr>
        <w:pStyle w:val="SingleTxtGR"/>
        <w:pageBreakBefore/>
      </w:pPr>
      <w:r w:rsidRPr="00801CFD">
        <w:lastRenderedPageBreak/>
        <w:t xml:space="preserve"> Дата: 22 декабря 2016 года</w:t>
      </w:r>
    </w:p>
    <w:p w:rsidR="00801CFD" w:rsidRPr="00801CFD" w:rsidRDefault="00801CFD" w:rsidP="00801CFD">
      <w:pPr>
        <w:pStyle w:val="SingleTxtGR"/>
      </w:pPr>
      <w:r w:rsidRPr="00801CFD">
        <w:t>(Просьба принять к сведению: важно)</w:t>
      </w:r>
    </w:p>
    <w:p w:rsidR="00801CFD" w:rsidRPr="00801CFD" w:rsidRDefault="00801CFD" w:rsidP="00785220">
      <w:pPr>
        <w:pStyle w:val="SingleTxtGR"/>
        <w:tabs>
          <w:tab w:val="left" w:pos="2552"/>
        </w:tabs>
        <w:ind w:left="2552" w:hanging="1418"/>
      </w:pPr>
      <w:r w:rsidRPr="00801CFD">
        <w:t>Адресовано:</w:t>
      </w:r>
      <w:r w:rsidRPr="00801CFD">
        <w:tab/>
        <w:t xml:space="preserve">Его Превосходительству Фейсалу бен Абдулле аль-Ханзабу, </w:t>
      </w:r>
      <w:r w:rsidR="002A6392">
        <w:br/>
      </w:r>
      <w:r w:rsidRPr="00801CFD">
        <w:t>Постоянному представителю Государства Катар при Отделении Организации Объединенных Наций в Женеве</w:t>
      </w:r>
    </w:p>
    <w:p w:rsidR="00801CFD" w:rsidRPr="00801CFD" w:rsidRDefault="00801CFD" w:rsidP="00801CFD">
      <w:pPr>
        <w:pStyle w:val="SingleTxtGR"/>
      </w:pPr>
      <w:r w:rsidRPr="00801CFD">
        <w:t>Ваше Превосходительство,</w:t>
      </w:r>
    </w:p>
    <w:p w:rsidR="00801CFD" w:rsidRPr="00801CFD" w:rsidRDefault="00801CFD" w:rsidP="00801CFD">
      <w:pPr>
        <w:pStyle w:val="SingleTxtGR"/>
      </w:pPr>
      <w:r w:rsidRPr="00801CFD">
        <w:tab/>
        <w:t>Имею честь сослаться на сообщения, прилагаемые к Вашему письму</w:t>
      </w:r>
      <w:r w:rsidR="002A6392">
        <w:rPr>
          <w:lang w:val="en-US"/>
        </w:rPr>
        <w:t> </w:t>
      </w:r>
      <w:r w:rsidRPr="00801CFD">
        <w:t>№</w:t>
      </w:r>
      <w:r w:rsidR="002A6392">
        <w:rPr>
          <w:lang w:val="en-US"/>
        </w:rPr>
        <w:t> </w:t>
      </w:r>
      <w:r w:rsidRPr="00801CFD">
        <w:t>156693 от 11 октября 2016 года о последующих мерах по выполнению рекомендаций, содержащихся в заключительных замечаниях Комитета по правам инвалидов в отношении первоначального доклада государства.</w:t>
      </w:r>
    </w:p>
    <w:p w:rsidR="00801CFD" w:rsidRPr="00801CFD" w:rsidRDefault="00801CFD" w:rsidP="00801CFD">
      <w:pPr>
        <w:pStyle w:val="SingleTxtGR"/>
      </w:pPr>
      <w:r w:rsidRPr="00801CFD">
        <w:tab/>
        <w:t>Что касается запрошенной информации о мерах, принятых для выполнения рекомендаций, содержащихся в пунктах 30 и 60 заключительных замечаний, то я хотел бы заявить следующее.</w:t>
      </w:r>
    </w:p>
    <w:p w:rsidR="00801CFD" w:rsidRPr="002A6392" w:rsidRDefault="00801CFD" w:rsidP="00801CFD">
      <w:pPr>
        <w:pStyle w:val="SingleTxtGR"/>
        <w:rPr>
          <w:b/>
          <w:bCs/>
        </w:rPr>
      </w:pPr>
      <w:r w:rsidRPr="002A6392">
        <w:rPr>
          <w:b/>
        </w:rPr>
        <w:t>I.</w:t>
      </w:r>
      <w:r w:rsidRPr="002A6392">
        <w:rPr>
          <w:b/>
        </w:rPr>
        <w:tab/>
        <w:t>Что касается рекомендации в пункте 30 принять закон о запрещении всех форм телесного наказания, то государство приняло следующие меры:</w:t>
      </w:r>
    </w:p>
    <w:p w:rsidR="00801CFD" w:rsidRPr="00801CFD" w:rsidRDefault="00801CFD" w:rsidP="00801CFD">
      <w:pPr>
        <w:pStyle w:val="SingleTxtGR"/>
      </w:pPr>
      <w:r w:rsidRPr="00801CFD">
        <w:t>1.</w:t>
      </w:r>
      <w:r w:rsidRPr="00801CFD">
        <w:tab/>
        <w:t xml:space="preserve">Статья 36 Конституции Государства Катар гласит: </w:t>
      </w:r>
      <w:r w:rsidR="002A6392">
        <w:t>«</w:t>
      </w:r>
      <w:r w:rsidRPr="00801CFD">
        <w:t>Личная свобода гарантируется. Никто не может быть подвергнут аресту, задержанию, обыску или ограничению свободы выбора места жительства или передвижения, за исключением случаев, предусмотренных законом. Никто не может быть подвергнут пыткам или унижающему достоинство обращению, и пытки рассматриваются как преступление, наказуемое по закону</w:t>
      </w:r>
      <w:r w:rsidR="002A6392">
        <w:t>».</w:t>
      </w:r>
    </w:p>
    <w:p w:rsidR="00801CFD" w:rsidRPr="00801CFD" w:rsidRDefault="00801CFD" w:rsidP="00801CFD">
      <w:pPr>
        <w:pStyle w:val="SingleTxtGR"/>
      </w:pPr>
      <w:r w:rsidRPr="00801CFD">
        <w:t>2.</w:t>
      </w:r>
      <w:r w:rsidRPr="00801CFD">
        <w:tab/>
        <w:t>Уголовный кодекс № 11 от 2004 года содержит ряд положений, направленных на осуществление Конституции Государства Катар. В соответствии с Конвенцией против пыток и рекомендациями Комитета они запрещают посягать на личную свободу и подвергать людей пыткам или унижающему достоинство обращению. Ниже приводятся некоторые из соответствующих положений Уголовного кодекса.</w:t>
      </w:r>
    </w:p>
    <w:p w:rsidR="00801CFD" w:rsidRPr="00801CFD" w:rsidRDefault="00801CFD" w:rsidP="002A6392">
      <w:pPr>
        <w:pStyle w:val="Bullet1GR"/>
      </w:pPr>
      <w:r w:rsidRPr="00801CFD">
        <w:t>Поправки к Уголовному кодексу, принятые на основании Закона № 8 от 2010 года. Статьи 159 и 159-бис запрещают и криминализируют применение силы или угроз в отношении обвиняемых, свидетелей или экспертов для получения признания в совершении преступления, принуждения к даче показаний или предоставлению информации о преступлении, или сокрытия преступления, а также применение пыток или подстрекательство к ним, в том числе с ведома или молчаливого согласия других лиц.</w:t>
      </w:r>
    </w:p>
    <w:p w:rsidR="00801CFD" w:rsidRPr="00801CFD" w:rsidRDefault="00801CFD" w:rsidP="002A6392">
      <w:pPr>
        <w:pStyle w:val="Bullet1GR"/>
      </w:pPr>
      <w:r w:rsidRPr="00801CFD">
        <w:t xml:space="preserve">Следует подчеркнуть, что вышеупомянутые положения согласуются с положениями статьи 1 Конвенции против пыток, касающимися определения пытки. </w:t>
      </w:r>
    </w:p>
    <w:p w:rsidR="00801CFD" w:rsidRPr="00801CFD" w:rsidRDefault="00801CFD" w:rsidP="002A6392">
      <w:pPr>
        <w:pStyle w:val="Bullet1GR"/>
      </w:pPr>
      <w:r w:rsidRPr="00801CFD">
        <w:t>Статьи 318 и 322 Уголовного кодекса запрещают совершение преступлений против личной свободы и достоинства, включая незаконное похищение, арест, задержание или лишение свободы, а также эксплуатацию человека или использование принудительного труда за вознаграждение или без него.</w:t>
      </w:r>
    </w:p>
    <w:p w:rsidR="00801CFD" w:rsidRPr="00801CFD" w:rsidRDefault="00801CFD" w:rsidP="00801CFD">
      <w:pPr>
        <w:pStyle w:val="SingleTxtGR"/>
      </w:pPr>
      <w:r w:rsidRPr="00801CFD">
        <w:t>3.</w:t>
      </w:r>
      <w:r w:rsidRPr="00801CFD">
        <w:tab/>
        <w:t xml:space="preserve">Статья 40 Уголовно-процессуального кодекса, принятого на основании Закона № 23 от 2004 года, гласит: </w:t>
      </w:r>
      <w:r w:rsidR="008F24FF">
        <w:t>«</w:t>
      </w:r>
      <w:r w:rsidRPr="00801CFD">
        <w:t>Никто не может быть арестован или лишен свободы иначе как на основании ордера, выданного компетентными органами в соответствии с условиями, предусмотренными законом. Обращение с любым арестованным или задержанным лицом не должно ущемлять его человеческое достоинство, при этом ему не должен наноситься физический или моральный вред. Сотрудники правоохранительных органов должны информировать обвиняемого о его праве хранить молчание и связаться с лицом по своему выбору</w:t>
      </w:r>
      <w:r w:rsidR="008F24FF">
        <w:t>».</w:t>
      </w:r>
    </w:p>
    <w:p w:rsidR="00801CFD" w:rsidRPr="00801CFD" w:rsidRDefault="00801CFD" w:rsidP="00801CFD">
      <w:pPr>
        <w:pStyle w:val="SingleTxtGR"/>
      </w:pPr>
      <w:r w:rsidRPr="00801CFD">
        <w:t>4.</w:t>
      </w:r>
      <w:r w:rsidRPr="00801CFD">
        <w:tab/>
        <w:t>Закон № 15 от 2011 года о борьбе с торговлей людьми содержит важные положения, обязывающие государства защищать и гарантировать физическую и психологическую неприкосновенность жертв, заботиться об их здоровье, обра</w:t>
      </w:r>
      <w:bookmarkStart w:id="0" w:name="_GoBack"/>
      <w:bookmarkEnd w:id="0"/>
      <w:r w:rsidRPr="00801CFD">
        <w:lastRenderedPageBreak/>
        <w:t>зовательных и социальных потребностях, а также создавать надлежащие условия для их реабилитации и реинтеграции в общество с учетом их потребностей, их человеческого достоинства, возраста и пола.</w:t>
      </w:r>
    </w:p>
    <w:p w:rsidR="00801CFD" w:rsidRPr="00801CFD" w:rsidRDefault="00801CFD" w:rsidP="00801CFD">
      <w:pPr>
        <w:pStyle w:val="SingleTxtGR"/>
      </w:pPr>
      <w:r w:rsidRPr="008F24FF">
        <w:rPr>
          <w:b/>
        </w:rPr>
        <w:t>II.</w:t>
      </w:r>
      <w:r w:rsidRPr="008F24FF">
        <w:rPr>
          <w:b/>
        </w:rPr>
        <w:tab/>
        <w:t xml:space="preserve">Что касается рекомендации в пункте 60 </w:t>
      </w:r>
      <w:r w:rsidR="009461B8">
        <w:rPr>
          <w:b/>
        </w:rPr>
        <w:t xml:space="preserve">создать на министерском уровне </w:t>
      </w:r>
      <w:r w:rsidRPr="008F24FF">
        <w:rPr>
          <w:b/>
        </w:rPr>
        <w:t>ответственную структуру для координации вопросов, связанных с осуществлением Конвенции, во всех секторах и между различными уровнями управления,</w:t>
      </w:r>
      <w:r w:rsidRPr="00801CFD">
        <w:t xml:space="preserve"> то Совет министров дал согласие на своем двенадцатом совещании в 2015 году, состоявшемся 16 апреля 2015 года, на принятие законопроекта о правах инвалидов. Законопроект, озаглавленный </w:t>
      </w:r>
      <w:r w:rsidR="009461B8">
        <w:t>«</w:t>
      </w:r>
      <w:r w:rsidRPr="00801CFD">
        <w:t>Создание национального комитета по делам инвалидов</w:t>
      </w:r>
      <w:r w:rsidR="009461B8">
        <w:t>»</w:t>
      </w:r>
      <w:r w:rsidRPr="00801CFD">
        <w:t>, предусматривает координацию вопросов, касающихся инвалидов, во всех секторах и между различными уровнями управления. Кроме того, вышеупомянутый законопроект предусматривает осуществление положений Конвенции о правах инвалидов. В том же контексте и в свете итогов заседания дискуссионной группы по заключительным замечаниям Комитета по правам инвалидов в Генеральный секретариат Совета министров был направлен меморандум от Его Превосходительства Министра административного развития, труда и социальных дел со следующими просьбами:</w:t>
      </w:r>
    </w:p>
    <w:p w:rsidR="00801CFD" w:rsidRPr="00801CFD" w:rsidRDefault="00801CFD" w:rsidP="009461B8">
      <w:pPr>
        <w:pStyle w:val="SingleTxtGR"/>
        <w:ind w:left="1701" w:hanging="567"/>
      </w:pPr>
      <w:r w:rsidRPr="00801CFD">
        <w:t>1.</w:t>
      </w:r>
      <w:r w:rsidRPr="00801CFD">
        <w:tab/>
        <w:t>передать заключительные замечания Комитета по правам инвалидов в Департамент по вопросам законодательства Генерального секретариата Совета министров с целью получения его мнений относительно рекомендации Комитета принять закон о запрещении всех форм телесного наказания, а также о выполнении пунктов 12 и 19 рекомендаций Комитета против пыток, в особенности в отношении инвалидов;</w:t>
      </w:r>
    </w:p>
    <w:p w:rsidR="00801CFD" w:rsidRPr="00801CFD" w:rsidRDefault="00801CFD" w:rsidP="009461B8">
      <w:pPr>
        <w:pStyle w:val="SingleTxtGR"/>
        <w:ind w:left="1701" w:hanging="567"/>
      </w:pPr>
      <w:r w:rsidRPr="00801CFD">
        <w:t>2.</w:t>
      </w:r>
      <w:r w:rsidRPr="00801CFD">
        <w:tab/>
        <w:t>рекомендовать Совету министров учредить национальный комитет по правам инвалидов, возглавляемый представителем Министерства административного развития, труда и социальных дел и состоящий из следующих членов:</w:t>
      </w:r>
    </w:p>
    <w:p w:rsidR="00801CFD" w:rsidRPr="00801CFD" w:rsidRDefault="00801CFD" w:rsidP="009461B8">
      <w:pPr>
        <w:pStyle w:val="Bullet1GR"/>
      </w:pPr>
      <w:r w:rsidRPr="00801CFD">
        <w:t>представителя Министерства внутренних дел;</w:t>
      </w:r>
    </w:p>
    <w:p w:rsidR="00801CFD" w:rsidRPr="00801CFD" w:rsidRDefault="00801CFD" w:rsidP="009461B8">
      <w:pPr>
        <w:pStyle w:val="Bullet1GR"/>
      </w:pPr>
      <w:r w:rsidRPr="00801CFD">
        <w:t>представителя Министерства иностранных дел;</w:t>
      </w:r>
    </w:p>
    <w:p w:rsidR="00801CFD" w:rsidRPr="00801CFD" w:rsidRDefault="00801CFD" w:rsidP="009461B8">
      <w:pPr>
        <w:pStyle w:val="Bullet1GR"/>
      </w:pPr>
      <w:r w:rsidRPr="00801CFD">
        <w:t>представителя Министерства культуры и спорта;</w:t>
      </w:r>
    </w:p>
    <w:p w:rsidR="00801CFD" w:rsidRPr="00801CFD" w:rsidRDefault="00801CFD" w:rsidP="009461B8">
      <w:pPr>
        <w:pStyle w:val="Bullet1GR"/>
      </w:pPr>
      <w:r w:rsidRPr="00801CFD">
        <w:t>представителя Министерства юстиции;</w:t>
      </w:r>
    </w:p>
    <w:p w:rsidR="00801CFD" w:rsidRPr="00801CFD" w:rsidRDefault="00801CFD" w:rsidP="009461B8">
      <w:pPr>
        <w:pStyle w:val="Bullet1GR"/>
      </w:pPr>
      <w:r w:rsidRPr="00801CFD">
        <w:t>представителя Министерства транспорта и связи;</w:t>
      </w:r>
    </w:p>
    <w:p w:rsidR="00801CFD" w:rsidRPr="00801CFD" w:rsidRDefault="00801CFD" w:rsidP="009461B8">
      <w:pPr>
        <w:pStyle w:val="Bullet1GR"/>
      </w:pPr>
      <w:r w:rsidRPr="00801CFD">
        <w:t xml:space="preserve">представителя Министерства просвещения и высшего образования; </w:t>
      </w:r>
    </w:p>
    <w:p w:rsidR="00801CFD" w:rsidRPr="00801CFD" w:rsidRDefault="00801CFD" w:rsidP="009461B8">
      <w:pPr>
        <w:pStyle w:val="Bullet1GR"/>
      </w:pPr>
      <w:r w:rsidRPr="00801CFD">
        <w:t>представителя Министерства по делам муниципалитетов и окружающей среды;</w:t>
      </w:r>
    </w:p>
    <w:p w:rsidR="00801CFD" w:rsidRPr="00801CFD" w:rsidRDefault="00801CFD" w:rsidP="009461B8">
      <w:pPr>
        <w:pStyle w:val="Bullet1GR"/>
      </w:pPr>
      <w:r w:rsidRPr="00801CFD">
        <w:t>представителя Министерства здравоохранения;</w:t>
      </w:r>
    </w:p>
    <w:p w:rsidR="00801CFD" w:rsidRPr="00801CFD" w:rsidRDefault="00801CFD" w:rsidP="009461B8">
      <w:pPr>
        <w:pStyle w:val="Bullet1GR"/>
      </w:pPr>
      <w:r w:rsidRPr="00801CFD">
        <w:t>представителя Национальной комиссии по правам человека;</w:t>
      </w:r>
    </w:p>
    <w:p w:rsidR="00801CFD" w:rsidRPr="00801CFD" w:rsidRDefault="00801CFD" w:rsidP="009461B8">
      <w:pPr>
        <w:pStyle w:val="Bullet1GR"/>
      </w:pPr>
      <w:r w:rsidRPr="00801CFD">
        <w:t>представителя катарского Фонда социальной работы;</w:t>
      </w:r>
    </w:p>
    <w:p w:rsidR="00801CFD" w:rsidRPr="00801CFD" w:rsidRDefault="00801CFD" w:rsidP="009461B8">
      <w:pPr>
        <w:pStyle w:val="Bullet1GR"/>
      </w:pPr>
      <w:r w:rsidRPr="00801CFD">
        <w:t>представителя катарского общества по реабилитации лиц с особыми потребностями.</w:t>
      </w:r>
    </w:p>
    <w:p w:rsidR="00801CFD" w:rsidRPr="00801CFD" w:rsidRDefault="00572BDD" w:rsidP="00801CFD">
      <w:pPr>
        <w:pStyle w:val="SingleTxtGR"/>
      </w:pPr>
      <w:r>
        <w:tab/>
      </w:r>
      <w:r w:rsidR="00801CFD" w:rsidRPr="00801CFD">
        <w:t xml:space="preserve">Следует отметить, что государство гарантирует участие организаций инвалидов в вышеупомянутом национальном комитете. </w:t>
      </w:r>
    </w:p>
    <w:p w:rsidR="00801CFD" w:rsidRPr="00801CFD" w:rsidRDefault="00801CFD" w:rsidP="00801CFD">
      <w:pPr>
        <w:pStyle w:val="SingleTxtGR"/>
        <w:rPr>
          <w:b/>
          <w:bCs/>
        </w:rPr>
      </w:pPr>
      <w:r w:rsidRPr="00572BDD">
        <w:rPr>
          <w:b/>
        </w:rPr>
        <w:t>III.</w:t>
      </w:r>
      <w:r w:rsidRPr="00572BDD">
        <w:rPr>
          <w:b/>
        </w:rPr>
        <w:tab/>
        <w:t>Что касается рекомендации в пункте 60 предоставлять необходимые людские и финансовые ресурсы Национальной комиссии по правам человека и обеспечить ее неизменную приверженность принципам, касающимся статуса национальных учреждений, занимающихся поощрением и защитой прав человека, то статья 17 Закона-декрета № 17 от 2010 года об организации национальной комиссии по правам человека предусматривает, что финансовые ресурсы Комиссии включают</w:t>
      </w:r>
      <w:r w:rsidRPr="00CF3BD7">
        <w:rPr>
          <w:b/>
        </w:rPr>
        <w:t>:</w:t>
      </w:r>
    </w:p>
    <w:p w:rsidR="00801CFD" w:rsidRPr="00801CFD" w:rsidRDefault="00801CFD" w:rsidP="00572BDD">
      <w:pPr>
        <w:pStyle w:val="Bullet1GR"/>
        <w:pageBreakBefore/>
      </w:pPr>
      <w:r w:rsidRPr="00801CFD">
        <w:lastRenderedPageBreak/>
        <w:t>cредства, выделяемые ей государством;</w:t>
      </w:r>
    </w:p>
    <w:p w:rsidR="00801CFD" w:rsidRPr="00801CFD" w:rsidRDefault="00801CFD" w:rsidP="00572BDD">
      <w:pPr>
        <w:pStyle w:val="Bullet1GR"/>
      </w:pPr>
      <w:r w:rsidRPr="00801CFD">
        <w:t>субсидии, бла</w:t>
      </w:r>
      <w:r w:rsidR="00572BDD">
        <w:t xml:space="preserve">готворительные взносы, гранты, </w:t>
      </w:r>
      <w:r w:rsidRPr="00801CFD">
        <w:t>пожертвования и завещательные дары со стороны национальных властей.</w:t>
      </w:r>
    </w:p>
    <w:p w:rsidR="00801CFD" w:rsidRPr="00801CFD" w:rsidRDefault="00572BDD" w:rsidP="00801CFD">
      <w:pPr>
        <w:pStyle w:val="SingleTxtGR"/>
      </w:pPr>
      <w:r>
        <w:tab/>
      </w:r>
      <w:r w:rsidR="00801CFD" w:rsidRPr="00801CFD">
        <w:t>Эти положения подтверждают поддержку со стороны государства национальной комиссии, отвечающей за поощрение и защиту прав человека.</w:t>
      </w:r>
    </w:p>
    <w:p w:rsidR="00801CFD" w:rsidRPr="00801CFD" w:rsidRDefault="00572BDD" w:rsidP="00801CFD">
      <w:pPr>
        <w:pStyle w:val="SingleTxtGR"/>
      </w:pPr>
      <w:r>
        <w:tab/>
      </w:r>
      <w:r w:rsidR="00801CFD" w:rsidRPr="00801CFD">
        <w:t>Примите во внимание вышесказанное, Ваше Превосходительство, и примите любые меры, которые Вы сочтете необходимыми.</w:t>
      </w:r>
    </w:p>
    <w:p w:rsidR="00801CFD" w:rsidRPr="00801CFD" w:rsidRDefault="00572BDD" w:rsidP="00801CFD">
      <w:pPr>
        <w:pStyle w:val="SingleTxtGR"/>
      </w:pPr>
      <w:r>
        <w:tab/>
      </w:r>
      <w:r w:rsidR="00801CFD" w:rsidRPr="00801CFD">
        <w:t>Примите, Ваше Превосходительство, заверения в моем самом высоком уважении.</w:t>
      </w:r>
    </w:p>
    <w:p w:rsidR="00801CFD" w:rsidRPr="00801CFD" w:rsidRDefault="00801CFD" w:rsidP="00572BDD">
      <w:pPr>
        <w:pStyle w:val="SingleTxtGR"/>
        <w:jc w:val="right"/>
      </w:pPr>
      <w:r w:rsidRPr="00801CFD">
        <w:t>Мохаммед бин Юссеф Яссим Джабер</w:t>
      </w:r>
      <w:r w:rsidRPr="00572BDD">
        <w:rPr>
          <w:b/>
        </w:rPr>
        <w:t xml:space="preserve"> аль-Тани</w:t>
      </w:r>
      <w:r w:rsidR="00572BDD">
        <w:br/>
      </w:r>
      <w:r w:rsidRPr="00801CFD">
        <w:t>заместитель начальника Департамента по правам человека</w:t>
      </w:r>
    </w:p>
    <w:p w:rsidR="00801CFD" w:rsidRPr="00801CFD" w:rsidRDefault="00801CFD" w:rsidP="00801CFD">
      <w:pPr>
        <w:pStyle w:val="SingleTxtGR"/>
      </w:pPr>
      <w:r w:rsidRPr="00801CFD">
        <w:t>Копии направлены:</w:t>
      </w:r>
    </w:p>
    <w:p w:rsidR="00801CFD" w:rsidRPr="00801CFD" w:rsidRDefault="00801CFD" w:rsidP="00801CFD">
      <w:pPr>
        <w:pStyle w:val="SingleTxtGR"/>
      </w:pPr>
      <w:r w:rsidRPr="00801CFD">
        <w:t>в канцелярию Министра иностранных дел</w:t>
      </w:r>
    </w:p>
    <w:p w:rsidR="00801CFD" w:rsidRPr="00801CFD" w:rsidRDefault="00801CFD" w:rsidP="00801CFD">
      <w:pPr>
        <w:pStyle w:val="SingleTxtGR"/>
      </w:pPr>
      <w:r w:rsidRPr="00801CFD">
        <w:t>в канцелярию Государственного министра по иностранным делам</w:t>
      </w:r>
    </w:p>
    <w:p w:rsidR="00801CFD" w:rsidRDefault="00801CFD" w:rsidP="00801CFD">
      <w:pPr>
        <w:pStyle w:val="SingleTxtGR"/>
      </w:pPr>
      <w:r w:rsidRPr="00801CFD">
        <w:t>в канцелярию Генерального секретаря</w:t>
      </w:r>
    </w:p>
    <w:p w:rsidR="00572BDD" w:rsidRPr="00572BDD" w:rsidRDefault="00572BDD" w:rsidP="00572BDD">
      <w:pPr>
        <w:pStyle w:val="SingleTxtGR"/>
        <w:spacing w:before="240" w:after="0"/>
        <w:jc w:val="center"/>
        <w:rPr>
          <w:u w:val="single"/>
        </w:rPr>
      </w:pPr>
      <w:r>
        <w:rPr>
          <w:u w:val="single"/>
        </w:rPr>
        <w:tab/>
      </w:r>
      <w:r>
        <w:rPr>
          <w:u w:val="single"/>
        </w:rPr>
        <w:tab/>
      </w:r>
      <w:r>
        <w:rPr>
          <w:u w:val="single"/>
        </w:rPr>
        <w:tab/>
      </w:r>
    </w:p>
    <w:p w:rsidR="00381C24" w:rsidRPr="00801CFD" w:rsidRDefault="00381C24" w:rsidP="002E5067">
      <w:pPr>
        <w:rPr>
          <w:lang w:val="en-US"/>
        </w:rPr>
      </w:pPr>
    </w:p>
    <w:sectPr w:rsidR="00381C24" w:rsidRPr="00801CFD" w:rsidSect="00801CF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8E" w:rsidRPr="00A312BC" w:rsidRDefault="0043478E" w:rsidP="00A312BC"/>
  </w:endnote>
  <w:endnote w:type="continuationSeparator" w:id="0">
    <w:p w:rsidR="0043478E" w:rsidRPr="00A312BC" w:rsidRDefault="0043478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FD" w:rsidRPr="00801CFD" w:rsidRDefault="00801CFD">
    <w:pPr>
      <w:pStyle w:val="a8"/>
    </w:pPr>
    <w:r w:rsidRPr="00801CFD">
      <w:rPr>
        <w:b/>
        <w:sz w:val="18"/>
      </w:rPr>
      <w:fldChar w:fldCharType="begin"/>
    </w:r>
    <w:r w:rsidRPr="00801CFD">
      <w:rPr>
        <w:b/>
        <w:sz w:val="18"/>
      </w:rPr>
      <w:instrText xml:space="preserve"> PAGE  \* MERGEFORMAT </w:instrText>
    </w:r>
    <w:r w:rsidRPr="00801CFD">
      <w:rPr>
        <w:b/>
        <w:sz w:val="18"/>
      </w:rPr>
      <w:fldChar w:fldCharType="separate"/>
    </w:r>
    <w:r w:rsidR="004A158D">
      <w:rPr>
        <w:b/>
        <w:noProof/>
        <w:sz w:val="18"/>
      </w:rPr>
      <w:t>2</w:t>
    </w:r>
    <w:r w:rsidRPr="00801CFD">
      <w:rPr>
        <w:b/>
        <w:sz w:val="18"/>
      </w:rPr>
      <w:fldChar w:fldCharType="end"/>
    </w:r>
    <w:r>
      <w:rPr>
        <w:b/>
        <w:sz w:val="18"/>
      </w:rPr>
      <w:tab/>
    </w:r>
    <w:r>
      <w:t>GE.17-21790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FD" w:rsidRPr="00801CFD" w:rsidRDefault="00801CFD" w:rsidP="00801CFD">
    <w:pPr>
      <w:pStyle w:val="a8"/>
      <w:tabs>
        <w:tab w:val="clear" w:pos="9639"/>
        <w:tab w:val="right" w:pos="9638"/>
      </w:tabs>
      <w:rPr>
        <w:b/>
        <w:sz w:val="18"/>
      </w:rPr>
    </w:pPr>
    <w:r>
      <w:t>GE.17-21790</w:t>
    </w:r>
    <w:r>
      <w:tab/>
    </w:r>
    <w:r w:rsidRPr="00801CFD">
      <w:rPr>
        <w:b/>
        <w:sz w:val="18"/>
      </w:rPr>
      <w:fldChar w:fldCharType="begin"/>
    </w:r>
    <w:r w:rsidRPr="00801CFD">
      <w:rPr>
        <w:b/>
        <w:sz w:val="18"/>
      </w:rPr>
      <w:instrText xml:space="preserve"> PAGE  \* MERGEFORMAT </w:instrText>
    </w:r>
    <w:r w:rsidRPr="00801CFD">
      <w:rPr>
        <w:b/>
        <w:sz w:val="18"/>
      </w:rPr>
      <w:fldChar w:fldCharType="separate"/>
    </w:r>
    <w:r w:rsidR="004A158D">
      <w:rPr>
        <w:b/>
        <w:noProof/>
        <w:sz w:val="18"/>
      </w:rPr>
      <w:t>3</w:t>
    </w:r>
    <w:r w:rsidRPr="00801C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01CFD" w:rsidRDefault="00801CFD" w:rsidP="00801CFD">
    <w:pPr>
      <w:spacing w:before="120" w:line="240" w:lineRule="auto"/>
    </w:pPr>
    <w:r>
      <w:t>GE.</w:t>
    </w:r>
    <w:r w:rsidR="00DF71B9">
      <w:rPr>
        <w:b/>
        <w:noProof/>
        <w:lang w:eastAsia="ru-RU"/>
      </w:rPr>
      <w:drawing>
        <wp:anchor distT="0" distB="0" distL="114300" distR="114300" simplePos="0" relativeHeight="251660288"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17-21790  (R)</w:t>
    </w:r>
    <w:r w:rsidR="00785220">
      <w:rPr>
        <w:lang w:val="en-US"/>
      </w:rPr>
      <w:t xml:space="preserve">  121217  121217</w:t>
    </w:r>
    <w:r>
      <w:br/>
    </w:r>
    <w:r w:rsidRPr="00801CFD">
      <w:rPr>
        <w:rFonts w:ascii="C39T30Lfz" w:hAnsi="C39T30Lfz"/>
        <w:spacing w:val="0"/>
        <w:w w:val="100"/>
        <w:sz w:val="56"/>
      </w:rPr>
      <w:t></w:t>
    </w:r>
    <w:r w:rsidRPr="00801CFD">
      <w:rPr>
        <w:rFonts w:ascii="C39T30Lfz" w:hAnsi="C39T30Lfz"/>
        <w:spacing w:val="0"/>
        <w:w w:val="100"/>
        <w:sz w:val="56"/>
      </w:rPr>
      <w:t></w:t>
    </w:r>
    <w:r w:rsidRPr="00801CFD">
      <w:rPr>
        <w:rFonts w:ascii="C39T30Lfz" w:hAnsi="C39T30Lfz"/>
        <w:spacing w:val="0"/>
        <w:w w:val="100"/>
        <w:sz w:val="56"/>
      </w:rPr>
      <w:t></w:t>
    </w:r>
    <w:r w:rsidRPr="00801CFD">
      <w:rPr>
        <w:rFonts w:ascii="C39T30Lfz" w:hAnsi="C39T30Lfz"/>
        <w:spacing w:val="0"/>
        <w:w w:val="100"/>
        <w:sz w:val="56"/>
      </w:rPr>
      <w:t></w:t>
    </w:r>
    <w:r w:rsidRPr="00801CFD">
      <w:rPr>
        <w:rFonts w:ascii="C39T30Lfz" w:hAnsi="C39T30Lfz"/>
        <w:spacing w:val="0"/>
        <w:w w:val="100"/>
        <w:sz w:val="56"/>
      </w:rPr>
      <w:t></w:t>
    </w:r>
    <w:r w:rsidRPr="00801CFD">
      <w:rPr>
        <w:rFonts w:ascii="C39T30Lfz" w:hAnsi="C39T30Lfz"/>
        <w:spacing w:val="0"/>
        <w:w w:val="100"/>
        <w:sz w:val="56"/>
      </w:rPr>
      <w:t></w:t>
    </w:r>
    <w:r w:rsidRPr="00801CFD">
      <w:rPr>
        <w:rFonts w:ascii="C39T30Lfz" w:hAnsi="C39T30Lfz"/>
        <w:spacing w:val="0"/>
        <w:w w:val="100"/>
        <w:sz w:val="56"/>
      </w:rPr>
      <w:t></w:t>
    </w:r>
    <w:r w:rsidRPr="00801CFD">
      <w:rPr>
        <w:rFonts w:ascii="C39T30Lfz" w:hAnsi="C39T30Lfz"/>
        <w:spacing w:val="0"/>
        <w:w w:val="100"/>
        <w:sz w:val="56"/>
      </w:rPr>
      <w:t></w:t>
    </w:r>
    <w:r w:rsidRPr="00801CFD">
      <w:rPr>
        <w:rFonts w:ascii="C39T30Lfz" w:hAnsi="C39T30Lfz"/>
        <w:spacing w:val="0"/>
        <w:w w:val="100"/>
        <w:sz w:val="56"/>
      </w:rPr>
      <w:t></w:t>
    </w:r>
    <w:r>
      <w:rPr>
        <w:noProof/>
        <w:w w:val="100"/>
        <w:lang w:eastAsia="ru-RU"/>
      </w:rPr>
      <w:drawing>
        <wp:anchor distT="0" distB="0" distL="114300" distR="114300" simplePos="0" relativeHeight="25165824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QAT/CO/1/Ad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QAT/CO/1/Ad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8E" w:rsidRPr="001075E9" w:rsidRDefault="0043478E" w:rsidP="001075E9">
      <w:pPr>
        <w:tabs>
          <w:tab w:val="right" w:pos="2155"/>
        </w:tabs>
        <w:spacing w:after="80" w:line="240" w:lineRule="auto"/>
        <w:ind w:left="680"/>
        <w:rPr>
          <w:u w:val="single"/>
        </w:rPr>
      </w:pPr>
      <w:r>
        <w:rPr>
          <w:u w:val="single"/>
        </w:rPr>
        <w:tab/>
      </w:r>
    </w:p>
  </w:footnote>
  <w:footnote w:type="continuationSeparator" w:id="0">
    <w:p w:rsidR="0043478E" w:rsidRDefault="0043478E" w:rsidP="00407B78">
      <w:pPr>
        <w:tabs>
          <w:tab w:val="right" w:pos="2155"/>
        </w:tabs>
        <w:spacing w:after="80"/>
        <w:ind w:left="680"/>
        <w:rPr>
          <w:u w:val="single"/>
        </w:rPr>
      </w:pPr>
      <w:r>
        <w:rPr>
          <w:u w:val="single"/>
        </w:rPr>
        <w:tab/>
      </w:r>
    </w:p>
  </w:footnote>
  <w:footnote w:id="1">
    <w:p w:rsidR="00801CFD" w:rsidRPr="002F14A5" w:rsidRDefault="00801CFD" w:rsidP="00801CFD">
      <w:pPr>
        <w:pStyle w:val="ad"/>
        <w:rPr>
          <w:szCs w:val="26"/>
          <w:lang w:val="ru-RU"/>
        </w:rPr>
      </w:pPr>
      <w:r>
        <w:rPr>
          <w:lang w:val="ru-RU"/>
        </w:rPr>
        <w:tab/>
      </w:r>
      <w:r w:rsidRPr="00785220">
        <w:rPr>
          <w:sz w:val="20"/>
          <w:lang w:val="ru-RU"/>
        </w:rPr>
        <w:t>*</w:t>
      </w:r>
      <w:r>
        <w:rPr>
          <w:lang w:val="ru-RU"/>
        </w:rPr>
        <w:tab/>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FD" w:rsidRPr="00801CFD" w:rsidRDefault="00801CFD">
    <w:pPr>
      <w:pStyle w:val="a5"/>
    </w:pPr>
    <w:fldSimple w:instr=" TITLE  \* MERGEFORMAT ">
      <w:r w:rsidR="004A158D">
        <w:t>CRPD/C/QAT/CO/1/Add.2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FD" w:rsidRPr="00801CFD" w:rsidRDefault="00801CFD" w:rsidP="00801CFD">
    <w:pPr>
      <w:pStyle w:val="a5"/>
      <w:jc w:val="right"/>
    </w:pPr>
    <w:fldSimple w:instr=" TITLE  \* MERGEFORMAT ">
      <w:r w:rsidR="004A158D">
        <w:t>CRPD/C/QAT/CO/1/Add.2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8E"/>
    <w:rsid w:val="00026643"/>
    <w:rsid w:val="00033EE1"/>
    <w:rsid w:val="00042B72"/>
    <w:rsid w:val="000558BD"/>
    <w:rsid w:val="000B57E7"/>
    <w:rsid w:val="000B6373"/>
    <w:rsid w:val="000B732B"/>
    <w:rsid w:val="000F09DF"/>
    <w:rsid w:val="000F61B2"/>
    <w:rsid w:val="001075E9"/>
    <w:rsid w:val="00180183"/>
    <w:rsid w:val="0018024D"/>
    <w:rsid w:val="0018649F"/>
    <w:rsid w:val="00196389"/>
    <w:rsid w:val="001B3EF6"/>
    <w:rsid w:val="001C499F"/>
    <w:rsid w:val="001C7A89"/>
    <w:rsid w:val="00215062"/>
    <w:rsid w:val="0027441B"/>
    <w:rsid w:val="002846B3"/>
    <w:rsid w:val="002A2EFC"/>
    <w:rsid w:val="002A6392"/>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3478E"/>
    <w:rsid w:val="00452493"/>
    <w:rsid w:val="00453318"/>
    <w:rsid w:val="00454E07"/>
    <w:rsid w:val="00472C5C"/>
    <w:rsid w:val="004A158D"/>
    <w:rsid w:val="0050108D"/>
    <w:rsid w:val="00513081"/>
    <w:rsid w:val="00517901"/>
    <w:rsid w:val="00526683"/>
    <w:rsid w:val="005709E0"/>
    <w:rsid w:val="00572BDD"/>
    <w:rsid w:val="00572E19"/>
    <w:rsid w:val="005961C8"/>
    <w:rsid w:val="005966F1"/>
    <w:rsid w:val="005D7914"/>
    <w:rsid w:val="005E2B41"/>
    <w:rsid w:val="005F0B42"/>
    <w:rsid w:val="006631F1"/>
    <w:rsid w:val="00681A10"/>
    <w:rsid w:val="006A1ED8"/>
    <w:rsid w:val="006B5625"/>
    <w:rsid w:val="006C2031"/>
    <w:rsid w:val="006D461A"/>
    <w:rsid w:val="006F35EE"/>
    <w:rsid w:val="006F6486"/>
    <w:rsid w:val="007021FF"/>
    <w:rsid w:val="00712895"/>
    <w:rsid w:val="00757357"/>
    <w:rsid w:val="00785220"/>
    <w:rsid w:val="007C3F50"/>
    <w:rsid w:val="00801CFD"/>
    <w:rsid w:val="00806737"/>
    <w:rsid w:val="00825F8D"/>
    <w:rsid w:val="00833758"/>
    <w:rsid w:val="00834B71"/>
    <w:rsid w:val="0086445C"/>
    <w:rsid w:val="008934D2"/>
    <w:rsid w:val="00894693"/>
    <w:rsid w:val="008A08D7"/>
    <w:rsid w:val="008B6909"/>
    <w:rsid w:val="008F24FF"/>
    <w:rsid w:val="00903712"/>
    <w:rsid w:val="00906890"/>
    <w:rsid w:val="00911BE4"/>
    <w:rsid w:val="009461B8"/>
    <w:rsid w:val="00951972"/>
    <w:rsid w:val="009608F3"/>
    <w:rsid w:val="009A24AC"/>
    <w:rsid w:val="00A14DA8"/>
    <w:rsid w:val="00A312BC"/>
    <w:rsid w:val="00A84021"/>
    <w:rsid w:val="00A84D35"/>
    <w:rsid w:val="00A917B3"/>
    <w:rsid w:val="00AB4B51"/>
    <w:rsid w:val="00AC12E8"/>
    <w:rsid w:val="00B10CC7"/>
    <w:rsid w:val="00B36DF7"/>
    <w:rsid w:val="00B539E7"/>
    <w:rsid w:val="00B62458"/>
    <w:rsid w:val="00BC18B2"/>
    <w:rsid w:val="00BD33EE"/>
    <w:rsid w:val="00C106D6"/>
    <w:rsid w:val="00C60F0C"/>
    <w:rsid w:val="00C805C9"/>
    <w:rsid w:val="00C92939"/>
    <w:rsid w:val="00CA1679"/>
    <w:rsid w:val="00CB151C"/>
    <w:rsid w:val="00CE5A1A"/>
    <w:rsid w:val="00CF3BD7"/>
    <w:rsid w:val="00CF55F6"/>
    <w:rsid w:val="00D33D63"/>
    <w:rsid w:val="00D90028"/>
    <w:rsid w:val="00D90138"/>
    <w:rsid w:val="00DD78D1"/>
    <w:rsid w:val="00DE32CD"/>
    <w:rsid w:val="00DF71B9"/>
    <w:rsid w:val="00E30B7B"/>
    <w:rsid w:val="00E73F76"/>
    <w:rsid w:val="00E77684"/>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4794A9-DF78-40E7-965F-81E1D504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7C3F50"/>
    <w:rPr>
      <w:b/>
      <w:spacing w:val="4"/>
      <w:w w:val="103"/>
      <w:kern w:val="14"/>
      <w:sz w:val="18"/>
      <w:lang w:val="en-GB" w:eastAsia="ru-RU"/>
    </w:rPr>
  </w:style>
  <w:style w:type="character" w:styleId="a7">
    <w:name w:val="page number"/>
    <w:aliases w:val="7_GR"/>
    <w:basedOn w:val="a0"/>
    <w:qFormat/>
    <w:rsid w:val="007C3F50"/>
    <w:rPr>
      <w:rFonts w:ascii="Times New Roman" w:hAnsi="Times New Roman"/>
      <w:b/>
      <w:sz w:val="18"/>
    </w:rPr>
  </w:style>
  <w:style w:type="paragraph" w:styleId="a8">
    <w:name w:val="footer"/>
    <w:aliases w:val="3_GR"/>
    <w:basedOn w:val="a"/>
    <w:link w:val="a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7C3F50"/>
    <w:rPr>
      <w:spacing w:val="4"/>
      <w:w w:val="103"/>
      <w:kern w:val="14"/>
      <w:sz w:val="16"/>
      <w:lang w:val="en-GB" w:eastAsia="ru-RU"/>
    </w:rPr>
  </w:style>
  <w:style w:type="character" w:styleId="aa">
    <w:name w:val="footnote reference"/>
    <w:aliases w:val="4_GR"/>
    <w:basedOn w:val="a0"/>
    <w:qFormat/>
    <w:rsid w:val="007C3F50"/>
    <w:rPr>
      <w:rFonts w:ascii="Times New Roman" w:hAnsi="Times New Roman"/>
      <w:dstrike w:val="0"/>
      <w:sz w:val="18"/>
      <w:vertAlign w:val="superscript"/>
    </w:rPr>
  </w:style>
  <w:style w:type="character" w:styleId="ab">
    <w:name w:val="endnote reference"/>
    <w:aliases w:val="1_GR"/>
    <w:basedOn w:val="aa"/>
    <w:qFormat/>
    <w:rsid w:val="007C3F50"/>
    <w:rPr>
      <w:rFonts w:ascii="Times New Roman" w:hAnsi="Times New Roman"/>
      <w:dstrike w:val="0"/>
      <w:sz w:val="18"/>
      <w:vertAlign w:val="superscript"/>
    </w:rPr>
  </w:style>
  <w:style w:type="table" w:styleId="ac">
    <w:name w:val="Table Grid"/>
    <w:basedOn w:val="a1"/>
    <w:uiPriority w:val="59"/>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7C3F50"/>
    <w:rPr>
      <w:spacing w:val="5"/>
      <w:w w:val="104"/>
      <w:kern w:val="14"/>
      <w:sz w:val="18"/>
      <w:lang w:val="en-GB" w:eastAsia="ru-RU"/>
    </w:rPr>
  </w:style>
  <w:style w:type="paragraph" w:styleId="af">
    <w:name w:val="endnote text"/>
    <w:aliases w:val="2_GR"/>
    <w:basedOn w:val="ad"/>
    <w:link w:val="af0"/>
    <w:qFormat/>
    <w:rsid w:val="007C3F50"/>
  </w:style>
  <w:style w:type="character" w:customStyle="1" w:styleId="af0">
    <w:name w:val="Текст концевой сноски Знак"/>
    <w:aliases w:val="2_GR Знак"/>
    <w:basedOn w:val="a0"/>
    <w:link w:val="af"/>
    <w:rsid w:val="007C3F50"/>
    <w:rPr>
      <w:spacing w:val="5"/>
      <w:w w:val="104"/>
      <w:kern w:val="14"/>
      <w:sz w:val="18"/>
      <w:lang w:val="en-GB" w:eastAsia="ru-RU"/>
    </w:rPr>
  </w:style>
  <w:style w:type="character" w:customStyle="1" w:styleId="10">
    <w:name w:val="Заголовок 1 Знак"/>
    <w:aliases w:val="Table_GR Знак"/>
    <w:basedOn w:val="a0"/>
    <w:link w:val="1"/>
    <w:rsid w:val="007C3F50"/>
    <w:rPr>
      <w:rFonts w:cs="Arial"/>
      <w:b/>
      <w:bCs/>
      <w:spacing w:val="4"/>
      <w:w w:val="103"/>
      <w:kern w:val="14"/>
      <w:szCs w:val="32"/>
      <w:lang w:val="ru-RU" w:eastAsia="ru-RU"/>
    </w:rPr>
  </w:style>
  <w:style w:type="character" w:styleId="af1">
    <w:name w:val="Hyperlink"/>
    <w:basedOn w:val="a0"/>
    <w:semiHidden/>
    <w:unhideWhenUsed/>
    <w:rsid w:val="007C3F50"/>
    <w:rPr>
      <w:color w:val="0000FF" w:themeColor="hyperlink"/>
      <w:u w:val="none"/>
    </w:rPr>
  </w:style>
  <w:style w:type="character" w:styleId="af2">
    <w:name w:val="FollowedHyperlink"/>
    <w:basedOn w:val="a0"/>
    <w:semiHidden/>
    <w:unhideWhenUsed/>
    <w:rsid w:val="007C3F50"/>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83CEA-ACD8-4672-B537-FEB1B1DA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TotalTime>
  <Pages>4</Pages>
  <Words>918</Words>
  <Characters>6447</Characters>
  <Application>Microsoft Office Word</Application>
  <DocSecurity>0</DocSecurity>
  <Lines>140</Lines>
  <Paragraphs>60</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CRPD/C/QAT/CO/1/Add.2</vt:lpstr>
      <vt:lpstr>A/</vt:lpstr>
    </vt:vector>
  </TitlesOfParts>
  <Company>DCM</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CRPD/C/QAT/CO/1/Add.2</dc:title>
  <dc:subject/>
  <dc:creator>Sharkina</dc:creator>
  <cp:keywords/>
  <cp:lastModifiedBy>Sharkina</cp:lastModifiedBy>
  <cp:revision>4</cp:revision>
  <cp:lastPrinted>2017-12-12T13:00:00Z</cp:lastPrinted>
  <dcterms:created xsi:type="dcterms:W3CDTF">2017-12-12T12:58:00Z</dcterms:created>
  <dcterms:modified xsi:type="dcterms:W3CDTF">2017-12-12T13:02:00Z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