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8147D5" w:rsidRPr="00DB7679" w:rsidTr="00D90797">
        <w:trPr>
          <w:trHeight w:hRule="exact" w:val="810"/>
        </w:trPr>
        <w:tc>
          <w:tcPr>
            <w:tcW w:w="1274" w:type="dxa"/>
            <w:tcBorders>
              <w:top w:val="nil"/>
              <w:bottom w:val="single" w:sz="4" w:space="0" w:color="auto"/>
            </w:tcBorders>
          </w:tcPr>
          <w:p w:rsidR="008147D5" w:rsidRPr="00983870" w:rsidRDefault="008147D5" w:rsidP="008147D5">
            <w:pPr>
              <w:bidi w:val="0"/>
              <w:jc w:val="right"/>
              <w:rPr>
                <w:rFonts w:hint="cs"/>
                <w:rtl/>
              </w:rPr>
            </w:pPr>
            <w:bookmarkStart w:id="0" w:name="_Hlk31100334"/>
          </w:p>
        </w:tc>
        <w:tc>
          <w:tcPr>
            <w:tcW w:w="4767" w:type="dxa"/>
            <w:tcBorders>
              <w:top w:val="nil"/>
              <w:bottom w:val="single" w:sz="4" w:space="0" w:color="auto"/>
            </w:tcBorders>
            <w:vAlign w:val="bottom"/>
          </w:tcPr>
          <w:p w:rsidR="008147D5" w:rsidRPr="00DB7679" w:rsidRDefault="008147D5" w:rsidP="008147D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8147D5" w:rsidRPr="00243C8A" w:rsidRDefault="008147D5" w:rsidP="008147D5">
            <w:pPr>
              <w:bidi w:val="0"/>
              <w:spacing w:after="20"/>
              <w:jc w:val="left"/>
              <w:rPr>
                <w:szCs w:val="20"/>
              </w:rPr>
            </w:pPr>
            <w:r w:rsidRPr="00E751E9">
              <w:rPr>
                <w:sz w:val="40"/>
              </w:rPr>
              <w:t>CAT</w:t>
            </w:r>
            <w:r>
              <w:t>/C/67/D/854/2017</w:t>
            </w:r>
          </w:p>
        </w:tc>
      </w:tr>
    </w:tbl>
    <w:p w:rsidR="008147D5" w:rsidRDefault="008147D5" w:rsidP="008147D5">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8147D5" w:rsidRPr="00DB7679" w:rsidTr="00D90797">
        <w:trPr>
          <w:trHeight w:hRule="exact" w:val="2835"/>
        </w:trPr>
        <w:tc>
          <w:tcPr>
            <w:tcW w:w="1274" w:type="dxa"/>
            <w:tcBorders>
              <w:top w:val="nil"/>
              <w:bottom w:val="single" w:sz="12" w:space="0" w:color="auto"/>
            </w:tcBorders>
          </w:tcPr>
          <w:p w:rsidR="008147D5" w:rsidRPr="00DB7679" w:rsidRDefault="008147D5" w:rsidP="008147D5">
            <w:pPr>
              <w:jc w:val="center"/>
              <w:rPr>
                <w:rtl/>
              </w:rPr>
            </w:pPr>
            <w:r>
              <w:rPr>
                <w:noProof/>
              </w:rPr>
              <w:drawing>
                <wp:anchor distT="0" distB="0" distL="114300" distR="114300" simplePos="0" relativeHeight="251658752" behindDoc="1" locked="0" layoutInCell="1" allowOverlap="1" wp14:anchorId="45EA0C50" wp14:editId="3EE72F3B">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8147D5" w:rsidRPr="00817373" w:rsidRDefault="008147D5" w:rsidP="008147D5">
            <w:pPr>
              <w:spacing w:before="120" w:after="40" w:line="580" w:lineRule="exact"/>
              <w:rPr>
                <w:b/>
                <w:bCs/>
                <w:sz w:val="52"/>
                <w:szCs w:val="52"/>
                <w:rtl/>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8147D5" w:rsidRDefault="008147D5" w:rsidP="008147D5">
            <w:pPr>
              <w:bidi w:val="0"/>
              <w:spacing w:before="240" w:line="240" w:lineRule="exact"/>
              <w:jc w:val="left"/>
              <w:rPr>
                <w:szCs w:val="20"/>
              </w:rPr>
            </w:pPr>
            <w:r>
              <w:rPr>
                <w:szCs w:val="20"/>
              </w:rPr>
              <w:t xml:space="preserve">Distr.: </w:t>
            </w:r>
            <w:r w:rsidRPr="00851613">
              <w:rPr>
                <w:rFonts w:cs="Times New Roman"/>
                <w:szCs w:val="20"/>
                <w:lang w:val="en-GB"/>
              </w:rPr>
              <w:t>General</w:t>
            </w:r>
          </w:p>
          <w:p w:rsidR="008147D5" w:rsidRDefault="00CC701B" w:rsidP="008147D5">
            <w:pPr>
              <w:bidi w:val="0"/>
              <w:jc w:val="left"/>
              <w:rPr>
                <w:szCs w:val="20"/>
              </w:rPr>
            </w:pPr>
            <w:r>
              <w:rPr>
                <w:szCs w:val="20"/>
              </w:rPr>
              <w:t>11</w:t>
            </w:r>
            <w:r w:rsidR="008147D5">
              <w:rPr>
                <w:szCs w:val="20"/>
              </w:rPr>
              <w:t xml:space="preserve"> </w:t>
            </w:r>
            <w:r>
              <w:rPr>
                <w:rFonts w:cs="Times New Roman"/>
                <w:szCs w:val="20"/>
                <w:lang w:val="en-GB"/>
              </w:rPr>
              <w:t xml:space="preserve">September </w:t>
            </w:r>
            <w:r>
              <w:rPr>
                <w:szCs w:val="20"/>
              </w:rPr>
              <w:t>2019</w:t>
            </w:r>
          </w:p>
          <w:p w:rsidR="008147D5" w:rsidRDefault="008147D5" w:rsidP="008147D5">
            <w:pPr>
              <w:bidi w:val="0"/>
              <w:jc w:val="left"/>
              <w:rPr>
                <w:szCs w:val="20"/>
              </w:rPr>
            </w:pPr>
            <w:r>
              <w:rPr>
                <w:szCs w:val="20"/>
              </w:rPr>
              <w:t>Arabic</w:t>
            </w:r>
          </w:p>
          <w:p w:rsidR="008147D5" w:rsidRPr="008B4BC6" w:rsidRDefault="008147D5" w:rsidP="008147D5">
            <w:pPr>
              <w:bidi w:val="0"/>
              <w:jc w:val="left"/>
            </w:pPr>
            <w:r w:rsidRPr="00851613">
              <w:rPr>
                <w:rFonts w:cs="Times New Roman"/>
                <w:szCs w:val="20"/>
                <w:lang w:val="en-GB"/>
              </w:rPr>
              <w:t>Original</w:t>
            </w:r>
            <w:r>
              <w:rPr>
                <w:szCs w:val="20"/>
              </w:rPr>
              <w:t>: English</w:t>
            </w:r>
          </w:p>
        </w:tc>
      </w:tr>
    </w:tbl>
    <w:p w:rsidR="008147D5" w:rsidRPr="004568F8" w:rsidRDefault="008147D5" w:rsidP="008147D5">
      <w:pPr>
        <w:spacing w:before="120" w:after="120" w:line="380" w:lineRule="exact"/>
        <w:rPr>
          <w:b/>
          <w:bCs/>
          <w:sz w:val="26"/>
          <w:szCs w:val="36"/>
          <w:rtl/>
        </w:rPr>
      </w:pPr>
      <w:r w:rsidRPr="004568F8">
        <w:rPr>
          <w:b/>
          <w:bCs/>
          <w:sz w:val="26"/>
          <w:szCs w:val="36"/>
          <w:rtl/>
          <w:cs/>
        </w:rPr>
        <w:t>‎لجنة مناهضة التعذيب‏‏</w:t>
      </w:r>
    </w:p>
    <w:bookmarkEnd w:id="0"/>
    <w:p w:rsidR="00CC701B" w:rsidRPr="00CC701B" w:rsidRDefault="00CC701B" w:rsidP="00CC701B">
      <w:pPr>
        <w:pStyle w:val="HChGA"/>
        <w:rPr>
          <w:rtl/>
        </w:rPr>
      </w:pPr>
      <w:r w:rsidRPr="00CC701B">
        <w:rPr>
          <w:rtl/>
        </w:rPr>
        <w:tab/>
      </w:r>
      <w:r w:rsidRPr="00CC701B">
        <w:rPr>
          <w:rtl/>
        </w:rPr>
        <w:tab/>
        <w:t xml:space="preserve">قرار </w:t>
      </w:r>
      <w:r w:rsidRPr="00CC701B">
        <w:rPr>
          <w:rFonts w:hint="cs"/>
          <w:rtl/>
        </w:rPr>
        <w:t xml:space="preserve">اعتمدته </w:t>
      </w:r>
      <w:r w:rsidRPr="00CC701B">
        <w:rPr>
          <w:rtl/>
        </w:rPr>
        <w:t>اللجنة بموجب المادة ٢٢ من الاتفاقية، بشأن البلاغ رقم</w:t>
      </w:r>
      <w:r w:rsidR="00F150FE">
        <w:rPr>
          <w:rFonts w:hint="cs"/>
          <w:rtl/>
        </w:rPr>
        <w:t> </w:t>
      </w:r>
      <w:r w:rsidRPr="00CC701B">
        <w:rPr>
          <w:rtl/>
        </w:rPr>
        <w:t>٨٥٤/٢٠١٧</w:t>
      </w:r>
      <w:r w:rsidRPr="00CC701B">
        <w:rPr>
          <w:rStyle w:val="FootnoteReference"/>
          <w:sz w:val="20"/>
          <w:vertAlign w:val="baseline"/>
          <w:rtl/>
        </w:rPr>
        <w:footnoteReference w:customMarkFollows="1" w:id="1"/>
        <w:t>*</w:t>
      </w:r>
      <w:r>
        <w:rPr>
          <w:rFonts w:hint="cs"/>
          <w:rtl/>
        </w:rPr>
        <w:t xml:space="preserve"> </w:t>
      </w:r>
      <w:r w:rsidRPr="00CC701B">
        <w:rPr>
          <w:rStyle w:val="FootnoteReference"/>
          <w:sz w:val="20"/>
          <w:vertAlign w:val="baseline"/>
          <w:rtl/>
        </w:rPr>
        <w:footnoteReference w:customMarkFollows="1" w:id="2"/>
        <w:t>**</w:t>
      </w:r>
    </w:p>
    <w:p w:rsidR="00CC701B" w:rsidRPr="00CC701B" w:rsidRDefault="00CC701B" w:rsidP="00F150FE">
      <w:pPr>
        <w:pStyle w:val="SingleTxtGA"/>
        <w:tabs>
          <w:tab w:val="clear" w:pos="1928"/>
        </w:tabs>
        <w:ind w:left="4649" w:hanging="2721"/>
        <w:rPr>
          <w:rtl/>
        </w:rPr>
      </w:pPr>
      <w:r w:rsidRPr="00CC701B">
        <w:rPr>
          <w:i/>
          <w:iCs/>
          <w:rtl/>
        </w:rPr>
        <w:t>بلاغ مقدم من:</w:t>
      </w:r>
      <w:r>
        <w:rPr>
          <w:i/>
          <w:iCs/>
          <w:rtl/>
        </w:rPr>
        <w:tab/>
      </w:r>
      <w:r>
        <w:rPr>
          <w:i/>
          <w:iCs/>
          <w:rtl/>
        </w:rPr>
        <w:tab/>
      </w:r>
      <w:r w:rsidRPr="00CC701B">
        <w:rPr>
          <w:rtl/>
        </w:rPr>
        <w:tab/>
        <w:t>ألف (يمثلها المحامي فيليب غران، الرابطة السويسرية لمكافحة الإفلات من العقاب)</w:t>
      </w:r>
    </w:p>
    <w:p w:rsidR="00CC701B" w:rsidRPr="00CC701B" w:rsidRDefault="00CC701B" w:rsidP="00F150FE">
      <w:pPr>
        <w:pStyle w:val="SingleTxtGA"/>
        <w:tabs>
          <w:tab w:val="clear" w:pos="1928"/>
        </w:tabs>
        <w:ind w:left="4649" w:hanging="2721"/>
        <w:rPr>
          <w:rtl/>
        </w:rPr>
      </w:pPr>
      <w:r w:rsidRPr="00CC701B">
        <w:rPr>
          <w:i/>
          <w:iCs/>
          <w:rtl/>
        </w:rPr>
        <w:t>الشخص المدعى أنه ضحية:</w:t>
      </w:r>
      <w:r w:rsidRPr="00CC701B">
        <w:rPr>
          <w:rtl/>
        </w:rPr>
        <w:tab/>
      </w:r>
      <w:r w:rsidRPr="00CC701B">
        <w:rPr>
          <w:rFonts w:hint="cs"/>
          <w:rtl/>
        </w:rPr>
        <w:t xml:space="preserve">صاحبة </w:t>
      </w:r>
      <w:r w:rsidRPr="00CC701B">
        <w:rPr>
          <w:rtl/>
        </w:rPr>
        <w:t>الشكوى</w:t>
      </w:r>
    </w:p>
    <w:p w:rsidR="00CC701B" w:rsidRPr="00CC701B" w:rsidRDefault="00CC701B" w:rsidP="00F150FE">
      <w:pPr>
        <w:pStyle w:val="SingleTxtGA"/>
        <w:tabs>
          <w:tab w:val="clear" w:pos="1928"/>
        </w:tabs>
        <w:ind w:left="4649" w:hanging="2721"/>
        <w:rPr>
          <w:rtl/>
        </w:rPr>
      </w:pPr>
      <w:r w:rsidRPr="00CC701B">
        <w:rPr>
          <w:i/>
          <w:iCs/>
          <w:rtl/>
        </w:rPr>
        <w:t>الدولة الطرف:</w:t>
      </w:r>
      <w:r w:rsidRPr="00CC701B">
        <w:rPr>
          <w:rtl/>
        </w:rPr>
        <w:tab/>
      </w:r>
      <w:r>
        <w:rPr>
          <w:rtl/>
        </w:rPr>
        <w:tab/>
      </w:r>
      <w:r>
        <w:rPr>
          <w:rtl/>
        </w:rPr>
        <w:tab/>
      </w:r>
      <w:r w:rsidRPr="00CC701B">
        <w:rPr>
          <w:rtl/>
        </w:rPr>
        <w:t>البوسنة والهرسك</w:t>
      </w:r>
    </w:p>
    <w:p w:rsidR="00CC701B" w:rsidRPr="00CC701B" w:rsidRDefault="00CC701B" w:rsidP="00F150FE">
      <w:pPr>
        <w:pStyle w:val="SingleTxtGA"/>
        <w:tabs>
          <w:tab w:val="clear" w:pos="1928"/>
        </w:tabs>
        <w:ind w:left="4649" w:hanging="2721"/>
        <w:rPr>
          <w:rtl/>
        </w:rPr>
      </w:pPr>
      <w:r w:rsidRPr="00CC701B">
        <w:rPr>
          <w:i/>
          <w:iCs/>
          <w:rtl/>
        </w:rPr>
        <w:t>تاريخ تقديم الشكوى:</w:t>
      </w:r>
      <w:r>
        <w:rPr>
          <w:i/>
          <w:iCs/>
          <w:rtl/>
        </w:rPr>
        <w:tab/>
      </w:r>
      <w:r w:rsidRPr="00CC701B">
        <w:rPr>
          <w:rtl/>
        </w:rPr>
        <w:tab/>
        <w:t>١ تشرين الثاني/نوفمبر ٢٠١٧ (</w:t>
      </w:r>
      <w:r w:rsidRPr="00CC701B">
        <w:rPr>
          <w:rFonts w:hint="cs"/>
          <w:rtl/>
        </w:rPr>
        <w:t xml:space="preserve">تاريخ </w:t>
      </w:r>
      <w:r w:rsidRPr="00CC701B">
        <w:rPr>
          <w:rtl/>
        </w:rPr>
        <w:t>الرسالة الأولى)</w:t>
      </w:r>
    </w:p>
    <w:p w:rsidR="00CC701B" w:rsidRPr="00CC701B" w:rsidRDefault="00CC701B" w:rsidP="00F150FE">
      <w:pPr>
        <w:pStyle w:val="SingleTxtGA"/>
        <w:tabs>
          <w:tab w:val="clear" w:pos="1928"/>
        </w:tabs>
        <w:ind w:left="4649" w:hanging="2721"/>
        <w:rPr>
          <w:rtl/>
        </w:rPr>
      </w:pPr>
      <w:r w:rsidRPr="00CC701B">
        <w:rPr>
          <w:i/>
          <w:iCs/>
          <w:rtl/>
        </w:rPr>
        <w:t>الوثائق المرجعية:</w:t>
      </w:r>
      <w:r w:rsidRPr="00CC701B">
        <w:rPr>
          <w:rtl/>
        </w:rPr>
        <w:tab/>
      </w:r>
      <w:r>
        <w:rPr>
          <w:rtl/>
        </w:rPr>
        <w:tab/>
      </w:r>
      <w:r>
        <w:rPr>
          <w:rtl/>
        </w:rPr>
        <w:tab/>
      </w:r>
      <w:r w:rsidRPr="00CC701B">
        <w:rPr>
          <w:rtl/>
        </w:rPr>
        <w:t>القرار المتخذ عملا</w:t>
      </w:r>
      <w:r w:rsidRPr="00CC701B">
        <w:rPr>
          <w:rFonts w:hint="cs"/>
          <w:rtl/>
        </w:rPr>
        <w:t>ً</w:t>
      </w:r>
      <w:r w:rsidRPr="00CC701B">
        <w:rPr>
          <w:rtl/>
        </w:rPr>
        <w:t xml:space="preserve"> بالمادة ١١٥ من النظام الداخلي للجنة، والمحال إلى الدولة الطرف في ١٠ أيار/مايو ٢٠١٦ (لم يصدر في شكل وثيقة)</w:t>
      </w:r>
    </w:p>
    <w:p w:rsidR="00CC701B" w:rsidRPr="00CC701B" w:rsidRDefault="00CC701B" w:rsidP="00F150FE">
      <w:pPr>
        <w:pStyle w:val="SingleTxtGA"/>
        <w:tabs>
          <w:tab w:val="clear" w:pos="1928"/>
        </w:tabs>
        <w:ind w:left="4649" w:hanging="2721"/>
        <w:rPr>
          <w:rtl/>
        </w:rPr>
      </w:pPr>
      <w:r w:rsidRPr="00CC701B">
        <w:rPr>
          <w:i/>
          <w:iCs/>
          <w:rtl/>
        </w:rPr>
        <w:t>تاريخ اعتماد هذا القرار:</w:t>
      </w:r>
      <w:r>
        <w:rPr>
          <w:i/>
          <w:iCs/>
          <w:rtl/>
        </w:rPr>
        <w:tab/>
      </w:r>
      <w:r w:rsidRPr="00CC701B">
        <w:rPr>
          <w:rtl/>
        </w:rPr>
        <w:tab/>
        <w:t>٢ آب/أغسطس ٢٠١٩</w:t>
      </w:r>
    </w:p>
    <w:p w:rsidR="00CC701B" w:rsidRPr="00CC701B" w:rsidRDefault="00CC701B" w:rsidP="00F150FE">
      <w:pPr>
        <w:pStyle w:val="SingleTxtGA"/>
        <w:tabs>
          <w:tab w:val="clear" w:pos="1928"/>
        </w:tabs>
        <w:ind w:left="4649" w:hanging="2721"/>
        <w:rPr>
          <w:rtl/>
        </w:rPr>
      </w:pPr>
      <w:r w:rsidRPr="00CC701B">
        <w:rPr>
          <w:i/>
          <w:iCs/>
          <w:rtl/>
        </w:rPr>
        <w:t>الموضوع:</w:t>
      </w:r>
      <w:r w:rsidRPr="00CC701B">
        <w:rPr>
          <w:rtl/>
        </w:rPr>
        <w:tab/>
      </w:r>
      <w:r>
        <w:rPr>
          <w:rtl/>
        </w:rPr>
        <w:tab/>
      </w:r>
      <w:r>
        <w:rPr>
          <w:rtl/>
        </w:rPr>
        <w:tab/>
      </w:r>
      <w:r>
        <w:rPr>
          <w:rtl/>
        </w:rPr>
        <w:tab/>
      </w:r>
      <w:r w:rsidRPr="00CC701B">
        <w:rPr>
          <w:rtl/>
        </w:rPr>
        <w:t>الحق في التعويض العادل والمناسب</w:t>
      </w:r>
    </w:p>
    <w:p w:rsidR="00CC701B" w:rsidRPr="00CC701B" w:rsidRDefault="00CC701B" w:rsidP="00F150FE">
      <w:pPr>
        <w:pStyle w:val="SingleTxtGA"/>
        <w:tabs>
          <w:tab w:val="clear" w:pos="1928"/>
        </w:tabs>
        <w:ind w:left="4649" w:hanging="2721"/>
        <w:rPr>
          <w:rtl/>
        </w:rPr>
      </w:pPr>
      <w:r w:rsidRPr="00CC701B">
        <w:rPr>
          <w:i/>
          <w:iCs/>
          <w:rtl/>
        </w:rPr>
        <w:t>المسائل الإجرائية:</w:t>
      </w:r>
      <w:r>
        <w:rPr>
          <w:i/>
          <w:iCs/>
          <w:rtl/>
        </w:rPr>
        <w:tab/>
      </w:r>
      <w:r>
        <w:rPr>
          <w:i/>
          <w:iCs/>
          <w:rtl/>
        </w:rPr>
        <w:tab/>
      </w:r>
      <w:r w:rsidRPr="00CC701B">
        <w:rPr>
          <w:rtl/>
        </w:rPr>
        <w:tab/>
        <w:t>لا شيء</w:t>
      </w:r>
    </w:p>
    <w:p w:rsidR="00CC701B" w:rsidRPr="00CC701B" w:rsidRDefault="00CC701B" w:rsidP="00F150FE">
      <w:pPr>
        <w:pStyle w:val="SingleTxtGA"/>
        <w:tabs>
          <w:tab w:val="clear" w:pos="1928"/>
        </w:tabs>
        <w:ind w:left="4649" w:hanging="2721"/>
        <w:rPr>
          <w:rtl/>
        </w:rPr>
      </w:pPr>
      <w:r w:rsidRPr="00CC701B">
        <w:rPr>
          <w:i/>
          <w:iCs/>
          <w:rtl/>
        </w:rPr>
        <w:t>المسائل الموضوعية:</w:t>
      </w:r>
      <w:r>
        <w:rPr>
          <w:i/>
          <w:iCs/>
          <w:rtl/>
        </w:rPr>
        <w:tab/>
      </w:r>
      <w:r w:rsidRPr="00CC701B">
        <w:rPr>
          <w:rtl/>
        </w:rPr>
        <w:tab/>
        <w:t>الحق في الانتصاف والتعويض</w:t>
      </w:r>
    </w:p>
    <w:p w:rsidR="00CC701B" w:rsidRPr="00CC701B" w:rsidRDefault="00CC701B" w:rsidP="00F150FE">
      <w:pPr>
        <w:pStyle w:val="SingleTxtGA"/>
        <w:tabs>
          <w:tab w:val="clear" w:pos="1928"/>
        </w:tabs>
        <w:ind w:left="4649" w:hanging="2721"/>
        <w:rPr>
          <w:rtl/>
        </w:rPr>
      </w:pPr>
      <w:r w:rsidRPr="00CC701B">
        <w:rPr>
          <w:i/>
          <w:iCs/>
          <w:rtl/>
        </w:rPr>
        <w:t>مواد الاتفاقية:</w:t>
      </w:r>
      <w:r w:rsidRPr="00CC701B">
        <w:rPr>
          <w:rtl/>
        </w:rPr>
        <w:tab/>
      </w:r>
      <w:r>
        <w:rPr>
          <w:rtl/>
        </w:rPr>
        <w:tab/>
      </w:r>
      <w:r>
        <w:rPr>
          <w:rtl/>
        </w:rPr>
        <w:tab/>
      </w:r>
      <w:r w:rsidRPr="00CC701B">
        <w:rPr>
          <w:rtl/>
        </w:rPr>
        <w:t>١٤(١) بالاقتران مع ١(١)</w:t>
      </w:r>
    </w:p>
    <w:p w:rsidR="00CC701B" w:rsidRPr="00CC701B" w:rsidRDefault="00CC701B" w:rsidP="00CC701B">
      <w:pPr>
        <w:pStyle w:val="SingleTxtGA"/>
        <w:ind w:left="1494"/>
        <w:rPr>
          <w:rtl/>
        </w:rPr>
      </w:pPr>
      <w:r>
        <w:rPr>
          <w:rFonts w:hint="cs"/>
          <w:rtl/>
        </w:rPr>
        <w:t>1-</w:t>
      </w:r>
      <w:r>
        <w:rPr>
          <w:rtl/>
        </w:rPr>
        <w:tab/>
      </w:r>
      <w:r w:rsidRPr="00CC701B">
        <w:rPr>
          <w:rtl/>
        </w:rPr>
        <w:t xml:space="preserve">صاحبة الشكوى هي ألف، وهي مواطنة من البوسنة والهرسك مولودة في يوغوسلافيا </w:t>
      </w:r>
      <w:r w:rsidRPr="00CC701B">
        <w:rPr>
          <w:rFonts w:hint="cs"/>
          <w:rtl/>
        </w:rPr>
        <w:t xml:space="preserve">السابقة </w:t>
      </w:r>
      <w:r w:rsidRPr="00CC701B">
        <w:rPr>
          <w:rtl/>
        </w:rPr>
        <w:t xml:space="preserve">في عام ١٩٦١. وتدعي صاحبة الشكوى أن الدولة الطرف انتهكت حقوقها </w:t>
      </w:r>
      <w:r w:rsidRPr="00CC701B">
        <w:rPr>
          <w:rtl/>
        </w:rPr>
        <w:lastRenderedPageBreak/>
        <w:t>بموجب المادة ١٤(١) بالاقتران مع المادة ١(١) من اتفاقية مناهضة التعذيب</w:t>
      </w:r>
      <w:r w:rsidR="00A44950">
        <w:rPr>
          <w:vertAlign w:val="superscript"/>
          <w:rtl/>
        </w:rPr>
        <w:t>(</w:t>
      </w:r>
      <w:r w:rsidR="00A44950" w:rsidRPr="00CC701B">
        <w:rPr>
          <w:vertAlign w:val="superscript"/>
          <w:rtl/>
        </w:rPr>
        <w:footnoteReference w:id="3"/>
      </w:r>
      <w:r w:rsidR="00A44950">
        <w:rPr>
          <w:vertAlign w:val="superscript"/>
          <w:rtl/>
        </w:rPr>
        <w:t>)</w:t>
      </w:r>
      <w:r w:rsidRPr="00CC701B">
        <w:rPr>
          <w:rtl/>
        </w:rPr>
        <w:t>. ويمثل صاحبة الشكوى محام</w:t>
      </w:r>
      <w:r w:rsidR="00A44950">
        <w:rPr>
          <w:vertAlign w:val="superscript"/>
          <w:rtl/>
          <w:lang w:val="en-GB"/>
        </w:rPr>
        <w:t>(</w:t>
      </w:r>
      <w:r w:rsidR="00A44950" w:rsidRPr="00CC701B">
        <w:rPr>
          <w:vertAlign w:val="superscript"/>
          <w:rtl/>
          <w:lang w:val="en-GB"/>
        </w:rPr>
        <w:footnoteReference w:id="4"/>
      </w:r>
      <w:r w:rsidR="00A44950">
        <w:rPr>
          <w:vertAlign w:val="superscript"/>
          <w:rtl/>
          <w:lang w:val="en-GB"/>
        </w:rPr>
        <w:t>)</w:t>
      </w:r>
      <w:r w:rsidRPr="00CC701B">
        <w:rPr>
          <w:rtl/>
        </w:rPr>
        <w:t>.</w:t>
      </w:r>
    </w:p>
    <w:p w:rsidR="00CC701B" w:rsidRPr="00CC701B" w:rsidRDefault="00CC701B" w:rsidP="00CC701B">
      <w:pPr>
        <w:pStyle w:val="H23GA"/>
        <w:rPr>
          <w:rtl/>
        </w:rPr>
      </w:pPr>
      <w:r w:rsidRPr="00CC701B">
        <w:rPr>
          <w:rtl/>
        </w:rPr>
        <w:tab/>
      </w:r>
      <w:r w:rsidRPr="00CC701B">
        <w:rPr>
          <w:rtl/>
        </w:rPr>
        <w:tab/>
        <w:t>الوقائع كما عرضتها صاحبة الشكوى</w:t>
      </w:r>
    </w:p>
    <w:p w:rsidR="00CC701B" w:rsidRPr="00CC701B" w:rsidRDefault="00CC701B" w:rsidP="00CC701B">
      <w:pPr>
        <w:pStyle w:val="SingleTxtGA"/>
        <w:rPr>
          <w:rtl/>
        </w:rPr>
      </w:pPr>
      <w:r w:rsidRPr="00CC701B">
        <w:rPr>
          <w:rtl/>
        </w:rPr>
        <w:t>٢-١</w:t>
      </w:r>
      <w:r>
        <w:rPr>
          <w:rtl/>
        </w:rPr>
        <w:tab/>
      </w:r>
      <w:r w:rsidRPr="00CC701B">
        <w:rPr>
          <w:rtl/>
        </w:rPr>
        <w:t>في عام ١٩٩٢</w:t>
      </w:r>
      <w:r w:rsidRPr="00CC701B">
        <w:rPr>
          <w:rFonts w:hint="cs"/>
          <w:rtl/>
        </w:rPr>
        <w:t xml:space="preserve">، </w:t>
      </w:r>
      <w:r w:rsidRPr="00CC701B">
        <w:rPr>
          <w:rtl/>
        </w:rPr>
        <w:t>كانت صاحبة الشكوى وابنتها البالغة من العمر 10 سنوات ت</w:t>
      </w:r>
      <w:r w:rsidRPr="00CC701B">
        <w:rPr>
          <w:rFonts w:hint="cs"/>
          <w:rtl/>
        </w:rPr>
        <w:t>قطنان</w:t>
      </w:r>
      <w:r w:rsidRPr="00CC701B">
        <w:rPr>
          <w:rtl/>
        </w:rPr>
        <w:t xml:space="preserve"> في </w:t>
      </w:r>
      <w:proofErr w:type="spellStart"/>
      <w:r w:rsidRPr="00CC701B">
        <w:rPr>
          <w:rtl/>
        </w:rPr>
        <w:t>سيميزوفاك</w:t>
      </w:r>
      <w:proofErr w:type="spellEnd"/>
      <w:r w:rsidRPr="00CC701B">
        <w:rPr>
          <w:rtl/>
        </w:rPr>
        <w:t xml:space="preserve">، داخل بلدية </w:t>
      </w:r>
      <w:proofErr w:type="spellStart"/>
      <w:r w:rsidRPr="00CC701B">
        <w:rPr>
          <w:rtl/>
        </w:rPr>
        <w:t>فوغوسكا</w:t>
      </w:r>
      <w:proofErr w:type="spellEnd"/>
      <w:r w:rsidRPr="00CC701B">
        <w:rPr>
          <w:rtl/>
        </w:rPr>
        <w:t xml:space="preserve">، وهي منطقة كانت تحت سيطرة قوات جيش جمهورية </w:t>
      </w:r>
      <w:proofErr w:type="spellStart"/>
      <w:r w:rsidRPr="00CC701B">
        <w:rPr>
          <w:rtl/>
        </w:rPr>
        <w:t>صربسكا</w:t>
      </w:r>
      <w:proofErr w:type="spellEnd"/>
      <w:r w:rsidRPr="00CC701B">
        <w:rPr>
          <w:rtl/>
        </w:rPr>
        <w:t xml:space="preserve"> خلال النزاع المسلح غير الدولي في البوسنة والهرسك. وعاشت صاحبة الشكوى خوف</w:t>
      </w:r>
      <w:r w:rsidRPr="00CC701B">
        <w:rPr>
          <w:rFonts w:hint="cs"/>
          <w:rtl/>
        </w:rPr>
        <w:t>اً</w:t>
      </w:r>
      <w:r w:rsidRPr="00CC701B">
        <w:rPr>
          <w:rtl/>
        </w:rPr>
        <w:t xml:space="preserve"> دائم</w:t>
      </w:r>
      <w:r w:rsidRPr="00CC701B">
        <w:rPr>
          <w:rFonts w:hint="cs"/>
          <w:rtl/>
        </w:rPr>
        <w:t>اً</w:t>
      </w:r>
      <w:r w:rsidRPr="00CC701B">
        <w:rPr>
          <w:rtl/>
        </w:rPr>
        <w:t xml:space="preserve"> لأن الأقليات العرقية كانت خلال الحرب الأهلية عرضة للتهديد والقتل والاغتصاب والاحتجاز التعسفي.</w:t>
      </w:r>
    </w:p>
    <w:p w:rsidR="00CC701B" w:rsidRPr="00CC701B" w:rsidRDefault="00CC701B" w:rsidP="00CC701B">
      <w:pPr>
        <w:pStyle w:val="SingleTxtGA"/>
        <w:rPr>
          <w:rtl/>
        </w:rPr>
      </w:pPr>
      <w:r w:rsidRPr="00CC701B">
        <w:rPr>
          <w:rtl/>
        </w:rPr>
        <w:t>٢-٢</w:t>
      </w:r>
      <w:r w:rsidR="00195BF0">
        <w:rPr>
          <w:rtl/>
        </w:rPr>
        <w:tab/>
      </w:r>
      <w:r w:rsidRPr="00CC701B">
        <w:rPr>
          <w:rtl/>
        </w:rPr>
        <w:t xml:space="preserve">وفي تاريخ غير معلوم بين شهري أيار/مايو وحزيران/يونيه ١٩٩٣، داهم </w:t>
      </w:r>
      <w:proofErr w:type="spellStart"/>
      <w:r w:rsidRPr="00CC701B">
        <w:rPr>
          <w:rtl/>
        </w:rPr>
        <w:t>سلافكو</w:t>
      </w:r>
      <w:proofErr w:type="spellEnd"/>
      <w:r w:rsidRPr="00CC701B">
        <w:rPr>
          <w:rtl/>
        </w:rPr>
        <w:t xml:space="preserve"> </w:t>
      </w:r>
      <w:proofErr w:type="spellStart"/>
      <w:r w:rsidRPr="00CC701B">
        <w:rPr>
          <w:rtl/>
        </w:rPr>
        <w:t>سافيتش</w:t>
      </w:r>
      <w:proofErr w:type="spellEnd"/>
      <w:r w:rsidRPr="00CC701B">
        <w:rPr>
          <w:rtl/>
        </w:rPr>
        <w:t xml:space="preserve">، أحد أعضاء جيش جمهورية </w:t>
      </w:r>
      <w:proofErr w:type="spellStart"/>
      <w:r w:rsidRPr="00CC701B">
        <w:rPr>
          <w:rtl/>
        </w:rPr>
        <w:t>صربسكا</w:t>
      </w:r>
      <w:proofErr w:type="spellEnd"/>
      <w:r w:rsidRPr="00CC701B">
        <w:rPr>
          <w:rtl/>
        </w:rPr>
        <w:t>، منزل صاحبة الشكوى وهو يحمل مسدساً. فهدد صاحبة الشكوى بسلاحه وأرغمها على ركوب سيارته</w:t>
      </w:r>
      <w:r w:rsidRPr="00CC701B">
        <w:rPr>
          <w:rFonts w:hint="cs"/>
          <w:rtl/>
        </w:rPr>
        <w:t xml:space="preserve">، ثم </w:t>
      </w:r>
      <w:r w:rsidRPr="00CC701B">
        <w:rPr>
          <w:rtl/>
        </w:rPr>
        <w:t>اقتاد</w:t>
      </w:r>
      <w:r w:rsidRPr="00CC701B">
        <w:rPr>
          <w:rFonts w:hint="cs"/>
          <w:rtl/>
        </w:rPr>
        <w:t>ها</w:t>
      </w:r>
      <w:r w:rsidRPr="00CC701B">
        <w:rPr>
          <w:rtl/>
        </w:rPr>
        <w:t xml:space="preserve"> إلى محطة الحافلات واغتصبها هناك.</w:t>
      </w:r>
      <w:r w:rsidRPr="00CC701B">
        <w:rPr>
          <w:rFonts w:hint="cs"/>
          <w:rtl/>
        </w:rPr>
        <w:t xml:space="preserve"> و</w:t>
      </w:r>
      <w:r w:rsidRPr="00CC701B">
        <w:rPr>
          <w:rtl/>
        </w:rPr>
        <w:t xml:space="preserve">اغتصبها مرة أخرى </w:t>
      </w:r>
      <w:r w:rsidRPr="00CC701B">
        <w:rPr>
          <w:rFonts w:hint="cs"/>
          <w:rtl/>
        </w:rPr>
        <w:t xml:space="preserve">في وقت </w:t>
      </w:r>
      <w:r w:rsidRPr="00CC701B">
        <w:rPr>
          <w:rtl/>
        </w:rPr>
        <w:t>لاحق.</w:t>
      </w:r>
    </w:p>
    <w:p w:rsidR="00CC701B" w:rsidRPr="00CC701B" w:rsidRDefault="00CC701B" w:rsidP="00CC701B">
      <w:pPr>
        <w:pStyle w:val="SingleTxtGA"/>
        <w:rPr>
          <w:lang w:val="en-GB"/>
        </w:rPr>
      </w:pPr>
      <w:r w:rsidRPr="00CC701B">
        <w:rPr>
          <w:rtl/>
        </w:rPr>
        <w:t>٢-٣</w:t>
      </w:r>
      <w:r w:rsidR="00195BF0">
        <w:rPr>
          <w:rtl/>
        </w:rPr>
        <w:tab/>
      </w:r>
      <w:r w:rsidRPr="00CC701B">
        <w:rPr>
          <w:rFonts w:hint="cs"/>
          <w:rtl/>
        </w:rPr>
        <w:t xml:space="preserve">وبعد أن </w:t>
      </w:r>
      <w:r w:rsidRPr="00CC701B">
        <w:rPr>
          <w:rtl/>
        </w:rPr>
        <w:t>أصبحت صاحبة الشكوى حاملاً، اضط</w:t>
      </w:r>
      <w:r w:rsidRPr="00CC701B">
        <w:rPr>
          <w:rFonts w:hint="cs"/>
          <w:rtl/>
        </w:rPr>
        <w:t>ُ</w:t>
      </w:r>
      <w:r w:rsidRPr="00CC701B">
        <w:rPr>
          <w:rtl/>
        </w:rPr>
        <w:t xml:space="preserve">رت إلى إنهاء حملها. وقد أثرت فيها هذه الأحداث تأثيراً شديداً، </w:t>
      </w:r>
      <w:r w:rsidRPr="00CC701B">
        <w:rPr>
          <w:rFonts w:hint="cs"/>
          <w:rtl/>
        </w:rPr>
        <w:t>و</w:t>
      </w:r>
      <w:r w:rsidRPr="00CC701B">
        <w:rPr>
          <w:rtl/>
        </w:rPr>
        <w:t xml:space="preserve">خلفت أضراراً نفسية </w:t>
      </w:r>
      <w:r w:rsidRPr="00CC701B">
        <w:rPr>
          <w:rFonts w:hint="cs"/>
          <w:rtl/>
        </w:rPr>
        <w:t>جسيمة و</w:t>
      </w:r>
      <w:r w:rsidRPr="00CC701B">
        <w:rPr>
          <w:rtl/>
        </w:rPr>
        <w:t xml:space="preserve">دائمة. وبسبب الصدمة، بدأت تعاني من الخوف، والأرق، والوساوس، والكوابيس، ومشاهد الاغتصاب. وفي عام ٢٠٠٨، </w:t>
      </w:r>
      <w:r w:rsidRPr="00CC701B">
        <w:rPr>
          <w:rFonts w:hint="cs"/>
          <w:rtl/>
        </w:rPr>
        <w:t>بدأت ت</w:t>
      </w:r>
      <w:r w:rsidRPr="00CC701B">
        <w:rPr>
          <w:rtl/>
        </w:rPr>
        <w:t>خضع للعلاج النفسي</w:t>
      </w:r>
      <w:r w:rsidRPr="00CC701B">
        <w:rPr>
          <w:rFonts w:hint="cs"/>
          <w:rtl/>
        </w:rPr>
        <w:t>،</w:t>
      </w:r>
      <w:r w:rsidRPr="00CC701B">
        <w:rPr>
          <w:rtl/>
        </w:rPr>
        <w:t xml:space="preserve"> </w:t>
      </w:r>
      <w:r w:rsidRPr="00CC701B">
        <w:rPr>
          <w:rFonts w:hint="cs"/>
          <w:rtl/>
        </w:rPr>
        <w:t xml:space="preserve">وأفاد </w:t>
      </w:r>
      <w:r w:rsidRPr="00CC701B">
        <w:rPr>
          <w:rtl/>
        </w:rPr>
        <w:t xml:space="preserve">التشخيص الطبي </w:t>
      </w:r>
      <w:r w:rsidRPr="00CC701B">
        <w:rPr>
          <w:rFonts w:hint="cs"/>
          <w:rtl/>
        </w:rPr>
        <w:t>ب</w:t>
      </w:r>
      <w:r w:rsidRPr="00CC701B">
        <w:rPr>
          <w:rtl/>
        </w:rPr>
        <w:t xml:space="preserve">أنها تعاني من اضطراب دائم في الشخصية ومن </w:t>
      </w:r>
      <w:proofErr w:type="spellStart"/>
      <w:r w:rsidRPr="00CC701B">
        <w:rPr>
          <w:rtl/>
        </w:rPr>
        <w:t>الاكتراب</w:t>
      </w:r>
      <w:proofErr w:type="spellEnd"/>
      <w:r w:rsidRPr="00CC701B">
        <w:rPr>
          <w:rtl/>
        </w:rPr>
        <w:t xml:space="preserve"> المزمن التالي للصدمة. وأفاد </w:t>
      </w:r>
      <w:r w:rsidRPr="00CC701B">
        <w:rPr>
          <w:rFonts w:hint="cs"/>
          <w:rtl/>
        </w:rPr>
        <w:t xml:space="preserve">شاهد خبير </w:t>
      </w:r>
      <w:r w:rsidRPr="00CC701B">
        <w:rPr>
          <w:rtl/>
        </w:rPr>
        <w:t>استمعت إليه محكمة البوسنة والهرسك بأن "نوع</w:t>
      </w:r>
      <w:r w:rsidRPr="00CC701B">
        <w:rPr>
          <w:rFonts w:hint="cs"/>
          <w:rtl/>
        </w:rPr>
        <w:t>ي</w:t>
      </w:r>
      <w:r w:rsidRPr="00CC701B">
        <w:rPr>
          <w:rtl/>
        </w:rPr>
        <w:t>ة حياة الطرف المتضرر على العموم تراجعت بصورة دائمة بنسبة ٢٥ في المائة بعد أن تغيرت شخصيتها بشكل دائم جراء تجربتها الكارثية</w:t>
      </w:r>
      <w:r w:rsidR="00945BA1">
        <w:rPr>
          <w:rFonts w:hint="cs"/>
          <w:rtl/>
        </w:rPr>
        <w:t xml:space="preserve"> </w:t>
      </w:r>
      <w:r w:rsidRPr="00CC701B">
        <w:rPr>
          <w:rtl/>
        </w:rPr>
        <w:t>..."</w:t>
      </w:r>
      <w:r w:rsidR="00A44950">
        <w:rPr>
          <w:vertAlign w:val="superscript"/>
          <w:rtl/>
          <w:lang w:val="en-GB"/>
        </w:rPr>
        <w:t>(</w:t>
      </w:r>
      <w:r w:rsidR="00A44950" w:rsidRPr="00CC701B">
        <w:rPr>
          <w:vertAlign w:val="superscript"/>
          <w:rtl/>
          <w:lang w:val="en-GB"/>
        </w:rPr>
        <w:footnoteReference w:id="5"/>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٢-٤</w:t>
      </w:r>
      <w:r w:rsidR="00195BF0">
        <w:rPr>
          <w:rtl/>
        </w:rPr>
        <w:tab/>
      </w:r>
      <w:r w:rsidRPr="00CC701B">
        <w:rPr>
          <w:rtl/>
        </w:rPr>
        <w:t>ولم تبل</w:t>
      </w:r>
      <w:r w:rsidRPr="00CC701B">
        <w:rPr>
          <w:rFonts w:hint="cs"/>
          <w:rtl/>
        </w:rPr>
        <w:t>ِّ</w:t>
      </w:r>
      <w:r w:rsidRPr="00CC701B">
        <w:rPr>
          <w:rtl/>
        </w:rPr>
        <w:t xml:space="preserve">غ صاحبة الشكوى </w:t>
      </w:r>
      <w:r w:rsidRPr="00CC701B">
        <w:rPr>
          <w:rFonts w:hint="cs"/>
          <w:rtl/>
        </w:rPr>
        <w:t>عن هذه ال</w:t>
      </w:r>
      <w:r w:rsidRPr="00CC701B">
        <w:rPr>
          <w:rtl/>
        </w:rPr>
        <w:t xml:space="preserve">أحداث على الفور لأنها كانت خائفة </w:t>
      </w:r>
      <w:r w:rsidRPr="00CC701B">
        <w:rPr>
          <w:rFonts w:hint="cs"/>
          <w:rtl/>
        </w:rPr>
        <w:t xml:space="preserve">من القيام بذلك وهي </w:t>
      </w:r>
      <w:r w:rsidRPr="00CC701B">
        <w:rPr>
          <w:rtl/>
        </w:rPr>
        <w:t xml:space="preserve">لا تزال تعيش في مكان يسيطر عليه جيش جمهورية </w:t>
      </w:r>
      <w:proofErr w:type="spellStart"/>
      <w:r w:rsidRPr="00CC701B">
        <w:rPr>
          <w:rtl/>
        </w:rPr>
        <w:t>صربسكا</w:t>
      </w:r>
      <w:proofErr w:type="spellEnd"/>
      <w:r w:rsidRPr="00CC701B">
        <w:rPr>
          <w:rtl/>
        </w:rPr>
        <w:t>. وحتى بعد انتهاء النزاع، لم تشعر صاحبة الشكوى لسنوات عديدة</w:t>
      </w:r>
      <w:r w:rsidRPr="00CC701B">
        <w:rPr>
          <w:rFonts w:hint="cs"/>
          <w:rtl/>
        </w:rPr>
        <w:t xml:space="preserve"> بأنها مطمئنة ل</w:t>
      </w:r>
      <w:r w:rsidRPr="00CC701B">
        <w:rPr>
          <w:rtl/>
        </w:rPr>
        <w:t xml:space="preserve">سرد تجربتها. وبعد أن تجرأت نساء أخريات على الحديث، استجمعت في نهاية المطاف شجاعتها وأبلغت السلطات بهذه الأحداث؛ وفي ٥ تشرين الثاني/نوفمبر ٢٠١٤، وجه مكتب المدعي العام إلى </w:t>
      </w:r>
      <w:proofErr w:type="spellStart"/>
      <w:r w:rsidRPr="00CC701B">
        <w:rPr>
          <w:rtl/>
        </w:rPr>
        <w:t>سلافكو</w:t>
      </w:r>
      <w:proofErr w:type="spellEnd"/>
      <w:r w:rsidRPr="00CC701B">
        <w:rPr>
          <w:rtl/>
        </w:rPr>
        <w:t xml:space="preserve"> </w:t>
      </w:r>
      <w:proofErr w:type="spellStart"/>
      <w:r w:rsidRPr="00CC701B">
        <w:rPr>
          <w:rtl/>
        </w:rPr>
        <w:t>سافيتش</w:t>
      </w:r>
      <w:proofErr w:type="spellEnd"/>
      <w:r w:rsidRPr="00CC701B">
        <w:rPr>
          <w:rtl/>
        </w:rPr>
        <w:t xml:space="preserve"> لائحة اتهام بارتكاب جرائم حرب ضد السكان المدنيين.</w:t>
      </w:r>
    </w:p>
    <w:p w:rsidR="00CC701B" w:rsidRPr="00CC701B" w:rsidRDefault="00CC701B" w:rsidP="00CC701B">
      <w:pPr>
        <w:pStyle w:val="SingleTxtGA"/>
        <w:rPr>
          <w:rtl/>
        </w:rPr>
      </w:pPr>
      <w:r w:rsidRPr="00CC701B">
        <w:rPr>
          <w:rtl/>
        </w:rPr>
        <w:t>٢-٥</w:t>
      </w:r>
      <w:r w:rsidR="00195BF0">
        <w:rPr>
          <w:rtl/>
        </w:rPr>
        <w:tab/>
      </w:r>
      <w:r w:rsidRPr="00CC701B">
        <w:rPr>
          <w:rtl/>
        </w:rPr>
        <w:t xml:space="preserve">وفي ١٩ كانون الثاني/يناير ٢٠١٥، </w:t>
      </w:r>
      <w:r w:rsidRPr="00CC701B">
        <w:rPr>
          <w:rFonts w:hint="cs"/>
          <w:rtl/>
        </w:rPr>
        <w:t>قررت</w:t>
      </w:r>
      <w:r w:rsidRPr="00CC701B">
        <w:rPr>
          <w:rtl/>
        </w:rPr>
        <w:t xml:space="preserve"> </w:t>
      </w:r>
      <w:r w:rsidRPr="00CC701B">
        <w:rPr>
          <w:rFonts w:hint="cs"/>
          <w:rtl/>
        </w:rPr>
        <w:t xml:space="preserve">الدائرة </w:t>
      </w:r>
      <w:r w:rsidRPr="00CC701B">
        <w:rPr>
          <w:rtl/>
        </w:rPr>
        <w:t xml:space="preserve">الأولى المعنية بجرائم الحرب </w:t>
      </w:r>
      <w:r w:rsidRPr="00CC701B">
        <w:rPr>
          <w:rFonts w:hint="cs"/>
          <w:rtl/>
        </w:rPr>
        <w:t xml:space="preserve">في </w:t>
      </w:r>
      <w:r w:rsidRPr="00CC701B">
        <w:rPr>
          <w:rtl/>
        </w:rPr>
        <w:t xml:space="preserve">محكمة البوسنة والهرسك أن </w:t>
      </w:r>
      <w:r w:rsidRPr="00CC701B">
        <w:rPr>
          <w:rFonts w:hint="cs"/>
          <w:rtl/>
        </w:rPr>
        <w:t>ال</w:t>
      </w:r>
      <w:r w:rsidRPr="00CC701B">
        <w:rPr>
          <w:rtl/>
        </w:rPr>
        <w:t xml:space="preserve">بيانات </w:t>
      </w:r>
      <w:r w:rsidRPr="00CC701B">
        <w:rPr>
          <w:rFonts w:hint="cs"/>
          <w:rtl/>
        </w:rPr>
        <w:t>الشخصية ل</w:t>
      </w:r>
      <w:r w:rsidRPr="00CC701B">
        <w:rPr>
          <w:rtl/>
        </w:rPr>
        <w:t xml:space="preserve">صاحبة الشكوى وابنتها </w:t>
      </w:r>
      <w:r w:rsidRPr="00CC701B">
        <w:rPr>
          <w:rFonts w:hint="cs"/>
          <w:rtl/>
        </w:rPr>
        <w:t xml:space="preserve">بيانات </w:t>
      </w:r>
      <w:r w:rsidRPr="00CC701B">
        <w:rPr>
          <w:rtl/>
        </w:rPr>
        <w:t xml:space="preserve">سرية، فحددت لهما اسمين مستعارين هما ألف وهاء على التوالي بغرض حمايتهما. وفي ٢٩ حزيران/يونيه ٢٠١٥، خلصت هذه </w:t>
      </w:r>
      <w:r w:rsidRPr="00CC701B">
        <w:rPr>
          <w:rFonts w:hint="cs"/>
          <w:rtl/>
        </w:rPr>
        <w:t xml:space="preserve">الدائرة </w:t>
      </w:r>
      <w:r w:rsidRPr="00CC701B">
        <w:rPr>
          <w:rtl/>
        </w:rPr>
        <w:t xml:space="preserve">إلى أن </w:t>
      </w:r>
      <w:proofErr w:type="spellStart"/>
      <w:r w:rsidRPr="00CC701B">
        <w:rPr>
          <w:rtl/>
        </w:rPr>
        <w:t>سلافكو</w:t>
      </w:r>
      <w:proofErr w:type="spellEnd"/>
      <w:r w:rsidRPr="00CC701B">
        <w:rPr>
          <w:rtl/>
        </w:rPr>
        <w:t xml:space="preserve"> </w:t>
      </w:r>
      <w:proofErr w:type="spellStart"/>
      <w:r w:rsidRPr="00CC701B">
        <w:rPr>
          <w:rtl/>
        </w:rPr>
        <w:t>سافيتش</w:t>
      </w:r>
      <w:proofErr w:type="spellEnd"/>
      <w:r w:rsidRPr="00CC701B">
        <w:rPr>
          <w:rtl/>
        </w:rPr>
        <w:t xml:space="preserve"> </w:t>
      </w:r>
      <w:r w:rsidRPr="00CC701B">
        <w:rPr>
          <w:rFonts w:hint="cs"/>
          <w:rtl/>
        </w:rPr>
        <w:t>مذنب ب</w:t>
      </w:r>
      <w:r w:rsidRPr="00CC701B">
        <w:rPr>
          <w:rtl/>
        </w:rPr>
        <w:t>ارتك</w:t>
      </w:r>
      <w:r w:rsidRPr="00CC701B">
        <w:rPr>
          <w:rFonts w:hint="cs"/>
          <w:rtl/>
        </w:rPr>
        <w:t>ا</w:t>
      </w:r>
      <w:r w:rsidRPr="00CC701B">
        <w:rPr>
          <w:rtl/>
        </w:rPr>
        <w:t xml:space="preserve">ب جرائم حرب ضد المدنيين </w:t>
      </w:r>
      <w:r w:rsidRPr="00CC701B">
        <w:rPr>
          <w:rFonts w:hint="cs"/>
          <w:rtl/>
        </w:rPr>
        <w:lastRenderedPageBreak/>
        <w:t>ل</w:t>
      </w:r>
      <w:r w:rsidRPr="00CC701B">
        <w:rPr>
          <w:rtl/>
        </w:rPr>
        <w:t>اغتصابه صاحبة الشكوى، وحكمت عليه بالسجن ثماني سنوات و</w:t>
      </w:r>
      <w:r w:rsidRPr="00CC701B">
        <w:rPr>
          <w:rFonts w:hint="cs"/>
          <w:rtl/>
        </w:rPr>
        <w:t>ب</w:t>
      </w:r>
      <w:r w:rsidRPr="00CC701B">
        <w:rPr>
          <w:rtl/>
        </w:rPr>
        <w:t xml:space="preserve">دفع تعويض </w:t>
      </w:r>
      <w:r w:rsidRPr="00CC701B">
        <w:rPr>
          <w:rFonts w:hint="cs"/>
          <w:rtl/>
        </w:rPr>
        <w:t xml:space="preserve">عن الأضرار غير المالية </w:t>
      </w:r>
      <w:r w:rsidRPr="00CC701B">
        <w:rPr>
          <w:rtl/>
        </w:rPr>
        <w:t>لصاحبة الشكوى قدره ٠٠٠ ٣٠ مارك</w:t>
      </w:r>
      <w:r w:rsidRPr="00CC701B">
        <w:rPr>
          <w:rFonts w:hint="cs"/>
          <w:rtl/>
        </w:rPr>
        <w:t>ا</w:t>
      </w:r>
      <w:r w:rsidR="003B65EE">
        <w:rPr>
          <w:rFonts w:hint="cs"/>
          <w:rtl/>
        </w:rPr>
        <w:t>ً</w:t>
      </w:r>
      <w:r w:rsidRPr="00CC701B">
        <w:rPr>
          <w:rtl/>
        </w:rPr>
        <w:t xml:space="preserve"> (نحو ٣٤٠ ١٥ يورو) في غضون 90 يوما</w:t>
      </w:r>
      <w:r w:rsidRPr="00CC701B">
        <w:rPr>
          <w:rFonts w:hint="cs"/>
          <w:rtl/>
        </w:rPr>
        <w:t>ً</w:t>
      </w:r>
      <w:r w:rsidRPr="00CC701B">
        <w:rPr>
          <w:rtl/>
        </w:rPr>
        <w:t xml:space="preserve">. وفي ٢٤ تشرين الثاني/نوفمبر ٢٠١٥، أكدت المحكمة، </w:t>
      </w:r>
      <w:r w:rsidRPr="00CC701B">
        <w:rPr>
          <w:rFonts w:hint="cs"/>
          <w:rtl/>
        </w:rPr>
        <w:t xml:space="preserve">المنعقدة </w:t>
      </w:r>
      <w:r w:rsidRPr="00CC701B">
        <w:rPr>
          <w:rtl/>
        </w:rPr>
        <w:t xml:space="preserve">بوصفها شعبة استئناف، هذا الحكم. ولم يدفع السيد </w:t>
      </w:r>
      <w:proofErr w:type="spellStart"/>
      <w:r w:rsidRPr="00CC701B">
        <w:rPr>
          <w:rtl/>
        </w:rPr>
        <w:t>سافيتش</w:t>
      </w:r>
      <w:proofErr w:type="spellEnd"/>
      <w:r w:rsidRPr="00CC701B">
        <w:rPr>
          <w:rtl/>
        </w:rPr>
        <w:t xml:space="preserve"> لصاحبة الشكوى المبلغ الذي حددته المحكمة.</w:t>
      </w:r>
    </w:p>
    <w:p w:rsidR="00CC701B" w:rsidRPr="00CC701B" w:rsidRDefault="00CC701B" w:rsidP="00CC701B">
      <w:pPr>
        <w:pStyle w:val="SingleTxtGA"/>
        <w:rPr>
          <w:rtl/>
        </w:rPr>
      </w:pPr>
      <w:r w:rsidRPr="00CC701B">
        <w:rPr>
          <w:rtl/>
        </w:rPr>
        <w:t>٢-٦</w:t>
      </w:r>
      <w:r w:rsidR="00195BF0">
        <w:rPr>
          <w:rtl/>
        </w:rPr>
        <w:tab/>
      </w:r>
      <w:r w:rsidRPr="00CC701B">
        <w:rPr>
          <w:rtl/>
        </w:rPr>
        <w:t xml:space="preserve">وفي ١٠ حزيران/يونيه ٢٠١٦، قدمت صاحبة الشكوى التماساً لإنفاذ الحكم </w:t>
      </w:r>
      <w:r w:rsidRPr="00CC701B">
        <w:rPr>
          <w:rFonts w:hint="cs"/>
          <w:rtl/>
        </w:rPr>
        <w:t xml:space="preserve">بغية </w:t>
      </w:r>
      <w:r w:rsidRPr="00CC701B">
        <w:rPr>
          <w:rtl/>
        </w:rPr>
        <w:t>ضمان دفع التعويض</w:t>
      </w:r>
      <w:r w:rsidRPr="00CC701B">
        <w:rPr>
          <w:rFonts w:hint="cs"/>
          <w:rtl/>
        </w:rPr>
        <w:t xml:space="preserve"> عن الأضرار غير المالية</w:t>
      </w:r>
      <w:r w:rsidRPr="00CC701B">
        <w:rPr>
          <w:rtl/>
        </w:rPr>
        <w:t>. وفي ٨ آب/أغسطس ٢٠١٦</w:t>
      </w:r>
      <w:r w:rsidR="00D90797">
        <w:rPr>
          <w:rtl/>
        </w:rPr>
        <w:t xml:space="preserve"> و</w:t>
      </w:r>
      <w:r w:rsidRPr="00CC701B">
        <w:rPr>
          <w:rtl/>
        </w:rPr>
        <w:t>٢٧ آذار/</w:t>
      </w:r>
      <w:r w:rsidR="009459ED">
        <w:rPr>
          <w:rFonts w:hint="cs"/>
          <w:rtl/>
        </w:rPr>
        <w:t xml:space="preserve"> </w:t>
      </w:r>
      <w:r w:rsidRPr="00CC701B">
        <w:rPr>
          <w:rtl/>
        </w:rPr>
        <w:t>مارس</w:t>
      </w:r>
      <w:r w:rsidR="009459ED">
        <w:rPr>
          <w:rFonts w:hint="cs"/>
          <w:rtl/>
        </w:rPr>
        <w:t> </w:t>
      </w:r>
      <w:r w:rsidRPr="00CC701B">
        <w:rPr>
          <w:rtl/>
        </w:rPr>
        <w:t xml:space="preserve">٢٠١٧، أبلغت محكمة البوسنة والهرسك صاحبة الشكوى بأن السيد </w:t>
      </w:r>
      <w:proofErr w:type="spellStart"/>
      <w:r w:rsidRPr="00CC701B">
        <w:rPr>
          <w:rtl/>
        </w:rPr>
        <w:t>سافيتش</w:t>
      </w:r>
      <w:proofErr w:type="spellEnd"/>
      <w:r w:rsidRPr="00CC701B">
        <w:rPr>
          <w:rtl/>
        </w:rPr>
        <w:t xml:space="preserve"> لا يملك أي أصول، فاضطُرت إلى سحب التماسها هذا في ٧ نيسان/أبريل ٢٠١٧.</w:t>
      </w:r>
    </w:p>
    <w:p w:rsidR="00CC701B" w:rsidRPr="00CC701B" w:rsidRDefault="00CC701B" w:rsidP="00CC701B">
      <w:pPr>
        <w:pStyle w:val="SingleTxtGA"/>
        <w:rPr>
          <w:rtl/>
        </w:rPr>
      </w:pPr>
      <w:r w:rsidRPr="00CC701B">
        <w:rPr>
          <w:rtl/>
        </w:rPr>
        <w:t>٢-٧</w:t>
      </w:r>
      <w:r w:rsidR="00195BF0">
        <w:rPr>
          <w:rtl/>
        </w:rPr>
        <w:tab/>
      </w:r>
      <w:r w:rsidRPr="00CC701B">
        <w:rPr>
          <w:rtl/>
        </w:rPr>
        <w:t xml:space="preserve">وفيما يتعلق بمقبولية البلاغ من حيث </w:t>
      </w:r>
      <w:r w:rsidRPr="00CC701B">
        <w:rPr>
          <w:i/>
          <w:iCs/>
          <w:rtl/>
        </w:rPr>
        <w:t>الاختصاص الزمني</w:t>
      </w:r>
      <w:r w:rsidRPr="00CC701B">
        <w:rPr>
          <w:rtl/>
        </w:rPr>
        <w:t xml:space="preserve">، تدفع صاحبة الشكوى </w:t>
      </w:r>
      <w:r w:rsidRPr="00CC701B">
        <w:rPr>
          <w:rFonts w:hint="cs"/>
          <w:rtl/>
        </w:rPr>
        <w:t>ب</w:t>
      </w:r>
      <w:r w:rsidRPr="00CC701B">
        <w:rPr>
          <w:rtl/>
        </w:rPr>
        <w:t>أن البوسنة والهرسك دولة طرف في الاتفاقية منذ ١ تشرين الأول/أكتوبر ١٩٩٣.</w:t>
      </w:r>
      <w:r w:rsidRPr="00CC701B">
        <w:rPr>
          <w:rFonts w:hint="cs"/>
          <w:rtl/>
        </w:rPr>
        <w:t xml:space="preserve"> وقد وقعت أحداث </w:t>
      </w:r>
      <w:r w:rsidRPr="00CC701B">
        <w:rPr>
          <w:rtl/>
        </w:rPr>
        <w:t xml:space="preserve">الاغتصاب وسوء المعاملة هذه في أيار/مايو - حزيران/يونيه ١٩٩٣. ومع ذلك، </w:t>
      </w:r>
      <w:r w:rsidRPr="00CC701B">
        <w:rPr>
          <w:rFonts w:hint="cs"/>
          <w:rtl/>
        </w:rPr>
        <w:t xml:space="preserve">فقد </w:t>
      </w:r>
      <w:r w:rsidRPr="00CC701B">
        <w:rPr>
          <w:rtl/>
        </w:rPr>
        <w:t>نشأ عن</w:t>
      </w:r>
      <w:r w:rsidRPr="00CC701B">
        <w:rPr>
          <w:rFonts w:hint="cs"/>
          <w:rtl/>
        </w:rPr>
        <w:t>ها</w:t>
      </w:r>
      <w:r w:rsidRPr="00CC701B">
        <w:rPr>
          <w:rtl/>
        </w:rPr>
        <w:t xml:space="preserve"> أن التزمت البوسنة والهرسك ولا تزال بالتحقيق مع مرتكب الجريمة ومقاضاته ومعاقبته، وضمان إنصاف ألف ومنحها حقا</w:t>
      </w:r>
      <w:r w:rsidRPr="00CC701B">
        <w:rPr>
          <w:rFonts w:hint="cs"/>
          <w:rtl/>
        </w:rPr>
        <w:t>ً</w:t>
      </w:r>
      <w:r w:rsidRPr="00CC701B">
        <w:rPr>
          <w:rtl/>
        </w:rPr>
        <w:t xml:space="preserve"> قابل</w:t>
      </w:r>
      <w:r w:rsidRPr="00CC701B">
        <w:rPr>
          <w:rFonts w:hint="cs"/>
          <w:rtl/>
        </w:rPr>
        <w:t>اً</w:t>
      </w:r>
      <w:r w:rsidRPr="00CC701B">
        <w:rPr>
          <w:rtl/>
        </w:rPr>
        <w:t xml:space="preserve"> </w:t>
      </w:r>
      <w:r w:rsidRPr="00CC701B">
        <w:rPr>
          <w:rFonts w:hint="cs"/>
          <w:rtl/>
        </w:rPr>
        <w:t>للإنفاذ في التعويض</w:t>
      </w:r>
      <w:r w:rsidRPr="00CC701B">
        <w:rPr>
          <w:rtl/>
        </w:rPr>
        <w:t xml:space="preserve">. وجميع الوقائع ذات الصلة </w:t>
      </w:r>
      <w:r w:rsidRPr="00CC701B">
        <w:rPr>
          <w:rFonts w:hint="cs"/>
          <w:rtl/>
        </w:rPr>
        <w:t xml:space="preserve">بشأن استمرار </w:t>
      </w:r>
      <w:r w:rsidRPr="00CC701B">
        <w:rPr>
          <w:rtl/>
        </w:rPr>
        <w:t xml:space="preserve">عدم إنصاف ألف حدثت </w:t>
      </w:r>
      <w:r w:rsidRPr="00CC701B">
        <w:rPr>
          <w:rFonts w:hint="cs"/>
          <w:rtl/>
        </w:rPr>
        <w:t xml:space="preserve">أيضاً </w:t>
      </w:r>
      <w:r w:rsidRPr="00CC701B">
        <w:rPr>
          <w:rtl/>
        </w:rPr>
        <w:t xml:space="preserve">بعد ٤ حزيران/يونيه ٢٠٠٣. ووفقاً لذلك، </w:t>
      </w:r>
      <w:bookmarkStart w:id="1" w:name="_Hlk31914287"/>
      <w:r w:rsidRPr="00CC701B">
        <w:rPr>
          <w:rtl/>
        </w:rPr>
        <w:t xml:space="preserve">فإن </w:t>
      </w:r>
      <w:r w:rsidRPr="00CC701B">
        <w:rPr>
          <w:rFonts w:hint="cs"/>
          <w:rtl/>
        </w:rPr>
        <w:t>ا</w:t>
      </w:r>
      <w:r w:rsidRPr="00CC701B">
        <w:rPr>
          <w:rtl/>
        </w:rPr>
        <w:t xml:space="preserve">للجنة </w:t>
      </w:r>
      <w:r w:rsidRPr="00CC701B">
        <w:rPr>
          <w:rFonts w:hint="cs"/>
          <w:rtl/>
        </w:rPr>
        <w:t>مختصة ب</w:t>
      </w:r>
      <w:r w:rsidRPr="00CC701B">
        <w:rPr>
          <w:rtl/>
        </w:rPr>
        <w:t xml:space="preserve">النظر في هذا البلاغ من حيث </w:t>
      </w:r>
      <w:r w:rsidRPr="00CC701B">
        <w:rPr>
          <w:i/>
          <w:iCs/>
          <w:rtl/>
        </w:rPr>
        <w:t>الاختصاصين المكاني والزمني</w:t>
      </w:r>
      <w:r w:rsidRPr="00CC701B">
        <w:rPr>
          <w:rtl/>
        </w:rPr>
        <w:t xml:space="preserve"> على السواء</w:t>
      </w:r>
      <w:bookmarkEnd w:id="1"/>
      <w:r w:rsidRPr="00CC701B">
        <w:rPr>
          <w:rtl/>
        </w:rPr>
        <w:t>.</w:t>
      </w:r>
    </w:p>
    <w:p w:rsidR="00CC701B" w:rsidRPr="00CC701B" w:rsidRDefault="00CC701B" w:rsidP="00CC701B">
      <w:pPr>
        <w:pStyle w:val="SingleTxtGA"/>
        <w:rPr>
          <w:rtl/>
        </w:rPr>
      </w:pPr>
      <w:r w:rsidRPr="00CC701B">
        <w:rPr>
          <w:rtl/>
        </w:rPr>
        <w:t>٢-٨</w:t>
      </w:r>
      <w:r w:rsidR="00195BF0">
        <w:rPr>
          <w:rtl/>
        </w:rPr>
        <w:tab/>
      </w:r>
      <w:r w:rsidRPr="00CC701B">
        <w:rPr>
          <w:rtl/>
        </w:rPr>
        <w:t>وتشير صاحبة الشكوى إلى أن اللجنة المعنية بالقضاء على التمييز ضد المرأة دأب</w:t>
      </w:r>
      <w:r w:rsidRPr="00CC701B">
        <w:rPr>
          <w:rFonts w:hint="cs"/>
          <w:rtl/>
        </w:rPr>
        <w:t>ت</w:t>
      </w:r>
      <w:r w:rsidRPr="00CC701B">
        <w:rPr>
          <w:rtl/>
        </w:rPr>
        <w:t xml:space="preserve"> على اعتبار أن للانتهاكات المزعومة آثار</w:t>
      </w:r>
      <w:r w:rsidRPr="00CC701B">
        <w:rPr>
          <w:rFonts w:hint="cs"/>
          <w:rtl/>
        </w:rPr>
        <w:t>اً</w:t>
      </w:r>
      <w:r w:rsidRPr="00CC701B">
        <w:rPr>
          <w:rtl/>
        </w:rPr>
        <w:t xml:space="preserve"> مستمرة ولو كانت قد حدثت قبل بدء نفاذ </w:t>
      </w:r>
      <w:r w:rsidRPr="00CC701B">
        <w:rPr>
          <w:rFonts w:hint="cs"/>
          <w:rtl/>
        </w:rPr>
        <w:t>ا</w:t>
      </w:r>
      <w:r w:rsidRPr="00CC701B">
        <w:rPr>
          <w:rtl/>
        </w:rPr>
        <w:t xml:space="preserve">لبروتوكول الاختياري </w:t>
      </w:r>
      <w:r w:rsidRPr="00CC701B">
        <w:rPr>
          <w:rFonts w:hint="cs"/>
          <w:rtl/>
        </w:rPr>
        <w:t>في ا</w:t>
      </w:r>
      <w:r w:rsidRPr="00CC701B">
        <w:rPr>
          <w:rtl/>
        </w:rPr>
        <w:t xml:space="preserve">لدولة المدعى عليها. وتحتج بأنه ينبغي للجنة مناهضة التعذيب أن تنظر في تطبيق المنطق نفسه، </w:t>
      </w:r>
      <w:r w:rsidRPr="00CC701B">
        <w:rPr>
          <w:i/>
          <w:iCs/>
          <w:rtl/>
        </w:rPr>
        <w:t>مع تعديل ما يلزم تعديله</w:t>
      </w:r>
      <w:r w:rsidRPr="00CC701B">
        <w:rPr>
          <w:rtl/>
        </w:rPr>
        <w:t xml:space="preserve">، وتخلص إلى الاستنتاجات نفسها فيما يتعلق بقضيتها، وتعلن أن بلاغها مقبول، وتقيِّم على النحو الواجب أن الانتهاكات المزعومة ليست مستمرة بطبيعتها فحسب، بل </w:t>
      </w:r>
      <w:r w:rsidRPr="00CC701B">
        <w:rPr>
          <w:rFonts w:hint="cs"/>
          <w:rtl/>
        </w:rPr>
        <w:t>إ</w:t>
      </w:r>
      <w:r w:rsidRPr="00CC701B">
        <w:rPr>
          <w:rtl/>
        </w:rPr>
        <w:t>ن آثار الاغتصاب وسوء المعاملة التي تعرضت لها مستمرة أيضا</w:t>
      </w:r>
      <w:r w:rsidRPr="00CC701B">
        <w:rPr>
          <w:rFonts w:hint="cs"/>
          <w:rtl/>
        </w:rPr>
        <w:t>ً</w:t>
      </w:r>
      <w:r w:rsidR="00A44950">
        <w:rPr>
          <w:vertAlign w:val="superscript"/>
          <w:rtl/>
          <w:lang w:val="en-GB"/>
        </w:rPr>
        <w:t>(</w:t>
      </w:r>
      <w:r w:rsidR="00A44950" w:rsidRPr="00CC701B">
        <w:rPr>
          <w:vertAlign w:val="superscript"/>
          <w:rtl/>
          <w:lang w:val="en-GB"/>
        </w:rPr>
        <w:footnoteReference w:id="6"/>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٢-٩</w:t>
      </w:r>
      <w:r w:rsidR="00195BF0">
        <w:rPr>
          <w:rtl/>
        </w:rPr>
        <w:tab/>
      </w:r>
      <w:r w:rsidRPr="00CC701B">
        <w:rPr>
          <w:rtl/>
        </w:rPr>
        <w:t>وتشير صاحبة الشكوى أيضا</w:t>
      </w:r>
      <w:r w:rsidRPr="00CC701B">
        <w:rPr>
          <w:rFonts w:hint="cs"/>
          <w:rtl/>
        </w:rPr>
        <w:t>ً</w:t>
      </w:r>
      <w:r w:rsidRPr="00CC701B">
        <w:rPr>
          <w:rtl/>
        </w:rPr>
        <w:t xml:space="preserve"> إلى أنها استنفدت جميع سبل الانتصاف المحلية المتاحة، وأن هذه السبل، في قضيتها هي، لم تثبت فعاليتها إذ لا يوجد في البوسنة والهرسك أي سبيل انتصاف آخر قد يتيح لها ذلك. وتدفع صاحبة الشكوى</w:t>
      </w:r>
      <w:r w:rsidR="00D90797">
        <w:rPr>
          <w:rtl/>
          <w:lang w:val="fr-FR"/>
        </w:rPr>
        <w:t xml:space="preserve"> </w:t>
      </w:r>
      <w:r w:rsidRPr="00CC701B">
        <w:rPr>
          <w:rFonts w:hint="cs"/>
          <w:rtl/>
        </w:rPr>
        <w:t>ب</w:t>
      </w:r>
      <w:r w:rsidRPr="00CC701B">
        <w:rPr>
          <w:rtl/>
        </w:rPr>
        <w:t>أن الاتفاقية والنظام الداخلي للجنة ينصان على إعفاء صاحب الشكوى من التماس سبل الانتصاف المحلية إذا كان من غير المحتمل أ</w:t>
      </w:r>
      <w:r w:rsidRPr="00CC701B">
        <w:rPr>
          <w:rFonts w:hint="cs"/>
          <w:rtl/>
        </w:rPr>
        <w:t>ن</w:t>
      </w:r>
      <w:r w:rsidRPr="00CC701B">
        <w:rPr>
          <w:rtl/>
        </w:rPr>
        <w:t xml:space="preserve"> يحصل على انتصاف فعلي. وقد دأبت اللجنة على اعتبار أن</w:t>
      </w:r>
      <w:r w:rsidRPr="00CC701B">
        <w:rPr>
          <w:rFonts w:hint="cs"/>
          <w:rtl/>
        </w:rPr>
        <w:t>ه</w:t>
      </w:r>
      <w:r w:rsidRPr="00CC701B">
        <w:rPr>
          <w:rtl/>
        </w:rPr>
        <w:t xml:space="preserve"> ليس لأصحاب الشك</w:t>
      </w:r>
      <w:r w:rsidRPr="00CC701B">
        <w:rPr>
          <w:rFonts w:hint="cs"/>
          <w:rtl/>
        </w:rPr>
        <w:t>ا</w:t>
      </w:r>
      <w:r w:rsidRPr="00CC701B">
        <w:rPr>
          <w:rtl/>
        </w:rPr>
        <w:t xml:space="preserve">وى استنفاد سبل الانتصاف المحلية حين لا يوجد احتمال واقعي </w:t>
      </w:r>
      <w:r w:rsidRPr="00CC701B">
        <w:rPr>
          <w:rFonts w:hint="cs"/>
          <w:rtl/>
        </w:rPr>
        <w:t>ل</w:t>
      </w:r>
      <w:r w:rsidRPr="00CC701B">
        <w:rPr>
          <w:rtl/>
        </w:rPr>
        <w:t>نجاحها</w:t>
      </w:r>
      <w:r w:rsidR="00A44950">
        <w:rPr>
          <w:vertAlign w:val="superscript"/>
          <w:rtl/>
          <w:lang w:val="en-GB"/>
        </w:rPr>
        <w:t>(</w:t>
      </w:r>
      <w:r w:rsidR="00A44950" w:rsidRPr="00CC701B">
        <w:rPr>
          <w:vertAlign w:val="superscript"/>
          <w:rtl/>
          <w:lang w:val="en-GB"/>
        </w:rPr>
        <w:footnoteReference w:id="7"/>
      </w:r>
      <w:r w:rsidR="00A44950">
        <w:rPr>
          <w:vertAlign w:val="superscript"/>
          <w:rtl/>
          <w:lang w:val="en-GB"/>
        </w:rPr>
        <w:t>)</w:t>
      </w:r>
      <w:r w:rsidRPr="00CC701B">
        <w:rPr>
          <w:rtl/>
        </w:rPr>
        <w:t xml:space="preserve">. وتدعي صاحبة </w:t>
      </w:r>
      <w:r w:rsidRPr="00CC701B">
        <w:rPr>
          <w:rtl/>
        </w:rPr>
        <w:lastRenderedPageBreak/>
        <w:t xml:space="preserve">الشكوى أن قضيتها تقع تحديداً ضمن هذا الاستثناء لأن تقديم أي ادعاء آخر إلى السلطات البوسنية </w:t>
      </w:r>
      <w:r w:rsidRPr="00CC701B">
        <w:rPr>
          <w:rFonts w:hint="cs"/>
          <w:rtl/>
        </w:rPr>
        <w:t xml:space="preserve">لا يُتوقع له </w:t>
      </w:r>
      <w:r w:rsidRPr="00CC701B">
        <w:rPr>
          <w:rtl/>
        </w:rPr>
        <w:t xml:space="preserve">أي نجاح على الإطلاق. وتشير صاحبة الشكوى، فيما يتعلق بقضيتها، إلى </w:t>
      </w:r>
      <w:r w:rsidRPr="00CC701B">
        <w:rPr>
          <w:rFonts w:hint="cs"/>
          <w:rtl/>
        </w:rPr>
        <w:t xml:space="preserve">أن </w:t>
      </w:r>
      <w:r w:rsidRPr="00CC701B">
        <w:rPr>
          <w:rtl/>
        </w:rPr>
        <w:t xml:space="preserve">مطالبتها بالتعويض </w:t>
      </w:r>
      <w:r w:rsidRPr="00CC701B">
        <w:rPr>
          <w:rFonts w:hint="cs"/>
          <w:rtl/>
        </w:rPr>
        <w:t xml:space="preserve">عن الأضرار غير المالية </w:t>
      </w:r>
      <w:r w:rsidRPr="00CC701B">
        <w:rPr>
          <w:rtl/>
        </w:rPr>
        <w:t xml:space="preserve">في الإجراءات المدنية لن </w:t>
      </w:r>
      <w:r w:rsidRPr="00CC701B">
        <w:rPr>
          <w:rFonts w:hint="cs"/>
          <w:rtl/>
        </w:rPr>
        <w:t>تُ</w:t>
      </w:r>
      <w:r w:rsidRPr="00CC701B">
        <w:rPr>
          <w:rtl/>
        </w:rPr>
        <w:t>سفر</w:t>
      </w:r>
      <w:r w:rsidRPr="00CC701B">
        <w:rPr>
          <w:rFonts w:hint="cs"/>
          <w:rtl/>
        </w:rPr>
        <w:t xml:space="preserve"> في الحقيقة</w:t>
      </w:r>
      <w:r w:rsidRPr="00CC701B">
        <w:rPr>
          <w:rtl/>
          <w:lang w:val="en-GB"/>
        </w:rPr>
        <w:t xml:space="preserve"> </w:t>
      </w:r>
      <w:r w:rsidRPr="00CC701B">
        <w:rPr>
          <w:rtl/>
        </w:rPr>
        <w:t xml:space="preserve">عن أي نتيجة </w:t>
      </w:r>
      <w:r w:rsidRPr="00CC701B">
        <w:rPr>
          <w:rFonts w:hint="cs"/>
          <w:rtl/>
        </w:rPr>
        <w:t>لها</w:t>
      </w:r>
      <w:r w:rsidRPr="00CC701B">
        <w:rPr>
          <w:rtl/>
        </w:rPr>
        <w:t xml:space="preserve"> مغزى</w:t>
      </w:r>
      <w:r w:rsidRPr="00CC701B">
        <w:rPr>
          <w:rFonts w:hint="cs"/>
          <w:rtl/>
        </w:rPr>
        <w:t xml:space="preserve"> لأنها </w:t>
      </w:r>
      <w:r w:rsidRPr="00CC701B">
        <w:rPr>
          <w:rtl/>
        </w:rPr>
        <w:t>ستسقط بموجب قانون التقادم</w:t>
      </w:r>
      <w:r w:rsidRPr="00CC701B">
        <w:rPr>
          <w:rFonts w:hint="cs"/>
          <w:rtl/>
        </w:rPr>
        <w:t>، وهذا الأمر ي</w:t>
      </w:r>
      <w:r w:rsidRPr="00CC701B">
        <w:rPr>
          <w:rtl/>
        </w:rPr>
        <w:t>شكل</w:t>
      </w:r>
      <w:r w:rsidRPr="00CC701B">
        <w:rPr>
          <w:rFonts w:hint="cs"/>
          <w:rtl/>
        </w:rPr>
        <w:t xml:space="preserve"> </w:t>
      </w:r>
      <w:r w:rsidRPr="00CC701B">
        <w:rPr>
          <w:rtl/>
        </w:rPr>
        <w:t>في حد ذاته جزءاً من الانتهاكات التي تدعي</w:t>
      </w:r>
      <w:r w:rsidRPr="00CC701B">
        <w:rPr>
          <w:rFonts w:hint="cs"/>
          <w:rtl/>
        </w:rPr>
        <w:t>ها</w:t>
      </w:r>
      <w:r w:rsidRPr="00CC701B">
        <w:rPr>
          <w:rtl/>
        </w:rPr>
        <w:t xml:space="preserve"> في بلاغها. ويتضمن القانون </w:t>
      </w:r>
      <w:r w:rsidRPr="00CC701B">
        <w:rPr>
          <w:rFonts w:hint="cs"/>
          <w:rtl/>
        </w:rPr>
        <w:t>المعمول به</w:t>
      </w:r>
      <w:r w:rsidR="00A44950">
        <w:rPr>
          <w:vertAlign w:val="superscript"/>
          <w:rtl/>
          <w:lang w:val="en-GB"/>
        </w:rPr>
        <w:t>(</w:t>
      </w:r>
      <w:r w:rsidR="00A44950" w:rsidRPr="00CC701B">
        <w:rPr>
          <w:vertAlign w:val="superscript"/>
          <w:rtl/>
          <w:lang w:val="en-GB"/>
        </w:rPr>
        <w:footnoteReference w:id="8"/>
      </w:r>
      <w:r w:rsidR="00A44950">
        <w:rPr>
          <w:vertAlign w:val="superscript"/>
          <w:rtl/>
          <w:lang w:val="en-GB"/>
        </w:rPr>
        <w:t>)</w:t>
      </w:r>
      <w:r w:rsidRPr="00CC701B">
        <w:rPr>
          <w:rFonts w:hint="cs"/>
          <w:rtl/>
        </w:rPr>
        <w:t xml:space="preserve"> </w:t>
      </w:r>
      <w:r w:rsidRPr="00CC701B">
        <w:rPr>
          <w:rtl/>
        </w:rPr>
        <w:t>تقادم</w:t>
      </w:r>
      <w:r w:rsidRPr="00CC701B">
        <w:rPr>
          <w:rFonts w:hint="cs"/>
          <w:rtl/>
        </w:rPr>
        <w:t>اً</w:t>
      </w:r>
      <w:r w:rsidRPr="00CC701B">
        <w:rPr>
          <w:rtl/>
        </w:rPr>
        <w:t xml:space="preserve"> </w:t>
      </w:r>
      <w:r w:rsidRPr="00CC701B">
        <w:rPr>
          <w:rFonts w:hint="cs"/>
          <w:rtl/>
        </w:rPr>
        <w:t xml:space="preserve">فسرته </w:t>
      </w:r>
      <w:r w:rsidRPr="00CC701B">
        <w:rPr>
          <w:rtl/>
        </w:rPr>
        <w:t>المحكمة الدستورية للبوسنة والهرسك، منذ قرارها المؤرخ ٢٣ كانون الأول/ديسمبر ٢٠١٣</w:t>
      </w:r>
      <w:r w:rsidR="00A44950">
        <w:rPr>
          <w:vertAlign w:val="superscript"/>
          <w:rtl/>
          <w:lang w:val="en-GB"/>
        </w:rPr>
        <w:t>(</w:t>
      </w:r>
      <w:r w:rsidR="00A44950" w:rsidRPr="00CC701B">
        <w:rPr>
          <w:vertAlign w:val="superscript"/>
          <w:rtl/>
          <w:lang w:val="en-GB"/>
        </w:rPr>
        <w:footnoteReference w:id="9"/>
      </w:r>
      <w:r w:rsidR="00A44950">
        <w:rPr>
          <w:vertAlign w:val="superscript"/>
          <w:rtl/>
          <w:lang w:val="en-GB"/>
        </w:rPr>
        <w:t>)</w:t>
      </w:r>
      <w:r w:rsidRPr="00CC701B">
        <w:rPr>
          <w:rtl/>
        </w:rPr>
        <w:t xml:space="preserve">، </w:t>
      </w:r>
      <w:r w:rsidRPr="00CC701B">
        <w:rPr>
          <w:rFonts w:hint="cs"/>
          <w:rtl/>
        </w:rPr>
        <w:t>ب</w:t>
      </w:r>
      <w:r w:rsidRPr="00CC701B">
        <w:rPr>
          <w:rtl/>
        </w:rPr>
        <w:t xml:space="preserve">أنه يعني أن أي مطالبات بتعويضات </w:t>
      </w:r>
      <w:r w:rsidRPr="00CC701B">
        <w:rPr>
          <w:rFonts w:hint="cs"/>
          <w:rtl/>
        </w:rPr>
        <w:t xml:space="preserve">عن أضرار غير مالية </w:t>
      </w:r>
      <w:r w:rsidRPr="00CC701B">
        <w:rPr>
          <w:rtl/>
        </w:rPr>
        <w:t>ضد كيانات قانونية تُقد</w:t>
      </w:r>
      <w:r w:rsidRPr="00CC701B">
        <w:rPr>
          <w:rFonts w:hint="cs"/>
          <w:rtl/>
        </w:rPr>
        <w:t>َّ</w:t>
      </w:r>
      <w:r w:rsidRPr="00CC701B">
        <w:rPr>
          <w:rtl/>
        </w:rPr>
        <w:t xml:space="preserve">م بعد أكثر من خمس سنوات </w:t>
      </w:r>
      <w:r w:rsidRPr="00CC701B">
        <w:rPr>
          <w:rFonts w:hint="cs"/>
          <w:rtl/>
        </w:rPr>
        <w:t xml:space="preserve">من معرفة </w:t>
      </w:r>
      <w:r w:rsidRPr="00CC701B">
        <w:rPr>
          <w:rtl/>
        </w:rPr>
        <w:t xml:space="preserve">الطرف المتضرر </w:t>
      </w:r>
      <w:r w:rsidRPr="00CC701B">
        <w:rPr>
          <w:rFonts w:hint="cs"/>
          <w:rtl/>
        </w:rPr>
        <w:t>بالضرر الواقع وب</w:t>
      </w:r>
      <w:r w:rsidRPr="00CC701B">
        <w:rPr>
          <w:rtl/>
        </w:rPr>
        <w:t xml:space="preserve">هوية الشخص </w:t>
      </w:r>
      <w:r w:rsidRPr="00CC701B">
        <w:rPr>
          <w:rFonts w:hint="cs"/>
          <w:rtl/>
        </w:rPr>
        <w:t xml:space="preserve">المتسبب فيه، هي </w:t>
      </w:r>
      <w:r w:rsidRPr="00CC701B">
        <w:rPr>
          <w:rtl/>
        </w:rPr>
        <w:t>مطالبات</w:t>
      </w:r>
      <w:r w:rsidRPr="00CC701B">
        <w:rPr>
          <w:rFonts w:hint="cs"/>
          <w:rtl/>
        </w:rPr>
        <w:t>ٌ</w:t>
      </w:r>
      <w:r w:rsidRPr="00CC701B">
        <w:rPr>
          <w:rtl/>
        </w:rPr>
        <w:t xml:space="preserve"> تسقط بموجب قانون التقادم. </w:t>
      </w:r>
      <w:r w:rsidRPr="00CC701B">
        <w:rPr>
          <w:rFonts w:hint="cs"/>
          <w:rtl/>
        </w:rPr>
        <w:t>و</w:t>
      </w:r>
      <w:r w:rsidRPr="00CC701B">
        <w:rPr>
          <w:rtl/>
        </w:rPr>
        <w:t xml:space="preserve">فيما يتعلق بهذا الجانب، ترى صاحبة الشكوى أن من غير الواقعي توقع أن تكون ضحية الاغتصاب أو ضحية أي جريمة أخرى </w:t>
      </w:r>
      <w:r w:rsidRPr="00CC701B">
        <w:rPr>
          <w:rFonts w:hint="cs"/>
          <w:rtl/>
        </w:rPr>
        <w:t xml:space="preserve">وقعت إبان </w:t>
      </w:r>
      <w:r w:rsidRPr="00CC701B">
        <w:rPr>
          <w:rtl/>
        </w:rPr>
        <w:t xml:space="preserve">النزاع قادرة على المطالبة بحقوقها في </w:t>
      </w:r>
      <w:r w:rsidRPr="00CC701B">
        <w:rPr>
          <w:rFonts w:hint="cs"/>
          <w:rtl/>
        </w:rPr>
        <w:t>ال</w:t>
      </w:r>
      <w:r w:rsidRPr="00CC701B">
        <w:rPr>
          <w:rtl/>
        </w:rPr>
        <w:t>سنوات</w:t>
      </w:r>
      <w:r w:rsidRPr="00CC701B">
        <w:rPr>
          <w:rFonts w:hint="cs"/>
          <w:rtl/>
        </w:rPr>
        <w:t xml:space="preserve"> الأولى التي تلت انتهاء </w:t>
      </w:r>
      <w:r w:rsidRPr="00CC701B">
        <w:rPr>
          <w:rtl/>
        </w:rPr>
        <w:t xml:space="preserve">الحرب، في وقت </w:t>
      </w:r>
      <w:r w:rsidRPr="00CC701B">
        <w:rPr>
          <w:rFonts w:hint="cs"/>
          <w:rtl/>
        </w:rPr>
        <w:t>اتسم بعدم الاستقرار</w:t>
      </w:r>
      <w:r w:rsidRPr="00CC701B">
        <w:rPr>
          <w:rtl/>
        </w:rPr>
        <w:t xml:space="preserve"> </w:t>
      </w:r>
      <w:r w:rsidRPr="00CC701B">
        <w:rPr>
          <w:rFonts w:hint="cs"/>
          <w:rtl/>
        </w:rPr>
        <w:t xml:space="preserve">وكان </w:t>
      </w:r>
      <w:r w:rsidRPr="00CC701B">
        <w:rPr>
          <w:rtl/>
        </w:rPr>
        <w:t xml:space="preserve">الكثيرون </w:t>
      </w:r>
      <w:r w:rsidRPr="00CC701B">
        <w:rPr>
          <w:rFonts w:hint="cs"/>
          <w:rtl/>
        </w:rPr>
        <w:t xml:space="preserve">لا يزالون يخشون </w:t>
      </w:r>
      <w:r w:rsidRPr="00CC701B">
        <w:rPr>
          <w:rtl/>
        </w:rPr>
        <w:t>انتقام المؤسسات العامة</w:t>
      </w:r>
      <w:r w:rsidRPr="00CC701B">
        <w:rPr>
          <w:rFonts w:hint="cs"/>
          <w:rtl/>
        </w:rPr>
        <w:t>، مما جعل سبيل</w:t>
      </w:r>
      <w:r w:rsidRPr="00CC701B">
        <w:rPr>
          <w:rtl/>
        </w:rPr>
        <w:t xml:space="preserve"> </w:t>
      </w:r>
      <w:r w:rsidRPr="00CC701B">
        <w:rPr>
          <w:rFonts w:hint="cs"/>
          <w:rtl/>
        </w:rPr>
        <w:t>ال</w:t>
      </w:r>
      <w:r w:rsidRPr="00CC701B">
        <w:rPr>
          <w:rtl/>
        </w:rPr>
        <w:t xml:space="preserve">انتصاف </w:t>
      </w:r>
      <w:r w:rsidRPr="00CC701B">
        <w:rPr>
          <w:rFonts w:hint="cs"/>
          <w:rtl/>
        </w:rPr>
        <w:t xml:space="preserve">هذا غير </w:t>
      </w:r>
      <w:r w:rsidRPr="00CC701B">
        <w:rPr>
          <w:rtl/>
        </w:rPr>
        <w:t xml:space="preserve">فعال. </w:t>
      </w:r>
      <w:r w:rsidRPr="00CC701B">
        <w:rPr>
          <w:rFonts w:hint="cs"/>
          <w:rtl/>
        </w:rPr>
        <w:t xml:space="preserve">ووجد </w:t>
      </w:r>
      <w:r w:rsidRPr="00CC701B">
        <w:rPr>
          <w:rtl/>
        </w:rPr>
        <w:t xml:space="preserve">الضحايا الذين قدموا مطالبات </w:t>
      </w:r>
      <w:r w:rsidRPr="00CC701B">
        <w:rPr>
          <w:rFonts w:hint="cs"/>
          <w:rtl/>
        </w:rPr>
        <w:t xml:space="preserve">رغم ذلك </w:t>
      </w:r>
      <w:r w:rsidRPr="00CC701B">
        <w:rPr>
          <w:rtl/>
        </w:rPr>
        <w:t xml:space="preserve">أن شكاواهم رُفضت للأسباب المذكورة، وأُرغموا </w:t>
      </w:r>
      <w:r w:rsidRPr="00CC701B">
        <w:rPr>
          <w:rFonts w:hint="cs"/>
          <w:rtl/>
        </w:rPr>
        <w:t xml:space="preserve">عندئذ </w:t>
      </w:r>
      <w:r w:rsidRPr="00CC701B">
        <w:rPr>
          <w:rtl/>
        </w:rPr>
        <w:t>على دفع ما بين ٠٠٠ ٢</w:t>
      </w:r>
      <w:r w:rsidR="00D90797">
        <w:rPr>
          <w:rtl/>
        </w:rPr>
        <w:t xml:space="preserve"> و</w:t>
      </w:r>
      <w:r w:rsidRPr="00CC701B">
        <w:rPr>
          <w:rtl/>
        </w:rPr>
        <w:t>٠٠٠ ١٠ مارك</w:t>
      </w:r>
      <w:r w:rsidRPr="00CC701B">
        <w:rPr>
          <w:rFonts w:hint="cs"/>
          <w:rtl/>
        </w:rPr>
        <w:t>ا</w:t>
      </w:r>
      <w:r w:rsidR="003B65EE">
        <w:rPr>
          <w:rFonts w:hint="cs"/>
          <w:rtl/>
        </w:rPr>
        <w:t>ً</w:t>
      </w:r>
      <w:r w:rsidRPr="00CC701B">
        <w:rPr>
          <w:rtl/>
        </w:rPr>
        <w:t xml:space="preserve"> (نحو ٠٢٠ ١</w:t>
      </w:r>
      <w:r w:rsidR="00D90797">
        <w:rPr>
          <w:rtl/>
        </w:rPr>
        <w:t xml:space="preserve"> و</w:t>
      </w:r>
      <w:r w:rsidRPr="00CC701B">
        <w:rPr>
          <w:rtl/>
        </w:rPr>
        <w:t>١١٠ ٥ يورو)</w:t>
      </w:r>
      <w:r w:rsidR="00A44950">
        <w:rPr>
          <w:vertAlign w:val="superscript"/>
          <w:rtl/>
          <w:lang w:val="en-GB"/>
        </w:rPr>
        <w:t>(</w:t>
      </w:r>
      <w:r w:rsidR="00A44950" w:rsidRPr="00CC701B">
        <w:rPr>
          <w:vertAlign w:val="superscript"/>
          <w:rtl/>
          <w:lang w:val="en-GB"/>
        </w:rPr>
        <w:footnoteReference w:id="10"/>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٢-١٠</w:t>
      </w:r>
      <w:r w:rsidR="00195BF0">
        <w:rPr>
          <w:rtl/>
        </w:rPr>
        <w:tab/>
      </w:r>
      <w:r w:rsidRPr="00CC701B">
        <w:rPr>
          <w:rtl/>
        </w:rPr>
        <w:t xml:space="preserve">وتلاحظ صاحبة الشكوى أن اللجنة المعنية بحقوق الإنسان أعربت في ملاحظاتها الختامية بشأن البوسنة والهرسك المؤرخة آذار/مارس ٢٠١٧ عن قلقها </w:t>
      </w:r>
      <w:r w:rsidRPr="00CC701B">
        <w:rPr>
          <w:rFonts w:hint="cs"/>
          <w:rtl/>
        </w:rPr>
        <w:t>بشأن هذا ال</w:t>
      </w:r>
      <w:r w:rsidRPr="00CC701B">
        <w:rPr>
          <w:rtl/>
        </w:rPr>
        <w:t xml:space="preserve">تفسير </w:t>
      </w:r>
      <w:r w:rsidRPr="00CC701B">
        <w:rPr>
          <w:rFonts w:hint="cs"/>
          <w:rtl/>
        </w:rPr>
        <w:t>للاجتهادات القانونية</w:t>
      </w:r>
      <w:r w:rsidRPr="00CC701B">
        <w:rPr>
          <w:rtl/>
        </w:rPr>
        <w:t xml:space="preserve"> الذي اعتمدته المحكمة الدستورية للبوسنة والهرسك،</w:t>
      </w:r>
      <w:r w:rsidRPr="00CC701B">
        <w:rPr>
          <w:rFonts w:hint="cs"/>
          <w:rtl/>
        </w:rPr>
        <w:t xml:space="preserve"> إذ </w:t>
      </w:r>
      <w:r w:rsidRPr="00CC701B">
        <w:rPr>
          <w:rtl/>
        </w:rPr>
        <w:t>ارتأت اللجنة أنه لا يترك لضحايا الجرائم</w:t>
      </w:r>
      <w:r w:rsidRPr="00CC701B">
        <w:rPr>
          <w:rFonts w:hint="cs"/>
          <w:rtl/>
        </w:rPr>
        <w:t xml:space="preserve"> المشمولة بالقانون الدولي</w:t>
      </w:r>
      <w:r w:rsidRPr="00CC701B">
        <w:rPr>
          <w:rtl/>
        </w:rPr>
        <w:t>، لا سيما العنف الجنسي إبان الحرب، أي سبيل انتصاف فعال</w:t>
      </w:r>
      <w:r w:rsidR="00A44950">
        <w:rPr>
          <w:vertAlign w:val="superscript"/>
          <w:rtl/>
          <w:lang w:val="en-GB"/>
        </w:rPr>
        <w:t>(</w:t>
      </w:r>
      <w:r w:rsidR="00A44950" w:rsidRPr="00CC701B">
        <w:rPr>
          <w:vertAlign w:val="superscript"/>
          <w:rtl/>
          <w:lang w:val="en-GB"/>
        </w:rPr>
        <w:footnoteReference w:id="11"/>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٢-١١</w:t>
      </w:r>
      <w:r w:rsidR="00195BF0">
        <w:rPr>
          <w:rtl/>
        </w:rPr>
        <w:tab/>
      </w:r>
      <w:r w:rsidRPr="00CC701B">
        <w:rPr>
          <w:rtl/>
        </w:rPr>
        <w:t xml:space="preserve">وتضيف صاحبة الشكوى أن من غير المحتمل أن </w:t>
      </w:r>
      <w:r w:rsidRPr="00CC701B">
        <w:rPr>
          <w:rFonts w:hint="cs"/>
          <w:rtl/>
        </w:rPr>
        <w:t>ي</w:t>
      </w:r>
      <w:r w:rsidRPr="00CC701B">
        <w:rPr>
          <w:rtl/>
        </w:rPr>
        <w:t xml:space="preserve">تيح لها </w:t>
      </w:r>
      <w:r w:rsidRPr="00CC701B">
        <w:rPr>
          <w:rFonts w:hint="cs"/>
          <w:rtl/>
        </w:rPr>
        <w:t xml:space="preserve">عرض مطالبتها على </w:t>
      </w:r>
      <w:r w:rsidRPr="00CC701B">
        <w:rPr>
          <w:rtl/>
        </w:rPr>
        <w:t xml:space="preserve">أي سلطة بوسنية أخرى </w:t>
      </w:r>
      <w:r w:rsidRPr="00CC701B">
        <w:rPr>
          <w:rFonts w:hint="cs"/>
          <w:rtl/>
        </w:rPr>
        <w:t>انتصاف</w:t>
      </w:r>
      <w:r w:rsidRPr="00CC701B">
        <w:rPr>
          <w:rtl/>
        </w:rPr>
        <w:t xml:space="preserve">اً فعالاً بالنظر إلى السوابق القضائية للمحاكم المحلية، وإلى إعلان المحكمة الدستورية أن المطالب المتعلقة بالتعويضات </w:t>
      </w:r>
      <w:r w:rsidRPr="00CC701B">
        <w:rPr>
          <w:rFonts w:hint="cs"/>
          <w:rtl/>
        </w:rPr>
        <w:t>عن الأضرار غير المالية فيما يتعلق ب</w:t>
      </w:r>
      <w:r w:rsidRPr="00CC701B">
        <w:rPr>
          <w:rtl/>
        </w:rPr>
        <w:t xml:space="preserve">الانتهاكات </w:t>
      </w:r>
      <w:r w:rsidRPr="00CC701B">
        <w:rPr>
          <w:rFonts w:hint="cs"/>
          <w:rtl/>
        </w:rPr>
        <w:t xml:space="preserve">المرتكبة </w:t>
      </w:r>
      <w:r w:rsidRPr="00CC701B">
        <w:rPr>
          <w:rtl/>
        </w:rPr>
        <w:t xml:space="preserve">إبان الحرب تخضع لقانون التقادم، </w:t>
      </w:r>
      <w:r w:rsidRPr="00CC701B">
        <w:rPr>
          <w:rFonts w:hint="cs"/>
          <w:rtl/>
        </w:rPr>
        <w:t>و</w:t>
      </w:r>
      <w:r w:rsidRPr="00CC701B">
        <w:rPr>
          <w:rtl/>
        </w:rPr>
        <w:t xml:space="preserve">عدم اعتراف المحكمة بمسؤولية </w:t>
      </w:r>
      <w:r w:rsidRPr="00CC701B">
        <w:rPr>
          <w:rFonts w:hint="cs"/>
          <w:rtl/>
        </w:rPr>
        <w:t>ا</w:t>
      </w:r>
      <w:r w:rsidRPr="00CC701B">
        <w:rPr>
          <w:rtl/>
        </w:rPr>
        <w:t xml:space="preserve">لدولة أو غيرها من الكيانات (أي جيش جمهورية </w:t>
      </w:r>
      <w:proofErr w:type="spellStart"/>
      <w:r w:rsidRPr="00CC701B">
        <w:rPr>
          <w:rtl/>
        </w:rPr>
        <w:t>صربسكا</w:t>
      </w:r>
      <w:proofErr w:type="spellEnd"/>
      <w:r w:rsidRPr="00CC701B">
        <w:rPr>
          <w:rtl/>
        </w:rPr>
        <w:t>)</w:t>
      </w:r>
      <w:r w:rsidRPr="00CC701B">
        <w:rPr>
          <w:rFonts w:hint="cs"/>
          <w:rtl/>
        </w:rPr>
        <w:t xml:space="preserve"> عن عمل الغير</w:t>
      </w:r>
      <w:r w:rsidRPr="00CC701B">
        <w:rPr>
          <w:rtl/>
        </w:rPr>
        <w:t>.</w:t>
      </w:r>
    </w:p>
    <w:p w:rsidR="00CC701B" w:rsidRPr="00CC701B" w:rsidRDefault="00CC701B" w:rsidP="00CC701B">
      <w:pPr>
        <w:pStyle w:val="SingleTxtGA"/>
        <w:rPr>
          <w:rtl/>
        </w:rPr>
      </w:pPr>
      <w:r w:rsidRPr="00CC701B">
        <w:rPr>
          <w:rtl/>
        </w:rPr>
        <w:t>٢-١٢</w:t>
      </w:r>
      <w:r w:rsidR="00195BF0">
        <w:rPr>
          <w:rtl/>
        </w:rPr>
        <w:tab/>
      </w:r>
      <w:r w:rsidRPr="00CC701B">
        <w:rPr>
          <w:rtl/>
        </w:rPr>
        <w:t xml:space="preserve">وتدفع صاحبة الشكوى بأنه يجب النظر في وقائع قضيتها في سياق </w:t>
      </w:r>
      <w:r w:rsidRPr="00CC701B">
        <w:rPr>
          <w:rFonts w:hint="cs"/>
          <w:rtl/>
        </w:rPr>
        <w:t>ال</w:t>
      </w:r>
      <w:r w:rsidRPr="00CC701B">
        <w:rPr>
          <w:rtl/>
        </w:rPr>
        <w:t xml:space="preserve">ممارسة </w:t>
      </w:r>
      <w:r w:rsidRPr="00CC701B">
        <w:rPr>
          <w:rFonts w:hint="cs"/>
          <w:rtl/>
        </w:rPr>
        <w:t>ال</w:t>
      </w:r>
      <w:r w:rsidRPr="00CC701B">
        <w:rPr>
          <w:rtl/>
        </w:rPr>
        <w:t xml:space="preserve">واسعة الانتشار </w:t>
      </w:r>
      <w:r w:rsidRPr="00CC701B">
        <w:rPr>
          <w:rFonts w:hint="cs"/>
          <w:rtl/>
        </w:rPr>
        <w:t xml:space="preserve">بعدم </w:t>
      </w:r>
      <w:r w:rsidRPr="00CC701B">
        <w:rPr>
          <w:rtl/>
        </w:rPr>
        <w:t xml:space="preserve">إجراء تحقيق فوري وتقديم تعويض عادل ومناسب عن الجرائم المرتكبة إبان النزاع المسلح؛ الأمر الذي يفضي إلى تفاقم مسؤولية الدولة المدعى عليها </w:t>
      </w:r>
      <w:r w:rsidRPr="00CC701B">
        <w:rPr>
          <w:rFonts w:hint="cs"/>
          <w:rtl/>
        </w:rPr>
        <w:t>ب</w:t>
      </w:r>
      <w:r w:rsidRPr="00CC701B">
        <w:rPr>
          <w:rtl/>
        </w:rPr>
        <w:t>تقديم تعويض عادل ومناسب للضحايا. وتذكر صاحبة الشكوى أيضا</w:t>
      </w:r>
      <w:r w:rsidRPr="00CC701B">
        <w:rPr>
          <w:rFonts w:hint="cs"/>
          <w:rtl/>
        </w:rPr>
        <w:t>ً</w:t>
      </w:r>
      <w:r w:rsidRPr="00CC701B">
        <w:rPr>
          <w:rtl/>
        </w:rPr>
        <w:t xml:space="preserve"> أن </w:t>
      </w:r>
      <w:bookmarkStart w:id="2" w:name="_Hlk31823260"/>
      <w:r w:rsidRPr="00CC701B">
        <w:rPr>
          <w:rFonts w:hint="cs"/>
          <w:rtl/>
        </w:rPr>
        <w:t xml:space="preserve">ما تعرضت له من </w:t>
      </w:r>
      <w:r w:rsidRPr="00CC701B">
        <w:rPr>
          <w:rtl/>
        </w:rPr>
        <w:t xml:space="preserve">اغتصاب وعنف جنسي وسوء معاملة </w:t>
      </w:r>
      <w:bookmarkEnd w:id="2"/>
      <w:r w:rsidRPr="00CC701B">
        <w:rPr>
          <w:rFonts w:hint="cs"/>
          <w:rtl/>
        </w:rPr>
        <w:t xml:space="preserve">هو بمثابة </w:t>
      </w:r>
      <w:r w:rsidRPr="00CC701B">
        <w:rPr>
          <w:rtl/>
        </w:rPr>
        <w:t>أعمال تعذيب استناداً إلى المادة ١(١) من الاتفاقية</w:t>
      </w:r>
      <w:r w:rsidR="00A44950">
        <w:rPr>
          <w:vertAlign w:val="superscript"/>
          <w:rtl/>
          <w:lang w:val="en-GB"/>
        </w:rPr>
        <w:t>(</w:t>
      </w:r>
      <w:r w:rsidR="00A44950" w:rsidRPr="00CC701B">
        <w:rPr>
          <w:vertAlign w:val="superscript"/>
          <w:rtl/>
          <w:lang w:val="en-GB"/>
        </w:rPr>
        <w:footnoteReference w:id="12"/>
      </w:r>
      <w:r w:rsidR="00A44950">
        <w:rPr>
          <w:vertAlign w:val="superscript"/>
          <w:rtl/>
          <w:lang w:val="en-GB"/>
        </w:rPr>
        <w:t>)</w:t>
      </w:r>
      <w:r w:rsidRPr="00CC701B">
        <w:rPr>
          <w:rtl/>
        </w:rPr>
        <w:t xml:space="preserve">. ولم تتلق </w:t>
      </w:r>
      <w:r w:rsidRPr="00CC701B">
        <w:rPr>
          <w:rtl/>
        </w:rPr>
        <w:lastRenderedPageBreak/>
        <w:t xml:space="preserve">صاحبة الشكوى أي شكل من التعويض عن الضرر الذي </w:t>
      </w:r>
      <w:r w:rsidRPr="00CC701B">
        <w:rPr>
          <w:rFonts w:hint="cs"/>
          <w:rtl/>
        </w:rPr>
        <w:t xml:space="preserve">لحق بها، </w:t>
      </w:r>
      <w:r w:rsidRPr="00CC701B">
        <w:rPr>
          <w:rtl/>
        </w:rPr>
        <w:t xml:space="preserve">رغم محاولاتها </w:t>
      </w:r>
      <w:r w:rsidRPr="00CC701B">
        <w:rPr>
          <w:rFonts w:hint="cs"/>
          <w:rtl/>
        </w:rPr>
        <w:t>ل</w:t>
      </w:r>
      <w:r w:rsidRPr="00CC701B">
        <w:rPr>
          <w:rtl/>
        </w:rPr>
        <w:t>لحصول</w:t>
      </w:r>
      <w:r w:rsidRPr="00CC701B">
        <w:rPr>
          <w:rFonts w:hint="cs"/>
          <w:rtl/>
        </w:rPr>
        <w:t xml:space="preserve"> عليه</w:t>
      </w:r>
      <w:r w:rsidRPr="00CC701B">
        <w:rPr>
          <w:rtl/>
        </w:rPr>
        <w:t>. ويشكل هذا الأمر بالنسبة لصاحبة الشكوى انتهاكاً مستمراً للمادة ١٤(١)، بالاقتران مع المادة ١(١) من الاتفاقية</w:t>
      </w:r>
      <w:r w:rsidRPr="00CC701B">
        <w:rPr>
          <w:rFonts w:hint="cs"/>
          <w:rtl/>
        </w:rPr>
        <w:t>،</w:t>
      </w:r>
      <w:r w:rsidRPr="00CC701B">
        <w:rPr>
          <w:rtl/>
        </w:rPr>
        <w:t xml:space="preserve"> لأن البوسنة والهرسك لم تكفل في نظامها القانوني أو في ممارساتها إمكانية حصول</w:t>
      </w:r>
      <w:r w:rsidRPr="00CC701B">
        <w:rPr>
          <w:rFonts w:hint="cs"/>
          <w:rtl/>
        </w:rPr>
        <w:t>ها</w:t>
      </w:r>
      <w:r w:rsidRPr="00CC701B">
        <w:rPr>
          <w:rtl/>
        </w:rPr>
        <w:t xml:space="preserve"> على الانتصاف. </w:t>
      </w:r>
      <w:r w:rsidRPr="00CC701B">
        <w:rPr>
          <w:rFonts w:hint="cs"/>
          <w:rtl/>
        </w:rPr>
        <w:t xml:space="preserve">كما أن </w:t>
      </w:r>
      <w:r w:rsidRPr="00CC701B">
        <w:rPr>
          <w:rtl/>
        </w:rPr>
        <w:t>الدولة الطرف</w:t>
      </w:r>
      <w:r w:rsidRPr="00CC701B">
        <w:rPr>
          <w:rFonts w:hint="cs"/>
          <w:rtl/>
        </w:rPr>
        <w:t xml:space="preserve"> لم تكفل لصاحبة الشكوى حقاً قابلاً للإنفاذ </w:t>
      </w:r>
      <w:r w:rsidRPr="00CC701B">
        <w:rPr>
          <w:rtl/>
        </w:rPr>
        <w:t>في الحصول على تعويض عادل ومناسب، بما في ذلك وسائل إعادة تأهيلها بالكامل</w:t>
      </w:r>
      <w:r w:rsidRPr="00CC701B">
        <w:rPr>
          <w:rFonts w:hint="cs"/>
          <w:rtl/>
        </w:rPr>
        <w:t xml:space="preserve"> </w:t>
      </w:r>
      <w:r w:rsidRPr="00CC701B">
        <w:rPr>
          <w:rtl/>
        </w:rPr>
        <w:t>قدر الإمكان.</w:t>
      </w:r>
    </w:p>
    <w:p w:rsidR="00CC701B" w:rsidRPr="00CC701B" w:rsidRDefault="00CC701B" w:rsidP="00CC701B">
      <w:pPr>
        <w:pStyle w:val="SingleTxtGA"/>
        <w:rPr>
          <w:rtl/>
        </w:rPr>
      </w:pPr>
      <w:r w:rsidRPr="00CC701B">
        <w:rPr>
          <w:rtl/>
        </w:rPr>
        <w:t>٢-١٣</w:t>
      </w:r>
      <w:r w:rsidR="00195BF0">
        <w:rPr>
          <w:rtl/>
        </w:rPr>
        <w:tab/>
      </w:r>
      <w:r w:rsidRPr="00CC701B">
        <w:rPr>
          <w:rtl/>
        </w:rPr>
        <w:t>وتلاحظ صاحبة الشكوى أن الاغتصاب محظور بموجب القانون الدولي الإنساني العرفي</w:t>
      </w:r>
      <w:r w:rsidR="00A44950">
        <w:rPr>
          <w:vertAlign w:val="superscript"/>
          <w:rtl/>
          <w:lang w:val="en-GB"/>
        </w:rPr>
        <w:t>(</w:t>
      </w:r>
      <w:r w:rsidR="00A44950" w:rsidRPr="00CC701B">
        <w:rPr>
          <w:vertAlign w:val="superscript"/>
          <w:rtl/>
          <w:lang w:val="en-GB"/>
        </w:rPr>
        <w:footnoteReference w:id="13"/>
      </w:r>
      <w:r w:rsidR="00A44950">
        <w:rPr>
          <w:vertAlign w:val="superscript"/>
          <w:rtl/>
          <w:lang w:val="en-GB"/>
        </w:rPr>
        <w:t>)</w:t>
      </w:r>
      <w:r w:rsidRPr="00CC701B">
        <w:rPr>
          <w:rtl/>
        </w:rPr>
        <w:t>، وقد ي</w:t>
      </w:r>
      <w:r w:rsidRPr="00CC701B">
        <w:rPr>
          <w:rFonts w:hint="cs"/>
          <w:rtl/>
        </w:rPr>
        <w:t>كون</w:t>
      </w:r>
      <w:r w:rsidRPr="00CC701B">
        <w:rPr>
          <w:rtl/>
        </w:rPr>
        <w:t xml:space="preserve"> في سياقات معينة </w:t>
      </w:r>
      <w:r w:rsidRPr="00CC701B">
        <w:rPr>
          <w:rFonts w:hint="cs"/>
          <w:rtl/>
        </w:rPr>
        <w:t xml:space="preserve">بمثابة </w:t>
      </w:r>
      <w:r w:rsidRPr="00CC701B">
        <w:rPr>
          <w:rtl/>
        </w:rPr>
        <w:t>جريمة من جرائم الحرب</w:t>
      </w:r>
      <w:r w:rsidR="00A44950">
        <w:rPr>
          <w:vertAlign w:val="superscript"/>
          <w:rtl/>
          <w:lang w:val="en-GB"/>
        </w:rPr>
        <w:t>(</w:t>
      </w:r>
      <w:r w:rsidR="00A44950" w:rsidRPr="00CC701B">
        <w:rPr>
          <w:vertAlign w:val="superscript"/>
          <w:rtl/>
          <w:lang w:val="en-GB"/>
        </w:rPr>
        <w:footnoteReference w:id="14"/>
      </w:r>
      <w:r w:rsidR="00A44950">
        <w:rPr>
          <w:vertAlign w:val="superscript"/>
          <w:rtl/>
          <w:lang w:val="en-GB"/>
        </w:rPr>
        <w:t>)</w:t>
      </w:r>
      <w:r w:rsidRPr="00CC701B">
        <w:rPr>
          <w:rtl/>
        </w:rPr>
        <w:t xml:space="preserve">. وفي هذه القضية، أدانت محكمة البوسنة والهرسك في عام ٢٠١٥ </w:t>
      </w:r>
      <w:r w:rsidRPr="00CC701B">
        <w:rPr>
          <w:rFonts w:hint="cs"/>
          <w:rtl/>
        </w:rPr>
        <w:t xml:space="preserve">الشخص الذي اغتصب </w:t>
      </w:r>
      <w:r w:rsidRPr="00CC701B">
        <w:rPr>
          <w:rtl/>
        </w:rPr>
        <w:t xml:space="preserve">صاحبة الشكوى </w:t>
      </w:r>
      <w:r w:rsidRPr="00CC701B">
        <w:rPr>
          <w:rFonts w:hint="cs"/>
          <w:rtl/>
        </w:rPr>
        <w:t xml:space="preserve">وأساء </w:t>
      </w:r>
      <w:r w:rsidRPr="00CC701B">
        <w:rPr>
          <w:rtl/>
        </w:rPr>
        <w:t xml:space="preserve">معاملتها </w:t>
      </w:r>
      <w:r w:rsidRPr="00CC701B">
        <w:rPr>
          <w:rFonts w:hint="cs"/>
          <w:rtl/>
        </w:rPr>
        <w:t>ب</w:t>
      </w:r>
      <w:r w:rsidRPr="00CC701B">
        <w:rPr>
          <w:rtl/>
        </w:rPr>
        <w:t xml:space="preserve">ارتكاب جرائم حرب. </w:t>
      </w:r>
      <w:r w:rsidRPr="00CC701B">
        <w:rPr>
          <w:rFonts w:hint="cs"/>
          <w:rtl/>
        </w:rPr>
        <w:t xml:space="preserve">وتترتب على تطور </w:t>
      </w:r>
      <w:r w:rsidRPr="00CC701B">
        <w:rPr>
          <w:rtl/>
        </w:rPr>
        <w:t xml:space="preserve">حظر التعذيب إلى </w:t>
      </w:r>
      <w:r w:rsidRPr="00CC701B">
        <w:rPr>
          <w:i/>
          <w:iCs/>
          <w:rtl/>
        </w:rPr>
        <w:t>قاعدة آمرة</w:t>
      </w:r>
      <w:r w:rsidRPr="00CC701B">
        <w:rPr>
          <w:rFonts w:hint="cs"/>
          <w:rtl/>
        </w:rPr>
        <w:t xml:space="preserve"> نتائج هامة</w:t>
      </w:r>
      <w:r w:rsidRPr="00CC701B">
        <w:rPr>
          <w:rtl/>
        </w:rPr>
        <w:t>، بما في ذلك أن "التعذيب لا يمكن أن يشمله قانون التقادم"</w:t>
      </w:r>
      <w:r w:rsidR="00A44950">
        <w:rPr>
          <w:vertAlign w:val="superscript"/>
          <w:rtl/>
          <w:lang w:val="en-GB"/>
        </w:rPr>
        <w:t>(</w:t>
      </w:r>
      <w:r w:rsidR="00A44950" w:rsidRPr="00CC701B">
        <w:rPr>
          <w:vertAlign w:val="superscript"/>
          <w:rtl/>
          <w:lang w:val="en-GB"/>
        </w:rPr>
        <w:footnoteReference w:id="15"/>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٢-١٤</w:t>
      </w:r>
      <w:r w:rsidR="00195BF0">
        <w:rPr>
          <w:rtl/>
        </w:rPr>
        <w:tab/>
      </w:r>
      <w:r w:rsidRPr="00CC701B">
        <w:rPr>
          <w:rtl/>
        </w:rPr>
        <w:t xml:space="preserve">وترى صاحبة الشكوى أن من الحقائق الراسخة، عملاً بالقانون الدولي والاجتهادات القضائية، أن لضحايا التعذيب الحق في الانتصاف، بما في ذلك التعويض، ورد </w:t>
      </w:r>
      <w:r w:rsidRPr="00CC701B">
        <w:rPr>
          <w:rFonts w:hint="cs"/>
          <w:rtl/>
        </w:rPr>
        <w:t>الحق</w:t>
      </w:r>
      <w:r w:rsidRPr="00CC701B">
        <w:rPr>
          <w:rtl/>
        </w:rPr>
        <w:t>، وإعادة التأهيل، والترضية، وضمانات عدم التكرار. ويتفرع عن الحق في الحصول على تعويض لضحايا التعذيب، بما في ذلك العنف الجنسي، وهو حق لا يقبل الجدل، نتيجتان مباشرتان تقعان في صلب هذا البلاغ. فمن ناحية، لا ي</w:t>
      </w:r>
      <w:r w:rsidRPr="00CC701B">
        <w:rPr>
          <w:rFonts w:hint="cs"/>
          <w:rtl/>
        </w:rPr>
        <w:t>مكن</w:t>
      </w:r>
      <w:r w:rsidRPr="00CC701B">
        <w:rPr>
          <w:rtl/>
        </w:rPr>
        <w:t xml:space="preserve"> إخضاع المطالبات بالتعويض عن الجرائم التي ينص عليها القانون الدولي، بما فيها جرائم الحرب والجرائم المرتكبة ضد الإنسانية، لقانون التقادم، لأن من شأن</w:t>
      </w:r>
      <w:r w:rsidRPr="00CC701B">
        <w:rPr>
          <w:rFonts w:hint="cs"/>
          <w:rtl/>
        </w:rPr>
        <w:t xml:space="preserve"> ذلك</w:t>
      </w:r>
      <w:r w:rsidRPr="00CC701B">
        <w:rPr>
          <w:rtl/>
        </w:rPr>
        <w:t xml:space="preserve"> أن يجعل الحق في الانتصاف دون قيمة فعلية. ومن ناحية أخرى، </w:t>
      </w:r>
      <w:r w:rsidRPr="00CC701B">
        <w:rPr>
          <w:rFonts w:hint="cs"/>
          <w:rtl/>
        </w:rPr>
        <w:t>يتعين العمل ب</w:t>
      </w:r>
      <w:r w:rsidRPr="00CC701B">
        <w:rPr>
          <w:rtl/>
        </w:rPr>
        <w:t xml:space="preserve">المسؤولية </w:t>
      </w:r>
      <w:r w:rsidRPr="00CC701B">
        <w:rPr>
          <w:rFonts w:hint="cs"/>
          <w:rtl/>
        </w:rPr>
        <w:t xml:space="preserve">عن عمل الغير </w:t>
      </w:r>
      <w:r w:rsidRPr="00CC701B">
        <w:rPr>
          <w:rtl/>
        </w:rPr>
        <w:t>ليكون هذا الحق قابلاً للإنفاذ حتى عندما لا تُعرف هوية الجاني أو</w:t>
      </w:r>
      <w:r w:rsidR="00F150FE">
        <w:rPr>
          <w:rFonts w:hint="eastAsia"/>
          <w:rtl/>
        </w:rPr>
        <w:t> </w:t>
      </w:r>
      <w:r w:rsidRPr="00CC701B">
        <w:rPr>
          <w:rFonts w:hint="cs"/>
          <w:rtl/>
        </w:rPr>
        <w:t>يكون</w:t>
      </w:r>
      <w:r w:rsidRPr="00CC701B">
        <w:rPr>
          <w:rtl/>
        </w:rPr>
        <w:t xml:space="preserve">، كما هو الحال في هذه القضية، غير قادر على دفع تعويض أو غير </w:t>
      </w:r>
      <w:r w:rsidRPr="00CC701B">
        <w:rPr>
          <w:rFonts w:hint="cs"/>
          <w:rtl/>
        </w:rPr>
        <w:t xml:space="preserve">راغب في </w:t>
      </w:r>
      <w:r w:rsidRPr="00CC701B">
        <w:rPr>
          <w:rtl/>
        </w:rPr>
        <w:t>ذلك.</w:t>
      </w:r>
    </w:p>
    <w:p w:rsidR="00CC701B" w:rsidRPr="00CC701B" w:rsidRDefault="00CC701B" w:rsidP="00CC701B">
      <w:pPr>
        <w:pStyle w:val="SingleTxtGA"/>
        <w:rPr>
          <w:rtl/>
        </w:rPr>
      </w:pPr>
      <w:r w:rsidRPr="00CC701B">
        <w:rPr>
          <w:rtl/>
        </w:rPr>
        <w:t>٢-١٥</w:t>
      </w:r>
      <w:r w:rsidR="00195BF0">
        <w:rPr>
          <w:rtl/>
        </w:rPr>
        <w:tab/>
      </w:r>
      <w:r w:rsidRPr="00CC701B">
        <w:rPr>
          <w:rtl/>
        </w:rPr>
        <w:t xml:space="preserve">وتذكر صاحبة الشكوى أنه </w:t>
      </w:r>
      <w:r w:rsidRPr="00CC701B">
        <w:rPr>
          <w:rFonts w:hint="cs"/>
          <w:rtl/>
        </w:rPr>
        <w:t xml:space="preserve">نظراً لعدم انطباق </w:t>
      </w:r>
      <w:r w:rsidRPr="00CC701B">
        <w:rPr>
          <w:rtl/>
        </w:rPr>
        <w:t xml:space="preserve">قوانين التقادم على الإبادة الجماعية والجرائم المرتكبة ضد الإنسانية وجرائم الحرب، </w:t>
      </w:r>
      <w:r w:rsidRPr="00CC701B">
        <w:rPr>
          <w:rFonts w:hint="cs"/>
          <w:rtl/>
        </w:rPr>
        <w:t>ف</w:t>
      </w:r>
      <w:r w:rsidRPr="00CC701B">
        <w:rPr>
          <w:rtl/>
        </w:rPr>
        <w:t xml:space="preserve">ينبغي </w:t>
      </w:r>
      <w:r w:rsidRPr="00CC701B">
        <w:rPr>
          <w:rFonts w:hint="cs"/>
          <w:rtl/>
        </w:rPr>
        <w:t xml:space="preserve">ألا </w:t>
      </w:r>
      <w:r w:rsidRPr="00CC701B">
        <w:rPr>
          <w:rtl/>
        </w:rPr>
        <w:t>ت</w:t>
      </w:r>
      <w:r w:rsidRPr="00CC701B">
        <w:rPr>
          <w:rFonts w:hint="cs"/>
          <w:rtl/>
        </w:rPr>
        <w:t>نطبق</w:t>
      </w:r>
      <w:r w:rsidRPr="00CC701B">
        <w:rPr>
          <w:rtl/>
        </w:rPr>
        <w:t xml:space="preserve"> على الإجراءات الجنائية أو</w:t>
      </w:r>
      <w:r w:rsidR="00F150FE">
        <w:rPr>
          <w:rFonts w:hint="cs"/>
          <w:rtl/>
        </w:rPr>
        <w:t> </w:t>
      </w:r>
      <w:r w:rsidRPr="00CC701B">
        <w:rPr>
          <w:rtl/>
        </w:rPr>
        <w:t xml:space="preserve">المدنية التي يسعى </w:t>
      </w:r>
      <w:r w:rsidRPr="00CC701B">
        <w:rPr>
          <w:rFonts w:hint="cs"/>
          <w:rtl/>
        </w:rPr>
        <w:t xml:space="preserve">بمقتضاها </w:t>
      </w:r>
      <w:r w:rsidRPr="00CC701B">
        <w:rPr>
          <w:rtl/>
        </w:rPr>
        <w:t xml:space="preserve">ضحايا هذه الجرائم إلى الحصول على جبر كامل. وبهذا المعنى، </w:t>
      </w:r>
      <w:r w:rsidRPr="00CC701B">
        <w:rPr>
          <w:rFonts w:hint="cs"/>
          <w:rtl/>
        </w:rPr>
        <w:t xml:space="preserve">هناك </w:t>
      </w:r>
      <w:r w:rsidRPr="00CC701B">
        <w:rPr>
          <w:rtl/>
        </w:rPr>
        <w:t xml:space="preserve">اعتقاد سائد، </w:t>
      </w:r>
      <w:r w:rsidRPr="00CC701B">
        <w:rPr>
          <w:rFonts w:hint="cs"/>
          <w:rtl/>
        </w:rPr>
        <w:t>ك</w:t>
      </w:r>
      <w:r w:rsidRPr="00CC701B">
        <w:rPr>
          <w:rtl/>
        </w:rPr>
        <w:t xml:space="preserve">توجه ضمن التطور التدريجي للقانون الدولي، </w:t>
      </w:r>
      <w:r w:rsidRPr="00CC701B">
        <w:rPr>
          <w:rFonts w:hint="cs"/>
          <w:rtl/>
        </w:rPr>
        <w:t>ب</w:t>
      </w:r>
      <w:r w:rsidRPr="00CC701B">
        <w:rPr>
          <w:rtl/>
        </w:rPr>
        <w:t xml:space="preserve">أن عدم </w:t>
      </w:r>
      <w:r w:rsidRPr="00CC701B">
        <w:rPr>
          <w:rFonts w:hint="cs"/>
          <w:rtl/>
        </w:rPr>
        <w:t>انطباق</w:t>
      </w:r>
      <w:r w:rsidRPr="00CC701B">
        <w:rPr>
          <w:rtl/>
        </w:rPr>
        <w:t xml:space="preserve"> قوانين </w:t>
      </w:r>
      <w:r w:rsidRPr="00CC701B">
        <w:rPr>
          <w:rtl/>
        </w:rPr>
        <w:lastRenderedPageBreak/>
        <w:t>التقادم ينبغي أن يشمل أيضا</w:t>
      </w:r>
      <w:r w:rsidRPr="00CC701B">
        <w:rPr>
          <w:rFonts w:hint="cs"/>
          <w:rtl/>
        </w:rPr>
        <w:t>ً</w:t>
      </w:r>
      <w:r w:rsidRPr="00CC701B">
        <w:rPr>
          <w:rtl/>
        </w:rPr>
        <w:t xml:space="preserve"> المطالبات المدنية المتعلقة بالجرائم </w:t>
      </w:r>
      <w:r w:rsidRPr="00CC701B">
        <w:rPr>
          <w:rFonts w:hint="cs"/>
          <w:rtl/>
        </w:rPr>
        <w:t>المشمولة ب</w:t>
      </w:r>
      <w:r w:rsidRPr="00CC701B">
        <w:rPr>
          <w:rtl/>
        </w:rPr>
        <w:t>القانون الدولي، سواء ق</w:t>
      </w:r>
      <w:r w:rsidRPr="00CC701B">
        <w:rPr>
          <w:rFonts w:hint="cs"/>
          <w:rtl/>
        </w:rPr>
        <w:t>ُ</w:t>
      </w:r>
      <w:r w:rsidRPr="00CC701B">
        <w:rPr>
          <w:rtl/>
        </w:rPr>
        <w:t>دمت</w:t>
      </w:r>
      <w:r w:rsidRPr="00CC701B">
        <w:rPr>
          <w:rFonts w:hint="cs"/>
          <w:rtl/>
        </w:rPr>
        <w:t xml:space="preserve"> هذه المطالبات</w:t>
      </w:r>
      <w:r w:rsidRPr="00CC701B">
        <w:rPr>
          <w:rtl/>
        </w:rPr>
        <w:t xml:space="preserve"> في إطار </w:t>
      </w:r>
      <w:r w:rsidRPr="00CC701B">
        <w:rPr>
          <w:rFonts w:hint="cs"/>
          <w:rtl/>
        </w:rPr>
        <w:t>إ</w:t>
      </w:r>
      <w:r w:rsidRPr="00CC701B">
        <w:rPr>
          <w:rtl/>
        </w:rPr>
        <w:t xml:space="preserve">جراءات مدنية أو </w:t>
      </w:r>
      <w:r w:rsidRPr="00CC701B">
        <w:rPr>
          <w:rFonts w:hint="cs"/>
          <w:rtl/>
        </w:rPr>
        <w:t xml:space="preserve">كانت </w:t>
      </w:r>
      <w:r w:rsidRPr="00CC701B">
        <w:rPr>
          <w:rtl/>
        </w:rPr>
        <w:t>جزءاً من</w:t>
      </w:r>
      <w:r w:rsidRPr="00CC701B">
        <w:rPr>
          <w:rFonts w:hint="cs"/>
          <w:rtl/>
        </w:rPr>
        <w:t xml:space="preserve"> إجراءات جنائية</w:t>
      </w:r>
      <w:r w:rsidR="00A44950">
        <w:rPr>
          <w:vertAlign w:val="superscript"/>
          <w:rtl/>
          <w:lang w:val="en-GB"/>
        </w:rPr>
        <w:t>(</w:t>
      </w:r>
      <w:r w:rsidR="00A44950" w:rsidRPr="00CC701B">
        <w:rPr>
          <w:vertAlign w:val="superscript"/>
          <w:rtl/>
          <w:lang w:val="en-GB"/>
        </w:rPr>
        <w:footnoteReference w:id="16"/>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٢-١٦</w:t>
      </w:r>
      <w:r w:rsidR="00195BF0">
        <w:rPr>
          <w:rtl/>
        </w:rPr>
        <w:tab/>
      </w:r>
      <w:r w:rsidRPr="00CC701B">
        <w:rPr>
          <w:rFonts w:hint="cs"/>
          <w:rtl/>
        </w:rPr>
        <w:t xml:space="preserve">إن </w:t>
      </w:r>
      <w:r w:rsidRPr="00CC701B">
        <w:rPr>
          <w:rtl/>
        </w:rPr>
        <w:t xml:space="preserve">تطبيق قانون التقادم </w:t>
      </w:r>
      <w:r w:rsidRPr="00CC701B">
        <w:rPr>
          <w:rFonts w:hint="cs"/>
          <w:rtl/>
        </w:rPr>
        <w:t xml:space="preserve">مع </w:t>
      </w:r>
      <w:r w:rsidRPr="00CC701B">
        <w:rPr>
          <w:rtl/>
        </w:rPr>
        <w:t xml:space="preserve">تحديد مهلة تتراوح بين ثلاث وخمس سنوات </w:t>
      </w:r>
      <w:r w:rsidRPr="00CC701B">
        <w:rPr>
          <w:rFonts w:hint="cs"/>
          <w:rtl/>
        </w:rPr>
        <w:t xml:space="preserve">لتلقي </w:t>
      </w:r>
      <w:r w:rsidRPr="00CC701B">
        <w:rPr>
          <w:rtl/>
        </w:rPr>
        <w:t xml:space="preserve">المطالبات المدنية بالحصول على تعويض </w:t>
      </w:r>
      <w:r w:rsidRPr="00CC701B">
        <w:rPr>
          <w:rFonts w:hint="cs"/>
          <w:rtl/>
        </w:rPr>
        <w:t xml:space="preserve">عن الأضرار غير المالية، </w:t>
      </w:r>
      <w:r w:rsidRPr="00CC701B">
        <w:rPr>
          <w:rtl/>
        </w:rPr>
        <w:t xml:space="preserve">التي يقدمها ضحايا أفعال التعذيب، بما في ذلك العنف الجنسي، التي ارتُكبت إبان النزاع المسلح في البوسنة والهرسك، يجعل حق الضحايا في الانتصاف، بمن فيهم صاحبة الشكوى، حقاً صورياً بحكم الواقع. ويواجه ضحايا الاغتصاب أو غيره من أشكال العنف الجنسي </w:t>
      </w:r>
      <w:r w:rsidRPr="00CC701B">
        <w:rPr>
          <w:rFonts w:hint="cs"/>
          <w:rtl/>
        </w:rPr>
        <w:t xml:space="preserve">نوعاً خاصاً من </w:t>
      </w:r>
      <w:r w:rsidRPr="00CC701B">
        <w:rPr>
          <w:rtl/>
        </w:rPr>
        <w:t>الوصم والخوف والتهميش، الأمر الذي يمنعهم في كثير من الأحيان من ال</w:t>
      </w:r>
      <w:r w:rsidRPr="00CC701B">
        <w:rPr>
          <w:rFonts w:hint="cs"/>
          <w:rtl/>
        </w:rPr>
        <w:t xml:space="preserve">بوح بأنهم ضحايا والإبلاغ عن </w:t>
      </w:r>
      <w:r w:rsidRPr="00CC701B">
        <w:rPr>
          <w:rtl/>
        </w:rPr>
        <w:t>هذه الجرائم وتقديم الشكاوى بشأنها سعياً إلى الحصول على تعويض. ومن المؤكد أن فرض قانون التقادم على هؤلاء الضحايا بتحديد مهلة تتراوح بين ثلاث وخمس سنوات، على النحو المنصوص عليه بموجب المادة ٣٦٦ من قانون الالتزامات المدنية، تقييدٌ غير مبرر بالمرة، ويمثل عقبة لا يمكن التغلب عليها لإنفاذ حقهم في التعويض. ولا يأخذ هذا الحكم في الاعتبار الطابع الم</w:t>
      </w:r>
      <w:r w:rsidRPr="00CC701B">
        <w:rPr>
          <w:rFonts w:hint="cs"/>
          <w:rtl/>
        </w:rPr>
        <w:t>ستمر</w:t>
      </w:r>
      <w:r w:rsidRPr="00CC701B">
        <w:rPr>
          <w:rtl/>
        </w:rPr>
        <w:t xml:space="preserve"> لآثار التعذيب أو بطء عملية إعادة بناء نظام قضائي مستقل وجدير بالثقة في أعقاب النزاع، ويحرم الضحايا من الانتصاف والتعويض. وعلاوة على ذلك، </w:t>
      </w:r>
      <w:r w:rsidRPr="00CC701B">
        <w:rPr>
          <w:rFonts w:hint="cs"/>
          <w:rtl/>
        </w:rPr>
        <w:t>ي</w:t>
      </w:r>
      <w:r w:rsidRPr="00CC701B">
        <w:rPr>
          <w:rtl/>
        </w:rPr>
        <w:t xml:space="preserve">غفل الاجتهاد القضائي للمحاكم البوسنية في هذا الصدد، الذي أقرته المحكمة الدستورية للبوسنة والهرسك، حقيقة أن الجرائم موضع </w:t>
      </w:r>
      <w:r w:rsidRPr="00CC701B">
        <w:rPr>
          <w:rFonts w:hint="cs"/>
          <w:rtl/>
        </w:rPr>
        <w:t xml:space="preserve">النظر هي </w:t>
      </w:r>
      <w:r w:rsidRPr="00CC701B">
        <w:rPr>
          <w:rtl/>
        </w:rPr>
        <w:t>جرائم حرب أو جرائم ضد الإنسانية، ولا يجوز بناء على ذلك إخضاعها لأي قانون تقادم فيما يتعلق بالإجراءات الجنائية والمدني</w:t>
      </w:r>
      <w:r w:rsidRPr="00CC701B">
        <w:rPr>
          <w:rFonts w:hint="cs"/>
          <w:rtl/>
        </w:rPr>
        <w:t>ة على السواء</w:t>
      </w:r>
      <w:r w:rsidRPr="00CC701B">
        <w:rPr>
          <w:rtl/>
        </w:rPr>
        <w:t>.</w:t>
      </w:r>
    </w:p>
    <w:p w:rsidR="00CC701B" w:rsidRPr="00CC701B" w:rsidRDefault="00CC701B" w:rsidP="00CC701B">
      <w:pPr>
        <w:pStyle w:val="SingleTxtGA"/>
        <w:rPr>
          <w:rtl/>
        </w:rPr>
      </w:pPr>
      <w:r w:rsidRPr="00CC701B">
        <w:rPr>
          <w:rtl/>
        </w:rPr>
        <w:t>٢-١٧</w:t>
      </w:r>
      <w:r w:rsidR="00195BF0">
        <w:rPr>
          <w:rtl/>
        </w:rPr>
        <w:tab/>
      </w:r>
      <w:r w:rsidRPr="00CC701B">
        <w:rPr>
          <w:rFonts w:hint="cs"/>
          <w:rtl/>
        </w:rPr>
        <w:t>و</w:t>
      </w:r>
      <w:r w:rsidRPr="00CC701B">
        <w:rPr>
          <w:rtl/>
        </w:rPr>
        <w:t xml:space="preserve">تتضمن المبادئ الأساسية والمبادئ التوجيهية بشأن الحق في الانتصاف والجبر لضحايا الانتهاكات الجسيمة للقانون الدولي لحقوق الإنسان والانتهاكات الخطيرة للقانون </w:t>
      </w:r>
      <w:r w:rsidRPr="00CC701B">
        <w:rPr>
          <w:rFonts w:hint="cs"/>
          <w:rtl/>
        </w:rPr>
        <w:t xml:space="preserve">الدولي </w:t>
      </w:r>
      <w:r w:rsidRPr="00CC701B">
        <w:rPr>
          <w:rtl/>
        </w:rPr>
        <w:t xml:space="preserve">الإنساني حكمين </w:t>
      </w:r>
      <w:r w:rsidRPr="00CC701B">
        <w:rPr>
          <w:rFonts w:hint="cs"/>
          <w:rtl/>
        </w:rPr>
        <w:t xml:space="preserve">آخرين </w:t>
      </w:r>
      <w:r w:rsidRPr="00CC701B">
        <w:rPr>
          <w:rtl/>
        </w:rPr>
        <w:t>من الأحكام ذات الصلة</w:t>
      </w:r>
      <w:r w:rsidRPr="00CC701B">
        <w:rPr>
          <w:rFonts w:hint="cs"/>
          <w:rtl/>
        </w:rPr>
        <w:t>،</w:t>
      </w:r>
      <w:r w:rsidRPr="00CC701B">
        <w:rPr>
          <w:rtl/>
        </w:rPr>
        <w:t xml:space="preserve"> تنتهكهما الممارسات والسوابق القضائية للبوسنة والهرسك كما هو مبين في قضية ألف. فالمبدأ ١٥ ينص على أن </w:t>
      </w:r>
      <w:r w:rsidRPr="00CC701B">
        <w:rPr>
          <w:rFonts w:hint="cs"/>
          <w:rtl/>
        </w:rPr>
        <w:t xml:space="preserve">"توفر </w:t>
      </w:r>
      <w:r w:rsidRPr="00CC701B">
        <w:rPr>
          <w:rtl/>
        </w:rPr>
        <w:t>الدولة</w:t>
      </w:r>
      <w:r w:rsidR="00D90797">
        <w:rPr>
          <w:rtl/>
        </w:rPr>
        <w:t xml:space="preserve"> </w:t>
      </w:r>
      <w:r w:rsidRPr="00CC701B">
        <w:rPr>
          <w:rtl/>
        </w:rPr>
        <w:t>[...] الجبر لضحايا ما تقوم به أو تمتنع عنه من أفعال تشكل انتهاكات جسيمة للقانون الدولي لحقوق الإنسان وانتهاكات خطيرة للقانون الإنساني الدولي. وفي الحالات التي يعتبر فيها شخص ما، أو شخصية اعتبارية، أو كيان آخر مطالبا</w:t>
      </w:r>
      <w:r w:rsidRPr="00CC701B">
        <w:rPr>
          <w:rFonts w:hint="cs"/>
          <w:rtl/>
        </w:rPr>
        <w:t>ً</w:t>
      </w:r>
      <w:r w:rsidRPr="00CC701B">
        <w:rPr>
          <w:rtl/>
        </w:rPr>
        <w:t xml:space="preserve"> بجبر أحد الضحايا، ينبغي أن يوفر الطرف المسؤول عن الانتهاك جبرا</w:t>
      </w:r>
      <w:r w:rsidRPr="00CC701B">
        <w:rPr>
          <w:rFonts w:hint="cs"/>
          <w:rtl/>
        </w:rPr>
        <w:t>ً</w:t>
      </w:r>
      <w:r w:rsidRPr="00CC701B">
        <w:rPr>
          <w:rtl/>
        </w:rPr>
        <w:t xml:space="preserve"> للضحية، أو للدولة إذا كانت الدولة قد وفرت فعلا</w:t>
      </w:r>
      <w:r w:rsidRPr="00CC701B">
        <w:rPr>
          <w:rFonts w:hint="cs"/>
          <w:rtl/>
        </w:rPr>
        <w:t>ً</w:t>
      </w:r>
      <w:r w:rsidRPr="00CC701B">
        <w:rPr>
          <w:rtl/>
        </w:rPr>
        <w:t xml:space="preserve"> الجبر للضحية". </w:t>
      </w:r>
      <w:bookmarkStart w:id="3" w:name="_Hlk31875413"/>
      <w:r w:rsidRPr="00CC701B">
        <w:rPr>
          <w:rtl/>
        </w:rPr>
        <w:t>وعلاوة على ذلك، وعملا</w:t>
      </w:r>
      <w:r w:rsidRPr="00CC701B">
        <w:rPr>
          <w:rFonts w:hint="cs"/>
          <w:rtl/>
        </w:rPr>
        <w:t>ً</w:t>
      </w:r>
      <w:r w:rsidRPr="00CC701B">
        <w:rPr>
          <w:rtl/>
        </w:rPr>
        <w:t xml:space="preserve"> بالمبدأ ١٧، </w:t>
      </w:r>
      <w:r w:rsidRPr="00CC701B">
        <w:rPr>
          <w:rFonts w:hint="cs"/>
          <w:rtl/>
        </w:rPr>
        <w:t xml:space="preserve">"ينبغي </w:t>
      </w:r>
      <w:r w:rsidRPr="00CC701B">
        <w:rPr>
          <w:rtl/>
        </w:rPr>
        <w:t>أن توفر</w:t>
      </w:r>
      <w:r w:rsidR="00D90797">
        <w:rPr>
          <w:rtl/>
        </w:rPr>
        <w:t xml:space="preserve"> </w:t>
      </w:r>
      <w:r w:rsidRPr="00CC701B">
        <w:rPr>
          <w:rFonts w:hint="cs"/>
          <w:rtl/>
        </w:rPr>
        <w:t xml:space="preserve">الدول </w:t>
      </w:r>
      <w:r w:rsidRPr="00CC701B">
        <w:rPr>
          <w:rtl/>
        </w:rPr>
        <w:t xml:space="preserve">في إطار قوانينها المحلية آليات فعالة لتنفيذ الأحكام المتعلقة بالجبر". </w:t>
      </w:r>
      <w:bookmarkEnd w:id="3"/>
      <w:r w:rsidRPr="00CC701B">
        <w:rPr>
          <w:rtl/>
        </w:rPr>
        <w:t xml:space="preserve">وفيما يتعلق بقضية ألف، </w:t>
      </w:r>
      <w:r w:rsidRPr="00CC701B">
        <w:rPr>
          <w:rFonts w:hint="cs"/>
          <w:rtl/>
        </w:rPr>
        <w:t xml:space="preserve">فإن </w:t>
      </w:r>
      <w:r w:rsidRPr="00CC701B">
        <w:rPr>
          <w:rtl/>
        </w:rPr>
        <w:t xml:space="preserve">البوسنة والهرسك لم تقدم أي آلية فعالة لضمان إنفاذ حكم محكمة البوسنة والهرسك الصادر في عام ٢٠١٥ فحسب، بل إن السوابق القضائية المعيبة التي أقرتها المحكمة الدستورية للبوسنة والهرسك تجعل من المستحيل تطبيق </w:t>
      </w:r>
      <w:r w:rsidRPr="00CC701B">
        <w:rPr>
          <w:rFonts w:hint="cs"/>
          <w:rtl/>
        </w:rPr>
        <w:t>ال</w:t>
      </w:r>
      <w:r w:rsidRPr="00CC701B">
        <w:rPr>
          <w:rtl/>
        </w:rPr>
        <w:t>مسؤولي</w:t>
      </w:r>
      <w:r w:rsidRPr="00CC701B">
        <w:rPr>
          <w:rFonts w:hint="cs"/>
          <w:rtl/>
        </w:rPr>
        <w:t>ة</w:t>
      </w:r>
      <w:r w:rsidRPr="00CC701B">
        <w:rPr>
          <w:rtl/>
        </w:rPr>
        <w:t xml:space="preserve"> </w:t>
      </w:r>
      <w:r w:rsidRPr="00CC701B">
        <w:rPr>
          <w:rFonts w:hint="cs"/>
          <w:rtl/>
        </w:rPr>
        <w:t>عن عمل الغير</w:t>
      </w:r>
      <w:r w:rsidRPr="00CC701B">
        <w:rPr>
          <w:rtl/>
        </w:rPr>
        <w:t xml:space="preserve">؛ </w:t>
      </w:r>
      <w:r w:rsidRPr="00CC701B">
        <w:rPr>
          <w:rFonts w:hint="cs"/>
          <w:rtl/>
        </w:rPr>
        <w:t xml:space="preserve">مما </w:t>
      </w:r>
      <w:r w:rsidRPr="00CC701B">
        <w:rPr>
          <w:rtl/>
        </w:rPr>
        <w:t>يترك الضحية في نهاية المطاف دون أي حق قابل لل</w:t>
      </w:r>
      <w:r w:rsidRPr="00CC701B">
        <w:rPr>
          <w:rFonts w:hint="cs"/>
          <w:rtl/>
        </w:rPr>
        <w:t>إنفاذ</w:t>
      </w:r>
      <w:r w:rsidRPr="00CC701B">
        <w:rPr>
          <w:rtl/>
        </w:rPr>
        <w:t xml:space="preserve"> في التعويض والانتصاف.</w:t>
      </w:r>
    </w:p>
    <w:p w:rsidR="00CC701B" w:rsidRPr="00CC701B" w:rsidRDefault="00CC701B" w:rsidP="00CC701B">
      <w:pPr>
        <w:pStyle w:val="SingleTxtGA"/>
        <w:rPr>
          <w:rtl/>
        </w:rPr>
      </w:pPr>
      <w:r w:rsidRPr="00CC701B">
        <w:rPr>
          <w:rtl/>
        </w:rPr>
        <w:t>٢-١٨</w:t>
      </w:r>
      <w:r w:rsidR="00195BF0">
        <w:rPr>
          <w:rtl/>
        </w:rPr>
        <w:tab/>
      </w:r>
      <w:r w:rsidRPr="00CC701B">
        <w:rPr>
          <w:rtl/>
        </w:rPr>
        <w:t xml:space="preserve">وتنص النظم القانونية في معظم البلدان على أن الإضرار </w:t>
      </w:r>
      <w:r w:rsidRPr="00CC701B">
        <w:rPr>
          <w:rFonts w:hint="cs"/>
          <w:rtl/>
        </w:rPr>
        <w:t xml:space="preserve">بشخص ما بشكل غير مشروع </w:t>
      </w:r>
      <w:r w:rsidRPr="00CC701B">
        <w:rPr>
          <w:rtl/>
        </w:rPr>
        <w:t xml:space="preserve">تستتبعه مسؤولية </w:t>
      </w:r>
      <w:r w:rsidRPr="00CC701B">
        <w:rPr>
          <w:rFonts w:hint="cs"/>
          <w:rtl/>
        </w:rPr>
        <w:t>الانتصاف</w:t>
      </w:r>
      <w:r w:rsidRPr="00CC701B">
        <w:rPr>
          <w:rtl/>
        </w:rPr>
        <w:t>، لا سيما عن طريق دفع تعويض. وقد لوحظ أن "</w:t>
      </w:r>
      <w:r w:rsidRPr="00CC701B">
        <w:rPr>
          <w:rFonts w:hint="cs"/>
          <w:rtl/>
        </w:rPr>
        <w:t xml:space="preserve">الفرد </w:t>
      </w:r>
      <w:r w:rsidRPr="00CC701B">
        <w:rPr>
          <w:rtl/>
        </w:rPr>
        <w:lastRenderedPageBreak/>
        <w:t>الجاني والدولة مسؤولان في معظم البلدان</w:t>
      </w:r>
      <w:r w:rsidRPr="00CC701B">
        <w:rPr>
          <w:rFonts w:hint="cs"/>
          <w:rtl/>
        </w:rPr>
        <w:t>.</w:t>
      </w:r>
      <w:r w:rsidRPr="00CC701B">
        <w:rPr>
          <w:rtl/>
        </w:rPr>
        <w:t xml:space="preserve"> </w:t>
      </w:r>
      <w:r w:rsidRPr="00CC701B">
        <w:rPr>
          <w:rFonts w:hint="cs"/>
          <w:rtl/>
        </w:rPr>
        <w:t>وتتحمل الدولة في غالبية البلدان ال</w:t>
      </w:r>
      <w:r w:rsidRPr="00CC701B">
        <w:rPr>
          <w:rtl/>
        </w:rPr>
        <w:t xml:space="preserve">مسؤولية </w:t>
      </w:r>
      <w:r w:rsidRPr="00CC701B">
        <w:rPr>
          <w:rFonts w:hint="cs"/>
          <w:rtl/>
        </w:rPr>
        <w:t xml:space="preserve">عن عمل الغير بالنسبة للأضرار </w:t>
      </w:r>
      <w:r w:rsidRPr="00CC701B">
        <w:rPr>
          <w:rtl/>
        </w:rPr>
        <w:t xml:space="preserve">التي </w:t>
      </w:r>
      <w:r w:rsidRPr="00CC701B">
        <w:rPr>
          <w:rFonts w:hint="cs"/>
          <w:rtl/>
        </w:rPr>
        <w:t xml:space="preserve">يُحدثها </w:t>
      </w:r>
      <w:r w:rsidRPr="00CC701B">
        <w:rPr>
          <w:rtl/>
        </w:rPr>
        <w:t xml:space="preserve">موظفوها، إما صراحة أو على أساس </w:t>
      </w:r>
      <w:r w:rsidRPr="00CC701B">
        <w:rPr>
          <w:rFonts w:hint="cs"/>
          <w:rtl/>
        </w:rPr>
        <w:t>’</w:t>
      </w:r>
      <w:r w:rsidRPr="00CC701B">
        <w:rPr>
          <w:rtl/>
        </w:rPr>
        <w:t>مسؤولية</w:t>
      </w:r>
      <w:r w:rsidRPr="00CC701B">
        <w:rPr>
          <w:rFonts w:hint="cs"/>
          <w:rtl/>
        </w:rPr>
        <w:t>‘</w:t>
      </w:r>
      <w:r w:rsidRPr="00CC701B">
        <w:rPr>
          <w:rtl/>
        </w:rPr>
        <w:t xml:space="preserve"> أرباب العمل"</w:t>
      </w:r>
      <w:r w:rsidR="00A44950">
        <w:rPr>
          <w:vertAlign w:val="superscript"/>
          <w:rtl/>
          <w:lang w:val="en-GB"/>
        </w:rPr>
        <w:t>(</w:t>
      </w:r>
      <w:r w:rsidR="00A44950" w:rsidRPr="00CC701B">
        <w:rPr>
          <w:vertAlign w:val="superscript"/>
          <w:rtl/>
          <w:lang w:val="en-GB"/>
        </w:rPr>
        <w:footnoteReference w:id="17"/>
      </w:r>
      <w:r w:rsidR="00A44950">
        <w:rPr>
          <w:vertAlign w:val="superscript"/>
          <w:rtl/>
          <w:lang w:val="en-GB"/>
        </w:rPr>
        <w:t>)</w:t>
      </w:r>
      <w:r w:rsidRPr="00CC701B">
        <w:rPr>
          <w:rtl/>
        </w:rPr>
        <w:t xml:space="preserve">. وتنخر </w:t>
      </w:r>
      <w:r w:rsidRPr="00CC701B">
        <w:rPr>
          <w:rFonts w:hint="cs"/>
          <w:rtl/>
        </w:rPr>
        <w:t>ال</w:t>
      </w:r>
      <w:r w:rsidRPr="00CC701B">
        <w:rPr>
          <w:rtl/>
        </w:rPr>
        <w:t xml:space="preserve">عيوب تشريعات البوسنة والهرسك في هذا الصدد، </w:t>
      </w:r>
      <w:r w:rsidRPr="00CC701B">
        <w:rPr>
          <w:rFonts w:hint="cs"/>
          <w:rtl/>
        </w:rPr>
        <w:t xml:space="preserve">إذ </w:t>
      </w:r>
      <w:r w:rsidRPr="00CC701B">
        <w:rPr>
          <w:rtl/>
        </w:rPr>
        <w:t>تتجاهل الاجتهادات القضائية القائمة تماما</w:t>
      </w:r>
      <w:r w:rsidRPr="00CC701B">
        <w:rPr>
          <w:rFonts w:hint="cs"/>
          <w:rtl/>
        </w:rPr>
        <w:t>ً</w:t>
      </w:r>
      <w:r w:rsidRPr="00CC701B">
        <w:rPr>
          <w:rtl/>
        </w:rPr>
        <w:t xml:space="preserve"> مفهوم المسؤولية </w:t>
      </w:r>
      <w:r w:rsidRPr="00CC701B">
        <w:rPr>
          <w:rFonts w:hint="cs"/>
          <w:rtl/>
        </w:rPr>
        <w:t>عن عمل الغير</w:t>
      </w:r>
      <w:r w:rsidRPr="00CC701B">
        <w:rPr>
          <w:rtl/>
        </w:rPr>
        <w:t xml:space="preserve">، الأمر الذي يترك الضحايا - بمن فيهم ألف - دون أي حق واجب الإنفاذ في </w:t>
      </w:r>
      <w:r w:rsidRPr="00CC701B">
        <w:rPr>
          <w:rFonts w:hint="cs"/>
          <w:rtl/>
        </w:rPr>
        <w:t>ال</w:t>
      </w:r>
      <w:r w:rsidRPr="00CC701B">
        <w:rPr>
          <w:rtl/>
        </w:rPr>
        <w:t>تعويض.</w:t>
      </w:r>
    </w:p>
    <w:p w:rsidR="00CC701B" w:rsidRPr="00CC701B" w:rsidRDefault="00CC701B" w:rsidP="00195BF0">
      <w:pPr>
        <w:pStyle w:val="H23GA"/>
        <w:rPr>
          <w:rFonts w:hint="cs"/>
          <w:rtl/>
        </w:rPr>
      </w:pPr>
      <w:r w:rsidRPr="00CC701B">
        <w:rPr>
          <w:rtl/>
        </w:rPr>
        <w:tab/>
      </w:r>
      <w:r w:rsidRPr="00CC701B">
        <w:rPr>
          <w:rtl/>
        </w:rPr>
        <w:tab/>
        <w:t>الشكوى</w:t>
      </w:r>
    </w:p>
    <w:p w:rsidR="00CC701B" w:rsidRPr="00CC701B" w:rsidRDefault="00CC701B" w:rsidP="00CC701B">
      <w:pPr>
        <w:pStyle w:val="SingleTxtGA"/>
        <w:rPr>
          <w:rtl/>
        </w:rPr>
      </w:pPr>
      <w:r w:rsidRPr="00CC701B">
        <w:rPr>
          <w:rtl/>
        </w:rPr>
        <w:t>٣-١</w:t>
      </w:r>
      <w:r w:rsidR="00195BF0">
        <w:rPr>
          <w:rtl/>
        </w:rPr>
        <w:tab/>
      </w:r>
      <w:r w:rsidRPr="00CC701B">
        <w:rPr>
          <w:rtl/>
        </w:rPr>
        <w:t xml:space="preserve">تدعي صاحبة الشكوى أن الوقائع، على النحو الذي قُدمت به، تكشف عن انتهاك مستمر للمادة ١٤(١) بالاقتران مع المادة ١(١) من الاتفاقية لأن الدولة الطرف لم تكفل في نظامها القانوني أو ممارساتها القانونية </w:t>
      </w:r>
      <w:r w:rsidRPr="00CC701B">
        <w:rPr>
          <w:rFonts w:hint="cs"/>
          <w:rtl/>
        </w:rPr>
        <w:t xml:space="preserve">ما </w:t>
      </w:r>
      <w:r w:rsidRPr="00CC701B">
        <w:rPr>
          <w:rtl/>
        </w:rPr>
        <w:t xml:space="preserve">يُمكِّنها من الحصول على الانتصاف </w:t>
      </w:r>
      <w:r w:rsidRPr="00CC701B">
        <w:rPr>
          <w:rFonts w:hint="cs"/>
          <w:rtl/>
        </w:rPr>
        <w:t xml:space="preserve">وما يمنحها </w:t>
      </w:r>
      <w:r w:rsidRPr="00CC701B">
        <w:rPr>
          <w:rtl/>
        </w:rPr>
        <w:t>حقاً واجب الإنفاذ في الحصول على تعويض عادل ومناسب، بما في ذلك وسائل إعادة التأهيل على أكمل وجه ممكن.</w:t>
      </w:r>
    </w:p>
    <w:p w:rsidR="00CC701B" w:rsidRPr="00F150FE" w:rsidRDefault="00CC701B" w:rsidP="00CC701B">
      <w:pPr>
        <w:pStyle w:val="SingleTxtGA"/>
        <w:rPr>
          <w:spacing w:val="-2"/>
          <w:rtl/>
        </w:rPr>
      </w:pPr>
      <w:r w:rsidRPr="00F150FE">
        <w:rPr>
          <w:spacing w:val="-2"/>
          <w:rtl/>
        </w:rPr>
        <w:t>٣-٢</w:t>
      </w:r>
      <w:r w:rsidR="00195BF0" w:rsidRPr="00F150FE">
        <w:rPr>
          <w:spacing w:val="-2"/>
          <w:rtl/>
        </w:rPr>
        <w:tab/>
      </w:r>
      <w:r w:rsidRPr="00F150FE">
        <w:rPr>
          <w:spacing w:val="-2"/>
          <w:rtl/>
        </w:rPr>
        <w:t xml:space="preserve">وعلى الرغم من الضرر الجسيم الذي </w:t>
      </w:r>
      <w:r w:rsidRPr="00F150FE">
        <w:rPr>
          <w:rFonts w:hint="cs"/>
          <w:spacing w:val="-2"/>
          <w:rtl/>
        </w:rPr>
        <w:t>لحق ب</w:t>
      </w:r>
      <w:r w:rsidRPr="00F150FE">
        <w:rPr>
          <w:spacing w:val="-2"/>
          <w:rtl/>
        </w:rPr>
        <w:t xml:space="preserve">صاحبة الشكوى </w:t>
      </w:r>
      <w:r w:rsidRPr="00F150FE">
        <w:rPr>
          <w:rFonts w:hint="cs"/>
          <w:spacing w:val="-2"/>
          <w:rtl/>
        </w:rPr>
        <w:t xml:space="preserve">وما عانته من </w:t>
      </w:r>
      <w:r w:rsidRPr="00F150FE">
        <w:rPr>
          <w:spacing w:val="-2"/>
          <w:rtl/>
        </w:rPr>
        <w:t xml:space="preserve">آثار نفسية وطبية مستمرة بسبب ما تعرضت له </w:t>
      </w:r>
      <w:r w:rsidRPr="00F150FE">
        <w:rPr>
          <w:rFonts w:hint="cs"/>
          <w:spacing w:val="-2"/>
          <w:rtl/>
        </w:rPr>
        <w:t xml:space="preserve">من </w:t>
      </w:r>
      <w:r w:rsidRPr="00F150FE">
        <w:rPr>
          <w:spacing w:val="-2"/>
          <w:rtl/>
        </w:rPr>
        <w:t xml:space="preserve">عنف جنسي وسوء معاملة، </w:t>
      </w:r>
      <w:r w:rsidRPr="00F150FE">
        <w:rPr>
          <w:rFonts w:hint="cs"/>
          <w:spacing w:val="-2"/>
          <w:rtl/>
        </w:rPr>
        <w:t xml:space="preserve">فإنها </w:t>
      </w:r>
      <w:r w:rsidRPr="00F150FE">
        <w:rPr>
          <w:spacing w:val="-2"/>
          <w:rtl/>
        </w:rPr>
        <w:t>لم تستفد من أي انتصاف أو تعويض. ولهذا السبب، تدعو صاحبة الشكوى اللجنة، عملا</w:t>
      </w:r>
      <w:r w:rsidRPr="00F150FE">
        <w:rPr>
          <w:rFonts w:hint="cs"/>
          <w:spacing w:val="-2"/>
          <w:rtl/>
        </w:rPr>
        <w:t>ً</w:t>
      </w:r>
      <w:r w:rsidRPr="00F150FE">
        <w:rPr>
          <w:spacing w:val="-2"/>
          <w:rtl/>
        </w:rPr>
        <w:t xml:space="preserve"> بالفقرة ٥ من المادة</w:t>
      </w:r>
      <w:r w:rsidR="00F150FE">
        <w:rPr>
          <w:rFonts w:hint="cs"/>
          <w:spacing w:val="-2"/>
          <w:rtl/>
        </w:rPr>
        <w:t> </w:t>
      </w:r>
      <w:r w:rsidRPr="00F150FE">
        <w:rPr>
          <w:spacing w:val="-2"/>
          <w:rtl/>
        </w:rPr>
        <w:t>١١٨ من نظامها الداخلي ووفقا</w:t>
      </w:r>
      <w:r w:rsidRPr="00F150FE">
        <w:rPr>
          <w:rFonts w:hint="cs"/>
          <w:spacing w:val="-2"/>
          <w:rtl/>
        </w:rPr>
        <w:t>ً</w:t>
      </w:r>
      <w:r w:rsidRPr="00F150FE">
        <w:rPr>
          <w:spacing w:val="-2"/>
          <w:rtl/>
        </w:rPr>
        <w:t xml:space="preserve"> لممارستها الراسخة، إلى حث الدولة الطرف على اتخاذ تدابير </w:t>
      </w:r>
      <w:r w:rsidRPr="00F150FE">
        <w:rPr>
          <w:rFonts w:hint="cs"/>
          <w:spacing w:val="-2"/>
          <w:rtl/>
        </w:rPr>
        <w:t xml:space="preserve">جبر </w:t>
      </w:r>
      <w:r w:rsidRPr="00F150FE">
        <w:rPr>
          <w:spacing w:val="-2"/>
          <w:rtl/>
        </w:rPr>
        <w:t>م</w:t>
      </w:r>
      <w:r w:rsidRPr="00F150FE">
        <w:rPr>
          <w:rFonts w:hint="cs"/>
          <w:spacing w:val="-2"/>
          <w:rtl/>
        </w:rPr>
        <w:t>ناسبة</w:t>
      </w:r>
      <w:r w:rsidRPr="00F150FE">
        <w:rPr>
          <w:spacing w:val="-2"/>
          <w:rtl/>
        </w:rPr>
        <w:t xml:space="preserve"> ل</w:t>
      </w:r>
      <w:r w:rsidRPr="00F150FE">
        <w:rPr>
          <w:rFonts w:hint="cs"/>
          <w:spacing w:val="-2"/>
          <w:rtl/>
        </w:rPr>
        <w:t>صالحها</w:t>
      </w:r>
      <w:r w:rsidRPr="00F150FE">
        <w:rPr>
          <w:spacing w:val="-2"/>
          <w:rtl/>
        </w:rPr>
        <w:t xml:space="preserve">. </w:t>
      </w:r>
      <w:r w:rsidRPr="00F150FE">
        <w:rPr>
          <w:rFonts w:hint="cs"/>
          <w:spacing w:val="-2"/>
          <w:rtl/>
        </w:rPr>
        <w:t>و</w:t>
      </w:r>
      <w:r w:rsidRPr="00F150FE">
        <w:rPr>
          <w:spacing w:val="-2"/>
          <w:rtl/>
        </w:rPr>
        <w:t>هذه التدابير لا</w:t>
      </w:r>
      <w:r w:rsidRPr="00F150FE">
        <w:rPr>
          <w:spacing w:val="-2"/>
          <w:rtl/>
          <w:lang w:val="en-GB"/>
        </w:rPr>
        <w:t xml:space="preserve"> </w:t>
      </w:r>
      <w:r w:rsidRPr="00F150FE">
        <w:rPr>
          <w:spacing w:val="-2"/>
          <w:rtl/>
        </w:rPr>
        <w:t xml:space="preserve">يمكن </w:t>
      </w:r>
      <w:r w:rsidRPr="00F150FE">
        <w:rPr>
          <w:rFonts w:hint="cs"/>
          <w:spacing w:val="-2"/>
          <w:rtl/>
        </w:rPr>
        <w:t xml:space="preserve">أن تقتصر </w:t>
      </w:r>
      <w:r w:rsidRPr="00F150FE">
        <w:rPr>
          <w:spacing w:val="-2"/>
          <w:rtl/>
        </w:rPr>
        <w:t xml:space="preserve">في واقع الأمر على </w:t>
      </w:r>
      <w:r w:rsidRPr="00F150FE">
        <w:rPr>
          <w:rFonts w:hint="cs"/>
          <w:spacing w:val="-2"/>
          <w:rtl/>
        </w:rPr>
        <w:t>ال</w:t>
      </w:r>
      <w:r w:rsidRPr="00F150FE">
        <w:rPr>
          <w:spacing w:val="-2"/>
          <w:rtl/>
        </w:rPr>
        <w:t xml:space="preserve">تعويض </w:t>
      </w:r>
      <w:r w:rsidRPr="00F150FE">
        <w:rPr>
          <w:rFonts w:hint="cs"/>
          <w:spacing w:val="-2"/>
          <w:rtl/>
        </w:rPr>
        <w:t>ال</w:t>
      </w:r>
      <w:r w:rsidRPr="00F150FE">
        <w:rPr>
          <w:spacing w:val="-2"/>
          <w:rtl/>
        </w:rPr>
        <w:t>نقدي</w:t>
      </w:r>
      <w:r w:rsidR="00A44950" w:rsidRPr="00F150FE">
        <w:rPr>
          <w:spacing w:val="-2"/>
          <w:vertAlign w:val="superscript"/>
          <w:rtl/>
          <w:lang w:val="en-GB"/>
        </w:rPr>
        <w:t>(</w:t>
      </w:r>
      <w:r w:rsidR="00A44950" w:rsidRPr="00F150FE">
        <w:rPr>
          <w:spacing w:val="-2"/>
          <w:vertAlign w:val="superscript"/>
          <w:rtl/>
          <w:lang w:val="en-GB"/>
        </w:rPr>
        <w:footnoteReference w:id="18"/>
      </w:r>
      <w:r w:rsidR="00A44950" w:rsidRPr="00F150FE">
        <w:rPr>
          <w:spacing w:val="-2"/>
          <w:vertAlign w:val="superscript"/>
          <w:rtl/>
          <w:lang w:val="en-GB"/>
        </w:rPr>
        <w:t>)</w:t>
      </w:r>
      <w:r w:rsidRPr="00F150FE">
        <w:rPr>
          <w:spacing w:val="-2"/>
          <w:rtl/>
        </w:rPr>
        <w:t>،</w:t>
      </w:r>
      <w:r w:rsidR="00A44950" w:rsidRPr="00F150FE">
        <w:rPr>
          <w:rFonts w:hint="cs"/>
          <w:spacing w:val="-2"/>
          <w:rtl/>
        </w:rPr>
        <w:t xml:space="preserve"> </w:t>
      </w:r>
      <w:r w:rsidRPr="00F150FE">
        <w:rPr>
          <w:spacing w:val="-2"/>
          <w:rtl/>
        </w:rPr>
        <w:t>بل يجب أن ت</w:t>
      </w:r>
      <w:r w:rsidRPr="00F150FE">
        <w:rPr>
          <w:rFonts w:hint="cs"/>
          <w:spacing w:val="-2"/>
          <w:rtl/>
        </w:rPr>
        <w:t>تضمن</w:t>
      </w:r>
      <w:r w:rsidRPr="00F150FE">
        <w:rPr>
          <w:spacing w:val="-2"/>
          <w:rtl/>
        </w:rPr>
        <w:t xml:space="preserve"> أيضا</w:t>
      </w:r>
      <w:r w:rsidR="003B65EE" w:rsidRPr="00F150FE">
        <w:rPr>
          <w:rFonts w:hint="cs"/>
          <w:spacing w:val="-2"/>
          <w:rtl/>
        </w:rPr>
        <w:t>ً</w:t>
      </w:r>
      <w:r w:rsidRPr="00F150FE">
        <w:rPr>
          <w:spacing w:val="-2"/>
          <w:rtl/>
        </w:rPr>
        <w:t xml:space="preserve"> إعادة التأهيل</w:t>
      </w:r>
      <w:r w:rsidR="00A44950" w:rsidRPr="00F150FE">
        <w:rPr>
          <w:spacing w:val="-2"/>
          <w:vertAlign w:val="superscript"/>
          <w:rtl/>
          <w:lang w:val="en-GB"/>
        </w:rPr>
        <w:t>(</w:t>
      </w:r>
      <w:r w:rsidR="00A44950" w:rsidRPr="00F150FE">
        <w:rPr>
          <w:spacing w:val="-2"/>
          <w:vertAlign w:val="superscript"/>
          <w:rtl/>
          <w:lang w:val="en-GB"/>
        </w:rPr>
        <w:footnoteReference w:id="19"/>
      </w:r>
      <w:r w:rsidR="00A44950" w:rsidRPr="00F150FE">
        <w:rPr>
          <w:spacing w:val="-2"/>
          <w:vertAlign w:val="superscript"/>
          <w:rtl/>
          <w:lang w:val="en-GB"/>
        </w:rPr>
        <w:t>)</w:t>
      </w:r>
      <w:r w:rsidR="00A44950" w:rsidRPr="00F150FE">
        <w:rPr>
          <w:rFonts w:hint="cs"/>
          <w:spacing w:val="-2"/>
          <w:rtl/>
        </w:rPr>
        <w:t xml:space="preserve"> </w:t>
      </w:r>
      <w:r w:rsidRPr="00F150FE">
        <w:rPr>
          <w:spacing w:val="-2"/>
          <w:rtl/>
        </w:rPr>
        <w:t>والترضية</w:t>
      </w:r>
      <w:r w:rsidR="00A44950" w:rsidRPr="00F150FE">
        <w:rPr>
          <w:spacing w:val="-2"/>
          <w:vertAlign w:val="superscript"/>
          <w:rtl/>
          <w:lang w:val="en-GB"/>
        </w:rPr>
        <w:t>(</w:t>
      </w:r>
      <w:r w:rsidR="00A44950" w:rsidRPr="00F150FE">
        <w:rPr>
          <w:spacing w:val="-2"/>
          <w:vertAlign w:val="superscript"/>
          <w:rtl/>
          <w:lang w:val="en-GB"/>
        </w:rPr>
        <w:footnoteReference w:id="20"/>
      </w:r>
      <w:r w:rsidR="00A44950" w:rsidRPr="00F150FE">
        <w:rPr>
          <w:spacing w:val="-2"/>
          <w:vertAlign w:val="superscript"/>
          <w:rtl/>
          <w:lang w:val="en-GB"/>
        </w:rPr>
        <w:t>)</w:t>
      </w:r>
      <w:r w:rsidRPr="00F150FE">
        <w:rPr>
          <w:spacing w:val="-2"/>
          <w:rtl/>
        </w:rPr>
        <w:t xml:space="preserve"> وضمانات عدم التكرار</w:t>
      </w:r>
      <w:r w:rsidR="00A44950" w:rsidRPr="00F150FE">
        <w:rPr>
          <w:spacing w:val="-2"/>
          <w:vertAlign w:val="superscript"/>
          <w:rtl/>
          <w:lang w:val="en-GB"/>
        </w:rPr>
        <w:t>(</w:t>
      </w:r>
      <w:r w:rsidR="00A44950" w:rsidRPr="00F150FE">
        <w:rPr>
          <w:spacing w:val="-2"/>
          <w:vertAlign w:val="superscript"/>
          <w:rtl/>
          <w:lang w:val="en-GB"/>
        </w:rPr>
        <w:footnoteReference w:id="21"/>
      </w:r>
      <w:r w:rsidR="00A44950" w:rsidRPr="00F150FE">
        <w:rPr>
          <w:spacing w:val="-2"/>
          <w:vertAlign w:val="superscript"/>
          <w:rtl/>
          <w:lang w:val="en-GB"/>
        </w:rPr>
        <w:t>)</w:t>
      </w:r>
      <w:r w:rsidRPr="00F150FE">
        <w:rPr>
          <w:spacing w:val="-2"/>
          <w:rtl/>
        </w:rPr>
        <w:t>.</w:t>
      </w:r>
    </w:p>
    <w:p w:rsidR="00CC701B" w:rsidRPr="00CC701B" w:rsidRDefault="00CC701B" w:rsidP="00CC701B">
      <w:pPr>
        <w:pStyle w:val="SingleTxtGA"/>
        <w:rPr>
          <w:rtl/>
        </w:rPr>
      </w:pPr>
      <w:r w:rsidRPr="00CC701B">
        <w:rPr>
          <w:rtl/>
        </w:rPr>
        <w:t>٣-٣</w:t>
      </w:r>
      <w:r w:rsidR="00195BF0">
        <w:rPr>
          <w:rtl/>
        </w:rPr>
        <w:tab/>
      </w:r>
      <w:r w:rsidRPr="00CC701B">
        <w:rPr>
          <w:rtl/>
        </w:rPr>
        <w:t>وتذكر صاحبة الشكوى بآراء اللجنة التي تشير إلى أن الانتصاف ينبغي أن ي</w:t>
      </w:r>
      <w:r w:rsidRPr="00CC701B">
        <w:rPr>
          <w:rFonts w:hint="cs"/>
          <w:rtl/>
        </w:rPr>
        <w:t xml:space="preserve">غطي </w:t>
      </w:r>
      <w:r w:rsidRPr="00CC701B">
        <w:rPr>
          <w:rtl/>
        </w:rPr>
        <w:t xml:space="preserve">جميع الأضرار التي تلحق </w:t>
      </w:r>
      <w:r w:rsidRPr="00CC701B">
        <w:rPr>
          <w:rFonts w:hint="cs"/>
          <w:rtl/>
        </w:rPr>
        <w:t>ب</w:t>
      </w:r>
      <w:r w:rsidRPr="00CC701B">
        <w:rPr>
          <w:rtl/>
        </w:rPr>
        <w:t xml:space="preserve">الضحية وأن يشمل، في جملة تدابير أخرى، رد الحق، والتعويض، وضمانات عدم تكرار الانتهاكات، مع مراعاة ظروف كل قضية. وأشارت اللجنة، على وجه الخصوص، إلى أن "مفهوم الجبر الشامل ينطوي </w:t>
      </w:r>
      <w:r w:rsidRPr="00CC701B">
        <w:rPr>
          <w:rFonts w:hint="cs"/>
          <w:rtl/>
        </w:rPr>
        <w:t xml:space="preserve">[بالتالي] </w:t>
      </w:r>
      <w:r w:rsidRPr="00CC701B">
        <w:rPr>
          <w:rtl/>
        </w:rPr>
        <w:t xml:space="preserve">على رد الحقوق والتعويض وإعادة التأهيل والترضية وضمانات بعدم تكرار الانتهاكات"؛ وأن الجبر "يجب أن يكون مناسباً وفعالاً وشاملاً"؛ وأن "التعويض النقدي وحده قد لا يكون سبيل انتصاف </w:t>
      </w:r>
      <w:r w:rsidRPr="00CC701B">
        <w:rPr>
          <w:rFonts w:hint="cs"/>
          <w:rtl/>
        </w:rPr>
        <w:t xml:space="preserve">كاف لضحية من </w:t>
      </w:r>
      <w:r w:rsidRPr="00CC701B">
        <w:rPr>
          <w:rtl/>
        </w:rPr>
        <w:t xml:space="preserve">ضحايا </w:t>
      </w:r>
      <w:r w:rsidRPr="00CC701B">
        <w:rPr>
          <w:rtl/>
        </w:rPr>
        <w:lastRenderedPageBreak/>
        <w:t>التعذيب وسوء المعاملة"</w:t>
      </w:r>
      <w:r w:rsidR="00A44950">
        <w:rPr>
          <w:vertAlign w:val="superscript"/>
          <w:rtl/>
          <w:lang w:val="en-GB"/>
        </w:rPr>
        <w:t>(</w:t>
      </w:r>
      <w:r w:rsidR="00A44950" w:rsidRPr="00CC701B">
        <w:rPr>
          <w:vertAlign w:val="superscript"/>
          <w:rtl/>
          <w:lang w:val="en-GB"/>
        </w:rPr>
        <w:footnoteReference w:id="22"/>
      </w:r>
      <w:r w:rsidR="00A44950">
        <w:rPr>
          <w:vertAlign w:val="superscript"/>
          <w:rtl/>
          <w:lang w:val="en-GB"/>
        </w:rPr>
        <w:t>)</w:t>
      </w:r>
      <w:r w:rsidRPr="00CC701B">
        <w:rPr>
          <w:rtl/>
        </w:rPr>
        <w:t>. وفيما يتعلق بإعادة التأهيل، أشارت اللجنة إلى أنه</w:t>
      </w:r>
      <w:r w:rsidRPr="00CC701B">
        <w:rPr>
          <w:rFonts w:hint="cs"/>
          <w:rtl/>
        </w:rPr>
        <w:t>ا</w:t>
      </w:r>
      <w:r w:rsidRPr="00CC701B">
        <w:rPr>
          <w:rtl/>
        </w:rPr>
        <w:t xml:space="preserve"> ينبغي أن تكون </w:t>
      </w:r>
      <w:r w:rsidRPr="00CC701B">
        <w:rPr>
          <w:rFonts w:hint="cs"/>
          <w:rtl/>
        </w:rPr>
        <w:t xml:space="preserve">شمولية </w:t>
      </w:r>
      <w:r w:rsidRPr="00CC701B">
        <w:rPr>
          <w:rtl/>
        </w:rPr>
        <w:t>وأن تغطي الرعاية الصحية والنفسية فضلاً عن الخدمات القانونية والاجتماعية</w:t>
      </w:r>
      <w:r w:rsidR="00A44950">
        <w:rPr>
          <w:vertAlign w:val="superscript"/>
          <w:rtl/>
          <w:lang w:val="en-GB"/>
        </w:rPr>
        <w:t>(</w:t>
      </w:r>
      <w:r w:rsidR="00A44950" w:rsidRPr="00CC701B">
        <w:rPr>
          <w:vertAlign w:val="superscript"/>
          <w:rtl/>
          <w:lang w:val="en-GB"/>
        </w:rPr>
        <w:footnoteReference w:id="23"/>
      </w:r>
      <w:r w:rsidR="00A44950">
        <w:rPr>
          <w:vertAlign w:val="superscript"/>
          <w:rtl/>
          <w:lang w:val="en-GB"/>
        </w:rPr>
        <w:t>)</w:t>
      </w:r>
      <w:r w:rsidRPr="00CC701B">
        <w:rPr>
          <w:rFonts w:hint="cs"/>
          <w:rtl/>
        </w:rPr>
        <w:t>؛</w:t>
      </w:r>
      <w:r w:rsidRPr="00CC701B">
        <w:rPr>
          <w:rtl/>
        </w:rPr>
        <w:t xml:space="preserve"> </w:t>
      </w:r>
      <w:r w:rsidRPr="00CC701B">
        <w:rPr>
          <w:rFonts w:hint="cs"/>
          <w:rtl/>
        </w:rPr>
        <w:t>و</w:t>
      </w:r>
      <w:r w:rsidRPr="00CC701B">
        <w:rPr>
          <w:rtl/>
        </w:rPr>
        <w:t>ينبغي أن تشمل الترضية إعلانا</w:t>
      </w:r>
      <w:r w:rsidR="003B65EE">
        <w:rPr>
          <w:rFonts w:hint="cs"/>
          <w:rtl/>
        </w:rPr>
        <w:t>ً</w:t>
      </w:r>
      <w:r w:rsidRPr="00CC701B">
        <w:rPr>
          <w:rtl/>
        </w:rPr>
        <w:t xml:space="preserve"> رسمياً أو قراراً قضائياً يعيد للضحية والأشخاص المرتبطين به</w:t>
      </w:r>
      <w:r w:rsidRPr="00CC701B">
        <w:rPr>
          <w:rFonts w:hint="cs"/>
          <w:rtl/>
        </w:rPr>
        <w:t>ا</w:t>
      </w:r>
      <w:r w:rsidRPr="00CC701B">
        <w:rPr>
          <w:rtl/>
        </w:rPr>
        <w:t xml:space="preserve"> ارتباطاً وثيقاً كرامتهم وسمعتهم وحقوقهم؛ وفرض عقوبات قضائية وإدارية على الأشخاص المسؤولين عن الانتهاكات؛ وتقديم اعتذارات علنية، بما في ذلك الاعتراف بالوقائع وقبول المسؤولية؛ وإحياء ذكرى الضحايا وتكريمهم</w:t>
      </w:r>
      <w:r w:rsidR="00A44950">
        <w:rPr>
          <w:vertAlign w:val="superscript"/>
          <w:rtl/>
          <w:lang w:val="en-GB"/>
        </w:rPr>
        <w:t>(</w:t>
      </w:r>
      <w:r w:rsidR="00A44950" w:rsidRPr="00CC701B">
        <w:rPr>
          <w:vertAlign w:val="superscript"/>
          <w:rtl/>
          <w:lang w:val="en-GB"/>
        </w:rPr>
        <w:footnoteReference w:id="24"/>
      </w:r>
      <w:r w:rsidR="00A44950">
        <w:rPr>
          <w:vertAlign w:val="superscript"/>
          <w:rtl/>
          <w:lang w:val="en-GB"/>
        </w:rPr>
        <w:t>)</w:t>
      </w:r>
      <w:r w:rsidRPr="00CC701B">
        <w:rPr>
          <w:rtl/>
        </w:rPr>
        <w:t>.</w:t>
      </w:r>
      <w:r w:rsidRPr="00CC701B">
        <w:rPr>
          <w:rFonts w:hint="cs"/>
          <w:rtl/>
        </w:rPr>
        <w:t xml:space="preserve"> وختاماً، أعلنت اللجنة، </w:t>
      </w:r>
      <w:r w:rsidRPr="00CC701B">
        <w:rPr>
          <w:rtl/>
        </w:rPr>
        <w:t>فيما يتعلق بضمانات عدم التكرار، أنه ينبغي للدول أن تتخذ تدابير لمكافحة الإفلات من العقاب</w:t>
      </w:r>
      <w:r w:rsidRPr="00CC701B">
        <w:rPr>
          <w:rtl/>
          <w:lang w:val="en-GB"/>
        </w:rPr>
        <w:t xml:space="preserve"> </w:t>
      </w:r>
      <w:r w:rsidRPr="00CC701B">
        <w:rPr>
          <w:rFonts w:hint="cs"/>
          <w:rtl/>
        </w:rPr>
        <w:t>بسبب الانتهاكات</w:t>
      </w:r>
      <w:r w:rsidRPr="00CC701B">
        <w:rPr>
          <w:rtl/>
        </w:rPr>
        <w:t xml:space="preserve">، بما في ذلك ضمان تقيد جميع الإجراءات القضائية بالمعايير الدولية المتعلقة بالمحاكمة وفقاً للأصول القانونية والعدالة والنزاهة؛ </w:t>
      </w:r>
      <w:r w:rsidRPr="00CC701B">
        <w:rPr>
          <w:rFonts w:hint="cs"/>
          <w:rtl/>
        </w:rPr>
        <w:t xml:space="preserve">وتقديم </w:t>
      </w:r>
      <w:r w:rsidRPr="00CC701B">
        <w:rPr>
          <w:rtl/>
        </w:rPr>
        <w:t>تدريب للموظفين المكلفين بإنفاذ القوانين، وكذلك للقوات العسكرية وقوات الأمن في مجال قانون حقوق الإنسان؛ وتدريب محدد بشأن دليل التقصي والتوثيق الفعالين للتعذيب وغيره من ضروب المعاملة أو العقوبة القاسية أو</w:t>
      </w:r>
      <w:r w:rsidR="00F150FE">
        <w:rPr>
          <w:rFonts w:hint="cs"/>
          <w:rtl/>
        </w:rPr>
        <w:t> </w:t>
      </w:r>
      <w:r w:rsidRPr="00CC701B">
        <w:rPr>
          <w:rtl/>
        </w:rPr>
        <w:t>اللاإنسانية أو المهينة (بروتوكول اسطنبول) للأخصائيين في المجالين الصحي والقانوني والموظفين المكلفين بإنفاذ القوانين</w:t>
      </w:r>
      <w:r w:rsidR="00A44950">
        <w:rPr>
          <w:vertAlign w:val="superscript"/>
          <w:rtl/>
          <w:lang w:val="en-GB"/>
        </w:rPr>
        <w:t>(</w:t>
      </w:r>
      <w:r w:rsidR="00A44950" w:rsidRPr="00CC701B">
        <w:rPr>
          <w:vertAlign w:val="superscript"/>
          <w:rtl/>
          <w:lang w:val="en-GB"/>
        </w:rPr>
        <w:footnoteReference w:id="25"/>
      </w:r>
      <w:r w:rsidR="00A44950">
        <w:rPr>
          <w:vertAlign w:val="superscript"/>
          <w:rtl/>
          <w:lang w:val="en-GB"/>
        </w:rPr>
        <w:t>)</w:t>
      </w:r>
      <w:r w:rsidRPr="00CC701B">
        <w:rPr>
          <w:rtl/>
        </w:rPr>
        <w:t>.</w:t>
      </w:r>
    </w:p>
    <w:p w:rsidR="00CC701B" w:rsidRPr="00F150FE" w:rsidRDefault="00CC701B" w:rsidP="00CC701B">
      <w:pPr>
        <w:pStyle w:val="SingleTxtGA"/>
        <w:rPr>
          <w:spacing w:val="-2"/>
          <w:rtl/>
        </w:rPr>
      </w:pPr>
      <w:r w:rsidRPr="00CC701B">
        <w:rPr>
          <w:rtl/>
        </w:rPr>
        <w:t>٣-٤</w:t>
      </w:r>
      <w:r w:rsidR="00195BF0">
        <w:rPr>
          <w:rtl/>
        </w:rPr>
        <w:tab/>
      </w:r>
      <w:r w:rsidRPr="00CC701B">
        <w:rPr>
          <w:rFonts w:hint="cs"/>
          <w:rtl/>
        </w:rPr>
        <w:t>و</w:t>
      </w:r>
      <w:r w:rsidRPr="00CC701B">
        <w:rPr>
          <w:rtl/>
        </w:rPr>
        <w:t xml:space="preserve">تطلب صاحبة الشكوى إلى اللجنة حث الدولة الطرف على </w:t>
      </w:r>
      <w:r w:rsidRPr="00CC701B">
        <w:rPr>
          <w:rFonts w:hint="cs"/>
          <w:rtl/>
        </w:rPr>
        <w:t xml:space="preserve">ضمان </w:t>
      </w:r>
      <w:r w:rsidRPr="00CC701B">
        <w:rPr>
          <w:rtl/>
        </w:rPr>
        <w:t>حصولها على انتصاف مناسب عن ال</w:t>
      </w:r>
      <w:r w:rsidRPr="00CC701B">
        <w:rPr>
          <w:rFonts w:hint="cs"/>
          <w:rtl/>
        </w:rPr>
        <w:t>أضرار التي لحقت بها</w:t>
      </w:r>
      <w:r w:rsidRPr="00CC701B">
        <w:rPr>
          <w:rtl/>
        </w:rPr>
        <w:t>. و</w:t>
      </w:r>
      <w:r w:rsidRPr="00CC701B">
        <w:rPr>
          <w:rFonts w:hint="cs"/>
          <w:rtl/>
        </w:rPr>
        <w:t>ي</w:t>
      </w:r>
      <w:r w:rsidRPr="00CC701B">
        <w:rPr>
          <w:rtl/>
        </w:rPr>
        <w:t xml:space="preserve">شمل </w:t>
      </w:r>
      <w:r w:rsidRPr="00CC701B">
        <w:rPr>
          <w:rFonts w:hint="cs"/>
          <w:rtl/>
        </w:rPr>
        <w:t xml:space="preserve">ذلك </w:t>
      </w:r>
      <w:r w:rsidRPr="00CC701B">
        <w:rPr>
          <w:rtl/>
        </w:rPr>
        <w:t xml:space="preserve">الأضرار </w:t>
      </w:r>
      <w:r w:rsidRPr="00CC701B">
        <w:rPr>
          <w:rFonts w:hint="cs"/>
          <w:rtl/>
        </w:rPr>
        <w:t xml:space="preserve">المادية والمعنوية ويتضمن </w:t>
      </w:r>
      <w:r w:rsidRPr="00CC701B">
        <w:rPr>
          <w:rtl/>
        </w:rPr>
        <w:t xml:space="preserve">تدابير ترمي إلى </w:t>
      </w:r>
      <w:r w:rsidRPr="00CC701B">
        <w:rPr>
          <w:rFonts w:hint="cs"/>
          <w:rtl/>
        </w:rPr>
        <w:t xml:space="preserve">رد </w:t>
      </w:r>
      <w:r w:rsidRPr="00CC701B">
        <w:rPr>
          <w:rtl/>
        </w:rPr>
        <w:t xml:space="preserve">الحق، وإعادة التأهيل، والترضية (بما في ذلك رد الاعتبار لكرامة الشخص وسمعته)، وضمانات عدم التكرار. وينبغي </w:t>
      </w:r>
      <w:r w:rsidRPr="00CC701B">
        <w:rPr>
          <w:rFonts w:hint="cs"/>
          <w:rtl/>
        </w:rPr>
        <w:t>أن يُطلب إلى ا</w:t>
      </w:r>
      <w:r w:rsidRPr="00CC701B">
        <w:rPr>
          <w:rtl/>
        </w:rPr>
        <w:t xml:space="preserve">لدولة الطرف </w:t>
      </w:r>
      <w:r w:rsidRPr="00CC701B">
        <w:rPr>
          <w:rFonts w:hint="cs"/>
          <w:rtl/>
        </w:rPr>
        <w:t xml:space="preserve">القيام بما يلي </w:t>
      </w:r>
      <w:r w:rsidRPr="00CC701B">
        <w:rPr>
          <w:rtl/>
        </w:rPr>
        <w:t xml:space="preserve">على وجه الخصوص: (أ) ضمان </w:t>
      </w:r>
      <w:r w:rsidRPr="00CC701B">
        <w:rPr>
          <w:rFonts w:hint="cs"/>
          <w:rtl/>
        </w:rPr>
        <w:t>ال</w:t>
      </w:r>
      <w:r w:rsidRPr="00CC701B">
        <w:rPr>
          <w:rtl/>
        </w:rPr>
        <w:t xml:space="preserve">تعويض </w:t>
      </w:r>
      <w:r w:rsidRPr="00CC701B">
        <w:rPr>
          <w:rFonts w:hint="cs"/>
          <w:rtl/>
        </w:rPr>
        <w:t>ال</w:t>
      </w:r>
      <w:r w:rsidRPr="00CC701B">
        <w:rPr>
          <w:rtl/>
        </w:rPr>
        <w:t>فوري و</w:t>
      </w:r>
      <w:r w:rsidRPr="00CC701B">
        <w:rPr>
          <w:rFonts w:hint="cs"/>
          <w:rtl/>
        </w:rPr>
        <w:t>ال</w:t>
      </w:r>
      <w:r w:rsidRPr="00CC701B">
        <w:rPr>
          <w:rtl/>
        </w:rPr>
        <w:t>عادل</w:t>
      </w:r>
      <w:r w:rsidRPr="00CC701B">
        <w:rPr>
          <w:rFonts w:hint="cs"/>
          <w:rtl/>
        </w:rPr>
        <w:t xml:space="preserve"> والكافي الذي </w:t>
      </w:r>
      <w:r w:rsidRPr="00CC701B">
        <w:rPr>
          <w:rtl/>
        </w:rPr>
        <w:t xml:space="preserve">يتناسب وجسامة </w:t>
      </w:r>
      <w:r w:rsidRPr="00CC701B">
        <w:rPr>
          <w:rFonts w:hint="cs"/>
          <w:rtl/>
        </w:rPr>
        <w:t xml:space="preserve">الانتهاكات </w:t>
      </w:r>
      <w:r w:rsidRPr="00F150FE">
        <w:rPr>
          <w:rFonts w:hint="cs"/>
          <w:spacing w:val="-2"/>
          <w:rtl/>
        </w:rPr>
        <w:t>التي تعرضت لها؛</w:t>
      </w:r>
      <w:r w:rsidRPr="00F150FE">
        <w:rPr>
          <w:spacing w:val="-2"/>
          <w:rtl/>
        </w:rPr>
        <w:t xml:space="preserve"> (ب) إتاحة الرعاية الطبية والنفسية الفورية لها دون مقابل؛ (ج) تقديم اعتذار رسمي إلى صاحبة الشكوى وأسرتها؛ (د) ضمان </w:t>
      </w:r>
      <w:r w:rsidRPr="00F150FE">
        <w:rPr>
          <w:rFonts w:hint="cs"/>
          <w:spacing w:val="-2"/>
          <w:rtl/>
        </w:rPr>
        <w:t xml:space="preserve">ألا تخضع </w:t>
      </w:r>
      <w:r w:rsidRPr="00F150FE">
        <w:rPr>
          <w:spacing w:val="-2"/>
          <w:rtl/>
        </w:rPr>
        <w:t xml:space="preserve">المطالبات المدنية بالتعويض </w:t>
      </w:r>
      <w:r w:rsidRPr="00F150FE">
        <w:rPr>
          <w:rFonts w:hint="cs"/>
          <w:spacing w:val="-2"/>
          <w:rtl/>
        </w:rPr>
        <w:t xml:space="preserve">عن الأضرار غير المالية فيما يتصل </w:t>
      </w:r>
      <w:r w:rsidRPr="00F150FE">
        <w:rPr>
          <w:spacing w:val="-2"/>
          <w:rtl/>
        </w:rPr>
        <w:t xml:space="preserve">بالمطالبات </w:t>
      </w:r>
      <w:r w:rsidRPr="00F150FE">
        <w:rPr>
          <w:rFonts w:hint="cs"/>
          <w:spacing w:val="-2"/>
          <w:rtl/>
        </w:rPr>
        <w:t>المشمولة ب</w:t>
      </w:r>
      <w:r w:rsidRPr="00F150FE">
        <w:rPr>
          <w:spacing w:val="-2"/>
          <w:rtl/>
        </w:rPr>
        <w:t xml:space="preserve">القانون الدولي (لا سيما العنف الجنسي والتعذيب) لأي قانون تقادم؛ (ﻫ) </w:t>
      </w:r>
      <w:r w:rsidRPr="00F150FE">
        <w:rPr>
          <w:rFonts w:hint="cs"/>
          <w:spacing w:val="-2"/>
          <w:rtl/>
        </w:rPr>
        <w:t>ضمان</w:t>
      </w:r>
      <w:r w:rsidRPr="00F150FE">
        <w:rPr>
          <w:spacing w:val="-2"/>
          <w:rtl/>
        </w:rPr>
        <w:t xml:space="preserve"> إنفاذ دفع </w:t>
      </w:r>
      <w:r w:rsidRPr="00F150FE">
        <w:rPr>
          <w:rFonts w:hint="cs"/>
          <w:spacing w:val="-2"/>
          <w:rtl/>
        </w:rPr>
        <w:t>ال</w:t>
      </w:r>
      <w:r w:rsidRPr="00F150FE">
        <w:rPr>
          <w:spacing w:val="-2"/>
          <w:rtl/>
        </w:rPr>
        <w:t>تعويضات للضحايا</w:t>
      </w:r>
      <w:r w:rsidRPr="00F150FE">
        <w:rPr>
          <w:rFonts w:hint="cs"/>
          <w:spacing w:val="-2"/>
          <w:rtl/>
        </w:rPr>
        <w:t>،</w:t>
      </w:r>
      <w:r w:rsidRPr="00F150FE">
        <w:rPr>
          <w:spacing w:val="-2"/>
          <w:rtl/>
        </w:rPr>
        <w:t xml:space="preserve"> </w:t>
      </w:r>
      <w:r w:rsidRPr="00F150FE">
        <w:rPr>
          <w:rFonts w:hint="cs"/>
          <w:spacing w:val="-2"/>
          <w:rtl/>
        </w:rPr>
        <w:t xml:space="preserve">عند منحهم إياها </w:t>
      </w:r>
      <w:r w:rsidRPr="00F150FE">
        <w:rPr>
          <w:spacing w:val="-2"/>
          <w:rtl/>
        </w:rPr>
        <w:t>في سياق الإجراءات الجنائية، بغض النظر عن العوز المزعوم للجاني؛ (و) إبلاغ اللجنة في غضون ٩٠ يوما</w:t>
      </w:r>
      <w:r w:rsidRPr="00F150FE">
        <w:rPr>
          <w:rFonts w:hint="cs"/>
          <w:spacing w:val="-2"/>
          <w:rtl/>
        </w:rPr>
        <w:t>ً</w:t>
      </w:r>
      <w:r w:rsidRPr="00F150FE">
        <w:rPr>
          <w:spacing w:val="-2"/>
          <w:rtl/>
        </w:rPr>
        <w:t xml:space="preserve"> بالتدابير المتخذة، وترجمة قرار اللجنة</w:t>
      </w:r>
      <w:r w:rsidRPr="00F150FE">
        <w:rPr>
          <w:rFonts w:hint="cs"/>
          <w:spacing w:val="-2"/>
          <w:rtl/>
        </w:rPr>
        <w:t xml:space="preserve"> هذا</w:t>
      </w:r>
      <w:r w:rsidRPr="00F150FE">
        <w:rPr>
          <w:spacing w:val="-2"/>
          <w:rtl/>
        </w:rPr>
        <w:t>.</w:t>
      </w:r>
    </w:p>
    <w:p w:rsidR="00CC701B" w:rsidRPr="00F150FE" w:rsidRDefault="00CC701B" w:rsidP="00CC701B">
      <w:pPr>
        <w:pStyle w:val="SingleTxtGA"/>
        <w:rPr>
          <w:spacing w:val="-2"/>
          <w:rtl/>
        </w:rPr>
      </w:pPr>
      <w:r w:rsidRPr="00F150FE">
        <w:rPr>
          <w:spacing w:val="-2"/>
          <w:rtl/>
        </w:rPr>
        <w:t>٣-٥</w:t>
      </w:r>
      <w:r w:rsidR="00195BF0" w:rsidRPr="00F150FE">
        <w:rPr>
          <w:spacing w:val="-2"/>
          <w:rtl/>
        </w:rPr>
        <w:tab/>
      </w:r>
      <w:r w:rsidRPr="00F150FE">
        <w:rPr>
          <w:spacing w:val="-2"/>
          <w:rtl/>
        </w:rPr>
        <w:t>وتدعو صاحبة الشكوى اللجنة أيضا</w:t>
      </w:r>
      <w:r w:rsidRPr="00F150FE">
        <w:rPr>
          <w:rFonts w:hint="cs"/>
          <w:spacing w:val="-2"/>
          <w:rtl/>
        </w:rPr>
        <w:t>ً</w:t>
      </w:r>
      <w:r w:rsidRPr="00F150FE">
        <w:rPr>
          <w:spacing w:val="-2"/>
          <w:rtl/>
        </w:rPr>
        <w:t xml:space="preserve"> إلى حث الدولة الطرف على </w:t>
      </w:r>
      <w:r w:rsidRPr="00F150FE">
        <w:rPr>
          <w:rFonts w:hint="cs"/>
          <w:spacing w:val="-2"/>
          <w:rtl/>
        </w:rPr>
        <w:t>إصلاح</w:t>
      </w:r>
      <w:r w:rsidRPr="00F150FE">
        <w:rPr>
          <w:spacing w:val="-2"/>
          <w:rtl/>
        </w:rPr>
        <w:t xml:space="preserve"> العيوب الموجودة في تشريعاتها وممارساتها من أجل ضمان </w:t>
      </w:r>
      <w:r w:rsidRPr="00F150FE">
        <w:rPr>
          <w:rFonts w:hint="cs"/>
          <w:spacing w:val="-2"/>
          <w:rtl/>
        </w:rPr>
        <w:t xml:space="preserve">ألا تخضع </w:t>
      </w:r>
      <w:r w:rsidRPr="00F150FE">
        <w:rPr>
          <w:spacing w:val="-2"/>
          <w:rtl/>
        </w:rPr>
        <w:t xml:space="preserve">الدعاوى المدنية للتعويض </w:t>
      </w:r>
      <w:r w:rsidRPr="00F150FE">
        <w:rPr>
          <w:rFonts w:hint="cs"/>
          <w:spacing w:val="-2"/>
          <w:rtl/>
        </w:rPr>
        <w:t xml:space="preserve">بشأن </w:t>
      </w:r>
      <w:r w:rsidRPr="00F150FE">
        <w:rPr>
          <w:spacing w:val="-2"/>
          <w:rtl/>
        </w:rPr>
        <w:t xml:space="preserve">الجرائم </w:t>
      </w:r>
      <w:r w:rsidRPr="00F150FE">
        <w:rPr>
          <w:rFonts w:hint="cs"/>
          <w:spacing w:val="-2"/>
          <w:rtl/>
        </w:rPr>
        <w:t>المشمولة ب</w:t>
      </w:r>
      <w:r w:rsidRPr="00F150FE">
        <w:rPr>
          <w:spacing w:val="-2"/>
          <w:rtl/>
        </w:rPr>
        <w:t xml:space="preserve">القانون الدولي لقانون التقادم، وذلك بصرف النظر عما إذا كانت موجهة ضد أفراد </w:t>
      </w:r>
      <w:r w:rsidRPr="00F150FE">
        <w:rPr>
          <w:spacing w:val="-2"/>
          <w:rtl/>
        </w:rPr>
        <w:lastRenderedPageBreak/>
        <w:t xml:space="preserve">جناة أو </w:t>
      </w:r>
      <w:r w:rsidRPr="00F150FE">
        <w:rPr>
          <w:rFonts w:hint="cs"/>
          <w:spacing w:val="-2"/>
          <w:rtl/>
        </w:rPr>
        <w:t>ال</w:t>
      </w:r>
      <w:r w:rsidRPr="00F150FE">
        <w:rPr>
          <w:spacing w:val="-2"/>
          <w:rtl/>
        </w:rPr>
        <w:t xml:space="preserve">دولة </w:t>
      </w:r>
      <w:r w:rsidRPr="00F150FE">
        <w:rPr>
          <w:rFonts w:hint="cs"/>
          <w:spacing w:val="-2"/>
          <w:rtl/>
        </w:rPr>
        <w:t>ال</w:t>
      </w:r>
      <w:r w:rsidRPr="00F150FE">
        <w:rPr>
          <w:spacing w:val="-2"/>
          <w:rtl/>
        </w:rPr>
        <w:t xml:space="preserve">مسؤولة أو </w:t>
      </w:r>
      <w:r w:rsidRPr="00F150FE">
        <w:rPr>
          <w:rFonts w:hint="cs"/>
          <w:spacing w:val="-2"/>
          <w:rtl/>
        </w:rPr>
        <w:t>ال</w:t>
      </w:r>
      <w:r w:rsidRPr="00F150FE">
        <w:rPr>
          <w:spacing w:val="-2"/>
          <w:rtl/>
        </w:rPr>
        <w:t>كيان</w:t>
      </w:r>
      <w:r w:rsidRPr="00F150FE">
        <w:rPr>
          <w:rFonts w:hint="cs"/>
          <w:spacing w:val="-2"/>
          <w:rtl/>
        </w:rPr>
        <w:t xml:space="preserve"> المسؤول</w:t>
      </w:r>
      <w:r w:rsidRPr="00F150FE">
        <w:rPr>
          <w:spacing w:val="-2"/>
          <w:rtl/>
        </w:rPr>
        <w:t xml:space="preserve">، والعمل على تطبيق المسؤولية </w:t>
      </w:r>
      <w:r w:rsidRPr="00F150FE">
        <w:rPr>
          <w:rFonts w:hint="cs"/>
          <w:spacing w:val="-2"/>
          <w:rtl/>
        </w:rPr>
        <w:t xml:space="preserve">عن عمل الغير </w:t>
      </w:r>
      <w:r w:rsidRPr="00F150FE">
        <w:rPr>
          <w:spacing w:val="-2"/>
          <w:rtl/>
        </w:rPr>
        <w:t xml:space="preserve">عندما يكون الأفراد غير قادرين على دفع التعويض. وفي هذا الصدد، يجب التفكير في إنشاء صندوق مخصص لهذا الغرض. وبالمثل، </w:t>
      </w:r>
      <w:r w:rsidRPr="00F150FE">
        <w:rPr>
          <w:rFonts w:hint="cs"/>
          <w:spacing w:val="-2"/>
          <w:rtl/>
        </w:rPr>
        <w:t>تأمل</w:t>
      </w:r>
      <w:r w:rsidRPr="00F150FE">
        <w:rPr>
          <w:spacing w:val="-2"/>
          <w:rtl/>
        </w:rPr>
        <w:t xml:space="preserve"> ألف في</w:t>
      </w:r>
      <w:r w:rsidRPr="00F150FE">
        <w:rPr>
          <w:rFonts w:hint="cs"/>
          <w:spacing w:val="-2"/>
          <w:rtl/>
        </w:rPr>
        <w:t xml:space="preserve"> أن تحصل </w:t>
      </w:r>
      <w:r w:rsidRPr="00F150FE">
        <w:rPr>
          <w:spacing w:val="-2"/>
          <w:rtl/>
        </w:rPr>
        <w:t>على تعويض مناسب وعادل عن ال</w:t>
      </w:r>
      <w:r w:rsidRPr="00F150FE">
        <w:rPr>
          <w:rFonts w:hint="cs"/>
          <w:spacing w:val="-2"/>
          <w:rtl/>
        </w:rPr>
        <w:t>أضرا</w:t>
      </w:r>
      <w:r w:rsidRPr="00F150FE">
        <w:rPr>
          <w:spacing w:val="-2"/>
          <w:rtl/>
        </w:rPr>
        <w:t>ر ال</w:t>
      </w:r>
      <w:r w:rsidRPr="00F150FE">
        <w:rPr>
          <w:rFonts w:hint="cs"/>
          <w:spacing w:val="-2"/>
          <w:rtl/>
        </w:rPr>
        <w:t>ت</w:t>
      </w:r>
      <w:r w:rsidRPr="00F150FE">
        <w:rPr>
          <w:spacing w:val="-2"/>
          <w:rtl/>
        </w:rPr>
        <w:t>ي تكبدت</w:t>
      </w:r>
      <w:r w:rsidRPr="00F150FE">
        <w:rPr>
          <w:rFonts w:hint="cs"/>
          <w:spacing w:val="-2"/>
          <w:rtl/>
        </w:rPr>
        <w:t>ها</w:t>
      </w:r>
      <w:r w:rsidRPr="00F150FE">
        <w:rPr>
          <w:spacing w:val="-2"/>
          <w:rtl/>
        </w:rPr>
        <w:t>، و</w:t>
      </w:r>
      <w:r w:rsidRPr="00F150FE">
        <w:rPr>
          <w:rFonts w:hint="cs"/>
          <w:spacing w:val="-2"/>
          <w:rtl/>
        </w:rPr>
        <w:t xml:space="preserve">أن يُعاد </w:t>
      </w:r>
      <w:r w:rsidRPr="00F150FE">
        <w:rPr>
          <w:spacing w:val="-2"/>
          <w:rtl/>
        </w:rPr>
        <w:t>تأهيلها، و</w:t>
      </w:r>
      <w:r w:rsidRPr="00F150FE">
        <w:rPr>
          <w:rFonts w:hint="cs"/>
          <w:spacing w:val="-2"/>
          <w:rtl/>
        </w:rPr>
        <w:t xml:space="preserve">أن تتلقى اعتذاراً علنياً من </w:t>
      </w:r>
      <w:r w:rsidRPr="00F150FE">
        <w:rPr>
          <w:spacing w:val="-2"/>
          <w:rtl/>
        </w:rPr>
        <w:t>سلطات البوسنة والهرسك.</w:t>
      </w:r>
    </w:p>
    <w:p w:rsidR="00CC701B" w:rsidRPr="00CC701B" w:rsidRDefault="00CC701B" w:rsidP="00195BF0">
      <w:pPr>
        <w:pStyle w:val="H23GA"/>
        <w:rPr>
          <w:rtl/>
        </w:rPr>
      </w:pPr>
      <w:r w:rsidRPr="00CC701B">
        <w:rPr>
          <w:rtl/>
        </w:rPr>
        <w:tab/>
      </w:r>
      <w:r w:rsidRPr="00CC701B">
        <w:rPr>
          <w:rtl/>
        </w:rPr>
        <w:tab/>
        <w:t>ملاحظات الدولة الطرف على مقبولية البلاغ وأسسه الموضوعية</w:t>
      </w:r>
    </w:p>
    <w:p w:rsidR="00CC701B" w:rsidRPr="00CC701B" w:rsidRDefault="00CC701B" w:rsidP="00CC701B">
      <w:pPr>
        <w:pStyle w:val="SingleTxtGA"/>
        <w:rPr>
          <w:rtl/>
        </w:rPr>
      </w:pPr>
      <w:r w:rsidRPr="00CC701B">
        <w:rPr>
          <w:rtl/>
        </w:rPr>
        <w:t>٤-١</w:t>
      </w:r>
      <w:r w:rsidR="00195BF0">
        <w:rPr>
          <w:rtl/>
        </w:rPr>
        <w:tab/>
      </w:r>
      <w:r w:rsidRPr="00CC701B">
        <w:rPr>
          <w:rFonts w:hint="cs"/>
          <w:rtl/>
        </w:rPr>
        <w:t xml:space="preserve">أشارت </w:t>
      </w:r>
      <w:r w:rsidRPr="00CC701B">
        <w:rPr>
          <w:rtl/>
        </w:rPr>
        <w:t xml:space="preserve">الدولة الطرف، في ملاحظاتها المؤرخة 7 كانون الثاني/يناير 2019، إلى رسائل واردة من </w:t>
      </w:r>
      <w:r w:rsidRPr="00CC701B">
        <w:rPr>
          <w:rFonts w:hint="cs"/>
          <w:rtl/>
        </w:rPr>
        <w:t>ثمان من ال</w:t>
      </w:r>
      <w:r w:rsidRPr="00CC701B">
        <w:rPr>
          <w:rtl/>
        </w:rPr>
        <w:t xml:space="preserve">مؤسسات </w:t>
      </w:r>
      <w:r w:rsidRPr="00CC701B">
        <w:rPr>
          <w:rFonts w:hint="cs"/>
          <w:rtl/>
        </w:rPr>
        <w:t>والكيانات التابعة ل</w:t>
      </w:r>
      <w:r w:rsidRPr="00CC701B">
        <w:rPr>
          <w:rtl/>
        </w:rPr>
        <w:t>لدولة</w:t>
      </w:r>
      <w:r w:rsidR="00A44950">
        <w:rPr>
          <w:vertAlign w:val="superscript"/>
          <w:rtl/>
          <w:lang w:val="en-GB"/>
        </w:rPr>
        <w:t>(</w:t>
      </w:r>
      <w:r w:rsidR="00A44950" w:rsidRPr="00CC701B">
        <w:rPr>
          <w:vertAlign w:val="superscript"/>
          <w:rtl/>
          <w:lang w:val="en-GB"/>
        </w:rPr>
        <w:footnoteReference w:id="26"/>
      </w:r>
      <w:r w:rsidR="00A44950">
        <w:rPr>
          <w:vertAlign w:val="superscript"/>
          <w:rtl/>
          <w:lang w:val="en-GB"/>
        </w:rPr>
        <w:t>)</w:t>
      </w:r>
      <w:r w:rsidRPr="00CC701B">
        <w:rPr>
          <w:rFonts w:hint="cs"/>
          <w:rtl/>
        </w:rPr>
        <w:t>،</w:t>
      </w:r>
      <w:r w:rsidRPr="00CC701B">
        <w:rPr>
          <w:rtl/>
        </w:rPr>
        <w:t xml:space="preserve"> تقدم معلومات عن الإجراءات المتخذة بشأن هذه القضية.</w:t>
      </w:r>
    </w:p>
    <w:p w:rsidR="00CC701B" w:rsidRPr="00CC701B" w:rsidRDefault="00CC701B" w:rsidP="00CC701B">
      <w:pPr>
        <w:pStyle w:val="SingleTxtGA"/>
        <w:rPr>
          <w:rtl/>
        </w:rPr>
      </w:pPr>
      <w:r w:rsidRPr="00CC701B">
        <w:rPr>
          <w:rtl/>
        </w:rPr>
        <w:t>٤-٢</w:t>
      </w:r>
      <w:r w:rsidR="00195BF0">
        <w:rPr>
          <w:rtl/>
        </w:rPr>
        <w:tab/>
      </w:r>
      <w:r w:rsidRPr="00CC701B">
        <w:rPr>
          <w:rtl/>
        </w:rPr>
        <w:t xml:space="preserve">وفيما يتعلق بمطالبة صاحبة الشكوى </w:t>
      </w:r>
      <w:r w:rsidRPr="00CC701B">
        <w:rPr>
          <w:rFonts w:hint="cs"/>
          <w:rtl/>
        </w:rPr>
        <w:t>ب</w:t>
      </w:r>
      <w:r w:rsidRPr="00CC701B">
        <w:rPr>
          <w:rtl/>
        </w:rPr>
        <w:t>ضمان حصولها على تعويض</w:t>
      </w:r>
      <w:r w:rsidRPr="00CC701B">
        <w:rPr>
          <w:rFonts w:hint="cs"/>
          <w:rtl/>
        </w:rPr>
        <w:t xml:space="preserve"> فوري </w:t>
      </w:r>
      <w:r w:rsidRPr="00CC701B">
        <w:rPr>
          <w:rtl/>
        </w:rPr>
        <w:t xml:space="preserve">وعادل ومناسب، تشير محكمة البوسنة والهرسك إلى أنها أوفت بالتزاماتها تجاه صاحبة الشكوى، </w:t>
      </w:r>
      <w:r w:rsidRPr="00CC701B">
        <w:rPr>
          <w:rFonts w:hint="cs"/>
          <w:rtl/>
        </w:rPr>
        <w:t xml:space="preserve">حيث </w:t>
      </w:r>
      <w:r w:rsidRPr="00CC701B">
        <w:rPr>
          <w:rtl/>
        </w:rPr>
        <w:t>منح</w:t>
      </w:r>
      <w:r w:rsidRPr="00CC701B">
        <w:rPr>
          <w:rFonts w:hint="cs"/>
          <w:rtl/>
        </w:rPr>
        <w:t>ت</w:t>
      </w:r>
      <w:r w:rsidRPr="00CC701B">
        <w:rPr>
          <w:rtl/>
        </w:rPr>
        <w:t>ها تعويضاً قدره ٠٠٠ ٣٠ مارك</w:t>
      </w:r>
      <w:r w:rsidRPr="00CC701B">
        <w:rPr>
          <w:rFonts w:hint="cs"/>
          <w:rtl/>
        </w:rPr>
        <w:t>ا</w:t>
      </w:r>
      <w:r w:rsidR="005B24EF">
        <w:rPr>
          <w:rFonts w:hint="cs"/>
          <w:rtl/>
        </w:rPr>
        <w:t>ً</w:t>
      </w:r>
      <w:r w:rsidRPr="00CC701B">
        <w:rPr>
          <w:rtl/>
        </w:rPr>
        <w:t xml:space="preserve"> عن </w:t>
      </w:r>
      <w:r w:rsidRPr="00CC701B">
        <w:rPr>
          <w:rFonts w:hint="cs"/>
          <w:rtl/>
        </w:rPr>
        <w:t xml:space="preserve">الأضرار غير المالية </w:t>
      </w:r>
      <w:r w:rsidRPr="00CC701B">
        <w:rPr>
          <w:rFonts w:hint="cs"/>
          <w:rtl/>
          <w:lang w:bidi="ar-EG"/>
        </w:rPr>
        <w:t xml:space="preserve">في إطار </w:t>
      </w:r>
      <w:r w:rsidRPr="00CC701B">
        <w:rPr>
          <w:rtl/>
        </w:rPr>
        <w:t xml:space="preserve">مطالبتها </w:t>
      </w:r>
      <w:r w:rsidRPr="00CC701B">
        <w:rPr>
          <w:rFonts w:hint="cs"/>
          <w:rtl/>
        </w:rPr>
        <w:t xml:space="preserve">الخاصة </w:t>
      </w:r>
      <w:proofErr w:type="gramStart"/>
      <w:r w:rsidRPr="00CC701B">
        <w:rPr>
          <w:rFonts w:hint="cs"/>
          <w:rtl/>
        </w:rPr>
        <w:t>بال</w:t>
      </w:r>
      <w:r w:rsidRPr="00CC701B">
        <w:rPr>
          <w:rtl/>
        </w:rPr>
        <w:t>ممتلكات</w:t>
      </w:r>
      <w:r w:rsidR="00A44950">
        <w:rPr>
          <w:vertAlign w:val="superscript"/>
          <w:rtl/>
          <w:lang w:val="en-GB"/>
        </w:rPr>
        <w:t>(</w:t>
      </w:r>
      <w:proofErr w:type="gramEnd"/>
      <w:r w:rsidR="00A44950" w:rsidRPr="00CC701B">
        <w:rPr>
          <w:vertAlign w:val="superscript"/>
          <w:rtl/>
          <w:lang w:val="en-GB"/>
        </w:rPr>
        <w:footnoteReference w:id="27"/>
      </w:r>
      <w:r w:rsidR="00A44950">
        <w:rPr>
          <w:vertAlign w:val="superscript"/>
          <w:rtl/>
          <w:lang w:val="en-GB"/>
        </w:rPr>
        <w:t>)</w:t>
      </w:r>
      <w:r w:rsidRPr="00CC701B">
        <w:rPr>
          <w:rtl/>
        </w:rPr>
        <w:t xml:space="preserve">. وفيما يتعلق بتنفيذ القرار، تفيد الوحدة التنفيذية للمحكمة </w:t>
      </w:r>
      <w:r w:rsidRPr="00CC701B">
        <w:rPr>
          <w:rFonts w:hint="cs"/>
          <w:rtl/>
        </w:rPr>
        <w:t>ب</w:t>
      </w:r>
      <w:r w:rsidRPr="00CC701B">
        <w:rPr>
          <w:rtl/>
        </w:rPr>
        <w:t xml:space="preserve">أن صاحبة الشكوى قررت سحب مطالبتها </w:t>
      </w:r>
      <w:r w:rsidRPr="00CC701B">
        <w:rPr>
          <w:rFonts w:hint="cs"/>
          <w:rtl/>
        </w:rPr>
        <w:t>الخاصة بال</w:t>
      </w:r>
      <w:r w:rsidRPr="00CC701B">
        <w:rPr>
          <w:rtl/>
        </w:rPr>
        <w:t xml:space="preserve">ممتلكات لأنها أدركت أن </w:t>
      </w:r>
      <w:r w:rsidRPr="00CC701B">
        <w:rPr>
          <w:rFonts w:hint="cs"/>
          <w:rtl/>
        </w:rPr>
        <w:t xml:space="preserve">الـمُدان لم تكن لديه أية ممتلكات </w:t>
      </w:r>
      <w:r w:rsidRPr="00CC701B">
        <w:rPr>
          <w:rtl/>
        </w:rPr>
        <w:t xml:space="preserve">يمكن </w:t>
      </w:r>
      <w:r w:rsidRPr="00CC701B">
        <w:rPr>
          <w:rFonts w:hint="cs"/>
          <w:rtl/>
        </w:rPr>
        <w:t>أن تُ</w:t>
      </w:r>
      <w:r w:rsidRPr="00CC701B">
        <w:rPr>
          <w:rtl/>
        </w:rPr>
        <w:t>ستخدم لتعويضها</w:t>
      </w:r>
      <w:r w:rsidRPr="00CC701B">
        <w:rPr>
          <w:rFonts w:hint="cs"/>
          <w:rtl/>
        </w:rPr>
        <w:t xml:space="preserve"> عن الأضرار</w:t>
      </w:r>
      <w:r w:rsidRPr="00CC701B">
        <w:rPr>
          <w:rtl/>
        </w:rPr>
        <w:t xml:space="preserve">، ولأن بإمكانها إقامة دعوى مدنية بموجب قانون الالتزامات المدنية أو تقديم مطالبة جديدة </w:t>
      </w:r>
      <w:r w:rsidRPr="00CC701B">
        <w:rPr>
          <w:rFonts w:hint="cs"/>
          <w:rtl/>
          <w:lang w:bidi="ar-EG"/>
        </w:rPr>
        <w:t xml:space="preserve">خاصة </w:t>
      </w:r>
      <w:r w:rsidRPr="00CC701B">
        <w:rPr>
          <w:rtl/>
        </w:rPr>
        <w:t xml:space="preserve">بالممتلكات إلى محكمة البوسنة والهرسك. وتدفع المحكمة </w:t>
      </w:r>
      <w:r w:rsidRPr="00CC701B">
        <w:rPr>
          <w:rFonts w:hint="cs"/>
          <w:rtl/>
        </w:rPr>
        <w:t xml:space="preserve">أيضاً </w:t>
      </w:r>
      <w:r w:rsidRPr="00CC701B">
        <w:rPr>
          <w:rtl/>
        </w:rPr>
        <w:t xml:space="preserve">بأن التشريع </w:t>
      </w:r>
      <w:r w:rsidRPr="00CC701B">
        <w:rPr>
          <w:rFonts w:hint="cs"/>
          <w:rtl/>
        </w:rPr>
        <w:t xml:space="preserve">يراعي </w:t>
      </w:r>
      <w:r w:rsidRPr="00CC701B">
        <w:rPr>
          <w:rtl/>
        </w:rPr>
        <w:t>إمكانية فرض تدابير مؤقتة من أجل ضمان تنفيذ المطالب</w:t>
      </w:r>
      <w:r w:rsidRPr="00CC701B">
        <w:rPr>
          <w:rFonts w:hint="cs"/>
          <w:rtl/>
        </w:rPr>
        <w:t>ات</w:t>
      </w:r>
      <w:r w:rsidRPr="00CC701B">
        <w:rPr>
          <w:rtl/>
        </w:rPr>
        <w:t xml:space="preserve"> </w:t>
      </w:r>
      <w:r w:rsidRPr="00CC701B">
        <w:rPr>
          <w:rFonts w:hint="cs"/>
          <w:rtl/>
        </w:rPr>
        <w:t xml:space="preserve">الخاصة </w:t>
      </w:r>
      <w:r w:rsidRPr="00CC701B">
        <w:rPr>
          <w:rtl/>
        </w:rPr>
        <w:t xml:space="preserve">بالممتلكات في الإجراءات الجنائية؛ إلا أن صاحبة الشكوى لم تقدم </w:t>
      </w:r>
      <w:r w:rsidRPr="00CC701B">
        <w:rPr>
          <w:rFonts w:hint="cs"/>
          <w:rtl/>
        </w:rPr>
        <w:t xml:space="preserve">قط </w:t>
      </w:r>
      <w:r w:rsidRPr="00CC701B">
        <w:rPr>
          <w:rtl/>
        </w:rPr>
        <w:t>أي طلب من هذا القبيل.</w:t>
      </w:r>
    </w:p>
    <w:p w:rsidR="00CC701B" w:rsidRPr="00CC701B" w:rsidRDefault="00CC701B" w:rsidP="00CC701B">
      <w:pPr>
        <w:pStyle w:val="SingleTxtGA"/>
        <w:rPr>
          <w:rtl/>
        </w:rPr>
      </w:pPr>
      <w:r w:rsidRPr="00CC701B">
        <w:rPr>
          <w:rtl/>
        </w:rPr>
        <w:t>٤-٣</w:t>
      </w:r>
      <w:r w:rsidR="00195BF0">
        <w:rPr>
          <w:rtl/>
        </w:rPr>
        <w:tab/>
      </w:r>
      <w:r w:rsidRPr="00CC701B">
        <w:rPr>
          <w:rtl/>
        </w:rPr>
        <w:t>وتكرر الدولة الطرف أحكام قانون الالتزامات المدنية التي تحدد التعويض</w:t>
      </w:r>
      <w:r w:rsidR="00D90797">
        <w:rPr>
          <w:rtl/>
        </w:rPr>
        <w:t xml:space="preserve"> </w:t>
      </w:r>
      <w:r w:rsidRPr="00CC701B">
        <w:rPr>
          <w:rFonts w:hint="cs"/>
          <w:rtl/>
        </w:rPr>
        <w:t>عن الأضرار غير المالية</w:t>
      </w:r>
      <w:r w:rsidRPr="00CC701B">
        <w:rPr>
          <w:rtl/>
        </w:rPr>
        <w:t>، وقانون التقادم ذي الصلة ب</w:t>
      </w:r>
      <w:r w:rsidRPr="00CC701B">
        <w:rPr>
          <w:rFonts w:hint="cs"/>
          <w:rtl/>
        </w:rPr>
        <w:t>ال</w:t>
      </w:r>
      <w:r w:rsidRPr="00CC701B">
        <w:rPr>
          <w:rtl/>
        </w:rPr>
        <w:t xml:space="preserve">مطالبات من هذا القبيل، وقانون العقوبات الذي تنص </w:t>
      </w:r>
      <w:r w:rsidRPr="00CC701B">
        <w:rPr>
          <w:rFonts w:hint="cs"/>
          <w:rtl/>
        </w:rPr>
        <w:t>ال</w:t>
      </w:r>
      <w:r w:rsidRPr="00CC701B">
        <w:rPr>
          <w:rtl/>
        </w:rPr>
        <w:t>ماد</w:t>
      </w:r>
      <w:r w:rsidRPr="00CC701B">
        <w:rPr>
          <w:rFonts w:hint="cs"/>
          <w:rtl/>
        </w:rPr>
        <w:t>ة</w:t>
      </w:r>
      <w:r w:rsidRPr="00CC701B">
        <w:rPr>
          <w:rtl/>
        </w:rPr>
        <w:t xml:space="preserve"> ١٩ </w:t>
      </w:r>
      <w:r w:rsidRPr="00CC701B">
        <w:rPr>
          <w:rFonts w:hint="cs"/>
          <w:rtl/>
        </w:rPr>
        <w:t xml:space="preserve">منه </w:t>
      </w:r>
      <w:r w:rsidRPr="00CC701B">
        <w:rPr>
          <w:rtl/>
        </w:rPr>
        <w:t>على أن جرائم الحرب والجرائم ضد الإنسانية لا تسقط بالتقادم.</w:t>
      </w:r>
    </w:p>
    <w:p w:rsidR="00CC701B" w:rsidRPr="00CC701B" w:rsidRDefault="00CC701B" w:rsidP="00CC701B">
      <w:pPr>
        <w:pStyle w:val="SingleTxtGA"/>
        <w:rPr>
          <w:rtl/>
        </w:rPr>
      </w:pPr>
      <w:r w:rsidRPr="00CC701B">
        <w:rPr>
          <w:rtl/>
        </w:rPr>
        <w:t>٤-٤</w:t>
      </w:r>
      <w:r w:rsidR="00195BF0">
        <w:rPr>
          <w:rtl/>
        </w:rPr>
        <w:tab/>
      </w:r>
      <w:r w:rsidRPr="00CC701B">
        <w:rPr>
          <w:rtl/>
        </w:rPr>
        <w:t xml:space="preserve">وعلاوة على ذلك، تدفع الدولة الطرف بأنه وفقاً لقانون الحماية الاجتماعية وحماية ضحايا الحرب المدنيين والأسر التي لها أطفال، </w:t>
      </w:r>
      <w:r w:rsidRPr="00CC701B">
        <w:rPr>
          <w:rFonts w:hint="cs"/>
          <w:rtl/>
        </w:rPr>
        <w:t xml:space="preserve">تتلقى </w:t>
      </w:r>
      <w:r w:rsidRPr="00CC701B">
        <w:rPr>
          <w:rtl/>
        </w:rPr>
        <w:t>صاحبة الشكوى، بصفتها ضحية مدنية من ضحايا الحرب، استحقاقاً نقدياً يسمى</w:t>
      </w:r>
      <w:r w:rsidRPr="00CC701B">
        <w:rPr>
          <w:rFonts w:hint="cs"/>
          <w:rtl/>
        </w:rPr>
        <w:t xml:space="preserve"> "الدخل</w:t>
      </w:r>
      <w:r w:rsidRPr="00CC701B">
        <w:rPr>
          <w:rtl/>
        </w:rPr>
        <w:t xml:space="preserve"> </w:t>
      </w:r>
      <w:r w:rsidRPr="00CC701B">
        <w:rPr>
          <w:rFonts w:hint="cs"/>
          <w:rtl/>
        </w:rPr>
        <w:t>ال</w:t>
      </w:r>
      <w:r w:rsidRPr="00CC701B">
        <w:rPr>
          <w:rtl/>
        </w:rPr>
        <w:t xml:space="preserve">شهري </w:t>
      </w:r>
      <w:r w:rsidRPr="00CC701B">
        <w:rPr>
          <w:rFonts w:hint="cs"/>
          <w:rtl/>
        </w:rPr>
        <w:t>ال</w:t>
      </w:r>
      <w:r w:rsidRPr="00CC701B">
        <w:rPr>
          <w:rtl/>
        </w:rPr>
        <w:t>شخصي" بمبلغ ٤٩٤ ٥٩ ماركا</w:t>
      </w:r>
      <w:r w:rsidR="00F150FE">
        <w:rPr>
          <w:rFonts w:hint="cs"/>
          <w:rtl/>
        </w:rPr>
        <w:t>ً</w:t>
      </w:r>
      <w:r w:rsidRPr="00CC701B">
        <w:rPr>
          <w:rtl/>
        </w:rPr>
        <w:t xml:space="preserve"> منذ ١ شباط/فبراير ٢٠٠٨</w:t>
      </w:r>
      <w:r w:rsidR="00A44950">
        <w:rPr>
          <w:vertAlign w:val="superscript"/>
          <w:rtl/>
          <w:lang w:val="en-GB"/>
        </w:rPr>
        <w:t>(</w:t>
      </w:r>
      <w:r w:rsidR="00A44950" w:rsidRPr="00CC701B">
        <w:rPr>
          <w:vertAlign w:val="superscript"/>
          <w:rtl/>
          <w:lang w:val="en-GB"/>
        </w:rPr>
        <w:footnoteReference w:id="28"/>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٤-٥</w:t>
      </w:r>
      <w:r w:rsidR="00195BF0">
        <w:rPr>
          <w:rtl/>
        </w:rPr>
        <w:tab/>
      </w:r>
      <w:r w:rsidRPr="00CC701B">
        <w:rPr>
          <w:rtl/>
        </w:rPr>
        <w:t xml:space="preserve">وفي رسالة مؤرخة ١٩ آذار/مارس ٢٠١٨، ذكرت وزارة حقوق الإنسان واللاجئين أن طلب صاحبة الشكوى </w:t>
      </w:r>
      <w:r w:rsidRPr="00CC701B">
        <w:rPr>
          <w:rFonts w:hint="cs"/>
          <w:rtl/>
        </w:rPr>
        <w:t xml:space="preserve">الانتصاف </w:t>
      </w:r>
      <w:r w:rsidRPr="00CC701B">
        <w:rPr>
          <w:rtl/>
        </w:rPr>
        <w:t>القانوني مقبول جزئيا</w:t>
      </w:r>
      <w:r w:rsidRPr="00CC701B">
        <w:rPr>
          <w:rFonts w:hint="cs"/>
          <w:rtl/>
        </w:rPr>
        <w:t>ً</w:t>
      </w:r>
      <w:r w:rsidRPr="00CC701B">
        <w:rPr>
          <w:rtl/>
        </w:rPr>
        <w:t xml:space="preserve"> لأن ألف لم تُمنح تعويضا</w:t>
      </w:r>
      <w:r w:rsidRPr="00CC701B">
        <w:rPr>
          <w:rFonts w:hint="cs"/>
          <w:rtl/>
        </w:rPr>
        <w:t>ً</w:t>
      </w:r>
      <w:r w:rsidRPr="00CC701B">
        <w:rPr>
          <w:rtl/>
        </w:rPr>
        <w:t xml:space="preserve"> </w:t>
      </w:r>
      <w:r w:rsidRPr="00CC701B">
        <w:rPr>
          <w:rFonts w:hint="cs"/>
          <w:rtl/>
        </w:rPr>
        <w:t xml:space="preserve">سريعاً </w:t>
      </w:r>
      <w:r w:rsidRPr="00CC701B">
        <w:rPr>
          <w:rtl/>
        </w:rPr>
        <w:t>وعادلاً ومناسباً، و</w:t>
      </w:r>
      <w:r w:rsidRPr="00CC701B">
        <w:rPr>
          <w:rFonts w:hint="cs"/>
          <w:rtl/>
        </w:rPr>
        <w:t>ل</w:t>
      </w:r>
      <w:r w:rsidRPr="00CC701B">
        <w:rPr>
          <w:rtl/>
        </w:rPr>
        <w:t>أن حقوقها نُفذت جزئيا</w:t>
      </w:r>
      <w:r w:rsidRPr="00CC701B">
        <w:rPr>
          <w:rFonts w:hint="cs"/>
          <w:rtl/>
        </w:rPr>
        <w:t>ً</w:t>
      </w:r>
      <w:r w:rsidRPr="00CC701B">
        <w:rPr>
          <w:rtl/>
        </w:rPr>
        <w:t xml:space="preserve"> فقط، و</w:t>
      </w:r>
      <w:r w:rsidRPr="00CC701B">
        <w:rPr>
          <w:rFonts w:hint="cs"/>
          <w:rtl/>
        </w:rPr>
        <w:t>ل</w:t>
      </w:r>
      <w:r w:rsidRPr="00CC701B">
        <w:rPr>
          <w:rtl/>
        </w:rPr>
        <w:t xml:space="preserve">أن قانون التقادم الحالي </w:t>
      </w:r>
      <w:r w:rsidRPr="00CC701B">
        <w:rPr>
          <w:rFonts w:hint="cs"/>
          <w:rtl/>
        </w:rPr>
        <w:t xml:space="preserve">لم يُتح </w:t>
      </w:r>
      <w:r w:rsidRPr="00CC701B">
        <w:rPr>
          <w:rtl/>
        </w:rPr>
        <w:t>لها المطالبة بتعويض</w:t>
      </w:r>
      <w:r w:rsidRPr="00CC701B">
        <w:rPr>
          <w:rFonts w:hint="cs"/>
          <w:rtl/>
        </w:rPr>
        <w:t xml:space="preserve"> عن الأضرار غير المالية</w:t>
      </w:r>
      <w:r w:rsidRPr="00CC701B">
        <w:rPr>
          <w:rtl/>
        </w:rPr>
        <w:t>.</w:t>
      </w:r>
    </w:p>
    <w:p w:rsidR="00CC701B" w:rsidRPr="00CC701B" w:rsidRDefault="00CC701B" w:rsidP="00CC701B">
      <w:pPr>
        <w:pStyle w:val="SingleTxtGA"/>
        <w:rPr>
          <w:rtl/>
        </w:rPr>
      </w:pPr>
      <w:r w:rsidRPr="00CC701B">
        <w:rPr>
          <w:rtl/>
        </w:rPr>
        <w:lastRenderedPageBreak/>
        <w:t>٤-٦</w:t>
      </w:r>
      <w:r w:rsidR="00195BF0">
        <w:rPr>
          <w:rtl/>
        </w:rPr>
        <w:tab/>
      </w:r>
      <w:r w:rsidRPr="00CC701B">
        <w:rPr>
          <w:rtl/>
        </w:rPr>
        <w:t xml:space="preserve">وفيما يتعلق بالمطالبة بضمان </w:t>
      </w:r>
      <w:r w:rsidRPr="00CC701B">
        <w:rPr>
          <w:rFonts w:hint="cs"/>
          <w:rtl/>
        </w:rPr>
        <w:t xml:space="preserve">إمكانية </w:t>
      </w:r>
      <w:r w:rsidRPr="00CC701B">
        <w:rPr>
          <w:rtl/>
        </w:rPr>
        <w:t>حصول صاحبة الشكوى على الرعاية الطبية والنفسية فوراً و</w:t>
      </w:r>
      <w:r w:rsidRPr="00CC701B">
        <w:rPr>
          <w:rFonts w:hint="cs"/>
          <w:rtl/>
        </w:rPr>
        <w:t>دون مقابل</w:t>
      </w:r>
      <w:r w:rsidRPr="00CC701B">
        <w:rPr>
          <w:rtl/>
        </w:rPr>
        <w:t xml:space="preserve">، تشير وزارة حقوق الإنسان واللاجئين، وفقاً لقانون الحماية الاجتماعية وحماية ضحايا الحرب المدنيين </w:t>
      </w:r>
      <w:r w:rsidRPr="00CC701B">
        <w:rPr>
          <w:rFonts w:hint="cs"/>
          <w:rtl/>
        </w:rPr>
        <w:t>و</w:t>
      </w:r>
      <w:r w:rsidRPr="00CC701B">
        <w:rPr>
          <w:rtl/>
        </w:rPr>
        <w:t>الأسر التي لها أطفال، إلى أن لصاحبة الشكوى الحق في خدمات مجان</w:t>
      </w:r>
      <w:r w:rsidRPr="00CC701B">
        <w:rPr>
          <w:rFonts w:hint="cs"/>
          <w:rtl/>
        </w:rPr>
        <w:t>ية</w:t>
      </w:r>
      <w:r w:rsidRPr="00CC701B">
        <w:rPr>
          <w:rtl/>
        </w:rPr>
        <w:t xml:space="preserve"> في مراكز الصحة العقلية ومراكز العمل الاجتماعي، </w:t>
      </w:r>
      <w:r w:rsidRPr="00CC701B">
        <w:rPr>
          <w:rFonts w:hint="cs"/>
          <w:rtl/>
        </w:rPr>
        <w:t xml:space="preserve">وكذلك في </w:t>
      </w:r>
      <w:r w:rsidRPr="00CC701B">
        <w:rPr>
          <w:rtl/>
        </w:rPr>
        <w:t>الرعاية الصحية الأولية والثانوية. ومعظم هذه الخدمات دون مقابل فيما عدا بعض الخدمات المتخصصة التي يجب أن تدفع رسومها.</w:t>
      </w:r>
    </w:p>
    <w:p w:rsidR="00CC701B" w:rsidRPr="00CC701B" w:rsidRDefault="00CC701B" w:rsidP="00CC701B">
      <w:pPr>
        <w:pStyle w:val="SingleTxtGA"/>
        <w:rPr>
          <w:rtl/>
        </w:rPr>
      </w:pPr>
      <w:r w:rsidRPr="00CC701B">
        <w:rPr>
          <w:rtl/>
        </w:rPr>
        <w:t>٤-٧</w:t>
      </w:r>
      <w:r w:rsidR="00195BF0">
        <w:rPr>
          <w:rtl/>
        </w:rPr>
        <w:tab/>
      </w:r>
      <w:r w:rsidRPr="00CC701B">
        <w:rPr>
          <w:rtl/>
        </w:rPr>
        <w:t xml:space="preserve">وتدفع وزارة حقوق الإنسان واللاجئين بأن صاحبة الشكوى حصلت، أثناء المحاكمة الجنائية، على الدعم النفسي الذي قدمته وحدة دعم الشهود </w:t>
      </w:r>
      <w:r w:rsidRPr="00CC701B">
        <w:rPr>
          <w:rFonts w:hint="cs"/>
          <w:rtl/>
        </w:rPr>
        <w:t>التابعة</w:t>
      </w:r>
      <w:r w:rsidRPr="00CC701B">
        <w:rPr>
          <w:rtl/>
        </w:rPr>
        <w:t xml:space="preserve"> لمحكمة البوسنة والهرسك. </w:t>
      </w:r>
      <w:r w:rsidRPr="00CC701B">
        <w:rPr>
          <w:rFonts w:hint="cs"/>
          <w:rtl/>
        </w:rPr>
        <w:t xml:space="preserve">فهذه الوحدة </w:t>
      </w:r>
      <w:r w:rsidRPr="00CC701B">
        <w:rPr>
          <w:rtl/>
        </w:rPr>
        <w:t xml:space="preserve">قدمت دعماً نفسياً </w:t>
      </w:r>
      <w:r w:rsidRPr="00CC701B">
        <w:rPr>
          <w:rFonts w:hint="cs"/>
          <w:rtl/>
        </w:rPr>
        <w:t xml:space="preserve">ووجدانياً </w:t>
      </w:r>
      <w:proofErr w:type="spellStart"/>
      <w:r w:rsidRPr="00CC701B">
        <w:rPr>
          <w:rtl/>
        </w:rPr>
        <w:t>ولوجيستياً</w:t>
      </w:r>
      <w:proofErr w:type="spellEnd"/>
      <w:r w:rsidRPr="00CC701B">
        <w:rPr>
          <w:rtl/>
        </w:rPr>
        <w:t xml:space="preserve"> وإدارياً و</w:t>
      </w:r>
      <w:r w:rsidRPr="00CC701B">
        <w:rPr>
          <w:rFonts w:hint="cs"/>
          <w:rtl/>
        </w:rPr>
        <w:t>ب</w:t>
      </w:r>
      <w:r w:rsidRPr="00CC701B">
        <w:rPr>
          <w:rtl/>
        </w:rPr>
        <w:t xml:space="preserve">أشكال أخرى إلى جميع الشهود الذين أدلوا بشهاداتهم أمام المحكمة. وتشير الوزارة إلى </w:t>
      </w:r>
      <w:r w:rsidRPr="00CC701B">
        <w:rPr>
          <w:rFonts w:hint="cs"/>
          <w:rtl/>
        </w:rPr>
        <w:t xml:space="preserve">عدم الحاجة إلى </w:t>
      </w:r>
      <w:r w:rsidRPr="00CC701B">
        <w:rPr>
          <w:rtl/>
        </w:rPr>
        <w:t xml:space="preserve">تقديم التعويض المطلوب لأن صاحبة الشكوى </w:t>
      </w:r>
      <w:r w:rsidRPr="00CC701B">
        <w:rPr>
          <w:rFonts w:hint="cs"/>
          <w:rtl/>
        </w:rPr>
        <w:t xml:space="preserve">يتاح لها كل ما يلزم من </w:t>
      </w:r>
      <w:r w:rsidRPr="00CC701B">
        <w:rPr>
          <w:rtl/>
        </w:rPr>
        <w:t>الرعاية الطبية والنفسية.</w:t>
      </w:r>
    </w:p>
    <w:p w:rsidR="00CC701B" w:rsidRPr="00F150FE" w:rsidRDefault="00CC701B" w:rsidP="00CC701B">
      <w:pPr>
        <w:pStyle w:val="SingleTxtGA"/>
        <w:rPr>
          <w:spacing w:val="-2"/>
          <w:rtl/>
        </w:rPr>
      </w:pPr>
      <w:r w:rsidRPr="00F150FE">
        <w:rPr>
          <w:spacing w:val="-2"/>
          <w:rtl/>
        </w:rPr>
        <w:t>٤-٨</w:t>
      </w:r>
      <w:r w:rsidR="00195BF0" w:rsidRPr="00F150FE">
        <w:rPr>
          <w:spacing w:val="-2"/>
          <w:rtl/>
        </w:rPr>
        <w:tab/>
      </w:r>
      <w:r w:rsidRPr="00F150FE">
        <w:rPr>
          <w:spacing w:val="-2"/>
          <w:rtl/>
        </w:rPr>
        <w:t xml:space="preserve">وفيما يتعلق </w:t>
      </w:r>
      <w:r w:rsidRPr="00F150FE">
        <w:rPr>
          <w:rFonts w:hint="cs"/>
          <w:spacing w:val="-2"/>
          <w:rtl/>
        </w:rPr>
        <w:t>بال</w:t>
      </w:r>
      <w:r w:rsidRPr="00F150FE">
        <w:rPr>
          <w:spacing w:val="-2"/>
          <w:rtl/>
        </w:rPr>
        <w:t xml:space="preserve">اعتذار </w:t>
      </w:r>
      <w:r w:rsidRPr="00F150FE">
        <w:rPr>
          <w:rFonts w:hint="cs"/>
          <w:spacing w:val="-2"/>
          <w:rtl/>
        </w:rPr>
        <w:t>ال</w:t>
      </w:r>
      <w:r w:rsidRPr="00F150FE">
        <w:rPr>
          <w:spacing w:val="-2"/>
          <w:rtl/>
        </w:rPr>
        <w:t xml:space="preserve">رسمي </w:t>
      </w:r>
      <w:r w:rsidRPr="00F150FE">
        <w:rPr>
          <w:rFonts w:hint="cs"/>
          <w:spacing w:val="-2"/>
          <w:rtl/>
        </w:rPr>
        <w:t xml:space="preserve">المطلوب تقديمه </w:t>
      </w:r>
      <w:r w:rsidRPr="00F150FE">
        <w:rPr>
          <w:spacing w:val="-2"/>
          <w:rtl/>
        </w:rPr>
        <w:t>إلى صاحبة الشكوى وأسرتها، تدفع الدولة الطرف بأنه على الرغم من أن التشريع</w:t>
      </w:r>
      <w:r w:rsidRPr="00F150FE">
        <w:rPr>
          <w:rFonts w:hint="cs"/>
          <w:spacing w:val="-2"/>
          <w:rtl/>
        </w:rPr>
        <w:t>ات</w:t>
      </w:r>
      <w:r w:rsidRPr="00F150FE">
        <w:rPr>
          <w:spacing w:val="-2"/>
          <w:rtl/>
        </w:rPr>
        <w:t xml:space="preserve"> وممارسات إنفاذ القانون الحالي</w:t>
      </w:r>
      <w:r w:rsidRPr="00F150FE">
        <w:rPr>
          <w:rFonts w:hint="cs"/>
          <w:spacing w:val="-2"/>
          <w:rtl/>
        </w:rPr>
        <w:t>ة</w:t>
      </w:r>
      <w:r w:rsidRPr="00F150FE">
        <w:rPr>
          <w:spacing w:val="-2"/>
          <w:rtl/>
        </w:rPr>
        <w:t xml:space="preserve"> لا </w:t>
      </w:r>
      <w:r w:rsidRPr="00F150FE">
        <w:rPr>
          <w:rFonts w:hint="cs"/>
          <w:spacing w:val="-2"/>
          <w:rtl/>
        </w:rPr>
        <w:t xml:space="preserve">تأخذ في الاعتبار </w:t>
      </w:r>
      <w:r w:rsidRPr="00F150FE">
        <w:rPr>
          <w:spacing w:val="-2"/>
          <w:rtl/>
        </w:rPr>
        <w:t>إصدار اعتذار رسمي</w:t>
      </w:r>
      <w:r w:rsidR="00A44950" w:rsidRPr="00F150FE">
        <w:rPr>
          <w:spacing w:val="-2"/>
          <w:vertAlign w:val="superscript"/>
          <w:rtl/>
          <w:lang w:val="en-GB"/>
        </w:rPr>
        <w:t>(</w:t>
      </w:r>
      <w:r w:rsidR="00A44950" w:rsidRPr="00F150FE">
        <w:rPr>
          <w:spacing w:val="-2"/>
          <w:vertAlign w:val="superscript"/>
          <w:rtl/>
          <w:lang w:val="en-GB"/>
        </w:rPr>
        <w:footnoteReference w:id="29"/>
      </w:r>
      <w:r w:rsidR="00A44950" w:rsidRPr="00F150FE">
        <w:rPr>
          <w:spacing w:val="-2"/>
          <w:vertAlign w:val="superscript"/>
          <w:rtl/>
          <w:lang w:val="en-GB"/>
        </w:rPr>
        <w:t>)</w:t>
      </w:r>
      <w:r w:rsidRPr="00F150FE">
        <w:rPr>
          <w:spacing w:val="-2"/>
          <w:rtl/>
        </w:rPr>
        <w:t xml:space="preserve"> </w:t>
      </w:r>
      <w:r w:rsidRPr="00F150FE">
        <w:rPr>
          <w:rFonts w:hint="cs"/>
          <w:spacing w:val="-2"/>
          <w:rtl/>
        </w:rPr>
        <w:t>ل</w:t>
      </w:r>
      <w:r w:rsidRPr="00F150FE">
        <w:rPr>
          <w:spacing w:val="-2"/>
          <w:rtl/>
        </w:rPr>
        <w:t>ضحايا التعذيب، فإنها ارتأت أن سبيل الانتصاف هذا مقبول.</w:t>
      </w:r>
    </w:p>
    <w:p w:rsidR="00CC701B" w:rsidRPr="00CC701B" w:rsidRDefault="00CC701B" w:rsidP="00CC701B">
      <w:pPr>
        <w:pStyle w:val="SingleTxtGA"/>
        <w:rPr>
          <w:rtl/>
        </w:rPr>
      </w:pPr>
      <w:r w:rsidRPr="00CC701B">
        <w:rPr>
          <w:rtl/>
        </w:rPr>
        <w:t>٤-٩</w:t>
      </w:r>
      <w:r w:rsidR="00195BF0">
        <w:rPr>
          <w:rtl/>
        </w:rPr>
        <w:tab/>
      </w:r>
      <w:r w:rsidRPr="00CC701B">
        <w:rPr>
          <w:rtl/>
        </w:rPr>
        <w:t xml:space="preserve">وفيما يتعلق </w:t>
      </w:r>
      <w:r w:rsidRPr="00CC701B">
        <w:rPr>
          <w:rFonts w:hint="cs"/>
          <w:rtl/>
        </w:rPr>
        <w:t>ب</w:t>
      </w:r>
      <w:r w:rsidRPr="00CC701B">
        <w:rPr>
          <w:rtl/>
        </w:rPr>
        <w:t xml:space="preserve">قانون التقادم </w:t>
      </w:r>
      <w:r w:rsidRPr="00CC701B">
        <w:rPr>
          <w:rFonts w:hint="cs"/>
          <w:rtl/>
        </w:rPr>
        <w:t xml:space="preserve">المطبق </w:t>
      </w:r>
      <w:r w:rsidRPr="00CC701B">
        <w:rPr>
          <w:rtl/>
        </w:rPr>
        <w:t xml:space="preserve">على مطالبات التعويض </w:t>
      </w:r>
      <w:r w:rsidRPr="00CC701B">
        <w:rPr>
          <w:rFonts w:hint="cs"/>
          <w:rtl/>
        </w:rPr>
        <w:t xml:space="preserve">عن الأضرار غير المالية الناجمة </w:t>
      </w:r>
      <w:r w:rsidRPr="00CC701B">
        <w:rPr>
          <w:rtl/>
        </w:rPr>
        <w:t xml:space="preserve">عن جرائم التعذيب والعنف الجنسي </w:t>
      </w:r>
      <w:r w:rsidRPr="00CC701B">
        <w:rPr>
          <w:rFonts w:hint="cs"/>
          <w:rtl/>
        </w:rPr>
        <w:t>المتصلة ب</w:t>
      </w:r>
      <w:r w:rsidRPr="00CC701B">
        <w:rPr>
          <w:rtl/>
        </w:rPr>
        <w:t>النزاع</w:t>
      </w:r>
      <w:r w:rsidRPr="00CC701B">
        <w:rPr>
          <w:rFonts w:hint="cs"/>
          <w:rtl/>
        </w:rPr>
        <w:t>ات</w:t>
      </w:r>
      <w:r w:rsidRPr="00CC701B">
        <w:rPr>
          <w:rtl/>
        </w:rPr>
        <w:t xml:space="preserve"> المسلح</w:t>
      </w:r>
      <w:r w:rsidRPr="00CC701B">
        <w:rPr>
          <w:rFonts w:hint="cs"/>
          <w:rtl/>
        </w:rPr>
        <w:t>ة</w:t>
      </w:r>
      <w:r w:rsidRPr="00CC701B">
        <w:rPr>
          <w:rtl/>
        </w:rPr>
        <w:t>، تذكر الدولة الطرف أن سبيل الانتصاف المطلوب والهادف إلى تعديل التشريعات والممارسات القائمة سبيلٌ مقبول لأن البوسنة والهرسك لم توائم تشريعاتها بعدُ مع أحكام الاتفاقية، والاتفاقية الأوروبية المتعلقة بتعويض ضحايا جرائم العنف.</w:t>
      </w:r>
    </w:p>
    <w:p w:rsidR="00CC701B" w:rsidRPr="00CC701B" w:rsidRDefault="00CC701B" w:rsidP="00CC701B">
      <w:pPr>
        <w:pStyle w:val="SingleTxtGA"/>
        <w:rPr>
          <w:rtl/>
        </w:rPr>
      </w:pPr>
      <w:r w:rsidRPr="00CC701B">
        <w:rPr>
          <w:rtl/>
        </w:rPr>
        <w:t>٤-١٠</w:t>
      </w:r>
      <w:r w:rsidR="00195BF0">
        <w:rPr>
          <w:rtl/>
        </w:rPr>
        <w:tab/>
      </w:r>
      <w:r w:rsidRPr="00CC701B">
        <w:rPr>
          <w:rtl/>
        </w:rPr>
        <w:t xml:space="preserve">وفيما يتعلق بطلب ضمان حصول صاحبة الشكوى على تعويض حتى لو كان الجاني معوزاً، وذلك بتنفيذ مبدأ المسؤولية </w:t>
      </w:r>
      <w:r w:rsidRPr="00CC701B">
        <w:rPr>
          <w:rFonts w:hint="cs"/>
          <w:rtl/>
        </w:rPr>
        <w:t>عن عمل الغير</w:t>
      </w:r>
      <w:r w:rsidRPr="00CC701B">
        <w:rPr>
          <w:rtl/>
        </w:rPr>
        <w:t>، ارتأت الدولة الطرف أن سبيل الانتصاف مقبول لأنها ملزمة بجعل تشريعاتها متوافقة والمعايير الدولية.</w:t>
      </w:r>
    </w:p>
    <w:p w:rsidR="00CC701B" w:rsidRPr="00CC701B" w:rsidRDefault="00CC701B" w:rsidP="00195BF0">
      <w:pPr>
        <w:pStyle w:val="H23GA"/>
        <w:rPr>
          <w:rtl/>
        </w:rPr>
      </w:pPr>
      <w:r w:rsidRPr="00CC701B">
        <w:rPr>
          <w:rtl/>
        </w:rPr>
        <w:tab/>
      </w:r>
      <w:r w:rsidRPr="00CC701B">
        <w:rPr>
          <w:rtl/>
        </w:rPr>
        <w:tab/>
        <w:t>تعليقات صاحبة الشكوى على ملاحظات الدولة الطرف</w:t>
      </w:r>
    </w:p>
    <w:p w:rsidR="00CC701B" w:rsidRPr="00CC701B" w:rsidRDefault="00CC701B" w:rsidP="00CC701B">
      <w:pPr>
        <w:pStyle w:val="SingleTxtGA"/>
      </w:pPr>
      <w:r w:rsidRPr="00CC701B">
        <w:rPr>
          <w:rtl/>
        </w:rPr>
        <w:t>٥-١</w:t>
      </w:r>
      <w:r w:rsidR="00195BF0">
        <w:rPr>
          <w:rtl/>
        </w:rPr>
        <w:tab/>
      </w:r>
      <w:r w:rsidRPr="00CC701B">
        <w:rPr>
          <w:rtl/>
        </w:rPr>
        <w:t xml:space="preserve">في 21 شباط/فبراير 2019، قدمت صاحبة الشكوى تعليقاتها على ملاحظات الدولة الطرف. وتكرر في تعليقاتها هذه وقائع قضيتها وجميع حججها ومطالباتها. وتضيف أنه منذ تقديم شكواها إلى اللجنة، تدهورت حالتها الصحية والنفسية بسبب </w:t>
      </w:r>
      <w:r w:rsidRPr="00CC701B">
        <w:rPr>
          <w:rFonts w:hint="cs"/>
          <w:rtl/>
        </w:rPr>
        <w:t>ال</w:t>
      </w:r>
      <w:r w:rsidRPr="00CC701B">
        <w:rPr>
          <w:rtl/>
        </w:rPr>
        <w:t xml:space="preserve">ضغوط </w:t>
      </w:r>
      <w:r w:rsidRPr="00CC701B">
        <w:rPr>
          <w:rFonts w:hint="cs"/>
          <w:rtl/>
        </w:rPr>
        <w:t>ال</w:t>
      </w:r>
      <w:r w:rsidRPr="00CC701B">
        <w:rPr>
          <w:rtl/>
        </w:rPr>
        <w:t>إضافية</w:t>
      </w:r>
      <w:r w:rsidRPr="00CC701B">
        <w:rPr>
          <w:rFonts w:hint="cs"/>
          <w:rtl/>
        </w:rPr>
        <w:t xml:space="preserve"> </w:t>
      </w:r>
      <w:r w:rsidRPr="00CC701B">
        <w:rPr>
          <w:rtl/>
        </w:rPr>
        <w:t xml:space="preserve">المرتبطة </w:t>
      </w:r>
      <w:r w:rsidRPr="00CC701B">
        <w:rPr>
          <w:rFonts w:hint="cs"/>
          <w:rtl/>
        </w:rPr>
        <w:t>ب</w:t>
      </w:r>
      <w:r w:rsidRPr="00CC701B">
        <w:rPr>
          <w:rtl/>
        </w:rPr>
        <w:t>الإجراءات</w:t>
      </w:r>
      <w:r w:rsidR="00D90797">
        <w:rPr>
          <w:rtl/>
        </w:rPr>
        <w:t>.</w:t>
      </w:r>
    </w:p>
    <w:p w:rsidR="00CC701B" w:rsidRPr="00CC701B" w:rsidRDefault="00CC701B" w:rsidP="00CC701B">
      <w:pPr>
        <w:pStyle w:val="SingleTxtGA"/>
        <w:rPr>
          <w:rtl/>
        </w:rPr>
      </w:pPr>
      <w:r w:rsidRPr="00CC701B">
        <w:rPr>
          <w:rtl/>
        </w:rPr>
        <w:t>٥-٢</w:t>
      </w:r>
      <w:r w:rsidR="00195BF0">
        <w:rPr>
          <w:rtl/>
        </w:rPr>
        <w:tab/>
      </w:r>
      <w:r w:rsidRPr="00CC701B">
        <w:rPr>
          <w:rtl/>
        </w:rPr>
        <w:t>وقدم</w:t>
      </w:r>
      <w:r w:rsidRPr="00CC701B">
        <w:rPr>
          <w:rFonts w:hint="cs"/>
          <w:rtl/>
        </w:rPr>
        <w:t>ت</w:t>
      </w:r>
      <w:r w:rsidRPr="00CC701B">
        <w:rPr>
          <w:rtl/>
        </w:rPr>
        <w:t xml:space="preserve"> صاحبة الشكوى بعض الإيضاحات فيما يتعلق برفض الدولة الطرف الطعن في مقبولية البلاغ وأسسه الموضوعية. وذكر</w:t>
      </w:r>
      <w:r w:rsidRPr="00CC701B">
        <w:rPr>
          <w:rFonts w:hint="cs"/>
          <w:rtl/>
        </w:rPr>
        <w:t>ت</w:t>
      </w:r>
      <w:r w:rsidRPr="00CC701B">
        <w:rPr>
          <w:rtl/>
        </w:rPr>
        <w:t xml:space="preserve"> أن سحبها </w:t>
      </w:r>
      <w:r w:rsidRPr="00CC701B">
        <w:rPr>
          <w:rFonts w:hint="cs"/>
          <w:rtl/>
        </w:rPr>
        <w:t xml:space="preserve">الالتماس </w:t>
      </w:r>
      <w:r w:rsidRPr="00CC701B">
        <w:rPr>
          <w:rtl/>
        </w:rPr>
        <w:t>المتعلق ب</w:t>
      </w:r>
      <w:r w:rsidRPr="00CC701B">
        <w:rPr>
          <w:rFonts w:hint="cs"/>
          <w:rtl/>
        </w:rPr>
        <w:t>ال</w:t>
      </w:r>
      <w:r w:rsidRPr="00CC701B">
        <w:rPr>
          <w:rtl/>
        </w:rPr>
        <w:t>مطالب</w:t>
      </w:r>
      <w:r w:rsidRPr="00CC701B">
        <w:rPr>
          <w:rFonts w:hint="cs"/>
          <w:rtl/>
        </w:rPr>
        <w:t>ة</w:t>
      </w:r>
      <w:r w:rsidRPr="00CC701B">
        <w:rPr>
          <w:rtl/>
        </w:rPr>
        <w:t xml:space="preserve"> </w:t>
      </w:r>
      <w:r w:rsidRPr="00CC701B">
        <w:rPr>
          <w:rFonts w:hint="cs"/>
          <w:rtl/>
        </w:rPr>
        <w:t xml:space="preserve">الخاصة </w:t>
      </w:r>
      <w:r w:rsidRPr="00CC701B">
        <w:rPr>
          <w:rtl/>
        </w:rPr>
        <w:t>بالممتلكات</w:t>
      </w:r>
      <w:r w:rsidRPr="00CC701B">
        <w:rPr>
          <w:rtl/>
          <w:lang w:val="en-GB"/>
        </w:rPr>
        <w:t xml:space="preserve"> </w:t>
      </w:r>
      <w:r w:rsidRPr="00CC701B">
        <w:rPr>
          <w:rtl/>
        </w:rPr>
        <w:t xml:space="preserve">كان نتيجة مباشرة </w:t>
      </w:r>
      <w:r w:rsidRPr="00CC701B">
        <w:rPr>
          <w:rFonts w:hint="cs"/>
          <w:rtl/>
        </w:rPr>
        <w:t>ل</w:t>
      </w:r>
      <w:r w:rsidRPr="00CC701B">
        <w:rPr>
          <w:rtl/>
        </w:rPr>
        <w:t>إبلاغ محكمة البوسنة والهرسك إياها بأن الجاني لا يملك أي شيء على الإطلاق</w:t>
      </w:r>
      <w:r w:rsidRPr="00CC701B">
        <w:rPr>
          <w:rFonts w:hint="cs"/>
          <w:rtl/>
        </w:rPr>
        <w:t>؛</w:t>
      </w:r>
      <w:r w:rsidRPr="00CC701B">
        <w:rPr>
          <w:rtl/>
        </w:rPr>
        <w:t xml:space="preserve"> </w:t>
      </w:r>
      <w:r w:rsidRPr="00CC701B">
        <w:rPr>
          <w:rFonts w:hint="cs"/>
          <w:rtl/>
        </w:rPr>
        <w:t xml:space="preserve">مما يوضح </w:t>
      </w:r>
      <w:r w:rsidRPr="00CC701B">
        <w:rPr>
          <w:rtl/>
        </w:rPr>
        <w:t xml:space="preserve">أنه لا توجد وسيلة لضمان تنفيذ حكم المحكمة، الأمر الذي يجعل سحب </w:t>
      </w:r>
      <w:r w:rsidRPr="00CC701B">
        <w:rPr>
          <w:rFonts w:hint="cs"/>
          <w:rtl/>
        </w:rPr>
        <w:t xml:space="preserve">الالتماس </w:t>
      </w:r>
      <w:r w:rsidRPr="00CC701B">
        <w:rPr>
          <w:rtl/>
        </w:rPr>
        <w:t>الخيار الوحيد القابل للتطبيق.</w:t>
      </w:r>
    </w:p>
    <w:p w:rsidR="00CC701B" w:rsidRPr="00CC701B" w:rsidRDefault="00CC701B" w:rsidP="00CC701B">
      <w:pPr>
        <w:pStyle w:val="SingleTxtGA"/>
        <w:rPr>
          <w:rtl/>
        </w:rPr>
      </w:pPr>
      <w:r w:rsidRPr="00F150FE">
        <w:rPr>
          <w:spacing w:val="-4"/>
          <w:rtl/>
        </w:rPr>
        <w:lastRenderedPageBreak/>
        <w:t>٥-٣</w:t>
      </w:r>
      <w:r w:rsidR="00195BF0" w:rsidRPr="00F150FE">
        <w:rPr>
          <w:spacing w:val="-4"/>
          <w:rtl/>
        </w:rPr>
        <w:tab/>
      </w:r>
      <w:r w:rsidRPr="00F150FE">
        <w:rPr>
          <w:rFonts w:hint="cs"/>
          <w:spacing w:val="-4"/>
          <w:rtl/>
        </w:rPr>
        <w:t xml:space="preserve">وتذكر </w:t>
      </w:r>
      <w:r w:rsidRPr="00F150FE">
        <w:rPr>
          <w:spacing w:val="-4"/>
          <w:rtl/>
        </w:rPr>
        <w:t xml:space="preserve">صاحبة الشكوى أنها </w:t>
      </w:r>
      <w:r w:rsidRPr="00F150FE">
        <w:rPr>
          <w:rFonts w:hint="cs"/>
          <w:spacing w:val="-4"/>
          <w:rtl/>
        </w:rPr>
        <w:t xml:space="preserve">تتلقى </w:t>
      </w:r>
      <w:r w:rsidRPr="00F150FE">
        <w:rPr>
          <w:spacing w:val="-4"/>
          <w:rtl/>
        </w:rPr>
        <w:t>معاش الإعاقة بموجب قانون الحماية الاجتماعية وحماية ضحايا الحرب المدنيين والأسر التي لها أطفال؛ ومع ذلك، فمبلغ هذا المعاش ليس ٤٩٤ ٥٩</w:t>
      </w:r>
      <w:r w:rsidRPr="00CC701B">
        <w:rPr>
          <w:rtl/>
        </w:rPr>
        <w:t xml:space="preserve"> ماركا</w:t>
      </w:r>
      <w:r w:rsidR="00F150FE">
        <w:rPr>
          <w:rFonts w:hint="cs"/>
          <w:rtl/>
        </w:rPr>
        <w:t>ً</w:t>
      </w:r>
      <w:r w:rsidRPr="00CC701B">
        <w:rPr>
          <w:rtl/>
        </w:rPr>
        <w:t xml:space="preserve"> شهريا</w:t>
      </w:r>
      <w:r w:rsidRPr="00CC701B">
        <w:rPr>
          <w:rFonts w:hint="cs"/>
          <w:rtl/>
        </w:rPr>
        <w:t>ً</w:t>
      </w:r>
      <w:r w:rsidRPr="00CC701B">
        <w:rPr>
          <w:rtl/>
        </w:rPr>
        <w:t>، كما ادعت الدولة الطرف، وإنما ٦٠٠ مارك</w:t>
      </w:r>
      <w:r w:rsidRPr="00CC701B">
        <w:rPr>
          <w:rFonts w:hint="cs"/>
          <w:rtl/>
        </w:rPr>
        <w:t>ا</w:t>
      </w:r>
      <w:r w:rsidR="005B24EF">
        <w:rPr>
          <w:rFonts w:hint="cs"/>
          <w:rtl/>
        </w:rPr>
        <w:t>ً</w:t>
      </w:r>
      <w:r w:rsidRPr="00CC701B">
        <w:rPr>
          <w:rtl/>
        </w:rPr>
        <w:t xml:space="preserve">. وعلاوة على ذلك، يُعتبر هذا المعاش </w:t>
      </w:r>
      <w:r w:rsidRPr="00CC701B">
        <w:rPr>
          <w:rFonts w:hint="cs"/>
          <w:rtl/>
        </w:rPr>
        <w:t xml:space="preserve">إعانة </w:t>
      </w:r>
      <w:r w:rsidRPr="00CC701B">
        <w:rPr>
          <w:rtl/>
        </w:rPr>
        <w:t xml:space="preserve">اجتماعية، ويختلف بذلك عن التعويض الذي تستحقه صاحبة الشكوى عملاً بالحكم الصادر عن محكمة البوسنة والهرسك، والمادة ١٤(١) من الاتفاقية. </w:t>
      </w:r>
      <w:r w:rsidRPr="00CC701B">
        <w:rPr>
          <w:rFonts w:hint="cs"/>
          <w:rtl/>
        </w:rPr>
        <w:t>ف</w:t>
      </w:r>
      <w:r w:rsidRPr="00CC701B">
        <w:rPr>
          <w:rtl/>
        </w:rPr>
        <w:t>من شأن التدابير</w:t>
      </w:r>
      <w:r w:rsidRPr="00CC701B">
        <w:rPr>
          <w:rFonts w:hint="cs"/>
          <w:rtl/>
        </w:rPr>
        <w:t xml:space="preserve"> </w:t>
      </w:r>
      <w:r w:rsidRPr="00CC701B">
        <w:rPr>
          <w:rtl/>
        </w:rPr>
        <w:t>الإدارية المتعلقة برعاية ضحايا الانتهاكات الجسيمة لحقوق الإنسان أن تكمل، وليس أن تستبدل، التعويض العادل والمناسب عن الأضرار التي تلحق</w:t>
      </w:r>
      <w:r w:rsidRPr="00CC701B">
        <w:rPr>
          <w:rFonts w:hint="cs"/>
          <w:rtl/>
        </w:rPr>
        <w:t xml:space="preserve"> ب</w:t>
      </w:r>
      <w:r w:rsidRPr="00CC701B">
        <w:rPr>
          <w:rtl/>
        </w:rPr>
        <w:t>هم.</w:t>
      </w:r>
    </w:p>
    <w:p w:rsidR="00CC701B" w:rsidRPr="00CC701B" w:rsidRDefault="00CC701B" w:rsidP="00CC701B">
      <w:pPr>
        <w:pStyle w:val="SingleTxtGA"/>
        <w:rPr>
          <w:rtl/>
        </w:rPr>
      </w:pPr>
      <w:r w:rsidRPr="00CC701B">
        <w:rPr>
          <w:rtl/>
        </w:rPr>
        <w:t>٥-٤</w:t>
      </w:r>
      <w:r w:rsidR="00195BF0">
        <w:rPr>
          <w:rtl/>
        </w:rPr>
        <w:tab/>
      </w:r>
      <w:r w:rsidRPr="00CC701B">
        <w:rPr>
          <w:rtl/>
        </w:rPr>
        <w:t xml:space="preserve">وتلاحظ صاحبة الشكوى أن تعهد الدولة الطرف لا يشمل جميع تدابير </w:t>
      </w:r>
      <w:r w:rsidRPr="00CC701B">
        <w:rPr>
          <w:rFonts w:hint="cs"/>
          <w:rtl/>
        </w:rPr>
        <w:t xml:space="preserve">الجبر </w:t>
      </w:r>
      <w:r w:rsidRPr="00CC701B">
        <w:rPr>
          <w:rtl/>
        </w:rPr>
        <w:t xml:space="preserve">التي طالبت بها. </w:t>
      </w:r>
      <w:r w:rsidRPr="00CC701B">
        <w:rPr>
          <w:rFonts w:hint="cs"/>
          <w:rtl/>
        </w:rPr>
        <w:t>و</w:t>
      </w:r>
      <w:r w:rsidRPr="00CC701B">
        <w:rPr>
          <w:rtl/>
        </w:rPr>
        <w:t xml:space="preserve">كررت صاحبة الشكوى في هذا الصدد جميع مطالباتها بالانتصاف. وتضيف أن اعتماد وتنفيذ القانون المتعلق بحقوق ضحايا التعذيب ينبغي أن </w:t>
      </w:r>
      <w:r w:rsidRPr="00CC701B">
        <w:rPr>
          <w:rFonts w:hint="cs"/>
          <w:rtl/>
        </w:rPr>
        <w:t>ي</w:t>
      </w:r>
      <w:r w:rsidRPr="00CC701B">
        <w:rPr>
          <w:rtl/>
        </w:rPr>
        <w:t>عتبر</w:t>
      </w:r>
      <w:r w:rsidRPr="00CC701B">
        <w:rPr>
          <w:rFonts w:hint="cs"/>
          <w:rtl/>
        </w:rPr>
        <w:t>ا</w:t>
      </w:r>
      <w:r w:rsidRPr="00CC701B">
        <w:rPr>
          <w:rtl/>
        </w:rPr>
        <w:t xml:space="preserve"> </w:t>
      </w:r>
      <w:r w:rsidRPr="00CC701B">
        <w:rPr>
          <w:rFonts w:hint="cs"/>
          <w:rtl/>
        </w:rPr>
        <w:t xml:space="preserve">تدبيراً </w:t>
      </w:r>
      <w:r w:rsidRPr="00CC701B">
        <w:rPr>
          <w:rtl/>
        </w:rPr>
        <w:t>ضروري</w:t>
      </w:r>
      <w:r w:rsidRPr="00CC701B">
        <w:rPr>
          <w:rFonts w:hint="cs"/>
          <w:rtl/>
        </w:rPr>
        <w:t>اً إضافياً يرمي إلى</w:t>
      </w:r>
      <w:r w:rsidRPr="00CC701B">
        <w:rPr>
          <w:rtl/>
        </w:rPr>
        <w:t xml:space="preserve"> التغلب على مشكلة هيكلية وتوفير ضمانات عدم التكرار.</w:t>
      </w:r>
    </w:p>
    <w:p w:rsidR="00CC701B" w:rsidRPr="00CC701B" w:rsidRDefault="00CC701B" w:rsidP="00195BF0">
      <w:pPr>
        <w:pStyle w:val="H23GA"/>
        <w:rPr>
          <w:rtl/>
        </w:rPr>
      </w:pPr>
      <w:r w:rsidRPr="00CC701B">
        <w:rPr>
          <w:rtl/>
        </w:rPr>
        <w:tab/>
      </w:r>
      <w:r w:rsidRPr="00CC701B">
        <w:rPr>
          <w:rtl/>
        </w:rPr>
        <w:tab/>
        <w:t>المسائل والإجراءات المعروضة على اللجنة</w:t>
      </w:r>
    </w:p>
    <w:p w:rsidR="00CC701B" w:rsidRPr="00CC701B" w:rsidRDefault="00CC701B" w:rsidP="00195BF0">
      <w:pPr>
        <w:pStyle w:val="H4GA"/>
        <w:rPr>
          <w:rtl/>
        </w:rPr>
      </w:pPr>
      <w:r w:rsidRPr="00CC701B">
        <w:rPr>
          <w:rtl/>
        </w:rPr>
        <w:tab/>
      </w:r>
      <w:r w:rsidRPr="00CC701B">
        <w:rPr>
          <w:rtl/>
        </w:rPr>
        <w:tab/>
        <w:t>النظر في المقبولية</w:t>
      </w:r>
    </w:p>
    <w:p w:rsidR="00CC701B" w:rsidRPr="00F150FE" w:rsidRDefault="00CC701B" w:rsidP="00CC701B">
      <w:pPr>
        <w:pStyle w:val="SingleTxtGA"/>
        <w:rPr>
          <w:spacing w:val="-4"/>
          <w:rtl/>
        </w:rPr>
      </w:pPr>
      <w:r w:rsidRPr="00F150FE">
        <w:rPr>
          <w:spacing w:val="-4"/>
          <w:rtl/>
        </w:rPr>
        <w:t>٦-١</w:t>
      </w:r>
      <w:r w:rsidR="00195BF0" w:rsidRPr="00F150FE">
        <w:rPr>
          <w:spacing w:val="-4"/>
          <w:rtl/>
        </w:rPr>
        <w:tab/>
      </w:r>
      <w:r w:rsidRPr="00F150FE">
        <w:rPr>
          <w:spacing w:val="-4"/>
          <w:rtl/>
        </w:rPr>
        <w:t>قبل النظر في أي ادعاء يرد في بلاغ ما، يجب على اللجنة أن تقرر ما إذا كان البلاغ مقبولاً أم لا بموجب المادة 22 من الاتفاقية. وقد تأكدت اللجنة، وفق ما تقتضيه المادة 22(5)(أ) من الاتفاقية، من أن المسألة ذاتها لم تُبحث وليست قيد البحث في إطار أي إجراء آخر من إجراءات التحقيق الدولي أو التسوية الدولية.</w:t>
      </w:r>
    </w:p>
    <w:p w:rsidR="00CC701B" w:rsidRPr="00CC701B" w:rsidRDefault="00CC701B" w:rsidP="00CC701B">
      <w:pPr>
        <w:pStyle w:val="SingleTxtGA"/>
        <w:rPr>
          <w:rtl/>
        </w:rPr>
      </w:pPr>
      <w:r w:rsidRPr="00CC701B">
        <w:rPr>
          <w:rtl/>
        </w:rPr>
        <w:t>6-2</w:t>
      </w:r>
      <w:r w:rsidR="00195BF0">
        <w:rPr>
          <w:rtl/>
        </w:rPr>
        <w:tab/>
      </w:r>
      <w:r w:rsidRPr="00CC701B">
        <w:rPr>
          <w:rFonts w:hint="cs"/>
          <w:rtl/>
        </w:rPr>
        <w:t>و</w:t>
      </w:r>
      <w:r w:rsidRPr="00CC701B">
        <w:rPr>
          <w:rtl/>
        </w:rPr>
        <w:t xml:space="preserve">وفقاً للمادة 22(5)(ب) من الاتفاقية، لا تنظر </w:t>
      </w:r>
      <w:r w:rsidRPr="00CC701B">
        <w:rPr>
          <w:rFonts w:hint="cs"/>
          <w:rtl/>
        </w:rPr>
        <w:t xml:space="preserve">اللجنة </w:t>
      </w:r>
      <w:r w:rsidRPr="00CC701B">
        <w:rPr>
          <w:rtl/>
        </w:rPr>
        <w:t xml:space="preserve">في أي بلاغ مقدم من فرد من الأفراد إلا بعد أن تكون قد تأكّدت من أنه استنفد جميع سبل الانتصاف المحلية المتاحة. وتلاحظ اللجنة في هذه القضية أن الدولة الطرف لم تدفع بأن صاحبة الشكوى لم تستنفد </w:t>
      </w:r>
      <w:r w:rsidRPr="00CC701B">
        <w:rPr>
          <w:rFonts w:hint="cs"/>
          <w:rtl/>
        </w:rPr>
        <w:t xml:space="preserve">جميع </w:t>
      </w:r>
      <w:r w:rsidRPr="00CC701B">
        <w:rPr>
          <w:rtl/>
        </w:rPr>
        <w:t xml:space="preserve">سبل </w:t>
      </w:r>
      <w:r w:rsidRPr="00CC701B">
        <w:rPr>
          <w:rFonts w:hint="cs"/>
          <w:rtl/>
        </w:rPr>
        <w:t xml:space="preserve">الانتصاف </w:t>
      </w:r>
      <w:r w:rsidRPr="00CC701B">
        <w:rPr>
          <w:rtl/>
        </w:rPr>
        <w:t>المحلية المتاحة.</w:t>
      </w:r>
    </w:p>
    <w:p w:rsidR="00CC701B" w:rsidRPr="00CC701B" w:rsidRDefault="00CC701B" w:rsidP="00CC701B">
      <w:pPr>
        <w:pStyle w:val="SingleTxtGA"/>
        <w:rPr>
          <w:rtl/>
        </w:rPr>
      </w:pPr>
      <w:r w:rsidRPr="00CC701B">
        <w:rPr>
          <w:rtl/>
        </w:rPr>
        <w:t>٦-٣</w:t>
      </w:r>
      <w:r w:rsidR="00195BF0">
        <w:rPr>
          <w:rtl/>
        </w:rPr>
        <w:tab/>
      </w:r>
      <w:r w:rsidRPr="00CC701B">
        <w:rPr>
          <w:rtl/>
        </w:rPr>
        <w:t>وتلاحظ اللجنة</w:t>
      </w:r>
      <w:r w:rsidRPr="00CC701B">
        <w:rPr>
          <w:rtl/>
          <w:lang w:val="en-GB"/>
        </w:rPr>
        <w:t xml:space="preserve"> </w:t>
      </w:r>
      <w:r w:rsidRPr="00CC701B">
        <w:rPr>
          <w:rtl/>
        </w:rPr>
        <w:t xml:space="preserve">أنه على الرغم من أن الأحداث موضوع الشكوى وقعت قبل تاريخ بدء نفاذ الاتفاقية في الدولة الطرف، فقد </w:t>
      </w:r>
      <w:r w:rsidRPr="00CC701B">
        <w:rPr>
          <w:rFonts w:hint="cs"/>
          <w:rtl/>
        </w:rPr>
        <w:t xml:space="preserve">أصدر </w:t>
      </w:r>
      <w:r w:rsidRPr="00CC701B">
        <w:rPr>
          <w:rtl/>
        </w:rPr>
        <w:t xml:space="preserve">مكتب المدعي العام </w:t>
      </w:r>
      <w:r w:rsidRPr="00CC701B">
        <w:rPr>
          <w:rFonts w:hint="cs"/>
          <w:rtl/>
        </w:rPr>
        <w:t>قراره ب</w:t>
      </w:r>
      <w:r w:rsidRPr="00CC701B">
        <w:rPr>
          <w:rtl/>
        </w:rPr>
        <w:t>فتح تحقيق جنائي في ادعاءات جرائم الحرب ضد السكان المدنيين في ٥ تشرين الثاني/نوفمبر ٢٠١٤، وصدر حكم محكمة البوسنة والهرسك في ٢٩ حزيران/يونيه ٢٠١٤</w:t>
      </w:r>
      <w:r w:rsidRPr="00CC701B">
        <w:rPr>
          <w:rFonts w:hint="cs"/>
          <w:rtl/>
        </w:rPr>
        <w:t xml:space="preserve">، وهو حكم </w:t>
      </w:r>
      <w:r w:rsidRPr="00CC701B">
        <w:rPr>
          <w:rtl/>
        </w:rPr>
        <w:t xml:space="preserve">أكدته محكمة </w:t>
      </w:r>
      <w:r w:rsidRPr="00CC701B">
        <w:rPr>
          <w:rFonts w:hint="cs"/>
          <w:rtl/>
        </w:rPr>
        <w:t xml:space="preserve">الدرجة </w:t>
      </w:r>
      <w:r w:rsidRPr="00CC701B">
        <w:rPr>
          <w:rtl/>
        </w:rPr>
        <w:t xml:space="preserve">الثانية في ٢٤ تشرين الثاني/نوفمبر ٢٠١٥، أي بعد أن أصدرت الدولة الطرف الإعلان بموجب المادة ٢٢ من الاتفاقية. وبناء على ذلك، فإن </w:t>
      </w:r>
      <w:r w:rsidRPr="00CC701B">
        <w:rPr>
          <w:rFonts w:hint="cs"/>
          <w:rtl/>
        </w:rPr>
        <w:t xml:space="preserve">عدم وفاء </w:t>
      </w:r>
      <w:r w:rsidRPr="00CC701B">
        <w:rPr>
          <w:rtl/>
        </w:rPr>
        <w:t xml:space="preserve">الدولة الطرف </w:t>
      </w:r>
      <w:r w:rsidRPr="00CC701B">
        <w:rPr>
          <w:rFonts w:hint="cs"/>
          <w:rtl/>
        </w:rPr>
        <w:t xml:space="preserve">المزعوم </w:t>
      </w:r>
      <w:r w:rsidRPr="00CC701B">
        <w:rPr>
          <w:rtl/>
        </w:rPr>
        <w:t>بالتزاماتها بتوفير الانتصاف وحق قابل ل</w:t>
      </w:r>
      <w:r w:rsidRPr="00CC701B">
        <w:rPr>
          <w:rFonts w:hint="cs"/>
          <w:rtl/>
        </w:rPr>
        <w:t xml:space="preserve">لإنفاذ </w:t>
      </w:r>
      <w:r w:rsidRPr="00CC701B">
        <w:rPr>
          <w:rtl/>
        </w:rPr>
        <w:t xml:space="preserve">في تعويض عادل ومناسب لصاحبة الشكوى إنما وقع بعد اعتراف الدولة الطرف باختصاص اللجنة بموجب المادة ٢٢ من الاتفاقية. وتلاحظ اللجنة كذلك أن الدولة الطرف لا تطعن في اختصاص اللجنة </w:t>
      </w:r>
      <w:r w:rsidRPr="00CC701B">
        <w:rPr>
          <w:rFonts w:hint="cs"/>
          <w:rtl/>
        </w:rPr>
        <w:t>الزمني.</w:t>
      </w:r>
      <w:r w:rsidRPr="00CC701B">
        <w:rPr>
          <w:rtl/>
        </w:rPr>
        <w:t xml:space="preserve"> وبالنظر إلى هذه السياقات، ترى اللجنة أن </w:t>
      </w:r>
      <w:r w:rsidRPr="00CC701B">
        <w:rPr>
          <w:i/>
          <w:iCs/>
          <w:rtl/>
        </w:rPr>
        <w:t>الاختصاص الزمني</w:t>
      </w:r>
      <w:r w:rsidRPr="00CC701B">
        <w:rPr>
          <w:rtl/>
        </w:rPr>
        <w:t xml:space="preserve"> لا يمنعها من النظر في ادعاءات صاحبة الشكوى فيما يتعلق بانتهاك حقوقها بموجب المادة 14(1)، بالاقتران مع المادة 1(1) من الاتفاقية</w:t>
      </w:r>
      <w:r w:rsidR="00A44950">
        <w:rPr>
          <w:vertAlign w:val="superscript"/>
          <w:rtl/>
          <w:lang w:val="en-GB"/>
        </w:rPr>
        <w:t>(</w:t>
      </w:r>
      <w:r w:rsidR="00A44950" w:rsidRPr="00CC701B">
        <w:rPr>
          <w:vertAlign w:val="superscript"/>
          <w:rtl/>
          <w:lang w:val="en-GB"/>
        </w:rPr>
        <w:footnoteReference w:id="30"/>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lastRenderedPageBreak/>
        <w:t>٦-٤</w:t>
      </w:r>
      <w:r w:rsidR="00195BF0">
        <w:rPr>
          <w:rtl/>
        </w:rPr>
        <w:tab/>
      </w:r>
      <w:r w:rsidRPr="00CC701B">
        <w:rPr>
          <w:rtl/>
        </w:rPr>
        <w:t>وأحاطت اللجنة علما</w:t>
      </w:r>
      <w:r w:rsidRPr="00CC701B">
        <w:rPr>
          <w:rFonts w:hint="cs"/>
          <w:rtl/>
        </w:rPr>
        <w:t>ً</w:t>
      </w:r>
      <w:r w:rsidRPr="00CC701B">
        <w:rPr>
          <w:rtl/>
        </w:rPr>
        <w:t xml:space="preserve"> </w:t>
      </w:r>
      <w:r w:rsidRPr="00CC701B">
        <w:rPr>
          <w:rFonts w:hint="cs"/>
          <w:rtl/>
        </w:rPr>
        <w:t xml:space="preserve">أيضاً </w:t>
      </w:r>
      <w:r w:rsidRPr="00CC701B">
        <w:rPr>
          <w:rtl/>
        </w:rPr>
        <w:t>بحجة الدولة الطرف أن بإمكان صاحبة الشكوى إقامة دعوى مدنية بموجب قانون الالتزامات المدنية أو تقديم مطالبة</w:t>
      </w:r>
      <w:r w:rsidRPr="00CC701B">
        <w:rPr>
          <w:rFonts w:hint="cs"/>
          <w:rtl/>
        </w:rPr>
        <w:t xml:space="preserve"> جديدة خاصة</w:t>
      </w:r>
      <w:r w:rsidRPr="00CC701B">
        <w:rPr>
          <w:rtl/>
        </w:rPr>
        <w:t xml:space="preserve"> بالممتلكات لدى محكمة البوسنة والهرسك عندما تستوفي بعض الشروط.</w:t>
      </w:r>
      <w:r w:rsidRPr="00CC701B">
        <w:rPr>
          <w:rFonts w:hint="cs"/>
          <w:rtl/>
        </w:rPr>
        <w:t xml:space="preserve"> </w:t>
      </w:r>
      <w:bookmarkStart w:id="4" w:name="_Hlk31898633"/>
      <w:r w:rsidRPr="00CC701B">
        <w:rPr>
          <w:rFonts w:hint="cs"/>
          <w:rtl/>
        </w:rPr>
        <w:t>و</w:t>
      </w:r>
      <w:r w:rsidRPr="00CC701B">
        <w:rPr>
          <w:rtl/>
        </w:rPr>
        <w:t xml:space="preserve">ترى اللجنة في هذا الصدد أن عدم اعتماد الدولة الطرف </w:t>
      </w:r>
      <w:r w:rsidRPr="00CC701B">
        <w:rPr>
          <w:rFonts w:hint="cs"/>
          <w:rtl/>
        </w:rPr>
        <w:t>ل</w:t>
      </w:r>
      <w:r w:rsidRPr="00CC701B">
        <w:rPr>
          <w:rtl/>
        </w:rPr>
        <w:t xml:space="preserve">تشريعات محلية </w:t>
      </w:r>
      <w:r w:rsidRPr="00CC701B">
        <w:rPr>
          <w:rFonts w:hint="cs"/>
          <w:rtl/>
        </w:rPr>
        <w:t>و</w:t>
      </w:r>
      <w:r w:rsidRPr="00CC701B">
        <w:rPr>
          <w:rtl/>
        </w:rPr>
        <w:t xml:space="preserve">ممارسات </w:t>
      </w:r>
      <w:r w:rsidRPr="00CC701B">
        <w:rPr>
          <w:rFonts w:hint="cs"/>
          <w:rtl/>
        </w:rPr>
        <w:t>ل</w:t>
      </w:r>
      <w:r w:rsidRPr="00CC701B">
        <w:rPr>
          <w:rtl/>
        </w:rPr>
        <w:t xml:space="preserve">إنفاذ </w:t>
      </w:r>
      <w:r w:rsidRPr="00CC701B">
        <w:rPr>
          <w:rFonts w:hint="cs"/>
          <w:rtl/>
        </w:rPr>
        <w:t>ا</w:t>
      </w:r>
      <w:r w:rsidRPr="00CC701B">
        <w:rPr>
          <w:rtl/>
        </w:rPr>
        <w:t>لقانون</w:t>
      </w:r>
      <w:r w:rsidRPr="00CC701B">
        <w:rPr>
          <w:rFonts w:hint="cs"/>
          <w:rtl/>
        </w:rPr>
        <w:t xml:space="preserve"> تتسم بالملاءمة والفعالية قد جعل</w:t>
      </w:r>
      <w:bookmarkEnd w:id="4"/>
      <w:r w:rsidRPr="00CC701B">
        <w:rPr>
          <w:rFonts w:hint="cs"/>
          <w:rtl/>
        </w:rPr>
        <w:t xml:space="preserve"> </w:t>
      </w:r>
      <w:r w:rsidRPr="00CC701B">
        <w:rPr>
          <w:rtl/>
        </w:rPr>
        <w:t xml:space="preserve">تطبيق </w:t>
      </w:r>
      <w:r w:rsidRPr="00CC701B">
        <w:rPr>
          <w:rFonts w:hint="cs"/>
          <w:rtl/>
        </w:rPr>
        <w:t>سبيل انتصاف يمكن أن ي</w:t>
      </w:r>
      <w:r w:rsidRPr="00CC701B">
        <w:rPr>
          <w:rtl/>
        </w:rPr>
        <w:t>تيح –</w:t>
      </w:r>
      <w:r w:rsidRPr="00CC701B">
        <w:rPr>
          <w:rFonts w:hint="cs"/>
          <w:rtl/>
        </w:rPr>
        <w:t xml:space="preserve"> في </w:t>
      </w:r>
      <w:r w:rsidRPr="00CC701B">
        <w:rPr>
          <w:rtl/>
        </w:rPr>
        <w:t>الظروف الخاصة لهذه القضية</w:t>
      </w:r>
      <w:r w:rsidRPr="00CC701B">
        <w:rPr>
          <w:rFonts w:hint="cs"/>
          <w:rtl/>
        </w:rPr>
        <w:t xml:space="preserve"> </w:t>
      </w:r>
      <w:r w:rsidR="00F150FE">
        <w:rPr>
          <w:rFonts w:hint="cs"/>
          <w:rtl/>
        </w:rPr>
        <w:t>-</w:t>
      </w:r>
      <w:r w:rsidRPr="00CC701B">
        <w:rPr>
          <w:rFonts w:hint="cs"/>
          <w:rtl/>
        </w:rPr>
        <w:t xml:space="preserve"> تعويضاً فعالاً وكافياً </w:t>
      </w:r>
      <w:r w:rsidRPr="00CC701B">
        <w:rPr>
          <w:rtl/>
        </w:rPr>
        <w:t>لصاحبة الشكوى مسألة شبه مستحيلة.</w:t>
      </w:r>
      <w:r w:rsidRPr="00CC701B">
        <w:rPr>
          <w:rFonts w:hint="cs"/>
          <w:rtl/>
        </w:rPr>
        <w:t xml:space="preserve"> </w:t>
      </w:r>
      <w:r w:rsidRPr="00CC701B">
        <w:rPr>
          <w:rtl/>
        </w:rPr>
        <w:t>و</w:t>
      </w:r>
      <w:r w:rsidRPr="00CC701B">
        <w:rPr>
          <w:rFonts w:hint="cs"/>
          <w:rtl/>
        </w:rPr>
        <w:t xml:space="preserve">ترى كذلك أنه </w:t>
      </w:r>
      <w:r w:rsidRPr="00CC701B">
        <w:rPr>
          <w:rtl/>
        </w:rPr>
        <w:t>ينبغي</w:t>
      </w:r>
      <w:r w:rsidRPr="00CC701B">
        <w:rPr>
          <w:rFonts w:hint="cs"/>
          <w:rtl/>
        </w:rPr>
        <w:t>،</w:t>
      </w:r>
      <w:r w:rsidRPr="00CC701B">
        <w:rPr>
          <w:rtl/>
        </w:rPr>
        <w:t xml:space="preserve"> بعد استنفاد أحد سبل </w:t>
      </w:r>
      <w:r w:rsidRPr="00CC701B">
        <w:rPr>
          <w:rFonts w:hint="cs"/>
          <w:rtl/>
        </w:rPr>
        <w:t xml:space="preserve">الانتصاف </w:t>
      </w:r>
      <w:r w:rsidRPr="00CC701B">
        <w:rPr>
          <w:rtl/>
        </w:rPr>
        <w:t>دون جدوى</w:t>
      </w:r>
      <w:r w:rsidRPr="00CC701B">
        <w:rPr>
          <w:rFonts w:hint="cs"/>
          <w:rtl/>
        </w:rPr>
        <w:t>،</w:t>
      </w:r>
      <w:r w:rsidRPr="00CC701B">
        <w:rPr>
          <w:rtl/>
        </w:rPr>
        <w:t xml:space="preserve"> ألاَّ يطال</w:t>
      </w:r>
      <w:r w:rsidRPr="00CC701B">
        <w:rPr>
          <w:rFonts w:hint="cs"/>
          <w:rtl/>
        </w:rPr>
        <w:t>َ</w:t>
      </w:r>
      <w:r w:rsidRPr="00CC701B">
        <w:rPr>
          <w:rtl/>
        </w:rPr>
        <w:t>ب المرء، لأغراض الفقرة 5(ب) من المادة 22 من الاتفاقية، باستنفاد سبل قانونية بديلة كانت ستفضي أساساً إلى نفس النتيجة دون إتاحة فرص أفضل لتحقيق النجاح على أية حال</w:t>
      </w:r>
      <w:r w:rsidR="00A44950">
        <w:rPr>
          <w:vertAlign w:val="superscript"/>
          <w:rtl/>
          <w:lang w:val="en-GB"/>
        </w:rPr>
        <w:t>(</w:t>
      </w:r>
      <w:r w:rsidR="00A44950" w:rsidRPr="00CC701B">
        <w:rPr>
          <w:vertAlign w:val="superscript"/>
          <w:rtl/>
          <w:lang w:val="en-GB"/>
        </w:rPr>
        <w:footnoteReference w:id="31"/>
      </w:r>
      <w:r w:rsidR="00A44950">
        <w:rPr>
          <w:vertAlign w:val="superscript"/>
          <w:rtl/>
          <w:lang w:val="en-GB"/>
        </w:rPr>
        <w:t>)</w:t>
      </w:r>
      <w:r w:rsidRPr="00CC701B">
        <w:rPr>
          <w:rtl/>
        </w:rPr>
        <w:t xml:space="preserve">. </w:t>
      </w:r>
      <w:r w:rsidRPr="00CC701B">
        <w:rPr>
          <w:rFonts w:hint="cs"/>
          <w:rtl/>
        </w:rPr>
        <w:t xml:space="preserve">وقد خلصت اللجنة، </w:t>
      </w:r>
      <w:r w:rsidRPr="00CC701B">
        <w:rPr>
          <w:rtl/>
        </w:rPr>
        <w:t xml:space="preserve">في هذه السياقات، </w:t>
      </w:r>
      <w:r w:rsidRPr="00CC701B">
        <w:rPr>
          <w:rFonts w:hint="cs"/>
          <w:rtl/>
        </w:rPr>
        <w:t xml:space="preserve">إلى </w:t>
      </w:r>
      <w:r w:rsidRPr="00CC701B">
        <w:rPr>
          <w:rtl/>
        </w:rPr>
        <w:t xml:space="preserve">أن </w:t>
      </w:r>
      <w:r w:rsidRPr="00CC701B">
        <w:rPr>
          <w:rFonts w:hint="cs"/>
          <w:rtl/>
        </w:rPr>
        <w:t xml:space="preserve">مقتضيات </w:t>
      </w:r>
      <w:r w:rsidRPr="00CC701B">
        <w:rPr>
          <w:rtl/>
        </w:rPr>
        <w:t>المادة 22(5)(ب) من الاتفاقية لا تمنعها من النظر في البلاغ.</w:t>
      </w:r>
    </w:p>
    <w:p w:rsidR="00CC701B" w:rsidRPr="00CC701B" w:rsidRDefault="00CC701B" w:rsidP="00195BF0">
      <w:pPr>
        <w:pStyle w:val="H4GA"/>
        <w:rPr>
          <w:rtl/>
        </w:rPr>
      </w:pPr>
      <w:r w:rsidRPr="00CC701B">
        <w:rPr>
          <w:rtl/>
        </w:rPr>
        <w:tab/>
      </w:r>
      <w:r w:rsidRPr="00CC701B">
        <w:rPr>
          <w:b/>
          <w:bCs/>
          <w:rtl/>
        </w:rPr>
        <w:tab/>
      </w:r>
      <w:r w:rsidRPr="00CC701B">
        <w:rPr>
          <w:rtl/>
        </w:rPr>
        <w:t>النظر في الأسس الموضوعية</w:t>
      </w:r>
      <w:r w:rsidRPr="00CC701B">
        <w:rPr>
          <w:rtl/>
        </w:rPr>
        <w:tab/>
      </w:r>
    </w:p>
    <w:p w:rsidR="00CC701B" w:rsidRPr="00CC701B" w:rsidRDefault="00CC701B" w:rsidP="00CC701B">
      <w:pPr>
        <w:pStyle w:val="SingleTxtGA"/>
        <w:rPr>
          <w:rtl/>
        </w:rPr>
      </w:pPr>
      <w:r w:rsidRPr="00CC701B">
        <w:rPr>
          <w:rtl/>
        </w:rPr>
        <w:t>٧-١</w:t>
      </w:r>
      <w:r w:rsidR="00195BF0">
        <w:rPr>
          <w:rtl/>
        </w:rPr>
        <w:tab/>
      </w:r>
      <w:r w:rsidRPr="00CC701B">
        <w:rPr>
          <w:rtl/>
        </w:rPr>
        <w:t>نظرت اللجنة في البلاغ في ضوء جميع المعلومات التي أتاحها الطرفان لها، وفقاً للمادة</w:t>
      </w:r>
      <w:r w:rsidR="00195BF0">
        <w:rPr>
          <w:rFonts w:hint="cs"/>
          <w:rtl/>
        </w:rPr>
        <w:t> </w:t>
      </w:r>
      <w:r w:rsidRPr="00CC701B">
        <w:rPr>
          <w:rtl/>
        </w:rPr>
        <w:t>22(4) من الاتفاقية.</w:t>
      </w:r>
    </w:p>
    <w:p w:rsidR="00CC701B" w:rsidRPr="00F150FE" w:rsidRDefault="00CC701B" w:rsidP="00CC701B">
      <w:pPr>
        <w:pStyle w:val="SingleTxtGA"/>
        <w:rPr>
          <w:spacing w:val="-2"/>
          <w:rtl/>
        </w:rPr>
      </w:pPr>
      <w:r w:rsidRPr="00F150FE">
        <w:rPr>
          <w:spacing w:val="-2"/>
          <w:rtl/>
        </w:rPr>
        <w:t>٧-٢</w:t>
      </w:r>
      <w:r w:rsidR="00195BF0" w:rsidRPr="00F150FE">
        <w:rPr>
          <w:spacing w:val="-2"/>
          <w:rtl/>
        </w:rPr>
        <w:tab/>
      </w:r>
      <w:r w:rsidRPr="00F150FE">
        <w:rPr>
          <w:spacing w:val="-2"/>
          <w:rtl/>
        </w:rPr>
        <w:t>وتلاحظ اللجنة أن صاحبة الشكوى تدعي انتهاك الماد</w:t>
      </w:r>
      <w:r w:rsidRPr="00F150FE">
        <w:rPr>
          <w:rFonts w:hint="cs"/>
          <w:spacing w:val="-2"/>
          <w:rtl/>
        </w:rPr>
        <w:t>ة</w:t>
      </w:r>
      <w:r w:rsidRPr="00F150FE">
        <w:rPr>
          <w:spacing w:val="-2"/>
          <w:rtl/>
        </w:rPr>
        <w:t xml:space="preserve"> ١٤(١) بالاقتران مع المادة</w:t>
      </w:r>
      <w:r w:rsidR="00685640" w:rsidRPr="00F150FE">
        <w:rPr>
          <w:rFonts w:hint="cs"/>
          <w:spacing w:val="-2"/>
          <w:rtl/>
        </w:rPr>
        <w:t> </w:t>
      </w:r>
      <w:r w:rsidRPr="00F150FE">
        <w:rPr>
          <w:spacing w:val="-2"/>
          <w:rtl/>
        </w:rPr>
        <w:t xml:space="preserve">١(١) من الاتفاقية على أساس أن الدولة الطرف لم تف </w:t>
      </w:r>
      <w:bookmarkStart w:id="5" w:name="_Hlk31901792"/>
      <w:r w:rsidRPr="00F150FE">
        <w:rPr>
          <w:spacing w:val="-2"/>
          <w:rtl/>
        </w:rPr>
        <w:t xml:space="preserve">بواجبها </w:t>
      </w:r>
      <w:bookmarkEnd w:id="5"/>
      <w:r w:rsidRPr="00F150FE">
        <w:rPr>
          <w:rFonts w:hint="cs"/>
          <w:spacing w:val="-2"/>
          <w:rtl/>
        </w:rPr>
        <w:t>ب</w:t>
      </w:r>
      <w:r w:rsidRPr="00F150FE">
        <w:rPr>
          <w:spacing w:val="-2"/>
          <w:rtl/>
        </w:rPr>
        <w:t>ضمان أن يُمك</w:t>
      </w:r>
      <w:r w:rsidRPr="00F150FE">
        <w:rPr>
          <w:rFonts w:hint="cs"/>
          <w:spacing w:val="-2"/>
          <w:rtl/>
        </w:rPr>
        <w:t>ِّ</w:t>
      </w:r>
      <w:r w:rsidRPr="00F150FE">
        <w:rPr>
          <w:spacing w:val="-2"/>
          <w:rtl/>
        </w:rPr>
        <w:t xml:space="preserve">ن نظامها القانوني ضحايا أفعال التعذيب من الحصول على </w:t>
      </w:r>
      <w:r w:rsidRPr="00F150FE">
        <w:rPr>
          <w:rFonts w:hint="cs"/>
          <w:spacing w:val="-2"/>
          <w:rtl/>
        </w:rPr>
        <w:t>الانتصاف</w:t>
      </w:r>
      <w:r w:rsidRPr="00F150FE">
        <w:rPr>
          <w:spacing w:val="-2"/>
          <w:rtl/>
        </w:rPr>
        <w:t xml:space="preserve"> </w:t>
      </w:r>
      <w:r w:rsidRPr="00F150FE">
        <w:rPr>
          <w:rFonts w:hint="cs"/>
          <w:spacing w:val="-2"/>
          <w:rtl/>
        </w:rPr>
        <w:t xml:space="preserve">وعلى </w:t>
      </w:r>
      <w:r w:rsidRPr="00F150FE">
        <w:rPr>
          <w:spacing w:val="-2"/>
          <w:rtl/>
        </w:rPr>
        <w:t xml:space="preserve">حق قابل للإنفاذ في تعويض عادل ومناسب، بما في ذلك وسائل </w:t>
      </w:r>
      <w:r w:rsidRPr="00F150FE">
        <w:rPr>
          <w:rFonts w:hint="cs"/>
          <w:spacing w:val="-2"/>
          <w:rtl/>
        </w:rPr>
        <w:t>إ</w:t>
      </w:r>
      <w:r w:rsidRPr="00F150FE">
        <w:rPr>
          <w:spacing w:val="-2"/>
          <w:rtl/>
        </w:rPr>
        <w:t xml:space="preserve">عادة </w:t>
      </w:r>
      <w:r w:rsidRPr="00F150FE">
        <w:rPr>
          <w:rFonts w:hint="cs"/>
          <w:spacing w:val="-2"/>
          <w:rtl/>
        </w:rPr>
        <w:t>ال</w:t>
      </w:r>
      <w:r w:rsidRPr="00F150FE">
        <w:rPr>
          <w:spacing w:val="-2"/>
          <w:rtl/>
        </w:rPr>
        <w:t>تأهيل على أكمل وجه ممكن</w:t>
      </w:r>
      <w:r w:rsidR="00A44950" w:rsidRPr="00F150FE">
        <w:rPr>
          <w:spacing w:val="-2"/>
          <w:vertAlign w:val="superscript"/>
          <w:rtl/>
          <w:lang w:val="en-GB"/>
        </w:rPr>
        <w:t>(</w:t>
      </w:r>
      <w:r w:rsidR="00A44950" w:rsidRPr="00F150FE">
        <w:rPr>
          <w:spacing w:val="-2"/>
          <w:vertAlign w:val="superscript"/>
          <w:rtl/>
          <w:lang w:val="en-GB"/>
        </w:rPr>
        <w:footnoteReference w:id="32"/>
      </w:r>
      <w:r w:rsidR="00A44950" w:rsidRPr="00F150FE">
        <w:rPr>
          <w:spacing w:val="-2"/>
          <w:vertAlign w:val="superscript"/>
          <w:rtl/>
          <w:lang w:val="en-GB"/>
        </w:rPr>
        <w:t>)</w:t>
      </w:r>
      <w:r w:rsidRPr="00F150FE">
        <w:rPr>
          <w:spacing w:val="-2"/>
          <w:rtl/>
        </w:rPr>
        <w:t>. وتنطبق هذه الأحكام بقدر ما تُعتبر الأفعال التي تعرضت لها صاحبة الشكوى أفعالَ تعذيب بالمعنى المقصود في المادة ١ من الاتفاقية</w:t>
      </w:r>
      <w:r w:rsidR="00A44950" w:rsidRPr="00F150FE">
        <w:rPr>
          <w:spacing w:val="-2"/>
          <w:vertAlign w:val="superscript"/>
          <w:rtl/>
          <w:lang w:val="en-GB"/>
        </w:rPr>
        <w:t>(</w:t>
      </w:r>
      <w:r w:rsidR="00A44950" w:rsidRPr="00F150FE">
        <w:rPr>
          <w:spacing w:val="-2"/>
          <w:vertAlign w:val="superscript"/>
          <w:rtl/>
          <w:lang w:val="en-GB"/>
        </w:rPr>
        <w:footnoteReference w:id="33"/>
      </w:r>
      <w:r w:rsidR="00A44950" w:rsidRPr="00F150FE">
        <w:rPr>
          <w:spacing w:val="-2"/>
          <w:vertAlign w:val="superscript"/>
          <w:rtl/>
          <w:lang w:val="en-GB"/>
        </w:rPr>
        <w:t>)</w:t>
      </w:r>
      <w:r w:rsidRPr="00F150FE">
        <w:rPr>
          <w:spacing w:val="-2"/>
          <w:rtl/>
        </w:rPr>
        <w:t xml:space="preserve">. </w:t>
      </w:r>
      <w:bookmarkStart w:id="6" w:name="_Hlk31902185"/>
      <w:r w:rsidRPr="00F150FE">
        <w:rPr>
          <w:spacing w:val="-2"/>
          <w:rtl/>
        </w:rPr>
        <w:t xml:space="preserve">وفي هذا الصدد، تشير اللجنة إلى </w:t>
      </w:r>
      <w:r w:rsidRPr="00F150FE">
        <w:rPr>
          <w:rFonts w:hint="cs"/>
          <w:spacing w:val="-2"/>
          <w:rtl/>
        </w:rPr>
        <w:t xml:space="preserve">قرار </w:t>
      </w:r>
      <w:r w:rsidRPr="00F150FE">
        <w:rPr>
          <w:spacing w:val="-2"/>
          <w:rtl/>
        </w:rPr>
        <w:t xml:space="preserve">محكمة البوسنة والهرسك </w:t>
      </w:r>
      <w:r w:rsidRPr="00F150FE">
        <w:rPr>
          <w:rFonts w:hint="cs"/>
          <w:spacing w:val="-2"/>
          <w:rtl/>
        </w:rPr>
        <w:t xml:space="preserve">الذي </w:t>
      </w:r>
      <w:r w:rsidRPr="00F150FE">
        <w:rPr>
          <w:spacing w:val="-2"/>
          <w:rtl/>
        </w:rPr>
        <w:t xml:space="preserve">خلص إلى أن صاحبة البلاغ كانت ضحية اغتصاب، </w:t>
      </w:r>
      <w:r w:rsidRPr="00F150FE">
        <w:rPr>
          <w:rFonts w:hint="cs"/>
          <w:spacing w:val="-2"/>
          <w:rtl/>
        </w:rPr>
        <w:t xml:space="preserve">باعتباره جريمة </w:t>
      </w:r>
      <w:r w:rsidRPr="00F150FE">
        <w:rPr>
          <w:spacing w:val="-2"/>
          <w:rtl/>
        </w:rPr>
        <w:t>حرب ارتُكبت ضد السكان المدنيين إبان الصراع المسلح</w:t>
      </w:r>
      <w:bookmarkEnd w:id="6"/>
      <w:r w:rsidRPr="00F150FE">
        <w:rPr>
          <w:spacing w:val="-2"/>
          <w:rtl/>
        </w:rPr>
        <w:t xml:space="preserve">. وتلاحظ اللجنة أن الدولة الطرف لم تطعن في هذه الادعاءات. </w:t>
      </w:r>
    </w:p>
    <w:p w:rsidR="00CC701B" w:rsidRPr="00CC701B" w:rsidRDefault="00CC701B" w:rsidP="00CC701B">
      <w:pPr>
        <w:pStyle w:val="SingleTxtGA"/>
        <w:rPr>
          <w:rtl/>
        </w:rPr>
      </w:pPr>
      <w:r w:rsidRPr="00CC701B">
        <w:rPr>
          <w:rtl/>
        </w:rPr>
        <w:t>٧-٣</w:t>
      </w:r>
      <w:r w:rsidR="00195BF0">
        <w:rPr>
          <w:rtl/>
        </w:rPr>
        <w:tab/>
      </w:r>
      <w:r w:rsidRPr="00CC701B">
        <w:rPr>
          <w:rtl/>
        </w:rPr>
        <w:t>وتلاحظ اللجنة أنه خلال الفترة ١٩٩٢</w:t>
      </w:r>
      <w:r w:rsidRPr="00CC701B">
        <w:rPr>
          <w:rFonts w:hint="cs"/>
          <w:rtl/>
        </w:rPr>
        <w:t>-</w:t>
      </w:r>
      <w:r w:rsidRPr="00CC701B">
        <w:rPr>
          <w:rtl/>
        </w:rPr>
        <w:t>١٩٩٥، كانت صاحبة الشكوى ت</w:t>
      </w:r>
      <w:r w:rsidRPr="00CC701B">
        <w:rPr>
          <w:rFonts w:hint="cs"/>
          <w:rtl/>
        </w:rPr>
        <w:t>قطن</w:t>
      </w:r>
      <w:r w:rsidRPr="00CC701B">
        <w:rPr>
          <w:rtl/>
        </w:rPr>
        <w:t xml:space="preserve"> في إقليم يخضع لسيطرة جيش جمهورية </w:t>
      </w:r>
      <w:proofErr w:type="spellStart"/>
      <w:r w:rsidRPr="00CC701B">
        <w:rPr>
          <w:rtl/>
        </w:rPr>
        <w:t>صربسكا</w:t>
      </w:r>
      <w:proofErr w:type="spellEnd"/>
      <w:r w:rsidRPr="00CC701B">
        <w:rPr>
          <w:rtl/>
        </w:rPr>
        <w:t>، وأن الأقليات العرقية تعرضت خلال الحرب الأهلية للتهديد والقتل والاغتصاب والاحتجاز التعسفي</w:t>
      </w:r>
      <w:r w:rsidR="00A44950">
        <w:rPr>
          <w:vertAlign w:val="superscript"/>
          <w:rtl/>
          <w:lang w:val="en-GB"/>
        </w:rPr>
        <w:t>(</w:t>
      </w:r>
      <w:r w:rsidR="00A44950" w:rsidRPr="00CC701B">
        <w:rPr>
          <w:vertAlign w:val="superscript"/>
          <w:rtl/>
          <w:lang w:val="en-GB"/>
        </w:rPr>
        <w:footnoteReference w:id="34"/>
      </w:r>
      <w:r w:rsidR="00A44950">
        <w:rPr>
          <w:vertAlign w:val="superscript"/>
          <w:rtl/>
          <w:lang w:val="en-GB"/>
        </w:rPr>
        <w:t>)</w:t>
      </w:r>
      <w:r w:rsidRPr="00CC701B">
        <w:rPr>
          <w:rtl/>
        </w:rPr>
        <w:t xml:space="preserve">. وتحيط اللجنة علماً بادعاء صاحبة الشكوى </w:t>
      </w:r>
      <w:r w:rsidRPr="00CC701B">
        <w:rPr>
          <w:rFonts w:hint="cs"/>
          <w:rtl/>
        </w:rPr>
        <w:t xml:space="preserve">أنها - </w:t>
      </w:r>
      <w:r w:rsidRPr="00CC701B">
        <w:rPr>
          <w:rtl/>
        </w:rPr>
        <w:t xml:space="preserve">في أيار/مايو وحزيران/يونيه ١٩٩٣ </w:t>
      </w:r>
      <w:r w:rsidRPr="00CC701B">
        <w:rPr>
          <w:rFonts w:hint="cs"/>
          <w:rtl/>
        </w:rPr>
        <w:t xml:space="preserve">- </w:t>
      </w:r>
      <w:r w:rsidRPr="00CC701B">
        <w:rPr>
          <w:rtl/>
        </w:rPr>
        <w:t xml:space="preserve">أُخذت قسراً من منزلها تحت تهديد السلاح </w:t>
      </w:r>
      <w:r w:rsidRPr="00CC701B">
        <w:rPr>
          <w:rFonts w:hint="cs"/>
          <w:rtl/>
        </w:rPr>
        <w:t>واغتُصبت على يد أحد</w:t>
      </w:r>
      <w:r w:rsidRPr="00CC701B">
        <w:rPr>
          <w:rtl/>
        </w:rPr>
        <w:t xml:space="preserve"> أعضاء جيش جمهورية </w:t>
      </w:r>
      <w:proofErr w:type="spellStart"/>
      <w:r w:rsidRPr="00CC701B">
        <w:rPr>
          <w:rtl/>
        </w:rPr>
        <w:t>صربسك</w:t>
      </w:r>
      <w:r w:rsidRPr="00CC701B">
        <w:rPr>
          <w:rFonts w:hint="cs"/>
          <w:rtl/>
        </w:rPr>
        <w:t>ا</w:t>
      </w:r>
      <w:proofErr w:type="spellEnd"/>
      <w:r w:rsidRPr="00CC701B">
        <w:rPr>
          <w:rFonts w:hint="cs"/>
          <w:rtl/>
        </w:rPr>
        <w:t>،</w:t>
      </w:r>
      <w:r w:rsidRPr="00CC701B">
        <w:rPr>
          <w:rtl/>
        </w:rPr>
        <w:t xml:space="preserve"> الأمر الذي أفضى إلى حملها</w:t>
      </w:r>
      <w:r w:rsidRPr="00CC701B">
        <w:rPr>
          <w:rFonts w:hint="cs"/>
          <w:rtl/>
        </w:rPr>
        <w:t xml:space="preserve">، ثم </w:t>
      </w:r>
      <w:r w:rsidRPr="00CC701B">
        <w:rPr>
          <w:rtl/>
        </w:rPr>
        <w:t>إجهاضها. وتلاحظ اللجنة أن الاغتصاب وغيره من أعمال العنف الجنسي وسوء المعاملة التي تعرضت لها صاحبة الشكوى سبب لها معاناة وآلاماً بدنية ونفسية شديد</w:t>
      </w:r>
      <w:r w:rsidRPr="00CC701B">
        <w:rPr>
          <w:rFonts w:hint="cs"/>
          <w:rtl/>
        </w:rPr>
        <w:t>ة</w:t>
      </w:r>
      <w:r w:rsidRPr="00CC701B">
        <w:rPr>
          <w:rtl/>
        </w:rPr>
        <w:t xml:space="preserve">، وأن </w:t>
      </w:r>
      <w:r w:rsidRPr="00CC701B">
        <w:rPr>
          <w:rFonts w:hint="cs"/>
          <w:rtl/>
        </w:rPr>
        <w:t xml:space="preserve">ذلك </w:t>
      </w:r>
      <w:r w:rsidRPr="00CC701B">
        <w:rPr>
          <w:rtl/>
        </w:rPr>
        <w:t xml:space="preserve">ارتُكب </w:t>
      </w:r>
      <w:r w:rsidRPr="00CC701B">
        <w:rPr>
          <w:rtl/>
        </w:rPr>
        <w:lastRenderedPageBreak/>
        <w:t>عمداً إبان النزاع المسلح في الدولة الطرف بغرض معاقبتها وتخويفها وإذلالها وإهانتها، وهو ما</w:t>
      </w:r>
      <w:r w:rsidR="00F150FE">
        <w:rPr>
          <w:rFonts w:hint="cs"/>
          <w:rtl/>
        </w:rPr>
        <w:t> </w:t>
      </w:r>
      <w:r w:rsidRPr="00CC701B">
        <w:rPr>
          <w:rtl/>
        </w:rPr>
        <w:t xml:space="preserve">يمثل شكلاً من أشكال </w:t>
      </w:r>
      <w:proofErr w:type="gramStart"/>
      <w:r w:rsidRPr="00CC701B">
        <w:rPr>
          <w:rtl/>
        </w:rPr>
        <w:t>التمييز</w:t>
      </w:r>
      <w:r w:rsidR="00A44950">
        <w:rPr>
          <w:vertAlign w:val="superscript"/>
          <w:rtl/>
          <w:lang w:val="en-GB"/>
        </w:rPr>
        <w:t>(</w:t>
      </w:r>
      <w:proofErr w:type="gramEnd"/>
      <w:r w:rsidR="00A44950" w:rsidRPr="00CC701B">
        <w:rPr>
          <w:vertAlign w:val="superscript"/>
          <w:rtl/>
          <w:lang w:val="en-GB"/>
        </w:rPr>
        <w:footnoteReference w:id="35"/>
      </w:r>
      <w:r w:rsidR="00A44950">
        <w:rPr>
          <w:vertAlign w:val="superscript"/>
          <w:rtl/>
          <w:lang w:val="en-GB"/>
        </w:rPr>
        <w:t>)</w:t>
      </w:r>
      <w:r w:rsidRPr="00CC701B">
        <w:rPr>
          <w:rtl/>
        </w:rPr>
        <w:t xml:space="preserve"> على أساس نوع الجنس</w:t>
      </w:r>
      <w:r w:rsidR="00A44950">
        <w:rPr>
          <w:vertAlign w:val="superscript"/>
          <w:rtl/>
          <w:lang w:val="en-GB"/>
        </w:rPr>
        <w:t>(</w:t>
      </w:r>
      <w:r w:rsidR="00A44950" w:rsidRPr="00CC701B">
        <w:rPr>
          <w:vertAlign w:val="superscript"/>
          <w:rtl/>
          <w:lang w:val="en-GB"/>
        </w:rPr>
        <w:footnoteReference w:id="36"/>
      </w:r>
      <w:r w:rsidR="00A44950">
        <w:rPr>
          <w:vertAlign w:val="superscript"/>
          <w:rtl/>
          <w:lang w:val="en-GB"/>
        </w:rPr>
        <w:t>)</w:t>
      </w:r>
      <w:r w:rsidRPr="00CC701B">
        <w:rPr>
          <w:rtl/>
        </w:rPr>
        <w:t xml:space="preserve"> والعرق. وتلاحظ اللجنة أنه في ضوء الوصف المفصل والمتسق للاغتصاب الذي قدمته صاحبة الشكوى وأكده حكم محكمة البوسنة والهرسك الصادر في ٢٨ حزيران/يونيه ٢٠١٥، ويتوافق والنمط العام للعنف الجنسي، لا</w:t>
      </w:r>
      <w:r w:rsidR="00DF41B5">
        <w:rPr>
          <w:rFonts w:hint="cs"/>
          <w:rtl/>
        </w:rPr>
        <w:t> </w:t>
      </w:r>
      <w:r w:rsidRPr="00CC701B">
        <w:rPr>
          <w:rtl/>
        </w:rPr>
        <w:t>سيما اغتصاب النساء، المرتكب إبان النزاع المسلح الداخلي على النحو الموثق في مختلف التقارير الحكومية الدولية وغير الحكومية</w:t>
      </w:r>
      <w:r w:rsidR="00A44950">
        <w:rPr>
          <w:vertAlign w:val="superscript"/>
          <w:rtl/>
          <w:lang w:val="en-GB"/>
        </w:rPr>
        <w:t>(</w:t>
      </w:r>
      <w:r w:rsidR="00A44950" w:rsidRPr="00CC701B">
        <w:rPr>
          <w:vertAlign w:val="superscript"/>
          <w:rtl/>
          <w:lang w:val="en-GB"/>
        </w:rPr>
        <w:footnoteReference w:id="37"/>
      </w:r>
      <w:r w:rsidR="00A44950">
        <w:rPr>
          <w:vertAlign w:val="superscript"/>
          <w:rtl/>
          <w:lang w:val="en-GB"/>
        </w:rPr>
        <w:t>)</w:t>
      </w:r>
      <w:r w:rsidRPr="00CC701B">
        <w:rPr>
          <w:rtl/>
        </w:rPr>
        <w:t xml:space="preserve">، </w:t>
      </w:r>
      <w:r w:rsidRPr="00CC701B">
        <w:rPr>
          <w:rFonts w:hint="cs"/>
          <w:rtl/>
        </w:rPr>
        <w:t xml:space="preserve">فإنه يتعين </w:t>
      </w:r>
      <w:r w:rsidRPr="00CC701B">
        <w:rPr>
          <w:rtl/>
        </w:rPr>
        <w:t>إيلاء الاعتبار الواجب لادعاءات صاحبة الشكوى. وتخلص اللجنة إلى أن الوقائع كما قُدمت تشكل تعذيباً بالمعنى المقصود في المادة ١ من الاتفاقية.</w:t>
      </w:r>
    </w:p>
    <w:p w:rsidR="00CC701B" w:rsidRPr="00CC701B" w:rsidRDefault="00CC701B" w:rsidP="00CC701B">
      <w:pPr>
        <w:pStyle w:val="SingleTxtGA"/>
        <w:rPr>
          <w:rtl/>
        </w:rPr>
      </w:pPr>
      <w:r w:rsidRPr="00CC701B">
        <w:rPr>
          <w:rtl/>
        </w:rPr>
        <w:t>٧-٤</w:t>
      </w:r>
      <w:r w:rsidR="00195BF0">
        <w:rPr>
          <w:rtl/>
        </w:rPr>
        <w:tab/>
      </w:r>
      <w:r w:rsidRPr="00CC701B">
        <w:rPr>
          <w:rtl/>
        </w:rPr>
        <w:t>وتلاحظ اللجنة ما ذكرته صاحبة الشكوى أن</w:t>
      </w:r>
      <w:r w:rsidRPr="00CC701B">
        <w:rPr>
          <w:rFonts w:hint="cs"/>
          <w:rtl/>
        </w:rPr>
        <w:t>ه بما أن</w:t>
      </w:r>
      <w:r w:rsidRPr="00CC701B">
        <w:rPr>
          <w:rtl/>
        </w:rPr>
        <w:t xml:space="preserve"> الاغتصاب وأعمال العنف الجنسي وسوء المعاملة التي تعرضت لها مرتين في عام ١٩٩٣ </w:t>
      </w:r>
      <w:r w:rsidRPr="00CC701B">
        <w:rPr>
          <w:rFonts w:hint="cs"/>
          <w:rtl/>
        </w:rPr>
        <w:t xml:space="preserve">هي بمثابة </w:t>
      </w:r>
      <w:r w:rsidRPr="00CC701B">
        <w:rPr>
          <w:rtl/>
        </w:rPr>
        <w:t>تعذيب</w:t>
      </w:r>
      <w:r w:rsidRPr="00CC701B">
        <w:rPr>
          <w:rFonts w:hint="cs"/>
          <w:rtl/>
        </w:rPr>
        <w:t>،</w:t>
      </w:r>
      <w:r w:rsidRPr="00CC701B">
        <w:rPr>
          <w:rtl/>
        </w:rPr>
        <w:t xml:space="preserve"> </w:t>
      </w:r>
      <w:r w:rsidRPr="00CC701B">
        <w:rPr>
          <w:rFonts w:hint="cs"/>
          <w:rtl/>
        </w:rPr>
        <w:t>وفقاً ل</w:t>
      </w:r>
      <w:r w:rsidRPr="00CC701B">
        <w:rPr>
          <w:rtl/>
        </w:rPr>
        <w:t>لمادة</w:t>
      </w:r>
      <w:r w:rsidR="00685640">
        <w:rPr>
          <w:rFonts w:hint="cs"/>
          <w:rtl/>
        </w:rPr>
        <w:t> </w:t>
      </w:r>
      <w:r w:rsidRPr="00CC701B">
        <w:rPr>
          <w:rtl/>
        </w:rPr>
        <w:t xml:space="preserve">١(١) من الاتفاقية، </w:t>
      </w:r>
      <w:r w:rsidRPr="00CC701B">
        <w:rPr>
          <w:rFonts w:hint="cs"/>
          <w:rtl/>
        </w:rPr>
        <w:t xml:space="preserve">فإن </w:t>
      </w:r>
      <w:r w:rsidRPr="00CC701B">
        <w:rPr>
          <w:rtl/>
        </w:rPr>
        <w:t>الدولة الطرف ملزمة، في جملة أمور، بتقديم تعويض مناسب وانتصاف كامل إليها</w:t>
      </w:r>
      <w:r w:rsidRPr="00CC701B">
        <w:rPr>
          <w:rFonts w:hint="cs"/>
          <w:rtl/>
        </w:rPr>
        <w:t>،</w:t>
      </w:r>
      <w:r w:rsidRPr="00CC701B">
        <w:rPr>
          <w:rtl/>
        </w:rPr>
        <w:t xml:space="preserve"> عملاً بالمادة ١٤(١) من الاتفاقية. وتلاحظ اللجنة أن الدولة الطرف لم</w:t>
      </w:r>
      <w:r w:rsidR="00F150FE">
        <w:rPr>
          <w:rFonts w:hint="cs"/>
          <w:rtl/>
        </w:rPr>
        <w:t> </w:t>
      </w:r>
      <w:r w:rsidRPr="00CC701B">
        <w:rPr>
          <w:rtl/>
        </w:rPr>
        <w:t xml:space="preserve">تطعن في هذه الادعاءات. </w:t>
      </w:r>
    </w:p>
    <w:p w:rsidR="00CC701B" w:rsidRPr="00CC701B" w:rsidRDefault="00CC701B" w:rsidP="00CC701B">
      <w:pPr>
        <w:pStyle w:val="SingleTxtGA"/>
        <w:rPr>
          <w:rtl/>
        </w:rPr>
      </w:pPr>
      <w:r w:rsidRPr="00CC701B">
        <w:rPr>
          <w:rtl/>
        </w:rPr>
        <w:t>٧-٥</w:t>
      </w:r>
      <w:r w:rsidR="00195BF0">
        <w:rPr>
          <w:rtl/>
        </w:rPr>
        <w:tab/>
      </w:r>
      <w:r w:rsidRPr="00CC701B">
        <w:rPr>
          <w:rtl/>
        </w:rPr>
        <w:t xml:space="preserve">وفيما يتعلق بالانتهاك المزعوم للمادة ١٤(١) من الاتفاقية، تلاحظ اللجنة ادعاءات صاحبة الشكوى بأن الدولة الطرف حرمتها حقها في الحصول على تعويض عادل ومناسب </w:t>
      </w:r>
      <w:r w:rsidRPr="00CC701B">
        <w:rPr>
          <w:rFonts w:hint="cs"/>
          <w:rtl/>
        </w:rPr>
        <w:t xml:space="preserve">بعدم ضمان تعويضها، </w:t>
      </w:r>
      <w:r w:rsidRPr="00CC701B">
        <w:rPr>
          <w:rtl/>
        </w:rPr>
        <w:t xml:space="preserve">لأنها لم تعتمد تشريعات ملائمة ولم تطور ممارسة لتنفيذ القانون تضمن حصول ضحايا التعذيب على </w:t>
      </w:r>
      <w:r w:rsidRPr="00CC701B">
        <w:rPr>
          <w:rFonts w:hint="cs"/>
          <w:rtl/>
        </w:rPr>
        <w:t>الانتصاف</w:t>
      </w:r>
      <w:r w:rsidRPr="00CC701B">
        <w:rPr>
          <w:rtl/>
        </w:rPr>
        <w:t xml:space="preserve"> </w:t>
      </w:r>
      <w:r w:rsidRPr="00CC701B">
        <w:rPr>
          <w:rFonts w:hint="cs"/>
          <w:rtl/>
        </w:rPr>
        <w:t xml:space="preserve">وإنفاذ </w:t>
      </w:r>
      <w:r w:rsidRPr="00CC701B">
        <w:rPr>
          <w:rtl/>
        </w:rPr>
        <w:t>حقهم في التعويض. وتذكِّر اللجنة بأن المادة</w:t>
      </w:r>
      <w:r w:rsidR="00685640">
        <w:rPr>
          <w:rFonts w:hint="cs"/>
          <w:rtl/>
        </w:rPr>
        <w:t> </w:t>
      </w:r>
      <w:r w:rsidRPr="00CC701B">
        <w:rPr>
          <w:rtl/>
        </w:rPr>
        <w:t xml:space="preserve">14 من الاتفاقية لا تعترف بالحق في منح تعويض عادل ومناسب فحسب، بل تلزم الدول الأطراف أيضاً بضمان حصول ضحايا أعمال التعذيب على الانتصاف. وتذكِّر اللجنة </w:t>
      </w:r>
      <w:r w:rsidRPr="00CC701B">
        <w:rPr>
          <w:rFonts w:hint="cs"/>
          <w:rtl/>
        </w:rPr>
        <w:t>ب</w:t>
      </w:r>
      <w:r w:rsidRPr="00CC701B">
        <w:rPr>
          <w:rtl/>
        </w:rPr>
        <w:t xml:space="preserve">أن لالتزام الدول الأطراف بتوفير </w:t>
      </w:r>
      <w:r w:rsidRPr="00CC701B">
        <w:rPr>
          <w:rFonts w:hint="cs"/>
          <w:rtl/>
        </w:rPr>
        <w:t xml:space="preserve">الانتصاف </w:t>
      </w:r>
      <w:r w:rsidRPr="00CC701B">
        <w:rPr>
          <w:rtl/>
        </w:rPr>
        <w:t>بموجب المادة ١٤ من الاتفاقية وجه</w:t>
      </w:r>
      <w:r w:rsidRPr="00CC701B">
        <w:rPr>
          <w:rFonts w:hint="cs"/>
          <w:rtl/>
        </w:rPr>
        <w:t>ي</w:t>
      </w:r>
      <w:r w:rsidRPr="00CC701B">
        <w:rPr>
          <w:rtl/>
        </w:rPr>
        <w:t>ن: وجه إجرائي وآخر موضوعي. ولكي تفي الدول الأطراف بالتزاماتها الإجرائية، عليها أن تسن تشريعات وأن تنشئ آليات لتقديم الشكاوى، وأن تضمن فعالية هذه الآليات والهيئات وإمكانية وصول جميع الضحايا إليها</w:t>
      </w:r>
      <w:r w:rsidR="00A44950">
        <w:rPr>
          <w:vertAlign w:val="superscript"/>
          <w:rtl/>
          <w:lang w:val="en-GB"/>
        </w:rPr>
        <w:t>(</w:t>
      </w:r>
      <w:r w:rsidR="00A44950" w:rsidRPr="00CC701B">
        <w:rPr>
          <w:vertAlign w:val="superscript"/>
          <w:rtl/>
          <w:lang w:val="en-GB"/>
        </w:rPr>
        <w:footnoteReference w:id="38"/>
      </w:r>
      <w:r w:rsidR="00A44950">
        <w:rPr>
          <w:vertAlign w:val="superscript"/>
          <w:rtl/>
          <w:lang w:val="en-GB"/>
        </w:rPr>
        <w:t>)</w:t>
      </w:r>
      <w:r w:rsidRPr="00CC701B">
        <w:rPr>
          <w:rtl/>
        </w:rPr>
        <w:t>.</w:t>
      </w:r>
      <w:r w:rsidR="00D90797">
        <w:rPr>
          <w:rtl/>
        </w:rPr>
        <w:t xml:space="preserve"> </w:t>
      </w:r>
      <w:r w:rsidRPr="00CC701B">
        <w:rPr>
          <w:rtl/>
        </w:rPr>
        <w:t xml:space="preserve">وتشير اللجنة إلى أنه بالنظر إلى الطابع المستمر لآثار التعذيب، ينبغي </w:t>
      </w:r>
      <w:r w:rsidRPr="00CC701B">
        <w:rPr>
          <w:rFonts w:hint="cs"/>
          <w:rtl/>
        </w:rPr>
        <w:t xml:space="preserve">عدم </w:t>
      </w:r>
      <w:r w:rsidRPr="00CC701B">
        <w:rPr>
          <w:rtl/>
        </w:rPr>
        <w:t>تطبيق قوانين التقادم حيث إنها تحرم الضحايا مما يستحقونه من إنصاف وتعويض وإعادة تأهي</w:t>
      </w:r>
      <w:r w:rsidRPr="00CC701B">
        <w:rPr>
          <w:rFonts w:hint="cs"/>
          <w:rtl/>
        </w:rPr>
        <w:t>ل</w:t>
      </w:r>
      <w:r w:rsidR="00A44950">
        <w:rPr>
          <w:vertAlign w:val="superscript"/>
          <w:rtl/>
          <w:lang w:val="en-GB"/>
        </w:rPr>
        <w:t>(</w:t>
      </w:r>
      <w:r w:rsidR="00A44950" w:rsidRPr="00CC701B">
        <w:rPr>
          <w:vertAlign w:val="superscript"/>
          <w:rtl/>
          <w:lang w:val="en-GB"/>
        </w:rPr>
        <w:footnoteReference w:id="39"/>
      </w:r>
      <w:r w:rsidR="00A44950">
        <w:rPr>
          <w:vertAlign w:val="superscript"/>
          <w:rtl/>
          <w:lang w:val="en-GB"/>
        </w:rPr>
        <w:t>)</w:t>
      </w:r>
      <w:r w:rsidRPr="00CC701B">
        <w:rPr>
          <w:rFonts w:hint="cs"/>
          <w:rtl/>
        </w:rPr>
        <w:t>.</w:t>
      </w:r>
      <w:r w:rsidR="00D90797">
        <w:rPr>
          <w:rtl/>
        </w:rPr>
        <w:t xml:space="preserve"> </w:t>
      </w:r>
      <w:r w:rsidRPr="00CC701B">
        <w:rPr>
          <w:rtl/>
        </w:rPr>
        <w:t>وتذكِّر اللجنة أيضا</w:t>
      </w:r>
      <w:r w:rsidRPr="00CC701B">
        <w:rPr>
          <w:rFonts w:hint="cs"/>
          <w:rtl/>
        </w:rPr>
        <w:t>ً</w:t>
      </w:r>
      <w:r w:rsidRPr="00CC701B">
        <w:rPr>
          <w:rtl/>
        </w:rPr>
        <w:t xml:space="preserve"> بملاحظاتها الختامية بشأن التقرير الدوري السادس للدولة الطرف</w:t>
      </w:r>
      <w:r w:rsidRPr="00CC701B">
        <w:rPr>
          <w:rFonts w:hint="cs"/>
          <w:rtl/>
        </w:rPr>
        <w:t>،</w:t>
      </w:r>
      <w:r w:rsidRPr="00CC701B">
        <w:rPr>
          <w:rtl/>
        </w:rPr>
        <w:t xml:space="preserve"> التي حثت فيها الدولة الطرف على اتخاذ جميع التدابير اللازمة لتمكين ضحايا التعذيب وسوء المعاملة، بمن فيهم ضحايا العنف الجنسي المرتكب إبان الحرب، من ممارسة حقهم في </w:t>
      </w:r>
      <w:r w:rsidRPr="00CC701B">
        <w:rPr>
          <w:rtl/>
        </w:rPr>
        <w:lastRenderedPageBreak/>
        <w:t>الحصول على الانتصاف</w:t>
      </w:r>
      <w:r w:rsidR="00A44950">
        <w:rPr>
          <w:vertAlign w:val="superscript"/>
          <w:rtl/>
          <w:lang w:val="en-GB"/>
        </w:rPr>
        <w:t>(</w:t>
      </w:r>
      <w:r w:rsidR="00A44950" w:rsidRPr="00CC701B">
        <w:rPr>
          <w:vertAlign w:val="superscript"/>
          <w:rtl/>
          <w:lang w:val="en-GB"/>
        </w:rPr>
        <w:footnoteReference w:id="40"/>
      </w:r>
      <w:r w:rsidR="00A44950">
        <w:rPr>
          <w:vertAlign w:val="superscript"/>
          <w:rtl/>
          <w:lang w:val="en-GB"/>
        </w:rPr>
        <w:t>)</w:t>
      </w:r>
      <w:r w:rsidRPr="00CC701B">
        <w:rPr>
          <w:rtl/>
        </w:rPr>
        <w:t xml:space="preserve">. وترى اللجنة أن </w:t>
      </w:r>
      <w:r w:rsidRPr="00CC701B">
        <w:rPr>
          <w:rFonts w:hint="cs"/>
          <w:rtl/>
        </w:rPr>
        <w:t xml:space="preserve">الانتصاف </w:t>
      </w:r>
      <w:r w:rsidRPr="00CC701B">
        <w:rPr>
          <w:rtl/>
        </w:rPr>
        <w:t xml:space="preserve">ينبغي أن يغطي جميع الأضرار التي تلحق </w:t>
      </w:r>
      <w:r w:rsidRPr="00CC701B">
        <w:rPr>
          <w:rFonts w:hint="cs"/>
          <w:rtl/>
        </w:rPr>
        <w:t>ب</w:t>
      </w:r>
      <w:r w:rsidRPr="00CC701B">
        <w:rPr>
          <w:rtl/>
        </w:rPr>
        <w:t>الضحية، بما في ذلك رد الحقوق، و</w:t>
      </w:r>
      <w:r w:rsidRPr="00CC701B">
        <w:rPr>
          <w:rFonts w:hint="cs"/>
          <w:rtl/>
        </w:rPr>
        <w:t>ال</w:t>
      </w:r>
      <w:r w:rsidRPr="00CC701B">
        <w:rPr>
          <w:rtl/>
        </w:rPr>
        <w:t>تعويض</w:t>
      </w:r>
      <w:r w:rsidRPr="00CC701B">
        <w:rPr>
          <w:rFonts w:hint="cs"/>
          <w:rtl/>
        </w:rPr>
        <w:t>،</w:t>
      </w:r>
      <w:r w:rsidRPr="00CC701B">
        <w:rPr>
          <w:rtl/>
        </w:rPr>
        <w:t xml:space="preserve"> وإعادة</w:t>
      </w:r>
      <w:r w:rsidRPr="00CC701B">
        <w:rPr>
          <w:rFonts w:hint="cs"/>
          <w:rtl/>
        </w:rPr>
        <w:t xml:space="preserve"> ال</w:t>
      </w:r>
      <w:r w:rsidRPr="00CC701B">
        <w:rPr>
          <w:rtl/>
        </w:rPr>
        <w:t xml:space="preserve">تأهيل، واتخاذ تدابير لضمان عدم تكرار الانتهاك، مع </w:t>
      </w:r>
      <w:r w:rsidRPr="00CC701B">
        <w:rPr>
          <w:rFonts w:hint="cs"/>
          <w:rtl/>
        </w:rPr>
        <w:t>ال</w:t>
      </w:r>
      <w:r w:rsidRPr="00CC701B">
        <w:rPr>
          <w:rtl/>
        </w:rPr>
        <w:t xml:space="preserve">مراعاة </w:t>
      </w:r>
      <w:r w:rsidRPr="00CC701B">
        <w:rPr>
          <w:rFonts w:hint="cs"/>
          <w:rtl/>
        </w:rPr>
        <w:t>الدائمة ل</w:t>
      </w:r>
      <w:r w:rsidRPr="00CC701B">
        <w:rPr>
          <w:rtl/>
        </w:rPr>
        <w:t xml:space="preserve">ظروف كل حالة على حدة. وبالنظر إلى خطورة فعل التعذيب وحق صاحبة الشكوى في الحصول على تعويض، وبالنظر إلى عدم وجود </w:t>
      </w:r>
      <w:r w:rsidRPr="00CC701B">
        <w:rPr>
          <w:rFonts w:hint="cs"/>
          <w:rtl/>
        </w:rPr>
        <w:t xml:space="preserve">أي </w:t>
      </w:r>
      <w:r w:rsidRPr="00CC701B">
        <w:rPr>
          <w:rtl/>
        </w:rPr>
        <w:t>إمكانية لإنفاذ حقها على أكمل وجه ممكن، تخلص اللجنة إلى أن الدولة الطرف انتهكت التزاماتها بموجب المادة ١٤ من الاتفاقية.</w:t>
      </w:r>
    </w:p>
    <w:p w:rsidR="00CC701B" w:rsidRPr="00CC701B" w:rsidRDefault="00CC701B" w:rsidP="00CC701B">
      <w:pPr>
        <w:pStyle w:val="SingleTxtGA"/>
        <w:rPr>
          <w:rtl/>
        </w:rPr>
      </w:pPr>
      <w:r w:rsidRPr="00CC701B">
        <w:rPr>
          <w:rtl/>
        </w:rPr>
        <w:t>٧-٦</w:t>
      </w:r>
      <w:r w:rsidR="00195BF0">
        <w:rPr>
          <w:rtl/>
        </w:rPr>
        <w:tab/>
      </w:r>
      <w:r w:rsidRPr="00CC701B">
        <w:rPr>
          <w:rtl/>
        </w:rPr>
        <w:t xml:space="preserve">وتلاحظ اللجنة أنه على الرغم من منح صاحبة الشكوى تعويضاً، فإنه لا يمكنها عملياً أن تستلم هذا التعويض لأن </w:t>
      </w:r>
      <w:r w:rsidRPr="00CC701B">
        <w:rPr>
          <w:rFonts w:hint="cs"/>
          <w:rtl/>
        </w:rPr>
        <w:t>الجاني</w:t>
      </w:r>
      <w:r w:rsidRPr="00CC701B">
        <w:rPr>
          <w:rtl/>
        </w:rPr>
        <w:t xml:space="preserve"> لا يملك أي ممتلكات أو موارد مالية لتعويضها عن الانتهاكات المرتكبة. وتلاحظ اللجنة أن التشريع المحلي الذي ينظم المطالبات المدنية </w:t>
      </w:r>
      <w:r w:rsidRPr="00CC701B">
        <w:rPr>
          <w:rFonts w:hint="cs"/>
          <w:rtl/>
        </w:rPr>
        <w:t xml:space="preserve">المتعلقة </w:t>
      </w:r>
      <w:r w:rsidRPr="00CC701B">
        <w:rPr>
          <w:rtl/>
        </w:rPr>
        <w:t xml:space="preserve">بالتعويض </w:t>
      </w:r>
      <w:r w:rsidRPr="00CC701B">
        <w:rPr>
          <w:rFonts w:hint="cs"/>
          <w:rtl/>
        </w:rPr>
        <w:t xml:space="preserve">عن الأضرار غير المالية </w:t>
      </w:r>
      <w:r w:rsidRPr="00CC701B">
        <w:rPr>
          <w:rtl/>
        </w:rPr>
        <w:t xml:space="preserve">ينص على أن هذه القضايا تسقط </w:t>
      </w:r>
      <w:proofErr w:type="gramStart"/>
      <w:r w:rsidRPr="00CC701B">
        <w:rPr>
          <w:rtl/>
        </w:rPr>
        <w:t>بالتقادم</w:t>
      </w:r>
      <w:r w:rsidR="00A44950">
        <w:rPr>
          <w:vertAlign w:val="superscript"/>
          <w:rtl/>
          <w:lang w:val="en-GB"/>
        </w:rPr>
        <w:t>(</w:t>
      </w:r>
      <w:proofErr w:type="gramEnd"/>
      <w:r w:rsidR="00A44950" w:rsidRPr="00CC701B">
        <w:rPr>
          <w:vertAlign w:val="superscript"/>
          <w:rtl/>
          <w:lang w:val="en-GB"/>
        </w:rPr>
        <w:footnoteReference w:id="41"/>
      </w:r>
      <w:r w:rsidR="00A44950">
        <w:rPr>
          <w:vertAlign w:val="superscript"/>
          <w:rtl/>
          <w:lang w:val="en-GB"/>
        </w:rPr>
        <w:t>)</w:t>
      </w:r>
      <w:r w:rsidRPr="00CC701B">
        <w:rPr>
          <w:rtl/>
        </w:rPr>
        <w:t>، وأن السوابق القضائية للمحكمة الدستورية بشأن هذه المسألة، التي تفسر المادة ٣٧٧ من قانون الالتزامات المدنية، لا تعترف بمبدأ المسؤولية</w:t>
      </w:r>
      <w:r w:rsidR="00F150FE">
        <w:rPr>
          <w:rFonts w:hint="cs"/>
          <w:rtl/>
        </w:rPr>
        <w:t xml:space="preserve"> </w:t>
      </w:r>
      <w:r w:rsidRPr="00CC701B">
        <w:rPr>
          <w:rFonts w:hint="cs"/>
          <w:rtl/>
        </w:rPr>
        <w:t>عن عمل الغير</w:t>
      </w:r>
      <w:r w:rsidRPr="00CC701B">
        <w:rPr>
          <w:rtl/>
        </w:rPr>
        <w:t>. وبناء</w:t>
      </w:r>
      <w:r w:rsidRPr="00CC701B">
        <w:rPr>
          <w:rFonts w:hint="cs"/>
          <w:rtl/>
        </w:rPr>
        <w:t xml:space="preserve"> </w:t>
      </w:r>
      <w:r w:rsidRPr="00CC701B">
        <w:rPr>
          <w:rtl/>
        </w:rPr>
        <w:t xml:space="preserve">على ذلك، ترى اللجنة أن الدولة الطرف لم تف بالتزاماتها بموجب المادة ١٤ من الاتفاقية، وذلك </w:t>
      </w:r>
      <w:r w:rsidRPr="00CC701B">
        <w:rPr>
          <w:rFonts w:hint="cs"/>
          <w:rtl/>
        </w:rPr>
        <w:t xml:space="preserve">لأنها لم توفر </w:t>
      </w:r>
      <w:r w:rsidRPr="00CC701B">
        <w:rPr>
          <w:rtl/>
        </w:rPr>
        <w:t>الانتصاف لصاحبة الشكوى، بما في ذلك حصولها على تعويض عادل ومناسب</w:t>
      </w:r>
      <w:r w:rsidR="00A44950">
        <w:rPr>
          <w:vertAlign w:val="superscript"/>
          <w:rtl/>
          <w:lang w:val="en-GB"/>
        </w:rPr>
        <w:t>(</w:t>
      </w:r>
      <w:r w:rsidR="00A44950" w:rsidRPr="00CC701B">
        <w:rPr>
          <w:vertAlign w:val="superscript"/>
          <w:rtl/>
          <w:lang w:val="en-GB"/>
        </w:rPr>
        <w:footnoteReference w:id="42"/>
      </w:r>
      <w:r w:rsidR="00A44950">
        <w:rPr>
          <w:vertAlign w:val="superscript"/>
          <w:rtl/>
          <w:lang w:val="en-GB"/>
        </w:rPr>
        <w:t>)</w:t>
      </w:r>
      <w:r w:rsidRPr="00CC701B">
        <w:rPr>
          <w:rtl/>
        </w:rPr>
        <w:t>.</w:t>
      </w:r>
    </w:p>
    <w:p w:rsidR="00CC701B" w:rsidRPr="00685640" w:rsidRDefault="00CC701B" w:rsidP="00CC701B">
      <w:pPr>
        <w:pStyle w:val="SingleTxtGA"/>
        <w:rPr>
          <w:spacing w:val="-1"/>
          <w:rtl/>
        </w:rPr>
      </w:pPr>
      <w:r w:rsidRPr="00685640">
        <w:rPr>
          <w:spacing w:val="-1"/>
          <w:rtl/>
        </w:rPr>
        <w:t>٨-</w:t>
      </w:r>
      <w:r w:rsidRPr="00685640">
        <w:rPr>
          <w:spacing w:val="-1"/>
          <w:rtl/>
        </w:rPr>
        <w:tab/>
        <w:t>واللجنة، إذ تتصرف بموجب المادة 22(7) من الاتفاقية، تخلص إلى أن الوقائع المعروضة عليها تكشف عن انتهاك أحكام المادة 14(1) بالاقتران مع المادة 1(1) من الاتفاقية.</w:t>
      </w:r>
    </w:p>
    <w:p w:rsidR="00CC701B" w:rsidRPr="00CC701B" w:rsidRDefault="00CC701B" w:rsidP="00CC701B">
      <w:pPr>
        <w:pStyle w:val="SingleTxtGA"/>
        <w:rPr>
          <w:rtl/>
        </w:rPr>
      </w:pPr>
      <w:r w:rsidRPr="00CC701B">
        <w:rPr>
          <w:rtl/>
        </w:rPr>
        <w:t>٩-</w:t>
      </w:r>
      <w:r w:rsidRPr="00CC701B">
        <w:rPr>
          <w:rtl/>
        </w:rPr>
        <w:tab/>
        <w:t xml:space="preserve">وترى اللجنة أن الدولة الطرف ملزمة </w:t>
      </w:r>
      <w:r w:rsidRPr="00CC701B">
        <w:rPr>
          <w:rFonts w:hint="cs"/>
          <w:rtl/>
        </w:rPr>
        <w:t>ب</w:t>
      </w:r>
      <w:r w:rsidRPr="00CC701B">
        <w:rPr>
          <w:rtl/>
        </w:rPr>
        <w:t xml:space="preserve">ما يلي: (أ) ضمان حصول صاحبة الشكوى على تعويض فوري وعادل ومناسب؛ (ب) ضمان حصول صاحبة الشكوى على الرعاية الطبية والنفسية فوراً ودون مقابل؛ (ج) تقديم اعتذار علني </w:t>
      </w:r>
      <w:r w:rsidRPr="00CC701B">
        <w:rPr>
          <w:rFonts w:hint="cs"/>
          <w:rtl/>
        </w:rPr>
        <w:t>و</w:t>
      </w:r>
      <w:r w:rsidRPr="00CC701B">
        <w:rPr>
          <w:rtl/>
        </w:rPr>
        <w:t xml:space="preserve">رسمي إلى صاحبة الشكوى؛ (د) </w:t>
      </w:r>
      <w:r w:rsidRPr="00CC701B">
        <w:rPr>
          <w:rFonts w:hint="cs"/>
          <w:rtl/>
        </w:rPr>
        <w:t>ال</w:t>
      </w:r>
      <w:r w:rsidRPr="00CC701B">
        <w:rPr>
          <w:rtl/>
        </w:rPr>
        <w:t xml:space="preserve">امتثال </w:t>
      </w:r>
      <w:r w:rsidRPr="00CC701B">
        <w:rPr>
          <w:rFonts w:hint="cs"/>
          <w:rtl/>
        </w:rPr>
        <w:t>ل</w:t>
      </w:r>
      <w:r w:rsidRPr="00CC701B">
        <w:rPr>
          <w:rtl/>
        </w:rPr>
        <w:t xml:space="preserve">لملاحظات الختامية المتعلقة بوضع خطة فعالة </w:t>
      </w:r>
      <w:r w:rsidRPr="00CC701B">
        <w:rPr>
          <w:rFonts w:hint="cs"/>
          <w:rtl/>
        </w:rPr>
        <w:t xml:space="preserve">للجبر </w:t>
      </w:r>
      <w:r w:rsidRPr="00CC701B">
        <w:rPr>
          <w:rtl/>
        </w:rPr>
        <w:t xml:space="preserve">على الصعيد الوطني لتوفير جميع أشكال الانتصاف لضحايا جرائم الحرب، بما في ذلك العنف الجنسي، ووضع واعتماد قانون إطاري يحدد بوضوح معايير الحصول على صفة ضحية جرائم الحرب، بما في ذلك العنف الجنسي، </w:t>
      </w:r>
      <w:r w:rsidRPr="00CC701B">
        <w:rPr>
          <w:rFonts w:hint="cs"/>
          <w:rtl/>
        </w:rPr>
        <w:t>ويبين</w:t>
      </w:r>
      <w:r w:rsidRPr="00CC701B">
        <w:rPr>
          <w:rtl/>
        </w:rPr>
        <w:t xml:space="preserve"> الحقوق والاستحقاقات </w:t>
      </w:r>
      <w:r w:rsidRPr="00CC701B">
        <w:rPr>
          <w:rFonts w:hint="cs"/>
          <w:rtl/>
        </w:rPr>
        <w:t xml:space="preserve">المحددة </w:t>
      </w:r>
      <w:r w:rsidRPr="00CC701B">
        <w:rPr>
          <w:rtl/>
        </w:rPr>
        <w:t>المكفولة للضحايا في جميع أنحاء الدولة الطرف</w:t>
      </w:r>
      <w:r w:rsidR="00A44950">
        <w:rPr>
          <w:vertAlign w:val="superscript"/>
          <w:rtl/>
          <w:lang w:val="en-GB"/>
        </w:rPr>
        <w:t>(</w:t>
      </w:r>
      <w:r w:rsidR="00A44950" w:rsidRPr="00CC701B">
        <w:rPr>
          <w:vertAlign w:val="superscript"/>
          <w:rtl/>
          <w:lang w:val="en-GB"/>
        </w:rPr>
        <w:footnoteReference w:id="43"/>
      </w:r>
      <w:r w:rsidR="00A44950">
        <w:rPr>
          <w:vertAlign w:val="superscript"/>
          <w:rtl/>
          <w:lang w:val="en-GB"/>
        </w:rPr>
        <w:t>)</w:t>
      </w:r>
      <w:r w:rsidRPr="00CC701B">
        <w:rPr>
          <w:rtl/>
        </w:rPr>
        <w:t>.</w:t>
      </w:r>
    </w:p>
    <w:p w:rsidR="00CC701B" w:rsidRPr="00CC701B" w:rsidRDefault="00CC701B" w:rsidP="00CC701B">
      <w:pPr>
        <w:pStyle w:val="SingleTxtGA"/>
        <w:rPr>
          <w:rtl/>
        </w:rPr>
      </w:pPr>
      <w:r w:rsidRPr="00CC701B">
        <w:rPr>
          <w:rtl/>
        </w:rPr>
        <w:t>١٠-</w:t>
      </w:r>
      <w:r w:rsidRPr="00CC701B">
        <w:rPr>
          <w:rtl/>
        </w:rPr>
        <w:tab/>
        <w:t>وتدعو اللجنة الدولة ال</w:t>
      </w:r>
      <w:bookmarkStart w:id="7" w:name="_GoBack"/>
      <w:bookmarkEnd w:id="7"/>
      <w:r w:rsidRPr="00CC701B">
        <w:rPr>
          <w:rtl/>
        </w:rPr>
        <w:t>طرف، عملاً بأحكام المادة 118(5) من نظامها الداخلي، إلى إبلاغها، في غضون 90 يوماً من تاريخ إحالة هذا القرار، بالإجراءات التي اتخذتها استجابة للملاحظات الواردة أعلاه.</w:t>
      </w:r>
    </w:p>
    <w:p w:rsidR="00761849" w:rsidRPr="00CC701B" w:rsidRDefault="00CC701B" w:rsidP="00CC701B">
      <w:pPr>
        <w:spacing w:before="120"/>
        <w:jc w:val="center"/>
        <w:rPr>
          <w:u w:val="single"/>
          <w:rtl/>
        </w:rPr>
      </w:pPr>
      <w:r>
        <w:rPr>
          <w:u w:val="single"/>
          <w:rtl/>
        </w:rPr>
        <w:tab/>
      </w:r>
      <w:r>
        <w:rPr>
          <w:u w:val="single"/>
          <w:rtl/>
        </w:rPr>
        <w:tab/>
      </w:r>
      <w:r>
        <w:rPr>
          <w:u w:val="single"/>
          <w:rtl/>
        </w:rPr>
        <w:tab/>
      </w:r>
    </w:p>
    <w:sectPr w:rsidR="00761849" w:rsidRPr="00CC701B" w:rsidSect="00BB7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797" w:rsidRPr="002901D9" w:rsidRDefault="00D90797" w:rsidP="002901D9">
      <w:pPr>
        <w:spacing w:after="60" w:line="240" w:lineRule="auto"/>
        <w:rPr>
          <w:i/>
          <w:iCs/>
        </w:rPr>
      </w:pPr>
      <w:r>
        <w:rPr>
          <w:rFonts w:hint="cs"/>
          <w:i/>
          <w:iCs/>
          <w:rtl/>
        </w:rPr>
        <w:t>الحواشي</w:t>
      </w:r>
    </w:p>
  </w:endnote>
  <w:endnote w:type="continuationSeparator" w:id="0">
    <w:p w:rsidR="00D90797" w:rsidRDefault="00D907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97" w:rsidRPr="008147D5" w:rsidRDefault="00D90797" w:rsidP="008147D5">
    <w:pPr>
      <w:pStyle w:val="Footer"/>
      <w:tabs>
        <w:tab w:val="right" w:pos="9598"/>
      </w:tabs>
      <w:rPr>
        <w:sz w:val="17"/>
      </w:rPr>
    </w:pPr>
    <w:r>
      <w:rPr>
        <w:sz w:val="17"/>
      </w:rPr>
      <w:t>GE.19-15557</w:t>
    </w:r>
    <w:r>
      <w:rPr>
        <w:sz w:val="17"/>
      </w:rPr>
      <w:tab/>
    </w:r>
    <w:r w:rsidRPr="008147D5">
      <w:rPr>
        <w:b/>
        <w:sz w:val="18"/>
      </w:rPr>
      <w:fldChar w:fldCharType="begin"/>
    </w:r>
    <w:r w:rsidRPr="008147D5">
      <w:rPr>
        <w:b/>
        <w:sz w:val="18"/>
      </w:rPr>
      <w:instrText xml:space="preserve"> PAGE  \* MERGEFORMAT </w:instrText>
    </w:r>
    <w:r w:rsidRPr="008147D5">
      <w:rPr>
        <w:b/>
        <w:sz w:val="18"/>
      </w:rPr>
      <w:fldChar w:fldCharType="separate"/>
    </w:r>
    <w:r>
      <w:rPr>
        <w:b/>
        <w:sz w:val="18"/>
      </w:rPr>
      <w:t>2</w:t>
    </w:r>
    <w:r w:rsidRPr="008147D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97" w:rsidRPr="008147D5" w:rsidRDefault="00D90797" w:rsidP="006959B0">
    <w:pPr>
      <w:pStyle w:val="Footer"/>
      <w:tabs>
        <w:tab w:val="right" w:pos="9599"/>
      </w:tabs>
      <w:jc w:val="left"/>
      <w:rPr>
        <w:b/>
        <w:sz w:val="18"/>
        <w:lang w:val="en-US"/>
      </w:rPr>
    </w:pPr>
    <w:r w:rsidRPr="008147D5">
      <w:rPr>
        <w:b/>
        <w:sz w:val="18"/>
        <w:lang w:val="en-US"/>
      </w:rPr>
      <w:fldChar w:fldCharType="begin"/>
    </w:r>
    <w:r w:rsidRPr="008147D5">
      <w:rPr>
        <w:b/>
        <w:sz w:val="18"/>
        <w:lang w:val="en-US"/>
      </w:rPr>
      <w:instrText xml:space="preserve"> PAGE  \* MERGEFORMAT </w:instrText>
    </w:r>
    <w:r w:rsidRPr="008147D5">
      <w:rPr>
        <w:b/>
        <w:sz w:val="18"/>
        <w:lang w:val="en-US"/>
      </w:rPr>
      <w:fldChar w:fldCharType="separate"/>
    </w:r>
    <w:r w:rsidRPr="008147D5">
      <w:rPr>
        <w:b/>
        <w:noProof/>
        <w:sz w:val="18"/>
        <w:lang w:val="en-US"/>
      </w:rPr>
      <w:t>3</w:t>
    </w:r>
    <w:r w:rsidRPr="008147D5">
      <w:rPr>
        <w:b/>
        <w:sz w:val="18"/>
        <w:lang w:val="en-US"/>
      </w:rPr>
      <w:fldChar w:fldCharType="end"/>
    </w:r>
    <w:r>
      <w:rPr>
        <w:b/>
        <w:sz w:val="18"/>
        <w:lang w:val="en-US"/>
      </w:rPr>
      <w:tab/>
    </w:r>
    <w:r>
      <w:rPr>
        <w:sz w:val="17"/>
        <w:lang w:val="en-US"/>
      </w:rPr>
      <w:t>GE.19-15557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97" w:rsidRDefault="00D90797" w:rsidP="005A3015">
    <w:pPr>
      <w:pStyle w:val="Footer"/>
      <w:spacing w:before="360"/>
      <w:jc w:val="right"/>
      <w:rPr>
        <w:sz w:val="20"/>
        <w:szCs w:val="20"/>
      </w:rPr>
    </w:pPr>
    <w:r>
      <w:rPr>
        <w:sz w:val="20"/>
        <w:szCs w:val="20"/>
      </w:rPr>
      <w:t>GE.19-15557</w:t>
    </w:r>
    <w:r>
      <w:rPr>
        <w:noProof/>
        <w:lang w:val="en-US"/>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D90797" w:rsidRPr="00BB7FBF" w:rsidRDefault="00D90797" w:rsidP="00BB7FB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797" w:rsidRPr="004956DC" w:rsidRDefault="00D90797" w:rsidP="00761849">
      <w:pPr>
        <w:pStyle w:val="Footer"/>
        <w:bidi/>
        <w:spacing w:after="80" w:line="200" w:lineRule="exact"/>
        <w:ind w:left="680"/>
      </w:pPr>
      <w:r>
        <w:rPr>
          <w:rtl/>
        </w:rPr>
        <w:t>__________</w:t>
      </w:r>
    </w:p>
  </w:footnote>
  <w:footnote w:type="continuationSeparator" w:id="0">
    <w:p w:rsidR="00D90797" w:rsidRDefault="00D90797" w:rsidP="00656392">
      <w:pPr>
        <w:spacing w:line="240" w:lineRule="auto"/>
      </w:pPr>
      <w:r>
        <w:continuationSeparator/>
      </w:r>
    </w:p>
  </w:footnote>
  <w:footnote w:id="1">
    <w:p w:rsidR="00D90797" w:rsidRPr="00CC701B" w:rsidRDefault="00D90797" w:rsidP="00CC701B">
      <w:pPr>
        <w:pStyle w:val="FootnoteText1"/>
        <w:rPr>
          <w:rtl/>
        </w:rPr>
      </w:pPr>
      <w:r>
        <w:rPr>
          <w:rtl/>
        </w:rPr>
        <w:t>*</w:t>
      </w:r>
      <w:r>
        <w:rPr>
          <w:rtl/>
        </w:rPr>
        <w:tab/>
      </w:r>
      <w:r w:rsidRPr="00CC701B">
        <w:rPr>
          <w:rtl/>
        </w:rPr>
        <w:t>اعتمدته اللجنة في دورتها السابعة والستين (٢٢ تموز/يوليه - ٩ آب/أغسطس ٢٠١٩).</w:t>
      </w:r>
    </w:p>
  </w:footnote>
  <w:footnote w:id="2">
    <w:p w:rsidR="00D90797" w:rsidRPr="00CC701B" w:rsidRDefault="00D90797" w:rsidP="00CC701B">
      <w:pPr>
        <w:pStyle w:val="FootnoteText1"/>
      </w:pPr>
      <w:r>
        <w:rPr>
          <w:rtl/>
        </w:rPr>
        <w:t>**</w:t>
      </w:r>
      <w:r>
        <w:rPr>
          <w:rtl/>
        </w:rPr>
        <w:tab/>
      </w:r>
      <w:r w:rsidRPr="00CC701B">
        <w:rPr>
          <w:rtl/>
        </w:rPr>
        <w:t xml:space="preserve">شارك في دراسة هذا البلاغ أعضاء اللجنة التالية أسماؤهم: السعدية </w:t>
      </w:r>
      <w:proofErr w:type="spellStart"/>
      <w:r w:rsidRPr="00CC701B">
        <w:rPr>
          <w:rtl/>
        </w:rPr>
        <w:t>بلمير</w:t>
      </w:r>
      <w:proofErr w:type="spellEnd"/>
      <w:r w:rsidRPr="00CC701B">
        <w:rPr>
          <w:rtl/>
        </w:rPr>
        <w:t xml:space="preserve">، </w:t>
      </w:r>
      <w:r w:rsidRPr="00CC701B">
        <w:rPr>
          <w:rFonts w:hint="cs"/>
          <w:rtl/>
        </w:rPr>
        <w:t xml:space="preserve">بَختيار </w:t>
      </w:r>
      <w:proofErr w:type="spellStart"/>
      <w:r w:rsidRPr="00CC701B">
        <w:rPr>
          <w:rFonts w:hint="cs"/>
          <w:rtl/>
        </w:rPr>
        <w:t>توزمحمدوف</w:t>
      </w:r>
      <w:proofErr w:type="spellEnd"/>
      <w:r w:rsidRPr="00CC701B">
        <w:rPr>
          <w:rFonts w:hint="cs"/>
          <w:rtl/>
        </w:rPr>
        <w:t xml:space="preserve">، </w:t>
      </w:r>
      <w:r w:rsidRPr="00CC701B">
        <w:rPr>
          <w:rtl/>
        </w:rPr>
        <w:t>سيباستيان توزي</w:t>
      </w:r>
      <w:r w:rsidRPr="00CC701B">
        <w:rPr>
          <w:rFonts w:hint="cs"/>
          <w:rtl/>
        </w:rPr>
        <w:t xml:space="preserve">ه، آنا </w:t>
      </w:r>
      <w:proofErr w:type="spellStart"/>
      <w:r w:rsidRPr="00CC701B">
        <w:rPr>
          <w:rFonts w:hint="cs"/>
          <w:rtl/>
        </w:rPr>
        <w:t>راكو</w:t>
      </w:r>
      <w:proofErr w:type="spellEnd"/>
      <w:r w:rsidRPr="00CC701B">
        <w:rPr>
          <w:rFonts w:hint="cs"/>
          <w:rtl/>
        </w:rPr>
        <w:t xml:space="preserve">، </w:t>
      </w:r>
      <w:r w:rsidRPr="00CC701B">
        <w:rPr>
          <w:rtl/>
        </w:rPr>
        <w:t xml:space="preserve">دييغو </w:t>
      </w:r>
      <w:proofErr w:type="spellStart"/>
      <w:r w:rsidRPr="00CC701B">
        <w:rPr>
          <w:rtl/>
        </w:rPr>
        <w:t>رودريغيز-بين</w:t>
      </w:r>
      <w:r w:rsidRPr="00CC701B">
        <w:rPr>
          <w:rFonts w:hint="cs"/>
          <w:rtl/>
        </w:rPr>
        <w:t>ز</w:t>
      </w:r>
      <w:r w:rsidRPr="00CC701B">
        <w:rPr>
          <w:rtl/>
        </w:rPr>
        <w:t>ون</w:t>
      </w:r>
      <w:proofErr w:type="spellEnd"/>
      <w:r w:rsidRPr="00CC701B">
        <w:rPr>
          <w:rFonts w:hint="cs"/>
          <w:rtl/>
        </w:rPr>
        <w:t xml:space="preserve">، </w:t>
      </w:r>
      <w:r w:rsidRPr="00CC701B">
        <w:rPr>
          <w:rtl/>
        </w:rPr>
        <w:t xml:space="preserve">فيليس غاير، ينس </w:t>
      </w:r>
      <w:proofErr w:type="spellStart"/>
      <w:r w:rsidRPr="00CC701B">
        <w:rPr>
          <w:rtl/>
        </w:rPr>
        <w:t>مودفي</w:t>
      </w:r>
      <w:r w:rsidRPr="00CC701B">
        <w:rPr>
          <w:rFonts w:hint="cs"/>
          <w:rtl/>
        </w:rPr>
        <w:t>غ</w:t>
      </w:r>
      <w:proofErr w:type="spellEnd"/>
      <w:r w:rsidRPr="00CC701B">
        <w:rPr>
          <w:rFonts w:hint="cs"/>
          <w:rtl/>
        </w:rPr>
        <w:t xml:space="preserve">، </w:t>
      </w:r>
      <w:r w:rsidRPr="00CC701B">
        <w:rPr>
          <w:rtl/>
        </w:rPr>
        <w:t xml:space="preserve">عبد الوهاب هاني، كلود هيلر </w:t>
      </w:r>
      <w:proofErr w:type="spellStart"/>
      <w:r w:rsidRPr="00CC701B">
        <w:rPr>
          <w:rtl/>
        </w:rPr>
        <w:t>رو</w:t>
      </w:r>
      <w:r w:rsidRPr="00CC701B">
        <w:rPr>
          <w:rFonts w:hint="cs"/>
          <w:rtl/>
        </w:rPr>
        <w:t>ا</w:t>
      </w:r>
      <w:r w:rsidRPr="00CC701B">
        <w:rPr>
          <w:rtl/>
        </w:rPr>
        <w:t>سان</w:t>
      </w:r>
      <w:proofErr w:type="spellEnd"/>
      <w:r w:rsidRPr="00CC701B">
        <w:rPr>
          <w:rFonts w:hint="cs"/>
          <w:rtl/>
        </w:rPr>
        <w:t>.</w:t>
      </w:r>
    </w:p>
  </w:footnote>
  <w:footnote w:id="3">
    <w:p w:rsidR="00A44950" w:rsidRPr="00A44950" w:rsidRDefault="00A44950" w:rsidP="009459ED">
      <w:pPr>
        <w:pStyle w:val="FootnoteText1"/>
        <w:spacing w:line="280" w:lineRule="exact"/>
      </w:pPr>
      <w:r w:rsidRPr="00A44950">
        <w:rPr>
          <w:b/>
          <w:rtl/>
        </w:rPr>
        <w:t>(</w:t>
      </w:r>
      <w:r w:rsidRPr="00A44950">
        <w:rPr>
          <w:b/>
          <w:rtl/>
        </w:rPr>
        <w:footnoteRef/>
      </w:r>
      <w:r w:rsidRPr="00A44950">
        <w:rPr>
          <w:b/>
          <w:rtl/>
        </w:rPr>
        <w:t>)</w:t>
      </w:r>
      <w:r>
        <w:rPr>
          <w:rtl/>
        </w:rPr>
        <w:tab/>
      </w:r>
      <w:r w:rsidRPr="00A44950">
        <w:rPr>
          <w:rtl/>
        </w:rPr>
        <w:t>صدقت يوغوسلافيا</w:t>
      </w:r>
      <w:r w:rsidRPr="00A44950">
        <w:rPr>
          <w:rFonts w:hint="cs"/>
          <w:rtl/>
        </w:rPr>
        <w:t xml:space="preserve"> </w:t>
      </w:r>
      <w:r w:rsidRPr="00A44950">
        <w:rPr>
          <w:rtl/>
        </w:rPr>
        <w:t>على الاتفاقية في ١٠ أيلول/سبتمبر ١٩٩١. وانضمت البوسنة والهرسك إلى الاتفاقية في</w:t>
      </w:r>
      <w:r w:rsidR="004D1895">
        <w:rPr>
          <w:rFonts w:hint="cs"/>
          <w:rtl/>
        </w:rPr>
        <w:t> </w:t>
      </w:r>
      <w:r w:rsidRPr="00A44950">
        <w:rPr>
          <w:rtl/>
        </w:rPr>
        <w:t xml:space="preserve">1 أيلول/سبتمبر 1993. وأصدرت البوسنة والهرسك إعلاناً في ٤ حزيران/يونيه ٢٠٠٣ </w:t>
      </w:r>
      <w:r w:rsidRPr="00A44950">
        <w:rPr>
          <w:rFonts w:hint="cs"/>
          <w:rtl/>
        </w:rPr>
        <w:t xml:space="preserve">تعترف بموجبه </w:t>
      </w:r>
      <w:r w:rsidRPr="00A44950">
        <w:rPr>
          <w:rtl/>
        </w:rPr>
        <w:t>باختصاص اللجنة بتلقي البلاغات من الأفراد وفقا</w:t>
      </w:r>
      <w:r w:rsidRPr="00A44950">
        <w:rPr>
          <w:rFonts w:hint="cs"/>
          <w:rtl/>
        </w:rPr>
        <w:t>ً</w:t>
      </w:r>
      <w:r w:rsidRPr="00A44950">
        <w:rPr>
          <w:rtl/>
        </w:rPr>
        <w:t xml:space="preserve"> للمادة ٢٢.</w:t>
      </w:r>
    </w:p>
  </w:footnote>
  <w:footnote w:id="4">
    <w:p w:rsidR="00A44950" w:rsidRPr="00A44950" w:rsidRDefault="00A44950" w:rsidP="009459ED">
      <w:pPr>
        <w:pStyle w:val="FootnoteText1"/>
        <w:spacing w:line="280" w:lineRule="exact"/>
        <w:rPr>
          <w:rtl/>
        </w:rPr>
      </w:pPr>
      <w:r w:rsidRPr="00A44950">
        <w:rPr>
          <w:b/>
          <w:rtl/>
        </w:rPr>
        <w:t>(</w:t>
      </w:r>
      <w:r w:rsidRPr="00A44950">
        <w:rPr>
          <w:b/>
          <w:rtl/>
        </w:rPr>
        <w:footnoteRef/>
      </w:r>
      <w:r w:rsidRPr="00A44950">
        <w:rPr>
          <w:b/>
          <w:rtl/>
        </w:rPr>
        <w:t>)</w:t>
      </w:r>
      <w:r w:rsidRPr="00A44950">
        <w:rPr>
          <w:rtl/>
        </w:rPr>
        <w:tab/>
        <w:t>طلبت صاحبة الشكوى عدم الكشف عن هويتها والتزام السرية التامة.</w:t>
      </w:r>
    </w:p>
  </w:footnote>
  <w:footnote w:id="5">
    <w:p w:rsidR="00A44950" w:rsidRPr="00A44950" w:rsidRDefault="00A44950" w:rsidP="009459ED">
      <w:pPr>
        <w:pStyle w:val="FootnoteText1"/>
        <w:spacing w:line="280" w:lineRule="exact"/>
        <w:rPr>
          <w:rtl/>
        </w:rPr>
      </w:pPr>
      <w:r w:rsidRPr="00A44950">
        <w:rPr>
          <w:b/>
          <w:rtl/>
        </w:rPr>
        <w:t>(</w:t>
      </w:r>
      <w:r w:rsidRPr="00A44950">
        <w:rPr>
          <w:b/>
          <w:rtl/>
        </w:rPr>
        <w:footnoteRef/>
      </w:r>
      <w:r w:rsidRPr="00A44950">
        <w:rPr>
          <w:b/>
          <w:rtl/>
        </w:rPr>
        <w:t>)</w:t>
      </w:r>
      <w:r w:rsidRPr="00A44950">
        <w:rPr>
          <w:rtl/>
        </w:rPr>
        <w:tab/>
      </w:r>
      <w:r w:rsidR="00362C23" w:rsidRPr="00362C23">
        <w:rPr>
          <w:i/>
          <w:iCs/>
          <w:lang w:val="en-GB"/>
        </w:rPr>
        <w:t xml:space="preserve">Prosecutor’s Office of Bosnia and Herzegovina v. Slavko </w:t>
      </w:r>
      <w:proofErr w:type="spellStart"/>
      <w:r w:rsidR="00362C23" w:rsidRPr="00362C23">
        <w:rPr>
          <w:i/>
          <w:iCs/>
          <w:lang w:val="en-GB"/>
        </w:rPr>
        <w:t>Savić</w:t>
      </w:r>
      <w:proofErr w:type="spellEnd"/>
      <w:r w:rsidR="00362C23" w:rsidRPr="00362C23">
        <w:rPr>
          <w:lang w:val="en-GB"/>
        </w:rPr>
        <w:t xml:space="preserve"> (case No. S1 1 K 017213 14 </w:t>
      </w:r>
      <w:proofErr w:type="spellStart"/>
      <w:r w:rsidR="00362C23" w:rsidRPr="00362C23">
        <w:rPr>
          <w:lang w:val="en-GB"/>
        </w:rPr>
        <w:t>Kri</w:t>
      </w:r>
      <w:proofErr w:type="spellEnd"/>
      <w:r w:rsidR="00362C23" w:rsidRPr="00362C23">
        <w:rPr>
          <w:lang w:val="en-GB"/>
        </w:rPr>
        <w:t>), para. 391</w:t>
      </w:r>
      <w:r w:rsidRPr="00A44950">
        <w:rPr>
          <w:rtl/>
        </w:rPr>
        <w:t xml:space="preserve">. </w:t>
      </w:r>
      <w:r w:rsidRPr="00A44950">
        <w:rPr>
          <w:rFonts w:hint="cs"/>
          <w:rtl/>
        </w:rPr>
        <w:t>[</w:t>
      </w:r>
      <w:r w:rsidRPr="00362C23">
        <w:rPr>
          <w:i/>
          <w:iCs/>
          <w:rtl/>
        </w:rPr>
        <w:t xml:space="preserve">مكتب المدعي العام للبوسنة والهرسك ضد </w:t>
      </w:r>
      <w:proofErr w:type="spellStart"/>
      <w:r w:rsidRPr="00362C23">
        <w:rPr>
          <w:i/>
          <w:iCs/>
          <w:rtl/>
        </w:rPr>
        <w:t>سلافكو</w:t>
      </w:r>
      <w:proofErr w:type="spellEnd"/>
      <w:r w:rsidRPr="00362C23">
        <w:rPr>
          <w:i/>
          <w:iCs/>
          <w:rtl/>
        </w:rPr>
        <w:t xml:space="preserve"> </w:t>
      </w:r>
      <w:proofErr w:type="spellStart"/>
      <w:r w:rsidRPr="00362C23">
        <w:rPr>
          <w:i/>
          <w:iCs/>
          <w:rtl/>
        </w:rPr>
        <w:t>سافيتش</w:t>
      </w:r>
      <w:proofErr w:type="spellEnd"/>
      <w:r w:rsidRPr="00A44950">
        <w:rPr>
          <w:rtl/>
        </w:rPr>
        <w:t xml:space="preserve"> (القضية رقم </w:t>
      </w:r>
      <w:r w:rsidRPr="00A44950">
        <w:t xml:space="preserve">S1 1 K 017213 14 </w:t>
      </w:r>
      <w:proofErr w:type="spellStart"/>
      <w:proofErr w:type="gramStart"/>
      <w:r w:rsidRPr="00A44950">
        <w:t>Kri</w:t>
      </w:r>
      <w:proofErr w:type="spellEnd"/>
      <w:r w:rsidRPr="00A44950">
        <w:rPr>
          <w:rFonts w:hint="cs"/>
          <w:rtl/>
        </w:rPr>
        <w:t>)</w:t>
      </w:r>
      <w:r w:rsidRPr="00A44950">
        <w:rPr>
          <w:rtl/>
        </w:rPr>
        <w:t>،</w:t>
      </w:r>
      <w:proofErr w:type="gramEnd"/>
      <w:r w:rsidRPr="00A44950">
        <w:rPr>
          <w:rtl/>
        </w:rPr>
        <w:t xml:space="preserve"> الفقرة 391].</w:t>
      </w:r>
    </w:p>
  </w:footnote>
  <w:footnote w:id="6">
    <w:p w:rsidR="00A44950" w:rsidRPr="00A44950" w:rsidRDefault="00A44950" w:rsidP="009459ED">
      <w:pPr>
        <w:pStyle w:val="FootnoteText1"/>
        <w:spacing w:line="280" w:lineRule="exact"/>
        <w:rPr>
          <w:rtl/>
        </w:rPr>
      </w:pPr>
      <w:r w:rsidRPr="00362C23">
        <w:rPr>
          <w:b/>
          <w:spacing w:val="-2"/>
          <w:rtl/>
        </w:rPr>
        <w:t>(</w:t>
      </w:r>
      <w:r w:rsidRPr="00362C23">
        <w:rPr>
          <w:b/>
          <w:spacing w:val="-2"/>
          <w:rtl/>
        </w:rPr>
        <w:footnoteRef/>
      </w:r>
      <w:r w:rsidRPr="00362C23">
        <w:rPr>
          <w:b/>
          <w:spacing w:val="-2"/>
          <w:rtl/>
        </w:rPr>
        <w:t>)</w:t>
      </w:r>
      <w:r w:rsidRPr="00362C23">
        <w:rPr>
          <w:spacing w:val="-2"/>
          <w:rtl/>
        </w:rPr>
        <w:tab/>
        <w:t xml:space="preserve">انظر، على سبيل المثال، اللجنة المعنية بالقضاء على التمييز ضد المرأة، </w:t>
      </w:r>
      <w:r w:rsidRPr="00362C23">
        <w:rPr>
          <w:i/>
          <w:iCs/>
          <w:spacing w:val="-2"/>
          <w:rtl/>
        </w:rPr>
        <w:t xml:space="preserve">أ. ت. ضد هنغاريا </w:t>
      </w:r>
      <w:r w:rsidRPr="00362C23">
        <w:rPr>
          <w:spacing w:val="-2"/>
          <w:rtl/>
        </w:rPr>
        <w:t>(</w:t>
      </w:r>
      <w:r w:rsidRPr="00362C23">
        <w:rPr>
          <w:spacing w:val="-2"/>
        </w:rPr>
        <w:t>CEDAW/C/32/D/2/2003</w:t>
      </w:r>
      <w:r w:rsidRPr="00362C23">
        <w:rPr>
          <w:rFonts w:hint="cs"/>
          <w:spacing w:val="-2"/>
          <w:rtl/>
        </w:rPr>
        <w:t>)</w:t>
      </w:r>
      <w:r w:rsidRPr="00362C23">
        <w:rPr>
          <w:spacing w:val="-2"/>
          <w:rtl/>
        </w:rPr>
        <w:t xml:space="preserve">، الفقرة 8-5؛ </w:t>
      </w:r>
      <w:r w:rsidRPr="00362C23">
        <w:rPr>
          <w:i/>
          <w:iCs/>
          <w:spacing w:val="-2"/>
          <w:rtl/>
        </w:rPr>
        <w:t>أ. س. ضد هنغاريا</w:t>
      </w:r>
      <w:r w:rsidRPr="00362C23">
        <w:rPr>
          <w:spacing w:val="-2"/>
          <w:rtl/>
        </w:rPr>
        <w:t xml:space="preserve"> (</w:t>
      </w:r>
      <w:r w:rsidRPr="00362C23">
        <w:rPr>
          <w:spacing w:val="-2"/>
        </w:rPr>
        <w:t>CEDAW/C/36/D/4/2004</w:t>
      </w:r>
      <w:r w:rsidRPr="00362C23">
        <w:rPr>
          <w:rFonts w:hint="cs"/>
          <w:spacing w:val="-2"/>
          <w:rtl/>
        </w:rPr>
        <w:t>)</w:t>
      </w:r>
      <w:r w:rsidRPr="00362C23">
        <w:rPr>
          <w:spacing w:val="-2"/>
          <w:rtl/>
        </w:rPr>
        <w:t>، الفقرة 10-4</w:t>
      </w:r>
      <w:r w:rsidRPr="00A44950">
        <w:rPr>
          <w:rtl/>
        </w:rPr>
        <w:t xml:space="preserve">؛ </w:t>
      </w:r>
      <w:proofErr w:type="spellStart"/>
      <w:r w:rsidRPr="00BD06EC">
        <w:rPr>
          <w:i/>
          <w:iCs/>
          <w:rtl/>
        </w:rPr>
        <w:t>كايهان</w:t>
      </w:r>
      <w:proofErr w:type="spellEnd"/>
      <w:r w:rsidRPr="00BD06EC">
        <w:rPr>
          <w:i/>
          <w:iCs/>
          <w:rtl/>
        </w:rPr>
        <w:t xml:space="preserve"> ضد تركيا</w:t>
      </w:r>
      <w:r w:rsidRPr="00A44950">
        <w:rPr>
          <w:rtl/>
        </w:rPr>
        <w:t xml:space="preserve"> (</w:t>
      </w:r>
      <w:r w:rsidRPr="00A44950">
        <w:t>CEDAW/C/34/D/8/2005</w:t>
      </w:r>
      <w:r w:rsidRPr="00A44950">
        <w:rPr>
          <w:rFonts w:hint="cs"/>
          <w:rtl/>
        </w:rPr>
        <w:t>)</w:t>
      </w:r>
      <w:r w:rsidRPr="00A44950">
        <w:rPr>
          <w:rtl/>
        </w:rPr>
        <w:t xml:space="preserve">، الفقرة 7-4؛ اللجنة المعنية بحقوق الإنسان، </w:t>
      </w:r>
      <w:r w:rsidRPr="00BD06EC">
        <w:rPr>
          <w:i/>
          <w:iCs/>
          <w:rtl/>
        </w:rPr>
        <w:t>بروتينا وآخرون ضد البوسنة والهرسك</w:t>
      </w:r>
      <w:r w:rsidRPr="00A44950">
        <w:rPr>
          <w:rtl/>
        </w:rPr>
        <w:t xml:space="preserve"> (</w:t>
      </w:r>
      <w:r w:rsidRPr="00A44950">
        <w:t>CCPR/C/107/D/1917,1918,1925/2009</w:t>
      </w:r>
      <w:r w:rsidRPr="00A44950">
        <w:rPr>
          <w:rtl/>
        </w:rPr>
        <w:t xml:space="preserve"> </w:t>
      </w:r>
      <w:proofErr w:type="spellStart"/>
      <w:r w:rsidRPr="00A44950">
        <w:rPr>
          <w:rtl/>
        </w:rPr>
        <w:t>و1953</w:t>
      </w:r>
      <w:proofErr w:type="spellEnd"/>
      <w:r w:rsidRPr="00A44950">
        <w:rPr>
          <w:rtl/>
        </w:rPr>
        <w:t xml:space="preserve">/2010)، الفقرة 8-3؛ </w:t>
      </w:r>
      <w:proofErr w:type="spellStart"/>
      <w:r w:rsidRPr="00BD06EC">
        <w:rPr>
          <w:i/>
          <w:iCs/>
          <w:rtl/>
        </w:rPr>
        <w:t>دوريتش</w:t>
      </w:r>
      <w:proofErr w:type="spellEnd"/>
      <w:r w:rsidRPr="00BD06EC">
        <w:rPr>
          <w:i/>
          <w:iCs/>
          <w:rtl/>
        </w:rPr>
        <w:t xml:space="preserve"> ضد البوسنة والهرسك</w:t>
      </w:r>
      <w:r w:rsidRPr="00A44950">
        <w:rPr>
          <w:rFonts w:hint="cs"/>
          <w:rtl/>
        </w:rPr>
        <w:t xml:space="preserve"> (</w:t>
      </w:r>
      <w:r w:rsidRPr="00A44950">
        <w:t>CCPR/C/111/D/1956/2010</w:t>
      </w:r>
      <w:r w:rsidRPr="00A44950">
        <w:rPr>
          <w:rFonts w:hint="cs"/>
          <w:rtl/>
        </w:rPr>
        <w:t xml:space="preserve">)، الفقرة 8-3؛ </w:t>
      </w:r>
      <w:proofErr w:type="spellStart"/>
      <w:r w:rsidRPr="00BD06EC">
        <w:rPr>
          <w:i/>
          <w:iCs/>
          <w:rtl/>
        </w:rPr>
        <w:t>سليموفتيش</w:t>
      </w:r>
      <w:proofErr w:type="spellEnd"/>
      <w:r w:rsidRPr="00BD06EC">
        <w:rPr>
          <w:i/>
          <w:iCs/>
          <w:rtl/>
        </w:rPr>
        <w:t xml:space="preserve"> وآخرون ضد البوسنة والهرسك</w:t>
      </w:r>
      <w:r w:rsidRPr="00A44950">
        <w:rPr>
          <w:rtl/>
        </w:rPr>
        <w:t xml:space="preserve"> (</w:t>
      </w:r>
      <w:r w:rsidRPr="00A44950">
        <w:t>CCPR/C/111/D/2003/2010</w:t>
      </w:r>
      <w:r w:rsidRPr="00A44950">
        <w:rPr>
          <w:rFonts w:hint="cs"/>
          <w:rtl/>
        </w:rPr>
        <w:t>)</w:t>
      </w:r>
      <w:r w:rsidRPr="00A44950">
        <w:rPr>
          <w:rtl/>
        </w:rPr>
        <w:t xml:space="preserve">، الفقرة 11-3؛ </w:t>
      </w:r>
      <w:proofErr w:type="spellStart"/>
      <w:r w:rsidRPr="00BD06EC">
        <w:rPr>
          <w:i/>
          <w:iCs/>
          <w:rtl/>
        </w:rPr>
        <w:t>لالي</w:t>
      </w:r>
      <w:proofErr w:type="spellEnd"/>
      <w:r w:rsidRPr="00BD06EC">
        <w:rPr>
          <w:i/>
          <w:iCs/>
          <w:rtl/>
        </w:rPr>
        <w:t xml:space="preserve"> </w:t>
      </w:r>
      <w:proofErr w:type="spellStart"/>
      <w:r w:rsidRPr="00BD06EC">
        <w:rPr>
          <w:i/>
          <w:iCs/>
          <w:rtl/>
        </w:rPr>
        <w:t>وبلاغوييفيتش</w:t>
      </w:r>
      <w:proofErr w:type="spellEnd"/>
      <w:r w:rsidRPr="00BD06EC">
        <w:rPr>
          <w:i/>
          <w:iCs/>
          <w:rtl/>
        </w:rPr>
        <w:t xml:space="preserve"> ضد البوسنة والهرسك</w:t>
      </w:r>
      <w:r w:rsidRPr="00A44950">
        <w:rPr>
          <w:rtl/>
        </w:rPr>
        <w:t xml:space="preserve"> (</w:t>
      </w:r>
      <w:r w:rsidRPr="00A44950">
        <w:t>CCPR/C/119/D/2206/2012</w:t>
      </w:r>
      <w:r w:rsidRPr="00A44950">
        <w:rPr>
          <w:rFonts w:hint="cs"/>
          <w:rtl/>
        </w:rPr>
        <w:t>)</w:t>
      </w:r>
      <w:r w:rsidRPr="00A44950">
        <w:rPr>
          <w:rtl/>
        </w:rPr>
        <w:t>، الفقرة 6-5.</w:t>
      </w:r>
    </w:p>
  </w:footnote>
  <w:footnote w:id="7">
    <w:p w:rsidR="00A44950" w:rsidRPr="009459ED" w:rsidRDefault="00A44950" w:rsidP="009459ED">
      <w:pPr>
        <w:pStyle w:val="FootnoteText1"/>
        <w:spacing w:line="280" w:lineRule="exact"/>
        <w:rPr>
          <w:spacing w:val="-3"/>
          <w:rtl/>
        </w:rPr>
      </w:pPr>
      <w:r w:rsidRPr="009459ED">
        <w:rPr>
          <w:b/>
          <w:spacing w:val="-3"/>
          <w:rtl/>
        </w:rPr>
        <w:t>(</w:t>
      </w:r>
      <w:r w:rsidRPr="009459ED">
        <w:rPr>
          <w:b/>
          <w:spacing w:val="-3"/>
          <w:rtl/>
        </w:rPr>
        <w:footnoteRef/>
      </w:r>
      <w:r w:rsidRPr="009459ED">
        <w:rPr>
          <w:b/>
          <w:spacing w:val="-3"/>
          <w:rtl/>
        </w:rPr>
        <w:t>)</w:t>
      </w:r>
      <w:r w:rsidRPr="009459ED">
        <w:rPr>
          <w:spacing w:val="-3"/>
          <w:rtl/>
        </w:rPr>
        <w:tab/>
        <w:t xml:space="preserve">انظر، في جملة أمور، </w:t>
      </w:r>
      <w:r w:rsidRPr="009459ED">
        <w:rPr>
          <w:i/>
          <w:iCs/>
          <w:spacing w:val="-3"/>
          <w:rtl/>
        </w:rPr>
        <w:t>سهلي ضد الجزائر</w:t>
      </w:r>
      <w:r w:rsidRPr="009459ED">
        <w:rPr>
          <w:spacing w:val="-3"/>
          <w:rtl/>
        </w:rPr>
        <w:t xml:space="preserve"> (</w:t>
      </w:r>
      <w:r w:rsidRPr="009459ED">
        <w:rPr>
          <w:spacing w:val="-3"/>
        </w:rPr>
        <w:t>CAT/C/46/D/341/2008</w:t>
      </w:r>
      <w:r w:rsidRPr="009459ED">
        <w:rPr>
          <w:rFonts w:hint="cs"/>
          <w:spacing w:val="-3"/>
          <w:rtl/>
        </w:rPr>
        <w:t>)</w:t>
      </w:r>
      <w:r w:rsidRPr="009459ED">
        <w:rPr>
          <w:spacing w:val="-3"/>
          <w:rtl/>
        </w:rPr>
        <w:t xml:space="preserve">، الفقرة 8-3؛ </w:t>
      </w:r>
      <w:r w:rsidRPr="009459ED">
        <w:rPr>
          <w:i/>
          <w:iCs/>
          <w:spacing w:val="-3"/>
          <w:rtl/>
        </w:rPr>
        <w:t>بوالي ضد كندا</w:t>
      </w:r>
      <w:r w:rsidRPr="009459ED">
        <w:rPr>
          <w:spacing w:val="-3"/>
          <w:rtl/>
        </w:rPr>
        <w:t xml:space="preserve"> (</w:t>
      </w:r>
      <w:r w:rsidRPr="009459ED">
        <w:rPr>
          <w:spacing w:val="-3"/>
        </w:rPr>
        <w:t>CAT/C/47/D/327/2007</w:t>
      </w:r>
      <w:r w:rsidRPr="009459ED">
        <w:rPr>
          <w:rFonts w:hint="cs"/>
          <w:spacing w:val="-3"/>
          <w:rtl/>
        </w:rPr>
        <w:t>)</w:t>
      </w:r>
      <w:r w:rsidRPr="009459ED">
        <w:rPr>
          <w:spacing w:val="-3"/>
          <w:rtl/>
        </w:rPr>
        <w:t xml:space="preserve">، الفقرة 13-2؛ </w:t>
      </w:r>
      <w:proofErr w:type="spellStart"/>
      <w:r w:rsidRPr="009459ED">
        <w:rPr>
          <w:i/>
          <w:iCs/>
          <w:spacing w:val="-3"/>
          <w:rtl/>
        </w:rPr>
        <w:t>ديميتريفيتش</w:t>
      </w:r>
      <w:proofErr w:type="spellEnd"/>
      <w:r w:rsidRPr="009459ED">
        <w:rPr>
          <w:i/>
          <w:iCs/>
          <w:spacing w:val="-3"/>
          <w:rtl/>
        </w:rPr>
        <w:t xml:space="preserve"> ضد صربيا والجبل الأسود</w:t>
      </w:r>
      <w:r w:rsidRPr="009459ED">
        <w:rPr>
          <w:spacing w:val="-3"/>
          <w:rtl/>
        </w:rPr>
        <w:t xml:space="preserve"> (</w:t>
      </w:r>
      <w:r w:rsidRPr="009459ED">
        <w:rPr>
          <w:spacing w:val="-3"/>
        </w:rPr>
        <w:t>CAT/C/35/D/172/2000</w:t>
      </w:r>
      <w:r w:rsidRPr="009459ED">
        <w:rPr>
          <w:rFonts w:hint="cs"/>
          <w:spacing w:val="-3"/>
          <w:rtl/>
        </w:rPr>
        <w:t>)</w:t>
      </w:r>
      <w:r w:rsidRPr="009459ED">
        <w:rPr>
          <w:spacing w:val="-3"/>
          <w:rtl/>
        </w:rPr>
        <w:t xml:space="preserve">، الفقرة 6-2؛ </w:t>
      </w:r>
      <w:proofErr w:type="spellStart"/>
      <w:r w:rsidRPr="009459ED">
        <w:rPr>
          <w:i/>
          <w:iCs/>
          <w:spacing w:val="-3"/>
          <w:rtl/>
        </w:rPr>
        <w:t>ديميتريفيتش</w:t>
      </w:r>
      <w:proofErr w:type="spellEnd"/>
      <w:r w:rsidRPr="009459ED">
        <w:rPr>
          <w:i/>
          <w:iCs/>
          <w:spacing w:val="-3"/>
          <w:rtl/>
        </w:rPr>
        <w:t xml:space="preserve"> ضد صربيا والجبل الأسو</w:t>
      </w:r>
      <w:r w:rsidRPr="009459ED">
        <w:rPr>
          <w:rFonts w:hint="cs"/>
          <w:i/>
          <w:iCs/>
          <w:spacing w:val="-3"/>
          <w:rtl/>
        </w:rPr>
        <w:t>د</w:t>
      </w:r>
      <w:r w:rsidRPr="009459ED">
        <w:rPr>
          <w:rFonts w:hint="cs"/>
          <w:spacing w:val="-3"/>
          <w:rtl/>
        </w:rPr>
        <w:t xml:space="preserve"> (</w:t>
      </w:r>
      <w:r w:rsidRPr="009459ED">
        <w:rPr>
          <w:spacing w:val="-3"/>
        </w:rPr>
        <w:t>CAT/C/33/D/207/2002</w:t>
      </w:r>
      <w:r w:rsidRPr="009459ED">
        <w:rPr>
          <w:rFonts w:hint="cs"/>
          <w:spacing w:val="-3"/>
          <w:rtl/>
        </w:rPr>
        <w:t>)</w:t>
      </w:r>
      <w:r w:rsidRPr="009459ED">
        <w:rPr>
          <w:spacing w:val="-3"/>
          <w:rtl/>
        </w:rPr>
        <w:t xml:space="preserve"> الفقرة 5-2؛ </w:t>
      </w:r>
      <w:proofErr w:type="spellStart"/>
      <w:r w:rsidRPr="009459ED">
        <w:rPr>
          <w:i/>
          <w:iCs/>
          <w:spacing w:val="-3"/>
          <w:rtl/>
        </w:rPr>
        <w:t>إنريكه</w:t>
      </w:r>
      <w:proofErr w:type="spellEnd"/>
      <w:r w:rsidRPr="009459ED">
        <w:rPr>
          <w:i/>
          <w:iCs/>
          <w:spacing w:val="-3"/>
          <w:rtl/>
        </w:rPr>
        <w:t xml:space="preserve"> فالكون </w:t>
      </w:r>
      <w:proofErr w:type="spellStart"/>
      <w:r w:rsidRPr="009459ED">
        <w:rPr>
          <w:i/>
          <w:iCs/>
          <w:spacing w:val="-3"/>
          <w:rtl/>
        </w:rPr>
        <w:t>ريوس</w:t>
      </w:r>
      <w:proofErr w:type="spellEnd"/>
      <w:r w:rsidRPr="009459ED">
        <w:rPr>
          <w:rFonts w:hint="cs"/>
          <w:i/>
          <w:iCs/>
          <w:spacing w:val="-3"/>
          <w:rtl/>
        </w:rPr>
        <w:t xml:space="preserve"> ضد كندا</w:t>
      </w:r>
      <w:r w:rsidRPr="009459ED">
        <w:rPr>
          <w:spacing w:val="-3"/>
          <w:rtl/>
        </w:rPr>
        <w:t xml:space="preserve"> (</w:t>
      </w:r>
      <w:r w:rsidRPr="009459ED">
        <w:rPr>
          <w:spacing w:val="-3"/>
        </w:rPr>
        <w:t>CAT/C/33/D/133/1999</w:t>
      </w:r>
      <w:r w:rsidRPr="009459ED">
        <w:rPr>
          <w:spacing w:val="-3"/>
          <w:rtl/>
        </w:rPr>
        <w:t>)، الفقرة 6-6.</w:t>
      </w:r>
    </w:p>
  </w:footnote>
  <w:footnote w:id="8">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قانون الالتزامات المدنية، المادة ٣٧٦.</w:t>
      </w:r>
    </w:p>
  </w:footnote>
  <w:footnote w:id="9">
    <w:p w:rsidR="00A44950" w:rsidRPr="00A44950" w:rsidRDefault="00A44950" w:rsidP="009459ED">
      <w:pPr>
        <w:pStyle w:val="FootnoteText1"/>
        <w:rPr>
          <w:rtl/>
        </w:rPr>
      </w:pPr>
      <w:r w:rsidRPr="00A44950">
        <w:rPr>
          <w:b/>
          <w:rtl/>
        </w:rPr>
        <w:t>(</w:t>
      </w:r>
      <w:r w:rsidRPr="00A44950">
        <w:rPr>
          <w:b/>
          <w:rtl/>
        </w:rPr>
        <w:footnoteRef/>
      </w:r>
      <w:r w:rsidRPr="00A44950">
        <w:rPr>
          <w:b/>
          <w:rtl/>
        </w:rPr>
        <w:t>)</w:t>
      </w:r>
      <w:r w:rsidRPr="00A44950">
        <w:rPr>
          <w:rtl/>
        </w:rPr>
        <w:tab/>
      </w:r>
      <w:r w:rsidR="009459ED" w:rsidRPr="009459ED">
        <w:rPr>
          <w:i/>
          <w:iCs/>
          <w:lang w:val="en-GB"/>
        </w:rPr>
        <w:t xml:space="preserve">Hamza </w:t>
      </w:r>
      <w:proofErr w:type="spellStart"/>
      <w:r w:rsidR="009459ED" w:rsidRPr="009459ED">
        <w:rPr>
          <w:i/>
          <w:iCs/>
          <w:lang w:val="en-GB"/>
        </w:rPr>
        <w:t>Rekic</w:t>
      </w:r>
      <w:proofErr w:type="spellEnd"/>
      <w:r w:rsidR="009459ED" w:rsidRPr="009459ED">
        <w:rPr>
          <w:i/>
          <w:iCs/>
          <w:lang w:val="en-GB"/>
        </w:rPr>
        <w:t xml:space="preserve"> v. </w:t>
      </w:r>
      <w:proofErr w:type="spellStart"/>
      <w:r w:rsidR="009459ED" w:rsidRPr="009459ED">
        <w:rPr>
          <w:i/>
          <w:iCs/>
          <w:lang w:val="en-GB"/>
        </w:rPr>
        <w:t>Republika</w:t>
      </w:r>
      <w:proofErr w:type="spellEnd"/>
      <w:r w:rsidR="009459ED" w:rsidRPr="009459ED">
        <w:rPr>
          <w:i/>
          <w:iCs/>
          <w:lang w:val="en-GB"/>
        </w:rPr>
        <w:t xml:space="preserve"> Srpska</w:t>
      </w:r>
      <w:r w:rsidR="009459ED" w:rsidRPr="009459ED">
        <w:rPr>
          <w:lang w:val="en-GB"/>
        </w:rPr>
        <w:t>, decision No. AP-3111/09</w:t>
      </w:r>
      <w:r>
        <w:rPr>
          <w:rFonts w:hint="cs"/>
          <w:rtl/>
        </w:rPr>
        <w:t xml:space="preserve"> [</w:t>
      </w:r>
      <w:r w:rsidRPr="00BD06EC">
        <w:rPr>
          <w:i/>
          <w:iCs/>
          <w:rtl/>
        </w:rPr>
        <w:t xml:space="preserve">حمزه </w:t>
      </w:r>
      <w:proofErr w:type="spellStart"/>
      <w:r w:rsidRPr="00BD06EC">
        <w:rPr>
          <w:i/>
          <w:iCs/>
          <w:rtl/>
        </w:rPr>
        <w:t>ريكيتش</w:t>
      </w:r>
      <w:proofErr w:type="spellEnd"/>
      <w:r w:rsidRPr="00BD06EC">
        <w:rPr>
          <w:i/>
          <w:iCs/>
          <w:rtl/>
        </w:rPr>
        <w:t xml:space="preserve"> ضد جمهورية </w:t>
      </w:r>
      <w:proofErr w:type="spellStart"/>
      <w:r w:rsidRPr="00BD06EC">
        <w:rPr>
          <w:i/>
          <w:iCs/>
          <w:rtl/>
        </w:rPr>
        <w:t>صربسكا</w:t>
      </w:r>
      <w:proofErr w:type="spellEnd"/>
      <w:r w:rsidRPr="00A44950">
        <w:rPr>
          <w:rtl/>
        </w:rPr>
        <w:t xml:space="preserve">، القرار رقم </w:t>
      </w:r>
      <w:r w:rsidRPr="00A44950">
        <w:t>AP-3111/09</w:t>
      </w:r>
      <w:r w:rsidRPr="00A44950">
        <w:rPr>
          <w:rFonts w:hint="cs"/>
          <w:rtl/>
        </w:rPr>
        <w:t>]</w:t>
      </w:r>
      <w:r w:rsidRPr="00A44950">
        <w:rPr>
          <w:rtl/>
        </w:rPr>
        <w:t>.</w:t>
      </w:r>
    </w:p>
  </w:footnote>
  <w:footnote w:id="10">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تعيش صاحبة الشكوى حاليا</w:t>
      </w:r>
      <w:r w:rsidRPr="00A44950">
        <w:rPr>
          <w:rFonts w:hint="cs"/>
          <w:rtl/>
        </w:rPr>
        <w:t>ً</w:t>
      </w:r>
      <w:r w:rsidRPr="00A44950">
        <w:rPr>
          <w:rtl/>
        </w:rPr>
        <w:t xml:space="preserve"> على موارد محدودة جداً، </w:t>
      </w:r>
      <w:r w:rsidRPr="00A44950">
        <w:rPr>
          <w:rFonts w:hint="cs"/>
          <w:rtl/>
        </w:rPr>
        <w:t xml:space="preserve">تأتيها فقط من </w:t>
      </w:r>
      <w:r w:rsidRPr="00A44950">
        <w:rPr>
          <w:rtl/>
        </w:rPr>
        <w:t>معاش الإعاقة الممنوح لها.</w:t>
      </w:r>
    </w:p>
  </w:footnote>
  <w:footnote w:id="11">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r>
      <w:r w:rsidRPr="00A44950">
        <w:t>CCPR/C/BIH/CO/3</w:t>
      </w:r>
      <w:r w:rsidRPr="00A44950">
        <w:rPr>
          <w:rtl/>
        </w:rPr>
        <w:t>، الفقرتان ١٧-١٨.</w:t>
      </w:r>
    </w:p>
  </w:footnote>
  <w:footnote w:id="12">
    <w:p w:rsidR="00A44950" w:rsidRPr="009459ED" w:rsidRDefault="00A44950" w:rsidP="00A44950">
      <w:pPr>
        <w:pStyle w:val="FootnoteText1"/>
        <w:rPr>
          <w:spacing w:val="-6"/>
          <w:rtl/>
        </w:rPr>
      </w:pPr>
      <w:r w:rsidRPr="009459ED">
        <w:rPr>
          <w:b/>
          <w:spacing w:val="-6"/>
          <w:rtl/>
        </w:rPr>
        <w:t>(</w:t>
      </w:r>
      <w:r w:rsidRPr="009459ED">
        <w:rPr>
          <w:b/>
          <w:spacing w:val="-6"/>
          <w:rtl/>
        </w:rPr>
        <w:footnoteRef/>
      </w:r>
      <w:r w:rsidRPr="009459ED">
        <w:rPr>
          <w:b/>
          <w:spacing w:val="-6"/>
          <w:rtl/>
        </w:rPr>
        <w:t>)</w:t>
      </w:r>
      <w:r w:rsidRPr="009459ED">
        <w:rPr>
          <w:spacing w:val="-6"/>
          <w:rtl/>
        </w:rPr>
        <w:tab/>
      </w:r>
      <w:r w:rsidRPr="009459ED">
        <w:rPr>
          <w:i/>
          <w:iCs/>
          <w:spacing w:val="-6"/>
          <w:rtl/>
        </w:rPr>
        <w:t>ج. ن. ضد بوروندي</w:t>
      </w:r>
      <w:r w:rsidRPr="009459ED">
        <w:rPr>
          <w:spacing w:val="-6"/>
          <w:rtl/>
        </w:rPr>
        <w:t xml:space="preserve"> (</w:t>
      </w:r>
      <w:r w:rsidRPr="009459ED">
        <w:rPr>
          <w:spacing w:val="-6"/>
        </w:rPr>
        <w:t>CAT/C/60/D/579/2013</w:t>
      </w:r>
      <w:r w:rsidRPr="009459ED">
        <w:rPr>
          <w:rFonts w:hint="cs"/>
          <w:spacing w:val="-6"/>
          <w:rtl/>
        </w:rPr>
        <w:t>)</w:t>
      </w:r>
      <w:r w:rsidRPr="009459ED">
        <w:rPr>
          <w:spacing w:val="-6"/>
          <w:rtl/>
        </w:rPr>
        <w:t>، الفقرة ٧-٤؛ و</w:t>
      </w:r>
      <w:r w:rsidRPr="009459ED">
        <w:rPr>
          <w:i/>
          <w:iCs/>
          <w:spacing w:val="-6"/>
          <w:rtl/>
        </w:rPr>
        <w:t>ف. ل. ضد سويسرا</w:t>
      </w:r>
      <w:r w:rsidRPr="009459ED">
        <w:rPr>
          <w:spacing w:val="-6"/>
          <w:rtl/>
        </w:rPr>
        <w:t xml:space="preserve"> (</w:t>
      </w:r>
      <w:r w:rsidRPr="009459ED">
        <w:rPr>
          <w:spacing w:val="-6"/>
        </w:rPr>
        <w:t>CAT/C/37/D/262/2005</w:t>
      </w:r>
      <w:r w:rsidRPr="009459ED">
        <w:rPr>
          <w:spacing w:val="-6"/>
          <w:rtl/>
        </w:rPr>
        <w:t>) الفقرة ٨-١٠.</w:t>
      </w:r>
    </w:p>
  </w:footnote>
  <w:footnote w:id="13">
    <w:p w:rsidR="00A44950" w:rsidRPr="00A44950" w:rsidRDefault="00A44950" w:rsidP="009459ED">
      <w:pPr>
        <w:pStyle w:val="FootnoteText1"/>
        <w:rPr>
          <w:rtl/>
        </w:rPr>
      </w:pPr>
      <w:r w:rsidRPr="00A44950">
        <w:rPr>
          <w:b/>
          <w:rtl/>
        </w:rPr>
        <w:t>(</w:t>
      </w:r>
      <w:r w:rsidRPr="00A44950">
        <w:rPr>
          <w:b/>
          <w:rtl/>
        </w:rPr>
        <w:footnoteRef/>
      </w:r>
      <w:r w:rsidRPr="00A44950">
        <w:rPr>
          <w:b/>
          <w:rtl/>
        </w:rPr>
        <w:t>)</w:t>
      </w:r>
      <w:r w:rsidRPr="00A44950">
        <w:rPr>
          <w:rtl/>
        </w:rPr>
        <w:tab/>
      </w:r>
      <w:r w:rsidR="009459ED" w:rsidRPr="009459ED">
        <w:rPr>
          <w:lang w:val="en-GB"/>
        </w:rPr>
        <w:t xml:space="preserve">Jean-Marie </w:t>
      </w:r>
      <w:proofErr w:type="spellStart"/>
      <w:r w:rsidR="009459ED" w:rsidRPr="009459ED">
        <w:t>Henckaerts</w:t>
      </w:r>
      <w:proofErr w:type="spellEnd"/>
      <w:r w:rsidR="009459ED" w:rsidRPr="009459ED">
        <w:t xml:space="preserve"> and Louise </w:t>
      </w:r>
      <w:proofErr w:type="spellStart"/>
      <w:r w:rsidR="009459ED" w:rsidRPr="009459ED">
        <w:t>Doswald</w:t>
      </w:r>
      <w:proofErr w:type="spellEnd"/>
      <w:r w:rsidR="009459ED" w:rsidRPr="009459ED">
        <w:t xml:space="preserve">-Beck, </w:t>
      </w:r>
      <w:r w:rsidR="009459ED" w:rsidRPr="009459ED">
        <w:rPr>
          <w:i/>
          <w:iCs/>
        </w:rPr>
        <w:t>Customary International Humanitarian Law</w:t>
      </w:r>
      <w:r w:rsidR="009459ED" w:rsidRPr="009459ED">
        <w:t xml:space="preserve">, Vol. I: </w:t>
      </w:r>
      <w:r w:rsidR="009459ED" w:rsidRPr="009459ED">
        <w:rPr>
          <w:i/>
          <w:iCs/>
        </w:rPr>
        <w:t xml:space="preserve">Rules </w:t>
      </w:r>
      <w:r w:rsidR="009459ED" w:rsidRPr="009459ED">
        <w:t>(International Committee of the Red Cross and Cambridge University Press, 2009), rule 93</w:t>
      </w:r>
      <w:r w:rsidRPr="00A44950">
        <w:rPr>
          <w:rtl/>
        </w:rPr>
        <w:t xml:space="preserve">. [جان - ماري </w:t>
      </w:r>
      <w:proofErr w:type="spellStart"/>
      <w:r w:rsidRPr="00A44950">
        <w:rPr>
          <w:rtl/>
        </w:rPr>
        <w:t>هنكارتس</w:t>
      </w:r>
      <w:proofErr w:type="spellEnd"/>
      <w:r w:rsidRPr="00A44950">
        <w:rPr>
          <w:rtl/>
        </w:rPr>
        <w:t xml:space="preserve"> ولويز </w:t>
      </w:r>
      <w:proofErr w:type="spellStart"/>
      <w:r w:rsidRPr="00A44950">
        <w:rPr>
          <w:rtl/>
        </w:rPr>
        <w:t>دوزفالد</w:t>
      </w:r>
      <w:proofErr w:type="spellEnd"/>
      <w:r w:rsidRPr="00A44950">
        <w:rPr>
          <w:rtl/>
        </w:rPr>
        <w:t xml:space="preserve"> - بيك، </w:t>
      </w:r>
      <w:r w:rsidRPr="009459ED">
        <w:rPr>
          <w:i/>
          <w:iCs/>
          <w:rtl/>
        </w:rPr>
        <w:t>القانون الدولي الإنساني العرفي</w:t>
      </w:r>
      <w:r w:rsidRPr="00A44950">
        <w:rPr>
          <w:rtl/>
        </w:rPr>
        <w:t xml:space="preserve">، المجلد الأول: </w:t>
      </w:r>
      <w:r w:rsidRPr="009459ED">
        <w:rPr>
          <w:i/>
          <w:iCs/>
          <w:rtl/>
        </w:rPr>
        <w:t>القواعد</w:t>
      </w:r>
      <w:r w:rsidRPr="00A44950">
        <w:rPr>
          <w:rtl/>
        </w:rPr>
        <w:t xml:space="preserve"> (اللجنة الدولية للصليب الأحمر ومطبوعات جامعة كامبريدج، ٢٠٠٩)، القاعدة ٩٣]. انظر أيضا</w:t>
      </w:r>
      <w:r w:rsidRPr="00A44950">
        <w:rPr>
          <w:rFonts w:hint="cs"/>
          <w:rtl/>
        </w:rPr>
        <w:t>ً</w:t>
      </w:r>
      <w:r w:rsidRPr="00A44950">
        <w:rPr>
          <w:rtl/>
        </w:rPr>
        <w:t xml:space="preserve"> المادة ٣ المشتركة بين اتفاقيات جنيف المؤرخة ١٢ آب/أغسطس ١٩٤٩؛ </w:t>
      </w:r>
      <w:r w:rsidRPr="00A44950">
        <w:rPr>
          <w:rFonts w:hint="cs"/>
          <w:rtl/>
        </w:rPr>
        <w:t>و</w:t>
      </w:r>
      <w:r w:rsidRPr="00A44950">
        <w:rPr>
          <w:rtl/>
        </w:rPr>
        <w:t xml:space="preserve">الفقرة الثانية من المادة ٢٧ من اتفاقية جنيف بشأن حماية الأشخاص المدنيين في وقت الحرب (اتفاقية جنيف الرابعة)، والمادتين ٧٦(١) و٧٧ من البروتوكول الإضافي لاتفاقيات جنيف لعام ١٩٤٩، والمتعلق بحماية ضحايا المنازعات </w:t>
      </w:r>
      <w:r w:rsidRPr="00A44950">
        <w:rPr>
          <w:rFonts w:hint="cs"/>
          <w:rtl/>
        </w:rPr>
        <w:t xml:space="preserve">الدولية </w:t>
      </w:r>
      <w:r w:rsidRPr="00A44950">
        <w:rPr>
          <w:rtl/>
        </w:rPr>
        <w:t>المسلحة (البروتوكول الأول).</w:t>
      </w:r>
    </w:p>
  </w:footnote>
  <w:footnote w:id="14">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نظام روما الأساسي للمحكمة الجنائية الدولية، الفقرة ٨(٢)(ب).</w:t>
      </w:r>
    </w:p>
  </w:footnote>
  <w:footnote w:id="15">
    <w:p w:rsidR="00A44950" w:rsidRPr="00A44950" w:rsidRDefault="00A44950" w:rsidP="009459ED">
      <w:pPr>
        <w:pStyle w:val="FootnoteText1"/>
        <w:rPr>
          <w:rtl/>
        </w:rPr>
      </w:pPr>
      <w:r w:rsidRPr="00A44950">
        <w:rPr>
          <w:b/>
          <w:rtl/>
        </w:rPr>
        <w:t>(</w:t>
      </w:r>
      <w:r w:rsidRPr="00A44950">
        <w:rPr>
          <w:b/>
          <w:rtl/>
        </w:rPr>
        <w:footnoteRef/>
      </w:r>
      <w:r w:rsidRPr="00A44950">
        <w:rPr>
          <w:b/>
          <w:rtl/>
        </w:rPr>
        <w:t>)</w:t>
      </w:r>
      <w:r w:rsidRPr="00A44950">
        <w:rPr>
          <w:rtl/>
        </w:rPr>
        <w:tab/>
      </w:r>
      <w:r w:rsidR="009459ED" w:rsidRPr="009459ED">
        <w:rPr>
          <w:lang w:val="en-GB"/>
        </w:rPr>
        <w:t xml:space="preserve">International Criminal Tribunal for the Former Yugoslavia, </w:t>
      </w:r>
      <w:r w:rsidR="009459ED" w:rsidRPr="009459ED">
        <w:rPr>
          <w:i/>
          <w:iCs/>
          <w:lang w:val="en-GB"/>
        </w:rPr>
        <w:t xml:space="preserve">Prosecutor v. </w:t>
      </w:r>
      <w:proofErr w:type="spellStart"/>
      <w:r w:rsidR="009459ED" w:rsidRPr="009459ED">
        <w:rPr>
          <w:i/>
          <w:iCs/>
          <w:lang w:val="en-GB"/>
        </w:rPr>
        <w:t>Anto</w:t>
      </w:r>
      <w:proofErr w:type="spellEnd"/>
      <w:r w:rsidR="009459ED" w:rsidRPr="009459ED">
        <w:rPr>
          <w:i/>
          <w:iCs/>
          <w:lang w:val="en-GB"/>
        </w:rPr>
        <w:t xml:space="preserve"> </w:t>
      </w:r>
      <w:proofErr w:type="spellStart"/>
      <w:r w:rsidR="009459ED" w:rsidRPr="009459ED">
        <w:rPr>
          <w:i/>
          <w:iCs/>
          <w:lang w:val="en-GB"/>
        </w:rPr>
        <w:t>Furundžija</w:t>
      </w:r>
      <w:proofErr w:type="spellEnd"/>
      <w:r w:rsidR="009459ED" w:rsidRPr="009459ED">
        <w:rPr>
          <w:lang w:val="en-GB"/>
        </w:rPr>
        <w:t xml:space="preserve"> (case No. IT-95-17/1-T), Judgement of 10 December 1998, paras. 153–157</w:t>
      </w:r>
      <w:r w:rsidRPr="00A44950">
        <w:rPr>
          <w:rtl/>
        </w:rPr>
        <w:t xml:space="preserve"> [المحكمة الجنائية الدولية ليوغوسلافيا السابقة، </w:t>
      </w:r>
      <w:r w:rsidRPr="00BD06EC">
        <w:rPr>
          <w:i/>
          <w:iCs/>
          <w:rtl/>
        </w:rPr>
        <w:t xml:space="preserve">المدعي العام ضد أنتو </w:t>
      </w:r>
      <w:proofErr w:type="spellStart"/>
      <w:r w:rsidRPr="00BD06EC">
        <w:rPr>
          <w:i/>
          <w:iCs/>
          <w:rtl/>
        </w:rPr>
        <w:t>فوروندزيجا</w:t>
      </w:r>
      <w:proofErr w:type="spellEnd"/>
      <w:r w:rsidRPr="00A44950">
        <w:rPr>
          <w:rtl/>
        </w:rPr>
        <w:t xml:space="preserve"> (القضية رقم </w:t>
      </w:r>
      <w:r w:rsidRPr="00A44950">
        <w:t>IT-95-17/1-</w:t>
      </w:r>
      <w:proofErr w:type="gramStart"/>
      <w:r w:rsidRPr="00A44950">
        <w:t>T</w:t>
      </w:r>
      <w:r w:rsidRPr="00A44950">
        <w:rPr>
          <w:rFonts w:hint="cs"/>
          <w:rtl/>
        </w:rPr>
        <w:t>)</w:t>
      </w:r>
      <w:r w:rsidRPr="00A44950">
        <w:rPr>
          <w:rtl/>
        </w:rPr>
        <w:t>،</w:t>
      </w:r>
      <w:proofErr w:type="gramEnd"/>
      <w:r w:rsidRPr="00A44950">
        <w:rPr>
          <w:rtl/>
        </w:rPr>
        <w:t xml:space="preserve"> الحكم الصادر في ١٠ كانون الأول/ديسمبر ١٩٩٨، الفقرات ١٥٣-١٥٧].</w:t>
      </w:r>
    </w:p>
  </w:footnote>
  <w:footnote w:id="16">
    <w:p w:rsidR="00A44950" w:rsidRPr="00A44950" w:rsidRDefault="00A44950" w:rsidP="009459ED">
      <w:pPr>
        <w:pStyle w:val="FootnoteText1"/>
        <w:rPr>
          <w:rtl/>
        </w:rPr>
      </w:pPr>
      <w:r w:rsidRPr="00A44950">
        <w:rPr>
          <w:b/>
          <w:rtl/>
        </w:rPr>
        <w:t>(</w:t>
      </w:r>
      <w:r w:rsidRPr="00A44950">
        <w:rPr>
          <w:b/>
          <w:rtl/>
        </w:rPr>
        <w:footnoteRef/>
      </w:r>
      <w:r w:rsidRPr="00A44950">
        <w:rPr>
          <w:b/>
          <w:rtl/>
        </w:rPr>
        <w:t>)</w:t>
      </w:r>
      <w:r w:rsidRPr="00A44950">
        <w:rPr>
          <w:rtl/>
        </w:rPr>
        <w:tab/>
      </w:r>
      <w:r w:rsidRPr="00A44950">
        <w:rPr>
          <w:rFonts w:hint="cs"/>
          <w:rtl/>
        </w:rPr>
        <w:t xml:space="preserve">انظر: </w:t>
      </w:r>
      <w:r w:rsidR="009459ED" w:rsidRPr="009459ED">
        <w:rPr>
          <w:lang w:val="en-GB"/>
        </w:rPr>
        <w:t xml:space="preserve">Amnesty International, </w:t>
      </w:r>
      <w:r w:rsidR="009459ED" w:rsidRPr="009459ED">
        <w:rPr>
          <w:i/>
          <w:iCs/>
          <w:lang w:val="en-GB"/>
        </w:rPr>
        <w:t>International Law Commission: Second Report on Crimes against Humanity–Positive Aspects and Concerns</w:t>
      </w:r>
      <w:r w:rsidR="009459ED" w:rsidRPr="009459ED">
        <w:rPr>
          <w:lang w:val="en-GB"/>
        </w:rPr>
        <w:t xml:space="preserve"> (London, 2016)</w:t>
      </w:r>
      <w:r w:rsidRPr="00A44950">
        <w:rPr>
          <w:rtl/>
        </w:rPr>
        <w:t xml:space="preserve">. [منظمة العفو الدولية، </w:t>
      </w:r>
      <w:r w:rsidRPr="009459ED">
        <w:rPr>
          <w:i/>
          <w:iCs/>
          <w:rtl/>
        </w:rPr>
        <w:t>لجنة القانون الدولي: التقرير الثاني عن الجرائم المرتكبة ضد الإنسانية - الجوانب الإيجابية والشواغل</w:t>
      </w:r>
      <w:r w:rsidRPr="00A44950">
        <w:rPr>
          <w:rtl/>
        </w:rPr>
        <w:t xml:space="preserve"> (لندن، ٢٠١٦).]</w:t>
      </w:r>
    </w:p>
  </w:footnote>
  <w:footnote w:id="17">
    <w:p w:rsidR="00A44950" w:rsidRPr="00A44950" w:rsidRDefault="00A44950" w:rsidP="009459ED">
      <w:pPr>
        <w:pStyle w:val="FootnoteText1"/>
        <w:rPr>
          <w:rtl/>
        </w:rPr>
      </w:pPr>
      <w:r w:rsidRPr="00A44950">
        <w:rPr>
          <w:b/>
          <w:rtl/>
        </w:rPr>
        <w:t>(</w:t>
      </w:r>
      <w:r w:rsidRPr="00A44950">
        <w:rPr>
          <w:b/>
          <w:rtl/>
        </w:rPr>
        <w:footnoteRef/>
      </w:r>
      <w:r w:rsidRPr="00A44950">
        <w:rPr>
          <w:b/>
          <w:rtl/>
        </w:rPr>
        <w:t>)</w:t>
      </w:r>
      <w:r w:rsidRPr="00A44950">
        <w:rPr>
          <w:rtl/>
        </w:rPr>
        <w:tab/>
      </w:r>
      <w:r w:rsidR="009459ED" w:rsidRPr="009459ED">
        <w:rPr>
          <w:lang w:val="en-GB"/>
        </w:rPr>
        <w:t xml:space="preserve">REDRESS, </w:t>
      </w:r>
      <w:r w:rsidR="009459ED" w:rsidRPr="009459ED">
        <w:rPr>
          <w:i/>
          <w:iCs/>
          <w:lang w:val="en-GB"/>
        </w:rPr>
        <w:t>Reparation for Torture:</w:t>
      </w:r>
      <w:r w:rsidR="009459ED" w:rsidRPr="009459ED">
        <w:rPr>
          <w:lang w:val="en-GB"/>
        </w:rPr>
        <w:t xml:space="preserve"> </w:t>
      </w:r>
      <w:r w:rsidR="009459ED" w:rsidRPr="009459ED">
        <w:rPr>
          <w:i/>
          <w:iCs/>
          <w:lang w:val="en-GB"/>
        </w:rPr>
        <w:t>A Survey of Law and Practice in Thirty Selected Countries</w:t>
      </w:r>
      <w:r w:rsidR="009459ED" w:rsidRPr="009459ED">
        <w:rPr>
          <w:lang w:val="en-GB"/>
        </w:rPr>
        <w:t xml:space="preserve"> (London, REDRESS Trust, 2003), p. 47</w:t>
      </w:r>
      <w:r w:rsidRPr="00A44950">
        <w:rPr>
          <w:rtl/>
        </w:rPr>
        <w:t xml:space="preserve">. [منظمة </w:t>
      </w:r>
      <w:proofErr w:type="spellStart"/>
      <w:r w:rsidRPr="00A44950">
        <w:rPr>
          <w:rtl/>
        </w:rPr>
        <w:t>ريدرس</w:t>
      </w:r>
      <w:proofErr w:type="spellEnd"/>
      <w:r w:rsidRPr="00A44950">
        <w:rPr>
          <w:rtl/>
        </w:rPr>
        <w:t xml:space="preserve">، </w:t>
      </w:r>
      <w:r w:rsidRPr="009459ED">
        <w:rPr>
          <w:i/>
          <w:iCs/>
          <w:rtl/>
        </w:rPr>
        <w:t>التعويض عن التعذيب: دراسة استقصائية للقانون والممارسة في ثلاثين بلداً مختاراً</w:t>
      </w:r>
      <w:r w:rsidRPr="00A44950">
        <w:rPr>
          <w:rtl/>
        </w:rPr>
        <w:t xml:space="preserve"> (لندن، صندوق </w:t>
      </w:r>
      <w:proofErr w:type="spellStart"/>
      <w:r w:rsidRPr="00A44950">
        <w:rPr>
          <w:rtl/>
        </w:rPr>
        <w:t>ريدرس</w:t>
      </w:r>
      <w:proofErr w:type="spellEnd"/>
      <w:r w:rsidRPr="00A44950">
        <w:rPr>
          <w:rtl/>
        </w:rPr>
        <w:t>، ٢٠٠٣)، الصفحة ٤٧].</w:t>
      </w:r>
    </w:p>
  </w:footnote>
  <w:footnote w:id="18">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 xml:space="preserve">لجنة مناهضة التعذيب، التعليق العام رقم ٣ بشأن تنفيذ المادة ١٤، الفقرة ٩. وفيما يخص الالتزام بتقديم التعويض والمعايير الواجب اتباعها، انظر، في جملة أمور، اللجنة المعنية بحقوق الإنسان، </w:t>
      </w:r>
      <w:proofErr w:type="spellStart"/>
      <w:r w:rsidRPr="00BD06EC">
        <w:rPr>
          <w:i/>
          <w:iCs/>
          <w:rtl/>
        </w:rPr>
        <w:t>يوساييف</w:t>
      </w:r>
      <w:proofErr w:type="spellEnd"/>
      <w:r w:rsidRPr="00BD06EC">
        <w:rPr>
          <w:i/>
          <w:iCs/>
          <w:rtl/>
        </w:rPr>
        <w:t xml:space="preserve"> ضد الاتحاد الروسي</w:t>
      </w:r>
      <w:r w:rsidRPr="00A44950">
        <w:rPr>
          <w:rtl/>
        </w:rPr>
        <w:t xml:space="preserve"> (</w:t>
      </w:r>
      <w:r w:rsidRPr="00A44950">
        <w:t>CCPR/C/99/D/1577/2007</w:t>
      </w:r>
      <w:r w:rsidRPr="00A44950">
        <w:rPr>
          <w:rFonts w:hint="cs"/>
          <w:rtl/>
        </w:rPr>
        <w:t>)</w:t>
      </w:r>
      <w:r w:rsidRPr="00A44950">
        <w:rPr>
          <w:rtl/>
        </w:rPr>
        <w:t>، الفقرة ١١.</w:t>
      </w:r>
    </w:p>
  </w:footnote>
  <w:footnote w:id="19">
    <w:p w:rsidR="00A44950" w:rsidRPr="00E20585" w:rsidRDefault="00A44950" w:rsidP="00A44950">
      <w:pPr>
        <w:pStyle w:val="FootnoteText1"/>
        <w:rPr>
          <w:rtl/>
        </w:rPr>
      </w:pPr>
      <w:r w:rsidRPr="00A44950">
        <w:rPr>
          <w:b/>
          <w:rtl/>
        </w:rPr>
        <w:t>(</w:t>
      </w:r>
      <w:r w:rsidRPr="00A44950">
        <w:rPr>
          <w:b/>
          <w:rtl/>
        </w:rPr>
        <w:footnoteRef/>
      </w:r>
      <w:r w:rsidRPr="00A44950">
        <w:rPr>
          <w:b/>
          <w:rtl/>
        </w:rPr>
        <w:t>)</w:t>
      </w:r>
      <w:r>
        <w:rPr>
          <w:rFonts w:hint="cs"/>
          <w:rtl/>
        </w:rPr>
        <w:tab/>
      </w:r>
      <w:r w:rsidRPr="00A44950">
        <w:rPr>
          <w:rtl/>
        </w:rPr>
        <w:t xml:space="preserve">انظر، في جملة أمور، اللجنة المعنية بحقوق الإنسان، </w:t>
      </w:r>
      <w:proofErr w:type="spellStart"/>
      <w:r w:rsidRPr="00BD06EC">
        <w:rPr>
          <w:i/>
          <w:iCs/>
          <w:rtl/>
        </w:rPr>
        <w:t>سيندتش</w:t>
      </w:r>
      <w:proofErr w:type="spellEnd"/>
      <w:r w:rsidRPr="00BD06EC">
        <w:rPr>
          <w:i/>
          <w:iCs/>
          <w:rtl/>
        </w:rPr>
        <w:t xml:space="preserve"> ضد أوروغواي</w:t>
      </w:r>
      <w:r w:rsidRPr="00A44950">
        <w:rPr>
          <w:rtl/>
        </w:rPr>
        <w:t>، الآراء المعتمدة في ٢٨ تشرين الأول/أكتوبر ١٩٨١، الفقرة ٢١.</w:t>
      </w:r>
      <w:r w:rsidRPr="00A44950">
        <w:rPr>
          <w:rFonts w:ascii="Arial" w:hAnsi="Arial" w:cs="Arial" w:hint="cs"/>
          <w:rtl/>
        </w:rPr>
        <w:t>‬</w:t>
      </w:r>
      <w:r w:rsidRPr="00A44950">
        <w:rPr>
          <w:rtl/>
        </w:rPr>
        <w:t xml:space="preserve"> </w:t>
      </w:r>
      <w:r w:rsidRPr="00A44950">
        <w:rPr>
          <w:rFonts w:hint="cs"/>
          <w:rtl/>
        </w:rPr>
        <w:t>وب</w:t>
      </w:r>
      <w:r w:rsidRPr="00A44950">
        <w:rPr>
          <w:rtl/>
        </w:rPr>
        <w:t>هذا المعنى</w:t>
      </w:r>
      <w:r w:rsidRPr="00A44950">
        <w:rPr>
          <w:rFonts w:hint="cs"/>
          <w:rtl/>
        </w:rPr>
        <w:t>،</w:t>
      </w:r>
      <w:r w:rsidRPr="00A44950">
        <w:rPr>
          <w:rtl/>
        </w:rPr>
        <w:t xml:space="preserve"> انظر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المبدأ ٢١.</w:t>
      </w:r>
      <w:r w:rsidRPr="00A44950">
        <w:rPr>
          <w:rFonts w:ascii="Arial" w:hAnsi="Arial" w:cs="Arial" w:hint="cs"/>
          <w:rtl/>
        </w:rPr>
        <w:t>‬</w:t>
      </w:r>
    </w:p>
  </w:footnote>
  <w:footnote w:id="20">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r>
      <w:dir w:val="rtl">
        <w:r w:rsidRPr="00A44950">
          <w:rPr>
            <w:rtl/>
          </w:rPr>
          <w:t>المبادئ الأساسية، المبدأ ٢٢.</w:t>
        </w:r>
        <w:r w:rsidRPr="00A44950">
          <w:rPr>
            <w:rFonts w:ascii="Arial" w:hAnsi="Arial" w:cs="Arial" w:hint="cs"/>
            <w:rtl/>
          </w:rPr>
          <w:t>‬</w:t>
        </w:r>
        <w:r w:rsidR="00514107">
          <w:t>‬</w:t>
        </w:r>
        <w:r w:rsidR="007067C3">
          <w:t>‬</w:t>
        </w:r>
      </w:dir>
    </w:p>
  </w:footnote>
  <w:footnote w:id="21">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 xml:space="preserve">انظر، في جملة أمور، </w:t>
      </w:r>
      <w:proofErr w:type="spellStart"/>
      <w:r w:rsidRPr="00BD06EC">
        <w:rPr>
          <w:i/>
          <w:iCs/>
          <w:rtl/>
        </w:rPr>
        <w:t>يوساييف</w:t>
      </w:r>
      <w:proofErr w:type="spellEnd"/>
      <w:r w:rsidRPr="00BD06EC">
        <w:rPr>
          <w:i/>
          <w:iCs/>
          <w:rtl/>
        </w:rPr>
        <w:t xml:space="preserve"> ضد الاتحاد الروسي</w:t>
      </w:r>
      <w:r w:rsidRPr="00A44950">
        <w:rPr>
          <w:rtl/>
        </w:rPr>
        <w:t>، الفقرة ١١.</w:t>
      </w:r>
    </w:p>
  </w:footnote>
  <w:footnote w:id="22">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التعليق العام رقم 3، الفقرات 2، و6، و9.</w:t>
      </w:r>
      <w:r w:rsidRPr="00A44950">
        <w:rPr>
          <w:rFonts w:hint="cs"/>
          <w:rtl/>
        </w:rPr>
        <w:t xml:space="preserve"> وانظر أيضاً:</w:t>
      </w:r>
      <w:r w:rsidRPr="00A44950">
        <w:rPr>
          <w:rtl/>
        </w:rPr>
        <w:t xml:space="preserve"> </w:t>
      </w:r>
      <w:r w:rsidR="00E94136">
        <w:t>Special Rapporteur on torture and other cruel, inhuman or degrading treatment or punishment, “Study on the phenomena of torture, cruel, inhuman or degrading treatment or punishment in the world, including an assessment of conditions of detention” (A/HRC/13/39/Add.5), paras. 167–173</w:t>
      </w:r>
      <w:r w:rsidRPr="00A44950">
        <w:rPr>
          <w:rtl/>
        </w:rPr>
        <w:t xml:space="preserve">. [المقرر الخاص المعني بالتعذيب وغيره من ضروب المعاملة أو العقوبة القاسية أو اللاإنسانية أو المهينة، "دراسة عن ظاهرة التعذيب </w:t>
      </w:r>
      <w:r w:rsidRPr="00A44950">
        <w:rPr>
          <w:rFonts w:hint="cs"/>
          <w:rtl/>
        </w:rPr>
        <w:t>و</w:t>
      </w:r>
      <w:r w:rsidRPr="00A44950">
        <w:rPr>
          <w:rtl/>
        </w:rPr>
        <w:t>المعاملة أو العقوبة القاسية أو</w:t>
      </w:r>
      <w:r w:rsidR="00F150FE">
        <w:rPr>
          <w:rFonts w:hint="cs"/>
          <w:rtl/>
        </w:rPr>
        <w:t> </w:t>
      </w:r>
      <w:r w:rsidRPr="00A44950">
        <w:rPr>
          <w:rtl/>
        </w:rPr>
        <w:t xml:space="preserve">اللاإنسانية أو المهينة في العالم، بما في ذلك تقييم </w:t>
      </w:r>
      <w:r w:rsidRPr="00A44950">
        <w:rPr>
          <w:rFonts w:hint="cs"/>
          <w:rtl/>
        </w:rPr>
        <w:t xml:space="preserve">ظروف </w:t>
      </w:r>
      <w:r w:rsidRPr="00A44950">
        <w:rPr>
          <w:rtl/>
        </w:rPr>
        <w:t>الاحتجاز" (</w:t>
      </w:r>
      <w:r w:rsidRPr="00A44950">
        <w:t>A/HRC/13/39/Add.5</w:t>
      </w:r>
      <w:r w:rsidRPr="00A44950">
        <w:rPr>
          <w:rFonts w:hint="cs"/>
          <w:rtl/>
        </w:rPr>
        <w:t>)</w:t>
      </w:r>
      <w:r w:rsidRPr="00A44950">
        <w:rPr>
          <w:rtl/>
        </w:rPr>
        <w:t>، الفقر</w:t>
      </w:r>
      <w:r w:rsidRPr="00A44950">
        <w:rPr>
          <w:rFonts w:hint="cs"/>
          <w:rtl/>
        </w:rPr>
        <w:t>ا</w:t>
      </w:r>
      <w:r w:rsidRPr="00A44950">
        <w:rPr>
          <w:rtl/>
        </w:rPr>
        <w:t>ت</w:t>
      </w:r>
      <w:r w:rsidR="00F150FE">
        <w:rPr>
          <w:rFonts w:hint="cs"/>
          <w:rtl/>
        </w:rPr>
        <w:t> </w:t>
      </w:r>
      <w:r w:rsidRPr="00A44950">
        <w:rPr>
          <w:rtl/>
        </w:rPr>
        <w:t>١٦٧-١٧٣].</w:t>
      </w:r>
    </w:p>
  </w:footnote>
  <w:footnote w:id="23">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التعليق العام رقم 3، الفقرة 11.</w:t>
      </w:r>
    </w:p>
  </w:footnote>
  <w:footnote w:id="24">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المرجع نفسه، الفقرة 16.</w:t>
      </w:r>
    </w:p>
  </w:footnote>
  <w:footnote w:id="25">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المرجع نفسه، الفقرة 18.</w:t>
      </w:r>
    </w:p>
  </w:footnote>
  <w:footnote w:id="26">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 xml:space="preserve">المحكمة الدستورية </w:t>
      </w:r>
      <w:r w:rsidRPr="00A44950">
        <w:rPr>
          <w:rFonts w:hint="cs"/>
          <w:rtl/>
        </w:rPr>
        <w:t>ل</w:t>
      </w:r>
      <w:r w:rsidRPr="00A44950">
        <w:rPr>
          <w:rtl/>
        </w:rPr>
        <w:t xml:space="preserve">لبوسنة والهرسك، محكمة البوسنة والهرسك، وحدة دعم الشهود التابعة لمحكمة البوسنة والهرسك، مكتب الادعاء العام للبوسنة والهرسك، وزارة العدل البوسنية، وزارة العدل لجمهورية </w:t>
      </w:r>
      <w:proofErr w:type="spellStart"/>
      <w:r w:rsidRPr="00A44950">
        <w:rPr>
          <w:rtl/>
        </w:rPr>
        <w:t>صربسكا</w:t>
      </w:r>
      <w:proofErr w:type="spellEnd"/>
      <w:r w:rsidRPr="00A44950">
        <w:rPr>
          <w:rtl/>
        </w:rPr>
        <w:t>، وزارة العدل لاتحاد البوسنة والهرسك، وزارة العمل والسياسة الاجتماعية لاتحاد البوسنة والهرسك.</w:t>
      </w:r>
    </w:p>
  </w:footnote>
  <w:footnote w:id="27">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مبلغ ٠٠٠ ١٦ مارك</w:t>
      </w:r>
      <w:r w:rsidRPr="00A44950">
        <w:rPr>
          <w:rFonts w:hint="cs"/>
          <w:rtl/>
        </w:rPr>
        <w:t>ا</w:t>
      </w:r>
      <w:r w:rsidR="00F150FE">
        <w:rPr>
          <w:rFonts w:hint="cs"/>
          <w:rtl/>
        </w:rPr>
        <w:t>ً</w:t>
      </w:r>
      <w:r w:rsidRPr="00A44950">
        <w:rPr>
          <w:rtl/>
        </w:rPr>
        <w:t xml:space="preserve"> تعويضاً عن معاناتها النفسية بسبب انتهاك حقوقها، ومبلغ ٠٠٠ ١٤ مارك</w:t>
      </w:r>
      <w:r w:rsidRPr="00A44950">
        <w:rPr>
          <w:rFonts w:hint="cs"/>
          <w:rtl/>
        </w:rPr>
        <w:t>ا</w:t>
      </w:r>
      <w:r w:rsidR="00F150FE">
        <w:rPr>
          <w:rFonts w:hint="cs"/>
          <w:rtl/>
        </w:rPr>
        <w:t>ً</w:t>
      </w:r>
      <w:r w:rsidRPr="00A44950">
        <w:rPr>
          <w:rtl/>
        </w:rPr>
        <w:t xml:space="preserve"> تعويضاً عن معاناتها النفسية بسبب </w:t>
      </w:r>
      <w:r w:rsidRPr="00A44950">
        <w:rPr>
          <w:rFonts w:hint="cs"/>
          <w:rtl/>
        </w:rPr>
        <w:t xml:space="preserve">تراجع </w:t>
      </w:r>
      <w:r w:rsidRPr="00A44950">
        <w:rPr>
          <w:rtl/>
        </w:rPr>
        <w:t>نشاطها الحياتي.</w:t>
      </w:r>
    </w:p>
  </w:footnote>
  <w:footnote w:id="28">
    <w:p w:rsidR="00A44950" w:rsidRPr="00E94136" w:rsidRDefault="00A44950" w:rsidP="00A44950">
      <w:pPr>
        <w:pStyle w:val="FootnoteText1"/>
        <w:rPr>
          <w:spacing w:val="-5"/>
          <w:rtl/>
        </w:rPr>
      </w:pPr>
      <w:r w:rsidRPr="00E94136">
        <w:rPr>
          <w:b/>
          <w:spacing w:val="-5"/>
          <w:rtl/>
        </w:rPr>
        <w:t>(</w:t>
      </w:r>
      <w:r w:rsidRPr="00E94136">
        <w:rPr>
          <w:b/>
          <w:spacing w:val="-5"/>
          <w:rtl/>
        </w:rPr>
        <w:footnoteRef/>
      </w:r>
      <w:r w:rsidRPr="00E94136">
        <w:rPr>
          <w:b/>
          <w:spacing w:val="-5"/>
          <w:rtl/>
        </w:rPr>
        <w:t>)</w:t>
      </w:r>
      <w:r w:rsidRPr="00E94136">
        <w:rPr>
          <w:spacing w:val="-5"/>
          <w:rtl/>
        </w:rPr>
        <w:tab/>
        <w:t xml:space="preserve">تبلغ نسبة الدخل الشهري </w:t>
      </w:r>
      <w:r w:rsidRPr="00E94136">
        <w:rPr>
          <w:rFonts w:hint="cs"/>
          <w:spacing w:val="-5"/>
          <w:rtl/>
        </w:rPr>
        <w:t xml:space="preserve">الشخصي </w:t>
      </w:r>
      <w:r w:rsidRPr="00E94136">
        <w:rPr>
          <w:spacing w:val="-5"/>
          <w:rtl/>
        </w:rPr>
        <w:t xml:space="preserve">٧٠ في المائة من بدل العجز الشهري </w:t>
      </w:r>
      <w:r w:rsidRPr="00E94136">
        <w:rPr>
          <w:rFonts w:hint="cs"/>
          <w:spacing w:val="-5"/>
          <w:rtl/>
        </w:rPr>
        <w:t>ل</w:t>
      </w:r>
      <w:r w:rsidRPr="00E94136">
        <w:rPr>
          <w:spacing w:val="-5"/>
          <w:rtl/>
        </w:rPr>
        <w:t>لمحاربين القدماء</w:t>
      </w:r>
      <w:r w:rsidRPr="00E94136">
        <w:rPr>
          <w:rFonts w:hint="cs"/>
          <w:spacing w:val="-5"/>
          <w:rtl/>
        </w:rPr>
        <w:t xml:space="preserve"> من فئة الإعاقة الأولى</w:t>
      </w:r>
      <w:r w:rsidRPr="00E94136">
        <w:rPr>
          <w:spacing w:val="-5"/>
          <w:rtl/>
        </w:rPr>
        <w:t>.</w:t>
      </w:r>
    </w:p>
  </w:footnote>
  <w:footnote w:id="29">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ينص مشروع قانون حقوق ضحايا التعذيب في البوسنة والهرسك على تقديم اعتذار رسمي</w:t>
      </w:r>
      <w:r w:rsidRPr="00A44950">
        <w:rPr>
          <w:rFonts w:hint="cs"/>
          <w:rtl/>
        </w:rPr>
        <w:t>،</w:t>
      </w:r>
      <w:r w:rsidRPr="00A44950">
        <w:rPr>
          <w:rtl/>
        </w:rPr>
        <w:t xml:space="preserve"> بوصفه سبيلاً للانتصاف</w:t>
      </w:r>
      <w:r w:rsidRPr="00A44950">
        <w:rPr>
          <w:rFonts w:hint="cs"/>
          <w:rtl/>
        </w:rPr>
        <w:t xml:space="preserve"> ل</w:t>
      </w:r>
      <w:r w:rsidRPr="00A44950">
        <w:rPr>
          <w:rtl/>
        </w:rPr>
        <w:t xml:space="preserve">ضحايا التعذيب؛ لكن هذا </w:t>
      </w:r>
      <w:r w:rsidRPr="00A44950">
        <w:rPr>
          <w:rFonts w:hint="cs"/>
          <w:rtl/>
        </w:rPr>
        <w:t>ا</w:t>
      </w:r>
      <w:r w:rsidRPr="00A44950">
        <w:rPr>
          <w:rtl/>
        </w:rPr>
        <w:t>لمشروع لم</w:t>
      </w:r>
      <w:r w:rsidRPr="00A44950">
        <w:rPr>
          <w:rFonts w:hint="cs"/>
          <w:rtl/>
        </w:rPr>
        <w:t xml:space="preserve"> يتم إقراره</w:t>
      </w:r>
      <w:r w:rsidRPr="00A44950">
        <w:rPr>
          <w:rtl/>
        </w:rPr>
        <w:t>.</w:t>
      </w:r>
    </w:p>
  </w:footnote>
  <w:footnote w:id="30">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r>
      <w:proofErr w:type="spellStart"/>
      <w:r w:rsidRPr="00BD06EC">
        <w:rPr>
          <w:i/>
          <w:iCs/>
          <w:rtl/>
        </w:rPr>
        <w:t>جيراسيموف</w:t>
      </w:r>
      <w:proofErr w:type="spellEnd"/>
      <w:r w:rsidRPr="00BD06EC">
        <w:rPr>
          <w:i/>
          <w:iCs/>
          <w:rtl/>
        </w:rPr>
        <w:t xml:space="preserve"> ضد كازاخستان</w:t>
      </w:r>
      <w:r w:rsidRPr="00A44950">
        <w:rPr>
          <w:rtl/>
        </w:rPr>
        <w:t xml:space="preserve"> (</w:t>
      </w:r>
      <w:r w:rsidRPr="00A44950">
        <w:t>CAT/C/48/D/433/2010</w:t>
      </w:r>
      <w:r w:rsidRPr="00A44950">
        <w:rPr>
          <w:rFonts w:hint="cs"/>
          <w:rtl/>
        </w:rPr>
        <w:t xml:space="preserve">)، </w:t>
      </w:r>
      <w:r w:rsidRPr="00A44950">
        <w:rPr>
          <w:rtl/>
        </w:rPr>
        <w:t>الفقرة 11-2.</w:t>
      </w:r>
    </w:p>
  </w:footnote>
  <w:footnote w:id="31">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Fonts w:hint="cs"/>
          <w:rtl/>
        </w:rPr>
        <w:tab/>
      </w:r>
      <w:r w:rsidRPr="00BD06EC">
        <w:rPr>
          <w:i/>
          <w:iCs/>
          <w:rtl/>
        </w:rPr>
        <w:t>عثماني ضد صربيا</w:t>
      </w:r>
      <w:r w:rsidRPr="00A44950">
        <w:rPr>
          <w:rtl/>
        </w:rPr>
        <w:t xml:space="preserve"> (</w:t>
      </w:r>
      <w:r w:rsidRPr="00A44950">
        <w:fldChar w:fldCharType="begin"/>
      </w:r>
      <w:r>
        <w:instrText xml:space="preserve"> FILLIN "Symbol" \* MERGEFORMAT </w:instrText>
      </w:r>
      <w:r w:rsidRPr="00A44950">
        <w:fldChar w:fldCharType="separate"/>
      </w:r>
      <w:r w:rsidRPr="00A44950">
        <w:t>CAT/C/42/D/261/</w:t>
      </w:r>
      <w:r w:rsidRPr="00A44950">
        <w:fldChar w:fldCharType="end"/>
      </w:r>
      <w:r w:rsidRPr="00A44950">
        <w:t>2005</w:t>
      </w:r>
      <w:r w:rsidRPr="00A44950">
        <w:rPr>
          <w:rFonts w:hint="cs"/>
          <w:rtl/>
        </w:rPr>
        <w:t>)،</w:t>
      </w:r>
      <w:r w:rsidRPr="00A44950">
        <w:rPr>
          <w:rtl/>
        </w:rPr>
        <w:t xml:space="preserve"> الفقرة 7-1.</w:t>
      </w:r>
    </w:p>
  </w:footnote>
  <w:footnote w:id="32">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r>
      <w:proofErr w:type="spellStart"/>
      <w:r w:rsidRPr="00BD06EC">
        <w:rPr>
          <w:i/>
          <w:iCs/>
          <w:rtl/>
        </w:rPr>
        <w:t>راكيشيف</w:t>
      </w:r>
      <w:proofErr w:type="spellEnd"/>
      <w:r w:rsidRPr="00BD06EC">
        <w:rPr>
          <w:i/>
          <w:iCs/>
          <w:rtl/>
        </w:rPr>
        <w:t xml:space="preserve"> </w:t>
      </w:r>
      <w:proofErr w:type="spellStart"/>
      <w:r w:rsidRPr="00BD06EC">
        <w:rPr>
          <w:i/>
          <w:iCs/>
          <w:rtl/>
        </w:rPr>
        <w:t>وراكيشيف</w:t>
      </w:r>
      <w:proofErr w:type="spellEnd"/>
      <w:r w:rsidRPr="00BD06EC">
        <w:rPr>
          <w:i/>
          <w:iCs/>
          <w:rtl/>
        </w:rPr>
        <w:t xml:space="preserve"> ضد كازاخستان</w:t>
      </w:r>
      <w:r w:rsidRPr="00A44950">
        <w:rPr>
          <w:rtl/>
        </w:rPr>
        <w:t xml:space="preserve"> (</w:t>
      </w:r>
      <w:r w:rsidRPr="00A44950">
        <w:t>CAT/C/61/D/661/2015</w:t>
      </w:r>
      <w:r w:rsidRPr="00A44950">
        <w:rPr>
          <w:rFonts w:hint="cs"/>
          <w:rtl/>
        </w:rPr>
        <w:t>)</w:t>
      </w:r>
      <w:r w:rsidRPr="00A44950">
        <w:rPr>
          <w:rtl/>
        </w:rPr>
        <w:t>، الفقرة 8-2.</w:t>
      </w:r>
    </w:p>
  </w:footnote>
  <w:footnote w:id="33">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r>
      <w:r w:rsidRPr="00BD06EC">
        <w:rPr>
          <w:i/>
          <w:iCs/>
          <w:rtl/>
        </w:rPr>
        <w:t>بن سالم ضد تونس</w:t>
      </w:r>
      <w:r w:rsidRPr="00A44950">
        <w:rPr>
          <w:rtl/>
        </w:rPr>
        <w:t xml:space="preserve"> (</w:t>
      </w:r>
      <w:r w:rsidRPr="00A44950">
        <w:t>CAT/C/39/D/269/2005</w:t>
      </w:r>
      <w:r w:rsidRPr="00A44950">
        <w:rPr>
          <w:rFonts w:hint="cs"/>
          <w:rtl/>
        </w:rPr>
        <w:t>)</w:t>
      </w:r>
      <w:r w:rsidRPr="00A44950">
        <w:rPr>
          <w:rtl/>
        </w:rPr>
        <w:t>، الفقرة 16-4.</w:t>
      </w:r>
    </w:p>
  </w:footnote>
  <w:footnote w:id="34">
    <w:p w:rsidR="00A44950" w:rsidRPr="00F150FE" w:rsidRDefault="00A44950" w:rsidP="00A44950">
      <w:pPr>
        <w:pStyle w:val="FootnoteText1"/>
        <w:rPr>
          <w:spacing w:val="-2"/>
          <w:rtl/>
        </w:rPr>
      </w:pPr>
      <w:r w:rsidRPr="00F150FE">
        <w:rPr>
          <w:b/>
          <w:spacing w:val="-2"/>
          <w:rtl/>
        </w:rPr>
        <w:t>(</w:t>
      </w:r>
      <w:r w:rsidRPr="00F150FE">
        <w:rPr>
          <w:b/>
          <w:spacing w:val="-2"/>
          <w:rtl/>
        </w:rPr>
        <w:footnoteRef/>
      </w:r>
      <w:r w:rsidRPr="00F150FE">
        <w:rPr>
          <w:b/>
          <w:spacing w:val="-2"/>
          <w:rtl/>
        </w:rPr>
        <w:t>)</w:t>
      </w:r>
      <w:r w:rsidRPr="00F150FE">
        <w:rPr>
          <w:spacing w:val="-2"/>
          <w:rtl/>
        </w:rPr>
        <w:tab/>
        <w:t xml:space="preserve">فيما يتعلق بالجرائم التي ارتكبت في بلدية </w:t>
      </w:r>
      <w:proofErr w:type="spellStart"/>
      <w:r w:rsidRPr="00F150FE">
        <w:rPr>
          <w:spacing w:val="-2"/>
          <w:rtl/>
        </w:rPr>
        <w:t>فوغوسكا</w:t>
      </w:r>
      <w:proofErr w:type="spellEnd"/>
      <w:r w:rsidRPr="00F150FE">
        <w:rPr>
          <w:spacing w:val="-2"/>
          <w:rtl/>
        </w:rPr>
        <w:t xml:space="preserve"> إبان الحرب، انظر، في جملة أمور</w:t>
      </w:r>
      <w:r w:rsidRPr="00F150FE">
        <w:rPr>
          <w:rFonts w:hint="cs"/>
          <w:spacing w:val="-2"/>
          <w:rtl/>
        </w:rPr>
        <w:t>:</w:t>
      </w:r>
      <w:r w:rsidRPr="00F150FE">
        <w:rPr>
          <w:spacing w:val="-2"/>
          <w:rtl/>
        </w:rPr>
        <w:t xml:space="preserve"> </w:t>
      </w:r>
      <w:r w:rsidR="00E94136" w:rsidRPr="00F150FE">
        <w:rPr>
          <w:spacing w:val="-2"/>
        </w:rPr>
        <w:t xml:space="preserve">Court of Bosnia and Herzegovina, </w:t>
      </w:r>
      <w:r w:rsidR="00E94136" w:rsidRPr="00F150FE">
        <w:rPr>
          <w:i/>
          <w:iCs/>
          <w:spacing w:val="-2"/>
        </w:rPr>
        <w:t>Prosecutor v. Dragan Damjanovic</w:t>
      </w:r>
      <w:r w:rsidR="00E94136" w:rsidRPr="00F150FE">
        <w:rPr>
          <w:spacing w:val="-2"/>
        </w:rPr>
        <w:t>, decisions of 15 December 2006 (Trial Chamber) and 13 June 2007 (second instance verdict)</w:t>
      </w:r>
      <w:r w:rsidRPr="00F150FE">
        <w:rPr>
          <w:spacing w:val="-2"/>
          <w:rtl/>
        </w:rPr>
        <w:t>.</w:t>
      </w:r>
      <w:r w:rsidRPr="00F150FE">
        <w:rPr>
          <w:rFonts w:hint="cs"/>
          <w:spacing w:val="-2"/>
          <w:rtl/>
        </w:rPr>
        <w:t xml:space="preserve"> [</w:t>
      </w:r>
      <w:r w:rsidRPr="00F150FE">
        <w:rPr>
          <w:spacing w:val="-2"/>
          <w:rtl/>
        </w:rPr>
        <w:t>محكمة البوسنة والهرسك</w:t>
      </w:r>
      <w:r w:rsidRPr="00F150FE">
        <w:rPr>
          <w:rFonts w:hint="cs"/>
          <w:spacing w:val="-2"/>
          <w:rtl/>
        </w:rPr>
        <w:t>،</w:t>
      </w:r>
      <w:r w:rsidRPr="00F150FE">
        <w:rPr>
          <w:spacing w:val="-2"/>
          <w:rtl/>
        </w:rPr>
        <w:t xml:space="preserve"> </w:t>
      </w:r>
      <w:r w:rsidRPr="00F150FE">
        <w:rPr>
          <w:i/>
          <w:iCs/>
          <w:spacing w:val="-2"/>
          <w:rtl/>
        </w:rPr>
        <w:t xml:space="preserve">المدعي العام ضد </w:t>
      </w:r>
      <w:proofErr w:type="spellStart"/>
      <w:r w:rsidRPr="00F150FE">
        <w:rPr>
          <w:i/>
          <w:iCs/>
          <w:spacing w:val="-2"/>
          <w:rtl/>
        </w:rPr>
        <w:t>دراغان</w:t>
      </w:r>
      <w:proofErr w:type="spellEnd"/>
      <w:r w:rsidRPr="00F150FE">
        <w:rPr>
          <w:i/>
          <w:iCs/>
          <w:spacing w:val="-2"/>
          <w:rtl/>
        </w:rPr>
        <w:t xml:space="preserve"> </w:t>
      </w:r>
      <w:proofErr w:type="spellStart"/>
      <w:r w:rsidRPr="00F150FE">
        <w:rPr>
          <w:i/>
          <w:iCs/>
          <w:spacing w:val="-2"/>
          <w:rtl/>
        </w:rPr>
        <w:t>داميانوفيتش</w:t>
      </w:r>
      <w:proofErr w:type="spellEnd"/>
      <w:r w:rsidRPr="00F150FE">
        <w:rPr>
          <w:spacing w:val="-2"/>
          <w:rtl/>
        </w:rPr>
        <w:t xml:space="preserve">، القرارين المؤرخين ١٥ كانون الأول/ديسمبر ٢٠٠٦ (الدائرة الابتدائية) و١٣ حزيران/يونيه ٢٠٠٧ (حكم محكمة </w:t>
      </w:r>
      <w:r w:rsidRPr="00F150FE">
        <w:rPr>
          <w:rFonts w:hint="cs"/>
          <w:spacing w:val="-2"/>
          <w:rtl/>
        </w:rPr>
        <w:t xml:space="preserve">الدرجة </w:t>
      </w:r>
      <w:r w:rsidRPr="00F150FE">
        <w:rPr>
          <w:spacing w:val="-2"/>
          <w:rtl/>
        </w:rPr>
        <w:t>الثانية).</w:t>
      </w:r>
      <w:r w:rsidRPr="00F150FE">
        <w:rPr>
          <w:rFonts w:hint="cs"/>
          <w:spacing w:val="-2"/>
          <w:rtl/>
        </w:rPr>
        <w:t>]</w:t>
      </w:r>
    </w:p>
  </w:footnote>
  <w:footnote w:id="35">
    <w:p w:rsidR="00A44950" w:rsidRPr="00A44950" w:rsidRDefault="00A44950" w:rsidP="00E94136">
      <w:pPr>
        <w:pStyle w:val="FootnoteText1"/>
        <w:rPr>
          <w:rtl/>
        </w:rPr>
      </w:pPr>
      <w:r w:rsidRPr="00A44950">
        <w:rPr>
          <w:b/>
          <w:rtl/>
        </w:rPr>
        <w:t>(</w:t>
      </w:r>
      <w:r w:rsidRPr="00A44950">
        <w:rPr>
          <w:b/>
          <w:rtl/>
        </w:rPr>
        <w:footnoteRef/>
      </w:r>
      <w:r w:rsidRPr="00A44950">
        <w:rPr>
          <w:b/>
          <w:rtl/>
        </w:rPr>
        <w:t>)</w:t>
      </w:r>
      <w:r w:rsidRPr="00A44950">
        <w:rPr>
          <w:rtl/>
        </w:rPr>
        <w:tab/>
        <w:t>انظر، بصفة عامة</w:t>
      </w:r>
      <w:r>
        <w:rPr>
          <w:rFonts w:hint="cs"/>
          <w:rtl/>
        </w:rPr>
        <w:t xml:space="preserve">: </w:t>
      </w:r>
      <w:r w:rsidR="00E94136" w:rsidRPr="00E94136">
        <w:rPr>
          <w:lang w:val="en-GB"/>
        </w:rPr>
        <w:t xml:space="preserve">International Tribunal for the Former Yugoslavia, </w:t>
      </w:r>
      <w:r w:rsidR="00E94136" w:rsidRPr="00E94136">
        <w:rPr>
          <w:i/>
          <w:iCs/>
          <w:lang w:val="en-GB"/>
        </w:rPr>
        <w:t xml:space="preserve">Prosecutor v. </w:t>
      </w:r>
      <w:proofErr w:type="spellStart"/>
      <w:r w:rsidR="00E94136" w:rsidRPr="00E94136">
        <w:rPr>
          <w:i/>
          <w:iCs/>
          <w:lang w:val="en-GB"/>
        </w:rPr>
        <w:t>Zejnil</w:t>
      </w:r>
      <w:proofErr w:type="spellEnd"/>
      <w:r w:rsidR="00E94136" w:rsidRPr="00E94136">
        <w:rPr>
          <w:i/>
          <w:iCs/>
          <w:lang w:val="en-GB"/>
        </w:rPr>
        <w:t xml:space="preserve"> </w:t>
      </w:r>
      <w:proofErr w:type="spellStart"/>
      <w:r w:rsidR="00E94136" w:rsidRPr="00E94136">
        <w:rPr>
          <w:i/>
          <w:iCs/>
          <w:lang w:val="en-GB"/>
        </w:rPr>
        <w:t>Delalić</w:t>
      </w:r>
      <w:proofErr w:type="spellEnd"/>
      <w:r w:rsidR="00E94136" w:rsidRPr="00E94136">
        <w:rPr>
          <w:i/>
          <w:iCs/>
          <w:lang w:val="en-GB"/>
        </w:rPr>
        <w:t xml:space="preserve">, Zdravko </w:t>
      </w:r>
      <w:proofErr w:type="spellStart"/>
      <w:r w:rsidR="00E94136" w:rsidRPr="00E94136">
        <w:rPr>
          <w:i/>
          <w:iCs/>
          <w:lang w:val="en-GB"/>
        </w:rPr>
        <w:t>Mucić</w:t>
      </w:r>
      <w:proofErr w:type="spellEnd"/>
      <w:r w:rsidR="00E94136" w:rsidRPr="00E94136">
        <w:rPr>
          <w:i/>
          <w:iCs/>
          <w:lang w:val="en-GB"/>
        </w:rPr>
        <w:t xml:space="preserve">, </w:t>
      </w:r>
      <w:proofErr w:type="spellStart"/>
      <w:r w:rsidR="00E94136" w:rsidRPr="00E94136">
        <w:rPr>
          <w:i/>
          <w:iCs/>
          <w:lang w:val="en-GB"/>
        </w:rPr>
        <w:t>Hazim</w:t>
      </w:r>
      <w:proofErr w:type="spellEnd"/>
      <w:r w:rsidR="00E94136" w:rsidRPr="00E94136">
        <w:rPr>
          <w:i/>
          <w:iCs/>
          <w:lang w:val="en-GB"/>
        </w:rPr>
        <w:t xml:space="preserve"> </w:t>
      </w:r>
      <w:proofErr w:type="spellStart"/>
      <w:r w:rsidR="00E94136" w:rsidRPr="00E94136">
        <w:rPr>
          <w:i/>
          <w:iCs/>
          <w:lang w:val="en-GB"/>
        </w:rPr>
        <w:t>Delić</w:t>
      </w:r>
      <w:proofErr w:type="spellEnd"/>
      <w:r w:rsidR="00E94136" w:rsidRPr="00E94136">
        <w:rPr>
          <w:i/>
          <w:iCs/>
          <w:lang w:val="en-GB"/>
        </w:rPr>
        <w:t xml:space="preserve"> and </w:t>
      </w:r>
      <w:proofErr w:type="spellStart"/>
      <w:r w:rsidR="00E94136" w:rsidRPr="00E94136">
        <w:rPr>
          <w:i/>
          <w:iCs/>
          <w:lang w:val="en-GB"/>
        </w:rPr>
        <w:t>Esad</w:t>
      </w:r>
      <w:proofErr w:type="spellEnd"/>
      <w:r w:rsidR="00E94136" w:rsidRPr="00E94136">
        <w:rPr>
          <w:i/>
          <w:iCs/>
          <w:lang w:val="en-GB"/>
        </w:rPr>
        <w:t xml:space="preserve"> </w:t>
      </w:r>
      <w:proofErr w:type="spellStart"/>
      <w:r w:rsidR="00E94136" w:rsidRPr="00E94136">
        <w:rPr>
          <w:i/>
          <w:iCs/>
          <w:lang w:val="en-GB"/>
        </w:rPr>
        <w:t>Landžo</w:t>
      </w:r>
      <w:proofErr w:type="spellEnd"/>
      <w:r w:rsidR="00E94136" w:rsidRPr="00E94136">
        <w:rPr>
          <w:lang w:val="en-GB"/>
        </w:rPr>
        <w:t xml:space="preserve"> (case No. IT-96-21-T), Judgment of 16 November 1998, para. 493</w:t>
      </w:r>
      <w:r w:rsidRPr="00A44950">
        <w:rPr>
          <w:rtl/>
        </w:rPr>
        <w:t xml:space="preserve">. [المحكمة الدولية ليوغوسلافيا السابقة، </w:t>
      </w:r>
      <w:r w:rsidRPr="00E92CD1">
        <w:rPr>
          <w:i/>
          <w:iCs/>
          <w:rtl/>
        </w:rPr>
        <w:t xml:space="preserve">المدعي العام ضد </w:t>
      </w:r>
      <w:proofErr w:type="spellStart"/>
      <w:r w:rsidRPr="00E92CD1">
        <w:rPr>
          <w:i/>
          <w:iCs/>
          <w:rtl/>
        </w:rPr>
        <w:t>زينيل</w:t>
      </w:r>
      <w:proofErr w:type="spellEnd"/>
      <w:r w:rsidRPr="00E92CD1">
        <w:rPr>
          <w:i/>
          <w:iCs/>
          <w:rtl/>
        </w:rPr>
        <w:t xml:space="preserve"> </w:t>
      </w:r>
      <w:proofErr w:type="spellStart"/>
      <w:r w:rsidRPr="00E92CD1">
        <w:rPr>
          <w:i/>
          <w:iCs/>
          <w:rtl/>
        </w:rPr>
        <w:t>ديلاليتش</w:t>
      </w:r>
      <w:proofErr w:type="spellEnd"/>
      <w:r w:rsidRPr="00E92CD1">
        <w:rPr>
          <w:i/>
          <w:iCs/>
          <w:rtl/>
        </w:rPr>
        <w:t xml:space="preserve">، </w:t>
      </w:r>
      <w:proofErr w:type="spellStart"/>
      <w:r w:rsidRPr="00E92CD1">
        <w:rPr>
          <w:rFonts w:hint="cs"/>
          <w:i/>
          <w:iCs/>
          <w:rtl/>
        </w:rPr>
        <w:t>و</w:t>
      </w:r>
      <w:r w:rsidRPr="00E92CD1">
        <w:rPr>
          <w:i/>
          <w:iCs/>
          <w:rtl/>
        </w:rPr>
        <w:t>زدرافكو</w:t>
      </w:r>
      <w:proofErr w:type="spellEnd"/>
      <w:r w:rsidRPr="00E92CD1">
        <w:rPr>
          <w:i/>
          <w:iCs/>
          <w:rtl/>
        </w:rPr>
        <w:t xml:space="preserve"> </w:t>
      </w:r>
      <w:proofErr w:type="spellStart"/>
      <w:r w:rsidRPr="00E92CD1">
        <w:rPr>
          <w:i/>
          <w:iCs/>
          <w:rtl/>
        </w:rPr>
        <w:t>موسيتش</w:t>
      </w:r>
      <w:proofErr w:type="spellEnd"/>
      <w:r w:rsidRPr="00E92CD1">
        <w:rPr>
          <w:i/>
          <w:iCs/>
          <w:rtl/>
        </w:rPr>
        <w:t xml:space="preserve">، </w:t>
      </w:r>
      <w:r w:rsidRPr="00E92CD1">
        <w:rPr>
          <w:rFonts w:hint="cs"/>
          <w:i/>
          <w:iCs/>
          <w:rtl/>
        </w:rPr>
        <w:t>و</w:t>
      </w:r>
      <w:r w:rsidRPr="00E92CD1">
        <w:rPr>
          <w:i/>
          <w:iCs/>
          <w:rtl/>
        </w:rPr>
        <w:t xml:space="preserve">حازم </w:t>
      </w:r>
      <w:proofErr w:type="spellStart"/>
      <w:r w:rsidRPr="00E92CD1">
        <w:rPr>
          <w:i/>
          <w:iCs/>
          <w:rtl/>
        </w:rPr>
        <w:t>ديليتش</w:t>
      </w:r>
      <w:proofErr w:type="spellEnd"/>
      <w:r w:rsidRPr="00E92CD1">
        <w:rPr>
          <w:i/>
          <w:iCs/>
          <w:rtl/>
        </w:rPr>
        <w:t xml:space="preserve">، </w:t>
      </w:r>
      <w:proofErr w:type="spellStart"/>
      <w:r w:rsidRPr="00E92CD1">
        <w:rPr>
          <w:i/>
          <w:iCs/>
          <w:rtl/>
        </w:rPr>
        <w:t>وإيساد</w:t>
      </w:r>
      <w:proofErr w:type="spellEnd"/>
      <w:r w:rsidRPr="00E92CD1">
        <w:rPr>
          <w:i/>
          <w:iCs/>
          <w:rtl/>
        </w:rPr>
        <w:t xml:space="preserve"> </w:t>
      </w:r>
      <w:proofErr w:type="spellStart"/>
      <w:r w:rsidRPr="00E92CD1">
        <w:rPr>
          <w:i/>
          <w:iCs/>
          <w:rtl/>
        </w:rPr>
        <w:t>لاندزو</w:t>
      </w:r>
      <w:proofErr w:type="spellEnd"/>
      <w:r w:rsidRPr="00A44950">
        <w:rPr>
          <w:rtl/>
        </w:rPr>
        <w:t xml:space="preserve"> (القضية رقم </w:t>
      </w:r>
      <w:r w:rsidRPr="00A44950">
        <w:t>IT-96-21-</w:t>
      </w:r>
      <w:proofErr w:type="gramStart"/>
      <w:r w:rsidRPr="00A44950">
        <w:t>T</w:t>
      </w:r>
      <w:r w:rsidRPr="00A44950">
        <w:rPr>
          <w:rFonts w:hint="cs"/>
          <w:rtl/>
        </w:rPr>
        <w:t>)</w:t>
      </w:r>
      <w:r w:rsidRPr="00A44950">
        <w:rPr>
          <w:rtl/>
        </w:rPr>
        <w:t>،</w:t>
      </w:r>
      <w:proofErr w:type="gramEnd"/>
      <w:r w:rsidRPr="00A44950">
        <w:rPr>
          <w:rtl/>
        </w:rPr>
        <w:t xml:space="preserve"> الحكم الصادر في ١٦ تشرين الثاني/نوفمبر ١٩٩٨، الفقرة ٤٩٣].</w:t>
      </w:r>
    </w:p>
  </w:footnote>
  <w:footnote w:id="36">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 xml:space="preserve">فيما يتعلق بمسألة التمييز ضد المرأة، بما في ذلك العنف الجنساني، انظر اللجنة المعنية بالقضاء على التمييز ضد المرأة، التوصية العامة رقم 19(1992) بشأن العنف ضد المرأة، الفقرة 6. </w:t>
      </w:r>
    </w:p>
  </w:footnote>
  <w:footnote w:id="37">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انظر عموما</w:t>
      </w:r>
      <w:r w:rsidRPr="00A44950">
        <w:rPr>
          <w:rFonts w:hint="cs"/>
          <w:rtl/>
        </w:rPr>
        <w:t>ً</w:t>
      </w:r>
      <w:r w:rsidRPr="00A44950">
        <w:rPr>
          <w:rtl/>
        </w:rPr>
        <w:t xml:space="preserve"> </w:t>
      </w:r>
      <w:r w:rsidRPr="00A44950">
        <w:t>E/CN.4/1993/50</w:t>
      </w:r>
      <w:r w:rsidRPr="00A44950">
        <w:rPr>
          <w:rtl/>
        </w:rPr>
        <w:t>، المرفق الثاني.</w:t>
      </w:r>
    </w:p>
  </w:footnote>
  <w:footnote w:id="38">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التعليق العام رقم 3، الفقرة 5.</w:t>
      </w:r>
    </w:p>
  </w:footnote>
  <w:footnote w:id="39">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المرجع نفسه، الفقرة 40.</w:t>
      </w:r>
    </w:p>
  </w:footnote>
  <w:footnote w:id="40">
    <w:p w:rsidR="00A44950" w:rsidRPr="00A44950" w:rsidRDefault="00A44950" w:rsidP="00A44950">
      <w:pPr>
        <w:pStyle w:val="FootnoteText1"/>
        <w:rPr>
          <w:rtl/>
        </w:rPr>
      </w:pPr>
      <w:r w:rsidRPr="00A44950">
        <w:rPr>
          <w:b/>
          <w:rtl/>
        </w:rPr>
        <w:t>(</w:t>
      </w:r>
      <w:r w:rsidRPr="00A44950">
        <w:rPr>
          <w:b/>
          <w:rtl/>
        </w:rPr>
        <w:footnoteRef/>
      </w:r>
      <w:r w:rsidRPr="00A44950">
        <w:rPr>
          <w:b/>
          <w:rtl/>
        </w:rPr>
        <w:t>)</w:t>
      </w:r>
      <w:r>
        <w:rPr>
          <w:rtl/>
        </w:rPr>
        <w:tab/>
      </w:r>
      <w:r w:rsidRPr="00A44950">
        <w:t>CAT/C/BIH/CO/6</w:t>
      </w:r>
      <w:r w:rsidRPr="00A44950">
        <w:rPr>
          <w:rtl/>
        </w:rPr>
        <w:t xml:space="preserve">، الفقرة 19. </w:t>
      </w:r>
    </w:p>
  </w:footnote>
  <w:footnote w:id="41">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قانون الالتزامات المدنية، المادة ٣٧٦.</w:t>
      </w:r>
    </w:p>
  </w:footnote>
  <w:footnote w:id="42">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tl/>
        </w:rPr>
        <w:tab/>
        <w:t xml:space="preserve">انظر أيضاً </w:t>
      </w:r>
      <w:r w:rsidRPr="00BD06EC">
        <w:rPr>
          <w:i/>
          <w:iCs/>
          <w:rtl/>
        </w:rPr>
        <w:t>عثماني ضد صربيا</w:t>
      </w:r>
      <w:r w:rsidRPr="00A44950">
        <w:rPr>
          <w:rtl/>
        </w:rPr>
        <w:t>، الفقرة 10-8.</w:t>
      </w:r>
    </w:p>
  </w:footnote>
  <w:footnote w:id="43">
    <w:p w:rsidR="00A44950" w:rsidRPr="00A44950" w:rsidRDefault="00A44950" w:rsidP="00A44950">
      <w:pPr>
        <w:pStyle w:val="FootnoteText1"/>
        <w:rPr>
          <w:rtl/>
        </w:rPr>
      </w:pPr>
      <w:r w:rsidRPr="00A44950">
        <w:rPr>
          <w:b/>
          <w:rtl/>
        </w:rPr>
        <w:t>(</w:t>
      </w:r>
      <w:r w:rsidRPr="00A44950">
        <w:rPr>
          <w:b/>
          <w:rtl/>
        </w:rPr>
        <w:footnoteRef/>
      </w:r>
      <w:r w:rsidRPr="00A44950">
        <w:rPr>
          <w:b/>
          <w:rtl/>
        </w:rPr>
        <w:t>)</w:t>
      </w:r>
      <w:r w:rsidRPr="00A44950">
        <w:rPr>
          <w:rFonts w:hint="cs"/>
          <w:rtl/>
        </w:rPr>
        <w:tab/>
      </w:r>
      <w:r w:rsidRPr="00A44950">
        <w:t>CAT/C/BIH/CO/6</w:t>
      </w:r>
      <w:r w:rsidRPr="00A44950">
        <w:rPr>
          <w:rtl/>
        </w:rPr>
        <w:t xml:space="preserve">، الفقرة 19(أ) و(ب).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97" w:rsidRPr="008147D5" w:rsidRDefault="00D90797" w:rsidP="008147D5">
    <w:pPr>
      <w:pStyle w:val="Header"/>
      <w:jc w:val="right"/>
    </w:pPr>
    <w:r w:rsidRPr="008147D5">
      <w:t>CAT/C/67/D/854/2017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97" w:rsidRPr="008147D5" w:rsidRDefault="00D90797" w:rsidP="008147D5">
    <w:pPr>
      <w:pStyle w:val="Header"/>
      <w:jc w:val="left"/>
    </w:pPr>
    <w:r w:rsidRPr="008147D5">
      <w:t>CAT/C/67/D/854/2017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C1EF4"/>
    <w:multiLevelType w:val="hybridMultilevel"/>
    <w:tmpl w:val="5D1ED68A"/>
    <w:lvl w:ilvl="0" w:tplc="D22A179C">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E25EC"/>
    <w:rsid w:val="000076D5"/>
    <w:rsid w:val="00043663"/>
    <w:rsid w:val="000505CF"/>
    <w:rsid w:val="000A2113"/>
    <w:rsid w:val="000D701C"/>
    <w:rsid w:val="000E25EC"/>
    <w:rsid w:val="000E2A71"/>
    <w:rsid w:val="00160263"/>
    <w:rsid w:val="00167825"/>
    <w:rsid w:val="00181F96"/>
    <w:rsid w:val="00195BF0"/>
    <w:rsid w:val="001A1371"/>
    <w:rsid w:val="001B346A"/>
    <w:rsid w:val="001E1CAD"/>
    <w:rsid w:val="001E290D"/>
    <w:rsid w:val="002144FA"/>
    <w:rsid w:val="0023469A"/>
    <w:rsid w:val="00243C8A"/>
    <w:rsid w:val="00267A0E"/>
    <w:rsid w:val="002901D9"/>
    <w:rsid w:val="002976C2"/>
    <w:rsid w:val="003260FF"/>
    <w:rsid w:val="00343D95"/>
    <w:rsid w:val="00362C23"/>
    <w:rsid w:val="00374341"/>
    <w:rsid w:val="00384DA7"/>
    <w:rsid w:val="003B65EE"/>
    <w:rsid w:val="003D1062"/>
    <w:rsid w:val="00420D7B"/>
    <w:rsid w:val="00450B21"/>
    <w:rsid w:val="00453B63"/>
    <w:rsid w:val="00455780"/>
    <w:rsid w:val="004956DC"/>
    <w:rsid w:val="004B0A1C"/>
    <w:rsid w:val="004D1895"/>
    <w:rsid w:val="004D298E"/>
    <w:rsid w:val="00514107"/>
    <w:rsid w:val="0054472E"/>
    <w:rsid w:val="005662A9"/>
    <w:rsid w:val="005827D4"/>
    <w:rsid w:val="0059622A"/>
    <w:rsid w:val="005A3015"/>
    <w:rsid w:val="005B24EF"/>
    <w:rsid w:val="005C5878"/>
    <w:rsid w:val="005C7CEA"/>
    <w:rsid w:val="005D3C0B"/>
    <w:rsid w:val="005E5217"/>
    <w:rsid w:val="005F0FA4"/>
    <w:rsid w:val="005F30EE"/>
    <w:rsid w:val="0060473A"/>
    <w:rsid w:val="00656392"/>
    <w:rsid w:val="006646E9"/>
    <w:rsid w:val="00685640"/>
    <w:rsid w:val="0068781D"/>
    <w:rsid w:val="006959B0"/>
    <w:rsid w:val="006B3E27"/>
    <w:rsid w:val="006B6507"/>
    <w:rsid w:val="006C104C"/>
    <w:rsid w:val="00733704"/>
    <w:rsid w:val="00761849"/>
    <w:rsid w:val="0078071A"/>
    <w:rsid w:val="007F4029"/>
    <w:rsid w:val="008147D5"/>
    <w:rsid w:val="00817373"/>
    <w:rsid w:val="00852A9A"/>
    <w:rsid w:val="00893A8A"/>
    <w:rsid w:val="008F49E1"/>
    <w:rsid w:val="0090370F"/>
    <w:rsid w:val="009269D2"/>
    <w:rsid w:val="00942135"/>
    <w:rsid w:val="009459ED"/>
    <w:rsid w:val="00945BA1"/>
    <w:rsid w:val="009521B0"/>
    <w:rsid w:val="00970194"/>
    <w:rsid w:val="00981C12"/>
    <w:rsid w:val="009A7E9F"/>
    <w:rsid w:val="009E5018"/>
    <w:rsid w:val="00A12B37"/>
    <w:rsid w:val="00A34EA8"/>
    <w:rsid w:val="00A44950"/>
    <w:rsid w:val="00A67AF5"/>
    <w:rsid w:val="00A94CA3"/>
    <w:rsid w:val="00AB6758"/>
    <w:rsid w:val="00B13763"/>
    <w:rsid w:val="00B477A4"/>
    <w:rsid w:val="00B54045"/>
    <w:rsid w:val="00BB7FBF"/>
    <w:rsid w:val="00BD06EC"/>
    <w:rsid w:val="00C438D7"/>
    <w:rsid w:val="00C81B50"/>
    <w:rsid w:val="00C87F1F"/>
    <w:rsid w:val="00CC701B"/>
    <w:rsid w:val="00CD1801"/>
    <w:rsid w:val="00D10EF1"/>
    <w:rsid w:val="00D42810"/>
    <w:rsid w:val="00D90797"/>
    <w:rsid w:val="00D914A7"/>
    <w:rsid w:val="00DC1D29"/>
    <w:rsid w:val="00DD13C3"/>
    <w:rsid w:val="00DD596E"/>
    <w:rsid w:val="00DD621E"/>
    <w:rsid w:val="00DF0575"/>
    <w:rsid w:val="00DF41B5"/>
    <w:rsid w:val="00E70E04"/>
    <w:rsid w:val="00E76499"/>
    <w:rsid w:val="00E92CD1"/>
    <w:rsid w:val="00E94136"/>
    <w:rsid w:val="00EC05A7"/>
    <w:rsid w:val="00EC4B6B"/>
    <w:rsid w:val="00EF1EE5"/>
    <w:rsid w:val="00F150FE"/>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A5275F"/>
  <w15:docId w15:val="{BF351E37-973E-4245-BBBC-EB970703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D5"/>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441A2-25C9-4025-942D-9F002722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4820</Words>
  <Characters>24296</Characters>
  <Application>Microsoft Office Word</Application>
  <DocSecurity>0</DocSecurity>
  <Lines>398</Lines>
  <Paragraphs>92</Paragraphs>
  <ScaleCrop>false</ScaleCrop>
  <HeadingPairs>
    <vt:vector size="2" baseType="variant">
      <vt:variant>
        <vt:lpstr>Title</vt:lpstr>
      </vt:variant>
      <vt:variant>
        <vt:i4>1</vt:i4>
      </vt:variant>
    </vt:vector>
  </HeadingPairs>
  <TitlesOfParts>
    <vt:vector size="1" baseType="lpstr">
      <vt:lpstr>CAT/C/67/D/854/2017</vt:lpstr>
    </vt:vector>
  </TitlesOfParts>
  <Company>DCM</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CAT/C/67/D/854/2017</dc:title>
  <dc:subject>GE.1915557</dc:subject>
  <dc:creator>SALY - MEMA82</dc:creator>
  <cp:keywords>ODS No.1926975</cp:keywords>
  <dc:description>Distribution: General_x000d_
Original: English_x000d_
Date: 11 September 2019</dc:description>
  <cp:lastModifiedBy>Ibrahim Balan</cp:lastModifiedBy>
  <cp:revision>2</cp:revision>
  <cp:lastPrinted>2016-06-21T10:29:00Z</cp:lastPrinted>
  <dcterms:created xsi:type="dcterms:W3CDTF">2020-02-11T08:15:00Z</dcterms:created>
  <dcterms:modified xsi:type="dcterms:W3CDTF">2020-02-11T08:15:00Z</dcterms:modified>
  <cp:category>Final</cp:category>
</cp:coreProperties>
</file>