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760B1984" w14:textId="77777777" w:rsidTr="00A704A8">
        <w:trPr>
          <w:trHeight w:hRule="exact" w:val="851"/>
        </w:trPr>
        <w:tc>
          <w:tcPr>
            <w:tcW w:w="1276" w:type="dxa"/>
            <w:tcBorders>
              <w:bottom w:val="single" w:sz="4" w:space="0" w:color="auto"/>
            </w:tcBorders>
          </w:tcPr>
          <w:p w14:paraId="019CB21D" w14:textId="77777777" w:rsidR="00807D21" w:rsidRPr="00DB58B5" w:rsidRDefault="00807D21" w:rsidP="00A23942"/>
        </w:tc>
        <w:tc>
          <w:tcPr>
            <w:tcW w:w="2268" w:type="dxa"/>
            <w:tcBorders>
              <w:bottom w:val="single" w:sz="4" w:space="0" w:color="auto"/>
            </w:tcBorders>
            <w:vAlign w:val="bottom"/>
          </w:tcPr>
          <w:p w14:paraId="7369B4CF"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94A64D5" w14:textId="77777777" w:rsidR="00807D21" w:rsidRPr="00DB58B5" w:rsidRDefault="00A23942" w:rsidP="00A23942">
            <w:pPr>
              <w:jc w:val="right"/>
            </w:pPr>
            <w:r w:rsidRPr="00A23942">
              <w:rPr>
                <w:sz w:val="40"/>
              </w:rPr>
              <w:t>CAT</w:t>
            </w:r>
            <w:r>
              <w:t>/C/67/D/854/2017</w:t>
            </w:r>
          </w:p>
        </w:tc>
      </w:tr>
      <w:tr w:rsidR="00807D21" w:rsidRPr="00DB58B5" w14:paraId="46ACC081" w14:textId="77777777" w:rsidTr="00A704A8">
        <w:trPr>
          <w:trHeight w:hRule="exact" w:val="2835"/>
        </w:trPr>
        <w:tc>
          <w:tcPr>
            <w:tcW w:w="1276" w:type="dxa"/>
            <w:tcBorders>
              <w:top w:val="single" w:sz="4" w:space="0" w:color="auto"/>
              <w:bottom w:val="single" w:sz="12" w:space="0" w:color="auto"/>
            </w:tcBorders>
          </w:tcPr>
          <w:p w14:paraId="22DECA80" w14:textId="77777777" w:rsidR="00807D21" w:rsidRPr="00DB58B5" w:rsidRDefault="00807D21" w:rsidP="00A704A8">
            <w:pPr>
              <w:spacing w:before="120"/>
              <w:jc w:val="center"/>
            </w:pPr>
            <w:r>
              <w:rPr>
                <w:noProof/>
                <w:lang w:eastAsia="fr-CH"/>
              </w:rPr>
              <w:drawing>
                <wp:inline distT="0" distB="0" distL="0" distR="0" wp14:anchorId="1FAA4728" wp14:editId="627894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0B598E"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46777A3F" w14:textId="77777777" w:rsidR="00807D21" w:rsidRDefault="00A23942" w:rsidP="00A704A8">
            <w:pPr>
              <w:spacing w:before="240"/>
            </w:pPr>
            <w:r>
              <w:t>Distr. générale</w:t>
            </w:r>
          </w:p>
          <w:p w14:paraId="70999EAC" w14:textId="77777777" w:rsidR="00A23942" w:rsidRDefault="00A23942" w:rsidP="00A23942">
            <w:pPr>
              <w:spacing w:line="240" w:lineRule="exact"/>
            </w:pPr>
            <w:r>
              <w:t>11 septembre 2019</w:t>
            </w:r>
          </w:p>
          <w:p w14:paraId="506919E1" w14:textId="77777777" w:rsidR="00A23942" w:rsidRDefault="00A23942" w:rsidP="00A23942">
            <w:pPr>
              <w:spacing w:line="240" w:lineRule="exact"/>
            </w:pPr>
            <w:r>
              <w:t>Français</w:t>
            </w:r>
          </w:p>
          <w:p w14:paraId="6B12AE11" w14:textId="77777777" w:rsidR="00A23942" w:rsidRPr="00DB58B5" w:rsidRDefault="00A23942" w:rsidP="00A23942">
            <w:pPr>
              <w:spacing w:line="240" w:lineRule="exact"/>
            </w:pPr>
            <w:r>
              <w:t>Original : anglais</w:t>
            </w:r>
          </w:p>
        </w:tc>
      </w:tr>
    </w:tbl>
    <w:p w14:paraId="6C61F84A"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057F3083" w14:textId="77777777" w:rsidR="00AF2FC6" w:rsidRDefault="00AF2FC6" w:rsidP="006F7894">
      <w:pPr>
        <w:pStyle w:val="HChG"/>
        <w:rPr>
          <w:b w:val="0"/>
          <w:bCs/>
          <w:sz w:val="20"/>
          <w:szCs w:val="28"/>
        </w:rPr>
      </w:pPr>
      <w:r w:rsidRPr="0062716A">
        <w:rPr>
          <w:lang w:val="fr-FR"/>
        </w:rPr>
        <w:tab/>
      </w:r>
      <w:r w:rsidRPr="0062716A">
        <w:rPr>
          <w:lang w:val="fr-FR"/>
        </w:rPr>
        <w:tab/>
      </w:r>
      <w:r>
        <w:t xml:space="preserve">Décision adoptée par le Comité au titre </w:t>
      </w:r>
      <w:r w:rsidR="006F7894">
        <w:br/>
      </w:r>
      <w:r>
        <w:t xml:space="preserve">de l’article 22 de la Convention, concernant </w:t>
      </w:r>
      <w:r w:rsidR="006F7894">
        <w:br/>
      </w:r>
      <w:r>
        <w:t xml:space="preserve">la communication </w:t>
      </w:r>
      <w:r w:rsidRPr="0062716A">
        <w:rPr>
          <w:lang w:val="fr-FR"/>
        </w:rPr>
        <w:t>n</w:t>
      </w:r>
      <w:r w:rsidRPr="004E2AFB">
        <w:rPr>
          <w:vertAlign w:val="superscript"/>
          <w:lang w:val="fr-FR"/>
        </w:rPr>
        <w:t>o</w:t>
      </w:r>
      <w:r>
        <w:rPr>
          <w:lang w:val="fr-FR"/>
        </w:rPr>
        <w:t> </w:t>
      </w:r>
      <w:r w:rsidRPr="0062716A">
        <w:rPr>
          <w:lang w:val="fr-FR"/>
        </w:rPr>
        <w:t>854/2017</w:t>
      </w:r>
      <w:r w:rsidR="006F7894" w:rsidRPr="006F7894">
        <w:rPr>
          <w:rStyle w:val="Appelnotedebasdep"/>
          <w:b w:val="0"/>
          <w:bCs/>
          <w:sz w:val="20"/>
          <w:vertAlign w:val="baseline"/>
        </w:rPr>
        <w:footnoteReference w:customMarkFollows="1" w:id="2"/>
        <w:t>*</w:t>
      </w:r>
      <w:r w:rsidRPr="006F7894">
        <w:rPr>
          <w:rStyle w:val="Appelnotedebasdep"/>
          <w:b w:val="0"/>
          <w:bCs/>
          <w:sz w:val="20"/>
          <w:szCs w:val="28"/>
          <w:vertAlign w:val="subscript"/>
        </w:rPr>
        <w:t>’</w:t>
      </w:r>
      <w:r w:rsidRPr="006F7894">
        <w:rPr>
          <w:rStyle w:val="Appelnotedebasdep"/>
          <w:b w:val="0"/>
          <w:bCs/>
          <w:sz w:val="20"/>
          <w:vertAlign w:val="baseline"/>
        </w:rPr>
        <w:t xml:space="preserve"> </w:t>
      </w:r>
      <w:r w:rsidR="006F7894" w:rsidRPr="006F7894">
        <w:rPr>
          <w:rStyle w:val="Appelnotedebasdep"/>
          <w:b w:val="0"/>
          <w:bCs/>
          <w:sz w:val="20"/>
          <w:szCs w:val="28"/>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6F7894" w14:paraId="4B69F5D1" w14:textId="77777777">
        <w:tc>
          <w:tcPr>
            <w:tcW w:w="2552" w:type="dxa"/>
          </w:tcPr>
          <w:p w14:paraId="7B74CE5A" w14:textId="77777777" w:rsidR="006F7894" w:rsidRDefault="006F7894">
            <w:pPr>
              <w:pStyle w:val="SingleTxtG"/>
              <w:ind w:left="0" w:right="0"/>
              <w:jc w:val="left"/>
              <w:rPr>
                <w:i/>
              </w:rPr>
            </w:pPr>
            <w:r>
              <w:rPr>
                <w:i/>
              </w:rPr>
              <w:t>Communication présentée par</w:t>
            </w:r>
            <w:r>
              <w:t> :</w:t>
            </w:r>
          </w:p>
        </w:tc>
        <w:tc>
          <w:tcPr>
            <w:tcW w:w="4253" w:type="dxa"/>
          </w:tcPr>
          <w:p w14:paraId="4B1D5ED0" w14:textId="77777777" w:rsidR="006F7894" w:rsidRDefault="006F7894" w:rsidP="006F7894">
            <w:r>
              <w:t>A (représentée par un conseil, Philip Grant,</w:t>
            </w:r>
          </w:p>
          <w:p w14:paraId="40CB1ED0" w14:textId="77777777" w:rsidR="006F7894" w:rsidRDefault="006F7894" w:rsidP="006F7894">
            <w:pPr>
              <w:pStyle w:val="SingleTxtG"/>
              <w:ind w:left="0" w:right="0"/>
              <w:jc w:val="left"/>
            </w:pPr>
            <w:r>
              <w:t>de TRIAL International)</w:t>
            </w:r>
          </w:p>
        </w:tc>
      </w:tr>
      <w:tr w:rsidR="006F7894" w14:paraId="337BD8CC" w14:textId="77777777">
        <w:tc>
          <w:tcPr>
            <w:tcW w:w="2552" w:type="dxa"/>
          </w:tcPr>
          <w:p w14:paraId="3B082E1D" w14:textId="77777777" w:rsidR="006F7894" w:rsidRDefault="006F7894">
            <w:pPr>
              <w:pStyle w:val="SingleTxtG"/>
              <w:ind w:left="0" w:right="0"/>
              <w:jc w:val="left"/>
              <w:rPr>
                <w:i/>
              </w:rPr>
            </w:pPr>
            <w:r>
              <w:rPr>
                <w:i/>
              </w:rPr>
              <w:t>Au nom de</w:t>
            </w:r>
            <w:r>
              <w:t> :</w:t>
            </w:r>
          </w:p>
        </w:tc>
        <w:tc>
          <w:tcPr>
            <w:tcW w:w="4253" w:type="dxa"/>
          </w:tcPr>
          <w:p w14:paraId="43DDEA8C" w14:textId="77777777" w:rsidR="006F7894" w:rsidRDefault="006F7894">
            <w:pPr>
              <w:pStyle w:val="SingleTxtG"/>
              <w:ind w:left="0" w:right="0"/>
              <w:jc w:val="left"/>
            </w:pPr>
            <w:r w:rsidRPr="006F7894">
              <w:t>La requérante</w:t>
            </w:r>
          </w:p>
        </w:tc>
      </w:tr>
      <w:tr w:rsidR="006F7894" w14:paraId="4D360AC6" w14:textId="77777777">
        <w:tc>
          <w:tcPr>
            <w:tcW w:w="2552" w:type="dxa"/>
          </w:tcPr>
          <w:p w14:paraId="3138DF14" w14:textId="77777777" w:rsidR="006F7894" w:rsidRDefault="006F7894">
            <w:pPr>
              <w:pStyle w:val="SingleTxtG"/>
              <w:ind w:left="0" w:right="0"/>
              <w:jc w:val="left"/>
              <w:rPr>
                <w:i/>
              </w:rPr>
            </w:pPr>
            <w:r>
              <w:rPr>
                <w:i/>
              </w:rPr>
              <w:t>État partie</w:t>
            </w:r>
            <w:r>
              <w:t> :</w:t>
            </w:r>
          </w:p>
        </w:tc>
        <w:tc>
          <w:tcPr>
            <w:tcW w:w="4253" w:type="dxa"/>
          </w:tcPr>
          <w:p w14:paraId="6DD2DB5A" w14:textId="77777777" w:rsidR="006F7894" w:rsidRDefault="006F7894">
            <w:pPr>
              <w:pStyle w:val="SingleTxtG"/>
              <w:ind w:left="0" w:right="0"/>
              <w:jc w:val="left"/>
            </w:pPr>
            <w:r w:rsidRPr="006F7894">
              <w:t>Bosnie-Herzégovine</w:t>
            </w:r>
          </w:p>
        </w:tc>
      </w:tr>
      <w:tr w:rsidR="006F7894" w14:paraId="76A0740C" w14:textId="77777777">
        <w:tc>
          <w:tcPr>
            <w:tcW w:w="2552" w:type="dxa"/>
          </w:tcPr>
          <w:p w14:paraId="2D482A2B" w14:textId="77777777" w:rsidR="006F7894" w:rsidRDefault="006F7894">
            <w:pPr>
              <w:pStyle w:val="SingleTxtG"/>
              <w:ind w:left="0" w:right="0"/>
              <w:jc w:val="left"/>
              <w:rPr>
                <w:i/>
              </w:rPr>
            </w:pPr>
            <w:r>
              <w:rPr>
                <w:i/>
              </w:rPr>
              <w:t>Date de la requête</w:t>
            </w:r>
            <w:r>
              <w:t> :</w:t>
            </w:r>
          </w:p>
        </w:tc>
        <w:tc>
          <w:tcPr>
            <w:tcW w:w="4253" w:type="dxa"/>
          </w:tcPr>
          <w:p w14:paraId="44867E1A" w14:textId="77777777" w:rsidR="006F7894" w:rsidRDefault="006F7894">
            <w:pPr>
              <w:pStyle w:val="SingleTxtG"/>
              <w:ind w:left="0" w:right="0"/>
              <w:jc w:val="left"/>
            </w:pPr>
            <w:r w:rsidRPr="006F7894">
              <w:t>1</w:t>
            </w:r>
            <w:r w:rsidRPr="00090E5E">
              <w:rPr>
                <w:vertAlign w:val="superscript"/>
              </w:rPr>
              <w:t>er</w:t>
            </w:r>
            <w:r w:rsidR="00090E5E">
              <w:t> </w:t>
            </w:r>
            <w:r w:rsidRPr="006F7894">
              <w:t>novembre 2017 (date de la lettre initiale)</w:t>
            </w:r>
          </w:p>
        </w:tc>
      </w:tr>
      <w:tr w:rsidR="006F7894" w14:paraId="600BCF63" w14:textId="77777777">
        <w:tc>
          <w:tcPr>
            <w:tcW w:w="2552" w:type="dxa"/>
          </w:tcPr>
          <w:p w14:paraId="0490F0F1" w14:textId="77777777" w:rsidR="006F7894" w:rsidRDefault="006F7894" w:rsidP="00090E5E">
            <w:pPr>
              <w:pStyle w:val="SingleTxtG"/>
              <w:ind w:left="0" w:right="0"/>
              <w:jc w:val="left"/>
              <w:rPr>
                <w:i/>
              </w:rPr>
            </w:pPr>
            <w:r w:rsidRPr="006F7894">
              <w:rPr>
                <w:i/>
              </w:rPr>
              <w:t xml:space="preserve">Références </w:t>
            </w:r>
            <w:r w:rsidRPr="006F7894">
              <w:rPr>
                <w:iCs/>
              </w:rPr>
              <w:t>:</w:t>
            </w:r>
          </w:p>
        </w:tc>
        <w:tc>
          <w:tcPr>
            <w:tcW w:w="4253" w:type="dxa"/>
          </w:tcPr>
          <w:p w14:paraId="4777F556" w14:textId="77777777" w:rsidR="006F7894" w:rsidRPr="006F7894" w:rsidRDefault="006F7894" w:rsidP="00090E5E">
            <w:pPr>
              <w:spacing w:after="120"/>
            </w:pPr>
            <w:r>
              <w:t>Décision prise en application de l’article 115 du règlement intérieur du Comité, communiquée</w:t>
            </w:r>
            <w:r w:rsidR="005069B1">
              <w:t xml:space="preserve"> </w:t>
            </w:r>
            <w:r w:rsidR="005069B1">
              <w:br/>
            </w:r>
            <w:r>
              <w:t>à l’État partie le 10 mai 2016 (non publiée sous forme de document)</w:t>
            </w:r>
          </w:p>
        </w:tc>
      </w:tr>
      <w:tr w:rsidR="006F7894" w14:paraId="0413B8DA" w14:textId="77777777">
        <w:tc>
          <w:tcPr>
            <w:tcW w:w="2552" w:type="dxa"/>
          </w:tcPr>
          <w:p w14:paraId="401FFF6D" w14:textId="77777777" w:rsidR="006F7894" w:rsidRDefault="006F7894">
            <w:pPr>
              <w:pStyle w:val="SingleTxtG"/>
              <w:ind w:left="0" w:right="0"/>
              <w:jc w:val="left"/>
              <w:rPr>
                <w:i/>
              </w:rPr>
            </w:pPr>
            <w:r>
              <w:rPr>
                <w:i/>
              </w:rPr>
              <w:t>Date de la présente décision</w:t>
            </w:r>
            <w:r>
              <w:t> :</w:t>
            </w:r>
          </w:p>
        </w:tc>
        <w:tc>
          <w:tcPr>
            <w:tcW w:w="4253" w:type="dxa"/>
            <w:vAlign w:val="bottom"/>
          </w:tcPr>
          <w:p w14:paraId="2696D91B" w14:textId="77777777" w:rsidR="006F7894" w:rsidRDefault="006F7894">
            <w:pPr>
              <w:pStyle w:val="SingleTxtG"/>
              <w:ind w:left="0" w:right="0"/>
              <w:jc w:val="left"/>
            </w:pPr>
            <w:r w:rsidRPr="006F7894">
              <w:t>2 août 2019</w:t>
            </w:r>
          </w:p>
        </w:tc>
      </w:tr>
      <w:tr w:rsidR="006F7894" w14:paraId="240C0BFA" w14:textId="77777777">
        <w:tc>
          <w:tcPr>
            <w:tcW w:w="2552" w:type="dxa"/>
          </w:tcPr>
          <w:p w14:paraId="03A74716" w14:textId="77777777" w:rsidR="006F7894" w:rsidRDefault="006F7894">
            <w:pPr>
              <w:pStyle w:val="SingleTxtG"/>
              <w:ind w:left="0" w:right="0"/>
              <w:jc w:val="left"/>
            </w:pPr>
            <w:r>
              <w:rPr>
                <w:i/>
              </w:rPr>
              <w:t>Objet</w:t>
            </w:r>
            <w:r>
              <w:t> :</w:t>
            </w:r>
          </w:p>
        </w:tc>
        <w:tc>
          <w:tcPr>
            <w:tcW w:w="4253" w:type="dxa"/>
            <w:vAlign w:val="bottom"/>
          </w:tcPr>
          <w:p w14:paraId="435EB9D5" w14:textId="77777777" w:rsidR="006F7894" w:rsidRDefault="006F7894">
            <w:pPr>
              <w:pStyle w:val="SingleTxtG"/>
              <w:ind w:left="0" w:right="0"/>
              <w:jc w:val="left"/>
            </w:pPr>
            <w:r w:rsidRPr="006F7894">
              <w:t>Droit à une indemnisation équitable et adéquate</w:t>
            </w:r>
          </w:p>
        </w:tc>
      </w:tr>
      <w:tr w:rsidR="006F7894" w14:paraId="4FB31EE6" w14:textId="77777777">
        <w:tc>
          <w:tcPr>
            <w:tcW w:w="2552" w:type="dxa"/>
          </w:tcPr>
          <w:p w14:paraId="7D34495D" w14:textId="77777777" w:rsidR="006F7894" w:rsidRDefault="006F7894">
            <w:pPr>
              <w:pStyle w:val="SingleTxtG"/>
              <w:ind w:left="0" w:right="0"/>
              <w:jc w:val="left"/>
            </w:pPr>
            <w:r>
              <w:rPr>
                <w:i/>
              </w:rPr>
              <w:t>Question(s) de procédure</w:t>
            </w:r>
            <w:r>
              <w:t> :</w:t>
            </w:r>
          </w:p>
        </w:tc>
        <w:tc>
          <w:tcPr>
            <w:tcW w:w="4253" w:type="dxa"/>
            <w:vAlign w:val="bottom"/>
          </w:tcPr>
          <w:p w14:paraId="59EF62EE" w14:textId="77777777" w:rsidR="006F7894" w:rsidRDefault="006F7894">
            <w:pPr>
              <w:pStyle w:val="SingleTxtG"/>
              <w:ind w:left="0" w:right="0"/>
              <w:jc w:val="left"/>
            </w:pPr>
            <w:r w:rsidRPr="006F7894">
              <w:t>Néant</w:t>
            </w:r>
          </w:p>
        </w:tc>
      </w:tr>
      <w:tr w:rsidR="006F7894" w14:paraId="04327CBB" w14:textId="77777777">
        <w:tc>
          <w:tcPr>
            <w:tcW w:w="2552" w:type="dxa"/>
          </w:tcPr>
          <w:p w14:paraId="25B5409D" w14:textId="77777777" w:rsidR="006F7894" w:rsidRDefault="006F7894">
            <w:pPr>
              <w:pStyle w:val="SingleTxtG"/>
              <w:ind w:left="0" w:right="0"/>
              <w:jc w:val="left"/>
            </w:pPr>
            <w:r>
              <w:rPr>
                <w:i/>
              </w:rPr>
              <w:t>Question(s) de fond</w:t>
            </w:r>
            <w:r>
              <w:t> :</w:t>
            </w:r>
          </w:p>
        </w:tc>
        <w:tc>
          <w:tcPr>
            <w:tcW w:w="4253" w:type="dxa"/>
            <w:vAlign w:val="bottom"/>
          </w:tcPr>
          <w:p w14:paraId="357C7F75" w14:textId="77777777" w:rsidR="006F7894" w:rsidRDefault="006F7894">
            <w:pPr>
              <w:pStyle w:val="SingleTxtG"/>
              <w:ind w:left="0" w:right="0"/>
              <w:jc w:val="left"/>
            </w:pPr>
            <w:r w:rsidRPr="006F7894">
              <w:t>Droit à un recours et à une indemnisation</w:t>
            </w:r>
          </w:p>
        </w:tc>
      </w:tr>
      <w:tr w:rsidR="006F7894" w14:paraId="6F968F00" w14:textId="77777777">
        <w:tc>
          <w:tcPr>
            <w:tcW w:w="2552" w:type="dxa"/>
          </w:tcPr>
          <w:p w14:paraId="1FE7C184" w14:textId="77777777" w:rsidR="006F7894" w:rsidRDefault="006F7894">
            <w:pPr>
              <w:pStyle w:val="SingleTxtG"/>
              <w:ind w:left="0" w:right="0"/>
              <w:jc w:val="left"/>
            </w:pPr>
            <w:r>
              <w:rPr>
                <w:i/>
              </w:rPr>
              <w:t>Article(s) de la Convention</w:t>
            </w:r>
            <w:r>
              <w:t> :</w:t>
            </w:r>
          </w:p>
        </w:tc>
        <w:tc>
          <w:tcPr>
            <w:tcW w:w="4253" w:type="dxa"/>
            <w:vAlign w:val="bottom"/>
          </w:tcPr>
          <w:p w14:paraId="18F7A58B" w14:textId="77777777" w:rsidR="006F7894" w:rsidRDefault="006F7894">
            <w:pPr>
              <w:pStyle w:val="SingleTxtG"/>
              <w:ind w:left="0" w:right="0"/>
              <w:jc w:val="left"/>
            </w:pPr>
            <w:r w:rsidRPr="006F7894">
              <w:t>14 (par. 1), conjointement avec l’article premier (par. 1)</w:t>
            </w:r>
          </w:p>
        </w:tc>
      </w:tr>
    </w:tbl>
    <w:p w14:paraId="7DF8D41B" w14:textId="77777777" w:rsidR="00AF2FC6" w:rsidRPr="0062716A" w:rsidRDefault="00AF2FC6" w:rsidP="00090E5E">
      <w:pPr>
        <w:pStyle w:val="SingleTxtG"/>
        <w:spacing w:before="120"/>
        <w:rPr>
          <w:lang w:val="fr-FR"/>
        </w:rPr>
      </w:pPr>
      <w:r>
        <w:rPr>
          <w:lang w:val="fr-FR"/>
        </w:rPr>
        <w:t>1.</w:t>
      </w:r>
      <w:r>
        <w:rPr>
          <w:lang w:val="fr-FR"/>
        </w:rPr>
        <w:tab/>
      </w:r>
      <w:r w:rsidRPr="0062716A">
        <w:rPr>
          <w:lang w:val="fr-FR"/>
        </w:rPr>
        <w:t xml:space="preserve">La requérante est A, ressortissante de Bosnie-Herzégovine, née </w:t>
      </w:r>
      <w:r>
        <w:rPr>
          <w:lang w:val="fr-FR"/>
        </w:rPr>
        <w:t xml:space="preserve">dans </w:t>
      </w:r>
      <w:r w:rsidRPr="00EC5149">
        <w:rPr>
          <w:spacing w:val="-2"/>
          <w:lang w:val="fr-FR"/>
        </w:rPr>
        <w:t>l</w:t>
      </w:r>
      <w:r>
        <w:rPr>
          <w:spacing w:val="-2"/>
          <w:lang w:val="fr-FR"/>
        </w:rPr>
        <w:t>’</w:t>
      </w:r>
      <w:r w:rsidRPr="00EC5149">
        <w:rPr>
          <w:spacing w:val="-2"/>
          <w:lang w:val="fr-FR"/>
        </w:rPr>
        <w:t>ex</w:t>
      </w:r>
      <w:r w:rsidRPr="00EC5149">
        <w:rPr>
          <w:spacing w:val="-2"/>
          <w:lang w:val="fr-FR"/>
        </w:rPr>
        <w:noBreakHyphen/>
        <w:t xml:space="preserve">Yougoslavie en 1961. Elle affirme </w:t>
      </w:r>
      <w:r>
        <w:rPr>
          <w:spacing w:val="-2"/>
          <w:lang w:val="fr-FR"/>
        </w:rPr>
        <w:t xml:space="preserve">que l’État partie a violé les </w:t>
      </w:r>
      <w:r w:rsidRPr="0062716A">
        <w:rPr>
          <w:lang w:val="fr-FR"/>
        </w:rPr>
        <w:t>droits qu</w:t>
      </w:r>
      <w:r>
        <w:rPr>
          <w:lang w:val="fr-FR"/>
        </w:rPr>
        <w:t>’</w:t>
      </w:r>
      <w:r w:rsidRPr="0062716A">
        <w:rPr>
          <w:lang w:val="fr-FR"/>
        </w:rPr>
        <w:t xml:space="preserve">elle tient </w:t>
      </w:r>
      <w:r>
        <w:rPr>
          <w:lang w:val="fr-FR"/>
        </w:rPr>
        <w:t xml:space="preserve">du paragraphe 1 </w:t>
      </w:r>
      <w:r w:rsidRPr="0062716A">
        <w:rPr>
          <w:lang w:val="fr-FR"/>
        </w:rPr>
        <w:t>de l</w:t>
      </w:r>
      <w:r>
        <w:rPr>
          <w:lang w:val="fr-FR"/>
        </w:rPr>
        <w:t>’article 1</w:t>
      </w:r>
      <w:r w:rsidRPr="0062716A">
        <w:rPr>
          <w:lang w:val="fr-FR"/>
        </w:rPr>
        <w:t xml:space="preserve">4, lu conjointement avec </w:t>
      </w:r>
      <w:r>
        <w:rPr>
          <w:lang w:val="fr-FR"/>
        </w:rPr>
        <w:t xml:space="preserve">le paragraphe 1 de </w:t>
      </w:r>
      <w:r w:rsidRPr="0062716A">
        <w:rPr>
          <w:lang w:val="fr-FR"/>
        </w:rPr>
        <w:t>l</w:t>
      </w:r>
      <w:r>
        <w:rPr>
          <w:lang w:val="fr-FR"/>
        </w:rPr>
        <w:t>’article premier</w:t>
      </w:r>
      <w:r w:rsidRPr="0062716A">
        <w:rPr>
          <w:lang w:val="fr-FR"/>
        </w:rPr>
        <w:t>, de la Convention contre la torture</w:t>
      </w:r>
      <w:r w:rsidRPr="007C3FFD">
        <w:rPr>
          <w:rStyle w:val="Appelnotedebasdep"/>
        </w:rPr>
        <w:footnoteReference w:id="4"/>
      </w:r>
      <w:r w:rsidRPr="0062716A">
        <w:rPr>
          <w:lang w:val="fr-FR"/>
        </w:rPr>
        <w:t xml:space="preserve">. </w:t>
      </w:r>
      <w:r>
        <w:rPr>
          <w:lang w:val="fr-FR"/>
        </w:rPr>
        <w:t xml:space="preserve">Elle </w:t>
      </w:r>
      <w:r w:rsidRPr="0062716A">
        <w:rPr>
          <w:lang w:val="fr-FR"/>
        </w:rPr>
        <w:t>est représentée par un conseil</w:t>
      </w:r>
      <w:r w:rsidRPr="007C3FFD">
        <w:rPr>
          <w:rStyle w:val="Appelnotedebasdep"/>
        </w:rPr>
        <w:footnoteReference w:id="5"/>
      </w:r>
      <w:r w:rsidRPr="0062716A">
        <w:rPr>
          <w:lang w:val="fr-FR"/>
        </w:rPr>
        <w:t xml:space="preserve">. </w:t>
      </w:r>
    </w:p>
    <w:p w14:paraId="4DEDF93B" w14:textId="77777777" w:rsidR="00AF2FC6" w:rsidRPr="0062716A" w:rsidRDefault="00AF2FC6" w:rsidP="006F7894">
      <w:pPr>
        <w:pStyle w:val="H23G"/>
        <w:rPr>
          <w:lang w:val="fr-FR"/>
        </w:rPr>
      </w:pPr>
      <w:r>
        <w:rPr>
          <w:lang w:val="fr-FR"/>
        </w:rPr>
        <w:lastRenderedPageBreak/>
        <w:tab/>
      </w:r>
      <w:r>
        <w:rPr>
          <w:lang w:val="fr-FR"/>
        </w:rPr>
        <w:tab/>
      </w:r>
      <w:r w:rsidRPr="0062716A">
        <w:rPr>
          <w:lang w:val="fr-FR"/>
        </w:rPr>
        <w:t>Rappel des faits présentés par la requérante</w:t>
      </w:r>
    </w:p>
    <w:p w14:paraId="3D7F3C27" w14:textId="77777777" w:rsidR="00AF2FC6" w:rsidRPr="0062716A" w:rsidRDefault="00AF2FC6" w:rsidP="006F7894">
      <w:pPr>
        <w:pStyle w:val="SingleTxtG"/>
        <w:rPr>
          <w:lang w:val="fr-FR" w:eastAsia="en-GB"/>
        </w:rPr>
      </w:pPr>
      <w:r w:rsidRPr="0062716A">
        <w:rPr>
          <w:lang w:val="fr-FR" w:eastAsia="en-GB"/>
        </w:rPr>
        <w:t>2.1</w:t>
      </w:r>
      <w:r w:rsidRPr="0062716A">
        <w:rPr>
          <w:lang w:val="fr-FR" w:eastAsia="en-GB"/>
        </w:rPr>
        <w:tab/>
        <w:t xml:space="preserve">En 1992, la requérante et sa fille âgée de </w:t>
      </w:r>
      <w:r>
        <w:rPr>
          <w:lang w:val="fr-FR" w:eastAsia="en-GB"/>
        </w:rPr>
        <w:t>10 </w:t>
      </w:r>
      <w:r w:rsidRPr="0062716A">
        <w:rPr>
          <w:lang w:val="fr-FR" w:eastAsia="en-GB"/>
        </w:rPr>
        <w:t xml:space="preserve">ans résidaient à Semizovac, dans la </w:t>
      </w:r>
      <w:r>
        <w:rPr>
          <w:lang w:val="fr-FR" w:eastAsia="en-GB"/>
        </w:rPr>
        <w:t xml:space="preserve">municipalité </w:t>
      </w:r>
      <w:r w:rsidRPr="0062716A">
        <w:rPr>
          <w:lang w:val="fr-FR" w:eastAsia="en-GB"/>
        </w:rPr>
        <w:t xml:space="preserve">de Vogosca, région contrôlée par les forces </w:t>
      </w:r>
      <w:r>
        <w:rPr>
          <w:lang w:val="fr-FR" w:eastAsia="en-GB"/>
        </w:rPr>
        <w:t xml:space="preserve">de l’Armée </w:t>
      </w:r>
      <w:r w:rsidRPr="0062716A">
        <w:rPr>
          <w:lang w:val="fr-FR" w:eastAsia="en-GB"/>
        </w:rPr>
        <w:t xml:space="preserve">de la Republika Srpska </w:t>
      </w:r>
      <w:r>
        <w:rPr>
          <w:lang w:val="fr-FR" w:eastAsia="en-GB"/>
        </w:rPr>
        <w:t xml:space="preserve">(Vojska Republike Srpske) pendant le </w:t>
      </w:r>
      <w:r w:rsidRPr="0062716A">
        <w:rPr>
          <w:lang w:val="fr-FR" w:eastAsia="en-GB"/>
        </w:rPr>
        <w:t>conflit armé non international en Bosnie</w:t>
      </w:r>
      <w:r>
        <w:rPr>
          <w:lang w:val="fr-FR" w:eastAsia="en-GB"/>
        </w:rPr>
        <w:noBreakHyphen/>
      </w:r>
      <w:r w:rsidRPr="0062716A">
        <w:rPr>
          <w:lang w:val="fr-FR" w:eastAsia="en-GB"/>
        </w:rPr>
        <w:t xml:space="preserve">Herzégovine. La requérante vivait </w:t>
      </w:r>
      <w:r>
        <w:rPr>
          <w:lang w:val="fr-FR" w:eastAsia="en-GB"/>
        </w:rPr>
        <w:t xml:space="preserve">en permanence </w:t>
      </w:r>
      <w:r w:rsidRPr="0062716A">
        <w:rPr>
          <w:lang w:val="fr-FR" w:eastAsia="en-GB"/>
        </w:rPr>
        <w:t xml:space="preserve">dans la </w:t>
      </w:r>
      <w:r>
        <w:rPr>
          <w:lang w:val="fr-FR" w:eastAsia="en-GB"/>
        </w:rPr>
        <w:t xml:space="preserve">peur car, durant </w:t>
      </w:r>
      <w:r w:rsidRPr="0062716A">
        <w:rPr>
          <w:lang w:val="fr-FR" w:eastAsia="en-GB"/>
        </w:rPr>
        <w:t>la guerre civile</w:t>
      </w:r>
      <w:r>
        <w:rPr>
          <w:lang w:val="fr-FR" w:eastAsia="en-GB"/>
        </w:rPr>
        <w:t>,</w:t>
      </w:r>
      <w:r w:rsidRPr="0062716A">
        <w:rPr>
          <w:lang w:val="fr-FR" w:eastAsia="en-GB"/>
        </w:rPr>
        <w:t xml:space="preserve"> les minorités ethniques étaient exposées à des menaces, des assassinats, des viols et des détentions arbitraires.</w:t>
      </w:r>
    </w:p>
    <w:p w14:paraId="55337756" w14:textId="77777777" w:rsidR="00AF2FC6" w:rsidRPr="0062716A" w:rsidRDefault="00AF2FC6" w:rsidP="006F7894">
      <w:pPr>
        <w:pStyle w:val="SingleTxtG"/>
        <w:rPr>
          <w:lang w:val="fr-FR" w:eastAsia="en-GB"/>
        </w:rPr>
      </w:pPr>
      <w:r w:rsidRPr="0062716A">
        <w:rPr>
          <w:lang w:val="fr-FR" w:eastAsia="en-GB"/>
        </w:rPr>
        <w:t>2.2</w:t>
      </w:r>
      <w:r w:rsidRPr="0062716A">
        <w:rPr>
          <w:lang w:val="fr-FR"/>
        </w:rPr>
        <w:tab/>
      </w:r>
      <w:r>
        <w:rPr>
          <w:lang w:val="fr-FR"/>
        </w:rPr>
        <w:t>À</w:t>
      </w:r>
      <w:r w:rsidRPr="0062716A">
        <w:rPr>
          <w:lang w:val="fr-FR"/>
        </w:rPr>
        <w:t xml:space="preserve"> une date non précisée entre </w:t>
      </w:r>
      <w:r w:rsidRPr="0062716A">
        <w:rPr>
          <w:lang w:val="fr-FR" w:eastAsia="en-GB"/>
        </w:rPr>
        <w:t xml:space="preserve">mai et juin 1993, Slavko Savić, </w:t>
      </w:r>
      <w:r>
        <w:rPr>
          <w:lang w:val="fr-FR" w:eastAsia="en-GB"/>
        </w:rPr>
        <w:t xml:space="preserve">un </w:t>
      </w:r>
      <w:r w:rsidRPr="0062716A">
        <w:rPr>
          <w:lang w:val="fr-FR" w:eastAsia="en-GB"/>
        </w:rPr>
        <w:t xml:space="preserve">membre de </w:t>
      </w:r>
      <w:r>
        <w:rPr>
          <w:lang w:val="fr-FR" w:eastAsia="en-GB"/>
        </w:rPr>
        <w:t xml:space="preserve">l’Armée de </w:t>
      </w:r>
      <w:r w:rsidRPr="0062716A">
        <w:rPr>
          <w:lang w:val="fr-FR" w:eastAsia="en-GB"/>
        </w:rPr>
        <w:t>la Republika Srpska, s</w:t>
      </w:r>
      <w:r>
        <w:rPr>
          <w:lang w:val="fr-FR" w:eastAsia="en-GB"/>
        </w:rPr>
        <w:t>’</w:t>
      </w:r>
      <w:r w:rsidRPr="0062716A">
        <w:rPr>
          <w:lang w:val="fr-FR" w:eastAsia="en-GB"/>
        </w:rPr>
        <w:t xml:space="preserve">est introduit </w:t>
      </w:r>
      <w:r>
        <w:rPr>
          <w:lang w:val="fr-FR" w:eastAsia="en-GB"/>
        </w:rPr>
        <w:t xml:space="preserve">dans le domicile </w:t>
      </w:r>
      <w:r w:rsidRPr="0062716A">
        <w:rPr>
          <w:lang w:val="fr-FR" w:eastAsia="en-GB"/>
        </w:rPr>
        <w:t xml:space="preserve">de la requérante avec une arme à feu. </w:t>
      </w:r>
      <w:r>
        <w:rPr>
          <w:lang w:val="fr-FR" w:eastAsia="en-GB"/>
        </w:rPr>
        <w:t>Sous la</w:t>
      </w:r>
      <w:r w:rsidRPr="0062716A">
        <w:rPr>
          <w:lang w:val="fr-FR" w:eastAsia="en-GB"/>
        </w:rPr>
        <w:t xml:space="preserve"> mena</w:t>
      </w:r>
      <w:r>
        <w:rPr>
          <w:lang w:val="fr-FR" w:eastAsia="en-GB"/>
        </w:rPr>
        <w:t xml:space="preserve">ce </w:t>
      </w:r>
      <w:r w:rsidRPr="0062716A">
        <w:rPr>
          <w:lang w:val="fr-FR" w:eastAsia="en-GB"/>
        </w:rPr>
        <w:t>de son arme, il l</w:t>
      </w:r>
      <w:r>
        <w:rPr>
          <w:lang w:val="fr-FR" w:eastAsia="en-GB"/>
        </w:rPr>
        <w:t>’</w:t>
      </w:r>
      <w:r w:rsidRPr="0062716A">
        <w:rPr>
          <w:lang w:val="fr-FR" w:eastAsia="en-GB"/>
        </w:rPr>
        <w:t>a embarquée dans sa voiture, l</w:t>
      </w:r>
      <w:r>
        <w:rPr>
          <w:lang w:val="fr-FR" w:eastAsia="en-GB"/>
        </w:rPr>
        <w:t>’</w:t>
      </w:r>
      <w:r w:rsidRPr="0062716A">
        <w:rPr>
          <w:lang w:val="fr-FR" w:eastAsia="en-GB"/>
        </w:rPr>
        <w:t>a conduite jusqu</w:t>
      </w:r>
      <w:r>
        <w:rPr>
          <w:lang w:val="fr-FR" w:eastAsia="en-GB"/>
        </w:rPr>
        <w:t>’</w:t>
      </w:r>
      <w:r w:rsidRPr="0062716A">
        <w:rPr>
          <w:lang w:val="fr-FR" w:eastAsia="en-GB"/>
        </w:rPr>
        <w:t xml:space="preserve">à </w:t>
      </w:r>
      <w:r>
        <w:rPr>
          <w:lang w:val="fr-FR" w:eastAsia="en-GB"/>
        </w:rPr>
        <w:t>la gare routière</w:t>
      </w:r>
      <w:r w:rsidRPr="0062716A">
        <w:rPr>
          <w:lang w:val="fr-FR" w:eastAsia="en-GB"/>
        </w:rPr>
        <w:t xml:space="preserve"> et l</w:t>
      </w:r>
      <w:r>
        <w:rPr>
          <w:lang w:val="fr-FR" w:eastAsia="en-GB"/>
        </w:rPr>
        <w:t xml:space="preserve">’y </w:t>
      </w:r>
      <w:r w:rsidRPr="0062716A">
        <w:rPr>
          <w:lang w:val="fr-FR" w:eastAsia="en-GB"/>
        </w:rPr>
        <w:t xml:space="preserve">a violée. </w:t>
      </w:r>
      <w:r>
        <w:rPr>
          <w:lang w:val="fr-FR" w:eastAsia="en-GB"/>
        </w:rPr>
        <w:t xml:space="preserve">Il </w:t>
      </w:r>
      <w:r w:rsidRPr="0062716A">
        <w:rPr>
          <w:lang w:val="fr-FR" w:eastAsia="en-GB"/>
        </w:rPr>
        <w:t>l</w:t>
      </w:r>
      <w:r>
        <w:rPr>
          <w:lang w:val="fr-FR" w:eastAsia="en-GB"/>
        </w:rPr>
        <w:t>’</w:t>
      </w:r>
      <w:r w:rsidRPr="0062716A">
        <w:rPr>
          <w:lang w:val="fr-FR" w:eastAsia="en-GB"/>
        </w:rPr>
        <w:t>a de nouveau violée</w:t>
      </w:r>
      <w:r>
        <w:rPr>
          <w:lang w:val="fr-FR" w:eastAsia="en-GB"/>
        </w:rPr>
        <w:t xml:space="preserve"> ultérieurement</w:t>
      </w:r>
      <w:r w:rsidRPr="0062716A">
        <w:rPr>
          <w:lang w:val="fr-FR" w:eastAsia="en-GB"/>
        </w:rPr>
        <w:t>.</w:t>
      </w:r>
    </w:p>
    <w:p w14:paraId="32760FE9" w14:textId="77777777" w:rsidR="00AF2FC6" w:rsidRPr="0062716A" w:rsidRDefault="00AF2FC6" w:rsidP="006F7894">
      <w:pPr>
        <w:pStyle w:val="SingleTxtG"/>
        <w:rPr>
          <w:lang w:val="fr-FR" w:eastAsia="en-GB"/>
        </w:rPr>
      </w:pPr>
      <w:r w:rsidRPr="0062716A">
        <w:rPr>
          <w:lang w:val="fr-FR" w:eastAsia="en-GB"/>
        </w:rPr>
        <w:t>2.3</w:t>
      </w:r>
      <w:r w:rsidRPr="0062716A">
        <w:rPr>
          <w:lang w:val="fr-FR" w:eastAsia="en-GB"/>
        </w:rPr>
        <w:tab/>
        <w:t xml:space="preserve">La requérante </w:t>
      </w:r>
      <w:r>
        <w:rPr>
          <w:lang w:val="fr-FR" w:eastAsia="en-GB"/>
        </w:rPr>
        <w:t>s’</w:t>
      </w:r>
      <w:r w:rsidRPr="0062716A">
        <w:rPr>
          <w:lang w:val="fr-FR" w:eastAsia="en-GB"/>
        </w:rPr>
        <w:t xml:space="preserve">est </w:t>
      </w:r>
      <w:r>
        <w:rPr>
          <w:lang w:val="fr-FR" w:eastAsia="en-GB"/>
        </w:rPr>
        <w:t xml:space="preserve">retrouvée </w:t>
      </w:r>
      <w:r w:rsidRPr="0062716A">
        <w:rPr>
          <w:lang w:val="fr-FR" w:eastAsia="en-GB"/>
        </w:rPr>
        <w:t>enceinte et a dû avorter. Ces événements l</w:t>
      </w:r>
      <w:r>
        <w:rPr>
          <w:lang w:val="fr-FR" w:eastAsia="en-GB"/>
        </w:rPr>
        <w:t>’</w:t>
      </w:r>
      <w:r w:rsidRPr="0062716A">
        <w:rPr>
          <w:lang w:val="fr-FR" w:eastAsia="en-GB"/>
        </w:rPr>
        <w:t xml:space="preserve">ont </w:t>
      </w:r>
      <w:r>
        <w:rPr>
          <w:lang w:val="fr-FR" w:eastAsia="en-GB"/>
        </w:rPr>
        <w:t>profondément marquée</w:t>
      </w:r>
      <w:r w:rsidRPr="0062716A">
        <w:rPr>
          <w:lang w:val="fr-FR" w:eastAsia="en-GB"/>
        </w:rPr>
        <w:t xml:space="preserve">, lui laissant </w:t>
      </w:r>
      <w:r>
        <w:rPr>
          <w:lang w:val="fr-FR" w:eastAsia="en-GB"/>
        </w:rPr>
        <w:t xml:space="preserve">des </w:t>
      </w:r>
      <w:r w:rsidRPr="0062716A">
        <w:rPr>
          <w:lang w:val="fr-FR" w:eastAsia="en-GB"/>
        </w:rPr>
        <w:t>séquelles psychologiques</w:t>
      </w:r>
      <w:r w:rsidRPr="0098755F">
        <w:rPr>
          <w:lang w:val="fr-FR" w:eastAsia="en-GB"/>
        </w:rPr>
        <w:t xml:space="preserve"> </w:t>
      </w:r>
      <w:r>
        <w:rPr>
          <w:lang w:val="fr-FR" w:eastAsia="en-GB"/>
        </w:rPr>
        <w:t>graves et permanentes</w:t>
      </w:r>
      <w:r w:rsidRPr="0062716A">
        <w:rPr>
          <w:lang w:val="fr-FR" w:eastAsia="en-GB"/>
        </w:rPr>
        <w:t xml:space="preserve">. Du fait de ce traumatisme, elle </w:t>
      </w:r>
      <w:r>
        <w:rPr>
          <w:lang w:val="fr-FR" w:eastAsia="en-GB"/>
        </w:rPr>
        <w:t>a commencé à être en proie à</w:t>
      </w:r>
      <w:r w:rsidRPr="0062716A">
        <w:rPr>
          <w:lang w:val="fr-FR" w:eastAsia="en-GB"/>
        </w:rPr>
        <w:t xml:space="preserve"> </w:t>
      </w:r>
      <w:r>
        <w:rPr>
          <w:lang w:val="fr-FR" w:eastAsia="en-GB"/>
        </w:rPr>
        <w:t>des frayeurs,</w:t>
      </w:r>
      <w:r w:rsidRPr="0062716A">
        <w:rPr>
          <w:lang w:val="fr-FR" w:eastAsia="en-GB"/>
        </w:rPr>
        <w:t xml:space="preserve"> des insomnies, des pensées intrusives, des cauchemars et des </w:t>
      </w:r>
      <w:r>
        <w:rPr>
          <w:lang w:val="fr-FR" w:eastAsia="en-GB"/>
        </w:rPr>
        <w:t>réminiscences de la scène du</w:t>
      </w:r>
      <w:r w:rsidRPr="0062716A">
        <w:rPr>
          <w:lang w:val="fr-FR" w:eastAsia="en-GB"/>
        </w:rPr>
        <w:t xml:space="preserve"> viol. En 2008, elle a</w:t>
      </w:r>
      <w:r>
        <w:rPr>
          <w:lang w:val="fr-FR" w:eastAsia="en-GB"/>
        </w:rPr>
        <w:t xml:space="preserve"> entam</w:t>
      </w:r>
      <w:r w:rsidRPr="0062716A">
        <w:rPr>
          <w:lang w:val="fr-FR" w:eastAsia="en-GB"/>
        </w:rPr>
        <w:t>é un traitement psychiatrique</w:t>
      </w:r>
      <w:r>
        <w:rPr>
          <w:lang w:val="fr-FR" w:eastAsia="en-GB"/>
        </w:rPr>
        <w:t>,</w:t>
      </w:r>
      <w:r w:rsidRPr="0062716A">
        <w:rPr>
          <w:lang w:val="fr-FR" w:eastAsia="en-GB"/>
        </w:rPr>
        <w:t xml:space="preserve"> et </w:t>
      </w:r>
      <w:r>
        <w:rPr>
          <w:lang w:val="fr-FR" w:eastAsia="en-GB"/>
        </w:rPr>
        <w:t xml:space="preserve">un trouble permanent </w:t>
      </w:r>
      <w:r w:rsidRPr="0062716A">
        <w:rPr>
          <w:lang w:val="fr-FR" w:eastAsia="en-GB"/>
        </w:rPr>
        <w:t>de</w:t>
      </w:r>
      <w:r>
        <w:rPr>
          <w:lang w:val="fr-FR" w:eastAsia="en-GB"/>
        </w:rPr>
        <w:t xml:space="preserve"> la personnalité et un état de </w:t>
      </w:r>
      <w:r w:rsidRPr="0062716A">
        <w:rPr>
          <w:lang w:val="fr-FR" w:eastAsia="en-GB"/>
        </w:rPr>
        <w:t>stress post-traumatique</w:t>
      </w:r>
      <w:r w:rsidRPr="007229E8">
        <w:rPr>
          <w:lang w:val="fr-FR" w:eastAsia="en-GB"/>
        </w:rPr>
        <w:t xml:space="preserve"> </w:t>
      </w:r>
      <w:r>
        <w:rPr>
          <w:lang w:val="fr-FR" w:eastAsia="en-GB"/>
        </w:rPr>
        <w:t>chronique ont été diagnostiqués</w:t>
      </w:r>
      <w:r w:rsidRPr="0062716A">
        <w:rPr>
          <w:lang w:val="fr-FR" w:eastAsia="en-GB"/>
        </w:rPr>
        <w:t>. Un expert a déclaré devant la Cour de Bosnie-Herzégovine que « la qualité de vie générale de la partie lésée a été définitivement réduite de 25</w:t>
      </w:r>
      <w:r>
        <w:rPr>
          <w:lang w:val="fr-FR" w:eastAsia="en-GB"/>
        </w:rPr>
        <w:t> </w:t>
      </w:r>
      <w:r w:rsidRPr="0062716A">
        <w:rPr>
          <w:lang w:val="fr-FR" w:eastAsia="en-GB"/>
        </w:rPr>
        <w:t>% à cause de</w:t>
      </w:r>
      <w:r>
        <w:rPr>
          <w:lang w:val="fr-FR" w:eastAsia="en-GB"/>
        </w:rPr>
        <w:t xml:space="preserve"> la transformation de sa </w:t>
      </w:r>
      <w:r w:rsidRPr="0062716A">
        <w:rPr>
          <w:lang w:val="fr-FR" w:eastAsia="en-GB"/>
        </w:rPr>
        <w:t xml:space="preserve">personnalité </w:t>
      </w:r>
      <w:r>
        <w:rPr>
          <w:lang w:val="fr-FR" w:eastAsia="en-GB"/>
        </w:rPr>
        <w:t xml:space="preserve">induite par </w:t>
      </w:r>
      <w:r w:rsidRPr="0062716A">
        <w:rPr>
          <w:lang w:val="fr-FR" w:eastAsia="en-GB"/>
        </w:rPr>
        <w:t>cette expérience catastrophique… »</w:t>
      </w:r>
      <w:r w:rsidRPr="007C3FFD">
        <w:rPr>
          <w:rStyle w:val="Appelnotedebasdep"/>
        </w:rPr>
        <w:footnoteReference w:id="6"/>
      </w:r>
      <w:r w:rsidRPr="0062716A">
        <w:rPr>
          <w:lang w:val="fr-FR" w:eastAsia="en-GB"/>
        </w:rPr>
        <w:t>.</w:t>
      </w:r>
    </w:p>
    <w:p w14:paraId="764D262C" w14:textId="77777777" w:rsidR="00AF2FC6" w:rsidRPr="0062716A" w:rsidRDefault="00AF2FC6" w:rsidP="006F7894">
      <w:pPr>
        <w:pStyle w:val="SingleTxtG"/>
        <w:rPr>
          <w:bCs/>
          <w:color w:val="000000"/>
          <w:lang w:val="fr-FR" w:eastAsia="en-GB"/>
        </w:rPr>
      </w:pPr>
      <w:r w:rsidRPr="0062716A">
        <w:rPr>
          <w:lang w:val="fr-FR" w:eastAsia="en-GB"/>
        </w:rPr>
        <w:t>2.4</w:t>
      </w:r>
      <w:r w:rsidRPr="0062716A">
        <w:rPr>
          <w:lang w:val="fr-FR" w:eastAsia="en-GB"/>
        </w:rPr>
        <w:tab/>
        <w:t xml:space="preserve">La requérante </w:t>
      </w:r>
      <w:r>
        <w:rPr>
          <w:lang w:val="fr-FR" w:eastAsia="en-GB"/>
        </w:rPr>
        <w:t xml:space="preserve">n’a pas signalé </w:t>
      </w:r>
      <w:r w:rsidRPr="0062716A">
        <w:rPr>
          <w:lang w:val="fr-FR" w:eastAsia="en-GB"/>
        </w:rPr>
        <w:t xml:space="preserve">immédiatement </w:t>
      </w:r>
      <w:r>
        <w:rPr>
          <w:lang w:val="fr-FR" w:eastAsia="en-GB"/>
        </w:rPr>
        <w:t>ce qui lui était arrivé, craignant de parler tant qu’</w:t>
      </w:r>
      <w:r w:rsidRPr="0062716A">
        <w:rPr>
          <w:lang w:val="fr-FR" w:eastAsia="en-GB"/>
        </w:rPr>
        <w:t xml:space="preserve">elle vivait dans une localité contrôlée par </w:t>
      </w:r>
      <w:r>
        <w:rPr>
          <w:lang w:val="fr-FR" w:eastAsia="en-GB"/>
        </w:rPr>
        <w:t xml:space="preserve">l’Armée de </w:t>
      </w:r>
      <w:r w:rsidRPr="0062716A">
        <w:rPr>
          <w:lang w:val="fr-FR" w:eastAsia="en-GB"/>
        </w:rPr>
        <w:t xml:space="preserve">la Republika Srpska. Même une fois le conflit terminé, elle a mis des années avant de pouvoir </w:t>
      </w:r>
      <w:r>
        <w:rPr>
          <w:lang w:val="fr-FR" w:eastAsia="en-GB"/>
        </w:rPr>
        <w:t xml:space="preserve">évoquer sans crainte </w:t>
      </w:r>
      <w:r w:rsidRPr="0062716A">
        <w:rPr>
          <w:lang w:val="fr-FR" w:eastAsia="en-GB"/>
        </w:rPr>
        <w:t>ce qu</w:t>
      </w:r>
      <w:r>
        <w:rPr>
          <w:lang w:val="fr-FR" w:eastAsia="en-GB"/>
        </w:rPr>
        <w:t>’</w:t>
      </w:r>
      <w:r w:rsidRPr="0062716A">
        <w:rPr>
          <w:lang w:val="fr-FR" w:eastAsia="en-GB"/>
        </w:rPr>
        <w:t>elle avait vécu. Elle a fini par trouver le courage de signaler les faits aux autorités à la suite d</w:t>
      </w:r>
      <w:r>
        <w:rPr>
          <w:lang w:val="fr-FR" w:eastAsia="en-GB"/>
        </w:rPr>
        <w:t>’</w:t>
      </w:r>
      <w:r w:rsidRPr="0062716A">
        <w:rPr>
          <w:lang w:val="fr-FR" w:eastAsia="en-GB"/>
        </w:rPr>
        <w:t>autres femmes qui avaient pris la parole, et, le 5</w:t>
      </w:r>
      <w:r>
        <w:rPr>
          <w:lang w:val="fr-FR" w:eastAsia="en-GB"/>
        </w:rPr>
        <w:t> </w:t>
      </w:r>
      <w:r w:rsidRPr="0062716A">
        <w:rPr>
          <w:lang w:val="fr-FR" w:eastAsia="en-GB"/>
        </w:rPr>
        <w:t xml:space="preserve">novembre 2014, le Bureau du </w:t>
      </w:r>
      <w:r>
        <w:rPr>
          <w:lang w:val="fr-FR" w:eastAsia="en-GB"/>
        </w:rPr>
        <w:t>P</w:t>
      </w:r>
      <w:r w:rsidRPr="0062716A">
        <w:rPr>
          <w:lang w:val="fr-FR" w:eastAsia="en-GB"/>
        </w:rPr>
        <w:t xml:space="preserve">rocureur a </w:t>
      </w:r>
      <w:r>
        <w:rPr>
          <w:lang w:val="fr-FR" w:eastAsia="en-GB"/>
        </w:rPr>
        <w:t>mis</w:t>
      </w:r>
      <w:r w:rsidRPr="0062716A">
        <w:rPr>
          <w:lang w:val="fr-FR" w:eastAsia="en-GB"/>
        </w:rPr>
        <w:t xml:space="preserve"> Slavko Savić </w:t>
      </w:r>
      <w:r>
        <w:rPr>
          <w:lang w:val="fr-FR" w:eastAsia="en-GB"/>
        </w:rPr>
        <w:t xml:space="preserve">en accusation du chef </w:t>
      </w:r>
      <w:r w:rsidRPr="0062716A">
        <w:rPr>
          <w:lang w:val="fr-FR" w:eastAsia="en-GB"/>
        </w:rPr>
        <w:t>de crimes de guerre contre la population civile.</w:t>
      </w:r>
    </w:p>
    <w:p w14:paraId="08BE5F99" w14:textId="77777777" w:rsidR="00AF2FC6" w:rsidRPr="0062716A" w:rsidRDefault="00AF2FC6" w:rsidP="006F7894">
      <w:pPr>
        <w:pStyle w:val="SingleTxtG"/>
        <w:rPr>
          <w:bCs/>
          <w:color w:val="000000"/>
          <w:lang w:val="fr-FR" w:eastAsia="en-GB"/>
        </w:rPr>
      </w:pPr>
      <w:r w:rsidRPr="0062716A">
        <w:rPr>
          <w:lang w:val="fr-FR" w:eastAsia="en-GB"/>
        </w:rPr>
        <w:t>2.5</w:t>
      </w:r>
      <w:r w:rsidRPr="0062716A">
        <w:rPr>
          <w:lang w:val="fr-FR" w:eastAsia="en-GB"/>
        </w:rPr>
        <w:tab/>
        <w:t>Le 19</w:t>
      </w:r>
      <w:r>
        <w:rPr>
          <w:lang w:val="fr-FR" w:eastAsia="en-GB"/>
        </w:rPr>
        <w:t> </w:t>
      </w:r>
      <w:r w:rsidRPr="0062716A">
        <w:rPr>
          <w:lang w:val="fr-FR" w:eastAsia="en-GB"/>
        </w:rPr>
        <w:t>janvier 2015, la Chambre des crimes de guerre I de la Cour de Bosnie</w:t>
      </w:r>
      <w:r>
        <w:rPr>
          <w:lang w:val="fr-FR" w:eastAsia="en-GB"/>
        </w:rPr>
        <w:noBreakHyphen/>
      </w:r>
      <w:r w:rsidRPr="0062716A">
        <w:rPr>
          <w:lang w:val="fr-FR" w:eastAsia="en-GB"/>
        </w:rPr>
        <w:t xml:space="preserve">Herzégovine a </w:t>
      </w:r>
      <w:r>
        <w:rPr>
          <w:lang w:val="fr-FR" w:eastAsia="en-GB"/>
        </w:rPr>
        <w:t>décidé</w:t>
      </w:r>
      <w:r w:rsidRPr="0062716A">
        <w:rPr>
          <w:lang w:val="fr-FR" w:eastAsia="en-GB"/>
        </w:rPr>
        <w:t xml:space="preserve"> que les données personnelles de </w:t>
      </w:r>
      <w:r w:rsidRPr="00870602">
        <w:rPr>
          <w:lang w:val="fr-FR" w:eastAsia="en-GB"/>
        </w:rPr>
        <w:t xml:space="preserve">la requérante </w:t>
      </w:r>
      <w:r w:rsidRPr="0062716A">
        <w:rPr>
          <w:lang w:val="fr-FR" w:eastAsia="en-GB"/>
        </w:rPr>
        <w:t>et de sa fille étaient confidentielles</w:t>
      </w:r>
      <w:r>
        <w:rPr>
          <w:lang w:val="fr-FR" w:eastAsia="en-GB"/>
        </w:rPr>
        <w:t xml:space="preserve">, </w:t>
      </w:r>
      <w:r w:rsidRPr="0062716A">
        <w:rPr>
          <w:lang w:val="fr-FR" w:eastAsia="en-GB"/>
        </w:rPr>
        <w:t xml:space="preserve">leur </w:t>
      </w:r>
      <w:r>
        <w:rPr>
          <w:lang w:val="fr-FR" w:eastAsia="en-GB"/>
        </w:rPr>
        <w:t>attribuant</w:t>
      </w:r>
      <w:r w:rsidRPr="0062716A">
        <w:rPr>
          <w:lang w:val="fr-FR" w:eastAsia="en-GB"/>
        </w:rPr>
        <w:t xml:space="preserve"> respectivement les pseudonymes </w:t>
      </w:r>
      <w:r>
        <w:rPr>
          <w:lang w:val="fr-FR" w:eastAsia="en-GB"/>
        </w:rPr>
        <w:t>A</w:t>
      </w:r>
      <w:r w:rsidRPr="0062716A">
        <w:rPr>
          <w:lang w:val="fr-FR" w:eastAsia="en-GB"/>
        </w:rPr>
        <w:t xml:space="preserve"> et E à titre de mesure de protection. Le 29</w:t>
      </w:r>
      <w:r>
        <w:rPr>
          <w:lang w:val="fr-FR" w:eastAsia="en-GB"/>
        </w:rPr>
        <w:t> </w:t>
      </w:r>
      <w:r w:rsidRPr="0062716A">
        <w:rPr>
          <w:lang w:val="fr-FR" w:eastAsia="en-GB"/>
        </w:rPr>
        <w:t xml:space="preserve">juin 2015, la Chambre des crimes de guerre </w:t>
      </w:r>
      <w:r>
        <w:rPr>
          <w:lang w:val="fr-FR" w:eastAsia="en-GB"/>
        </w:rPr>
        <w:t xml:space="preserve">I </w:t>
      </w:r>
      <w:r w:rsidRPr="0062716A">
        <w:rPr>
          <w:lang w:val="fr-FR" w:eastAsia="en-GB"/>
        </w:rPr>
        <w:t xml:space="preserve">a </w:t>
      </w:r>
      <w:r>
        <w:rPr>
          <w:lang w:val="fr-FR" w:eastAsia="en-GB"/>
        </w:rPr>
        <w:t>reconnu</w:t>
      </w:r>
      <w:r w:rsidRPr="0062716A">
        <w:rPr>
          <w:lang w:val="fr-FR" w:eastAsia="en-GB"/>
        </w:rPr>
        <w:t xml:space="preserve"> Slavko</w:t>
      </w:r>
      <w:r w:rsidR="005069B1">
        <w:rPr>
          <w:lang w:val="fr-FR" w:eastAsia="en-GB"/>
        </w:rPr>
        <w:t> </w:t>
      </w:r>
      <w:r w:rsidRPr="0062716A">
        <w:rPr>
          <w:lang w:val="fr-FR" w:eastAsia="en-GB"/>
        </w:rPr>
        <w:t>Savić coupable de crimes de guerre contre des civils pour le viol de la requérante</w:t>
      </w:r>
      <w:r>
        <w:rPr>
          <w:lang w:val="fr-FR" w:eastAsia="en-GB"/>
        </w:rPr>
        <w:t xml:space="preserve"> et</w:t>
      </w:r>
      <w:r w:rsidRPr="0062716A">
        <w:rPr>
          <w:lang w:val="fr-FR" w:eastAsia="en-GB"/>
        </w:rPr>
        <w:t xml:space="preserve"> l</w:t>
      </w:r>
      <w:r>
        <w:rPr>
          <w:lang w:val="fr-FR" w:eastAsia="en-GB"/>
        </w:rPr>
        <w:t>’</w:t>
      </w:r>
      <w:r w:rsidRPr="0062716A">
        <w:rPr>
          <w:lang w:val="fr-FR" w:eastAsia="en-GB"/>
        </w:rPr>
        <w:t>a condamné à une peine de huit ans d</w:t>
      </w:r>
      <w:r>
        <w:rPr>
          <w:lang w:val="fr-FR" w:eastAsia="en-GB"/>
        </w:rPr>
        <w:t>’</w:t>
      </w:r>
      <w:r w:rsidRPr="0062716A">
        <w:rPr>
          <w:lang w:val="fr-FR" w:eastAsia="en-GB"/>
        </w:rPr>
        <w:t xml:space="preserve">emprisonnement et </w:t>
      </w:r>
      <w:r>
        <w:rPr>
          <w:lang w:val="fr-FR" w:eastAsia="en-GB"/>
        </w:rPr>
        <w:t xml:space="preserve">à </w:t>
      </w:r>
      <w:r w:rsidRPr="0062716A">
        <w:rPr>
          <w:lang w:val="fr-FR" w:eastAsia="en-GB"/>
        </w:rPr>
        <w:t xml:space="preserve">verser </w:t>
      </w:r>
      <w:r>
        <w:rPr>
          <w:lang w:val="fr-FR" w:eastAsia="en-GB"/>
        </w:rPr>
        <w:t xml:space="preserve">à </w:t>
      </w:r>
      <w:r w:rsidRPr="0062716A">
        <w:rPr>
          <w:lang w:val="fr-FR" w:eastAsia="en-GB"/>
        </w:rPr>
        <w:t>la requérante</w:t>
      </w:r>
      <w:r>
        <w:rPr>
          <w:lang w:val="fr-FR" w:eastAsia="en-GB"/>
        </w:rPr>
        <w:t>,</w:t>
      </w:r>
      <w:r w:rsidRPr="00103D77">
        <w:rPr>
          <w:lang w:val="fr-FR" w:eastAsia="en-GB"/>
        </w:rPr>
        <w:t xml:space="preserve"> </w:t>
      </w:r>
      <w:r>
        <w:rPr>
          <w:lang w:val="fr-FR" w:eastAsia="en-GB"/>
        </w:rPr>
        <w:t>dans un délai de</w:t>
      </w:r>
      <w:r w:rsidRPr="0062716A">
        <w:rPr>
          <w:lang w:val="fr-FR" w:eastAsia="en-GB"/>
        </w:rPr>
        <w:t xml:space="preserve"> </w:t>
      </w:r>
      <w:r>
        <w:rPr>
          <w:lang w:val="fr-FR" w:eastAsia="en-GB"/>
        </w:rPr>
        <w:t>quatre</w:t>
      </w:r>
      <w:r>
        <w:rPr>
          <w:lang w:val="fr-FR" w:eastAsia="en-GB"/>
        </w:rPr>
        <w:noBreakHyphen/>
        <w:t>vingt</w:t>
      </w:r>
      <w:r>
        <w:rPr>
          <w:lang w:val="fr-FR" w:eastAsia="en-GB"/>
        </w:rPr>
        <w:noBreakHyphen/>
        <w:t>dix</w:t>
      </w:r>
      <w:r w:rsidRPr="0062716A">
        <w:rPr>
          <w:lang w:val="fr-FR" w:eastAsia="en-GB"/>
        </w:rPr>
        <w:t xml:space="preserve"> jours</w:t>
      </w:r>
      <w:r>
        <w:rPr>
          <w:lang w:val="fr-FR" w:eastAsia="en-GB"/>
        </w:rPr>
        <w:t>, la somme de</w:t>
      </w:r>
      <w:r w:rsidRPr="0062716A">
        <w:rPr>
          <w:lang w:val="fr-FR" w:eastAsia="en-GB"/>
        </w:rPr>
        <w:t xml:space="preserve"> 30</w:t>
      </w:r>
      <w:r>
        <w:rPr>
          <w:lang w:val="fr-FR" w:eastAsia="en-GB"/>
        </w:rPr>
        <w:t> </w:t>
      </w:r>
      <w:r w:rsidRPr="0062716A">
        <w:rPr>
          <w:lang w:val="fr-FR" w:eastAsia="en-GB"/>
        </w:rPr>
        <w:t>000</w:t>
      </w:r>
      <w:r>
        <w:rPr>
          <w:lang w:val="fr-FR" w:eastAsia="en-GB"/>
        </w:rPr>
        <w:t> marks</w:t>
      </w:r>
      <w:r w:rsidRPr="0062716A">
        <w:rPr>
          <w:lang w:val="fr-FR" w:eastAsia="en-GB"/>
        </w:rPr>
        <w:t xml:space="preserve"> (environ 15</w:t>
      </w:r>
      <w:r>
        <w:rPr>
          <w:lang w:val="fr-FR" w:eastAsia="en-GB"/>
        </w:rPr>
        <w:t> </w:t>
      </w:r>
      <w:r w:rsidRPr="0062716A">
        <w:rPr>
          <w:lang w:val="fr-FR" w:eastAsia="en-GB"/>
        </w:rPr>
        <w:t>340</w:t>
      </w:r>
      <w:r>
        <w:rPr>
          <w:lang w:val="fr-FR" w:eastAsia="en-GB"/>
        </w:rPr>
        <w:t> </w:t>
      </w:r>
      <w:r w:rsidRPr="0062716A">
        <w:rPr>
          <w:lang w:val="fr-FR" w:eastAsia="en-GB"/>
        </w:rPr>
        <w:t xml:space="preserve">euros) </w:t>
      </w:r>
      <w:r>
        <w:rPr>
          <w:lang w:val="fr-FR" w:eastAsia="en-GB"/>
        </w:rPr>
        <w:t xml:space="preserve">à titre de dommages-intérêts en réparation de son </w:t>
      </w:r>
      <w:r w:rsidRPr="0062716A">
        <w:rPr>
          <w:lang w:val="fr-FR" w:eastAsia="en-GB"/>
        </w:rPr>
        <w:t>préjudice moral. Le</w:t>
      </w:r>
      <w:r>
        <w:rPr>
          <w:lang w:val="fr-FR" w:eastAsia="en-GB"/>
        </w:rPr>
        <w:t> </w:t>
      </w:r>
      <w:r w:rsidRPr="0062716A">
        <w:rPr>
          <w:lang w:val="fr-FR" w:eastAsia="en-GB"/>
        </w:rPr>
        <w:t>24</w:t>
      </w:r>
      <w:r>
        <w:rPr>
          <w:lang w:val="fr-FR" w:eastAsia="en-GB"/>
        </w:rPr>
        <w:t> </w:t>
      </w:r>
      <w:r w:rsidRPr="0062716A">
        <w:rPr>
          <w:lang w:val="fr-FR" w:eastAsia="en-GB"/>
        </w:rPr>
        <w:t>novembre 2015, la Cour</w:t>
      </w:r>
      <w:r>
        <w:rPr>
          <w:lang w:val="fr-FR" w:eastAsia="en-GB"/>
        </w:rPr>
        <w:t>,</w:t>
      </w:r>
      <w:r w:rsidRPr="0062716A">
        <w:rPr>
          <w:lang w:val="fr-FR" w:eastAsia="en-GB"/>
        </w:rPr>
        <w:t xml:space="preserve"> siégeant en formation d</w:t>
      </w:r>
      <w:r>
        <w:rPr>
          <w:lang w:val="fr-FR" w:eastAsia="en-GB"/>
        </w:rPr>
        <w:t>’</w:t>
      </w:r>
      <w:r w:rsidRPr="0062716A">
        <w:rPr>
          <w:lang w:val="fr-FR" w:eastAsia="en-GB"/>
        </w:rPr>
        <w:t>appel</w:t>
      </w:r>
      <w:r>
        <w:rPr>
          <w:lang w:val="fr-FR" w:eastAsia="en-GB"/>
        </w:rPr>
        <w:t>,</w:t>
      </w:r>
      <w:r w:rsidRPr="0062716A">
        <w:rPr>
          <w:lang w:val="fr-FR" w:eastAsia="en-GB"/>
        </w:rPr>
        <w:t xml:space="preserve"> a confirmé </w:t>
      </w:r>
      <w:r>
        <w:rPr>
          <w:lang w:val="fr-FR" w:eastAsia="en-GB"/>
        </w:rPr>
        <w:t>la condamnation</w:t>
      </w:r>
      <w:r w:rsidRPr="0062716A">
        <w:rPr>
          <w:lang w:val="fr-FR" w:eastAsia="en-GB"/>
        </w:rPr>
        <w:t xml:space="preserve">. </w:t>
      </w:r>
      <w:r>
        <w:rPr>
          <w:lang w:val="fr-FR" w:eastAsia="en-GB"/>
        </w:rPr>
        <w:t>M. </w:t>
      </w:r>
      <w:r w:rsidRPr="0062716A">
        <w:rPr>
          <w:lang w:val="fr-FR" w:eastAsia="en-GB"/>
        </w:rPr>
        <w:t>Savić n</w:t>
      </w:r>
      <w:r>
        <w:rPr>
          <w:lang w:val="fr-FR" w:eastAsia="en-GB"/>
        </w:rPr>
        <w:t>’</w:t>
      </w:r>
      <w:r w:rsidRPr="0062716A">
        <w:rPr>
          <w:lang w:val="fr-FR" w:eastAsia="en-GB"/>
        </w:rPr>
        <w:t>a pas versé à la requérante la somme fixée par la Cour.</w:t>
      </w:r>
    </w:p>
    <w:p w14:paraId="0A661C92" w14:textId="77777777" w:rsidR="00AF2FC6" w:rsidRPr="0062716A" w:rsidRDefault="00AF2FC6" w:rsidP="006F7894">
      <w:pPr>
        <w:pStyle w:val="SingleTxtG"/>
        <w:rPr>
          <w:lang w:val="fr-FR"/>
        </w:rPr>
      </w:pPr>
      <w:r w:rsidRPr="0062716A">
        <w:rPr>
          <w:lang w:val="fr-FR" w:eastAsia="en-GB"/>
        </w:rPr>
        <w:t>2.6</w:t>
      </w:r>
      <w:r w:rsidRPr="0062716A">
        <w:rPr>
          <w:lang w:val="fr-FR"/>
        </w:rPr>
        <w:tab/>
      </w:r>
      <w:r w:rsidRPr="009A00AB">
        <w:rPr>
          <w:spacing w:val="-2"/>
          <w:lang w:val="fr-FR" w:eastAsia="en-GB"/>
        </w:rPr>
        <w:t xml:space="preserve">Le 10 juin 2016, la requérante a déposé une </w:t>
      </w:r>
      <w:r>
        <w:rPr>
          <w:spacing w:val="-2"/>
          <w:lang w:val="fr-FR" w:eastAsia="en-GB"/>
        </w:rPr>
        <w:t>demande d’</w:t>
      </w:r>
      <w:r w:rsidRPr="009A00AB">
        <w:rPr>
          <w:spacing w:val="-2"/>
          <w:lang w:val="fr-FR" w:eastAsia="en-GB"/>
        </w:rPr>
        <w:t>exécution du jugement afin d</w:t>
      </w:r>
      <w:r>
        <w:rPr>
          <w:spacing w:val="-2"/>
          <w:lang w:val="fr-FR" w:eastAsia="en-GB"/>
        </w:rPr>
        <w:t>’</w:t>
      </w:r>
      <w:r w:rsidRPr="009A00AB">
        <w:rPr>
          <w:spacing w:val="-2"/>
          <w:lang w:val="fr-FR" w:eastAsia="en-GB"/>
        </w:rPr>
        <w:t xml:space="preserve">obtenir le paiement </w:t>
      </w:r>
      <w:r>
        <w:rPr>
          <w:spacing w:val="-2"/>
          <w:lang w:val="fr-FR" w:eastAsia="en-GB"/>
        </w:rPr>
        <w:t>des dommages-intérêts</w:t>
      </w:r>
      <w:r w:rsidRPr="009A00AB">
        <w:rPr>
          <w:spacing w:val="-2"/>
          <w:lang w:val="fr-FR" w:eastAsia="en-GB"/>
        </w:rPr>
        <w:t xml:space="preserve">. Le 8 août 2016 et le 27 mars 2017, </w:t>
      </w:r>
      <w:r>
        <w:rPr>
          <w:spacing w:val="-2"/>
          <w:lang w:val="fr-FR" w:eastAsia="en-GB"/>
        </w:rPr>
        <w:t>elle</w:t>
      </w:r>
      <w:r w:rsidRPr="009A00AB">
        <w:rPr>
          <w:spacing w:val="-2"/>
          <w:lang w:val="fr-FR" w:eastAsia="en-GB"/>
        </w:rPr>
        <w:t xml:space="preserve"> a été informée par la Cour de Bosnie-Herzégovine que </w:t>
      </w:r>
      <w:r>
        <w:rPr>
          <w:spacing w:val="-2"/>
          <w:lang w:val="fr-FR" w:eastAsia="en-GB"/>
        </w:rPr>
        <w:t>M. </w:t>
      </w:r>
      <w:r w:rsidRPr="009A00AB">
        <w:rPr>
          <w:spacing w:val="-2"/>
          <w:lang w:val="fr-FR" w:eastAsia="en-GB"/>
        </w:rPr>
        <w:t>Savić ne possédait pas de biens</w:t>
      </w:r>
      <w:r>
        <w:rPr>
          <w:spacing w:val="-2"/>
          <w:lang w:val="fr-FR" w:eastAsia="en-GB"/>
        </w:rPr>
        <w:t> ;</w:t>
      </w:r>
      <w:r w:rsidRPr="009A00AB">
        <w:rPr>
          <w:spacing w:val="-2"/>
          <w:lang w:val="fr-FR" w:eastAsia="en-GB"/>
        </w:rPr>
        <w:t xml:space="preserve"> elle a donc été obligée de retirer sa </w:t>
      </w:r>
      <w:r>
        <w:rPr>
          <w:spacing w:val="-2"/>
          <w:lang w:val="fr-FR" w:eastAsia="en-GB"/>
        </w:rPr>
        <w:t xml:space="preserve">demande d’exécution </w:t>
      </w:r>
      <w:r w:rsidRPr="009A00AB">
        <w:rPr>
          <w:spacing w:val="-2"/>
          <w:lang w:val="fr-FR" w:eastAsia="en-GB"/>
        </w:rPr>
        <w:t>le 7 avril 2017.</w:t>
      </w:r>
      <w:r w:rsidRPr="009A00AB">
        <w:rPr>
          <w:spacing w:val="-2"/>
          <w:lang w:val="fr-FR"/>
        </w:rPr>
        <w:t xml:space="preserve"> </w:t>
      </w:r>
    </w:p>
    <w:p w14:paraId="0A62B20F" w14:textId="77777777" w:rsidR="00AF2FC6" w:rsidRPr="0062716A" w:rsidRDefault="00AF2FC6" w:rsidP="006F7894">
      <w:pPr>
        <w:pStyle w:val="SingleTxtG"/>
        <w:rPr>
          <w:lang w:val="fr-FR"/>
        </w:rPr>
      </w:pPr>
      <w:r w:rsidRPr="0062716A">
        <w:rPr>
          <w:lang w:val="fr-FR"/>
        </w:rPr>
        <w:t>2.7</w:t>
      </w:r>
      <w:r w:rsidRPr="0062716A">
        <w:rPr>
          <w:lang w:val="fr-FR"/>
        </w:rPr>
        <w:tab/>
        <w:t xml:space="preserve">En ce qui concerne la recevabilité de la communication </w:t>
      </w:r>
      <w:r w:rsidRPr="0062716A">
        <w:rPr>
          <w:i/>
          <w:lang w:val="fr-FR"/>
        </w:rPr>
        <w:t>ratione temporis</w:t>
      </w:r>
      <w:r w:rsidRPr="0062716A">
        <w:rPr>
          <w:lang w:val="fr-FR"/>
        </w:rPr>
        <w:t>, la requérante fait observer que la Bosnie-Herzégovine est partie à la Convention depuis le 1</w:t>
      </w:r>
      <w:r w:rsidRPr="0062716A">
        <w:rPr>
          <w:vertAlign w:val="superscript"/>
          <w:lang w:val="fr-FR"/>
        </w:rPr>
        <w:t>er</w:t>
      </w:r>
      <w:r>
        <w:rPr>
          <w:lang w:val="fr-FR"/>
        </w:rPr>
        <w:t> </w:t>
      </w:r>
      <w:r w:rsidRPr="0062716A">
        <w:rPr>
          <w:lang w:val="fr-FR"/>
        </w:rPr>
        <w:t>octobre 1993. Le viol et les mauvais traitements qu</w:t>
      </w:r>
      <w:r>
        <w:rPr>
          <w:lang w:val="fr-FR"/>
        </w:rPr>
        <w:t>’</w:t>
      </w:r>
      <w:r w:rsidRPr="0062716A">
        <w:rPr>
          <w:lang w:val="fr-FR"/>
        </w:rPr>
        <w:t>elle a subis ont eu lieu en mai-juin 1993 mais ils mettent en jeu l</w:t>
      </w:r>
      <w:r>
        <w:rPr>
          <w:lang w:val="fr-FR"/>
        </w:rPr>
        <w:t>’obligation permanente qui incombe</w:t>
      </w:r>
      <w:r w:rsidRPr="0062716A">
        <w:rPr>
          <w:lang w:val="fr-FR"/>
        </w:rPr>
        <w:t xml:space="preserve"> à la Bosnie-Herzégovine d</w:t>
      </w:r>
      <w:r>
        <w:rPr>
          <w:lang w:val="fr-FR"/>
        </w:rPr>
        <w:t>’</w:t>
      </w:r>
      <w:r w:rsidRPr="0062716A">
        <w:rPr>
          <w:lang w:val="fr-FR"/>
        </w:rPr>
        <w:t>enquêter sur les faits</w:t>
      </w:r>
      <w:r>
        <w:rPr>
          <w:lang w:val="fr-FR"/>
        </w:rPr>
        <w:t>,</w:t>
      </w:r>
      <w:r w:rsidRPr="0062716A">
        <w:rPr>
          <w:lang w:val="fr-FR"/>
        </w:rPr>
        <w:t xml:space="preserve"> de poursuivre et </w:t>
      </w:r>
      <w:r>
        <w:rPr>
          <w:lang w:val="fr-FR"/>
        </w:rPr>
        <w:t xml:space="preserve">de </w:t>
      </w:r>
      <w:r w:rsidRPr="0062716A">
        <w:rPr>
          <w:lang w:val="fr-FR"/>
        </w:rPr>
        <w:t xml:space="preserve">punir le coupable et de </w:t>
      </w:r>
      <w:r>
        <w:rPr>
          <w:lang w:val="fr-FR"/>
        </w:rPr>
        <w:t xml:space="preserve">garantir </w:t>
      </w:r>
      <w:r w:rsidRPr="0062716A">
        <w:rPr>
          <w:lang w:val="fr-FR"/>
        </w:rPr>
        <w:t xml:space="preserve">que </w:t>
      </w:r>
      <w:r>
        <w:rPr>
          <w:lang w:val="fr-FR"/>
        </w:rPr>
        <w:t>A</w:t>
      </w:r>
      <w:r w:rsidRPr="0062716A">
        <w:rPr>
          <w:lang w:val="fr-FR"/>
        </w:rPr>
        <w:t xml:space="preserve"> obtienne réparation et ait </w:t>
      </w:r>
      <w:r>
        <w:rPr>
          <w:lang w:val="fr-FR"/>
        </w:rPr>
        <w:t>droit</w:t>
      </w:r>
      <w:r w:rsidRPr="0062716A">
        <w:rPr>
          <w:lang w:val="fr-FR"/>
        </w:rPr>
        <w:t xml:space="preserve"> à une indemnisation. De plus, tous les faits relatifs à l</w:t>
      </w:r>
      <w:r>
        <w:rPr>
          <w:lang w:val="fr-FR"/>
        </w:rPr>
        <w:t>’</w:t>
      </w:r>
      <w:r w:rsidRPr="0062716A">
        <w:rPr>
          <w:lang w:val="fr-FR"/>
        </w:rPr>
        <w:t xml:space="preserve">absence persistante de réparation en faveur de </w:t>
      </w:r>
      <w:r>
        <w:rPr>
          <w:lang w:val="fr-FR"/>
        </w:rPr>
        <w:t>A</w:t>
      </w:r>
      <w:r w:rsidRPr="0062716A">
        <w:rPr>
          <w:lang w:val="fr-FR"/>
        </w:rPr>
        <w:t xml:space="preserve"> se sont produits après le 4</w:t>
      </w:r>
      <w:r>
        <w:rPr>
          <w:lang w:val="fr-FR"/>
        </w:rPr>
        <w:t> </w:t>
      </w:r>
      <w:r w:rsidRPr="0062716A">
        <w:rPr>
          <w:lang w:val="fr-FR"/>
        </w:rPr>
        <w:t xml:space="preserve">juin 2003. Par conséquent, le Comité est compétent à la fois </w:t>
      </w:r>
      <w:r w:rsidRPr="0062716A">
        <w:rPr>
          <w:i/>
          <w:lang w:val="fr-FR"/>
        </w:rPr>
        <w:t>ratione loci</w:t>
      </w:r>
      <w:r w:rsidRPr="0062716A">
        <w:rPr>
          <w:lang w:val="fr-FR"/>
        </w:rPr>
        <w:t xml:space="preserve"> et </w:t>
      </w:r>
      <w:r w:rsidRPr="0062716A">
        <w:rPr>
          <w:i/>
          <w:lang w:val="fr-FR"/>
        </w:rPr>
        <w:t>ratione temporis</w:t>
      </w:r>
      <w:r w:rsidRPr="0062716A">
        <w:rPr>
          <w:lang w:val="fr-FR"/>
        </w:rPr>
        <w:t xml:space="preserve"> pour examiner </w:t>
      </w:r>
      <w:r>
        <w:rPr>
          <w:lang w:val="fr-FR"/>
        </w:rPr>
        <w:t xml:space="preserve">la présente </w:t>
      </w:r>
      <w:r w:rsidRPr="0062716A">
        <w:rPr>
          <w:lang w:val="fr-FR"/>
        </w:rPr>
        <w:t xml:space="preserve">communication. </w:t>
      </w:r>
    </w:p>
    <w:p w14:paraId="07559297" w14:textId="77777777" w:rsidR="00AF2FC6" w:rsidRPr="0062716A" w:rsidRDefault="00AF2FC6" w:rsidP="006F7894">
      <w:pPr>
        <w:pStyle w:val="SingleTxtG"/>
        <w:rPr>
          <w:lang w:val="fr-FR"/>
        </w:rPr>
      </w:pPr>
      <w:r w:rsidRPr="0062716A">
        <w:rPr>
          <w:lang w:val="fr-FR"/>
        </w:rPr>
        <w:t>2.8</w:t>
      </w:r>
      <w:r w:rsidRPr="0062716A">
        <w:rPr>
          <w:lang w:val="fr-FR"/>
        </w:rPr>
        <w:tab/>
        <w:t xml:space="preserve">La requérante se réfère </w:t>
      </w:r>
      <w:r>
        <w:rPr>
          <w:lang w:val="fr-FR"/>
        </w:rPr>
        <w:t xml:space="preserve">à la pratique suivie par </w:t>
      </w:r>
      <w:r w:rsidRPr="0062716A">
        <w:rPr>
          <w:lang w:val="fr-FR"/>
        </w:rPr>
        <w:t>le Comité pour l</w:t>
      </w:r>
      <w:r>
        <w:rPr>
          <w:lang w:val="fr-FR"/>
        </w:rPr>
        <w:t>’</w:t>
      </w:r>
      <w:r w:rsidRPr="0062716A">
        <w:rPr>
          <w:lang w:val="fr-FR"/>
        </w:rPr>
        <w:t>élimination de la discrimination à l</w:t>
      </w:r>
      <w:r>
        <w:rPr>
          <w:lang w:val="fr-FR"/>
        </w:rPr>
        <w:t>’</w:t>
      </w:r>
      <w:r w:rsidRPr="0062716A">
        <w:rPr>
          <w:lang w:val="fr-FR"/>
        </w:rPr>
        <w:t>égard des femmes</w:t>
      </w:r>
      <w:r>
        <w:rPr>
          <w:lang w:val="fr-FR"/>
        </w:rPr>
        <w:t xml:space="preserve">, qui considère que les violations dont il connaît ont des </w:t>
      </w:r>
      <w:r>
        <w:rPr>
          <w:lang w:val="fr-FR"/>
        </w:rPr>
        <w:lastRenderedPageBreak/>
        <w:t xml:space="preserve">effets continus bien qu’elles soient </w:t>
      </w:r>
      <w:r w:rsidRPr="0062716A">
        <w:rPr>
          <w:lang w:val="fr-FR"/>
        </w:rPr>
        <w:t>antérieur</w:t>
      </w:r>
      <w:r>
        <w:rPr>
          <w:lang w:val="fr-FR"/>
        </w:rPr>
        <w:t>e</w:t>
      </w:r>
      <w:r w:rsidRPr="0062716A">
        <w:rPr>
          <w:lang w:val="fr-FR"/>
        </w:rPr>
        <w:t>s à la date d</w:t>
      </w:r>
      <w:r>
        <w:rPr>
          <w:lang w:val="fr-FR"/>
        </w:rPr>
        <w:t>’</w:t>
      </w:r>
      <w:r w:rsidRPr="0062716A">
        <w:rPr>
          <w:lang w:val="fr-FR"/>
        </w:rPr>
        <w:t xml:space="preserve">entrée en vigueur des </w:t>
      </w:r>
      <w:r>
        <w:rPr>
          <w:lang w:val="fr-FR"/>
        </w:rPr>
        <w:t>p</w:t>
      </w:r>
      <w:r w:rsidRPr="0062716A">
        <w:rPr>
          <w:lang w:val="fr-FR"/>
        </w:rPr>
        <w:t>rotocoles facultatifs pour l</w:t>
      </w:r>
      <w:r>
        <w:rPr>
          <w:lang w:val="fr-FR"/>
        </w:rPr>
        <w:t>’</w:t>
      </w:r>
      <w:r w:rsidRPr="0062716A">
        <w:rPr>
          <w:lang w:val="fr-FR"/>
        </w:rPr>
        <w:t xml:space="preserve">État intéressé. Elle soutient que le Comité </w:t>
      </w:r>
      <w:r>
        <w:rPr>
          <w:lang w:val="fr-FR"/>
        </w:rPr>
        <w:t xml:space="preserve">contre la torture </w:t>
      </w:r>
      <w:r w:rsidRPr="0062716A">
        <w:rPr>
          <w:lang w:val="fr-FR"/>
        </w:rPr>
        <w:t>devrait envisager d</w:t>
      </w:r>
      <w:r>
        <w:rPr>
          <w:lang w:val="fr-FR"/>
        </w:rPr>
        <w:t>’</w:t>
      </w:r>
      <w:r w:rsidRPr="0062716A">
        <w:rPr>
          <w:lang w:val="fr-FR"/>
        </w:rPr>
        <w:t xml:space="preserve">appliquer, </w:t>
      </w:r>
      <w:r w:rsidRPr="0062716A">
        <w:rPr>
          <w:i/>
          <w:lang w:val="fr-FR"/>
        </w:rPr>
        <w:t>mutatis</w:t>
      </w:r>
      <w:r>
        <w:rPr>
          <w:i/>
          <w:lang w:val="fr-FR"/>
        </w:rPr>
        <w:t> </w:t>
      </w:r>
      <w:r w:rsidRPr="0062716A">
        <w:rPr>
          <w:i/>
          <w:lang w:val="fr-FR"/>
        </w:rPr>
        <w:t>mutandis</w:t>
      </w:r>
      <w:r w:rsidRPr="0062716A">
        <w:rPr>
          <w:lang w:val="fr-FR"/>
        </w:rPr>
        <w:t xml:space="preserve">, le même raisonnement et </w:t>
      </w:r>
      <w:r>
        <w:rPr>
          <w:lang w:val="fr-FR"/>
        </w:rPr>
        <w:t>d’</w:t>
      </w:r>
      <w:r w:rsidRPr="0062716A">
        <w:rPr>
          <w:lang w:val="fr-FR"/>
        </w:rPr>
        <w:t>aboutir aux mêmes conclusions dans son cas</w:t>
      </w:r>
      <w:r>
        <w:rPr>
          <w:lang w:val="fr-FR"/>
        </w:rPr>
        <w:t>,</w:t>
      </w:r>
      <w:r w:rsidRPr="0062716A">
        <w:rPr>
          <w:lang w:val="fr-FR"/>
        </w:rPr>
        <w:t xml:space="preserve"> et déclarer sa communication recevable, en considérant comme il se doit </w:t>
      </w:r>
      <w:r>
        <w:rPr>
          <w:lang w:val="fr-FR"/>
        </w:rPr>
        <w:t xml:space="preserve">que </w:t>
      </w:r>
      <w:r w:rsidRPr="0062716A">
        <w:rPr>
          <w:lang w:val="fr-FR"/>
        </w:rPr>
        <w:t>non seulement les violations qu</w:t>
      </w:r>
      <w:r>
        <w:rPr>
          <w:lang w:val="fr-FR"/>
        </w:rPr>
        <w:t>’</w:t>
      </w:r>
      <w:r w:rsidRPr="0062716A">
        <w:rPr>
          <w:lang w:val="fr-FR"/>
        </w:rPr>
        <w:t xml:space="preserve">elle </w:t>
      </w:r>
      <w:r>
        <w:rPr>
          <w:lang w:val="fr-FR"/>
        </w:rPr>
        <w:t xml:space="preserve">allègue ont un caractère continu, mais aussi </w:t>
      </w:r>
      <w:r w:rsidRPr="0062716A">
        <w:rPr>
          <w:lang w:val="fr-FR"/>
        </w:rPr>
        <w:t>que les effets du viol et des mauvais traitements qu</w:t>
      </w:r>
      <w:r>
        <w:rPr>
          <w:lang w:val="fr-FR"/>
        </w:rPr>
        <w:t>’</w:t>
      </w:r>
      <w:r w:rsidRPr="0062716A">
        <w:rPr>
          <w:lang w:val="fr-FR"/>
        </w:rPr>
        <w:t xml:space="preserve">elle a subis </w:t>
      </w:r>
      <w:r>
        <w:rPr>
          <w:lang w:val="fr-FR"/>
        </w:rPr>
        <w:t>continuent</w:t>
      </w:r>
      <w:r w:rsidRPr="007C3FFD">
        <w:rPr>
          <w:rStyle w:val="Appelnotedebasdep"/>
        </w:rPr>
        <w:footnoteReference w:id="7"/>
      </w:r>
      <w:r w:rsidRPr="0062716A">
        <w:rPr>
          <w:lang w:val="fr-FR"/>
        </w:rPr>
        <w:t xml:space="preserve">. </w:t>
      </w:r>
    </w:p>
    <w:p w14:paraId="78E5539D" w14:textId="77777777" w:rsidR="00AF2FC6" w:rsidRPr="0062716A" w:rsidRDefault="00AF2FC6" w:rsidP="006F7894">
      <w:pPr>
        <w:pStyle w:val="SingleTxtG"/>
        <w:rPr>
          <w:bCs/>
          <w:lang w:val="fr-FR"/>
        </w:rPr>
      </w:pPr>
      <w:r w:rsidRPr="0062716A">
        <w:rPr>
          <w:lang w:val="fr-FR"/>
        </w:rPr>
        <w:t>2.9</w:t>
      </w:r>
      <w:r w:rsidRPr="0062716A">
        <w:rPr>
          <w:lang w:val="fr-FR"/>
        </w:rPr>
        <w:tab/>
        <w:t xml:space="preserve">La requérante </w:t>
      </w:r>
      <w:r>
        <w:rPr>
          <w:lang w:val="fr-FR"/>
        </w:rPr>
        <w:t xml:space="preserve">affirme </w:t>
      </w:r>
      <w:r w:rsidRPr="0062716A">
        <w:rPr>
          <w:lang w:val="fr-FR"/>
        </w:rPr>
        <w:t>ensuite qu</w:t>
      </w:r>
      <w:r>
        <w:rPr>
          <w:lang w:val="fr-FR"/>
        </w:rPr>
        <w:t>’</w:t>
      </w:r>
      <w:r w:rsidRPr="0062716A">
        <w:rPr>
          <w:lang w:val="fr-FR"/>
        </w:rPr>
        <w:t>elle a épuisé tous les recours internes disponibles et que, dans son cas, ces recours se sont avérés inutiles</w:t>
      </w:r>
      <w:r>
        <w:rPr>
          <w:lang w:val="fr-FR"/>
        </w:rPr>
        <w:t> ;</w:t>
      </w:r>
      <w:r w:rsidRPr="0062716A">
        <w:rPr>
          <w:lang w:val="fr-FR"/>
        </w:rPr>
        <w:t xml:space="preserve"> il n</w:t>
      </w:r>
      <w:r>
        <w:rPr>
          <w:lang w:val="fr-FR"/>
        </w:rPr>
        <w:t>’</w:t>
      </w:r>
      <w:r w:rsidRPr="0062716A">
        <w:rPr>
          <w:lang w:val="fr-FR"/>
        </w:rPr>
        <w:t>existe pas en Bosnie</w:t>
      </w:r>
      <w:r>
        <w:rPr>
          <w:lang w:val="fr-FR"/>
        </w:rPr>
        <w:noBreakHyphen/>
      </w:r>
      <w:r w:rsidRPr="0062716A">
        <w:rPr>
          <w:lang w:val="fr-FR"/>
        </w:rPr>
        <w:t>Herzégovine d</w:t>
      </w:r>
      <w:r>
        <w:rPr>
          <w:lang w:val="fr-FR"/>
        </w:rPr>
        <w:t>’</w:t>
      </w:r>
      <w:r w:rsidRPr="0062716A">
        <w:rPr>
          <w:lang w:val="fr-FR"/>
        </w:rPr>
        <w:t xml:space="preserve">autre </w:t>
      </w:r>
      <w:r>
        <w:rPr>
          <w:lang w:val="fr-FR"/>
        </w:rPr>
        <w:t xml:space="preserve">moyen de </w:t>
      </w:r>
      <w:r w:rsidRPr="0062716A">
        <w:rPr>
          <w:lang w:val="fr-FR"/>
        </w:rPr>
        <w:t xml:space="preserve">recours susceptible de lui donner satisfaction. La requérante </w:t>
      </w:r>
      <w:r>
        <w:rPr>
          <w:lang w:val="fr-FR"/>
        </w:rPr>
        <w:t>fait valoir</w:t>
      </w:r>
      <w:r w:rsidRPr="0062716A">
        <w:rPr>
          <w:lang w:val="fr-FR"/>
        </w:rPr>
        <w:t xml:space="preserve"> que la Convention comme le règlement intérieur du Comité précisent qu</w:t>
      </w:r>
      <w:r>
        <w:rPr>
          <w:lang w:val="fr-FR"/>
        </w:rPr>
        <w:t>’</w:t>
      </w:r>
      <w:r w:rsidRPr="0062716A">
        <w:rPr>
          <w:lang w:val="fr-FR"/>
        </w:rPr>
        <w:t xml:space="preserve">un requérant </w:t>
      </w:r>
      <w:r>
        <w:rPr>
          <w:lang w:val="fr-FR"/>
        </w:rPr>
        <w:t>n’est pas tenu d’</w:t>
      </w:r>
      <w:r w:rsidRPr="0062716A">
        <w:rPr>
          <w:lang w:val="fr-FR"/>
        </w:rPr>
        <w:t>exercer les recours internes s</w:t>
      </w:r>
      <w:r>
        <w:rPr>
          <w:lang w:val="fr-FR"/>
        </w:rPr>
        <w:t>’</w:t>
      </w:r>
      <w:r w:rsidRPr="0062716A">
        <w:rPr>
          <w:lang w:val="fr-FR"/>
        </w:rPr>
        <w:t>il est peu probable que ceux</w:t>
      </w:r>
      <w:r w:rsidR="00090E5E">
        <w:rPr>
          <w:lang w:val="fr-FR"/>
        </w:rPr>
        <w:noBreakHyphen/>
      </w:r>
      <w:r w:rsidRPr="0062716A">
        <w:rPr>
          <w:lang w:val="fr-FR"/>
        </w:rPr>
        <w:t>ci lui donneraient satisfaction. L</w:t>
      </w:r>
      <w:r>
        <w:rPr>
          <w:lang w:val="fr-FR"/>
        </w:rPr>
        <w:t xml:space="preserve">a position constante du </w:t>
      </w:r>
      <w:r w:rsidRPr="0062716A">
        <w:rPr>
          <w:lang w:val="fr-FR"/>
        </w:rPr>
        <w:t xml:space="preserve">Comité </w:t>
      </w:r>
      <w:r>
        <w:rPr>
          <w:lang w:val="fr-FR"/>
        </w:rPr>
        <w:t xml:space="preserve">est </w:t>
      </w:r>
      <w:r w:rsidRPr="0062716A">
        <w:rPr>
          <w:lang w:val="fr-FR"/>
        </w:rPr>
        <w:t>que les requérants ne sont pas censés épuiser des recours internes qui n</w:t>
      </w:r>
      <w:r>
        <w:rPr>
          <w:lang w:val="fr-FR"/>
        </w:rPr>
        <w:t>’</w:t>
      </w:r>
      <w:r w:rsidRPr="0062716A">
        <w:rPr>
          <w:lang w:val="fr-FR"/>
        </w:rPr>
        <w:t>ont aucune chance réaliste d</w:t>
      </w:r>
      <w:r>
        <w:rPr>
          <w:lang w:val="fr-FR"/>
        </w:rPr>
        <w:t>’</w:t>
      </w:r>
      <w:r w:rsidRPr="0062716A">
        <w:rPr>
          <w:lang w:val="fr-FR"/>
        </w:rPr>
        <w:t>aboutir</w:t>
      </w:r>
      <w:r w:rsidRPr="007C3FFD">
        <w:rPr>
          <w:rStyle w:val="Appelnotedebasdep"/>
        </w:rPr>
        <w:footnoteReference w:id="8"/>
      </w:r>
      <w:r w:rsidRPr="0062716A">
        <w:rPr>
          <w:lang w:val="fr-FR"/>
        </w:rPr>
        <w:t xml:space="preserve">. La requérante </w:t>
      </w:r>
      <w:r>
        <w:rPr>
          <w:lang w:val="fr-FR"/>
        </w:rPr>
        <w:t>soutient que</w:t>
      </w:r>
      <w:r w:rsidRPr="0062716A">
        <w:rPr>
          <w:lang w:val="fr-FR"/>
        </w:rPr>
        <w:t xml:space="preserve"> sa situation relève précisément de ce cas puisque </w:t>
      </w:r>
      <w:r>
        <w:rPr>
          <w:lang w:val="fr-FR"/>
        </w:rPr>
        <w:t>l’introduction</w:t>
      </w:r>
      <w:r w:rsidRPr="0062716A">
        <w:rPr>
          <w:lang w:val="fr-FR"/>
        </w:rPr>
        <w:t xml:space="preserve"> d</w:t>
      </w:r>
      <w:r>
        <w:rPr>
          <w:lang w:val="fr-FR"/>
        </w:rPr>
        <w:t>’</w:t>
      </w:r>
      <w:r w:rsidRPr="0062716A">
        <w:rPr>
          <w:lang w:val="fr-FR"/>
        </w:rPr>
        <w:t xml:space="preserve">une </w:t>
      </w:r>
      <w:r>
        <w:rPr>
          <w:lang w:val="fr-FR"/>
        </w:rPr>
        <w:t>nouvelle demande</w:t>
      </w:r>
      <w:r w:rsidRPr="0062716A">
        <w:rPr>
          <w:lang w:val="fr-FR"/>
        </w:rPr>
        <w:t xml:space="preserve"> </w:t>
      </w:r>
      <w:r>
        <w:rPr>
          <w:lang w:val="fr-FR"/>
        </w:rPr>
        <w:t>devant les</w:t>
      </w:r>
      <w:r w:rsidRPr="0062716A">
        <w:rPr>
          <w:lang w:val="fr-FR"/>
        </w:rPr>
        <w:t xml:space="preserve"> autorités bosniaques n</w:t>
      </w:r>
      <w:r>
        <w:rPr>
          <w:lang w:val="fr-FR"/>
        </w:rPr>
        <w:t>’</w:t>
      </w:r>
      <w:r w:rsidRPr="0062716A">
        <w:rPr>
          <w:lang w:val="fr-FR"/>
        </w:rPr>
        <w:t>a</w:t>
      </w:r>
      <w:r>
        <w:rPr>
          <w:lang w:val="fr-FR"/>
        </w:rPr>
        <w:t>urait</w:t>
      </w:r>
      <w:r w:rsidRPr="0062716A">
        <w:rPr>
          <w:lang w:val="fr-FR"/>
        </w:rPr>
        <w:t xml:space="preserve"> pas la moindre chance d</w:t>
      </w:r>
      <w:r>
        <w:rPr>
          <w:lang w:val="fr-FR"/>
        </w:rPr>
        <w:t>’</w:t>
      </w:r>
      <w:r w:rsidRPr="0062716A">
        <w:rPr>
          <w:lang w:val="fr-FR"/>
        </w:rPr>
        <w:t>aboutir. Elle souligne que, dans son cas, le fait que l</w:t>
      </w:r>
      <w:r>
        <w:rPr>
          <w:lang w:val="fr-FR"/>
        </w:rPr>
        <w:t>’introduction</w:t>
      </w:r>
      <w:r w:rsidRPr="0062716A">
        <w:rPr>
          <w:lang w:val="fr-FR"/>
        </w:rPr>
        <w:t xml:space="preserve"> d</w:t>
      </w:r>
      <w:r>
        <w:rPr>
          <w:lang w:val="fr-FR"/>
        </w:rPr>
        <w:t>’</w:t>
      </w:r>
      <w:r w:rsidRPr="0062716A">
        <w:rPr>
          <w:lang w:val="fr-FR"/>
        </w:rPr>
        <w:t xml:space="preserve">une action civile en réparation du préjudice moral subi ne déboucherait sur aucun résultat concret </w:t>
      </w:r>
      <w:r>
        <w:rPr>
          <w:lang w:val="fr-FR"/>
        </w:rPr>
        <w:t>fait</w:t>
      </w:r>
      <w:r w:rsidRPr="0062716A">
        <w:rPr>
          <w:lang w:val="fr-FR"/>
        </w:rPr>
        <w:t xml:space="preserve"> en soi partie des violations qu</w:t>
      </w:r>
      <w:r>
        <w:rPr>
          <w:lang w:val="fr-FR"/>
        </w:rPr>
        <w:t>’</w:t>
      </w:r>
      <w:r w:rsidRPr="0062716A">
        <w:rPr>
          <w:lang w:val="fr-FR"/>
        </w:rPr>
        <w:t xml:space="preserve">elle </w:t>
      </w:r>
      <w:r>
        <w:rPr>
          <w:lang w:val="fr-FR"/>
        </w:rPr>
        <w:t xml:space="preserve">allègue </w:t>
      </w:r>
      <w:r w:rsidRPr="0062716A">
        <w:rPr>
          <w:lang w:val="fr-FR"/>
        </w:rPr>
        <w:t>dans sa communication p</w:t>
      </w:r>
      <w:r>
        <w:rPr>
          <w:lang w:val="fr-FR"/>
        </w:rPr>
        <w:t>uisqu’une te</w:t>
      </w:r>
      <w:r w:rsidRPr="0062716A">
        <w:rPr>
          <w:lang w:val="fr-FR"/>
        </w:rPr>
        <w:t xml:space="preserve">lle </w:t>
      </w:r>
      <w:r>
        <w:rPr>
          <w:lang w:val="fr-FR"/>
        </w:rPr>
        <w:t xml:space="preserve">action </w:t>
      </w:r>
      <w:r w:rsidRPr="0062716A">
        <w:rPr>
          <w:lang w:val="fr-FR"/>
        </w:rPr>
        <w:t>serait considérée comme prescrite. La loi applicable</w:t>
      </w:r>
      <w:r w:rsidRPr="007C3FFD">
        <w:rPr>
          <w:rStyle w:val="Appelnotedebasdep"/>
        </w:rPr>
        <w:footnoteReference w:id="9"/>
      </w:r>
      <w:r w:rsidRPr="0062716A">
        <w:rPr>
          <w:bCs/>
          <w:lang w:val="fr-FR"/>
        </w:rPr>
        <w:t xml:space="preserve"> prévoit un délai de prescription que la Cour constitutionnelle de Bosnie-Herzégovine</w:t>
      </w:r>
      <w:r>
        <w:rPr>
          <w:bCs/>
          <w:lang w:val="fr-FR"/>
        </w:rPr>
        <w:t>,</w:t>
      </w:r>
      <w:r w:rsidRPr="0062716A">
        <w:rPr>
          <w:bCs/>
          <w:lang w:val="fr-FR"/>
        </w:rPr>
        <w:t xml:space="preserve"> depuis l</w:t>
      </w:r>
      <w:r>
        <w:rPr>
          <w:bCs/>
          <w:lang w:val="fr-FR"/>
        </w:rPr>
        <w:t>’</w:t>
      </w:r>
      <w:r w:rsidRPr="0062716A">
        <w:rPr>
          <w:bCs/>
          <w:lang w:val="fr-FR"/>
        </w:rPr>
        <w:t>adoption de sa décision du 23</w:t>
      </w:r>
      <w:r>
        <w:rPr>
          <w:bCs/>
          <w:lang w:val="fr-FR"/>
        </w:rPr>
        <w:t> </w:t>
      </w:r>
      <w:r w:rsidRPr="0062716A">
        <w:rPr>
          <w:bCs/>
          <w:lang w:val="fr-FR"/>
        </w:rPr>
        <w:t>décembre 2013</w:t>
      </w:r>
      <w:r w:rsidRPr="007C3FFD">
        <w:rPr>
          <w:rStyle w:val="Appelnotedebasdep"/>
        </w:rPr>
        <w:footnoteReference w:id="10"/>
      </w:r>
      <w:r>
        <w:rPr>
          <w:bCs/>
          <w:lang w:val="fr-FR"/>
        </w:rPr>
        <w:t>,</w:t>
      </w:r>
      <w:r w:rsidRPr="0062716A">
        <w:rPr>
          <w:bCs/>
          <w:lang w:val="fr-FR"/>
        </w:rPr>
        <w:t xml:space="preserve"> a interprété comme signifiant que toute action en réparation d</w:t>
      </w:r>
      <w:r>
        <w:rPr>
          <w:bCs/>
          <w:lang w:val="fr-FR"/>
        </w:rPr>
        <w:t>’</w:t>
      </w:r>
      <w:r w:rsidRPr="0062716A">
        <w:rPr>
          <w:bCs/>
          <w:lang w:val="fr-FR"/>
        </w:rPr>
        <w:t xml:space="preserve">un préjudice moral intentée contre des </w:t>
      </w:r>
      <w:r>
        <w:rPr>
          <w:bCs/>
          <w:lang w:val="fr-FR"/>
        </w:rPr>
        <w:t xml:space="preserve">personnes morales </w:t>
      </w:r>
      <w:r w:rsidRPr="0062716A">
        <w:rPr>
          <w:bCs/>
          <w:lang w:val="fr-FR"/>
        </w:rPr>
        <w:t xml:space="preserve">plus de cinq ans après que la partie lésée a </w:t>
      </w:r>
      <w:r>
        <w:rPr>
          <w:bCs/>
          <w:lang w:val="fr-FR"/>
        </w:rPr>
        <w:t xml:space="preserve">pris connaissance du </w:t>
      </w:r>
      <w:r w:rsidRPr="0062716A">
        <w:rPr>
          <w:bCs/>
          <w:lang w:val="fr-FR"/>
        </w:rPr>
        <w:t xml:space="preserve">dommage et </w:t>
      </w:r>
      <w:r>
        <w:rPr>
          <w:bCs/>
          <w:lang w:val="fr-FR"/>
        </w:rPr>
        <w:t xml:space="preserve">de </w:t>
      </w:r>
      <w:r w:rsidRPr="0062716A">
        <w:rPr>
          <w:bCs/>
          <w:lang w:val="fr-FR"/>
        </w:rPr>
        <w:t>l</w:t>
      </w:r>
      <w:r>
        <w:rPr>
          <w:bCs/>
          <w:lang w:val="fr-FR"/>
        </w:rPr>
        <w:t>’</w:t>
      </w:r>
      <w:r w:rsidRPr="0062716A">
        <w:rPr>
          <w:bCs/>
          <w:lang w:val="fr-FR"/>
        </w:rPr>
        <w:t xml:space="preserve">identité de </w:t>
      </w:r>
      <w:r>
        <w:rPr>
          <w:bCs/>
          <w:lang w:val="fr-FR"/>
        </w:rPr>
        <w:t>son auteur,</w:t>
      </w:r>
      <w:r w:rsidRPr="0062716A">
        <w:rPr>
          <w:bCs/>
          <w:lang w:val="fr-FR"/>
        </w:rPr>
        <w:t xml:space="preserve"> est prescrite. Sur ce point, la requérante pense qu</w:t>
      </w:r>
      <w:r>
        <w:rPr>
          <w:bCs/>
          <w:lang w:val="fr-FR"/>
        </w:rPr>
        <w:t>’</w:t>
      </w:r>
      <w:r w:rsidRPr="0062716A">
        <w:rPr>
          <w:bCs/>
          <w:lang w:val="fr-FR"/>
        </w:rPr>
        <w:t xml:space="preserve">il est irréaliste </w:t>
      </w:r>
      <w:r>
        <w:rPr>
          <w:bCs/>
          <w:lang w:val="fr-FR"/>
        </w:rPr>
        <w:t>de s’attendre à ce qu’une victime de viol ou de tout</w:t>
      </w:r>
      <w:r w:rsidRPr="0062716A">
        <w:rPr>
          <w:bCs/>
          <w:lang w:val="fr-FR"/>
        </w:rPr>
        <w:t xml:space="preserve"> autre crime lié à un conflit </w:t>
      </w:r>
      <w:r>
        <w:rPr>
          <w:bCs/>
          <w:lang w:val="fr-FR"/>
        </w:rPr>
        <w:t xml:space="preserve">soit en mesure de </w:t>
      </w:r>
      <w:r w:rsidRPr="0062716A">
        <w:rPr>
          <w:bCs/>
          <w:lang w:val="fr-FR"/>
        </w:rPr>
        <w:t xml:space="preserve">faire valoir ses droits </w:t>
      </w:r>
      <w:r>
        <w:rPr>
          <w:bCs/>
          <w:lang w:val="fr-FR"/>
        </w:rPr>
        <w:t xml:space="preserve">dans les </w:t>
      </w:r>
      <w:r w:rsidRPr="0062716A">
        <w:rPr>
          <w:bCs/>
          <w:lang w:val="fr-FR"/>
        </w:rPr>
        <w:t xml:space="preserve">premières années </w:t>
      </w:r>
      <w:r>
        <w:rPr>
          <w:bCs/>
          <w:lang w:val="fr-FR"/>
        </w:rPr>
        <w:t>de l’après-</w:t>
      </w:r>
      <w:r w:rsidRPr="0062716A">
        <w:rPr>
          <w:bCs/>
          <w:lang w:val="fr-FR"/>
        </w:rPr>
        <w:t xml:space="preserve">guerre, quand la situation </w:t>
      </w:r>
      <w:r>
        <w:rPr>
          <w:bCs/>
          <w:lang w:val="fr-FR"/>
        </w:rPr>
        <w:t xml:space="preserve">est </w:t>
      </w:r>
      <w:r w:rsidRPr="0062716A">
        <w:rPr>
          <w:bCs/>
          <w:lang w:val="fr-FR"/>
        </w:rPr>
        <w:t>insta</w:t>
      </w:r>
      <w:r>
        <w:rPr>
          <w:bCs/>
          <w:lang w:val="fr-FR"/>
        </w:rPr>
        <w:t xml:space="preserve">ble et que beaucoup craignent </w:t>
      </w:r>
      <w:r w:rsidRPr="0062716A">
        <w:rPr>
          <w:bCs/>
          <w:lang w:val="fr-FR"/>
        </w:rPr>
        <w:t>encore des représailles de la part des institutions publiques, d</w:t>
      </w:r>
      <w:r>
        <w:rPr>
          <w:bCs/>
          <w:lang w:val="fr-FR"/>
        </w:rPr>
        <w:t>’</w:t>
      </w:r>
      <w:r w:rsidRPr="0062716A">
        <w:rPr>
          <w:bCs/>
          <w:lang w:val="fr-FR"/>
        </w:rPr>
        <w:t>où l</w:t>
      </w:r>
      <w:r>
        <w:rPr>
          <w:bCs/>
          <w:lang w:val="fr-FR"/>
        </w:rPr>
        <w:t>’</w:t>
      </w:r>
      <w:r w:rsidRPr="0062716A">
        <w:rPr>
          <w:bCs/>
          <w:lang w:val="fr-FR"/>
        </w:rPr>
        <w:t>inutilité d</w:t>
      </w:r>
      <w:r>
        <w:rPr>
          <w:bCs/>
          <w:lang w:val="fr-FR"/>
        </w:rPr>
        <w:t>’</w:t>
      </w:r>
      <w:r w:rsidRPr="0062716A">
        <w:rPr>
          <w:bCs/>
          <w:lang w:val="fr-FR"/>
        </w:rPr>
        <w:t xml:space="preserve">un tel </w:t>
      </w:r>
      <w:r>
        <w:rPr>
          <w:bCs/>
          <w:lang w:val="fr-FR"/>
        </w:rPr>
        <w:t xml:space="preserve">moyen de </w:t>
      </w:r>
      <w:r w:rsidRPr="0062716A">
        <w:rPr>
          <w:bCs/>
          <w:lang w:val="fr-FR"/>
        </w:rPr>
        <w:t>recours</w:t>
      </w:r>
      <w:r w:rsidRPr="0062716A">
        <w:rPr>
          <w:bCs/>
          <w:color w:val="1D1B11" w:themeColor="background2" w:themeShade="1A"/>
          <w:lang w:val="fr-FR"/>
        </w:rPr>
        <w:t xml:space="preserve">. Les </w:t>
      </w:r>
      <w:r w:rsidRPr="0062716A">
        <w:rPr>
          <w:bCs/>
          <w:lang w:val="fr-FR"/>
        </w:rPr>
        <w:t xml:space="preserve">victimes qui ont néanmoins porté plainte ont vu leur </w:t>
      </w:r>
      <w:r>
        <w:rPr>
          <w:bCs/>
          <w:lang w:val="fr-FR"/>
        </w:rPr>
        <w:t>demande</w:t>
      </w:r>
      <w:r w:rsidRPr="0062716A">
        <w:rPr>
          <w:bCs/>
          <w:lang w:val="fr-FR"/>
        </w:rPr>
        <w:t xml:space="preserve"> rejetée pour les raisons mentionnées et ont </w:t>
      </w:r>
      <w:r>
        <w:rPr>
          <w:bCs/>
          <w:lang w:val="fr-FR"/>
        </w:rPr>
        <w:t xml:space="preserve">ensuite </w:t>
      </w:r>
      <w:r w:rsidRPr="0062716A">
        <w:rPr>
          <w:bCs/>
          <w:lang w:val="fr-FR"/>
        </w:rPr>
        <w:t xml:space="preserve">été </w:t>
      </w:r>
      <w:r>
        <w:rPr>
          <w:bCs/>
          <w:lang w:val="fr-FR"/>
        </w:rPr>
        <w:t xml:space="preserve">obligées </w:t>
      </w:r>
      <w:r w:rsidRPr="0062716A">
        <w:rPr>
          <w:bCs/>
          <w:lang w:val="fr-FR"/>
        </w:rPr>
        <w:t xml:space="preserve">de </w:t>
      </w:r>
      <w:r>
        <w:rPr>
          <w:bCs/>
          <w:lang w:val="fr-FR"/>
        </w:rPr>
        <w:t xml:space="preserve">payer </w:t>
      </w:r>
      <w:r w:rsidRPr="0062716A">
        <w:rPr>
          <w:bCs/>
          <w:lang w:val="fr-FR"/>
        </w:rPr>
        <w:t>entre 2 000 et 10</w:t>
      </w:r>
      <w:r>
        <w:rPr>
          <w:bCs/>
          <w:lang w:val="fr-FR"/>
        </w:rPr>
        <w:t> </w:t>
      </w:r>
      <w:r w:rsidRPr="0062716A">
        <w:rPr>
          <w:bCs/>
          <w:lang w:val="fr-FR"/>
        </w:rPr>
        <w:t>000</w:t>
      </w:r>
      <w:r>
        <w:rPr>
          <w:bCs/>
          <w:lang w:val="fr-FR"/>
        </w:rPr>
        <w:t> marks</w:t>
      </w:r>
      <w:r w:rsidRPr="0062716A">
        <w:rPr>
          <w:bCs/>
          <w:lang w:val="fr-FR"/>
        </w:rPr>
        <w:t xml:space="preserve"> (environ 1 020 et 5</w:t>
      </w:r>
      <w:r>
        <w:rPr>
          <w:bCs/>
          <w:lang w:val="fr-FR"/>
        </w:rPr>
        <w:t> </w:t>
      </w:r>
      <w:r w:rsidRPr="0062716A">
        <w:rPr>
          <w:bCs/>
          <w:lang w:val="fr-FR"/>
        </w:rPr>
        <w:t>110</w:t>
      </w:r>
      <w:r>
        <w:rPr>
          <w:bCs/>
          <w:lang w:val="fr-FR"/>
        </w:rPr>
        <w:t> </w:t>
      </w:r>
      <w:r w:rsidRPr="0062716A">
        <w:rPr>
          <w:bCs/>
          <w:lang w:val="fr-FR"/>
        </w:rPr>
        <w:t>euros)</w:t>
      </w:r>
      <w:r w:rsidRPr="007C3FFD">
        <w:rPr>
          <w:rStyle w:val="Appelnotedebasdep"/>
        </w:rPr>
        <w:footnoteReference w:id="11"/>
      </w:r>
      <w:r w:rsidRPr="0062716A">
        <w:rPr>
          <w:bCs/>
          <w:lang w:val="fr-FR"/>
        </w:rPr>
        <w:t>.</w:t>
      </w:r>
    </w:p>
    <w:p w14:paraId="10C5A70C" w14:textId="77777777" w:rsidR="00AF2FC6" w:rsidRPr="0062716A" w:rsidRDefault="00AF2FC6" w:rsidP="006F7894">
      <w:pPr>
        <w:pStyle w:val="SingleTxtG"/>
        <w:rPr>
          <w:lang w:val="fr-FR"/>
        </w:rPr>
      </w:pPr>
      <w:r w:rsidRPr="0062716A">
        <w:rPr>
          <w:lang w:val="fr-FR"/>
        </w:rPr>
        <w:t>2.10</w:t>
      </w:r>
      <w:r w:rsidRPr="0062716A">
        <w:rPr>
          <w:lang w:val="fr-FR"/>
        </w:rPr>
        <w:tab/>
        <w:t xml:space="preserve">La requérante note que, dans ses observations finales sur la Bosnie-Herzégovine </w:t>
      </w:r>
      <w:r>
        <w:rPr>
          <w:lang w:val="fr-FR"/>
        </w:rPr>
        <w:t xml:space="preserve">adoptées en </w:t>
      </w:r>
      <w:r w:rsidRPr="0062716A">
        <w:rPr>
          <w:lang w:val="fr-FR"/>
        </w:rPr>
        <w:t>mars 2017, le Comité des droits de l</w:t>
      </w:r>
      <w:r>
        <w:rPr>
          <w:lang w:val="fr-FR"/>
        </w:rPr>
        <w:t>’</w:t>
      </w:r>
      <w:r w:rsidRPr="0062716A">
        <w:rPr>
          <w:lang w:val="fr-FR"/>
        </w:rPr>
        <w:t>homme s</w:t>
      </w:r>
      <w:r>
        <w:rPr>
          <w:lang w:val="fr-FR"/>
        </w:rPr>
        <w:t>’</w:t>
      </w:r>
      <w:r w:rsidRPr="0062716A">
        <w:rPr>
          <w:lang w:val="fr-FR"/>
        </w:rPr>
        <w:t>est dit préoccupé par l</w:t>
      </w:r>
      <w:r>
        <w:rPr>
          <w:lang w:val="fr-FR"/>
        </w:rPr>
        <w:t>’</w:t>
      </w:r>
      <w:r w:rsidRPr="0062716A">
        <w:rPr>
          <w:lang w:val="fr-FR"/>
        </w:rPr>
        <w:t xml:space="preserve">interprétation jurisprudentielle de la Cour constitutionnelle de Bosnie-Herzégovine </w:t>
      </w:r>
      <w:r>
        <w:rPr>
          <w:lang w:val="fr-FR"/>
        </w:rPr>
        <w:t xml:space="preserve">qui, selon lui, privait de tout recours utile </w:t>
      </w:r>
      <w:r w:rsidRPr="0062716A">
        <w:rPr>
          <w:lang w:val="fr-FR"/>
        </w:rPr>
        <w:t xml:space="preserve">les victimes de crimes relevant du droit international, et en particulier les victimes de violences sexuelles </w:t>
      </w:r>
      <w:r>
        <w:rPr>
          <w:lang w:val="fr-FR"/>
        </w:rPr>
        <w:t xml:space="preserve">commises </w:t>
      </w:r>
      <w:r w:rsidRPr="0062716A">
        <w:rPr>
          <w:lang w:val="fr-FR"/>
        </w:rPr>
        <w:t>en temps de guerre</w:t>
      </w:r>
      <w:r w:rsidRPr="007C3FFD">
        <w:rPr>
          <w:rStyle w:val="Appelnotedebasdep"/>
        </w:rPr>
        <w:footnoteReference w:id="12"/>
      </w:r>
      <w:r w:rsidRPr="0062716A">
        <w:rPr>
          <w:lang w:val="fr-FR"/>
        </w:rPr>
        <w:t>.</w:t>
      </w:r>
    </w:p>
    <w:p w14:paraId="09A63853" w14:textId="77777777" w:rsidR="00AF2FC6" w:rsidRPr="0062716A" w:rsidRDefault="00AF2FC6" w:rsidP="006F7894">
      <w:pPr>
        <w:pStyle w:val="SingleTxtG"/>
        <w:rPr>
          <w:lang w:val="fr-FR"/>
        </w:rPr>
      </w:pPr>
      <w:r w:rsidRPr="0062716A">
        <w:rPr>
          <w:lang w:val="fr-FR"/>
        </w:rPr>
        <w:t>2.11</w:t>
      </w:r>
      <w:r w:rsidRPr="0062716A">
        <w:rPr>
          <w:lang w:val="fr-FR"/>
        </w:rPr>
        <w:tab/>
        <w:t>La requérante ajoute qu</w:t>
      </w:r>
      <w:r>
        <w:rPr>
          <w:lang w:val="fr-FR"/>
        </w:rPr>
        <w:t>’</w:t>
      </w:r>
      <w:r w:rsidRPr="0062716A">
        <w:rPr>
          <w:lang w:val="fr-FR"/>
        </w:rPr>
        <w:t>il est peu probable que la saisine d</w:t>
      </w:r>
      <w:r>
        <w:rPr>
          <w:lang w:val="fr-FR"/>
        </w:rPr>
        <w:t>’</w:t>
      </w:r>
      <w:r w:rsidRPr="0062716A">
        <w:rPr>
          <w:lang w:val="fr-FR"/>
        </w:rPr>
        <w:t xml:space="preserve">une autre autorité bosniaque lui apporterait satisfaction </w:t>
      </w:r>
      <w:r>
        <w:rPr>
          <w:lang w:val="fr-FR"/>
        </w:rPr>
        <w:t xml:space="preserve">eu égard à </w:t>
      </w:r>
      <w:r w:rsidRPr="0062716A">
        <w:rPr>
          <w:lang w:val="fr-FR"/>
        </w:rPr>
        <w:t xml:space="preserve">la jurisprudence des </w:t>
      </w:r>
      <w:r>
        <w:rPr>
          <w:lang w:val="fr-FR"/>
        </w:rPr>
        <w:t xml:space="preserve">tribunaux </w:t>
      </w:r>
      <w:r w:rsidRPr="0062716A">
        <w:rPr>
          <w:lang w:val="fr-FR"/>
        </w:rPr>
        <w:t xml:space="preserve">internes et de la Cour constitutionnelle, qui </w:t>
      </w:r>
      <w:r>
        <w:rPr>
          <w:lang w:val="fr-FR"/>
        </w:rPr>
        <w:t xml:space="preserve">déclare prescrites </w:t>
      </w:r>
      <w:r w:rsidRPr="0062716A">
        <w:rPr>
          <w:lang w:val="fr-FR"/>
        </w:rPr>
        <w:t>les actions en réparation d</w:t>
      </w:r>
      <w:r>
        <w:rPr>
          <w:lang w:val="fr-FR"/>
        </w:rPr>
        <w:t>’</w:t>
      </w:r>
      <w:r w:rsidRPr="0062716A">
        <w:rPr>
          <w:lang w:val="fr-FR"/>
        </w:rPr>
        <w:t xml:space="preserve">un préjudice moral </w:t>
      </w:r>
      <w:r>
        <w:rPr>
          <w:lang w:val="fr-FR"/>
        </w:rPr>
        <w:t xml:space="preserve">intentées pour </w:t>
      </w:r>
      <w:r w:rsidRPr="0062716A">
        <w:rPr>
          <w:lang w:val="fr-FR"/>
        </w:rPr>
        <w:t>des violations perpétrées penda</w:t>
      </w:r>
      <w:r>
        <w:rPr>
          <w:lang w:val="fr-FR"/>
        </w:rPr>
        <w:t>nt la guerre et ne reconnaît</w:t>
      </w:r>
      <w:r w:rsidRPr="0062716A">
        <w:rPr>
          <w:lang w:val="fr-FR"/>
        </w:rPr>
        <w:t xml:space="preserve"> pas la responsabilité subsidiaire de l</w:t>
      </w:r>
      <w:r>
        <w:rPr>
          <w:lang w:val="fr-FR"/>
        </w:rPr>
        <w:t>’</w:t>
      </w:r>
      <w:r w:rsidRPr="0062716A">
        <w:rPr>
          <w:lang w:val="fr-FR"/>
        </w:rPr>
        <w:t>État ou d</w:t>
      </w:r>
      <w:r>
        <w:rPr>
          <w:lang w:val="fr-FR"/>
        </w:rPr>
        <w:t>’</w:t>
      </w:r>
      <w:r w:rsidRPr="0062716A">
        <w:rPr>
          <w:lang w:val="fr-FR"/>
        </w:rPr>
        <w:t>autres entités (</w:t>
      </w:r>
      <w:r>
        <w:rPr>
          <w:lang w:val="fr-FR"/>
        </w:rPr>
        <w:t xml:space="preserve">en l’occurrence, </w:t>
      </w:r>
      <w:r>
        <w:rPr>
          <w:lang w:val="fr-FR" w:eastAsia="en-GB"/>
        </w:rPr>
        <w:t xml:space="preserve">l’Armée de </w:t>
      </w:r>
      <w:r w:rsidRPr="0062716A">
        <w:rPr>
          <w:lang w:val="fr-FR"/>
        </w:rPr>
        <w:t>la Republika Srpska).</w:t>
      </w:r>
    </w:p>
    <w:p w14:paraId="48CB8E23" w14:textId="77777777" w:rsidR="00AF2FC6" w:rsidRPr="0062716A" w:rsidRDefault="00AF2FC6" w:rsidP="006F7894">
      <w:pPr>
        <w:pStyle w:val="SingleTxtG"/>
        <w:rPr>
          <w:lang w:val="fr-FR" w:eastAsia="en-GB"/>
        </w:rPr>
      </w:pPr>
      <w:r w:rsidRPr="0062716A">
        <w:rPr>
          <w:bCs/>
          <w:lang w:val="fr-FR"/>
        </w:rPr>
        <w:lastRenderedPageBreak/>
        <w:t>2.12</w:t>
      </w:r>
      <w:r w:rsidRPr="0062716A">
        <w:rPr>
          <w:bCs/>
          <w:lang w:val="fr-FR"/>
        </w:rPr>
        <w:tab/>
      </w:r>
      <w:r w:rsidRPr="0062716A">
        <w:rPr>
          <w:lang w:val="fr-FR" w:eastAsia="en-GB"/>
        </w:rPr>
        <w:t xml:space="preserve">La requérante dit </w:t>
      </w:r>
      <w:r>
        <w:rPr>
          <w:lang w:val="fr-FR" w:eastAsia="en-GB"/>
        </w:rPr>
        <w:t xml:space="preserve">qu’en l’espèce </w:t>
      </w:r>
      <w:r w:rsidRPr="0062716A">
        <w:rPr>
          <w:lang w:val="fr-FR" w:eastAsia="en-GB"/>
        </w:rPr>
        <w:t>les faits doivent être c</w:t>
      </w:r>
      <w:r>
        <w:rPr>
          <w:lang w:val="fr-FR" w:eastAsia="en-GB"/>
        </w:rPr>
        <w:t xml:space="preserve">onsidérés dans le contexte de la </w:t>
      </w:r>
      <w:r w:rsidRPr="0062716A">
        <w:rPr>
          <w:lang w:val="fr-FR" w:eastAsia="en-GB"/>
        </w:rPr>
        <w:t xml:space="preserve">pratique généralisée </w:t>
      </w:r>
      <w:r>
        <w:rPr>
          <w:lang w:val="fr-FR" w:eastAsia="en-GB"/>
        </w:rPr>
        <w:t xml:space="preserve">consistant à ne pas procéder immédiatement à une enquête et à ne pas verser d’indemnisation équitable et adéquate à raison des crimes commis durant le conflit armé, qui fait naître à la charge </w:t>
      </w:r>
      <w:r w:rsidRPr="0062716A">
        <w:rPr>
          <w:lang w:val="fr-FR" w:eastAsia="en-GB"/>
        </w:rPr>
        <w:t>de l</w:t>
      </w:r>
      <w:r>
        <w:rPr>
          <w:lang w:val="fr-FR" w:eastAsia="en-GB"/>
        </w:rPr>
        <w:t>’</w:t>
      </w:r>
      <w:r w:rsidRPr="0062716A">
        <w:rPr>
          <w:lang w:val="fr-FR" w:eastAsia="en-GB"/>
        </w:rPr>
        <w:t xml:space="preserve">État intéressé </w:t>
      </w:r>
      <w:r>
        <w:rPr>
          <w:lang w:val="fr-FR" w:eastAsia="en-GB"/>
        </w:rPr>
        <w:t xml:space="preserve">une responsabilité aggravée s’agissant d’indemniser les victimes </w:t>
      </w:r>
      <w:r w:rsidRPr="0062716A">
        <w:rPr>
          <w:lang w:val="fr-FR" w:eastAsia="en-GB"/>
        </w:rPr>
        <w:t xml:space="preserve">équitablement et de manière adéquate. La requérante </w:t>
      </w:r>
      <w:r>
        <w:rPr>
          <w:lang w:val="fr-FR" w:eastAsia="en-GB"/>
        </w:rPr>
        <w:t xml:space="preserve">déclare </w:t>
      </w:r>
      <w:r w:rsidRPr="0062716A">
        <w:rPr>
          <w:lang w:val="fr-FR" w:eastAsia="en-GB"/>
        </w:rPr>
        <w:t xml:space="preserve">aussi que les viols et </w:t>
      </w:r>
      <w:r>
        <w:rPr>
          <w:lang w:val="fr-FR" w:eastAsia="en-GB"/>
        </w:rPr>
        <w:t xml:space="preserve">les </w:t>
      </w:r>
      <w:r w:rsidRPr="0062716A">
        <w:rPr>
          <w:lang w:val="fr-FR" w:eastAsia="en-GB"/>
        </w:rPr>
        <w:t>violence</w:t>
      </w:r>
      <w:r>
        <w:rPr>
          <w:lang w:val="fr-FR" w:eastAsia="en-GB"/>
        </w:rPr>
        <w:t>s</w:t>
      </w:r>
      <w:r w:rsidRPr="0062716A">
        <w:rPr>
          <w:lang w:val="fr-FR" w:eastAsia="en-GB"/>
        </w:rPr>
        <w:t xml:space="preserve"> sexuelle</w:t>
      </w:r>
      <w:r>
        <w:rPr>
          <w:lang w:val="fr-FR" w:eastAsia="en-GB"/>
        </w:rPr>
        <w:t>s</w:t>
      </w:r>
      <w:r w:rsidRPr="0062716A">
        <w:rPr>
          <w:lang w:val="fr-FR" w:eastAsia="en-GB"/>
        </w:rPr>
        <w:t xml:space="preserve"> et mauvais traitements auxquels elle a </w:t>
      </w:r>
      <w:r w:rsidRPr="00090E5E">
        <w:rPr>
          <w:spacing w:val="-2"/>
          <w:lang w:val="fr-FR" w:eastAsia="en-GB"/>
        </w:rPr>
        <w:t>été soumise constituent des actes de torture au sens du paragraphe 1 de l’article premier de la Convention</w:t>
      </w:r>
      <w:r w:rsidRPr="00090E5E">
        <w:rPr>
          <w:rStyle w:val="Appelnotedebasdep"/>
          <w:spacing w:val="-2"/>
        </w:rPr>
        <w:footnoteReference w:id="13"/>
      </w:r>
      <w:r w:rsidRPr="00090E5E">
        <w:rPr>
          <w:spacing w:val="-2"/>
          <w:lang w:val="fr-FR" w:eastAsia="en-GB"/>
        </w:rPr>
        <w:t>. Malgré tous ses efforts, la requérante n’a reçu aucune espèce d’indemnisation</w:t>
      </w:r>
      <w:r w:rsidRPr="0062716A">
        <w:rPr>
          <w:lang w:val="fr-FR" w:eastAsia="en-GB"/>
        </w:rPr>
        <w:t xml:space="preserve"> pour le préjudice qu</w:t>
      </w:r>
      <w:r>
        <w:rPr>
          <w:lang w:val="fr-FR" w:eastAsia="en-GB"/>
        </w:rPr>
        <w:t>’</w:t>
      </w:r>
      <w:r w:rsidRPr="0062716A">
        <w:rPr>
          <w:lang w:val="fr-FR" w:eastAsia="en-GB"/>
        </w:rPr>
        <w:t xml:space="preserve">elle a subi. Cela constitue pour elle une violation </w:t>
      </w:r>
      <w:r>
        <w:rPr>
          <w:lang w:val="fr-FR" w:eastAsia="en-GB"/>
        </w:rPr>
        <w:t xml:space="preserve">continue du paragraphe 1 </w:t>
      </w:r>
      <w:r w:rsidRPr="0062716A">
        <w:rPr>
          <w:lang w:val="fr-FR" w:eastAsia="en-GB"/>
        </w:rPr>
        <w:t>de l</w:t>
      </w:r>
      <w:r>
        <w:rPr>
          <w:lang w:val="fr-FR" w:eastAsia="en-GB"/>
        </w:rPr>
        <w:t>’</w:t>
      </w:r>
      <w:r w:rsidRPr="0062716A">
        <w:rPr>
          <w:lang w:val="fr-FR" w:eastAsia="en-GB"/>
        </w:rPr>
        <w:t>article</w:t>
      </w:r>
      <w:r>
        <w:rPr>
          <w:lang w:val="fr-FR" w:eastAsia="en-GB"/>
        </w:rPr>
        <w:t> </w:t>
      </w:r>
      <w:r w:rsidRPr="0062716A">
        <w:rPr>
          <w:lang w:val="fr-FR" w:eastAsia="en-GB"/>
        </w:rPr>
        <w:t xml:space="preserve">14, lu conjointement avec </w:t>
      </w:r>
      <w:r>
        <w:rPr>
          <w:lang w:val="fr-FR" w:eastAsia="en-GB"/>
        </w:rPr>
        <w:t xml:space="preserve">le paragraphe 1 de </w:t>
      </w:r>
      <w:r w:rsidRPr="0062716A">
        <w:rPr>
          <w:lang w:val="fr-FR" w:eastAsia="en-GB"/>
        </w:rPr>
        <w:t>l</w:t>
      </w:r>
      <w:r>
        <w:rPr>
          <w:lang w:val="fr-FR" w:eastAsia="en-GB"/>
        </w:rPr>
        <w:t>’article premier</w:t>
      </w:r>
      <w:r w:rsidRPr="0062716A">
        <w:rPr>
          <w:lang w:val="fr-FR" w:eastAsia="en-GB"/>
        </w:rPr>
        <w:t xml:space="preserve"> de la Convention puisque la Bosnie-Herzégovine </w:t>
      </w:r>
      <w:r>
        <w:rPr>
          <w:lang w:val="fr-FR" w:eastAsia="en-GB"/>
        </w:rPr>
        <w:t>ne lui a</w:t>
      </w:r>
      <w:r w:rsidRPr="0062716A">
        <w:rPr>
          <w:lang w:val="fr-FR" w:eastAsia="en-GB"/>
        </w:rPr>
        <w:t xml:space="preserve"> pas garanti, </w:t>
      </w:r>
      <w:r>
        <w:rPr>
          <w:lang w:val="fr-FR" w:eastAsia="en-GB"/>
        </w:rPr>
        <w:t xml:space="preserve">juridiquement </w:t>
      </w:r>
      <w:r w:rsidRPr="0062716A">
        <w:rPr>
          <w:lang w:val="fr-FR" w:eastAsia="en-GB"/>
        </w:rPr>
        <w:t xml:space="preserve">ou pratiquement, la possibilité </w:t>
      </w:r>
      <w:r>
        <w:rPr>
          <w:lang w:val="fr-FR" w:eastAsia="en-GB"/>
        </w:rPr>
        <w:t xml:space="preserve">d’obtenir </w:t>
      </w:r>
      <w:r w:rsidRPr="0062716A">
        <w:rPr>
          <w:lang w:val="fr-FR" w:eastAsia="en-GB"/>
        </w:rPr>
        <w:t xml:space="preserve">réparation. </w:t>
      </w:r>
      <w:r>
        <w:rPr>
          <w:lang w:val="fr-FR" w:eastAsia="en-GB"/>
        </w:rPr>
        <w:t xml:space="preserve">L’État partie </w:t>
      </w:r>
      <w:r w:rsidRPr="0062716A">
        <w:rPr>
          <w:lang w:val="fr-FR" w:eastAsia="en-GB"/>
        </w:rPr>
        <w:t xml:space="preserve">ne lui a pas non plus garanti </w:t>
      </w:r>
      <w:r>
        <w:rPr>
          <w:lang w:val="fr-FR" w:eastAsia="en-GB"/>
        </w:rPr>
        <w:t>le</w:t>
      </w:r>
      <w:r w:rsidRPr="0062716A">
        <w:rPr>
          <w:lang w:val="fr-FR" w:eastAsia="en-GB"/>
        </w:rPr>
        <w:t xml:space="preserve"> </w:t>
      </w:r>
      <w:r>
        <w:rPr>
          <w:lang w:val="fr-FR" w:eastAsia="en-GB"/>
        </w:rPr>
        <w:t>droit</w:t>
      </w:r>
      <w:r w:rsidRPr="0062716A">
        <w:rPr>
          <w:lang w:val="fr-FR" w:eastAsia="en-GB"/>
        </w:rPr>
        <w:t xml:space="preserve"> </w:t>
      </w:r>
      <w:r>
        <w:rPr>
          <w:lang w:val="fr-FR" w:eastAsia="en-GB"/>
        </w:rPr>
        <w:t>d’</w:t>
      </w:r>
      <w:r w:rsidRPr="0062716A">
        <w:rPr>
          <w:lang w:val="fr-FR" w:eastAsia="en-GB"/>
        </w:rPr>
        <w:t xml:space="preserve">être indemnisée équitablement et de manière adéquate, </w:t>
      </w:r>
      <w:r w:rsidRPr="0062716A">
        <w:rPr>
          <w:lang w:val="fr-FR"/>
        </w:rPr>
        <w:t>y compris les moyens nécessaires à sa réadaptation la plus complète possible.</w:t>
      </w:r>
    </w:p>
    <w:p w14:paraId="4418A137" w14:textId="77777777" w:rsidR="00AF2FC6" w:rsidRPr="0062716A" w:rsidRDefault="00AF2FC6" w:rsidP="006F7894">
      <w:pPr>
        <w:pStyle w:val="SingleTxtG"/>
        <w:rPr>
          <w:lang w:val="fr-FR" w:eastAsia="en-GB"/>
        </w:rPr>
      </w:pPr>
      <w:r w:rsidRPr="0062716A">
        <w:rPr>
          <w:lang w:val="fr-FR" w:eastAsia="en-GB"/>
        </w:rPr>
        <w:t>2.13</w:t>
      </w:r>
      <w:r w:rsidRPr="0062716A">
        <w:rPr>
          <w:lang w:val="fr-FR" w:eastAsia="en-GB"/>
        </w:rPr>
        <w:tab/>
        <w:t xml:space="preserve">La requérante fait observer que le viol est </w:t>
      </w:r>
      <w:r>
        <w:rPr>
          <w:lang w:val="fr-FR" w:eastAsia="en-GB"/>
        </w:rPr>
        <w:t xml:space="preserve">interdit par </w:t>
      </w:r>
      <w:r w:rsidRPr="0062716A">
        <w:rPr>
          <w:lang w:val="fr-FR" w:eastAsia="en-GB"/>
        </w:rPr>
        <w:t>le droit international humanitaire coutumier</w:t>
      </w:r>
      <w:r w:rsidRPr="007C3FFD">
        <w:rPr>
          <w:rStyle w:val="Appelnotedebasdep"/>
        </w:rPr>
        <w:footnoteReference w:id="14"/>
      </w:r>
      <w:r w:rsidRPr="0062716A">
        <w:rPr>
          <w:lang w:val="fr-FR" w:eastAsia="en-GB"/>
        </w:rPr>
        <w:t xml:space="preserve"> et </w:t>
      </w:r>
      <w:r>
        <w:rPr>
          <w:lang w:val="fr-FR" w:eastAsia="en-GB"/>
        </w:rPr>
        <w:t xml:space="preserve">peut </w:t>
      </w:r>
      <w:r w:rsidRPr="0062716A">
        <w:rPr>
          <w:lang w:val="fr-FR" w:eastAsia="en-GB"/>
        </w:rPr>
        <w:t>dans certaines circonstances</w:t>
      </w:r>
      <w:r>
        <w:rPr>
          <w:lang w:val="fr-FR" w:eastAsia="en-GB"/>
        </w:rPr>
        <w:t xml:space="preserve"> constituer</w:t>
      </w:r>
      <w:r w:rsidRPr="0062716A">
        <w:rPr>
          <w:lang w:val="fr-FR" w:eastAsia="en-GB"/>
        </w:rPr>
        <w:t xml:space="preserve"> un crime de guerre</w:t>
      </w:r>
      <w:r w:rsidRPr="007C3FFD">
        <w:rPr>
          <w:rStyle w:val="Appelnotedebasdep"/>
        </w:rPr>
        <w:footnoteReference w:id="15"/>
      </w:r>
      <w:r w:rsidRPr="0062716A">
        <w:rPr>
          <w:lang w:val="fr-FR" w:eastAsia="en-GB"/>
        </w:rPr>
        <w:t>. En l</w:t>
      </w:r>
      <w:r>
        <w:rPr>
          <w:lang w:val="fr-FR" w:eastAsia="en-GB"/>
        </w:rPr>
        <w:t>’</w:t>
      </w:r>
      <w:r w:rsidRPr="0062716A">
        <w:rPr>
          <w:lang w:val="fr-FR" w:eastAsia="en-GB"/>
        </w:rPr>
        <w:t>espèce, la Cour de Bosnie-Herzégovine</w:t>
      </w:r>
      <w:r>
        <w:rPr>
          <w:lang w:val="fr-FR" w:eastAsia="en-GB"/>
        </w:rPr>
        <w:t xml:space="preserve"> a</w:t>
      </w:r>
      <w:r w:rsidRPr="0062716A">
        <w:rPr>
          <w:lang w:val="fr-FR" w:eastAsia="en-GB"/>
        </w:rPr>
        <w:t>, en 2015, déclaré coupable de crimes de guerre l</w:t>
      </w:r>
      <w:r>
        <w:rPr>
          <w:lang w:val="fr-FR" w:eastAsia="en-GB"/>
        </w:rPr>
        <w:t>’</w:t>
      </w:r>
      <w:r w:rsidRPr="0062716A">
        <w:rPr>
          <w:lang w:val="fr-FR" w:eastAsia="en-GB"/>
        </w:rPr>
        <w:t>auteur de</w:t>
      </w:r>
      <w:r>
        <w:rPr>
          <w:lang w:val="fr-FR" w:eastAsia="en-GB"/>
        </w:rPr>
        <w:t>s</w:t>
      </w:r>
      <w:r w:rsidRPr="0062716A">
        <w:rPr>
          <w:lang w:val="fr-FR" w:eastAsia="en-GB"/>
        </w:rPr>
        <w:t xml:space="preserve"> viols et de</w:t>
      </w:r>
      <w:r>
        <w:rPr>
          <w:lang w:val="fr-FR" w:eastAsia="en-GB"/>
        </w:rPr>
        <w:t>s</w:t>
      </w:r>
      <w:r w:rsidRPr="0062716A">
        <w:rPr>
          <w:lang w:val="fr-FR" w:eastAsia="en-GB"/>
        </w:rPr>
        <w:t xml:space="preserve"> mauvais traitements infligés à la requérante. Le fait que l</w:t>
      </w:r>
      <w:r>
        <w:rPr>
          <w:lang w:val="fr-FR" w:eastAsia="en-GB"/>
        </w:rPr>
        <w:t>’</w:t>
      </w:r>
      <w:r w:rsidRPr="0062716A">
        <w:rPr>
          <w:lang w:val="fr-FR" w:eastAsia="en-GB"/>
        </w:rPr>
        <w:t>interdiction de la torture est devenue une norme impérative</w:t>
      </w:r>
      <w:r>
        <w:rPr>
          <w:lang w:val="fr-FR" w:eastAsia="en-GB"/>
        </w:rPr>
        <w:t>,</w:t>
      </w:r>
      <w:r w:rsidRPr="0062716A">
        <w:rPr>
          <w:lang w:val="fr-FR" w:eastAsia="en-GB"/>
        </w:rPr>
        <w:t xml:space="preserve"> ou </w:t>
      </w:r>
      <w:r>
        <w:rPr>
          <w:lang w:val="fr-FR" w:eastAsia="en-GB"/>
        </w:rPr>
        <w:t xml:space="preserve">norme du </w:t>
      </w:r>
      <w:r w:rsidRPr="0062716A">
        <w:rPr>
          <w:i/>
          <w:lang w:val="fr-FR" w:eastAsia="en-GB"/>
        </w:rPr>
        <w:t>jus</w:t>
      </w:r>
      <w:r>
        <w:rPr>
          <w:i/>
          <w:lang w:val="fr-FR" w:eastAsia="en-GB"/>
        </w:rPr>
        <w:t> </w:t>
      </w:r>
      <w:r w:rsidRPr="0062716A">
        <w:rPr>
          <w:i/>
          <w:lang w:val="fr-FR" w:eastAsia="en-GB"/>
        </w:rPr>
        <w:t>cogens</w:t>
      </w:r>
      <w:r>
        <w:rPr>
          <w:lang w:val="fr-FR" w:eastAsia="en-GB"/>
        </w:rPr>
        <w:t xml:space="preserve">, </w:t>
      </w:r>
      <w:r w:rsidRPr="0062716A">
        <w:rPr>
          <w:lang w:val="fr-FR" w:eastAsia="en-GB"/>
        </w:rPr>
        <w:t>a d</w:t>
      </w:r>
      <w:r>
        <w:rPr>
          <w:lang w:val="fr-FR" w:eastAsia="en-GB"/>
        </w:rPr>
        <w:t xml:space="preserve">es </w:t>
      </w:r>
      <w:r w:rsidRPr="0062716A">
        <w:rPr>
          <w:lang w:val="fr-FR" w:eastAsia="en-GB"/>
        </w:rPr>
        <w:t>conséquences</w:t>
      </w:r>
      <w:r w:rsidRPr="00AD6063">
        <w:rPr>
          <w:lang w:val="fr-FR" w:eastAsia="en-GB"/>
        </w:rPr>
        <w:t xml:space="preserve"> </w:t>
      </w:r>
      <w:r w:rsidRPr="0062716A">
        <w:rPr>
          <w:lang w:val="fr-FR" w:eastAsia="en-GB"/>
        </w:rPr>
        <w:t xml:space="preserve">importantes, </w:t>
      </w:r>
      <w:r>
        <w:rPr>
          <w:lang w:val="fr-FR" w:eastAsia="en-GB"/>
        </w:rPr>
        <w:t xml:space="preserve">l’une d’elle étant que </w:t>
      </w:r>
      <w:r w:rsidRPr="0062716A">
        <w:rPr>
          <w:lang w:val="fr-FR" w:eastAsia="en-GB"/>
        </w:rPr>
        <w:t>« la torture ne peut être couverte par la prescription »</w:t>
      </w:r>
      <w:r w:rsidRPr="007C3FFD">
        <w:rPr>
          <w:rStyle w:val="Appelnotedebasdep"/>
        </w:rPr>
        <w:footnoteReference w:id="16"/>
      </w:r>
      <w:r w:rsidRPr="0062716A">
        <w:rPr>
          <w:lang w:val="fr-FR" w:eastAsia="en-GB"/>
        </w:rPr>
        <w:t>.</w:t>
      </w:r>
    </w:p>
    <w:p w14:paraId="7FEDA646" w14:textId="77777777" w:rsidR="00AF2FC6" w:rsidRPr="0062716A" w:rsidRDefault="00AF2FC6" w:rsidP="006F7894">
      <w:pPr>
        <w:pStyle w:val="SingleTxtG"/>
        <w:rPr>
          <w:lang w:val="fr-FR" w:eastAsia="en-GB"/>
        </w:rPr>
      </w:pPr>
      <w:r w:rsidRPr="0062716A">
        <w:rPr>
          <w:lang w:val="fr-FR" w:eastAsia="en-GB"/>
        </w:rPr>
        <w:t>2.14</w:t>
      </w:r>
      <w:r w:rsidRPr="0062716A">
        <w:rPr>
          <w:lang w:val="fr-FR" w:eastAsia="en-GB"/>
        </w:rPr>
        <w:tab/>
      </w:r>
      <w:r>
        <w:rPr>
          <w:lang w:val="fr-FR" w:eastAsia="en-GB"/>
        </w:rPr>
        <w:t xml:space="preserve">Selon la </w:t>
      </w:r>
      <w:r w:rsidRPr="0062716A">
        <w:rPr>
          <w:lang w:val="fr-FR" w:eastAsia="en-GB"/>
        </w:rPr>
        <w:t>requérante</w:t>
      </w:r>
      <w:r>
        <w:rPr>
          <w:lang w:val="fr-FR" w:eastAsia="en-GB"/>
        </w:rPr>
        <w:t>,</w:t>
      </w:r>
      <w:r w:rsidRPr="0062716A">
        <w:rPr>
          <w:lang w:val="fr-FR" w:eastAsia="en-GB"/>
        </w:rPr>
        <w:t xml:space="preserve"> le </w:t>
      </w:r>
      <w:r>
        <w:rPr>
          <w:lang w:val="fr-FR" w:eastAsia="en-GB"/>
        </w:rPr>
        <w:t xml:space="preserve">droit </w:t>
      </w:r>
      <w:r w:rsidRPr="0062716A">
        <w:rPr>
          <w:lang w:val="fr-FR" w:eastAsia="en-GB"/>
        </w:rPr>
        <w:t>à réparation</w:t>
      </w:r>
      <w:r>
        <w:rPr>
          <w:lang w:val="fr-FR" w:eastAsia="en-GB"/>
        </w:rPr>
        <w:t xml:space="preserve"> des </w:t>
      </w:r>
      <w:r w:rsidRPr="0062716A">
        <w:rPr>
          <w:lang w:val="fr-FR" w:eastAsia="en-GB"/>
        </w:rPr>
        <w:t xml:space="preserve">victimes de </w:t>
      </w:r>
      <w:r>
        <w:rPr>
          <w:lang w:val="fr-FR" w:eastAsia="en-GB"/>
        </w:rPr>
        <w:t xml:space="preserve">la </w:t>
      </w:r>
      <w:r w:rsidRPr="0062716A">
        <w:rPr>
          <w:lang w:val="fr-FR" w:eastAsia="en-GB"/>
        </w:rPr>
        <w:t xml:space="preserve">torture, </w:t>
      </w:r>
      <w:r>
        <w:rPr>
          <w:lang w:val="fr-FR" w:eastAsia="en-GB"/>
        </w:rPr>
        <w:t>qui comprend l’</w:t>
      </w:r>
      <w:r w:rsidRPr="0062716A">
        <w:rPr>
          <w:lang w:val="fr-FR" w:eastAsia="en-GB"/>
        </w:rPr>
        <w:t xml:space="preserve">indemnisation, </w:t>
      </w:r>
      <w:r>
        <w:rPr>
          <w:lang w:val="fr-FR" w:eastAsia="en-GB"/>
        </w:rPr>
        <w:t xml:space="preserve">la </w:t>
      </w:r>
      <w:r w:rsidRPr="0062716A">
        <w:rPr>
          <w:lang w:val="fr-FR" w:eastAsia="en-GB"/>
        </w:rPr>
        <w:t xml:space="preserve">restitution, </w:t>
      </w:r>
      <w:r>
        <w:rPr>
          <w:lang w:val="fr-FR" w:eastAsia="en-GB"/>
        </w:rPr>
        <w:t xml:space="preserve">la </w:t>
      </w:r>
      <w:r w:rsidRPr="0062716A">
        <w:rPr>
          <w:lang w:val="fr-FR" w:eastAsia="en-GB"/>
        </w:rPr>
        <w:t xml:space="preserve">réadaptation, </w:t>
      </w:r>
      <w:r>
        <w:rPr>
          <w:lang w:val="fr-FR" w:eastAsia="en-GB"/>
        </w:rPr>
        <w:t xml:space="preserve">la </w:t>
      </w:r>
      <w:r w:rsidRPr="0062716A">
        <w:rPr>
          <w:lang w:val="fr-FR" w:eastAsia="en-GB"/>
        </w:rPr>
        <w:t xml:space="preserve">satisfaction et </w:t>
      </w:r>
      <w:r>
        <w:rPr>
          <w:lang w:val="fr-FR" w:eastAsia="en-GB"/>
        </w:rPr>
        <w:t xml:space="preserve">des </w:t>
      </w:r>
      <w:r w:rsidRPr="0062716A">
        <w:rPr>
          <w:lang w:val="fr-FR" w:eastAsia="en-GB"/>
        </w:rPr>
        <w:t>garanties de non</w:t>
      </w:r>
      <w:r>
        <w:rPr>
          <w:lang w:val="fr-FR" w:eastAsia="en-GB"/>
        </w:rPr>
        <w:noBreakHyphen/>
      </w:r>
      <w:r w:rsidRPr="0062716A">
        <w:rPr>
          <w:lang w:val="fr-FR" w:eastAsia="en-GB"/>
        </w:rPr>
        <w:t>répétition</w:t>
      </w:r>
      <w:r>
        <w:rPr>
          <w:lang w:val="fr-FR" w:eastAsia="en-GB"/>
        </w:rPr>
        <w:t>,</w:t>
      </w:r>
      <w:r w:rsidRPr="0062716A">
        <w:rPr>
          <w:lang w:val="fr-FR" w:eastAsia="en-GB"/>
        </w:rPr>
        <w:t xml:space="preserve"> est bien établi en droit international et dans la jurisprudence internationale. Le droit incontesté des victimes de </w:t>
      </w:r>
      <w:r>
        <w:rPr>
          <w:lang w:val="fr-FR" w:eastAsia="en-GB"/>
        </w:rPr>
        <w:t xml:space="preserve">la </w:t>
      </w:r>
      <w:r w:rsidRPr="0062716A">
        <w:rPr>
          <w:lang w:val="fr-FR" w:eastAsia="en-GB"/>
        </w:rPr>
        <w:t xml:space="preserve">torture, notamment </w:t>
      </w:r>
      <w:r>
        <w:rPr>
          <w:lang w:val="fr-FR" w:eastAsia="en-GB"/>
        </w:rPr>
        <w:t xml:space="preserve">des victimes </w:t>
      </w:r>
      <w:r w:rsidRPr="0062716A">
        <w:rPr>
          <w:lang w:val="fr-FR" w:eastAsia="en-GB"/>
        </w:rPr>
        <w:t>de violences sexuelles, à obtenir réparation a deux corollaires qui sont au c</w:t>
      </w:r>
      <w:r>
        <w:rPr>
          <w:lang w:val="fr-FR" w:eastAsia="en-GB"/>
        </w:rPr>
        <w:t>œur</w:t>
      </w:r>
      <w:r w:rsidRPr="0062716A">
        <w:rPr>
          <w:lang w:val="fr-FR" w:eastAsia="en-GB"/>
        </w:rPr>
        <w:t xml:space="preserve"> de la présente communication. D</w:t>
      </w:r>
      <w:r>
        <w:rPr>
          <w:lang w:val="fr-FR" w:eastAsia="en-GB"/>
        </w:rPr>
        <w:t>’</w:t>
      </w:r>
      <w:r w:rsidRPr="0062716A">
        <w:rPr>
          <w:lang w:val="fr-FR" w:eastAsia="en-GB"/>
        </w:rPr>
        <w:t xml:space="preserve">une part, les demandes </w:t>
      </w:r>
      <w:r>
        <w:rPr>
          <w:lang w:val="fr-FR" w:eastAsia="en-GB"/>
        </w:rPr>
        <w:t xml:space="preserve">d’indemnisation relatives à </w:t>
      </w:r>
      <w:r w:rsidRPr="0062716A">
        <w:rPr>
          <w:lang w:val="fr-FR" w:eastAsia="en-GB"/>
        </w:rPr>
        <w:t xml:space="preserve">des crimes </w:t>
      </w:r>
      <w:r>
        <w:rPr>
          <w:lang w:val="fr-FR" w:eastAsia="en-GB"/>
        </w:rPr>
        <w:t xml:space="preserve">de </w:t>
      </w:r>
      <w:r w:rsidRPr="0062716A">
        <w:rPr>
          <w:lang w:val="fr-FR" w:eastAsia="en-GB"/>
        </w:rPr>
        <w:t xml:space="preserve">droit international, notamment </w:t>
      </w:r>
      <w:r>
        <w:rPr>
          <w:lang w:val="fr-FR" w:eastAsia="en-GB"/>
        </w:rPr>
        <w:t xml:space="preserve">les </w:t>
      </w:r>
      <w:r w:rsidRPr="0062716A">
        <w:rPr>
          <w:lang w:val="fr-FR" w:eastAsia="en-GB"/>
        </w:rPr>
        <w:t xml:space="preserve">crimes de guerre et </w:t>
      </w:r>
      <w:r>
        <w:rPr>
          <w:lang w:val="fr-FR" w:eastAsia="en-GB"/>
        </w:rPr>
        <w:t xml:space="preserve">les </w:t>
      </w:r>
      <w:r w:rsidRPr="0062716A">
        <w:rPr>
          <w:lang w:val="fr-FR" w:eastAsia="en-GB"/>
        </w:rPr>
        <w:t>crimes contre l</w:t>
      </w:r>
      <w:r>
        <w:rPr>
          <w:lang w:val="fr-FR" w:eastAsia="en-GB"/>
        </w:rPr>
        <w:t>’</w:t>
      </w:r>
      <w:r w:rsidRPr="0062716A">
        <w:rPr>
          <w:lang w:val="fr-FR" w:eastAsia="en-GB"/>
        </w:rPr>
        <w:t xml:space="preserve">humanité, ne sauraient </w:t>
      </w:r>
      <w:r>
        <w:rPr>
          <w:lang w:val="fr-FR" w:eastAsia="en-GB"/>
        </w:rPr>
        <w:t>se prescrire</w:t>
      </w:r>
      <w:r w:rsidRPr="0062716A">
        <w:rPr>
          <w:lang w:val="fr-FR" w:eastAsia="en-GB"/>
        </w:rPr>
        <w:t xml:space="preserve">, </w:t>
      </w:r>
      <w:r>
        <w:rPr>
          <w:lang w:val="fr-FR" w:eastAsia="en-GB"/>
        </w:rPr>
        <w:t xml:space="preserve">car dans le cas contraire </w:t>
      </w:r>
      <w:r w:rsidRPr="0062716A">
        <w:rPr>
          <w:lang w:val="fr-FR" w:eastAsia="en-GB"/>
        </w:rPr>
        <w:t>le droit à réparation</w:t>
      </w:r>
      <w:r>
        <w:rPr>
          <w:lang w:val="fr-FR" w:eastAsia="en-GB"/>
        </w:rPr>
        <w:t xml:space="preserve"> serait privé d’effet</w:t>
      </w:r>
      <w:r w:rsidRPr="0062716A">
        <w:rPr>
          <w:lang w:val="fr-FR" w:eastAsia="en-GB"/>
        </w:rPr>
        <w:t>. D</w:t>
      </w:r>
      <w:r>
        <w:rPr>
          <w:lang w:val="fr-FR" w:eastAsia="en-GB"/>
        </w:rPr>
        <w:t>’</w:t>
      </w:r>
      <w:r w:rsidRPr="0062716A">
        <w:rPr>
          <w:lang w:val="fr-FR" w:eastAsia="en-GB"/>
        </w:rPr>
        <w:t xml:space="preserve">autre part, </w:t>
      </w:r>
      <w:r>
        <w:rPr>
          <w:lang w:val="fr-FR" w:eastAsia="en-GB"/>
        </w:rPr>
        <w:t xml:space="preserve">une </w:t>
      </w:r>
      <w:r w:rsidRPr="0062716A">
        <w:rPr>
          <w:lang w:val="fr-FR" w:eastAsia="en-GB"/>
        </w:rPr>
        <w:t xml:space="preserve">responsabilité subsidiaire doit </w:t>
      </w:r>
      <w:r>
        <w:rPr>
          <w:lang w:val="fr-FR" w:eastAsia="en-GB"/>
        </w:rPr>
        <w:t xml:space="preserve">pouvoir être engagée </w:t>
      </w:r>
      <w:r w:rsidRPr="0062716A">
        <w:rPr>
          <w:lang w:val="fr-FR" w:eastAsia="en-GB"/>
        </w:rPr>
        <w:t xml:space="preserve">pour que ce droit </w:t>
      </w:r>
      <w:r>
        <w:rPr>
          <w:lang w:val="fr-FR" w:eastAsia="en-GB"/>
        </w:rPr>
        <w:t xml:space="preserve">soit </w:t>
      </w:r>
      <w:r w:rsidRPr="0062716A">
        <w:rPr>
          <w:lang w:val="fr-FR" w:eastAsia="en-GB"/>
        </w:rPr>
        <w:t xml:space="preserve">exécutoire même </w:t>
      </w:r>
      <w:r>
        <w:rPr>
          <w:lang w:val="fr-FR" w:eastAsia="en-GB"/>
        </w:rPr>
        <w:t xml:space="preserve">lorsque l’auteur de l’infraction </w:t>
      </w:r>
      <w:r w:rsidRPr="0062716A">
        <w:rPr>
          <w:lang w:val="fr-FR" w:eastAsia="en-GB"/>
        </w:rPr>
        <w:t>n</w:t>
      </w:r>
      <w:r>
        <w:rPr>
          <w:lang w:val="fr-FR" w:eastAsia="en-GB"/>
        </w:rPr>
        <w:t>’</w:t>
      </w:r>
      <w:r w:rsidRPr="0062716A">
        <w:rPr>
          <w:lang w:val="fr-FR" w:eastAsia="en-GB"/>
        </w:rPr>
        <w:t>a pas été identifié ou, comme en l</w:t>
      </w:r>
      <w:r>
        <w:rPr>
          <w:lang w:val="fr-FR" w:eastAsia="en-GB"/>
        </w:rPr>
        <w:t>’</w:t>
      </w:r>
      <w:r w:rsidRPr="0062716A">
        <w:rPr>
          <w:lang w:val="fr-FR" w:eastAsia="en-GB"/>
        </w:rPr>
        <w:t>espèce, ne peut pas ou ne veut pas verser d</w:t>
      </w:r>
      <w:r>
        <w:rPr>
          <w:lang w:val="fr-FR" w:eastAsia="en-GB"/>
        </w:rPr>
        <w:t>’</w:t>
      </w:r>
      <w:r w:rsidRPr="0062716A">
        <w:rPr>
          <w:lang w:val="fr-FR" w:eastAsia="en-GB"/>
        </w:rPr>
        <w:t>indemnisation.</w:t>
      </w:r>
    </w:p>
    <w:p w14:paraId="5B10CFD4" w14:textId="77777777" w:rsidR="00AF2FC6" w:rsidRPr="0062716A" w:rsidRDefault="00AF2FC6" w:rsidP="006F7894">
      <w:pPr>
        <w:pStyle w:val="SingleTxtG"/>
        <w:rPr>
          <w:lang w:val="fr-FR" w:eastAsia="en-GB"/>
        </w:rPr>
      </w:pPr>
      <w:r w:rsidRPr="0062716A">
        <w:rPr>
          <w:lang w:val="fr-FR" w:eastAsia="en-GB"/>
        </w:rPr>
        <w:t>2.15</w:t>
      </w:r>
      <w:r w:rsidRPr="0062716A">
        <w:rPr>
          <w:lang w:val="fr-FR" w:eastAsia="en-GB"/>
        </w:rPr>
        <w:tab/>
        <w:t xml:space="preserve">La requérante </w:t>
      </w:r>
      <w:r>
        <w:rPr>
          <w:lang w:val="fr-FR" w:eastAsia="en-GB"/>
        </w:rPr>
        <w:t xml:space="preserve">observe </w:t>
      </w:r>
      <w:r w:rsidRPr="0062716A">
        <w:rPr>
          <w:lang w:val="fr-FR" w:eastAsia="en-GB"/>
        </w:rPr>
        <w:t>que puisqu</w:t>
      </w:r>
      <w:r>
        <w:rPr>
          <w:lang w:val="fr-FR" w:eastAsia="en-GB"/>
        </w:rPr>
        <w:t>’</w:t>
      </w:r>
      <w:r w:rsidRPr="0062716A">
        <w:rPr>
          <w:lang w:val="fr-FR" w:eastAsia="en-GB"/>
        </w:rPr>
        <w:t>aucun délai de prescription ne s</w:t>
      </w:r>
      <w:r>
        <w:rPr>
          <w:lang w:val="fr-FR" w:eastAsia="en-GB"/>
        </w:rPr>
        <w:t>’</w:t>
      </w:r>
      <w:r w:rsidRPr="0062716A">
        <w:rPr>
          <w:lang w:val="fr-FR" w:eastAsia="en-GB"/>
        </w:rPr>
        <w:t>applique en cas de génocide, de crimes contre l</w:t>
      </w:r>
      <w:r>
        <w:rPr>
          <w:lang w:val="fr-FR" w:eastAsia="en-GB"/>
        </w:rPr>
        <w:t>’</w:t>
      </w:r>
      <w:r w:rsidRPr="0062716A">
        <w:rPr>
          <w:lang w:val="fr-FR" w:eastAsia="en-GB"/>
        </w:rPr>
        <w:t xml:space="preserve">humanité et de crimes de guerre, il ne doit pas y en avoir non plus pour les procédures pénales ou civiles intentées par des victimes de tels crimes </w:t>
      </w:r>
      <w:r>
        <w:rPr>
          <w:lang w:val="fr-FR" w:eastAsia="en-GB"/>
        </w:rPr>
        <w:t xml:space="preserve">en vue </w:t>
      </w:r>
      <w:r w:rsidRPr="0062716A">
        <w:rPr>
          <w:lang w:val="fr-FR" w:eastAsia="en-GB"/>
        </w:rPr>
        <w:t>d</w:t>
      </w:r>
      <w:r>
        <w:rPr>
          <w:lang w:val="fr-FR" w:eastAsia="en-GB"/>
        </w:rPr>
        <w:t>’</w:t>
      </w:r>
      <w:r w:rsidRPr="0062716A">
        <w:rPr>
          <w:lang w:val="fr-FR" w:eastAsia="en-GB"/>
        </w:rPr>
        <w:t>obtenir des réparations complètes. En ce sens, dans le souci de faire progresser le droit international, l</w:t>
      </w:r>
      <w:r>
        <w:rPr>
          <w:lang w:val="fr-FR" w:eastAsia="en-GB"/>
        </w:rPr>
        <w:t>’</w:t>
      </w:r>
      <w:r w:rsidRPr="0062716A">
        <w:rPr>
          <w:lang w:val="fr-FR" w:eastAsia="en-GB"/>
        </w:rPr>
        <w:t>imprescriptibilité devrait s</w:t>
      </w:r>
      <w:r>
        <w:rPr>
          <w:lang w:val="fr-FR" w:eastAsia="en-GB"/>
        </w:rPr>
        <w:t>’</w:t>
      </w:r>
      <w:r w:rsidRPr="0062716A">
        <w:rPr>
          <w:lang w:val="fr-FR" w:eastAsia="en-GB"/>
        </w:rPr>
        <w:t xml:space="preserve">appliquer aussi </w:t>
      </w:r>
      <w:r>
        <w:rPr>
          <w:lang w:val="fr-FR" w:eastAsia="en-GB"/>
        </w:rPr>
        <w:t xml:space="preserve">aux recours </w:t>
      </w:r>
      <w:r w:rsidRPr="0062716A">
        <w:rPr>
          <w:lang w:val="fr-FR" w:eastAsia="en-GB"/>
        </w:rPr>
        <w:t>en responsabilité délictuelle</w:t>
      </w:r>
      <w:r>
        <w:rPr>
          <w:lang w:val="fr-FR" w:eastAsia="en-GB"/>
        </w:rPr>
        <w:t xml:space="preserve"> relatifs à des crimes relevant du droit international</w:t>
      </w:r>
      <w:r w:rsidRPr="0062716A">
        <w:rPr>
          <w:lang w:val="fr-FR" w:eastAsia="en-GB"/>
        </w:rPr>
        <w:t>, dans le cadre de procédures aussi bien civiles que pénales</w:t>
      </w:r>
      <w:r w:rsidRPr="007C3FFD">
        <w:rPr>
          <w:rStyle w:val="Appelnotedebasdep"/>
        </w:rPr>
        <w:footnoteReference w:id="17"/>
      </w:r>
      <w:r w:rsidRPr="0062716A">
        <w:rPr>
          <w:lang w:val="fr-FR" w:eastAsia="en-GB"/>
        </w:rPr>
        <w:t>.</w:t>
      </w:r>
    </w:p>
    <w:p w14:paraId="2F01D05C" w14:textId="77777777" w:rsidR="00AF2FC6" w:rsidRPr="0062716A" w:rsidRDefault="00AF2FC6" w:rsidP="006F7894">
      <w:pPr>
        <w:pStyle w:val="SingleTxtG"/>
        <w:rPr>
          <w:lang w:val="fr-FR" w:eastAsia="en-GB"/>
        </w:rPr>
      </w:pPr>
      <w:r w:rsidRPr="0062716A">
        <w:rPr>
          <w:lang w:val="fr-FR" w:eastAsia="en-GB"/>
        </w:rPr>
        <w:t>2.16</w:t>
      </w:r>
      <w:r w:rsidRPr="0062716A">
        <w:rPr>
          <w:lang w:val="fr-FR" w:eastAsia="en-GB"/>
        </w:rPr>
        <w:tab/>
      </w:r>
      <w:r>
        <w:rPr>
          <w:lang w:val="fr-FR" w:eastAsia="en-GB"/>
        </w:rPr>
        <w:t xml:space="preserve">Imposer aux </w:t>
      </w:r>
      <w:r w:rsidRPr="0062716A">
        <w:rPr>
          <w:lang w:val="fr-FR" w:eastAsia="en-GB"/>
        </w:rPr>
        <w:t>victimes d</w:t>
      </w:r>
      <w:r>
        <w:rPr>
          <w:lang w:val="fr-FR" w:eastAsia="en-GB"/>
        </w:rPr>
        <w:t>’</w:t>
      </w:r>
      <w:r w:rsidRPr="0062716A">
        <w:rPr>
          <w:lang w:val="fr-FR" w:eastAsia="en-GB"/>
        </w:rPr>
        <w:t>actes de torture</w:t>
      </w:r>
      <w:r w:rsidRPr="008A5419">
        <w:rPr>
          <w:lang w:val="fr-FR" w:eastAsia="en-GB"/>
        </w:rPr>
        <w:t xml:space="preserve"> </w:t>
      </w:r>
      <w:r w:rsidRPr="0062716A">
        <w:rPr>
          <w:lang w:val="fr-FR" w:eastAsia="en-GB"/>
        </w:rPr>
        <w:t>commis pendant le conflit armé en Bosnie</w:t>
      </w:r>
      <w:r>
        <w:rPr>
          <w:lang w:val="fr-FR" w:eastAsia="en-GB"/>
        </w:rPr>
        <w:noBreakHyphen/>
      </w:r>
      <w:r w:rsidRPr="0062716A">
        <w:rPr>
          <w:lang w:val="fr-FR" w:eastAsia="en-GB"/>
        </w:rPr>
        <w:t>Herzégovine</w:t>
      </w:r>
      <w:r>
        <w:rPr>
          <w:lang w:val="fr-FR" w:eastAsia="en-GB"/>
        </w:rPr>
        <w:t xml:space="preserve">, </w:t>
      </w:r>
      <w:r w:rsidRPr="0062716A">
        <w:rPr>
          <w:lang w:val="fr-FR" w:eastAsia="en-GB"/>
        </w:rPr>
        <w:t xml:space="preserve">notamment </w:t>
      </w:r>
      <w:r>
        <w:rPr>
          <w:lang w:val="fr-FR" w:eastAsia="en-GB"/>
        </w:rPr>
        <w:t xml:space="preserve">aux victimes </w:t>
      </w:r>
      <w:r w:rsidRPr="0062716A">
        <w:rPr>
          <w:lang w:val="fr-FR" w:eastAsia="en-GB"/>
        </w:rPr>
        <w:t xml:space="preserve">de violences sexuelles, un délai de prescription de trois à cinq ans pour </w:t>
      </w:r>
      <w:r>
        <w:rPr>
          <w:lang w:val="fr-FR" w:eastAsia="en-GB"/>
        </w:rPr>
        <w:t xml:space="preserve">l’introduction </w:t>
      </w:r>
      <w:r w:rsidRPr="0062716A">
        <w:rPr>
          <w:lang w:val="fr-FR" w:eastAsia="en-GB"/>
        </w:rPr>
        <w:t>d</w:t>
      </w:r>
      <w:r>
        <w:rPr>
          <w:lang w:val="fr-FR" w:eastAsia="en-GB"/>
        </w:rPr>
        <w:t>’</w:t>
      </w:r>
      <w:r w:rsidRPr="0062716A">
        <w:rPr>
          <w:lang w:val="fr-FR" w:eastAsia="en-GB"/>
        </w:rPr>
        <w:t xml:space="preserve">actions civiles en réparation </w:t>
      </w:r>
      <w:r>
        <w:rPr>
          <w:lang w:val="fr-FR" w:eastAsia="en-GB"/>
        </w:rPr>
        <w:t xml:space="preserve">de leur préjudice </w:t>
      </w:r>
      <w:r w:rsidRPr="0062716A">
        <w:rPr>
          <w:lang w:val="fr-FR" w:eastAsia="en-GB"/>
        </w:rPr>
        <w:t>moral</w:t>
      </w:r>
      <w:r>
        <w:rPr>
          <w:lang w:val="fr-FR" w:eastAsia="en-GB"/>
        </w:rPr>
        <w:t xml:space="preserve"> </w:t>
      </w:r>
      <w:r w:rsidRPr="0062716A">
        <w:rPr>
          <w:lang w:val="fr-FR" w:eastAsia="en-GB"/>
        </w:rPr>
        <w:t xml:space="preserve">rend de facto ineffectif le droit </w:t>
      </w:r>
      <w:r>
        <w:rPr>
          <w:lang w:val="fr-FR" w:eastAsia="en-GB"/>
        </w:rPr>
        <w:t xml:space="preserve">à réparation de ces </w:t>
      </w:r>
      <w:r w:rsidRPr="0062716A">
        <w:rPr>
          <w:lang w:val="fr-FR" w:eastAsia="en-GB"/>
        </w:rPr>
        <w:t xml:space="preserve">victimes, </w:t>
      </w:r>
      <w:r>
        <w:rPr>
          <w:lang w:val="fr-FR" w:eastAsia="en-GB"/>
        </w:rPr>
        <w:t xml:space="preserve">y compris celui </w:t>
      </w:r>
      <w:r>
        <w:rPr>
          <w:lang w:val="fr-FR" w:eastAsia="en-GB"/>
        </w:rPr>
        <w:lastRenderedPageBreak/>
        <w:t xml:space="preserve">de </w:t>
      </w:r>
      <w:r w:rsidRPr="0062716A">
        <w:rPr>
          <w:lang w:val="fr-FR" w:eastAsia="en-GB"/>
        </w:rPr>
        <w:t>la requérante. Les victimes de viols ou d</w:t>
      </w:r>
      <w:r>
        <w:rPr>
          <w:lang w:val="fr-FR" w:eastAsia="en-GB"/>
        </w:rPr>
        <w:t>’</w:t>
      </w:r>
      <w:r w:rsidRPr="0062716A">
        <w:rPr>
          <w:lang w:val="fr-FR" w:eastAsia="en-GB"/>
        </w:rPr>
        <w:t>autres formes de violences sexuelles sont particulièrement stigmatisées,</w:t>
      </w:r>
      <w:r>
        <w:rPr>
          <w:lang w:val="fr-FR" w:eastAsia="en-GB"/>
        </w:rPr>
        <w:t xml:space="preserve"> apeurées</w:t>
      </w:r>
      <w:r w:rsidRPr="0062716A">
        <w:rPr>
          <w:lang w:val="fr-FR" w:eastAsia="en-GB"/>
        </w:rPr>
        <w:t xml:space="preserve"> et marginalisées, ce qui souvent les empêche de </w:t>
      </w:r>
      <w:r>
        <w:rPr>
          <w:lang w:val="fr-FR" w:eastAsia="en-GB"/>
        </w:rPr>
        <w:t xml:space="preserve">se faire connaître, </w:t>
      </w:r>
      <w:r w:rsidRPr="0062716A">
        <w:rPr>
          <w:lang w:val="fr-FR" w:eastAsia="en-GB"/>
        </w:rPr>
        <w:t xml:space="preserve">de dénoncer les crimes et </w:t>
      </w:r>
      <w:r>
        <w:rPr>
          <w:lang w:val="fr-FR" w:eastAsia="en-GB"/>
        </w:rPr>
        <w:t xml:space="preserve">de saisir la justice </w:t>
      </w:r>
      <w:r w:rsidRPr="0062716A">
        <w:rPr>
          <w:lang w:val="fr-FR" w:eastAsia="en-GB"/>
        </w:rPr>
        <w:t xml:space="preserve">pour obtenir </w:t>
      </w:r>
      <w:r>
        <w:rPr>
          <w:lang w:val="fr-FR" w:eastAsia="en-GB"/>
        </w:rPr>
        <w:t>une indemnisation</w:t>
      </w:r>
      <w:r w:rsidRPr="0062716A">
        <w:rPr>
          <w:lang w:val="fr-FR" w:eastAsia="en-GB"/>
        </w:rPr>
        <w:t>. Leur imposer un délai de prescription de trois à cinq ans, comme le fait l</w:t>
      </w:r>
      <w:r>
        <w:rPr>
          <w:lang w:val="fr-FR" w:eastAsia="en-GB"/>
        </w:rPr>
        <w:t>’</w:t>
      </w:r>
      <w:r w:rsidRPr="0062716A">
        <w:rPr>
          <w:lang w:val="fr-FR" w:eastAsia="en-GB"/>
        </w:rPr>
        <w:t>article</w:t>
      </w:r>
      <w:r>
        <w:rPr>
          <w:lang w:val="fr-FR" w:eastAsia="en-GB"/>
        </w:rPr>
        <w:t> </w:t>
      </w:r>
      <w:r w:rsidRPr="0062716A">
        <w:rPr>
          <w:lang w:val="fr-FR" w:eastAsia="en-GB"/>
        </w:rPr>
        <w:t xml:space="preserve">366 de la loi sur les obligations civiles, est assurément abusivement restrictif et </w:t>
      </w:r>
      <w:r>
        <w:rPr>
          <w:lang w:val="fr-FR" w:eastAsia="en-GB"/>
        </w:rPr>
        <w:t xml:space="preserve">constitue </w:t>
      </w:r>
      <w:r w:rsidRPr="0062716A">
        <w:rPr>
          <w:lang w:val="fr-FR" w:eastAsia="en-GB"/>
        </w:rPr>
        <w:t>un obstacle insurmontable</w:t>
      </w:r>
      <w:r>
        <w:rPr>
          <w:lang w:val="fr-FR" w:eastAsia="en-GB"/>
        </w:rPr>
        <w:t xml:space="preserve"> à la réalisation de leur droit à une indemnisation</w:t>
      </w:r>
      <w:r w:rsidRPr="0062716A">
        <w:rPr>
          <w:lang w:val="fr-FR" w:eastAsia="en-GB"/>
        </w:rPr>
        <w:t xml:space="preserve">. Cet article ne tient pas compte </w:t>
      </w:r>
      <w:r>
        <w:rPr>
          <w:lang w:val="fr-FR" w:eastAsia="en-GB"/>
        </w:rPr>
        <w:t xml:space="preserve">du caractère continu </w:t>
      </w:r>
      <w:r w:rsidRPr="0062716A">
        <w:rPr>
          <w:lang w:val="fr-FR" w:eastAsia="en-GB"/>
        </w:rPr>
        <w:t>des effets de la torture ni du temps qu</w:t>
      </w:r>
      <w:r>
        <w:rPr>
          <w:lang w:val="fr-FR" w:eastAsia="en-GB"/>
        </w:rPr>
        <w:t>’</w:t>
      </w:r>
      <w:r w:rsidRPr="0062716A">
        <w:rPr>
          <w:lang w:val="fr-FR" w:eastAsia="en-GB"/>
        </w:rPr>
        <w:t>il faut pour reconstruire un système de justice fiable et indépendant au lendemain d</w:t>
      </w:r>
      <w:r>
        <w:rPr>
          <w:lang w:val="fr-FR" w:eastAsia="en-GB"/>
        </w:rPr>
        <w:t>’</w:t>
      </w:r>
      <w:r w:rsidRPr="0062716A">
        <w:rPr>
          <w:lang w:val="fr-FR" w:eastAsia="en-GB"/>
        </w:rPr>
        <w:t>un conflit</w:t>
      </w:r>
      <w:r>
        <w:rPr>
          <w:lang w:val="fr-FR" w:eastAsia="en-GB"/>
        </w:rPr>
        <w:t>,</w:t>
      </w:r>
      <w:r w:rsidRPr="0062716A">
        <w:rPr>
          <w:lang w:val="fr-FR" w:eastAsia="en-GB"/>
        </w:rPr>
        <w:t xml:space="preserve"> et prive les victimes de réparation et d</w:t>
      </w:r>
      <w:r>
        <w:rPr>
          <w:lang w:val="fr-FR" w:eastAsia="en-GB"/>
        </w:rPr>
        <w:t>’</w:t>
      </w:r>
      <w:r w:rsidRPr="0062716A">
        <w:rPr>
          <w:lang w:val="fr-FR" w:eastAsia="en-GB"/>
        </w:rPr>
        <w:t>indemnisation. De plus, la jurisprudence des tribunaux de Bosnie</w:t>
      </w:r>
      <w:r>
        <w:rPr>
          <w:lang w:val="fr-FR" w:eastAsia="en-GB"/>
        </w:rPr>
        <w:noBreakHyphen/>
      </w:r>
      <w:r w:rsidRPr="0062716A">
        <w:rPr>
          <w:lang w:val="fr-FR" w:eastAsia="en-GB"/>
        </w:rPr>
        <w:t>Herzégovine à cet égard, a</w:t>
      </w:r>
      <w:r>
        <w:rPr>
          <w:lang w:val="fr-FR" w:eastAsia="en-GB"/>
        </w:rPr>
        <w:t>valisée</w:t>
      </w:r>
      <w:r w:rsidRPr="0062716A">
        <w:rPr>
          <w:lang w:val="fr-FR" w:eastAsia="en-GB"/>
        </w:rPr>
        <w:t xml:space="preserve"> par la Cour constitutionnelle, méconnaît le fait que les crimes en </w:t>
      </w:r>
      <w:r>
        <w:rPr>
          <w:lang w:val="fr-FR" w:eastAsia="en-GB"/>
        </w:rPr>
        <w:t xml:space="preserve">question </w:t>
      </w:r>
      <w:r w:rsidRPr="0062716A">
        <w:rPr>
          <w:lang w:val="fr-FR" w:eastAsia="en-GB"/>
        </w:rPr>
        <w:t>sont des crimes de guerre ou des crimes contre l</w:t>
      </w:r>
      <w:r>
        <w:rPr>
          <w:lang w:val="fr-FR" w:eastAsia="en-GB"/>
        </w:rPr>
        <w:t>’</w:t>
      </w:r>
      <w:r w:rsidRPr="0062716A">
        <w:rPr>
          <w:lang w:val="fr-FR" w:eastAsia="en-GB"/>
        </w:rPr>
        <w:t xml:space="preserve">humanité et, en tant que tels, sont imprescriptibles </w:t>
      </w:r>
      <w:r>
        <w:rPr>
          <w:lang w:val="fr-FR" w:eastAsia="en-GB"/>
        </w:rPr>
        <w:t xml:space="preserve">aussi bien au </w:t>
      </w:r>
      <w:r w:rsidRPr="0062716A">
        <w:rPr>
          <w:lang w:val="fr-FR" w:eastAsia="en-GB"/>
        </w:rPr>
        <w:t>pénal qu</w:t>
      </w:r>
      <w:r>
        <w:rPr>
          <w:lang w:val="fr-FR" w:eastAsia="en-GB"/>
        </w:rPr>
        <w:t>’au</w:t>
      </w:r>
      <w:r w:rsidRPr="0062716A">
        <w:rPr>
          <w:lang w:val="fr-FR" w:eastAsia="en-GB"/>
        </w:rPr>
        <w:t xml:space="preserve"> civil.</w:t>
      </w:r>
    </w:p>
    <w:p w14:paraId="73A312D0" w14:textId="77777777" w:rsidR="00AF2FC6" w:rsidRPr="0062716A" w:rsidRDefault="00AF2FC6" w:rsidP="006F7894">
      <w:pPr>
        <w:pStyle w:val="SingleTxtG"/>
        <w:rPr>
          <w:lang w:val="fr-FR" w:eastAsia="en-GB"/>
        </w:rPr>
      </w:pPr>
      <w:r w:rsidRPr="0062716A">
        <w:rPr>
          <w:lang w:val="fr-FR" w:eastAsia="en-GB"/>
        </w:rPr>
        <w:t>2.17</w:t>
      </w:r>
      <w:r w:rsidRPr="0062716A">
        <w:rPr>
          <w:lang w:val="fr-FR" w:eastAsia="en-GB"/>
        </w:rPr>
        <w:tab/>
        <w:t xml:space="preserve">Les </w:t>
      </w:r>
      <w:r w:rsidRPr="0062716A">
        <w:rPr>
          <w:lang w:val="fr-FR"/>
        </w:rPr>
        <w:t>Principes fondamentaux et directives concernant le droit à un recours et à réparation des victimes de violations flagrantes du droit international des droits de l</w:t>
      </w:r>
      <w:r>
        <w:rPr>
          <w:lang w:val="fr-FR"/>
        </w:rPr>
        <w:t>’</w:t>
      </w:r>
      <w:r w:rsidRPr="0062716A">
        <w:rPr>
          <w:lang w:val="fr-FR"/>
        </w:rPr>
        <w:t xml:space="preserve">homme et de violations graves du droit international humanitaire </w:t>
      </w:r>
      <w:r>
        <w:rPr>
          <w:lang w:val="fr-FR"/>
        </w:rPr>
        <w:t xml:space="preserve">contiennent </w:t>
      </w:r>
      <w:r w:rsidRPr="0062716A">
        <w:rPr>
          <w:lang w:val="fr-FR"/>
        </w:rPr>
        <w:t xml:space="preserve">deux autres dispositions </w:t>
      </w:r>
      <w:r>
        <w:rPr>
          <w:lang w:val="fr-FR"/>
        </w:rPr>
        <w:t xml:space="preserve">qui sont pertinentes et </w:t>
      </w:r>
      <w:r w:rsidRPr="0062716A">
        <w:rPr>
          <w:lang w:val="fr-FR"/>
        </w:rPr>
        <w:t xml:space="preserve">qui ne sont pas respectées dans la pratique et la jurisprudence de </w:t>
      </w:r>
      <w:r w:rsidRPr="0062716A">
        <w:rPr>
          <w:lang w:val="fr-FR" w:eastAsia="en-GB"/>
        </w:rPr>
        <w:t xml:space="preserve">la Bosnie-Herzégovine, comme le montre le cas de </w:t>
      </w:r>
      <w:r>
        <w:rPr>
          <w:lang w:val="fr-FR" w:eastAsia="en-GB"/>
        </w:rPr>
        <w:t>A.</w:t>
      </w:r>
      <w:r w:rsidRPr="0062716A">
        <w:rPr>
          <w:lang w:val="fr-FR" w:eastAsia="en-GB"/>
        </w:rPr>
        <w:t xml:space="preserve"> </w:t>
      </w:r>
      <w:r>
        <w:rPr>
          <w:lang w:val="fr-FR" w:eastAsia="en-GB"/>
        </w:rPr>
        <w:t xml:space="preserve">Selon le </w:t>
      </w:r>
      <w:r w:rsidRPr="0062716A">
        <w:rPr>
          <w:lang w:val="fr-FR" w:eastAsia="en-GB"/>
        </w:rPr>
        <w:t>principe</w:t>
      </w:r>
      <w:r>
        <w:rPr>
          <w:lang w:val="fr-FR" w:eastAsia="en-GB"/>
        </w:rPr>
        <w:t> </w:t>
      </w:r>
      <w:r w:rsidRPr="0062716A">
        <w:rPr>
          <w:lang w:val="fr-FR" w:eastAsia="en-GB"/>
        </w:rPr>
        <w:t>15</w:t>
      </w:r>
      <w:r>
        <w:rPr>
          <w:lang w:val="fr-FR" w:eastAsia="en-GB"/>
        </w:rPr>
        <w:t>,</w:t>
      </w:r>
      <w:r w:rsidRPr="0062716A">
        <w:rPr>
          <w:lang w:val="fr-FR" w:eastAsia="en-GB"/>
        </w:rPr>
        <w:t xml:space="preserve"> « </w:t>
      </w:r>
      <w:r w:rsidRPr="0062716A">
        <w:rPr>
          <w:lang w:val="fr-FR"/>
        </w:rPr>
        <w:t>l</w:t>
      </w:r>
      <w:r>
        <w:rPr>
          <w:lang w:val="fr-FR"/>
        </w:rPr>
        <w:t>’</w:t>
      </w:r>
      <w:r w:rsidRPr="0062716A">
        <w:rPr>
          <w:lang w:val="fr-FR"/>
        </w:rPr>
        <w:t>État assure aux victimes la réparation des actes ou omissions qui peuvent lui être imputés et qui constituent des violations flagrantes du droit international des droits de l</w:t>
      </w:r>
      <w:r>
        <w:rPr>
          <w:lang w:val="fr-FR"/>
        </w:rPr>
        <w:t>’</w:t>
      </w:r>
      <w:r w:rsidRPr="0062716A">
        <w:rPr>
          <w:lang w:val="fr-FR"/>
        </w:rPr>
        <w:t>homme ou des violations graves du droit international humanitaire. Dans les cas où la responsabilité de la réparation incombe à une personne physique, à une personne morale ou à une autre entité, la personne ou l</w:t>
      </w:r>
      <w:r>
        <w:rPr>
          <w:lang w:val="fr-FR"/>
        </w:rPr>
        <w:t>’</w:t>
      </w:r>
      <w:r w:rsidRPr="0062716A">
        <w:rPr>
          <w:lang w:val="fr-FR"/>
        </w:rPr>
        <w:t>entité devrait assurer réparation à la victime ou indemniser l</w:t>
      </w:r>
      <w:r>
        <w:rPr>
          <w:lang w:val="fr-FR"/>
        </w:rPr>
        <w:t>’</w:t>
      </w:r>
      <w:r w:rsidRPr="0062716A">
        <w:rPr>
          <w:lang w:val="fr-FR"/>
        </w:rPr>
        <w:t>État lorsque celui-ci a déjà assuré réparation à la victime »</w:t>
      </w:r>
      <w:r w:rsidRPr="0062716A">
        <w:rPr>
          <w:lang w:val="fr-FR" w:eastAsia="en-GB"/>
        </w:rPr>
        <w:t xml:space="preserve">. </w:t>
      </w:r>
      <w:r>
        <w:rPr>
          <w:lang w:val="fr-FR" w:eastAsia="en-GB"/>
        </w:rPr>
        <w:t>D’autre part</w:t>
      </w:r>
      <w:r w:rsidRPr="0062716A">
        <w:rPr>
          <w:lang w:val="fr-FR" w:eastAsia="en-GB"/>
        </w:rPr>
        <w:t xml:space="preserve">, </w:t>
      </w:r>
      <w:r>
        <w:rPr>
          <w:lang w:val="fr-FR" w:eastAsia="en-GB"/>
        </w:rPr>
        <w:t xml:space="preserve">aux termes du </w:t>
      </w:r>
      <w:r w:rsidRPr="0062716A">
        <w:rPr>
          <w:lang w:val="fr-FR" w:eastAsia="en-GB"/>
        </w:rPr>
        <w:t>principe</w:t>
      </w:r>
      <w:r>
        <w:rPr>
          <w:lang w:val="fr-FR" w:eastAsia="en-GB"/>
        </w:rPr>
        <w:t> </w:t>
      </w:r>
      <w:r w:rsidRPr="0062716A">
        <w:rPr>
          <w:lang w:val="fr-FR" w:eastAsia="en-GB"/>
        </w:rPr>
        <w:t>17, « </w:t>
      </w:r>
      <w:r w:rsidRPr="0062716A">
        <w:rPr>
          <w:lang w:val="fr-FR"/>
        </w:rPr>
        <w:t>les</w:t>
      </w:r>
      <w:r w:rsidR="00090E5E">
        <w:rPr>
          <w:lang w:val="fr-FR"/>
        </w:rPr>
        <w:t xml:space="preserve"> </w:t>
      </w:r>
      <w:r w:rsidRPr="0062716A">
        <w:rPr>
          <w:lang w:val="fr-FR"/>
        </w:rPr>
        <w:t>États devraient prévoir, dans leur législation interne, des mécanismes efficaces pour assurer l</w:t>
      </w:r>
      <w:r>
        <w:rPr>
          <w:lang w:val="fr-FR"/>
        </w:rPr>
        <w:t>’</w:t>
      </w:r>
      <w:r w:rsidRPr="0062716A">
        <w:rPr>
          <w:lang w:val="fr-FR"/>
        </w:rPr>
        <w:t xml:space="preserve">exécution des décisions de réparation ». Dans le cas de </w:t>
      </w:r>
      <w:r>
        <w:rPr>
          <w:lang w:val="fr-FR" w:eastAsia="en-GB"/>
        </w:rPr>
        <w:t>A</w:t>
      </w:r>
      <w:r w:rsidRPr="0062716A">
        <w:rPr>
          <w:lang w:val="fr-FR" w:eastAsia="en-GB"/>
        </w:rPr>
        <w:t>, non seulement la Bosnie-Herzégovine n</w:t>
      </w:r>
      <w:r>
        <w:rPr>
          <w:lang w:val="fr-FR" w:eastAsia="en-GB"/>
        </w:rPr>
        <w:t>’</w:t>
      </w:r>
      <w:r w:rsidRPr="0062716A">
        <w:rPr>
          <w:lang w:val="fr-FR" w:eastAsia="en-GB"/>
        </w:rPr>
        <w:t>a offert aucun mécanisme eff</w:t>
      </w:r>
      <w:r>
        <w:rPr>
          <w:lang w:val="fr-FR" w:eastAsia="en-GB"/>
        </w:rPr>
        <w:t>icace</w:t>
      </w:r>
      <w:r w:rsidRPr="0062716A">
        <w:rPr>
          <w:lang w:val="fr-FR" w:eastAsia="en-GB"/>
        </w:rPr>
        <w:t xml:space="preserve"> pour </w:t>
      </w:r>
      <w:r>
        <w:rPr>
          <w:lang w:val="fr-FR" w:eastAsia="en-GB"/>
        </w:rPr>
        <w:t xml:space="preserve">garantir </w:t>
      </w:r>
      <w:r w:rsidRPr="0062716A">
        <w:rPr>
          <w:lang w:val="fr-FR" w:eastAsia="en-GB"/>
        </w:rPr>
        <w:t>l</w:t>
      </w:r>
      <w:r>
        <w:rPr>
          <w:lang w:val="fr-FR" w:eastAsia="en-GB"/>
        </w:rPr>
        <w:t>’</w:t>
      </w:r>
      <w:r w:rsidRPr="0062716A">
        <w:rPr>
          <w:lang w:val="fr-FR" w:eastAsia="en-GB"/>
        </w:rPr>
        <w:t xml:space="preserve">exécution de la décision </w:t>
      </w:r>
      <w:r>
        <w:rPr>
          <w:lang w:val="fr-FR" w:eastAsia="en-GB"/>
        </w:rPr>
        <w:t xml:space="preserve">rendue </w:t>
      </w:r>
      <w:r w:rsidRPr="0062716A">
        <w:rPr>
          <w:lang w:val="fr-FR" w:eastAsia="en-GB"/>
        </w:rPr>
        <w:t xml:space="preserve">en 2015 par la Cour de Bosnie-Herzégovine mais, à cause de </w:t>
      </w:r>
      <w:r>
        <w:rPr>
          <w:lang w:val="fr-FR" w:eastAsia="en-GB"/>
        </w:rPr>
        <w:t>s</w:t>
      </w:r>
      <w:r w:rsidRPr="0062716A">
        <w:rPr>
          <w:lang w:val="fr-FR" w:eastAsia="en-GB"/>
        </w:rPr>
        <w:t xml:space="preserve">a jurisprudence déficiente </w:t>
      </w:r>
      <w:r>
        <w:rPr>
          <w:lang w:val="fr-FR" w:eastAsia="en-GB"/>
        </w:rPr>
        <w:t xml:space="preserve">avalisée </w:t>
      </w:r>
      <w:r w:rsidRPr="0062716A">
        <w:rPr>
          <w:lang w:val="fr-FR" w:eastAsia="en-GB"/>
        </w:rPr>
        <w:t>par la Cour constitutionnelle</w:t>
      </w:r>
      <w:r>
        <w:rPr>
          <w:lang w:val="fr-FR" w:eastAsia="en-GB"/>
        </w:rPr>
        <w:t xml:space="preserve"> de Bosnie</w:t>
      </w:r>
      <w:r w:rsidR="00090E5E">
        <w:rPr>
          <w:lang w:val="fr-FR" w:eastAsia="en-GB"/>
        </w:rPr>
        <w:noBreakHyphen/>
      </w:r>
      <w:r>
        <w:rPr>
          <w:lang w:val="fr-FR" w:eastAsia="en-GB"/>
        </w:rPr>
        <w:t>Herzégovine</w:t>
      </w:r>
      <w:r w:rsidRPr="0062716A">
        <w:rPr>
          <w:lang w:val="fr-FR" w:eastAsia="en-GB"/>
        </w:rPr>
        <w:t xml:space="preserve">, </w:t>
      </w:r>
      <w:r>
        <w:rPr>
          <w:lang w:val="fr-FR" w:eastAsia="en-GB"/>
        </w:rPr>
        <w:t xml:space="preserve">aucune </w:t>
      </w:r>
      <w:r w:rsidRPr="0062716A">
        <w:rPr>
          <w:lang w:val="fr-FR" w:eastAsia="en-GB"/>
        </w:rPr>
        <w:t xml:space="preserve">responsabilité subsidiaire </w:t>
      </w:r>
      <w:r>
        <w:rPr>
          <w:lang w:val="fr-FR" w:eastAsia="en-GB"/>
        </w:rPr>
        <w:t xml:space="preserve">ne peut être engagée </w:t>
      </w:r>
      <w:r w:rsidRPr="0062716A">
        <w:rPr>
          <w:lang w:val="fr-FR" w:eastAsia="en-GB"/>
        </w:rPr>
        <w:t>et la victime se retrouve</w:t>
      </w:r>
      <w:r>
        <w:rPr>
          <w:lang w:val="fr-FR" w:eastAsia="en-GB"/>
        </w:rPr>
        <w:t xml:space="preserve"> ainsi</w:t>
      </w:r>
      <w:r w:rsidRPr="0062716A">
        <w:rPr>
          <w:lang w:val="fr-FR" w:eastAsia="en-GB"/>
        </w:rPr>
        <w:t xml:space="preserve"> privée de tout </w:t>
      </w:r>
      <w:r>
        <w:rPr>
          <w:lang w:val="fr-FR" w:eastAsia="en-GB"/>
        </w:rPr>
        <w:t>droit</w:t>
      </w:r>
      <w:r w:rsidRPr="0062716A">
        <w:rPr>
          <w:lang w:val="fr-FR" w:eastAsia="en-GB"/>
        </w:rPr>
        <w:t xml:space="preserve"> à réparation et </w:t>
      </w:r>
      <w:r>
        <w:rPr>
          <w:lang w:val="fr-FR" w:eastAsia="en-GB"/>
        </w:rPr>
        <w:t>indemnisation</w:t>
      </w:r>
      <w:r w:rsidRPr="0062716A">
        <w:rPr>
          <w:lang w:val="fr-FR" w:eastAsia="en-GB"/>
        </w:rPr>
        <w:t>.</w:t>
      </w:r>
    </w:p>
    <w:p w14:paraId="5215BB02" w14:textId="77777777" w:rsidR="00AF2FC6" w:rsidRPr="0062716A" w:rsidRDefault="00AF2FC6" w:rsidP="006F7894">
      <w:pPr>
        <w:pStyle w:val="SingleTxtG"/>
        <w:rPr>
          <w:lang w:val="fr-FR" w:eastAsia="en-GB"/>
        </w:rPr>
      </w:pPr>
      <w:r w:rsidRPr="0062716A">
        <w:rPr>
          <w:lang w:val="fr-FR" w:eastAsia="en-GB"/>
        </w:rPr>
        <w:t>2.18</w:t>
      </w:r>
      <w:r w:rsidRPr="0062716A">
        <w:rPr>
          <w:lang w:val="fr-FR" w:eastAsia="en-GB"/>
        </w:rPr>
        <w:tab/>
        <w:t xml:space="preserve">Le système juridique de la plupart des pays prévoit que les préjudices personnels </w:t>
      </w:r>
      <w:r>
        <w:rPr>
          <w:lang w:val="fr-FR" w:eastAsia="en-GB"/>
        </w:rPr>
        <w:t xml:space="preserve">causés par un fait illicite </w:t>
      </w:r>
      <w:r w:rsidRPr="0062716A">
        <w:rPr>
          <w:lang w:val="fr-FR" w:eastAsia="en-GB"/>
        </w:rPr>
        <w:t xml:space="preserve">donnent </w:t>
      </w:r>
      <w:r>
        <w:rPr>
          <w:lang w:val="fr-FR" w:eastAsia="en-GB"/>
        </w:rPr>
        <w:t xml:space="preserve">naissance </w:t>
      </w:r>
      <w:r w:rsidRPr="0062716A">
        <w:rPr>
          <w:lang w:val="fr-FR" w:eastAsia="en-GB"/>
        </w:rPr>
        <w:t xml:space="preserve">à une obligation de </w:t>
      </w:r>
      <w:r>
        <w:rPr>
          <w:lang w:val="fr-FR" w:eastAsia="en-GB"/>
        </w:rPr>
        <w:t>réparer</w:t>
      </w:r>
      <w:r w:rsidRPr="0062716A">
        <w:rPr>
          <w:lang w:val="fr-FR" w:eastAsia="en-GB"/>
        </w:rPr>
        <w:t>, en particulier au moyen d</w:t>
      </w:r>
      <w:r>
        <w:rPr>
          <w:lang w:val="fr-FR" w:eastAsia="en-GB"/>
        </w:rPr>
        <w:t>’</w:t>
      </w:r>
      <w:r w:rsidRPr="0062716A">
        <w:rPr>
          <w:lang w:val="fr-FR" w:eastAsia="en-GB"/>
        </w:rPr>
        <w:t>un</w:t>
      </w:r>
      <w:r>
        <w:rPr>
          <w:lang w:val="fr-FR" w:eastAsia="en-GB"/>
        </w:rPr>
        <w:t>e indemnisation</w:t>
      </w:r>
      <w:r w:rsidRPr="0062716A">
        <w:rPr>
          <w:lang w:val="fr-FR" w:eastAsia="en-GB"/>
        </w:rPr>
        <w:t xml:space="preserve">. Il a été observé que dans la majorité des pays, </w:t>
      </w:r>
      <w:r>
        <w:rPr>
          <w:lang w:val="fr-FR" w:eastAsia="en-GB"/>
        </w:rPr>
        <w:t xml:space="preserve">l’auteur du fait illicite </w:t>
      </w:r>
      <w:r w:rsidRPr="0062716A">
        <w:rPr>
          <w:lang w:val="fr-FR" w:eastAsia="en-GB"/>
        </w:rPr>
        <w:t>et l</w:t>
      </w:r>
      <w:r>
        <w:rPr>
          <w:lang w:val="fr-FR" w:eastAsia="en-GB"/>
        </w:rPr>
        <w:t>’</w:t>
      </w:r>
      <w:r w:rsidRPr="0062716A">
        <w:rPr>
          <w:lang w:val="fr-FR" w:eastAsia="en-GB"/>
        </w:rPr>
        <w:t xml:space="preserve">État </w:t>
      </w:r>
      <w:r>
        <w:rPr>
          <w:lang w:val="fr-FR" w:eastAsia="en-GB"/>
        </w:rPr>
        <w:t xml:space="preserve">sont </w:t>
      </w:r>
      <w:r w:rsidRPr="0062716A">
        <w:rPr>
          <w:lang w:val="fr-FR" w:eastAsia="en-GB"/>
        </w:rPr>
        <w:t xml:space="preserve">tous deux </w:t>
      </w:r>
      <w:r>
        <w:rPr>
          <w:lang w:val="fr-FR" w:eastAsia="en-GB"/>
        </w:rPr>
        <w:t>responsables</w:t>
      </w:r>
      <w:r w:rsidRPr="0062716A">
        <w:rPr>
          <w:lang w:val="fr-FR" w:eastAsia="en-GB"/>
        </w:rPr>
        <w:t>. Dans la plupart des pays, l</w:t>
      </w:r>
      <w:r>
        <w:rPr>
          <w:lang w:val="fr-FR" w:eastAsia="en-GB"/>
        </w:rPr>
        <w:t>’</w:t>
      </w:r>
      <w:r w:rsidRPr="0062716A">
        <w:rPr>
          <w:lang w:val="fr-FR" w:eastAsia="en-GB"/>
        </w:rPr>
        <w:t xml:space="preserve">État </w:t>
      </w:r>
      <w:r>
        <w:rPr>
          <w:lang w:val="fr-FR" w:eastAsia="en-GB"/>
        </w:rPr>
        <w:t xml:space="preserve">est responsable du fait illicite de </w:t>
      </w:r>
      <w:r w:rsidRPr="0062716A">
        <w:rPr>
          <w:lang w:val="fr-FR" w:eastAsia="en-GB"/>
        </w:rPr>
        <w:t>ses agents, soit directe</w:t>
      </w:r>
      <w:r>
        <w:rPr>
          <w:lang w:val="fr-FR" w:eastAsia="en-GB"/>
        </w:rPr>
        <w:t>ment soit en sa qualité d’employeur</w:t>
      </w:r>
      <w:r w:rsidRPr="007C3FFD">
        <w:rPr>
          <w:rStyle w:val="Appelnotedebasdep"/>
        </w:rPr>
        <w:footnoteReference w:id="18"/>
      </w:r>
      <w:r w:rsidRPr="0062716A">
        <w:rPr>
          <w:lang w:val="fr-FR" w:eastAsia="en-GB"/>
        </w:rPr>
        <w:t xml:space="preserve">. La législation de la Bosnie-Herzégovine </w:t>
      </w:r>
      <w:r>
        <w:rPr>
          <w:lang w:val="fr-FR" w:eastAsia="en-GB"/>
        </w:rPr>
        <w:t xml:space="preserve">souffre de carences </w:t>
      </w:r>
      <w:r w:rsidRPr="0062716A">
        <w:rPr>
          <w:lang w:val="fr-FR" w:eastAsia="en-GB"/>
        </w:rPr>
        <w:t xml:space="preserve">à cet égard et la jurisprudence existante ignore totalement la notion de responsabilité subsidiaire, privant </w:t>
      </w:r>
      <w:r>
        <w:rPr>
          <w:lang w:val="fr-FR" w:eastAsia="en-GB"/>
        </w:rPr>
        <w:t xml:space="preserve">par conséquent </w:t>
      </w:r>
      <w:r w:rsidRPr="0062716A">
        <w:rPr>
          <w:lang w:val="fr-FR" w:eastAsia="en-GB"/>
        </w:rPr>
        <w:t xml:space="preserve">les victimes </w:t>
      </w:r>
      <w:r>
        <w:rPr>
          <w:lang w:val="fr-FR" w:eastAsia="en-GB"/>
        </w:rPr>
        <w:t>− </w:t>
      </w:r>
      <w:r w:rsidRPr="0062716A">
        <w:rPr>
          <w:lang w:val="fr-FR" w:eastAsia="en-GB"/>
        </w:rPr>
        <w:t xml:space="preserve">dont </w:t>
      </w:r>
      <w:r>
        <w:rPr>
          <w:lang w:val="fr-FR" w:eastAsia="en-GB"/>
        </w:rPr>
        <w:t>A −</w:t>
      </w:r>
      <w:r w:rsidRPr="0062716A">
        <w:rPr>
          <w:lang w:val="fr-FR" w:eastAsia="en-GB"/>
        </w:rPr>
        <w:t xml:space="preserve"> de tout </w:t>
      </w:r>
      <w:r>
        <w:rPr>
          <w:lang w:val="fr-FR" w:eastAsia="en-GB"/>
        </w:rPr>
        <w:t>droit</w:t>
      </w:r>
      <w:r w:rsidRPr="0062716A">
        <w:rPr>
          <w:lang w:val="fr-FR" w:eastAsia="en-GB"/>
        </w:rPr>
        <w:t xml:space="preserve"> à </w:t>
      </w:r>
      <w:r>
        <w:rPr>
          <w:lang w:val="fr-FR" w:eastAsia="en-GB"/>
        </w:rPr>
        <w:t>indemnisation</w:t>
      </w:r>
      <w:r w:rsidRPr="0062716A">
        <w:rPr>
          <w:lang w:val="fr-FR" w:eastAsia="en-GB"/>
        </w:rPr>
        <w:t>.</w:t>
      </w:r>
    </w:p>
    <w:p w14:paraId="26B428E6" w14:textId="77777777" w:rsidR="00AF2FC6" w:rsidRPr="0062716A" w:rsidRDefault="00AF2FC6" w:rsidP="006F7894">
      <w:pPr>
        <w:pStyle w:val="H23G"/>
        <w:rPr>
          <w:bCs/>
          <w:lang w:val="fr-FR"/>
        </w:rPr>
      </w:pPr>
      <w:r w:rsidRPr="0062716A">
        <w:rPr>
          <w:lang w:val="fr-FR"/>
        </w:rPr>
        <w:tab/>
      </w:r>
      <w:r w:rsidRPr="0062716A">
        <w:rPr>
          <w:lang w:val="fr-FR"/>
        </w:rPr>
        <w:tab/>
        <w:t>Teneur de la plainte</w:t>
      </w:r>
    </w:p>
    <w:p w14:paraId="6891CBFB" w14:textId="77777777" w:rsidR="00AF2FC6" w:rsidRPr="0062716A" w:rsidRDefault="00AF2FC6" w:rsidP="006F7894">
      <w:pPr>
        <w:pStyle w:val="SingleTxtG"/>
        <w:rPr>
          <w:lang w:val="fr-FR" w:eastAsia="en-GB"/>
        </w:rPr>
      </w:pPr>
      <w:r w:rsidRPr="0062716A">
        <w:rPr>
          <w:lang w:val="fr-FR" w:eastAsia="en-GB"/>
        </w:rPr>
        <w:t>3.1</w:t>
      </w:r>
      <w:r w:rsidRPr="0062716A">
        <w:rPr>
          <w:lang w:val="fr-FR" w:eastAsia="en-GB"/>
        </w:rPr>
        <w:tab/>
        <w:t>La requérante affirme que les faits exposés font apparaître une violation</w:t>
      </w:r>
      <w:r>
        <w:rPr>
          <w:lang w:val="fr-FR" w:eastAsia="en-GB"/>
        </w:rPr>
        <w:t xml:space="preserve"> continue du paragraphe 1 </w:t>
      </w:r>
      <w:r w:rsidRPr="0062716A">
        <w:rPr>
          <w:lang w:val="fr-FR" w:eastAsia="en-GB"/>
        </w:rPr>
        <w:t>de l</w:t>
      </w:r>
      <w:r>
        <w:rPr>
          <w:lang w:val="fr-FR" w:eastAsia="en-GB"/>
        </w:rPr>
        <w:t>’</w:t>
      </w:r>
      <w:r w:rsidRPr="0062716A">
        <w:rPr>
          <w:lang w:val="fr-FR" w:eastAsia="en-GB"/>
        </w:rPr>
        <w:t>article</w:t>
      </w:r>
      <w:r>
        <w:rPr>
          <w:lang w:val="fr-FR" w:eastAsia="en-GB"/>
        </w:rPr>
        <w:t> </w:t>
      </w:r>
      <w:r w:rsidRPr="0062716A">
        <w:rPr>
          <w:lang w:val="fr-FR" w:eastAsia="en-GB"/>
        </w:rPr>
        <w:t xml:space="preserve">14, lu conjointement avec </w:t>
      </w:r>
      <w:r>
        <w:rPr>
          <w:lang w:val="fr-FR" w:eastAsia="en-GB"/>
        </w:rPr>
        <w:t xml:space="preserve">le paragraphe 1 de </w:t>
      </w:r>
      <w:r w:rsidRPr="0062716A">
        <w:rPr>
          <w:lang w:val="fr-FR" w:eastAsia="en-GB"/>
        </w:rPr>
        <w:t>l</w:t>
      </w:r>
      <w:r>
        <w:rPr>
          <w:lang w:val="fr-FR" w:eastAsia="en-GB"/>
        </w:rPr>
        <w:t>’article premier</w:t>
      </w:r>
      <w:r w:rsidRPr="0062716A">
        <w:rPr>
          <w:lang w:val="fr-FR" w:eastAsia="en-GB"/>
        </w:rPr>
        <w:t xml:space="preserve"> de la Convention</w:t>
      </w:r>
      <w:r>
        <w:rPr>
          <w:lang w:val="fr-FR" w:eastAsia="en-GB"/>
        </w:rPr>
        <w:t>,</w:t>
      </w:r>
      <w:r w:rsidRPr="0062716A">
        <w:rPr>
          <w:lang w:val="fr-FR" w:eastAsia="en-GB"/>
        </w:rPr>
        <w:t xml:space="preserve"> parce que l</w:t>
      </w:r>
      <w:r>
        <w:rPr>
          <w:lang w:val="fr-FR" w:eastAsia="en-GB"/>
        </w:rPr>
        <w:t>’</w:t>
      </w:r>
      <w:r w:rsidRPr="0062716A">
        <w:rPr>
          <w:lang w:val="fr-FR" w:eastAsia="en-GB"/>
        </w:rPr>
        <w:t>État partie ne lui a pas garanti dans son système juridique ou dans la pratique la possibilité d</w:t>
      </w:r>
      <w:r>
        <w:rPr>
          <w:lang w:val="fr-FR" w:eastAsia="en-GB"/>
        </w:rPr>
        <w:t>’</w:t>
      </w:r>
      <w:r w:rsidRPr="0062716A">
        <w:rPr>
          <w:lang w:val="fr-FR" w:eastAsia="en-GB"/>
        </w:rPr>
        <w:t xml:space="preserve">obtenir réparation et </w:t>
      </w:r>
      <w:r>
        <w:rPr>
          <w:lang w:val="fr-FR" w:eastAsia="en-GB"/>
        </w:rPr>
        <w:t>le droit</w:t>
      </w:r>
      <w:r w:rsidRPr="0062716A">
        <w:rPr>
          <w:lang w:val="fr-FR" w:eastAsia="en-GB"/>
        </w:rPr>
        <w:t xml:space="preserve"> </w:t>
      </w:r>
      <w:r>
        <w:rPr>
          <w:lang w:val="fr-FR" w:eastAsia="en-GB"/>
        </w:rPr>
        <w:t>d’</w:t>
      </w:r>
      <w:r w:rsidRPr="0062716A">
        <w:rPr>
          <w:lang w:val="fr-FR" w:eastAsia="en-GB"/>
        </w:rPr>
        <w:t xml:space="preserve">être indemnisée équitablement et de manière adéquate, y compris </w:t>
      </w:r>
      <w:r w:rsidRPr="0062716A">
        <w:rPr>
          <w:lang w:val="fr-FR"/>
        </w:rPr>
        <w:t>les moyens nécessaires à sa réadaptation la plus complète possible</w:t>
      </w:r>
      <w:r w:rsidRPr="0062716A">
        <w:rPr>
          <w:lang w:val="fr-FR" w:eastAsia="en-GB"/>
        </w:rPr>
        <w:t>.</w:t>
      </w:r>
    </w:p>
    <w:p w14:paraId="3C4B4083" w14:textId="77777777" w:rsidR="00AF2FC6" w:rsidRPr="0062716A" w:rsidRDefault="00AF2FC6" w:rsidP="006F7894">
      <w:pPr>
        <w:pStyle w:val="SingleTxtG"/>
        <w:rPr>
          <w:lang w:val="fr-FR" w:eastAsia="en-GB"/>
        </w:rPr>
      </w:pPr>
      <w:r w:rsidRPr="0062716A">
        <w:rPr>
          <w:lang w:val="fr-FR" w:eastAsia="en-GB"/>
        </w:rPr>
        <w:t>3.2</w:t>
      </w:r>
      <w:r w:rsidRPr="0062716A">
        <w:rPr>
          <w:lang w:val="fr-FR" w:eastAsia="en-GB"/>
        </w:rPr>
        <w:tab/>
        <w:t xml:space="preserve">En dépit du grave préjudice subi et des conséquences psychologiques et médicales dont elle continue de pâtir </w:t>
      </w:r>
      <w:r>
        <w:rPr>
          <w:lang w:val="fr-FR" w:eastAsia="en-GB"/>
        </w:rPr>
        <w:t>en raison</w:t>
      </w:r>
      <w:r w:rsidRPr="0062716A">
        <w:rPr>
          <w:lang w:val="fr-FR" w:eastAsia="en-GB"/>
        </w:rPr>
        <w:t xml:space="preserve"> des violences sexuelles et des mauvais traitements </w:t>
      </w:r>
      <w:r>
        <w:rPr>
          <w:lang w:val="fr-FR" w:eastAsia="en-GB"/>
        </w:rPr>
        <w:t>auxquels elle a été soumise</w:t>
      </w:r>
      <w:r w:rsidRPr="0062716A">
        <w:rPr>
          <w:lang w:val="fr-FR" w:eastAsia="en-GB"/>
        </w:rPr>
        <w:t>, la requérante n</w:t>
      </w:r>
      <w:r>
        <w:rPr>
          <w:lang w:val="fr-FR" w:eastAsia="en-GB"/>
        </w:rPr>
        <w:t>’</w:t>
      </w:r>
      <w:r w:rsidRPr="0062716A">
        <w:rPr>
          <w:lang w:val="fr-FR" w:eastAsia="en-GB"/>
        </w:rPr>
        <w:t xml:space="preserve">a obtenu ni réparation ni indemnisation. Elle </w:t>
      </w:r>
      <w:r>
        <w:rPr>
          <w:lang w:val="fr-FR" w:eastAsia="en-GB"/>
        </w:rPr>
        <w:t xml:space="preserve">demande </w:t>
      </w:r>
      <w:r w:rsidRPr="0062716A">
        <w:rPr>
          <w:lang w:val="fr-FR" w:eastAsia="en-GB"/>
        </w:rPr>
        <w:t xml:space="preserve">donc </w:t>
      </w:r>
      <w:r>
        <w:rPr>
          <w:lang w:val="fr-FR" w:eastAsia="en-GB"/>
        </w:rPr>
        <w:t xml:space="preserve">au </w:t>
      </w:r>
      <w:r w:rsidRPr="0062716A">
        <w:rPr>
          <w:lang w:val="fr-FR" w:eastAsia="en-GB"/>
        </w:rPr>
        <w:t>Comité, en application du paragraphe</w:t>
      </w:r>
      <w:r>
        <w:rPr>
          <w:lang w:val="fr-FR" w:eastAsia="en-GB"/>
        </w:rPr>
        <w:t> </w:t>
      </w:r>
      <w:r w:rsidRPr="0062716A">
        <w:rPr>
          <w:lang w:val="fr-FR" w:eastAsia="en-GB"/>
        </w:rPr>
        <w:t>5 de l</w:t>
      </w:r>
      <w:r>
        <w:rPr>
          <w:lang w:val="fr-FR" w:eastAsia="en-GB"/>
        </w:rPr>
        <w:t>’</w:t>
      </w:r>
      <w:r w:rsidRPr="0062716A">
        <w:rPr>
          <w:lang w:val="fr-FR" w:eastAsia="en-GB"/>
        </w:rPr>
        <w:t>article</w:t>
      </w:r>
      <w:r>
        <w:rPr>
          <w:lang w:val="fr-FR" w:eastAsia="en-GB"/>
        </w:rPr>
        <w:t> </w:t>
      </w:r>
      <w:r w:rsidRPr="0062716A">
        <w:rPr>
          <w:lang w:val="fr-FR" w:eastAsia="en-GB"/>
        </w:rPr>
        <w:t xml:space="preserve">118 de son règlement intérieur et conformément à sa pratique bien établie, </w:t>
      </w:r>
      <w:r>
        <w:rPr>
          <w:lang w:val="fr-FR" w:eastAsia="en-GB"/>
        </w:rPr>
        <w:t xml:space="preserve">de prier </w:t>
      </w:r>
      <w:r w:rsidRPr="0062716A">
        <w:rPr>
          <w:lang w:val="fr-FR" w:eastAsia="en-GB"/>
        </w:rPr>
        <w:t>instamment l</w:t>
      </w:r>
      <w:r>
        <w:rPr>
          <w:lang w:val="fr-FR" w:eastAsia="en-GB"/>
        </w:rPr>
        <w:t>’</w:t>
      </w:r>
      <w:r w:rsidRPr="0062716A">
        <w:rPr>
          <w:lang w:val="fr-FR" w:eastAsia="en-GB"/>
        </w:rPr>
        <w:t>État partie d</w:t>
      </w:r>
      <w:r>
        <w:rPr>
          <w:lang w:val="fr-FR" w:eastAsia="en-GB"/>
        </w:rPr>
        <w:t>’</w:t>
      </w:r>
      <w:r w:rsidRPr="0062716A">
        <w:rPr>
          <w:lang w:val="fr-FR" w:eastAsia="en-GB"/>
        </w:rPr>
        <w:t xml:space="preserve">adopter des mesures de réparation adéquates en sa faveur. </w:t>
      </w:r>
      <w:r>
        <w:rPr>
          <w:lang w:val="fr-FR" w:eastAsia="en-GB"/>
        </w:rPr>
        <w:t xml:space="preserve">En </w:t>
      </w:r>
      <w:r w:rsidRPr="0062716A">
        <w:rPr>
          <w:lang w:val="fr-FR" w:eastAsia="en-GB"/>
        </w:rPr>
        <w:t xml:space="preserve">fait, de telles mesures ne </w:t>
      </w:r>
      <w:r w:rsidRPr="0062716A">
        <w:rPr>
          <w:lang w:val="fr-FR" w:eastAsia="en-GB"/>
        </w:rPr>
        <w:lastRenderedPageBreak/>
        <w:t>sauraient se limiter à une indemnisation financière</w:t>
      </w:r>
      <w:r w:rsidRPr="007C3FFD">
        <w:rPr>
          <w:rStyle w:val="Appelnotedebasdep"/>
        </w:rPr>
        <w:footnoteReference w:id="19"/>
      </w:r>
      <w:r w:rsidRPr="0062716A">
        <w:rPr>
          <w:lang w:val="fr-FR" w:eastAsia="en-GB"/>
        </w:rPr>
        <w:t xml:space="preserve"> mais doivent également</w:t>
      </w:r>
      <w:r>
        <w:rPr>
          <w:lang w:val="fr-FR" w:eastAsia="en-GB"/>
        </w:rPr>
        <w:t xml:space="preserve"> comprendre</w:t>
      </w:r>
      <w:r w:rsidRPr="0062716A">
        <w:rPr>
          <w:lang w:val="fr-FR" w:eastAsia="en-GB"/>
        </w:rPr>
        <w:t xml:space="preserve"> la réadaptation</w:t>
      </w:r>
      <w:r w:rsidRPr="007C3FFD">
        <w:rPr>
          <w:rStyle w:val="Appelnotedebasdep"/>
        </w:rPr>
        <w:footnoteReference w:id="20"/>
      </w:r>
      <w:r w:rsidRPr="0062716A">
        <w:rPr>
          <w:lang w:val="fr-FR" w:eastAsia="en-GB"/>
        </w:rPr>
        <w:t>, la satisfaction</w:t>
      </w:r>
      <w:r w:rsidRPr="007C3FFD">
        <w:rPr>
          <w:rStyle w:val="Appelnotedebasdep"/>
        </w:rPr>
        <w:footnoteReference w:id="21"/>
      </w:r>
      <w:r w:rsidRPr="0062716A">
        <w:rPr>
          <w:lang w:val="fr-FR" w:eastAsia="en-GB"/>
        </w:rPr>
        <w:t xml:space="preserve"> et des garanties de non-répétition</w:t>
      </w:r>
      <w:r w:rsidRPr="007C3FFD">
        <w:rPr>
          <w:rStyle w:val="Appelnotedebasdep"/>
        </w:rPr>
        <w:footnoteReference w:id="22"/>
      </w:r>
      <w:r w:rsidRPr="0062716A">
        <w:rPr>
          <w:lang w:val="fr-FR" w:eastAsia="en-GB"/>
        </w:rPr>
        <w:t>.</w:t>
      </w:r>
    </w:p>
    <w:p w14:paraId="2DF6C3BF" w14:textId="77777777" w:rsidR="00AF2FC6" w:rsidRPr="0062716A" w:rsidRDefault="00AF2FC6" w:rsidP="006F7894">
      <w:pPr>
        <w:pStyle w:val="SingleTxtG"/>
        <w:rPr>
          <w:lang w:val="fr-FR"/>
        </w:rPr>
      </w:pPr>
      <w:r w:rsidRPr="0062716A">
        <w:rPr>
          <w:lang w:val="fr-FR" w:eastAsia="en-GB"/>
        </w:rPr>
        <w:t>3.3</w:t>
      </w:r>
      <w:r w:rsidRPr="0062716A">
        <w:rPr>
          <w:lang w:val="fr-FR" w:eastAsia="en-GB"/>
        </w:rPr>
        <w:tab/>
        <w:t xml:space="preserve">La requérante rappelle les constatations </w:t>
      </w:r>
      <w:r>
        <w:rPr>
          <w:lang w:val="fr-FR" w:eastAsia="en-GB"/>
        </w:rPr>
        <w:t xml:space="preserve">adoptées par le </w:t>
      </w:r>
      <w:r w:rsidRPr="0062716A">
        <w:rPr>
          <w:lang w:val="fr-FR" w:eastAsia="en-GB"/>
        </w:rPr>
        <w:t xml:space="preserve">Comité </w:t>
      </w:r>
      <w:r>
        <w:rPr>
          <w:lang w:val="fr-FR" w:eastAsia="en-GB"/>
        </w:rPr>
        <w:t xml:space="preserve">selon lesquelles </w:t>
      </w:r>
      <w:r w:rsidRPr="0062716A">
        <w:rPr>
          <w:lang w:val="fr-FR" w:eastAsia="en-GB"/>
        </w:rPr>
        <w:t>la réparation d</w:t>
      </w:r>
      <w:r>
        <w:rPr>
          <w:lang w:val="fr-FR" w:eastAsia="en-GB"/>
        </w:rPr>
        <w:t>o</w:t>
      </w:r>
      <w:r w:rsidRPr="0062716A">
        <w:rPr>
          <w:lang w:val="fr-FR" w:eastAsia="en-GB"/>
        </w:rPr>
        <w:t xml:space="preserve">it couvrir </w:t>
      </w:r>
      <w:r w:rsidRPr="0062716A">
        <w:rPr>
          <w:lang w:val="fr-FR" w:eastAsia="fr-FR"/>
        </w:rPr>
        <w:t>l</w:t>
      </w:r>
      <w:r>
        <w:rPr>
          <w:lang w:val="fr-FR" w:eastAsia="fr-FR"/>
        </w:rPr>
        <w:t>’</w:t>
      </w:r>
      <w:r w:rsidRPr="0062716A">
        <w:rPr>
          <w:lang w:val="fr-FR" w:eastAsia="fr-FR"/>
        </w:rPr>
        <w:t>ensemble de</w:t>
      </w:r>
      <w:r>
        <w:rPr>
          <w:lang w:val="fr-FR" w:eastAsia="fr-FR"/>
        </w:rPr>
        <w:t>s dommages subis par la victime</w:t>
      </w:r>
      <w:r w:rsidRPr="0062716A">
        <w:rPr>
          <w:lang w:val="fr-FR" w:eastAsia="fr-FR"/>
        </w:rPr>
        <w:t xml:space="preserve"> et englob</w:t>
      </w:r>
      <w:r>
        <w:rPr>
          <w:lang w:val="fr-FR" w:eastAsia="fr-FR"/>
        </w:rPr>
        <w:t>er</w:t>
      </w:r>
      <w:r w:rsidRPr="0062716A">
        <w:rPr>
          <w:lang w:val="fr-FR" w:eastAsia="fr-FR"/>
        </w:rPr>
        <w:t>, entre autres mesures, la restitution, l</w:t>
      </w:r>
      <w:r>
        <w:rPr>
          <w:lang w:val="fr-FR" w:eastAsia="fr-FR"/>
        </w:rPr>
        <w:t>’</w:t>
      </w:r>
      <w:r w:rsidRPr="0062716A">
        <w:rPr>
          <w:lang w:val="fr-FR" w:eastAsia="fr-FR"/>
        </w:rPr>
        <w:t xml:space="preserve">indemnisation et </w:t>
      </w:r>
      <w:r>
        <w:rPr>
          <w:lang w:val="fr-FR" w:eastAsia="fr-FR"/>
        </w:rPr>
        <w:t>des garanties de non-répétition</w:t>
      </w:r>
      <w:r w:rsidRPr="0062716A">
        <w:rPr>
          <w:lang w:val="fr-FR" w:eastAsia="fr-FR"/>
        </w:rPr>
        <w:t xml:space="preserve">, compte </w:t>
      </w:r>
      <w:r>
        <w:rPr>
          <w:lang w:val="fr-FR" w:eastAsia="fr-FR"/>
        </w:rPr>
        <w:t xml:space="preserve">tenu </w:t>
      </w:r>
      <w:r w:rsidRPr="0062716A">
        <w:rPr>
          <w:lang w:val="fr-FR" w:eastAsia="fr-FR"/>
        </w:rPr>
        <w:t xml:space="preserve">des circonstances de chaque affaire. </w:t>
      </w:r>
      <w:r>
        <w:rPr>
          <w:lang w:val="fr-FR" w:eastAsia="fr-FR"/>
        </w:rPr>
        <w:t>L</w:t>
      </w:r>
      <w:r w:rsidRPr="0062716A">
        <w:rPr>
          <w:lang w:val="fr-FR" w:eastAsia="en-GB"/>
        </w:rPr>
        <w:t xml:space="preserve">e Comité a souligné </w:t>
      </w:r>
      <w:r>
        <w:rPr>
          <w:lang w:val="fr-FR" w:eastAsia="en-GB"/>
        </w:rPr>
        <w:t>en particulier que </w:t>
      </w:r>
      <w:r w:rsidRPr="0062716A">
        <w:rPr>
          <w:lang w:val="fr-FR" w:eastAsia="en-GB"/>
        </w:rPr>
        <w:t>« </w:t>
      </w:r>
      <w:r>
        <w:rPr>
          <w:lang w:val="fr-FR" w:eastAsia="en-GB"/>
        </w:rPr>
        <w:t>[l]</w:t>
      </w:r>
      <w:r w:rsidRPr="0062716A">
        <w:rPr>
          <w:lang w:val="fr-FR"/>
        </w:rPr>
        <w:t>a notion générale de réparation comport</w:t>
      </w:r>
      <w:r>
        <w:rPr>
          <w:lang w:val="fr-FR"/>
        </w:rPr>
        <w:t>[ait]</w:t>
      </w:r>
      <w:r w:rsidRPr="0062716A">
        <w:rPr>
          <w:lang w:val="fr-FR"/>
        </w:rPr>
        <w:t xml:space="preserve"> donc la restitution, l</w:t>
      </w:r>
      <w:r>
        <w:rPr>
          <w:lang w:val="fr-FR"/>
        </w:rPr>
        <w:t>’</w:t>
      </w:r>
      <w:r w:rsidRPr="0062716A">
        <w:rPr>
          <w:lang w:val="fr-FR"/>
        </w:rPr>
        <w:t>indemnisation, la réadaptation, la satisfaction et les garanties de non-répétition</w:t>
      </w:r>
      <w:r>
        <w:rPr>
          <w:lang w:val="fr-FR"/>
        </w:rPr>
        <w:t xml:space="preserve"> » ; </w:t>
      </w:r>
      <w:r>
        <w:rPr>
          <w:lang w:val="fr-FR" w:eastAsia="en-GB"/>
        </w:rPr>
        <w:t>que « </w:t>
      </w:r>
      <w:r>
        <w:rPr>
          <w:lang w:val="fr-FR"/>
        </w:rPr>
        <w:t>[l]</w:t>
      </w:r>
      <w:r w:rsidRPr="0062716A">
        <w:rPr>
          <w:lang w:val="fr-FR"/>
        </w:rPr>
        <w:t xml:space="preserve">a réparation </w:t>
      </w:r>
      <w:r>
        <w:rPr>
          <w:lang w:val="fr-FR"/>
        </w:rPr>
        <w:t>[devait]</w:t>
      </w:r>
      <w:r w:rsidRPr="0062716A">
        <w:rPr>
          <w:lang w:val="fr-FR"/>
        </w:rPr>
        <w:t xml:space="preserve"> être suffisante, effective et complète</w:t>
      </w:r>
      <w:r>
        <w:rPr>
          <w:lang w:val="fr-FR"/>
        </w:rPr>
        <w:t xml:space="preserve"> » ; et que </w:t>
      </w:r>
      <w:r>
        <w:rPr>
          <w:lang w:val="fr-FR" w:eastAsia="en-GB"/>
        </w:rPr>
        <w:t>« </w:t>
      </w:r>
      <w:r w:rsidRPr="0062716A">
        <w:rPr>
          <w:lang w:val="fr-FR" w:eastAsia="en-GB"/>
        </w:rPr>
        <w:t>l</w:t>
      </w:r>
      <w:r>
        <w:rPr>
          <w:lang w:val="fr-FR"/>
        </w:rPr>
        <w:t>’</w:t>
      </w:r>
      <w:r w:rsidRPr="0062716A">
        <w:rPr>
          <w:lang w:val="fr-FR"/>
        </w:rPr>
        <w:t>indemnisation financière seule n</w:t>
      </w:r>
      <w:r>
        <w:rPr>
          <w:lang w:val="fr-FR"/>
        </w:rPr>
        <w:t>’[était]</w:t>
      </w:r>
      <w:r w:rsidRPr="0062716A">
        <w:rPr>
          <w:lang w:val="fr-FR"/>
        </w:rPr>
        <w:t xml:space="preserve"> pas une réparation suffisante pour la victime de torture ou de mauvais traitements »</w:t>
      </w:r>
      <w:r w:rsidRPr="007C3FFD">
        <w:rPr>
          <w:rStyle w:val="Appelnotedebasdep"/>
        </w:rPr>
        <w:footnoteReference w:id="23"/>
      </w:r>
      <w:r w:rsidRPr="0062716A">
        <w:rPr>
          <w:lang w:val="fr-FR"/>
        </w:rPr>
        <w:t>. En ce qui concerne les moyens de réadaptation, le Comité a indiqué qu</w:t>
      </w:r>
      <w:r>
        <w:rPr>
          <w:lang w:val="fr-FR"/>
        </w:rPr>
        <w:t>’</w:t>
      </w:r>
      <w:r w:rsidRPr="0062716A">
        <w:rPr>
          <w:lang w:val="fr-FR"/>
        </w:rPr>
        <w:t>ils devraient être globaux et comporter une prise en charge médicale et psychologique ainsi que l</w:t>
      </w:r>
      <w:r>
        <w:rPr>
          <w:lang w:val="fr-FR"/>
        </w:rPr>
        <w:t>’</w:t>
      </w:r>
      <w:r w:rsidRPr="0062716A">
        <w:rPr>
          <w:lang w:val="fr-FR"/>
        </w:rPr>
        <w:t>accès à des services juridiques et sociaux</w:t>
      </w:r>
      <w:r w:rsidRPr="007C3FFD">
        <w:rPr>
          <w:rStyle w:val="Appelnotedebasdep"/>
        </w:rPr>
        <w:footnoteReference w:id="24"/>
      </w:r>
      <w:r w:rsidRPr="0062716A">
        <w:rPr>
          <w:lang w:val="fr-FR"/>
        </w:rPr>
        <w:t>,</w:t>
      </w:r>
      <w:r w:rsidRPr="0062716A">
        <w:rPr>
          <w:lang w:val="fr-FR" w:eastAsia="en-GB"/>
        </w:rPr>
        <w:t xml:space="preserve"> </w:t>
      </w:r>
      <w:r>
        <w:rPr>
          <w:lang w:val="fr-FR" w:eastAsia="en-GB"/>
        </w:rPr>
        <w:t xml:space="preserve">et </w:t>
      </w:r>
      <w:r w:rsidRPr="0062716A">
        <w:rPr>
          <w:lang w:val="fr-FR" w:eastAsia="en-GB"/>
        </w:rPr>
        <w:t xml:space="preserve">que la satisfaction devrait comporter </w:t>
      </w:r>
      <w:r>
        <w:rPr>
          <w:lang w:val="fr-FR" w:eastAsia="en-GB"/>
        </w:rPr>
        <w:t xml:space="preserve">une </w:t>
      </w:r>
      <w:r w:rsidRPr="0062716A">
        <w:rPr>
          <w:lang w:val="fr-FR"/>
        </w:rPr>
        <w:t>déclaration officielle ou décision de justice rétablissant la victime et les personnes qui ont un lien étroit avec elle dans leur dignité, leur réputation et leurs droits</w:t>
      </w:r>
      <w:r>
        <w:rPr>
          <w:lang w:val="fr-FR"/>
        </w:rPr>
        <w:t> </w:t>
      </w:r>
      <w:r w:rsidRPr="0062716A">
        <w:rPr>
          <w:lang w:val="fr-FR"/>
        </w:rPr>
        <w:t xml:space="preserve">; </w:t>
      </w:r>
      <w:r>
        <w:rPr>
          <w:lang w:val="fr-FR"/>
        </w:rPr>
        <w:t xml:space="preserve">des </w:t>
      </w:r>
      <w:r w:rsidRPr="0062716A">
        <w:rPr>
          <w:lang w:val="fr-FR"/>
        </w:rPr>
        <w:t>sanctions judiciaires et administratives à l</w:t>
      </w:r>
      <w:r>
        <w:rPr>
          <w:lang w:val="fr-FR"/>
        </w:rPr>
        <w:t>’</w:t>
      </w:r>
      <w:r w:rsidRPr="0062716A">
        <w:rPr>
          <w:lang w:val="fr-FR"/>
        </w:rPr>
        <w:t>encontre des responsables des violations</w:t>
      </w:r>
      <w:r>
        <w:rPr>
          <w:lang w:val="fr-FR"/>
        </w:rPr>
        <w:t> </w:t>
      </w:r>
      <w:r w:rsidRPr="0062716A">
        <w:rPr>
          <w:lang w:val="fr-FR"/>
        </w:rPr>
        <w:t xml:space="preserve">; </w:t>
      </w:r>
      <w:r>
        <w:rPr>
          <w:lang w:val="fr-FR"/>
        </w:rPr>
        <w:t xml:space="preserve">des </w:t>
      </w:r>
      <w:r w:rsidRPr="0062716A">
        <w:rPr>
          <w:lang w:val="fr-FR"/>
        </w:rPr>
        <w:t xml:space="preserve">excuses publiques, y compris </w:t>
      </w:r>
      <w:r>
        <w:rPr>
          <w:lang w:val="fr-FR"/>
        </w:rPr>
        <w:t xml:space="preserve">la </w:t>
      </w:r>
      <w:r w:rsidRPr="0062716A">
        <w:rPr>
          <w:lang w:val="fr-FR"/>
        </w:rPr>
        <w:t xml:space="preserve">reconnaissance des faits et </w:t>
      </w:r>
      <w:r>
        <w:rPr>
          <w:lang w:val="fr-FR"/>
        </w:rPr>
        <w:t>l’</w:t>
      </w:r>
      <w:r w:rsidRPr="0062716A">
        <w:rPr>
          <w:lang w:val="fr-FR"/>
        </w:rPr>
        <w:t>acceptation de la responsabilité</w:t>
      </w:r>
      <w:r>
        <w:rPr>
          <w:lang w:val="fr-FR"/>
        </w:rPr>
        <w:t> </w:t>
      </w:r>
      <w:r w:rsidRPr="0062716A">
        <w:rPr>
          <w:lang w:val="fr-FR"/>
        </w:rPr>
        <w:t xml:space="preserve">; </w:t>
      </w:r>
      <w:r>
        <w:rPr>
          <w:lang w:val="fr-FR"/>
        </w:rPr>
        <w:t xml:space="preserve">et des </w:t>
      </w:r>
      <w:r w:rsidRPr="0062716A">
        <w:rPr>
          <w:lang w:val="fr-FR"/>
        </w:rPr>
        <w:t>commémorations et hommages aux victimes</w:t>
      </w:r>
      <w:r w:rsidRPr="007C3FFD">
        <w:rPr>
          <w:rStyle w:val="Appelnotedebasdep"/>
        </w:rPr>
        <w:footnoteReference w:id="25"/>
      </w:r>
      <w:r w:rsidRPr="0062716A">
        <w:rPr>
          <w:lang w:val="fr-FR" w:eastAsia="en-GB"/>
        </w:rPr>
        <w:t>.</w:t>
      </w:r>
      <w:r w:rsidRPr="0062716A">
        <w:rPr>
          <w:lang w:val="fr-FR"/>
        </w:rPr>
        <w:t xml:space="preserve"> Enfin, s</w:t>
      </w:r>
      <w:r>
        <w:rPr>
          <w:lang w:val="fr-FR"/>
        </w:rPr>
        <w:t>’</w:t>
      </w:r>
      <w:r w:rsidRPr="0062716A">
        <w:rPr>
          <w:lang w:val="fr-FR"/>
        </w:rPr>
        <w:t>agissant des garanties de non</w:t>
      </w:r>
      <w:r>
        <w:rPr>
          <w:lang w:val="fr-FR"/>
        </w:rPr>
        <w:noBreakHyphen/>
      </w:r>
      <w:r w:rsidRPr="0062716A">
        <w:rPr>
          <w:lang w:val="fr-FR"/>
        </w:rPr>
        <w:t>répétition, le Comité a déclaré que les États parties devraient prendre des mesures pour lutter contre l</w:t>
      </w:r>
      <w:r>
        <w:rPr>
          <w:lang w:val="fr-FR"/>
        </w:rPr>
        <w:t>’</w:t>
      </w:r>
      <w:r w:rsidRPr="0062716A">
        <w:rPr>
          <w:lang w:val="fr-FR"/>
        </w:rPr>
        <w:t xml:space="preserve">impunité </w:t>
      </w:r>
      <w:r>
        <w:rPr>
          <w:lang w:val="fr-FR"/>
        </w:rPr>
        <w:t>des auteurs de</w:t>
      </w:r>
      <w:r w:rsidRPr="0062716A">
        <w:rPr>
          <w:lang w:val="fr-FR"/>
        </w:rPr>
        <w:t xml:space="preserve"> violations de la Convention, notamment veiller à ce que toutes les procédures soient conformes aux normes internationales relatives à la régularité de la procéd</w:t>
      </w:r>
      <w:r>
        <w:rPr>
          <w:lang w:val="fr-FR"/>
        </w:rPr>
        <w:t>ure, l’équité et l’impartialité ;</w:t>
      </w:r>
      <w:r w:rsidRPr="0062716A">
        <w:rPr>
          <w:lang w:val="fr-FR"/>
        </w:rPr>
        <w:t xml:space="preserve"> dispenser aux membres des forces de l</w:t>
      </w:r>
      <w:r>
        <w:rPr>
          <w:lang w:val="fr-FR"/>
        </w:rPr>
        <w:t>’</w:t>
      </w:r>
      <w:r w:rsidRPr="0062716A">
        <w:rPr>
          <w:lang w:val="fr-FR"/>
        </w:rPr>
        <w:t>ordre ainsi que des forces armées et des forces de sécurité un enseignement sur les droits de l</w:t>
      </w:r>
      <w:r>
        <w:rPr>
          <w:lang w:val="fr-FR"/>
        </w:rPr>
        <w:t>’</w:t>
      </w:r>
      <w:r w:rsidRPr="0062716A">
        <w:rPr>
          <w:lang w:val="fr-FR"/>
        </w:rPr>
        <w:t>homme</w:t>
      </w:r>
      <w:r>
        <w:rPr>
          <w:lang w:val="fr-FR"/>
        </w:rPr>
        <w:t> ;</w:t>
      </w:r>
      <w:r w:rsidRPr="0062716A">
        <w:rPr>
          <w:lang w:val="fr-FR"/>
        </w:rPr>
        <w:t xml:space="preserve"> et dispenser une formation spécifique sur le </w:t>
      </w:r>
      <w:r w:rsidRPr="0062716A">
        <w:rPr>
          <w:bCs/>
          <w:lang w:val="fr-FR" w:eastAsia="fr-FR"/>
        </w:rPr>
        <w:t>Manuel pour enquêter efficacement sur la torture et autres peines ou traitements cruels, inhumains ou dégradants</w:t>
      </w:r>
      <w:r w:rsidRPr="0062716A">
        <w:rPr>
          <w:lang w:val="fr-FR"/>
        </w:rPr>
        <w:t xml:space="preserve"> (Protocole d</w:t>
      </w:r>
      <w:r>
        <w:rPr>
          <w:lang w:val="fr-FR"/>
        </w:rPr>
        <w:t>’</w:t>
      </w:r>
      <w:r w:rsidRPr="0062716A">
        <w:rPr>
          <w:lang w:val="fr-FR"/>
        </w:rPr>
        <w:t>Istanbul)</w:t>
      </w:r>
      <w:r>
        <w:rPr>
          <w:lang w:val="fr-FR"/>
        </w:rPr>
        <w:t xml:space="preserve"> </w:t>
      </w:r>
      <w:r w:rsidRPr="0062716A">
        <w:rPr>
          <w:lang w:val="fr-FR"/>
        </w:rPr>
        <w:t>aux professionnels de la santé et du droit et aux membres des forces de l</w:t>
      </w:r>
      <w:r>
        <w:rPr>
          <w:lang w:val="fr-FR"/>
        </w:rPr>
        <w:t>’</w:t>
      </w:r>
      <w:r w:rsidRPr="0062716A">
        <w:rPr>
          <w:lang w:val="fr-FR"/>
        </w:rPr>
        <w:t>ordre</w:t>
      </w:r>
      <w:r w:rsidRPr="007C3FFD">
        <w:rPr>
          <w:rStyle w:val="Appelnotedebasdep"/>
        </w:rPr>
        <w:footnoteReference w:id="26"/>
      </w:r>
      <w:r w:rsidRPr="0062716A">
        <w:rPr>
          <w:lang w:val="fr-FR"/>
        </w:rPr>
        <w:t>.</w:t>
      </w:r>
    </w:p>
    <w:p w14:paraId="6EC04E46" w14:textId="77777777" w:rsidR="00AF2FC6" w:rsidRPr="0062716A" w:rsidRDefault="00AF2FC6" w:rsidP="006F7894">
      <w:pPr>
        <w:pStyle w:val="SingleTxtG"/>
        <w:rPr>
          <w:lang w:val="fr-FR"/>
        </w:rPr>
      </w:pPr>
      <w:r w:rsidRPr="0062716A">
        <w:rPr>
          <w:lang w:val="fr-FR"/>
        </w:rPr>
        <w:t>3.4</w:t>
      </w:r>
      <w:r w:rsidRPr="0062716A">
        <w:rPr>
          <w:lang w:val="fr-FR"/>
        </w:rPr>
        <w:tab/>
        <w:t>La requérante demande au Comité d</w:t>
      </w:r>
      <w:r>
        <w:rPr>
          <w:lang w:val="fr-FR"/>
        </w:rPr>
        <w:t>e prier instamment</w:t>
      </w:r>
      <w:r w:rsidRPr="0062716A">
        <w:rPr>
          <w:lang w:val="fr-FR"/>
        </w:rPr>
        <w:t xml:space="preserve"> l</w:t>
      </w:r>
      <w:r>
        <w:rPr>
          <w:lang w:val="fr-FR"/>
        </w:rPr>
        <w:t>’</w:t>
      </w:r>
      <w:r w:rsidRPr="0062716A">
        <w:rPr>
          <w:lang w:val="fr-FR"/>
        </w:rPr>
        <w:t xml:space="preserve">État partie </w:t>
      </w:r>
      <w:r>
        <w:rPr>
          <w:lang w:val="fr-FR"/>
        </w:rPr>
        <w:t xml:space="preserve">de </w:t>
      </w:r>
      <w:r w:rsidRPr="0062716A">
        <w:rPr>
          <w:lang w:val="fr-FR"/>
        </w:rPr>
        <w:t>faire en sorte qu</w:t>
      </w:r>
      <w:r>
        <w:rPr>
          <w:lang w:val="fr-FR"/>
        </w:rPr>
        <w:t>’</w:t>
      </w:r>
      <w:r w:rsidRPr="0062716A">
        <w:rPr>
          <w:lang w:val="fr-FR"/>
        </w:rPr>
        <w:t>elle obtienne une réparation adéquate pour le</w:t>
      </w:r>
      <w:r>
        <w:rPr>
          <w:lang w:val="fr-FR"/>
        </w:rPr>
        <w:t>s</w:t>
      </w:r>
      <w:r w:rsidRPr="0062716A">
        <w:rPr>
          <w:lang w:val="fr-FR"/>
        </w:rPr>
        <w:t xml:space="preserve"> préjudice</w:t>
      </w:r>
      <w:r>
        <w:rPr>
          <w:lang w:val="fr-FR"/>
        </w:rPr>
        <w:t>s</w:t>
      </w:r>
      <w:r w:rsidRPr="0062716A">
        <w:rPr>
          <w:lang w:val="fr-FR"/>
        </w:rPr>
        <w:t xml:space="preserve"> qu</w:t>
      </w:r>
      <w:r>
        <w:rPr>
          <w:lang w:val="fr-FR"/>
        </w:rPr>
        <w:t>’</w:t>
      </w:r>
      <w:r w:rsidRPr="0062716A">
        <w:rPr>
          <w:lang w:val="fr-FR"/>
        </w:rPr>
        <w:t>elle a subi</w:t>
      </w:r>
      <w:r>
        <w:rPr>
          <w:lang w:val="fr-FR"/>
        </w:rPr>
        <w:t>s</w:t>
      </w:r>
      <w:r w:rsidRPr="0062716A">
        <w:rPr>
          <w:lang w:val="fr-FR"/>
        </w:rPr>
        <w:t>. Cela comprend le</w:t>
      </w:r>
      <w:r>
        <w:rPr>
          <w:lang w:val="fr-FR"/>
        </w:rPr>
        <w:t xml:space="preserve">s préjudices matériel et moral </w:t>
      </w:r>
      <w:r w:rsidRPr="0062716A">
        <w:rPr>
          <w:lang w:val="fr-FR"/>
        </w:rPr>
        <w:t xml:space="preserve">et englobe des mesures visant à assurer la restitution, la réadaptation, la satisfaction (y compris </w:t>
      </w:r>
      <w:r>
        <w:rPr>
          <w:lang w:val="fr-FR"/>
        </w:rPr>
        <w:t xml:space="preserve">le rétablissement dans </w:t>
      </w:r>
      <w:r w:rsidRPr="0062716A">
        <w:rPr>
          <w:lang w:val="fr-FR"/>
        </w:rPr>
        <w:t>la dignité et la réputation</w:t>
      </w:r>
      <w:r>
        <w:rPr>
          <w:lang w:val="fr-FR"/>
        </w:rPr>
        <w:t>)</w:t>
      </w:r>
      <w:r w:rsidRPr="0062716A">
        <w:rPr>
          <w:lang w:val="fr-FR"/>
        </w:rPr>
        <w:t xml:space="preserve"> et des garanties de non-répétition. En particulier, l</w:t>
      </w:r>
      <w:r>
        <w:rPr>
          <w:lang w:val="fr-FR"/>
        </w:rPr>
        <w:t>’</w:t>
      </w:r>
      <w:r w:rsidRPr="0062716A">
        <w:rPr>
          <w:lang w:val="fr-FR"/>
        </w:rPr>
        <w:t>État partie devrait être prié : a)</w:t>
      </w:r>
      <w:r>
        <w:rPr>
          <w:lang w:val="fr-FR"/>
        </w:rPr>
        <w:t> </w:t>
      </w:r>
      <w:r w:rsidRPr="0062716A">
        <w:rPr>
          <w:lang w:val="fr-FR"/>
        </w:rPr>
        <w:t xml:space="preserve">de lui assurer une </w:t>
      </w:r>
      <w:r>
        <w:rPr>
          <w:lang w:val="fr-FR"/>
        </w:rPr>
        <w:t xml:space="preserve">indemnisation rapide, </w:t>
      </w:r>
      <w:r w:rsidRPr="0062716A">
        <w:rPr>
          <w:lang w:val="fr-FR"/>
        </w:rPr>
        <w:t>équitable et adéquate</w:t>
      </w:r>
      <w:r>
        <w:rPr>
          <w:lang w:val="fr-FR"/>
        </w:rPr>
        <w:t>,</w:t>
      </w:r>
      <w:r w:rsidRPr="0062716A">
        <w:rPr>
          <w:lang w:val="fr-FR"/>
        </w:rPr>
        <w:t xml:space="preserve"> proportionnée à la gravité des violations dont elle a fait l</w:t>
      </w:r>
      <w:r>
        <w:rPr>
          <w:lang w:val="fr-FR"/>
        </w:rPr>
        <w:t>’</w:t>
      </w:r>
      <w:r w:rsidRPr="0062716A">
        <w:rPr>
          <w:lang w:val="fr-FR"/>
        </w:rPr>
        <w:t>objet; b)</w:t>
      </w:r>
      <w:r>
        <w:rPr>
          <w:lang w:val="fr-FR"/>
        </w:rPr>
        <w:t> </w:t>
      </w:r>
      <w:r w:rsidRPr="0062716A">
        <w:rPr>
          <w:lang w:val="fr-FR"/>
        </w:rPr>
        <w:t>de lui dispenser immédiatement et gratuitement des soins médicaux et psychologiques ; c)</w:t>
      </w:r>
      <w:r>
        <w:rPr>
          <w:lang w:val="fr-FR"/>
        </w:rPr>
        <w:t> </w:t>
      </w:r>
      <w:r w:rsidRPr="0062716A">
        <w:rPr>
          <w:lang w:val="fr-FR"/>
        </w:rPr>
        <w:t xml:space="preserve">de </w:t>
      </w:r>
      <w:r>
        <w:rPr>
          <w:lang w:val="fr-FR"/>
        </w:rPr>
        <w:t xml:space="preserve">lui </w:t>
      </w:r>
      <w:r w:rsidRPr="0062716A">
        <w:rPr>
          <w:lang w:val="fr-FR"/>
        </w:rPr>
        <w:t>présenter</w:t>
      </w:r>
      <w:r>
        <w:rPr>
          <w:lang w:val="fr-FR"/>
        </w:rPr>
        <w:t xml:space="preserve">, ainsi qu’à </w:t>
      </w:r>
      <w:r w:rsidRPr="0062716A">
        <w:rPr>
          <w:lang w:val="fr-FR"/>
        </w:rPr>
        <w:t>sa famille</w:t>
      </w:r>
      <w:r>
        <w:rPr>
          <w:lang w:val="fr-FR"/>
        </w:rPr>
        <w:t>,</w:t>
      </w:r>
      <w:r w:rsidRPr="0062716A">
        <w:rPr>
          <w:lang w:val="fr-FR"/>
        </w:rPr>
        <w:t xml:space="preserve"> des excuses officielles ; d)</w:t>
      </w:r>
      <w:r>
        <w:rPr>
          <w:lang w:val="fr-FR"/>
        </w:rPr>
        <w:t> </w:t>
      </w:r>
      <w:r w:rsidRPr="0062716A">
        <w:rPr>
          <w:lang w:val="fr-FR"/>
        </w:rPr>
        <w:t xml:space="preserve">de veiller à ce que les actions civiles </w:t>
      </w:r>
      <w:r>
        <w:rPr>
          <w:lang w:val="fr-FR"/>
        </w:rPr>
        <w:t>en</w:t>
      </w:r>
      <w:r w:rsidRPr="0062716A">
        <w:rPr>
          <w:lang w:val="fr-FR"/>
        </w:rPr>
        <w:t xml:space="preserve"> réparation du préjudice moral </w:t>
      </w:r>
      <w:r>
        <w:rPr>
          <w:lang w:val="fr-FR"/>
        </w:rPr>
        <w:t xml:space="preserve">relatives à des crimes de </w:t>
      </w:r>
      <w:r w:rsidRPr="0062716A">
        <w:rPr>
          <w:lang w:val="fr-FR"/>
        </w:rPr>
        <w:t xml:space="preserve">droit international (en particulier </w:t>
      </w:r>
      <w:r>
        <w:rPr>
          <w:lang w:val="fr-FR"/>
        </w:rPr>
        <w:t xml:space="preserve">les violences sexuelles </w:t>
      </w:r>
      <w:r w:rsidRPr="0062716A">
        <w:rPr>
          <w:lang w:val="fr-FR"/>
        </w:rPr>
        <w:t xml:space="preserve">et </w:t>
      </w:r>
      <w:r>
        <w:rPr>
          <w:lang w:val="fr-FR"/>
        </w:rPr>
        <w:t xml:space="preserve">la </w:t>
      </w:r>
      <w:r w:rsidRPr="0062716A">
        <w:rPr>
          <w:lang w:val="fr-FR"/>
        </w:rPr>
        <w:t xml:space="preserve">torture) </w:t>
      </w:r>
      <w:r>
        <w:rPr>
          <w:lang w:val="fr-FR"/>
        </w:rPr>
        <w:t>soient imprescriptibles</w:t>
      </w:r>
      <w:r w:rsidRPr="0062716A">
        <w:rPr>
          <w:lang w:val="fr-FR"/>
        </w:rPr>
        <w:t> ; e)</w:t>
      </w:r>
      <w:r>
        <w:rPr>
          <w:lang w:val="fr-FR"/>
        </w:rPr>
        <w:t> </w:t>
      </w:r>
      <w:r w:rsidRPr="0062716A">
        <w:rPr>
          <w:lang w:val="fr-FR"/>
        </w:rPr>
        <w:t xml:space="preserve">de veiller à ce que, </w:t>
      </w:r>
      <w:r>
        <w:rPr>
          <w:lang w:val="fr-FR"/>
        </w:rPr>
        <w:t xml:space="preserve">lorsqu’une victime se voit accorder </w:t>
      </w:r>
      <w:r w:rsidRPr="0062716A">
        <w:rPr>
          <w:lang w:val="fr-FR"/>
        </w:rPr>
        <w:t xml:space="preserve">une indemnisation dans le cadre </w:t>
      </w:r>
      <w:r>
        <w:rPr>
          <w:lang w:val="fr-FR"/>
        </w:rPr>
        <w:t>d’une instance pénale</w:t>
      </w:r>
      <w:r w:rsidRPr="0062716A">
        <w:rPr>
          <w:lang w:val="fr-FR"/>
        </w:rPr>
        <w:t xml:space="preserve">, </w:t>
      </w:r>
      <w:r>
        <w:rPr>
          <w:lang w:val="fr-FR"/>
        </w:rPr>
        <w:t xml:space="preserve">cette </w:t>
      </w:r>
      <w:r w:rsidRPr="0062716A">
        <w:rPr>
          <w:lang w:val="fr-FR"/>
        </w:rPr>
        <w:t>décision soit effectivement exécutée même si le délinquant prétend être indigent</w:t>
      </w:r>
      <w:r>
        <w:rPr>
          <w:lang w:val="fr-FR"/>
        </w:rPr>
        <w:t> </w:t>
      </w:r>
      <w:r w:rsidRPr="0062716A">
        <w:rPr>
          <w:lang w:val="fr-FR"/>
        </w:rPr>
        <w:t>; f)</w:t>
      </w:r>
      <w:r>
        <w:rPr>
          <w:lang w:val="fr-FR"/>
        </w:rPr>
        <w:t> </w:t>
      </w:r>
      <w:r w:rsidRPr="0062716A">
        <w:rPr>
          <w:lang w:val="fr-FR"/>
        </w:rPr>
        <w:t>d</w:t>
      </w:r>
      <w:r>
        <w:rPr>
          <w:lang w:val="fr-FR"/>
        </w:rPr>
        <w:t>’</w:t>
      </w:r>
      <w:r w:rsidRPr="0062716A">
        <w:rPr>
          <w:lang w:val="fr-FR"/>
        </w:rPr>
        <w:t xml:space="preserve">informer le Comité dans un délai de </w:t>
      </w:r>
      <w:r>
        <w:rPr>
          <w:lang w:val="fr-FR"/>
        </w:rPr>
        <w:t>quatre</w:t>
      </w:r>
      <w:r>
        <w:rPr>
          <w:lang w:val="fr-FR"/>
        </w:rPr>
        <w:noBreakHyphen/>
        <w:t>vingt</w:t>
      </w:r>
      <w:r>
        <w:rPr>
          <w:lang w:val="fr-FR"/>
        </w:rPr>
        <w:noBreakHyphen/>
        <w:t>dix</w:t>
      </w:r>
      <w:r w:rsidRPr="0062716A">
        <w:rPr>
          <w:lang w:val="fr-FR"/>
        </w:rPr>
        <w:t xml:space="preserve"> jours des mesures prises </w:t>
      </w:r>
      <w:r>
        <w:rPr>
          <w:lang w:val="fr-FR"/>
        </w:rPr>
        <w:t xml:space="preserve">et de faire traduire sa </w:t>
      </w:r>
      <w:r w:rsidRPr="0062716A">
        <w:rPr>
          <w:lang w:val="fr-FR"/>
        </w:rPr>
        <w:t>décision.</w:t>
      </w:r>
    </w:p>
    <w:p w14:paraId="6287D61A" w14:textId="77777777" w:rsidR="00AF2FC6" w:rsidRPr="0062716A" w:rsidRDefault="00AF2FC6" w:rsidP="006F7894">
      <w:pPr>
        <w:pStyle w:val="SingleTxtG"/>
        <w:rPr>
          <w:lang w:val="fr-FR" w:eastAsia="en-GB"/>
        </w:rPr>
      </w:pPr>
      <w:r w:rsidRPr="0062716A">
        <w:rPr>
          <w:lang w:val="fr-FR" w:eastAsia="en-GB"/>
        </w:rPr>
        <w:lastRenderedPageBreak/>
        <w:t>3.5</w:t>
      </w:r>
      <w:r w:rsidRPr="0062716A">
        <w:rPr>
          <w:lang w:val="fr-FR" w:eastAsia="en-GB"/>
        </w:rPr>
        <w:tab/>
        <w:t>La requérante demande aussi au Comité d</w:t>
      </w:r>
      <w:r>
        <w:rPr>
          <w:lang w:val="fr-FR" w:eastAsia="en-GB"/>
        </w:rPr>
        <w:t>e prier instamment</w:t>
      </w:r>
      <w:r w:rsidRPr="0062716A">
        <w:rPr>
          <w:lang w:val="fr-FR" w:eastAsia="en-GB"/>
        </w:rPr>
        <w:t xml:space="preserve"> l</w:t>
      </w:r>
      <w:r>
        <w:rPr>
          <w:lang w:val="fr-FR" w:eastAsia="en-GB"/>
        </w:rPr>
        <w:t>’</w:t>
      </w:r>
      <w:r w:rsidRPr="0062716A">
        <w:rPr>
          <w:lang w:val="fr-FR" w:eastAsia="en-GB"/>
        </w:rPr>
        <w:t xml:space="preserve">État partie </w:t>
      </w:r>
      <w:r>
        <w:rPr>
          <w:lang w:val="fr-FR" w:eastAsia="en-GB"/>
        </w:rPr>
        <w:t xml:space="preserve">de </w:t>
      </w:r>
      <w:r w:rsidRPr="0062716A">
        <w:rPr>
          <w:lang w:val="fr-FR" w:eastAsia="en-GB"/>
        </w:rPr>
        <w:t xml:space="preserve">remédier aux </w:t>
      </w:r>
      <w:r>
        <w:rPr>
          <w:lang w:val="fr-FR" w:eastAsia="en-GB"/>
        </w:rPr>
        <w:t>carences</w:t>
      </w:r>
      <w:r w:rsidRPr="0062716A">
        <w:rPr>
          <w:lang w:val="fr-FR" w:eastAsia="en-GB"/>
        </w:rPr>
        <w:t xml:space="preserve"> de sa législation et de sa pratique afin de garantir que les actions civiles en dommage</w:t>
      </w:r>
      <w:r>
        <w:rPr>
          <w:lang w:val="fr-FR" w:eastAsia="en-GB"/>
        </w:rPr>
        <w:t>s</w:t>
      </w:r>
      <w:r w:rsidRPr="0062716A">
        <w:rPr>
          <w:lang w:val="fr-FR" w:eastAsia="en-GB"/>
        </w:rPr>
        <w:t xml:space="preserve"> et intérêts </w:t>
      </w:r>
      <w:r>
        <w:rPr>
          <w:lang w:val="fr-FR" w:eastAsia="en-GB"/>
        </w:rPr>
        <w:t>relatives à d</w:t>
      </w:r>
      <w:r w:rsidRPr="0062716A">
        <w:rPr>
          <w:lang w:val="fr-FR" w:eastAsia="en-GB"/>
        </w:rPr>
        <w:t xml:space="preserve">es crimes </w:t>
      </w:r>
      <w:r>
        <w:rPr>
          <w:lang w:val="fr-FR" w:eastAsia="en-GB"/>
        </w:rPr>
        <w:t xml:space="preserve">de droit international </w:t>
      </w:r>
      <w:r w:rsidRPr="0062716A">
        <w:rPr>
          <w:lang w:val="fr-FR" w:eastAsia="en-GB"/>
        </w:rPr>
        <w:t xml:space="preserve">soient </w:t>
      </w:r>
      <w:r>
        <w:rPr>
          <w:lang w:val="fr-FR" w:eastAsia="en-GB"/>
        </w:rPr>
        <w:t xml:space="preserve">imprescriptibles − qu’elles </w:t>
      </w:r>
      <w:r w:rsidRPr="0062716A">
        <w:rPr>
          <w:lang w:val="fr-FR" w:eastAsia="en-GB"/>
        </w:rPr>
        <w:t xml:space="preserve">visent </w:t>
      </w:r>
      <w:r>
        <w:rPr>
          <w:lang w:val="fr-FR" w:eastAsia="en-GB"/>
        </w:rPr>
        <w:t xml:space="preserve">les auteurs des crimes </w:t>
      </w:r>
      <w:r w:rsidRPr="0062716A">
        <w:rPr>
          <w:lang w:val="fr-FR" w:eastAsia="en-GB"/>
        </w:rPr>
        <w:t>ou l</w:t>
      </w:r>
      <w:r>
        <w:rPr>
          <w:lang w:val="fr-FR" w:eastAsia="en-GB"/>
        </w:rPr>
        <w:t>’</w:t>
      </w:r>
      <w:r w:rsidRPr="0062716A">
        <w:rPr>
          <w:lang w:val="fr-FR" w:eastAsia="en-GB"/>
        </w:rPr>
        <w:t>État ou l</w:t>
      </w:r>
      <w:r>
        <w:rPr>
          <w:lang w:val="fr-FR" w:eastAsia="en-GB"/>
        </w:rPr>
        <w:t>’</w:t>
      </w:r>
      <w:r w:rsidRPr="0062716A">
        <w:rPr>
          <w:lang w:val="fr-FR" w:eastAsia="en-GB"/>
        </w:rPr>
        <w:t>entité responsable</w:t>
      </w:r>
      <w:r>
        <w:rPr>
          <w:lang w:val="fr-FR" w:eastAsia="en-GB"/>
        </w:rPr>
        <w:t> −</w:t>
      </w:r>
      <w:r w:rsidRPr="0062716A">
        <w:rPr>
          <w:lang w:val="fr-FR" w:eastAsia="en-GB"/>
        </w:rPr>
        <w:t xml:space="preserve"> et </w:t>
      </w:r>
      <w:r>
        <w:rPr>
          <w:lang w:val="fr-FR" w:eastAsia="en-GB"/>
        </w:rPr>
        <w:t xml:space="preserve">de prévoir une </w:t>
      </w:r>
      <w:r w:rsidRPr="0062716A">
        <w:rPr>
          <w:lang w:val="fr-FR" w:eastAsia="en-GB"/>
        </w:rPr>
        <w:t xml:space="preserve">responsabilité subsidiaire </w:t>
      </w:r>
      <w:r>
        <w:rPr>
          <w:lang w:val="fr-FR" w:eastAsia="en-GB"/>
        </w:rPr>
        <w:t xml:space="preserve">pour le cas où </w:t>
      </w:r>
      <w:r w:rsidRPr="0062716A">
        <w:rPr>
          <w:lang w:val="fr-FR" w:eastAsia="en-GB"/>
        </w:rPr>
        <w:t xml:space="preserve">les </w:t>
      </w:r>
      <w:r>
        <w:rPr>
          <w:lang w:val="fr-FR" w:eastAsia="en-GB"/>
        </w:rPr>
        <w:t xml:space="preserve">individus </w:t>
      </w:r>
      <w:r w:rsidRPr="0062716A">
        <w:rPr>
          <w:lang w:val="fr-FR" w:eastAsia="en-GB"/>
        </w:rPr>
        <w:t>n</w:t>
      </w:r>
      <w:r>
        <w:rPr>
          <w:lang w:val="fr-FR" w:eastAsia="en-GB"/>
        </w:rPr>
        <w:t>’</w:t>
      </w:r>
      <w:r w:rsidRPr="0062716A">
        <w:rPr>
          <w:lang w:val="fr-FR" w:eastAsia="en-GB"/>
        </w:rPr>
        <w:t xml:space="preserve">ont pas les moyens de </w:t>
      </w:r>
      <w:r>
        <w:rPr>
          <w:lang w:val="fr-FR" w:eastAsia="en-GB"/>
        </w:rPr>
        <w:t xml:space="preserve">verser l’indemnisation. </w:t>
      </w:r>
      <w:r w:rsidRPr="0062716A">
        <w:rPr>
          <w:lang w:val="fr-FR" w:eastAsia="en-GB"/>
        </w:rPr>
        <w:t>À cet égard, la création d</w:t>
      </w:r>
      <w:r>
        <w:rPr>
          <w:lang w:val="fr-FR" w:eastAsia="en-GB"/>
        </w:rPr>
        <w:t>’</w:t>
      </w:r>
      <w:r w:rsidRPr="0062716A">
        <w:rPr>
          <w:lang w:val="fr-FR" w:eastAsia="en-GB"/>
        </w:rPr>
        <w:t xml:space="preserve">un fonds spécial doit être envisagée. De même, </w:t>
      </w:r>
      <w:r>
        <w:rPr>
          <w:lang w:val="fr-FR" w:eastAsia="en-GB"/>
        </w:rPr>
        <w:t>A</w:t>
      </w:r>
      <w:r w:rsidRPr="0062716A">
        <w:rPr>
          <w:lang w:val="fr-FR" w:eastAsia="en-GB"/>
        </w:rPr>
        <w:t xml:space="preserve"> souhaite être indemnisée équitablement et de manière adéquate pour le préjudice subi, obtenir des moyens de réadaptation et recevoir des excuses publiques de la part des autorités </w:t>
      </w:r>
      <w:r>
        <w:rPr>
          <w:lang w:val="fr-FR" w:eastAsia="en-GB"/>
        </w:rPr>
        <w:t>de Bosnie-Herzégovine</w:t>
      </w:r>
      <w:r w:rsidRPr="0062716A">
        <w:rPr>
          <w:lang w:val="fr-FR" w:eastAsia="en-GB"/>
        </w:rPr>
        <w:t xml:space="preserve">. </w:t>
      </w:r>
    </w:p>
    <w:p w14:paraId="102D9B42" w14:textId="77777777" w:rsidR="00AF2FC6" w:rsidRPr="0062716A" w:rsidRDefault="00AF2FC6" w:rsidP="006F7894">
      <w:pPr>
        <w:pStyle w:val="H23G"/>
        <w:rPr>
          <w:lang w:val="fr-FR" w:eastAsia="en-GB"/>
        </w:rPr>
      </w:pPr>
      <w:r w:rsidRPr="0062716A">
        <w:rPr>
          <w:lang w:val="fr-FR"/>
        </w:rPr>
        <w:tab/>
      </w:r>
      <w:r w:rsidRPr="0062716A">
        <w:rPr>
          <w:lang w:val="fr-FR"/>
        </w:rPr>
        <w:tab/>
        <w:t>Observations de l</w:t>
      </w:r>
      <w:r>
        <w:rPr>
          <w:lang w:val="fr-FR"/>
        </w:rPr>
        <w:t>’</w:t>
      </w:r>
      <w:r w:rsidRPr="0062716A">
        <w:rPr>
          <w:lang w:val="fr-FR"/>
        </w:rPr>
        <w:t>État partie sur la recevabilité et sur le fond</w:t>
      </w:r>
    </w:p>
    <w:p w14:paraId="40A9F776" w14:textId="77777777" w:rsidR="00AF2FC6" w:rsidRPr="0062716A" w:rsidRDefault="00AF2FC6" w:rsidP="006F7894">
      <w:pPr>
        <w:pStyle w:val="SingleTxtG"/>
        <w:rPr>
          <w:lang w:val="fr-FR"/>
        </w:rPr>
      </w:pPr>
      <w:r w:rsidRPr="0062716A">
        <w:rPr>
          <w:lang w:val="fr-FR"/>
        </w:rPr>
        <w:t>4.1</w:t>
      </w:r>
      <w:r w:rsidRPr="0062716A">
        <w:rPr>
          <w:lang w:val="fr-FR"/>
        </w:rPr>
        <w:tab/>
        <w:t>Dans ses observations en date du 7</w:t>
      </w:r>
      <w:r>
        <w:rPr>
          <w:lang w:val="fr-FR"/>
        </w:rPr>
        <w:t> </w:t>
      </w:r>
      <w:r w:rsidRPr="0062716A">
        <w:rPr>
          <w:lang w:val="fr-FR"/>
        </w:rPr>
        <w:t>janvier 2019, l</w:t>
      </w:r>
      <w:r>
        <w:rPr>
          <w:lang w:val="fr-FR"/>
        </w:rPr>
        <w:t>’</w:t>
      </w:r>
      <w:r w:rsidRPr="0062716A">
        <w:rPr>
          <w:lang w:val="fr-FR"/>
        </w:rPr>
        <w:t>État partie se réfère aux lettres que lui ont adressées huit institutions et entités publiques</w:t>
      </w:r>
      <w:r w:rsidRPr="007C3FFD">
        <w:rPr>
          <w:rStyle w:val="Appelnotedebasdep"/>
        </w:rPr>
        <w:footnoteReference w:id="27"/>
      </w:r>
      <w:r w:rsidRPr="0062716A">
        <w:rPr>
          <w:lang w:val="fr-FR"/>
        </w:rPr>
        <w:t xml:space="preserve"> </w:t>
      </w:r>
      <w:r>
        <w:rPr>
          <w:lang w:val="fr-FR"/>
        </w:rPr>
        <w:t>en ce qui concerne</w:t>
      </w:r>
      <w:r w:rsidRPr="0062716A">
        <w:rPr>
          <w:lang w:val="fr-FR"/>
        </w:rPr>
        <w:t xml:space="preserve"> les mesures prises dans la présente affaire.</w:t>
      </w:r>
    </w:p>
    <w:p w14:paraId="53874474" w14:textId="77777777" w:rsidR="00AF2FC6" w:rsidRPr="0062716A" w:rsidRDefault="00AF2FC6" w:rsidP="006F7894">
      <w:pPr>
        <w:pStyle w:val="SingleTxtG"/>
        <w:rPr>
          <w:lang w:val="fr-FR"/>
        </w:rPr>
      </w:pPr>
      <w:r w:rsidRPr="0062716A">
        <w:rPr>
          <w:lang w:val="fr-FR"/>
        </w:rPr>
        <w:t>4.2</w:t>
      </w:r>
      <w:r w:rsidRPr="0062716A">
        <w:rPr>
          <w:lang w:val="fr-FR"/>
        </w:rPr>
        <w:tab/>
        <w:t xml:space="preserve">En ce qui concerne la demande </w:t>
      </w:r>
      <w:r>
        <w:rPr>
          <w:lang w:val="fr-FR"/>
        </w:rPr>
        <w:t>d’</w:t>
      </w:r>
      <w:r w:rsidRPr="0062716A">
        <w:rPr>
          <w:lang w:val="fr-FR"/>
        </w:rPr>
        <w:t>indemnisation rapide, équitable et adéquate</w:t>
      </w:r>
      <w:r>
        <w:rPr>
          <w:lang w:val="fr-FR"/>
        </w:rPr>
        <w:t xml:space="preserve"> formulée par</w:t>
      </w:r>
      <w:r w:rsidRPr="006F57B1">
        <w:rPr>
          <w:lang w:val="fr-FR"/>
        </w:rPr>
        <w:t xml:space="preserve"> </w:t>
      </w:r>
      <w:r w:rsidRPr="0062716A">
        <w:rPr>
          <w:lang w:val="fr-FR"/>
        </w:rPr>
        <w:t>la requérante, la Cour de Bosnie-Herzégovine a déclaré qu</w:t>
      </w:r>
      <w:r>
        <w:rPr>
          <w:lang w:val="fr-FR"/>
        </w:rPr>
        <w:t>’</w:t>
      </w:r>
      <w:r w:rsidRPr="0062716A">
        <w:rPr>
          <w:lang w:val="fr-FR"/>
        </w:rPr>
        <w:t>elle s</w:t>
      </w:r>
      <w:r>
        <w:rPr>
          <w:lang w:val="fr-FR"/>
        </w:rPr>
        <w:t>’</w:t>
      </w:r>
      <w:r w:rsidRPr="0062716A">
        <w:rPr>
          <w:lang w:val="fr-FR"/>
        </w:rPr>
        <w:t>était acquitté</w:t>
      </w:r>
      <w:r>
        <w:rPr>
          <w:lang w:val="fr-FR"/>
        </w:rPr>
        <w:t>e</w:t>
      </w:r>
      <w:r w:rsidRPr="0062716A">
        <w:rPr>
          <w:lang w:val="fr-FR"/>
        </w:rPr>
        <w:t xml:space="preserve"> de ses obligations envers la requérante </w:t>
      </w:r>
      <w:r>
        <w:rPr>
          <w:lang w:val="fr-FR"/>
        </w:rPr>
        <w:t xml:space="preserve">en accordant à celle-ci, en réparation de son préjudice </w:t>
      </w:r>
      <w:r w:rsidRPr="0062716A">
        <w:rPr>
          <w:lang w:val="fr-FR"/>
        </w:rPr>
        <w:t>moral</w:t>
      </w:r>
      <w:r>
        <w:rPr>
          <w:lang w:val="fr-FR"/>
        </w:rPr>
        <w:t>, des dommages-intérêts</w:t>
      </w:r>
      <w:r w:rsidRPr="0062716A">
        <w:rPr>
          <w:lang w:val="fr-FR"/>
        </w:rPr>
        <w:t xml:space="preserve"> </w:t>
      </w:r>
      <w:r>
        <w:rPr>
          <w:lang w:val="fr-FR"/>
        </w:rPr>
        <w:t>d’</w:t>
      </w:r>
      <w:r w:rsidRPr="0062716A">
        <w:rPr>
          <w:lang w:val="fr-FR"/>
        </w:rPr>
        <w:t>un montant de 30</w:t>
      </w:r>
      <w:r>
        <w:rPr>
          <w:lang w:val="fr-FR"/>
        </w:rPr>
        <w:t> </w:t>
      </w:r>
      <w:r w:rsidRPr="0062716A">
        <w:rPr>
          <w:lang w:val="fr-FR"/>
        </w:rPr>
        <w:t>000</w:t>
      </w:r>
      <w:r>
        <w:rPr>
          <w:lang w:val="fr-FR"/>
        </w:rPr>
        <w:t> marks</w:t>
      </w:r>
      <w:r w:rsidRPr="007C3FFD">
        <w:rPr>
          <w:rStyle w:val="Appelnotedebasdep"/>
        </w:rPr>
        <w:footnoteReference w:id="28"/>
      </w:r>
      <w:r w:rsidRPr="0062716A">
        <w:rPr>
          <w:lang w:val="fr-FR"/>
        </w:rPr>
        <w:t xml:space="preserve">. </w:t>
      </w:r>
      <w:r>
        <w:rPr>
          <w:lang w:val="fr-FR"/>
        </w:rPr>
        <w:t xml:space="preserve">En ce qui concerne </w:t>
      </w:r>
      <w:r w:rsidRPr="0062716A">
        <w:rPr>
          <w:lang w:val="fr-FR"/>
        </w:rPr>
        <w:t>l</w:t>
      </w:r>
      <w:r>
        <w:rPr>
          <w:lang w:val="fr-FR"/>
        </w:rPr>
        <w:t>’</w:t>
      </w:r>
      <w:r w:rsidRPr="0062716A">
        <w:rPr>
          <w:lang w:val="fr-FR"/>
        </w:rPr>
        <w:t>exécution de cette décision, son service exécutif l</w:t>
      </w:r>
      <w:r>
        <w:rPr>
          <w:lang w:val="fr-FR"/>
        </w:rPr>
        <w:t>’</w:t>
      </w:r>
      <w:r w:rsidRPr="0062716A">
        <w:rPr>
          <w:lang w:val="fr-FR"/>
        </w:rPr>
        <w:t>avait informée que la requérante avait décidé de retirer sa demande d</w:t>
      </w:r>
      <w:r>
        <w:rPr>
          <w:lang w:val="fr-FR"/>
        </w:rPr>
        <w:t>’indemnisation</w:t>
      </w:r>
      <w:r w:rsidRPr="0062716A">
        <w:rPr>
          <w:lang w:val="fr-FR"/>
        </w:rPr>
        <w:t xml:space="preserve"> parce qu</w:t>
      </w:r>
      <w:r>
        <w:rPr>
          <w:lang w:val="fr-FR"/>
        </w:rPr>
        <w:t>’</w:t>
      </w:r>
      <w:r w:rsidRPr="0062716A">
        <w:rPr>
          <w:lang w:val="fr-FR"/>
        </w:rPr>
        <w:t>elle savait que l</w:t>
      </w:r>
      <w:r>
        <w:rPr>
          <w:lang w:val="fr-FR"/>
        </w:rPr>
        <w:t>’</w:t>
      </w:r>
      <w:r w:rsidRPr="0062716A">
        <w:rPr>
          <w:lang w:val="fr-FR"/>
        </w:rPr>
        <w:t xml:space="preserve">auteur des infractions </w:t>
      </w:r>
      <w:r>
        <w:rPr>
          <w:lang w:val="fr-FR"/>
        </w:rPr>
        <w:t xml:space="preserve">ne possédait aucun </w:t>
      </w:r>
      <w:r w:rsidRPr="0062716A">
        <w:rPr>
          <w:lang w:val="fr-FR"/>
        </w:rPr>
        <w:t xml:space="preserve">bien </w:t>
      </w:r>
      <w:r>
        <w:rPr>
          <w:lang w:val="fr-FR"/>
        </w:rPr>
        <w:t xml:space="preserve">susceptible d’être affecté à l’indemnisation de son préjudice </w:t>
      </w:r>
      <w:r w:rsidRPr="0062716A">
        <w:rPr>
          <w:lang w:val="fr-FR"/>
        </w:rPr>
        <w:t>et parce qu</w:t>
      </w:r>
      <w:r>
        <w:rPr>
          <w:lang w:val="fr-FR"/>
        </w:rPr>
        <w:t>’</w:t>
      </w:r>
      <w:r w:rsidRPr="0062716A">
        <w:rPr>
          <w:lang w:val="fr-FR"/>
        </w:rPr>
        <w:t xml:space="preserve">elle pouvait intenter une action civile au titre de la loi sur les obligations civiles ou déposer une nouvelle </w:t>
      </w:r>
      <w:r>
        <w:rPr>
          <w:lang w:val="fr-FR"/>
        </w:rPr>
        <w:t>demande de dommages-intérêts devant</w:t>
      </w:r>
      <w:r w:rsidRPr="0062716A">
        <w:rPr>
          <w:lang w:val="fr-FR"/>
        </w:rPr>
        <w:t xml:space="preserve"> la Cour de Bosnie-Herzégovine. La Cour a aussi indiqué que la législation prév</w:t>
      </w:r>
      <w:r>
        <w:rPr>
          <w:lang w:val="fr-FR"/>
        </w:rPr>
        <w:t>oyait la possibilité de prendre d</w:t>
      </w:r>
      <w:r w:rsidRPr="0062716A">
        <w:rPr>
          <w:lang w:val="fr-FR"/>
        </w:rPr>
        <w:t xml:space="preserve">es mesures </w:t>
      </w:r>
      <w:r>
        <w:rPr>
          <w:lang w:val="fr-FR"/>
        </w:rPr>
        <w:t xml:space="preserve">conservatoires </w:t>
      </w:r>
      <w:r w:rsidRPr="0062716A">
        <w:rPr>
          <w:lang w:val="fr-FR"/>
        </w:rPr>
        <w:t xml:space="preserve">pour garantir </w:t>
      </w:r>
      <w:r>
        <w:rPr>
          <w:lang w:val="fr-FR"/>
        </w:rPr>
        <w:t xml:space="preserve">le versement des dommages-intérêts accordés en matière </w:t>
      </w:r>
      <w:r w:rsidRPr="0062716A">
        <w:rPr>
          <w:lang w:val="fr-FR"/>
        </w:rPr>
        <w:t>pénale mais que la requérante n</w:t>
      </w:r>
      <w:r>
        <w:rPr>
          <w:lang w:val="fr-FR"/>
        </w:rPr>
        <w:t>’</w:t>
      </w:r>
      <w:r w:rsidRPr="0062716A">
        <w:rPr>
          <w:lang w:val="fr-FR"/>
        </w:rPr>
        <w:t xml:space="preserve">avait pas </w:t>
      </w:r>
      <w:r>
        <w:rPr>
          <w:lang w:val="fr-FR"/>
        </w:rPr>
        <w:t>demandé de telles mesures</w:t>
      </w:r>
      <w:r w:rsidRPr="0062716A">
        <w:rPr>
          <w:lang w:val="fr-FR"/>
        </w:rPr>
        <w:t>.</w:t>
      </w:r>
    </w:p>
    <w:p w14:paraId="075A0723" w14:textId="77777777" w:rsidR="00AF2FC6" w:rsidRPr="0062716A" w:rsidRDefault="00AF2FC6" w:rsidP="006F7894">
      <w:pPr>
        <w:pStyle w:val="SingleTxtG"/>
        <w:rPr>
          <w:lang w:val="fr-FR"/>
        </w:rPr>
      </w:pPr>
      <w:r w:rsidRPr="0062716A">
        <w:rPr>
          <w:lang w:val="fr-FR"/>
        </w:rPr>
        <w:t>4.3</w:t>
      </w:r>
      <w:r w:rsidRPr="0062716A">
        <w:rPr>
          <w:lang w:val="fr-FR"/>
        </w:rPr>
        <w:tab/>
        <w:t>L</w:t>
      </w:r>
      <w:r>
        <w:rPr>
          <w:lang w:val="fr-FR"/>
        </w:rPr>
        <w:t>’</w:t>
      </w:r>
      <w:r w:rsidRPr="0062716A">
        <w:rPr>
          <w:lang w:val="fr-FR"/>
        </w:rPr>
        <w:t>État partie rappel</w:t>
      </w:r>
      <w:r>
        <w:rPr>
          <w:lang w:val="fr-FR"/>
        </w:rPr>
        <w:t>le</w:t>
      </w:r>
      <w:r w:rsidRPr="0062716A">
        <w:rPr>
          <w:lang w:val="fr-FR"/>
        </w:rPr>
        <w:t xml:space="preserve"> les dispositions de la loi sur les obligations civiles</w:t>
      </w:r>
      <w:r>
        <w:rPr>
          <w:lang w:val="fr-FR"/>
        </w:rPr>
        <w:t xml:space="preserve"> qui prévoient l’indemnisation du préjudice moral et définissent</w:t>
      </w:r>
      <w:r w:rsidRPr="0062716A">
        <w:rPr>
          <w:lang w:val="fr-FR"/>
        </w:rPr>
        <w:t xml:space="preserve"> le délai de prescription </w:t>
      </w:r>
      <w:r>
        <w:rPr>
          <w:lang w:val="fr-FR"/>
        </w:rPr>
        <w:t>correspondant</w:t>
      </w:r>
      <w:r w:rsidRPr="0062716A">
        <w:rPr>
          <w:lang w:val="fr-FR"/>
        </w:rPr>
        <w:t xml:space="preserve">, </w:t>
      </w:r>
      <w:r>
        <w:rPr>
          <w:lang w:val="fr-FR"/>
        </w:rPr>
        <w:t xml:space="preserve">ainsi que </w:t>
      </w:r>
      <w:r w:rsidRPr="0062716A">
        <w:rPr>
          <w:lang w:val="fr-FR"/>
        </w:rPr>
        <w:t>l</w:t>
      </w:r>
      <w:r>
        <w:rPr>
          <w:lang w:val="fr-FR"/>
        </w:rPr>
        <w:t>’</w:t>
      </w:r>
      <w:r w:rsidRPr="0062716A">
        <w:rPr>
          <w:lang w:val="fr-FR"/>
        </w:rPr>
        <w:t>article</w:t>
      </w:r>
      <w:r>
        <w:rPr>
          <w:lang w:val="fr-FR"/>
        </w:rPr>
        <w:t> </w:t>
      </w:r>
      <w:r w:rsidRPr="0062716A">
        <w:rPr>
          <w:lang w:val="fr-FR"/>
        </w:rPr>
        <w:t>19 du Code pénal</w:t>
      </w:r>
      <w:r>
        <w:rPr>
          <w:lang w:val="fr-FR"/>
        </w:rPr>
        <w:t>,</w:t>
      </w:r>
      <w:r w:rsidRPr="0062716A">
        <w:rPr>
          <w:lang w:val="fr-FR"/>
        </w:rPr>
        <w:t xml:space="preserve"> qui </w:t>
      </w:r>
      <w:r>
        <w:rPr>
          <w:lang w:val="fr-FR"/>
        </w:rPr>
        <w:t xml:space="preserve">dispose que les </w:t>
      </w:r>
      <w:r w:rsidRPr="0062716A">
        <w:rPr>
          <w:lang w:val="fr-FR"/>
        </w:rPr>
        <w:t xml:space="preserve">crimes de guerre et </w:t>
      </w:r>
      <w:r>
        <w:rPr>
          <w:lang w:val="fr-FR"/>
        </w:rPr>
        <w:t xml:space="preserve">les </w:t>
      </w:r>
      <w:r w:rsidRPr="0062716A">
        <w:rPr>
          <w:lang w:val="fr-FR"/>
        </w:rPr>
        <w:t>crimes contre l</w:t>
      </w:r>
      <w:r>
        <w:rPr>
          <w:lang w:val="fr-FR"/>
        </w:rPr>
        <w:t>’</w:t>
      </w:r>
      <w:r w:rsidRPr="0062716A">
        <w:rPr>
          <w:lang w:val="fr-FR"/>
        </w:rPr>
        <w:t>humanité</w:t>
      </w:r>
      <w:r>
        <w:rPr>
          <w:lang w:val="fr-FR"/>
        </w:rPr>
        <w:t xml:space="preserve"> sont imprescriptibles</w:t>
      </w:r>
      <w:r w:rsidRPr="0062716A">
        <w:rPr>
          <w:lang w:val="fr-FR"/>
        </w:rPr>
        <w:t>.</w:t>
      </w:r>
    </w:p>
    <w:p w14:paraId="23D079E5" w14:textId="77777777" w:rsidR="00AF2FC6" w:rsidRPr="0062716A" w:rsidRDefault="00AF2FC6" w:rsidP="006F7894">
      <w:pPr>
        <w:pStyle w:val="SingleTxtG"/>
        <w:rPr>
          <w:lang w:val="fr-FR"/>
        </w:rPr>
      </w:pPr>
      <w:r w:rsidRPr="0062716A">
        <w:rPr>
          <w:lang w:val="fr-FR"/>
        </w:rPr>
        <w:t>4.4</w:t>
      </w:r>
      <w:r w:rsidRPr="0062716A">
        <w:rPr>
          <w:lang w:val="fr-FR"/>
        </w:rPr>
        <w:tab/>
        <w:t>L</w:t>
      </w:r>
      <w:r>
        <w:rPr>
          <w:lang w:val="fr-FR"/>
        </w:rPr>
        <w:t>’</w:t>
      </w:r>
      <w:r w:rsidRPr="0062716A">
        <w:rPr>
          <w:lang w:val="fr-FR"/>
        </w:rPr>
        <w:t xml:space="preserve">État partie indique ensuite que, conformément à la loi sur la protection sociale, la protection des victimes de guerre civiles et la protection des familles avec enfants, la requérante, en tant que victime civile de guerre, </w:t>
      </w:r>
      <w:r>
        <w:rPr>
          <w:lang w:val="fr-FR"/>
        </w:rPr>
        <w:t>reçoit</w:t>
      </w:r>
      <w:r w:rsidRPr="0062716A">
        <w:rPr>
          <w:lang w:val="fr-FR"/>
        </w:rPr>
        <w:t xml:space="preserve"> depuis le 1</w:t>
      </w:r>
      <w:r w:rsidRPr="00650D6A">
        <w:rPr>
          <w:vertAlign w:val="superscript"/>
          <w:lang w:val="fr-FR"/>
        </w:rPr>
        <w:t>er</w:t>
      </w:r>
      <w:r>
        <w:rPr>
          <w:lang w:val="fr-FR"/>
        </w:rPr>
        <w:t> </w:t>
      </w:r>
      <w:r w:rsidRPr="0062716A">
        <w:rPr>
          <w:lang w:val="fr-FR"/>
        </w:rPr>
        <w:t xml:space="preserve">février 2008 une allocation financière, le « revenu personnel mensuel », </w:t>
      </w:r>
      <w:r>
        <w:rPr>
          <w:lang w:val="fr-FR"/>
        </w:rPr>
        <w:t xml:space="preserve">d’un </w:t>
      </w:r>
      <w:r w:rsidRPr="0062716A">
        <w:rPr>
          <w:lang w:val="fr-FR"/>
        </w:rPr>
        <w:t>montant de 59</w:t>
      </w:r>
      <w:r>
        <w:rPr>
          <w:lang w:val="fr-FR"/>
        </w:rPr>
        <w:t> </w:t>
      </w:r>
      <w:r w:rsidRPr="0062716A">
        <w:rPr>
          <w:lang w:val="fr-FR"/>
        </w:rPr>
        <w:t>494</w:t>
      </w:r>
      <w:r>
        <w:rPr>
          <w:lang w:val="fr-FR"/>
        </w:rPr>
        <w:t> marks</w:t>
      </w:r>
      <w:r w:rsidRPr="007C3FFD">
        <w:rPr>
          <w:rStyle w:val="Appelnotedebasdep"/>
        </w:rPr>
        <w:footnoteReference w:id="29"/>
      </w:r>
      <w:r w:rsidRPr="0062716A">
        <w:rPr>
          <w:lang w:val="fr-FR"/>
        </w:rPr>
        <w:t>.</w:t>
      </w:r>
    </w:p>
    <w:p w14:paraId="0FE1182B" w14:textId="77777777" w:rsidR="00AF2FC6" w:rsidRPr="0062716A" w:rsidRDefault="00AF2FC6" w:rsidP="006F7894">
      <w:pPr>
        <w:pStyle w:val="SingleTxtG"/>
        <w:rPr>
          <w:lang w:val="fr-FR"/>
        </w:rPr>
      </w:pPr>
      <w:r w:rsidRPr="0062716A">
        <w:rPr>
          <w:lang w:val="fr-FR"/>
        </w:rPr>
        <w:t>4.5</w:t>
      </w:r>
      <w:r w:rsidRPr="0062716A">
        <w:rPr>
          <w:lang w:val="fr-FR"/>
        </w:rPr>
        <w:tab/>
        <w:t>Dans sa lettre du 19</w:t>
      </w:r>
      <w:r>
        <w:rPr>
          <w:lang w:val="fr-FR"/>
        </w:rPr>
        <w:t> </w:t>
      </w:r>
      <w:r w:rsidRPr="0062716A">
        <w:rPr>
          <w:lang w:val="fr-FR"/>
        </w:rPr>
        <w:t>mars 2018, le Ministère des droits de l</w:t>
      </w:r>
      <w:r>
        <w:rPr>
          <w:lang w:val="fr-FR"/>
        </w:rPr>
        <w:t>’</w:t>
      </w:r>
      <w:r w:rsidRPr="0062716A">
        <w:rPr>
          <w:lang w:val="fr-FR"/>
        </w:rPr>
        <w:t xml:space="preserve">homme et des réfugiés a indiqué que la réparation demandée pour la requérante était partiellement acceptable parce que </w:t>
      </w:r>
      <w:r>
        <w:rPr>
          <w:lang w:val="fr-FR"/>
        </w:rPr>
        <w:t>A</w:t>
      </w:r>
      <w:r w:rsidRPr="0062716A">
        <w:rPr>
          <w:lang w:val="fr-FR"/>
        </w:rPr>
        <w:t xml:space="preserve"> n</w:t>
      </w:r>
      <w:r>
        <w:rPr>
          <w:lang w:val="fr-FR"/>
        </w:rPr>
        <w:t>’</w:t>
      </w:r>
      <w:r w:rsidRPr="0062716A">
        <w:rPr>
          <w:lang w:val="fr-FR"/>
        </w:rPr>
        <w:t xml:space="preserve">avait pas reçu </w:t>
      </w:r>
      <w:r>
        <w:rPr>
          <w:lang w:val="fr-FR"/>
        </w:rPr>
        <w:t>d’</w:t>
      </w:r>
      <w:r w:rsidRPr="0062716A">
        <w:rPr>
          <w:lang w:val="fr-FR"/>
        </w:rPr>
        <w:t xml:space="preserve">indemnisation rapide, équitable et adéquate, que ses droits </w:t>
      </w:r>
      <w:r>
        <w:rPr>
          <w:lang w:val="fr-FR"/>
        </w:rPr>
        <w:t xml:space="preserve">n’avaient été </w:t>
      </w:r>
      <w:r w:rsidRPr="0062716A">
        <w:rPr>
          <w:lang w:val="fr-FR"/>
        </w:rPr>
        <w:t xml:space="preserve">réalisés </w:t>
      </w:r>
      <w:r>
        <w:rPr>
          <w:lang w:val="fr-FR"/>
        </w:rPr>
        <w:t xml:space="preserve">que </w:t>
      </w:r>
      <w:r w:rsidRPr="0062716A">
        <w:rPr>
          <w:lang w:val="fr-FR"/>
        </w:rPr>
        <w:t xml:space="preserve">partiellement et que le délai de prescription en vigueur ne lui </w:t>
      </w:r>
      <w:r>
        <w:rPr>
          <w:lang w:val="fr-FR"/>
        </w:rPr>
        <w:t xml:space="preserve">permettait pas </w:t>
      </w:r>
      <w:r w:rsidRPr="0062716A">
        <w:rPr>
          <w:lang w:val="fr-FR"/>
        </w:rPr>
        <w:t xml:space="preserve">de </w:t>
      </w:r>
      <w:r>
        <w:rPr>
          <w:lang w:val="fr-FR"/>
        </w:rPr>
        <w:t xml:space="preserve">demander l’indemnisation de son </w:t>
      </w:r>
      <w:r w:rsidRPr="0062716A">
        <w:rPr>
          <w:lang w:val="fr-FR"/>
        </w:rPr>
        <w:t>préjudice moral.</w:t>
      </w:r>
    </w:p>
    <w:p w14:paraId="4968D228" w14:textId="77777777" w:rsidR="00AF2FC6" w:rsidRPr="0062716A" w:rsidRDefault="00AF2FC6" w:rsidP="006F7894">
      <w:pPr>
        <w:pStyle w:val="SingleTxtG"/>
        <w:rPr>
          <w:lang w:val="fr-FR"/>
        </w:rPr>
      </w:pPr>
      <w:r w:rsidRPr="0062716A">
        <w:rPr>
          <w:lang w:val="fr-FR"/>
        </w:rPr>
        <w:t>4.6</w:t>
      </w:r>
      <w:r w:rsidRPr="0062716A">
        <w:rPr>
          <w:lang w:val="fr-FR"/>
        </w:rPr>
        <w:tab/>
        <w:t>En ce qui concerne la d</w:t>
      </w:r>
      <w:r>
        <w:rPr>
          <w:lang w:val="fr-FR"/>
        </w:rPr>
        <w:t xml:space="preserve">emande </w:t>
      </w:r>
      <w:r w:rsidRPr="0062716A">
        <w:rPr>
          <w:lang w:val="fr-FR"/>
        </w:rPr>
        <w:t>d</w:t>
      </w:r>
      <w:r>
        <w:rPr>
          <w:lang w:val="fr-FR"/>
        </w:rPr>
        <w:t>’</w:t>
      </w:r>
      <w:r w:rsidRPr="0062716A">
        <w:rPr>
          <w:lang w:val="fr-FR"/>
        </w:rPr>
        <w:t>accès immédiat et gratuit à des soins médicaux et psychologiques, le Ministère des droits de l</w:t>
      </w:r>
      <w:r>
        <w:rPr>
          <w:lang w:val="fr-FR"/>
        </w:rPr>
        <w:t>’</w:t>
      </w:r>
      <w:r w:rsidRPr="0062716A">
        <w:rPr>
          <w:lang w:val="fr-FR"/>
        </w:rPr>
        <w:t>homme et des réfugiés a indiqué que, conformément à la loi sur la protection sociale, la protection des victimes de guerre civiles et la protection des familles avec enfants, la requérante bénéfici</w:t>
      </w:r>
      <w:r>
        <w:rPr>
          <w:lang w:val="fr-FR"/>
        </w:rPr>
        <w:t>ait</w:t>
      </w:r>
      <w:r w:rsidRPr="0062716A">
        <w:rPr>
          <w:lang w:val="fr-FR"/>
        </w:rPr>
        <w:t xml:space="preserve"> gratuitement des services d</w:t>
      </w:r>
      <w:r>
        <w:rPr>
          <w:lang w:val="fr-FR"/>
        </w:rPr>
        <w:t>es</w:t>
      </w:r>
      <w:r w:rsidRPr="0062716A">
        <w:rPr>
          <w:lang w:val="fr-FR"/>
        </w:rPr>
        <w:t xml:space="preserve"> </w:t>
      </w:r>
      <w:r>
        <w:rPr>
          <w:lang w:val="fr-FR"/>
        </w:rPr>
        <w:t xml:space="preserve">centres </w:t>
      </w:r>
      <w:r w:rsidRPr="0062716A">
        <w:rPr>
          <w:lang w:val="fr-FR"/>
        </w:rPr>
        <w:t xml:space="preserve">de santé mentale et </w:t>
      </w:r>
      <w:r>
        <w:rPr>
          <w:lang w:val="fr-FR"/>
        </w:rPr>
        <w:t xml:space="preserve">des centres </w:t>
      </w:r>
      <w:r w:rsidRPr="0062716A">
        <w:rPr>
          <w:lang w:val="fr-FR"/>
        </w:rPr>
        <w:t>d</w:t>
      </w:r>
      <w:r>
        <w:rPr>
          <w:lang w:val="fr-FR"/>
        </w:rPr>
        <w:t>’</w:t>
      </w:r>
      <w:r w:rsidRPr="0062716A">
        <w:rPr>
          <w:lang w:val="fr-FR"/>
        </w:rPr>
        <w:t xml:space="preserve">action sociale ainsi que de soins de santé primaires et secondaires. La plupart de ces services sont gratuits, seuls </w:t>
      </w:r>
      <w:r>
        <w:rPr>
          <w:lang w:val="fr-FR"/>
        </w:rPr>
        <w:t xml:space="preserve">certains </w:t>
      </w:r>
      <w:r w:rsidRPr="0062716A">
        <w:rPr>
          <w:lang w:val="fr-FR"/>
        </w:rPr>
        <w:t>services médicaux spécialisés étant payants.</w:t>
      </w:r>
    </w:p>
    <w:p w14:paraId="55532CA2" w14:textId="77777777" w:rsidR="00AF2FC6" w:rsidRPr="0062716A" w:rsidRDefault="00AF2FC6" w:rsidP="006F7894">
      <w:pPr>
        <w:pStyle w:val="SingleTxtG"/>
        <w:rPr>
          <w:lang w:val="fr-FR"/>
        </w:rPr>
      </w:pPr>
      <w:r w:rsidRPr="0062716A">
        <w:rPr>
          <w:lang w:val="fr-FR"/>
        </w:rPr>
        <w:lastRenderedPageBreak/>
        <w:t>4.7</w:t>
      </w:r>
      <w:r w:rsidRPr="0062716A">
        <w:rPr>
          <w:lang w:val="fr-FR"/>
        </w:rPr>
        <w:tab/>
        <w:t>Le Ministère des droits de l</w:t>
      </w:r>
      <w:r>
        <w:rPr>
          <w:lang w:val="fr-FR"/>
        </w:rPr>
        <w:t>’</w:t>
      </w:r>
      <w:r w:rsidRPr="0062716A">
        <w:rPr>
          <w:lang w:val="fr-FR"/>
        </w:rPr>
        <w:t xml:space="preserve">homme et des réfugiés a indiqué que </w:t>
      </w:r>
      <w:r>
        <w:rPr>
          <w:lang w:val="fr-FR"/>
        </w:rPr>
        <w:t xml:space="preserve">durant le procès pénal </w:t>
      </w:r>
      <w:r w:rsidRPr="0062716A">
        <w:rPr>
          <w:lang w:val="fr-FR"/>
        </w:rPr>
        <w:t xml:space="preserve">la requérante avait </w:t>
      </w:r>
      <w:r>
        <w:rPr>
          <w:lang w:val="fr-FR"/>
        </w:rPr>
        <w:t>bénéficié d’</w:t>
      </w:r>
      <w:r w:rsidRPr="0062716A">
        <w:rPr>
          <w:lang w:val="fr-FR"/>
        </w:rPr>
        <w:t xml:space="preserve">un </w:t>
      </w:r>
      <w:r>
        <w:rPr>
          <w:lang w:val="fr-FR"/>
        </w:rPr>
        <w:t xml:space="preserve">accompagnement </w:t>
      </w:r>
      <w:r w:rsidRPr="0062716A">
        <w:rPr>
          <w:lang w:val="fr-FR"/>
        </w:rPr>
        <w:t xml:space="preserve">psychologique </w:t>
      </w:r>
      <w:r>
        <w:rPr>
          <w:lang w:val="fr-FR"/>
        </w:rPr>
        <w:t>du S</w:t>
      </w:r>
      <w:r w:rsidRPr="0062716A">
        <w:rPr>
          <w:lang w:val="fr-FR"/>
        </w:rPr>
        <w:t>ervice d</w:t>
      </w:r>
      <w:r>
        <w:rPr>
          <w:lang w:val="fr-FR"/>
        </w:rPr>
        <w:t>’</w:t>
      </w:r>
      <w:r w:rsidRPr="0062716A">
        <w:rPr>
          <w:lang w:val="fr-FR"/>
        </w:rPr>
        <w:t xml:space="preserve">assistance aux témoins de la Cour de Bosnie-Herzégovine. Ce service </w:t>
      </w:r>
      <w:r>
        <w:rPr>
          <w:lang w:val="fr-FR"/>
        </w:rPr>
        <w:t xml:space="preserve">dispense </w:t>
      </w:r>
      <w:r w:rsidRPr="0062716A">
        <w:rPr>
          <w:lang w:val="fr-FR"/>
        </w:rPr>
        <w:t xml:space="preserve">à toutes les personnes témoignant devant la Cour un </w:t>
      </w:r>
      <w:r>
        <w:rPr>
          <w:lang w:val="fr-FR"/>
        </w:rPr>
        <w:t xml:space="preserve">soutien </w:t>
      </w:r>
      <w:r w:rsidRPr="0062716A">
        <w:rPr>
          <w:lang w:val="fr-FR"/>
        </w:rPr>
        <w:t>d</w:t>
      </w:r>
      <w:r>
        <w:rPr>
          <w:lang w:val="fr-FR"/>
        </w:rPr>
        <w:t>’</w:t>
      </w:r>
      <w:r w:rsidRPr="0062716A">
        <w:rPr>
          <w:lang w:val="fr-FR"/>
        </w:rPr>
        <w:t xml:space="preserve">ordre notamment psychologique, affectif, logistique et administratif. Le Ministère </w:t>
      </w:r>
      <w:r>
        <w:rPr>
          <w:lang w:val="fr-FR"/>
        </w:rPr>
        <w:t xml:space="preserve">déclare </w:t>
      </w:r>
      <w:r w:rsidRPr="0062716A">
        <w:rPr>
          <w:lang w:val="fr-FR"/>
        </w:rPr>
        <w:t xml:space="preserve">que la réparation </w:t>
      </w:r>
      <w:r>
        <w:rPr>
          <w:lang w:val="fr-FR"/>
        </w:rPr>
        <w:t xml:space="preserve">en question </w:t>
      </w:r>
      <w:r w:rsidRPr="0062716A">
        <w:rPr>
          <w:lang w:val="fr-FR"/>
        </w:rPr>
        <w:t>n</w:t>
      </w:r>
      <w:r>
        <w:rPr>
          <w:lang w:val="fr-FR"/>
        </w:rPr>
        <w:t>’</w:t>
      </w:r>
      <w:r w:rsidRPr="0062716A">
        <w:rPr>
          <w:lang w:val="fr-FR"/>
        </w:rPr>
        <w:t xml:space="preserve">a </w:t>
      </w:r>
      <w:r>
        <w:rPr>
          <w:lang w:val="fr-FR"/>
        </w:rPr>
        <w:t xml:space="preserve">donc </w:t>
      </w:r>
      <w:r w:rsidRPr="0062716A">
        <w:rPr>
          <w:lang w:val="fr-FR"/>
        </w:rPr>
        <w:t>pas besoin d</w:t>
      </w:r>
      <w:r>
        <w:rPr>
          <w:lang w:val="fr-FR"/>
        </w:rPr>
        <w:t>’</w:t>
      </w:r>
      <w:r w:rsidRPr="0062716A">
        <w:rPr>
          <w:lang w:val="fr-FR"/>
        </w:rPr>
        <w:t xml:space="preserve">être accordée puisque la requérante </w:t>
      </w:r>
      <w:r>
        <w:rPr>
          <w:lang w:val="fr-FR"/>
        </w:rPr>
        <w:t>a déjà accès à</w:t>
      </w:r>
      <w:r w:rsidRPr="0062716A">
        <w:rPr>
          <w:lang w:val="fr-FR"/>
        </w:rPr>
        <w:t xml:space="preserve"> tous les soins médicaux et psychologiques qu</w:t>
      </w:r>
      <w:r>
        <w:rPr>
          <w:lang w:val="fr-FR"/>
        </w:rPr>
        <w:t>’</w:t>
      </w:r>
      <w:r w:rsidRPr="0062716A">
        <w:rPr>
          <w:lang w:val="fr-FR"/>
        </w:rPr>
        <w:t xml:space="preserve">elle </w:t>
      </w:r>
      <w:r>
        <w:rPr>
          <w:lang w:val="fr-FR"/>
        </w:rPr>
        <w:t>demande</w:t>
      </w:r>
      <w:r w:rsidRPr="0062716A">
        <w:rPr>
          <w:lang w:val="fr-FR"/>
        </w:rPr>
        <w:t>.</w:t>
      </w:r>
    </w:p>
    <w:p w14:paraId="72E43677" w14:textId="77777777" w:rsidR="00AF2FC6" w:rsidRPr="0062716A" w:rsidRDefault="00AF2FC6" w:rsidP="006F7894">
      <w:pPr>
        <w:pStyle w:val="SingleTxtG"/>
        <w:rPr>
          <w:b/>
          <w:lang w:val="fr-FR" w:eastAsia="en-GB"/>
        </w:rPr>
      </w:pPr>
      <w:r w:rsidRPr="0062716A">
        <w:rPr>
          <w:lang w:val="fr-FR"/>
        </w:rPr>
        <w:t>4.8</w:t>
      </w:r>
      <w:r w:rsidRPr="0062716A">
        <w:rPr>
          <w:lang w:val="fr-FR"/>
        </w:rPr>
        <w:tab/>
        <w:t>En ce qui concerne la présentation d</w:t>
      </w:r>
      <w:r>
        <w:rPr>
          <w:lang w:val="fr-FR"/>
        </w:rPr>
        <w:t>’</w:t>
      </w:r>
      <w:r w:rsidRPr="0062716A">
        <w:rPr>
          <w:lang w:val="fr-FR"/>
        </w:rPr>
        <w:t>excuses officielles à la requérante et à sa famille, l</w:t>
      </w:r>
      <w:r>
        <w:rPr>
          <w:lang w:val="fr-FR"/>
        </w:rPr>
        <w:t>’</w:t>
      </w:r>
      <w:r w:rsidRPr="0062716A">
        <w:rPr>
          <w:lang w:val="fr-FR"/>
        </w:rPr>
        <w:t>État partie déclare que, même si la législation en vigueur et la pratique en matière d</w:t>
      </w:r>
      <w:r>
        <w:rPr>
          <w:lang w:val="fr-FR"/>
        </w:rPr>
        <w:t>’</w:t>
      </w:r>
      <w:r w:rsidRPr="0062716A">
        <w:rPr>
          <w:lang w:val="fr-FR"/>
        </w:rPr>
        <w:t>application de la loi ne prévoient pas la présentation d</w:t>
      </w:r>
      <w:r>
        <w:rPr>
          <w:lang w:val="fr-FR"/>
        </w:rPr>
        <w:t>’</w:t>
      </w:r>
      <w:r w:rsidRPr="0062716A">
        <w:rPr>
          <w:lang w:val="fr-FR"/>
        </w:rPr>
        <w:t>excuses officielles</w:t>
      </w:r>
      <w:r w:rsidRPr="007C3FFD">
        <w:rPr>
          <w:rStyle w:val="Appelnotedebasdep"/>
        </w:rPr>
        <w:footnoteReference w:id="30"/>
      </w:r>
      <w:r w:rsidRPr="0062716A">
        <w:rPr>
          <w:lang w:val="fr-FR"/>
        </w:rPr>
        <w:t xml:space="preserve"> aux victimes de </w:t>
      </w:r>
      <w:r>
        <w:rPr>
          <w:lang w:val="fr-FR"/>
        </w:rPr>
        <w:t xml:space="preserve">la </w:t>
      </w:r>
      <w:r w:rsidRPr="0062716A">
        <w:rPr>
          <w:lang w:val="fr-FR"/>
        </w:rPr>
        <w:t xml:space="preserve">torture, </w:t>
      </w:r>
      <w:r>
        <w:rPr>
          <w:lang w:val="fr-FR"/>
        </w:rPr>
        <w:t xml:space="preserve">il </w:t>
      </w:r>
      <w:r w:rsidRPr="0062716A">
        <w:rPr>
          <w:lang w:val="fr-FR"/>
        </w:rPr>
        <w:t>juge une telle réparation acceptable.</w:t>
      </w:r>
    </w:p>
    <w:p w14:paraId="380A577C" w14:textId="77777777" w:rsidR="00AF2FC6" w:rsidRPr="0062716A" w:rsidRDefault="00AF2FC6" w:rsidP="006F7894">
      <w:pPr>
        <w:pStyle w:val="SingleTxtG"/>
        <w:rPr>
          <w:lang w:val="fr-FR"/>
        </w:rPr>
      </w:pPr>
      <w:r w:rsidRPr="0062716A">
        <w:rPr>
          <w:lang w:val="fr-FR"/>
        </w:rPr>
        <w:t>4.9</w:t>
      </w:r>
      <w:r w:rsidRPr="0062716A">
        <w:rPr>
          <w:lang w:val="fr-FR"/>
        </w:rPr>
        <w:tab/>
        <w:t xml:space="preserve">En ce qui concerne le délai de prescription </w:t>
      </w:r>
      <w:r>
        <w:rPr>
          <w:lang w:val="fr-FR"/>
        </w:rPr>
        <w:t xml:space="preserve">appliqué aux </w:t>
      </w:r>
      <w:r w:rsidRPr="0062716A">
        <w:rPr>
          <w:lang w:val="fr-FR"/>
        </w:rPr>
        <w:t xml:space="preserve">demandes </w:t>
      </w:r>
      <w:r>
        <w:rPr>
          <w:lang w:val="fr-FR"/>
        </w:rPr>
        <w:t xml:space="preserve">d’indemnisation du </w:t>
      </w:r>
      <w:r w:rsidRPr="0062716A">
        <w:rPr>
          <w:lang w:val="fr-FR"/>
        </w:rPr>
        <w:t xml:space="preserve">préjudice moral causé par </w:t>
      </w:r>
      <w:r>
        <w:rPr>
          <w:lang w:val="fr-FR"/>
        </w:rPr>
        <w:t>d</w:t>
      </w:r>
      <w:r w:rsidRPr="0062716A">
        <w:rPr>
          <w:lang w:val="fr-FR"/>
        </w:rPr>
        <w:t xml:space="preserve">es crimes de torture et </w:t>
      </w:r>
      <w:r>
        <w:rPr>
          <w:lang w:val="fr-FR"/>
        </w:rPr>
        <w:t>d</w:t>
      </w:r>
      <w:r w:rsidRPr="0062716A">
        <w:rPr>
          <w:lang w:val="fr-FR"/>
        </w:rPr>
        <w:t>es actes de violence sexuelle liés aux conflits armés, l</w:t>
      </w:r>
      <w:r>
        <w:rPr>
          <w:lang w:val="fr-FR"/>
        </w:rPr>
        <w:t>’</w:t>
      </w:r>
      <w:r w:rsidRPr="0062716A">
        <w:rPr>
          <w:lang w:val="fr-FR"/>
        </w:rPr>
        <w:t xml:space="preserve">État partie </w:t>
      </w:r>
      <w:r>
        <w:rPr>
          <w:lang w:val="fr-FR"/>
        </w:rPr>
        <w:t xml:space="preserve">indique </w:t>
      </w:r>
      <w:r w:rsidRPr="0062716A">
        <w:rPr>
          <w:lang w:val="fr-FR"/>
        </w:rPr>
        <w:t>que la réparation demandée</w:t>
      </w:r>
      <w:r>
        <w:rPr>
          <w:lang w:val="fr-FR"/>
        </w:rPr>
        <w:t>,</w:t>
      </w:r>
      <w:r w:rsidRPr="0062716A">
        <w:rPr>
          <w:lang w:val="fr-FR"/>
        </w:rPr>
        <w:t xml:space="preserve"> </w:t>
      </w:r>
      <w:r>
        <w:rPr>
          <w:lang w:val="fr-FR"/>
        </w:rPr>
        <w:t xml:space="preserve">à savoir une modification de sa </w:t>
      </w:r>
      <w:r w:rsidRPr="0062716A">
        <w:rPr>
          <w:lang w:val="fr-FR"/>
        </w:rPr>
        <w:t xml:space="preserve">législation et </w:t>
      </w:r>
      <w:r>
        <w:rPr>
          <w:lang w:val="fr-FR"/>
        </w:rPr>
        <w:t xml:space="preserve">sa </w:t>
      </w:r>
      <w:r w:rsidRPr="0062716A">
        <w:rPr>
          <w:lang w:val="fr-FR"/>
        </w:rPr>
        <w:t>pratique en vigueur</w:t>
      </w:r>
      <w:r>
        <w:rPr>
          <w:lang w:val="fr-FR"/>
        </w:rPr>
        <w:t>,</w:t>
      </w:r>
      <w:r w:rsidRPr="0062716A">
        <w:rPr>
          <w:lang w:val="fr-FR"/>
        </w:rPr>
        <w:t xml:space="preserve"> est acceptable puisque la Bosnie-Herzégovine n</w:t>
      </w:r>
      <w:r>
        <w:rPr>
          <w:lang w:val="fr-FR"/>
        </w:rPr>
        <w:t>’</w:t>
      </w:r>
      <w:r w:rsidRPr="0062716A">
        <w:rPr>
          <w:lang w:val="fr-FR"/>
        </w:rPr>
        <w:t xml:space="preserve">a pas aligné sa législation sur les dispositions de la Convention </w:t>
      </w:r>
      <w:r>
        <w:rPr>
          <w:lang w:val="fr-FR"/>
        </w:rPr>
        <w:t xml:space="preserve">ni </w:t>
      </w:r>
      <w:r w:rsidRPr="0062716A">
        <w:rPr>
          <w:lang w:val="fr-FR"/>
        </w:rPr>
        <w:t xml:space="preserve">sur </w:t>
      </w:r>
      <w:r>
        <w:rPr>
          <w:lang w:val="fr-FR"/>
        </w:rPr>
        <w:t>cel</w:t>
      </w:r>
      <w:r w:rsidRPr="0062716A">
        <w:rPr>
          <w:lang w:val="fr-FR"/>
        </w:rPr>
        <w:t>les de la Convention européenne relative au dédommagement des victimes d</w:t>
      </w:r>
      <w:r>
        <w:rPr>
          <w:lang w:val="fr-FR"/>
        </w:rPr>
        <w:t>’</w:t>
      </w:r>
      <w:r w:rsidRPr="0062716A">
        <w:rPr>
          <w:lang w:val="fr-FR"/>
        </w:rPr>
        <w:t xml:space="preserve">infractions </w:t>
      </w:r>
      <w:r>
        <w:rPr>
          <w:lang w:val="fr-FR"/>
        </w:rPr>
        <w:t>violentes</w:t>
      </w:r>
      <w:r w:rsidRPr="0062716A">
        <w:rPr>
          <w:lang w:val="fr-FR"/>
        </w:rPr>
        <w:t>.</w:t>
      </w:r>
    </w:p>
    <w:p w14:paraId="7FCB0B62" w14:textId="77777777" w:rsidR="00AF2FC6" w:rsidRPr="0062716A" w:rsidRDefault="00AF2FC6" w:rsidP="006F7894">
      <w:pPr>
        <w:pStyle w:val="SingleTxtG"/>
        <w:rPr>
          <w:b/>
          <w:lang w:val="fr-FR" w:eastAsia="en-GB"/>
        </w:rPr>
      </w:pPr>
      <w:r w:rsidRPr="0062716A">
        <w:rPr>
          <w:lang w:val="fr-FR"/>
        </w:rPr>
        <w:t>4.10</w:t>
      </w:r>
      <w:r w:rsidRPr="0062716A">
        <w:rPr>
          <w:lang w:val="fr-FR"/>
        </w:rPr>
        <w:tab/>
        <w:t>S</w:t>
      </w:r>
      <w:r>
        <w:rPr>
          <w:lang w:val="fr-FR"/>
        </w:rPr>
        <w:t>’</w:t>
      </w:r>
      <w:r w:rsidRPr="0062716A">
        <w:rPr>
          <w:lang w:val="fr-FR"/>
        </w:rPr>
        <w:t xml:space="preserve">agissant de la demande de la requérante exigeant, </w:t>
      </w:r>
      <w:r>
        <w:rPr>
          <w:lang w:val="fr-FR"/>
        </w:rPr>
        <w:t xml:space="preserve">en </w:t>
      </w:r>
      <w:r w:rsidRPr="0062716A">
        <w:rPr>
          <w:lang w:val="fr-FR"/>
        </w:rPr>
        <w:t>application du principe de responsabilité subsidiaire, d</w:t>
      </w:r>
      <w:r>
        <w:rPr>
          <w:lang w:val="fr-FR"/>
        </w:rPr>
        <w:t>e recevoir son indemnisation</w:t>
      </w:r>
      <w:r w:rsidRPr="0062716A">
        <w:rPr>
          <w:lang w:val="fr-FR"/>
        </w:rPr>
        <w:t xml:space="preserve"> même si l</w:t>
      </w:r>
      <w:r>
        <w:rPr>
          <w:lang w:val="fr-FR"/>
        </w:rPr>
        <w:t>’</w:t>
      </w:r>
      <w:r w:rsidRPr="0062716A">
        <w:rPr>
          <w:lang w:val="fr-FR"/>
        </w:rPr>
        <w:t>auteur des infractions n</w:t>
      </w:r>
      <w:r>
        <w:rPr>
          <w:lang w:val="fr-FR"/>
        </w:rPr>
        <w:t>’</w:t>
      </w:r>
      <w:r w:rsidRPr="0062716A">
        <w:rPr>
          <w:lang w:val="fr-FR"/>
        </w:rPr>
        <w:t xml:space="preserve">a pas les moyens de </w:t>
      </w:r>
      <w:r>
        <w:rPr>
          <w:lang w:val="fr-FR"/>
        </w:rPr>
        <w:t>verser celle-ci</w:t>
      </w:r>
      <w:r w:rsidRPr="0062716A">
        <w:rPr>
          <w:lang w:val="fr-FR"/>
        </w:rPr>
        <w:t>, l</w:t>
      </w:r>
      <w:r>
        <w:rPr>
          <w:lang w:val="fr-FR"/>
        </w:rPr>
        <w:t>’</w:t>
      </w:r>
      <w:r w:rsidRPr="0062716A">
        <w:rPr>
          <w:lang w:val="fr-FR"/>
        </w:rPr>
        <w:t xml:space="preserve">État partie juge </w:t>
      </w:r>
      <w:r>
        <w:rPr>
          <w:lang w:val="fr-FR"/>
        </w:rPr>
        <w:t xml:space="preserve">cette réparation </w:t>
      </w:r>
      <w:r w:rsidRPr="0062716A">
        <w:rPr>
          <w:lang w:val="fr-FR"/>
        </w:rPr>
        <w:t>acceptable puisqu</w:t>
      </w:r>
      <w:r>
        <w:rPr>
          <w:lang w:val="fr-FR"/>
        </w:rPr>
        <w:t>’</w:t>
      </w:r>
      <w:r w:rsidRPr="0062716A">
        <w:rPr>
          <w:lang w:val="fr-FR"/>
        </w:rPr>
        <w:t>il est tenu d</w:t>
      </w:r>
      <w:r>
        <w:rPr>
          <w:lang w:val="fr-FR"/>
        </w:rPr>
        <w:t>’</w:t>
      </w:r>
      <w:r w:rsidRPr="0062716A">
        <w:rPr>
          <w:lang w:val="fr-FR"/>
        </w:rPr>
        <w:t>aligner sa législation sur les normes internationales.</w:t>
      </w:r>
    </w:p>
    <w:p w14:paraId="2B80988D" w14:textId="77777777" w:rsidR="00AF2FC6" w:rsidRPr="0062716A" w:rsidRDefault="00AF2FC6" w:rsidP="006F7894">
      <w:pPr>
        <w:pStyle w:val="H23G"/>
        <w:rPr>
          <w:lang w:val="fr-FR"/>
        </w:rPr>
      </w:pPr>
      <w:r w:rsidRPr="0062716A">
        <w:rPr>
          <w:lang w:val="fr-FR"/>
        </w:rPr>
        <w:tab/>
      </w:r>
      <w:r w:rsidRPr="0062716A">
        <w:rPr>
          <w:lang w:val="fr-FR"/>
        </w:rPr>
        <w:tab/>
        <w:t>Commentaires de la requérante sur les observations de l</w:t>
      </w:r>
      <w:r>
        <w:rPr>
          <w:lang w:val="fr-FR"/>
        </w:rPr>
        <w:t>’</w:t>
      </w:r>
      <w:r w:rsidRPr="0062716A">
        <w:rPr>
          <w:lang w:val="fr-FR"/>
        </w:rPr>
        <w:t>État partie</w:t>
      </w:r>
    </w:p>
    <w:p w14:paraId="7F692D10" w14:textId="77777777" w:rsidR="00AF2FC6" w:rsidRPr="0062716A" w:rsidRDefault="00AF2FC6" w:rsidP="006F7894">
      <w:pPr>
        <w:pStyle w:val="SingleTxtG"/>
        <w:rPr>
          <w:lang w:val="fr-FR"/>
        </w:rPr>
      </w:pPr>
      <w:r w:rsidRPr="0062716A">
        <w:rPr>
          <w:lang w:val="fr-FR"/>
        </w:rPr>
        <w:t>5.1</w:t>
      </w:r>
      <w:r w:rsidRPr="0062716A">
        <w:rPr>
          <w:lang w:val="fr-FR"/>
        </w:rPr>
        <w:tab/>
        <w:t>Le 21</w:t>
      </w:r>
      <w:r>
        <w:rPr>
          <w:lang w:val="fr-FR"/>
        </w:rPr>
        <w:t> </w:t>
      </w:r>
      <w:r w:rsidRPr="0062716A">
        <w:rPr>
          <w:lang w:val="fr-FR"/>
        </w:rPr>
        <w:t>février 2019, la requérante a fait part de ses commentaires sur les observations de l</w:t>
      </w:r>
      <w:r>
        <w:rPr>
          <w:lang w:val="fr-FR"/>
        </w:rPr>
        <w:t>’</w:t>
      </w:r>
      <w:r w:rsidRPr="0062716A">
        <w:rPr>
          <w:lang w:val="fr-FR"/>
        </w:rPr>
        <w:t>État partie, réitérant les faits de la cause et l</w:t>
      </w:r>
      <w:r>
        <w:rPr>
          <w:lang w:val="fr-FR"/>
        </w:rPr>
        <w:t>’</w:t>
      </w:r>
      <w:r w:rsidRPr="0062716A">
        <w:rPr>
          <w:lang w:val="fr-FR"/>
        </w:rPr>
        <w:t xml:space="preserve">ensemble de ses arguments et de ses </w:t>
      </w:r>
      <w:r>
        <w:rPr>
          <w:lang w:val="fr-FR"/>
        </w:rPr>
        <w:t>griefs</w:t>
      </w:r>
      <w:r w:rsidRPr="0062716A">
        <w:rPr>
          <w:lang w:val="fr-FR"/>
        </w:rPr>
        <w:t>. Elle ajoute que</w:t>
      </w:r>
      <w:r>
        <w:rPr>
          <w:lang w:val="fr-FR"/>
        </w:rPr>
        <w:t>,</w:t>
      </w:r>
      <w:r w:rsidRPr="0062716A">
        <w:rPr>
          <w:lang w:val="fr-FR"/>
        </w:rPr>
        <w:t xml:space="preserve"> depuis qu</w:t>
      </w:r>
      <w:r>
        <w:rPr>
          <w:lang w:val="fr-FR"/>
        </w:rPr>
        <w:t>’</w:t>
      </w:r>
      <w:r w:rsidRPr="0062716A">
        <w:rPr>
          <w:lang w:val="fr-FR"/>
        </w:rPr>
        <w:t>elle a saisi le Comité, son état de santé physique et psychologique s</w:t>
      </w:r>
      <w:r>
        <w:rPr>
          <w:lang w:val="fr-FR"/>
        </w:rPr>
        <w:t>’</w:t>
      </w:r>
      <w:r w:rsidRPr="0062716A">
        <w:rPr>
          <w:lang w:val="fr-FR"/>
        </w:rPr>
        <w:t xml:space="preserve">est détérioré à cause du stress supplémentaire </w:t>
      </w:r>
      <w:r>
        <w:rPr>
          <w:lang w:val="fr-FR"/>
        </w:rPr>
        <w:t xml:space="preserve">engendré par la </w:t>
      </w:r>
      <w:r w:rsidRPr="0062716A">
        <w:rPr>
          <w:lang w:val="fr-FR"/>
        </w:rPr>
        <w:t>procédure.</w:t>
      </w:r>
    </w:p>
    <w:p w14:paraId="00F2C8D6" w14:textId="77777777" w:rsidR="00AF2FC6" w:rsidRPr="0062716A" w:rsidRDefault="00AF2FC6" w:rsidP="006F7894">
      <w:pPr>
        <w:pStyle w:val="SingleTxtG"/>
        <w:rPr>
          <w:lang w:val="fr-FR"/>
        </w:rPr>
      </w:pPr>
      <w:r w:rsidRPr="0062716A">
        <w:rPr>
          <w:lang w:val="fr-FR"/>
        </w:rPr>
        <w:t>5.2</w:t>
      </w:r>
      <w:r w:rsidRPr="0062716A">
        <w:rPr>
          <w:lang w:val="fr-FR"/>
        </w:rPr>
        <w:tab/>
      </w:r>
      <w:r>
        <w:rPr>
          <w:lang w:val="fr-FR"/>
        </w:rPr>
        <w:t xml:space="preserve">La </w:t>
      </w:r>
      <w:r w:rsidRPr="0062716A">
        <w:rPr>
          <w:lang w:val="fr-FR"/>
        </w:rPr>
        <w:t>requérante apporte certaines précisions</w:t>
      </w:r>
      <w:r w:rsidRPr="008072CE">
        <w:rPr>
          <w:lang w:val="fr-FR"/>
        </w:rPr>
        <w:t xml:space="preserve"> </w:t>
      </w:r>
      <w:r>
        <w:rPr>
          <w:lang w:val="fr-FR"/>
        </w:rPr>
        <w:t>quant au fait que l’</w:t>
      </w:r>
      <w:r w:rsidRPr="0062716A">
        <w:rPr>
          <w:lang w:val="fr-FR"/>
        </w:rPr>
        <w:t>État partie n</w:t>
      </w:r>
      <w:r>
        <w:rPr>
          <w:lang w:val="fr-FR"/>
        </w:rPr>
        <w:t>’</w:t>
      </w:r>
      <w:r w:rsidRPr="0062716A">
        <w:rPr>
          <w:lang w:val="fr-FR"/>
        </w:rPr>
        <w:t xml:space="preserve">a contesté </w:t>
      </w:r>
      <w:r>
        <w:rPr>
          <w:lang w:val="fr-FR"/>
        </w:rPr>
        <w:t xml:space="preserve">ni </w:t>
      </w:r>
      <w:r w:rsidRPr="0062716A">
        <w:rPr>
          <w:lang w:val="fr-FR"/>
        </w:rPr>
        <w:t xml:space="preserve">la recevabilité </w:t>
      </w:r>
      <w:r>
        <w:rPr>
          <w:lang w:val="fr-FR"/>
        </w:rPr>
        <w:t>ni le fond</w:t>
      </w:r>
      <w:r w:rsidRPr="0062716A">
        <w:rPr>
          <w:lang w:val="fr-FR"/>
        </w:rPr>
        <w:t xml:space="preserve"> de la communication. Elle </w:t>
      </w:r>
      <w:r>
        <w:rPr>
          <w:lang w:val="fr-FR"/>
        </w:rPr>
        <w:t>précise</w:t>
      </w:r>
      <w:r w:rsidRPr="0062716A">
        <w:rPr>
          <w:lang w:val="fr-FR"/>
        </w:rPr>
        <w:t xml:space="preserve"> que le retrait de sa demande </w:t>
      </w:r>
      <w:r>
        <w:rPr>
          <w:lang w:val="fr-FR"/>
        </w:rPr>
        <w:t xml:space="preserve">d’indemnisation </w:t>
      </w:r>
      <w:r w:rsidRPr="0062716A">
        <w:rPr>
          <w:lang w:val="fr-FR"/>
        </w:rPr>
        <w:t>est une conséquence directe du fait que la Cour de Bosnie-Herzégovine l</w:t>
      </w:r>
      <w:r>
        <w:rPr>
          <w:lang w:val="fr-FR"/>
        </w:rPr>
        <w:t>’</w:t>
      </w:r>
      <w:r w:rsidRPr="0062716A">
        <w:rPr>
          <w:lang w:val="fr-FR"/>
        </w:rPr>
        <w:t>a</w:t>
      </w:r>
      <w:r>
        <w:rPr>
          <w:lang w:val="fr-FR"/>
        </w:rPr>
        <w:t>vait</w:t>
      </w:r>
      <w:r w:rsidRPr="0062716A">
        <w:rPr>
          <w:lang w:val="fr-FR"/>
        </w:rPr>
        <w:t xml:space="preserve"> informée que l</w:t>
      </w:r>
      <w:r>
        <w:rPr>
          <w:lang w:val="fr-FR"/>
        </w:rPr>
        <w:t>’</w:t>
      </w:r>
      <w:r w:rsidRPr="0062716A">
        <w:rPr>
          <w:lang w:val="fr-FR"/>
        </w:rPr>
        <w:t>auteur des infrac</w:t>
      </w:r>
      <w:r>
        <w:rPr>
          <w:lang w:val="fr-FR"/>
        </w:rPr>
        <w:t xml:space="preserve">tions ne possédait aucun bien, </w:t>
      </w:r>
      <w:r w:rsidRPr="0062716A">
        <w:rPr>
          <w:lang w:val="fr-FR"/>
        </w:rPr>
        <w:t xml:space="preserve">indiquant </w:t>
      </w:r>
      <w:r>
        <w:rPr>
          <w:lang w:val="fr-FR"/>
        </w:rPr>
        <w:t>par</w:t>
      </w:r>
      <w:r>
        <w:rPr>
          <w:lang w:val="fr-FR"/>
        </w:rPr>
        <w:noBreakHyphen/>
        <w:t xml:space="preserve">là </w:t>
      </w:r>
      <w:r w:rsidRPr="0062716A">
        <w:rPr>
          <w:lang w:val="fr-FR"/>
        </w:rPr>
        <w:t>clairement qu</w:t>
      </w:r>
      <w:r>
        <w:rPr>
          <w:lang w:val="fr-FR"/>
        </w:rPr>
        <w:t>’</w:t>
      </w:r>
      <w:r w:rsidRPr="0062716A">
        <w:rPr>
          <w:lang w:val="fr-FR"/>
        </w:rPr>
        <w:t>il n</w:t>
      </w:r>
      <w:r>
        <w:rPr>
          <w:lang w:val="fr-FR"/>
        </w:rPr>
        <w:t>’</w:t>
      </w:r>
      <w:r w:rsidRPr="0062716A">
        <w:rPr>
          <w:lang w:val="fr-FR"/>
        </w:rPr>
        <w:t>y avait</w:t>
      </w:r>
      <w:r>
        <w:rPr>
          <w:lang w:val="fr-FR"/>
        </w:rPr>
        <w:t xml:space="preserve"> aucun moyen de faire exécuter s</w:t>
      </w:r>
      <w:r w:rsidRPr="0062716A">
        <w:rPr>
          <w:lang w:val="fr-FR"/>
        </w:rPr>
        <w:t>a décision, ce qu</w:t>
      </w:r>
      <w:r>
        <w:rPr>
          <w:lang w:val="fr-FR"/>
        </w:rPr>
        <w:t>i</w:t>
      </w:r>
      <w:r w:rsidRPr="0062716A">
        <w:rPr>
          <w:lang w:val="fr-FR"/>
        </w:rPr>
        <w:t xml:space="preserve"> </w:t>
      </w:r>
      <w:r>
        <w:rPr>
          <w:lang w:val="fr-FR"/>
        </w:rPr>
        <w:t xml:space="preserve">ne </w:t>
      </w:r>
      <w:r w:rsidRPr="0062716A">
        <w:rPr>
          <w:lang w:val="fr-FR"/>
        </w:rPr>
        <w:t>lui laissait pas d</w:t>
      </w:r>
      <w:r>
        <w:rPr>
          <w:lang w:val="fr-FR"/>
        </w:rPr>
        <w:t>’</w:t>
      </w:r>
      <w:r w:rsidRPr="0062716A">
        <w:rPr>
          <w:lang w:val="fr-FR"/>
        </w:rPr>
        <w:t>autre option que de retirer sa demande.</w:t>
      </w:r>
    </w:p>
    <w:p w14:paraId="7D0F5D54" w14:textId="77777777" w:rsidR="00AF2FC6" w:rsidRPr="0062716A" w:rsidRDefault="00AF2FC6" w:rsidP="006F7894">
      <w:pPr>
        <w:pStyle w:val="SingleTxtG"/>
        <w:rPr>
          <w:lang w:val="fr-FR"/>
        </w:rPr>
      </w:pPr>
      <w:r w:rsidRPr="0062716A">
        <w:rPr>
          <w:lang w:val="fr-FR"/>
        </w:rPr>
        <w:t>5.3</w:t>
      </w:r>
      <w:r w:rsidRPr="0062716A">
        <w:rPr>
          <w:lang w:val="fr-FR"/>
        </w:rPr>
        <w:tab/>
        <w:t>La requérante fait observer qu</w:t>
      </w:r>
      <w:r>
        <w:rPr>
          <w:lang w:val="fr-FR"/>
        </w:rPr>
        <w:t xml:space="preserve">e si </w:t>
      </w:r>
      <w:r w:rsidRPr="0062716A">
        <w:rPr>
          <w:lang w:val="fr-FR"/>
        </w:rPr>
        <w:t xml:space="preserve">elle </w:t>
      </w:r>
      <w:r>
        <w:rPr>
          <w:lang w:val="fr-FR"/>
        </w:rPr>
        <w:t xml:space="preserve">bénéficie bien </w:t>
      </w:r>
      <w:r w:rsidRPr="0062716A">
        <w:rPr>
          <w:lang w:val="fr-FR"/>
        </w:rPr>
        <w:t>d</w:t>
      </w:r>
      <w:r>
        <w:rPr>
          <w:lang w:val="fr-FR"/>
        </w:rPr>
        <w:t>’</w:t>
      </w:r>
      <w:r w:rsidRPr="0062716A">
        <w:rPr>
          <w:lang w:val="fr-FR"/>
        </w:rPr>
        <w:t>une pension d</w:t>
      </w:r>
      <w:r>
        <w:rPr>
          <w:lang w:val="fr-FR"/>
        </w:rPr>
        <w:t>’</w:t>
      </w:r>
      <w:r w:rsidRPr="0062716A">
        <w:rPr>
          <w:lang w:val="fr-FR"/>
        </w:rPr>
        <w:t>invalidité au titre de la loi sur la protection sociale, la protection des victimes de guerre civiles et la protection des familles avec enfants</w:t>
      </w:r>
      <w:r>
        <w:rPr>
          <w:lang w:val="fr-FR"/>
        </w:rPr>
        <w:t>,</w:t>
      </w:r>
      <w:r w:rsidRPr="0062716A">
        <w:rPr>
          <w:lang w:val="fr-FR"/>
        </w:rPr>
        <w:t xml:space="preserve"> le montant de cette pension n</w:t>
      </w:r>
      <w:r>
        <w:rPr>
          <w:lang w:val="fr-FR"/>
        </w:rPr>
        <w:t>’</w:t>
      </w:r>
      <w:r w:rsidRPr="0062716A">
        <w:rPr>
          <w:lang w:val="fr-FR"/>
        </w:rPr>
        <w:t>est pas de 59</w:t>
      </w:r>
      <w:r>
        <w:rPr>
          <w:lang w:val="fr-FR"/>
        </w:rPr>
        <w:t> </w:t>
      </w:r>
      <w:r w:rsidRPr="0062716A">
        <w:rPr>
          <w:lang w:val="fr-FR"/>
        </w:rPr>
        <w:t>494</w:t>
      </w:r>
      <w:r>
        <w:rPr>
          <w:lang w:val="fr-FR"/>
        </w:rPr>
        <w:t> marks</w:t>
      </w:r>
      <w:r w:rsidRPr="0062716A">
        <w:rPr>
          <w:lang w:val="fr-FR"/>
        </w:rPr>
        <w:t xml:space="preserve"> par mois, comme le prétend l</w:t>
      </w:r>
      <w:r>
        <w:rPr>
          <w:lang w:val="fr-FR"/>
        </w:rPr>
        <w:t>’</w:t>
      </w:r>
      <w:r w:rsidRPr="0062716A">
        <w:rPr>
          <w:lang w:val="fr-FR"/>
        </w:rPr>
        <w:t>État partie, mais de 600</w:t>
      </w:r>
      <w:r>
        <w:rPr>
          <w:lang w:val="fr-FR"/>
        </w:rPr>
        <w:t> marks</w:t>
      </w:r>
      <w:r w:rsidRPr="0062716A">
        <w:rPr>
          <w:lang w:val="fr-FR"/>
        </w:rPr>
        <w:t>. De plus, il s</w:t>
      </w:r>
      <w:r>
        <w:rPr>
          <w:lang w:val="fr-FR"/>
        </w:rPr>
        <w:t>’</w:t>
      </w:r>
      <w:r w:rsidRPr="0062716A">
        <w:rPr>
          <w:lang w:val="fr-FR"/>
        </w:rPr>
        <w:t>agit d</w:t>
      </w:r>
      <w:r>
        <w:rPr>
          <w:lang w:val="fr-FR"/>
        </w:rPr>
        <w:t>’</w:t>
      </w:r>
      <w:r w:rsidRPr="0062716A">
        <w:rPr>
          <w:lang w:val="fr-FR"/>
        </w:rPr>
        <w:t xml:space="preserve">une prestation sociale, </w:t>
      </w:r>
      <w:r>
        <w:rPr>
          <w:lang w:val="fr-FR"/>
        </w:rPr>
        <w:t>et non</w:t>
      </w:r>
      <w:r w:rsidRPr="0062716A">
        <w:rPr>
          <w:lang w:val="fr-FR"/>
        </w:rPr>
        <w:t xml:space="preserve"> </w:t>
      </w:r>
      <w:r>
        <w:rPr>
          <w:lang w:val="fr-FR"/>
        </w:rPr>
        <w:t xml:space="preserve">de l’indemnisation </w:t>
      </w:r>
      <w:r w:rsidRPr="0062716A">
        <w:rPr>
          <w:lang w:val="fr-FR"/>
        </w:rPr>
        <w:t xml:space="preserve">à laquelle elle a droit </w:t>
      </w:r>
      <w:r>
        <w:rPr>
          <w:lang w:val="fr-FR"/>
        </w:rPr>
        <w:t xml:space="preserve">en vertu de la décision </w:t>
      </w:r>
      <w:r w:rsidRPr="0062716A">
        <w:rPr>
          <w:lang w:val="fr-FR"/>
        </w:rPr>
        <w:t xml:space="preserve">de la Cour de Bosnie-Herzégovine et </w:t>
      </w:r>
      <w:r>
        <w:rPr>
          <w:lang w:val="fr-FR"/>
        </w:rPr>
        <w:t>du paragraphe 1 de</w:t>
      </w:r>
      <w:r w:rsidRPr="0062716A">
        <w:rPr>
          <w:lang w:val="fr-FR"/>
        </w:rPr>
        <w:t xml:space="preserve"> l</w:t>
      </w:r>
      <w:r>
        <w:rPr>
          <w:lang w:val="fr-FR"/>
        </w:rPr>
        <w:t>’</w:t>
      </w:r>
      <w:r w:rsidRPr="0062716A">
        <w:rPr>
          <w:lang w:val="fr-FR"/>
        </w:rPr>
        <w:t>article</w:t>
      </w:r>
      <w:r>
        <w:rPr>
          <w:lang w:val="fr-FR"/>
        </w:rPr>
        <w:t> </w:t>
      </w:r>
      <w:r w:rsidRPr="0062716A">
        <w:rPr>
          <w:lang w:val="fr-FR"/>
        </w:rPr>
        <w:t xml:space="preserve">14 de la Convention. </w:t>
      </w:r>
      <w:r>
        <w:rPr>
          <w:lang w:val="fr-FR"/>
        </w:rPr>
        <w:t xml:space="preserve">Les </w:t>
      </w:r>
      <w:r w:rsidRPr="0062716A">
        <w:rPr>
          <w:lang w:val="fr-FR"/>
        </w:rPr>
        <w:t>mesures administratives de protection sociale en faveur des victimes de violations flagrantes des droits de l</w:t>
      </w:r>
      <w:r>
        <w:rPr>
          <w:lang w:val="fr-FR"/>
        </w:rPr>
        <w:t>’</w:t>
      </w:r>
      <w:r w:rsidRPr="0062716A">
        <w:rPr>
          <w:lang w:val="fr-FR"/>
        </w:rPr>
        <w:t>homme peuvent compléter</w:t>
      </w:r>
      <w:r>
        <w:rPr>
          <w:lang w:val="fr-FR"/>
        </w:rPr>
        <w:t>,</w:t>
      </w:r>
      <w:r w:rsidRPr="0062716A">
        <w:rPr>
          <w:lang w:val="fr-FR"/>
        </w:rPr>
        <w:t xml:space="preserve"> mais non remplacer</w:t>
      </w:r>
      <w:r>
        <w:rPr>
          <w:lang w:val="fr-FR"/>
        </w:rPr>
        <w:t>,</w:t>
      </w:r>
      <w:r w:rsidRPr="0062716A">
        <w:rPr>
          <w:lang w:val="fr-FR"/>
        </w:rPr>
        <w:t xml:space="preserve"> </w:t>
      </w:r>
      <w:r>
        <w:rPr>
          <w:lang w:val="fr-FR"/>
        </w:rPr>
        <w:t>l’indemnisation</w:t>
      </w:r>
      <w:r w:rsidRPr="0062716A">
        <w:rPr>
          <w:lang w:val="fr-FR"/>
        </w:rPr>
        <w:t xml:space="preserve"> équitable et adéquat</w:t>
      </w:r>
      <w:r>
        <w:rPr>
          <w:lang w:val="fr-FR"/>
        </w:rPr>
        <w:t>e</w:t>
      </w:r>
      <w:r w:rsidRPr="0062716A">
        <w:rPr>
          <w:lang w:val="fr-FR"/>
        </w:rPr>
        <w:t xml:space="preserve"> </w:t>
      </w:r>
      <w:r>
        <w:rPr>
          <w:lang w:val="fr-FR"/>
        </w:rPr>
        <w:t xml:space="preserve">du </w:t>
      </w:r>
      <w:r w:rsidRPr="0062716A">
        <w:rPr>
          <w:lang w:val="fr-FR"/>
        </w:rPr>
        <w:t>préjudice subi.</w:t>
      </w:r>
    </w:p>
    <w:p w14:paraId="517C6A6F" w14:textId="77777777" w:rsidR="00AF2FC6" w:rsidRPr="0062716A" w:rsidRDefault="00AF2FC6" w:rsidP="006F7894">
      <w:pPr>
        <w:pStyle w:val="SingleTxtG"/>
        <w:rPr>
          <w:lang w:val="fr-FR"/>
        </w:rPr>
      </w:pPr>
      <w:r w:rsidRPr="0062716A">
        <w:rPr>
          <w:lang w:val="fr-FR"/>
        </w:rPr>
        <w:t>5.4</w:t>
      </w:r>
      <w:r w:rsidRPr="0062716A">
        <w:rPr>
          <w:lang w:val="fr-FR"/>
        </w:rPr>
        <w:tab/>
        <w:t xml:space="preserve">La requérante </w:t>
      </w:r>
      <w:r>
        <w:rPr>
          <w:lang w:val="fr-FR"/>
        </w:rPr>
        <w:t xml:space="preserve">relève que les </w:t>
      </w:r>
      <w:r w:rsidRPr="0062716A">
        <w:rPr>
          <w:lang w:val="fr-FR"/>
        </w:rPr>
        <w:t>engagement</w:t>
      </w:r>
      <w:r>
        <w:rPr>
          <w:lang w:val="fr-FR"/>
        </w:rPr>
        <w:t>s</w:t>
      </w:r>
      <w:r w:rsidRPr="0062716A">
        <w:rPr>
          <w:lang w:val="fr-FR"/>
        </w:rPr>
        <w:t xml:space="preserve"> pris par l</w:t>
      </w:r>
      <w:r>
        <w:rPr>
          <w:lang w:val="fr-FR"/>
        </w:rPr>
        <w:t>’</w:t>
      </w:r>
      <w:r w:rsidRPr="0062716A">
        <w:rPr>
          <w:lang w:val="fr-FR"/>
        </w:rPr>
        <w:t xml:space="preserve">État partie </w:t>
      </w:r>
      <w:r>
        <w:rPr>
          <w:lang w:val="fr-FR"/>
        </w:rPr>
        <w:t xml:space="preserve">ne couvrent </w:t>
      </w:r>
      <w:r w:rsidRPr="0062716A">
        <w:rPr>
          <w:lang w:val="fr-FR"/>
        </w:rPr>
        <w:t>pas toutes les mesures de réparation qu</w:t>
      </w:r>
      <w:r>
        <w:rPr>
          <w:lang w:val="fr-FR"/>
        </w:rPr>
        <w:t>’</w:t>
      </w:r>
      <w:r w:rsidRPr="0062716A">
        <w:rPr>
          <w:lang w:val="fr-FR"/>
        </w:rPr>
        <w:t xml:space="preserve">elle a demandées. À cet égard, </w:t>
      </w:r>
      <w:r>
        <w:rPr>
          <w:lang w:val="fr-FR"/>
        </w:rPr>
        <w:t>elle réitère</w:t>
      </w:r>
      <w:r w:rsidRPr="0062716A">
        <w:rPr>
          <w:lang w:val="fr-FR"/>
        </w:rPr>
        <w:t xml:space="preserve"> l</w:t>
      </w:r>
      <w:r>
        <w:rPr>
          <w:lang w:val="fr-FR"/>
        </w:rPr>
        <w:t>’</w:t>
      </w:r>
      <w:r w:rsidRPr="0062716A">
        <w:rPr>
          <w:lang w:val="fr-FR"/>
        </w:rPr>
        <w:t xml:space="preserve">ensemble de ses </w:t>
      </w:r>
      <w:r>
        <w:rPr>
          <w:lang w:val="fr-FR"/>
        </w:rPr>
        <w:t xml:space="preserve">demandes </w:t>
      </w:r>
      <w:r w:rsidRPr="0062716A">
        <w:rPr>
          <w:lang w:val="fr-FR"/>
        </w:rPr>
        <w:t>en matière de réparation. Elle ajoute que l</w:t>
      </w:r>
      <w:r>
        <w:rPr>
          <w:lang w:val="fr-FR"/>
        </w:rPr>
        <w:t>’</w:t>
      </w:r>
      <w:r w:rsidRPr="0062716A">
        <w:rPr>
          <w:lang w:val="fr-FR"/>
        </w:rPr>
        <w:t xml:space="preserve">adoption de la loi sur les droits des victimes de </w:t>
      </w:r>
      <w:r>
        <w:rPr>
          <w:lang w:val="fr-FR"/>
        </w:rPr>
        <w:t xml:space="preserve">la </w:t>
      </w:r>
      <w:r w:rsidRPr="0062716A">
        <w:rPr>
          <w:lang w:val="fr-FR"/>
        </w:rPr>
        <w:t xml:space="preserve">torture </w:t>
      </w:r>
      <w:r>
        <w:rPr>
          <w:lang w:val="fr-FR"/>
        </w:rPr>
        <w:t xml:space="preserve">et son application </w:t>
      </w:r>
      <w:r w:rsidRPr="0062716A">
        <w:rPr>
          <w:lang w:val="fr-FR"/>
        </w:rPr>
        <w:t>devrai</w:t>
      </w:r>
      <w:r>
        <w:rPr>
          <w:lang w:val="fr-FR"/>
        </w:rPr>
        <w:t xml:space="preserve">ent </w:t>
      </w:r>
      <w:r w:rsidRPr="0062716A">
        <w:rPr>
          <w:lang w:val="fr-FR"/>
        </w:rPr>
        <w:t>être considérée</w:t>
      </w:r>
      <w:r>
        <w:rPr>
          <w:lang w:val="fr-FR"/>
        </w:rPr>
        <w:t>s</w:t>
      </w:r>
      <w:r w:rsidRPr="0062716A">
        <w:rPr>
          <w:lang w:val="fr-FR"/>
        </w:rPr>
        <w:t xml:space="preserve"> comme </w:t>
      </w:r>
      <w:r>
        <w:rPr>
          <w:lang w:val="fr-FR"/>
        </w:rPr>
        <w:t xml:space="preserve">une </w:t>
      </w:r>
      <w:r w:rsidRPr="0062716A">
        <w:rPr>
          <w:lang w:val="fr-FR"/>
        </w:rPr>
        <w:t>mesure supplémentaire nécessaire</w:t>
      </w:r>
      <w:r>
        <w:rPr>
          <w:lang w:val="fr-FR"/>
        </w:rPr>
        <w:t xml:space="preserve"> </w:t>
      </w:r>
      <w:r w:rsidRPr="0062716A">
        <w:rPr>
          <w:lang w:val="fr-FR"/>
        </w:rPr>
        <w:t>pour remédier à un problème structurel et offrir des garanties de non-répétition.</w:t>
      </w:r>
    </w:p>
    <w:p w14:paraId="2D0C0090" w14:textId="77777777" w:rsidR="00AF2FC6" w:rsidRPr="0062716A" w:rsidRDefault="00AF2FC6" w:rsidP="006F7894">
      <w:pPr>
        <w:pStyle w:val="H23G"/>
        <w:rPr>
          <w:lang w:val="fr-FR"/>
        </w:rPr>
      </w:pPr>
      <w:r w:rsidRPr="0062716A">
        <w:rPr>
          <w:lang w:val="fr-FR"/>
        </w:rPr>
        <w:lastRenderedPageBreak/>
        <w:tab/>
      </w:r>
      <w:r w:rsidRPr="0062716A">
        <w:rPr>
          <w:lang w:val="fr-FR"/>
        </w:rPr>
        <w:tab/>
        <w:t>Délibérations du Comité</w:t>
      </w:r>
    </w:p>
    <w:p w14:paraId="407E5ECB" w14:textId="77777777" w:rsidR="00AF2FC6" w:rsidRPr="0062716A" w:rsidRDefault="00AF2FC6" w:rsidP="006F7894">
      <w:pPr>
        <w:pStyle w:val="H4G"/>
        <w:rPr>
          <w:b/>
          <w:lang w:val="fr-FR"/>
        </w:rPr>
      </w:pPr>
      <w:r w:rsidRPr="0062716A">
        <w:rPr>
          <w:lang w:val="fr-FR"/>
        </w:rPr>
        <w:tab/>
      </w:r>
      <w:r w:rsidRPr="0062716A">
        <w:rPr>
          <w:lang w:val="fr-FR"/>
        </w:rPr>
        <w:tab/>
        <w:t>Examen de la recevabilité</w:t>
      </w:r>
    </w:p>
    <w:p w14:paraId="4B075A5A" w14:textId="77777777" w:rsidR="00AF2FC6" w:rsidRPr="0062716A" w:rsidRDefault="00AF2FC6" w:rsidP="006F7894">
      <w:pPr>
        <w:pStyle w:val="SingleTxtG"/>
        <w:rPr>
          <w:lang w:val="fr-FR"/>
        </w:rPr>
      </w:pPr>
      <w:r w:rsidRPr="0062716A">
        <w:rPr>
          <w:lang w:val="fr-FR"/>
        </w:rPr>
        <w:t>6.1</w:t>
      </w:r>
      <w:r w:rsidRPr="0062716A">
        <w:rPr>
          <w:lang w:val="fr-FR"/>
        </w:rPr>
        <w:tab/>
        <w:t>Avant d</w:t>
      </w:r>
      <w:r>
        <w:rPr>
          <w:lang w:val="fr-FR"/>
        </w:rPr>
        <w:t>’</w:t>
      </w:r>
      <w:r w:rsidRPr="0062716A">
        <w:rPr>
          <w:lang w:val="fr-FR"/>
        </w:rPr>
        <w:t>examiner tout grief soumis dans une communication, le Comité doit déterminer s</w:t>
      </w:r>
      <w:r>
        <w:rPr>
          <w:lang w:val="fr-FR"/>
        </w:rPr>
        <w:t>’</w:t>
      </w:r>
      <w:r w:rsidRPr="0062716A">
        <w:rPr>
          <w:lang w:val="fr-FR"/>
        </w:rPr>
        <w:t>il</w:t>
      </w:r>
      <w:r>
        <w:rPr>
          <w:lang w:val="fr-FR"/>
        </w:rPr>
        <w:t xml:space="preserve"> </w:t>
      </w:r>
      <w:r w:rsidRPr="0062716A">
        <w:rPr>
          <w:lang w:val="fr-FR"/>
        </w:rPr>
        <w:t xml:space="preserve">est recevable au regard </w:t>
      </w:r>
      <w:r>
        <w:rPr>
          <w:lang w:val="fr-FR"/>
        </w:rPr>
        <w:t xml:space="preserve">de </w:t>
      </w:r>
      <w:r w:rsidRPr="0062716A">
        <w:rPr>
          <w:lang w:val="fr-FR"/>
        </w:rPr>
        <w:t>l</w:t>
      </w:r>
      <w:r>
        <w:rPr>
          <w:lang w:val="fr-FR"/>
        </w:rPr>
        <w:t>’</w:t>
      </w:r>
      <w:r w:rsidRPr="0062716A">
        <w:rPr>
          <w:lang w:val="fr-FR"/>
        </w:rPr>
        <w:t>article</w:t>
      </w:r>
      <w:r>
        <w:rPr>
          <w:lang w:val="fr-FR"/>
        </w:rPr>
        <w:t> </w:t>
      </w:r>
      <w:r w:rsidRPr="0062716A">
        <w:rPr>
          <w:lang w:val="fr-FR"/>
        </w:rPr>
        <w:t>22 de la Convention. Le Comité s</w:t>
      </w:r>
      <w:r>
        <w:rPr>
          <w:lang w:val="fr-FR"/>
        </w:rPr>
        <w:t>’</w:t>
      </w:r>
      <w:r w:rsidRPr="0062716A">
        <w:rPr>
          <w:lang w:val="fr-FR"/>
        </w:rPr>
        <w:t xml:space="preserve">est assuré, comme </w:t>
      </w:r>
      <w:r>
        <w:rPr>
          <w:lang w:val="fr-FR"/>
        </w:rPr>
        <w:t>le</w:t>
      </w:r>
      <w:r w:rsidRPr="0062716A">
        <w:rPr>
          <w:lang w:val="fr-FR"/>
        </w:rPr>
        <w:t xml:space="preserve"> paragraphe</w:t>
      </w:r>
      <w:r>
        <w:rPr>
          <w:lang w:val="fr-FR"/>
        </w:rPr>
        <w:t> </w:t>
      </w:r>
      <w:r w:rsidRPr="0062716A">
        <w:rPr>
          <w:lang w:val="fr-FR"/>
        </w:rPr>
        <w:t>5</w:t>
      </w:r>
      <w:r>
        <w:rPr>
          <w:lang w:val="fr-FR"/>
        </w:rPr>
        <w:t> </w:t>
      </w:r>
      <w:r w:rsidRPr="0062716A">
        <w:rPr>
          <w:lang w:val="fr-FR"/>
        </w:rPr>
        <w:t>a) de l</w:t>
      </w:r>
      <w:r>
        <w:rPr>
          <w:lang w:val="fr-FR"/>
        </w:rPr>
        <w:t>’</w:t>
      </w:r>
      <w:r w:rsidRPr="0062716A">
        <w:rPr>
          <w:lang w:val="fr-FR"/>
        </w:rPr>
        <w:t>article</w:t>
      </w:r>
      <w:r>
        <w:rPr>
          <w:lang w:val="fr-FR"/>
        </w:rPr>
        <w:t> </w:t>
      </w:r>
      <w:r w:rsidRPr="0062716A">
        <w:rPr>
          <w:lang w:val="fr-FR"/>
        </w:rPr>
        <w:t>22 de la Convention</w:t>
      </w:r>
      <w:r>
        <w:rPr>
          <w:lang w:val="fr-FR"/>
        </w:rPr>
        <w:t xml:space="preserve"> lui en fait l’obligation</w:t>
      </w:r>
      <w:r w:rsidRPr="0062716A">
        <w:rPr>
          <w:lang w:val="fr-FR"/>
        </w:rPr>
        <w:t>, que la même question n</w:t>
      </w:r>
      <w:r>
        <w:rPr>
          <w:lang w:val="fr-FR"/>
        </w:rPr>
        <w:t>’</w:t>
      </w:r>
      <w:r w:rsidRPr="0062716A">
        <w:rPr>
          <w:lang w:val="fr-FR"/>
        </w:rPr>
        <w:t>a pas été examinée et n</w:t>
      </w:r>
      <w:r>
        <w:rPr>
          <w:lang w:val="fr-FR"/>
        </w:rPr>
        <w:t>’</w:t>
      </w:r>
      <w:r w:rsidRPr="0062716A">
        <w:rPr>
          <w:lang w:val="fr-FR"/>
        </w:rPr>
        <w:t xml:space="preserve">est pas </w:t>
      </w:r>
      <w:r>
        <w:rPr>
          <w:lang w:val="fr-FR"/>
        </w:rPr>
        <w:t xml:space="preserve">en cours d’examen </w:t>
      </w:r>
      <w:r w:rsidRPr="0062716A">
        <w:rPr>
          <w:lang w:val="fr-FR"/>
        </w:rPr>
        <w:t>par une autre instance internationale d</w:t>
      </w:r>
      <w:r>
        <w:rPr>
          <w:lang w:val="fr-FR"/>
        </w:rPr>
        <w:t>’</w:t>
      </w:r>
      <w:r w:rsidRPr="0062716A">
        <w:rPr>
          <w:lang w:val="fr-FR"/>
        </w:rPr>
        <w:t xml:space="preserve">enquête ou de règlement. </w:t>
      </w:r>
    </w:p>
    <w:p w14:paraId="742208E8" w14:textId="77777777" w:rsidR="00AF2FC6" w:rsidRPr="0062716A" w:rsidRDefault="00AF2FC6" w:rsidP="006F7894">
      <w:pPr>
        <w:pStyle w:val="SingleTxtG"/>
        <w:rPr>
          <w:lang w:val="fr-FR"/>
        </w:rPr>
      </w:pPr>
      <w:r w:rsidRPr="0062716A">
        <w:rPr>
          <w:lang w:val="fr-FR"/>
        </w:rPr>
        <w:t>6.2</w:t>
      </w:r>
      <w:r w:rsidRPr="0062716A">
        <w:rPr>
          <w:lang w:val="fr-FR"/>
        </w:rPr>
        <w:tab/>
        <w:t>Le Comité rappelle que, conformément au paragraphe</w:t>
      </w:r>
      <w:r>
        <w:rPr>
          <w:lang w:val="fr-FR"/>
        </w:rPr>
        <w:t> </w:t>
      </w:r>
      <w:r w:rsidRPr="0062716A">
        <w:rPr>
          <w:lang w:val="fr-FR"/>
        </w:rPr>
        <w:t>5</w:t>
      </w:r>
      <w:r>
        <w:rPr>
          <w:lang w:val="fr-FR"/>
        </w:rPr>
        <w:t> </w:t>
      </w:r>
      <w:r w:rsidRPr="0062716A">
        <w:rPr>
          <w:lang w:val="fr-FR"/>
        </w:rPr>
        <w:t>b) de l</w:t>
      </w:r>
      <w:r>
        <w:rPr>
          <w:lang w:val="fr-FR"/>
        </w:rPr>
        <w:t>’</w:t>
      </w:r>
      <w:r w:rsidRPr="0062716A">
        <w:rPr>
          <w:lang w:val="fr-FR"/>
        </w:rPr>
        <w:t>article</w:t>
      </w:r>
      <w:r>
        <w:rPr>
          <w:lang w:val="fr-FR"/>
        </w:rPr>
        <w:t> </w:t>
      </w:r>
      <w:r w:rsidRPr="0062716A">
        <w:rPr>
          <w:lang w:val="fr-FR"/>
        </w:rPr>
        <w:t>22 de la Convention, il n</w:t>
      </w:r>
      <w:r>
        <w:rPr>
          <w:lang w:val="fr-FR"/>
        </w:rPr>
        <w:t>’</w:t>
      </w:r>
      <w:r w:rsidRPr="0062716A">
        <w:rPr>
          <w:lang w:val="fr-FR"/>
        </w:rPr>
        <w:t>examine aucune communication d</w:t>
      </w:r>
      <w:r>
        <w:rPr>
          <w:lang w:val="fr-FR"/>
        </w:rPr>
        <w:t>’</w:t>
      </w:r>
      <w:r w:rsidRPr="0062716A">
        <w:rPr>
          <w:lang w:val="fr-FR"/>
        </w:rPr>
        <w:t>un particulier sans s</w:t>
      </w:r>
      <w:r>
        <w:rPr>
          <w:lang w:val="fr-FR"/>
        </w:rPr>
        <w:t>’</w:t>
      </w:r>
      <w:r w:rsidRPr="0062716A">
        <w:rPr>
          <w:lang w:val="fr-FR"/>
        </w:rPr>
        <w:t>être assuré que celui-ci a épuisé tous les recours internes disponibles. Il note qu</w:t>
      </w:r>
      <w:r>
        <w:rPr>
          <w:lang w:val="fr-FR"/>
        </w:rPr>
        <w:t>’</w:t>
      </w:r>
      <w:r w:rsidRPr="0062716A">
        <w:rPr>
          <w:lang w:val="fr-FR"/>
        </w:rPr>
        <w:t>en l</w:t>
      </w:r>
      <w:r>
        <w:rPr>
          <w:lang w:val="fr-FR"/>
        </w:rPr>
        <w:t>’</w:t>
      </w:r>
      <w:r w:rsidRPr="0062716A">
        <w:rPr>
          <w:lang w:val="fr-FR"/>
        </w:rPr>
        <w:t>espèce, l</w:t>
      </w:r>
      <w:r>
        <w:rPr>
          <w:lang w:val="fr-FR"/>
        </w:rPr>
        <w:t>’</w:t>
      </w:r>
      <w:r w:rsidRPr="0062716A">
        <w:rPr>
          <w:lang w:val="fr-FR"/>
        </w:rPr>
        <w:t>État partie n</w:t>
      </w:r>
      <w:r>
        <w:rPr>
          <w:lang w:val="fr-FR"/>
        </w:rPr>
        <w:t>’</w:t>
      </w:r>
      <w:r w:rsidRPr="0062716A">
        <w:rPr>
          <w:lang w:val="fr-FR"/>
        </w:rPr>
        <w:t>a pas contesté que la requérante avait épuisé tous les recours internes disponibles.</w:t>
      </w:r>
    </w:p>
    <w:p w14:paraId="58BCA0CB" w14:textId="77777777" w:rsidR="00AF2FC6" w:rsidRPr="0062716A" w:rsidRDefault="00AF2FC6" w:rsidP="006F7894">
      <w:pPr>
        <w:pStyle w:val="SingleTxtG"/>
        <w:rPr>
          <w:lang w:val="fr-FR"/>
        </w:rPr>
      </w:pPr>
      <w:r w:rsidRPr="0062716A">
        <w:rPr>
          <w:lang w:val="fr-FR"/>
        </w:rPr>
        <w:t>6.3</w:t>
      </w:r>
      <w:r w:rsidRPr="0062716A">
        <w:rPr>
          <w:lang w:val="fr-FR"/>
        </w:rPr>
        <w:tab/>
        <w:t>Le Comité fait observer que même si les faits dénoncés se sont produits avant la date d</w:t>
      </w:r>
      <w:r>
        <w:rPr>
          <w:lang w:val="fr-FR"/>
        </w:rPr>
        <w:t>’</w:t>
      </w:r>
      <w:r w:rsidRPr="0062716A">
        <w:rPr>
          <w:lang w:val="fr-FR"/>
        </w:rPr>
        <w:t>entrée en vigueur de la Convention pour l</w:t>
      </w:r>
      <w:r>
        <w:rPr>
          <w:lang w:val="fr-FR"/>
        </w:rPr>
        <w:t>’</w:t>
      </w:r>
      <w:r w:rsidRPr="0062716A">
        <w:rPr>
          <w:lang w:val="fr-FR"/>
        </w:rPr>
        <w:t xml:space="preserve">État partie, la décision du </w:t>
      </w:r>
      <w:r>
        <w:rPr>
          <w:lang w:val="fr-FR"/>
        </w:rPr>
        <w:t>Bureau du P</w:t>
      </w:r>
      <w:r w:rsidRPr="0062716A">
        <w:rPr>
          <w:lang w:val="fr-FR"/>
        </w:rPr>
        <w:t>rocureur d</w:t>
      </w:r>
      <w:r>
        <w:rPr>
          <w:lang w:val="fr-FR"/>
        </w:rPr>
        <w:t>’</w:t>
      </w:r>
      <w:r w:rsidRPr="0062716A">
        <w:rPr>
          <w:lang w:val="fr-FR"/>
        </w:rPr>
        <w:t>ouvrir une enquête pénale sur les allégations de crime de guerre contre la population civile dat</w:t>
      </w:r>
      <w:r>
        <w:rPr>
          <w:lang w:val="fr-FR"/>
        </w:rPr>
        <w:t>e</w:t>
      </w:r>
      <w:r w:rsidRPr="0062716A">
        <w:rPr>
          <w:lang w:val="fr-FR"/>
        </w:rPr>
        <w:t xml:space="preserve"> du 5</w:t>
      </w:r>
      <w:r>
        <w:rPr>
          <w:lang w:val="fr-FR"/>
        </w:rPr>
        <w:t> </w:t>
      </w:r>
      <w:r w:rsidRPr="0062716A">
        <w:rPr>
          <w:lang w:val="fr-FR"/>
        </w:rPr>
        <w:t>novembre 2014 et le verdict a été rendu par la Cour de Bosnie</w:t>
      </w:r>
      <w:r>
        <w:rPr>
          <w:lang w:val="fr-FR"/>
        </w:rPr>
        <w:noBreakHyphen/>
      </w:r>
      <w:r w:rsidRPr="0062716A">
        <w:rPr>
          <w:lang w:val="fr-FR"/>
        </w:rPr>
        <w:t>Herzégovine le 29</w:t>
      </w:r>
      <w:r>
        <w:rPr>
          <w:lang w:val="fr-FR"/>
        </w:rPr>
        <w:t> </w:t>
      </w:r>
      <w:r w:rsidRPr="0062716A">
        <w:rPr>
          <w:lang w:val="fr-FR"/>
        </w:rPr>
        <w:t>juin 2015 et confirmé en seconde instance le 24</w:t>
      </w:r>
      <w:r>
        <w:rPr>
          <w:lang w:val="fr-FR"/>
        </w:rPr>
        <w:t> </w:t>
      </w:r>
      <w:r w:rsidRPr="0062716A">
        <w:rPr>
          <w:lang w:val="fr-FR"/>
        </w:rPr>
        <w:t>novembre 2015, c</w:t>
      </w:r>
      <w:r>
        <w:rPr>
          <w:lang w:val="fr-FR"/>
        </w:rPr>
        <w:t>’</w:t>
      </w:r>
      <w:r w:rsidRPr="0062716A">
        <w:rPr>
          <w:lang w:val="fr-FR"/>
        </w:rPr>
        <w:t>est-à-dire après que l</w:t>
      </w:r>
      <w:r>
        <w:rPr>
          <w:lang w:val="fr-FR"/>
        </w:rPr>
        <w:t>’</w:t>
      </w:r>
      <w:r w:rsidRPr="0062716A">
        <w:rPr>
          <w:lang w:val="fr-FR"/>
        </w:rPr>
        <w:t xml:space="preserve">État partie </w:t>
      </w:r>
      <w:r>
        <w:rPr>
          <w:lang w:val="fr-FR"/>
        </w:rPr>
        <w:t xml:space="preserve">eut </w:t>
      </w:r>
      <w:r w:rsidRPr="0062716A">
        <w:rPr>
          <w:lang w:val="fr-FR"/>
        </w:rPr>
        <w:t xml:space="preserve">fait la déclaration </w:t>
      </w:r>
      <w:r>
        <w:rPr>
          <w:lang w:val="fr-FR"/>
        </w:rPr>
        <w:t>prévue à l’</w:t>
      </w:r>
      <w:r w:rsidRPr="0062716A">
        <w:rPr>
          <w:lang w:val="fr-FR"/>
        </w:rPr>
        <w:t xml:space="preserve">article 22 de la Convention. Par conséquent, </w:t>
      </w:r>
      <w:r>
        <w:rPr>
          <w:lang w:val="fr-FR"/>
        </w:rPr>
        <w:t xml:space="preserve">le manquement allégué de l’État à son obligation de garantir </w:t>
      </w:r>
      <w:r w:rsidRPr="0062716A">
        <w:rPr>
          <w:lang w:val="fr-FR"/>
        </w:rPr>
        <w:t>à la requérante une réparat</w:t>
      </w:r>
      <w:r>
        <w:rPr>
          <w:lang w:val="fr-FR"/>
        </w:rPr>
        <w:t>ion et un droit à une indemnisation</w:t>
      </w:r>
      <w:r w:rsidRPr="0062716A">
        <w:rPr>
          <w:lang w:val="fr-FR"/>
        </w:rPr>
        <w:t xml:space="preserve"> équitable et adéquat</w:t>
      </w:r>
      <w:r>
        <w:rPr>
          <w:lang w:val="fr-FR"/>
        </w:rPr>
        <w:t>e</w:t>
      </w:r>
      <w:r w:rsidRPr="0062716A">
        <w:rPr>
          <w:lang w:val="fr-FR"/>
        </w:rPr>
        <w:t xml:space="preserve"> </w:t>
      </w:r>
      <w:r>
        <w:rPr>
          <w:lang w:val="fr-FR"/>
        </w:rPr>
        <w:t xml:space="preserve">est intervenu après qu’il a </w:t>
      </w:r>
      <w:r w:rsidRPr="0062716A">
        <w:rPr>
          <w:lang w:val="fr-FR"/>
        </w:rPr>
        <w:t>reconnu la compétence du Comité au titre de l</w:t>
      </w:r>
      <w:r>
        <w:rPr>
          <w:lang w:val="fr-FR"/>
        </w:rPr>
        <w:t>’</w:t>
      </w:r>
      <w:r w:rsidRPr="0062716A">
        <w:rPr>
          <w:lang w:val="fr-FR"/>
        </w:rPr>
        <w:t>article</w:t>
      </w:r>
      <w:r>
        <w:rPr>
          <w:lang w:val="fr-FR"/>
        </w:rPr>
        <w:t> </w:t>
      </w:r>
      <w:r w:rsidRPr="0062716A">
        <w:rPr>
          <w:lang w:val="fr-FR"/>
        </w:rPr>
        <w:t>22 de la Convention. Le</w:t>
      </w:r>
      <w:r w:rsidR="00090E5E">
        <w:rPr>
          <w:lang w:val="fr-FR"/>
        </w:rPr>
        <w:t> </w:t>
      </w:r>
      <w:r w:rsidRPr="0062716A">
        <w:rPr>
          <w:lang w:val="fr-FR"/>
        </w:rPr>
        <w:t xml:space="preserve">Comité note </w:t>
      </w:r>
      <w:r>
        <w:rPr>
          <w:lang w:val="fr-FR"/>
        </w:rPr>
        <w:t>de plus</w:t>
      </w:r>
      <w:r w:rsidRPr="0062716A">
        <w:rPr>
          <w:lang w:val="fr-FR"/>
        </w:rPr>
        <w:t xml:space="preserve"> que l</w:t>
      </w:r>
      <w:r>
        <w:rPr>
          <w:lang w:val="fr-FR"/>
        </w:rPr>
        <w:t>’</w:t>
      </w:r>
      <w:r w:rsidRPr="0062716A">
        <w:rPr>
          <w:lang w:val="fr-FR"/>
        </w:rPr>
        <w:t xml:space="preserve">État partie ne conteste pas </w:t>
      </w:r>
      <w:r>
        <w:rPr>
          <w:lang w:val="fr-FR"/>
        </w:rPr>
        <w:t xml:space="preserve">sa </w:t>
      </w:r>
      <w:r w:rsidRPr="0062716A">
        <w:rPr>
          <w:lang w:val="fr-FR"/>
        </w:rPr>
        <w:t xml:space="preserve">compétence </w:t>
      </w:r>
      <w:r w:rsidRPr="0062716A">
        <w:rPr>
          <w:i/>
          <w:lang w:val="fr-FR"/>
        </w:rPr>
        <w:t>ratione temporis</w:t>
      </w:r>
      <w:r w:rsidRPr="0062716A">
        <w:rPr>
          <w:lang w:val="fr-FR"/>
        </w:rPr>
        <w:t xml:space="preserve">. Dans ces </w:t>
      </w:r>
      <w:r>
        <w:rPr>
          <w:lang w:val="fr-FR"/>
        </w:rPr>
        <w:t>circonstances</w:t>
      </w:r>
      <w:r w:rsidRPr="0062716A">
        <w:rPr>
          <w:lang w:val="fr-FR"/>
        </w:rPr>
        <w:t>, le Comité considère qu</w:t>
      </w:r>
      <w:r>
        <w:rPr>
          <w:lang w:val="fr-FR"/>
        </w:rPr>
        <w:t>’</w:t>
      </w:r>
      <w:r w:rsidRPr="0062716A">
        <w:rPr>
          <w:lang w:val="fr-FR"/>
        </w:rPr>
        <w:t>il n</w:t>
      </w:r>
      <w:r>
        <w:rPr>
          <w:lang w:val="fr-FR"/>
        </w:rPr>
        <w:t>’</w:t>
      </w:r>
      <w:r w:rsidRPr="0062716A">
        <w:rPr>
          <w:lang w:val="fr-FR"/>
        </w:rPr>
        <w:t xml:space="preserve">est pas empêché </w:t>
      </w:r>
      <w:r w:rsidRPr="0062716A">
        <w:rPr>
          <w:i/>
          <w:iCs/>
          <w:lang w:val="fr-FR"/>
        </w:rPr>
        <w:t xml:space="preserve">ratione temporis </w:t>
      </w:r>
      <w:r w:rsidRPr="0062716A">
        <w:rPr>
          <w:lang w:val="fr-FR"/>
        </w:rPr>
        <w:t>d</w:t>
      </w:r>
      <w:r>
        <w:rPr>
          <w:lang w:val="fr-FR"/>
        </w:rPr>
        <w:t>’</w:t>
      </w:r>
      <w:r w:rsidRPr="0062716A">
        <w:rPr>
          <w:lang w:val="fr-FR"/>
        </w:rPr>
        <w:t>examiner les allégations de la requérante concernant des violations des droits qu</w:t>
      </w:r>
      <w:r>
        <w:rPr>
          <w:lang w:val="fr-FR"/>
        </w:rPr>
        <w:t>’</w:t>
      </w:r>
      <w:r w:rsidRPr="0062716A">
        <w:rPr>
          <w:lang w:val="fr-FR"/>
        </w:rPr>
        <w:t xml:space="preserve">elle tient </w:t>
      </w:r>
      <w:r>
        <w:rPr>
          <w:lang w:val="fr-FR"/>
        </w:rPr>
        <w:t xml:space="preserve">du paragraphe 1 </w:t>
      </w:r>
      <w:r w:rsidRPr="0062716A">
        <w:rPr>
          <w:lang w:val="fr-FR"/>
        </w:rPr>
        <w:t>de l</w:t>
      </w:r>
      <w:r>
        <w:rPr>
          <w:lang w:val="fr-FR"/>
        </w:rPr>
        <w:t>’</w:t>
      </w:r>
      <w:r w:rsidRPr="0062716A">
        <w:rPr>
          <w:lang w:val="fr-FR"/>
        </w:rPr>
        <w:t>article</w:t>
      </w:r>
      <w:r>
        <w:rPr>
          <w:lang w:val="fr-FR"/>
        </w:rPr>
        <w:t> </w:t>
      </w:r>
      <w:r w:rsidRPr="0062716A">
        <w:rPr>
          <w:lang w:val="fr-FR"/>
        </w:rPr>
        <w:t xml:space="preserve">14, lu conjointement avec </w:t>
      </w:r>
      <w:r>
        <w:rPr>
          <w:lang w:val="fr-FR"/>
        </w:rPr>
        <w:t xml:space="preserve">le paragraphe 1 de </w:t>
      </w:r>
      <w:r w:rsidRPr="0062716A">
        <w:rPr>
          <w:lang w:val="fr-FR"/>
        </w:rPr>
        <w:t>l</w:t>
      </w:r>
      <w:r>
        <w:rPr>
          <w:lang w:val="fr-FR"/>
        </w:rPr>
        <w:t>’article premier</w:t>
      </w:r>
      <w:r w:rsidRPr="0062716A">
        <w:rPr>
          <w:lang w:val="fr-FR"/>
        </w:rPr>
        <w:t xml:space="preserve"> de la Convention</w:t>
      </w:r>
      <w:r w:rsidRPr="007C3FFD">
        <w:rPr>
          <w:rStyle w:val="Appelnotedebasdep"/>
        </w:rPr>
        <w:footnoteReference w:id="31"/>
      </w:r>
      <w:r w:rsidRPr="0062716A">
        <w:rPr>
          <w:lang w:val="fr-FR"/>
        </w:rPr>
        <w:t>.</w:t>
      </w:r>
    </w:p>
    <w:p w14:paraId="577176F8" w14:textId="77777777" w:rsidR="00AF2FC6" w:rsidRPr="0062716A" w:rsidRDefault="00AF2FC6" w:rsidP="006F7894">
      <w:pPr>
        <w:pStyle w:val="SingleTxtG"/>
        <w:rPr>
          <w:lang w:val="fr-FR"/>
        </w:rPr>
      </w:pPr>
      <w:r w:rsidRPr="0062716A">
        <w:rPr>
          <w:lang w:val="fr-FR"/>
        </w:rPr>
        <w:t>6.4</w:t>
      </w:r>
      <w:r w:rsidRPr="0062716A">
        <w:rPr>
          <w:lang w:val="fr-FR"/>
        </w:rPr>
        <w:tab/>
        <w:t xml:space="preserve">Le Comité prend </w:t>
      </w:r>
      <w:r>
        <w:rPr>
          <w:lang w:val="fr-FR"/>
        </w:rPr>
        <w:t xml:space="preserve">aussi </w:t>
      </w:r>
      <w:r w:rsidRPr="0062716A">
        <w:rPr>
          <w:lang w:val="fr-FR"/>
        </w:rPr>
        <w:t>note de l</w:t>
      </w:r>
      <w:r>
        <w:rPr>
          <w:lang w:val="fr-FR"/>
        </w:rPr>
        <w:t>’</w:t>
      </w:r>
      <w:r w:rsidRPr="0062716A">
        <w:rPr>
          <w:lang w:val="fr-FR"/>
        </w:rPr>
        <w:t>argument de l</w:t>
      </w:r>
      <w:r>
        <w:rPr>
          <w:lang w:val="fr-FR"/>
        </w:rPr>
        <w:t>’</w:t>
      </w:r>
      <w:r w:rsidRPr="0062716A">
        <w:rPr>
          <w:lang w:val="fr-FR"/>
        </w:rPr>
        <w:t xml:space="preserve">État partie selon lequel la requérante pouvait </w:t>
      </w:r>
      <w:r>
        <w:rPr>
          <w:lang w:val="fr-FR"/>
        </w:rPr>
        <w:t xml:space="preserve">introduire </w:t>
      </w:r>
      <w:r w:rsidRPr="0062716A">
        <w:rPr>
          <w:lang w:val="fr-FR"/>
        </w:rPr>
        <w:t xml:space="preserve">une action civile au titre de la loi sur les obligations civiles ou déposer une nouvelle demande de </w:t>
      </w:r>
      <w:r>
        <w:rPr>
          <w:lang w:val="fr-FR"/>
        </w:rPr>
        <w:t xml:space="preserve">dommages-intérêts devant </w:t>
      </w:r>
      <w:r w:rsidRPr="0062716A">
        <w:rPr>
          <w:lang w:val="fr-FR"/>
        </w:rPr>
        <w:t>la Cour de Bosnie-Herzégovine après avoir rempli certaines conditions. À cet égard, le Comité considère que</w:t>
      </w:r>
      <w:r>
        <w:rPr>
          <w:lang w:val="fr-FR"/>
        </w:rPr>
        <w:t>,</w:t>
      </w:r>
      <w:r w:rsidRPr="0062716A">
        <w:rPr>
          <w:lang w:val="fr-FR"/>
        </w:rPr>
        <w:t xml:space="preserve"> </w:t>
      </w:r>
      <w:r>
        <w:rPr>
          <w:lang w:val="fr-FR"/>
        </w:rPr>
        <w:t xml:space="preserve">faute pour </w:t>
      </w:r>
      <w:r w:rsidRPr="0062716A">
        <w:rPr>
          <w:lang w:val="fr-FR"/>
        </w:rPr>
        <w:t>l</w:t>
      </w:r>
      <w:r>
        <w:rPr>
          <w:lang w:val="fr-FR"/>
        </w:rPr>
        <w:t>’</w:t>
      </w:r>
      <w:r w:rsidRPr="0062716A">
        <w:rPr>
          <w:lang w:val="fr-FR"/>
        </w:rPr>
        <w:t xml:space="preserve">État partie </w:t>
      </w:r>
      <w:r>
        <w:rPr>
          <w:lang w:val="fr-FR"/>
        </w:rPr>
        <w:t xml:space="preserve">d’avoir </w:t>
      </w:r>
      <w:r w:rsidRPr="0062716A">
        <w:rPr>
          <w:lang w:val="fr-FR"/>
        </w:rPr>
        <w:t>adopté une législation et une pratique adéquates et effectives en matière d</w:t>
      </w:r>
      <w:r>
        <w:rPr>
          <w:lang w:val="fr-FR"/>
        </w:rPr>
        <w:t>’</w:t>
      </w:r>
      <w:r w:rsidRPr="0062716A">
        <w:rPr>
          <w:lang w:val="fr-FR"/>
        </w:rPr>
        <w:t>application de la loi</w:t>
      </w:r>
      <w:r>
        <w:rPr>
          <w:lang w:val="fr-FR"/>
        </w:rPr>
        <w:t>,</w:t>
      </w:r>
      <w:r w:rsidRPr="0062716A">
        <w:rPr>
          <w:lang w:val="fr-FR"/>
        </w:rPr>
        <w:t xml:space="preserve"> </w:t>
      </w:r>
      <w:r>
        <w:rPr>
          <w:lang w:val="fr-FR"/>
        </w:rPr>
        <w:t xml:space="preserve">il est pratiquement impossible pour la requérante d’exercer </w:t>
      </w:r>
      <w:r w:rsidRPr="0062716A">
        <w:rPr>
          <w:lang w:val="fr-FR"/>
        </w:rPr>
        <w:t xml:space="preserve">un recours susceptible </w:t>
      </w:r>
      <w:r>
        <w:rPr>
          <w:lang w:val="fr-FR"/>
        </w:rPr>
        <w:t xml:space="preserve">de lui </w:t>
      </w:r>
      <w:r w:rsidRPr="0062716A">
        <w:rPr>
          <w:lang w:val="fr-FR"/>
        </w:rPr>
        <w:t>a</w:t>
      </w:r>
      <w:r>
        <w:rPr>
          <w:lang w:val="fr-FR"/>
        </w:rPr>
        <w:t>ssurer</w:t>
      </w:r>
      <w:r w:rsidRPr="0062716A">
        <w:rPr>
          <w:lang w:val="fr-FR"/>
        </w:rPr>
        <w:t>, dans les circonstances particulières de l</w:t>
      </w:r>
      <w:r>
        <w:rPr>
          <w:lang w:val="fr-FR"/>
        </w:rPr>
        <w:t>’</w:t>
      </w:r>
      <w:r w:rsidRPr="0062716A">
        <w:rPr>
          <w:lang w:val="fr-FR"/>
        </w:rPr>
        <w:t>espèce, une réparation effective et suffisante</w:t>
      </w:r>
      <w:r>
        <w:rPr>
          <w:lang w:val="fr-FR"/>
        </w:rPr>
        <w:t xml:space="preserve">. </w:t>
      </w:r>
      <w:r w:rsidRPr="0062716A">
        <w:rPr>
          <w:lang w:val="fr-FR" w:eastAsia="fr-FR"/>
        </w:rPr>
        <w:t xml:space="preserve">De plus, on ne </w:t>
      </w:r>
      <w:r>
        <w:rPr>
          <w:lang w:val="fr-FR" w:eastAsia="fr-FR"/>
        </w:rPr>
        <w:t>saur</w:t>
      </w:r>
      <w:r w:rsidRPr="0062716A">
        <w:rPr>
          <w:lang w:val="fr-FR" w:eastAsia="fr-FR"/>
        </w:rPr>
        <w:t>ait exiger, aux fins du paragraphe</w:t>
      </w:r>
      <w:r>
        <w:rPr>
          <w:lang w:val="fr-FR" w:eastAsia="fr-FR"/>
        </w:rPr>
        <w:t> </w:t>
      </w:r>
      <w:r w:rsidRPr="0062716A">
        <w:rPr>
          <w:lang w:val="fr-FR" w:eastAsia="fr-FR"/>
        </w:rPr>
        <w:t>5</w:t>
      </w:r>
      <w:r>
        <w:rPr>
          <w:lang w:val="fr-FR" w:eastAsia="fr-FR"/>
        </w:rPr>
        <w:t> </w:t>
      </w:r>
      <w:r w:rsidRPr="0062716A">
        <w:rPr>
          <w:lang w:val="fr-FR" w:eastAsia="fr-FR"/>
        </w:rPr>
        <w:t>b) de l</w:t>
      </w:r>
      <w:r>
        <w:rPr>
          <w:lang w:val="fr-FR" w:eastAsia="fr-FR"/>
        </w:rPr>
        <w:t>’</w:t>
      </w:r>
      <w:r w:rsidRPr="0062716A">
        <w:rPr>
          <w:lang w:val="fr-FR" w:eastAsia="fr-FR"/>
        </w:rPr>
        <w:t>article</w:t>
      </w:r>
      <w:r>
        <w:rPr>
          <w:lang w:val="fr-FR" w:eastAsia="fr-FR"/>
        </w:rPr>
        <w:t> </w:t>
      </w:r>
      <w:r w:rsidRPr="0062716A">
        <w:rPr>
          <w:lang w:val="fr-FR" w:eastAsia="fr-FR"/>
        </w:rPr>
        <w:t>22 de la Convention, de quelqu</w:t>
      </w:r>
      <w:r>
        <w:rPr>
          <w:lang w:val="fr-FR" w:eastAsia="fr-FR"/>
        </w:rPr>
        <w:t>’</w:t>
      </w:r>
      <w:r w:rsidRPr="0062716A">
        <w:rPr>
          <w:lang w:val="fr-FR" w:eastAsia="fr-FR"/>
        </w:rPr>
        <w:t xml:space="preserve">un qui a </w:t>
      </w:r>
      <w:r>
        <w:rPr>
          <w:lang w:val="fr-FR" w:eastAsia="fr-FR"/>
        </w:rPr>
        <w:t xml:space="preserve">exercé un recours </w:t>
      </w:r>
      <w:r w:rsidRPr="0062716A">
        <w:rPr>
          <w:lang w:val="fr-FR" w:eastAsia="fr-FR"/>
        </w:rPr>
        <w:t xml:space="preserve">sans succès </w:t>
      </w:r>
      <w:r>
        <w:rPr>
          <w:lang w:val="fr-FR" w:eastAsia="fr-FR"/>
        </w:rPr>
        <w:t xml:space="preserve">qu’il épuise les </w:t>
      </w:r>
      <w:r w:rsidRPr="0062716A">
        <w:rPr>
          <w:lang w:val="fr-FR" w:eastAsia="fr-FR"/>
        </w:rPr>
        <w:t xml:space="preserve">autres recours possibles </w:t>
      </w:r>
      <w:r>
        <w:rPr>
          <w:lang w:val="fr-FR" w:eastAsia="fr-FR"/>
        </w:rPr>
        <w:t>lorsque ceux-ci ont</w:t>
      </w:r>
      <w:r w:rsidRPr="0062716A">
        <w:rPr>
          <w:lang w:val="fr-FR" w:eastAsia="fr-FR"/>
        </w:rPr>
        <w:t xml:space="preserve"> essentiellement le même but et n</w:t>
      </w:r>
      <w:r>
        <w:rPr>
          <w:lang w:val="fr-FR" w:eastAsia="fr-FR"/>
        </w:rPr>
        <w:t>’ont</w:t>
      </w:r>
      <w:r w:rsidRPr="0062716A">
        <w:rPr>
          <w:lang w:val="fr-FR" w:eastAsia="fr-FR"/>
        </w:rPr>
        <w:t xml:space="preserve"> pas, en tout état de cause, </w:t>
      </w:r>
      <w:r>
        <w:rPr>
          <w:lang w:val="fr-FR" w:eastAsia="fr-FR"/>
        </w:rPr>
        <w:t>davantage de</w:t>
      </w:r>
      <w:r w:rsidRPr="0062716A">
        <w:rPr>
          <w:lang w:val="fr-FR" w:eastAsia="fr-FR"/>
        </w:rPr>
        <w:t xml:space="preserve"> chances de succès</w:t>
      </w:r>
      <w:r w:rsidRPr="007C3FFD">
        <w:rPr>
          <w:rStyle w:val="Appelnotedebasdep"/>
        </w:rPr>
        <w:footnoteReference w:id="32"/>
      </w:r>
      <w:r w:rsidRPr="0062716A">
        <w:rPr>
          <w:lang w:val="fr-FR"/>
        </w:rPr>
        <w:t>. Dans ces circonstances, le Comité conclut qu</w:t>
      </w:r>
      <w:r>
        <w:rPr>
          <w:lang w:val="fr-FR"/>
        </w:rPr>
        <w:t>’</w:t>
      </w:r>
      <w:r w:rsidRPr="0062716A">
        <w:rPr>
          <w:lang w:val="fr-FR"/>
        </w:rPr>
        <w:t>il n</w:t>
      </w:r>
      <w:r>
        <w:rPr>
          <w:lang w:val="fr-FR"/>
        </w:rPr>
        <w:t>’</w:t>
      </w:r>
      <w:r w:rsidRPr="0062716A">
        <w:rPr>
          <w:lang w:val="fr-FR"/>
        </w:rPr>
        <w:t>est pas empêché par le paragraphe</w:t>
      </w:r>
      <w:r>
        <w:rPr>
          <w:lang w:val="fr-FR"/>
        </w:rPr>
        <w:t> </w:t>
      </w:r>
      <w:r w:rsidRPr="0062716A">
        <w:rPr>
          <w:lang w:val="fr-FR"/>
        </w:rPr>
        <w:t>5</w:t>
      </w:r>
      <w:r>
        <w:rPr>
          <w:lang w:val="fr-FR"/>
        </w:rPr>
        <w:t> </w:t>
      </w:r>
      <w:r w:rsidRPr="0062716A">
        <w:rPr>
          <w:lang w:val="fr-FR"/>
        </w:rPr>
        <w:t>b) de l</w:t>
      </w:r>
      <w:r>
        <w:rPr>
          <w:lang w:val="fr-FR"/>
        </w:rPr>
        <w:t>’</w:t>
      </w:r>
      <w:r w:rsidRPr="0062716A">
        <w:rPr>
          <w:lang w:val="fr-FR"/>
        </w:rPr>
        <w:t>article</w:t>
      </w:r>
      <w:r>
        <w:rPr>
          <w:lang w:val="fr-FR"/>
        </w:rPr>
        <w:t> </w:t>
      </w:r>
      <w:r w:rsidRPr="0062716A">
        <w:rPr>
          <w:lang w:val="fr-FR"/>
        </w:rPr>
        <w:t>22 de la Convention d</w:t>
      </w:r>
      <w:r>
        <w:rPr>
          <w:lang w:val="fr-FR"/>
        </w:rPr>
        <w:t>’</w:t>
      </w:r>
      <w:r w:rsidRPr="0062716A">
        <w:rPr>
          <w:lang w:val="fr-FR"/>
        </w:rPr>
        <w:t>examiner la communication.</w:t>
      </w:r>
    </w:p>
    <w:p w14:paraId="36EDDF29" w14:textId="77777777" w:rsidR="00AF2FC6" w:rsidRPr="0062716A" w:rsidRDefault="00AF2FC6" w:rsidP="006F7894">
      <w:pPr>
        <w:pStyle w:val="H4G"/>
        <w:rPr>
          <w:snapToGrid w:val="0"/>
          <w:lang w:val="fr-FR"/>
        </w:rPr>
      </w:pPr>
      <w:r w:rsidRPr="0062716A">
        <w:rPr>
          <w:snapToGrid w:val="0"/>
          <w:lang w:val="fr-FR"/>
        </w:rPr>
        <w:tab/>
      </w:r>
      <w:r w:rsidRPr="0062716A">
        <w:rPr>
          <w:snapToGrid w:val="0"/>
          <w:lang w:val="fr-FR"/>
        </w:rPr>
        <w:tab/>
        <w:t>Examen au fond</w:t>
      </w:r>
    </w:p>
    <w:p w14:paraId="5E970448" w14:textId="77777777" w:rsidR="00AF2FC6" w:rsidRPr="0062716A" w:rsidRDefault="00AF2FC6" w:rsidP="006F7894">
      <w:pPr>
        <w:pStyle w:val="SingleTxtG"/>
        <w:rPr>
          <w:rFonts w:eastAsia="Cambria"/>
          <w:lang w:val="fr-FR"/>
        </w:rPr>
      </w:pPr>
      <w:r w:rsidRPr="0062716A">
        <w:rPr>
          <w:lang w:val="fr-FR"/>
        </w:rPr>
        <w:t>7.1</w:t>
      </w:r>
      <w:r w:rsidRPr="0062716A">
        <w:rPr>
          <w:lang w:val="fr-FR"/>
        </w:rPr>
        <w:tab/>
        <w:t>Conformément au paragraphe</w:t>
      </w:r>
      <w:r>
        <w:rPr>
          <w:lang w:val="fr-FR"/>
        </w:rPr>
        <w:t> </w:t>
      </w:r>
      <w:r w:rsidRPr="0062716A">
        <w:rPr>
          <w:lang w:val="fr-FR"/>
        </w:rPr>
        <w:t>4 de l</w:t>
      </w:r>
      <w:r>
        <w:rPr>
          <w:lang w:val="fr-FR"/>
        </w:rPr>
        <w:t>’</w:t>
      </w:r>
      <w:r w:rsidRPr="0062716A">
        <w:rPr>
          <w:lang w:val="fr-FR"/>
        </w:rPr>
        <w:t>article</w:t>
      </w:r>
      <w:r>
        <w:rPr>
          <w:lang w:val="fr-FR"/>
        </w:rPr>
        <w:t> </w:t>
      </w:r>
      <w:r w:rsidRPr="0062716A">
        <w:rPr>
          <w:lang w:val="fr-FR"/>
        </w:rPr>
        <w:t>22 de la Convention, le Comité a examiné la communication en tenant compte de toutes les informations que lui ont communiquées les parties.</w:t>
      </w:r>
    </w:p>
    <w:p w14:paraId="628C1692" w14:textId="77777777" w:rsidR="00AF2FC6" w:rsidRPr="0062716A" w:rsidRDefault="00AF2FC6" w:rsidP="006F7894">
      <w:pPr>
        <w:pStyle w:val="SingleTxtG"/>
        <w:rPr>
          <w:lang w:val="fr-FR"/>
        </w:rPr>
      </w:pPr>
      <w:r w:rsidRPr="0062716A">
        <w:rPr>
          <w:lang w:val="fr-FR"/>
        </w:rPr>
        <w:t>7.2</w:t>
      </w:r>
      <w:r w:rsidRPr="0062716A">
        <w:rPr>
          <w:lang w:val="fr-FR"/>
        </w:rPr>
        <w:tab/>
        <w:t xml:space="preserve">Le Comité note que la requérante invoque une violation </w:t>
      </w:r>
      <w:r>
        <w:rPr>
          <w:lang w:val="fr-FR"/>
        </w:rPr>
        <w:t xml:space="preserve">du paragraphe 1 </w:t>
      </w:r>
      <w:r w:rsidRPr="0062716A">
        <w:rPr>
          <w:lang w:val="fr-FR"/>
        </w:rPr>
        <w:t>de l</w:t>
      </w:r>
      <w:r>
        <w:rPr>
          <w:lang w:val="fr-FR"/>
        </w:rPr>
        <w:t>’</w:t>
      </w:r>
      <w:r w:rsidRPr="0062716A">
        <w:rPr>
          <w:lang w:val="fr-FR"/>
        </w:rPr>
        <w:t>article</w:t>
      </w:r>
      <w:r>
        <w:rPr>
          <w:lang w:val="fr-FR"/>
        </w:rPr>
        <w:t> </w:t>
      </w:r>
      <w:r w:rsidRPr="0062716A">
        <w:rPr>
          <w:lang w:val="fr-FR"/>
        </w:rPr>
        <w:t xml:space="preserve">14, lu conjointement avec </w:t>
      </w:r>
      <w:r>
        <w:rPr>
          <w:lang w:val="fr-FR"/>
        </w:rPr>
        <w:t xml:space="preserve">le paragraphe 1 de </w:t>
      </w:r>
      <w:r w:rsidRPr="0062716A">
        <w:rPr>
          <w:lang w:val="fr-FR"/>
        </w:rPr>
        <w:t>l</w:t>
      </w:r>
      <w:r>
        <w:rPr>
          <w:lang w:val="fr-FR"/>
        </w:rPr>
        <w:t>’article premier</w:t>
      </w:r>
      <w:r w:rsidRPr="0062716A">
        <w:rPr>
          <w:lang w:val="fr-FR"/>
        </w:rPr>
        <w:t>, de la Convention</w:t>
      </w:r>
      <w:r>
        <w:rPr>
          <w:lang w:val="fr-FR"/>
        </w:rPr>
        <w:t>,</w:t>
      </w:r>
      <w:r w:rsidRPr="0062716A">
        <w:rPr>
          <w:lang w:val="fr-FR"/>
        </w:rPr>
        <w:t xml:space="preserve"> au motif que l</w:t>
      </w:r>
      <w:r>
        <w:rPr>
          <w:lang w:val="fr-FR"/>
        </w:rPr>
        <w:t>’</w:t>
      </w:r>
      <w:r w:rsidRPr="0062716A">
        <w:rPr>
          <w:lang w:val="fr-FR"/>
        </w:rPr>
        <w:t xml:space="preserve">État partie </w:t>
      </w:r>
      <w:r>
        <w:rPr>
          <w:lang w:val="fr-FR"/>
        </w:rPr>
        <w:t>a manqué à son obligation de garantir</w:t>
      </w:r>
      <w:r w:rsidRPr="0062716A">
        <w:rPr>
          <w:lang w:val="fr-FR"/>
        </w:rPr>
        <w:t xml:space="preserve"> dans son système juridique </w:t>
      </w:r>
      <w:r>
        <w:rPr>
          <w:lang w:val="fr-FR"/>
        </w:rPr>
        <w:t xml:space="preserve">aux </w:t>
      </w:r>
      <w:r w:rsidRPr="0062716A">
        <w:rPr>
          <w:lang w:val="fr-FR"/>
        </w:rPr>
        <w:t>victimes d</w:t>
      </w:r>
      <w:r>
        <w:rPr>
          <w:lang w:val="fr-FR"/>
        </w:rPr>
        <w:t>’</w:t>
      </w:r>
      <w:r w:rsidRPr="0062716A">
        <w:rPr>
          <w:lang w:val="fr-FR"/>
        </w:rPr>
        <w:t xml:space="preserve">un acte de torture </w:t>
      </w:r>
      <w:r>
        <w:rPr>
          <w:lang w:val="fr-FR"/>
        </w:rPr>
        <w:t xml:space="preserve">le droit d’obtenir </w:t>
      </w:r>
      <w:r w:rsidRPr="0062716A">
        <w:rPr>
          <w:lang w:val="fr-FR"/>
        </w:rPr>
        <w:t xml:space="preserve">réparation et </w:t>
      </w:r>
      <w:r>
        <w:rPr>
          <w:lang w:val="fr-FR"/>
        </w:rPr>
        <w:t xml:space="preserve">d’être indemnisées </w:t>
      </w:r>
      <w:r w:rsidRPr="0062716A">
        <w:rPr>
          <w:lang w:val="fr-FR" w:eastAsia="en-GB"/>
        </w:rPr>
        <w:t xml:space="preserve">équitablement et de manière adéquate, </w:t>
      </w:r>
      <w:r w:rsidRPr="0062716A">
        <w:rPr>
          <w:lang w:val="fr-FR"/>
        </w:rPr>
        <w:t>y compris les moyens nécessaires à leur réadaptation la plus complète possible</w:t>
      </w:r>
      <w:r w:rsidRPr="007C3FFD">
        <w:rPr>
          <w:rStyle w:val="Appelnotedebasdep"/>
        </w:rPr>
        <w:footnoteReference w:id="33"/>
      </w:r>
      <w:r w:rsidRPr="0062716A">
        <w:rPr>
          <w:lang w:val="fr-FR"/>
        </w:rPr>
        <w:t xml:space="preserve">. Ces dispositions sont applicables pour autant </w:t>
      </w:r>
      <w:r>
        <w:rPr>
          <w:lang w:val="fr-FR"/>
        </w:rPr>
        <w:t xml:space="preserve">qu’il est établi </w:t>
      </w:r>
      <w:r w:rsidRPr="0062716A">
        <w:rPr>
          <w:lang w:val="fr-FR"/>
        </w:rPr>
        <w:t xml:space="preserve">que les actes auxquels la requérante a été soumise sont </w:t>
      </w:r>
      <w:r>
        <w:rPr>
          <w:lang w:val="fr-FR"/>
        </w:rPr>
        <w:t xml:space="preserve">des </w:t>
      </w:r>
      <w:r w:rsidRPr="0062716A">
        <w:rPr>
          <w:lang w:val="fr-FR"/>
        </w:rPr>
        <w:t>actes de torture au sens de l</w:t>
      </w:r>
      <w:r>
        <w:rPr>
          <w:lang w:val="fr-FR"/>
        </w:rPr>
        <w:t>’</w:t>
      </w:r>
      <w:r w:rsidRPr="0062716A">
        <w:rPr>
          <w:lang w:val="fr-FR"/>
        </w:rPr>
        <w:t xml:space="preserve">article </w:t>
      </w:r>
      <w:r w:rsidRPr="0062716A">
        <w:rPr>
          <w:lang w:val="fr-FR"/>
        </w:rPr>
        <w:lastRenderedPageBreak/>
        <w:t>premier de la Convention</w:t>
      </w:r>
      <w:r w:rsidRPr="007C3FFD">
        <w:rPr>
          <w:rStyle w:val="Appelnotedebasdep"/>
        </w:rPr>
        <w:footnoteReference w:id="34"/>
      </w:r>
      <w:r w:rsidRPr="0062716A">
        <w:rPr>
          <w:lang w:val="fr-FR"/>
        </w:rPr>
        <w:t>. À cet égard, le Comité prend note de la décision de la Cour de Bosnie-Herzégovine constatant que la requérante a été victime d</w:t>
      </w:r>
      <w:r>
        <w:rPr>
          <w:lang w:val="fr-FR"/>
        </w:rPr>
        <w:t>’</w:t>
      </w:r>
      <w:r w:rsidRPr="0062716A">
        <w:rPr>
          <w:lang w:val="fr-FR"/>
        </w:rPr>
        <w:t xml:space="preserve">un viol </w:t>
      </w:r>
      <w:r>
        <w:rPr>
          <w:lang w:val="fr-FR"/>
        </w:rPr>
        <w:t xml:space="preserve">considéré comme un </w:t>
      </w:r>
      <w:r w:rsidRPr="0062716A">
        <w:rPr>
          <w:lang w:val="fr-FR"/>
        </w:rPr>
        <w:t xml:space="preserve">crime de guerre contre la population civile </w:t>
      </w:r>
      <w:r>
        <w:rPr>
          <w:lang w:val="fr-FR"/>
        </w:rPr>
        <w:t xml:space="preserve">commis </w:t>
      </w:r>
      <w:r w:rsidRPr="0062716A">
        <w:rPr>
          <w:lang w:val="fr-FR"/>
        </w:rPr>
        <w:t xml:space="preserve">pendant le conflit armé. Le Comité </w:t>
      </w:r>
      <w:r>
        <w:rPr>
          <w:lang w:val="fr-FR"/>
        </w:rPr>
        <w:t>note</w:t>
      </w:r>
      <w:r w:rsidRPr="0062716A">
        <w:rPr>
          <w:lang w:val="fr-FR"/>
        </w:rPr>
        <w:t xml:space="preserve"> que l</w:t>
      </w:r>
      <w:r>
        <w:rPr>
          <w:lang w:val="fr-FR"/>
        </w:rPr>
        <w:t>’</w:t>
      </w:r>
      <w:r w:rsidRPr="0062716A">
        <w:rPr>
          <w:lang w:val="fr-FR"/>
        </w:rPr>
        <w:t>État partie n</w:t>
      </w:r>
      <w:r>
        <w:rPr>
          <w:lang w:val="fr-FR"/>
        </w:rPr>
        <w:t>’</w:t>
      </w:r>
      <w:r w:rsidRPr="0062716A">
        <w:rPr>
          <w:lang w:val="fr-FR"/>
        </w:rPr>
        <w:t>a pas contesté ce</w:t>
      </w:r>
      <w:r>
        <w:rPr>
          <w:lang w:val="fr-FR"/>
        </w:rPr>
        <w:t>tte</w:t>
      </w:r>
      <w:r w:rsidRPr="0062716A">
        <w:rPr>
          <w:lang w:val="fr-FR"/>
        </w:rPr>
        <w:t xml:space="preserve"> allégation</w:t>
      </w:r>
      <w:r>
        <w:rPr>
          <w:lang w:val="fr-FR"/>
        </w:rPr>
        <w:t xml:space="preserve"> de la requérante</w:t>
      </w:r>
      <w:r w:rsidRPr="0062716A">
        <w:rPr>
          <w:lang w:val="fr-FR"/>
        </w:rPr>
        <w:t>.</w:t>
      </w:r>
      <w:r>
        <w:rPr>
          <w:lang w:val="fr-FR"/>
        </w:rPr>
        <w:t xml:space="preserve"> </w:t>
      </w:r>
    </w:p>
    <w:p w14:paraId="334AC5C4" w14:textId="77777777" w:rsidR="00AF2FC6" w:rsidRPr="0062716A" w:rsidRDefault="00AF2FC6" w:rsidP="006F7894">
      <w:pPr>
        <w:pStyle w:val="SingleTxtG"/>
        <w:rPr>
          <w:lang w:val="fr-FR"/>
        </w:rPr>
      </w:pPr>
      <w:r w:rsidRPr="0062716A">
        <w:rPr>
          <w:lang w:val="fr-FR"/>
        </w:rPr>
        <w:t>7.3</w:t>
      </w:r>
      <w:r w:rsidRPr="0062716A">
        <w:rPr>
          <w:lang w:val="fr-FR"/>
        </w:rPr>
        <w:tab/>
        <w:t>Le Comité note qu</w:t>
      </w:r>
      <w:r>
        <w:rPr>
          <w:lang w:val="fr-FR"/>
        </w:rPr>
        <w:t>’</w:t>
      </w:r>
      <w:r w:rsidRPr="0062716A">
        <w:rPr>
          <w:lang w:val="fr-FR"/>
        </w:rPr>
        <w:t xml:space="preserve">entre 1992 et 1995, le territoire où vivait la requérante était contrôlé par </w:t>
      </w:r>
      <w:r>
        <w:rPr>
          <w:lang w:val="fr-FR" w:eastAsia="en-GB"/>
        </w:rPr>
        <w:t xml:space="preserve">l’Armée </w:t>
      </w:r>
      <w:r w:rsidRPr="0062716A">
        <w:rPr>
          <w:lang w:val="fr-FR"/>
        </w:rPr>
        <w:t>de la Republika Srpska et que</w:t>
      </w:r>
      <w:r>
        <w:rPr>
          <w:lang w:val="fr-FR"/>
        </w:rPr>
        <w:t>,</w:t>
      </w:r>
      <w:r w:rsidRPr="0062716A">
        <w:rPr>
          <w:lang w:val="fr-FR"/>
        </w:rPr>
        <w:t xml:space="preserve"> pendant la guerre civile</w:t>
      </w:r>
      <w:r>
        <w:rPr>
          <w:lang w:val="fr-FR"/>
        </w:rPr>
        <w:t>,</w:t>
      </w:r>
      <w:r w:rsidRPr="0062716A">
        <w:rPr>
          <w:lang w:val="fr-FR"/>
        </w:rPr>
        <w:t xml:space="preserve"> les minorités ethniques étaient exposées à des menaces, des assassinats, des viols et des détentions arbitraires</w:t>
      </w:r>
      <w:r w:rsidRPr="007C3FFD">
        <w:rPr>
          <w:rStyle w:val="Appelnotedebasdep"/>
        </w:rPr>
        <w:footnoteReference w:id="35"/>
      </w:r>
      <w:r w:rsidRPr="0062716A">
        <w:rPr>
          <w:lang w:val="fr-FR"/>
        </w:rPr>
        <w:t>. Le Comité prend note de l</w:t>
      </w:r>
      <w:r>
        <w:rPr>
          <w:lang w:val="fr-FR"/>
        </w:rPr>
        <w:t>’</w:t>
      </w:r>
      <w:r w:rsidRPr="0062716A">
        <w:rPr>
          <w:lang w:val="fr-FR"/>
        </w:rPr>
        <w:t xml:space="preserve">allégation de la requérante </w:t>
      </w:r>
      <w:r>
        <w:rPr>
          <w:lang w:val="fr-FR"/>
        </w:rPr>
        <w:t>selon laquelle, en</w:t>
      </w:r>
      <w:r w:rsidRPr="0062716A">
        <w:rPr>
          <w:lang w:val="fr-FR"/>
        </w:rPr>
        <w:t xml:space="preserve"> mai et juin</w:t>
      </w:r>
      <w:r>
        <w:rPr>
          <w:lang w:val="fr-FR"/>
        </w:rPr>
        <w:t> </w:t>
      </w:r>
      <w:r w:rsidRPr="0062716A">
        <w:rPr>
          <w:lang w:val="fr-FR"/>
        </w:rPr>
        <w:t xml:space="preserve">1993, elle a été </w:t>
      </w:r>
      <w:r>
        <w:rPr>
          <w:lang w:val="fr-FR"/>
        </w:rPr>
        <w:t xml:space="preserve">entraînée de force </w:t>
      </w:r>
      <w:r w:rsidRPr="0062716A">
        <w:rPr>
          <w:lang w:val="fr-FR"/>
        </w:rPr>
        <w:t>hors de son domicile sous la menace d</w:t>
      </w:r>
      <w:r>
        <w:rPr>
          <w:lang w:val="fr-FR"/>
        </w:rPr>
        <w:t>’</w:t>
      </w:r>
      <w:r w:rsidRPr="0062716A">
        <w:rPr>
          <w:lang w:val="fr-FR"/>
        </w:rPr>
        <w:t xml:space="preserve">une arme à feu </w:t>
      </w:r>
      <w:r>
        <w:rPr>
          <w:lang w:val="fr-FR"/>
        </w:rPr>
        <w:t xml:space="preserve">puis violée </w:t>
      </w:r>
      <w:r w:rsidRPr="0062716A">
        <w:rPr>
          <w:lang w:val="fr-FR"/>
        </w:rPr>
        <w:t>par un membre de</w:t>
      </w:r>
      <w:r>
        <w:rPr>
          <w:lang w:val="fr-FR"/>
        </w:rPr>
        <w:t xml:space="preserve"> </w:t>
      </w:r>
      <w:r>
        <w:rPr>
          <w:lang w:val="fr-FR" w:eastAsia="en-GB"/>
        </w:rPr>
        <w:t xml:space="preserve">l’Armée </w:t>
      </w:r>
      <w:r w:rsidRPr="0062716A">
        <w:rPr>
          <w:lang w:val="fr-FR"/>
        </w:rPr>
        <w:t>de la Republika Srpska</w:t>
      </w:r>
      <w:r>
        <w:rPr>
          <w:lang w:val="fr-FR"/>
        </w:rPr>
        <w:t xml:space="preserve">, </w:t>
      </w:r>
      <w:r w:rsidRPr="0062716A">
        <w:rPr>
          <w:lang w:val="fr-FR"/>
        </w:rPr>
        <w:t>à la suite de quoi elle s</w:t>
      </w:r>
      <w:r>
        <w:rPr>
          <w:lang w:val="fr-FR"/>
        </w:rPr>
        <w:t>’</w:t>
      </w:r>
      <w:r w:rsidRPr="0062716A">
        <w:rPr>
          <w:lang w:val="fr-FR"/>
        </w:rPr>
        <w:t>est retrouvée enceinte et a dû avorter. Le Comité</w:t>
      </w:r>
      <w:r>
        <w:rPr>
          <w:lang w:val="fr-FR"/>
        </w:rPr>
        <w:t xml:space="preserve"> observe que le viol et les </w:t>
      </w:r>
      <w:r w:rsidRPr="0062716A">
        <w:rPr>
          <w:lang w:val="fr-FR"/>
        </w:rPr>
        <w:t>autres violence</w:t>
      </w:r>
      <w:r>
        <w:rPr>
          <w:lang w:val="fr-FR"/>
        </w:rPr>
        <w:t>s</w:t>
      </w:r>
      <w:r w:rsidRPr="0062716A">
        <w:rPr>
          <w:lang w:val="fr-FR"/>
        </w:rPr>
        <w:t xml:space="preserve"> sexuelle</w:t>
      </w:r>
      <w:r>
        <w:rPr>
          <w:lang w:val="fr-FR"/>
        </w:rPr>
        <w:t>s</w:t>
      </w:r>
      <w:r w:rsidRPr="0062716A">
        <w:rPr>
          <w:lang w:val="fr-FR"/>
        </w:rPr>
        <w:t xml:space="preserve"> et mauvais traitements auxquels elle a été soumise lui ont causé de </w:t>
      </w:r>
      <w:r>
        <w:rPr>
          <w:lang w:val="fr-FR"/>
        </w:rPr>
        <w:t xml:space="preserve">profondes douleurs et </w:t>
      </w:r>
      <w:r w:rsidRPr="0062716A">
        <w:rPr>
          <w:lang w:val="fr-FR"/>
        </w:rPr>
        <w:t xml:space="preserve">souffrances physiques et </w:t>
      </w:r>
      <w:r>
        <w:rPr>
          <w:lang w:val="fr-FR"/>
        </w:rPr>
        <w:t>psychologiques</w:t>
      </w:r>
      <w:r w:rsidRPr="0062716A">
        <w:rPr>
          <w:lang w:val="fr-FR"/>
        </w:rPr>
        <w:t xml:space="preserve"> et </w:t>
      </w:r>
      <w:r>
        <w:rPr>
          <w:lang w:val="fr-FR"/>
        </w:rPr>
        <w:t xml:space="preserve">lui </w:t>
      </w:r>
      <w:r w:rsidRPr="0062716A">
        <w:rPr>
          <w:lang w:val="fr-FR"/>
        </w:rPr>
        <w:t>ont été infligés délibérément pendant le conflit armé dans l</w:t>
      </w:r>
      <w:r>
        <w:rPr>
          <w:lang w:val="fr-FR"/>
        </w:rPr>
        <w:t>’</w:t>
      </w:r>
      <w:r w:rsidRPr="0062716A">
        <w:rPr>
          <w:lang w:val="fr-FR"/>
        </w:rPr>
        <w:t>État partie afin de la punir et de l</w:t>
      </w:r>
      <w:r>
        <w:rPr>
          <w:lang w:val="fr-FR"/>
        </w:rPr>
        <w:t>’</w:t>
      </w:r>
      <w:r w:rsidRPr="0062716A">
        <w:rPr>
          <w:lang w:val="fr-FR"/>
        </w:rPr>
        <w:t>intimider, de l</w:t>
      </w:r>
      <w:r>
        <w:rPr>
          <w:lang w:val="fr-FR"/>
        </w:rPr>
        <w:t>’</w:t>
      </w:r>
      <w:r w:rsidRPr="0062716A">
        <w:rPr>
          <w:lang w:val="fr-FR"/>
        </w:rPr>
        <w:t>humilier et de l</w:t>
      </w:r>
      <w:r>
        <w:rPr>
          <w:lang w:val="fr-FR"/>
        </w:rPr>
        <w:t>’</w:t>
      </w:r>
      <w:r w:rsidRPr="0062716A">
        <w:rPr>
          <w:lang w:val="fr-FR"/>
        </w:rPr>
        <w:t>avilir, ce qui représente une forme de discrimination à son égard</w:t>
      </w:r>
      <w:r w:rsidRPr="007C3FFD">
        <w:rPr>
          <w:rStyle w:val="Appelnotedebasdep"/>
        </w:rPr>
        <w:footnoteReference w:id="36"/>
      </w:r>
      <w:r w:rsidRPr="0062716A">
        <w:rPr>
          <w:lang w:val="fr-FR"/>
        </w:rPr>
        <w:t xml:space="preserve"> fondée sur</w:t>
      </w:r>
      <w:r>
        <w:rPr>
          <w:lang w:val="fr-FR"/>
        </w:rPr>
        <w:t xml:space="preserve"> le</w:t>
      </w:r>
      <w:r w:rsidRPr="0062716A">
        <w:rPr>
          <w:lang w:val="fr-FR"/>
        </w:rPr>
        <w:t xml:space="preserve"> sexe</w:t>
      </w:r>
      <w:r w:rsidRPr="007C3FFD">
        <w:rPr>
          <w:rStyle w:val="Appelnotedebasdep"/>
        </w:rPr>
        <w:footnoteReference w:id="37"/>
      </w:r>
      <w:r w:rsidRPr="0062716A">
        <w:rPr>
          <w:lang w:val="fr-FR"/>
        </w:rPr>
        <w:t xml:space="preserve"> et </w:t>
      </w:r>
      <w:r>
        <w:rPr>
          <w:lang w:val="fr-FR"/>
        </w:rPr>
        <w:t>l’appartenance</w:t>
      </w:r>
      <w:r w:rsidRPr="0062716A">
        <w:rPr>
          <w:lang w:val="fr-FR"/>
        </w:rPr>
        <w:t xml:space="preserve"> ethnique. Le Comité </w:t>
      </w:r>
      <w:r>
        <w:rPr>
          <w:lang w:val="fr-FR"/>
        </w:rPr>
        <w:t xml:space="preserve">considère </w:t>
      </w:r>
      <w:r w:rsidRPr="0062716A">
        <w:rPr>
          <w:lang w:val="fr-FR"/>
        </w:rPr>
        <w:t xml:space="preserve">que, </w:t>
      </w:r>
      <w:r>
        <w:rPr>
          <w:lang w:val="fr-FR"/>
        </w:rPr>
        <w:t xml:space="preserve">compte tenu de </w:t>
      </w:r>
      <w:r w:rsidRPr="0062716A">
        <w:rPr>
          <w:lang w:val="fr-FR"/>
        </w:rPr>
        <w:t xml:space="preserve">la description détaillée et cohérente du viol faite par la requérante, qui est corroborée par </w:t>
      </w:r>
      <w:r>
        <w:rPr>
          <w:lang w:val="fr-FR"/>
        </w:rPr>
        <w:t xml:space="preserve">la décision </w:t>
      </w:r>
      <w:r w:rsidRPr="0062716A">
        <w:rPr>
          <w:lang w:val="fr-FR"/>
        </w:rPr>
        <w:t>de la Cour de Bosnie-Herzégovine en date du 28</w:t>
      </w:r>
      <w:r>
        <w:rPr>
          <w:lang w:val="fr-FR"/>
        </w:rPr>
        <w:t> </w:t>
      </w:r>
      <w:r w:rsidRPr="0062716A">
        <w:rPr>
          <w:lang w:val="fr-FR"/>
        </w:rPr>
        <w:t xml:space="preserve">juin 2015 et coïncide avec </w:t>
      </w:r>
      <w:r>
        <w:rPr>
          <w:lang w:val="fr-FR"/>
        </w:rPr>
        <w:t xml:space="preserve">les </w:t>
      </w:r>
      <w:r w:rsidRPr="0062716A">
        <w:rPr>
          <w:lang w:val="fr-FR"/>
        </w:rPr>
        <w:t>violence</w:t>
      </w:r>
      <w:r>
        <w:rPr>
          <w:lang w:val="fr-FR"/>
        </w:rPr>
        <w:t>s</w:t>
      </w:r>
      <w:r w:rsidRPr="0062716A">
        <w:rPr>
          <w:lang w:val="fr-FR"/>
        </w:rPr>
        <w:t xml:space="preserve"> sexuelle</w:t>
      </w:r>
      <w:r>
        <w:rPr>
          <w:lang w:val="fr-FR"/>
        </w:rPr>
        <w:t>s systématiques</w:t>
      </w:r>
      <w:r w:rsidRPr="0062716A">
        <w:rPr>
          <w:lang w:val="fr-FR"/>
        </w:rPr>
        <w:t xml:space="preserve">, en particulier </w:t>
      </w:r>
      <w:r>
        <w:rPr>
          <w:lang w:val="fr-FR"/>
        </w:rPr>
        <w:t xml:space="preserve">les </w:t>
      </w:r>
      <w:r w:rsidRPr="0062716A">
        <w:rPr>
          <w:lang w:val="fr-FR"/>
        </w:rPr>
        <w:t>viol</w:t>
      </w:r>
      <w:r>
        <w:rPr>
          <w:lang w:val="fr-FR"/>
        </w:rPr>
        <w:t>s</w:t>
      </w:r>
      <w:r w:rsidRPr="0062716A">
        <w:rPr>
          <w:lang w:val="fr-FR"/>
        </w:rPr>
        <w:t xml:space="preserve"> de femmes, commises pendant le conflit armé interne</w:t>
      </w:r>
      <w:r>
        <w:rPr>
          <w:lang w:val="fr-FR"/>
        </w:rPr>
        <w:t xml:space="preserve"> et attesté</w:t>
      </w:r>
      <w:r w:rsidR="00090E5E">
        <w:rPr>
          <w:lang w:val="fr-FR"/>
        </w:rPr>
        <w:t>es</w:t>
      </w:r>
      <w:r>
        <w:rPr>
          <w:lang w:val="fr-FR"/>
        </w:rPr>
        <w:t xml:space="preserve"> par </w:t>
      </w:r>
      <w:r w:rsidRPr="0062716A">
        <w:rPr>
          <w:lang w:val="fr-FR"/>
        </w:rPr>
        <w:t>divers rapports intergouvernementaux et non gouvernementaux</w:t>
      </w:r>
      <w:r w:rsidRPr="007C3FFD">
        <w:rPr>
          <w:rStyle w:val="Appelnotedebasdep"/>
        </w:rPr>
        <w:footnoteReference w:id="38"/>
      </w:r>
      <w:r w:rsidRPr="0062716A">
        <w:rPr>
          <w:lang w:val="fr-FR"/>
        </w:rPr>
        <w:t>, le crédit voulu doit être accordé aux allégations de la requérante. Le Comité conclut que les faits exposés constituent un acte de torture au sens de l</w:t>
      </w:r>
      <w:r>
        <w:rPr>
          <w:lang w:val="fr-FR"/>
        </w:rPr>
        <w:t>’</w:t>
      </w:r>
      <w:r w:rsidRPr="0062716A">
        <w:rPr>
          <w:lang w:val="fr-FR"/>
        </w:rPr>
        <w:t>article premier de la Convention.</w:t>
      </w:r>
    </w:p>
    <w:p w14:paraId="5691CB2A" w14:textId="77777777" w:rsidR="00AF2FC6" w:rsidRPr="0062716A" w:rsidRDefault="00AF2FC6" w:rsidP="006F7894">
      <w:pPr>
        <w:pStyle w:val="SingleTxtG"/>
        <w:rPr>
          <w:lang w:val="fr-FR" w:eastAsia="en-GB"/>
        </w:rPr>
      </w:pPr>
      <w:r w:rsidRPr="0062716A">
        <w:rPr>
          <w:lang w:val="fr-FR" w:eastAsia="en-GB"/>
        </w:rPr>
        <w:t>7.4</w:t>
      </w:r>
      <w:r w:rsidRPr="0062716A">
        <w:rPr>
          <w:lang w:val="fr-FR" w:eastAsia="en-GB"/>
        </w:rPr>
        <w:tab/>
        <w:t xml:space="preserve">Le Comité prend note de la déclaration de la requérante </w:t>
      </w:r>
      <w:r>
        <w:rPr>
          <w:lang w:val="fr-FR" w:eastAsia="en-GB"/>
        </w:rPr>
        <w:t xml:space="preserve">selon laquelle, </w:t>
      </w:r>
      <w:r w:rsidRPr="0062716A">
        <w:rPr>
          <w:lang w:val="fr-FR" w:eastAsia="en-GB"/>
        </w:rPr>
        <w:t xml:space="preserve">puisque le viol et les actes de violence sexuelle et les mauvais traitements auxquels elle a été soumise </w:t>
      </w:r>
      <w:r>
        <w:rPr>
          <w:lang w:val="fr-FR" w:eastAsia="en-GB"/>
        </w:rPr>
        <w:t xml:space="preserve">à </w:t>
      </w:r>
      <w:r w:rsidRPr="0062716A">
        <w:rPr>
          <w:lang w:val="fr-FR" w:eastAsia="en-GB"/>
        </w:rPr>
        <w:t xml:space="preserve">deux </w:t>
      </w:r>
      <w:r>
        <w:rPr>
          <w:lang w:val="fr-FR" w:eastAsia="en-GB"/>
        </w:rPr>
        <w:t xml:space="preserve">reprises </w:t>
      </w:r>
      <w:r w:rsidRPr="0062716A">
        <w:rPr>
          <w:lang w:val="fr-FR" w:eastAsia="en-GB"/>
        </w:rPr>
        <w:t xml:space="preserve">en 1993 </w:t>
      </w:r>
      <w:r>
        <w:rPr>
          <w:lang w:val="fr-FR" w:eastAsia="en-GB"/>
        </w:rPr>
        <w:t>constitu</w:t>
      </w:r>
      <w:r w:rsidRPr="0062716A">
        <w:rPr>
          <w:lang w:val="fr-FR" w:eastAsia="en-GB"/>
        </w:rPr>
        <w:t xml:space="preserve">ent des actes de torture au sens </w:t>
      </w:r>
      <w:r>
        <w:rPr>
          <w:lang w:val="fr-FR" w:eastAsia="en-GB"/>
        </w:rPr>
        <w:t xml:space="preserve">du paragraphe 1 </w:t>
      </w:r>
      <w:r w:rsidRPr="0062716A">
        <w:rPr>
          <w:lang w:val="fr-FR" w:eastAsia="en-GB"/>
        </w:rPr>
        <w:t>de l</w:t>
      </w:r>
      <w:r>
        <w:rPr>
          <w:lang w:val="fr-FR" w:eastAsia="en-GB"/>
        </w:rPr>
        <w:t>’article premier</w:t>
      </w:r>
      <w:r w:rsidRPr="0062716A">
        <w:rPr>
          <w:lang w:val="fr-FR" w:eastAsia="en-GB"/>
        </w:rPr>
        <w:t xml:space="preserve"> de la Convention, l</w:t>
      </w:r>
      <w:r>
        <w:rPr>
          <w:lang w:val="fr-FR" w:eastAsia="en-GB"/>
        </w:rPr>
        <w:t>’</w:t>
      </w:r>
      <w:r w:rsidRPr="0062716A">
        <w:rPr>
          <w:lang w:val="fr-FR" w:eastAsia="en-GB"/>
        </w:rPr>
        <w:t xml:space="preserve">État partie est tenu, entre autres, de lui offrir une indemnisation adéquate et une réparation </w:t>
      </w:r>
      <w:r>
        <w:rPr>
          <w:lang w:val="fr-FR" w:eastAsia="en-GB"/>
        </w:rPr>
        <w:t>intégrale</w:t>
      </w:r>
      <w:r w:rsidRPr="0062716A">
        <w:rPr>
          <w:lang w:val="fr-FR" w:eastAsia="en-GB"/>
        </w:rPr>
        <w:t xml:space="preserve"> conformément </w:t>
      </w:r>
      <w:r>
        <w:rPr>
          <w:lang w:val="fr-FR" w:eastAsia="en-GB"/>
        </w:rPr>
        <w:t>au paragraphe 1 de</w:t>
      </w:r>
      <w:r w:rsidRPr="0062716A">
        <w:rPr>
          <w:lang w:val="fr-FR" w:eastAsia="en-GB"/>
        </w:rPr>
        <w:t xml:space="preserve"> l</w:t>
      </w:r>
      <w:r>
        <w:rPr>
          <w:lang w:val="fr-FR" w:eastAsia="en-GB"/>
        </w:rPr>
        <w:t>’</w:t>
      </w:r>
      <w:r w:rsidRPr="0062716A">
        <w:rPr>
          <w:lang w:val="fr-FR" w:eastAsia="en-GB"/>
        </w:rPr>
        <w:t>article</w:t>
      </w:r>
      <w:r>
        <w:rPr>
          <w:lang w:val="fr-FR" w:eastAsia="en-GB"/>
        </w:rPr>
        <w:t> </w:t>
      </w:r>
      <w:r w:rsidRPr="0062716A">
        <w:rPr>
          <w:lang w:val="fr-FR" w:eastAsia="en-GB"/>
        </w:rPr>
        <w:t>14 de la Convention. Le</w:t>
      </w:r>
      <w:r w:rsidR="006F7894">
        <w:rPr>
          <w:lang w:val="fr-FR" w:eastAsia="en-GB"/>
        </w:rPr>
        <w:t xml:space="preserve"> </w:t>
      </w:r>
      <w:r w:rsidRPr="0062716A">
        <w:rPr>
          <w:lang w:val="fr-FR" w:eastAsia="en-GB"/>
        </w:rPr>
        <w:t>Comité relève que l</w:t>
      </w:r>
      <w:r>
        <w:rPr>
          <w:lang w:val="fr-FR" w:eastAsia="en-GB"/>
        </w:rPr>
        <w:t>’</w:t>
      </w:r>
      <w:r w:rsidRPr="0062716A">
        <w:rPr>
          <w:lang w:val="fr-FR" w:eastAsia="en-GB"/>
        </w:rPr>
        <w:t>État partie n</w:t>
      </w:r>
      <w:r>
        <w:rPr>
          <w:lang w:val="fr-FR" w:eastAsia="en-GB"/>
        </w:rPr>
        <w:t>’</w:t>
      </w:r>
      <w:r w:rsidRPr="0062716A">
        <w:rPr>
          <w:lang w:val="fr-FR" w:eastAsia="en-GB"/>
        </w:rPr>
        <w:t>a pas contesté ces</w:t>
      </w:r>
      <w:r>
        <w:rPr>
          <w:lang w:val="fr-FR" w:eastAsia="en-GB"/>
        </w:rPr>
        <w:t xml:space="preserve"> griefs</w:t>
      </w:r>
      <w:r w:rsidRPr="0062716A">
        <w:rPr>
          <w:lang w:val="fr-FR" w:eastAsia="en-GB"/>
        </w:rPr>
        <w:t>.</w:t>
      </w:r>
    </w:p>
    <w:p w14:paraId="322BF7BB" w14:textId="77777777" w:rsidR="00AF2FC6" w:rsidRPr="0062716A" w:rsidRDefault="00AF2FC6" w:rsidP="006F7894">
      <w:pPr>
        <w:pStyle w:val="SingleTxtG"/>
        <w:rPr>
          <w:lang w:val="fr-FR"/>
        </w:rPr>
      </w:pPr>
      <w:r w:rsidRPr="0062716A">
        <w:rPr>
          <w:lang w:val="fr-FR" w:eastAsia="en-GB"/>
        </w:rPr>
        <w:t>7.5</w:t>
      </w:r>
      <w:r w:rsidRPr="0062716A">
        <w:rPr>
          <w:lang w:val="fr-FR" w:eastAsia="en-GB"/>
        </w:rPr>
        <w:tab/>
        <w:t xml:space="preserve">En ce qui concerne la violation </w:t>
      </w:r>
      <w:r>
        <w:rPr>
          <w:lang w:val="fr-FR" w:eastAsia="en-GB"/>
        </w:rPr>
        <w:t xml:space="preserve">du paragraphe 1 </w:t>
      </w:r>
      <w:r w:rsidRPr="0062716A">
        <w:rPr>
          <w:lang w:val="fr-FR"/>
        </w:rPr>
        <w:t>de l</w:t>
      </w:r>
      <w:r>
        <w:rPr>
          <w:lang w:val="fr-FR"/>
        </w:rPr>
        <w:t>’</w:t>
      </w:r>
      <w:r w:rsidRPr="0062716A">
        <w:rPr>
          <w:lang w:val="fr-FR"/>
        </w:rPr>
        <w:t>article</w:t>
      </w:r>
      <w:r>
        <w:rPr>
          <w:lang w:val="fr-FR"/>
        </w:rPr>
        <w:t> </w:t>
      </w:r>
      <w:r w:rsidRPr="0062716A">
        <w:rPr>
          <w:lang w:val="fr-FR"/>
        </w:rPr>
        <w:t>14 de la Convention</w:t>
      </w:r>
      <w:r>
        <w:rPr>
          <w:lang w:val="fr-FR"/>
        </w:rPr>
        <w:t xml:space="preserve"> invoquée par la requérante</w:t>
      </w:r>
      <w:r w:rsidRPr="0062716A">
        <w:rPr>
          <w:lang w:val="fr-FR"/>
        </w:rPr>
        <w:t xml:space="preserve">, le Comité prend note des allégations de </w:t>
      </w:r>
      <w:r>
        <w:rPr>
          <w:lang w:val="fr-FR"/>
        </w:rPr>
        <w:t xml:space="preserve">celle-ci selon lesquelles </w:t>
      </w:r>
      <w:r w:rsidRPr="0062716A">
        <w:rPr>
          <w:lang w:val="fr-FR"/>
        </w:rPr>
        <w:t>l</w:t>
      </w:r>
      <w:r>
        <w:rPr>
          <w:lang w:val="fr-FR"/>
        </w:rPr>
        <w:t>’</w:t>
      </w:r>
      <w:r w:rsidRPr="0062716A">
        <w:rPr>
          <w:lang w:val="fr-FR"/>
        </w:rPr>
        <w:t>État partie l</w:t>
      </w:r>
      <w:r>
        <w:rPr>
          <w:lang w:val="fr-FR"/>
        </w:rPr>
        <w:t>’</w:t>
      </w:r>
      <w:r w:rsidRPr="0062716A">
        <w:rPr>
          <w:lang w:val="fr-FR"/>
        </w:rPr>
        <w:t xml:space="preserve">a privée de son droit à une indemnisation équitable et adéquate </w:t>
      </w:r>
      <w:r>
        <w:rPr>
          <w:lang w:val="fr-FR"/>
        </w:rPr>
        <w:t xml:space="preserve">en n’assurant pas son indemnisation, faute d’avoir </w:t>
      </w:r>
      <w:r w:rsidRPr="0062716A">
        <w:rPr>
          <w:lang w:val="fr-FR"/>
        </w:rPr>
        <w:t xml:space="preserve">adopté </w:t>
      </w:r>
      <w:r>
        <w:rPr>
          <w:lang w:val="fr-FR"/>
        </w:rPr>
        <w:t xml:space="preserve">une </w:t>
      </w:r>
      <w:r w:rsidRPr="0062716A">
        <w:rPr>
          <w:lang w:val="fr-FR"/>
        </w:rPr>
        <w:t>lé</w:t>
      </w:r>
      <w:r>
        <w:rPr>
          <w:lang w:val="fr-FR"/>
        </w:rPr>
        <w:t>gislation adéquate et développé</w:t>
      </w:r>
      <w:r w:rsidRPr="0062716A">
        <w:rPr>
          <w:lang w:val="fr-FR"/>
        </w:rPr>
        <w:t xml:space="preserve"> une pratique d</w:t>
      </w:r>
      <w:r>
        <w:rPr>
          <w:lang w:val="fr-FR"/>
        </w:rPr>
        <w:t>’</w:t>
      </w:r>
      <w:r w:rsidRPr="0062716A">
        <w:rPr>
          <w:lang w:val="fr-FR"/>
        </w:rPr>
        <w:t xml:space="preserve">application </w:t>
      </w:r>
      <w:r>
        <w:rPr>
          <w:lang w:val="fr-FR"/>
        </w:rPr>
        <w:t>de la loi</w:t>
      </w:r>
      <w:r w:rsidRPr="0062716A">
        <w:rPr>
          <w:lang w:val="fr-FR"/>
        </w:rPr>
        <w:t xml:space="preserve"> garantissant que les victimes de torture obtiennent réparation et </w:t>
      </w:r>
      <w:r>
        <w:rPr>
          <w:lang w:val="fr-FR"/>
        </w:rPr>
        <w:t xml:space="preserve">la réalisation de </w:t>
      </w:r>
      <w:r w:rsidRPr="0062716A">
        <w:rPr>
          <w:lang w:val="fr-FR"/>
        </w:rPr>
        <w:t>leur droit à indemnisation. Le Comité rappelle que l</w:t>
      </w:r>
      <w:r>
        <w:rPr>
          <w:lang w:val="fr-FR"/>
        </w:rPr>
        <w:t>’</w:t>
      </w:r>
      <w:r w:rsidRPr="0062716A">
        <w:rPr>
          <w:lang w:val="fr-FR"/>
        </w:rPr>
        <w:t>article</w:t>
      </w:r>
      <w:r>
        <w:rPr>
          <w:lang w:val="fr-FR"/>
        </w:rPr>
        <w:t> </w:t>
      </w:r>
      <w:r w:rsidRPr="0062716A">
        <w:rPr>
          <w:lang w:val="fr-FR"/>
        </w:rPr>
        <w:t>14 de la Convention non seulement reconnaît le droit</w:t>
      </w:r>
      <w:r w:rsidRPr="00C6612E">
        <w:rPr>
          <w:lang w:val="fr-FR"/>
        </w:rPr>
        <w:t xml:space="preserve"> </w:t>
      </w:r>
      <w:r>
        <w:rPr>
          <w:lang w:val="fr-FR"/>
        </w:rPr>
        <w:t xml:space="preserve">des </w:t>
      </w:r>
      <w:r w:rsidRPr="0062716A">
        <w:rPr>
          <w:lang w:val="fr-FR"/>
        </w:rPr>
        <w:t>victime</w:t>
      </w:r>
      <w:r>
        <w:rPr>
          <w:lang w:val="fr-FR"/>
        </w:rPr>
        <w:t>s</w:t>
      </w:r>
      <w:r w:rsidRPr="0062716A">
        <w:rPr>
          <w:lang w:val="fr-FR"/>
        </w:rPr>
        <w:t xml:space="preserve"> d</w:t>
      </w:r>
      <w:r>
        <w:rPr>
          <w:lang w:val="fr-FR"/>
        </w:rPr>
        <w:t>’</w:t>
      </w:r>
      <w:r w:rsidRPr="0062716A">
        <w:rPr>
          <w:lang w:val="fr-FR"/>
        </w:rPr>
        <w:t xml:space="preserve">un acte de torture </w:t>
      </w:r>
      <w:r>
        <w:rPr>
          <w:lang w:val="fr-FR"/>
        </w:rPr>
        <w:t xml:space="preserve">à </w:t>
      </w:r>
      <w:r w:rsidRPr="0062716A">
        <w:rPr>
          <w:lang w:val="fr-FR"/>
        </w:rPr>
        <w:t>être indemnisé</w:t>
      </w:r>
      <w:r>
        <w:rPr>
          <w:lang w:val="fr-FR"/>
        </w:rPr>
        <w:t>es</w:t>
      </w:r>
      <w:r w:rsidRPr="0062716A">
        <w:rPr>
          <w:lang w:val="fr-FR"/>
        </w:rPr>
        <w:t xml:space="preserve"> équitablement et de manière adéquate</w:t>
      </w:r>
      <w:r>
        <w:rPr>
          <w:lang w:val="fr-FR"/>
        </w:rPr>
        <w:t>,</w:t>
      </w:r>
      <w:r w:rsidRPr="0062716A">
        <w:rPr>
          <w:lang w:val="fr-FR"/>
        </w:rPr>
        <w:t xml:space="preserve"> mais demande aussi aux États parties de garantir le</w:t>
      </w:r>
      <w:r>
        <w:rPr>
          <w:lang w:val="fr-FR"/>
        </w:rPr>
        <w:t>ur</w:t>
      </w:r>
      <w:r w:rsidRPr="0062716A">
        <w:rPr>
          <w:lang w:val="fr-FR"/>
        </w:rPr>
        <w:t xml:space="preserve"> droit d</w:t>
      </w:r>
      <w:r>
        <w:rPr>
          <w:lang w:val="fr-FR"/>
        </w:rPr>
        <w:t>’</w:t>
      </w:r>
      <w:r w:rsidRPr="0062716A">
        <w:rPr>
          <w:lang w:val="fr-FR"/>
        </w:rPr>
        <w:t>obtenir réparation.</w:t>
      </w:r>
      <w:r>
        <w:rPr>
          <w:lang w:val="fr-FR"/>
        </w:rPr>
        <w:t xml:space="preserve"> </w:t>
      </w:r>
      <w:r w:rsidRPr="0062716A">
        <w:rPr>
          <w:lang w:val="fr-FR"/>
        </w:rPr>
        <w:t>Le Comité rappelle que l</w:t>
      </w:r>
      <w:r>
        <w:rPr>
          <w:lang w:val="fr-FR"/>
        </w:rPr>
        <w:t>’</w:t>
      </w:r>
      <w:r w:rsidRPr="0062716A">
        <w:rPr>
          <w:lang w:val="fr-FR"/>
        </w:rPr>
        <w:t xml:space="preserve">obligation </w:t>
      </w:r>
      <w:r>
        <w:rPr>
          <w:lang w:val="fr-FR"/>
        </w:rPr>
        <w:t>de réparer énoncée à</w:t>
      </w:r>
      <w:r w:rsidRPr="0062716A">
        <w:rPr>
          <w:lang w:val="fr-FR"/>
        </w:rPr>
        <w:t xml:space="preserve"> l</w:t>
      </w:r>
      <w:r>
        <w:rPr>
          <w:lang w:val="fr-FR"/>
        </w:rPr>
        <w:t>’</w:t>
      </w:r>
      <w:r w:rsidRPr="0062716A">
        <w:rPr>
          <w:lang w:val="fr-FR"/>
        </w:rPr>
        <w:t>article 14 est double : elle porte sur les procédures et sur le fond. Pour satisfaire aux obligations de procédure, les États parties doivent promulguer une législation et mettre en place des mécanismes de plainte, et faire en sorte que ces mécanismes et organes soient efficaces et accessibles à toutes les victimes</w:t>
      </w:r>
      <w:r w:rsidRPr="007C3FFD">
        <w:rPr>
          <w:rStyle w:val="Appelnotedebasdep"/>
        </w:rPr>
        <w:footnoteReference w:id="39"/>
      </w:r>
      <w:r w:rsidRPr="0062716A">
        <w:rPr>
          <w:lang w:val="fr-FR"/>
        </w:rPr>
        <w:t xml:space="preserve">. </w:t>
      </w:r>
      <w:r w:rsidRPr="00EB72A2">
        <w:rPr>
          <w:lang w:val="fr-FR"/>
        </w:rPr>
        <w:t>Le</w:t>
      </w:r>
      <w:r w:rsidRPr="004A5636">
        <w:rPr>
          <w:lang w:val="fr-FR"/>
        </w:rPr>
        <w:t xml:space="preserve"> Comité rappelle que </w:t>
      </w:r>
      <w:r>
        <w:rPr>
          <w:lang w:val="fr-FR"/>
        </w:rPr>
        <w:t>c</w:t>
      </w:r>
      <w:r w:rsidRPr="004A5636">
        <w:rPr>
          <w:lang w:val="fr-FR"/>
        </w:rPr>
        <w:t>ompte tenu du caractère continu des effets de la torture, il ne devrait pas y avoir de prescription</w:t>
      </w:r>
      <w:r>
        <w:rPr>
          <w:lang w:val="fr-FR"/>
        </w:rPr>
        <w:t>,</w:t>
      </w:r>
      <w:r w:rsidRPr="004A5636">
        <w:rPr>
          <w:lang w:val="fr-FR"/>
        </w:rPr>
        <w:t xml:space="preserve"> car </w:t>
      </w:r>
      <w:r>
        <w:rPr>
          <w:lang w:val="fr-FR"/>
        </w:rPr>
        <w:t>celle</w:t>
      </w:r>
      <w:r w:rsidR="00090E5E">
        <w:rPr>
          <w:lang w:val="fr-FR"/>
        </w:rPr>
        <w:noBreakHyphen/>
      </w:r>
      <w:bookmarkStart w:id="0" w:name="_GoBack"/>
      <w:bookmarkEnd w:id="0"/>
      <w:r>
        <w:rPr>
          <w:lang w:val="fr-FR"/>
        </w:rPr>
        <w:t xml:space="preserve">ci prive </w:t>
      </w:r>
      <w:r w:rsidRPr="004A5636">
        <w:rPr>
          <w:lang w:val="fr-FR"/>
        </w:rPr>
        <w:t>les victimes de la réparation, l</w:t>
      </w:r>
      <w:r>
        <w:rPr>
          <w:lang w:val="fr-FR"/>
        </w:rPr>
        <w:t>’</w:t>
      </w:r>
      <w:r w:rsidRPr="004A5636">
        <w:rPr>
          <w:lang w:val="fr-FR"/>
        </w:rPr>
        <w:t xml:space="preserve">indemnisation et la réadaptation qui leur sont </w:t>
      </w:r>
      <w:r w:rsidRPr="004A5636">
        <w:rPr>
          <w:lang w:val="fr-FR"/>
        </w:rPr>
        <w:lastRenderedPageBreak/>
        <w:t>dues</w:t>
      </w:r>
      <w:r w:rsidRPr="007C3FFD">
        <w:rPr>
          <w:rStyle w:val="Appelnotedebasdep"/>
        </w:rPr>
        <w:footnoteReference w:id="40"/>
      </w:r>
      <w:r w:rsidRPr="004A5636">
        <w:rPr>
          <w:lang w:val="fr-FR"/>
        </w:rPr>
        <w:t xml:space="preserve">. </w:t>
      </w:r>
      <w:r w:rsidRPr="0062716A">
        <w:rPr>
          <w:lang w:val="fr-FR"/>
        </w:rPr>
        <w:t>Le Comité rappelle également ses observations finales concernant le sixième rapport périodique de l</w:t>
      </w:r>
      <w:r>
        <w:rPr>
          <w:lang w:val="fr-FR"/>
        </w:rPr>
        <w:t>’</w:t>
      </w:r>
      <w:r w:rsidRPr="0062716A">
        <w:rPr>
          <w:lang w:val="fr-FR"/>
        </w:rPr>
        <w:t xml:space="preserve">État partie dans lesquelles il a demandé instamment à </w:t>
      </w:r>
      <w:r>
        <w:rPr>
          <w:lang w:val="fr-FR"/>
        </w:rPr>
        <w:t xml:space="preserve">celui-ci </w:t>
      </w:r>
      <w:r w:rsidRPr="0062716A">
        <w:rPr>
          <w:lang w:val="fr-FR"/>
        </w:rPr>
        <w:t>de prendre toutes les mesures nécessaires pour permettre aux victimes d</w:t>
      </w:r>
      <w:r>
        <w:rPr>
          <w:lang w:val="fr-FR"/>
        </w:rPr>
        <w:t>’</w:t>
      </w:r>
      <w:r w:rsidRPr="0062716A">
        <w:rPr>
          <w:lang w:val="fr-FR"/>
        </w:rPr>
        <w:t>actes de torture et de mauvais traitements, y compris les victimes d</w:t>
      </w:r>
      <w:r>
        <w:rPr>
          <w:lang w:val="fr-FR"/>
        </w:rPr>
        <w:t>’</w:t>
      </w:r>
      <w:r w:rsidRPr="0062716A">
        <w:rPr>
          <w:lang w:val="fr-FR"/>
        </w:rPr>
        <w:t>actes de violence sexuelle commis dans le contexte du conflit, d</w:t>
      </w:r>
      <w:r>
        <w:rPr>
          <w:lang w:val="fr-FR"/>
        </w:rPr>
        <w:t>’</w:t>
      </w:r>
      <w:r w:rsidRPr="0062716A">
        <w:rPr>
          <w:lang w:val="fr-FR"/>
        </w:rPr>
        <w:t>exercer leur droit à réparation</w:t>
      </w:r>
      <w:r w:rsidRPr="007C3FFD">
        <w:rPr>
          <w:rStyle w:val="Appelnotedebasdep"/>
        </w:rPr>
        <w:footnoteReference w:id="41"/>
      </w:r>
      <w:r w:rsidRPr="0062716A">
        <w:rPr>
          <w:lang w:val="fr-FR"/>
        </w:rPr>
        <w:t xml:space="preserve">. Le Comité considère que cette réparation devrait couvrir tous les préjudices subis par la victime, </w:t>
      </w:r>
      <w:r>
        <w:rPr>
          <w:lang w:val="fr-FR"/>
        </w:rPr>
        <w:t xml:space="preserve">et comprendre la </w:t>
      </w:r>
      <w:r w:rsidRPr="0062716A">
        <w:rPr>
          <w:lang w:val="fr-FR"/>
        </w:rPr>
        <w:t xml:space="preserve">restitution, </w:t>
      </w:r>
      <w:r>
        <w:rPr>
          <w:lang w:val="fr-FR"/>
        </w:rPr>
        <w:t>l’</w:t>
      </w:r>
      <w:r w:rsidRPr="0062716A">
        <w:rPr>
          <w:lang w:val="fr-FR"/>
        </w:rPr>
        <w:t xml:space="preserve">indemnisation, </w:t>
      </w:r>
      <w:r>
        <w:rPr>
          <w:lang w:val="fr-FR"/>
        </w:rPr>
        <w:t xml:space="preserve">la </w:t>
      </w:r>
      <w:r w:rsidRPr="0062716A">
        <w:rPr>
          <w:lang w:val="fr-FR"/>
        </w:rPr>
        <w:t>réadaptation de la victime et des mesures pour garantir que les violations ne se reproduisent pas, tout en prenant toujours en considération les circonstances de chaque affaire. Étant donné la gravité de l</w:t>
      </w:r>
      <w:r>
        <w:rPr>
          <w:lang w:val="fr-FR"/>
        </w:rPr>
        <w:t>’</w:t>
      </w:r>
      <w:r w:rsidRPr="0062716A">
        <w:rPr>
          <w:lang w:val="fr-FR"/>
        </w:rPr>
        <w:t xml:space="preserve">acte de torture et le droit de la requérante à </w:t>
      </w:r>
      <w:r>
        <w:rPr>
          <w:lang w:val="fr-FR"/>
        </w:rPr>
        <w:t xml:space="preserve">une </w:t>
      </w:r>
      <w:r w:rsidRPr="0062716A">
        <w:rPr>
          <w:lang w:val="fr-FR"/>
        </w:rPr>
        <w:t xml:space="preserve">indemnisation, et étant donné </w:t>
      </w:r>
      <w:r>
        <w:rPr>
          <w:lang w:val="fr-FR"/>
        </w:rPr>
        <w:t xml:space="preserve">l’impossibilité pour la requérante de </w:t>
      </w:r>
      <w:r w:rsidRPr="0062716A">
        <w:rPr>
          <w:lang w:val="fr-FR"/>
        </w:rPr>
        <w:t xml:space="preserve">faire </w:t>
      </w:r>
      <w:r>
        <w:rPr>
          <w:lang w:val="fr-FR"/>
        </w:rPr>
        <w:t xml:space="preserve">valoir </w:t>
      </w:r>
      <w:r w:rsidRPr="0062716A">
        <w:rPr>
          <w:lang w:val="fr-FR"/>
        </w:rPr>
        <w:t xml:space="preserve">son droit </w:t>
      </w:r>
      <w:r>
        <w:rPr>
          <w:lang w:val="fr-FR"/>
        </w:rPr>
        <w:t xml:space="preserve">aussi pleinement que </w:t>
      </w:r>
      <w:r w:rsidRPr="0062716A">
        <w:rPr>
          <w:lang w:val="fr-FR"/>
        </w:rPr>
        <w:t>possible, le Comité conclut que l</w:t>
      </w:r>
      <w:r>
        <w:rPr>
          <w:lang w:val="fr-FR"/>
        </w:rPr>
        <w:t>’</w:t>
      </w:r>
      <w:r w:rsidRPr="0062716A">
        <w:rPr>
          <w:lang w:val="fr-FR"/>
        </w:rPr>
        <w:t xml:space="preserve">État partie </w:t>
      </w:r>
      <w:r>
        <w:rPr>
          <w:lang w:val="fr-FR"/>
        </w:rPr>
        <w:t xml:space="preserve">a manqué aux </w:t>
      </w:r>
      <w:r w:rsidRPr="0062716A">
        <w:rPr>
          <w:lang w:val="fr-FR"/>
        </w:rPr>
        <w:t xml:space="preserve">obligations </w:t>
      </w:r>
      <w:r>
        <w:rPr>
          <w:lang w:val="fr-FR"/>
        </w:rPr>
        <w:t xml:space="preserve">que </w:t>
      </w:r>
      <w:r w:rsidRPr="0062716A">
        <w:rPr>
          <w:lang w:val="fr-FR"/>
        </w:rPr>
        <w:t>l</w:t>
      </w:r>
      <w:r>
        <w:rPr>
          <w:lang w:val="fr-FR"/>
        </w:rPr>
        <w:t>’</w:t>
      </w:r>
      <w:r w:rsidRPr="0062716A">
        <w:rPr>
          <w:lang w:val="fr-FR"/>
        </w:rPr>
        <w:t>article</w:t>
      </w:r>
      <w:r>
        <w:rPr>
          <w:lang w:val="fr-FR"/>
        </w:rPr>
        <w:t> </w:t>
      </w:r>
      <w:r w:rsidRPr="0062716A">
        <w:rPr>
          <w:lang w:val="fr-FR"/>
        </w:rPr>
        <w:t>14 de la Convention</w:t>
      </w:r>
      <w:r>
        <w:rPr>
          <w:lang w:val="fr-FR"/>
        </w:rPr>
        <w:t xml:space="preserve"> met à sa charge</w:t>
      </w:r>
      <w:r w:rsidRPr="0062716A">
        <w:rPr>
          <w:lang w:val="fr-FR"/>
        </w:rPr>
        <w:t>.</w:t>
      </w:r>
    </w:p>
    <w:p w14:paraId="5BCB82DE" w14:textId="77777777" w:rsidR="00AF2FC6" w:rsidRPr="0062716A" w:rsidRDefault="00AF2FC6" w:rsidP="006F7894">
      <w:pPr>
        <w:pStyle w:val="SingleTxtG"/>
        <w:rPr>
          <w:b/>
          <w:lang w:val="fr-FR"/>
        </w:rPr>
      </w:pPr>
      <w:r w:rsidRPr="0062716A">
        <w:rPr>
          <w:lang w:val="fr-FR" w:eastAsia="zh-CN"/>
        </w:rPr>
        <w:t>7.6</w:t>
      </w:r>
      <w:r w:rsidRPr="0062716A">
        <w:rPr>
          <w:lang w:val="fr-FR" w:eastAsia="zh-CN"/>
        </w:rPr>
        <w:tab/>
        <w:t xml:space="preserve">Le Comité </w:t>
      </w:r>
      <w:r>
        <w:rPr>
          <w:lang w:val="fr-FR" w:eastAsia="zh-CN"/>
        </w:rPr>
        <w:t>constate</w:t>
      </w:r>
      <w:r w:rsidRPr="0062716A">
        <w:rPr>
          <w:lang w:val="fr-FR" w:eastAsia="zh-CN"/>
        </w:rPr>
        <w:t xml:space="preserve"> que bien </w:t>
      </w:r>
      <w:r>
        <w:rPr>
          <w:lang w:val="fr-FR" w:eastAsia="zh-CN"/>
        </w:rPr>
        <w:t xml:space="preserve">qu’une indemnisation ait été accordée à </w:t>
      </w:r>
      <w:r w:rsidRPr="0062716A">
        <w:rPr>
          <w:lang w:val="fr-FR" w:eastAsia="zh-CN"/>
        </w:rPr>
        <w:t xml:space="preserve">la requérante, </w:t>
      </w:r>
      <w:r>
        <w:rPr>
          <w:lang w:val="fr-FR" w:eastAsia="zh-CN"/>
        </w:rPr>
        <w:t xml:space="preserve">celle-ci </w:t>
      </w:r>
      <w:r w:rsidRPr="0062716A">
        <w:rPr>
          <w:lang w:val="fr-FR" w:eastAsia="zh-CN"/>
        </w:rPr>
        <w:t xml:space="preserve">ne peut </w:t>
      </w:r>
      <w:r>
        <w:rPr>
          <w:lang w:val="fr-FR" w:eastAsia="zh-CN"/>
        </w:rPr>
        <w:t xml:space="preserve">la percevoir en pratique </w:t>
      </w:r>
      <w:r w:rsidRPr="0062716A">
        <w:rPr>
          <w:lang w:val="fr-FR" w:eastAsia="zh-CN"/>
        </w:rPr>
        <w:t>puisque l</w:t>
      </w:r>
      <w:r>
        <w:rPr>
          <w:lang w:val="fr-FR" w:eastAsia="zh-CN"/>
        </w:rPr>
        <w:t>’</w:t>
      </w:r>
      <w:r w:rsidRPr="0062716A">
        <w:rPr>
          <w:lang w:val="fr-FR" w:eastAsia="zh-CN"/>
        </w:rPr>
        <w:t>auteur des infractions n</w:t>
      </w:r>
      <w:r>
        <w:rPr>
          <w:lang w:val="fr-FR" w:eastAsia="zh-CN"/>
        </w:rPr>
        <w:t>’</w:t>
      </w:r>
      <w:r w:rsidRPr="0062716A">
        <w:rPr>
          <w:lang w:val="fr-FR" w:eastAsia="zh-CN"/>
        </w:rPr>
        <w:t xml:space="preserve">a ni </w:t>
      </w:r>
      <w:r>
        <w:rPr>
          <w:lang w:val="fr-FR" w:eastAsia="zh-CN"/>
        </w:rPr>
        <w:t xml:space="preserve">les </w:t>
      </w:r>
      <w:r w:rsidRPr="0062716A">
        <w:rPr>
          <w:lang w:val="fr-FR" w:eastAsia="zh-CN"/>
        </w:rPr>
        <w:t xml:space="preserve">biens ni </w:t>
      </w:r>
      <w:r>
        <w:rPr>
          <w:lang w:val="fr-FR" w:eastAsia="zh-CN"/>
        </w:rPr>
        <w:t xml:space="preserve">les </w:t>
      </w:r>
      <w:r w:rsidRPr="0062716A">
        <w:rPr>
          <w:lang w:val="fr-FR" w:eastAsia="zh-CN"/>
        </w:rPr>
        <w:t xml:space="preserve">moyens financiers </w:t>
      </w:r>
      <w:r>
        <w:rPr>
          <w:lang w:val="fr-FR" w:eastAsia="zh-CN"/>
        </w:rPr>
        <w:t xml:space="preserve">nécessaires </w:t>
      </w:r>
      <w:r w:rsidRPr="0062716A">
        <w:rPr>
          <w:lang w:val="fr-FR" w:eastAsia="zh-CN"/>
        </w:rPr>
        <w:t xml:space="preserve">pour </w:t>
      </w:r>
      <w:r>
        <w:rPr>
          <w:lang w:val="fr-FR" w:eastAsia="zh-CN"/>
        </w:rPr>
        <w:t>l’indemniser</w:t>
      </w:r>
      <w:r w:rsidRPr="0062716A">
        <w:rPr>
          <w:lang w:val="fr-FR" w:eastAsia="zh-CN"/>
        </w:rPr>
        <w:t>. Le Comité note que la législation interne régissant les actions civiles en réparation d</w:t>
      </w:r>
      <w:r>
        <w:rPr>
          <w:lang w:val="fr-FR" w:eastAsia="zh-CN"/>
        </w:rPr>
        <w:t>’</w:t>
      </w:r>
      <w:r w:rsidRPr="0062716A">
        <w:rPr>
          <w:lang w:val="fr-FR" w:eastAsia="zh-CN"/>
        </w:rPr>
        <w:t xml:space="preserve">un préjudice moral </w:t>
      </w:r>
      <w:r>
        <w:rPr>
          <w:lang w:val="fr-FR" w:eastAsia="zh-CN"/>
        </w:rPr>
        <w:t xml:space="preserve">assujettit celles-ci à </w:t>
      </w:r>
      <w:r w:rsidRPr="0062716A">
        <w:rPr>
          <w:lang w:val="fr-FR" w:eastAsia="zh-CN"/>
        </w:rPr>
        <w:t>un délai de prescription</w:t>
      </w:r>
      <w:r w:rsidRPr="007C3FFD">
        <w:rPr>
          <w:rStyle w:val="Appelnotedebasdep"/>
        </w:rPr>
        <w:footnoteReference w:id="42"/>
      </w:r>
      <w:r w:rsidRPr="0062716A">
        <w:rPr>
          <w:lang w:val="fr-FR" w:eastAsia="zh-CN"/>
        </w:rPr>
        <w:t>, et que la jurisprudence de la Cour constitutionnelle en la matière</w:t>
      </w:r>
      <w:r>
        <w:rPr>
          <w:lang w:val="fr-FR" w:eastAsia="zh-CN"/>
        </w:rPr>
        <w:t>,</w:t>
      </w:r>
      <w:r w:rsidRPr="0062716A">
        <w:rPr>
          <w:lang w:val="fr-FR" w:eastAsia="zh-CN"/>
        </w:rPr>
        <w:t xml:space="preserve"> </w:t>
      </w:r>
      <w:r>
        <w:rPr>
          <w:lang w:val="fr-FR" w:eastAsia="zh-CN"/>
        </w:rPr>
        <w:t xml:space="preserve">qui interprète </w:t>
      </w:r>
      <w:r w:rsidRPr="0062716A">
        <w:rPr>
          <w:lang w:val="fr-FR" w:eastAsia="zh-CN"/>
        </w:rPr>
        <w:t>l</w:t>
      </w:r>
      <w:r>
        <w:rPr>
          <w:lang w:val="fr-FR" w:eastAsia="zh-CN"/>
        </w:rPr>
        <w:t>’</w:t>
      </w:r>
      <w:r w:rsidRPr="0062716A">
        <w:rPr>
          <w:lang w:val="fr-FR" w:eastAsia="zh-CN"/>
        </w:rPr>
        <w:t>article</w:t>
      </w:r>
      <w:r>
        <w:rPr>
          <w:lang w:val="fr-FR" w:eastAsia="zh-CN"/>
        </w:rPr>
        <w:t> </w:t>
      </w:r>
      <w:r w:rsidRPr="0062716A">
        <w:rPr>
          <w:lang w:val="fr-FR" w:eastAsia="zh-CN"/>
        </w:rPr>
        <w:t>377 de la loi sur les obligations civiles</w:t>
      </w:r>
      <w:r>
        <w:rPr>
          <w:lang w:val="fr-FR" w:eastAsia="zh-CN"/>
        </w:rPr>
        <w:t>,</w:t>
      </w:r>
      <w:r w:rsidRPr="0062716A">
        <w:rPr>
          <w:lang w:val="fr-FR" w:eastAsia="zh-CN"/>
        </w:rPr>
        <w:t xml:space="preserve"> ne reconnaît pas le principe de </w:t>
      </w:r>
      <w:r>
        <w:rPr>
          <w:lang w:val="fr-FR" w:eastAsia="zh-CN"/>
        </w:rPr>
        <w:t xml:space="preserve">la </w:t>
      </w:r>
      <w:r w:rsidRPr="0062716A">
        <w:rPr>
          <w:lang w:val="fr-FR" w:eastAsia="zh-CN"/>
        </w:rPr>
        <w:t xml:space="preserve">responsabilité subsidiaire. Le Comité </w:t>
      </w:r>
      <w:r>
        <w:rPr>
          <w:lang w:val="fr-FR" w:eastAsia="zh-CN"/>
        </w:rPr>
        <w:t xml:space="preserve">est </w:t>
      </w:r>
      <w:r w:rsidRPr="0062716A">
        <w:rPr>
          <w:lang w:val="fr-FR" w:eastAsia="zh-CN"/>
        </w:rPr>
        <w:t xml:space="preserve">donc </w:t>
      </w:r>
      <w:r>
        <w:rPr>
          <w:lang w:val="fr-FR" w:eastAsia="zh-CN"/>
        </w:rPr>
        <w:t xml:space="preserve">d’avis </w:t>
      </w:r>
      <w:r w:rsidRPr="0062716A">
        <w:rPr>
          <w:lang w:val="fr-FR" w:eastAsia="zh-CN"/>
        </w:rPr>
        <w:t>que l</w:t>
      </w:r>
      <w:r>
        <w:rPr>
          <w:lang w:val="fr-FR" w:eastAsia="zh-CN"/>
        </w:rPr>
        <w:t>’</w:t>
      </w:r>
      <w:r w:rsidRPr="0062716A">
        <w:rPr>
          <w:lang w:val="fr-FR" w:eastAsia="zh-CN"/>
        </w:rPr>
        <w:t xml:space="preserve">État partie a </w:t>
      </w:r>
      <w:r>
        <w:rPr>
          <w:lang w:val="fr-FR" w:eastAsia="zh-CN"/>
        </w:rPr>
        <w:t xml:space="preserve">manqué aux </w:t>
      </w:r>
      <w:r w:rsidRPr="0062716A">
        <w:rPr>
          <w:lang w:val="fr-FR" w:eastAsia="zh-CN"/>
        </w:rPr>
        <w:t xml:space="preserve">obligations </w:t>
      </w:r>
      <w:r>
        <w:rPr>
          <w:lang w:val="fr-FR" w:eastAsia="zh-CN"/>
        </w:rPr>
        <w:t xml:space="preserve">que lui impose </w:t>
      </w:r>
      <w:r w:rsidRPr="0062716A">
        <w:rPr>
          <w:lang w:val="fr-FR" w:eastAsia="zh-CN"/>
        </w:rPr>
        <w:t>l</w:t>
      </w:r>
      <w:r>
        <w:rPr>
          <w:lang w:val="fr-FR" w:eastAsia="zh-CN"/>
        </w:rPr>
        <w:t>’</w:t>
      </w:r>
      <w:r w:rsidRPr="0062716A">
        <w:rPr>
          <w:lang w:val="fr-FR" w:eastAsia="zh-CN"/>
        </w:rPr>
        <w:t>article 14 de la Convention</w:t>
      </w:r>
      <w:r>
        <w:rPr>
          <w:lang w:val="fr-FR" w:eastAsia="zh-CN"/>
        </w:rPr>
        <w:t xml:space="preserve"> en ne permettant pas à </w:t>
      </w:r>
      <w:r w:rsidRPr="0062716A">
        <w:rPr>
          <w:lang w:val="fr-FR" w:eastAsia="zh-CN"/>
        </w:rPr>
        <w:t>la requérante</w:t>
      </w:r>
      <w:r>
        <w:rPr>
          <w:lang w:val="fr-FR" w:eastAsia="zh-CN"/>
        </w:rPr>
        <w:t xml:space="preserve"> d’obtenir réparation</w:t>
      </w:r>
      <w:r w:rsidRPr="0062716A">
        <w:rPr>
          <w:lang w:val="fr-FR" w:eastAsia="zh-CN"/>
        </w:rPr>
        <w:t>, y compris une indemnisation équitable et adéquate</w:t>
      </w:r>
      <w:r w:rsidRPr="007C3FFD">
        <w:rPr>
          <w:rStyle w:val="Appelnotedebasdep"/>
        </w:rPr>
        <w:footnoteReference w:id="43"/>
      </w:r>
      <w:r w:rsidRPr="0062716A">
        <w:rPr>
          <w:lang w:val="fr-FR" w:eastAsia="zh-CN"/>
        </w:rPr>
        <w:t>.</w:t>
      </w:r>
    </w:p>
    <w:p w14:paraId="296878DC" w14:textId="77777777" w:rsidR="00AF2FC6" w:rsidRPr="0062716A" w:rsidRDefault="00AF2FC6" w:rsidP="006F7894">
      <w:pPr>
        <w:pStyle w:val="SingleTxtG"/>
        <w:rPr>
          <w:b/>
          <w:lang w:val="fr-FR"/>
        </w:rPr>
      </w:pPr>
      <w:r w:rsidRPr="0062716A">
        <w:rPr>
          <w:lang w:val="fr-FR"/>
        </w:rPr>
        <w:t>8.</w:t>
      </w:r>
      <w:r w:rsidRPr="0062716A">
        <w:rPr>
          <w:lang w:val="fr-FR"/>
        </w:rPr>
        <w:tab/>
        <w:t>Le Comité, agissant en vertu du paragraphe</w:t>
      </w:r>
      <w:r>
        <w:rPr>
          <w:lang w:val="fr-FR"/>
        </w:rPr>
        <w:t> </w:t>
      </w:r>
      <w:r w:rsidRPr="0062716A">
        <w:rPr>
          <w:lang w:val="fr-FR"/>
        </w:rPr>
        <w:t>7 de l</w:t>
      </w:r>
      <w:r>
        <w:rPr>
          <w:lang w:val="fr-FR"/>
        </w:rPr>
        <w:t>’</w:t>
      </w:r>
      <w:r w:rsidRPr="0062716A">
        <w:rPr>
          <w:lang w:val="fr-FR"/>
        </w:rPr>
        <w:t>article</w:t>
      </w:r>
      <w:r>
        <w:rPr>
          <w:lang w:val="fr-FR"/>
        </w:rPr>
        <w:t> </w:t>
      </w:r>
      <w:r w:rsidRPr="0062716A">
        <w:rPr>
          <w:lang w:val="fr-FR"/>
        </w:rPr>
        <w:t xml:space="preserve">22 de la Convention, conclut que les faits dont il est saisi font apparaître une violation </w:t>
      </w:r>
      <w:r>
        <w:rPr>
          <w:lang w:val="fr-FR"/>
        </w:rPr>
        <w:t xml:space="preserve">du </w:t>
      </w:r>
      <w:r w:rsidRPr="0062716A">
        <w:rPr>
          <w:lang w:val="fr-FR"/>
        </w:rPr>
        <w:t>paragraphe</w:t>
      </w:r>
      <w:r>
        <w:rPr>
          <w:lang w:val="fr-FR"/>
        </w:rPr>
        <w:t> </w:t>
      </w:r>
      <w:r w:rsidRPr="0062716A">
        <w:rPr>
          <w:lang w:val="fr-FR"/>
        </w:rPr>
        <w:t>1</w:t>
      </w:r>
      <w:r>
        <w:rPr>
          <w:lang w:val="fr-FR"/>
        </w:rPr>
        <w:t xml:space="preserve"> </w:t>
      </w:r>
      <w:r w:rsidRPr="0062716A">
        <w:rPr>
          <w:lang w:val="fr-FR"/>
        </w:rPr>
        <w:t>de l</w:t>
      </w:r>
      <w:r>
        <w:rPr>
          <w:lang w:val="fr-FR"/>
        </w:rPr>
        <w:t>’</w:t>
      </w:r>
      <w:r w:rsidRPr="0062716A">
        <w:rPr>
          <w:lang w:val="fr-FR"/>
        </w:rPr>
        <w:t>article</w:t>
      </w:r>
      <w:r>
        <w:rPr>
          <w:lang w:val="fr-FR"/>
        </w:rPr>
        <w:t> </w:t>
      </w:r>
      <w:r w:rsidRPr="0062716A">
        <w:rPr>
          <w:lang w:val="fr-FR"/>
        </w:rPr>
        <w:t xml:space="preserve">14, lu conjointement avec </w:t>
      </w:r>
      <w:r>
        <w:rPr>
          <w:lang w:val="fr-FR"/>
        </w:rPr>
        <w:t xml:space="preserve">le paragraphe 1 de </w:t>
      </w:r>
      <w:r w:rsidRPr="0062716A">
        <w:rPr>
          <w:lang w:val="fr-FR"/>
        </w:rPr>
        <w:t>l</w:t>
      </w:r>
      <w:r>
        <w:rPr>
          <w:lang w:val="fr-FR"/>
        </w:rPr>
        <w:t>’article premier</w:t>
      </w:r>
      <w:r w:rsidRPr="0062716A">
        <w:rPr>
          <w:lang w:val="fr-FR"/>
        </w:rPr>
        <w:t xml:space="preserve"> de la Convention.</w:t>
      </w:r>
    </w:p>
    <w:p w14:paraId="27F14D37" w14:textId="77777777" w:rsidR="00AF2FC6" w:rsidRDefault="00AF2FC6" w:rsidP="006F7894">
      <w:pPr>
        <w:pStyle w:val="SingleTxtG"/>
        <w:rPr>
          <w:lang w:val="fr-FR"/>
        </w:rPr>
      </w:pPr>
      <w:r w:rsidRPr="0062716A">
        <w:rPr>
          <w:lang w:val="fr-FR"/>
        </w:rPr>
        <w:t>9.</w:t>
      </w:r>
      <w:r w:rsidRPr="0062716A">
        <w:rPr>
          <w:lang w:val="fr-FR"/>
        </w:rPr>
        <w:tab/>
        <w:t>Le Comité est d</w:t>
      </w:r>
      <w:r>
        <w:rPr>
          <w:lang w:val="fr-FR"/>
        </w:rPr>
        <w:t>’</w:t>
      </w:r>
      <w:r w:rsidRPr="0062716A">
        <w:rPr>
          <w:lang w:val="fr-FR"/>
        </w:rPr>
        <w:t>avis que l</w:t>
      </w:r>
      <w:r>
        <w:rPr>
          <w:lang w:val="fr-FR"/>
        </w:rPr>
        <w:t>’</w:t>
      </w:r>
      <w:r w:rsidRPr="0062716A">
        <w:rPr>
          <w:lang w:val="fr-FR"/>
        </w:rPr>
        <w:t>État partie est tenu : a)</w:t>
      </w:r>
      <w:r>
        <w:rPr>
          <w:lang w:val="fr-FR"/>
        </w:rPr>
        <w:t> </w:t>
      </w:r>
      <w:r w:rsidRPr="0062716A">
        <w:rPr>
          <w:lang w:val="fr-FR"/>
        </w:rPr>
        <w:t>de faire en sorte que la requérante obtienne une indemnisation rapide, équitable et adéquate ; b)</w:t>
      </w:r>
      <w:r>
        <w:rPr>
          <w:lang w:val="fr-FR"/>
        </w:rPr>
        <w:t> </w:t>
      </w:r>
      <w:r w:rsidRPr="0062716A">
        <w:rPr>
          <w:lang w:val="fr-FR"/>
        </w:rPr>
        <w:t>de faire en sorte que la requérante reçoive des soins médicaux et psychologiques immédiatement et gratuitement ; c)</w:t>
      </w:r>
      <w:r>
        <w:rPr>
          <w:lang w:val="fr-FR"/>
        </w:rPr>
        <w:t> </w:t>
      </w:r>
      <w:r w:rsidRPr="0062716A">
        <w:rPr>
          <w:lang w:val="fr-FR"/>
        </w:rPr>
        <w:t>de présenter publiquement à la requérante des excuses officielles ; d)</w:t>
      </w:r>
      <w:r>
        <w:rPr>
          <w:lang w:val="fr-FR"/>
        </w:rPr>
        <w:t> </w:t>
      </w:r>
      <w:r w:rsidRPr="0062716A">
        <w:rPr>
          <w:lang w:val="fr-FR"/>
        </w:rPr>
        <w:t xml:space="preserve">de se conformer </w:t>
      </w:r>
      <w:r>
        <w:rPr>
          <w:lang w:val="fr-FR"/>
        </w:rPr>
        <w:t xml:space="preserve">aux </w:t>
      </w:r>
      <w:r w:rsidRPr="0062716A">
        <w:rPr>
          <w:lang w:val="fr-FR"/>
        </w:rPr>
        <w:t>observations finales</w:t>
      </w:r>
      <w:r>
        <w:rPr>
          <w:lang w:val="fr-FR"/>
        </w:rPr>
        <w:t xml:space="preserve"> du Comité</w:t>
      </w:r>
      <w:r w:rsidRPr="0062716A">
        <w:rPr>
          <w:lang w:val="fr-FR"/>
        </w:rPr>
        <w:t>, notamment en se dotant au niveau national d</w:t>
      </w:r>
      <w:r>
        <w:rPr>
          <w:lang w:val="fr-FR"/>
        </w:rPr>
        <w:t>’</w:t>
      </w:r>
      <w:r w:rsidRPr="0062716A">
        <w:rPr>
          <w:lang w:val="fr-FR"/>
        </w:rPr>
        <w:t>un mécanisme efficace habilité à accorder toute forme de réparation aux victimes de crimes de guerre, y compris d</w:t>
      </w:r>
      <w:r>
        <w:rPr>
          <w:lang w:val="fr-FR"/>
        </w:rPr>
        <w:t>’</w:t>
      </w:r>
      <w:r w:rsidRPr="0062716A">
        <w:rPr>
          <w:lang w:val="fr-FR"/>
        </w:rPr>
        <w:t>actes de violence sexuelle, et en concevant et adoptant une loi-cadre qui définisse clairement les critères pour la reconnaissance du statut de victime de crimes de guerre, y compris d</w:t>
      </w:r>
      <w:r>
        <w:rPr>
          <w:lang w:val="fr-FR"/>
        </w:rPr>
        <w:t>’</w:t>
      </w:r>
      <w:r w:rsidRPr="0062716A">
        <w:rPr>
          <w:lang w:val="fr-FR"/>
        </w:rPr>
        <w:t>actes de violence sexuelle, et qui définisse un ensemble de droits et d</w:t>
      </w:r>
      <w:r>
        <w:rPr>
          <w:lang w:val="fr-FR"/>
        </w:rPr>
        <w:t>’</w:t>
      </w:r>
      <w:r w:rsidRPr="0062716A">
        <w:rPr>
          <w:lang w:val="fr-FR"/>
        </w:rPr>
        <w:t>aides garantis aux victimes sur tout le territoire de l</w:t>
      </w:r>
      <w:r>
        <w:rPr>
          <w:lang w:val="fr-FR"/>
        </w:rPr>
        <w:t>’</w:t>
      </w:r>
      <w:r w:rsidRPr="0062716A">
        <w:rPr>
          <w:lang w:val="fr-FR"/>
        </w:rPr>
        <w:t>État partie</w:t>
      </w:r>
      <w:r w:rsidRPr="007C3FFD">
        <w:rPr>
          <w:rStyle w:val="Appelnotedebasdep"/>
        </w:rPr>
        <w:footnoteReference w:id="44"/>
      </w:r>
      <w:r w:rsidRPr="0062716A">
        <w:rPr>
          <w:lang w:val="fr-FR"/>
        </w:rPr>
        <w:t xml:space="preserve">. </w:t>
      </w:r>
    </w:p>
    <w:p w14:paraId="6F2C00C8" w14:textId="77777777" w:rsidR="00AF2FC6" w:rsidRDefault="00AF2FC6" w:rsidP="006F7894">
      <w:pPr>
        <w:pStyle w:val="SingleTxtG"/>
        <w:rPr>
          <w:lang w:val="fr-FR"/>
        </w:rPr>
      </w:pPr>
      <w:r>
        <w:rPr>
          <w:lang w:val="fr-FR"/>
        </w:rPr>
        <w:t>10.</w:t>
      </w:r>
      <w:r>
        <w:rPr>
          <w:lang w:val="fr-FR"/>
        </w:rPr>
        <w:tab/>
      </w:r>
      <w:r w:rsidRPr="0062716A">
        <w:rPr>
          <w:lang w:val="fr-FR"/>
        </w:rPr>
        <w:t>Conformément au paragraphe</w:t>
      </w:r>
      <w:r>
        <w:rPr>
          <w:lang w:val="fr-FR"/>
        </w:rPr>
        <w:t> </w:t>
      </w:r>
      <w:r w:rsidRPr="0062716A">
        <w:rPr>
          <w:lang w:val="fr-FR"/>
        </w:rPr>
        <w:t>5 de l</w:t>
      </w:r>
      <w:r>
        <w:rPr>
          <w:lang w:val="fr-FR"/>
        </w:rPr>
        <w:t>’</w:t>
      </w:r>
      <w:r w:rsidRPr="0062716A">
        <w:rPr>
          <w:lang w:val="fr-FR"/>
        </w:rPr>
        <w:t>article</w:t>
      </w:r>
      <w:r>
        <w:rPr>
          <w:lang w:val="fr-FR"/>
        </w:rPr>
        <w:t> </w:t>
      </w:r>
      <w:r w:rsidRPr="0062716A">
        <w:rPr>
          <w:lang w:val="fr-FR"/>
        </w:rPr>
        <w:t>118 de son règlement intérieur, le Comité invite l</w:t>
      </w:r>
      <w:r>
        <w:rPr>
          <w:lang w:val="fr-FR"/>
        </w:rPr>
        <w:t>’</w:t>
      </w:r>
      <w:r w:rsidRPr="0062716A">
        <w:rPr>
          <w:lang w:val="fr-FR"/>
        </w:rPr>
        <w:t>État partie à l</w:t>
      </w:r>
      <w:r>
        <w:rPr>
          <w:lang w:val="fr-FR"/>
        </w:rPr>
        <w:t>’</w:t>
      </w:r>
      <w:r w:rsidRPr="0062716A">
        <w:rPr>
          <w:lang w:val="fr-FR"/>
        </w:rPr>
        <w:t xml:space="preserve">informer, dans un délai de </w:t>
      </w:r>
      <w:r>
        <w:rPr>
          <w:lang w:val="fr-FR"/>
        </w:rPr>
        <w:t>quatre</w:t>
      </w:r>
      <w:r>
        <w:rPr>
          <w:lang w:val="fr-FR"/>
        </w:rPr>
        <w:noBreakHyphen/>
        <w:t>vingt</w:t>
      </w:r>
      <w:r>
        <w:rPr>
          <w:lang w:val="fr-FR"/>
        </w:rPr>
        <w:noBreakHyphen/>
        <w:t>dix</w:t>
      </w:r>
      <w:r w:rsidRPr="0062716A">
        <w:rPr>
          <w:lang w:val="fr-FR"/>
        </w:rPr>
        <w:t xml:space="preserve"> jours à compter de la date de transmission de la présente décision, des mesures qu</w:t>
      </w:r>
      <w:r>
        <w:rPr>
          <w:lang w:val="fr-FR"/>
        </w:rPr>
        <w:t>’</w:t>
      </w:r>
      <w:r w:rsidRPr="0062716A">
        <w:rPr>
          <w:lang w:val="fr-FR"/>
        </w:rPr>
        <w:t>il aura prises pour donner suite aux observations ci</w:t>
      </w:r>
      <w:r>
        <w:rPr>
          <w:lang w:val="fr-FR"/>
        </w:rPr>
        <w:noBreakHyphen/>
      </w:r>
      <w:r w:rsidRPr="0062716A">
        <w:rPr>
          <w:lang w:val="fr-FR"/>
        </w:rPr>
        <w:t xml:space="preserve">dessus. </w:t>
      </w:r>
    </w:p>
    <w:p w14:paraId="0626F5A4" w14:textId="77777777" w:rsidR="006F7894" w:rsidRPr="006F7894" w:rsidRDefault="006F7894" w:rsidP="006F789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F7894" w:rsidRPr="006F7894" w:rsidSect="00A2394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9E459" w14:textId="77777777" w:rsidR="00F15934" w:rsidRPr="009C4D45" w:rsidRDefault="00F15934" w:rsidP="009C4D45">
      <w:pPr>
        <w:pStyle w:val="Pieddepage"/>
      </w:pPr>
    </w:p>
  </w:endnote>
  <w:endnote w:type="continuationSeparator" w:id="0">
    <w:p w14:paraId="12C59629" w14:textId="77777777" w:rsidR="00F15934" w:rsidRPr="009C4D45" w:rsidRDefault="00F15934" w:rsidP="009C4D45">
      <w:pPr>
        <w:pStyle w:val="Pieddepage"/>
      </w:pPr>
    </w:p>
  </w:endnote>
  <w:endnote w:type="continuationNotice" w:id="1">
    <w:p w14:paraId="427FDC38" w14:textId="77777777" w:rsidR="00F15934" w:rsidRDefault="00F159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D1BD" w14:textId="77777777" w:rsidR="00F15934" w:rsidRPr="00A23942" w:rsidRDefault="00F15934" w:rsidP="00A23942">
    <w:pPr>
      <w:pStyle w:val="Pieddepage"/>
      <w:tabs>
        <w:tab w:val="right" w:pos="9638"/>
      </w:tabs>
    </w:pPr>
    <w:r w:rsidRPr="00A23942">
      <w:rPr>
        <w:b/>
        <w:sz w:val="18"/>
      </w:rPr>
      <w:fldChar w:fldCharType="begin"/>
    </w:r>
    <w:r w:rsidRPr="00A23942">
      <w:rPr>
        <w:b/>
        <w:sz w:val="18"/>
      </w:rPr>
      <w:instrText xml:space="preserve"> PAGE  \* MERGEFORMAT </w:instrText>
    </w:r>
    <w:r w:rsidRPr="00A23942">
      <w:rPr>
        <w:b/>
        <w:sz w:val="18"/>
      </w:rPr>
      <w:fldChar w:fldCharType="separate"/>
    </w:r>
    <w:r w:rsidRPr="00A23942">
      <w:rPr>
        <w:b/>
        <w:noProof/>
        <w:sz w:val="18"/>
      </w:rPr>
      <w:t>2</w:t>
    </w:r>
    <w:r w:rsidRPr="00A23942">
      <w:rPr>
        <w:b/>
        <w:sz w:val="18"/>
      </w:rPr>
      <w:fldChar w:fldCharType="end"/>
    </w:r>
    <w:r>
      <w:rPr>
        <w:b/>
        <w:sz w:val="18"/>
      </w:rPr>
      <w:tab/>
    </w:r>
    <w:r>
      <w:t>GE.19-15557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DE1D" w14:textId="77777777" w:rsidR="00F15934" w:rsidRPr="00A23942" w:rsidRDefault="00F15934" w:rsidP="00A23942">
    <w:pPr>
      <w:pStyle w:val="Pieddepage"/>
      <w:tabs>
        <w:tab w:val="right" w:pos="9638"/>
      </w:tabs>
      <w:rPr>
        <w:b/>
        <w:sz w:val="18"/>
      </w:rPr>
    </w:pPr>
    <w:r>
      <w:t>GE.19-15557</w:t>
    </w:r>
    <w:r>
      <w:tab/>
    </w:r>
    <w:r w:rsidRPr="00A23942">
      <w:rPr>
        <w:b/>
        <w:sz w:val="18"/>
      </w:rPr>
      <w:fldChar w:fldCharType="begin"/>
    </w:r>
    <w:r w:rsidRPr="00A23942">
      <w:rPr>
        <w:b/>
        <w:sz w:val="18"/>
      </w:rPr>
      <w:instrText xml:space="preserve"> PAGE  \* MERGEFORMAT </w:instrText>
    </w:r>
    <w:r w:rsidRPr="00A23942">
      <w:rPr>
        <w:b/>
        <w:sz w:val="18"/>
      </w:rPr>
      <w:fldChar w:fldCharType="separate"/>
    </w:r>
    <w:r w:rsidRPr="00A23942">
      <w:rPr>
        <w:b/>
        <w:noProof/>
        <w:sz w:val="18"/>
      </w:rPr>
      <w:t>3</w:t>
    </w:r>
    <w:r w:rsidRPr="00A239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08BE" w14:textId="77777777" w:rsidR="00F15934" w:rsidRPr="00A23942" w:rsidRDefault="00F15934" w:rsidP="00A2394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D052EC8" wp14:editId="5AE08C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19-15557  (F)    260820    270820</w:t>
    </w:r>
    <w:r>
      <w:rPr>
        <w:sz w:val="20"/>
      </w:rPr>
      <w:br/>
    </w:r>
    <w:r w:rsidRPr="00A23942">
      <w:rPr>
        <w:rFonts w:ascii="C39T30Lfz" w:hAnsi="C39T30Lfz"/>
        <w:sz w:val="56"/>
      </w:rPr>
      <w:t></w:t>
    </w:r>
    <w:r w:rsidRPr="00A23942">
      <w:rPr>
        <w:rFonts w:ascii="C39T30Lfz" w:hAnsi="C39T30Lfz"/>
        <w:sz w:val="56"/>
      </w:rPr>
      <w:t></w:t>
    </w:r>
    <w:r w:rsidRPr="00A23942">
      <w:rPr>
        <w:rFonts w:ascii="C39T30Lfz" w:hAnsi="C39T30Lfz"/>
        <w:sz w:val="56"/>
      </w:rPr>
      <w:t></w:t>
    </w:r>
    <w:r w:rsidRPr="00A23942">
      <w:rPr>
        <w:rFonts w:ascii="C39T30Lfz" w:hAnsi="C39T30Lfz"/>
        <w:sz w:val="56"/>
      </w:rPr>
      <w:t></w:t>
    </w:r>
    <w:r w:rsidRPr="00A23942">
      <w:rPr>
        <w:rFonts w:ascii="C39T30Lfz" w:hAnsi="C39T30Lfz"/>
        <w:sz w:val="56"/>
      </w:rPr>
      <w:t></w:t>
    </w:r>
    <w:r w:rsidRPr="00A23942">
      <w:rPr>
        <w:rFonts w:ascii="C39T30Lfz" w:hAnsi="C39T30Lfz"/>
        <w:sz w:val="56"/>
      </w:rPr>
      <w:t></w:t>
    </w:r>
    <w:r w:rsidRPr="00A23942">
      <w:rPr>
        <w:rFonts w:ascii="C39T30Lfz" w:hAnsi="C39T30Lfz"/>
        <w:sz w:val="56"/>
      </w:rPr>
      <w:t></w:t>
    </w:r>
    <w:r w:rsidRPr="00A23942">
      <w:rPr>
        <w:rFonts w:ascii="C39T30Lfz" w:hAnsi="C39T30Lfz"/>
        <w:sz w:val="56"/>
      </w:rPr>
      <w:t></w:t>
    </w:r>
    <w:r w:rsidRPr="00A23942">
      <w:rPr>
        <w:rFonts w:ascii="C39T30Lfz" w:hAnsi="C39T30Lfz"/>
        <w:sz w:val="56"/>
      </w:rPr>
      <w:t></w:t>
    </w:r>
    <w:r>
      <w:rPr>
        <w:noProof/>
        <w:sz w:val="20"/>
      </w:rPr>
      <w:drawing>
        <wp:anchor distT="0" distB="0" distL="114300" distR="114300" simplePos="0" relativeHeight="251658240" behindDoc="0" locked="0" layoutInCell="1" allowOverlap="1" wp14:anchorId="736B3B99" wp14:editId="73DA5656">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84D7A" w14:textId="77777777" w:rsidR="00F15934" w:rsidRPr="009C4D45" w:rsidRDefault="00F15934" w:rsidP="009C4D45">
      <w:pPr>
        <w:pStyle w:val="Pieddepage"/>
        <w:tabs>
          <w:tab w:val="right" w:pos="2155"/>
        </w:tabs>
        <w:spacing w:after="80" w:line="240" w:lineRule="atLeast"/>
        <w:ind w:left="680"/>
        <w:rPr>
          <w:u w:val="single"/>
        </w:rPr>
      </w:pPr>
      <w:r>
        <w:rPr>
          <w:u w:val="single"/>
        </w:rPr>
        <w:tab/>
      </w:r>
    </w:p>
  </w:footnote>
  <w:footnote w:type="continuationSeparator" w:id="0">
    <w:p w14:paraId="51D83DCE" w14:textId="77777777" w:rsidR="00F15934" w:rsidRPr="00035AE4" w:rsidRDefault="00F15934" w:rsidP="00035AE4">
      <w:pPr>
        <w:pStyle w:val="Pieddepage"/>
        <w:tabs>
          <w:tab w:val="right" w:pos="2155"/>
        </w:tabs>
        <w:spacing w:after="80" w:line="240" w:lineRule="atLeast"/>
        <w:ind w:left="680"/>
        <w:rPr>
          <w:u w:val="single"/>
        </w:rPr>
      </w:pPr>
      <w:r>
        <w:rPr>
          <w:u w:val="single"/>
        </w:rPr>
        <w:tab/>
      </w:r>
    </w:p>
  </w:footnote>
  <w:footnote w:type="continuationNotice" w:id="1">
    <w:p w14:paraId="65489791" w14:textId="77777777" w:rsidR="00F15934" w:rsidRPr="00035AE4" w:rsidRDefault="00F15934">
      <w:pPr>
        <w:spacing w:line="240" w:lineRule="auto"/>
        <w:rPr>
          <w:sz w:val="2"/>
          <w:szCs w:val="2"/>
        </w:rPr>
      </w:pPr>
    </w:p>
  </w:footnote>
  <w:footnote w:id="2">
    <w:p w14:paraId="1A2F27E4" w14:textId="77777777" w:rsidR="00F15934" w:rsidRPr="006F7894" w:rsidRDefault="00F15934">
      <w:pPr>
        <w:pStyle w:val="Notedebasdepage"/>
        <w:rPr>
          <w:szCs w:val="18"/>
        </w:rPr>
      </w:pPr>
      <w:r>
        <w:rPr>
          <w:rStyle w:val="Appelnotedebasdep"/>
        </w:rPr>
        <w:tab/>
      </w:r>
      <w:r w:rsidRPr="006F7894">
        <w:rPr>
          <w:rStyle w:val="Appelnotedebasdep"/>
          <w:sz w:val="20"/>
          <w:vertAlign w:val="baseline"/>
        </w:rPr>
        <w:t>*</w:t>
      </w:r>
      <w:r>
        <w:rPr>
          <w:rStyle w:val="Appelnotedebasdep"/>
          <w:sz w:val="20"/>
          <w:vertAlign w:val="baseline"/>
        </w:rPr>
        <w:tab/>
      </w:r>
      <w:r w:rsidRPr="006F7894">
        <w:rPr>
          <w:szCs w:val="18"/>
        </w:rPr>
        <w:t>Adoptée par le Comité à sa soixante-septième session (22 juillet</w:t>
      </w:r>
      <w:r>
        <w:rPr>
          <w:szCs w:val="18"/>
        </w:rPr>
        <w:noBreakHyphen/>
      </w:r>
      <w:r w:rsidRPr="006F7894">
        <w:rPr>
          <w:szCs w:val="18"/>
        </w:rPr>
        <w:t>9 août 2019).</w:t>
      </w:r>
    </w:p>
  </w:footnote>
  <w:footnote w:id="3">
    <w:p w14:paraId="1E1A190B" w14:textId="77777777" w:rsidR="00F15934" w:rsidRPr="006F7894" w:rsidRDefault="00F15934">
      <w:pPr>
        <w:pStyle w:val="Notedebasdepage"/>
        <w:rPr>
          <w:szCs w:val="18"/>
        </w:rPr>
      </w:pPr>
      <w:r>
        <w:rPr>
          <w:rStyle w:val="Appelnotedebasdep"/>
        </w:rPr>
        <w:tab/>
      </w:r>
      <w:r w:rsidRPr="006F7894">
        <w:rPr>
          <w:rStyle w:val="Appelnotedebasdep"/>
          <w:sz w:val="20"/>
          <w:vertAlign w:val="baseline"/>
        </w:rPr>
        <w:t>**</w:t>
      </w:r>
      <w:r>
        <w:rPr>
          <w:rStyle w:val="Appelnotedebasdep"/>
          <w:sz w:val="20"/>
          <w:vertAlign w:val="baseline"/>
        </w:rPr>
        <w:tab/>
      </w:r>
      <w:r w:rsidRPr="006F7894">
        <w:rPr>
          <w:szCs w:val="18"/>
        </w:rPr>
        <w:t>Les membres du Comité dont le nom suit ont participé à l’examen de la communication</w:t>
      </w:r>
      <w:r>
        <w:rPr>
          <w:szCs w:val="18"/>
        </w:rPr>
        <w:t> </w:t>
      </w:r>
      <w:r w:rsidRPr="006F7894">
        <w:rPr>
          <w:szCs w:val="18"/>
        </w:rPr>
        <w:t>: Essadia</w:t>
      </w:r>
      <w:r>
        <w:rPr>
          <w:szCs w:val="18"/>
        </w:rPr>
        <w:t> </w:t>
      </w:r>
      <w:r w:rsidRPr="006F7894">
        <w:rPr>
          <w:szCs w:val="18"/>
        </w:rPr>
        <w:t>Belmir, Felice Gaer, Abdelwahab Hani, Claude Heller Rouassant, Jens Modvig, Ana Racu, Diego Rodríguez-Pinzón, Sébastien Touzé et Bakhtiyar Tuzmukhamedov.</w:t>
      </w:r>
    </w:p>
  </w:footnote>
  <w:footnote w:id="4">
    <w:p w14:paraId="6A3F6BD9"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La Yougoslavie a ratifié la Convention le 10 septembre 1991. La Bosnie-Herzégovine a accédé à la Convention le 1</w:t>
      </w:r>
      <w:r w:rsidRPr="004A5636">
        <w:rPr>
          <w:vertAlign w:val="superscript"/>
          <w:lang w:val="fr-FR"/>
        </w:rPr>
        <w:t>er</w:t>
      </w:r>
      <w:r w:rsidRPr="007D54D2">
        <w:rPr>
          <w:lang w:val="fr-FR"/>
        </w:rPr>
        <w:t> septembre 1993. Le 4 juin 2003, la Bosnie</w:t>
      </w:r>
      <w:r w:rsidRPr="007D54D2">
        <w:rPr>
          <w:lang w:val="fr-FR"/>
        </w:rPr>
        <w:noBreakHyphen/>
        <w:t xml:space="preserve">Herzégovine a fait une déclaration reconnaissant la compétence du Comité pour recevoir des communications présentées par des particuliers, conformément à l’article 22. </w:t>
      </w:r>
    </w:p>
  </w:footnote>
  <w:footnote w:id="5">
    <w:p w14:paraId="1E194E28"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 xml:space="preserve">La requérante a demandé à conserver l’anonymat et à ce que le principe de confidentialité soit strictement respecté. </w:t>
      </w:r>
    </w:p>
  </w:footnote>
  <w:footnote w:id="6">
    <w:p w14:paraId="4BD824B4"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r>
      <w:r w:rsidRPr="007D54D2">
        <w:rPr>
          <w:i/>
          <w:lang w:val="fr-FR"/>
        </w:rPr>
        <w:t>Bureau du Procureur de Bosnie-Herzégovine c. Slavko Savić</w:t>
      </w:r>
      <w:r w:rsidRPr="007D54D2">
        <w:rPr>
          <w:lang w:val="fr-FR"/>
        </w:rPr>
        <w:t xml:space="preserve"> (affaire n</w:t>
      </w:r>
      <w:r w:rsidRPr="007D54D2">
        <w:rPr>
          <w:vertAlign w:val="superscript"/>
          <w:lang w:val="fr-FR"/>
        </w:rPr>
        <w:t>o</w:t>
      </w:r>
      <w:r w:rsidRPr="007D54D2">
        <w:rPr>
          <w:lang w:val="fr-FR"/>
        </w:rPr>
        <w:t> S1 1 K 017213 14 Kri), par. 391.</w:t>
      </w:r>
    </w:p>
  </w:footnote>
  <w:footnote w:id="7">
    <w:p w14:paraId="3E04F4DE"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 xml:space="preserve">Voir, par exemple, Comité pour l’élimination de la discrimination à l’égard des femmes, </w:t>
      </w:r>
      <w:r w:rsidRPr="007D54D2">
        <w:rPr>
          <w:i/>
          <w:lang w:val="fr-FR"/>
        </w:rPr>
        <w:t>A</w:t>
      </w:r>
      <w:r w:rsidR="00090E5E">
        <w:rPr>
          <w:i/>
          <w:lang w:val="fr-FR"/>
        </w:rPr>
        <w:t>.</w:t>
      </w:r>
      <w:r w:rsidRPr="007D54D2">
        <w:rPr>
          <w:i/>
          <w:lang w:val="fr-FR"/>
        </w:rPr>
        <w:t> T.</w:t>
      </w:r>
      <w:r>
        <w:rPr>
          <w:i/>
          <w:lang w:val="fr-FR"/>
        </w:rPr>
        <w:t> </w:t>
      </w:r>
      <w:r w:rsidRPr="007D54D2">
        <w:rPr>
          <w:i/>
          <w:lang w:val="fr-FR"/>
        </w:rPr>
        <w:t>c.</w:t>
      </w:r>
      <w:r>
        <w:rPr>
          <w:i/>
          <w:lang w:val="fr-FR"/>
        </w:rPr>
        <w:t> </w:t>
      </w:r>
      <w:r w:rsidRPr="007D54D2">
        <w:rPr>
          <w:i/>
          <w:lang w:val="fr-FR"/>
        </w:rPr>
        <w:t>Hongrie</w:t>
      </w:r>
      <w:r w:rsidRPr="007D54D2">
        <w:rPr>
          <w:lang w:val="fr-FR"/>
        </w:rPr>
        <w:t xml:space="preserve"> (</w:t>
      </w:r>
      <w:r w:rsidRPr="004A5636">
        <w:rPr>
          <w:lang w:val="fr-FR"/>
        </w:rPr>
        <w:t>CEDAW/C/32/D/2/2003</w:t>
      </w:r>
      <w:r w:rsidRPr="007D54D2">
        <w:rPr>
          <w:lang w:val="fr-FR"/>
        </w:rPr>
        <w:t xml:space="preserve">), par. 8.5 ; </w:t>
      </w:r>
      <w:r w:rsidRPr="007D54D2">
        <w:rPr>
          <w:i/>
          <w:lang w:val="fr-FR"/>
        </w:rPr>
        <w:t>A</w:t>
      </w:r>
      <w:r w:rsidR="00090E5E">
        <w:rPr>
          <w:i/>
          <w:lang w:val="fr-FR"/>
        </w:rPr>
        <w:t>.</w:t>
      </w:r>
      <w:r w:rsidRPr="007D54D2">
        <w:rPr>
          <w:i/>
          <w:lang w:val="fr-FR"/>
        </w:rPr>
        <w:t> S. c. Hongrie</w:t>
      </w:r>
      <w:r w:rsidRPr="007D54D2">
        <w:rPr>
          <w:lang w:val="fr-FR"/>
        </w:rPr>
        <w:t xml:space="preserve"> (CEDAW/C/36/D/4/2004), par. 10.4 ; et </w:t>
      </w:r>
      <w:r w:rsidRPr="007D54D2">
        <w:rPr>
          <w:i/>
          <w:lang w:val="fr-FR"/>
        </w:rPr>
        <w:t>Kayhan c. Turquie</w:t>
      </w:r>
      <w:r w:rsidRPr="007D54D2">
        <w:rPr>
          <w:lang w:val="fr-FR"/>
        </w:rPr>
        <w:t xml:space="preserve"> (CEDAW/C/34/D/8/2005), par. 7.4 ; et Comité des droits de l’homme, </w:t>
      </w:r>
      <w:r w:rsidRPr="007D54D2">
        <w:rPr>
          <w:i/>
          <w:lang w:val="fr-FR"/>
        </w:rPr>
        <w:t>Prutina et consorts c. Bosnie-Herzégovine</w:t>
      </w:r>
      <w:r w:rsidRPr="007D54D2">
        <w:rPr>
          <w:lang w:val="fr-FR"/>
        </w:rPr>
        <w:t xml:space="preserve"> (CCPR/C/107/D/1917,1918, 1925/2009 et 1953/2010), par. 8.3 : </w:t>
      </w:r>
      <w:r w:rsidRPr="007D54D2">
        <w:rPr>
          <w:i/>
          <w:lang w:val="fr-FR"/>
        </w:rPr>
        <w:t>Durić c. Bosnie-Herzégovine</w:t>
      </w:r>
      <w:r w:rsidRPr="007D54D2">
        <w:rPr>
          <w:lang w:val="fr-FR"/>
        </w:rPr>
        <w:t xml:space="preserve"> (CCPR/C/111/D/1956/2010), par. 8.3 ; </w:t>
      </w:r>
      <w:r w:rsidRPr="007D54D2">
        <w:rPr>
          <w:i/>
          <w:lang w:val="fr-FR"/>
        </w:rPr>
        <w:t>Selimović</w:t>
      </w:r>
      <w:r w:rsidR="00B85090">
        <w:rPr>
          <w:i/>
          <w:lang w:val="fr-FR"/>
        </w:rPr>
        <w:t> </w:t>
      </w:r>
      <w:r w:rsidRPr="007D54D2">
        <w:rPr>
          <w:i/>
          <w:lang w:val="fr-FR"/>
        </w:rPr>
        <w:t>et autres c. Bosnie-Herzégovine</w:t>
      </w:r>
      <w:r w:rsidRPr="007D54D2">
        <w:rPr>
          <w:lang w:val="fr-FR"/>
        </w:rPr>
        <w:t xml:space="preserve"> (CCPR/C/111/D/2003/2010), par. 11.3 ; et </w:t>
      </w:r>
      <w:r w:rsidRPr="007D54D2">
        <w:rPr>
          <w:i/>
          <w:lang w:val="fr-FR"/>
        </w:rPr>
        <w:t>Lale et Blagojević c. Bosnie-Herzégovine</w:t>
      </w:r>
      <w:r w:rsidRPr="007D54D2">
        <w:rPr>
          <w:lang w:val="fr-FR"/>
        </w:rPr>
        <w:t xml:space="preserve"> (CCPR/C/119/D/2206/2012), par. 6.5.</w:t>
      </w:r>
    </w:p>
  </w:footnote>
  <w:footnote w:id="8">
    <w:p w14:paraId="5F32BC91"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 xml:space="preserve">Voir, entre autres, </w:t>
      </w:r>
      <w:r w:rsidRPr="007D54D2">
        <w:rPr>
          <w:i/>
          <w:lang w:val="fr-FR"/>
        </w:rPr>
        <w:t>Sahli. c. Algérie</w:t>
      </w:r>
      <w:r w:rsidRPr="007D54D2">
        <w:rPr>
          <w:lang w:val="fr-FR"/>
        </w:rPr>
        <w:t xml:space="preserve"> (CAT/C/46/D/341/2008), par. 8.3 ; </w:t>
      </w:r>
      <w:r w:rsidRPr="007D54D2">
        <w:rPr>
          <w:i/>
          <w:lang w:val="fr-FR"/>
        </w:rPr>
        <w:t>Boily c. Canada</w:t>
      </w:r>
      <w:r w:rsidRPr="007D54D2">
        <w:rPr>
          <w:lang w:val="fr-FR"/>
        </w:rPr>
        <w:t xml:space="preserve"> (CAT/C/47/D/327/2007), par. 13.2 ; </w:t>
      </w:r>
      <w:r w:rsidRPr="007D54D2">
        <w:rPr>
          <w:i/>
          <w:lang w:val="fr-FR"/>
        </w:rPr>
        <w:t>Dimitrijevic c. Serbie et Monténégro</w:t>
      </w:r>
      <w:r w:rsidRPr="007D54D2">
        <w:rPr>
          <w:lang w:val="fr-FR"/>
        </w:rPr>
        <w:t xml:space="preserve"> (CAT/C/35/D/172/2000), par. 6.2 ; </w:t>
      </w:r>
      <w:r w:rsidRPr="007D54D2">
        <w:rPr>
          <w:i/>
          <w:lang w:val="fr-FR"/>
        </w:rPr>
        <w:t>Dimitrijevic c. Serbie et Monténégro</w:t>
      </w:r>
      <w:r w:rsidRPr="007D54D2">
        <w:rPr>
          <w:lang w:val="fr-FR"/>
        </w:rPr>
        <w:t xml:space="preserve"> (CAT/C/33/D/207/2002), par. 5.2 ; et </w:t>
      </w:r>
      <w:r w:rsidRPr="007D54D2">
        <w:rPr>
          <w:i/>
          <w:lang w:val="fr-FR"/>
        </w:rPr>
        <w:t>Enrique Falcón Rios c. Canada</w:t>
      </w:r>
      <w:r w:rsidRPr="007D54D2">
        <w:rPr>
          <w:lang w:val="fr-FR"/>
        </w:rPr>
        <w:t xml:space="preserve"> (CAT/C/33/D/133/1999), par. 6.6.</w:t>
      </w:r>
    </w:p>
  </w:footnote>
  <w:footnote w:id="9">
    <w:p w14:paraId="3878F14D"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Loi sur les obligations civiles, art. 376.</w:t>
      </w:r>
    </w:p>
  </w:footnote>
  <w:footnote w:id="10">
    <w:p w14:paraId="12CDDCA9" w14:textId="77777777" w:rsidR="00F15934" w:rsidRPr="004A5636" w:rsidRDefault="00F15934" w:rsidP="00AF2FC6">
      <w:pPr>
        <w:pStyle w:val="Notedebasdepage"/>
        <w:rPr>
          <w:lang w:val="en-US"/>
        </w:rPr>
      </w:pPr>
      <w:r w:rsidRPr="007D54D2">
        <w:rPr>
          <w:lang w:val="fr-FR"/>
        </w:rPr>
        <w:tab/>
      </w:r>
      <w:r w:rsidRPr="007C3FFD">
        <w:rPr>
          <w:rStyle w:val="Appelnotedebasdep"/>
        </w:rPr>
        <w:footnoteRef/>
      </w:r>
      <w:r w:rsidRPr="004A5636">
        <w:rPr>
          <w:lang w:val="en-US"/>
        </w:rPr>
        <w:tab/>
      </w:r>
      <w:r w:rsidRPr="004A5636">
        <w:rPr>
          <w:i/>
          <w:iCs/>
          <w:lang w:val="en-US"/>
        </w:rPr>
        <w:t xml:space="preserve">Hamza Rekic </w:t>
      </w:r>
      <w:r w:rsidRPr="004A5636">
        <w:rPr>
          <w:lang w:val="en-US"/>
        </w:rPr>
        <w:t>c.</w:t>
      </w:r>
      <w:r w:rsidRPr="004A5636">
        <w:rPr>
          <w:i/>
          <w:iCs/>
          <w:lang w:val="en-US"/>
        </w:rPr>
        <w:t xml:space="preserve"> Republika Srpska</w:t>
      </w:r>
      <w:r w:rsidRPr="004A5636">
        <w:rPr>
          <w:lang w:val="en-US"/>
        </w:rPr>
        <w:t>, décision n</w:t>
      </w:r>
      <w:r w:rsidRPr="004A5636">
        <w:rPr>
          <w:vertAlign w:val="superscript"/>
          <w:lang w:val="en-US"/>
        </w:rPr>
        <w:t>o</w:t>
      </w:r>
      <w:r w:rsidRPr="004A5636">
        <w:rPr>
          <w:lang w:val="en-US"/>
        </w:rPr>
        <w:t> AP-3111/09.</w:t>
      </w:r>
    </w:p>
  </w:footnote>
  <w:footnote w:id="11">
    <w:p w14:paraId="7E96F005" w14:textId="77777777" w:rsidR="00F15934" w:rsidRPr="007D54D2" w:rsidRDefault="00F15934" w:rsidP="00AF2FC6">
      <w:pPr>
        <w:pStyle w:val="Notedebasdepage"/>
        <w:rPr>
          <w:lang w:val="fr-FR"/>
        </w:rPr>
      </w:pPr>
      <w:r w:rsidRPr="004A5636">
        <w:rPr>
          <w:lang w:val="en-US"/>
        </w:rPr>
        <w:tab/>
      </w:r>
      <w:r w:rsidRPr="007C3FFD">
        <w:rPr>
          <w:rStyle w:val="Appelnotedebasdep"/>
        </w:rPr>
        <w:footnoteRef/>
      </w:r>
      <w:r w:rsidRPr="007D54D2">
        <w:rPr>
          <w:lang w:val="fr-FR"/>
        </w:rPr>
        <w:tab/>
        <w:t>La requérante survit actuellement avec des ressources très limitées qui proviennent uniquement de sa pension d’invalidité.</w:t>
      </w:r>
    </w:p>
  </w:footnote>
  <w:footnote w:id="12">
    <w:p w14:paraId="7F82EB98"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r>
      <w:r w:rsidRPr="004A5636">
        <w:rPr>
          <w:lang w:val="fr-FR"/>
        </w:rPr>
        <w:t>CCPR/C/BIH/CO/3</w:t>
      </w:r>
      <w:r w:rsidRPr="007D54D2">
        <w:rPr>
          <w:lang w:val="fr-FR"/>
        </w:rPr>
        <w:t xml:space="preserve">, par. 17 et 18. </w:t>
      </w:r>
    </w:p>
  </w:footnote>
  <w:footnote w:id="13">
    <w:p w14:paraId="5C95291E"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r>
      <w:r w:rsidRPr="007D54D2">
        <w:rPr>
          <w:i/>
          <w:lang w:val="fr-FR"/>
        </w:rPr>
        <w:t>G. N. c. Burundi</w:t>
      </w:r>
      <w:r w:rsidRPr="007D54D2">
        <w:rPr>
          <w:lang w:val="fr-FR"/>
        </w:rPr>
        <w:t xml:space="preserve"> (CAT/C/60/D/579/2013), par. 7.4 ; et </w:t>
      </w:r>
      <w:r w:rsidRPr="007D54D2">
        <w:rPr>
          <w:i/>
          <w:lang w:val="fr-FR"/>
        </w:rPr>
        <w:t>V</w:t>
      </w:r>
      <w:r w:rsidR="00090E5E">
        <w:rPr>
          <w:i/>
          <w:lang w:val="fr-FR"/>
        </w:rPr>
        <w:t>.</w:t>
      </w:r>
      <w:r w:rsidRPr="007D54D2">
        <w:rPr>
          <w:i/>
          <w:lang w:val="fr-FR"/>
        </w:rPr>
        <w:t>L</w:t>
      </w:r>
      <w:r w:rsidR="00090E5E">
        <w:rPr>
          <w:i/>
          <w:lang w:val="fr-FR"/>
        </w:rPr>
        <w:t>.</w:t>
      </w:r>
      <w:r w:rsidRPr="007D54D2">
        <w:rPr>
          <w:i/>
          <w:lang w:val="fr-FR"/>
        </w:rPr>
        <w:t xml:space="preserve"> c. Suisse</w:t>
      </w:r>
      <w:r w:rsidRPr="007D54D2">
        <w:rPr>
          <w:lang w:val="fr-FR"/>
        </w:rPr>
        <w:t xml:space="preserve"> (CAT/C/37/D/262/2005), par. 8.10.</w:t>
      </w:r>
    </w:p>
  </w:footnote>
  <w:footnote w:id="14">
    <w:p w14:paraId="61574A53"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4A5636">
        <w:rPr>
          <w:lang w:val="fr-FR"/>
        </w:rPr>
        <w:tab/>
        <w:t xml:space="preserve">Jean-Marie Henckaerts et Louise Doswald-Beck, </w:t>
      </w:r>
      <w:r w:rsidRPr="004A5636">
        <w:rPr>
          <w:i/>
          <w:iCs/>
          <w:lang w:val="fr-FR"/>
        </w:rPr>
        <w:t>Customary International Humanitarian Law</w:t>
      </w:r>
      <w:r w:rsidRPr="004A5636">
        <w:rPr>
          <w:lang w:val="fr-FR"/>
        </w:rPr>
        <w:t xml:space="preserve">, </w:t>
      </w:r>
      <w:r w:rsidRPr="007D54D2">
        <w:rPr>
          <w:lang w:val="fr-FR"/>
        </w:rPr>
        <w:t>v</w:t>
      </w:r>
      <w:r w:rsidRPr="004A5636">
        <w:rPr>
          <w:lang w:val="fr-FR"/>
        </w:rPr>
        <w:t>ol.</w:t>
      </w:r>
      <w:r w:rsidRPr="007D54D2">
        <w:rPr>
          <w:lang w:val="fr-FR"/>
        </w:rPr>
        <w:t> </w:t>
      </w:r>
      <w:r w:rsidRPr="004A5636">
        <w:rPr>
          <w:lang w:val="fr-FR"/>
        </w:rPr>
        <w:t xml:space="preserve">I: </w:t>
      </w:r>
      <w:r w:rsidRPr="004A5636">
        <w:rPr>
          <w:i/>
          <w:iCs/>
          <w:lang w:val="fr-FR"/>
        </w:rPr>
        <w:t xml:space="preserve">Rules </w:t>
      </w:r>
      <w:r w:rsidRPr="004A5636">
        <w:rPr>
          <w:lang w:val="fr-FR"/>
        </w:rPr>
        <w:t xml:space="preserve">(Comité international de la Croix-Rouge </w:t>
      </w:r>
      <w:r w:rsidRPr="007D54D2">
        <w:rPr>
          <w:lang w:val="fr-FR"/>
        </w:rPr>
        <w:t xml:space="preserve">et </w:t>
      </w:r>
      <w:r w:rsidRPr="004A5636">
        <w:rPr>
          <w:lang w:val="fr-FR"/>
        </w:rPr>
        <w:t>Cambridge</w:t>
      </w:r>
      <w:r w:rsidRPr="007D54D2">
        <w:rPr>
          <w:lang w:val="fr-FR"/>
        </w:rPr>
        <w:t xml:space="preserve"> University Press</w:t>
      </w:r>
      <w:r w:rsidRPr="004A5636">
        <w:rPr>
          <w:lang w:val="fr-FR"/>
        </w:rPr>
        <w:t>, 2009), r</w:t>
      </w:r>
      <w:r>
        <w:rPr>
          <w:lang w:val="fr-FR"/>
        </w:rPr>
        <w:t>ègle</w:t>
      </w:r>
      <w:r w:rsidRPr="004A5636">
        <w:rPr>
          <w:lang w:val="fr-FR"/>
        </w:rPr>
        <w:t xml:space="preserve"> 93. </w:t>
      </w:r>
      <w:r w:rsidRPr="007D54D2">
        <w:rPr>
          <w:lang w:val="fr-FR"/>
        </w:rPr>
        <w:t>Voir aussi l’article 3 commun aux Conventions de Genève</w:t>
      </w:r>
      <w:r w:rsidRPr="004A5636">
        <w:rPr>
          <w:lang w:val="fr-FR"/>
        </w:rPr>
        <w:t xml:space="preserve"> du</w:t>
      </w:r>
      <w:r w:rsidRPr="007D54D2">
        <w:rPr>
          <w:lang w:val="fr-FR"/>
        </w:rPr>
        <w:t xml:space="preserve"> 12 août </w:t>
      </w:r>
      <w:r w:rsidRPr="004A5636">
        <w:rPr>
          <w:lang w:val="fr-FR"/>
        </w:rPr>
        <w:t>1949</w:t>
      </w:r>
      <w:r w:rsidRPr="007D54D2">
        <w:rPr>
          <w:lang w:val="fr-FR"/>
        </w:rPr>
        <w:t> </w:t>
      </w:r>
      <w:r w:rsidRPr="004A5636">
        <w:rPr>
          <w:lang w:val="fr-FR"/>
        </w:rPr>
        <w:t xml:space="preserve">; </w:t>
      </w:r>
      <w:r w:rsidRPr="007D54D2">
        <w:rPr>
          <w:lang w:val="fr-FR"/>
        </w:rPr>
        <w:t>l’</w:t>
      </w:r>
      <w:r w:rsidRPr="004A5636">
        <w:rPr>
          <w:lang w:val="fr-FR"/>
        </w:rPr>
        <w:t>article</w:t>
      </w:r>
      <w:r w:rsidRPr="007D54D2">
        <w:rPr>
          <w:lang w:val="fr-FR"/>
        </w:rPr>
        <w:t> </w:t>
      </w:r>
      <w:r w:rsidRPr="004A5636">
        <w:rPr>
          <w:lang w:val="fr-FR"/>
        </w:rPr>
        <w:t xml:space="preserve">27, </w:t>
      </w:r>
      <w:r w:rsidRPr="007D54D2">
        <w:rPr>
          <w:lang w:val="fr-FR"/>
        </w:rPr>
        <w:t xml:space="preserve">deuxième </w:t>
      </w:r>
      <w:r w:rsidRPr="004A5636">
        <w:rPr>
          <w:lang w:val="fr-FR"/>
        </w:rPr>
        <w:t>paragraph</w:t>
      </w:r>
      <w:r w:rsidRPr="007D54D2">
        <w:rPr>
          <w:lang w:val="fr-FR"/>
        </w:rPr>
        <w:t>e</w:t>
      </w:r>
      <w:r w:rsidRPr="004A5636">
        <w:rPr>
          <w:lang w:val="fr-FR"/>
        </w:rPr>
        <w:t xml:space="preserve">, </w:t>
      </w:r>
      <w:r w:rsidRPr="007D54D2">
        <w:rPr>
          <w:lang w:val="fr-FR"/>
        </w:rPr>
        <w:t xml:space="preserve">de la Convention de Genève relative à la protection des personnes civiles en temps de guerre </w:t>
      </w:r>
      <w:r w:rsidRPr="004A5636">
        <w:rPr>
          <w:lang w:val="fr-FR"/>
        </w:rPr>
        <w:t>(</w:t>
      </w:r>
      <w:r w:rsidRPr="007D54D2">
        <w:rPr>
          <w:lang w:val="fr-FR"/>
        </w:rPr>
        <w:t xml:space="preserve">quatrième </w:t>
      </w:r>
      <w:r w:rsidRPr="004A5636">
        <w:rPr>
          <w:lang w:val="fr-FR"/>
        </w:rPr>
        <w:t>Convention</w:t>
      </w:r>
      <w:r w:rsidRPr="007D54D2">
        <w:rPr>
          <w:lang w:val="fr-FR"/>
        </w:rPr>
        <w:t xml:space="preserve"> de Genève</w:t>
      </w:r>
      <w:r w:rsidRPr="004A5636">
        <w:rPr>
          <w:lang w:val="fr-FR"/>
        </w:rPr>
        <w:t xml:space="preserve">) </w:t>
      </w:r>
      <w:r w:rsidRPr="007D54D2">
        <w:rPr>
          <w:lang w:val="fr-FR"/>
        </w:rPr>
        <w:t>et les articles 76, par. 1, et 77 du Protocole additionnel aux Conventions de Genève de 1949 relatif à la protection des victimes des conflits armés internationaux (Protocole I).</w:t>
      </w:r>
    </w:p>
  </w:footnote>
  <w:footnote w:id="15">
    <w:p w14:paraId="6CCB379A" w14:textId="77777777" w:rsidR="00F15934" w:rsidRPr="004A5636" w:rsidRDefault="00F15934" w:rsidP="00AF2FC6">
      <w:pPr>
        <w:pStyle w:val="Notedebasdepage"/>
        <w:rPr>
          <w:lang w:val="fr-FR"/>
        </w:rPr>
      </w:pPr>
      <w:r w:rsidRPr="007D54D2">
        <w:rPr>
          <w:lang w:val="fr-FR"/>
        </w:rPr>
        <w:tab/>
      </w:r>
      <w:r w:rsidRPr="007C3FFD">
        <w:rPr>
          <w:rStyle w:val="Appelnotedebasdep"/>
        </w:rPr>
        <w:footnoteRef/>
      </w:r>
      <w:r w:rsidRPr="004A5636">
        <w:rPr>
          <w:lang w:val="fr-FR"/>
        </w:rPr>
        <w:tab/>
        <w:t>Statut de Rome de l</w:t>
      </w:r>
      <w:r w:rsidRPr="007D54D2">
        <w:rPr>
          <w:lang w:val="fr-FR"/>
        </w:rPr>
        <w:t>a Cour pénale internationale, art</w:t>
      </w:r>
      <w:r w:rsidR="00090E5E">
        <w:rPr>
          <w:lang w:val="fr-FR"/>
        </w:rPr>
        <w:t>.</w:t>
      </w:r>
      <w:r w:rsidRPr="007D54D2">
        <w:rPr>
          <w:lang w:val="fr-FR"/>
        </w:rPr>
        <w:t> 8 (2 b))</w:t>
      </w:r>
      <w:r w:rsidRPr="004A5636">
        <w:rPr>
          <w:lang w:val="fr-FR"/>
        </w:rPr>
        <w:t xml:space="preserve">. </w:t>
      </w:r>
    </w:p>
  </w:footnote>
  <w:footnote w:id="16">
    <w:p w14:paraId="4B210CE6" w14:textId="77777777" w:rsidR="00F15934" w:rsidRPr="007D54D2" w:rsidRDefault="00F15934" w:rsidP="00AF2FC6">
      <w:pPr>
        <w:pStyle w:val="Notedebasdepage"/>
        <w:rPr>
          <w:lang w:val="fr-FR"/>
        </w:rPr>
      </w:pPr>
      <w:r w:rsidRPr="004A5636">
        <w:rPr>
          <w:lang w:val="fr-FR"/>
        </w:rPr>
        <w:tab/>
      </w:r>
      <w:r w:rsidRPr="007C3FFD">
        <w:rPr>
          <w:rStyle w:val="Appelnotedebasdep"/>
        </w:rPr>
        <w:footnoteRef/>
      </w:r>
      <w:r w:rsidRPr="007D54D2">
        <w:rPr>
          <w:lang w:val="fr-FR"/>
        </w:rPr>
        <w:tab/>
        <w:t xml:space="preserve">Tribunal pénal international pour l’ex-Yougoslavie, </w:t>
      </w:r>
      <w:r w:rsidRPr="007D54D2">
        <w:rPr>
          <w:i/>
          <w:iCs/>
          <w:lang w:val="fr-FR"/>
        </w:rPr>
        <w:t xml:space="preserve">Le </w:t>
      </w:r>
      <w:r w:rsidRPr="007D54D2">
        <w:rPr>
          <w:i/>
          <w:lang w:val="fr-FR"/>
        </w:rPr>
        <w:t>Procureur c. Anto Furundžija</w:t>
      </w:r>
      <w:r w:rsidRPr="007D54D2">
        <w:rPr>
          <w:lang w:val="fr-FR"/>
        </w:rPr>
        <w:t xml:space="preserve"> (affaire n</w:t>
      </w:r>
      <w:r w:rsidRPr="004A5636">
        <w:rPr>
          <w:vertAlign w:val="superscript"/>
          <w:lang w:val="fr-FR"/>
        </w:rPr>
        <w:t>o</w:t>
      </w:r>
      <w:r w:rsidRPr="007D54D2">
        <w:rPr>
          <w:lang w:val="fr-FR"/>
        </w:rPr>
        <w:t> IT</w:t>
      </w:r>
      <w:r w:rsidR="00B85090">
        <w:rPr>
          <w:lang w:val="fr-FR"/>
        </w:rPr>
        <w:noBreakHyphen/>
      </w:r>
      <w:r w:rsidRPr="007D54D2">
        <w:rPr>
          <w:lang w:val="fr-FR"/>
        </w:rPr>
        <w:t>95-17/1-T), jugement du 10 décembre 1998, par. 153 à 157.</w:t>
      </w:r>
    </w:p>
  </w:footnote>
  <w:footnote w:id="17">
    <w:p w14:paraId="4DF8BA6E"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 xml:space="preserve">Voir Amnesty International, </w:t>
      </w:r>
      <w:r w:rsidRPr="004A5636">
        <w:rPr>
          <w:i/>
          <w:iCs/>
          <w:lang w:val="fr-FR"/>
        </w:rPr>
        <w:t>Commission du droit international : Deuxième rapport sur les crimes contre l’humanité ; Aspects positifs et motifs de préoccupation</w:t>
      </w:r>
      <w:r w:rsidRPr="007D54D2">
        <w:rPr>
          <w:lang w:val="fr-FR"/>
        </w:rPr>
        <w:t xml:space="preserve"> (Londres, 2016).</w:t>
      </w:r>
    </w:p>
  </w:footnote>
  <w:footnote w:id="18">
    <w:p w14:paraId="5A14F6DC" w14:textId="77777777" w:rsidR="00F15934" w:rsidRPr="00543450" w:rsidRDefault="00F15934" w:rsidP="00AF2FC6">
      <w:pPr>
        <w:pStyle w:val="Notedebasdepage"/>
        <w:rPr>
          <w:lang w:val="en-US"/>
        </w:rPr>
      </w:pPr>
      <w:r w:rsidRPr="007D54D2">
        <w:rPr>
          <w:lang w:val="fr-FR"/>
        </w:rPr>
        <w:tab/>
      </w:r>
      <w:r w:rsidRPr="007C3FFD">
        <w:rPr>
          <w:rStyle w:val="Appelnotedebasdep"/>
        </w:rPr>
        <w:footnoteRef/>
      </w:r>
      <w:r w:rsidRPr="00543450">
        <w:rPr>
          <w:lang w:val="en-US"/>
        </w:rPr>
        <w:tab/>
        <w:t xml:space="preserve">REDRESS, </w:t>
      </w:r>
      <w:r w:rsidRPr="004A5636">
        <w:rPr>
          <w:i/>
          <w:iCs/>
          <w:lang w:val="en-US"/>
        </w:rPr>
        <w:t>Reparation for Torture: A Survey of Law and Practice in Thirty Selected Countries</w:t>
      </w:r>
      <w:r w:rsidRPr="00543450">
        <w:rPr>
          <w:lang w:val="en-US"/>
        </w:rPr>
        <w:t xml:space="preserve"> (Londres, REDRESS Trust, 2003), p. 47. </w:t>
      </w:r>
    </w:p>
  </w:footnote>
  <w:footnote w:id="19">
    <w:p w14:paraId="714F3B26" w14:textId="77777777" w:rsidR="00F15934" w:rsidRPr="007D54D2" w:rsidRDefault="00F15934" w:rsidP="00AF2FC6">
      <w:pPr>
        <w:pStyle w:val="Notedebasdepage"/>
        <w:rPr>
          <w:lang w:val="fr-FR"/>
        </w:rPr>
      </w:pPr>
      <w:r w:rsidRPr="004A5636">
        <w:rPr>
          <w:lang w:val="en-US"/>
        </w:rPr>
        <w:tab/>
      </w:r>
      <w:r w:rsidRPr="007C3FFD">
        <w:rPr>
          <w:rStyle w:val="Appelnotedebasdep"/>
        </w:rPr>
        <w:footnoteRef/>
      </w:r>
      <w:r w:rsidRPr="007D54D2">
        <w:rPr>
          <w:lang w:val="fr-FR"/>
        </w:rPr>
        <w:tab/>
        <w:t>Comité contre la torture, observation générale n</w:t>
      </w:r>
      <w:r w:rsidRPr="007D54D2">
        <w:rPr>
          <w:vertAlign w:val="superscript"/>
          <w:lang w:val="fr-FR"/>
        </w:rPr>
        <w:t>o</w:t>
      </w:r>
      <w:r w:rsidRPr="007D54D2">
        <w:rPr>
          <w:lang w:val="fr-FR"/>
        </w:rPr>
        <w:t xml:space="preserve"> 3, relative à l’application de l’article 14, par. 9. En ce qui concerne l’obligation de verser une indemnisation et les critères à appliquer, voir, entre autres, Comité des droits de l’homme, </w:t>
      </w:r>
      <w:r w:rsidRPr="007D54D2">
        <w:rPr>
          <w:i/>
          <w:lang w:val="fr-FR"/>
        </w:rPr>
        <w:t>Usaev c. Fédération de Russie</w:t>
      </w:r>
      <w:r w:rsidRPr="007D54D2">
        <w:rPr>
          <w:lang w:val="fr-FR"/>
        </w:rPr>
        <w:t xml:space="preserve"> (CCPR/C/99/D/1577/2007), par. 11. </w:t>
      </w:r>
    </w:p>
  </w:footnote>
  <w:footnote w:id="20">
    <w:p w14:paraId="079D09DC"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 xml:space="preserve">Voir, entre autres, Comité des droits de l’homme, </w:t>
      </w:r>
      <w:r w:rsidRPr="007D54D2">
        <w:rPr>
          <w:i/>
          <w:lang w:val="fr-FR"/>
        </w:rPr>
        <w:t>Sendic c. Uruguay</w:t>
      </w:r>
      <w:r w:rsidRPr="007D54D2">
        <w:rPr>
          <w:lang w:val="fr-FR"/>
        </w:rPr>
        <w:t xml:space="preserve">, constatations adoptées le 28 octobre 1981, par. 21. À cet égard, voir les Principes fondamentaux et directives des Nations Unies concernant le droit à un recours et à réparation des victimes de violations flagrantes du droit international des droits de l’homme et de violations graves du droit international humanitaire, principe 21. </w:t>
      </w:r>
    </w:p>
  </w:footnote>
  <w:footnote w:id="21">
    <w:p w14:paraId="2E8FE383"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Principes fondamentaux, principe 22.</w:t>
      </w:r>
    </w:p>
  </w:footnote>
  <w:footnote w:id="22">
    <w:p w14:paraId="6117E0F8"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 xml:space="preserve">Voir, entre autres, </w:t>
      </w:r>
      <w:r w:rsidRPr="007D54D2">
        <w:rPr>
          <w:i/>
          <w:lang w:val="fr-FR"/>
        </w:rPr>
        <w:t>Usaev c. Fédération de Russie</w:t>
      </w:r>
      <w:r w:rsidRPr="007D54D2">
        <w:rPr>
          <w:lang w:val="fr-FR"/>
        </w:rPr>
        <w:t>, par. 11.</w:t>
      </w:r>
    </w:p>
  </w:footnote>
  <w:footnote w:id="23">
    <w:p w14:paraId="6C1E75C3"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Observation générale n</w:t>
      </w:r>
      <w:r w:rsidRPr="007D54D2">
        <w:rPr>
          <w:vertAlign w:val="superscript"/>
          <w:lang w:val="fr-FR"/>
        </w:rPr>
        <w:t>o</w:t>
      </w:r>
      <w:r w:rsidRPr="007D54D2">
        <w:rPr>
          <w:lang w:val="fr-FR"/>
        </w:rPr>
        <w:t> 3, par. 2, 6 et 9. Voir aussi Rapporteur spécial sur la torture et autres peines ou traitements cruels, inhumains ou dégradants, « </w:t>
      </w:r>
      <w:r w:rsidRPr="004A5636">
        <w:rPr>
          <w:lang w:val="fr-FR"/>
        </w:rPr>
        <w:t>Study on the phenomena of torture, cruel</w:t>
      </w:r>
      <w:r w:rsidRPr="007D54D2">
        <w:rPr>
          <w:lang w:val="fr-FR"/>
        </w:rPr>
        <w:t xml:space="preserve">, inhuman or degrading treatment or punishment in the world, including an assessment of conditions of detention » (A/HRC/13/39/Add.5), par. 167 à 173. </w:t>
      </w:r>
    </w:p>
  </w:footnote>
  <w:footnote w:id="24">
    <w:p w14:paraId="6798BAB7"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Observation générale n</w:t>
      </w:r>
      <w:r w:rsidRPr="004A5636">
        <w:rPr>
          <w:vertAlign w:val="superscript"/>
          <w:lang w:val="fr-FR"/>
        </w:rPr>
        <w:t>o</w:t>
      </w:r>
      <w:r w:rsidRPr="007D54D2">
        <w:rPr>
          <w:lang w:val="fr-FR"/>
        </w:rPr>
        <w:t xml:space="preserve"> 3, par. 11. </w:t>
      </w:r>
    </w:p>
  </w:footnote>
  <w:footnote w:id="25">
    <w:p w14:paraId="693FE880"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Ibid., par. 16.</w:t>
      </w:r>
    </w:p>
  </w:footnote>
  <w:footnote w:id="26">
    <w:p w14:paraId="53C77787"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Ibid., par. 18.</w:t>
      </w:r>
    </w:p>
  </w:footnote>
  <w:footnote w:id="27">
    <w:p w14:paraId="264147A4"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 xml:space="preserve">Cour constitutionnelle de Bosnie-Herzégovine, Cour de Bosnie-Herzégovine, Service d’assistance aux témoins de la Cour de Bosnie-Herzégovine, Bureau du Procureur de Bosnie-Herzégovine, Ministère de la justice de Bosnie-Herzégovine, Ministère de la justice de la Republika Srpska, Ministère de la justice de la Fédération de Bosnie-Herzégovine, Ministère du travail et de la politique sociale de la Fédération de Bosnie-Herzégovine. </w:t>
      </w:r>
    </w:p>
  </w:footnote>
  <w:footnote w:id="28">
    <w:p w14:paraId="31663100"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 xml:space="preserve">La somme de 16 000 marks pour la souffrance psychologique causée par les violations de ses droits et la somme de 14 000 marks pour la souffrance psychologique causée par la réduction de son activité. </w:t>
      </w:r>
    </w:p>
  </w:footnote>
  <w:footnote w:id="29">
    <w:p w14:paraId="38729F59"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Le revenu personnel mensuel représente 70 % de la pension d’invalidité mensuelle versée aux anciens combattants du premier groupe d’invalidité.</w:t>
      </w:r>
    </w:p>
  </w:footnote>
  <w:footnote w:id="30">
    <w:p w14:paraId="2057E4B6"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 xml:space="preserve">Le projet de loi sur les droits des victimes de la torture en Bosnie-Herzégovine, qui prévoyait des excuses officielles </w:t>
      </w:r>
      <w:r>
        <w:rPr>
          <w:lang w:val="fr-FR"/>
        </w:rPr>
        <w:t>aux</w:t>
      </w:r>
      <w:r w:rsidRPr="007D54D2">
        <w:rPr>
          <w:lang w:val="fr-FR"/>
        </w:rPr>
        <w:t xml:space="preserve"> victimes</w:t>
      </w:r>
      <w:r>
        <w:rPr>
          <w:lang w:val="fr-FR"/>
        </w:rPr>
        <w:t xml:space="preserve"> au titre de la</w:t>
      </w:r>
      <w:r w:rsidRPr="007D54D2">
        <w:rPr>
          <w:lang w:val="fr-FR"/>
        </w:rPr>
        <w:t xml:space="preserve"> réparation , n’a pas été adopté.</w:t>
      </w:r>
    </w:p>
  </w:footnote>
  <w:footnote w:id="31">
    <w:p w14:paraId="66EDE99D" w14:textId="77777777" w:rsidR="00F15934" w:rsidRPr="001B1F66" w:rsidRDefault="00F15934" w:rsidP="00AF2FC6">
      <w:pPr>
        <w:pStyle w:val="Notedebasdepage"/>
        <w:rPr>
          <w:szCs w:val="18"/>
          <w:lang w:val="es-ES"/>
        </w:rPr>
      </w:pPr>
      <w:r w:rsidRPr="007D54D2">
        <w:rPr>
          <w:szCs w:val="18"/>
          <w:lang w:val="fr-FR"/>
        </w:rPr>
        <w:tab/>
      </w:r>
      <w:r w:rsidRPr="007C3FFD">
        <w:rPr>
          <w:rStyle w:val="Appelnotedebasdep"/>
        </w:rPr>
        <w:footnoteRef/>
      </w:r>
      <w:r w:rsidRPr="001B1F66">
        <w:rPr>
          <w:szCs w:val="18"/>
          <w:lang w:val="es-ES"/>
        </w:rPr>
        <w:tab/>
      </w:r>
      <w:r w:rsidRPr="001B1F66">
        <w:rPr>
          <w:i/>
          <w:szCs w:val="18"/>
          <w:lang w:val="es-ES"/>
        </w:rPr>
        <w:t xml:space="preserve">Gerasimov </w:t>
      </w:r>
      <w:r w:rsidRPr="001B1F66">
        <w:rPr>
          <w:i/>
          <w:iCs/>
          <w:szCs w:val="18"/>
          <w:lang w:val="es-ES"/>
        </w:rPr>
        <w:t>c.</w:t>
      </w:r>
      <w:r w:rsidRPr="001B1F66">
        <w:rPr>
          <w:i/>
          <w:szCs w:val="18"/>
          <w:lang w:val="es-ES"/>
        </w:rPr>
        <w:t xml:space="preserve"> Kazakhstan</w:t>
      </w:r>
      <w:r w:rsidRPr="001B1F66">
        <w:rPr>
          <w:szCs w:val="18"/>
          <w:lang w:val="es-ES"/>
        </w:rPr>
        <w:t xml:space="preserve"> </w:t>
      </w:r>
      <w:r w:rsidRPr="001B1F66">
        <w:rPr>
          <w:iCs/>
          <w:szCs w:val="18"/>
          <w:lang w:val="es-ES"/>
        </w:rPr>
        <w:t xml:space="preserve">(CAT/C/48/D/433/2010), </w:t>
      </w:r>
      <w:r w:rsidRPr="001B1F66">
        <w:rPr>
          <w:szCs w:val="18"/>
          <w:lang w:val="es-ES"/>
        </w:rPr>
        <w:t xml:space="preserve">par. 11.2. </w:t>
      </w:r>
    </w:p>
  </w:footnote>
  <w:footnote w:id="32">
    <w:p w14:paraId="50282186" w14:textId="77777777" w:rsidR="00F15934" w:rsidRPr="007D54D2" w:rsidRDefault="00F15934" w:rsidP="00AF2FC6">
      <w:pPr>
        <w:pStyle w:val="Notedebasdepage"/>
        <w:rPr>
          <w:color w:val="000000"/>
          <w:lang w:val="fr-FR"/>
        </w:rPr>
      </w:pPr>
      <w:r w:rsidRPr="001B1F66">
        <w:rPr>
          <w:lang w:val="es-ES"/>
        </w:rPr>
        <w:tab/>
      </w:r>
      <w:r w:rsidRPr="007C3FFD">
        <w:rPr>
          <w:rStyle w:val="Appelnotedebasdep"/>
        </w:rPr>
        <w:footnoteRef/>
      </w:r>
      <w:r w:rsidRPr="007D54D2">
        <w:rPr>
          <w:lang w:val="fr-FR"/>
        </w:rPr>
        <w:tab/>
      </w:r>
      <w:r w:rsidRPr="007D54D2">
        <w:rPr>
          <w:i/>
          <w:lang w:val="fr-FR"/>
        </w:rPr>
        <w:t>Osmani c. Serbie</w:t>
      </w:r>
      <w:r w:rsidRPr="007D54D2">
        <w:rPr>
          <w:lang w:val="fr-FR"/>
        </w:rPr>
        <w:t xml:space="preserve"> (</w:t>
      </w:r>
      <w:r w:rsidRPr="00917941">
        <w:rPr>
          <w:color w:val="000000"/>
          <w:lang w:val="fr-FR"/>
        </w:rPr>
        <w:fldChar w:fldCharType="begin"/>
      </w:r>
      <w:r w:rsidRPr="007D54D2">
        <w:rPr>
          <w:color w:val="000000"/>
          <w:lang w:val="fr-FR"/>
        </w:rPr>
        <w:instrText xml:space="preserve"> FILLIN "Symbol" \* MERGEFORMAT </w:instrText>
      </w:r>
      <w:r w:rsidRPr="00917941">
        <w:rPr>
          <w:color w:val="000000"/>
          <w:lang w:val="fr-FR"/>
        </w:rPr>
        <w:fldChar w:fldCharType="separate"/>
      </w:r>
      <w:r w:rsidRPr="007D54D2">
        <w:rPr>
          <w:color w:val="000000"/>
          <w:lang w:val="fr-FR"/>
        </w:rPr>
        <w:t>CAT/C/42/D/261/</w:t>
      </w:r>
      <w:r w:rsidRPr="00917941">
        <w:rPr>
          <w:color w:val="000000"/>
          <w:lang w:val="fr-FR"/>
        </w:rPr>
        <w:fldChar w:fldCharType="end"/>
      </w:r>
      <w:r w:rsidRPr="007D54D2">
        <w:rPr>
          <w:color w:val="000000"/>
          <w:lang w:val="fr-FR"/>
        </w:rPr>
        <w:t>2005), par. 7.1.</w:t>
      </w:r>
    </w:p>
  </w:footnote>
  <w:footnote w:id="33">
    <w:p w14:paraId="2E9AE454"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r>
      <w:r w:rsidRPr="007D54D2">
        <w:rPr>
          <w:i/>
          <w:lang w:val="fr-FR"/>
        </w:rPr>
        <w:t>Rakishev et Rakishev c. Kazakhstan</w:t>
      </w:r>
      <w:r w:rsidRPr="007D54D2">
        <w:rPr>
          <w:lang w:val="fr-FR"/>
        </w:rPr>
        <w:t xml:space="preserve"> (CAT/C/61/D/661/2015), par. 8.2.</w:t>
      </w:r>
    </w:p>
  </w:footnote>
  <w:footnote w:id="34">
    <w:p w14:paraId="07362B68"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r>
      <w:r w:rsidRPr="007D54D2">
        <w:rPr>
          <w:i/>
          <w:lang w:val="fr-FR"/>
        </w:rPr>
        <w:t>Ben Salem c. Tunisie</w:t>
      </w:r>
      <w:r w:rsidRPr="007D54D2">
        <w:rPr>
          <w:lang w:val="fr-FR"/>
        </w:rPr>
        <w:t xml:space="preserve"> (CAT/C/39/D/269/2005), par. 16.4.</w:t>
      </w:r>
    </w:p>
  </w:footnote>
  <w:footnote w:id="35">
    <w:p w14:paraId="442BF3CC"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 xml:space="preserve">Au sujet des crimes commis dans la municipalité de Vogosca pendant la guerre, voir, entre autres, Cour de Bosnie-Herzégovine, </w:t>
      </w:r>
      <w:r w:rsidRPr="007D54D2">
        <w:rPr>
          <w:i/>
          <w:iCs/>
          <w:lang w:val="fr-FR"/>
        </w:rPr>
        <w:t xml:space="preserve">Le </w:t>
      </w:r>
      <w:r w:rsidRPr="007D54D2">
        <w:rPr>
          <w:i/>
          <w:lang w:val="fr-FR"/>
        </w:rPr>
        <w:t>Procureur c. Dragan Damjanovic</w:t>
      </w:r>
      <w:r w:rsidRPr="007D54D2">
        <w:rPr>
          <w:lang w:val="fr-FR"/>
        </w:rPr>
        <w:t>, décisions du 15 décembre 2006 (Chambre de première instance) et du 13 juin 2007 (en appel).</w:t>
      </w:r>
    </w:p>
  </w:footnote>
  <w:footnote w:id="36">
    <w:p w14:paraId="6534A9BB"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 xml:space="preserve">Voir, d’une façon générale : Tribunal international pour l’ex-Yougoslavie, </w:t>
      </w:r>
      <w:r w:rsidRPr="007D54D2">
        <w:rPr>
          <w:i/>
          <w:iCs/>
          <w:lang w:val="fr-FR"/>
        </w:rPr>
        <w:t>Le Procureur c. Zejnil Delalić, Zdravko Mucić, Hazim Delić et Esad Landžo</w:t>
      </w:r>
      <w:r w:rsidRPr="007D54D2">
        <w:rPr>
          <w:lang w:val="fr-FR"/>
        </w:rPr>
        <w:t xml:space="preserve"> (affaire n</w:t>
      </w:r>
      <w:r w:rsidRPr="007D54D2">
        <w:rPr>
          <w:vertAlign w:val="superscript"/>
          <w:lang w:val="fr-FR"/>
        </w:rPr>
        <w:t>o</w:t>
      </w:r>
      <w:r w:rsidRPr="007D54D2">
        <w:rPr>
          <w:lang w:val="fr-FR"/>
        </w:rPr>
        <w:t> IT-96-21-T), jugement du 16 novembre 1998, par. 493.</w:t>
      </w:r>
    </w:p>
  </w:footnote>
  <w:footnote w:id="37">
    <w:p w14:paraId="306055DC"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En ce qui concerne la question de la discrimination contre les femmes, y compris la violence sexiste, voir Comité sur l’élimination de la discrimination à l’égard des femmes, recommandation générale n</w:t>
      </w:r>
      <w:r w:rsidRPr="007D54D2">
        <w:rPr>
          <w:vertAlign w:val="superscript"/>
          <w:lang w:val="fr-FR"/>
        </w:rPr>
        <w:t>o</w:t>
      </w:r>
      <w:r w:rsidRPr="007D54D2">
        <w:rPr>
          <w:lang w:val="fr-FR"/>
        </w:rPr>
        <w:t xml:space="preserve"> 19 (1992) sur la violence à l’égard des femmes, par. 6. </w:t>
      </w:r>
    </w:p>
  </w:footnote>
  <w:footnote w:id="38">
    <w:p w14:paraId="7ACA941D"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Voir, d’une façon générale, E/CN.4/1993/50, annexe II.</w:t>
      </w:r>
    </w:p>
  </w:footnote>
  <w:footnote w:id="39">
    <w:p w14:paraId="48A10968"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Observation générale n</w:t>
      </w:r>
      <w:r w:rsidRPr="007D54D2">
        <w:rPr>
          <w:vertAlign w:val="superscript"/>
          <w:lang w:val="fr-FR"/>
        </w:rPr>
        <w:t>o</w:t>
      </w:r>
      <w:r w:rsidRPr="007D54D2">
        <w:rPr>
          <w:lang w:val="fr-FR"/>
        </w:rPr>
        <w:t> 3, par. 5.</w:t>
      </w:r>
    </w:p>
  </w:footnote>
  <w:footnote w:id="40">
    <w:p w14:paraId="64F2B1C5" w14:textId="77777777" w:rsidR="00F15934" w:rsidRPr="004A5636" w:rsidRDefault="00F15934" w:rsidP="00AF2FC6">
      <w:pPr>
        <w:pStyle w:val="Notedebasdepage"/>
        <w:rPr>
          <w:lang w:val="fr-FR"/>
        </w:rPr>
      </w:pPr>
      <w:r w:rsidRPr="004A5636">
        <w:rPr>
          <w:lang w:val="fr-FR"/>
        </w:rPr>
        <w:tab/>
      </w:r>
      <w:r w:rsidRPr="007C3FFD">
        <w:rPr>
          <w:rStyle w:val="Appelnotedebasdep"/>
        </w:rPr>
        <w:footnoteRef/>
      </w:r>
      <w:r w:rsidRPr="004A5636">
        <w:rPr>
          <w:lang w:val="fr-FR"/>
        </w:rPr>
        <w:tab/>
        <w:t>Ibid., par. 40.</w:t>
      </w:r>
    </w:p>
  </w:footnote>
  <w:footnote w:id="41">
    <w:p w14:paraId="4D9ACE59" w14:textId="77777777" w:rsidR="00F15934" w:rsidRPr="004A5636" w:rsidRDefault="00F15934" w:rsidP="00AF2FC6">
      <w:pPr>
        <w:pStyle w:val="Notedebasdepage"/>
        <w:rPr>
          <w:lang w:val="en-US"/>
        </w:rPr>
      </w:pPr>
      <w:r w:rsidRPr="007D54D2">
        <w:rPr>
          <w:lang w:val="fr-FR"/>
        </w:rPr>
        <w:tab/>
      </w:r>
      <w:r w:rsidRPr="007C3FFD">
        <w:rPr>
          <w:rStyle w:val="Appelnotedebasdep"/>
        </w:rPr>
        <w:footnoteRef/>
      </w:r>
      <w:r w:rsidRPr="004A5636">
        <w:rPr>
          <w:lang w:val="en-US"/>
        </w:rPr>
        <w:tab/>
        <w:t>CAT/C/BIH/CO/6, par. 19.</w:t>
      </w:r>
    </w:p>
  </w:footnote>
  <w:footnote w:id="42">
    <w:p w14:paraId="46EB08DE" w14:textId="77777777" w:rsidR="00F15934" w:rsidRPr="007D54D2" w:rsidRDefault="00F15934" w:rsidP="00AF2FC6">
      <w:pPr>
        <w:pStyle w:val="Notedebasdepage"/>
        <w:rPr>
          <w:lang w:val="fr-FR"/>
        </w:rPr>
      </w:pPr>
      <w:r w:rsidRPr="004A5636">
        <w:rPr>
          <w:lang w:val="en-US"/>
        </w:rPr>
        <w:tab/>
      </w:r>
      <w:r w:rsidRPr="007C3FFD">
        <w:rPr>
          <w:rStyle w:val="Appelnotedebasdep"/>
        </w:rPr>
        <w:footnoteRef/>
      </w:r>
      <w:r w:rsidRPr="007D54D2">
        <w:rPr>
          <w:lang w:val="fr-FR"/>
        </w:rPr>
        <w:tab/>
        <w:t>Loi sur les obligations civiles, art. 376.</w:t>
      </w:r>
    </w:p>
  </w:footnote>
  <w:footnote w:id="43">
    <w:p w14:paraId="41C01300" w14:textId="77777777" w:rsidR="00F15934" w:rsidRPr="007D54D2" w:rsidRDefault="00F15934" w:rsidP="00AF2FC6">
      <w:pPr>
        <w:pStyle w:val="Notedebasdepage"/>
        <w:rPr>
          <w:lang w:val="fr-FR"/>
        </w:rPr>
      </w:pPr>
      <w:r w:rsidRPr="007D54D2">
        <w:rPr>
          <w:lang w:val="fr-FR"/>
        </w:rPr>
        <w:tab/>
      </w:r>
      <w:r w:rsidRPr="007C3FFD">
        <w:rPr>
          <w:rStyle w:val="Appelnotedebasdep"/>
        </w:rPr>
        <w:footnoteRef/>
      </w:r>
      <w:r w:rsidRPr="007D54D2">
        <w:rPr>
          <w:lang w:val="fr-FR"/>
        </w:rPr>
        <w:tab/>
        <w:t xml:space="preserve">Voir aussi </w:t>
      </w:r>
      <w:r w:rsidRPr="007D54D2">
        <w:rPr>
          <w:i/>
          <w:lang w:val="fr-FR"/>
        </w:rPr>
        <w:t xml:space="preserve">Osmani </w:t>
      </w:r>
      <w:r w:rsidRPr="007D54D2">
        <w:rPr>
          <w:i/>
          <w:iCs/>
          <w:lang w:val="fr-FR"/>
        </w:rPr>
        <w:t>c.</w:t>
      </w:r>
      <w:r w:rsidRPr="007D54D2">
        <w:rPr>
          <w:i/>
          <w:lang w:val="fr-FR"/>
        </w:rPr>
        <w:t xml:space="preserve"> Serbie</w:t>
      </w:r>
      <w:r w:rsidRPr="007D54D2">
        <w:rPr>
          <w:lang w:val="fr-FR"/>
        </w:rPr>
        <w:t>, par. 10.8.</w:t>
      </w:r>
    </w:p>
  </w:footnote>
  <w:footnote w:id="44">
    <w:p w14:paraId="00A5C57D" w14:textId="77777777" w:rsidR="00F15934" w:rsidRPr="004A5636" w:rsidRDefault="00F15934" w:rsidP="00AF2FC6">
      <w:pPr>
        <w:pStyle w:val="Notedebasdepage"/>
        <w:rPr>
          <w:lang w:val="fr-FR"/>
        </w:rPr>
      </w:pPr>
      <w:r w:rsidRPr="007D54D2">
        <w:rPr>
          <w:lang w:val="fr-FR"/>
        </w:rPr>
        <w:tab/>
      </w:r>
      <w:r w:rsidRPr="007C3FFD">
        <w:rPr>
          <w:rStyle w:val="Appelnotedebasdep"/>
        </w:rPr>
        <w:footnoteRef/>
      </w:r>
      <w:r w:rsidRPr="004A5636">
        <w:rPr>
          <w:lang w:val="fr-FR"/>
        </w:rPr>
        <w:tab/>
        <w:t>CAT/C/BIH/CO/6, par. 19 a) et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4A50" w14:textId="7196C11B" w:rsidR="00F15934" w:rsidRPr="00A23942" w:rsidRDefault="00D03142">
    <w:pPr>
      <w:pStyle w:val="En-tte"/>
    </w:pPr>
    <w:r>
      <w:fldChar w:fldCharType="begin"/>
    </w:r>
    <w:r>
      <w:instrText xml:space="preserve"> TITLE  \* MERGEFORMAT </w:instrText>
    </w:r>
    <w:r>
      <w:fldChar w:fldCharType="separate"/>
    </w:r>
    <w:r>
      <w:t>CAT/C/67/D/854/2017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468E" w14:textId="70ED0056" w:rsidR="00F15934" w:rsidRPr="00A23942" w:rsidRDefault="00D03142" w:rsidP="00A23942">
    <w:pPr>
      <w:pStyle w:val="En-tte"/>
      <w:jc w:val="right"/>
    </w:pPr>
    <w:r>
      <w:fldChar w:fldCharType="begin"/>
    </w:r>
    <w:r>
      <w:instrText xml:space="preserve"> TITLE  \* MERGEFORMAT </w:instrText>
    </w:r>
    <w:r>
      <w:fldChar w:fldCharType="separate"/>
    </w:r>
    <w:r>
      <w:t>CAT/C/67/D/854/2017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FA2BA1"/>
    <w:multiLevelType w:val="multilevel"/>
    <w:tmpl w:val="0BE837D2"/>
    <w:lvl w:ilvl="0">
      <w:start w:val="1"/>
      <w:numFmt w:val="decimal"/>
      <w:lvlText w:val="%1"/>
      <w:lvlJc w:val="left"/>
      <w:pPr>
        <w:ind w:left="555" w:hanging="555"/>
      </w:pPr>
      <w:rPr>
        <w:rFonts w:hint="default"/>
        <w:color w:val="auto"/>
      </w:rPr>
    </w:lvl>
    <w:lvl w:ilvl="1">
      <w:start w:val="1"/>
      <w:numFmt w:val="decimal"/>
      <w:lvlText w:val="%1.%2"/>
      <w:lvlJc w:val="left"/>
      <w:pPr>
        <w:ind w:left="1689" w:hanging="555"/>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256" w:hanging="72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7884" w:hanging="108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512" w:hanging="1440"/>
      </w:pPr>
      <w:rPr>
        <w:rFonts w:hint="default"/>
        <w:color w:val="auto"/>
      </w:rPr>
    </w:lvl>
  </w:abstractNum>
  <w:abstractNum w:abstractNumId="12"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EAC581A"/>
    <w:multiLevelType w:val="hybridMultilevel"/>
    <w:tmpl w:val="54BE82CE"/>
    <w:lvl w:ilvl="0" w:tplc="C2FE208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37126466"/>
    <w:multiLevelType w:val="hybridMultilevel"/>
    <w:tmpl w:val="B672A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7C31A3A"/>
    <w:multiLevelType w:val="hybridMultilevel"/>
    <w:tmpl w:val="E29ADCEC"/>
    <w:lvl w:ilvl="0" w:tplc="A8F8BC3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59030F6B"/>
    <w:multiLevelType w:val="hybridMultilevel"/>
    <w:tmpl w:val="77C8B026"/>
    <w:lvl w:ilvl="0" w:tplc="53EE632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074925"/>
    <w:multiLevelType w:val="hybridMultilevel"/>
    <w:tmpl w:val="D020FB80"/>
    <w:lvl w:ilvl="0" w:tplc="5E36ACB2">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9" w15:restartNumberingAfterBreak="0">
    <w:nsid w:val="5C630BB7"/>
    <w:multiLevelType w:val="multilevel"/>
    <w:tmpl w:val="AC408F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ED15F71"/>
    <w:multiLevelType w:val="multilevel"/>
    <w:tmpl w:val="5A1C4420"/>
    <w:lvl w:ilvl="0">
      <w:start w:val="6"/>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21"/>
  </w:num>
  <w:num w:numId="2">
    <w:abstractNumId w:val="1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5"/>
  </w:num>
  <w:num w:numId="16">
    <w:abstractNumId w:val="12"/>
  </w:num>
  <w:num w:numId="17">
    <w:abstractNumId w:val="21"/>
  </w:num>
  <w:num w:numId="18">
    <w:abstractNumId w:val="15"/>
  </w:num>
  <w:num w:numId="19">
    <w:abstractNumId w:val="12"/>
  </w:num>
  <w:num w:numId="20">
    <w:abstractNumId w:val="10"/>
  </w:num>
  <w:num w:numId="21">
    <w:abstractNumId w:val="20"/>
  </w:num>
  <w:num w:numId="22">
    <w:abstractNumId w:val="11"/>
  </w:num>
  <w:num w:numId="23">
    <w:abstractNumId w:val="18"/>
  </w:num>
  <w:num w:numId="24">
    <w:abstractNumId w:val="16"/>
  </w:num>
  <w:num w:numId="25">
    <w:abstractNumId w:val="13"/>
  </w:num>
  <w:num w:numId="26">
    <w:abstractNumId w:val="14"/>
  </w:num>
  <w:num w:numId="27">
    <w:abstractNumId w:val="17"/>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7143"/>
    <w:rsid w:val="00023842"/>
    <w:rsid w:val="00035AE4"/>
    <w:rsid w:val="00037DF1"/>
    <w:rsid w:val="0007796D"/>
    <w:rsid w:val="00090E5E"/>
    <w:rsid w:val="00101756"/>
    <w:rsid w:val="00110F3E"/>
    <w:rsid w:val="00111F2F"/>
    <w:rsid w:val="0014365E"/>
    <w:rsid w:val="00176178"/>
    <w:rsid w:val="001D14FC"/>
    <w:rsid w:val="001F525A"/>
    <w:rsid w:val="00297143"/>
    <w:rsid w:val="00320C54"/>
    <w:rsid w:val="00446FE5"/>
    <w:rsid w:val="004D6539"/>
    <w:rsid w:val="004F046A"/>
    <w:rsid w:val="005069B1"/>
    <w:rsid w:val="00553A1F"/>
    <w:rsid w:val="00573BE5"/>
    <w:rsid w:val="00586ED3"/>
    <w:rsid w:val="00587A52"/>
    <w:rsid w:val="005970D5"/>
    <w:rsid w:val="005A51D3"/>
    <w:rsid w:val="005B4E23"/>
    <w:rsid w:val="00616CB0"/>
    <w:rsid w:val="00621144"/>
    <w:rsid w:val="006F7894"/>
    <w:rsid w:val="0071601D"/>
    <w:rsid w:val="007432FB"/>
    <w:rsid w:val="0080684C"/>
    <w:rsid w:val="00807D21"/>
    <w:rsid w:val="00840C6C"/>
    <w:rsid w:val="00871C75"/>
    <w:rsid w:val="008776DC"/>
    <w:rsid w:val="009705C8"/>
    <w:rsid w:val="009C4D45"/>
    <w:rsid w:val="009F531E"/>
    <w:rsid w:val="00A05770"/>
    <w:rsid w:val="00A23942"/>
    <w:rsid w:val="00A37C92"/>
    <w:rsid w:val="00A704A8"/>
    <w:rsid w:val="00AA0CD3"/>
    <w:rsid w:val="00AB1B55"/>
    <w:rsid w:val="00AE323C"/>
    <w:rsid w:val="00AF2FC6"/>
    <w:rsid w:val="00B85090"/>
    <w:rsid w:val="00BA41F4"/>
    <w:rsid w:val="00C02897"/>
    <w:rsid w:val="00CA5CE1"/>
    <w:rsid w:val="00CD326D"/>
    <w:rsid w:val="00D03142"/>
    <w:rsid w:val="00D21E12"/>
    <w:rsid w:val="00DB1831"/>
    <w:rsid w:val="00DD3BFD"/>
    <w:rsid w:val="00E554A4"/>
    <w:rsid w:val="00EA0D23"/>
    <w:rsid w:val="00EA3F83"/>
    <w:rsid w:val="00EE6EA3"/>
    <w:rsid w:val="00F1593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13EBF"/>
  <w15:docId w15:val="{A2868D76-DE5E-4138-AE0C-2BF6C603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styleId="Sansinterligne">
    <w:name w:val="No Spacing"/>
    <w:uiPriority w:val="1"/>
    <w:qFormat/>
    <w:rsid w:val="00AF2FC6"/>
    <w:pPr>
      <w:spacing w:after="0" w:line="240" w:lineRule="auto"/>
    </w:pPr>
    <w:rPr>
      <w:rFonts w:ascii="Calibri" w:eastAsia="Calibri" w:hAnsi="Calibri" w:cs="Times New Roman"/>
      <w:lang w:val="en-GB" w:eastAsia="en-US"/>
    </w:rPr>
  </w:style>
  <w:style w:type="paragraph" w:styleId="Paragraphedeliste">
    <w:name w:val="List Paragraph"/>
    <w:basedOn w:val="Normal"/>
    <w:uiPriority w:val="34"/>
    <w:qFormat/>
    <w:rsid w:val="00AF2FC6"/>
    <w:pPr>
      <w:suppressAutoHyphens w:val="0"/>
      <w:kinsoku/>
      <w:overflowPunct/>
      <w:autoSpaceDE/>
      <w:autoSpaceDN/>
      <w:adjustRightInd/>
      <w:snapToGrid/>
      <w:spacing w:line="240" w:lineRule="auto"/>
      <w:ind w:left="720"/>
    </w:pPr>
    <w:rPr>
      <w:rFonts w:eastAsia="SimSun"/>
      <w:sz w:val="24"/>
      <w:szCs w:val="24"/>
      <w:lang w:val="en-GB" w:eastAsia="zh-CN"/>
    </w:rPr>
  </w:style>
  <w:style w:type="paragraph" w:styleId="Commentaire">
    <w:name w:val="annotation text"/>
    <w:basedOn w:val="Normal"/>
    <w:link w:val="CommentaireCar"/>
    <w:uiPriority w:val="99"/>
    <w:semiHidden/>
    <w:unhideWhenUsed/>
    <w:rsid w:val="00AF2FC6"/>
    <w:pPr>
      <w:spacing w:line="240" w:lineRule="auto"/>
    </w:pPr>
  </w:style>
  <w:style w:type="character" w:customStyle="1" w:styleId="CommentaireCar">
    <w:name w:val="Commentaire Car"/>
    <w:basedOn w:val="Policepardfaut"/>
    <w:link w:val="Commentaire"/>
    <w:uiPriority w:val="99"/>
    <w:semiHidden/>
    <w:rsid w:val="00AF2FC6"/>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semiHidden/>
    <w:unhideWhenUsed/>
    <w:rsid w:val="00AF2FC6"/>
    <w:pPr>
      <w:kinsoku/>
      <w:overflowPunct/>
      <w:autoSpaceDE/>
      <w:autoSpaceDN/>
      <w:adjustRightInd/>
      <w:snapToGrid/>
      <w:spacing w:line="240" w:lineRule="auto"/>
    </w:pPr>
    <w:rPr>
      <w:rFonts w:eastAsia="Times New Roman"/>
      <w:b/>
      <w:bCs/>
      <w:lang w:val="en-GB"/>
    </w:rPr>
  </w:style>
  <w:style w:type="character" w:customStyle="1" w:styleId="ObjetducommentaireCar">
    <w:name w:val="Objet du commentaire Car"/>
    <w:basedOn w:val="CommentaireCar"/>
    <w:link w:val="Objetducommentaire"/>
    <w:semiHidden/>
    <w:rsid w:val="00AF2FC6"/>
    <w:rPr>
      <w:rFonts w:ascii="Times New Roman" w:eastAsia="Times New Roman" w:hAnsi="Times New Roman" w:cs="Times New Roman"/>
      <w:b/>
      <w:bCs/>
      <w:sz w:val="20"/>
      <w:szCs w:val="20"/>
      <w:lang w:val="en-GB" w:eastAsia="en-US"/>
    </w:rPr>
  </w:style>
  <w:style w:type="paragraph" w:styleId="Rvision">
    <w:name w:val="Revision"/>
    <w:hidden/>
    <w:uiPriority w:val="99"/>
    <w:semiHidden/>
    <w:rsid w:val="00AF2FC6"/>
    <w:pPr>
      <w:spacing w:after="0" w:line="240" w:lineRule="auto"/>
    </w:pPr>
    <w:rPr>
      <w:rFonts w:ascii="Times New Roman" w:eastAsia="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AF2F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11</Pages>
  <Words>6261</Words>
  <Characters>33250</Characters>
  <Application>Microsoft Office Word</Application>
  <DocSecurity>0</DocSecurity>
  <Lines>503</Lines>
  <Paragraphs>104</Paragraphs>
  <ScaleCrop>false</ScaleCrop>
  <HeadingPairs>
    <vt:vector size="2" baseType="variant">
      <vt:variant>
        <vt:lpstr>Titre</vt:lpstr>
      </vt:variant>
      <vt:variant>
        <vt:i4>1</vt:i4>
      </vt:variant>
    </vt:vector>
  </HeadingPairs>
  <TitlesOfParts>
    <vt:vector size="1" baseType="lpstr">
      <vt:lpstr>CAT/C/67/D/854/2017</vt:lpstr>
    </vt:vector>
  </TitlesOfParts>
  <Company>DCM</Company>
  <LinksUpToDate>false</LinksUpToDate>
  <CharactersWithSpaces>39407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CAT/C/67/D/854/2017</dc:title>
  <dc:subject/>
  <dc:creator>Christine CHAUTAGNAT</dc:creator>
  <cp:keywords/>
  <cp:lastModifiedBy>Christine Chautagnat</cp:lastModifiedBy>
  <cp:revision>3</cp:revision>
  <cp:lastPrinted>2020-08-27T06:36:00Z</cp:lastPrinted>
  <dcterms:created xsi:type="dcterms:W3CDTF">2020-08-27T06:36:00Z</dcterms:created>
  <dcterms:modified xsi:type="dcterms:W3CDTF">2020-08-27T06:37:00Z</dcterms:modified>
</cp:coreProperties>
</file>