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74B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74B45" w:rsidP="00A74B45">
            <w:pPr>
              <w:jc w:val="right"/>
            </w:pPr>
            <w:proofErr w:type="spellStart"/>
            <w:r w:rsidRPr="00A74B45">
              <w:rPr>
                <w:sz w:val="40"/>
              </w:rPr>
              <w:t>CRPD</w:t>
            </w:r>
            <w:proofErr w:type="spellEnd"/>
            <w:r>
              <w:t>/C/</w:t>
            </w:r>
            <w:proofErr w:type="spellStart"/>
            <w:r>
              <w:t>SYC</w:t>
            </w:r>
            <w:proofErr w:type="spellEnd"/>
            <w:r>
              <w:t>/</w:t>
            </w:r>
            <w:proofErr w:type="spellStart"/>
            <w:r>
              <w:t>CO</w:t>
            </w:r>
            <w:proofErr w:type="spellEnd"/>
            <w:r>
              <w:t>/1</w:t>
            </w:r>
          </w:p>
        </w:tc>
      </w:tr>
      <w:tr w:rsidR="002D5AAC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74B45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74B45" w:rsidRDefault="00A74B45" w:rsidP="00A74B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April 2018</w:t>
            </w:r>
          </w:p>
          <w:p w:rsidR="00A74B45" w:rsidRDefault="00A74B45" w:rsidP="00A74B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74B45" w:rsidRPr="008934D2" w:rsidRDefault="00A74B45" w:rsidP="00A74B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A74B45" w:rsidRPr="00A74B45" w:rsidRDefault="00A74B45" w:rsidP="00A74B45">
      <w:pPr>
        <w:suppressAutoHyphens/>
        <w:spacing w:before="120"/>
        <w:rPr>
          <w:b/>
          <w:sz w:val="24"/>
          <w:szCs w:val="24"/>
        </w:rPr>
      </w:pPr>
      <w:r w:rsidRPr="00A74B45">
        <w:rPr>
          <w:b/>
          <w:sz w:val="24"/>
          <w:szCs w:val="24"/>
        </w:rPr>
        <w:t xml:space="preserve">Комитет по правам инвалидов </w:t>
      </w:r>
    </w:p>
    <w:p w:rsidR="00A74B45" w:rsidRPr="00A74B45" w:rsidRDefault="00A74B45" w:rsidP="00A74B45">
      <w:pPr>
        <w:pStyle w:val="HChGR"/>
        <w:rPr>
          <w:bCs/>
        </w:rPr>
      </w:pPr>
      <w:r w:rsidRPr="00A74B45">
        <w:tab/>
      </w:r>
      <w:r w:rsidRPr="00A74B45">
        <w:tab/>
      </w:r>
      <w:bookmarkStart w:id="0" w:name="_Toc511641791"/>
      <w:r w:rsidRPr="00A74B45">
        <w:t>Заключительные замечания по первоначальному докладу Сейшельских Островов</w:t>
      </w:r>
      <w:r w:rsidRPr="00A74B45">
        <w:rPr>
          <w:b w:val="0"/>
          <w:bCs/>
          <w:sz w:val="20"/>
        </w:rPr>
        <w:footnoteReference w:customMarkFollows="1" w:id="1"/>
        <w:t>*</w:t>
      </w:r>
      <w:bookmarkEnd w:id="0"/>
    </w:p>
    <w:p w:rsidR="00A74B45" w:rsidRPr="00A74B45" w:rsidRDefault="00A74B45" w:rsidP="00A74B45">
      <w:pPr>
        <w:pStyle w:val="HChGR"/>
      </w:pPr>
      <w:r w:rsidRPr="00A74B45">
        <w:tab/>
      </w:r>
      <w:bookmarkStart w:id="1" w:name="_Toc511641792"/>
      <w:r w:rsidRPr="00A74B45">
        <w:t>I.</w:t>
      </w:r>
      <w:r w:rsidRPr="00A74B45">
        <w:tab/>
      </w:r>
      <w:bookmarkEnd w:id="1"/>
      <w:r w:rsidRPr="00A74B45">
        <w:t xml:space="preserve">Введение </w:t>
      </w:r>
    </w:p>
    <w:p w:rsidR="00A74B45" w:rsidRPr="00A74B45" w:rsidRDefault="00A74B45" w:rsidP="00A74B45">
      <w:pPr>
        <w:pStyle w:val="SingleTxtGR"/>
        <w:suppressAutoHyphens/>
      </w:pPr>
      <w:r w:rsidRPr="00A74B45">
        <w:t>1.</w:t>
      </w:r>
      <w:r w:rsidRPr="00A74B45">
        <w:tab/>
        <w:t>Комитет рассмотрел первоначальный доклад Сейшельских Островов (</w:t>
      </w:r>
      <w:proofErr w:type="spellStart"/>
      <w:r w:rsidRPr="00A74B45">
        <w:t>CRPD</w:t>
      </w:r>
      <w:proofErr w:type="spellEnd"/>
      <w:r w:rsidRPr="00A74B45">
        <w:t>/C/</w:t>
      </w:r>
      <w:proofErr w:type="spellStart"/>
      <w:r w:rsidRPr="00A74B45">
        <w:t>SYC</w:t>
      </w:r>
      <w:proofErr w:type="spellEnd"/>
      <w:r w:rsidRPr="00A74B45">
        <w:t xml:space="preserve">/1 и Corr.1) на своих 377-м и 378-м заседаниях (см. </w:t>
      </w:r>
      <w:proofErr w:type="spellStart"/>
      <w:r w:rsidRPr="00A74B45">
        <w:t>CRPD</w:t>
      </w:r>
      <w:proofErr w:type="spellEnd"/>
      <w:r w:rsidRPr="00A74B45">
        <w:t>/C/SR.377 и</w:t>
      </w:r>
      <w:r>
        <w:rPr>
          <w:lang w:val="en-US"/>
        </w:rPr>
        <w:t> </w:t>
      </w:r>
      <w:r w:rsidRPr="00A74B45">
        <w:t>378), состоявшихся 26 и 27 февраля 2018 года, и на своем 389-м заседании 6 марта 2018 года принял настоящие заключительные замечания.</w:t>
      </w:r>
    </w:p>
    <w:p w:rsidR="00A74B45" w:rsidRPr="00A74B45" w:rsidRDefault="00A74B45" w:rsidP="00A74B45">
      <w:pPr>
        <w:pStyle w:val="SingleTxtGR"/>
        <w:suppressAutoHyphens/>
      </w:pPr>
      <w:r w:rsidRPr="00A74B45">
        <w:t>2.</w:t>
      </w:r>
      <w:r w:rsidRPr="00A74B45">
        <w:tab/>
        <w:t>Комитет приветствует первоначальный доклад Сейшельских Островов, который был подготовлен в соответствии с руководящими принципами Комитета в отношении представления докладов. Комитет благодарит государство-участник за его письменные ответы</w:t>
      </w:r>
      <w:r w:rsidRPr="00A74B45">
        <w:rPr>
          <w:lang w:val="en-US"/>
        </w:rPr>
        <w:t xml:space="preserve"> </w:t>
      </w:r>
      <w:r w:rsidRPr="00A74B45">
        <w:t>(</w:t>
      </w:r>
      <w:proofErr w:type="spellStart"/>
      <w:r w:rsidRPr="00A74B45">
        <w:t>CRPD</w:t>
      </w:r>
      <w:proofErr w:type="spellEnd"/>
      <w:r w:rsidRPr="00A74B45">
        <w:t>/C/</w:t>
      </w:r>
      <w:proofErr w:type="spellStart"/>
      <w:r w:rsidRPr="00A74B45">
        <w:t>SYC</w:t>
      </w:r>
      <w:proofErr w:type="spellEnd"/>
      <w:r w:rsidRPr="00A74B45">
        <w:t>/Q/1/Add.1)</w:t>
      </w:r>
      <w:r w:rsidRPr="00A74B45">
        <w:rPr>
          <w:lang w:val="en-US"/>
        </w:rPr>
        <w:t xml:space="preserve"> </w:t>
      </w:r>
      <w:r w:rsidRPr="00A74B45">
        <w:t>на подготовленный Комитетом перечень вопросов</w:t>
      </w:r>
      <w:r w:rsidRPr="00A74B45">
        <w:rPr>
          <w:lang w:val="en-US"/>
        </w:rPr>
        <w:t xml:space="preserve"> </w:t>
      </w:r>
      <w:r w:rsidRPr="00A74B45">
        <w:t>(</w:t>
      </w:r>
      <w:proofErr w:type="spellStart"/>
      <w:r w:rsidRPr="00A74B45">
        <w:t>CRPD</w:t>
      </w:r>
      <w:proofErr w:type="spellEnd"/>
      <w:r w:rsidRPr="00A74B45">
        <w:t>/C/</w:t>
      </w:r>
      <w:proofErr w:type="spellStart"/>
      <w:r w:rsidRPr="00A74B45">
        <w:t>SYC</w:t>
      </w:r>
      <w:proofErr w:type="spellEnd"/>
      <w:r w:rsidRPr="00A74B45">
        <w:t>/Q/1), несмотря на их позднее представление.</w:t>
      </w:r>
    </w:p>
    <w:p w:rsidR="00A74B45" w:rsidRPr="00A74B45" w:rsidRDefault="00A74B45" w:rsidP="00A74B45">
      <w:pPr>
        <w:pStyle w:val="SingleTxtGR"/>
        <w:suppressAutoHyphens/>
      </w:pPr>
      <w:r w:rsidRPr="00A74B45">
        <w:t>3.</w:t>
      </w:r>
      <w:r w:rsidRPr="00A74B45">
        <w:tab/>
        <w:t>Комитет с удовлетворением отмечает конструктивный диалог с делегацией государства-участника, в ходе которого было рассмотрено множество аспектов, а</w:t>
      </w:r>
      <w:r w:rsidR="00F11E08">
        <w:rPr>
          <w:lang w:val="en-US"/>
        </w:rPr>
        <w:t> </w:t>
      </w:r>
      <w:r w:rsidRPr="00A74B45">
        <w:t xml:space="preserve">также его открытый и откровенный характер. </w:t>
      </w:r>
    </w:p>
    <w:p w:rsidR="00A74B45" w:rsidRPr="00A74B45" w:rsidRDefault="00A74B45" w:rsidP="00A74B45">
      <w:pPr>
        <w:pStyle w:val="HChGR"/>
      </w:pPr>
      <w:r w:rsidRPr="00A74B45">
        <w:tab/>
      </w:r>
      <w:bookmarkStart w:id="2" w:name="_Toc511641793"/>
      <w:proofErr w:type="spellStart"/>
      <w:r w:rsidRPr="00A74B45">
        <w:t>II</w:t>
      </w:r>
      <w:proofErr w:type="spellEnd"/>
      <w:r w:rsidRPr="00A74B45">
        <w:t>.</w:t>
      </w:r>
      <w:r w:rsidRPr="00A74B45">
        <w:tab/>
      </w:r>
      <w:bookmarkEnd w:id="2"/>
      <w:r w:rsidRPr="00A74B45">
        <w:t xml:space="preserve">Позитивные аспекты </w:t>
      </w:r>
    </w:p>
    <w:p w:rsidR="00A74B45" w:rsidRPr="00A74B45" w:rsidRDefault="00A74B45" w:rsidP="00A74B45">
      <w:pPr>
        <w:pStyle w:val="SingleTxtGR"/>
        <w:suppressAutoHyphens/>
      </w:pPr>
      <w:r w:rsidRPr="00A74B45">
        <w:t>4.</w:t>
      </w:r>
      <w:r w:rsidRPr="00A74B45">
        <w:tab/>
        <w:t>Комитет приветствует принятие государством-участником ряда политических мер, направленных на осуществление Конвенции, в частности поправок к Закону о социальном обеспечении, чтобы инвалиды при трудоустройстве не лишались всех своих льгот, и мер по увеличению числа работающих инвалидов; Программу в области интеграции и План действий в области инклюзивного образования и профессионального обучения, которые были приняты в сентябре 2014 года и подготовлены на основе положений Конвенции с целью предоставления детям-инвалидам качественного образования; и усилия государства-участника по сбору данных об инвалидности при проведении в 2010 году национальной переписи населения.</w:t>
      </w:r>
    </w:p>
    <w:p w:rsidR="00A74B45" w:rsidRPr="00A74B45" w:rsidRDefault="00A74B45" w:rsidP="00A74B45">
      <w:pPr>
        <w:pStyle w:val="SingleTxtGR"/>
        <w:suppressAutoHyphens/>
      </w:pPr>
      <w:r w:rsidRPr="00A74B45">
        <w:t>5.</w:t>
      </w:r>
      <w:r w:rsidRPr="00A74B45">
        <w:tab/>
        <w:t>Комитет приветствует усилия государства-участника по переводу Конвенции на креольский язык и по подготовке соответствующих материалов, рассчитанных на детей.</w:t>
      </w:r>
    </w:p>
    <w:p w:rsidR="00A74B45" w:rsidRPr="00A74B45" w:rsidRDefault="00A74B45" w:rsidP="00A74B45">
      <w:pPr>
        <w:pStyle w:val="HChGR"/>
      </w:pPr>
      <w:r w:rsidRPr="00A74B45">
        <w:lastRenderedPageBreak/>
        <w:tab/>
      </w:r>
      <w:bookmarkStart w:id="3" w:name="_Toc511641794"/>
      <w:proofErr w:type="spellStart"/>
      <w:r w:rsidRPr="00A74B45">
        <w:t>III</w:t>
      </w:r>
      <w:proofErr w:type="spellEnd"/>
      <w:r w:rsidRPr="00A74B45">
        <w:t>.</w:t>
      </w:r>
      <w:r w:rsidRPr="00A74B45">
        <w:tab/>
        <w:t xml:space="preserve">Основные вопросы, вызывающие обеспокоенность, </w:t>
      </w:r>
      <w:r w:rsidRPr="00A74B45">
        <w:br/>
        <w:t>и рекомендации</w:t>
      </w:r>
      <w:bookmarkEnd w:id="3"/>
    </w:p>
    <w:p w:rsidR="00A74B45" w:rsidRPr="00A74B45" w:rsidRDefault="00A74B45" w:rsidP="00A74B45">
      <w:pPr>
        <w:pStyle w:val="H1GR"/>
      </w:pPr>
      <w:r w:rsidRPr="00A74B45">
        <w:tab/>
      </w:r>
      <w:bookmarkStart w:id="4" w:name="_Toc511641795"/>
      <w:r w:rsidRPr="00A74B45">
        <w:t>A.</w:t>
      </w:r>
      <w:r w:rsidRPr="00A74B45">
        <w:tab/>
        <w:t>Общие принципы и обязательства (статьи 1−4)</w:t>
      </w:r>
      <w:bookmarkEnd w:id="4"/>
      <w:r w:rsidRPr="00A74B45">
        <w:t xml:space="preserve"> </w:t>
      </w:r>
    </w:p>
    <w:p w:rsidR="00A74B45" w:rsidRPr="00A74B45" w:rsidRDefault="00A74B45" w:rsidP="00A74B45">
      <w:pPr>
        <w:pStyle w:val="SingleTxtGR"/>
        <w:suppressAutoHyphens/>
      </w:pPr>
      <w:r w:rsidRPr="00A74B45">
        <w:t>6.</w:t>
      </w:r>
      <w:r w:rsidRPr="00A74B45">
        <w:tab/>
        <w:t xml:space="preserve">Комитет серьезно обеспокоен: 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a)</w:t>
      </w:r>
      <w:r w:rsidRPr="00A74B45">
        <w:tab/>
        <w:t xml:space="preserve">задержками пересмотра, отмены и исправления действующего внутреннего законодательства, которое не соответствует Конвенции, включая главу </w:t>
      </w:r>
      <w:proofErr w:type="spellStart"/>
      <w:r w:rsidRPr="00A74B45">
        <w:t>III</w:t>
      </w:r>
      <w:proofErr w:type="spellEnd"/>
      <w:r w:rsidRPr="00A74B45">
        <w:t xml:space="preserve"> Конституции, где по-прежнему обеспечивается поощрение и защита модели инвалидности, основанной прежде всего на медицинской помощи и социальном обеспечении; Гражданский кодекс; и Закон о Национальном совете по делам инвалидов (1994 года);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b)</w:t>
      </w:r>
      <w:r w:rsidRPr="00A74B45">
        <w:tab/>
        <w:t xml:space="preserve">отсутствием отдельного закона или резолюции о включении Конвенции во </w:t>
      </w:r>
      <w:proofErr w:type="spellStart"/>
      <w:r w:rsidRPr="00A74B45">
        <w:t>внутриправовую</w:t>
      </w:r>
      <w:proofErr w:type="spellEnd"/>
      <w:r w:rsidRPr="00A74B45">
        <w:t xml:space="preserve"> систему;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c)</w:t>
      </w:r>
      <w:r w:rsidRPr="00A74B45">
        <w:tab/>
        <w:t>уничижительной терминологией, употребляемой в отношении инвалидов в законодательных актах и при обычном упоминании инвалидов;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d)</w:t>
      </w:r>
      <w:r w:rsidRPr="00A74B45">
        <w:tab/>
        <w:t>затягиванием сроков пересмотра национальной политики в отношении инвалидов и доработки национального плана действий в интересах инвалидов.</w:t>
      </w:r>
    </w:p>
    <w:p w:rsidR="00A74B45" w:rsidRPr="00A74B45" w:rsidRDefault="00A74B45" w:rsidP="00A74B45">
      <w:pPr>
        <w:pStyle w:val="SingleTxtGR"/>
        <w:suppressAutoHyphens/>
        <w:rPr>
          <w:b/>
        </w:rPr>
      </w:pPr>
      <w:r w:rsidRPr="00A74B45">
        <w:t>7.</w:t>
      </w:r>
      <w:r w:rsidRPr="00A74B45">
        <w:tab/>
      </w:r>
      <w:r w:rsidRPr="00A74B45">
        <w:rPr>
          <w:b/>
        </w:rPr>
        <w:t>Комитет рекомендует государству-участнику:</w:t>
      </w:r>
    </w:p>
    <w:p w:rsidR="00A74B45" w:rsidRPr="005C215F" w:rsidRDefault="00A74B45" w:rsidP="00A74B45">
      <w:pPr>
        <w:pStyle w:val="SingleTxtGR"/>
        <w:suppressAutoHyphens/>
        <w:rPr>
          <w:b/>
        </w:rPr>
      </w:pPr>
      <w:r w:rsidRPr="005C215F">
        <w:rPr>
          <w:b/>
        </w:rPr>
        <w:tab/>
      </w:r>
      <w:r w:rsidRPr="005C215F">
        <w:rPr>
          <w:b/>
          <w:bCs/>
        </w:rPr>
        <w:t>a)</w:t>
      </w:r>
      <w:r w:rsidRPr="005C215F">
        <w:rPr>
          <w:b/>
        </w:rPr>
        <w:tab/>
        <w:t>активизировать усилия по пересмотру всего законодательства и политики с целью их приведения в соответствие с Конвенцией;</w:t>
      </w:r>
    </w:p>
    <w:p w:rsidR="00A74B45" w:rsidRPr="005C215F" w:rsidRDefault="00A74B45" w:rsidP="00A74B45">
      <w:pPr>
        <w:pStyle w:val="SingleTxtGR"/>
        <w:suppressAutoHyphens/>
        <w:rPr>
          <w:b/>
        </w:rPr>
      </w:pPr>
      <w:r w:rsidRPr="005C215F">
        <w:rPr>
          <w:b/>
        </w:rPr>
        <w:tab/>
      </w:r>
      <w:r w:rsidRPr="005C215F">
        <w:rPr>
          <w:b/>
          <w:bCs/>
        </w:rPr>
        <w:t>b)</w:t>
      </w:r>
      <w:r w:rsidRPr="005C215F">
        <w:rPr>
          <w:b/>
        </w:rPr>
        <w:tab/>
        <w:t>принять юридические меры, необходимые для прямого и всестороннего включения всех положений Конвенции в его национальное законодательство с целью обеспечения их непосредственного применения судебными и руководящими административными органами;</w:t>
      </w:r>
    </w:p>
    <w:p w:rsidR="00A74B45" w:rsidRPr="005C215F" w:rsidRDefault="00A74B45" w:rsidP="00A74B45">
      <w:pPr>
        <w:pStyle w:val="SingleTxtGR"/>
        <w:suppressAutoHyphens/>
        <w:rPr>
          <w:b/>
        </w:rPr>
      </w:pPr>
      <w:r w:rsidRPr="005C215F">
        <w:rPr>
          <w:b/>
        </w:rPr>
        <w:tab/>
      </w:r>
      <w:r w:rsidRPr="005C215F">
        <w:rPr>
          <w:b/>
          <w:bCs/>
        </w:rPr>
        <w:t>c)</w:t>
      </w:r>
      <w:r w:rsidRPr="005C215F">
        <w:rPr>
          <w:b/>
        </w:rPr>
        <w:tab/>
        <w:t>развивать и защищать правозащитную модель инвалидности и исключить употребление всей уничижительной терминологии в законодательных актах и при обычном упоминании инвалидов;</w:t>
      </w:r>
    </w:p>
    <w:p w:rsidR="00A74B45" w:rsidRPr="005C215F" w:rsidRDefault="00A74B45" w:rsidP="00A74B45">
      <w:pPr>
        <w:pStyle w:val="SingleTxtGR"/>
        <w:suppressAutoHyphens/>
        <w:rPr>
          <w:b/>
        </w:rPr>
      </w:pPr>
      <w:r w:rsidRPr="005C215F">
        <w:rPr>
          <w:b/>
        </w:rPr>
        <w:tab/>
      </w:r>
      <w:r w:rsidRPr="005C215F">
        <w:rPr>
          <w:b/>
          <w:bCs/>
        </w:rPr>
        <w:t>d)</w:t>
      </w:r>
      <w:r w:rsidRPr="005C215F">
        <w:rPr>
          <w:b/>
        </w:rPr>
        <w:tab/>
        <w:t>ускорить пересмотр национальной политики в отношении инвалидов и доработку национального плана действий в интересах инвалидов и выделить достаточные ресурсы для его осуществления.</w:t>
      </w:r>
    </w:p>
    <w:p w:rsidR="00A74B45" w:rsidRPr="00A74B45" w:rsidRDefault="00A74B45" w:rsidP="00A74B45">
      <w:pPr>
        <w:pStyle w:val="SingleTxtGR"/>
        <w:suppressAutoHyphens/>
      </w:pPr>
      <w:r w:rsidRPr="00A74B45">
        <w:t>8.</w:t>
      </w:r>
      <w:r w:rsidRPr="00A74B45">
        <w:tab/>
        <w:t>Комитет обеспокоен тем, что государству-участнику не удалось наладить эффективное взаимодействие с организациями инвалидов в ходе подготовки доклада. Он также озабочен тем, что: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a)</w:t>
      </w:r>
      <w:r w:rsidRPr="00A74B45">
        <w:tab/>
        <w:t>действующее законодательство, прежде всего Закон о Национальном совете по делам инвалидов (1994 года), не предусматривает реального участия организаций, представляющих интересы инвалидов;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b)</w:t>
      </w:r>
      <w:r w:rsidRPr="00A74B45">
        <w:tab/>
        <w:t>Национальный совет по делам инвалидов отличается ограниченным уровнем вовлеченности и участия инвалидов; при этом в стране нет постоянного форума для значимого вовлечения и участия инвалидов в разработке и осуществлении законодательства и политики;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c)</w:t>
      </w:r>
      <w:r w:rsidRPr="00A74B45">
        <w:tab/>
        <w:t>представительные организации инвалидов не получают достаточной поддержки для ведения своей деятельности.</w:t>
      </w:r>
    </w:p>
    <w:p w:rsidR="00A74B45" w:rsidRPr="00A74B45" w:rsidRDefault="00A74B45" w:rsidP="00A74B45">
      <w:pPr>
        <w:pStyle w:val="SingleTxtGR"/>
        <w:suppressAutoHyphens/>
        <w:rPr>
          <w:b/>
        </w:rPr>
      </w:pPr>
      <w:r w:rsidRPr="00A74B45">
        <w:t>9.</w:t>
      </w:r>
      <w:r w:rsidRPr="00A74B45">
        <w:tab/>
      </w:r>
      <w:r w:rsidRPr="00A74B45">
        <w:rPr>
          <w:b/>
        </w:rPr>
        <w:t>Комитет рекомендует государству-участнику:</w:t>
      </w:r>
    </w:p>
    <w:p w:rsidR="00A74B45" w:rsidRPr="005C215F" w:rsidRDefault="00A74B45" w:rsidP="00A74B45">
      <w:pPr>
        <w:pStyle w:val="SingleTxtGR"/>
        <w:suppressAutoHyphens/>
        <w:rPr>
          <w:b/>
        </w:rPr>
      </w:pPr>
      <w:r w:rsidRPr="005C215F">
        <w:rPr>
          <w:b/>
        </w:rPr>
        <w:tab/>
      </w:r>
      <w:r w:rsidRPr="005C215F">
        <w:rPr>
          <w:b/>
          <w:bCs/>
        </w:rPr>
        <w:t>a)</w:t>
      </w:r>
      <w:r w:rsidRPr="005C215F">
        <w:rPr>
          <w:b/>
        </w:rPr>
        <w:tab/>
        <w:t>внести изменения в Закон о национальном совете по делам инвалидов (1994 года) для обеспечения участия инвалидов через их представительные организации на всех уровнях разработки законодательства и политики;</w:t>
      </w:r>
    </w:p>
    <w:p w:rsidR="00A74B45" w:rsidRPr="005C215F" w:rsidRDefault="00A74B45" w:rsidP="00A74B45">
      <w:pPr>
        <w:pStyle w:val="SingleTxtGR"/>
        <w:suppressAutoHyphens/>
        <w:rPr>
          <w:b/>
        </w:rPr>
      </w:pPr>
      <w:r w:rsidRPr="005C215F">
        <w:rPr>
          <w:b/>
        </w:rPr>
        <w:tab/>
      </w:r>
      <w:r w:rsidRPr="005C215F">
        <w:rPr>
          <w:b/>
          <w:bCs/>
        </w:rPr>
        <w:t>b)</w:t>
      </w:r>
      <w:r w:rsidRPr="005C215F">
        <w:rPr>
          <w:b/>
        </w:rPr>
        <w:tab/>
        <w:t xml:space="preserve">расширять вовлеченность, эффективные консультации и участие инвалидов в работе Национального совета по делам инвалидов и принять меры </w:t>
      </w:r>
      <w:r w:rsidRPr="005C215F">
        <w:rPr>
          <w:b/>
        </w:rPr>
        <w:lastRenderedPageBreak/>
        <w:t>к созданию надлежащего форума для организаций инвалидов, чтобы они могли эффективно вовлекаться в процессы принятия решений и принимать в них активное участие;</w:t>
      </w:r>
    </w:p>
    <w:p w:rsidR="00A74B45" w:rsidRPr="005C215F" w:rsidRDefault="00A74B45" w:rsidP="00A74B45">
      <w:pPr>
        <w:pStyle w:val="SingleTxtGR"/>
        <w:suppressAutoHyphens/>
        <w:rPr>
          <w:b/>
        </w:rPr>
      </w:pPr>
      <w:r w:rsidRPr="005C215F">
        <w:rPr>
          <w:b/>
        </w:rPr>
        <w:tab/>
      </w:r>
      <w:r w:rsidRPr="005C215F">
        <w:rPr>
          <w:b/>
          <w:bCs/>
        </w:rPr>
        <w:t>c)</w:t>
      </w:r>
      <w:r w:rsidRPr="005C215F">
        <w:rPr>
          <w:b/>
        </w:rPr>
        <w:tab/>
        <w:t>оказывать представительным организациями инвалидов надлежащее содействие в осуществлении деятельности, включая финансовую помощь и партнерство.</w:t>
      </w:r>
    </w:p>
    <w:p w:rsidR="00A74B45" w:rsidRPr="00A74B45" w:rsidRDefault="00A74B45" w:rsidP="00A74B45">
      <w:pPr>
        <w:pStyle w:val="SingleTxtGR"/>
        <w:suppressAutoHyphens/>
      </w:pPr>
      <w:r w:rsidRPr="00A74B45">
        <w:t>10.</w:t>
      </w:r>
      <w:r w:rsidRPr="00A74B45">
        <w:tab/>
        <w:t>Комитет обеспокоен тем, что государство-участник пока не ратифицировало Факультативный протокол к Конвенции о правах инвалидов.</w:t>
      </w:r>
    </w:p>
    <w:p w:rsidR="00A74B45" w:rsidRPr="00A74B45" w:rsidRDefault="00A74B45" w:rsidP="00A74B45">
      <w:pPr>
        <w:pStyle w:val="SingleTxtGR"/>
        <w:suppressAutoHyphens/>
      </w:pPr>
      <w:r w:rsidRPr="00A74B45">
        <w:t>11.</w:t>
      </w:r>
      <w:r w:rsidRPr="00A74B45">
        <w:tab/>
      </w:r>
      <w:r w:rsidRPr="00A74B45">
        <w:rPr>
          <w:b/>
        </w:rPr>
        <w:t>Комитет рекомендует государству-участнику незамедлительно ратифицировать Факультативный протокол.</w:t>
      </w:r>
    </w:p>
    <w:p w:rsidR="00A74B45" w:rsidRPr="00A74B45" w:rsidRDefault="00A74B45" w:rsidP="00A74B45">
      <w:pPr>
        <w:pStyle w:val="H1GR"/>
      </w:pPr>
      <w:r w:rsidRPr="00A74B45">
        <w:tab/>
      </w:r>
      <w:bookmarkStart w:id="5" w:name="_Toc511641796"/>
      <w:r w:rsidRPr="00A74B45">
        <w:t>B.</w:t>
      </w:r>
      <w:r w:rsidRPr="00A74B45">
        <w:tab/>
        <w:t>Конкретные права (статьи</w:t>
      </w:r>
      <w:r>
        <w:t xml:space="preserve"> </w:t>
      </w:r>
      <w:r w:rsidRPr="00A74B45">
        <w:t>5−30)</w:t>
      </w:r>
      <w:bookmarkEnd w:id="5"/>
    </w:p>
    <w:p w:rsidR="00A74B45" w:rsidRPr="00A74B45" w:rsidRDefault="00A74B45" w:rsidP="00A74B45">
      <w:pPr>
        <w:pStyle w:val="H23GR"/>
      </w:pPr>
      <w:r w:rsidRPr="00A74B45">
        <w:tab/>
      </w:r>
      <w:r w:rsidRPr="00A74B45">
        <w:tab/>
      </w:r>
      <w:bookmarkStart w:id="6" w:name="_Toc511641797"/>
      <w:r w:rsidRPr="00A74B45">
        <w:t xml:space="preserve">Равенство и </w:t>
      </w:r>
      <w:proofErr w:type="spellStart"/>
      <w:r w:rsidRPr="00A74B45">
        <w:t>недискриминация</w:t>
      </w:r>
      <w:proofErr w:type="spellEnd"/>
      <w:r w:rsidRPr="00A74B45">
        <w:t xml:space="preserve"> (статья 5)</w:t>
      </w:r>
      <w:bookmarkEnd w:id="6"/>
    </w:p>
    <w:p w:rsidR="00A74B45" w:rsidRPr="00A74B45" w:rsidRDefault="00A74B45" w:rsidP="00A74B45">
      <w:pPr>
        <w:pStyle w:val="SingleTxtGR"/>
        <w:suppressAutoHyphens/>
      </w:pPr>
      <w:r w:rsidRPr="00A74B45">
        <w:t>12.</w:t>
      </w:r>
      <w:r w:rsidRPr="00A74B45">
        <w:tab/>
        <w:t>Комитет с озабоченностью отмечает, что: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a)</w:t>
      </w:r>
      <w:r w:rsidRPr="00A74B45">
        <w:tab/>
        <w:t xml:space="preserve">формулировка «в </w:t>
      </w:r>
      <w:r w:rsidRPr="00A74B45">
        <w:rPr>
          <w:bCs/>
        </w:rPr>
        <w:t xml:space="preserve">разумных пределах обеспечивать», содержащаяся в статье </w:t>
      </w:r>
      <w:proofErr w:type="gramStart"/>
      <w:r w:rsidRPr="00A74B45">
        <w:t>36</w:t>
      </w:r>
      <w:proofErr w:type="gramEnd"/>
      <w:r w:rsidRPr="00A74B45">
        <w:t xml:space="preserve"> а) Конституции государства-участника, не соответствует понятию «разумное приспособление», </w:t>
      </w:r>
      <w:r w:rsidRPr="00A74B45">
        <w:rPr>
          <w:bCs/>
        </w:rPr>
        <w:t xml:space="preserve">предусмотренному в статьях 2 и </w:t>
      </w:r>
      <w:r w:rsidRPr="00A74B45">
        <w:t>5 (3) Конвенции;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b)</w:t>
      </w:r>
      <w:r w:rsidRPr="00A74B45">
        <w:tab/>
        <w:t>в законодательстве государства-участника отсутствует положение о непосредственном запрещении дискриминации по признаку инвалидности во всех сферах жизни, включая отказ обеспечить разумное приспособление как форму проявления дискриминации;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c)</w:t>
      </w:r>
      <w:r w:rsidRPr="00A74B45">
        <w:tab/>
        <w:t xml:space="preserve">множественная и </w:t>
      </w:r>
      <w:proofErr w:type="spellStart"/>
      <w:r w:rsidRPr="00A74B45">
        <w:t>межсекторальная</w:t>
      </w:r>
      <w:proofErr w:type="spellEnd"/>
      <w:r w:rsidRPr="00A74B45">
        <w:t xml:space="preserve"> дискриминация, которой подвергаются инвалиды, особенно женщины, девочки и пожилые люди из числа инвалидов, не является непосредственно признанной или запрещенной;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d)</w:t>
      </w:r>
      <w:r w:rsidRPr="00A74B45">
        <w:tab/>
        <w:t>в стране нет механизма по урегулированию и восстановлению прав или выплате компенсации в случаях, когда в законах и на практике допускается дискриминация по признаку инвалидности.</w:t>
      </w:r>
    </w:p>
    <w:p w:rsidR="00A74B45" w:rsidRPr="00A74B45" w:rsidRDefault="00A74B45" w:rsidP="00A74B45">
      <w:pPr>
        <w:pStyle w:val="SingleTxtGR"/>
        <w:suppressAutoHyphens/>
        <w:rPr>
          <w:b/>
        </w:rPr>
      </w:pPr>
      <w:r w:rsidRPr="00A74B45">
        <w:t>13.</w:t>
      </w:r>
      <w:r w:rsidRPr="00A74B45">
        <w:tab/>
      </w:r>
      <w:r w:rsidRPr="00A74B45">
        <w:rPr>
          <w:b/>
        </w:rPr>
        <w:t>Комитет рекомендует государству-участнику:</w:t>
      </w:r>
    </w:p>
    <w:p w:rsidR="00A74B45" w:rsidRPr="005C215F" w:rsidRDefault="00A74B45" w:rsidP="00A74B45">
      <w:pPr>
        <w:pStyle w:val="SingleTxtGR"/>
        <w:suppressAutoHyphens/>
        <w:rPr>
          <w:b/>
        </w:rPr>
      </w:pPr>
      <w:r w:rsidRPr="005C215F">
        <w:rPr>
          <w:b/>
        </w:rPr>
        <w:tab/>
      </w:r>
      <w:r w:rsidRPr="005C215F">
        <w:rPr>
          <w:b/>
          <w:bCs/>
        </w:rPr>
        <w:t>a)</w:t>
      </w:r>
      <w:r w:rsidRPr="005C215F">
        <w:rPr>
          <w:b/>
        </w:rPr>
        <w:tab/>
        <w:t xml:space="preserve">разработать политические рамки и руководство по практическому применению формулировки Конституции «в </w:t>
      </w:r>
      <w:r w:rsidRPr="005C215F">
        <w:rPr>
          <w:b/>
          <w:bCs/>
        </w:rPr>
        <w:t xml:space="preserve">разумных пределах обеспечивать» в соответствии со статьями 2 и </w:t>
      </w:r>
      <w:r w:rsidRPr="005C215F">
        <w:rPr>
          <w:b/>
        </w:rPr>
        <w:t>5 (3) Конвенции;</w:t>
      </w:r>
    </w:p>
    <w:p w:rsidR="00A74B45" w:rsidRPr="005C215F" w:rsidRDefault="00A74B45" w:rsidP="00A74B45">
      <w:pPr>
        <w:pStyle w:val="SingleTxtGR"/>
        <w:suppressAutoHyphens/>
        <w:rPr>
          <w:b/>
        </w:rPr>
      </w:pPr>
      <w:r w:rsidRPr="005C215F">
        <w:rPr>
          <w:b/>
        </w:rPr>
        <w:tab/>
      </w:r>
      <w:r w:rsidRPr="005C215F">
        <w:rPr>
          <w:b/>
          <w:bCs/>
        </w:rPr>
        <w:t>b)</w:t>
      </w:r>
      <w:r w:rsidRPr="005C215F">
        <w:rPr>
          <w:b/>
        </w:rPr>
        <w:tab/>
        <w:t>признать отказ в обеспечении разумного приспособления проявлением дискриминации по признаку инвалидности;</w:t>
      </w:r>
    </w:p>
    <w:p w:rsidR="00A74B45" w:rsidRPr="005C215F" w:rsidRDefault="00A74B45" w:rsidP="00A74B45">
      <w:pPr>
        <w:pStyle w:val="SingleTxtGR"/>
        <w:suppressAutoHyphens/>
        <w:rPr>
          <w:b/>
        </w:rPr>
      </w:pPr>
      <w:r w:rsidRPr="005C215F">
        <w:rPr>
          <w:b/>
        </w:rPr>
        <w:tab/>
      </w:r>
      <w:r w:rsidRPr="005C215F">
        <w:rPr>
          <w:b/>
          <w:bCs/>
        </w:rPr>
        <w:t>c)</w:t>
      </w:r>
      <w:r w:rsidRPr="005C215F">
        <w:rPr>
          <w:b/>
        </w:rPr>
        <w:tab/>
        <w:t xml:space="preserve">непосредственно признать и запретить множественную и </w:t>
      </w:r>
      <w:proofErr w:type="spellStart"/>
      <w:r w:rsidRPr="005C215F">
        <w:rPr>
          <w:b/>
        </w:rPr>
        <w:t>межсекторальную</w:t>
      </w:r>
      <w:proofErr w:type="spellEnd"/>
      <w:r w:rsidRPr="005C215F">
        <w:rPr>
          <w:b/>
        </w:rPr>
        <w:t xml:space="preserve"> дискриминацию;</w:t>
      </w:r>
    </w:p>
    <w:p w:rsidR="00A74B45" w:rsidRPr="005C215F" w:rsidRDefault="00A74B45" w:rsidP="00A74B45">
      <w:pPr>
        <w:pStyle w:val="SingleTxtGR"/>
        <w:suppressAutoHyphens/>
        <w:rPr>
          <w:b/>
        </w:rPr>
      </w:pPr>
      <w:r w:rsidRPr="005C215F">
        <w:rPr>
          <w:b/>
        </w:rPr>
        <w:tab/>
      </w:r>
      <w:r w:rsidRPr="005C215F">
        <w:rPr>
          <w:b/>
          <w:bCs/>
        </w:rPr>
        <w:t>d)</w:t>
      </w:r>
      <w:r w:rsidRPr="005C215F">
        <w:rPr>
          <w:b/>
        </w:rPr>
        <w:tab/>
        <w:t>создать эффективный механизм для мониторинга всех аспектов соблюдения антидискриминационного законодательства, включая эффективный доступ инвалидов к средствам правовой защиты и применение мер наказания к лицам, виновным в такой дискриминации.</w:t>
      </w:r>
    </w:p>
    <w:p w:rsidR="00A74B45" w:rsidRPr="00A74B45" w:rsidRDefault="00A74B45" w:rsidP="00A74B45">
      <w:pPr>
        <w:pStyle w:val="H23GR"/>
      </w:pPr>
      <w:r w:rsidRPr="00A74B45">
        <w:tab/>
      </w:r>
      <w:r w:rsidRPr="00A74B45">
        <w:tab/>
      </w:r>
      <w:bookmarkStart w:id="7" w:name="_Toc511641798"/>
      <w:r w:rsidRPr="00A74B45">
        <w:t>Женщины-инвалиды (статья 6)</w:t>
      </w:r>
      <w:bookmarkEnd w:id="7"/>
    </w:p>
    <w:p w:rsidR="00A74B45" w:rsidRPr="00A74B45" w:rsidRDefault="00A74B45" w:rsidP="00A74B45">
      <w:pPr>
        <w:pStyle w:val="SingleTxtGR"/>
        <w:suppressAutoHyphens/>
      </w:pPr>
      <w:r w:rsidRPr="00A74B45">
        <w:t>14.</w:t>
      </w:r>
      <w:r w:rsidRPr="00A74B45">
        <w:tab/>
        <w:t>Комитет обеспокоен тем, что при разработке законодательных и политических мер и планов действий по поддержке женщин и девочек отсутствует прямое</w:t>
      </w:r>
      <w:r>
        <w:t xml:space="preserve"> </w:t>
      </w:r>
      <w:r w:rsidRPr="00A74B45">
        <w:t xml:space="preserve">упоминание о женщинах и девочках, страдающих инвалидностью, и не рассматривается проблема </w:t>
      </w:r>
      <w:proofErr w:type="spellStart"/>
      <w:r w:rsidRPr="00A74B45">
        <w:t>межсекторальной</w:t>
      </w:r>
      <w:proofErr w:type="spellEnd"/>
      <w:r w:rsidRPr="00A74B45">
        <w:t xml:space="preserve"> дискриминации, проявляемой в отношении таких женщин и девочек, в том числе проживающих в сельских районах и на разрозненных дальних островах. Он также озабочен отсутствием данных и исследований по проблемам множественной и </w:t>
      </w:r>
      <w:proofErr w:type="spellStart"/>
      <w:r w:rsidRPr="00A74B45">
        <w:t>межсекторальной</w:t>
      </w:r>
      <w:proofErr w:type="spellEnd"/>
      <w:r w:rsidRPr="00A74B45">
        <w:t xml:space="preserve"> дискриминации в отношении женщин-инвалидов, которые могли бы использоваться при разработке адекватных ответных мер политического характера. Комитет сожалеет об отсутствии </w:t>
      </w:r>
      <w:r w:rsidRPr="00A74B45">
        <w:lastRenderedPageBreak/>
        <w:t xml:space="preserve">каких-либо конкретных мер по повышению осведомленности о положении женщин-инвалидов и по обеспечению их всестороннего развития, улучшению их положения и расширению их прав и возможностей. </w:t>
      </w:r>
    </w:p>
    <w:p w:rsidR="00A74B45" w:rsidRPr="00A74B45" w:rsidRDefault="00A74B45" w:rsidP="00A74B45">
      <w:pPr>
        <w:pStyle w:val="SingleTxtGR"/>
        <w:suppressAutoHyphens/>
        <w:rPr>
          <w:b/>
        </w:rPr>
      </w:pPr>
      <w:r w:rsidRPr="00A74B45">
        <w:t>15.</w:t>
      </w:r>
      <w:r w:rsidRPr="00A74B45">
        <w:tab/>
      </w:r>
      <w:r w:rsidRPr="00A74B45">
        <w:rPr>
          <w:b/>
        </w:rPr>
        <w:t xml:space="preserve">Комитет, ссылаясь на свое замечание общего порядка </w:t>
      </w:r>
      <w:r w:rsidR="00B50E4F">
        <w:rPr>
          <w:b/>
        </w:rPr>
        <w:t>№ </w:t>
      </w:r>
      <w:r w:rsidRPr="00A74B45">
        <w:rPr>
          <w:b/>
        </w:rPr>
        <w:t>3 (2016) о женщинах-инвалидах и девочках-инвалидах и принимая во внимание задачи 5.1, 5.2 и 5.5 Целей в области устойчивого развития, рекомендует государству-участнику: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a)</w:t>
      </w:r>
      <w:r w:rsidRPr="00C53834">
        <w:rPr>
          <w:b/>
        </w:rPr>
        <w:tab/>
        <w:t>оказывать надлежащую поддержку женщинам и девочкам, страдающим инвалидностью, в том числе проживающим в сельских районах и на разрозненных дальних островах, особенно в областях образования, здравоохранения, занятости и участия в политической и общественной жизни;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b)</w:t>
      </w:r>
      <w:r w:rsidRPr="00C53834">
        <w:rPr>
          <w:b/>
        </w:rPr>
        <w:tab/>
        <w:t>включать проблематику женщин и девочек, страдающих инвалидностью, в законодательные и политические акты по борьбе с дискриминацией, касающиеся женщин и девочек;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c)</w:t>
      </w:r>
      <w:r w:rsidRPr="00C53834">
        <w:rPr>
          <w:b/>
        </w:rPr>
        <w:tab/>
        <w:t>систематически собирать данные о женщинах и девочках, страдающих инвалидностью, и ввести показатели, которые можно использовать для оценки воздействия принимаемых мер по противодействию проявляемой в отношении них дискриминации на их участие в социально-экономической и культурной жизни;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d)</w:t>
      </w:r>
      <w:r w:rsidRPr="00C53834">
        <w:rPr>
          <w:b/>
        </w:rPr>
        <w:tab/>
        <w:t>принять конкретные меры по обеспечению всестороннего развития, улучшению положения и расширению прав и возможностей женщин и девочек, страдающих инвалидностью.</w:t>
      </w:r>
    </w:p>
    <w:p w:rsidR="00A74B45" w:rsidRPr="00A74B45" w:rsidRDefault="00A74B45" w:rsidP="00A74B45">
      <w:pPr>
        <w:pStyle w:val="H23GR"/>
      </w:pPr>
      <w:r w:rsidRPr="00A74B45">
        <w:tab/>
      </w:r>
      <w:r w:rsidRPr="00A74B45">
        <w:tab/>
      </w:r>
      <w:bookmarkStart w:id="8" w:name="_Toc511641799"/>
      <w:r w:rsidRPr="00A74B45">
        <w:t>Дети-инвалиды (статья 7)</w:t>
      </w:r>
      <w:bookmarkEnd w:id="8"/>
    </w:p>
    <w:p w:rsidR="00A74B45" w:rsidRPr="00A74B45" w:rsidRDefault="00A74B45" w:rsidP="00A74B45">
      <w:pPr>
        <w:pStyle w:val="SingleTxtGR"/>
        <w:suppressAutoHyphens/>
      </w:pPr>
      <w:r w:rsidRPr="00A74B45">
        <w:t>16.</w:t>
      </w:r>
      <w:r w:rsidRPr="00A74B45">
        <w:tab/>
        <w:t>Комитет с обеспокоенностью отмечает: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a)</w:t>
      </w:r>
      <w:r w:rsidRPr="00A74B45">
        <w:tab/>
        <w:t>задержки пересмотра Закона о детях и других касающихся детей законов и отсутствие запрета на применение телесных наказаний в любых условиях;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b)</w:t>
      </w:r>
      <w:r w:rsidRPr="00A74B45">
        <w:tab/>
        <w:t>тот факт, что дети-инвалиды не имеют равного с другими доступа к базовым услугам, в том числе в сферах</w:t>
      </w:r>
      <w:r>
        <w:t xml:space="preserve"> </w:t>
      </w:r>
      <w:r w:rsidRPr="00A74B45">
        <w:t>образования, медицинского обслуживания и реабилитации;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c)</w:t>
      </w:r>
      <w:r w:rsidRPr="00A74B45">
        <w:tab/>
        <w:t>отсутствие у детей-инвалидов механизмов для свободного выражения своего мнения по затрагивающим их вопросам.</w:t>
      </w:r>
    </w:p>
    <w:p w:rsidR="00A74B45" w:rsidRPr="00A74B45" w:rsidRDefault="00A74B45" w:rsidP="00A74B45">
      <w:pPr>
        <w:pStyle w:val="SingleTxtGR"/>
        <w:suppressAutoHyphens/>
        <w:rPr>
          <w:b/>
        </w:rPr>
      </w:pPr>
      <w:r w:rsidRPr="00A74B45">
        <w:t>17.</w:t>
      </w:r>
      <w:r w:rsidRPr="00A74B45">
        <w:tab/>
      </w:r>
      <w:r w:rsidRPr="00A74B45">
        <w:rPr>
          <w:b/>
        </w:rPr>
        <w:t>Комитет рекомендует государству-участнику: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a)</w:t>
      </w:r>
      <w:r w:rsidRPr="00C53834">
        <w:rPr>
          <w:b/>
        </w:rPr>
        <w:tab/>
        <w:t>ускорить пересмотр Закона о детях и обеспечить учет проблематики инвалидности в соответствии с Конвенцией и запрет на применение телесных наказаний в любых условиях;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  <w:bCs/>
        </w:rPr>
        <w:tab/>
        <w:t>b)</w:t>
      </w:r>
      <w:r w:rsidRPr="00C53834">
        <w:rPr>
          <w:b/>
        </w:rPr>
        <w:tab/>
        <w:t>принимать меры, включая предоставление услуг и финансовых пособий родителям и семьям с детьми-инвалидами, чтобы обеспечивать на практике осуществление детьми-инвалидами наравне с другими своих прав, в</w:t>
      </w:r>
      <w:r w:rsidR="00B50E4F" w:rsidRPr="00C53834">
        <w:rPr>
          <w:b/>
          <w:lang w:val="en-US"/>
        </w:rPr>
        <w:t> </w:t>
      </w:r>
      <w:r w:rsidRPr="00C53834">
        <w:rPr>
          <w:b/>
        </w:rPr>
        <w:t>частности права на доступ к инклюзивному образованию, на медицинское обслуживание и реабилитацию;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c)</w:t>
      </w:r>
      <w:r w:rsidRPr="00C53834">
        <w:rPr>
          <w:b/>
        </w:rPr>
        <w:tab/>
        <w:t>разработать и ввести в действие механизмы для свободного выражения своего мнения по всем затрагивающим их вопросам.</w:t>
      </w:r>
    </w:p>
    <w:p w:rsidR="00A74B45" w:rsidRPr="00A74B45" w:rsidRDefault="00A74B45" w:rsidP="00A74B45">
      <w:pPr>
        <w:pStyle w:val="H23GR"/>
      </w:pPr>
      <w:r w:rsidRPr="00A74B45">
        <w:tab/>
      </w:r>
      <w:r w:rsidRPr="00A74B45">
        <w:tab/>
      </w:r>
      <w:bookmarkStart w:id="9" w:name="_Toc511641800"/>
      <w:r w:rsidRPr="00A74B45">
        <w:t>Просветительно-воспитательная работа (статья 8)</w:t>
      </w:r>
      <w:bookmarkEnd w:id="9"/>
    </w:p>
    <w:p w:rsidR="00A74B45" w:rsidRPr="00A74B45" w:rsidRDefault="00A74B45" w:rsidP="00A74B45">
      <w:pPr>
        <w:pStyle w:val="SingleTxtGR"/>
        <w:suppressAutoHyphens/>
      </w:pPr>
      <w:r w:rsidRPr="00A74B45">
        <w:t>18.</w:t>
      </w:r>
      <w:r w:rsidRPr="00A74B45">
        <w:tab/>
        <w:t>Комитет обеспокоен: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a)</w:t>
      </w:r>
      <w:r w:rsidRPr="00A74B45">
        <w:tab/>
        <w:t>отсутствием последовательной национальной политики и стратегии преодоления поведенческих барьеров и стереотипов в отношении инвалидов, в том числе среди родителей и расширенных семей, работодателей, поставщиков услуг и общины в целом;</w:t>
      </w:r>
    </w:p>
    <w:p w:rsidR="00A74B45" w:rsidRPr="00A74B45" w:rsidRDefault="00A74B45" w:rsidP="00A74B45">
      <w:pPr>
        <w:pStyle w:val="SingleTxtGR"/>
        <w:suppressAutoHyphens/>
      </w:pPr>
      <w:r w:rsidRPr="00A74B45">
        <w:lastRenderedPageBreak/>
        <w:tab/>
        <w:t>b)</w:t>
      </w:r>
      <w:r w:rsidRPr="00A74B45">
        <w:tab/>
        <w:t>нехваткой ресурсов, в том числе финансовых средств, направляемых на ведение информационно-просветительских кампаний по поощрению прав инвалидов с помощью доступных средств, способов и форм общения;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c)</w:t>
      </w:r>
      <w:r w:rsidRPr="00A74B45">
        <w:tab/>
        <w:t>недостаточным взаимодействием со средствами массовой информации – как государственными, так и частными, и с социальными сетями в деле повышения осведомленности и популяризации позитивного образа инвалидов и их ценного вклада в жизнь общества.</w:t>
      </w:r>
    </w:p>
    <w:p w:rsidR="00A74B45" w:rsidRPr="00A74B45" w:rsidRDefault="00A74B45" w:rsidP="00A74B45">
      <w:pPr>
        <w:pStyle w:val="SingleTxtGR"/>
        <w:suppressAutoHyphens/>
        <w:rPr>
          <w:b/>
        </w:rPr>
      </w:pPr>
      <w:r w:rsidRPr="00A74B45">
        <w:t>19.</w:t>
      </w:r>
      <w:r w:rsidRPr="00A74B45">
        <w:tab/>
      </w:r>
      <w:r w:rsidRPr="00A74B45">
        <w:rPr>
          <w:b/>
        </w:rPr>
        <w:t>Комитет рекомендует государству-участнику: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a)</w:t>
      </w:r>
      <w:r w:rsidRPr="00C53834">
        <w:rPr>
          <w:b/>
        </w:rPr>
        <w:tab/>
        <w:t>принять и осуществлять в консультации с представительными организациями инвалидов последовательную национальную политику и стратегию просветительно-воспитательной работы, включая проведение кампаний по поощрению прав инвалидов в целях изменения отношения к инвалидности и формирования культуры уважения разнообразия, а также участия и вовлеченности всех инвалидов в жизнь общества;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b)</w:t>
      </w:r>
      <w:r w:rsidRPr="00C53834">
        <w:rPr>
          <w:b/>
        </w:rPr>
        <w:tab/>
        <w:t>выделять достаточные людские, технические и финансовые ресурсы на повышение осведомленности о правозащитной модели инвалидности и о положениях Конвенции;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c)</w:t>
      </w:r>
      <w:r w:rsidRPr="00C53834">
        <w:rPr>
          <w:b/>
        </w:rPr>
        <w:tab/>
        <w:t>привлекать средства массовой информации и социальные сети к участию в просветительно-воспитательной работе.</w:t>
      </w:r>
    </w:p>
    <w:p w:rsidR="00A74B45" w:rsidRPr="00A74B45" w:rsidRDefault="00A74B45" w:rsidP="00A74B45">
      <w:pPr>
        <w:pStyle w:val="H23GR"/>
      </w:pPr>
      <w:r w:rsidRPr="00A74B45">
        <w:tab/>
      </w:r>
      <w:r w:rsidRPr="00A74B45">
        <w:tab/>
      </w:r>
      <w:bookmarkStart w:id="10" w:name="_Toc511641801"/>
      <w:r w:rsidRPr="00A74B45">
        <w:t>Доступность (статья 9)</w:t>
      </w:r>
      <w:bookmarkEnd w:id="10"/>
    </w:p>
    <w:p w:rsidR="00A74B45" w:rsidRPr="00A74B45" w:rsidRDefault="00A74B45" w:rsidP="00A74B45">
      <w:pPr>
        <w:pStyle w:val="SingleTxtGR"/>
        <w:suppressAutoHyphens/>
      </w:pPr>
      <w:r w:rsidRPr="00A74B45">
        <w:t>20.</w:t>
      </w:r>
      <w:r w:rsidRPr="00A74B45">
        <w:tab/>
        <w:t>Комитет озабочен неоправданной задержкой пересмотра законодательства, в том числе Закона о планировании городских и сельских районов, с целью повышения доступности зданий, транспорта и информационно-коммуникационных технологий. Он с обеспокоенностью отмечает: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a)</w:t>
      </w:r>
      <w:r w:rsidRPr="00A74B45">
        <w:tab/>
        <w:t>отсутствие стратегического плана по внедрению стандартов доступности;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b)</w:t>
      </w:r>
      <w:r w:rsidRPr="00A74B45">
        <w:tab/>
        <w:t>недостаточный уровень участия представительных организаций инвалидов в проведении мониторинга и оценки пригодности доступных объектов и услуг;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c)</w:t>
      </w:r>
      <w:r w:rsidRPr="00A74B45">
        <w:tab/>
        <w:t>отсутствие механизма мониторинга для оценки соответствия стандартам доступности согласно положениям Конвенции.</w:t>
      </w:r>
    </w:p>
    <w:p w:rsidR="00A74B45" w:rsidRPr="00A74B45" w:rsidRDefault="00A74B45" w:rsidP="00A74B45">
      <w:pPr>
        <w:pStyle w:val="SingleTxtGR"/>
        <w:suppressAutoHyphens/>
      </w:pPr>
      <w:r w:rsidRPr="00A74B45">
        <w:t>21.</w:t>
      </w:r>
      <w:r w:rsidRPr="00A74B45">
        <w:tab/>
      </w:r>
      <w:r w:rsidRPr="00A74B45">
        <w:rPr>
          <w:b/>
        </w:rPr>
        <w:t xml:space="preserve">Комитет, ссылаясь на свое замечание общего порядка </w:t>
      </w:r>
      <w:r w:rsidR="00B50E4F">
        <w:rPr>
          <w:b/>
        </w:rPr>
        <w:t>№ </w:t>
      </w:r>
      <w:r w:rsidRPr="00A74B45">
        <w:rPr>
          <w:b/>
          <w:bCs/>
        </w:rPr>
        <w:t>2 (2014) о доступности, рекомендует государству-участнику обратить внимание на взаимосвязь между статьей 9 Конвенции и целью 9 и задачами 11.2 и 11.7 Целей в области устойчивого развития,</w:t>
      </w:r>
      <w:r w:rsidRPr="00A74B45">
        <w:rPr>
          <w:b/>
        </w:rPr>
        <w:t xml:space="preserve"> a также: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a)</w:t>
      </w:r>
      <w:r w:rsidRPr="00C53834">
        <w:rPr>
          <w:b/>
        </w:rPr>
        <w:tab/>
        <w:t>ускорить пересмотр соответствующих законов, в том числе Закона о планировании городских и сельских районов, чтобы обеспечить соответствие законодательства обязательствам государства-участника по Конвенции;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b)</w:t>
      </w:r>
      <w:r w:rsidRPr="00C53834">
        <w:rPr>
          <w:b/>
        </w:rPr>
        <w:tab/>
        <w:t>принять в тесной консультации с представительными организациями инвалидов всеобъемлющий национальный план действий по обеспечению доступности, предусматривающий сроки, индикаторы и контрольные показатели мониторинга и оценки, в целях эффективного применения стандартов доступности зданий, транспорта и информационно-коммуникационных технологий, а также мер наказания за их несоблюдение;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  <w:bCs/>
        </w:rPr>
        <w:tab/>
        <w:t>c)</w:t>
      </w:r>
      <w:r w:rsidRPr="00C53834">
        <w:rPr>
          <w:b/>
        </w:rPr>
        <w:tab/>
        <w:t>создать механизм мониторинга и обеспечения осуществления статьи</w:t>
      </w:r>
      <w:r w:rsidRPr="00C53834">
        <w:rPr>
          <w:b/>
          <w:lang w:val="en-US"/>
        </w:rPr>
        <w:t> </w:t>
      </w:r>
      <w:r w:rsidRPr="00C53834">
        <w:rPr>
          <w:b/>
        </w:rPr>
        <w:t>9 Конвенции.</w:t>
      </w:r>
    </w:p>
    <w:p w:rsidR="00A74B45" w:rsidRPr="00A74B45" w:rsidRDefault="00A74B45" w:rsidP="00A74B45">
      <w:pPr>
        <w:pStyle w:val="H23GR"/>
      </w:pPr>
      <w:r w:rsidRPr="00A74B45">
        <w:tab/>
      </w:r>
      <w:r w:rsidRPr="00A74B45">
        <w:tab/>
      </w:r>
      <w:bookmarkStart w:id="11" w:name="_Toc511641802"/>
      <w:r w:rsidRPr="00A74B45">
        <w:t>Ситуации риска и чрезвычайные гуманитарные ситуации (статья 11)</w:t>
      </w:r>
      <w:bookmarkEnd w:id="11"/>
    </w:p>
    <w:p w:rsidR="00A74B45" w:rsidRPr="00A74B45" w:rsidRDefault="00A74B45" w:rsidP="00A74B45">
      <w:pPr>
        <w:pStyle w:val="SingleTxtGR"/>
        <w:suppressAutoHyphens/>
      </w:pPr>
      <w:r w:rsidRPr="00A74B45">
        <w:t>22.</w:t>
      </w:r>
      <w:r w:rsidRPr="00A74B45">
        <w:tab/>
        <w:t xml:space="preserve">Комитет сожалеет, что проблематика инвалидов не включена в Закон о борьбе со стихийными бедствиями (2014 года) и что инвалиды не участвуют через свои представительные организации в разработке и осуществлении законов, стратегий и </w:t>
      </w:r>
      <w:r w:rsidRPr="00A74B45">
        <w:lastRenderedPageBreak/>
        <w:t>планов, касающихся изменения климата и ситуаций риска. Он также с озабоченностью отмечает информацию о том, что информация о снижении риска бедствий и обеспечении готовности к чрезвычайным ситуациям доступна не для всех инвалидов.</w:t>
      </w:r>
    </w:p>
    <w:p w:rsidR="00A74B45" w:rsidRPr="00A74B45" w:rsidRDefault="00A74B45" w:rsidP="00A74B45">
      <w:pPr>
        <w:pStyle w:val="SingleTxtGR"/>
        <w:suppressAutoHyphens/>
      </w:pPr>
      <w:r w:rsidRPr="00A74B45">
        <w:t>23.</w:t>
      </w:r>
      <w:r w:rsidRPr="00A74B45">
        <w:tab/>
      </w:r>
      <w:r w:rsidRPr="00A74B45">
        <w:rPr>
          <w:b/>
        </w:rPr>
        <w:t>Комитет рекомендует государству-участнику продолжать принятие мер по включению правозащитного подхода к инвалидности в Закон о борьбе со стихийными бедствиями (2014 года). Он также рекомендует государству-участнику, в частности через Отдел по управлению рисками и борьбе со стихийными бедствиями, проводить тесные консультации с организациями инвалидов, чтобы требования инвалидов учитывались при подготовке и реализации всех планов действий по уменьшению опасности и ликвидации последствий стихийных бедствий и по адаптации к изменению климата,</w:t>
      </w:r>
      <w:r w:rsidRPr="00A74B45">
        <w:rPr>
          <w:b/>
          <w:bCs/>
        </w:rPr>
        <w:t xml:space="preserve"> обеспечивая единый контактный центр при возникновении чрезвычайных ситуаций и стихийных бедствий в соответствии с </w:t>
      </w:r>
      <w:proofErr w:type="spellStart"/>
      <w:r w:rsidRPr="00A74B45">
        <w:rPr>
          <w:b/>
          <w:bCs/>
        </w:rPr>
        <w:t>Сендайской</w:t>
      </w:r>
      <w:proofErr w:type="spellEnd"/>
      <w:r w:rsidRPr="00A74B45">
        <w:rPr>
          <w:b/>
          <w:bCs/>
        </w:rPr>
        <w:t xml:space="preserve"> рамочной программой по снижению риска бедствий на 2015−2030 годы</w:t>
      </w:r>
      <w:r w:rsidRPr="00A74B45">
        <w:rPr>
          <w:b/>
        </w:rPr>
        <w:t>.</w:t>
      </w:r>
    </w:p>
    <w:p w:rsidR="00A74B45" w:rsidRPr="00A74B45" w:rsidRDefault="00A74B45" w:rsidP="00A74B45">
      <w:pPr>
        <w:pStyle w:val="H23GR"/>
      </w:pPr>
      <w:r w:rsidRPr="00A74B45">
        <w:tab/>
      </w:r>
      <w:r w:rsidRPr="00A74B45">
        <w:tab/>
      </w:r>
      <w:bookmarkStart w:id="12" w:name="_Toc511641803"/>
      <w:r w:rsidRPr="00A74B45">
        <w:t>Равенство перед законом (статья 12)</w:t>
      </w:r>
      <w:bookmarkEnd w:id="12"/>
    </w:p>
    <w:p w:rsidR="00A74B45" w:rsidRPr="00A74B45" w:rsidRDefault="00A74B45" w:rsidP="00A74B45">
      <w:pPr>
        <w:pStyle w:val="SingleTxtGR"/>
        <w:suppressAutoHyphens/>
        <w:rPr>
          <w:b/>
        </w:rPr>
      </w:pPr>
      <w:r w:rsidRPr="00A74B45">
        <w:t>24.</w:t>
      </w:r>
      <w:r w:rsidRPr="00A74B45">
        <w:tab/>
        <w:t>Комитет выражает озабоченность по поводу сохраняющихся дискриминационных правовых положений, законопроектов и видов практики, которые ограничивают права инвалидов, в том числе касающихся заключения контрактов, голосования, вступления в брак и наследования имущества. Он также обеспокоен тем, что поправки к Гражданскому кодексу, предложенные в «белой книге» Министерства по правовым вопросам относительно вступления в брак (статья</w:t>
      </w:r>
      <w:r w:rsidR="00B50E4F">
        <w:t> </w:t>
      </w:r>
      <w:r w:rsidRPr="00A74B45">
        <w:t>238, пункт f</w:t>
      </w:r>
      <w:r w:rsidR="00B50E4F">
        <w:t>)</w:t>
      </w:r>
      <w:r w:rsidRPr="00A74B45">
        <w:t>), правоспособности наследовать имущество (статья 725, пункт 1</w:t>
      </w:r>
      <w:r w:rsidR="00B50E4F">
        <w:t>)</w:t>
      </w:r>
      <w:r w:rsidRPr="00A74B45">
        <w:t xml:space="preserve">) и правоспособности заключать контракт (статья 1123), в противоположность Конвенции предусматривают для инвалидов </w:t>
      </w:r>
      <w:proofErr w:type="spellStart"/>
      <w:r w:rsidRPr="00A74B45">
        <w:t>субститутивную</w:t>
      </w:r>
      <w:proofErr w:type="spellEnd"/>
      <w:r w:rsidRPr="00A74B45">
        <w:t xml:space="preserve"> модель принятия решений.</w:t>
      </w:r>
    </w:p>
    <w:p w:rsidR="00A74B45" w:rsidRPr="00A74B45" w:rsidRDefault="00A74B45" w:rsidP="00A74B45">
      <w:pPr>
        <w:pStyle w:val="SingleTxtGR"/>
        <w:suppressAutoHyphens/>
        <w:rPr>
          <w:b/>
        </w:rPr>
      </w:pPr>
      <w:r w:rsidRPr="00A74B45">
        <w:t>25.</w:t>
      </w:r>
      <w:r w:rsidRPr="00A74B45">
        <w:tab/>
      </w:r>
      <w:r w:rsidRPr="00A74B45">
        <w:rPr>
          <w:b/>
        </w:rPr>
        <w:t xml:space="preserve">Ссылаясь на пункт 2 статьи </w:t>
      </w:r>
      <w:r w:rsidRPr="00A74B45">
        <w:rPr>
          <w:b/>
          <w:bCs/>
        </w:rPr>
        <w:t xml:space="preserve">12 Конвенции и на свое замечание общего порядка </w:t>
      </w:r>
      <w:r w:rsidR="00B50E4F">
        <w:rPr>
          <w:b/>
          <w:bCs/>
        </w:rPr>
        <w:t>№ </w:t>
      </w:r>
      <w:r w:rsidRPr="00A74B45">
        <w:rPr>
          <w:b/>
          <w:bCs/>
        </w:rPr>
        <w:t xml:space="preserve">1 (2014) о равенстве перед законом, Комитет рекомендует государству-участнику принять меры правового и иного характера, необходимые для отмены и исправления ограничений права инвалидов на равенство перед законом, включая те, которые предусмотрены в положениях законопроекта о Гражданском кодексе 2017 года, касающихся </w:t>
      </w:r>
      <w:proofErr w:type="spellStart"/>
      <w:r w:rsidRPr="00A74B45">
        <w:rPr>
          <w:b/>
        </w:rPr>
        <w:t>субститутивной</w:t>
      </w:r>
      <w:proofErr w:type="spellEnd"/>
      <w:r w:rsidRPr="00A74B45">
        <w:rPr>
          <w:b/>
        </w:rPr>
        <w:t xml:space="preserve"> модели принятия решений. Он также </w:t>
      </w:r>
      <w:r w:rsidRPr="00A74B45">
        <w:rPr>
          <w:b/>
          <w:bCs/>
        </w:rPr>
        <w:t xml:space="preserve">рекомендует государству-участнику обеспечить инвалидам правоспособность наравне с другими и заменить </w:t>
      </w:r>
      <w:proofErr w:type="spellStart"/>
      <w:r w:rsidRPr="00A74B45">
        <w:rPr>
          <w:b/>
          <w:bCs/>
        </w:rPr>
        <w:t>субститутивную</w:t>
      </w:r>
      <w:proofErr w:type="spellEnd"/>
      <w:r w:rsidRPr="00A74B45">
        <w:rPr>
          <w:b/>
          <w:bCs/>
        </w:rPr>
        <w:t xml:space="preserve"> модель принятия решений </w:t>
      </w:r>
      <w:proofErr w:type="spellStart"/>
      <w:r w:rsidRPr="00A74B45">
        <w:rPr>
          <w:b/>
          <w:bCs/>
        </w:rPr>
        <w:t>суппортивной</w:t>
      </w:r>
      <w:proofErr w:type="spellEnd"/>
      <w:r w:rsidRPr="00A74B45">
        <w:rPr>
          <w:b/>
          <w:bCs/>
        </w:rPr>
        <w:t xml:space="preserve"> моделью, в рамках которой уважаются самостоятельность, волеизъявление и предпочтения соответствующего лица.</w:t>
      </w:r>
    </w:p>
    <w:p w:rsidR="00A74B45" w:rsidRPr="00A74B45" w:rsidRDefault="00A74B45" w:rsidP="00A74B45">
      <w:pPr>
        <w:pStyle w:val="H23GR"/>
      </w:pPr>
      <w:r w:rsidRPr="00A74B45">
        <w:tab/>
      </w:r>
      <w:r w:rsidRPr="00A74B45">
        <w:tab/>
      </w:r>
      <w:bookmarkStart w:id="13" w:name="_Toc511641804"/>
      <w:r w:rsidRPr="00A74B45">
        <w:t>Доступ к правосудию (статья 13)</w:t>
      </w:r>
      <w:bookmarkEnd w:id="13"/>
      <w:r w:rsidRPr="00A74B45">
        <w:t xml:space="preserve"> </w:t>
      </w:r>
    </w:p>
    <w:p w:rsidR="00A74B45" w:rsidRPr="00A74B45" w:rsidRDefault="00A74B45" w:rsidP="00A74B45">
      <w:pPr>
        <w:pStyle w:val="SingleTxtGR"/>
        <w:suppressAutoHyphens/>
      </w:pPr>
      <w:r w:rsidRPr="00A74B45">
        <w:t>26.</w:t>
      </w:r>
      <w:r w:rsidRPr="00A74B45">
        <w:tab/>
        <w:t>Комитет с обеспокоенностью отмечает: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a)</w:t>
      </w:r>
      <w:r w:rsidRPr="00A74B45">
        <w:tab/>
        <w:t>препятствия для полноценного и эффективного участия инвалидов в системе правосудия, в частности статью 281 a) Уголовно-процессуального кодекса, которая ограничивает участие в уголовных процессах для присяжных с предполагаемой или фактической инвалидностью;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b)</w:t>
      </w:r>
      <w:r w:rsidRPr="00A74B45">
        <w:tab/>
        <w:t>трудности, с которыми сталкиваются инвалиды при доступе к правосудию, такими как ненадлежащий характер правовой помощи, сурдоперевода и приспособления судебных процедур;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c)</w:t>
      </w:r>
      <w:r w:rsidRPr="00A74B45">
        <w:tab/>
        <w:t>низкий уровень осведомленности работников судебной системы и нехватку квалифицированного персонала, ознакомленного с правами инвалидов.</w:t>
      </w:r>
    </w:p>
    <w:p w:rsidR="00A74B45" w:rsidRPr="00A74B45" w:rsidRDefault="00A74B45" w:rsidP="00A74B45">
      <w:pPr>
        <w:pStyle w:val="SingleTxtGR"/>
        <w:suppressAutoHyphens/>
        <w:rPr>
          <w:b/>
        </w:rPr>
      </w:pPr>
      <w:r w:rsidRPr="00A74B45">
        <w:t>27.</w:t>
      </w:r>
      <w:r w:rsidRPr="00A74B45">
        <w:tab/>
      </w:r>
      <w:r w:rsidRPr="00A74B45">
        <w:rPr>
          <w:b/>
          <w:bCs/>
        </w:rPr>
        <w:t>Обращая внимание на статью 13 Конвенции при выполнении задачи 16.3 Целей в области устойчивого развития,</w:t>
      </w:r>
      <w:r w:rsidRPr="00A74B45">
        <w:rPr>
          <w:b/>
        </w:rPr>
        <w:t xml:space="preserve"> Комитет рекомендует государству-участнику:</w:t>
      </w:r>
    </w:p>
    <w:p w:rsidR="00A74B45" w:rsidRPr="00A74B45" w:rsidRDefault="00A74B45" w:rsidP="00A74B45">
      <w:pPr>
        <w:pStyle w:val="SingleTxtGR"/>
        <w:suppressAutoHyphens/>
        <w:rPr>
          <w:b/>
        </w:rPr>
      </w:pPr>
      <w:r w:rsidRPr="00A74B45">
        <w:rPr>
          <w:bCs/>
        </w:rPr>
        <w:tab/>
      </w:r>
      <w:r w:rsidRPr="00C53834">
        <w:rPr>
          <w:b/>
          <w:bCs/>
        </w:rPr>
        <w:t>a)</w:t>
      </w:r>
      <w:r w:rsidRPr="00A74B45">
        <w:rPr>
          <w:b/>
        </w:rPr>
        <w:tab/>
        <w:t xml:space="preserve">отменить статью </w:t>
      </w:r>
      <w:proofErr w:type="gramStart"/>
      <w:r w:rsidRPr="00A74B45">
        <w:rPr>
          <w:b/>
        </w:rPr>
        <w:t>281</w:t>
      </w:r>
      <w:proofErr w:type="gramEnd"/>
      <w:r w:rsidRPr="00A74B45">
        <w:rPr>
          <w:b/>
        </w:rPr>
        <w:t xml:space="preserve"> а) Уголовно-процессуального кодекса, чтобы дать инвалидам возможность принимать эффективное участие в системе правосудия в качестве присяжных;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lastRenderedPageBreak/>
        <w:tab/>
      </w:r>
      <w:r w:rsidRPr="00C53834">
        <w:rPr>
          <w:b/>
          <w:bCs/>
        </w:rPr>
        <w:t>b)</w:t>
      </w:r>
      <w:r w:rsidRPr="00C53834">
        <w:rPr>
          <w:b/>
        </w:rPr>
        <w:tab/>
        <w:t>обеспечить инвалидам на основе равенства с другими эффективный доступ к правосудию, в частности путем оказания бесплатной правовой помощи и приспособления судебных процедур, в том числе с помощью легко читаемого формата, профессионального сурдоперевода и азбуки Брайля, и ввести соответствующие гарантии, позволяющие инвалидам наравне с другими участвовать во всех судебных процедурах;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c)</w:t>
      </w:r>
      <w:r w:rsidRPr="00C53834">
        <w:rPr>
          <w:b/>
        </w:rPr>
        <w:tab/>
        <w:t>повышать уровень осведомленности о положениях Конвенции и ее понимания среди судейского корпуса, адвокатов и сотрудников правоохранительных органов.</w:t>
      </w:r>
    </w:p>
    <w:p w:rsidR="00A74B45" w:rsidRPr="00A74B45" w:rsidRDefault="00A74B45" w:rsidP="00A74B45">
      <w:pPr>
        <w:pStyle w:val="H23GR"/>
      </w:pPr>
      <w:r w:rsidRPr="00A74B45">
        <w:tab/>
      </w:r>
      <w:r w:rsidRPr="00A74B45">
        <w:tab/>
      </w:r>
      <w:bookmarkStart w:id="14" w:name="_Toc511641805"/>
      <w:r w:rsidRPr="00A74B45">
        <w:t>Свобода и личная неприкосновенность (статья 14)</w:t>
      </w:r>
      <w:bookmarkEnd w:id="14"/>
    </w:p>
    <w:p w:rsidR="00A74B45" w:rsidRPr="00A74B45" w:rsidRDefault="00A74B45" w:rsidP="00A74B45">
      <w:pPr>
        <w:pStyle w:val="SingleTxtGR"/>
        <w:suppressAutoHyphens/>
      </w:pPr>
      <w:r w:rsidRPr="00A74B45">
        <w:t>28.</w:t>
      </w:r>
      <w:r w:rsidRPr="00A74B45">
        <w:tab/>
        <w:t>Комитет озабочен тем, что в соответствии с положениями гражданского и уголовного законодательства, в том числе Гражданского кодекса (статья 510, пункт 2) и Закона о психическом здоровье (2006 года), разрешены принудительная госпитализация и институционализация инвалидов, в том числе детей, на основании их реального или предполагаемого расстройства.</w:t>
      </w:r>
    </w:p>
    <w:p w:rsidR="00A74B45" w:rsidRPr="00A74B45" w:rsidRDefault="00A74B45" w:rsidP="00A74B45">
      <w:pPr>
        <w:pStyle w:val="SingleTxtGR"/>
        <w:suppressAutoHyphens/>
        <w:rPr>
          <w:b/>
        </w:rPr>
      </w:pPr>
      <w:r w:rsidRPr="00A74B45">
        <w:t>29.</w:t>
      </w:r>
      <w:r w:rsidRPr="00A74B45">
        <w:tab/>
      </w:r>
      <w:r w:rsidRPr="00A74B45">
        <w:rPr>
          <w:b/>
        </w:rPr>
        <w:t xml:space="preserve">Ссылаясь на свои руководящие принципы относительно права инвалидов на свободу и личную неприкосновенность </w:t>
      </w:r>
      <w:r w:rsidRPr="00A74B45">
        <w:rPr>
          <w:b/>
          <w:bCs/>
        </w:rPr>
        <w:t xml:space="preserve">(см. </w:t>
      </w:r>
      <w:r w:rsidRPr="00A74B45">
        <w:rPr>
          <w:b/>
        </w:rPr>
        <w:t>A/72/55, приложение I)</w:t>
      </w:r>
      <w:r w:rsidRPr="00A74B45">
        <w:rPr>
          <w:b/>
          <w:bCs/>
        </w:rPr>
        <w:t>, Комитет рекомендует государству-участнику ускорить пересмотр всего соответствующего законодательства в целях</w:t>
      </w:r>
      <w:r w:rsidRPr="00A74B45">
        <w:rPr>
          <w:b/>
        </w:rPr>
        <w:t>: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a)</w:t>
      </w:r>
      <w:r w:rsidRPr="00C53834">
        <w:rPr>
          <w:b/>
        </w:rPr>
        <w:tab/>
        <w:t>отмены всех соответствующих положений Закона о психическом здоровье (2006 года), закрепляющих госпитализацию или институционализацию инвалидов, и расширения доступности общинных служб психического здоровья;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b)</w:t>
      </w:r>
      <w:r w:rsidRPr="00C53834">
        <w:rPr>
          <w:b/>
        </w:rPr>
        <w:tab/>
        <w:t>отмены положения Гражданского кодекса, которое непосредственно лишает инвалидов их свободы вследствие принудительного помещения в психиатрические учреждения.</w:t>
      </w:r>
    </w:p>
    <w:p w:rsidR="00A74B45" w:rsidRPr="00A74B45" w:rsidRDefault="00A74B45" w:rsidP="00A74B45">
      <w:pPr>
        <w:pStyle w:val="SingleTxtGR"/>
        <w:suppressAutoHyphens/>
        <w:rPr>
          <w:b/>
        </w:rPr>
      </w:pPr>
      <w:r w:rsidRPr="00A74B45">
        <w:t>30.</w:t>
      </w:r>
      <w:r w:rsidRPr="00A74B45">
        <w:tab/>
      </w:r>
      <w:r w:rsidRPr="00A74B45">
        <w:rPr>
          <w:b/>
        </w:rPr>
        <w:t>Комитет</w:t>
      </w:r>
      <w:r w:rsidRPr="00A74B45" w:rsidDel="007C4250">
        <w:rPr>
          <w:b/>
        </w:rPr>
        <w:t xml:space="preserve"> </w:t>
      </w:r>
      <w:r w:rsidRPr="00A74B45">
        <w:rPr>
          <w:b/>
        </w:rPr>
        <w:t xml:space="preserve">тем временем </w:t>
      </w:r>
      <w:r w:rsidRPr="00A74B45">
        <w:rPr>
          <w:b/>
          <w:bCs/>
        </w:rPr>
        <w:t xml:space="preserve">рекомендует государству-участнику принять меры к тому, чтобы инвалиды, лишенные свободы </w:t>
      </w:r>
      <w:r w:rsidRPr="00A74B45">
        <w:rPr>
          <w:b/>
        </w:rPr>
        <w:t>на основании их реального или предполагаемого расстройства, имели доступ к суду для обжалования подобных действий.</w:t>
      </w:r>
    </w:p>
    <w:p w:rsidR="00A74B45" w:rsidRPr="00A74B45" w:rsidRDefault="00A74B45" w:rsidP="00A74B45">
      <w:pPr>
        <w:pStyle w:val="H23GR"/>
      </w:pPr>
      <w:r w:rsidRPr="00A74B45">
        <w:tab/>
      </w:r>
      <w:r w:rsidRPr="00A74B45">
        <w:tab/>
      </w:r>
      <w:bookmarkStart w:id="15" w:name="_Toc511641806"/>
      <w:r w:rsidRPr="00A74B45">
        <w:t>Свобода от эксплуатации, насилия и надругательства (статья 16)</w:t>
      </w:r>
      <w:bookmarkEnd w:id="15"/>
    </w:p>
    <w:p w:rsidR="00A74B45" w:rsidRPr="00A74B45" w:rsidRDefault="00A74B45" w:rsidP="00A74B45">
      <w:pPr>
        <w:pStyle w:val="SingleTxtGR"/>
        <w:suppressAutoHyphens/>
      </w:pPr>
      <w:r w:rsidRPr="00A74B45">
        <w:t>31.</w:t>
      </w:r>
      <w:r w:rsidRPr="00A74B45">
        <w:tab/>
        <w:t xml:space="preserve">Комитет с удовлетворением отмечает деятельность гражданского общества, направленную на защиту групп населения, которым грозит насилие, таких как инвалиды, но выражает сожаление в связи с отсутствием соответствующей политики или программы. Комитет серьезно обеспокоен: 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a)</w:t>
      </w:r>
      <w:r w:rsidRPr="00A74B45">
        <w:tab/>
        <w:t>насилием в отношении женщин и детей, страдающих инвалидностью;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b)</w:t>
      </w:r>
      <w:r w:rsidRPr="00A74B45">
        <w:tab/>
        <w:t>отсутствием непосредственного включения проблематики инвалидов во все мероприятия по борьбе с гендерным и домашним насилием;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c)</w:t>
      </w:r>
      <w:r w:rsidRPr="00A74B45">
        <w:tab/>
        <w:t>недостаточным уровнем учебных программ по повышению осведомленности и укреплению потенциала соответствующих сотрудников в области предупреждения насилия и надругательства в отношении инвалидов;</w:t>
      </w:r>
      <w:r>
        <w:t xml:space="preserve"> 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d)</w:t>
      </w:r>
      <w:r w:rsidRPr="00A74B45">
        <w:tab/>
        <w:t>нехваткой доступных приютов и служб по оказанию помощи инвалидам, являющимся жертвами насилия, особенно женщинам и детям, страдающим инвалидностью;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e)</w:t>
      </w:r>
      <w:r w:rsidRPr="00A74B45">
        <w:tab/>
        <w:t>отсутствием учебных программ для инвалидов, направленных на повышение их осведомленности о своих правах и о том, куда нужно обращаться за помощью.</w:t>
      </w:r>
    </w:p>
    <w:p w:rsidR="00A74B45" w:rsidRPr="00A74B45" w:rsidRDefault="00A74B45" w:rsidP="00A74B45">
      <w:pPr>
        <w:pStyle w:val="SingleTxtGR"/>
        <w:suppressAutoHyphens/>
        <w:rPr>
          <w:b/>
        </w:rPr>
      </w:pPr>
      <w:r w:rsidRPr="00A74B45">
        <w:t>32.</w:t>
      </w:r>
      <w:r w:rsidRPr="00A74B45">
        <w:tab/>
      </w:r>
      <w:r w:rsidRPr="00A74B45">
        <w:rPr>
          <w:b/>
        </w:rPr>
        <w:t>Комитет рекомендует государству-участнику обеспечивать включение</w:t>
      </w:r>
      <w:r>
        <w:rPr>
          <w:b/>
        </w:rPr>
        <w:t xml:space="preserve"> </w:t>
      </w:r>
      <w:r w:rsidRPr="00A74B45">
        <w:rPr>
          <w:b/>
        </w:rPr>
        <w:t>проблематики инвалидности во все мероприятия по борьбе с гендерным и домашним насилием. Он рекомендует государству-участнику: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lastRenderedPageBreak/>
        <w:tab/>
      </w:r>
      <w:r w:rsidRPr="00C53834">
        <w:rPr>
          <w:b/>
          <w:bCs/>
        </w:rPr>
        <w:t>a)</w:t>
      </w:r>
      <w:r w:rsidRPr="00C53834">
        <w:rPr>
          <w:b/>
        </w:rPr>
        <w:tab/>
        <w:t>ввести в действие законодательство, политику и стратегию в области защиты инвалидов, особенно женщин и девочек, от эксплуатации, насилия и надругательства и обеспечить механизмы восстановления прав и выплаты компенсации;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b)</w:t>
      </w:r>
      <w:r w:rsidRPr="00C53834">
        <w:rPr>
          <w:b/>
        </w:rPr>
        <w:tab/>
        <w:t>непосредственно включать проблематику инвалидности во все мероприятия по борьбе с гендерным и домашним насилием;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c)</w:t>
      </w:r>
      <w:r w:rsidRPr="00C53834">
        <w:rPr>
          <w:b/>
        </w:rPr>
        <w:tab/>
        <w:t>обеспечить систематическое проведение для сотрудников полиции, для судебных, социальных, медицинских работников и других специалистов учебных программ по ознакомлению с правами инвалидов и вопросам выявления и сообщения случаев применения насилия к инвалидам;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d)</w:t>
      </w:r>
      <w:r w:rsidRPr="00C53834">
        <w:rPr>
          <w:b/>
        </w:rPr>
        <w:tab/>
        <w:t>обеспечить надлежащее выделение ресурсов для служб по оказанию помощи и восстановлению прав инвалидов, включая доступные приюты, вспомогательные услуги и «горячие линии» в распоряжении инвалидов, особенно женщин и детей, подверженных риску насилия;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e)</w:t>
      </w:r>
      <w:r w:rsidRPr="00C53834">
        <w:rPr>
          <w:b/>
        </w:rPr>
        <w:tab/>
        <w:t>принимать меры к тому, чтобы инвалиды были осведомлены об их праве на свободу от эксплуатации, насилия и надругательства и о том, куда нужно обращаться за помощью.</w:t>
      </w:r>
    </w:p>
    <w:p w:rsidR="00A74B45" w:rsidRPr="00A74B45" w:rsidRDefault="00A74B45" w:rsidP="00A74B45">
      <w:pPr>
        <w:pStyle w:val="H23GR"/>
      </w:pPr>
      <w:r w:rsidRPr="00A74B45">
        <w:tab/>
      </w:r>
      <w:r w:rsidRPr="00A74B45">
        <w:tab/>
      </w:r>
      <w:bookmarkStart w:id="16" w:name="_Toc511641807"/>
      <w:r w:rsidRPr="00A74B45">
        <w:t>Самостоятельный образ жизни и вовлеченность в местное сообщество (статья</w:t>
      </w:r>
      <w:r>
        <w:rPr>
          <w:lang w:val="en-US"/>
        </w:rPr>
        <w:t> </w:t>
      </w:r>
      <w:r w:rsidRPr="00A74B45">
        <w:t>19)</w:t>
      </w:r>
      <w:bookmarkEnd w:id="16"/>
    </w:p>
    <w:p w:rsidR="00A74B45" w:rsidRPr="00A74B45" w:rsidRDefault="00A74B45" w:rsidP="00A74B45">
      <w:pPr>
        <w:pStyle w:val="SingleTxtGR"/>
        <w:suppressAutoHyphens/>
      </w:pPr>
      <w:r w:rsidRPr="00A74B45">
        <w:t>33.</w:t>
      </w:r>
      <w:r w:rsidRPr="00A74B45">
        <w:tab/>
        <w:t>Комитет обеспокоен: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a)</w:t>
      </w:r>
      <w:r w:rsidRPr="00A74B45">
        <w:tab/>
        <w:t xml:space="preserve">отсутствием в государстве-участнике правовых мер по обеспечению инвалидам возможности ведения самостоятельного образа жизни; 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b)</w:t>
      </w:r>
      <w:r w:rsidRPr="00A74B45">
        <w:tab/>
        <w:t>ограниченностью поддержки, получаемой инвалидами и их семьями для реализации их прав на самостоятельный образ жизни и на интеграцию в жизнь сообщества, что приводило к случаям оставления инвалидов и их помещения в интернатное учреждение</w:t>
      </w:r>
      <w:r>
        <w:t xml:space="preserve"> </w:t>
      </w:r>
      <w:r w:rsidRPr="00A74B45">
        <w:t>под опеку государства;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c)</w:t>
      </w:r>
      <w:r w:rsidRPr="00A74B45">
        <w:tab/>
        <w:t xml:space="preserve">отсутствием стратегии </w:t>
      </w:r>
      <w:proofErr w:type="spellStart"/>
      <w:r w:rsidRPr="00A74B45">
        <w:t>деинституционализации</w:t>
      </w:r>
      <w:proofErr w:type="spellEnd"/>
      <w:r w:rsidRPr="00A74B45">
        <w:t xml:space="preserve"> инвалидов, помещенных в действующие интернатные учреждения.</w:t>
      </w:r>
    </w:p>
    <w:p w:rsidR="00A74B45" w:rsidRPr="00A74B45" w:rsidRDefault="00A74B45" w:rsidP="00A74B45">
      <w:pPr>
        <w:pStyle w:val="SingleTxtGR"/>
        <w:suppressAutoHyphens/>
        <w:rPr>
          <w:b/>
        </w:rPr>
      </w:pPr>
      <w:r w:rsidRPr="00A74B45">
        <w:t>34.</w:t>
      </w:r>
      <w:r w:rsidRPr="00A74B45">
        <w:tab/>
      </w:r>
      <w:r w:rsidRPr="00A74B45">
        <w:rPr>
          <w:b/>
        </w:rPr>
        <w:t xml:space="preserve">Комитет рекомендует государству-участнику: 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a)</w:t>
      </w:r>
      <w:r w:rsidRPr="00C53834">
        <w:rPr>
          <w:b/>
        </w:rPr>
        <w:tab/>
        <w:t>непосредственно признать в своем законодательстве право инвалидов выбирать, с кем и где им хотелось бы проживать;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b)</w:t>
      </w:r>
      <w:r w:rsidRPr="00C53834">
        <w:rPr>
          <w:b/>
        </w:rPr>
        <w:tab/>
        <w:t>оказывать инвалидам и их семьям достаточную поддержку, чтобы они могли реализовать свои права на самостоятельный образ жизни и на интеграцию в жизнь общины;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c)</w:t>
      </w:r>
      <w:r w:rsidRPr="00C53834">
        <w:rPr>
          <w:b/>
        </w:rPr>
        <w:tab/>
        <w:t xml:space="preserve">незамедлительно начать процесс </w:t>
      </w:r>
      <w:proofErr w:type="spellStart"/>
      <w:r w:rsidRPr="00C53834">
        <w:rPr>
          <w:b/>
        </w:rPr>
        <w:t>деинституционализации</w:t>
      </w:r>
      <w:proofErr w:type="spellEnd"/>
      <w:r w:rsidRPr="00C53834">
        <w:rPr>
          <w:b/>
        </w:rPr>
        <w:t xml:space="preserve"> инвалидов, которые продолжают находиться в интернатном учреждении, и повысить доступность общинных служб, обеспечивающих инвалидам возможность проживать в общине и принимать участие в ее жизни.</w:t>
      </w:r>
    </w:p>
    <w:p w:rsidR="00A74B45" w:rsidRPr="00A74B45" w:rsidRDefault="00A74B45" w:rsidP="00A74B45">
      <w:pPr>
        <w:pStyle w:val="H23GR"/>
      </w:pPr>
      <w:r w:rsidRPr="00A74B45">
        <w:tab/>
      </w:r>
      <w:r w:rsidRPr="00A74B45">
        <w:tab/>
      </w:r>
      <w:bookmarkStart w:id="17" w:name="_Toc511641808"/>
      <w:r w:rsidRPr="00A74B45">
        <w:t>Индивидуальная мобильность (статья 20)</w:t>
      </w:r>
      <w:bookmarkEnd w:id="17"/>
    </w:p>
    <w:p w:rsidR="00A74B45" w:rsidRPr="00A74B45" w:rsidRDefault="00A74B45" w:rsidP="00A74B45">
      <w:pPr>
        <w:pStyle w:val="SingleTxtGR"/>
        <w:suppressAutoHyphens/>
      </w:pPr>
      <w:r w:rsidRPr="00A74B45">
        <w:t>35.</w:t>
      </w:r>
      <w:r w:rsidRPr="00A74B45">
        <w:tab/>
        <w:t>Комитет выражает озабоченность нехваткой средств индивидуальной мобильности и квалифицированного персонала. Он также обеспокоен тем, что критерии определения лиц, имеющих право на получение вспомогательных средств индивидуальной мобильности, и налоговые льготы на такое оборудование могут не соответствовать положениям Конвенции, и что налоги на некоторые виды средств индивидуальной мобильности становятся бременем для инвалидов.</w:t>
      </w:r>
    </w:p>
    <w:p w:rsidR="00A74B45" w:rsidRPr="00A74B45" w:rsidRDefault="00A74B45" w:rsidP="00A74B45">
      <w:pPr>
        <w:pStyle w:val="SingleTxtGR"/>
        <w:suppressAutoHyphens/>
      </w:pPr>
      <w:r w:rsidRPr="00A74B45">
        <w:t>36.</w:t>
      </w:r>
      <w:r w:rsidRPr="00A74B45">
        <w:tab/>
      </w:r>
      <w:r w:rsidRPr="00A74B45">
        <w:rPr>
          <w:b/>
          <w:bCs/>
        </w:rPr>
        <w:t xml:space="preserve">Комитет рекомендует государству-участнику принимать меры для расширения доступности </w:t>
      </w:r>
      <w:r w:rsidRPr="00A74B45">
        <w:rPr>
          <w:b/>
        </w:rPr>
        <w:t xml:space="preserve">средств индивидуальной мобильности и </w:t>
      </w:r>
      <w:r w:rsidRPr="00A74B45">
        <w:rPr>
          <w:b/>
          <w:bCs/>
        </w:rPr>
        <w:t>повышения профессионального уровня соответствующего персонала</w:t>
      </w:r>
      <w:r w:rsidRPr="00A74B45">
        <w:rPr>
          <w:b/>
        </w:rPr>
        <w:t xml:space="preserve">. Он также рекомендует государству-участнику сформулировать в соответствии с Конвенцией четкие официальные критерии определения лиц, имеющих право на получение </w:t>
      </w:r>
      <w:r w:rsidRPr="00A74B45">
        <w:rPr>
          <w:b/>
        </w:rPr>
        <w:lastRenderedPageBreak/>
        <w:t>вспомогательных средств, и освободить инвалидов от налогов на необходимые им средства индивидуальной мобильности и вспомогательные приспособления, технологии и услуги</w:t>
      </w:r>
      <w:r w:rsidRPr="00A74B45">
        <w:rPr>
          <w:b/>
          <w:bCs/>
        </w:rPr>
        <w:t>.</w:t>
      </w:r>
      <w:r w:rsidRPr="00A74B45">
        <w:rPr>
          <w:b/>
        </w:rPr>
        <w:t xml:space="preserve"> </w:t>
      </w:r>
    </w:p>
    <w:p w:rsidR="00A74B45" w:rsidRPr="00A74B45" w:rsidRDefault="00A74B45" w:rsidP="00A74B45">
      <w:pPr>
        <w:pStyle w:val="H23GR"/>
      </w:pPr>
      <w:r w:rsidRPr="00A74B45">
        <w:tab/>
      </w:r>
      <w:r w:rsidRPr="00A74B45">
        <w:tab/>
      </w:r>
      <w:bookmarkStart w:id="18" w:name="_Toc511641809"/>
      <w:r w:rsidRPr="00A74B45">
        <w:t>Свобода выражения мнения и убеждений и доступ к информации (статья 21)</w:t>
      </w:r>
      <w:bookmarkEnd w:id="18"/>
      <w:r w:rsidRPr="00A74B45">
        <w:t xml:space="preserve"> </w:t>
      </w:r>
    </w:p>
    <w:p w:rsidR="00A74B45" w:rsidRPr="00A74B45" w:rsidRDefault="00A74B45" w:rsidP="00A74B45">
      <w:pPr>
        <w:pStyle w:val="SingleTxtGR"/>
        <w:suppressAutoHyphens/>
      </w:pPr>
      <w:r w:rsidRPr="00A74B45">
        <w:t>37.</w:t>
      </w:r>
      <w:r w:rsidRPr="00A74B45">
        <w:tab/>
        <w:t>Комитет обеспокоен неэффективностью проведенного государством-участником изучения вопроса о поощрении признания креольского языка жестов в качестве официального языка и недостаточностью усилий по обеспечению доступности общественной информации для инвалидов, в том числе с помощью таких доступных форматов, как шрифт Брайля, язык жестов, звуковое сопровождение и удобные для чтения форматы. Он также обеспокоен недостаточной доступностью информации, распространяемой через средства массовой информации.</w:t>
      </w:r>
    </w:p>
    <w:p w:rsidR="00A74B45" w:rsidRPr="00A74B45" w:rsidRDefault="00A74B45" w:rsidP="00A74B45">
      <w:pPr>
        <w:pStyle w:val="SingleTxtGR"/>
        <w:suppressAutoHyphens/>
        <w:rPr>
          <w:b/>
        </w:rPr>
      </w:pPr>
      <w:r w:rsidRPr="00A74B45">
        <w:t>38.</w:t>
      </w:r>
      <w:r w:rsidRPr="00A74B45">
        <w:tab/>
      </w:r>
      <w:r w:rsidRPr="00A74B45">
        <w:rPr>
          <w:b/>
        </w:rPr>
        <w:t>Комитет рекомендует государству-участнику: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a)</w:t>
      </w:r>
      <w:r w:rsidRPr="00C53834">
        <w:rPr>
          <w:b/>
        </w:rPr>
        <w:tab/>
        <w:t>официально разработать креольский язык жестов в сотрудничестве с организациями инвалидов и учеными кругами соседних стран, использующих креольский язык, и признать креольский язык жестов в качестве официального языка;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b)</w:t>
      </w:r>
      <w:r w:rsidRPr="00C53834">
        <w:rPr>
          <w:b/>
        </w:rPr>
        <w:tab/>
        <w:t>принять меры по повышению доступности информации и подходящих инвалидам коммуникационных форматов и технологий, включая доступность интернета, язык жестов, субтитры, шрифт Брайля, удобные для чтения форматы и простые формулировки в отношении всех государственных услуг;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</w:r>
      <w:r w:rsidRPr="00C53834">
        <w:rPr>
          <w:b/>
          <w:bCs/>
        </w:rPr>
        <w:t>c)</w:t>
      </w:r>
      <w:r w:rsidRPr="00C53834">
        <w:rPr>
          <w:b/>
        </w:rPr>
        <w:tab/>
        <w:t xml:space="preserve">повысить доступность средств массовой информации, особенно в части прямого вещания. </w:t>
      </w:r>
    </w:p>
    <w:p w:rsidR="00A74B45" w:rsidRPr="00A74B45" w:rsidRDefault="00A74B45" w:rsidP="00A74B45">
      <w:pPr>
        <w:pStyle w:val="H23GR"/>
      </w:pPr>
      <w:r w:rsidRPr="00A74B45">
        <w:tab/>
      </w:r>
      <w:r w:rsidRPr="00A74B45">
        <w:tab/>
      </w:r>
      <w:bookmarkStart w:id="19" w:name="_Toc511641810"/>
      <w:r w:rsidRPr="00A74B45">
        <w:t>Уважение дома и семьи (статья 23)</w:t>
      </w:r>
      <w:bookmarkEnd w:id="19"/>
    </w:p>
    <w:p w:rsidR="00A74B45" w:rsidRPr="00A74B45" w:rsidRDefault="00A74B45" w:rsidP="00A74B45">
      <w:pPr>
        <w:pStyle w:val="SingleTxtGR"/>
        <w:suppressAutoHyphens/>
      </w:pPr>
      <w:r w:rsidRPr="00A74B45">
        <w:t>39.</w:t>
      </w:r>
      <w:r w:rsidRPr="00A74B45">
        <w:tab/>
        <w:t>Комитет обеспокоен недостаточностью имеющихся услуг по оказанию поддержки, направленных на расширение возможностей родителей и семей с детьми-инвалидами.</w:t>
      </w:r>
    </w:p>
    <w:p w:rsidR="00A74B45" w:rsidRPr="00A74B45" w:rsidRDefault="00A74B45" w:rsidP="00A74B45">
      <w:pPr>
        <w:pStyle w:val="SingleTxtGR"/>
        <w:suppressAutoHyphens/>
      </w:pPr>
      <w:r w:rsidRPr="00A74B45">
        <w:t>40.</w:t>
      </w:r>
      <w:r w:rsidRPr="00A74B45">
        <w:tab/>
      </w:r>
      <w:r w:rsidRPr="00A74B45">
        <w:rPr>
          <w:b/>
          <w:bCs/>
        </w:rPr>
        <w:t xml:space="preserve">Комитет рекомендует государству-участнику выделять достаточные ресурсы для поддержки родителей и семей с детьми-инвалидами, в особенности одиноких родителей и родителей-инвалидов. </w:t>
      </w:r>
    </w:p>
    <w:p w:rsidR="00A74B45" w:rsidRPr="00A74B45" w:rsidRDefault="00A74B45" w:rsidP="00A74B45">
      <w:pPr>
        <w:pStyle w:val="H23GR"/>
      </w:pPr>
      <w:r w:rsidRPr="00A74B45">
        <w:tab/>
      </w:r>
      <w:r w:rsidRPr="00A74B45">
        <w:tab/>
      </w:r>
      <w:bookmarkStart w:id="20" w:name="_Toc511641811"/>
      <w:r w:rsidRPr="00A74B45">
        <w:t>Образование (статья 24)</w:t>
      </w:r>
      <w:bookmarkEnd w:id="20"/>
    </w:p>
    <w:p w:rsidR="00A74B45" w:rsidRPr="00A74B45" w:rsidRDefault="00A74B45" w:rsidP="00A74B45">
      <w:pPr>
        <w:pStyle w:val="SingleTxtGR"/>
        <w:suppressAutoHyphens/>
        <w:rPr>
          <w:b/>
          <w:i/>
        </w:rPr>
      </w:pPr>
      <w:r w:rsidRPr="00A74B45">
        <w:t>41.</w:t>
      </w:r>
      <w:r w:rsidRPr="00A74B45">
        <w:tab/>
        <w:t xml:space="preserve">Комитет выражает озабоченность тем, что, несмотря на принятую в 2015 году Политику в области инклюзивного образования, в стране сохраняется система обособленного, сегрегационного образования, которая противоречит Конвенции и замечанию общего порядка </w:t>
      </w:r>
      <w:r w:rsidR="00B50E4F">
        <w:t>№ </w:t>
      </w:r>
      <w:r w:rsidRPr="00A74B45">
        <w:t>4 (2016) Комитета о праве на инклюзивное образование. Он с беспокойством отмечает: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a)</w:t>
      </w:r>
      <w:r w:rsidRPr="00A74B45">
        <w:tab/>
        <w:t>отсутствие юридической обязанности обеспечивать и отслеживать предоставление разумного приспособления учащимся-инвалидам в системе общего образования;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b)</w:t>
      </w:r>
      <w:r w:rsidRPr="00A74B45">
        <w:tab/>
        <w:t>отсутствие механизма мониторинга стандартов доступности внутри и вне школьной инфраструктуры и сохраняющуюся недоступность объектов и услуг;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c)</w:t>
      </w:r>
      <w:r w:rsidRPr="00A74B45">
        <w:tab/>
        <w:t>отсутствие профессиональной подготовки для педагогического и непедагогического состава в области права на инклюзивное образование;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d)</w:t>
      </w:r>
      <w:r w:rsidRPr="00A74B45">
        <w:tab/>
        <w:t>недостаточность бюджетных ассигнований для содействия проведению политики инклюзивного образования;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e)</w:t>
      </w:r>
      <w:r w:rsidRPr="00A74B45">
        <w:tab/>
        <w:t>что государство-участник не проводило каких-либо исследований, посвященных социально-экономическим и культурным преимуществам инклюзивного образования.</w:t>
      </w:r>
    </w:p>
    <w:p w:rsidR="00A74B45" w:rsidRPr="00A74B45" w:rsidRDefault="00A74B45" w:rsidP="00A74B45">
      <w:pPr>
        <w:pStyle w:val="SingleTxtGR"/>
        <w:suppressAutoHyphens/>
        <w:rPr>
          <w:b/>
        </w:rPr>
      </w:pPr>
      <w:r w:rsidRPr="00A74B45">
        <w:lastRenderedPageBreak/>
        <w:t>42.</w:t>
      </w:r>
      <w:r w:rsidRPr="00A74B45">
        <w:tab/>
      </w:r>
      <w:r w:rsidRPr="00A74B45">
        <w:rPr>
          <w:b/>
          <w:bCs/>
        </w:rPr>
        <w:t xml:space="preserve">Ссылаясь на свое </w:t>
      </w:r>
      <w:r w:rsidRPr="00A74B45">
        <w:rPr>
          <w:b/>
        </w:rPr>
        <w:t xml:space="preserve">замечание общего порядка </w:t>
      </w:r>
      <w:r w:rsidR="00B50E4F">
        <w:rPr>
          <w:b/>
        </w:rPr>
        <w:t>№ </w:t>
      </w:r>
      <w:r w:rsidRPr="00A74B45">
        <w:rPr>
          <w:b/>
          <w:bCs/>
        </w:rPr>
        <w:t xml:space="preserve">4 (2016) </w:t>
      </w:r>
      <w:r w:rsidRPr="00A74B45">
        <w:rPr>
          <w:b/>
        </w:rPr>
        <w:t xml:space="preserve">о праве на инклюзивное образование и на цель 4 в области устойчивого развития, особенно на задачи </w:t>
      </w:r>
      <w:r w:rsidRPr="00A74B45">
        <w:rPr>
          <w:b/>
          <w:bCs/>
        </w:rPr>
        <w:t>4.5 и 4.a, Комитет настоятельно призывает государство-участник: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a)</w:t>
      </w:r>
      <w:r w:rsidRPr="00C53834">
        <w:rPr>
          <w:b/>
        </w:rPr>
        <w:tab/>
        <w:t xml:space="preserve">принять новое законодательство или внести поправки в Закон об образовании 2004 года, чтобы привести его в соответствие со статьей 24 Конвенции и с его замечанием общего порядка </w:t>
      </w:r>
      <w:r w:rsidR="00B50E4F" w:rsidRPr="00C53834">
        <w:rPr>
          <w:b/>
        </w:rPr>
        <w:t>№ </w:t>
      </w:r>
      <w:r w:rsidRPr="00C53834">
        <w:rPr>
          <w:b/>
        </w:rPr>
        <w:t>4, включая признание того факта, что отказ обеспечить учащимся-инвалидам разумное приспособление представляет собой проявление дискриминации;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b)</w:t>
      </w:r>
      <w:r w:rsidRPr="00C53834">
        <w:rPr>
          <w:b/>
        </w:rPr>
        <w:tab/>
        <w:t>сформировать механизм мониторинга стандартов доступности как внутри школьной инфраструктуры, так и за ее пределами;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c)</w:t>
      </w:r>
      <w:r w:rsidRPr="00C53834">
        <w:rPr>
          <w:b/>
        </w:rPr>
        <w:tab/>
        <w:t>обеспечивать адекватное и постоянное повышение уровня и инструктирование всех школьных учителей и педагогического персонала в вопросах инклюзивного образования;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d)</w:t>
      </w:r>
      <w:r w:rsidRPr="00C53834">
        <w:rPr>
          <w:b/>
        </w:rPr>
        <w:tab/>
        <w:t>предоставлять достаточные ресурсы и продолжать усилия в целях проведения инклюзивной образовательной политики и трансформации системы образования, чтобы дети-инвалиды получали необходимые услуги по поддержке для осуществления своего права на образование;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e)</w:t>
      </w:r>
      <w:r w:rsidRPr="00C53834">
        <w:rPr>
          <w:b/>
        </w:rPr>
        <w:tab/>
        <w:t>провести исследование социально-экономических и культурных преимуществ инклюзивного образования как инструмента популяризации правозащитной модели инвалидности и инклюзивного образования.</w:t>
      </w:r>
    </w:p>
    <w:p w:rsidR="00A74B45" w:rsidRPr="00A74B45" w:rsidRDefault="00A74B45" w:rsidP="00A74B45">
      <w:pPr>
        <w:pStyle w:val="H23GR"/>
      </w:pPr>
      <w:r w:rsidRPr="00A74B45">
        <w:tab/>
      </w:r>
      <w:r w:rsidRPr="00A74B45">
        <w:tab/>
      </w:r>
      <w:bookmarkStart w:id="21" w:name="_Toc511641812"/>
      <w:r w:rsidRPr="00A74B45">
        <w:t>Здоровье (статья 25)</w:t>
      </w:r>
      <w:bookmarkEnd w:id="21"/>
    </w:p>
    <w:p w:rsidR="00A74B45" w:rsidRPr="00A74B45" w:rsidRDefault="00A74B45" w:rsidP="00A74B45">
      <w:pPr>
        <w:pStyle w:val="SingleTxtGR"/>
        <w:suppressAutoHyphens/>
      </w:pPr>
      <w:r w:rsidRPr="00A74B45">
        <w:t>43.</w:t>
      </w:r>
      <w:r w:rsidRPr="00A74B45">
        <w:tab/>
        <w:t xml:space="preserve">Комитет отмечает, что инвалидам недоступны услуги здравоохранения и медицинская информация, в том числе услуги и информация, касающиеся сексуального и репродуктивного здоровья и </w:t>
      </w:r>
      <w:proofErr w:type="gramStart"/>
      <w:r w:rsidRPr="00A74B45">
        <w:t>прав</w:t>
      </w:r>
      <w:proofErr w:type="gramEnd"/>
      <w:r w:rsidRPr="00A74B45">
        <w:t xml:space="preserve"> и ВИЧ/СПИДа. Он также обеспокоен тем, что: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a)</w:t>
      </w:r>
      <w:r w:rsidRPr="00A74B45">
        <w:tab/>
        <w:t>в соответствии с действующим законодательством согласие инвалида на медицинское лечение может быть отменено и что соответствующее решение может приниматься третьей стороной;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b)</w:t>
      </w:r>
      <w:r w:rsidRPr="00A74B45">
        <w:tab/>
        <w:t>работники здравоохранения не имеют достаточной подготовки в области прав человека инвалидов;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c)</w:t>
      </w:r>
      <w:r w:rsidRPr="00A74B45">
        <w:tab/>
        <w:t>первичная профилактика инвалидности ошибочно рассматривается как мера по осуществлению Конвенции.</w:t>
      </w:r>
    </w:p>
    <w:p w:rsidR="00A74B45" w:rsidRPr="00A74B45" w:rsidRDefault="00A74B45" w:rsidP="00A74B45">
      <w:pPr>
        <w:pStyle w:val="SingleTxtGR"/>
        <w:suppressAutoHyphens/>
        <w:rPr>
          <w:b/>
        </w:rPr>
      </w:pPr>
      <w:r w:rsidRPr="00A74B45">
        <w:t>44.</w:t>
      </w:r>
      <w:r w:rsidRPr="00A74B45">
        <w:tab/>
      </w:r>
      <w:r w:rsidRPr="00A74B45">
        <w:rPr>
          <w:b/>
        </w:rPr>
        <w:t xml:space="preserve">Комитет рекомендует государству-участнику продолжать расширение доступности своевременных и качественных медицинских услуг для инвалидов, в том числе в областях сексуального и репродуктивного здоровья и </w:t>
      </w:r>
      <w:proofErr w:type="gramStart"/>
      <w:r w:rsidRPr="00A74B45">
        <w:rPr>
          <w:b/>
        </w:rPr>
        <w:t>прав</w:t>
      </w:r>
      <w:proofErr w:type="gramEnd"/>
      <w:r w:rsidRPr="00A74B45">
        <w:rPr>
          <w:b/>
        </w:rPr>
        <w:t xml:space="preserve"> и профилактики и лечения ВИЧ/СПИДа. Он также рекомендует государству-участнику: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a)</w:t>
      </w:r>
      <w:r w:rsidRPr="00C53834">
        <w:rPr>
          <w:b/>
        </w:rPr>
        <w:tab/>
        <w:t>принять меры к тому, чтобы все виды медицинского лечения и вмешательства осуществлялись на основе свободного, предварительного и осознанного согласия соответствующего инвалида;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b)</w:t>
      </w:r>
      <w:r w:rsidRPr="00C53834">
        <w:rPr>
          <w:b/>
        </w:rPr>
        <w:tab/>
        <w:t>проводить в сфере государственного здравоохранения доступные кампании, ориентированные на инвалидов;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c)</w:t>
      </w:r>
      <w:r w:rsidRPr="00C53834">
        <w:rPr>
          <w:b/>
        </w:rPr>
        <w:tab/>
        <w:t>предоставлять инвалидам услуги, которые им требуются в соответствии с их конкретной инвалидностью, а также другие услуги, направленные на минимизацию и предупреждение дальнейших случаев инвалидности, в том числе среди детей;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d)</w:t>
      </w:r>
      <w:r w:rsidRPr="00C53834">
        <w:rPr>
          <w:b/>
        </w:rPr>
        <w:tab/>
        <w:t>принять меры к тому, чтобы сотрудники больниц и поликлиник проходили регулярную обязательную подготовку в области прав инвалидов, включая индивидуальное право на свободное и осознанное согласие, право на сексуальное и репродуктивное здоровье, на борьбу с ВИЧ/СПИДом и инфекционными заболеваниями, передаваемыми половым путем;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lastRenderedPageBreak/>
        <w:tab/>
        <w:t>e)</w:t>
      </w:r>
      <w:r w:rsidRPr="00C53834">
        <w:rPr>
          <w:b/>
        </w:rPr>
        <w:tab/>
        <w:t>учитывать статью 25 Конвенции в процессе выполнения задач 3.7 и</w:t>
      </w:r>
      <w:r w:rsidRPr="00C53834">
        <w:rPr>
          <w:b/>
          <w:lang w:val="en-US"/>
        </w:rPr>
        <w:t> </w:t>
      </w:r>
      <w:r w:rsidRPr="00C53834">
        <w:rPr>
          <w:b/>
        </w:rPr>
        <w:t>3.8 Целей в области устойчивого развития.</w:t>
      </w:r>
    </w:p>
    <w:p w:rsidR="00A74B45" w:rsidRPr="00A74B45" w:rsidRDefault="00A74B45" w:rsidP="00A74B45">
      <w:pPr>
        <w:pStyle w:val="H23GR"/>
      </w:pPr>
      <w:r w:rsidRPr="00A74B45">
        <w:tab/>
      </w:r>
      <w:r w:rsidRPr="00A74B45">
        <w:tab/>
      </w:r>
      <w:bookmarkStart w:id="22" w:name="_Toc511641813"/>
      <w:r w:rsidRPr="00A74B45">
        <w:t>Труд и занятость (статья 27)</w:t>
      </w:r>
      <w:bookmarkEnd w:id="22"/>
      <w:r w:rsidRPr="00A74B45">
        <w:t xml:space="preserve"> </w:t>
      </w:r>
    </w:p>
    <w:p w:rsidR="00A74B45" w:rsidRPr="00A74B45" w:rsidRDefault="00A74B45" w:rsidP="00A74B45">
      <w:pPr>
        <w:pStyle w:val="SingleTxtGR"/>
        <w:suppressAutoHyphens/>
      </w:pPr>
      <w:r w:rsidRPr="00A74B45">
        <w:t>45.</w:t>
      </w:r>
      <w:r w:rsidRPr="00A74B45">
        <w:tab/>
        <w:t>Комитет обеспокоен: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a)</w:t>
      </w:r>
      <w:r w:rsidRPr="00A74B45">
        <w:tab/>
        <w:t>значением, присущим выражению «в разумных пределах обеспечивать» в статье 36 a) Конституции, которое не соответствует употребленному в Конвенции термину «разумное приспособление» и является расплывчатым, а также тем, что отказ в обеспечении разумного приспособления на рабочем месте не признан проявлением дискриминации и не преследуется по закону;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b)</w:t>
      </w:r>
      <w:r w:rsidRPr="00A74B45">
        <w:tab/>
        <w:t>отсутствием назначенного органа для мониторинга и преследования за несоблюдение Закона о занятости и принятой в 2013 году политики ликвидации дискриминации на рабочем месте в отношении инвалидов;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c)</w:t>
      </w:r>
      <w:r w:rsidRPr="00A74B45">
        <w:tab/>
        <w:t xml:space="preserve">отсутствием официальных данных об инвалидах, которые заняты в государственном и частном секторах; 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d)</w:t>
      </w:r>
      <w:r w:rsidRPr="00A74B45">
        <w:tab/>
        <w:t>тем, что у инвалидов нет достаточных возможностей для получения и сохранения рабочего места.</w:t>
      </w:r>
    </w:p>
    <w:p w:rsidR="00A74B45" w:rsidRPr="00A74B45" w:rsidRDefault="00A74B45" w:rsidP="00A74B45">
      <w:pPr>
        <w:pStyle w:val="SingleTxtGR"/>
        <w:suppressAutoHyphens/>
      </w:pPr>
      <w:r w:rsidRPr="00A74B45">
        <w:t>46.</w:t>
      </w:r>
      <w:r w:rsidRPr="00A74B45">
        <w:tab/>
      </w:r>
      <w:r w:rsidRPr="00A74B45">
        <w:rPr>
          <w:b/>
          <w:bCs/>
        </w:rPr>
        <w:t xml:space="preserve">Комитет рекомендует государству-участнику обратить внимание на взаимосвязь между статьей 27 Конвенции и задачей </w:t>
      </w:r>
      <w:r w:rsidRPr="00A74B45">
        <w:rPr>
          <w:b/>
        </w:rPr>
        <w:t>8.5 Целей в области устойчивого развития, а также</w:t>
      </w:r>
      <w:r w:rsidRPr="00A74B45">
        <w:rPr>
          <w:b/>
          <w:bCs/>
        </w:rPr>
        <w:t xml:space="preserve">: 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a)</w:t>
      </w:r>
      <w:r w:rsidRPr="00C53834">
        <w:rPr>
          <w:b/>
        </w:rPr>
        <w:tab/>
        <w:t>пересмотреть значение выражения «в разумных пределах обеспечивать» и принять меры по его приведению в соответствие с Конвенцией, а также уточнить юридическое обязательство по обеспечению разумного приспособления на рабочем месте и принять меры по эффективному мониторингу его соблюдения наряду с предоставлением средств правовой защиты от отказа в удовлетворении просьбы о таком приспособлении;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b)</w:t>
      </w:r>
      <w:r w:rsidRPr="00C53834">
        <w:rPr>
          <w:b/>
        </w:rPr>
        <w:tab/>
        <w:t xml:space="preserve">назначить орган для мониторинга и преследования за несоблюдение Закона о занятости и принятой в 2013 году политики ликвидации дискриминации на рабочем месте в отношении инвалидов; 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c)</w:t>
      </w:r>
      <w:r w:rsidRPr="00C53834">
        <w:rPr>
          <w:b/>
        </w:rPr>
        <w:tab/>
        <w:t>собирать дезагрегированные данные о количестве инвалидов, занятых в государственном и частном секторах;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d)</w:t>
      </w:r>
      <w:r w:rsidRPr="00C53834">
        <w:rPr>
          <w:b/>
        </w:rPr>
        <w:tab/>
        <w:t xml:space="preserve">принимать меры для наращивания числа занятых инвалидов, особенно женщин, и расширять возможности для их трудоустройства на открытом рынке труда, в сферах самостоятельной занятости и предпринимательства. </w:t>
      </w:r>
    </w:p>
    <w:p w:rsidR="00A74B45" w:rsidRPr="00A74B45" w:rsidRDefault="00A74B45" w:rsidP="00A74B45">
      <w:pPr>
        <w:pStyle w:val="H23GR"/>
      </w:pPr>
      <w:r w:rsidRPr="00A74B45">
        <w:tab/>
      </w:r>
      <w:r w:rsidRPr="00A74B45">
        <w:tab/>
      </w:r>
      <w:bookmarkStart w:id="23" w:name="_Toc511641814"/>
      <w:r w:rsidRPr="00A74B45">
        <w:t>Достаточный жизненный уровень и социальная защита (статья 28)</w:t>
      </w:r>
      <w:bookmarkEnd w:id="23"/>
    </w:p>
    <w:p w:rsidR="00A74B45" w:rsidRPr="00A74B45" w:rsidRDefault="00A74B45" w:rsidP="00A74B45">
      <w:pPr>
        <w:pStyle w:val="SingleTxtGR"/>
        <w:suppressAutoHyphens/>
      </w:pPr>
      <w:r w:rsidRPr="00A74B45">
        <w:t>47.</w:t>
      </w:r>
      <w:r w:rsidRPr="00A74B45">
        <w:tab/>
        <w:t>Комитет обеспокоен тем, что критерии оценки и отбора для доступа к программам социальной защиты и программам борьбы с нищетой для детей и взрослых из числа инвалидов, особенно женщин, девочек и пожилых людей, не основаны на правозащитной модели инвалидности. Он с озабоченностью отмечает, что инвалиды используют личные средства для покрытия дополнительных финансовых расходов в связи с инвалидностью, включая расходы на оплату пошлин, сборов и других начислений на импортные вспомогательные устройства, позволяющие им вести самостоятельный образ жизни.</w:t>
      </w:r>
    </w:p>
    <w:p w:rsidR="00A74B45" w:rsidRPr="00A74B45" w:rsidRDefault="00A74B45" w:rsidP="00A74B45">
      <w:pPr>
        <w:pStyle w:val="SingleTxtGR"/>
        <w:suppressAutoHyphens/>
      </w:pPr>
      <w:r w:rsidRPr="00A74B45">
        <w:t>48.</w:t>
      </w:r>
      <w:r w:rsidRPr="00A74B45">
        <w:tab/>
      </w:r>
      <w:r w:rsidRPr="00A74B45">
        <w:rPr>
          <w:b/>
        </w:rPr>
        <w:t>Комитет рекомендует государству-участнику пересмотреть законодательство о предоставлении льгот инвалидам при эффективном участии представительных организаций инвалидов, чтобы обеспечить приведение критериев оценки и отбора для доступа к программам социальной защиты и программам борьбы с нищетой</w:t>
      </w:r>
      <w:r>
        <w:rPr>
          <w:b/>
        </w:rPr>
        <w:t xml:space="preserve"> </w:t>
      </w:r>
      <w:r w:rsidRPr="00A74B45">
        <w:rPr>
          <w:b/>
        </w:rPr>
        <w:t xml:space="preserve">в соответствие с Конвенцией и с правозащитной моделью инвалидности. Он также рекомендует государству-участнику принять меры к тому, чтобы при сопоставимых доходах инвалиды имели такой же уровень жизни, что и лица, не страдающие инвалидностью. </w:t>
      </w:r>
    </w:p>
    <w:p w:rsidR="00A74B45" w:rsidRPr="00A74B45" w:rsidRDefault="00A74B45" w:rsidP="00A74B45">
      <w:pPr>
        <w:pStyle w:val="H23GR"/>
      </w:pPr>
      <w:r w:rsidRPr="00A74B45">
        <w:lastRenderedPageBreak/>
        <w:tab/>
      </w:r>
      <w:r w:rsidRPr="00A74B45">
        <w:tab/>
      </w:r>
      <w:bookmarkStart w:id="24" w:name="_Toc511641815"/>
      <w:r w:rsidRPr="00A74B45">
        <w:t>Участие в политической и общественной жизни (статья 29)</w:t>
      </w:r>
      <w:bookmarkEnd w:id="24"/>
    </w:p>
    <w:p w:rsidR="00A74B45" w:rsidRPr="00A74B45" w:rsidRDefault="00A74B45" w:rsidP="00A74B45">
      <w:pPr>
        <w:pStyle w:val="SingleTxtGR"/>
        <w:suppressAutoHyphens/>
      </w:pPr>
      <w:r w:rsidRPr="00A74B45">
        <w:t>49.</w:t>
      </w:r>
      <w:r w:rsidRPr="00A74B45">
        <w:tab/>
        <w:t>Комитет обеспокоен: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a)</w:t>
      </w:r>
      <w:r w:rsidRPr="00A74B45">
        <w:tab/>
        <w:t>низким уровнем участия инвалидов в общественной и политической жизни;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b)</w:t>
      </w:r>
      <w:r w:rsidRPr="00A74B45">
        <w:tab/>
        <w:t>нехваткой информации об избирательных кампаниях, представляемой в доступных форматах;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c)</w:t>
      </w:r>
      <w:r w:rsidRPr="00A74B45">
        <w:tab/>
        <w:t>недоступностью регистрации, избирательных участков и процедур голосования.</w:t>
      </w:r>
    </w:p>
    <w:p w:rsidR="00A74B45" w:rsidRPr="00A74B45" w:rsidRDefault="00A74B45" w:rsidP="00A74B45">
      <w:pPr>
        <w:pStyle w:val="SingleTxtGR"/>
        <w:suppressAutoHyphens/>
        <w:rPr>
          <w:b/>
        </w:rPr>
      </w:pPr>
      <w:r w:rsidRPr="00A74B45">
        <w:t>50.</w:t>
      </w:r>
      <w:r w:rsidRPr="00A74B45">
        <w:tab/>
      </w:r>
      <w:r w:rsidRPr="00A74B45">
        <w:rPr>
          <w:b/>
          <w:bCs/>
        </w:rPr>
        <w:t>Комитет рекомендует государству-участнику принять необходимые меры</w:t>
      </w:r>
      <w:r>
        <w:rPr>
          <w:b/>
          <w:bCs/>
        </w:rPr>
        <w:t xml:space="preserve"> </w:t>
      </w:r>
      <w:r w:rsidRPr="00A74B45">
        <w:rPr>
          <w:b/>
          <w:bCs/>
        </w:rPr>
        <w:t>по обеспечению всем инвалидам права участвовать в политической и общественной жизни</w:t>
      </w:r>
      <w:r w:rsidRPr="00A74B45">
        <w:rPr>
          <w:b/>
        </w:rPr>
        <w:t>, включая вопросы, связанные с выборами. Он рекомендует государству-участнику: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a)</w:t>
      </w:r>
      <w:r w:rsidRPr="00C53834">
        <w:rPr>
          <w:b/>
        </w:rPr>
        <w:tab/>
        <w:t>принять конкретные меры по расширению участия и реальной представленности инвалидов, особенно женщин, на политических и государственных руководящих должностях;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b)</w:t>
      </w:r>
      <w:r w:rsidRPr="00C53834">
        <w:rPr>
          <w:b/>
        </w:rPr>
        <w:tab/>
        <w:t>предоставлять в доступных форматах информацию об избирательных кампаниях;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c)</w:t>
      </w:r>
      <w:r w:rsidRPr="00C53834">
        <w:rPr>
          <w:b/>
        </w:rPr>
        <w:tab/>
        <w:t xml:space="preserve">устранять все физические и иные препятствия для участия во всех этапах избирательного процесса и обеспечивать разумные приспособления в ходе этого процесса. </w:t>
      </w:r>
    </w:p>
    <w:p w:rsidR="00A74B45" w:rsidRPr="00A74B45" w:rsidRDefault="00A74B45" w:rsidP="00A74B45">
      <w:pPr>
        <w:pStyle w:val="H23GR"/>
      </w:pPr>
      <w:r w:rsidRPr="00A74B45">
        <w:tab/>
      </w:r>
      <w:r w:rsidRPr="00A74B45">
        <w:tab/>
      </w:r>
      <w:bookmarkStart w:id="25" w:name="_Toc511641816"/>
      <w:r w:rsidRPr="00A74B45">
        <w:t>Участие в культурной жизни, проведении досуга и отдыха и занятии спортом (статья 30)</w:t>
      </w:r>
      <w:bookmarkEnd w:id="25"/>
    </w:p>
    <w:p w:rsidR="00A74B45" w:rsidRPr="00A74B45" w:rsidRDefault="00A74B45" w:rsidP="00A74B45">
      <w:pPr>
        <w:pStyle w:val="SingleTxtGR"/>
        <w:suppressAutoHyphens/>
      </w:pPr>
      <w:r w:rsidRPr="00A74B45">
        <w:t>51.</w:t>
      </w:r>
      <w:r w:rsidRPr="00A74B45">
        <w:tab/>
        <w:t>Комитет отмечает блестящие результаты спортсменов-инвалидов на региональном и международном уровнях и великолепные выступления артистов-инвалидов. В то же время Комитет обеспокоен: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a)</w:t>
      </w:r>
      <w:r w:rsidRPr="00A74B45">
        <w:tab/>
        <w:t>нехваткой инклюзивного досуга, восстановительных и спортивных мероприятий;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b)</w:t>
      </w:r>
      <w:r w:rsidRPr="00A74B45">
        <w:tab/>
        <w:t xml:space="preserve">тем, что государство-участник пока не присоединилось к </w:t>
      </w:r>
      <w:proofErr w:type="spellStart"/>
      <w:r w:rsidRPr="00A74B45">
        <w:t>Марракешскому</w:t>
      </w:r>
      <w:proofErr w:type="spellEnd"/>
      <w:r w:rsidRPr="00A74B45">
        <w:t xml:space="preserve">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c)</w:t>
      </w:r>
      <w:r w:rsidRPr="00A74B45">
        <w:tab/>
        <w:t>отсутствием систематической политики и практики по расширению доступности в секторе туризма.</w:t>
      </w:r>
    </w:p>
    <w:p w:rsidR="00A74B45" w:rsidRPr="00A74B45" w:rsidRDefault="00A74B45" w:rsidP="00A74B45">
      <w:pPr>
        <w:pStyle w:val="SingleTxtGR"/>
        <w:suppressAutoHyphens/>
      </w:pPr>
      <w:r w:rsidRPr="00A74B45">
        <w:t>52.</w:t>
      </w:r>
      <w:r w:rsidRPr="00A74B45">
        <w:tab/>
      </w:r>
      <w:r w:rsidRPr="00A74B45">
        <w:rPr>
          <w:b/>
        </w:rPr>
        <w:t>Комитет рекомендует государству-участнику: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a)</w:t>
      </w:r>
      <w:r w:rsidRPr="00C53834">
        <w:rPr>
          <w:b/>
        </w:rPr>
        <w:tab/>
        <w:t>развивать инклюзивный досуг и проведение восстановительных и спортивных мероприятий;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b)</w:t>
      </w:r>
      <w:r w:rsidRPr="00C53834">
        <w:rPr>
          <w:b/>
        </w:rPr>
        <w:tab/>
        <w:t xml:space="preserve">как можно скорее присоединиться к </w:t>
      </w:r>
      <w:proofErr w:type="spellStart"/>
      <w:r w:rsidRPr="00C53834">
        <w:rPr>
          <w:b/>
        </w:rPr>
        <w:t>Марракешскому</w:t>
      </w:r>
      <w:proofErr w:type="spellEnd"/>
      <w:r w:rsidRPr="00C53834">
        <w:rPr>
          <w:b/>
        </w:rPr>
        <w:t xml:space="preserve">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c)</w:t>
      </w:r>
      <w:r w:rsidRPr="00C53834">
        <w:rPr>
          <w:b/>
        </w:rPr>
        <w:tab/>
        <w:t xml:space="preserve">принимать меры к тому, чтобы политика и практика в секторе туризма были доступными и инклюзивными для инвалидов, и распространить рекомендации Всемирной туристской организации, касающиеся общедоступного туризма, среди всех бюро путешествий и туристских агентств. </w:t>
      </w:r>
    </w:p>
    <w:p w:rsidR="00A74B45" w:rsidRPr="00A74B45" w:rsidRDefault="00A74B45" w:rsidP="00A74B45">
      <w:pPr>
        <w:pStyle w:val="H1GR"/>
      </w:pPr>
      <w:r w:rsidRPr="00A74B45">
        <w:lastRenderedPageBreak/>
        <w:tab/>
      </w:r>
      <w:bookmarkStart w:id="26" w:name="_Toc511641817"/>
      <w:r w:rsidRPr="00A74B45">
        <w:t>C.</w:t>
      </w:r>
      <w:r w:rsidRPr="00A74B45">
        <w:tab/>
        <w:t>Конкретные обязательства (статьи 31–33)</w:t>
      </w:r>
      <w:bookmarkEnd w:id="26"/>
    </w:p>
    <w:p w:rsidR="00A74B45" w:rsidRPr="00A74B45" w:rsidRDefault="00A74B45" w:rsidP="00A74B45">
      <w:pPr>
        <w:pStyle w:val="H23GR"/>
      </w:pPr>
      <w:r w:rsidRPr="00A74B45">
        <w:tab/>
      </w:r>
      <w:r w:rsidRPr="00A74B45">
        <w:tab/>
      </w:r>
      <w:bookmarkStart w:id="27" w:name="_Toc511641818"/>
      <w:r w:rsidRPr="00A74B45">
        <w:t>Статистика и сбор данных (статья 31)</w:t>
      </w:r>
      <w:bookmarkEnd w:id="27"/>
    </w:p>
    <w:p w:rsidR="00A74B45" w:rsidRPr="00A74B45" w:rsidRDefault="00A74B45" w:rsidP="00A74B45">
      <w:pPr>
        <w:pStyle w:val="SingleTxtGR"/>
        <w:suppressAutoHyphens/>
      </w:pPr>
      <w:r w:rsidRPr="00A74B45">
        <w:t>53.</w:t>
      </w:r>
      <w:r w:rsidRPr="00A74B45">
        <w:tab/>
        <w:t>Комитет с озабоченностью отмечает, что приблизительное число инвалидов, установленное по результатам переписи населения 2010 года, значительно ниже глобального оценочного показателя Всемирной организации здравоохранения, составляющего 15% от численности населения. Он также обеспокоен нехваткой обновленных всеобъемлющих и надежных статистических данных и информации о положении инвалидов, представляемых в разбивке по полу или возрасту, что затрудняет разработку надлежащей государственной политики.</w:t>
      </w:r>
    </w:p>
    <w:p w:rsidR="00A74B45" w:rsidRPr="00A74B45" w:rsidRDefault="00A74B45" w:rsidP="00A74B45">
      <w:pPr>
        <w:pStyle w:val="SingleTxtGR"/>
        <w:suppressAutoHyphens/>
        <w:rPr>
          <w:b/>
        </w:rPr>
      </w:pPr>
      <w:proofErr w:type="gramStart"/>
      <w:r w:rsidRPr="00A74B45">
        <w:t>54.</w:t>
      </w:r>
      <w:r w:rsidRPr="00A74B45">
        <w:tab/>
      </w:r>
      <w:r w:rsidRPr="00A74B45">
        <w:rPr>
          <w:b/>
        </w:rPr>
        <w:t>С</w:t>
      </w:r>
      <w:proofErr w:type="gramEnd"/>
      <w:r w:rsidRPr="00A74B45">
        <w:rPr>
          <w:b/>
        </w:rPr>
        <w:t xml:space="preserve"> учетом задачи 17.18 Целей в области устойчивого развития Комитет рекомендует государству-участнику: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a)</w:t>
      </w:r>
      <w:r w:rsidRPr="00C53834">
        <w:rPr>
          <w:b/>
        </w:rPr>
        <w:tab/>
        <w:t>ввести в рамках Национального статистического института процедуры систематического сбора и представления данных;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b)</w:t>
      </w:r>
      <w:r w:rsidRPr="00C53834">
        <w:rPr>
          <w:b/>
        </w:rPr>
        <w:tab/>
        <w:t xml:space="preserve">систематически собирать данные об инвалидности в соответствии с положениями Конвенции, </w:t>
      </w:r>
      <w:proofErr w:type="gramStart"/>
      <w:r w:rsidRPr="00C53834">
        <w:rPr>
          <w:b/>
        </w:rPr>
        <w:t>например</w:t>
      </w:r>
      <w:proofErr w:type="gramEnd"/>
      <w:r w:rsidRPr="00C53834">
        <w:rPr>
          <w:b/>
        </w:rPr>
        <w:t xml:space="preserve"> путем включения краткого перечня вопросов об инвалидности, разработанного Вашингтонской группой по статистике инвалидности;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c)</w:t>
      </w:r>
      <w:r w:rsidRPr="00C53834">
        <w:rPr>
          <w:b/>
        </w:rPr>
        <w:tab/>
        <w:t>разработать основанную на фактических данных политику реагирования на положение инвалидов в сотрудничестве с их представительными организациями.</w:t>
      </w:r>
    </w:p>
    <w:p w:rsidR="00A74B45" w:rsidRPr="00A74B45" w:rsidRDefault="00A74B45" w:rsidP="00A74B45">
      <w:pPr>
        <w:pStyle w:val="H23GR"/>
      </w:pPr>
      <w:r w:rsidRPr="00A74B45">
        <w:tab/>
      </w:r>
      <w:r w:rsidRPr="00A74B45">
        <w:tab/>
      </w:r>
      <w:bookmarkStart w:id="28" w:name="_Toc511641819"/>
      <w:r w:rsidRPr="00A74B45">
        <w:t>Международное сотрудничество (статья 32)</w:t>
      </w:r>
      <w:bookmarkEnd w:id="28"/>
    </w:p>
    <w:p w:rsidR="00A74B45" w:rsidRPr="00A74B45" w:rsidRDefault="00A74B45" w:rsidP="00A74B45">
      <w:pPr>
        <w:pStyle w:val="SingleTxtGR"/>
        <w:suppressAutoHyphens/>
      </w:pPr>
      <w:r w:rsidRPr="00A74B45">
        <w:t>55.</w:t>
      </w:r>
      <w:r w:rsidRPr="00A74B45">
        <w:tab/>
        <w:t>Комитет обеспокоен отсутствием у государства-участника системного, институционального подхода к вопросу о включении положений Конвенции в его инициативы по сотрудничеству в целях развития, в том числе в программы по национальному осуществлению и мониторингу Повестки дня в области устойчивого развития на период до 2030 года и в контекст малых островных развивающихся государств. Он также выражает озабоченность в связи с отсутствием механизмов оценки, позволяющих определять воздействие сотрудничества в целях развития на инвалидов, и с нехваткой информации о реальном привлечении организаций инвалидов в качестве партнеров по сотрудничеству в целях развития.</w:t>
      </w:r>
    </w:p>
    <w:p w:rsidR="00A74B45" w:rsidRPr="00A74B45" w:rsidRDefault="00A74B45" w:rsidP="00A74B45">
      <w:pPr>
        <w:pStyle w:val="SingleTxtGR"/>
        <w:suppressAutoHyphens/>
        <w:rPr>
          <w:b/>
        </w:rPr>
      </w:pPr>
      <w:r w:rsidRPr="00A74B45">
        <w:t>56.</w:t>
      </w:r>
      <w:r w:rsidRPr="00A74B45">
        <w:tab/>
      </w:r>
      <w:r w:rsidRPr="00A74B45">
        <w:rPr>
          <w:b/>
        </w:rPr>
        <w:t xml:space="preserve">Комитет рекомендует государству-участнику: 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a)</w:t>
      </w:r>
      <w:r w:rsidRPr="00C53834">
        <w:rPr>
          <w:b/>
        </w:rPr>
        <w:tab/>
        <w:t>проводить такую политику в области развития, которая соответствует Конвенции и обеспечивает включение ее принципов и ценностей во все стратегии и программы государства-участника, посвященные сотрудничеству в целях развития;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b)</w:t>
      </w:r>
      <w:r w:rsidRPr="00C53834">
        <w:rPr>
          <w:b/>
        </w:rPr>
        <w:tab/>
        <w:t>включить проблематику инвалидности в систему национального осуществления и мониторинга Повестки дня в области устойчивого развития на период до 2030 года и Целей в области устойчивого развития;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c)</w:t>
      </w:r>
      <w:r w:rsidRPr="00C53834">
        <w:rPr>
          <w:b/>
        </w:rPr>
        <w:tab/>
        <w:t>принимать меры по обеспечению реального участия инвалидов через их представительные организации в подготовке, осуществлении, мониторинге и оценке программ и проектов, разработанных в процессе международного сотрудничества и в контексте малых островных развивающихся государств.</w:t>
      </w:r>
    </w:p>
    <w:p w:rsidR="00A74B45" w:rsidRPr="00A74B45" w:rsidRDefault="00A74B45" w:rsidP="00A74B45">
      <w:pPr>
        <w:pStyle w:val="H23GR"/>
      </w:pPr>
      <w:r w:rsidRPr="00A74B45">
        <w:tab/>
      </w:r>
      <w:r w:rsidRPr="00A74B45">
        <w:tab/>
      </w:r>
      <w:bookmarkStart w:id="29" w:name="_Toc511641820"/>
      <w:r w:rsidRPr="00A74B45">
        <w:t>Национальное осуществление и мониторинг (статья 33)</w:t>
      </w:r>
      <w:bookmarkEnd w:id="29"/>
    </w:p>
    <w:p w:rsidR="00A74B45" w:rsidRPr="00A74B45" w:rsidRDefault="00A74B45" w:rsidP="00A74B45">
      <w:pPr>
        <w:pStyle w:val="SingleTxtGR"/>
        <w:suppressAutoHyphens/>
      </w:pPr>
      <w:r w:rsidRPr="00A74B45">
        <w:t>57.</w:t>
      </w:r>
      <w:r w:rsidRPr="00A74B45">
        <w:tab/>
        <w:t>Комитет обеспокоен тем, что: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a)</w:t>
      </w:r>
      <w:r w:rsidRPr="00A74B45">
        <w:tab/>
        <w:t>государство-участник до сих пор не назначило координационный центр и/или механизм для осуществления Конвенции и что функции национального совета по делам инвалидов в основном сводятся к пропагандистской деятельности;</w:t>
      </w:r>
    </w:p>
    <w:p w:rsidR="00A74B45" w:rsidRPr="00A74B45" w:rsidRDefault="00A74B45" w:rsidP="00A74B45">
      <w:pPr>
        <w:pStyle w:val="SingleTxtGR"/>
        <w:suppressAutoHyphens/>
      </w:pPr>
      <w:r w:rsidRPr="00A74B45">
        <w:lastRenderedPageBreak/>
        <w:tab/>
        <w:t>b)</w:t>
      </w:r>
      <w:r w:rsidRPr="00A74B45">
        <w:tab/>
        <w:t>Национальная комиссия по правам человека, созданная в 2012 году, и Управление омбудсмена не соответствуют принципам, касающимся статуса национальных учреждений, занимающихся поощрением и защитой прав человека (Парижским принципам);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c)</w:t>
      </w:r>
      <w:r w:rsidRPr="00A74B45">
        <w:tab/>
        <w:t>не назначен или не создан независимый механизм по мониторингу;</w:t>
      </w:r>
    </w:p>
    <w:p w:rsidR="00A74B45" w:rsidRPr="00A74B45" w:rsidRDefault="00A74B45" w:rsidP="00A74B45">
      <w:pPr>
        <w:pStyle w:val="SingleTxtGR"/>
        <w:suppressAutoHyphens/>
      </w:pPr>
      <w:r w:rsidRPr="00A74B45">
        <w:tab/>
        <w:t>d)</w:t>
      </w:r>
      <w:r w:rsidRPr="00A74B45">
        <w:tab/>
        <w:t>не обеспечено полноценное вовлечение инвалидов через их представительные организации в процесс мониторинга осуществления Конвенции.</w:t>
      </w:r>
    </w:p>
    <w:p w:rsidR="00A74B45" w:rsidRPr="00A74B45" w:rsidRDefault="00A74B45" w:rsidP="00A74B45">
      <w:pPr>
        <w:pStyle w:val="SingleTxtGR"/>
        <w:suppressAutoHyphens/>
      </w:pPr>
      <w:r w:rsidRPr="00A74B45">
        <w:t>58.</w:t>
      </w:r>
      <w:r w:rsidRPr="00A74B45">
        <w:tab/>
      </w:r>
      <w:r w:rsidRPr="00A74B45">
        <w:rPr>
          <w:b/>
          <w:bCs/>
        </w:rPr>
        <w:t>Комитет рекомендует государству-участнику: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a)</w:t>
      </w:r>
      <w:r w:rsidRPr="00C53834">
        <w:rPr>
          <w:b/>
        </w:rPr>
        <w:tab/>
        <w:t>назначить один или несколько координационных центров для осуществления законодательства и политики, которые соответствовали бы положениям Конвенции;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b)</w:t>
      </w:r>
      <w:r w:rsidRPr="00C53834">
        <w:rPr>
          <w:b/>
        </w:rPr>
        <w:tab/>
        <w:t>принять меры, включая предоставление достаточных ресурсов, чтобы мандат Национальной комиссии по правам человека был отделен от мандата Управления омбудсмена, но при этом дополнял его, и чтобы национальное учреждение по правам человека соответствовало Парижским принципам;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c)</w:t>
      </w:r>
      <w:r w:rsidRPr="00C53834">
        <w:rPr>
          <w:b/>
        </w:rPr>
        <w:tab/>
        <w:t>назначить независимый механизм мониторинга в соответствии с Парижскими принципами и Руководящими принципами Комитета в отношении независимых структур мониторинга и их участия в работе Комитета (см.</w:t>
      </w:r>
      <w:r w:rsidR="00B50E4F" w:rsidRPr="00C53834">
        <w:rPr>
          <w:b/>
        </w:rPr>
        <w:t> </w:t>
      </w:r>
      <w:proofErr w:type="spellStart"/>
      <w:r w:rsidRPr="00C53834">
        <w:rPr>
          <w:b/>
        </w:rPr>
        <w:t>CRPD</w:t>
      </w:r>
      <w:proofErr w:type="spellEnd"/>
      <w:r w:rsidRPr="00C53834">
        <w:rPr>
          <w:b/>
        </w:rPr>
        <w:t xml:space="preserve">/C/1/Rev.1, приложение); </w:t>
      </w:r>
    </w:p>
    <w:p w:rsidR="00A74B45" w:rsidRPr="00C53834" w:rsidRDefault="00A74B45" w:rsidP="00A74B45">
      <w:pPr>
        <w:pStyle w:val="SingleTxtGR"/>
        <w:suppressAutoHyphens/>
        <w:rPr>
          <w:b/>
        </w:rPr>
      </w:pPr>
      <w:r w:rsidRPr="00C53834">
        <w:rPr>
          <w:b/>
        </w:rPr>
        <w:tab/>
        <w:t>d)</w:t>
      </w:r>
      <w:r w:rsidRPr="00C53834">
        <w:rPr>
          <w:b/>
        </w:rPr>
        <w:tab/>
        <w:t xml:space="preserve">принимать меры к тому, чтобы инвалиды и их представительные организации всестороннее участвовали в работе механизма по мониторингу осуществления Конвенции, как это предусмотрено в статье 33 (3). </w:t>
      </w:r>
    </w:p>
    <w:p w:rsidR="00A74B45" w:rsidRPr="00A74B45" w:rsidRDefault="00A74B45" w:rsidP="00A74B45">
      <w:pPr>
        <w:pStyle w:val="HChGR"/>
      </w:pPr>
      <w:r w:rsidRPr="00A74B45">
        <w:tab/>
      </w:r>
      <w:bookmarkStart w:id="30" w:name="_Toc511641821"/>
      <w:proofErr w:type="spellStart"/>
      <w:r w:rsidRPr="00A74B45">
        <w:t>IV</w:t>
      </w:r>
      <w:proofErr w:type="spellEnd"/>
      <w:r w:rsidRPr="00A74B45">
        <w:t>.</w:t>
      </w:r>
      <w:r w:rsidRPr="00A74B45">
        <w:tab/>
      </w:r>
      <w:bookmarkEnd w:id="30"/>
      <w:r w:rsidRPr="00A74B45">
        <w:t>Последующие меры</w:t>
      </w:r>
      <w:r>
        <w:t xml:space="preserve"> </w:t>
      </w:r>
    </w:p>
    <w:p w:rsidR="00A74B45" w:rsidRPr="00A74B45" w:rsidRDefault="00A74B45" w:rsidP="00A74B45">
      <w:pPr>
        <w:pStyle w:val="H23GR"/>
      </w:pPr>
      <w:r w:rsidRPr="00A74B45">
        <w:tab/>
      </w:r>
      <w:r w:rsidRPr="00A74B45">
        <w:tab/>
      </w:r>
      <w:bookmarkStart w:id="31" w:name="_Toc511641822"/>
      <w:r w:rsidRPr="00A74B45">
        <w:t xml:space="preserve">Распространение информации </w:t>
      </w:r>
      <w:bookmarkEnd w:id="31"/>
    </w:p>
    <w:p w:rsidR="00A74B45" w:rsidRPr="00A74B45" w:rsidRDefault="00A74B45" w:rsidP="00A74B45">
      <w:pPr>
        <w:pStyle w:val="SingleTxtGR"/>
        <w:suppressAutoHyphens/>
        <w:rPr>
          <w:b/>
          <w:bCs/>
        </w:rPr>
      </w:pPr>
      <w:r w:rsidRPr="00A74B45">
        <w:rPr>
          <w:bCs/>
        </w:rPr>
        <w:t>59.</w:t>
      </w:r>
      <w:r w:rsidRPr="00A74B45">
        <w:rPr>
          <w:bCs/>
        </w:rPr>
        <w:tab/>
      </w:r>
      <w:r w:rsidRPr="00A74B45">
        <w:rPr>
          <w:b/>
          <w:bCs/>
        </w:rPr>
        <w:t>Комитет подчеркивает важность всех рекомендаций, содержащихся в настоящих заключительных замечаниях, и хотел бы обратить внимание государства-участника на рекомендацию, изложенную в пункте 7 об общих обязательствах, согласно которой требуется принять неотложные меры.</w:t>
      </w:r>
    </w:p>
    <w:p w:rsidR="00A74B45" w:rsidRPr="00A74B45" w:rsidRDefault="00A74B45" w:rsidP="00A74B45">
      <w:pPr>
        <w:pStyle w:val="SingleTxtGR"/>
        <w:suppressAutoHyphens/>
        <w:rPr>
          <w:b/>
          <w:bCs/>
        </w:rPr>
      </w:pPr>
      <w:r w:rsidRPr="00A74B45">
        <w:rPr>
          <w:bCs/>
        </w:rPr>
        <w:t>60.</w:t>
      </w:r>
      <w:r w:rsidRPr="00A74B45">
        <w:rPr>
          <w:bCs/>
        </w:rPr>
        <w:tab/>
      </w:r>
      <w:r w:rsidRPr="00A74B45">
        <w:rPr>
          <w:b/>
        </w:rPr>
        <w:t>Комитет просит государство-участник выполнить рекомендации, содержащиеся в настоящих заключительных замечаниях. Он рекомендует государству-участнику препроводить заключительные замечания для рассмотрения и принятия мер членам правительства и парламента, должностным лицам профильных министерств, судебным органам и членам соответствующих профессиональных групп, в частности специалистам в области образования, медицины и юриспруденции, а также местным органам власти, частному сектору и сотрудникам средств массовой информации с использованием современных общественных программ информационного обеспечения</w:t>
      </w:r>
      <w:r w:rsidRPr="00A74B45">
        <w:rPr>
          <w:b/>
          <w:bCs/>
        </w:rPr>
        <w:t>.</w:t>
      </w:r>
    </w:p>
    <w:p w:rsidR="00A74B45" w:rsidRPr="00A74B45" w:rsidRDefault="00A74B45" w:rsidP="00A74B45">
      <w:pPr>
        <w:pStyle w:val="SingleTxtGR"/>
        <w:suppressAutoHyphens/>
        <w:rPr>
          <w:b/>
          <w:bCs/>
        </w:rPr>
      </w:pPr>
      <w:r w:rsidRPr="00A74B45">
        <w:rPr>
          <w:bCs/>
        </w:rPr>
        <w:t>61.</w:t>
      </w:r>
      <w:r w:rsidRPr="00A74B45">
        <w:rPr>
          <w:bCs/>
        </w:rPr>
        <w:tab/>
      </w:r>
      <w:r w:rsidRPr="00A74B45">
        <w:rPr>
          <w:b/>
        </w:rPr>
        <w:t>Комитет настоятельно рекомендует государству-участнику привлекать организации гражданского общества, в частности организации инвалидов, к подготовке его периодического доклада</w:t>
      </w:r>
      <w:r w:rsidRPr="00A74B45">
        <w:rPr>
          <w:b/>
          <w:bCs/>
        </w:rPr>
        <w:t>.</w:t>
      </w:r>
    </w:p>
    <w:p w:rsidR="00A74B45" w:rsidRPr="00A74B45" w:rsidRDefault="00A74B45" w:rsidP="00A74B45">
      <w:pPr>
        <w:pStyle w:val="SingleTxtGR"/>
        <w:suppressAutoHyphens/>
        <w:rPr>
          <w:b/>
          <w:bCs/>
        </w:rPr>
      </w:pPr>
      <w:r w:rsidRPr="00A74B45">
        <w:rPr>
          <w:bCs/>
        </w:rPr>
        <w:t>62.</w:t>
      </w:r>
      <w:r w:rsidRPr="00A74B45">
        <w:rPr>
          <w:bCs/>
        </w:rPr>
        <w:tab/>
      </w:r>
      <w:r w:rsidRPr="00A74B45">
        <w:rPr>
          <w:b/>
        </w:rPr>
        <w:t>Комитет просит государство-участник широко распространить настоящие заключительные замечания, в частности среди неправительственных организаций и организаций, представляющих инвалидов, среди самих инвалидов и их семей на национальных языках и языках меньшинств, включая язык жестов, и в доступных форматах, а также опубликовать их на сайте правительства, посвященном правам человека</w:t>
      </w:r>
      <w:r w:rsidRPr="00A74B45">
        <w:rPr>
          <w:b/>
          <w:bCs/>
        </w:rPr>
        <w:t>.</w:t>
      </w:r>
    </w:p>
    <w:p w:rsidR="00A74B45" w:rsidRPr="00A74B45" w:rsidRDefault="00A74B45" w:rsidP="00A74B45">
      <w:pPr>
        <w:pStyle w:val="H23GR"/>
      </w:pPr>
      <w:r w:rsidRPr="00A74B45">
        <w:lastRenderedPageBreak/>
        <w:tab/>
      </w:r>
      <w:r w:rsidRPr="00A74B45">
        <w:tab/>
      </w:r>
      <w:bookmarkStart w:id="32" w:name="_Toc511641823"/>
      <w:r w:rsidRPr="00A74B45">
        <w:t xml:space="preserve">Следующий периодический доклад </w:t>
      </w:r>
      <w:bookmarkEnd w:id="32"/>
    </w:p>
    <w:p w:rsidR="00A74B45" w:rsidRPr="00A74B45" w:rsidRDefault="00A74B45" w:rsidP="00A74B45">
      <w:pPr>
        <w:pStyle w:val="SingleTxtGR"/>
        <w:suppressAutoHyphens/>
        <w:rPr>
          <w:b/>
        </w:rPr>
      </w:pPr>
      <w:r w:rsidRPr="00A74B45">
        <w:t>63.</w:t>
      </w:r>
      <w:r w:rsidRPr="00A74B45">
        <w:tab/>
      </w:r>
      <w:r w:rsidRPr="00A74B45">
        <w:rPr>
          <w:b/>
        </w:rPr>
        <w:t>Комитет просит государство-участник представить свои второй-четвертый периодические доклады в одном документе не позднее 2 ноября 2023</w:t>
      </w:r>
      <w:r>
        <w:rPr>
          <w:b/>
          <w:lang w:val="en-US"/>
        </w:rPr>
        <w:t> </w:t>
      </w:r>
      <w:r w:rsidRPr="00A74B45">
        <w:rPr>
          <w:b/>
        </w:rPr>
        <w:t>года и включить в них информацию о выполнении рекомендаций, которые изложены в настоящих заключительных замечаниях. Комитет предлагает государству-участнику рассмотреть возможность представления вышеупомянутых докладов по упрощенной процедуре представления докладов Комитету, согласно которой Комитет готовит перечень вопросов не менее чем за один год до установленной даты представления объедине</w:t>
      </w:r>
      <w:bookmarkStart w:id="33" w:name="_GoBack"/>
      <w:bookmarkEnd w:id="33"/>
      <w:r w:rsidRPr="00A74B45">
        <w:rPr>
          <w:b/>
        </w:rPr>
        <w:t>нных докладов государства-участника. Ответы государства-участника на такой перечень вопросов являются его докладом.</w:t>
      </w:r>
    </w:p>
    <w:p w:rsidR="00381C24" w:rsidRPr="00A74B45" w:rsidRDefault="00A74B45" w:rsidP="00A74B4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A74B45" w:rsidSect="00A74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F59" w:rsidRPr="00A312BC" w:rsidRDefault="00D76F59" w:rsidP="00A312BC"/>
  </w:endnote>
  <w:endnote w:type="continuationSeparator" w:id="0">
    <w:p w:rsidR="00D76F59" w:rsidRPr="00A312BC" w:rsidRDefault="00D76F5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B45" w:rsidRPr="00A74B45" w:rsidRDefault="00A74B45">
    <w:pPr>
      <w:pStyle w:val="a8"/>
    </w:pPr>
    <w:r w:rsidRPr="00A74B45">
      <w:rPr>
        <w:b/>
        <w:sz w:val="18"/>
      </w:rPr>
      <w:fldChar w:fldCharType="begin"/>
    </w:r>
    <w:r w:rsidRPr="00A74B45">
      <w:rPr>
        <w:b/>
        <w:sz w:val="18"/>
      </w:rPr>
      <w:instrText xml:space="preserve"> PAGE  \* MERGEFORMAT </w:instrText>
    </w:r>
    <w:r w:rsidRPr="00A74B45">
      <w:rPr>
        <w:b/>
        <w:sz w:val="18"/>
      </w:rPr>
      <w:fldChar w:fldCharType="separate"/>
    </w:r>
    <w:r w:rsidR="00843B6A">
      <w:rPr>
        <w:b/>
        <w:noProof/>
        <w:sz w:val="18"/>
      </w:rPr>
      <w:t>14</w:t>
    </w:r>
    <w:r w:rsidRPr="00A74B45">
      <w:rPr>
        <w:b/>
        <w:sz w:val="18"/>
      </w:rPr>
      <w:fldChar w:fldCharType="end"/>
    </w:r>
    <w:r>
      <w:rPr>
        <w:b/>
        <w:sz w:val="18"/>
      </w:rPr>
      <w:tab/>
    </w:r>
    <w:r>
      <w:t>GE.18-06017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B45" w:rsidRPr="00A74B45" w:rsidRDefault="00A74B45" w:rsidP="00A74B45">
    <w:pPr>
      <w:pStyle w:val="a8"/>
      <w:tabs>
        <w:tab w:val="clear" w:pos="9639"/>
        <w:tab w:val="right" w:pos="9638"/>
      </w:tabs>
      <w:rPr>
        <w:b/>
        <w:sz w:val="18"/>
      </w:rPr>
    </w:pPr>
    <w:r>
      <w:t>GE.18-06017</w:t>
    </w:r>
    <w:r>
      <w:tab/>
    </w:r>
    <w:r w:rsidRPr="00A74B45">
      <w:rPr>
        <w:b/>
        <w:sz w:val="18"/>
      </w:rPr>
      <w:fldChar w:fldCharType="begin"/>
    </w:r>
    <w:r w:rsidRPr="00A74B45">
      <w:rPr>
        <w:b/>
        <w:sz w:val="18"/>
      </w:rPr>
      <w:instrText xml:space="preserve"> PAGE  \* MERGEFORMAT </w:instrText>
    </w:r>
    <w:r w:rsidRPr="00A74B45">
      <w:rPr>
        <w:b/>
        <w:sz w:val="18"/>
      </w:rPr>
      <w:fldChar w:fldCharType="separate"/>
    </w:r>
    <w:r w:rsidR="00843B6A">
      <w:rPr>
        <w:b/>
        <w:noProof/>
        <w:sz w:val="18"/>
      </w:rPr>
      <w:t>15</w:t>
    </w:r>
    <w:r w:rsidRPr="00A74B4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74B45" w:rsidRDefault="00A74B45" w:rsidP="00A74B45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18-06017 (</w:t>
    </w:r>
    <w:proofErr w:type="gramStart"/>
    <w:r>
      <w:t>R)</w:t>
    </w:r>
    <w:r w:rsidR="00F11E08">
      <w:rPr>
        <w:lang w:val="en-US"/>
      </w:rPr>
      <w:t xml:space="preserve">   </w:t>
    </w:r>
    <w:proofErr w:type="gramEnd"/>
    <w:r w:rsidR="00F11E08">
      <w:rPr>
        <w:lang w:val="en-US"/>
      </w:rPr>
      <w:t>260418   260418</w:t>
    </w:r>
    <w:r>
      <w:br/>
    </w:r>
    <w:r w:rsidRPr="00A74B45">
      <w:rPr>
        <w:rFonts w:ascii="C39T30Lfz" w:hAnsi="C39T30Lfz"/>
        <w:kern w:val="14"/>
        <w:sz w:val="56"/>
      </w:rPr>
      <w:t></w:t>
    </w:r>
    <w:r w:rsidRPr="00A74B45">
      <w:rPr>
        <w:rFonts w:ascii="C39T30Lfz" w:hAnsi="C39T30Lfz"/>
        <w:kern w:val="14"/>
        <w:sz w:val="56"/>
      </w:rPr>
      <w:t></w:t>
    </w:r>
    <w:r w:rsidRPr="00A74B45">
      <w:rPr>
        <w:rFonts w:ascii="C39T30Lfz" w:hAnsi="C39T30Lfz"/>
        <w:kern w:val="14"/>
        <w:sz w:val="56"/>
      </w:rPr>
      <w:t></w:t>
    </w:r>
    <w:r w:rsidRPr="00A74B45">
      <w:rPr>
        <w:rFonts w:ascii="C39T30Lfz" w:hAnsi="C39T30Lfz"/>
        <w:kern w:val="14"/>
        <w:sz w:val="56"/>
      </w:rPr>
      <w:t></w:t>
    </w:r>
    <w:r w:rsidRPr="00A74B45">
      <w:rPr>
        <w:rFonts w:ascii="C39T30Lfz" w:hAnsi="C39T30Lfz"/>
        <w:kern w:val="14"/>
        <w:sz w:val="56"/>
      </w:rPr>
      <w:t></w:t>
    </w:r>
    <w:r w:rsidRPr="00A74B45">
      <w:rPr>
        <w:rFonts w:ascii="C39T30Lfz" w:hAnsi="C39T30Lfz"/>
        <w:kern w:val="14"/>
        <w:sz w:val="56"/>
      </w:rPr>
      <w:t></w:t>
    </w:r>
    <w:r w:rsidRPr="00A74B45">
      <w:rPr>
        <w:rFonts w:ascii="C39T30Lfz" w:hAnsi="C39T30Lfz"/>
        <w:kern w:val="14"/>
        <w:sz w:val="56"/>
      </w:rPr>
      <w:t></w:t>
    </w:r>
    <w:r w:rsidRPr="00A74B45">
      <w:rPr>
        <w:rFonts w:ascii="C39T30Lfz" w:hAnsi="C39T30Lfz"/>
        <w:kern w:val="14"/>
        <w:sz w:val="56"/>
      </w:rPr>
      <w:t></w:t>
    </w:r>
    <w:r w:rsidRPr="00A74B4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SYC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SYC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F59" w:rsidRPr="001075E9" w:rsidRDefault="00D76F5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76F59" w:rsidRDefault="00D76F5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74B45" w:rsidRPr="00A7031B" w:rsidRDefault="00A74B45" w:rsidP="00A74B45">
      <w:pPr>
        <w:pStyle w:val="ad"/>
        <w:rPr>
          <w:sz w:val="20"/>
        </w:rPr>
      </w:pPr>
      <w:r w:rsidRPr="00195446">
        <w:tab/>
      </w:r>
      <w:r w:rsidRPr="00195446">
        <w:rPr>
          <w:sz w:val="20"/>
        </w:rPr>
        <w:t>*</w:t>
      </w:r>
      <w:r>
        <w:tab/>
        <w:t xml:space="preserve">Приняты Комитетом на его девятнадцатой сессии </w:t>
      </w:r>
      <w:r>
        <w:rPr>
          <w:lang w:val="en-US"/>
        </w:rPr>
        <w:t>(14</w:t>
      </w:r>
      <w:r>
        <w:t xml:space="preserve"> февраля – 9 марта </w:t>
      </w:r>
      <w:r>
        <w:rPr>
          <w:lang w:val="en-US"/>
        </w:rPr>
        <w:t>2018</w:t>
      </w:r>
      <w:r>
        <w:t xml:space="preserve"> года</w:t>
      </w:r>
      <w:r>
        <w:rPr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B45" w:rsidRPr="00A74B45" w:rsidRDefault="00A74B4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411462">
      <w:t>CRPD</w:t>
    </w:r>
    <w:proofErr w:type="spellEnd"/>
    <w:r w:rsidR="00411462">
      <w:t>/C/</w:t>
    </w:r>
    <w:proofErr w:type="spellStart"/>
    <w:r w:rsidR="00411462">
      <w:t>SYC</w:t>
    </w:r>
    <w:proofErr w:type="spellEnd"/>
    <w:r w:rsidR="00411462">
      <w:t>/CO/1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B45" w:rsidRPr="00A74B45" w:rsidRDefault="00A74B45" w:rsidP="00A74B4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411462">
      <w:t>CRPD</w:t>
    </w:r>
    <w:proofErr w:type="spellEnd"/>
    <w:r w:rsidR="00411462">
      <w:t>/C/</w:t>
    </w:r>
    <w:proofErr w:type="spellStart"/>
    <w:r w:rsidR="00411462">
      <w:t>SYC</w:t>
    </w:r>
    <w:proofErr w:type="spellEnd"/>
    <w:r w:rsidR="00411462">
      <w:t>/CO/1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37B9B"/>
    <w:multiLevelType w:val="hybridMultilevel"/>
    <w:tmpl w:val="8E68AC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F33815"/>
    <w:multiLevelType w:val="hybridMultilevel"/>
    <w:tmpl w:val="16EE0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034F0"/>
    <w:multiLevelType w:val="hybridMultilevel"/>
    <w:tmpl w:val="34FCEE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538D4"/>
    <w:multiLevelType w:val="hybridMultilevel"/>
    <w:tmpl w:val="EABCDA16"/>
    <w:lvl w:ilvl="0" w:tplc="511CFAFA">
      <w:start w:val="1"/>
      <w:numFmt w:val="decimal"/>
      <w:lvlText w:val="%1."/>
      <w:lvlJc w:val="left"/>
      <w:pPr>
        <w:ind w:left="1134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E3908"/>
    <w:multiLevelType w:val="hybridMultilevel"/>
    <w:tmpl w:val="3F1A2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D6162"/>
    <w:multiLevelType w:val="hybridMultilevel"/>
    <w:tmpl w:val="98684120"/>
    <w:lvl w:ilvl="0" w:tplc="3834752C">
      <w:start w:val="1"/>
      <w:numFmt w:val="lowerLetter"/>
      <w:lvlText w:val="(%1)"/>
      <w:lvlJc w:val="left"/>
      <w:pPr>
        <w:ind w:left="22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2CFD123A"/>
    <w:multiLevelType w:val="hybridMultilevel"/>
    <w:tmpl w:val="FB882106"/>
    <w:lvl w:ilvl="0" w:tplc="33B612EC">
      <w:start w:val="1"/>
      <w:numFmt w:val="lowerLetter"/>
      <w:lvlText w:val="%1."/>
      <w:lvlJc w:val="left"/>
      <w:pPr>
        <w:ind w:left="2574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E2BE9"/>
    <w:multiLevelType w:val="hybridMultilevel"/>
    <w:tmpl w:val="AA02A9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324E3"/>
    <w:multiLevelType w:val="hybridMultilevel"/>
    <w:tmpl w:val="CF46523E"/>
    <w:lvl w:ilvl="0" w:tplc="170EF692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i w:val="0"/>
      </w:rPr>
    </w:lvl>
    <w:lvl w:ilvl="1" w:tplc="33B612EC">
      <w:start w:val="1"/>
      <w:numFmt w:val="lowerLetter"/>
      <w:lvlText w:val="%2."/>
      <w:lvlJc w:val="left"/>
      <w:pPr>
        <w:ind w:left="2574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91789D"/>
    <w:multiLevelType w:val="hybridMultilevel"/>
    <w:tmpl w:val="648A95CA"/>
    <w:lvl w:ilvl="0" w:tplc="463A74C0">
      <w:start w:val="1"/>
      <w:numFmt w:val="lowerLetter"/>
      <w:lvlText w:val="(%1)"/>
      <w:lvlJc w:val="left"/>
      <w:pPr>
        <w:ind w:left="2271" w:hanging="57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44D43A69"/>
    <w:multiLevelType w:val="hybridMultilevel"/>
    <w:tmpl w:val="CF46523E"/>
    <w:lvl w:ilvl="0" w:tplc="170EF692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</w:rPr>
    </w:lvl>
    <w:lvl w:ilvl="1" w:tplc="33B612EC">
      <w:start w:val="1"/>
      <w:numFmt w:val="lowerLetter"/>
      <w:lvlText w:val="%2."/>
      <w:lvlJc w:val="left"/>
      <w:pPr>
        <w:ind w:left="3774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 w15:restartNumberingAfterBreak="0">
    <w:nsid w:val="4B8B6413"/>
    <w:multiLevelType w:val="hybridMultilevel"/>
    <w:tmpl w:val="F21499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37161"/>
    <w:multiLevelType w:val="hybridMultilevel"/>
    <w:tmpl w:val="CF46523E"/>
    <w:lvl w:ilvl="0" w:tplc="170EF692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</w:rPr>
    </w:lvl>
    <w:lvl w:ilvl="1" w:tplc="33B612EC">
      <w:start w:val="1"/>
      <w:numFmt w:val="lowerLetter"/>
      <w:lvlText w:val="%2."/>
      <w:lvlJc w:val="left"/>
      <w:pPr>
        <w:ind w:left="2574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114B6F"/>
    <w:multiLevelType w:val="hybridMultilevel"/>
    <w:tmpl w:val="66CAC626"/>
    <w:lvl w:ilvl="0" w:tplc="08090019">
      <w:start w:val="1"/>
      <w:numFmt w:val="lowerLetter"/>
      <w:lvlText w:val="%1."/>
      <w:lvlJc w:val="left"/>
      <w:pPr>
        <w:ind w:left="2574" w:hanging="360"/>
      </w:p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C596F1D"/>
    <w:multiLevelType w:val="hybridMultilevel"/>
    <w:tmpl w:val="D884FA06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F056F7D"/>
    <w:multiLevelType w:val="hybridMultilevel"/>
    <w:tmpl w:val="C6C657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D385E"/>
    <w:multiLevelType w:val="hybridMultilevel"/>
    <w:tmpl w:val="38E8965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0"/>
  </w:num>
  <w:num w:numId="2">
    <w:abstractNumId w:val="26"/>
  </w:num>
  <w:num w:numId="3">
    <w:abstractNumId w:val="18"/>
  </w:num>
  <w:num w:numId="4">
    <w:abstractNumId w:val="41"/>
  </w:num>
  <w:num w:numId="5">
    <w:abstractNumId w:val="3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8"/>
  </w:num>
  <w:num w:numId="17">
    <w:abstractNumId w:val="30"/>
  </w:num>
  <w:num w:numId="18">
    <w:abstractNumId w:val="33"/>
  </w:num>
  <w:num w:numId="19">
    <w:abstractNumId w:val="38"/>
  </w:num>
  <w:num w:numId="20">
    <w:abstractNumId w:val="30"/>
  </w:num>
  <w:num w:numId="21">
    <w:abstractNumId w:val="33"/>
  </w:num>
  <w:num w:numId="22">
    <w:abstractNumId w:val="24"/>
  </w:num>
  <w:num w:numId="23">
    <w:abstractNumId w:val="19"/>
  </w:num>
  <w:num w:numId="24">
    <w:abstractNumId w:val="10"/>
  </w:num>
  <w:num w:numId="25">
    <w:abstractNumId w:val="35"/>
  </w:num>
  <w:num w:numId="26">
    <w:abstractNumId w:val="36"/>
  </w:num>
  <w:num w:numId="27">
    <w:abstractNumId w:val="45"/>
  </w:num>
  <w:num w:numId="28">
    <w:abstractNumId w:val="17"/>
  </w:num>
  <w:num w:numId="29">
    <w:abstractNumId w:val="11"/>
  </w:num>
  <w:num w:numId="30">
    <w:abstractNumId w:val="39"/>
  </w:num>
  <w:num w:numId="31">
    <w:abstractNumId w:val="13"/>
  </w:num>
  <w:num w:numId="32">
    <w:abstractNumId w:val="14"/>
  </w:num>
  <w:num w:numId="33">
    <w:abstractNumId w:val="44"/>
  </w:num>
  <w:num w:numId="34">
    <w:abstractNumId w:val="31"/>
  </w:num>
  <w:num w:numId="35">
    <w:abstractNumId w:val="16"/>
  </w:num>
  <w:num w:numId="36">
    <w:abstractNumId w:val="34"/>
  </w:num>
  <w:num w:numId="37">
    <w:abstractNumId w:val="42"/>
  </w:num>
  <w:num w:numId="38">
    <w:abstractNumId w:val="29"/>
  </w:num>
  <w:num w:numId="39">
    <w:abstractNumId w:val="15"/>
  </w:num>
  <w:num w:numId="40">
    <w:abstractNumId w:val="23"/>
  </w:num>
  <w:num w:numId="41">
    <w:abstractNumId w:val="20"/>
  </w:num>
  <w:num w:numId="42">
    <w:abstractNumId w:val="12"/>
  </w:num>
  <w:num w:numId="43">
    <w:abstractNumId w:val="43"/>
  </w:num>
  <w:num w:numId="44">
    <w:abstractNumId w:val="22"/>
  </w:num>
  <w:num w:numId="45">
    <w:abstractNumId w:val="27"/>
  </w:num>
  <w:num w:numId="46">
    <w:abstractNumId w:val="25"/>
  </w:num>
  <w:num w:numId="47">
    <w:abstractNumId w:val="21"/>
  </w:num>
  <w:num w:numId="48">
    <w:abstractNumId w:val="28"/>
  </w:num>
  <w:num w:numId="49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5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96A1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11462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C215F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43B6A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A24AC"/>
    <w:rsid w:val="00A14DA8"/>
    <w:rsid w:val="00A312BC"/>
    <w:rsid w:val="00A74B45"/>
    <w:rsid w:val="00A84021"/>
    <w:rsid w:val="00A84D35"/>
    <w:rsid w:val="00A917B3"/>
    <w:rsid w:val="00AB4B51"/>
    <w:rsid w:val="00AC12E8"/>
    <w:rsid w:val="00B10CC7"/>
    <w:rsid w:val="00B36DF7"/>
    <w:rsid w:val="00B50E4F"/>
    <w:rsid w:val="00B539E7"/>
    <w:rsid w:val="00B62458"/>
    <w:rsid w:val="00BC18B2"/>
    <w:rsid w:val="00BD33EE"/>
    <w:rsid w:val="00C106D6"/>
    <w:rsid w:val="00C136B7"/>
    <w:rsid w:val="00C53834"/>
    <w:rsid w:val="00C60F0C"/>
    <w:rsid w:val="00C805C9"/>
    <w:rsid w:val="00C92939"/>
    <w:rsid w:val="00CA1679"/>
    <w:rsid w:val="00CB151C"/>
    <w:rsid w:val="00CE5A1A"/>
    <w:rsid w:val="00CF55F6"/>
    <w:rsid w:val="00D33D63"/>
    <w:rsid w:val="00D76F59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11E08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CCD080"/>
  <w15:docId w15:val="{9E0FAC17-2B62-437B-805A-AE999394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2F15"/>
    <w:pPr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,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92F1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92F1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92F1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92F1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92F1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92F1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92F1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92F15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92F1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92F15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92F1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92F1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,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,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R,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R,3_G"/>
    <w:basedOn w:val="a"/>
    <w:link w:val="a9"/>
    <w:qFormat/>
    <w:rsid w:val="00E92F15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,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,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E92F1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E92F15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R,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R Знак,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92F15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E92F15"/>
    <w:rPr>
      <w:color w:val="800080" w:themeColor="followedHyperlink"/>
      <w:u w:val="none"/>
    </w:rPr>
  </w:style>
  <w:style w:type="character" w:customStyle="1" w:styleId="20">
    <w:name w:val="Заголовок 2 Знак"/>
    <w:basedOn w:val="a0"/>
    <w:link w:val="2"/>
    <w:semiHidden/>
    <w:rsid w:val="00A74B45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A74B45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A74B45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A74B45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A74B45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A74B45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A74B45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A74B45"/>
    <w:rPr>
      <w:rFonts w:ascii="Arial" w:eastAsiaTheme="minorHAnsi" w:hAnsi="Arial" w:cs="Arial"/>
      <w:sz w:val="22"/>
      <w:szCs w:val="22"/>
      <w:lang w:val="ru-RU" w:eastAsia="en-US"/>
    </w:rPr>
  </w:style>
  <w:style w:type="paragraph" w:customStyle="1" w:styleId="HMG">
    <w:name w:val="_ H __M_G"/>
    <w:basedOn w:val="a"/>
    <w:next w:val="a"/>
    <w:rsid w:val="00A74B4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SimSun" w:cs="Times New Roman"/>
      <w:b/>
      <w:sz w:val="34"/>
      <w:szCs w:val="20"/>
      <w:lang w:eastAsia="zh-CN"/>
    </w:rPr>
  </w:style>
  <w:style w:type="paragraph" w:customStyle="1" w:styleId="HChG">
    <w:name w:val="_ H _Ch_G"/>
    <w:basedOn w:val="a"/>
    <w:next w:val="a"/>
    <w:qFormat/>
    <w:rsid w:val="00A74B4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SimSun" w:cs="Times New Roman"/>
      <w:b/>
      <w:sz w:val="28"/>
      <w:szCs w:val="20"/>
      <w:lang w:eastAsia="zh-CN"/>
    </w:rPr>
  </w:style>
  <w:style w:type="paragraph" w:customStyle="1" w:styleId="H1G">
    <w:name w:val="_ H_1_G"/>
    <w:basedOn w:val="a"/>
    <w:next w:val="a"/>
    <w:qFormat/>
    <w:rsid w:val="00A74B4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SimSun" w:cs="Times New Roman"/>
      <w:b/>
      <w:sz w:val="24"/>
      <w:szCs w:val="20"/>
      <w:lang w:eastAsia="zh-CN"/>
    </w:rPr>
  </w:style>
  <w:style w:type="paragraph" w:customStyle="1" w:styleId="H23G">
    <w:name w:val="_ H_2/3_G"/>
    <w:basedOn w:val="a"/>
    <w:next w:val="a"/>
    <w:qFormat/>
    <w:rsid w:val="00A74B4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SimSun" w:cs="Times New Roman"/>
      <w:b/>
      <w:szCs w:val="20"/>
      <w:lang w:eastAsia="zh-CN"/>
    </w:rPr>
  </w:style>
  <w:style w:type="paragraph" w:customStyle="1" w:styleId="H4G">
    <w:name w:val="_ H_4_G"/>
    <w:basedOn w:val="a"/>
    <w:next w:val="a"/>
    <w:qFormat/>
    <w:rsid w:val="00A74B4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SimSun" w:cs="Times New Roman"/>
      <w:i/>
      <w:szCs w:val="20"/>
      <w:lang w:eastAsia="zh-CN"/>
    </w:rPr>
  </w:style>
  <w:style w:type="paragraph" w:customStyle="1" w:styleId="H56G">
    <w:name w:val="_ H_5/6_G"/>
    <w:basedOn w:val="a"/>
    <w:next w:val="a"/>
    <w:qFormat/>
    <w:rsid w:val="00A74B4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SimSun" w:cs="Times New Roman"/>
      <w:szCs w:val="20"/>
      <w:lang w:eastAsia="zh-CN"/>
    </w:rPr>
  </w:style>
  <w:style w:type="paragraph" w:customStyle="1" w:styleId="SingleTxtG">
    <w:name w:val="_ Single Txt_G"/>
    <w:basedOn w:val="a"/>
    <w:link w:val="SingleTxtGChar"/>
    <w:qFormat/>
    <w:rsid w:val="00A74B45"/>
    <w:pPr>
      <w:spacing w:after="120"/>
      <w:ind w:left="1134" w:right="1134"/>
      <w:jc w:val="both"/>
    </w:pPr>
    <w:rPr>
      <w:rFonts w:eastAsia="SimSun" w:cs="Times New Roman"/>
      <w:szCs w:val="20"/>
      <w:lang w:eastAsia="zh-CN"/>
    </w:rPr>
  </w:style>
  <w:style w:type="paragraph" w:customStyle="1" w:styleId="SLG">
    <w:name w:val="__S_L_G"/>
    <w:basedOn w:val="a"/>
    <w:next w:val="a"/>
    <w:rsid w:val="00A74B45"/>
    <w:pPr>
      <w:keepNext/>
      <w:keepLines/>
      <w:spacing w:before="240" w:after="240" w:line="580" w:lineRule="exact"/>
      <w:ind w:left="1134" w:right="1134"/>
    </w:pPr>
    <w:rPr>
      <w:rFonts w:eastAsia="SimSun" w:cs="Times New Roman"/>
      <w:b/>
      <w:sz w:val="56"/>
      <w:szCs w:val="20"/>
      <w:lang w:eastAsia="zh-CN"/>
    </w:rPr>
  </w:style>
  <w:style w:type="paragraph" w:customStyle="1" w:styleId="SMG">
    <w:name w:val="__S_M_G"/>
    <w:basedOn w:val="a"/>
    <w:next w:val="a"/>
    <w:rsid w:val="00A74B45"/>
    <w:pPr>
      <w:keepNext/>
      <w:keepLines/>
      <w:spacing w:before="240" w:after="240" w:line="420" w:lineRule="exact"/>
      <w:ind w:left="1134" w:right="1134"/>
    </w:pPr>
    <w:rPr>
      <w:rFonts w:eastAsia="SimSun" w:cs="Times New Roman"/>
      <w:b/>
      <w:sz w:val="40"/>
      <w:szCs w:val="20"/>
      <w:lang w:eastAsia="zh-CN"/>
    </w:rPr>
  </w:style>
  <w:style w:type="paragraph" w:customStyle="1" w:styleId="SSG">
    <w:name w:val="__S_S_G"/>
    <w:basedOn w:val="a"/>
    <w:next w:val="a"/>
    <w:rsid w:val="00A74B45"/>
    <w:pPr>
      <w:keepNext/>
      <w:keepLines/>
      <w:spacing w:before="240" w:after="240" w:line="300" w:lineRule="exact"/>
      <w:ind w:left="1134" w:right="1134"/>
    </w:pPr>
    <w:rPr>
      <w:rFonts w:eastAsia="SimSun" w:cs="Times New Roman"/>
      <w:b/>
      <w:sz w:val="28"/>
      <w:szCs w:val="20"/>
      <w:lang w:eastAsia="zh-CN"/>
    </w:rPr>
  </w:style>
  <w:style w:type="paragraph" w:customStyle="1" w:styleId="XLargeG">
    <w:name w:val="__XLarge_G"/>
    <w:basedOn w:val="a"/>
    <w:next w:val="a"/>
    <w:rsid w:val="00A74B45"/>
    <w:pPr>
      <w:keepNext/>
      <w:keepLines/>
      <w:spacing w:before="240" w:after="240" w:line="420" w:lineRule="exact"/>
      <w:ind w:left="1134" w:right="1134"/>
    </w:pPr>
    <w:rPr>
      <w:rFonts w:eastAsia="SimSun" w:cs="Times New Roman"/>
      <w:b/>
      <w:sz w:val="40"/>
      <w:szCs w:val="20"/>
      <w:lang w:eastAsia="zh-CN"/>
    </w:rPr>
  </w:style>
  <w:style w:type="paragraph" w:customStyle="1" w:styleId="Bullet1G">
    <w:name w:val="_Bullet 1_G"/>
    <w:basedOn w:val="a"/>
    <w:qFormat/>
    <w:rsid w:val="00A74B45"/>
    <w:pPr>
      <w:numPr>
        <w:numId w:val="22"/>
      </w:numPr>
      <w:spacing w:after="120" w:line="240" w:lineRule="auto"/>
      <w:ind w:right="1134"/>
      <w:jc w:val="both"/>
    </w:pPr>
    <w:rPr>
      <w:rFonts w:eastAsia="SimSun" w:cs="Times New Roman"/>
      <w:szCs w:val="20"/>
      <w:lang w:eastAsia="zh-CN"/>
    </w:rPr>
  </w:style>
  <w:style w:type="paragraph" w:customStyle="1" w:styleId="Bullet2G">
    <w:name w:val="_Bullet 2_G"/>
    <w:basedOn w:val="a"/>
    <w:qFormat/>
    <w:rsid w:val="00A74B45"/>
    <w:pPr>
      <w:numPr>
        <w:numId w:val="23"/>
      </w:numPr>
      <w:spacing w:after="120" w:line="240" w:lineRule="auto"/>
      <w:ind w:right="1134"/>
      <w:jc w:val="both"/>
    </w:pPr>
    <w:rPr>
      <w:rFonts w:eastAsia="SimSun" w:cs="Times New Roman"/>
      <w:szCs w:val="20"/>
      <w:lang w:eastAsia="zh-CN"/>
    </w:rPr>
  </w:style>
  <w:style w:type="paragraph" w:customStyle="1" w:styleId="ParaNoG">
    <w:name w:val="_ParaNo._G"/>
    <w:basedOn w:val="SingleTxtG"/>
    <w:rsid w:val="00A74B45"/>
    <w:pPr>
      <w:numPr>
        <w:numId w:val="24"/>
      </w:numPr>
      <w:tabs>
        <w:tab w:val="clear" w:pos="0"/>
        <w:tab w:val="num" w:pos="360"/>
      </w:tabs>
      <w:ind w:left="360" w:hanging="360"/>
    </w:pPr>
  </w:style>
  <w:style w:type="numbering" w:styleId="111111">
    <w:name w:val="Outline List 2"/>
    <w:basedOn w:val="a2"/>
    <w:semiHidden/>
    <w:rsid w:val="00A74B45"/>
    <w:pPr>
      <w:numPr>
        <w:numId w:val="49"/>
      </w:numPr>
    </w:pPr>
  </w:style>
  <w:style w:type="numbering" w:styleId="1ai">
    <w:name w:val="Outline List 1"/>
    <w:basedOn w:val="a2"/>
    <w:semiHidden/>
    <w:rsid w:val="00A74B45"/>
    <w:pPr>
      <w:numPr>
        <w:numId w:val="27"/>
      </w:numPr>
    </w:pPr>
  </w:style>
  <w:style w:type="character" w:styleId="af3">
    <w:name w:val="Book Title"/>
    <w:uiPriority w:val="33"/>
    <w:rsid w:val="00A74B45"/>
    <w:rPr>
      <w:b/>
      <w:bCs/>
      <w:smallCaps/>
      <w:spacing w:val="5"/>
    </w:rPr>
  </w:style>
  <w:style w:type="character" w:customStyle="1" w:styleId="SingleTxtGChar">
    <w:name w:val="_ Single Txt_G Char"/>
    <w:link w:val="SingleTxtG"/>
    <w:rsid w:val="00A74B45"/>
    <w:rPr>
      <w:rFonts w:eastAsia="SimSun"/>
      <w:lang w:val="ru-RU" w:eastAsia="zh-CN"/>
    </w:rPr>
  </w:style>
  <w:style w:type="paragraph" w:styleId="af4">
    <w:name w:val="List Paragraph"/>
    <w:basedOn w:val="a"/>
    <w:uiPriority w:val="34"/>
    <w:qFormat/>
    <w:rsid w:val="00A74B45"/>
    <w:pPr>
      <w:spacing w:after="160" w:line="259" w:lineRule="auto"/>
      <w:ind w:left="720"/>
      <w:contextualSpacing/>
    </w:pPr>
    <w:rPr>
      <w:rFonts w:ascii="Calibri" w:eastAsia="SimSun" w:hAnsi="Calibri" w:cs="Arial"/>
      <w:sz w:val="22"/>
      <w:lang w:eastAsia="zh-CN"/>
    </w:rPr>
  </w:style>
  <w:style w:type="paragraph" w:styleId="af5">
    <w:name w:val="Revision"/>
    <w:hidden/>
    <w:uiPriority w:val="99"/>
    <w:semiHidden/>
    <w:rsid w:val="00A74B45"/>
    <w:rPr>
      <w:lang w:val="en-GB" w:eastAsia="en-US"/>
    </w:rPr>
  </w:style>
  <w:style w:type="character" w:styleId="af6">
    <w:name w:val="annotation reference"/>
    <w:semiHidden/>
    <w:unhideWhenUsed/>
    <w:rsid w:val="00A74B45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A74B45"/>
    <w:pPr>
      <w:spacing w:line="240" w:lineRule="auto"/>
    </w:pPr>
    <w:rPr>
      <w:rFonts w:eastAsia="Times New Roman" w:cs="Times New Roman"/>
      <w:szCs w:val="20"/>
      <w:lang w:eastAsia="zh-CN"/>
    </w:rPr>
  </w:style>
  <w:style w:type="character" w:customStyle="1" w:styleId="af8">
    <w:name w:val="Текст примечания Знак"/>
    <w:basedOn w:val="a0"/>
    <w:link w:val="af7"/>
    <w:semiHidden/>
    <w:rsid w:val="00A74B45"/>
    <w:rPr>
      <w:lang w:val="ru-RU" w:eastAsia="zh-CN"/>
    </w:rPr>
  </w:style>
  <w:style w:type="paragraph" w:styleId="af9">
    <w:name w:val="annotation subject"/>
    <w:basedOn w:val="af7"/>
    <w:next w:val="af7"/>
    <w:link w:val="afa"/>
    <w:semiHidden/>
    <w:unhideWhenUsed/>
    <w:rsid w:val="00A74B45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A74B45"/>
    <w:rPr>
      <w:b/>
      <w:bCs/>
      <w:lang w:val="ru-RU" w:eastAsia="zh-CN"/>
    </w:rPr>
  </w:style>
  <w:style w:type="paragraph" w:styleId="11">
    <w:name w:val="toc 1"/>
    <w:basedOn w:val="a"/>
    <w:next w:val="a"/>
    <w:autoRedefine/>
    <w:uiPriority w:val="39"/>
    <w:unhideWhenUsed/>
    <w:rsid w:val="00A74B45"/>
    <w:pPr>
      <w:spacing w:after="100" w:line="240" w:lineRule="auto"/>
    </w:pPr>
    <w:rPr>
      <w:rFonts w:eastAsia="SimSun" w:cs="Times New Roman"/>
      <w:szCs w:val="20"/>
      <w:lang w:eastAsia="zh-CN"/>
    </w:rPr>
  </w:style>
  <w:style w:type="paragraph" w:styleId="21">
    <w:name w:val="toc 2"/>
    <w:basedOn w:val="a"/>
    <w:next w:val="a"/>
    <w:autoRedefine/>
    <w:uiPriority w:val="39"/>
    <w:unhideWhenUsed/>
    <w:rsid w:val="00A74B45"/>
    <w:pPr>
      <w:spacing w:after="100" w:line="240" w:lineRule="auto"/>
      <w:ind w:left="200"/>
    </w:pPr>
    <w:rPr>
      <w:rFonts w:eastAsia="SimSun" w:cs="Times New Roman"/>
      <w:szCs w:val="20"/>
      <w:lang w:eastAsia="zh-CN"/>
    </w:rPr>
  </w:style>
  <w:style w:type="paragraph" w:styleId="31">
    <w:name w:val="toc 3"/>
    <w:basedOn w:val="a"/>
    <w:next w:val="a"/>
    <w:autoRedefine/>
    <w:uiPriority w:val="39"/>
    <w:unhideWhenUsed/>
    <w:rsid w:val="00A74B45"/>
    <w:pPr>
      <w:spacing w:after="100" w:line="240" w:lineRule="auto"/>
      <w:ind w:left="400"/>
    </w:pPr>
    <w:rPr>
      <w:rFonts w:eastAsia="SimSu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23B9-4A92-41AD-888A-1C65DB11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15</Pages>
  <Words>4983</Words>
  <Characters>35632</Characters>
  <Application>Microsoft Office Word</Application>
  <DocSecurity>0</DocSecurity>
  <Lines>698</Lines>
  <Paragraphs>258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CRPD/C/SYC/CO/1</vt:lpstr>
      <vt:lpstr>A/</vt:lpstr>
      <vt:lpstr>A/</vt:lpstr>
    </vt:vector>
  </TitlesOfParts>
  <Company>DCM</Company>
  <LinksUpToDate>false</LinksUpToDate>
  <CharactersWithSpaces>40357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CRPD/C/SYC/CO/1</dc:title>
  <dc:subject/>
  <dc:creator>Larisa MAYKOVSKAYA</dc:creator>
  <cp:keywords/>
  <cp:lastModifiedBy>Larisa Maykovskaya</cp:lastModifiedBy>
  <cp:revision>3</cp:revision>
  <cp:lastPrinted>2018-04-26T08:52:00Z</cp:lastPrinted>
  <dcterms:created xsi:type="dcterms:W3CDTF">2018-04-26T08:52:00Z</dcterms:created>
  <dcterms:modified xsi:type="dcterms:W3CDTF">2018-04-26T08:53:00Z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